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D775F9"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34" type="#_x0000_t202" style="position:absolute;left:0;text-align:left;margin-left:456.65pt;margin-top:41.1pt;width:117.3pt;height:23.25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276AED" w:rsidRPr="00EE31AB" w:rsidRDefault="00276AED"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33" type="#_x0000_t202" style="position:absolute;left:0;text-align:left;margin-left:15.3pt;margin-top:49.15pt;width:409.2pt;height:25.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276AED" w:rsidRPr="00AE6908" w:rsidRDefault="00F51EB7">
                  <w:pPr>
                    <w:rPr>
                      <w:rFonts w:ascii="楷体_GB2312"/>
                      <w:b/>
                      <w:sz w:val="30"/>
                      <w:szCs w:val="30"/>
                    </w:rPr>
                  </w:pPr>
                  <w:bookmarkStart w:id="0" w:name="title"/>
                  <w:r>
                    <w:rPr>
                      <w:rFonts w:ascii="楷体_GB2312" w:hint="eastAsia"/>
                      <w:b/>
                      <w:sz w:val="30"/>
                      <w:szCs w:val="30"/>
                    </w:rPr>
                    <w:t>2015年3月权益类基金投资策略报告</w:t>
                  </w:r>
                  <w:bookmarkEnd w:id="0"/>
                </w:p>
              </w:txbxContent>
            </v:textbox>
            <w10:wrap anchorx="page" anchory="page"/>
          </v:shape>
        </w:pict>
      </w:r>
      <w:r>
        <w:rPr>
          <w:noProof/>
        </w:rPr>
        <w:pict>
          <v:shape id="Text Box 335" o:spid="_x0000_s1032" type="#_x0000_t202" style="position:absolute;left:0;text-align:left;margin-left:15.3pt;margin-top:15.6pt;width:370.25pt;height:21.5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1" w:name="reportDate"/>
                <w:p w:rsidR="00276AED" w:rsidRDefault="00D775F9" w:rsidP="00832F33">
                  <w:pPr>
                    <w:jc w:val="left"/>
                  </w:pPr>
                  <w:sdt>
                    <w:sdtPr>
                      <w:rPr>
                        <w:rFonts w:eastAsia="黑体" w:cs="Arial" w:hint="eastAsia"/>
                        <w:b/>
                        <w:sz w:val="21"/>
                        <w:szCs w:val="21"/>
                      </w:rPr>
                      <w:alias w:val="报告日期"/>
                      <w:tag w:val="BDCONTENTCONTROL_5c179c93-3177-4ab7-ae62-1dc3677fa3d8"/>
                      <w:id w:val="3936421"/>
                      <w:placeholder>
                        <w:docPart w:val="C7817B46F1764983AA88F6CF5FAEC97C"/>
                      </w:placeholder>
                      <w:text/>
                    </w:sdtPr>
                    <w:sdtEndPr/>
                    <w:sdtContent>
                      <w:r w:rsidR="00EE1CC3">
                        <w:rPr>
                          <w:rFonts w:eastAsia="黑体" w:cs="Arial" w:hint="eastAsia"/>
                          <w:b/>
                          <w:sz w:val="21"/>
                          <w:szCs w:val="21"/>
                        </w:rPr>
                        <w:t>2015</w:t>
                      </w:r>
                      <w:r w:rsidR="00EE1CC3">
                        <w:rPr>
                          <w:rFonts w:eastAsia="黑体" w:cs="Arial" w:hint="eastAsia"/>
                          <w:b/>
                          <w:sz w:val="21"/>
                          <w:szCs w:val="21"/>
                        </w:rPr>
                        <w:t>年</w:t>
                      </w:r>
                      <w:r w:rsidR="00EE1CC3">
                        <w:rPr>
                          <w:rFonts w:eastAsia="黑体" w:cs="Arial" w:hint="eastAsia"/>
                          <w:b/>
                          <w:sz w:val="21"/>
                          <w:szCs w:val="21"/>
                        </w:rPr>
                        <w:t>03</w:t>
                      </w:r>
                      <w:r w:rsidR="00EE1CC3">
                        <w:rPr>
                          <w:rFonts w:eastAsia="黑体" w:cs="Arial" w:hint="eastAsia"/>
                          <w:b/>
                          <w:sz w:val="21"/>
                          <w:szCs w:val="21"/>
                        </w:rPr>
                        <w:t>月</w:t>
                      </w:r>
                      <w:r w:rsidR="00EE1CC3">
                        <w:rPr>
                          <w:rFonts w:eastAsia="黑体" w:cs="Arial" w:hint="eastAsia"/>
                          <w:b/>
                          <w:sz w:val="21"/>
                          <w:szCs w:val="21"/>
                        </w:rPr>
                        <w:t>02</w:t>
                      </w:r>
                      <w:r w:rsidR="00EE1CC3">
                        <w:rPr>
                          <w:rFonts w:eastAsia="黑体" w:cs="Arial" w:hint="eastAsia"/>
                          <w:b/>
                          <w:sz w:val="21"/>
                          <w:szCs w:val="21"/>
                        </w:rPr>
                        <w:t>日</w:t>
                      </w:r>
                    </w:sdtContent>
                  </w:sdt>
                  <w:bookmarkEnd w:id="1"/>
                </w:p>
              </w:txbxContent>
            </v:textbox>
            <w10:wrap anchorx="page" anchory="page"/>
          </v:shape>
        </w:pict>
      </w:r>
      <w:r>
        <w:rPr>
          <w:noProof/>
        </w:rPr>
        <w:pict>
          <v:rect id="Rectangle 406" o:spid="_x0000_s1031" style="position:absolute;left:0;text-align:left;margin-left:416.25pt;margin-top:-30.75pt;width:124.5pt;height: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276AED" w:rsidRPr="00EC07DB" w:rsidRDefault="00276AED" w:rsidP="00865BF6">
                  <w:pPr>
                    <w:jc w:val="right"/>
                    <w:rPr>
                      <w:sz w:val="15"/>
                      <w:szCs w:val="15"/>
                    </w:rPr>
                  </w:pPr>
                </w:p>
              </w:txbxContent>
            </v:textbox>
            <w10:anchorlock/>
          </v:rect>
        </w:pict>
      </w:r>
      <w:r>
        <w:rPr>
          <w:noProof/>
        </w:rPr>
        <w:pict>
          <v:shape id="Text Box 405" o:spid="_x0000_s1030" type="#_x0000_t202" style="position:absolute;left:0;text-align:left;margin-left:414.3pt;margin-top:15.6pt;width:128.45pt;height:34.3pt;z-index:251665920;visibility:visible;mso-wrap-style:non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276AED" w:rsidRPr="00E17DD1" w:rsidRDefault="00276AED"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29" style="position:absolute;left:0;text-align:left;margin-left:299.1pt;margin-top:12.75pt;width:86.55pt;height:25.65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276AED" w:rsidRPr="00FE4B43" w:rsidRDefault="00276AED" w:rsidP="006449BF">
                  <w:pPr>
                    <w:rPr>
                      <w:b/>
                      <w:sz w:val="24"/>
                      <w:szCs w:val="24"/>
                    </w:rPr>
                  </w:pPr>
                  <w:bookmarkStart w:id="2" w:name="lastInvestSuggestion"/>
                  <w:r>
                    <w:rPr>
                      <w:rFonts w:hint="eastAsia"/>
                      <w:b/>
                      <w:sz w:val="24"/>
                      <w:szCs w:val="24"/>
                    </w:rPr>
                    <w:t>买入</w:t>
                  </w:r>
                  <w:bookmarkEnd w:id="2"/>
                </w:p>
              </w:txbxContent>
            </v:textbox>
          </v:rect>
        </w:pict>
      </w:r>
    </w:p>
    <w:p w:rsidR="0090542D" w:rsidRDefault="00D775F9">
      <w:pPr>
        <w:jc w:val="right"/>
        <w:rPr>
          <w:rFonts w:eastAsia="黑体" w:cs="Arial"/>
          <w:sz w:val="30"/>
          <w:szCs w:val="52"/>
        </w:rPr>
      </w:pPr>
      <w:r>
        <w:rPr>
          <w:noProof/>
        </w:rPr>
        <w:pict>
          <v:shape id="Text Box 338" o:spid="_x0000_s1028" type="#_x0000_t202" style="position:absolute;left:0;text-align:left;margin-left:341.25pt;margin-top:98.35pt;width:228.75pt;height:22.1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276AED" w:rsidRDefault="00D775F9" w:rsidP="00F30157">
                  <w:pPr>
                    <w:jc w:val="right"/>
                  </w:pPr>
                  <w:sdt>
                    <w:sdtPr>
                      <w:rPr>
                        <w:rFonts w:hint="eastAsia"/>
                        <w:b/>
                        <w:sz w:val="24"/>
                        <w:szCs w:val="24"/>
                      </w:rPr>
                      <w:alias w:val="报告类型"/>
                      <w:tag w:val="BDCONTENTCONTROL_84bd61de-94b7-4c7c-8f81-60dfebe1887e"/>
                      <w:id w:val="1634203798"/>
                      <w:placeholder>
                        <w:docPart w:val="A132E531D7B54E6F8BFB2D4DB3E78B69"/>
                      </w:placeholder>
                      <w:text/>
                    </w:sdtPr>
                    <w:sdtEndPr/>
                    <w:sdtContent>
                      <w:r w:rsidR="00EE1CC3">
                        <w:rPr>
                          <w:rFonts w:hint="eastAsia"/>
                          <w:b/>
                          <w:sz w:val="24"/>
                          <w:szCs w:val="24"/>
                        </w:rPr>
                        <w:t>基金投资策略报告</w:t>
                      </w:r>
                    </w:sdtContent>
                  </w:sdt>
                </w:p>
              </w:txbxContent>
            </v:textbox>
            <w10:wrap anchorx="page" anchory="page"/>
          </v:shape>
        </w:pict>
      </w:r>
    </w:p>
    <w:p w:rsidR="0090542D" w:rsidRDefault="00D775F9">
      <w:pPr>
        <w:jc w:val="right"/>
        <w:rPr>
          <w:rFonts w:eastAsia="黑体" w:cs="Arial"/>
          <w:sz w:val="30"/>
          <w:szCs w:val="52"/>
        </w:rPr>
      </w:pPr>
      <w:r>
        <w:rPr>
          <w:noProof/>
        </w:rPr>
        <w:pict>
          <v:line id="Line 335" o:spid="_x0000_s1027" style="position:absolute;left:0;text-align:left;z-index:251653632;visibility:visible;mso-wrap-distance-top:-3e-5mm;mso-wrap-distance-bottom:-3e-5mm"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3A7A25">
        <w:trPr>
          <w:trHeight w:val="12531"/>
        </w:trPr>
        <w:tc>
          <w:tcPr>
            <w:tcW w:w="3459" w:type="dxa"/>
            <w:tcMar>
              <w:top w:w="28" w:type="dxa"/>
              <w:left w:w="0" w:type="dxa"/>
              <w:right w:w="108" w:type="dxa"/>
            </w:tcMar>
          </w:tcPr>
          <w:p w:rsidR="00351D32" w:rsidRDefault="00351D32" w:rsidP="00351D32">
            <w:pPr>
              <w:spacing w:line="14" w:lineRule="exact"/>
            </w:pPr>
          </w:p>
          <w:p w:rsidR="000E6AE0" w:rsidRDefault="000E6AE0"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F51EB7" w:rsidRPr="00F224E2" w:rsidRDefault="00F51EB7" w:rsidP="00F51EB7">
            <w:pPr>
              <w:pStyle w:val="a6"/>
              <w:widowControl/>
              <w:pBdr>
                <w:bottom w:val="none" w:sz="0" w:space="0" w:color="auto"/>
              </w:pBdr>
              <w:tabs>
                <w:tab w:val="clear" w:pos="4153"/>
                <w:tab w:val="clear" w:pos="8306"/>
              </w:tabs>
              <w:snapToGrid/>
              <w:ind w:rightChars="300" w:right="540"/>
              <w:jc w:val="both"/>
              <w:rPr>
                <w:sz w:val="21"/>
              </w:rPr>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EE93CA264701430E92960E75BB2BDC3B"/>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D775F9"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BE343C0A3357424294F39F680051F9AF"/>
                    </w:placeholder>
                  </w:sdtPr>
                  <w:sdtEndPr/>
                  <w:sdtContent>
                    <w:p w:rsidR="00B632AD" w:rsidRPr="00B632AD" w:rsidRDefault="00B632AD" w:rsidP="00B632AD">
                      <w:pPr>
                        <w:spacing w:line="14" w:lineRule="exact"/>
                      </w:pPr>
                    </w:p>
                    <w:tbl>
                      <w:tblPr>
                        <w:tblW w:w="5084" w:type="pct"/>
                        <w:tblLayout w:type="fixed"/>
                        <w:tblCellMar>
                          <w:left w:w="0" w:type="dxa"/>
                          <w:right w:w="0" w:type="dxa"/>
                        </w:tblCellMar>
                        <w:tblLook w:val="0000" w:firstRow="0" w:lastRow="0" w:firstColumn="0" w:lastColumn="0" w:noHBand="0" w:noVBand="0"/>
                      </w:tblPr>
                      <w:tblGrid>
                        <w:gridCol w:w="850"/>
                        <w:gridCol w:w="2608"/>
                      </w:tblGrid>
                      <w:tr w:rsidR="00626F55" w:rsidTr="00A50B9B">
                        <w:trPr>
                          <w:trHeight w:val="567"/>
                        </w:trPr>
                        <w:tc>
                          <w:tcPr>
                            <w:tcW w:w="1229" w:type="pct"/>
                            <w:tcMar>
                              <w:left w:w="0" w:type="dxa"/>
                              <w:right w:w="28" w:type="dxa"/>
                            </w:tcMar>
                          </w:tcPr>
                          <w:p w:rsidR="00626F55" w:rsidRDefault="00EE1CC3" w:rsidP="004E627E">
                            <w:pPr>
                              <w:pStyle w:val="GJReportFirPageAuthorName"/>
                            </w:pPr>
                            <w:r>
                              <w:rPr>
                                <w:rFonts w:hint="eastAsia"/>
                              </w:rPr>
                              <w:t>王聃聃</w:t>
                            </w:r>
                          </w:p>
                        </w:tc>
                        <w:tc>
                          <w:tcPr>
                            <w:tcW w:w="3771" w:type="pct"/>
                            <w:tcMar>
                              <w:left w:w="0" w:type="dxa"/>
                              <w:right w:w="28" w:type="dxa"/>
                            </w:tcMar>
                          </w:tcPr>
                          <w:p w:rsidR="00626F55" w:rsidRPr="00EE0794" w:rsidRDefault="00626F55" w:rsidP="00EE1CC3">
                            <w:pPr>
                              <w:pStyle w:val="GJReportFirPageAuthorEmail"/>
                            </w:pPr>
                          </w:p>
                        </w:tc>
                      </w:tr>
                    </w:tbl>
                    <w:p w:rsidR="00B632AD" w:rsidRPr="006E3D11" w:rsidRDefault="00D775F9" w:rsidP="00EE1CC3">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BE343C0A3357424294F39F680051F9AF"/>
              </w:placeholder>
            </w:sdtPr>
            <w:sdtEndPr/>
            <w:sdtContent>
              <w:p w:rsidR="00962AD2" w:rsidRDefault="00F51EB7" w:rsidP="00AA352E">
                <w:pPr>
                  <w:ind w:rightChars="13" w:right="23"/>
                  <w:jc w:val="center"/>
                  <w:rPr>
                    <w:rFonts w:ascii="楷体_GB2312"/>
                    <w:b/>
                    <w:bCs/>
                    <w:sz w:val="36"/>
                    <w:szCs w:val="36"/>
                  </w:rPr>
                </w:pPr>
                <w:r w:rsidRPr="00995F22">
                  <w:rPr>
                    <w:rFonts w:ascii="楷体_GB2312" w:hint="eastAsia"/>
                    <w:b/>
                    <w:bCs/>
                    <w:sz w:val="36"/>
                    <w:szCs w:val="36"/>
                  </w:rPr>
                  <w:t>保持战术灵活，参与主题投资</w:t>
                </w:r>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BE343C0A3357424294F39F680051F9AF"/>
              </w:placeholder>
            </w:sdtPr>
            <w:sdtEndPr>
              <w:rPr>
                <w:rFonts w:cs="Times New Roman"/>
                <w:b w:val="0"/>
                <w:sz w:val="21"/>
                <w:szCs w:val="21"/>
              </w:rPr>
            </w:sdtEndPr>
            <w:sdtContent>
              <w:p w:rsidR="00EE1CC3" w:rsidRPr="00B00136" w:rsidRDefault="00EE1CC3" w:rsidP="00EE1CC3">
                <w:pPr>
                  <w:pStyle w:val="a0"/>
                  <w:spacing w:line="240" w:lineRule="auto"/>
                  <w:ind w:left="0" w:rightChars="12" w:right="22"/>
                  <w:jc w:val="left"/>
                  <w:rPr>
                    <w:b/>
                    <w:bCs/>
                    <w:color w:val="auto"/>
                    <w:sz w:val="24"/>
                  </w:rPr>
                </w:pPr>
                <w:r w:rsidRPr="00B00136">
                  <w:rPr>
                    <w:rFonts w:hint="eastAsia"/>
                    <w:b/>
                    <w:bCs/>
                    <w:color w:val="auto"/>
                    <w:sz w:val="24"/>
                  </w:rPr>
                  <w:t>投资策略</w:t>
                </w:r>
              </w:p>
              <w:p w:rsidR="00EE1CC3" w:rsidRPr="00B00136" w:rsidRDefault="00EE1CC3" w:rsidP="00EE1CC3">
                <w:pPr>
                  <w:pStyle w:val="a0"/>
                  <w:numPr>
                    <w:ilvl w:val="0"/>
                    <w:numId w:val="33"/>
                  </w:numPr>
                  <w:spacing w:line="240" w:lineRule="auto"/>
                  <w:ind w:rightChars="12" w:right="22"/>
                  <w:rPr>
                    <w:rFonts w:ascii="楷体_GB2312"/>
                    <w:color w:val="auto"/>
                  </w:rPr>
                </w:pPr>
                <w:r w:rsidRPr="00B00136">
                  <w:rPr>
                    <w:rFonts w:ascii="楷体_GB2312" w:hint="eastAsia"/>
                    <w:color w:val="auto"/>
                  </w:rPr>
                  <w:t>短期经济下行和通缩的压力，促使央行连续出手，以降低资金利率，维持实际利率的稳定。央行再度降息使得市场重新获得货币政策持续宽松的预期，尽管</w:t>
                </w:r>
                <w:r w:rsidRPr="00B00136">
                  <w:rPr>
                    <w:rFonts w:ascii="楷体_GB2312"/>
                    <w:color w:val="auto"/>
                  </w:rPr>
                  <w:t>2</w:t>
                </w:r>
                <w:r w:rsidRPr="00B00136">
                  <w:rPr>
                    <w:rFonts w:ascii="楷体_GB2312" w:hint="eastAsia"/>
                    <w:color w:val="auto"/>
                  </w:rPr>
                  <w:t>月的降准由于投资者已经有所预期，市场表现差强人意，但宽松的货币预期支撑了市场的结构性行情</w:t>
                </w:r>
                <w:bookmarkStart w:id="3" w:name="_GoBack"/>
                <w:bookmarkEnd w:id="3"/>
                <w:r w:rsidRPr="00B00136">
                  <w:rPr>
                    <w:rFonts w:ascii="楷体_GB2312" w:hint="eastAsia"/>
                    <w:color w:val="auto"/>
                  </w:rPr>
                  <w:t>。国金策略小组认为，此次降息作为宽松货币的延续对股票市场仍然会起到支撑的作用。整体来看我们认为市场的投资环境仍相对乐观，但考虑市场对降息预期已经有较为充分的预期以及监管政策降杠杆防范风险的压力，也不必对降息做过度解读。从配置的角度，投资者可在平衡配置思路的基础上，适当倾向于受益于降息的周期蓝筹风格，尤其是前期创业板为代表的小盘成长股涨幅较大，需要关注回吐风险。此外，随着市场步入两会窗口，市场将更多关注政策的推进，受益于政策预期的主题投资机会有望活跃。</w:t>
                </w:r>
              </w:p>
              <w:p w:rsidR="00EE1CC3" w:rsidRPr="00B00136" w:rsidRDefault="00EE1CC3" w:rsidP="00EE1CC3">
                <w:pPr>
                  <w:pStyle w:val="a0"/>
                  <w:widowControl/>
                  <w:numPr>
                    <w:ilvl w:val="0"/>
                    <w:numId w:val="33"/>
                  </w:numPr>
                  <w:spacing w:line="240" w:lineRule="auto"/>
                  <w:ind w:rightChars="12" w:right="22"/>
                  <w:jc w:val="left"/>
                </w:pPr>
                <w:r w:rsidRPr="00B00136">
                  <w:rPr>
                    <w:rFonts w:ascii="楷体_GB2312" w:hint="eastAsia"/>
                    <w:color w:val="auto"/>
                  </w:rPr>
                  <w:t>在市场</w:t>
                </w:r>
                <w:r w:rsidRPr="00B00136">
                  <w:rPr>
                    <w:rFonts w:cs="Arial" w:hint="eastAsia"/>
                  </w:rPr>
                  <w:t>投资环境仍相对乐观</w:t>
                </w:r>
                <w:r w:rsidRPr="00B00136">
                  <w:rPr>
                    <w:rFonts w:ascii="楷体_GB2312" w:hint="eastAsia"/>
                    <w:color w:val="auto"/>
                  </w:rPr>
                  <w:t>的背景下，基金组合无需多仓位做过多的选择，同时继续从组合结构进行积极调整。首先，考虑前期小盘成长股回调风险不断积聚，以及经济数据恶化政策博弈机会增强，短期投资组合风格可在前期均衡的基础上，减持小盘成长风格突出、重仓股涨幅过大的产品，适当关注大盘蓝筹风格的短期投资机会；其次，在市场高位震荡博弈的背景下，保持组合较高的灵活性仍然必要，优选灵活型产品进行配置以把握风格、行业的轮动；最后，两会窗口临近，</w:t>
                </w:r>
                <w:r w:rsidRPr="00B00136">
                  <w:rPr>
                    <w:rFonts w:cs="Arial" w:hint="eastAsia"/>
                  </w:rPr>
                  <w:t>受益于政策预期的主题投资机会有望活跃，投资者可继续</w:t>
                </w:r>
                <w:r w:rsidRPr="00B00136">
                  <w:rPr>
                    <w:rFonts w:ascii="楷体_GB2312" w:hint="eastAsia"/>
                    <w:color w:val="auto"/>
                  </w:rPr>
                  <w:t>甄选主题投资配置较多且擅长把握相关投资机会的产品。</w:t>
                </w:r>
              </w:p>
              <w:p w:rsidR="00EE1CC3" w:rsidRPr="00B00136" w:rsidRDefault="00EE1CC3" w:rsidP="00EE1CC3">
                <w:pPr>
                  <w:pStyle w:val="a0"/>
                  <w:widowControl/>
                  <w:numPr>
                    <w:ilvl w:val="0"/>
                    <w:numId w:val="33"/>
                  </w:numPr>
                  <w:spacing w:line="240" w:lineRule="auto"/>
                  <w:ind w:rightChars="12" w:right="22"/>
                  <w:jc w:val="left"/>
                </w:pPr>
                <w:r w:rsidRPr="00B00136">
                  <w:rPr>
                    <w:rFonts w:hint="eastAsia"/>
                    <w:color w:val="auto"/>
                  </w:rPr>
                  <w:t>对于</w:t>
                </w:r>
                <w:r w:rsidRPr="00B00136">
                  <w:rPr>
                    <w:rFonts w:hint="eastAsia"/>
                    <w:color w:val="auto"/>
                  </w:rPr>
                  <w:t>2015</w:t>
                </w:r>
                <w:r w:rsidRPr="00B00136">
                  <w:rPr>
                    <w:rFonts w:hint="eastAsia"/>
                    <w:color w:val="auto"/>
                  </w:rPr>
                  <w:t>年</w:t>
                </w:r>
                <w:r w:rsidRPr="00B00136">
                  <w:rPr>
                    <w:rFonts w:hint="eastAsia"/>
                    <w:color w:val="auto"/>
                  </w:rPr>
                  <w:t>03</w:t>
                </w:r>
                <w:r w:rsidRPr="00B00136">
                  <w:rPr>
                    <w:rFonts w:hint="eastAsia"/>
                    <w:color w:val="auto"/>
                  </w:rPr>
                  <w:t>月的基金组合：</w:t>
                </w:r>
              </w:p>
              <w:p w:rsidR="00EE1CC3" w:rsidRPr="00B00136" w:rsidRDefault="00EE1CC3" w:rsidP="00EE1CC3">
                <w:pPr>
                  <w:pStyle w:val="a0"/>
                  <w:widowControl/>
                  <w:numPr>
                    <w:ilvl w:val="0"/>
                    <w:numId w:val="34"/>
                  </w:numPr>
                  <w:spacing w:line="240" w:lineRule="auto"/>
                  <w:ind w:rightChars="12" w:right="22"/>
                  <w:jc w:val="left"/>
                  <w:rPr>
                    <w:b/>
                    <w:bCs/>
                    <w:color w:val="auto"/>
                    <w:sz w:val="24"/>
                  </w:rPr>
                </w:pPr>
                <w:r w:rsidRPr="00B00136">
                  <w:rPr>
                    <w:rFonts w:hint="eastAsia"/>
                    <w:color w:val="auto"/>
                  </w:rPr>
                  <w:t>本月进攻性组合增加海富通国策和宝盈策略，平均股票仓位</w:t>
                </w:r>
                <w:r w:rsidRPr="00B00136">
                  <w:rPr>
                    <w:rFonts w:hint="eastAsia"/>
                    <w:color w:val="auto"/>
                  </w:rPr>
                  <w:t>90.65%</w:t>
                </w:r>
                <w:r w:rsidRPr="00B00136">
                  <w:rPr>
                    <w:rFonts w:hint="eastAsia"/>
                    <w:color w:val="auto"/>
                  </w:rPr>
                  <w:t>，与前期相比略有上升。本期组合在前期风格均衡配置的基础上适当侧重周期蓝筹风格以及主题投资机会。其中，光大配置相对均衡，风险收益配比较好，且具备较强的选股能力；海富通国策和大摩主题具有较高的灵活性，对主题投资以及市场热点有不错的把握；招商大盘蓝筹注重把握低估值轮动，并有较好的风险控制能力；宝盈策略在主题投资和个股自下而上的把握均具备优势；</w:t>
                </w:r>
              </w:p>
              <w:p w:rsidR="00EE1CC3" w:rsidRPr="00B00136" w:rsidRDefault="00EE1CC3" w:rsidP="00EE1CC3">
                <w:pPr>
                  <w:pStyle w:val="a0"/>
                  <w:widowControl/>
                  <w:numPr>
                    <w:ilvl w:val="0"/>
                    <w:numId w:val="34"/>
                  </w:numPr>
                  <w:spacing w:line="240" w:lineRule="auto"/>
                  <w:ind w:rightChars="12" w:right="22"/>
                  <w:jc w:val="left"/>
                  <w:rPr>
                    <w:color w:val="auto"/>
                  </w:rPr>
                </w:pPr>
                <w:r w:rsidRPr="00B00136">
                  <w:rPr>
                    <w:rFonts w:hint="eastAsia"/>
                    <w:color w:val="auto"/>
                  </w:rPr>
                  <w:t>防御型组合本月增加添富逆向，组合风格在前期均衡配置的基础上适当增强周期蓝筹风格。组合内华安逆向的投资较为灵活，对风格轮动、行业轮动以及主题轮动有不错的把握，富国天成的配置注重均衡，基金经理自下而上的选股能力较强，添富逆向的价值投资策略显著，偏好低估值和估值合理的成长性股票，此外，两只债券型基金占据</w:t>
                </w:r>
                <w:r w:rsidRPr="00B00136">
                  <w:rPr>
                    <w:rFonts w:hint="eastAsia"/>
                    <w:color w:val="auto"/>
                  </w:rPr>
                  <w:t>40%</w:t>
                </w:r>
                <w:r w:rsidRPr="00B00136">
                  <w:rPr>
                    <w:rFonts w:hint="eastAsia"/>
                    <w:color w:val="auto"/>
                  </w:rPr>
                  <w:t>的比例作为防御部分的配置；</w:t>
                </w:r>
              </w:p>
              <w:p w:rsidR="000E6AE0" w:rsidRPr="00346E26" w:rsidRDefault="00EE1CC3" w:rsidP="00EE1CC3">
                <w:pPr>
                  <w:pStyle w:val="a0"/>
                  <w:widowControl/>
                  <w:numPr>
                    <w:ilvl w:val="0"/>
                    <w:numId w:val="34"/>
                  </w:numPr>
                  <w:spacing w:line="240" w:lineRule="auto"/>
                  <w:ind w:rightChars="12" w:right="22"/>
                  <w:jc w:val="left"/>
                  <w:rPr>
                    <w:b/>
                    <w:bCs/>
                    <w:color w:val="auto"/>
                    <w:sz w:val="24"/>
                  </w:rPr>
                </w:pPr>
                <w:r w:rsidRPr="00B00136">
                  <w:rPr>
                    <w:rFonts w:hint="eastAsia"/>
                    <w:color w:val="auto"/>
                  </w:rPr>
                  <w:t>作为灵活配置型组合，在当前市场环境相对乐观的背景下，适当提升权益类产品的配置，组合内权益类和固定收益类产品各占</w:t>
                </w:r>
                <w:r w:rsidRPr="00B00136">
                  <w:rPr>
                    <w:rFonts w:hint="eastAsia"/>
                    <w:color w:val="auto"/>
                  </w:rPr>
                  <w:t>50%</w:t>
                </w:r>
                <w:r w:rsidRPr="00B00136">
                  <w:rPr>
                    <w:rFonts w:hint="eastAsia"/>
                    <w:color w:val="auto"/>
                  </w:rPr>
                  <w:t>，权益类基金关注添富逆向和长盛电子信息，两只基金在风格上做进一步均衡，前者侧重低估值蓝筹股，后者侧重高成长性行业中的估值合理个股。</w:t>
                </w:r>
              </w:p>
              <w:p w:rsidR="00BC7E24" w:rsidRPr="005A4767" w:rsidRDefault="00D775F9" w:rsidP="000E6AE0">
                <w:pPr>
                  <w:pStyle w:val="a0"/>
                  <w:widowControl/>
                  <w:ind w:left="0" w:rightChars="95" w:right="171"/>
                </w:pPr>
              </w:p>
            </w:sdtContent>
          </w:sdt>
        </w:tc>
      </w:tr>
    </w:tbl>
    <w:p w:rsidR="00EE1CC3" w:rsidRPr="00B00136" w:rsidRDefault="00EE1CC3" w:rsidP="00EE1CC3">
      <w:pPr>
        <w:pStyle w:val="14"/>
        <w:ind w:leftChars="1890"/>
        <w:rPr>
          <w:color w:val="auto"/>
        </w:rPr>
      </w:pPr>
      <w:r w:rsidRPr="00B00136">
        <w:rPr>
          <w:rFonts w:hint="eastAsia"/>
          <w:bCs w:val="0"/>
          <w:color w:val="auto"/>
        </w:rPr>
        <w:lastRenderedPageBreak/>
        <w:t>2015</w:t>
      </w:r>
      <w:r w:rsidRPr="00B00136">
        <w:rPr>
          <w:rFonts w:hint="eastAsia"/>
          <w:bCs w:val="0"/>
          <w:color w:val="auto"/>
        </w:rPr>
        <w:t>年</w:t>
      </w:r>
      <w:r w:rsidRPr="00B00136">
        <w:rPr>
          <w:rFonts w:hint="eastAsia"/>
          <w:bCs w:val="0"/>
          <w:color w:val="auto"/>
        </w:rPr>
        <w:t>03</w:t>
      </w:r>
      <w:r w:rsidRPr="00B00136">
        <w:rPr>
          <w:rFonts w:hint="eastAsia"/>
          <w:bCs w:val="0"/>
          <w:color w:val="auto"/>
        </w:rPr>
        <w:t>月组合推荐（“</w:t>
      </w:r>
      <w:r w:rsidRPr="00B00136">
        <w:rPr>
          <w:rFonts w:hint="eastAsia"/>
          <w:color w:val="auto"/>
        </w:rPr>
        <w:t>★”</w:t>
      </w:r>
      <w:r w:rsidRPr="00B00136">
        <w:rPr>
          <w:rFonts w:hint="eastAsia"/>
          <w:bCs w:val="0"/>
          <w:color w:val="auto"/>
        </w:rPr>
        <w:t>为重点推荐的组合和产品）</w:t>
      </w:r>
    </w:p>
    <w:tbl>
      <w:tblPr>
        <w:tblW w:w="7371" w:type="dxa"/>
        <w:tblInd w:w="3402"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190"/>
        <w:gridCol w:w="1645"/>
        <w:gridCol w:w="737"/>
        <w:gridCol w:w="227"/>
        <w:gridCol w:w="1190"/>
        <w:gridCol w:w="1674"/>
        <w:gridCol w:w="708"/>
      </w:tblGrid>
      <w:tr w:rsidR="00EE1CC3" w:rsidRPr="000C2B2D" w:rsidTr="00C31BEB">
        <w:trPr>
          <w:cantSplit/>
          <w:trHeight w:val="340"/>
        </w:trPr>
        <w:tc>
          <w:tcPr>
            <w:tcW w:w="3572" w:type="dxa"/>
            <w:gridSpan w:val="3"/>
            <w:tcBorders>
              <w:top w:val="single" w:sz="4" w:space="0" w:color="00B0F0"/>
            </w:tcBorders>
            <w:shd w:val="clear" w:color="auto" w:fill="auto"/>
            <w:vAlign w:val="center"/>
          </w:tcPr>
          <w:p w:rsidR="00EE1CC3" w:rsidRPr="000F1DC9" w:rsidRDefault="00EE1CC3" w:rsidP="00C31BEB">
            <w:pPr>
              <w:pStyle w:val="SubTitleLargeTable"/>
              <w:pBdr>
                <w:top w:val="none" w:sz="0" w:space="0" w:color="auto"/>
              </w:pBdr>
              <w:rPr>
                <w:rFonts w:ascii="楷体_GB2312"/>
                <w:b w:val="0"/>
                <w:lang w:val="en-US"/>
              </w:rPr>
            </w:pPr>
            <w:bookmarkStart w:id="4" w:name="_Toc97695484"/>
            <w:bookmarkStart w:id="5" w:name="_Toc97962176"/>
            <w:bookmarkStart w:id="6" w:name="_Toc97962701"/>
            <w:bookmarkStart w:id="7" w:name="_Toc97962927"/>
            <w:bookmarkStart w:id="8" w:name="_Toc97963271"/>
            <w:bookmarkStart w:id="9" w:name="_Toc97979428"/>
            <w:bookmarkStart w:id="10" w:name="_Toc97981654"/>
            <w:bookmarkStart w:id="11" w:name="_Toc97986072"/>
            <w:bookmarkStart w:id="12" w:name="_Toc239840635"/>
            <w:r>
              <w:rPr>
                <w:rFonts w:hint="eastAsia"/>
                <w:lang w:val="en-US"/>
              </w:rPr>
              <w:t>进攻型组合</w:t>
            </w:r>
            <w:r w:rsidRPr="003B46D0">
              <w:rPr>
                <w:rFonts w:hint="eastAsia"/>
                <w:color w:val="auto"/>
              </w:rPr>
              <w:t>★</w:t>
            </w:r>
          </w:p>
        </w:tc>
        <w:tc>
          <w:tcPr>
            <w:tcW w:w="227" w:type="dxa"/>
            <w:tcBorders>
              <w:top w:val="single" w:sz="4" w:space="0" w:color="00B0F0"/>
            </w:tcBorders>
            <w:shd w:val="clear" w:color="auto" w:fill="auto"/>
            <w:vAlign w:val="center"/>
          </w:tcPr>
          <w:p w:rsidR="00EE1CC3" w:rsidRPr="001309A1" w:rsidRDefault="00EE1CC3" w:rsidP="00C31BEB">
            <w:pPr>
              <w:pStyle w:val="SubTitleLargeTable"/>
              <w:pBdr>
                <w:top w:val="none" w:sz="0" w:space="0" w:color="auto"/>
              </w:pBdr>
              <w:rPr>
                <w:lang w:val="en-US"/>
              </w:rPr>
            </w:pPr>
          </w:p>
        </w:tc>
        <w:tc>
          <w:tcPr>
            <w:tcW w:w="3572" w:type="dxa"/>
            <w:gridSpan w:val="3"/>
            <w:tcBorders>
              <w:top w:val="single" w:sz="4" w:space="0" w:color="00B0F0"/>
            </w:tcBorders>
            <w:shd w:val="clear" w:color="auto" w:fill="auto"/>
            <w:vAlign w:val="center"/>
          </w:tcPr>
          <w:p w:rsidR="00EE1CC3" w:rsidRPr="001309A1" w:rsidRDefault="00EE1CC3" w:rsidP="00C31BEB">
            <w:pPr>
              <w:pStyle w:val="SubTitleLargeTable"/>
              <w:pBdr>
                <w:top w:val="none" w:sz="0" w:space="0" w:color="auto"/>
              </w:pBdr>
              <w:rPr>
                <w:lang w:val="en-US"/>
              </w:rPr>
            </w:pPr>
            <w:r>
              <w:rPr>
                <w:rFonts w:hint="eastAsia"/>
                <w:lang w:val="en-US"/>
              </w:rPr>
              <w:t>防御型组合</w:t>
            </w:r>
          </w:p>
        </w:tc>
      </w:tr>
      <w:tr w:rsidR="00EE1CC3" w:rsidRPr="000C2B2D" w:rsidTr="00C31BEB">
        <w:trPr>
          <w:cantSplit/>
          <w:trHeight w:val="340"/>
        </w:trPr>
        <w:tc>
          <w:tcPr>
            <w:tcW w:w="1190" w:type="dxa"/>
            <w:tcBorders>
              <w:top w:val="single" w:sz="4" w:space="0" w:color="00B0F0"/>
            </w:tcBorders>
            <w:shd w:val="clear" w:color="auto" w:fill="auto"/>
            <w:vAlign w:val="center"/>
          </w:tcPr>
          <w:p w:rsidR="00EE1CC3" w:rsidRPr="000F1DC9" w:rsidRDefault="00EE1CC3" w:rsidP="00C31BEB">
            <w:pPr>
              <w:jc w:val="center"/>
              <w:rPr>
                <w:rFonts w:ascii="楷体_GB2312"/>
                <w:b/>
              </w:rPr>
            </w:pPr>
            <w:r w:rsidRPr="000F1DC9">
              <w:rPr>
                <w:rFonts w:ascii="楷体_GB2312" w:hint="eastAsia"/>
                <w:b/>
              </w:rPr>
              <w:t>基金名称</w:t>
            </w:r>
          </w:p>
        </w:tc>
        <w:tc>
          <w:tcPr>
            <w:tcW w:w="1645" w:type="dxa"/>
            <w:tcBorders>
              <w:top w:val="single" w:sz="4" w:space="0" w:color="00B0F0"/>
            </w:tcBorders>
            <w:shd w:val="clear" w:color="auto" w:fill="auto"/>
            <w:vAlign w:val="center"/>
          </w:tcPr>
          <w:p w:rsidR="00EE1CC3" w:rsidRPr="000F1DC9" w:rsidRDefault="00EE1CC3" w:rsidP="00C31BEB">
            <w:pPr>
              <w:jc w:val="center"/>
              <w:rPr>
                <w:rFonts w:ascii="楷体_GB2312"/>
                <w:b/>
              </w:rPr>
            </w:pPr>
            <w:r w:rsidRPr="000F1DC9">
              <w:rPr>
                <w:rFonts w:ascii="楷体_GB2312" w:hint="eastAsia"/>
                <w:b/>
              </w:rPr>
              <w:t>基金类型</w:t>
            </w:r>
          </w:p>
        </w:tc>
        <w:tc>
          <w:tcPr>
            <w:tcW w:w="737" w:type="dxa"/>
            <w:tcBorders>
              <w:top w:val="single" w:sz="4" w:space="0" w:color="00B0F0"/>
            </w:tcBorders>
            <w:shd w:val="clear" w:color="auto" w:fill="auto"/>
            <w:vAlign w:val="center"/>
          </w:tcPr>
          <w:p w:rsidR="00EE1CC3" w:rsidRPr="000F1DC9" w:rsidRDefault="00EE1CC3" w:rsidP="00C31BEB">
            <w:pPr>
              <w:jc w:val="center"/>
              <w:rPr>
                <w:rFonts w:ascii="楷体_GB2312"/>
                <w:b/>
              </w:rPr>
            </w:pPr>
            <w:r w:rsidRPr="000F1DC9">
              <w:rPr>
                <w:rFonts w:ascii="楷体_GB2312" w:hint="eastAsia"/>
                <w:b/>
              </w:rPr>
              <w:t>权重</w:t>
            </w:r>
          </w:p>
        </w:tc>
        <w:tc>
          <w:tcPr>
            <w:tcW w:w="227" w:type="dxa"/>
            <w:vMerge w:val="restart"/>
            <w:tcBorders>
              <w:top w:val="single" w:sz="4" w:space="0" w:color="00B0F0"/>
            </w:tcBorders>
            <w:shd w:val="clear" w:color="auto" w:fill="auto"/>
            <w:vAlign w:val="center"/>
          </w:tcPr>
          <w:p w:rsidR="00EE1CC3" w:rsidRPr="000F1DC9" w:rsidRDefault="00EE1CC3" w:rsidP="00C31BEB">
            <w:pPr>
              <w:jc w:val="center"/>
              <w:rPr>
                <w:rFonts w:ascii="楷体_GB2312"/>
                <w:b/>
              </w:rPr>
            </w:pPr>
          </w:p>
        </w:tc>
        <w:tc>
          <w:tcPr>
            <w:tcW w:w="1190" w:type="dxa"/>
            <w:tcBorders>
              <w:top w:val="single" w:sz="4" w:space="0" w:color="00B0F0"/>
            </w:tcBorders>
            <w:shd w:val="clear" w:color="auto" w:fill="auto"/>
            <w:vAlign w:val="center"/>
          </w:tcPr>
          <w:p w:rsidR="00EE1CC3" w:rsidRPr="000F1DC9" w:rsidRDefault="00EE1CC3" w:rsidP="00C31BEB">
            <w:pPr>
              <w:jc w:val="center"/>
              <w:rPr>
                <w:rFonts w:ascii="楷体_GB2312"/>
                <w:b/>
              </w:rPr>
            </w:pPr>
            <w:r w:rsidRPr="000F1DC9">
              <w:rPr>
                <w:rFonts w:ascii="楷体_GB2312" w:hint="eastAsia"/>
                <w:b/>
              </w:rPr>
              <w:t>基金名称</w:t>
            </w:r>
          </w:p>
        </w:tc>
        <w:tc>
          <w:tcPr>
            <w:tcW w:w="1674" w:type="dxa"/>
            <w:tcBorders>
              <w:top w:val="single" w:sz="4" w:space="0" w:color="00B0F0"/>
            </w:tcBorders>
            <w:shd w:val="clear" w:color="auto" w:fill="auto"/>
            <w:vAlign w:val="center"/>
          </w:tcPr>
          <w:p w:rsidR="00EE1CC3" w:rsidRPr="000F1DC9" w:rsidRDefault="00EE1CC3" w:rsidP="00C31BEB">
            <w:pPr>
              <w:jc w:val="center"/>
              <w:rPr>
                <w:rFonts w:ascii="楷体_GB2312"/>
                <w:b/>
              </w:rPr>
            </w:pPr>
            <w:r w:rsidRPr="000F1DC9">
              <w:rPr>
                <w:rFonts w:ascii="楷体_GB2312" w:hint="eastAsia"/>
                <w:b/>
              </w:rPr>
              <w:t>基金类型</w:t>
            </w:r>
          </w:p>
        </w:tc>
        <w:tc>
          <w:tcPr>
            <w:tcW w:w="708" w:type="dxa"/>
            <w:tcBorders>
              <w:top w:val="single" w:sz="4" w:space="0" w:color="00B0F0"/>
            </w:tcBorders>
            <w:shd w:val="clear" w:color="auto" w:fill="auto"/>
            <w:vAlign w:val="center"/>
          </w:tcPr>
          <w:p w:rsidR="00EE1CC3" w:rsidRPr="000F1DC9" w:rsidRDefault="00EE1CC3" w:rsidP="00C31BEB">
            <w:pPr>
              <w:jc w:val="center"/>
              <w:rPr>
                <w:rFonts w:ascii="楷体_GB2312"/>
                <w:b/>
              </w:rPr>
            </w:pPr>
            <w:r w:rsidRPr="000F1DC9">
              <w:rPr>
                <w:rFonts w:ascii="楷体_GB2312" w:hint="eastAsia"/>
                <w:b/>
              </w:rPr>
              <w:t>权重</w:t>
            </w:r>
          </w:p>
        </w:tc>
      </w:tr>
      <w:tr w:rsidR="00EE1CC3" w:rsidRPr="00A86F8F"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光大配置</w:t>
            </w:r>
          </w:p>
        </w:tc>
        <w:tc>
          <w:tcPr>
            <w:tcW w:w="1645"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混合-灵活配置型</w:t>
            </w:r>
          </w:p>
        </w:tc>
        <w:tc>
          <w:tcPr>
            <w:tcW w:w="737" w:type="dxa"/>
            <w:shd w:val="clear" w:color="auto" w:fill="auto"/>
            <w:vAlign w:val="center"/>
          </w:tcPr>
          <w:p w:rsidR="00EE1CC3" w:rsidRPr="00505E91" w:rsidRDefault="00EE1CC3" w:rsidP="00C31BEB">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EE1CC3" w:rsidRPr="00505E91" w:rsidRDefault="00EE1CC3" w:rsidP="00C31BEB">
            <w:pPr>
              <w:jc w:val="center"/>
              <w:rPr>
                <w:rFonts w:ascii="楷体_GB2312"/>
                <w:szCs w:val="18"/>
              </w:rPr>
            </w:pPr>
          </w:p>
        </w:tc>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华安逆向</w:t>
            </w:r>
          </w:p>
        </w:tc>
        <w:tc>
          <w:tcPr>
            <w:tcW w:w="1674"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股票型</w:t>
            </w:r>
          </w:p>
        </w:tc>
        <w:tc>
          <w:tcPr>
            <w:tcW w:w="708" w:type="dxa"/>
            <w:shd w:val="clear" w:color="auto" w:fill="auto"/>
            <w:vAlign w:val="center"/>
          </w:tcPr>
          <w:p w:rsidR="00EE1CC3" w:rsidRPr="00505E91" w:rsidRDefault="00EE1CC3" w:rsidP="00C31BEB">
            <w:pPr>
              <w:jc w:val="center"/>
              <w:rPr>
                <w:rFonts w:ascii="楷体_GB2312" w:hAnsi="宋体"/>
                <w:bCs/>
                <w:szCs w:val="18"/>
              </w:rPr>
            </w:pPr>
            <w:r w:rsidRPr="00505E91">
              <w:rPr>
                <w:rFonts w:ascii="楷体_GB2312" w:hAnsi="宋体" w:hint="eastAsia"/>
                <w:bCs/>
                <w:szCs w:val="18"/>
              </w:rPr>
              <w:t>20%</w:t>
            </w:r>
          </w:p>
        </w:tc>
      </w:tr>
      <w:tr w:rsidR="00EE1CC3" w:rsidRPr="00A86F8F"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w:t>
            </w:r>
            <w:r w:rsidRPr="00B11AD7">
              <w:rPr>
                <w:rFonts w:ascii="楷体_GB2312" w:hAnsi="楷体" w:hint="eastAsia"/>
                <w:szCs w:val="18"/>
              </w:rPr>
              <w:t>海富通国策</w:t>
            </w:r>
          </w:p>
        </w:tc>
        <w:tc>
          <w:tcPr>
            <w:tcW w:w="1645"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EE1CC3" w:rsidRPr="00505E91" w:rsidRDefault="00EE1CC3" w:rsidP="00C31BEB">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EE1CC3" w:rsidRPr="00505E91" w:rsidRDefault="00EE1CC3" w:rsidP="00C31BEB">
            <w:pPr>
              <w:jc w:val="center"/>
              <w:rPr>
                <w:rFonts w:ascii="楷体_GB2312"/>
                <w:szCs w:val="18"/>
              </w:rPr>
            </w:pPr>
          </w:p>
        </w:tc>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富国天成</w:t>
            </w:r>
          </w:p>
        </w:tc>
        <w:tc>
          <w:tcPr>
            <w:tcW w:w="1674"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混合-灵活配置型</w:t>
            </w:r>
          </w:p>
        </w:tc>
        <w:tc>
          <w:tcPr>
            <w:tcW w:w="708" w:type="dxa"/>
            <w:shd w:val="clear" w:color="auto" w:fill="auto"/>
            <w:vAlign w:val="center"/>
          </w:tcPr>
          <w:p w:rsidR="00EE1CC3" w:rsidRPr="00505E91" w:rsidRDefault="00EE1CC3" w:rsidP="00C31BEB">
            <w:pPr>
              <w:jc w:val="center"/>
              <w:rPr>
                <w:rFonts w:ascii="楷体_GB2312" w:hAnsi="宋体"/>
                <w:bCs/>
                <w:szCs w:val="18"/>
              </w:rPr>
            </w:pPr>
            <w:r>
              <w:rPr>
                <w:rFonts w:ascii="楷体_GB2312" w:hAnsi="宋体" w:hint="eastAsia"/>
                <w:bCs/>
                <w:szCs w:val="18"/>
              </w:rPr>
              <w:t>2</w:t>
            </w:r>
            <w:r w:rsidRPr="00505E91">
              <w:rPr>
                <w:rFonts w:ascii="楷体_GB2312" w:hAnsi="宋体" w:hint="eastAsia"/>
                <w:bCs/>
                <w:szCs w:val="18"/>
              </w:rPr>
              <w:t>0%</w:t>
            </w:r>
          </w:p>
        </w:tc>
      </w:tr>
      <w:tr w:rsidR="00EE1CC3" w:rsidRPr="00A86F8F"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★大摩主题</w:t>
            </w:r>
          </w:p>
        </w:tc>
        <w:tc>
          <w:tcPr>
            <w:tcW w:w="1645"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EE1CC3" w:rsidRPr="00505E91" w:rsidRDefault="00EE1CC3" w:rsidP="00C31BEB">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EE1CC3" w:rsidRPr="00505E91" w:rsidRDefault="00EE1CC3" w:rsidP="00C31BEB">
            <w:pPr>
              <w:jc w:val="center"/>
              <w:rPr>
                <w:rFonts w:ascii="楷体_GB2312"/>
                <w:szCs w:val="18"/>
              </w:rPr>
            </w:pPr>
          </w:p>
        </w:tc>
        <w:tc>
          <w:tcPr>
            <w:tcW w:w="1190" w:type="dxa"/>
            <w:shd w:val="clear" w:color="auto" w:fill="auto"/>
            <w:vAlign w:val="center"/>
          </w:tcPr>
          <w:p w:rsidR="00EE1CC3" w:rsidRPr="00781B63" w:rsidRDefault="00EE1CC3" w:rsidP="00C31BEB">
            <w:pPr>
              <w:jc w:val="center"/>
              <w:rPr>
                <w:rFonts w:ascii="楷体_GB2312" w:hAnsi="楷体"/>
                <w:szCs w:val="18"/>
              </w:rPr>
            </w:pPr>
            <w:r>
              <w:rPr>
                <w:rFonts w:ascii="楷体_GB2312" w:hAnsi="楷体" w:hint="eastAsia"/>
                <w:szCs w:val="18"/>
              </w:rPr>
              <w:t>添富逆向</w:t>
            </w:r>
          </w:p>
        </w:tc>
        <w:tc>
          <w:tcPr>
            <w:tcW w:w="1674" w:type="dxa"/>
            <w:shd w:val="clear" w:color="auto" w:fill="auto"/>
            <w:vAlign w:val="center"/>
          </w:tcPr>
          <w:p w:rsidR="00EE1CC3" w:rsidRPr="00781B63" w:rsidRDefault="00EE1CC3" w:rsidP="00C31BEB">
            <w:pPr>
              <w:jc w:val="center"/>
              <w:rPr>
                <w:rFonts w:ascii="楷体_GB2312" w:hAnsi="楷体"/>
                <w:szCs w:val="18"/>
              </w:rPr>
            </w:pPr>
            <w:r>
              <w:rPr>
                <w:rFonts w:ascii="楷体_GB2312" w:hAnsi="楷体" w:hint="eastAsia"/>
                <w:szCs w:val="18"/>
              </w:rPr>
              <w:t>股票型</w:t>
            </w:r>
          </w:p>
        </w:tc>
        <w:tc>
          <w:tcPr>
            <w:tcW w:w="708" w:type="dxa"/>
            <w:shd w:val="clear" w:color="auto" w:fill="auto"/>
            <w:vAlign w:val="center"/>
          </w:tcPr>
          <w:p w:rsidR="00EE1CC3" w:rsidRPr="00505E91" w:rsidRDefault="00EE1CC3" w:rsidP="00C31BEB">
            <w:pPr>
              <w:jc w:val="center"/>
              <w:rPr>
                <w:rFonts w:ascii="楷体_GB2312" w:hAnsi="宋体"/>
                <w:bCs/>
                <w:szCs w:val="18"/>
              </w:rPr>
            </w:pPr>
            <w:r w:rsidRPr="00505E91">
              <w:rPr>
                <w:rFonts w:ascii="楷体_GB2312" w:hAnsi="宋体" w:hint="eastAsia"/>
                <w:bCs/>
                <w:szCs w:val="18"/>
              </w:rPr>
              <w:t>20%</w:t>
            </w:r>
          </w:p>
        </w:tc>
      </w:tr>
      <w:tr w:rsidR="00EE1CC3" w:rsidRPr="00A86F8F"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Pr>
                <w:rFonts w:ascii="楷体_GB2312" w:hAnsi="楷体" w:hint="eastAsia"/>
                <w:szCs w:val="18"/>
              </w:rPr>
              <w:t>宝盈策略</w:t>
            </w:r>
          </w:p>
        </w:tc>
        <w:tc>
          <w:tcPr>
            <w:tcW w:w="1645"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EE1CC3" w:rsidRPr="00505E91" w:rsidRDefault="00EE1CC3" w:rsidP="00C31BEB">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EE1CC3" w:rsidRPr="00505E91" w:rsidRDefault="00EE1CC3" w:rsidP="00C31BEB">
            <w:pPr>
              <w:jc w:val="center"/>
              <w:rPr>
                <w:rFonts w:ascii="楷体_GB2312"/>
                <w:szCs w:val="18"/>
              </w:rPr>
            </w:pPr>
          </w:p>
        </w:tc>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招商收益</w:t>
            </w:r>
          </w:p>
        </w:tc>
        <w:tc>
          <w:tcPr>
            <w:tcW w:w="1674"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债券</w:t>
            </w:r>
            <w:r w:rsidRPr="00781B63">
              <w:rPr>
                <w:rFonts w:ascii="楷体_GB2312" w:hAnsi="楷体"/>
                <w:szCs w:val="18"/>
              </w:rPr>
              <w:t>-</w:t>
            </w:r>
            <w:r w:rsidRPr="00781B63">
              <w:rPr>
                <w:rFonts w:ascii="楷体_GB2312" w:hAnsi="楷体" w:hint="eastAsia"/>
                <w:szCs w:val="18"/>
              </w:rPr>
              <w:t>新股申购型</w:t>
            </w:r>
          </w:p>
        </w:tc>
        <w:tc>
          <w:tcPr>
            <w:tcW w:w="708" w:type="dxa"/>
            <w:shd w:val="clear" w:color="auto" w:fill="auto"/>
            <w:vAlign w:val="center"/>
          </w:tcPr>
          <w:p w:rsidR="00EE1CC3" w:rsidRPr="00505E91" w:rsidRDefault="00EE1CC3" w:rsidP="00C31BEB">
            <w:pPr>
              <w:jc w:val="center"/>
              <w:rPr>
                <w:rFonts w:ascii="楷体_GB2312" w:hAnsi="宋体"/>
                <w:bCs/>
                <w:szCs w:val="18"/>
              </w:rPr>
            </w:pPr>
            <w:r w:rsidRPr="00505E91">
              <w:rPr>
                <w:rFonts w:ascii="楷体_GB2312" w:hAnsi="宋体" w:hint="eastAsia"/>
                <w:bCs/>
                <w:szCs w:val="18"/>
              </w:rPr>
              <w:t>20%</w:t>
            </w:r>
          </w:p>
        </w:tc>
      </w:tr>
      <w:tr w:rsidR="00EE1CC3" w:rsidRPr="00A86F8F"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招商大盘</w:t>
            </w:r>
          </w:p>
        </w:tc>
        <w:tc>
          <w:tcPr>
            <w:tcW w:w="1645"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股票型</w:t>
            </w:r>
          </w:p>
        </w:tc>
        <w:tc>
          <w:tcPr>
            <w:tcW w:w="737" w:type="dxa"/>
            <w:shd w:val="clear" w:color="auto" w:fill="auto"/>
            <w:vAlign w:val="center"/>
          </w:tcPr>
          <w:p w:rsidR="00EE1CC3" w:rsidRPr="00505E91" w:rsidRDefault="00EE1CC3" w:rsidP="00C31BEB">
            <w:pPr>
              <w:jc w:val="center"/>
              <w:rPr>
                <w:rFonts w:ascii="楷体_GB2312" w:hAnsi="宋体"/>
                <w:szCs w:val="18"/>
              </w:rPr>
            </w:pPr>
            <w:r w:rsidRPr="00505E91">
              <w:rPr>
                <w:rFonts w:ascii="楷体_GB2312" w:hAnsi="宋体" w:hint="eastAsia"/>
                <w:szCs w:val="18"/>
              </w:rPr>
              <w:t>20%</w:t>
            </w:r>
          </w:p>
        </w:tc>
        <w:tc>
          <w:tcPr>
            <w:tcW w:w="227" w:type="dxa"/>
            <w:vMerge/>
            <w:shd w:val="clear" w:color="auto" w:fill="auto"/>
            <w:vAlign w:val="center"/>
          </w:tcPr>
          <w:p w:rsidR="00EE1CC3" w:rsidRPr="00505E91" w:rsidRDefault="00EE1CC3" w:rsidP="00C31BEB">
            <w:pPr>
              <w:jc w:val="center"/>
              <w:rPr>
                <w:rFonts w:ascii="楷体_GB2312"/>
                <w:szCs w:val="18"/>
              </w:rPr>
            </w:pPr>
          </w:p>
        </w:tc>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南方多利</w:t>
            </w:r>
          </w:p>
        </w:tc>
        <w:tc>
          <w:tcPr>
            <w:tcW w:w="1674"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债券</w:t>
            </w:r>
            <w:r w:rsidRPr="00781B63">
              <w:rPr>
                <w:rFonts w:ascii="楷体_GB2312" w:hAnsi="楷体"/>
                <w:szCs w:val="18"/>
              </w:rPr>
              <w:t>-</w:t>
            </w:r>
            <w:r w:rsidRPr="00781B63">
              <w:rPr>
                <w:rFonts w:ascii="楷体_GB2312" w:hAnsi="楷体" w:hint="eastAsia"/>
                <w:szCs w:val="18"/>
              </w:rPr>
              <w:t>新股申购型</w:t>
            </w:r>
          </w:p>
        </w:tc>
        <w:tc>
          <w:tcPr>
            <w:tcW w:w="708" w:type="dxa"/>
            <w:shd w:val="clear" w:color="auto" w:fill="auto"/>
            <w:vAlign w:val="center"/>
          </w:tcPr>
          <w:p w:rsidR="00EE1CC3" w:rsidRPr="00505E91" w:rsidRDefault="00EE1CC3" w:rsidP="00C31BEB">
            <w:pPr>
              <w:jc w:val="center"/>
              <w:rPr>
                <w:rFonts w:ascii="楷体_GB2312" w:hAnsi="宋体"/>
                <w:bCs/>
                <w:szCs w:val="18"/>
              </w:rPr>
            </w:pPr>
            <w:r>
              <w:rPr>
                <w:rFonts w:ascii="楷体_GB2312" w:hAnsi="宋体" w:hint="eastAsia"/>
                <w:bCs/>
                <w:szCs w:val="18"/>
              </w:rPr>
              <w:t>2</w:t>
            </w:r>
            <w:r w:rsidRPr="00505E91">
              <w:rPr>
                <w:rFonts w:ascii="楷体_GB2312" w:hAnsi="宋体" w:hint="eastAsia"/>
                <w:bCs/>
                <w:szCs w:val="18"/>
              </w:rPr>
              <w:t>0%</w:t>
            </w:r>
          </w:p>
        </w:tc>
      </w:tr>
    </w:tbl>
    <w:p w:rsidR="00EE1CC3" w:rsidRPr="00A86F8F" w:rsidRDefault="00EE1CC3" w:rsidP="00EE1CC3">
      <w:pPr>
        <w:pStyle w:val="FootnoteNoline"/>
        <w:spacing w:before="0" w:after="0"/>
        <w:rPr>
          <w:color w:val="auto"/>
          <w:sz w:val="10"/>
          <w:szCs w:val="10"/>
        </w:rPr>
      </w:pPr>
    </w:p>
    <w:tbl>
      <w:tblPr>
        <w:tblW w:w="7371" w:type="dxa"/>
        <w:tblInd w:w="3402"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190"/>
        <w:gridCol w:w="1645"/>
        <w:gridCol w:w="737"/>
        <w:gridCol w:w="227"/>
        <w:gridCol w:w="1190"/>
        <w:gridCol w:w="1674"/>
        <w:gridCol w:w="708"/>
      </w:tblGrid>
      <w:tr w:rsidR="00EE1CC3" w:rsidRPr="00A86F8F" w:rsidTr="00C31BEB">
        <w:trPr>
          <w:cantSplit/>
          <w:trHeight w:val="200"/>
        </w:trPr>
        <w:tc>
          <w:tcPr>
            <w:tcW w:w="3572" w:type="dxa"/>
            <w:gridSpan w:val="3"/>
            <w:shd w:val="clear" w:color="auto" w:fill="auto"/>
          </w:tcPr>
          <w:p w:rsidR="00EE1CC3" w:rsidRPr="00A86F8F" w:rsidRDefault="00EE1CC3" w:rsidP="00C31BEB">
            <w:pPr>
              <w:pStyle w:val="SubTitleLargeTable"/>
              <w:rPr>
                <w:color w:val="auto"/>
                <w:lang w:val="en-US"/>
              </w:rPr>
            </w:pPr>
            <w:r w:rsidRPr="00A86F8F">
              <w:rPr>
                <w:rFonts w:hint="eastAsia"/>
                <w:color w:val="auto"/>
                <w:lang w:val="en-US"/>
              </w:rPr>
              <w:t>灵活配置组合</w:t>
            </w:r>
          </w:p>
        </w:tc>
        <w:tc>
          <w:tcPr>
            <w:tcW w:w="227" w:type="dxa"/>
            <w:shd w:val="clear" w:color="auto" w:fill="auto"/>
          </w:tcPr>
          <w:p w:rsidR="00EE1CC3" w:rsidRPr="00816267" w:rsidRDefault="00EE1CC3" w:rsidP="00C31BEB">
            <w:pPr>
              <w:pStyle w:val="a0"/>
              <w:spacing w:after="0" w:line="10" w:lineRule="atLeast"/>
              <w:ind w:left="0"/>
              <w:jc w:val="center"/>
              <w:rPr>
                <w:rFonts w:cs="Arial"/>
                <w:color w:val="auto"/>
              </w:rPr>
            </w:pPr>
          </w:p>
        </w:tc>
        <w:tc>
          <w:tcPr>
            <w:tcW w:w="3572" w:type="dxa"/>
            <w:gridSpan w:val="3"/>
            <w:shd w:val="clear" w:color="auto" w:fill="auto"/>
          </w:tcPr>
          <w:p w:rsidR="00EE1CC3" w:rsidRPr="00A86F8F" w:rsidRDefault="00EE1CC3" w:rsidP="00C31BEB">
            <w:pPr>
              <w:pStyle w:val="SubTitleLargeTable"/>
              <w:rPr>
                <w:color w:val="auto"/>
                <w:lang w:val="en-US"/>
              </w:rPr>
            </w:pPr>
          </w:p>
        </w:tc>
      </w:tr>
      <w:tr w:rsidR="00EE1CC3" w:rsidRPr="00A86F8F" w:rsidTr="00C31BEB">
        <w:trPr>
          <w:cantSplit/>
          <w:trHeight w:val="340"/>
        </w:trPr>
        <w:tc>
          <w:tcPr>
            <w:tcW w:w="1190" w:type="dxa"/>
            <w:tcBorders>
              <w:bottom w:val="single" w:sz="4" w:space="0" w:color="00B0F0"/>
            </w:tcBorders>
            <w:shd w:val="clear" w:color="auto" w:fill="auto"/>
            <w:vAlign w:val="center"/>
          </w:tcPr>
          <w:p w:rsidR="00EE1CC3" w:rsidRPr="00113ECA" w:rsidRDefault="00EE1CC3" w:rsidP="00C31BEB">
            <w:pPr>
              <w:jc w:val="center"/>
              <w:rPr>
                <w:rFonts w:ascii="楷体_GB2312"/>
                <w:b/>
              </w:rPr>
            </w:pPr>
            <w:r w:rsidRPr="00113ECA">
              <w:rPr>
                <w:rFonts w:ascii="楷体_GB2312" w:hint="eastAsia"/>
                <w:b/>
              </w:rPr>
              <w:t>基金名称</w:t>
            </w:r>
          </w:p>
        </w:tc>
        <w:tc>
          <w:tcPr>
            <w:tcW w:w="1645" w:type="dxa"/>
            <w:tcBorders>
              <w:bottom w:val="single" w:sz="4" w:space="0" w:color="00B0F0"/>
            </w:tcBorders>
            <w:shd w:val="clear" w:color="auto" w:fill="auto"/>
            <w:vAlign w:val="center"/>
          </w:tcPr>
          <w:p w:rsidR="00EE1CC3" w:rsidRPr="00113ECA" w:rsidRDefault="00EE1CC3" w:rsidP="00C31BEB">
            <w:pPr>
              <w:jc w:val="center"/>
              <w:rPr>
                <w:rFonts w:ascii="楷体_GB2312"/>
                <w:b/>
              </w:rPr>
            </w:pPr>
            <w:r w:rsidRPr="00113ECA">
              <w:rPr>
                <w:rFonts w:ascii="楷体_GB2312" w:hint="eastAsia"/>
                <w:b/>
              </w:rPr>
              <w:t>基金类型</w:t>
            </w:r>
          </w:p>
        </w:tc>
        <w:tc>
          <w:tcPr>
            <w:tcW w:w="737" w:type="dxa"/>
            <w:tcBorders>
              <w:bottom w:val="single" w:sz="4" w:space="0" w:color="00B0F0"/>
            </w:tcBorders>
            <w:shd w:val="clear" w:color="auto" w:fill="auto"/>
            <w:vAlign w:val="center"/>
          </w:tcPr>
          <w:p w:rsidR="00EE1CC3" w:rsidRPr="00113ECA" w:rsidRDefault="00EE1CC3" w:rsidP="00C31BEB">
            <w:pPr>
              <w:jc w:val="center"/>
              <w:rPr>
                <w:rFonts w:ascii="楷体_GB2312"/>
                <w:b/>
              </w:rPr>
            </w:pPr>
            <w:r w:rsidRPr="00113ECA">
              <w:rPr>
                <w:rFonts w:ascii="楷体_GB2312" w:hint="eastAsia"/>
                <w:b/>
              </w:rPr>
              <w:t>权重</w:t>
            </w:r>
          </w:p>
        </w:tc>
        <w:tc>
          <w:tcPr>
            <w:tcW w:w="227" w:type="dxa"/>
            <w:vMerge w:val="restart"/>
            <w:tcBorders>
              <w:bottom w:val="single" w:sz="4" w:space="0" w:color="00B0F0"/>
            </w:tcBorders>
            <w:shd w:val="clear" w:color="auto" w:fill="auto"/>
            <w:vAlign w:val="center"/>
          </w:tcPr>
          <w:p w:rsidR="00EE1CC3" w:rsidRPr="00113ECA" w:rsidRDefault="00EE1CC3" w:rsidP="00C31BEB">
            <w:pPr>
              <w:jc w:val="center"/>
              <w:rPr>
                <w:rFonts w:ascii="楷体_GB2312"/>
              </w:rPr>
            </w:pPr>
          </w:p>
        </w:tc>
        <w:tc>
          <w:tcPr>
            <w:tcW w:w="1190" w:type="dxa"/>
            <w:tcBorders>
              <w:bottom w:val="single" w:sz="4" w:space="0" w:color="00B0F0"/>
            </w:tcBorders>
            <w:shd w:val="clear" w:color="auto" w:fill="auto"/>
            <w:vAlign w:val="center"/>
          </w:tcPr>
          <w:p w:rsidR="00EE1CC3" w:rsidRPr="00113ECA" w:rsidRDefault="00EE1CC3" w:rsidP="00C31BEB">
            <w:pPr>
              <w:jc w:val="center"/>
              <w:rPr>
                <w:rFonts w:ascii="楷体_GB2312"/>
                <w:b/>
              </w:rPr>
            </w:pPr>
          </w:p>
        </w:tc>
        <w:tc>
          <w:tcPr>
            <w:tcW w:w="1674" w:type="dxa"/>
            <w:tcBorders>
              <w:bottom w:val="single" w:sz="4" w:space="0" w:color="00B0F0"/>
            </w:tcBorders>
            <w:shd w:val="clear" w:color="auto" w:fill="auto"/>
            <w:vAlign w:val="center"/>
          </w:tcPr>
          <w:p w:rsidR="00EE1CC3" w:rsidRPr="00113ECA" w:rsidRDefault="00EE1CC3" w:rsidP="00C31BEB">
            <w:pPr>
              <w:jc w:val="center"/>
              <w:rPr>
                <w:rFonts w:ascii="楷体_GB2312"/>
                <w:b/>
              </w:rPr>
            </w:pPr>
          </w:p>
        </w:tc>
        <w:tc>
          <w:tcPr>
            <w:tcW w:w="708" w:type="dxa"/>
            <w:tcBorders>
              <w:bottom w:val="single" w:sz="4" w:space="0" w:color="00B0F0"/>
            </w:tcBorders>
            <w:shd w:val="clear" w:color="auto" w:fill="auto"/>
            <w:vAlign w:val="center"/>
          </w:tcPr>
          <w:p w:rsidR="00EE1CC3" w:rsidRPr="00113ECA" w:rsidRDefault="00EE1CC3" w:rsidP="00C31BEB">
            <w:pPr>
              <w:jc w:val="center"/>
              <w:rPr>
                <w:rFonts w:ascii="楷体_GB2312"/>
                <w:b/>
              </w:rPr>
            </w:pPr>
          </w:p>
        </w:tc>
      </w:tr>
      <w:tr w:rsidR="00EE1CC3" w:rsidRPr="00734C71"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Pr>
                <w:rFonts w:ascii="楷体_GB2312" w:hAnsi="楷体" w:hint="eastAsia"/>
                <w:szCs w:val="18"/>
              </w:rPr>
              <w:t>添富逆向</w:t>
            </w:r>
          </w:p>
        </w:tc>
        <w:tc>
          <w:tcPr>
            <w:tcW w:w="1645" w:type="dxa"/>
            <w:shd w:val="clear" w:color="auto" w:fill="auto"/>
            <w:vAlign w:val="center"/>
          </w:tcPr>
          <w:p w:rsidR="00EE1CC3" w:rsidRPr="00781B63" w:rsidRDefault="00EE1CC3" w:rsidP="00C31BEB">
            <w:pPr>
              <w:jc w:val="center"/>
              <w:rPr>
                <w:rFonts w:ascii="楷体_GB2312" w:hAnsi="楷体"/>
                <w:szCs w:val="18"/>
              </w:rPr>
            </w:pPr>
            <w:r>
              <w:rPr>
                <w:rFonts w:ascii="楷体_GB2312" w:hAnsi="楷体" w:hint="eastAsia"/>
                <w:szCs w:val="18"/>
              </w:rPr>
              <w:t>股票型</w:t>
            </w:r>
          </w:p>
        </w:tc>
        <w:tc>
          <w:tcPr>
            <w:tcW w:w="737" w:type="dxa"/>
            <w:shd w:val="clear" w:color="auto" w:fill="auto"/>
            <w:vAlign w:val="center"/>
          </w:tcPr>
          <w:p w:rsidR="00EE1CC3" w:rsidRPr="005C22FD" w:rsidRDefault="001748BC" w:rsidP="00C31BEB">
            <w:pPr>
              <w:jc w:val="center"/>
              <w:rPr>
                <w:rFonts w:ascii="楷体_GB2312" w:hAnsi="宋体"/>
                <w:szCs w:val="18"/>
              </w:rPr>
            </w:pPr>
            <w:r>
              <w:rPr>
                <w:rFonts w:ascii="楷体_GB2312" w:hAnsi="宋体" w:hint="eastAsia"/>
                <w:szCs w:val="18"/>
              </w:rPr>
              <w:t>25</w:t>
            </w:r>
            <w:r w:rsidR="00EE1CC3" w:rsidRPr="005C22FD">
              <w:rPr>
                <w:rFonts w:ascii="楷体_GB2312" w:hAnsi="宋体" w:hint="eastAsia"/>
                <w:szCs w:val="18"/>
              </w:rPr>
              <w:t>%</w:t>
            </w:r>
          </w:p>
        </w:tc>
        <w:tc>
          <w:tcPr>
            <w:tcW w:w="227" w:type="dxa"/>
            <w:vMerge/>
            <w:shd w:val="clear" w:color="auto" w:fill="auto"/>
            <w:vAlign w:val="center"/>
          </w:tcPr>
          <w:p w:rsidR="00EE1CC3" w:rsidRPr="005C22FD" w:rsidRDefault="00EE1CC3" w:rsidP="00C31BEB">
            <w:pPr>
              <w:jc w:val="center"/>
              <w:rPr>
                <w:rFonts w:ascii="楷体_GB2312" w:hAnsi="宋体"/>
                <w:szCs w:val="18"/>
              </w:rPr>
            </w:pPr>
          </w:p>
        </w:tc>
        <w:tc>
          <w:tcPr>
            <w:tcW w:w="1190" w:type="dxa"/>
            <w:shd w:val="clear" w:color="auto" w:fill="auto"/>
            <w:vAlign w:val="center"/>
          </w:tcPr>
          <w:p w:rsidR="00EE1CC3" w:rsidRPr="005C22FD" w:rsidRDefault="00EE1CC3" w:rsidP="00C31BEB">
            <w:pPr>
              <w:jc w:val="center"/>
              <w:rPr>
                <w:rFonts w:ascii="楷体_GB2312" w:hAnsi="宋体"/>
                <w:szCs w:val="18"/>
              </w:rPr>
            </w:pPr>
          </w:p>
        </w:tc>
        <w:tc>
          <w:tcPr>
            <w:tcW w:w="1674" w:type="dxa"/>
            <w:shd w:val="clear" w:color="auto" w:fill="auto"/>
            <w:vAlign w:val="center"/>
          </w:tcPr>
          <w:p w:rsidR="00EE1CC3" w:rsidRPr="005C22FD" w:rsidRDefault="00EE1CC3" w:rsidP="00C31BEB">
            <w:pPr>
              <w:jc w:val="center"/>
              <w:rPr>
                <w:rFonts w:ascii="楷体_GB2312" w:hAnsi="宋体"/>
                <w:szCs w:val="18"/>
              </w:rPr>
            </w:pPr>
          </w:p>
        </w:tc>
        <w:tc>
          <w:tcPr>
            <w:tcW w:w="708" w:type="dxa"/>
            <w:shd w:val="clear" w:color="auto" w:fill="auto"/>
            <w:vAlign w:val="center"/>
          </w:tcPr>
          <w:p w:rsidR="00EE1CC3" w:rsidRPr="005C22FD" w:rsidRDefault="00EE1CC3" w:rsidP="00C31BEB">
            <w:pPr>
              <w:jc w:val="center"/>
              <w:rPr>
                <w:rFonts w:ascii="楷体_GB2312" w:hAnsi="宋体"/>
                <w:szCs w:val="18"/>
              </w:rPr>
            </w:pPr>
          </w:p>
        </w:tc>
      </w:tr>
      <w:tr w:rsidR="00EE1CC3" w:rsidRPr="00734C71"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工银双利</w:t>
            </w:r>
          </w:p>
        </w:tc>
        <w:tc>
          <w:tcPr>
            <w:tcW w:w="1645"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债券-普通债券型</w:t>
            </w:r>
          </w:p>
        </w:tc>
        <w:tc>
          <w:tcPr>
            <w:tcW w:w="737" w:type="dxa"/>
            <w:shd w:val="clear" w:color="auto" w:fill="auto"/>
            <w:vAlign w:val="center"/>
          </w:tcPr>
          <w:p w:rsidR="00EE1CC3" w:rsidRPr="005C22FD" w:rsidRDefault="001748BC" w:rsidP="00C31BEB">
            <w:pPr>
              <w:jc w:val="center"/>
              <w:rPr>
                <w:rFonts w:ascii="楷体_GB2312" w:hAnsi="宋体"/>
                <w:szCs w:val="18"/>
              </w:rPr>
            </w:pPr>
            <w:r>
              <w:rPr>
                <w:rFonts w:ascii="楷体_GB2312" w:hAnsi="宋体" w:hint="eastAsia"/>
                <w:szCs w:val="18"/>
              </w:rPr>
              <w:t>25</w:t>
            </w:r>
            <w:r w:rsidR="00EE1CC3" w:rsidRPr="005C22FD">
              <w:rPr>
                <w:rFonts w:ascii="楷体_GB2312" w:hAnsi="宋体" w:hint="eastAsia"/>
                <w:szCs w:val="18"/>
              </w:rPr>
              <w:t>%</w:t>
            </w:r>
          </w:p>
        </w:tc>
        <w:tc>
          <w:tcPr>
            <w:tcW w:w="227" w:type="dxa"/>
            <w:vMerge/>
            <w:shd w:val="clear" w:color="auto" w:fill="auto"/>
            <w:vAlign w:val="center"/>
          </w:tcPr>
          <w:p w:rsidR="00EE1CC3" w:rsidRPr="005C22FD" w:rsidRDefault="00EE1CC3" w:rsidP="00C31BEB">
            <w:pPr>
              <w:jc w:val="center"/>
              <w:rPr>
                <w:rFonts w:ascii="楷体_GB2312" w:hAnsi="宋体"/>
                <w:szCs w:val="18"/>
              </w:rPr>
            </w:pPr>
          </w:p>
        </w:tc>
        <w:tc>
          <w:tcPr>
            <w:tcW w:w="1190" w:type="dxa"/>
            <w:shd w:val="clear" w:color="auto" w:fill="auto"/>
            <w:vAlign w:val="center"/>
          </w:tcPr>
          <w:p w:rsidR="00EE1CC3" w:rsidRPr="005C22FD" w:rsidRDefault="00EE1CC3" w:rsidP="00C31BEB">
            <w:pPr>
              <w:jc w:val="center"/>
              <w:rPr>
                <w:rFonts w:ascii="楷体_GB2312" w:hAnsi="宋体"/>
                <w:szCs w:val="18"/>
              </w:rPr>
            </w:pPr>
          </w:p>
        </w:tc>
        <w:tc>
          <w:tcPr>
            <w:tcW w:w="1674" w:type="dxa"/>
            <w:shd w:val="clear" w:color="auto" w:fill="auto"/>
            <w:vAlign w:val="center"/>
          </w:tcPr>
          <w:p w:rsidR="00EE1CC3" w:rsidRPr="005C22FD" w:rsidRDefault="00EE1CC3" w:rsidP="00C31BEB">
            <w:pPr>
              <w:jc w:val="center"/>
              <w:rPr>
                <w:rFonts w:ascii="楷体_GB2312" w:hAnsi="宋体"/>
                <w:szCs w:val="18"/>
              </w:rPr>
            </w:pPr>
          </w:p>
        </w:tc>
        <w:tc>
          <w:tcPr>
            <w:tcW w:w="708" w:type="dxa"/>
            <w:shd w:val="clear" w:color="auto" w:fill="auto"/>
            <w:vAlign w:val="center"/>
          </w:tcPr>
          <w:p w:rsidR="00EE1CC3" w:rsidRPr="005C22FD" w:rsidRDefault="00EE1CC3" w:rsidP="00C31BEB">
            <w:pPr>
              <w:jc w:val="center"/>
              <w:rPr>
                <w:rFonts w:ascii="楷体_GB2312" w:hAnsi="宋体"/>
                <w:szCs w:val="18"/>
              </w:rPr>
            </w:pPr>
          </w:p>
        </w:tc>
      </w:tr>
      <w:tr w:rsidR="00EE1CC3" w:rsidRPr="00734C71"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建信双息红利</w:t>
            </w:r>
          </w:p>
        </w:tc>
        <w:tc>
          <w:tcPr>
            <w:tcW w:w="1645" w:type="dxa"/>
            <w:shd w:val="clear" w:color="auto" w:fill="auto"/>
            <w:vAlign w:val="center"/>
          </w:tcPr>
          <w:p w:rsidR="00EE1CC3" w:rsidRPr="00781B63" w:rsidRDefault="00EE1CC3" w:rsidP="00C31BEB">
            <w:pPr>
              <w:jc w:val="center"/>
              <w:rPr>
                <w:rFonts w:ascii="楷体_GB2312" w:hAnsi="楷体"/>
                <w:szCs w:val="18"/>
              </w:rPr>
            </w:pPr>
            <w:r w:rsidRPr="00781B63">
              <w:rPr>
                <w:rFonts w:ascii="楷体_GB2312" w:hAnsi="楷体" w:hint="eastAsia"/>
                <w:szCs w:val="18"/>
              </w:rPr>
              <w:t>债券-普通债券型</w:t>
            </w:r>
          </w:p>
        </w:tc>
        <w:tc>
          <w:tcPr>
            <w:tcW w:w="737" w:type="dxa"/>
            <w:shd w:val="clear" w:color="auto" w:fill="auto"/>
            <w:vAlign w:val="center"/>
          </w:tcPr>
          <w:p w:rsidR="00EE1CC3" w:rsidRPr="00BD7B57" w:rsidRDefault="001748BC" w:rsidP="00C31BEB">
            <w:pPr>
              <w:jc w:val="center"/>
              <w:rPr>
                <w:rFonts w:ascii="楷体_GB2312" w:hAnsi="宋体"/>
                <w:szCs w:val="18"/>
              </w:rPr>
            </w:pPr>
            <w:r>
              <w:rPr>
                <w:rFonts w:ascii="楷体_GB2312" w:hAnsi="宋体" w:hint="eastAsia"/>
                <w:szCs w:val="18"/>
              </w:rPr>
              <w:t>25</w:t>
            </w:r>
            <w:r w:rsidR="00EE1CC3">
              <w:rPr>
                <w:rFonts w:ascii="楷体_GB2312" w:hAnsi="宋体" w:hint="eastAsia"/>
                <w:szCs w:val="18"/>
              </w:rPr>
              <w:t>%</w:t>
            </w:r>
          </w:p>
        </w:tc>
        <w:tc>
          <w:tcPr>
            <w:tcW w:w="227" w:type="dxa"/>
            <w:vMerge/>
            <w:shd w:val="clear" w:color="auto" w:fill="auto"/>
            <w:vAlign w:val="center"/>
          </w:tcPr>
          <w:p w:rsidR="00EE1CC3" w:rsidRPr="005C22FD" w:rsidRDefault="00EE1CC3" w:rsidP="00C31BEB">
            <w:pPr>
              <w:jc w:val="center"/>
              <w:rPr>
                <w:rFonts w:ascii="楷体_GB2312" w:hAnsi="宋体"/>
                <w:szCs w:val="18"/>
              </w:rPr>
            </w:pPr>
          </w:p>
        </w:tc>
        <w:tc>
          <w:tcPr>
            <w:tcW w:w="1190" w:type="dxa"/>
            <w:shd w:val="clear" w:color="auto" w:fill="auto"/>
            <w:vAlign w:val="center"/>
          </w:tcPr>
          <w:p w:rsidR="00EE1CC3" w:rsidRPr="005C22FD" w:rsidRDefault="00EE1CC3" w:rsidP="00C31BEB">
            <w:pPr>
              <w:jc w:val="center"/>
              <w:rPr>
                <w:rFonts w:ascii="楷体_GB2312" w:hAnsi="宋体"/>
                <w:szCs w:val="18"/>
              </w:rPr>
            </w:pPr>
          </w:p>
        </w:tc>
        <w:tc>
          <w:tcPr>
            <w:tcW w:w="1674" w:type="dxa"/>
            <w:shd w:val="clear" w:color="auto" w:fill="auto"/>
            <w:vAlign w:val="center"/>
          </w:tcPr>
          <w:p w:rsidR="00EE1CC3" w:rsidRPr="005C22FD" w:rsidRDefault="00EE1CC3" w:rsidP="00C31BEB">
            <w:pPr>
              <w:jc w:val="center"/>
              <w:rPr>
                <w:rFonts w:ascii="楷体_GB2312" w:hAnsi="宋体"/>
                <w:szCs w:val="18"/>
              </w:rPr>
            </w:pPr>
          </w:p>
        </w:tc>
        <w:tc>
          <w:tcPr>
            <w:tcW w:w="708" w:type="dxa"/>
            <w:shd w:val="clear" w:color="auto" w:fill="auto"/>
            <w:vAlign w:val="center"/>
          </w:tcPr>
          <w:p w:rsidR="00EE1CC3" w:rsidRPr="005C22FD" w:rsidRDefault="00EE1CC3" w:rsidP="00C31BEB">
            <w:pPr>
              <w:jc w:val="center"/>
              <w:rPr>
                <w:rFonts w:ascii="楷体_GB2312" w:hAnsi="宋体"/>
                <w:szCs w:val="18"/>
              </w:rPr>
            </w:pPr>
          </w:p>
        </w:tc>
      </w:tr>
      <w:tr w:rsidR="00EE1CC3" w:rsidRPr="00734C71" w:rsidTr="00C31BEB">
        <w:trPr>
          <w:cantSplit/>
          <w:trHeight w:val="340"/>
        </w:trPr>
        <w:tc>
          <w:tcPr>
            <w:tcW w:w="1190" w:type="dxa"/>
            <w:shd w:val="clear" w:color="auto" w:fill="auto"/>
            <w:vAlign w:val="center"/>
          </w:tcPr>
          <w:p w:rsidR="00EE1CC3" w:rsidRPr="00781B63" w:rsidRDefault="00EE1CC3" w:rsidP="00C31BEB">
            <w:pPr>
              <w:jc w:val="center"/>
              <w:rPr>
                <w:rFonts w:ascii="楷体_GB2312" w:hAnsi="楷体"/>
                <w:szCs w:val="18"/>
              </w:rPr>
            </w:pPr>
            <w:r>
              <w:rPr>
                <w:rFonts w:ascii="楷体_GB2312" w:hAnsi="楷体" w:hint="eastAsia"/>
                <w:szCs w:val="18"/>
              </w:rPr>
              <w:t>长盛电子信息</w:t>
            </w:r>
          </w:p>
        </w:tc>
        <w:tc>
          <w:tcPr>
            <w:tcW w:w="1645" w:type="dxa"/>
            <w:shd w:val="clear" w:color="auto" w:fill="auto"/>
            <w:vAlign w:val="center"/>
          </w:tcPr>
          <w:p w:rsidR="00EE1CC3" w:rsidRPr="00781B63" w:rsidRDefault="00EE1CC3" w:rsidP="00C31BEB">
            <w:pPr>
              <w:jc w:val="center"/>
              <w:rPr>
                <w:rFonts w:ascii="楷体_GB2312" w:hAnsi="楷体"/>
                <w:szCs w:val="18"/>
              </w:rPr>
            </w:pPr>
            <w:r>
              <w:rPr>
                <w:rFonts w:ascii="楷体_GB2312" w:hAnsi="楷体" w:hint="eastAsia"/>
                <w:szCs w:val="18"/>
              </w:rPr>
              <w:t>股票型</w:t>
            </w:r>
          </w:p>
        </w:tc>
        <w:tc>
          <w:tcPr>
            <w:tcW w:w="737" w:type="dxa"/>
            <w:shd w:val="clear" w:color="auto" w:fill="auto"/>
            <w:vAlign w:val="center"/>
          </w:tcPr>
          <w:p w:rsidR="00EE1CC3" w:rsidRDefault="001748BC" w:rsidP="00C31BEB">
            <w:pPr>
              <w:jc w:val="center"/>
            </w:pPr>
            <w:r>
              <w:rPr>
                <w:rFonts w:ascii="楷体_GB2312" w:hAnsi="宋体" w:hint="eastAsia"/>
                <w:bCs/>
                <w:szCs w:val="18"/>
              </w:rPr>
              <w:t>25</w:t>
            </w:r>
            <w:r w:rsidR="00EE1CC3" w:rsidRPr="0021406B">
              <w:rPr>
                <w:rFonts w:ascii="楷体_GB2312" w:hAnsi="宋体" w:hint="eastAsia"/>
                <w:bCs/>
                <w:szCs w:val="18"/>
              </w:rPr>
              <w:t>%</w:t>
            </w:r>
          </w:p>
        </w:tc>
        <w:tc>
          <w:tcPr>
            <w:tcW w:w="227" w:type="dxa"/>
            <w:vMerge/>
            <w:shd w:val="clear" w:color="auto" w:fill="auto"/>
            <w:vAlign w:val="center"/>
          </w:tcPr>
          <w:p w:rsidR="00EE1CC3" w:rsidRPr="00734C71" w:rsidRDefault="00EE1CC3" w:rsidP="00C31BEB">
            <w:pPr>
              <w:jc w:val="center"/>
              <w:rPr>
                <w:rFonts w:ascii="楷体_GB2312" w:hAnsi="宋体"/>
                <w:bCs/>
                <w:szCs w:val="18"/>
              </w:rPr>
            </w:pPr>
          </w:p>
        </w:tc>
        <w:tc>
          <w:tcPr>
            <w:tcW w:w="1190" w:type="dxa"/>
            <w:shd w:val="clear" w:color="auto" w:fill="auto"/>
            <w:vAlign w:val="center"/>
          </w:tcPr>
          <w:p w:rsidR="00EE1CC3" w:rsidRPr="00734C71" w:rsidRDefault="00EE1CC3" w:rsidP="00C31BEB">
            <w:pPr>
              <w:jc w:val="center"/>
              <w:rPr>
                <w:rFonts w:ascii="楷体_GB2312" w:hAnsi="宋体"/>
                <w:bCs/>
                <w:szCs w:val="18"/>
              </w:rPr>
            </w:pPr>
          </w:p>
        </w:tc>
        <w:tc>
          <w:tcPr>
            <w:tcW w:w="1674" w:type="dxa"/>
            <w:shd w:val="clear" w:color="auto" w:fill="auto"/>
            <w:vAlign w:val="center"/>
          </w:tcPr>
          <w:p w:rsidR="00EE1CC3" w:rsidRPr="00734C71" w:rsidRDefault="00EE1CC3" w:rsidP="00C31BEB">
            <w:pPr>
              <w:jc w:val="center"/>
              <w:rPr>
                <w:rFonts w:ascii="楷体_GB2312" w:hAnsi="宋体"/>
                <w:bCs/>
                <w:szCs w:val="18"/>
              </w:rPr>
            </w:pPr>
          </w:p>
        </w:tc>
        <w:tc>
          <w:tcPr>
            <w:tcW w:w="708" w:type="dxa"/>
            <w:shd w:val="clear" w:color="auto" w:fill="auto"/>
            <w:vAlign w:val="center"/>
          </w:tcPr>
          <w:p w:rsidR="00EE1CC3" w:rsidRPr="00734C71" w:rsidRDefault="00EE1CC3" w:rsidP="00C31BEB">
            <w:pPr>
              <w:jc w:val="center"/>
              <w:rPr>
                <w:rFonts w:ascii="楷体_GB2312" w:hAnsi="宋体"/>
                <w:bCs/>
                <w:szCs w:val="18"/>
              </w:rPr>
            </w:pPr>
          </w:p>
        </w:tc>
      </w:tr>
    </w:tbl>
    <w:p w:rsidR="00EE1CC3" w:rsidRPr="00A86F8F" w:rsidRDefault="00EE1CC3" w:rsidP="00EE1CC3">
      <w:pPr>
        <w:pStyle w:val="FootnoteNoline"/>
        <w:spacing w:before="0" w:after="0"/>
        <w:rPr>
          <w:color w:val="auto"/>
          <w:sz w:val="10"/>
          <w:szCs w:val="10"/>
        </w:rPr>
      </w:pPr>
    </w:p>
    <w:p w:rsidR="00EE1CC3" w:rsidRPr="00AF25D2" w:rsidRDefault="00EE1CC3" w:rsidP="00EE1CC3">
      <w:pPr>
        <w:pStyle w:val="FootnoteNoline"/>
        <w:rPr>
          <w:color w:val="auto"/>
        </w:rPr>
      </w:pPr>
      <w:r>
        <w:rPr>
          <w:rFonts w:hint="eastAsia"/>
        </w:rPr>
        <w:t>来源：国金证券研究所</w:t>
      </w:r>
      <w:r>
        <w:rPr>
          <w:rFonts w:hint="eastAsia"/>
        </w:rPr>
        <w:t xml:space="preserve"> </w:t>
      </w:r>
    </w:p>
    <w:p w:rsidR="00EE1CC3" w:rsidRPr="00B00136" w:rsidRDefault="00EE1CC3" w:rsidP="00EE1CC3">
      <w:pPr>
        <w:pStyle w:val="21"/>
        <w:rPr>
          <w:color w:val="auto"/>
        </w:rPr>
      </w:pPr>
    </w:p>
    <w:p w:rsidR="00EE1CC3" w:rsidRPr="00183075" w:rsidRDefault="00EE1CC3" w:rsidP="00EE1CC3">
      <w:pPr>
        <w:pStyle w:val="13"/>
        <w:rPr>
          <w:color w:val="auto"/>
        </w:rPr>
      </w:pPr>
      <w:r w:rsidRPr="00183075">
        <w:rPr>
          <w:rFonts w:hint="eastAsia"/>
          <w:color w:val="auto"/>
        </w:rPr>
        <w:lastRenderedPageBreak/>
        <w:t>一、权益类开放式基金投资建议</w:t>
      </w:r>
    </w:p>
    <w:p w:rsidR="00EE1CC3" w:rsidRPr="005F58EB" w:rsidRDefault="00EE1CC3" w:rsidP="00EE1CC3">
      <w:pPr>
        <w:pStyle w:val="21"/>
        <w:rPr>
          <w:color w:val="00B0F0"/>
        </w:rPr>
      </w:pPr>
      <w:r w:rsidRPr="005F58EB">
        <w:rPr>
          <w:rFonts w:hint="eastAsia"/>
          <w:color w:val="00B0F0"/>
        </w:rPr>
        <w:t>基金投资：</w:t>
      </w:r>
      <w:r w:rsidRPr="00BA4CD9">
        <w:rPr>
          <w:rFonts w:ascii="楷体_GB2312" w:hint="eastAsia"/>
          <w:color w:val="00B0F0"/>
        </w:rPr>
        <w:t>保持战术灵活，参与主题投资</w:t>
      </w:r>
      <w:r w:rsidRPr="005F58EB">
        <w:rPr>
          <w:rFonts w:hint="eastAsia"/>
          <w:color w:val="00B0F0"/>
        </w:rPr>
        <w:t>——</w:t>
      </w:r>
      <w:r w:rsidRPr="005F58EB">
        <w:rPr>
          <w:rFonts w:hint="eastAsia"/>
          <w:color w:val="00B0F0"/>
        </w:rPr>
        <w:t>A</w:t>
      </w:r>
      <w:r w:rsidRPr="005F58EB">
        <w:rPr>
          <w:rFonts w:hint="eastAsia"/>
          <w:color w:val="00B0F0"/>
        </w:rPr>
        <w:t>股权益类开放式基金投资建议</w:t>
      </w:r>
    </w:p>
    <w:p w:rsidR="00EE1CC3" w:rsidRPr="0015627A" w:rsidRDefault="00EE1CC3" w:rsidP="00EE1CC3">
      <w:pPr>
        <w:pStyle w:val="a0"/>
        <w:spacing w:line="240" w:lineRule="auto"/>
        <w:rPr>
          <w:b/>
          <w:color w:val="00B0F0"/>
        </w:rPr>
      </w:pPr>
      <w:r>
        <w:rPr>
          <w:rFonts w:hint="eastAsia"/>
          <w:b/>
          <w:color w:val="00B0F0"/>
        </w:rPr>
        <w:t>国内经济：“经济差</w:t>
      </w:r>
      <w:r>
        <w:rPr>
          <w:rFonts w:hint="eastAsia"/>
          <w:b/>
          <w:color w:val="00B0F0"/>
        </w:rPr>
        <w:t>+</w:t>
      </w:r>
      <w:r>
        <w:rPr>
          <w:rFonts w:hint="eastAsia"/>
          <w:b/>
          <w:color w:val="00B0F0"/>
        </w:rPr>
        <w:t>货币宽”的宏观组合延续</w:t>
      </w:r>
    </w:p>
    <w:p w:rsidR="00EE1CC3" w:rsidRDefault="00EE1CC3" w:rsidP="00EE1CC3">
      <w:pPr>
        <w:pStyle w:val="a0"/>
        <w:numPr>
          <w:ilvl w:val="4"/>
          <w:numId w:val="3"/>
        </w:numPr>
        <w:spacing w:line="240" w:lineRule="auto"/>
        <w:rPr>
          <w:rFonts w:ascii="楷体_GB2312"/>
          <w:color w:val="auto"/>
        </w:rPr>
      </w:pPr>
      <w:r>
        <w:rPr>
          <w:rFonts w:ascii="楷体_GB2312" w:hint="eastAsia"/>
          <w:color w:val="auto"/>
        </w:rPr>
        <w:t>实体经济低迷的状况仍在延续。1月外贸数据大幅萎缩并明显低于市场预期。其中</w:t>
      </w:r>
      <w:r w:rsidRPr="00676224">
        <w:rPr>
          <w:rFonts w:ascii="楷体_GB2312" w:hint="eastAsia"/>
          <w:color w:val="auto"/>
        </w:rPr>
        <w:t>进口增速</w:t>
      </w:r>
      <w:r>
        <w:rPr>
          <w:rFonts w:ascii="楷体_GB2312" w:hint="eastAsia"/>
          <w:color w:val="auto"/>
        </w:rPr>
        <w:t>同比为</w:t>
      </w:r>
      <w:r w:rsidRPr="00676224">
        <w:rPr>
          <w:rFonts w:ascii="楷体_GB2312" w:hint="eastAsia"/>
          <w:color w:val="auto"/>
        </w:rPr>
        <w:t>-19.9%</w:t>
      </w:r>
      <w:r>
        <w:rPr>
          <w:rFonts w:ascii="楷体_GB2312" w:hint="eastAsia"/>
          <w:color w:val="auto"/>
        </w:rPr>
        <w:t>，</w:t>
      </w:r>
      <w:r w:rsidRPr="00676224">
        <w:rPr>
          <w:rFonts w:ascii="楷体_GB2312" w:hint="eastAsia"/>
          <w:color w:val="auto"/>
        </w:rPr>
        <w:t>创</w:t>
      </w:r>
      <w:r>
        <w:rPr>
          <w:rFonts w:ascii="楷体_GB2312" w:hint="eastAsia"/>
          <w:color w:val="auto"/>
        </w:rPr>
        <w:t xml:space="preserve">09 </w:t>
      </w:r>
      <w:r w:rsidRPr="00676224">
        <w:rPr>
          <w:rFonts w:ascii="楷体_GB2312" w:hint="eastAsia"/>
          <w:color w:val="auto"/>
        </w:rPr>
        <w:t>年以来新低</w:t>
      </w:r>
      <w:r>
        <w:rPr>
          <w:rFonts w:ascii="楷体_GB2312" w:hint="eastAsia"/>
          <w:color w:val="auto"/>
        </w:rPr>
        <w:t>，</w:t>
      </w:r>
      <w:r w:rsidRPr="0017297C">
        <w:rPr>
          <w:rFonts w:ascii="楷体_GB2312" w:hint="eastAsia"/>
          <w:color w:val="auto"/>
        </w:rPr>
        <w:t>进口数量的滑落幅度远超价格因素，春节效应之下，需求回归大幅萎缩。</w:t>
      </w:r>
      <w:r w:rsidRPr="006D4501">
        <w:rPr>
          <w:rFonts w:ascii="楷体_GB2312"/>
          <w:color w:val="auto"/>
        </w:rPr>
        <w:t>1</w:t>
      </w:r>
      <w:r w:rsidRPr="006D4501">
        <w:rPr>
          <w:rFonts w:ascii="楷体_GB2312"/>
          <w:color w:val="auto"/>
        </w:rPr>
        <w:t>  </w:t>
      </w:r>
      <w:r w:rsidRPr="006D4501">
        <w:rPr>
          <w:rFonts w:ascii="楷体_GB2312"/>
          <w:color w:val="auto"/>
        </w:rPr>
        <w:t>月出口增速</w:t>
      </w:r>
      <w:r>
        <w:rPr>
          <w:rFonts w:ascii="楷体_GB2312" w:hint="eastAsia"/>
          <w:color w:val="auto"/>
        </w:rPr>
        <w:t>为</w:t>
      </w:r>
      <w:r w:rsidRPr="006D4501">
        <w:rPr>
          <w:rFonts w:ascii="楷体_GB2312"/>
          <w:color w:val="auto"/>
        </w:rPr>
        <w:t>-3.3%</w:t>
      </w:r>
      <w:r>
        <w:rPr>
          <w:rFonts w:ascii="楷体_GB2312" w:hint="eastAsia"/>
          <w:color w:val="auto"/>
        </w:rPr>
        <w:t>，高基数效应导致出口下滑。</w:t>
      </w:r>
      <w:r w:rsidRPr="006D4501">
        <w:rPr>
          <w:rFonts w:ascii="楷体_GB2312"/>
          <w:color w:val="auto"/>
        </w:rPr>
        <w:t>未来看，进出口数据将恢复正常，但回升高度有限。</w:t>
      </w:r>
      <w:r>
        <w:rPr>
          <w:rFonts w:ascii="楷体_GB2312" w:hint="eastAsia"/>
          <w:color w:val="auto"/>
        </w:rPr>
        <w:t>此外，中观数据来看1、2月上旬房屋</w:t>
      </w:r>
      <w:r w:rsidRPr="00620FAB">
        <w:rPr>
          <w:rFonts w:ascii="楷体_GB2312" w:hint="eastAsia"/>
          <w:color w:val="auto"/>
        </w:rPr>
        <w:t>销量</w:t>
      </w:r>
      <w:r>
        <w:rPr>
          <w:rFonts w:ascii="楷体_GB2312" w:hint="eastAsia"/>
          <w:color w:val="auto"/>
        </w:rPr>
        <w:t>面积下滑，虽然政策对房地产市场有所指称，但</w:t>
      </w:r>
      <w:r w:rsidRPr="00620FAB">
        <w:rPr>
          <w:rFonts w:ascii="楷体_GB2312" w:hint="eastAsia"/>
          <w:color w:val="auto"/>
        </w:rPr>
        <w:t>销售疲软</w:t>
      </w:r>
      <w:r>
        <w:rPr>
          <w:rFonts w:ascii="楷体_GB2312" w:hint="eastAsia"/>
          <w:color w:val="auto"/>
        </w:rPr>
        <w:t>、</w:t>
      </w:r>
      <w:r>
        <w:rPr>
          <w:rFonts w:ascii="楷体_GB2312" w:hAnsi="楷体_GB2312" w:cs="楷体_GB2312" w:hint="eastAsia"/>
          <w:color w:val="auto"/>
        </w:rPr>
        <w:t>新开工</w:t>
      </w:r>
      <w:r w:rsidRPr="00620FAB">
        <w:rPr>
          <w:rFonts w:ascii="楷体_GB2312" w:hAnsi="楷体_GB2312" w:cs="楷体_GB2312" w:hint="eastAsia"/>
          <w:color w:val="auto"/>
        </w:rPr>
        <w:t>持续负增长</w:t>
      </w:r>
      <w:r>
        <w:rPr>
          <w:rFonts w:ascii="楷体_GB2312" w:hAnsi="楷体_GB2312" w:cs="楷体_GB2312" w:hint="eastAsia"/>
          <w:color w:val="auto"/>
        </w:rPr>
        <w:t>，</w:t>
      </w:r>
      <w:r w:rsidRPr="00620FAB">
        <w:rPr>
          <w:rFonts w:ascii="楷体_GB2312" w:hAnsi="楷体_GB2312" w:cs="楷体_GB2312" w:hint="eastAsia"/>
          <w:color w:val="auto"/>
        </w:rPr>
        <w:t>未来房地产市场仍然堪忧</w:t>
      </w:r>
      <w:r w:rsidRPr="00620FAB">
        <w:rPr>
          <w:rFonts w:ascii="楷体_GB2312" w:hint="eastAsia"/>
          <w:color w:val="auto"/>
        </w:rPr>
        <w:t>。</w:t>
      </w:r>
    </w:p>
    <w:p w:rsidR="00EE1CC3" w:rsidRDefault="00EE1CC3" w:rsidP="00EE1CC3">
      <w:pPr>
        <w:pStyle w:val="a0"/>
        <w:numPr>
          <w:ilvl w:val="4"/>
          <w:numId w:val="3"/>
        </w:numPr>
        <w:spacing w:line="240" w:lineRule="auto"/>
        <w:rPr>
          <w:rFonts w:ascii="楷体_GB2312"/>
          <w:color w:val="auto"/>
        </w:rPr>
      </w:pPr>
      <w:r>
        <w:rPr>
          <w:rFonts w:ascii="楷体_GB2312" w:hint="eastAsia"/>
          <w:color w:val="auto"/>
        </w:rPr>
        <w:t>低货币增速也印证经济低迷。</w:t>
      </w:r>
      <w:r w:rsidRPr="009B17A8">
        <w:rPr>
          <w:rFonts w:ascii="楷体_GB2312" w:hint="eastAsia"/>
          <w:color w:val="auto"/>
        </w:rPr>
        <w:t>1月份社会融资规模为2.05万亿元，比去年同期少5394亿元</w:t>
      </w:r>
      <w:r>
        <w:rPr>
          <w:rFonts w:ascii="楷体_GB2312" w:hint="eastAsia"/>
          <w:color w:val="auto"/>
        </w:rPr>
        <w:t>，</w:t>
      </w:r>
      <w:r w:rsidRPr="00ED7077">
        <w:rPr>
          <w:rFonts w:ascii="楷体_GB2312" w:hint="eastAsia"/>
          <w:color w:val="auto"/>
        </w:rPr>
        <w:t>表外融资是</w:t>
      </w:r>
      <w:r>
        <w:rPr>
          <w:rFonts w:ascii="楷体_GB2312" w:hint="eastAsia"/>
          <w:color w:val="auto"/>
        </w:rPr>
        <w:t>社会融资</w:t>
      </w:r>
      <w:r w:rsidRPr="00ED7077">
        <w:rPr>
          <w:rFonts w:ascii="楷体_GB2312" w:hint="eastAsia"/>
          <w:color w:val="auto"/>
        </w:rPr>
        <w:t>总量缩水的主要</w:t>
      </w:r>
      <w:r>
        <w:rPr>
          <w:rFonts w:ascii="楷体_GB2312" w:hint="eastAsia"/>
          <w:color w:val="auto"/>
        </w:rPr>
        <w:t>原因</w:t>
      </w:r>
      <w:r w:rsidRPr="009B17A8">
        <w:rPr>
          <w:rFonts w:ascii="楷体_GB2312" w:hint="eastAsia"/>
          <w:color w:val="auto"/>
        </w:rPr>
        <w:t>；M2同比增长10.8%，</w:t>
      </w:r>
      <w:r w:rsidRPr="007F3AE2">
        <w:rPr>
          <w:rFonts w:ascii="楷体_GB2312" w:hint="eastAsia"/>
          <w:color w:val="auto"/>
        </w:rPr>
        <w:t>低于12%的预期货币供应目标</w:t>
      </w:r>
      <w:r>
        <w:rPr>
          <w:rFonts w:ascii="楷体_GB2312" w:hint="eastAsia"/>
          <w:color w:val="auto"/>
        </w:rPr>
        <w:t>，并创历史新低，反应经济疲弱之势。</w:t>
      </w:r>
      <w:r w:rsidRPr="00B64937">
        <w:rPr>
          <w:rFonts w:ascii="楷体_GB2312" w:hint="eastAsia"/>
          <w:color w:val="auto"/>
        </w:rPr>
        <w:t>稳增长政策发力推动信贷结构改善，中长期贷款占比持续高位</w:t>
      </w:r>
      <w:r>
        <w:rPr>
          <w:rFonts w:ascii="楷体_GB2312" w:hint="eastAsia"/>
          <w:color w:val="auto"/>
        </w:rPr>
        <w:t>，</w:t>
      </w:r>
      <w:r w:rsidRPr="004910A2">
        <w:rPr>
          <w:rFonts w:ascii="楷体_GB2312" w:hint="eastAsia"/>
          <w:color w:val="auto"/>
        </w:rPr>
        <w:t>基建投资带动下企业中长期贷款为6121亿元。</w:t>
      </w:r>
    </w:p>
    <w:p w:rsidR="00EE1CC3" w:rsidRDefault="00EE1CC3" w:rsidP="00EE1CC3">
      <w:pPr>
        <w:pStyle w:val="a0"/>
        <w:numPr>
          <w:ilvl w:val="4"/>
          <w:numId w:val="3"/>
        </w:numPr>
        <w:spacing w:line="240" w:lineRule="auto"/>
        <w:rPr>
          <w:rFonts w:ascii="楷体_GB2312"/>
          <w:color w:val="auto"/>
        </w:rPr>
      </w:pPr>
      <w:r>
        <w:rPr>
          <w:rFonts w:ascii="楷体_GB2312" w:hint="eastAsia"/>
          <w:color w:val="auto"/>
        </w:rPr>
        <w:t>通缩风险加剧。</w:t>
      </w:r>
      <w:r w:rsidRPr="00D77C75">
        <w:rPr>
          <w:rFonts w:ascii="楷体_GB2312" w:hint="eastAsia"/>
          <w:color w:val="auto"/>
        </w:rPr>
        <w:t>1月 CPI大幅下滑至0.8%，创近五年新低，主要为食品价格极度疲弱导致，非食品价格平稳，但环比表现与前期大体相同</w:t>
      </w:r>
      <w:r>
        <w:rPr>
          <w:rFonts w:ascii="楷体_GB2312" w:hint="eastAsia"/>
          <w:color w:val="auto"/>
        </w:rPr>
        <w:t>。</w:t>
      </w:r>
      <w:r w:rsidRPr="001D24EE">
        <w:rPr>
          <w:rFonts w:ascii="楷体_GB2312" w:hint="eastAsia"/>
          <w:color w:val="auto"/>
        </w:rPr>
        <w:t>预计 2月春节CPI 仍将保持低位，不排除继续小幅下滑的可能</w:t>
      </w:r>
      <w:r>
        <w:rPr>
          <w:rFonts w:ascii="楷体_GB2312" w:hint="eastAsia"/>
          <w:color w:val="auto"/>
        </w:rPr>
        <w:t>。</w:t>
      </w:r>
      <w:r w:rsidRPr="001D24EE">
        <w:rPr>
          <w:rFonts w:ascii="楷体_GB2312" w:hint="eastAsia"/>
          <w:color w:val="auto"/>
        </w:rPr>
        <w:t>PPI跌幅扩大至4.3%</w:t>
      </w:r>
      <w:r>
        <w:rPr>
          <w:rFonts w:ascii="楷体_GB2312" w:hint="eastAsia"/>
          <w:color w:val="auto"/>
        </w:rPr>
        <w:t>，</w:t>
      </w:r>
      <w:r w:rsidRPr="001D24EE">
        <w:rPr>
          <w:rFonts w:ascii="楷体_GB2312" w:hint="eastAsia"/>
          <w:color w:val="auto"/>
        </w:rPr>
        <w:t>原油等大宗商品价格下跌幅度较大，同时传导深入原料与加工价格跌幅扩大</w:t>
      </w:r>
      <w:r>
        <w:rPr>
          <w:rFonts w:ascii="楷体_GB2312" w:hint="eastAsia"/>
          <w:color w:val="auto"/>
        </w:rPr>
        <w:t>，</w:t>
      </w:r>
      <w:r w:rsidRPr="001D24EE">
        <w:rPr>
          <w:rFonts w:ascii="楷体_GB2312" w:hint="eastAsia"/>
          <w:color w:val="auto"/>
        </w:rPr>
        <w:t>短期看PPI 跌幅还将继续扩大</w:t>
      </w:r>
      <w:r>
        <w:rPr>
          <w:rFonts w:ascii="楷体_GB2312" w:hint="eastAsia"/>
          <w:color w:val="auto"/>
        </w:rPr>
        <w:t>。</w:t>
      </w:r>
    </w:p>
    <w:p w:rsidR="00EE1CC3" w:rsidRPr="00FC353C" w:rsidRDefault="00EE1CC3" w:rsidP="00EE1CC3">
      <w:pPr>
        <w:pStyle w:val="a0"/>
        <w:numPr>
          <w:ilvl w:val="4"/>
          <w:numId w:val="3"/>
        </w:numPr>
        <w:spacing w:line="240" w:lineRule="auto"/>
        <w:rPr>
          <w:rFonts w:ascii="楷体_GB2312"/>
          <w:color w:val="auto"/>
        </w:rPr>
      </w:pPr>
      <w:r w:rsidRPr="001D24EE">
        <w:rPr>
          <w:rFonts w:ascii="楷体_GB2312" w:hint="eastAsia"/>
          <w:color w:val="auto"/>
        </w:rPr>
        <w:t>疲弱的物价与</w:t>
      </w:r>
      <w:r>
        <w:rPr>
          <w:rFonts w:ascii="楷体_GB2312" w:hint="eastAsia"/>
          <w:color w:val="auto"/>
        </w:rPr>
        <w:t>经济</w:t>
      </w:r>
      <w:r w:rsidRPr="001D24EE">
        <w:rPr>
          <w:rFonts w:ascii="楷体_GB2312" w:hint="eastAsia"/>
          <w:color w:val="auto"/>
        </w:rPr>
        <w:t>需求，均要</w:t>
      </w:r>
      <w:r>
        <w:rPr>
          <w:rFonts w:ascii="楷体_GB2312" w:hint="eastAsia"/>
          <w:color w:val="auto"/>
        </w:rPr>
        <w:t>求周期类政策应对，</w:t>
      </w:r>
      <w:r w:rsidRPr="00091CF8">
        <w:rPr>
          <w:rFonts w:ascii="楷体_GB2312" w:hint="eastAsia"/>
          <w:color w:val="auto"/>
        </w:rPr>
        <w:t>“经济差、货币宽”的宏观组合延续</w:t>
      </w:r>
      <w:r>
        <w:rPr>
          <w:rFonts w:ascii="楷体_GB2312" w:hint="eastAsia"/>
          <w:color w:val="auto"/>
        </w:rPr>
        <w:t>。</w:t>
      </w:r>
      <w:r w:rsidRPr="00FC353C">
        <w:rPr>
          <w:rFonts w:ascii="楷体_GB2312" w:hint="eastAsia"/>
          <w:color w:val="auto"/>
        </w:rPr>
        <w:t>央行《2014年第四季度中国货币政策执行报告》</w:t>
      </w:r>
      <w:r>
        <w:rPr>
          <w:rFonts w:ascii="楷体_GB2312" w:hint="eastAsia"/>
          <w:color w:val="auto"/>
        </w:rPr>
        <w:t>也表达了</w:t>
      </w:r>
      <w:r w:rsidRPr="00FC353C">
        <w:rPr>
          <w:rFonts w:ascii="楷体_GB2312" w:hint="eastAsia"/>
          <w:color w:val="auto"/>
        </w:rPr>
        <w:t>下一阶段的主要政策思路</w:t>
      </w:r>
      <w:r>
        <w:rPr>
          <w:rFonts w:ascii="楷体_GB2312" w:hint="eastAsia"/>
          <w:color w:val="auto"/>
        </w:rPr>
        <w:t>，</w:t>
      </w:r>
      <w:r w:rsidRPr="00FC353C">
        <w:rPr>
          <w:rFonts w:ascii="楷体_GB2312" w:hint="eastAsia"/>
          <w:color w:val="auto"/>
        </w:rPr>
        <w:t>继续实施稳健的货币政策，更加注重松紧适度</w:t>
      </w:r>
      <w:r>
        <w:rPr>
          <w:rFonts w:ascii="楷体_GB2312" w:hint="eastAsia"/>
          <w:color w:val="auto"/>
        </w:rPr>
        <w:t>。正如市场所预期，2月28日</w:t>
      </w:r>
      <w:r w:rsidRPr="00BB3EB9">
        <w:rPr>
          <w:rFonts w:ascii="楷体_GB2312" w:hint="eastAsia"/>
          <w:color w:val="auto"/>
        </w:rPr>
        <w:t>中国人民银行下调金融机构人民币贷款和存款基准利率</w:t>
      </w:r>
      <w:r>
        <w:rPr>
          <w:rFonts w:ascii="楷体_GB2312" w:hint="eastAsia"/>
          <w:color w:val="auto"/>
        </w:rPr>
        <w:t>，国金宏观小组认为，此举在时点略超预期，降息</w:t>
      </w:r>
      <w:r w:rsidRPr="00BB3EB9">
        <w:rPr>
          <w:rFonts w:ascii="楷体_GB2312" w:hint="eastAsia"/>
          <w:color w:val="auto"/>
        </w:rPr>
        <w:t>有助于扩需求、降风险、促软着陆。</w:t>
      </w:r>
      <w:r>
        <w:rPr>
          <w:rFonts w:ascii="楷体_GB2312" w:hint="eastAsia"/>
          <w:color w:val="auto"/>
        </w:rPr>
        <w:t>同时，</w:t>
      </w:r>
      <w:r w:rsidRPr="00BB3EB9">
        <w:rPr>
          <w:rFonts w:ascii="楷体_GB2312" w:hint="eastAsia"/>
          <w:color w:val="auto"/>
        </w:rPr>
        <w:t>由于对信贷规模、流动性水准、利率水平等调整幅度不大，因此央行亦表示仍属“稳健”。</w:t>
      </w:r>
    </w:p>
    <w:p w:rsidR="00EE1CC3" w:rsidRPr="000878E0" w:rsidRDefault="00EE1CC3" w:rsidP="00EE1CC3">
      <w:pPr>
        <w:pStyle w:val="a0"/>
        <w:spacing w:line="240" w:lineRule="auto"/>
        <w:rPr>
          <w:rFonts w:ascii="楷体_GB2312"/>
          <w:b/>
          <w:color w:val="00B0F0"/>
        </w:rPr>
      </w:pPr>
      <w:r w:rsidRPr="000878E0">
        <w:rPr>
          <w:rFonts w:ascii="楷体_GB2312" w:hint="eastAsia"/>
          <w:b/>
          <w:color w:val="00B0F0"/>
        </w:rPr>
        <w:t>A</w:t>
      </w:r>
      <w:r>
        <w:rPr>
          <w:rFonts w:ascii="楷体_GB2312" w:hint="eastAsia"/>
          <w:b/>
          <w:color w:val="00B0F0"/>
        </w:rPr>
        <w:t>股市场：</w:t>
      </w:r>
      <w:r w:rsidRPr="00181D24">
        <w:rPr>
          <w:rFonts w:ascii="楷体_GB2312" w:hint="eastAsia"/>
          <w:b/>
          <w:color w:val="00B0F0"/>
        </w:rPr>
        <w:t>耐心等待新的上行动力</w:t>
      </w:r>
    </w:p>
    <w:p w:rsidR="00EE1CC3" w:rsidRPr="000878E0" w:rsidRDefault="00EE1CC3" w:rsidP="00EE1CC3">
      <w:pPr>
        <w:pStyle w:val="a0"/>
        <w:numPr>
          <w:ilvl w:val="4"/>
          <w:numId w:val="3"/>
        </w:numPr>
        <w:spacing w:line="240" w:lineRule="auto"/>
        <w:rPr>
          <w:rFonts w:ascii="楷体_GB2312"/>
          <w:color w:val="auto"/>
        </w:rPr>
      </w:pPr>
      <w:r w:rsidRPr="000878E0">
        <w:rPr>
          <w:rFonts w:ascii="楷体_GB2312" w:hint="eastAsia"/>
          <w:color w:val="auto"/>
        </w:rPr>
        <w:t>2015年</w:t>
      </w:r>
      <w:r>
        <w:rPr>
          <w:rFonts w:ascii="楷体_GB2312" w:hint="eastAsia"/>
          <w:color w:val="auto"/>
        </w:rPr>
        <w:t>2月</w:t>
      </w:r>
      <w:r w:rsidRPr="000878E0">
        <w:rPr>
          <w:rFonts w:ascii="楷体_GB2312" w:hint="eastAsia"/>
          <w:color w:val="auto"/>
        </w:rPr>
        <w:t>以来市场</w:t>
      </w:r>
      <w:r>
        <w:rPr>
          <w:rFonts w:ascii="楷体_GB2312" w:hint="eastAsia"/>
          <w:color w:val="auto"/>
        </w:rPr>
        <w:t>先抑后扬</w:t>
      </w:r>
      <w:r w:rsidRPr="000878E0">
        <w:rPr>
          <w:rFonts w:ascii="楷体_GB2312" w:hint="eastAsia"/>
          <w:color w:val="auto"/>
        </w:rPr>
        <w:t>，</w:t>
      </w:r>
      <w:r w:rsidRPr="001B513B">
        <w:rPr>
          <w:rFonts w:ascii="楷体_GB2312" w:hint="eastAsia"/>
          <w:color w:val="auto"/>
        </w:rPr>
        <w:t>尽管央行出其不意降准，并对城商行、农商行等机构定向降准，但市场并未</w:t>
      </w:r>
      <w:r>
        <w:rPr>
          <w:rFonts w:ascii="楷体_GB2312" w:hint="eastAsia"/>
          <w:color w:val="auto"/>
        </w:rPr>
        <w:t>如期</w:t>
      </w:r>
      <w:r w:rsidRPr="001B513B">
        <w:rPr>
          <w:rFonts w:ascii="楷体_GB2312" w:hint="eastAsia"/>
          <w:color w:val="auto"/>
        </w:rPr>
        <w:t>走出</w:t>
      </w:r>
      <w:r>
        <w:rPr>
          <w:rFonts w:ascii="楷体_GB2312" w:hint="eastAsia"/>
          <w:color w:val="auto"/>
        </w:rPr>
        <w:t>Beta回归</w:t>
      </w:r>
      <w:r w:rsidRPr="001B513B">
        <w:rPr>
          <w:rFonts w:ascii="楷体_GB2312" w:hint="eastAsia"/>
          <w:color w:val="auto"/>
        </w:rPr>
        <w:t>行情</w:t>
      </w:r>
      <w:r>
        <w:rPr>
          <w:rFonts w:ascii="楷体_GB2312" w:hint="eastAsia"/>
          <w:color w:val="auto"/>
        </w:rPr>
        <w:t>，</w:t>
      </w:r>
      <w:r w:rsidRPr="001B513B">
        <w:rPr>
          <w:rFonts w:ascii="楷体_GB2312" w:hint="eastAsia"/>
          <w:color w:val="auto"/>
        </w:rPr>
        <w:t>经济下行压力增加、证监会第二轮两融业务检查、民生银行高层变动等利空因素对市场形成更多负面打击</w:t>
      </w:r>
      <w:r>
        <w:rPr>
          <w:rFonts w:ascii="楷体_GB2312" w:hint="eastAsia"/>
          <w:color w:val="auto"/>
        </w:rPr>
        <w:t>，新股发行也使得</w:t>
      </w:r>
      <w:r w:rsidRPr="001B513B">
        <w:rPr>
          <w:rFonts w:ascii="楷体_GB2312" w:hint="eastAsia"/>
          <w:color w:val="auto"/>
        </w:rPr>
        <w:t>市场</w:t>
      </w:r>
      <w:r>
        <w:rPr>
          <w:rFonts w:ascii="楷体_GB2312" w:hint="eastAsia"/>
          <w:color w:val="auto"/>
        </w:rPr>
        <w:t>情绪承压</w:t>
      </w:r>
      <w:r w:rsidRPr="000878E0">
        <w:rPr>
          <w:rFonts w:ascii="楷体_GB2312" w:hint="eastAsia"/>
          <w:color w:val="auto"/>
        </w:rPr>
        <w:t>。</w:t>
      </w:r>
      <w:r>
        <w:rPr>
          <w:rFonts w:ascii="楷体_GB2312" w:hint="eastAsia"/>
          <w:color w:val="auto"/>
        </w:rPr>
        <w:t>与此同时，市场风格分化显著，大盘蓝筹股继续盘整，而代表经济结构转型的小盘成长股表现活跃，创业板指数再度创下新高，尤其是以互联网金融、智能家居、云计算为代表的主题投资高度活跃。</w:t>
      </w:r>
    </w:p>
    <w:p w:rsidR="00EE1CC3" w:rsidRPr="00770BF1" w:rsidRDefault="00EE1CC3" w:rsidP="00EE1CC3">
      <w:pPr>
        <w:pStyle w:val="a0"/>
        <w:numPr>
          <w:ilvl w:val="4"/>
          <w:numId w:val="3"/>
        </w:numPr>
        <w:spacing w:line="240" w:lineRule="auto"/>
        <w:rPr>
          <w:rFonts w:ascii="楷体_GB2312"/>
          <w:color w:val="auto"/>
        </w:rPr>
      </w:pPr>
      <w:r w:rsidRPr="00A17698">
        <w:rPr>
          <w:rFonts w:ascii="楷体_GB2312" w:hint="eastAsia"/>
          <w:color w:val="auto"/>
        </w:rPr>
        <w:t>短期经济下行和通缩的压力，促使央行连续出手，以降低资金利率，维持实际利率的稳定。</w:t>
      </w:r>
      <w:r w:rsidRPr="007E6414">
        <w:rPr>
          <w:rFonts w:ascii="楷体_GB2312" w:hint="eastAsia"/>
          <w:color w:val="auto"/>
        </w:rPr>
        <w:t>央行</w:t>
      </w:r>
      <w:r>
        <w:rPr>
          <w:rFonts w:ascii="楷体_GB2312" w:hint="eastAsia"/>
          <w:color w:val="auto"/>
        </w:rPr>
        <w:t>再度降息使得市场重新获得货币政策持续宽松的预期，尽管</w:t>
      </w:r>
      <w:r w:rsidRPr="007E6414">
        <w:rPr>
          <w:rFonts w:ascii="楷体_GB2312"/>
          <w:color w:val="auto"/>
        </w:rPr>
        <w:t>2</w:t>
      </w:r>
      <w:r w:rsidRPr="007E6414">
        <w:rPr>
          <w:rFonts w:ascii="楷体_GB2312" w:hint="eastAsia"/>
          <w:color w:val="auto"/>
        </w:rPr>
        <w:t>月的降准</w:t>
      </w:r>
      <w:r>
        <w:rPr>
          <w:rFonts w:ascii="楷体_GB2312" w:hint="eastAsia"/>
          <w:color w:val="auto"/>
        </w:rPr>
        <w:t>由于</w:t>
      </w:r>
      <w:r w:rsidRPr="007E6414">
        <w:rPr>
          <w:rFonts w:ascii="楷体_GB2312" w:hint="eastAsia"/>
          <w:color w:val="auto"/>
        </w:rPr>
        <w:t>投资者已经有所预期</w:t>
      </w:r>
      <w:r>
        <w:rPr>
          <w:rFonts w:ascii="楷体_GB2312" w:hint="eastAsia"/>
          <w:color w:val="auto"/>
        </w:rPr>
        <w:t>，市场表现差强人意</w:t>
      </w:r>
      <w:r w:rsidRPr="007E6414">
        <w:rPr>
          <w:rFonts w:ascii="楷体_GB2312" w:hint="eastAsia"/>
          <w:color w:val="auto"/>
        </w:rPr>
        <w:t>，但宽松的货币预期支撑了市场的结构性行情。</w:t>
      </w:r>
      <w:r>
        <w:rPr>
          <w:rFonts w:ascii="楷体_GB2312" w:hint="eastAsia"/>
          <w:color w:val="auto"/>
        </w:rPr>
        <w:t>国金策略小组认为</w:t>
      </w:r>
      <w:r w:rsidRPr="007E6414">
        <w:rPr>
          <w:rFonts w:ascii="楷体_GB2312" w:hint="eastAsia"/>
          <w:color w:val="auto"/>
        </w:rPr>
        <w:t>，此次降息作为宽松货币的延续对股票市场仍然会起到支撑的作用。</w:t>
      </w:r>
      <w:r>
        <w:rPr>
          <w:rFonts w:cs="Arial" w:hint="eastAsia"/>
        </w:rPr>
        <w:t>我们认为市场的投资环境仍相对乐观，但考虑市场对降息预期已经有较为充分的预期以及</w:t>
      </w:r>
      <w:r w:rsidRPr="00770BF1">
        <w:rPr>
          <w:rFonts w:cs="Arial" w:hint="eastAsia"/>
        </w:rPr>
        <w:t>监管政策降杠杆防范风险</w:t>
      </w:r>
      <w:r>
        <w:rPr>
          <w:rFonts w:cs="Arial" w:hint="eastAsia"/>
        </w:rPr>
        <w:t>的压力，也不必对降息做过度解读。</w:t>
      </w:r>
      <w:r>
        <w:rPr>
          <w:rFonts w:ascii="楷体_GB2312" w:hint="eastAsia"/>
          <w:color w:val="auto"/>
        </w:rPr>
        <w:t>从配置的角度，投资者可在平衡配置思路的基础上，适当倾向于受益于降息的周期蓝筹风格，尤其是前期创业板为代表的小盘成长股涨幅较大，需要关注回吐风险。</w:t>
      </w:r>
      <w:r>
        <w:rPr>
          <w:rFonts w:cs="Arial" w:hint="eastAsia"/>
        </w:rPr>
        <w:t>此外，随着</w:t>
      </w:r>
      <w:r w:rsidRPr="00763615">
        <w:rPr>
          <w:rFonts w:cs="Arial" w:hint="eastAsia"/>
        </w:rPr>
        <w:t>市场步入两会窗口，</w:t>
      </w:r>
      <w:r>
        <w:rPr>
          <w:rFonts w:cs="Arial" w:hint="eastAsia"/>
        </w:rPr>
        <w:t>市场将更多关注政策的推进</w:t>
      </w:r>
      <w:r w:rsidRPr="00763615">
        <w:rPr>
          <w:rFonts w:cs="Arial" w:hint="eastAsia"/>
        </w:rPr>
        <w:t>，</w:t>
      </w:r>
      <w:r>
        <w:rPr>
          <w:rFonts w:cs="Arial" w:hint="eastAsia"/>
        </w:rPr>
        <w:t>受益于政策预期的主题投资机会有望活跃</w:t>
      </w:r>
      <w:r>
        <w:rPr>
          <w:rFonts w:cs="Arial"/>
        </w:rPr>
        <w:t>。</w:t>
      </w:r>
    </w:p>
    <w:p w:rsidR="00EE1CC3" w:rsidRPr="00A97069" w:rsidRDefault="00EE1CC3" w:rsidP="00EE1CC3">
      <w:pPr>
        <w:pStyle w:val="a0"/>
        <w:spacing w:line="240" w:lineRule="auto"/>
        <w:rPr>
          <w:rFonts w:ascii="楷体_GB2312"/>
          <w:b/>
          <w:color w:val="00B0F0"/>
        </w:rPr>
      </w:pPr>
      <w:r w:rsidRPr="00A97069">
        <w:rPr>
          <w:rFonts w:ascii="楷体_GB2312" w:hint="eastAsia"/>
          <w:b/>
          <w:color w:val="00B0F0"/>
        </w:rPr>
        <w:lastRenderedPageBreak/>
        <w:t>基金投资：</w:t>
      </w:r>
      <w:r w:rsidRPr="00BA4CD9">
        <w:rPr>
          <w:rFonts w:ascii="楷体_GB2312" w:hint="eastAsia"/>
          <w:b/>
          <w:color w:val="00B0F0"/>
        </w:rPr>
        <w:t>保持战术灵活，参与主题投资</w:t>
      </w:r>
    </w:p>
    <w:p w:rsidR="00EE1CC3" w:rsidRPr="002332D7" w:rsidRDefault="00EE1CC3" w:rsidP="00EE1CC3">
      <w:pPr>
        <w:pStyle w:val="a0"/>
        <w:numPr>
          <w:ilvl w:val="4"/>
          <w:numId w:val="3"/>
        </w:numPr>
        <w:spacing w:line="240" w:lineRule="auto"/>
        <w:rPr>
          <w:rFonts w:ascii="楷体_GB2312"/>
          <w:color w:val="auto"/>
        </w:rPr>
      </w:pPr>
      <w:r w:rsidRPr="002332D7">
        <w:rPr>
          <w:rFonts w:ascii="楷体_GB2312" w:hint="eastAsia"/>
          <w:color w:val="auto"/>
        </w:rPr>
        <w:t>基于上述对宏观经济及A股市场的分析，在</w:t>
      </w:r>
      <w:r>
        <w:rPr>
          <w:rFonts w:ascii="楷体_GB2312" w:hint="eastAsia"/>
          <w:color w:val="auto"/>
        </w:rPr>
        <w:t>市场</w:t>
      </w:r>
      <w:r>
        <w:rPr>
          <w:rFonts w:cs="Arial" w:hint="eastAsia"/>
        </w:rPr>
        <w:t>投资环境仍相对乐观</w:t>
      </w:r>
      <w:r>
        <w:rPr>
          <w:rFonts w:ascii="楷体_GB2312" w:hint="eastAsia"/>
          <w:color w:val="auto"/>
        </w:rPr>
        <w:t>的背景下，基金组合无需多仓位做过多的选择，同时继续从组合结构进行积极调整。首先，</w:t>
      </w:r>
      <w:r w:rsidRPr="002332D7">
        <w:rPr>
          <w:rFonts w:ascii="楷体_GB2312" w:hint="eastAsia"/>
          <w:color w:val="auto"/>
        </w:rPr>
        <w:t>考虑</w:t>
      </w:r>
      <w:r>
        <w:rPr>
          <w:rFonts w:ascii="楷体_GB2312" w:hint="eastAsia"/>
          <w:color w:val="auto"/>
        </w:rPr>
        <w:t>前期小盘成长股回调风险不断积聚，以及经济数据恶化政策博弈机会增强，</w:t>
      </w:r>
      <w:r w:rsidRPr="002332D7">
        <w:rPr>
          <w:rFonts w:ascii="楷体_GB2312" w:hint="eastAsia"/>
          <w:color w:val="auto"/>
        </w:rPr>
        <w:t>短期投资组合风格</w:t>
      </w:r>
      <w:r>
        <w:rPr>
          <w:rFonts w:ascii="楷体_GB2312" w:hint="eastAsia"/>
          <w:color w:val="auto"/>
        </w:rPr>
        <w:t>可在前期均衡的基础上</w:t>
      </w:r>
      <w:r w:rsidRPr="002332D7">
        <w:rPr>
          <w:rFonts w:ascii="楷体_GB2312" w:hint="eastAsia"/>
          <w:color w:val="auto"/>
        </w:rPr>
        <w:t>，</w:t>
      </w:r>
      <w:r>
        <w:rPr>
          <w:rFonts w:ascii="楷体_GB2312" w:hint="eastAsia"/>
          <w:color w:val="auto"/>
        </w:rPr>
        <w:t>减持小盘成长风格突出、重仓股涨幅过大的产品，适当关注</w:t>
      </w:r>
      <w:r w:rsidRPr="002332D7">
        <w:rPr>
          <w:rFonts w:ascii="楷体_GB2312" w:hint="eastAsia"/>
          <w:color w:val="auto"/>
        </w:rPr>
        <w:t>大盘蓝筹</w:t>
      </w:r>
      <w:r>
        <w:rPr>
          <w:rFonts w:ascii="楷体_GB2312" w:hint="eastAsia"/>
          <w:color w:val="auto"/>
        </w:rPr>
        <w:t>风格</w:t>
      </w:r>
      <w:r w:rsidRPr="002332D7">
        <w:rPr>
          <w:rFonts w:ascii="楷体_GB2312" w:hint="eastAsia"/>
          <w:color w:val="auto"/>
        </w:rPr>
        <w:t>的</w:t>
      </w:r>
      <w:r>
        <w:rPr>
          <w:rFonts w:ascii="楷体_GB2312" w:hint="eastAsia"/>
          <w:color w:val="auto"/>
        </w:rPr>
        <w:t>短期投资机会</w:t>
      </w:r>
      <w:r w:rsidRPr="002332D7">
        <w:rPr>
          <w:rFonts w:ascii="楷体_GB2312" w:hint="eastAsia"/>
          <w:color w:val="auto"/>
        </w:rPr>
        <w:t>；其次，</w:t>
      </w:r>
      <w:r>
        <w:rPr>
          <w:rFonts w:ascii="楷体_GB2312" w:hint="eastAsia"/>
          <w:color w:val="auto"/>
        </w:rPr>
        <w:t>在市场高位震荡博弈的背景下，保持</w:t>
      </w:r>
      <w:r w:rsidRPr="002332D7">
        <w:rPr>
          <w:rFonts w:ascii="楷体_GB2312" w:hint="eastAsia"/>
          <w:color w:val="auto"/>
        </w:rPr>
        <w:t>组合</w:t>
      </w:r>
      <w:r>
        <w:rPr>
          <w:rFonts w:ascii="楷体_GB2312" w:hint="eastAsia"/>
          <w:color w:val="auto"/>
        </w:rPr>
        <w:t>较高的</w:t>
      </w:r>
      <w:r w:rsidRPr="002332D7">
        <w:rPr>
          <w:rFonts w:ascii="楷体_GB2312" w:hint="eastAsia"/>
          <w:color w:val="auto"/>
        </w:rPr>
        <w:t>灵活性</w:t>
      </w:r>
      <w:r>
        <w:rPr>
          <w:rFonts w:ascii="楷体_GB2312" w:hint="eastAsia"/>
          <w:color w:val="auto"/>
        </w:rPr>
        <w:t>仍然必要</w:t>
      </w:r>
      <w:r w:rsidRPr="002332D7">
        <w:rPr>
          <w:rFonts w:ascii="楷体_GB2312" w:hint="eastAsia"/>
          <w:color w:val="auto"/>
        </w:rPr>
        <w:t>，优选灵活型产品进行配置以把握风格、行业的轮动；最后，</w:t>
      </w:r>
      <w:r>
        <w:rPr>
          <w:rFonts w:ascii="楷体_GB2312" w:hint="eastAsia"/>
          <w:color w:val="auto"/>
        </w:rPr>
        <w:t>两会窗口临近，</w:t>
      </w:r>
      <w:r>
        <w:rPr>
          <w:rFonts w:cs="Arial" w:hint="eastAsia"/>
        </w:rPr>
        <w:t>受益于政策预期的主题投资机会有望活跃，投资者可继续</w:t>
      </w:r>
      <w:r w:rsidRPr="002332D7">
        <w:rPr>
          <w:rFonts w:ascii="楷体_GB2312" w:hint="eastAsia"/>
          <w:color w:val="auto"/>
        </w:rPr>
        <w:t>甄选主题投资配置较多且擅长把握相关投资机会的产品。具体来看：</w:t>
      </w:r>
    </w:p>
    <w:p w:rsidR="00EE1CC3" w:rsidRPr="00E869E6" w:rsidRDefault="00EE1CC3" w:rsidP="00EE1CC3">
      <w:pPr>
        <w:pStyle w:val="a0"/>
        <w:numPr>
          <w:ilvl w:val="5"/>
          <w:numId w:val="36"/>
        </w:numPr>
        <w:spacing w:line="240" w:lineRule="auto"/>
        <w:ind w:left="4140" w:hanging="369"/>
        <w:rPr>
          <w:rFonts w:ascii="楷体_GB2312"/>
          <w:color w:val="auto"/>
        </w:rPr>
      </w:pPr>
      <w:r w:rsidRPr="002332D7">
        <w:rPr>
          <w:rFonts w:ascii="楷体_GB2312" w:hint="eastAsia"/>
          <w:color w:val="auto"/>
        </w:rPr>
        <w:t>首先，</w:t>
      </w:r>
      <w:r>
        <w:rPr>
          <w:rFonts w:ascii="楷体_GB2312" w:hint="eastAsia"/>
          <w:color w:val="auto"/>
        </w:rPr>
        <w:t>年初以来以</w:t>
      </w:r>
      <w:r w:rsidRPr="006F0991">
        <w:rPr>
          <w:rFonts w:ascii="楷体_GB2312" w:hint="eastAsia"/>
          <w:color w:val="auto"/>
        </w:rPr>
        <w:t>金融地产</w:t>
      </w:r>
      <w:r>
        <w:rPr>
          <w:rFonts w:ascii="楷体_GB2312" w:hint="eastAsia"/>
          <w:color w:val="auto"/>
        </w:rPr>
        <w:t>为代表的</w:t>
      </w:r>
      <w:r w:rsidRPr="006F0991">
        <w:rPr>
          <w:rFonts w:ascii="楷体_GB2312" w:hint="eastAsia"/>
          <w:color w:val="auto"/>
        </w:rPr>
        <w:t>蓝筹</w:t>
      </w:r>
      <w:r>
        <w:rPr>
          <w:rFonts w:ascii="楷体_GB2312" w:hint="eastAsia"/>
          <w:color w:val="auto"/>
        </w:rPr>
        <w:t>股明显调整</w:t>
      </w:r>
      <w:r w:rsidRPr="006F0991">
        <w:rPr>
          <w:rFonts w:ascii="楷体_GB2312" w:hint="eastAsia"/>
          <w:color w:val="auto"/>
        </w:rPr>
        <w:t>，</w:t>
      </w:r>
      <w:r>
        <w:rPr>
          <w:rFonts w:ascii="楷体_GB2312" w:hint="eastAsia"/>
          <w:color w:val="auto"/>
        </w:rPr>
        <w:t>随着经济疲弱态势恶化央行明显加快宽松的节奏，市场对于政策的博弈也给蓝筹股带来投资机会。与此同时，两会临近，市场将更多关注改革政策的进展，</w:t>
      </w:r>
      <w:r w:rsidRPr="00D63DE9">
        <w:rPr>
          <w:rFonts w:ascii="楷体_GB2312" w:hint="eastAsia"/>
          <w:color w:val="auto"/>
        </w:rPr>
        <w:t>以国企改革、</w:t>
      </w:r>
      <w:r>
        <w:rPr>
          <w:rFonts w:ascii="楷体_GB2312" w:hint="eastAsia"/>
          <w:color w:val="auto"/>
        </w:rPr>
        <w:t>一带一路、</w:t>
      </w:r>
      <w:r w:rsidRPr="00D63DE9">
        <w:rPr>
          <w:rFonts w:ascii="楷体_GB2312" w:hint="eastAsia"/>
          <w:color w:val="auto"/>
        </w:rPr>
        <w:t>金融改革</w:t>
      </w:r>
      <w:r>
        <w:rPr>
          <w:rFonts w:ascii="楷体_GB2312" w:hint="eastAsia"/>
          <w:color w:val="auto"/>
        </w:rPr>
        <w:t>为代表的政策预期板块，更多以周期蓝筹股为主。而以创业板为代表的小盘股年初以来涨幅较大，阶段回调风险不断积聚。</w:t>
      </w:r>
      <w:r w:rsidRPr="005B4197">
        <w:rPr>
          <w:rFonts w:ascii="楷体_GB2312" w:hint="eastAsia"/>
          <w:color w:val="auto"/>
        </w:rPr>
        <w:t>因此，基金投资组合从风格角度可在前期均衡的基础上，减持小盘成长风格突出、重仓股涨幅过大的产品，适当关注大盘蓝筹风格的蓄势待发，并在业绩披露其，搭配业绩稳定增长、估值不高的白马成</w:t>
      </w:r>
      <w:r w:rsidRPr="00E869E6">
        <w:rPr>
          <w:rFonts w:ascii="楷体_GB2312" w:hint="eastAsia"/>
          <w:color w:val="auto"/>
        </w:rPr>
        <w:t>长股。</w:t>
      </w:r>
    </w:p>
    <w:p w:rsidR="00EE1CC3" w:rsidRPr="00E869E6" w:rsidRDefault="00EE1CC3" w:rsidP="00EE1CC3">
      <w:pPr>
        <w:pStyle w:val="a0"/>
        <w:numPr>
          <w:ilvl w:val="5"/>
          <w:numId w:val="36"/>
        </w:numPr>
        <w:spacing w:line="240" w:lineRule="auto"/>
        <w:ind w:left="4140" w:hanging="369"/>
        <w:rPr>
          <w:rFonts w:ascii="楷体_GB2312"/>
          <w:color w:val="auto"/>
        </w:rPr>
      </w:pPr>
      <w:r w:rsidRPr="00E869E6">
        <w:rPr>
          <w:rFonts w:ascii="楷体_GB2312" w:hint="eastAsia"/>
          <w:color w:val="auto"/>
        </w:rPr>
        <w:t>在具体的产品上，</w:t>
      </w:r>
      <w:r>
        <w:rPr>
          <w:rFonts w:ascii="楷体_GB2312" w:hint="eastAsia"/>
          <w:color w:val="auto"/>
        </w:rPr>
        <w:t>由于年初以来市场风格发生较大的变化，基金对于持仓结构的调整以及信息披露的滞后，很难把握各个基金当前投资结构。因此</w:t>
      </w:r>
      <w:r w:rsidRPr="00E869E6">
        <w:rPr>
          <w:rFonts w:ascii="楷体_GB2312" w:hint="eastAsia"/>
          <w:color w:val="auto"/>
        </w:rPr>
        <w:t>投资者可</w:t>
      </w:r>
      <w:r>
        <w:rPr>
          <w:rFonts w:ascii="楷体_GB2312" w:hint="eastAsia"/>
          <w:color w:val="auto"/>
        </w:rPr>
        <w:t>关注历史投资风格稳定的产品，并通过不同风格产品搭配达到效果。比如，</w:t>
      </w:r>
      <w:r w:rsidRPr="00E869E6">
        <w:rPr>
          <w:rFonts w:ascii="楷体_GB2312" w:hint="eastAsia"/>
          <w:color w:val="auto"/>
        </w:rPr>
        <w:t>以平衡型产品为基础</w:t>
      </w:r>
      <w:r>
        <w:rPr>
          <w:rFonts w:ascii="楷体_GB2312" w:hint="eastAsia"/>
          <w:color w:val="auto"/>
        </w:rPr>
        <w:t>（包括</w:t>
      </w:r>
      <w:r w:rsidRPr="00E869E6">
        <w:rPr>
          <w:rFonts w:ascii="楷体_GB2312" w:hint="eastAsia"/>
          <w:color w:val="auto"/>
        </w:rPr>
        <w:t>银华和谐主题、光大动态配置、富国天成、大摩量化配置、大成价值、兴全趋势、建信优化、上投双息</w:t>
      </w:r>
      <w:r>
        <w:rPr>
          <w:rFonts w:ascii="楷体_GB2312" w:hint="eastAsia"/>
          <w:color w:val="auto"/>
        </w:rPr>
        <w:t>等）</w:t>
      </w:r>
      <w:r w:rsidRPr="00E869E6">
        <w:rPr>
          <w:rFonts w:ascii="楷体_GB2312" w:hint="eastAsia"/>
          <w:color w:val="auto"/>
        </w:rPr>
        <w:t>，</w:t>
      </w:r>
      <w:r>
        <w:rPr>
          <w:rFonts w:ascii="楷体_GB2312" w:hint="eastAsia"/>
          <w:color w:val="auto"/>
        </w:rPr>
        <w:t>短期适当增加蓝筹风格投资管理能力较强的产</w:t>
      </w:r>
      <w:r w:rsidRPr="00E869E6">
        <w:rPr>
          <w:rFonts w:ascii="楷体_GB2312" w:hint="eastAsia"/>
          <w:color w:val="auto"/>
        </w:rPr>
        <w:t>品</w:t>
      </w:r>
      <w:r>
        <w:rPr>
          <w:rFonts w:ascii="楷体_GB2312" w:hint="eastAsia"/>
          <w:color w:val="auto"/>
        </w:rPr>
        <w:t>（</w:t>
      </w:r>
      <w:r w:rsidRPr="00E869E6">
        <w:rPr>
          <w:rFonts w:ascii="楷体_GB2312" w:hint="eastAsia"/>
          <w:color w:val="auto"/>
        </w:rPr>
        <w:t>如招商大盘、南方成份精选、博时主题、东方成长、新华优选、博时特许、添富价值等</w:t>
      </w:r>
      <w:r>
        <w:rPr>
          <w:rFonts w:ascii="楷体_GB2312" w:hint="eastAsia"/>
          <w:color w:val="auto"/>
        </w:rPr>
        <w:t>），以及稳健成长风格的产品（如兴全绿色、南方高端装备、长盛创新先锋、添富逆向策略、招商安泰股票、宝盈策略增长、长盛电子信息、华泰积极成长、交银优势行业、国联安小盘等）</w:t>
      </w:r>
      <w:r w:rsidRPr="00E869E6">
        <w:rPr>
          <w:rFonts w:ascii="楷体_GB2312" w:hint="eastAsia"/>
          <w:color w:val="auto"/>
        </w:rPr>
        <w:t>。</w:t>
      </w:r>
    </w:p>
    <w:tbl>
      <w:tblPr>
        <w:tblpPr w:leftFromText="180" w:rightFromText="180" w:vertAnchor="text" w:tblpY="1"/>
        <w:tblOverlap w:val="never"/>
        <w:tblW w:w="10771" w:type="dxa"/>
        <w:tblLayout w:type="fixed"/>
        <w:tblCellMar>
          <w:left w:w="0" w:type="dxa"/>
          <w:right w:w="0" w:type="dxa"/>
        </w:tblCellMar>
        <w:tblLook w:val="0000" w:firstRow="0" w:lastRow="0" w:firstColumn="0" w:lastColumn="0" w:noHBand="0" w:noVBand="0"/>
      </w:tblPr>
      <w:tblGrid>
        <w:gridCol w:w="5272"/>
        <w:gridCol w:w="227"/>
        <w:gridCol w:w="1164"/>
        <w:gridCol w:w="4108"/>
      </w:tblGrid>
      <w:tr w:rsidR="00EE1CC3" w:rsidTr="00C31BEB">
        <w:trPr>
          <w:cantSplit/>
          <w:trHeight w:val="200"/>
        </w:trPr>
        <w:tc>
          <w:tcPr>
            <w:tcW w:w="5272" w:type="dxa"/>
            <w:tcBorders>
              <w:top w:val="single" w:sz="4" w:space="0" w:color="00A0E9"/>
              <w:bottom w:val="single" w:sz="4" w:space="0" w:color="00A0E9"/>
            </w:tcBorders>
            <w:shd w:val="clear" w:color="auto" w:fill="auto"/>
          </w:tcPr>
          <w:p w:rsidR="00EE1CC3" w:rsidRDefault="00EE1CC3" w:rsidP="00C31BEB">
            <w:pPr>
              <w:pStyle w:val="SubTitleLargeTable"/>
            </w:pPr>
            <w:r>
              <w:rPr>
                <w:rFonts w:hint="eastAsia"/>
              </w:rPr>
              <w:t>图表</w:t>
            </w:r>
            <w:r w:rsidR="000A76EF">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0A76EF">
              <w:fldChar w:fldCharType="separate"/>
            </w:r>
            <w:r>
              <w:rPr>
                <w:noProof/>
              </w:rPr>
              <w:t>1</w:t>
            </w:r>
            <w:r w:rsidR="000A76EF">
              <w:fldChar w:fldCharType="end"/>
            </w:r>
            <w:r>
              <w:rPr>
                <w:rFonts w:hint="eastAsia"/>
              </w:rPr>
              <w:t>：偏向成长风格且组合市盈率相对合理的产品</w:t>
            </w:r>
          </w:p>
        </w:tc>
        <w:tc>
          <w:tcPr>
            <w:tcW w:w="227" w:type="dxa"/>
          </w:tcPr>
          <w:p w:rsidR="00EE1CC3" w:rsidRPr="00816267" w:rsidRDefault="00EE1CC3" w:rsidP="00C31BEB">
            <w:pPr>
              <w:pStyle w:val="a0"/>
              <w:spacing w:after="0" w:line="10" w:lineRule="atLeast"/>
              <w:ind w:left="0"/>
              <w:jc w:val="center"/>
              <w:rPr>
                <w:rFonts w:ascii="楷体_GB2312"/>
              </w:rPr>
            </w:pPr>
          </w:p>
        </w:tc>
        <w:tc>
          <w:tcPr>
            <w:tcW w:w="5272" w:type="dxa"/>
            <w:gridSpan w:val="2"/>
            <w:tcBorders>
              <w:top w:val="single" w:sz="4" w:space="0" w:color="00A0E9"/>
              <w:bottom w:val="single" w:sz="4" w:space="0" w:color="00A0E9"/>
            </w:tcBorders>
            <w:shd w:val="clear" w:color="auto" w:fill="auto"/>
          </w:tcPr>
          <w:p w:rsidR="00EE1CC3" w:rsidRDefault="00EE1CC3" w:rsidP="00C31BEB">
            <w:pPr>
              <w:pStyle w:val="SubTitleLargeTable"/>
            </w:pPr>
            <w:r>
              <w:rPr>
                <w:rFonts w:hint="eastAsia"/>
              </w:rPr>
              <w:t>图表</w:t>
            </w:r>
            <w:r w:rsidR="000A76EF">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0A76EF">
              <w:fldChar w:fldCharType="separate"/>
            </w:r>
            <w:r>
              <w:rPr>
                <w:noProof/>
              </w:rPr>
              <w:t>2</w:t>
            </w:r>
            <w:r w:rsidR="000A76EF">
              <w:fldChar w:fldCharType="end"/>
            </w:r>
            <w:r>
              <w:rPr>
                <w:rFonts w:hint="eastAsia"/>
              </w:rPr>
              <w:t>：重点关注的平衡型基金</w:t>
            </w:r>
          </w:p>
        </w:tc>
      </w:tr>
      <w:tr w:rsidR="00EE1CC3" w:rsidRPr="008D0D7E" w:rsidTr="00C31BEB">
        <w:trPr>
          <w:cantSplit/>
          <w:trHeight w:val="284"/>
        </w:trPr>
        <w:tc>
          <w:tcPr>
            <w:tcW w:w="5272" w:type="dxa"/>
            <w:vMerge w:val="restart"/>
            <w:tcBorders>
              <w:top w:val="single" w:sz="4" w:space="0" w:color="00A0E9"/>
            </w:tcBorders>
            <w:shd w:val="clear" w:color="auto" w:fill="auto"/>
            <w:vAlign w:val="center"/>
          </w:tcPr>
          <w:p w:rsidR="00EE1CC3" w:rsidRPr="008D0D7E" w:rsidRDefault="00EE1CC3" w:rsidP="00C31BEB">
            <w:r>
              <w:rPr>
                <w:noProof/>
              </w:rPr>
              <w:drawing>
                <wp:inline distT="0" distB="0" distL="0" distR="0">
                  <wp:extent cx="3343275" cy="2009775"/>
                  <wp:effectExtent l="19050" t="0" r="9525" b="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srcRect/>
                          <a:stretch>
                            <a:fillRect/>
                          </a:stretch>
                        </pic:blipFill>
                        <pic:spPr bwMode="auto">
                          <a:xfrm>
                            <a:off x="0" y="0"/>
                            <a:ext cx="3343275" cy="2009775"/>
                          </a:xfrm>
                          <a:prstGeom prst="rect">
                            <a:avLst/>
                          </a:prstGeom>
                          <a:noFill/>
                          <a:ln w="9525">
                            <a:noFill/>
                            <a:miter lim="800000"/>
                            <a:headEnd/>
                            <a:tailEnd/>
                          </a:ln>
                        </pic:spPr>
                      </pic:pic>
                    </a:graphicData>
                  </a:graphic>
                </wp:inline>
              </w:drawing>
            </w:r>
          </w:p>
        </w:tc>
        <w:tc>
          <w:tcPr>
            <w:tcW w:w="227" w:type="dxa"/>
            <w:vMerge w:val="restart"/>
          </w:tcPr>
          <w:p w:rsidR="00EE1CC3" w:rsidRPr="008D0D7E" w:rsidRDefault="00EE1CC3" w:rsidP="00C31BEB">
            <w:r>
              <w:t xml:space="preserve">  </w:t>
            </w:r>
          </w:p>
        </w:tc>
        <w:tc>
          <w:tcPr>
            <w:tcW w:w="1164" w:type="dxa"/>
            <w:tcBorders>
              <w:top w:val="single" w:sz="4" w:space="0" w:color="00A0E9"/>
              <w:bottom w:val="single" w:sz="4" w:space="0" w:color="F2F2F2"/>
              <w:right w:val="single" w:sz="4" w:space="0" w:color="F2F2F2"/>
            </w:tcBorders>
            <w:shd w:val="clear" w:color="auto" w:fill="auto"/>
            <w:vAlign w:val="center"/>
          </w:tcPr>
          <w:p w:rsidR="00EE1CC3" w:rsidRPr="00EF2B22" w:rsidRDefault="00EE1CC3" w:rsidP="00C31BEB">
            <w:pPr>
              <w:jc w:val="center"/>
              <w:rPr>
                <w:b/>
              </w:rPr>
            </w:pPr>
            <w:r w:rsidRPr="00EF2B22">
              <w:rPr>
                <w:rFonts w:hint="eastAsia"/>
                <w:b/>
              </w:rPr>
              <w:t>基金名称</w:t>
            </w:r>
          </w:p>
        </w:tc>
        <w:tc>
          <w:tcPr>
            <w:tcW w:w="4108" w:type="dxa"/>
            <w:tcBorders>
              <w:top w:val="single" w:sz="4" w:space="0" w:color="00A0E9"/>
              <w:left w:val="single" w:sz="4" w:space="0" w:color="F2F2F2"/>
              <w:bottom w:val="single" w:sz="4" w:space="0" w:color="F2F2F2"/>
            </w:tcBorders>
            <w:shd w:val="clear" w:color="auto" w:fill="auto"/>
            <w:vAlign w:val="center"/>
          </w:tcPr>
          <w:p w:rsidR="00EE1CC3" w:rsidRPr="00EF2B22" w:rsidRDefault="00EE1CC3" w:rsidP="00C31BEB">
            <w:pPr>
              <w:jc w:val="center"/>
              <w:rPr>
                <w:b/>
              </w:rPr>
            </w:pPr>
            <w:r w:rsidRPr="00EF2B22">
              <w:rPr>
                <w:rFonts w:hint="eastAsia"/>
                <w:b/>
              </w:rPr>
              <w:t>行业配置比例（按重仓股行业分布）</w:t>
            </w:r>
          </w:p>
        </w:tc>
      </w:tr>
      <w:tr w:rsidR="00EE1CC3" w:rsidRPr="008D0D7E" w:rsidTr="00C31BEB">
        <w:trPr>
          <w:cantSplit/>
          <w:trHeight w:val="284"/>
        </w:trPr>
        <w:tc>
          <w:tcPr>
            <w:tcW w:w="5272" w:type="dxa"/>
            <w:vMerge/>
            <w:shd w:val="clear" w:color="auto" w:fill="auto"/>
          </w:tcPr>
          <w:p w:rsidR="00EE1CC3" w:rsidRPr="00EF2B22" w:rsidRDefault="00EE1CC3" w:rsidP="00C31BEB"/>
        </w:tc>
        <w:tc>
          <w:tcPr>
            <w:tcW w:w="227" w:type="dxa"/>
            <w:vMerge/>
          </w:tcPr>
          <w:p w:rsidR="00EE1CC3" w:rsidRDefault="00EE1CC3" w:rsidP="00C31BEB"/>
        </w:tc>
        <w:tc>
          <w:tcPr>
            <w:tcW w:w="1164" w:type="dxa"/>
            <w:tcBorders>
              <w:top w:val="single" w:sz="4" w:space="0" w:color="F2F2F2"/>
              <w:bottom w:val="single" w:sz="4" w:space="0" w:color="F2F2F2"/>
              <w:right w:val="single" w:sz="4" w:space="0" w:color="F2F2F2"/>
            </w:tcBorders>
            <w:shd w:val="clear" w:color="auto" w:fill="auto"/>
            <w:vAlign w:val="center"/>
          </w:tcPr>
          <w:p w:rsidR="00EE1CC3" w:rsidRPr="00DD73E5" w:rsidRDefault="00EE1CC3" w:rsidP="00C31BEB">
            <w:pPr>
              <w:adjustRightInd w:val="0"/>
              <w:snapToGrid w:val="0"/>
              <w:jc w:val="center"/>
              <w:rPr>
                <w:rFonts w:ascii="楷体_GB2312" w:hAnsi="宋体" w:cs="宋体"/>
                <w:color w:val="000000"/>
                <w:sz w:val="15"/>
                <w:szCs w:val="15"/>
              </w:rPr>
            </w:pPr>
            <w:r w:rsidRPr="00DD73E5">
              <w:rPr>
                <w:rFonts w:ascii="楷体_GB2312" w:hAnsi="宋体" w:hint="eastAsia"/>
                <w:color w:val="000000"/>
                <w:sz w:val="15"/>
                <w:szCs w:val="15"/>
              </w:rPr>
              <w:t>银华和谐主题</w:t>
            </w:r>
          </w:p>
        </w:tc>
        <w:tc>
          <w:tcPr>
            <w:tcW w:w="4108" w:type="dxa"/>
            <w:tcBorders>
              <w:top w:val="single" w:sz="4" w:space="0" w:color="F2F2F2"/>
              <w:left w:val="single" w:sz="4" w:space="0" w:color="F2F2F2"/>
              <w:bottom w:val="single" w:sz="4" w:space="0" w:color="F2F2F2"/>
            </w:tcBorders>
            <w:shd w:val="clear" w:color="auto" w:fill="auto"/>
            <w:vAlign w:val="center"/>
          </w:tcPr>
          <w:p w:rsidR="00EE1CC3" w:rsidRPr="00DD73E5" w:rsidRDefault="00EE1CC3" w:rsidP="00C31BEB">
            <w:pPr>
              <w:adjustRightInd w:val="0"/>
              <w:snapToGrid w:val="0"/>
              <w:rPr>
                <w:rFonts w:ascii="楷体_GB2312" w:hAnsi="宋体" w:cs="宋体"/>
                <w:color w:val="000000"/>
                <w:sz w:val="15"/>
                <w:szCs w:val="15"/>
              </w:rPr>
            </w:pPr>
            <w:r w:rsidRPr="00DD73E5">
              <w:rPr>
                <w:rFonts w:ascii="楷体_GB2312" w:hAnsi="宋体" w:hint="eastAsia"/>
                <w:color w:val="000000"/>
                <w:sz w:val="15"/>
                <w:szCs w:val="15"/>
              </w:rPr>
              <w:t>房地产10.6,建筑材料5.2,电气设备5.0,非银金融4.9,纺织服装3.9</w:t>
            </w:r>
          </w:p>
        </w:tc>
      </w:tr>
      <w:tr w:rsidR="00EE1CC3" w:rsidRPr="008D0D7E" w:rsidTr="00C31BEB">
        <w:trPr>
          <w:cantSplit/>
          <w:trHeight w:val="284"/>
        </w:trPr>
        <w:tc>
          <w:tcPr>
            <w:tcW w:w="5272" w:type="dxa"/>
            <w:vMerge/>
            <w:shd w:val="clear" w:color="auto" w:fill="auto"/>
          </w:tcPr>
          <w:p w:rsidR="00EE1CC3" w:rsidRPr="00EF2B22" w:rsidRDefault="00EE1CC3" w:rsidP="00C31BEB"/>
        </w:tc>
        <w:tc>
          <w:tcPr>
            <w:tcW w:w="227" w:type="dxa"/>
            <w:vMerge/>
          </w:tcPr>
          <w:p w:rsidR="00EE1CC3" w:rsidRDefault="00EE1CC3" w:rsidP="00C31BEB"/>
        </w:tc>
        <w:tc>
          <w:tcPr>
            <w:tcW w:w="1164" w:type="dxa"/>
            <w:tcBorders>
              <w:top w:val="single" w:sz="4" w:space="0" w:color="F2F2F2"/>
              <w:bottom w:val="single" w:sz="4" w:space="0" w:color="F2F2F2"/>
              <w:right w:val="single" w:sz="4" w:space="0" w:color="F2F2F2"/>
            </w:tcBorders>
            <w:shd w:val="clear" w:color="auto" w:fill="auto"/>
            <w:vAlign w:val="center"/>
          </w:tcPr>
          <w:p w:rsidR="00EE1CC3" w:rsidRPr="00DD73E5" w:rsidRDefault="00EE1CC3" w:rsidP="00C31BEB">
            <w:pPr>
              <w:adjustRightInd w:val="0"/>
              <w:snapToGrid w:val="0"/>
              <w:jc w:val="center"/>
              <w:rPr>
                <w:rFonts w:ascii="楷体_GB2312" w:hAnsi="宋体" w:cs="宋体"/>
                <w:color w:val="000000"/>
                <w:sz w:val="15"/>
                <w:szCs w:val="15"/>
              </w:rPr>
            </w:pPr>
            <w:r w:rsidRPr="00DD73E5">
              <w:rPr>
                <w:rFonts w:ascii="楷体_GB2312" w:hAnsi="宋体" w:hint="eastAsia"/>
                <w:color w:val="000000"/>
                <w:sz w:val="15"/>
                <w:szCs w:val="15"/>
              </w:rPr>
              <w:t>光大配置</w:t>
            </w:r>
          </w:p>
        </w:tc>
        <w:tc>
          <w:tcPr>
            <w:tcW w:w="4108" w:type="dxa"/>
            <w:tcBorders>
              <w:top w:val="single" w:sz="4" w:space="0" w:color="F2F2F2"/>
              <w:left w:val="single" w:sz="4" w:space="0" w:color="F2F2F2"/>
              <w:bottom w:val="single" w:sz="4" w:space="0" w:color="F2F2F2"/>
            </w:tcBorders>
            <w:shd w:val="clear" w:color="auto" w:fill="auto"/>
            <w:vAlign w:val="center"/>
          </w:tcPr>
          <w:p w:rsidR="00EE1CC3" w:rsidRPr="00DD73E5" w:rsidRDefault="00EE1CC3" w:rsidP="00C31BEB">
            <w:pPr>
              <w:adjustRightInd w:val="0"/>
              <w:snapToGrid w:val="0"/>
              <w:rPr>
                <w:rFonts w:ascii="楷体_GB2312" w:hAnsi="宋体" w:cs="宋体"/>
                <w:color w:val="000000"/>
                <w:sz w:val="15"/>
                <w:szCs w:val="15"/>
              </w:rPr>
            </w:pPr>
            <w:r w:rsidRPr="00DD73E5">
              <w:rPr>
                <w:rFonts w:ascii="楷体_GB2312" w:hAnsi="宋体" w:hint="eastAsia"/>
                <w:color w:val="000000"/>
                <w:sz w:val="15"/>
                <w:szCs w:val="15"/>
              </w:rPr>
              <w:t>机械设备5.8,银行4.8,计算机4.0,轻工制造3.9,</w:t>
            </w:r>
            <w:r>
              <w:rPr>
                <w:rFonts w:ascii="楷体_GB2312" w:hAnsi="宋体" w:hint="eastAsia"/>
                <w:color w:val="000000"/>
                <w:sz w:val="15"/>
                <w:szCs w:val="15"/>
              </w:rPr>
              <w:t>家</w:t>
            </w:r>
            <w:r w:rsidRPr="00DD73E5">
              <w:rPr>
                <w:rFonts w:ascii="楷体_GB2312" w:hAnsi="宋体" w:hint="eastAsia"/>
                <w:color w:val="000000"/>
                <w:sz w:val="15"/>
                <w:szCs w:val="15"/>
              </w:rPr>
              <w:t>电3.7</w:t>
            </w:r>
          </w:p>
        </w:tc>
      </w:tr>
      <w:tr w:rsidR="00EE1CC3" w:rsidRPr="008D0D7E" w:rsidTr="00C31BEB">
        <w:trPr>
          <w:cantSplit/>
          <w:trHeight w:val="284"/>
        </w:trPr>
        <w:tc>
          <w:tcPr>
            <w:tcW w:w="5272" w:type="dxa"/>
            <w:vMerge/>
            <w:shd w:val="clear" w:color="auto" w:fill="auto"/>
          </w:tcPr>
          <w:p w:rsidR="00EE1CC3" w:rsidRPr="00EF2B22" w:rsidRDefault="00EE1CC3" w:rsidP="00C31BEB"/>
        </w:tc>
        <w:tc>
          <w:tcPr>
            <w:tcW w:w="227" w:type="dxa"/>
            <w:vMerge/>
          </w:tcPr>
          <w:p w:rsidR="00EE1CC3" w:rsidRDefault="00EE1CC3" w:rsidP="00C31BEB"/>
        </w:tc>
        <w:tc>
          <w:tcPr>
            <w:tcW w:w="1164" w:type="dxa"/>
            <w:tcBorders>
              <w:top w:val="single" w:sz="4" w:space="0" w:color="F2F2F2"/>
              <w:bottom w:val="single" w:sz="4" w:space="0" w:color="F2F2F2"/>
              <w:right w:val="single" w:sz="4" w:space="0" w:color="F2F2F2"/>
            </w:tcBorders>
            <w:shd w:val="clear" w:color="auto" w:fill="auto"/>
            <w:vAlign w:val="center"/>
          </w:tcPr>
          <w:p w:rsidR="00EE1CC3" w:rsidRPr="00DD73E5" w:rsidRDefault="00EE1CC3" w:rsidP="00C31BEB">
            <w:pPr>
              <w:adjustRightInd w:val="0"/>
              <w:snapToGrid w:val="0"/>
              <w:jc w:val="center"/>
              <w:rPr>
                <w:rFonts w:ascii="楷体_GB2312" w:hAnsi="宋体" w:cs="宋体"/>
                <w:color w:val="000000"/>
                <w:sz w:val="15"/>
                <w:szCs w:val="15"/>
              </w:rPr>
            </w:pPr>
            <w:r w:rsidRPr="00DD73E5">
              <w:rPr>
                <w:rFonts w:ascii="楷体_GB2312" w:hAnsi="宋体" w:hint="eastAsia"/>
                <w:color w:val="000000"/>
                <w:sz w:val="15"/>
                <w:szCs w:val="15"/>
              </w:rPr>
              <w:t>富国天成</w:t>
            </w:r>
          </w:p>
        </w:tc>
        <w:tc>
          <w:tcPr>
            <w:tcW w:w="4108" w:type="dxa"/>
            <w:tcBorders>
              <w:top w:val="single" w:sz="4" w:space="0" w:color="F2F2F2"/>
              <w:left w:val="single" w:sz="4" w:space="0" w:color="F2F2F2"/>
              <w:bottom w:val="single" w:sz="4" w:space="0" w:color="F2F2F2"/>
            </w:tcBorders>
            <w:shd w:val="clear" w:color="auto" w:fill="auto"/>
            <w:vAlign w:val="center"/>
          </w:tcPr>
          <w:p w:rsidR="00EE1CC3" w:rsidRPr="00DD73E5" w:rsidRDefault="00EE1CC3" w:rsidP="00C31BEB">
            <w:pPr>
              <w:adjustRightInd w:val="0"/>
              <w:snapToGrid w:val="0"/>
              <w:rPr>
                <w:rFonts w:ascii="楷体_GB2312" w:hAnsi="宋体" w:cs="宋体"/>
                <w:color w:val="000000"/>
                <w:sz w:val="15"/>
                <w:szCs w:val="15"/>
              </w:rPr>
            </w:pPr>
            <w:r w:rsidRPr="00DD73E5">
              <w:rPr>
                <w:rFonts w:ascii="楷体_GB2312" w:hAnsi="宋体" w:hint="eastAsia"/>
                <w:color w:val="000000"/>
                <w:sz w:val="15"/>
                <w:szCs w:val="15"/>
              </w:rPr>
              <w:t>银行4.6,化工2.9,传媒1.6,有色金属1.6,休闲服务1.6</w:t>
            </w:r>
          </w:p>
        </w:tc>
      </w:tr>
      <w:tr w:rsidR="00EE1CC3" w:rsidRPr="008D0D7E" w:rsidTr="00C31BEB">
        <w:trPr>
          <w:cantSplit/>
          <w:trHeight w:val="284"/>
        </w:trPr>
        <w:tc>
          <w:tcPr>
            <w:tcW w:w="5272" w:type="dxa"/>
            <w:vMerge/>
            <w:shd w:val="clear" w:color="auto" w:fill="auto"/>
          </w:tcPr>
          <w:p w:rsidR="00EE1CC3" w:rsidRPr="00EF2B22" w:rsidRDefault="00EE1CC3" w:rsidP="00C31BEB"/>
        </w:tc>
        <w:tc>
          <w:tcPr>
            <w:tcW w:w="227" w:type="dxa"/>
            <w:vMerge/>
          </w:tcPr>
          <w:p w:rsidR="00EE1CC3" w:rsidRDefault="00EE1CC3" w:rsidP="00C31BEB"/>
        </w:tc>
        <w:tc>
          <w:tcPr>
            <w:tcW w:w="1164" w:type="dxa"/>
            <w:tcBorders>
              <w:top w:val="single" w:sz="4" w:space="0" w:color="F2F2F2"/>
              <w:bottom w:val="single" w:sz="4" w:space="0" w:color="F2F2F2"/>
              <w:right w:val="single" w:sz="4" w:space="0" w:color="F2F2F2"/>
            </w:tcBorders>
            <w:shd w:val="clear" w:color="auto" w:fill="auto"/>
            <w:vAlign w:val="center"/>
          </w:tcPr>
          <w:p w:rsidR="00EE1CC3" w:rsidRPr="00DD73E5" w:rsidRDefault="00EE1CC3" w:rsidP="00C31BEB">
            <w:pPr>
              <w:adjustRightInd w:val="0"/>
              <w:snapToGrid w:val="0"/>
              <w:jc w:val="center"/>
              <w:rPr>
                <w:rFonts w:ascii="楷体_GB2312" w:hAnsi="宋体" w:cs="宋体"/>
                <w:color w:val="000000"/>
                <w:sz w:val="15"/>
                <w:szCs w:val="15"/>
              </w:rPr>
            </w:pPr>
            <w:r>
              <w:rPr>
                <w:rFonts w:ascii="楷体_GB2312" w:hAnsi="宋体" w:cs="宋体" w:hint="eastAsia"/>
                <w:color w:val="000000"/>
                <w:sz w:val="15"/>
                <w:szCs w:val="15"/>
              </w:rPr>
              <w:t>大摩量化配置</w:t>
            </w:r>
          </w:p>
        </w:tc>
        <w:tc>
          <w:tcPr>
            <w:tcW w:w="4108" w:type="dxa"/>
            <w:tcBorders>
              <w:top w:val="single" w:sz="4" w:space="0" w:color="F2F2F2"/>
              <w:left w:val="single" w:sz="4" w:space="0" w:color="F2F2F2"/>
              <w:bottom w:val="single" w:sz="4" w:space="0" w:color="F2F2F2"/>
            </w:tcBorders>
            <w:shd w:val="clear" w:color="auto" w:fill="auto"/>
            <w:vAlign w:val="center"/>
          </w:tcPr>
          <w:p w:rsidR="00EE1CC3" w:rsidRPr="00DD73E5" w:rsidRDefault="00EE1CC3" w:rsidP="00C31BEB">
            <w:pPr>
              <w:adjustRightInd w:val="0"/>
              <w:snapToGrid w:val="0"/>
              <w:rPr>
                <w:rFonts w:ascii="楷体_GB2312" w:hAnsi="宋体" w:cs="宋体"/>
                <w:color w:val="000000"/>
                <w:sz w:val="15"/>
                <w:szCs w:val="15"/>
              </w:rPr>
            </w:pPr>
            <w:r w:rsidRPr="00083531">
              <w:rPr>
                <w:rFonts w:ascii="楷体_GB2312" w:hAnsi="宋体" w:cs="宋体" w:hint="eastAsia"/>
                <w:color w:val="000000"/>
                <w:sz w:val="15"/>
                <w:szCs w:val="15"/>
              </w:rPr>
              <w:t>计算机8.6,银行6.1,通信1.7,纺织服装1.4,房地产1.3</w:t>
            </w:r>
          </w:p>
        </w:tc>
      </w:tr>
      <w:tr w:rsidR="00EE1CC3" w:rsidRPr="008D0D7E" w:rsidTr="00C31BEB">
        <w:trPr>
          <w:cantSplit/>
          <w:trHeight w:val="284"/>
        </w:trPr>
        <w:tc>
          <w:tcPr>
            <w:tcW w:w="5272" w:type="dxa"/>
            <w:vMerge/>
            <w:shd w:val="clear" w:color="auto" w:fill="auto"/>
          </w:tcPr>
          <w:p w:rsidR="00EE1CC3" w:rsidRPr="00EF2B22" w:rsidRDefault="00EE1CC3" w:rsidP="00C31BEB"/>
        </w:tc>
        <w:tc>
          <w:tcPr>
            <w:tcW w:w="227" w:type="dxa"/>
            <w:vMerge/>
          </w:tcPr>
          <w:p w:rsidR="00EE1CC3" w:rsidRDefault="00EE1CC3" w:rsidP="00C31BEB"/>
        </w:tc>
        <w:tc>
          <w:tcPr>
            <w:tcW w:w="1164" w:type="dxa"/>
            <w:tcBorders>
              <w:top w:val="single" w:sz="4" w:space="0" w:color="F2F2F2"/>
              <w:bottom w:val="single" w:sz="4" w:space="0" w:color="F2F2F2"/>
              <w:right w:val="single" w:sz="4" w:space="0" w:color="F2F2F2"/>
            </w:tcBorders>
            <w:shd w:val="clear" w:color="auto" w:fill="auto"/>
            <w:vAlign w:val="center"/>
          </w:tcPr>
          <w:p w:rsidR="00EE1CC3" w:rsidRPr="00DD73E5" w:rsidRDefault="00EE1CC3" w:rsidP="00C31BEB">
            <w:pPr>
              <w:adjustRightInd w:val="0"/>
              <w:snapToGrid w:val="0"/>
              <w:jc w:val="center"/>
              <w:rPr>
                <w:rFonts w:ascii="楷体_GB2312" w:hAnsi="宋体" w:cs="宋体"/>
                <w:color w:val="000000"/>
                <w:sz w:val="15"/>
                <w:szCs w:val="15"/>
              </w:rPr>
            </w:pPr>
            <w:r w:rsidRPr="00DD73E5">
              <w:rPr>
                <w:rFonts w:ascii="楷体_GB2312" w:hAnsi="宋体" w:hint="eastAsia"/>
                <w:color w:val="000000"/>
                <w:sz w:val="15"/>
                <w:szCs w:val="15"/>
              </w:rPr>
              <w:t>大成价值</w:t>
            </w:r>
          </w:p>
        </w:tc>
        <w:tc>
          <w:tcPr>
            <w:tcW w:w="4108" w:type="dxa"/>
            <w:tcBorders>
              <w:top w:val="single" w:sz="4" w:space="0" w:color="F2F2F2"/>
              <w:left w:val="single" w:sz="4" w:space="0" w:color="F2F2F2"/>
              <w:bottom w:val="single" w:sz="4" w:space="0" w:color="F2F2F2"/>
            </w:tcBorders>
            <w:shd w:val="clear" w:color="auto" w:fill="auto"/>
            <w:vAlign w:val="center"/>
          </w:tcPr>
          <w:p w:rsidR="00EE1CC3" w:rsidRPr="00DD73E5" w:rsidRDefault="00EE1CC3" w:rsidP="00C31BEB">
            <w:pPr>
              <w:adjustRightInd w:val="0"/>
              <w:snapToGrid w:val="0"/>
              <w:rPr>
                <w:rFonts w:ascii="楷体_GB2312" w:hAnsi="宋体" w:cs="宋体"/>
                <w:color w:val="000000"/>
                <w:sz w:val="15"/>
                <w:szCs w:val="15"/>
              </w:rPr>
            </w:pPr>
            <w:r>
              <w:rPr>
                <w:rFonts w:ascii="楷体_GB2312" w:hAnsi="宋体" w:hint="eastAsia"/>
                <w:color w:val="000000"/>
                <w:sz w:val="15"/>
                <w:szCs w:val="15"/>
              </w:rPr>
              <w:t>家电</w:t>
            </w:r>
            <w:r w:rsidRPr="00DD73E5">
              <w:rPr>
                <w:rFonts w:ascii="楷体_GB2312" w:hAnsi="宋体" w:hint="eastAsia"/>
                <w:color w:val="000000"/>
                <w:sz w:val="15"/>
                <w:szCs w:val="15"/>
              </w:rPr>
              <w:t>9.5,银行6.5,非银金融5.1,建筑装饰2.6,食品饮料1.8</w:t>
            </w:r>
          </w:p>
        </w:tc>
      </w:tr>
      <w:tr w:rsidR="00EE1CC3" w:rsidRPr="008D0D7E" w:rsidTr="00C31BEB">
        <w:trPr>
          <w:cantSplit/>
          <w:trHeight w:val="284"/>
        </w:trPr>
        <w:tc>
          <w:tcPr>
            <w:tcW w:w="5272" w:type="dxa"/>
            <w:vMerge/>
            <w:shd w:val="clear" w:color="auto" w:fill="auto"/>
          </w:tcPr>
          <w:p w:rsidR="00EE1CC3" w:rsidRPr="00EF2B22" w:rsidRDefault="00EE1CC3" w:rsidP="00C31BEB"/>
        </w:tc>
        <w:tc>
          <w:tcPr>
            <w:tcW w:w="227" w:type="dxa"/>
            <w:vMerge/>
          </w:tcPr>
          <w:p w:rsidR="00EE1CC3" w:rsidRDefault="00EE1CC3" w:rsidP="00C31BEB"/>
        </w:tc>
        <w:tc>
          <w:tcPr>
            <w:tcW w:w="1164" w:type="dxa"/>
            <w:tcBorders>
              <w:top w:val="single" w:sz="4" w:space="0" w:color="F2F2F2"/>
              <w:bottom w:val="single" w:sz="4" w:space="0" w:color="F2F2F2"/>
              <w:right w:val="single" w:sz="4" w:space="0" w:color="F2F2F2"/>
            </w:tcBorders>
            <w:shd w:val="clear" w:color="auto" w:fill="auto"/>
            <w:vAlign w:val="center"/>
          </w:tcPr>
          <w:p w:rsidR="00EE1CC3" w:rsidRPr="00DD73E5" w:rsidRDefault="00EE1CC3" w:rsidP="00C31BEB">
            <w:pPr>
              <w:adjustRightInd w:val="0"/>
              <w:snapToGrid w:val="0"/>
              <w:jc w:val="center"/>
              <w:rPr>
                <w:rFonts w:ascii="楷体_GB2312" w:hAnsi="宋体" w:cs="宋体"/>
                <w:color w:val="000000"/>
                <w:sz w:val="15"/>
                <w:szCs w:val="15"/>
              </w:rPr>
            </w:pPr>
            <w:r w:rsidRPr="00DD73E5">
              <w:rPr>
                <w:rFonts w:ascii="楷体_GB2312" w:hAnsi="宋体" w:hint="eastAsia"/>
                <w:color w:val="000000"/>
                <w:sz w:val="15"/>
                <w:szCs w:val="15"/>
              </w:rPr>
              <w:t>兴全趋势</w:t>
            </w:r>
          </w:p>
        </w:tc>
        <w:tc>
          <w:tcPr>
            <w:tcW w:w="4108" w:type="dxa"/>
            <w:tcBorders>
              <w:top w:val="single" w:sz="4" w:space="0" w:color="F2F2F2"/>
              <w:left w:val="single" w:sz="4" w:space="0" w:color="F2F2F2"/>
              <w:bottom w:val="single" w:sz="4" w:space="0" w:color="F2F2F2"/>
            </w:tcBorders>
            <w:shd w:val="clear" w:color="auto" w:fill="auto"/>
            <w:vAlign w:val="center"/>
          </w:tcPr>
          <w:p w:rsidR="00EE1CC3" w:rsidRPr="00DD73E5" w:rsidRDefault="00EE1CC3" w:rsidP="00C31BEB">
            <w:pPr>
              <w:adjustRightInd w:val="0"/>
              <w:snapToGrid w:val="0"/>
              <w:rPr>
                <w:rFonts w:ascii="楷体_GB2312" w:hAnsi="宋体" w:cs="宋体"/>
                <w:color w:val="000000"/>
                <w:sz w:val="15"/>
                <w:szCs w:val="15"/>
              </w:rPr>
            </w:pPr>
            <w:r w:rsidRPr="00DD73E5">
              <w:rPr>
                <w:rFonts w:ascii="楷体_GB2312" w:hAnsi="宋体" w:hint="eastAsia"/>
                <w:color w:val="000000"/>
                <w:sz w:val="15"/>
                <w:szCs w:val="15"/>
              </w:rPr>
              <w:t>非银金融6.7,房地产6.4,商业贸易4.8,银行4.6,医药生物4.4</w:t>
            </w:r>
          </w:p>
        </w:tc>
      </w:tr>
      <w:tr w:rsidR="00EE1CC3" w:rsidRPr="008D0D7E" w:rsidTr="00C31BEB">
        <w:trPr>
          <w:cantSplit/>
          <w:trHeight w:val="284"/>
        </w:trPr>
        <w:tc>
          <w:tcPr>
            <w:tcW w:w="5272" w:type="dxa"/>
            <w:vMerge/>
            <w:shd w:val="clear" w:color="auto" w:fill="auto"/>
          </w:tcPr>
          <w:p w:rsidR="00EE1CC3" w:rsidRPr="00EF2B22" w:rsidRDefault="00EE1CC3" w:rsidP="00C31BEB"/>
        </w:tc>
        <w:tc>
          <w:tcPr>
            <w:tcW w:w="227" w:type="dxa"/>
            <w:vMerge/>
          </w:tcPr>
          <w:p w:rsidR="00EE1CC3" w:rsidRDefault="00EE1CC3" w:rsidP="00C31BEB"/>
        </w:tc>
        <w:tc>
          <w:tcPr>
            <w:tcW w:w="1164" w:type="dxa"/>
            <w:tcBorders>
              <w:top w:val="single" w:sz="4" w:space="0" w:color="F2F2F2"/>
              <w:bottom w:val="single" w:sz="4" w:space="0" w:color="F2F2F2"/>
              <w:right w:val="single" w:sz="4" w:space="0" w:color="F2F2F2"/>
            </w:tcBorders>
            <w:shd w:val="clear" w:color="auto" w:fill="auto"/>
            <w:vAlign w:val="center"/>
          </w:tcPr>
          <w:p w:rsidR="00EE1CC3" w:rsidRPr="00DD73E5" w:rsidRDefault="00EE1CC3" w:rsidP="00C31BEB">
            <w:pPr>
              <w:adjustRightInd w:val="0"/>
              <w:snapToGrid w:val="0"/>
              <w:jc w:val="center"/>
              <w:rPr>
                <w:rFonts w:ascii="楷体_GB2312" w:hAnsi="宋体" w:cs="宋体"/>
                <w:color w:val="000000"/>
                <w:sz w:val="15"/>
                <w:szCs w:val="15"/>
              </w:rPr>
            </w:pPr>
            <w:r w:rsidRPr="00DD73E5">
              <w:rPr>
                <w:rFonts w:ascii="楷体_GB2312" w:hAnsi="宋体" w:hint="eastAsia"/>
                <w:color w:val="000000"/>
                <w:sz w:val="15"/>
                <w:szCs w:val="15"/>
              </w:rPr>
              <w:t>建信优化</w:t>
            </w:r>
          </w:p>
        </w:tc>
        <w:tc>
          <w:tcPr>
            <w:tcW w:w="4108" w:type="dxa"/>
            <w:tcBorders>
              <w:top w:val="single" w:sz="4" w:space="0" w:color="F2F2F2"/>
              <w:left w:val="single" w:sz="4" w:space="0" w:color="F2F2F2"/>
              <w:bottom w:val="single" w:sz="4" w:space="0" w:color="F2F2F2"/>
            </w:tcBorders>
            <w:shd w:val="clear" w:color="auto" w:fill="auto"/>
            <w:vAlign w:val="center"/>
          </w:tcPr>
          <w:p w:rsidR="00EE1CC3" w:rsidRPr="00DD73E5" w:rsidRDefault="00EE1CC3" w:rsidP="00C31BEB">
            <w:pPr>
              <w:adjustRightInd w:val="0"/>
              <w:snapToGrid w:val="0"/>
              <w:rPr>
                <w:rFonts w:ascii="楷体_GB2312" w:hAnsi="宋体" w:cs="宋体"/>
                <w:color w:val="000000"/>
                <w:sz w:val="15"/>
                <w:szCs w:val="15"/>
              </w:rPr>
            </w:pPr>
            <w:r w:rsidRPr="00DD73E5">
              <w:rPr>
                <w:rFonts w:ascii="楷体_GB2312" w:hAnsi="宋体" w:hint="eastAsia"/>
                <w:color w:val="000000"/>
                <w:sz w:val="15"/>
                <w:szCs w:val="15"/>
              </w:rPr>
              <w:t>房地产8.1,计算机7.5,非银金融4.9,农林牧渔3.8,轻工制造3.0</w:t>
            </w:r>
          </w:p>
        </w:tc>
      </w:tr>
      <w:tr w:rsidR="00EE1CC3" w:rsidRPr="008D0D7E" w:rsidTr="00C31BEB">
        <w:trPr>
          <w:cantSplit/>
          <w:trHeight w:val="260"/>
        </w:trPr>
        <w:tc>
          <w:tcPr>
            <w:tcW w:w="5272" w:type="dxa"/>
            <w:vMerge/>
            <w:shd w:val="clear" w:color="auto" w:fill="auto"/>
          </w:tcPr>
          <w:p w:rsidR="00EE1CC3" w:rsidRPr="00EF2B22" w:rsidRDefault="00EE1CC3" w:rsidP="00C31BEB"/>
        </w:tc>
        <w:tc>
          <w:tcPr>
            <w:tcW w:w="227" w:type="dxa"/>
            <w:vMerge/>
          </w:tcPr>
          <w:p w:rsidR="00EE1CC3" w:rsidRDefault="00EE1CC3" w:rsidP="00C31BEB"/>
        </w:tc>
        <w:tc>
          <w:tcPr>
            <w:tcW w:w="1164" w:type="dxa"/>
            <w:tcBorders>
              <w:top w:val="single" w:sz="4" w:space="0" w:color="F2F2F2"/>
              <w:bottom w:val="single" w:sz="4" w:space="0" w:color="F2F2F2"/>
              <w:right w:val="single" w:sz="4" w:space="0" w:color="F2F2F2"/>
            </w:tcBorders>
            <w:shd w:val="clear" w:color="auto" w:fill="auto"/>
            <w:vAlign w:val="center"/>
          </w:tcPr>
          <w:p w:rsidR="00EE1CC3" w:rsidRPr="00DD73E5" w:rsidRDefault="00EE1CC3" w:rsidP="00C31BEB">
            <w:pPr>
              <w:adjustRightInd w:val="0"/>
              <w:snapToGrid w:val="0"/>
              <w:jc w:val="center"/>
              <w:rPr>
                <w:rFonts w:ascii="楷体_GB2312" w:hAnsi="宋体" w:cs="宋体"/>
                <w:color w:val="000000"/>
                <w:sz w:val="15"/>
                <w:szCs w:val="15"/>
              </w:rPr>
            </w:pPr>
            <w:r w:rsidRPr="00DD73E5">
              <w:rPr>
                <w:rFonts w:ascii="楷体_GB2312" w:hAnsi="宋体" w:hint="eastAsia"/>
                <w:color w:val="000000"/>
                <w:sz w:val="15"/>
                <w:szCs w:val="15"/>
              </w:rPr>
              <w:t>上投双息</w:t>
            </w:r>
          </w:p>
        </w:tc>
        <w:tc>
          <w:tcPr>
            <w:tcW w:w="4108" w:type="dxa"/>
            <w:tcBorders>
              <w:top w:val="single" w:sz="4" w:space="0" w:color="F2F2F2"/>
              <w:left w:val="single" w:sz="4" w:space="0" w:color="F2F2F2"/>
              <w:bottom w:val="single" w:sz="4" w:space="0" w:color="F2F2F2"/>
            </w:tcBorders>
            <w:shd w:val="clear" w:color="auto" w:fill="auto"/>
            <w:vAlign w:val="center"/>
          </w:tcPr>
          <w:p w:rsidR="00EE1CC3" w:rsidRPr="00DD73E5" w:rsidRDefault="00EE1CC3" w:rsidP="00C31BEB">
            <w:pPr>
              <w:adjustRightInd w:val="0"/>
              <w:snapToGrid w:val="0"/>
              <w:rPr>
                <w:rFonts w:ascii="楷体_GB2312" w:hAnsi="宋体" w:cs="宋体"/>
                <w:color w:val="000000"/>
                <w:sz w:val="15"/>
                <w:szCs w:val="15"/>
              </w:rPr>
            </w:pPr>
            <w:r w:rsidRPr="00DD73E5">
              <w:rPr>
                <w:rFonts w:ascii="楷体_GB2312" w:hAnsi="宋体" w:hint="eastAsia"/>
                <w:color w:val="000000"/>
                <w:sz w:val="15"/>
                <w:szCs w:val="15"/>
              </w:rPr>
              <w:t>计算机8.7,医药生物3.7,非银金融2.5,休闲服务2.2,食品饮料2.0</w:t>
            </w:r>
          </w:p>
        </w:tc>
      </w:tr>
      <w:tr w:rsidR="00EE1CC3" w:rsidTr="00C31BEB">
        <w:trPr>
          <w:cantSplit/>
          <w:trHeight w:val="200"/>
        </w:trPr>
        <w:tc>
          <w:tcPr>
            <w:tcW w:w="5272" w:type="dxa"/>
            <w:tcBorders>
              <w:top w:val="single" w:sz="4" w:space="0" w:color="00A0E9"/>
            </w:tcBorders>
            <w:shd w:val="clear" w:color="auto" w:fill="auto"/>
          </w:tcPr>
          <w:p w:rsidR="00EE1CC3" w:rsidRDefault="00EE1CC3" w:rsidP="00C31BEB">
            <w:pPr>
              <w:pStyle w:val="FootnoteNoline"/>
              <w:ind w:left="0"/>
            </w:pPr>
            <w:r>
              <w:rPr>
                <w:rFonts w:hint="eastAsia"/>
              </w:rPr>
              <w:t>来源：国金证券研究所</w:t>
            </w:r>
            <w:r>
              <w:rPr>
                <w:rFonts w:hint="eastAsia"/>
              </w:rPr>
              <w:t xml:space="preserve"> </w:t>
            </w:r>
          </w:p>
        </w:tc>
        <w:tc>
          <w:tcPr>
            <w:tcW w:w="227" w:type="dxa"/>
          </w:tcPr>
          <w:p w:rsidR="00EE1CC3" w:rsidRPr="00816267" w:rsidRDefault="00EE1CC3" w:rsidP="00C31BEB">
            <w:pPr>
              <w:pStyle w:val="a0"/>
              <w:spacing w:after="0" w:line="10" w:lineRule="atLeast"/>
              <w:ind w:left="0"/>
              <w:jc w:val="center"/>
              <w:rPr>
                <w:rFonts w:ascii="楷体_GB2312"/>
              </w:rPr>
            </w:pPr>
          </w:p>
        </w:tc>
        <w:tc>
          <w:tcPr>
            <w:tcW w:w="5272" w:type="dxa"/>
            <w:gridSpan w:val="2"/>
            <w:tcBorders>
              <w:top w:val="single" w:sz="4" w:space="0" w:color="00A0E9"/>
            </w:tcBorders>
            <w:shd w:val="clear" w:color="auto" w:fill="auto"/>
          </w:tcPr>
          <w:p w:rsidR="00EE1CC3" w:rsidRPr="00816267" w:rsidRDefault="00EE1CC3" w:rsidP="00C31BEB">
            <w:pPr>
              <w:pStyle w:val="a0"/>
              <w:spacing w:after="0" w:line="10" w:lineRule="atLeast"/>
              <w:ind w:left="0"/>
              <w:jc w:val="center"/>
              <w:rPr>
                <w:rFonts w:ascii="楷体_GB2312"/>
              </w:rPr>
            </w:pPr>
          </w:p>
        </w:tc>
      </w:tr>
    </w:tbl>
    <w:p w:rsidR="00EE1CC3" w:rsidRPr="00BD5E48" w:rsidRDefault="00EE1CC3" w:rsidP="00EE1CC3">
      <w:pPr>
        <w:pStyle w:val="a0"/>
        <w:numPr>
          <w:ilvl w:val="5"/>
          <w:numId w:val="36"/>
        </w:numPr>
        <w:spacing w:line="240" w:lineRule="auto"/>
        <w:ind w:left="4140" w:hanging="369"/>
        <w:rPr>
          <w:rFonts w:ascii="楷体_GB2312"/>
          <w:color w:val="auto"/>
        </w:rPr>
      </w:pPr>
      <w:r>
        <w:rPr>
          <w:rFonts w:hint="eastAsia"/>
          <w:color w:val="auto"/>
        </w:rPr>
        <w:t>其次，</w:t>
      </w:r>
      <w:r>
        <w:rPr>
          <w:rFonts w:ascii="楷体_GB2312" w:hint="eastAsia"/>
          <w:color w:val="auto"/>
        </w:rPr>
        <w:t>在市场高位震荡博弈的背景下，保持</w:t>
      </w:r>
      <w:r w:rsidRPr="002332D7">
        <w:rPr>
          <w:rFonts w:ascii="楷体_GB2312" w:hint="eastAsia"/>
          <w:color w:val="auto"/>
        </w:rPr>
        <w:t>组合</w:t>
      </w:r>
      <w:r>
        <w:rPr>
          <w:rFonts w:ascii="楷体_GB2312" w:hint="eastAsia"/>
          <w:color w:val="auto"/>
        </w:rPr>
        <w:t>较高的</w:t>
      </w:r>
      <w:r w:rsidRPr="002332D7">
        <w:rPr>
          <w:rFonts w:ascii="楷体_GB2312" w:hint="eastAsia"/>
          <w:color w:val="auto"/>
        </w:rPr>
        <w:t>灵活性</w:t>
      </w:r>
      <w:r>
        <w:rPr>
          <w:rFonts w:ascii="楷体_GB2312" w:hint="eastAsia"/>
          <w:color w:val="auto"/>
        </w:rPr>
        <w:t>仍然必要</w:t>
      </w:r>
      <w:r w:rsidRPr="002332D7">
        <w:rPr>
          <w:rFonts w:ascii="楷体_GB2312" w:hint="eastAsia"/>
          <w:color w:val="auto"/>
        </w:rPr>
        <w:t>，</w:t>
      </w:r>
      <w:r>
        <w:rPr>
          <w:rFonts w:ascii="楷体_GB2312" w:hint="eastAsia"/>
          <w:color w:val="auto"/>
        </w:rPr>
        <w:t>从市场上行风险来看，如果接下来经济数据短期反弹超预期或者政策放松继续超预期，</w:t>
      </w:r>
      <w:r w:rsidRPr="009A233F">
        <w:rPr>
          <w:rFonts w:ascii="楷体_GB2312" w:hint="eastAsia"/>
          <w:color w:val="auto"/>
        </w:rPr>
        <w:t>市场将重回上升通道。</w:t>
      </w:r>
      <w:r>
        <w:rPr>
          <w:rFonts w:ascii="楷体_GB2312" w:hint="eastAsia"/>
          <w:color w:val="auto"/>
        </w:rPr>
        <w:t>而从下行风险来看，经济超预期下滑，市场对于政策的解读趋于理性，都将增加市场下跌风险。因此，保持组合较高的灵活性尤为重要，</w:t>
      </w:r>
      <w:r w:rsidRPr="00836CCC">
        <w:rPr>
          <w:rFonts w:ascii="楷体_GB2312" w:hint="eastAsia"/>
          <w:color w:val="auto"/>
        </w:rPr>
        <w:t>优选灵活型产品进行配置</w:t>
      </w:r>
      <w:r>
        <w:rPr>
          <w:rFonts w:ascii="楷体_GB2312" w:hint="eastAsia"/>
          <w:color w:val="auto"/>
        </w:rPr>
        <w:t>，</w:t>
      </w:r>
      <w:r w:rsidRPr="00836CCC">
        <w:rPr>
          <w:rFonts w:hint="eastAsia"/>
          <w:color w:val="auto"/>
        </w:rPr>
        <w:t>一方面把握市场风格、行业的轮动机会，另一方面组合灵活性的提升也更利于把</w:t>
      </w:r>
      <w:r w:rsidRPr="00836CCC">
        <w:rPr>
          <w:rFonts w:hint="eastAsia"/>
          <w:color w:val="auto"/>
        </w:rPr>
        <w:lastRenderedPageBreak/>
        <w:t>握市场波动节奏，以达到下行控制</w:t>
      </w:r>
      <w:r w:rsidRPr="00BD5E48">
        <w:rPr>
          <w:rFonts w:hint="eastAsia"/>
          <w:color w:val="auto"/>
        </w:rPr>
        <w:t>风险、上升提升弹性的效果。</w:t>
      </w:r>
    </w:p>
    <w:p w:rsidR="00EE1CC3" w:rsidRPr="00BD5E48" w:rsidRDefault="00EE1CC3" w:rsidP="00EE1CC3">
      <w:pPr>
        <w:pStyle w:val="a0"/>
        <w:numPr>
          <w:ilvl w:val="5"/>
          <w:numId w:val="36"/>
        </w:numPr>
        <w:spacing w:line="240" w:lineRule="auto"/>
        <w:ind w:left="4140" w:hanging="369"/>
        <w:rPr>
          <w:rFonts w:ascii="楷体_GB2312"/>
          <w:color w:val="auto"/>
        </w:rPr>
      </w:pPr>
      <w:r w:rsidRPr="00BD5E48">
        <w:rPr>
          <w:rFonts w:ascii="楷体_GB2312" w:hint="eastAsia"/>
          <w:color w:val="auto"/>
        </w:rPr>
        <w:t>在灵活型产品的筛选上，</w:t>
      </w:r>
      <w:r>
        <w:rPr>
          <w:rFonts w:ascii="楷体_GB2312" w:hint="eastAsia"/>
          <w:color w:val="auto"/>
        </w:rPr>
        <w:t>2014年至2015年初市场风格轮动明显，基金投资的灵活性也在明显上升，我们统计了</w:t>
      </w:r>
      <w:r w:rsidRPr="00BD5E48">
        <w:rPr>
          <w:rFonts w:ascii="楷体_GB2312" w:hint="eastAsia"/>
          <w:color w:val="auto"/>
        </w:rPr>
        <w:t>不同市场环境中基金业绩表现，筛选出</w:t>
      </w:r>
      <w:r>
        <w:rPr>
          <w:rFonts w:ascii="楷体_GB2312" w:hint="eastAsia"/>
          <w:color w:val="auto"/>
        </w:rPr>
        <w:t>灵活操作能力</w:t>
      </w:r>
      <w:r w:rsidRPr="00BD5E48">
        <w:rPr>
          <w:rFonts w:ascii="楷体_GB2312" w:hint="eastAsia"/>
          <w:color w:val="auto"/>
        </w:rPr>
        <w:t>较强</w:t>
      </w:r>
      <w:r>
        <w:rPr>
          <w:rFonts w:ascii="楷体_GB2312" w:hint="eastAsia"/>
          <w:color w:val="auto"/>
        </w:rPr>
        <w:t>、</w:t>
      </w:r>
      <w:r w:rsidRPr="00BD5E48">
        <w:rPr>
          <w:rFonts w:ascii="楷体_GB2312" w:hint="eastAsia"/>
          <w:color w:val="auto"/>
        </w:rPr>
        <w:t>在不同风格市场环境中均有不错业绩表现的基金。从结果来看，包括宝盈</w:t>
      </w:r>
      <w:r>
        <w:rPr>
          <w:rFonts w:ascii="楷体_GB2312" w:hint="eastAsia"/>
          <w:color w:val="auto"/>
        </w:rPr>
        <w:t>策略增长</w:t>
      </w:r>
      <w:r w:rsidRPr="00BD5E48">
        <w:rPr>
          <w:rFonts w:ascii="楷体_GB2312" w:hint="eastAsia"/>
          <w:color w:val="auto"/>
        </w:rPr>
        <w:t>、</w:t>
      </w:r>
      <w:r>
        <w:rPr>
          <w:rFonts w:ascii="楷体_GB2312" w:hint="eastAsia"/>
          <w:color w:val="auto"/>
        </w:rPr>
        <w:t>汇添富价值</w:t>
      </w:r>
      <w:r w:rsidRPr="00BD5E48">
        <w:rPr>
          <w:rFonts w:ascii="楷体_GB2312" w:hint="eastAsia"/>
          <w:color w:val="auto"/>
        </w:rPr>
        <w:t>、</w:t>
      </w:r>
      <w:r>
        <w:rPr>
          <w:rFonts w:ascii="楷体_GB2312" w:hint="eastAsia"/>
          <w:color w:val="auto"/>
        </w:rPr>
        <w:t>交银行业</w:t>
      </w:r>
      <w:r w:rsidRPr="00BD5E48">
        <w:rPr>
          <w:rFonts w:ascii="楷体_GB2312" w:hint="eastAsia"/>
          <w:color w:val="auto"/>
        </w:rPr>
        <w:t>、广发行业领先、招商安泰股票、浙商新思维</w:t>
      </w:r>
      <w:r>
        <w:rPr>
          <w:rFonts w:ascii="楷体_GB2312" w:hint="eastAsia"/>
          <w:color w:val="auto"/>
        </w:rPr>
        <w:t>、宝盈核心优势</w:t>
      </w:r>
      <w:r w:rsidRPr="00BD5E48">
        <w:rPr>
          <w:rFonts w:ascii="楷体_GB2312" w:hint="eastAsia"/>
          <w:color w:val="auto"/>
        </w:rPr>
        <w:t>等基金体现出不错的灵活操作</w:t>
      </w:r>
      <w:r>
        <w:rPr>
          <w:rFonts w:ascii="楷体_GB2312" w:hint="eastAsia"/>
          <w:color w:val="auto"/>
        </w:rPr>
        <w:t>效果</w:t>
      </w:r>
      <w:r w:rsidRPr="00BD5E48">
        <w:rPr>
          <w:rFonts w:ascii="楷体_GB2312" w:hint="eastAsia"/>
          <w:color w:val="auto"/>
        </w:rPr>
        <w:t>。</w:t>
      </w:r>
    </w:p>
    <w:tbl>
      <w:tblPr>
        <w:tblW w:w="7370" w:type="dxa"/>
        <w:tblInd w:w="3402" w:type="dxa"/>
        <w:tblBorders>
          <w:top w:val="single" w:sz="4" w:space="0" w:color="00A0E9"/>
          <w:insideH w:val="single" w:sz="4" w:space="0" w:color="00A0E9"/>
        </w:tblBorders>
        <w:tblLayout w:type="fixed"/>
        <w:tblLook w:val="0600" w:firstRow="0" w:lastRow="0" w:firstColumn="0" w:lastColumn="0" w:noHBand="1" w:noVBand="1"/>
      </w:tblPr>
      <w:tblGrid>
        <w:gridCol w:w="1276"/>
        <w:gridCol w:w="1239"/>
        <w:gridCol w:w="746"/>
        <w:gridCol w:w="1417"/>
        <w:gridCol w:w="709"/>
        <w:gridCol w:w="1245"/>
        <w:gridCol w:w="738"/>
      </w:tblGrid>
      <w:tr w:rsidR="00EE1CC3" w:rsidRPr="002461F0" w:rsidTr="00C31BEB">
        <w:tc>
          <w:tcPr>
            <w:tcW w:w="7370" w:type="dxa"/>
            <w:gridSpan w:val="7"/>
            <w:tcBorders>
              <w:bottom w:val="single" w:sz="4" w:space="0" w:color="00A0E9"/>
            </w:tcBorders>
            <w:shd w:val="clear" w:color="auto" w:fill="auto"/>
            <w:tcMar>
              <w:left w:w="0" w:type="dxa"/>
              <w:right w:w="0" w:type="dxa"/>
            </w:tcMar>
          </w:tcPr>
          <w:p w:rsidR="00EE1CC3" w:rsidRPr="00BC5E7A" w:rsidRDefault="00EE1CC3" w:rsidP="00C31BEB">
            <w:pPr>
              <w:pStyle w:val="GJStylesGraphTitle"/>
            </w:pPr>
            <w:r>
              <w:rPr>
                <w:rFonts w:hint="eastAsia"/>
              </w:rPr>
              <w:t>图表</w:t>
            </w:r>
            <w:r w:rsidR="00D775F9">
              <w:fldChar w:fldCharType="begin"/>
            </w:r>
            <w:r w:rsidR="00D775F9">
              <w:instrText xml:space="preserve"> SEQ </w:instrText>
            </w:r>
            <w:r w:rsidR="00D775F9">
              <w:instrText>图表</w:instrText>
            </w:r>
            <w:r w:rsidR="00D775F9">
              <w:instrText xml:space="preserve"> \* ARABIC  \* MERGEFORMAT </w:instrText>
            </w:r>
            <w:r w:rsidR="00D775F9">
              <w:fldChar w:fldCharType="separate"/>
            </w:r>
            <w:r>
              <w:rPr>
                <w:noProof/>
              </w:rPr>
              <w:t>3</w:t>
            </w:r>
            <w:r w:rsidR="00D775F9">
              <w:rPr>
                <w:noProof/>
              </w:rPr>
              <w:fldChar w:fldCharType="end"/>
            </w:r>
            <w:r>
              <w:rPr>
                <w:rFonts w:hint="eastAsia"/>
              </w:rPr>
              <w:t>：较好把握市场风格轮动的灵活型基金</w:t>
            </w:r>
          </w:p>
        </w:tc>
      </w:tr>
      <w:tr w:rsidR="00EE1CC3" w:rsidRPr="002461F0" w:rsidTr="00C31BEB">
        <w:trPr>
          <w:trHeight w:val="199"/>
        </w:trPr>
        <w:tc>
          <w:tcPr>
            <w:tcW w:w="1276" w:type="dxa"/>
            <w:tcBorders>
              <w:bottom w:val="single" w:sz="4" w:space="0" w:color="BFBFBF"/>
              <w:right w:val="single" w:sz="4" w:space="0" w:color="BFBFBF"/>
            </w:tcBorders>
            <w:shd w:val="clear" w:color="auto" w:fill="auto"/>
            <w:tcMar>
              <w:left w:w="0" w:type="dxa"/>
              <w:right w:w="0" w:type="dxa"/>
            </w:tcMar>
            <w:vAlign w:val="center"/>
          </w:tcPr>
          <w:p w:rsidR="00EE1CC3" w:rsidRPr="00BC5E7A" w:rsidRDefault="00EE1CC3" w:rsidP="00C31BEB">
            <w:pPr>
              <w:jc w:val="center"/>
            </w:pPr>
            <w:r w:rsidRPr="002461F0">
              <w:rPr>
                <w:rFonts w:hint="eastAsia"/>
                <w:b/>
                <w:sz w:val="15"/>
                <w:szCs w:val="15"/>
              </w:rPr>
              <w:t>基金名称</w:t>
            </w:r>
          </w:p>
        </w:tc>
        <w:tc>
          <w:tcPr>
            <w:tcW w:w="1239" w:type="dxa"/>
            <w:tcBorders>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BC5E7A" w:rsidRDefault="00EE1CC3" w:rsidP="00C31BEB">
            <w:pPr>
              <w:jc w:val="center"/>
            </w:pPr>
            <w:r w:rsidRPr="002461F0">
              <w:rPr>
                <w:rFonts w:hint="eastAsia"/>
                <w:b/>
                <w:sz w:val="15"/>
                <w:szCs w:val="15"/>
              </w:rPr>
              <w:t>管理业绩（</w:t>
            </w:r>
            <w:r w:rsidRPr="002461F0">
              <w:rPr>
                <w:rFonts w:hint="eastAsia"/>
                <w:b/>
                <w:sz w:val="15"/>
                <w:szCs w:val="15"/>
              </w:rPr>
              <w:t>2014.1.1~2014.10.31</w:t>
            </w:r>
            <w:r w:rsidRPr="002461F0">
              <w:rPr>
                <w:rFonts w:hint="eastAsia"/>
                <w:b/>
                <w:sz w:val="15"/>
                <w:szCs w:val="15"/>
              </w:rPr>
              <w:t>）</w:t>
            </w:r>
          </w:p>
        </w:tc>
        <w:tc>
          <w:tcPr>
            <w:tcW w:w="746" w:type="dxa"/>
            <w:tcBorders>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BC5E7A" w:rsidRDefault="00EE1CC3" w:rsidP="00C31BEB">
            <w:pPr>
              <w:jc w:val="center"/>
            </w:pPr>
            <w:r w:rsidRPr="002461F0">
              <w:rPr>
                <w:rFonts w:hint="eastAsia"/>
                <w:b/>
                <w:sz w:val="15"/>
                <w:szCs w:val="15"/>
              </w:rPr>
              <w:t>排名</w:t>
            </w:r>
          </w:p>
        </w:tc>
        <w:tc>
          <w:tcPr>
            <w:tcW w:w="1417" w:type="dxa"/>
            <w:tcBorders>
              <w:left w:val="single" w:sz="4" w:space="0" w:color="BFBFBF"/>
              <w:bottom w:val="single" w:sz="4" w:space="0" w:color="BFBFBF"/>
              <w:right w:val="single" w:sz="4" w:space="0" w:color="BFBFBF"/>
            </w:tcBorders>
            <w:shd w:val="clear" w:color="auto" w:fill="auto"/>
            <w:tcMar>
              <w:left w:w="0" w:type="dxa"/>
              <w:right w:w="0" w:type="dxa"/>
            </w:tcMar>
          </w:tcPr>
          <w:p w:rsidR="00EE1CC3" w:rsidRPr="00BC5E7A" w:rsidRDefault="00EE1CC3" w:rsidP="00C31BEB">
            <w:pPr>
              <w:jc w:val="center"/>
            </w:pPr>
            <w:r w:rsidRPr="002461F0">
              <w:rPr>
                <w:rFonts w:hint="eastAsia"/>
                <w:b/>
                <w:sz w:val="15"/>
                <w:szCs w:val="15"/>
              </w:rPr>
              <w:t>管理业绩（</w:t>
            </w:r>
            <w:r w:rsidRPr="002461F0">
              <w:rPr>
                <w:rFonts w:hint="eastAsia"/>
                <w:b/>
                <w:sz w:val="15"/>
                <w:szCs w:val="15"/>
              </w:rPr>
              <w:t>2014.11.1~2014.12.31</w:t>
            </w:r>
            <w:r w:rsidRPr="002461F0">
              <w:rPr>
                <w:rFonts w:hint="eastAsia"/>
                <w:b/>
                <w:sz w:val="15"/>
                <w:szCs w:val="15"/>
              </w:rPr>
              <w:t>）</w:t>
            </w:r>
          </w:p>
        </w:tc>
        <w:tc>
          <w:tcPr>
            <w:tcW w:w="709" w:type="dxa"/>
            <w:tcBorders>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BC5E7A" w:rsidRDefault="00EE1CC3" w:rsidP="00C31BEB">
            <w:pPr>
              <w:jc w:val="center"/>
            </w:pPr>
            <w:r w:rsidRPr="002461F0">
              <w:rPr>
                <w:rFonts w:hint="eastAsia"/>
                <w:b/>
                <w:sz w:val="15"/>
                <w:szCs w:val="15"/>
              </w:rPr>
              <w:t>排名</w:t>
            </w:r>
          </w:p>
        </w:tc>
        <w:tc>
          <w:tcPr>
            <w:tcW w:w="1245" w:type="dxa"/>
            <w:tcBorders>
              <w:left w:val="single" w:sz="4" w:space="0" w:color="BFBFBF"/>
              <w:bottom w:val="single" w:sz="4" w:space="0" w:color="BFBFBF"/>
              <w:right w:val="single" w:sz="4" w:space="0" w:color="BFBFBF"/>
            </w:tcBorders>
            <w:shd w:val="clear" w:color="auto" w:fill="auto"/>
            <w:tcMar>
              <w:left w:w="0" w:type="dxa"/>
              <w:right w:w="0" w:type="dxa"/>
            </w:tcMar>
          </w:tcPr>
          <w:p w:rsidR="00EE1CC3" w:rsidRPr="00BC5E7A" w:rsidRDefault="00EE1CC3" w:rsidP="00C31BEB">
            <w:pPr>
              <w:jc w:val="center"/>
            </w:pPr>
            <w:r w:rsidRPr="002461F0">
              <w:rPr>
                <w:rFonts w:hint="eastAsia"/>
                <w:b/>
                <w:sz w:val="15"/>
                <w:szCs w:val="15"/>
              </w:rPr>
              <w:t>管理业绩（</w:t>
            </w:r>
            <w:r w:rsidRPr="002461F0">
              <w:rPr>
                <w:rFonts w:hint="eastAsia"/>
                <w:b/>
                <w:sz w:val="15"/>
                <w:szCs w:val="15"/>
              </w:rPr>
              <w:t>2014.11.1~2014.12.31</w:t>
            </w:r>
            <w:r w:rsidRPr="002461F0">
              <w:rPr>
                <w:rFonts w:hint="eastAsia"/>
                <w:b/>
                <w:sz w:val="15"/>
                <w:szCs w:val="15"/>
              </w:rPr>
              <w:t>）</w:t>
            </w:r>
          </w:p>
        </w:tc>
        <w:tc>
          <w:tcPr>
            <w:tcW w:w="738" w:type="dxa"/>
            <w:tcBorders>
              <w:left w:val="single" w:sz="4" w:space="0" w:color="BFBFBF"/>
              <w:bottom w:val="single" w:sz="4" w:space="0" w:color="BFBFBF"/>
            </w:tcBorders>
            <w:shd w:val="clear" w:color="auto" w:fill="auto"/>
            <w:tcMar>
              <w:left w:w="0" w:type="dxa"/>
              <w:right w:w="0" w:type="dxa"/>
            </w:tcMar>
            <w:vAlign w:val="center"/>
          </w:tcPr>
          <w:p w:rsidR="00EE1CC3" w:rsidRPr="00BC5E7A" w:rsidRDefault="00EE1CC3" w:rsidP="00C31BEB">
            <w:pPr>
              <w:jc w:val="center"/>
            </w:pPr>
            <w:r w:rsidRPr="002461F0">
              <w:rPr>
                <w:rFonts w:hint="eastAsia"/>
                <w:b/>
                <w:sz w:val="15"/>
                <w:szCs w:val="15"/>
              </w:rPr>
              <w:t>排名</w:t>
            </w:r>
          </w:p>
        </w:tc>
      </w:tr>
      <w:tr w:rsidR="00EE1CC3" w:rsidRPr="002461F0" w:rsidTr="00C31BEB">
        <w:trPr>
          <w:trHeight w:val="193"/>
        </w:trPr>
        <w:tc>
          <w:tcPr>
            <w:tcW w:w="1276" w:type="dxa"/>
            <w:tcBorders>
              <w:top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宝盈策略增长</w:t>
            </w:r>
          </w:p>
        </w:tc>
        <w:tc>
          <w:tcPr>
            <w:tcW w:w="123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39.8</w:t>
            </w:r>
          </w:p>
        </w:tc>
        <w:tc>
          <w:tcPr>
            <w:tcW w:w="746"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11</w:t>
            </w:r>
          </w:p>
        </w:tc>
        <w:tc>
          <w:tcPr>
            <w:tcW w:w="1417"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15.52</w:t>
            </w:r>
          </w:p>
        </w:tc>
        <w:tc>
          <w:tcPr>
            <w:tcW w:w="70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196</w:t>
            </w:r>
          </w:p>
        </w:tc>
        <w:tc>
          <w:tcPr>
            <w:tcW w:w="1245"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20.41</w:t>
            </w:r>
          </w:p>
        </w:tc>
        <w:tc>
          <w:tcPr>
            <w:tcW w:w="738" w:type="dxa"/>
            <w:tcBorders>
              <w:top w:val="single" w:sz="4" w:space="0" w:color="BFBFBF"/>
              <w:left w:val="single" w:sz="4" w:space="0" w:color="BFBFBF"/>
              <w:bottom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60</w:t>
            </w:r>
          </w:p>
        </w:tc>
      </w:tr>
      <w:tr w:rsidR="00EE1CC3" w:rsidRPr="002461F0" w:rsidTr="00C31BEB">
        <w:trPr>
          <w:trHeight w:val="193"/>
        </w:trPr>
        <w:tc>
          <w:tcPr>
            <w:tcW w:w="1276" w:type="dxa"/>
            <w:tcBorders>
              <w:top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汇添富价值</w:t>
            </w:r>
          </w:p>
        </w:tc>
        <w:tc>
          <w:tcPr>
            <w:tcW w:w="123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14.27</w:t>
            </w:r>
          </w:p>
        </w:tc>
        <w:tc>
          <w:tcPr>
            <w:tcW w:w="746"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218</w:t>
            </w:r>
          </w:p>
        </w:tc>
        <w:tc>
          <w:tcPr>
            <w:tcW w:w="1417"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20.97</w:t>
            </w:r>
          </w:p>
        </w:tc>
        <w:tc>
          <w:tcPr>
            <w:tcW w:w="70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116</w:t>
            </w:r>
          </w:p>
        </w:tc>
        <w:tc>
          <w:tcPr>
            <w:tcW w:w="1245"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14.78</w:t>
            </w:r>
          </w:p>
        </w:tc>
        <w:tc>
          <w:tcPr>
            <w:tcW w:w="738" w:type="dxa"/>
            <w:tcBorders>
              <w:top w:val="single" w:sz="4" w:space="0" w:color="BFBFBF"/>
              <w:left w:val="single" w:sz="4" w:space="0" w:color="BFBFBF"/>
              <w:bottom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176</w:t>
            </w:r>
          </w:p>
        </w:tc>
      </w:tr>
      <w:tr w:rsidR="00EE1CC3" w:rsidRPr="002461F0" w:rsidTr="00C31BEB">
        <w:trPr>
          <w:trHeight w:val="193"/>
        </w:trPr>
        <w:tc>
          <w:tcPr>
            <w:tcW w:w="1276" w:type="dxa"/>
            <w:tcBorders>
              <w:top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交银行业</w:t>
            </w:r>
          </w:p>
        </w:tc>
        <w:tc>
          <w:tcPr>
            <w:tcW w:w="123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18.49</w:t>
            </w:r>
          </w:p>
        </w:tc>
        <w:tc>
          <w:tcPr>
            <w:tcW w:w="746"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144</w:t>
            </w:r>
          </w:p>
        </w:tc>
        <w:tc>
          <w:tcPr>
            <w:tcW w:w="1417"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16.52</w:t>
            </w:r>
          </w:p>
        </w:tc>
        <w:tc>
          <w:tcPr>
            <w:tcW w:w="70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178</w:t>
            </w:r>
          </w:p>
        </w:tc>
        <w:tc>
          <w:tcPr>
            <w:tcW w:w="1245"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13.63</w:t>
            </w:r>
          </w:p>
        </w:tc>
        <w:tc>
          <w:tcPr>
            <w:tcW w:w="738" w:type="dxa"/>
            <w:tcBorders>
              <w:top w:val="single" w:sz="4" w:space="0" w:color="BFBFBF"/>
              <w:left w:val="single" w:sz="4" w:space="0" w:color="BFBFBF"/>
              <w:bottom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203</w:t>
            </w:r>
          </w:p>
        </w:tc>
      </w:tr>
      <w:tr w:rsidR="00EE1CC3" w:rsidRPr="002461F0" w:rsidTr="00C31BEB">
        <w:trPr>
          <w:trHeight w:val="193"/>
        </w:trPr>
        <w:tc>
          <w:tcPr>
            <w:tcW w:w="1276" w:type="dxa"/>
            <w:tcBorders>
              <w:top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广发行业领先</w:t>
            </w:r>
          </w:p>
        </w:tc>
        <w:tc>
          <w:tcPr>
            <w:tcW w:w="123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19.98</w:t>
            </w:r>
          </w:p>
        </w:tc>
        <w:tc>
          <w:tcPr>
            <w:tcW w:w="746"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109</w:t>
            </w:r>
          </w:p>
        </w:tc>
        <w:tc>
          <w:tcPr>
            <w:tcW w:w="1417"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22</w:t>
            </w:r>
          </w:p>
        </w:tc>
        <w:tc>
          <w:tcPr>
            <w:tcW w:w="70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98</w:t>
            </w:r>
          </w:p>
        </w:tc>
        <w:tc>
          <w:tcPr>
            <w:tcW w:w="1245"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8.75</w:t>
            </w:r>
          </w:p>
        </w:tc>
        <w:tc>
          <w:tcPr>
            <w:tcW w:w="738" w:type="dxa"/>
            <w:tcBorders>
              <w:top w:val="single" w:sz="4" w:space="0" w:color="BFBFBF"/>
              <w:left w:val="single" w:sz="4" w:space="0" w:color="BFBFBF"/>
              <w:bottom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412</w:t>
            </w:r>
          </w:p>
        </w:tc>
      </w:tr>
      <w:tr w:rsidR="00EE1CC3" w:rsidRPr="002461F0" w:rsidTr="00C31BEB">
        <w:trPr>
          <w:trHeight w:val="193"/>
        </w:trPr>
        <w:tc>
          <w:tcPr>
            <w:tcW w:w="1276" w:type="dxa"/>
            <w:tcBorders>
              <w:top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招商安泰股票</w:t>
            </w:r>
          </w:p>
        </w:tc>
        <w:tc>
          <w:tcPr>
            <w:tcW w:w="123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19.43</w:t>
            </w:r>
          </w:p>
        </w:tc>
        <w:tc>
          <w:tcPr>
            <w:tcW w:w="746"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121</w:t>
            </w:r>
          </w:p>
        </w:tc>
        <w:tc>
          <w:tcPr>
            <w:tcW w:w="1417"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23.74</w:t>
            </w:r>
          </w:p>
        </w:tc>
        <w:tc>
          <w:tcPr>
            <w:tcW w:w="70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77</w:t>
            </w:r>
          </w:p>
        </w:tc>
        <w:tc>
          <w:tcPr>
            <w:tcW w:w="1245"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8.65</w:t>
            </w:r>
          </w:p>
        </w:tc>
        <w:tc>
          <w:tcPr>
            <w:tcW w:w="738" w:type="dxa"/>
            <w:tcBorders>
              <w:top w:val="single" w:sz="4" w:space="0" w:color="BFBFBF"/>
              <w:left w:val="single" w:sz="4" w:space="0" w:color="BFBFBF"/>
              <w:bottom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414</w:t>
            </w:r>
          </w:p>
        </w:tc>
      </w:tr>
      <w:tr w:rsidR="00EE1CC3" w:rsidRPr="002461F0" w:rsidTr="00C31BEB">
        <w:trPr>
          <w:trHeight w:val="193"/>
        </w:trPr>
        <w:tc>
          <w:tcPr>
            <w:tcW w:w="1276" w:type="dxa"/>
            <w:tcBorders>
              <w:top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浙商新思维</w:t>
            </w:r>
          </w:p>
        </w:tc>
        <w:tc>
          <w:tcPr>
            <w:tcW w:w="123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19.3</w:t>
            </w:r>
          </w:p>
        </w:tc>
        <w:tc>
          <w:tcPr>
            <w:tcW w:w="746"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125</w:t>
            </w:r>
          </w:p>
        </w:tc>
        <w:tc>
          <w:tcPr>
            <w:tcW w:w="1417"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23.02</w:t>
            </w:r>
          </w:p>
        </w:tc>
        <w:tc>
          <w:tcPr>
            <w:tcW w:w="70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86</w:t>
            </w:r>
          </w:p>
        </w:tc>
        <w:tc>
          <w:tcPr>
            <w:tcW w:w="1245"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8.12</w:t>
            </w:r>
          </w:p>
        </w:tc>
        <w:tc>
          <w:tcPr>
            <w:tcW w:w="738" w:type="dxa"/>
            <w:tcBorders>
              <w:top w:val="single" w:sz="4" w:space="0" w:color="BFBFBF"/>
              <w:left w:val="single" w:sz="4" w:space="0" w:color="BFBFBF"/>
              <w:bottom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438</w:t>
            </w:r>
          </w:p>
        </w:tc>
      </w:tr>
      <w:tr w:rsidR="00EE1CC3" w:rsidRPr="002461F0" w:rsidTr="00C31BEB">
        <w:trPr>
          <w:trHeight w:val="193"/>
        </w:trPr>
        <w:tc>
          <w:tcPr>
            <w:tcW w:w="1276" w:type="dxa"/>
            <w:tcBorders>
              <w:top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宝盈核心优势</w:t>
            </w:r>
          </w:p>
        </w:tc>
        <w:tc>
          <w:tcPr>
            <w:tcW w:w="123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40.8</w:t>
            </w:r>
          </w:p>
        </w:tc>
        <w:tc>
          <w:tcPr>
            <w:tcW w:w="746"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9</w:t>
            </w:r>
          </w:p>
        </w:tc>
        <w:tc>
          <w:tcPr>
            <w:tcW w:w="1417"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27.22</w:t>
            </w:r>
          </w:p>
        </w:tc>
        <w:tc>
          <w:tcPr>
            <w:tcW w:w="709"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48</w:t>
            </w:r>
          </w:p>
        </w:tc>
        <w:tc>
          <w:tcPr>
            <w:tcW w:w="1245" w:type="dxa"/>
            <w:tcBorders>
              <w:top w:val="single" w:sz="4" w:space="0" w:color="BFBFBF"/>
              <w:left w:val="single" w:sz="4" w:space="0" w:color="BFBFBF"/>
              <w:bottom w:val="single" w:sz="4" w:space="0" w:color="BFBFBF"/>
              <w:right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8.1</w:t>
            </w:r>
          </w:p>
        </w:tc>
        <w:tc>
          <w:tcPr>
            <w:tcW w:w="738" w:type="dxa"/>
            <w:tcBorders>
              <w:top w:val="single" w:sz="4" w:space="0" w:color="BFBFBF"/>
              <w:left w:val="single" w:sz="4" w:space="0" w:color="BFBFBF"/>
              <w:bottom w:val="single" w:sz="4" w:space="0" w:color="BFBFBF"/>
            </w:tcBorders>
            <w:shd w:val="clear" w:color="auto" w:fill="auto"/>
            <w:tcMar>
              <w:left w:w="0" w:type="dxa"/>
              <w:right w:w="0" w:type="dxa"/>
            </w:tcMar>
            <w:vAlign w:val="center"/>
          </w:tcPr>
          <w:p w:rsidR="00EE1CC3" w:rsidRPr="002461F0" w:rsidRDefault="00EE1CC3" w:rsidP="00C31BEB">
            <w:pPr>
              <w:jc w:val="center"/>
              <w:rPr>
                <w:rFonts w:ascii="楷体_GB2312" w:hAnsi="宋体" w:cs="宋体"/>
                <w:color w:val="000000"/>
                <w:sz w:val="15"/>
                <w:szCs w:val="15"/>
              </w:rPr>
            </w:pPr>
            <w:r w:rsidRPr="002461F0">
              <w:rPr>
                <w:rFonts w:ascii="楷体_GB2312" w:hint="eastAsia"/>
                <w:color w:val="000000"/>
                <w:sz w:val="15"/>
                <w:szCs w:val="15"/>
              </w:rPr>
              <w:t>439</w:t>
            </w:r>
          </w:p>
        </w:tc>
      </w:tr>
      <w:tr w:rsidR="00EE1CC3" w:rsidTr="00C31BEB">
        <w:tc>
          <w:tcPr>
            <w:tcW w:w="7370" w:type="dxa"/>
            <w:gridSpan w:val="7"/>
            <w:tcBorders>
              <w:top w:val="single" w:sz="4" w:space="0" w:color="00A0E9"/>
            </w:tcBorders>
            <w:shd w:val="clear" w:color="auto" w:fill="auto"/>
            <w:tcMar>
              <w:left w:w="0" w:type="dxa"/>
              <w:right w:w="0" w:type="dxa"/>
            </w:tcMar>
          </w:tcPr>
          <w:p w:rsidR="00EE1CC3" w:rsidRDefault="00EE1CC3" w:rsidP="00C31BEB">
            <w:pPr>
              <w:pStyle w:val="GJStylesGraphSource"/>
            </w:pPr>
            <w:r>
              <w:rPr>
                <w:rFonts w:hint="eastAsia"/>
              </w:rPr>
              <w:t>来源：国金证券研究所</w:t>
            </w:r>
          </w:p>
        </w:tc>
      </w:tr>
    </w:tbl>
    <w:p w:rsidR="00EE1CC3" w:rsidRPr="00D433AE" w:rsidRDefault="00EE1CC3" w:rsidP="00EE1CC3">
      <w:pPr>
        <w:pStyle w:val="a0"/>
        <w:numPr>
          <w:ilvl w:val="5"/>
          <w:numId w:val="36"/>
        </w:numPr>
        <w:spacing w:line="240" w:lineRule="auto"/>
        <w:ind w:left="4140" w:hanging="369"/>
        <w:rPr>
          <w:rFonts w:ascii="楷体_GB2312"/>
          <w:color w:val="auto"/>
        </w:rPr>
      </w:pPr>
      <w:r>
        <w:rPr>
          <w:rFonts w:ascii="楷体_GB2312" w:hint="eastAsia"/>
          <w:color w:val="auto"/>
        </w:rPr>
        <w:t>最后，</w:t>
      </w:r>
      <w:r>
        <w:rPr>
          <w:rFonts w:ascii="楷体_GB2312" w:hint="eastAsia"/>
        </w:rPr>
        <w:t xml:space="preserve"> 两会临近，政策驱动的主题投资机会值得关注。包括</w:t>
      </w:r>
      <w:r w:rsidRPr="006C14CB">
        <w:rPr>
          <w:rFonts w:ascii="楷体_GB2312" w:hint="eastAsia"/>
          <w:color w:val="auto"/>
        </w:rPr>
        <w:t>国企改革</w:t>
      </w:r>
      <w:r>
        <w:rPr>
          <w:rFonts w:ascii="楷体_GB2312" w:hint="eastAsia"/>
          <w:color w:val="auto"/>
        </w:rPr>
        <w:t>的顶层设计方案</w:t>
      </w:r>
      <w:r w:rsidRPr="006C14CB">
        <w:rPr>
          <w:rFonts w:ascii="楷体_GB2312" w:hint="eastAsia"/>
          <w:color w:val="auto"/>
        </w:rPr>
        <w:t>、</w:t>
      </w:r>
      <w:r>
        <w:rPr>
          <w:rFonts w:ascii="楷体_GB2312" w:hint="eastAsia"/>
          <w:color w:val="auto"/>
        </w:rPr>
        <w:t>一带一路战略方案、京津冀一体化方案都有可能在接下来获得重点突破，另外</w:t>
      </w:r>
      <w:r w:rsidRPr="009A233F">
        <w:rPr>
          <w:rFonts w:ascii="楷体_GB2312" w:hint="eastAsia"/>
          <w:color w:val="auto"/>
        </w:rPr>
        <w:t>自贸区的改革试点</w:t>
      </w:r>
      <w:r>
        <w:rPr>
          <w:rFonts w:ascii="楷体_GB2312" w:hint="eastAsia"/>
          <w:color w:val="auto"/>
        </w:rPr>
        <w:t>、新型城镇化规划</w:t>
      </w:r>
      <w:r w:rsidRPr="009A233F">
        <w:rPr>
          <w:rFonts w:ascii="楷体_GB2312" w:hint="eastAsia"/>
          <w:color w:val="auto"/>
        </w:rPr>
        <w:t>、</w:t>
      </w:r>
      <w:r>
        <w:rPr>
          <w:rFonts w:ascii="楷体_GB2312" w:hint="eastAsia"/>
          <w:color w:val="auto"/>
        </w:rPr>
        <w:t>长江经济带、基础设施建设等主题投资机会同样值得关注。</w:t>
      </w:r>
      <w:r w:rsidRPr="00D433AE">
        <w:rPr>
          <w:rFonts w:ascii="楷体_GB2312" w:hint="eastAsia"/>
          <w:color w:val="auto"/>
        </w:rPr>
        <w:t>结合2014年基金季报信息，我们从基金重仓股信息进行主题投资的汇总，对于一些操作灵活、善于把握主题投资机会并有所布局的基金，投资者可侧重关注</w:t>
      </w:r>
      <w:r>
        <w:rPr>
          <w:rFonts w:ascii="楷体_GB2312" w:hint="eastAsia"/>
          <w:color w:val="auto"/>
        </w:rPr>
        <w:t>，尤其关注在国企改革、一带一路、京津冀三大主题关注较多的产品</w:t>
      </w:r>
      <w:r w:rsidRPr="00D433AE">
        <w:rPr>
          <w:rFonts w:ascii="楷体_GB2312" w:hint="eastAsia"/>
          <w:color w:val="auto"/>
        </w:rPr>
        <w:t>。比如</w:t>
      </w:r>
      <w:r>
        <w:rPr>
          <w:rFonts w:ascii="楷体_GB2312" w:hint="eastAsia"/>
          <w:color w:val="auto"/>
        </w:rPr>
        <w:t>宝盈策略增长、嘉实周期优选、大摩领先优势、海富通国策导向、银华领先策略等基金</w:t>
      </w:r>
      <w:r w:rsidRPr="00D433AE">
        <w:rPr>
          <w:rFonts w:ascii="楷体_GB2312" w:hint="eastAsia"/>
          <w:color w:val="auto"/>
        </w:rPr>
        <w:t>。</w:t>
      </w:r>
    </w:p>
    <w:tbl>
      <w:tblPr>
        <w:tblW w:w="7370" w:type="dxa"/>
        <w:tblInd w:w="3402" w:type="dxa"/>
        <w:tblBorders>
          <w:top w:val="single" w:sz="4" w:space="0" w:color="00A0E9"/>
          <w:insideH w:val="single" w:sz="4" w:space="0" w:color="00A0E9"/>
        </w:tblBorders>
        <w:tblLook w:val="0600" w:firstRow="0" w:lastRow="0" w:firstColumn="0" w:lastColumn="0" w:noHBand="1" w:noVBand="1"/>
      </w:tblPr>
      <w:tblGrid>
        <w:gridCol w:w="7370"/>
      </w:tblGrid>
      <w:tr w:rsidR="00EE1CC3" w:rsidRPr="002461F0" w:rsidTr="00C31BEB">
        <w:tc>
          <w:tcPr>
            <w:tcW w:w="7370" w:type="dxa"/>
            <w:shd w:val="clear" w:color="auto" w:fill="auto"/>
            <w:tcMar>
              <w:left w:w="0" w:type="dxa"/>
              <w:right w:w="0" w:type="dxa"/>
            </w:tcMar>
          </w:tcPr>
          <w:p w:rsidR="00EE1CC3" w:rsidRPr="00D433AE" w:rsidRDefault="00EE1CC3" w:rsidP="00C31BEB">
            <w:pPr>
              <w:pStyle w:val="GJStylesGraphTitle"/>
            </w:pPr>
            <w:r>
              <w:rPr>
                <w:rFonts w:hint="eastAsia"/>
              </w:rPr>
              <w:t>图表</w:t>
            </w:r>
            <w:r w:rsidR="00D775F9">
              <w:fldChar w:fldCharType="begin"/>
            </w:r>
            <w:r w:rsidR="00D775F9">
              <w:instrText xml:space="preserve"> SEQ </w:instrText>
            </w:r>
            <w:r w:rsidR="00D775F9">
              <w:instrText>图表</w:instrText>
            </w:r>
            <w:r w:rsidR="00D775F9">
              <w:instrText xml:space="preserve"> \* ARABIC  \* MERGEFORMAT </w:instrText>
            </w:r>
            <w:r w:rsidR="00D775F9">
              <w:fldChar w:fldCharType="separate"/>
            </w:r>
            <w:r>
              <w:rPr>
                <w:noProof/>
              </w:rPr>
              <w:t>4</w:t>
            </w:r>
            <w:r w:rsidR="00D775F9">
              <w:rPr>
                <w:noProof/>
              </w:rPr>
              <w:fldChar w:fldCharType="end"/>
            </w:r>
            <w:r>
              <w:rPr>
                <w:rFonts w:hint="eastAsia"/>
              </w:rPr>
              <w:t>：对国企改革、一带一路、京津冀主题参与较多的基金</w:t>
            </w:r>
          </w:p>
        </w:tc>
      </w:tr>
      <w:tr w:rsidR="00EE1CC3" w:rsidRPr="002461F0" w:rsidTr="00C31BEB">
        <w:trPr>
          <w:trHeight w:val="2861"/>
        </w:trPr>
        <w:tc>
          <w:tcPr>
            <w:tcW w:w="7370" w:type="dxa"/>
            <w:shd w:val="clear" w:color="auto" w:fill="auto"/>
            <w:tcMar>
              <w:left w:w="0" w:type="dxa"/>
              <w:right w:w="0" w:type="dxa"/>
            </w:tcMar>
            <w:vAlign w:val="center"/>
          </w:tcPr>
          <w:p w:rsidR="00EE1CC3" w:rsidRPr="00D433AE" w:rsidRDefault="00EE1CC3" w:rsidP="00C31BEB">
            <w:pPr>
              <w:jc w:val="center"/>
            </w:pPr>
            <w:r>
              <w:rPr>
                <w:noProof/>
              </w:rPr>
              <w:drawing>
                <wp:inline distT="0" distB="0" distL="0" distR="0">
                  <wp:extent cx="4400550" cy="2638425"/>
                  <wp:effectExtent l="19050" t="0" r="0" b="0"/>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1" cstate="print"/>
                          <a:srcRect/>
                          <a:stretch>
                            <a:fillRect/>
                          </a:stretch>
                        </pic:blipFill>
                        <pic:spPr bwMode="auto">
                          <a:xfrm>
                            <a:off x="0" y="0"/>
                            <a:ext cx="4400550" cy="2638425"/>
                          </a:xfrm>
                          <a:prstGeom prst="rect">
                            <a:avLst/>
                          </a:prstGeom>
                          <a:noFill/>
                          <a:ln w="9525">
                            <a:noFill/>
                            <a:miter lim="800000"/>
                            <a:headEnd/>
                            <a:tailEnd/>
                          </a:ln>
                        </pic:spPr>
                      </pic:pic>
                    </a:graphicData>
                  </a:graphic>
                </wp:inline>
              </w:drawing>
            </w:r>
          </w:p>
        </w:tc>
      </w:tr>
      <w:tr w:rsidR="00EE1CC3" w:rsidTr="00C31BEB">
        <w:tc>
          <w:tcPr>
            <w:tcW w:w="7370" w:type="dxa"/>
            <w:shd w:val="clear" w:color="auto" w:fill="auto"/>
            <w:tcMar>
              <w:left w:w="0" w:type="dxa"/>
              <w:right w:w="0" w:type="dxa"/>
            </w:tcMar>
          </w:tcPr>
          <w:p w:rsidR="00EE1CC3" w:rsidRDefault="00EE1CC3" w:rsidP="00C31BEB">
            <w:pPr>
              <w:pStyle w:val="GJStylesGraphSource"/>
            </w:pPr>
            <w:r>
              <w:rPr>
                <w:rFonts w:hint="eastAsia"/>
              </w:rPr>
              <w:t>来源：国金证券研究所</w:t>
            </w:r>
          </w:p>
        </w:tc>
      </w:tr>
    </w:tbl>
    <w:p w:rsidR="00EE1CC3" w:rsidRDefault="00EE1CC3" w:rsidP="00EE1CC3">
      <w:pPr>
        <w:pStyle w:val="a0"/>
        <w:spacing w:line="240" w:lineRule="auto"/>
        <w:ind w:left="3771"/>
        <w:rPr>
          <w:rFonts w:ascii="楷体_GB2312"/>
          <w:color w:val="auto"/>
        </w:rPr>
      </w:pPr>
    </w:p>
    <w:p w:rsidR="00EE1CC3" w:rsidRPr="00183075" w:rsidRDefault="00EE1CC3" w:rsidP="00EE1CC3">
      <w:pPr>
        <w:pStyle w:val="13"/>
        <w:rPr>
          <w:color w:val="auto"/>
        </w:rPr>
      </w:pPr>
      <w:r>
        <w:rPr>
          <w:rFonts w:hint="eastAsia"/>
          <w:color w:val="auto"/>
        </w:rPr>
        <w:lastRenderedPageBreak/>
        <w:t>第三部分</w:t>
      </w:r>
      <w:r w:rsidRPr="00183075">
        <w:rPr>
          <w:rFonts w:hint="eastAsia"/>
          <w:color w:val="auto"/>
        </w:rPr>
        <w:t>、</w:t>
      </w:r>
      <w:r w:rsidRPr="001509EC">
        <w:rPr>
          <w:rFonts w:hint="eastAsia"/>
          <w:color w:val="auto"/>
        </w:rPr>
        <w:t>基金池及</w:t>
      </w:r>
      <w:r w:rsidRPr="001509EC">
        <w:rPr>
          <w:rFonts w:hint="eastAsia"/>
          <w:color w:val="auto"/>
        </w:rPr>
        <w:t>201</w:t>
      </w:r>
      <w:r>
        <w:rPr>
          <w:rFonts w:hint="eastAsia"/>
          <w:color w:val="auto"/>
        </w:rPr>
        <w:t>5</w:t>
      </w:r>
      <w:r w:rsidRPr="001509EC">
        <w:rPr>
          <w:rFonts w:hint="eastAsia"/>
          <w:color w:val="auto"/>
        </w:rPr>
        <w:t>年</w:t>
      </w:r>
      <w:r>
        <w:rPr>
          <w:rFonts w:hint="eastAsia"/>
          <w:color w:val="auto"/>
        </w:rPr>
        <w:t>3</w:t>
      </w:r>
      <w:r w:rsidRPr="001509EC">
        <w:rPr>
          <w:rFonts w:hint="eastAsia"/>
          <w:color w:val="auto"/>
        </w:rPr>
        <w:t>月份基金组合推荐</w:t>
      </w:r>
    </w:p>
    <w:p w:rsidR="00EE1CC3" w:rsidRPr="00C237AD" w:rsidRDefault="00EE1CC3" w:rsidP="00EE1CC3">
      <w:pPr>
        <w:pStyle w:val="a0"/>
        <w:numPr>
          <w:ilvl w:val="4"/>
          <w:numId w:val="3"/>
        </w:numPr>
        <w:spacing w:after="240"/>
        <w:rPr>
          <w:color w:val="auto"/>
        </w:rPr>
      </w:pPr>
      <w:r w:rsidRPr="00C237AD">
        <w:rPr>
          <w:rFonts w:hint="eastAsia"/>
          <w:color w:val="auto"/>
        </w:rPr>
        <w:t>依据前面各部分对相关市场以及各类产品投资操作策略分析，下阶段重点关注基金池</w:t>
      </w:r>
      <w:r>
        <w:rPr>
          <w:rFonts w:hint="eastAsia"/>
          <w:color w:val="auto"/>
        </w:rPr>
        <w:t>如下：</w:t>
      </w:r>
    </w:p>
    <w:tbl>
      <w:tblPr>
        <w:tblW w:w="10772" w:type="dxa"/>
        <w:jc w:val="center"/>
        <w:tblBorders>
          <w:top w:val="single" w:sz="6" w:space="0" w:color="00B0F0"/>
          <w:bottom w:val="single" w:sz="6" w:space="0" w:color="00B0F0"/>
          <w:insideH w:val="single" w:sz="6" w:space="0" w:color="00B0F0"/>
        </w:tblBorders>
        <w:tblLayout w:type="fixed"/>
        <w:tblCellMar>
          <w:left w:w="0" w:type="dxa"/>
          <w:right w:w="0" w:type="dxa"/>
        </w:tblCellMar>
        <w:tblLook w:val="0000" w:firstRow="0" w:lastRow="0" w:firstColumn="0" w:lastColumn="0" w:noHBand="0" w:noVBand="0"/>
      </w:tblPr>
      <w:tblGrid>
        <w:gridCol w:w="2042"/>
        <w:gridCol w:w="8730"/>
      </w:tblGrid>
      <w:tr w:rsidR="00EE1CC3" w:rsidTr="00C31BEB">
        <w:trPr>
          <w:cantSplit/>
          <w:trHeight w:val="200"/>
          <w:tblHeader/>
          <w:jc w:val="center"/>
        </w:trPr>
        <w:tc>
          <w:tcPr>
            <w:tcW w:w="10772" w:type="dxa"/>
            <w:gridSpan w:val="2"/>
            <w:tcBorders>
              <w:bottom w:val="single" w:sz="6" w:space="0" w:color="00B0F0"/>
            </w:tcBorders>
            <w:shd w:val="clear" w:color="auto" w:fill="auto"/>
          </w:tcPr>
          <w:p w:rsidR="00EE1CC3" w:rsidRDefault="00EE1CC3" w:rsidP="00C31BEB">
            <w:pPr>
              <w:pStyle w:val="SubTitleLargeTable"/>
            </w:pPr>
            <w:r>
              <w:rPr>
                <w:rFonts w:hint="eastAsia"/>
              </w:rPr>
              <w:t>图表</w:t>
            </w:r>
            <w:r w:rsidR="000A76EF">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0A76EF">
              <w:fldChar w:fldCharType="separate"/>
            </w:r>
            <w:r>
              <w:rPr>
                <w:noProof/>
              </w:rPr>
              <w:t>5</w:t>
            </w:r>
            <w:r w:rsidR="000A76EF">
              <w:fldChar w:fldCharType="end"/>
            </w:r>
            <w:r>
              <w:rPr>
                <w:rFonts w:hint="eastAsia"/>
              </w:rPr>
              <w:t>：基金池推荐（按字母顺序排列）</w:t>
            </w:r>
          </w:p>
        </w:tc>
      </w:tr>
      <w:tr w:rsidR="00EE1CC3" w:rsidTr="00C31BEB">
        <w:trPr>
          <w:cantSplit/>
          <w:trHeight w:val="340"/>
          <w:jc w:val="center"/>
        </w:trPr>
        <w:tc>
          <w:tcPr>
            <w:tcW w:w="2042" w:type="dxa"/>
            <w:tcBorders>
              <w:bottom w:val="single" w:sz="6" w:space="0" w:color="D9D9D9"/>
              <w:right w:val="single" w:sz="6" w:space="0" w:color="D9D9D9"/>
            </w:tcBorders>
            <w:shd w:val="clear" w:color="auto" w:fill="auto"/>
            <w:vAlign w:val="center"/>
          </w:tcPr>
          <w:p w:rsidR="00EE1CC3" w:rsidRPr="00F84181" w:rsidRDefault="00EE1CC3" w:rsidP="00C31BEB">
            <w:pPr>
              <w:jc w:val="center"/>
              <w:rPr>
                <w:rFonts w:ascii="宋体" w:eastAsia="宋体" w:hAnsi="宋体" w:cs="宋体"/>
                <w:b/>
                <w:bCs/>
                <w:szCs w:val="18"/>
              </w:rPr>
            </w:pPr>
            <w:r w:rsidRPr="00F84181">
              <w:rPr>
                <w:rFonts w:ascii="宋体" w:eastAsia="宋体" w:hAnsi="宋体" w:hint="eastAsia"/>
                <w:b/>
                <w:bCs/>
                <w:szCs w:val="18"/>
              </w:rPr>
              <w:t>股票型基金</w:t>
            </w:r>
          </w:p>
        </w:tc>
        <w:tc>
          <w:tcPr>
            <w:tcW w:w="8730" w:type="dxa"/>
            <w:tcBorders>
              <w:left w:val="single" w:sz="6" w:space="0" w:color="D9D9D9"/>
              <w:bottom w:val="single" w:sz="6" w:space="0" w:color="D9D9D9"/>
            </w:tcBorders>
            <w:shd w:val="clear" w:color="auto" w:fill="auto"/>
            <w:vAlign w:val="center"/>
          </w:tcPr>
          <w:p w:rsidR="00EE1CC3" w:rsidRPr="00220F11" w:rsidRDefault="00EE1CC3" w:rsidP="00C31BEB">
            <w:pPr>
              <w:jc w:val="center"/>
              <w:rPr>
                <w:rFonts w:ascii="宋体" w:eastAsia="宋体" w:hAnsi="宋体" w:cs="宋体"/>
                <w:b/>
                <w:color w:val="000000"/>
                <w:szCs w:val="18"/>
              </w:rPr>
            </w:pPr>
            <w:r w:rsidRPr="00220F11">
              <w:rPr>
                <w:rFonts w:ascii="宋体" w:eastAsia="宋体" w:hAnsi="宋体" w:cs="宋体" w:hint="eastAsia"/>
                <w:b/>
                <w:color w:val="000000"/>
                <w:szCs w:val="18"/>
              </w:rPr>
              <w:t>推荐理由</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宝盈策略</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基金经理具备较强的投资管理能力，无论是择时还是选股指标都在同业中表现突出</w:t>
            </w:r>
            <w:r w:rsidRPr="009A36BC">
              <w:rPr>
                <w:rFonts w:ascii="宋体" w:eastAsia="宋体" w:hAnsi="宋体" w:hint="eastAsia"/>
                <w:szCs w:val="18"/>
              </w:rPr>
              <w:t>。</w:t>
            </w:r>
            <w:r>
              <w:rPr>
                <w:rFonts w:ascii="宋体" w:eastAsia="宋体" w:hAnsi="宋体" w:hint="eastAsia"/>
                <w:szCs w:val="18"/>
              </w:rPr>
              <w:t>基金侧重成长风格投资，同时在国企改革、军工等主题投资领域上关注较多。</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博时特许</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低估值蓝筹风格显著，并对此类风格品种有突出的把握能力，且长期投资风格保持稳定，在价值风格主导的行情中有较强的配置价值。</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工银金融地产</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Default="00EE1CC3" w:rsidP="00C31BEB">
            <w:pPr>
              <w:jc w:val="left"/>
              <w:rPr>
                <w:rFonts w:ascii="宋体" w:eastAsia="宋体" w:hAnsi="宋体"/>
                <w:szCs w:val="18"/>
              </w:rPr>
            </w:pPr>
            <w:r>
              <w:rPr>
                <w:rFonts w:ascii="宋体" w:eastAsia="宋体" w:hAnsi="宋体" w:hint="eastAsia"/>
                <w:szCs w:val="18"/>
              </w:rPr>
              <w:t>重点投资于金融地产行业，且从投资风格来看在选股上具有较高的灵活度，在2014年对市场投资机会有突出的把握，在相关行业投资机会较为明显的市场环境中，可重点关注。</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Default="00EE1CC3" w:rsidP="00C31BEB">
            <w:pPr>
              <w:jc w:val="center"/>
              <w:rPr>
                <w:rFonts w:ascii="宋体" w:eastAsia="宋体" w:hAnsi="宋体"/>
                <w:b/>
                <w:szCs w:val="18"/>
              </w:rPr>
            </w:pPr>
            <w:r>
              <w:rPr>
                <w:rFonts w:ascii="宋体" w:eastAsia="宋体" w:hAnsi="宋体" w:hint="eastAsia"/>
                <w:b/>
                <w:szCs w:val="18"/>
              </w:rPr>
              <w:t>工银主题</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Default="00EE1CC3" w:rsidP="00C31BEB">
            <w:pPr>
              <w:jc w:val="left"/>
              <w:rPr>
                <w:rFonts w:ascii="宋体" w:eastAsia="宋体" w:hAnsi="宋体"/>
                <w:szCs w:val="18"/>
              </w:rPr>
            </w:pPr>
            <w:r>
              <w:rPr>
                <w:rFonts w:ascii="宋体" w:eastAsia="宋体" w:hAnsi="宋体" w:cs="宋体" w:hint="eastAsia"/>
                <w:bCs/>
                <w:szCs w:val="18"/>
              </w:rPr>
              <w:t>主题投资策略基金，从投资效果来看，具备较强的市场热点把握能力和个股选择能力，投资风格积极、灵活，中长期业绩表现良好。</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广发行业领先</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Default="00EE1CC3" w:rsidP="00C31BEB">
            <w:pPr>
              <w:jc w:val="left"/>
              <w:rPr>
                <w:rFonts w:ascii="宋体" w:eastAsia="宋体" w:hAnsi="宋体"/>
                <w:szCs w:val="18"/>
              </w:rPr>
            </w:pPr>
            <w:r>
              <w:rPr>
                <w:rFonts w:ascii="宋体" w:eastAsia="宋体" w:hAnsi="宋体" w:hint="eastAsia"/>
                <w:szCs w:val="18"/>
              </w:rPr>
              <w:t>行业配置均衡，注重自下而上的选择，具备突出的选股能力，管理业绩具有较好的持续性。</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455ED2" w:rsidRDefault="00EE1CC3" w:rsidP="00C31BEB">
            <w:pPr>
              <w:jc w:val="center"/>
              <w:rPr>
                <w:rFonts w:ascii="宋体" w:eastAsia="宋体" w:hAnsi="宋体"/>
                <w:b/>
                <w:szCs w:val="18"/>
              </w:rPr>
            </w:pPr>
            <w:r>
              <w:rPr>
                <w:rFonts w:ascii="宋体" w:eastAsia="宋体" w:hAnsi="宋体" w:hint="eastAsia"/>
                <w:b/>
                <w:szCs w:val="18"/>
              </w:rPr>
              <w:t>海富通国策</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具有较高的灵活度，且对于国企改革、一带一路等主题具有较高的关注。从历史业绩来看，基金具备较强的灵活投资管理能力。</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455ED2" w:rsidRDefault="00EE1CC3" w:rsidP="00C31BEB">
            <w:pPr>
              <w:jc w:val="center"/>
              <w:rPr>
                <w:rFonts w:ascii="宋体" w:eastAsia="宋体" w:hAnsi="宋体"/>
                <w:b/>
                <w:szCs w:val="18"/>
              </w:rPr>
            </w:pPr>
            <w:r>
              <w:rPr>
                <w:rFonts w:ascii="宋体" w:eastAsia="宋体" w:hAnsi="宋体" w:hint="eastAsia"/>
                <w:b/>
                <w:szCs w:val="18"/>
              </w:rPr>
              <w:t>华安逆向策略</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1C05C8">
              <w:rPr>
                <w:rFonts w:ascii="宋体" w:eastAsia="宋体" w:hAnsi="宋体" w:hint="eastAsia"/>
                <w:szCs w:val="18"/>
              </w:rPr>
              <w:t>重点投资于价值被低估的股票</w:t>
            </w:r>
            <w:r>
              <w:rPr>
                <w:rFonts w:ascii="宋体" w:eastAsia="宋体" w:hAnsi="宋体" w:hint="eastAsia"/>
                <w:szCs w:val="18"/>
              </w:rPr>
              <w:t>，价值特征显著，投资风格稳健且具备一定的灵活性，在震荡市场环境中具备一定的优势。</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华商主题</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E6457A">
              <w:rPr>
                <w:rFonts w:ascii="宋体" w:eastAsia="宋体" w:hAnsi="宋体" w:hint="eastAsia"/>
                <w:szCs w:val="18"/>
              </w:rPr>
              <w:t>关注经济结构转型过程中新兴产业的投资方向，坚持自下而上的投资策略，股票仓位保持基本稳定且仓位较高，选股能力突出，且高持股集中度。重仓股相对稳定，中长期持有的特征明显，近年来实现了</w:t>
            </w:r>
            <w:r>
              <w:rPr>
                <w:rFonts w:ascii="宋体" w:eastAsia="宋体" w:hAnsi="宋体" w:hint="eastAsia"/>
                <w:szCs w:val="18"/>
              </w:rPr>
              <w:t>较好</w:t>
            </w:r>
            <w:r w:rsidRPr="00E6457A">
              <w:rPr>
                <w:rFonts w:ascii="宋体" w:eastAsia="宋体" w:hAnsi="宋体" w:hint="eastAsia"/>
                <w:szCs w:val="18"/>
              </w:rPr>
              <w:t>的业绩持续性。</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华泰量化增强</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5E20B7">
              <w:rPr>
                <w:rFonts w:ascii="宋体" w:eastAsia="宋体" w:hAnsi="宋体" w:hint="eastAsia"/>
                <w:szCs w:val="18"/>
              </w:rPr>
              <w:t>基金成立以来的运作体现了其量化模型的科学有效性，在展现出良好选股能力的同时，也较好控制了投资风险。基金的持股平均期限相对长，整体体现了其“基于基本面信息的“中长”持有期的选股模型”的投资思路。此外，量化基金在投资组合上普遍体现高度分散的特点，在结构化行情中，量化基金更有机会发挥其选股优势。</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嘉实领先成长</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E6457A">
              <w:rPr>
                <w:rFonts w:ascii="宋体" w:eastAsia="宋体" w:hAnsi="宋体" w:hint="eastAsia"/>
                <w:szCs w:val="18"/>
              </w:rPr>
              <w:t>基金组合配置较为稳定，主要着眼于长期投资前景，重点对消费、医药、服务等行业板块进行核心配置</w:t>
            </w:r>
            <w:r>
              <w:rPr>
                <w:rFonts w:ascii="宋体" w:eastAsia="宋体" w:hAnsi="宋体" w:hint="eastAsia"/>
                <w:szCs w:val="18"/>
              </w:rPr>
              <w:t>。中长期管理业绩更为突出，具备良好的选股能力。</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嘉实</w:t>
            </w:r>
            <w:r>
              <w:rPr>
                <w:rFonts w:ascii="宋体" w:eastAsia="宋体" w:hAnsi="宋体" w:hint="eastAsia"/>
                <w:b/>
                <w:szCs w:val="18"/>
              </w:rPr>
              <w:t>研究</w:t>
            </w:r>
            <w:r w:rsidRPr="009A36BC">
              <w:rPr>
                <w:rFonts w:ascii="宋体" w:eastAsia="宋体" w:hAnsi="宋体" w:hint="eastAsia"/>
                <w:b/>
                <w:szCs w:val="18"/>
              </w:rPr>
              <w:t>精选</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成立以来显示出长期稳定且优异的业绩特征，建立在良好选股能力基础上的适度集中投资和策略灵活调整，是嘉实研究精选基金获得超额收益的主要来源，基金在风格上侧重成长，对成长股有不错的把握能力。</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南方精选</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由于投资范围为沪深300样本股，因此低估值蓝筹风格显著，金融、地产配置比例较高，且长期投资风格保持稳定，在价值风格主导的行情中有较强的配置价值。</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添富价值</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重点挖掘低估值板块以及“以时间换空间”的价值投资方法，获取中长期业绩的稳定性，基金经理陈晓翔善于价值选股，并在市场的顺势而为或逆向投资方面把握一定的“度”，以在市场上下波动阶段增强投资收益。在“蓝筹回归”的市场趋势下，具备一定的优势。</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添富逆向</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6C6448">
              <w:rPr>
                <w:rFonts w:ascii="宋体" w:eastAsia="宋体" w:hAnsi="宋体" w:hint="eastAsia"/>
                <w:szCs w:val="18"/>
              </w:rPr>
              <w:t>汇添富逆向投资基金自成立以来，中长期业绩优秀。逆向投资思维+灵活配置较好的契合了目前多变的市场投资环境，管理者较强的投资能力也起到决定性的作用。基金持股偏离主流，较少参与市场热点，优质蓝筹+低估值成长的风格较为明显。</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新华主题</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主题投资基金，在2014年主题投资机会丰富的市场环境中展现了较好的投资管理能力和灵活的操作特长，在主题基金中具备较强的管理优势。</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兴全</w:t>
            </w:r>
            <w:r>
              <w:rPr>
                <w:rFonts w:ascii="宋体" w:eastAsia="宋体" w:hAnsi="宋体" w:hint="eastAsia"/>
                <w:b/>
                <w:szCs w:val="18"/>
              </w:rPr>
              <w:t>绿色</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秉承公司风险控制和选股优势，</w:t>
            </w:r>
            <w:r>
              <w:rPr>
                <w:rFonts w:ascii="宋体" w:eastAsia="宋体" w:hAnsi="宋体" w:hint="eastAsia"/>
                <w:szCs w:val="18"/>
              </w:rPr>
              <w:t>在核心配置稳定增长的消费行业的同时，也注重成长股的投资，整体来看</w:t>
            </w:r>
            <w:r w:rsidRPr="009A36BC">
              <w:rPr>
                <w:rFonts w:ascii="宋体" w:eastAsia="宋体" w:hAnsi="宋体" w:hint="eastAsia"/>
                <w:szCs w:val="18"/>
              </w:rPr>
              <w:t>兼顾业绩确定性</w:t>
            </w:r>
            <w:r>
              <w:rPr>
                <w:rFonts w:ascii="宋体" w:eastAsia="宋体" w:hAnsi="宋体" w:hint="eastAsia"/>
                <w:szCs w:val="18"/>
              </w:rPr>
              <w:t>和成长性</w:t>
            </w:r>
            <w:r w:rsidRPr="009A36BC">
              <w:rPr>
                <w:rFonts w:ascii="宋体" w:eastAsia="宋体" w:hAnsi="宋体" w:hint="eastAsia"/>
                <w:szCs w:val="18"/>
              </w:rPr>
              <w:t>，</w:t>
            </w:r>
            <w:r>
              <w:rPr>
                <w:rFonts w:ascii="宋体" w:eastAsia="宋体" w:hAnsi="宋体" w:hint="eastAsia"/>
                <w:szCs w:val="18"/>
              </w:rPr>
              <w:t>风格较为稳健，风险收益配比优势突出</w:t>
            </w:r>
            <w:r w:rsidRPr="009A36BC">
              <w:rPr>
                <w:rFonts w:ascii="宋体" w:eastAsia="宋体" w:hAnsi="宋体" w:hint="eastAsia"/>
                <w:szCs w:val="18"/>
              </w:rPr>
              <w:t>。</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银河行业</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坚持自下而上的投资策略，股票仓位保持基本稳定，投资风格侧重成长且较为积极，对创业板股票投资比例较高，并取得了突出的投资效果，具备高风险、高收益的特征。</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Default="00EE1CC3" w:rsidP="00C31BEB">
            <w:pPr>
              <w:jc w:val="center"/>
              <w:rPr>
                <w:rFonts w:ascii="宋体" w:eastAsia="宋体" w:hAnsi="宋体"/>
                <w:b/>
                <w:szCs w:val="18"/>
              </w:rPr>
            </w:pPr>
            <w:r>
              <w:rPr>
                <w:rFonts w:ascii="宋体" w:eastAsia="宋体" w:hAnsi="宋体" w:hint="eastAsia"/>
                <w:b/>
                <w:szCs w:val="18"/>
              </w:rPr>
              <w:t>长盛电子信息</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Default="00EE1CC3" w:rsidP="00C31BEB">
            <w:pPr>
              <w:jc w:val="left"/>
              <w:rPr>
                <w:rFonts w:ascii="宋体" w:eastAsia="宋体" w:hAnsi="宋体"/>
                <w:szCs w:val="18"/>
              </w:rPr>
            </w:pPr>
            <w:r>
              <w:rPr>
                <w:rFonts w:ascii="宋体" w:eastAsia="宋体" w:hAnsi="宋体" w:hint="eastAsia"/>
                <w:szCs w:val="18"/>
              </w:rPr>
              <w:t>主题投资产品，基金经理对于高速成长行业中的个股有较强的把握能力，且侧重对于其中估值合理的股票进行挖掘，具有较好的风险收益配比，适合中长期投资。</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招商大盘蓝筹</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5E20B7">
              <w:rPr>
                <w:rFonts w:ascii="宋体" w:eastAsia="宋体" w:hAnsi="宋体" w:hint="eastAsia"/>
                <w:szCs w:val="18"/>
              </w:rPr>
              <w:t>招商大盘</w:t>
            </w:r>
            <w:r>
              <w:rPr>
                <w:rFonts w:ascii="宋体" w:eastAsia="宋体" w:hAnsi="宋体" w:hint="eastAsia"/>
                <w:szCs w:val="18"/>
              </w:rPr>
              <w:t>蓝筹侧重蓝筹板块投资，把握低估值板块的轮动，具有稳健优势，且从历史业绩来看，展现出较好的</w:t>
            </w:r>
            <w:r w:rsidRPr="005E20B7">
              <w:rPr>
                <w:rFonts w:ascii="宋体" w:eastAsia="宋体" w:hAnsi="宋体" w:hint="eastAsia"/>
                <w:szCs w:val="18"/>
              </w:rPr>
              <w:t>风险收益配比，</w:t>
            </w:r>
            <w:r>
              <w:rPr>
                <w:rFonts w:ascii="宋体" w:eastAsia="宋体" w:hAnsi="宋体" w:hint="eastAsia"/>
                <w:szCs w:val="18"/>
              </w:rPr>
              <w:t>适合中长期关注。</w:t>
            </w:r>
            <w:r w:rsidRPr="009A36BC">
              <w:rPr>
                <w:rFonts w:ascii="宋体" w:eastAsia="宋体" w:hAnsi="宋体" w:hint="eastAsia"/>
                <w:szCs w:val="18"/>
              </w:rPr>
              <w:t xml:space="preserve"> </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中欧价值发现</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注重价值投资，组合的安全边际较高，中长期选股能力突出，基金具备较好的业绩持续性。</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Default="00EE1CC3" w:rsidP="00C31BEB">
            <w:pPr>
              <w:jc w:val="center"/>
              <w:rPr>
                <w:rFonts w:ascii="宋体" w:eastAsia="宋体" w:hAnsi="宋体"/>
                <w:b/>
                <w:szCs w:val="18"/>
              </w:rPr>
            </w:pPr>
            <w:r>
              <w:rPr>
                <w:rFonts w:ascii="宋体" w:eastAsia="宋体" w:hAnsi="宋体" w:hint="eastAsia"/>
                <w:b/>
                <w:szCs w:val="18"/>
              </w:rPr>
              <w:t>中银主题</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1C05C8" w:rsidRDefault="00EE1CC3" w:rsidP="00C31BEB">
            <w:pPr>
              <w:jc w:val="left"/>
              <w:rPr>
                <w:rFonts w:ascii="宋体" w:eastAsia="宋体" w:hAnsi="宋体"/>
                <w:szCs w:val="18"/>
              </w:rPr>
            </w:pPr>
            <w:r>
              <w:rPr>
                <w:rFonts w:ascii="宋体" w:eastAsia="宋体" w:hAnsi="宋体" w:hint="eastAsia"/>
                <w:szCs w:val="18"/>
              </w:rPr>
              <w:t>主题投资策略基金，具有较高的操作灵活性，无论是资产配置的调整还是个股的调整都相对灵活，</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中邮主题</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中小盘成长风格显著，对于新经济、新兴产业主题有突出的把握能力，且表现在历史业绩上超额收益显著。注重自下而上选股，股票仓位相对稳定。</w:t>
            </w:r>
          </w:p>
        </w:tc>
      </w:tr>
      <w:tr w:rsidR="00EE1CC3" w:rsidTr="00C31BEB">
        <w:trPr>
          <w:cantSplit/>
          <w:trHeight w:val="340"/>
          <w:jc w:val="center"/>
        </w:trPr>
        <w:tc>
          <w:tcPr>
            <w:tcW w:w="2042" w:type="dxa"/>
            <w:tcBorders>
              <w:top w:val="single" w:sz="6" w:space="0" w:color="00B0F0"/>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p>
        </w:tc>
        <w:tc>
          <w:tcPr>
            <w:tcW w:w="8730" w:type="dxa"/>
            <w:tcBorders>
              <w:top w:val="single" w:sz="6" w:space="0" w:color="00B0F0"/>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lastRenderedPageBreak/>
              <w:t>混合型基金</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推荐理由</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宝盈核心优势</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基金经理对市场节奏有较好的把握，无论是大类资产配置还是自下而上的选股都有突出的优势，尤其擅长成长类股票的投资。</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富国天成</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股票仓位适中，风险控制能力较强，侧重稳健成长类风格股票和低估值银行股。</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光大配置</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配置较为均衡，股票仓位中等水平，注重自下而上的选择且选股能力良好，从历史业绩来看，具有较好的风险收益配比</w:t>
            </w:r>
            <w:r w:rsidRPr="009A36BC">
              <w:rPr>
                <w:rFonts w:ascii="宋体" w:eastAsia="宋体" w:hAnsi="宋体" w:hint="eastAsia"/>
                <w:szCs w:val="18"/>
              </w:rPr>
              <w:t>。</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7D60E4">
              <w:rPr>
                <w:rFonts w:ascii="宋体" w:eastAsia="宋体" w:hAnsi="宋体" w:hint="eastAsia"/>
                <w:b/>
                <w:szCs w:val="18"/>
              </w:rPr>
              <w:t>国泰金泰平衡</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保守配置型基金，基金以追求相对稳定的回报为目标，股票投资上限为50%，结合转型前和转型后的表现，基金经理均呈现良好的投资管理能力。</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国投稳健增长</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基金经理善于利用资产配置控制系统性风险，重视组合中对行业个股的选配，基金历史业绩稳健。</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海富通精选</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偏好价值成长类股票，操作风格灵活积极，基金经理具备较强的管理能力，市场震荡过程中更显优势。</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华安宏利</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大盘蓝筹风格明显，对蓝筹股有较强的把握能力，基金经理稳定且具备突出的管理能力。</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华宝收益</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基金注重通过个股把握结构行情，同时持股集中度较高，以提高组合效率和进攻性。此外，基金对部分重仓个股的持续持有的时间较长，密切跟踪、深入了解也使其对重仓股有更好的把握。目前来看对于盈利增长稳定和低估值个股兼顾配置。</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华商领先</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属于混合型基金中操作风格积极的品种，一方面其股票仓位明显高于同业平均水平，另一方面基金持股集中度较高，具备较强的进攻性。良好的选股能力是基金获得超额收益的主要来源，尤其擅长对成长股的投资。目前在配置上基金兼顾低估值和成长性，相对均衡。</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华夏回报</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投资风格稳健，风险控制能力突出，在震荡市场环境中更能展现其投资管理能力，行业配置相对均衡、持股集中度较低。</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嘉实主题</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01760F">
              <w:rPr>
                <w:rFonts w:ascii="宋体" w:eastAsia="宋体" w:hAnsi="宋体"/>
                <w:szCs w:val="18"/>
              </w:rPr>
              <w:t>运用主题投资方法追求超额收益</w:t>
            </w:r>
            <w:r w:rsidRPr="0001760F">
              <w:rPr>
                <w:rFonts w:ascii="宋体" w:eastAsia="宋体" w:hAnsi="宋体" w:hint="eastAsia"/>
                <w:szCs w:val="18"/>
              </w:rPr>
              <w:t>；基金经理历史业绩优秀。近期仓位围绕农业、大众消费品以及医药等。</w:t>
            </w:r>
          </w:p>
        </w:tc>
      </w:tr>
      <w:tr w:rsidR="00EE1CC3" w:rsidRPr="0028462A"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诺安配置</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具有较高的灵活性，无论是择时还是选股均有明显的体现，且较好的把握市场热点及主题投资机会，历史业绩良好。</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添富优势</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股票仓位保持较高水平运作，对成长和价值的配置相对均衡。</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兴全趋势</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操作上秉承公司整体顺势而为的特点，根据市场环境适当微调。蓝筹风格比较明显，近年来随着实体经济增长逐渐放缓、周期行业的估值水平不断下移，基金组合结构也进行了一定调整，整体来看组合更加稳健。</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易方达平稳增长</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保守配置型基金，</w:t>
            </w:r>
            <w:r w:rsidRPr="00D32F2D">
              <w:rPr>
                <w:rFonts w:ascii="宋体" w:eastAsia="宋体" w:hAnsi="宋体" w:hint="eastAsia"/>
                <w:szCs w:val="18"/>
              </w:rPr>
              <w:t>股票资产</w:t>
            </w:r>
            <w:r>
              <w:rPr>
                <w:rFonts w:ascii="宋体" w:eastAsia="宋体" w:hAnsi="宋体" w:hint="eastAsia"/>
                <w:szCs w:val="18"/>
              </w:rPr>
              <w:t>占到基金组合的</w:t>
            </w:r>
            <w:r w:rsidRPr="00D32F2D">
              <w:rPr>
                <w:rFonts w:ascii="宋体" w:eastAsia="宋体" w:hAnsi="宋体" w:hint="eastAsia"/>
                <w:szCs w:val="18"/>
              </w:rPr>
              <w:t>30%－65%</w:t>
            </w:r>
            <w:r>
              <w:rPr>
                <w:rFonts w:ascii="宋体" w:eastAsia="宋体" w:hAnsi="宋体" w:hint="eastAsia"/>
                <w:szCs w:val="18"/>
              </w:rPr>
              <w:t>，历史业绩来看，具有良好的风险控制能力，呈现出较好的风险收益配比，比较适合震荡市场环境中投资。</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银河稳健</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配置均衡，攻守兼备，良好的风险控制使得基金业绩具有较好的持续性，擅长结构行情的把握。</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银华和谐主题</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组合配置相对均衡和分散，注重自下而上的选择，同时保持相对中性的股票仓位，具有较好的风险收益配比。</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长盛创新先锋</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基金经理侧重成长风格投资，在TMT板块有突出的把握能力，且注重组合估值的合理控制，具有较好的风险收益配比。</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浙商新思维</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作为混合型基金保持相对中性的股票仓位，投资组合</w:t>
            </w:r>
            <w:r>
              <w:rPr>
                <w:rFonts w:ascii="宋体" w:eastAsia="宋体" w:hAnsi="宋体" w:hint="eastAsia"/>
                <w:szCs w:val="18"/>
              </w:rPr>
              <w:t>偏好</w:t>
            </w:r>
            <w:r w:rsidRPr="009A36BC">
              <w:rPr>
                <w:rFonts w:ascii="宋体" w:eastAsia="宋体" w:hAnsi="宋体" w:hint="eastAsia"/>
                <w:szCs w:val="18"/>
              </w:rPr>
              <w:t>成长性</w:t>
            </w:r>
            <w:r>
              <w:rPr>
                <w:rFonts w:ascii="宋体" w:eastAsia="宋体" w:hAnsi="宋体" w:hint="eastAsia"/>
                <w:szCs w:val="18"/>
              </w:rPr>
              <w:t>个股</w:t>
            </w:r>
            <w:r w:rsidRPr="009A36BC">
              <w:rPr>
                <w:rFonts w:ascii="宋体" w:eastAsia="宋体" w:hAnsi="宋体" w:hint="eastAsia"/>
                <w:szCs w:val="18"/>
              </w:rPr>
              <w:t>，具备较强的自下而上选股能力，</w:t>
            </w:r>
            <w:r>
              <w:rPr>
                <w:rFonts w:ascii="宋体" w:eastAsia="宋体" w:hAnsi="宋体" w:hint="eastAsia"/>
                <w:szCs w:val="18"/>
              </w:rPr>
              <w:t>且基金操作的灵活度较高，持股周转率明显高于同业，在历史投资中取得了不错的效果</w:t>
            </w:r>
            <w:r w:rsidRPr="009A36BC">
              <w:rPr>
                <w:rFonts w:ascii="宋体" w:eastAsia="宋体" w:hAnsi="宋体" w:hint="eastAsia"/>
                <w:szCs w:val="18"/>
              </w:rPr>
              <w:t>。</w:t>
            </w:r>
          </w:p>
        </w:tc>
      </w:tr>
      <w:tr w:rsidR="00EE1CC3" w:rsidTr="00C31BEB">
        <w:trPr>
          <w:cantSplit/>
          <w:trHeight w:val="340"/>
          <w:jc w:val="center"/>
        </w:trPr>
        <w:tc>
          <w:tcPr>
            <w:tcW w:w="2042" w:type="dxa"/>
            <w:tcBorders>
              <w:top w:val="single" w:sz="6" w:space="0" w:color="D9D9D9"/>
              <w:bottom w:val="single" w:sz="6" w:space="0" w:color="D9D9D9"/>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Pr>
                <w:rFonts w:ascii="宋体" w:eastAsia="宋体" w:hAnsi="宋体" w:hint="eastAsia"/>
                <w:b/>
                <w:szCs w:val="18"/>
              </w:rPr>
              <w:t>中银行业优选</w:t>
            </w:r>
          </w:p>
        </w:tc>
        <w:tc>
          <w:tcPr>
            <w:tcW w:w="8730" w:type="dxa"/>
            <w:tcBorders>
              <w:top w:val="single" w:sz="6" w:space="0" w:color="D9D9D9"/>
              <w:left w:val="single" w:sz="6" w:space="0" w:color="D9D9D9"/>
              <w:bottom w:val="single" w:sz="6" w:space="0" w:color="D9D9D9"/>
            </w:tcBorders>
            <w:shd w:val="clear" w:color="auto" w:fill="auto"/>
            <w:vAlign w:val="center"/>
          </w:tcPr>
          <w:p w:rsidR="00EE1CC3" w:rsidRPr="009A36BC" w:rsidRDefault="00EE1CC3" w:rsidP="00C31BEB">
            <w:pPr>
              <w:jc w:val="left"/>
              <w:rPr>
                <w:rFonts w:ascii="宋体" w:eastAsia="宋体" w:hAnsi="宋体"/>
                <w:szCs w:val="18"/>
              </w:rPr>
            </w:pPr>
            <w:r>
              <w:rPr>
                <w:rFonts w:ascii="宋体" w:eastAsia="宋体" w:hAnsi="宋体" w:hint="eastAsia"/>
                <w:szCs w:val="18"/>
              </w:rPr>
              <w:t>秉承中银基金公司相对稳健的资产配置，同时基金在风格上偏好成长，选股能力突出，具有较好的业绩持续性。</w:t>
            </w:r>
          </w:p>
        </w:tc>
      </w:tr>
      <w:tr w:rsidR="00EE1CC3" w:rsidTr="00C31BEB">
        <w:trPr>
          <w:cantSplit/>
          <w:trHeight w:val="340"/>
          <w:jc w:val="center"/>
        </w:trPr>
        <w:tc>
          <w:tcPr>
            <w:tcW w:w="2042" w:type="dxa"/>
            <w:tcBorders>
              <w:top w:val="single" w:sz="6" w:space="0" w:color="D9D9D9"/>
              <w:bottom w:val="single" w:sz="6" w:space="0" w:color="00B0F0"/>
              <w:right w:val="single" w:sz="6" w:space="0" w:color="D9D9D9"/>
            </w:tcBorders>
            <w:shd w:val="clear" w:color="auto" w:fill="auto"/>
            <w:vAlign w:val="center"/>
          </w:tcPr>
          <w:p w:rsidR="00EE1CC3" w:rsidRPr="009A36BC" w:rsidRDefault="00EE1CC3" w:rsidP="00C31BEB">
            <w:pPr>
              <w:jc w:val="center"/>
              <w:rPr>
                <w:rFonts w:ascii="宋体" w:eastAsia="宋体" w:hAnsi="宋体"/>
                <w:b/>
                <w:szCs w:val="18"/>
              </w:rPr>
            </w:pPr>
            <w:r w:rsidRPr="009A36BC">
              <w:rPr>
                <w:rFonts w:ascii="宋体" w:eastAsia="宋体" w:hAnsi="宋体" w:hint="eastAsia"/>
                <w:b/>
                <w:szCs w:val="18"/>
              </w:rPr>
              <w:t>中银收益</w:t>
            </w:r>
          </w:p>
        </w:tc>
        <w:tc>
          <w:tcPr>
            <w:tcW w:w="8730" w:type="dxa"/>
            <w:tcBorders>
              <w:top w:val="single" w:sz="6" w:space="0" w:color="D9D9D9"/>
              <w:left w:val="single" w:sz="6" w:space="0" w:color="D9D9D9"/>
              <w:bottom w:val="single" w:sz="6" w:space="0" w:color="00B0F0"/>
            </w:tcBorders>
            <w:shd w:val="clear" w:color="auto" w:fill="auto"/>
            <w:vAlign w:val="center"/>
          </w:tcPr>
          <w:p w:rsidR="00EE1CC3" w:rsidRPr="009A36BC" w:rsidRDefault="00EE1CC3" w:rsidP="00C31BEB">
            <w:pPr>
              <w:jc w:val="left"/>
              <w:rPr>
                <w:rFonts w:ascii="宋体" w:eastAsia="宋体" w:hAnsi="宋体"/>
                <w:szCs w:val="18"/>
              </w:rPr>
            </w:pPr>
            <w:r w:rsidRPr="009A36BC">
              <w:rPr>
                <w:rFonts w:ascii="宋体" w:eastAsia="宋体" w:hAnsi="宋体" w:hint="eastAsia"/>
                <w:szCs w:val="18"/>
              </w:rPr>
              <w:t>操作灵活，同时秉承中银基金公司稳健、注重风险控制的特征。在投资上，该基金重视在目前震荡市中采取“攻守平衡”的板块配置，兼顾食品饮料、园林装饰等业绩较为确定的消费行业和成长性个股，以及周期类风格的搭配；在大类资产配置上，基金保持稳健。</w:t>
            </w:r>
          </w:p>
        </w:tc>
      </w:tr>
    </w:tbl>
    <w:p w:rsidR="00EE1CC3" w:rsidRDefault="00EE1CC3" w:rsidP="00EE1CC3">
      <w:pPr>
        <w:pStyle w:val="FootnoteNoline"/>
        <w:ind w:left="0"/>
      </w:pPr>
      <w:r>
        <w:rPr>
          <w:rFonts w:hint="eastAsia"/>
        </w:rPr>
        <w:t>来源：国金证券研究所</w:t>
      </w:r>
      <w:r>
        <w:rPr>
          <w:rFonts w:hint="eastAsia"/>
        </w:rPr>
        <w:t xml:space="preserve"> </w:t>
      </w:r>
    </w:p>
    <w:p w:rsidR="00EE1CC3" w:rsidRDefault="00EE1CC3" w:rsidP="00961F60">
      <w:pPr>
        <w:pStyle w:val="a0"/>
        <w:numPr>
          <w:ilvl w:val="4"/>
          <w:numId w:val="3"/>
        </w:numPr>
        <w:spacing w:beforeLines="200" w:before="480" w:after="240"/>
        <w:rPr>
          <w:color w:val="auto"/>
        </w:rPr>
      </w:pPr>
      <w:r w:rsidRPr="00192B85">
        <w:rPr>
          <w:rFonts w:hint="eastAsia"/>
          <w:color w:val="auto"/>
        </w:rPr>
        <w:t>依据前面各部分</w:t>
      </w:r>
      <w:r>
        <w:rPr>
          <w:rFonts w:hint="eastAsia"/>
          <w:color w:val="auto"/>
        </w:rPr>
        <w:t>对相关市场以及各类产品投资操作策略分析，建立</w:t>
      </w:r>
      <w:r w:rsidRPr="00192B85">
        <w:rPr>
          <w:rFonts w:hint="eastAsia"/>
          <w:color w:val="auto"/>
        </w:rPr>
        <w:t>国金</w:t>
      </w:r>
      <w:r>
        <w:rPr>
          <w:rFonts w:hint="eastAsia"/>
          <w:color w:val="auto"/>
        </w:rPr>
        <w:t>201503</w:t>
      </w:r>
      <w:r w:rsidRPr="00192B85">
        <w:rPr>
          <w:rFonts w:hint="eastAsia"/>
          <w:color w:val="auto"/>
        </w:rPr>
        <w:t>期基金组合</w:t>
      </w:r>
      <w:r>
        <w:rPr>
          <w:rFonts w:hint="eastAsia"/>
          <w:color w:val="auto"/>
        </w:rPr>
        <w:t>如下，对于短期重点推荐的组合加</w:t>
      </w:r>
      <w:r w:rsidRPr="003B46D0">
        <w:rPr>
          <w:rFonts w:hint="eastAsia"/>
          <w:color w:val="auto"/>
        </w:rPr>
        <w:t>★</w:t>
      </w:r>
      <w:r>
        <w:rPr>
          <w:rFonts w:hint="eastAsia"/>
          <w:color w:val="auto"/>
        </w:rPr>
        <w:t>，同时</w:t>
      </w:r>
      <w:r w:rsidRPr="003B46D0">
        <w:rPr>
          <w:rFonts w:hint="eastAsia"/>
          <w:color w:val="auto"/>
        </w:rPr>
        <w:t>为了方便投资者在配置之外选择重点的品种，我们</w:t>
      </w:r>
      <w:r>
        <w:rPr>
          <w:rFonts w:hint="eastAsia"/>
          <w:color w:val="auto"/>
        </w:rPr>
        <w:t>在表中加</w:t>
      </w:r>
      <w:r w:rsidRPr="003B46D0">
        <w:rPr>
          <w:rFonts w:hint="eastAsia"/>
          <w:color w:val="auto"/>
        </w:rPr>
        <w:t>★</w:t>
      </w:r>
      <w:r>
        <w:rPr>
          <w:rFonts w:hint="eastAsia"/>
          <w:color w:val="auto"/>
        </w:rPr>
        <w:t>的基金</w:t>
      </w:r>
      <w:r w:rsidRPr="003B46D0">
        <w:rPr>
          <w:rFonts w:hint="eastAsia"/>
          <w:color w:val="auto"/>
        </w:rPr>
        <w:t>表示为</w:t>
      </w:r>
      <w:r>
        <w:rPr>
          <w:rFonts w:hint="eastAsia"/>
          <w:color w:val="auto"/>
        </w:rPr>
        <w:t>相对</w:t>
      </w:r>
      <w:r w:rsidRPr="003B46D0">
        <w:rPr>
          <w:rFonts w:hint="eastAsia"/>
          <w:color w:val="auto"/>
        </w:rPr>
        <w:t>看好的</w:t>
      </w:r>
      <w:r>
        <w:rPr>
          <w:rFonts w:hint="eastAsia"/>
          <w:color w:val="auto"/>
        </w:rPr>
        <w:t>品种。</w:t>
      </w:r>
    </w:p>
    <w:tbl>
      <w:tblPr>
        <w:tblpPr w:leftFromText="180" w:rightFromText="180" w:vertAnchor="text" w:tblpY="1"/>
        <w:tblOverlap w:val="never"/>
        <w:tblW w:w="10772" w:type="dxa"/>
        <w:tblLayout w:type="fixed"/>
        <w:tblCellMar>
          <w:left w:w="0" w:type="dxa"/>
          <w:right w:w="0" w:type="dxa"/>
        </w:tblCellMar>
        <w:tblLook w:val="0000" w:firstRow="0" w:lastRow="0" w:firstColumn="0" w:lastColumn="0" w:noHBand="0" w:noVBand="0"/>
      </w:tblPr>
      <w:tblGrid>
        <w:gridCol w:w="1134"/>
        <w:gridCol w:w="993"/>
        <w:gridCol w:w="1036"/>
        <w:gridCol w:w="1054"/>
        <w:gridCol w:w="1055"/>
        <w:gridCol w:w="227"/>
        <w:gridCol w:w="1164"/>
        <w:gridCol w:w="992"/>
        <w:gridCol w:w="1007"/>
        <w:gridCol w:w="1054"/>
        <w:gridCol w:w="1056"/>
      </w:tblGrid>
      <w:tr w:rsidR="00EE1CC3" w:rsidTr="00C31BEB">
        <w:trPr>
          <w:cantSplit/>
          <w:trHeight w:val="200"/>
        </w:trPr>
        <w:tc>
          <w:tcPr>
            <w:tcW w:w="5272" w:type="dxa"/>
            <w:gridSpan w:val="5"/>
            <w:tcBorders>
              <w:top w:val="single" w:sz="4" w:space="0" w:color="00A0E9"/>
              <w:bottom w:val="single" w:sz="4" w:space="0" w:color="00A0E9"/>
            </w:tcBorders>
            <w:shd w:val="clear" w:color="auto" w:fill="auto"/>
          </w:tcPr>
          <w:p w:rsidR="00EE1CC3" w:rsidRDefault="00EE1CC3" w:rsidP="00C31BEB">
            <w:pPr>
              <w:pStyle w:val="SubTitleLargeTable"/>
            </w:pPr>
            <w:r>
              <w:rPr>
                <w:rFonts w:hint="eastAsia"/>
              </w:rPr>
              <w:t>图表</w:t>
            </w:r>
            <w:r w:rsidR="000A76EF">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0A76EF">
              <w:fldChar w:fldCharType="separate"/>
            </w:r>
            <w:r>
              <w:rPr>
                <w:noProof/>
              </w:rPr>
              <w:t>6</w:t>
            </w:r>
            <w:r w:rsidR="000A76EF">
              <w:fldChar w:fldCharType="end"/>
            </w:r>
            <w:r>
              <w:rPr>
                <w:rFonts w:hint="eastAsia"/>
              </w:rPr>
              <w:t>：</w:t>
            </w:r>
            <w:r>
              <w:rPr>
                <w:rFonts w:hint="eastAsia"/>
              </w:rPr>
              <w:t>1503</w:t>
            </w:r>
            <w:r>
              <w:rPr>
                <w:rFonts w:hint="eastAsia"/>
              </w:rPr>
              <w:t>期进攻型组合</w:t>
            </w:r>
            <w:r w:rsidRPr="003B46D0">
              <w:rPr>
                <w:rFonts w:hint="eastAsia"/>
                <w:color w:val="auto"/>
              </w:rPr>
              <w:t>★</w:t>
            </w:r>
          </w:p>
        </w:tc>
        <w:tc>
          <w:tcPr>
            <w:tcW w:w="227" w:type="dxa"/>
          </w:tcPr>
          <w:p w:rsidR="00EE1CC3" w:rsidRPr="00816267" w:rsidRDefault="00EE1CC3" w:rsidP="00C31BEB">
            <w:pPr>
              <w:pStyle w:val="a0"/>
              <w:spacing w:after="0" w:line="10" w:lineRule="atLeast"/>
              <w:ind w:left="0"/>
              <w:jc w:val="center"/>
              <w:rPr>
                <w:rFonts w:cs="Arial"/>
                <w:color w:val="auto"/>
              </w:rPr>
            </w:pPr>
          </w:p>
        </w:tc>
        <w:tc>
          <w:tcPr>
            <w:tcW w:w="5273" w:type="dxa"/>
            <w:gridSpan w:val="5"/>
            <w:tcBorders>
              <w:top w:val="single" w:sz="4" w:space="0" w:color="00A0E9"/>
              <w:bottom w:val="single" w:sz="4" w:space="0" w:color="00A0E9"/>
            </w:tcBorders>
            <w:shd w:val="clear" w:color="auto" w:fill="auto"/>
          </w:tcPr>
          <w:p w:rsidR="00EE1CC3" w:rsidRDefault="00EE1CC3" w:rsidP="00C31BEB">
            <w:pPr>
              <w:pStyle w:val="SubTitleLargeTable"/>
            </w:pPr>
            <w:r>
              <w:rPr>
                <w:rFonts w:hint="eastAsia"/>
              </w:rPr>
              <w:t>图表</w:t>
            </w:r>
            <w:r w:rsidR="000A76EF">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0A76EF">
              <w:fldChar w:fldCharType="separate"/>
            </w:r>
            <w:r>
              <w:rPr>
                <w:noProof/>
              </w:rPr>
              <w:t>7</w:t>
            </w:r>
            <w:r w:rsidR="000A76EF">
              <w:fldChar w:fldCharType="end"/>
            </w:r>
            <w:r>
              <w:rPr>
                <w:rFonts w:hint="eastAsia"/>
              </w:rPr>
              <w:t>：</w:t>
            </w:r>
            <w:r>
              <w:rPr>
                <w:rFonts w:hint="eastAsia"/>
              </w:rPr>
              <w:t>1503</w:t>
            </w:r>
            <w:r>
              <w:rPr>
                <w:rFonts w:hint="eastAsia"/>
              </w:rPr>
              <w:t>期防御型组合</w:t>
            </w:r>
          </w:p>
        </w:tc>
      </w:tr>
      <w:tr w:rsidR="00EE1CC3" w:rsidRPr="001961D3" w:rsidTr="00C31BEB">
        <w:trPr>
          <w:cantSplit/>
          <w:trHeight w:val="340"/>
        </w:trPr>
        <w:tc>
          <w:tcPr>
            <w:tcW w:w="113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基金名称</w:t>
            </w:r>
          </w:p>
        </w:tc>
        <w:tc>
          <w:tcPr>
            <w:tcW w:w="993"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36"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基金公司</w:t>
            </w:r>
          </w:p>
        </w:tc>
        <w:tc>
          <w:tcPr>
            <w:tcW w:w="1055"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投资权重</w:t>
            </w:r>
          </w:p>
        </w:tc>
        <w:tc>
          <w:tcPr>
            <w:tcW w:w="227" w:type="dxa"/>
            <w:vMerge w:val="restart"/>
            <w:vAlign w:val="center"/>
          </w:tcPr>
          <w:p w:rsidR="00EE1CC3" w:rsidRPr="001961D3" w:rsidRDefault="00EE1CC3" w:rsidP="00C31BEB">
            <w:pPr>
              <w:jc w:val="center"/>
            </w:pPr>
          </w:p>
        </w:tc>
        <w:tc>
          <w:tcPr>
            <w:tcW w:w="116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基金名称</w:t>
            </w:r>
          </w:p>
        </w:tc>
        <w:tc>
          <w:tcPr>
            <w:tcW w:w="992"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07"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基金公司</w:t>
            </w:r>
          </w:p>
        </w:tc>
        <w:tc>
          <w:tcPr>
            <w:tcW w:w="1056"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投资权重</w:t>
            </w:r>
          </w:p>
        </w:tc>
      </w:tr>
      <w:tr w:rsidR="00EE1CC3" w:rsidRPr="001961D3" w:rsidTr="00C31BEB">
        <w:trPr>
          <w:cantSplit/>
          <w:trHeight w:val="340"/>
        </w:trPr>
        <w:tc>
          <w:tcPr>
            <w:tcW w:w="1134"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b/>
                <w:szCs w:val="18"/>
              </w:rPr>
            </w:pPr>
            <w:r w:rsidRPr="00CE2F1A">
              <w:rPr>
                <w:rFonts w:ascii="宋体" w:eastAsia="宋体" w:hAnsi="宋体" w:hint="eastAsia"/>
                <w:b/>
                <w:szCs w:val="18"/>
              </w:rPr>
              <w:t>光大配置</w:t>
            </w:r>
          </w:p>
        </w:tc>
        <w:tc>
          <w:tcPr>
            <w:tcW w:w="993"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szCs w:val="18"/>
              </w:rPr>
            </w:pPr>
            <w:r w:rsidRPr="00CE2F1A">
              <w:rPr>
                <w:rFonts w:ascii="宋体" w:eastAsia="宋体" w:hAnsi="宋体" w:hint="eastAsia"/>
                <w:szCs w:val="18"/>
              </w:rPr>
              <w:t>混合-灵活配置型</w:t>
            </w:r>
          </w:p>
        </w:tc>
        <w:tc>
          <w:tcPr>
            <w:tcW w:w="1036"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王健</w:t>
            </w:r>
          </w:p>
        </w:tc>
        <w:tc>
          <w:tcPr>
            <w:tcW w:w="1054"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光大</w:t>
            </w:r>
          </w:p>
        </w:tc>
        <w:tc>
          <w:tcPr>
            <w:tcW w:w="1055"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EE1CC3" w:rsidRPr="00ED22EB" w:rsidRDefault="00EE1CC3" w:rsidP="00C31BEB">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EE1CC3" w:rsidRPr="006E06FA" w:rsidRDefault="00EE1CC3" w:rsidP="00C31BEB">
            <w:pPr>
              <w:jc w:val="center"/>
              <w:rPr>
                <w:rFonts w:ascii="宋体" w:eastAsia="宋体" w:hAnsi="宋体"/>
                <w:b/>
                <w:szCs w:val="18"/>
              </w:rPr>
            </w:pPr>
            <w:r>
              <w:rPr>
                <w:rFonts w:ascii="宋体" w:eastAsia="宋体" w:hAnsi="宋体" w:hint="eastAsia"/>
                <w:b/>
                <w:szCs w:val="18"/>
              </w:rPr>
              <w:t>华安逆向</w:t>
            </w:r>
          </w:p>
        </w:tc>
        <w:tc>
          <w:tcPr>
            <w:tcW w:w="992" w:type="dxa"/>
            <w:tcBorders>
              <w:top w:val="single" w:sz="4" w:space="0" w:color="00A0E9"/>
              <w:bottom w:val="single" w:sz="4" w:space="0" w:color="00A0E9"/>
            </w:tcBorders>
            <w:shd w:val="clear" w:color="auto" w:fill="auto"/>
            <w:vAlign w:val="center"/>
          </w:tcPr>
          <w:p w:rsidR="00EE1CC3" w:rsidRPr="00C23493" w:rsidRDefault="00EE1CC3" w:rsidP="00C31BEB">
            <w:pPr>
              <w:jc w:val="center"/>
              <w:rPr>
                <w:rFonts w:ascii="宋体" w:eastAsia="宋体" w:hAnsi="宋体"/>
                <w:szCs w:val="18"/>
              </w:rPr>
            </w:pPr>
            <w:r w:rsidRPr="00C23493">
              <w:rPr>
                <w:rFonts w:ascii="宋体" w:eastAsia="宋体" w:hAnsi="宋体" w:hint="eastAsia"/>
                <w:szCs w:val="18"/>
              </w:rPr>
              <w:t>股票型</w:t>
            </w:r>
          </w:p>
        </w:tc>
        <w:tc>
          <w:tcPr>
            <w:tcW w:w="1007"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Pr>
                <w:rFonts w:ascii="宋体" w:eastAsia="宋体" w:hAnsi="宋体" w:hint="eastAsia"/>
                <w:szCs w:val="18"/>
              </w:rPr>
              <w:t>陆从珍</w:t>
            </w:r>
          </w:p>
        </w:tc>
        <w:tc>
          <w:tcPr>
            <w:tcW w:w="1054"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Pr>
                <w:rFonts w:ascii="宋体" w:eastAsia="宋体" w:hAnsi="宋体" w:hint="eastAsia"/>
                <w:szCs w:val="18"/>
              </w:rPr>
              <w:t>华安</w:t>
            </w:r>
          </w:p>
        </w:tc>
        <w:tc>
          <w:tcPr>
            <w:tcW w:w="1056" w:type="dxa"/>
            <w:tcBorders>
              <w:top w:val="single" w:sz="4" w:space="0" w:color="00A0E9"/>
              <w:bottom w:val="single" w:sz="4" w:space="0" w:color="00A0E9"/>
            </w:tcBorders>
            <w:shd w:val="clear" w:color="auto" w:fill="auto"/>
            <w:vAlign w:val="center"/>
          </w:tcPr>
          <w:p w:rsidR="00EE1CC3" w:rsidRPr="001E1B5D" w:rsidRDefault="00EE1CC3" w:rsidP="00C31BEB">
            <w:pPr>
              <w:jc w:val="center"/>
              <w:rPr>
                <w:rFonts w:ascii="宋体" w:eastAsia="宋体" w:hAnsi="宋体"/>
                <w:szCs w:val="18"/>
              </w:rPr>
            </w:pPr>
            <w:r>
              <w:rPr>
                <w:rFonts w:ascii="宋体" w:eastAsia="宋体" w:hAnsi="宋体" w:hint="eastAsia"/>
                <w:szCs w:val="18"/>
              </w:rPr>
              <w:t>20%</w:t>
            </w:r>
          </w:p>
        </w:tc>
      </w:tr>
      <w:tr w:rsidR="00EE1CC3" w:rsidRPr="001961D3" w:rsidTr="00C31BEB">
        <w:trPr>
          <w:cantSplit/>
          <w:trHeight w:val="340"/>
        </w:trPr>
        <w:tc>
          <w:tcPr>
            <w:tcW w:w="1134"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b/>
                <w:szCs w:val="18"/>
              </w:rPr>
            </w:pPr>
            <w:r w:rsidRPr="003B46D0">
              <w:rPr>
                <w:rFonts w:hint="eastAsia"/>
              </w:rPr>
              <w:lastRenderedPageBreak/>
              <w:t>★</w:t>
            </w:r>
            <w:r>
              <w:rPr>
                <w:rFonts w:ascii="宋体" w:eastAsia="宋体" w:hAnsi="宋体" w:hint="eastAsia"/>
                <w:b/>
                <w:szCs w:val="18"/>
              </w:rPr>
              <w:t>海富通国策</w:t>
            </w:r>
          </w:p>
        </w:tc>
        <w:tc>
          <w:tcPr>
            <w:tcW w:w="993"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谢志刚、顾晓飞</w:t>
            </w:r>
          </w:p>
        </w:tc>
        <w:tc>
          <w:tcPr>
            <w:tcW w:w="1054"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Pr>
                <w:rFonts w:ascii="宋体" w:eastAsia="宋体" w:hAnsi="宋体" w:hint="eastAsia"/>
                <w:szCs w:val="18"/>
              </w:rPr>
              <w:t>海富通</w:t>
            </w:r>
          </w:p>
        </w:tc>
        <w:tc>
          <w:tcPr>
            <w:tcW w:w="1055"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EE1CC3" w:rsidRPr="00ED22EB" w:rsidRDefault="00EE1CC3" w:rsidP="00C31BEB">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b/>
                <w:szCs w:val="18"/>
              </w:rPr>
            </w:pPr>
            <w:r w:rsidRPr="00CE2F1A">
              <w:rPr>
                <w:rFonts w:ascii="宋体" w:eastAsia="宋体" w:hAnsi="宋体" w:hint="eastAsia"/>
                <w:b/>
                <w:szCs w:val="18"/>
              </w:rPr>
              <w:t>富国天成</w:t>
            </w:r>
          </w:p>
        </w:tc>
        <w:tc>
          <w:tcPr>
            <w:tcW w:w="992"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szCs w:val="18"/>
              </w:rPr>
            </w:pPr>
            <w:r w:rsidRPr="00CE2F1A">
              <w:rPr>
                <w:rFonts w:ascii="宋体" w:eastAsia="宋体" w:hAnsi="宋体" w:hint="eastAsia"/>
                <w:szCs w:val="18"/>
              </w:rPr>
              <w:t>混合-灵活配置型</w:t>
            </w:r>
          </w:p>
        </w:tc>
        <w:tc>
          <w:tcPr>
            <w:tcW w:w="1007"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于江勇</w:t>
            </w:r>
          </w:p>
        </w:tc>
        <w:tc>
          <w:tcPr>
            <w:tcW w:w="1054"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富国</w:t>
            </w:r>
          </w:p>
        </w:tc>
        <w:tc>
          <w:tcPr>
            <w:tcW w:w="1056"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20%</w:t>
            </w:r>
          </w:p>
        </w:tc>
      </w:tr>
      <w:tr w:rsidR="00EE1CC3" w:rsidRPr="001961D3" w:rsidTr="00C31BEB">
        <w:trPr>
          <w:cantSplit/>
          <w:trHeight w:val="340"/>
        </w:trPr>
        <w:tc>
          <w:tcPr>
            <w:tcW w:w="1134"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b/>
                <w:szCs w:val="18"/>
              </w:rPr>
            </w:pPr>
            <w:r w:rsidRPr="003B46D0">
              <w:rPr>
                <w:rFonts w:hint="eastAsia"/>
              </w:rPr>
              <w:t>★</w:t>
            </w:r>
            <w:r w:rsidRPr="00CE2F1A">
              <w:rPr>
                <w:rFonts w:ascii="宋体" w:eastAsia="宋体" w:hAnsi="宋体" w:hint="eastAsia"/>
                <w:b/>
                <w:szCs w:val="18"/>
              </w:rPr>
              <w:t>大摩主题</w:t>
            </w:r>
          </w:p>
        </w:tc>
        <w:tc>
          <w:tcPr>
            <w:tcW w:w="993"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周志超</w:t>
            </w:r>
          </w:p>
        </w:tc>
        <w:tc>
          <w:tcPr>
            <w:tcW w:w="1054"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Pr>
                <w:rFonts w:ascii="宋体" w:eastAsia="宋体" w:hAnsi="宋体" w:hint="eastAsia"/>
                <w:szCs w:val="18"/>
              </w:rPr>
              <w:t>摩根士丹利华鑫</w:t>
            </w:r>
          </w:p>
        </w:tc>
        <w:tc>
          <w:tcPr>
            <w:tcW w:w="1055"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EE1CC3" w:rsidRPr="00ED22EB" w:rsidRDefault="00EE1CC3" w:rsidP="00C31BEB">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b/>
                <w:szCs w:val="18"/>
              </w:rPr>
            </w:pPr>
            <w:r>
              <w:rPr>
                <w:rFonts w:ascii="宋体" w:eastAsia="宋体" w:hAnsi="宋体" w:hint="eastAsia"/>
                <w:b/>
                <w:szCs w:val="18"/>
              </w:rPr>
              <w:t>添富逆向</w:t>
            </w:r>
          </w:p>
        </w:tc>
        <w:tc>
          <w:tcPr>
            <w:tcW w:w="992" w:type="dxa"/>
            <w:tcBorders>
              <w:top w:val="single" w:sz="4" w:space="0" w:color="00A0E9"/>
              <w:bottom w:val="single" w:sz="4" w:space="0" w:color="00A0E9"/>
            </w:tcBorders>
            <w:shd w:val="clear" w:color="auto" w:fill="auto"/>
            <w:vAlign w:val="center"/>
          </w:tcPr>
          <w:p w:rsidR="00EE1CC3" w:rsidRPr="00C23493" w:rsidRDefault="00EE1CC3" w:rsidP="00C31BEB">
            <w:pPr>
              <w:jc w:val="center"/>
              <w:rPr>
                <w:rFonts w:ascii="宋体" w:eastAsia="宋体" w:hAnsi="宋体"/>
                <w:szCs w:val="18"/>
              </w:rPr>
            </w:pPr>
            <w:r w:rsidRPr="00C23493">
              <w:rPr>
                <w:rFonts w:ascii="宋体" w:eastAsia="宋体" w:hAnsi="宋体" w:hint="eastAsia"/>
                <w:szCs w:val="18"/>
              </w:rPr>
              <w:t>股票型</w:t>
            </w:r>
          </w:p>
        </w:tc>
        <w:tc>
          <w:tcPr>
            <w:tcW w:w="1007"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cs="宋体"/>
                <w:szCs w:val="18"/>
              </w:rPr>
            </w:pPr>
            <w:r>
              <w:rPr>
                <w:rFonts w:ascii="宋体" w:eastAsia="宋体" w:hAnsi="宋体" w:cs="宋体" w:hint="eastAsia"/>
                <w:szCs w:val="18"/>
              </w:rPr>
              <w:t>顾耀强</w:t>
            </w:r>
          </w:p>
        </w:tc>
        <w:tc>
          <w:tcPr>
            <w:tcW w:w="1054"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汇添富</w:t>
            </w:r>
          </w:p>
        </w:tc>
        <w:tc>
          <w:tcPr>
            <w:tcW w:w="1056"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20%</w:t>
            </w:r>
          </w:p>
        </w:tc>
      </w:tr>
      <w:tr w:rsidR="00EE1CC3" w:rsidRPr="001961D3" w:rsidTr="00C31BEB">
        <w:trPr>
          <w:cantSplit/>
          <w:trHeight w:val="340"/>
        </w:trPr>
        <w:tc>
          <w:tcPr>
            <w:tcW w:w="1134"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b/>
                <w:szCs w:val="18"/>
              </w:rPr>
            </w:pPr>
            <w:r>
              <w:rPr>
                <w:rFonts w:ascii="宋体" w:eastAsia="宋体" w:hAnsi="宋体" w:hint="eastAsia"/>
                <w:b/>
                <w:szCs w:val="18"/>
              </w:rPr>
              <w:t>宝盈策略</w:t>
            </w:r>
          </w:p>
        </w:tc>
        <w:tc>
          <w:tcPr>
            <w:tcW w:w="993"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彭敢</w:t>
            </w:r>
          </w:p>
        </w:tc>
        <w:tc>
          <w:tcPr>
            <w:tcW w:w="1054"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Pr>
                <w:rFonts w:ascii="宋体" w:eastAsia="宋体" w:hAnsi="宋体" w:hint="eastAsia"/>
                <w:szCs w:val="18"/>
              </w:rPr>
              <w:t>宝盈</w:t>
            </w:r>
          </w:p>
        </w:tc>
        <w:tc>
          <w:tcPr>
            <w:tcW w:w="1055"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sidRPr="008372A8">
              <w:rPr>
                <w:rFonts w:ascii="宋体" w:eastAsia="宋体" w:hAnsi="宋体" w:hint="eastAsia"/>
                <w:szCs w:val="18"/>
              </w:rPr>
              <w:t>20%</w:t>
            </w:r>
          </w:p>
        </w:tc>
        <w:tc>
          <w:tcPr>
            <w:tcW w:w="227" w:type="dxa"/>
            <w:vMerge/>
            <w:vAlign w:val="center"/>
          </w:tcPr>
          <w:p w:rsidR="00EE1CC3" w:rsidRPr="00ED22EB" w:rsidRDefault="00EE1CC3" w:rsidP="00C31BEB">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EE1CC3" w:rsidRPr="00C23493" w:rsidRDefault="00EE1CC3" w:rsidP="00C31BEB">
            <w:pPr>
              <w:jc w:val="center"/>
              <w:rPr>
                <w:rFonts w:ascii="宋体" w:eastAsia="宋体" w:hAnsi="宋体"/>
                <w:b/>
                <w:szCs w:val="18"/>
              </w:rPr>
            </w:pPr>
            <w:r w:rsidRPr="00C23493">
              <w:rPr>
                <w:rFonts w:ascii="宋体" w:eastAsia="宋体" w:hAnsi="宋体" w:hint="eastAsia"/>
                <w:b/>
                <w:szCs w:val="18"/>
              </w:rPr>
              <w:t>招商收益</w:t>
            </w:r>
          </w:p>
        </w:tc>
        <w:tc>
          <w:tcPr>
            <w:tcW w:w="992" w:type="dxa"/>
            <w:tcBorders>
              <w:top w:val="single" w:sz="4" w:space="0" w:color="00A0E9"/>
              <w:bottom w:val="single" w:sz="4" w:space="0" w:color="00A0E9"/>
            </w:tcBorders>
            <w:shd w:val="clear" w:color="auto" w:fill="auto"/>
            <w:vAlign w:val="center"/>
          </w:tcPr>
          <w:p w:rsidR="00EE1CC3" w:rsidRPr="00C23493" w:rsidRDefault="00EE1CC3" w:rsidP="00C31BEB">
            <w:pPr>
              <w:jc w:val="center"/>
              <w:rPr>
                <w:rFonts w:ascii="宋体" w:eastAsia="宋体" w:hAnsi="宋体"/>
                <w:szCs w:val="18"/>
              </w:rPr>
            </w:pPr>
            <w:r w:rsidRPr="00C23493">
              <w:rPr>
                <w:rFonts w:ascii="宋体" w:eastAsia="宋体" w:hAnsi="宋体" w:hint="eastAsia"/>
                <w:szCs w:val="18"/>
              </w:rPr>
              <w:t>债券</w:t>
            </w:r>
            <w:r w:rsidRPr="002C2E6E">
              <w:rPr>
                <w:rFonts w:ascii="楷体" w:eastAsia="楷体" w:hAnsi="楷体"/>
                <w:szCs w:val="18"/>
              </w:rPr>
              <w:t>-</w:t>
            </w:r>
            <w:r w:rsidRPr="00C23493">
              <w:rPr>
                <w:rFonts w:ascii="宋体" w:eastAsia="宋体" w:hAnsi="宋体" w:hint="eastAsia"/>
                <w:szCs w:val="18"/>
              </w:rPr>
              <w:t>新股申购型</w:t>
            </w:r>
          </w:p>
        </w:tc>
        <w:tc>
          <w:tcPr>
            <w:tcW w:w="1007"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Pr>
                <w:rFonts w:ascii="宋体" w:eastAsia="宋体" w:hAnsi="宋体" w:hint="eastAsia"/>
                <w:szCs w:val="18"/>
              </w:rPr>
              <w:t>孙海波、马龙</w:t>
            </w:r>
          </w:p>
        </w:tc>
        <w:tc>
          <w:tcPr>
            <w:tcW w:w="1054"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Pr>
                <w:rFonts w:ascii="宋体" w:eastAsia="宋体" w:hAnsi="宋体" w:hint="eastAsia"/>
                <w:szCs w:val="18"/>
              </w:rPr>
              <w:t>招商</w:t>
            </w:r>
          </w:p>
        </w:tc>
        <w:tc>
          <w:tcPr>
            <w:tcW w:w="1056" w:type="dxa"/>
            <w:tcBorders>
              <w:top w:val="single" w:sz="4" w:space="0" w:color="00A0E9"/>
              <w:bottom w:val="single" w:sz="4" w:space="0" w:color="00A0E9"/>
            </w:tcBorders>
            <w:shd w:val="clear" w:color="auto" w:fill="auto"/>
            <w:vAlign w:val="center"/>
          </w:tcPr>
          <w:p w:rsidR="00EE1CC3" w:rsidRPr="008372A8" w:rsidRDefault="00EE1CC3" w:rsidP="00C31BEB">
            <w:pPr>
              <w:jc w:val="center"/>
              <w:rPr>
                <w:rFonts w:ascii="宋体" w:eastAsia="宋体" w:hAnsi="宋体"/>
                <w:szCs w:val="18"/>
              </w:rPr>
            </w:pPr>
            <w:r>
              <w:rPr>
                <w:rFonts w:ascii="宋体" w:eastAsia="宋体" w:hAnsi="宋体" w:hint="eastAsia"/>
                <w:szCs w:val="18"/>
              </w:rPr>
              <w:t>20</w:t>
            </w:r>
            <w:r w:rsidRPr="008372A8">
              <w:rPr>
                <w:rFonts w:ascii="宋体" w:eastAsia="宋体" w:hAnsi="宋体" w:hint="eastAsia"/>
                <w:szCs w:val="18"/>
              </w:rPr>
              <w:t>%</w:t>
            </w:r>
          </w:p>
        </w:tc>
      </w:tr>
      <w:tr w:rsidR="00EE1CC3" w:rsidRPr="001961D3" w:rsidTr="00C31BEB">
        <w:trPr>
          <w:cantSplit/>
          <w:trHeight w:val="340"/>
        </w:trPr>
        <w:tc>
          <w:tcPr>
            <w:tcW w:w="1134"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b/>
                <w:szCs w:val="18"/>
              </w:rPr>
            </w:pPr>
            <w:r w:rsidRPr="00CE2F1A">
              <w:rPr>
                <w:rFonts w:ascii="宋体" w:eastAsia="宋体" w:hAnsi="宋体" w:hint="eastAsia"/>
                <w:b/>
                <w:szCs w:val="18"/>
              </w:rPr>
              <w:t>招商大盘</w:t>
            </w:r>
          </w:p>
        </w:tc>
        <w:tc>
          <w:tcPr>
            <w:tcW w:w="993" w:type="dxa"/>
            <w:tcBorders>
              <w:top w:val="single" w:sz="4" w:space="0" w:color="00A0E9"/>
              <w:bottom w:val="single" w:sz="4" w:space="0" w:color="00A0E9"/>
            </w:tcBorders>
            <w:shd w:val="clear" w:color="auto" w:fill="auto"/>
            <w:vAlign w:val="center"/>
          </w:tcPr>
          <w:p w:rsidR="00EE1CC3" w:rsidRPr="00CE2F1A" w:rsidRDefault="00EE1CC3" w:rsidP="00C31BEB">
            <w:pPr>
              <w:jc w:val="center"/>
              <w:rPr>
                <w:rFonts w:ascii="宋体" w:eastAsia="宋体" w:hAnsi="宋体"/>
                <w:szCs w:val="18"/>
              </w:rPr>
            </w:pPr>
            <w:r w:rsidRPr="00CE2F1A">
              <w:rPr>
                <w:rFonts w:ascii="宋体" w:eastAsia="宋体" w:hAnsi="宋体" w:hint="eastAsia"/>
                <w:szCs w:val="18"/>
              </w:rPr>
              <w:t>股票型</w:t>
            </w:r>
          </w:p>
        </w:tc>
        <w:tc>
          <w:tcPr>
            <w:tcW w:w="1036"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sidRPr="006E0CA2">
              <w:rPr>
                <w:rFonts w:ascii="宋体" w:eastAsia="宋体" w:hAnsi="宋体" w:hint="eastAsia"/>
                <w:szCs w:val="18"/>
              </w:rPr>
              <w:t>陈玉辉</w:t>
            </w:r>
          </w:p>
        </w:tc>
        <w:tc>
          <w:tcPr>
            <w:tcW w:w="1054"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招商</w:t>
            </w:r>
          </w:p>
        </w:tc>
        <w:tc>
          <w:tcPr>
            <w:tcW w:w="1055"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20%</w:t>
            </w:r>
          </w:p>
        </w:tc>
        <w:tc>
          <w:tcPr>
            <w:tcW w:w="227" w:type="dxa"/>
            <w:vMerge/>
            <w:vAlign w:val="center"/>
          </w:tcPr>
          <w:p w:rsidR="00EE1CC3" w:rsidRPr="00ED22EB" w:rsidRDefault="00EE1CC3" w:rsidP="00C31BEB">
            <w:pPr>
              <w:jc w:val="center"/>
              <w:rPr>
                <w:rFonts w:ascii="宋体" w:eastAsia="宋体" w:hAnsi="宋体"/>
                <w:szCs w:val="18"/>
              </w:rPr>
            </w:pPr>
          </w:p>
        </w:tc>
        <w:tc>
          <w:tcPr>
            <w:tcW w:w="1164" w:type="dxa"/>
            <w:tcBorders>
              <w:top w:val="single" w:sz="4" w:space="0" w:color="00A0E9"/>
              <w:bottom w:val="single" w:sz="4" w:space="0" w:color="00A0E9"/>
            </w:tcBorders>
            <w:shd w:val="clear" w:color="auto" w:fill="auto"/>
            <w:vAlign w:val="center"/>
          </w:tcPr>
          <w:p w:rsidR="00EE1CC3" w:rsidRPr="00A579E1" w:rsidRDefault="00EE1CC3" w:rsidP="00C31BEB">
            <w:pPr>
              <w:jc w:val="center"/>
              <w:rPr>
                <w:rFonts w:ascii="宋体" w:eastAsia="宋体" w:hAnsi="宋体"/>
                <w:b/>
                <w:szCs w:val="18"/>
              </w:rPr>
            </w:pPr>
            <w:r>
              <w:rPr>
                <w:rFonts w:ascii="宋体" w:eastAsia="宋体" w:hAnsi="宋体" w:hint="eastAsia"/>
                <w:b/>
                <w:szCs w:val="18"/>
              </w:rPr>
              <w:t>南方多利</w:t>
            </w:r>
          </w:p>
        </w:tc>
        <w:tc>
          <w:tcPr>
            <w:tcW w:w="992" w:type="dxa"/>
            <w:tcBorders>
              <w:top w:val="single" w:sz="4" w:space="0" w:color="00A0E9"/>
              <w:bottom w:val="single" w:sz="4" w:space="0" w:color="00A0E9"/>
            </w:tcBorders>
            <w:shd w:val="clear" w:color="auto" w:fill="auto"/>
            <w:vAlign w:val="center"/>
          </w:tcPr>
          <w:p w:rsidR="00EE1CC3" w:rsidRPr="00C23493" w:rsidRDefault="00EE1CC3" w:rsidP="00C31BEB">
            <w:pPr>
              <w:jc w:val="center"/>
              <w:rPr>
                <w:rFonts w:ascii="宋体" w:eastAsia="宋体" w:hAnsi="宋体"/>
                <w:szCs w:val="18"/>
              </w:rPr>
            </w:pPr>
            <w:r w:rsidRPr="00C23493">
              <w:rPr>
                <w:rFonts w:ascii="宋体" w:eastAsia="宋体" w:hAnsi="宋体" w:hint="eastAsia"/>
                <w:szCs w:val="18"/>
              </w:rPr>
              <w:t>债券</w:t>
            </w:r>
            <w:r w:rsidRPr="002C2E6E">
              <w:rPr>
                <w:rFonts w:ascii="楷体" w:eastAsia="楷体" w:hAnsi="楷体"/>
                <w:szCs w:val="18"/>
              </w:rPr>
              <w:t>-</w:t>
            </w:r>
            <w:r w:rsidRPr="00C23493">
              <w:rPr>
                <w:rFonts w:ascii="宋体" w:eastAsia="宋体" w:hAnsi="宋体" w:hint="eastAsia"/>
                <w:szCs w:val="18"/>
              </w:rPr>
              <w:t>新股申购型</w:t>
            </w:r>
          </w:p>
        </w:tc>
        <w:tc>
          <w:tcPr>
            <w:tcW w:w="1007" w:type="dxa"/>
            <w:tcBorders>
              <w:top w:val="single" w:sz="4" w:space="0" w:color="00A0E9"/>
              <w:bottom w:val="single" w:sz="4" w:space="0" w:color="00A0E9"/>
            </w:tcBorders>
            <w:shd w:val="clear" w:color="auto" w:fill="auto"/>
            <w:vAlign w:val="center"/>
          </w:tcPr>
          <w:p w:rsidR="00EE1CC3" w:rsidRPr="00B803C4" w:rsidRDefault="00EE1CC3" w:rsidP="00C31BEB">
            <w:pPr>
              <w:jc w:val="center"/>
              <w:rPr>
                <w:rFonts w:ascii="宋体" w:eastAsia="宋体" w:hAnsi="宋体"/>
                <w:bCs/>
                <w:szCs w:val="18"/>
              </w:rPr>
            </w:pPr>
            <w:r>
              <w:rPr>
                <w:rFonts w:ascii="宋体" w:eastAsia="宋体" w:hAnsi="宋体" w:hint="eastAsia"/>
                <w:bCs/>
                <w:szCs w:val="18"/>
              </w:rPr>
              <w:t>李璇</w:t>
            </w:r>
          </w:p>
        </w:tc>
        <w:tc>
          <w:tcPr>
            <w:tcW w:w="1054" w:type="dxa"/>
            <w:tcBorders>
              <w:top w:val="single" w:sz="4" w:space="0" w:color="00A0E9"/>
              <w:bottom w:val="single" w:sz="4" w:space="0" w:color="00A0E9"/>
            </w:tcBorders>
            <w:shd w:val="clear" w:color="auto" w:fill="auto"/>
            <w:vAlign w:val="center"/>
          </w:tcPr>
          <w:p w:rsidR="00EE1CC3" w:rsidRPr="007B282B" w:rsidRDefault="00EE1CC3" w:rsidP="00C31BEB">
            <w:pPr>
              <w:jc w:val="center"/>
              <w:rPr>
                <w:rFonts w:ascii="宋体" w:eastAsia="宋体" w:hAnsi="宋体"/>
                <w:bCs/>
                <w:szCs w:val="18"/>
              </w:rPr>
            </w:pPr>
            <w:r>
              <w:rPr>
                <w:rFonts w:ascii="宋体" w:eastAsia="宋体" w:hAnsi="宋体" w:hint="eastAsia"/>
                <w:bCs/>
                <w:szCs w:val="18"/>
              </w:rPr>
              <w:t>南方</w:t>
            </w:r>
          </w:p>
        </w:tc>
        <w:tc>
          <w:tcPr>
            <w:tcW w:w="1056" w:type="dxa"/>
            <w:tcBorders>
              <w:top w:val="single" w:sz="4" w:space="0" w:color="00A0E9"/>
              <w:bottom w:val="single" w:sz="4" w:space="0" w:color="00A0E9"/>
            </w:tcBorders>
            <w:shd w:val="clear" w:color="auto" w:fill="auto"/>
            <w:vAlign w:val="center"/>
          </w:tcPr>
          <w:p w:rsidR="00EE1CC3" w:rsidRPr="007B282B" w:rsidRDefault="00EE1CC3" w:rsidP="00C31BEB">
            <w:pPr>
              <w:jc w:val="center"/>
              <w:rPr>
                <w:rFonts w:ascii="宋体" w:eastAsia="宋体" w:hAnsi="宋体"/>
              </w:rPr>
            </w:pPr>
            <w:r>
              <w:rPr>
                <w:rFonts w:ascii="宋体" w:eastAsia="宋体" w:hAnsi="宋体" w:hint="eastAsia"/>
              </w:rPr>
              <w:t>20%</w:t>
            </w:r>
          </w:p>
        </w:tc>
      </w:tr>
      <w:tr w:rsidR="00EE1CC3" w:rsidRPr="001961D3" w:rsidTr="00C31BEB">
        <w:trPr>
          <w:cantSplit/>
          <w:trHeight w:val="690"/>
        </w:trPr>
        <w:tc>
          <w:tcPr>
            <w:tcW w:w="5272" w:type="dxa"/>
            <w:gridSpan w:val="5"/>
            <w:tcBorders>
              <w:top w:val="single" w:sz="4" w:space="0" w:color="00A0E9"/>
              <w:bottom w:val="single" w:sz="4" w:space="0" w:color="00A0E9"/>
            </w:tcBorders>
            <w:shd w:val="clear" w:color="auto" w:fill="auto"/>
            <w:vAlign w:val="center"/>
          </w:tcPr>
          <w:p w:rsidR="00EE1CC3" w:rsidRPr="00DB0AFF" w:rsidRDefault="00EE1CC3" w:rsidP="00C31BEB">
            <w:pPr>
              <w:jc w:val="left"/>
              <w:rPr>
                <w:rFonts w:ascii="宋体" w:eastAsia="宋体" w:hAnsi="宋体"/>
                <w:bCs/>
                <w:szCs w:val="18"/>
              </w:rPr>
            </w:pPr>
            <w:r w:rsidRPr="00187785">
              <w:rPr>
                <w:rFonts w:ascii="宋体" w:eastAsia="宋体" w:hAnsi="宋体" w:hint="eastAsia"/>
                <w:b/>
                <w:bCs/>
                <w:szCs w:val="18"/>
              </w:rPr>
              <w:t>组合说明：</w:t>
            </w:r>
            <w:r>
              <w:rPr>
                <w:rFonts w:ascii="宋体" w:eastAsia="宋体" w:hAnsi="宋体" w:hint="eastAsia"/>
                <w:bCs/>
                <w:szCs w:val="18"/>
              </w:rPr>
              <w:t>本月进攻性</w:t>
            </w:r>
            <w:r w:rsidRPr="00EF7A42">
              <w:rPr>
                <w:rFonts w:ascii="宋体" w:eastAsia="宋体" w:hAnsi="宋体" w:hint="eastAsia"/>
                <w:bCs/>
                <w:szCs w:val="18"/>
              </w:rPr>
              <w:t>组合</w:t>
            </w:r>
            <w:r>
              <w:rPr>
                <w:rFonts w:ascii="宋体" w:eastAsia="宋体" w:hAnsi="宋体" w:hint="eastAsia"/>
                <w:bCs/>
                <w:szCs w:val="18"/>
              </w:rPr>
              <w:t>增加海富通国策和宝盈策略，</w:t>
            </w:r>
            <w:r w:rsidRPr="00EF7A42">
              <w:rPr>
                <w:rFonts w:ascii="宋体" w:eastAsia="宋体" w:hAnsi="宋体" w:hint="eastAsia"/>
                <w:bCs/>
                <w:szCs w:val="18"/>
              </w:rPr>
              <w:t>平均股票仓位</w:t>
            </w:r>
            <w:r>
              <w:rPr>
                <w:rFonts w:ascii="宋体" w:eastAsia="宋体" w:hAnsi="宋体" w:hint="eastAsia"/>
                <w:bCs/>
                <w:szCs w:val="18"/>
              </w:rPr>
              <w:t>90.65</w:t>
            </w:r>
            <w:r w:rsidRPr="00EF7A42">
              <w:rPr>
                <w:rFonts w:ascii="宋体" w:eastAsia="宋体" w:hAnsi="宋体" w:hint="eastAsia"/>
                <w:bCs/>
                <w:szCs w:val="18"/>
              </w:rPr>
              <w:t>%</w:t>
            </w:r>
            <w:r>
              <w:rPr>
                <w:rFonts w:ascii="宋体" w:eastAsia="宋体" w:hAnsi="宋体" w:hint="eastAsia"/>
                <w:bCs/>
                <w:szCs w:val="18"/>
              </w:rPr>
              <w:t>，与前期相比略有上升。本期组合在前期风格均衡配置的基础上适当侧重周期蓝筹风格以及主题投资机会。其中，光大配置相对均衡，风险收益配比较好，且具备较强的选股能力；海富通国策和大摩主题具有较高的灵活性，对主题投资以及市场热点有不错的把握；招商大盘蓝筹注重把握低估值轮动，并有较好的风险控制能力；宝盈策略在主题投资和个股自下而上的把握均具备优势。</w:t>
            </w:r>
          </w:p>
        </w:tc>
        <w:tc>
          <w:tcPr>
            <w:tcW w:w="227" w:type="dxa"/>
          </w:tcPr>
          <w:p w:rsidR="00EE1CC3" w:rsidRPr="004334C6" w:rsidRDefault="00EE1CC3" w:rsidP="00C31BEB">
            <w:pPr>
              <w:jc w:val="center"/>
            </w:pPr>
          </w:p>
        </w:tc>
        <w:tc>
          <w:tcPr>
            <w:tcW w:w="5273" w:type="dxa"/>
            <w:gridSpan w:val="5"/>
            <w:tcBorders>
              <w:top w:val="single" w:sz="4" w:space="0" w:color="00A0E9"/>
              <w:bottom w:val="single" w:sz="4" w:space="0" w:color="00A0E9"/>
            </w:tcBorders>
            <w:shd w:val="clear" w:color="auto" w:fill="auto"/>
            <w:vAlign w:val="center"/>
          </w:tcPr>
          <w:p w:rsidR="00EE1CC3" w:rsidRPr="001F4758" w:rsidRDefault="00EE1CC3" w:rsidP="00C31BEB">
            <w:pPr>
              <w:jc w:val="left"/>
              <w:rPr>
                <w:rFonts w:ascii="宋体" w:eastAsia="宋体" w:hAnsi="宋体" w:cs="宋体"/>
                <w:b/>
                <w:bCs/>
                <w:szCs w:val="18"/>
              </w:rPr>
            </w:pPr>
            <w:r w:rsidRPr="001F4758">
              <w:rPr>
                <w:rFonts w:ascii="宋体" w:eastAsia="宋体" w:hAnsi="宋体" w:hint="eastAsia"/>
                <w:b/>
                <w:bCs/>
                <w:szCs w:val="18"/>
              </w:rPr>
              <w:t>组合说明：</w:t>
            </w:r>
            <w:r w:rsidRPr="001F4758">
              <w:rPr>
                <w:rFonts w:ascii="宋体" w:eastAsia="宋体" w:hAnsi="宋体" w:hint="eastAsia"/>
                <w:bCs/>
                <w:szCs w:val="18"/>
              </w:rPr>
              <w:t>防御型组合本月</w:t>
            </w:r>
            <w:r>
              <w:rPr>
                <w:rFonts w:ascii="宋体" w:eastAsia="宋体" w:hAnsi="宋体" w:hint="eastAsia"/>
                <w:bCs/>
                <w:szCs w:val="18"/>
              </w:rPr>
              <w:t>增加添富逆向，组合风格在前期均衡配置的基础上适当增强周期蓝筹风格</w:t>
            </w:r>
            <w:r w:rsidRPr="001F4758">
              <w:rPr>
                <w:rFonts w:ascii="宋体" w:eastAsia="宋体" w:hAnsi="宋体" w:hint="eastAsia"/>
                <w:bCs/>
                <w:szCs w:val="18"/>
              </w:rPr>
              <w:t>。组合内华安逆向的投资较为灵活，</w:t>
            </w:r>
            <w:r>
              <w:rPr>
                <w:rFonts w:ascii="宋体" w:eastAsia="宋体" w:hAnsi="宋体" w:hint="eastAsia"/>
                <w:bCs/>
                <w:szCs w:val="18"/>
              </w:rPr>
              <w:t>对风格轮动、行业轮动以及主题轮动有不错的把握</w:t>
            </w:r>
            <w:r w:rsidRPr="001F4758">
              <w:rPr>
                <w:rFonts w:ascii="宋体" w:eastAsia="宋体" w:hAnsi="宋体" w:hint="eastAsia"/>
                <w:bCs/>
                <w:szCs w:val="18"/>
              </w:rPr>
              <w:t>，</w:t>
            </w:r>
            <w:r>
              <w:rPr>
                <w:rFonts w:ascii="宋体" w:eastAsia="宋体" w:hAnsi="宋体" w:hint="eastAsia"/>
                <w:bCs/>
                <w:szCs w:val="18"/>
              </w:rPr>
              <w:t>富国天成的配置注重均衡，基金经理自下而上的选股能力较强，添富逆向的价值投资策略显著，偏好低估值和估值合理的成长性股票，</w:t>
            </w:r>
            <w:r w:rsidRPr="001F4758">
              <w:rPr>
                <w:rFonts w:ascii="宋体" w:eastAsia="宋体" w:hAnsi="宋体" w:hint="eastAsia"/>
                <w:bCs/>
                <w:szCs w:val="18"/>
              </w:rPr>
              <w:t>此外，两只债券型基金占据</w:t>
            </w:r>
            <w:r>
              <w:rPr>
                <w:rFonts w:ascii="宋体" w:eastAsia="宋体" w:hAnsi="宋体" w:hint="eastAsia"/>
                <w:bCs/>
                <w:szCs w:val="18"/>
              </w:rPr>
              <w:t>40</w:t>
            </w:r>
            <w:r w:rsidRPr="001F4758">
              <w:rPr>
                <w:rFonts w:ascii="宋体" w:eastAsia="宋体" w:hAnsi="宋体" w:hint="eastAsia"/>
                <w:bCs/>
                <w:szCs w:val="18"/>
              </w:rPr>
              <w:t>%的比例作为防御部分的配置。</w:t>
            </w:r>
          </w:p>
        </w:tc>
      </w:tr>
      <w:tr w:rsidR="00EE1CC3" w:rsidRPr="00A067AA" w:rsidTr="00C31BEB">
        <w:tblPrEx>
          <w:tblBorders>
            <w:top w:val="single" w:sz="4" w:space="0" w:color="00A0E9"/>
            <w:insideH w:val="single" w:sz="4" w:space="0" w:color="00A0E9"/>
            <w:insideV w:val="single" w:sz="4" w:space="0" w:color="00A0E9"/>
          </w:tblBorders>
        </w:tblPrEx>
        <w:trPr>
          <w:cantSplit/>
          <w:trHeight w:val="200"/>
        </w:trPr>
        <w:tc>
          <w:tcPr>
            <w:tcW w:w="10772" w:type="dxa"/>
            <w:gridSpan w:val="11"/>
            <w:shd w:val="clear" w:color="auto" w:fill="auto"/>
            <w:vAlign w:val="center"/>
          </w:tcPr>
          <w:p w:rsidR="00EE1CC3" w:rsidRPr="00A067AA" w:rsidRDefault="00EE1CC3" w:rsidP="00C31BEB">
            <w:pPr>
              <w:pStyle w:val="FootnoteNoline"/>
              <w:ind w:left="0"/>
            </w:pPr>
            <w:r>
              <w:rPr>
                <w:rFonts w:hint="eastAsia"/>
              </w:rPr>
              <w:t>来源：国金证券研究所</w:t>
            </w:r>
          </w:p>
        </w:tc>
      </w:tr>
    </w:tbl>
    <w:p w:rsidR="00EE1CC3" w:rsidRPr="00A067AA" w:rsidRDefault="00EE1CC3" w:rsidP="00EE1CC3">
      <w:pPr>
        <w:pStyle w:val="a0"/>
        <w:ind w:left="0"/>
      </w:pPr>
    </w:p>
    <w:tbl>
      <w:tblPr>
        <w:tblpPr w:leftFromText="180" w:rightFromText="180" w:vertAnchor="text" w:tblpY="1"/>
        <w:tblOverlap w:val="never"/>
        <w:tblW w:w="10772" w:type="dxa"/>
        <w:tblLayout w:type="fixed"/>
        <w:tblCellMar>
          <w:left w:w="0" w:type="dxa"/>
          <w:right w:w="0" w:type="dxa"/>
        </w:tblCellMar>
        <w:tblLook w:val="0000" w:firstRow="0" w:lastRow="0" w:firstColumn="0" w:lastColumn="0" w:noHBand="0" w:noVBand="0"/>
      </w:tblPr>
      <w:tblGrid>
        <w:gridCol w:w="1054"/>
        <w:gridCol w:w="1054"/>
        <w:gridCol w:w="1055"/>
        <w:gridCol w:w="1054"/>
        <w:gridCol w:w="1055"/>
        <w:gridCol w:w="227"/>
        <w:gridCol w:w="1054"/>
        <w:gridCol w:w="1054"/>
        <w:gridCol w:w="1055"/>
        <w:gridCol w:w="1054"/>
        <w:gridCol w:w="1056"/>
      </w:tblGrid>
      <w:tr w:rsidR="00EE1CC3" w:rsidTr="00C31BEB">
        <w:trPr>
          <w:cantSplit/>
          <w:trHeight w:val="200"/>
        </w:trPr>
        <w:tc>
          <w:tcPr>
            <w:tcW w:w="5272" w:type="dxa"/>
            <w:gridSpan w:val="5"/>
            <w:tcBorders>
              <w:top w:val="single" w:sz="4" w:space="0" w:color="00A0E9"/>
              <w:bottom w:val="single" w:sz="4" w:space="0" w:color="00A0E9"/>
            </w:tcBorders>
            <w:shd w:val="clear" w:color="auto" w:fill="auto"/>
          </w:tcPr>
          <w:p w:rsidR="00EE1CC3" w:rsidRDefault="00EE1CC3" w:rsidP="00C31BEB">
            <w:pPr>
              <w:pStyle w:val="SubTitleLargeTable"/>
            </w:pPr>
            <w:r>
              <w:rPr>
                <w:rFonts w:hint="eastAsia"/>
              </w:rPr>
              <w:t>图表</w:t>
            </w:r>
            <w:r w:rsidR="000A76EF">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w:instrText>
            </w:r>
            <w:r>
              <w:instrText xml:space="preserve"> </w:instrText>
            </w:r>
            <w:r w:rsidR="000A76EF">
              <w:fldChar w:fldCharType="separate"/>
            </w:r>
            <w:r>
              <w:rPr>
                <w:noProof/>
              </w:rPr>
              <w:t>8</w:t>
            </w:r>
            <w:r w:rsidR="000A76EF">
              <w:fldChar w:fldCharType="end"/>
            </w:r>
            <w:r>
              <w:rPr>
                <w:rFonts w:hint="eastAsia"/>
              </w:rPr>
              <w:t>：</w:t>
            </w:r>
            <w:r>
              <w:rPr>
                <w:rFonts w:hint="eastAsia"/>
              </w:rPr>
              <w:t>1503</w:t>
            </w:r>
            <w:r>
              <w:rPr>
                <w:rFonts w:hint="eastAsia"/>
              </w:rPr>
              <w:t>期灵活配置组合</w:t>
            </w:r>
          </w:p>
        </w:tc>
        <w:tc>
          <w:tcPr>
            <w:tcW w:w="227" w:type="dxa"/>
          </w:tcPr>
          <w:p w:rsidR="00EE1CC3" w:rsidRPr="00816267" w:rsidRDefault="00EE1CC3" w:rsidP="00C31BEB">
            <w:pPr>
              <w:pStyle w:val="a0"/>
              <w:spacing w:after="0" w:line="10" w:lineRule="atLeast"/>
              <w:ind w:left="0"/>
              <w:jc w:val="center"/>
              <w:rPr>
                <w:rFonts w:cs="Arial"/>
                <w:color w:val="auto"/>
              </w:rPr>
            </w:pPr>
          </w:p>
        </w:tc>
        <w:tc>
          <w:tcPr>
            <w:tcW w:w="5273" w:type="dxa"/>
            <w:gridSpan w:val="5"/>
            <w:tcBorders>
              <w:top w:val="single" w:sz="4" w:space="0" w:color="00A0E9"/>
              <w:bottom w:val="single" w:sz="4" w:space="0" w:color="00A0E9"/>
            </w:tcBorders>
            <w:shd w:val="clear" w:color="auto" w:fill="auto"/>
          </w:tcPr>
          <w:p w:rsidR="00EE1CC3" w:rsidRDefault="00EE1CC3" w:rsidP="00C31BEB">
            <w:pPr>
              <w:pStyle w:val="SubTitleLargeTable"/>
            </w:pPr>
          </w:p>
        </w:tc>
      </w:tr>
      <w:tr w:rsidR="00EE1CC3" w:rsidRPr="004922F9" w:rsidTr="00C31BEB">
        <w:trPr>
          <w:cantSplit/>
          <w:trHeight w:val="340"/>
        </w:trPr>
        <w:tc>
          <w:tcPr>
            <w:tcW w:w="105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基金名称</w:t>
            </w:r>
          </w:p>
        </w:tc>
        <w:tc>
          <w:tcPr>
            <w:tcW w:w="105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Pr>
                <w:rFonts w:ascii="宋体" w:eastAsia="宋体" w:hAnsi="宋体" w:hint="eastAsia"/>
                <w:b/>
                <w:szCs w:val="18"/>
              </w:rPr>
              <w:t>基金</w:t>
            </w:r>
            <w:r w:rsidRPr="004922F9">
              <w:rPr>
                <w:rFonts w:ascii="宋体" w:eastAsia="宋体" w:hAnsi="宋体" w:hint="eastAsia"/>
                <w:b/>
                <w:szCs w:val="18"/>
              </w:rPr>
              <w:t>类型</w:t>
            </w:r>
          </w:p>
        </w:tc>
        <w:tc>
          <w:tcPr>
            <w:tcW w:w="1055"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基金经理</w:t>
            </w:r>
          </w:p>
        </w:tc>
        <w:tc>
          <w:tcPr>
            <w:tcW w:w="105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基金公司</w:t>
            </w:r>
          </w:p>
        </w:tc>
        <w:tc>
          <w:tcPr>
            <w:tcW w:w="1055"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r w:rsidRPr="004922F9">
              <w:rPr>
                <w:rFonts w:ascii="宋体" w:eastAsia="宋体" w:hAnsi="宋体" w:hint="eastAsia"/>
                <w:b/>
                <w:szCs w:val="18"/>
              </w:rPr>
              <w:t>投资权重</w:t>
            </w:r>
          </w:p>
        </w:tc>
        <w:tc>
          <w:tcPr>
            <w:tcW w:w="227" w:type="dxa"/>
            <w:vMerge w:val="restart"/>
            <w:vAlign w:val="center"/>
          </w:tcPr>
          <w:p w:rsidR="00EE1CC3" w:rsidRPr="001961D3" w:rsidRDefault="00EE1CC3" w:rsidP="00C31BEB">
            <w:pPr>
              <w:jc w:val="cente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p>
        </w:tc>
        <w:tc>
          <w:tcPr>
            <w:tcW w:w="1055"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p>
        </w:tc>
        <w:tc>
          <w:tcPr>
            <w:tcW w:w="1054"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p>
        </w:tc>
        <w:tc>
          <w:tcPr>
            <w:tcW w:w="1056" w:type="dxa"/>
            <w:tcBorders>
              <w:top w:val="single" w:sz="4" w:space="0" w:color="00A0E9"/>
              <w:bottom w:val="single" w:sz="4" w:space="0" w:color="00A0E9"/>
            </w:tcBorders>
            <w:shd w:val="clear" w:color="auto" w:fill="auto"/>
            <w:vAlign w:val="center"/>
          </w:tcPr>
          <w:p w:rsidR="00EE1CC3" w:rsidRPr="004922F9" w:rsidRDefault="00EE1CC3" w:rsidP="00C31BEB">
            <w:pPr>
              <w:jc w:val="center"/>
              <w:rPr>
                <w:rFonts w:ascii="宋体" w:eastAsia="宋体" w:hAnsi="宋体"/>
                <w:b/>
                <w:szCs w:val="18"/>
              </w:rPr>
            </w:pPr>
          </w:p>
        </w:tc>
      </w:tr>
      <w:tr w:rsidR="00EE1CC3" w:rsidRPr="00E20E5A" w:rsidTr="00C31BEB">
        <w:trPr>
          <w:cantSplit/>
          <w:trHeight w:val="340"/>
        </w:trPr>
        <w:tc>
          <w:tcPr>
            <w:tcW w:w="1054" w:type="dxa"/>
            <w:tcBorders>
              <w:top w:val="single" w:sz="4" w:space="0" w:color="00A0E9"/>
              <w:bottom w:val="single" w:sz="4" w:space="0" w:color="00A0E9"/>
            </w:tcBorders>
            <w:shd w:val="clear" w:color="auto" w:fill="auto"/>
            <w:vAlign w:val="center"/>
          </w:tcPr>
          <w:p w:rsidR="00EE1CC3" w:rsidRPr="004A48B9" w:rsidRDefault="00EE1CC3" w:rsidP="00C31BEB">
            <w:pPr>
              <w:jc w:val="center"/>
              <w:rPr>
                <w:rFonts w:ascii="宋体" w:eastAsia="宋体" w:hAnsi="宋体" w:cs="宋体"/>
                <w:b/>
                <w:szCs w:val="18"/>
              </w:rPr>
            </w:pPr>
            <w:bookmarkStart w:id="13" w:name="_Hlk273533316"/>
            <w:r w:rsidRPr="004A48B9">
              <w:rPr>
                <w:rFonts w:ascii="宋体" w:eastAsia="宋体" w:hAnsi="宋体" w:cs="宋体" w:hint="eastAsia"/>
                <w:b/>
                <w:szCs w:val="18"/>
              </w:rPr>
              <w:t>添富逆向</w:t>
            </w:r>
          </w:p>
        </w:tc>
        <w:tc>
          <w:tcPr>
            <w:tcW w:w="1054" w:type="dxa"/>
            <w:tcBorders>
              <w:top w:val="single" w:sz="4" w:space="0" w:color="00A0E9"/>
              <w:bottom w:val="single" w:sz="4" w:space="0" w:color="00A0E9"/>
            </w:tcBorders>
            <w:shd w:val="clear" w:color="auto" w:fill="auto"/>
            <w:vAlign w:val="center"/>
          </w:tcPr>
          <w:p w:rsidR="00EE1CC3" w:rsidRPr="00FE4622" w:rsidRDefault="00EE1CC3" w:rsidP="00C31BEB">
            <w:pPr>
              <w:jc w:val="center"/>
              <w:rPr>
                <w:rFonts w:ascii="宋体" w:eastAsia="宋体" w:hAnsi="宋体" w:cs="宋体"/>
                <w:szCs w:val="18"/>
              </w:rPr>
            </w:pPr>
            <w:r>
              <w:rPr>
                <w:rFonts w:ascii="宋体" w:eastAsia="宋体" w:hAnsi="宋体" w:cs="宋体" w:hint="eastAsia"/>
                <w:szCs w:val="18"/>
              </w:rPr>
              <w:t>股票型</w:t>
            </w:r>
          </w:p>
        </w:tc>
        <w:tc>
          <w:tcPr>
            <w:tcW w:w="1055"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cs="宋体"/>
                <w:szCs w:val="18"/>
              </w:rPr>
            </w:pPr>
            <w:r>
              <w:rPr>
                <w:rFonts w:ascii="宋体" w:eastAsia="宋体" w:hAnsi="宋体" w:cs="宋体" w:hint="eastAsia"/>
                <w:szCs w:val="18"/>
              </w:rPr>
              <w:t>顾耀强</w:t>
            </w:r>
          </w:p>
        </w:tc>
        <w:tc>
          <w:tcPr>
            <w:tcW w:w="1054"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汇添富</w:t>
            </w:r>
          </w:p>
        </w:tc>
        <w:tc>
          <w:tcPr>
            <w:tcW w:w="1055"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bCs/>
                <w:szCs w:val="18"/>
              </w:rPr>
            </w:pPr>
            <w:r>
              <w:rPr>
                <w:rFonts w:ascii="宋体" w:eastAsia="宋体" w:hAnsi="宋体" w:hint="eastAsia"/>
                <w:bCs/>
                <w:szCs w:val="18"/>
              </w:rPr>
              <w:t>25</w:t>
            </w:r>
            <w:r w:rsidRPr="006E0CA2">
              <w:rPr>
                <w:rFonts w:ascii="宋体" w:eastAsia="宋体" w:hAnsi="宋体" w:hint="eastAsia"/>
                <w:bCs/>
                <w:szCs w:val="18"/>
              </w:rPr>
              <w:t>%</w:t>
            </w:r>
          </w:p>
        </w:tc>
        <w:tc>
          <w:tcPr>
            <w:tcW w:w="227" w:type="dxa"/>
            <w:vMerge/>
            <w:vAlign w:val="center"/>
          </w:tcPr>
          <w:p w:rsidR="00EE1CC3" w:rsidRPr="00ED22EB" w:rsidRDefault="00EE1CC3" w:rsidP="00C31BEB">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C31BEB">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C31BEB">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r>
      <w:bookmarkEnd w:id="13"/>
      <w:tr w:rsidR="00EE1CC3" w:rsidRPr="00E20E5A" w:rsidTr="00C31BEB">
        <w:trPr>
          <w:cantSplit/>
          <w:trHeight w:val="340"/>
        </w:trPr>
        <w:tc>
          <w:tcPr>
            <w:tcW w:w="1054" w:type="dxa"/>
            <w:tcBorders>
              <w:top w:val="single" w:sz="4" w:space="0" w:color="00A0E9"/>
              <w:bottom w:val="single" w:sz="4" w:space="0" w:color="00A0E9"/>
            </w:tcBorders>
            <w:shd w:val="clear" w:color="auto" w:fill="auto"/>
            <w:vAlign w:val="center"/>
          </w:tcPr>
          <w:p w:rsidR="00EE1CC3" w:rsidRPr="004A48B9" w:rsidRDefault="00EE1CC3" w:rsidP="00C31BEB">
            <w:pPr>
              <w:jc w:val="center"/>
              <w:rPr>
                <w:rFonts w:ascii="宋体" w:eastAsia="宋体" w:hAnsi="宋体" w:cs="宋体"/>
                <w:b/>
                <w:szCs w:val="18"/>
              </w:rPr>
            </w:pPr>
            <w:r w:rsidRPr="004A48B9">
              <w:rPr>
                <w:rFonts w:ascii="宋体" w:eastAsia="宋体" w:hAnsi="宋体" w:hint="eastAsia"/>
                <w:b/>
                <w:szCs w:val="18"/>
              </w:rPr>
              <w:t>工银双利</w:t>
            </w:r>
          </w:p>
        </w:tc>
        <w:tc>
          <w:tcPr>
            <w:tcW w:w="1054" w:type="dxa"/>
            <w:tcBorders>
              <w:top w:val="single" w:sz="4" w:space="0" w:color="00A0E9"/>
              <w:bottom w:val="single" w:sz="4" w:space="0" w:color="00A0E9"/>
            </w:tcBorders>
            <w:shd w:val="clear" w:color="auto" w:fill="auto"/>
            <w:vAlign w:val="center"/>
          </w:tcPr>
          <w:p w:rsidR="00EE1CC3" w:rsidRPr="00FE4622" w:rsidRDefault="00EE1CC3" w:rsidP="00C31BEB">
            <w:pPr>
              <w:jc w:val="center"/>
              <w:rPr>
                <w:rFonts w:ascii="宋体" w:eastAsia="宋体" w:hAnsi="宋体" w:cs="宋体"/>
                <w:szCs w:val="18"/>
              </w:rPr>
            </w:pPr>
            <w:r w:rsidRPr="00FE4622">
              <w:rPr>
                <w:rFonts w:ascii="宋体" w:eastAsia="宋体" w:hAnsi="宋体" w:hint="eastAsia"/>
                <w:szCs w:val="18"/>
              </w:rPr>
              <w:t>债券－普通债券型</w:t>
            </w:r>
          </w:p>
        </w:tc>
        <w:tc>
          <w:tcPr>
            <w:tcW w:w="1055"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王佳、欧阳凯、宋炳珅</w:t>
            </w:r>
          </w:p>
        </w:tc>
        <w:tc>
          <w:tcPr>
            <w:tcW w:w="1054"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工银瑞信</w:t>
            </w:r>
          </w:p>
        </w:tc>
        <w:tc>
          <w:tcPr>
            <w:tcW w:w="1055"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25</w:t>
            </w:r>
            <w:r w:rsidRPr="006E0CA2">
              <w:rPr>
                <w:rFonts w:ascii="宋体" w:eastAsia="宋体" w:hAnsi="宋体" w:hint="eastAsia"/>
                <w:szCs w:val="18"/>
              </w:rPr>
              <w:t>%</w:t>
            </w:r>
          </w:p>
        </w:tc>
        <w:tc>
          <w:tcPr>
            <w:tcW w:w="227" w:type="dxa"/>
            <w:vMerge/>
            <w:vAlign w:val="center"/>
          </w:tcPr>
          <w:p w:rsidR="00EE1CC3" w:rsidRPr="00ED22EB" w:rsidRDefault="00EE1CC3" w:rsidP="00C31BEB">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C31BEB">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C31BEB">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r>
      <w:tr w:rsidR="00EE1CC3" w:rsidRPr="007C2681" w:rsidTr="00C31BEB">
        <w:trPr>
          <w:cantSplit/>
          <w:trHeight w:val="465"/>
        </w:trPr>
        <w:tc>
          <w:tcPr>
            <w:tcW w:w="1054" w:type="dxa"/>
            <w:tcBorders>
              <w:top w:val="single" w:sz="4" w:space="0" w:color="00A0E9"/>
              <w:bottom w:val="single" w:sz="4" w:space="0" w:color="00A0E9"/>
            </w:tcBorders>
            <w:shd w:val="clear" w:color="auto" w:fill="auto"/>
            <w:vAlign w:val="center"/>
          </w:tcPr>
          <w:p w:rsidR="00EE1CC3" w:rsidRPr="004A48B9" w:rsidRDefault="00EE1CC3" w:rsidP="00C31BEB">
            <w:pPr>
              <w:jc w:val="center"/>
              <w:rPr>
                <w:rFonts w:ascii="宋体" w:eastAsia="宋体" w:hAnsi="宋体" w:cs="宋体"/>
                <w:b/>
                <w:szCs w:val="18"/>
              </w:rPr>
            </w:pPr>
            <w:r w:rsidRPr="004A48B9">
              <w:rPr>
                <w:rFonts w:ascii="宋体" w:eastAsia="宋体" w:hAnsi="宋体" w:hint="eastAsia"/>
                <w:b/>
                <w:szCs w:val="18"/>
              </w:rPr>
              <w:t>建信双息红利</w:t>
            </w:r>
          </w:p>
        </w:tc>
        <w:tc>
          <w:tcPr>
            <w:tcW w:w="1054" w:type="dxa"/>
            <w:tcBorders>
              <w:top w:val="single" w:sz="4" w:space="0" w:color="00A0E9"/>
              <w:bottom w:val="single" w:sz="4" w:space="0" w:color="00A0E9"/>
            </w:tcBorders>
            <w:shd w:val="clear" w:color="auto" w:fill="auto"/>
            <w:vAlign w:val="center"/>
          </w:tcPr>
          <w:p w:rsidR="00EE1CC3" w:rsidRPr="00FE4622" w:rsidRDefault="00EE1CC3" w:rsidP="00C31BEB">
            <w:pPr>
              <w:jc w:val="center"/>
              <w:rPr>
                <w:rFonts w:ascii="宋体" w:eastAsia="宋体" w:hAnsi="宋体" w:cs="宋体"/>
                <w:szCs w:val="18"/>
              </w:rPr>
            </w:pPr>
            <w:r w:rsidRPr="00FE4622">
              <w:rPr>
                <w:rFonts w:ascii="宋体" w:eastAsia="宋体" w:hAnsi="宋体" w:hint="eastAsia"/>
                <w:szCs w:val="18"/>
              </w:rPr>
              <w:t>债券－普通债券型</w:t>
            </w:r>
          </w:p>
        </w:tc>
        <w:tc>
          <w:tcPr>
            <w:tcW w:w="1055"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钟敬棣</w:t>
            </w:r>
          </w:p>
        </w:tc>
        <w:tc>
          <w:tcPr>
            <w:tcW w:w="1054"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建信</w:t>
            </w:r>
          </w:p>
        </w:tc>
        <w:tc>
          <w:tcPr>
            <w:tcW w:w="1055"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25%</w:t>
            </w:r>
          </w:p>
        </w:tc>
        <w:tc>
          <w:tcPr>
            <w:tcW w:w="227" w:type="dxa"/>
            <w:vMerge/>
            <w:vAlign w:val="center"/>
          </w:tcPr>
          <w:p w:rsidR="00EE1CC3" w:rsidRPr="00ED22EB" w:rsidRDefault="00EE1CC3" w:rsidP="00C31BEB">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C31BEB">
            <w:pPr>
              <w:jc w:val="center"/>
              <w:rPr>
                <w:rFonts w:ascii="宋体" w:eastAsia="宋体" w:hAnsi="宋体" w:cs="宋体"/>
                <w:b/>
                <w:szCs w:val="18"/>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C31BEB">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r>
      <w:tr w:rsidR="00EE1CC3" w:rsidRPr="007C2681" w:rsidTr="00C31BEB">
        <w:trPr>
          <w:cantSplit/>
          <w:trHeight w:val="340"/>
        </w:trPr>
        <w:tc>
          <w:tcPr>
            <w:tcW w:w="1054" w:type="dxa"/>
            <w:tcBorders>
              <w:top w:val="single" w:sz="4" w:space="0" w:color="00A0E9"/>
              <w:bottom w:val="single" w:sz="4" w:space="0" w:color="00A0E9"/>
            </w:tcBorders>
            <w:shd w:val="clear" w:color="auto" w:fill="auto"/>
            <w:vAlign w:val="center"/>
          </w:tcPr>
          <w:p w:rsidR="00EE1CC3" w:rsidRPr="004A48B9" w:rsidRDefault="00EE1CC3" w:rsidP="00C31BEB">
            <w:pPr>
              <w:jc w:val="center"/>
              <w:rPr>
                <w:rFonts w:ascii="宋体" w:eastAsia="宋体" w:hAnsi="宋体" w:cs="宋体"/>
                <w:b/>
                <w:szCs w:val="18"/>
              </w:rPr>
            </w:pPr>
            <w:r w:rsidRPr="004A48B9">
              <w:rPr>
                <w:rFonts w:ascii="宋体" w:eastAsia="宋体" w:hAnsi="宋体" w:cs="宋体" w:hint="eastAsia"/>
                <w:b/>
                <w:szCs w:val="18"/>
              </w:rPr>
              <w:t>长盛电子信息</w:t>
            </w:r>
          </w:p>
        </w:tc>
        <w:tc>
          <w:tcPr>
            <w:tcW w:w="1054" w:type="dxa"/>
            <w:tcBorders>
              <w:top w:val="single" w:sz="4" w:space="0" w:color="00A0E9"/>
              <w:bottom w:val="single" w:sz="4" w:space="0" w:color="00A0E9"/>
            </w:tcBorders>
            <w:shd w:val="clear" w:color="auto" w:fill="auto"/>
            <w:vAlign w:val="center"/>
          </w:tcPr>
          <w:p w:rsidR="00EE1CC3" w:rsidRPr="00FE4622" w:rsidRDefault="00EE1CC3" w:rsidP="00C31BEB">
            <w:pPr>
              <w:jc w:val="center"/>
              <w:rPr>
                <w:rFonts w:ascii="宋体" w:eastAsia="宋体" w:hAnsi="宋体" w:cs="宋体"/>
                <w:szCs w:val="18"/>
              </w:rPr>
            </w:pPr>
            <w:r>
              <w:rPr>
                <w:rFonts w:ascii="宋体" w:eastAsia="宋体" w:hAnsi="宋体" w:cs="宋体" w:hint="eastAsia"/>
                <w:szCs w:val="18"/>
              </w:rPr>
              <w:t>股票型</w:t>
            </w:r>
          </w:p>
        </w:tc>
        <w:tc>
          <w:tcPr>
            <w:tcW w:w="1055"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王克玉</w:t>
            </w:r>
          </w:p>
        </w:tc>
        <w:tc>
          <w:tcPr>
            <w:tcW w:w="1054" w:type="dxa"/>
            <w:tcBorders>
              <w:top w:val="single" w:sz="4" w:space="0" w:color="00A0E9"/>
              <w:bottom w:val="single" w:sz="4" w:space="0" w:color="00A0E9"/>
            </w:tcBorders>
            <w:shd w:val="clear" w:color="auto" w:fill="auto"/>
            <w:vAlign w:val="center"/>
          </w:tcPr>
          <w:p w:rsidR="00EE1CC3" w:rsidRDefault="00EE1CC3" w:rsidP="00C31BEB">
            <w:pPr>
              <w:jc w:val="center"/>
              <w:rPr>
                <w:rFonts w:ascii="宋体" w:eastAsia="宋体" w:hAnsi="宋体"/>
                <w:szCs w:val="18"/>
              </w:rPr>
            </w:pPr>
            <w:r>
              <w:rPr>
                <w:rFonts w:ascii="宋体" w:eastAsia="宋体" w:hAnsi="宋体" w:hint="eastAsia"/>
                <w:szCs w:val="18"/>
              </w:rPr>
              <w:t>长盛</w:t>
            </w:r>
          </w:p>
        </w:tc>
        <w:tc>
          <w:tcPr>
            <w:tcW w:w="1055" w:type="dxa"/>
            <w:tcBorders>
              <w:top w:val="single" w:sz="4" w:space="0" w:color="00A0E9"/>
              <w:bottom w:val="single" w:sz="4" w:space="0" w:color="00A0E9"/>
            </w:tcBorders>
            <w:shd w:val="clear" w:color="auto" w:fill="auto"/>
            <w:vAlign w:val="center"/>
          </w:tcPr>
          <w:p w:rsidR="00EE1CC3" w:rsidRPr="006E0CA2" w:rsidRDefault="00EE1CC3" w:rsidP="00C31BEB">
            <w:pPr>
              <w:jc w:val="center"/>
              <w:rPr>
                <w:rFonts w:ascii="宋体" w:eastAsia="宋体" w:hAnsi="宋体"/>
                <w:szCs w:val="18"/>
              </w:rPr>
            </w:pPr>
            <w:r>
              <w:rPr>
                <w:rFonts w:ascii="宋体" w:eastAsia="宋体" w:hAnsi="宋体" w:hint="eastAsia"/>
                <w:szCs w:val="18"/>
              </w:rPr>
              <w:t>25</w:t>
            </w:r>
            <w:r w:rsidRPr="006E0CA2">
              <w:rPr>
                <w:rFonts w:ascii="宋体" w:eastAsia="宋体" w:hAnsi="宋体" w:hint="eastAsia"/>
                <w:szCs w:val="18"/>
              </w:rPr>
              <w:t>%</w:t>
            </w:r>
          </w:p>
        </w:tc>
        <w:tc>
          <w:tcPr>
            <w:tcW w:w="227" w:type="dxa"/>
            <w:vMerge/>
            <w:vAlign w:val="center"/>
          </w:tcPr>
          <w:p w:rsidR="00EE1CC3" w:rsidRPr="00ED22EB" w:rsidRDefault="00EE1CC3" w:rsidP="00C31BEB">
            <w:pPr>
              <w:jc w:val="center"/>
              <w:rPr>
                <w:rFonts w:ascii="宋体" w:eastAsia="宋体" w:hAnsi="宋体"/>
                <w:color w:val="FF0000"/>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C31BEB">
            <w:pPr>
              <w:jc w:val="center"/>
              <w:rPr>
                <w:rFonts w:ascii="宋体" w:eastAsia="宋体" w:hAnsi="宋体" w:cs="宋体"/>
                <w:b/>
                <w:bCs/>
                <w:szCs w:val="18"/>
              </w:rPr>
            </w:pPr>
          </w:p>
        </w:tc>
        <w:tc>
          <w:tcPr>
            <w:tcW w:w="1054" w:type="dxa"/>
            <w:tcBorders>
              <w:top w:val="single" w:sz="4" w:space="0" w:color="00A0E9"/>
              <w:bottom w:val="single" w:sz="4" w:space="0" w:color="00A0E9"/>
            </w:tcBorders>
            <w:shd w:val="clear" w:color="auto" w:fill="auto"/>
            <w:vAlign w:val="center"/>
          </w:tcPr>
          <w:p w:rsidR="00EE1CC3" w:rsidRPr="00BE585F" w:rsidRDefault="00EE1CC3" w:rsidP="00C31BEB">
            <w:pPr>
              <w:jc w:val="center"/>
              <w:rPr>
                <w:rFonts w:ascii="宋体" w:eastAsia="宋体" w:hAnsi="宋体" w:cs="宋体"/>
                <w:szCs w:val="18"/>
              </w:rPr>
            </w:pPr>
          </w:p>
        </w:tc>
        <w:tc>
          <w:tcPr>
            <w:tcW w:w="1055"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c>
          <w:tcPr>
            <w:tcW w:w="1054"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c>
          <w:tcPr>
            <w:tcW w:w="1056" w:type="dxa"/>
            <w:tcBorders>
              <w:top w:val="single" w:sz="4" w:space="0" w:color="00A0E9"/>
              <w:bottom w:val="single" w:sz="4" w:space="0" w:color="00A0E9"/>
            </w:tcBorders>
            <w:shd w:val="clear" w:color="auto" w:fill="auto"/>
            <w:vAlign w:val="center"/>
          </w:tcPr>
          <w:p w:rsidR="00EE1CC3" w:rsidRPr="001619E7" w:rsidRDefault="00EE1CC3" w:rsidP="00C31BEB">
            <w:pPr>
              <w:jc w:val="center"/>
              <w:rPr>
                <w:rFonts w:ascii="宋体" w:eastAsia="宋体" w:hAnsi="宋体" w:cs="宋体"/>
                <w:szCs w:val="18"/>
              </w:rPr>
            </w:pPr>
          </w:p>
        </w:tc>
      </w:tr>
      <w:tr w:rsidR="00EE1CC3" w:rsidRPr="00E20E5A" w:rsidTr="00C31BEB">
        <w:trPr>
          <w:cantSplit/>
          <w:trHeight w:val="643"/>
        </w:trPr>
        <w:tc>
          <w:tcPr>
            <w:tcW w:w="5272" w:type="dxa"/>
            <w:gridSpan w:val="5"/>
            <w:tcBorders>
              <w:top w:val="single" w:sz="4" w:space="0" w:color="00A0E9"/>
              <w:bottom w:val="single" w:sz="4" w:space="0" w:color="00A0E9"/>
            </w:tcBorders>
            <w:shd w:val="clear" w:color="auto" w:fill="auto"/>
            <w:vAlign w:val="center"/>
          </w:tcPr>
          <w:p w:rsidR="00EE1CC3" w:rsidRPr="00187785" w:rsidRDefault="00EE1CC3" w:rsidP="00C31BEB">
            <w:pPr>
              <w:jc w:val="left"/>
              <w:rPr>
                <w:rFonts w:ascii="宋体" w:eastAsia="宋体" w:hAnsi="宋体"/>
                <w:b/>
                <w:bCs/>
                <w:szCs w:val="18"/>
              </w:rPr>
            </w:pPr>
            <w:bookmarkStart w:id="14" w:name="_Hlk278459784"/>
            <w:r w:rsidRPr="00187785">
              <w:rPr>
                <w:rFonts w:ascii="宋体" w:eastAsia="宋体" w:hAnsi="宋体" w:hint="eastAsia"/>
                <w:b/>
                <w:bCs/>
                <w:szCs w:val="18"/>
              </w:rPr>
              <w:t>组合说明：</w:t>
            </w:r>
            <w:r w:rsidRPr="0046414C">
              <w:rPr>
                <w:rFonts w:ascii="宋体" w:eastAsia="宋体" w:hAnsi="宋体" w:hint="eastAsia"/>
                <w:bCs/>
                <w:szCs w:val="18"/>
              </w:rPr>
              <w:t>作为灵活配置型组合，</w:t>
            </w:r>
            <w:r>
              <w:rPr>
                <w:rFonts w:ascii="宋体" w:eastAsia="宋体" w:hAnsi="宋体" w:hint="eastAsia"/>
                <w:bCs/>
                <w:szCs w:val="18"/>
              </w:rPr>
              <w:t>在当前市场环境相对乐观的背景下，适当提升权益类产品的配置，组合内权益类和固定收益类产品各占50%，权益类基金关注添富逆向和长盛电子信息，两只基金在风格上做进一步均衡，前者侧重低估值蓝筹股，后者侧重高成长性行业中的估值合理个股。</w:t>
            </w:r>
          </w:p>
        </w:tc>
        <w:tc>
          <w:tcPr>
            <w:tcW w:w="227" w:type="dxa"/>
          </w:tcPr>
          <w:p w:rsidR="00EE1CC3" w:rsidRPr="0043215A" w:rsidRDefault="00EE1CC3" w:rsidP="00C31BEB">
            <w:pPr>
              <w:jc w:val="center"/>
              <w:rPr>
                <w:color w:val="FF0000"/>
              </w:rPr>
            </w:pPr>
          </w:p>
        </w:tc>
        <w:tc>
          <w:tcPr>
            <w:tcW w:w="5273" w:type="dxa"/>
            <w:gridSpan w:val="5"/>
            <w:tcBorders>
              <w:top w:val="single" w:sz="4" w:space="0" w:color="00A0E9"/>
              <w:bottom w:val="single" w:sz="4" w:space="0" w:color="00A0E9"/>
            </w:tcBorders>
            <w:shd w:val="clear" w:color="auto" w:fill="auto"/>
            <w:vAlign w:val="center"/>
          </w:tcPr>
          <w:p w:rsidR="00EE1CC3" w:rsidRPr="00187785" w:rsidRDefault="00EE1CC3" w:rsidP="00C31BEB">
            <w:pPr>
              <w:jc w:val="left"/>
              <w:rPr>
                <w:rFonts w:ascii="宋体" w:eastAsia="宋体" w:hAnsi="宋体" w:cs="宋体"/>
                <w:b/>
                <w:bCs/>
                <w:color w:val="FF0000"/>
                <w:szCs w:val="18"/>
              </w:rPr>
            </w:pPr>
          </w:p>
        </w:tc>
      </w:tr>
      <w:bookmarkEnd w:id="14"/>
      <w:tr w:rsidR="00EE1CC3" w:rsidRPr="00A067AA" w:rsidTr="00C31BEB">
        <w:tblPrEx>
          <w:tblBorders>
            <w:top w:val="single" w:sz="4" w:space="0" w:color="00A0E9"/>
            <w:insideH w:val="single" w:sz="4" w:space="0" w:color="00A0E9"/>
            <w:insideV w:val="single" w:sz="4" w:space="0" w:color="00A0E9"/>
          </w:tblBorders>
        </w:tblPrEx>
        <w:trPr>
          <w:cantSplit/>
          <w:trHeight w:val="200"/>
        </w:trPr>
        <w:tc>
          <w:tcPr>
            <w:tcW w:w="10772" w:type="dxa"/>
            <w:gridSpan w:val="11"/>
            <w:shd w:val="clear" w:color="auto" w:fill="auto"/>
          </w:tcPr>
          <w:p w:rsidR="00EE1CC3" w:rsidRPr="00A067AA" w:rsidRDefault="00EE1CC3" w:rsidP="00C31BEB">
            <w:pPr>
              <w:pStyle w:val="FootnoteNoline"/>
              <w:ind w:left="0"/>
            </w:pPr>
            <w:r>
              <w:rPr>
                <w:rFonts w:hint="eastAsia"/>
              </w:rPr>
              <w:t>来源：国金证券研究所</w:t>
            </w:r>
          </w:p>
        </w:tc>
      </w:tr>
      <w:bookmarkEnd w:id="4"/>
      <w:bookmarkEnd w:id="5"/>
      <w:bookmarkEnd w:id="6"/>
      <w:bookmarkEnd w:id="7"/>
      <w:bookmarkEnd w:id="8"/>
      <w:bookmarkEnd w:id="9"/>
      <w:bookmarkEnd w:id="10"/>
      <w:bookmarkEnd w:id="11"/>
      <w:bookmarkEnd w:id="12"/>
    </w:tbl>
    <w:p w:rsidR="00EE1CC3" w:rsidRDefault="00EE1CC3" w:rsidP="00EE1CC3">
      <w:pPr>
        <w:pStyle w:val="a0"/>
        <w:widowControl/>
        <w:ind w:left="0"/>
        <w:rPr>
          <w:color w:val="auto"/>
        </w:rPr>
      </w:pPr>
    </w:p>
    <w:p w:rsidR="0005161F" w:rsidRDefault="00D775F9" w:rsidP="00776898">
      <w:pPr>
        <w:pStyle w:val="a0"/>
        <w:pageBreakBefore/>
        <w:ind w:left="0"/>
      </w:pPr>
      <w:r>
        <w:rPr>
          <w:noProof/>
        </w:rPr>
        <w:lastRenderedPageBreak/>
        <w:pict>
          <v:shape id="Text Box 353" o:spid="_x0000_s1026" type="#_x0000_t202" style="position:absolute;left:0;text-align:left;margin-left:-7.05pt;margin-top:77.1pt;width:545.95pt;height:337.8pt;z-index:25165465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p+AIAAIU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" filled="f" stroked="f">
            <v:textbox>
              <w:txbxContent>
                <w:p w:rsidR="00276AED" w:rsidRDefault="00276AED"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276AED" w:rsidRPr="00EE31AB" w:rsidRDefault="00276AED"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作出任何担保。且本报告中的资料、意见、预测均反映报告初次公开发布时的判断，在不作事先通知的情况下，可能会随时调整。</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客户应当考虑到国金证券存在可能影响本报告客观性的利益冲突，而不应视本报告为作出投资决策的唯一因素。本报告亦非作为或被视为出售或购买证券或其他投资标的邀请。</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276AED" w:rsidRDefault="00276AED"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276AED" w:rsidRDefault="00276AED"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276AED" w:rsidRDefault="00276AED" w:rsidP="000E6AE0">
                  <w:pPr>
                    <w:pStyle w:val="a0"/>
                    <w:spacing w:after="60"/>
                    <w:ind w:left="0" w:rightChars="-27" w:right="-49"/>
                    <w:rPr>
                      <w:color w:val="auto"/>
                      <w:szCs w:val="15"/>
                    </w:rPr>
                  </w:pPr>
                </w:p>
                <w:p w:rsidR="00497028" w:rsidRDefault="00497028" w:rsidP="000E6AE0">
                  <w:pPr>
                    <w:pStyle w:val="a0"/>
                    <w:spacing w:after="60"/>
                    <w:ind w:left="0" w:rightChars="-27" w:right="-49"/>
                    <w:rPr>
                      <w:color w:val="auto"/>
                      <w:szCs w:val="15"/>
                    </w:rPr>
                  </w:pPr>
                </w:p>
                <w:p w:rsidR="00497028" w:rsidRPr="000336C0" w:rsidRDefault="00497028"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BE343C0A3357424294F39F680051F9AF"/>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EE1CC3" w:rsidP="004C64E0">
                <w:pPr>
                  <w:spacing w:after="120" w:line="240" w:lineRule="exact"/>
                  <w:rPr>
                    <w:b/>
                  </w:rPr>
                </w:pPr>
                <w:r>
                  <w:rPr>
                    <w:rFonts w:hint="eastAsia"/>
                    <w:b/>
                  </w:rPr>
                  <w:t>上海</w:t>
                </w:r>
              </w:p>
            </w:tc>
            <w:tc>
              <w:tcPr>
                <w:tcW w:w="3625" w:type="dxa"/>
              </w:tcPr>
              <w:p w:rsidR="004C64E0" w:rsidRPr="004C64E0" w:rsidRDefault="00EE1CC3" w:rsidP="004C64E0">
                <w:pPr>
                  <w:spacing w:after="120" w:line="240" w:lineRule="exact"/>
                  <w:rPr>
                    <w:b/>
                  </w:rPr>
                </w:pPr>
                <w:r>
                  <w:rPr>
                    <w:rFonts w:hint="eastAsia"/>
                    <w:b/>
                  </w:rPr>
                  <w:t>北京</w:t>
                </w:r>
              </w:p>
            </w:tc>
            <w:tc>
              <w:tcPr>
                <w:tcW w:w="3625" w:type="dxa"/>
              </w:tcPr>
              <w:p w:rsidR="004C64E0" w:rsidRPr="004C64E0" w:rsidRDefault="00EE1CC3" w:rsidP="004C64E0">
                <w:pPr>
                  <w:spacing w:after="120" w:line="240" w:lineRule="exact"/>
                  <w:rPr>
                    <w:b/>
                  </w:rPr>
                </w:pPr>
                <w:r>
                  <w:rPr>
                    <w:rFonts w:hint="eastAsia"/>
                    <w:b/>
                  </w:rPr>
                  <w:t>深圳</w:t>
                </w:r>
              </w:p>
            </w:tc>
          </w:tr>
          <w:tr w:rsidR="004C64E0">
            <w:tc>
              <w:tcPr>
                <w:tcW w:w="3625" w:type="dxa"/>
              </w:tcPr>
              <w:p w:rsidR="00EE1CC3" w:rsidRDefault="00EE1CC3" w:rsidP="000B01C0">
                <w:pPr>
                  <w:spacing w:after="120" w:line="240" w:lineRule="exact"/>
                </w:pPr>
                <w:r>
                  <w:rPr>
                    <w:rFonts w:hint="eastAsia"/>
                  </w:rPr>
                  <w:t>电话：</w:t>
                </w:r>
                <w:r>
                  <w:rPr>
                    <w:rFonts w:hint="eastAsia"/>
                  </w:rPr>
                  <w:t>021-61620767</w:t>
                </w:r>
              </w:p>
              <w:p w:rsidR="00EE1CC3" w:rsidRDefault="00EE1CC3" w:rsidP="000B01C0">
                <w:pPr>
                  <w:spacing w:after="120" w:line="240" w:lineRule="exact"/>
                </w:pPr>
                <w:r>
                  <w:rPr>
                    <w:rFonts w:hint="eastAsia"/>
                  </w:rPr>
                  <w:t>传真：</w:t>
                </w:r>
                <w:r>
                  <w:rPr>
                    <w:rFonts w:hint="eastAsia"/>
                  </w:rPr>
                  <w:t>021-61038200</w:t>
                </w:r>
              </w:p>
              <w:p w:rsidR="00EE1CC3" w:rsidRDefault="00EE1CC3" w:rsidP="000B01C0">
                <w:pPr>
                  <w:spacing w:after="120" w:line="240" w:lineRule="exact"/>
                </w:pPr>
                <w:r>
                  <w:rPr>
                    <w:rFonts w:hint="eastAsia"/>
                  </w:rPr>
                  <w:t>邮箱：</w:t>
                </w:r>
                <w:r>
                  <w:rPr>
                    <w:rFonts w:hint="eastAsia"/>
                  </w:rPr>
                  <w:t>researchsh@gjzq.com.cn</w:t>
                </w:r>
              </w:p>
              <w:p w:rsidR="00EE1CC3" w:rsidRDefault="00EE1CC3" w:rsidP="000B01C0">
                <w:pPr>
                  <w:spacing w:after="120" w:line="240" w:lineRule="exact"/>
                </w:pPr>
                <w:r>
                  <w:rPr>
                    <w:rFonts w:hint="eastAsia"/>
                  </w:rPr>
                  <w:t>邮编：</w:t>
                </w:r>
                <w:r>
                  <w:rPr>
                    <w:rFonts w:hint="eastAsia"/>
                  </w:rPr>
                  <w:t>201204</w:t>
                </w:r>
              </w:p>
              <w:p w:rsidR="00EE1CC3" w:rsidRDefault="00EE1CC3" w:rsidP="000B01C0">
                <w:pPr>
                  <w:spacing w:after="120" w:line="240" w:lineRule="exact"/>
                </w:pPr>
                <w:r>
                  <w:rPr>
                    <w:rFonts w:hint="eastAsia"/>
                  </w:rPr>
                  <w:t>地址：上海浦东新区芳甸路</w:t>
                </w:r>
                <w:r>
                  <w:rPr>
                    <w:rFonts w:hint="eastAsia"/>
                  </w:rPr>
                  <w:t>1088</w:t>
                </w:r>
                <w:r>
                  <w:rPr>
                    <w:rFonts w:hint="eastAsia"/>
                  </w:rPr>
                  <w:t>号</w:t>
                </w:r>
              </w:p>
              <w:p w:rsidR="004C64E0" w:rsidRDefault="00EE1CC3"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EE1CC3" w:rsidRDefault="00EE1CC3" w:rsidP="000B01C0">
                <w:pPr>
                  <w:spacing w:after="120" w:line="240" w:lineRule="exact"/>
                </w:pPr>
                <w:r>
                  <w:rPr>
                    <w:rFonts w:hint="eastAsia"/>
                  </w:rPr>
                  <w:t>电话：</w:t>
                </w:r>
                <w:r>
                  <w:rPr>
                    <w:rFonts w:hint="eastAsia"/>
                  </w:rPr>
                  <w:t>010-66216979</w:t>
                </w:r>
              </w:p>
              <w:p w:rsidR="00EE1CC3" w:rsidRDefault="00EE1CC3" w:rsidP="000B01C0">
                <w:pPr>
                  <w:spacing w:after="120" w:line="240" w:lineRule="exact"/>
                </w:pPr>
                <w:r>
                  <w:rPr>
                    <w:rFonts w:hint="eastAsia"/>
                  </w:rPr>
                  <w:t>传真：</w:t>
                </w:r>
                <w:r>
                  <w:rPr>
                    <w:rFonts w:hint="eastAsia"/>
                  </w:rPr>
                  <w:t>010-66216793</w:t>
                </w:r>
              </w:p>
              <w:p w:rsidR="00EE1CC3" w:rsidRDefault="00EE1CC3" w:rsidP="000B01C0">
                <w:pPr>
                  <w:spacing w:after="120" w:line="240" w:lineRule="exact"/>
                </w:pPr>
                <w:r>
                  <w:rPr>
                    <w:rFonts w:hint="eastAsia"/>
                  </w:rPr>
                  <w:t>邮箱：</w:t>
                </w:r>
                <w:r>
                  <w:rPr>
                    <w:rFonts w:hint="eastAsia"/>
                  </w:rPr>
                  <w:t>researchbj@gjzq.com.cn</w:t>
                </w:r>
              </w:p>
              <w:p w:rsidR="00EE1CC3" w:rsidRDefault="00EE1CC3" w:rsidP="000B01C0">
                <w:pPr>
                  <w:spacing w:after="120" w:line="240" w:lineRule="exact"/>
                </w:pPr>
                <w:r>
                  <w:rPr>
                    <w:rFonts w:hint="eastAsia"/>
                  </w:rPr>
                  <w:t>邮编：</w:t>
                </w:r>
                <w:r>
                  <w:rPr>
                    <w:rFonts w:hint="eastAsia"/>
                  </w:rPr>
                  <w:t>100053</w:t>
                </w:r>
              </w:p>
              <w:p w:rsidR="004C64E0" w:rsidRDefault="00EE1CC3"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EE1CC3" w:rsidRDefault="00EE1CC3" w:rsidP="000B01C0">
                <w:pPr>
                  <w:spacing w:after="120" w:line="240" w:lineRule="exact"/>
                </w:pPr>
                <w:r>
                  <w:rPr>
                    <w:rFonts w:hint="eastAsia"/>
                  </w:rPr>
                  <w:t>电话：</w:t>
                </w:r>
                <w:r>
                  <w:rPr>
                    <w:rFonts w:hint="eastAsia"/>
                  </w:rPr>
                  <w:t>0755-83831378</w:t>
                </w:r>
              </w:p>
              <w:p w:rsidR="00EE1CC3" w:rsidRDefault="00EE1CC3" w:rsidP="000B01C0">
                <w:pPr>
                  <w:spacing w:after="120" w:line="240" w:lineRule="exact"/>
                </w:pPr>
                <w:r>
                  <w:rPr>
                    <w:rFonts w:hint="eastAsia"/>
                  </w:rPr>
                  <w:t>传真：</w:t>
                </w:r>
                <w:r>
                  <w:rPr>
                    <w:rFonts w:hint="eastAsia"/>
                  </w:rPr>
                  <w:t>0755-83830558</w:t>
                </w:r>
              </w:p>
              <w:p w:rsidR="00EE1CC3" w:rsidRDefault="00EE1CC3" w:rsidP="000B01C0">
                <w:pPr>
                  <w:spacing w:after="120" w:line="240" w:lineRule="exact"/>
                </w:pPr>
                <w:r>
                  <w:rPr>
                    <w:rFonts w:hint="eastAsia"/>
                  </w:rPr>
                  <w:t>邮箱：</w:t>
                </w:r>
                <w:r>
                  <w:rPr>
                    <w:rFonts w:hint="eastAsia"/>
                  </w:rPr>
                  <w:t>researchsz@gjzq.com.cn</w:t>
                </w:r>
              </w:p>
              <w:p w:rsidR="00EE1CC3" w:rsidRDefault="00EE1CC3" w:rsidP="000B01C0">
                <w:pPr>
                  <w:spacing w:after="120" w:line="240" w:lineRule="exact"/>
                </w:pPr>
                <w:r>
                  <w:rPr>
                    <w:rFonts w:hint="eastAsia"/>
                  </w:rPr>
                  <w:t>邮编：</w:t>
                </w:r>
                <w:r>
                  <w:rPr>
                    <w:rFonts w:hint="eastAsia"/>
                  </w:rPr>
                  <w:t>518000</w:t>
                </w:r>
              </w:p>
              <w:p w:rsidR="00EE1CC3" w:rsidRDefault="00EE1CC3"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EE1CC3"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D775F9" w:rsidP="00EE1CC3">
          <w:pPr>
            <w:spacing w:line="14" w:lineRule="exact"/>
          </w:pPr>
        </w:p>
      </w:sdtContent>
    </w:sdt>
    <w:p w:rsidR="005E311D" w:rsidRPr="00ED77B9" w:rsidRDefault="005E311D" w:rsidP="00ED77B9"/>
    <w:sectPr w:rsidR="005E311D" w:rsidRPr="00ED77B9" w:rsidSect="00A87799">
      <w:headerReference w:type="default" r:id="rId12"/>
      <w:footerReference w:type="even" r:id="rId13"/>
      <w:footerReference w:type="default" r:id="rId14"/>
      <w:headerReference w:type="first" r:id="rId15"/>
      <w:footerReference w:type="first" r:id="rId16"/>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5F9" w:rsidRDefault="00D775F9">
      <w:r>
        <w:separator/>
      </w:r>
    </w:p>
  </w:endnote>
  <w:endnote w:type="continuationSeparator" w:id="0">
    <w:p w:rsidR="00D775F9" w:rsidRDefault="00D7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0A76EF">
    <w:pPr>
      <w:pStyle w:val="a4"/>
      <w:framePr w:wrap="around" w:vAnchor="text" w:hAnchor="margin" w:xAlign="right" w:y="1"/>
      <w:rPr>
        <w:rStyle w:val="a5"/>
      </w:rPr>
    </w:pPr>
    <w:r>
      <w:rPr>
        <w:rStyle w:val="a5"/>
      </w:rPr>
      <w:fldChar w:fldCharType="begin"/>
    </w:r>
    <w:r w:rsidR="00276AED">
      <w:rPr>
        <w:rStyle w:val="a5"/>
      </w:rPr>
      <w:instrText xml:space="preserve">PAGE  </w:instrText>
    </w:r>
    <w:r>
      <w:rPr>
        <w:rStyle w:val="a5"/>
      </w:rPr>
      <w:fldChar w:fldCharType="end"/>
    </w:r>
  </w:p>
  <w:p w:rsidR="00276AED" w:rsidRDefault="00276AE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Pr="00A30364" w:rsidRDefault="00D775F9" w:rsidP="007F6DAF">
    <w:pPr>
      <w:pStyle w:val="a6"/>
      <w:pBdr>
        <w:bottom w:val="none" w:sz="0" w:space="0" w:color="auto"/>
      </w:pBdr>
      <w:rPr>
        <w:rFonts w:ascii="LucidaSans" w:hAnsi="LucidaSans"/>
        <w:b/>
      </w:rPr>
    </w:pPr>
    <w:r>
      <w:rPr>
        <w:noProof/>
      </w:rPr>
      <w:pict>
        <v:line id="Line 34" o:spid="_x0000_s2051" style="position:absolute;left:0;text-align:left;z-index:251659264;visibility:visible;mso-wrap-distance-top:-3e-5mm;mso-wrap-distance-bottom:-3e-5mm"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00276AED" w:rsidRPr="00A30364">
      <w:rPr>
        <w:rFonts w:ascii="LucidaSans" w:hAnsi="LucidaSans"/>
        <w:b/>
        <w:szCs w:val="21"/>
      </w:rPr>
      <w:t xml:space="preserve">- </w:t>
    </w:r>
    <w:r w:rsidR="000A76EF" w:rsidRPr="003C4E1B">
      <w:rPr>
        <w:b/>
        <w:szCs w:val="21"/>
      </w:rPr>
      <w:fldChar w:fldCharType="begin"/>
    </w:r>
    <w:r w:rsidR="00276AED" w:rsidRPr="003C4E1B">
      <w:rPr>
        <w:b/>
        <w:szCs w:val="21"/>
      </w:rPr>
      <w:instrText xml:space="preserve"> PAGE </w:instrText>
    </w:r>
    <w:r w:rsidR="000A76EF" w:rsidRPr="003C4E1B">
      <w:rPr>
        <w:b/>
        <w:szCs w:val="21"/>
      </w:rPr>
      <w:fldChar w:fldCharType="separate"/>
    </w:r>
    <w:r w:rsidR="00A728BF">
      <w:rPr>
        <w:b/>
        <w:noProof/>
        <w:szCs w:val="21"/>
      </w:rPr>
      <w:t>2</w:t>
    </w:r>
    <w:r w:rsidR="000A76EF" w:rsidRPr="003C4E1B">
      <w:rPr>
        <w:b/>
        <w:szCs w:val="21"/>
      </w:rPr>
      <w:fldChar w:fldCharType="end"/>
    </w:r>
    <w:r w:rsidR="00276AED" w:rsidRPr="00A30364">
      <w:rPr>
        <w:rFonts w:ascii="LucidaSans" w:hAnsi="LucidaSans"/>
        <w:b/>
        <w:szCs w:val="21"/>
      </w:rPr>
      <w:t xml:space="preserve"> -</w:t>
    </w:r>
  </w:p>
  <w:p w:rsidR="00276AED" w:rsidRDefault="00276AED"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Pr="00A30364" w:rsidRDefault="00D775F9" w:rsidP="00A30364">
    <w:pPr>
      <w:pStyle w:val="a4"/>
      <w:tabs>
        <w:tab w:val="center" w:pos="5103"/>
      </w:tabs>
      <w:jc w:val="center"/>
      <w:rPr>
        <w:rFonts w:cs="Arial"/>
        <w:b/>
      </w:rPr>
    </w:pPr>
    <w:r>
      <w:rPr>
        <w:noProof/>
      </w:rPr>
      <w:pict>
        <v:line id="Line 35" o:spid="_x0000_s2050" style="position:absolute;left:0;text-align:left;z-index:251660288;visibility:visible;mso-wrap-distance-top:-3e-5mm;mso-wrap-distance-bottom:-3e-5mm"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49" style="position:absolute;left:0;text-align:left;margin-left:-31.8pt;margin-top:24.65pt;width:596.1pt;height:1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276AED" w:rsidRPr="0003281B" w:rsidRDefault="00276AED" w:rsidP="0003281B"/>
            </w:txbxContent>
          </v:textbox>
        </v:rect>
      </w:pict>
    </w:r>
    <w:r w:rsidR="00276AED" w:rsidRPr="00A30364">
      <w:rPr>
        <w:rFonts w:cs="Arial"/>
        <w:b/>
        <w:szCs w:val="21"/>
      </w:rPr>
      <w:t xml:space="preserve">- </w:t>
    </w:r>
    <w:r w:rsidR="000A76EF" w:rsidRPr="00A30364">
      <w:rPr>
        <w:rFonts w:cs="Arial"/>
        <w:b/>
        <w:szCs w:val="21"/>
      </w:rPr>
      <w:fldChar w:fldCharType="begin"/>
    </w:r>
    <w:r w:rsidR="00276AED" w:rsidRPr="00A30364">
      <w:rPr>
        <w:rFonts w:cs="Arial"/>
        <w:b/>
        <w:szCs w:val="21"/>
      </w:rPr>
      <w:instrText xml:space="preserve"> PAGE </w:instrText>
    </w:r>
    <w:r w:rsidR="000A76EF" w:rsidRPr="00A30364">
      <w:rPr>
        <w:rFonts w:cs="Arial"/>
        <w:b/>
        <w:szCs w:val="21"/>
      </w:rPr>
      <w:fldChar w:fldCharType="separate"/>
    </w:r>
    <w:r w:rsidR="00A728BF">
      <w:rPr>
        <w:rFonts w:cs="Arial"/>
        <w:b/>
        <w:noProof/>
        <w:szCs w:val="21"/>
      </w:rPr>
      <w:t>1</w:t>
    </w:r>
    <w:r w:rsidR="000A76EF" w:rsidRPr="00A30364">
      <w:rPr>
        <w:rFonts w:cs="Arial"/>
        <w:b/>
        <w:szCs w:val="21"/>
      </w:rPr>
      <w:fldChar w:fldCharType="end"/>
    </w:r>
    <w:r w:rsidR="00276AED" w:rsidRPr="00A30364">
      <w:rPr>
        <w:rFonts w:cs="Arial"/>
        <w:b/>
        <w:szCs w:val="21"/>
      </w:rPr>
      <w:t xml:space="preserve"> -</w:t>
    </w:r>
  </w:p>
  <w:p w:rsidR="00276AED" w:rsidRDefault="00276AED">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5F9" w:rsidRDefault="00D775F9">
      <w:r>
        <w:separator/>
      </w:r>
    </w:p>
  </w:footnote>
  <w:footnote w:type="continuationSeparator" w:id="0">
    <w:p w:rsidR="00D775F9" w:rsidRDefault="00D77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D775F9" w:rsidP="00F72878">
    <w:pPr>
      <w:jc w:val="right"/>
    </w:pPr>
    <w:sdt>
      <w:sdtPr>
        <w:alias w:val="报告类型"/>
        <w:tag w:val="BDCONTENTCONTROL_451e08ee-3959-4251-8d5f-f302d5f0f153"/>
        <w:id w:val="631523797"/>
        <w:placeholder>
          <w:docPart w:val="B58761DBA5764830B31CC58643F5FB0B"/>
        </w:placeholder>
        <w:text/>
      </w:sdtPr>
      <w:sdtEndPr/>
      <w:sdtContent>
        <w:r w:rsidR="00EE1CC3">
          <w:rPr>
            <w:rFonts w:hint="eastAsia"/>
          </w:rPr>
          <w:t>基金投资策略报告</w:t>
        </w:r>
      </w:sdtContent>
    </w:sdt>
    <w:r>
      <w:rPr>
        <w:noProof/>
      </w:rPr>
      <w:pict>
        <v:shapetype id="_x0000_t202" coordsize="21600,21600" o:spt="202" path="m,l,21600r21600,l21600,xe">
          <v:stroke joinstyle="miter"/>
          <v:path gradientshapeok="t" o:connecttype="rect"/>
        </v:shapetype>
        <v:shape id="Text Box 18" o:spid="_x0000_s2053" type="#_x0000_t202" style="position:absolute;left:0;text-align:left;margin-left:-16.2pt;margin-top:31.05pt;width:101.45pt;height:29.7pt;z-index:251655168;visibility:visible;mso-wrap-style:non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" filled="f" stroked="f">
          <v:textbox style="mso-fit-shape-to-text:t">
            <w:txbxContent>
              <w:p w:rsidR="00276AED" w:rsidRPr="00E17DD1" w:rsidRDefault="00276AED" w:rsidP="005721EB">
                <w:r>
                  <w:rPr>
                    <w:noProof/>
                  </w:rPr>
                  <w:drawing>
                    <wp:inline distT="0" distB="0" distL="0" distR="0">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2" style="position:absolute;left:0;text-align:left;z-index:251656192;visibility:visible;mso-wrap-distance-top:-3e-5mm;mso-wrap-distance-bottom:-3e-5mm;mso-position-horizontal:center;mso-position-horizontal-relative:text;mso-position-vertical-relative:text"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276AED"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6004F02"/>
    <w:multiLevelType w:val="multilevel"/>
    <w:tmpl w:val="3CDE5F16"/>
    <w:numStyleLink w:val="GJStylesContentMark"/>
  </w:abstractNum>
  <w:abstractNum w:abstractNumId="16">
    <w:nsid w:val="41A645CE"/>
    <w:multiLevelType w:val="multilevel"/>
    <w:tmpl w:val="3CDE5F16"/>
    <w:numStyleLink w:val="GJStylesContentMark"/>
  </w:abstractNum>
  <w:abstractNum w:abstractNumId="17">
    <w:nsid w:val="44D96BA6"/>
    <w:multiLevelType w:val="multilevel"/>
    <w:tmpl w:val="1556E7D6"/>
    <w:numStyleLink w:val="GJStylesSummaryContentMark"/>
  </w:abstractNum>
  <w:abstractNum w:abstractNumId="18">
    <w:nsid w:val="44E1352C"/>
    <w:multiLevelType w:val="multilevel"/>
    <w:tmpl w:val="3CDE5F16"/>
    <w:numStyleLink w:val="GJStylesContentMark"/>
  </w:abstractNum>
  <w:abstractNum w:abstractNumId="19">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1">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3">
    <w:nsid w:val="515021FA"/>
    <w:multiLevelType w:val="multilevel"/>
    <w:tmpl w:val="1556E7D6"/>
    <w:numStyleLink w:val="GJStylesSummaryContentMark"/>
  </w:abstractNum>
  <w:abstractNum w:abstractNumId="24">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6">
    <w:nsid w:val="65DD2D9F"/>
    <w:multiLevelType w:val="multilevel"/>
    <w:tmpl w:val="3CDE5F16"/>
    <w:numStyleLink w:val="GJStylesContentMark"/>
  </w:abstractNum>
  <w:abstractNum w:abstractNumId="27">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8">
    <w:nsid w:val="686369BF"/>
    <w:multiLevelType w:val="multilevel"/>
    <w:tmpl w:val="1556E7D6"/>
    <w:numStyleLink w:val="GJStylesSummaryContentMark"/>
  </w:abstractNum>
  <w:abstractNum w:abstractNumId="29">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nsid w:val="72754749"/>
    <w:multiLevelType w:val="multilevel"/>
    <w:tmpl w:val="1556E7D6"/>
    <w:numStyleLink w:val="GJStylesSummaryContentMark"/>
  </w:abstractNum>
  <w:abstractNum w:abstractNumId="31">
    <w:nsid w:val="73777A50"/>
    <w:multiLevelType w:val="multilevel"/>
    <w:tmpl w:val="3CDE5F16"/>
    <w:numStyleLink w:val="GJStylesContentMark"/>
  </w:abstractNum>
  <w:abstractNum w:abstractNumId="32">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284D5A"/>
    <w:multiLevelType w:val="multilevel"/>
    <w:tmpl w:val="3CDE5F16"/>
    <w:numStyleLink w:val="GJStylesContentMark"/>
  </w:abstractNum>
  <w:abstractNum w:abstractNumId="34">
    <w:nsid w:val="7C8139AA"/>
    <w:multiLevelType w:val="multilevel"/>
    <w:tmpl w:val="3CDE5F16"/>
    <w:numStyleLink w:val="GJStylesContentMark"/>
  </w:abstractNum>
  <w:num w:numId="1">
    <w:abstractNumId w:val="27"/>
  </w:num>
  <w:num w:numId="2">
    <w:abstractNumId w:val="3"/>
  </w:num>
  <w:num w:numId="3">
    <w:abstractNumId w:val="20"/>
  </w:num>
  <w:num w:numId="4">
    <w:abstractNumId w:val="22"/>
  </w:num>
  <w:num w:numId="5">
    <w:abstractNumId w:val="10"/>
  </w:num>
  <w:num w:numId="6">
    <w:abstractNumId w:val="13"/>
  </w:num>
  <w:num w:numId="7">
    <w:abstractNumId w:val="21"/>
  </w:num>
  <w:num w:numId="8">
    <w:abstractNumId w:val="28"/>
  </w:num>
  <w:num w:numId="9">
    <w:abstractNumId w:val="15"/>
  </w:num>
  <w:num w:numId="10">
    <w:abstractNumId w:val="19"/>
  </w:num>
  <w:num w:numId="11">
    <w:abstractNumId w:val="29"/>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3"/>
  </w:num>
  <w:num w:numId="18">
    <w:abstractNumId w:val="17"/>
  </w:num>
  <w:num w:numId="19">
    <w:abstractNumId w:val="30"/>
  </w:num>
  <w:num w:numId="20">
    <w:abstractNumId w:val="11"/>
  </w:num>
  <w:num w:numId="21">
    <w:abstractNumId w:val="16"/>
  </w:num>
  <w:num w:numId="22">
    <w:abstractNumId w:val="0"/>
  </w:num>
  <w:num w:numId="23">
    <w:abstractNumId w:val="18"/>
  </w:num>
  <w:num w:numId="24">
    <w:abstractNumId w:val="9"/>
  </w:num>
  <w:num w:numId="25">
    <w:abstractNumId w:val="1"/>
  </w:num>
  <w:num w:numId="26">
    <w:abstractNumId w:val="7"/>
  </w:num>
  <w:num w:numId="27">
    <w:abstractNumId w:val="26"/>
  </w:num>
  <w:num w:numId="28">
    <w:abstractNumId w:val="4"/>
  </w:num>
  <w:num w:numId="29">
    <w:abstractNumId w:val="31"/>
  </w:num>
  <w:num w:numId="30">
    <w:abstractNumId w:val="33"/>
  </w:num>
  <w:num w:numId="31">
    <w:abstractNumId w:val="34"/>
  </w:num>
  <w:num w:numId="32">
    <w:abstractNumId w:val="32"/>
  </w:num>
  <w:num w:numId="33">
    <w:abstractNumId w:val="6"/>
  </w:num>
  <w:num w:numId="34">
    <w:abstractNumId w:val="14"/>
  </w:num>
  <w:num w:numId="35">
    <w:abstractNumId w:val="12"/>
  </w:num>
  <w:num w:numId="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E1CC3"/>
    <w:rsid w:val="000004CC"/>
    <w:rsid w:val="00002BE4"/>
    <w:rsid w:val="00003774"/>
    <w:rsid w:val="00004320"/>
    <w:rsid w:val="0000572E"/>
    <w:rsid w:val="000106FC"/>
    <w:rsid w:val="00013EB2"/>
    <w:rsid w:val="0001492B"/>
    <w:rsid w:val="00014B77"/>
    <w:rsid w:val="00014F51"/>
    <w:rsid w:val="0002045A"/>
    <w:rsid w:val="000219EC"/>
    <w:rsid w:val="00021A32"/>
    <w:rsid w:val="000221E8"/>
    <w:rsid w:val="0002347C"/>
    <w:rsid w:val="00023D3A"/>
    <w:rsid w:val="00025049"/>
    <w:rsid w:val="00026458"/>
    <w:rsid w:val="00030007"/>
    <w:rsid w:val="00031106"/>
    <w:rsid w:val="000319DC"/>
    <w:rsid w:val="00032255"/>
    <w:rsid w:val="0003281B"/>
    <w:rsid w:val="00032EE6"/>
    <w:rsid w:val="00033099"/>
    <w:rsid w:val="000336C0"/>
    <w:rsid w:val="000343B3"/>
    <w:rsid w:val="00034B6F"/>
    <w:rsid w:val="000368BD"/>
    <w:rsid w:val="000374D7"/>
    <w:rsid w:val="000424AC"/>
    <w:rsid w:val="00043630"/>
    <w:rsid w:val="00044C1E"/>
    <w:rsid w:val="00045BB2"/>
    <w:rsid w:val="000464EF"/>
    <w:rsid w:val="00051253"/>
    <w:rsid w:val="0005161F"/>
    <w:rsid w:val="00051AFD"/>
    <w:rsid w:val="000528A0"/>
    <w:rsid w:val="000528AB"/>
    <w:rsid w:val="00054005"/>
    <w:rsid w:val="000576EE"/>
    <w:rsid w:val="0006128E"/>
    <w:rsid w:val="000622E5"/>
    <w:rsid w:val="0006435D"/>
    <w:rsid w:val="00070B6F"/>
    <w:rsid w:val="00070EA5"/>
    <w:rsid w:val="00070F25"/>
    <w:rsid w:val="00071EB8"/>
    <w:rsid w:val="000748FA"/>
    <w:rsid w:val="00074B53"/>
    <w:rsid w:val="0007511E"/>
    <w:rsid w:val="00080902"/>
    <w:rsid w:val="00080AF3"/>
    <w:rsid w:val="000810F3"/>
    <w:rsid w:val="00082E94"/>
    <w:rsid w:val="0008444C"/>
    <w:rsid w:val="00090567"/>
    <w:rsid w:val="00090CDA"/>
    <w:rsid w:val="00091670"/>
    <w:rsid w:val="00091CB7"/>
    <w:rsid w:val="000939AA"/>
    <w:rsid w:val="000943F5"/>
    <w:rsid w:val="00094710"/>
    <w:rsid w:val="00096DCC"/>
    <w:rsid w:val="00096FFB"/>
    <w:rsid w:val="000A2612"/>
    <w:rsid w:val="000A44D7"/>
    <w:rsid w:val="000A6D82"/>
    <w:rsid w:val="000A76EF"/>
    <w:rsid w:val="000A7AA6"/>
    <w:rsid w:val="000A7D02"/>
    <w:rsid w:val="000B001B"/>
    <w:rsid w:val="000B01C0"/>
    <w:rsid w:val="000B07ED"/>
    <w:rsid w:val="000B0E6B"/>
    <w:rsid w:val="000B265D"/>
    <w:rsid w:val="000B50B1"/>
    <w:rsid w:val="000B539C"/>
    <w:rsid w:val="000B5C96"/>
    <w:rsid w:val="000B78AA"/>
    <w:rsid w:val="000C065B"/>
    <w:rsid w:val="000C0A3A"/>
    <w:rsid w:val="000C2404"/>
    <w:rsid w:val="000C2EDE"/>
    <w:rsid w:val="000C484B"/>
    <w:rsid w:val="000C7D66"/>
    <w:rsid w:val="000C7EB1"/>
    <w:rsid w:val="000D1948"/>
    <w:rsid w:val="000D3153"/>
    <w:rsid w:val="000D5698"/>
    <w:rsid w:val="000D688F"/>
    <w:rsid w:val="000E12FC"/>
    <w:rsid w:val="000E2FF4"/>
    <w:rsid w:val="000E40C9"/>
    <w:rsid w:val="000E6203"/>
    <w:rsid w:val="000E6AE0"/>
    <w:rsid w:val="000F2643"/>
    <w:rsid w:val="000F4AB0"/>
    <w:rsid w:val="000F5142"/>
    <w:rsid w:val="000F61F9"/>
    <w:rsid w:val="000F72BA"/>
    <w:rsid w:val="000F738D"/>
    <w:rsid w:val="001025A9"/>
    <w:rsid w:val="00102FCE"/>
    <w:rsid w:val="001064A9"/>
    <w:rsid w:val="0010686C"/>
    <w:rsid w:val="00106ADD"/>
    <w:rsid w:val="00106FF6"/>
    <w:rsid w:val="001119C0"/>
    <w:rsid w:val="00113F7E"/>
    <w:rsid w:val="0011478F"/>
    <w:rsid w:val="001151C1"/>
    <w:rsid w:val="00122401"/>
    <w:rsid w:val="00122D86"/>
    <w:rsid w:val="00123AF2"/>
    <w:rsid w:val="00127D52"/>
    <w:rsid w:val="00130A54"/>
    <w:rsid w:val="00131E05"/>
    <w:rsid w:val="00132E65"/>
    <w:rsid w:val="00132E70"/>
    <w:rsid w:val="00133402"/>
    <w:rsid w:val="0013548E"/>
    <w:rsid w:val="0013641C"/>
    <w:rsid w:val="001377EB"/>
    <w:rsid w:val="00141C49"/>
    <w:rsid w:val="00141C88"/>
    <w:rsid w:val="0014285A"/>
    <w:rsid w:val="0014388E"/>
    <w:rsid w:val="00146968"/>
    <w:rsid w:val="00147350"/>
    <w:rsid w:val="00150313"/>
    <w:rsid w:val="001503CD"/>
    <w:rsid w:val="00150417"/>
    <w:rsid w:val="0015120D"/>
    <w:rsid w:val="0015265C"/>
    <w:rsid w:val="0015543F"/>
    <w:rsid w:val="0015629E"/>
    <w:rsid w:val="001602B1"/>
    <w:rsid w:val="0016153B"/>
    <w:rsid w:val="0016156D"/>
    <w:rsid w:val="00161CE1"/>
    <w:rsid w:val="00164EE1"/>
    <w:rsid w:val="00165EA0"/>
    <w:rsid w:val="00167E1A"/>
    <w:rsid w:val="00170C24"/>
    <w:rsid w:val="001748BC"/>
    <w:rsid w:val="00176A15"/>
    <w:rsid w:val="00180167"/>
    <w:rsid w:val="00180272"/>
    <w:rsid w:val="00180733"/>
    <w:rsid w:val="001809E2"/>
    <w:rsid w:val="00181A5B"/>
    <w:rsid w:val="001820D1"/>
    <w:rsid w:val="001829B0"/>
    <w:rsid w:val="001837D4"/>
    <w:rsid w:val="00183D27"/>
    <w:rsid w:val="001865C6"/>
    <w:rsid w:val="001865FF"/>
    <w:rsid w:val="00186750"/>
    <w:rsid w:val="00194D9A"/>
    <w:rsid w:val="00194F5F"/>
    <w:rsid w:val="001953A5"/>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4033"/>
    <w:rsid w:val="001B4237"/>
    <w:rsid w:val="001B47B2"/>
    <w:rsid w:val="001B5CE8"/>
    <w:rsid w:val="001B6452"/>
    <w:rsid w:val="001C118C"/>
    <w:rsid w:val="001C1C32"/>
    <w:rsid w:val="001C40DD"/>
    <w:rsid w:val="001C4CE3"/>
    <w:rsid w:val="001C52BA"/>
    <w:rsid w:val="001C5AA3"/>
    <w:rsid w:val="001C5C2B"/>
    <w:rsid w:val="001C7914"/>
    <w:rsid w:val="001D0A95"/>
    <w:rsid w:val="001D0F58"/>
    <w:rsid w:val="001D24A0"/>
    <w:rsid w:val="001D3958"/>
    <w:rsid w:val="001D3DC3"/>
    <w:rsid w:val="001D4A05"/>
    <w:rsid w:val="001D7559"/>
    <w:rsid w:val="001E1FDB"/>
    <w:rsid w:val="001E24A0"/>
    <w:rsid w:val="001E5CB0"/>
    <w:rsid w:val="001E6529"/>
    <w:rsid w:val="001E72F3"/>
    <w:rsid w:val="001E7B3E"/>
    <w:rsid w:val="001F0514"/>
    <w:rsid w:val="001F1AE5"/>
    <w:rsid w:val="001F1EDA"/>
    <w:rsid w:val="001F2D26"/>
    <w:rsid w:val="001F4836"/>
    <w:rsid w:val="001F5094"/>
    <w:rsid w:val="001F79C4"/>
    <w:rsid w:val="00200D33"/>
    <w:rsid w:val="0020190A"/>
    <w:rsid w:val="00203AB8"/>
    <w:rsid w:val="0020511C"/>
    <w:rsid w:val="00205425"/>
    <w:rsid w:val="00205844"/>
    <w:rsid w:val="00206A8D"/>
    <w:rsid w:val="002071A0"/>
    <w:rsid w:val="002078CF"/>
    <w:rsid w:val="00212F4D"/>
    <w:rsid w:val="00213251"/>
    <w:rsid w:val="00213D4E"/>
    <w:rsid w:val="002170D3"/>
    <w:rsid w:val="00220363"/>
    <w:rsid w:val="00220D09"/>
    <w:rsid w:val="0022215E"/>
    <w:rsid w:val="00224810"/>
    <w:rsid w:val="0022768D"/>
    <w:rsid w:val="00230996"/>
    <w:rsid w:val="0023347E"/>
    <w:rsid w:val="00233B04"/>
    <w:rsid w:val="002347F7"/>
    <w:rsid w:val="00234C04"/>
    <w:rsid w:val="0024043A"/>
    <w:rsid w:val="002412D0"/>
    <w:rsid w:val="002416F4"/>
    <w:rsid w:val="00243205"/>
    <w:rsid w:val="0024447F"/>
    <w:rsid w:val="0024569B"/>
    <w:rsid w:val="002463F9"/>
    <w:rsid w:val="0025246E"/>
    <w:rsid w:val="00255EE8"/>
    <w:rsid w:val="00257C5B"/>
    <w:rsid w:val="00261B2D"/>
    <w:rsid w:val="00261E81"/>
    <w:rsid w:val="00262373"/>
    <w:rsid w:val="00263585"/>
    <w:rsid w:val="00264D37"/>
    <w:rsid w:val="002711AC"/>
    <w:rsid w:val="00273AF6"/>
    <w:rsid w:val="00275A0E"/>
    <w:rsid w:val="0027674A"/>
    <w:rsid w:val="00276AED"/>
    <w:rsid w:val="002807D9"/>
    <w:rsid w:val="002838A3"/>
    <w:rsid w:val="00284A26"/>
    <w:rsid w:val="0029022C"/>
    <w:rsid w:val="00292EB6"/>
    <w:rsid w:val="002978EA"/>
    <w:rsid w:val="002A1CCE"/>
    <w:rsid w:val="002A1D2C"/>
    <w:rsid w:val="002A24F5"/>
    <w:rsid w:val="002A5003"/>
    <w:rsid w:val="002A673A"/>
    <w:rsid w:val="002A6F88"/>
    <w:rsid w:val="002A771D"/>
    <w:rsid w:val="002B45D1"/>
    <w:rsid w:val="002B487A"/>
    <w:rsid w:val="002B4981"/>
    <w:rsid w:val="002C0205"/>
    <w:rsid w:val="002C0377"/>
    <w:rsid w:val="002C07DE"/>
    <w:rsid w:val="002C0968"/>
    <w:rsid w:val="002C456B"/>
    <w:rsid w:val="002C4E0E"/>
    <w:rsid w:val="002C4E8C"/>
    <w:rsid w:val="002C5AE2"/>
    <w:rsid w:val="002C6A7A"/>
    <w:rsid w:val="002D08AF"/>
    <w:rsid w:val="002D14E8"/>
    <w:rsid w:val="002D2654"/>
    <w:rsid w:val="002D3454"/>
    <w:rsid w:val="002D3741"/>
    <w:rsid w:val="002D4069"/>
    <w:rsid w:val="002E0D03"/>
    <w:rsid w:val="002E1B35"/>
    <w:rsid w:val="002E3E22"/>
    <w:rsid w:val="002E4642"/>
    <w:rsid w:val="002E5D74"/>
    <w:rsid w:val="002E61EA"/>
    <w:rsid w:val="002E6511"/>
    <w:rsid w:val="002E75AF"/>
    <w:rsid w:val="002E7EC3"/>
    <w:rsid w:val="002F25DE"/>
    <w:rsid w:val="002F355F"/>
    <w:rsid w:val="002F593A"/>
    <w:rsid w:val="002F5AE7"/>
    <w:rsid w:val="002F5BF7"/>
    <w:rsid w:val="002F6E11"/>
    <w:rsid w:val="00302B7E"/>
    <w:rsid w:val="003071B6"/>
    <w:rsid w:val="00307994"/>
    <w:rsid w:val="003127AF"/>
    <w:rsid w:val="00313166"/>
    <w:rsid w:val="003136D8"/>
    <w:rsid w:val="0031538A"/>
    <w:rsid w:val="00317099"/>
    <w:rsid w:val="003170B2"/>
    <w:rsid w:val="00317266"/>
    <w:rsid w:val="00320A7A"/>
    <w:rsid w:val="003224F1"/>
    <w:rsid w:val="00323DF0"/>
    <w:rsid w:val="003257B9"/>
    <w:rsid w:val="003277D6"/>
    <w:rsid w:val="003326E4"/>
    <w:rsid w:val="00340097"/>
    <w:rsid w:val="00340945"/>
    <w:rsid w:val="00341662"/>
    <w:rsid w:val="00341675"/>
    <w:rsid w:val="00342B1B"/>
    <w:rsid w:val="00344C85"/>
    <w:rsid w:val="003453BD"/>
    <w:rsid w:val="00346273"/>
    <w:rsid w:val="00347FF1"/>
    <w:rsid w:val="00351D32"/>
    <w:rsid w:val="0035208F"/>
    <w:rsid w:val="003551E8"/>
    <w:rsid w:val="00355A8C"/>
    <w:rsid w:val="003565F8"/>
    <w:rsid w:val="0035779A"/>
    <w:rsid w:val="0036471C"/>
    <w:rsid w:val="00366D76"/>
    <w:rsid w:val="00370570"/>
    <w:rsid w:val="003708AB"/>
    <w:rsid w:val="00373BE5"/>
    <w:rsid w:val="00374401"/>
    <w:rsid w:val="00375560"/>
    <w:rsid w:val="003770F6"/>
    <w:rsid w:val="00377B46"/>
    <w:rsid w:val="00377B96"/>
    <w:rsid w:val="00380602"/>
    <w:rsid w:val="00380A4C"/>
    <w:rsid w:val="0038171D"/>
    <w:rsid w:val="003823A5"/>
    <w:rsid w:val="003825A9"/>
    <w:rsid w:val="00383ECB"/>
    <w:rsid w:val="00385FE5"/>
    <w:rsid w:val="00390CEC"/>
    <w:rsid w:val="00391640"/>
    <w:rsid w:val="00392C2D"/>
    <w:rsid w:val="00392D30"/>
    <w:rsid w:val="003940E0"/>
    <w:rsid w:val="003A2F11"/>
    <w:rsid w:val="003A439D"/>
    <w:rsid w:val="003A54F6"/>
    <w:rsid w:val="003A604C"/>
    <w:rsid w:val="003A7A25"/>
    <w:rsid w:val="003B0DF7"/>
    <w:rsid w:val="003B1653"/>
    <w:rsid w:val="003B181C"/>
    <w:rsid w:val="003B4003"/>
    <w:rsid w:val="003B4093"/>
    <w:rsid w:val="003B66EA"/>
    <w:rsid w:val="003C07FD"/>
    <w:rsid w:val="003C100F"/>
    <w:rsid w:val="003C3975"/>
    <w:rsid w:val="003C3B56"/>
    <w:rsid w:val="003C4E1B"/>
    <w:rsid w:val="003C56FF"/>
    <w:rsid w:val="003C5B13"/>
    <w:rsid w:val="003D04AA"/>
    <w:rsid w:val="003D2CEC"/>
    <w:rsid w:val="003D34BE"/>
    <w:rsid w:val="003D637B"/>
    <w:rsid w:val="003D6C0B"/>
    <w:rsid w:val="003D7790"/>
    <w:rsid w:val="003E0662"/>
    <w:rsid w:val="003E19C5"/>
    <w:rsid w:val="003E588D"/>
    <w:rsid w:val="003E7A24"/>
    <w:rsid w:val="003F1DFD"/>
    <w:rsid w:val="003F4374"/>
    <w:rsid w:val="003F44DF"/>
    <w:rsid w:val="003F5FAF"/>
    <w:rsid w:val="003F5FC8"/>
    <w:rsid w:val="003F69AD"/>
    <w:rsid w:val="003F70C5"/>
    <w:rsid w:val="00400104"/>
    <w:rsid w:val="004008F6"/>
    <w:rsid w:val="00404001"/>
    <w:rsid w:val="00405E6E"/>
    <w:rsid w:val="00406323"/>
    <w:rsid w:val="00411188"/>
    <w:rsid w:val="00411272"/>
    <w:rsid w:val="0041633D"/>
    <w:rsid w:val="004173B9"/>
    <w:rsid w:val="0041785A"/>
    <w:rsid w:val="004201B5"/>
    <w:rsid w:val="004220C6"/>
    <w:rsid w:val="00422B94"/>
    <w:rsid w:val="0042700B"/>
    <w:rsid w:val="004305C0"/>
    <w:rsid w:val="00431896"/>
    <w:rsid w:val="00432354"/>
    <w:rsid w:val="0043239D"/>
    <w:rsid w:val="00436046"/>
    <w:rsid w:val="004406DF"/>
    <w:rsid w:val="00440764"/>
    <w:rsid w:val="00441C53"/>
    <w:rsid w:val="004426FD"/>
    <w:rsid w:val="00442D78"/>
    <w:rsid w:val="00446939"/>
    <w:rsid w:val="00451748"/>
    <w:rsid w:val="00460D1B"/>
    <w:rsid w:val="00461F8F"/>
    <w:rsid w:val="00462605"/>
    <w:rsid w:val="0046331E"/>
    <w:rsid w:val="004652B5"/>
    <w:rsid w:val="00465D01"/>
    <w:rsid w:val="00466EE2"/>
    <w:rsid w:val="00467264"/>
    <w:rsid w:val="00470E0A"/>
    <w:rsid w:val="004720B7"/>
    <w:rsid w:val="004733CD"/>
    <w:rsid w:val="0047552D"/>
    <w:rsid w:val="00475F78"/>
    <w:rsid w:val="004763E7"/>
    <w:rsid w:val="00476412"/>
    <w:rsid w:val="00480AD3"/>
    <w:rsid w:val="0048332D"/>
    <w:rsid w:val="00484816"/>
    <w:rsid w:val="00487051"/>
    <w:rsid w:val="00487AA2"/>
    <w:rsid w:val="00490982"/>
    <w:rsid w:val="0049143A"/>
    <w:rsid w:val="00491683"/>
    <w:rsid w:val="00496669"/>
    <w:rsid w:val="00497028"/>
    <w:rsid w:val="004A0D0B"/>
    <w:rsid w:val="004A4FC7"/>
    <w:rsid w:val="004B14CE"/>
    <w:rsid w:val="004B15F5"/>
    <w:rsid w:val="004B4DD6"/>
    <w:rsid w:val="004B5B71"/>
    <w:rsid w:val="004B5D30"/>
    <w:rsid w:val="004B6C64"/>
    <w:rsid w:val="004B6D3C"/>
    <w:rsid w:val="004C1881"/>
    <w:rsid w:val="004C3757"/>
    <w:rsid w:val="004C4283"/>
    <w:rsid w:val="004C64E0"/>
    <w:rsid w:val="004D0440"/>
    <w:rsid w:val="004D1494"/>
    <w:rsid w:val="004D28D0"/>
    <w:rsid w:val="004D3BFA"/>
    <w:rsid w:val="004D5C9F"/>
    <w:rsid w:val="004D76AE"/>
    <w:rsid w:val="004D7D64"/>
    <w:rsid w:val="004D7FB3"/>
    <w:rsid w:val="004E0A1B"/>
    <w:rsid w:val="004E1C83"/>
    <w:rsid w:val="004E2B78"/>
    <w:rsid w:val="004E2C0D"/>
    <w:rsid w:val="004E2E08"/>
    <w:rsid w:val="004E2F6D"/>
    <w:rsid w:val="004E30B3"/>
    <w:rsid w:val="004E3213"/>
    <w:rsid w:val="004E4D0F"/>
    <w:rsid w:val="004E55B6"/>
    <w:rsid w:val="004E61F8"/>
    <w:rsid w:val="004E627E"/>
    <w:rsid w:val="004E6829"/>
    <w:rsid w:val="004E76D0"/>
    <w:rsid w:val="004F03CC"/>
    <w:rsid w:val="004F0AB3"/>
    <w:rsid w:val="004F2784"/>
    <w:rsid w:val="004F3338"/>
    <w:rsid w:val="004F3AE7"/>
    <w:rsid w:val="004F57FE"/>
    <w:rsid w:val="004F5D04"/>
    <w:rsid w:val="004F7C74"/>
    <w:rsid w:val="00501C4D"/>
    <w:rsid w:val="00505788"/>
    <w:rsid w:val="00507170"/>
    <w:rsid w:val="00510D65"/>
    <w:rsid w:val="00511E6C"/>
    <w:rsid w:val="005157E6"/>
    <w:rsid w:val="00515D58"/>
    <w:rsid w:val="005214D7"/>
    <w:rsid w:val="005217AE"/>
    <w:rsid w:val="00523011"/>
    <w:rsid w:val="005231B8"/>
    <w:rsid w:val="0052506B"/>
    <w:rsid w:val="005264A1"/>
    <w:rsid w:val="0052755F"/>
    <w:rsid w:val="00527CB3"/>
    <w:rsid w:val="00535B28"/>
    <w:rsid w:val="005363E6"/>
    <w:rsid w:val="00536940"/>
    <w:rsid w:val="00537116"/>
    <w:rsid w:val="005379A0"/>
    <w:rsid w:val="0054081F"/>
    <w:rsid w:val="0054218B"/>
    <w:rsid w:val="00544037"/>
    <w:rsid w:val="005519C0"/>
    <w:rsid w:val="005526E7"/>
    <w:rsid w:val="00552C2F"/>
    <w:rsid w:val="00554DE2"/>
    <w:rsid w:val="005552A5"/>
    <w:rsid w:val="005553CC"/>
    <w:rsid w:val="00555C07"/>
    <w:rsid w:val="005577B5"/>
    <w:rsid w:val="0056136E"/>
    <w:rsid w:val="00561E96"/>
    <w:rsid w:val="005631D5"/>
    <w:rsid w:val="00563BB7"/>
    <w:rsid w:val="0056434B"/>
    <w:rsid w:val="005657EA"/>
    <w:rsid w:val="00567DC4"/>
    <w:rsid w:val="00570976"/>
    <w:rsid w:val="00570D00"/>
    <w:rsid w:val="005721EB"/>
    <w:rsid w:val="00572FFB"/>
    <w:rsid w:val="00573AE0"/>
    <w:rsid w:val="00580667"/>
    <w:rsid w:val="00580A28"/>
    <w:rsid w:val="00581E5D"/>
    <w:rsid w:val="00581FA9"/>
    <w:rsid w:val="0058200E"/>
    <w:rsid w:val="005820FB"/>
    <w:rsid w:val="005843E0"/>
    <w:rsid w:val="005854BE"/>
    <w:rsid w:val="00585557"/>
    <w:rsid w:val="00587714"/>
    <w:rsid w:val="00587C3D"/>
    <w:rsid w:val="00590348"/>
    <w:rsid w:val="0059131D"/>
    <w:rsid w:val="00592AA9"/>
    <w:rsid w:val="005930C5"/>
    <w:rsid w:val="00594E62"/>
    <w:rsid w:val="00594EEE"/>
    <w:rsid w:val="005973E6"/>
    <w:rsid w:val="005A26BC"/>
    <w:rsid w:val="005A4369"/>
    <w:rsid w:val="005A4767"/>
    <w:rsid w:val="005A603C"/>
    <w:rsid w:val="005A66A2"/>
    <w:rsid w:val="005A6A6A"/>
    <w:rsid w:val="005B069B"/>
    <w:rsid w:val="005B247E"/>
    <w:rsid w:val="005B30C9"/>
    <w:rsid w:val="005C0169"/>
    <w:rsid w:val="005C2514"/>
    <w:rsid w:val="005C3784"/>
    <w:rsid w:val="005C466C"/>
    <w:rsid w:val="005C4C98"/>
    <w:rsid w:val="005C6B60"/>
    <w:rsid w:val="005C75E8"/>
    <w:rsid w:val="005C7721"/>
    <w:rsid w:val="005D0C99"/>
    <w:rsid w:val="005D19EF"/>
    <w:rsid w:val="005D3C8E"/>
    <w:rsid w:val="005D402F"/>
    <w:rsid w:val="005D7926"/>
    <w:rsid w:val="005D7B38"/>
    <w:rsid w:val="005E0923"/>
    <w:rsid w:val="005E0E69"/>
    <w:rsid w:val="005E2988"/>
    <w:rsid w:val="005E2B56"/>
    <w:rsid w:val="005E311D"/>
    <w:rsid w:val="005E36A8"/>
    <w:rsid w:val="005E3EAC"/>
    <w:rsid w:val="005E477F"/>
    <w:rsid w:val="005E4C41"/>
    <w:rsid w:val="005E54E0"/>
    <w:rsid w:val="005E6F7A"/>
    <w:rsid w:val="005E7F08"/>
    <w:rsid w:val="005F0D29"/>
    <w:rsid w:val="005F30C9"/>
    <w:rsid w:val="005F59CA"/>
    <w:rsid w:val="005F77FF"/>
    <w:rsid w:val="0060216C"/>
    <w:rsid w:val="00602631"/>
    <w:rsid w:val="006034B8"/>
    <w:rsid w:val="006041F6"/>
    <w:rsid w:val="00607327"/>
    <w:rsid w:val="00607BAA"/>
    <w:rsid w:val="00612794"/>
    <w:rsid w:val="006127F6"/>
    <w:rsid w:val="00612DD1"/>
    <w:rsid w:val="00612F8D"/>
    <w:rsid w:val="006140D2"/>
    <w:rsid w:val="00615281"/>
    <w:rsid w:val="00615CB2"/>
    <w:rsid w:val="00616BEA"/>
    <w:rsid w:val="00621D58"/>
    <w:rsid w:val="0062368A"/>
    <w:rsid w:val="0062398E"/>
    <w:rsid w:val="0062489C"/>
    <w:rsid w:val="00624E42"/>
    <w:rsid w:val="00626256"/>
    <w:rsid w:val="00626F55"/>
    <w:rsid w:val="0062762D"/>
    <w:rsid w:val="00631C3D"/>
    <w:rsid w:val="00631EAF"/>
    <w:rsid w:val="00632EA0"/>
    <w:rsid w:val="00637FAA"/>
    <w:rsid w:val="0064126A"/>
    <w:rsid w:val="006449BF"/>
    <w:rsid w:val="00645394"/>
    <w:rsid w:val="006458BA"/>
    <w:rsid w:val="0064599D"/>
    <w:rsid w:val="0064780A"/>
    <w:rsid w:val="00647BD2"/>
    <w:rsid w:val="00651244"/>
    <w:rsid w:val="00652C9C"/>
    <w:rsid w:val="00655332"/>
    <w:rsid w:val="006555FA"/>
    <w:rsid w:val="006574A0"/>
    <w:rsid w:val="0065788C"/>
    <w:rsid w:val="006632A4"/>
    <w:rsid w:val="006674BF"/>
    <w:rsid w:val="006679ED"/>
    <w:rsid w:val="006700B1"/>
    <w:rsid w:val="006705A4"/>
    <w:rsid w:val="006705BA"/>
    <w:rsid w:val="006734B1"/>
    <w:rsid w:val="006762EA"/>
    <w:rsid w:val="0068056C"/>
    <w:rsid w:val="00681B2E"/>
    <w:rsid w:val="00682AD3"/>
    <w:rsid w:val="00682C2A"/>
    <w:rsid w:val="006841B6"/>
    <w:rsid w:val="0068469E"/>
    <w:rsid w:val="00686AC0"/>
    <w:rsid w:val="00686C0A"/>
    <w:rsid w:val="00687D39"/>
    <w:rsid w:val="00690713"/>
    <w:rsid w:val="00692C07"/>
    <w:rsid w:val="00695547"/>
    <w:rsid w:val="00695970"/>
    <w:rsid w:val="00697F39"/>
    <w:rsid w:val="006A19A5"/>
    <w:rsid w:val="006A214A"/>
    <w:rsid w:val="006A4CF3"/>
    <w:rsid w:val="006A5A9C"/>
    <w:rsid w:val="006A6902"/>
    <w:rsid w:val="006B0416"/>
    <w:rsid w:val="006B0553"/>
    <w:rsid w:val="006B146F"/>
    <w:rsid w:val="006B1684"/>
    <w:rsid w:val="006B2CDC"/>
    <w:rsid w:val="006B65A4"/>
    <w:rsid w:val="006B74A8"/>
    <w:rsid w:val="006B75C5"/>
    <w:rsid w:val="006C248C"/>
    <w:rsid w:val="006C2895"/>
    <w:rsid w:val="006C5074"/>
    <w:rsid w:val="006C6C4E"/>
    <w:rsid w:val="006C6CEE"/>
    <w:rsid w:val="006C7622"/>
    <w:rsid w:val="006C7EB4"/>
    <w:rsid w:val="006D0435"/>
    <w:rsid w:val="006D08C1"/>
    <w:rsid w:val="006D1E53"/>
    <w:rsid w:val="006D493F"/>
    <w:rsid w:val="006D4BFD"/>
    <w:rsid w:val="006D5CDF"/>
    <w:rsid w:val="006D770C"/>
    <w:rsid w:val="006E1B4B"/>
    <w:rsid w:val="006E208A"/>
    <w:rsid w:val="006E3D11"/>
    <w:rsid w:val="006E40C7"/>
    <w:rsid w:val="006E4121"/>
    <w:rsid w:val="006E4A68"/>
    <w:rsid w:val="006E516D"/>
    <w:rsid w:val="006E551C"/>
    <w:rsid w:val="006E7425"/>
    <w:rsid w:val="006F074B"/>
    <w:rsid w:val="006F5B97"/>
    <w:rsid w:val="006F659C"/>
    <w:rsid w:val="006F74CD"/>
    <w:rsid w:val="007007AC"/>
    <w:rsid w:val="0070117D"/>
    <w:rsid w:val="00701FE8"/>
    <w:rsid w:val="00702391"/>
    <w:rsid w:val="00702BA4"/>
    <w:rsid w:val="0070455D"/>
    <w:rsid w:val="00704CDB"/>
    <w:rsid w:val="00705D4B"/>
    <w:rsid w:val="00711211"/>
    <w:rsid w:val="00713304"/>
    <w:rsid w:val="00715A81"/>
    <w:rsid w:val="0071687A"/>
    <w:rsid w:val="007172E8"/>
    <w:rsid w:val="007217A1"/>
    <w:rsid w:val="00722B64"/>
    <w:rsid w:val="00722D30"/>
    <w:rsid w:val="00725738"/>
    <w:rsid w:val="00730B1B"/>
    <w:rsid w:val="007331A2"/>
    <w:rsid w:val="007348B4"/>
    <w:rsid w:val="00734EDE"/>
    <w:rsid w:val="0073585A"/>
    <w:rsid w:val="00737F27"/>
    <w:rsid w:val="00744C7E"/>
    <w:rsid w:val="00744E53"/>
    <w:rsid w:val="007474B2"/>
    <w:rsid w:val="007476DC"/>
    <w:rsid w:val="0075038E"/>
    <w:rsid w:val="007545AC"/>
    <w:rsid w:val="0075491B"/>
    <w:rsid w:val="007601FD"/>
    <w:rsid w:val="00760542"/>
    <w:rsid w:val="007605C0"/>
    <w:rsid w:val="00760E29"/>
    <w:rsid w:val="00762C2C"/>
    <w:rsid w:val="00762F0E"/>
    <w:rsid w:val="00763539"/>
    <w:rsid w:val="00763F69"/>
    <w:rsid w:val="0076629A"/>
    <w:rsid w:val="00767BD1"/>
    <w:rsid w:val="00773239"/>
    <w:rsid w:val="00776739"/>
    <w:rsid w:val="00776898"/>
    <w:rsid w:val="00777222"/>
    <w:rsid w:val="007774CA"/>
    <w:rsid w:val="00777AD0"/>
    <w:rsid w:val="007823D1"/>
    <w:rsid w:val="00782C5F"/>
    <w:rsid w:val="007830D0"/>
    <w:rsid w:val="00784D23"/>
    <w:rsid w:val="00785EA8"/>
    <w:rsid w:val="00786160"/>
    <w:rsid w:val="007867E9"/>
    <w:rsid w:val="00791DC7"/>
    <w:rsid w:val="00792DB7"/>
    <w:rsid w:val="00795251"/>
    <w:rsid w:val="0079581C"/>
    <w:rsid w:val="007966C4"/>
    <w:rsid w:val="0079679B"/>
    <w:rsid w:val="007A0F8B"/>
    <w:rsid w:val="007A6317"/>
    <w:rsid w:val="007B2943"/>
    <w:rsid w:val="007B33CC"/>
    <w:rsid w:val="007B4897"/>
    <w:rsid w:val="007B4F41"/>
    <w:rsid w:val="007B7701"/>
    <w:rsid w:val="007C03B5"/>
    <w:rsid w:val="007C43D9"/>
    <w:rsid w:val="007D0FE7"/>
    <w:rsid w:val="007D2023"/>
    <w:rsid w:val="007D3C1D"/>
    <w:rsid w:val="007D4315"/>
    <w:rsid w:val="007D44C5"/>
    <w:rsid w:val="007D6D43"/>
    <w:rsid w:val="007E0E76"/>
    <w:rsid w:val="007E1530"/>
    <w:rsid w:val="007E2D2F"/>
    <w:rsid w:val="007E6A11"/>
    <w:rsid w:val="007E7584"/>
    <w:rsid w:val="007E7B9C"/>
    <w:rsid w:val="007F139B"/>
    <w:rsid w:val="007F3E0D"/>
    <w:rsid w:val="007F47E6"/>
    <w:rsid w:val="007F55E1"/>
    <w:rsid w:val="007F6DAF"/>
    <w:rsid w:val="00801AEC"/>
    <w:rsid w:val="00802801"/>
    <w:rsid w:val="00803125"/>
    <w:rsid w:val="0080465B"/>
    <w:rsid w:val="008075AB"/>
    <w:rsid w:val="00810034"/>
    <w:rsid w:val="00810AF3"/>
    <w:rsid w:val="00811195"/>
    <w:rsid w:val="008115BF"/>
    <w:rsid w:val="00811FDF"/>
    <w:rsid w:val="0081271C"/>
    <w:rsid w:val="00813E5F"/>
    <w:rsid w:val="008149F5"/>
    <w:rsid w:val="008161DE"/>
    <w:rsid w:val="008166BC"/>
    <w:rsid w:val="0082027C"/>
    <w:rsid w:val="008215C5"/>
    <w:rsid w:val="00821BFC"/>
    <w:rsid w:val="00822A22"/>
    <w:rsid w:val="00823BFC"/>
    <w:rsid w:val="008255F7"/>
    <w:rsid w:val="00825E50"/>
    <w:rsid w:val="008277E9"/>
    <w:rsid w:val="00830A03"/>
    <w:rsid w:val="008328BD"/>
    <w:rsid w:val="00832F33"/>
    <w:rsid w:val="00832FAF"/>
    <w:rsid w:val="008333EC"/>
    <w:rsid w:val="0083429C"/>
    <w:rsid w:val="0083469E"/>
    <w:rsid w:val="00835678"/>
    <w:rsid w:val="00835EBF"/>
    <w:rsid w:val="00844CA4"/>
    <w:rsid w:val="00845E8A"/>
    <w:rsid w:val="00847743"/>
    <w:rsid w:val="00851088"/>
    <w:rsid w:val="00851E51"/>
    <w:rsid w:val="0085663E"/>
    <w:rsid w:val="00856F5F"/>
    <w:rsid w:val="008571C1"/>
    <w:rsid w:val="00860476"/>
    <w:rsid w:val="008613D5"/>
    <w:rsid w:val="00861D1B"/>
    <w:rsid w:val="00862063"/>
    <w:rsid w:val="008658D1"/>
    <w:rsid w:val="008659CB"/>
    <w:rsid w:val="00865BF6"/>
    <w:rsid w:val="00870BE1"/>
    <w:rsid w:val="00874885"/>
    <w:rsid w:val="008759B9"/>
    <w:rsid w:val="00875D81"/>
    <w:rsid w:val="00876236"/>
    <w:rsid w:val="00876C71"/>
    <w:rsid w:val="00880158"/>
    <w:rsid w:val="0088240B"/>
    <w:rsid w:val="008833C2"/>
    <w:rsid w:val="0088353F"/>
    <w:rsid w:val="0088660A"/>
    <w:rsid w:val="00887569"/>
    <w:rsid w:val="00890060"/>
    <w:rsid w:val="00890FB0"/>
    <w:rsid w:val="00892B55"/>
    <w:rsid w:val="0089353A"/>
    <w:rsid w:val="0089479E"/>
    <w:rsid w:val="00896133"/>
    <w:rsid w:val="008965B6"/>
    <w:rsid w:val="008A1050"/>
    <w:rsid w:val="008A166D"/>
    <w:rsid w:val="008A177A"/>
    <w:rsid w:val="008A5083"/>
    <w:rsid w:val="008A5660"/>
    <w:rsid w:val="008A56B1"/>
    <w:rsid w:val="008A6B4E"/>
    <w:rsid w:val="008B55D2"/>
    <w:rsid w:val="008B589E"/>
    <w:rsid w:val="008B630C"/>
    <w:rsid w:val="008C0F60"/>
    <w:rsid w:val="008C2784"/>
    <w:rsid w:val="008C372B"/>
    <w:rsid w:val="008C3894"/>
    <w:rsid w:val="008D1275"/>
    <w:rsid w:val="008D3BFE"/>
    <w:rsid w:val="008D4BDD"/>
    <w:rsid w:val="008D618B"/>
    <w:rsid w:val="008E0B17"/>
    <w:rsid w:val="008E32FA"/>
    <w:rsid w:val="008E3508"/>
    <w:rsid w:val="008E48A4"/>
    <w:rsid w:val="008E4CDF"/>
    <w:rsid w:val="008E7493"/>
    <w:rsid w:val="008F0756"/>
    <w:rsid w:val="008F0A0A"/>
    <w:rsid w:val="008F10B3"/>
    <w:rsid w:val="008F1154"/>
    <w:rsid w:val="008F3450"/>
    <w:rsid w:val="008F44DD"/>
    <w:rsid w:val="008F4E49"/>
    <w:rsid w:val="008F6C62"/>
    <w:rsid w:val="00900A1A"/>
    <w:rsid w:val="00901D05"/>
    <w:rsid w:val="00903607"/>
    <w:rsid w:val="0090542D"/>
    <w:rsid w:val="009079C7"/>
    <w:rsid w:val="009109E1"/>
    <w:rsid w:val="00910D05"/>
    <w:rsid w:val="0091261A"/>
    <w:rsid w:val="009159A5"/>
    <w:rsid w:val="00920642"/>
    <w:rsid w:val="0092107F"/>
    <w:rsid w:val="00921FFD"/>
    <w:rsid w:val="0092214A"/>
    <w:rsid w:val="00923FB1"/>
    <w:rsid w:val="0092522B"/>
    <w:rsid w:val="00926B68"/>
    <w:rsid w:val="00927E78"/>
    <w:rsid w:val="00930158"/>
    <w:rsid w:val="0093075E"/>
    <w:rsid w:val="009308D9"/>
    <w:rsid w:val="00932738"/>
    <w:rsid w:val="009335AD"/>
    <w:rsid w:val="00933643"/>
    <w:rsid w:val="0093436C"/>
    <w:rsid w:val="00934E9C"/>
    <w:rsid w:val="0093541A"/>
    <w:rsid w:val="00935AB0"/>
    <w:rsid w:val="0093710B"/>
    <w:rsid w:val="009373DF"/>
    <w:rsid w:val="0093755B"/>
    <w:rsid w:val="00937948"/>
    <w:rsid w:val="00940623"/>
    <w:rsid w:val="0094185B"/>
    <w:rsid w:val="00941934"/>
    <w:rsid w:val="00943DDB"/>
    <w:rsid w:val="009461CC"/>
    <w:rsid w:val="00950BC2"/>
    <w:rsid w:val="0095104E"/>
    <w:rsid w:val="00951F8A"/>
    <w:rsid w:val="00954446"/>
    <w:rsid w:val="0095477E"/>
    <w:rsid w:val="0095520B"/>
    <w:rsid w:val="009556ED"/>
    <w:rsid w:val="009562F7"/>
    <w:rsid w:val="009603EE"/>
    <w:rsid w:val="0096171F"/>
    <w:rsid w:val="00961F60"/>
    <w:rsid w:val="00962919"/>
    <w:rsid w:val="00962978"/>
    <w:rsid w:val="00962AD2"/>
    <w:rsid w:val="00962B43"/>
    <w:rsid w:val="00971B71"/>
    <w:rsid w:val="00974941"/>
    <w:rsid w:val="0097507B"/>
    <w:rsid w:val="00975BA1"/>
    <w:rsid w:val="00980398"/>
    <w:rsid w:val="009815A4"/>
    <w:rsid w:val="00981CA7"/>
    <w:rsid w:val="00984591"/>
    <w:rsid w:val="00985093"/>
    <w:rsid w:val="00987F76"/>
    <w:rsid w:val="00991C46"/>
    <w:rsid w:val="009926D7"/>
    <w:rsid w:val="009945DC"/>
    <w:rsid w:val="009A00B8"/>
    <w:rsid w:val="009A2024"/>
    <w:rsid w:val="009A2B1D"/>
    <w:rsid w:val="009A3954"/>
    <w:rsid w:val="009A3A41"/>
    <w:rsid w:val="009A6C6F"/>
    <w:rsid w:val="009A7C65"/>
    <w:rsid w:val="009B162F"/>
    <w:rsid w:val="009B2174"/>
    <w:rsid w:val="009B362F"/>
    <w:rsid w:val="009B7C68"/>
    <w:rsid w:val="009C0521"/>
    <w:rsid w:val="009C0970"/>
    <w:rsid w:val="009C3A92"/>
    <w:rsid w:val="009C4027"/>
    <w:rsid w:val="009C42C6"/>
    <w:rsid w:val="009C4D15"/>
    <w:rsid w:val="009C4FAD"/>
    <w:rsid w:val="009C503B"/>
    <w:rsid w:val="009C52CC"/>
    <w:rsid w:val="009C5559"/>
    <w:rsid w:val="009C58A2"/>
    <w:rsid w:val="009C6555"/>
    <w:rsid w:val="009C778D"/>
    <w:rsid w:val="009D02B5"/>
    <w:rsid w:val="009D12EF"/>
    <w:rsid w:val="009D38CF"/>
    <w:rsid w:val="009D3FCD"/>
    <w:rsid w:val="009E270D"/>
    <w:rsid w:val="009E2E84"/>
    <w:rsid w:val="009E4C78"/>
    <w:rsid w:val="009E5884"/>
    <w:rsid w:val="009E659D"/>
    <w:rsid w:val="009F0616"/>
    <w:rsid w:val="009F337F"/>
    <w:rsid w:val="009F417D"/>
    <w:rsid w:val="009F543B"/>
    <w:rsid w:val="009F6FB0"/>
    <w:rsid w:val="009F756D"/>
    <w:rsid w:val="009F7DBC"/>
    <w:rsid w:val="009F7DD3"/>
    <w:rsid w:val="00A00AFC"/>
    <w:rsid w:val="00A00CF8"/>
    <w:rsid w:val="00A019AE"/>
    <w:rsid w:val="00A033D7"/>
    <w:rsid w:val="00A05AC0"/>
    <w:rsid w:val="00A07BC8"/>
    <w:rsid w:val="00A07EB0"/>
    <w:rsid w:val="00A102CE"/>
    <w:rsid w:val="00A12CFE"/>
    <w:rsid w:val="00A13F8E"/>
    <w:rsid w:val="00A145D2"/>
    <w:rsid w:val="00A23EA1"/>
    <w:rsid w:val="00A25AC1"/>
    <w:rsid w:val="00A30364"/>
    <w:rsid w:val="00A30984"/>
    <w:rsid w:val="00A31566"/>
    <w:rsid w:val="00A315DF"/>
    <w:rsid w:val="00A32549"/>
    <w:rsid w:val="00A35FB1"/>
    <w:rsid w:val="00A36146"/>
    <w:rsid w:val="00A36869"/>
    <w:rsid w:val="00A369C7"/>
    <w:rsid w:val="00A37C50"/>
    <w:rsid w:val="00A44748"/>
    <w:rsid w:val="00A44BEA"/>
    <w:rsid w:val="00A47C08"/>
    <w:rsid w:val="00A47CAC"/>
    <w:rsid w:val="00A508B5"/>
    <w:rsid w:val="00A50B9B"/>
    <w:rsid w:val="00A51718"/>
    <w:rsid w:val="00A54A4D"/>
    <w:rsid w:val="00A57A7B"/>
    <w:rsid w:val="00A57BE7"/>
    <w:rsid w:val="00A57D4D"/>
    <w:rsid w:val="00A61BB7"/>
    <w:rsid w:val="00A61F07"/>
    <w:rsid w:val="00A6208B"/>
    <w:rsid w:val="00A6332F"/>
    <w:rsid w:val="00A64CA3"/>
    <w:rsid w:val="00A64F1A"/>
    <w:rsid w:val="00A664B7"/>
    <w:rsid w:val="00A67D93"/>
    <w:rsid w:val="00A70D1D"/>
    <w:rsid w:val="00A728BF"/>
    <w:rsid w:val="00A75115"/>
    <w:rsid w:val="00A7551A"/>
    <w:rsid w:val="00A75A43"/>
    <w:rsid w:val="00A75A5C"/>
    <w:rsid w:val="00A77640"/>
    <w:rsid w:val="00A80AFF"/>
    <w:rsid w:val="00A81465"/>
    <w:rsid w:val="00A83296"/>
    <w:rsid w:val="00A85D34"/>
    <w:rsid w:val="00A85E1D"/>
    <w:rsid w:val="00A87799"/>
    <w:rsid w:val="00A913FD"/>
    <w:rsid w:val="00A91F69"/>
    <w:rsid w:val="00A92F07"/>
    <w:rsid w:val="00A942A6"/>
    <w:rsid w:val="00A95D35"/>
    <w:rsid w:val="00A970AA"/>
    <w:rsid w:val="00AA1FCB"/>
    <w:rsid w:val="00AA352E"/>
    <w:rsid w:val="00AA433A"/>
    <w:rsid w:val="00AA72B1"/>
    <w:rsid w:val="00AB17B5"/>
    <w:rsid w:val="00AB4DAC"/>
    <w:rsid w:val="00AB5CBD"/>
    <w:rsid w:val="00AB7354"/>
    <w:rsid w:val="00AC0181"/>
    <w:rsid w:val="00AC2283"/>
    <w:rsid w:val="00AC6120"/>
    <w:rsid w:val="00AC6FE7"/>
    <w:rsid w:val="00AC71D8"/>
    <w:rsid w:val="00AD0301"/>
    <w:rsid w:val="00AD22F8"/>
    <w:rsid w:val="00AD2696"/>
    <w:rsid w:val="00AD297C"/>
    <w:rsid w:val="00AD29BB"/>
    <w:rsid w:val="00AD2A71"/>
    <w:rsid w:val="00AD35F6"/>
    <w:rsid w:val="00AD5558"/>
    <w:rsid w:val="00AD55F6"/>
    <w:rsid w:val="00AD5990"/>
    <w:rsid w:val="00AD6381"/>
    <w:rsid w:val="00AD6D9A"/>
    <w:rsid w:val="00AE0BE5"/>
    <w:rsid w:val="00AE3A9E"/>
    <w:rsid w:val="00AE3F64"/>
    <w:rsid w:val="00AE49ED"/>
    <w:rsid w:val="00AE6908"/>
    <w:rsid w:val="00AE7573"/>
    <w:rsid w:val="00AF07C5"/>
    <w:rsid w:val="00AF0E8B"/>
    <w:rsid w:val="00AF0F46"/>
    <w:rsid w:val="00AF1034"/>
    <w:rsid w:val="00AF1478"/>
    <w:rsid w:val="00AF1A71"/>
    <w:rsid w:val="00AF3E5C"/>
    <w:rsid w:val="00AF5906"/>
    <w:rsid w:val="00AF6158"/>
    <w:rsid w:val="00AF63BA"/>
    <w:rsid w:val="00AF6816"/>
    <w:rsid w:val="00AF7797"/>
    <w:rsid w:val="00AF7B22"/>
    <w:rsid w:val="00B000AE"/>
    <w:rsid w:val="00B008AE"/>
    <w:rsid w:val="00B00D1C"/>
    <w:rsid w:val="00B00F87"/>
    <w:rsid w:val="00B01432"/>
    <w:rsid w:val="00B04095"/>
    <w:rsid w:val="00B0623D"/>
    <w:rsid w:val="00B10465"/>
    <w:rsid w:val="00B11D6E"/>
    <w:rsid w:val="00B122E6"/>
    <w:rsid w:val="00B12529"/>
    <w:rsid w:val="00B1325D"/>
    <w:rsid w:val="00B144F9"/>
    <w:rsid w:val="00B162F1"/>
    <w:rsid w:val="00B17211"/>
    <w:rsid w:val="00B20A98"/>
    <w:rsid w:val="00B215DE"/>
    <w:rsid w:val="00B2248E"/>
    <w:rsid w:val="00B2302F"/>
    <w:rsid w:val="00B24D51"/>
    <w:rsid w:val="00B27EA0"/>
    <w:rsid w:val="00B309C5"/>
    <w:rsid w:val="00B30C90"/>
    <w:rsid w:val="00B31600"/>
    <w:rsid w:val="00B31E57"/>
    <w:rsid w:val="00B32585"/>
    <w:rsid w:val="00B32C58"/>
    <w:rsid w:val="00B33F67"/>
    <w:rsid w:val="00B378BB"/>
    <w:rsid w:val="00B41264"/>
    <w:rsid w:val="00B4179A"/>
    <w:rsid w:val="00B41954"/>
    <w:rsid w:val="00B41C50"/>
    <w:rsid w:val="00B430E2"/>
    <w:rsid w:val="00B4402C"/>
    <w:rsid w:val="00B448AC"/>
    <w:rsid w:val="00B470F3"/>
    <w:rsid w:val="00B502CC"/>
    <w:rsid w:val="00B50BA6"/>
    <w:rsid w:val="00B519F1"/>
    <w:rsid w:val="00B536C2"/>
    <w:rsid w:val="00B553D5"/>
    <w:rsid w:val="00B55B90"/>
    <w:rsid w:val="00B55C36"/>
    <w:rsid w:val="00B562FD"/>
    <w:rsid w:val="00B56F70"/>
    <w:rsid w:val="00B57793"/>
    <w:rsid w:val="00B60C5A"/>
    <w:rsid w:val="00B6136C"/>
    <w:rsid w:val="00B62EAA"/>
    <w:rsid w:val="00B632AD"/>
    <w:rsid w:val="00B66B66"/>
    <w:rsid w:val="00B66E74"/>
    <w:rsid w:val="00B711CA"/>
    <w:rsid w:val="00B76C95"/>
    <w:rsid w:val="00B77545"/>
    <w:rsid w:val="00B777C6"/>
    <w:rsid w:val="00B80444"/>
    <w:rsid w:val="00B809FF"/>
    <w:rsid w:val="00B80CE3"/>
    <w:rsid w:val="00B84184"/>
    <w:rsid w:val="00B869D0"/>
    <w:rsid w:val="00B87E5D"/>
    <w:rsid w:val="00B92C98"/>
    <w:rsid w:val="00B938A5"/>
    <w:rsid w:val="00B94A44"/>
    <w:rsid w:val="00B94F90"/>
    <w:rsid w:val="00B960C7"/>
    <w:rsid w:val="00BA154C"/>
    <w:rsid w:val="00BA5C0B"/>
    <w:rsid w:val="00BA6B17"/>
    <w:rsid w:val="00BA7362"/>
    <w:rsid w:val="00BB0995"/>
    <w:rsid w:val="00BB143E"/>
    <w:rsid w:val="00BB20E6"/>
    <w:rsid w:val="00BB2FC8"/>
    <w:rsid w:val="00BB5C0B"/>
    <w:rsid w:val="00BB782F"/>
    <w:rsid w:val="00BC40C3"/>
    <w:rsid w:val="00BC4CAC"/>
    <w:rsid w:val="00BC5610"/>
    <w:rsid w:val="00BC7273"/>
    <w:rsid w:val="00BC7E24"/>
    <w:rsid w:val="00BD07BC"/>
    <w:rsid w:val="00BD1541"/>
    <w:rsid w:val="00BD428E"/>
    <w:rsid w:val="00BD4485"/>
    <w:rsid w:val="00BD4986"/>
    <w:rsid w:val="00BD6D8E"/>
    <w:rsid w:val="00BD743F"/>
    <w:rsid w:val="00BE6A9C"/>
    <w:rsid w:val="00BE7640"/>
    <w:rsid w:val="00BF2810"/>
    <w:rsid w:val="00BF4D5B"/>
    <w:rsid w:val="00BF7897"/>
    <w:rsid w:val="00C01E70"/>
    <w:rsid w:val="00C058D3"/>
    <w:rsid w:val="00C06C0A"/>
    <w:rsid w:val="00C0737C"/>
    <w:rsid w:val="00C079F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DC8"/>
    <w:rsid w:val="00C23F0E"/>
    <w:rsid w:val="00C26336"/>
    <w:rsid w:val="00C27FE3"/>
    <w:rsid w:val="00C306A7"/>
    <w:rsid w:val="00C32FCC"/>
    <w:rsid w:val="00C364C7"/>
    <w:rsid w:val="00C370A2"/>
    <w:rsid w:val="00C417E2"/>
    <w:rsid w:val="00C41A11"/>
    <w:rsid w:val="00C4401F"/>
    <w:rsid w:val="00C454E3"/>
    <w:rsid w:val="00C45835"/>
    <w:rsid w:val="00C5382F"/>
    <w:rsid w:val="00C55C5C"/>
    <w:rsid w:val="00C56991"/>
    <w:rsid w:val="00C61578"/>
    <w:rsid w:val="00C61ADA"/>
    <w:rsid w:val="00C63440"/>
    <w:rsid w:val="00C63D0E"/>
    <w:rsid w:val="00C6515F"/>
    <w:rsid w:val="00C65BB3"/>
    <w:rsid w:val="00C666EF"/>
    <w:rsid w:val="00C67DEC"/>
    <w:rsid w:val="00C70382"/>
    <w:rsid w:val="00C7043F"/>
    <w:rsid w:val="00C70ACB"/>
    <w:rsid w:val="00C71EC4"/>
    <w:rsid w:val="00C7305C"/>
    <w:rsid w:val="00C73873"/>
    <w:rsid w:val="00C7580B"/>
    <w:rsid w:val="00C802FD"/>
    <w:rsid w:val="00C80C32"/>
    <w:rsid w:val="00C81367"/>
    <w:rsid w:val="00C816B6"/>
    <w:rsid w:val="00C8340F"/>
    <w:rsid w:val="00C863B4"/>
    <w:rsid w:val="00C878FE"/>
    <w:rsid w:val="00C879E5"/>
    <w:rsid w:val="00C905C3"/>
    <w:rsid w:val="00C905CA"/>
    <w:rsid w:val="00C91119"/>
    <w:rsid w:val="00C92873"/>
    <w:rsid w:val="00CA0051"/>
    <w:rsid w:val="00CA12CC"/>
    <w:rsid w:val="00CA2D5D"/>
    <w:rsid w:val="00CA3395"/>
    <w:rsid w:val="00CA5E46"/>
    <w:rsid w:val="00CA6998"/>
    <w:rsid w:val="00CA6D1B"/>
    <w:rsid w:val="00CA6DA2"/>
    <w:rsid w:val="00CB3A22"/>
    <w:rsid w:val="00CB6B37"/>
    <w:rsid w:val="00CB7ED2"/>
    <w:rsid w:val="00CC01ED"/>
    <w:rsid w:val="00CC0A1A"/>
    <w:rsid w:val="00CC15A1"/>
    <w:rsid w:val="00CC2931"/>
    <w:rsid w:val="00CC2999"/>
    <w:rsid w:val="00CC3C0D"/>
    <w:rsid w:val="00CC4A26"/>
    <w:rsid w:val="00CC567B"/>
    <w:rsid w:val="00CC5AFC"/>
    <w:rsid w:val="00CC68CA"/>
    <w:rsid w:val="00CD01DC"/>
    <w:rsid w:val="00CD06F0"/>
    <w:rsid w:val="00CD0A23"/>
    <w:rsid w:val="00CD3691"/>
    <w:rsid w:val="00CD4747"/>
    <w:rsid w:val="00CD493B"/>
    <w:rsid w:val="00CD49A0"/>
    <w:rsid w:val="00CD77E6"/>
    <w:rsid w:val="00CD78A9"/>
    <w:rsid w:val="00CE0530"/>
    <w:rsid w:val="00CE298E"/>
    <w:rsid w:val="00CE367B"/>
    <w:rsid w:val="00CE4EE7"/>
    <w:rsid w:val="00CE6DE4"/>
    <w:rsid w:val="00CE78EA"/>
    <w:rsid w:val="00CF03A8"/>
    <w:rsid w:val="00CF0796"/>
    <w:rsid w:val="00CF2E18"/>
    <w:rsid w:val="00CF4016"/>
    <w:rsid w:val="00D01486"/>
    <w:rsid w:val="00D0229A"/>
    <w:rsid w:val="00D025A7"/>
    <w:rsid w:val="00D03E8D"/>
    <w:rsid w:val="00D03F79"/>
    <w:rsid w:val="00D04196"/>
    <w:rsid w:val="00D05580"/>
    <w:rsid w:val="00D06BE7"/>
    <w:rsid w:val="00D06D42"/>
    <w:rsid w:val="00D1027F"/>
    <w:rsid w:val="00D114FC"/>
    <w:rsid w:val="00D1466A"/>
    <w:rsid w:val="00D15665"/>
    <w:rsid w:val="00D16BA6"/>
    <w:rsid w:val="00D204A6"/>
    <w:rsid w:val="00D2211C"/>
    <w:rsid w:val="00D241B9"/>
    <w:rsid w:val="00D25E30"/>
    <w:rsid w:val="00D27C3A"/>
    <w:rsid w:val="00D27D2B"/>
    <w:rsid w:val="00D27F21"/>
    <w:rsid w:val="00D3249E"/>
    <w:rsid w:val="00D326C6"/>
    <w:rsid w:val="00D35E73"/>
    <w:rsid w:val="00D363F5"/>
    <w:rsid w:val="00D4047F"/>
    <w:rsid w:val="00D40EE0"/>
    <w:rsid w:val="00D41C33"/>
    <w:rsid w:val="00D432F3"/>
    <w:rsid w:val="00D43EEE"/>
    <w:rsid w:val="00D51476"/>
    <w:rsid w:val="00D547D3"/>
    <w:rsid w:val="00D54847"/>
    <w:rsid w:val="00D54A89"/>
    <w:rsid w:val="00D6002D"/>
    <w:rsid w:val="00D60A0A"/>
    <w:rsid w:val="00D61BF6"/>
    <w:rsid w:val="00D62C60"/>
    <w:rsid w:val="00D6489F"/>
    <w:rsid w:val="00D6603A"/>
    <w:rsid w:val="00D67069"/>
    <w:rsid w:val="00D7090A"/>
    <w:rsid w:val="00D713D9"/>
    <w:rsid w:val="00D72499"/>
    <w:rsid w:val="00D7479F"/>
    <w:rsid w:val="00D75E4D"/>
    <w:rsid w:val="00D770A5"/>
    <w:rsid w:val="00D775F9"/>
    <w:rsid w:val="00D77A48"/>
    <w:rsid w:val="00D8039A"/>
    <w:rsid w:val="00D8043F"/>
    <w:rsid w:val="00D826BC"/>
    <w:rsid w:val="00D85A2A"/>
    <w:rsid w:val="00D8633B"/>
    <w:rsid w:val="00D8702B"/>
    <w:rsid w:val="00D906D1"/>
    <w:rsid w:val="00D91695"/>
    <w:rsid w:val="00D94163"/>
    <w:rsid w:val="00D94734"/>
    <w:rsid w:val="00D95CC6"/>
    <w:rsid w:val="00DA0D60"/>
    <w:rsid w:val="00DA3445"/>
    <w:rsid w:val="00DA754B"/>
    <w:rsid w:val="00DB00E5"/>
    <w:rsid w:val="00DB104A"/>
    <w:rsid w:val="00DB197D"/>
    <w:rsid w:val="00DB31B5"/>
    <w:rsid w:val="00DB3E55"/>
    <w:rsid w:val="00DB3FDF"/>
    <w:rsid w:val="00DB6127"/>
    <w:rsid w:val="00DB6C03"/>
    <w:rsid w:val="00DC0877"/>
    <w:rsid w:val="00DC152E"/>
    <w:rsid w:val="00DC171E"/>
    <w:rsid w:val="00DC351C"/>
    <w:rsid w:val="00DC40A0"/>
    <w:rsid w:val="00DC44B1"/>
    <w:rsid w:val="00DC7302"/>
    <w:rsid w:val="00DC78A4"/>
    <w:rsid w:val="00DD4128"/>
    <w:rsid w:val="00DD454D"/>
    <w:rsid w:val="00DD73D8"/>
    <w:rsid w:val="00DE27B1"/>
    <w:rsid w:val="00DE3439"/>
    <w:rsid w:val="00DE37A4"/>
    <w:rsid w:val="00DE3B39"/>
    <w:rsid w:val="00DE4246"/>
    <w:rsid w:val="00DE4D09"/>
    <w:rsid w:val="00DE77DD"/>
    <w:rsid w:val="00DF08C2"/>
    <w:rsid w:val="00DF1D5B"/>
    <w:rsid w:val="00DF1D70"/>
    <w:rsid w:val="00DF215E"/>
    <w:rsid w:val="00DF32E3"/>
    <w:rsid w:val="00DF3F7F"/>
    <w:rsid w:val="00DF4B51"/>
    <w:rsid w:val="00DF4DEA"/>
    <w:rsid w:val="00DF5D66"/>
    <w:rsid w:val="00DF63DF"/>
    <w:rsid w:val="00DF673B"/>
    <w:rsid w:val="00DF6879"/>
    <w:rsid w:val="00DF7336"/>
    <w:rsid w:val="00DF7782"/>
    <w:rsid w:val="00E00A3D"/>
    <w:rsid w:val="00E00C1F"/>
    <w:rsid w:val="00E03080"/>
    <w:rsid w:val="00E0328A"/>
    <w:rsid w:val="00E0445C"/>
    <w:rsid w:val="00E04B45"/>
    <w:rsid w:val="00E06242"/>
    <w:rsid w:val="00E06BA9"/>
    <w:rsid w:val="00E07986"/>
    <w:rsid w:val="00E152CF"/>
    <w:rsid w:val="00E1684A"/>
    <w:rsid w:val="00E17DD1"/>
    <w:rsid w:val="00E2030E"/>
    <w:rsid w:val="00E22F31"/>
    <w:rsid w:val="00E24594"/>
    <w:rsid w:val="00E258A9"/>
    <w:rsid w:val="00E25A4C"/>
    <w:rsid w:val="00E2714E"/>
    <w:rsid w:val="00E27FAA"/>
    <w:rsid w:val="00E30954"/>
    <w:rsid w:val="00E31FC8"/>
    <w:rsid w:val="00E40992"/>
    <w:rsid w:val="00E437F1"/>
    <w:rsid w:val="00E44E9A"/>
    <w:rsid w:val="00E452D1"/>
    <w:rsid w:val="00E52A4D"/>
    <w:rsid w:val="00E52ACB"/>
    <w:rsid w:val="00E53D30"/>
    <w:rsid w:val="00E5487C"/>
    <w:rsid w:val="00E54B00"/>
    <w:rsid w:val="00E56CBE"/>
    <w:rsid w:val="00E56D1E"/>
    <w:rsid w:val="00E573A3"/>
    <w:rsid w:val="00E57F29"/>
    <w:rsid w:val="00E606C1"/>
    <w:rsid w:val="00E65253"/>
    <w:rsid w:val="00E6739E"/>
    <w:rsid w:val="00E71818"/>
    <w:rsid w:val="00E72E1E"/>
    <w:rsid w:val="00E73EF7"/>
    <w:rsid w:val="00E742E7"/>
    <w:rsid w:val="00E76E54"/>
    <w:rsid w:val="00E822A2"/>
    <w:rsid w:val="00E83728"/>
    <w:rsid w:val="00E83CEE"/>
    <w:rsid w:val="00E8464C"/>
    <w:rsid w:val="00E84E98"/>
    <w:rsid w:val="00E866E8"/>
    <w:rsid w:val="00E917FA"/>
    <w:rsid w:val="00E930A4"/>
    <w:rsid w:val="00E94C5B"/>
    <w:rsid w:val="00E965AE"/>
    <w:rsid w:val="00E9690E"/>
    <w:rsid w:val="00E96A51"/>
    <w:rsid w:val="00E96B67"/>
    <w:rsid w:val="00EA035A"/>
    <w:rsid w:val="00EA05A4"/>
    <w:rsid w:val="00EA0E2C"/>
    <w:rsid w:val="00EA1C5C"/>
    <w:rsid w:val="00EA26A4"/>
    <w:rsid w:val="00EA29A7"/>
    <w:rsid w:val="00EA47DD"/>
    <w:rsid w:val="00EA5C44"/>
    <w:rsid w:val="00EB010E"/>
    <w:rsid w:val="00EB0D39"/>
    <w:rsid w:val="00EB1297"/>
    <w:rsid w:val="00EB3014"/>
    <w:rsid w:val="00EB347E"/>
    <w:rsid w:val="00EB4811"/>
    <w:rsid w:val="00EB50EF"/>
    <w:rsid w:val="00EB510E"/>
    <w:rsid w:val="00EB58BA"/>
    <w:rsid w:val="00EB6B04"/>
    <w:rsid w:val="00EB7E79"/>
    <w:rsid w:val="00EC13C9"/>
    <w:rsid w:val="00EC39AA"/>
    <w:rsid w:val="00EC4C27"/>
    <w:rsid w:val="00EC7E3D"/>
    <w:rsid w:val="00ED04DF"/>
    <w:rsid w:val="00ED1E8B"/>
    <w:rsid w:val="00ED2883"/>
    <w:rsid w:val="00ED3B60"/>
    <w:rsid w:val="00ED3DFF"/>
    <w:rsid w:val="00ED5E78"/>
    <w:rsid w:val="00ED77B9"/>
    <w:rsid w:val="00EE0794"/>
    <w:rsid w:val="00EE177C"/>
    <w:rsid w:val="00EE1CC3"/>
    <w:rsid w:val="00EE31AB"/>
    <w:rsid w:val="00EE3E9A"/>
    <w:rsid w:val="00EE5794"/>
    <w:rsid w:val="00EE57AC"/>
    <w:rsid w:val="00EF0008"/>
    <w:rsid w:val="00EF0F62"/>
    <w:rsid w:val="00EF14CF"/>
    <w:rsid w:val="00EF1EE3"/>
    <w:rsid w:val="00EF2286"/>
    <w:rsid w:val="00EF2325"/>
    <w:rsid w:val="00EF2532"/>
    <w:rsid w:val="00EF3436"/>
    <w:rsid w:val="00EF459C"/>
    <w:rsid w:val="00EF701A"/>
    <w:rsid w:val="00EF773D"/>
    <w:rsid w:val="00EF7A94"/>
    <w:rsid w:val="00F01B4B"/>
    <w:rsid w:val="00F01C75"/>
    <w:rsid w:val="00F02606"/>
    <w:rsid w:val="00F02920"/>
    <w:rsid w:val="00F02CD6"/>
    <w:rsid w:val="00F030FF"/>
    <w:rsid w:val="00F036B0"/>
    <w:rsid w:val="00F05934"/>
    <w:rsid w:val="00F075F5"/>
    <w:rsid w:val="00F07F3C"/>
    <w:rsid w:val="00F17075"/>
    <w:rsid w:val="00F200D4"/>
    <w:rsid w:val="00F23BE3"/>
    <w:rsid w:val="00F30157"/>
    <w:rsid w:val="00F32B4B"/>
    <w:rsid w:val="00F3533A"/>
    <w:rsid w:val="00F36359"/>
    <w:rsid w:val="00F402B7"/>
    <w:rsid w:val="00F410B3"/>
    <w:rsid w:val="00F439D9"/>
    <w:rsid w:val="00F44303"/>
    <w:rsid w:val="00F44DA7"/>
    <w:rsid w:val="00F4529A"/>
    <w:rsid w:val="00F50E94"/>
    <w:rsid w:val="00F51EB7"/>
    <w:rsid w:val="00F53E5B"/>
    <w:rsid w:val="00F53EC1"/>
    <w:rsid w:val="00F62A61"/>
    <w:rsid w:val="00F633BF"/>
    <w:rsid w:val="00F64C9D"/>
    <w:rsid w:val="00F66AF3"/>
    <w:rsid w:val="00F700AA"/>
    <w:rsid w:val="00F707F6"/>
    <w:rsid w:val="00F70B30"/>
    <w:rsid w:val="00F70D3B"/>
    <w:rsid w:val="00F72878"/>
    <w:rsid w:val="00F72FA2"/>
    <w:rsid w:val="00F73F87"/>
    <w:rsid w:val="00F7444E"/>
    <w:rsid w:val="00F74FDF"/>
    <w:rsid w:val="00F7767D"/>
    <w:rsid w:val="00F80C1B"/>
    <w:rsid w:val="00F80F6E"/>
    <w:rsid w:val="00F81232"/>
    <w:rsid w:val="00F82C30"/>
    <w:rsid w:val="00F82E4D"/>
    <w:rsid w:val="00F832F8"/>
    <w:rsid w:val="00F84E6C"/>
    <w:rsid w:val="00F86AD7"/>
    <w:rsid w:val="00F876B7"/>
    <w:rsid w:val="00F9044A"/>
    <w:rsid w:val="00F9054F"/>
    <w:rsid w:val="00F96DC7"/>
    <w:rsid w:val="00F97A03"/>
    <w:rsid w:val="00FA0F5D"/>
    <w:rsid w:val="00FA1F69"/>
    <w:rsid w:val="00FA2F76"/>
    <w:rsid w:val="00FA534D"/>
    <w:rsid w:val="00FA7E3B"/>
    <w:rsid w:val="00FB0642"/>
    <w:rsid w:val="00FB12F7"/>
    <w:rsid w:val="00FB1B14"/>
    <w:rsid w:val="00FB25E7"/>
    <w:rsid w:val="00FB2B46"/>
    <w:rsid w:val="00FB47B0"/>
    <w:rsid w:val="00FB532C"/>
    <w:rsid w:val="00FB6A2C"/>
    <w:rsid w:val="00FC0459"/>
    <w:rsid w:val="00FC1D99"/>
    <w:rsid w:val="00FC4436"/>
    <w:rsid w:val="00FC4938"/>
    <w:rsid w:val="00FC5174"/>
    <w:rsid w:val="00FC5BFD"/>
    <w:rsid w:val="00FC6C81"/>
    <w:rsid w:val="00FC6E86"/>
    <w:rsid w:val="00FC6FDE"/>
    <w:rsid w:val="00FC7516"/>
    <w:rsid w:val="00FD041A"/>
    <w:rsid w:val="00FD15EA"/>
    <w:rsid w:val="00FD2FD7"/>
    <w:rsid w:val="00FD739A"/>
    <w:rsid w:val="00FD75EA"/>
    <w:rsid w:val="00FD76A4"/>
    <w:rsid w:val="00FE3C9D"/>
    <w:rsid w:val="00FE42FE"/>
    <w:rsid w:val="00FE4387"/>
    <w:rsid w:val="00FE4B43"/>
    <w:rsid w:val="00FE77C4"/>
    <w:rsid w:val="00FE7E07"/>
    <w:rsid w:val="00FF095C"/>
    <w:rsid w:val="00FF0983"/>
    <w:rsid w:val="00FF2B4F"/>
    <w:rsid w:val="00FF2B89"/>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8BD"/>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0368BD"/>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0368BD"/>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0368BD"/>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uiPriority w:val="99"/>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uiPriority w:val="99"/>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uiPriority w:val="39"/>
    <w:rsid w:val="00BB0995"/>
  </w:style>
  <w:style w:type="paragraph" w:styleId="22">
    <w:name w:val="toc 2"/>
    <w:basedOn w:val="GJStylesMuluContent2"/>
    <w:next w:val="a"/>
    <w:autoRedefine/>
    <w:uiPriority w:val="39"/>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0368B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0368BD"/>
    <w:rPr>
      <w:rFonts w:ascii="Arial" w:eastAsia="楷体_GB2312" w:hAnsi="Arial"/>
      <w:kern w:val="2"/>
      <w:sz w:val="18"/>
      <w:szCs w:val="18"/>
    </w:rPr>
  </w:style>
  <w:style w:type="character" w:customStyle="1" w:styleId="Char0">
    <w:name w:val="页脚 Char"/>
    <w:link w:val="a4"/>
    <w:uiPriority w:val="99"/>
    <w:rsid w:val="000368BD"/>
    <w:rPr>
      <w:rFonts w:ascii="Arial" w:eastAsia="楷体_GB2312" w:hAnsi="Arial"/>
      <w:kern w:val="2"/>
      <w:sz w:val="18"/>
      <w:szCs w:val="18"/>
    </w:rPr>
  </w:style>
  <w:style w:type="paragraph" w:customStyle="1" w:styleId="GJStylesSummaryTitle">
    <w:name w:val="GJ_Styles_Summary_Title"/>
    <w:qFormat/>
    <w:rsid w:val="000368BD"/>
    <w:pPr>
      <w:spacing w:afterLines="50"/>
      <w:jc w:val="both"/>
    </w:pPr>
    <w:rPr>
      <w:rFonts w:ascii="Arial" w:eastAsia="楷体_GB2312" w:hAnsi="Arial"/>
      <w:b/>
      <w:color w:val="000000"/>
      <w:kern w:val="2"/>
      <w:sz w:val="24"/>
      <w:szCs w:val="22"/>
    </w:rPr>
  </w:style>
  <w:style w:type="paragraph" w:customStyle="1" w:styleId="GJStylesSummaryContent">
    <w:name w:val="GJ_Styles_Summary_Content"/>
    <w:qFormat/>
    <w:rsid w:val="000368BD"/>
    <w:pPr>
      <w:numPr>
        <w:numId w:val="13"/>
      </w:numPr>
      <w:spacing w:afterLines="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0368BD"/>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0368BD"/>
    <w:pPr>
      <w:spacing w:afterLines="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0368BD"/>
    <w:pPr>
      <w:numPr>
        <w:numId w:val="6"/>
      </w:numPr>
    </w:pPr>
  </w:style>
  <w:style w:type="paragraph" w:customStyle="1" w:styleId="GJStylesContentFirTitle">
    <w:name w:val="GJ_Styles_Content_FirTitle"/>
    <w:qFormat/>
    <w:rsid w:val="000368BD"/>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0368BD"/>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0368BD"/>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0368BD"/>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0368BD"/>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0368BD"/>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0368BD"/>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0368BD"/>
    <w:pPr>
      <w:numPr>
        <w:numId w:val="7"/>
      </w:numPr>
    </w:pPr>
  </w:style>
  <w:style w:type="paragraph" w:customStyle="1" w:styleId="GJStylesContentFirTitleWide">
    <w:name w:val="GJ_Styles_Content_FirTitle_Wide"/>
    <w:qFormat/>
    <w:rsid w:val="000368BD"/>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0368BD"/>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0368BD"/>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0368BD"/>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0368BD"/>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0368BD"/>
    <w:pPr>
      <w:jc w:val="both"/>
    </w:pPr>
    <w:rPr>
      <w:rFonts w:ascii="Arial" w:eastAsia="楷体_GB2312" w:hAnsi="Arial"/>
      <w:kern w:val="2"/>
      <w:sz w:val="18"/>
      <w:szCs w:val="22"/>
    </w:rPr>
  </w:style>
  <w:style w:type="paragraph" w:customStyle="1" w:styleId="GJReportFirPageAuthorName">
    <w:name w:val="GJ_Report_FirPage_Author_Name"/>
    <w:qFormat/>
    <w:rsid w:val="000368BD"/>
    <w:pPr>
      <w:jc w:val="both"/>
    </w:pPr>
    <w:rPr>
      <w:rFonts w:ascii="Arial" w:eastAsia="楷体_GB2312" w:hAnsi="Arial"/>
      <w:b/>
      <w:kern w:val="2"/>
      <w:sz w:val="21"/>
      <w:szCs w:val="22"/>
    </w:rPr>
  </w:style>
  <w:style w:type="paragraph" w:customStyle="1" w:styleId="GJReportFirPageAuthorEmail">
    <w:name w:val="GJ_Report_FirPage_Author_Email"/>
    <w:qFormat/>
    <w:rsid w:val="000368BD"/>
    <w:pPr>
      <w:jc w:val="both"/>
    </w:pPr>
    <w:rPr>
      <w:rFonts w:ascii="Arial" w:eastAsia="楷体_GB2312" w:hAnsi="Arial"/>
      <w:b/>
      <w:kern w:val="2"/>
      <w:sz w:val="13"/>
      <w:szCs w:val="22"/>
    </w:rPr>
  </w:style>
  <w:style w:type="paragraph" w:customStyle="1" w:styleId="GJStylesTableTitleSuo">
    <w:name w:val="GJ_Styles_Table_Title_Suo"/>
    <w:qFormat/>
    <w:rsid w:val="000368BD"/>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0368BD"/>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0368BD"/>
    <w:pPr>
      <w:numPr>
        <w:numId w:val="10"/>
      </w:numPr>
    </w:pPr>
  </w:style>
  <w:style w:type="table" w:customStyle="1" w:styleId="GJStylesChartInsertSingleCol">
    <w:name w:val="GJ_Styles_Chart_InsertSingleCol"/>
    <w:basedOn w:val="a2"/>
    <w:uiPriority w:val="99"/>
    <w:qFormat/>
    <w:rsid w:val="000368BD"/>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0368BD"/>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0368BD"/>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0368BD"/>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0368BD"/>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0368BD"/>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0368BD"/>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0368BD"/>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0368BD"/>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0368BD"/>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0368BD"/>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0368BD"/>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0368BD"/>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Wingdings 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0368BD"/>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Wingdings 2" w:eastAsia="Wingdings 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0368BD"/>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0368BD"/>
    <w:rPr>
      <w:rFonts w:ascii="Arial" w:eastAsia="楷体_GB2312" w:hAnsi="Arial"/>
      <w:sz w:val="21"/>
    </w:rPr>
    <w:tblPr>
      <w:tblInd w:w="0" w:type="dxa"/>
      <w:tblCellMar>
        <w:top w:w="0" w:type="dxa"/>
        <w:left w:w="0" w:type="dxa"/>
        <w:bottom w:w="0" w:type="dxa"/>
        <w:right w:w="0" w:type="dxa"/>
      </w:tblCellMar>
    </w:tblPr>
    <w:tblStylePr w:type="firstRow">
      <w:rPr>
        <w:rFonts w:ascii="Arial" w:eastAsia="Wingdings 2" w:hAnsi="Arial"/>
        <w:b/>
        <w:i w:val="0"/>
        <w:sz w:val="21"/>
      </w:rPr>
    </w:tblStylePr>
  </w:style>
  <w:style w:type="table" w:customStyle="1" w:styleId="GJStylesTableRatStyle5">
    <w:name w:val="GJ_Styles_Table_RatStyle_5"/>
    <w:basedOn w:val="a2"/>
    <w:uiPriority w:val="99"/>
    <w:qFormat/>
    <w:rsid w:val="000368BD"/>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0368BD"/>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Wingdings 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0368BD"/>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楷体_GB2312" w:hAnsi="Arial"/>
        <w:b/>
        <w:i w:val="0"/>
        <w:sz w:val="21"/>
      </w:rPr>
    </w:tblStylePr>
    <w:tblStylePr w:type="lastRow">
      <w:pPr>
        <w:jc w:val="both"/>
      </w:pPr>
      <w:rPr>
        <w:rFonts w:ascii="Arial" w:eastAsia="楷体_GB2312" w:hAnsi="Arial"/>
        <w:b/>
        <w:i w:val="0"/>
        <w:sz w:val="13"/>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93CA264701430E92960E75BB2BDC3B"/>
        <w:category>
          <w:name w:val="常规"/>
          <w:gallery w:val="placeholder"/>
        </w:category>
        <w:types>
          <w:type w:val="bbPlcHdr"/>
        </w:types>
        <w:behaviors>
          <w:behavior w:val="content"/>
        </w:behaviors>
        <w:guid w:val="{0AFBA20E-A21C-4964-9406-685454F8006B}"/>
      </w:docPartPr>
      <w:docPartBody>
        <w:p w:rsidR="00B47F0F" w:rsidRDefault="00F7165C">
          <w:pPr>
            <w:pStyle w:val="EE93CA264701430E92960E75BB2BDC3B"/>
          </w:pPr>
          <w:r w:rsidRPr="001C4667">
            <w:rPr>
              <w:rStyle w:val="a3"/>
              <w:rFonts w:hint="eastAsia"/>
            </w:rPr>
            <w:t>单击此处输入文字。</w:t>
          </w:r>
        </w:p>
      </w:docPartBody>
    </w:docPart>
    <w:docPart>
      <w:docPartPr>
        <w:name w:val="BE343C0A3357424294F39F680051F9AF"/>
        <w:category>
          <w:name w:val="常规"/>
          <w:gallery w:val="placeholder"/>
        </w:category>
        <w:types>
          <w:type w:val="bbPlcHdr"/>
        </w:types>
        <w:behaviors>
          <w:behavior w:val="content"/>
        </w:behaviors>
        <w:guid w:val="{B5983D82-EEAE-4B0E-9A46-C4D1F34C7A6C}"/>
      </w:docPartPr>
      <w:docPartBody>
        <w:p w:rsidR="00B47F0F" w:rsidRDefault="00F7165C">
          <w:pPr>
            <w:pStyle w:val="BE343C0A3357424294F39F680051F9AF"/>
          </w:pPr>
          <w:r w:rsidRPr="004F02EC">
            <w:rPr>
              <w:rStyle w:val="a3"/>
              <w:rFonts w:hint="eastAsia"/>
            </w:rPr>
            <w:t>单击此处输入文字。</w:t>
          </w:r>
        </w:p>
      </w:docPartBody>
    </w:docPart>
    <w:docPart>
      <w:docPartPr>
        <w:name w:val="B58761DBA5764830B31CC58643F5FB0B"/>
        <w:category>
          <w:name w:val="常规"/>
          <w:gallery w:val="placeholder"/>
        </w:category>
        <w:types>
          <w:type w:val="bbPlcHdr"/>
        </w:types>
        <w:behaviors>
          <w:behavior w:val="content"/>
        </w:behaviors>
        <w:guid w:val="{249CB1D5-3780-400A-AABE-B19D8F960D7A}"/>
      </w:docPartPr>
      <w:docPartBody>
        <w:p w:rsidR="00B47F0F" w:rsidRDefault="00BA1BE2">
          <w:r w:rsidRPr="007324D3">
            <w:rPr>
              <w:rStyle w:val="a3"/>
              <w:rFonts w:hint="eastAsia"/>
            </w:rPr>
            <w:t>报告类型</w:t>
          </w:r>
        </w:p>
      </w:docPartBody>
    </w:docPart>
    <w:docPart>
      <w:docPartPr>
        <w:name w:val="C7817B46F1764983AA88F6CF5FAEC97C"/>
        <w:category>
          <w:name w:val="常规"/>
          <w:gallery w:val="placeholder"/>
        </w:category>
        <w:types>
          <w:type w:val="bbPlcHdr"/>
        </w:types>
        <w:behaviors>
          <w:behavior w:val="content"/>
        </w:behaviors>
        <w:guid w:val="{AF9307A3-F252-4A8E-BE9D-469FF6CD05D3}"/>
      </w:docPartPr>
      <w:docPartBody>
        <w:p w:rsidR="00B47F0F" w:rsidRDefault="00BA1BE2">
          <w:r w:rsidRPr="007324D3">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1BE2"/>
    <w:rsid w:val="0059219F"/>
    <w:rsid w:val="00B47F0F"/>
    <w:rsid w:val="00BA1BE2"/>
    <w:rsid w:val="00F7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1BE2"/>
    <w:rPr>
      <w:color w:val="808080"/>
    </w:rPr>
  </w:style>
  <w:style w:type="paragraph" w:customStyle="1" w:styleId="EE93CA264701430E92960E75BB2BDC3B">
    <w:name w:val="EE93CA264701430E92960E75BB2BDC3B"/>
    <w:rsid w:val="00B47F0F"/>
    <w:pPr>
      <w:widowControl w:val="0"/>
      <w:jc w:val="both"/>
    </w:pPr>
  </w:style>
  <w:style w:type="paragraph" w:customStyle="1" w:styleId="BE343C0A3357424294F39F680051F9AF">
    <w:name w:val="BE343C0A3357424294F39F680051F9AF"/>
    <w:rsid w:val="00B47F0F"/>
    <w:pPr>
      <w:widowControl w:val="0"/>
      <w:jc w:val="both"/>
    </w:pPr>
  </w:style>
  <w:style w:type="paragraph" w:customStyle="1" w:styleId="A8FCE2F95BC3413FA53FA3C82B6C3AAB">
    <w:name w:val="A8FCE2F95BC3413FA53FA3C82B6C3AAB"/>
    <w:rsid w:val="00B47F0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6031-D3F9-4892-B074-B278582F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8</TotalTime>
  <Pages>1</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王聃聃</dc:creator>
  <cp:keywords>模板</cp:keywords>
  <cp:lastModifiedBy>翁倩岚</cp:lastModifiedBy>
  <cp:revision>9</cp:revision>
  <cp:lastPrinted>2014-10-10T02:53:00Z</cp:lastPrinted>
  <dcterms:created xsi:type="dcterms:W3CDTF">2015-03-02T02:11:00Z</dcterms:created>
  <dcterms:modified xsi:type="dcterms:W3CDTF">2015-03-04T06:12:00Z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docSaved">
    <vt:lpwstr>true</vt:lpwstr>
  </property>
  <property fmtid="{D5CDD505-2E9C-101B-9397-08002B2CF9AE}" pid="37" name="ReportType1_Value">
    <vt:lpwstr>ff80808147862c3b01478666abf202d0</vt:lpwstr>
  </property>
  <property fmtid="{D5CDD505-2E9C-101B-9397-08002B2CF9AE}" pid="38" name="ReportType1_DisplayName">
    <vt:lpwstr>基金投资策略报告</vt:lpwstr>
  </property>
  <property fmtid="{D5CDD505-2E9C-101B-9397-08002B2CF9AE}" pid="39" name="ReportDate_Value">
    <vt:lpwstr>2015-03-02</vt:lpwstr>
  </property>
  <property fmtid="{D5CDD505-2E9C-101B-9397-08002B2CF9AE}" pid="40" name="ReportDate_DisplayName">
    <vt:lpwstr>2015年03月02日</vt:lpwstr>
  </property>
  <property fmtid="{D5CDD505-2E9C-101B-9397-08002B2CF9AE}" pid="41" name="StaffID_Value">
    <vt:lpwstr>FF00C761D2347BA0E0430100007FAB3A;</vt:lpwstr>
  </property>
  <property fmtid="{D5CDD505-2E9C-101B-9397-08002B2CF9AE}" pid="42" name="StaffID_DisplayName">
    <vt:lpwstr>王聃聃-公募产品组;</vt:lpwstr>
  </property>
  <property fmtid="{D5CDD505-2E9C-101B-9397-08002B2CF9AE}" pid="43" name="TemplateID">
    <vt:lpwstr> </vt:lpwstr>
  </property>
  <property fmtid="{D5CDD505-2E9C-101B-9397-08002B2CF9AE}" pid="44" name="BDCONTENTCONTROL_AUTO_SAVE_SubTitle">
    <vt:lpwstr>保持战术灵活，参与主题投资</vt:lpwstr>
  </property>
  <property fmtid="{D5CDD505-2E9C-101B-9397-08002B2CF9AE}" pid="45" name="BDCONTENTCONTROL_AUTO_SAVE_Summary">
    <vt:lpwstr>投资策略_x000d_短期经济下行和通缩的压力，促使央行连续出手，以降低资金利率，维持实际利率的稳定。央行再度降息使得市场重新获得货币政策持续宽松的预期，尽管2月的降准由于投资者已经有所预期，市场表现差强人意，但宽松的货币预期支撑了市场的结构性行情。国金策略小组认为，此次降息作为宽松货币的延续对股票市场仍然会起到支撑的作用。整体来看我们认为市场的投资环境仍相对乐观，但考虑市场对降息预期已经有较为充分的预期以及监管政策降杠杆防范风险的压力，也不必对降息做过度解读。从配置的角度，投资者可在平衡配置思路的基础上，适当倾向于</vt:lpwstr>
  </property>
  <property fmtid="{D5CDD505-2E9C-101B-9397-08002B2CF9AE}" pid="46" name="BDCONTENTCONTROL_AUTO_SAVE_Summary#2">
    <vt:lpwstr>受益于降息的周期蓝筹风格，尤其是前期创业板为代表的小盘成长股涨幅较大，需要关注回吐风险。此外，随着市场步入两会窗口，市场将更多关注政策的推进，受益于政策预期的主题投资机会有望活跃。_x000d_在市场投资环境仍相对乐观的背景下，基金组合无需多仓位做过多的选择，同时继续从组合结构进行积极调整。首先，考虑前期小盘成长股回调风险不断积聚，以及经济数据恶化政策博弈机会增强，短期投资组合风格可在前期均衡的基础上，减持小盘成长风格突出、重仓股涨幅过大的产品，适当关注大盘蓝筹风格的短期投资机会；其次，在市场高位震荡博弈的背景下，保</vt:lpwstr>
  </property>
  <property fmtid="{D5CDD505-2E9C-101B-9397-08002B2CF9AE}" pid="47" name="BDCONTENTCONTROL_AUTO_SAVE_Summary#3">
    <vt:lpwstr>持组合较高的灵活性仍然必要，优选灵活型产品进行配置以把握风格、行业的轮动；最后，两会窗口临近，受益于政策预期的主题投资机会有望活跃，投资者可继续甄选主题投资配置较多且擅长把握相关投资机会的产品。_x000d_对于2015年03月的基金组合：_x000d_本月进攻性组合增加海富通国策和宝盈策略，平均股票仓位90.65%，与前期相比略有上升。本期组合在前期风格均衡配置的基础上适当侧重周期蓝筹风格以及主题投资机会。其中，光大配置相对均衡，风险收益配比较好，且具备较强的选股能力；海富通国策和大摩主题具有较高的灵活性，对主题投资以及市场热</vt:lpwstr>
  </property>
  <property fmtid="{D5CDD505-2E9C-101B-9397-08002B2CF9AE}" pid="48" name="BDCONTENTCONTROL_AUTO_SAVE_Summary#4">
    <vt:lpwstr>点有不错的把握；招商大盘蓝筹注重把握低估值轮动，并有较好的风险控制能力；宝盈策略在主题投资和个股自下而上的把握均具备优势；_x000d_防御型组合本月增加添富逆向，组合风格在前期均衡配置的基础上适当增强周期蓝筹风格。组合内华安逆向的投资较为灵活，对风格轮动、行业轮动以及主题轮动有不错的把握，富国天成的配置注重均衡，基金经理自下而上的选股能力较强，添富逆向的价值投资策略显著，偏好低估值和估值合理的成长性股票，此外，两只债券型基金占据40%的比例作为防御部分的配置；_x000d_作为灵活配置型组合，在当前市场环境相对乐观的背景下，适</vt:lpwstr>
  </property>
  <property fmtid="{D5CDD505-2E9C-101B-9397-08002B2CF9AE}" pid="49" name="BDCONTENTCONTROL_AUTO_SAVE_Summary#5">
    <vt:lpwstr>当提升权益类产品的配置，组合内权益类和固定收益类产品各占50%，权益类基金关注添富逆向和长盛电子信息，两只基金在风格上做进一步均衡，前者侧重低估值蓝筹股，后者侧重高成长性行业中的估值合理个股。_x000d_</vt:lpwstr>
  </property>
</Properties>
</file>