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6B085A" w:rsidRDefault="008F6B2C" w:rsidP="00B10000">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b/>
          <w:bCs/>
          <w:noProof/>
          <w:color w:val="0070C0"/>
          <w:kern w:val="0"/>
          <w:sz w:val="24"/>
          <w:szCs w:val="20"/>
        </w:rPr>
        <w:pict>
          <v:shapetype id="_x0000_t202" coordsize="21600,21600" o:spt="202" path="m,l,21600r21600,l21600,xe">
            <v:stroke joinstyle="miter"/>
            <v:path gradientshapeok="t" o:connecttype="rect"/>
          </v:shapetype>
          <v:shape id="_x0000_s2050" type="#_x0000_t202" style="position:absolute;left:0;text-align:left;margin-left:1.5pt;margin-top:285.2pt;width:148.5pt;height:275.6pt;z-index:251658240;mso-width-relative:margin;mso-height-relative:margin" strokecolor="white [3212]" strokeweight="0">
            <v:stroke dashstyle="1 1" endcap="round"/>
            <v:textbox style="mso-next-textbox:#_x0000_s2050">
              <w:txbxContent>
                <w:p w:rsidR="00094657" w:rsidRPr="00635482" w:rsidRDefault="00094657" w:rsidP="002A2B89">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094657" w:rsidRPr="00635482" w:rsidRDefault="00094657" w:rsidP="002A2B89">
                  <w:pPr>
                    <w:rPr>
                      <w:rFonts w:ascii="楷体" w:eastAsia="楷体" w:hAnsi="楷体"/>
                      <w:lang w:val="en-GB"/>
                    </w:rPr>
                  </w:pPr>
                </w:p>
                <w:p w:rsidR="00094657" w:rsidRPr="00635482" w:rsidRDefault="00094657" w:rsidP="002A2B89">
                  <w:r w:rsidRPr="00635482">
                    <w:rPr>
                      <w:rFonts w:ascii="楷体" w:eastAsia="楷体" w:hAnsi="楷体" w:hint="eastAsia"/>
                      <w:lang w:val="en-GB"/>
                    </w:rPr>
                    <w:t>官方微博：</w:t>
                  </w:r>
                </w:p>
                <w:p w:rsidR="00094657" w:rsidRPr="00635482" w:rsidRDefault="00094657" w:rsidP="002A2B8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094657" w:rsidRDefault="00094657" w:rsidP="002A2B89">
                  <w:r>
                    <w:rPr>
                      <w:rFonts w:hint="eastAsia"/>
                      <w:noProof/>
                    </w:rPr>
                    <w:drawing>
                      <wp:inline distT="0" distB="0" distL="0" distR="0">
                        <wp:extent cx="933450" cy="933450"/>
                        <wp:effectExtent l="19050" t="0" r="0" b="0"/>
                        <wp:docPr id="4"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094657" w:rsidRDefault="00094657" w:rsidP="002A2B89">
                  <w:pPr>
                    <w:rPr>
                      <w:rFonts w:ascii="楷体" w:eastAsia="楷体" w:hAnsi="楷体"/>
                      <w:b/>
                      <w:lang w:val="en-GB"/>
                    </w:rPr>
                  </w:pPr>
                </w:p>
                <w:p w:rsidR="00094657" w:rsidRPr="00635482" w:rsidRDefault="00094657" w:rsidP="002A2B89">
                  <w:pPr>
                    <w:rPr>
                      <w:rFonts w:ascii="楷体" w:eastAsia="楷体" w:hAnsi="楷体"/>
                      <w:lang w:val="en-GB"/>
                    </w:rPr>
                  </w:pPr>
                  <w:r w:rsidRPr="00635482">
                    <w:rPr>
                      <w:rFonts w:ascii="楷体" w:eastAsia="楷体" w:hAnsi="楷体" w:hint="eastAsia"/>
                      <w:lang w:val="en-GB"/>
                    </w:rPr>
                    <w:t>官方微信：</w:t>
                  </w:r>
                </w:p>
                <w:p w:rsidR="00094657" w:rsidRPr="00635482" w:rsidRDefault="00094657" w:rsidP="002A2B8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094657" w:rsidRDefault="00094657" w:rsidP="002A2B89">
                  <w:r w:rsidRPr="00635482">
                    <w:rPr>
                      <w:rFonts w:ascii="楷体" w:eastAsia="楷体" w:hAnsi="楷体"/>
                      <w:b/>
                      <w:noProof/>
                    </w:rPr>
                    <w:drawing>
                      <wp:inline distT="0" distB="0" distL="0" distR="0">
                        <wp:extent cx="952500" cy="952500"/>
                        <wp:effectExtent l="19050" t="0" r="0" b="0"/>
                        <wp:docPr id="6"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A70401" w:rsidRPr="006B085A">
        <w:rPr>
          <w:rFonts w:ascii="Arial" w:eastAsia="楷体_GB2312" w:hAnsi="Arial" w:cs="Times New Roman" w:hint="eastAsia"/>
          <w:b/>
          <w:bCs/>
          <w:color w:val="0070C0"/>
          <w:kern w:val="0"/>
          <w:sz w:val="24"/>
          <w:szCs w:val="20"/>
          <w:lang w:val="en-GB"/>
        </w:rPr>
        <w:t>导语</w:t>
      </w:r>
    </w:p>
    <w:p w:rsidR="00F801CA" w:rsidRPr="00D71B0C" w:rsidRDefault="00F82D2A" w:rsidP="000C7ABD">
      <w:pPr>
        <w:pStyle w:val="ab"/>
        <w:numPr>
          <w:ilvl w:val="4"/>
          <w:numId w:val="4"/>
        </w:numPr>
        <w:spacing w:after="163"/>
        <w:rPr>
          <w:rFonts w:eastAsia="楷体_GB2312"/>
          <w:b/>
          <w:color w:val="auto"/>
        </w:rPr>
      </w:pPr>
      <w:r w:rsidRPr="00F82D2A">
        <w:rPr>
          <w:rFonts w:eastAsia="楷体_GB2312" w:hint="eastAsia"/>
          <w:b/>
          <w:color w:val="auto"/>
        </w:rPr>
        <w:t>2014</w:t>
      </w:r>
      <w:r w:rsidRPr="00F82D2A">
        <w:rPr>
          <w:rFonts w:eastAsia="楷体_GB2312" w:hint="eastAsia"/>
          <w:b/>
          <w:color w:val="auto"/>
        </w:rPr>
        <w:t>年</w:t>
      </w:r>
      <w:r w:rsidR="003248EA">
        <w:rPr>
          <w:rFonts w:eastAsia="楷体_GB2312" w:hint="eastAsia"/>
          <w:b/>
          <w:color w:val="auto"/>
        </w:rPr>
        <w:t>经济下行压力不减，</w:t>
      </w:r>
      <w:r w:rsidR="003248EA">
        <w:rPr>
          <w:rFonts w:eastAsia="楷体_GB2312" w:hint="eastAsia"/>
          <w:b/>
          <w:color w:val="auto"/>
        </w:rPr>
        <w:t>A</w:t>
      </w:r>
      <w:r w:rsidR="003248EA">
        <w:rPr>
          <w:rFonts w:eastAsia="楷体_GB2312" w:hint="eastAsia"/>
          <w:b/>
          <w:color w:val="auto"/>
        </w:rPr>
        <w:t>股市场在改革预期、流动性改善的背景下渐入佳境，四季度后，</w:t>
      </w:r>
      <w:r w:rsidR="003248EA" w:rsidRPr="003248EA">
        <w:rPr>
          <w:rFonts w:eastAsia="楷体_GB2312" w:hint="eastAsia"/>
          <w:b/>
          <w:color w:val="auto"/>
        </w:rPr>
        <w:t>走出一轮</w:t>
      </w:r>
      <w:r w:rsidR="003248EA">
        <w:rPr>
          <w:rFonts w:eastAsia="楷体_GB2312" w:hint="eastAsia"/>
          <w:b/>
          <w:color w:val="auto"/>
        </w:rPr>
        <w:t>波澜壮阔</w:t>
      </w:r>
      <w:r w:rsidR="003248EA" w:rsidRPr="003248EA">
        <w:rPr>
          <w:rFonts w:eastAsia="楷体_GB2312" w:hint="eastAsia"/>
          <w:b/>
          <w:color w:val="auto"/>
        </w:rPr>
        <w:t>的估值修复行情，</w:t>
      </w:r>
      <w:r w:rsidR="003248EA">
        <w:rPr>
          <w:rFonts w:eastAsia="楷体_GB2312" w:hint="eastAsia"/>
          <w:b/>
          <w:color w:val="auto"/>
        </w:rPr>
        <w:t>并最终实现</w:t>
      </w:r>
      <w:r w:rsidR="0004379A">
        <w:rPr>
          <w:rFonts w:eastAsia="楷体_GB2312" w:hint="eastAsia"/>
          <w:b/>
          <w:color w:val="auto"/>
        </w:rPr>
        <w:t>风格的转换，部分价值型产品最后一个季度成功实现逆袭，跻身涨幅榜前列，但仍有部分成长风格突出或配置较为均衡的产品，凭借着年初以来较为丰厚的积累回报，获得上佳业绩。而债券市场方面同样形势良好</w:t>
      </w:r>
      <w:r w:rsidR="005C0BEF">
        <w:rPr>
          <w:rFonts w:eastAsia="楷体_GB2312" w:hint="eastAsia"/>
          <w:b/>
          <w:color w:val="auto"/>
        </w:rPr>
        <w:t>，</w:t>
      </w:r>
      <w:proofErr w:type="gramStart"/>
      <w:r w:rsidR="005C0BEF">
        <w:rPr>
          <w:rFonts w:eastAsia="楷体_GB2312" w:hint="eastAsia"/>
          <w:b/>
          <w:color w:val="auto"/>
        </w:rPr>
        <w:t>债基全年</w:t>
      </w:r>
      <w:proofErr w:type="gramEnd"/>
      <w:r w:rsidR="005C0BEF">
        <w:rPr>
          <w:rFonts w:eastAsia="楷体_GB2312" w:hint="eastAsia"/>
          <w:b/>
          <w:color w:val="auto"/>
        </w:rPr>
        <w:t>平均涨幅近</w:t>
      </w:r>
      <w:r w:rsidR="005C0BEF">
        <w:rPr>
          <w:rFonts w:eastAsia="楷体_GB2312" w:hint="eastAsia"/>
          <w:b/>
          <w:color w:val="auto"/>
        </w:rPr>
        <w:t>20%</w:t>
      </w:r>
      <w:r w:rsidR="005C0BEF">
        <w:rPr>
          <w:rFonts w:eastAsia="楷体_GB2312" w:hint="eastAsia"/>
          <w:b/>
          <w:color w:val="auto"/>
        </w:rPr>
        <w:t>，其中可转</w:t>
      </w:r>
      <w:proofErr w:type="gramStart"/>
      <w:r w:rsidR="005C0BEF">
        <w:rPr>
          <w:rFonts w:eastAsia="楷体_GB2312" w:hint="eastAsia"/>
          <w:b/>
          <w:color w:val="auto"/>
        </w:rPr>
        <w:t>债基平均</w:t>
      </w:r>
      <w:proofErr w:type="gramEnd"/>
      <w:r w:rsidR="005C0BEF">
        <w:rPr>
          <w:rFonts w:eastAsia="楷体_GB2312" w:hint="eastAsia"/>
          <w:b/>
          <w:color w:val="auto"/>
        </w:rPr>
        <w:t>收益超</w:t>
      </w:r>
      <w:r w:rsidR="005C0BEF">
        <w:rPr>
          <w:rFonts w:eastAsia="楷体_GB2312" w:hint="eastAsia"/>
          <w:b/>
          <w:color w:val="auto"/>
        </w:rPr>
        <w:t>70%</w:t>
      </w:r>
      <w:r w:rsidR="005C0BEF">
        <w:rPr>
          <w:rFonts w:eastAsia="楷体_GB2312" w:hint="eastAsia"/>
          <w:b/>
          <w:color w:val="auto"/>
        </w:rPr>
        <w:t>，更是风光无限；</w:t>
      </w:r>
      <w:r w:rsidR="005C0BEF">
        <w:rPr>
          <w:rFonts w:eastAsia="楷体_GB2312" w:hint="eastAsia"/>
          <w:b/>
          <w:color w:val="auto"/>
        </w:rPr>
        <w:t>QDII</w:t>
      </w:r>
      <w:r w:rsidR="005C0BEF">
        <w:rPr>
          <w:rFonts w:eastAsia="楷体_GB2312" w:hint="eastAsia"/>
          <w:b/>
          <w:color w:val="auto"/>
        </w:rPr>
        <w:t>基金则喜忧参半，</w:t>
      </w:r>
      <w:r w:rsidR="005C0BEF">
        <w:rPr>
          <w:rFonts w:eastAsia="楷体_GB2312" w:hint="eastAsia"/>
          <w:b/>
          <w:color w:val="auto"/>
        </w:rPr>
        <w:t>REITs</w:t>
      </w:r>
      <w:r w:rsidR="005C0BEF">
        <w:rPr>
          <w:rFonts w:eastAsia="楷体_GB2312" w:hint="eastAsia"/>
          <w:b/>
          <w:color w:val="auto"/>
        </w:rPr>
        <w:t>及美</w:t>
      </w:r>
      <w:proofErr w:type="gramStart"/>
      <w:r w:rsidR="005C0BEF">
        <w:rPr>
          <w:rFonts w:eastAsia="楷体_GB2312" w:hint="eastAsia"/>
          <w:b/>
          <w:color w:val="auto"/>
        </w:rPr>
        <w:t>股产品</w:t>
      </w:r>
      <w:proofErr w:type="gramEnd"/>
      <w:r w:rsidR="005C0BEF">
        <w:rPr>
          <w:rFonts w:eastAsia="楷体_GB2312" w:hint="eastAsia"/>
          <w:b/>
          <w:color w:val="auto"/>
        </w:rPr>
        <w:t>表现强势，大宗商品主题则不甚理想。规模方面，</w:t>
      </w:r>
      <w:r w:rsidR="005C0BEF">
        <w:rPr>
          <w:rFonts w:eastAsia="楷体_GB2312" w:hint="eastAsia"/>
          <w:b/>
          <w:color w:val="auto"/>
        </w:rPr>
        <w:t>2014</w:t>
      </w:r>
      <w:r w:rsidR="005C0BEF">
        <w:rPr>
          <w:rFonts w:eastAsia="楷体_GB2312" w:hint="eastAsia"/>
          <w:b/>
          <w:color w:val="auto"/>
        </w:rPr>
        <w:t>年</w:t>
      </w:r>
      <w:r w:rsidR="005C0BEF" w:rsidRPr="005C0BEF">
        <w:rPr>
          <w:rFonts w:eastAsia="楷体_GB2312" w:hint="eastAsia"/>
          <w:b/>
          <w:color w:val="auto"/>
        </w:rPr>
        <w:t>公</w:t>
      </w:r>
      <w:proofErr w:type="gramStart"/>
      <w:r w:rsidR="005C0BEF" w:rsidRPr="005C0BEF">
        <w:rPr>
          <w:rFonts w:eastAsia="楷体_GB2312" w:hint="eastAsia"/>
          <w:b/>
          <w:color w:val="auto"/>
        </w:rPr>
        <w:t>募基金</w:t>
      </w:r>
      <w:proofErr w:type="gramEnd"/>
      <w:r w:rsidR="005C0BEF" w:rsidRPr="005C0BEF">
        <w:rPr>
          <w:rFonts w:eastAsia="楷体_GB2312" w:hint="eastAsia"/>
          <w:b/>
          <w:color w:val="auto"/>
        </w:rPr>
        <w:t>资产规模（剔除联接基金）总计达</w:t>
      </w:r>
      <w:r w:rsidR="005C0BEF" w:rsidRPr="005C0BEF">
        <w:rPr>
          <w:rFonts w:eastAsia="楷体_GB2312" w:hint="eastAsia"/>
          <w:b/>
          <w:color w:val="auto"/>
        </w:rPr>
        <w:t>44381.03</w:t>
      </w:r>
      <w:r w:rsidR="005C0BEF" w:rsidRPr="005C0BEF">
        <w:rPr>
          <w:rFonts w:eastAsia="楷体_GB2312" w:hint="eastAsia"/>
          <w:b/>
          <w:color w:val="auto"/>
        </w:rPr>
        <w:t>亿元，相较去年年末大幅增长</w:t>
      </w:r>
      <w:r w:rsidR="005C0BEF" w:rsidRPr="005C0BEF">
        <w:rPr>
          <w:rFonts w:eastAsia="楷体_GB2312" w:hint="eastAsia"/>
          <w:b/>
          <w:color w:val="auto"/>
        </w:rPr>
        <w:t>51.86%</w:t>
      </w:r>
      <w:r w:rsidR="005C0BEF" w:rsidRPr="005C0BEF">
        <w:rPr>
          <w:rFonts w:eastAsia="楷体_GB2312" w:hint="eastAsia"/>
          <w:b/>
          <w:color w:val="auto"/>
        </w:rPr>
        <w:t>，</w:t>
      </w:r>
      <w:r w:rsidR="005C0BEF">
        <w:rPr>
          <w:rFonts w:eastAsia="楷体_GB2312" w:hint="eastAsia"/>
          <w:b/>
          <w:color w:val="auto"/>
        </w:rPr>
        <w:t>其中</w:t>
      </w:r>
      <w:r w:rsidRPr="00F82D2A">
        <w:rPr>
          <w:rFonts w:eastAsia="楷体_GB2312" w:hint="eastAsia"/>
          <w:b/>
          <w:color w:val="auto"/>
        </w:rPr>
        <w:t>货币基金在互联网金融热潮下</w:t>
      </w:r>
      <w:r w:rsidR="005C0BEF">
        <w:rPr>
          <w:rFonts w:eastAsia="楷体_GB2312" w:hint="eastAsia"/>
          <w:b/>
          <w:color w:val="auto"/>
        </w:rPr>
        <w:t>实现升级换代，不仅发行市场供需两旺，资产规模更是扩张</w:t>
      </w:r>
      <w:r w:rsidR="005C0BEF" w:rsidRPr="005C0BEF">
        <w:rPr>
          <w:rFonts w:eastAsia="楷体_GB2312"/>
          <w:b/>
          <w:color w:val="auto"/>
        </w:rPr>
        <w:t>179.06</w:t>
      </w:r>
      <w:r w:rsidR="005C0BEF">
        <w:rPr>
          <w:rFonts w:eastAsia="楷体_GB2312" w:hint="eastAsia"/>
          <w:b/>
          <w:color w:val="auto"/>
        </w:rPr>
        <w:t>%</w:t>
      </w:r>
      <w:r w:rsidR="005C0BEF">
        <w:rPr>
          <w:rFonts w:eastAsia="楷体_GB2312" w:hint="eastAsia"/>
          <w:b/>
          <w:color w:val="auto"/>
        </w:rPr>
        <w:t>。发行市场方面，</w:t>
      </w:r>
      <w:proofErr w:type="gramStart"/>
      <w:r w:rsidR="00E13B49">
        <w:rPr>
          <w:rFonts w:eastAsia="楷体_GB2312" w:hint="eastAsia"/>
          <w:b/>
          <w:color w:val="auto"/>
        </w:rPr>
        <w:t>偏股产品</w:t>
      </w:r>
      <w:proofErr w:type="gramEnd"/>
      <w:r w:rsidR="00E13B49">
        <w:rPr>
          <w:rFonts w:eastAsia="楷体_GB2312" w:hint="eastAsia"/>
          <w:b/>
          <w:color w:val="auto"/>
        </w:rPr>
        <w:t>供应提速，其中混合型产品发行数量及募集规模均较去年同期大增，</w:t>
      </w:r>
      <w:proofErr w:type="gramStart"/>
      <w:r w:rsidR="00E13B49">
        <w:rPr>
          <w:rFonts w:eastAsia="楷体_GB2312" w:hint="eastAsia"/>
          <w:b/>
          <w:color w:val="auto"/>
        </w:rPr>
        <w:t>成为偏股类</w:t>
      </w:r>
      <w:proofErr w:type="gramEnd"/>
      <w:r w:rsidR="00E13B49">
        <w:rPr>
          <w:rFonts w:eastAsia="楷体_GB2312" w:hint="eastAsia"/>
          <w:b/>
          <w:color w:val="auto"/>
        </w:rPr>
        <w:t>产品新的增长亮点</w:t>
      </w:r>
      <w:r w:rsidRPr="00F82D2A">
        <w:rPr>
          <w:rFonts w:eastAsia="楷体_GB2312" w:hint="eastAsia"/>
          <w:b/>
          <w:color w:val="auto"/>
        </w:rPr>
        <w:t>，而债券型品种则现退热迹象。</w:t>
      </w:r>
      <w:r w:rsidR="00E13B49">
        <w:rPr>
          <w:rFonts w:eastAsia="楷体_GB2312" w:hint="eastAsia"/>
          <w:b/>
          <w:color w:val="auto"/>
        </w:rPr>
        <w:t>法规及监管层面，</w:t>
      </w:r>
      <w:r w:rsidR="00E13B49" w:rsidRPr="00E13B49">
        <w:rPr>
          <w:rFonts w:eastAsia="楷体_GB2312" w:hint="eastAsia"/>
          <w:b/>
          <w:color w:val="auto"/>
        </w:rPr>
        <w:t>《公开募集证券投资基金运作管理办法》</w:t>
      </w:r>
      <w:r w:rsidR="00E13B49">
        <w:rPr>
          <w:rFonts w:eastAsia="楷体_GB2312" w:hint="eastAsia"/>
          <w:b/>
          <w:color w:val="auto"/>
        </w:rPr>
        <w:t>发布，公</w:t>
      </w:r>
      <w:proofErr w:type="gramStart"/>
      <w:r w:rsidR="00E13B49">
        <w:rPr>
          <w:rFonts w:eastAsia="楷体_GB2312" w:hint="eastAsia"/>
          <w:b/>
          <w:color w:val="auto"/>
        </w:rPr>
        <w:t>募产品</w:t>
      </w:r>
      <w:proofErr w:type="gramEnd"/>
      <w:r w:rsidR="00E13B49">
        <w:rPr>
          <w:rFonts w:eastAsia="楷体_GB2312" w:hint="eastAsia"/>
          <w:b/>
          <w:color w:val="auto"/>
        </w:rPr>
        <w:t>注册制正式落地；协会发布</w:t>
      </w:r>
      <w:proofErr w:type="gramStart"/>
      <w:r w:rsidR="00E13B49">
        <w:rPr>
          <w:rFonts w:eastAsia="楷体_GB2312" w:hint="eastAsia"/>
          <w:b/>
          <w:color w:val="auto"/>
        </w:rPr>
        <w:t>券基资管规范</w:t>
      </w:r>
      <w:proofErr w:type="gramEnd"/>
      <w:r w:rsidR="00E13B49">
        <w:rPr>
          <w:rFonts w:eastAsia="楷体_GB2312" w:hint="eastAsia"/>
          <w:b/>
          <w:color w:val="auto"/>
        </w:rPr>
        <w:t>意见稿，一对多通道业务面临被禁；</w:t>
      </w:r>
      <w:r w:rsidR="00E13B49" w:rsidRPr="00E13B49">
        <w:rPr>
          <w:rFonts w:eastAsia="楷体_GB2312" w:hint="eastAsia"/>
          <w:b/>
          <w:color w:val="auto"/>
        </w:rPr>
        <w:t>《基金业务外包服务指引》出台</w:t>
      </w:r>
      <w:r w:rsidR="00E13B49">
        <w:rPr>
          <w:rFonts w:eastAsia="楷体_GB2312" w:hint="eastAsia"/>
          <w:b/>
          <w:color w:val="auto"/>
        </w:rPr>
        <w:t>，对</w:t>
      </w:r>
      <w:r w:rsidR="00E13B49" w:rsidRPr="00E13B49">
        <w:rPr>
          <w:rFonts w:eastAsia="楷体_GB2312" w:hint="eastAsia"/>
          <w:b/>
          <w:color w:val="auto"/>
        </w:rPr>
        <w:t>公、私募基金</w:t>
      </w:r>
      <w:r w:rsidR="00E13B49">
        <w:rPr>
          <w:rFonts w:eastAsia="楷体_GB2312" w:hint="eastAsia"/>
          <w:b/>
          <w:color w:val="auto"/>
        </w:rPr>
        <w:t>外包业务环节进行</w:t>
      </w:r>
      <w:r w:rsidR="00E13B49" w:rsidRPr="00E13B49">
        <w:rPr>
          <w:rFonts w:eastAsia="楷体_GB2312" w:hint="eastAsia"/>
          <w:b/>
          <w:color w:val="auto"/>
        </w:rPr>
        <w:t>细化，</w:t>
      </w:r>
      <w:r w:rsidR="0054078C">
        <w:rPr>
          <w:rFonts w:eastAsia="楷体_GB2312" w:hint="eastAsia"/>
          <w:b/>
          <w:color w:val="auto"/>
        </w:rPr>
        <w:t>相关业务的发展</w:t>
      </w:r>
      <w:r w:rsidR="00E13B49" w:rsidRPr="00E13B49">
        <w:rPr>
          <w:rFonts w:eastAsia="楷体_GB2312" w:hint="eastAsia"/>
          <w:b/>
          <w:color w:val="auto"/>
        </w:rPr>
        <w:t>对于基金公司降低运营成本、引导资源配置向投</w:t>
      </w:r>
      <w:proofErr w:type="gramStart"/>
      <w:r w:rsidR="00E13B49" w:rsidRPr="00E13B49">
        <w:rPr>
          <w:rFonts w:eastAsia="楷体_GB2312" w:hint="eastAsia"/>
          <w:b/>
          <w:color w:val="auto"/>
        </w:rPr>
        <w:t>研</w:t>
      </w:r>
      <w:proofErr w:type="gramEnd"/>
      <w:r w:rsidR="00E13B49" w:rsidRPr="00E13B49">
        <w:rPr>
          <w:rFonts w:eastAsia="楷体_GB2312" w:hint="eastAsia"/>
          <w:b/>
          <w:color w:val="auto"/>
        </w:rPr>
        <w:t>倾斜，提高专业化水平均具有较强的正面积极意义。</w:t>
      </w:r>
      <w:r w:rsidR="0054078C">
        <w:rPr>
          <w:rFonts w:eastAsia="楷体_GB2312" w:hint="eastAsia"/>
          <w:b/>
          <w:color w:val="auto"/>
        </w:rPr>
        <w:t>产品创新方面，互联网金融助</w:t>
      </w:r>
      <w:proofErr w:type="gramStart"/>
      <w:r w:rsidR="0054078C">
        <w:rPr>
          <w:rFonts w:eastAsia="楷体_GB2312" w:hint="eastAsia"/>
          <w:b/>
          <w:color w:val="auto"/>
        </w:rPr>
        <w:t>推货币</w:t>
      </w:r>
      <w:proofErr w:type="gramEnd"/>
      <w:r w:rsidR="0054078C">
        <w:rPr>
          <w:rFonts w:eastAsia="楷体_GB2312" w:hint="eastAsia"/>
          <w:b/>
          <w:color w:val="auto"/>
        </w:rPr>
        <w:t>基金升级换代，</w:t>
      </w:r>
      <w:r w:rsidR="0054078C" w:rsidRPr="0054078C">
        <w:rPr>
          <w:rFonts w:eastAsia="楷体_GB2312" w:hint="eastAsia"/>
          <w:b/>
          <w:color w:val="auto"/>
        </w:rPr>
        <w:t>基金</w:t>
      </w:r>
      <w:r w:rsidR="0054078C">
        <w:rPr>
          <w:rFonts w:eastAsia="楷体_GB2312" w:hint="eastAsia"/>
          <w:b/>
          <w:color w:val="auto"/>
        </w:rPr>
        <w:t>产品</w:t>
      </w:r>
      <w:r w:rsidR="0054078C" w:rsidRPr="0054078C">
        <w:rPr>
          <w:rFonts w:eastAsia="楷体_GB2312" w:hint="eastAsia"/>
          <w:b/>
          <w:color w:val="auto"/>
        </w:rPr>
        <w:t>创新瞄准大数据</w:t>
      </w:r>
      <w:r w:rsidR="0054078C">
        <w:rPr>
          <w:rFonts w:eastAsia="楷体_GB2312" w:hint="eastAsia"/>
          <w:b/>
          <w:color w:val="auto"/>
        </w:rPr>
        <w:t>，嘉实首推</w:t>
      </w:r>
      <w:proofErr w:type="gramStart"/>
      <w:r w:rsidR="0054078C" w:rsidRPr="0054078C">
        <w:rPr>
          <w:rFonts w:eastAsia="楷体_GB2312" w:hint="eastAsia"/>
          <w:b/>
          <w:color w:val="auto"/>
        </w:rPr>
        <w:t>混改公募产品</w:t>
      </w:r>
      <w:proofErr w:type="gramEnd"/>
      <w:r w:rsidR="0054078C">
        <w:rPr>
          <w:rFonts w:eastAsia="楷体_GB2312" w:hint="eastAsia"/>
          <w:b/>
          <w:color w:val="auto"/>
        </w:rPr>
        <w:t>获得热捧</w:t>
      </w:r>
      <w:r w:rsidRPr="00F82D2A">
        <w:rPr>
          <w:rFonts w:eastAsia="楷体_GB2312" w:hint="eastAsia"/>
          <w:b/>
          <w:color w:val="auto"/>
        </w:rPr>
        <w:t>；此外基金公司制度层面，伴随着中欧、</w:t>
      </w:r>
      <w:proofErr w:type="gramStart"/>
      <w:r w:rsidRPr="00F82D2A">
        <w:rPr>
          <w:rFonts w:eastAsia="楷体_GB2312" w:hint="eastAsia"/>
          <w:b/>
          <w:color w:val="auto"/>
        </w:rPr>
        <w:t>天弘股权</w:t>
      </w:r>
      <w:proofErr w:type="gramEnd"/>
      <w:r w:rsidRPr="00F82D2A">
        <w:rPr>
          <w:rFonts w:eastAsia="楷体_GB2312" w:hint="eastAsia"/>
          <w:b/>
          <w:color w:val="auto"/>
        </w:rPr>
        <w:t>改革方案的正式获批，严格意义上的基金公司股权激励出现实质性突破。本文将围绕业绩、规模、产品发行、</w:t>
      </w:r>
      <w:r w:rsidR="0054078C">
        <w:rPr>
          <w:rFonts w:eastAsia="楷体_GB2312" w:hint="eastAsia"/>
          <w:b/>
          <w:color w:val="auto"/>
        </w:rPr>
        <w:t>法律监管环境、产品创新</w:t>
      </w:r>
      <w:r w:rsidRPr="00F82D2A">
        <w:rPr>
          <w:rFonts w:eastAsia="楷体_GB2312" w:hint="eastAsia"/>
          <w:b/>
          <w:color w:val="auto"/>
        </w:rPr>
        <w:t>以及</w:t>
      </w:r>
      <w:r w:rsidR="0054078C">
        <w:rPr>
          <w:rFonts w:eastAsia="楷体_GB2312" w:hint="eastAsia"/>
          <w:b/>
          <w:color w:val="auto"/>
        </w:rPr>
        <w:t>公司制度层面的</w:t>
      </w:r>
      <w:r w:rsidRPr="00F82D2A">
        <w:rPr>
          <w:rFonts w:eastAsia="楷体_GB2312" w:hint="eastAsia"/>
          <w:b/>
          <w:color w:val="auto"/>
        </w:rPr>
        <w:t>股权激励</w:t>
      </w:r>
      <w:r w:rsidR="0054078C">
        <w:rPr>
          <w:rFonts w:eastAsia="楷体_GB2312" w:hint="eastAsia"/>
          <w:b/>
          <w:color w:val="auto"/>
        </w:rPr>
        <w:t>对</w:t>
      </w:r>
      <w:r w:rsidR="0054078C">
        <w:rPr>
          <w:rFonts w:eastAsia="楷体_GB2312" w:hint="eastAsia"/>
          <w:b/>
          <w:color w:val="auto"/>
        </w:rPr>
        <w:t>2014</w:t>
      </w:r>
      <w:r w:rsidR="0054078C">
        <w:rPr>
          <w:rFonts w:eastAsia="楷体_GB2312" w:hint="eastAsia"/>
          <w:b/>
          <w:color w:val="auto"/>
        </w:rPr>
        <w:t>年</w:t>
      </w:r>
      <w:r w:rsidRPr="00F82D2A">
        <w:rPr>
          <w:rFonts w:eastAsia="楷体_GB2312" w:hint="eastAsia"/>
          <w:b/>
          <w:color w:val="auto"/>
        </w:rPr>
        <w:t>基金业发展进行梳理与回顾。</w:t>
      </w:r>
    </w:p>
    <w:p w:rsidR="00CA4E6A" w:rsidRPr="006B085A" w:rsidRDefault="00056C3C" w:rsidP="00122F39">
      <w:pPr>
        <w:widowControl/>
        <w:spacing w:beforeLines="100"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2014</w:t>
      </w:r>
      <w:r w:rsidR="0083198F">
        <w:rPr>
          <w:rFonts w:ascii="Arial" w:eastAsia="楷体_GB2312" w:hAnsi="Arial" w:cs="Times New Roman" w:hint="eastAsia"/>
          <w:b/>
          <w:bCs/>
          <w:color w:val="0070C0"/>
          <w:kern w:val="0"/>
          <w:sz w:val="24"/>
          <w:szCs w:val="20"/>
          <w:lang w:val="en-GB"/>
        </w:rPr>
        <w:t>年业绩：</w:t>
      </w:r>
      <w:r w:rsidR="00EB1F88">
        <w:rPr>
          <w:rFonts w:ascii="Arial" w:eastAsia="楷体_GB2312" w:hAnsi="Arial" w:cs="Times New Roman" w:hint="eastAsia"/>
          <w:b/>
          <w:bCs/>
          <w:color w:val="0070C0"/>
          <w:kern w:val="0"/>
          <w:sz w:val="24"/>
          <w:szCs w:val="20"/>
          <w:lang w:val="en-GB"/>
        </w:rPr>
        <w:t>股债齐涨</w:t>
      </w:r>
      <w:r w:rsidR="00F82D2A" w:rsidRPr="00F82D2A">
        <w:rPr>
          <w:rFonts w:ascii="Arial" w:eastAsia="楷体_GB2312" w:hAnsi="Arial" w:cs="Times New Roman" w:hint="eastAsia"/>
          <w:b/>
          <w:bCs/>
          <w:color w:val="0070C0"/>
          <w:kern w:val="0"/>
          <w:sz w:val="24"/>
          <w:szCs w:val="20"/>
          <w:lang w:val="en-GB"/>
        </w:rPr>
        <w:t>，</w:t>
      </w:r>
      <w:r w:rsidR="00EB1F88">
        <w:rPr>
          <w:rFonts w:ascii="Arial" w:eastAsia="楷体_GB2312" w:hAnsi="Arial" w:cs="Times New Roman" w:hint="eastAsia"/>
          <w:b/>
          <w:bCs/>
          <w:color w:val="0070C0"/>
          <w:kern w:val="0"/>
          <w:sz w:val="24"/>
          <w:szCs w:val="20"/>
          <w:lang w:val="en-GB"/>
        </w:rPr>
        <w:t>QDII</w:t>
      </w:r>
      <w:r w:rsidR="00EB1F88">
        <w:rPr>
          <w:rFonts w:ascii="Arial" w:eastAsia="楷体_GB2312" w:hAnsi="Arial" w:cs="Times New Roman" w:hint="eastAsia"/>
          <w:b/>
          <w:bCs/>
          <w:color w:val="0070C0"/>
          <w:kern w:val="0"/>
          <w:sz w:val="24"/>
          <w:szCs w:val="20"/>
          <w:lang w:val="en-GB"/>
        </w:rPr>
        <w:t>分化</w:t>
      </w:r>
    </w:p>
    <w:p w:rsidR="00AB14D1" w:rsidRDefault="00F82D2A" w:rsidP="00ED1EA5">
      <w:pPr>
        <w:pStyle w:val="ab"/>
        <w:numPr>
          <w:ilvl w:val="4"/>
          <w:numId w:val="1"/>
        </w:numPr>
        <w:spacing w:after="163"/>
        <w:rPr>
          <w:rFonts w:eastAsia="楷体_GB2312"/>
          <w:color w:val="auto"/>
        </w:rPr>
      </w:pPr>
      <w:r w:rsidRPr="00F82D2A">
        <w:rPr>
          <w:rFonts w:eastAsia="楷体_GB2312" w:hint="eastAsia"/>
          <w:color w:val="auto"/>
        </w:rPr>
        <w:t>2014</w:t>
      </w:r>
      <w:r w:rsidRPr="00F82D2A">
        <w:rPr>
          <w:rFonts w:eastAsia="楷体_GB2312" w:hint="eastAsia"/>
          <w:color w:val="auto"/>
        </w:rPr>
        <w:t>年上半年，</w:t>
      </w:r>
      <w:r w:rsidRPr="00F82D2A">
        <w:rPr>
          <w:rFonts w:eastAsia="楷体_GB2312" w:hint="eastAsia"/>
          <w:color w:val="auto"/>
        </w:rPr>
        <w:t>A</w:t>
      </w:r>
      <w:r w:rsidR="005D2D20">
        <w:rPr>
          <w:rFonts w:eastAsia="楷体_GB2312" w:hint="eastAsia"/>
          <w:color w:val="auto"/>
        </w:rPr>
        <w:t>股市场受</w:t>
      </w:r>
      <w:r w:rsidRPr="00F82D2A">
        <w:rPr>
          <w:rFonts w:eastAsia="楷体_GB2312" w:hint="eastAsia"/>
          <w:color w:val="auto"/>
        </w:rPr>
        <w:t>宏观经济下行压力增强、政策</w:t>
      </w:r>
      <w:proofErr w:type="gramStart"/>
      <w:r w:rsidRPr="00F82D2A">
        <w:rPr>
          <w:rFonts w:eastAsia="楷体_GB2312" w:hint="eastAsia"/>
          <w:color w:val="auto"/>
        </w:rPr>
        <w:t>微刺激</w:t>
      </w:r>
      <w:proofErr w:type="gramEnd"/>
      <w:r w:rsidRPr="00F82D2A">
        <w:rPr>
          <w:rFonts w:eastAsia="楷体_GB2312" w:hint="eastAsia"/>
          <w:color w:val="auto"/>
        </w:rPr>
        <w:t>效果相对滞后、</w:t>
      </w:r>
      <w:r w:rsidRPr="00F82D2A">
        <w:rPr>
          <w:rFonts w:eastAsia="楷体_GB2312" w:hint="eastAsia"/>
          <w:color w:val="auto"/>
        </w:rPr>
        <w:t>IPO</w:t>
      </w:r>
      <w:r w:rsidR="007973EB">
        <w:rPr>
          <w:rFonts w:eastAsia="楷体_GB2312" w:hint="eastAsia"/>
          <w:color w:val="auto"/>
        </w:rPr>
        <w:t>开闸重启等多方因素影响，</w:t>
      </w:r>
      <w:r w:rsidR="005D2D20">
        <w:rPr>
          <w:rFonts w:eastAsia="楷体_GB2312" w:hint="eastAsia"/>
          <w:color w:val="auto"/>
        </w:rPr>
        <w:t>表现相对平庸</w:t>
      </w:r>
      <w:r w:rsidRPr="00F82D2A">
        <w:rPr>
          <w:rFonts w:eastAsia="楷体_GB2312" w:hint="eastAsia"/>
          <w:color w:val="auto"/>
        </w:rPr>
        <w:t>;</w:t>
      </w:r>
      <w:r w:rsidR="007973EB">
        <w:rPr>
          <w:rFonts w:eastAsia="楷体_GB2312" w:hint="eastAsia"/>
          <w:color w:val="auto"/>
        </w:rPr>
        <w:t>而下半年</w:t>
      </w:r>
      <w:r w:rsidR="005D2D20">
        <w:rPr>
          <w:rFonts w:eastAsia="楷体_GB2312" w:hint="eastAsia"/>
          <w:color w:val="auto"/>
        </w:rPr>
        <w:t>则</w:t>
      </w:r>
      <w:r w:rsidR="007973EB">
        <w:rPr>
          <w:rFonts w:eastAsia="楷体_GB2312" w:hint="eastAsia"/>
          <w:color w:val="auto"/>
        </w:rPr>
        <w:t>伴随着宽松加码、</w:t>
      </w:r>
      <w:r w:rsidR="005D2D20">
        <w:rPr>
          <w:rFonts w:eastAsia="楷体_GB2312" w:hint="eastAsia"/>
          <w:color w:val="auto"/>
        </w:rPr>
        <w:t>改革预期提振、资金入市节奏加快</w:t>
      </w:r>
      <w:r w:rsidRPr="00F82D2A">
        <w:rPr>
          <w:rFonts w:eastAsia="楷体_GB2312" w:hint="eastAsia"/>
          <w:color w:val="auto"/>
        </w:rPr>
        <w:t>而</w:t>
      </w:r>
      <w:r w:rsidR="005D2D20">
        <w:rPr>
          <w:rFonts w:eastAsia="楷体_GB2312" w:hint="eastAsia"/>
          <w:color w:val="auto"/>
        </w:rPr>
        <w:t>逐级走高</w:t>
      </w:r>
      <w:r w:rsidR="00AB14D1">
        <w:rPr>
          <w:rFonts w:eastAsia="楷体_GB2312" w:hint="eastAsia"/>
          <w:color w:val="auto"/>
        </w:rPr>
        <w:t>。</w:t>
      </w:r>
      <w:r w:rsidR="005D2D20">
        <w:rPr>
          <w:rFonts w:eastAsia="楷体_GB2312" w:hint="eastAsia"/>
          <w:color w:val="auto"/>
        </w:rPr>
        <w:t>从风格轮动的角度来看</w:t>
      </w:r>
      <w:r w:rsidR="00C378EA">
        <w:rPr>
          <w:rFonts w:eastAsia="楷体_GB2312" w:hint="eastAsia"/>
          <w:color w:val="auto"/>
        </w:rPr>
        <w:t>，</w:t>
      </w:r>
      <w:r w:rsidR="00C378EA">
        <w:rPr>
          <w:rFonts w:eastAsia="楷体_GB2312" w:hint="eastAsia"/>
          <w:color w:val="auto"/>
        </w:rPr>
        <w:t>2014</w:t>
      </w:r>
      <w:r w:rsidR="00C378EA">
        <w:rPr>
          <w:rFonts w:eastAsia="楷体_GB2312" w:hint="eastAsia"/>
          <w:color w:val="auto"/>
        </w:rPr>
        <w:t>年前三季度小盘成长股表现相对强势，进入到四季度后，大盘蓝</w:t>
      </w:r>
      <w:proofErr w:type="gramStart"/>
      <w:r w:rsidR="00C378EA">
        <w:rPr>
          <w:rFonts w:eastAsia="楷体_GB2312" w:hint="eastAsia"/>
          <w:color w:val="auto"/>
        </w:rPr>
        <w:t>筹走出</w:t>
      </w:r>
      <w:proofErr w:type="gramEnd"/>
      <w:r w:rsidR="00C378EA">
        <w:rPr>
          <w:rFonts w:eastAsia="楷体_GB2312" w:hint="eastAsia"/>
          <w:color w:val="auto"/>
        </w:rPr>
        <w:t>一轮</w:t>
      </w:r>
      <w:r w:rsidR="003248EA">
        <w:rPr>
          <w:rFonts w:eastAsia="楷体_GB2312" w:hint="eastAsia"/>
          <w:color w:val="auto"/>
        </w:rPr>
        <w:t>波澜壮阔</w:t>
      </w:r>
      <w:r w:rsidR="00C378EA">
        <w:rPr>
          <w:rFonts w:eastAsia="楷体_GB2312" w:hint="eastAsia"/>
          <w:color w:val="auto"/>
        </w:rPr>
        <w:t>的估值修复行情，并逐渐占据上风，成功实现风格切换。最终</w:t>
      </w:r>
      <w:proofErr w:type="gramStart"/>
      <w:r w:rsidR="00AB14D1">
        <w:rPr>
          <w:rFonts w:eastAsia="楷体_GB2312" w:hint="eastAsia"/>
          <w:color w:val="auto"/>
        </w:rPr>
        <w:t>全年</w:t>
      </w:r>
      <w:r w:rsidR="00C378EA">
        <w:rPr>
          <w:rFonts w:eastAsia="楷体_GB2312" w:hint="eastAsia"/>
          <w:color w:val="auto"/>
        </w:rPr>
        <w:t>上</w:t>
      </w:r>
      <w:proofErr w:type="gramEnd"/>
      <w:r w:rsidR="00C378EA">
        <w:rPr>
          <w:rFonts w:eastAsia="楷体_GB2312" w:hint="eastAsia"/>
          <w:color w:val="auto"/>
        </w:rPr>
        <w:t>证指数、深证综指分别上涨</w:t>
      </w:r>
      <w:r w:rsidR="00C378EA">
        <w:rPr>
          <w:rFonts w:eastAsia="楷体_GB2312" w:hint="eastAsia"/>
          <w:color w:val="auto"/>
        </w:rPr>
        <w:t>52.87%</w:t>
      </w:r>
      <w:r w:rsidR="00C378EA">
        <w:rPr>
          <w:rFonts w:eastAsia="楷体_GB2312" w:hint="eastAsia"/>
          <w:color w:val="auto"/>
        </w:rPr>
        <w:t>与</w:t>
      </w:r>
      <w:r w:rsidR="00C378EA">
        <w:rPr>
          <w:rFonts w:eastAsia="楷体_GB2312" w:hint="eastAsia"/>
          <w:color w:val="auto"/>
        </w:rPr>
        <w:t>33.80%</w:t>
      </w:r>
      <w:r w:rsidR="00C378EA">
        <w:rPr>
          <w:rFonts w:eastAsia="楷体_GB2312" w:hint="eastAsia"/>
          <w:color w:val="auto"/>
        </w:rPr>
        <w:t>，中小板指上涨</w:t>
      </w:r>
      <w:r w:rsidR="00AB14D1">
        <w:rPr>
          <w:rFonts w:eastAsia="楷体_GB2312" w:hint="eastAsia"/>
          <w:color w:val="auto"/>
        </w:rPr>
        <w:t>9.67%</w:t>
      </w:r>
      <w:r w:rsidR="00AB14D1">
        <w:rPr>
          <w:rFonts w:eastAsia="楷体_GB2312" w:hint="eastAsia"/>
          <w:color w:val="auto"/>
        </w:rPr>
        <w:t>，创业板指上涨</w:t>
      </w:r>
      <w:r w:rsidR="00AB14D1">
        <w:rPr>
          <w:rFonts w:eastAsia="楷体_GB2312" w:hint="eastAsia"/>
          <w:color w:val="auto"/>
        </w:rPr>
        <w:t>12.83%</w:t>
      </w:r>
      <w:r w:rsidR="00AB14D1">
        <w:rPr>
          <w:rFonts w:eastAsia="楷体_GB2312" w:hint="eastAsia"/>
          <w:color w:val="auto"/>
        </w:rPr>
        <w:t>。另一方面，债券市场则受益于基本面疲软</w:t>
      </w:r>
      <w:r w:rsidRPr="00F82D2A">
        <w:rPr>
          <w:rFonts w:eastAsia="楷体_GB2312" w:hint="eastAsia"/>
          <w:color w:val="auto"/>
        </w:rPr>
        <w:t>、流动性宽松</w:t>
      </w:r>
      <w:r w:rsidR="00AB14D1">
        <w:rPr>
          <w:rFonts w:eastAsia="楷体_GB2312" w:hint="eastAsia"/>
          <w:color w:val="auto"/>
        </w:rPr>
        <w:t>、正回购利率下调以及降息因素影响，表现强劲</w:t>
      </w:r>
      <w:r w:rsidRPr="00F82D2A">
        <w:rPr>
          <w:rFonts w:eastAsia="楷体_GB2312" w:hint="eastAsia"/>
          <w:color w:val="auto"/>
        </w:rPr>
        <w:t>。</w:t>
      </w:r>
    </w:p>
    <w:p w:rsidR="00BC10C6" w:rsidRPr="00ED1EA5" w:rsidRDefault="00BC10C6" w:rsidP="00ED1EA5">
      <w:pPr>
        <w:pStyle w:val="ab"/>
        <w:numPr>
          <w:ilvl w:val="4"/>
          <w:numId w:val="1"/>
        </w:numPr>
        <w:spacing w:after="163"/>
        <w:rPr>
          <w:rFonts w:eastAsia="楷体_GB2312"/>
          <w:color w:val="auto"/>
        </w:rPr>
      </w:pPr>
      <w:r>
        <w:rPr>
          <w:rFonts w:eastAsia="楷体_GB2312" w:hint="eastAsia"/>
          <w:color w:val="auto"/>
        </w:rPr>
        <w:t>2014</w:t>
      </w:r>
      <w:r w:rsidR="00186C2C">
        <w:rPr>
          <w:rFonts w:eastAsia="楷体_GB2312" w:hint="eastAsia"/>
          <w:color w:val="auto"/>
        </w:rPr>
        <w:t>年海外市场表现分化，受益于</w:t>
      </w:r>
      <w:r>
        <w:rPr>
          <w:rFonts w:eastAsia="楷体_GB2312" w:hint="eastAsia"/>
          <w:color w:val="auto"/>
        </w:rPr>
        <w:t>经济稳健复苏以及</w:t>
      </w:r>
      <w:r w:rsidR="00186C2C">
        <w:rPr>
          <w:rFonts w:eastAsia="楷体_GB2312" w:hint="eastAsia"/>
          <w:color w:val="auto"/>
        </w:rPr>
        <w:t>美联储低息政策，美国市场延续</w:t>
      </w:r>
      <w:r w:rsidR="00EA1F28">
        <w:rPr>
          <w:rFonts w:eastAsia="楷体_GB2312" w:hint="eastAsia"/>
          <w:color w:val="auto"/>
        </w:rPr>
        <w:t>强势表现</w:t>
      </w:r>
      <w:r w:rsidR="00186C2C">
        <w:rPr>
          <w:rFonts w:eastAsia="楷体_GB2312" w:hint="eastAsia"/>
          <w:color w:val="auto"/>
        </w:rPr>
        <w:t>，而欧洲经济</w:t>
      </w:r>
      <w:r w:rsidR="00EA1F28">
        <w:rPr>
          <w:rFonts w:eastAsia="楷体_GB2312" w:hint="eastAsia"/>
          <w:color w:val="auto"/>
          <w:lang w:val="en-US"/>
        </w:rPr>
        <w:t>则整体表现乏力，加之地缘政治因素扰动，整体表现疲软，亚太市场方面日本股市一枝独秀，港股则宽幅震荡</w:t>
      </w:r>
      <w:r w:rsidR="00C33B78">
        <w:rPr>
          <w:rFonts w:eastAsia="楷体_GB2312" w:hint="eastAsia"/>
          <w:color w:val="auto"/>
          <w:lang w:val="en-US"/>
        </w:rPr>
        <w:t>。新兴市场方面，印度股指表现亮眼而俄罗斯市场遭遇</w:t>
      </w:r>
      <w:r w:rsidR="004219A6">
        <w:rPr>
          <w:rFonts w:eastAsia="楷体_GB2312" w:hint="eastAsia"/>
          <w:color w:val="auto"/>
          <w:lang w:val="en-US"/>
        </w:rPr>
        <w:t>重挫</w:t>
      </w:r>
      <w:r w:rsidR="00C33B78">
        <w:rPr>
          <w:rFonts w:eastAsia="楷体_GB2312" w:hint="eastAsia"/>
          <w:color w:val="auto"/>
          <w:lang w:val="en-US"/>
        </w:rPr>
        <w:t>。大宗商品方面，能源领跌，贵金属及农产品同样表现不佳。</w:t>
      </w:r>
    </w:p>
    <w:p w:rsidR="00B840D0" w:rsidRPr="00B840D0" w:rsidRDefault="00ED1EA5" w:rsidP="00B840D0">
      <w:pPr>
        <w:pStyle w:val="ab"/>
        <w:numPr>
          <w:ilvl w:val="4"/>
          <w:numId w:val="1"/>
        </w:numPr>
        <w:spacing w:after="163"/>
        <w:rPr>
          <w:rFonts w:eastAsia="楷体_GB2312"/>
          <w:color w:val="auto"/>
        </w:rPr>
      </w:pPr>
      <w:r>
        <w:rPr>
          <w:rFonts w:eastAsia="楷体_GB2312" w:hint="eastAsia"/>
          <w:color w:val="auto"/>
        </w:rPr>
        <w:t>受基础市场影响，</w:t>
      </w:r>
      <w:r>
        <w:rPr>
          <w:rFonts w:eastAsia="楷体_GB2312" w:hint="eastAsia"/>
          <w:color w:val="auto"/>
        </w:rPr>
        <w:t>2014</w:t>
      </w:r>
      <w:r>
        <w:rPr>
          <w:rFonts w:eastAsia="楷体_GB2312" w:hint="eastAsia"/>
          <w:color w:val="auto"/>
        </w:rPr>
        <w:t>年权益类产品</w:t>
      </w:r>
      <w:r w:rsidR="00E32824">
        <w:rPr>
          <w:rFonts w:eastAsia="楷体_GB2312" w:hint="eastAsia"/>
          <w:color w:val="auto"/>
        </w:rPr>
        <w:t>整体表现出色</w:t>
      </w:r>
      <w:r w:rsidR="00C33B78">
        <w:rPr>
          <w:rFonts w:eastAsia="楷体_GB2312" w:hint="eastAsia"/>
          <w:color w:val="auto"/>
        </w:rPr>
        <w:t>，</w:t>
      </w:r>
      <w:r w:rsidR="000F7B18">
        <w:rPr>
          <w:rFonts w:eastAsia="楷体_GB2312" w:hint="eastAsia"/>
          <w:color w:val="auto"/>
          <w:lang w:val="en-US"/>
        </w:rPr>
        <w:t>超</w:t>
      </w:r>
      <w:proofErr w:type="gramStart"/>
      <w:r w:rsidR="000F7B18">
        <w:rPr>
          <w:rFonts w:eastAsia="楷体_GB2312" w:hint="eastAsia"/>
          <w:color w:val="auto"/>
          <w:lang w:val="en-US"/>
        </w:rPr>
        <w:t>九成偏股类</w:t>
      </w:r>
      <w:proofErr w:type="gramEnd"/>
      <w:r w:rsidR="000F7B18">
        <w:rPr>
          <w:rFonts w:eastAsia="楷体_GB2312" w:hint="eastAsia"/>
          <w:color w:val="auto"/>
          <w:lang w:val="en-US"/>
        </w:rPr>
        <w:t>产品获得正收益</w:t>
      </w:r>
      <w:r w:rsidR="0083198F" w:rsidRPr="0083198F">
        <w:rPr>
          <w:rFonts w:eastAsia="楷体_GB2312" w:hint="eastAsia"/>
          <w:color w:val="auto"/>
        </w:rPr>
        <w:t>。其中，股票</w:t>
      </w:r>
      <w:proofErr w:type="gramStart"/>
      <w:r w:rsidR="0083198F" w:rsidRPr="0083198F">
        <w:rPr>
          <w:rFonts w:eastAsia="楷体_GB2312" w:hint="eastAsia"/>
          <w:color w:val="auto"/>
        </w:rPr>
        <w:t>型平均</w:t>
      </w:r>
      <w:proofErr w:type="gramEnd"/>
      <w:r w:rsidR="00131B17">
        <w:rPr>
          <w:rFonts w:eastAsia="楷体_GB2312" w:hint="eastAsia"/>
          <w:color w:val="auto"/>
          <w:lang w:val="en-US"/>
        </w:rPr>
        <w:t>上涨</w:t>
      </w:r>
      <w:r w:rsidR="00905FA8">
        <w:rPr>
          <w:rFonts w:eastAsia="楷体_GB2312"/>
          <w:color w:val="auto"/>
        </w:rPr>
        <w:t>31.60</w:t>
      </w:r>
      <w:r w:rsidR="0083198F" w:rsidRPr="0083198F">
        <w:rPr>
          <w:rFonts w:eastAsia="楷体_GB2312" w:hint="eastAsia"/>
          <w:color w:val="auto"/>
        </w:rPr>
        <w:t>%</w:t>
      </w:r>
      <w:r w:rsidR="00126EC3">
        <w:rPr>
          <w:rFonts w:eastAsia="楷体_GB2312" w:hint="eastAsia"/>
          <w:color w:val="auto"/>
        </w:rPr>
        <w:t>，</w:t>
      </w:r>
      <w:r w:rsidR="0083198F" w:rsidRPr="0083198F">
        <w:rPr>
          <w:rFonts w:eastAsia="楷体_GB2312" w:hint="eastAsia"/>
          <w:color w:val="auto"/>
        </w:rPr>
        <w:t>传统封闭式基金净值平均</w:t>
      </w:r>
      <w:r w:rsidR="00126EC3">
        <w:rPr>
          <w:rFonts w:eastAsia="楷体_GB2312" w:hint="eastAsia"/>
          <w:color w:val="auto"/>
        </w:rPr>
        <w:t>上涨</w:t>
      </w:r>
      <w:r w:rsidR="00126EC3">
        <w:rPr>
          <w:rFonts w:eastAsia="楷体_GB2312" w:hint="eastAsia"/>
          <w:color w:val="auto"/>
        </w:rPr>
        <w:t>22.77</w:t>
      </w:r>
      <w:r w:rsidR="0083198F" w:rsidRPr="0083198F">
        <w:rPr>
          <w:rFonts w:eastAsia="楷体_GB2312" w:hint="eastAsia"/>
          <w:color w:val="auto"/>
        </w:rPr>
        <w:t>%</w:t>
      </w:r>
      <w:r w:rsidR="00126EC3">
        <w:rPr>
          <w:rFonts w:eastAsia="楷体_GB2312" w:hint="eastAsia"/>
          <w:color w:val="auto"/>
        </w:rPr>
        <w:t>，</w:t>
      </w:r>
      <w:r w:rsidR="0083198F" w:rsidRPr="0083198F">
        <w:rPr>
          <w:rFonts w:eastAsia="楷体_GB2312" w:hint="eastAsia"/>
          <w:color w:val="auto"/>
        </w:rPr>
        <w:t>混合型基金</w:t>
      </w:r>
      <w:r w:rsidR="00126EC3">
        <w:rPr>
          <w:rFonts w:eastAsia="楷体_GB2312" w:hint="eastAsia"/>
          <w:color w:val="auto"/>
        </w:rPr>
        <w:t>平均获得</w:t>
      </w:r>
      <w:r w:rsidR="00126EC3">
        <w:rPr>
          <w:rFonts w:eastAsia="楷体_GB2312" w:hint="eastAsia"/>
          <w:color w:val="auto"/>
        </w:rPr>
        <w:t>21.86</w:t>
      </w:r>
      <w:r w:rsidR="0083198F" w:rsidRPr="0083198F">
        <w:rPr>
          <w:rFonts w:eastAsia="楷体_GB2312" w:hint="eastAsia"/>
          <w:color w:val="auto"/>
        </w:rPr>
        <w:t>%</w:t>
      </w:r>
      <w:r w:rsidR="00126EC3">
        <w:rPr>
          <w:rFonts w:eastAsia="楷体_GB2312" w:hint="eastAsia"/>
          <w:color w:val="auto"/>
        </w:rPr>
        <w:t>的投资回报</w:t>
      </w:r>
      <w:r w:rsidR="0083198F" w:rsidRPr="0083198F">
        <w:rPr>
          <w:rFonts w:eastAsia="楷体_GB2312" w:hint="eastAsia"/>
          <w:color w:val="auto"/>
        </w:rPr>
        <w:t>。</w:t>
      </w:r>
      <w:r w:rsidR="00126EC3">
        <w:rPr>
          <w:rFonts w:eastAsia="楷体_GB2312" w:hint="eastAsia"/>
          <w:color w:val="auto"/>
        </w:rPr>
        <w:t>此外</w:t>
      </w:r>
      <w:r w:rsidR="0083198F" w:rsidRPr="0083198F">
        <w:rPr>
          <w:rFonts w:eastAsia="楷体_GB2312" w:hint="eastAsia"/>
          <w:color w:val="auto"/>
        </w:rPr>
        <w:t>，商品基金</w:t>
      </w:r>
      <w:r w:rsidR="00126EC3">
        <w:rPr>
          <w:rFonts w:eastAsia="楷体_GB2312" w:hint="eastAsia"/>
          <w:color w:val="auto"/>
        </w:rPr>
        <w:t>净值小幅上涨</w:t>
      </w:r>
      <w:r w:rsidR="00126EC3">
        <w:rPr>
          <w:rFonts w:eastAsia="楷体_GB2312" w:hint="eastAsia"/>
          <w:color w:val="auto"/>
        </w:rPr>
        <w:t>1.78</w:t>
      </w:r>
      <w:r w:rsidR="0083198F" w:rsidRPr="0083198F">
        <w:rPr>
          <w:rFonts w:eastAsia="楷体_GB2312" w:hint="eastAsia"/>
          <w:color w:val="auto"/>
        </w:rPr>
        <w:t>%</w:t>
      </w:r>
      <w:r w:rsidR="0083198F" w:rsidRPr="0083198F">
        <w:rPr>
          <w:rFonts w:eastAsia="楷体_GB2312" w:hint="eastAsia"/>
          <w:color w:val="auto"/>
        </w:rPr>
        <w:t>。固定受益类产品方面，各类产品均实现不同幅度正收益，债券型基金平均业绩上涨</w:t>
      </w:r>
      <w:r w:rsidR="00126EC3">
        <w:rPr>
          <w:rFonts w:eastAsia="楷体_GB2312" w:hint="eastAsia"/>
          <w:color w:val="auto"/>
        </w:rPr>
        <w:t>19.31</w:t>
      </w:r>
      <w:r w:rsidR="0083198F" w:rsidRPr="0083198F">
        <w:rPr>
          <w:rFonts w:eastAsia="楷体_GB2312" w:hint="eastAsia"/>
          <w:color w:val="auto"/>
        </w:rPr>
        <w:t>%</w:t>
      </w:r>
      <w:r w:rsidR="0083198F" w:rsidRPr="0083198F">
        <w:rPr>
          <w:rFonts w:eastAsia="楷体_GB2312" w:hint="eastAsia"/>
          <w:color w:val="auto"/>
        </w:rPr>
        <w:t>，保本型上涨</w:t>
      </w:r>
      <w:r w:rsidR="00126EC3">
        <w:rPr>
          <w:rFonts w:eastAsia="楷体_GB2312" w:hint="eastAsia"/>
          <w:color w:val="auto"/>
        </w:rPr>
        <w:t>17.04</w:t>
      </w:r>
      <w:r w:rsidR="0083198F" w:rsidRPr="0083198F">
        <w:rPr>
          <w:rFonts w:eastAsia="楷体_GB2312" w:hint="eastAsia"/>
          <w:color w:val="auto"/>
        </w:rPr>
        <w:t>%</w:t>
      </w:r>
      <w:r w:rsidR="0083198F" w:rsidRPr="0083198F">
        <w:rPr>
          <w:rFonts w:eastAsia="楷体_GB2312" w:hint="eastAsia"/>
          <w:color w:val="auto"/>
        </w:rPr>
        <w:t>，</w:t>
      </w:r>
      <w:proofErr w:type="gramStart"/>
      <w:r w:rsidR="0083198F" w:rsidRPr="0083198F">
        <w:rPr>
          <w:rFonts w:eastAsia="楷体_GB2312" w:hint="eastAsia"/>
          <w:color w:val="auto"/>
        </w:rPr>
        <w:t>理财债基及</w:t>
      </w:r>
      <w:proofErr w:type="gramEnd"/>
      <w:r w:rsidR="0083198F" w:rsidRPr="0083198F">
        <w:rPr>
          <w:rFonts w:eastAsia="楷体_GB2312" w:hint="eastAsia"/>
          <w:color w:val="auto"/>
        </w:rPr>
        <w:t>货币基金</w:t>
      </w:r>
      <w:r w:rsidR="00126EC3">
        <w:rPr>
          <w:rFonts w:eastAsia="楷体_GB2312" w:hint="eastAsia"/>
          <w:color w:val="auto"/>
        </w:rPr>
        <w:t>全</w:t>
      </w:r>
      <w:r w:rsidR="0083198F" w:rsidRPr="0083198F">
        <w:rPr>
          <w:rFonts w:eastAsia="楷体_GB2312" w:hint="eastAsia"/>
          <w:color w:val="auto"/>
        </w:rPr>
        <w:t>年分别获得</w:t>
      </w:r>
      <w:r w:rsidR="00126EC3">
        <w:rPr>
          <w:rFonts w:eastAsia="楷体_GB2312" w:hint="eastAsia"/>
          <w:color w:val="auto"/>
        </w:rPr>
        <w:t>4.73</w:t>
      </w:r>
      <w:r w:rsidR="0083198F" w:rsidRPr="0083198F">
        <w:rPr>
          <w:rFonts w:eastAsia="楷体_GB2312" w:hint="eastAsia"/>
          <w:color w:val="auto"/>
        </w:rPr>
        <w:t>%</w:t>
      </w:r>
      <w:r w:rsidR="0083198F" w:rsidRPr="0083198F">
        <w:rPr>
          <w:rFonts w:eastAsia="楷体_GB2312" w:hint="eastAsia"/>
          <w:color w:val="auto"/>
        </w:rPr>
        <w:t>与</w:t>
      </w:r>
      <w:r w:rsidR="00126EC3">
        <w:rPr>
          <w:rFonts w:eastAsia="楷体_GB2312" w:hint="eastAsia"/>
          <w:color w:val="auto"/>
        </w:rPr>
        <w:t>4.60</w:t>
      </w:r>
      <w:r w:rsidR="0083198F" w:rsidRPr="0083198F">
        <w:rPr>
          <w:rFonts w:eastAsia="楷体_GB2312" w:hint="eastAsia"/>
          <w:color w:val="auto"/>
        </w:rPr>
        <w:t>%</w:t>
      </w:r>
      <w:r w:rsidR="0083198F" w:rsidRPr="0083198F">
        <w:rPr>
          <w:rFonts w:eastAsia="楷体_GB2312" w:hint="eastAsia"/>
          <w:color w:val="auto"/>
        </w:rPr>
        <w:t>的平均回报。此外，</w:t>
      </w:r>
      <w:r w:rsidR="0083198F" w:rsidRPr="0083198F">
        <w:rPr>
          <w:rFonts w:eastAsia="楷体_GB2312" w:hint="eastAsia"/>
          <w:color w:val="auto"/>
        </w:rPr>
        <w:t>QDII</w:t>
      </w:r>
      <w:r w:rsidR="00A72752">
        <w:rPr>
          <w:rFonts w:eastAsia="楷体_GB2312" w:hint="eastAsia"/>
          <w:color w:val="auto"/>
        </w:rPr>
        <w:t>业绩则呈现明显分化，同期平均涨幅为</w:t>
      </w:r>
      <w:r w:rsidR="00A72752">
        <w:rPr>
          <w:rFonts w:eastAsia="楷体_GB2312" w:hint="eastAsia"/>
          <w:color w:val="auto"/>
        </w:rPr>
        <w:t>1.81%</w:t>
      </w:r>
      <w:r w:rsidR="00A72752">
        <w:rPr>
          <w:rFonts w:eastAsia="楷体_GB2312" w:hint="eastAsia"/>
          <w:color w:val="auto"/>
        </w:rPr>
        <w:t>，</w:t>
      </w:r>
      <w:proofErr w:type="gramStart"/>
      <w:r w:rsidR="00A72752">
        <w:rPr>
          <w:rFonts w:eastAsia="楷体_GB2312" w:hint="eastAsia"/>
          <w:color w:val="auto"/>
        </w:rPr>
        <w:t>主投美国</w:t>
      </w:r>
      <w:proofErr w:type="gramEnd"/>
      <w:r w:rsidR="00A72752">
        <w:rPr>
          <w:rFonts w:eastAsia="楷体_GB2312" w:hint="eastAsia"/>
          <w:color w:val="auto"/>
        </w:rPr>
        <w:t>地产市场的</w:t>
      </w:r>
      <w:r w:rsidR="00A72752">
        <w:rPr>
          <w:rFonts w:eastAsia="楷体_GB2312" w:hint="eastAsia"/>
          <w:color w:val="auto"/>
        </w:rPr>
        <w:lastRenderedPageBreak/>
        <w:t>REITs</w:t>
      </w:r>
      <w:r w:rsidR="00A72752">
        <w:rPr>
          <w:rFonts w:eastAsia="楷体_GB2312" w:hint="eastAsia"/>
          <w:color w:val="auto"/>
        </w:rPr>
        <w:t>产品以及以美股为主要投向的</w:t>
      </w:r>
      <w:r w:rsidR="00A72752">
        <w:rPr>
          <w:rFonts w:eastAsia="楷体_GB2312" w:hint="eastAsia"/>
          <w:color w:val="auto"/>
        </w:rPr>
        <w:t>QDII</w:t>
      </w:r>
      <w:r w:rsidR="00A72752">
        <w:rPr>
          <w:rFonts w:eastAsia="楷体_GB2312" w:hint="eastAsia"/>
          <w:color w:val="auto"/>
        </w:rPr>
        <w:t>基金全年业绩喜人，而大宗商品类产品普遍下挫。</w:t>
      </w:r>
    </w:p>
    <w:tbl>
      <w:tblPr>
        <w:tblW w:w="6402" w:type="dxa"/>
        <w:tblInd w:w="3861" w:type="dxa"/>
        <w:tblLook w:val="04A0"/>
      </w:tblPr>
      <w:tblGrid>
        <w:gridCol w:w="1344"/>
        <w:gridCol w:w="1572"/>
        <w:gridCol w:w="957"/>
        <w:gridCol w:w="1572"/>
        <w:gridCol w:w="957"/>
      </w:tblGrid>
      <w:tr w:rsidR="00B840D0" w:rsidRPr="00B840D0" w:rsidTr="00056C3C">
        <w:trPr>
          <w:trHeight w:val="285"/>
        </w:trPr>
        <w:tc>
          <w:tcPr>
            <w:tcW w:w="6402" w:type="dxa"/>
            <w:gridSpan w:val="5"/>
            <w:tcBorders>
              <w:top w:val="single" w:sz="8" w:space="0" w:color="F79646"/>
              <w:left w:val="nil"/>
              <w:bottom w:val="single" w:sz="8" w:space="0" w:color="F79646"/>
              <w:right w:val="nil"/>
            </w:tcBorders>
            <w:shd w:val="clear" w:color="auto" w:fill="auto"/>
            <w:noWrap/>
            <w:vAlign w:val="bottom"/>
            <w:hideMark/>
          </w:tcPr>
          <w:p w:rsidR="00B840D0" w:rsidRPr="00B840D0" w:rsidRDefault="00B840D0" w:rsidP="002E054A">
            <w:pPr>
              <w:widowControl/>
              <w:jc w:val="left"/>
              <w:rPr>
                <w:rFonts w:ascii="宋体" w:eastAsia="宋体" w:hAnsi="宋体" w:cs="宋体"/>
                <w:b/>
                <w:i/>
                <w:iCs/>
                <w:color w:val="E36C0A" w:themeColor="accent6" w:themeShade="BF"/>
                <w:kern w:val="0"/>
                <w:sz w:val="20"/>
                <w:szCs w:val="20"/>
              </w:rPr>
            </w:pPr>
            <w:r w:rsidRPr="00B840D0">
              <w:rPr>
                <w:rFonts w:ascii="宋体" w:eastAsia="宋体" w:hAnsi="宋体" w:cs="宋体" w:hint="eastAsia"/>
                <w:b/>
                <w:i/>
                <w:iCs/>
                <w:color w:val="E36C0A" w:themeColor="accent6" w:themeShade="BF"/>
                <w:kern w:val="0"/>
                <w:sz w:val="20"/>
                <w:szCs w:val="20"/>
              </w:rPr>
              <w:t>图表1:2014年各类基金平均业绩</w:t>
            </w:r>
          </w:p>
        </w:tc>
      </w:tr>
      <w:tr w:rsidR="00056C3C" w:rsidRPr="00B840D0" w:rsidTr="00B840D0">
        <w:trPr>
          <w:trHeight w:val="436"/>
        </w:trPr>
        <w:tc>
          <w:tcPr>
            <w:tcW w:w="1344" w:type="dxa"/>
            <w:tcBorders>
              <w:top w:val="nil"/>
              <w:left w:val="nil"/>
              <w:bottom w:val="single" w:sz="8" w:space="0" w:color="F79646"/>
              <w:right w:val="nil"/>
            </w:tcBorders>
            <w:shd w:val="clear" w:color="auto" w:fill="auto"/>
            <w:vAlign w:val="center"/>
            <w:hideMark/>
          </w:tcPr>
          <w:p w:rsidR="00056C3C" w:rsidRPr="00B840D0" w:rsidRDefault="00056C3C" w:rsidP="00B840D0">
            <w:pPr>
              <w:widowControl/>
              <w:jc w:val="center"/>
              <w:rPr>
                <w:rFonts w:ascii="宋体" w:eastAsia="宋体" w:hAnsi="宋体" w:cs="宋体"/>
                <w:color w:val="000000"/>
                <w:kern w:val="0"/>
                <w:sz w:val="16"/>
                <w:szCs w:val="16"/>
              </w:rPr>
            </w:pPr>
            <w:r w:rsidRPr="00B840D0">
              <w:rPr>
                <w:rFonts w:ascii="宋体" w:eastAsia="宋体" w:hAnsi="宋体" w:cs="宋体" w:hint="eastAsia"/>
                <w:color w:val="000000"/>
                <w:kern w:val="0"/>
                <w:sz w:val="16"/>
                <w:szCs w:val="16"/>
              </w:rPr>
              <w:t>基金类型</w:t>
            </w:r>
          </w:p>
        </w:tc>
        <w:tc>
          <w:tcPr>
            <w:tcW w:w="1572" w:type="dxa"/>
            <w:tcBorders>
              <w:top w:val="nil"/>
              <w:left w:val="nil"/>
              <w:bottom w:val="single" w:sz="8" w:space="0" w:color="F79646"/>
              <w:right w:val="nil"/>
            </w:tcBorders>
            <w:shd w:val="clear" w:color="auto" w:fill="auto"/>
            <w:vAlign w:val="center"/>
            <w:hideMark/>
          </w:tcPr>
          <w:p w:rsidR="00056C3C" w:rsidRDefault="00056C3C">
            <w:pPr>
              <w:jc w:val="center"/>
              <w:rPr>
                <w:rFonts w:ascii="宋体" w:eastAsia="宋体" w:hAnsi="宋体" w:cs="宋体"/>
                <w:color w:val="000000"/>
                <w:sz w:val="16"/>
                <w:szCs w:val="16"/>
              </w:rPr>
            </w:pPr>
            <w:r>
              <w:rPr>
                <w:rFonts w:hint="eastAsia"/>
                <w:color w:val="000000"/>
                <w:sz w:val="16"/>
                <w:szCs w:val="16"/>
              </w:rPr>
              <w:t>2014</w:t>
            </w:r>
            <w:r>
              <w:rPr>
                <w:rFonts w:hint="eastAsia"/>
                <w:color w:val="000000"/>
                <w:sz w:val="16"/>
                <w:szCs w:val="16"/>
              </w:rPr>
              <w:t>年</w:t>
            </w:r>
            <w:r>
              <w:rPr>
                <w:rFonts w:hint="eastAsia"/>
                <w:color w:val="000000"/>
                <w:sz w:val="16"/>
                <w:szCs w:val="16"/>
              </w:rPr>
              <w:t>12</w:t>
            </w:r>
            <w:r>
              <w:rPr>
                <w:rFonts w:hint="eastAsia"/>
                <w:color w:val="000000"/>
                <w:sz w:val="16"/>
                <w:szCs w:val="16"/>
              </w:rPr>
              <w:t>月平均业绩</w:t>
            </w:r>
            <w:r>
              <w:rPr>
                <w:rFonts w:hint="eastAsia"/>
                <w:color w:val="000000"/>
                <w:sz w:val="16"/>
                <w:szCs w:val="16"/>
              </w:rPr>
              <w:t>(%)</w:t>
            </w:r>
          </w:p>
        </w:tc>
        <w:tc>
          <w:tcPr>
            <w:tcW w:w="957" w:type="dxa"/>
            <w:tcBorders>
              <w:top w:val="nil"/>
              <w:left w:val="nil"/>
              <w:bottom w:val="single" w:sz="8" w:space="0" w:color="F79646"/>
              <w:right w:val="nil"/>
            </w:tcBorders>
            <w:shd w:val="clear" w:color="auto" w:fill="auto"/>
            <w:vAlign w:val="center"/>
            <w:hideMark/>
          </w:tcPr>
          <w:p w:rsidR="00056C3C" w:rsidRDefault="00056C3C">
            <w:pPr>
              <w:jc w:val="center"/>
              <w:rPr>
                <w:rFonts w:ascii="宋体" w:eastAsia="宋体" w:hAnsi="宋体" w:cs="宋体"/>
                <w:color w:val="000000"/>
                <w:sz w:val="16"/>
                <w:szCs w:val="16"/>
              </w:rPr>
            </w:pPr>
            <w:r>
              <w:rPr>
                <w:rFonts w:hint="eastAsia"/>
                <w:color w:val="000000"/>
                <w:sz w:val="16"/>
                <w:szCs w:val="16"/>
              </w:rPr>
              <w:t>样本数量</w:t>
            </w:r>
          </w:p>
        </w:tc>
        <w:tc>
          <w:tcPr>
            <w:tcW w:w="1572" w:type="dxa"/>
            <w:tcBorders>
              <w:top w:val="nil"/>
              <w:left w:val="nil"/>
              <w:bottom w:val="single" w:sz="8" w:space="0" w:color="F79646"/>
              <w:right w:val="nil"/>
            </w:tcBorders>
            <w:shd w:val="clear" w:color="auto" w:fill="auto"/>
            <w:vAlign w:val="center"/>
            <w:hideMark/>
          </w:tcPr>
          <w:p w:rsidR="00056C3C" w:rsidRDefault="00056C3C">
            <w:pPr>
              <w:jc w:val="center"/>
              <w:rPr>
                <w:rFonts w:ascii="宋体" w:eastAsia="宋体" w:hAnsi="宋体" w:cs="宋体"/>
                <w:color w:val="000000"/>
                <w:sz w:val="16"/>
                <w:szCs w:val="16"/>
              </w:rPr>
            </w:pPr>
            <w:r>
              <w:rPr>
                <w:rFonts w:hint="eastAsia"/>
                <w:color w:val="000000"/>
                <w:sz w:val="16"/>
                <w:szCs w:val="16"/>
              </w:rPr>
              <w:t>2014</w:t>
            </w:r>
            <w:r>
              <w:rPr>
                <w:rFonts w:hint="eastAsia"/>
                <w:color w:val="000000"/>
                <w:sz w:val="16"/>
                <w:szCs w:val="16"/>
              </w:rPr>
              <w:t>年以来平均业绩</w:t>
            </w:r>
            <w:r>
              <w:rPr>
                <w:rFonts w:hint="eastAsia"/>
                <w:color w:val="000000"/>
                <w:sz w:val="16"/>
                <w:szCs w:val="16"/>
              </w:rPr>
              <w:t>(%)</w:t>
            </w:r>
          </w:p>
        </w:tc>
        <w:tc>
          <w:tcPr>
            <w:tcW w:w="957" w:type="dxa"/>
            <w:tcBorders>
              <w:top w:val="nil"/>
              <w:left w:val="nil"/>
              <w:bottom w:val="single" w:sz="8" w:space="0" w:color="F79646"/>
              <w:right w:val="nil"/>
            </w:tcBorders>
            <w:shd w:val="clear" w:color="auto" w:fill="auto"/>
            <w:vAlign w:val="center"/>
            <w:hideMark/>
          </w:tcPr>
          <w:p w:rsidR="00056C3C" w:rsidRDefault="00056C3C">
            <w:pPr>
              <w:jc w:val="center"/>
              <w:rPr>
                <w:rFonts w:ascii="宋体" w:eastAsia="宋体" w:hAnsi="宋体" w:cs="宋体"/>
                <w:color w:val="000000"/>
                <w:sz w:val="16"/>
                <w:szCs w:val="16"/>
              </w:rPr>
            </w:pPr>
            <w:r>
              <w:rPr>
                <w:rFonts w:hint="eastAsia"/>
                <w:color w:val="000000"/>
                <w:sz w:val="16"/>
                <w:szCs w:val="16"/>
              </w:rPr>
              <w:t>样本数量</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传统封闭式</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3.21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22.77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w:t>
            </w:r>
          </w:p>
        </w:tc>
      </w:tr>
      <w:tr w:rsidR="00056C3C" w:rsidRPr="00B840D0" w:rsidTr="00B840D0">
        <w:trPr>
          <w:trHeight w:val="285"/>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股票型</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8.90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693</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31.60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610</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r>
              <w:rPr>
                <w:rFonts w:hint="eastAsia"/>
                <w:color w:val="000000"/>
                <w:sz w:val="16"/>
                <w:szCs w:val="16"/>
              </w:rPr>
              <w:t>主动股票型</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4.65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416</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25.50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370</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r>
              <w:rPr>
                <w:rFonts w:hint="eastAsia"/>
                <w:color w:val="000000"/>
                <w:sz w:val="16"/>
                <w:szCs w:val="16"/>
              </w:rPr>
              <w:t>指数型</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15.28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277</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41.00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240</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混合型</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3.58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334</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21.86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237</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商品基金</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2.22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1.78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5</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保本型</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2.33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55</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17.04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49</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债券型</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2.75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701</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19.31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601</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proofErr w:type="gramStart"/>
            <w:r>
              <w:rPr>
                <w:rFonts w:hint="eastAsia"/>
                <w:color w:val="000000"/>
                <w:sz w:val="16"/>
                <w:szCs w:val="16"/>
              </w:rPr>
              <w:t>纯债型</w:t>
            </w:r>
            <w:proofErr w:type="gramEnd"/>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-0.21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295</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12.82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232</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proofErr w:type="gramStart"/>
            <w:r>
              <w:rPr>
                <w:rFonts w:hint="eastAsia"/>
                <w:color w:val="000000"/>
                <w:sz w:val="16"/>
                <w:szCs w:val="16"/>
              </w:rPr>
              <w:t>一级债基</w:t>
            </w:r>
            <w:proofErr w:type="gramEnd"/>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2.41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160</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17.36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152</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proofErr w:type="gramStart"/>
            <w:r>
              <w:rPr>
                <w:rFonts w:hint="eastAsia"/>
                <w:color w:val="000000"/>
                <w:sz w:val="16"/>
                <w:szCs w:val="16"/>
              </w:rPr>
              <w:t>二级债基</w:t>
            </w:r>
            <w:proofErr w:type="gramEnd"/>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4.40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193</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23.54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168</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proofErr w:type="gramStart"/>
            <w:r>
              <w:rPr>
                <w:rFonts w:hint="eastAsia"/>
                <w:color w:val="000000"/>
                <w:sz w:val="16"/>
                <w:szCs w:val="16"/>
              </w:rPr>
              <w:t>可转债基</w:t>
            </w:r>
            <w:proofErr w:type="gramEnd"/>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27.77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24</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74.23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22</w:t>
            </w:r>
          </w:p>
        </w:tc>
      </w:tr>
      <w:tr w:rsidR="00056C3C" w:rsidRPr="00B840D0" w:rsidTr="00B840D0">
        <w:trPr>
          <w:trHeight w:val="270"/>
        </w:trPr>
        <w:tc>
          <w:tcPr>
            <w:tcW w:w="1344" w:type="dxa"/>
            <w:tcBorders>
              <w:top w:val="nil"/>
              <w:left w:val="nil"/>
              <w:bottom w:val="nil"/>
              <w:right w:val="nil"/>
            </w:tcBorders>
            <w:shd w:val="clear" w:color="000000" w:fill="FDE9D9"/>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 xml:space="preserve">  </w:t>
            </w:r>
            <w:proofErr w:type="gramStart"/>
            <w:r>
              <w:rPr>
                <w:rFonts w:hint="eastAsia"/>
                <w:color w:val="000000"/>
                <w:sz w:val="16"/>
                <w:szCs w:val="16"/>
              </w:rPr>
              <w:t>指数债基</w:t>
            </w:r>
            <w:proofErr w:type="gramEnd"/>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2.97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29</w:t>
            </w:r>
          </w:p>
        </w:tc>
        <w:tc>
          <w:tcPr>
            <w:tcW w:w="1572"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15.05 </w:t>
            </w:r>
          </w:p>
        </w:tc>
        <w:tc>
          <w:tcPr>
            <w:tcW w:w="957" w:type="dxa"/>
            <w:tcBorders>
              <w:top w:val="nil"/>
              <w:left w:val="nil"/>
              <w:bottom w:val="nil"/>
              <w:right w:val="nil"/>
            </w:tcBorders>
            <w:shd w:val="clear" w:color="000000" w:fill="FDE9D9"/>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27</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proofErr w:type="gramStart"/>
            <w:r>
              <w:rPr>
                <w:rFonts w:hint="eastAsia"/>
                <w:color w:val="000000"/>
                <w:sz w:val="16"/>
                <w:szCs w:val="16"/>
              </w:rPr>
              <w:t>理财债基</w:t>
            </w:r>
            <w:proofErr w:type="gramEnd"/>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0.36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105</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4.73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97</w:t>
            </w:r>
          </w:p>
        </w:tc>
      </w:tr>
      <w:tr w:rsidR="00056C3C" w:rsidRPr="00B840D0" w:rsidTr="00B840D0">
        <w:trPr>
          <w:trHeight w:val="270"/>
        </w:trPr>
        <w:tc>
          <w:tcPr>
            <w:tcW w:w="1344" w:type="dxa"/>
            <w:tcBorders>
              <w:top w:val="nil"/>
              <w:left w:val="nil"/>
              <w:bottom w:val="nil"/>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货币型</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0.35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296</w:t>
            </w:r>
          </w:p>
        </w:tc>
        <w:tc>
          <w:tcPr>
            <w:tcW w:w="1572"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4.60 </w:t>
            </w:r>
          </w:p>
        </w:tc>
        <w:tc>
          <w:tcPr>
            <w:tcW w:w="957" w:type="dxa"/>
            <w:tcBorders>
              <w:top w:val="nil"/>
              <w:left w:val="nil"/>
              <w:bottom w:val="nil"/>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162</w:t>
            </w:r>
          </w:p>
        </w:tc>
      </w:tr>
      <w:tr w:rsidR="00056C3C" w:rsidRPr="00B840D0" w:rsidTr="00B840D0">
        <w:trPr>
          <w:trHeight w:val="285"/>
        </w:trPr>
        <w:tc>
          <w:tcPr>
            <w:tcW w:w="1344" w:type="dxa"/>
            <w:tcBorders>
              <w:top w:val="nil"/>
              <w:left w:val="nil"/>
              <w:bottom w:val="single" w:sz="8" w:space="0" w:color="F79646"/>
              <w:right w:val="nil"/>
            </w:tcBorders>
            <w:shd w:val="clear" w:color="auto" w:fill="auto"/>
            <w:noWrap/>
            <w:vAlign w:val="bottom"/>
            <w:hideMark/>
          </w:tcPr>
          <w:p w:rsidR="00056C3C" w:rsidRDefault="00056C3C">
            <w:pPr>
              <w:rPr>
                <w:rFonts w:ascii="宋体" w:eastAsia="宋体" w:hAnsi="宋体" w:cs="宋体"/>
                <w:color w:val="000000"/>
                <w:sz w:val="16"/>
                <w:szCs w:val="16"/>
              </w:rPr>
            </w:pPr>
            <w:r>
              <w:rPr>
                <w:rFonts w:hint="eastAsia"/>
                <w:color w:val="000000"/>
                <w:sz w:val="16"/>
                <w:szCs w:val="16"/>
              </w:rPr>
              <w:t>QDII</w:t>
            </w:r>
          </w:p>
        </w:tc>
        <w:tc>
          <w:tcPr>
            <w:tcW w:w="1572" w:type="dxa"/>
            <w:tcBorders>
              <w:top w:val="nil"/>
              <w:left w:val="nil"/>
              <w:bottom w:val="single" w:sz="8" w:space="0" w:color="F79646"/>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-1.70 </w:t>
            </w:r>
          </w:p>
        </w:tc>
        <w:tc>
          <w:tcPr>
            <w:tcW w:w="957" w:type="dxa"/>
            <w:tcBorders>
              <w:top w:val="nil"/>
              <w:left w:val="nil"/>
              <w:bottom w:val="single" w:sz="8" w:space="0" w:color="F79646"/>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88</w:t>
            </w:r>
          </w:p>
        </w:tc>
        <w:tc>
          <w:tcPr>
            <w:tcW w:w="1572" w:type="dxa"/>
            <w:tcBorders>
              <w:top w:val="nil"/>
              <w:left w:val="nil"/>
              <w:bottom w:val="single" w:sz="8" w:space="0" w:color="F79646"/>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 xml:space="preserve">1.81 </w:t>
            </w:r>
          </w:p>
        </w:tc>
        <w:tc>
          <w:tcPr>
            <w:tcW w:w="957" w:type="dxa"/>
            <w:tcBorders>
              <w:top w:val="nil"/>
              <w:left w:val="nil"/>
              <w:bottom w:val="single" w:sz="8" w:space="0" w:color="F79646"/>
              <w:right w:val="nil"/>
            </w:tcBorders>
            <w:shd w:val="clear" w:color="auto" w:fill="auto"/>
            <w:noWrap/>
            <w:vAlign w:val="bottom"/>
            <w:hideMark/>
          </w:tcPr>
          <w:p w:rsidR="00056C3C" w:rsidRDefault="00056C3C">
            <w:pPr>
              <w:jc w:val="center"/>
              <w:rPr>
                <w:rFonts w:ascii="宋体" w:eastAsia="宋体" w:hAnsi="宋体" w:cs="宋体"/>
                <w:color w:val="000000"/>
                <w:sz w:val="16"/>
                <w:szCs w:val="16"/>
              </w:rPr>
            </w:pPr>
            <w:r>
              <w:rPr>
                <w:rFonts w:hint="eastAsia"/>
                <w:color w:val="000000"/>
                <w:sz w:val="16"/>
                <w:szCs w:val="16"/>
              </w:rPr>
              <w:t>83</w:t>
            </w:r>
          </w:p>
        </w:tc>
      </w:tr>
      <w:tr w:rsidR="00B840D0" w:rsidRPr="00B840D0" w:rsidTr="00056C3C">
        <w:trPr>
          <w:trHeight w:val="270"/>
        </w:trPr>
        <w:tc>
          <w:tcPr>
            <w:tcW w:w="6402" w:type="dxa"/>
            <w:gridSpan w:val="5"/>
            <w:tcBorders>
              <w:top w:val="single" w:sz="8" w:space="0" w:color="F79646"/>
              <w:left w:val="nil"/>
              <w:bottom w:val="nil"/>
              <w:right w:val="nil"/>
            </w:tcBorders>
            <w:shd w:val="clear" w:color="auto" w:fill="auto"/>
            <w:noWrap/>
            <w:vAlign w:val="bottom"/>
            <w:hideMark/>
          </w:tcPr>
          <w:p w:rsidR="00B840D0" w:rsidRPr="00B840D0" w:rsidRDefault="00B840D0" w:rsidP="00B840D0">
            <w:pPr>
              <w:widowControl/>
              <w:jc w:val="left"/>
              <w:rPr>
                <w:rFonts w:ascii="宋体" w:eastAsia="宋体" w:hAnsi="宋体" w:cs="宋体"/>
                <w:color w:val="000000"/>
                <w:kern w:val="0"/>
                <w:sz w:val="16"/>
                <w:szCs w:val="16"/>
              </w:rPr>
            </w:pPr>
            <w:r w:rsidRPr="00B840D0">
              <w:rPr>
                <w:rFonts w:ascii="宋体" w:eastAsia="宋体" w:hAnsi="宋体" w:cs="宋体" w:hint="eastAsia"/>
                <w:color w:val="000000"/>
                <w:kern w:val="0"/>
                <w:sz w:val="16"/>
                <w:szCs w:val="16"/>
              </w:rPr>
              <w:t>注：统计口径不含分级基金子份额；采用简单平均计算方式</w:t>
            </w:r>
          </w:p>
        </w:tc>
      </w:tr>
      <w:tr w:rsidR="00B840D0" w:rsidRPr="00B840D0" w:rsidTr="00056C3C">
        <w:trPr>
          <w:trHeight w:val="285"/>
        </w:trPr>
        <w:tc>
          <w:tcPr>
            <w:tcW w:w="6402" w:type="dxa"/>
            <w:gridSpan w:val="5"/>
            <w:tcBorders>
              <w:top w:val="nil"/>
              <w:left w:val="nil"/>
              <w:bottom w:val="single" w:sz="8" w:space="0" w:color="F79646"/>
              <w:right w:val="nil"/>
            </w:tcBorders>
            <w:shd w:val="clear" w:color="auto" w:fill="auto"/>
            <w:noWrap/>
            <w:vAlign w:val="bottom"/>
            <w:hideMark/>
          </w:tcPr>
          <w:p w:rsidR="00B840D0" w:rsidRPr="00B840D0" w:rsidRDefault="00B840D0" w:rsidP="00B840D0">
            <w:pPr>
              <w:widowControl/>
              <w:jc w:val="left"/>
              <w:rPr>
                <w:rFonts w:ascii="宋体" w:eastAsia="宋体" w:hAnsi="宋体" w:cs="宋体"/>
                <w:color w:val="000000"/>
                <w:kern w:val="0"/>
                <w:sz w:val="16"/>
                <w:szCs w:val="16"/>
              </w:rPr>
            </w:pPr>
            <w:r w:rsidRPr="00B840D0">
              <w:rPr>
                <w:rFonts w:ascii="宋体" w:eastAsia="宋体" w:hAnsi="宋体" w:cs="宋体" w:hint="eastAsia"/>
                <w:color w:val="000000"/>
                <w:kern w:val="0"/>
                <w:sz w:val="16"/>
                <w:szCs w:val="16"/>
              </w:rPr>
              <w:t>来源：</w:t>
            </w:r>
            <w:proofErr w:type="gramStart"/>
            <w:r w:rsidRPr="00B840D0">
              <w:rPr>
                <w:rFonts w:ascii="宋体" w:eastAsia="宋体" w:hAnsi="宋体" w:cs="宋体" w:hint="eastAsia"/>
                <w:color w:val="000000"/>
                <w:kern w:val="0"/>
                <w:sz w:val="16"/>
                <w:szCs w:val="16"/>
              </w:rPr>
              <w:t>凯</w:t>
            </w:r>
            <w:proofErr w:type="gramEnd"/>
            <w:r w:rsidRPr="00B840D0">
              <w:rPr>
                <w:rFonts w:ascii="宋体" w:eastAsia="宋体" w:hAnsi="宋体" w:cs="宋体" w:hint="eastAsia"/>
                <w:color w:val="000000"/>
                <w:kern w:val="0"/>
                <w:sz w:val="16"/>
                <w:szCs w:val="16"/>
              </w:rPr>
              <w:t>石财富工场</w:t>
            </w:r>
          </w:p>
        </w:tc>
      </w:tr>
    </w:tbl>
    <w:p w:rsidR="00A854B9" w:rsidRDefault="00A854B9" w:rsidP="00B840D0">
      <w:pPr>
        <w:pStyle w:val="ab"/>
        <w:spacing w:after="163"/>
        <w:ind w:left="0"/>
        <w:rPr>
          <w:rFonts w:eastAsia="楷体_GB2312"/>
          <w:color w:val="auto"/>
        </w:rPr>
      </w:pPr>
    </w:p>
    <w:p w:rsidR="00F74387" w:rsidRPr="00DD7991" w:rsidRDefault="0083198F" w:rsidP="00F74387">
      <w:pPr>
        <w:widowControl/>
        <w:spacing w:after="120" w:line="240" w:lineRule="exact"/>
        <w:ind w:left="3430"/>
        <w:rPr>
          <w:rFonts w:ascii="Arial" w:eastAsia="楷体_GB2312" w:hAnsi="Arial" w:cs="Times New Roman"/>
          <w:b/>
          <w:bCs/>
          <w:color w:val="0070C0"/>
          <w:kern w:val="0"/>
          <w:szCs w:val="21"/>
          <w:lang w:val="en-GB"/>
        </w:rPr>
      </w:pPr>
      <w:r w:rsidRPr="0083198F">
        <w:rPr>
          <w:rFonts w:ascii="Arial" w:eastAsia="楷体_GB2312" w:hAnsi="Arial" w:cs="Times New Roman" w:hint="eastAsia"/>
          <w:b/>
          <w:bCs/>
          <w:color w:val="0070C0"/>
          <w:kern w:val="0"/>
          <w:szCs w:val="21"/>
          <w:lang w:val="en-GB"/>
        </w:rPr>
        <w:t>权益类基金：</w:t>
      </w:r>
      <w:r w:rsidR="002E054A">
        <w:rPr>
          <w:rFonts w:ascii="Arial" w:eastAsia="楷体_GB2312" w:hAnsi="Arial" w:cs="Times New Roman" w:hint="eastAsia"/>
          <w:b/>
          <w:bCs/>
          <w:color w:val="0070C0"/>
          <w:kern w:val="0"/>
          <w:szCs w:val="21"/>
          <w:lang w:val="en-GB"/>
        </w:rPr>
        <w:t>周期强势</w:t>
      </w:r>
      <w:r w:rsidRPr="0083198F">
        <w:rPr>
          <w:rFonts w:ascii="Arial" w:eastAsia="楷体_GB2312" w:hAnsi="Arial" w:cs="Times New Roman" w:hint="eastAsia"/>
          <w:b/>
          <w:bCs/>
          <w:color w:val="0070C0"/>
          <w:kern w:val="0"/>
          <w:szCs w:val="21"/>
          <w:lang w:val="en-GB"/>
        </w:rPr>
        <w:t>，</w:t>
      </w:r>
      <w:r w:rsidR="002E054A">
        <w:rPr>
          <w:rFonts w:ascii="Arial" w:eastAsia="楷体_GB2312" w:hAnsi="Arial" w:cs="Times New Roman" w:hint="eastAsia"/>
          <w:b/>
          <w:bCs/>
          <w:color w:val="0070C0"/>
          <w:kern w:val="0"/>
          <w:szCs w:val="21"/>
          <w:lang w:val="en-GB"/>
        </w:rPr>
        <w:t>价值逆袭</w:t>
      </w:r>
    </w:p>
    <w:p w:rsidR="002C518D" w:rsidRPr="002C518D" w:rsidRDefault="008F6B2C" w:rsidP="002C518D">
      <w:pPr>
        <w:pStyle w:val="ab"/>
        <w:numPr>
          <w:ilvl w:val="4"/>
          <w:numId w:val="1"/>
        </w:numPr>
        <w:spacing w:after="163"/>
        <w:rPr>
          <w:rFonts w:eastAsia="楷体_GB2312"/>
          <w:color w:val="auto"/>
        </w:rPr>
      </w:pPr>
      <w:r>
        <w:rPr>
          <w:rFonts w:eastAsia="楷体_GB2312"/>
          <w:noProof/>
          <w:color w:val="auto"/>
          <w:lang w:val="en-US"/>
        </w:rPr>
        <w:pict>
          <v:shape id="_x0000_s2053" type="#_x0000_t202" style="position:absolute;left:0;text-align:left;margin-left:281.7pt;margin-top:74.85pt;width:273.75pt;height:249pt;z-index:251660288" stroked="f">
            <v:textbox style="mso-next-textbox:#_x0000_s2053">
              <w:txbxContent>
                <w:tbl>
                  <w:tblPr>
                    <w:tblW w:w="5235" w:type="dxa"/>
                    <w:tblInd w:w="93" w:type="dxa"/>
                    <w:tblLook w:val="04A0"/>
                  </w:tblPr>
                  <w:tblGrid>
                    <w:gridCol w:w="958"/>
                    <w:gridCol w:w="2559"/>
                    <w:gridCol w:w="1022"/>
                    <w:gridCol w:w="696"/>
                  </w:tblGrid>
                  <w:tr w:rsidR="00094657" w:rsidRPr="003072DB" w:rsidTr="00C02FD4">
                    <w:trPr>
                      <w:trHeight w:val="284"/>
                    </w:trPr>
                    <w:tc>
                      <w:tcPr>
                        <w:tcW w:w="4539" w:type="dxa"/>
                        <w:gridSpan w:val="3"/>
                        <w:tcBorders>
                          <w:top w:val="single" w:sz="8" w:space="0" w:color="E46D0A"/>
                          <w:left w:val="nil"/>
                          <w:bottom w:val="single" w:sz="8" w:space="0" w:color="E46D0A"/>
                          <w:right w:val="nil"/>
                        </w:tcBorders>
                        <w:shd w:val="clear" w:color="auto" w:fill="auto"/>
                        <w:noWrap/>
                        <w:vAlign w:val="center"/>
                        <w:hideMark/>
                      </w:tcPr>
                      <w:p w:rsidR="00094657" w:rsidRPr="003072DB" w:rsidRDefault="00094657" w:rsidP="003072DB">
                        <w:pPr>
                          <w:widowControl/>
                          <w:jc w:val="left"/>
                          <w:rPr>
                            <w:rFonts w:ascii="宋体" w:eastAsia="宋体" w:hAnsi="宋体" w:cs="宋体"/>
                            <w:b/>
                            <w:i/>
                            <w:iCs/>
                            <w:color w:val="E36C0A" w:themeColor="accent6" w:themeShade="BF"/>
                            <w:kern w:val="0"/>
                            <w:sz w:val="20"/>
                            <w:szCs w:val="20"/>
                          </w:rPr>
                        </w:pPr>
                        <w:r w:rsidRPr="003072DB">
                          <w:rPr>
                            <w:rFonts w:ascii="宋体" w:eastAsia="宋体" w:hAnsi="宋体" w:cs="宋体" w:hint="eastAsia"/>
                            <w:b/>
                            <w:i/>
                            <w:iCs/>
                            <w:color w:val="E36C0A" w:themeColor="accent6" w:themeShade="BF"/>
                            <w:kern w:val="0"/>
                            <w:sz w:val="20"/>
                            <w:szCs w:val="20"/>
                          </w:rPr>
                          <w:t>图表3:2014上半年指数型产品前十</w:t>
                        </w:r>
                      </w:p>
                    </w:tc>
                    <w:tc>
                      <w:tcPr>
                        <w:tcW w:w="696" w:type="dxa"/>
                        <w:tcBorders>
                          <w:top w:val="single" w:sz="8" w:space="0" w:color="E46D0A"/>
                          <w:left w:val="nil"/>
                          <w:bottom w:val="single" w:sz="8" w:space="0" w:color="E46D0A"/>
                          <w:right w:val="nil"/>
                        </w:tcBorders>
                        <w:shd w:val="clear" w:color="auto" w:fill="auto"/>
                        <w:noWrap/>
                        <w:vAlign w:val="bottom"/>
                        <w:hideMark/>
                      </w:tcPr>
                      <w:p w:rsidR="00094657" w:rsidRPr="003072DB" w:rsidRDefault="00094657"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r>
                  <w:tr w:rsidR="00094657" w:rsidRPr="003072DB" w:rsidTr="003072DB">
                    <w:trPr>
                      <w:trHeight w:val="434"/>
                    </w:trPr>
                    <w:tc>
                      <w:tcPr>
                        <w:tcW w:w="958"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市场代码</w:t>
                        </w:r>
                      </w:p>
                    </w:tc>
                    <w:tc>
                      <w:tcPr>
                        <w:tcW w:w="2559"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基金名称</w:t>
                        </w:r>
                      </w:p>
                    </w:tc>
                    <w:tc>
                      <w:tcPr>
                        <w:tcW w:w="1022" w:type="dxa"/>
                        <w:tcBorders>
                          <w:top w:val="nil"/>
                          <w:left w:val="nil"/>
                          <w:bottom w:val="single" w:sz="8" w:space="0" w:color="E46D0A"/>
                          <w:right w:val="nil"/>
                        </w:tcBorders>
                        <w:shd w:val="clear" w:color="auto" w:fill="auto"/>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2014上半年业绩（%）</w:t>
                        </w:r>
                      </w:p>
                    </w:tc>
                    <w:tc>
                      <w:tcPr>
                        <w:tcW w:w="69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排名</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159933</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金融地产</w:t>
                        </w:r>
                        <w:r>
                          <w:rPr>
                            <w:rFonts w:hint="eastAsia"/>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89.11</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1</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510230</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国泰上证</w:t>
                        </w:r>
                        <w:r>
                          <w:rPr>
                            <w:rFonts w:hint="eastAsia"/>
                            <w:color w:val="000000"/>
                            <w:sz w:val="16"/>
                            <w:szCs w:val="16"/>
                          </w:rPr>
                          <w:t>180</w:t>
                        </w:r>
                        <w:r>
                          <w:rPr>
                            <w:rFonts w:hint="eastAsia"/>
                            <w:color w:val="000000"/>
                            <w:sz w:val="16"/>
                            <w:szCs w:val="16"/>
                          </w:rPr>
                          <w:t>金融</w:t>
                        </w:r>
                        <w:r>
                          <w:rPr>
                            <w:rFonts w:hint="eastAsia"/>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89.04</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159931</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proofErr w:type="gramStart"/>
                        <w:r>
                          <w:rPr>
                            <w:rFonts w:hint="eastAsia"/>
                            <w:color w:val="000000"/>
                            <w:sz w:val="16"/>
                            <w:szCs w:val="16"/>
                          </w:rPr>
                          <w:t>汇添富中证金融</w:t>
                        </w:r>
                        <w:proofErr w:type="gramEnd"/>
                        <w:r>
                          <w:rPr>
                            <w:rFonts w:hint="eastAsia"/>
                            <w:color w:val="000000"/>
                            <w:sz w:val="16"/>
                            <w:szCs w:val="16"/>
                          </w:rPr>
                          <w:t>地产</w:t>
                        </w:r>
                        <w:r>
                          <w:rPr>
                            <w:rFonts w:hint="eastAsia"/>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88.19</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3</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510650</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华夏金融</w:t>
                        </w:r>
                        <w:r>
                          <w:rPr>
                            <w:rFonts w:hint="eastAsia"/>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83.06</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4</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161211</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国</w:t>
                        </w:r>
                        <w:proofErr w:type="gramStart"/>
                        <w:r>
                          <w:rPr>
                            <w:rFonts w:hint="eastAsia"/>
                            <w:color w:val="000000"/>
                            <w:sz w:val="16"/>
                            <w:szCs w:val="16"/>
                          </w:rPr>
                          <w:t>投金融</w:t>
                        </w:r>
                        <w:proofErr w:type="gramEnd"/>
                        <w:r>
                          <w:rPr>
                            <w:rFonts w:hint="eastAsia"/>
                            <w:color w:val="000000"/>
                            <w:sz w:val="16"/>
                            <w:szCs w:val="16"/>
                          </w:rPr>
                          <w:t>联接</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82.7</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5</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510060</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工银上</w:t>
                        </w:r>
                        <w:proofErr w:type="gramStart"/>
                        <w:r>
                          <w:rPr>
                            <w:rFonts w:hint="eastAsia"/>
                            <w:color w:val="000000"/>
                            <w:sz w:val="16"/>
                            <w:szCs w:val="16"/>
                          </w:rPr>
                          <w:t>证央企</w:t>
                        </w:r>
                        <w:proofErr w:type="gramEnd"/>
                        <w:r>
                          <w:rPr>
                            <w:rFonts w:hint="eastAsia"/>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80.36</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6</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020021</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国泰上证</w:t>
                        </w:r>
                        <w:r>
                          <w:rPr>
                            <w:rFonts w:hint="eastAsia"/>
                            <w:color w:val="000000"/>
                            <w:sz w:val="16"/>
                            <w:szCs w:val="16"/>
                          </w:rPr>
                          <w:t>180</w:t>
                        </w:r>
                        <w:r>
                          <w:rPr>
                            <w:rFonts w:hint="eastAsia"/>
                            <w:color w:val="000000"/>
                            <w:sz w:val="16"/>
                            <w:szCs w:val="16"/>
                          </w:rPr>
                          <w:t>金融</w:t>
                        </w:r>
                        <w:r>
                          <w:rPr>
                            <w:rFonts w:hint="eastAsia"/>
                            <w:color w:val="000000"/>
                            <w:sz w:val="16"/>
                            <w:szCs w:val="16"/>
                          </w:rPr>
                          <w:t>ETF</w:t>
                        </w:r>
                        <w:r>
                          <w:rPr>
                            <w:rFonts w:hint="eastAsia"/>
                            <w:color w:val="000000"/>
                            <w:sz w:val="16"/>
                            <w:szCs w:val="16"/>
                          </w:rPr>
                          <w:t>联接</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79.59</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7</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510110</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海富通上证周期</w:t>
                        </w:r>
                        <w:r>
                          <w:rPr>
                            <w:rFonts w:ascii="Calibri" w:hAnsi="Calibri"/>
                            <w:color w:val="000000"/>
                            <w:sz w:val="16"/>
                            <w:szCs w:val="16"/>
                          </w:rPr>
                          <w:t>ETF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77.82</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8</w:t>
                        </w:r>
                      </w:p>
                    </w:tc>
                  </w:tr>
                  <w:tr w:rsidR="00094657" w:rsidRPr="003072DB" w:rsidTr="003072DB">
                    <w:trPr>
                      <w:trHeight w:val="269"/>
                    </w:trPr>
                    <w:tc>
                      <w:tcPr>
                        <w:tcW w:w="958"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160716</w:t>
                        </w:r>
                      </w:p>
                    </w:tc>
                    <w:tc>
                      <w:tcPr>
                        <w:tcW w:w="2559" w:type="dxa"/>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嘉</w:t>
                        </w:r>
                        <w:proofErr w:type="gramStart"/>
                        <w:r>
                          <w:rPr>
                            <w:rFonts w:hint="eastAsia"/>
                            <w:color w:val="000000"/>
                            <w:sz w:val="16"/>
                            <w:szCs w:val="16"/>
                          </w:rPr>
                          <w:t>实基本</w:t>
                        </w:r>
                        <w:proofErr w:type="gramEnd"/>
                        <w:r>
                          <w:rPr>
                            <w:rFonts w:hint="eastAsia"/>
                            <w:color w:val="000000"/>
                            <w:sz w:val="16"/>
                            <w:szCs w:val="16"/>
                          </w:rPr>
                          <w:t>面</w:t>
                        </w:r>
                        <w:r>
                          <w:rPr>
                            <w:rFonts w:hint="eastAsia"/>
                            <w:color w:val="000000"/>
                            <w:sz w:val="16"/>
                            <w:szCs w:val="16"/>
                          </w:rPr>
                          <w:t>50</w:t>
                        </w:r>
                        <w:r>
                          <w:rPr>
                            <w:rFonts w:hint="eastAsia"/>
                            <w:color w:val="000000"/>
                            <w:sz w:val="16"/>
                            <w:szCs w:val="16"/>
                          </w:rPr>
                          <w:t>指数</w:t>
                        </w:r>
                        <w:r>
                          <w:rPr>
                            <w:rFonts w:hint="eastAsia"/>
                            <w:color w:val="000000"/>
                            <w:sz w:val="16"/>
                            <w:szCs w:val="16"/>
                          </w:rPr>
                          <w:t>(LOF)</w:t>
                        </w:r>
                      </w:p>
                    </w:tc>
                    <w:tc>
                      <w:tcPr>
                        <w:tcW w:w="1022"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77.24</w:t>
                        </w:r>
                      </w:p>
                    </w:tc>
                    <w:tc>
                      <w:tcPr>
                        <w:tcW w:w="69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9</w:t>
                        </w:r>
                      </w:p>
                    </w:tc>
                  </w:tr>
                  <w:tr w:rsidR="00094657" w:rsidRPr="003072DB" w:rsidTr="003072DB">
                    <w:trPr>
                      <w:trHeight w:val="284"/>
                    </w:trPr>
                    <w:tc>
                      <w:tcPr>
                        <w:tcW w:w="958" w:type="dxa"/>
                        <w:tcBorders>
                          <w:top w:val="nil"/>
                          <w:left w:val="nil"/>
                          <w:bottom w:val="single" w:sz="8" w:space="0" w:color="E46D0A"/>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510030</w:t>
                        </w:r>
                      </w:p>
                    </w:tc>
                    <w:tc>
                      <w:tcPr>
                        <w:tcW w:w="2559" w:type="dxa"/>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上证</w:t>
                        </w:r>
                        <w:r>
                          <w:rPr>
                            <w:rFonts w:hint="eastAsia"/>
                            <w:color w:val="000000"/>
                            <w:sz w:val="16"/>
                            <w:szCs w:val="16"/>
                          </w:rPr>
                          <w:t>180</w:t>
                        </w:r>
                        <w:r>
                          <w:rPr>
                            <w:rFonts w:hint="eastAsia"/>
                            <w:color w:val="000000"/>
                            <w:sz w:val="16"/>
                            <w:szCs w:val="16"/>
                          </w:rPr>
                          <w:t>价值</w:t>
                        </w:r>
                        <w:r>
                          <w:rPr>
                            <w:rFonts w:hint="eastAsia"/>
                            <w:color w:val="000000"/>
                            <w:sz w:val="16"/>
                            <w:szCs w:val="16"/>
                          </w:rPr>
                          <w:t>ETF</w:t>
                        </w:r>
                      </w:p>
                    </w:tc>
                    <w:tc>
                      <w:tcPr>
                        <w:tcW w:w="1022" w:type="dxa"/>
                        <w:tcBorders>
                          <w:top w:val="nil"/>
                          <w:left w:val="nil"/>
                          <w:bottom w:val="single" w:sz="8" w:space="0" w:color="E46D0A"/>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73.65</w:t>
                        </w:r>
                      </w:p>
                    </w:tc>
                    <w:tc>
                      <w:tcPr>
                        <w:tcW w:w="69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10</w:t>
                        </w:r>
                      </w:p>
                    </w:tc>
                  </w:tr>
                  <w:tr w:rsidR="00094657" w:rsidRPr="003072DB" w:rsidTr="003072DB">
                    <w:trPr>
                      <w:trHeight w:val="284"/>
                    </w:trPr>
                    <w:tc>
                      <w:tcPr>
                        <w:tcW w:w="3517" w:type="dxa"/>
                        <w:gridSpan w:val="2"/>
                        <w:tcBorders>
                          <w:top w:val="single" w:sz="8" w:space="0" w:color="E46D0A"/>
                          <w:left w:val="nil"/>
                          <w:bottom w:val="single" w:sz="8" w:space="0" w:color="E46D0A"/>
                          <w:right w:val="nil"/>
                        </w:tcBorders>
                        <w:shd w:val="clear" w:color="auto" w:fill="auto"/>
                        <w:noWrap/>
                        <w:vAlign w:val="center"/>
                        <w:hideMark/>
                      </w:tcPr>
                      <w:p w:rsidR="00094657" w:rsidRPr="003072DB" w:rsidRDefault="00094657"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来源：</w:t>
                        </w:r>
                        <w:proofErr w:type="gramStart"/>
                        <w:r w:rsidRPr="003072DB">
                          <w:rPr>
                            <w:rFonts w:ascii="宋体" w:eastAsia="宋体" w:hAnsi="宋体" w:cs="宋体" w:hint="eastAsia"/>
                            <w:color w:val="000000"/>
                            <w:kern w:val="0"/>
                            <w:sz w:val="16"/>
                            <w:szCs w:val="16"/>
                          </w:rPr>
                          <w:t>凯</w:t>
                        </w:r>
                        <w:proofErr w:type="gramEnd"/>
                        <w:r w:rsidRPr="003072DB">
                          <w:rPr>
                            <w:rFonts w:ascii="宋体" w:eastAsia="宋体" w:hAnsi="宋体" w:cs="宋体" w:hint="eastAsia"/>
                            <w:color w:val="000000"/>
                            <w:kern w:val="0"/>
                            <w:sz w:val="16"/>
                            <w:szCs w:val="16"/>
                          </w:rPr>
                          <w:t>石财富工场</w:t>
                        </w:r>
                      </w:p>
                    </w:tc>
                    <w:tc>
                      <w:tcPr>
                        <w:tcW w:w="1022"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8"/>
                            <w:szCs w:val="18"/>
                          </w:rPr>
                        </w:pPr>
                        <w:r w:rsidRPr="003072DB">
                          <w:rPr>
                            <w:rFonts w:ascii="宋体" w:eastAsia="宋体" w:hAnsi="宋体" w:cs="宋体" w:hint="eastAsia"/>
                            <w:color w:val="000000"/>
                            <w:kern w:val="0"/>
                            <w:sz w:val="18"/>
                            <w:szCs w:val="18"/>
                          </w:rPr>
                          <w:t xml:space="preserve">　</w:t>
                        </w:r>
                      </w:p>
                    </w:tc>
                    <w:tc>
                      <w:tcPr>
                        <w:tcW w:w="69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8"/>
                            <w:szCs w:val="18"/>
                          </w:rPr>
                        </w:pPr>
                        <w:r w:rsidRPr="003072DB">
                          <w:rPr>
                            <w:rFonts w:ascii="宋体" w:eastAsia="宋体" w:hAnsi="宋体" w:cs="宋体" w:hint="eastAsia"/>
                            <w:color w:val="000000"/>
                            <w:kern w:val="0"/>
                            <w:sz w:val="18"/>
                            <w:szCs w:val="18"/>
                          </w:rPr>
                          <w:t xml:space="preserve">　</w:t>
                        </w:r>
                      </w:p>
                    </w:tc>
                  </w:tr>
                </w:tbl>
                <w:p w:rsidR="00094657" w:rsidRDefault="00094657"/>
              </w:txbxContent>
            </v:textbox>
          </v:shape>
        </w:pict>
      </w:r>
      <w:r>
        <w:rPr>
          <w:rFonts w:eastAsia="楷体_GB2312"/>
          <w:noProof/>
          <w:color w:val="auto"/>
          <w:lang w:val="en-US"/>
        </w:rPr>
        <w:pict>
          <v:shape id="_x0000_s2052" type="#_x0000_t202" style="position:absolute;left:0;text-align:left;margin-left:1.05pt;margin-top:74.85pt;width:287.25pt;height:249pt;z-index:251659264" stroked="f">
            <v:textbox style="mso-next-textbox:#_x0000_s2052">
              <w:txbxContent>
                <w:tbl>
                  <w:tblPr>
                    <w:tblW w:w="6227" w:type="dxa"/>
                    <w:tblLook w:val="04A0"/>
                  </w:tblPr>
                  <w:tblGrid>
                    <w:gridCol w:w="15"/>
                    <w:gridCol w:w="819"/>
                    <w:gridCol w:w="165"/>
                    <w:gridCol w:w="2189"/>
                    <w:gridCol w:w="600"/>
                    <w:gridCol w:w="863"/>
                    <w:gridCol w:w="173"/>
                    <w:gridCol w:w="606"/>
                    <w:gridCol w:w="797"/>
                  </w:tblGrid>
                  <w:tr w:rsidR="00094657" w:rsidTr="00D90CDD">
                    <w:trPr>
                      <w:gridBefore w:val="1"/>
                      <w:wBefore w:w="15" w:type="dxa"/>
                      <w:trHeight w:val="285"/>
                    </w:trPr>
                    <w:tc>
                      <w:tcPr>
                        <w:tcW w:w="4636" w:type="dxa"/>
                        <w:gridSpan w:val="5"/>
                        <w:tcBorders>
                          <w:top w:val="single" w:sz="8" w:space="0" w:color="E46D0A"/>
                          <w:left w:val="nil"/>
                          <w:bottom w:val="single" w:sz="8" w:space="0" w:color="E46D0A"/>
                          <w:right w:val="nil"/>
                        </w:tcBorders>
                        <w:shd w:val="clear" w:color="auto" w:fill="auto"/>
                        <w:noWrap/>
                        <w:vAlign w:val="center"/>
                        <w:hideMark/>
                      </w:tcPr>
                      <w:p w:rsidR="00094657" w:rsidRDefault="00094657">
                        <w:pPr>
                          <w:rPr>
                            <w:rFonts w:ascii="宋体" w:eastAsia="宋体" w:hAnsi="宋体" w:cs="宋体"/>
                            <w:b/>
                            <w:bCs/>
                            <w:i/>
                            <w:iCs/>
                            <w:color w:val="E36C0A"/>
                            <w:sz w:val="20"/>
                            <w:szCs w:val="20"/>
                          </w:rPr>
                        </w:pPr>
                        <w:r>
                          <w:rPr>
                            <w:rFonts w:hint="eastAsia"/>
                            <w:b/>
                            <w:bCs/>
                            <w:i/>
                            <w:iCs/>
                            <w:color w:val="E36C0A"/>
                            <w:sz w:val="20"/>
                            <w:szCs w:val="20"/>
                          </w:rPr>
                          <w:t>图表</w:t>
                        </w:r>
                        <w:r>
                          <w:rPr>
                            <w:rFonts w:hint="eastAsia"/>
                            <w:b/>
                            <w:bCs/>
                            <w:i/>
                            <w:iCs/>
                            <w:color w:val="E36C0A"/>
                            <w:sz w:val="20"/>
                            <w:szCs w:val="20"/>
                          </w:rPr>
                          <w:t>2:2014</w:t>
                        </w:r>
                        <w:r>
                          <w:rPr>
                            <w:rFonts w:hint="eastAsia"/>
                            <w:b/>
                            <w:bCs/>
                            <w:i/>
                            <w:iCs/>
                            <w:color w:val="E36C0A"/>
                            <w:sz w:val="20"/>
                            <w:szCs w:val="20"/>
                          </w:rPr>
                          <w:t>年开放式主动</w:t>
                        </w:r>
                        <w:proofErr w:type="gramStart"/>
                        <w:r>
                          <w:rPr>
                            <w:rFonts w:hint="eastAsia"/>
                            <w:b/>
                            <w:bCs/>
                            <w:i/>
                            <w:iCs/>
                            <w:color w:val="E36C0A"/>
                            <w:sz w:val="20"/>
                            <w:szCs w:val="20"/>
                          </w:rPr>
                          <w:t>偏股产品</w:t>
                        </w:r>
                        <w:proofErr w:type="gramEnd"/>
                        <w:r>
                          <w:rPr>
                            <w:rFonts w:hint="eastAsia"/>
                            <w:b/>
                            <w:bCs/>
                            <w:i/>
                            <w:iCs/>
                            <w:color w:val="E36C0A"/>
                            <w:sz w:val="20"/>
                            <w:szCs w:val="20"/>
                          </w:rPr>
                          <w:t>前十</w:t>
                        </w:r>
                      </w:p>
                    </w:tc>
                    <w:tc>
                      <w:tcPr>
                        <w:tcW w:w="1576" w:type="dxa"/>
                        <w:gridSpan w:val="3"/>
                        <w:tcBorders>
                          <w:top w:val="single" w:sz="8" w:space="0" w:color="E46D0A"/>
                          <w:left w:val="nil"/>
                          <w:bottom w:val="single" w:sz="8" w:space="0" w:color="E46D0A"/>
                          <w:right w:val="nil"/>
                        </w:tcBorders>
                        <w:shd w:val="clear" w:color="auto" w:fill="auto"/>
                        <w:noWrap/>
                        <w:vAlign w:val="bottom"/>
                        <w:hideMark/>
                      </w:tcPr>
                      <w:p w:rsidR="00094657" w:rsidRDefault="00094657">
                        <w:pPr>
                          <w:rPr>
                            <w:rFonts w:ascii="宋体" w:eastAsia="宋体" w:hAnsi="宋体" w:cs="宋体"/>
                            <w:color w:val="000000"/>
                            <w:sz w:val="22"/>
                          </w:rPr>
                        </w:pPr>
                        <w:r>
                          <w:rPr>
                            <w:rFonts w:hint="eastAsia"/>
                            <w:color w:val="000000"/>
                            <w:sz w:val="22"/>
                          </w:rPr>
                          <w:t xml:space="preserve">　</w:t>
                        </w:r>
                      </w:p>
                    </w:tc>
                  </w:tr>
                  <w:tr w:rsidR="00094657" w:rsidTr="00D90CDD">
                    <w:trPr>
                      <w:gridBefore w:val="1"/>
                      <w:wBefore w:w="15" w:type="dxa"/>
                      <w:trHeight w:val="285"/>
                    </w:trPr>
                    <w:tc>
                      <w:tcPr>
                        <w:tcW w:w="819" w:type="dxa"/>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市场代码</w:t>
                        </w:r>
                      </w:p>
                    </w:tc>
                    <w:tc>
                      <w:tcPr>
                        <w:tcW w:w="2354" w:type="dxa"/>
                        <w:gridSpan w:val="2"/>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基金名称</w:t>
                        </w:r>
                      </w:p>
                    </w:tc>
                    <w:tc>
                      <w:tcPr>
                        <w:tcW w:w="1463" w:type="dxa"/>
                        <w:gridSpan w:val="2"/>
                        <w:tcBorders>
                          <w:top w:val="nil"/>
                          <w:left w:val="nil"/>
                          <w:bottom w:val="single" w:sz="8" w:space="0" w:color="E46D0A"/>
                          <w:right w:val="nil"/>
                        </w:tcBorders>
                        <w:shd w:val="clear" w:color="auto" w:fill="auto"/>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2014</w:t>
                        </w:r>
                        <w:r>
                          <w:rPr>
                            <w:rFonts w:hint="eastAsia"/>
                            <w:color w:val="000000"/>
                            <w:sz w:val="16"/>
                            <w:szCs w:val="16"/>
                          </w:rPr>
                          <w:t>年业绩（</w:t>
                        </w:r>
                        <w:r>
                          <w:rPr>
                            <w:rFonts w:hint="eastAsia"/>
                            <w:color w:val="000000"/>
                            <w:sz w:val="16"/>
                            <w:szCs w:val="16"/>
                          </w:rPr>
                          <w:t>%</w:t>
                        </w:r>
                        <w:r>
                          <w:rPr>
                            <w:rFonts w:hint="eastAsia"/>
                            <w:color w:val="000000"/>
                            <w:sz w:val="16"/>
                            <w:szCs w:val="16"/>
                          </w:rPr>
                          <w:t>）</w:t>
                        </w:r>
                      </w:p>
                    </w:tc>
                    <w:tc>
                      <w:tcPr>
                        <w:tcW w:w="1576" w:type="dxa"/>
                        <w:gridSpan w:val="3"/>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排名</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000251</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工</w:t>
                        </w:r>
                        <w:proofErr w:type="gramStart"/>
                        <w:r>
                          <w:rPr>
                            <w:rFonts w:hint="eastAsia"/>
                            <w:color w:val="000000"/>
                            <w:sz w:val="16"/>
                            <w:szCs w:val="16"/>
                          </w:rPr>
                          <w:t>银金融</w:t>
                        </w:r>
                        <w:proofErr w:type="gramEnd"/>
                        <w:r>
                          <w:rPr>
                            <w:rFonts w:hint="eastAsia"/>
                            <w:color w:val="000000"/>
                            <w:sz w:val="16"/>
                            <w:szCs w:val="16"/>
                          </w:rPr>
                          <w:t>地产股票</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102.49</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213006</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宝</w:t>
                        </w:r>
                        <w:proofErr w:type="gramStart"/>
                        <w:r>
                          <w:rPr>
                            <w:rFonts w:hint="eastAsia"/>
                            <w:color w:val="000000"/>
                            <w:sz w:val="16"/>
                            <w:szCs w:val="16"/>
                          </w:rPr>
                          <w:t>盈核心</w:t>
                        </w:r>
                        <w:proofErr w:type="gramEnd"/>
                        <w:r>
                          <w:rPr>
                            <w:rFonts w:hint="eastAsia"/>
                            <w:color w:val="000000"/>
                            <w:sz w:val="16"/>
                            <w:szCs w:val="16"/>
                          </w:rPr>
                          <w:t>优势混合</w:t>
                        </w:r>
                        <w:r>
                          <w:rPr>
                            <w:rFonts w:hint="eastAsia"/>
                            <w:color w:val="000000"/>
                            <w:sz w:val="16"/>
                            <w:szCs w:val="16"/>
                          </w:rPr>
                          <w:t>A</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80.12</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2</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000241</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宝</w:t>
                        </w:r>
                        <w:proofErr w:type="gramStart"/>
                        <w:r>
                          <w:rPr>
                            <w:rFonts w:hint="eastAsia"/>
                            <w:color w:val="000000"/>
                            <w:sz w:val="16"/>
                            <w:szCs w:val="16"/>
                          </w:rPr>
                          <w:t>盈核心</w:t>
                        </w:r>
                        <w:proofErr w:type="gramEnd"/>
                        <w:r>
                          <w:rPr>
                            <w:rFonts w:hint="eastAsia"/>
                            <w:color w:val="000000"/>
                            <w:sz w:val="16"/>
                            <w:szCs w:val="16"/>
                          </w:rPr>
                          <w:t>优势混合</w:t>
                        </w:r>
                        <w:r>
                          <w:rPr>
                            <w:rFonts w:hint="eastAsia"/>
                            <w:color w:val="000000"/>
                            <w:sz w:val="16"/>
                            <w:szCs w:val="16"/>
                          </w:rPr>
                          <w:t>C</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77.98</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3</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519033</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proofErr w:type="gramStart"/>
                        <w:r>
                          <w:rPr>
                            <w:rFonts w:hint="eastAsia"/>
                            <w:color w:val="000000"/>
                            <w:sz w:val="16"/>
                            <w:szCs w:val="16"/>
                          </w:rPr>
                          <w:t>海富通国策</w:t>
                        </w:r>
                        <w:proofErr w:type="gramEnd"/>
                        <w:r>
                          <w:rPr>
                            <w:rFonts w:hint="eastAsia"/>
                            <w:color w:val="000000"/>
                            <w:sz w:val="16"/>
                            <w:szCs w:val="16"/>
                          </w:rPr>
                          <w:t>导向股票</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71.7</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4</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610002</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信</w:t>
                        </w:r>
                        <w:proofErr w:type="gramStart"/>
                        <w:r>
                          <w:rPr>
                            <w:rFonts w:hint="eastAsia"/>
                            <w:color w:val="000000"/>
                            <w:sz w:val="16"/>
                            <w:szCs w:val="16"/>
                          </w:rPr>
                          <w:t>达澳银</w:t>
                        </w:r>
                        <w:proofErr w:type="gramEnd"/>
                        <w:r>
                          <w:rPr>
                            <w:rFonts w:hint="eastAsia"/>
                            <w:color w:val="000000"/>
                            <w:sz w:val="16"/>
                            <w:szCs w:val="16"/>
                          </w:rPr>
                          <w:t>精华配置混合</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70.56</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460002</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华泰柏瑞积极成长</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65.34</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000263</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工</w:t>
                        </w:r>
                        <w:proofErr w:type="gramStart"/>
                        <w:r>
                          <w:rPr>
                            <w:rFonts w:hint="eastAsia"/>
                            <w:color w:val="000000"/>
                            <w:sz w:val="16"/>
                            <w:szCs w:val="16"/>
                          </w:rPr>
                          <w:t>银信息</w:t>
                        </w:r>
                        <w:proofErr w:type="gramEnd"/>
                        <w:r>
                          <w:rPr>
                            <w:rFonts w:hint="eastAsia"/>
                            <w:color w:val="000000"/>
                            <w:sz w:val="16"/>
                            <w:szCs w:val="16"/>
                          </w:rPr>
                          <w:t>产业股票</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64.31</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7</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519712</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proofErr w:type="gramStart"/>
                        <w:r>
                          <w:rPr>
                            <w:rFonts w:hint="eastAsia"/>
                            <w:color w:val="000000"/>
                            <w:sz w:val="16"/>
                            <w:szCs w:val="16"/>
                          </w:rPr>
                          <w:t>交银阿尔</w:t>
                        </w:r>
                        <w:proofErr w:type="gramEnd"/>
                        <w:r>
                          <w:rPr>
                            <w:rFonts w:hint="eastAsia"/>
                            <w:color w:val="000000"/>
                            <w:sz w:val="16"/>
                            <w:szCs w:val="16"/>
                          </w:rPr>
                          <w:t>法</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62.66</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8</w:t>
                        </w:r>
                      </w:p>
                    </w:tc>
                  </w:tr>
                  <w:tr w:rsidR="00094657" w:rsidTr="00D90CDD">
                    <w:trPr>
                      <w:gridBefore w:val="1"/>
                      <w:wBefore w:w="15" w:type="dxa"/>
                      <w:trHeight w:val="270"/>
                    </w:trPr>
                    <w:tc>
                      <w:tcPr>
                        <w:tcW w:w="819" w:type="dxa"/>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213003</w:t>
                        </w:r>
                      </w:p>
                    </w:tc>
                    <w:tc>
                      <w:tcPr>
                        <w:tcW w:w="2354" w:type="dxa"/>
                        <w:gridSpan w:val="2"/>
                        <w:tcBorders>
                          <w:top w:val="nil"/>
                          <w:left w:val="nil"/>
                          <w:bottom w:val="nil"/>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宝盈策略增长股票</w:t>
                        </w:r>
                      </w:p>
                    </w:tc>
                    <w:tc>
                      <w:tcPr>
                        <w:tcW w:w="1463" w:type="dxa"/>
                        <w:gridSpan w:val="2"/>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61.5</w:t>
                        </w:r>
                      </w:p>
                    </w:tc>
                    <w:tc>
                      <w:tcPr>
                        <w:tcW w:w="1576" w:type="dxa"/>
                        <w:gridSpan w:val="3"/>
                        <w:tcBorders>
                          <w:top w:val="nil"/>
                          <w:left w:val="nil"/>
                          <w:bottom w:val="nil"/>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9</w:t>
                        </w:r>
                      </w:p>
                    </w:tc>
                  </w:tr>
                  <w:tr w:rsidR="00094657" w:rsidTr="00D90CDD">
                    <w:trPr>
                      <w:gridBefore w:val="1"/>
                      <w:wBefore w:w="15" w:type="dxa"/>
                      <w:trHeight w:val="285"/>
                    </w:trPr>
                    <w:tc>
                      <w:tcPr>
                        <w:tcW w:w="819" w:type="dxa"/>
                        <w:tcBorders>
                          <w:top w:val="nil"/>
                          <w:left w:val="nil"/>
                          <w:bottom w:val="single" w:sz="8" w:space="0" w:color="E46D0A"/>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160505</w:t>
                        </w:r>
                      </w:p>
                    </w:tc>
                    <w:tc>
                      <w:tcPr>
                        <w:tcW w:w="2354" w:type="dxa"/>
                        <w:gridSpan w:val="2"/>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博</w:t>
                        </w:r>
                        <w:proofErr w:type="gramStart"/>
                        <w:r>
                          <w:rPr>
                            <w:rFonts w:hint="eastAsia"/>
                            <w:color w:val="000000"/>
                            <w:sz w:val="16"/>
                            <w:szCs w:val="16"/>
                          </w:rPr>
                          <w:t>时主题</w:t>
                        </w:r>
                        <w:proofErr w:type="gramEnd"/>
                        <w:r>
                          <w:rPr>
                            <w:rFonts w:hint="eastAsia"/>
                            <w:color w:val="000000"/>
                            <w:sz w:val="16"/>
                            <w:szCs w:val="16"/>
                          </w:rPr>
                          <w:t>行业股票（</w:t>
                        </w:r>
                        <w:r>
                          <w:rPr>
                            <w:rFonts w:hint="eastAsia"/>
                            <w:color w:val="000000"/>
                            <w:sz w:val="16"/>
                            <w:szCs w:val="16"/>
                          </w:rPr>
                          <w:t>LOF</w:t>
                        </w:r>
                        <w:r>
                          <w:rPr>
                            <w:rFonts w:hint="eastAsia"/>
                            <w:color w:val="000000"/>
                            <w:sz w:val="16"/>
                            <w:szCs w:val="16"/>
                          </w:rPr>
                          <w:t>）</w:t>
                        </w:r>
                      </w:p>
                    </w:tc>
                    <w:tc>
                      <w:tcPr>
                        <w:tcW w:w="1463" w:type="dxa"/>
                        <w:gridSpan w:val="2"/>
                        <w:tcBorders>
                          <w:top w:val="nil"/>
                          <w:left w:val="nil"/>
                          <w:bottom w:val="single" w:sz="8" w:space="0" w:color="E46D0A"/>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61.36</w:t>
                        </w:r>
                      </w:p>
                    </w:tc>
                    <w:tc>
                      <w:tcPr>
                        <w:tcW w:w="1576" w:type="dxa"/>
                        <w:gridSpan w:val="3"/>
                        <w:tcBorders>
                          <w:top w:val="nil"/>
                          <w:left w:val="nil"/>
                          <w:bottom w:val="single" w:sz="8" w:space="0" w:color="E46D0A"/>
                          <w:right w:val="nil"/>
                        </w:tcBorders>
                        <w:shd w:val="clear" w:color="auto" w:fill="auto"/>
                        <w:noWrap/>
                        <w:vAlign w:val="center"/>
                        <w:hideMark/>
                      </w:tcPr>
                      <w:p w:rsidR="00094657" w:rsidRDefault="00094657">
                        <w:pPr>
                          <w:jc w:val="center"/>
                          <w:rPr>
                            <w:rFonts w:ascii="Calibri" w:eastAsia="宋体" w:hAnsi="Calibri" w:cs="宋体"/>
                            <w:color w:val="000000"/>
                            <w:sz w:val="16"/>
                            <w:szCs w:val="16"/>
                          </w:rPr>
                        </w:pPr>
                        <w:r>
                          <w:rPr>
                            <w:rFonts w:ascii="Calibri" w:hAnsi="Calibri"/>
                            <w:color w:val="000000"/>
                            <w:sz w:val="16"/>
                            <w:szCs w:val="16"/>
                          </w:rPr>
                          <w:t>10</w:t>
                        </w:r>
                      </w:p>
                    </w:tc>
                  </w:tr>
                  <w:tr w:rsidR="00094657" w:rsidTr="00D90CDD">
                    <w:trPr>
                      <w:gridBefore w:val="1"/>
                      <w:wBefore w:w="15" w:type="dxa"/>
                      <w:trHeight w:val="270"/>
                    </w:trPr>
                    <w:tc>
                      <w:tcPr>
                        <w:tcW w:w="6212" w:type="dxa"/>
                        <w:gridSpan w:val="8"/>
                        <w:tcBorders>
                          <w:top w:val="single" w:sz="8" w:space="0" w:color="E46D0A"/>
                          <w:left w:val="nil"/>
                          <w:bottom w:val="nil"/>
                          <w:right w:val="nil"/>
                        </w:tcBorders>
                        <w:shd w:val="clear" w:color="auto" w:fill="auto"/>
                        <w:noWrap/>
                        <w:vAlign w:val="center"/>
                        <w:hideMark/>
                      </w:tcPr>
                      <w:p w:rsidR="00094657" w:rsidRDefault="00094657">
                        <w:pPr>
                          <w:rPr>
                            <w:rFonts w:ascii="宋体" w:eastAsia="宋体" w:hAnsi="宋体" w:cs="宋体"/>
                            <w:color w:val="000000"/>
                            <w:sz w:val="16"/>
                            <w:szCs w:val="16"/>
                          </w:rPr>
                        </w:pPr>
                        <w:r>
                          <w:rPr>
                            <w:rFonts w:hint="eastAsia"/>
                            <w:color w:val="000000"/>
                            <w:sz w:val="16"/>
                            <w:szCs w:val="16"/>
                          </w:rPr>
                          <w:t>注：开放式主动</w:t>
                        </w:r>
                        <w:proofErr w:type="gramStart"/>
                        <w:r>
                          <w:rPr>
                            <w:rFonts w:hint="eastAsia"/>
                            <w:color w:val="000000"/>
                            <w:sz w:val="16"/>
                            <w:szCs w:val="16"/>
                          </w:rPr>
                          <w:t>偏股产品</w:t>
                        </w:r>
                        <w:proofErr w:type="gramEnd"/>
                        <w:r>
                          <w:rPr>
                            <w:rFonts w:hint="eastAsia"/>
                            <w:color w:val="000000"/>
                            <w:sz w:val="16"/>
                            <w:szCs w:val="16"/>
                          </w:rPr>
                          <w:t>包含开放主动股票型及混合型</w:t>
                        </w:r>
                      </w:p>
                    </w:tc>
                  </w:tr>
                  <w:tr w:rsidR="00094657" w:rsidTr="00D90CDD">
                    <w:trPr>
                      <w:gridBefore w:val="1"/>
                      <w:wBefore w:w="15" w:type="dxa"/>
                      <w:trHeight w:val="285"/>
                    </w:trPr>
                    <w:tc>
                      <w:tcPr>
                        <w:tcW w:w="3173" w:type="dxa"/>
                        <w:gridSpan w:val="3"/>
                        <w:tcBorders>
                          <w:top w:val="nil"/>
                          <w:left w:val="nil"/>
                          <w:bottom w:val="single" w:sz="8" w:space="0" w:color="E46D0A"/>
                          <w:right w:val="nil"/>
                        </w:tcBorders>
                        <w:shd w:val="clear" w:color="auto" w:fill="auto"/>
                        <w:noWrap/>
                        <w:vAlign w:val="center"/>
                        <w:hideMark/>
                      </w:tcPr>
                      <w:p w:rsidR="00094657" w:rsidRDefault="00094657">
                        <w:pPr>
                          <w:rPr>
                            <w:rFonts w:ascii="宋体" w:eastAsia="宋体" w:hAnsi="宋体" w:cs="宋体"/>
                            <w:color w:val="000000"/>
                            <w:sz w:val="16"/>
                            <w:szCs w:val="16"/>
                          </w:rPr>
                        </w:pPr>
                        <w:r>
                          <w:rPr>
                            <w:rFonts w:hint="eastAsia"/>
                            <w:color w:val="000000"/>
                            <w:sz w:val="16"/>
                            <w:szCs w:val="16"/>
                          </w:rPr>
                          <w:t>来源：</w:t>
                        </w:r>
                        <w:proofErr w:type="gramStart"/>
                        <w:r>
                          <w:rPr>
                            <w:rFonts w:hint="eastAsia"/>
                            <w:color w:val="000000"/>
                            <w:sz w:val="16"/>
                            <w:szCs w:val="16"/>
                          </w:rPr>
                          <w:t>凯</w:t>
                        </w:r>
                        <w:proofErr w:type="gramEnd"/>
                        <w:r>
                          <w:rPr>
                            <w:rFonts w:hint="eastAsia"/>
                            <w:color w:val="000000"/>
                            <w:sz w:val="16"/>
                            <w:szCs w:val="16"/>
                          </w:rPr>
                          <w:t>石财富工场</w:t>
                        </w:r>
                      </w:p>
                    </w:tc>
                    <w:tc>
                      <w:tcPr>
                        <w:tcW w:w="1463" w:type="dxa"/>
                        <w:gridSpan w:val="2"/>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 xml:space="preserve">　</w:t>
                        </w:r>
                      </w:p>
                    </w:tc>
                    <w:tc>
                      <w:tcPr>
                        <w:tcW w:w="1576" w:type="dxa"/>
                        <w:gridSpan w:val="3"/>
                        <w:tcBorders>
                          <w:top w:val="nil"/>
                          <w:left w:val="nil"/>
                          <w:bottom w:val="single" w:sz="8" w:space="0" w:color="E46D0A"/>
                          <w:right w:val="nil"/>
                        </w:tcBorders>
                        <w:shd w:val="clear" w:color="auto" w:fill="auto"/>
                        <w:noWrap/>
                        <w:vAlign w:val="center"/>
                        <w:hideMark/>
                      </w:tcPr>
                      <w:p w:rsidR="00094657" w:rsidRDefault="00094657">
                        <w:pPr>
                          <w:jc w:val="center"/>
                          <w:rPr>
                            <w:rFonts w:ascii="宋体" w:eastAsia="宋体" w:hAnsi="宋体" w:cs="宋体"/>
                            <w:color w:val="000000"/>
                            <w:sz w:val="16"/>
                            <w:szCs w:val="16"/>
                          </w:rPr>
                        </w:pPr>
                        <w:r>
                          <w:rPr>
                            <w:rFonts w:hint="eastAsia"/>
                            <w:color w:val="000000"/>
                            <w:sz w:val="16"/>
                            <w:szCs w:val="16"/>
                          </w:rPr>
                          <w:t xml:space="preserve">　</w:t>
                        </w:r>
                      </w:p>
                    </w:tc>
                  </w:tr>
                  <w:tr w:rsidR="00094657" w:rsidRPr="003072DB" w:rsidTr="00D90CDD">
                    <w:trPr>
                      <w:gridAfter w:val="1"/>
                      <w:wAfter w:w="797" w:type="dxa"/>
                      <w:trHeight w:val="305"/>
                    </w:trPr>
                    <w:tc>
                      <w:tcPr>
                        <w:tcW w:w="4824" w:type="dxa"/>
                        <w:gridSpan w:val="7"/>
                        <w:tcBorders>
                          <w:top w:val="single" w:sz="8" w:space="0" w:color="E46D0A"/>
                          <w:left w:val="nil"/>
                          <w:bottom w:val="single" w:sz="8" w:space="0" w:color="E46D0A"/>
                          <w:right w:val="nil"/>
                        </w:tcBorders>
                        <w:shd w:val="clear" w:color="auto" w:fill="auto"/>
                        <w:noWrap/>
                        <w:vAlign w:val="center"/>
                        <w:hideMark/>
                      </w:tcPr>
                      <w:p w:rsidR="00094657" w:rsidRPr="003072DB" w:rsidRDefault="00094657" w:rsidP="003072DB">
                        <w:pPr>
                          <w:widowControl/>
                          <w:jc w:val="left"/>
                          <w:rPr>
                            <w:rFonts w:ascii="宋体" w:eastAsia="宋体" w:hAnsi="宋体" w:cs="宋体"/>
                            <w:b/>
                            <w:i/>
                            <w:iCs/>
                            <w:color w:val="E36C0A" w:themeColor="accent6" w:themeShade="BF"/>
                            <w:kern w:val="0"/>
                            <w:sz w:val="20"/>
                            <w:szCs w:val="20"/>
                          </w:rPr>
                        </w:pPr>
                        <w:r w:rsidRPr="003072DB">
                          <w:rPr>
                            <w:rFonts w:ascii="宋体" w:eastAsia="宋体" w:hAnsi="宋体" w:cs="宋体" w:hint="eastAsia"/>
                            <w:b/>
                            <w:i/>
                            <w:iCs/>
                            <w:color w:val="E36C0A" w:themeColor="accent6" w:themeShade="BF"/>
                            <w:kern w:val="0"/>
                            <w:sz w:val="20"/>
                            <w:szCs w:val="20"/>
                          </w:rPr>
                          <w:t>图表2:2014上半年开放式主动</w:t>
                        </w:r>
                        <w:proofErr w:type="gramStart"/>
                        <w:r w:rsidRPr="003072DB">
                          <w:rPr>
                            <w:rFonts w:ascii="宋体" w:eastAsia="宋体" w:hAnsi="宋体" w:cs="宋体" w:hint="eastAsia"/>
                            <w:b/>
                            <w:i/>
                            <w:iCs/>
                            <w:color w:val="E36C0A" w:themeColor="accent6" w:themeShade="BF"/>
                            <w:kern w:val="0"/>
                            <w:sz w:val="20"/>
                            <w:szCs w:val="20"/>
                          </w:rPr>
                          <w:t>偏股产品</w:t>
                        </w:r>
                        <w:proofErr w:type="gramEnd"/>
                        <w:r w:rsidRPr="003072DB">
                          <w:rPr>
                            <w:rFonts w:ascii="宋体" w:eastAsia="宋体" w:hAnsi="宋体" w:cs="宋体" w:hint="eastAsia"/>
                            <w:b/>
                            <w:i/>
                            <w:iCs/>
                            <w:color w:val="E36C0A" w:themeColor="accent6" w:themeShade="BF"/>
                            <w:kern w:val="0"/>
                            <w:sz w:val="20"/>
                            <w:szCs w:val="20"/>
                          </w:rPr>
                          <w:t>前十</w:t>
                        </w:r>
                      </w:p>
                    </w:tc>
                    <w:tc>
                      <w:tcPr>
                        <w:tcW w:w="606" w:type="dxa"/>
                        <w:tcBorders>
                          <w:top w:val="single" w:sz="8" w:space="0" w:color="E46D0A"/>
                          <w:left w:val="nil"/>
                          <w:bottom w:val="single" w:sz="8" w:space="0" w:color="E46D0A"/>
                          <w:right w:val="nil"/>
                        </w:tcBorders>
                        <w:shd w:val="clear" w:color="auto" w:fill="auto"/>
                        <w:noWrap/>
                        <w:vAlign w:val="bottom"/>
                        <w:hideMark/>
                      </w:tcPr>
                      <w:p w:rsidR="00094657" w:rsidRPr="003072DB" w:rsidRDefault="00094657"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r>
                  <w:tr w:rsidR="00094657" w:rsidRPr="003072DB" w:rsidTr="00D90CDD">
                    <w:trPr>
                      <w:gridAfter w:val="1"/>
                      <w:wAfter w:w="797" w:type="dxa"/>
                      <w:trHeight w:val="501"/>
                    </w:trPr>
                    <w:tc>
                      <w:tcPr>
                        <w:tcW w:w="999" w:type="dxa"/>
                        <w:gridSpan w:val="3"/>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市场代码</w:t>
                        </w:r>
                      </w:p>
                    </w:tc>
                    <w:tc>
                      <w:tcPr>
                        <w:tcW w:w="2789" w:type="dxa"/>
                        <w:gridSpan w:val="2"/>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基金名称</w:t>
                        </w:r>
                      </w:p>
                    </w:tc>
                    <w:tc>
                      <w:tcPr>
                        <w:tcW w:w="1036" w:type="dxa"/>
                        <w:gridSpan w:val="2"/>
                        <w:tcBorders>
                          <w:top w:val="nil"/>
                          <w:left w:val="nil"/>
                          <w:bottom w:val="single" w:sz="8" w:space="0" w:color="E46D0A"/>
                          <w:right w:val="nil"/>
                        </w:tcBorders>
                        <w:shd w:val="clear" w:color="auto" w:fill="auto"/>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2014上半年业绩（%）</w:t>
                        </w:r>
                      </w:p>
                    </w:tc>
                    <w:tc>
                      <w:tcPr>
                        <w:tcW w:w="60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排名</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590008</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中</w:t>
                        </w:r>
                        <w:proofErr w:type="gramStart"/>
                        <w:r w:rsidRPr="003072DB">
                          <w:rPr>
                            <w:rFonts w:ascii="宋体" w:eastAsia="宋体" w:hAnsi="宋体" w:cs="宋体" w:hint="eastAsia"/>
                            <w:color w:val="000000"/>
                            <w:kern w:val="0"/>
                            <w:sz w:val="16"/>
                            <w:szCs w:val="16"/>
                          </w:rPr>
                          <w:t>邮战略</w:t>
                        </w:r>
                        <w:proofErr w:type="gramEnd"/>
                        <w:r w:rsidRPr="003072DB">
                          <w:rPr>
                            <w:rFonts w:ascii="宋体" w:eastAsia="宋体" w:hAnsi="宋体" w:cs="宋体" w:hint="eastAsia"/>
                            <w:color w:val="000000"/>
                            <w:kern w:val="0"/>
                            <w:sz w:val="16"/>
                            <w:szCs w:val="16"/>
                          </w:rPr>
                          <w:t>新兴产业股票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39.42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1</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163412</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proofErr w:type="gramStart"/>
                        <w:r w:rsidRPr="003072DB">
                          <w:rPr>
                            <w:rFonts w:ascii="宋体" w:eastAsia="宋体" w:hAnsi="宋体" w:cs="宋体" w:hint="eastAsia"/>
                            <w:color w:val="000000"/>
                            <w:kern w:val="0"/>
                            <w:sz w:val="16"/>
                            <w:szCs w:val="16"/>
                          </w:rPr>
                          <w:t>兴全轻资产</w:t>
                        </w:r>
                        <w:proofErr w:type="gramEnd"/>
                        <w:r w:rsidRPr="003072DB">
                          <w:rPr>
                            <w:rFonts w:ascii="宋体" w:eastAsia="宋体" w:hAnsi="宋体" w:cs="宋体" w:hint="eastAsia"/>
                            <w:color w:val="000000"/>
                            <w:kern w:val="0"/>
                            <w:sz w:val="16"/>
                            <w:szCs w:val="16"/>
                          </w:rPr>
                          <w:t>投资股票(LOF)</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24.62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340008</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兴全有机增长混合</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22.51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3</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000263</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工</w:t>
                        </w:r>
                        <w:proofErr w:type="gramStart"/>
                        <w:r w:rsidRPr="003072DB">
                          <w:rPr>
                            <w:rFonts w:ascii="宋体" w:eastAsia="宋体" w:hAnsi="宋体" w:cs="宋体" w:hint="eastAsia"/>
                            <w:color w:val="000000"/>
                            <w:kern w:val="0"/>
                            <w:sz w:val="16"/>
                            <w:szCs w:val="16"/>
                          </w:rPr>
                          <w:t>银信息</w:t>
                        </w:r>
                        <w:proofErr w:type="gramEnd"/>
                        <w:r w:rsidRPr="003072DB">
                          <w:rPr>
                            <w:rFonts w:ascii="宋体" w:eastAsia="宋体" w:hAnsi="宋体" w:cs="宋体" w:hint="eastAsia"/>
                            <w:color w:val="000000"/>
                            <w:kern w:val="0"/>
                            <w:sz w:val="16"/>
                            <w:szCs w:val="16"/>
                          </w:rPr>
                          <w:t>产业股票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20.08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4</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630010</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华商价值精选股票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19.15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5</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519115</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proofErr w:type="gramStart"/>
                        <w:r w:rsidRPr="003072DB">
                          <w:rPr>
                            <w:rFonts w:ascii="宋体" w:eastAsia="宋体" w:hAnsi="宋体" w:cs="宋体" w:hint="eastAsia"/>
                            <w:color w:val="000000"/>
                            <w:kern w:val="0"/>
                            <w:sz w:val="16"/>
                            <w:szCs w:val="16"/>
                          </w:rPr>
                          <w:t>浦银安</w:t>
                        </w:r>
                        <w:proofErr w:type="gramEnd"/>
                        <w:r w:rsidRPr="003072DB">
                          <w:rPr>
                            <w:rFonts w:ascii="宋体" w:eastAsia="宋体" w:hAnsi="宋体" w:cs="宋体" w:hint="eastAsia"/>
                            <w:color w:val="000000"/>
                            <w:kern w:val="0"/>
                            <w:sz w:val="16"/>
                            <w:szCs w:val="16"/>
                          </w:rPr>
                          <w:t>盛红利精选股票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18.80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6</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000017</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proofErr w:type="gramStart"/>
                        <w:r w:rsidRPr="003072DB">
                          <w:rPr>
                            <w:rFonts w:ascii="宋体" w:eastAsia="宋体" w:hAnsi="宋体" w:cs="宋体" w:hint="eastAsia"/>
                            <w:color w:val="000000"/>
                            <w:kern w:val="0"/>
                            <w:sz w:val="16"/>
                            <w:szCs w:val="16"/>
                          </w:rPr>
                          <w:t>财通可持续</w:t>
                        </w:r>
                        <w:proofErr w:type="gramEnd"/>
                        <w:r w:rsidRPr="003072DB">
                          <w:rPr>
                            <w:rFonts w:ascii="宋体" w:eastAsia="宋体" w:hAnsi="宋体" w:cs="宋体" w:hint="eastAsia"/>
                            <w:color w:val="000000"/>
                            <w:kern w:val="0"/>
                            <w:sz w:val="16"/>
                            <w:szCs w:val="16"/>
                          </w:rPr>
                          <w:t>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16.72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7</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080005</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长盛量化红利策略股票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16.59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8</w:t>
                        </w:r>
                      </w:p>
                    </w:tc>
                  </w:tr>
                  <w:tr w:rsidR="00094657" w:rsidRPr="003072DB" w:rsidTr="00D90CDD">
                    <w:trPr>
                      <w:gridAfter w:val="1"/>
                      <w:wAfter w:w="797" w:type="dxa"/>
                      <w:trHeight w:val="289"/>
                    </w:trPr>
                    <w:tc>
                      <w:tcPr>
                        <w:tcW w:w="999" w:type="dxa"/>
                        <w:gridSpan w:val="3"/>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080012</w:t>
                        </w:r>
                      </w:p>
                    </w:tc>
                    <w:tc>
                      <w:tcPr>
                        <w:tcW w:w="2789"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长盛电子信息产业股票</w:t>
                        </w:r>
                      </w:p>
                    </w:tc>
                    <w:tc>
                      <w:tcPr>
                        <w:tcW w:w="1036" w:type="dxa"/>
                        <w:gridSpan w:val="2"/>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16.37 </w:t>
                        </w:r>
                      </w:p>
                    </w:tc>
                    <w:tc>
                      <w:tcPr>
                        <w:tcW w:w="606" w:type="dxa"/>
                        <w:tcBorders>
                          <w:top w:val="nil"/>
                          <w:left w:val="nil"/>
                          <w:bottom w:val="nil"/>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9</w:t>
                        </w:r>
                      </w:p>
                    </w:tc>
                  </w:tr>
                  <w:tr w:rsidR="00094657" w:rsidRPr="003072DB" w:rsidTr="00D90CDD">
                    <w:trPr>
                      <w:gridAfter w:val="1"/>
                      <w:wAfter w:w="797" w:type="dxa"/>
                      <w:trHeight w:val="305"/>
                    </w:trPr>
                    <w:tc>
                      <w:tcPr>
                        <w:tcW w:w="999" w:type="dxa"/>
                        <w:gridSpan w:val="3"/>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000220</w:t>
                        </w:r>
                      </w:p>
                    </w:tc>
                    <w:tc>
                      <w:tcPr>
                        <w:tcW w:w="2789" w:type="dxa"/>
                        <w:gridSpan w:val="2"/>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富国医疗保健行业股票</w:t>
                        </w:r>
                      </w:p>
                    </w:tc>
                    <w:tc>
                      <w:tcPr>
                        <w:tcW w:w="1036" w:type="dxa"/>
                        <w:gridSpan w:val="2"/>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15.38 </w:t>
                        </w:r>
                      </w:p>
                    </w:tc>
                    <w:tc>
                      <w:tcPr>
                        <w:tcW w:w="60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10</w:t>
                        </w:r>
                      </w:p>
                    </w:tc>
                  </w:tr>
                  <w:tr w:rsidR="00094657" w:rsidRPr="003072DB" w:rsidTr="00D90CDD">
                    <w:trPr>
                      <w:gridAfter w:val="1"/>
                      <w:wAfter w:w="797" w:type="dxa"/>
                      <w:trHeight w:val="305"/>
                    </w:trPr>
                    <w:tc>
                      <w:tcPr>
                        <w:tcW w:w="5430" w:type="dxa"/>
                        <w:gridSpan w:val="8"/>
                        <w:tcBorders>
                          <w:top w:val="nil"/>
                          <w:left w:val="nil"/>
                          <w:bottom w:val="nil"/>
                          <w:right w:val="nil"/>
                        </w:tcBorders>
                        <w:shd w:val="clear" w:color="auto" w:fill="auto"/>
                        <w:noWrap/>
                        <w:vAlign w:val="center"/>
                        <w:hideMark/>
                      </w:tcPr>
                      <w:p w:rsidR="00094657" w:rsidRPr="003072DB" w:rsidRDefault="00094657"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注：开放式主动</w:t>
                        </w:r>
                        <w:proofErr w:type="gramStart"/>
                        <w:r w:rsidRPr="003072DB">
                          <w:rPr>
                            <w:rFonts w:ascii="宋体" w:eastAsia="宋体" w:hAnsi="宋体" w:cs="宋体" w:hint="eastAsia"/>
                            <w:color w:val="000000"/>
                            <w:kern w:val="0"/>
                            <w:sz w:val="16"/>
                            <w:szCs w:val="16"/>
                          </w:rPr>
                          <w:t>偏股产品</w:t>
                        </w:r>
                        <w:proofErr w:type="gramEnd"/>
                        <w:r w:rsidRPr="003072DB">
                          <w:rPr>
                            <w:rFonts w:ascii="宋体" w:eastAsia="宋体" w:hAnsi="宋体" w:cs="宋体" w:hint="eastAsia"/>
                            <w:color w:val="000000"/>
                            <w:kern w:val="0"/>
                            <w:sz w:val="16"/>
                            <w:szCs w:val="16"/>
                          </w:rPr>
                          <w:t>包含开放主动股票型及混合型</w:t>
                        </w:r>
                      </w:p>
                    </w:tc>
                  </w:tr>
                  <w:tr w:rsidR="00094657" w:rsidRPr="003072DB" w:rsidTr="00D90CDD">
                    <w:trPr>
                      <w:gridAfter w:val="1"/>
                      <w:wAfter w:w="797" w:type="dxa"/>
                      <w:trHeight w:val="305"/>
                    </w:trPr>
                    <w:tc>
                      <w:tcPr>
                        <w:tcW w:w="3788" w:type="dxa"/>
                        <w:gridSpan w:val="5"/>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来源：</w:t>
                        </w:r>
                        <w:proofErr w:type="gramStart"/>
                        <w:r w:rsidRPr="003072DB">
                          <w:rPr>
                            <w:rFonts w:ascii="宋体" w:eastAsia="宋体" w:hAnsi="宋体" w:cs="宋体" w:hint="eastAsia"/>
                            <w:color w:val="000000"/>
                            <w:kern w:val="0"/>
                            <w:sz w:val="16"/>
                            <w:szCs w:val="16"/>
                          </w:rPr>
                          <w:t>凯</w:t>
                        </w:r>
                        <w:proofErr w:type="gramEnd"/>
                        <w:r w:rsidRPr="003072DB">
                          <w:rPr>
                            <w:rFonts w:ascii="宋体" w:eastAsia="宋体" w:hAnsi="宋体" w:cs="宋体" w:hint="eastAsia"/>
                            <w:color w:val="000000"/>
                            <w:kern w:val="0"/>
                            <w:sz w:val="16"/>
                            <w:szCs w:val="16"/>
                          </w:rPr>
                          <w:t>石财富工场</w:t>
                        </w:r>
                      </w:p>
                    </w:tc>
                    <w:tc>
                      <w:tcPr>
                        <w:tcW w:w="1036" w:type="dxa"/>
                        <w:gridSpan w:val="2"/>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c>
                      <w:tcPr>
                        <w:tcW w:w="606" w:type="dxa"/>
                        <w:tcBorders>
                          <w:top w:val="nil"/>
                          <w:left w:val="nil"/>
                          <w:bottom w:val="single" w:sz="8" w:space="0" w:color="E46D0A"/>
                          <w:right w:val="nil"/>
                        </w:tcBorders>
                        <w:shd w:val="clear" w:color="auto" w:fill="auto"/>
                        <w:noWrap/>
                        <w:vAlign w:val="center"/>
                        <w:hideMark/>
                      </w:tcPr>
                      <w:p w:rsidR="00094657" w:rsidRPr="003072DB" w:rsidRDefault="00094657"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r>
                </w:tbl>
                <w:p w:rsidR="00094657" w:rsidRDefault="00094657"/>
              </w:txbxContent>
            </v:textbox>
          </v:shape>
        </w:pict>
      </w:r>
      <w:r w:rsidR="0083198F" w:rsidRPr="0083198F">
        <w:rPr>
          <w:rFonts w:eastAsia="楷体_GB2312" w:cs="Arial" w:hint="eastAsia"/>
          <w:color w:val="auto"/>
        </w:rPr>
        <w:t>2014</w:t>
      </w:r>
      <w:r w:rsidR="0083198F" w:rsidRPr="0083198F">
        <w:rPr>
          <w:rFonts w:eastAsia="楷体_GB2312" w:cs="Arial" w:hint="eastAsia"/>
          <w:color w:val="auto"/>
        </w:rPr>
        <w:t>年，传统封闭式基金平均</w:t>
      </w:r>
      <w:r w:rsidR="002E054A">
        <w:rPr>
          <w:rFonts w:eastAsia="楷体_GB2312" w:cs="Arial" w:hint="eastAsia"/>
          <w:color w:val="auto"/>
        </w:rPr>
        <w:t>上涨</w:t>
      </w:r>
      <w:r w:rsidR="002E054A">
        <w:rPr>
          <w:rFonts w:eastAsia="楷体_GB2312" w:cs="Arial" w:hint="eastAsia"/>
          <w:color w:val="auto"/>
        </w:rPr>
        <w:t>22.77</w:t>
      </w:r>
      <w:r w:rsidR="0083198F" w:rsidRPr="0083198F">
        <w:rPr>
          <w:rFonts w:eastAsia="楷体_GB2312" w:cs="Arial" w:hint="eastAsia"/>
          <w:color w:val="auto"/>
        </w:rPr>
        <w:t>%</w:t>
      </w:r>
      <w:r w:rsidR="0083198F" w:rsidRPr="0083198F">
        <w:rPr>
          <w:rFonts w:eastAsia="楷体_GB2312" w:cs="Arial" w:hint="eastAsia"/>
          <w:color w:val="auto"/>
        </w:rPr>
        <w:t>，</w:t>
      </w:r>
      <w:proofErr w:type="gramStart"/>
      <w:r w:rsidR="0083198F" w:rsidRPr="0083198F">
        <w:rPr>
          <w:rFonts w:eastAsia="楷体_GB2312" w:cs="Arial" w:hint="eastAsia"/>
          <w:color w:val="auto"/>
        </w:rPr>
        <w:t>开放式偏股基金</w:t>
      </w:r>
      <w:proofErr w:type="gramEnd"/>
      <w:r w:rsidR="0083198F" w:rsidRPr="0083198F">
        <w:rPr>
          <w:rFonts w:eastAsia="楷体_GB2312" w:cs="Arial" w:hint="eastAsia"/>
          <w:color w:val="auto"/>
        </w:rPr>
        <w:t>方面：股票型基金整体</w:t>
      </w:r>
      <w:r w:rsidR="004219A6">
        <w:rPr>
          <w:rFonts w:eastAsia="楷体_GB2312" w:cs="Arial" w:hint="eastAsia"/>
          <w:color w:val="auto"/>
        </w:rPr>
        <w:t>上涨</w:t>
      </w:r>
      <w:r w:rsidR="002E054A">
        <w:rPr>
          <w:rFonts w:eastAsia="楷体_GB2312" w:cs="Arial" w:hint="eastAsia"/>
          <w:color w:val="auto"/>
        </w:rPr>
        <w:t>31.60</w:t>
      </w:r>
      <w:r w:rsidR="0083198F" w:rsidRPr="0083198F">
        <w:rPr>
          <w:rFonts w:eastAsia="楷体_GB2312" w:cs="Arial" w:hint="eastAsia"/>
          <w:color w:val="auto"/>
        </w:rPr>
        <w:t>%</w:t>
      </w:r>
      <w:r w:rsidR="0083198F" w:rsidRPr="0083198F">
        <w:rPr>
          <w:rFonts w:eastAsia="楷体_GB2312" w:cs="Arial" w:hint="eastAsia"/>
          <w:color w:val="auto"/>
        </w:rPr>
        <w:t>，其中主动股票</w:t>
      </w:r>
      <w:proofErr w:type="gramStart"/>
      <w:r w:rsidR="0083198F" w:rsidRPr="0083198F">
        <w:rPr>
          <w:rFonts w:eastAsia="楷体_GB2312" w:cs="Arial" w:hint="eastAsia"/>
          <w:color w:val="auto"/>
        </w:rPr>
        <w:t>型平均</w:t>
      </w:r>
      <w:proofErr w:type="gramEnd"/>
      <w:r w:rsidR="004219A6">
        <w:rPr>
          <w:rFonts w:eastAsia="楷体_GB2312" w:cs="Arial" w:hint="eastAsia"/>
          <w:color w:val="auto"/>
        </w:rPr>
        <w:t>涨幅为</w:t>
      </w:r>
      <w:r w:rsidR="004219A6">
        <w:rPr>
          <w:rFonts w:eastAsia="楷体_GB2312" w:cs="Arial" w:hint="eastAsia"/>
          <w:color w:val="auto"/>
        </w:rPr>
        <w:t>25.50</w:t>
      </w:r>
      <w:r w:rsidR="0083198F" w:rsidRPr="0083198F">
        <w:rPr>
          <w:rFonts w:eastAsia="楷体_GB2312" w:cs="Arial" w:hint="eastAsia"/>
          <w:color w:val="auto"/>
        </w:rPr>
        <w:t>%</w:t>
      </w:r>
      <w:r w:rsidR="0083198F" w:rsidRPr="0083198F">
        <w:rPr>
          <w:rFonts w:eastAsia="楷体_GB2312" w:cs="Arial" w:hint="eastAsia"/>
          <w:color w:val="auto"/>
        </w:rPr>
        <w:t>，指数型产品</w:t>
      </w:r>
      <w:r w:rsidR="004219A6">
        <w:rPr>
          <w:rFonts w:eastAsia="楷体_GB2312" w:cs="Arial" w:hint="eastAsia"/>
          <w:color w:val="auto"/>
        </w:rPr>
        <w:t>业绩则更为亮眼，平均上涨</w:t>
      </w:r>
      <w:r w:rsidR="004219A6">
        <w:rPr>
          <w:rFonts w:eastAsia="楷体_GB2312" w:cs="Arial" w:hint="eastAsia"/>
          <w:color w:val="auto"/>
        </w:rPr>
        <w:t>41</w:t>
      </w:r>
      <w:r w:rsidR="0083198F" w:rsidRPr="0083198F">
        <w:rPr>
          <w:rFonts w:eastAsia="楷体_GB2312" w:cs="Arial" w:hint="eastAsia"/>
          <w:color w:val="auto"/>
        </w:rPr>
        <w:t>%</w:t>
      </w:r>
      <w:r w:rsidR="004219A6">
        <w:rPr>
          <w:rFonts w:eastAsia="楷体_GB2312" w:cs="Arial" w:hint="eastAsia"/>
          <w:color w:val="auto"/>
        </w:rPr>
        <w:t>，细分类型众多的</w:t>
      </w:r>
      <w:r w:rsidR="0083198F" w:rsidRPr="0083198F">
        <w:rPr>
          <w:rFonts w:eastAsia="楷体_GB2312" w:cs="Arial" w:hint="eastAsia"/>
          <w:color w:val="auto"/>
        </w:rPr>
        <w:t>混合型基金</w:t>
      </w:r>
      <w:r w:rsidR="004219A6">
        <w:rPr>
          <w:rFonts w:eastAsia="楷体_GB2312" w:cs="Arial" w:hint="eastAsia"/>
          <w:color w:val="auto"/>
        </w:rPr>
        <w:t>平均上涨</w:t>
      </w:r>
      <w:r w:rsidR="004219A6">
        <w:rPr>
          <w:rFonts w:eastAsia="楷体_GB2312" w:cs="Arial" w:hint="eastAsia"/>
          <w:color w:val="auto"/>
        </w:rPr>
        <w:t>21.86</w:t>
      </w:r>
      <w:r w:rsidR="0083198F" w:rsidRPr="0083198F">
        <w:rPr>
          <w:rFonts w:eastAsia="楷体_GB2312" w:cs="Arial" w:hint="eastAsia"/>
          <w:color w:val="auto"/>
        </w:rPr>
        <w:t>%</w:t>
      </w:r>
      <w:r w:rsidR="0024305C">
        <w:rPr>
          <w:rFonts w:eastAsia="楷体_GB2312" w:cs="Arial" w:hint="eastAsia"/>
          <w:color w:val="auto"/>
        </w:rPr>
        <w:t>。整体来看，高</w:t>
      </w:r>
      <w:proofErr w:type="gramStart"/>
      <w:r w:rsidR="0024305C">
        <w:rPr>
          <w:rFonts w:eastAsia="楷体_GB2312" w:cs="Arial" w:hint="eastAsia"/>
          <w:color w:val="auto"/>
        </w:rPr>
        <w:t>仓位</w:t>
      </w:r>
      <w:proofErr w:type="gramEnd"/>
      <w:r w:rsidR="0024305C">
        <w:rPr>
          <w:rFonts w:eastAsia="楷体_GB2312" w:cs="Arial" w:hint="eastAsia"/>
          <w:color w:val="auto"/>
        </w:rPr>
        <w:t>、被动投资的指数基金受益于年末估值修复行情，于</w:t>
      </w:r>
      <w:r w:rsidR="0024305C">
        <w:rPr>
          <w:rFonts w:eastAsia="楷体_GB2312" w:cs="Arial" w:hint="eastAsia"/>
          <w:color w:val="auto"/>
        </w:rPr>
        <w:t>11</w:t>
      </w:r>
      <w:r w:rsidR="0024305C">
        <w:rPr>
          <w:rFonts w:eastAsia="楷体_GB2312" w:cs="Arial" w:hint="eastAsia"/>
          <w:color w:val="auto"/>
        </w:rPr>
        <w:t>、</w:t>
      </w:r>
      <w:r w:rsidR="0024305C">
        <w:rPr>
          <w:rFonts w:eastAsia="楷体_GB2312" w:cs="Arial" w:hint="eastAsia"/>
          <w:color w:val="auto"/>
        </w:rPr>
        <w:t>12</w:t>
      </w:r>
      <w:r w:rsidR="0024305C">
        <w:rPr>
          <w:rFonts w:eastAsia="楷体_GB2312" w:cs="Arial" w:hint="eastAsia"/>
          <w:color w:val="auto"/>
        </w:rPr>
        <w:t>月迅速崛起，月平均涨幅分别为</w:t>
      </w:r>
      <w:r w:rsidR="0024305C">
        <w:rPr>
          <w:rFonts w:eastAsia="楷体_GB2312" w:cs="Arial" w:hint="eastAsia"/>
          <w:color w:val="auto"/>
        </w:rPr>
        <w:t>8.25%</w:t>
      </w:r>
      <w:r w:rsidR="0024305C">
        <w:rPr>
          <w:rFonts w:eastAsia="楷体_GB2312" w:cs="Arial" w:hint="eastAsia"/>
          <w:color w:val="auto"/>
        </w:rPr>
        <w:t>和</w:t>
      </w:r>
      <w:r w:rsidR="0024305C">
        <w:rPr>
          <w:rFonts w:eastAsia="楷体_GB2312" w:cs="Arial" w:hint="eastAsia"/>
          <w:color w:val="auto"/>
        </w:rPr>
        <w:t>15.28%</w:t>
      </w:r>
      <w:r w:rsidR="0024305C">
        <w:rPr>
          <w:rFonts w:eastAsia="楷体_GB2312" w:cs="Arial" w:hint="eastAsia"/>
          <w:color w:val="auto"/>
        </w:rPr>
        <w:t>，整体业绩表现较主动管理型产品更具优势。</w:t>
      </w:r>
    </w:p>
    <w:p w:rsidR="00E969EA" w:rsidRDefault="00E969EA"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3072DB" w:rsidRDefault="003072DB" w:rsidP="00E969EA">
      <w:pPr>
        <w:pStyle w:val="ab"/>
        <w:spacing w:after="163"/>
        <w:ind w:left="0"/>
        <w:rPr>
          <w:rFonts w:eastAsia="楷体_GB2312"/>
          <w:color w:val="auto"/>
        </w:rPr>
      </w:pPr>
    </w:p>
    <w:p w:rsidR="0004379A" w:rsidRDefault="0004379A" w:rsidP="00E969EA">
      <w:pPr>
        <w:pStyle w:val="ab"/>
        <w:spacing w:after="163"/>
        <w:ind w:left="0"/>
        <w:rPr>
          <w:rFonts w:eastAsia="楷体_GB2312"/>
          <w:color w:val="auto"/>
        </w:rPr>
      </w:pPr>
    </w:p>
    <w:p w:rsidR="002C518D" w:rsidRDefault="002C518D" w:rsidP="00E969EA">
      <w:pPr>
        <w:pStyle w:val="ab"/>
        <w:spacing w:after="163"/>
        <w:ind w:left="0"/>
        <w:rPr>
          <w:rFonts w:eastAsia="楷体_GB2312"/>
          <w:color w:val="auto"/>
        </w:rPr>
      </w:pPr>
    </w:p>
    <w:p w:rsidR="0004379A" w:rsidRDefault="0004379A" w:rsidP="0004379A">
      <w:pPr>
        <w:pStyle w:val="ab"/>
        <w:numPr>
          <w:ilvl w:val="4"/>
          <w:numId w:val="1"/>
        </w:numPr>
        <w:spacing w:after="163"/>
        <w:rPr>
          <w:rFonts w:eastAsia="楷体_GB2312"/>
          <w:color w:val="auto"/>
        </w:rPr>
      </w:pPr>
      <w:r w:rsidRPr="0083198F">
        <w:rPr>
          <w:rFonts w:eastAsia="楷体_GB2312" w:hint="eastAsia"/>
          <w:color w:val="auto"/>
        </w:rPr>
        <w:t>对于开放式主动</w:t>
      </w:r>
      <w:proofErr w:type="gramStart"/>
      <w:r w:rsidRPr="0083198F">
        <w:rPr>
          <w:rFonts w:eastAsia="楷体_GB2312" w:hint="eastAsia"/>
          <w:color w:val="auto"/>
        </w:rPr>
        <w:t>偏股产品</w:t>
      </w:r>
      <w:proofErr w:type="gramEnd"/>
      <w:r w:rsidRPr="0083198F">
        <w:rPr>
          <w:rFonts w:eastAsia="楷体_GB2312" w:hint="eastAsia"/>
          <w:color w:val="auto"/>
        </w:rPr>
        <w:t>（主动股票型、混合型）而言，</w:t>
      </w:r>
      <w:r>
        <w:rPr>
          <w:rFonts w:eastAsia="楷体_GB2312" w:hint="eastAsia"/>
          <w:color w:val="auto"/>
        </w:rPr>
        <w:t>今年</w:t>
      </w:r>
      <w:proofErr w:type="gramStart"/>
      <w:r>
        <w:rPr>
          <w:rFonts w:eastAsia="楷体_GB2312" w:hint="eastAsia"/>
          <w:color w:val="auto"/>
        </w:rPr>
        <w:t>前</w:t>
      </w:r>
      <w:r>
        <w:rPr>
          <w:rFonts w:eastAsia="楷体_GB2312" w:hint="eastAsia"/>
          <w:color w:val="auto"/>
        </w:rPr>
        <w:t>10</w:t>
      </w:r>
      <w:r>
        <w:rPr>
          <w:rFonts w:eastAsia="楷体_GB2312" w:hint="eastAsia"/>
          <w:color w:val="auto"/>
        </w:rPr>
        <w:t>月</w:t>
      </w:r>
      <w:proofErr w:type="gramEnd"/>
      <w:r>
        <w:rPr>
          <w:rFonts w:eastAsia="楷体_GB2312" w:hint="eastAsia"/>
          <w:color w:val="auto"/>
        </w:rPr>
        <w:t>以信息、传媒、医药为配置方向的成长风格基金收益领先，但</w:t>
      </w:r>
      <w:r>
        <w:rPr>
          <w:rFonts w:eastAsia="楷体_GB2312" w:hint="eastAsia"/>
          <w:color w:val="auto"/>
        </w:rPr>
        <w:t>11</w:t>
      </w:r>
      <w:r>
        <w:rPr>
          <w:rFonts w:eastAsia="楷体_GB2312" w:hint="eastAsia"/>
          <w:color w:val="auto"/>
        </w:rPr>
        <w:t>月后，重配方向为金融、地产、机械为代表的价值产品强势崛起，单位净值快速攀升，部分基金如工</w:t>
      </w:r>
      <w:proofErr w:type="gramStart"/>
      <w:r>
        <w:rPr>
          <w:rFonts w:eastAsia="楷体_GB2312" w:hint="eastAsia"/>
          <w:color w:val="auto"/>
        </w:rPr>
        <w:t>银金融</w:t>
      </w:r>
      <w:proofErr w:type="gramEnd"/>
      <w:r>
        <w:rPr>
          <w:rFonts w:eastAsia="楷体_GB2312" w:hint="eastAsia"/>
          <w:color w:val="auto"/>
        </w:rPr>
        <w:t>地产、</w:t>
      </w:r>
      <w:proofErr w:type="gramStart"/>
      <w:r>
        <w:rPr>
          <w:rFonts w:eastAsia="楷体_GB2312" w:hint="eastAsia"/>
          <w:color w:val="auto"/>
        </w:rPr>
        <w:t>交银阿尔</w:t>
      </w:r>
      <w:proofErr w:type="gramEnd"/>
      <w:r>
        <w:rPr>
          <w:rFonts w:eastAsia="楷体_GB2312" w:hint="eastAsia"/>
          <w:color w:val="auto"/>
        </w:rPr>
        <w:t>法、博</w:t>
      </w:r>
      <w:proofErr w:type="gramStart"/>
      <w:r>
        <w:rPr>
          <w:rFonts w:eastAsia="楷体_GB2312" w:hint="eastAsia"/>
          <w:color w:val="auto"/>
        </w:rPr>
        <w:t>时主题</w:t>
      </w:r>
      <w:proofErr w:type="gramEnd"/>
      <w:r>
        <w:rPr>
          <w:rFonts w:eastAsia="楷体_GB2312" w:hint="eastAsia"/>
          <w:color w:val="auto"/>
        </w:rPr>
        <w:t>等产品成功跻身年度涨幅榜前十，其中工</w:t>
      </w:r>
      <w:proofErr w:type="gramStart"/>
      <w:r>
        <w:rPr>
          <w:rFonts w:eastAsia="楷体_GB2312" w:hint="eastAsia"/>
          <w:color w:val="auto"/>
        </w:rPr>
        <w:t>银金融</w:t>
      </w:r>
      <w:proofErr w:type="gramEnd"/>
      <w:r>
        <w:rPr>
          <w:rFonts w:eastAsia="楷体_GB2312" w:hint="eastAsia"/>
          <w:color w:val="auto"/>
        </w:rPr>
        <w:t>地产更是凭借</w:t>
      </w:r>
      <w:r>
        <w:rPr>
          <w:rFonts w:eastAsia="楷体_GB2312" w:hint="eastAsia"/>
          <w:color w:val="auto"/>
        </w:rPr>
        <w:t>102.49%</w:t>
      </w:r>
      <w:r>
        <w:rPr>
          <w:rFonts w:eastAsia="楷体_GB2312" w:hint="eastAsia"/>
          <w:color w:val="auto"/>
        </w:rPr>
        <w:t>的年度投资回报，摘</w:t>
      </w:r>
      <w:r>
        <w:rPr>
          <w:rFonts w:eastAsia="楷体_GB2312" w:hint="eastAsia"/>
          <w:color w:val="auto"/>
        </w:rPr>
        <w:lastRenderedPageBreak/>
        <w:t>得开放式主动</w:t>
      </w:r>
      <w:proofErr w:type="gramStart"/>
      <w:r>
        <w:rPr>
          <w:rFonts w:eastAsia="楷体_GB2312" w:hint="eastAsia"/>
          <w:color w:val="auto"/>
        </w:rPr>
        <w:t>偏股产品</w:t>
      </w:r>
      <w:proofErr w:type="gramEnd"/>
      <w:r>
        <w:rPr>
          <w:rFonts w:eastAsia="楷体_GB2312" w:hint="eastAsia"/>
          <w:color w:val="auto"/>
        </w:rPr>
        <w:t>排名桂冠。</w:t>
      </w:r>
      <w:r w:rsidR="002C518D">
        <w:rPr>
          <w:rFonts w:eastAsia="楷体_GB2312" w:hint="eastAsia"/>
          <w:color w:val="auto"/>
        </w:rPr>
        <w:t>此外</w:t>
      </w:r>
      <w:r w:rsidR="00D90CDD">
        <w:rPr>
          <w:rFonts w:eastAsia="楷体_GB2312" w:hint="eastAsia"/>
          <w:color w:val="auto"/>
        </w:rPr>
        <w:t>仍有部分成长风格产品（如宝</w:t>
      </w:r>
      <w:proofErr w:type="gramStart"/>
      <w:r w:rsidR="00D90CDD">
        <w:rPr>
          <w:rFonts w:eastAsia="楷体_GB2312" w:hint="eastAsia"/>
          <w:color w:val="auto"/>
        </w:rPr>
        <w:t>盈优势</w:t>
      </w:r>
      <w:proofErr w:type="gramEnd"/>
      <w:r w:rsidR="00D90CDD">
        <w:rPr>
          <w:rFonts w:eastAsia="楷体_GB2312" w:hint="eastAsia"/>
          <w:color w:val="auto"/>
        </w:rPr>
        <w:t>核心、</w:t>
      </w:r>
      <w:proofErr w:type="gramStart"/>
      <w:r w:rsidR="00D90CDD">
        <w:rPr>
          <w:rFonts w:eastAsia="楷体_GB2312" w:hint="eastAsia"/>
          <w:color w:val="auto"/>
        </w:rPr>
        <w:t>海富通国策</w:t>
      </w:r>
      <w:proofErr w:type="gramEnd"/>
      <w:r w:rsidR="00D90CDD">
        <w:rPr>
          <w:rFonts w:eastAsia="楷体_GB2312" w:hint="eastAsia"/>
          <w:color w:val="auto"/>
        </w:rPr>
        <w:t>导向、</w:t>
      </w:r>
      <w:r w:rsidR="00D90CDD" w:rsidRPr="00D90CDD">
        <w:rPr>
          <w:rFonts w:eastAsia="楷体_GB2312" w:hint="eastAsia"/>
          <w:color w:val="auto"/>
        </w:rPr>
        <w:t>工</w:t>
      </w:r>
      <w:proofErr w:type="gramStart"/>
      <w:r w:rsidR="00D90CDD" w:rsidRPr="00D90CDD">
        <w:rPr>
          <w:rFonts w:eastAsia="楷体_GB2312" w:hint="eastAsia"/>
          <w:color w:val="auto"/>
        </w:rPr>
        <w:t>银信息</w:t>
      </w:r>
      <w:proofErr w:type="gramEnd"/>
      <w:r w:rsidR="00D90CDD" w:rsidRPr="00D90CDD">
        <w:rPr>
          <w:rFonts w:eastAsia="楷体_GB2312" w:hint="eastAsia"/>
          <w:color w:val="auto"/>
        </w:rPr>
        <w:t>产业股票</w:t>
      </w:r>
      <w:r w:rsidR="00D90CDD">
        <w:rPr>
          <w:rFonts w:eastAsia="楷体_GB2312" w:hint="eastAsia"/>
          <w:color w:val="auto"/>
        </w:rPr>
        <w:t>）以及配置相对均衡的产品（如</w:t>
      </w:r>
      <w:r w:rsidR="00D90CDD" w:rsidRPr="00D90CDD">
        <w:rPr>
          <w:rFonts w:eastAsia="楷体_GB2312" w:hint="eastAsia"/>
          <w:color w:val="auto"/>
          <w:lang w:val="en-US"/>
        </w:rPr>
        <w:t>信</w:t>
      </w:r>
      <w:proofErr w:type="gramStart"/>
      <w:r w:rsidR="00D90CDD" w:rsidRPr="00D90CDD">
        <w:rPr>
          <w:rFonts w:eastAsia="楷体_GB2312" w:hint="eastAsia"/>
          <w:color w:val="auto"/>
          <w:lang w:val="en-US"/>
        </w:rPr>
        <w:t>达澳银</w:t>
      </w:r>
      <w:proofErr w:type="gramEnd"/>
      <w:r w:rsidR="00D90CDD" w:rsidRPr="00D90CDD">
        <w:rPr>
          <w:rFonts w:eastAsia="楷体_GB2312" w:hint="eastAsia"/>
          <w:color w:val="auto"/>
          <w:lang w:val="en-US"/>
        </w:rPr>
        <w:t>精华配置</w:t>
      </w:r>
      <w:r w:rsidR="00D90CDD">
        <w:rPr>
          <w:rFonts w:eastAsia="楷体_GB2312" w:hint="eastAsia"/>
          <w:color w:val="auto"/>
          <w:lang w:val="en-US"/>
        </w:rPr>
        <w:t>、</w:t>
      </w:r>
      <w:proofErr w:type="gramStart"/>
      <w:r w:rsidR="00D90CDD">
        <w:rPr>
          <w:rFonts w:eastAsia="楷体_GB2312" w:hint="eastAsia"/>
          <w:color w:val="auto"/>
          <w:lang w:val="en-US"/>
        </w:rPr>
        <w:t>交银阿尔</w:t>
      </w:r>
      <w:proofErr w:type="gramEnd"/>
      <w:r w:rsidR="00D90CDD">
        <w:rPr>
          <w:rFonts w:eastAsia="楷体_GB2312" w:hint="eastAsia"/>
          <w:color w:val="auto"/>
          <w:lang w:val="en-US"/>
        </w:rPr>
        <w:t>法</w:t>
      </w:r>
      <w:r w:rsidR="00D90CDD">
        <w:rPr>
          <w:rFonts w:eastAsia="楷体_GB2312" w:hint="eastAsia"/>
          <w:color w:val="auto"/>
        </w:rPr>
        <w:t>）凭借着年内</w:t>
      </w:r>
      <w:r w:rsidR="00D90CDD" w:rsidRPr="00D90CDD">
        <w:rPr>
          <w:rFonts w:eastAsia="楷体_GB2312" w:hint="eastAsia"/>
          <w:color w:val="auto"/>
        </w:rPr>
        <w:t>较为丰厚的积累回报</w:t>
      </w:r>
      <w:r w:rsidR="00D90CDD">
        <w:rPr>
          <w:rFonts w:eastAsia="楷体_GB2312" w:hint="eastAsia"/>
          <w:color w:val="auto"/>
        </w:rPr>
        <w:t>，荣登涨幅榜前列。</w:t>
      </w:r>
    </w:p>
    <w:p w:rsidR="002C518D" w:rsidRPr="00D90CDD" w:rsidRDefault="0004379A" w:rsidP="00D90CDD">
      <w:pPr>
        <w:pStyle w:val="ab"/>
        <w:numPr>
          <w:ilvl w:val="4"/>
          <w:numId w:val="1"/>
        </w:numPr>
        <w:spacing w:after="163"/>
        <w:rPr>
          <w:rFonts w:eastAsia="楷体_GB2312"/>
          <w:color w:val="auto"/>
        </w:rPr>
      </w:pPr>
      <w:proofErr w:type="gramStart"/>
      <w:r w:rsidRPr="0083198F">
        <w:rPr>
          <w:rFonts w:eastAsia="楷体_GB2312" w:hint="eastAsia"/>
          <w:color w:val="auto"/>
        </w:rPr>
        <w:t>就指数型</w:t>
      </w:r>
      <w:proofErr w:type="gramEnd"/>
      <w:r w:rsidRPr="0083198F">
        <w:rPr>
          <w:rFonts w:eastAsia="楷体_GB2312" w:hint="eastAsia"/>
          <w:color w:val="auto"/>
        </w:rPr>
        <w:t>产品而言，</w:t>
      </w:r>
      <w:r>
        <w:rPr>
          <w:rFonts w:eastAsia="楷体_GB2312" w:hint="eastAsia"/>
          <w:color w:val="auto"/>
        </w:rPr>
        <w:t>金融、地产等行业指数产品业绩表现亮眼，包括金融地产</w:t>
      </w:r>
      <w:r>
        <w:rPr>
          <w:rFonts w:eastAsia="楷体_GB2312" w:hint="eastAsia"/>
          <w:color w:val="auto"/>
        </w:rPr>
        <w:t>ETF</w:t>
      </w:r>
      <w:r>
        <w:rPr>
          <w:rFonts w:eastAsia="楷体_GB2312" w:hint="eastAsia"/>
          <w:color w:val="auto"/>
        </w:rPr>
        <w:t>在内的</w:t>
      </w:r>
      <w:r>
        <w:rPr>
          <w:rFonts w:eastAsia="楷体_GB2312" w:hint="eastAsia"/>
          <w:color w:val="auto"/>
        </w:rPr>
        <w:t>6</w:t>
      </w:r>
      <w:r>
        <w:rPr>
          <w:rFonts w:eastAsia="楷体_GB2312" w:hint="eastAsia"/>
          <w:color w:val="auto"/>
        </w:rPr>
        <w:t>只基金位列涨幅榜前十，此外大盘价值风格突出的指数基金如工银上</w:t>
      </w:r>
      <w:proofErr w:type="gramStart"/>
      <w:r>
        <w:rPr>
          <w:rFonts w:eastAsia="楷体_GB2312" w:hint="eastAsia"/>
          <w:color w:val="auto"/>
        </w:rPr>
        <w:t>证央企</w:t>
      </w:r>
      <w:proofErr w:type="gramEnd"/>
      <w:r>
        <w:rPr>
          <w:rFonts w:eastAsia="楷体_GB2312" w:hint="eastAsia"/>
          <w:color w:val="auto"/>
        </w:rPr>
        <w:t>ETF</w:t>
      </w:r>
      <w:r>
        <w:rPr>
          <w:rFonts w:eastAsia="楷体_GB2312" w:hint="eastAsia"/>
          <w:color w:val="auto"/>
        </w:rPr>
        <w:t>、海富通上证周期</w:t>
      </w:r>
      <w:r>
        <w:rPr>
          <w:rFonts w:eastAsia="楷体_GB2312" w:hint="eastAsia"/>
          <w:color w:val="auto"/>
        </w:rPr>
        <w:t>ETF</w:t>
      </w:r>
      <w:r>
        <w:rPr>
          <w:rFonts w:eastAsia="楷体_GB2312" w:hint="eastAsia"/>
          <w:color w:val="auto"/>
        </w:rPr>
        <w:t>、教室基本面</w:t>
      </w:r>
      <w:r>
        <w:rPr>
          <w:rFonts w:eastAsia="楷体_GB2312" w:hint="eastAsia"/>
          <w:color w:val="auto"/>
        </w:rPr>
        <w:t>50</w:t>
      </w:r>
      <w:r>
        <w:rPr>
          <w:rFonts w:eastAsia="楷体_GB2312" w:hint="eastAsia"/>
          <w:color w:val="auto"/>
        </w:rPr>
        <w:t>指数、上证</w:t>
      </w:r>
      <w:r>
        <w:rPr>
          <w:rFonts w:eastAsia="楷体_GB2312" w:hint="eastAsia"/>
          <w:color w:val="auto"/>
        </w:rPr>
        <w:t>180</w:t>
      </w:r>
      <w:r>
        <w:rPr>
          <w:rFonts w:eastAsia="楷体_GB2312" w:hint="eastAsia"/>
          <w:color w:val="auto"/>
        </w:rPr>
        <w:t>价值</w:t>
      </w:r>
      <w:r>
        <w:rPr>
          <w:rFonts w:eastAsia="楷体_GB2312" w:hint="eastAsia"/>
          <w:color w:val="auto"/>
        </w:rPr>
        <w:t>ETF</w:t>
      </w:r>
      <w:r>
        <w:rPr>
          <w:rFonts w:eastAsia="楷体_GB2312" w:hint="eastAsia"/>
          <w:color w:val="auto"/>
        </w:rPr>
        <w:t>也取得了较佳回报。而另一方面以医药、中小板、创业板为跟踪对象的指数涨幅相对滞后。</w:t>
      </w:r>
    </w:p>
    <w:p w:rsidR="0079097B" w:rsidRPr="0035104D" w:rsidRDefault="00EC0E7D" w:rsidP="0035104D">
      <w:pPr>
        <w:widowControl/>
        <w:spacing w:after="120" w:line="240" w:lineRule="exact"/>
        <w:ind w:left="3430"/>
        <w:rPr>
          <w:rFonts w:ascii="Arial" w:eastAsia="楷体_GB2312" w:hAnsi="Arial" w:cs="Times New Roman"/>
          <w:b/>
          <w:bCs/>
          <w:color w:val="0070C0"/>
          <w:kern w:val="0"/>
          <w:szCs w:val="21"/>
          <w:lang w:val="en-GB"/>
        </w:rPr>
      </w:pPr>
      <w:proofErr w:type="gramStart"/>
      <w:r w:rsidRPr="00EC0E7D">
        <w:rPr>
          <w:rFonts w:ascii="Arial" w:eastAsia="楷体_GB2312" w:hAnsi="Arial" w:cs="Times New Roman" w:hint="eastAsia"/>
          <w:b/>
          <w:bCs/>
          <w:color w:val="0070C0"/>
          <w:kern w:val="0"/>
          <w:szCs w:val="21"/>
          <w:lang w:val="en-GB"/>
        </w:rPr>
        <w:t>固收类</w:t>
      </w:r>
      <w:proofErr w:type="gramEnd"/>
      <w:r w:rsidRPr="00EC0E7D">
        <w:rPr>
          <w:rFonts w:ascii="Arial" w:eastAsia="楷体_GB2312" w:hAnsi="Arial" w:cs="Times New Roman" w:hint="eastAsia"/>
          <w:b/>
          <w:bCs/>
          <w:color w:val="0070C0"/>
          <w:kern w:val="0"/>
          <w:szCs w:val="21"/>
          <w:lang w:val="en-GB"/>
        </w:rPr>
        <w:t>基金：</w:t>
      </w:r>
      <w:proofErr w:type="gramStart"/>
      <w:r w:rsidR="00D043C6">
        <w:rPr>
          <w:rFonts w:ascii="Arial" w:eastAsia="楷体_GB2312" w:hAnsi="Arial" w:cs="Times New Roman" w:hint="eastAsia"/>
          <w:b/>
          <w:bCs/>
          <w:color w:val="0070C0"/>
          <w:kern w:val="0"/>
          <w:szCs w:val="21"/>
          <w:lang w:val="en-GB"/>
        </w:rPr>
        <w:t>债基普</w:t>
      </w:r>
      <w:proofErr w:type="gramEnd"/>
      <w:r w:rsidR="00D043C6">
        <w:rPr>
          <w:rFonts w:ascii="Arial" w:eastAsia="楷体_GB2312" w:hAnsi="Arial" w:cs="Times New Roman" w:hint="eastAsia"/>
          <w:b/>
          <w:bCs/>
          <w:color w:val="0070C0"/>
          <w:kern w:val="0"/>
          <w:szCs w:val="21"/>
          <w:lang w:val="en-GB"/>
        </w:rPr>
        <w:t>涨，可转</w:t>
      </w:r>
      <w:proofErr w:type="gramStart"/>
      <w:r w:rsidR="00D043C6">
        <w:rPr>
          <w:rFonts w:ascii="Arial" w:eastAsia="楷体_GB2312" w:hAnsi="Arial" w:cs="Times New Roman" w:hint="eastAsia"/>
          <w:b/>
          <w:bCs/>
          <w:color w:val="0070C0"/>
          <w:kern w:val="0"/>
          <w:szCs w:val="21"/>
          <w:lang w:val="en-GB"/>
        </w:rPr>
        <w:t>债产品</w:t>
      </w:r>
      <w:proofErr w:type="gramEnd"/>
      <w:r w:rsidR="00D043C6">
        <w:rPr>
          <w:rFonts w:ascii="Arial" w:eastAsia="楷体_GB2312" w:hAnsi="Arial" w:cs="Times New Roman" w:hint="eastAsia"/>
          <w:b/>
          <w:bCs/>
          <w:color w:val="0070C0"/>
          <w:kern w:val="0"/>
          <w:szCs w:val="21"/>
          <w:lang w:val="en-GB"/>
        </w:rPr>
        <w:t>业绩夺目</w:t>
      </w:r>
    </w:p>
    <w:p w:rsidR="0030669C" w:rsidRDefault="00D043C6" w:rsidP="00E15C62">
      <w:pPr>
        <w:pStyle w:val="ab"/>
        <w:numPr>
          <w:ilvl w:val="4"/>
          <w:numId w:val="1"/>
        </w:numPr>
        <w:spacing w:after="163"/>
        <w:rPr>
          <w:rFonts w:eastAsia="楷体_GB2312"/>
          <w:color w:val="auto"/>
        </w:rPr>
      </w:pPr>
      <w:r>
        <w:rPr>
          <w:rFonts w:eastAsia="楷体_GB2312" w:hint="eastAsia"/>
          <w:color w:val="auto"/>
        </w:rPr>
        <w:t>2014</w:t>
      </w:r>
      <w:r>
        <w:rPr>
          <w:rFonts w:eastAsia="楷体_GB2312" w:hint="eastAsia"/>
          <w:color w:val="auto"/>
        </w:rPr>
        <w:t>年宏观经济下行压力增大，</w:t>
      </w:r>
      <w:r w:rsidR="004045F1">
        <w:rPr>
          <w:rFonts w:eastAsia="楷体_GB2312" w:hint="eastAsia"/>
          <w:color w:val="auto"/>
        </w:rPr>
        <w:t>货币政策宽松力度逐渐增强，债市走牛，债券型基金呈现普涨格局，平均涨幅达</w:t>
      </w:r>
      <w:r w:rsidR="004045F1">
        <w:rPr>
          <w:rFonts w:eastAsia="楷体_GB2312" w:hint="eastAsia"/>
          <w:color w:val="auto"/>
        </w:rPr>
        <w:t>19.31%</w:t>
      </w:r>
      <w:r w:rsidR="004045F1">
        <w:rPr>
          <w:rFonts w:eastAsia="楷体_GB2312" w:hint="eastAsia"/>
          <w:color w:val="auto"/>
        </w:rPr>
        <w:t>。</w:t>
      </w:r>
      <w:r w:rsidR="00EC0E7D" w:rsidRPr="00EC0E7D">
        <w:rPr>
          <w:rFonts w:eastAsia="楷体_GB2312" w:hint="eastAsia"/>
          <w:color w:val="auto"/>
        </w:rPr>
        <w:t>从细分类型来看，</w:t>
      </w:r>
      <w:proofErr w:type="gramStart"/>
      <w:r w:rsidR="004045F1">
        <w:rPr>
          <w:rFonts w:eastAsia="楷体_GB2312" w:hint="eastAsia"/>
          <w:color w:val="auto"/>
        </w:rPr>
        <w:t>可转债基在</w:t>
      </w:r>
      <w:proofErr w:type="gramEnd"/>
      <w:r w:rsidR="004045F1">
        <w:rPr>
          <w:rFonts w:eastAsia="楷体_GB2312" w:hint="eastAsia"/>
          <w:color w:val="auto"/>
        </w:rPr>
        <w:t>正股提振下，平均上涨</w:t>
      </w:r>
      <w:r w:rsidR="004045F1">
        <w:rPr>
          <w:rFonts w:eastAsia="楷体_GB2312" w:hint="eastAsia"/>
          <w:color w:val="auto"/>
        </w:rPr>
        <w:t>74.23%</w:t>
      </w:r>
      <w:r w:rsidR="004045F1">
        <w:rPr>
          <w:rFonts w:eastAsia="楷体_GB2312" w:hint="eastAsia"/>
          <w:color w:val="auto"/>
        </w:rPr>
        <w:t>，业绩表现夺目；二级债基、</w:t>
      </w:r>
      <w:proofErr w:type="gramStart"/>
      <w:r w:rsidR="006362D3">
        <w:rPr>
          <w:rFonts w:eastAsia="楷体_GB2312" w:hint="eastAsia"/>
          <w:color w:val="auto"/>
        </w:rPr>
        <w:t>一级债基分别</w:t>
      </w:r>
      <w:proofErr w:type="gramEnd"/>
      <w:r w:rsidR="006362D3">
        <w:rPr>
          <w:rFonts w:eastAsia="楷体_GB2312" w:hint="eastAsia"/>
          <w:color w:val="auto"/>
        </w:rPr>
        <w:t>上涨</w:t>
      </w:r>
      <w:r w:rsidR="006362D3">
        <w:rPr>
          <w:rFonts w:eastAsia="楷体_GB2312" w:hint="eastAsia"/>
          <w:color w:val="auto"/>
        </w:rPr>
        <w:t>23.54%</w:t>
      </w:r>
      <w:r w:rsidR="006362D3">
        <w:rPr>
          <w:rFonts w:eastAsia="楷体_GB2312" w:hint="eastAsia"/>
          <w:color w:val="auto"/>
        </w:rPr>
        <w:t>、</w:t>
      </w:r>
      <w:r w:rsidR="006362D3">
        <w:rPr>
          <w:rFonts w:eastAsia="楷体_GB2312" w:hint="eastAsia"/>
          <w:color w:val="auto"/>
        </w:rPr>
        <w:t>17.36%</w:t>
      </w:r>
      <w:r w:rsidR="006362D3">
        <w:rPr>
          <w:rFonts w:eastAsia="楷体_GB2312" w:hint="eastAsia"/>
          <w:color w:val="auto"/>
        </w:rPr>
        <w:t>，</w:t>
      </w:r>
      <w:proofErr w:type="gramStart"/>
      <w:r w:rsidR="006362D3">
        <w:rPr>
          <w:rFonts w:eastAsia="楷体_GB2312" w:hint="eastAsia"/>
          <w:color w:val="auto"/>
        </w:rPr>
        <w:t>指数债基与</w:t>
      </w:r>
      <w:proofErr w:type="gramEnd"/>
      <w:r w:rsidR="006362D3">
        <w:rPr>
          <w:rFonts w:eastAsia="楷体_GB2312" w:hint="eastAsia"/>
          <w:color w:val="auto"/>
        </w:rPr>
        <w:t>纯债债基也取得了</w:t>
      </w:r>
      <w:r w:rsidR="006362D3">
        <w:rPr>
          <w:rFonts w:eastAsia="楷体_GB2312" w:hint="eastAsia"/>
          <w:color w:val="auto"/>
        </w:rPr>
        <w:t>15.05%</w:t>
      </w:r>
      <w:r w:rsidR="006362D3">
        <w:rPr>
          <w:rFonts w:eastAsia="楷体_GB2312" w:hint="eastAsia"/>
          <w:color w:val="auto"/>
        </w:rPr>
        <w:t>和</w:t>
      </w:r>
      <w:r w:rsidR="006362D3">
        <w:rPr>
          <w:rFonts w:eastAsia="楷体_GB2312" w:hint="eastAsia"/>
          <w:color w:val="auto"/>
        </w:rPr>
        <w:t>12.82%</w:t>
      </w:r>
      <w:r w:rsidR="006362D3">
        <w:rPr>
          <w:rFonts w:eastAsia="楷体_GB2312" w:hint="eastAsia"/>
          <w:color w:val="auto"/>
        </w:rPr>
        <w:t>的投资回报。从涨幅榜前十来看，除博时信用债</w:t>
      </w:r>
      <w:r w:rsidR="006362D3">
        <w:rPr>
          <w:rFonts w:hint="eastAsia"/>
          <w:sz w:val="16"/>
          <w:szCs w:val="16"/>
        </w:rPr>
        <w:t>A/B</w:t>
      </w:r>
      <w:r w:rsidR="006362D3">
        <w:rPr>
          <w:rFonts w:eastAsiaTheme="minorEastAsia" w:hint="eastAsia"/>
          <w:sz w:val="16"/>
          <w:szCs w:val="16"/>
        </w:rPr>
        <w:t>、</w:t>
      </w:r>
      <w:r w:rsidR="006362D3">
        <w:rPr>
          <w:rFonts w:eastAsia="楷体_GB2312" w:hint="eastAsia"/>
          <w:color w:val="auto"/>
        </w:rPr>
        <w:t>博时信用债</w:t>
      </w:r>
      <w:r w:rsidR="006362D3">
        <w:rPr>
          <w:rFonts w:eastAsiaTheme="minorEastAsia" w:hint="eastAsia"/>
          <w:sz w:val="16"/>
          <w:szCs w:val="16"/>
        </w:rPr>
        <w:t>C</w:t>
      </w:r>
      <w:r w:rsidR="006362D3">
        <w:rPr>
          <w:rFonts w:eastAsia="楷体_GB2312" w:hint="eastAsia"/>
          <w:color w:val="auto"/>
        </w:rPr>
        <w:t>为二级债基，其余均重点投向转债市场，建信转</w:t>
      </w:r>
      <w:proofErr w:type="gramStart"/>
      <w:r w:rsidR="006362D3">
        <w:rPr>
          <w:rFonts w:eastAsia="楷体_GB2312" w:hint="eastAsia"/>
          <w:color w:val="auto"/>
        </w:rPr>
        <w:t>债增强</w:t>
      </w:r>
      <w:proofErr w:type="gramEnd"/>
      <w:r w:rsidR="006362D3">
        <w:rPr>
          <w:rFonts w:eastAsia="楷体_GB2312" w:hint="eastAsia"/>
          <w:color w:val="auto"/>
        </w:rPr>
        <w:t>债券</w:t>
      </w:r>
      <w:r w:rsidR="006362D3">
        <w:rPr>
          <w:rFonts w:eastAsia="楷体_GB2312" w:hint="eastAsia"/>
          <w:color w:val="auto"/>
        </w:rPr>
        <w:t>A</w:t>
      </w:r>
      <w:r w:rsidR="006362D3">
        <w:rPr>
          <w:rFonts w:eastAsia="楷体_GB2312" w:hint="eastAsia"/>
          <w:color w:val="auto"/>
        </w:rPr>
        <w:t>、建信转</w:t>
      </w:r>
      <w:proofErr w:type="gramStart"/>
      <w:r w:rsidR="006362D3">
        <w:rPr>
          <w:rFonts w:eastAsia="楷体_GB2312" w:hint="eastAsia"/>
          <w:color w:val="auto"/>
        </w:rPr>
        <w:t>债增强</w:t>
      </w:r>
      <w:proofErr w:type="gramEnd"/>
      <w:r w:rsidR="006362D3">
        <w:rPr>
          <w:rFonts w:eastAsia="楷体_GB2312" w:hint="eastAsia"/>
          <w:color w:val="auto"/>
        </w:rPr>
        <w:t>债券</w:t>
      </w:r>
      <w:r w:rsidR="006362D3">
        <w:rPr>
          <w:rFonts w:eastAsia="楷体_GB2312" w:hint="eastAsia"/>
          <w:color w:val="auto"/>
        </w:rPr>
        <w:t>C</w:t>
      </w:r>
      <w:r w:rsidR="006362D3">
        <w:rPr>
          <w:rFonts w:eastAsia="楷体_GB2312" w:hint="eastAsia"/>
          <w:color w:val="auto"/>
        </w:rPr>
        <w:t>、长信可转债</w:t>
      </w:r>
      <w:r w:rsidR="006362D3">
        <w:rPr>
          <w:rFonts w:eastAsia="楷体_GB2312" w:hint="eastAsia"/>
          <w:color w:val="auto"/>
        </w:rPr>
        <w:t>A</w:t>
      </w:r>
      <w:r w:rsidR="006362D3">
        <w:rPr>
          <w:rFonts w:eastAsia="楷体_GB2312" w:hint="eastAsia"/>
          <w:color w:val="auto"/>
        </w:rPr>
        <w:t>、长信可转债</w:t>
      </w:r>
      <w:r w:rsidR="006362D3">
        <w:rPr>
          <w:rFonts w:eastAsia="楷体_GB2312" w:hint="eastAsia"/>
          <w:color w:val="auto"/>
        </w:rPr>
        <w:t>C</w:t>
      </w:r>
      <w:r w:rsidR="006362D3">
        <w:rPr>
          <w:rFonts w:eastAsia="楷体_GB2312" w:hint="eastAsia"/>
          <w:color w:val="auto"/>
        </w:rPr>
        <w:t>、</w:t>
      </w:r>
      <w:r w:rsidR="006362D3" w:rsidRPr="006362D3">
        <w:rPr>
          <w:rFonts w:eastAsia="楷体_GB2312" w:hint="eastAsia"/>
          <w:color w:val="auto"/>
          <w:lang w:val="en-US"/>
        </w:rPr>
        <w:t>博时转</w:t>
      </w:r>
      <w:proofErr w:type="gramStart"/>
      <w:r w:rsidR="006362D3" w:rsidRPr="006362D3">
        <w:rPr>
          <w:rFonts w:eastAsia="楷体_GB2312" w:hint="eastAsia"/>
          <w:color w:val="auto"/>
          <w:lang w:val="en-US"/>
        </w:rPr>
        <w:t>债增强</w:t>
      </w:r>
      <w:proofErr w:type="gramEnd"/>
      <w:r w:rsidR="006362D3" w:rsidRPr="006362D3">
        <w:rPr>
          <w:rFonts w:eastAsia="楷体_GB2312" w:hint="eastAsia"/>
          <w:color w:val="auto"/>
          <w:lang w:val="en-US"/>
        </w:rPr>
        <w:t>债券</w:t>
      </w:r>
      <w:r w:rsidR="006362D3" w:rsidRPr="006362D3">
        <w:rPr>
          <w:rFonts w:eastAsia="楷体_GB2312" w:hint="eastAsia"/>
          <w:color w:val="auto"/>
          <w:lang w:val="en-US"/>
        </w:rPr>
        <w:t>C</w:t>
      </w:r>
      <w:r w:rsidR="006362D3">
        <w:rPr>
          <w:rFonts w:eastAsia="楷体_GB2312" w:hint="eastAsia"/>
          <w:color w:val="auto"/>
          <w:lang w:val="en-US"/>
        </w:rPr>
        <w:t>、</w:t>
      </w:r>
      <w:r w:rsidR="006362D3" w:rsidRPr="006362D3">
        <w:rPr>
          <w:rFonts w:eastAsia="楷体_GB2312" w:hint="eastAsia"/>
          <w:color w:val="auto"/>
          <w:lang w:val="en-US"/>
        </w:rPr>
        <w:t>博时转</w:t>
      </w:r>
      <w:proofErr w:type="gramStart"/>
      <w:r w:rsidR="006362D3" w:rsidRPr="006362D3">
        <w:rPr>
          <w:rFonts w:eastAsia="楷体_GB2312" w:hint="eastAsia"/>
          <w:color w:val="auto"/>
          <w:lang w:val="en-US"/>
        </w:rPr>
        <w:t>债增强</w:t>
      </w:r>
      <w:proofErr w:type="gramEnd"/>
      <w:r w:rsidR="006362D3" w:rsidRPr="006362D3">
        <w:rPr>
          <w:rFonts w:eastAsia="楷体_GB2312" w:hint="eastAsia"/>
          <w:color w:val="auto"/>
          <w:lang w:val="en-US"/>
        </w:rPr>
        <w:t>债券</w:t>
      </w:r>
      <w:r w:rsidR="006362D3" w:rsidRPr="006362D3">
        <w:rPr>
          <w:rFonts w:eastAsia="楷体_GB2312" w:hint="eastAsia"/>
          <w:color w:val="auto"/>
          <w:lang w:val="en-US"/>
        </w:rPr>
        <w:t>A</w:t>
      </w:r>
      <w:proofErr w:type="gramStart"/>
      <w:r w:rsidR="006362D3">
        <w:rPr>
          <w:rFonts w:eastAsia="楷体_GB2312" w:hint="eastAsia"/>
          <w:color w:val="auto"/>
          <w:lang w:val="en-US"/>
        </w:rPr>
        <w:t>净值涨幅</w:t>
      </w:r>
      <w:proofErr w:type="gramEnd"/>
      <w:r w:rsidR="006362D3">
        <w:rPr>
          <w:rFonts w:eastAsia="楷体_GB2312" w:hint="eastAsia"/>
          <w:color w:val="auto"/>
          <w:lang w:val="en-US"/>
        </w:rPr>
        <w:t>均超过</w:t>
      </w:r>
      <w:r w:rsidR="006362D3">
        <w:rPr>
          <w:rFonts w:eastAsia="楷体_GB2312" w:hint="eastAsia"/>
          <w:color w:val="auto"/>
          <w:lang w:val="en-US"/>
        </w:rPr>
        <w:t>90%</w:t>
      </w:r>
      <w:r w:rsidR="006362D3">
        <w:rPr>
          <w:rFonts w:eastAsia="楷体_GB2312" w:hint="eastAsia"/>
          <w:color w:val="auto"/>
          <w:lang w:val="en-US"/>
        </w:rPr>
        <w:t>，收益水平甚至可与绩优</w:t>
      </w:r>
      <w:proofErr w:type="gramStart"/>
      <w:r w:rsidR="006362D3">
        <w:rPr>
          <w:rFonts w:eastAsia="楷体_GB2312" w:hint="eastAsia"/>
          <w:color w:val="auto"/>
          <w:lang w:val="en-US"/>
        </w:rPr>
        <w:t>偏股产品</w:t>
      </w:r>
      <w:proofErr w:type="gramEnd"/>
      <w:r w:rsidR="006362D3">
        <w:rPr>
          <w:rFonts w:eastAsia="楷体_GB2312" w:hint="eastAsia"/>
          <w:color w:val="auto"/>
          <w:lang w:val="en-US"/>
        </w:rPr>
        <w:t>相比肩。</w:t>
      </w:r>
    </w:p>
    <w:p w:rsidR="0030669C" w:rsidRDefault="00EC0E7D" w:rsidP="00E15C62">
      <w:pPr>
        <w:pStyle w:val="ab"/>
        <w:numPr>
          <w:ilvl w:val="4"/>
          <w:numId w:val="1"/>
        </w:numPr>
        <w:spacing w:after="163"/>
        <w:rPr>
          <w:rFonts w:eastAsia="楷体_GB2312"/>
          <w:color w:val="auto"/>
        </w:rPr>
      </w:pPr>
      <w:r w:rsidRPr="00EC0E7D">
        <w:rPr>
          <w:rFonts w:eastAsia="楷体_GB2312" w:hint="eastAsia"/>
          <w:color w:val="auto"/>
        </w:rPr>
        <w:t>保本基金方面，</w:t>
      </w:r>
      <w:r w:rsidRPr="00EC0E7D">
        <w:rPr>
          <w:rFonts w:eastAsia="楷体_GB2312" w:hint="eastAsia"/>
          <w:color w:val="auto"/>
        </w:rPr>
        <w:t xml:space="preserve"> </w:t>
      </w:r>
      <w:r w:rsidR="00AE27D3">
        <w:rPr>
          <w:rFonts w:eastAsia="楷体_GB2312" w:hint="eastAsia"/>
          <w:color w:val="auto"/>
        </w:rPr>
        <w:t>受益于股票、债券市场的良好表现，保本基金年度平均净值增长率为</w:t>
      </w:r>
      <w:r w:rsidR="00AE27D3">
        <w:rPr>
          <w:rFonts w:eastAsia="楷体_GB2312" w:hint="eastAsia"/>
          <w:color w:val="auto"/>
        </w:rPr>
        <w:t>17.04%</w:t>
      </w:r>
      <w:r w:rsidR="00AE27D3">
        <w:rPr>
          <w:rFonts w:eastAsia="楷体_GB2312" w:hint="eastAsia"/>
          <w:color w:val="auto"/>
        </w:rPr>
        <w:t>，</w:t>
      </w:r>
      <w:proofErr w:type="gramStart"/>
      <w:r w:rsidRPr="00EC0E7D">
        <w:rPr>
          <w:rFonts w:eastAsia="楷体_GB2312" w:hint="eastAsia"/>
          <w:color w:val="auto"/>
        </w:rPr>
        <w:t>其中</w:t>
      </w:r>
      <w:r w:rsidR="00AE27D3">
        <w:rPr>
          <w:rFonts w:eastAsia="楷体_GB2312" w:hint="eastAsia"/>
          <w:color w:val="auto"/>
        </w:rPr>
        <w:t>打新能力</w:t>
      </w:r>
      <w:proofErr w:type="gramEnd"/>
      <w:r w:rsidR="00AE27D3">
        <w:rPr>
          <w:rFonts w:eastAsia="楷体_GB2312" w:hint="eastAsia"/>
          <w:color w:val="auto"/>
        </w:rPr>
        <w:t>较强的</w:t>
      </w:r>
      <w:r w:rsidRPr="00EC0E7D">
        <w:rPr>
          <w:rFonts w:eastAsia="楷体_GB2312" w:hint="eastAsia"/>
          <w:color w:val="auto"/>
        </w:rPr>
        <w:t>长城久利、</w:t>
      </w:r>
      <w:proofErr w:type="gramStart"/>
      <w:r w:rsidRPr="00EC0E7D">
        <w:rPr>
          <w:rFonts w:eastAsia="楷体_GB2312" w:hint="eastAsia"/>
          <w:color w:val="auto"/>
        </w:rPr>
        <w:t>大成景恒</w:t>
      </w:r>
      <w:r w:rsidR="00AE27D3">
        <w:rPr>
          <w:rFonts w:eastAsia="楷体_GB2312" w:hint="eastAsia"/>
          <w:color w:val="auto"/>
        </w:rPr>
        <w:t>业绩</w:t>
      </w:r>
      <w:proofErr w:type="gramEnd"/>
      <w:r w:rsidR="00AE27D3">
        <w:rPr>
          <w:rFonts w:eastAsia="楷体_GB2312" w:hint="eastAsia"/>
          <w:color w:val="auto"/>
        </w:rPr>
        <w:t>表现位居前列</w:t>
      </w:r>
      <w:r w:rsidRPr="00EC0E7D">
        <w:rPr>
          <w:rFonts w:eastAsia="楷体_GB2312" w:hint="eastAsia"/>
          <w:color w:val="auto"/>
        </w:rPr>
        <w:t>，</w:t>
      </w:r>
      <w:r w:rsidR="00AE27D3">
        <w:rPr>
          <w:rFonts w:eastAsia="楷体_GB2312" w:hint="eastAsia"/>
          <w:color w:val="auto"/>
        </w:rPr>
        <w:t>另外股票</w:t>
      </w:r>
      <w:proofErr w:type="gramStart"/>
      <w:r w:rsidR="00AE27D3">
        <w:rPr>
          <w:rFonts w:eastAsia="楷体_GB2312" w:hint="eastAsia"/>
          <w:color w:val="auto"/>
        </w:rPr>
        <w:t>仓位</w:t>
      </w:r>
      <w:proofErr w:type="gramEnd"/>
      <w:r w:rsidR="00AE27D3">
        <w:rPr>
          <w:rFonts w:eastAsia="楷体_GB2312" w:hint="eastAsia"/>
          <w:color w:val="auto"/>
        </w:rPr>
        <w:t>水平较高的</w:t>
      </w:r>
      <w:r w:rsidR="00AE27D3" w:rsidRPr="00AE27D3">
        <w:rPr>
          <w:rFonts w:eastAsia="楷体_GB2312" w:hint="eastAsia"/>
          <w:color w:val="auto"/>
        </w:rPr>
        <w:t>华安保本</w:t>
      </w:r>
      <w:r w:rsidR="00AE27D3">
        <w:rPr>
          <w:rFonts w:eastAsia="楷体_GB2312" w:hint="eastAsia"/>
          <w:color w:val="auto"/>
        </w:rPr>
        <w:t>、</w:t>
      </w:r>
      <w:proofErr w:type="gramStart"/>
      <w:r w:rsidR="00AE27D3" w:rsidRPr="00AE27D3">
        <w:rPr>
          <w:rFonts w:eastAsia="楷体_GB2312" w:hint="eastAsia"/>
          <w:color w:val="auto"/>
        </w:rPr>
        <w:t>招商安盈保本</w:t>
      </w:r>
      <w:proofErr w:type="gramEnd"/>
      <w:r w:rsidR="00AE27D3" w:rsidRPr="00AE27D3">
        <w:rPr>
          <w:rFonts w:eastAsia="楷体_GB2312" w:hint="eastAsia"/>
          <w:color w:val="auto"/>
        </w:rPr>
        <w:t>混合、南方安心</w:t>
      </w:r>
      <w:r w:rsidR="00AE27D3">
        <w:rPr>
          <w:rFonts w:eastAsia="楷体_GB2312" w:hint="eastAsia"/>
          <w:color w:val="auto"/>
        </w:rPr>
        <w:t>同样获得上佳表现</w:t>
      </w:r>
      <w:r w:rsidRPr="00EC0E7D">
        <w:rPr>
          <w:rFonts w:eastAsia="楷体_GB2312" w:hint="eastAsia"/>
          <w:color w:val="auto"/>
        </w:rPr>
        <w:t>。</w:t>
      </w:r>
    </w:p>
    <w:p w:rsidR="00322D1F" w:rsidRDefault="00ED0E94" w:rsidP="00E15C62">
      <w:pPr>
        <w:pStyle w:val="ab"/>
        <w:numPr>
          <w:ilvl w:val="4"/>
          <w:numId w:val="1"/>
        </w:numPr>
        <w:spacing w:after="163"/>
        <w:rPr>
          <w:rFonts w:eastAsia="楷体_GB2312"/>
          <w:color w:val="auto"/>
        </w:rPr>
      </w:pPr>
      <w:r>
        <w:rPr>
          <w:rFonts w:eastAsia="楷体_GB2312" w:hint="eastAsia"/>
          <w:color w:val="auto"/>
        </w:rPr>
        <w:t>162</w:t>
      </w:r>
      <w:r w:rsidR="00EC0E7D" w:rsidRPr="00EC0E7D">
        <w:rPr>
          <w:rFonts w:eastAsia="楷体_GB2312" w:hint="eastAsia"/>
          <w:color w:val="auto"/>
        </w:rPr>
        <w:t>只</w:t>
      </w:r>
      <w:r>
        <w:rPr>
          <w:rFonts w:eastAsia="楷体_GB2312" w:hint="eastAsia"/>
          <w:color w:val="auto"/>
        </w:rPr>
        <w:t>可比</w:t>
      </w:r>
      <w:r w:rsidR="00EC0E7D" w:rsidRPr="00EC0E7D">
        <w:rPr>
          <w:rFonts w:eastAsia="楷体_GB2312" w:hint="eastAsia"/>
          <w:color w:val="auto"/>
        </w:rPr>
        <w:t>货币市场基金简单平均收益</w:t>
      </w:r>
      <w:r>
        <w:rPr>
          <w:rFonts w:eastAsia="楷体_GB2312" w:hint="eastAsia"/>
          <w:color w:val="auto"/>
        </w:rPr>
        <w:t>4.6</w:t>
      </w:r>
      <w:r w:rsidR="00EC0E7D" w:rsidRPr="00EC0E7D">
        <w:rPr>
          <w:rFonts w:eastAsia="楷体_GB2312" w:hint="eastAsia"/>
          <w:color w:val="auto"/>
        </w:rPr>
        <w:t>%</w:t>
      </w:r>
      <w:r w:rsidR="00EC0E7D" w:rsidRPr="00EC0E7D">
        <w:rPr>
          <w:rFonts w:eastAsia="楷体_GB2312" w:hint="eastAsia"/>
          <w:color w:val="auto"/>
        </w:rPr>
        <w:t>，同期</w:t>
      </w:r>
      <w:r>
        <w:rPr>
          <w:rFonts w:eastAsia="楷体_GB2312" w:hint="eastAsia"/>
          <w:color w:val="auto"/>
        </w:rPr>
        <w:t>97</w:t>
      </w:r>
      <w:r w:rsidR="00EC0E7D" w:rsidRPr="00EC0E7D">
        <w:rPr>
          <w:rFonts w:eastAsia="楷体_GB2312" w:hint="eastAsia"/>
          <w:color w:val="auto"/>
        </w:rPr>
        <w:t>只理财</w:t>
      </w:r>
      <w:proofErr w:type="gramStart"/>
      <w:r w:rsidR="00EC0E7D" w:rsidRPr="00EC0E7D">
        <w:rPr>
          <w:rFonts w:eastAsia="楷体_GB2312" w:hint="eastAsia"/>
          <w:color w:val="auto"/>
        </w:rPr>
        <w:t>债基简单</w:t>
      </w:r>
      <w:proofErr w:type="gramEnd"/>
      <w:r w:rsidR="00EC0E7D" w:rsidRPr="00EC0E7D">
        <w:rPr>
          <w:rFonts w:eastAsia="楷体_GB2312" w:hint="eastAsia"/>
          <w:color w:val="auto"/>
        </w:rPr>
        <w:t>平均收益</w:t>
      </w:r>
      <w:r>
        <w:rPr>
          <w:rFonts w:eastAsia="楷体_GB2312" w:hint="eastAsia"/>
          <w:color w:val="auto"/>
        </w:rPr>
        <w:t>4.73</w:t>
      </w:r>
      <w:r w:rsidR="00EC0E7D" w:rsidRPr="00EC0E7D">
        <w:rPr>
          <w:rFonts w:eastAsia="楷体_GB2312" w:hint="eastAsia"/>
          <w:color w:val="auto"/>
        </w:rPr>
        <w:t>%</w:t>
      </w:r>
      <w:r w:rsidR="00EC0E7D" w:rsidRPr="00EC0E7D">
        <w:rPr>
          <w:rFonts w:eastAsia="楷体_GB2312" w:hint="eastAsia"/>
          <w:color w:val="auto"/>
        </w:rPr>
        <w:t>。</w:t>
      </w:r>
    </w:p>
    <w:tbl>
      <w:tblPr>
        <w:tblW w:w="5850" w:type="dxa"/>
        <w:tblInd w:w="3906" w:type="dxa"/>
        <w:tblLook w:val="04A0"/>
      </w:tblPr>
      <w:tblGrid>
        <w:gridCol w:w="816"/>
        <w:gridCol w:w="2131"/>
        <w:gridCol w:w="1302"/>
        <w:gridCol w:w="985"/>
        <w:gridCol w:w="616"/>
      </w:tblGrid>
      <w:tr w:rsidR="003072DB" w:rsidRPr="003072DB" w:rsidTr="003072DB">
        <w:trPr>
          <w:trHeight w:val="285"/>
        </w:trPr>
        <w:tc>
          <w:tcPr>
            <w:tcW w:w="4249" w:type="dxa"/>
            <w:gridSpan w:val="3"/>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6362D3">
            <w:pPr>
              <w:widowControl/>
              <w:jc w:val="left"/>
              <w:rPr>
                <w:rFonts w:ascii="宋体" w:eastAsia="宋体" w:hAnsi="宋体" w:cs="宋体"/>
                <w:b/>
                <w:i/>
                <w:iCs/>
                <w:color w:val="E36C0A" w:themeColor="accent6" w:themeShade="BF"/>
                <w:kern w:val="0"/>
                <w:sz w:val="20"/>
                <w:szCs w:val="20"/>
              </w:rPr>
            </w:pPr>
            <w:r w:rsidRPr="003072DB">
              <w:rPr>
                <w:rFonts w:ascii="宋体" w:eastAsia="宋体" w:hAnsi="宋体" w:cs="宋体" w:hint="eastAsia"/>
                <w:b/>
                <w:i/>
                <w:iCs/>
                <w:color w:val="E36C0A" w:themeColor="accent6" w:themeShade="BF"/>
                <w:kern w:val="0"/>
                <w:sz w:val="20"/>
                <w:szCs w:val="20"/>
              </w:rPr>
              <w:t>图表4:2014年债券型产品前十</w:t>
            </w:r>
          </w:p>
        </w:tc>
        <w:tc>
          <w:tcPr>
            <w:tcW w:w="985" w:type="dxa"/>
            <w:tcBorders>
              <w:top w:val="single" w:sz="8" w:space="0" w:color="E46D0A"/>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c>
          <w:tcPr>
            <w:tcW w:w="616" w:type="dxa"/>
            <w:tcBorders>
              <w:top w:val="single" w:sz="8" w:space="0" w:color="E46D0A"/>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r>
      <w:tr w:rsidR="003072DB" w:rsidRPr="003072DB" w:rsidTr="003072DB">
        <w:trPr>
          <w:trHeight w:val="435"/>
        </w:trPr>
        <w:tc>
          <w:tcPr>
            <w:tcW w:w="816"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市场代码</w:t>
            </w:r>
          </w:p>
        </w:tc>
        <w:tc>
          <w:tcPr>
            <w:tcW w:w="2131"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基金名称</w:t>
            </w:r>
          </w:p>
        </w:tc>
        <w:tc>
          <w:tcPr>
            <w:tcW w:w="1302"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产品类型</w:t>
            </w:r>
          </w:p>
        </w:tc>
        <w:tc>
          <w:tcPr>
            <w:tcW w:w="985" w:type="dxa"/>
            <w:tcBorders>
              <w:top w:val="nil"/>
              <w:left w:val="nil"/>
              <w:bottom w:val="single" w:sz="8" w:space="0" w:color="E46D0A"/>
              <w:right w:val="nil"/>
            </w:tcBorders>
            <w:shd w:val="clear" w:color="auto" w:fill="auto"/>
            <w:vAlign w:val="center"/>
            <w:hideMark/>
          </w:tcPr>
          <w:p w:rsidR="003072DB" w:rsidRPr="003072DB" w:rsidRDefault="003072DB" w:rsidP="001F0E4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2014年业绩（%）</w:t>
            </w:r>
          </w:p>
        </w:tc>
        <w:tc>
          <w:tcPr>
            <w:tcW w:w="616"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排名</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530020</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建信转</w:t>
            </w:r>
            <w:proofErr w:type="gramStart"/>
            <w:r>
              <w:rPr>
                <w:rFonts w:hint="eastAsia"/>
                <w:color w:val="000000"/>
                <w:sz w:val="16"/>
                <w:szCs w:val="16"/>
              </w:rPr>
              <w:t>债增强</w:t>
            </w:r>
            <w:proofErr w:type="gramEnd"/>
            <w:r>
              <w:rPr>
                <w:rFonts w:hint="eastAsia"/>
                <w:color w:val="000000"/>
                <w:sz w:val="16"/>
                <w:szCs w:val="16"/>
              </w:rPr>
              <w:t>债券</w:t>
            </w:r>
            <w:r>
              <w:rPr>
                <w:rFonts w:hint="eastAsia"/>
                <w:color w:val="000000"/>
                <w:sz w:val="16"/>
                <w:szCs w:val="16"/>
              </w:rPr>
              <w:t>A</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97.24</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1</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531020</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建信转</w:t>
            </w:r>
            <w:proofErr w:type="gramStart"/>
            <w:r>
              <w:rPr>
                <w:rFonts w:hint="eastAsia"/>
                <w:color w:val="000000"/>
                <w:sz w:val="16"/>
                <w:szCs w:val="16"/>
              </w:rPr>
              <w:t>债增强</w:t>
            </w:r>
            <w:proofErr w:type="gramEnd"/>
            <w:r>
              <w:rPr>
                <w:rFonts w:hint="eastAsia"/>
                <w:color w:val="000000"/>
                <w:sz w:val="16"/>
                <w:szCs w:val="16"/>
              </w:rPr>
              <w:t>债券</w:t>
            </w:r>
            <w:r>
              <w:rPr>
                <w:rFonts w:hint="eastAsia"/>
                <w:color w:val="000000"/>
                <w:sz w:val="16"/>
                <w:szCs w:val="16"/>
              </w:rPr>
              <w:t>C</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96.63</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2</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519977</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长信可转债</w:t>
            </w:r>
            <w:r>
              <w:rPr>
                <w:rFonts w:hint="eastAsia"/>
                <w:color w:val="000000"/>
                <w:sz w:val="16"/>
                <w:szCs w:val="16"/>
              </w:rPr>
              <w:t>A</w:t>
            </w:r>
            <w:r>
              <w:rPr>
                <w:rFonts w:hint="eastAsia"/>
                <w:color w:val="000000"/>
                <w:sz w:val="16"/>
                <w:szCs w:val="16"/>
              </w:rPr>
              <w:t>类</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95.11</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3</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519976</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长信可转债</w:t>
            </w:r>
            <w:r>
              <w:rPr>
                <w:rFonts w:hint="eastAsia"/>
                <w:color w:val="000000"/>
                <w:sz w:val="16"/>
                <w:szCs w:val="16"/>
              </w:rPr>
              <w:t>C</w:t>
            </w:r>
            <w:r>
              <w:rPr>
                <w:rFonts w:hint="eastAsia"/>
                <w:color w:val="000000"/>
                <w:sz w:val="16"/>
                <w:szCs w:val="16"/>
              </w:rPr>
              <w:t>类</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94.13</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4</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50119</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博时转</w:t>
            </w:r>
            <w:proofErr w:type="gramStart"/>
            <w:r>
              <w:rPr>
                <w:rFonts w:hint="eastAsia"/>
                <w:color w:val="000000"/>
                <w:sz w:val="16"/>
                <w:szCs w:val="16"/>
              </w:rPr>
              <w:t>债增强</w:t>
            </w:r>
            <w:proofErr w:type="gramEnd"/>
            <w:r>
              <w:rPr>
                <w:rFonts w:hint="eastAsia"/>
                <w:color w:val="000000"/>
                <w:sz w:val="16"/>
                <w:szCs w:val="16"/>
              </w:rPr>
              <w:t>债券</w:t>
            </w:r>
            <w:r>
              <w:rPr>
                <w:rFonts w:hint="eastAsia"/>
                <w:color w:val="000000"/>
                <w:sz w:val="16"/>
                <w:szCs w:val="16"/>
              </w:rPr>
              <w:t>C</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93.76</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5</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50019</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博时转</w:t>
            </w:r>
            <w:proofErr w:type="gramStart"/>
            <w:r>
              <w:rPr>
                <w:rFonts w:hint="eastAsia"/>
                <w:color w:val="000000"/>
                <w:sz w:val="16"/>
                <w:szCs w:val="16"/>
              </w:rPr>
              <w:t>债增强</w:t>
            </w:r>
            <w:proofErr w:type="gramEnd"/>
            <w:r>
              <w:rPr>
                <w:rFonts w:hint="eastAsia"/>
                <w:color w:val="000000"/>
                <w:sz w:val="16"/>
                <w:szCs w:val="16"/>
              </w:rPr>
              <w:t>债券</w:t>
            </w:r>
            <w:r>
              <w:rPr>
                <w:rFonts w:hint="eastAsia"/>
                <w:color w:val="000000"/>
                <w:sz w:val="16"/>
                <w:szCs w:val="16"/>
              </w:rPr>
              <w:t>A</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93.46</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6</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50011</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博时信用债券</w:t>
            </w:r>
            <w:r>
              <w:rPr>
                <w:rFonts w:hint="eastAsia"/>
                <w:color w:val="000000"/>
                <w:sz w:val="16"/>
                <w:szCs w:val="16"/>
              </w:rPr>
              <w:t>A/B</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二级债基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88.36</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7</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50111</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博时信用债券</w:t>
            </w:r>
            <w:r>
              <w:rPr>
                <w:rFonts w:hint="eastAsia"/>
                <w:color w:val="000000"/>
                <w:sz w:val="16"/>
                <w:szCs w:val="16"/>
              </w:rPr>
              <w:t>C</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二级债基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87.64</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8</w:t>
            </w:r>
          </w:p>
        </w:tc>
      </w:tr>
      <w:tr w:rsidR="006362D3" w:rsidRPr="003072DB" w:rsidTr="003072DB">
        <w:trPr>
          <w:trHeight w:val="270"/>
        </w:trPr>
        <w:tc>
          <w:tcPr>
            <w:tcW w:w="8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470058</w:t>
            </w:r>
          </w:p>
        </w:tc>
        <w:tc>
          <w:tcPr>
            <w:tcW w:w="2131"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proofErr w:type="gramStart"/>
            <w:r>
              <w:rPr>
                <w:rFonts w:hint="eastAsia"/>
                <w:color w:val="000000"/>
                <w:sz w:val="16"/>
                <w:szCs w:val="16"/>
              </w:rPr>
              <w:t>汇添富可</w:t>
            </w:r>
            <w:proofErr w:type="gramEnd"/>
            <w:r>
              <w:rPr>
                <w:rFonts w:hint="eastAsia"/>
                <w:color w:val="000000"/>
                <w:sz w:val="16"/>
                <w:szCs w:val="16"/>
              </w:rPr>
              <w:t>转换债券</w:t>
            </w:r>
            <w:r>
              <w:rPr>
                <w:rFonts w:hint="eastAsia"/>
                <w:color w:val="000000"/>
                <w:sz w:val="16"/>
                <w:szCs w:val="16"/>
              </w:rPr>
              <w:t>A</w:t>
            </w:r>
          </w:p>
        </w:tc>
        <w:tc>
          <w:tcPr>
            <w:tcW w:w="1302" w:type="dxa"/>
            <w:tcBorders>
              <w:top w:val="nil"/>
              <w:left w:val="nil"/>
              <w:bottom w:val="nil"/>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82.23</w:t>
            </w:r>
          </w:p>
        </w:tc>
        <w:tc>
          <w:tcPr>
            <w:tcW w:w="616" w:type="dxa"/>
            <w:tcBorders>
              <w:top w:val="nil"/>
              <w:left w:val="nil"/>
              <w:bottom w:val="nil"/>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9</w:t>
            </w:r>
          </w:p>
        </w:tc>
      </w:tr>
      <w:tr w:rsidR="006362D3" w:rsidRPr="003072DB" w:rsidTr="003072DB">
        <w:trPr>
          <w:trHeight w:val="285"/>
        </w:trPr>
        <w:tc>
          <w:tcPr>
            <w:tcW w:w="816" w:type="dxa"/>
            <w:tcBorders>
              <w:top w:val="nil"/>
              <w:left w:val="nil"/>
              <w:bottom w:val="single" w:sz="8" w:space="0" w:color="E46D0A"/>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470059</w:t>
            </w:r>
          </w:p>
        </w:tc>
        <w:tc>
          <w:tcPr>
            <w:tcW w:w="2131" w:type="dxa"/>
            <w:tcBorders>
              <w:top w:val="nil"/>
              <w:left w:val="nil"/>
              <w:bottom w:val="single" w:sz="8" w:space="0" w:color="E46D0A"/>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proofErr w:type="gramStart"/>
            <w:r>
              <w:rPr>
                <w:rFonts w:hint="eastAsia"/>
                <w:color w:val="000000"/>
                <w:sz w:val="16"/>
                <w:szCs w:val="16"/>
              </w:rPr>
              <w:t>汇添富可</w:t>
            </w:r>
            <w:proofErr w:type="gramEnd"/>
            <w:r>
              <w:rPr>
                <w:rFonts w:hint="eastAsia"/>
                <w:color w:val="000000"/>
                <w:sz w:val="16"/>
                <w:szCs w:val="16"/>
              </w:rPr>
              <w:t>转换债券</w:t>
            </w:r>
            <w:r>
              <w:rPr>
                <w:rFonts w:hint="eastAsia"/>
                <w:color w:val="000000"/>
                <w:sz w:val="16"/>
                <w:szCs w:val="16"/>
              </w:rPr>
              <w:t>C</w:t>
            </w:r>
          </w:p>
        </w:tc>
        <w:tc>
          <w:tcPr>
            <w:tcW w:w="1302" w:type="dxa"/>
            <w:tcBorders>
              <w:top w:val="nil"/>
              <w:left w:val="nil"/>
              <w:bottom w:val="single" w:sz="8" w:space="0" w:color="E46D0A"/>
              <w:right w:val="nil"/>
            </w:tcBorders>
            <w:shd w:val="clear" w:color="auto" w:fill="auto"/>
            <w:noWrap/>
            <w:vAlign w:val="center"/>
            <w:hideMark/>
          </w:tcPr>
          <w:p w:rsidR="006362D3" w:rsidRDefault="006362D3">
            <w:pPr>
              <w:jc w:val="center"/>
              <w:rPr>
                <w:rFonts w:ascii="宋体" w:eastAsia="宋体" w:hAnsi="宋体" w:cs="宋体"/>
                <w:color w:val="000000"/>
                <w:sz w:val="16"/>
                <w:szCs w:val="16"/>
              </w:rPr>
            </w:pPr>
            <w:r>
              <w:rPr>
                <w:rFonts w:hint="eastAsia"/>
                <w:color w:val="000000"/>
                <w:sz w:val="16"/>
                <w:szCs w:val="16"/>
              </w:rPr>
              <w:t>债券</w:t>
            </w:r>
            <w:r>
              <w:rPr>
                <w:rFonts w:hint="eastAsia"/>
                <w:color w:val="000000"/>
                <w:sz w:val="16"/>
                <w:szCs w:val="16"/>
              </w:rPr>
              <w:t>-</w:t>
            </w:r>
            <w:proofErr w:type="gramStart"/>
            <w:r>
              <w:rPr>
                <w:rFonts w:hint="eastAsia"/>
                <w:color w:val="000000"/>
                <w:sz w:val="16"/>
                <w:szCs w:val="16"/>
              </w:rPr>
              <w:t>可转债基</w:t>
            </w:r>
            <w:proofErr w:type="gramEnd"/>
          </w:p>
        </w:tc>
        <w:tc>
          <w:tcPr>
            <w:tcW w:w="985" w:type="dxa"/>
            <w:tcBorders>
              <w:top w:val="nil"/>
              <w:left w:val="nil"/>
              <w:bottom w:val="single" w:sz="8" w:space="0" w:color="E46D0A"/>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81.63</w:t>
            </w:r>
          </w:p>
        </w:tc>
        <w:tc>
          <w:tcPr>
            <w:tcW w:w="616" w:type="dxa"/>
            <w:tcBorders>
              <w:top w:val="nil"/>
              <w:left w:val="nil"/>
              <w:bottom w:val="single" w:sz="8" w:space="0" w:color="E46D0A"/>
              <w:right w:val="nil"/>
            </w:tcBorders>
            <w:shd w:val="clear" w:color="auto" w:fill="auto"/>
            <w:noWrap/>
            <w:vAlign w:val="center"/>
            <w:hideMark/>
          </w:tcPr>
          <w:p w:rsidR="006362D3" w:rsidRDefault="006362D3">
            <w:pPr>
              <w:jc w:val="center"/>
              <w:rPr>
                <w:rFonts w:ascii="Calibri" w:eastAsia="宋体" w:hAnsi="Calibri" w:cs="Calibri"/>
                <w:color w:val="000000"/>
                <w:sz w:val="16"/>
                <w:szCs w:val="16"/>
              </w:rPr>
            </w:pPr>
            <w:r>
              <w:rPr>
                <w:rFonts w:ascii="Calibri" w:hAnsi="Calibri" w:cs="Calibri"/>
                <w:color w:val="000000"/>
                <w:sz w:val="16"/>
                <w:szCs w:val="16"/>
              </w:rPr>
              <w:t>10</w:t>
            </w:r>
          </w:p>
        </w:tc>
      </w:tr>
      <w:tr w:rsidR="003072DB" w:rsidRPr="003072DB" w:rsidTr="003072DB">
        <w:trPr>
          <w:trHeight w:val="285"/>
        </w:trPr>
        <w:tc>
          <w:tcPr>
            <w:tcW w:w="2947" w:type="dxa"/>
            <w:gridSpan w:val="2"/>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来源：</w:t>
            </w:r>
            <w:proofErr w:type="gramStart"/>
            <w:r w:rsidRPr="003072DB">
              <w:rPr>
                <w:rFonts w:ascii="宋体" w:eastAsia="宋体" w:hAnsi="宋体" w:cs="宋体" w:hint="eastAsia"/>
                <w:color w:val="000000"/>
                <w:kern w:val="0"/>
                <w:sz w:val="16"/>
                <w:szCs w:val="16"/>
              </w:rPr>
              <w:t>凯</w:t>
            </w:r>
            <w:proofErr w:type="gramEnd"/>
            <w:r w:rsidRPr="003072DB">
              <w:rPr>
                <w:rFonts w:ascii="宋体" w:eastAsia="宋体" w:hAnsi="宋体" w:cs="宋体" w:hint="eastAsia"/>
                <w:color w:val="000000"/>
                <w:kern w:val="0"/>
                <w:sz w:val="16"/>
                <w:szCs w:val="16"/>
              </w:rPr>
              <w:t>石财富工场</w:t>
            </w:r>
          </w:p>
        </w:tc>
        <w:tc>
          <w:tcPr>
            <w:tcW w:w="1302"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c>
          <w:tcPr>
            <w:tcW w:w="985"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c>
          <w:tcPr>
            <w:tcW w:w="616"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r>
    </w:tbl>
    <w:p w:rsidR="003072DB" w:rsidRDefault="003072DB" w:rsidP="003072DB">
      <w:pPr>
        <w:pStyle w:val="ab"/>
        <w:spacing w:after="163"/>
        <w:ind w:left="3799"/>
        <w:rPr>
          <w:rFonts w:eastAsia="楷体_GB2312"/>
          <w:color w:val="auto"/>
        </w:rPr>
      </w:pPr>
    </w:p>
    <w:tbl>
      <w:tblPr>
        <w:tblW w:w="6014" w:type="dxa"/>
        <w:tblInd w:w="3816" w:type="dxa"/>
        <w:tblLook w:val="04A0"/>
      </w:tblPr>
      <w:tblGrid>
        <w:gridCol w:w="1289"/>
        <w:gridCol w:w="2765"/>
        <w:gridCol w:w="1289"/>
        <w:gridCol w:w="671"/>
      </w:tblGrid>
      <w:tr w:rsidR="003072DB" w:rsidRPr="003072DB" w:rsidTr="00D06FC1">
        <w:trPr>
          <w:trHeight w:val="276"/>
        </w:trPr>
        <w:tc>
          <w:tcPr>
            <w:tcW w:w="6014" w:type="dxa"/>
            <w:gridSpan w:val="4"/>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AE27D3">
            <w:pPr>
              <w:widowControl/>
              <w:jc w:val="left"/>
              <w:rPr>
                <w:rFonts w:ascii="宋体" w:eastAsia="宋体" w:hAnsi="宋体" w:cs="宋体"/>
                <w:b/>
                <w:i/>
                <w:iCs/>
                <w:color w:val="E36C0A" w:themeColor="accent6" w:themeShade="BF"/>
                <w:kern w:val="0"/>
                <w:sz w:val="20"/>
                <w:szCs w:val="20"/>
              </w:rPr>
            </w:pPr>
            <w:r w:rsidRPr="003072DB">
              <w:rPr>
                <w:rFonts w:ascii="宋体" w:eastAsia="宋体" w:hAnsi="宋体" w:cs="宋体" w:hint="eastAsia"/>
                <w:b/>
                <w:i/>
                <w:iCs/>
                <w:color w:val="E36C0A" w:themeColor="accent6" w:themeShade="BF"/>
                <w:kern w:val="0"/>
                <w:sz w:val="20"/>
                <w:szCs w:val="20"/>
              </w:rPr>
              <w:t>图表5:2014保本型产品前十</w:t>
            </w:r>
          </w:p>
        </w:tc>
      </w:tr>
      <w:tr w:rsidR="003072DB" w:rsidRPr="003072DB" w:rsidTr="003072DB">
        <w:trPr>
          <w:trHeight w:val="422"/>
        </w:trPr>
        <w:tc>
          <w:tcPr>
            <w:tcW w:w="1289"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市场代码</w:t>
            </w:r>
          </w:p>
        </w:tc>
        <w:tc>
          <w:tcPr>
            <w:tcW w:w="2765"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基金名称</w:t>
            </w:r>
          </w:p>
        </w:tc>
        <w:tc>
          <w:tcPr>
            <w:tcW w:w="1289" w:type="dxa"/>
            <w:tcBorders>
              <w:top w:val="nil"/>
              <w:left w:val="nil"/>
              <w:bottom w:val="single" w:sz="8" w:space="0" w:color="E46D0A"/>
              <w:right w:val="nil"/>
            </w:tcBorders>
            <w:shd w:val="clear" w:color="auto" w:fill="auto"/>
            <w:vAlign w:val="center"/>
            <w:hideMark/>
          </w:tcPr>
          <w:p w:rsidR="003072DB" w:rsidRPr="003072DB" w:rsidRDefault="003072DB" w:rsidP="001F0E4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2014年业绩（%）</w:t>
            </w:r>
          </w:p>
        </w:tc>
        <w:tc>
          <w:tcPr>
            <w:tcW w:w="671"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排名</w:t>
            </w:r>
          </w:p>
        </w:tc>
      </w:tr>
      <w:tr w:rsidR="00AE27D3" w:rsidRPr="003072DB" w:rsidTr="003072DB">
        <w:trPr>
          <w:trHeight w:val="262"/>
        </w:trPr>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hint="eastAsia"/>
                <w:color w:val="000000"/>
                <w:sz w:val="16"/>
                <w:szCs w:val="16"/>
              </w:rPr>
              <w:t>0000</w:t>
            </w:r>
            <w:r>
              <w:rPr>
                <w:rFonts w:ascii="Calibri" w:hAnsi="Calibri" w:cs="Calibri"/>
                <w:color w:val="000000"/>
                <w:sz w:val="16"/>
                <w:szCs w:val="16"/>
              </w:rPr>
              <w:t>30</w:t>
            </w:r>
          </w:p>
        </w:tc>
        <w:tc>
          <w:tcPr>
            <w:tcW w:w="2765" w:type="dxa"/>
            <w:tcBorders>
              <w:top w:val="nil"/>
              <w:left w:val="nil"/>
              <w:bottom w:val="nil"/>
              <w:right w:val="nil"/>
            </w:tcBorders>
            <w:shd w:val="clear" w:color="auto" w:fill="auto"/>
            <w:noWrap/>
            <w:vAlign w:val="center"/>
            <w:hideMark/>
          </w:tcPr>
          <w:p w:rsidR="00AE27D3" w:rsidRDefault="00AE27D3">
            <w:pPr>
              <w:jc w:val="center"/>
              <w:rPr>
                <w:rFonts w:ascii="宋体" w:eastAsia="宋体" w:hAnsi="宋体" w:cs="宋体"/>
                <w:color w:val="000000"/>
                <w:sz w:val="16"/>
                <w:szCs w:val="16"/>
              </w:rPr>
            </w:pPr>
            <w:proofErr w:type="gramStart"/>
            <w:r>
              <w:rPr>
                <w:rFonts w:hint="eastAsia"/>
                <w:color w:val="000000"/>
                <w:sz w:val="16"/>
                <w:szCs w:val="16"/>
              </w:rPr>
              <w:t>长城久利</w:t>
            </w:r>
            <w:proofErr w:type="gramEnd"/>
          </w:p>
        </w:tc>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42.28</w:t>
            </w:r>
          </w:p>
        </w:tc>
        <w:tc>
          <w:tcPr>
            <w:tcW w:w="671"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1</w:t>
            </w:r>
          </w:p>
        </w:tc>
      </w:tr>
      <w:tr w:rsidR="00AE27D3" w:rsidRPr="003072DB" w:rsidTr="003072DB">
        <w:trPr>
          <w:trHeight w:val="262"/>
        </w:trPr>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hint="eastAsia"/>
                <w:color w:val="000000"/>
                <w:sz w:val="16"/>
                <w:szCs w:val="16"/>
              </w:rPr>
              <w:t>0000</w:t>
            </w:r>
            <w:r>
              <w:rPr>
                <w:rFonts w:ascii="Calibri" w:hAnsi="Calibri" w:cs="Calibri"/>
                <w:color w:val="000000"/>
                <w:sz w:val="16"/>
                <w:szCs w:val="16"/>
              </w:rPr>
              <w:t>72</w:t>
            </w:r>
          </w:p>
        </w:tc>
        <w:tc>
          <w:tcPr>
            <w:tcW w:w="2765" w:type="dxa"/>
            <w:tcBorders>
              <w:top w:val="nil"/>
              <w:left w:val="nil"/>
              <w:bottom w:val="nil"/>
              <w:right w:val="nil"/>
            </w:tcBorders>
            <w:shd w:val="clear" w:color="auto" w:fill="auto"/>
            <w:noWrap/>
            <w:vAlign w:val="center"/>
            <w:hideMark/>
          </w:tcPr>
          <w:p w:rsidR="00AE27D3" w:rsidRDefault="00AE27D3">
            <w:pPr>
              <w:jc w:val="center"/>
              <w:rPr>
                <w:rFonts w:ascii="宋体" w:eastAsia="宋体" w:hAnsi="宋体" w:cs="宋体"/>
                <w:color w:val="000000"/>
                <w:sz w:val="16"/>
                <w:szCs w:val="16"/>
              </w:rPr>
            </w:pPr>
            <w:r>
              <w:rPr>
                <w:rFonts w:hint="eastAsia"/>
                <w:color w:val="000000"/>
                <w:sz w:val="16"/>
                <w:szCs w:val="16"/>
              </w:rPr>
              <w:t>华安保本混合</w:t>
            </w:r>
          </w:p>
        </w:tc>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29.54</w:t>
            </w:r>
          </w:p>
        </w:tc>
        <w:tc>
          <w:tcPr>
            <w:tcW w:w="671"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w:t>
            </w:r>
          </w:p>
        </w:tc>
      </w:tr>
      <w:tr w:rsidR="00AE27D3" w:rsidRPr="003072DB" w:rsidTr="003072DB">
        <w:trPr>
          <w:trHeight w:val="262"/>
        </w:trPr>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217024</w:t>
            </w:r>
          </w:p>
        </w:tc>
        <w:tc>
          <w:tcPr>
            <w:tcW w:w="2765" w:type="dxa"/>
            <w:tcBorders>
              <w:top w:val="nil"/>
              <w:left w:val="nil"/>
              <w:bottom w:val="nil"/>
              <w:right w:val="nil"/>
            </w:tcBorders>
            <w:shd w:val="clear" w:color="auto" w:fill="auto"/>
            <w:noWrap/>
            <w:vAlign w:val="center"/>
            <w:hideMark/>
          </w:tcPr>
          <w:p w:rsidR="00AE27D3" w:rsidRDefault="00AE27D3">
            <w:pPr>
              <w:jc w:val="center"/>
              <w:rPr>
                <w:rFonts w:ascii="宋体" w:eastAsia="宋体" w:hAnsi="宋体" w:cs="宋体"/>
                <w:color w:val="000000"/>
                <w:sz w:val="16"/>
                <w:szCs w:val="16"/>
              </w:rPr>
            </w:pPr>
            <w:proofErr w:type="gramStart"/>
            <w:r>
              <w:rPr>
                <w:rFonts w:hint="eastAsia"/>
                <w:color w:val="000000"/>
                <w:sz w:val="16"/>
                <w:szCs w:val="16"/>
              </w:rPr>
              <w:t>招商安盈保本</w:t>
            </w:r>
            <w:proofErr w:type="gramEnd"/>
            <w:r>
              <w:rPr>
                <w:rFonts w:hint="eastAsia"/>
                <w:color w:val="000000"/>
                <w:sz w:val="16"/>
                <w:szCs w:val="16"/>
              </w:rPr>
              <w:t>混合</w:t>
            </w:r>
          </w:p>
        </w:tc>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28.78</w:t>
            </w:r>
          </w:p>
        </w:tc>
        <w:tc>
          <w:tcPr>
            <w:tcW w:w="671"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3</w:t>
            </w:r>
          </w:p>
        </w:tc>
      </w:tr>
      <w:tr w:rsidR="00AE27D3" w:rsidRPr="003072DB" w:rsidTr="003072DB">
        <w:trPr>
          <w:trHeight w:val="262"/>
        </w:trPr>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90019</w:t>
            </w:r>
          </w:p>
        </w:tc>
        <w:tc>
          <w:tcPr>
            <w:tcW w:w="2765" w:type="dxa"/>
            <w:tcBorders>
              <w:top w:val="nil"/>
              <w:left w:val="nil"/>
              <w:bottom w:val="nil"/>
              <w:right w:val="nil"/>
            </w:tcBorders>
            <w:shd w:val="clear" w:color="auto" w:fill="auto"/>
            <w:noWrap/>
            <w:vAlign w:val="center"/>
            <w:hideMark/>
          </w:tcPr>
          <w:p w:rsidR="00AE27D3" w:rsidRDefault="00AE27D3">
            <w:pPr>
              <w:jc w:val="center"/>
              <w:rPr>
                <w:rFonts w:ascii="宋体" w:eastAsia="宋体" w:hAnsi="宋体" w:cs="宋体"/>
                <w:color w:val="000000"/>
                <w:sz w:val="16"/>
                <w:szCs w:val="16"/>
              </w:rPr>
            </w:pPr>
            <w:proofErr w:type="gramStart"/>
            <w:r>
              <w:rPr>
                <w:rFonts w:hint="eastAsia"/>
                <w:color w:val="000000"/>
                <w:sz w:val="16"/>
                <w:szCs w:val="16"/>
              </w:rPr>
              <w:t>大成景恒保本</w:t>
            </w:r>
            <w:proofErr w:type="gramEnd"/>
            <w:r>
              <w:rPr>
                <w:rFonts w:hint="eastAsia"/>
                <w:color w:val="000000"/>
                <w:sz w:val="16"/>
                <w:szCs w:val="16"/>
              </w:rPr>
              <w:t>混合</w:t>
            </w:r>
          </w:p>
        </w:tc>
        <w:tc>
          <w:tcPr>
            <w:tcW w:w="1289"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28.64</w:t>
            </w:r>
          </w:p>
        </w:tc>
        <w:tc>
          <w:tcPr>
            <w:tcW w:w="671" w:type="dxa"/>
            <w:tcBorders>
              <w:top w:val="nil"/>
              <w:left w:val="nil"/>
              <w:bottom w:val="nil"/>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4</w:t>
            </w:r>
          </w:p>
        </w:tc>
      </w:tr>
      <w:tr w:rsidR="00AE27D3" w:rsidRPr="003072DB" w:rsidTr="003072DB">
        <w:trPr>
          <w:trHeight w:val="276"/>
        </w:trPr>
        <w:tc>
          <w:tcPr>
            <w:tcW w:w="1289" w:type="dxa"/>
            <w:tcBorders>
              <w:top w:val="nil"/>
              <w:left w:val="nil"/>
              <w:bottom w:val="single" w:sz="8" w:space="0" w:color="E46D0A"/>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202213</w:t>
            </w:r>
          </w:p>
        </w:tc>
        <w:tc>
          <w:tcPr>
            <w:tcW w:w="2765" w:type="dxa"/>
            <w:tcBorders>
              <w:top w:val="nil"/>
              <w:left w:val="nil"/>
              <w:bottom w:val="single" w:sz="8" w:space="0" w:color="E46D0A"/>
              <w:right w:val="nil"/>
            </w:tcBorders>
            <w:shd w:val="clear" w:color="auto" w:fill="auto"/>
            <w:noWrap/>
            <w:vAlign w:val="center"/>
            <w:hideMark/>
          </w:tcPr>
          <w:p w:rsidR="00AE27D3" w:rsidRDefault="00AE27D3">
            <w:pPr>
              <w:jc w:val="center"/>
              <w:rPr>
                <w:rFonts w:ascii="宋体" w:eastAsia="宋体" w:hAnsi="宋体" w:cs="宋体"/>
                <w:color w:val="000000"/>
                <w:sz w:val="16"/>
                <w:szCs w:val="16"/>
              </w:rPr>
            </w:pPr>
            <w:r>
              <w:rPr>
                <w:rFonts w:hint="eastAsia"/>
                <w:color w:val="000000"/>
                <w:sz w:val="16"/>
                <w:szCs w:val="16"/>
              </w:rPr>
              <w:t>南方安心</w:t>
            </w:r>
          </w:p>
        </w:tc>
        <w:tc>
          <w:tcPr>
            <w:tcW w:w="1289" w:type="dxa"/>
            <w:tcBorders>
              <w:top w:val="nil"/>
              <w:left w:val="nil"/>
              <w:bottom w:val="single" w:sz="8" w:space="0" w:color="E46D0A"/>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22.77</w:t>
            </w:r>
          </w:p>
        </w:tc>
        <w:tc>
          <w:tcPr>
            <w:tcW w:w="671" w:type="dxa"/>
            <w:tcBorders>
              <w:top w:val="nil"/>
              <w:left w:val="nil"/>
              <w:bottom w:val="single" w:sz="8" w:space="0" w:color="E46D0A"/>
              <w:right w:val="nil"/>
            </w:tcBorders>
            <w:shd w:val="clear" w:color="auto" w:fill="auto"/>
            <w:noWrap/>
            <w:vAlign w:val="center"/>
            <w:hideMark/>
          </w:tcPr>
          <w:p w:rsidR="00AE27D3" w:rsidRDefault="00AE27D3">
            <w:pPr>
              <w:jc w:val="center"/>
              <w:rPr>
                <w:rFonts w:ascii="Calibri" w:eastAsia="宋体" w:hAnsi="Calibri" w:cs="Calibri"/>
                <w:color w:val="000000"/>
                <w:sz w:val="16"/>
                <w:szCs w:val="16"/>
              </w:rPr>
            </w:pPr>
            <w:r>
              <w:rPr>
                <w:rFonts w:ascii="Calibri" w:hAnsi="Calibri" w:cs="Calibri"/>
                <w:color w:val="000000"/>
                <w:sz w:val="16"/>
                <w:szCs w:val="16"/>
              </w:rPr>
              <w:t>5</w:t>
            </w:r>
          </w:p>
        </w:tc>
      </w:tr>
      <w:tr w:rsidR="003072DB" w:rsidRPr="003072DB" w:rsidTr="003072DB">
        <w:trPr>
          <w:trHeight w:val="276"/>
        </w:trPr>
        <w:tc>
          <w:tcPr>
            <w:tcW w:w="4054" w:type="dxa"/>
            <w:gridSpan w:val="2"/>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来源：</w:t>
            </w:r>
            <w:proofErr w:type="gramStart"/>
            <w:r w:rsidRPr="003072DB">
              <w:rPr>
                <w:rFonts w:ascii="宋体" w:eastAsia="宋体" w:hAnsi="宋体" w:cs="宋体" w:hint="eastAsia"/>
                <w:color w:val="000000"/>
                <w:kern w:val="0"/>
                <w:sz w:val="16"/>
                <w:szCs w:val="16"/>
              </w:rPr>
              <w:t>凯</w:t>
            </w:r>
            <w:proofErr w:type="gramEnd"/>
            <w:r w:rsidRPr="003072DB">
              <w:rPr>
                <w:rFonts w:ascii="宋体" w:eastAsia="宋体" w:hAnsi="宋体" w:cs="宋体" w:hint="eastAsia"/>
                <w:color w:val="000000"/>
                <w:kern w:val="0"/>
                <w:sz w:val="16"/>
                <w:szCs w:val="16"/>
              </w:rPr>
              <w:t>石财富工场</w:t>
            </w:r>
          </w:p>
        </w:tc>
        <w:tc>
          <w:tcPr>
            <w:tcW w:w="1289" w:type="dxa"/>
            <w:tcBorders>
              <w:top w:val="nil"/>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c>
          <w:tcPr>
            <w:tcW w:w="671" w:type="dxa"/>
            <w:tcBorders>
              <w:top w:val="nil"/>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r>
    </w:tbl>
    <w:p w:rsidR="003072DB" w:rsidRDefault="003072DB" w:rsidP="003072DB">
      <w:pPr>
        <w:pStyle w:val="ab"/>
        <w:spacing w:after="163"/>
        <w:ind w:left="3799"/>
        <w:rPr>
          <w:rFonts w:eastAsia="楷体_GB2312"/>
          <w:color w:val="auto"/>
        </w:rPr>
      </w:pPr>
    </w:p>
    <w:p w:rsidR="00A238DB" w:rsidRDefault="003072DB" w:rsidP="00DD7991">
      <w:pPr>
        <w:widowControl/>
        <w:spacing w:after="120" w:line="240" w:lineRule="exact"/>
        <w:ind w:left="3430"/>
        <w:rPr>
          <w:rFonts w:ascii="Arial" w:eastAsia="楷体_GB2312" w:hAnsi="Arial" w:cs="Times New Roman"/>
          <w:b/>
          <w:bCs/>
          <w:color w:val="0070C0"/>
          <w:kern w:val="0"/>
          <w:szCs w:val="21"/>
          <w:lang w:val="en-GB"/>
        </w:rPr>
      </w:pPr>
      <w:r w:rsidRPr="00EC0E7D">
        <w:rPr>
          <w:rFonts w:ascii="Arial" w:eastAsia="楷体_GB2312" w:hAnsi="Arial" w:cs="Times New Roman" w:hint="eastAsia"/>
          <w:b/>
          <w:bCs/>
          <w:color w:val="0070C0"/>
          <w:kern w:val="0"/>
          <w:szCs w:val="21"/>
          <w:lang w:val="en-GB"/>
        </w:rPr>
        <w:lastRenderedPageBreak/>
        <w:t xml:space="preserve"> </w:t>
      </w:r>
      <w:r w:rsidR="00EC0E7D" w:rsidRPr="00EC0E7D">
        <w:rPr>
          <w:rFonts w:ascii="Arial" w:eastAsia="楷体_GB2312" w:hAnsi="Arial" w:cs="Times New Roman" w:hint="eastAsia"/>
          <w:b/>
          <w:bCs/>
          <w:color w:val="0070C0"/>
          <w:kern w:val="0"/>
          <w:szCs w:val="21"/>
          <w:lang w:val="en-GB"/>
        </w:rPr>
        <w:t>QDII</w:t>
      </w:r>
      <w:r w:rsidR="00EC0E7D" w:rsidRPr="00EC0E7D">
        <w:rPr>
          <w:rFonts w:ascii="Arial" w:eastAsia="楷体_GB2312" w:hAnsi="Arial" w:cs="Times New Roman" w:hint="eastAsia"/>
          <w:b/>
          <w:bCs/>
          <w:color w:val="0070C0"/>
          <w:kern w:val="0"/>
          <w:szCs w:val="21"/>
          <w:lang w:val="en-GB"/>
        </w:rPr>
        <w:t>基金：</w:t>
      </w:r>
      <w:r w:rsidR="00F157F6">
        <w:rPr>
          <w:rFonts w:ascii="Arial" w:eastAsia="楷体_GB2312" w:hAnsi="Arial" w:cs="Times New Roman" w:hint="eastAsia"/>
          <w:b/>
          <w:bCs/>
          <w:color w:val="0070C0"/>
          <w:kern w:val="0"/>
          <w:szCs w:val="21"/>
          <w:lang w:val="en-GB"/>
        </w:rPr>
        <w:t>业绩分化</w:t>
      </w:r>
      <w:r w:rsidR="00EC0E7D" w:rsidRPr="00EC0E7D">
        <w:rPr>
          <w:rFonts w:ascii="Arial" w:eastAsia="楷体_GB2312" w:hAnsi="Arial" w:cs="Times New Roman" w:hint="eastAsia"/>
          <w:b/>
          <w:bCs/>
          <w:color w:val="0070C0"/>
          <w:kern w:val="0"/>
          <w:szCs w:val="21"/>
          <w:lang w:val="en-GB"/>
        </w:rPr>
        <w:t>，不动产</w:t>
      </w:r>
      <w:r w:rsidR="00F157F6">
        <w:rPr>
          <w:rFonts w:ascii="Arial" w:eastAsia="楷体_GB2312" w:hAnsi="Arial" w:cs="Times New Roman" w:hint="eastAsia"/>
          <w:b/>
          <w:bCs/>
          <w:color w:val="0070C0"/>
          <w:kern w:val="0"/>
          <w:szCs w:val="21"/>
          <w:lang w:val="en-GB"/>
        </w:rPr>
        <w:t>、美股类产品表现</w:t>
      </w:r>
      <w:r w:rsidR="00EC0E7D" w:rsidRPr="00EC0E7D">
        <w:rPr>
          <w:rFonts w:ascii="Arial" w:eastAsia="楷体_GB2312" w:hAnsi="Arial" w:cs="Times New Roman" w:hint="eastAsia"/>
          <w:b/>
          <w:bCs/>
          <w:color w:val="0070C0"/>
          <w:kern w:val="0"/>
          <w:szCs w:val="21"/>
          <w:lang w:val="en-GB"/>
        </w:rPr>
        <w:t>抢眼</w:t>
      </w:r>
    </w:p>
    <w:p w:rsidR="000D600C" w:rsidRDefault="001F0E4B" w:rsidP="00D514AF">
      <w:pPr>
        <w:pStyle w:val="ab"/>
        <w:numPr>
          <w:ilvl w:val="4"/>
          <w:numId w:val="1"/>
        </w:numPr>
        <w:spacing w:after="163"/>
        <w:rPr>
          <w:rFonts w:eastAsia="楷体_GB2312"/>
          <w:color w:val="auto"/>
        </w:rPr>
      </w:pPr>
      <w:r>
        <w:rPr>
          <w:rFonts w:eastAsia="楷体_GB2312" w:hint="eastAsia"/>
          <w:color w:val="auto"/>
        </w:rPr>
        <w:t>2014</w:t>
      </w:r>
      <w:r>
        <w:rPr>
          <w:rFonts w:eastAsia="楷体_GB2312" w:hint="eastAsia"/>
          <w:color w:val="auto"/>
        </w:rPr>
        <w:t>年海外市场走势分化</w:t>
      </w:r>
      <w:r w:rsidR="00EC0E7D" w:rsidRPr="00EC0E7D">
        <w:rPr>
          <w:rFonts w:eastAsia="楷体_GB2312" w:hint="eastAsia"/>
          <w:color w:val="auto"/>
        </w:rPr>
        <w:t>，</w:t>
      </w:r>
      <w:r w:rsidRPr="00EC0E7D">
        <w:rPr>
          <w:rFonts w:eastAsia="楷体_GB2312" w:hint="eastAsia"/>
          <w:color w:val="auto"/>
        </w:rPr>
        <w:t xml:space="preserve"> </w:t>
      </w:r>
      <w:r w:rsidR="00EC0E7D" w:rsidRPr="00EC0E7D">
        <w:rPr>
          <w:rFonts w:eastAsia="楷体_GB2312" w:hint="eastAsia"/>
          <w:color w:val="auto"/>
        </w:rPr>
        <w:t>83</w:t>
      </w:r>
      <w:r w:rsidR="00EC0E7D" w:rsidRPr="00EC0E7D">
        <w:rPr>
          <w:rFonts w:eastAsia="楷体_GB2312" w:hint="eastAsia"/>
          <w:color w:val="auto"/>
        </w:rPr>
        <w:t>只可比</w:t>
      </w:r>
      <w:r w:rsidR="00EC0E7D" w:rsidRPr="00EC0E7D">
        <w:rPr>
          <w:rFonts w:eastAsia="楷体_GB2312" w:hint="eastAsia"/>
          <w:color w:val="auto"/>
        </w:rPr>
        <w:t xml:space="preserve">QDII </w:t>
      </w:r>
      <w:r>
        <w:rPr>
          <w:rFonts w:eastAsia="楷体_GB2312" w:hint="eastAsia"/>
          <w:color w:val="auto"/>
        </w:rPr>
        <w:t>47</w:t>
      </w:r>
      <w:r w:rsidR="00EC0E7D" w:rsidRPr="00EC0E7D">
        <w:rPr>
          <w:rFonts w:eastAsia="楷体_GB2312" w:hint="eastAsia"/>
          <w:color w:val="auto"/>
        </w:rPr>
        <w:t>涨</w:t>
      </w:r>
      <w:r>
        <w:rPr>
          <w:rFonts w:eastAsia="楷体_GB2312" w:hint="eastAsia"/>
          <w:color w:val="auto"/>
        </w:rPr>
        <w:t>1</w:t>
      </w:r>
      <w:r>
        <w:rPr>
          <w:rFonts w:eastAsia="楷体_GB2312" w:hint="eastAsia"/>
          <w:color w:val="auto"/>
        </w:rPr>
        <w:t>平</w:t>
      </w:r>
      <w:r>
        <w:rPr>
          <w:rFonts w:eastAsia="楷体_GB2312" w:hint="eastAsia"/>
          <w:color w:val="auto"/>
        </w:rPr>
        <w:t>35</w:t>
      </w:r>
      <w:r w:rsidR="00EC0E7D" w:rsidRPr="00EC0E7D">
        <w:rPr>
          <w:rFonts w:eastAsia="楷体_GB2312" w:hint="eastAsia"/>
          <w:color w:val="auto"/>
        </w:rPr>
        <w:t>跌，平均收益</w:t>
      </w:r>
      <w:r>
        <w:rPr>
          <w:rFonts w:eastAsia="楷体_GB2312" w:hint="eastAsia"/>
          <w:color w:val="auto"/>
        </w:rPr>
        <w:t>1.81</w:t>
      </w:r>
      <w:r w:rsidR="00EC0E7D" w:rsidRPr="00EC0E7D">
        <w:rPr>
          <w:rFonts w:eastAsia="楷体_GB2312" w:hint="eastAsia"/>
          <w:color w:val="auto"/>
        </w:rPr>
        <w:t>%</w:t>
      </w:r>
      <w:r w:rsidR="00EC0E7D" w:rsidRPr="00EC0E7D">
        <w:rPr>
          <w:rFonts w:eastAsia="楷体_GB2312" w:hint="eastAsia"/>
          <w:color w:val="auto"/>
        </w:rPr>
        <w:t>，期间不动产主题</w:t>
      </w:r>
      <w:r w:rsidR="00F157F6">
        <w:rPr>
          <w:rFonts w:eastAsia="楷体_GB2312" w:hint="eastAsia"/>
          <w:color w:val="auto"/>
        </w:rPr>
        <w:t>与美</w:t>
      </w:r>
      <w:proofErr w:type="gramStart"/>
      <w:r w:rsidR="00F157F6">
        <w:rPr>
          <w:rFonts w:eastAsia="楷体_GB2312" w:hint="eastAsia"/>
          <w:color w:val="auto"/>
        </w:rPr>
        <w:t>股</w:t>
      </w:r>
      <w:r w:rsidR="00EC0E7D" w:rsidRPr="00EC0E7D">
        <w:rPr>
          <w:rFonts w:eastAsia="楷体_GB2312" w:hint="eastAsia"/>
          <w:color w:val="auto"/>
        </w:rPr>
        <w:t>产品</w:t>
      </w:r>
      <w:proofErr w:type="gramEnd"/>
      <w:r w:rsidR="00EC0E7D" w:rsidRPr="00EC0E7D">
        <w:rPr>
          <w:rFonts w:eastAsia="楷体_GB2312" w:hint="eastAsia"/>
          <w:color w:val="auto"/>
        </w:rPr>
        <w:t>最为抢眼。受益美国经济</w:t>
      </w:r>
      <w:r w:rsidR="00F157F6">
        <w:rPr>
          <w:rFonts w:eastAsia="楷体_GB2312" w:hint="eastAsia"/>
          <w:color w:val="auto"/>
        </w:rPr>
        <w:t>稳健</w:t>
      </w:r>
      <w:r w:rsidR="00EC0E7D" w:rsidRPr="00EC0E7D">
        <w:rPr>
          <w:rFonts w:eastAsia="楷体_GB2312" w:hint="eastAsia"/>
          <w:color w:val="auto"/>
        </w:rPr>
        <w:t>复苏、</w:t>
      </w:r>
      <w:r w:rsidR="000F3D7B">
        <w:rPr>
          <w:rFonts w:eastAsia="楷体_GB2312" w:hint="eastAsia"/>
          <w:color w:val="auto"/>
        </w:rPr>
        <w:t>利率水平</w:t>
      </w:r>
      <w:r w:rsidR="00EC0E7D" w:rsidRPr="00EC0E7D">
        <w:rPr>
          <w:rFonts w:eastAsia="楷体_GB2312" w:hint="eastAsia"/>
          <w:color w:val="auto"/>
        </w:rPr>
        <w:t>维持相对低位等因素影响，以</w:t>
      </w:r>
      <w:r w:rsidR="00EC0E7D" w:rsidRPr="00EC0E7D">
        <w:rPr>
          <w:rFonts w:eastAsia="楷体_GB2312" w:hint="eastAsia"/>
          <w:color w:val="auto"/>
        </w:rPr>
        <w:t>REITs</w:t>
      </w:r>
      <w:r w:rsidR="00EC0E7D" w:rsidRPr="00EC0E7D">
        <w:rPr>
          <w:rFonts w:eastAsia="楷体_GB2312" w:hint="eastAsia"/>
          <w:color w:val="auto"/>
        </w:rPr>
        <w:t>为主要投向的</w:t>
      </w:r>
      <w:proofErr w:type="gramStart"/>
      <w:r w:rsidR="000F3D7B" w:rsidRPr="000F3D7B">
        <w:rPr>
          <w:rFonts w:eastAsia="楷体_GB2312" w:hint="eastAsia"/>
          <w:color w:val="auto"/>
        </w:rPr>
        <w:t>诺安全球收益</w:t>
      </w:r>
      <w:proofErr w:type="gramEnd"/>
      <w:r w:rsidR="000F3D7B" w:rsidRPr="000F3D7B">
        <w:rPr>
          <w:rFonts w:eastAsia="楷体_GB2312" w:hint="eastAsia"/>
          <w:color w:val="auto"/>
        </w:rPr>
        <w:t>不动产</w:t>
      </w:r>
      <w:r w:rsidR="000F3D7B">
        <w:rPr>
          <w:rFonts w:eastAsia="楷体_GB2312" w:hint="eastAsia"/>
          <w:color w:val="auto"/>
        </w:rPr>
        <w:t>全年收益</w:t>
      </w:r>
      <w:r w:rsidR="000F3D7B">
        <w:rPr>
          <w:rFonts w:eastAsia="楷体_GB2312" w:hint="eastAsia"/>
          <w:color w:val="auto"/>
        </w:rPr>
        <w:t>29.52</w:t>
      </w:r>
      <w:r w:rsidR="00EC0E7D" w:rsidRPr="00EC0E7D">
        <w:rPr>
          <w:rFonts w:eastAsia="楷体_GB2312" w:hint="eastAsia"/>
          <w:color w:val="auto"/>
        </w:rPr>
        <w:t>%</w:t>
      </w:r>
      <w:r w:rsidR="00EC0E7D" w:rsidRPr="00EC0E7D">
        <w:rPr>
          <w:rFonts w:eastAsia="楷体_GB2312" w:hint="eastAsia"/>
          <w:color w:val="auto"/>
        </w:rPr>
        <w:t>，高居涨幅榜首位，此外同类</w:t>
      </w:r>
      <w:proofErr w:type="gramStart"/>
      <w:r w:rsidR="00EC0E7D" w:rsidRPr="00EC0E7D">
        <w:rPr>
          <w:rFonts w:eastAsia="楷体_GB2312" w:hint="eastAsia"/>
          <w:color w:val="auto"/>
        </w:rPr>
        <w:t>产品广</w:t>
      </w:r>
      <w:proofErr w:type="gramEnd"/>
      <w:r w:rsidR="00EC0E7D" w:rsidRPr="00EC0E7D">
        <w:rPr>
          <w:rFonts w:eastAsia="楷体_GB2312" w:hint="eastAsia"/>
          <w:color w:val="auto"/>
        </w:rPr>
        <w:t>发美国房地产、</w:t>
      </w:r>
      <w:r w:rsidR="000F3D7B" w:rsidRPr="000F3D7B">
        <w:rPr>
          <w:rFonts w:eastAsia="楷体_GB2312" w:hint="eastAsia"/>
          <w:color w:val="auto"/>
        </w:rPr>
        <w:t>鹏华美国房地产</w:t>
      </w:r>
      <w:r w:rsidR="000F3D7B">
        <w:rPr>
          <w:rFonts w:eastAsia="楷体_GB2312" w:hint="eastAsia"/>
          <w:color w:val="auto"/>
        </w:rPr>
        <w:t>、</w:t>
      </w:r>
      <w:r w:rsidR="00EC0E7D" w:rsidRPr="00EC0E7D">
        <w:rPr>
          <w:rFonts w:eastAsia="楷体_GB2312" w:hint="eastAsia"/>
          <w:color w:val="auto"/>
        </w:rPr>
        <w:t>嘉</w:t>
      </w:r>
      <w:proofErr w:type="gramStart"/>
      <w:r w:rsidR="00EC0E7D" w:rsidRPr="00EC0E7D">
        <w:rPr>
          <w:rFonts w:eastAsia="楷体_GB2312" w:hint="eastAsia"/>
          <w:color w:val="auto"/>
        </w:rPr>
        <w:t>实全球</w:t>
      </w:r>
      <w:proofErr w:type="gramEnd"/>
      <w:r w:rsidR="00EC0E7D" w:rsidRPr="00EC0E7D">
        <w:rPr>
          <w:rFonts w:eastAsia="楷体_GB2312" w:hint="eastAsia"/>
          <w:color w:val="auto"/>
        </w:rPr>
        <w:t>房地产区间收益率分别为</w:t>
      </w:r>
      <w:r w:rsidR="000F3D7B">
        <w:rPr>
          <w:rFonts w:eastAsia="楷体_GB2312" w:hint="eastAsia"/>
          <w:color w:val="auto"/>
        </w:rPr>
        <w:t>26.82</w:t>
      </w:r>
      <w:r w:rsidR="00EC0E7D" w:rsidRPr="00EC0E7D">
        <w:rPr>
          <w:rFonts w:eastAsia="楷体_GB2312" w:hint="eastAsia"/>
          <w:color w:val="auto"/>
        </w:rPr>
        <w:t>%</w:t>
      </w:r>
      <w:r w:rsidR="00EC0E7D" w:rsidRPr="00EC0E7D">
        <w:rPr>
          <w:rFonts w:eastAsia="楷体_GB2312" w:hint="eastAsia"/>
          <w:color w:val="auto"/>
        </w:rPr>
        <w:t>、</w:t>
      </w:r>
      <w:r w:rsidR="000F3D7B">
        <w:rPr>
          <w:rFonts w:eastAsia="楷体_GB2312" w:hint="eastAsia"/>
          <w:color w:val="auto"/>
        </w:rPr>
        <w:t>20.52</w:t>
      </w:r>
      <w:r w:rsidR="00EC0E7D" w:rsidRPr="00EC0E7D">
        <w:rPr>
          <w:rFonts w:eastAsia="楷体_GB2312" w:hint="eastAsia"/>
          <w:color w:val="auto"/>
        </w:rPr>
        <w:t>%</w:t>
      </w:r>
      <w:r w:rsidR="00EC0E7D" w:rsidRPr="00EC0E7D">
        <w:rPr>
          <w:rFonts w:eastAsia="楷体_GB2312" w:hint="eastAsia"/>
          <w:color w:val="auto"/>
        </w:rPr>
        <w:t>与</w:t>
      </w:r>
      <w:r w:rsidR="000F3D7B">
        <w:rPr>
          <w:rFonts w:eastAsia="楷体_GB2312" w:hint="eastAsia"/>
          <w:color w:val="auto"/>
        </w:rPr>
        <w:t>18.29</w:t>
      </w:r>
      <w:r w:rsidR="00EC0E7D" w:rsidRPr="00EC0E7D">
        <w:rPr>
          <w:rFonts w:eastAsia="楷体_GB2312" w:hint="eastAsia"/>
          <w:color w:val="auto"/>
        </w:rPr>
        <w:t>%</w:t>
      </w:r>
      <w:r w:rsidR="00EC0E7D" w:rsidRPr="00EC0E7D">
        <w:rPr>
          <w:rFonts w:eastAsia="楷体_GB2312" w:hint="eastAsia"/>
          <w:color w:val="auto"/>
        </w:rPr>
        <w:t>，</w:t>
      </w:r>
      <w:r w:rsidR="000F3D7B">
        <w:rPr>
          <w:rFonts w:eastAsia="楷体_GB2312" w:hint="eastAsia"/>
          <w:color w:val="auto"/>
        </w:rPr>
        <w:t>包揽</w:t>
      </w:r>
      <w:r w:rsidR="00EC0E7D" w:rsidRPr="00EC0E7D">
        <w:rPr>
          <w:rFonts w:eastAsia="楷体_GB2312" w:hint="eastAsia"/>
          <w:color w:val="auto"/>
        </w:rPr>
        <w:t>涨幅榜</w:t>
      </w:r>
      <w:r w:rsidR="000F3D7B">
        <w:rPr>
          <w:rFonts w:eastAsia="楷体_GB2312" w:hint="eastAsia"/>
          <w:color w:val="auto"/>
        </w:rPr>
        <w:t>前</w:t>
      </w:r>
      <w:r w:rsidR="000F3D7B">
        <w:rPr>
          <w:rFonts w:eastAsia="楷体_GB2312" w:hint="eastAsia"/>
          <w:color w:val="auto"/>
        </w:rPr>
        <w:t>4</w:t>
      </w:r>
      <w:r w:rsidR="00EC0E7D" w:rsidRPr="00EC0E7D">
        <w:rPr>
          <w:rFonts w:eastAsia="楷体_GB2312" w:hint="eastAsia"/>
          <w:color w:val="auto"/>
        </w:rPr>
        <w:t>位。</w:t>
      </w:r>
      <w:r w:rsidR="000F3D7B">
        <w:rPr>
          <w:rFonts w:eastAsia="楷体_GB2312" w:hint="eastAsia"/>
          <w:color w:val="auto"/>
        </w:rPr>
        <w:t>此外美股</w:t>
      </w:r>
      <w:r w:rsidR="000F3D7B">
        <w:rPr>
          <w:rFonts w:eastAsia="楷体_GB2312" w:hint="eastAsia"/>
          <w:color w:val="auto"/>
        </w:rPr>
        <w:t>QDII</w:t>
      </w:r>
      <w:r w:rsidR="000F3D7B">
        <w:rPr>
          <w:rFonts w:eastAsia="楷体_GB2312" w:hint="eastAsia"/>
          <w:color w:val="auto"/>
        </w:rPr>
        <w:t>，特别是以纳斯达克</w:t>
      </w:r>
      <w:r w:rsidR="000F3D7B">
        <w:rPr>
          <w:rFonts w:eastAsia="楷体_GB2312" w:hint="eastAsia"/>
          <w:color w:val="auto"/>
        </w:rPr>
        <w:t>100</w:t>
      </w:r>
      <w:r w:rsidR="000F3D7B">
        <w:rPr>
          <w:rFonts w:eastAsia="楷体_GB2312" w:hint="eastAsia"/>
          <w:color w:val="auto"/>
        </w:rPr>
        <w:t>、</w:t>
      </w:r>
      <w:proofErr w:type="gramStart"/>
      <w:r w:rsidR="000F3D7B">
        <w:rPr>
          <w:rFonts w:eastAsia="楷体_GB2312" w:hint="eastAsia"/>
          <w:color w:val="auto"/>
        </w:rPr>
        <w:t>标普</w:t>
      </w:r>
      <w:proofErr w:type="gramEnd"/>
      <w:r w:rsidR="000F3D7B">
        <w:rPr>
          <w:rFonts w:eastAsia="楷体_GB2312" w:hint="eastAsia"/>
          <w:color w:val="auto"/>
        </w:rPr>
        <w:t>500</w:t>
      </w:r>
      <w:r w:rsidR="000F3D7B">
        <w:rPr>
          <w:rFonts w:eastAsia="楷体_GB2312" w:hint="eastAsia"/>
          <w:color w:val="auto"/>
        </w:rPr>
        <w:t>为跟踪标的</w:t>
      </w:r>
      <w:proofErr w:type="gramStart"/>
      <w:r w:rsidR="000F3D7B">
        <w:rPr>
          <w:rFonts w:eastAsia="楷体_GB2312" w:hint="eastAsia"/>
          <w:color w:val="auto"/>
        </w:rPr>
        <w:t>的</w:t>
      </w:r>
      <w:proofErr w:type="gramEnd"/>
      <w:r w:rsidR="000F3D7B">
        <w:rPr>
          <w:rFonts w:eastAsia="楷体_GB2312" w:hint="eastAsia"/>
          <w:color w:val="auto"/>
        </w:rPr>
        <w:t>指数型产品，同样表现较佳。</w:t>
      </w:r>
      <w:r w:rsidR="00EC0E7D" w:rsidRPr="00EC0E7D">
        <w:rPr>
          <w:rFonts w:eastAsia="楷体_GB2312" w:hint="eastAsia"/>
          <w:color w:val="auto"/>
        </w:rPr>
        <w:t>另一方面，华宝油气、</w:t>
      </w:r>
      <w:r w:rsidR="000F3D7B">
        <w:rPr>
          <w:rFonts w:eastAsia="楷体_GB2312" w:hint="eastAsia"/>
          <w:color w:val="auto"/>
        </w:rPr>
        <w:t>新城商品</w:t>
      </w:r>
      <w:r w:rsidR="00EC0E7D" w:rsidRPr="00EC0E7D">
        <w:rPr>
          <w:rFonts w:eastAsia="楷体_GB2312" w:hint="eastAsia"/>
          <w:color w:val="auto"/>
        </w:rPr>
        <w:t>、</w:t>
      </w:r>
      <w:r w:rsidR="000F3D7B">
        <w:rPr>
          <w:rFonts w:eastAsia="楷体_GB2312" w:hint="eastAsia"/>
          <w:color w:val="auto"/>
        </w:rPr>
        <w:t>银华抗通胀为代表的大宗商品</w:t>
      </w:r>
      <w:r w:rsidR="00EC0E7D" w:rsidRPr="00EC0E7D">
        <w:rPr>
          <w:rFonts w:eastAsia="楷体_GB2312" w:hint="eastAsia"/>
          <w:color w:val="auto"/>
        </w:rPr>
        <w:t>基金</w:t>
      </w:r>
      <w:r w:rsidR="005F242F">
        <w:rPr>
          <w:rFonts w:eastAsia="楷体_GB2312" w:hint="eastAsia"/>
          <w:color w:val="auto"/>
        </w:rPr>
        <w:t>同期表现不甚理想</w:t>
      </w:r>
      <w:r w:rsidR="00EC0E7D" w:rsidRPr="00EC0E7D">
        <w:rPr>
          <w:rFonts w:eastAsia="楷体_GB2312" w:hint="eastAsia"/>
          <w:color w:val="auto"/>
        </w:rPr>
        <w:t>。</w:t>
      </w:r>
    </w:p>
    <w:tbl>
      <w:tblPr>
        <w:tblpPr w:leftFromText="180" w:rightFromText="180" w:vertAnchor="text" w:horzAnchor="page" w:tblpX="4213" w:tblpY="64"/>
        <w:tblW w:w="6215" w:type="dxa"/>
        <w:tblLook w:val="04A0"/>
      </w:tblPr>
      <w:tblGrid>
        <w:gridCol w:w="882"/>
        <w:gridCol w:w="3484"/>
        <w:gridCol w:w="1216"/>
        <w:gridCol w:w="633"/>
      </w:tblGrid>
      <w:tr w:rsidR="003072DB" w:rsidRPr="003072DB" w:rsidTr="003072DB">
        <w:trPr>
          <w:trHeight w:val="283"/>
        </w:trPr>
        <w:tc>
          <w:tcPr>
            <w:tcW w:w="4366" w:type="dxa"/>
            <w:gridSpan w:val="2"/>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1F0E4B">
            <w:pPr>
              <w:widowControl/>
              <w:jc w:val="left"/>
              <w:rPr>
                <w:rFonts w:ascii="宋体" w:eastAsia="宋体" w:hAnsi="宋体" w:cs="宋体"/>
                <w:b/>
                <w:i/>
                <w:iCs/>
                <w:color w:val="E36C0A" w:themeColor="accent6" w:themeShade="BF"/>
                <w:kern w:val="0"/>
                <w:sz w:val="20"/>
                <w:szCs w:val="20"/>
              </w:rPr>
            </w:pPr>
            <w:r w:rsidRPr="003072DB">
              <w:rPr>
                <w:rFonts w:ascii="宋体" w:eastAsia="宋体" w:hAnsi="宋体" w:cs="宋体" w:hint="eastAsia"/>
                <w:b/>
                <w:i/>
                <w:iCs/>
                <w:color w:val="E36C0A" w:themeColor="accent6" w:themeShade="BF"/>
                <w:kern w:val="0"/>
                <w:sz w:val="20"/>
                <w:szCs w:val="20"/>
              </w:rPr>
              <w:t>图表6:2014年QDII产品前十</w:t>
            </w:r>
          </w:p>
        </w:tc>
        <w:tc>
          <w:tcPr>
            <w:tcW w:w="1216" w:type="dxa"/>
            <w:tcBorders>
              <w:top w:val="single" w:sz="8" w:space="0" w:color="E46D0A"/>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c>
          <w:tcPr>
            <w:tcW w:w="633" w:type="dxa"/>
            <w:tcBorders>
              <w:top w:val="single" w:sz="8" w:space="0" w:color="E46D0A"/>
              <w:left w:val="nil"/>
              <w:bottom w:val="single" w:sz="8" w:space="0" w:color="E46D0A"/>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22"/>
              </w:rPr>
            </w:pPr>
            <w:r w:rsidRPr="003072DB">
              <w:rPr>
                <w:rFonts w:ascii="宋体" w:eastAsia="宋体" w:hAnsi="宋体" w:cs="宋体" w:hint="eastAsia"/>
                <w:color w:val="000000"/>
                <w:kern w:val="0"/>
                <w:sz w:val="22"/>
              </w:rPr>
              <w:t xml:space="preserve">　</w:t>
            </w:r>
          </w:p>
        </w:tc>
      </w:tr>
      <w:tr w:rsidR="003072DB" w:rsidRPr="003072DB" w:rsidTr="003072DB">
        <w:trPr>
          <w:trHeight w:val="432"/>
        </w:trPr>
        <w:tc>
          <w:tcPr>
            <w:tcW w:w="882"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市场代码</w:t>
            </w:r>
          </w:p>
        </w:tc>
        <w:tc>
          <w:tcPr>
            <w:tcW w:w="3484"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基金名称</w:t>
            </w:r>
          </w:p>
        </w:tc>
        <w:tc>
          <w:tcPr>
            <w:tcW w:w="1216" w:type="dxa"/>
            <w:tcBorders>
              <w:top w:val="nil"/>
              <w:left w:val="nil"/>
              <w:bottom w:val="single" w:sz="8" w:space="0" w:color="E46D0A"/>
              <w:right w:val="nil"/>
            </w:tcBorders>
            <w:shd w:val="clear" w:color="auto" w:fill="auto"/>
            <w:vAlign w:val="center"/>
            <w:hideMark/>
          </w:tcPr>
          <w:p w:rsidR="003072DB" w:rsidRPr="003072DB" w:rsidRDefault="003072DB" w:rsidP="001F0E4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2014年业绩（%）</w:t>
            </w:r>
          </w:p>
        </w:tc>
        <w:tc>
          <w:tcPr>
            <w:tcW w:w="633" w:type="dxa"/>
            <w:tcBorders>
              <w:top w:val="nil"/>
              <w:left w:val="nil"/>
              <w:bottom w:val="single" w:sz="8" w:space="0" w:color="E46D0A"/>
              <w:right w:val="nil"/>
            </w:tcBorders>
            <w:shd w:val="clear" w:color="auto" w:fill="auto"/>
            <w:noWrap/>
            <w:vAlign w:val="center"/>
            <w:hideMark/>
          </w:tcPr>
          <w:p w:rsidR="003072DB" w:rsidRPr="003072DB" w:rsidRDefault="003072DB" w:rsidP="003072DB">
            <w:pPr>
              <w:widowControl/>
              <w:jc w:val="center"/>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排名</w:t>
            </w:r>
          </w:p>
        </w:tc>
      </w:tr>
      <w:tr w:rsidR="001F0E4B" w:rsidRPr="003072DB" w:rsidTr="003072DB">
        <w:trPr>
          <w:trHeight w:val="268"/>
        </w:trPr>
        <w:tc>
          <w:tcPr>
            <w:tcW w:w="882"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320017</w:t>
            </w:r>
          </w:p>
        </w:tc>
        <w:tc>
          <w:tcPr>
            <w:tcW w:w="3484" w:type="dxa"/>
            <w:tcBorders>
              <w:top w:val="nil"/>
              <w:left w:val="nil"/>
              <w:bottom w:val="nil"/>
              <w:right w:val="nil"/>
            </w:tcBorders>
            <w:shd w:val="clear" w:color="auto" w:fill="auto"/>
            <w:noWrap/>
            <w:vAlign w:val="center"/>
            <w:hideMark/>
          </w:tcPr>
          <w:p w:rsidR="001F0E4B" w:rsidRDefault="001F0E4B">
            <w:pPr>
              <w:jc w:val="center"/>
              <w:rPr>
                <w:rFonts w:ascii="宋体" w:eastAsia="宋体" w:hAnsi="宋体" w:cs="宋体"/>
                <w:color w:val="000000"/>
                <w:sz w:val="16"/>
                <w:szCs w:val="16"/>
              </w:rPr>
            </w:pPr>
            <w:proofErr w:type="gramStart"/>
            <w:r>
              <w:rPr>
                <w:rFonts w:hint="eastAsia"/>
                <w:color w:val="000000"/>
                <w:sz w:val="16"/>
                <w:szCs w:val="16"/>
              </w:rPr>
              <w:t>诺安全球收益</w:t>
            </w:r>
            <w:proofErr w:type="gramEnd"/>
            <w:r>
              <w:rPr>
                <w:rFonts w:hint="eastAsia"/>
                <w:color w:val="000000"/>
                <w:sz w:val="16"/>
                <w:szCs w:val="16"/>
              </w:rPr>
              <w:t>不动产（</w:t>
            </w:r>
            <w:r>
              <w:rPr>
                <w:rFonts w:hint="eastAsia"/>
                <w:color w:val="000000"/>
                <w:sz w:val="16"/>
                <w:szCs w:val="16"/>
              </w:rPr>
              <w:t>QDII</w:t>
            </w:r>
            <w:r>
              <w:rPr>
                <w:rFonts w:hint="eastAsia"/>
                <w:color w:val="000000"/>
                <w:sz w:val="16"/>
                <w:szCs w:val="16"/>
              </w:rPr>
              <w:t>）</w:t>
            </w:r>
          </w:p>
        </w:tc>
        <w:tc>
          <w:tcPr>
            <w:tcW w:w="1216"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29.52</w:t>
            </w:r>
          </w:p>
        </w:tc>
        <w:tc>
          <w:tcPr>
            <w:tcW w:w="633"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1</w:t>
            </w:r>
          </w:p>
        </w:tc>
      </w:tr>
      <w:tr w:rsidR="001F0E4B" w:rsidRPr="003072DB" w:rsidTr="003072DB">
        <w:trPr>
          <w:trHeight w:val="268"/>
        </w:trPr>
        <w:tc>
          <w:tcPr>
            <w:tcW w:w="882"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hint="eastAsia"/>
                <w:color w:val="000000"/>
                <w:sz w:val="16"/>
                <w:szCs w:val="16"/>
              </w:rPr>
              <w:t>000</w:t>
            </w:r>
            <w:r>
              <w:rPr>
                <w:rFonts w:ascii="Calibri" w:hAnsi="Calibri" w:cs="Calibri"/>
                <w:color w:val="000000"/>
                <w:sz w:val="16"/>
                <w:szCs w:val="16"/>
              </w:rPr>
              <w:t>179</w:t>
            </w:r>
          </w:p>
        </w:tc>
        <w:tc>
          <w:tcPr>
            <w:tcW w:w="3484" w:type="dxa"/>
            <w:tcBorders>
              <w:top w:val="nil"/>
              <w:left w:val="nil"/>
              <w:bottom w:val="nil"/>
              <w:right w:val="nil"/>
            </w:tcBorders>
            <w:shd w:val="clear" w:color="auto" w:fill="auto"/>
            <w:noWrap/>
            <w:vAlign w:val="center"/>
            <w:hideMark/>
          </w:tcPr>
          <w:p w:rsidR="001F0E4B" w:rsidRDefault="001F0E4B">
            <w:pPr>
              <w:jc w:val="center"/>
              <w:rPr>
                <w:rFonts w:ascii="宋体" w:eastAsia="宋体" w:hAnsi="宋体" w:cs="宋体"/>
                <w:color w:val="000000"/>
                <w:sz w:val="16"/>
                <w:szCs w:val="16"/>
              </w:rPr>
            </w:pPr>
            <w:r>
              <w:rPr>
                <w:rFonts w:hint="eastAsia"/>
                <w:color w:val="000000"/>
                <w:sz w:val="16"/>
                <w:szCs w:val="16"/>
              </w:rPr>
              <w:t>广发美国房地产指数</w:t>
            </w:r>
          </w:p>
        </w:tc>
        <w:tc>
          <w:tcPr>
            <w:tcW w:w="1216"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26.82</w:t>
            </w:r>
          </w:p>
        </w:tc>
        <w:tc>
          <w:tcPr>
            <w:tcW w:w="633"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2</w:t>
            </w:r>
          </w:p>
        </w:tc>
      </w:tr>
      <w:tr w:rsidR="001F0E4B" w:rsidRPr="003072DB" w:rsidTr="003072DB">
        <w:trPr>
          <w:trHeight w:val="268"/>
        </w:trPr>
        <w:tc>
          <w:tcPr>
            <w:tcW w:w="882"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206011</w:t>
            </w:r>
          </w:p>
        </w:tc>
        <w:tc>
          <w:tcPr>
            <w:tcW w:w="3484" w:type="dxa"/>
            <w:tcBorders>
              <w:top w:val="nil"/>
              <w:left w:val="nil"/>
              <w:bottom w:val="nil"/>
              <w:right w:val="nil"/>
            </w:tcBorders>
            <w:shd w:val="clear" w:color="auto" w:fill="auto"/>
            <w:noWrap/>
            <w:vAlign w:val="center"/>
            <w:hideMark/>
          </w:tcPr>
          <w:p w:rsidR="001F0E4B" w:rsidRDefault="001F0E4B">
            <w:pPr>
              <w:jc w:val="center"/>
              <w:rPr>
                <w:rFonts w:ascii="宋体" w:eastAsia="宋体" w:hAnsi="宋体" w:cs="宋体"/>
                <w:color w:val="000000"/>
                <w:sz w:val="16"/>
                <w:szCs w:val="16"/>
              </w:rPr>
            </w:pPr>
            <w:r>
              <w:rPr>
                <w:rFonts w:hint="eastAsia"/>
                <w:color w:val="000000"/>
                <w:sz w:val="16"/>
                <w:szCs w:val="16"/>
              </w:rPr>
              <w:t>鹏华美国房地产</w:t>
            </w:r>
            <w:r>
              <w:rPr>
                <w:rFonts w:hint="eastAsia"/>
                <w:color w:val="000000"/>
                <w:sz w:val="16"/>
                <w:szCs w:val="16"/>
              </w:rPr>
              <w:t>(QDII)</w:t>
            </w:r>
          </w:p>
        </w:tc>
        <w:tc>
          <w:tcPr>
            <w:tcW w:w="1216"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20.52</w:t>
            </w:r>
          </w:p>
        </w:tc>
        <w:tc>
          <w:tcPr>
            <w:tcW w:w="633"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3</w:t>
            </w:r>
          </w:p>
        </w:tc>
      </w:tr>
      <w:tr w:rsidR="001F0E4B" w:rsidRPr="003072DB" w:rsidTr="003072DB">
        <w:trPr>
          <w:trHeight w:val="268"/>
        </w:trPr>
        <w:tc>
          <w:tcPr>
            <w:tcW w:w="882"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hint="eastAsia"/>
                <w:color w:val="000000"/>
                <w:sz w:val="16"/>
                <w:szCs w:val="16"/>
              </w:rPr>
              <w:t>0</w:t>
            </w:r>
            <w:r>
              <w:rPr>
                <w:rFonts w:ascii="Calibri" w:hAnsi="Calibri" w:cs="Calibri"/>
                <w:color w:val="000000"/>
                <w:sz w:val="16"/>
                <w:szCs w:val="16"/>
              </w:rPr>
              <w:t>70031</w:t>
            </w:r>
          </w:p>
        </w:tc>
        <w:tc>
          <w:tcPr>
            <w:tcW w:w="3484" w:type="dxa"/>
            <w:tcBorders>
              <w:top w:val="nil"/>
              <w:left w:val="nil"/>
              <w:bottom w:val="nil"/>
              <w:right w:val="nil"/>
            </w:tcBorders>
            <w:shd w:val="clear" w:color="auto" w:fill="auto"/>
            <w:noWrap/>
            <w:vAlign w:val="center"/>
            <w:hideMark/>
          </w:tcPr>
          <w:p w:rsidR="001F0E4B" w:rsidRDefault="001F0E4B">
            <w:pPr>
              <w:jc w:val="center"/>
              <w:rPr>
                <w:rFonts w:ascii="宋体" w:eastAsia="宋体" w:hAnsi="宋体" w:cs="宋体"/>
                <w:color w:val="000000"/>
                <w:sz w:val="16"/>
                <w:szCs w:val="16"/>
              </w:rPr>
            </w:pPr>
            <w:r>
              <w:rPr>
                <w:rFonts w:hint="eastAsia"/>
                <w:color w:val="000000"/>
                <w:sz w:val="16"/>
                <w:szCs w:val="16"/>
              </w:rPr>
              <w:t>嘉</w:t>
            </w:r>
            <w:proofErr w:type="gramStart"/>
            <w:r>
              <w:rPr>
                <w:rFonts w:hint="eastAsia"/>
                <w:color w:val="000000"/>
                <w:sz w:val="16"/>
                <w:szCs w:val="16"/>
              </w:rPr>
              <w:t>实全球</w:t>
            </w:r>
            <w:proofErr w:type="gramEnd"/>
            <w:r>
              <w:rPr>
                <w:rFonts w:hint="eastAsia"/>
                <w:color w:val="000000"/>
                <w:sz w:val="16"/>
                <w:szCs w:val="16"/>
              </w:rPr>
              <w:t>房地产</w:t>
            </w:r>
            <w:r>
              <w:rPr>
                <w:rFonts w:hint="eastAsia"/>
                <w:color w:val="000000"/>
                <w:sz w:val="16"/>
                <w:szCs w:val="16"/>
              </w:rPr>
              <w:t>(QDII)</w:t>
            </w:r>
          </w:p>
        </w:tc>
        <w:tc>
          <w:tcPr>
            <w:tcW w:w="1216"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18.29</w:t>
            </w:r>
          </w:p>
        </w:tc>
        <w:tc>
          <w:tcPr>
            <w:tcW w:w="633" w:type="dxa"/>
            <w:tcBorders>
              <w:top w:val="nil"/>
              <w:left w:val="nil"/>
              <w:bottom w:val="nil"/>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4</w:t>
            </w:r>
          </w:p>
        </w:tc>
      </w:tr>
      <w:tr w:rsidR="001F0E4B" w:rsidRPr="003072DB" w:rsidTr="003072DB">
        <w:trPr>
          <w:trHeight w:val="283"/>
        </w:trPr>
        <w:tc>
          <w:tcPr>
            <w:tcW w:w="882" w:type="dxa"/>
            <w:tcBorders>
              <w:top w:val="nil"/>
              <w:left w:val="nil"/>
              <w:bottom w:val="single" w:sz="8" w:space="0" w:color="E46D0A"/>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160213</w:t>
            </w:r>
          </w:p>
        </w:tc>
        <w:tc>
          <w:tcPr>
            <w:tcW w:w="3484" w:type="dxa"/>
            <w:tcBorders>
              <w:top w:val="nil"/>
              <w:left w:val="nil"/>
              <w:bottom w:val="single" w:sz="8" w:space="0" w:color="E46D0A"/>
              <w:right w:val="nil"/>
            </w:tcBorders>
            <w:shd w:val="clear" w:color="auto" w:fill="auto"/>
            <w:noWrap/>
            <w:vAlign w:val="center"/>
            <w:hideMark/>
          </w:tcPr>
          <w:p w:rsidR="001F0E4B" w:rsidRDefault="001F0E4B">
            <w:pPr>
              <w:jc w:val="center"/>
              <w:rPr>
                <w:rFonts w:ascii="宋体" w:eastAsia="宋体" w:hAnsi="宋体" w:cs="宋体"/>
                <w:color w:val="000000"/>
                <w:sz w:val="16"/>
                <w:szCs w:val="16"/>
              </w:rPr>
            </w:pPr>
            <w:r>
              <w:rPr>
                <w:rFonts w:hint="eastAsia"/>
                <w:color w:val="000000"/>
                <w:sz w:val="16"/>
                <w:szCs w:val="16"/>
              </w:rPr>
              <w:t>国泰纳斯达克</w:t>
            </w:r>
            <w:r>
              <w:rPr>
                <w:rFonts w:hint="eastAsia"/>
                <w:color w:val="000000"/>
                <w:sz w:val="16"/>
                <w:szCs w:val="16"/>
              </w:rPr>
              <w:t>100</w:t>
            </w:r>
            <w:r>
              <w:rPr>
                <w:rFonts w:hint="eastAsia"/>
                <w:color w:val="000000"/>
                <w:sz w:val="16"/>
                <w:szCs w:val="16"/>
              </w:rPr>
              <w:t>指数</w:t>
            </w:r>
            <w:r>
              <w:rPr>
                <w:rFonts w:hint="eastAsia"/>
                <w:color w:val="000000"/>
                <w:sz w:val="16"/>
                <w:szCs w:val="16"/>
              </w:rPr>
              <w:t>(QDII)</w:t>
            </w:r>
          </w:p>
        </w:tc>
        <w:tc>
          <w:tcPr>
            <w:tcW w:w="1216" w:type="dxa"/>
            <w:tcBorders>
              <w:top w:val="nil"/>
              <w:left w:val="nil"/>
              <w:bottom w:val="single" w:sz="8" w:space="0" w:color="E46D0A"/>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17.36</w:t>
            </w:r>
          </w:p>
        </w:tc>
        <w:tc>
          <w:tcPr>
            <w:tcW w:w="633" w:type="dxa"/>
            <w:tcBorders>
              <w:top w:val="nil"/>
              <w:left w:val="nil"/>
              <w:bottom w:val="single" w:sz="8" w:space="0" w:color="E46D0A"/>
              <w:right w:val="nil"/>
            </w:tcBorders>
            <w:shd w:val="clear" w:color="auto" w:fill="auto"/>
            <w:noWrap/>
            <w:vAlign w:val="center"/>
            <w:hideMark/>
          </w:tcPr>
          <w:p w:rsidR="001F0E4B" w:rsidRDefault="001F0E4B">
            <w:pPr>
              <w:jc w:val="center"/>
              <w:rPr>
                <w:rFonts w:ascii="Calibri" w:eastAsia="宋体" w:hAnsi="Calibri" w:cs="Calibri"/>
                <w:color w:val="000000"/>
                <w:sz w:val="16"/>
                <w:szCs w:val="16"/>
              </w:rPr>
            </w:pPr>
            <w:r>
              <w:rPr>
                <w:rFonts w:ascii="Calibri" w:hAnsi="Calibri" w:cs="Calibri"/>
                <w:color w:val="000000"/>
                <w:sz w:val="16"/>
                <w:szCs w:val="16"/>
              </w:rPr>
              <w:t>5</w:t>
            </w:r>
          </w:p>
        </w:tc>
      </w:tr>
      <w:tr w:rsidR="003072DB" w:rsidRPr="003072DB" w:rsidTr="003953B6">
        <w:trPr>
          <w:trHeight w:val="283"/>
        </w:trPr>
        <w:tc>
          <w:tcPr>
            <w:tcW w:w="4366" w:type="dxa"/>
            <w:gridSpan w:val="2"/>
            <w:tcBorders>
              <w:top w:val="single" w:sz="8" w:space="0" w:color="E46D0A"/>
              <w:left w:val="nil"/>
              <w:bottom w:val="single" w:sz="8" w:space="0" w:color="E46D0A"/>
              <w:right w:val="nil"/>
            </w:tcBorders>
            <w:shd w:val="clear" w:color="auto" w:fill="auto"/>
            <w:noWrap/>
            <w:vAlign w:val="center"/>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来源：</w:t>
            </w:r>
            <w:proofErr w:type="gramStart"/>
            <w:r w:rsidRPr="003072DB">
              <w:rPr>
                <w:rFonts w:ascii="宋体" w:eastAsia="宋体" w:hAnsi="宋体" w:cs="宋体" w:hint="eastAsia"/>
                <w:color w:val="000000"/>
                <w:kern w:val="0"/>
                <w:sz w:val="16"/>
                <w:szCs w:val="16"/>
              </w:rPr>
              <w:t>凯</w:t>
            </w:r>
            <w:proofErr w:type="gramEnd"/>
            <w:r w:rsidRPr="003072DB">
              <w:rPr>
                <w:rFonts w:ascii="宋体" w:eastAsia="宋体" w:hAnsi="宋体" w:cs="宋体" w:hint="eastAsia"/>
                <w:color w:val="000000"/>
                <w:kern w:val="0"/>
                <w:sz w:val="16"/>
                <w:szCs w:val="16"/>
              </w:rPr>
              <w:t>石财富工场</w:t>
            </w:r>
          </w:p>
        </w:tc>
        <w:tc>
          <w:tcPr>
            <w:tcW w:w="1216" w:type="dxa"/>
            <w:tcBorders>
              <w:top w:val="nil"/>
              <w:left w:val="nil"/>
              <w:bottom w:val="nil"/>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c>
          <w:tcPr>
            <w:tcW w:w="633" w:type="dxa"/>
            <w:tcBorders>
              <w:top w:val="nil"/>
              <w:left w:val="nil"/>
              <w:bottom w:val="nil"/>
              <w:right w:val="nil"/>
            </w:tcBorders>
            <w:shd w:val="clear" w:color="auto" w:fill="auto"/>
            <w:noWrap/>
            <w:vAlign w:val="bottom"/>
            <w:hideMark/>
          </w:tcPr>
          <w:p w:rsidR="003072DB" w:rsidRPr="003072DB" w:rsidRDefault="003072DB" w:rsidP="003072DB">
            <w:pPr>
              <w:widowControl/>
              <w:jc w:val="left"/>
              <w:rPr>
                <w:rFonts w:ascii="宋体" w:eastAsia="宋体" w:hAnsi="宋体" w:cs="宋体"/>
                <w:color w:val="000000"/>
                <w:kern w:val="0"/>
                <w:sz w:val="16"/>
                <w:szCs w:val="16"/>
              </w:rPr>
            </w:pPr>
            <w:r w:rsidRPr="003072DB">
              <w:rPr>
                <w:rFonts w:ascii="宋体" w:eastAsia="宋体" w:hAnsi="宋体" w:cs="宋体" w:hint="eastAsia"/>
                <w:color w:val="000000"/>
                <w:kern w:val="0"/>
                <w:sz w:val="16"/>
                <w:szCs w:val="16"/>
              </w:rPr>
              <w:t xml:space="preserve">　</w:t>
            </w:r>
          </w:p>
        </w:tc>
      </w:tr>
    </w:tbl>
    <w:p w:rsidR="003072DB" w:rsidRDefault="003072DB" w:rsidP="003072DB">
      <w:pPr>
        <w:pStyle w:val="ab"/>
        <w:spacing w:after="163"/>
        <w:ind w:left="3799"/>
        <w:rPr>
          <w:rFonts w:eastAsia="楷体_GB2312"/>
          <w:color w:val="auto"/>
        </w:rPr>
      </w:pPr>
    </w:p>
    <w:p w:rsidR="003072DB" w:rsidRDefault="003072DB" w:rsidP="003072DB">
      <w:pPr>
        <w:pStyle w:val="ab"/>
        <w:spacing w:after="163"/>
        <w:ind w:left="3799"/>
        <w:rPr>
          <w:rFonts w:eastAsia="楷体_GB2312"/>
          <w:color w:val="auto"/>
        </w:rPr>
      </w:pPr>
    </w:p>
    <w:p w:rsidR="003072DB" w:rsidRDefault="003072DB" w:rsidP="003072DB">
      <w:pPr>
        <w:pStyle w:val="ab"/>
        <w:spacing w:after="163"/>
        <w:ind w:left="3799"/>
        <w:rPr>
          <w:rFonts w:eastAsia="楷体_GB2312"/>
          <w:color w:val="auto"/>
        </w:rPr>
      </w:pPr>
    </w:p>
    <w:p w:rsidR="003072DB" w:rsidRDefault="003072DB" w:rsidP="003072DB">
      <w:pPr>
        <w:pStyle w:val="ab"/>
        <w:spacing w:after="163"/>
        <w:ind w:left="3799"/>
        <w:rPr>
          <w:rFonts w:eastAsia="楷体_GB2312"/>
          <w:color w:val="auto"/>
        </w:rPr>
      </w:pPr>
    </w:p>
    <w:p w:rsidR="00EC0E7D" w:rsidRPr="00CD28D7" w:rsidRDefault="00CD28D7" w:rsidP="00122F39">
      <w:pPr>
        <w:widowControl/>
        <w:spacing w:beforeLines="100" w:after="120" w:line="240" w:lineRule="exact"/>
        <w:ind w:firstLineChars="1372" w:firstLine="3306"/>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规模变动：</w:t>
      </w:r>
      <w:proofErr w:type="gramStart"/>
      <w:r w:rsidRPr="00CD28D7">
        <w:rPr>
          <w:rFonts w:ascii="Arial" w:eastAsia="楷体_GB2312" w:hAnsi="Arial" w:cs="Times New Roman" w:hint="eastAsia"/>
          <w:b/>
          <w:bCs/>
          <w:color w:val="0070C0"/>
          <w:kern w:val="0"/>
          <w:sz w:val="24"/>
          <w:szCs w:val="20"/>
          <w:lang w:val="en-GB"/>
        </w:rPr>
        <w:t>货基</w:t>
      </w:r>
      <w:r w:rsidR="00050667">
        <w:rPr>
          <w:rFonts w:ascii="Arial" w:eastAsia="楷体_GB2312" w:hAnsi="Arial" w:cs="Times New Roman" w:hint="eastAsia"/>
          <w:b/>
          <w:bCs/>
          <w:color w:val="0070C0"/>
          <w:kern w:val="0"/>
          <w:sz w:val="24"/>
          <w:szCs w:val="20"/>
          <w:lang w:val="en-GB"/>
        </w:rPr>
        <w:t>资产</w:t>
      </w:r>
      <w:proofErr w:type="gramEnd"/>
      <w:r w:rsidR="00DB3656">
        <w:rPr>
          <w:rFonts w:ascii="Arial" w:eastAsia="楷体_GB2312" w:hAnsi="Arial" w:cs="Times New Roman" w:hint="eastAsia"/>
          <w:b/>
          <w:bCs/>
          <w:color w:val="0070C0"/>
          <w:kern w:val="0"/>
          <w:sz w:val="24"/>
          <w:szCs w:val="20"/>
          <w:lang w:val="en-GB"/>
        </w:rPr>
        <w:t>快速膨胀</w:t>
      </w:r>
      <w:r w:rsidR="006E567E">
        <w:rPr>
          <w:rFonts w:ascii="Arial" w:eastAsia="楷体_GB2312" w:hAnsi="Arial" w:cs="Times New Roman" w:hint="eastAsia"/>
          <w:b/>
          <w:bCs/>
          <w:color w:val="0070C0"/>
          <w:kern w:val="0"/>
          <w:sz w:val="24"/>
          <w:szCs w:val="20"/>
          <w:lang w:val="en-GB"/>
        </w:rPr>
        <w:t>，</w:t>
      </w:r>
      <w:r w:rsidR="009A6756">
        <w:rPr>
          <w:rFonts w:ascii="Arial" w:eastAsia="楷体_GB2312" w:hAnsi="Arial" w:cs="Times New Roman" w:hint="eastAsia"/>
          <w:b/>
          <w:bCs/>
          <w:color w:val="0070C0"/>
          <w:kern w:val="0"/>
          <w:sz w:val="24"/>
          <w:szCs w:val="20"/>
          <w:lang w:val="en-GB"/>
        </w:rPr>
        <w:t>公</w:t>
      </w:r>
      <w:proofErr w:type="gramStart"/>
      <w:r w:rsidR="009A6756">
        <w:rPr>
          <w:rFonts w:ascii="Arial" w:eastAsia="楷体_GB2312" w:hAnsi="Arial" w:cs="Times New Roman" w:hint="eastAsia"/>
          <w:b/>
          <w:bCs/>
          <w:color w:val="0070C0"/>
          <w:kern w:val="0"/>
          <w:sz w:val="24"/>
          <w:szCs w:val="20"/>
          <w:lang w:val="en-GB"/>
        </w:rPr>
        <w:t>募规模</w:t>
      </w:r>
      <w:proofErr w:type="gramEnd"/>
      <w:r w:rsidR="004636DE">
        <w:rPr>
          <w:rFonts w:ascii="Arial" w:eastAsia="楷体_GB2312" w:hAnsi="Arial" w:cs="Times New Roman" w:hint="eastAsia"/>
          <w:b/>
          <w:bCs/>
          <w:color w:val="0070C0"/>
          <w:kern w:val="0"/>
          <w:sz w:val="24"/>
          <w:szCs w:val="20"/>
          <w:lang w:val="en-GB"/>
        </w:rPr>
        <w:t>增幅</w:t>
      </w:r>
      <w:r w:rsidR="009A6756">
        <w:rPr>
          <w:rFonts w:ascii="Arial" w:eastAsia="楷体_GB2312" w:hAnsi="Arial" w:cs="Times New Roman" w:hint="eastAsia"/>
          <w:b/>
          <w:bCs/>
          <w:color w:val="0070C0"/>
          <w:kern w:val="0"/>
          <w:sz w:val="24"/>
          <w:szCs w:val="20"/>
          <w:lang w:val="en-GB"/>
        </w:rPr>
        <w:t>过半</w:t>
      </w:r>
      <w:r w:rsidRPr="00CD28D7">
        <w:rPr>
          <w:rFonts w:ascii="Arial" w:eastAsia="楷体_GB2312" w:hAnsi="Arial" w:cs="Times New Roman" w:hint="eastAsia"/>
          <w:b/>
          <w:bCs/>
          <w:color w:val="0070C0"/>
          <w:kern w:val="0"/>
          <w:sz w:val="24"/>
          <w:szCs w:val="20"/>
          <w:lang w:val="en-GB"/>
        </w:rPr>
        <w:t>，</w:t>
      </w:r>
      <w:r w:rsidR="006E567E" w:rsidRPr="00CD28D7">
        <w:rPr>
          <w:rFonts w:ascii="Arial" w:eastAsia="楷体_GB2312" w:hAnsi="Arial" w:cs="Times New Roman"/>
          <w:b/>
          <w:bCs/>
          <w:color w:val="0070C0"/>
          <w:kern w:val="0"/>
          <w:sz w:val="24"/>
          <w:szCs w:val="20"/>
          <w:lang w:val="en-GB"/>
        </w:rPr>
        <w:t xml:space="preserve"> </w:t>
      </w:r>
    </w:p>
    <w:p w:rsidR="00CD28D7" w:rsidRDefault="00CD28D7" w:rsidP="00D514AF">
      <w:pPr>
        <w:pStyle w:val="ab"/>
        <w:numPr>
          <w:ilvl w:val="4"/>
          <w:numId w:val="1"/>
        </w:numPr>
        <w:spacing w:after="163"/>
        <w:rPr>
          <w:rFonts w:eastAsia="楷体_GB2312"/>
          <w:color w:val="auto"/>
        </w:rPr>
      </w:pPr>
      <w:r w:rsidRPr="00CD28D7">
        <w:rPr>
          <w:rFonts w:eastAsia="楷体_GB2312" w:hint="eastAsia"/>
          <w:color w:val="auto"/>
        </w:rPr>
        <w:t>截至</w:t>
      </w:r>
      <w:r w:rsidRPr="00CD28D7">
        <w:rPr>
          <w:rFonts w:eastAsia="楷体_GB2312" w:hint="eastAsia"/>
          <w:color w:val="auto"/>
        </w:rPr>
        <w:t>2014</w:t>
      </w:r>
      <w:r w:rsidR="003A5BD9">
        <w:rPr>
          <w:rFonts w:eastAsia="楷体_GB2312" w:hint="eastAsia"/>
          <w:color w:val="auto"/>
        </w:rPr>
        <w:t>年末</w:t>
      </w:r>
      <w:r w:rsidRPr="00CD28D7">
        <w:rPr>
          <w:rFonts w:eastAsia="楷体_GB2312" w:hint="eastAsia"/>
          <w:color w:val="auto"/>
        </w:rPr>
        <w:t>，公</w:t>
      </w:r>
      <w:proofErr w:type="gramStart"/>
      <w:r w:rsidRPr="00CD28D7">
        <w:rPr>
          <w:rFonts w:eastAsia="楷体_GB2312" w:hint="eastAsia"/>
          <w:color w:val="auto"/>
        </w:rPr>
        <w:t>募基金</w:t>
      </w:r>
      <w:proofErr w:type="gramEnd"/>
      <w:r w:rsidRPr="00CD28D7">
        <w:rPr>
          <w:rFonts w:eastAsia="楷体_GB2312" w:hint="eastAsia"/>
          <w:color w:val="auto"/>
        </w:rPr>
        <w:t>资产规模（剔除联接基金）总计达</w:t>
      </w:r>
      <w:r w:rsidR="003A5BD9" w:rsidRPr="003A5BD9">
        <w:rPr>
          <w:rFonts w:eastAsia="楷体_GB2312"/>
          <w:color w:val="auto"/>
        </w:rPr>
        <w:t>44381.03</w:t>
      </w:r>
      <w:r w:rsidRPr="00CD28D7">
        <w:rPr>
          <w:rFonts w:eastAsia="楷体_GB2312" w:hint="eastAsia"/>
          <w:color w:val="auto"/>
        </w:rPr>
        <w:t>亿元，相较去年年末</w:t>
      </w:r>
      <w:r w:rsidR="003A5BD9">
        <w:rPr>
          <w:rFonts w:eastAsia="楷体_GB2312" w:hint="eastAsia"/>
          <w:color w:val="auto"/>
          <w:lang w:val="en-US"/>
        </w:rPr>
        <w:t>大幅</w:t>
      </w:r>
      <w:r w:rsidRPr="00CD28D7">
        <w:rPr>
          <w:rFonts w:eastAsia="楷体_GB2312" w:hint="eastAsia"/>
          <w:color w:val="auto"/>
        </w:rPr>
        <w:t>增长</w:t>
      </w:r>
      <w:r w:rsidR="003A5BD9">
        <w:rPr>
          <w:rFonts w:eastAsia="楷体_GB2312" w:hint="eastAsia"/>
          <w:color w:val="auto"/>
        </w:rPr>
        <w:t>51.86</w:t>
      </w:r>
      <w:r w:rsidRPr="00CD28D7">
        <w:rPr>
          <w:rFonts w:eastAsia="楷体_GB2312" w:hint="eastAsia"/>
          <w:color w:val="auto"/>
        </w:rPr>
        <w:t>%</w:t>
      </w:r>
      <w:r w:rsidR="003A5BD9">
        <w:rPr>
          <w:rFonts w:eastAsia="楷体_GB2312" w:hint="eastAsia"/>
          <w:color w:val="auto"/>
        </w:rPr>
        <w:t>，环比今年</w:t>
      </w:r>
      <w:proofErr w:type="gramStart"/>
      <w:r w:rsidR="003A5BD9">
        <w:rPr>
          <w:rFonts w:eastAsia="楷体_GB2312" w:hint="eastAsia"/>
          <w:color w:val="auto"/>
        </w:rPr>
        <w:t>年</w:t>
      </w:r>
      <w:proofErr w:type="gramEnd"/>
      <w:r w:rsidR="003A5BD9">
        <w:rPr>
          <w:rFonts w:eastAsia="楷体_GB2312" w:hint="eastAsia"/>
          <w:color w:val="auto"/>
        </w:rPr>
        <w:t>中增长</w:t>
      </w:r>
      <w:r w:rsidR="003A5BD9">
        <w:rPr>
          <w:rFonts w:eastAsia="楷体_GB2312" w:hint="eastAsia"/>
          <w:color w:val="auto"/>
        </w:rPr>
        <w:t>25.57%</w:t>
      </w:r>
      <w:r w:rsidRPr="00CD28D7">
        <w:rPr>
          <w:rFonts w:eastAsia="楷体_GB2312" w:hint="eastAsia"/>
          <w:color w:val="auto"/>
        </w:rPr>
        <w:t>。</w:t>
      </w:r>
    </w:p>
    <w:p w:rsidR="00D06FC1" w:rsidRPr="009A6756" w:rsidRDefault="00CD28D7" w:rsidP="009A6756">
      <w:pPr>
        <w:pStyle w:val="ab"/>
        <w:numPr>
          <w:ilvl w:val="4"/>
          <w:numId w:val="1"/>
        </w:numPr>
        <w:spacing w:after="163"/>
        <w:rPr>
          <w:rFonts w:eastAsia="楷体_GB2312"/>
          <w:color w:val="auto"/>
        </w:rPr>
      </w:pPr>
      <w:r w:rsidRPr="00CD28D7">
        <w:rPr>
          <w:rFonts w:eastAsia="楷体_GB2312" w:hint="eastAsia"/>
          <w:color w:val="auto"/>
        </w:rPr>
        <w:t>从资产分布结构来看，在互联网金融热潮下，货币型基金发展迅猛，</w:t>
      </w:r>
      <w:r w:rsidR="00820CF5">
        <w:rPr>
          <w:rFonts w:eastAsia="楷体_GB2312" w:hint="eastAsia"/>
          <w:color w:val="auto"/>
        </w:rPr>
        <w:t>特别是在</w:t>
      </w:r>
      <w:r w:rsidR="00820CF5">
        <w:rPr>
          <w:rFonts w:eastAsia="楷体_GB2312" w:hint="eastAsia"/>
          <w:color w:val="auto"/>
        </w:rPr>
        <w:t>2014</w:t>
      </w:r>
      <w:r w:rsidR="00820CF5">
        <w:rPr>
          <w:rFonts w:eastAsia="楷体_GB2312" w:hint="eastAsia"/>
          <w:color w:val="auto"/>
        </w:rPr>
        <w:t>年上半年，资产规模由</w:t>
      </w:r>
      <w:r w:rsidR="00820CF5">
        <w:rPr>
          <w:rFonts w:eastAsia="楷体_GB2312" w:hint="eastAsia"/>
          <w:color w:val="auto"/>
        </w:rPr>
        <w:t>7479.46</w:t>
      </w:r>
      <w:r w:rsidR="00820CF5">
        <w:rPr>
          <w:rFonts w:eastAsia="楷体_GB2312" w:hint="eastAsia"/>
          <w:color w:val="auto"/>
        </w:rPr>
        <w:t>亿元快速膨胀至</w:t>
      </w:r>
      <w:r w:rsidR="00820CF5">
        <w:rPr>
          <w:rFonts w:eastAsia="楷体_GB2312" w:hint="eastAsia"/>
          <w:color w:val="auto"/>
        </w:rPr>
        <w:t>15852.33</w:t>
      </w:r>
      <w:r w:rsidR="00820CF5">
        <w:rPr>
          <w:rFonts w:eastAsia="楷体_GB2312" w:hint="eastAsia"/>
          <w:color w:val="auto"/>
        </w:rPr>
        <w:t>亿元</w:t>
      </w:r>
      <w:r w:rsidR="004E4FBB">
        <w:rPr>
          <w:rFonts w:eastAsia="楷体_GB2312" w:hint="eastAsia"/>
          <w:color w:val="auto"/>
        </w:rPr>
        <w:t>，</w:t>
      </w:r>
      <w:r w:rsidR="00012F26">
        <w:rPr>
          <w:rFonts w:eastAsia="楷体_GB2312" w:hint="eastAsia"/>
          <w:color w:val="auto"/>
          <w:lang w:val="en-US"/>
        </w:rPr>
        <w:t>实现倍增，进入到下半年后，增速</w:t>
      </w:r>
      <w:r w:rsidR="005704D5">
        <w:rPr>
          <w:rFonts w:eastAsia="楷体_GB2312" w:hint="eastAsia"/>
          <w:color w:val="auto"/>
          <w:lang w:val="en-US"/>
        </w:rPr>
        <w:t>虽有所放缓</w:t>
      </w:r>
      <w:r w:rsidR="00012F26">
        <w:rPr>
          <w:rFonts w:eastAsia="楷体_GB2312" w:hint="eastAsia"/>
          <w:color w:val="auto"/>
          <w:lang w:val="en-US"/>
        </w:rPr>
        <w:t>，</w:t>
      </w:r>
      <w:r w:rsidR="005704D5">
        <w:rPr>
          <w:rFonts w:eastAsia="楷体_GB2312" w:hint="eastAsia"/>
          <w:color w:val="auto"/>
          <w:lang w:val="en-US"/>
        </w:rPr>
        <w:t>但仍维持在相对高位</w:t>
      </w:r>
      <w:r w:rsidR="00495211">
        <w:rPr>
          <w:rFonts w:eastAsia="楷体_GB2312" w:hint="eastAsia"/>
          <w:color w:val="auto"/>
          <w:lang w:val="en-US"/>
        </w:rPr>
        <w:t>，截至年末货币基金资产规模同比上涨</w:t>
      </w:r>
      <w:r w:rsidR="00495211">
        <w:rPr>
          <w:rFonts w:eastAsia="楷体_GB2312" w:hint="eastAsia"/>
          <w:color w:val="auto"/>
          <w:lang w:val="en-US"/>
        </w:rPr>
        <w:t>179.06%</w:t>
      </w:r>
      <w:r w:rsidR="00495211">
        <w:rPr>
          <w:rFonts w:eastAsia="楷体_GB2312" w:hint="eastAsia"/>
          <w:color w:val="auto"/>
          <w:lang w:val="en-US"/>
        </w:rPr>
        <w:t>，公</w:t>
      </w:r>
      <w:proofErr w:type="gramStart"/>
      <w:r w:rsidR="00495211">
        <w:rPr>
          <w:rFonts w:eastAsia="楷体_GB2312" w:hint="eastAsia"/>
          <w:color w:val="auto"/>
          <w:lang w:val="en-US"/>
        </w:rPr>
        <w:t>募规模</w:t>
      </w:r>
      <w:proofErr w:type="gramEnd"/>
      <w:r w:rsidR="00495211">
        <w:rPr>
          <w:rFonts w:eastAsia="楷体_GB2312" w:hint="eastAsia"/>
          <w:color w:val="auto"/>
          <w:lang w:val="en-US"/>
        </w:rPr>
        <w:t>占比达</w:t>
      </w:r>
      <w:r w:rsidR="00495211">
        <w:rPr>
          <w:rFonts w:eastAsia="楷体_GB2312" w:hint="eastAsia"/>
          <w:color w:val="auto"/>
          <w:lang w:val="en-US"/>
        </w:rPr>
        <w:t>47.03%</w:t>
      </w:r>
      <w:r w:rsidR="00F51200">
        <w:rPr>
          <w:rFonts w:eastAsia="楷体_GB2312" w:hint="eastAsia"/>
          <w:color w:val="auto"/>
          <w:lang w:val="en-US"/>
        </w:rPr>
        <w:t>，在各类型中排名居首。此外股票基金、混合型基金资产规模分别增长</w:t>
      </w:r>
      <w:r w:rsidR="00F51200">
        <w:rPr>
          <w:rFonts w:eastAsia="楷体_GB2312" w:hint="eastAsia"/>
          <w:color w:val="auto"/>
          <w:lang w:val="en-US"/>
        </w:rPr>
        <w:t>14.55%</w:t>
      </w:r>
      <w:r w:rsidR="00F51200">
        <w:rPr>
          <w:rFonts w:eastAsia="楷体_GB2312" w:hint="eastAsia"/>
          <w:color w:val="auto"/>
          <w:lang w:val="en-US"/>
        </w:rPr>
        <w:t>、</w:t>
      </w:r>
      <w:r w:rsidR="001D7460">
        <w:rPr>
          <w:rFonts w:eastAsia="楷体_GB2312" w:hint="eastAsia"/>
          <w:color w:val="auto"/>
          <w:lang w:val="en-US"/>
        </w:rPr>
        <w:t>11.49%</w:t>
      </w:r>
      <w:r w:rsidR="001D7460">
        <w:rPr>
          <w:rFonts w:eastAsia="楷体_GB2312" w:hint="eastAsia"/>
          <w:color w:val="auto"/>
          <w:lang w:val="en-US"/>
        </w:rPr>
        <w:t>，规模占比为</w:t>
      </w:r>
      <w:r w:rsidR="001D7460">
        <w:rPr>
          <w:rFonts w:eastAsia="楷体_GB2312" w:hint="eastAsia"/>
          <w:color w:val="auto"/>
          <w:lang w:val="en-US"/>
        </w:rPr>
        <w:t>27.76%</w:t>
      </w:r>
      <w:r w:rsidR="001D7460">
        <w:rPr>
          <w:rFonts w:eastAsia="楷体_GB2312" w:hint="eastAsia"/>
          <w:color w:val="auto"/>
          <w:lang w:val="en-US"/>
        </w:rPr>
        <w:t>、</w:t>
      </w:r>
      <w:r w:rsidR="001D7460">
        <w:rPr>
          <w:rFonts w:eastAsia="楷体_GB2312" w:hint="eastAsia"/>
          <w:color w:val="auto"/>
          <w:lang w:val="en-US"/>
        </w:rPr>
        <w:t>12.96%</w:t>
      </w:r>
      <w:r w:rsidR="001D7460">
        <w:rPr>
          <w:rFonts w:eastAsia="楷体_GB2312" w:hint="eastAsia"/>
          <w:color w:val="auto"/>
          <w:lang w:val="en-US"/>
        </w:rPr>
        <w:t>。</w:t>
      </w:r>
      <w:r w:rsidRPr="00CD28D7">
        <w:rPr>
          <w:rFonts w:eastAsia="楷体_GB2312" w:hint="eastAsia"/>
          <w:color w:val="auto"/>
        </w:rPr>
        <w:t>而债券型、理财债基、保本型、</w:t>
      </w:r>
      <w:r w:rsidRPr="00CD28D7">
        <w:rPr>
          <w:rFonts w:eastAsia="楷体_GB2312" w:hint="eastAsia"/>
          <w:color w:val="auto"/>
        </w:rPr>
        <w:t>QDII</w:t>
      </w:r>
      <w:r w:rsidRPr="00CD28D7">
        <w:rPr>
          <w:rFonts w:eastAsia="楷体_GB2312" w:hint="eastAsia"/>
          <w:color w:val="auto"/>
        </w:rPr>
        <w:t>、商品型基金，规模相对较小，资产占比分别为</w:t>
      </w:r>
      <w:r w:rsidRPr="00CD28D7">
        <w:rPr>
          <w:rFonts w:eastAsia="楷体_GB2312" w:hint="eastAsia"/>
          <w:color w:val="auto"/>
        </w:rPr>
        <w:t>7.</w:t>
      </w:r>
      <w:r w:rsidR="009A6756">
        <w:rPr>
          <w:rFonts w:eastAsia="楷体_GB2312" w:hint="eastAsia"/>
          <w:color w:val="auto"/>
        </w:rPr>
        <w:t>88</w:t>
      </w:r>
      <w:r w:rsidRPr="00CD28D7">
        <w:rPr>
          <w:rFonts w:eastAsia="楷体_GB2312" w:hint="eastAsia"/>
          <w:color w:val="auto"/>
        </w:rPr>
        <w:t>%</w:t>
      </w:r>
      <w:r w:rsidRPr="00CD28D7">
        <w:rPr>
          <w:rFonts w:eastAsia="楷体_GB2312" w:hint="eastAsia"/>
          <w:color w:val="auto"/>
        </w:rPr>
        <w:t>、</w:t>
      </w:r>
      <w:r w:rsidRPr="00CD28D7">
        <w:rPr>
          <w:rFonts w:eastAsia="楷体_GB2312" w:hint="eastAsia"/>
          <w:color w:val="auto"/>
        </w:rPr>
        <w:t>2.</w:t>
      </w:r>
      <w:r w:rsidR="009A6756">
        <w:rPr>
          <w:rFonts w:eastAsia="楷体_GB2312" w:hint="eastAsia"/>
          <w:color w:val="auto"/>
        </w:rPr>
        <w:t>02</w:t>
      </w:r>
      <w:r w:rsidRPr="00CD28D7">
        <w:rPr>
          <w:rFonts w:eastAsia="楷体_GB2312" w:hint="eastAsia"/>
          <w:color w:val="auto"/>
        </w:rPr>
        <w:t>%</w:t>
      </w:r>
      <w:r w:rsidRPr="00CD28D7">
        <w:rPr>
          <w:rFonts w:eastAsia="楷体_GB2312" w:hint="eastAsia"/>
          <w:color w:val="auto"/>
        </w:rPr>
        <w:t>、</w:t>
      </w:r>
      <w:r w:rsidRPr="00CD28D7">
        <w:rPr>
          <w:rFonts w:eastAsia="楷体_GB2312" w:hint="eastAsia"/>
          <w:color w:val="auto"/>
        </w:rPr>
        <w:t>1</w:t>
      </w:r>
      <w:r w:rsidR="009A6756">
        <w:rPr>
          <w:rFonts w:eastAsia="楷体_GB2312" w:hint="eastAsia"/>
          <w:color w:val="auto"/>
        </w:rPr>
        <w:t>.10</w:t>
      </w:r>
      <w:r w:rsidRPr="00CD28D7">
        <w:rPr>
          <w:rFonts w:eastAsia="楷体_GB2312" w:hint="eastAsia"/>
          <w:color w:val="auto"/>
        </w:rPr>
        <w:t>%</w:t>
      </w:r>
      <w:r w:rsidRPr="00CD28D7">
        <w:rPr>
          <w:rFonts w:eastAsia="楷体_GB2312" w:hint="eastAsia"/>
          <w:color w:val="auto"/>
        </w:rPr>
        <w:t>、</w:t>
      </w:r>
      <w:r w:rsidR="009A6756">
        <w:rPr>
          <w:rFonts w:eastAsia="楷体_GB2312" w:hint="eastAsia"/>
          <w:color w:val="auto"/>
        </w:rPr>
        <w:t>1.06</w:t>
      </w:r>
      <w:r w:rsidRPr="00CD28D7">
        <w:rPr>
          <w:rFonts w:eastAsia="楷体_GB2312" w:hint="eastAsia"/>
          <w:color w:val="auto"/>
        </w:rPr>
        <w:t>%</w:t>
      </w:r>
      <w:r w:rsidRPr="00CD28D7">
        <w:rPr>
          <w:rFonts w:eastAsia="楷体_GB2312" w:hint="eastAsia"/>
          <w:color w:val="auto"/>
        </w:rPr>
        <w:t>以及</w:t>
      </w:r>
      <w:r w:rsidRPr="00CD28D7">
        <w:rPr>
          <w:rFonts w:eastAsia="楷体_GB2312" w:hint="eastAsia"/>
          <w:color w:val="auto"/>
        </w:rPr>
        <w:t>0.01%</w:t>
      </w:r>
      <w:r w:rsidRPr="00CD28D7">
        <w:rPr>
          <w:rFonts w:eastAsia="楷体_GB2312" w:hint="eastAsia"/>
          <w:color w:val="auto"/>
        </w:rPr>
        <w:t>。</w:t>
      </w:r>
    </w:p>
    <w:tbl>
      <w:tblPr>
        <w:tblW w:w="8480" w:type="dxa"/>
        <w:tblInd w:w="2197" w:type="dxa"/>
        <w:tblLook w:val="04A0"/>
      </w:tblPr>
      <w:tblGrid>
        <w:gridCol w:w="1791"/>
        <w:gridCol w:w="1849"/>
        <w:gridCol w:w="1720"/>
        <w:gridCol w:w="1540"/>
        <w:gridCol w:w="1580"/>
      </w:tblGrid>
      <w:tr w:rsidR="00D60944" w:rsidRPr="00D60944" w:rsidTr="00D60944">
        <w:trPr>
          <w:trHeight w:val="255"/>
        </w:trPr>
        <w:tc>
          <w:tcPr>
            <w:tcW w:w="3640" w:type="dxa"/>
            <w:gridSpan w:val="2"/>
            <w:tcBorders>
              <w:top w:val="single" w:sz="8" w:space="0" w:color="E36C0A" w:themeColor="accent6" w:themeShade="BF"/>
              <w:left w:val="nil"/>
              <w:bottom w:val="single" w:sz="8" w:space="0" w:color="E46D0A"/>
              <w:right w:val="nil"/>
            </w:tcBorders>
            <w:shd w:val="clear" w:color="auto" w:fill="auto"/>
            <w:noWrap/>
            <w:vAlign w:val="bottom"/>
            <w:hideMark/>
          </w:tcPr>
          <w:p w:rsidR="00D60944" w:rsidRPr="00D60944" w:rsidRDefault="00D60944" w:rsidP="003A5BD9">
            <w:pPr>
              <w:widowControl/>
              <w:jc w:val="left"/>
              <w:rPr>
                <w:rFonts w:ascii="宋体" w:eastAsia="宋体" w:hAnsi="宋体" w:cs="宋体"/>
                <w:b/>
                <w:bCs/>
                <w:i/>
                <w:iCs/>
                <w:color w:val="E46D0A"/>
                <w:kern w:val="0"/>
                <w:sz w:val="20"/>
                <w:szCs w:val="20"/>
              </w:rPr>
            </w:pPr>
            <w:r w:rsidRPr="00D60944">
              <w:rPr>
                <w:rFonts w:ascii="宋体" w:eastAsia="宋体" w:hAnsi="宋体" w:cs="宋体" w:hint="eastAsia"/>
                <w:b/>
                <w:bCs/>
                <w:i/>
                <w:iCs/>
                <w:color w:val="E46D0A"/>
                <w:kern w:val="0"/>
                <w:sz w:val="20"/>
                <w:szCs w:val="20"/>
              </w:rPr>
              <w:t>图表7:2014年</w:t>
            </w:r>
            <w:r w:rsidR="003A5BD9">
              <w:rPr>
                <w:rFonts w:ascii="宋体" w:eastAsia="宋体" w:hAnsi="宋体" w:cs="宋体" w:hint="eastAsia"/>
                <w:b/>
                <w:bCs/>
                <w:i/>
                <w:iCs/>
                <w:color w:val="E46D0A"/>
                <w:kern w:val="0"/>
                <w:sz w:val="20"/>
                <w:szCs w:val="20"/>
              </w:rPr>
              <w:t>各类型基金资产规模</w:t>
            </w:r>
          </w:p>
        </w:tc>
        <w:tc>
          <w:tcPr>
            <w:tcW w:w="1720" w:type="dxa"/>
            <w:tcBorders>
              <w:top w:val="single" w:sz="8" w:space="0" w:color="E36C0A" w:themeColor="accent6" w:themeShade="BF"/>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i/>
                <w:iCs/>
                <w:color w:val="000000"/>
                <w:kern w:val="0"/>
                <w:sz w:val="20"/>
                <w:szCs w:val="20"/>
              </w:rPr>
            </w:pPr>
            <w:r w:rsidRPr="00D60944">
              <w:rPr>
                <w:rFonts w:ascii="宋体" w:eastAsia="宋体" w:hAnsi="宋体" w:cs="宋体" w:hint="eastAsia"/>
                <w:i/>
                <w:iCs/>
                <w:color w:val="000000"/>
                <w:kern w:val="0"/>
                <w:sz w:val="20"/>
                <w:szCs w:val="20"/>
              </w:rPr>
              <w:t xml:space="preserve">　</w:t>
            </w:r>
          </w:p>
        </w:tc>
        <w:tc>
          <w:tcPr>
            <w:tcW w:w="1540" w:type="dxa"/>
            <w:tcBorders>
              <w:top w:val="single" w:sz="8" w:space="0" w:color="E36C0A" w:themeColor="accent6" w:themeShade="BF"/>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i/>
                <w:iCs/>
                <w:color w:val="000000"/>
                <w:kern w:val="0"/>
                <w:sz w:val="20"/>
                <w:szCs w:val="20"/>
              </w:rPr>
            </w:pPr>
            <w:r w:rsidRPr="00D60944">
              <w:rPr>
                <w:rFonts w:ascii="宋体" w:eastAsia="宋体" w:hAnsi="宋体" w:cs="宋体" w:hint="eastAsia"/>
                <w:i/>
                <w:iCs/>
                <w:color w:val="000000"/>
                <w:kern w:val="0"/>
                <w:sz w:val="20"/>
                <w:szCs w:val="20"/>
              </w:rPr>
              <w:t xml:space="preserve">　</w:t>
            </w:r>
          </w:p>
        </w:tc>
        <w:tc>
          <w:tcPr>
            <w:tcW w:w="1580" w:type="dxa"/>
            <w:tcBorders>
              <w:top w:val="single" w:sz="8" w:space="0" w:color="E36C0A" w:themeColor="accent6" w:themeShade="BF"/>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i/>
                <w:iCs/>
                <w:color w:val="000000"/>
                <w:kern w:val="0"/>
                <w:sz w:val="20"/>
                <w:szCs w:val="20"/>
              </w:rPr>
            </w:pPr>
            <w:r w:rsidRPr="00D60944">
              <w:rPr>
                <w:rFonts w:ascii="宋体" w:eastAsia="宋体" w:hAnsi="宋体" w:cs="宋体" w:hint="eastAsia"/>
                <w:i/>
                <w:iCs/>
                <w:color w:val="000000"/>
                <w:kern w:val="0"/>
                <w:sz w:val="20"/>
                <w:szCs w:val="20"/>
              </w:rPr>
              <w:t xml:space="preserve">　</w:t>
            </w:r>
          </w:p>
        </w:tc>
      </w:tr>
      <w:tr w:rsidR="00D60944" w:rsidRPr="00D60944" w:rsidTr="00D60944">
        <w:trPr>
          <w:trHeight w:val="255"/>
        </w:trPr>
        <w:tc>
          <w:tcPr>
            <w:tcW w:w="1791"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center"/>
              <w:rPr>
                <w:rFonts w:ascii="宋体" w:eastAsia="宋体" w:hAnsi="宋体" w:cs="宋体"/>
                <w:b/>
                <w:bCs/>
                <w:kern w:val="0"/>
                <w:sz w:val="16"/>
                <w:szCs w:val="16"/>
              </w:rPr>
            </w:pPr>
            <w:r w:rsidRPr="00D60944">
              <w:rPr>
                <w:rFonts w:ascii="宋体" w:eastAsia="宋体" w:hAnsi="宋体" w:cs="宋体" w:hint="eastAsia"/>
                <w:b/>
                <w:bCs/>
                <w:kern w:val="0"/>
                <w:sz w:val="16"/>
                <w:szCs w:val="16"/>
              </w:rPr>
              <w:t>基金类型</w:t>
            </w:r>
          </w:p>
        </w:tc>
        <w:tc>
          <w:tcPr>
            <w:tcW w:w="1849" w:type="dxa"/>
            <w:tcBorders>
              <w:top w:val="nil"/>
              <w:left w:val="nil"/>
              <w:bottom w:val="single" w:sz="8" w:space="0" w:color="E46D0A"/>
              <w:right w:val="nil"/>
            </w:tcBorders>
            <w:shd w:val="clear" w:color="auto" w:fill="auto"/>
            <w:noWrap/>
            <w:vAlign w:val="center"/>
            <w:hideMark/>
          </w:tcPr>
          <w:p w:rsidR="00D60944" w:rsidRPr="00D60944" w:rsidRDefault="00D60944" w:rsidP="00D60944">
            <w:pPr>
              <w:widowControl/>
              <w:jc w:val="center"/>
              <w:rPr>
                <w:rFonts w:ascii="宋体" w:eastAsia="宋体" w:hAnsi="宋体" w:cs="宋体"/>
                <w:b/>
                <w:bCs/>
                <w:color w:val="000000"/>
                <w:kern w:val="0"/>
                <w:sz w:val="16"/>
                <w:szCs w:val="16"/>
              </w:rPr>
            </w:pPr>
            <w:r w:rsidRPr="00D60944">
              <w:rPr>
                <w:rFonts w:ascii="宋体" w:eastAsia="宋体" w:hAnsi="宋体" w:cs="宋体" w:hint="eastAsia"/>
                <w:b/>
                <w:bCs/>
                <w:color w:val="000000"/>
                <w:kern w:val="0"/>
                <w:sz w:val="16"/>
                <w:szCs w:val="16"/>
              </w:rPr>
              <w:t>2014年</w:t>
            </w:r>
            <w:r w:rsidR="00CF6458">
              <w:rPr>
                <w:rFonts w:ascii="宋体" w:eastAsia="宋体" w:hAnsi="宋体" w:cs="宋体" w:hint="eastAsia"/>
                <w:b/>
                <w:bCs/>
                <w:color w:val="000000"/>
                <w:kern w:val="0"/>
                <w:sz w:val="16"/>
                <w:szCs w:val="16"/>
              </w:rPr>
              <w:t>底</w:t>
            </w:r>
            <w:r w:rsidRPr="00D60944">
              <w:rPr>
                <w:rFonts w:ascii="宋体" w:eastAsia="宋体" w:hAnsi="宋体" w:cs="宋体" w:hint="eastAsia"/>
                <w:b/>
                <w:bCs/>
                <w:color w:val="000000"/>
                <w:kern w:val="0"/>
                <w:sz w:val="16"/>
                <w:szCs w:val="16"/>
              </w:rPr>
              <w:t>（亿元）</w:t>
            </w:r>
          </w:p>
        </w:tc>
        <w:tc>
          <w:tcPr>
            <w:tcW w:w="1720" w:type="dxa"/>
            <w:tcBorders>
              <w:top w:val="nil"/>
              <w:left w:val="nil"/>
              <w:bottom w:val="single" w:sz="8" w:space="0" w:color="E46D0A"/>
              <w:right w:val="nil"/>
            </w:tcBorders>
            <w:shd w:val="clear" w:color="auto" w:fill="auto"/>
            <w:noWrap/>
            <w:vAlign w:val="center"/>
            <w:hideMark/>
          </w:tcPr>
          <w:p w:rsidR="00D60944" w:rsidRPr="00D60944" w:rsidRDefault="00D60944" w:rsidP="00D60944">
            <w:pPr>
              <w:widowControl/>
              <w:jc w:val="center"/>
              <w:rPr>
                <w:rFonts w:ascii="宋体" w:eastAsia="宋体" w:hAnsi="宋体" w:cs="宋体"/>
                <w:b/>
                <w:bCs/>
                <w:color w:val="000000"/>
                <w:kern w:val="0"/>
                <w:sz w:val="16"/>
                <w:szCs w:val="16"/>
              </w:rPr>
            </w:pPr>
            <w:r w:rsidRPr="00D60944">
              <w:rPr>
                <w:rFonts w:ascii="宋体" w:eastAsia="宋体" w:hAnsi="宋体" w:cs="宋体" w:hint="eastAsia"/>
                <w:b/>
                <w:bCs/>
                <w:color w:val="000000"/>
                <w:kern w:val="0"/>
                <w:sz w:val="16"/>
                <w:szCs w:val="16"/>
              </w:rPr>
              <w:t>2013年底（亿元）</w:t>
            </w:r>
          </w:p>
        </w:tc>
        <w:tc>
          <w:tcPr>
            <w:tcW w:w="1540" w:type="dxa"/>
            <w:tcBorders>
              <w:top w:val="nil"/>
              <w:left w:val="nil"/>
              <w:bottom w:val="single" w:sz="8" w:space="0" w:color="E46D0A"/>
              <w:right w:val="nil"/>
            </w:tcBorders>
            <w:shd w:val="clear" w:color="auto" w:fill="auto"/>
            <w:noWrap/>
            <w:vAlign w:val="center"/>
            <w:hideMark/>
          </w:tcPr>
          <w:p w:rsidR="00D60944" w:rsidRPr="00D60944" w:rsidRDefault="00D60944" w:rsidP="00D60944">
            <w:pPr>
              <w:widowControl/>
              <w:jc w:val="center"/>
              <w:rPr>
                <w:rFonts w:ascii="宋体" w:eastAsia="宋体" w:hAnsi="宋体" w:cs="宋体"/>
                <w:b/>
                <w:bCs/>
                <w:color w:val="000000"/>
                <w:kern w:val="0"/>
                <w:sz w:val="16"/>
                <w:szCs w:val="16"/>
              </w:rPr>
            </w:pPr>
            <w:r w:rsidRPr="00D60944">
              <w:rPr>
                <w:rFonts w:ascii="宋体" w:eastAsia="宋体" w:hAnsi="宋体" w:cs="宋体" w:hint="eastAsia"/>
                <w:b/>
                <w:bCs/>
                <w:color w:val="000000"/>
                <w:kern w:val="0"/>
                <w:sz w:val="16"/>
                <w:szCs w:val="16"/>
              </w:rPr>
              <w:t>变动额（亿元）</w:t>
            </w:r>
          </w:p>
        </w:tc>
        <w:tc>
          <w:tcPr>
            <w:tcW w:w="1580" w:type="dxa"/>
            <w:tcBorders>
              <w:top w:val="nil"/>
              <w:left w:val="nil"/>
              <w:bottom w:val="single" w:sz="8" w:space="0" w:color="E46D0A"/>
              <w:right w:val="nil"/>
            </w:tcBorders>
            <w:shd w:val="clear" w:color="auto" w:fill="auto"/>
            <w:noWrap/>
            <w:vAlign w:val="center"/>
            <w:hideMark/>
          </w:tcPr>
          <w:p w:rsidR="00D60944" w:rsidRPr="00D60944" w:rsidRDefault="00D60944" w:rsidP="00D60944">
            <w:pPr>
              <w:widowControl/>
              <w:jc w:val="center"/>
              <w:rPr>
                <w:rFonts w:ascii="宋体" w:eastAsia="宋体" w:hAnsi="宋体" w:cs="宋体"/>
                <w:b/>
                <w:bCs/>
                <w:color w:val="000000"/>
                <w:kern w:val="0"/>
                <w:sz w:val="16"/>
                <w:szCs w:val="16"/>
              </w:rPr>
            </w:pPr>
            <w:r w:rsidRPr="00D60944">
              <w:rPr>
                <w:rFonts w:ascii="宋体" w:eastAsia="宋体" w:hAnsi="宋体" w:cs="宋体" w:hint="eastAsia"/>
                <w:b/>
                <w:bCs/>
                <w:color w:val="000000"/>
                <w:kern w:val="0"/>
                <w:sz w:val="16"/>
                <w:szCs w:val="16"/>
              </w:rPr>
              <w:t>变动幅度</w:t>
            </w:r>
          </w:p>
        </w:tc>
      </w:tr>
      <w:tr w:rsidR="00F30ADC" w:rsidRPr="00D60944" w:rsidTr="00A91FFA">
        <w:trPr>
          <w:trHeight w:val="240"/>
        </w:trPr>
        <w:tc>
          <w:tcPr>
            <w:tcW w:w="1791" w:type="dxa"/>
            <w:tcBorders>
              <w:top w:val="nil"/>
              <w:left w:val="nil"/>
              <w:bottom w:val="nil"/>
              <w:right w:val="nil"/>
            </w:tcBorders>
            <w:shd w:val="clear" w:color="auto" w:fill="auto"/>
            <w:noWrap/>
            <w:vAlign w:val="bottom"/>
            <w:hideMark/>
          </w:tcPr>
          <w:p w:rsidR="00F30ADC" w:rsidRPr="00D60944" w:rsidRDefault="00F30ADC"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股票型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12320.87</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10756.03</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1564.84</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14.55%</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 xml:space="preserve">  封闭式股票型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179.71</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517.94</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-338.23</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-65.30%</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 xml:space="preserve">  开放式股票型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12141.16</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10238.09</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1903.07</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18.59%</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 xml:space="preserve">      主动股票型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4807.71</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2872.76</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1934.96</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67.36%</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 xml:space="preserve">      指数型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7333.45</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7365.34</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-31.89</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-0.43%</w:t>
            </w:r>
          </w:p>
        </w:tc>
      </w:tr>
      <w:tr w:rsidR="00F30ADC" w:rsidRPr="00D60944" w:rsidTr="00A91FFA">
        <w:trPr>
          <w:trHeight w:val="240"/>
        </w:trPr>
        <w:tc>
          <w:tcPr>
            <w:tcW w:w="1791" w:type="dxa"/>
            <w:tcBorders>
              <w:top w:val="nil"/>
              <w:left w:val="nil"/>
              <w:bottom w:val="nil"/>
              <w:right w:val="nil"/>
            </w:tcBorders>
            <w:shd w:val="clear" w:color="auto" w:fill="auto"/>
            <w:noWrap/>
            <w:vAlign w:val="bottom"/>
            <w:hideMark/>
          </w:tcPr>
          <w:p w:rsidR="00F30ADC" w:rsidRPr="00D60944" w:rsidRDefault="00F30ADC"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混合型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5753.53</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5160.75</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592.78</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11.49%</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债券型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3495.86</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3413.24</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82.61</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2.42%</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proofErr w:type="gramStart"/>
            <w:r w:rsidRPr="00D60944">
              <w:rPr>
                <w:rFonts w:ascii="宋体" w:eastAsia="宋体" w:hAnsi="宋体" w:cs="宋体" w:hint="eastAsia"/>
                <w:kern w:val="0"/>
                <w:sz w:val="16"/>
                <w:szCs w:val="16"/>
              </w:rPr>
              <w:t>理财债基</w:t>
            </w:r>
            <w:proofErr w:type="gramEnd"/>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977.20</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1325.92</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-348.72</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-26.30%</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货币型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20872.38</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7479.46</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13392.92</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179.06%</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保本型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489.11</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531.78</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-42.67</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-8.02%</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商品型</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2.47</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4.30</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-1.83</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-42.50%</w:t>
            </w:r>
          </w:p>
        </w:tc>
      </w:tr>
      <w:tr w:rsidR="00F30ADC" w:rsidRPr="00D60944" w:rsidTr="00A91FFA">
        <w:trPr>
          <w:trHeight w:val="240"/>
        </w:trPr>
        <w:tc>
          <w:tcPr>
            <w:tcW w:w="1791" w:type="dxa"/>
            <w:tcBorders>
              <w:top w:val="nil"/>
              <w:left w:val="nil"/>
              <w:bottom w:val="nil"/>
              <w:right w:val="nil"/>
            </w:tcBorders>
            <w:shd w:val="clear" w:color="auto" w:fill="auto"/>
            <w:noWrap/>
            <w:vAlign w:val="center"/>
            <w:hideMark/>
          </w:tcPr>
          <w:p w:rsidR="00F30ADC" w:rsidRPr="00D60944" w:rsidRDefault="00F30ADC" w:rsidP="00D60944">
            <w:pPr>
              <w:widowControl/>
              <w:jc w:val="left"/>
              <w:rPr>
                <w:rFonts w:ascii="宋体" w:eastAsia="宋体" w:hAnsi="宋体" w:cs="宋体"/>
                <w:kern w:val="0"/>
                <w:sz w:val="16"/>
                <w:szCs w:val="16"/>
              </w:rPr>
            </w:pPr>
            <w:r w:rsidRPr="00D60944">
              <w:rPr>
                <w:rFonts w:ascii="宋体" w:eastAsia="宋体" w:hAnsi="宋体" w:cs="宋体" w:hint="eastAsia"/>
                <w:kern w:val="0"/>
                <w:sz w:val="16"/>
                <w:szCs w:val="16"/>
              </w:rPr>
              <w:t>QDII</w:t>
            </w:r>
          </w:p>
        </w:tc>
        <w:tc>
          <w:tcPr>
            <w:tcW w:w="1849"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469.63</w:t>
            </w:r>
          </w:p>
        </w:tc>
        <w:tc>
          <w:tcPr>
            <w:tcW w:w="172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587.44</w:t>
            </w:r>
          </w:p>
        </w:tc>
        <w:tc>
          <w:tcPr>
            <w:tcW w:w="154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-117.81</w:t>
            </w:r>
          </w:p>
        </w:tc>
        <w:tc>
          <w:tcPr>
            <w:tcW w:w="1580" w:type="dxa"/>
            <w:tcBorders>
              <w:top w:val="nil"/>
              <w:left w:val="nil"/>
              <w:bottom w:val="nil"/>
              <w:right w:val="nil"/>
            </w:tcBorders>
            <w:shd w:val="clear" w:color="auto" w:fill="auto"/>
            <w:noWrap/>
            <w:vAlign w:val="bottom"/>
            <w:hideMark/>
          </w:tcPr>
          <w:p w:rsidR="00F30ADC" w:rsidRPr="00F30ADC" w:rsidRDefault="00F30ADC" w:rsidP="00F30ADC">
            <w:pPr>
              <w:jc w:val="center"/>
              <w:rPr>
                <w:rFonts w:eastAsia="宋体" w:cs="宋体"/>
                <w:color w:val="000000"/>
                <w:sz w:val="16"/>
                <w:szCs w:val="16"/>
              </w:rPr>
            </w:pPr>
            <w:r w:rsidRPr="00F30ADC">
              <w:rPr>
                <w:color w:val="000000"/>
                <w:sz w:val="16"/>
                <w:szCs w:val="16"/>
              </w:rPr>
              <w:t>-20.06%</w:t>
            </w:r>
          </w:p>
        </w:tc>
      </w:tr>
      <w:tr w:rsidR="00F30ADC" w:rsidRPr="00D60944" w:rsidTr="00A91FFA">
        <w:trPr>
          <w:trHeight w:val="255"/>
        </w:trPr>
        <w:tc>
          <w:tcPr>
            <w:tcW w:w="1791" w:type="dxa"/>
            <w:tcBorders>
              <w:top w:val="nil"/>
              <w:left w:val="nil"/>
              <w:bottom w:val="single" w:sz="8" w:space="0" w:color="E46D0A"/>
              <w:right w:val="nil"/>
            </w:tcBorders>
            <w:shd w:val="clear" w:color="auto" w:fill="auto"/>
            <w:noWrap/>
            <w:vAlign w:val="center"/>
            <w:hideMark/>
          </w:tcPr>
          <w:p w:rsidR="00F30ADC" w:rsidRPr="00D60944" w:rsidRDefault="00F30ADC" w:rsidP="00D60944">
            <w:pPr>
              <w:widowControl/>
              <w:jc w:val="center"/>
              <w:rPr>
                <w:rFonts w:ascii="宋体" w:eastAsia="宋体" w:hAnsi="宋体" w:cs="宋体"/>
                <w:b/>
                <w:bCs/>
                <w:color w:val="000000"/>
                <w:kern w:val="0"/>
                <w:sz w:val="16"/>
                <w:szCs w:val="16"/>
              </w:rPr>
            </w:pPr>
            <w:r w:rsidRPr="00D60944">
              <w:rPr>
                <w:rFonts w:ascii="宋体" w:eastAsia="宋体" w:hAnsi="宋体" w:cs="宋体" w:hint="eastAsia"/>
                <w:b/>
                <w:bCs/>
                <w:color w:val="000000"/>
                <w:kern w:val="0"/>
                <w:sz w:val="16"/>
                <w:szCs w:val="16"/>
              </w:rPr>
              <w:t>总计</w:t>
            </w:r>
          </w:p>
        </w:tc>
        <w:tc>
          <w:tcPr>
            <w:tcW w:w="1849" w:type="dxa"/>
            <w:tcBorders>
              <w:top w:val="nil"/>
              <w:left w:val="nil"/>
              <w:bottom w:val="single" w:sz="8" w:space="0" w:color="E46D0A"/>
              <w:right w:val="nil"/>
            </w:tcBorders>
            <w:shd w:val="clear" w:color="auto" w:fill="auto"/>
            <w:noWrap/>
            <w:vAlign w:val="bottom"/>
            <w:hideMark/>
          </w:tcPr>
          <w:p w:rsidR="00F30ADC" w:rsidRPr="00F30ADC" w:rsidRDefault="00F30ADC" w:rsidP="00F30ADC">
            <w:pPr>
              <w:jc w:val="center"/>
              <w:rPr>
                <w:rFonts w:eastAsia="宋体" w:cs="宋体"/>
                <w:b/>
                <w:color w:val="000000"/>
                <w:sz w:val="16"/>
                <w:szCs w:val="16"/>
              </w:rPr>
            </w:pPr>
            <w:r w:rsidRPr="00F30ADC">
              <w:rPr>
                <w:b/>
                <w:color w:val="000000"/>
                <w:sz w:val="16"/>
                <w:szCs w:val="16"/>
              </w:rPr>
              <w:t>44381.03</w:t>
            </w:r>
          </w:p>
        </w:tc>
        <w:tc>
          <w:tcPr>
            <w:tcW w:w="1720" w:type="dxa"/>
            <w:tcBorders>
              <w:top w:val="nil"/>
              <w:left w:val="nil"/>
              <w:bottom w:val="single" w:sz="8" w:space="0" w:color="E46D0A"/>
              <w:right w:val="nil"/>
            </w:tcBorders>
            <w:shd w:val="clear" w:color="auto" w:fill="auto"/>
            <w:noWrap/>
            <w:vAlign w:val="bottom"/>
            <w:hideMark/>
          </w:tcPr>
          <w:p w:rsidR="00F30ADC" w:rsidRPr="00F30ADC" w:rsidRDefault="00F30ADC" w:rsidP="00F30ADC">
            <w:pPr>
              <w:jc w:val="center"/>
              <w:rPr>
                <w:rFonts w:eastAsia="宋体" w:cs="宋体"/>
                <w:b/>
                <w:color w:val="000000"/>
                <w:sz w:val="16"/>
                <w:szCs w:val="16"/>
              </w:rPr>
            </w:pPr>
            <w:r w:rsidRPr="00F30ADC">
              <w:rPr>
                <w:b/>
                <w:color w:val="000000"/>
                <w:sz w:val="16"/>
                <w:szCs w:val="16"/>
              </w:rPr>
              <w:t>29258.90</w:t>
            </w:r>
          </w:p>
        </w:tc>
        <w:tc>
          <w:tcPr>
            <w:tcW w:w="1540" w:type="dxa"/>
            <w:tcBorders>
              <w:top w:val="nil"/>
              <w:left w:val="nil"/>
              <w:bottom w:val="single" w:sz="8" w:space="0" w:color="E46D0A"/>
              <w:right w:val="nil"/>
            </w:tcBorders>
            <w:shd w:val="clear" w:color="auto" w:fill="auto"/>
            <w:noWrap/>
            <w:vAlign w:val="bottom"/>
            <w:hideMark/>
          </w:tcPr>
          <w:p w:rsidR="00F30ADC" w:rsidRPr="00F30ADC" w:rsidRDefault="00F30ADC" w:rsidP="00F30ADC">
            <w:pPr>
              <w:jc w:val="center"/>
              <w:rPr>
                <w:rFonts w:eastAsia="宋体" w:cs="宋体"/>
                <w:b/>
                <w:color w:val="000000"/>
                <w:sz w:val="16"/>
                <w:szCs w:val="16"/>
              </w:rPr>
            </w:pPr>
            <w:r w:rsidRPr="00F30ADC">
              <w:rPr>
                <w:b/>
                <w:color w:val="000000"/>
                <w:sz w:val="16"/>
                <w:szCs w:val="16"/>
              </w:rPr>
              <w:t>15122.13</w:t>
            </w:r>
          </w:p>
        </w:tc>
        <w:tc>
          <w:tcPr>
            <w:tcW w:w="1580" w:type="dxa"/>
            <w:tcBorders>
              <w:top w:val="nil"/>
              <w:left w:val="nil"/>
              <w:bottom w:val="single" w:sz="8" w:space="0" w:color="E46D0A"/>
              <w:right w:val="nil"/>
            </w:tcBorders>
            <w:shd w:val="clear" w:color="auto" w:fill="auto"/>
            <w:noWrap/>
            <w:vAlign w:val="bottom"/>
            <w:hideMark/>
          </w:tcPr>
          <w:p w:rsidR="00F30ADC" w:rsidRPr="00F30ADC" w:rsidRDefault="00F30ADC" w:rsidP="00F30ADC">
            <w:pPr>
              <w:jc w:val="center"/>
              <w:rPr>
                <w:rFonts w:eastAsia="宋体" w:cs="宋体"/>
                <w:b/>
                <w:color w:val="000000"/>
                <w:sz w:val="16"/>
                <w:szCs w:val="16"/>
              </w:rPr>
            </w:pPr>
            <w:r w:rsidRPr="00F30ADC">
              <w:rPr>
                <w:b/>
                <w:color w:val="000000"/>
                <w:sz w:val="16"/>
                <w:szCs w:val="16"/>
              </w:rPr>
              <w:t>51.68%</w:t>
            </w:r>
          </w:p>
        </w:tc>
      </w:tr>
      <w:tr w:rsidR="00D60944" w:rsidRPr="00D60944" w:rsidTr="00D60944">
        <w:trPr>
          <w:trHeight w:val="255"/>
        </w:trPr>
        <w:tc>
          <w:tcPr>
            <w:tcW w:w="1791" w:type="dxa"/>
            <w:tcBorders>
              <w:top w:val="nil"/>
              <w:left w:val="nil"/>
              <w:bottom w:val="single" w:sz="8" w:space="0" w:color="E46D0A"/>
              <w:right w:val="nil"/>
            </w:tcBorders>
            <w:shd w:val="clear" w:color="auto" w:fill="auto"/>
            <w:noWrap/>
            <w:vAlign w:val="center"/>
            <w:hideMark/>
          </w:tcPr>
          <w:p w:rsidR="00D60944" w:rsidRPr="00D60944" w:rsidRDefault="00D60944"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来源：</w:t>
            </w:r>
            <w:proofErr w:type="gramStart"/>
            <w:r w:rsidRPr="00D60944">
              <w:rPr>
                <w:rFonts w:ascii="宋体" w:eastAsia="宋体" w:hAnsi="宋体" w:cs="宋体" w:hint="eastAsia"/>
                <w:color w:val="000000"/>
                <w:kern w:val="0"/>
                <w:sz w:val="16"/>
                <w:szCs w:val="16"/>
              </w:rPr>
              <w:t>凯</w:t>
            </w:r>
            <w:proofErr w:type="gramEnd"/>
            <w:r w:rsidRPr="00D60944">
              <w:rPr>
                <w:rFonts w:ascii="宋体" w:eastAsia="宋体" w:hAnsi="宋体" w:cs="宋体" w:hint="eastAsia"/>
                <w:color w:val="000000"/>
                <w:kern w:val="0"/>
                <w:sz w:val="16"/>
                <w:szCs w:val="16"/>
              </w:rPr>
              <w:t>石财富工场</w:t>
            </w:r>
          </w:p>
        </w:tc>
        <w:tc>
          <w:tcPr>
            <w:tcW w:w="1849"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 xml:space="preserve">　</w:t>
            </w:r>
          </w:p>
        </w:tc>
        <w:tc>
          <w:tcPr>
            <w:tcW w:w="1720"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 xml:space="preserve">　</w:t>
            </w:r>
          </w:p>
        </w:tc>
        <w:tc>
          <w:tcPr>
            <w:tcW w:w="1540"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 xml:space="preserve">　</w:t>
            </w:r>
          </w:p>
        </w:tc>
        <w:tc>
          <w:tcPr>
            <w:tcW w:w="1580"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宋体"/>
                <w:color w:val="000000"/>
                <w:kern w:val="0"/>
                <w:sz w:val="16"/>
                <w:szCs w:val="16"/>
              </w:rPr>
            </w:pPr>
            <w:r w:rsidRPr="00D60944">
              <w:rPr>
                <w:rFonts w:ascii="宋体" w:eastAsia="宋体" w:hAnsi="宋体" w:cs="宋体" w:hint="eastAsia"/>
                <w:color w:val="000000"/>
                <w:kern w:val="0"/>
                <w:sz w:val="16"/>
                <w:szCs w:val="16"/>
              </w:rPr>
              <w:t xml:space="preserve">　</w:t>
            </w:r>
          </w:p>
        </w:tc>
      </w:tr>
    </w:tbl>
    <w:p w:rsidR="00D60944" w:rsidRDefault="00D60944" w:rsidP="00D06FC1">
      <w:pPr>
        <w:pStyle w:val="ab"/>
        <w:spacing w:after="163"/>
        <w:ind w:left="0"/>
        <w:rPr>
          <w:rFonts w:eastAsia="楷体_GB2312"/>
          <w:color w:val="auto"/>
        </w:rPr>
      </w:pPr>
    </w:p>
    <w:p w:rsidR="00787F9D" w:rsidRPr="00787F9D" w:rsidRDefault="004636DE" w:rsidP="00787F9D">
      <w:pPr>
        <w:widowControl/>
        <w:spacing w:after="120" w:line="240" w:lineRule="exact"/>
        <w:ind w:left="3430"/>
        <w:rPr>
          <w:rFonts w:ascii="Arial" w:eastAsia="楷体_GB2312" w:hAnsi="Arial" w:cs="Times New Roman"/>
          <w:b/>
          <w:bCs/>
          <w:color w:val="0070C0"/>
          <w:kern w:val="0"/>
          <w:sz w:val="24"/>
          <w:szCs w:val="20"/>
          <w:lang w:val="en-GB"/>
        </w:rPr>
      </w:pPr>
      <w:proofErr w:type="gramStart"/>
      <w:r>
        <w:rPr>
          <w:rFonts w:ascii="Arial" w:eastAsia="楷体_GB2312" w:hAnsi="Arial" w:cs="Times New Roman" w:hint="eastAsia"/>
          <w:b/>
          <w:bCs/>
          <w:color w:val="0070C0"/>
          <w:kern w:val="0"/>
          <w:sz w:val="24"/>
          <w:szCs w:val="20"/>
          <w:lang w:val="en-GB"/>
        </w:rPr>
        <w:t>偏股产品</w:t>
      </w:r>
      <w:proofErr w:type="gramEnd"/>
      <w:r>
        <w:rPr>
          <w:rFonts w:ascii="Arial" w:eastAsia="楷体_GB2312" w:hAnsi="Arial" w:cs="Times New Roman" w:hint="eastAsia"/>
          <w:b/>
          <w:bCs/>
          <w:color w:val="0070C0"/>
          <w:kern w:val="0"/>
          <w:sz w:val="24"/>
          <w:szCs w:val="20"/>
          <w:lang w:val="en-GB"/>
        </w:rPr>
        <w:t>发行提速</w:t>
      </w:r>
      <w:r w:rsidR="006E567E" w:rsidRPr="006E567E">
        <w:rPr>
          <w:rFonts w:ascii="Arial" w:eastAsia="楷体_GB2312" w:hAnsi="Arial" w:cs="Times New Roman" w:hint="eastAsia"/>
          <w:b/>
          <w:bCs/>
          <w:color w:val="0070C0"/>
          <w:kern w:val="0"/>
          <w:sz w:val="24"/>
          <w:szCs w:val="20"/>
          <w:lang w:val="en-GB"/>
        </w:rPr>
        <w:t>，</w:t>
      </w:r>
      <w:r>
        <w:rPr>
          <w:rFonts w:ascii="Arial" w:eastAsia="楷体_GB2312" w:hAnsi="Arial" w:cs="Times New Roman" w:hint="eastAsia"/>
          <w:b/>
          <w:bCs/>
          <w:color w:val="0070C0"/>
          <w:kern w:val="0"/>
          <w:sz w:val="24"/>
          <w:szCs w:val="20"/>
          <w:lang w:val="en-GB"/>
        </w:rPr>
        <w:t>货币基金供需两旺</w:t>
      </w:r>
    </w:p>
    <w:p w:rsidR="000B436C" w:rsidRDefault="006E567E" w:rsidP="00383888">
      <w:pPr>
        <w:pStyle w:val="ab"/>
        <w:numPr>
          <w:ilvl w:val="4"/>
          <w:numId w:val="1"/>
        </w:numPr>
        <w:spacing w:after="163"/>
        <w:rPr>
          <w:rFonts w:eastAsia="楷体_GB2312"/>
          <w:color w:val="auto"/>
        </w:rPr>
      </w:pPr>
      <w:r w:rsidRPr="006E567E">
        <w:rPr>
          <w:rFonts w:eastAsia="楷体_GB2312" w:hint="eastAsia"/>
          <w:color w:val="auto"/>
        </w:rPr>
        <w:lastRenderedPageBreak/>
        <w:t>2014</w:t>
      </w:r>
      <w:r w:rsidRPr="006E567E">
        <w:rPr>
          <w:rFonts w:eastAsia="楷体_GB2312" w:hint="eastAsia"/>
          <w:color w:val="auto"/>
        </w:rPr>
        <w:t>年</w:t>
      </w:r>
      <w:r w:rsidR="004636DE">
        <w:rPr>
          <w:rFonts w:eastAsia="楷体_GB2312" w:hint="eastAsia"/>
          <w:color w:val="auto"/>
        </w:rPr>
        <w:t>全年</w:t>
      </w:r>
      <w:r w:rsidRPr="006E567E">
        <w:rPr>
          <w:rFonts w:eastAsia="楷体_GB2312" w:hint="eastAsia"/>
          <w:color w:val="auto"/>
        </w:rPr>
        <w:t>新设基金</w:t>
      </w:r>
      <w:r w:rsidR="000041C7">
        <w:rPr>
          <w:rFonts w:eastAsia="楷体_GB2312" w:hint="eastAsia"/>
          <w:color w:val="auto"/>
        </w:rPr>
        <w:t>323</w:t>
      </w:r>
      <w:r w:rsidRPr="006E567E">
        <w:rPr>
          <w:rFonts w:eastAsia="楷体_GB2312" w:hint="eastAsia"/>
          <w:color w:val="auto"/>
        </w:rPr>
        <w:t>只，总募集规模</w:t>
      </w:r>
      <w:r w:rsidR="000041C7">
        <w:rPr>
          <w:rFonts w:eastAsia="楷体_GB2312" w:hint="eastAsia"/>
          <w:color w:val="auto"/>
        </w:rPr>
        <w:t>3137.39</w:t>
      </w:r>
      <w:r w:rsidRPr="006E567E">
        <w:rPr>
          <w:rFonts w:eastAsia="楷体_GB2312" w:hint="eastAsia"/>
          <w:color w:val="auto"/>
        </w:rPr>
        <w:t>亿元，发行数量较去年</w:t>
      </w:r>
      <w:r w:rsidR="000041C7">
        <w:rPr>
          <w:rFonts w:eastAsia="楷体_GB2312" w:hint="eastAsia"/>
          <w:color w:val="auto"/>
        </w:rPr>
        <w:t>减少</w:t>
      </w:r>
      <w:r w:rsidR="0061128B">
        <w:rPr>
          <w:rFonts w:eastAsia="楷体_GB2312" w:hint="eastAsia"/>
          <w:color w:val="auto"/>
        </w:rPr>
        <w:t>65</w:t>
      </w:r>
      <w:r w:rsidR="0061128B">
        <w:rPr>
          <w:rFonts w:eastAsia="楷体_GB2312" w:hint="eastAsia"/>
          <w:color w:val="auto"/>
        </w:rPr>
        <w:t>只，</w:t>
      </w:r>
      <w:r w:rsidRPr="006E567E">
        <w:rPr>
          <w:rFonts w:eastAsia="楷体_GB2312" w:hint="eastAsia"/>
          <w:color w:val="auto"/>
        </w:rPr>
        <w:t>总募集规模缩水</w:t>
      </w:r>
      <w:r w:rsidR="0061128B">
        <w:rPr>
          <w:rFonts w:eastAsia="楷体_GB2312" w:hint="eastAsia"/>
          <w:color w:val="auto"/>
        </w:rPr>
        <w:t>44.14</w:t>
      </w:r>
      <w:r w:rsidRPr="006E567E">
        <w:rPr>
          <w:rFonts w:eastAsia="楷体_GB2312" w:hint="eastAsia"/>
          <w:color w:val="auto"/>
        </w:rPr>
        <w:t>%</w:t>
      </w:r>
      <w:r w:rsidRPr="006E567E">
        <w:rPr>
          <w:rFonts w:eastAsia="楷体_GB2312" w:hint="eastAsia"/>
          <w:color w:val="auto"/>
        </w:rPr>
        <w:t>，平均募集规模则由</w:t>
      </w:r>
      <w:r w:rsidRPr="006E567E">
        <w:rPr>
          <w:rFonts w:eastAsia="楷体_GB2312" w:hint="eastAsia"/>
          <w:color w:val="auto"/>
        </w:rPr>
        <w:t>2013</w:t>
      </w:r>
      <w:r w:rsidRPr="006E567E">
        <w:rPr>
          <w:rFonts w:eastAsia="楷体_GB2312" w:hint="eastAsia"/>
          <w:color w:val="auto"/>
        </w:rPr>
        <w:t>年全年的</w:t>
      </w:r>
      <w:r w:rsidRPr="006E567E">
        <w:rPr>
          <w:rFonts w:eastAsia="楷体_GB2312" w:hint="eastAsia"/>
          <w:color w:val="auto"/>
        </w:rPr>
        <w:t>14.39</w:t>
      </w:r>
      <w:r w:rsidRPr="006E567E">
        <w:rPr>
          <w:rFonts w:eastAsia="楷体_GB2312" w:hint="eastAsia"/>
          <w:color w:val="auto"/>
        </w:rPr>
        <w:t>亿元降至</w:t>
      </w:r>
      <w:r w:rsidRPr="006E567E">
        <w:rPr>
          <w:rFonts w:eastAsia="楷体_GB2312" w:hint="eastAsia"/>
          <w:color w:val="auto"/>
        </w:rPr>
        <w:t>9.</w:t>
      </w:r>
      <w:r w:rsidR="0061128B">
        <w:rPr>
          <w:rFonts w:eastAsia="楷体_GB2312" w:hint="eastAsia"/>
          <w:color w:val="auto"/>
        </w:rPr>
        <w:t>71</w:t>
      </w:r>
      <w:r w:rsidRPr="006E567E">
        <w:rPr>
          <w:rFonts w:eastAsia="楷体_GB2312" w:hint="eastAsia"/>
          <w:color w:val="auto"/>
        </w:rPr>
        <w:t>亿元。</w:t>
      </w:r>
    </w:p>
    <w:tbl>
      <w:tblPr>
        <w:tblW w:w="7047" w:type="dxa"/>
        <w:tblInd w:w="3456" w:type="dxa"/>
        <w:tblLook w:val="04A0"/>
      </w:tblPr>
      <w:tblGrid>
        <w:gridCol w:w="1264"/>
        <w:gridCol w:w="917"/>
        <w:gridCol w:w="1246"/>
        <w:gridCol w:w="1028"/>
        <w:gridCol w:w="1264"/>
        <w:gridCol w:w="1328"/>
      </w:tblGrid>
      <w:tr w:rsidR="00D60944" w:rsidRPr="00D60944" w:rsidTr="00D60944">
        <w:trPr>
          <w:trHeight w:val="272"/>
        </w:trPr>
        <w:tc>
          <w:tcPr>
            <w:tcW w:w="7047" w:type="dxa"/>
            <w:gridSpan w:val="6"/>
            <w:tcBorders>
              <w:top w:val="single" w:sz="8" w:space="0" w:color="E46D0A"/>
              <w:left w:val="nil"/>
              <w:bottom w:val="single" w:sz="8" w:space="0" w:color="E46D0A"/>
              <w:right w:val="nil"/>
            </w:tcBorders>
            <w:shd w:val="clear" w:color="auto" w:fill="auto"/>
            <w:noWrap/>
            <w:vAlign w:val="center"/>
            <w:hideMark/>
          </w:tcPr>
          <w:p w:rsidR="00D60944" w:rsidRPr="00D60944" w:rsidRDefault="00D60944" w:rsidP="00391E43">
            <w:pPr>
              <w:widowControl/>
              <w:jc w:val="left"/>
              <w:rPr>
                <w:rFonts w:ascii="Arial" w:eastAsia="宋体" w:hAnsi="Arial" w:cs="Arial"/>
                <w:b/>
                <w:bCs/>
                <w:i/>
                <w:iCs/>
                <w:color w:val="E46D0A"/>
                <w:kern w:val="0"/>
                <w:sz w:val="20"/>
                <w:szCs w:val="20"/>
              </w:rPr>
            </w:pPr>
            <w:r w:rsidRPr="00D60944">
              <w:rPr>
                <w:rFonts w:ascii="宋体" w:eastAsia="宋体" w:hAnsi="宋体" w:cs="Arial" w:hint="eastAsia"/>
                <w:b/>
                <w:bCs/>
                <w:i/>
                <w:iCs/>
                <w:color w:val="E46D0A"/>
                <w:kern w:val="0"/>
                <w:sz w:val="20"/>
                <w:szCs w:val="20"/>
              </w:rPr>
              <w:t>图表</w:t>
            </w:r>
            <w:r w:rsidRPr="00D60944">
              <w:rPr>
                <w:rFonts w:ascii="Arial" w:eastAsia="宋体" w:hAnsi="Arial" w:cs="Arial"/>
                <w:b/>
                <w:bCs/>
                <w:i/>
                <w:iCs/>
                <w:color w:val="E46D0A"/>
                <w:kern w:val="0"/>
                <w:sz w:val="20"/>
                <w:szCs w:val="20"/>
              </w:rPr>
              <w:t>9:2014</w:t>
            </w:r>
            <w:r w:rsidRPr="00D60944">
              <w:rPr>
                <w:rFonts w:ascii="宋体" w:eastAsia="宋体" w:hAnsi="宋体" w:cs="Arial" w:hint="eastAsia"/>
                <w:b/>
                <w:bCs/>
                <w:i/>
                <w:iCs/>
                <w:color w:val="E46D0A"/>
                <w:kern w:val="0"/>
                <w:sz w:val="20"/>
                <w:szCs w:val="20"/>
              </w:rPr>
              <w:t>年新发基金情况</w:t>
            </w:r>
          </w:p>
        </w:tc>
      </w:tr>
      <w:tr w:rsidR="004636DE" w:rsidRPr="00D60944" w:rsidTr="00D60944">
        <w:trPr>
          <w:trHeight w:val="438"/>
        </w:trPr>
        <w:tc>
          <w:tcPr>
            <w:tcW w:w="1264" w:type="dxa"/>
            <w:tcBorders>
              <w:top w:val="nil"/>
              <w:left w:val="nil"/>
              <w:bottom w:val="single" w:sz="8" w:space="0" w:color="E46D0A"/>
              <w:right w:val="nil"/>
            </w:tcBorders>
            <w:shd w:val="clear" w:color="auto" w:fill="auto"/>
            <w:vAlign w:val="center"/>
            <w:hideMark/>
          </w:tcPr>
          <w:p w:rsidR="004636DE" w:rsidRPr="00D60944" w:rsidRDefault="004636DE" w:rsidP="00D60944">
            <w:pPr>
              <w:widowControl/>
              <w:jc w:val="center"/>
              <w:rPr>
                <w:rFonts w:ascii="宋体" w:eastAsia="宋体" w:hAnsi="宋体" w:cs="Arial"/>
                <w:b/>
                <w:bCs/>
                <w:kern w:val="0"/>
                <w:sz w:val="16"/>
                <w:szCs w:val="16"/>
              </w:rPr>
            </w:pPr>
            <w:r w:rsidRPr="00D60944">
              <w:rPr>
                <w:rFonts w:ascii="宋体" w:eastAsia="宋体" w:hAnsi="宋体" w:cs="Arial" w:hint="eastAsia"/>
                <w:b/>
                <w:bCs/>
                <w:kern w:val="0"/>
                <w:sz w:val="16"/>
                <w:szCs w:val="16"/>
              </w:rPr>
              <w:t>类型</w:t>
            </w:r>
          </w:p>
        </w:tc>
        <w:tc>
          <w:tcPr>
            <w:tcW w:w="917" w:type="dxa"/>
            <w:tcBorders>
              <w:top w:val="nil"/>
              <w:left w:val="nil"/>
              <w:bottom w:val="single" w:sz="8" w:space="0" w:color="E46D0A"/>
              <w:right w:val="nil"/>
            </w:tcBorders>
            <w:shd w:val="clear" w:color="auto" w:fill="auto"/>
            <w:vAlign w:val="center"/>
            <w:hideMark/>
          </w:tcPr>
          <w:p w:rsidR="004636DE" w:rsidRDefault="004636DE">
            <w:pPr>
              <w:jc w:val="center"/>
              <w:rPr>
                <w:rFonts w:ascii="宋体" w:eastAsia="宋体" w:hAnsi="宋体" w:cs="宋体"/>
                <w:b/>
                <w:bCs/>
                <w:color w:val="000000"/>
                <w:sz w:val="16"/>
                <w:szCs w:val="16"/>
              </w:rPr>
            </w:pPr>
            <w:r>
              <w:rPr>
                <w:rFonts w:hint="eastAsia"/>
                <w:b/>
                <w:bCs/>
                <w:color w:val="000000"/>
                <w:sz w:val="16"/>
                <w:szCs w:val="16"/>
              </w:rPr>
              <w:t>数量</w:t>
            </w:r>
          </w:p>
        </w:tc>
        <w:tc>
          <w:tcPr>
            <w:tcW w:w="1246" w:type="dxa"/>
            <w:tcBorders>
              <w:top w:val="nil"/>
              <w:left w:val="nil"/>
              <w:bottom w:val="single" w:sz="8" w:space="0" w:color="E46D0A"/>
              <w:right w:val="nil"/>
            </w:tcBorders>
            <w:shd w:val="clear" w:color="auto" w:fill="auto"/>
            <w:vAlign w:val="center"/>
            <w:hideMark/>
          </w:tcPr>
          <w:p w:rsidR="004636DE" w:rsidRDefault="004636DE">
            <w:pPr>
              <w:jc w:val="center"/>
              <w:rPr>
                <w:rFonts w:ascii="宋体" w:eastAsia="宋体" w:hAnsi="宋体" w:cs="宋体"/>
                <w:b/>
                <w:bCs/>
                <w:color w:val="000000"/>
                <w:sz w:val="16"/>
                <w:szCs w:val="16"/>
              </w:rPr>
            </w:pPr>
            <w:r>
              <w:rPr>
                <w:rFonts w:hint="eastAsia"/>
                <w:b/>
                <w:bCs/>
                <w:color w:val="000000"/>
                <w:sz w:val="16"/>
                <w:szCs w:val="16"/>
              </w:rPr>
              <w:t>募集规模（亿元）</w:t>
            </w:r>
          </w:p>
        </w:tc>
        <w:tc>
          <w:tcPr>
            <w:tcW w:w="1028" w:type="dxa"/>
            <w:tcBorders>
              <w:top w:val="nil"/>
              <w:left w:val="nil"/>
              <w:bottom w:val="single" w:sz="8" w:space="0" w:color="E46D0A"/>
              <w:right w:val="nil"/>
            </w:tcBorders>
            <w:shd w:val="clear" w:color="auto" w:fill="auto"/>
            <w:vAlign w:val="center"/>
            <w:hideMark/>
          </w:tcPr>
          <w:p w:rsidR="004636DE" w:rsidRDefault="004636DE">
            <w:pPr>
              <w:jc w:val="center"/>
              <w:rPr>
                <w:rFonts w:ascii="宋体" w:eastAsia="宋体" w:hAnsi="宋体" w:cs="宋体"/>
                <w:b/>
                <w:bCs/>
                <w:color w:val="000000"/>
                <w:sz w:val="16"/>
                <w:szCs w:val="16"/>
              </w:rPr>
            </w:pPr>
            <w:r>
              <w:rPr>
                <w:rFonts w:hint="eastAsia"/>
                <w:b/>
                <w:bCs/>
                <w:color w:val="000000"/>
                <w:sz w:val="16"/>
                <w:szCs w:val="16"/>
              </w:rPr>
              <w:t>发行数量占比（</w:t>
            </w:r>
            <w:r>
              <w:rPr>
                <w:rFonts w:hint="eastAsia"/>
                <w:b/>
                <w:bCs/>
                <w:color w:val="000000"/>
                <w:sz w:val="16"/>
                <w:szCs w:val="16"/>
              </w:rPr>
              <w:t>%</w:t>
            </w:r>
            <w:r>
              <w:rPr>
                <w:rFonts w:hint="eastAsia"/>
                <w:b/>
                <w:bCs/>
                <w:color w:val="000000"/>
                <w:sz w:val="16"/>
                <w:szCs w:val="16"/>
              </w:rPr>
              <w:t>）</w:t>
            </w:r>
          </w:p>
        </w:tc>
        <w:tc>
          <w:tcPr>
            <w:tcW w:w="1264" w:type="dxa"/>
            <w:tcBorders>
              <w:top w:val="nil"/>
              <w:left w:val="nil"/>
              <w:bottom w:val="single" w:sz="8" w:space="0" w:color="E46D0A"/>
              <w:right w:val="nil"/>
            </w:tcBorders>
            <w:shd w:val="clear" w:color="auto" w:fill="auto"/>
            <w:vAlign w:val="center"/>
            <w:hideMark/>
          </w:tcPr>
          <w:p w:rsidR="004636DE" w:rsidRDefault="004636DE">
            <w:pPr>
              <w:jc w:val="center"/>
              <w:rPr>
                <w:rFonts w:ascii="宋体" w:eastAsia="宋体" w:hAnsi="宋体" w:cs="宋体"/>
                <w:b/>
                <w:bCs/>
                <w:color w:val="000000"/>
                <w:sz w:val="16"/>
                <w:szCs w:val="16"/>
              </w:rPr>
            </w:pPr>
            <w:r>
              <w:rPr>
                <w:rFonts w:hint="eastAsia"/>
                <w:b/>
                <w:bCs/>
                <w:color w:val="000000"/>
                <w:sz w:val="16"/>
                <w:szCs w:val="16"/>
              </w:rPr>
              <w:t>募集规模占比（</w:t>
            </w:r>
            <w:r>
              <w:rPr>
                <w:rFonts w:hint="eastAsia"/>
                <w:b/>
                <w:bCs/>
                <w:color w:val="000000"/>
                <w:sz w:val="16"/>
                <w:szCs w:val="16"/>
              </w:rPr>
              <w:t>%</w:t>
            </w:r>
            <w:r>
              <w:rPr>
                <w:rFonts w:hint="eastAsia"/>
                <w:b/>
                <w:bCs/>
                <w:color w:val="000000"/>
                <w:sz w:val="16"/>
                <w:szCs w:val="16"/>
              </w:rPr>
              <w:t>）</w:t>
            </w:r>
          </w:p>
        </w:tc>
        <w:tc>
          <w:tcPr>
            <w:tcW w:w="1328" w:type="dxa"/>
            <w:tcBorders>
              <w:top w:val="nil"/>
              <w:left w:val="nil"/>
              <w:bottom w:val="single" w:sz="8" w:space="0" w:color="E46D0A"/>
              <w:right w:val="nil"/>
            </w:tcBorders>
            <w:shd w:val="clear" w:color="auto" w:fill="auto"/>
            <w:vAlign w:val="center"/>
            <w:hideMark/>
          </w:tcPr>
          <w:p w:rsidR="004636DE" w:rsidRDefault="004636DE">
            <w:pPr>
              <w:jc w:val="center"/>
              <w:rPr>
                <w:rFonts w:ascii="宋体" w:eastAsia="宋体" w:hAnsi="宋体" w:cs="宋体"/>
                <w:b/>
                <w:bCs/>
                <w:color w:val="000000"/>
                <w:sz w:val="16"/>
                <w:szCs w:val="16"/>
              </w:rPr>
            </w:pPr>
            <w:r>
              <w:rPr>
                <w:rFonts w:hint="eastAsia"/>
                <w:b/>
                <w:bCs/>
                <w:color w:val="000000"/>
                <w:sz w:val="16"/>
                <w:szCs w:val="16"/>
              </w:rPr>
              <w:t>平均募集规模（亿元）</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股票型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77</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586.37</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23.84%</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18.69%</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7.62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混合型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92</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1046.28</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28.48%</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33.35%</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11.37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商品型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2.92</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0.31%</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0.09%</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2.92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保本型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6</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79.67</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1.86%</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2.54%</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13.28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债券型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68</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572.78</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21.05%</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18.26%</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8.42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proofErr w:type="gramStart"/>
            <w:r>
              <w:rPr>
                <w:rFonts w:hint="eastAsia"/>
                <w:color w:val="000000"/>
                <w:sz w:val="16"/>
                <w:szCs w:val="16"/>
              </w:rPr>
              <w:t>理财债基</w:t>
            </w:r>
            <w:proofErr w:type="gramEnd"/>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7</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23.2</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2.17%</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0.74%</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3.31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货币型</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67</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799.19</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20.74%</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25.47%</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11.93 </w:t>
            </w:r>
          </w:p>
        </w:tc>
      </w:tr>
      <w:tr w:rsidR="00774CFC" w:rsidRPr="00D60944" w:rsidTr="00A91FFA">
        <w:trPr>
          <w:trHeight w:val="257"/>
        </w:trPr>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QDII</w:t>
            </w:r>
          </w:p>
        </w:tc>
        <w:tc>
          <w:tcPr>
            <w:tcW w:w="917"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5</w:t>
            </w:r>
          </w:p>
        </w:tc>
        <w:tc>
          <w:tcPr>
            <w:tcW w:w="1246"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26.98</w:t>
            </w:r>
          </w:p>
        </w:tc>
        <w:tc>
          <w:tcPr>
            <w:tcW w:w="10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1.55%</w:t>
            </w:r>
          </w:p>
        </w:tc>
        <w:tc>
          <w:tcPr>
            <w:tcW w:w="1264"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0.86%</w:t>
            </w:r>
          </w:p>
        </w:tc>
        <w:tc>
          <w:tcPr>
            <w:tcW w:w="1328" w:type="dxa"/>
            <w:tcBorders>
              <w:top w:val="nil"/>
              <w:left w:val="nil"/>
              <w:bottom w:val="nil"/>
              <w:right w:val="nil"/>
            </w:tcBorders>
            <w:shd w:val="clear" w:color="auto" w:fill="auto"/>
            <w:noWrap/>
            <w:vAlign w:val="center"/>
            <w:hideMark/>
          </w:tcPr>
          <w:p w:rsidR="00774CFC" w:rsidRDefault="00774CFC">
            <w:pPr>
              <w:jc w:val="center"/>
              <w:rPr>
                <w:rFonts w:ascii="宋体" w:eastAsia="宋体" w:hAnsi="宋体" w:cs="宋体"/>
                <w:color w:val="000000"/>
                <w:sz w:val="16"/>
                <w:szCs w:val="16"/>
              </w:rPr>
            </w:pPr>
            <w:r>
              <w:rPr>
                <w:rFonts w:hint="eastAsia"/>
                <w:color w:val="000000"/>
                <w:sz w:val="16"/>
                <w:szCs w:val="16"/>
              </w:rPr>
              <w:t xml:space="preserve">5.40 </w:t>
            </w:r>
          </w:p>
        </w:tc>
      </w:tr>
      <w:tr w:rsidR="00774CFC" w:rsidRPr="00D60944" w:rsidTr="00A91FFA">
        <w:trPr>
          <w:trHeight w:val="272"/>
        </w:trPr>
        <w:tc>
          <w:tcPr>
            <w:tcW w:w="1264"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总计</w:t>
            </w:r>
          </w:p>
        </w:tc>
        <w:tc>
          <w:tcPr>
            <w:tcW w:w="917"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323</w:t>
            </w:r>
          </w:p>
        </w:tc>
        <w:tc>
          <w:tcPr>
            <w:tcW w:w="1246"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3137.39</w:t>
            </w:r>
          </w:p>
        </w:tc>
        <w:tc>
          <w:tcPr>
            <w:tcW w:w="1028"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100.00%</w:t>
            </w:r>
          </w:p>
        </w:tc>
        <w:tc>
          <w:tcPr>
            <w:tcW w:w="1264"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100.00%</w:t>
            </w:r>
          </w:p>
        </w:tc>
        <w:tc>
          <w:tcPr>
            <w:tcW w:w="1328" w:type="dxa"/>
            <w:tcBorders>
              <w:top w:val="nil"/>
              <w:left w:val="nil"/>
              <w:bottom w:val="single" w:sz="8" w:space="0" w:color="E46D0A"/>
              <w:right w:val="nil"/>
            </w:tcBorders>
            <w:shd w:val="clear" w:color="auto" w:fill="auto"/>
            <w:noWrap/>
            <w:vAlign w:val="center"/>
            <w:hideMark/>
          </w:tcPr>
          <w:p w:rsidR="00774CFC" w:rsidRDefault="00774CFC">
            <w:pPr>
              <w:jc w:val="center"/>
              <w:rPr>
                <w:rFonts w:ascii="宋体" w:eastAsia="宋体" w:hAnsi="宋体" w:cs="宋体"/>
                <w:b/>
                <w:bCs/>
                <w:color w:val="000000"/>
                <w:sz w:val="16"/>
                <w:szCs w:val="16"/>
              </w:rPr>
            </w:pPr>
            <w:r>
              <w:rPr>
                <w:rFonts w:hint="eastAsia"/>
                <w:b/>
                <w:bCs/>
                <w:color w:val="000000"/>
                <w:sz w:val="16"/>
                <w:szCs w:val="16"/>
              </w:rPr>
              <w:t xml:space="preserve">9.71 </w:t>
            </w:r>
          </w:p>
        </w:tc>
      </w:tr>
      <w:tr w:rsidR="00D60944" w:rsidRPr="00D60944" w:rsidTr="00D60944">
        <w:trPr>
          <w:trHeight w:val="287"/>
        </w:trPr>
        <w:tc>
          <w:tcPr>
            <w:tcW w:w="2181" w:type="dxa"/>
            <w:gridSpan w:val="2"/>
            <w:tcBorders>
              <w:top w:val="single" w:sz="8" w:space="0" w:color="E46D0A"/>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宋体" w:eastAsia="宋体" w:hAnsi="宋体" w:cs="Arial"/>
                <w:kern w:val="0"/>
                <w:sz w:val="16"/>
                <w:szCs w:val="16"/>
              </w:rPr>
            </w:pPr>
            <w:r w:rsidRPr="00D60944">
              <w:rPr>
                <w:rFonts w:ascii="宋体" w:eastAsia="宋体" w:hAnsi="宋体" w:cs="Arial" w:hint="eastAsia"/>
                <w:kern w:val="0"/>
                <w:sz w:val="16"/>
                <w:szCs w:val="16"/>
              </w:rPr>
              <w:t>来源：</w:t>
            </w:r>
            <w:proofErr w:type="gramStart"/>
            <w:r w:rsidRPr="00D60944">
              <w:rPr>
                <w:rFonts w:ascii="宋体" w:eastAsia="宋体" w:hAnsi="宋体" w:cs="Arial" w:hint="eastAsia"/>
                <w:kern w:val="0"/>
                <w:sz w:val="16"/>
                <w:szCs w:val="16"/>
              </w:rPr>
              <w:t>凯</w:t>
            </w:r>
            <w:proofErr w:type="gramEnd"/>
            <w:r w:rsidRPr="00D60944">
              <w:rPr>
                <w:rFonts w:ascii="宋体" w:eastAsia="宋体" w:hAnsi="宋体" w:cs="Arial" w:hint="eastAsia"/>
                <w:kern w:val="0"/>
                <w:sz w:val="16"/>
                <w:szCs w:val="16"/>
              </w:rPr>
              <w:t>石财富工场</w:t>
            </w:r>
          </w:p>
        </w:tc>
        <w:tc>
          <w:tcPr>
            <w:tcW w:w="1246"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Arial" w:eastAsia="宋体" w:hAnsi="Arial" w:cs="Arial"/>
                <w:kern w:val="0"/>
                <w:sz w:val="16"/>
                <w:szCs w:val="16"/>
              </w:rPr>
            </w:pPr>
            <w:r w:rsidRPr="00D60944">
              <w:rPr>
                <w:rFonts w:ascii="Arial" w:eastAsia="宋体" w:hAnsi="Arial" w:cs="Arial"/>
                <w:kern w:val="0"/>
                <w:sz w:val="16"/>
                <w:szCs w:val="16"/>
              </w:rPr>
              <w:t xml:space="preserve">　</w:t>
            </w:r>
          </w:p>
        </w:tc>
        <w:tc>
          <w:tcPr>
            <w:tcW w:w="1028"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Arial" w:eastAsia="宋体" w:hAnsi="Arial" w:cs="Arial"/>
                <w:kern w:val="0"/>
                <w:sz w:val="16"/>
                <w:szCs w:val="16"/>
              </w:rPr>
            </w:pPr>
            <w:r w:rsidRPr="00D60944">
              <w:rPr>
                <w:rFonts w:ascii="Arial" w:eastAsia="宋体" w:hAnsi="Arial" w:cs="Arial"/>
                <w:kern w:val="0"/>
                <w:sz w:val="16"/>
                <w:szCs w:val="16"/>
              </w:rPr>
              <w:t xml:space="preserve">　</w:t>
            </w:r>
          </w:p>
        </w:tc>
        <w:tc>
          <w:tcPr>
            <w:tcW w:w="1264"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Arial" w:eastAsia="宋体" w:hAnsi="Arial" w:cs="Arial"/>
                <w:kern w:val="0"/>
                <w:sz w:val="16"/>
                <w:szCs w:val="16"/>
              </w:rPr>
            </w:pPr>
            <w:r w:rsidRPr="00D60944">
              <w:rPr>
                <w:rFonts w:ascii="Arial" w:eastAsia="宋体" w:hAnsi="Arial" w:cs="Arial"/>
                <w:kern w:val="0"/>
                <w:sz w:val="16"/>
                <w:szCs w:val="16"/>
              </w:rPr>
              <w:t xml:space="preserve">　</w:t>
            </w:r>
          </w:p>
        </w:tc>
        <w:tc>
          <w:tcPr>
            <w:tcW w:w="1328" w:type="dxa"/>
            <w:tcBorders>
              <w:top w:val="nil"/>
              <w:left w:val="nil"/>
              <w:bottom w:val="single" w:sz="8" w:space="0" w:color="E46D0A"/>
              <w:right w:val="nil"/>
            </w:tcBorders>
            <w:shd w:val="clear" w:color="auto" w:fill="auto"/>
            <w:noWrap/>
            <w:vAlign w:val="bottom"/>
            <w:hideMark/>
          </w:tcPr>
          <w:p w:rsidR="00D60944" w:rsidRPr="00D60944" w:rsidRDefault="00D60944" w:rsidP="00D60944">
            <w:pPr>
              <w:widowControl/>
              <w:jc w:val="left"/>
              <w:rPr>
                <w:rFonts w:ascii="Arial" w:eastAsia="宋体" w:hAnsi="Arial" w:cs="Arial"/>
                <w:kern w:val="0"/>
                <w:sz w:val="16"/>
                <w:szCs w:val="16"/>
              </w:rPr>
            </w:pPr>
            <w:r w:rsidRPr="00D60944">
              <w:rPr>
                <w:rFonts w:ascii="Arial" w:eastAsia="宋体" w:hAnsi="Arial" w:cs="Arial"/>
                <w:kern w:val="0"/>
                <w:sz w:val="16"/>
                <w:szCs w:val="16"/>
              </w:rPr>
              <w:t xml:space="preserve">　</w:t>
            </w:r>
          </w:p>
        </w:tc>
      </w:tr>
    </w:tbl>
    <w:p w:rsidR="00D60944" w:rsidRDefault="00D60944" w:rsidP="00D60944">
      <w:pPr>
        <w:pStyle w:val="ab"/>
        <w:spacing w:after="163"/>
        <w:ind w:left="0"/>
        <w:rPr>
          <w:rFonts w:eastAsia="楷体_GB2312"/>
          <w:color w:val="auto"/>
        </w:rPr>
      </w:pPr>
    </w:p>
    <w:p w:rsidR="00261473" w:rsidRDefault="00261473" w:rsidP="00383888">
      <w:pPr>
        <w:pStyle w:val="ab"/>
        <w:numPr>
          <w:ilvl w:val="4"/>
          <w:numId w:val="1"/>
        </w:numPr>
        <w:spacing w:after="163"/>
        <w:rPr>
          <w:rFonts w:eastAsia="楷体_GB2312"/>
          <w:color w:val="auto"/>
        </w:rPr>
      </w:pPr>
      <w:r>
        <w:rPr>
          <w:rFonts w:eastAsia="楷体_GB2312" w:hint="eastAsia"/>
          <w:b/>
          <w:color w:val="auto"/>
        </w:rPr>
        <w:t>市场活跃，</w:t>
      </w:r>
      <w:proofErr w:type="gramStart"/>
      <w:r w:rsidRPr="006E567E">
        <w:rPr>
          <w:rFonts w:eastAsia="楷体_GB2312" w:hint="eastAsia"/>
          <w:b/>
          <w:color w:val="auto"/>
        </w:rPr>
        <w:t>偏股</w:t>
      </w:r>
      <w:r>
        <w:rPr>
          <w:rFonts w:eastAsia="楷体_GB2312" w:hint="eastAsia"/>
          <w:b/>
          <w:color w:val="auto"/>
        </w:rPr>
        <w:t>产品</w:t>
      </w:r>
      <w:proofErr w:type="gramEnd"/>
      <w:r>
        <w:rPr>
          <w:rFonts w:eastAsia="楷体_GB2312" w:hint="eastAsia"/>
          <w:b/>
          <w:color w:val="auto"/>
        </w:rPr>
        <w:t>发行提速</w:t>
      </w:r>
      <w:r w:rsidRPr="006E567E">
        <w:rPr>
          <w:rFonts w:eastAsia="楷体_GB2312" w:hint="eastAsia"/>
          <w:b/>
          <w:color w:val="auto"/>
        </w:rPr>
        <w:t>。</w:t>
      </w:r>
      <w:r>
        <w:rPr>
          <w:rFonts w:eastAsia="楷体_GB2312" w:hint="eastAsia"/>
          <w:color w:val="auto"/>
        </w:rPr>
        <w:t>2014</w:t>
      </w:r>
      <w:r>
        <w:rPr>
          <w:rFonts w:eastAsia="楷体_GB2312" w:hint="eastAsia"/>
          <w:color w:val="auto"/>
        </w:rPr>
        <w:t>年</w:t>
      </w:r>
      <w:r w:rsidRPr="006E567E">
        <w:rPr>
          <w:rFonts w:eastAsia="楷体_GB2312" w:hint="eastAsia"/>
          <w:color w:val="auto"/>
        </w:rPr>
        <w:t>共有</w:t>
      </w:r>
      <w:r>
        <w:rPr>
          <w:rFonts w:eastAsia="楷体_GB2312" w:hint="eastAsia"/>
          <w:color w:val="auto"/>
        </w:rPr>
        <w:t>169</w:t>
      </w:r>
      <w:r>
        <w:rPr>
          <w:rFonts w:eastAsia="楷体_GB2312" w:hint="eastAsia"/>
          <w:color w:val="auto"/>
        </w:rPr>
        <w:t>只</w:t>
      </w:r>
      <w:proofErr w:type="gramStart"/>
      <w:r>
        <w:rPr>
          <w:rFonts w:eastAsia="楷体_GB2312" w:hint="eastAsia"/>
          <w:color w:val="auto"/>
        </w:rPr>
        <w:t>偏股产品</w:t>
      </w:r>
      <w:proofErr w:type="gramEnd"/>
      <w:r>
        <w:rPr>
          <w:rFonts w:eastAsia="楷体_GB2312" w:hint="eastAsia"/>
          <w:color w:val="auto"/>
        </w:rPr>
        <w:t>设立（</w:t>
      </w:r>
      <w:r w:rsidRPr="006E567E">
        <w:rPr>
          <w:rFonts w:eastAsia="楷体_GB2312" w:hint="eastAsia"/>
          <w:color w:val="auto"/>
        </w:rPr>
        <w:t>股票型、混合型）相比去年增加</w:t>
      </w:r>
      <w:r>
        <w:rPr>
          <w:rFonts w:eastAsia="楷体_GB2312" w:hint="eastAsia"/>
          <w:color w:val="auto"/>
        </w:rPr>
        <w:t>45</w:t>
      </w:r>
      <w:r w:rsidRPr="006E567E">
        <w:rPr>
          <w:rFonts w:eastAsia="楷体_GB2312" w:hint="eastAsia"/>
          <w:color w:val="auto"/>
        </w:rPr>
        <w:t>只，总募集</w:t>
      </w:r>
      <w:r>
        <w:rPr>
          <w:rFonts w:eastAsia="楷体_GB2312" w:hint="eastAsia"/>
          <w:color w:val="auto"/>
        </w:rPr>
        <w:t>高达</w:t>
      </w:r>
      <w:r>
        <w:rPr>
          <w:rFonts w:eastAsia="楷体_GB2312" w:hint="eastAsia"/>
          <w:color w:val="auto"/>
        </w:rPr>
        <w:t>1632.65</w:t>
      </w:r>
      <w:r w:rsidRPr="006E567E">
        <w:rPr>
          <w:rFonts w:eastAsia="楷体_GB2312" w:hint="eastAsia"/>
          <w:color w:val="auto"/>
        </w:rPr>
        <w:t>亿元，规模占比</w:t>
      </w:r>
      <w:r>
        <w:rPr>
          <w:rFonts w:eastAsia="楷体_GB2312" w:hint="eastAsia"/>
          <w:color w:val="auto"/>
        </w:rPr>
        <w:t>52.04</w:t>
      </w:r>
      <w:r w:rsidRPr="006E567E">
        <w:rPr>
          <w:rFonts w:eastAsia="楷体_GB2312" w:hint="eastAsia"/>
          <w:color w:val="auto"/>
        </w:rPr>
        <w:t>%</w:t>
      </w:r>
      <w:r w:rsidRPr="006E567E">
        <w:rPr>
          <w:rFonts w:eastAsia="楷体_GB2312" w:hint="eastAsia"/>
          <w:color w:val="auto"/>
        </w:rPr>
        <w:t>，较去年同期大幅提升</w:t>
      </w:r>
      <w:r>
        <w:rPr>
          <w:rFonts w:eastAsia="楷体_GB2312" w:hint="eastAsia"/>
          <w:color w:val="auto"/>
        </w:rPr>
        <w:t>34.74</w:t>
      </w:r>
      <w:r w:rsidRPr="006E567E">
        <w:rPr>
          <w:rFonts w:eastAsia="楷体_GB2312" w:hint="eastAsia"/>
          <w:color w:val="auto"/>
        </w:rPr>
        <w:t>个百分点。具体来看，</w:t>
      </w:r>
      <w:r>
        <w:rPr>
          <w:rFonts w:eastAsia="楷体_GB2312" w:hint="eastAsia"/>
          <w:color w:val="auto"/>
        </w:rPr>
        <w:t>股票型</w:t>
      </w:r>
      <w:r w:rsidRPr="006E567E">
        <w:rPr>
          <w:rFonts w:eastAsia="楷体_GB2312" w:hint="eastAsia"/>
          <w:color w:val="auto"/>
        </w:rPr>
        <w:t>、混合型各有</w:t>
      </w:r>
      <w:r>
        <w:rPr>
          <w:rFonts w:eastAsia="楷体_GB2312" w:hint="eastAsia"/>
          <w:color w:val="auto"/>
        </w:rPr>
        <w:t>77</w:t>
      </w:r>
      <w:r>
        <w:rPr>
          <w:rFonts w:eastAsia="楷体_GB2312" w:hint="eastAsia"/>
          <w:color w:val="auto"/>
        </w:rPr>
        <w:t>只</w:t>
      </w:r>
      <w:r w:rsidRPr="006E567E">
        <w:rPr>
          <w:rFonts w:eastAsia="楷体_GB2312" w:hint="eastAsia"/>
          <w:color w:val="auto"/>
        </w:rPr>
        <w:t>、</w:t>
      </w:r>
      <w:r>
        <w:rPr>
          <w:rFonts w:eastAsia="楷体_GB2312" w:hint="eastAsia"/>
          <w:color w:val="auto"/>
        </w:rPr>
        <w:t>92</w:t>
      </w:r>
      <w:r w:rsidRPr="006E567E">
        <w:rPr>
          <w:rFonts w:eastAsia="楷体_GB2312" w:hint="eastAsia"/>
          <w:color w:val="auto"/>
        </w:rPr>
        <w:t>只产品设立，分别募得资金</w:t>
      </w:r>
      <w:r>
        <w:rPr>
          <w:rFonts w:eastAsia="楷体_GB2312" w:hint="eastAsia"/>
          <w:color w:val="auto"/>
        </w:rPr>
        <w:t>586.37</w:t>
      </w:r>
      <w:r w:rsidRPr="006E567E">
        <w:rPr>
          <w:rFonts w:eastAsia="楷体_GB2312" w:hint="eastAsia"/>
          <w:color w:val="auto"/>
        </w:rPr>
        <w:t>亿元、</w:t>
      </w:r>
      <w:r>
        <w:rPr>
          <w:rFonts w:eastAsia="楷体_GB2312" w:hint="eastAsia"/>
          <w:color w:val="auto"/>
        </w:rPr>
        <w:t>1046.28</w:t>
      </w:r>
      <w:r w:rsidRPr="006E567E">
        <w:rPr>
          <w:rFonts w:eastAsia="楷体_GB2312" w:hint="eastAsia"/>
          <w:color w:val="auto"/>
        </w:rPr>
        <w:t>亿元</w:t>
      </w:r>
      <w:r>
        <w:rPr>
          <w:rFonts w:eastAsia="楷体_GB2312" w:hint="eastAsia"/>
          <w:color w:val="auto"/>
        </w:rPr>
        <w:t>。</w:t>
      </w:r>
      <w:r w:rsidRPr="006E567E">
        <w:rPr>
          <w:rFonts w:eastAsia="楷体_GB2312" w:hint="eastAsia"/>
          <w:color w:val="auto"/>
        </w:rPr>
        <w:t>其中混合型基金在数量及规模</w:t>
      </w:r>
      <w:r>
        <w:rPr>
          <w:rFonts w:eastAsia="楷体_GB2312" w:hint="eastAsia"/>
          <w:color w:val="auto"/>
        </w:rPr>
        <w:t>均较去年</w:t>
      </w:r>
      <w:r w:rsidR="00FE5AF0">
        <w:rPr>
          <w:rFonts w:eastAsia="楷体_GB2312" w:hint="eastAsia"/>
          <w:color w:val="auto"/>
        </w:rPr>
        <w:t>取得长足发展</w:t>
      </w:r>
      <w:r w:rsidRPr="006E567E">
        <w:rPr>
          <w:rFonts w:eastAsia="楷体_GB2312" w:hint="eastAsia"/>
          <w:color w:val="auto"/>
        </w:rPr>
        <w:t>，</w:t>
      </w:r>
      <w:r w:rsidR="00FE5AF0">
        <w:rPr>
          <w:rFonts w:eastAsia="楷体_GB2312" w:hint="eastAsia"/>
          <w:color w:val="auto"/>
        </w:rPr>
        <w:t>成为权益类产品扩容新引擎</w:t>
      </w:r>
      <w:r w:rsidRPr="006E567E">
        <w:rPr>
          <w:rFonts w:eastAsia="楷体_GB2312" w:hint="eastAsia"/>
          <w:color w:val="auto"/>
        </w:rPr>
        <w:t>并力</w:t>
      </w:r>
      <w:proofErr w:type="gramStart"/>
      <w:r w:rsidRPr="006E567E">
        <w:rPr>
          <w:rFonts w:eastAsia="楷体_GB2312" w:hint="eastAsia"/>
          <w:color w:val="auto"/>
        </w:rPr>
        <w:t>压货币</w:t>
      </w:r>
      <w:proofErr w:type="gramEnd"/>
      <w:r w:rsidRPr="006E567E">
        <w:rPr>
          <w:rFonts w:eastAsia="楷体_GB2312" w:hint="eastAsia"/>
          <w:color w:val="auto"/>
        </w:rPr>
        <w:t>基金成为各类产品中发行数量最多、募资量最大的</w:t>
      </w:r>
      <w:r w:rsidR="00FE5AF0">
        <w:rPr>
          <w:rFonts w:eastAsia="楷体_GB2312" w:hint="eastAsia"/>
          <w:color w:val="auto"/>
        </w:rPr>
        <w:t>基金</w:t>
      </w:r>
      <w:r w:rsidRPr="006E567E">
        <w:rPr>
          <w:rFonts w:eastAsia="楷体_GB2312" w:hint="eastAsia"/>
          <w:color w:val="auto"/>
        </w:rPr>
        <w:t>类型。</w:t>
      </w:r>
    </w:p>
    <w:p w:rsidR="00FE5AF0" w:rsidRPr="00261473" w:rsidRDefault="00FE5AF0" w:rsidP="00383888">
      <w:pPr>
        <w:pStyle w:val="ab"/>
        <w:numPr>
          <w:ilvl w:val="4"/>
          <w:numId w:val="1"/>
        </w:numPr>
        <w:spacing w:after="163"/>
        <w:rPr>
          <w:rFonts w:eastAsia="楷体_GB2312"/>
          <w:color w:val="auto"/>
        </w:rPr>
      </w:pPr>
      <w:r>
        <w:rPr>
          <w:rFonts w:eastAsia="楷体_GB2312" w:hint="eastAsia"/>
          <w:b/>
          <w:color w:val="auto"/>
        </w:rPr>
        <w:t>宝类热销</w:t>
      </w:r>
      <w:proofErr w:type="gramStart"/>
      <w:r>
        <w:rPr>
          <w:rFonts w:eastAsia="楷体_GB2312" w:hint="eastAsia"/>
          <w:b/>
          <w:color w:val="auto"/>
        </w:rPr>
        <w:t>促货币</w:t>
      </w:r>
      <w:proofErr w:type="gramEnd"/>
      <w:r>
        <w:rPr>
          <w:rFonts w:eastAsia="楷体_GB2312" w:hint="eastAsia"/>
          <w:b/>
          <w:color w:val="auto"/>
        </w:rPr>
        <w:t>基金扩容</w:t>
      </w:r>
      <w:r w:rsidRPr="006E567E">
        <w:rPr>
          <w:rFonts w:eastAsia="楷体_GB2312" w:hint="eastAsia"/>
          <w:b/>
          <w:color w:val="auto"/>
        </w:rPr>
        <w:t>，</w:t>
      </w:r>
      <w:r>
        <w:rPr>
          <w:rFonts w:eastAsia="楷体_GB2312" w:hint="eastAsia"/>
          <w:b/>
          <w:color w:val="auto"/>
        </w:rPr>
        <w:t>发行市场供需两旺</w:t>
      </w:r>
      <w:r w:rsidRPr="006E567E">
        <w:rPr>
          <w:rFonts w:eastAsia="楷体_GB2312" w:hint="eastAsia"/>
          <w:b/>
          <w:color w:val="auto"/>
        </w:rPr>
        <w:t>。</w:t>
      </w:r>
      <w:r w:rsidRPr="006E567E">
        <w:rPr>
          <w:rFonts w:eastAsia="楷体_GB2312" w:hint="eastAsia"/>
          <w:color w:val="auto"/>
        </w:rPr>
        <w:t>借助互联网</w:t>
      </w:r>
      <w:r w:rsidR="000E25D0">
        <w:rPr>
          <w:rFonts w:eastAsia="楷体_GB2312" w:hint="eastAsia"/>
          <w:color w:val="auto"/>
        </w:rPr>
        <w:t>“宝宝”</w:t>
      </w:r>
      <w:r w:rsidRPr="006E567E">
        <w:rPr>
          <w:rFonts w:eastAsia="楷体_GB2312" w:hint="eastAsia"/>
          <w:color w:val="auto"/>
        </w:rPr>
        <w:t>浪潮，货币基金实现快速扩容，</w:t>
      </w:r>
      <w:r w:rsidR="000E25D0">
        <w:rPr>
          <w:rFonts w:eastAsia="楷体_GB2312" w:hint="eastAsia"/>
          <w:color w:val="auto"/>
        </w:rPr>
        <w:t>发行市场呈现供需两旺局面。</w:t>
      </w:r>
      <w:r>
        <w:rPr>
          <w:rFonts w:eastAsia="楷体_GB2312" w:hint="eastAsia"/>
          <w:color w:val="auto"/>
        </w:rPr>
        <w:t>2014</w:t>
      </w:r>
      <w:r>
        <w:rPr>
          <w:rFonts w:eastAsia="楷体_GB2312" w:hint="eastAsia"/>
          <w:color w:val="auto"/>
        </w:rPr>
        <w:t>年全</w:t>
      </w:r>
      <w:r w:rsidRPr="006E567E">
        <w:rPr>
          <w:rFonts w:eastAsia="楷体_GB2312" w:hint="eastAsia"/>
          <w:color w:val="auto"/>
        </w:rPr>
        <w:t>年共有</w:t>
      </w:r>
      <w:r>
        <w:rPr>
          <w:rFonts w:eastAsia="楷体_GB2312" w:hint="eastAsia"/>
          <w:color w:val="auto"/>
        </w:rPr>
        <w:t>67</w:t>
      </w:r>
      <w:r w:rsidRPr="006E567E">
        <w:rPr>
          <w:rFonts w:eastAsia="楷体_GB2312" w:hint="eastAsia"/>
          <w:color w:val="auto"/>
        </w:rPr>
        <w:t>只产品设立，</w:t>
      </w:r>
      <w:r w:rsidR="000E25D0">
        <w:rPr>
          <w:rFonts w:eastAsia="楷体_GB2312" w:hint="eastAsia"/>
          <w:color w:val="auto"/>
        </w:rPr>
        <w:t>发行数量较去年翻倍</w:t>
      </w:r>
      <w:r w:rsidRPr="006E567E">
        <w:rPr>
          <w:rFonts w:eastAsia="楷体_GB2312" w:hint="eastAsia"/>
          <w:color w:val="auto"/>
        </w:rPr>
        <w:t>，共计募资</w:t>
      </w:r>
      <w:r w:rsidR="000E25D0">
        <w:rPr>
          <w:rFonts w:eastAsia="楷体_GB2312" w:hint="eastAsia"/>
          <w:color w:val="auto"/>
        </w:rPr>
        <w:t>799.19</w:t>
      </w:r>
      <w:r w:rsidRPr="006E567E">
        <w:rPr>
          <w:rFonts w:eastAsia="楷体_GB2312" w:hint="eastAsia"/>
          <w:color w:val="auto"/>
        </w:rPr>
        <w:t>亿元，规模占比</w:t>
      </w:r>
      <w:r w:rsidR="000E25D0">
        <w:rPr>
          <w:rFonts w:eastAsia="楷体_GB2312" w:hint="eastAsia"/>
          <w:color w:val="auto"/>
        </w:rPr>
        <w:t>25.47</w:t>
      </w:r>
      <w:r w:rsidRPr="006E567E">
        <w:rPr>
          <w:rFonts w:eastAsia="楷体_GB2312" w:hint="eastAsia"/>
          <w:color w:val="auto"/>
        </w:rPr>
        <w:t>%</w:t>
      </w:r>
      <w:r w:rsidRPr="006E567E">
        <w:rPr>
          <w:rFonts w:eastAsia="楷体_GB2312" w:hint="eastAsia"/>
          <w:color w:val="auto"/>
        </w:rPr>
        <w:t>。其平均募集规模</w:t>
      </w:r>
      <w:r w:rsidR="000E25D0">
        <w:rPr>
          <w:rFonts w:eastAsia="楷体_GB2312" w:hint="eastAsia"/>
          <w:color w:val="auto"/>
        </w:rPr>
        <w:t>11.93</w:t>
      </w:r>
      <w:r w:rsidRPr="006E567E">
        <w:rPr>
          <w:rFonts w:eastAsia="楷体_GB2312" w:hint="eastAsia"/>
          <w:color w:val="auto"/>
        </w:rPr>
        <w:t>亿元，</w:t>
      </w:r>
      <w:r w:rsidR="000E25D0">
        <w:rPr>
          <w:rFonts w:eastAsia="楷体_GB2312" w:hint="eastAsia"/>
          <w:color w:val="auto"/>
        </w:rPr>
        <w:t>仅次于保本产品，位列第二</w:t>
      </w:r>
      <w:r w:rsidRPr="006E567E">
        <w:rPr>
          <w:rFonts w:eastAsia="楷体_GB2312" w:hint="eastAsia"/>
          <w:color w:val="auto"/>
        </w:rPr>
        <w:t>，受到投资者广泛认可。</w:t>
      </w:r>
      <w:r w:rsidR="000E25D0">
        <w:rPr>
          <w:rFonts w:eastAsia="楷体_GB2312" w:hint="eastAsia"/>
          <w:color w:val="auto"/>
        </w:rPr>
        <w:t>但值得注意的是，本轮货币基金爆发式增长源于</w:t>
      </w:r>
      <w:r w:rsidR="000E25D0">
        <w:rPr>
          <w:rFonts w:eastAsia="楷体_GB2312" w:hint="eastAsia"/>
          <w:color w:val="auto"/>
        </w:rPr>
        <w:t>T+0</w:t>
      </w:r>
      <w:r w:rsidR="000E25D0">
        <w:rPr>
          <w:rFonts w:eastAsia="楷体_GB2312" w:hint="eastAsia"/>
          <w:color w:val="auto"/>
        </w:rPr>
        <w:t>、场内</w:t>
      </w:r>
      <w:r w:rsidR="003D0250">
        <w:rPr>
          <w:rFonts w:eastAsia="楷体_GB2312" w:hint="eastAsia"/>
          <w:color w:val="auto"/>
        </w:rPr>
        <w:t>交易</w:t>
      </w:r>
      <w:r w:rsidR="000E25D0">
        <w:rPr>
          <w:rFonts w:eastAsia="楷体_GB2312" w:hint="eastAsia"/>
          <w:color w:val="auto"/>
        </w:rPr>
        <w:t>以及互联网平台嵌入等创新元素带来的产品升级换代，未来随着各大基金公司对此类产品布局结束，货币基金发行将</w:t>
      </w:r>
      <w:r w:rsidR="003D0250">
        <w:rPr>
          <w:rFonts w:eastAsia="楷体_GB2312" w:hint="eastAsia"/>
          <w:color w:val="auto"/>
        </w:rPr>
        <w:t>逐步回归常态。</w:t>
      </w:r>
    </w:p>
    <w:p w:rsidR="006E567E" w:rsidRDefault="006E567E" w:rsidP="00383888">
      <w:pPr>
        <w:pStyle w:val="ab"/>
        <w:numPr>
          <w:ilvl w:val="4"/>
          <w:numId w:val="1"/>
        </w:numPr>
        <w:spacing w:after="163"/>
        <w:rPr>
          <w:rFonts w:eastAsia="楷体_GB2312"/>
          <w:color w:val="auto"/>
        </w:rPr>
      </w:pPr>
      <w:r w:rsidRPr="006E567E">
        <w:rPr>
          <w:rFonts w:eastAsia="楷体_GB2312" w:hint="eastAsia"/>
          <w:b/>
          <w:color w:val="auto"/>
        </w:rPr>
        <w:t>债券型产品退热，理财基金风光不再。</w:t>
      </w:r>
      <w:r w:rsidR="00F62C76">
        <w:rPr>
          <w:rFonts w:eastAsia="楷体_GB2312" w:hint="eastAsia"/>
          <w:color w:val="auto"/>
        </w:rPr>
        <w:t>2014</w:t>
      </w:r>
      <w:r w:rsidR="00F62C76">
        <w:rPr>
          <w:rFonts w:eastAsia="楷体_GB2312" w:hint="eastAsia"/>
          <w:color w:val="auto"/>
        </w:rPr>
        <w:t>年</w:t>
      </w:r>
      <w:r w:rsidRPr="006E567E">
        <w:rPr>
          <w:rFonts w:eastAsia="楷体_GB2312" w:hint="eastAsia"/>
          <w:color w:val="auto"/>
        </w:rPr>
        <w:t>债券型基金设立数量为</w:t>
      </w:r>
      <w:r w:rsidR="00F62C76">
        <w:rPr>
          <w:rFonts w:eastAsia="楷体_GB2312" w:hint="eastAsia"/>
          <w:color w:val="auto"/>
        </w:rPr>
        <w:t>68</w:t>
      </w:r>
      <w:r w:rsidRPr="006E567E">
        <w:rPr>
          <w:rFonts w:eastAsia="楷体_GB2312" w:hint="eastAsia"/>
          <w:color w:val="auto"/>
        </w:rPr>
        <w:t>只，</w:t>
      </w:r>
      <w:r w:rsidR="00F62C76">
        <w:rPr>
          <w:rFonts w:eastAsia="楷体_GB2312" w:hint="eastAsia"/>
          <w:color w:val="auto"/>
        </w:rPr>
        <w:t>仅为去年全年的进</w:t>
      </w:r>
      <w:r w:rsidR="00F62C76">
        <w:rPr>
          <w:rFonts w:eastAsia="楷体_GB2312" w:hint="eastAsia"/>
          <w:color w:val="auto"/>
        </w:rPr>
        <w:t>1/3</w:t>
      </w:r>
      <w:r w:rsidRPr="006E567E">
        <w:rPr>
          <w:rFonts w:eastAsia="楷体_GB2312" w:hint="eastAsia"/>
          <w:color w:val="auto"/>
        </w:rPr>
        <w:t>，总募集规模</w:t>
      </w:r>
      <w:r w:rsidR="00F62C76">
        <w:rPr>
          <w:rFonts w:eastAsia="楷体_GB2312" w:hint="eastAsia"/>
          <w:color w:val="auto"/>
        </w:rPr>
        <w:t>572.78</w:t>
      </w:r>
      <w:r w:rsidRPr="006E567E">
        <w:rPr>
          <w:rFonts w:eastAsia="楷体_GB2312" w:hint="eastAsia"/>
          <w:color w:val="auto"/>
        </w:rPr>
        <w:t>亿元，平均募集规模大幅下降，由</w:t>
      </w:r>
      <w:r w:rsidRPr="006E567E">
        <w:rPr>
          <w:rFonts w:eastAsia="楷体_GB2312" w:hint="eastAsia"/>
          <w:color w:val="auto"/>
        </w:rPr>
        <w:t>2013</w:t>
      </w:r>
      <w:r w:rsidRPr="006E567E">
        <w:rPr>
          <w:rFonts w:eastAsia="楷体_GB2312" w:hint="eastAsia"/>
          <w:color w:val="auto"/>
        </w:rPr>
        <w:t>年的</w:t>
      </w:r>
      <w:r w:rsidR="00F62C76">
        <w:rPr>
          <w:rFonts w:eastAsia="楷体_GB2312" w:hint="eastAsia"/>
          <w:color w:val="auto"/>
        </w:rPr>
        <w:t>16.23</w:t>
      </w:r>
      <w:r w:rsidRPr="006E567E">
        <w:rPr>
          <w:rFonts w:eastAsia="楷体_GB2312" w:hint="eastAsia"/>
          <w:color w:val="auto"/>
        </w:rPr>
        <w:t>亿元降至</w:t>
      </w:r>
      <w:r w:rsidR="00F62C76">
        <w:rPr>
          <w:rFonts w:eastAsia="楷体_GB2312" w:hint="eastAsia"/>
          <w:color w:val="auto"/>
        </w:rPr>
        <w:t>8.42</w:t>
      </w:r>
      <w:r w:rsidRPr="006E567E">
        <w:rPr>
          <w:rFonts w:eastAsia="楷体_GB2312" w:hint="eastAsia"/>
          <w:color w:val="auto"/>
        </w:rPr>
        <w:t>亿元。债券基金经历了近两年的爆发式增长后，逐渐回归平稳。此外，曾受投资者热捧的理财债基，由于流动性不及</w:t>
      </w:r>
      <w:r w:rsidRPr="006E567E">
        <w:rPr>
          <w:rFonts w:eastAsia="楷体_GB2312" w:hint="eastAsia"/>
          <w:color w:val="auto"/>
        </w:rPr>
        <w:t>T+0</w:t>
      </w:r>
      <w:r w:rsidRPr="006E567E">
        <w:rPr>
          <w:rFonts w:eastAsia="楷体_GB2312" w:hint="eastAsia"/>
          <w:color w:val="auto"/>
        </w:rPr>
        <w:t>货币基金，收益</w:t>
      </w:r>
      <w:r w:rsidR="00050667">
        <w:rPr>
          <w:rFonts w:eastAsia="楷体_GB2312" w:hint="eastAsia"/>
          <w:color w:val="auto"/>
        </w:rPr>
        <w:t>性</w:t>
      </w:r>
      <w:r w:rsidRPr="006E567E">
        <w:rPr>
          <w:rFonts w:eastAsia="楷体_GB2312" w:hint="eastAsia"/>
          <w:color w:val="auto"/>
        </w:rPr>
        <w:t>较之银行理财鲜有优势，发展瓶颈</w:t>
      </w:r>
      <w:r w:rsidR="00F62C76">
        <w:rPr>
          <w:rFonts w:eastAsia="楷体_GB2312" w:hint="eastAsia"/>
          <w:color w:val="auto"/>
        </w:rPr>
        <w:t>逐渐显露</w:t>
      </w:r>
      <w:r w:rsidRPr="006E567E">
        <w:rPr>
          <w:rFonts w:eastAsia="楷体_GB2312" w:hint="eastAsia"/>
          <w:color w:val="auto"/>
        </w:rPr>
        <w:t>，</w:t>
      </w:r>
      <w:r w:rsidR="00F62C76">
        <w:rPr>
          <w:rFonts w:eastAsia="楷体_GB2312" w:hint="eastAsia"/>
          <w:color w:val="auto"/>
        </w:rPr>
        <w:t>全年仅有</w:t>
      </w:r>
      <w:r w:rsidR="00AA3DE3">
        <w:rPr>
          <w:rFonts w:eastAsia="楷体_GB2312" w:hint="eastAsia"/>
          <w:color w:val="auto"/>
        </w:rPr>
        <w:t>7</w:t>
      </w:r>
      <w:r w:rsidRPr="006E567E">
        <w:rPr>
          <w:rFonts w:eastAsia="楷体_GB2312" w:hint="eastAsia"/>
          <w:color w:val="auto"/>
        </w:rPr>
        <w:t>只产品设立，平均募集规模</w:t>
      </w:r>
      <w:r w:rsidR="00F62C76">
        <w:rPr>
          <w:rFonts w:eastAsia="楷体_GB2312" w:hint="eastAsia"/>
          <w:color w:val="auto"/>
        </w:rPr>
        <w:t>3.31</w:t>
      </w:r>
      <w:r w:rsidRPr="006E567E">
        <w:rPr>
          <w:rFonts w:eastAsia="楷体_GB2312" w:hint="eastAsia"/>
          <w:color w:val="auto"/>
        </w:rPr>
        <w:t>亿，与去年全年</w:t>
      </w:r>
      <w:r w:rsidR="00F62C76">
        <w:rPr>
          <w:rFonts w:eastAsia="楷体_GB2312" w:hint="eastAsia"/>
          <w:color w:val="auto"/>
        </w:rPr>
        <w:t>48.30</w:t>
      </w:r>
      <w:r w:rsidR="00F62C76">
        <w:rPr>
          <w:rFonts w:eastAsia="楷体_GB2312" w:hint="eastAsia"/>
          <w:color w:val="auto"/>
        </w:rPr>
        <w:t>亿元的平均募集规模相去甚远，而部分已设产品由于份额持续缩水，运营成本较高，而选择转型或摘牌。</w:t>
      </w:r>
    </w:p>
    <w:p w:rsidR="006E567E" w:rsidRDefault="006E567E" w:rsidP="00383888">
      <w:pPr>
        <w:pStyle w:val="ab"/>
        <w:numPr>
          <w:ilvl w:val="4"/>
          <w:numId w:val="1"/>
        </w:numPr>
        <w:spacing w:after="163"/>
        <w:rPr>
          <w:rFonts w:eastAsia="楷体_GB2312"/>
          <w:color w:val="auto"/>
        </w:rPr>
      </w:pPr>
      <w:r w:rsidRPr="006E567E">
        <w:rPr>
          <w:rFonts w:eastAsia="楷体_GB2312" w:hint="eastAsia"/>
          <w:b/>
          <w:color w:val="auto"/>
        </w:rPr>
        <w:t>保本型、</w:t>
      </w:r>
      <w:r w:rsidRPr="006E567E">
        <w:rPr>
          <w:rFonts w:eastAsia="楷体_GB2312" w:hint="eastAsia"/>
          <w:b/>
          <w:color w:val="auto"/>
        </w:rPr>
        <w:t>QDII</w:t>
      </w:r>
      <w:r w:rsidRPr="006E567E">
        <w:rPr>
          <w:rFonts w:eastAsia="楷体_GB2312" w:hint="eastAsia"/>
          <w:b/>
          <w:color w:val="auto"/>
        </w:rPr>
        <w:t>产品则发行较为迟滞，</w:t>
      </w:r>
      <w:r w:rsidR="003D0250" w:rsidRPr="003D0250">
        <w:rPr>
          <w:rFonts w:eastAsia="楷体_GB2312" w:hint="eastAsia"/>
          <w:color w:val="auto"/>
        </w:rPr>
        <w:t>2014</w:t>
      </w:r>
      <w:r w:rsidR="003D0250" w:rsidRPr="003D0250">
        <w:rPr>
          <w:rFonts w:eastAsia="楷体_GB2312" w:hint="eastAsia"/>
          <w:color w:val="auto"/>
        </w:rPr>
        <w:t>年</w:t>
      </w:r>
      <w:r w:rsidR="00AA3DE3">
        <w:rPr>
          <w:rFonts w:eastAsia="楷体_GB2312" w:hint="eastAsia"/>
          <w:color w:val="auto"/>
        </w:rPr>
        <w:t>共设有保本型产品</w:t>
      </w:r>
      <w:r w:rsidR="00AA3DE3">
        <w:rPr>
          <w:rFonts w:eastAsia="楷体_GB2312" w:hint="eastAsia"/>
          <w:color w:val="auto"/>
        </w:rPr>
        <w:t>6</w:t>
      </w:r>
      <w:r w:rsidRPr="006E567E">
        <w:rPr>
          <w:rFonts w:eastAsia="楷体_GB2312" w:hint="eastAsia"/>
          <w:color w:val="auto"/>
        </w:rPr>
        <w:t>只</w:t>
      </w:r>
      <w:r w:rsidR="00AA3DE3">
        <w:rPr>
          <w:rFonts w:eastAsia="楷体_GB2312" w:hint="eastAsia"/>
          <w:color w:val="auto"/>
        </w:rPr>
        <w:t>，募得</w:t>
      </w:r>
      <w:r w:rsidR="00AA3DE3" w:rsidRPr="00AA3DE3">
        <w:rPr>
          <w:rFonts w:eastAsia="楷体_GB2312"/>
          <w:color w:val="auto"/>
        </w:rPr>
        <w:t>79.67</w:t>
      </w:r>
      <w:r w:rsidR="00AA3DE3">
        <w:rPr>
          <w:rFonts w:eastAsia="楷体_GB2312" w:hint="eastAsia"/>
          <w:color w:val="auto"/>
        </w:rPr>
        <w:t>，</w:t>
      </w:r>
      <w:r w:rsidR="00AA3DE3">
        <w:rPr>
          <w:rFonts w:eastAsia="楷体_GB2312"/>
          <w:color w:val="auto"/>
        </w:rPr>
        <w:t>平均募集规模</w:t>
      </w:r>
      <w:r w:rsidR="00AA3DE3" w:rsidRPr="00AA3DE3">
        <w:rPr>
          <w:rFonts w:eastAsia="楷体_GB2312"/>
          <w:color w:val="auto"/>
        </w:rPr>
        <w:t>13.28</w:t>
      </w:r>
      <w:r w:rsidRPr="006E567E">
        <w:rPr>
          <w:rFonts w:eastAsia="楷体_GB2312" w:hint="eastAsia"/>
          <w:color w:val="auto"/>
        </w:rPr>
        <w:t>，</w:t>
      </w:r>
      <w:r w:rsidR="00AA3DE3">
        <w:rPr>
          <w:rFonts w:eastAsia="楷体_GB2312" w:hint="eastAsia"/>
          <w:color w:val="auto"/>
        </w:rPr>
        <w:t>居各类型之首；新设</w:t>
      </w:r>
      <w:r w:rsidRPr="006E567E">
        <w:rPr>
          <w:rFonts w:eastAsia="楷体_GB2312" w:hint="eastAsia"/>
          <w:color w:val="auto"/>
        </w:rPr>
        <w:t>QDII</w:t>
      </w:r>
      <w:r w:rsidR="00AA3DE3">
        <w:rPr>
          <w:rFonts w:eastAsia="楷体_GB2312" w:hint="eastAsia"/>
          <w:color w:val="auto"/>
        </w:rPr>
        <w:t>5</w:t>
      </w:r>
      <w:r w:rsidR="00AA3DE3">
        <w:rPr>
          <w:rFonts w:eastAsia="楷体_GB2312" w:hint="eastAsia"/>
          <w:color w:val="auto"/>
        </w:rPr>
        <w:t>只，募集规模</w:t>
      </w:r>
      <w:r w:rsidR="00AA3DE3" w:rsidRPr="00AA3DE3">
        <w:rPr>
          <w:rFonts w:eastAsia="楷体_GB2312"/>
          <w:color w:val="auto"/>
        </w:rPr>
        <w:t>26.98</w:t>
      </w:r>
      <w:r w:rsidRPr="006E567E">
        <w:rPr>
          <w:rFonts w:eastAsia="楷体_GB2312" w:hint="eastAsia"/>
          <w:color w:val="auto"/>
        </w:rPr>
        <w:t>亿元</w:t>
      </w:r>
      <w:r w:rsidR="00AA3DE3">
        <w:rPr>
          <w:rFonts w:eastAsia="楷体_GB2312" w:hint="eastAsia"/>
          <w:color w:val="auto"/>
        </w:rPr>
        <w:t>，整体来看两类产品发展较为迟滞</w:t>
      </w:r>
      <w:r w:rsidRPr="006E567E">
        <w:rPr>
          <w:rFonts w:eastAsia="楷体_GB2312" w:hint="eastAsia"/>
          <w:color w:val="auto"/>
        </w:rPr>
        <w:t>。</w:t>
      </w:r>
    </w:p>
    <w:p w:rsidR="002F5588" w:rsidRPr="00812506" w:rsidRDefault="002F5588" w:rsidP="002F5588">
      <w:pPr>
        <w:pStyle w:val="ab"/>
        <w:spacing w:after="163"/>
        <w:rPr>
          <w:rFonts w:eastAsia="楷体_GB2312"/>
          <w:b/>
          <w:bCs/>
          <w:color w:val="0070C0"/>
          <w:sz w:val="24"/>
        </w:rPr>
      </w:pPr>
      <w:r w:rsidRPr="00812506">
        <w:rPr>
          <w:rFonts w:eastAsia="楷体_GB2312" w:hint="eastAsia"/>
          <w:b/>
          <w:bCs/>
          <w:color w:val="0070C0"/>
          <w:sz w:val="24"/>
        </w:rPr>
        <w:t>法律监管</w:t>
      </w:r>
      <w:r w:rsidR="00635910" w:rsidRPr="00812506">
        <w:rPr>
          <w:rFonts w:eastAsia="楷体_GB2312" w:hint="eastAsia"/>
          <w:b/>
          <w:bCs/>
          <w:color w:val="0070C0"/>
          <w:sz w:val="24"/>
        </w:rPr>
        <w:t>政策</w:t>
      </w:r>
      <w:r w:rsidRPr="00812506">
        <w:rPr>
          <w:rFonts w:eastAsia="楷体_GB2312" w:hint="eastAsia"/>
          <w:b/>
          <w:bCs/>
          <w:color w:val="0070C0"/>
          <w:sz w:val="24"/>
        </w:rPr>
        <w:t>：注册制落地</w:t>
      </w:r>
    </w:p>
    <w:p w:rsidR="002F5588" w:rsidRDefault="002F5588" w:rsidP="002F5588">
      <w:pPr>
        <w:pStyle w:val="ab"/>
        <w:spacing w:after="163"/>
        <w:rPr>
          <w:rFonts w:eastAsia="楷体_GB2312"/>
          <w:b/>
          <w:bCs/>
          <w:color w:val="0070C0"/>
          <w:szCs w:val="21"/>
        </w:rPr>
      </w:pPr>
      <w:r w:rsidRPr="00D83752">
        <w:rPr>
          <w:rFonts w:eastAsia="楷体_GB2312" w:hint="eastAsia"/>
          <w:b/>
          <w:bCs/>
          <w:color w:val="0070C0"/>
          <w:szCs w:val="21"/>
        </w:rPr>
        <w:t>公</w:t>
      </w:r>
      <w:proofErr w:type="gramStart"/>
      <w:r w:rsidRPr="00D83752">
        <w:rPr>
          <w:rFonts w:eastAsia="楷体_GB2312" w:hint="eastAsia"/>
          <w:b/>
          <w:bCs/>
          <w:color w:val="0070C0"/>
          <w:szCs w:val="21"/>
        </w:rPr>
        <w:t>募基金</w:t>
      </w:r>
      <w:proofErr w:type="gramEnd"/>
      <w:r w:rsidRPr="00D83752">
        <w:rPr>
          <w:rFonts w:eastAsia="楷体_GB2312" w:hint="eastAsia"/>
          <w:b/>
          <w:bCs/>
          <w:color w:val="0070C0"/>
          <w:szCs w:val="21"/>
        </w:rPr>
        <w:t>运作管理办法正式颁布</w:t>
      </w:r>
    </w:p>
    <w:p w:rsidR="002F5588" w:rsidRDefault="002F5588" w:rsidP="002F5588">
      <w:pPr>
        <w:pStyle w:val="ab"/>
        <w:numPr>
          <w:ilvl w:val="4"/>
          <w:numId w:val="1"/>
        </w:numPr>
        <w:spacing w:after="163"/>
        <w:rPr>
          <w:rFonts w:eastAsia="楷体_GB2312"/>
          <w:color w:val="auto"/>
        </w:rPr>
      </w:pPr>
      <w:r>
        <w:rPr>
          <w:rFonts w:eastAsia="楷体_GB2312" w:hint="eastAsia"/>
          <w:color w:val="auto"/>
        </w:rPr>
        <w:t>2014</w:t>
      </w:r>
      <w:r>
        <w:rPr>
          <w:rFonts w:eastAsia="楷体_GB2312" w:hint="eastAsia"/>
          <w:color w:val="auto"/>
        </w:rPr>
        <w:t>年</w:t>
      </w:r>
      <w:r>
        <w:rPr>
          <w:rFonts w:eastAsia="楷体_GB2312" w:hint="eastAsia"/>
          <w:color w:val="auto"/>
        </w:rPr>
        <w:t>7</w:t>
      </w:r>
      <w:r>
        <w:rPr>
          <w:rFonts w:eastAsia="楷体_GB2312" w:hint="eastAsia"/>
          <w:color w:val="auto"/>
        </w:rPr>
        <w:t>月</w:t>
      </w:r>
      <w:r w:rsidRPr="00D83752">
        <w:rPr>
          <w:rFonts w:eastAsia="楷体_GB2312" w:hint="eastAsia"/>
          <w:color w:val="auto"/>
        </w:rPr>
        <w:t>，证监会正式发布《公开募集证券投资基金运作管理办法》，并于</w:t>
      </w:r>
      <w:r w:rsidRPr="00D83752">
        <w:rPr>
          <w:rFonts w:eastAsia="楷体_GB2312" w:hint="eastAsia"/>
          <w:color w:val="auto"/>
        </w:rPr>
        <w:t>2014</w:t>
      </w:r>
      <w:r w:rsidRPr="00D83752">
        <w:rPr>
          <w:rFonts w:eastAsia="楷体_GB2312" w:hint="eastAsia"/>
          <w:color w:val="auto"/>
        </w:rPr>
        <w:t>年</w:t>
      </w:r>
      <w:r w:rsidRPr="00D83752">
        <w:rPr>
          <w:rFonts w:eastAsia="楷体_GB2312" w:hint="eastAsia"/>
          <w:color w:val="auto"/>
        </w:rPr>
        <w:t>8</w:t>
      </w:r>
      <w:r w:rsidRPr="00D83752">
        <w:rPr>
          <w:rFonts w:eastAsia="楷体_GB2312" w:hint="eastAsia"/>
          <w:color w:val="auto"/>
        </w:rPr>
        <w:t>月</w:t>
      </w:r>
      <w:r w:rsidRPr="00D83752">
        <w:rPr>
          <w:rFonts w:eastAsia="楷体_GB2312" w:hint="eastAsia"/>
          <w:color w:val="auto"/>
        </w:rPr>
        <w:t>8</w:t>
      </w:r>
      <w:r w:rsidRPr="00D83752">
        <w:rPr>
          <w:rFonts w:eastAsia="楷体_GB2312" w:hint="eastAsia"/>
          <w:color w:val="auto"/>
        </w:rPr>
        <w:t>日起正式实施。本次发布的《运作管理办法》遵循了加强监管，放松管制的指导理念，条文修改重点围绕以投资者需求为导向、保障投资者合法权益；推进市场化改革、落实公</w:t>
      </w:r>
      <w:proofErr w:type="gramStart"/>
      <w:r w:rsidRPr="00D83752">
        <w:rPr>
          <w:rFonts w:eastAsia="楷体_GB2312" w:hint="eastAsia"/>
          <w:color w:val="auto"/>
        </w:rPr>
        <w:t>募基金</w:t>
      </w:r>
      <w:proofErr w:type="gramEnd"/>
      <w:r w:rsidRPr="00D83752">
        <w:rPr>
          <w:rFonts w:eastAsia="楷体_GB2312" w:hint="eastAsia"/>
          <w:color w:val="auto"/>
        </w:rPr>
        <w:t>注册制；规范基金运作、防范系统性风险；拓宽行业创新空间等四个方面进行修改，并对未来公</w:t>
      </w:r>
      <w:proofErr w:type="gramStart"/>
      <w:r w:rsidRPr="00D83752">
        <w:rPr>
          <w:rFonts w:eastAsia="楷体_GB2312" w:hint="eastAsia"/>
          <w:color w:val="auto"/>
        </w:rPr>
        <w:t>募基金</w:t>
      </w:r>
      <w:proofErr w:type="gramEnd"/>
      <w:r w:rsidRPr="00D83752">
        <w:rPr>
          <w:rFonts w:eastAsia="楷体_GB2312" w:hint="eastAsia"/>
          <w:color w:val="auto"/>
        </w:rPr>
        <w:t>业发展产生深远影响。</w:t>
      </w:r>
    </w:p>
    <w:p w:rsidR="002F5588" w:rsidRDefault="002F5588" w:rsidP="002F5588">
      <w:pPr>
        <w:pStyle w:val="ab"/>
        <w:numPr>
          <w:ilvl w:val="4"/>
          <w:numId w:val="1"/>
        </w:numPr>
        <w:spacing w:after="163"/>
        <w:rPr>
          <w:rFonts w:eastAsia="楷体_GB2312"/>
          <w:color w:val="auto"/>
        </w:rPr>
      </w:pPr>
      <w:r w:rsidRPr="00D83752">
        <w:rPr>
          <w:rFonts w:eastAsia="楷体_GB2312" w:hint="eastAsia"/>
          <w:b/>
          <w:color w:val="auto"/>
        </w:rPr>
        <w:t>公</w:t>
      </w:r>
      <w:proofErr w:type="gramStart"/>
      <w:r w:rsidRPr="00D83752">
        <w:rPr>
          <w:rFonts w:eastAsia="楷体_GB2312" w:hint="eastAsia"/>
          <w:b/>
          <w:color w:val="auto"/>
        </w:rPr>
        <w:t>募基金</w:t>
      </w:r>
      <w:proofErr w:type="gramEnd"/>
      <w:r w:rsidRPr="00D83752">
        <w:rPr>
          <w:rFonts w:eastAsia="楷体_GB2312" w:hint="eastAsia"/>
          <w:b/>
          <w:color w:val="auto"/>
        </w:rPr>
        <w:t>注册制正式落地。</w:t>
      </w:r>
      <w:r w:rsidRPr="00D83752">
        <w:rPr>
          <w:rFonts w:eastAsia="楷体_GB2312" w:hint="eastAsia"/>
          <w:color w:val="auto"/>
        </w:rPr>
        <w:t>结合《管理办法》相关规定，未来证监会将从监管理念、监管方式、许可程序、事中事后监管等层面上做出调整，为基</w:t>
      </w:r>
      <w:r w:rsidRPr="00D83752">
        <w:rPr>
          <w:rFonts w:eastAsia="楷体_GB2312" w:hint="eastAsia"/>
          <w:color w:val="auto"/>
        </w:rPr>
        <w:lastRenderedPageBreak/>
        <w:t>金注册制的顺利实施保驾护航。在产品发行市场化的背景下，充分有效的信息披露对于投资者权益的保障至关重要；此外随着产品审批程序的简化，以及事中事后监管的强化，有利于基金公司根据市场环境及自身发展规划调整产品供应节奏及方向，并为产品创新预留较为充足的空间。</w:t>
      </w:r>
    </w:p>
    <w:p w:rsidR="002F5588" w:rsidRDefault="002F5588" w:rsidP="002F5588">
      <w:pPr>
        <w:pStyle w:val="ab"/>
        <w:numPr>
          <w:ilvl w:val="4"/>
          <w:numId w:val="1"/>
        </w:numPr>
        <w:spacing w:after="163"/>
        <w:rPr>
          <w:rFonts w:eastAsia="楷体_GB2312"/>
          <w:color w:val="auto"/>
        </w:rPr>
      </w:pPr>
      <w:r w:rsidRPr="00D83752">
        <w:rPr>
          <w:rFonts w:eastAsia="楷体_GB2312" w:hint="eastAsia"/>
          <w:b/>
          <w:color w:val="auto"/>
        </w:rPr>
        <w:t>现有大类产品运作格局面临调整。</w:t>
      </w:r>
      <w:r w:rsidRPr="00D83752">
        <w:rPr>
          <w:rFonts w:eastAsia="楷体_GB2312" w:hint="eastAsia"/>
          <w:color w:val="auto"/>
        </w:rPr>
        <w:t>根据新版《运作管理办法规定》，股票型产品</w:t>
      </w:r>
      <w:proofErr w:type="gramStart"/>
      <w:r w:rsidRPr="00D83752">
        <w:rPr>
          <w:rFonts w:eastAsia="楷体_GB2312" w:hint="eastAsia"/>
          <w:color w:val="auto"/>
        </w:rPr>
        <w:t>仓位</w:t>
      </w:r>
      <w:proofErr w:type="gramEnd"/>
      <w:r w:rsidRPr="00D83752">
        <w:rPr>
          <w:rFonts w:eastAsia="楷体_GB2312" w:hint="eastAsia"/>
          <w:color w:val="auto"/>
        </w:rPr>
        <w:t>下限将从原有的</w:t>
      </w:r>
      <w:r w:rsidRPr="00D83752">
        <w:rPr>
          <w:rFonts w:eastAsia="楷体_GB2312" w:hint="eastAsia"/>
          <w:color w:val="auto"/>
        </w:rPr>
        <w:t>60%</w:t>
      </w:r>
      <w:r w:rsidRPr="00D83752">
        <w:rPr>
          <w:rFonts w:eastAsia="楷体_GB2312" w:hint="eastAsia"/>
          <w:color w:val="auto"/>
        </w:rPr>
        <w:t>上调至</w:t>
      </w:r>
      <w:r w:rsidRPr="00D83752">
        <w:rPr>
          <w:rFonts w:eastAsia="楷体_GB2312" w:hint="eastAsia"/>
          <w:color w:val="auto"/>
        </w:rPr>
        <w:t>80%</w:t>
      </w:r>
      <w:r w:rsidRPr="00D83752">
        <w:rPr>
          <w:rFonts w:eastAsia="楷体_GB2312" w:hint="eastAsia"/>
          <w:color w:val="auto"/>
        </w:rPr>
        <w:t>，其高风险高收益的运作特征将得到强化。与此同时部分不满足要求的股票基金，可能以修改契约的方式转型为混合基金，届时将出现股票基金向混合型分流的趋势。此外根据新版《运作管理办法》规定，基金杠杆比例不得超过</w:t>
      </w:r>
      <w:r w:rsidRPr="00D83752">
        <w:rPr>
          <w:rFonts w:eastAsia="楷体_GB2312" w:hint="eastAsia"/>
          <w:color w:val="auto"/>
        </w:rPr>
        <w:t>140%</w:t>
      </w:r>
      <w:r w:rsidRPr="00D83752">
        <w:rPr>
          <w:rFonts w:eastAsia="楷体_GB2312" w:hint="eastAsia"/>
          <w:color w:val="auto"/>
        </w:rPr>
        <w:t>，对于此前借助高杠杆比率放大收益的债券型基金而言，在风险下降的同时其获益空间同时受到制约。</w:t>
      </w:r>
    </w:p>
    <w:p w:rsidR="002F5588" w:rsidRPr="002F5588" w:rsidRDefault="002F5588" w:rsidP="002F5588">
      <w:pPr>
        <w:pStyle w:val="ab"/>
        <w:numPr>
          <w:ilvl w:val="4"/>
          <w:numId w:val="1"/>
        </w:numPr>
        <w:spacing w:after="163"/>
        <w:rPr>
          <w:rFonts w:eastAsia="楷体_GB2312"/>
          <w:b/>
          <w:color w:val="auto"/>
        </w:rPr>
      </w:pPr>
      <w:r w:rsidRPr="00D83752">
        <w:rPr>
          <w:rFonts w:eastAsia="楷体_GB2312" w:hint="eastAsia"/>
          <w:b/>
          <w:color w:val="auto"/>
        </w:rPr>
        <w:t>FOF</w:t>
      </w:r>
      <w:r w:rsidRPr="00D83752">
        <w:rPr>
          <w:rFonts w:eastAsia="楷体_GB2312" w:hint="eastAsia"/>
          <w:b/>
          <w:color w:val="auto"/>
        </w:rPr>
        <w:t>产品待破题。</w:t>
      </w:r>
      <w:r w:rsidRPr="002F5588">
        <w:rPr>
          <w:rFonts w:eastAsia="楷体_GB2312" w:hint="eastAsia"/>
          <w:color w:val="auto"/>
        </w:rPr>
        <w:t>新版《运作管理办法》明确提出</w:t>
      </w:r>
      <w:r w:rsidRPr="002F5588">
        <w:rPr>
          <w:rFonts w:eastAsia="楷体_GB2312" w:hint="eastAsia"/>
          <w:color w:val="auto"/>
        </w:rPr>
        <w:t>FOF</w:t>
      </w:r>
      <w:r w:rsidRPr="002F5588">
        <w:rPr>
          <w:rFonts w:eastAsia="楷体_GB2312" w:hint="eastAsia"/>
          <w:color w:val="auto"/>
        </w:rPr>
        <w:t>投资于其他基金份额的比例下限为</w:t>
      </w:r>
      <w:r w:rsidRPr="002F5588">
        <w:rPr>
          <w:rFonts w:eastAsia="楷体_GB2312" w:hint="eastAsia"/>
          <w:color w:val="auto"/>
        </w:rPr>
        <w:t>80</w:t>
      </w:r>
      <w:r w:rsidRPr="002F5588">
        <w:rPr>
          <w:rFonts w:eastAsia="楷体_GB2312" w:hint="eastAsia"/>
          <w:color w:val="auto"/>
        </w:rPr>
        <w:t>％，持有单只基金的市值不得超过基金资产净值的</w:t>
      </w:r>
      <w:r w:rsidRPr="002F5588">
        <w:rPr>
          <w:rFonts w:eastAsia="楷体_GB2312" w:hint="eastAsia"/>
          <w:color w:val="auto"/>
        </w:rPr>
        <w:t>20%,</w:t>
      </w:r>
      <w:r w:rsidRPr="002F5588">
        <w:rPr>
          <w:rFonts w:eastAsia="楷体_GB2312" w:hint="eastAsia"/>
          <w:color w:val="auto"/>
        </w:rPr>
        <w:t>不得投资于其他</w:t>
      </w:r>
      <w:r w:rsidRPr="002F5588">
        <w:rPr>
          <w:rFonts w:eastAsia="楷体_GB2312" w:hint="eastAsia"/>
          <w:color w:val="auto"/>
        </w:rPr>
        <w:t>FOF</w:t>
      </w:r>
      <w:r w:rsidRPr="002F5588">
        <w:rPr>
          <w:rFonts w:eastAsia="楷体_GB2312" w:hint="eastAsia"/>
          <w:color w:val="auto"/>
        </w:rPr>
        <w:t>。相关规定为公</w:t>
      </w:r>
      <w:proofErr w:type="gramStart"/>
      <w:r w:rsidRPr="002F5588">
        <w:rPr>
          <w:rFonts w:eastAsia="楷体_GB2312" w:hint="eastAsia"/>
          <w:color w:val="auto"/>
        </w:rPr>
        <w:t>募</w:t>
      </w:r>
      <w:proofErr w:type="gramEnd"/>
      <w:r w:rsidRPr="002F5588">
        <w:rPr>
          <w:rFonts w:eastAsia="楷体_GB2312" w:hint="eastAsia"/>
          <w:color w:val="auto"/>
        </w:rPr>
        <w:t>FOF</w:t>
      </w:r>
      <w:r w:rsidRPr="002F5588">
        <w:rPr>
          <w:rFonts w:eastAsia="楷体_GB2312" w:hint="eastAsia"/>
          <w:color w:val="auto"/>
        </w:rPr>
        <w:t>产品的设计及运作提供了坐标，但作为创新领域，其具体产品的</w:t>
      </w:r>
      <w:proofErr w:type="gramStart"/>
      <w:r w:rsidRPr="002F5588">
        <w:rPr>
          <w:rFonts w:eastAsia="楷体_GB2312" w:hint="eastAsia"/>
          <w:color w:val="auto"/>
        </w:rPr>
        <w:t>推出仍有赖风控</w:t>
      </w:r>
      <w:proofErr w:type="gramEnd"/>
      <w:r w:rsidRPr="002F5588">
        <w:rPr>
          <w:rFonts w:eastAsia="楷体_GB2312" w:hint="eastAsia"/>
          <w:color w:val="auto"/>
        </w:rPr>
        <w:t>、投资等环节设计细节的磨合测试。</w:t>
      </w:r>
    </w:p>
    <w:p w:rsidR="002F5588" w:rsidRDefault="002F5588" w:rsidP="002F5588">
      <w:pPr>
        <w:pStyle w:val="ab"/>
        <w:spacing w:after="163"/>
        <w:rPr>
          <w:rFonts w:eastAsia="楷体_GB2312"/>
          <w:b/>
          <w:bCs/>
          <w:color w:val="0070C0"/>
          <w:szCs w:val="21"/>
        </w:rPr>
      </w:pPr>
      <w:proofErr w:type="gramStart"/>
      <w:r w:rsidRPr="00767EA6">
        <w:rPr>
          <w:rFonts w:eastAsia="楷体_GB2312" w:hint="eastAsia"/>
          <w:b/>
          <w:bCs/>
          <w:color w:val="0070C0"/>
          <w:szCs w:val="21"/>
        </w:rPr>
        <w:t>券基资管规范</w:t>
      </w:r>
      <w:proofErr w:type="gramEnd"/>
      <w:r w:rsidRPr="00767EA6">
        <w:rPr>
          <w:rFonts w:eastAsia="楷体_GB2312" w:hint="eastAsia"/>
          <w:b/>
          <w:bCs/>
          <w:color w:val="0070C0"/>
          <w:szCs w:val="21"/>
        </w:rPr>
        <w:t>意见稿发布</w:t>
      </w:r>
    </w:p>
    <w:p w:rsidR="002F5588" w:rsidRDefault="00635910" w:rsidP="002F5588">
      <w:pPr>
        <w:pStyle w:val="ab"/>
        <w:numPr>
          <w:ilvl w:val="4"/>
          <w:numId w:val="1"/>
        </w:numPr>
        <w:spacing w:after="163"/>
        <w:rPr>
          <w:rFonts w:eastAsia="楷体_GB2312"/>
          <w:color w:val="auto"/>
        </w:rPr>
      </w:pPr>
      <w:r>
        <w:rPr>
          <w:rFonts w:eastAsia="楷体_GB2312" w:hint="eastAsia"/>
          <w:color w:val="auto"/>
        </w:rPr>
        <w:t>2014</w:t>
      </w:r>
      <w:r>
        <w:rPr>
          <w:rFonts w:eastAsia="楷体_GB2312" w:hint="eastAsia"/>
          <w:color w:val="auto"/>
        </w:rPr>
        <w:t>年</w:t>
      </w:r>
      <w:r w:rsidR="002F5588" w:rsidRPr="00767EA6">
        <w:rPr>
          <w:rFonts w:eastAsia="楷体_GB2312" w:hint="eastAsia"/>
          <w:color w:val="auto"/>
        </w:rPr>
        <w:t>9</w:t>
      </w:r>
      <w:r w:rsidR="002F5588" w:rsidRPr="00767EA6">
        <w:rPr>
          <w:rFonts w:eastAsia="楷体_GB2312" w:hint="eastAsia"/>
          <w:color w:val="auto"/>
        </w:rPr>
        <w:t>月</w:t>
      </w:r>
      <w:r>
        <w:rPr>
          <w:rFonts w:eastAsia="楷体_GB2312" w:hint="eastAsia"/>
          <w:color w:val="auto"/>
        </w:rPr>
        <w:t>，</w:t>
      </w:r>
      <w:r w:rsidR="002F5588" w:rsidRPr="00767EA6">
        <w:rPr>
          <w:rFonts w:eastAsia="楷体_GB2312" w:hint="eastAsia"/>
          <w:color w:val="auto"/>
        </w:rPr>
        <w:t>基金业协会下发《关于规范证券公司、基金管理公司及其子公司从事特定客户资产管理业务有关事项的通知（征求意见稿）》对通道业务、信息披露、产品设计、从业人员管理及问责机制等方面做出明确规范，强调提升机构主动管理能力，加强风险控制，严防利益输送、内幕交易等违法行为。</w:t>
      </w:r>
    </w:p>
    <w:p w:rsidR="002F5588" w:rsidRDefault="002F5588" w:rsidP="002F5588">
      <w:pPr>
        <w:pStyle w:val="ab"/>
        <w:numPr>
          <w:ilvl w:val="4"/>
          <w:numId w:val="1"/>
        </w:numPr>
        <w:spacing w:after="163"/>
        <w:rPr>
          <w:rFonts w:eastAsia="楷体_GB2312"/>
          <w:color w:val="auto"/>
        </w:rPr>
      </w:pPr>
      <w:r w:rsidRPr="00767EA6">
        <w:rPr>
          <w:rFonts w:eastAsia="楷体_GB2312" w:hint="eastAsia"/>
          <w:b/>
          <w:color w:val="auto"/>
        </w:rPr>
        <w:t>增强三方机构信息披露。</w:t>
      </w:r>
      <w:r w:rsidRPr="00767EA6">
        <w:rPr>
          <w:rFonts w:eastAsia="楷体_GB2312" w:hint="eastAsia"/>
          <w:color w:val="auto"/>
        </w:rPr>
        <w:t>信息披露环节，《征求意见稿》要求资产管理机构签订资产管理合同，应充分披露第三方机构的基本情况、产品的管理方式，并对管理人与第三方机构的责任等进行约定，充分揭示聘用第三方机构开展特定客户资产管理业务所面临的特定风险。</w:t>
      </w:r>
    </w:p>
    <w:p w:rsidR="002F5588" w:rsidRDefault="002F5588" w:rsidP="002F5588">
      <w:pPr>
        <w:pStyle w:val="ab"/>
        <w:numPr>
          <w:ilvl w:val="4"/>
          <w:numId w:val="1"/>
        </w:numPr>
        <w:spacing w:after="163"/>
        <w:rPr>
          <w:rFonts w:eastAsia="楷体_GB2312"/>
          <w:color w:val="auto"/>
        </w:rPr>
      </w:pPr>
      <w:r w:rsidRPr="00767EA6">
        <w:rPr>
          <w:rFonts w:eastAsia="楷体_GB2312" w:hint="eastAsia"/>
          <w:b/>
          <w:color w:val="auto"/>
        </w:rPr>
        <w:t>规范分级产品杠杆设定。</w:t>
      </w:r>
      <w:r w:rsidRPr="00767EA6">
        <w:rPr>
          <w:rFonts w:eastAsia="楷体_GB2312" w:hint="eastAsia"/>
          <w:color w:val="auto"/>
        </w:rPr>
        <w:t>《征求意见稿》明确分级资产管理计划应遵循杠杆设计与风险收益相匹配的原则。权益类产品初始杠杆倍数应不超过</w:t>
      </w:r>
      <w:r w:rsidRPr="00767EA6">
        <w:rPr>
          <w:rFonts w:eastAsia="楷体_GB2312" w:hint="eastAsia"/>
          <w:color w:val="auto"/>
        </w:rPr>
        <w:t>5</w:t>
      </w:r>
      <w:r w:rsidRPr="00767EA6">
        <w:rPr>
          <w:rFonts w:eastAsia="楷体_GB2312" w:hint="eastAsia"/>
          <w:color w:val="auto"/>
        </w:rPr>
        <w:t>倍，运作期间杠杆倍数应不超过</w:t>
      </w:r>
      <w:r w:rsidRPr="00767EA6">
        <w:rPr>
          <w:rFonts w:eastAsia="楷体_GB2312" w:hint="eastAsia"/>
          <w:color w:val="auto"/>
        </w:rPr>
        <w:t>10</w:t>
      </w:r>
      <w:r w:rsidRPr="00767EA6">
        <w:rPr>
          <w:rFonts w:eastAsia="楷体_GB2312" w:hint="eastAsia"/>
          <w:color w:val="auto"/>
        </w:rPr>
        <w:t>倍；其他产品初始杠杆倍数应不超过</w:t>
      </w:r>
      <w:r w:rsidRPr="00767EA6">
        <w:rPr>
          <w:rFonts w:eastAsia="楷体_GB2312" w:hint="eastAsia"/>
          <w:color w:val="auto"/>
        </w:rPr>
        <w:t>10</w:t>
      </w:r>
      <w:r w:rsidRPr="00767EA6">
        <w:rPr>
          <w:rFonts w:eastAsia="楷体_GB2312" w:hint="eastAsia"/>
          <w:color w:val="auto"/>
        </w:rPr>
        <w:t>倍。除此之外，严禁通过分级资产管理计划进行利益输送。</w:t>
      </w:r>
    </w:p>
    <w:p w:rsidR="002F5588" w:rsidRPr="00635910" w:rsidRDefault="002F5588" w:rsidP="002F5588">
      <w:pPr>
        <w:pStyle w:val="ab"/>
        <w:numPr>
          <w:ilvl w:val="4"/>
          <w:numId w:val="1"/>
        </w:numPr>
        <w:spacing w:after="163"/>
        <w:rPr>
          <w:rFonts w:eastAsia="楷体_GB2312"/>
          <w:b/>
          <w:color w:val="auto"/>
        </w:rPr>
      </w:pPr>
      <w:r w:rsidRPr="00767EA6">
        <w:rPr>
          <w:rFonts w:eastAsia="楷体_GB2312" w:hint="eastAsia"/>
          <w:b/>
          <w:color w:val="auto"/>
        </w:rPr>
        <w:t>统一人员管理，建立激励约束及问责机制。</w:t>
      </w:r>
      <w:r w:rsidRPr="002F5588">
        <w:rPr>
          <w:rFonts w:eastAsia="楷体_GB2312" w:hint="eastAsia"/>
          <w:color w:val="auto"/>
        </w:rPr>
        <w:t>《征求意见稿》规定，应当对人员和业务实行统一管理，不得采用承包制对内设部门和分支机构进行管理，不得聘用临时人员对外承揽业务。此外还提出应建立长效激励约束机制和项目终身负责制。</w:t>
      </w:r>
    </w:p>
    <w:p w:rsidR="00635910" w:rsidRPr="00635910" w:rsidRDefault="00635910" w:rsidP="00635910">
      <w:pPr>
        <w:pStyle w:val="ab"/>
        <w:spacing w:after="163"/>
        <w:rPr>
          <w:rFonts w:eastAsia="楷体_GB2312"/>
          <w:b/>
          <w:bCs/>
          <w:color w:val="0070C0"/>
          <w:szCs w:val="21"/>
        </w:rPr>
      </w:pPr>
      <w:r w:rsidRPr="008E35D6">
        <w:rPr>
          <w:rFonts w:ascii="楷体" w:eastAsia="楷体" w:hAnsi="楷体" w:hint="eastAsia"/>
          <w:b/>
          <w:bCs/>
          <w:color w:val="0070C0"/>
          <w:szCs w:val="21"/>
        </w:rPr>
        <w:t>《</w:t>
      </w:r>
      <w:r w:rsidRPr="00635910">
        <w:rPr>
          <w:rFonts w:eastAsia="楷体_GB2312" w:hint="eastAsia"/>
          <w:b/>
          <w:bCs/>
          <w:color w:val="0070C0"/>
          <w:szCs w:val="21"/>
        </w:rPr>
        <w:t>基金业务外包服务指引》出台</w:t>
      </w:r>
    </w:p>
    <w:p w:rsidR="00635910" w:rsidRPr="008E35D6" w:rsidRDefault="00635910" w:rsidP="00635910">
      <w:pPr>
        <w:pStyle w:val="ab"/>
        <w:numPr>
          <w:ilvl w:val="4"/>
          <w:numId w:val="1"/>
        </w:numPr>
        <w:spacing w:after="163"/>
        <w:rPr>
          <w:rFonts w:ascii="楷体" w:eastAsia="楷体" w:hAnsi="楷体"/>
          <w:color w:val="auto"/>
        </w:rPr>
      </w:pPr>
      <w:r>
        <w:rPr>
          <w:rFonts w:ascii="楷体" w:eastAsia="楷体" w:hAnsi="楷体" w:hint="eastAsia"/>
          <w:color w:val="auto"/>
        </w:rPr>
        <w:t>2014年11月，</w:t>
      </w:r>
      <w:r w:rsidRPr="008E35D6">
        <w:rPr>
          <w:rFonts w:ascii="楷体" w:eastAsia="楷体" w:hAnsi="楷体" w:hint="eastAsia"/>
          <w:color w:val="auto"/>
        </w:rPr>
        <w:t>中国证券投资基金业协会发布《基金业务外包服务指引》，对公募、私募基金管理人开展业务外包的主要环节进行了原则性规定，涉及外包机构的备案要求、外包机构应具备的基本资质、基金管理人的法定职责不因外包而免除等五大方面内容，并指出基金业务外包机构将实行备案制管理。《指引》将于2015年2月1日起正式实施。</w:t>
      </w:r>
    </w:p>
    <w:p w:rsidR="00635910" w:rsidRPr="008E35D6" w:rsidRDefault="00635910" w:rsidP="00635910">
      <w:pPr>
        <w:pStyle w:val="ab"/>
        <w:numPr>
          <w:ilvl w:val="4"/>
          <w:numId w:val="1"/>
        </w:numPr>
        <w:spacing w:after="163"/>
        <w:rPr>
          <w:rFonts w:ascii="楷体" w:eastAsia="楷体" w:hAnsi="楷体"/>
          <w:color w:val="auto"/>
        </w:rPr>
      </w:pPr>
      <w:r w:rsidRPr="008E35D6">
        <w:rPr>
          <w:rFonts w:ascii="楷体" w:eastAsia="楷体" w:hAnsi="楷体" w:hint="eastAsia"/>
          <w:color w:val="auto"/>
        </w:rPr>
        <w:t>《指引》规定外包机构在业务开展前应通过基金业协会网站电子备案平台进行备案，并加入基金业协会成为会员，基金业协会对外包机构填报资料的完整性进行核对，材料齐备的给予备案。但与此同时，基金业协会为外包机构办理备案不构成对外包机构营运资质、持续合</w:t>
      </w:r>
      <w:proofErr w:type="gramStart"/>
      <w:r w:rsidRPr="008E35D6">
        <w:rPr>
          <w:rFonts w:ascii="楷体" w:eastAsia="楷体" w:hAnsi="楷体" w:hint="eastAsia"/>
          <w:color w:val="auto"/>
        </w:rPr>
        <w:t>规</w:t>
      </w:r>
      <w:proofErr w:type="gramEnd"/>
      <w:r w:rsidRPr="008E35D6">
        <w:rPr>
          <w:rFonts w:ascii="楷体" w:eastAsia="楷体" w:hAnsi="楷体" w:hint="eastAsia"/>
          <w:color w:val="auto"/>
        </w:rPr>
        <w:t>情况的认可，不作为对基金财产安全的保证。这意味着，基金外包中最要紧的“风险防范”环节并没有因为《指引》出台而得到明确答案。《指引》只是规定：“由于基金外包业务活动发展初期可能存在着部分未预知的风险，或部分出于鼓励外包发展的原因、先期没有设置更加严格监管措施但暴露出的风险，为方便我会及时掌握情况，外包机构应在每季度、年度向基金业协会报送外包业务情况表、运营情况报告。”这也意味着基金业协会对基金业务外包活动实施事后自律监管。</w:t>
      </w:r>
    </w:p>
    <w:p w:rsidR="00635910" w:rsidRPr="00635910" w:rsidRDefault="00635910" w:rsidP="00635910">
      <w:pPr>
        <w:pStyle w:val="ab"/>
        <w:numPr>
          <w:ilvl w:val="4"/>
          <w:numId w:val="1"/>
        </w:numPr>
        <w:spacing w:after="163"/>
        <w:rPr>
          <w:rFonts w:ascii="楷体" w:eastAsia="楷体" w:hAnsi="楷体"/>
          <w:color w:val="auto"/>
        </w:rPr>
      </w:pPr>
      <w:r w:rsidRPr="008E35D6">
        <w:rPr>
          <w:rFonts w:ascii="楷体" w:eastAsia="楷体" w:hAnsi="楷体" w:hint="eastAsia"/>
          <w:color w:val="auto"/>
        </w:rPr>
        <w:t>总体来看，《基金业务外包服务指引》的出台从行业规定的层面对公、私募基金光丽人外包业务环节进行细化，具有较高的实操意义，而在《指引》生效后，对于基金公司降低运营成本、引导资源配置向投</w:t>
      </w:r>
      <w:proofErr w:type="gramStart"/>
      <w:r w:rsidRPr="008E35D6">
        <w:rPr>
          <w:rFonts w:ascii="楷体" w:eastAsia="楷体" w:hAnsi="楷体" w:hint="eastAsia"/>
          <w:color w:val="auto"/>
        </w:rPr>
        <w:t>研</w:t>
      </w:r>
      <w:proofErr w:type="gramEnd"/>
      <w:r w:rsidRPr="008E35D6">
        <w:rPr>
          <w:rFonts w:ascii="楷体" w:eastAsia="楷体" w:hAnsi="楷体" w:hint="eastAsia"/>
          <w:color w:val="auto"/>
        </w:rPr>
        <w:t>倾斜，提高专业化水平均具有较强的正面积极意义。</w:t>
      </w:r>
    </w:p>
    <w:p w:rsidR="005E5321" w:rsidRDefault="005E5321" w:rsidP="00A91FFA">
      <w:pPr>
        <w:pStyle w:val="ab"/>
        <w:spacing w:after="163"/>
        <w:rPr>
          <w:rFonts w:eastAsia="楷体_GB2312"/>
          <w:b/>
          <w:bCs/>
          <w:color w:val="0070C0"/>
          <w:sz w:val="24"/>
        </w:rPr>
      </w:pPr>
      <w:r>
        <w:rPr>
          <w:rFonts w:eastAsia="楷体_GB2312" w:hint="eastAsia"/>
          <w:b/>
          <w:bCs/>
          <w:color w:val="0070C0"/>
          <w:sz w:val="24"/>
        </w:rPr>
        <w:lastRenderedPageBreak/>
        <w:t>产品创新：货币基金升级换代，</w:t>
      </w:r>
      <w:r w:rsidR="00812506">
        <w:rPr>
          <w:rFonts w:eastAsia="楷体_GB2312" w:hint="eastAsia"/>
          <w:b/>
          <w:bCs/>
          <w:color w:val="0070C0"/>
          <w:sz w:val="24"/>
        </w:rPr>
        <w:t>权益类产品</w:t>
      </w:r>
      <w:r w:rsidR="00963B14" w:rsidRPr="00963B14">
        <w:rPr>
          <w:rFonts w:eastAsia="楷体_GB2312" w:hint="eastAsia"/>
          <w:b/>
          <w:bCs/>
          <w:color w:val="0070C0"/>
          <w:sz w:val="24"/>
        </w:rPr>
        <w:t>触网大数据</w:t>
      </w:r>
    </w:p>
    <w:p w:rsidR="00A91FFA" w:rsidRPr="00A40857" w:rsidRDefault="00A91FFA" w:rsidP="00A91FFA">
      <w:pPr>
        <w:pStyle w:val="ab"/>
        <w:spacing w:after="163"/>
        <w:rPr>
          <w:rFonts w:ascii="楷体" w:eastAsia="楷体" w:hAnsi="楷体"/>
          <w:b/>
          <w:bCs/>
          <w:color w:val="0070C0"/>
          <w:szCs w:val="21"/>
        </w:rPr>
      </w:pPr>
      <w:r w:rsidRPr="00A40857">
        <w:rPr>
          <w:rFonts w:ascii="楷体" w:eastAsia="楷体" w:hAnsi="楷体" w:hint="eastAsia"/>
          <w:b/>
          <w:bCs/>
          <w:color w:val="0070C0"/>
          <w:szCs w:val="21"/>
        </w:rPr>
        <w:t>宝类产品</w:t>
      </w:r>
      <w:r w:rsidR="00A40857" w:rsidRPr="00A40857">
        <w:rPr>
          <w:rFonts w:ascii="楷体" w:eastAsia="楷体" w:hAnsi="楷体" w:hint="eastAsia"/>
          <w:b/>
          <w:bCs/>
          <w:color w:val="0070C0"/>
          <w:szCs w:val="21"/>
        </w:rPr>
        <w:t>潮起</w:t>
      </w:r>
      <w:r w:rsidRPr="00A40857">
        <w:rPr>
          <w:rFonts w:ascii="楷体" w:eastAsia="楷体" w:hAnsi="楷体" w:hint="eastAsia"/>
          <w:b/>
          <w:bCs/>
          <w:color w:val="0070C0"/>
          <w:szCs w:val="21"/>
        </w:rPr>
        <w:t>，</w:t>
      </w:r>
      <w:r w:rsidR="00A40857" w:rsidRPr="00A40857">
        <w:rPr>
          <w:rFonts w:ascii="楷体" w:eastAsia="楷体" w:hAnsi="楷体" w:hint="eastAsia"/>
          <w:b/>
          <w:bCs/>
          <w:color w:val="0070C0"/>
          <w:szCs w:val="21"/>
        </w:rPr>
        <w:t>货币基金升级换代</w:t>
      </w:r>
    </w:p>
    <w:p w:rsidR="00A91FFA" w:rsidRPr="00A854B9" w:rsidRDefault="00A91FFA" w:rsidP="00A91FFA">
      <w:pPr>
        <w:pStyle w:val="ab"/>
        <w:numPr>
          <w:ilvl w:val="4"/>
          <w:numId w:val="1"/>
        </w:numPr>
        <w:spacing w:after="163"/>
        <w:rPr>
          <w:rFonts w:eastAsia="楷体_GB2312"/>
          <w:color w:val="auto"/>
        </w:rPr>
      </w:pPr>
      <w:r w:rsidRPr="00A854B9">
        <w:rPr>
          <w:rFonts w:eastAsia="楷体_GB2312" w:hint="eastAsia"/>
          <w:color w:val="auto"/>
        </w:rPr>
        <w:t>由余额宝引发</w:t>
      </w:r>
      <w:r w:rsidR="008038D0">
        <w:rPr>
          <w:rFonts w:eastAsia="楷体_GB2312" w:hint="eastAsia"/>
          <w:color w:val="auto"/>
          <w:lang w:val="en-US"/>
        </w:rPr>
        <w:t>的货币基金升级</w:t>
      </w:r>
      <w:r w:rsidRPr="00A854B9">
        <w:rPr>
          <w:rFonts w:eastAsia="楷体_GB2312" w:hint="eastAsia"/>
          <w:color w:val="auto"/>
        </w:rPr>
        <w:t>热潮</w:t>
      </w:r>
      <w:r w:rsidR="008038D0">
        <w:rPr>
          <w:rFonts w:eastAsia="楷体_GB2312" w:hint="eastAsia"/>
          <w:color w:val="auto"/>
          <w:lang w:val="en-US"/>
        </w:rPr>
        <w:t>在</w:t>
      </w:r>
      <w:r w:rsidR="008038D0">
        <w:rPr>
          <w:rFonts w:eastAsia="楷体_GB2312" w:hint="eastAsia"/>
          <w:color w:val="auto"/>
          <w:lang w:val="en-US"/>
        </w:rPr>
        <w:t>2014</w:t>
      </w:r>
      <w:r w:rsidR="008038D0">
        <w:rPr>
          <w:rFonts w:eastAsia="楷体_GB2312" w:hint="eastAsia"/>
          <w:color w:val="auto"/>
          <w:lang w:val="en-US"/>
        </w:rPr>
        <w:t>年</w:t>
      </w:r>
      <w:r w:rsidRPr="00A854B9">
        <w:rPr>
          <w:rFonts w:eastAsia="楷体_GB2312" w:hint="eastAsia"/>
          <w:color w:val="auto"/>
        </w:rPr>
        <w:t>持续发酵，</w:t>
      </w:r>
      <w:r w:rsidR="00EB0307">
        <w:rPr>
          <w:rFonts w:eastAsia="楷体_GB2312" w:hint="eastAsia"/>
          <w:color w:val="auto"/>
          <w:lang w:val="en-US"/>
        </w:rPr>
        <w:t xml:space="preserve"> 2014</w:t>
      </w:r>
      <w:r w:rsidR="00EB0307">
        <w:rPr>
          <w:rFonts w:eastAsia="楷体_GB2312" w:hint="eastAsia"/>
          <w:color w:val="auto"/>
          <w:lang w:val="en-US"/>
        </w:rPr>
        <w:t>年货币基金在发行数量及规模方面均实现了爆发式增长，形成了供需两</w:t>
      </w:r>
      <w:r w:rsidR="00121517">
        <w:rPr>
          <w:rFonts w:eastAsia="楷体_GB2312" w:hint="eastAsia"/>
          <w:color w:val="auto"/>
          <w:lang w:val="en-US"/>
        </w:rPr>
        <w:t>旺的局面。整体来看，本轮货币升级</w:t>
      </w:r>
      <w:r w:rsidR="00A52417">
        <w:rPr>
          <w:rFonts w:eastAsia="楷体_GB2312" w:hint="eastAsia"/>
          <w:color w:val="auto"/>
          <w:lang w:val="en-US"/>
        </w:rPr>
        <w:t>换代</w:t>
      </w:r>
      <w:r w:rsidR="00121517">
        <w:rPr>
          <w:rFonts w:eastAsia="楷体_GB2312" w:hint="eastAsia"/>
          <w:color w:val="auto"/>
          <w:lang w:val="en-US"/>
        </w:rPr>
        <w:t>主要围绕着以下几个方面进行</w:t>
      </w:r>
      <w:r w:rsidR="00A52417">
        <w:rPr>
          <w:rFonts w:eastAsia="楷体_GB2312" w:hint="eastAsia"/>
          <w:color w:val="auto"/>
          <w:lang w:val="en-US"/>
        </w:rPr>
        <w:t>：首先是以</w:t>
      </w:r>
      <w:r w:rsidR="00A52417">
        <w:rPr>
          <w:rFonts w:eastAsia="楷体_GB2312" w:hint="eastAsia"/>
          <w:color w:val="auto"/>
          <w:lang w:val="en-US"/>
        </w:rPr>
        <w:t>T+0</w:t>
      </w:r>
      <w:r w:rsidR="00A52417">
        <w:rPr>
          <w:rFonts w:eastAsia="楷体_GB2312" w:hint="eastAsia"/>
          <w:color w:val="auto"/>
          <w:lang w:val="en-US"/>
        </w:rPr>
        <w:t>支取为核心的流动性的提升</w:t>
      </w:r>
      <w:r w:rsidR="00A52417">
        <w:rPr>
          <w:rFonts w:eastAsia="楷体_GB2312"/>
          <w:color w:val="auto"/>
          <w:lang w:val="en-US"/>
        </w:rPr>
        <w:t>,</w:t>
      </w:r>
      <w:r w:rsidR="00A52417">
        <w:rPr>
          <w:rFonts w:eastAsia="楷体_GB2312" w:hint="eastAsia"/>
          <w:color w:val="auto"/>
          <w:lang w:val="en-US"/>
        </w:rPr>
        <w:t>其次</w:t>
      </w:r>
      <w:r w:rsidR="00B04A94">
        <w:rPr>
          <w:rFonts w:eastAsia="楷体_GB2312" w:hint="eastAsia"/>
          <w:color w:val="auto"/>
          <w:lang w:val="en-US"/>
        </w:rPr>
        <w:t>引入互联网电商、三方、银行等合作机构，在实现客户导入的同时进一步丰富附加服务</w:t>
      </w:r>
      <w:r w:rsidR="00B04A94">
        <w:rPr>
          <w:rFonts w:eastAsia="楷体_GB2312"/>
          <w:color w:val="auto"/>
          <w:lang w:val="en-US"/>
        </w:rPr>
        <w:t>,</w:t>
      </w:r>
      <w:r w:rsidR="00B04A94" w:rsidRPr="00B04A94">
        <w:rPr>
          <w:rFonts w:hint="eastAsia"/>
        </w:rPr>
        <w:t xml:space="preserve"> </w:t>
      </w:r>
      <w:proofErr w:type="gramStart"/>
      <w:r w:rsidR="007D2395">
        <w:rPr>
          <w:rFonts w:eastAsia="楷体_GB2312" w:hint="eastAsia"/>
          <w:color w:val="auto"/>
          <w:lang w:val="en-US"/>
        </w:rPr>
        <w:t>继线上</w:t>
      </w:r>
      <w:proofErr w:type="gramEnd"/>
      <w:r w:rsidR="007D2395">
        <w:rPr>
          <w:rFonts w:eastAsia="楷体_GB2312" w:hint="eastAsia"/>
          <w:color w:val="auto"/>
          <w:lang w:val="en-US"/>
        </w:rPr>
        <w:t>及移动端转账、信用卡还款、余额理财、支付缴费</w:t>
      </w:r>
      <w:r w:rsidR="00B04A94" w:rsidRPr="00B04A94">
        <w:rPr>
          <w:rFonts w:eastAsia="楷体_GB2312" w:hint="eastAsia"/>
          <w:color w:val="auto"/>
          <w:lang w:val="en-US"/>
        </w:rPr>
        <w:t>等功能被相继开掘后，</w:t>
      </w:r>
      <w:r w:rsidR="007D2395">
        <w:rPr>
          <w:rFonts w:eastAsia="楷体_GB2312" w:hint="eastAsia"/>
          <w:color w:val="auto"/>
          <w:lang w:val="en-US"/>
        </w:rPr>
        <w:t>2014</w:t>
      </w:r>
      <w:r w:rsidR="007D2395">
        <w:rPr>
          <w:rFonts w:eastAsia="楷体_GB2312" w:hint="eastAsia"/>
          <w:color w:val="auto"/>
          <w:lang w:val="en-US"/>
        </w:rPr>
        <w:t>年以</w:t>
      </w:r>
      <w:r w:rsidR="00B04A94" w:rsidRPr="00B04A94">
        <w:rPr>
          <w:rFonts w:eastAsia="楷体_GB2312" w:hint="eastAsia"/>
          <w:color w:val="auto"/>
          <w:lang w:val="en-US"/>
        </w:rPr>
        <w:t>中信薪金煲</w:t>
      </w:r>
      <w:r w:rsidR="007D2395">
        <w:rPr>
          <w:rFonts w:eastAsia="楷体_GB2312" w:hint="eastAsia"/>
          <w:color w:val="auto"/>
          <w:lang w:val="en-US"/>
        </w:rPr>
        <w:t>为代表的</w:t>
      </w:r>
      <w:r w:rsidR="00B04A94" w:rsidRPr="00B04A94">
        <w:rPr>
          <w:rFonts w:eastAsia="楷体_GB2312" w:hint="eastAsia"/>
          <w:color w:val="auto"/>
          <w:lang w:val="en-US"/>
        </w:rPr>
        <w:t>银行系“宝宝”，</w:t>
      </w:r>
      <w:r w:rsidR="007D2395">
        <w:rPr>
          <w:rFonts w:eastAsia="楷体_GB2312" w:hint="eastAsia"/>
          <w:color w:val="auto"/>
          <w:lang w:val="en-US"/>
        </w:rPr>
        <w:t>更</w:t>
      </w:r>
      <w:r w:rsidR="00B04A94" w:rsidRPr="00B04A94">
        <w:rPr>
          <w:rFonts w:eastAsia="楷体_GB2312" w:hint="eastAsia"/>
          <w:color w:val="auto"/>
          <w:lang w:val="en-US"/>
        </w:rPr>
        <w:t>新增添了</w:t>
      </w:r>
      <w:r w:rsidR="00B04A94" w:rsidRPr="00B04A94">
        <w:rPr>
          <w:rFonts w:eastAsia="楷体_GB2312" w:hint="eastAsia"/>
          <w:color w:val="auto"/>
          <w:lang w:val="en-US"/>
        </w:rPr>
        <w:t>ATM</w:t>
      </w:r>
      <w:r w:rsidR="00B04A94" w:rsidRPr="00B04A94">
        <w:rPr>
          <w:rFonts w:eastAsia="楷体_GB2312" w:hint="eastAsia"/>
          <w:color w:val="auto"/>
          <w:lang w:val="en-US"/>
        </w:rPr>
        <w:t>取现、</w:t>
      </w:r>
      <w:r w:rsidR="00B04A94" w:rsidRPr="00B04A94">
        <w:rPr>
          <w:rFonts w:eastAsia="楷体_GB2312" w:hint="eastAsia"/>
          <w:color w:val="auto"/>
          <w:lang w:val="en-US"/>
        </w:rPr>
        <w:t>pos</w:t>
      </w:r>
      <w:r w:rsidR="00B04A94" w:rsidRPr="00B04A94">
        <w:rPr>
          <w:rFonts w:eastAsia="楷体_GB2312" w:hint="eastAsia"/>
          <w:color w:val="auto"/>
          <w:lang w:val="en-US"/>
        </w:rPr>
        <w:t>机刷卡及转</w:t>
      </w:r>
      <w:r w:rsidR="00B04A94">
        <w:rPr>
          <w:rFonts w:eastAsia="楷体_GB2312" w:hint="eastAsia"/>
          <w:color w:val="auto"/>
          <w:lang w:val="en-US"/>
        </w:rPr>
        <w:t>账服务</w:t>
      </w:r>
      <w:r w:rsidR="007D2395">
        <w:rPr>
          <w:rFonts w:eastAsia="楷体_GB2312" w:hint="eastAsia"/>
          <w:color w:val="auto"/>
          <w:lang w:val="en-US"/>
        </w:rPr>
        <w:t>。但追根溯源</w:t>
      </w:r>
      <w:r w:rsidR="00B04A94">
        <w:rPr>
          <w:rFonts w:eastAsia="楷体_GB2312" w:hint="eastAsia"/>
          <w:color w:val="auto"/>
          <w:lang w:val="en-US"/>
        </w:rPr>
        <w:t>此类服务背后依托是货币基金的自动快速赎回</w:t>
      </w:r>
      <w:r w:rsidR="007D2395">
        <w:rPr>
          <w:rFonts w:eastAsia="楷体_GB2312" w:hint="eastAsia"/>
          <w:color w:val="auto"/>
          <w:lang w:val="en-US"/>
        </w:rPr>
        <w:t>功能</w:t>
      </w:r>
      <w:r w:rsidRPr="00A854B9">
        <w:rPr>
          <w:rFonts w:eastAsia="楷体_GB2312" w:hint="eastAsia"/>
          <w:color w:val="auto"/>
        </w:rPr>
        <w:t>。</w:t>
      </w:r>
    </w:p>
    <w:p w:rsidR="00A91FFA" w:rsidRPr="002645FB" w:rsidRDefault="00A91FFA" w:rsidP="002645FB">
      <w:pPr>
        <w:pStyle w:val="ab"/>
        <w:numPr>
          <w:ilvl w:val="4"/>
          <w:numId w:val="1"/>
        </w:numPr>
        <w:spacing w:after="163"/>
        <w:rPr>
          <w:rFonts w:eastAsia="楷体_GB2312"/>
          <w:color w:val="auto"/>
        </w:rPr>
      </w:pPr>
      <w:r w:rsidRPr="002645FB">
        <w:rPr>
          <w:rFonts w:eastAsia="楷体_GB2312" w:hint="eastAsia"/>
          <w:color w:val="auto"/>
        </w:rPr>
        <w:t>在宝类产品凭借低风险、低门槛、高流动性、收益稳健的特性于互联网金融版图迅速崛起的同时，政策环境方面则</w:t>
      </w:r>
      <w:r w:rsidR="002645FB" w:rsidRPr="002645FB">
        <w:rPr>
          <w:rFonts w:eastAsia="楷体_GB2312" w:hint="eastAsia"/>
          <w:color w:val="auto"/>
          <w:lang w:val="en-US"/>
        </w:rPr>
        <w:t>喜忧参半</w:t>
      </w:r>
      <w:r w:rsidRPr="002645FB">
        <w:rPr>
          <w:rFonts w:eastAsia="楷体_GB2312" w:hint="eastAsia"/>
          <w:color w:val="auto"/>
        </w:rPr>
        <w:t>。年中有消息称央行叫停“两率一致”协议存款，这意味着货币基金提前支取协议存款面临罚息。如协议存款罚息在业内以常态化形式呈现，势必对货币基金及</w:t>
      </w:r>
      <w:proofErr w:type="gramStart"/>
      <w:r w:rsidRPr="002645FB">
        <w:rPr>
          <w:rFonts w:eastAsia="楷体_GB2312" w:hint="eastAsia"/>
          <w:color w:val="auto"/>
        </w:rPr>
        <w:t>及</w:t>
      </w:r>
      <w:proofErr w:type="gramEnd"/>
      <w:r w:rsidRPr="002645FB">
        <w:rPr>
          <w:rFonts w:eastAsia="楷体_GB2312" w:hint="eastAsia"/>
          <w:color w:val="auto"/>
        </w:rPr>
        <w:t>宝类产品未来资产配置和收益造成影响。</w:t>
      </w:r>
      <w:r w:rsidR="002645FB">
        <w:rPr>
          <w:rFonts w:eastAsia="楷体_GB2312" w:hint="eastAsia"/>
          <w:color w:val="auto"/>
        </w:rPr>
        <w:t>另一方面，</w:t>
      </w:r>
      <w:r w:rsidR="002645FB" w:rsidRPr="002645FB">
        <w:rPr>
          <w:rFonts w:eastAsia="楷体_GB2312" w:hint="eastAsia"/>
          <w:color w:val="auto"/>
        </w:rPr>
        <w:t>2014</w:t>
      </w:r>
      <w:r w:rsidR="002645FB" w:rsidRPr="002645FB">
        <w:rPr>
          <w:rFonts w:eastAsia="楷体_GB2312" w:hint="eastAsia"/>
          <w:color w:val="auto"/>
        </w:rPr>
        <w:t>年</w:t>
      </w:r>
      <w:r w:rsidRPr="002645FB">
        <w:rPr>
          <w:rFonts w:eastAsia="楷体_GB2312" w:hint="eastAsia"/>
          <w:color w:val="auto"/>
        </w:rPr>
        <w:t>以来对于货币基金实施存款准备金管理制度的讨论</w:t>
      </w:r>
      <w:r w:rsidR="002645FB" w:rsidRPr="002645FB">
        <w:rPr>
          <w:rFonts w:eastAsia="楷体_GB2312" w:hint="eastAsia"/>
          <w:color w:val="auto"/>
        </w:rPr>
        <w:t>不绝于耳。年底央行发布</w:t>
      </w:r>
      <w:r w:rsidR="002645FB" w:rsidRPr="002645FB">
        <w:rPr>
          <w:rFonts w:eastAsia="楷体_GB2312" w:hint="eastAsia"/>
          <w:color w:val="auto"/>
        </w:rPr>
        <w:t>387</w:t>
      </w:r>
      <w:r w:rsidR="002645FB" w:rsidRPr="002645FB">
        <w:rPr>
          <w:rFonts w:eastAsia="楷体_GB2312" w:hint="eastAsia"/>
          <w:color w:val="auto"/>
        </w:rPr>
        <w:t>号文，即《关于存款口径调整后存款准备金政策和利率管理政策有关事项的通知》，定于</w:t>
      </w:r>
      <w:r w:rsidR="002645FB" w:rsidRPr="002645FB">
        <w:rPr>
          <w:rFonts w:eastAsia="楷体_GB2312" w:hint="eastAsia"/>
          <w:color w:val="auto"/>
        </w:rPr>
        <w:t>2015</w:t>
      </w:r>
      <w:r w:rsidR="002645FB" w:rsidRPr="002645FB">
        <w:rPr>
          <w:rFonts w:eastAsia="楷体_GB2312" w:hint="eastAsia"/>
          <w:color w:val="auto"/>
        </w:rPr>
        <w:t>年起对存款统计口径进行调整，将部分原在同业往来项</w:t>
      </w:r>
      <w:proofErr w:type="gramStart"/>
      <w:r w:rsidR="002645FB" w:rsidRPr="002645FB">
        <w:rPr>
          <w:rFonts w:eastAsia="楷体_GB2312" w:hint="eastAsia"/>
          <w:color w:val="auto"/>
        </w:rPr>
        <w:t>下统计</w:t>
      </w:r>
      <w:proofErr w:type="gramEnd"/>
      <w:r w:rsidR="002645FB" w:rsidRPr="002645FB">
        <w:rPr>
          <w:rFonts w:eastAsia="楷体_GB2312" w:hint="eastAsia"/>
          <w:color w:val="auto"/>
        </w:rPr>
        <w:t>的存款纳入各项存款范围。新纳入各项存款口径的存款包括存款类金融机构吸收的证券及交易结算类存放，银行业非存款类存放，</w:t>
      </w:r>
      <w:r w:rsidR="002645FB" w:rsidRPr="002645FB">
        <w:rPr>
          <w:rFonts w:eastAsia="楷体_GB2312" w:hint="eastAsia"/>
          <w:color w:val="auto"/>
        </w:rPr>
        <w:t>SPV</w:t>
      </w:r>
      <w:r w:rsidR="002645FB" w:rsidRPr="002645FB">
        <w:rPr>
          <w:rFonts w:eastAsia="楷体_GB2312" w:hint="eastAsia"/>
          <w:color w:val="auto"/>
        </w:rPr>
        <w:t>存放，其他金融机构存放以及境外机构存放。文件同时规定，上述计入存款准备金的存款适用的存款准备金率暂时为零，这意味</w:t>
      </w:r>
      <w:proofErr w:type="gramStart"/>
      <w:r w:rsidR="002645FB" w:rsidRPr="002645FB">
        <w:rPr>
          <w:rFonts w:eastAsia="楷体_GB2312" w:hint="eastAsia"/>
          <w:color w:val="auto"/>
        </w:rPr>
        <w:t>这货币</w:t>
      </w:r>
      <w:proofErr w:type="gramEnd"/>
      <w:r w:rsidR="002645FB" w:rsidRPr="002645FB">
        <w:rPr>
          <w:rFonts w:eastAsia="楷体_GB2312" w:hint="eastAsia"/>
          <w:color w:val="auto"/>
        </w:rPr>
        <w:t>基金存款暂时不需要缴纳准备金。</w:t>
      </w:r>
    </w:p>
    <w:p w:rsidR="00A91FFA" w:rsidRPr="00CD28D7" w:rsidRDefault="00A91FFA" w:rsidP="00122F39">
      <w:pPr>
        <w:widowControl/>
        <w:spacing w:beforeLines="100" w:after="120" w:line="240" w:lineRule="exact"/>
        <w:ind w:firstLineChars="1609" w:firstLine="3392"/>
        <w:rPr>
          <w:rFonts w:ascii="Arial" w:eastAsia="楷体_GB2312" w:hAnsi="Arial" w:cs="Times New Roman"/>
          <w:b/>
          <w:bCs/>
          <w:color w:val="0070C0"/>
          <w:kern w:val="0"/>
          <w:sz w:val="24"/>
          <w:szCs w:val="20"/>
          <w:lang w:val="en-GB"/>
        </w:rPr>
      </w:pPr>
      <w:r w:rsidRPr="00D83752">
        <w:rPr>
          <w:rFonts w:ascii="Arial" w:eastAsia="楷体_GB2312" w:hAnsi="Arial" w:cs="Times New Roman" w:hint="eastAsia"/>
          <w:b/>
          <w:bCs/>
          <w:color w:val="0070C0"/>
          <w:kern w:val="0"/>
          <w:szCs w:val="21"/>
          <w:lang w:val="en-GB"/>
        </w:rPr>
        <w:t>携手互联网平台，基金创新瞄准大数据</w:t>
      </w:r>
    </w:p>
    <w:p w:rsidR="00A91FFA" w:rsidRDefault="00A91FFA" w:rsidP="00A91FFA">
      <w:pPr>
        <w:pStyle w:val="ab"/>
        <w:numPr>
          <w:ilvl w:val="4"/>
          <w:numId w:val="1"/>
        </w:numPr>
        <w:spacing w:after="163"/>
        <w:rPr>
          <w:rFonts w:eastAsia="楷体_GB2312"/>
          <w:color w:val="auto"/>
        </w:rPr>
      </w:pPr>
      <w:r w:rsidRPr="009943CE">
        <w:rPr>
          <w:rFonts w:eastAsia="楷体_GB2312" w:hint="eastAsia"/>
          <w:color w:val="auto"/>
        </w:rPr>
        <w:t>公</w:t>
      </w:r>
      <w:proofErr w:type="gramStart"/>
      <w:r w:rsidRPr="009943CE">
        <w:rPr>
          <w:rFonts w:eastAsia="楷体_GB2312" w:hint="eastAsia"/>
          <w:color w:val="auto"/>
        </w:rPr>
        <w:t>募基金</w:t>
      </w:r>
      <w:proofErr w:type="gramEnd"/>
      <w:r w:rsidRPr="009943CE">
        <w:rPr>
          <w:rFonts w:eastAsia="楷体_GB2312" w:hint="eastAsia"/>
          <w:color w:val="auto"/>
        </w:rPr>
        <w:t>创新延伸至大数据领域。南方</w:t>
      </w:r>
      <w:r w:rsidR="00361F5D">
        <w:rPr>
          <w:rFonts w:eastAsia="楷体_GB2312" w:hint="eastAsia"/>
          <w:color w:val="auto"/>
        </w:rPr>
        <w:t>基金</w:t>
      </w:r>
      <w:r w:rsidRPr="009943CE">
        <w:rPr>
          <w:rFonts w:eastAsia="楷体_GB2312" w:hint="eastAsia"/>
          <w:color w:val="auto"/>
        </w:rPr>
        <w:t>与新浪财经合作推出“财经大数据策略指数”，广发基金则牵手百度、中证指数公司联合开发“百发策略</w:t>
      </w:r>
      <w:r w:rsidRPr="009943CE">
        <w:rPr>
          <w:rFonts w:eastAsia="楷体_GB2312" w:hint="eastAsia"/>
          <w:color w:val="auto"/>
        </w:rPr>
        <w:t>100</w:t>
      </w:r>
      <w:r w:rsidRPr="009943CE">
        <w:rPr>
          <w:rFonts w:eastAsia="楷体_GB2312" w:hint="eastAsia"/>
          <w:color w:val="auto"/>
        </w:rPr>
        <w:t>”指数。综合来看，两款指数均以大数据挖掘与应用为核心，在设计理念及后续产品开发方面具备诸多相似性</w:t>
      </w:r>
      <w:r w:rsidRPr="009943CE">
        <w:rPr>
          <w:rFonts w:eastAsia="楷体_GB2312" w:hint="eastAsia"/>
          <w:color w:val="auto"/>
        </w:rPr>
        <w:t>:</w:t>
      </w:r>
      <w:r w:rsidRPr="009943CE">
        <w:rPr>
          <w:rFonts w:eastAsia="楷体_GB2312" w:hint="eastAsia"/>
          <w:color w:val="auto"/>
        </w:rPr>
        <w:t>首先在指数开发环节，以互联网用户搜索数据为基础，通过对特定金融搜索行为进行挖掘分析，构建选股或择时模型指标，并融入指数编制规则。其次在产品设计领域，</w:t>
      </w:r>
      <w:r w:rsidR="0022697A">
        <w:rPr>
          <w:rFonts w:eastAsia="楷体_GB2312" w:hint="eastAsia"/>
          <w:color w:val="auto"/>
          <w:lang w:val="en-US"/>
        </w:rPr>
        <w:t>可</w:t>
      </w:r>
      <w:r w:rsidRPr="009943CE">
        <w:rPr>
          <w:rFonts w:eastAsia="楷体_GB2312" w:hint="eastAsia"/>
          <w:color w:val="auto"/>
        </w:rPr>
        <w:t>引入指数产品进行对接，通过被动管理的形式</w:t>
      </w:r>
      <w:proofErr w:type="gramStart"/>
      <w:r w:rsidRPr="009943CE">
        <w:rPr>
          <w:rFonts w:eastAsia="楷体_GB2312" w:hint="eastAsia"/>
          <w:color w:val="auto"/>
        </w:rPr>
        <w:t>践行</w:t>
      </w:r>
      <w:proofErr w:type="gramEnd"/>
      <w:r w:rsidRPr="009943CE">
        <w:rPr>
          <w:rFonts w:eastAsia="楷体_GB2312" w:hint="eastAsia"/>
          <w:color w:val="auto"/>
        </w:rPr>
        <w:t>编制规则所倡导的投资理念</w:t>
      </w:r>
      <w:r w:rsidR="0022697A">
        <w:rPr>
          <w:rFonts w:eastAsia="楷体_GB2312" w:hint="eastAsia"/>
          <w:color w:val="auto"/>
        </w:rPr>
        <w:t>，目前以百发策略</w:t>
      </w:r>
      <w:r w:rsidR="0022697A">
        <w:rPr>
          <w:rFonts w:eastAsia="楷体_GB2312" w:hint="eastAsia"/>
          <w:color w:val="auto"/>
        </w:rPr>
        <w:t>100</w:t>
      </w:r>
      <w:r w:rsidR="0022697A">
        <w:rPr>
          <w:rFonts w:eastAsia="楷体_GB2312" w:hint="eastAsia"/>
          <w:color w:val="auto"/>
        </w:rPr>
        <w:t>指数</w:t>
      </w:r>
      <w:r w:rsidR="0022697A">
        <w:rPr>
          <w:rFonts w:eastAsia="楷体_GB2312" w:hint="eastAsia"/>
          <w:color w:val="auto"/>
          <w:lang w:val="en-US"/>
        </w:rPr>
        <w:t>为跟踪标的</w:t>
      </w:r>
      <w:r w:rsidR="00B459D0">
        <w:rPr>
          <w:rFonts w:eastAsia="楷体_GB2312" w:hint="eastAsia"/>
          <w:color w:val="auto"/>
          <w:lang w:val="en-US"/>
        </w:rPr>
        <w:t>指数基金广发百发</w:t>
      </w:r>
      <w:r w:rsidR="00B459D0">
        <w:rPr>
          <w:rFonts w:eastAsia="楷体_GB2312" w:hint="eastAsia"/>
          <w:color w:val="auto"/>
          <w:lang w:val="en-US"/>
        </w:rPr>
        <w:t>100</w:t>
      </w:r>
      <w:r w:rsidR="00B459D0">
        <w:rPr>
          <w:rFonts w:eastAsia="楷体_GB2312" w:hint="eastAsia"/>
          <w:color w:val="auto"/>
          <w:lang w:val="en-US"/>
        </w:rPr>
        <w:t>已于</w:t>
      </w:r>
      <w:r w:rsidR="00B459D0">
        <w:rPr>
          <w:rFonts w:eastAsia="楷体_GB2312" w:hint="eastAsia"/>
          <w:color w:val="auto"/>
          <w:lang w:val="en-US"/>
        </w:rPr>
        <w:t>10</w:t>
      </w:r>
      <w:r w:rsidR="00B459D0">
        <w:rPr>
          <w:rFonts w:eastAsia="楷体_GB2312" w:hint="eastAsia"/>
          <w:color w:val="auto"/>
          <w:lang w:val="en-US"/>
        </w:rPr>
        <w:t>月底设立</w:t>
      </w:r>
      <w:r w:rsidRPr="009943CE">
        <w:rPr>
          <w:rFonts w:eastAsia="楷体_GB2312" w:hint="eastAsia"/>
          <w:color w:val="auto"/>
        </w:rPr>
        <w:t>。南方、广发两家公司在互联网指数方面的尝试，突破了原有单纯以流量导入为核心的互联网合作业态，使得互联网元素逐渐渗透至投资及产品设计领域。</w:t>
      </w:r>
    </w:p>
    <w:p w:rsidR="00A91FFA" w:rsidRPr="00CD28D7" w:rsidRDefault="00A91FFA" w:rsidP="00122F39">
      <w:pPr>
        <w:widowControl/>
        <w:spacing w:beforeLines="100" w:after="120" w:line="240" w:lineRule="exact"/>
        <w:ind w:firstLineChars="1609" w:firstLine="3392"/>
        <w:rPr>
          <w:rFonts w:ascii="Arial" w:eastAsia="楷体_GB2312" w:hAnsi="Arial" w:cs="Times New Roman"/>
          <w:b/>
          <w:bCs/>
          <w:color w:val="0070C0"/>
          <w:kern w:val="0"/>
          <w:sz w:val="24"/>
          <w:szCs w:val="20"/>
          <w:lang w:val="en-GB"/>
        </w:rPr>
      </w:pPr>
      <w:r w:rsidRPr="0042668C">
        <w:rPr>
          <w:rFonts w:ascii="Arial" w:eastAsia="楷体_GB2312" w:hAnsi="Arial" w:cs="Times New Roman" w:hint="eastAsia"/>
          <w:b/>
          <w:bCs/>
          <w:color w:val="0070C0"/>
          <w:kern w:val="0"/>
          <w:szCs w:val="21"/>
          <w:lang w:val="en-GB"/>
        </w:rPr>
        <w:t>首只</w:t>
      </w:r>
      <w:proofErr w:type="gramStart"/>
      <w:r w:rsidRPr="0042668C">
        <w:rPr>
          <w:rFonts w:ascii="Arial" w:eastAsia="楷体_GB2312" w:hAnsi="Arial" w:cs="Times New Roman" w:hint="eastAsia"/>
          <w:b/>
          <w:bCs/>
          <w:color w:val="0070C0"/>
          <w:kern w:val="0"/>
          <w:szCs w:val="21"/>
          <w:lang w:val="en-GB"/>
        </w:rPr>
        <w:t>混改公募产品</w:t>
      </w:r>
      <w:proofErr w:type="gramEnd"/>
      <w:r w:rsidRPr="0042668C">
        <w:rPr>
          <w:rFonts w:ascii="Arial" w:eastAsia="楷体_GB2312" w:hAnsi="Arial" w:cs="Times New Roman" w:hint="eastAsia"/>
          <w:b/>
          <w:bCs/>
          <w:color w:val="0070C0"/>
          <w:kern w:val="0"/>
          <w:szCs w:val="21"/>
          <w:lang w:val="en-GB"/>
        </w:rPr>
        <w:t>受热捧</w:t>
      </w:r>
    </w:p>
    <w:p w:rsidR="00A91FFA" w:rsidRDefault="00361F5D" w:rsidP="00A91FFA">
      <w:pPr>
        <w:pStyle w:val="ab"/>
        <w:numPr>
          <w:ilvl w:val="4"/>
          <w:numId w:val="1"/>
        </w:numPr>
        <w:spacing w:after="163"/>
        <w:rPr>
          <w:rFonts w:eastAsia="楷体_GB2312"/>
          <w:color w:val="auto"/>
        </w:rPr>
      </w:pPr>
      <w:r>
        <w:rPr>
          <w:rFonts w:eastAsia="楷体_GB2312" w:hint="eastAsia"/>
          <w:color w:val="auto"/>
        </w:rPr>
        <w:t>首只专注于混合所有制改革的公</w:t>
      </w:r>
      <w:proofErr w:type="gramStart"/>
      <w:r>
        <w:rPr>
          <w:rFonts w:eastAsia="楷体_GB2312" w:hint="eastAsia"/>
          <w:color w:val="auto"/>
        </w:rPr>
        <w:t>募产品</w:t>
      </w:r>
      <w:proofErr w:type="gramEnd"/>
      <w:r>
        <w:rPr>
          <w:rFonts w:eastAsia="楷体_GB2312" w:hint="eastAsia"/>
          <w:color w:val="auto"/>
        </w:rPr>
        <w:t>嘉实元和</w:t>
      </w:r>
      <w:r w:rsidR="00A91FFA" w:rsidRPr="0042668C">
        <w:rPr>
          <w:rFonts w:eastAsia="楷体_GB2312" w:hint="eastAsia"/>
          <w:color w:val="auto"/>
        </w:rPr>
        <w:t>面市首日</w:t>
      </w:r>
      <w:r>
        <w:rPr>
          <w:rFonts w:eastAsia="楷体_GB2312" w:hint="eastAsia"/>
          <w:color w:val="auto"/>
        </w:rPr>
        <w:t>100</w:t>
      </w:r>
      <w:r w:rsidR="00A91FFA" w:rsidRPr="0042668C">
        <w:rPr>
          <w:rFonts w:eastAsia="楷体_GB2312" w:hint="eastAsia"/>
          <w:color w:val="auto"/>
        </w:rPr>
        <w:t>亿额度</w:t>
      </w:r>
      <w:r>
        <w:rPr>
          <w:rFonts w:eastAsia="楷体_GB2312" w:hint="eastAsia"/>
          <w:color w:val="auto"/>
          <w:lang w:val="en-US"/>
        </w:rPr>
        <w:t>即宣告</w:t>
      </w:r>
      <w:r w:rsidR="00A91FFA" w:rsidRPr="0042668C">
        <w:rPr>
          <w:rFonts w:eastAsia="楷体_GB2312" w:hint="eastAsia"/>
          <w:color w:val="auto"/>
        </w:rPr>
        <w:t>售罄。该产品最高可将资产规模的</w:t>
      </w:r>
      <w:r w:rsidR="00A91FFA" w:rsidRPr="0042668C">
        <w:rPr>
          <w:rFonts w:eastAsia="楷体_GB2312" w:hint="eastAsia"/>
          <w:color w:val="auto"/>
        </w:rPr>
        <w:t>50%</w:t>
      </w:r>
      <w:r w:rsidR="00A91FFA" w:rsidRPr="0042668C">
        <w:rPr>
          <w:rFonts w:eastAsia="楷体_GB2312" w:hint="eastAsia"/>
          <w:color w:val="auto"/>
        </w:rPr>
        <w:t>用于投资中石化销售公司股权，其余资产则投向债券和货币市场工具，平滑组合风险。嘉实元和采用封闭运作模式，存续期为</w:t>
      </w:r>
      <w:r w:rsidR="00A91FFA" w:rsidRPr="0042668C">
        <w:rPr>
          <w:rFonts w:eastAsia="楷体_GB2312" w:hint="eastAsia"/>
          <w:color w:val="auto"/>
        </w:rPr>
        <w:t>5</w:t>
      </w:r>
      <w:r w:rsidR="00A91FFA" w:rsidRPr="0042668C">
        <w:rPr>
          <w:rFonts w:eastAsia="楷体_GB2312" w:hint="eastAsia"/>
          <w:color w:val="auto"/>
        </w:rPr>
        <w:t>年，可在</w:t>
      </w:r>
      <w:r w:rsidR="00A91FFA">
        <w:rPr>
          <w:rFonts w:eastAsia="楷体_GB2312" w:hint="eastAsia"/>
          <w:color w:val="auto"/>
        </w:rPr>
        <w:t>3</w:t>
      </w:r>
      <w:r w:rsidR="00A91FFA">
        <w:rPr>
          <w:rFonts w:eastAsia="楷体_GB2312" w:hint="eastAsia"/>
          <w:color w:val="auto"/>
        </w:rPr>
        <w:t>年</w:t>
      </w:r>
      <w:r w:rsidR="00A91FFA" w:rsidRPr="0042668C">
        <w:rPr>
          <w:rFonts w:eastAsia="楷体_GB2312" w:hint="eastAsia"/>
          <w:color w:val="auto"/>
        </w:rPr>
        <w:t>后提前结束，设立后</w:t>
      </w:r>
      <w:r w:rsidR="00A91FFA" w:rsidRPr="0042668C">
        <w:rPr>
          <w:rFonts w:eastAsia="楷体_GB2312" w:hint="eastAsia"/>
          <w:color w:val="auto"/>
        </w:rPr>
        <w:t>3</w:t>
      </w:r>
      <w:r w:rsidR="00A91FFA" w:rsidRPr="0042668C">
        <w:rPr>
          <w:rFonts w:eastAsia="楷体_GB2312" w:hint="eastAsia"/>
          <w:color w:val="auto"/>
        </w:rPr>
        <w:t>个月内在上交所挂牌上市。</w:t>
      </w:r>
    </w:p>
    <w:p w:rsidR="00A91FFA" w:rsidRDefault="00A91FFA" w:rsidP="00A91FFA">
      <w:pPr>
        <w:pStyle w:val="ab"/>
        <w:numPr>
          <w:ilvl w:val="4"/>
          <w:numId w:val="1"/>
        </w:numPr>
        <w:spacing w:after="163"/>
        <w:rPr>
          <w:rFonts w:eastAsia="楷体_GB2312"/>
          <w:color w:val="auto"/>
        </w:rPr>
      </w:pPr>
      <w:r w:rsidRPr="0042668C">
        <w:rPr>
          <w:rFonts w:eastAsia="楷体_GB2312" w:hint="eastAsia"/>
          <w:color w:val="auto"/>
        </w:rPr>
        <w:t>作为市场上首只参与混合所有制改革的公募产品，嘉实元和在产品设计及运作环节具备多项亮点。首先，嘉实元和首次投资于非上市股权，从上市前增资到</w:t>
      </w:r>
      <w:r w:rsidRPr="0042668C">
        <w:rPr>
          <w:rFonts w:eastAsia="楷体_GB2312" w:hint="eastAsia"/>
          <w:color w:val="auto"/>
        </w:rPr>
        <w:t>IPO</w:t>
      </w:r>
      <w:r w:rsidRPr="0042668C">
        <w:rPr>
          <w:rFonts w:eastAsia="楷体_GB2312" w:hint="eastAsia"/>
          <w:color w:val="auto"/>
        </w:rPr>
        <w:t>再到上市交易中涉及三次定价，存在两次溢价机会，成功将收益链条向前延伸，有别于传统的打新及二级市场价差策略，是公</w:t>
      </w:r>
      <w:proofErr w:type="gramStart"/>
      <w:r w:rsidRPr="0042668C">
        <w:rPr>
          <w:rFonts w:eastAsia="楷体_GB2312" w:hint="eastAsia"/>
          <w:color w:val="auto"/>
        </w:rPr>
        <w:t>募产品</w:t>
      </w:r>
      <w:proofErr w:type="gramEnd"/>
      <w:r w:rsidRPr="0042668C">
        <w:rPr>
          <w:rFonts w:eastAsia="楷体_GB2312" w:hint="eastAsia"/>
          <w:color w:val="auto"/>
        </w:rPr>
        <w:t>在投资范围和投资策略上的创新突破。其次，权益投资目标单一明确，即为中石化销售公司，突破以往基金投资单一证券不得超过资产净值的</w:t>
      </w:r>
      <w:r w:rsidRPr="0042668C">
        <w:rPr>
          <w:rFonts w:eastAsia="楷体_GB2312" w:hint="eastAsia"/>
          <w:color w:val="auto"/>
        </w:rPr>
        <w:t>10%</w:t>
      </w:r>
      <w:r w:rsidRPr="0042668C">
        <w:rPr>
          <w:rFonts w:eastAsia="楷体_GB2312" w:hint="eastAsia"/>
          <w:color w:val="auto"/>
        </w:rPr>
        <w:t>的比例限制。第三，创新采取券商包销模式，其中招商证券作为主承销商包销规模为</w:t>
      </w:r>
      <w:r w:rsidRPr="0042668C">
        <w:rPr>
          <w:rFonts w:eastAsia="楷体_GB2312" w:hint="eastAsia"/>
          <w:color w:val="auto"/>
        </w:rPr>
        <w:t>50</w:t>
      </w:r>
      <w:r w:rsidRPr="0042668C">
        <w:rPr>
          <w:rFonts w:eastAsia="楷体_GB2312" w:hint="eastAsia"/>
          <w:color w:val="auto"/>
        </w:rPr>
        <w:t>亿元，此外海通证券、国泰君安证券也均有参与，这意味着各家包销券商对于认定的销售规模，未完成部</w:t>
      </w:r>
      <w:r>
        <w:rPr>
          <w:rFonts w:eastAsia="楷体_GB2312" w:hint="eastAsia"/>
          <w:color w:val="auto"/>
        </w:rPr>
        <w:t>分将自行担负，从而对基金总募资总量形成保障。总体来看，嘉实元和通过</w:t>
      </w:r>
      <w:r w:rsidRPr="0042668C">
        <w:rPr>
          <w:rFonts w:eastAsia="楷体_GB2312" w:hint="eastAsia"/>
          <w:color w:val="auto"/>
        </w:rPr>
        <w:t>产品创新为普通投资者以低门槛分享优质未上市企业，分享混合所有制改革红利提供有效途径。</w:t>
      </w:r>
    </w:p>
    <w:p w:rsidR="00A91FFA" w:rsidRDefault="00A91FFA" w:rsidP="00122F39">
      <w:pPr>
        <w:widowControl/>
        <w:spacing w:beforeLines="100" w:after="120" w:line="240" w:lineRule="exact"/>
        <w:ind w:firstLineChars="1609" w:firstLine="3392"/>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商品期货</w:t>
      </w:r>
      <w:r>
        <w:rPr>
          <w:rFonts w:ascii="Arial" w:eastAsia="楷体_GB2312" w:hAnsi="Arial" w:cs="Times New Roman" w:hint="eastAsia"/>
          <w:b/>
          <w:bCs/>
          <w:color w:val="0070C0"/>
          <w:kern w:val="0"/>
          <w:szCs w:val="21"/>
          <w:lang w:val="en-GB"/>
        </w:rPr>
        <w:t>ETF</w:t>
      </w:r>
      <w:r>
        <w:rPr>
          <w:rFonts w:ascii="Arial" w:eastAsia="楷体_GB2312" w:hAnsi="Arial" w:cs="Times New Roman" w:hint="eastAsia"/>
          <w:b/>
          <w:bCs/>
          <w:color w:val="0070C0"/>
          <w:kern w:val="0"/>
          <w:szCs w:val="21"/>
          <w:lang w:val="en-GB"/>
        </w:rPr>
        <w:t>酝酿</w:t>
      </w:r>
    </w:p>
    <w:p w:rsidR="00A91FFA" w:rsidRPr="009671E1" w:rsidRDefault="00CC751E" w:rsidP="00A91FFA">
      <w:pPr>
        <w:pStyle w:val="ab"/>
        <w:numPr>
          <w:ilvl w:val="4"/>
          <w:numId w:val="1"/>
        </w:numPr>
        <w:spacing w:after="163"/>
        <w:rPr>
          <w:rFonts w:eastAsia="楷体_GB2312"/>
          <w:color w:val="auto"/>
        </w:rPr>
      </w:pPr>
      <w:r>
        <w:rPr>
          <w:rFonts w:eastAsia="楷体_GB2312" w:hint="eastAsia"/>
          <w:color w:val="auto"/>
        </w:rPr>
        <w:lastRenderedPageBreak/>
        <w:t>12</w:t>
      </w:r>
      <w:r>
        <w:rPr>
          <w:rFonts w:eastAsia="楷体_GB2312" w:hint="eastAsia"/>
          <w:color w:val="auto"/>
        </w:rPr>
        <w:t>月</w:t>
      </w:r>
      <w:r w:rsidRPr="00CC751E">
        <w:rPr>
          <w:rFonts w:eastAsia="楷体_GB2312" w:hint="eastAsia"/>
          <w:color w:val="auto"/>
        </w:rPr>
        <w:t>，中国证监会正式发布《公开募集证券投资基金运作指引第</w:t>
      </w:r>
      <w:r w:rsidRPr="00CC751E">
        <w:rPr>
          <w:rFonts w:eastAsia="楷体_GB2312" w:hint="eastAsia"/>
          <w:color w:val="auto"/>
        </w:rPr>
        <w:t>1</w:t>
      </w:r>
      <w:r w:rsidRPr="00CC751E">
        <w:rPr>
          <w:rFonts w:eastAsia="楷体_GB2312" w:hint="eastAsia"/>
          <w:color w:val="auto"/>
        </w:rPr>
        <w:t>号——商品期货交易型开放式基金指引》（以下简称《指引》），</w:t>
      </w:r>
      <w:r>
        <w:rPr>
          <w:rFonts w:eastAsia="楷体_GB2312" w:hint="eastAsia"/>
          <w:color w:val="auto"/>
        </w:rPr>
        <w:t>并</w:t>
      </w:r>
      <w:r w:rsidRPr="00CC751E">
        <w:rPr>
          <w:rFonts w:eastAsia="楷体_GB2312" w:hint="eastAsia"/>
          <w:color w:val="auto"/>
        </w:rPr>
        <w:t>自发布之日起实施。《指引》共十一条，对商品期货</w:t>
      </w:r>
      <w:r w:rsidRPr="00CC751E">
        <w:rPr>
          <w:rFonts w:eastAsia="楷体_GB2312" w:hint="eastAsia"/>
          <w:color w:val="auto"/>
        </w:rPr>
        <w:t>ETF</w:t>
      </w:r>
      <w:r w:rsidRPr="00CC751E">
        <w:rPr>
          <w:rFonts w:eastAsia="楷体_GB2312" w:hint="eastAsia"/>
          <w:color w:val="auto"/>
        </w:rPr>
        <w:t>的定义、投资范围、风险控制、相关主体责任、监管要求等内容进行了规范。</w:t>
      </w:r>
      <w:r>
        <w:rPr>
          <w:rFonts w:eastAsia="楷体_GB2312" w:hint="eastAsia"/>
          <w:color w:val="auto"/>
        </w:rPr>
        <w:t>相较原先的征求意见稿</w:t>
      </w:r>
      <w:r w:rsidR="00D646BE">
        <w:rPr>
          <w:rFonts w:eastAsia="楷体_GB2312" w:hint="eastAsia"/>
          <w:color w:val="auto"/>
        </w:rPr>
        <w:t>，</w:t>
      </w:r>
      <w:r w:rsidR="00A91FFA" w:rsidRPr="009671E1">
        <w:rPr>
          <w:rFonts w:eastAsia="楷体_GB2312" w:hint="eastAsia"/>
          <w:color w:val="auto"/>
        </w:rPr>
        <w:t>《指引》</w:t>
      </w:r>
      <w:r w:rsidR="00D646BE" w:rsidRPr="00D646BE">
        <w:rPr>
          <w:rFonts w:eastAsia="楷体_GB2312" w:hint="eastAsia"/>
          <w:color w:val="auto"/>
        </w:rPr>
        <w:t>主要作以下修改：一是在保证基金投资目标和投资策略的前提下，允许商品期货</w:t>
      </w:r>
      <w:r w:rsidR="00D646BE" w:rsidRPr="00D646BE">
        <w:rPr>
          <w:rFonts w:eastAsia="楷体_GB2312" w:hint="eastAsia"/>
          <w:color w:val="auto"/>
        </w:rPr>
        <w:t>ETF</w:t>
      </w:r>
      <w:r w:rsidR="00D646BE" w:rsidRPr="00D646BE">
        <w:rPr>
          <w:rFonts w:eastAsia="楷体_GB2312" w:hint="eastAsia"/>
          <w:color w:val="auto"/>
        </w:rPr>
        <w:t>支付保证金以外的资产部分投资于货币市场工具以外的其他金融工具。二是为避免商品期货合约展期的升贴水风险，为商品期货</w:t>
      </w:r>
      <w:r w:rsidR="00D646BE" w:rsidRPr="00D646BE">
        <w:rPr>
          <w:rFonts w:eastAsia="楷体_GB2312" w:hint="eastAsia"/>
          <w:color w:val="auto"/>
        </w:rPr>
        <w:t>ETF</w:t>
      </w:r>
      <w:r w:rsidR="00D646BE" w:rsidRPr="00D646BE">
        <w:rPr>
          <w:rFonts w:eastAsia="楷体_GB2312" w:hint="eastAsia"/>
          <w:color w:val="auto"/>
        </w:rPr>
        <w:t>持有的合约到期办理交割持有标准仓单预留了空间，但为与实物商品区别，规定商品期货</w:t>
      </w:r>
      <w:r w:rsidR="00D646BE" w:rsidRPr="00D646BE">
        <w:rPr>
          <w:rFonts w:eastAsia="楷体_GB2312" w:hint="eastAsia"/>
          <w:color w:val="auto"/>
        </w:rPr>
        <w:t>ETF</w:t>
      </w:r>
      <w:r w:rsidR="00D646BE" w:rsidRPr="00D646BE">
        <w:rPr>
          <w:rFonts w:eastAsia="楷体_GB2312" w:hint="eastAsia"/>
          <w:color w:val="auto"/>
        </w:rPr>
        <w:t>不得办理实物商品的出入库业务。三是为基金公司下一步在明确相关业务规则、落实好投资者适当性制度的基础上，推出创新型商品期货基金预留空间。</w:t>
      </w:r>
      <w:r w:rsidR="00A91FFA" w:rsidRPr="009671E1">
        <w:rPr>
          <w:rFonts w:eastAsia="楷体_GB2312" w:hint="eastAsia"/>
          <w:color w:val="auto"/>
        </w:rPr>
        <w:t>《指</w:t>
      </w:r>
      <w:r w:rsidR="00A91FFA">
        <w:rPr>
          <w:rFonts w:eastAsia="楷体_GB2312" w:hint="eastAsia"/>
          <w:color w:val="auto"/>
        </w:rPr>
        <w:t>引》的发布实施，</w:t>
      </w:r>
      <w:r w:rsidR="00A91FFA" w:rsidRPr="009671E1">
        <w:rPr>
          <w:rFonts w:eastAsia="楷体_GB2312" w:hint="eastAsia"/>
          <w:color w:val="auto"/>
        </w:rPr>
        <w:t>为商品期货</w:t>
      </w:r>
      <w:r w:rsidR="00A91FFA" w:rsidRPr="009671E1">
        <w:rPr>
          <w:rFonts w:eastAsia="楷体_GB2312" w:hint="eastAsia"/>
          <w:color w:val="auto"/>
        </w:rPr>
        <w:t xml:space="preserve">ETF </w:t>
      </w:r>
      <w:r w:rsidR="00A91FFA" w:rsidRPr="009671E1">
        <w:rPr>
          <w:rFonts w:eastAsia="楷体_GB2312" w:hint="eastAsia"/>
          <w:color w:val="auto"/>
        </w:rPr>
        <w:t>的顺利推出奠定基础，</w:t>
      </w:r>
      <w:r w:rsidR="00A91FFA">
        <w:rPr>
          <w:rFonts w:eastAsia="楷体_GB2312" w:hint="eastAsia"/>
          <w:color w:val="auto"/>
        </w:rPr>
        <w:t>为基金公司产品创新发展提供</w:t>
      </w:r>
      <w:r w:rsidR="00D646BE">
        <w:rPr>
          <w:rFonts w:eastAsia="楷体_GB2312" w:hint="eastAsia"/>
          <w:color w:val="auto"/>
        </w:rPr>
        <w:t>重要</w:t>
      </w:r>
      <w:r w:rsidR="00A91FFA">
        <w:rPr>
          <w:rFonts w:eastAsia="楷体_GB2312" w:hint="eastAsia"/>
          <w:color w:val="auto"/>
        </w:rPr>
        <w:t>支持</w:t>
      </w:r>
      <w:r w:rsidR="00A91FFA" w:rsidRPr="009671E1">
        <w:rPr>
          <w:rFonts w:eastAsia="楷体_GB2312" w:hint="eastAsia"/>
          <w:color w:val="auto"/>
        </w:rPr>
        <w:t>。</w:t>
      </w:r>
    </w:p>
    <w:p w:rsidR="00963B14" w:rsidRDefault="00963B14" w:rsidP="00963B14">
      <w:pPr>
        <w:pStyle w:val="ab"/>
        <w:spacing w:after="163"/>
        <w:ind w:leftChars="1620" w:firstLineChars="98" w:firstLine="236"/>
        <w:rPr>
          <w:rFonts w:eastAsia="楷体_GB2312"/>
          <w:color w:val="auto"/>
        </w:rPr>
      </w:pPr>
      <w:r w:rsidRPr="00A854B9">
        <w:rPr>
          <w:rFonts w:eastAsia="楷体_GB2312" w:hint="eastAsia"/>
          <w:b/>
          <w:bCs/>
          <w:color w:val="0070C0"/>
          <w:sz w:val="24"/>
        </w:rPr>
        <w:t>基金公司股权激励现实质性突破</w:t>
      </w:r>
    </w:p>
    <w:p w:rsidR="00963B14" w:rsidRDefault="00963B14" w:rsidP="00963B14">
      <w:pPr>
        <w:pStyle w:val="ab"/>
        <w:numPr>
          <w:ilvl w:val="4"/>
          <w:numId w:val="1"/>
        </w:numPr>
        <w:spacing w:after="163"/>
        <w:rPr>
          <w:rFonts w:eastAsia="楷体_GB2312"/>
          <w:color w:val="auto"/>
        </w:rPr>
      </w:pPr>
      <w:r w:rsidRPr="00A854B9">
        <w:rPr>
          <w:rFonts w:eastAsia="楷体_GB2312" w:hint="eastAsia"/>
          <w:color w:val="auto"/>
        </w:rPr>
        <w:t>2013</w:t>
      </w:r>
      <w:r w:rsidRPr="00A854B9">
        <w:rPr>
          <w:rFonts w:eastAsia="楷体_GB2312" w:hint="eastAsia"/>
          <w:color w:val="auto"/>
        </w:rPr>
        <w:t>年</w:t>
      </w:r>
      <w:r w:rsidRPr="00A854B9">
        <w:rPr>
          <w:rFonts w:eastAsia="楷体_GB2312" w:hint="eastAsia"/>
          <w:color w:val="auto"/>
        </w:rPr>
        <w:t>6</w:t>
      </w:r>
      <w:r w:rsidRPr="00A854B9">
        <w:rPr>
          <w:rFonts w:eastAsia="楷体_GB2312" w:hint="eastAsia"/>
          <w:color w:val="auto"/>
        </w:rPr>
        <w:t>月，新《证券投资基金法》实施后对于“公开募集基金的基金管理人可以实行专业人士持股计划，建立长效激励约束机制”，并放开持股</w:t>
      </w:r>
      <w:r w:rsidRPr="00A854B9">
        <w:rPr>
          <w:rFonts w:eastAsia="楷体_GB2312" w:hint="eastAsia"/>
          <w:color w:val="auto"/>
        </w:rPr>
        <w:t>5%</w:t>
      </w:r>
      <w:r w:rsidRPr="00A854B9">
        <w:rPr>
          <w:rFonts w:eastAsia="楷体_GB2312" w:hint="eastAsia"/>
          <w:color w:val="auto"/>
        </w:rPr>
        <w:t>以下股权转让的行政审批。”的相关规定为基金公司股权激励机制实现铺平道路。其实早在去年年初，万家基金便在基金子公司中率先实行股权激励机制，万家共赢资产管理有限公司的股东之一——</w:t>
      </w:r>
      <w:proofErr w:type="gramStart"/>
      <w:r w:rsidRPr="00A854B9">
        <w:rPr>
          <w:rFonts w:eastAsia="楷体_GB2312" w:hint="eastAsia"/>
          <w:color w:val="auto"/>
        </w:rPr>
        <w:t>上海承圆即</w:t>
      </w:r>
      <w:proofErr w:type="gramEnd"/>
      <w:r w:rsidRPr="00A854B9">
        <w:rPr>
          <w:rFonts w:eastAsia="楷体_GB2312" w:hint="eastAsia"/>
          <w:color w:val="auto"/>
        </w:rPr>
        <w:t>为</w:t>
      </w:r>
      <w:proofErr w:type="gramStart"/>
      <w:r w:rsidRPr="00A854B9">
        <w:rPr>
          <w:rFonts w:eastAsia="楷体_GB2312" w:hint="eastAsia"/>
          <w:color w:val="auto"/>
        </w:rPr>
        <w:t>专职在</w:t>
      </w:r>
      <w:proofErr w:type="gramEnd"/>
      <w:r w:rsidRPr="00A854B9">
        <w:rPr>
          <w:rFonts w:eastAsia="楷体_GB2312" w:hint="eastAsia"/>
          <w:color w:val="auto"/>
        </w:rPr>
        <w:t>子公司工作的万家基金现有核心员工共同出资设立的合伙企业。此后，部分基金公司通过借道子公司的模式实现了股权激励，其主要方式包括自然人持股（如华富、财通旗下子公司）以及企业间接持股。其中企业间接持股方式为所涉基金公司人员共同发起设立有限合伙公司或成立有限责任公司的形式参股基金子公司（如广发、华安、国泰、易方达、嘉实等）。但整体来看，借道子公司在形式上是一种间接的激励方式，并未直接体现在基金公司股权结构中。</w:t>
      </w:r>
    </w:p>
    <w:p w:rsidR="00963B14" w:rsidRDefault="00963B14" w:rsidP="00963B14">
      <w:pPr>
        <w:pStyle w:val="ab"/>
        <w:numPr>
          <w:ilvl w:val="4"/>
          <w:numId w:val="1"/>
        </w:numPr>
        <w:spacing w:after="163"/>
        <w:rPr>
          <w:rFonts w:eastAsia="楷体_GB2312"/>
          <w:color w:val="auto"/>
        </w:rPr>
      </w:pPr>
      <w:r>
        <w:rPr>
          <w:rFonts w:eastAsia="楷体_GB2312" w:hint="eastAsia"/>
          <w:color w:val="auto"/>
        </w:rPr>
        <w:t>2013</w:t>
      </w:r>
      <w:r w:rsidRPr="00A854B9">
        <w:rPr>
          <w:rFonts w:eastAsia="楷体_GB2312" w:hint="eastAsia"/>
          <w:color w:val="auto"/>
        </w:rPr>
        <w:t>年底国务院下发的《关于管理公开募集基金的基金管理公司有关问题的批复》明确了自然人作为基金管理公司主要股东或持有</w:t>
      </w:r>
      <w:r w:rsidRPr="00A854B9">
        <w:rPr>
          <w:rFonts w:eastAsia="楷体_GB2312" w:hint="eastAsia"/>
          <w:color w:val="auto"/>
        </w:rPr>
        <w:t>5%</w:t>
      </w:r>
      <w:r w:rsidRPr="00A854B9">
        <w:rPr>
          <w:rFonts w:eastAsia="楷体_GB2312" w:hint="eastAsia"/>
          <w:color w:val="auto"/>
        </w:rPr>
        <w:t>以上股权的非主要股东应当具备的条件后，</w:t>
      </w:r>
      <w:r>
        <w:rPr>
          <w:rFonts w:eastAsia="楷体_GB2312" w:hint="eastAsia"/>
          <w:color w:val="auto"/>
        </w:rPr>
        <w:t>2014</w:t>
      </w:r>
      <w:r>
        <w:rPr>
          <w:rFonts w:eastAsia="楷体_GB2312" w:hint="eastAsia"/>
          <w:color w:val="auto"/>
        </w:rPr>
        <w:t>年</w:t>
      </w:r>
      <w:r w:rsidRPr="00A854B9">
        <w:rPr>
          <w:rFonts w:eastAsia="楷体_GB2312" w:hint="eastAsia"/>
          <w:color w:val="auto"/>
        </w:rPr>
        <w:t>3</w:t>
      </w:r>
      <w:r w:rsidRPr="00A854B9">
        <w:rPr>
          <w:rFonts w:eastAsia="楷体_GB2312" w:hint="eastAsia"/>
          <w:color w:val="auto"/>
        </w:rPr>
        <w:t>月，基金业协会发布《进一步完善基金管理公司治理相关问题的意见》，强调基金公司是以人力资本为主要资本形态的行业，资本金要求不高，因此其治理结构应该区别于一般企业的公司治理，平衡好人力资本与股东的关系，充分体现人力资本的价值，逐步探索员工持股等多元化的激励约束方式。</w:t>
      </w:r>
      <w:r w:rsidRPr="00A854B9">
        <w:rPr>
          <w:rFonts w:eastAsia="楷体_GB2312" w:hint="eastAsia"/>
          <w:color w:val="auto"/>
        </w:rPr>
        <w:t>6</w:t>
      </w:r>
      <w:r w:rsidRPr="00A854B9">
        <w:rPr>
          <w:rFonts w:eastAsia="楷体_GB2312" w:hint="eastAsia"/>
          <w:color w:val="auto"/>
        </w:rPr>
        <w:t>月，证监会发布的《关于大力推进证券投资基金行业创新发展的意见》中明确表示，完善基金公司治理机制，支持基金管理公司混合所有制改革，进一步优化基金管理公司股权结构和组织形式，支持建立专业人士持股。政策的进一步细化及管理层的支持为基金公司股权激励取得实质性突破奠定了基础。</w:t>
      </w:r>
    </w:p>
    <w:p w:rsidR="00963B14" w:rsidRDefault="00963B14" w:rsidP="00963B14">
      <w:pPr>
        <w:pStyle w:val="ab"/>
        <w:numPr>
          <w:ilvl w:val="4"/>
          <w:numId w:val="1"/>
        </w:numPr>
        <w:spacing w:after="163"/>
        <w:rPr>
          <w:rFonts w:eastAsia="楷体_GB2312"/>
          <w:color w:val="auto"/>
        </w:rPr>
      </w:pPr>
      <w:r>
        <w:rPr>
          <w:rFonts w:eastAsia="楷体_GB2312" w:hint="eastAsia"/>
          <w:color w:val="auto"/>
        </w:rPr>
        <w:t>2014</w:t>
      </w:r>
      <w:r>
        <w:rPr>
          <w:rFonts w:eastAsia="楷体_GB2312" w:hint="eastAsia"/>
          <w:color w:val="auto"/>
        </w:rPr>
        <w:t>年</w:t>
      </w:r>
      <w:r w:rsidRPr="00A854B9">
        <w:rPr>
          <w:rFonts w:eastAsia="楷体_GB2312" w:hint="eastAsia"/>
          <w:color w:val="auto"/>
        </w:rPr>
        <w:t>4</w:t>
      </w:r>
      <w:r w:rsidRPr="00A854B9">
        <w:rPr>
          <w:rFonts w:eastAsia="楷体_GB2312" w:hint="eastAsia"/>
          <w:color w:val="auto"/>
        </w:rPr>
        <w:t>月，中欧基金股权改革方案正式走完相关流程获准实施，标志着</w:t>
      </w:r>
      <w:r>
        <w:rPr>
          <w:rFonts w:eastAsia="楷体_GB2312" w:hint="eastAsia"/>
          <w:color w:val="auto"/>
        </w:rPr>
        <w:t>真正意义上的</w:t>
      </w:r>
      <w:r w:rsidRPr="00A854B9">
        <w:rPr>
          <w:rFonts w:eastAsia="楷体_GB2312" w:hint="eastAsia"/>
          <w:color w:val="auto"/>
        </w:rPr>
        <w:t>公</w:t>
      </w:r>
      <w:proofErr w:type="gramStart"/>
      <w:r w:rsidRPr="00A854B9">
        <w:rPr>
          <w:rFonts w:eastAsia="楷体_GB2312" w:hint="eastAsia"/>
          <w:color w:val="auto"/>
        </w:rPr>
        <w:t>募基金</w:t>
      </w:r>
      <w:proofErr w:type="gramEnd"/>
      <w:r w:rsidRPr="00A854B9">
        <w:rPr>
          <w:rFonts w:eastAsia="楷体_GB2312" w:hint="eastAsia"/>
          <w:color w:val="auto"/>
        </w:rPr>
        <w:t>股权改革正式破冰，其实施方案为保持公司注册资本不变，由股东国都证券有限责任公司和北京百骏投资有限公司分别将其持有的公司各</w:t>
      </w:r>
      <w:r w:rsidRPr="00A854B9">
        <w:rPr>
          <w:rFonts w:eastAsia="楷体_GB2312" w:hint="eastAsia"/>
          <w:color w:val="auto"/>
        </w:rPr>
        <w:t>10%</w:t>
      </w:r>
      <w:r w:rsidRPr="00A854B9">
        <w:rPr>
          <w:rFonts w:eastAsia="楷体_GB2312" w:hint="eastAsia"/>
          <w:color w:val="auto"/>
        </w:rPr>
        <w:t>的股权转让给股东以外的自然人窦玉明、刘建平、周蔚文、许欣和陆文俊。在这份被喻为“中欧模式”的激励方案中，公司高管通过股权受让直接持有基金公司股权。而据中欧方面透露，其五位高管的股权</w:t>
      </w:r>
      <w:proofErr w:type="gramStart"/>
      <w:r w:rsidRPr="00A854B9">
        <w:rPr>
          <w:rFonts w:eastAsia="楷体_GB2312" w:hint="eastAsia"/>
          <w:color w:val="auto"/>
        </w:rPr>
        <w:t>激励仅</w:t>
      </w:r>
      <w:proofErr w:type="gramEnd"/>
      <w:r w:rsidRPr="00A854B9">
        <w:rPr>
          <w:rFonts w:eastAsia="楷体_GB2312" w:hint="eastAsia"/>
          <w:color w:val="auto"/>
        </w:rPr>
        <w:t>为第一步，未来外方股东及其他股东，还会继续向核心团队转让股份。此后，</w:t>
      </w:r>
      <w:proofErr w:type="gramStart"/>
      <w:r w:rsidRPr="00A854B9">
        <w:rPr>
          <w:rFonts w:eastAsia="楷体_GB2312" w:hint="eastAsia"/>
          <w:color w:val="auto"/>
        </w:rPr>
        <w:t>5</w:t>
      </w:r>
      <w:r w:rsidRPr="00A854B9">
        <w:rPr>
          <w:rFonts w:eastAsia="楷体_GB2312" w:hint="eastAsia"/>
          <w:color w:val="auto"/>
        </w:rPr>
        <w:t>月底天弘股权</w:t>
      </w:r>
      <w:proofErr w:type="gramEnd"/>
      <w:r w:rsidRPr="00A854B9">
        <w:rPr>
          <w:rFonts w:eastAsia="楷体_GB2312" w:hint="eastAsia"/>
          <w:color w:val="auto"/>
        </w:rPr>
        <w:t>变更获批。</w:t>
      </w:r>
      <w:r w:rsidRPr="00A854B9">
        <w:rPr>
          <w:rFonts w:eastAsia="楷体_GB2312" w:hint="eastAsia"/>
          <w:color w:val="auto"/>
        </w:rPr>
        <w:t>6</w:t>
      </w:r>
      <w:r w:rsidRPr="00A854B9">
        <w:rPr>
          <w:rFonts w:eastAsia="楷体_GB2312" w:hint="eastAsia"/>
          <w:color w:val="auto"/>
        </w:rPr>
        <w:t>月底，有信息爆出</w:t>
      </w:r>
      <w:proofErr w:type="gramStart"/>
      <w:r w:rsidRPr="00A854B9">
        <w:rPr>
          <w:rFonts w:eastAsia="楷体_GB2312" w:hint="eastAsia"/>
          <w:color w:val="auto"/>
        </w:rPr>
        <w:t>天弘基金</w:t>
      </w:r>
      <w:proofErr w:type="gramEnd"/>
      <w:r w:rsidRPr="00A854B9">
        <w:rPr>
          <w:rFonts w:eastAsia="楷体_GB2312" w:hint="eastAsia"/>
          <w:color w:val="auto"/>
        </w:rPr>
        <w:t>通过六家合伙制企业作为全员股权激励代持平台，从而扩大股权激励范围。</w:t>
      </w:r>
    </w:p>
    <w:p w:rsidR="00963B14" w:rsidRDefault="00963B14" w:rsidP="00963B14">
      <w:pPr>
        <w:pStyle w:val="ab"/>
        <w:numPr>
          <w:ilvl w:val="4"/>
          <w:numId w:val="1"/>
        </w:numPr>
        <w:spacing w:after="163"/>
        <w:rPr>
          <w:rFonts w:eastAsia="楷体_GB2312"/>
          <w:color w:val="auto"/>
        </w:rPr>
      </w:pPr>
      <w:r w:rsidRPr="00A854B9">
        <w:rPr>
          <w:rFonts w:eastAsia="楷体_GB2312" w:hint="eastAsia"/>
          <w:color w:val="auto"/>
        </w:rPr>
        <w:t>对于知识及人才密集型的基金行业来说，推行股权激励措施，实现利益捆绑，对基金公司当前所面临的人才瓶颈能够起到正面积极作用，有利于核心人员稳定性提升，促进公司稳步发展。但其对于基金公司具体业绩提升作用相对间接，</w:t>
      </w:r>
      <w:r>
        <w:rPr>
          <w:rFonts w:eastAsia="楷体_GB2312" w:hint="eastAsia"/>
          <w:color w:val="auto"/>
        </w:rPr>
        <w:t>尚</w:t>
      </w:r>
      <w:r w:rsidRPr="00A854B9">
        <w:rPr>
          <w:rFonts w:eastAsia="楷体_GB2312" w:hint="eastAsia"/>
          <w:color w:val="auto"/>
        </w:rPr>
        <w:t>有待进一步观察。</w:t>
      </w:r>
    </w:p>
    <w:p w:rsidR="005E5321" w:rsidRDefault="005E5321" w:rsidP="005E5321">
      <w:pPr>
        <w:pStyle w:val="Default"/>
        <w:spacing w:before="156" w:after="156"/>
        <w:ind w:firstLine="881"/>
      </w:pPr>
    </w:p>
    <w:p w:rsidR="00B10000" w:rsidRPr="001609A2" w:rsidRDefault="00B10000" w:rsidP="00B10000">
      <w:pPr>
        <w:pStyle w:val="aa"/>
        <w:spacing w:after="312"/>
        <w:rPr>
          <w:rFonts w:ascii="Arial" w:eastAsia="楷体_GB2312" w:hAnsi="Arial"/>
          <w:b/>
          <w:kern w:val="0"/>
          <w:sz w:val="21"/>
          <w:szCs w:val="20"/>
          <w:lang w:val="en-GB"/>
        </w:rPr>
      </w:pPr>
      <w:r w:rsidRPr="001609A2">
        <w:rPr>
          <w:rFonts w:ascii="Arial" w:eastAsia="楷体_GB2312" w:hAnsi="Arial" w:hint="eastAsia"/>
          <w:b/>
          <w:kern w:val="0"/>
          <w:sz w:val="21"/>
          <w:szCs w:val="20"/>
          <w:lang w:val="en-GB"/>
        </w:rPr>
        <w:t>特别声明：</w:t>
      </w:r>
    </w:p>
    <w:p w:rsidR="00B10000" w:rsidRPr="001609A2" w:rsidRDefault="00B10000" w:rsidP="00122F39">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w:t>
      </w:r>
      <w:r w:rsidRPr="001609A2">
        <w:rPr>
          <w:rFonts w:ascii="Arial" w:eastAsia="楷体_GB2312" w:hAnsi="Arial" w:hint="eastAsia"/>
          <w:kern w:val="0"/>
          <w:sz w:val="21"/>
          <w:szCs w:val="20"/>
          <w:lang w:val="en-GB"/>
        </w:rPr>
        <w:lastRenderedPageBreak/>
        <w:t>出处为上海凯石财富投资有限公司研究中心，且不得对本文进行任何有悖原意的引用和删改。</w:t>
      </w:r>
    </w:p>
    <w:p w:rsidR="00B10000" w:rsidRPr="001609A2" w:rsidRDefault="00B10000" w:rsidP="00122F39">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1609A2" w:rsidRDefault="00B10000" w:rsidP="00122F39">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094657">
      <w:headerReference w:type="default" r:id="rId10"/>
      <w:footerReference w:type="default" r:id="rId11"/>
      <w:headerReference w:type="first" r:id="rId12"/>
      <w:footerReference w:type="first" r:id="rId13"/>
      <w:pgSz w:w="11906" w:h="16838"/>
      <w:pgMar w:top="720" w:right="720" w:bottom="720" w:left="720"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717" w:rsidRDefault="00B96717" w:rsidP="00B10000">
      <w:r>
        <w:separator/>
      </w:r>
    </w:p>
  </w:endnote>
  <w:endnote w:type="continuationSeparator" w:id="0">
    <w:p w:rsidR="00B96717" w:rsidRDefault="00B96717"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altName w:val="MS Gothic"/>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新魏">
    <w:panose1 w:val="02010800040101010101"/>
    <w:charset w:val="86"/>
    <w:family w:val="auto"/>
    <w:pitch w:val="variable"/>
    <w:sig w:usb0="00000001" w:usb1="080E0000" w:usb2="00000010" w:usb3="00000000" w:csb0="00040000" w:csb1="00000000"/>
  </w:font>
  <w:font w:name="华文隶书">
    <w:panose1 w:val="0201080004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657" w:rsidRDefault="00094657">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Pr>
                <w:lang w:val="zh-CN"/>
              </w:rPr>
              <w:t xml:space="preserve"> </w:t>
            </w:r>
            <w:r>
              <w:rPr>
                <w:b/>
                <w:sz w:val="24"/>
                <w:szCs w:val="24"/>
              </w:rPr>
              <w:fldChar w:fldCharType="begin"/>
            </w:r>
            <w:r>
              <w:rPr>
                <w:b/>
              </w:rPr>
              <w:instrText>PAGE</w:instrText>
            </w:r>
            <w:r>
              <w:rPr>
                <w:b/>
                <w:sz w:val="24"/>
                <w:szCs w:val="24"/>
              </w:rPr>
              <w:fldChar w:fldCharType="separate"/>
            </w:r>
            <w:r w:rsidR="00124D5E">
              <w:rPr>
                <w:b/>
                <w:noProof/>
              </w:rPr>
              <w:t>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124D5E">
              <w:rPr>
                <w:b/>
                <w:noProof/>
              </w:rPr>
              <w:t>9</w:t>
            </w:r>
            <w:r>
              <w:rPr>
                <w:b/>
                <w:sz w:val="24"/>
                <w:szCs w:val="24"/>
              </w:rPr>
              <w:fldChar w:fldCharType="end"/>
            </w:r>
          </w:sdtContent>
        </w:sdt>
      </w:sdtContent>
    </w:sdt>
  </w:p>
  <w:p w:rsidR="00094657" w:rsidRDefault="0009465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094657" w:rsidRDefault="00094657">
            <w:pPr>
              <w:pStyle w:val="a4"/>
              <w:jc w:val="center"/>
            </w:pPr>
            <w:r>
              <w:pict>
                <v:rect id="_x0000_i1029" style="width:571.2pt;height:2pt" o:hralign="center" o:hrstd="t" o:hrnoshade="t" o:hr="t" fillcolor="#e7a631" stroked="f"/>
              </w:pict>
            </w: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9</w:t>
            </w:r>
            <w:r>
              <w:rPr>
                <w:b/>
                <w:sz w:val="24"/>
                <w:szCs w:val="24"/>
              </w:rPr>
              <w:fldChar w:fldCharType="end"/>
            </w:r>
          </w:p>
        </w:sdtContent>
      </w:sdt>
    </w:sdtContent>
  </w:sdt>
  <w:p w:rsidR="00094657" w:rsidRDefault="000946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717" w:rsidRDefault="00B96717" w:rsidP="00B10000">
      <w:r>
        <w:separator/>
      </w:r>
    </w:p>
  </w:footnote>
  <w:footnote w:type="continuationSeparator" w:id="0">
    <w:p w:rsidR="00B96717" w:rsidRDefault="00B96717"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657" w:rsidRDefault="00094657"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094657" w:rsidRDefault="00094657" w:rsidP="00B10000">
                  <w:pPr>
                    <w:pStyle w:val="12"/>
                  </w:pPr>
                  <w:r w:rsidRPr="008F6B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094657" w:rsidRPr="006E0F3C" w:rsidRDefault="00094657" w:rsidP="00B10000">
                  <w:pPr>
                    <w:pStyle w:val="2"/>
                  </w:pPr>
                  <w:r w:rsidRPr="00E4760A">
                    <w:rPr>
                      <w:rFonts w:hint="eastAsia"/>
                    </w:rPr>
                    <w:t>2014</w:t>
                  </w:r>
                  <w:r w:rsidRPr="00E4760A">
                    <w:rPr>
                      <w:rFonts w:hint="eastAsia"/>
                    </w:rPr>
                    <w:t>年公</w:t>
                  </w:r>
                  <w:proofErr w:type="gramStart"/>
                  <w:r w:rsidRPr="00E4760A">
                    <w:rPr>
                      <w:rFonts w:hint="eastAsia"/>
                    </w:rPr>
                    <w:t>募基金</w:t>
                  </w:r>
                  <w:proofErr w:type="gramEnd"/>
                  <w:r>
                    <w:rPr>
                      <w:rFonts w:hint="eastAsia"/>
                    </w:rPr>
                    <w:t>行业回顾</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657" w:rsidRDefault="00094657" w:rsidP="00122F39">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094657" w:rsidRDefault="00094657" w:rsidP="00B10000">
                  <w:pPr>
                    <w:pStyle w:val="a6"/>
                  </w:pPr>
                  <w:r w:rsidRPr="008F6B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094657" w:rsidRPr="006E0F3C" w:rsidRDefault="00094657"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094657" w:rsidRPr="006E0F3C" w:rsidRDefault="00094657" w:rsidP="00B10000">
                  <w:pPr>
                    <w:pStyle w:val="a7"/>
                    <w:jc w:val="right"/>
                  </w:pPr>
                  <w:r w:rsidRPr="006E0F3C">
                    <w:rPr>
                      <w:rFonts w:hint="eastAsia"/>
                    </w:rPr>
                    <w:t>201</w:t>
                  </w:r>
                  <w:r>
                    <w:rPr>
                      <w:rFonts w:hint="eastAsia"/>
                    </w:rPr>
                    <w:t>5</w:t>
                  </w:r>
                  <w:r w:rsidRPr="006E0F3C">
                    <w:rPr>
                      <w:rFonts w:hint="eastAsia"/>
                    </w:rPr>
                    <w:t>年</w:t>
                  </w:r>
                  <w:r>
                    <w:rPr>
                      <w:rFonts w:hint="eastAsia"/>
                    </w:rPr>
                    <w:t>1月14</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094657" w:rsidRDefault="00094657" w:rsidP="00B10000">
                  <w:pPr>
                    <w:pStyle w:val="a8"/>
                    <w:jc w:val="right"/>
                  </w:pPr>
                  <w:r w:rsidRPr="00F82D2A">
                    <w:rPr>
                      <w:rFonts w:hint="eastAsia"/>
                    </w:rPr>
                    <w:t>2014</w:t>
                  </w:r>
                  <w:r>
                    <w:rPr>
                      <w:rFonts w:hint="eastAsia"/>
                    </w:rPr>
                    <w:t>年公</w:t>
                  </w:r>
                  <w:proofErr w:type="gramStart"/>
                  <w:r>
                    <w:rPr>
                      <w:rFonts w:hint="eastAsia"/>
                    </w:rPr>
                    <w:t>募基金</w:t>
                  </w:r>
                  <w:proofErr w:type="gramEnd"/>
                  <w:r>
                    <w:rPr>
                      <w:rFonts w:hint="eastAsia"/>
                    </w:rPr>
                    <w:t>业</w:t>
                  </w:r>
                  <w:r w:rsidRPr="00F82D2A">
                    <w:rPr>
                      <w:rFonts w:hint="eastAsia"/>
                    </w:rPr>
                    <w:t>发展回顾</w:t>
                  </w:r>
                </w:p>
                <w:p w:rsidR="00094657" w:rsidRPr="00624366" w:rsidRDefault="00094657" w:rsidP="00050667">
                  <w:pPr>
                    <w:pStyle w:val="a8"/>
                    <w:jc w:val="right"/>
                    <w:rPr>
                      <w:sz w:val="28"/>
                      <w:szCs w:val="28"/>
                    </w:rPr>
                  </w:pPr>
                  <w:r>
                    <w:rPr>
                      <w:rFonts w:hint="eastAsia"/>
                      <w:sz w:val="28"/>
                      <w:szCs w:val="28"/>
                    </w:rPr>
                    <w:t>注册</w:t>
                  </w:r>
                  <w:r>
                    <w:rPr>
                      <w:sz w:val="28"/>
                      <w:szCs w:val="28"/>
                    </w:rPr>
                    <w:t>制落地</w:t>
                  </w:r>
                  <w:r>
                    <w:rPr>
                      <w:rFonts w:hint="eastAsia"/>
                      <w:sz w:val="28"/>
                      <w:szCs w:val="28"/>
                    </w:rPr>
                    <w:t>，股权</w:t>
                  </w:r>
                  <w:r>
                    <w:rPr>
                      <w:sz w:val="28"/>
                      <w:szCs w:val="28"/>
                    </w:rPr>
                    <w:t>激励获突破</w:t>
                  </w:r>
                </w:p>
              </w:txbxContent>
            </v:textbox>
          </v:shape>
          <v:shape id="_x0000_s1030" type="#_x0000_t202" style="position:absolute;left:3246;top:2578;width:7993;height:627" strokecolor="white">
            <v:textbox style="mso-next-textbox:#_x0000_s1030">
              <w:txbxContent>
                <w:p w:rsidR="00094657" w:rsidRDefault="00094657" w:rsidP="00B10000">
                  <w:pPr>
                    <w:pStyle w:val="a9"/>
                  </w:pPr>
                  <w:r>
                    <w:rPr>
                      <w:rFonts w:hint="eastAsia"/>
                    </w:rPr>
                    <w:t>郭佳楠 基金分析师</w:t>
                  </w:r>
                </w:p>
                <w:p w:rsidR="00094657" w:rsidRDefault="00094657" w:rsidP="00B10000">
                  <w:pPr>
                    <w:pStyle w:val="a9"/>
                  </w:pPr>
                  <w:r w:rsidRPr="006E0F3C">
                    <w:rPr>
                      <w:rFonts w:hint="eastAsia"/>
                    </w:rPr>
                    <w:t xml:space="preserve"> </w:t>
                  </w:r>
                </w:p>
                <w:p w:rsidR="00094657" w:rsidRPr="006E0F3C" w:rsidRDefault="00094657" w:rsidP="00E52127">
                  <w:pPr>
                    <w:pStyle w:val="a9"/>
                    <w:wordWrap w:val="0"/>
                  </w:pP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startOverride w:val="1"/>
    </w:lvlOverride>
    <w:lvlOverride w:ilvl="7"/>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4386">
      <o:colormenu v:ext="edit" strokecolor="non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04FA"/>
    <w:rsid w:val="000004FB"/>
    <w:rsid w:val="00000E19"/>
    <w:rsid w:val="000029A7"/>
    <w:rsid w:val="00002F3E"/>
    <w:rsid w:val="000041C7"/>
    <w:rsid w:val="0000422A"/>
    <w:rsid w:val="00005573"/>
    <w:rsid w:val="00005DF2"/>
    <w:rsid w:val="00006664"/>
    <w:rsid w:val="00011AA4"/>
    <w:rsid w:val="0001249B"/>
    <w:rsid w:val="00012F26"/>
    <w:rsid w:val="0001391F"/>
    <w:rsid w:val="000149E5"/>
    <w:rsid w:val="00014E4A"/>
    <w:rsid w:val="0001684B"/>
    <w:rsid w:val="00016FEE"/>
    <w:rsid w:val="0002028D"/>
    <w:rsid w:val="00021011"/>
    <w:rsid w:val="00021B60"/>
    <w:rsid w:val="00023796"/>
    <w:rsid w:val="00023FC5"/>
    <w:rsid w:val="000244AD"/>
    <w:rsid w:val="00024B34"/>
    <w:rsid w:val="00024CC7"/>
    <w:rsid w:val="000253A1"/>
    <w:rsid w:val="000258BE"/>
    <w:rsid w:val="00026157"/>
    <w:rsid w:val="00030DA9"/>
    <w:rsid w:val="0003185B"/>
    <w:rsid w:val="000322F1"/>
    <w:rsid w:val="00032786"/>
    <w:rsid w:val="00033494"/>
    <w:rsid w:val="000336F0"/>
    <w:rsid w:val="000341BA"/>
    <w:rsid w:val="00034C20"/>
    <w:rsid w:val="00036BD6"/>
    <w:rsid w:val="00040B0F"/>
    <w:rsid w:val="00040CB9"/>
    <w:rsid w:val="000413B6"/>
    <w:rsid w:val="00041A4A"/>
    <w:rsid w:val="00043780"/>
    <w:rsid w:val="0004379A"/>
    <w:rsid w:val="00043842"/>
    <w:rsid w:val="000448A5"/>
    <w:rsid w:val="00044D2F"/>
    <w:rsid w:val="00044EF2"/>
    <w:rsid w:val="00045287"/>
    <w:rsid w:val="00046736"/>
    <w:rsid w:val="0004681E"/>
    <w:rsid w:val="00046929"/>
    <w:rsid w:val="00047DBC"/>
    <w:rsid w:val="00050667"/>
    <w:rsid w:val="000506BB"/>
    <w:rsid w:val="00050901"/>
    <w:rsid w:val="00050A97"/>
    <w:rsid w:val="0005199E"/>
    <w:rsid w:val="00051D27"/>
    <w:rsid w:val="000523AB"/>
    <w:rsid w:val="00052D05"/>
    <w:rsid w:val="00053D98"/>
    <w:rsid w:val="00053DA5"/>
    <w:rsid w:val="000553B5"/>
    <w:rsid w:val="00055DD2"/>
    <w:rsid w:val="00056C3C"/>
    <w:rsid w:val="00060A8A"/>
    <w:rsid w:val="0006232B"/>
    <w:rsid w:val="00063B9F"/>
    <w:rsid w:val="000645DD"/>
    <w:rsid w:val="00066569"/>
    <w:rsid w:val="00066BBB"/>
    <w:rsid w:val="000673EA"/>
    <w:rsid w:val="00071EEE"/>
    <w:rsid w:val="00072D00"/>
    <w:rsid w:val="0007557C"/>
    <w:rsid w:val="00075B19"/>
    <w:rsid w:val="0008067A"/>
    <w:rsid w:val="00081118"/>
    <w:rsid w:val="00081208"/>
    <w:rsid w:val="000832AE"/>
    <w:rsid w:val="00083E8F"/>
    <w:rsid w:val="000851F8"/>
    <w:rsid w:val="00086645"/>
    <w:rsid w:val="00086B34"/>
    <w:rsid w:val="000874C0"/>
    <w:rsid w:val="000874DE"/>
    <w:rsid w:val="00087A79"/>
    <w:rsid w:val="000906F3"/>
    <w:rsid w:val="000908E4"/>
    <w:rsid w:val="000910BF"/>
    <w:rsid w:val="00091D95"/>
    <w:rsid w:val="00091E7C"/>
    <w:rsid w:val="00093760"/>
    <w:rsid w:val="00094657"/>
    <w:rsid w:val="00097891"/>
    <w:rsid w:val="000A0045"/>
    <w:rsid w:val="000A0200"/>
    <w:rsid w:val="000A0E04"/>
    <w:rsid w:val="000A2E30"/>
    <w:rsid w:val="000A3635"/>
    <w:rsid w:val="000A3AF7"/>
    <w:rsid w:val="000A3F69"/>
    <w:rsid w:val="000A49D0"/>
    <w:rsid w:val="000A6127"/>
    <w:rsid w:val="000A61C2"/>
    <w:rsid w:val="000A6C46"/>
    <w:rsid w:val="000A7D34"/>
    <w:rsid w:val="000A7D6F"/>
    <w:rsid w:val="000B214F"/>
    <w:rsid w:val="000B2574"/>
    <w:rsid w:val="000B436C"/>
    <w:rsid w:val="000B4549"/>
    <w:rsid w:val="000B4837"/>
    <w:rsid w:val="000B6599"/>
    <w:rsid w:val="000C17A5"/>
    <w:rsid w:val="000C1903"/>
    <w:rsid w:val="000C1A33"/>
    <w:rsid w:val="000C26B1"/>
    <w:rsid w:val="000C301B"/>
    <w:rsid w:val="000C35A6"/>
    <w:rsid w:val="000C3F6D"/>
    <w:rsid w:val="000C560C"/>
    <w:rsid w:val="000C5AA9"/>
    <w:rsid w:val="000C7ABD"/>
    <w:rsid w:val="000C7C2B"/>
    <w:rsid w:val="000D00E9"/>
    <w:rsid w:val="000D04C0"/>
    <w:rsid w:val="000D098E"/>
    <w:rsid w:val="000D0A63"/>
    <w:rsid w:val="000D120E"/>
    <w:rsid w:val="000D172C"/>
    <w:rsid w:val="000D3A3A"/>
    <w:rsid w:val="000D3B2C"/>
    <w:rsid w:val="000D600C"/>
    <w:rsid w:val="000D612E"/>
    <w:rsid w:val="000D6608"/>
    <w:rsid w:val="000E0905"/>
    <w:rsid w:val="000E25D0"/>
    <w:rsid w:val="000E2EDF"/>
    <w:rsid w:val="000E3E62"/>
    <w:rsid w:val="000E455B"/>
    <w:rsid w:val="000E4713"/>
    <w:rsid w:val="000E4CCA"/>
    <w:rsid w:val="000E6028"/>
    <w:rsid w:val="000E63CE"/>
    <w:rsid w:val="000E77F4"/>
    <w:rsid w:val="000F17A4"/>
    <w:rsid w:val="000F1B1F"/>
    <w:rsid w:val="000F1B5B"/>
    <w:rsid w:val="000F1C39"/>
    <w:rsid w:val="000F23EE"/>
    <w:rsid w:val="000F26E1"/>
    <w:rsid w:val="000F3D7B"/>
    <w:rsid w:val="000F4582"/>
    <w:rsid w:val="000F5835"/>
    <w:rsid w:val="000F61AF"/>
    <w:rsid w:val="000F65BC"/>
    <w:rsid w:val="000F6D23"/>
    <w:rsid w:val="000F6F39"/>
    <w:rsid w:val="000F70C1"/>
    <w:rsid w:val="000F7B18"/>
    <w:rsid w:val="001015AE"/>
    <w:rsid w:val="001015FD"/>
    <w:rsid w:val="0010182C"/>
    <w:rsid w:val="001018EE"/>
    <w:rsid w:val="00101F24"/>
    <w:rsid w:val="00102244"/>
    <w:rsid w:val="00103CEE"/>
    <w:rsid w:val="0010550D"/>
    <w:rsid w:val="00105DAE"/>
    <w:rsid w:val="001061FC"/>
    <w:rsid w:val="00110DA0"/>
    <w:rsid w:val="0011175E"/>
    <w:rsid w:val="00111800"/>
    <w:rsid w:val="001129A7"/>
    <w:rsid w:val="00112F63"/>
    <w:rsid w:val="00113693"/>
    <w:rsid w:val="001161DB"/>
    <w:rsid w:val="00116263"/>
    <w:rsid w:val="00116A76"/>
    <w:rsid w:val="00116CE6"/>
    <w:rsid w:val="00117538"/>
    <w:rsid w:val="00121517"/>
    <w:rsid w:val="00121905"/>
    <w:rsid w:val="00122F39"/>
    <w:rsid w:val="00123ACF"/>
    <w:rsid w:val="00124D5E"/>
    <w:rsid w:val="00124D6B"/>
    <w:rsid w:val="0012510C"/>
    <w:rsid w:val="00125231"/>
    <w:rsid w:val="00125DED"/>
    <w:rsid w:val="00126EC3"/>
    <w:rsid w:val="00127AD1"/>
    <w:rsid w:val="00131B17"/>
    <w:rsid w:val="00131E5C"/>
    <w:rsid w:val="00134AAF"/>
    <w:rsid w:val="00135C66"/>
    <w:rsid w:val="00135FD6"/>
    <w:rsid w:val="001360B9"/>
    <w:rsid w:val="001375D6"/>
    <w:rsid w:val="00137804"/>
    <w:rsid w:val="00137B68"/>
    <w:rsid w:val="00140273"/>
    <w:rsid w:val="0014101E"/>
    <w:rsid w:val="001410E9"/>
    <w:rsid w:val="001418E9"/>
    <w:rsid w:val="00141CA5"/>
    <w:rsid w:val="0014457B"/>
    <w:rsid w:val="00144CFC"/>
    <w:rsid w:val="00145791"/>
    <w:rsid w:val="00145E53"/>
    <w:rsid w:val="0014676E"/>
    <w:rsid w:val="00146CB1"/>
    <w:rsid w:val="001520A8"/>
    <w:rsid w:val="00152120"/>
    <w:rsid w:val="00152298"/>
    <w:rsid w:val="00152953"/>
    <w:rsid w:val="00152F6B"/>
    <w:rsid w:val="00154FA6"/>
    <w:rsid w:val="001556D7"/>
    <w:rsid w:val="001602A3"/>
    <w:rsid w:val="001609A2"/>
    <w:rsid w:val="001615D1"/>
    <w:rsid w:val="001619D5"/>
    <w:rsid w:val="001640A4"/>
    <w:rsid w:val="00164B00"/>
    <w:rsid w:val="00164CC6"/>
    <w:rsid w:val="00164D9C"/>
    <w:rsid w:val="001653DB"/>
    <w:rsid w:val="00166645"/>
    <w:rsid w:val="00166701"/>
    <w:rsid w:val="00166870"/>
    <w:rsid w:val="00166B2A"/>
    <w:rsid w:val="00166E52"/>
    <w:rsid w:val="0017025F"/>
    <w:rsid w:val="001708F5"/>
    <w:rsid w:val="0017189D"/>
    <w:rsid w:val="00171E69"/>
    <w:rsid w:val="001728A4"/>
    <w:rsid w:val="00173FFD"/>
    <w:rsid w:val="00174EF9"/>
    <w:rsid w:val="00175082"/>
    <w:rsid w:val="00177319"/>
    <w:rsid w:val="00180BE1"/>
    <w:rsid w:val="00181F34"/>
    <w:rsid w:val="0018327F"/>
    <w:rsid w:val="0018335F"/>
    <w:rsid w:val="0018379B"/>
    <w:rsid w:val="00185269"/>
    <w:rsid w:val="00185F9C"/>
    <w:rsid w:val="00186C2C"/>
    <w:rsid w:val="0019050E"/>
    <w:rsid w:val="001911BA"/>
    <w:rsid w:val="001923DF"/>
    <w:rsid w:val="00192CE7"/>
    <w:rsid w:val="00193841"/>
    <w:rsid w:val="0019417E"/>
    <w:rsid w:val="00194189"/>
    <w:rsid w:val="00194C36"/>
    <w:rsid w:val="00195CE3"/>
    <w:rsid w:val="0019658E"/>
    <w:rsid w:val="00197150"/>
    <w:rsid w:val="00197320"/>
    <w:rsid w:val="00197D45"/>
    <w:rsid w:val="001A24A5"/>
    <w:rsid w:val="001A2F71"/>
    <w:rsid w:val="001A705C"/>
    <w:rsid w:val="001B1476"/>
    <w:rsid w:val="001B1F02"/>
    <w:rsid w:val="001B21B7"/>
    <w:rsid w:val="001B2EDF"/>
    <w:rsid w:val="001B4410"/>
    <w:rsid w:val="001B55E5"/>
    <w:rsid w:val="001B7CE9"/>
    <w:rsid w:val="001C0183"/>
    <w:rsid w:val="001C0834"/>
    <w:rsid w:val="001C0EEA"/>
    <w:rsid w:val="001C1EF1"/>
    <w:rsid w:val="001C2B08"/>
    <w:rsid w:val="001C3B35"/>
    <w:rsid w:val="001C3B98"/>
    <w:rsid w:val="001C3E81"/>
    <w:rsid w:val="001C3E87"/>
    <w:rsid w:val="001C5426"/>
    <w:rsid w:val="001C56C2"/>
    <w:rsid w:val="001C618D"/>
    <w:rsid w:val="001C64E1"/>
    <w:rsid w:val="001C651B"/>
    <w:rsid w:val="001C73E7"/>
    <w:rsid w:val="001D057F"/>
    <w:rsid w:val="001D25E4"/>
    <w:rsid w:val="001D3C98"/>
    <w:rsid w:val="001D5036"/>
    <w:rsid w:val="001D52F4"/>
    <w:rsid w:val="001D62AF"/>
    <w:rsid w:val="001D6ADC"/>
    <w:rsid w:val="001D7460"/>
    <w:rsid w:val="001D7653"/>
    <w:rsid w:val="001D7EE7"/>
    <w:rsid w:val="001E1B04"/>
    <w:rsid w:val="001E2BAE"/>
    <w:rsid w:val="001E3873"/>
    <w:rsid w:val="001E4D3B"/>
    <w:rsid w:val="001E5D0A"/>
    <w:rsid w:val="001E7567"/>
    <w:rsid w:val="001F0934"/>
    <w:rsid w:val="001F0E4B"/>
    <w:rsid w:val="001F3E30"/>
    <w:rsid w:val="001F3E45"/>
    <w:rsid w:val="001F538E"/>
    <w:rsid w:val="001F5926"/>
    <w:rsid w:val="001F643C"/>
    <w:rsid w:val="002015D6"/>
    <w:rsid w:val="00201AC3"/>
    <w:rsid w:val="00202C2B"/>
    <w:rsid w:val="00202CB8"/>
    <w:rsid w:val="002038E2"/>
    <w:rsid w:val="00204A9B"/>
    <w:rsid w:val="00205F59"/>
    <w:rsid w:val="00206AC5"/>
    <w:rsid w:val="0020734D"/>
    <w:rsid w:val="00207443"/>
    <w:rsid w:val="002075F0"/>
    <w:rsid w:val="00213BE5"/>
    <w:rsid w:val="002143A9"/>
    <w:rsid w:val="00214601"/>
    <w:rsid w:val="00216C4E"/>
    <w:rsid w:val="002206ED"/>
    <w:rsid w:val="00220DD2"/>
    <w:rsid w:val="0022103F"/>
    <w:rsid w:val="00221061"/>
    <w:rsid w:val="00221442"/>
    <w:rsid w:val="002227B7"/>
    <w:rsid w:val="00222934"/>
    <w:rsid w:val="002249F6"/>
    <w:rsid w:val="0022697A"/>
    <w:rsid w:val="00226F3A"/>
    <w:rsid w:val="00231F40"/>
    <w:rsid w:val="002336EA"/>
    <w:rsid w:val="0023413A"/>
    <w:rsid w:val="0023421B"/>
    <w:rsid w:val="00234530"/>
    <w:rsid w:val="00234C9E"/>
    <w:rsid w:val="00235011"/>
    <w:rsid w:val="00237BD5"/>
    <w:rsid w:val="00237C34"/>
    <w:rsid w:val="0024018B"/>
    <w:rsid w:val="00240E65"/>
    <w:rsid w:val="00241218"/>
    <w:rsid w:val="00241EEE"/>
    <w:rsid w:val="0024305C"/>
    <w:rsid w:val="002435C9"/>
    <w:rsid w:val="00244358"/>
    <w:rsid w:val="002451A2"/>
    <w:rsid w:val="00245441"/>
    <w:rsid w:val="002477E1"/>
    <w:rsid w:val="002500B8"/>
    <w:rsid w:val="0025077E"/>
    <w:rsid w:val="00250800"/>
    <w:rsid w:val="00251EBB"/>
    <w:rsid w:val="002540D4"/>
    <w:rsid w:val="0025549A"/>
    <w:rsid w:val="00255A22"/>
    <w:rsid w:val="00256A3A"/>
    <w:rsid w:val="00256FBC"/>
    <w:rsid w:val="002602D2"/>
    <w:rsid w:val="00261350"/>
    <w:rsid w:val="00261473"/>
    <w:rsid w:val="00262422"/>
    <w:rsid w:val="00262E05"/>
    <w:rsid w:val="002630FB"/>
    <w:rsid w:val="002645FB"/>
    <w:rsid w:val="00267F8F"/>
    <w:rsid w:val="00270827"/>
    <w:rsid w:val="002712A1"/>
    <w:rsid w:val="0027178D"/>
    <w:rsid w:val="00272C58"/>
    <w:rsid w:val="002753B7"/>
    <w:rsid w:val="00276646"/>
    <w:rsid w:val="00276BE7"/>
    <w:rsid w:val="002773C9"/>
    <w:rsid w:val="00277885"/>
    <w:rsid w:val="002801A1"/>
    <w:rsid w:val="00281FBC"/>
    <w:rsid w:val="00283879"/>
    <w:rsid w:val="002845EC"/>
    <w:rsid w:val="0028468E"/>
    <w:rsid w:val="00287491"/>
    <w:rsid w:val="002908FC"/>
    <w:rsid w:val="0029242B"/>
    <w:rsid w:val="00294162"/>
    <w:rsid w:val="0029473E"/>
    <w:rsid w:val="002949B3"/>
    <w:rsid w:val="00294B8F"/>
    <w:rsid w:val="0029560A"/>
    <w:rsid w:val="0029687F"/>
    <w:rsid w:val="00297477"/>
    <w:rsid w:val="00297BE6"/>
    <w:rsid w:val="002A1243"/>
    <w:rsid w:val="002A12EA"/>
    <w:rsid w:val="002A2B89"/>
    <w:rsid w:val="002A3B13"/>
    <w:rsid w:val="002A4E4C"/>
    <w:rsid w:val="002A5710"/>
    <w:rsid w:val="002A5EE2"/>
    <w:rsid w:val="002A6798"/>
    <w:rsid w:val="002A7F4D"/>
    <w:rsid w:val="002B0385"/>
    <w:rsid w:val="002B2586"/>
    <w:rsid w:val="002B3A85"/>
    <w:rsid w:val="002B4102"/>
    <w:rsid w:val="002C11C6"/>
    <w:rsid w:val="002C15CE"/>
    <w:rsid w:val="002C2849"/>
    <w:rsid w:val="002C3DB0"/>
    <w:rsid w:val="002C45CA"/>
    <w:rsid w:val="002C468C"/>
    <w:rsid w:val="002C518D"/>
    <w:rsid w:val="002C6217"/>
    <w:rsid w:val="002C74DB"/>
    <w:rsid w:val="002D018C"/>
    <w:rsid w:val="002D0A85"/>
    <w:rsid w:val="002D0D2E"/>
    <w:rsid w:val="002D27D9"/>
    <w:rsid w:val="002D33F2"/>
    <w:rsid w:val="002D50E8"/>
    <w:rsid w:val="002D5B8F"/>
    <w:rsid w:val="002D6EBA"/>
    <w:rsid w:val="002D7992"/>
    <w:rsid w:val="002E054A"/>
    <w:rsid w:val="002E1746"/>
    <w:rsid w:val="002E1AD3"/>
    <w:rsid w:val="002E1B0F"/>
    <w:rsid w:val="002E32FD"/>
    <w:rsid w:val="002E34C7"/>
    <w:rsid w:val="002E47B6"/>
    <w:rsid w:val="002E5D6B"/>
    <w:rsid w:val="002E6732"/>
    <w:rsid w:val="002E794A"/>
    <w:rsid w:val="002F01BD"/>
    <w:rsid w:val="002F1251"/>
    <w:rsid w:val="002F28EF"/>
    <w:rsid w:val="002F3BCA"/>
    <w:rsid w:val="002F3DF1"/>
    <w:rsid w:val="002F401A"/>
    <w:rsid w:val="002F4722"/>
    <w:rsid w:val="002F5588"/>
    <w:rsid w:val="002F5E16"/>
    <w:rsid w:val="002F6091"/>
    <w:rsid w:val="002F6336"/>
    <w:rsid w:val="002F6876"/>
    <w:rsid w:val="002F6895"/>
    <w:rsid w:val="002F68C6"/>
    <w:rsid w:val="002F745F"/>
    <w:rsid w:val="00300CF5"/>
    <w:rsid w:val="0030131C"/>
    <w:rsid w:val="00301578"/>
    <w:rsid w:val="0030310E"/>
    <w:rsid w:val="00304AA5"/>
    <w:rsid w:val="003056A1"/>
    <w:rsid w:val="00305746"/>
    <w:rsid w:val="00305B58"/>
    <w:rsid w:val="00305C2C"/>
    <w:rsid w:val="003065E5"/>
    <w:rsid w:val="0030669C"/>
    <w:rsid w:val="00307014"/>
    <w:rsid w:val="003072DB"/>
    <w:rsid w:val="0031058D"/>
    <w:rsid w:val="00310630"/>
    <w:rsid w:val="00310654"/>
    <w:rsid w:val="00313790"/>
    <w:rsid w:val="003138D3"/>
    <w:rsid w:val="00313D2F"/>
    <w:rsid w:val="00315A5E"/>
    <w:rsid w:val="00315F44"/>
    <w:rsid w:val="00316CFF"/>
    <w:rsid w:val="0031770E"/>
    <w:rsid w:val="00317C86"/>
    <w:rsid w:val="00317EA3"/>
    <w:rsid w:val="00317EE2"/>
    <w:rsid w:val="00321CE8"/>
    <w:rsid w:val="00322C64"/>
    <w:rsid w:val="00322D1F"/>
    <w:rsid w:val="0032315A"/>
    <w:rsid w:val="003239B8"/>
    <w:rsid w:val="003248EA"/>
    <w:rsid w:val="00324C18"/>
    <w:rsid w:val="00326603"/>
    <w:rsid w:val="00326665"/>
    <w:rsid w:val="003267CA"/>
    <w:rsid w:val="00327895"/>
    <w:rsid w:val="00330B3A"/>
    <w:rsid w:val="003316EF"/>
    <w:rsid w:val="003325C8"/>
    <w:rsid w:val="00333101"/>
    <w:rsid w:val="00333351"/>
    <w:rsid w:val="00333E93"/>
    <w:rsid w:val="00333EF1"/>
    <w:rsid w:val="00334A7D"/>
    <w:rsid w:val="00335A63"/>
    <w:rsid w:val="003367EA"/>
    <w:rsid w:val="003369C2"/>
    <w:rsid w:val="00337589"/>
    <w:rsid w:val="0033768A"/>
    <w:rsid w:val="00340CF1"/>
    <w:rsid w:val="00341856"/>
    <w:rsid w:val="00341E29"/>
    <w:rsid w:val="003420EF"/>
    <w:rsid w:val="003428F6"/>
    <w:rsid w:val="00343F99"/>
    <w:rsid w:val="003445FE"/>
    <w:rsid w:val="00344969"/>
    <w:rsid w:val="00345F06"/>
    <w:rsid w:val="00345F92"/>
    <w:rsid w:val="00347A3B"/>
    <w:rsid w:val="00347BD8"/>
    <w:rsid w:val="0035104D"/>
    <w:rsid w:val="00351E87"/>
    <w:rsid w:val="003533E7"/>
    <w:rsid w:val="0035363E"/>
    <w:rsid w:val="00353E67"/>
    <w:rsid w:val="0035514D"/>
    <w:rsid w:val="0035589E"/>
    <w:rsid w:val="003559FC"/>
    <w:rsid w:val="00356B4C"/>
    <w:rsid w:val="0036053B"/>
    <w:rsid w:val="00360E1F"/>
    <w:rsid w:val="00361F5D"/>
    <w:rsid w:val="003629A1"/>
    <w:rsid w:val="00362BA9"/>
    <w:rsid w:val="0036376B"/>
    <w:rsid w:val="00364300"/>
    <w:rsid w:val="0037074A"/>
    <w:rsid w:val="00371213"/>
    <w:rsid w:val="003729AE"/>
    <w:rsid w:val="003736F8"/>
    <w:rsid w:val="00375179"/>
    <w:rsid w:val="003775CB"/>
    <w:rsid w:val="00380078"/>
    <w:rsid w:val="00380FE4"/>
    <w:rsid w:val="00381444"/>
    <w:rsid w:val="00381992"/>
    <w:rsid w:val="0038238B"/>
    <w:rsid w:val="00383888"/>
    <w:rsid w:val="00384D25"/>
    <w:rsid w:val="00385B41"/>
    <w:rsid w:val="00387419"/>
    <w:rsid w:val="003903E9"/>
    <w:rsid w:val="00391A99"/>
    <w:rsid w:val="00391E43"/>
    <w:rsid w:val="00391FD6"/>
    <w:rsid w:val="0039372F"/>
    <w:rsid w:val="003951B9"/>
    <w:rsid w:val="003953B6"/>
    <w:rsid w:val="00395CFA"/>
    <w:rsid w:val="00396C81"/>
    <w:rsid w:val="00396C9C"/>
    <w:rsid w:val="00397BDC"/>
    <w:rsid w:val="003A41D8"/>
    <w:rsid w:val="003A481F"/>
    <w:rsid w:val="003A5BD9"/>
    <w:rsid w:val="003A5DC1"/>
    <w:rsid w:val="003A6147"/>
    <w:rsid w:val="003A7593"/>
    <w:rsid w:val="003A75F3"/>
    <w:rsid w:val="003B09B0"/>
    <w:rsid w:val="003B3072"/>
    <w:rsid w:val="003B3C44"/>
    <w:rsid w:val="003B47DC"/>
    <w:rsid w:val="003B4D70"/>
    <w:rsid w:val="003B4FDA"/>
    <w:rsid w:val="003B51BA"/>
    <w:rsid w:val="003B587D"/>
    <w:rsid w:val="003B5DEA"/>
    <w:rsid w:val="003B7474"/>
    <w:rsid w:val="003B7CDC"/>
    <w:rsid w:val="003C19F1"/>
    <w:rsid w:val="003C1C71"/>
    <w:rsid w:val="003C26E3"/>
    <w:rsid w:val="003C3E52"/>
    <w:rsid w:val="003C4C2D"/>
    <w:rsid w:val="003C5E25"/>
    <w:rsid w:val="003C63E7"/>
    <w:rsid w:val="003D0250"/>
    <w:rsid w:val="003D05A4"/>
    <w:rsid w:val="003D05B9"/>
    <w:rsid w:val="003D4686"/>
    <w:rsid w:val="003D5254"/>
    <w:rsid w:val="003D5B64"/>
    <w:rsid w:val="003D5F17"/>
    <w:rsid w:val="003D61C9"/>
    <w:rsid w:val="003D6406"/>
    <w:rsid w:val="003D7298"/>
    <w:rsid w:val="003D7F3E"/>
    <w:rsid w:val="003E053D"/>
    <w:rsid w:val="003E1107"/>
    <w:rsid w:val="003E1CEC"/>
    <w:rsid w:val="003E234E"/>
    <w:rsid w:val="003E3722"/>
    <w:rsid w:val="003E47F9"/>
    <w:rsid w:val="003E48A5"/>
    <w:rsid w:val="003E496D"/>
    <w:rsid w:val="003E595A"/>
    <w:rsid w:val="003E7620"/>
    <w:rsid w:val="003E78F0"/>
    <w:rsid w:val="003E7924"/>
    <w:rsid w:val="003F15FC"/>
    <w:rsid w:val="003F2C9A"/>
    <w:rsid w:val="003F31C6"/>
    <w:rsid w:val="003F46B3"/>
    <w:rsid w:val="003F607E"/>
    <w:rsid w:val="003F6CBD"/>
    <w:rsid w:val="003F7539"/>
    <w:rsid w:val="003F7C14"/>
    <w:rsid w:val="00400479"/>
    <w:rsid w:val="004008D6"/>
    <w:rsid w:val="004014F0"/>
    <w:rsid w:val="00402AD8"/>
    <w:rsid w:val="004045F1"/>
    <w:rsid w:val="00406C20"/>
    <w:rsid w:val="00407BE7"/>
    <w:rsid w:val="00407E82"/>
    <w:rsid w:val="00407EBC"/>
    <w:rsid w:val="00411A44"/>
    <w:rsid w:val="00412379"/>
    <w:rsid w:val="004125AE"/>
    <w:rsid w:val="00412A47"/>
    <w:rsid w:val="00413723"/>
    <w:rsid w:val="004144B7"/>
    <w:rsid w:val="00415687"/>
    <w:rsid w:val="004157B2"/>
    <w:rsid w:val="00416A9A"/>
    <w:rsid w:val="00416CBE"/>
    <w:rsid w:val="004172B5"/>
    <w:rsid w:val="004177C9"/>
    <w:rsid w:val="00417D0B"/>
    <w:rsid w:val="004201E5"/>
    <w:rsid w:val="0042059A"/>
    <w:rsid w:val="00420DF7"/>
    <w:rsid w:val="00421878"/>
    <w:rsid w:val="004219A6"/>
    <w:rsid w:val="0042220C"/>
    <w:rsid w:val="00423DC3"/>
    <w:rsid w:val="004240A2"/>
    <w:rsid w:val="00424612"/>
    <w:rsid w:val="00424971"/>
    <w:rsid w:val="004252BF"/>
    <w:rsid w:val="004255D2"/>
    <w:rsid w:val="004302B6"/>
    <w:rsid w:val="0043160E"/>
    <w:rsid w:val="00431666"/>
    <w:rsid w:val="00431689"/>
    <w:rsid w:val="004326DB"/>
    <w:rsid w:val="00432837"/>
    <w:rsid w:val="00432DAD"/>
    <w:rsid w:val="00432EE0"/>
    <w:rsid w:val="004332FB"/>
    <w:rsid w:val="0043361C"/>
    <w:rsid w:val="0043422C"/>
    <w:rsid w:val="00434A50"/>
    <w:rsid w:val="00434E6B"/>
    <w:rsid w:val="00435317"/>
    <w:rsid w:val="00435555"/>
    <w:rsid w:val="00436693"/>
    <w:rsid w:val="004371B4"/>
    <w:rsid w:val="00437621"/>
    <w:rsid w:val="00437FB2"/>
    <w:rsid w:val="00443504"/>
    <w:rsid w:val="00443E12"/>
    <w:rsid w:val="0044427B"/>
    <w:rsid w:val="00444361"/>
    <w:rsid w:val="0044537B"/>
    <w:rsid w:val="004478AE"/>
    <w:rsid w:val="00450E71"/>
    <w:rsid w:val="00451119"/>
    <w:rsid w:val="004530E5"/>
    <w:rsid w:val="004535BF"/>
    <w:rsid w:val="00453609"/>
    <w:rsid w:val="0045397C"/>
    <w:rsid w:val="00453EAC"/>
    <w:rsid w:val="004546EA"/>
    <w:rsid w:val="00454822"/>
    <w:rsid w:val="00454CFF"/>
    <w:rsid w:val="00454FCC"/>
    <w:rsid w:val="00457391"/>
    <w:rsid w:val="00457EBC"/>
    <w:rsid w:val="0046129D"/>
    <w:rsid w:val="00461432"/>
    <w:rsid w:val="00461D1B"/>
    <w:rsid w:val="00461D50"/>
    <w:rsid w:val="004631F4"/>
    <w:rsid w:val="004636DE"/>
    <w:rsid w:val="0046484F"/>
    <w:rsid w:val="00465B73"/>
    <w:rsid w:val="00466158"/>
    <w:rsid w:val="00471193"/>
    <w:rsid w:val="00471407"/>
    <w:rsid w:val="00473F6E"/>
    <w:rsid w:val="00474253"/>
    <w:rsid w:val="00474750"/>
    <w:rsid w:val="004766E1"/>
    <w:rsid w:val="00476B69"/>
    <w:rsid w:val="004773C3"/>
    <w:rsid w:val="0048048B"/>
    <w:rsid w:val="00484937"/>
    <w:rsid w:val="0048527C"/>
    <w:rsid w:val="00486443"/>
    <w:rsid w:val="00491016"/>
    <w:rsid w:val="004941DB"/>
    <w:rsid w:val="00494BA2"/>
    <w:rsid w:val="00494F21"/>
    <w:rsid w:val="00495211"/>
    <w:rsid w:val="00496040"/>
    <w:rsid w:val="00496111"/>
    <w:rsid w:val="0049726E"/>
    <w:rsid w:val="004A0231"/>
    <w:rsid w:val="004A18B2"/>
    <w:rsid w:val="004A1A11"/>
    <w:rsid w:val="004A2382"/>
    <w:rsid w:val="004A257E"/>
    <w:rsid w:val="004A2ACB"/>
    <w:rsid w:val="004A49CD"/>
    <w:rsid w:val="004A4D2E"/>
    <w:rsid w:val="004A61EA"/>
    <w:rsid w:val="004A72AB"/>
    <w:rsid w:val="004B09C5"/>
    <w:rsid w:val="004B0E7D"/>
    <w:rsid w:val="004B1091"/>
    <w:rsid w:val="004B208A"/>
    <w:rsid w:val="004B2BBA"/>
    <w:rsid w:val="004B3350"/>
    <w:rsid w:val="004B4902"/>
    <w:rsid w:val="004B5A4C"/>
    <w:rsid w:val="004B5D4B"/>
    <w:rsid w:val="004B5FCD"/>
    <w:rsid w:val="004B671C"/>
    <w:rsid w:val="004C2631"/>
    <w:rsid w:val="004C61A7"/>
    <w:rsid w:val="004D04FC"/>
    <w:rsid w:val="004D0ACC"/>
    <w:rsid w:val="004D15AD"/>
    <w:rsid w:val="004D2993"/>
    <w:rsid w:val="004D2A02"/>
    <w:rsid w:val="004D31F9"/>
    <w:rsid w:val="004D3C37"/>
    <w:rsid w:val="004D451E"/>
    <w:rsid w:val="004D5065"/>
    <w:rsid w:val="004D5446"/>
    <w:rsid w:val="004D581E"/>
    <w:rsid w:val="004D67C2"/>
    <w:rsid w:val="004D6C64"/>
    <w:rsid w:val="004D7C45"/>
    <w:rsid w:val="004E082F"/>
    <w:rsid w:val="004E1BA0"/>
    <w:rsid w:val="004E1FD0"/>
    <w:rsid w:val="004E204C"/>
    <w:rsid w:val="004E28AF"/>
    <w:rsid w:val="004E298E"/>
    <w:rsid w:val="004E304E"/>
    <w:rsid w:val="004E3C52"/>
    <w:rsid w:val="004E4FBB"/>
    <w:rsid w:val="004E5E4A"/>
    <w:rsid w:val="004E65EE"/>
    <w:rsid w:val="004E7A1E"/>
    <w:rsid w:val="004E7ACA"/>
    <w:rsid w:val="004F060E"/>
    <w:rsid w:val="004F0833"/>
    <w:rsid w:val="004F343D"/>
    <w:rsid w:val="004F39DA"/>
    <w:rsid w:val="004F4202"/>
    <w:rsid w:val="004F5D12"/>
    <w:rsid w:val="004F5DA2"/>
    <w:rsid w:val="004F6064"/>
    <w:rsid w:val="00502D4F"/>
    <w:rsid w:val="005030BA"/>
    <w:rsid w:val="00503154"/>
    <w:rsid w:val="00503799"/>
    <w:rsid w:val="00504CD6"/>
    <w:rsid w:val="0050569B"/>
    <w:rsid w:val="005057A9"/>
    <w:rsid w:val="005057F1"/>
    <w:rsid w:val="00507DE8"/>
    <w:rsid w:val="00510ADE"/>
    <w:rsid w:val="005115E1"/>
    <w:rsid w:val="00511FB9"/>
    <w:rsid w:val="00512A9E"/>
    <w:rsid w:val="00514C83"/>
    <w:rsid w:val="00514D5D"/>
    <w:rsid w:val="00515273"/>
    <w:rsid w:val="00516320"/>
    <w:rsid w:val="0052100E"/>
    <w:rsid w:val="005227C6"/>
    <w:rsid w:val="005230B9"/>
    <w:rsid w:val="005235C6"/>
    <w:rsid w:val="00525FCF"/>
    <w:rsid w:val="00526709"/>
    <w:rsid w:val="0053007C"/>
    <w:rsid w:val="00530101"/>
    <w:rsid w:val="0053086C"/>
    <w:rsid w:val="00531E6A"/>
    <w:rsid w:val="005332CB"/>
    <w:rsid w:val="005346AF"/>
    <w:rsid w:val="00534982"/>
    <w:rsid w:val="005369F2"/>
    <w:rsid w:val="005370AB"/>
    <w:rsid w:val="0054078C"/>
    <w:rsid w:val="00540BEF"/>
    <w:rsid w:val="00540ECB"/>
    <w:rsid w:val="00541D5F"/>
    <w:rsid w:val="0054276D"/>
    <w:rsid w:val="00542C57"/>
    <w:rsid w:val="00543884"/>
    <w:rsid w:val="005441FC"/>
    <w:rsid w:val="00544599"/>
    <w:rsid w:val="00544AC6"/>
    <w:rsid w:val="005453E8"/>
    <w:rsid w:val="00546779"/>
    <w:rsid w:val="00550A1D"/>
    <w:rsid w:val="005512DB"/>
    <w:rsid w:val="00551BF9"/>
    <w:rsid w:val="00553335"/>
    <w:rsid w:val="00554892"/>
    <w:rsid w:val="00555217"/>
    <w:rsid w:val="00555DCA"/>
    <w:rsid w:val="00556A84"/>
    <w:rsid w:val="00557715"/>
    <w:rsid w:val="005603B6"/>
    <w:rsid w:val="0056129E"/>
    <w:rsid w:val="00561462"/>
    <w:rsid w:val="0056299F"/>
    <w:rsid w:val="00562AA0"/>
    <w:rsid w:val="00564AB5"/>
    <w:rsid w:val="00564CEF"/>
    <w:rsid w:val="00567C8E"/>
    <w:rsid w:val="005704D5"/>
    <w:rsid w:val="005707CD"/>
    <w:rsid w:val="00572623"/>
    <w:rsid w:val="005736C8"/>
    <w:rsid w:val="00573E85"/>
    <w:rsid w:val="005766A3"/>
    <w:rsid w:val="00576C22"/>
    <w:rsid w:val="005775C2"/>
    <w:rsid w:val="00577836"/>
    <w:rsid w:val="00577D5A"/>
    <w:rsid w:val="00577F2A"/>
    <w:rsid w:val="005816AE"/>
    <w:rsid w:val="005819EE"/>
    <w:rsid w:val="00582846"/>
    <w:rsid w:val="005846FF"/>
    <w:rsid w:val="0058496F"/>
    <w:rsid w:val="00584E6B"/>
    <w:rsid w:val="00586D8B"/>
    <w:rsid w:val="00586ECA"/>
    <w:rsid w:val="005903DB"/>
    <w:rsid w:val="00590EA5"/>
    <w:rsid w:val="005915EE"/>
    <w:rsid w:val="00591993"/>
    <w:rsid w:val="00592926"/>
    <w:rsid w:val="00592A2F"/>
    <w:rsid w:val="00592AF1"/>
    <w:rsid w:val="005931A6"/>
    <w:rsid w:val="005966CF"/>
    <w:rsid w:val="005A06E3"/>
    <w:rsid w:val="005A074F"/>
    <w:rsid w:val="005A1A0A"/>
    <w:rsid w:val="005A228A"/>
    <w:rsid w:val="005A4C18"/>
    <w:rsid w:val="005A513E"/>
    <w:rsid w:val="005A516C"/>
    <w:rsid w:val="005A5F70"/>
    <w:rsid w:val="005A6A27"/>
    <w:rsid w:val="005A6F82"/>
    <w:rsid w:val="005A737A"/>
    <w:rsid w:val="005B015C"/>
    <w:rsid w:val="005B041A"/>
    <w:rsid w:val="005B1386"/>
    <w:rsid w:val="005B2385"/>
    <w:rsid w:val="005B2D56"/>
    <w:rsid w:val="005B5A41"/>
    <w:rsid w:val="005B5BDD"/>
    <w:rsid w:val="005B5D1F"/>
    <w:rsid w:val="005B5EBF"/>
    <w:rsid w:val="005B6CB7"/>
    <w:rsid w:val="005B7335"/>
    <w:rsid w:val="005B7E8D"/>
    <w:rsid w:val="005C07A6"/>
    <w:rsid w:val="005C0BEF"/>
    <w:rsid w:val="005C1C43"/>
    <w:rsid w:val="005C1C72"/>
    <w:rsid w:val="005C1D6C"/>
    <w:rsid w:val="005C2196"/>
    <w:rsid w:val="005C284D"/>
    <w:rsid w:val="005C3235"/>
    <w:rsid w:val="005C3A2E"/>
    <w:rsid w:val="005C4668"/>
    <w:rsid w:val="005C4FC7"/>
    <w:rsid w:val="005C537C"/>
    <w:rsid w:val="005C7B13"/>
    <w:rsid w:val="005C7E51"/>
    <w:rsid w:val="005D05C8"/>
    <w:rsid w:val="005D1521"/>
    <w:rsid w:val="005D1680"/>
    <w:rsid w:val="005D17D7"/>
    <w:rsid w:val="005D2044"/>
    <w:rsid w:val="005D2D20"/>
    <w:rsid w:val="005D4B49"/>
    <w:rsid w:val="005D6B1F"/>
    <w:rsid w:val="005E01A4"/>
    <w:rsid w:val="005E084C"/>
    <w:rsid w:val="005E13E3"/>
    <w:rsid w:val="005E1EB7"/>
    <w:rsid w:val="005E1EEB"/>
    <w:rsid w:val="005E3238"/>
    <w:rsid w:val="005E4D6F"/>
    <w:rsid w:val="005E4F0C"/>
    <w:rsid w:val="005E5321"/>
    <w:rsid w:val="005E66CF"/>
    <w:rsid w:val="005E6D18"/>
    <w:rsid w:val="005E7C5A"/>
    <w:rsid w:val="005F0668"/>
    <w:rsid w:val="005F0A57"/>
    <w:rsid w:val="005F152B"/>
    <w:rsid w:val="005F237F"/>
    <w:rsid w:val="005F242F"/>
    <w:rsid w:val="005F2801"/>
    <w:rsid w:val="005F30F2"/>
    <w:rsid w:val="005F39F5"/>
    <w:rsid w:val="005F4D58"/>
    <w:rsid w:val="005F5ADD"/>
    <w:rsid w:val="005F5E5D"/>
    <w:rsid w:val="005F5F6C"/>
    <w:rsid w:val="005F6178"/>
    <w:rsid w:val="005F63D1"/>
    <w:rsid w:val="005F732D"/>
    <w:rsid w:val="0060046D"/>
    <w:rsid w:val="0060162B"/>
    <w:rsid w:val="00601E16"/>
    <w:rsid w:val="00603907"/>
    <w:rsid w:val="00604A61"/>
    <w:rsid w:val="00607330"/>
    <w:rsid w:val="006106A1"/>
    <w:rsid w:val="006109DD"/>
    <w:rsid w:val="0061128B"/>
    <w:rsid w:val="00611CA3"/>
    <w:rsid w:val="0061227F"/>
    <w:rsid w:val="00612B2B"/>
    <w:rsid w:val="00613C2E"/>
    <w:rsid w:val="00614268"/>
    <w:rsid w:val="006144AE"/>
    <w:rsid w:val="00615A49"/>
    <w:rsid w:val="006163BB"/>
    <w:rsid w:val="00616699"/>
    <w:rsid w:val="00616F98"/>
    <w:rsid w:val="00617953"/>
    <w:rsid w:val="00620306"/>
    <w:rsid w:val="00623C62"/>
    <w:rsid w:val="00624902"/>
    <w:rsid w:val="006312B0"/>
    <w:rsid w:val="00635869"/>
    <w:rsid w:val="00635910"/>
    <w:rsid w:val="00635E4C"/>
    <w:rsid w:val="006362D3"/>
    <w:rsid w:val="00636B6E"/>
    <w:rsid w:val="00640475"/>
    <w:rsid w:val="00640FB7"/>
    <w:rsid w:val="00641A96"/>
    <w:rsid w:val="006424F3"/>
    <w:rsid w:val="006431A5"/>
    <w:rsid w:val="00643301"/>
    <w:rsid w:val="00643E75"/>
    <w:rsid w:val="0064459C"/>
    <w:rsid w:val="006457FE"/>
    <w:rsid w:val="006459A3"/>
    <w:rsid w:val="00647355"/>
    <w:rsid w:val="00647654"/>
    <w:rsid w:val="00647EEF"/>
    <w:rsid w:val="006512DE"/>
    <w:rsid w:val="00651FCC"/>
    <w:rsid w:val="00652F07"/>
    <w:rsid w:val="00656031"/>
    <w:rsid w:val="006576CD"/>
    <w:rsid w:val="0065798C"/>
    <w:rsid w:val="00657DA1"/>
    <w:rsid w:val="0066177D"/>
    <w:rsid w:val="006618E8"/>
    <w:rsid w:val="006619B6"/>
    <w:rsid w:val="00662A8E"/>
    <w:rsid w:val="00662F62"/>
    <w:rsid w:val="0066393D"/>
    <w:rsid w:val="006639AB"/>
    <w:rsid w:val="006639D4"/>
    <w:rsid w:val="00667B2E"/>
    <w:rsid w:val="00671522"/>
    <w:rsid w:val="00673A5E"/>
    <w:rsid w:val="00674E69"/>
    <w:rsid w:val="00676922"/>
    <w:rsid w:val="00680D34"/>
    <w:rsid w:val="00680EC2"/>
    <w:rsid w:val="00681200"/>
    <w:rsid w:val="00681305"/>
    <w:rsid w:val="006826D5"/>
    <w:rsid w:val="00682E63"/>
    <w:rsid w:val="00682F62"/>
    <w:rsid w:val="0068330F"/>
    <w:rsid w:val="00683C61"/>
    <w:rsid w:val="006845E1"/>
    <w:rsid w:val="00684953"/>
    <w:rsid w:val="006869E5"/>
    <w:rsid w:val="0068772B"/>
    <w:rsid w:val="00687DEE"/>
    <w:rsid w:val="00690887"/>
    <w:rsid w:val="00690FF7"/>
    <w:rsid w:val="006927C1"/>
    <w:rsid w:val="00692A50"/>
    <w:rsid w:val="00693091"/>
    <w:rsid w:val="00693542"/>
    <w:rsid w:val="00693C0D"/>
    <w:rsid w:val="00695146"/>
    <w:rsid w:val="0069518F"/>
    <w:rsid w:val="00695441"/>
    <w:rsid w:val="0069671F"/>
    <w:rsid w:val="00697A97"/>
    <w:rsid w:val="00697B57"/>
    <w:rsid w:val="00697EB1"/>
    <w:rsid w:val="006A05B5"/>
    <w:rsid w:val="006A069E"/>
    <w:rsid w:val="006A09E5"/>
    <w:rsid w:val="006A1933"/>
    <w:rsid w:val="006A26E1"/>
    <w:rsid w:val="006A3DA1"/>
    <w:rsid w:val="006A4B17"/>
    <w:rsid w:val="006A4BA3"/>
    <w:rsid w:val="006A5B55"/>
    <w:rsid w:val="006A644D"/>
    <w:rsid w:val="006A71D2"/>
    <w:rsid w:val="006A79C1"/>
    <w:rsid w:val="006B01CE"/>
    <w:rsid w:val="006B07F5"/>
    <w:rsid w:val="006B085A"/>
    <w:rsid w:val="006B0CD9"/>
    <w:rsid w:val="006B21B0"/>
    <w:rsid w:val="006B2B47"/>
    <w:rsid w:val="006B2E9D"/>
    <w:rsid w:val="006B3837"/>
    <w:rsid w:val="006B5B8E"/>
    <w:rsid w:val="006B6687"/>
    <w:rsid w:val="006C087F"/>
    <w:rsid w:val="006C0CF4"/>
    <w:rsid w:val="006C1F06"/>
    <w:rsid w:val="006C2E39"/>
    <w:rsid w:val="006C407D"/>
    <w:rsid w:val="006C5178"/>
    <w:rsid w:val="006C531A"/>
    <w:rsid w:val="006C5F5C"/>
    <w:rsid w:val="006C619C"/>
    <w:rsid w:val="006C636D"/>
    <w:rsid w:val="006C72A4"/>
    <w:rsid w:val="006D0201"/>
    <w:rsid w:val="006D1867"/>
    <w:rsid w:val="006D36EC"/>
    <w:rsid w:val="006D70EA"/>
    <w:rsid w:val="006D733D"/>
    <w:rsid w:val="006D7395"/>
    <w:rsid w:val="006E117F"/>
    <w:rsid w:val="006E166C"/>
    <w:rsid w:val="006E18E9"/>
    <w:rsid w:val="006E29B1"/>
    <w:rsid w:val="006E2F6C"/>
    <w:rsid w:val="006E40CF"/>
    <w:rsid w:val="006E4C9F"/>
    <w:rsid w:val="006E567E"/>
    <w:rsid w:val="006E5BF7"/>
    <w:rsid w:val="006E5E4F"/>
    <w:rsid w:val="006E65DE"/>
    <w:rsid w:val="006E6B8B"/>
    <w:rsid w:val="006E7B5E"/>
    <w:rsid w:val="006E7BCD"/>
    <w:rsid w:val="006F2047"/>
    <w:rsid w:val="006F268F"/>
    <w:rsid w:val="006F331C"/>
    <w:rsid w:val="006F33B1"/>
    <w:rsid w:val="006F4087"/>
    <w:rsid w:val="006F6058"/>
    <w:rsid w:val="006F6811"/>
    <w:rsid w:val="006F6B04"/>
    <w:rsid w:val="00700013"/>
    <w:rsid w:val="00700128"/>
    <w:rsid w:val="00700827"/>
    <w:rsid w:val="0070098A"/>
    <w:rsid w:val="00700C3D"/>
    <w:rsid w:val="007014CF"/>
    <w:rsid w:val="00701C6D"/>
    <w:rsid w:val="00702322"/>
    <w:rsid w:val="00702E2C"/>
    <w:rsid w:val="00706E03"/>
    <w:rsid w:val="007079A7"/>
    <w:rsid w:val="00710AF5"/>
    <w:rsid w:val="00711851"/>
    <w:rsid w:val="00711A60"/>
    <w:rsid w:val="00711B11"/>
    <w:rsid w:val="007121DB"/>
    <w:rsid w:val="00712570"/>
    <w:rsid w:val="0071330B"/>
    <w:rsid w:val="0071348A"/>
    <w:rsid w:val="00713D15"/>
    <w:rsid w:val="00714187"/>
    <w:rsid w:val="007146B8"/>
    <w:rsid w:val="00715E16"/>
    <w:rsid w:val="00716573"/>
    <w:rsid w:val="00716EE2"/>
    <w:rsid w:val="00717DA0"/>
    <w:rsid w:val="00720139"/>
    <w:rsid w:val="00720562"/>
    <w:rsid w:val="00720827"/>
    <w:rsid w:val="0072140C"/>
    <w:rsid w:val="00721E59"/>
    <w:rsid w:val="00723BD8"/>
    <w:rsid w:val="00724FF6"/>
    <w:rsid w:val="0072608C"/>
    <w:rsid w:val="00726CC9"/>
    <w:rsid w:val="00727563"/>
    <w:rsid w:val="00727661"/>
    <w:rsid w:val="00727788"/>
    <w:rsid w:val="00730D60"/>
    <w:rsid w:val="00731A3F"/>
    <w:rsid w:val="00731E33"/>
    <w:rsid w:val="00734A7E"/>
    <w:rsid w:val="00735235"/>
    <w:rsid w:val="00736372"/>
    <w:rsid w:val="00736541"/>
    <w:rsid w:val="00736E5E"/>
    <w:rsid w:val="00740451"/>
    <w:rsid w:val="00740B62"/>
    <w:rsid w:val="00741127"/>
    <w:rsid w:val="00741B7C"/>
    <w:rsid w:val="00741C46"/>
    <w:rsid w:val="00743C2D"/>
    <w:rsid w:val="00743C4E"/>
    <w:rsid w:val="00744174"/>
    <w:rsid w:val="00744977"/>
    <w:rsid w:val="007459CF"/>
    <w:rsid w:val="00745E23"/>
    <w:rsid w:val="00746136"/>
    <w:rsid w:val="007463AF"/>
    <w:rsid w:val="00746484"/>
    <w:rsid w:val="00746994"/>
    <w:rsid w:val="00746D3D"/>
    <w:rsid w:val="00746F05"/>
    <w:rsid w:val="00747524"/>
    <w:rsid w:val="007477F4"/>
    <w:rsid w:val="00747F3B"/>
    <w:rsid w:val="00750280"/>
    <w:rsid w:val="00750C7D"/>
    <w:rsid w:val="00750E78"/>
    <w:rsid w:val="00752A4A"/>
    <w:rsid w:val="00752BF9"/>
    <w:rsid w:val="007533EB"/>
    <w:rsid w:val="007536ED"/>
    <w:rsid w:val="00755451"/>
    <w:rsid w:val="007560E1"/>
    <w:rsid w:val="00765B30"/>
    <w:rsid w:val="00765D18"/>
    <w:rsid w:val="007671B5"/>
    <w:rsid w:val="0077008B"/>
    <w:rsid w:val="007707DD"/>
    <w:rsid w:val="007721A6"/>
    <w:rsid w:val="00774CFC"/>
    <w:rsid w:val="007768C3"/>
    <w:rsid w:val="00777550"/>
    <w:rsid w:val="00780947"/>
    <w:rsid w:val="007825B3"/>
    <w:rsid w:val="00783788"/>
    <w:rsid w:val="0078389B"/>
    <w:rsid w:val="00784044"/>
    <w:rsid w:val="0078457A"/>
    <w:rsid w:val="00787110"/>
    <w:rsid w:val="00787CCB"/>
    <w:rsid w:val="00787F9D"/>
    <w:rsid w:val="0079097B"/>
    <w:rsid w:val="007918EA"/>
    <w:rsid w:val="00792315"/>
    <w:rsid w:val="00793523"/>
    <w:rsid w:val="00793DA2"/>
    <w:rsid w:val="00794A5B"/>
    <w:rsid w:val="00794AF7"/>
    <w:rsid w:val="0079563D"/>
    <w:rsid w:val="007959D5"/>
    <w:rsid w:val="00795B73"/>
    <w:rsid w:val="007963E5"/>
    <w:rsid w:val="007973EB"/>
    <w:rsid w:val="007A0F0A"/>
    <w:rsid w:val="007A1DE0"/>
    <w:rsid w:val="007A2D71"/>
    <w:rsid w:val="007A37B6"/>
    <w:rsid w:val="007A3D70"/>
    <w:rsid w:val="007A4528"/>
    <w:rsid w:val="007A4D06"/>
    <w:rsid w:val="007A5AD2"/>
    <w:rsid w:val="007A5C5D"/>
    <w:rsid w:val="007A6887"/>
    <w:rsid w:val="007A7073"/>
    <w:rsid w:val="007A714A"/>
    <w:rsid w:val="007A722A"/>
    <w:rsid w:val="007A7377"/>
    <w:rsid w:val="007A7825"/>
    <w:rsid w:val="007A786C"/>
    <w:rsid w:val="007B2228"/>
    <w:rsid w:val="007B35DE"/>
    <w:rsid w:val="007B3754"/>
    <w:rsid w:val="007B572E"/>
    <w:rsid w:val="007B63CB"/>
    <w:rsid w:val="007B7EA4"/>
    <w:rsid w:val="007C012E"/>
    <w:rsid w:val="007C0E62"/>
    <w:rsid w:val="007C176D"/>
    <w:rsid w:val="007C2860"/>
    <w:rsid w:val="007C2AA0"/>
    <w:rsid w:val="007C3294"/>
    <w:rsid w:val="007C41D7"/>
    <w:rsid w:val="007C56C4"/>
    <w:rsid w:val="007C6BAB"/>
    <w:rsid w:val="007C749E"/>
    <w:rsid w:val="007C77B9"/>
    <w:rsid w:val="007D03A4"/>
    <w:rsid w:val="007D12BF"/>
    <w:rsid w:val="007D2395"/>
    <w:rsid w:val="007D3B71"/>
    <w:rsid w:val="007D66BF"/>
    <w:rsid w:val="007E0CC2"/>
    <w:rsid w:val="007E0E05"/>
    <w:rsid w:val="007E159C"/>
    <w:rsid w:val="007E2ACD"/>
    <w:rsid w:val="007E4627"/>
    <w:rsid w:val="007E46A2"/>
    <w:rsid w:val="007E5E08"/>
    <w:rsid w:val="007E74A4"/>
    <w:rsid w:val="007E79BA"/>
    <w:rsid w:val="007F0CE8"/>
    <w:rsid w:val="007F1184"/>
    <w:rsid w:val="007F266E"/>
    <w:rsid w:val="007F2D71"/>
    <w:rsid w:val="007F5299"/>
    <w:rsid w:val="007F585F"/>
    <w:rsid w:val="007F594C"/>
    <w:rsid w:val="007F5AD3"/>
    <w:rsid w:val="00800430"/>
    <w:rsid w:val="00800D85"/>
    <w:rsid w:val="00802456"/>
    <w:rsid w:val="0080309B"/>
    <w:rsid w:val="008038D0"/>
    <w:rsid w:val="008055D9"/>
    <w:rsid w:val="00805806"/>
    <w:rsid w:val="008073CA"/>
    <w:rsid w:val="00810257"/>
    <w:rsid w:val="00810B36"/>
    <w:rsid w:val="00811825"/>
    <w:rsid w:val="008118F9"/>
    <w:rsid w:val="0081234F"/>
    <w:rsid w:val="00812506"/>
    <w:rsid w:val="0081271E"/>
    <w:rsid w:val="0081385D"/>
    <w:rsid w:val="00814116"/>
    <w:rsid w:val="00820926"/>
    <w:rsid w:val="00820CF5"/>
    <w:rsid w:val="00821636"/>
    <w:rsid w:val="00821E1E"/>
    <w:rsid w:val="008222D8"/>
    <w:rsid w:val="00824306"/>
    <w:rsid w:val="00831271"/>
    <w:rsid w:val="0083198F"/>
    <w:rsid w:val="00831EE9"/>
    <w:rsid w:val="00832562"/>
    <w:rsid w:val="00832CB5"/>
    <w:rsid w:val="008332DF"/>
    <w:rsid w:val="008337AE"/>
    <w:rsid w:val="00833B8A"/>
    <w:rsid w:val="00833D09"/>
    <w:rsid w:val="0083456B"/>
    <w:rsid w:val="00837286"/>
    <w:rsid w:val="008407D3"/>
    <w:rsid w:val="00840DBB"/>
    <w:rsid w:val="008411A7"/>
    <w:rsid w:val="0084223D"/>
    <w:rsid w:val="008454C2"/>
    <w:rsid w:val="00850F7D"/>
    <w:rsid w:val="00852BA8"/>
    <w:rsid w:val="008531F8"/>
    <w:rsid w:val="00854662"/>
    <w:rsid w:val="008548EB"/>
    <w:rsid w:val="00855039"/>
    <w:rsid w:val="008558BE"/>
    <w:rsid w:val="00855BFA"/>
    <w:rsid w:val="0086197A"/>
    <w:rsid w:val="008619CC"/>
    <w:rsid w:val="00861DB0"/>
    <w:rsid w:val="00861EC5"/>
    <w:rsid w:val="00863B9F"/>
    <w:rsid w:val="00863BBD"/>
    <w:rsid w:val="00865389"/>
    <w:rsid w:val="00865439"/>
    <w:rsid w:val="00865E63"/>
    <w:rsid w:val="0086631B"/>
    <w:rsid w:val="00866607"/>
    <w:rsid w:val="008667A1"/>
    <w:rsid w:val="008718E9"/>
    <w:rsid w:val="008736F7"/>
    <w:rsid w:val="00875815"/>
    <w:rsid w:val="00875F04"/>
    <w:rsid w:val="0087751A"/>
    <w:rsid w:val="008805B8"/>
    <w:rsid w:val="00882685"/>
    <w:rsid w:val="00884076"/>
    <w:rsid w:val="008840A4"/>
    <w:rsid w:val="00884730"/>
    <w:rsid w:val="008849D0"/>
    <w:rsid w:val="00884B83"/>
    <w:rsid w:val="00884F6F"/>
    <w:rsid w:val="00887026"/>
    <w:rsid w:val="0088772D"/>
    <w:rsid w:val="00887B24"/>
    <w:rsid w:val="008903BA"/>
    <w:rsid w:val="00890421"/>
    <w:rsid w:val="00890E4A"/>
    <w:rsid w:val="00891377"/>
    <w:rsid w:val="00891D0B"/>
    <w:rsid w:val="00891E24"/>
    <w:rsid w:val="00892E69"/>
    <w:rsid w:val="00892E7A"/>
    <w:rsid w:val="008945CC"/>
    <w:rsid w:val="008964C5"/>
    <w:rsid w:val="00896DFA"/>
    <w:rsid w:val="00897293"/>
    <w:rsid w:val="008A1501"/>
    <w:rsid w:val="008A2A0F"/>
    <w:rsid w:val="008A3FA0"/>
    <w:rsid w:val="008A55B6"/>
    <w:rsid w:val="008A6145"/>
    <w:rsid w:val="008B1496"/>
    <w:rsid w:val="008B1712"/>
    <w:rsid w:val="008B17C9"/>
    <w:rsid w:val="008B1F1E"/>
    <w:rsid w:val="008B2DBD"/>
    <w:rsid w:val="008B39DB"/>
    <w:rsid w:val="008B5B6C"/>
    <w:rsid w:val="008B6BE0"/>
    <w:rsid w:val="008B6F3B"/>
    <w:rsid w:val="008B7935"/>
    <w:rsid w:val="008B7A9A"/>
    <w:rsid w:val="008B7EE9"/>
    <w:rsid w:val="008C1208"/>
    <w:rsid w:val="008C16BF"/>
    <w:rsid w:val="008C38DE"/>
    <w:rsid w:val="008C47AD"/>
    <w:rsid w:val="008C4B0D"/>
    <w:rsid w:val="008C7178"/>
    <w:rsid w:val="008D0836"/>
    <w:rsid w:val="008D0E25"/>
    <w:rsid w:val="008D337E"/>
    <w:rsid w:val="008D5210"/>
    <w:rsid w:val="008D576A"/>
    <w:rsid w:val="008D6C35"/>
    <w:rsid w:val="008D7AA2"/>
    <w:rsid w:val="008D7F07"/>
    <w:rsid w:val="008E2240"/>
    <w:rsid w:val="008E2ED3"/>
    <w:rsid w:val="008E3B8F"/>
    <w:rsid w:val="008E3E89"/>
    <w:rsid w:val="008E4584"/>
    <w:rsid w:val="008E4C12"/>
    <w:rsid w:val="008E4EA9"/>
    <w:rsid w:val="008E79B2"/>
    <w:rsid w:val="008E7BD6"/>
    <w:rsid w:val="008F0A1D"/>
    <w:rsid w:val="008F1B20"/>
    <w:rsid w:val="008F1C38"/>
    <w:rsid w:val="008F2245"/>
    <w:rsid w:val="008F2278"/>
    <w:rsid w:val="008F2A0C"/>
    <w:rsid w:val="008F2FF6"/>
    <w:rsid w:val="008F37AD"/>
    <w:rsid w:val="008F3F9C"/>
    <w:rsid w:val="008F6096"/>
    <w:rsid w:val="008F68F7"/>
    <w:rsid w:val="008F6B2C"/>
    <w:rsid w:val="008F6FDF"/>
    <w:rsid w:val="008F75A2"/>
    <w:rsid w:val="00901AE0"/>
    <w:rsid w:val="009024E1"/>
    <w:rsid w:val="00904413"/>
    <w:rsid w:val="00904A0E"/>
    <w:rsid w:val="00905FA8"/>
    <w:rsid w:val="0090728F"/>
    <w:rsid w:val="00907932"/>
    <w:rsid w:val="00907D68"/>
    <w:rsid w:val="00910B41"/>
    <w:rsid w:val="0091102E"/>
    <w:rsid w:val="009110CF"/>
    <w:rsid w:val="00911FFC"/>
    <w:rsid w:val="00916D40"/>
    <w:rsid w:val="00917ACA"/>
    <w:rsid w:val="00920251"/>
    <w:rsid w:val="0092127E"/>
    <w:rsid w:val="00921414"/>
    <w:rsid w:val="00923534"/>
    <w:rsid w:val="0092502B"/>
    <w:rsid w:val="009251F6"/>
    <w:rsid w:val="00926E5F"/>
    <w:rsid w:val="009304A6"/>
    <w:rsid w:val="00934164"/>
    <w:rsid w:val="00936400"/>
    <w:rsid w:val="00936547"/>
    <w:rsid w:val="0094443A"/>
    <w:rsid w:val="00944AB7"/>
    <w:rsid w:val="00944F64"/>
    <w:rsid w:val="0094529C"/>
    <w:rsid w:val="009456DE"/>
    <w:rsid w:val="00946429"/>
    <w:rsid w:val="00946AEA"/>
    <w:rsid w:val="00946CB6"/>
    <w:rsid w:val="009472D5"/>
    <w:rsid w:val="009477B4"/>
    <w:rsid w:val="009479C6"/>
    <w:rsid w:val="00950AE8"/>
    <w:rsid w:val="00951A0E"/>
    <w:rsid w:val="00952515"/>
    <w:rsid w:val="009528F8"/>
    <w:rsid w:val="009528FE"/>
    <w:rsid w:val="009543F2"/>
    <w:rsid w:val="00955287"/>
    <w:rsid w:val="00955431"/>
    <w:rsid w:val="00955ED0"/>
    <w:rsid w:val="00957ACE"/>
    <w:rsid w:val="00957ADB"/>
    <w:rsid w:val="00957BBC"/>
    <w:rsid w:val="00961969"/>
    <w:rsid w:val="00962488"/>
    <w:rsid w:val="009624C3"/>
    <w:rsid w:val="00962D41"/>
    <w:rsid w:val="00963B14"/>
    <w:rsid w:val="009655B1"/>
    <w:rsid w:val="00965644"/>
    <w:rsid w:val="00966CC2"/>
    <w:rsid w:val="00966D2B"/>
    <w:rsid w:val="00967018"/>
    <w:rsid w:val="009670D1"/>
    <w:rsid w:val="00967199"/>
    <w:rsid w:val="00971EEF"/>
    <w:rsid w:val="00972A8B"/>
    <w:rsid w:val="009730CB"/>
    <w:rsid w:val="00973316"/>
    <w:rsid w:val="0097377A"/>
    <w:rsid w:val="00973E28"/>
    <w:rsid w:val="009757ED"/>
    <w:rsid w:val="00975EF3"/>
    <w:rsid w:val="00975F20"/>
    <w:rsid w:val="0097795E"/>
    <w:rsid w:val="00977B3A"/>
    <w:rsid w:val="00977ED6"/>
    <w:rsid w:val="00980C9F"/>
    <w:rsid w:val="00984471"/>
    <w:rsid w:val="009869C1"/>
    <w:rsid w:val="00987023"/>
    <w:rsid w:val="0098747E"/>
    <w:rsid w:val="009910EB"/>
    <w:rsid w:val="009916B0"/>
    <w:rsid w:val="0099294C"/>
    <w:rsid w:val="00992B47"/>
    <w:rsid w:val="009959DC"/>
    <w:rsid w:val="00995D4D"/>
    <w:rsid w:val="00997370"/>
    <w:rsid w:val="00997483"/>
    <w:rsid w:val="009A0FF1"/>
    <w:rsid w:val="009A1A94"/>
    <w:rsid w:val="009A34D6"/>
    <w:rsid w:val="009A3EA9"/>
    <w:rsid w:val="009A51AC"/>
    <w:rsid w:val="009A6756"/>
    <w:rsid w:val="009A6C6D"/>
    <w:rsid w:val="009A7ED7"/>
    <w:rsid w:val="009B1BBD"/>
    <w:rsid w:val="009B24C4"/>
    <w:rsid w:val="009B2637"/>
    <w:rsid w:val="009B41A9"/>
    <w:rsid w:val="009B425F"/>
    <w:rsid w:val="009B426A"/>
    <w:rsid w:val="009B5704"/>
    <w:rsid w:val="009B5867"/>
    <w:rsid w:val="009B59EB"/>
    <w:rsid w:val="009B5C03"/>
    <w:rsid w:val="009B6132"/>
    <w:rsid w:val="009B7054"/>
    <w:rsid w:val="009B7A47"/>
    <w:rsid w:val="009C0A5E"/>
    <w:rsid w:val="009C0F5E"/>
    <w:rsid w:val="009C2540"/>
    <w:rsid w:val="009C3703"/>
    <w:rsid w:val="009C410D"/>
    <w:rsid w:val="009C5183"/>
    <w:rsid w:val="009C7660"/>
    <w:rsid w:val="009D0CC8"/>
    <w:rsid w:val="009D169B"/>
    <w:rsid w:val="009D43D0"/>
    <w:rsid w:val="009D5623"/>
    <w:rsid w:val="009D5BE4"/>
    <w:rsid w:val="009D5FBB"/>
    <w:rsid w:val="009D6C53"/>
    <w:rsid w:val="009D7EC0"/>
    <w:rsid w:val="009E0095"/>
    <w:rsid w:val="009E05C8"/>
    <w:rsid w:val="009E1B9F"/>
    <w:rsid w:val="009E21AB"/>
    <w:rsid w:val="009E2581"/>
    <w:rsid w:val="009E2E26"/>
    <w:rsid w:val="009E5209"/>
    <w:rsid w:val="009E66D5"/>
    <w:rsid w:val="009E6FA3"/>
    <w:rsid w:val="009E778E"/>
    <w:rsid w:val="009F0D95"/>
    <w:rsid w:val="009F10A3"/>
    <w:rsid w:val="009F1DD9"/>
    <w:rsid w:val="009F243C"/>
    <w:rsid w:val="009F34EC"/>
    <w:rsid w:val="009F3FCA"/>
    <w:rsid w:val="009F4C3F"/>
    <w:rsid w:val="009F5F93"/>
    <w:rsid w:val="009F61FD"/>
    <w:rsid w:val="009F7C30"/>
    <w:rsid w:val="009F7E5B"/>
    <w:rsid w:val="00A001E9"/>
    <w:rsid w:val="00A02D1C"/>
    <w:rsid w:val="00A03BB7"/>
    <w:rsid w:val="00A03EB6"/>
    <w:rsid w:val="00A04027"/>
    <w:rsid w:val="00A043C9"/>
    <w:rsid w:val="00A044E1"/>
    <w:rsid w:val="00A05DEC"/>
    <w:rsid w:val="00A06A7D"/>
    <w:rsid w:val="00A06A81"/>
    <w:rsid w:val="00A104EF"/>
    <w:rsid w:val="00A1182D"/>
    <w:rsid w:val="00A1547C"/>
    <w:rsid w:val="00A15C11"/>
    <w:rsid w:val="00A15DB2"/>
    <w:rsid w:val="00A160A1"/>
    <w:rsid w:val="00A213FB"/>
    <w:rsid w:val="00A21478"/>
    <w:rsid w:val="00A228CB"/>
    <w:rsid w:val="00A238DB"/>
    <w:rsid w:val="00A23FB8"/>
    <w:rsid w:val="00A2593E"/>
    <w:rsid w:val="00A27BC6"/>
    <w:rsid w:val="00A30485"/>
    <w:rsid w:val="00A30F18"/>
    <w:rsid w:val="00A33DC6"/>
    <w:rsid w:val="00A34190"/>
    <w:rsid w:val="00A353A6"/>
    <w:rsid w:val="00A369CB"/>
    <w:rsid w:val="00A36EE5"/>
    <w:rsid w:val="00A36F1D"/>
    <w:rsid w:val="00A40040"/>
    <w:rsid w:val="00A407A7"/>
    <w:rsid w:val="00A40857"/>
    <w:rsid w:val="00A41BC0"/>
    <w:rsid w:val="00A426E1"/>
    <w:rsid w:val="00A42F36"/>
    <w:rsid w:val="00A44E19"/>
    <w:rsid w:val="00A459EF"/>
    <w:rsid w:val="00A47205"/>
    <w:rsid w:val="00A50422"/>
    <w:rsid w:val="00A50C0E"/>
    <w:rsid w:val="00A52417"/>
    <w:rsid w:val="00A54180"/>
    <w:rsid w:val="00A542AD"/>
    <w:rsid w:val="00A54EAC"/>
    <w:rsid w:val="00A55210"/>
    <w:rsid w:val="00A573C8"/>
    <w:rsid w:val="00A57777"/>
    <w:rsid w:val="00A61E03"/>
    <w:rsid w:val="00A63D0B"/>
    <w:rsid w:val="00A64DF9"/>
    <w:rsid w:val="00A64E37"/>
    <w:rsid w:val="00A6666F"/>
    <w:rsid w:val="00A6741A"/>
    <w:rsid w:val="00A70401"/>
    <w:rsid w:val="00A70F05"/>
    <w:rsid w:val="00A71CAB"/>
    <w:rsid w:val="00A71F90"/>
    <w:rsid w:val="00A725F0"/>
    <w:rsid w:val="00A72752"/>
    <w:rsid w:val="00A73C59"/>
    <w:rsid w:val="00A73EB5"/>
    <w:rsid w:val="00A73F06"/>
    <w:rsid w:val="00A75EA0"/>
    <w:rsid w:val="00A8112D"/>
    <w:rsid w:val="00A81CDD"/>
    <w:rsid w:val="00A854B9"/>
    <w:rsid w:val="00A85648"/>
    <w:rsid w:val="00A85E72"/>
    <w:rsid w:val="00A87108"/>
    <w:rsid w:val="00A90C35"/>
    <w:rsid w:val="00A91CB8"/>
    <w:rsid w:val="00A91FFA"/>
    <w:rsid w:val="00A92B99"/>
    <w:rsid w:val="00A92E33"/>
    <w:rsid w:val="00A93D24"/>
    <w:rsid w:val="00A96018"/>
    <w:rsid w:val="00A96ED1"/>
    <w:rsid w:val="00AA1376"/>
    <w:rsid w:val="00AA2E8E"/>
    <w:rsid w:val="00AA3B36"/>
    <w:rsid w:val="00AA3DE3"/>
    <w:rsid w:val="00AA5B9A"/>
    <w:rsid w:val="00AB14D1"/>
    <w:rsid w:val="00AB15E2"/>
    <w:rsid w:val="00AB190D"/>
    <w:rsid w:val="00AB1EF4"/>
    <w:rsid w:val="00AB343B"/>
    <w:rsid w:val="00AB3475"/>
    <w:rsid w:val="00AB4A31"/>
    <w:rsid w:val="00AB5BEA"/>
    <w:rsid w:val="00AC2549"/>
    <w:rsid w:val="00AC3278"/>
    <w:rsid w:val="00AC39E9"/>
    <w:rsid w:val="00AC431D"/>
    <w:rsid w:val="00AC4B9E"/>
    <w:rsid w:val="00AC5F03"/>
    <w:rsid w:val="00AC61C0"/>
    <w:rsid w:val="00AC66B9"/>
    <w:rsid w:val="00AD086C"/>
    <w:rsid w:val="00AD178D"/>
    <w:rsid w:val="00AD17DC"/>
    <w:rsid w:val="00AD1949"/>
    <w:rsid w:val="00AD3A34"/>
    <w:rsid w:val="00AD3ADA"/>
    <w:rsid w:val="00AD3C64"/>
    <w:rsid w:val="00AD3C93"/>
    <w:rsid w:val="00AD4B67"/>
    <w:rsid w:val="00AD591E"/>
    <w:rsid w:val="00AD6B48"/>
    <w:rsid w:val="00AD6F54"/>
    <w:rsid w:val="00AE0727"/>
    <w:rsid w:val="00AE140B"/>
    <w:rsid w:val="00AE151D"/>
    <w:rsid w:val="00AE27D3"/>
    <w:rsid w:val="00AE2826"/>
    <w:rsid w:val="00AE4171"/>
    <w:rsid w:val="00AE4F72"/>
    <w:rsid w:val="00AF0710"/>
    <w:rsid w:val="00AF1122"/>
    <w:rsid w:val="00AF15F6"/>
    <w:rsid w:val="00AF470A"/>
    <w:rsid w:val="00AF6699"/>
    <w:rsid w:val="00AF7CF5"/>
    <w:rsid w:val="00AF7EB6"/>
    <w:rsid w:val="00B002DE"/>
    <w:rsid w:val="00B008C3"/>
    <w:rsid w:val="00B0093F"/>
    <w:rsid w:val="00B00A0B"/>
    <w:rsid w:val="00B00F7C"/>
    <w:rsid w:val="00B01AE7"/>
    <w:rsid w:val="00B01BBD"/>
    <w:rsid w:val="00B041C4"/>
    <w:rsid w:val="00B04A94"/>
    <w:rsid w:val="00B04B99"/>
    <w:rsid w:val="00B060EE"/>
    <w:rsid w:val="00B062D8"/>
    <w:rsid w:val="00B06D07"/>
    <w:rsid w:val="00B073B1"/>
    <w:rsid w:val="00B073D2"/>
    <w:rsid w:val="00B10000"/>
    <w:rsid w:val="00B10B58"/>
    <w:rsid w:val="00B13D28"/>
    <w:rsid w:val="00B1427C"/>
    <w:rsid w:val="00B146BE"/>
    <w:rsid w:val="00B15953"/>
    <w:rsid w:val="00B21106"/>
    <w:rsid w:val="00B2113E"/>
    <w:rsid w:val="00B222C6"/>
    <w:rsid w:val="00B224DE"/>
    <w:rsid w:val="00B23AFD"/>
    <w:rsid w:val="00B25A12"/>
    <w:rsid w:val="00B2761D"/>
    <w:rsid w:val="00B277CA"/>
    <w:rsid w:val="00B323E1"/>
    <w:rsid w:val="00B32DFE"/>
    <w:rsid w:val="00B33718"/>
    <w:rsid w:val="00B33B77"/>
    <w:rsid w:val="00B340D8"/>
    <w:rsid w:val="00B3616E"/>
    <w:rsid w:val="00B364C7"/>
    <w:rsid w:val="00B37483"/>
    <w:rsid w:val="00B40A4E"/>
    <w:rsid w:val="00B40F4C"/>
    <w:rsid w:val="00B41052"/>
    <w:rsid w:val="00B41B6A"/>
    <w:rsid w:val="00B43D7E"/>
    <w:rsid w:val="00B441B8"/>
    <w:rsid w:val="00B448E4"/>
    <w:rsid w:val="00B459D0"/>
    <w:rsid w:val="00B46A66"/>
    <w:rsid w:val="00B46D87"/>
    <w:rsid w:val="00B506C7"/>
    <w:rsid w:val="00B51491"/>
    <w:rsid w:val="00B521F4"/>
    <w:rsid w:val="00B52D04"/>
    <w:rsid w:val="00B53EC5"/>
    <w:rsid w:val="00B55E8D"/>
    <w:rsid w:val="00B55FDD"/>
    <w:rsid w:val="00B5634D"/>
    <w:rsid w:val="00B57F39"/>
    <w:rsid w:val="00B610A4"/>
    <w:rsid w:val="00B61F72"/>
    <w:rsid w:val="00B63C2F"/>
    <w:rsid w:val="00B64C09"/>
    <w:rsid w:val="00B660E1"/>
    <w:rsid w:val="00B6678D"/>
    <w:rsid w:val="00B677DB"/>
    <w:rsid w:val="00B67CD6"/>
    <w:rsid w:val="00B70374"/>
    <w:rsid w:val="00B71387"/>
    <w:rsid w:val="00B72C79"/>
    <w:rsid w:val="00B73E0A"/>
    <w:rsid w:val="00B75AA1"/>
    <w:rsid w:val="00B7747F"/>
    <w:rsid w:val="00B775C9"/>
    <w:rsid w:val="00B77A71"/>
    <w:rsid w:val="00B804E3"/>
    <w:rsid w:val="00B8082C"/>
    <w:rsid w:val="00B815CC"/>
    <w:rsid w:val="00B824C6"/>
    <w:rsid w:val="00B8355A"/>
    <w:rsid w:val="00B83D23"/>
    <w:rsid w:val="00B83F13"/>
    <w:rsid w:val="00B840D0"/>
    <w:rsid w:val="00B87E7B"/>
    <w:rsid w:val="00B87EB9"/>
    <w:rsid w:val="00B90303"/>
    <w:rsid w:val="00B909E5"/>
    <w:rsid w:val="00B92592"/>
    <w:rsid w:val="00B9374C"/>
    <w:rsid w:val="00B94069"/>
    <w:rsid w:val="00B9628C"/>
    <w:rsid w:val="00B96717"/>
    <w:rsid w:val="00B96BF0"/>
    <w:rsid w:val="00B970ED"/>
    <w:rsid w:val="00BA0619"/>
    <w:rsid w:val="00BA0D43"/>
    <w:rsid w:val="00BA162F"/>
    <w:rsid w:val="00BA1EA1"/>
    <w:rsid w:val="00BA2C40"/>
    <w:rsid w:val="00BA2D09"/>
    <w:rsid w:val="00BA37E9"/>
    <w:rsid w:val="00BA3864"/>
    <w:rsid w:val="00BA48CD"/>
    <w:rsid w:val="00BA4EFC"/>
    <w:rsid w:val="00BA652E"/>
    <w:rsid w:val="00BA6F35"/>
    <w:rsid w:val="00BA7445"/>
    <w:rsid w:val="00BA7AB5"/>
    <w:rsid w:val="00BB0246"/>
    <w:rsid w:val="00BB0A06"/>
    <w:rsid w:val="00BB12F9"/>
    <w:rsid w:val="00BB1AA8"/>
    <w:rsid w:val="00BB247B"/>
    <w:rsid w:val="00BB2D9C"/>
    <w:rsid w:val="00BB42FB"/>
    <w:rsid w:val="00BB497D"/>
    <w:rsid w:val="00BB63BF"/>
    <w:rsid w:val="00BB73B1"/>
    <w:rsid w:val="00BC10C6"/>
    <w:rsid w:val="00BC1D34"/>
    <w:rsid w:val="00BC2581"/>
    <w:rsid w:val="00BC3D40"/>
    <w:rsid w:val="00BC5BC3"/>
    <w:rsid w:val="00BC5F51"/>
    <w:rsid w:val="00BC68EA"/>
    <w:rsid w:val="00BC6943"/>
    <w:rsid w:val="00BD0B4E"/>
    <w:rsid w:val="00BD2040"/>
    <w:rsid w:val="00BD6428"/>
    <w:rsid w:val="00BD6746"/>
    <w:rsid w:val="00BD7CEA"/>
    <w:rsid w:val="00BE0162"/>
    <w:rsid w:val="00BE2001"/>
    <w:rsid w:val="00BE2276"/>
    <w:rsid w:val="00BE2D55"/>
    <w:rsid w:val="00BE2E55"/>
    <w:rsid w:val="00BE45B4"/>
    <w:rsid w:val="00BE500F"/>
    <w:rsid w:val="00BE5DE8"/>
    <w:rsid w:val="00BE6163"/>
    <w:rsid w:val="00BE7059"/>
    <w:rsid w:val="00BE713E"/>
    <w:rsid w:val="00BE7FFE"/>
    <w:rsid w:val="00BF0607"/>
    <w:rsid w:val="00BF19B0"/>
    <w:rsid w:val="00BF1BED"/>
    <w:rsid w:val="00BF1D1B"/>
    <w:rsid w:val="00BF1D4A"/>
    <w:rsid w:val="00BF25D5"/>
    <w:rsid w:val="00BF2B8C"/>
    <w:rsid w:val="00BF3296"/>
    <w:rsid w:val="00BF331B"/>
    <w:rsid w:val="00BF3FBA"/>
    <w:rsid w:val="00BF574B"/>
    <w:rsid w:val="00BF5B40"/>
    <w:rsid w:val="00C01BB0"/>
    <w:rsid w:val="00C02376"/>
    <w:rsid w:val="00C02CD0"/>
    <w:rsid w:val="00C02FD4"/>
    <w:rsid w:val="00C03B79"/>
    <w:rsid w:val="00C06379"/>
    <w:rsid w:val="00C066EA"/>
    <w:rsid w:val="00C06C03"/>
    <w:rsid w:val="00C073DC"/>
    <w:rsid w:val="00C10ED5"/>
    <w:rsid w:val="00C1104E"/>
    <w:rsid w:val="00C114A2"/>
    <w:rsid w:val="00C1208F"/>
    <w:rsid w:val="00C120F7"/>
    <w:rsid w:val="00C12517"/>
    <w:rsid w:val="00C12FBC"/>
    <w:rsid w:val="00C13E18"/>
    <w:rsid w:val="00C149CE"/>
    <w:rsid w:val="00C151C5"/>
    <w:rsid w:val="00C16315"/>
    <w:rsid w:val="00C170FE"/>
    <w:rsid w:val="00C20DB8"/>
    <w:rsid w:val="00C228D7"/>
    <w:rsid w:val="00C23BC4"/>
    <w:rsid w:val="00C23FA2"/>
    <w:rsid w:val="00C25149"/>
    <w:rsid w:val="00C259A0"/>
    <w:rsid w:val="00C25CD9"/>
    <w:rsid w:val="00C26091"/>
    <w:rsid w:val="00C266C4"/>
    <w:rsid w:val="00C30285"/>
    <w:rsid w:val="00C31998"/>
    <w:rsid w:val="00C32C80"/>
    <w:rsid w:val="00C32E62"/>
    <w:rsid w:val="00C3322A"/>
    <w:rsid w:val="00C33B78"/>
    <w:rsid w:val="00C35B68"/>
    <w:rsid w:val="00C36315"/>
    <w:rsid w:val="00C365FC"/>
    <w:rsid w:val="00C36B34"/>
    <w:rsid w:val="00C378EA"/>
    <w:rsid w:val="00C41E38"/>
    <w:rsid w:val="00C42B4C"/>
    <w:rsid w:val="00C42CA6"/>
    <w:rsid w:val="00C42E6A"/>
    <w:rsid w:val="00C44382"/>
    <w:rsid w:val="00C44956"/>
    <w:rsid w:val="00C44E7D"/>
    <w:rsid w:val="00C454F4"/>
    <w:rsid w:val="00C45960"/>
    <w:rsid w:val="00C459A4"/>
    <w:rsid w:val="00C46016"/>
    <w:rsid w:val="00C46B96"/>
    <w:rsid w:val="00C5104B"/>
    <w:rsid w:val="00C52543"/>
    <w:rsid w:val="00C52F6B"/>
    <w:rsid w:val="00C538B2"/>
    <w:rsid w:val="00C546B3"/>
    <w:rsid w:val="00C54B37"/>
    <w:rsid w:val="00C54BF4"/>
    <w:rsid w:val="00C55CA3"/>
    <w:rsid w:val="00C5664C"/>
    <w:rsid w:val="00C56873"/>
    <w:rsid w:val="00C56CD2"/>
    <w:rsid w:val="00C573C7"/>
    <w:rsid w:val="00C57A63"/>
    <w:rsid w:val="00C609C4"/>
    <w:rsid w:val="00C60B0D"/>
    <w:rsid w:val="00C6192A"/>
    <w:rsid w:val="00C6448F"/>
    <w:rsid w:val="00C648C5"/>
    <w:rsid w:val="00C6567F"/>
    <w:rsid w:val="00C65FD3"/>
    <w:rsid w:val="00C66583"/>
    <w:rsid w:val="00C673CD"/>
    <w:rsid w:val="00C67BAE"/>
    <w:rsid w:val="00C67F84"/>
    <w:rsid w:val="00C712CF"/>
    <w:rsid w:val="00C71665"/>
    <w:rsid w:val="00C72259"/>
    <w:rsid w:val="00C724DD"/>
    <w:rsid w:val="00C72FE0"/>
    <w:rsid w:val="00C75DE3"/>
    <w:rsid w:val="00C770FC"/>
    <w:rsid w:val="00C77346"/>
    <w:rsid w:val="00C77C22"/>
    <w:rsid w:val="00C806CE"/>
    <w:rsid w:val="00C809FF"/>
    <w:rsid w:val="00C81FDF"/>
    <w:rsid w:val="00C830A1"/>
    <w:rsid w:val="00C85702"/>
    <w:rsid w:val="00C85947"/>
    <w:rsid w:val="00C868B1"/>
    <w:rsid w:val="00C871C5"/>
    <w:rsid w:val="00C87A79"/>
    <w:rsid w:val="00C908C8"/>
    <w:rsid w:val="00C90C5F"/>
    <w:rsid w:val="00C91959"/>
    <w:rsid w:val="00C9282A"/>
    <w:rsid w:val="00C95780"/>
    <w:rsid w:val="00C96AF7"/>
    <w:rsid w:val="00C97A9A"/>
    <w:rsid w:val="00CA0DC2"/>
    <w:rsid w:val="00CA2DBF"/>
    <w:rsid w:val="00CA397A"/>
    <w:rsid w:val="00CA3EF5"/>
    <w:rsid w:val="00CA4E6A"/>
    <w:rsid w:val="00CA54CA"/>
    <w:rsid w:val="00CA55EC"/>
    <w:rsid w:val="00CA5676"/>
    <w:rsid w:val="00CA630D"/>
    <w:rsid w:val="00CA744D"/>
    <w:rsid w:val="00CB30DB"/>
    <w:rsid w:val="00CB353C"/>
    <w:rsid w:val="00CB402F"/>
    <w:rsid w:val="00CB4C33"/>
    <w:rsid w:val="00CB4CBF"/>
    <w:rsid w:val="00CB596F"/>
    <w:rsid w:val="00CC0CCE"/>
    <w:rsid w:val="00CC1E72"/>
    <w:rsid w:val="00CC3B86"/>
    <w:rsid w:val="00CC465E"/>
    <w:rsid w:val="00CC6551"/>
    <w:rsid w:val="00CC751E"/>
    <w:rsid w:val="00CD1A8A"/>
    <w:rsid w:val="00CD28D7"/>
    <w:rsid w:val="00CD2DE7"/>
    <w:rsid w:val="00CD2F8C"/>
    <w:rsid w:val="00CD3D3F"/>
    <w:rsid w:val="00CD464E"/>
    <w:rsid w:val="00CD4977"/>
    <w:rsid w:val="00CE3866"/>
    <w:rsid w:val="00CE51FD"/>
    <w:rsid w:val="00CE5E2A"/>
    <w:rsid w:val="00CE65F5"/>
    <w:rsid w:val="00CE78EA"/>
    <w:rsid w:val="00CF0B20"/>
    <w:rsid w:val="00CF0B9B"/>
    <w:rsid w:val="00CF0E73"/>
    <w:rsid w:val="00CF1359"/>
    <w:rsid w:val="00CF29CB"/>
    <w:rsid w:val="00CF3096"/>
    <w:rsid w:val="00CF3162"/>
    <w:rsid w:val="00CF3B21"/>
    <w:rsid w:val="00CF5943"/>
    <w:rsid w:val="00CF6458"/>
    <w:rsid w:val="00CF79EF"/>
    <w:rsid w:val="00CF7AC0"/>
    <w:rsid w:val="00CF7FF7"/>
    <w:rsid w:val="00D01855"/>
    <w:rsid w:val="00D019E8"/>
    <w:rsid w:val="00D01C62"/>
    <w:rsid w:val="00D01ED3"/>
    <w:rsid w:val="00D02D84"/>
    <w:rsid w:val="00D043C6"/>
    <w:rsid w:val="00D06FC1"/>
    <w:rsid w:val="00D07EE0"/>
    <w:rsid w:val="00D107D2"/>
    <w:rsid w:val="00D11580"/>
    <w:rsid w:val="00D1169D"/>
    <w:rsid w:val="00D11807"/>
    <w:rsid w:val="00D126BD"/>
    <w:rsid w:val="00D131CE"/>
    <w:rsid w:val="00D141EF"/>
    <w:rsid w:val="00D157AF"/>
    <w:rsid w:val="00D15803"/>
    <w:rsid w:val="00D20013"/>
    <w:rsid w:val="00D20DC5"/>
    <w:rsid w:val="00D21221"/>
    <w:rsid w:val="00D216BD"/>
    <w:rsid w:val="00D252D4"/>
    <w:rsid w:val="00D27308"/>
    <w:rsid w:val="00D314A7"/>
    <w:rsid w:val="00D316FC"/>
    <w:rsid w:val="00D326AC"/>
    <w:rsid w:val="00D33410"/>
    <w:rsid w:val="00D33615"/>
    <w:rsid w:val="00D3510C"/>
    <w:rsid w:val="00D40869"/>
    <w:rsid w:val="00D40DDA"/>
    <w:rsid w:val="00D41337"/>
    <w:rsid w:val="00D42DF4"/>
    <w:rsid w:val="00D44A82"/>
    <w:rsid w:val="00D4581C"/>
    <w:rsid w:val="00D45BA0"/>
    <w:rsid w:val="00D45D3D"/>
    <w:rsid w:val="00D46067"/>
    <w:rsid w:val="00D474AF"/>
    <w:rsid w:val="00D47E17"/>
    <w:rsid w:val="00D51365"/>
    <w:rsid w:val="00D514AF"/>
    <w:rsid w:val="00D52696"/>
    <w:rsid w:val="00D52DE9"/>
    <w:rsid w:val="00D5347C"/>
    <w:rsid w:val="00D607CB"/>
    <w:rsid w:val="00D607FE"/>
    <w:rsid w:val="00D60944"/>
    <w:rsid w:val="00D60A91"/>
    <w:rsid w:val="00D61416"/>
    <w:rsid w:val="00D61736"/>
    <w:rsid w:val="00D6250A"/>
    <w:rsid w:val="00D62816"/>
    <w:rsid w:val="00D63237"/>
    <w:rsid w:val="00D6343F"/>
    <w:rsid w:val="00D63806"/>
    <w:rsid w:val="00D63D2F"/>
    <w:rsid w:val="00D6454E"/>
    <w:rsid w:val="00D646BE"/>
    <w:rsid w:val="00D64B9F"/>
    <w:rsid w:val="00D6607E"/>
    <w:rsid w:val="00D6637E"/>
    <w:rsid w:val="00D71B0C"/>
    <w:rsid w:val="00D73636"/>
    <w:rsid w:val="00D739F0"/>
    <w:rsid w:val="00D75663"/>
    <w:rsid w:val="00D76B17"/>
    <w:rsid w:val="00D76F2E"/>
    <w:rsid w:val="00D8069D"/>
    <w:rsid w:val="00D82485"/>
    <w:rsid w:val="00D82D2F"/>
    <w:rsid w:val="00D841D9"/>
    <w:rsid w:val="00D84B78"/>
    <w:rsid w:val="00D85D13"/>
    <w:rsid w:val="00D90CDD"/>
    <w:rsid w:val="00D90E6B"/>
    <w:rsid w:val="00D91043"/>
    <w:rsid w:val="00D94810"/>
    <w:rsid w:val="00D975B6"/>
    <w:rsid w:val="00D97DF6"/>
    <w:rsid w:val="00DA12D2"/>
    <w:rsid w:val="00DA2D8B"/>
    <w:rsid w:val="00DA3920"/>
    <w:rsid w:val="00DA3E71"/>
    <w:rsid w:val="00DA4FB1"/>
    <w:rsid w:val="00DA5127"/>
    <w:rsid w:val="00DA5278"/>
    <w:rsid w:val="00DA5B46"/>
    <w:rsid w:val="00DA5D60"/>
    <w:rsid w:val="00DA76FE"/>
    <w:rsid w:val="00DB05F0"/>
    <w:rsid w:val="00DB17DB"/>
    <w:rsid w:val="00DB20B2"/>
    <w:rsid w:val="00DB3656"/>
    <w:rsid w:val="00DB498E"/>
    <w:rsid w:val="00DB4F9C"/>
    <w:rsid w:val="00DB5A08"/>
    <w:rsid w:val="00DB5F1D"/>
    <w:rsid w:val="00DB6183"/>
    <w:rsid w:val="00DC2331"/>
    <w:rsid w:val="00DC2A93"/>
    <w:rsid w:val="00DC367B"/>
    <w:rsid w:val="00DC4043"/>
    <w:rsid w:val="00DC5091"/>
    <w:rsid w:val="00DC7A7C"/>
    <w:rsid w:val="00DD08B4"/>
    <w:rsid w:val="00DD1252"/>
    <w:rsid w:val="00DD20EF"/>
    <w:rsid w:val="00DD33E4"/>
    <w:rsid w:val="00DD3AFF"/>
    <w:rsid w:val="00DD455D"/>
    <w:rsid w:val="00DD4896"/>
    <w:rsid w:val="00DD544C"/>
    <w:rsid w:val="00DD59EA"/>
    <w:rsid w:val="00DD5C9A"/>
    <w:rsid w:val="00DD64A8"/>
    <w:rsid w:val="00DD65E5"/>
    <w:rsid w:val="00DD767D"/>
    <w:rsid w:val="00DD7991"/>
    <w:rsid w:val="00DD7B3A"/>
    <w:rsid w:val="00DD7C5B"/>
    <w:rsid w:val="00DE0C1C"/>
    <w:rsid w:val="00DE0E22"/>
    <w:rsid w:val="00DE19EE"/>
    <w:rsid w:val="00DE1B93"/>
    <w:rsid w:val="00DE2FF0"/>
    <w:rsid w:val="00DE3F62"/>
    <w:rsid w:val="00DE4147"/>
    <w:rsid w:val="00DE45FA"/>
    <w:rsid w:val="00DE4615"/>
    <w:rsid w:val="00DE4857"/>
    <w:rsid w:val="00DF0105"/>
    <w:rsid w:val="00DF0751"/>
    <w:rsid w:val="00DF1396"/>
    <w:rsid w:val="00DF5AEF"/>
    <w:rsid w:val="00DF5CAC"/>
    <w:rsid w:val="00DF60F9"/>
    <w:rsid w:val="00DF65D1"/>
    <w:rsid w:val="00DF7022"/>
    <w:rsid w:val="00DF77B7"/>
    <w:rsid w:val="00E00522"/>
    <w:rsid w:val="00E00E65"/>
    <w:rsid w:val="00E01BF5"/>
    <w:rsid w:val="00E03390"/>
    <w:rsid w:val="00E063AE"/>
    <w:rsid w:val="00E067C9"/>
    <w:rsid w:val="00E07AFE"/>
    <w:rsid w:val="00E07D71"/>
    <w:rsid w:val="00E10CEE"/>
    <w:rsid w:val="00E111AA"/>
    <w:rsid w:val="00E12F97"/>
    <w:rsid w:val="00E1399D"/>
    <w:rsid w:val="00E13B49"/>
    <w:rsid w:val="00E1460F"/>
    <w:rsid w:val="00E1514E"/>
    <w:rsid w:val="00E155CD"/>
    <w:rsid w:val="00E157AC"/>
    <w:rsid w:val="00E15C0F"/>
    <w:rsid w:val="00E15C62"/>
    <w:rsid w:val="00E168FB"/>
    <w:rsid w:val="00E16BE9"/>
    <w:rsid w:val="00E171CD"/>
    <w:rsid w:val="00E177FC"/>
    <w:rsid w:val="00E20387"/>
    <w:rsid w:val="00E212CA"/>
    <w:rsid w:val="00E2163B"/>
    <w:rsid w:val="00E21A0C"/>
    <w:rsid w:val="00E21D65"/>
    <w:rsid w:val="00E227B5"/>
    <w:rsid w:val="00E22A18"/>
    <w:rsid w:val="00E24AD6"/>
    <w:rsid w:val="00E252B4"/>
    <w:rsid w:val="00E26177"/>
    <w:rsid w:val="00E30002"/>
    <w:rsid w:val="00E30336"/>
    <w:rsid w:val="00E30982"/>
    <w:rsid w:val="00E30C7A"/>
    <w:rsid w:val="00E30D55"/>
    <w:rsid w:val="00E31708"/>
    <w:rsid w:val="00E32824"/>
    <w:rsid w:val="00E33130"/>
    <w:rsid w:val="00E34353"/>
    <w:rsid w:val="00E356FC"/>
    <w:rsid w:val="00E35BB7"/>
    <w:rsid w:val="00E37368"/>
    <w:rsid w:val="00E40942"/>
    <w:rsid w:val="00E414EB"/>
    <w:rsid w:val="00E42AB2"/>
    <w:rsid w:val="00E42CDF"/>
    <w:rsid w:val="00E43160"/>
    <w:rsid w:val="00E4421C"/>
    <w:rsid w:val="00E4435B"/>
    <w:rsid w:val="00E4515C"/>
    <w:rsid w:val="00E451B3"/>
    <w:rsid w:val="00E45F2D"/>
    <w:rsid w:val="00E46374"/>
    <w:rsid w:val="00E46B8A"/>
    <w:rsid w:val="00E472B1"/>
    <w:rsid w:val="00E4735B"/>
    <w:rsid w:val="00E4760A"/>
    <w:rsid w:val="00E50F2C"/>
    <w:rsid w:val="00E52127"/>
    <w:rsid w:val="00E521F8"/>
    <w:rsid w:val="00E52F16"/>
    <w:rsid w:val="00E53A8A"/>
    <w:rsid w:val="00E55E03"/>
    <w:rsid w:val="00E55ED6"/>
    <w:rsid w:val="00E57270"/>
    <w:rsid w:val="00E630B6"/>
    <w:rsid w:val="00E63677"/>
    <w:rsid w:val="00E63DE4"/>
    <w:rsid w:val="00E64F21"/>
    <w:rsid w:val="00E65D26"/>
    <w:rsid w:val="00E6768D"/>
    <w:rsid w:val="00E67CD0"/>
    <w:rsid w:val="00E72BAA"/>
    <w:rsid w:val="00E7383C"/>
    <w:rsid w:val="00E73A63"/>
    <w:rsid w:val="00E74F77"/>
    <w:rsid w:val="00E7553B"/>
    <w:rsid w:val="00E75819"/>
    <w:rsid w:val="00E75846"/>
    <w:rsid w:val="00E75970"/>
    <w:rsid w:val="00E75E0C"/>
    <w:rsid w:val="00E76CA4"/>
    <w:rsid w:val="00E77CC1"/>
    <w:rsid w:val="00E8084C"/>
    <w:rsid w:val="00E82141"/>
    <w:rsid w:val="00E82185"/>
    <w:rsid w:val="00E8274F"/>
    <w:rsid w:val="00E833DD"/>
    <w:rsid w:val="00E84E3B"/>
    <w:rsid w:val="00E85E71"/>
    <w:rsid w:val="00E864D1"/>
    <w:rsid w:val="00E86DF3"/>
    <w:rsid w:val="00E87D79"/>
    <w:rsid w:val="00E9265E"/>
    <w:rsid w:val="00E92EDC"/>
    <w:rsid w:val="00E94744"/>
    <w:rsid w:val="00E95809"/>
    <w:rsid w:val="00E95F83"/>
    <w:rsid w:val="00E969EA"/>
    <w:rsid w:val="00E9724E"/>
    <w:rsid w:val="00E9742D"/>
    <w:rsid w:val="00E97D0E"/>
    <w:rsid w:val="00EA1F28"/>
    <w:rsid w:val="00EA37AB"/>
    <w:rsid w:val="00EA3AB9"/>
    <w:rsid w:val="00EA3B30"/>
    <w:rsid w:val="00EA3EFA"/>
    <w:rsid w:val="00EA5A85"/>
    <w:rsid w:val="00EA7EC1"/>
    <w:rsid w:val="00EB02B2"/>
    <w:rsid w:val="00EB0307"/>
    <w:rsid w:val="00EB1F88"/>
    <w:rsid w:val="00EB2AB5"/>
    <w:rsid w:val="00EB3245"/>
    <w:rsid w:val="00EB479B"/>
    <w:rsid w:val="00EB63A0"/>
    <w:rsid w:val="00EB751C"/>
    <w:rsid w:val="00EC0E7D"/>
    <w:rsid w:val="00EC25F3"/>
    <w:rsid w:val="00EC34EE"/>
    <w:rsid w:val="00EC391E"/>
    <w:rsid w:val="00EC39D8"/>
    <w:rsid w:val="00ED0112"/>
    <w:rsid w:val="00ED0E94"/>
    <w:rsid w:val="00ED1491"/>
    <w:rsid w:val="00ED15BC"/>
    <w:rsid w:val="00ED1EA5"/>
    <w:rsid w:val="00ED27CF"/>
    <w:rsid w:val="00ED348B"/>
    <w:rsid w:val="00ED373F"/>
    <w:rsid w:val="00ED503B"/>
    <w:rsid w:val="00ED5469"/>
    <w:rsid w:val="00ED57C4"/>
    <w:rsid w:val="00ED61A8"/>
    <w:rsid w:val="00ED75A7"/>
    <w:rsid w:val="00EE08D0"/>
    <w:rsid w:val="00EE1879"/>
    <w:rsid w:val="00EE1BDD"/>
    <w:rsid w:val="00EE2342"/>
    <w:rsid w:val="00EE3C28"/>
    <w:rsid w:val="00EE42B2"/>
    <w:rsid w:val="00EE42C0"/>
    <w:rsid w:val="00EE54AB"/>
    <w:rsid w:val="00EE5CD2"/>
    <w:rsid w:val="00EE6D20"/>
    <w:rsid w:val="00EE7497"/>
    <w:rsid w:val="00EF1377"/>
    <w:rsid w:val="00EF3533"/>
    <w:rsid w:val="00EF3BF3"/>
    <w:rsid w:val="00EF3C69"/>
    <w:rsid w:val="00EF41D0"/>
    <w:rsid w:val="00EF4B06"/>
    <w:rsid w:val="00EF4FDD"/>
    <w:rsid w:val="00EF637E"/>
    <w:rsid w:val="00EF68A4"/>
    <w:rsid w:val="00EF7A1A"/>
    <w:rsid w:val="00F0088A"/>
    <w:rsid w:val="00F00ADE"/>
    <w:rsid w:val="00F015B1"/>
    <w:rsid w:val="00F05B1C"/>
    <w:rsid w:val="00F066A6"/>
    <w:rsid w:val="00F1047E"/>
    <w:rsid w:val="00F10C34"/>
    <w:rsid w:val="00F12333"/>
    <w:rsid w:val="00F1273A"/>
    <w:rsid w:val="00F1285B"/>
    <w:rsid w:val="00F1333D"/>
    <w:rsid w:val="00F13965"/>
    <w:rsid w:val="00F14A80"/>
    <w:rsid w:val="00F1539B"/>
    <w:rsid w:val="00F1576D"/>
    <w:rsid w:val="00F157F6"/>
    <w:rsid w:val="00F16DB8"/>
    <w:rsid w:val="00F174A1"/>
    <w:rsid w:val="00F17B15"/>
    <w:rsid w:val="00F200FD"/>
    <w:rsid w:val="00F20597"/>
    <w:rsid w:val="00F206DD"/>
    <w:rsid w:val="00F21224"/>
    <w:rsid w:val="00F21566"/>
    <w:rsid w:val="00F21D5C"/>
    <w:rsid w:val="00F23275"/>
    <w:rsid w:val="00F23E3C"/>
    <w:rsid w:val="00F24C0D"/>
    <w:rsid w:val="00F25069"/>
    <w:rsid w:val="00F25274"/>
    <w:rsid w:val="00F26711"/>
    <w:rsid w:val="00F30959"/>
    <w:rsid w:val="00F30ADC"/>
    <w:rsid w:val="00F3198F"/>
    <w:rsid w:val="00F35023"/>
    <w:rsid w:val="00F35656"/>
    <w:rsid w:val="00F374F0"/>
    <w:rsid w:val="00F40873"/>
    <w:rsid w:val="00F40F37"/>
    <w:rsid w:val="00F41417"/>
    <w:rsid w:val="00F421B4"/>
    <w:rsid w:val="00F42421"/>
    <w:rsid w:val="00F42EE0"/>
    <w:rsid w:val="00F43105"/>
    <w:rsid w:val="00F440F8"/>
    <w:rsid w:val="00F44972"/>
    <w:rsid w:val="00F44DEF"/>
    <w:rsid w:val="00F471CD"/>
    <w:rsid w:val="00F4743D"/>
    <w:rsid w:val="00F47D01"/>
    <w:rsid w:val="00F50A2C"/>
    <w:rsid w:val="00F50B42"/>
    <w:rsid w:val="00F51200"/>
    <w:rsid w:val="00F51C19"/>
    <w:rsid w:val="00F5283E"/>
    <w:rsid w:val="00F53358"/>
    <w:rsid w:val="00F61121"/>
    <w:rsid w:val="00F62112"/>
    <w:rsid w:val="00F62C02"/>
    <w:rsid w:val="00F62C76"/>
    <w:rsid w:val="00F62E79"/>
    <w:rsid w:val="00F63506"/>
    <w:rsid w:val="00F63885"/>
    <w:rsid w:val="00F64603"/>
    <w:rsid w:val="00F64AE7"/>
    <w:rsid w:val="00F65C0B"/>
    <w:rsid w:val="00F666C5"/>
    <w:rsid w:val="00F668F9"/>
    <w:rsid w:val="00F70F53"/>
    <w:rsid w:val="00F742C1"/>
    <w:rsid w:val="00F7435F"/>
    <w:rsid w:val="00F74387"/>
    <w:rsid w:val="00F74ECA"/>
    <w:rsid w:val="00F77FEA"/>
    <w:rsid w:val="00F801CA"/>
    <w:rsid w:val="00F81C13"/>
    <w:rsid w:val="00F829AD"/>
    <w:rsid w:val="00F82D2A"/>
    <w:rsid w:val="00F83DBC"/>
    <w:rsid w:val="00F84D7C"/>
    <w:rsid w:val="00F84E0E"/>
    <w:rsid w:val="00F92BA5"/>
    <w:rsid w:val="00F93E6E"/>
    <w:rsid w:val="00F94C9B"/>
    <w:rsid w:val="00F94E04"/>
    <w:rsid w:val="00F96BD8"/>
    <w:rsid w:val="00F96CBD"/>
    <w:rsid w:val="00FA0603"/>
    <w:rsid w:val="00FA0C1D"/>
    <w:rsid w:val="00FA13E5"/>
    <w:rsid w:val="00FA1454"/>
    <w:rsid w:val="00FA2D96"/>
    <w:rsid w:val="00FA2EF8"/>
    <w:rsid w:val="00FA3344"/>
    <w:rsid w:val="00FA3C1C"/>
    <w:rsid w:val="00FA3CC3"/>
    <w:rsid w:val="00FA4245"/>
    <w:rsid w:val="00FA479A"/>
    <w:rsid w:val="00FA6624"/>
    <w:rsid w:val="00FA7BCC"/>
    <w:rsid w:val="00FA7C3E"/>
    <w:rsid w:val="00FB2758"/>
    <w:rsid w:val="00FB4920"/>
    <w:rsid w:val="00FB4BA6"/>
    <w:rsid w:val="00FB5080"/>
    <w:rsid w:val="00FB50F4"/>
    <w:rsid w:val="00FB51CA"/>
    <w:rsid w:val="00FB544C"/>
    <w:rsid w:val="00FB63F0"/>
    <w:rsid w:val="00FB6CE3"/>
    <w:rsid w:val="00FC00DC"/>
    <w:rsid w:val="00FC059C"/>
    <w:rsid w:val="00FC0F02"/>
    <w:rsid w:val="00FC26AA"/>
    <w:rsid w:val="00FC286E"/>
    <w:rsid w:val="00FC40AF"/>
    <w:rsid w:val="00FC40BA"/>
    <w:rsid w:val="00FC4348"/>
    <w:rsid w:val="00FC4C70"/>
    <w:rsid w:val="00FC55CE"/>
    <w:rsid w:val="00FC5C4E"/>
    <w:rsid w:val="00FC7DBB"/>
    <w:rsid w:val="00FD0549"/>
    <w:rsid w:val="00FD0E1F"/>
    <w:rsid w:val="00FD10D4"/>
    <w:rsid w:val="00FD1230"/>
    <w:rsid w:val="00FD13F2"/>
    <w:rsid w:val="00FD1998"/>
    <w:rsid w:val="00FD2A05"/>
    <w:rsid w:val="00FD3A51"/>
    <w:rsid w:val="00FD4C1C"/>
    <w:rsid w:val="00FD79E3"/>
    <w:rsid w:val="00FD7DF9"/>
    <w:rsid w:val="00FD7E04"/>
    <w:rsid w:val="00FD7EC8"/>
    <w:rsid w:val="00FE116C"/>
    <w:rsid w:val="00FE12A1"/>
    <w:rsid w:val="00FE1C55"/>
    <w:rsid w:val="00FE2132"/>
    <w:rsid w:val="00FE3AEE"/>
    <w:rsid w:val="00FE4443"/>
    <w:rsid w:val="00FE4E85"/>
    <w:rsid w:val="00FE561C"/>
    <w:rsid w:val="00FE5AF0"/>
    <w:rsid w:val="00FE5BC1"/>
    <w:rsid w:val="00FE610B"/>
    <w:rsid w:val="00FE794E"/>
    <w:rsid w:val="00FF08F2"/>
    <w:rsid w:val="00FF16C4"/>
    <w:rsid w:val="00FF1ABF"/>
    <w:rsid w:val="00FF242E"/>
    <w:rsid w:val="00FF2F3E"/>
    <w:rsid w:val="00FF4617"/>
    <w:rsid w:val="00FF7646"/>
    <w:rsid w:val="00FF777E"/>
    <w:rsid w:val="00FF7AA8"/>
    <w:rsid w:val="00FF7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KaiTi_GB2312" w:hAnsi="Arial" w:cs="Times New Roman"/>
      <w:color w:val="000000"/>
      <w:kern w:val="0"/>
      <w:szCs w:val="20"/>
      <w:lang w:val="en-GB"/>
    </w:rPr>
  </w:style>
  <w:style w:type="character" w:customStyle="1" w:styleId="Char7">
    <w:name w:val="正文文本 Char"/>
    <w:basedOn w:val="a0"/>
    <w:link w:val="ab"/>
    <w:rsid w:val="00B10000"/>
    <w:rPr>
      <w:rFonts w:ascii="Arial" w:eastAsia="KaiTi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 w:type="paragraph" w:customStyle="1" w:styleId="Default">
    <w:name w:val="Default"/>
    <w:rsid w:val="005E5321"/>
    <w:pPr>
      <w:widowControl w:val="0"/>
      <w:autoSpaceDE w:val="0"/>
      <w:autoSpaceDN w:val="0"/>
      <w:adjustRightInd w:val="0"/>
    </w:pPr>
    <w:rPr>
      <w:rFonts w:ascii="楷体_GB2312" w:eastAsia="楷体_GB2312" w:cs="楷体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56070670">
      <w:bodyDiv w:val="1"/>
      <w:marLeft w:val="0"/>
      <w:marRight w:val="0"/>
      <w:marTop w:val="0"/>
      <w:marBottom w:val="0"/>
      <w:divBdr>
        <w:top w:val="none" w:sz="0" w:space="0" w:color="auto"/>
        <w:left w:val="none" w:sz="0" w:space="0" w:color="auto"/>
        <w:bottom w:val="none" w:sz="0" w:space="0" w:color="auto"/>
        <w:right w:val="none" w:sz="0" w:space="0" w:color="auto"/>
      </w:divBdr>
    </w:div>
    <w:div w:id="509223966">
      <w:bodyDiv w:val="1"/>
      <w:marLeft w:val="0"/>
      <w:marRight w:val="0"/>
      <w:marTop w:val="0"/>
      <w:marBottom w:val="0"/>
      <w:divBdr>
        <w:top w:val="none" w:sz="0" w:space="0" w:color="auto"/>
        <w:left w:val="none" w:sz="0" w:space="0" w:color="auto"/>
        <w:bottom w:val="none" w:sz="0" w:space="0" w:color="auto"/>
        <w:right w:val="none" w:sz="0" w:space="0" w:color="auto"/>
      </w:divBdr>
    </w:div>
    <w:div w:id="535851306">
      <w:bodyDiv w:val="1"/>
      <w:marLeft w:val="0"/>
      <w:marRight w:val="0"/>
      <w:marTop w:val="0"/>
      <w:marBottom w:val="0"/>
      <w:divBdr>
        <w:top w:val="none" w:sz="0" w:space="0" w:color="auto"/>
        <w:left w:val="none" w:sz="0" w:space="0" w:color="auto"/>
        <w:bottom w:val="none" w:sz="0" w:space="0" w:color="auto"/>
        <w:right w:val="none" w:sz="0" w:space="0" w:color="auto"/>
      </w:divBdr>
    </w:div>
    <w:div w:id="578641974">
      <w:bodyDiv w:val="1"/>
      <w:marLeft w:val="0"/>
      <w:marRight w:val="0"/>
      <w:marTop w:val="0"/>
      <w:marBottom w:val="0"/>
      <w:divBdr>
        <w:top w:val="none" w:sz="0" w:space="0" w:color="auto"/>
        <w:left w:val="none" w:sz="0" w:space="0" w:color="auto"/>
        <w:bottom w:val="none" w:sz="0" w:space="0" w:color="auto"/>
        <w:right w:val="none" w:sz="0" w:space="0" w:color="auto"/>
      </w:divBdr>
    </w:div>
    <w:div w:id="582028953">
      <w:bodyDiv w:val="1"/>
      <w:marLeft w:val="0"/>
      <w:marRight w:val="0"/>
      <w:marTop w:val="0"/>
      <w:marBottom w:val="0"/>
      <w:divBdr>
        <w:top w:val="none" w:sz="0" w:space="0" w:color="auto"/>
        <w:left w:val="none" w:sz="0" w:space="0" w:color="auto"/>
        <w:bottom w:val="none" w:sz="0" w:space="0" w:color="auto"/>
        <w:right w:val="none" w:sz="0" w:space="0" w:color="auto"/>
      </w:divBdr>
    </w:div>
    <w:div w:id="640185886">
      <w:bodyDiv w:val="1"/>
      <w:marLeft w:val="0"/>
      <w:marRight w:val="0"/>
      <w:marTop w:val="0"/>
      <w:marBottom w:val="0"/>
      <w:divBdr>
        <w:top w:val="none" w:sz="0" w:space="0" w:color="auto"/>
        <w:left w:val="none" w:sz="0" w:space="0" w:color="auto"/>
        <w:bottom w:val="none" w:sz="0" w:space="0" w:color="auto"/>
        <w:right w:val="none" w:sz="0" w:space="0" w:color="auto"/>
      </w:divBdr>
    </w:div>
    <w:div w:id="700207119">
      <w:bodyDiv w:val="1"/>
      <w:marLeft w:val="0"/>
      <w:marRight w:val="0"/>
      <w:marTop w:val="0"/>
      <w:marBottom w:val="0"/>
      <w:divBdr>
        <w:top w:val="none" w:sz="0" w:space="0" w:color="auto"/>
        <w:left w:val="none" w:sz="0" w:space="0" w:color="auto"/>
        <w:bottom w:val="none" w:sz="0" w:space="0" w:color="auto"/>
        <w:right w:val="none" w:sz="0" w:space="0" w:color="auto"/>
      </w:divBdr>
    </w:div>
    <w:div w:id="726613824">
      <w:bodyDiv w:val="1"/>
      <w:marLeft w:val="0"/>
      <w:marRight w:val="0"/>
      <w:marTop w:val="0"/>
      <w:marBottom w:val="0"/>
      <w:divBdr>
        <w:top w:val="none" w:sz="0" w:space="0" w:color="auto"/>
        <w:left w:val="none" w:sz="0" w:space="0" w:color="auto"/>
        <w:bottom w:val="none" w:sz="0" w:space="0" w:color="auto"/>
        <w:right w:val="none" w:sz="0" w:space="0" w:color="auto"/>
      </w:divBdr>
    </w:div>
    <w:div w:id="752816045">
      <w:bodyDiv w:val="1"/>
      <w:marLeft w:val="0"/>
      <w:marRight w:val="0"/>
      <w:marTop w:val="0"/>
      <w:marBottom w:val="0"/>
      <w:divBdr>
        <w:top w:val="none" w:sz="0" w:space="0" w:color="auto"/>
        <w:left w:val="none" w:sz="0" w:space="0" w:color="auto"/>
        <w:bottom w:val="none" w:sz="0" w:space="0" w:color="auto"/>
        <w:right w:val="none" w:sz="0" w:space="0" w:color="auto"/>
      </w:divBdr>
    </w:div>
    <w:div w:id="946012196">
      <w:bodyDiv w:val="1"/>
      <w:marLeft w:val="0"/>
      <w:marRight w:val="0"/>
      <w:marTop w:val="0"/>
      <w:marBottom w:val="0"/>
      <w:divBdr>
        <w:top w:val="none" w:sz="0" w:space="0" w:color="auto"/>
        <w:left w:val="none" w:sz="0" w:space="0" w:color="auto"/>
        <w:bottom w:val="none" w:sz="0" w:space="0" w:color="auto"/>
        <w:right w:val="none" w:sz="0" w:space="0" w:color="auto"/>
      </w:divBdr>
    </w:div>
    <w:div w:id="1373384123">
      <w:bodyDiv w:val="1"/>
      <w:marLeft w:val="0"/>
      <w:marRight w:val="0"/>
      <w:marTop w:val="0"/>
      <w:marBottom w:val="0"/>
      <w:divBdr>
        <w:top w:val="none" w:sz="0" w:space="0" w:color="auto"/>
        <w:left w:val="none" w:sz="0" w:space="0" w:color="auto"/>
        <w:bottom w:val="none" w:sz="0" w:space="0" w:color="auto"/>
        <w:right w:val="none" w:sz="0" w:space="0" w:color="auto"/>
      </w:divBdr>
    </w:div>
    <w:div w:id="1607345895">
      <w:bodyDiv w:val="1"/>
      <w:marLeft w:val="0"/>
      <w:marRight w:val="0"/>
      <w:marTop w:val="0"/>
      <w:marBottom w:val="0"/>
      <w:divBdr>
        <w:top w:val="none" w:sz="0" w:space="0" w:color="auto"/>
        <w:left w:val="none" w:sz="0" w:space="0" w:color="auto"/>
        <w:bottom w:val="none" w:sz="0" w:space="0" w:color="auto"/>
        <w:right w:val="none" w:sz="0" w:space="0" w:color="auto"/>
      </w:divBdr>
    </w:div>
    <w:div w:id="1620647635">
      <w:bodyDiv w:val="1"/>
      <w:marLeft w:val="0"/>
      <w:marRight w:val="0"/>
      <w:marTop w:val="0"/>
      <w:marBottom w:val="0"/>
      <w:divBdr>
        <w:top w:val="none" w:sz="0" w:space="0" w:color="auto"/>
        <w:left w:val="none" w:sz="0" w:space="0" w:color="auto"/>
        <w:bottom w:val="none" w:sz="0" w:space="0" w:color="auto"/>
        <w:right w:val="none" w:sz="0" w:space="0" w:color="auto"/>
      </w:divBdr>
    </w:div>
    <w:div w:id="1701196796">
      <w:bodyDiv w:val="1"/>
      <w:marLeft w:val="0"/>
      <w:marRight w:val="0"/>
      <w:marTop w:val="0"/>
      <w:marBottom w:val="0"/>
      <w:divBdr>
        <w:top w:val="none" w:sz="0" w:space="0" w:color="auto"/>
        <w:left w:val="none" w:sz="0" w:space="0" w:color="auto"/>
        <w:bottom w:val="none" w:sz="0" w:space="0" w:color="auto"/>
        <w:right w:val="none" w:sz="0" w:space="0" w:color="auto"/>
      </w:divBdr>
    </w:div>
    <w:div w:id="1729651671">
      <w:bodyDiv w:val="1"/>
      <w:marLeft w:val="0"/>
      <w:marRight w:val="0"/>
      <w:marTop w:val="0"/>
      <w:marBottom w:val="0"/>
      <w:divBdr>
        <w:top w:val="none" w:sz="0" w:space="0" w:color="auto"/>
        <w:left w:val="none" w:sz="0" w:space="0" w:color="auto"/>
        <w:bottom w:val="none" w:sz="0" w:space="0" w:color="auto"/>
        <w:right w:val="none" w:sz="0" w:space="0" w:color="auto"/>
      </w:divBdr>
    </w:div>
    <w:div w:id="1786465073">
      <w:bodyDiv w:val="1"/>
      <w:marLeft w:val="0"/>
      <w:marRight w:val="0"/>
      <w:marTop w:val="0"/>
      <w:marBottom w:val="0"/>
      <w:divBdr>
        <w:top w:val="none" w:sz="0" w:space="0" w:color="auto"/>
        <w:left w:val="none" w:sz="0" w:space="0" w:color="auto"/>
        <w:bottom w:val="none" w:sz="0" w:space="0" w:color="auto"/>
        <w:right w:val="none" w:sz="0" w:space="0" w:color="auto"/>
      </w:divBdr>
    </w:div>
    <w:div w:id="1856994616">
      <w:bodyDiv w:val="1"/>
      <w:marLeft w:val="0"/>
      <w:marRight w:val="0"/>
      <w:marTop w:val="0"/>
      <w:marBottom w:val="0"/>
      <w:divBdr>
        <w:top w:val="none" w:sz="0" w:space="0" w:color="auto"/>
        <w:left w:val="none" w:sz="0" w:space="0" w:color="auto"/>
        <w:bottom w:val="none" w:sz="0" w:space="0" w:color="auto"/>
        <w:right w:val="none" w:sz="0" w:space="0" w:color="auto"/>
      </w:divBdr>
    </w:div>
    <w:div w:id="1964920853">
      <w:bodyDiv w:val="1"/>
      <w:marLeft w:val="0"/>
      <w:marRight w:val="0"/>
      <w:marTop w:val="0"/>
      <w:marBottom w:val="0"/>
      <w:divBdr>
        <w:top w:val="none" w:sz="0" w:space="0" w:color="auto"/>
        <w:left w:val="none" w:sz="0" w:space="0" w:color="auto"/>
        <w:bottom w:val="none" w:sz="0" w:space="0" w:color="auto"/>
        <w:right w:val="none" w:sz="0" w:space="0" w:color="auto"/>
      </w:divBdr>
    </w:div>
    <w:div w:id="1998026293">
      <w:bodyDiv w:val="1"/>
      <w:marLeft w:val="0"/>
      <w:marRight w:val="0"/>
      <w:marTop w:val="0"/>
      <w:marBottom w:val="0"/>
      <w:divBdr>
        <w:top w:val="none" w:sz="0" w:space="0" w:color="auto"/>
        <w:left w:val="none" w:sz="0" w:space="0" w:color="auto"/>
        <w:bottom w:val="none" w:sz="0" w:space="0" w:color="auto"/>
        <w:right w:val="none" w:sz="0" w:space="0" w:color="auto"/>
      </w:divBdr>
    </w:div>
    <w:div w:id="2026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84C0-57E0-46DE-92CB-9FE04A6E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guoshaolian</cp:lastModifiedBy>
  <cp:revision>9</cp:revision>
  <dcterms:created xsi:type="dcterms:W3CDTF">2015-01-15T09:05:00Z</dcterms:created>
  <dcterms:modified xsi:type="dcterms:W3CDTF">2015-01-16T06:11:00Z</dcterms:modified>
</cp:coreProperties>
</file>