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000" w:rsidRPr="00FC54FE" w:rsidRDefault="00E00D7B" w:rsidP="00B10000">
      <w:pPr>
        <w:widowControl/>
        <w:spacing w:after="120" w:line="240" w:lineRule="exact"/>
        <w:ind w:left="3430"/>
        <w:rPr>
          <w:rFonts w:ascii="楷体" w:eastAsia="楷体" w:hAnsi="楷体" w:cs="Times New Roman"/>
          <w:b/>
          <w:bCs/>
          <w:color w:val="0070C0"/>
          <w:kern w:val="0"/>
          <w:sz w:val="24"/>
          <w:szCs w:val="20"/>
          <w:lang w:val="en-GB"/>
        </w:rPr>
      </w:pPr>
      <w:r>
        <w:rPr>
          <w:rFonts w:ascii="楷体" w:eastAsia="楷体" w:hAnsi="楷体" w:cs="Times New Roman"/>
          <w:b/>
          <w:bCs/>
          <w:noProof/>
          <w:color w:val="0070C0"/>
          <w:kern w:val="0"/>
          <w:sz w:val="24"/>
          <w:szCs w:val="20"/>
        </w:rPr>
        <w:pict>
          <v:shapetype id="_x0000_t202" coordsize="21600,21600" o:spt="202" path="m,l,21600r21600,l21600,xe">
            <v:stroke joinstyle="miter"/>
            <v:path gradientshapeok="t" o:connecttype="rect"/>
          </v:shapetype>
          <v:shape id="_x0000_s1026" type="#_x0000_t202" style="position:absolute;left:0;text-align:left;margin-left:1.5pt;margin-top:284.2pt;width:148.5pt;height:275.6pt;z-index:251658240;mso-width-relative:margin;mso-height-relative:margin" strokecolor="white [3212]" strokeweight="0">
            <v:stroke dashstyle="1 1" endcap="round"/>
            <v:textbox style="mso-next-textbox:#_x0000_s1026">
              <w:txbxContent>
                <w:p w:rsidR="00726B80" w:rsidRPr="00635482" w:rsidRDefault="00726B80" w:rsidP="00DE2D65">
                  <w:pPr>
                    <w:rPr>
                      <w:rFonts w:ascii="楷体" w:eastAsia="楷体" w:hAnsi="楷体"/>
                      <w:b/>
                      <w:lang w:val="en-GB"/>
                    </w:rPr>
                  </w:pPr>
                  <w:r w:rsidRPr="00635482">
                    <w:rPr>
                      <w:rFonts w:ascii="楷体" w:eastAsia="楷体" w:hAnsi="楷体"/>
                      <w:b/>
                      <w:lang w:val="en-GB"/>
                    </w:rPr>
                    <w:t>凯石工场移动平台</w:t>
                  </w:r>
                  <w:r w:rsidRPr="00635482">
                    <w:rPr>
                      <w:rFonts w:ascii="楷体" w:eastAsia="楷体" w:hAnsi="楷体" w:hint="eastAsia"/>
                      <w:b/>
                      <w:lang w:val="en-GB"/>
                    </w:rPr>
                    <w:t>：</w:t>
                  </w:r>
                </w:p>
                <w:p w:rsidR="00726B80" w:rsidRPr="00635482" w:rsidRDefault="00726B80" w:rsidP="00DE2D65">
                  <w:pPr>
                    <w:rPr>
                      <w:rFonts w:ascii="楷体" w:eastAsia="楷体" w:hAnsi="楷体"/>
                      <w:lang w:val="en-GB"/>
                    </w:rPr>
                  </w:pPr>
                </w:p>
                <w:p w:rsidR="00726B80" w:rsidRPr="00635482" w:rsidRDefault="00726B80" w:rsidP="00DE2D65">
                  <w:r w:rsidRPr="00635482">
                    <w:rPr>
                      <w:rFonts w:ascii="楷体" w:eastAsia="楷体" w:hAnsi="楷体" w:hint="eastAsia"/>
                      <w:lang w:val="en-GB"/>
                    </w:rPr>
                    <w:t>官方微博：</w:t>
                  </w:r>
                </w:p>
                <w:p w:rsidR="00726B80" w:rsidRPr="00635482" w:rsidRDefault="00726B80" w:rsidP="00DE2D65">
                  <w:pPr>
                    <w:rPr>
                      <w:rFonts w:ascii="楷体" w:eastAsia="楷体" w:hAnsi="楷体"/>
                      <w:lang w:val="en-GB"/>
                    </w:rPr>
                  </w:pPr>
                  <w:r w:rsidRPr="00635482">
                    <w:rPr>
                      <w:rFonts w:ascii="楷体" w:eastAsia="楷体" w:hAnsi="楷体" w:hint="eastAsia"/>
                      <w:lang w:val="en-GB"/>
                    </w:rPr>
                    <w:t>凯石财富工场</w:t>
                  </w:r>
                </w:p>
                <w:p w:rsidR="00726B80" w:rsidRDefault="00726B80" w:rsidP="00DE2D65">
                  <w:r>
                    <w:rPr>
                      <w:rFonts w:hint="eastAsia"/>
                      <w:noProof/>
                    </w:rPr>
                    <w:drawing>
                      <wp:inline distT="0" distB="0" distL="0" distR="0">
                        <wp:extent cx="933450" cy="933450"/>
                        <wp:effectExtent l="19050" t="0" r="0" b="0"/>
                        <wp:docPr id="4" name="图片 5" descr="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jpg"/>
                                <pic:cNvPicPr/>
                              </pic:nvPicPr>
                              <pic:blipFill>
                                <a:blip r:embed="rId8"/>
                                <a:stretch>
                                  <a:fillRect/>
                                </a:stretch>
                              </pic:blipFill>
                              <pic:spPr>
                                <a:xfrm>
                                  <a:off x="0" y="0"/>
                                  <a:ext cx="933450" cy="933450"/>
                                </a:xfrm>
                                <a:prstGeom prst="rect">
                                  <a:avLst/>
                                </a:prstGeom>
                              </pic:spPr>
                            </pic:pic>
                          </a:graphicData>
                        </a:graphic>
                      </wp:inline>
                    </w:drawing>
                  </w:r>
                </w:p>
                <w:p w:rsidR="00726B80" w:rsidRDefault="00726B80" w:rsidP="00DE2D65">
                  <w:pPr>
                    <w:rPr>
                      <w:rFonts w:ascii="楷体" w:eastAsia="楷体" w:hAnsi="楷体"/>
                      <w:b/>
                      <w:lang w:val="en-GB"/>
                    </w:rPr>
                  </w:pPr>
                </w:p>
                <w:p w:rsidR="00726B80" w:rsidRPr="00635482" w:rsidRDefault="00726B80" w:rsidP="00DE2D65">
                  <w:pPr>
                    <w:rPr>
                      <w:rFonts w:ascii="楷体" w:eastAsia="楷体" w:hAnsi="楷体"/>
                      <w:lang w:val="en-GB"/>
                    </w:rPr>
                  </w:pPr>
                  <w:r w:rsidRPr="00635482">
                    <w:rPr>
                      <w:rFonts w:ascii="楷体" w:eastAsia="楷体" w:hAnsi="楷体" w:hint="eastAsia"/>
                      <w:lang w:val="en-GB"/>
                    </w:rPr>
                    <w:t>官方微信：</w:t>
                  </w:r>
                </w:p>
                <w:p w:rsidR="00726B80" w:rsidRPr="00635482" w:rsidRDefault="00726B80" w:rsidP="00DE2D65">
                  <w:pPr>
                    <w:rPr>
                      <w:rFonts w:ascii="楷体" w:eastAsia="楷体" w:hAnsi="楷体"/>
                      <w:lang w:val="en-GB"/>
                    </w:rPr>
                  </w:pPr>
                  <w:r w:rsidRPr="00635482">
                    <w:rPr>
                      <w:rFonts w:ascii="楷体" w:eastAsia="楷体" w:hAnsi="楷体" w:hint="eastAsia"/>
                      <w:lang w:val="en-GB"/>
                    </w:rPr>
                    <w:t>凯石财富知音订阅号</w:t>
                  </w:r>
                </w:p>
                <w:p w:rsidR="00726B80" w:rsidRDefault="00726B80" w:rsidP="00DE2D65">
                  <w:r w:rsidRPr="00635482">
                    <w:rPr>
                      <w:rFonts w:ascii="楷体" w:eastAsia="楷体" w:hAnsi="楷体"/>
                      <w:b/>
                      <w:noProof/>
                    </w:rPr>
                    <w:drawing>
                      <wp:inline distT="0" distB="0" distL="0" distR="0">
                        <wp:extent cx="952500" cy="952500"/>
                        <wp:effectExtent l="19050" t="0" r="0" b="0"/>
                        <wp:docPr id="6" name="图片 7" descr="凯石财富知音订阅号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凯石财富知音订阅号3.jpg"/>
                                <pic:cNvPicPr/>
                              </pic:nvPicPr>
                              <pic:blipFill>
                                <a:blip r:embed="rId9" cstate="print"/>
                                <a:stretch>
                                  <a:fillRect/>
                                </a:stretch>
                              </pic:blipFill>
                              <pic:spPr>
                                <a:xfrm>
                                  <a:off x="0" y="0"/>
                                  <a:ext cx="952500" cy="952500"/>
                                </a:xfrm>
                                <a:prstGeom prst="rect">
                                  <a:avLst/>
                                </a:prstGeom>
                              </pic:spPr>
                            </pic:pic>
                          </a:graphicData>
                        </a:graphic>
                      </wp:inline>
                    </w:drawing>
                  </w:r>
                </w:p>
              </w:txbxContent>
            </v:textbox>
          </v:shape>
        </w:pict>
      </w:r>
      <w:r w:rsidR="00A70401" w:rsidRPr="00FC54FE">
        <w:rPr>
          <w:rFonts w:ascii="楷体" w:eastAsia="楷体" w:hAnsi="楷体" w:cs="Times New Roman" w:hint="eastAsia"/>
          <w:b/>
          <w:bCs/>
          <w:color w:val="0070C0"/>
          <w:kern w:val="0"/>
          <w:sz w:val="24"/>
          <w:szCs w:val="20"/>
          <w:lang w:val="en-GB"/>
        </w:rPr>
        <w:t>导语</w:t>
      </w:r>
    </w:p>
    <w:p w:rsidR="00403507" w:rsidRDefault="00905BAC" w:rsidP="00403507">
      <w:pPr>
        <w:pStyle w:val="ab"/>
        <w:spacing w:after="163"/>
        <w:ind w:firstLineChars="200" w:firstLine="420"/>
      </w:pPr>
      <w:r w:rsidRPr="00BE4E61">
        <w:rPr>
          <w:rFonts w:hint="eastAsia"/>
        </w:rPr>
        <w:t>2015</w:t>
      </w:r>
      <w:r w:rsidRPr="00BE4E61">
        <w:rPr>
          <w:rFonts w:hint="eastAsia"/>
        </w:rPr>
        <w:t>年</w:t>
      </w:r>
      <w:r>
        <w:rPr>
          <w:rFonts w:hint="eastAsia"/>
        </w:rPr>
        <w:t>全球经济缓慢复苏，流动性</w:t>
      </w:r>
      <w:r w:rsidR="00905F13">
        <w:rPr>
          <w:rFonts w:hint="eastAsia"/>
        </w:rPr>
        <w:t>预计</w:t>
      </w:r>
      <w:r w:rsidR="006A13B1">
        <w:rPr>
          <w:rFonts w:hint="eastAsia"/>
        </w:rPr>
        <w:t>仍较为</w:t>
      </w:r>
      <w:r>
        <w:rPr>
          <w:rFonts w:hint="eastAsia"/>
        </w:rPr>
        <w:t>充沛，美国、欧洲、新兴市场均呈机会与风险交织的局面，其中又以美联储加息预期的</w:t>
      </w:r>
      <w:r w:rsidR="006A13B1">
        <w:rPr>
          <w:rFonts w:hint="eastAsia"/>
        </w:rPr>
        <w:t>搅动因素</w:t>
      </w:r>
      <w:r>
        <w:rPr>
          <w:rFonts w:hint="eastAsia"/>
        </w:rPr>
        <w:t>为重。</w:t>
      </w:r>
      <w:r>
        <w:rPr>
          <w:rFonts w:hint="eastAsia"/>
        </w:rPr>
        <w:t>2015</w:t>
      </w:r>
      <w:r>
        <w:rPr>
          <w:rFonts w:hint="eastAsia"/>
        </w:rPr>
        <w:t>年</w:t>
      </w:r>
      <w:r w:rsidRPr="00453CB6">
        <w:rPr>
          <w:rFonts w:hint="eastAsia"/>
        </w:rPr>
        <w:t>上半年</w:t>
      </w:r>
      <w:r>
        <w:rPr>
          <w:rFonts w:hint="eastAsia"/>
        </w:rPr>
        <w:t>将</w:t>
      </w:r>
      <w:r w:rsidRPr="00453CB6">
        <w:rPr>
          <w:rFonts w:hint="eastAsia"/>
        </w:rPr>
        <w:t>是海外</w:t>
      </w:r>
      <w:r>
        <w:rPr>
          <w:rFonts w:hint="eastAsia"/>
        </w:rPr>
        <w:t>市场</w:t>
      </w:r>
      <w:r w:rsidRPr="00453CB6">
        <w:rPr>
          <w:rFonts w:hint="eastAsia"/>
        </w:rPr>
        <w:t>不确定性较强的时间阶段，</w:t>
      </w:r>
      <w:r>
        <w:rPr>
          <w:rFonts w:hint="eastAsia"/>
        </w:rPr>
        <w:t>至</w:t>
      </w:r>
      <w:r w:rsidRPr="00453CB6">
        <w:rPr>
          <w:rFonts w:hint="eastAsia"/>
        </w:rPr>
        <w:t>下半年</w:t>
      </w:r>
      <w:r w:rsidR="006A13B1">
        <w:rPr>
          <w:rFonts w:hint="eastAsia"/>
        </w:rPr>
        <w:t>若加息预期兑现方可将波动风险</w:t>
      </w:r>
      <w:r w:rsidRPr="00453CB6">
        <w:rPr>
          <w:rFonts w:hint="eastAsia"/>
        </w:rPr>
        <w:t>降低。</w:t>
      </w:r>
      <w:r>
        <w:rPr>
          <w:rFonts w:hint="eastAsia"/>
        </w:rPr>
        <w:t>从</w:t>
      </w:r>
      <w:r>
        <w:rPr>
          <w:rFonts w:hint="eastAsia"/>
        </w:rPr>
        <w:t>QDII</w:t>
      </w:r>
      <w:r>
        <w:rPr>
          <w:rFonts w:hint="eastAsia"/>
        </w:rPr>
        <w:t>基金的配置角度，我们建议投资者在</w:t>
      </w:r>
      <w:r>
        <w:rPr>
          <w:rFonts w:hint="eastAsia"/>
        </w:rPr>
        <w:t>2015</w:t>
      </w:r>
      <w:r>
        <w:rPr>
          <w:rFonts w:hint="eastAsia"/>
        </w:rPr>
        <w:t>年一季度，将防范风险、分散投资放在首位，适度降低美国市场相关基金的比重，同时进一步提升对港股品种的配比至基金组合</w:t>
      </w:r>
      <w:r w:rsidR="006A13B1">
        <w:rPr>
          <w:rFonts w:hint="eastAsia"/>
        </w:rPr>
        <w:t>的</w:t>
      </w:r>
      <w:r>
        <w:rPr>
          <w:rFonts w:hint="eastAsia"/>
        </w:rPr>
        <w:t>核心地位，力求准确把握香港市场</w:t>
      </w:r>
      <w:r>
        <w:rPr>
          <w:rFonts w:hint="eastAsia"/>
        </w:rPr>
        <w:t>2015</w:t>
      </w:r>
      <w:r>
        <w:rPr>
          <w:rFonts w:hint="eastAsia"/>
        </w:rPr>
        <w:t>年初的阶段性机遇。</w:t>
      </w:r>
    </w:p>
    <w:p w:rsidR="00905BAC" w:rsidRPr="00636233" w:rsidRDefault="00905BAC" w:rsidP="00403507">
      <w:pPr>
        <w:pStyle w:val="ab"/>
        <w:spacing w:after="163"/>
        <w:ind w:firstLineChars="200" w:firstLine="420"/>
        <w:rPr>
          <w:rFonts w:eastAsia="楷体" w:hAnsi="楷体" w:cs="Arial"/>
        </w:rPr>
      </w:pPr>
      <w:r>
        <w:rPr>
          <w:rFonts w:hint="eastAsia"/>
        </w:rPr>
        <w:t>建议关注基金包括：</w:t>
      </w:r>
      <w:r>
        <w:rPr>
          <w:rFonts w:hint="eastAsia"/>
          <w:szCs w:val="21"/>
          <w:lang w:val="en-US"/>
        </w:rPr>
        <w:t>港股品种中主动选股能力较强的富国中国中小盘，跟踪恒生指数与恒生国企指数的</w:t>
      </w:r>
      <w:r w:rsidRPr="009229BD">
        <w:rPr>
          <w:rFonts w:hint="eastAsia"/>
          <w:szCs w:val="21"/>
          <w:lang w:val="en-US"/>
        </w:rPr>
        <w:t>华夏恒生</w:t>
      </w:r>
      <w:r w:rsidRPr="009229BD">
        <w:rPr>
          <w:szCs w:val="21"/>
          <w:lang w:val="en-US"/>
        </w:rPr>
        <w:t>ETF</w:t>
      </w:r>
      <w:r>
        <w:rPr>
          <w:szCs w:val="21"/>
          <w:lang w:val="en-US"/>
        </w:rPr>
        <w:t>、</w:t>
      </w:r>
      <w:r w:rsidRPr="009229BD">
        <w:rPr>
          <w:rFonts w:hint="eastAsia"/>
          <w:szCs w:val="21"/>
          <w:lang w:val="en-US"/>
        </w:rPr>
        <w:t>嘉实恒生中国企业</w:t>
      </w:r>
      <w:r>
        <w:rPr>
          <w:rFonts w:hint="eastAsia"/>
          <w:szCs w:val="21"/>
          <w:lang w:val="en-US"/>
        </w:rPr>
        <w:t>，以及投资范围分散于亚太多地区的博时大中华亚太精选。美股类别中</w:t>
      </w:r>
      <w:r>
        <w:rPr>
          <w:rFonts w:hint="eastAsia"/>
        </w:rPr>
        <w:t>鉴于成长性极佳的</w:t>
      </w:r>
      <w:r>
        <w:rPr>
          <w:rFonts w:eastAsia="楷体" w:cs="Arial" w:hint="eastAsia"/>
        </w:rPr>
        <w:t>科技股</w:t>
      </w:r>
      <w:r w:rsidRPr="00E21F26">
        <w:rPr>
          <w:rFonts w:eastAsia="楷体" w:cs="Arial" w:hint="eastAsia"/>
        </w:rPr>
        <w:t>有盈利支撑</w:t>
      </w:r>
      <w:r>
        <w:rPr>
          <w:rFonts w:eastAsia="楷体" w:cs="Arial" w:hint="eastAsia"/>
        </w:rPr>
        <w:t>、房地产板块复苏较为明确，可保留</w:t>
      </w:r>
      <w:r w:rsidRPr="00636233">
        <w:rPr>
          <w:rFonts w:eastAsia="楷体" w:hAnsi="楷体" w:cs="Arial" w:hint="eastAsia"/>
        </w:rPr>
        <w:t>国泰纳斯达克</w:t>
      </w:r>
      <w:r w:rsidRPr="00636233">
        <w:rPr>
          <w:rFonts w:eastAsia="楷体" w:hAnsi="楷体" w:cs="Arial" w:hint="eastAsia"/>
        </w:rPr>
        <w:t>100</w:t>
      </w:r>
      <w:r>
        <w:rPr>
          <w:rFonts w:eastAsia="楷体" w:hAnsi="楷体" w:cs="Arial" w:hint="eastAsia"/>
        </w:rPr>
        <w:t>指数基金</w:t>
      </w:r>
      <w:r w:rsidRPr="00636233">
        <w:rPr>
          <w:rFonts w:eastAsia="楷体" w:hAnsi="楷体" w:cs="Arial" w:hint="eastAsia"/>
        </w:rPr>
        <w:t>、鹏华</w:t>
      </w:r>
      <w:r>
        <w:rPr>
          <w:rFonts w:eastAsia="楷体" w:hAnsi="楷体" w:cs="Arial" w:hint="eastAsia"/>
        </w:rPr>
        <w:t>美国房地产基金。</w:t>
      </w:r>
    </w:p>
    <w:p w:rsidR="00330DE1" w:rsidRDefault="00330DE1" w:rsidP="00403507">
      <w:pPr>
        <w:widowControl/>
        <w:spacing w:after="120" w:line="240" w:lineRule="exact"/>
        <w:ind w:left="3430"/>
        <w:rPr>
          <w:rFonts w:ascii="楷体" w:eastAsia="楷体" w:hAnsi="楷体" w:cs="Times New Roman"/>
          <w:b/>
          <w:bCs/>
          <w:color w:val="0070C0"/>
          <w:kern w:val="0"/>
          <w:sz w:val="24"/>
          <w:szCs w:val="20"/>
          <w:lang w:val="en-GB"/>
        </w:rPr>
      </w:pPr>
      <w:r>
        <w:rPr>
          <w:rFonts w:ascii="楷体" w:eastAsia="楷体" w:hAnsi="楷体" w:cs="Times New Roman" w:hint="eastAsia"/>
          <w:b/>
          <w:bCs/>
          <w:color w:val="0070C0"/>
          <w:kern w:val="0"/>
          <w:sz w:val="24"/>
          <w:szCs w:val="20"/>
          <w:lang w:val="en-GB"/>
        </w:rPr>
        <w:t>一、QDII基金</w:t>
      </w:r>
      <w:r w:rsidR="00A002A1">
        <w:rPr>
          <w:rFonts w:ascii="楷体" w:eastAsia="楷体" w:hAnsi="楷体" w:cs="Times New Roman" w:hint="eastAsia"/>
          <w:b/>
          <w:bCs/>
          <w:color w:val="0070C0"/>
          <w:kern w:val="0"/>
          <w:sz w:val="24"/>
          <w:szCs w:val="20"/>
          <w:lang w:val="en-GB"/>
        </w:rPr>
        <w:t>2014年度</w:t>
      </w:r>
      <w:r>
        <w:rPr>
          <w:rFonts w:ascii="楷体" w:eastAsia="楷体" w:hAnsi="楷体" w:cs="Times New Roman" w:hint="eastAsia"/>
          <w:b/>
          <w:bCs/>
          <w:color w:val="0070C0"/>
          <w:kern w:val="0"/>
          <w:sz w:val="24"/>
          <w:szCs w:val="20"/>
          <w:lang w:val="en-GB"/>
        </w:rPr>
        <w:t>收益情况</w:t>
      </w:r>
    </w:p>
    <w:p w:rsidR="00330DE1" w:rsidRDefault="006A13B1" w:rsidP="00900D47">
      <w:pPr>
        <w:pStyle w:val="ab"/>
        <w:tabs>
          <w:tab w:val="left" w:pos="5250"/>
        </w:tabs>
        <w:spacing w:after="163"/>
        <w:rPr>
          <w:rFonts w:ascii="楷体" w:eastAsia="楷体" w:hAnsi="楷体"/>
        </w:rPr>
      </w:pPr>
      <w:r>
        <w:rPr>
          <w:rFonts w:ascii="楷体" w:eastAsia="楷体" w:hAnsi="楷体" w:hint="eastAsia"/>
          <w:b/>
          <w:bCs/>
          <w:color w:val="0070C0"/>
          <w:szCs w:val="21"/>
        </w:rPr>
        <w:t>“美股美房”大丰收，商品基金</w:t>
      </w:r>
      <w:r w:rsidR="00DF7B64">
        <w:rPr>
          <w:rFonts w:ascii="楷体" w:eastAsia="楷体" w:hAnsi="楷体" w:hint="eastAsia"/>
          <w:b/>
          <w:bCs/>
          <w:color w:val="0070C0"/>
          <w:szCs w:val="21"/>
        </w:rPr>
        <w:t>遭重挫</w:t>
      </w:r>
    </w:p>
    <w:p w:rsidR="00997676" w:rsidRPr="00997676" w:rsidRDefault="00997676" w:rsidP="00900D47">
      <w:pPr>
        <w:pStyle w:val="ab"/>
        <w:numPr>
          <w:ilvl w:val="4"/>
          <w:numId w:val="1"/>
        </w:numPr>
        <w:tabs>
          <w:tab w:val="left" w:pos="5250"/>
        </w:tabs>
        <w:spacing w:after="163"/>
        <w:rPr>
          <w:rFonts w:eastAsia="楷体" w:cs="Arial"/>
        </w:rPr>
      </w:pPr>
      <w:r>
        <w:rPr>
          <w:rFonts w:hint="eastAsia"/>
          <w:szCs w:val="21"/>
        </w:rPr>
        <w:t>回顾</w:t>
      </w:r>
      <w:r>
        <w:rPr>
          <w:rFonts w:hint="eastAsia"/>
          <w:szCs w:val="21"/>
        </w:rPr>
        <w:t>2014</w:t>
      </w:r>
      <w:r w:rsidRPr="00A82B6E">
        <w:rPr>
          <w:rFonts w:hint="eastAsia"/>
          <w:szCs w:val="21"/>
        </w:rPr>
        <w:t>年，</w:t>
      </w:r>
      <w:r w:rsidR="00254208">
        <w:rPr>
          <w:rFonts w:hint="eastAsia"/>
          <w:szCs w:val="21"/>
        </w:rPr>
        <w:t>全球股市分化加剧</w:t>
      </w:r>
      <w:r w:rsidRPr="004B6988">
        <w:rPr>
          <w:rFonts w:hint="eastAsia"/>
          <w:szCs w:val="21"/>
        </w:rPr>
        <w:t>。</w:t>
      </w:r>
      <w:r>
        <w:rPr>
          <w:rFonts w:hint="eastAsia"/>
          <w:szCs w:val="21"/>
        </w:rPr>
        <w:t>纳斯达克</w:t>
      </w:r>
      <w:r>
        <w:rPr>
          <w:rFonts w:hint="eastAsia"/>
          <w:szCs w:val="21"/>
        </w:rPr>
        <w:t>100</w:t>
      </w:r>
      <w:r>
        <w:rPr>
          <w:rFonts w:hint="eastAsia"/>
          <w:szCs w:val="21"/>
        </w:rPr>
        <w:t>与</w:t>
      </w:r>
      <w:r w:rsidRPr="004B6988">
        <w:rPr>
          <w:rFonts w:hint="eastAsia"/>
          <w:szCs w:val="21"/>
        </w:rPr>
        <w:t>标普</w:t>
      </w:r>
      <w:r w:rsidRPr="004B6988">
        <w:rPr>
          <w:rFonts w:hint="eastAsia"/>
          <w:szCs w:val="21"/>
        </w:rPr>
        <w:t>500</w:t>
      </w:r>
      <w:r w:rsidRPr="004B6988">
        <w:rPr>
          <w:rFonts w:hint="eastAsia"/>
          <w:szCs w:val="21"/>
        </w:rPr>
        <w:t>今年涨幅</w:t>
      </w:r>
      <w:r>
        <w:rPr>
          <w:rFonts w:hint="eastAsia"/>
          <w:szCs w:val="21"/>
        </w:rPr>
        <w:t>分别达到</w:t>
      </w:r>
      <w:r>
        <w:rPr>
          <w:rFonts w:hint="eastAsia"/>
          <w:szCs w:val="21"/>
        </w:rPr>
        <w:t>19.2</w:t>
      </w:r>
      <w:r w:rsidR="00254208">
        <w:rPr>
          <w:rFonts w:hint="eastAsia"/>
          <w:szCs w:val="21"/>
        </w:rPr>
        <w:t>4</w:t>
      </w:r>
      <w:r>
        <w:rPr>
          <w:rFonts w:hint="eastAsia"/>
          <w:szCs w:val="21"/>
        </w:rPr>
        <w:t>%</w:t>
      </w:r>
      <w:r>
        <w:rPr>
          <w:rFonts w:hint="eastAsia"/>
          <w:szCs w:val="21"/>
        </w:rPr>
        <w:t>和</w:t>
      </w:r>
      <w:r w:rsidRPr="004B6988">
        <w:rPr>
          <w:rFonts w:hint="eastAsia"/>
          <w:szCs w:val="21"/>
        </w:rPr>
        <w:t>1</w:t>
      </w:r>
      <w:r w:rsidR="00254208">
        <w:rPr>
          <w:rFonts w:hint="eastAsia"/>
          <w:szCs w:val="21"/>
        </w:rPr>
        <w:t>2.63</w:t>
      </w:r>
      <w:r w:rsidRPr="004B6988">
        <w:rPr>
          <w:rFonts w:hint="eastAsia"/>
          <w:szCs w:val="21"/>
        </w:rPr>
        <w:t>%</w:t>
      </w:r>
      <w:r>
        <w:rPr>
          <w:rFonts w:hint="eastAsia"/>
          <w:szCs w:val="21"/>
        </w:rPr>
        <w:t>，</w:t>
      </w:r>
      <w:r w:rsidRPr="004B6988">
        <w:rPr>
          <w:rFonts w:hint="eastAsia"/>
          <w:szCs w:val="21"/>
        </w:rPr>
        <w:t>好于</w:t>
      </w:r>
      <w:r w:rsidR="004D355E" w:rsidRPr="004B6988">
        <w:rPr>
          <w:rFonts w:hint="eastAsia"/>
          <w:szCs w:val="21"/>
        </w:rPr>
        <w:t>欧洲</w:t>
      </w:r>
      <w:r w:rsidR="004D355E" w:rsidRPr="004B6988">
        <w:rPr>
          <w:rFonts w:hint="eastAsia"/>
          <w:szCs w:val="21"/>
        </w:rPr>
        <w:t>STOXX</w:t>
      </w:r>
      <w:r w:rsidR="004D355E">
        <w:rPr>
          <w:rFonts w:hint="eastAsia"/>
          <w:szCs w:val="21"/>
        </w:rPr>
        <w:t>50</w:t>
      </w:r>
      <w:r w:rsidR="004D355E">
        <w:rPr>
          <w:rFonts w:hint="eastAsia"/>
          <w:szCs w:val="21"/>
        </w:rPr>
        <w:t>（</w:t>
      </w:r>
      <w:r w:rsidR="004D355E">
        <w:rPr>
          <w:rFonts w:hint="eastAsia"/>
          <w:szCs w:val="21"/>
        </w:rPr>
        <w:t>3.81%</w:t>
      </w:r>
      <w:r w:rsidR="004D355E">
        <w:rPr>
          <w:rFonts w:hint="eastAsia"/>
          <w:szCs w:val="21"/>
        </w:rPr>
        <w:t>）、</w:t>
      </w:r>
      <w:r w:rsidRPr="004B6988">
        <w:rPr>
          <w:rFonts w:hint="eastAsia"/>
          <w:szCs w:val="21"/>
        </w:rPr>
        <w:t>日经</w:t>
      </w:r>
      <w:r w:rsidRPr="004B6988">
        <w:rPr>
          <w:rFonts w:hint="eastAsia"/>
          <w:szCs w:val="21"/>
        </w:rPr>
        <w:t>225</w:t>
      </w:r>
      <w:r>
        <w:rPr>
          <w:rFonts w:hint="eastAsia"/>
          <w:szCs w:val="21"/>
        </w:rPr>
        <w:t>（</w:t>
      </w:r>
      <w:r w:rsidR="00254208">
        <w:rPr>
          <w:rFonts w:hint="eastAsia"/>
          <w:szCs w:val="21"/>
        </w:rPr>
        <w:t>9</w:t>
      </w:r>
      <w:r>
        <w:rPr>
          <w:rFonts w:hint="eastAsia"/>
          <w:szCs w:val="21"/>
        </w:rPr>
        <w:t>.</w:t>
      </w:r>
      <w:r w:rsidR="00254208">
        <w:rPr>
          <w:rFonts w:hint="eastAsia"/>
          <w:szCs w:val="21"/>
        </w:rPr>
        <w:t>3</w:t>
      </w:r>
      <w:r>
        <w:rPr>
          <w:rFonts w:hint="eastAsia"/>
          <w:szCs w:val="21"/>
        </w:rPr>
        <w:t>1%</w:t>
      </w:r>
      <w:r>
        <w:rPr>
          <w:rFonts w:hint="eastAsia"/>
          <w:szCs w:val="21"/>
        </w:rPr>
        <w:t>）</w:t>
      </w:r>
      <w:r w:rsidRPr="004B6988">
        <w:rPr>
          <w:rFonts w:hint="eastAsia"/>
          <w:szCs w:val="21"/>
        </w:rPr>
        <w:t>和</w:t>
      </w:r>
      <w:r w:rsidR="00254208">
        <w:rPr>
          <w:rFonts w:hint="eastAsia"/>
          <w:szCs w:val="21"/>
        </w:rPr>
        <w:t>恒生指数（</w:t>
      </w:r>
      <w:r w:rsidR="008B5DAE">
        <w:rPr>
          <w:rFonts w:hint="eastAsia"/>
          <w:szCs w:val="21"/>
        </w:rPr>
        <w:t>0.18%</w:t>
      </w:r>
      <w:r w:rsidR="00254208">
        <w:rPr>
          <w:rFonts w:hint="eastAsia"/>
          <w:szCs w:val="21"/>
        </w:rPr>
        <w:t>）</w:t>
      </w:r>
      <w:r w:rsidR="004D355E">
        <w:rPr>
          <w:rFonts w:hint="eastAsia"/>
          <w:szCs w:val="21"/>
        </w:rPr>
        <w:t>。</w:t>
      </w:r>
      <w:r>
        <w:rPr>
          <w:rFonts w:hint="eastAsia"/>
          <w:szCs w:val="21"/>
        </w:rPr>
        <w:t>美国继续</w:t>
      </w:r>
      <w:r w:rsidRPr="00723F6D">
        <w:rPr>
          <w:rFonts w:hint="eastAsia"/>
          <w:szCs w:val="21"/>
        </w:rPr>
        <w:t>成为全球表现最好的</w:t>
      </w:r>
      <w:r>
        <w:rPr>
          <w:rFonts w:hint="eastAsia"/>
          <w:szCs w:val="21"/>
        </w:rPr>
        <w:t>成熟</w:t>
      </w:r>
      <w:r w:rsidRPr="00723F6D">
        <w:rPr>
          <w:rFonts w:hint="eastAsia"/>
          <w:szCs w:val="21"/>
        </w:rPr>
        <w:t>市场</w:t>
      </w:r>
      <w:r w:rsidR="00B34EB8">
        <w:rPr>
          <w:rFonts w:hint="eastAsia"/>
          <w:szCs w:val="21"/>
        </w:rPr>
        <w:t>，</w:t>
      </w:r>
      <w:r w:rsidR="00440A5B">
        <w:rPr>
          <w:rFonts w:eastAsia="楷体" w:cs="Arial" w:hint="eastAsia"/>
        </w:rPr>
        <w:t>欧洲市场受制于通缩和经济压力而反弹幅度有限，亚太及新兴市场基本企稳回升</w:t>
      </w:r>
      <w:r w:rsidR="00440A5B" w:rsidRPr="00864263">
        <w:rPr>
          <w:rFonts w:eastAsia="楷体" w:cs="Arial" w:hint="eastAsia"/>
        </w:rPr>
        <w:t>，</w:t>
      </w:r>
      <w:r w:rsidR="00440A5B">
        <w:rPr>
          <w:rFonts w:hint="eastAsia"/>
          <w:szCs w:val="21"/>
        </w:rPr>
        <w:t>其中</w:t>
      </w:r>
      <w:r w:rsidRPr="00723F6D">
        <w:rPr>
          <w:rFonts w:hint="eastAsia"/>
          <w:szCs w:val="21"/>
        </w:rPr>
        <w:t>港股</w:t>
      </w:r>
      <w:r w:rsidR="00E129B0">
        <w:rPr>
          <w:rFonts w:hint="eastAsia"/>
          <w:szCs w:val="21"/>
        </w:rPr>
        <w:t>略显尴尬——</w:t>
      </w:r>
      <w:r>
        <w:rPr>
          <w:rFonts w:hint="eastAsia"/>
          <w:szCs w:val="21"/>
        </w:rPr>
        <w:t>由于受到“占中”等事件性影响，恒生指数</w:t>
      </w:r>
      <w:r w:rsidR="00B34EB8">
        <w:rPr>
          <w:rFonts w:hint="eastAsia"/>
          <w:szCs w:val="21"/>
        </w:rPr>
        <w:t>既没有与稳健的美股走势相关，也没有与四季度蓝筹</w:t>
      </w:r>
      <w:r>
        <w:rPr>
          <w:rFonts w:hint="eastAsia"/>
          <w:szCs w:val="21"/>
        </w:rPr>
        <w:t>逆袭的</w:t>
      </w:r>
      <w:r>
        <w:rPr>
          <w:rFonts w:hint="eastAsia"/>
          <w:szCs w:val="21"/>
        </w:rPr>
        <w:t>A</w:t>
      </w:r>
      <w:r>
        <w:rPr>
          <w:rFonts w:hint="eastAsia"/>
          <w:szCs w:val="21"/>
        </w:rPr>
        <w:t>股形成共振</w:t>
      </w:r>
      <w:r w:rsidR="00B34EB8">
        <w:rPr>
          <w:rFonts w:hint="eastAsia"/>
          <w:szCs w:val="21"/>
        </w:rPr>
        <w:t>。</w:t>
      </w:r>
      <w:r w:rsidR="00440A5B" w:rsidRPr="00864263">
        <w:rPr>
          <w:rFonts w:eastAsia="楷体" w:cs="Arial" w:hint="eastAsia"/>
        </w:rPr>
        <w:t>大宗商品方面，</w:t>
      </w:r>
      <w:r w:rsidR="00440A5B">
        <w:rPr>
          <w:rFonts w:eastAsia="楷体" w:cs="Arial" w:hint="eastAsia"/>
        </w:rPr>
        <w:t>经济基本面支持</w:t>
      </w:r>
      <w:r w:rsidR="00440A5B" w:rsidRPr="00864263">
        <w:rPr>
          <w:rFonts w:eastAsia="楷体" w:cs="Arial" w:hint="eastAsia"/>
        </w:rPr>
        <w:t>美元强势导致黄金等贵金属价格</w:t>
      </w:r>
      <w:r w:rsidR="00440A5B">
        <w:rPr>
          <w:rFonts w:eastAsia="楷体" w:cs="Arial" w:hint="eastAsia"/>
        </w:rPr>
        <w:t>大幅波动</w:t>
      </w:r>
      <w:r w:rsidR="00440A5B" w:rsidRPr="00864263">
        <w:rPr>
          <w:rFonts w:eastAsia="楷体" w:cs="Arial" w:hint="eastAsia"/>
        </w:rPr>
        <w:t>，沙特原油</w:t>
      </w:r>
      <w:r w:rsidR="00627255">
        <w:rPr>
          <w:rFonts w:eastAsia="楷体" w:cs="Arial" w:hint="eastAsia"/>
        </w:rPr>
        <w:t>产量</w:t>
      </w:r>
      <w:r w:rsidR="00440A5B" w:rsidRPr="00864263">
        <w:rPr>
          <w:rFonts w:eastAsia="楷体" w:cs="Arial" w:hint="eastAsia"/>
        </w:rPr>
        <w:t>增长</w:t>
      </w:r>
      <w:r w:rsidR="00627255">
        <w:rPr>
          <w:rFonts w:eastAsia="楷体" w:cs="Arial" w:hint="eastAsia"/>
        </w:rPr>
        <w:t>等原因造成</w:t>
      </w:r>
      <w:r w:rsidR="00440A5B" w:rsidRPr="00864263">
        <w:rPr>
          <w:rFonts w:eastAsia="楷体" w:cs="Arial" w:hint="eastAsia"/>
        </w:rPr>
        <w:t>能源、油气等资源品价格出现较大跌幅</w:t>
      </w:r>
      <w:r w:rsidR="00440A5B">
        <w:rPr>
          <w:rFonts w:eastAsia="楷体" w:cs="Arial" w:hint="eastAsia"/>
        </w:rPr>
        <w:t>，且</w:t>
      </w:r>
      <w:r w:rsidR="00E129B0">
        <w:rPr>
          <w:rFonts w:eastAsia="楷体" w:cs="Arial" w:hint="eastAsia"/>
        </w:rPr>
        <w:t>目前</w:t>
      </w:r>
      <w:r w:rsidR="00440A5B">
        <w:rPr>
          <w:rFonts w:eastAsia="楷体" w:cs="Arial" w:hint="eastAsia"/>
        </w:rPr>
        <w:t>尚未见到止跌企稳迹象</w:t>
      </w:r>
      <w:r w:rsidR="00440A5B" w:rsidRPr="00864263">
        <w:rPr>
          <w:rFonts w:eastAsia="楷体" w:cs="Arial" w:hint="eastAsia"/>
        </w:rPr>
        <w:t>。</w:t>
      </w:r>
    </w:p>
    <w:p w:rsidR="00330DE1" w:rsidRPr="00AC6F53" w:rsidRDefault="00627255" w:rsidP="00AC6F53">
      <w:pPr>
        <w:pStyle w:val="ab"/>
        <w:numPr>
          <w:ilvl w:val="4"/>
          <w:numId w:val="1"/>
        </w:numPr>
        <w:tabs>
          <w:tab w:val="left" w:pos="5250"/>
        </w:tabs>
        <w:spacing w:after="163"/>
        <w:rPr>
          <w:rFonts w:eastAsia="楷体" w:cs="Arial"/>
        </w:rPr>
      </w:pPr>
      <w:r>
        <w:rPr>
          <w:rFonts w:hint="eastAsia"/>
          <w:szCs w:val="21"/>
        </w:rPr>
        <w:t>QDII</w:t>
      </w:r>
      <w:r>
        <w:rPr>
          <w:rFonts w:hint="eastAsia"/>
          <w:szCs w:val="21"/>
        </w:rPr>
        <w:t>基金在</w:t>
      </w:r>
      <w:r w:rsidR="00997676" w:rsidRPr="00A82B6E">
        <w:rPr>
          <w:rFonts w:hint="eastAsia"/>
          <w:szCs w:val="21"/>
        </w:rPr>
        <w:t>201</w:t>
      </w:r>
      <w:r w:rsidR="00997676">
        <w:rPr>
          <w:rFonts w:hint="eastAsia"/>
          <w:szCs w:val="21"/>
        </w:rPr>
        <w:t>4</w:t>
      </w:r>
      <w:r w:rsidR="00997676">
        <w:rPr>
          <w:rFonts w:hint="eastAsia"/>
          <w:szCs w:val="21"/>
        </w:rPr>
        <w:t>年</w:t>
      </w:r>
      <w:r>
        <w:rPr>
          <w:rFonts w:hint="eastAsia"/>
          <w:szCs w:val="21"/>
        </w:rPr>
        <w:t>的表现同样分化明显。</w:t>
      </w:r>
      <w:r w:rsidR="00997676">
        <w:rPr>
          <w:rFonts w:hint="eastAsia"/>
          <w:szCs w:val="21"/>
        </w:rPr>
        <w:t>截至</w:t>
      </w:r>
      <w:r w:rsidR="00997676">
        <w:rPr>
          <w:rFonts w:hint="eastAsia"/>
          <w:szCs w:val="21"/>
        </w:rPr>
        <w:t>12</w:t>
      </w:r>
      <w:r w:rsidR="00997676">
        <w:rPr>
          <w:rFonts w:hint="eastAsia"/>
          <w:szCs w:val="21"/>
        </w:rPr>
        <w:t>月</w:t>
      </w:r>
      <w:r>
        <w:rPr>
          <w:rFonts w:hint="eastAsia"/>
          <w:szCs w:val="21"/>
        </w:rPr>
        <w:t>25</w:t>
      </w:r>
      <w:r w:rsidR="00997676">
        <w:rPr>
          <w:rFonts w:hint="eastAsia"/>
          <w:szCs w:val="21"/>
        </w:rPr>
        <w:t>日</w:t>
      </w:r>
      <w:r w:rsidR="00997676" w:rsidRPr="00A82B6E">
        <w:rPr>
          <w:rFonts w:hint="eastAsia"/>
          <w:szCs w:val="21"/>
        </w:rPr>
        <w:t>，</w:t>
      </w:r>
      <w:r w:rsidRPr="00864263">
        <w:rPr>
          <w:rFonts w:eastAsia="楷体" w:cs="Arial" w:hint="eastAsia"/>
        </w:rPr>
        <w:t>凯石工场研究覆盖的</w:t>
      </w:r>
      <w:r>
        <w:rPr>
          <w:rFonts w:eastAsia="楷体" w:cs="Arial" w:hint="eastAsia"/>
        </w:rPr>
        <w:t>85</w:t>
      </w:r>
      <w:r>
        <w:rPr>
          <w:rFonts w:eastAsia="楷体" w:cs="Arial" w:hint="eastAsia"/>
        </w:rPr>
        <w:t>只</w:t>
      </w:r>
      <w:r w:rsidR="00997676" w:rsidRPr="00A82B6E">
        <w:rPr>
          <w:rFonts w:hint="eastAsia"/>
          <w:szCs w:val="21"/>
        </w:rPr>
        <w:t>QDII</w:t>
      </w:r>
      <w:r>
        <w:rPr>
          <w:rFonts w:hint="eastAsia"/>
          <w:szCs w:val="21"/>
        </w:rPr>
        <w:t>基金平均</w:t>
      </w:r>
      <w:r w:rsidR="00E129B0">
        <w:rPr>
          <w:rFonts w:hint="eastAsia"/>
          <w:szCs w:val="21"/>
        </w:rPr>
        <w:t>收益</w:t>
      </w:r>
      <w:r>
        <w:rPr>
          <w:rFonts w:hint="eastAsia"/>
          <w:szCs w:val="21"/>
        </w:rPr>
        <w:t>微涨</w:t>
      </w:r>
      <w:r>
        <w:rPr>
          <w:rFonts w:hint="eastAsia"/>
          <w:szCs w:val="21"/>
        </w:rPr>
        <w:t>1.30%</w:t>
      </w:r>
      <w:r>
        <w:rPr>
          <w:rFonts w:hint="eastAsia"/>
          <w:szCs w:val="21"/>
        </w:rPr>
        <w:t>，不同类别涨跌互现。</w:t>
      </w:r>
      <w:r w:rsidR="00236AA9">
        <w:rPr>
          <w:rFonts w:hint="eastAsia"/>
          <w:szCs w:val="21"/>
        </w:rPr>
        <w:t>投资美国市场的品种大幅领先，其中</w:t>
      </w:r>
      <w:r>
        <w:rPr>
          <w:rFonts w:hint="eastAsia"/>
          <w:szCs w:val="21"/>
        </w:rPr>
        <w:t>凯石工场今年以来始终强推的美房地产类、跟踪纳指类基金表现</w:t>
      </w:r>
      <w:r w:rsidR="00236AA9">
        <w:rPr>
          <w:rFonts w:hint="eastAsia"/>
          <w:szCs w:val="21"/>
        </w:rPr>
        <w:t>最为</w:t>
      </w:r>
      <w:r>
        <w:rPr>
          <w:rFonts w:hint="eastAsia"/>
          <w:szCs w:val="21"/>
        </w:rPr>
        <w:t>抢眼，佼佼者包揽了业绩前</w:t>
      </w:r>
      <w:r>
        <w:rPr>
          <w:rFonts w:hint="eastAsia"/>
          <w:szCs w:val="21"/>
        </w:rPr>
        <w:t>5</w:t>
      </w:r>
      <w:r>
        <w:rPr>
          <w:rFonts w:hint="eastAsia"/>
          <w:szCs w:val="21"/>
        </w:rPr>
        <w:t>名：</w:t>
      </w:r>
      <w:r w:rsidR="00997676" w:rsidRPr="00A82B6E">
        <w:rPr>
          <w:rFonts w:hint="eastAsia"/>
          <w:szCs w:val="21"/>
        </w:rPr>
        <w:t>以投资</w:t>
      </w:r>
      <w:r w:rsidR="00997676">
        <w:rPr>
          <w:rFonts w:hint="eastAsia"/>
          <w:szCs w:val="21"/>
        </w:rPr>
        <w:t>成熟市场房地产信托</w:t>
      </w:r>
      <w:r w:rsidR="00997676" w:rsidRPr="00A82B6E">
        <w:rPr>
          <w:rFonts w:hint="eastAsia"/>
          <w:szCs w:val="21"/>
        </w:rPr>
        <w:t>为主的</w:t>
      </w:r>
      <w:r w:rsidR="00997676">
        <w:rPr>
          <w:rFonts w:hint="eastAsia"/>
          <w:szCs w:val="21"/>
        </w:rPr>
        <w:t>诺安全球收益不动产</w:t>
      </w:r>
      <w:r>
        <w:rPr>
          <w:rFonts w:hint="eastAsia"/>
          <w:szCs w:val="21"/>
        </w:rPr>
        <w:t>（</w:t>
      </w:r>
      <w:r>
        <w:rPr>
          <w:rFonts w:hint="eastAsia"/>
          <w:szCs w:val="21"/>
        </w:rPr>
        <w:t>30.72%</w:t>
      </w:r>
      <w:r>
        <w:rPr>
          <w:rFonts w:hint="eastAsia"/>
          <w:szCs w:val="21"/>
        </w:rPr>
        <w:t>）</w:t>
      </w:r>
      <w:r w:rsidR="00997676">
        <w:rPr>
          <w:rFonts w:hint="eastAsia"/>
          <w:szCs w:val="21"/>
        </w:rPr>
        <w:t>、广发美国房地产</w:t>
      </w:r>
      <w:r>
        <w:rPr>
          <w:rFonts w:hint="eastAsia"/>
          <w:szCs w:val="21"/>
        </w:rPr>
        <w:t>（</w:t>
      </w:r>
      <w:r>
        <w:rPr>
          <w:rFonts w:hint="eastAsia"/>
          <w:szCs w:val="21"/>
        </w:rPr>
        <w:t>27.94%</w:t>
      </w:r>
      <w:r>
        <w:rPr>
          <w:rFonts w:hint="eastAsia"/>
          <w:szCs w:val="21"/>
        </w:rPr>
        <w:t>）、</w:t>
      </w:r>
      <w:r w:rsidR="00997676">
        <w:rPr>
          <w:rFonts w:hint="eastAsia"/>
          <w:szCs w:val="21"/>
        </w:rPr>
        <w:t>鹏华美国房地产</w:t>
      </w:r>
      <w:r>
        <w:rPr>
          <w:rFonts w:hint="eastAsia"/>
          <w:szCs w:val="21"/>
        </w:rPr>
        <w:t>（</w:t>
      </w:r>
      <w:r>
        <w:rPr>
          <w:rFonts w:hint="eastAsia"/>
          <w:szCs w:val="21"/>
        </w:rPr>
        <w:t>20.93%</w:t>
      </w:r>
      <w:r>
        <w:rPr>
          <w:rFonts w:hint="eastAsia"/>
          <w:szCs w:val="21"/>
        </w:rPr>
        <w:t>）和</w:t>
      </w:r>
      <w:r w:rsidRPr="00627255">
        <w:rPr>
          <w:rFonts w:hint="eastAsia"/>
          <w:szCs w:val="21"/>
        </w:rPr>
        <w:t>嘉实全球房地产</w:t>
      </w:r>
      <w:r>
        <w:rPr>
          <w:rFonts w:hint="eastAsia"/>
          <w:szCs w:val="21"/>
        </w:rPr>
        <w:t>（</w:t>
      </w:r>
      <w:r>
        <w:rPr>
          <w:rFonts w:hint="eastAsia"/>
          <w:szCs w:val="21"/>
        </w:rPr>
        <w:t>18.60%</w:t>
      </w:r>
      <w:r>
        <w:rPr>
          <w:rFonts w:hint="eastAsia"/>
          <w:szCs w:val="21"/>
        </w:rPr>
        <w:t>）依次位居前三甲和第五名，</w:t>
      </w:r>
      <w:r w:rsidR="00E129B0">
        <w:rPr>
          <w:rFonts w:hint="eastAsia"/>
          <w:szCs w:val="21"/>
        </w:rPr>
        <w:t>跟踪</w:t>
      </w:r>
      <w:r w:rsidR="00997676" w:rsidRPr="00A82B6E">
        <w:rPr>
          <w:rFonts w:hint="eastAsia"/>
          <w:szCs w:val="21"/>
        </w:rPr>
        <w:t>美</w:t>
      </w:r>
      <w:r w:rsidR="00997676">
        <w:rPr>
          <w:rFonts w:hint="eastAsia"/>
          <w:szCs w:val="21"/>
        </w:rPr>
        <w:t>国</w:t>
      </w:r>
      <w:r w:rsidR="00997676" w:rsidRPr="00A82B6E">
        <w:rPr>
          <w:rFonts w:hint="eastAsia"/>
          <w:szCs w:val="21"/>
        </w:rPr>
        <w:t>科技</w:t>
      </w:r>
      <w:r w:rsidR="00997676">
        <w:rPr>
          <w:rFonts w:hint="eastAsia"/>
          <w:szCs w:val="21"/>
        </w:rPr>
        <w:t>类</w:t>
      </w:r>
      <w:r w:rsidR="00997676" w:rsidRPr="00A82B6E">
        <w:rPr>
          <w:rFonts w:hint="eastAsia"/>
          <w:szCs w:val="21"/>
        </w:rPr>
        <w:t>成长股的</w:t>
      </w:r>
      <w:r w:rsidR="00997676">
        <w:rPr>
          <w:rFonts w:hint="eastAsia"/>
          <w:szCs w:val="21"/>
        </w:rPr>
        <w:t>国泰</w:t>
      </w:r>
      <w:r>
        <w:rPr>
          <w:rFonts w:hint="eastAsia"/>
          <w:szCs w:val="21"/>
        </w:rPr>
        <w:t>纳斯达克</w:t>
      </w:r>
      <w:r w:rsidR="00997676" w:rsidRPr="00A82B6E">
        <w:rPr>
          <w:rFonts w:hint="eastAsia"/>
          <w:szCs w:val="21"/>
        </w:rPr>
        <w:t>100</w:t>
      </w:r>
      <w:r>
        <w:rPr>
          <w:rFonts w:hint="eastAsia"/>
          <w:szCs w:val="21"/>
        </w:rPr>
        <w:t>（</w:t>
      </w:r>
      <w:r>
        <w:rPr>
          <w:rFonts w:hint="eastAsia"/>
          <w:szCs w:val="21"/>
        </w:rPr>
        <w:t>18.78%</w:t>
      </w:r>
      <w:r>
        <w:rPr>
          <w:rFonts w:hint="eastAsia"/>
          <w:szCs w:val="21"/>
        </w:rPr>
        <w:t>）位居第四。</w:t>
      </w:r>
      <w:r w:rsidR="00236AA9">
        <w:rPr>
          <w:rFonts w:hint="eastAsia"/>
          <w:szCs w:val="21"/>
        </w:rPr>
        <w:t>随后的</w:t>
      </w:r>
      <w:r w:rsidR="00E129B0">
        <w:rPr>
          <w:rFonts w:hint="eastAsia"/>
          <w:szCs w:val="21"/>
        </w:rPr>
        <w:t>是</w:t>
      </w:r>
      <w:r w:rsidRPr="00627255">
        <w:rPr>
          <w:rFonts w:hint="eastAsia"/>
          <w:szCs w:val="21"/>
        </w:rPr>
        <w:t>国泰纳斯达克</w:t>
      </w:r>
      <w:r w:rsidRPr="00627255">
        <w:rPr>
          <w:rFonts w:hint="eastAsia"/>
          <w:szCs w:val="21"/>
        </w:rPr>
        <w:t>100ETF</w:t>
      </w:r>
      <w:r>
        <w:rPr>
          <w:rFonts w:hint="eastAsia"/>
          <w:szCs w:val="21"/>
        </w:rPr>
        <w:t>、</w:t>
      </w:r>
      <w:r w:rsidRPr="00627255">
        <w:rPr>
          <w:rFonts w:hint="eastAsia"/>
          <w:szCs w:val="21"/>
        </w:rPr>
        <w:t>华安纳斯达克</w:t>
      </w:r>
      <w:r w:rsidRPr="00627255">
        <w:rPr>
          <w:rFonts w:hint="eastAsia"/>
          <w:szCs w:val="21"/>
        </w:rPr>
        <w:t>100</w:t>
      </w:r>
      <w:r>
        <w:rPr>
          <w:rFonts w:hint="eastAsia"/>
          <w:szCs w:val="21"/>
        </w:rPr>
        <w:t>、</w:t>
      </w:r>
      <w:r w:rsidRPr="00627255">
        <w:rPr>
          <w:rFonts w:hint="eastAsia"/>
          <w:szCs w:val="21"/>
        </w:rPr>
        <w:t>广发纳斯达克</w:t>
      </w:r>
      <w:r w:rsidRPr="00627255">
        <w:rPr>
          <w:rFonts w:hint="eastAsia"/>
          <w:szCs w:val="21"/>
        </w:rPr>
        <w:t>100</w:t>
      </w:r>
      <w:r w:rsidR="00997676" w:rsidRPr="00A82B6E">
        <w:rPr>
          <w:rFonts w:hint="eastAsia"/>
          <w:szCs w:val="21"/>
        </w:rPr>
        <w:t>与</w:t>
      </w:r>
      <w:r w:rsidR="00997676">
        <w:rPr>
          <w:rFonts w:hint="eastAsia"/>
          <w:szCs w:val="21"/>
        </w:rPr>
        <w:t>投资欧美医疗保健行业的广发全球医疗保健</w:t>
      </w:r>
      <w:r w:rsidR="00236AA9">
        <w:rPr>
          <w:rFonts w:hint="eastAsia"/>
          <w:szCs w:val="21"/>
        </w:rPr>
        <w:t>等基金</w:t>
      </w:r>
      <w:r w:rsidR="00997676">
        <w:rPr>
          <w:rFonts w:hint="eastAsia"/>
          <w:szCs w:val="21"/>
        </w:rPr>
        <w:t>，</w:t>
      </w:r>
      <w:r w:rsidR="00236AA9">
        <w:rPr>
          <w:rFonts w:hint="eastAsia"/>
          <w:szCs w:val="21"/>
        </w:rPr>
        <w:t>全年收益</w:t>
      </w:r>
      <w:r w:rsidR="00E129B0">
        <w:rPr>
          <w:rFonts w:hint="eastAsia"/>
          <w:szCs w:val="21"/>
        </w:rPr>
        <w:t>皆</w:t>
      </w:r>
      <w:r w:rsidR="00236AA9">
        <w:rPr>
          <w:rFonts w:hint="eastAsia"/>
          <w:szCs w:val="21"/>
        </w:rPr>
        <w:t>超过</w:t>
      </w:r>
      <w:r w:rsidR="00236AA9">
        <w:rPr>
          <w:rFonts w:hint="eastAsia"/>
          <w:szCs w:val="21"/>
        </w:rPr>
        <w:t>15%</w:t>
      </w:r>
      <w:r w:rsidR="00236AA9">
        <w:rPr>
          <w:rFonts w:hint="eastAsia"/>
          <w:szCs w:val="21"/>
        </w:rPr>
        <w:t>。此外，跟踪标普</w:t>
      </w:r>
      <w:r w:rsidR="00236AA9">
        <w:rPr>
          <w:rFonts w:hint="eastAsia"/>
          <w:szCs w:val="21"/>
        </w:rPr>
        <w:t>500</w:t>
      </w:r>
      <w:r w:rsidR="00236AA9">
        <w:rPr>
          <w:rFonts w:hint="eastAsia"/>
          <w:szCs w:val="21"/>
        </w:rPr>
        <w:t>指数的几只</w:t>
      </w:r>
      <w:r w:rsidR="00997676">
        <w:rPr>
          <w:rFonts w:hint="eastAsia"/>
          <w:szCs w:val="21"/>
        </w:rPr>
        <w:t>基金</w:t>
      </w:r>
      <w:r w:rsidR="00236AA9">
        <w:rPr>
          <w:rFonts w:hint="eastAsia"/>
          <w:szCs w:val="21"/>
        </w:rPr>
        <w:t>也斩获了超过</w:t>
      </w:r>
      <w:r w:rsidR="00236AA9">
        <w:rPr>
          <w:rFonts w:hint="eastAsia"/>
          <w:szCs w:val="21"/>
        </w:rPr>
        <w:t>10%</w:t>
      </w:r>
      <w:r w:rsidR="00236AA9">
        <w:rPr>
          <w:rFonts w:hint="eastAsia"/>
          <w:szCs w:val="21"/>
        </w:rPr>
        <w:t>的年回报。</w:t>
      </w:r>
      <w:r w:rsidR="00997676">
        <w:rPr>
          <w:rFonts w:hint="eastAsia"/>
          <w:szCs w:val="21"/>
        </w:rPr>
        <w:t>而</w:t>
      </w:r>
      <w:r w:rsidR="00AF515E">
        <w:rPr>
          <w:rFonts w:hint="eastAsia"/>
          <w:szCs w:val="21"/>
        </w:rPr>
        <w:t>大宗商品的颓势直接影响了投资</w:t>
      </w:r>
      <w:r w:rsidR="00997676">
        <w:rPr>
          <w:rFonts w:hint="eastAsia"/>
          <w:szCs w:val="21"/>
        </w:rPr>
        <w:t>油气、黄金、商品类的</w:t>
      </w:r>
      <w:r w:rsidR="00997676">
        <w:rPr>
          <w:rFonts w:hint="eastAsia"/>
          <w:szCs w:val="21"/>
        </w:rPr>
        <w:t>QDII</w:t>
      </w:r>
      <w:r w:rsidR="00AF515E">
        <w:rPr>
          <w:rFonts w:hint="eastAsia"/>
          <w:szCs w:val="21"/>
        </w:rPr>
        <w:t>，</w:t>
      </w:r>
      <w:r w:rsidR="00997676">
        <w:rPr>
          <w:rFonts w:hint="eastAsia"/>
          <w:szCs w:val="21"/>
        </w:rPr>
        <w:t>全年</w:t>
      </w:r>
      <w:r w:rsidR="00AC6F53">
        <w:rPr>
          <w:rFonts w:hint="eastAsia"/>
          <w:szCs w:val="21"/>
        </w:rPr>
        <w:t>净值折损严重，</w:t>
      </w:r>
      <w:r w:rsidR="00E129B0">
        <w:rPr>
          <w:rFonts w:hint="eastAsia"/>
          <w:szCs w:val="21"/>
        </w:rPr>
        <w:t>排名普遍靠后，垫底者甚至跌幅超过</w:t>
      </w:r>
      <w:r w:rsidR="00E129B0">
        <w:rPr>
          <w:rFonts w:hint="eastAsia"/>
          <w:szCs w:val="21"/>
        </w:rPr>
        <w:t>30</w:t>
      </w:r>
      <w:r w:rsidR="00E129B0">
        <w:rPr>
          <w:rFonts w:hint="eastAsia"/>
          <w:szCs w:val="21"/>
        </w:rPr>
        <w:t>个点</w:t>
      </w:r>
      <w:r w:rsidR="00997676" w:rsidRPr="00A82B6E">
        <w:rPr>
          <w:rFonts w:hint="eastAsia"/>
          <w:szCs w:val="21"/>
        </w:rPr>
        <w:t>。</w:t>
      </w:r>
    </w:p>
    <w:tbl>
      <w:tblPr>
        <w:tblW w:w="7442" w:type="dxa"/>
        <w:tblInd w:w="3402" w:type="dxa"/>
        <w:tblBorders>
          <w:top w:val="single" w:sz="6" w:space="0" w:color="FF6600"/>
          <w:bottom w:val="single" w:sz="6" w:space="0" w:color="FF6600"/>
          <w:insideH w:val="single" w:sz="6" w:space="0" w:color="FF6600"/>
        </w:tblBorders>
        <w:tblLayout w:type="fixed"/>
        <w:tblCellMar>
          <w:left w:w="0" w:type="dxa"/>
          <w:right w:w="0" w:type="dxa"/>
        </w:tblCellMar>
        <w:tblLook w:val="0000"/>
      </w:tblPr>
      <w:tblGrid>
        <w:gridCol w:w="7442"/>
      </w:tblGrid>
      <w:tr w:rsidR="00330DE1" w:rsidRPr="00FC54FE" w:rsidTr="0093179F">
        <w:trPr>
          <w:cantSplit/>
          <w:trHeight w:val="65"/>
        </w:trPr>
        <w:tc>
          <w:tcPr>
            <w:tcW w:w="7442" w:type="dxa"/>
            <w:shd w:val="clear" w:color="auto" w:fill="auto"/>
            <w:vAlign w:val="center"/>
          </w:tcPr>
          <w:p w:rsidR="00330DE1" w:rsidRPr="00FC54FE" w:rsidRDefault="00330DE1" w:rsidP="00900D47">
            <w:pPr>
              <w:pStyle w:val="SubTitleLargeTable"/>
              <w:pBdr>
                <w:top w:val="none" w:sz="0" w:space="0" w:color="auto"/>
              </w:pBdr>
              <w:tabs>
                <w:tab w:val="left" w:pos="5250"/>
              </w:tabs>
              <w:rPr>
                <w:rFonts w:ascii="楷体" w:eastAsia="楷体" w:hAnsi="楷体"/>
                <w:b w:val="0"/>
                <w:color w:val="FF6600"/>
              </w:rPr>
            </w:pPr>
            <w:r w:rsidRPr="00FC54FE">
              <w:rPr>
                <w:rFonts w:ascii="楷体" w:eastAsia="楷体" w:hAnsi="楷体"/>
                <w:color w:val="FF6600"/>
              </w:rPr>
              <w:lastRenderedPageBreak/>
              <w:t>图表</w:t>
            </w:r>
            <w:r w:rsidRPr="00FC54FE">
              <w:rPr>
                <w:rFonts w:ascii="楷体" w:eastAsia="楷体" w:hAnsi="楷体" w:hint="eastAsia"/>
                <w:color w:val="FF6600"/>
              </w:rPr>
              <w:t>1：</w:t>
            </w:r>
            <w:r w:rsidRPr="00FC54FE">
              <w:rPr>
                <w:rFonts w:ascii="楷体" w:eastAsia="楷体" w:hAnsi="楷体"/>
                <w:b w:val="0"/>
                <w:color w:val="FF6600"/>
              </w:rPr>
              <w:t xml:space="preserve"> </w:t>
            </w:r>
            <w:r w:rsidR="00DE3512">
              <w:rPr>
                <w:rFonts w:ascii="楷体" w:eastAsia="楷体" w:hAnsi="楷体" w:hint="eastAsia"/>
                <w:color w:val="FF6600"/>
              </w:rPr>
              <w:t>2014年度</w:t>
            </w:r>
            <w:r w:rsidR="00B66F5B">
              <w:rPr>
                <w:rFonts w:ascii="楷体" w:eastAsia="楷体" w:hAnsi="楷体" w:hint="eastAsia"/>
                <w:color w:val="FF6600"/>
              </w:rPr>
              <w:t>市场指数及</w:t>
            </w:r>
            <w:r>
              <w:rPr>
                <w:rFonts w:ascii="楷体" w:eastAsia="楷体" w:hAnsi="楷体"/>
                <w:color w:val="FF6600"/>
              </w:rPr>
              <w:t>各</w:t>
            </w:r>
            <w:r w:rsidRPr="007F54BB">
              <w:rPr>
                <w:rFonts w:ascii="楷体" w:eastAsia="楷体" w:hAnsi="楷体"/>
                <w:color w:val="FF6600"/>
              </w:rPr>
              <w:t>类</w:t>
            </w:r>
            <w:r w:rsidR="004B4236">
              <w:rPr>
                <w:rFonts w:ascii="楷体" w:eastAsia="楷体" w:hAnsi="楷体"/>
                <w:color w:val="FF6600"/>
              </w:rPr>
              <w:t>型</w:t>
            </w:r>
            <w:r w:rsidRPr="007F54BB">
              <w:rPr>
                <w:rFonts w:ascii="楷体" w:eastAsia="楷体" w:hAnsi="楷体" w:hint="eastAsia"/>
                <w:color w:val="FF6600"/>
              </w:rPr>
              <w:t>QDII基金</w:t>
            </w:r>
            <w:r w:rsidR="00B66F5B">
              <w:rPr>
                <w:rFonts w:ascii="楷体" w:eastAsia="楷体" w:hAnsi="楷体" w:hint="eastAsia"/>
                <w:color w:val="FF6600"/>
              </w:rPr>
              <w:t>涨跌</w:t>
            </w:r>
            <w:r w:rsidR="00DE3512">
              <w:rPr>
                <w:rFonts w:ascii="楷体" w:eastAsia="楷体" w:hAnsi="楷体" w:hint="eastAsia"/>
                <w:color w:val="FF6600"/>
              </w:rPr>
              <w:t>（截至12月25日）</w:t>
            </w:r>
          </w:p>
        </w:tc>
      </w:tr>
      <w:tr w:rsidR="00330DE1" w:rsidRPr="00FC54FE" w:rsidTr="00C02F8C">
        <w:trPr>
          <w:cantSplit/>
          <w:trHeight w:val="2316"/>
        </w:trPr>
        <w:tc>
          <w:tcPr>
            <w:tcW w:w="7442" w:type="dxa"/>
            <w:shd w:val="clear" w:color="auto" w:fill="auto"/>
            <w:vAlign w:val="center"/>
          </w:tcPr>
          <w:p w:rsidR="00330DE1" w:rsidRPr="00FC54FE" w:rsidRDefault="00DE3512" w:rsidP="00900D47">
            <w:pPr>
              <w:tabs>
                <w:tab w:val="left" w:pos="5250"/>
              </w:tabs>
              <w:snapToGrid w:val="0"/>
              <w:spacing w:line="10" w:lineRule="atLeast"/>
              <w:jc w:val="center"/>
              <w:rPr>
                <w:rFonts w:ascii="楷体" w:eastAsia="楷体" w:hAnsi="楷体"/>
                <w:b/>
              </w:rPr>
            </w:pPr>
            <w:r>
              <w:rPr>
                <w:rFonts w:ascii="楷体" w:eastAsia="楷体" w:hAnsi="楷体"/>
                <w:b/>
                <w:noProof/>
              </w:rPr>
              <w:drawing>
                <wp:inline distT="0" distB="0" distL="0" distR="0">
                  <wp:extent cx="3390900" cy="1779659"/>
                  <wp:effectExtent l="1905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400966" cy="1784942"/>
                          </a:xfrm>
                          <a:prstGeom prst="rect">
                            <a:avLst/>
                          </a:prstGeom>
                          <a:noFill/>
                        </pic:spPr>
                      </pic:pic>
                    </a:graphicData>
                  </a:graphic>
                </wp:inline>
              </w:drawing>
            </w:r>
          </w:p>
        </w:tc>
      </w:tr>
    </w:tbl>
    <w:p w:rsidR="00330DE1" w:rsidRPr="007F54BB" w:rsidRDefault="00330DE1" w:rsidP="00900D47">
      <w:pPr>
        <w:pStyle w:val="FootnoteNoline"/>
        <w:tabs>
          <w:tab w:val="left" w:pos="5250"/>
        </w:tabs>
        <w:rPr>
          <w:rFonts w:ascii="楷体" w:eastAsia="楷体" w:hAnsi="楷体"/>
          <w:color w:val="FF6600"/>
        </w:rPr>
      </w:pPr>
      <w:r w:rsidRPr="00FC54FE">
        <w:rPr>
          <w:rFonts w:ascii="楷体" w:eastAsia="楷体" w:hAnsi="楷体" w:hint="eastAsia"/>
          <w:color w:val="FF6600"/>
        </w:rPr>
        <w:t xml:space="preserve">来源：凯石财富工场 </w:t>
      </w:r>
      <w:r>
        <w:rPr>
          <w:rFonts w:ascii="楷体" w:eastAsia="楷体" w:hAnsi="楷体" w:hint="eastAsia"/>
          <w:color w:val="FF6600"/>
        </w:rPr>
        <w:t>Wind</w:t>
      </w:r>
      <w:r w:rsidRPr="00FC54FE">
        <w:rPr>
          <w:rFonts w:ascii="楷体" w:eastAsia="楷体" w:hAnsi="楷体" w:hint="eastAsia"/>
          <w:color w:val="FF6600"/>
        </w:rPr>
        <w:t>数据</w:t>
      </w:r>
    </w:p>
    <w:p w:rsidR="00017BB7" w:rsidRDefault="00330DE1" w:rsidP="00900D47">
      <w:pPr>
        <w:widowControl/>
        <w:tabs>
          <w:tab w:val="left" w:pos="5250"/>
        </w:tabs>
        <w:spacing w:after="120" w:line="240" w:lineRule="exact"/>
        <w:ind w:left="3430"/>
        <w:rPr>
          <w:rFonts w:ascii="楷体" w:eastAsia="楷体" w:hAnsi="楷体" w:cs="Times New Roman"/>
          <w:b/>
          <w:bCs/>
          <w:color w:val="0070C0"/>
          <w:kern w:val="0"/>
          <w:sz w:val="24"/>
          <w:szCs w:val="20"/>
          <w:lang w:val="en-GB"/>
        </w:rPr>
      </w:pPr>
      <w:r>
        <w:rPr>
          <w:rFonts w:ascii="楷体" w:eastAsia="楷体" w:hAnsi="楷体" w:cs="Times New Roman" w:hint="eastAsia"/>
          <w:b/>
          <w:bCs/>
          <w:color w:val="0070C0"/>
          <w:kern w:val="0"/>
          <w:sz w:val="24"/>
          <w:szCs w:val="20"/>
          <w:lang w:val="en-GB"/>
        </w:rPr>
        <w:t>二</w:t>
      </w:r>
      <w:r w:rsidR="00017BB7">
        <w:rPr>
          <w:rFonts w:ascii="楷体" w:eastAsia="楷体" w:hAnsi="楷体" w:cs="Times New Roman" w:hint="eastAsia"/>
          <w:b/>
          <w:bCs/>
          <w:color w:val="0070C0"/>
          <w:kern w:val="0"/>
          <w:sz w:val="24"/>
          <w:szCs w:val="20"/>
          <w:lang w:val="en-GB"/>
        </w:rPr>
        <w:t>、QDII</w:t>
      </w:r>
      <w:r w:rsidR="0064533A">
        <w:rPr>
          <w:rFonts w:ascii="楷体" w:eastAsia="楷体" w:hAnsi="楷体" w:cs="Times New Roman" w:hint="eastAsia"/>
          <w:b/>
          <w:bCs/>
          <w:color w:val="0070C0"/>
          <w:kern w:val="0"/>
          <w:sz w:val="24"/>
          <w:szCs w:val="20"/>
          <w:lang w:val="en-GB"/>
        </w:rPr>
        <w:t>基金</w:t>
      </w:r>
      <w:r w:rsidR="00130CA5">
        <w:rPr>
          <w:rFonts w:ascii="楷体" w:eastAsia="楷体" w:hAnsi="楷体" w:cs="Times New Roman" w:hint="eastAsia"/>
          <w:b/>
          <w:bCs/>
          <w:color w:val="0070C0"/>
          <w:kern w:val="0"/>
          <w:sz w:val="24"/>
          <w:szCs w:val="20"/>
          <w:lang w:val="en-GB"/>
        </w:rPr>
        <w:t>2015年度</w:t>
      </w:r>
      <w:r w:rsidR="00017BB7">
        <w:rPr>
          <w:rFonts w:ascii="楷体" w:eastAsia="楷体" w:hAnsi="楷体" w:cs="Times New Roman" w:hint="eastAsia"/>
          <w:b/>
          <w:bCs/>
          <w:color w:val="0070C0"/>
          <w:kern w:val="0"/>
          <w:sz w:val="24"/>
          <w:szCs w:val="20"/>
          <w:lang w:val="en-GB"/>
        </w:rPr>
        <w:t>投资策略</w:t>
      </w:r>
    </w:p>
    <w:p w:rsidR="00A70401" w:rsidRPr="00FC54FE" w:rsidRDefault="00E92BDA" w:rsidP="00900D47">
      <w:pPr>
        <w:widowControl/>
        <w:tabs>
          <w:tab w:val="left" w:pos="5250"/>
        </w:tabs>
        <w:spacing w:after="120" w:line="240" w:lineRule="exact"/>
        <w:ind w:left="3430"/>
        <w:rPr>
          <w:rFonts w:ascii="楷体" w:eastAsia="楷体" w:hAnsi="楷体" w:cs="Times New Roman"/>
          <w:b/>
          <w:bCs/>
          <w:color w:val="0070C0"/>
          <w:kern w:val="0"/>
          <w:sz w:val="24"/>
          <w:szCs w:val="20"/>
          <w:lang w:val="en-GB"/>
        </w:rPr>
      </w:pPr>
      <w:r>
        <w:rPr>
          <w:rFonts w:ascii="楷体" w:eastAsia="楷体" w:hAnsi="楷体" w:cs="Times New Roman" w:hint="eastAsia"/>
          <w:b/>
          <w:bCs/>
          <w:color w:val="0070C0"/>
          <w:kern w:val="0"/>
          <w:sz w:val="24"/>
          <w:szCs w:val="20"/>
          <w:lang w:val="en-GB"/>
        </w:rPr>
        <w:t>1、2015年展望：</w:t>
      </w:r>
      <w:r w:rsidR="00BE4E61">
        <w:rPr>
          <w:rFonts w:ascii="楷体" w:eastAsia="楷体" w:hAnsi="楷体" w:cs="Times New Roman" w:hint="eastAsia"/>
          <w:b/>
          <w:bCs/>
          <w:color w:val="0070C0"/>
          <w:kern w:val="0"/>
          <w:sz w:val="24"/>
          <w:szCs w:val="20"/>
          <w:lang w:val="en-GB"/>
        </w:rPr>
        <w:t>全球缓慢复苏</w:t>
      </w:r>
      <w:r w:rsidR="00292D72">
        <w:rPr>
          <w:rFonts w:ascii="楷体" w:eastAsia="楷体" w:hAnsi="楷体" w:cs="Times New Roman" w:hint="eastAsia"/>
          <w:b/>
          <w:bCs/>
          <w:color w:val="0070C0"/>
          <w:kern w:val="0"/>
          <w:sz w:val="24"/>
          <w:szCs w:val="20"/>
          <w:lang w:val="en-GB"/>
        </w:rPr>
        <w:t>，美国一枝独秀</w:t>
      </w:r>
    </w:p>
    <w:p w:rsidR="00913A3F" w:rsidRPr="0039755A" w:rsidRDefault="00505884" w:rsidP="0039755A">
      <w:pPr>
        <w:pStyle w:val="ab"/>
        <w:numPr>
          <w:ilvl w:val="4"/>
          <w:numId w:val="1"/>
        </w:numPr>
        <w:tabs>
          <w:tab w:val="left" w:pos="5250"/>
        </w:tabs>
        <w:spacing w:after="163"/>
        <w:rPr>
          <w:rFonts w:ascii="楷体" w:eastAsia="楷体" w:hAnsi="楷体" w:cs="Arial"/>
          <w:color w:val="FF0000"/>
        </w:rPr>
      </w:pPr>
      <w:r>
        <w:rPr>
          <w:rFonts w:hint="eastAsia"/>
          <w:szCs w:val="21"/>
        </w:rPr>
        <w:t>当前各国经济复苏程度相差较大，大多数国家依旧深陷疲软泥淖，</w:t>
      </w:r>
      <w:r>
        <w:rPr>
          <w:rFonts w:hint="eastAsia"/>
        </w:rPr>
        <w:t>仅剩美国一枝独秀</w:t>
      </w:r>
      <w:r>
        <w:rPr>
          <w:rFonts w:hint="eastAsia"/>
          <w:szCs w:val="21"/>
        </w:rPr>
        <w:t>。</w:t>
      </w:r>
      <w:r w:rsidR="00B07526">
        <w:rPr>
          <w:rFonts w:hint="eastAsia"/>
        </w:rPr>
        <w:t>10</w:t>
      </w:r>
      <w:r w:rsidR="00B07526">
        <w:rPr>
          <w:rFonts w:hint="eastAsia"/>
        </w:rPr>
        <w:t>月</w:t>
      </w:r>
      <w:r w:rsidR="00834B61">
        <w:rPr>
          <w:rFonts w:hint="eastAsia"/>
        </w:rPr>
        <w:t>，</w:t>
      </w:r>
      <w:r w:rsidR="00B07526">
        <w:rPr>
          <w:rFonts w:hint="eastAsia"/>
        </w:rPr>
        <w:t>IMF</w:t>
      </w:r>
      <w:r w:rsidR="00B07526">
        <w:rPr>
          <w:rFonts w:hint="eastAsia"/>
        </w:rPr>
        <w:t>将</w:t>
      </w:r>
      <w:r w:rsidR="00B07526">
        <w:rPr>
          <w:rFonts w:hint="eastAsia"/>
        </w:rPr>
        <w:t>2014</w:t>
      </w:r>
      <w:r w:rsidR="00B07526">
        <w:rPr>
          <w:rFonts w:hint="eastAsia"/>
        </w:rPr>
        <w:t>年全球增速</w:t>
      </w:r>
      <w:r w:rsidR="00BA535D">
        <w:rPr>
          <w:rFonts w:hint="eastAsia"/>
        </w:rPr>
        <w:t>由前值</w:t>
      </w:r>
      <w:r w:rsidR="00BA535D">
        <w:rPr>
          <w:rFonts w:hint="eastAsia"/>
        </w:rPr>
        <w:t>3.4%</w:t>
      </w:r>
      <w:r w:rsidR="00B07526">
        <w:rPr>
          <w:rFonts w:hint="eastAsia"/>
        </w:rPr>
        <w:t>下调至</w:t>
      </w:r>
      <w:r w:rsidR="00B07526">
        <w:rPr>
          <w:rFonts w:hint="eastAsia"/>
        </w:rPr>
        <w:t>3.3%</w:t>
      </w:r>
      <w:r w:rsidR="00B07526">
        <w:rPr>
          <w:rFonts w:hint="eastAsia"/>
        </w:rPr>
        <w:t>，将</w:t>
      </w:r>
      <w:r w:rsidR="00B07526">
        <w:rPr>
          <w:rFonts w:hint="eastAsia"/>
        </w:rPr>
        <w:t>2015</w:t>
      </w:r>
      <w:r w:rsidR="00B07526">
        <w:rPr>
          <w:rFonts w:hint="eastAsia"/>
        </w:rPr>
        <w:t>年增速预期</w:t>
      </w:r>
      <w:r w:rsidR="00BA535D">
        <w:rPr>
          <w:rFonts w:hint="eastAsia"/>
        </w:rPr>
        <w:t>由</w:t>
      </w:r>
      <w:r w:rsidR="00BA535D">
        <w:rPr>
          <w:rFonts w:hint="eastAsia"/>
        </w:rPr>
        <w:t>4.0%</w:t>
      </w:r>
      <w:r w:rsidR="00B07526">
        <w:rPr>
          <w:rFonts w:hint="eastAsia"/>
        </w:rPr>
        <w:t>下调至</w:t>
      </w:r>
      <w:r w:rsidR="00B07526">
        <w:rPr>
          <w:rFonts w:hint="eastAsia"/>
        </w:rPr>
        <w:t>3.8%</w:t>
      </w:r>
      <w:r w:rsidR="00BA535D">
        <w:rPr>
          <w:rFonts w:hint="eastAsia"/>
        </w:rPr>
        <w:t>，</w:t>
      </w:r>
      <w:r>
        <w:rPr>
          <w:rFonts w:hint="eastAsia"/>
        </w:rPr>
        <w:t>并警告经济下行风险加剧，</w:t>
      </w:r>
      <w:r w:rsidR="00B07526">
        <w:rPr>
          <w:rFonts w:hint="eastAsia"/>
        </w:rPr>
        <w:t>多数经济体仍需将“保增长”作为首要任务。</w:t>
      </w:r>
      <w:r>
        <w:rPr>
          <w:rFonts w:hint="eastAsia"/>
        </w:rPr>
        <w:t>IMF</w:t>
      </w:r>
      <w:r w:rsidR="000E5F4B">
        <w:rPr>
          <w:rFonts w:hint="eastAsia"/>
        </w:rPr>
        <w:t>此番</w:t>
      </w:r>
      <w:r>
        <w:rPr>
          <w:rFonts w:hint="eastAsia"/>
        </w:rPr>
        <w:t>下调了欧元区、日本和新兴市场的增长预期，但</w:t>
      </w:r>
      <w:r w:rsidR="00C91D95">
        <w:rPr>
          <w:rFonts w:hint="eastAsia"/>
        </w:rPr>
        <w:t>上调了美国</w:t>
      </w:r>
      <w:r w:rsidR="00C91D95" w:rsidRPr="003E5317">
        <w:rPr>
          <w:rFonts w:hint="eastAsia"/>
        </w:rPr>
        <w:t>2014</w:t>
      </w:r>
      <w:r w:rsidR="00C91D95" w:rsidRPr="003E5317">
        <w:rPr>
          <w:rFonts w:hint="eastAsia"/>
        </w:rPr>
        <w:t>年经济增速预期</w:t>
      </w:r>
      <w:r w:rsidR="00C91D95" w:rsidRPr="003E5317">
        <w:rPr>
          <w:rFonts w:hint="eastAsia"/>
        </w:rPr>
        <w:t>0.5</w:t>
      </w:r>
      <w:r w:rsidR="00C91D95">
        <w:rPr>
          <w:rFonts w:hint="eastAsia"/>
        </w:rPr>
        <w:t>个百分点至</w:t>
      </w:r>
      <w:r w:rsidR="00C91D95" w:rsidRPr="003E5317">
        <w:rPr>
          <w:rFonts w:hint="eastAsia"/>
        </w:rPr>
        <w:t>2.2%</w:t>
      </w:r>
      <w:r w:rsidR="00E35EF5">
        <w:rPr>
          <w:rFonts w:hint="eastAsia"/>
        </w:rPr>
        <w:t>，潜在增速</w:t>
      </w:r>
      <w:r w:rsidR="00A86E53">
        <w:rPr>
          <w:rFonts w:hint="eastAsia"/>
        </w:rPr>
        <w:t>约</w:t>
      </w:r>
      <w:r w:rsidR="00C91D95" w:rsidRPr="003E5317">
        <w:rPr>
          <w:rFonts w:hint="eastAsia"/>
        </w:rPr>
        <w:t>2.0%</w:t>
      </w:r>
      <w:r w:rsidR="00C91D95">
        <w:rPr>
          <w:rFonts w:hint="eastAsia"/>
        </w:rPr>
        <w:t>，并表示美国和英国是所有的经济体中成功复苏并取得良好增长的国家</w:t>
      </w:r>
      <w:r w:rsidR="003E5317" w:rsidRPr="003E5317">
        <w:rPr>
          <w:rFonts w:hint="eastAsia"/>
        </w:rPr>
        <w:t>。</w:t>
      </w:r>
      <w:r w:rsidR="00E35EF5">
        <w:rPr>
          <w:rFonts w:hint="eastAsia"/>
        </w:rPr>
        <w:t>凯石工场预计，</w:t>
      </w:r>
      <w:r w:rsidR="00236D45" w:rsidRPr="00236D45">
        <w:rPr>
          <w:rFonts w:hint="eastAsia"/>
        </w:rPr>
        <w:t>2015</w:t>
      </w:r>
      <w:r w:rsidR="00236D45">
        <w:rPr>
          <w:rFonts w:hint="eastAsia"/>
        </w:rPr>
        <w:t>年全球主要经济体景气分化的局面还将持续</w:t>
      </w:r>
      <w:r w:rsidR="00E35EF5">
        <w:rPr>
          <w:rFonts w:hint="eastAsia"/>
        </w:rPr>
        <w:t>，美国</w:t>
      </w:r>
      <w:r w:rsidR="00354A0E">
        <w:rPr>
          <w:rFonts w:hint="eastAsia"/>
        </w:rPr>
        <w:t>则步入更高速增长轨道</w:t>
      </w:r>
      <w:r w:rsidR="000E5F4B">
        <w:rPr>
          <w:rFonts w:hint="eastAsia"/>
        </w:rPr>
        <w:t>。</w:t>
      </w:r>
      <w:r w:rsidR="00FF461C">
        <w:rPr>
          <w:rFonts w:hint="eastAsia"/>
        </w:rPr>
        <w:t>但美联储加息</w:t>
      </w:r>
      <w:r w:rsidR="005B5D1C">
        <w:rPr>
          <w:rFonts w:hint="eastAsia"/>
        </w:rPr>
        <w:t>预期</w:t>
      </w:r>
      <w:r w:rsidR="00FF461C">
        <w:rPr>
          <w:rFonts w:hint="eastAsia"/>
        </w:rPr>
        <w:t>将为明年</w:t>
      </w:r>
      <w:r w:rsidR="00375080">
        <w:rPr>
          <w:rFonts w:hint="eastAsia"/>
        </w:rPr>
        <w:t>特别是上半年</w:t>
      </w:r>
      <w:r w:rsidR="00FF461C">
        <w:rPr>
          <w:rFonts w:hint="eastAsia"/>
        </w:rPr>
        <w:t>美股走势注入更大波动性</w:t>
      </w:r>
      <w:r w:rsidR="00375080">
        <w:rPr>
          <w:rFonts w:hint="eastAsia"/>
        </w:rPr>
        <w:t>，届时也将是全球市场不确定性较强的时间</w:t>
      </w:r>
      <w:r w:rsidR="00375080" w:rsidRPr="00453CB6">
        <w:rPr>
          <w:rFonts w:hint="eastAsia"/>
        </w:rPr>
        <w:t>段</w:t>
      </w:r>
      <w:r w:rsidR="00FF461C">
        <w:rPr>
          <w:rFonts w:hint="eastAsia"/>
        </w:rPr>
        <w:t>。</w:t>
      </w:r>
    </w:p>
    <w:p w:rsidR="00256A3A" w:rsidRPr="00FC54FE" w:rsidRDefault="00256A3A" w:rsidP="00900D47">
      <w:pPr>
        <w:widowControl/>
        <w:tabs>
          <w:tab w:val="left" w:pos="5250"/>
        </w:tabs>
        <w:spacing w:after="120"/>
        <w:ind w:left="3430"/>
        <w:rPr>
          <w:rFonts w:ascii="楷体" w:eastAsia="楷体" w:hAnsi="楷体"/>
          <w:b/>
          <w:bCs/>
          <w:color w:val="0070C0"/>
          <w:kern w:val="0"/>
          <w:szCs w:val="21"/>
          <w:lang w:val="en-GB"/>
        </w:rPr>
      </w:pPr>
      <w:r w:rsidRPr="00FC54FE">
        <w:rPr>
          <w:rFonts w:ascii="楷体" w:eastAsia="楷体" w:hAnsi="楷体" w:hint="eastAsia"/>
          <w:b/>
          <w:bCs/>
          <w:color w:val="0070C0"/>
          <w:kern w:val="0"/>
          <w:szCs w:val="21"/>
          <w:lang w:val="en-GB"/>
        </w:rPr>
        <w:t>美国</w:t>
      </w:r>
      <w:r w:rsidR="001E40D5" w:rsidRPr="00FC54FE">
        <w:rPr>
          <w:rFonts w:ascii="楷体" w:eastAsia="楷体" w:hAnsi="楷体" w:hint="eastAsia"/>
          <w:b/>
          <w:bCs/>
          <w:color w:val="0070C0"/>
          <w:kern w:val="0"/>
          <w:szCs w:val="21"/>
          <w:lang w:val="en-GB"/>
        </w:rPr>
        <w:t>：</w:t>
      </w:r>
      <w:r w:rsidR="007B7B61">
        <w:rPr>
          <w:rFonts w:ascii="楷体" w:eastAsia="楷体" w:hAnsi="楷体" w:hint="eastAsia"/>
          <w:b/>
          <w:bCs/>
          <w:color w:val="0070C0"/>
          <w:kern w:val="0"/>
          <w:szCs w:val="21"/>
          <w:lang w:val="en-GB"/>
        </w:rPr>
        <w:t>经济回升明确，</w:t>
      </w:r>
      <w:r w:rsidR="00597747">
        <w:rPr>
          <w:rFonts w:ascii="楷体" w:eastAsia="楷体" w:hAnsi="楷体" w:hint="eastAsia"/>
          <w:b/>
          <w:bCs/>
          <w:color w:val="0070C0"/>
          <w:kern w:val="0"/>
          <w:szCs w:val="21"/>
          <w:lang w:val="en-GB"/>
        </w:rPr>
        <w:t>警惕</w:t>
      </w:r>
      <w:r w:rsidR="007B7B61">
        <w:rPr>
          <w:rFonts w:ascii="楷体" w:eastAsia="楷体" w:hAnsi="楷体" w:hint="eastAsia"/>
          <w:b/>
          <w:bCs/>
          <w:color w:val="0070C0"/>
          <w:kern w:val="0"/>
          <w:szCs w:val="21"/>
          <w:lang w:val="en-GB"/>
        </w:rPr>
        <w:t>加息</w:t>
      </w:r>
      <w:r w:rsidR="00597747">
        <w:rPr>
          <w:rFonts w:ascii="楷体" w:eastAsia="楷体" w:hAnsi="楷体" w:hint="eastAsia"/>
          <w:b/>
          <w:bCs/>
          <w:color w:val="0070C0"/>
          <w:kern w:val="0"/>
          <w:szCs w:val="21"/>
          <w:lang w:val="en-GB"/>
        </w:rPr>
        <w:t>风险</w:t>
      </w:r>
    </w:p>
    <w:p w:rsidR="00F372FF" w:rsidRPr="00B13B2C" w:rsidRDefault="00395AE5" w:rsidP="00B13B2C">
      <w:pPr>
        <w:pStyle w:val="ab"/>
        <w:numPr>
          <w:ilvl w:val="4"/>
          <w:numId w:val="1"/>
        </w:numPr>
        <w:tabs>
          <w:tab w:val="left" w:pos="5250"/>
        </w:tabs>
        <w:spacing w:after="163"/>
        <w:rPr>
          <w:rFonts w:eastAsia="楷体" w:cs="Arial"/>
        </w:rPr>
      </w:pPr>
      <w:r>
        <w:rPr>
          <w:rFonts w:eastAsia="楷体" w:cs="Arial" w:hint="eastAsia"/>
        </w:rPr>
        <w:t>美国经济回升的势头目前更为确定，并大概率贯穿整个</w:t>
      </w:r>
      <w:r>
        <w:rPr>
          <w:rFonts w:eastAsia="楷体" w:cs="Arial" w:hint="eastAsia"/>
        </w:rPr>
        <w:t>2015</w:t>
      </w:r>
      <w:r>
        <w:rPr>
          <w:rFonts w:eastAsia="楷体" w:cs="Arial" w:hint="eastAsia"/>
        </w:rPr>
        <w:t>年。</w:t>
      </w:r>
      <w:r w:rsidR="00E17CEB">
        <w:rPr>
          <w:rFonts w:eastAsia="楷体" w:cs="Arial"/>
        </w:rPr>
        <w:t>美国第三季度</w:t>
      </w:r>
      <w:r w:rsidR="00E17CEB">
        <w:rPr>
          <w:rFonts w:eastAsia="楷体" w:cs="Arial" w:hint="eastAsia"/>
        </w:rPr>
        <w:t>GDP</w:t>
      </w:r>
      <w:r w:rsidR="00E17CEB">
        <w:rPr>
          <w:rFonts w:eastAsia="楷体" w:cs="Arial" w:hint="eastAsia"/>
        </w:rPr>
        <w:t>终值</w:t>
      </w:r>
      <w:r w:rsidR="00E17CEB">
        <w:rPr>
          <w:rFonts w:eastAsia="楷体" w:cs="Arial" w:hint="eastAsia"/>
        </w:rPr>
        <w:t>5.0%</w:t>
      </w:r>
      <w:r w:rsidR="00C94604">
        <w:rPr>
          <w:rFonts w:eastAsia="楷体" w:cs="Arial" w:hint="eastAsia"/>
        </w:rPr>
        <w:t>超预期，不仅创十一</w:t>
      </w:r>
      <w:r w:rsidR="00E17CEB">
        <w:rPr>
          <w:rFonts w:eastAsia="楷体" w:cs="Arial" w:hint="eastAsia"/>
        </w:rPr>
        <w:t>年</w:t>
      </w:r>
      <w:r w:rsidR="00C94604">
        <w:rPr>
          <w:rFonts w:eastAsia="楷体" w:cs="Arial" w:hint="eastAsia"/>
        </w:rPr>
        <w:t>以来新高，且过去两月</w:t>
      </w:r>
      <w:r w:rsidR="00E17CEB">
        <w:rPr>
          <w:rFonts w:eastAsia="楷体" w:cs="Arial" w:hint="eastAsia"/>
        </w:rPr>
        <w:t>GDP</w:t>
      </w:r>
      <w:r w:rsidR="00E17CEB">
        <w:rPr>
          <w:rFonts w:eastAsia="楷体" w:cs="Arial" w:hint="eastAsia"/>
        </w:rPr>
        <w:t>已持续运行在</w:t>
      </w:r>
      <w:r w:rsidR="00E17CEB">
        <w:rPr>
          <w:rFonts w:eastAsia="楷体" w:cs="Arial" w:hint="eastAsia"/>
        </w:rPr>
        <w:t>4%</w:t>
      </w:r>
      <w:r w:rsidR="007E0316">
        <w:rPr>
          <w:rFonts w:eastAsia="楷体" w:cs="Arial" w:hint="eastAsia"/>
        </w:rPr>
        <w:t>以上；</w:t>
      </w:r>
      <w:r w:rsidR="00E17CEB">
        <w:rPr>
          <w:rFonts w:eastAsia="楷体" w:cs="Arial" w:hint="eastAsia"/>
        </w:rPr>
        <w:t>分项数据中</w:t>
      </w:r>
      <w:r w:rsidR="00C50209">
        <w:rPr>
          <w:rFonts w:eastAsia="楷体" w:cs="Arial" w:hint="eastAsia"/>
        </w:rPr>
        <w:t>消费者支出、企业投资支出及联邦支出均获大幅上调</w:t>
      </w:r>
      <w:r w:rsidR="00FE4B0E">
        <w:rPr>
          <w:rFonts w:eastAsia="楷体" w:cs="Arial" w:hint="eastAsia"/>
        </w:rPr>
        <w:t>。</w:t>
      </w:r>
      <w:r w:rsidR="006E1CEC">
        <w:rPr>
          <w:rFonts w:eastAsia="楷体" w:cs="Arial" w:hint="eastAsia"/>
        </w:rPr>
        <w:t>同时，</w:t>
      </w:r>
      <w:r w:rsidR="00E17CEB">
        <w:rPr>
          <w:rFonts w:eastAsia="楷体" w:cs="Arial" w:hint="eastAsia"/>
        </w:rPr>
        <w:t>11</w:t>
      </w:r>
      <w:r w:rsidR="006E1CEC">
        <w:rPr>
          <w:rFonts w:eastAsia="楷体" w:cs="Arial" w:hint="eastAsia"/>
        </w:rPr>
        <w:t>月份的通胀率走低</w:t>
      </w:r>
      <w:r w:rsidR="00C50209">
        <w:rPr>
          <w:rFonts w:eastAsia="楷体" w:cs="Arial" w:hint="eastAsia"/>
        </w:rPr>
        <w:t>、非农就业冲高</w:t>
      </w:r>
      <w:r w:rsidR="006E1CEC">
        <w:rPr>
          <w:rFonts w:eastAsia="楷体" w:cs="Arial" w:hint="eastAsia"/>
        </w:rPr>
        <w:t>。</w:t>
      </w:r>
      <w:r w:rsidR="00C94604">
        <w:rPr>
          <w:rFonts w:eastAsia="楷体" w:cs="Arial" w:hint="eastAsia"/>
        </w:rPr>
        <w:t>诸多数据</w:t>
      </w:r>
      <w:r w:rsidR="00E17CEB">
        <w:rPr>
          <w:rFonts w:eastAsia="楷体" w:cs="Arial" w:hint="eastAsia"/>
        </w:rPr>
        <w:t>综合反映</w:t>
      </w:r>
      <w:r w:rsidR="007E0316">
        <w:rPr>
          <w:rFonts w:eastAsia="楷体" w:cs="Arial" w:hint="eastAsia"/>
        </w:rPr>
        <w:t>出</w:t>
      </w:r>
      <w:r w:rsidR="00FD443C">
        <w:rPr>
          <w:rFonts w:eastAsia="楷体" w:cs="Arial" w:hint="eastAsia"/>
        </w:rPr>
        <w:t>美国</w:t>
      </w:r>
      <w:r w:rsidR="007E0316">
        <w:rPr>
          <w:rFonts w:eastAsia="楷体" w:cs="Arial" w:hint="eastAsia"/>
        </w:rPr>
        <w:t>高质量的</w:t>
      </w:r>
      <w:r w:rsidR="00E17CEB">
        <w:rPr>
          <w:rFonts w:eastAsia="楷体" w:cs="Arial" w:hint="eastAsia"/>
        </w:rPr>
        <w:t>经济增长</w:t>
      </w:r>
      <w:r w:rsidR="00FE4B0E">
        <w:rPr>
          <w:rFonts w:eastAsia="楷体" w:cs="Arial" w:hint="eastAsia"/>
        </w:rPr>
        <w:t>，即便第四季度环比增长大幅下滑，</w:t>
      </w:r>
      <w:r w:rsidR="00FE4B0E">
        <w:rPr>
          <w:rFonts w:eastAsia="楷体" w:cs="Arial" w:hint="eastAsia"/>
        </w:rPr>
        <w:t>2014</w:t>
      </w:r>
      <w:r w:rsidR="00FE4B0E">
        <w:rPr>
          <w:rFonts w:eastAsia="楷体" w:cs="Arial" w:hint="eastAsia"/>
        </w:rPr>
        <w:t>年同比增长依然达到超预期之高</w:t>
      </w:r>
      <w:r w:rsidR="00FD443C">
        <w:rPr>
          <w:rFonts w:eastAsia="楷体" w:cs="Arial" w:hint="eastAsia"/>
        </w:rPr>
        <w:t>。</w:t>
      </w:r>
    </w:p>
    <w:p w:rsidR="006859EF" w:rsidRPr="006859EF" w:rsidRDefault="00E96701" w:rsidP="006859EF">
      <w:pPr>
        <w:pStyle w:val="ab"/>
        <w:numPr>
          <w:ilvl w:val="5"/>
          <w:numId w:val="2"/>
        </w:numPr>
        <w:tabs>
          <w:tab w:val="left" w:pos="5250"/>
        </w:tabs>
        <w:spacing w:after="163"/>
        <w:ind w:left="4140" w:hanging="369"/>
      </w:pPr>
      <w:r w:rsidRPr="00E96701">
        <w:rPr>
          <w:rFonts w:hint="eastAsia"/>
        </w:rPr>
        <w:t>制造业继续</w:t>
      </w:r>
      <w:r w:rsidR="00D5111A">
        <w:rPr>
          <w:rFonts w:hint="eastAsia"/>
        </w:rPr>
        <w:t>扩张</w:t>
      </w:r>
      <w:r>
        <w:rPr>
          <w:rFonts w:hint="eastAsia"/>
        </w:rPr>
        <w:t>但速度放缓：</w:t>
      </w:r>
      <w:r w:rsidR="006859EF" w:rsidRPr="006859EF">
        <w:rPr>
          <w:rFonts w:hint="eastAsia"/>
        </w:rPr>
        <w:t>Markit</w:t>
      </w:r>
      <w:r w:rsidR="006859EF" w:rsidRPr="006859EF">
        <w:rPr>
          <w:rFonts w:hint="eastAsia"/>
        </w:rPr>
        <w:t>美国</w:t>
      </w:r>
      <w:r w:rsidR="006859EF" w:rsidRPr="006859EF">
        <w:rPr>
          <w:rFonts w:hint="eastAsia"/>
        </w:rPr>
        <w:t>12</w:t>
      </w:r>
      <w:r w:rsidR="006859EF" w:rsidRPr="006859EF">
        <w:rPr>
          <w:rFonts w:hint="eastAsia"/>
        </w:rPr>
        <w:t>月</w:t>
      </w:r>
      <w:r w:rsidR="00F45C23">
        <w:rPr>
          <w:rFonts w:hint="eastAsia"/>
        </w:rPr>
        <w:t>PMI</w:t>
      </w:r>
      <w:r w:rsidR="006859EF" w:rsidRPr="006859EF">
        <w:rPr>
          <w:rFonts w:hint="eastAsia"/>
        </w:rPr>
        <w:t>降至</w:t>
      </w:r>
      <w:r w:rsidR="006859EF" w:rsidRPr="006859EF">
        <w:rPr>
          <w:rFonts w:hint="eastAsia"/>
        </w:rPr>
        <w:t>53.7</w:t>
      </w:r>
      <w:r w:rsidR="006859EF" w:rsidRPr="006859EF">
        <w:rPr>
          <w:rFonts w:hint="eastAsia"/>
        </w:rPr>
        <w:t>，为</w:t>
      </w:r>
      <w:r w:rsidR="006859EF" w:rsidRPr="006859EF">
        <w:rPr>
          <w:rFonts w:hint="eastAsia"/>
        </w:rPr>
        <w:t>11</w:t>
      </w:r>
      <w:r w:rsidR="006859EF" w:rsidRPr="006859EF">
        <w:rPr>
          <w:rFonts w:hint="eastAsia"/>
        </w:rPr>
        <w:t>个月以来最低值。</w:t>
      </w:r>
      <w:r>
        <w:rPr>
          <w:rFonts w:hint="eastAsia"/>
        </w:rPr>
        <w:t>其中</w:t>
      </w:r>
      <w:r w:rsidRPr="00E96701">
        <w:rPr>
          <w:rFonts w:hint="eastAsia"/>
        </w:rPr>
        <w:t>产出分项指数初值降至</w:t>
      </w:r>
      <w:r w:rsidRPr="00E96701">
        <w:rPr>
          <w:rFonts w:hint="eastAsia"/>
        </w:rPr>
        <w:t>54.7</w:t>
      </w:r>
      <w:r w:rsidRPr="00E96701">
        <w:rPr>
          <w:rFonts w:hint="eastAsia"/>
        </w:rPr>
        <w:t>，创</w:t>
      </w:r>
      <w:r w:rsidRPr="00E96701">
        <w:rPr>
          <w:rFonts w:hint="eastAsia"/>
        </w:rPr>
        <w:t>1</w:t>
      </w:r>
      <w:r w:rsidRPr="00E96701">
        <w:rPr>
          <w:rFonts w:hint="eastAsia"/>
        </w:rPr>
        <w:t>月份以来新低；就业分项指数初值大幅放缓至</w:t>
      </w:r>
      <w:r w:rsidRPr="00E96701">
        <w:rPr>
          <w:rFonts w:hint="eastAsia"/>
        </w:rPr>
        <w:t>52.8</w:t>
      </w:r>
      <w:r w:rsidRPr="00E96701">
        <w:rPr>
          <w:rFonts w:hint="eastAsia"/>
        </w:rPr>
        <w:t>，创</w:t>
      </w:r>
      <w:r w:rsidRPr="00E96701">
        <w:rPr>
          <w:rFonts w:hint="eastAsia"/>
        </w:rPr>
        <w:t>7</w:t>
      </w:r>
      <w:r>
        <w:rPr>
          <w:rFonts w:hint="eastAsia"/>
        </w:rPr>
        <w:t>月份以来新低，但</w:t>
      </w:r>
      <w:r w:rsidRPr="00E96701">
        <w:rPr>
          <w:rFonts w:hint="eastAsia"/>
        </w:rPr>
        <w:t>仍然保持着连续第</w:t>
      </w:r>
      <w:r w:rsidRPr="00E96701">
        <w:rPr>
          <w:rFonts w:hint="eastAsia"/>
        </w:rPr>
        <w:t>18</w:t>
      </w:r>
      <w:r w:rsidRPr="00E96701">
        <w:rPr>
          <w:rFonts w:hint="eastAsia"/>
        </w:rPr>
        <w:t>个月扩张</w:t>
      </w:r>
      <w:r>
        <w:rPr>
          <w:rFonts w:hint="eastAsia"/>
        </w:rPr>
        <w:t>。</w:t>
      </w:r>
      <w:r w:rsidR="001B6745">
        <w:rPr>
          <w:rFonts w:hint="eastAsia"/>
        </w:rPr>
        <w:t>产出和就业数据疲软，仅能</w:t>
      </w:r>
      <w:r w:rsidR="001B6745" w:rsidRPr="001B6745">
        <w:rPr>
          <w:rFonts w:hint="eastAsia"/>
        </w:rPr>
        <w:t>表明扩张速度较</w:t>
      </w:r>
      <w:r w:rsidR="00DB3F81">
        <w:rPr>
          <w:rFonts w:hint="eastAsia"/>
        </w:rPr>
        <w:t>全年超常的强劲势头有所放缓，当然数据的警告也不容忽视：</w:t>
      </w:r>
      <w:r w:rsidR="001B6745">
        <w:rPr>
          <w:rFonts w:hint="eastAsia"/>
        </w:rPr>
        <w:t>美国第四季度的制造业水平恐将</w:t>
      </w:r>
      <w:r w:rsidR="001B6745" w:rsidRPr="001B6745">
        <w:rPr>
          <w:rFonts w:hint="eastAsia"/>
        </w:rPr>
        <w:t>拖累经济增速。</w:t>
      </w:r>
    </w:p>
    <w:p w:rsidR="005E0AD0" w:rsidRPr="007D3082" w:rsidRDefault="006859EF" w:rsidP="00900D47">
      <w:pPr>
        <w:pStyle w:val="ab"/>
        <w:numPr>
          <w:ilvl w:val="5"/>
          <w:numId w:val="2"/>
        </w:numPr>
        <w:tabs>
          <w:tab w:val="left" w:pos="5250"/>
        </w:tabs>
        <w:spacing w:after="163"/>
        <w:ind w:left="4140" w:hanging="369"/>
      </w:pPr>
      <w:r>
        <w:rPr>
          <w:rFonts w:hint="eastAsia"/>
        </w:rPr>
        <w:t>就业市场广泛复苏：</w:t>
      </w:r>
      <w:r w:rsidR="00F372FF" w:rsidRPr="00151F01">
        <w:rPr>
          <w:rFonts w:hint="eastAsia"/>
        </w:rPr>
        <w:t>11</w:t>
      </w:r>
      <w:r w:rsidR="00F372FF" w:rsidRPr="00151F01">
        <w:rPr>
          <w:rFonts w:hint="eastAsia"/>
        </w:rPr>
        <w:t>月</w:t>
      </w:r>
      <w:r w:rsidR="008F6D72">
        <w:rPr>
          <w:rFonts w:hint="eastAsia"/>
        </w:rPr>
        <w:t>份美</w:t>
      </w:r>
      <w:r w:rsidR="00F372FF" w:rsidRPr="00151F01">
        <w:rPr>
          <w:rFonts w:hint="eastAsia"/>
        </w:rPr>
        <w:t>非农就业数据人数</w:t>
      </w:r>
      <w:r w:rsidR="00F372FF" w:rsidRPr="00151F01">
        <w:rPr>
          <w:rFonts w:hint="eastAsia"/>
        </w:rPr>
        <w:t>32.1</w:t>
      </w:r>
      <w:r w:rsidR="00F372FF" w:rsidRPr="00151F01">
        <w:rPr>
          <w:rFonts w:hint="eastAsia"/>
        </w:rPr>
        <w:t>万，远超预期的</w:t>
      </w:r>
      <w:r w:rsidR="00F372FF" w:rsidRPr="00151F01">
        <w:rPr>
          <w:rFonts w:hint="eastAsia"/>
        </w:rPr>
        <w:t>23</w:t>
      </w:r>
      <w:r w:rsidR="00F372FF" w:rsidRPr="00151F01">
        <w:rPr>
          <w:rFonts w:hint="eastAsia"/>
        </w:rPr>
        <w:t>万，创</w:t>
      </w:r>
      <w:r w:rsidR="00F372FF" w:rsidRPr="00151F01">
        <w:rPr>
          <w:rFonts w:hint="eastAsia"/>
        </w:rPr>
        <w:t>2012</w:t>
      </w:r>
      <w:r w:rsidR="00F372FF" w:rsidRPr="00151F01">
        <w:rPr>
          <w:rFonts w:hint="eastAsia"/>
        </w:rPr>
        <w:t>年</w:t>
      </w:r>
      <w:r w:rsidR="00F372FF" w:rsidRPr="00151F01">
        <w:rPr>
          <w:rFonts w:hint="eastAsia"/>
        </w:rPr>
        <w:t>1</w:t>
      </w:r>
      <w:r w:rsidR="00F372FF">
        <w:rPr>
          <w:rFonts w:hint="eastAsia"/>
        </w:rPr>
        <w:t>月以来新高</w:t>
      </w:r>
      <w:r w:rsidR="005E0AD0" w:rsidRPr="007D3082">
        <w:t>，而目前劳动力市场的连续改善走势也是七十年以来最长的。</w:t>
      </w:r>
      <w:r w:rsidR="008F6D72" w:rsidRPr="007D3082">
        <w:t>此外，</w:t>
      </w:r>
      <w:r w:rsidR="005E0AD0" w:rsidRPr="007D3082">
        <w:t>失业率在</w:t>
      </w:r>
      <w:r w:rsidR="005E0AD0" w:rsidRPr="007D3082">
        <w:t>11</w:t>
      </w:r>
      <w:r w:rsidR="005E0AD0" w:rsidRPr="007D3082">
        <w:t>月维持在</w:t>
      </w:r>
      <w:r w:rsidR="005E0AD0" w:rsidRPr="007D3082">
        <w:t>5.8%</w:t>
      </w:r>
      <w:r w:rsidR="005E0AD0" w:rsidRPr="007D3082">
        <w:t>的六年低位</w:t>
      </w:r>
      <w:r w:rsidR="005E0AD0" w:rsidRPr="007D3082">
        <w:rPr>
          <w:rFonts w:hint="eastAsia"/>
        </w:rPr>
        <w:t>。</w:t>
      </w:r>
      <w:r w:rsidR="00F372FF" w:rsidRPr="007D3082">
        <w:rPr>
          <w:rFonts w:hint="eastAsia"/>
        </w:rPr>
        <w:t>久不</w:t>
      </w:r>
      <w:r w:rsidR="00F372FF" w:rsidRPr="00151F01">
        <w:rPr>
          <w:rFonts w:hint="eastAsia"/>
        </w:rPr>
        <w:t>见涨的平均时薪也环比增长</w:t>
      </w:r>
      <w:r w:rsidR="00F372FF" w:rsidRPr="00151F01">
        <w:rPr>
          <w:rFonts w:hint="eastAsia"/>
        </w:rPr>
        <w:t>0.4%</w:t>
      </w:r>
      <w:r w:rsidR="00F372FF" w:rsidRPr="00151F01">
        <w:rPr>
          <w:rFonts w:hint="eastAsia"/>
        </w:rPr>
        <w:t>，创去年</w:t>
      </w:r>
      <w:r w:rsidR="00F372FF" w:rsidRPr="00151F01">
        <w:rPr>
          <w:rFonts w:hint="eastAsia"/>
        </w:rPr>
        <w:t>6</w:t>
      </w:r>
      <w:r w:rsidR="00F372FF" w:rsidRPr="00151F01">
        <w:rPr>
          <w:rFonts w:hint="eastAsia"/>
        </w:rPr>
        <w:t>月以来最大涨幅。</w:t>
      </w:r>
      <w:r w:rsidR="008F6D72">
        <w:rPr>
          <w:rFonts w:hint="eastAsia"/>
        </w:rPr>
        <w:t>今</w:t>
      </w:r>
      <w:r w:rsidR="00F372FF">
        <w:rPr>
          <w:rFonts w:hint="eastAsia"/>
        </w:rPr>
        <w:t>年至今就业市场平均每月非农岗位新增</w:t>
      </w:r>
      <w:r w:rsidR="00F372FF">
        <w:rPr>
          <w:rFonts w:hint="eastAsia"/>
        </w:rPr>
        <w:t>23.9</w:t>
      </w:r>
      <w:r w:rsidR="00F372FF">
        <w:rPr>
          <w:rFonts w:hint="eastAsia"/>
        </w:rPr>
        <w:t>万个，这是</w:t>
      </w:r>
      <w:r w:rsidR="00F372FF">
        <w:rPr>
          <w:rFonts w:hint="eastAsia"/>
        </w:rPr>
        <w:t>15</w:t>
      </w:r>
      <w:r w:rsidR="00F372FF">
        <w:rPr>
          <w:rFonts w:hint="eastAsia"/>
        </w:rPr>
        <w:t>年来美国经济最好的表现。</w:t>
      </w:r>
      <w:r w:rsidR="008F6D72">
        <w:rPr>
          <w:rFonts w:hint="eastAsia"/>
        </w:rPr>
        <w:t>值得注意的是，美国就业市场的复苏十分广泛，作为就业引擎</w:t>
      </w:r>
      <w:r w:rsidR="00F372FF" w:rsidRPr="00151F01">
        <w:rPr>
          <w:rFonts w:hint="eastAsia"/>
        </w:rPr>
        <w:t>的小企业为美国创造了大半就业岗位。制造业新增就业岗位</w:t>
      </w:r>
      <w:r w:rsidR="00F372FF" w:rsidRPr="00151F01">
        <w:rPr>
          <w:rFonts w:hint="eastAsia"/>
        </w:rPr>
        <w:t>28</w:t>
      </w:r>
      <w:r w:rsidR="00F372FF" w:rsidRPr="00151F01">
        <w:rPr>
          <w:rFonts w:hint="eastAsia"/>
        </w:rPr>
        <w:t>万个，创</w:t>
      </w:r>
      <w:r w:rsidR="00F372FF" w:rsidRPr="00151F01">
        <w:rPr>
          <w:rFonts w:hint="eastAsia"/>
        </w:rPr>
        <w:t>2012</w:t>
      </w:r>
      <w:r w:rsidR="00F372FF" w:rsidRPr="00151F01">
        <w:rPr>
          <w:rFonts w:hint="eastAsia"/>
        </w:rPr>
        <w:t>年</w:t>
      </w:r>
      <w:r w:rsidR="00F372FF" w:rsidRPr="00151F01">
        <w:rPr>
          <w:rFonts w:hint="eastAsia"/>
        </w:rPr>
        <w:t>7</w:t>
      </w:r>
      <w:r w:rsidR="00F372FF" w:rsidRPr="00151F01">
        <w:rPr>
          <w:rFonts w:hint="eastAsia"/>
        </w:rPr>
        <w:t>月以来新高，医疗企业雇佣状况也十分抢眼。</w:t>
      </w:r>
    </w:p>
    <w:p w:rsidR="00D5111A" w:rsidRPr="00D5111A" w:rsidRDefault="00B13B2C" w:rsidP="006859EF">
      <w:pPr>
        <w:pStyle w:val="ab"/>
        <w:numPr>
          <w:ilvl w:val="5"/>
          <w:numId w:val="2"/>
        </w:numPr>
        <w:tabs>
          <w:tab w:val="left" w:pos="5250"/>
        </w:tabs>
        <w:spacing w:after="163"/>
        <w:ind w:left="4140" w:hanging="369"/>
      </w:pPr>
      <w:r w:rsidRPr="0090781A">
        <w:rPr>
          <w:rFonts w:hint="eastAsia"/>
        </w:rPr>
        <w:t>消费者信心高涨：</w:t>
      </w:r>
      <w:r w:rsidR="00D5111A" w:rsidRPr="0090781A">
        <w:rPr>
          <w:rFonts w:hint="eastAsia"/>
        </w:rPr>
        <w:t>劳动力市场的强势扩张和工资的温和上涨提振了消费者信心</w:t>
      </w:r>
      <w:r w:rsidRPr="0090781A">
        <w:rPr>
          <w:rFonts w:hint="eastAsia"/>
        </w:rPr>
        <w:t>，</w:t>
      </w:r>
      <w:r w:rsidRPr="0090781A">
        <w:rPr>
          <w:rFonts w:hint="eastAsia"/>
        </w:rPr>
        <w:t>12</w:t>
      </w:r>
      <w:r w:rsidRPr="0090781A">
        <w:rPr>
          <w:rFonts w:hint="eastAsia"/>
        </w:rPr>
        <w:t>月密歇根大学消费者信心指数终值</w:t>
      </w:r>
      <w:r w:rsidRPr="0090781A">
        <w:rPr>
          <w:rFonts w:hint="eastAsia"/>
        </w:rPr>
        <w:t>93.6</w:t>
      </w:r>
      <w:r w:rsidRPr="0090781A">
        <w:rPr>
          <w:rFonts w:hint="eastAsia"/>
        </w:rPr>
        <w:t>，创</w:t>
      </w:r>
      <w:r w:rsidRPr="0090781A">
        <w:rPr>
          <w:rFonts w:hint="eastAsia"/>
        </w:rPr>
        <w:t>2007</w:t>
      </w:r>
      <w:r w:rsidRPr="0090781A">
        <w:rPr>
          <w:rFonts w:hint="eastAsia"/>
        </w:rPr>
        <w:t>年</w:t>
      </w:r>
      <w:r w:rsidRPr="0090781A">
        <w:rPr>
          <w:rFonts w:hint="eastAsia"/>
        </w:rPr>
        <w:t>1</w:t>
      </w:r>
      <w:r w:rsidRPr="0090781A">
        <w:rPr>
          <w:rFonts w:hint="eastAsia"/>
        </w:rPr>
        <w:t>月以来最高，意味着当前美国消费者信心水平已</w:t>
      </w:r>
      <w:r w:rsidR="00D5111A" w:rsidRPr="0090781A">
        <w:rPr>
          <w:rFonts w:hint="eastAsia"/>
        </w:rPr>
        <w:t>超越了金融危机之前的平均水平。</w:t>
      </w:r>
      <w:r w:rsidRPr="0090781A">
        <w:rPr>
          <w:rFonts w:hint="eastAsia"/>
        </w:rPr>
        <w:t>消费者信心高涨令</w:t>
      </w:r>
      <w:r w:rsidR="00D5111A" w:rsidRPr="0090781A">
        <w:rPr>
          <w:rFonts w:hint="eastAsia"/>
        </w:rPr>
        <w:t>消费信贷在</w:t>
      </w:r>
      <w:r w:rsidR="00D5111A" w:rsidRPr="0090781A">
        <w:rPr>
          <w:rFonts w:hint="eastAsia"/>
        </w:rPr>
        <w:t>2014</w:t>
      </w:r>
      <w:r w:rsidRPr="0090781A">
        <w:rPr>
          <w:rFonts w:hint="eastAsia"/>
        </w:rPr>
        <w:t>年显著增长，上半年</w:t>
      </w:r>
      <w:r w:rsidR="00D5111A" w:rsidRPr="0090781A">
        <w:rPr>
          <w:rFonts w:hint="eastAsia"/>
        </w:rPr>
        <w:t>尤其突出，</w:t>
      </w:r>
      <w:r w:rsidR="00D5111A" w:rsidRPr="0090781A">
        <w:rPr>
          <w:rFonts w:hint="eastAsia"/>
        </w:rPr>
        <w:t>4</w:t>
      </w:r>
      <w:r w:rsidR="00D5111A" w:rsidRPr="0090781A">
        <w:rPr>
          <w:rFonts w:hint="eastAsia"/>
        </w:rPr>
        <w:t>月单月净增长</w:t>
      </w:r>
      <w:r w:rsidR="00D5111A" w:rsidRPr="0090781A">
        <w:rPr>
          <w:rFonts w:hint="eastAsia"/>
        </w:rPr>
        <w:t>261</w:t>
      </w:r>
      <w:r w:rsidRPr="0090781A">
        <w:rPr>
          <w:rFonts w:hint="eastAsia"/>
        </w:rPr>
        <w:t>亿美元创</w:t>
      </w:r>
      <w:r w:rsidR="00D5111A" w:rsidRPr="0090781A">
        <w:rPr>
          <w:rFonts w:hint="eastAsia"/>
        </w:rPr>
        <w:t>2006</w:t>
      </w:r>
      <w:r w:rsidRPr="0090781A">
        <w:rPr>
          <w:rFonts w:hint="eastAsia"/>
        </w:rPr>
        <w:t>年来最高，下半年由于加息预期升温使得</w:t>
      </w:r>
      <w:r w:rsidR="00D5111A" w:rsidRPr="0090781A">
        <w:rPr>
          <w:rFonts w:hint="eastAsia"/>
        </w:rPr>
        <w:t>增速略有回落，但依然保持在高位。</w:t>
      </w:r>
    </w:p>
    <w:p w:rsidR="0003322B" w:rsidRDefault="0003322B" w:rsidP="006859EF">
      <w:pPr>
        <w:pStyle w:val="ab"/>
        <w:numPr>
          <w:ilvl w:val="5"/>
          <w:numId w:val="2"/>
        </w:numPr>
        <w:tabs>
          <w:tab w:val="left" w:pos="5250"/>
        </w:tabs>
        <w:spacing w:after="163"/>
        <w:ind w:left="4140" w:hanging="369"/>
      </w:pPr>
      <w:r w:rsidRPr="0003322B">
        <w:lastRenderedPageBreak/>
        <w:t>新屋开工连续三个月超百万户</w:t>
      </w:r>
      <w:r>
        <w:t>：</w:t>
      </w:r>
      <w:r w:rsidRPr="0003322B">
        <w:rPr>
          <w:rFonts w:hint="eastAsia"/>
        </w:rPr>
        <w:t>11</w:t>
      </w:r>
      <w:r>
        <w:rPr>
          <w:rFonts w:hint="eastAsia"/>
        </w:rPr>
        <w:t>月新屋开建数</w:t>
      </w:r>
      <w:r w:rsidRPr="0003322B">
        <w:rPr>
          <w:rFonts w:hint="eastAsia"/>
        </w:rPr>
        <w:t>减少</w:t>
      </w:r>
      <w:r w:rsidRPr="0003322B">
        <w:rPr>
          <w:rFonts w:hint="eastAsia"/>
        </w:rPr>
        <w:t>1.6%</w:t>
      </w:r>
      <w:r>
        <w:rPr>
          <w:rFonts w:hint="eastAsia"/>
        </w:rPr>
        <w:t>，年化</w:t>
      </w:r>
      <w:r w:rsidRPr="0003322B">
        <w:rPr>
          <w:rFonts w:hint="eastAsia"/>
        </w:rPr>
        <w:t>从</w:t>
      </w:r>
      <w:r w:rsidRPr="0003322B">
        <w:rPr>
          <w:rFonts w:hint="eastAsia"/>
        </w:rPr>
        <w:t>10</w:t>
      </w:r>
      <w:r w:rsidRPr="0003322B">
        <w:rPr>
          <w:rFonts w:hint="eastAsia"/>
        </w:rPr>
        <w:t>月份的</w:t>
      </w:r>
      <w:r w:rsidRPr="0003322B">
        <w:rPr>
          <w:rFonts w:hint="eastAsia"/>
        </w:rPr>
        <w:t>105</w:t>
      </w:r>
      <w:r w:rsidRPr="0003322B">
        <w:rPr>
          <w:rFonts w:hint="eastAsia"/>
        </w:rPr>
        <w:t>万幢下降至</w:t>
      </w:r>
      <w:r w:rsidRPr="0003322B">
        <w:rPr>
          <w:rFonts w:hint="eastAsia"/>
        </w:rPr>
        <w:t>103</w:t>
      </w:r>
      <w:r>
        <w:rPr>
          <w:rFonts w:hint="eastAsia"/>
        </w:rPr>
        <w:t>万幢；</w:t>
      </w:r>
      <w:r w:rsidRPr="0003322B">
        <w:rPr>
          <w:rFonts w:hint="eastAsia"/>
        </w:rPr>
        <w:t>营建许可减少</w:t>
      </w:r>
      <w:r w:rsidRPr="0003322B">
        <w:rPr>
          <w:rFonts w:hint="eastAsia"/>
        </w:rPr>
        <w:t>5.2%</w:t>
      </w:r>
      <w:r w:rsidRPr="0003322B">
        <w:rPr>
          <w:rFonts w:hint="eastAsia"/>
        </w:rPr>
        <w:t>，从</w:t>
      </w:r>
      <w:r w:rsidRPr="0003322B">
        <w:rPr>
          <w:rFonts w:hint="eastAsia"/>
        </w:rPr>
        <w:t>10</w:t>
      </w:r>
      <w:r w:rsidRPr="0003322B">
        <w:rPr>
          <w:rFonts w:hint="eastAsia"/>
        </w:rPr>
        <w:t>月份的</w:t>
      </w:r>
      <w:r w:rsidRPr="0003322B">
        <w:rPr>
          <w:rFonts w:hint="eastAsia"/>
        </w:rPr>
        <w:t>109</w:t>
      </w:r>
      <w:r w:rsidRPr="0003322B">
        <w:rPr>
          <w:rFonts w:hint="eastAsia"/>
        </w:rPr>
        <w:t>万幢下降至</w:t>
      </w:r>
      <w:r w:rsidRPr="0003322B">
        <w:rPr>
          <w:rFonts w:hint="eastAsia"/>
        </w:rPr>
        <w:t>104</w:t>
      </w:r>
      <w:r w:rsidRPr="0003322B">
        <w:rPr>
          <w:rFonts w:hint="eastAsia"/>
        </w:rPr>
        <w:t>万幢。</w:t>
      </w:r>
      <w:r w:rsidRPr="0003322B">
        <w:t>虽</w:t>
      </w:r>
      <w:r w:rsidR="00351FE7">
        <w:t>增长</w:t>
      </w:r>
      <w:r w:rsidRPr="0003322B">
        <w:t>不及预期，但</w:t>
      </w:r>
      <w:r w:rsidRPr="0003322B">
        <w:t>10</w:t>
      </w:r>
      <w:r w:rsidRPr="0003322B">
        <w:t>月数据普遍上修，且</w:t>
      </w:r>
      <w:r w:rsidRPr="0003322B">
        <w:t>11</w:t>
      </w:r>
      <w:r w:rsidRPr="0003322B">
        <w:t>月新屋开工年化户数连续第三个月保持</w:t>
      </w:r>
      <w:r w:rsidRPr="0003322B">
        <w:t>100</w:t>
      </w:r>
      <w:r w:rsidRPr="0003322B">
        <w:t>万户以上。</w:t>
      </w:r>
      <w:r>
        <w:t>整体而言</w:t>
      </w:r>
      <w:r w:rsidRPr="0003322B">
        <w:t>，新屋开工的趋势仍指向复苏，与房产市场好转的形势一致。</w:t>
      </w:r>
    </w:p>
    <w:p w:rsidR="00A940AE" w:rsidRDefault="00CD0D8E" w:rsidP="00900D47">
      <w:pPr>
        <w:pStyle w:val="ab"/>
        <w:numPr>
          <w:ilvl w:val="5"/>
          <w:numId w:val="2"/>
        </w:numPr>
        <w:tabs>
          <w:tab w:val="left" w:pos="5250"/>
        </w:tabs>
        <w:spacing w:after="163"/>
        <w:ind w:left="4140" w:hanging="369"/>
        <w:rPr>
          <w:rFonts w:eastAsia="楷体" w:cs="Arial"/>
          <w:color w:val="auto"/>
          <w:lang w:val="en-US"/>
        </w:rPr>
      </w:pPr>
      <w:r>
        <w:rPr>
          <w:rFonts w:eastAsia="楷体" w:cs="Arial" w:hint="eastAsia"/>
          <w:color w:val="auto"/>
        </w:rPr>
        <w:t>油价抑制通胀</w:t>
      </w:r>
      <w:r w:rsidR="0003322B">
        <w:rPr>
          <w:rFonts w:eastAsia="楷体" w:cs="Arial" w:hint="eastAsia"/>
          <w:color w:val="auto"/>
          <w:lang w:val="en-US"/>
        </w:rPr>
        <w:t>：因汽油价格大跌，</w:t>
      </w:r>
      <w:r w:rsidR="007F0D59" w:rsidRPr="007F0D59">
        <w:rPr>
          <w:rFonts w:eastAsia="楷体" w:cs="Arial" w:hint="eastAsia"/>
          <w:color w:val="auto"/>
          <w:lang w:val="en-US"/>
        </w:rPr>
        <w:t>季调后</w:t>
      </w:r>
      <w:r w:rsidR="0003322B">
        <w:rPr>
          <w:rFonts w:eastAsia="楷体" w:cs="Arial" w:hint="eastAsia"/>
          <w:color w:val="auto"/>
          <w:lang w:val="en-US"/>
        </w:rPr>
        <w:t>的</w:t>
      </w:r>
      <w:r w:rsidR="00A940AE" w:rsidRPr="007F0D59">
        <w:rPr>
          <w:rFonts w:eastAsia="楷体" w:cs="Arial" w:hint="eastAsia"/>
          <w:color w:val="auto"/>
          <w:lang w:val="en-US"/>
        </w:rPr>
        <w:t>美国</w:t>
      </w:r>
      <w:r w:rsidR="00A940AE" w:rsidRPr="007F0D59">
        <w:rPr>
          <w:rFonts w:eastAsia="楷体" w:cs="Arial" w:hint="eastAsia"/>
          <w:color w:val="auto"/>
          <w:lang w:val="en-US"/>
        </w:rPr>
        <w:t>11</w:t>
      </w:r>
      <w:r w:rsidR="00A940AE" w:rsidRPr="007F0D59">
        <w:rPr>
          <w:rFonts w:eastAsia="楷体" w:cs="Arial" w:hint="eastAsia"/>
          <w:color w:val="auto"/>
          <w:lang w:val="en-US"/>
        </w:rPr>
        <w:t>月</w:t>
      </w:r>
      <w:r w:rsidR="00A940AE" w:rsidRPr="007F0D59">
        <w:rPr>
          <w:rFonts w:eastAsia="楷体" w:cs="Arial" w:hint="eastAsia"/>
          <w:color w:val="auto"/>
          <w:lang w:val="en-US"/>
        </w:rPr>
        <w:t>CPI</w:t>
      </w:r>
      <w:r w:rsidR="00A940AE" w:rsidRPr="007F0D59">
        <w:rPr>
          <w:rFonts w:eastAsia="楷体" w:cs="Arial" w:hint="eastAsia"/>
          <w:color w:val="auto"/>
          <w:lang w:val="en-US"/>
        </w:rPr>
        <w:t>下降</w:t>
      </w:r>
      <w:r w:rsidR="00A940AE" w:rsidRPr="007F0D59">
        <w:rPr>
          <w:rFonts w:eastAsia="楷体" w:cs="Arial" w:hint="eastAsia"/>
          <w:color w:val="auto"/>
          <w:lang w:val="en-US"/>
        </w:rPr>
        <w:t>0.3%</w:t>
      </w:r>
      <w:r w:rsidR="00A940AE" w:rsidRPr="007F0D59">
        <w:rPr>
          <w:rFonts w:eastAsia="楷体" w:cs="Arial" w:hint="eastAsia"/>
          <w:color w:val="auto"/>
          <w:lang w:val="en-US"/>
        </w:rPr>
        <w:t>，为</w:t>
      </w:r>
      <w:r w:rsidR="00A940AE" w:rsidRPr="007F0D59">
        <w:rPr>
          <w:rFonts w:eastAsia="楷体" w:cs="Arial" w:hint="eastAsia"/>
          <w:color w:val="auto"/>
          <w:lang w:val="en-US"/>
        </w:rPr>
        <w:t>2008</w:t>
      </w:r>
      <w:r w:rsidR="00A940AE" w:rsidRPr="007F0D59">
        <w:rPr>
          <w:rFonts w:eastAsia="楷体" w:cs="Arial" w:hint="eastAsia"/>
          <w:color w:val="auto"/>
          <w:lang w:val="en-US"/>
        </w:rPr>
        <w:t>年</w:t>
      </w:r>
      <w:r w:rsidR="00A940AE" w:rsidRPr="007F0D59">
        <w:rPr>
          <w:rFonts w:eastAsia="楷体" w:cs="Arial" w:hint="eastAsia"/>
          <w:color w:val="auto"/>
          <w:lang w:val="en-US"/>
        </w:rPr>
        <w:t>12</w:t>
      </w:r>
      <w:r w:rsidR="007F0D59">
        <w:rPr>
          <w:rFonts w:eastAsia="楷体" w:cs="Arial" w:hint="eastAsia"/>
          <w:color w:val="auto"/>
          <w:lang w:val="en-US"/>
        </w:rPr>
        <w:t>月以来最大跌幅；较去年同期</w:t>
      </w:r>
      <w:r w:rsidR="007F0D59" w:rsidRPr="007F0D59">
        <w:rPr>
          <w:rFonts w:eastAsia="楷体" w:cs="Arial" w:hint="eastAsia"/>
          <w:color w:val="auto"/>
          <w:lang w:val="en-US"/>
        </w:rPr>
        <w:t>涨</w:t>
      </w:r>
      <w:r w:rsidR="007F0D59" w:rsidRPr="007F0D59">
        <w:rPr>
          <w:rFonts w:eastAsia="楷体" w:cs="Arial" w:hint="eastAsia"/>
          <w:color w:val="auto"/>
          <w:lang w:val="en-US"/>
        </w:rPr>
        <w:t>1.3%</w:t>
      </w:r>
      <w:r w:rsidR="007F0D59" w:rsidRPr="007F0D59">
        <w:rPr>
          <w:rFonts w:eastAsia="楷体" w:cs="Arial" w:hint="eastAsia"/>
          <w:color w:val="auto"/>
          <w:lang w:val="en-US"/>
        </w:rPr>
        <w:t>，为九个月来最低升幅。</w:t>
      </w:r>
      <w:r w:rsidR="003E6CA2">
        <w:rPr>
          <w:rFonts w:cs="Arial"/>
          <w:szCs w:val="21"/>
        </w:rPr>
        <w:t>美联储</w:t>
      </w:r>
      <w:r w:rsidR="0003322B">
        <w:rPr>
          <w:rFonts w:cs="Arial"/>
          <w:szCs w:val="21"/>
        </w:rPr>
        <w:t>发布声明，将目前</w:t>
      </w:r>
      <w:r w:rsidR="003E6CA2">
        <w:rPr>
          <w:rFonts w:cs="Arial"/>
          <w:szCs w:val="21"/>
        </w:rPr>
        <w:t>通胀下滑的趋势视为暂时情况。</w:t>
      </w:r>
      <w:r w:rsidR="00FD443C">
        <w:rPr>
          <w:rFonts w:cs="Arial"/>
          <w:szCs w:val="21"/>
        </w:rPr>
        <w:t>但目前看来</w:t>
      </w:r>
      <w:r w:rsidR="003C2259">
        <w:rPr>
          <w:rFonts w:cs="Arial"/>
          <w:szCs w:val="21"/>
        </w:rPr>
        <w:t>，</w:t>
      </w:r>
      <w:r w:rsidR="007F0D59">
        <w:rPr>
          <w:rFonts w:eastAsia="楷体" w:cs="Arial" w:hint="eastAsia"/>
          <w:color w:val="auto"/>
          <w:lang w:val="en-US"/>
        </w:rPr>
        <w:t>原油价格</w:t>
      </w:r>
      <w:r w:rsidR="003E6CA2">
        <w:rPr>
          <w:rFonts w:eastAsia="楷体" w:cs="Arial" w:hint="eastAsia"/>
          <w:color w:val="auto"/>
          <w:lang w:val="en-US"/>
        </w:rPr>
        <w:t>的持续</w:t>
      </w:r>
      <w:r w:rsidR="007F0D59">
        <w:rPr>
          <w:rFonts w:eastAsia="楷体" w:cs="Arial" w:hint="eastAsia"/>
          <w:color w:val="auto"/>
          <w:lang w:val="en-US"/>
        </w:rPr>
        <w:t>暴跌可能将</w:t>
      </w:r>
      <w:r w:rsidR="003E6CA2">
        <w:rPr>
          <w:rFonts w:eastAsia="楷体" w:cs="Arial" w:hint="eastAsia"/>
          <w:color w:val="auto"/>
          <w:lang w:val="en-US"/>
        </w:rPr>
        <w:t>继续</w:t>
      </w:r>
      <w:r w:rsidR="007F0D59" w:rsidRPr="007F0D59">
        <w:rPr>
          <w:rFonts w:eastAsia="楷体" w:cs="Arial" w:hint="eastAsia"/>
          <w:color w:val="auto"/>
          <w:lang w:val="en-US"/>
        </w:rPr>
        <w:t>抑制整体通胀</w:t>
      </w:r>
      <w:r w:rsidR="004717E2">
        <w:rPr>
          <w:rFonts w:eastAsia="楷体" w:cs="Arial" w:hint="eastAsia"/>
          <w:color w:val="auto"/>
          <w:lang w:val="en-US"/>
        </w:rPr>
        <w:t>水平</w:t>
      </w:r>
      <w:r w:rsidR="007F0D59" w:rsidRPr="007F0D59">
        <w:rPr>
          <w:rFonts w:eastAsia="楷体" w:cs="Arial" w:hint="eastAsia"/>
          <w:color w:val="auto"/>
          <w:lang w:val="en-US"/>
        </w:rPr>
        <w:t>。</w:t>
      </w:r>
    </w:p>
    <w:tbl>
      <w:tblPr>
        <w:tblW w:w="10771" w:type="dxa"/>
        <w:tblLayout w:type="fixed"/>
        <w:tblCellMar>
          <w:left w:w="0" w:type="dxa"/>
          <w:right w:w="0" w:type="dxa"/>
        </w:tblCellMar>
        <w:tblLook w:val="0000"/>
      </w:tblPr>
      <w:tblGrid>
        <w:gridCol w:w="5272"/>
        <w:gridCol w:w="227"/>
        <w:gridCol w:w="5272"/>
      </w:tblGrid>
      <w:tr w:rsidR="002C111A" w:rsidRPr="00FC54FE" w:rsidTr="00726B80">
        <w:trPr>
          <w:cantSplit/>
          <w:trHeight w:val="368"/>
        </w:trPr>
        <w:tc>
          <w:tcPr>
            <w:tcW w:w="5272" w:type="dxa"/>
            <w:tcBorders>
              <w:top w:val="single" w:sz="6" w:space="0" w:color="FF6600"/>
              <w:bottom w:val="single" w:sz="6" w:space="0" w:color="FF6600"/>
            </w:tcBorders>
            <w:shd w:val="clear" w:color="auto" w:fill="auto"/>
            <w:vAlign w:val="center"/>
          </w:tcPr>
          <w:p w:rsidR="002C111A" w:rsidRPr="00FC54FE" w:rsidRDefault="002C111A" w:rsidP="00900D47">
            <w:pPr>
              <w:pStyle w:val="SubTitleLargeTable"/>
              <w:pBdr>
                <w:top w:val="none" w:sz="0" w:space="0" w:color="auto"/>
              </w:pBdr>
              <w:tabs>
                <w:tab w:val="left" w:pos="5250"/>
              </w:tabs>
              <w:rPr>
                <w:rFonts w:ascii="楷体" w:eastAsia="楷体" w:hAnsi="楷体"/>
                <w:color w:val="FF6600"/>
              </w:rPr>
            </w:pPr>
            <w:r w:rsidRPr="00FC54FE">
              <w:rPr>
                <w:rFonts w:ascii="楷体" w:eastAsia="楷体" w:hAnsi="楷体"/>
                <w:color w:val="FF6600"/>
              </w:rPr>
              <w:t>图表</w:t>
            </w:r>
            <w:r>
              <w:rPr>
                <w:rFonts w:ascii="楷体" w:eastAsia="楷体" w:hAnsi="楷体" w:hint="eastAsia"/>
                <w:color w:val="FF6600"/>
              </w:rPr>
              <w:t>2</w:t>
            </w:r>
            <w:r w:rsidRPr="00FC54FE">
              <w:rPr>
                <w:rFonts w:ascii="楷体" w:eastAsia="楷体" w:hAnsi="楷体" w:hint="eastAsia"/>
                <w:color w:val="FF6600"/>
              </w:rPr>
              <w:t>：</w:t>
            </w:r>
            <w:r w:rsidR="005768EA" w:rsidRPr="005768EA">
              <w:rPr>
                <w:rFonts w:ascii="楷体" w:eastAsia="楷体" w:hAnsi="楷体" w:hint="eastAsia"/>
                <w:color w:val="FF6600"/>
              </w:rPr>
              <w:t>美国GDP增速</w:t>
            </w:r>
          </w:p>
        </w:tc>
        <w:tc>
          <w:tcPr>
            <w:tcW w:w="227" w:type="dxa"/>
            <w:vAlign w:val="center"/>
          </w:tcPr>
          <w:p w:rsidR="002C111A" w:rsidRPr="00FC54FE" w:rsidRDefault="002C111A" w:rsidP="00900D47">
            <w:pPr>
              <w:tabs>
                <w:tab w:val="left" w:pos="5250"/>
              </w:tabs>
              <w:jc w:val="center"/>
              <w:rPr>
                <w:rFonts w:ascii="楷体" w:eastAsia="楷体" w:hAnsi="楷体" w:cs="Arial"/>
                <w:b/>
                <w:bCs/>
                <w:i/>
                <w:iCs/>
                <w:color w:val="FF6600"/>
                <w:kern w:val="0"/>
                <w:szCs w:val="21"/>
                <w:lang w:val="en-GB"/>
              </w:rPr>
            </w:pPr>
          </w:p>
        </w:tc>
        <w:tc>
          <w:tcPr>
            <w:tcW w:w="5272" w:type="dxa"/>
            <w:tcBorders>
              <w:top w:val="single" w:sz="6" w:space="0" w:color="FF6600"/>
              <w:bottom w:val="single" w:sz="6" w:space="0" w:color="FF6600"/>
            </w:tcBorders>
            <w:shd w:val="clear" w:color="auto" w:fill="auto"/>
            <w:vAlign w:val="center"/>
          </w:tcPr>
          <w:p w:rsidR="002C111A" w:rsidRPr="00FC54FE" w:rsidRDefault="002C111A" w:rsidP="00900D47">
            <w:pPr>
              <w:pStyle w:val="SubTitleLargeTable"/>
              <w:pBdr>
                <w:top w:val="none" w:sz="0" w:space="0" w:color="auto"/>
              </w:pBdr>
              <w:tabs>
                <w:tab w:val="left" w:pos="5250"/>
              </w:tabs>
              <w:rPr>
                <w:rFonts w:ascii="楷体" w:eastAsia="楷体" w:hAnsi="楷体"/>
                <w:color w:val="FF6600"/>
              </w:rPr>
            </w:pPr>
            <w:r w:rsidRPr="00FC54FE">
              <w:rPr>
                <w:rFonts w:ascii="楷体" w:eastAsia="楷体" w:hAnsi="楷体"/>
                <w:color w:val="FF6600"/>
              </w:rPr>
              <w:t>图表</w:t>
            </w:r>
            <w:r>
              <w:rPr>
                <w:rFonts w:ascii="楷体" w:eastAsia="楷体" w:hAnsi="楷体" w:hint="eastAsia"/>
                <w:color w:val="FF6600"/>
              </w:rPr>
              <w:t>3</w:t>
            </w:r>
            <w:r w:rsidRPr="00FC54FE">
              <w:rPr>
                <w:rFonts w:ascii="楷体" w:eastAsia="楷体" w:hAnsi="楷体" w:hint="eastAsia"/>
                <w:color w:val="FF6600"/>
              </w:rPr>
              <w:t>：</w:t>
            </w:r>
            <w:r w:rsidR="005768EA" w:rsidRPr="005768EA">
              <w:rPr>
                <w:rFonts w:ascii="楷体" w:eastAsia="楷体" w:hAnsi="楷体" w:hint="eastAsia"/>
                <w:color w:val="FF6600"/>
              </w:rPr>
              <w:t>美国企业利润增长</w:t>
            </w:r>
            <w:r w:rsidR="005768EA">
              <w:rPr>
                <w:rFonts w:ascii="楷体" w:eastAsia="楷体" w:hAnsi="楷体" w:hint="eastAsia"/>
                <w:color w:val="FF6600"/>
              </w:rPr>
              <w:t>形势</w:t>
            </w:r>
          </w:p>
        </w:tc>
      </w:tr>
      <w:tr w:rsidR="002C111A" w:rsidRPr="00FC54FE" w:rsidTr="00726B80">
        <w:trPr>
          <w:cantSplit/>
          <w:trHeight w:val="2793"/>
        </w:trPr>
        <w:tc>
          <w:tcPr>
            <w:tcW w:w="5272" w:type="dxa"/>
            <w:tcBorders>
              <w:top w:val="single" w:sz="6" w:space="0" w:color="FF6600"/>
              <w:bottom w:val="single" w:sz="6" w:space="0" w:color="FF6600"/>
            </w:tcBorders>
            <w:shd w:val="clear" w:color="auto" w:fill="auto"/>
            <w:vAlign w:val="center"/>
          </w:tcPr>
          <w:p w:rsidR="002C111A" w:rsidRPr="00FC54FE" w:rsidRDefault="005768EA" w:rsidP="005768EA">
            <w:pPr>
              <w:tabs>
                <w:tab w:val="left" w:pos="5250"/>
              </w:tabs>
              <w:rPr>
                <w:rFonts w:ascii="楷体" w:eastAsia="楷体" w:hAnsi="楷体"/>
              </w:rPr>
            </w:pPr>
            <w:r>
              <w:rPr>
                <w:rFonts w:ascii="楷体" w:eastAsia="楷体" w:hAnsi="楷体"/>
                <w:noProof/>
              </w:rPr>
              <w:drawing>
                <wp:inline distT="0" distB="0" distL="0" distR="0">
                  <wp:extent cx="3333115" cy="2114550"/>
                  <wp:effectExtent l="19050" t="0" r="635"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3333115" cy="2114550"/>
                          </a:xfrm>
                          <a:prstGeom prst="rect">
                            <a:avLst/>
                          </a:prstGeom>
                          <a:noFill/>
                        </pic:spPr>
                      </pic:pic>
                    </a:graphicData>
                  </a:graphic>
                </wp:inline>
              </w:drawing>
            </w:r>
          </w:p>
        </w:tc>
        <w:tc>
          <w:tcPr>
            <w:tcW w:w="227" w:type="dxa"/>
            <w:vAlign w:val="center"/>
          </w:tcPr>
          <w:p w:rsidR="002C111A" w:rsidRPr="00FC54FE" w:rsidRDefault="002C111A" w:rsidP="00900D47">
            <w:pPr>
              <w:tabs>
                <w:tab w:val="left" w:pos="5250"/>
              </w:tabs>
              <w:jc w:val="center"/>
              <w:rPr>
                <w:rFonts w:ascii="楷体" w:eastAsia="楷体" w:hAnsi="楷体"/>
              </w:rPr>
            </w:pPr>
          </w:p>
        </w:tc>
        <w:tc>
          <w:tcPr>
            <w:tcW w:w="5272" w:type="dxa"/>
            <w:tcBorders>
              <w:top w:val="single" w:sz="6" w:space="0" w:color="FF6600"/>
              <w:bottom w:val="single" w:sz="6" w:space="0" w:color="FF6600"/>
            </w:tcBorders>
            <w:shd w:val="clear" w:color="auto" w:fill="auto"/>
            <w:vAlign w:val="center"/>
          </w:tcPr>
          <w:p w:rsidR="002C111A" w:rsidRPr="00FC54FE" w:rsidRDefault="005768EA" w:rsidP="00900D47">
            <w:pPr>
              <w:tabs>
                <w:tab w:val="left" w:pos="5250"/>
              </w:tabs>
              <w:jc w:val="center"/>
              <w:rPr>
                <w:rFonts w:ascii="楷体" w:eastAsia="楷体" w:hAnsi="楷体"/>
              </w:rPr>
            </w:pPr>
            <w:r>
              <w:rPr>
                <w:rFonts w:ascii="楷体" w:eastAsia="楷体" w:hAnsi="楷体"/>
                <w:noProof/>
              </w:rPr>
              <w:drawing>
                <wp:inline distT="0" distB="0" distL="0" distR="0">
                  <wp:extent cx="3295650" cy="2114550"/>
                  <wp:effectExtent l="1905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3295650" cy="2114550"/>
                          </a:xfrm>
                          <a:prstGeom prst="rect">
                            <a:avLst/>
                          </a:prstGeom>
                          <a:noFill/>
                        </pic:spPr>
                      </pic:pic>
                    </a:graphicData>
                  </a:graphic>
                </wp:inline>
              </w:drawing>
            </w:r>
          </w:p>
        </w:tc>
      </w:tr>
    </w:tbl>
    <w:p w:rsidR="002C111A" w:rsidRPr="002C111A" w:rsidRDefault="002C111A" w:rsidP="00900D47">
      <w:pPr>
        <w:pStyle w:val="FootnoteNoline"/>
        <w:tabs>
          <w:tab w:val="left" w:pos="5250"/>
        </w:tabs>
        <w:ind w:left="0"/>
        <w:rPr>
          <w:rFonts w:ascii="楷体" w:eastAsia="楷体" w:hAnsi="楷体"/>
          <w:color w:val="FF6600"/>
        </w:rPr>
      </w:pPr>
      <w:r w:rsidRPr="00FC54FE">
        <w:rPr>
          <w:rFonts w:ascii="楷体" w:eastAsia="楷体" w:hAnsi="楷体" w:hint="eastAsia"/>
          <w:color w:val="FF6600"/>
        </w:rPr>
        <w:t xml:space="preserve">来源：凯石财富工场 wind </w:t>
      </w:r>
    </w:p>
    <w:p w:rsidR="00D11405" w:rsidRPr="004B74EE" w:rsidRDefault="007B7B61" w:rsidP="007B7B61">
      <w:pPr>
        <w:pStyle w:val="ab"/>
        <w:numPr>
          <w:ilvl w:val="4"/>
          <w:numId w:val="1"/>
        </w:numPr>
        <w:tabs>
          <w:tab w:val="left" w:pos="5250"/>
        </w:tabs>
        <w:spacing w:after="163"/>
      </w:pPr>
      <w:r w:rsidRPr="007B7B61">
        <w:rPr>
          <w:rFonts w:hint="eastAsia"/>
          <w:b/>
        </w:rPr>
        <w:t>风险点：</w:t>
      </w:r>
      <w:r w:rsidR="00A17CA5" w:rsidRPr="00A17CA5">
        <w:rPr>
          <w:rFonts w:hint="eastAsia"/>
        </w:rPr>
        <w:t>美联储</w:t>
      </w:r>
      <w:r>
        <w:rPr>
          <w:rFonts w:hint="eastAsia"/>
        </w:rPr>
        <w:t>加息将抑制美股</w:t>
      </w:r>
      <w:r>
        <w:rPr>
          <w:rFonts w:hint="eastAsia"/>
        </w:rPr>
        <w:t>2015</w:t>
      </w:r>
      <w:r>
        <w:rPr>
          <w:rFonts w:hint="eastAsia"/>
        </w:rPr>
        <w:t>年上行空间</w:t>
      </w:r>
      <w:r w:rsidR="00D11405">
        <w:rPr>
          <w:rFonts w:hint="eastAsia"/>
        </w:rPr>
        <w:t>，并</w:t>
      </w:r>
      <w:r w:rsidR="00A657D0">
        <w:rPr>
          <w:rFonts w:hint="eastAsia"/>
        </w:rPr>
        <w:t>有可能在上半年、特别是二季度</w:t>
      </w:r>
      <w:r w:rsidR="00D11405">
        <w:rPr>
          <w:rFonts w:hint="eastAsia"/>
        </w:rPr>
        <w:t>引发较大波动</w:t>
      </w:r>
      <w:r>
        <w:rPr>
          <w:rFonts w:hint="eastAsia"/>
        </w:rPr>
        <w:t>。</w:t>
      </w:r>
      <w:r w:rsidR="00967550">
        <w:rPr>
          <w:rFonts w:hint="eastAsia"/>
        </w:rPr>
        <w:t>随着美国经济</w:t>
      </w:r>
      <w:r>
        <w:rPr>
          <w:rFonts w:hint="eastAsia"/>
        </w:rPr>
        <w:t>复苏</w:t>
      </w:r>
      <w:r w:rsidR="00967550">
        <w:rPr>
          <w:rFonts w:hint="eastAsia"/>
        </w:rPr>
        <w:t>稳固，市场对美联储加息预期趋强</w:t>
      </w:r>
      <w:r>
        <w:rPr>
          <w:rFonts w:hint="eastAsia"/>
        </w:rPr>
        <w:t>。</w:t>
      </w:r>
      <w:r>
        <w:rPr>
          <w:rFonts w:hint="eastAsia"/>
        </w:rPr>
        <w:t>12</w:t>
      </w:r>
      <w:r>
        <w:rPr>
          <w:rFonts w:hint="eastAsia"/>
        </w:rPr>
        <w:t>月</w:t>
      </w:r>
      <w:r>
        <w:rPr>
          <w:rFonts w:hint="eastAsia"/>
        </w:rPr>
        <w:t>17</w:t>
      </w:r>
      <w:r w:rsidR="00967550">
        <w:rPr>
          <w:rFonts w:hint="eastAsia"/>
        </w:rPr>
        <w:t>日</w:t>
      </w:r>
      <w:r>
        <w:rPr>
          <w:rFonts w:hint="eastAsia"/>
        </w:rPr>
        <w:t>美联储发布本年度最后一份货币政策决议声明，</w:t>
      </w:r>
      <w:r w:rsidRPr="004B74EE">
        <w:t>维持联邦基金</w:t>
      </w:r>
      <w:hyperlink r:id="rId13" w:tgtFrame="_blank" w:history="1">
        <w:r w:rsidRPr="004B74EE">
          <w:t>利率</w:t>
        </w:r>
      </w:hyperlink>
      <w:r w:rsidRPr="004B74EE">
        <w:t>目标区间在</w:t>
      </w:r>
      <w:r w:rsidRPr="004B74EE">
        <w:t>0~0.25%</w:t>
      </w:r>
      <w:r w:rsidRPr="004B74EE">
        <w:t>不变，同时</w:t>
      </w:r>
      <w:r w:rsidR="000927EA">
        <w:rPr>
          <w:rFonts w:hint="eastAsia"/>
        </w:rPr>
        <w:t>表示将在货币政策正常化的启动问题上“保持耐心”，</w:t>
      </w:r>
      <w:r w:rsidR="00967550">
        <w:rPr>
          <w:rFonts w:hint="eastAsia"/>
        </w:rPr>
        <w:t>此举引发市场对</w:t>
      </w:r>
      <w:r>
        <w:rPr>
          <w:rFonts w:hint="eastAsia"/>
        </w:rPr>
        <w:t>加</w:t>
      </w:r>
      <w:r w:rsidR="00967550">
        <w:rPr>
          <w:rFonts w:hint="eastAsia"/>
        </w:rPr>
        <w:t>息步伐</w:t>
      </w:r>
      <w:r w:rsidR="009F50F3">
        <w:rPr>
          <w:rFonts w:hint="eastAsia"/>
        </w:rPr>
        <w:t>将提速至</w:t>
      </w:r>
      <w:r w:rsidR="009F50F3">
        <w:rPr>
          <w:rFonts w:hint="eastAsia"/>
        </w:rPr>
        <w:t>2015</w:t>
      </w:r>
      <w:r w:rsidR="009F50F3">
        <w:rPr>
          <w:rFonts w:hint="eastAsia"/>
        </w:rPr>
        <w:t>年年中</w:t>
      </w:r>
      <w:r w:rsidR="00967550">
        <w:rPr>
          <w:rFonts w:hint="eastAsia"/>
        </w:rPr>
        <w:t>的推测</w:t>
      </w:r>
      <w:r>
        <w:rPr>
          <w:rFonts w:hint="eastAsia"/>
        </w:rPr>
        <w:t>。</w:t>
      </w:r>
      <w:r w:rsidR="00FD443C">
        <w:rPr>
          <w:rFonts w:hint="eastAsia"/>
        </w:rPr>
        <w:t>然</w:t>
      </w:r>
      <w:r w:rsidR="00C50209">
        <w:rPr>
          <w:rFonts w:hint="eastAsia"/>
        </w:rPr>
        <w:t>而</w:t>
      </w:r>
      <w:r w:rsidR="00C50209" w:rsidRPr="004B74EE">
        <w:rPr>
          <w:rFonts w:hint="eastAsia"/>
        </w:rPr>
        <w:t>全球经济</w:t>
      </w:r>
      <w:r w:rsidR="000927EA" w:rsidRPr="004B74EE">
        <w:rPr>
          <w:rFonts w:hint="eastAsia"/>
        </w:rPr>
        <w:t>落后于美国的形势</w:t>
      </w:r>
      <w:r w:rsidR="00C50209" w:rsidRPr="004B74EE">
        <w:rPr>
          <w:rFonts w:hint="eastAsia"/>
        </w:rPr>
        <w:t>提高了美联储加息决策的复杂性，让市场难以捕捉准确信号。</w:t>
      </w:r>
      <w:r w:rsidR="00254E39" w:rsidRPr="004B74EE">
        <w:rPr>
          <w:rFonts w:hint="eastAsia"/>
        </w:rPr>
        <w:t>待</w:t>
      </w:r>
      <w:r w:rsidR="00254E39" w:rsidRPr="0009278A">
        <w:rPr>
          <w:rFonts w:hint="eastAsia"/>
        </w:rPr>
        <w:t>到加息</w:t>
      </w:r>
      <w:r w:rsidR="00254E39">
        <w:rPr>
          <w:rFonts w:hint="eastAsia"/>
        </w:rPr>
        <w:t>预期兑现</w:t>
      </w:r>
      <w:r w:rsidR="00254E39" w:rsidRPr="0009278A">
        <w:rPr>
          <w:rFonts w:hint="eastAsia"/>
        </w:rPr>
        <w:t>，</w:t>
      </w:r>
      <w:r w:rsidR="00254E39">
        <w:rPr>
          <w:rFonts w:hint="eastAsia"/>
        </w:rPr>
        <w:t>美股或将再度迎来投资时机。</w:t>
      </w:r>
    </w:p>
    <w:p w:rsidR="00864912" w:rsidRPr="00864912" w:rsidRDefault="00864912" w:rsidP="00864912">
      <w:pPr>
        <w:pStyle w:val="ab"/>
        <w:numPr>
          <w:ilvl w:val="5"/>
          <w:numId w:val="2"/>
        </w:numPr>
        <w:tabs>
          <w:tab w:val="left" w:pos="5250"/>
        </w:tabs>
        <w:spacing w:after="163"/>
        <w:ind w:left="4140" w:hanging="369"/>
      </w:pPr>
      <w:r>
        <w:rPr>
          <w:rFonts w:hint="eastAsia"/>
        </w:rPr>
        <w:t>“保持耐心”一说与</w:t>
      </w:r>
      <w:r>
        <w:rPr>
          <w:rFonts w:hint="eastAsia"/>
        </w:rPr>
        <w:t>2004</w:t>
      </w:r>
      <w:r>
        <w:rPr>
          <w:rFonts w:hint="eastAsia"/>
        </w:rPr>
        <w:t>年</w:t>
      </w:r>
      <w:r>
        <w:rPr>
          <w:rFonts w:hint="eastAsia"/>
        </w:rPr>
        <w:t>6</w:t>
      </w:r>
      <w:r>
        <w:rPr>
          <w:rFonts w:hint="eastAsia"/>
        </w:rPr>
        <w:t>月加息前所采用的措辞颇为相似：</w:t>
      </w:r>
      <w:r>
        <w:rPr>
          <w:rFonts w:hint="eastAsia"/>
        </w:rPr>
        <w:t>2004</w:t>
      </w:r>
      <w:r>
        <w:rPr>
          <w:rFonts w:hint="eastAsia"/>
        </w:rPr>
        <w:t>年</w:t>
      </w:r>
      <w:r>
        <w:rPr>
          <w:rFonts w:hint="eastAsia"/>
        </w:rPr>
        <w:t>1</w:t>
      </w:r>
      <w:r>
        <w:rPr>
          <w:rFonts w:hint="eastAsia"/>
        </w:rPr>
        <w:t>月</w:t>
      </w:r>
      <w:r>
        <w:rPr>
          <w:rFonts w:hint="eastAsia"/>
        </w:rPr>
        <w:t>28</w:t>
      </w:r>
      <w:r>
        <w:rPr>
          <w:rFonts w:hint="eastAsia"/>
        </w:rPr>
        <w:t>日，美联储在货币政策会议上改变“将在相当长一</w:t>
      </w:r>
      <w:r w:rsidR="00610956">
        <w:rPr>
          <w:rFonts w:hint="eastAsia"/>
        </w:rPr>
        <w:t>段时间内”维持低利率的承诺，称将在退出宽松措施时“保持耐心”，尔</w:t>
      </w:r>
      <w:r>
        <w:rPr>
          <w:rFonts w:hint="eastAsia"/>
        </w:rPr>
        <w:t>后美联储旋即于当年</w:t>
      </w:r>
      <w:r>
        <w:rPr>
          <w:rFonts w:hint="eastAsia"/>
        </w:rPr>
        <w:t>6</w:t>
      </w:r>
      <w:r>
        <w:rPr>
          <w:rFonts w:hint="eastAsia"/>
        </w:rPr>
        <w:t>月加息至</w:t>
      </w:r>
      <w:r>
        <w:rPr>
          <w:rFonts w:hint="eastAsia"/>
        </w:rPr>
        <w:t>1.25%</w:t>
      </w:r>
      <w:r>
        <w:rPr>
          <w:rFonts w:hint="eastAsia"/>
        </w:rPr>
        <w:t>。</w:t>
      </w:r>
    </w:p>
    <w:p w:rsidR="00967550" w:rsidRPr="00967550" w:rsidRDefault="00FD443C" w:rsidP="007B7B61">
      <w:pPr>
        <w:pStyle w:val="ab"/>
        <w:numPr>
          <w:ilvl w:val="4"/>
          <w:numId w:val="1"/>
        </w:numPr>
        <w:tabs>
          <w:tab w:val="left" w:pos="5250"/>
        </w:tabs>
        <w:spacing w:after="163"/>
        <w:rPr>
          <w:rFonts w:eastAsia="楷体" w:cs="Arial"/>
        </w:rPr>
      </w:pPr>
      <w:r>
        <w:rPr>
          <w:rFonts w:hint="eastAsia"/>
        </w:rPr>
        <w:t>对市场而言，</w:t>
      </w:r>
      <w:r w:rsidR="00967550">
        <w:rPr>
          <w:rFonts w:hint="eastAsia"/>
        </w:rPr>
        <w:t>加息</w:t>
      </w:r>
      <w:r w:rsidR="00967550" w:rsidRPr="007B7B61">
        <w:rPr>
          <w:rFonts w:hint="eastAsia"/>
        </w:rPr>
        <w:t>不仅</w:t>
      </w:r>
      <w:r w:rsidR="00967550">
        <w:rPr>
          <w:rFonts w:hint="eastAsia"/>
        </w:rPr>
        <w:t>将进一步支撑美元</w:t>
      </w:r>
      <w:r w:rsidR="00BE352C">
        <w:rPr>
          <w:rFonts w:hint="eastAsia"/>
        </w:rPr>
        <w:t>并打压黄金价格</w:t>
      </w:r>
      <w:r w:rsidR="00967550">
        <w:rPr>
          <w:rFonts w:hint="eastAsia"/>
        </w:rPr>
        <w:t>，且会提升美债收益率、</w:t>
      </w:r>
      <w:r w:rsidR="00967550" w:rsidRPr="007B7B61">
        <w:rPr>
          <w:rFonts w:hint="eastAsia"/>
        </w:rPr>
        <w:t>压缩企业盈利</w:t>
      </w:r>
      <w:r w:rsidR="00967550">
        <w:rPr>
          <w:rFonts w:hint="eastAsia"/>
        </w:rPr>
        <w:t>，</w:t>
      </w:r>
      <w:r>
        <w:rPr>
          <w:rFonts w:hint="eastAsia"/>
        </w:rPr>
        <w:t>进而限制美国股市</w:t>
      </w:r>
      <w:r w:rsidR="00967550">
        <w:rPr>
          <w:rFonts w:hint="eastAsia"/>
        </w:rPr>
        <w:t>的</w:t>
      </w:r>
      <w:r w:rsidR="00967550" w:rsidRPr="007B7B61">
        <w:rPr>
          <w:rFonts w:hint="eastAsia"/>
        </w:rPr>
        <w:t>上行空间。</w:t>
      </w:r>
      <w:r w:rsidR="005546EB" w:rsidRPr="0009278A">
        <w:rPr>
          <w:rFonts w:hint="eastAsia"/>
        </w:rPr>
        <w:t>美联储加息时间的不确定性</w:t>
      </w:r>
      <w:r w:rsidR="005546EB">
        <w:rPr>
          <w:rFonts w:hint="eastAsia"/>
        </w:rPr>
        <w:t>，恐将为明年美股注入</w:t>
      </w:r>
      <w:r w:rsidR="005546EB" w:rsidRPr="0009278A">
        <w:rPr>
          <w:rFonts w:hint="eastAsia"/>
        </w:rPr>
        <w:t>更大的波动性。</w:t>
      </w:r>
      <w:r w:rsidR="00044596">
        <w:rPr>
          <w:rFonts w:hint="eastAsia"/>
        </w:rPr>
        <w:t>因此对于</w:t>
      </w:r>
      <w:r w:rsidR="00351FE7">
        <w:rPr>
          <w:rFonts w:hint="eastAsia"/>
        </w:rPr>
        <w:t>QDII</w:t>
      </w:r>
      <w:r w:rsidR="002A1D52">
        <w:rPr>
          <w:rFonts w:hint="eastAsia"/>
        </w:rPr>
        <w:t>投资者</w:t>
      </w:r>
      <w:r w:rsidR="00044596">
        <w:rPr>
          <w:rFonts w:hint="eastAsia"/>
        </w:rPr>
        <w:t>，</w:t>
      </w:r>
      <w:r w:rsidR="00C82B9F">
        <w:rPr>
          <w:rFonts w:hint="eastAsia"/>
        </w:rPr>
        <w:t>美国进入加息周期</w:t>
      </w:r>
      <w:r w:rsidR="00044596">
        <w:rPr>
          <w:rFonts w:hint="eastAsia"/>
        </w:rPr>
        <w:t>是</w:t>
      </w:r>
      <w:r w:rsidR="00044596">
        <w:rPr>
          <w:rFonts w:hint="eastAsia"/>
        </w:rPr>
        <w:t>2015</w:t>
      </w:r>
      <w:r w:rsidR="00044596">
        <w:rPr>
          <w:rFonts w:hint="eastAsia"/>
        </w:rPr>
        <w:t>年最需警惕的</w:t>
      </w:r>
      <w:r w:rsidR="00977FA6">
        <w:rPr>
          <w:rFonts w:hint="eastAsia"/>
        </w:rPr>
        <w:t>风险点</w:t>
      </w:r>
      <w:r w:rsidR="00044596">
        <w:rPr>
          <w:rFonts w:hint="eastAsia"/>
        </w:rPr>
        <w:t>。</w:t>
      </w:r>
    </w:p>
    <w:p w:rsidR="007B7B61" w:rsidRPr="00D41594" w:rsidRDefault="00977FA6" w:rsidP="00D41594">
      <w:pPr>
        <w:pStyle w:val="ab"/>
        <w:numPr>
          <w:ilvl w:val="4"/>
          <w:numId w:val="1"/>
        </w:numPr>
        <w:tabs>
          <w:tab w:val="left" w:pos="5250"/>
        </w:tabs>
        <w:spacing w:after="163"/>
      </w:pPr>
      <w:r>
        <w:rPr>
          <w:rFonts w:hint="eastAsia"/>
        </w:rPr>
        <w:t>大环境</w:t>
      </w:r>
      <w:r w:rsidR="00DA1850">
        <w:rPr>
          <w:rFonts w:hint="eastAsia"/>
        </w:rPr>
        <w:t>也</w:t>
      </w:r>
      <w:r w:rsidR="00A657D0">
        <w:rPr>
          <w:rFonts w:hint="eastAsia"/>
        </w:rPr>
        <w:t>令</w:t>
      </w:r>
      <w:r w:rsidR="00FD443C">
        <w:rPr>
          <w:rFonts w:hint="eastAsia"/>
        </w:rPr>
        <w:t>美国股市</w:t>
      </w:r>
      <w:r w:rsidR="00FD443C">
        <w:rPr>
          <w:rFonts w:hint="eastAsia"/>
        </w:rPr>
        <w:t>2015</w:t>
      </w:r>
      <w:r w:rsidR="00FD443C">
        <w:rPr>
          <w:rFonts w:hint="eastAsia"/>
        </w:rPr>
        <w:t>年</w:t>
      </w:r>
      <w:r w:rsidR="00A56A79">
        <w:rPr>
          <w:rFonts w:hint="eastAsia"/>
        </w:rPr>
        <w:t>涨幅</w:t>
      </w:r>
      <w:r w:rsidR="00FD443C">
        <w:rPr>
          <w:rFonts w:hint="eastAsia"/>
        </w:rPr>
        <w:t>难</w:t>
      </w:r>
      <w:r w:rsidR="00864912">
        <w:rPr>
          <w:rFonts w:hint="eastAsia"/>
        </w:rPr>
        <w:t>再</w:t>
      </w:r>
      <w:r w:rsidR="00FD443C">
        <w:rPr>
          <w:rFonts w:hint="eastAsia"/>
        </w:rPr>
        <w:t>创新高。</w:t>
      </w:r>
      <w:r w:rsidR="00C81C57" w:rsidRPr="00C81C57">
        <w:rPr>
          <w:rFonts w:hint="eastAsia"/>
        </w:rPr>
        <w:t>自</w:t>
      </w:r>
      <w:r w:rsidR="00C81C57" w:rsidRPr="00C81C57">
        <w:rPr>
          <w:rFonts w:hint="eastAsia"/>
        </w:rPr>
        <w:t>2008</w:t>
      </w:r>
      <w:r w:rsidR="00C81C57" w:rsidRPr="00C81C57">
        <w:rPr>
          <w:rFonts w:hint="eastAsia"/>
        </w:rPr>
        <w:t>年</w:t>
      </w:r>
      <w:r w:rsidR="00C81C57" w:rsidRPr="00C81C57">
        <w:rPr>
          <w:rFonts w:hint="eastAsia"/>
        </w:rPr>
        <w:t>11</w:t>
      </w:r>
      <w:r w:rsidR="00E2074A">
        <w:rPr>
          <w:rFonts w:hint="eastAsia"/>
        </w:rPr>
        <w:t>月美联储开启</w:t>
      </w:r>
      <w:r w:rsidR="00E2074A">
        <w:rPr>
          <w:rFonts w:hint="eastAsia"/>
        </w:rPr>
        <w:t>QE1</w:t>
      </w:r>
      <w:r w:rsidR="00E2074A">
        <w:rPr>
          <w:rFonts w:hint="eastAsia"/>
        </w:rPr>
        <w:t>至今</w:t>
      </w:r>
      <w:r w:rsidR="00C81C57" w:rsidRPr="00C81C57">
        <w:rPr>
          <w:rFonts w:hint="eastAsia"/>
        </w:rPr>
        <w:t>，美股进入五年大牛市。</w:t>
      </w:r>
      <w:r w:rsidR="00E2074A">
        <w:rPr>
          <w:rFonts w:hint="eastAsia"/>
        </w:rPr>
        <w:t>而眼下</w:t>
      </w:r>
      <w:r w:rsidR="00FD443C">
        <w:rPr>
          <w:rFonts w:hint="eastAsia"/>
        </w:rPr>
        <w:t>包括美国在内的全球</w:t>
      </w:r>
      <w:r w:rsidR="00E2074A">
        <w:rPr>
          <w:rFonts w:hint="eastAsia"/>
        </w:rPr>
        <w:t>市场</w:t>
      </w:r>
      <w:r w:rsidR="00FD443C">
        <w:rPr>
          <w:rFonts w:hint="eastAsia"/>
        </w:rPr>
        <w:t>均</w:t>
      </w:r>
      <w:r w:rsidR="00E2074A">
        <w:rPr>
          <w:rFonts w:hint="eastAsia"/>
        </w:rPr>
        <w:t>正在进入低通胀、低利率</w:t>
      </w:r>
      <w:r w:rsidR="00FD443C">
        <w:rPr>
          <w:rFonts w:hint="eastAsia"/>
        </w:rPr>
        <w:t>、低成长</w:t>
      </w:r>
      <w:r w:rsidR="00E2074A" w:rsidRPr="00C81C57">
        <w:rPr>
          <w:rFonts w:hint="eastAsia"/>
        </w:rPr>
        <w:t>的低回报环境，未来美股收益</w:t>
      </w:r>
      <w:r w:rsidR="00D11405">
        <w:rPr>
          <w:rFonts w:hint="eastAsia"/>
        </w:rPr>
        <w:t>料将</w:t>
      </w:r>
      <w:r w:rsidR="00E2074A" w:rsidRPr="00C81C57">
        <w:rPr>
          <w:rFonts w:hint="eastAsia"/>
        </w:rPr>
        <w:t>难</w:t>
      </w:r>
      <w:r w:rsidR="00D11405">
        <w:rPr>
          <w:rFonts w:hint="eastAsia"/>
        </w:rPr>
        <w:t>以</w:t>
      </w:r>
      <w:r w:rsidR="00E2074A" w:rsidRPr="00C81C57">
        <w:rPr>
          <w:rFonts w:hint="eastAsia"/>
        </w:rPr>
        <w:t>超越过去</w:t>
      </w:r>
      <w:r w:rsidR="00D11405">
        <w:rPr>
          <w:rFonts w:hint="eastAsia"/>
        </w:rPr>
        <w:t>五</w:t>
      </w:r>
      <w:r w:rsidR="00E2074A">
        <w:rPr>
          <w:rFonts w:hint="eastAsia"/>
        </w:rPr>
        <w:t>年</w:t>
      </w:r>
      <w:r w:rsidR="00E2074A" w:rsidRPr="00C81C57">
        <w:rPr>
          <w:rFonts w:hint="eastAsia"/>
        </w:rPr>
        <w:t>。</w:t>
      </w:r>
    </w:p>
    <w:p w:rsidR="00C90B50" w:rsidRPr="00C84B76" w:rsidRDefault="005F5E5D" w:rsidP="00900D47">
      <w:pPr>
        <w:widowControl/>
        <w:tabs>
          <w:tab w:val="left" w:pos="5250"/>
        </w:tabs>
        <w:spacing w:after="120"/>
        <w:ind w:left="3430"/>
        <w:rPr>
          <w:rFonts w:ascii="楷体" w:eastAsia="楷体" w:hAnsi="楷体"/>
          <w:b/>
          <w:bCs/>
          <w:color w:val="0070C0"/>
          <w:kern w:val="0"/>
          <w:szCs w:val="21"/>
          <w:lang w:val="en-GB"/>
        </w:rPr>
      </w:pPr>
      <w:r w:rsidRPr="00FC54FE">
        <w:rPr>
          <w:rFonts w:ascii="楷体" w:eastAsia="楷体" w:hAnsi="楷体" w:hint="eastAsia"/>
          <w:b/>
          <w:bCs/>
          <w:color w:val="0070C0"/>
          <w:kern w:val="0"/>
          <w:szCs w:val="21"/>
          <w:lang w:val="en-GB"/>
        </w:rPr>
        <w:t>欧洲</w:t>
      </w:r>
      <w:r w:rsidR="007E7D79" w:rsidRPr="00FC54FE">
        <w:rPr>
          <w:rFonts w:ascii="楷体" w:eastAsia="楷体" w:hAnsi="楷体" w:hint="eastAsia"/>
          <w:b/>
          <w:bCs/>
          <w:color w:val="0070C0"/>
          <w:kern w:val="0"/>
          <w:szCs w:val="21"/>
          <w:lang w:val="en-GB"/>
        </w:rPr>
        <w:t>：</w:t>
      </w:r>
      <w:bookmarkStart w:id="0" w:name="_GoBack"/>
      <w:bookmarkEnd w:id="0"/>
      <w:r w:rsidR="00044305">
        <w:rPr>
          <w:rFonts w:ascii="楷体" w:eastAsia="楷体" w:hAnsi="楷体" w:hint="eastAsia"/>
          <w:b/>
          <w:bCs/>
          <w:color w:val="0070C0"/>
          <w:kern w:val="0"/>
          <w:szCs w:val="21"/>
          <w:lang w:val="en-GB"/>
        </w:rPr>
        <w:t>迎来宽</w:t>
      </w:r>
      <w:r w:rsidR="008A76F9">
        <w:rPr>
          <w:rFonts w:ascii="楷体" w:eastAsia="楷体" w:hAnsi="楷体" w:hint="eastAsia"/>
          <w:b/>
          <w:bCs/>
          <w:color w:val="0070C0"/>
          <w:kern w:val="0"/>
          <w:szCs w:val="21"/>
          <w:lang w:val="en-GB"/>
        </w:rPr>
        <w:t>松</w:t>
      </w:r>
      <w:r w:rsidR="00044305">
        <w:rPr>
          <w:rFonts w:ascii="楷体" w:eastAsia="楷体" w:hAnsi="楷体" w:hint="eastAsia"/>
          <w:b/>
          <w:bCs/>
          <w:color w:val="0070C0"/>
          <w:kern w:val="0"/>
          <w:szCs w:val="21"/>
          <w:lang w:val="en-GB"/>
        </w:rPr>
        <w:t>周期</w:t>
      </w:r>
      <w:r w:rsidR="008A76F9">
        <w:rPr>
          <w:rFonts w:ascii="楷体" w:eastAsia="楷体" w:hAnsi="楷体" w:hint="eastAsia"/>
          <w:b/>
          <w:bCs/>
          <w:color w:val="0070C0"/>
          <w:kern w:val="0"/>
          <w:szCs w:val="21"/>
          <w:lang w:val="en-GB"/>
        </w:rPr>
        <w:t>，</w:t>
      </w:r>
      <w:r w:rsidR="001A4B1F">
        <w:rPr>
          <w:rFonts w:ascii="楷体" w:eastAsia="楷体" w:hAnsi="楷体" w:hint="eastAsia"/>
          <w:b/>
          <w:bCs/>
          <w:color w:val="0070C0"/>
          <w:kern w:val="0"/>
          <w:szCs w:val="21"/>
          <w:lang w:val="en-GB"/>
        </w:rPr>
        <w:t>危机伴随复苏</w:t>
      </w:r>
    </w:p>
    <w:p w:rsidR="008A76F9" w:rsidRDefault="008A76F9" w:rsidP="00900D47">
      <w:pPr>
        <w:pStyle w:val="ab"/>
        <w:numPr>
          <w:ilvl w:val="4"/>
          <w:numId w:val="1"/>
        </w:numPr>
        <w:tabs>
          <w:tab w:val="left" w:pos="5250"/>
        </w:tabs>
        <w:spacing w:after="163"/>
        <w:rPr>
          <w:rFonts w:eastAsia="楷体" w:cs="Arial"/>
        </w:rPr>
      </w:pPr>
      <w:r w:rsidRPr="00B44B90">
        <w:rPr>
          <w:rFonts w:eastAsia="楷体" w:cs="Arial" w:hint="eastAsia"/>
        </w:rPr>
        <w:t>2014</w:t>
      </w:r>
      <w:r w:rsidRPr="00B44B90">
        <w:rPr>
          <w:rFonts w:eastAsia="楷体" w:cs="Arial" w:hint="eastAsia"/>
        </w:rPr>
        <w:t>年，欧元区</w:t>
      </w:r>
      <w:r w:rsidRPr="00B44B90">
        <w:rPr>
          <w:rFonts w:eastAsia="楷体" w:cs="Arial" w:hint="eastAsia"/>
        </w:rPr>
        <w:t>GDP</w:t>
      </w:r>
      <w:r w:rsidRPr="00B44B90">
        <w:rPr>
          <w:rFonts w:eastAsia="楷体" w:cs="Arial" w:hint="eastAsia"/>
        </w:rPr>
        <w:t>增速</w:t>
      </w:r>
      <w:r w:rsidR="00E5122A" w:rsidRPr="00B44B90">
        <w:rPr>
          <w:rFonts w:eastAsia="楷体" w:cs="Arial" w:hint="eastAsia"/>
        </w:rPr>
        <w:t>由衰退重回增长</w:t>
      </w:r>
      <w:r w:rsidRPr="00B44B90">
        <w:rPr>
          <w:rFonts w:eastAsia="楷体" w:cs="Arial" w:hint="eastAsia"/>
        </w:rPr>
        <w:t>，</w:t>
      </w:r>
      <w:r w:rsidR="00E5122A">
        <w:rPr>
          <w:rFonts w:eastAsia="楷体" w:cs="Arial" w:hint="eastAsia"/>
        </w:rPr>
        <w:t>但</w:t>
      </w:r>
      <w:r w:rsidR="00E469EC">
        <w:rPr>
          <w:rFonts w:eastAsia="楷体" w:cs="Arial" w:hint="eastAsia"/>
        </w:rPr>
        <w:t>由于</w:t>
      </w:r>
      <w:r w:rsidR="00E5122A">
        <w:rPr>
          <w:rFonts w:eastAsia="楷体" w:cs="Arial" w:hint="eastAsia"/>
        </w:rPr>
        <w:t>高失业率、银行信贷不足、</w:t>
      </w:r>
      <w:r w:rsidR="00E5122A" w:rsidRPr="008B54C4">
        <w:rPr>
          <w:rFonts w:eastAsia="楷体" w:cs="Arial" w:hint="eastAsia"/>
        </w:rPr>
        <w:t>地缘政治风险</w:t>
      </w:r>
      <w:r w:rsidR="00E5122A">
        <w:rPr>
          <w:rFonts w:eastAsia="楷体" w:cs="Arial" w:hint="eastAsia"/>
        </w:rPr>
        <w:t>、各成员国发展不均等</w:t>
      </w:r>
      <w:r w:rsidR="00E5122A" w:rsidRPr="008B54C4">
        <w:rPr>
          <w:rFonts w:eastAsia="楷体" w:cs="Arial" w:hint="eastAsia"/>
        </w:rPr>
        <w:t>原因</w:t>
      </w:r>
      <w:r w:rsidR="00E5122A">
        <w:rPr>
          <w:rFonts w:eastAsia="楷体" w:cs="Arial" w:hint="eastAsia"/>
        </w:rPr>
        <w:t>，</w:t>
      </w:r>
      <w:r w:rsidR="005B2C33">
        <w:rPr>
          <w:rFonts w:eastAsia="楷体" w:cs="Arial" w:hint="eastAsia"/>
        </w:rPr>
        <w:t>复苏仍</w:t>
      </w:r>
      <w:r w:rsidR="00E5122A" w:rsidRPr="008B54C4">
        <w:rPr>
          <w:rFonts w:eastAsia="楷体" w:cs="Arial" w:hint="eastAsia"/>
        </w:rPr>
        <w:t>较为脆弱。</w:t>
      </w:r>
      <w:r w:rsidR="00E5122A">
        <w:rPr>
          <w:rFonts w:eastAsia="楷体" w:cs="Arial" w:hint="eastAsia"/>
        </w:rPr>
        <w:t>展望</w:t>
      </w:r>
      <w:r w:rsidR="00E5122A">
        <w:rPr>
          <w:rFonts w:eastAsia="楷体" w:cs="Arial" w:hint="eastAsia"/>
        </w:rPr>
        <w:t>2015</w:t>
      </w:r>
      <w:r w:rsidR="00425CAF">
        <w:rPr>
          <w:rFonts w:eastAsia="楷体" w:cs="Arial" w:hint="eastAsia"/>
        </w:rPr>
        <w:t>年，欧洲</w:t>
      </w:r>
      <w:r w:rsidR="00E5122A">
        <w:rPr>
          <w:rFonts w:eastAsia="楷体" w:cs="Arial" w:hint="eastAsia"/>
        </w:rPr>
        <w:t>经济将</w:t>
      </w:r>
      <w:r w:rsidR="00636B18">
        <w:rPr>
          <w:rFonts w:eastAsia="楷体" w:cs="Arial" w:hint="eastAsia"/>
        </w:rPr>
        <w:t>延续缓慢复苏，</w:t>
      </w:r>
      <w:r w:rsidR="00E469EC">
        <w:rPr>
          <w:rFonts w:eastAsia="楷体" w:cs="Arial" w:hint="eastAsia"/>
        </w:rPr>
        <w:t>考虑到</w:t>
      </w:r>
      <w:r w:rsidR="00E469EC" w:rsidRPr="008B54C4">
        <w:rPr>
          <w:rFonts w:eastAsia="楷体" w:cs="Arial" w:hint="eastAsia"/>
        </w:rPr>
        <w:t>欧元走</w:t>
      </w:r>
      <w:r w:rsidR="00E469EC">
        <w:rPr>
          <w:rFonts w:eastAsia="楷体" w:cs="Arial" w:hint="eastAsia"/>
        </w:rPr>
        <w:t>弱以及德国经济逐步稳定的</w:t>
      </w:r>
      <w:r w:rsidR="00E469EC" w:rsidRPr="008B54C4">
        <w:rPr>
          <w:rFonts w:eastAsia="楷体" w:cs="Arial" w:hint="eastAsia"/>
        </w:rPr>
        <w:t>带动</w:t>
      </w:r>
      <w:r w:rsidR="00E469EC">
        <w:rPr>
          <w:rFonts w:eastAsia="楷体" w:cs="Arial" w:hint="eastAsia"/>
        </w:rPr>
        <w:t>作用，经济增度有望比</w:t>
      </w:r>
      <w:r w:rsidR="00E5122A">
        <w:rPr>
          <w:rFonts w:eastAsia="楷体" w:cs="Arial" w:hint="eastAsia"/>
        </w:rPr>
        <w:t>今年略有提高</w:t>
      </w:r>
      <w:r w:rsidR="00425CAF">
        <w:rPr>
          <w:rFonts w:eastAsia="楷体" w:cs="Arial" w:hint="eastAsia"/>
        </w:rPr>
        <w:t>。</w:t>
      </w:r>
      <w:r w:rsidR="009B1269">
        <w:rPr>
          <w:szCs w:val="21"/>
        </w:rPr>
        <w:t>IMF</w:t>
      </w:r>
      <w:r w:rsidR="009B1269">
        <w:rPr>
          <w:szCs w:val="21"/>
        </w:rPr>
        <w:t>预测，</w:t>
      </w:r>
      <w:r w:rsidR="009B1269">
        <w:rPr>
          <w:szCs w:val="21"/>
        </w:rPr>
        <w:t>2015</w:t>
      </w:r>
      <w:r w:rsidR="009B1269">
        <w:rPr>
          <w:szCs w:val="21"/>
        </w:rPr>
        <w:t>年欧元区经济将增长</w:t>
      </w:r>
      <w:r w:rsidR="009B1269">
        <w:rPr>
          <w:szCs w:val="21"/>
        </w:rPr>
        <w:t>1.3%</w:t>
      </w:r>
      <w:r w:rsidR="009B1269">
        <w:rPr>
          <w:szCs w:val="21"/>
        </w:rPr>
        <w:t>。</w:t>
      </w:r>
      <w:r w:rsidR="00425CAF">
        <w:rPr>
          <w:rFonts w:eastAsia="楷体" w:cs="Arial" w:hint="eastAsia"/>
        </w:rPr>
        <w:t>在经济弱企稳、</w:t>
      </w:r>
      <w:r>
        <w:rPr>
          <w:rFonts w:eastAsia="楷体" w:cs="Arial" w:hint="eastAsia"/>
        </w:rPr>
        <w:t>通缩威胁</w:t>
      </w:r>
      <w:r w:rsidR="00E5122A">
        <w:rPr>
          <w:rFonts w:eastAsia="楷体" w:cs="Arial" w:hint="eastAsia"/>
        </w:rPr>
        <w:t>挥之不去</w:t>
      </w:r>
      <w:r w:rsidR="002D4B39">
        <w:rPr>
          <w:rFonts w:eastAsia="楷体" w:cs="Arial" w:hint="eastAsia"/>
        </w:rPr>
        <w:t>的大环境中，</w:t>
      </w:r>
      <w:r w:rsidR="00E5122A">
        <w:rPr>
          <w:rFonts w:eastAsia="楷体" w:cs="Arial" w:hint="eastAsia"/>
        </w:rPr>
        <w:t>2015</w:t>
      </w:r>
      <w:r w:rsidR="00E5122A">
        <w:rPr>
          <w:rFonts w:eastAsia="楷体" w:cs="Arial" w:hint="eastAsia"/>
        </w:rPr>
        <w:t>年</w:t>
      </w:r>
      <w:r>
        <w:rPr>
          <w:rFonts w:eastAsia="楷体" w:cs="Arial" w:hint="eastAsia"/>
        </w:rPr>
        <w:t>欧洲</w:t>
      </w:r>
      <w:r w:rsidRPr="007B4776">
        <w:rPr>
          <w:rFonts w:eastAsia="楷体" w:cs="Arial" w:hint="eastAsia"/>
        </w:rPr>
        <w:t>将</w:t>
      </w:r>
      <w:r w:rsidRPr="007B4776">
        <w:rPr>
          <w:rFonts w:eastAsia="楷体" w:cs="Arial" w:hint="eastAsia"/>
        </w:rPr>
        <w:lastRenderedPageBreak/>
        <w:t>迎来宽松大周期</w:t>
      </w:r>
      <w:r w:rsidR="002D4B39">
        <w:rPr>
          <w:rFonts w:hint="eastAsia"/>
        </w:rPr>
        <w:t>：</w:t>
      </w:r>
      <w:r>
        <w:rPr>
          <w:rFonts w:hint="eastAsia"/>
        </w:rPr>
        <w:t>在</w:t>
      </w:r>
      <w:r w:rsidRPr="007B4776">
        <w:rPr>
          <w:rFonts w:eastAsia="楷体" w:cs="Arial" w:hint="eastAsia"/>
        </w:rPr>
        <w:t>2014</w:t>
      </w:r>
      <w:r>
        <w:rPr>
          <w:rFonts w:eastAsia="楷体" w:cs="Arial" w:hint="eastAsia"/>
        </w:rPr>
        <w:t>年欧央行定调宽松</w:t>
      </w:r>
      <w:r w:rsidRPr="007B4776">
        <w:rPr>
          <w:rFonts w:eastAsia="楷体" w:cs="Arial" w:hint="eastAsia"/>
        </w:rPr>
        <w:t>货币政策</w:t>
      </w:r>
      <w:r>
        <w:rPr>
          <w:rFonts w:eastAsia="楷体" w:cs="Arial" w:hint="eastAsia"/>
        </w:rPr>
        <w:t>的基础上，明年将是全面付诸行动并</w:t>
      </w:r>
      <w:r w:rsidR="00E5122A">
        <w:rPr>
          <w:rFonts w:eastAsia="楷体" w:cs="Arial" w:hint="eastAsia"/>
        </w:rPr>
        <w:t>产生</w:t>
      </w:r>
      <w:r w:rsidRPr="007B4776">
        <w:rPr>
          <w:rFonts w:eastAsia="楷体" w:cs="Arial" w:hint="eastAsia"/>
        </w:rPr>
        <w:t>效果的一年。</w:t>
      </w:r>
    </w:p>
    <w:p w:rsidR="000E22AC" w:rsidRDefault="00F67DB7" w:rsidP="009B1269">
      <w:pPr>
        <w:pStyle w:val="ab"/>
        <w:numPr>
          <w:ilvl w:val="4"/>
          <w:numId w:val="1"/>
        </w:numPr>
        <w:tabs>
          <w:tab w:val="left" w:pos="5250"/>
        </w:tabs>
        <w:spacing w:after="163"/>
        <w:rPr>
          <w:rFonts w:eastAsia="楷体" w:cs="Arial"/>
        </w:rPr>
      </w:pPr>
      <w:r>
        <w:rPr>
          <w:rFonts w:eastAsia="楷体" w:cs="Arial" w:hint="eastAsia"/>
        </w:rPr>
        <w:t>从积极层面看，</w:t>
      </w:r>
      <w:r w:rsidR="00820128" w:rsidRPr="009B1269">
        <w:rPr>
          <w:rFonts w:eastAsia="楷体" w:cs="Arial" w:hint="eastAsia"/>
        </w:rPr>
        <w:t>部分欧洲制造业企业将受益于欧元贬值和出口增长</w:t>
      </w:r>
      <w:r w:rsidR="008425DE" w:rsidRPr="009B1269">
        <w:rPr>
          <w:rFonts w:eastAsia="楷体" w:cs="Arial" w:hint="eastAsia"/>
        </w:rPr>
        <w:t>，</w:t>
      </w:r>
      <w:r w:rsidR="00636B18">
        <w:rPr>
          <w:rFonts w:eastAsia="楷体" w:cs="Arial"/>
        </w:rPr>
        <w:t>原油价格走</w:t>
      </w:r>
      <w:r w:rsidR="008425DE" w:rsidRPr="009B1269">
        <w:rPr>
          <w:rFonts w:eastAsia="楷体" w:cs="Arial"/>
        </w:rPr>
        <w:t>低亦将利好欧元区经济。</w:t>
      </w:r>
      <w:r w:rsidR="00820128" w:rsidRPr="009B1269">
        <w:rPr>
          <w:rFonts w:eastAsia="楷体" w:cs="Arial" w:hint="eastAsia"/>
        </w:rPr>
        <w:t>此外，</w:t>
      </w:r>
      <w:r w:rsidR="00E469EC">
        <w:rPr>
          <w:rFonts w:eastAsia="楷体" w:cs="Arial" w:hint="eastAsia"/>
        </w:rPr>
        <w:t>欧</w:t>
      </w:r>
      <w:r w:rsidR="00F65EFB">
        <w:rPr>
          <w:rFonts w:eastAsia="楷体" w:cs="Arial" w:hint="eastAsia"/>
        </w:rPr>
        <w:t>央行近期出台的宽松货币</w:t>
      </w:r>
      <w:r w:rsidR="000E22AC" w:rsidRPr="008B54C4">
        <w:rPr>
          <w:rFonts w:eastAsia="楷体" w:cs="Arial" w:hint="eastAsia"/>
        </w:rPr>
        <w:t>政策将在</w:t>
      </w:r>
      <w:r w:rsidR="000E22AC" w:rsidRPr="008B54C4">
        <w:rPr>
          <w:rFonts w:eastAsia="楷体" w:cs="Arial" w:hint="eastAsia"/>
        </w:rPr>
        <w:t>2015</w:t>
      </w:r>
      <w:r w:rsidR="008425DE">
        <w:rPr>
          <w:rFonts w:eastAsia="楷体" w:cs="Arial" w:hint="eastAsia"/>
        </w:rPr>
        <w:t>年产生效果，</w:t>
      </w:r>
      <w:r w:rsidR="000E22AC" w:rsidRPr="008B54C4">
        <w:rPr>
          <w:rFonts w:eastAsia="楷体" w:cs="Arial" w:hint="eastAsia"/>
        </w:rPr>
        <w:t>若</w:t>
      </w:r>
      <w:r w:rsidR="000E22AC" w:rsidRPr="008B54C4">
        <w:rPr>
          <w:rFonts w:eastAsia="楷体" w:cs="Arial" w:hint="eastAsia"/>
        </w:rPr>
        <w:t>2015</w:t>
      </w:r>
      <w:r w:rsidR="000E22AC" w:rsidRPr="008B54C4">
        <w:rPr>
          <w:rFonts w:eastAsia="楷体" w:cs="Arial" w:hint="eastAsia"/>
        </w:rPr>
        <w:t>年第一季度经济数据不理想，</w:t>
      </w:r>
      <w:r w:rsidR="000E22AC">
        <w:rPr>
          <w:rFonts w:eastAsia="楷体" w:cs="Arial" w:hint="eastAsia"/>
        </w:rPr>
        <w:t>则欧央行</w:t>
      </w:r>
      <w:r w:rsidR="008425DE">
        <w:rPr>
          <w:rFonts w:eastAsia="楷体" w:cs="Arial" w:hint="eastAsia"/>
        </w:rPr>
        <w:t>有望加大</w:t>
      </w:r>
      <w:r w:rsidR="001D7053">
        <w:rPr>
          <w:rFonts w:eastAsia="楷体" w:cs="Arial" w:hint="eastAsia"/>
        </w:rPr>
        <w:t>刺激力度，</w:t>
      </w:r>
      <w:r w:rsidR="000E22AC">
        <w:rPr>
          <w:rFonts w:eastAsia="楷体" w:cs="Arial" w:hint="eastAsia"/>
        </w:rPr>
        <w:t>如</w:t>
      </w:r>
      <w:r w:rsidR="000E22AC">
        <w:rPr>
          <w:rFonts w:eastAsia="楷体" w:cs="Arial" w:hint="eastAsia"/>
        </w:rPr>
        <w:t>QE</w:t>
      </w:r>
      <w:r w:rsidR="000E22AC">
        <w:rPr>
          <w:rFonts w:eastAsia="楷体" w:cs="Arial" w:hint="eastAsia"/>
        </w:rPr>
        <w:t>政策</w:t>
      </w:r>
      <w:r w:rsidR="000B52E7">
        <w:rPr>
          <w:rFonts w:eastAsia="楷体" w:cs="Arial" w:hint="eastAsia"/>
        </w:rPr>
        <w:t>全面</w:t>
      </w:r>
      <w:r w:rsidR="006961DA">
        <w:rPr>
          <w:rFonts w:eastAsia="楷体" w:cs="Arial" w:hint="eastAsia"/>
        </w:rPr>
        <w:t>落地</w:t>
      </w:r>
      <w:r w:rsidR="000E22AC">
        <w:rPr>
          <w:rFonts w:eastAsia="楷体" w:cs="Arial" w:hint="eastAsia"/>
        </w:rPr>
        <w:t>、</w:t>
      </w:r>
      <w:r w:rsidR="000E22AC" w:rsidRPr="008B54C4">
        <w:rPr>
          <w:rFonts w:eastAsia="楷体" w:cs="Arial" w:hint="eastAsia"/>
        </w:rPr>
        <w:t>购买欧元区成员国国债</w:t>
      </w:r>
      <w:r w:rsidR="000E22AC">
        <w:rPr>
          <w:rFonts w:eastAsia="楷体" w:cs="Arial" w:hint="eastAsia"/>
        </w:rPr>
        <w:t>等</w:t>
      </w:r>
      <w:r w:rsidR="000E22AC" w:rsidRPr="008B54C4">
        <w:rPr>
          <w:rFonts w:eastAsia="楷体" w:cs="Arial" w:hint="eastAsia"/>
        </w:rPr>
        <w:t>。</w:t>
      </w:r>
      <w:r w:rsidR="00390647" w:rsidRPr="009B1269">
        <w:rPr>
          <w:rFonts w:eastAsia="楷体" w:cs="Arial" w:hint="eastAsia"/>
        </w:rPr>
        <w:t>同时，欧元区各国政府有可能加快结构性改革步伐，从而为经济长远增长提供内生动力。</w:t>
      </w:r>
      <w:r w:rsidR="00E469EC">
        <w:rPr>
          <w:rFonts w:eastAsia="楷体" w:cs="Arial" w:hint="eastAsia"/>
        </w:rPr>
        <w:t>因</w:t>
      </w:r>
      <w:r w:rsidR="009A261C">
        <w:rPr>
          <w:rFonts w:eastAsia="楷体" w:cs="Arial" w:hint="eastAsia"/>
        </w:rPr>
        <w:t>此，</w:t>
      </w:r>
      <w:r w:rsidR="000E22AC" w:rsidRPr="008B54C4">
        <w:rPr>
          <w:rFonts w:eastAsia="楷体" w:cs="Arial" w:hint="eastAsia"/>
        </w:rPr>
        <w:t>2015</w:t>
      </w:r>
      <w:r w:rsidR="000E22AC" w:rsidRPr="008B54C4">
        <w:rPr>
          <w:rFonts w:eastAsia="楷体" w:cs="Arial" w:hint="eastAsia"/>
        </w:rPr>
        <w:t>年欧元区经济</w:t>
      </w:r>
      <w:r w:rsidR="00E469EC">
        <w:rPr>
          <w:rFonts w:eastAsia="楷体" w:cs="Arial" w:hint="eastAsia"/>
        </w:rPr>
        <w:t>有望保持</w:t>
      </w:r>
      <w:r w:rsidR="00F70DB4">
        <w:rPr>
          <w:rFonts w:eastAsia="楷体" w:cs="Arial" w:hint="eastAsia"/>
        </w:rPr>
        <w:t>缓步复苏</w:t>
      </w:r>
      <w:r w:rsidR="00E469EC">
        <w:rPr>
          <w:rFonts w:eastAsia="楷体" w:cs="Arial" w:hint="eastAsia"/>
        </w:rPr>
        <w:t>态势</w:t>
      </w:r>
      <w:r w:rsidR="009A261C">
        <w:rPr>
          <w:rFonts w:eastAsia="楷体" w:cs="Arial" w:hint="eastAsia"/>
        </w:rPr>
        <w:t>。</w:t>
      </w:r>
    </w:p>
    <w:p w:rsidR="00FB79DF" w:rsidRPr="005114AB" w:rsidRDefault="00FB79DF" w:rsidP="00757534">
      <w:pPr>
        <w:pStyle w:val="ab"/>
        <w:numPr>
          <w:ilvl w:val="5"/>
          <w:numId w:val="2"/>
        </w:numPr>
        <w:tabs>
          <w:tab w:val="left" w:pos="5250"/>
        </w:tabs>
        <w:spacing w:after="163"/>
        <w:ind w:left="4140" w:hanging="369"/>
        <w:rPr>
          <w:color w:val="auto"/>
          <w:szCs w:val="21"/>
        </w:rPr>
      </w:pPr>
      <w:r w:rsidRPr="005114AB">
        <w:rPr>
          <w:rFonts w:hint="eastAsia"/>
          <w:color w:val="auto"/>
          <w:szCs w:val="21"/>
        </w:rPr>
        <w:t>欧元区制造业活动小幅回升：欧元区</w:t>
      </w:r>
      <w:r w:rsidRPr="005114AB">
        <w:rPr>
          <w:rFonts w:hint="eastAsia"/>
          <w:color w:val="auto"/>
          <w:szCs w:val="21"/>
        </w:rPr>
        <w:t>12</w:t>
      </w:r>
      <w:r w:rsidRPr="005114AB">
        <w:rPr>
          <w:rFonts w:hint="eastAsia"/>
          <w:color w:val="auto"/>
          <w:szCs w:val="21"/>
        </w:rPr>
        <w:t>月制造业</w:t>
      </w:r>
      <w:r w:rsidRPr="005114AB">
        <w:rPr>
          <w:rFonts w:hint="eastAsia"/>
          <w:color w:val="auto"/>
          <w:szCs w:val="21"/>
        </w:rPr>
        <w:t>PMI</w:t>
      </w:r>
      <w:r w:rsidRPr="005114AB">
        <w:rPr>
          <w:rFonts w:hint="eastAsia"/>
          <w:color w:val="auto"/>
          <w:szCs w:val="21"/>
        </w:rPr>
        <w:t>初值</w:t>
      </w:r>
      <w:r w:rsidRPr="005114AB">
        <w:rPr>
          <w:rFonts w:hint="eastAsia"/>
          <w:color w:val="auto"/>
          <w:szCs w:val="21"/>
        </w:rPr>
        <w:t>50.8</w:t>
      </w:r>
      <w:r w:rsidRPr="005114AB">
        <w:rPr>
          <w:rFonts w:hint="eastAsia"/>
          <w:color w:val="auto"/>
          <w:szCs w:val="21"/>
        </w:rPr>
        <w:t>，</w:t>
      </w:r>
      <w:r w:rsidR="00757534" w:rsidRPr="005114AB">
        <w:rPr>
          <w:rFonts w:hint="eastAsia"/>
          <w:color w:val="auto"/>
          <w:szCs w:val="21"/>
        </w:rPr>
        <w:t>创</w:t>
      </w:r>
      <w:r w:rsidR="00757534" w:rsidRPr="005114AB">
        <w:rPr>
          <w:rFonts w:hint="eastAsia"/>
          <w:color w:val="auto"/>
          <w:szCs w:val="21"/>
        </w:rPr>
        <w:t>5</w:t>
      </w:r>
      <w:r w:rsidR="00757534" w:rsidRPr="005114AB">
        <w:rPr>
          <w:rFonts w:hint="eastAsia"/>
          <w:color w:val="auto"/>
          <w:szCs w:val="21"/>
        </w:rPr>
        <w:t>个月新高，服务业</w:t>
      </w:r>
      <w:r w:rsidR="00757534" w:rsidRPr="005114AB">
        <w:rPr>
          <w:rFonts w:hint="eastAsia"/>
          <w:color w:val="auto"/>
          <w:szCs w:val="21"/>
        </w:rPr>
        <w:t>PMI</w:t>
      </w:r>
      <w:r w:rsidR="00757534" w:rsidRPr="005114AB">
        <w:rPr>
          <w:rFonts w:hint="eastAsia"/>
          <w:color w:val="auto"/>
          <w:szCs w:val="21"/>
        </w:rPr>
        <w:t>初值</w:t>
      </w:r>
      <w:r w:rsidR="00757534" w:rsidRPr="005114AB">
        <w:rPr>
          <w:rFonts w:hint="eastAsia"/>
          <w:color w:val="auto"/>
          <w:szCs w:val="21"/>
        </w:rPr>
        <w:t>51.9</w:t>
      </w:r>
      <w:r w:rsidR="00757534" w:rsidRPr="005114AB">
        <w:rPr>
          <w:rFonts w:hint="eastAsia"/>
          <w:color w:val="auto"/>
          <w:szCs w:val="21"/>
        </w:rPr>
        <w:t>、综合</w:t>
      </w:r>
      <w:r w:rsidR="00757534" w:rsidRPr="005114AB">
        <w:rPr>
          <w:rFonts w:hint="eastAsia"/>
          <w:color w:val="auto"/>
          <w:szCs w:val="21"/>
        </w:rPr>
        <w:t>PMI</w:t>
      </w:r>
      <w:r w:rsidR="00757534" w:rsidRPr="005114AB">
        <w:rPr>
          <w:rFonts w:hint="eastAsia"/>
          <w:color w:val="auto"/>
          <w:szCs w:val="21"/>
        </w:rPr>
        <w:t>初值</w:t>
      </w:r>
      <w:r w:rsidR="00757534" w:rsidRPr="005114AB">
        <w:rPr>
          <w:rFonts w:hint="eastAsia"/>
          <w:color w:val="auto"/>
          <w:szCs w:val="21"/>
        </w:rPr>
        <w:t>51.7</w:t>
      </w:r>
      <w:r w:rsidR="00757534" w:rsidRPr="005114AB">
        <w:rPr>
          <w:rFonts w:hint="eastAsia"/>
          <w:color w:val="auto"/>
          <w:szCs w:val="21"/>
        </w:rPr>
        <w:t>，均高于预期及前值，同创</w:t>
      </w:r>
      <w:r w:rsidR="00757534" w:rsidRPr="005114AB">
        <w:rPr>
          <w:rFonts w:hint="eastAsia"/>
          <w:color w:val="auto"/>
          <w:szCs w:val="21"/>
        </w:rPr>
        <w:t>2</w:t>
      </w:r>
      <w:r w:rsidR="00757534" w:rsidRPr="005114AB">
        <w:rPr>
          <w:rFonts w:hint="eastAsia"/>
          <w:color w:val="auto"/>
          <w:szCs w:val="21"/>
        </w:rPr>
        <w:t>个月新高</w:t>
      </w:r>
      <w:r w:rsidR="00757534" w:rsidRPr="005114AB">
        <w:rPr>
          <w:color w:val="auto"/>
          <w:szCs w:val="21"/>
        </w:rPr>
        <w:t>。</w:t>
      </w:r>
      <w:r w:rsidR="00757534" w:rsidRPr="005114AB">
        <w:rPr>
          <w:rFonts w:hint="eastAsia"/>
          <w:color w:val="auto"/>
          <w:szCs w:val="21"/>
        </w:rPr>
        <w:t>但欧元区核心国家表现不佳，回升主要受其他国家表现提振：德国</w:t>
      </w:r>
      <w:r w:rsidR="00757534" w:rsidRPr="005114AB">
        <w:rPr>
          <w:rFonts w:hint="eastAsia"/>
          <w:color w:val="auto"/>
          <w:szCs w:val="21"/>
        </w:rPr>
        <w:t>12</w:t>
      </w:r>
      <w:r w:rsidR="00757534" w:rsidRPr="005114AB">
        <w:rPr>
          <w:rFonts w:hint="eastAsia"/>
          <w:color w:val="auto"/>
          <w:szCs w:val="21"/>
        </w:rPr>
        <w:t>月综合</w:t>
      </w:r>
      <w:r w:rsidR="00757534" w:rsidRPr="005114AB">
        <w:rPr>
          <w:rFonts w:hint="eastAsia"/>
          <w:color w:val="auto"/>
          <w:szCs w:val="21"/>
        </w:rPr>
        <w:t>PMI</w:t>
      </w:r>
      <w:r w:rsidR="00757534" w:rsidRPr="005114AB">
        <w:rPr>
          <w:rFonts w:hint="eastAsia"/>
          <w:color w:val="auto"/>
          <w:szCs w:val="21"/>
        </w:rPr>
        <w:t>初值创</w:t>
      </w:r>
      <w:r w:rsidR="00757534" w:rsidRPr="005114AB">
        <w:rPr>
          <w:rFonts w:hint="eastAsia"/>
          <w:color w:val="auto"/>
          <w:szCs w:val="21"/>
        </w:rPr>
        <w:t>18</w:t>
      </w:r>
      <w:r w:rsidR="00757534" w:rsidRPr="005114AB">
        <w:rPr>
          <w:rFonts w:hint="eastAsia"/>
          <w:color w:val="auto"/>
          <w:szCs w:val="21"/>
        </w:rPr>
        <w:t>个月新低，而法国私营部门经济活动已经连续</w:t>
      </w:r>
      <w:r w:rsidR="00757534" w:rsidRPr="005114AB">
        <w:rPr>
          <w:rFonts w:hint="eastAsia"/>
          <w:color w:val="auto"/>
          <w:szCs w:val="21"/>
        </w:rPr>
        <w:t>8</w:t>
      </w:r>
      <w:r w:rsidR="00757534" w:rsidRPr="005114AB">
        <w:rPr>
          <w:rFonts w:hint="eastAsia"/>
          <w:color w:val="auto"/>
          <w:szCs w:val="21"/>
        </w:rPr>
        <w:t>个月低于</w:t>
      </w:r>
      <w:r w:rsidR="00757534" w:rsidRPr="005114AB">
        <w:rPr>
          <w:rFonts w:hint="eastAsia"/>
          <w:color w:val="auto"/>
          <w:szCs w:val="21"/>
        </w:rPr>
        <w:t>50</w:t>
      </w:r>
      <w:r w:rsidR="00757534" w:rsidRPr="005114AB">
        <w:rPr>
          <w:rFonts w:hint="eastAsia"/>
          <w:color w:val="auto"/>
          <w:szCs w:val="21"/>
        </w:rPr>
        <w:t>枯荣线；其他国家经济活动平均增速则创</w:t>
      </w:r>
      <w:r w:rsidR="00757534" w:rsidRPr="005114AB">
        <w:rPr>
          <w:rFonts w:hint="eastAsia"/>
          <w:color w:val="auto"/>
          <w:szCs w:val="21"/>
        </w:rPr>
        <w:t>5</w:t>
      </w:r>
      <w:r w:rsidR="00757534" w:rsidRPr="005114AB">
        <w:rPr>
          <w:rFonts w:hint="eastAsia"/>
          <w:color w:val="auto"/>
          <w:szCs w:val="21"/>
        </w:rPr>
        <w:t>个月新高。</w:t>
      </w:r>
    </w:p>
    <w:p w:rsidR="00AF31E4" w:rsidRPr="00AF31E4" w:rsidRDefault="00570F16" w:rsidP="00AF31E4">
      <w:pPr>
        <w:pStyle w:val="ab"/>
        <w:numPr>
          <w:ilvl w:val="5"/>
          <w:numId w:val="2"/>
        </w:numPr>
        <w:tabs>
          <w:tab w:val="left" w:pos="5250"/>
        </w:tabs>
        <w:spacing w:after="163"/>
        <w:ind w:left="4140" w:hanging="369"/>
        <w:rPr>
          <w:color w:val="auto"/>
          <w:szCs w:val="21"/>
        </w:rPr>
      </w:pPr>
      <w:r>
        <w:rPr>
          <w:rFonts w:hint="eastAsia"/>
          <w:color w:val="auto"/>
        </w:rPr>
        <w:t>欧盟</w:t>
      </w:r>
      <w:r w:rsidR="00AF31E4" w:rsidRPr="00AF31E4">
        <w:rPr>
          <w:rFonts w:hint="eastAsia"/>
          <w:color w:val="auto"/>
        </w:rPr>
        <w:t>加快统一财政的经济复苏计划</w:t>
      </w:r>
      <w:r w:rsidR="00AF31E4">
        <w:rPr>
          <w:rFonts w:hint="eastAsia"/>
          <w:color w:val="auto"/>
        </w:rPr>
        <w:t>：</w:t>
      </w:r>
      <w:r w:rsidR="00AF31E4" w:rsidRPr="00AF31E4">
        <w:rPr>
          <w:rFonts w:hint="eastAsia"/>
          <w:color w:val="auto"/>
          <w:szCs w:val="21"/>
        </w:rPr>
        <w:t>11</w:t>
      </w:r>
      <w:r w:rsidR="00AF31E4" w:rsidRPr="00AF31E4">
        <w:rPr>
          <w:rFonts w:hint="eastAsia"/>
          <w:color w:val="auto"/>
          <w:szCs w:val="21"/>
        </w:rPr>
        <w:t>月底欧盟委员会宣布了以少量政府资金调动</w:t>
      </w:r>
      <w:r w:rsidR="00AF31E4" w:rsidRPr="00AF31E4">
        <w:rPr>
          <w:rFonts w:hint="eastAsia"/>
          <w:color w:val="auto"/>
          <w:szCs w:val="21"/>
        </w:rPr>
        <w:t>3150</w:t>
      </w:r>
      <w:r w:rsidR="00AF31E4" w:rsidRPr="00AF31E4">
        <w:rPr>
          <w:rFonts w:hint="eastAsia"/>
          <w:color w:val="auto"/>
          <w:szCs w:val="21"/>
        </w:rPr>
        <w:t>亿欧元私人资金的投资计划，希望促使欧盟经济恢复增长、创造更多就业机会。投资计划由三部分组成：一是建立总额</w:t>
      </w:r>
      <w:r w:rsidR="00AF31E4" w:rsidRPr="00AF31E4">
        <w:rPr>
          <w:rFonts w:hint="eastAsia"/>
          <w:color w:val="auto"/>
          <w:szCs w:val="21"/>
        </w:rPr>
        <w:t>210</w:t>
      </w:r>
      <w:r w:rsidR="00AF31E4" w:rsidRPr="00AF31E4">
        <w:rPr>
          <w:rFonts w:hint="eastAsia"/>
          <w:color w:val="auto"/>
          <w:szCs w:val="21"/>
        </w:rPr>
        <w:t>亿欧元的欧洲战略投资基金</w:t>
      </w:r>
      <w:r w:rsidR="00AF31E4" w:rsidRPr="00AF31E4">
        <w:rPr>
          <w:rFonts w:hint="eastAsia"/>
          <w:color w:val="auto"/>
          <w:szCs w:val="21"/>
        </w:rPr>
        <w:t>(EFSI)</w:t>
      </w:r>
      <w:r w:rsidR="00AF31E4" w:rsidRPr="00AF31E4">
        <w:rPr>
          <w:rFonts w:hint="eastAsia"/>
          <w:color w:val="auto"/>
          <w:szCs w:val="21"/>
        </w:rPr>
        <w:t>，以在</w:t>
      </w:r>
      <w:r w:rsidR="00AF31E4" w:rsidRPr="00AF31E4">
        <w:rPr>
          <w:rFonts w:hint="eastAsia"/>
          <w:color w:val="auto"/>
          <w:szCs w:val="21"/>
        </w:rPr>
        <w:t>2015~2017</w:t>
      </w:r>
      <w:r w:rsidR="00AF31E4" w:rsidRPr="00AF31E4">
        <w:rPr>
          <w:rFonts w:hint="eastAsia"/>
          <w:color w:val="auto"/>
          <w:szCs w:val="21"/>
        </w:rPr>
        <w:t>年间带动至少</w:t>
      </w:r>
      <w:r w:rsidR="00AF31E4" w:rsidRPr="00AF31E4">
        <w:rPr>
          <w:rFonts w:hint="eastAsia"/>
          <w:color w:val="auto"/>
          <w:szCs w:val="21"/>
        </w:rPr>
        <w:t>3150</w:t>
      </w:r>
      <w:r w:rsidR="00AF31E4" w:rsidRPr="00AF31E4">
        <w:rPr>
          <w:rFonts w:hint="eastAsia"/>
          <w:color w:val="auto"/>
          <w:szCs w:val="21"/>
        </w:rPr>
        <w:t>亿欧元的私营部门投资；二是</w:t>
      </w:r>
      <w:r w:rsidR="00AF31E4" w:rsidRPr="00AF31E4">
        <w:rPr>
          <w:rFonts w:hint="eastAsia"/>
          <w:color w:val="auto"/>
          <w:szCs w:val="21"/>
        </w:rPr>
        <w:t>EFSI</w:t>
      </w:r>
      <w:r w:rsidR="00AF31E4" w:rsidRPr="00AF31E4">
        <w:rPr>
          <w:rFonts w:hint="eastAsia"/>
          <w:color w:val="auto"/>
          <w:szCs w:val="21"/>
        </w:rPr>
        <w:t>与欧盟相关援助计划配合，共同建立一个可信的项目平台，引导私营部门将资金投向最需要的领域；三是为吸引更多投资，制定路线图，改善商业环境和融资条件，取消限制投资的行业法规。</w:t>
      </w:r>
    </w:p>
    <w:p w:rsidR="009B1269" w:rsidRPr="00FB79DF" w:rsidRDefault="00254E39" w:rsidP="009B1269">
      <w:pPr>
        <w:pStyle w:val="ab"/>
        <w:numPr>
          <w:ilvl w:val="4"/>
          <w:numId w:val="1"/>
        </w:numPr>
        <w:tabs>
          <w:tab w:val="left" w:pos="5250"/>
        </w:tabs>
        <w:spacing w:after="163"/>
        <w:rPr>
          <w:rFonts w:eastAsia="楷体" w:cs="Arial"/>
        </w:rPr>
      </w:pPr>
      <w:r w:rsidRPr="00254E39">
        <w:rPr>
          <w:rFonts w:eastAsia="楷体" w:cs="Arial" w:hint="eastAsia"/>
          <w:b/>
        </w:rPr>
        <w:t>风险点：</w:t>
      </w:r>
      <w:r w:rsidR="007B1CE4">
        <w:rPr>
          <w:rFonts w:eastAsia="楷体" w:cs="Arial" w:hint="eastAsia"/>
        </w:rPr>
        <w:t>欧洲陷入新一轮</w:t>
      </w:r>
      <w:r w:rsidR="00FE46EC">
        <w:rPr>
          <w:rFonts w:eastAsia="楷体" w:cs="Arial" w:hint="eastAsia"/>
        </w:rPr>
        <w:t>危机的风险并未完全消除</w:t>
      </w:r>
      <w:r w:rsidR="009B1269">
        <w:rPr>
          <w:rFonts w:eastAsia="楷体" w:cs="Arial" w:hint="eastAsia"/>
        </w:rPr>
        <w:t>。</w:t>
      </w:r>
      <w:r w:rsidR="001E1253" w:rsidRPr="001E1253">
        <w:rPr>
          <w:rFonts w:eastAsia="楷体" w:cs="Arial" w:hint="eastAsia"/>
        </w:rPr>
        <w:t>抗通缩成为欧元区</w:t>
      </w:r>
      <w:r w:rsidR="001E1253" w:rsidRPr="001E1253">
        <w:rPr>
          <w:rFonts w:eastAsia="楷体" w:cs="Arial" w:hint="eastAsia"/>
        </w:rPr>
        <w:t>2015</w:t>
      </w:r>
      <w:r w:rsidR="001E1253" w:rsidRPr="001E1253">
        <w:rPr>
          <w:rFonts w:eastAsia="楷体" w:cs="Arial" w:hint="eastAsia"/>
        </w:rPr>
        <w:t>年首要政策考量</w:t>
      </w:r>
      <w:r w:rsidR="001E1253">
        <w:rPr>
          <w:rFonts w:eastAsia="楷体" w:cs="Arial" w:hint="eastAsia"/>
        </w:rPr>
        <w:t>，</w:t>
      </w:r>
      <w:r w:rsidR="001E1253" w:rsidRPr="001E1253">
        <w:rPr>
          <w:rFonts w:eastAsia="楷体" w:cs="Arial" w:hint="eastAsia"/>
        </w:rPr>
        <w:t>虽然欧洲已开启了货币宽松政策，但</w:t>
      </w:r>
      <w:r w:rsidR="00763FCD">
        <w:rPr>
          <w:rFonts w:eastAsia="楷体" w:cs="Arial" w:hint="eastAsia"/>
        </w:rPr>
        <w:t>毕竟</w:t>
      </w:r>
      <w:r w:rsidR="001E1253">
        <w:rPr>
          <w:rFonts w:eastAsia="楷体" w:cs="Arial" w:hint="eastAsia"/>
        </w:rPr>
        <w:t>力度有限。</w:t>
      </w:r>
      <w:r w:rsidR="00D605C5" w:rsidRPr="00D605C5">
        <w:rPr>
          <w:rFonts w:eastAsia="楷体" w:cs="Arial" w:hint="eastAsia"/>
        </w:rPr>
        <w:t>人口老龄化和结构改革迟缓仍将拖累经济上行空</w:t>
      </w:r>
      <w:r w:rsidR="00763FCD">
        <w:rPr>
          <w:rFonts w:eastAsia="楷体" w:cs="Arial" w:hint="eastAsia"/>
        </w:rPr>
        <w:t>间；</w:t>
      </w:r>
      <w:r w:rsidR="00AC0A58" w:rsidRPr="00AC0A58">
        <w:rPr>
          <w:rFonts w:eastAsia="楷体" w:cs="Arial" w:hint="eastAsia"/>
        </w:rPr>
        <w:t>最困扰欧元区的高失业率问题</w:t>
      </w:r>
      <w:r w:rsidR="00AC0A58" w:rsidRPr="00AC0A58">
        <w:rPr>
          <w:rFonts w:eastAsia="楷体" w:cs="Arial" w:hint="eastAsia"/>
        </w:rPr>
        <w:t>2014</w:t>
      </w:r>
      <w:r w:rsidR="00AC0A58" w:rsidRPr="00AC0A58">
        <w:rPr>
          <w:rFonts w:eastAsia="楷体" w:cs="Arial" w:hint="eastAsia"/>
        </w:rPr>
        <w:t>年并未得到缓解，失业率仍高达</w:t>
      </w:r>
      <w:r w:rsidR="00AC0A58" w:rsidRPr="00AC0A58">
        <w:rPr>
          <w:rFonts w:eastAsia="楷体" w:cs="Arial" w:hint="eastAsia"/>
        </w:rPr>
        <w:t>10%</w:t>
      </w:r>
      <w:r w:rsidR="00AC0A58" w:rsidRPr="00AC0A58">
        <w:rPr>
          <w:rFonts w:eastAsia="楷体" w:cs="Arial" w:hint="eastAsia"/>
        </w:rPr>
        <w:t>以上，</w:t>
      </w:r>
      <w:r w:rsidR="00AC0A58">
        <w:rPr>
          <w:rFonts w:eastAsia="楷体" w:cs="Arial" w:hint="eastAsia"/>
        </w:rPr>
        <w:t>而</w:t>
      </w:r>
      <w:r w:rsidR="001E1253">
        <w:rPr>
          <w:rFonts w:eastAsia="楷体" w:cs="Arial" w:hint="eastAsia"/>
        </w:rPr>
        <w:t>这一</w:t>
      </w:r>
      <w:r w:rsidR="00FE46EC">
        <w:rPr>
          <w:rFonts w:eastAsia="楷体" w:cs="Arial" w:hint="eastAsia"/>
        </w:rPr>
        <w:t>局面</w:t>
      </w:r>
      <w:r w:rsidR="00AC0A58" w:rsidRPr="00AC0A58">
        <w:rPr>
          <w:rFonts w:eastAsia="楷体" w:cs="Arial" w:hint="eastAsia"/>
        </w:rPr>
        <w:t>有可能延续数年之久。</w:t>
      </w:r>
      <w:r w:rsidR="00FE46EC">
        <w:rPr>
          <w:rFonts w:eastAsia="楷体" w:cs="Arial" w:hint="eastAsia"/>
        </w:rPr>
        <w:t>而</w:t>
      </w:r>
      <w:r w:rsidR="009A78D8">
        <w:rPr>
          <w:rFonts w:eastAsia="楷体" w:cs="Arial" w:hint="eastAsia"/>
        </w:rPr>
        <w:t>与此同时，</w:t>
      </w:r>
      <w:r w:rsidR="00AC0A58" w:rsidRPr="00AC0A58">
        <w:rPr>
          <w:rFonts w:eastAsia="楷体" w:cs="Arial" w:hint="eastAsia"/>
        </w:rPr>
        <w:t>欧元区仍要向希腊等国继续提供援助。</w:t>
      </w:r>
      <w:r w:rsidR="00FE46EC">
        <w:rPr>
          <w:rFonts w:eastAsia="楷体" w:cs="Arial" w:hint="eastAsia"/>
        </w:rPr>
        <w:t>此外</w:t>
      </w:r>
      <w:r w:rsidR="009B1269">
        <w:rPr>
          <w:rFonts w:hint="eastAsia"/>
        </w:rPr>
        <w:t>IMF</w:t>
      </w:r>
      <w:r w:rsidR="009B1269">
        <w:rPr>
          <w:rFonts w:hint="eastAsia"/>
        </w:rPr>
        <w:t>指出，地缘政治风险自</w:t>
      </w:r>
      <w:r w:rsidR="00FE46EC">
        <w:rPr>
          <w:rFonts w:hint="eastAsia"/>
        </w:rPr>
        <w:t>今年春季以来已经恶化，恐怕会导致乱局蔓延，</w:t>
      </w:r>
      <w:r w:rsidR="009B1269">
        <w:rPr>
          <w:rFonts w:hint="eastAsia"/>
        </w:rPr>
        <w:t>乌克兰危机</w:t>
      </w:r>
      <w:r w:rsidR="00C05D16">
        <w:rPr>
          <w:rFonts w:hint="eastAsia"/>
        </w:rPr>
        <w:t>更</w:t>
      </w:r>
      <w:r w:rsidR="009B1269">
        <w:rPr>
          <w:rFonts w:hint="eastAsia"/>
        </w:rPr>
        <w:t>使状况雪上加霜。</w:t>
      </w:r>
      <w:r w:rsidR="00A13824">
        <w:rPr>
          <w:rFonts w:hint="eastAsia"/>
        </w:rPr>
        <w:t>可以说，</w:t>
      </w:r>
      <w:r w:rsidR="00A13824">
        <w:rPr>
          <w:rFonts w:hint="eastAsia"/>
        </w:rPr>
        <w:t>2015</w:t>
      </w:r>
      <w:r w:rsidR="00A13824">
        <w:rPr>
          <w:rFonts w:hint="eastAsia"/>
        </w:rPr>
        <w:t>年的欧洲经济体复苏与风险同在。</w:t>
      </w:r>
    </w:p>
    <w:p w:rsidR="00A70401" w:rsidRPr="000A2A98" w:rsidRDefault="00A70401" w:rsidP="00900D47">
      <w:pPr>
        <w:widowControl/>
        <w:tabs>
          <w:tab w:val="left" w:pos="5250"/>
        </w:tabs>
        <w:spacing w:after="120"/>
        <w:ind w:left="3430"/>
        <w:rPr>
          <w:rFonts w:ascii="楷体" w:eastAsia="楷体" w:hAnsi="楷体"/>
          <w:b/>
          <w:bCs/>
          <w:color w:val="0070C0"/>
          <w:kern w:val="0"/>
          <w:szCs w:val="21"/>
          <w:lang w:val="en-GB"/>
        </w:rPr>
      </w:pPr>
      <w:r w:rsidRPr="000A2A98">
        <w:rPr>
          <w:rFonts w:ascii="楷体" w:eastAsia="楷体" w:hAnsi="楷体" w:hint="eastAsia"/>
          <w:b/>
          <w:bCs/>
          <w:color w:val="0070C0"/>
          <w:kern w:val="0"/>
          <w:szCs w:val="21"/>
          <w:lang w:val="en-GB"/>
        </w:rPr>
        <w:t>新兴市场：</w:t>
      </w:r>
      <w:r w:rsidR="002E6EAB">
        <w:rPr>
          <w:rFonts w:ascii="楷体" w:eastAsia="楷体" w:hAnsi="楷体" w:hint="eastAsia"/>
          <w:b/>
          <w:bCs/>
          <w:color w:val="0070C0"/>
          <w:kern w:val="0"/>
          <w:szCs w:val="21"/>
          <w:lang w:val="en-GB"/>
        </w:rPr>
        <w:t>明年</w:t>
      </w:r>
      <w:r w:rsidR="007E4878">
        <w:rPr>
          <w:rFonts w:ascii="楷体" w:eastAsia="楷体" w:hAnsi="楷体" w:hint="eastAsia"/>
          <w:b/>
          <w:bCs/>
          <w:color w:val="0070C0"/>
          <w:kern w:val="0"/>
          <w:szCs w:val="21"/>
          <w:lang w:val="en-GB"/>
        </w:rPr>
        <w:t>蕴藏</w:t>
      </w:r>
      <w:r w:rsidR="002E6EAB">
        <w:rPr>
          <w:rFonts w:ascii="楷体" w:eastAsia="楷体" w:hAnsi="楷体" w:hint="eastAsia"/>
          <w:b/>
          <w:bCs/>
          <w:color w:val="0070C0"/>
          <w:kern w:val="0"/>
          <w:szCs w:val="21"/>
          <w:lang w:val="en-GB"/>
        </w:rPr>
        <w:t>契机</w:t>
      </w:r>
      <w:r w:rsidR="00513695">
        <w:rPr>
          <w:rFonts w:ascii="楷体" w:eastAsia="楷体" w:hAnsi="楷体" w:hint="eastAsia"/>
          <w:b/>
          <w:bCs/>
          <w:color w:val="0070C0"/>
          <w:kern w:val="0"/>
          <w:szCs w:val="21"/>
          <w:lang w:val="en-GB"/>
        </w:rPr>
        <w:t>，港股或将发力</w:t>
      </w:r>
    </w:p>
    <w:p w:rsidR="007A600E" w:rsidRPr="00E43863" w:rsidRDefault="00E43863" w:rsidP="00E43863">
      <w:pPr>
        <w:pStyle w:val="ab"/>
        <w:numPr>
          <w:ilvl w:val="4"/>
          <w:numId w:val="1"/>
        </w:numPr>
        <w:tabs>
          <w:tab w:val="left" w:pos="5250"/>
        </w:tabs>
        <w:spacing w:after="163"/>
        <w:rPr>
          <w:rFonts w:eastAsia="楷体" w:cs="Arial"/>
        </w:rPr>
      </w:pPr>
      <w:r>
        <w:rPr>
          <w:rFonts w:eastAsia="楷体" w:cs="Arial" w:hint="eastAsia"/>
        </w:rPr>
        <w:t>2014</w:t>
      </w:r>
      <w:r>
        <w:rPr>
          <w:rFonts w:eastAsia="楷体" w:cs="Arial" w:hint="eastAsia"/>
        </w:rPr>
        <w:t>年</w:t>
      </w:r>
      <w:r w:rsidR="00B37E1D">
        <w:rPr>
          <w:rFonts w:eastAsia="楷体" w:cs="Arial" w:hint="eastAsia"/>
        </w:rPr>
        <w:t>新兴经济体</w:t>
      </w:r>
      <w:r w:rsidRPr="004A120D">
        <w:rPr>
          <w:rFonts w:eastAsia="楷体" w:cs="Arial" w:hint="eastAsia"/>
        </w:rPr>
        <w:t>增速</w:t>
      </w:r>
      <w:r>
        <w:rPr>
          <w:rFonts w:eastAsia="楷体" w:cs="Arial" w:hint="eastAsia"/>
        </w:rPr>
        <w:t>多有放缓，在</w:t>
      </w:r>
      <w:r w:rsidRPr="004A120D">
        <w:rPr>
          <w:rFonts w:eastAsia="楷体" w:cs="Arial" w:hint="eastAsia"/>
        </w:rPr>
        <w:t>全球需求低迷、美元强势</w:t>
      </w:r>
      <w:r>
        <w:rPr>
          <w:rFonts w:eastAsia="楷体" w:cs="Arial" w:hint="eastAsia"/>
        </w:rPr>
        <w:t>的</w:t>
      </w:r>
      <w:r w:rsidRPr="004A120D">
        <w:rPr>
          <w:rFonts w:eastAsia="楷体" w:cs="Arial" w:hint="eastAsia"/>
        </w:rPr>
        <w:t>背景下</w:t>
      </w:r>
      <w:r>
        <w:rPr>
          <w:rFonts w:eastAsia="楷体" w:cs="Arial" w:hint="eastAsia"/>
        </w:rPr>
        <w:t>持续存在下行压力</w:t>
      </w:r>
      <w:r w:rsidR="00B37E1D">
        <w:rPr>
          <w:rFonts w:eastAsia="楷体" w:cs="Arial" w:hint="eastAsia"/>
        </w:rPr>
        <w:t>，</w:t>
      </w:r>
      <w:r>
        <w:rPr>
          <w:rFonts w:eastAsia="楷体" w:cs="Arial" w:hint="eastAsia"/>
        </w:rPr>
        <w:t>而经济结构相对均衡的中国</w:t>
      </w:r>
      <w:r>
        <w:rPr>
          <w:rFonts w:eastAsia="楷体" w:cs="Arial" w:hint="eastAsia"/>
        </w:rPr>
        <w:t>A</w:t>
      </w:r>
      <w:r>
        <w:rPr>
          <w:rFonts w:eastAsia="楷体" w:cs="Arial" w:hint="eastAsia"/>
        </w:rPr>
        <w:t>股则全年收涨</w:t>
      </w:r>
      <w:r>
        <w:rPr>
          <w:rFonts w:hint="eastAsia"/>
        </w:rPr>
        <w:t>45.21</w:t>
      </w:r>
      <w:r w:rsidRPr="000B7632">
        <w:t>%</w:t>
      </w:r>
      <w:r>
        <w:t>（</w:t>
      </w:r>
      <w:r>
        <w:rPr>
          <w:rFonts w:hint="eastAsia"/>
        </w:rPr>
        <w:t>截至</w:t>
      </w:r>
      <w:r>
        <w:rPr>
          <w:rFonts w:hint="eastAsia"/>
        </w:rPr>
        <w:t>12</w:t>
      </w:r>
      <w:r>
        <w:rPr>
          <w:rFonts w:hint="eastAsia"/>
        </w:rPr>
        <w:t>月</w:t>
      </w:r>
      <w:r>
        <w:rPr>
          <w:rFonts w:hint="eastAsia"/>
        </w:rPr>
        <w:t>25</w:t>
      </w:r>
      <w:r>
        <w:rPr>
          <w:rFonts w:hint="eastAsia"/>
        </w:rPr>
        <w:t>日</w:t>
      </w:r>
      <w:r>
        <w:t>）</w:t>
      </w:r>
      <w:r>
        <w:rPr>
          <w:rFonts w:eastAsia="楷体" w:cs="Arial" w:hint="eastAsia"/>
        </w:rPr>
        <w:t>。</w:t>
      </w:r>
      <w:r w:rsidR="007A600E">
        <w:rPr>
          <w:rFonts w:hint="eastAsia"/>
        </w:rPr>
        <w:t>IMF</w:t>
      </w:r>
      <w:r w:rsidR="007A600E">
        <w:rPr>
          <w:rFonts w:hint="eastAsia"/>
        </w:rPr>
        <w:t>下调了新兴市场</w:t>
      </w:r>
      <w:r w:rsidR="007A600E">
        <w:rPr>
          <w:rFonts w:hint="eastAsia"/>
        </w:rPr>
        <w:t>2014</w:t>
      </w:r>
      <w:r w:rsidR="007A600E">
        <w:rPr>
          <w:rFonts w:hint="eastAsia"/>
        </w:rPr>
        <w:t>年经济增长预期</w:t>
      </w:r>
      <w:r w:rsidR="007A600E">
        <w:rPr>
          <w:rFonts w:hint="eastAsia"/>
        </w:rPr>
        <w:t>0.2</w:t>
      </w:r>
      <w:r w:rsidR="007A600E">
        <w:rPr>
          <w:rFonts w:hint="eastAsia"/>
        </w:rPr>
        <w:t>个百分点至增长</w:t>
      </w:r>
      <w:r w:rsidR="007A600E">
        <w:rPr>
          <w:rFonts w:hint="eastAsia"/>
        </w:rPr>
        <w:t>4.4%</w:t>
      </w:r>
      <w:r w:rsidR="007A600E">
        <w:rPr>
          <w:rFonts w:hint="eastAsia"/>
        </w:rPr>
        <w:t>，下调</w:t>
      </w:r>
      <w:r w:rsidR="007A600E">
        <w:rPr>
          <w:rFonts w:hint="eastAsia"/>
        </w:rPr>
        <w:t>2015</w:t>
      </w:r>
      <w:r w:rsidR="007A600E">
        <w:rPr>
          <w:rFonts w:hint="eastAsia"/>
        </w:rPr>
        <w:t>年增长预期</w:t>
      </w:r>
      <w:r w:rsidR="007A600E">
        <w:rPr>
          <w:rFonts w:hint="eastAsia"/>
        </w:rPr>
        <w:t>0.2</w:t>
      </w:r>
      <w:r w:rsidR="0054322D">
        <w:rPr>
          <w:rFonts w:hint="eastAsia"/>
        </w:rPr>
        <w:t>个百分点至</w:t>
      </w:r>
      <w:r w:rsidR="007A600E">
        <w:rPr>
          <w:rFonts w:hint="eastAsia"/>
        </w:rPr>
        <w:t>4.0%</w:t>
      </w:r>
      <w:r w:rsidR="00A050CD">
        <w:rPr>
          <w:rFonts w:hint="eastAsia"/>
        </w:rPr>
        <w:t>，</w:t>
      </w:r>
      <w:r w:rsidR="007A600E">
        <w:rPr>
          <w:rFonts w:hint="eastAsia"/>
        </w:rPr>
        <w:t>但维持中国</w:t>
      </w:r>
      <w:r w:rsidR="007A600E">
        <w:rPr>
          <w:rFonts w:hint="eastAsia"/>
        </w:rPr>
        <w:t>2014</w:t>
      </w:r>
      <w:r w:rsidR="007A600E">
        <w:rPr>
          <w:rFonts w:hint="eastAsia"/>
        </w:rPr>
        <w:t>年</w:t>
      </w:r>
      <w:r w:rsidR="007A600E">
        <w:rPr>
          <w:rFonts w:hint="eastAsia"/>
        </w:rPr>
        <w:t>GDP</w:t>
      </w:r>
      <w:r w:rsidR="007A600E">
        <w:rPr>
          <w:rFonts w:hint="eastAsia"/>
        </w:rPr>
        <w:t>增长预期在</w:t>
      </w:r>
      <w:r w:rsidR="007A600E">
        <w:rPr>
          <w:rFonts w:hint="eastAsia"/>
        </w:rPr>
        <w:t>7.4%</w:t>
      </w:r>
      <w:r w:rsidR="005917EF">
        <w:rPr>
          <w:rFonts w:hint="eastAsia"/>
        </w:rPr>
        <w:t>不变</w:t>
      </w:r>
      <w:r w:rsidR="007A600E">
        <w:rPr>
          <w:rFonts w:hint="eastAsia"/>
        </w:rPr>
        <w:t>。</w:t>
      </w:r>
      <w:r w:rsidR="00B37E1D">
        <w:rPr>
          <w:rFonts w:eastAsia="楷体" w:cs="Arial" w:hint="eastAsia"/>
        </w:rPr>
        <w:t>2015</w:t>
      </w:r>
      <w:r w:rsidR="00B37E1D">
        <w:rPr>
          <w:rFonts w:eastAsia="楷体" w:cs="Arial" w:hint="eastAsia"/>
        </w:rPr>
        <w:t>年，中国将继续深化经济结构改革，推出的</w:t>
      </w:r>
      <w:r w:rsidR="00B37E1D" w:rsidRPr="00D32462">
        <w:rPr>
          <w:rFonts w:eastAsia="楷体" w:cs="Arial" w:hint="eastAsia"/>
        </w:rPr>
        <w:t>宽松货币政策和财政措施</w:t>
      </w:r>
      <w:r w:rsidR="00B37E1D">
        <w:rPr>
          <w:rFonts w:eastAsia="楷体" w:cs="Arial" w:hint="eastAsia"/>
        </w:rPr>
        <w:t>等也有望在实体经济上初现成果。</w:t>
      </w:r>
    </w:p>
    <w:p w:rsidR="00913A3F" w:rsidRPr="00E24C02" w:rsidRDefault="00B37E1D" w:rsidP="0054322D">
      <w:pPr>
        <w:pStyle w:val="ab"/>
        <w:numPr>
          <w:ilvl w:val="5"/>
          <w:numId w:val="2"/>
        </w:numPr>
        <w:tabs>
          <w:tab w:val="left" w:pos="5250"/>
        </w:tabs>
        <w:spacing w:after="163"/>
        <w:ind w:left="4140" w:hanging="369"/>
        <w:rPr>
          <w:color w:val="auto"/>
          <w:szCs w:val="21"/>
        </w:rPr>
      </w:pPr>
      <w:r>
        <w:t>201</w:t>
      </w:r>
      <w:r>
        <w:rPr>
          <w:rFonts w:hint="eastAsia"/>
        </w:rPr>
        <w:t>4</w:t>
      </w:r>
      <w:r w:rsidRPr="000B7632">
        <w:rPr>
          <w:rFonts w:hint="eastAsia"/>
        </w:rPr>
        <w:t>年</w:t>
      </w:r>
      <w:r>
        <w:rPr>
          <w:rFonts w:hint="eastAsia"/>
        </w:rPr>
        <w:t>“</w:t>
      </w:r>
      <w:r w:rsidRPr="000B7632">
        <w:rPr>
          <w:rFonts w:hint="eastAsia"/>
        </w:rPr>
        <w:t>金砖国家</w:t>
      </w:r>
      <w:r>
        <w:rPr>
          <w:rFonts w:hint="eastAsia"/>
        </w:rPr>
        <w:t>”</w:t>
      </w:r>
      <w:r w:rsidRPr="000B7632">
        <w:rPr>
          <w:rFonts w:hint="eastAsia"/>
        </w:rPr>
        <w:t>中</w:t>
      </w:r>
      <w:r>
        <w:rPr>
          <w:rFonts w:hint="eastAsia"/>
        </w:rPr>
        <w:t>，中印两国</w:t>
      </w:r>
      <w:r w:rsidR="00C50647">
        <w:rPr>
          <w:rFonts w:hint="eastAsia"/>
        </w:rPr>
        <w:t>股市收涨</w:t>
      </w:r>
      <w:r>
        <w:rPr>
          <w:rFonts w:hint="eastAsia"/>
        </w:rPr>
        <w:t>，上证指数、孟买</w:t>
      </w:r>
      <w:r>
        <w:rPr>
          <w:rFonts w:hint="eastAsia"/>
        </w:rPr>
        <w:t>SENSEX30</w:t>
      </w:r>
      <w:r>
        <w:rPr>
          <w:rFonts w:hint="eastAsia"/>
        </w:rPr>
        <w:t>分别上涨</w:t>
      </w:r>
      <w:r>
        <w:rPr>
          <w:rFonts w:hint="eastAsia"/>
        </w:rPr>
        <w:t>45.21</w:t>
      </w:r>
      <w:r w:rsidRPr="000B7632">
        <w:t>%</w:t>
      </w:r>
      <w:r>
        <w:rPr>
          <w:rFonts w:hint="eastAsia"/>
        </w:rPr>
        <w:t>、</w:t>
      </w:r>
      <w:r>
        <w:rPr>
          <w:rFonts w:hint="eastAsia"/>
        </w:rPr>
        <w:t>28.52%</w:t>
      </w:r>
      <w:r>
        <w:rPr>
          <w:rFonts w:hint="eastAsia"/>
        </w:rPr>
        <w:t>（截至</w:t>
      </w:r>
      <w:r>
        <w:rPr>
          <w:rFonts w:hint="eastAsia"/>
        </w:rPr>
        <w:t>12</w:t>
      </w:r>
      <w:r>
        <w:rPr>
          <w:rFonts w:hint="eastAsia"/>
        </w:rPr>
        <w:t>月</w:t>
      </w:r>
      <w:r>
        <w:rPr>
          <w:rFonts w:hint="eastAsia"/>
        </w:rPr>
        <w:t>25</w:t>
      </w:r>
      <w:r>
        <w:rPr>
          <w:rFonts w:hint="eastAsia"/>
        </w:rPr>
        <w:t>日）；</w:t>
      </w:r>
      <w:r w:rsidR="00C50647">
        <w:rPr>
          <w:rFonts w:hint="eastAsia"/>
        </w:rPr>
        <w:t>而</w:t>
      </w:r>
      <w:r w:rsidRPr="000B7632">
        <w:rPr>
          <w:rFonts w:hint="eastAsia"/>
        </w:rPr>
        <w:t>巴西、俄罗斯</w:t>
      </w:r>
      <w:r>
        <w:rPr>
          <w:rFonts w:hint="eastAsia"/>
        </w:rPr>
        <w:t>股市却分别</w:t>
      </w:r>
      <w:r w:rsidRPr="000B7632">
        <w:rPr>
          <w:rFonts w:hint="eastAsia"/>
        </w:rPr>
        <w:t>下跌</w:t>
      </w:r>
      <w:r>
        <w:rPr>
          <w:rFonts w:hint="eastAsia"/>
        </w:rPr>
        <w:t>1.20%</w:t>
      </w:r>
      <w:r>
        <w:rPr>
          <w:rFonts w:hint="eastAsia"/>
        </w:rPr>
        <w:t>和</w:t>
      </w:r>
      <w:r>
        <w:rPr>
          <w:rFonts w:hint="eastAsia"/>
        </w:rPr>
        <w:t>47</w:t>
      </w:r>
      <w:r w:rsidRPr="000B7632">
        <w:t>%</w:t>
      </w:r>
      <w:r w:rsidRPr="000B7632">
        <w:rPr>
          <w:rFonts w:hint="eastAsia"/>
        </w:rPr>
        <w:t>。</w:t>
      </w:r>
      <w:r>
        <w:rPr>
          <w:rFonts w:hint="eastAsia"/>
        </w:rPr>
        <w:t>这主要</w:t>
      </w:r>
      <w:r w:rsidR="00A77597">
        <w:rPr>
          <w:rFonts w:hint="eastAsia"/>
        </w:rPr>
        <w:t>因为巴西和俄罗斯的产业结构</w:t>
      </w:r>
      <w:r w:rsidRPr="00C533DC">
        <w:rPr>
          <w:rFonts w:hint="eastAsia"/>
        </w:rPr>
        <w:t>较</w:t>
      </w:r>
      <w:r w:rsidR="00A77597">
        <w:rPr>
          <w:rFonts w:hint="eastAsia"/>
        </w:rPr>
        <w:t>为</w:t>
      </w:r>
      <w:r w:rsidRPr="00C533DC">
        <w:rPr>
          <w:rFonts w:hint="eastAsia"/>
        </w:rPr>
        <w:t>单一，</w:t>
      </w:r>
      <w:r w:rsidR="00A77597">
        <w:rPr>
          <w:rFonts w:hint="eastAsia"/>
        </w:rPr>
        <w:t>经济</w:t>
      </w:r>
      <w:r w:rsidRPr="00C533DC">
        <w:rPr>
          <w:rFonts w:hint="eastAsia"/>
        </w:rPr>
        <w:t>受制于</w:t>
      </w:r>
      <w:r>
        <w:rPr>
          <w:rFonts w:hint="eastAsia"/>
        </w:rPr>
        <w:t>石油等能源价格变化</w:t>
      </w:r>
      <w:r w:rsidR="00A77597">
        <w:rPr>
          <w:rFonts w:hint="eastAsia"/>
        </w:rPr>
        <w:t>；</w:t>
      </w:r>
      <w:r w:rsidRPr="00C533DC">
        <w:rPr>
          <w:rFonts w:hint="eastAsia"/>
        </w:rPr>
        <w:t>俄罗斯</w:t>
      </w:r>
      <w:r w:rsidR="00A77597">
        <w:rPr>
          <w:rFonts w:hint="eastAsia"/>
        </w:rPr>
        <w:t>更受到油价下跌和西方制裁的双重打击，引发卢布疯狂贬值，尽管</w:t>
      </w:r>
      <w:r w:rsidR="00A77597" w:rsidRPr="00AF31E4">
        <w:rPr>
          <w:rFonts w:hint="eastAsia"/>
          <w:color w:val="auto"/>
          <w:szCs w:val="21"/>
        </w:rPr>
        <w:t>俄采取多种途径救市才逐渐稳住汇率，但资本外逃的大趋势在未来难以改变</w:t>
      </w:r>
      <w:r w:rsidRPr="00C77154">
        <w:rPr>
          <w:rFonts w:eastAsia="楷体" w:cs="Arial" w:hint="eastAsia"/>
        </w:rPr>
        <w:t>。</w:t>
      </w:r>
    </w:p>
    <w:p w:rsidR="00E24C02" w:rsidRPr="00E24C02" w:rsidRDefault="00254E39" w:rsidP="00254E39">
      <w:pPr>
        <w:pStyle w:val="ab"/>
        <w:numPr>
          <w:ilvl w:val="4"/>
          <w:numId w:val="1"/>
        </w:numPr>
      </w:pPr>
      <w:r w:rsidRPr="00254E39">
        <w:rPr>
          <w:rFonts w:hint="eastAsia"/>
          <w:b/>
        </w:rPr>
        <w:t>风险点：</w:t>
      </w:r>
      <w:r w:rsidR="00FF03B2">
        <w:rPr>
          <w:rFonts w:hint="eastAsia"/>
        </w:rPr>
        <w:t>市场普遍</w:t>
      </w:r>
      <w:r w:rsidR="00E24C02">
        <w:rPr>
          <w:rFonts w:hint="eastAsia"/>
        </w:rPr>
        <w:t>担心</w:t>
      </w:r>
      <w:r w:rsidR="00E24C02" w:rsidRPr="002138D2">
        <w:rPr>
          <w:rFonts w:hint="eastAsia"/>
        </w:rPr>
        <w:t>美元走</w:t>
      </w:r>
      <w:r w:rsidR="00FF03B2">
        <w:rPr>
          <w:rFonts w:hint="eastAsia"/>
        </w:rPr>
        <w:t>强将加重新兴经济体债务负担，并拖垮其中不能受益于能源价格下跌、经济结构单一国家的经济，</w:t>
      </w:r>
      <w:r w:rsidR="00E24C02">
        <w:rPr>
          <w:rFonts w:hint="eastAsia"/>
        </w:rPr>
        <w:t>因为</w:t>
      </w:r>
      <w:r w:rsidR="00E24C02" w:rsidRPr="002138D2">
        <w:rPr>
          <w:rFonts w:hint="eastAsia"/>
        </w:rPr>
        <w:t>上世纪</w:t>
      </w:r>
      <w:r w:rsidR="00E24C02" w:rsidRPr="002138D2">
        <w:rPr>
          <w:rFonts w:hint="eastAsia"/>
        </w:rPr>
        <w:t>90</w:t>
      </w:r>
      <w:r w:rsidR="00E24C02">
        <w:rPr>
          <w:rFonts w:hint="eastAsia"/>
        </w:rPr>
        <w:t>年代</w:t>
      </w:r>
      <w:r w:rsidR="00FF03B2">
        <w:rPr>
          <w:rFonts w:hint="eastAsia"/>
        </w:rPr>
        <w:t>亚洲金融危机</w:t>
      </w:r>
      <w:r w:rsidR="00E24C02" w:rsidRPr="002138D2">
        <w:rPr>
          <w:rFonts w:hint="eastAsia"/>
        </w:rPr>
        <w:t>和</w:t>
      </w:r>
      <w:r w:rsidR="00E24C02" w:rsidRPr="002138D2">
        <w:rPr>
          <w:rFonts w:hint="eastAsia"/>
        </w:rPr>
        <w:t>80</w:t>
      </w:r>
      <w:r w:rsidR="00E24C02" w:rsidRPr="002138D2">
        <w:rPr>
          <w:rFonts w:hint="eastAsia"/>
        </w:rPr>
        <w:t>年代拉美经济危机</w:t>
      </w:r>
      <w:r w:rsidR="00FF03B2">
        <w:rPr>
          <w:rFonts w:hint="eastAsia"/>
        </w:rPr>
        <w:t>均由</w:t>
      </w:r>
      <w:r w:rsidR="00E24C02">
        <w:rPr>
          <w:rFonts w:hint="eastAsia"/>
        </w:rPr>
        <w:t>美元</w:t>
      </w:r>
      <w:r w:rsidR="00E24C02" w:rsidRPr="002138D2">
        <w:rPr>
          <w:rFonts w:hint="eastAsia"/>
        </w:rPr>
        <w:t>升值</w:t>
      </w:r>
      <w:r w:rsidR="00E24C02">
        <w:rPr>
          <w:rFonts w:hint="eastAsia"/>
        </w:rPr>
        <w:t>引发</w:t>
      </w:r>
      <w:r w:rsidR="00FF03B2">
        <w:rPr>
          <w:rFonts w:hint="eastAsia"/>
        </w:rPr>
        <w:t>。因此</w:t>
      </w:r>
      <w:r w:rsidR="00E24C02" w:rsidRPr="002138D2">
        <w:rPr>
          <w:rFonts w:hint="eastAsia"/>
        </w:rPr>
        <w:t>2015</w:t>
      </w:r>
      <w:r w:rsidR="00E24C02" w:rsidRPr="002138D2">
        <w:rPr>
          <w:rFonts w:hint="eastAsia"/>
        </w:rPr>
        <w:t>年</w:t>
      </w:r>
      <w:r w:rsidR="00FF03B2">
        <w:rPr>
          <w:rFonts w:hint="eastAsia"/>
        </w:rPr>
        <w:t>新兴市场债务危机会</w:t>
      </w:r>
      <w:r w:rsidR="00EE2387">
        <w:rPr>
          <w:rFonts w:hint="eastAsia"/>
        </w:rPr>
        <w:t>否在某国引爆，并产生连锁反应殃及债市、股市，将会</w:t>
      </w:r>
      <w:r w:rsidR="00E24C02" w:rsidRPr="002138D2">
        <w:rPr>
          <w:rFonts w:hint="eastAsia"/>
        </w:rPr>
        <w:t>是明年</w:t>
      </w:r>
      <w:r w:rsidR="00EE2387">
        <w:rPr>
          <w:rFonts w:hint="eastAsia"/>
        </w:rPr>
        <w:t>新兴市场</w:t>
      </w:r>
      <w:r w:rsidR="00E24C02" w:rsidRPr="002138D2">
        <w:rPr>
          <w:rFonts w:hint="eastAsia"/>
        </w:rPr>
        <w:t>的系统性风险之一。</w:t>
      </w:r>
      <w:r w:rsidR="002F6EA9">
        <w:rPr>
          <w:rFonts w:hint="eastAsia"/>
        </w:rPr>
        <w:t>不过，由于当前各新兴经济体实行的浮动汇率制有风险缓释的效应，且各国资产负债状况相对良好，我们认为在美元走牛阶段新兴市场再度爆发群体性危机的悲剧不会重现。另值得警惕的是</w:t>
      </w:r>
      <w:r w:rsidR="00375080">
        <w:rPr>
          <w:rFonts w:hint="eastAsia"/>
        </w:rPr>
        <w:t>，</w:t>
      </w:r>
      <w:r w:rsidR="00375080">
        <w:rPr>
          <w:rFonts w:hint="eastAsia"/>
        </w:rPr>
        <w:t>2015</w:t>
      </w:r>
      <w:r w:rsidR="00375080">
        <w:rPr>
          <w:rFonts w:hint="eastAsia"/>
        </w:rPr>
        <w:t>年上半年</w:t>
      </w:r>
      <w:r w:rsidR="00375080" w:rsidRPr="00453CB6">
        <w:rPr>
          <w:rFonts w:hint="eastAsia"/>
        </w:rPr>
        <w:t>特别是二季度</w:t>
      </w:r>
      <w:r w:rsidR="00375080">
        <w:rPr>
          <w:rFonts w:hint="eastAsia"/>
        </w:rPr>
        <w:t>，随着美联储</w:t>
      </w:r>
      <w:r w:rsidR="00375080" w:rsidRPr="00453CB6">
        <w:rPr>
          <w:rFonts w:hint="eastAsia"/>
        </w:rPr>
        <w:t>预期加息时点的临近，</w:t>
      </w:r>
      <w:r>
        <w:rPr>
          <w:rFonts w:hint="eastAsia"/>
        </w:rPr>
        <w:t>包括新兴市场在内的全球</w:t>
      </w:r>
      <w:r w:rsidRPr="00453CB6">
        <w:rPr>
          <w:rFonts w:hint="eastAsia"/>
        </w:rPr>
        <w:t>金融市场的风险</w:t>
      </w:r>
      <w:r>
        <w:rPr>
          <w:rFonts w:hint="eastAsia"/>
        </w:rPr>
        <w:t>都会有所增加</w:t>
      </w:r>
      <w:r w:rsidRPr="00453CB6">
        <w:rPr>
          <w:rFonts w:hint="eastAsia"/>
        </w:rPr>
        <w:t>。</w:t>
      </w:r>
      <w:r w:rsidR="00FF03B2">
        <w:rPr>
          <w:rFonts w:hint="eastAsia"/>
        </w:rPr>
        <w:t>而到了</w:t>
      </w:r>
      <w:r w:rsidR="00E24C02" w:rsidRPr="00453CB6">
        <w:rPr>
          <w:rFonts w:hint="eastAsia"/>
        </w:rPr>
        <w:t>下半年</w:t>
      </w:r>
      <w:r w:rsidR="00E24C02">
        <w:rPr>
          <w:rFonts w:hint="eastAsia"/>
        </w:rPr>
        <w:t>，</w:t>
      </w:r>
      <w:r w:rsidR="00FF03B2">
        <w:rPr>
          <w:rFonts w:hint="eastAsia"/>
        </w:rPr>
        <w:t>若联储已着手开始加息，反而能将不确定性</w:t>
      </w:r>
      <w:r w:rsidR="00E24C02" w:rsidRPr="00453CB6">
        <w:rPr>
          <w:rFonts w:hint="eastAsia"/>
        </w:rPr>
        <w:t>降低。</w:t>
      </w:r>
    </w:p>
    <w:tbl>
      <w:tblPr>
        <w:tblW w:w="10771" w:type="dxa"/>
        <w:tblLayout w:type="fixed"/>
        <w:tblCellMar>
          <w:left w:w="0" w:type="dxa"/>
          <w:right w:w="0" w:type="dxa"/>
        </w:tblCellMar>
        <w:tblLook w:val="0000"/>
      </w:tblPr>
      <w:tblGrid>
        <w:gridCol w:w="5272"/>
        <w:gridCol w:w="227"/>
        <w:gridCol w:w="5272"/>
      </w:tblGrid>
      <w:tr w:rsidR="005768EA" w:rsidRPr="00FC54FE" w:rsidTr="00726B80">
        <w:trPr>
          <w:cantSplit/>
          <w:trHeight w:val="368"/>
        </w:trPr>
        <w:tc>
          <w:tcPr>
            <w:tcW w:w="5272" w:type="dxa"/>
            <w:tcBorders>
              <w:top w:val="single" w:sz="6" w:space="0" w:color="FF6600"/>
              <w:bottom w:val="single" w:sz="6" w:space="0" w:color="FF6600"/>
            </w:tcBorders>
            <w:shd w:val="clear" w:color="auto" w:fill="auto"/>
            <w:vAlign w:val="center"/>
          </w:tcPr>
          <w:p w:rsidR="005768EA" w:rsidRPr="00FC54FE" w:rsidRDefault="005768EA" w:rsidP="00726B80">
            <w:pPr>
              <w:pStyle w:val="SubTitleLargeTable"/>
              <w:pBdr>
                <w:top w:val="none" w:sz="0" w:space="0" w:color="auto"/>
              </w:pBdr>
              <w:tabs>
                <w:tab w:val="left" w:pos="5250"/>
              </w:tabs>
              <w:rPr>
                <w:rFonts w:ascii="楷体" w:eastAsia="楷体" w:hAnsi="楷体"/>
                <w:color w:val="FF6600"/>
              </w:rPr>
            </w:pPr>
            <w:r w:rsidRPr="00FC54FE">
              <w:rPr>
                <w:rFonts w:ascii="楷体" w:eastAsia="楷体" w:hAnsi="楷体"/>
                <w:color w:val="FF6600"/>
              </w:rPr>
              <w:lastRenderedPageBreak/>
              <w:t>图表</w:t>
            </w:r>
            <w:r>
              <w:rPr>
                <w:rFonts w:ascii="楷体" w:eastAsia="楷体" w:hAnsi="楷体" w:hint="eastAsia"/>
                <w:color w:val="FF6600"/>
              </w:rPr>
              <w:t>4</w:t>
            </w:r>
            <w:r w:rsidRPr="00FC54FE">
              <w:rPr>
                <w:rFonts w:ascii="楷体" w:eastAsia="楷体" w:hAnsi="楷体" w:hint="eastAsia"/>
                <w:color w:val="FF6600"/>
              </w:rPr>
              <w:t>：</w:t>
            </w:r>
            <w:r w:rsidRPr="005768EA">
              <w:rPr>
                <w:rFonts w:ascii="楷体" w:eastAsia="楷体" w:hAnsi="楷体" w:hint="eastAsia"/>
                <w:color w:val="FF6600"/>
              </w:rPr>
              <w:t>新兴市场经济体GDP</w:t>
            </w:r>
            <w:r w:rsidR="00D868A1">
              <w:rPr>
                <w:rFonts w:ascii="楷体" w:eastAsia="楷体" w:hAnsi="楷体" w:hint="eastAsia"/>
                <w:color w:val="FF6600"/>
              </w:rPr>
              <w:t>同比增速</w:t>
            </w:r>
            <w:r w:rsidRPr="005768EA">
              <w:rPr>
                <w:rFonts w:ascii="楷体" w:eastAsia="楷体" w:hAnsi="楷体" w:hint="eastAsia"/>
                <w:color w:val="FF6600"/>
              </w:rPr>
              <w:t>（季）</w:t>
            </w:r>
          </w:p>
        </w:tc>
        <w:tc>
          <w:tcPr>
            <w:tcW w:w="227" w:type="dxa"/>
            <w:vAlign w:val="center"/>
          </w:tcPr>
          <w:p w:rsidR="005768EA" w:rsidRPr="00FC54FE" w:rsidRDefault="005768EA" w:rsidP="00726B80">
            <w:pPr>
              <w:tabs>
                <w:tab w:val="left" w:pos="5250"/>
              </w:tabs>
              <w:jc w:val="center"/>
              <w:rPr>
                <w:rFonts w:ascii="楷体" w:eastAsia="楷体" w:hAnsi="楷体" w:cs="Arial"/>
                <w:b/>
                <w:bCs/>
                <w:i/>
                <w:iCs/>
                <w:color w:val="FF6600"/>
                <w:kern w:val="0"/>
                <w:szCs w:val="21"/>
                <w:lang w:val="en-GB"/>
              </w:rPr>
            </w:pPr>
          </w:p>
        </w:tc>
        <w:tc>
          <w:tcPr>
            <w:tcW w:w="5272" w:type="dxa"/>
            <w:tcBorders>
              <w:top w:val="single" w:sz="6" w:space="0" w:color="FF6600"/>
              <w:bottom w:val="single" w:sz="6" w:space="0" w:color="FF6600"/>
            </w:tcBorders>
            <w:shd w:val="clear" w:color="auto" w:fill="auto"/>
            <w:vAlign w:val="center"/>
          </w:tcPr>
          <w:p w:rsidR="005768EA" w:rsidRPr="00FC54FE" w:rsidRDefault="005768EA" w:rsidP="00726B80">
            <w:pPr>
              <w:pStyle w:val="SubTitleLargeTable"/>
              <w:pBdr>
                <w:top w:val="none" w:sz="0" w:space="0" w:color="auto"/>
              </w:pBdr>
              <w:tabs>
                <w:tab w:val="left" w:pos="5250"/>
              </w:tabs>
              <w:rPr>
                <w:rFonts w:ascii="楷体" w:eastAsia="楷体" w:hAnsi="楷体"/>
                <w:color w:val="FF6600"/>
              </w:rPr>
            </w:pPr>
            <w:r w:rsidRPr="00FC54FE">
              <w:rPr>
                <w:rFonts w:ascii="楷体" w:eastAsia="楷体" w:hAnsi="楷体"/>
                <w:color w:val="FF6600"/>
              </w:rPr>
              <w:t>图表</w:t>
            </w:r>
            <w:r>
              <w:rPr>
                <w:rFonts w:ascii="楷体" w:eastAsia="楷体" w:hAnsi="楷体" w:hint="eastAsia"/>
                <w:color w:val="FF6600"/>
              </w:rPr>
              <w:t>5</w:t>
            </w:r>
            <w:r w:rsidRPr="00FC54FE">
              <w:rPr>
                <w:rFonts w:ascii="楷体" w:eastAsia="楷体" w:hAnsi="楷体" w:hint="eastAsia"/>
                <w:color w:val="FF6600"/>
              </w:rPr>
              <w:t>：</w:t>
            </w:r>
            <w:r w:rsidRPr="005768EA">
              <w:rPr>
                <w:rFonts w:ascii="楷体" w:eastAsia="楷体" w:hAnsi="楷体" w:hint="eastAsia"/>
                <w:color w:val="FF6600"/>
              </w:rPr>
              <w:t>金砖国家与美国的比较</w:t>
            </w:r>
          </w:p>
        </w:tc>
      </w:tr>
      <w:tr w:rsidR="005768EA" w:rsidRPr="00FC54FE" w:rsidTr="00726B80">
        <w:trPr>
          <w:cantSplit/>
          <w:trHeight w:val="2793"/>
        </w:trPr>
        <w:tc>
          <w:tcPr>
            <w:tcW w:w="5272" w:type="dxa"/>
            <w:tcBorders>
              <w:top w:val="single" w:sz="6" w:space="0" w:color="FF6600"/>
              <w:bottom w:val="single" w:sz="6" w:space="0" w:color="FF6600"/>
            </w:tcBorders>
            <w:shd w:val="clear" w:color="auto" w:fill="auto"/>
            <w:vAlign w:val="center"/>
          </w:tcPr>
          <w:p w:rsidR="005768EA" w:rsidRPr="00FC54FE" w:rsidRDefault="005768EA" w:rsidP="00726B80">
            <w:pPr>
              <w:tabs>
                <w:tab w:val="left" w:pos="5250"/>
              </w:tabs>
              <w:rPr>
                <w:rFonts w:ascii="楷体" w:eastAsia="楷体" w:hAnsi="楷体"/>
              </w:rPr>
            </w:pPr>
            <w:r>
              <w:rPr>
                <w:noProof/>
              </w:rPr>
              <w:drawing>
                <wp:inline distT="0" distB="0" distL="0" distR="0">
                  <wp:extent cx="3343275" cy="2352675"/>
                  <wp:effectExtent l="0" t="0" r="9525" b="0"/>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3343275" cy="2352675"/>
                          </a:xfrm>
                          <a:prstGeom prst="rect">
                            <a:avLst/>
                          </a:prstGeom>
                          <a:noFill/>
                          <a:ln w="9525">
                            <a:noFill/>
                            <a:miter lim="800000"/>
                            <a:headEnd/>
                            <a:tailEnd/>
                          </a:ln>
                        </pic:spPr>
                      </pic:pic>
                    </a:graphicData>
                  </a:graphic>
                </wp:inline>
              </w:drawing>
            </w:r>
          </w:p>
        </w:tc>
        <w:tc>
          <w:tcPr>
            <w:tcW w:w="227" w:type="dxa"/>
            <w:vAlign w:val="center"/>
          </w:tcPr>
          <w:p w:rsidR="005768EA" w:rsidRPr="00FC54FE" w:rsidRDefault="005768EA" w:rsidP="00726B80">
            <w:pPr>
              <w:tabs>
                <w:tab w:val="left" w:pos="5250"/>
              </w:tabs>
              <w:jc w:val="center"/>
              <w:rPr>
                <w:rFonts w:ascii="楷体" w:eastAsia="楷体" w:hAnsi="楷体"/>
              </w:rPr>
            </w:pPr>
          </w:p>
        </w:tc>
        <w:tc>
          <w:tcPr>
            <w:tcW w:w="5272" w:type="dxa"/>
            <w:tcBorders>
              <w:top w:val="single" w:sz="6" w:space="0" w:color="FF6600"/>
              <w:bottom w:val="single" w:sz="6" w:space="0" w:color="FF6600"/>
            </w:tcBorders>
            <w:shd w:val="clear" w:color="auto" w:fill="auto"/>
            <w:vAlign w:val="center"/>
          </w:tcPr>
          <w:p w:rsidR="005768EA" w:rsidRPr="00FC54FE" w:rsidRDefault="005768EA" w:rsidP="00726B80">
            <w:pPr>
              <w:tabs>
                <w:tab w:val="left" w:pos="5250"/>
              </w:tabs>
              <w:jc w:val="center"/>
              <w:rPr>
                <w:rFonts w:ascii="楷体" w:eastAsia="楷体" w:hAnsi="楷体"/>
              </w:rPr>
            </w:pPr>
            <w:r>
              <w:rPr>
                <w:noProof/>
              </w:rPr>
              <w:drawing>
                <wp:inline distT="0" distB="0" distL="0" distR="0">
                  <wp:extent cx="3343275" cy="2295525"/>
                  <wp:effectExtent l="0" t="0" r="952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a:stretch>
                            <a:fillRect/>
                          </a:stretch>
                        </pic:blipFill>
                        <pic:spPr bwMode="auto">
                          <a:xfrm>
                            <a:off x="0" y="0"/>
                            <a:ext cx="3343275" cy="2295525"/>
                          </a:xfrm>
                          <a:prstGeom prst="rect">
                            <a:avLst/>
                          </a:prstGeom>
                          <a:noFill/>
                          <a:ln w="9525">
                            <a:noFill/>
                            <a:miter lim="800000"/>
                            <a:headEnd/>
                            <a:tailEnd/>
                          </a:ln>
                        </pic:spPr>
                      </pic:pic>
                    </a:graphicData>
                  </a:graphic>
                </wp:inline>
              </w:drawing>
            </w:r>
          </w:p>
        </w:tc>
      </w:tr>
    </w:tbl>
    <w:p w:rsidR="005768EA" w:rsidRPr="005768EA" w:rsidRDefault="005768EA" w:rsidP="005768EA">
      <w:pPr>
        <w:pStyle w:val="FootnoteNoline"/>
        <w:tabs>
          <w:tab w:val="left" w:pos="5250"/>
        </w:tabs>
        <w:ind w:left="0"/>
        <w:rPr>
          <w:rFonts w:ascii="楷体" w:eastAsia="楷体" w:hAnsi="楷体"/>
          <w:color w:val="FF6600"/>
        </w:rPr>
      </w:pPr>
      <w:r w:rsidRPr="00FC54FE">
        <w:rPr>
          <w:rFonts w:ascii="楷体" w:eastAsia="楷体" w:hAnsi="楷体" w:hint="eastAsia"/>
          <w:color w:val="FF6600"/>
        </w:rPr>
        <w:t xml:space="preserve">来源：凯石财富工场 wind </w:t>
      </w:r>
    </w:p>
    <w:p w:rsidR="00B4511D" w:rsidRDefault="00E24C02" w:rsidP="005829B4">
      <w:pPr>
        <w:pStyle w:val="ab"/>
        <w:numPr>
          <w:ilvl w:val="4"/>
          <w:numId w:val="1"/>
        </w:numPr>
      </w:pPr>
      <w:r>
        <w:rPr>
          <w:rFonts w:hint="eastAsia"/>
        </w:rPr>
        <w:t>在新兴市场当中，凯石工场依旧看好港股</w:t>
      </w:r>
      <w:r>
        <w:rPr>
          <w:rFonts w:hint="eastAsia"/>
        </w:rPr>
        <w:t>2015</w:t>
      </w:r>
      <w:r>
        <w:rPr>
          <w:rFonts w:hint="eastAsia"/>
        </w:rPr>
        <w:t>年的表现，并建议投资者作重点布局</w:t>
      </w:r>
      <w:r w:rsidR="009635F0">
        <w:rPr>
          <w:rFonts w:hint="eastAsia"/>
        </w:rPr>
        <w:t>。</w:t>
      </w:r>
      <w:r w:rsidR="00543222">
        <w:rPr>
          <w:rFonts w:hint="eastAsia"/>
        </w:rPr>
        <w:t>尽管</w:t>
      </w:r>
      <w:r w:rsidR="00543222">
        <w:rPr>
          <w:rFonts w:hint="eastAsia"/>
        </w:rPr>
        <w:t>2014</w:t>
      </w:r>
      <w:r w:rsidR="00543222">
        <w:rPr>
          <w:rFonts w:hint="eastAsia"/>
        </w:rPr>
        <w:t>年至今始终陷入盘整，沪港通引发的反弹</w:t>
      </w:r>
      <w:r w:rsidR="0040554B">
        <w:rPr>
          <w:rFonts w:hint="eastAsia"/>
        </w:rPr>
        <w:t>又</w:t>
      </w:r>
      <w:r w:rsidR="00543222">
        <w:rPr>
          <w:rFonts w:hint="eastAsia"/>
        </w:rPr>
        <w:t>过于短暂，但</w:t>
      </w:r>
      <w:r>
        <w:rPr>
          <w:rFonts w:hint="eastAsia"/>
        </w:rPr>
        <w:t>我们分析</w:t>
      </w:r>
      <w:r w:rsidR="00ED5C64">
        <w:rPr>
          <w:rFonts w:hint="eastAsia"/>
        </w:rPr>
        <w:t>认为</w:t>
      </w:r>
      <w:r w:rsidR="00543222">
        <w:rPr>
          <w:rFonts w:hint="eastAsia"/>
        </w:rPr>
        <w:t>港股在</w:t>
      </w:r>
      <w:r w:rsidR="00543222">
        <w:rPr>
          <w:rFonts w:hint="eastAsia"/>
        </w:rPr>
        <w:t>2015</w:t>
      </w:r>
      <w:r w:rsidR="00543222">
        <w:rPr>
          <w:rFonts w:hint="eastAsia"/>
        </w:rPr>
        <w:t>年</w:t>
      </w:r>
      <w:r w:rsidR="00ED5C64">
        <w:rPr>
          <w:rFonts w:hint="eastAsia"/>
        </w:rPr>
        <w:t>面临几大利好，其投资</w:t>
      </w:r>
      <w:r w:rsidR="00543222">
        <w:rPr>
          <w:rFonts w:hint="eastAsia"/>
        </w:rPr>
        <w:t>机遇</w:t>
      </w:r>
      <w:r w:rsidR="00ED5C64">
        <w:rPr>
          <w:rFonts w:hint="eastAsia"/>
        </w:rPr>
        <w:t>不容错过：</w:t>
      </w:r>
    </w:p>
    <w:p w:rsidR="0054322D" w:rsidRDefault="00ED5C64" w:rsidP="005829B4">
      <w:pPr>
        <w:pStyle w:val="ab"/>
        <w:numPr>
          <w:ilvl w:val="4"/>
          <w:numId w:val="1"/>
        </w:numPr>
      </w:pPr>
      <w:r>
        <w:rPr>
          <w:rFonts w:hint="eastAsia"/>
        </w:rPr>
        <w:t>第一，</w:t>
      </w:r>
      <w:r w:rsidR="00B2219C">
        <w:rPr>
          <w:rFonts w:hint="eastAsia"/>
        </w:rPr>
        <w:t>2015</w:t>
      </w:r>
      <w:r w:rsidR="00B2219C">
        <w:rPr>
          <w:rFonts w:hint="eastAsia"/>
        </w:rPr>
        <w:t>年全球</w:t>
      </w:r>
      <w:r w:rsidR="009E3FEF">
        <w:rPr>
          <w:rFonts w:hint="eastAsia"/>
        </w:rPr>
        <w:t>的流动性</w:t>
      </w:r>
      <w:r w:rsidR="00B2219C">
        <w:rPr>
          <w:rFonts w:hint="eastAsia"/>
        </w:rPr>
        <w:t>宽松</w:t>
      </w:r>
      <w:r w:rsidR="008D0E79">
        <w:rPr>
          <w:rFonts w:hint="eastAsia"/>
        </w:rPr>
        <w:t>将</w:t>
      </w:r>
      <w:r w:rsidR="009E3FEF">
        <w:rPr>
          <w:rFonts w:hint="eastAsia"/>
        </w:rPr>
        <w:t>助推港股走势。</w:t>
      </w:r>
      <w:r w:rsidR="008D0E79">
        <w:rPr>
          <w:rFonts w:hint="eastAsia"/>
        </w:rPr>
        <w:t>因欧元区等</w:t>
      </w:r>
      <w:r w:rsidR="009E3FEF">
        <w:rPr>
          <w:rFonts w:hint="eastAsia"/>
        </w:rPr>
        <w:t>地</w:t>
      </w:r>
      <w:r w:rsidR="00B2219C">
        <w:rPr>
          <w:rFonts w:hint="eastAsia"/>
        </w:rPr>
        <w:t>经济不振</w:t>
      </w:r>
      <w:r w:rsidR="009E3FEF">
        <w:rPr>
          <w:rFonts w:hint="eastAsia"/>
        </w:rPr>
        <w:t>，</w:t>
      </w:r>
      <w:r w:rsidR="004A6695">
        <w:rPr>
          <w:rFonts w:hint="eastAsia"/>
        </w:rPr>
        <w:t>全球</w:t>
      </w:r>
      <w:r w:rsidR="009E3FEF">
        <w:rPr>
          <w:rFonts w:hint="eastAsia"/>
        </w:rPr>
        <w:t>宽松环境有望</w:t>
      </w:r>
      <w:r w:rsidR="00B2219C">
        <w:rPr>
          <w:rFonts w:hint="eastAsia"/>
        </w:rPr>
        <w:t>保持相当</w:t>
      </w:r>
      <w:r w:rsidR="008D0E79">
        <w:rPr>
          <w:rFonts w:hint="eastAsia"/>
        </w:rPr>
        <w:t>一段</w:t>
      </w:r>
      <w:r w:rsidR="00B2219C">
        <w:rPr>
          <w:rFonts w:hint="eastAsia"/>
        </w:rPr>
        <w:t>时间</w:t>
      </w:r>
      <w:r w:rsidR="00107299">
        <w:rPr>
          <w:rFonts w:hint="eastAsia"/>
        </w:rPr>
        <w:t>，且有可能施行更大规模的宽松货币政策</w:t>
      </w:r>
      <w:r w:rsidR="009E3FEF">
        <w:rPr>
          <w:rFonts w:hint="eastAsia"/>
        </w:rPr>
        <w:t>。</w:t>
      </w:r>
      <w:r w:rsidR="004A6695">
        <w:rPr>
          <w:rFonts w:hint="eastAsia"/>
        </w:rPr>
        <w:t>就</w:t>
      </w:r>
      <w:r w:rsidR="00B4511D">
        <w:rPr>
          <w:rFonts w:hint="eastAsia"/>
        </w:rPr>
        <w:t>中国</w:t>
      </w:r>
      <w:r w:rsidR="004A6695">
        <w:rPr>
          <w:rFonts w:hint="eastAsia"/>
        </w:rPr>
        <w:t>来看，</w:t>
      </w:r>
      <w:r w:rsidR="00B4511D">
        <w:rPr>
          <w:rFonts w:hint="eastAsia"/>
        </w:rPr>
        <w:t>近期</w:t>
      </w:r>
      <w:r w:rsidR="000E001B">
        <w:rPr>
          <w:rFonts w:hint="eastAsia"/>
        </w:rPr>
        <w:t>出台</w:t>
      </w:r>
      <w:r w:rsidR="004A6695">
        <w:rPr>
          <w:rFonts w:hint="eastAsia"/>
        </w:rPr>
        <w:t>的</w:t>
      </w:r>
      <w:r w:rsidR="00B4511D">
        <w:rPr>
          <w:rFonts w:hint="eastAsia"/>
        </w:rPr>
        <w:t>房地产贷款</w:t>
      </w:r>
      <w:r w:rsidR="000E001B">
        <w:rPr>
          <w:rFonts w:hint="eastAsia"/>
        </w:rPr>
        <w:t>标准放宽</w:t>
      </w:r>
      <w:r w:rsidR="00B4511D">
        <w:rPr>
          <w:rFonts w:hint="eastAsia"/>
        </w:rPr>
        <w:t>、央行降息等</w:t>
      </w:r>
      <w:r w:rsidR="000E001B">
        <w:rPr>
          <w:rFonts w:hint="eastAsia"/>
        </w:rPr>
        <w:t>举措</w:t>
      </w:r>
      <w:r w:rsidR="00B4511D">
        <w:rPr>
          <w:rFonts w:hint="eastAsia"/>
        </w:rPr>
        <w:t>均</w:t>
      </w:r>
      <w:r w:rsidR="000E001B">
        <w:rPr>
          <w:rFonts w:hint="eastAsia"/>
        </w:rPr>
        <w:t>表明政府</w:t>
      </w:r>
      <w:r w:rsidR="009E3FEF">
        <w:rPr>
          <w:rFonts w:hint="eastAsia"/>
        </w:rPr>
        <w:t>的</w:t>
      </w:r>
      <w:r w:rsidR="000E001B">
        <w:rPr>
          <w:rFonts w:hint="eastAsia"/>
        </w:rPr>
        <w:t>宽松意图</w:t>
      </w:r>
      <w:r w:rsidR="00670FA1">
        <w:rPr>
          <w:rFonts w:hint="eastAsia"/>
        </w:rPr>
        <w:t>；</w:t>
      </w:r>
      <w:r w:rsidR="00B4511D">
        <w:rPr>
          <w:rFonts w:hint="eastAsia"/>
        </w:rPr>
        <w:t>2015</w:t>
      </w:r>
      <w:r w:rsidR="00B4511D">
        <w:rPr>
          <w:rFonts w:hint="eastAsia"/>
        </w:rPr>
        <w:t>年</w:t>
      </w:r>
      <w:r w:rsidR="009E3FEF">
        <w:rPr>
          <w:rFonts w:hint="eastAsia"/>
        </w:rPr>
        <w:t>中国经济依然面临压力，</w:t>
      </w:r>
      <w:r w:rsidR="00B4511D">
        <w:rPr>
          <w:rFonts w:hint="eastAsia"/>
        </w:rPr>
        <w:t>通胀水平</w:t>
      </w:r>
      <w:r w:rsidR="009E3FEF">
        <w:rPr>
          <w:rFonts w:hint="eastAsia"/>
        </w:rPr>
        <w:t>大概率</w:t>
      </w:r>
      <w:r w:rsidR="004A6695">
        <w:rPr>
          <w:rFonts w:hint="eastAsia"/>
        </w:rPr>
        <w:t>将</w:t>
      </w:r>
      <w:r w:rsidR="009E3FEF">
        <w:rPr>
          <w:rFonts w:hint="eastAsia"/>
        </w:rPr>
        <w:t>维持</w:t>
      </w:r>
      <w:r w:rsidR="00B4511D">
        <w:rPr>
          <w:rFonts w:hint="eastAsia"/>
        </w:rPr>
        <w:t>低位</w:t>
      </w:r>
      <w:r w:rsidR="009E3FEF">
        <w:rPr>
          <w:rFonts w:hint="eastAsia"/>
        </w:rPr>
        <w:t>，因而财政政策和货币政策都有望更加积极。</w:t>
      </w:r>
    </w:p>
    <w:p w:rsidR="00B4511D" w:rsidRDefault="004A6695" w:rsidP="004A6695">
      <w:pPr>
        <w:pStyle w:val="ab"/>
        <w:numPr>
          <w:ilvl w:val="4"/>
          <w:numId w:val="1"/>
        </w:numPr>
      </w:pPr>
      <w:r>
        <w:rPr>
          <w:rFonts w:hint="eastAsia"/>
        </w:rPr>
        <w:t>第二，中国经济有望</w:t>
      </w:r>
      <w:r w:rsidR="004562C6">
        <w:rPr>
          <w:rFonts w:hint="eastAsia"/>
        </w:rPr>
        <w:t>筑底</w:t>
      </w:r>
      <w:r>
        <w:rPr>
          <w:rFonts w:hint="eastAsia"/>
        </w:rPr>
        <w:t>企稳，为港股带来支撑。</w:t>
      </w:r>
      <w:r w:rsidR="00B4511D" w:rsidRPr="006B54A3">
        <w:rPr>
          <w:rFonts w:hint="eastAsia"/>
        </w:rPr>
        <w:t>2015</w:t>
      </w:r>
      <w:r w:rsidR="00B4511D" w:rsidRPr="006B54A3">
        <w:rPr>
          <w:rFonts w:hint="eastAsia"/>
        </w:rPr>
        <w:t>年</w:t>
      </w:r>
      <w:r w:rsidR="00B4511D">
        <w:rPr>
          <w:rFonts w:hint="eastAsia"/>
        </w:rPr>
        <w:t>是</w:t>
      </w:r>
      <w:r w:rsidR="00B4511D" w:rsidRPr="006B54A3">
        <w:rPr>
          <w:rFonts w:hint="eastAsia"/>
        </w:rPr>
        <w:t>中国经济</w:t>
      </w:r>
      <w:r w:rsidR="00B4511D">
        <w:rPr>
          <w:rFonts w:hint="eastAsia"/>
        </w:rPr>
        <w:t>转型的关键一年，我们</w:t>
      </w:r>
      <w:r w:rsidR="00B4511D" w:rsidRPr="006B54A3">
        <w:rPr>
          <w:rFonts w:hint="eastAsia"/>
        </w:rPr>
        <w:t>预计</w:t>
      </w:r>
      <w:r w:rsidR="00B4511D">
        <w:rPr>
          <w:rFonts w:hint="eastAsia"/>
        </w:rPr>
        <w:t>起初经济的下行压力将依然延续，</w:t>
      </w:r>
      <w:r w:rsidR="00B4511D" w:rsidRPr="006B54A3">
        <w:rPr>
          <w:rFonts w:hint="eastAsia"/>
        </w:rPr>
        <w:t>增长目标</w:t>
      </w:r>
      <w:r w:rsidR="00B4511D">
        <w:rPr>
          <w:rFonts w:hint="eastAsia"/>
        </w:rPr>
        <w:t>有望下调</w:t>
      </w:r>
      <w:r w:rsidR="00B4511D" w:rsidRPr="006B54A3">
        <w:rPr>
          <w:rFonts w:hint="eastAsia"/>
        </w:rPr>
        <w:t>，</w:t>
      </w:r>
      <w:r>
        <w:rPr>
          <w:rFonts w:hint="eastAsia"/>
        </w:rPr>
        <w:t>但</w:t>
      </w:r>
      <w:r w:rsidR="00B4511D" w:rsidRPr="004A6695">
        <w:rPr>
          <w:rFonts w:hint="eastAsia"/>
          <w:color w:val="auto"/>
        </w:rPr>
        <w:t>在改革政策的强劲推动下，</w:t>
      </w:r>
      <w:r w:rsidR="00B4511D">
        <w:rPr>
          <w:rFonts w:hint="eastAsia"/>
        </w:rPr>
        <w:t>经济结构的转型升级将会陆续进入实质阶段</w:t>
      </w:r>
      <w:r w:rsidR="00B4511D" w:rsidRPr="006B54A3">
        <w:rPr>
          <w:rFonts w:hint="eastAsia"/>
        </w:rPr>
        <w:t>。</w:t>
      </w:r>
      <w:r w:rsidR="00B4511D">
        <w:rPr>
          <w:rFonts w:hint="eastAsia"/>
        </w:rPr>
        <w:t>未来随着</w:t>
      </w:r>
      <w:r w:rsidR="00B4511D" w:rsidRPr="006B54A3">
        <w:rPr>
          <w:rFonts w:hint="eastAsia"/>
        </w:rPr>
        <w:t>过剩产能</w:t>
      </w:r>
      <w:r w:rsidR="00B4511D">
        <w:rPr>
          <w:rFonts w:hint="eastAsia"/>
        </w:rPr>
        <w:t>的加速淘汰</w:t>
      </w:r>
      <w:r w:rsidR="00B4511D" w:rsidRPr="006B54A3">
        <w:rPr>
          <w:rFonts w:hint="eastAsia"/>
        </w:rPr>
        <w:t>，</w:t>
      </w:r>
      <w:r w:rsidR="00B4511D">
        <w:rPr>
          <w:rFonts w:hint="eastAsia"/>
        </w:rPr>
        <w:t>以及政府对于</w:t>
      </w:r>
      <w:r w:rsidR="00B4511D" w:rsidRPr="006B54A3">
        <w:rPr>
          <w:rFonts w:hint="eastAsia"/>
        </w:rPr>
        <w:t>新兴产业</w:t>
      </w:r>
      <w:r w:rsidR="00B4511D">
        <w:rPr>
          <w:rFonts w:hint="eastAsia"/>
        </w:rPr>
        <w:t>的大力扶持</w:t>
      </w:r>
      <w:r w:rsidR="00B4511D" w:rsidRPr="006B54A3">
        <w:rPr>
          <w:rFonts w:hint="eastAsia"/>
        </w:rPr>
        <w:t>，</w:t>
      </w:r>
      <w:r w:rsidR="00B4511D">
        <w:rPr>
          <w:rFonts w:hint="eastAsia"/>
        </w:rPr>
        <w:t>结构转型和产业</w:t>
      </w:r>
      <w:r w:rsidR="00B4511D" w:rsidRPr="006B54A3">
        <w:rPr>
          <w:rFonts w:hint="eastAsia"/>
        </w:rPr>
        <w:t>升级</w:t>
      </w:r>
      <w:r w:rsidR="00B4511D">
        <w:rPr>
          <w:rFonts w:hint="eastAsia"/>
        </w:rPr>
        <w:t>将有望增强经济增长的内在动力，助力总体经济实现筑底企稳</w:t>
      </w:r>
      <w:r w:rsidR="004562C6">
        <w:rPr>
          <w:rFonts w:hint="eastAsia"/>
        </w:rPr>
        <w:t>和</w:t>
      </w:r>
      <w:r w:rsidR="00EC53BF">
        <w:rPr>
          <w:rFonts w:eastAsia="楷体" w:cs="Arial" w:hint="eastAsia"/>
        </w:rPr>
        <w:t>可持续增长，并带动香港市场的繁荣。</w:t>
      </w:r>
      <w:r w:rsidR="00EC53BF">
        <w:rPr>
          <w:rFonts w:eastAsia="楷体" w:cs="Arial" w:hint="eastAsia"/>
        </w:rPr>
        <w:t>2015</w:t>
      </w:r>
      <w:r w:rsidR="00EC53BF">
        <w:rPr>
          <w:rFonts w:eastAsia="楷体" w:cs="Arial" w:hint="eastAsia"/>
        </w:rPr>
        <w:t>年</w:t>
      </w:r>
      <w:r w:rsidR="00EC53BF">
        <w:rPr>
          <w:rFonts w:eastAsia="楷体" w:cs="Arial" w:hint="eastAsia"/>
        </w:rPr>
        <w:t>A</w:t>
      </w:r>
      <w:r w:rsidR="00670FA1">
        <w:rPr>
          <w:rFonts w:eastAsia="楷体" w:cs="Arial" w:hint="eastAsia"/>
        </w:rPr>
        <w:t>股牛市已是大概率事件，届时将有望打开</w:t>
      </w:r>
      <w:r w:rsidR="004562C6">
        <w:rPr>
          <w:rFonts w:eastAsia="楷体" w:cs="Arial" w:hint="eastAsia"/>
        </w:rPr>
        <w:t>港</w:t>
      </w:r>
      <w:r w:rsidR="004562C6" w:rsidRPr="00D32462">
        <w:rPr>
          <w:rFonts w:eastAsia="楷体" w:cs="Arial" w:hint="eastAsia"/>
        </w:rPr>
        <w:t>股市场</w:t>
      </w:r>
      <w:r w:rsidR="00EC53BF">
        <w:rPr>
          <w:rFonts w:eastAsia="楷体" w:cs="Arial" w:hint="eastAsia"/>
        </w:rPr>
        <w:t>的</w:t>
      </w:r>
      <w:r w:rsidR="004562C6" w:rsidRPr="00D32462">
        <w:rPr>
          <w:rFonts w:eastAsia="楷体" w:cs="Arial" w:hint="eastAsia"/>
        </w:rPr>
        <w:t>上涨空间。</w:t>
      </w:r>
    </w:p>
    <w:p w:rsidR="00EC53BF" w:rsidRPr="00082FD9" w:rsidRDefault="00EB34BE" w:rsidP="004A6695">
      <w:pPr>
        <w:pStyle w:val="ab"/>
        <w:numPr>
          <w:ilvl w:val="4"/>
          <w:numId w:val="1"/>
        </w:numPr>
      </w:pPr>
      <w:r>
        <w:rPr>
          <w:rFonts w:eastAsia="楷体" w:cs="Arial" w:hint="eastAsia"/>
        </w:rPr>
        <w:t>第三，沪港通效应的发酵和深港通等预期。</w:t>
      </w:r>
      <w:r w:rsidR="00EC53BF" w:rsidRPr="0078535A">
        <w:rPr>
          <w:rFonts w:hint="eastAsia"/>
          <w:szCs w:val="21"/>
          <w:lang w:val="en-US"/>
        </w:rPr>
        <w:t>沪港通</w:t>
      </w:r>
      <w:r w:rsidR="00EC53BF">
        <w:rPr>
          <w:rFonts w:hint="eastAsia"/>
          <w:szCs w:val="21"/>
          <w:lang w:val="en-US"/>
        </w:rPr>
        <w:t>启动月余，出现了阶段性的</w:t>
      </w:r>
      <w:r w:rsidR="00EC53BF" w:rsidRPr="0078535A">
        <w:rPr>
          <w:rFonts w:hint="eastAsia"/>
          <w:szCs w:val="21"/>
          <w:lang w:val="en-US"/>
        </w:rPr>
        <w:t>“</w:t>
      </w:r>
      <w:r w:rsidR="00EC53BF">
        <w:rPr>
          <w:rFonts w:eastAsia="楷体" w:cs="Arial" w:hint="eastAsia"/>
        </w:rPr>
        <w:t>沪强港弱</w:t>
      </w:r>
      <w:r w:rsidR="00EC53BF" w:rsidRPr="0078535A">
        <w:rPr>
          <w:rFonts w:hint="eastAsia"/>
          <w:szCs w:val="21"/>
          <w:lang w:val="en-US"/>
        </w:rPr>
        <w:t>”</w:t>
      </w:r>
      <w:r w:rsidR="00EC53BF">
        <w:rPr>
          <w:rFonts w:hint="eastAsia"/>
          <w:szCs w:val="21"/>
          <w:lang w:val="en-US"/>
        </w:rPr>
        <w:t>局面</w:t>
      </w:r>
      <w:r w:rsidR="00082FD9">
        <w:rPr>
          <w:rFonts w:hint="eastAsia"/>
          <w:szCs w:val="21"/>
          <w:lang w:val="en-US"/>
        </w:rPr>
        <w:t>，主要</w:t>
      </w:r>
      <w:r w:rsidR="00082FD9">
        <w:rPr>
          <w:rFonts w:eastAsia="楷体" w:cs="Arial" w:hint="eastAsia"/>
        </w:rPr>
        <w:t>由于</w:t>
      </w:r>
      <w:r w:rsidR="00082FD9">
        <w:rPr>
          <w:rFonts w:eastAsia="楷体" w:cs="Arial"/>
        </w:rPr>
        <w:t>内地市场牛市起步，低估值股票</w:t>
      </w:r>
      <w:r w:rsidR="00082FD9" w:rsidRPr="00F218C0">
        <w:rPr>
          <w:rFonts w:eastAsia="楷体" w:cs="Arial"/>
        </w:rPr>
        <w:t>吸引</w:t>
      </w:r>
      <w:r w:rsidR="00082FD9">
        <w:rPr>
          <w:rFonts w:eastAsia="楷体" w:cs="Arial"/>
        </w:rPr>
        <w:t>香港及境外市场资金转入，</w:t>
      </w:r>
      <w:r w:rsidR="00082FD9">
        <w:rPr>
          <w:rFonts w:eastAsia="楷体" w:cs="Arial" w:hint="eastAsia"/>
        </w:rPr>
        <w:t>而“南下”资金因</w:t>
      </w:r>
      <w:r w:rsidR="00082FD9" w:rsidRPr="0061753C">
        <w:rPr>
          <w:rFonts w:eastAsia="楷体" w:cs="Arial" w:hint="eastAsia"/>
        </w:rPr>
        <w:t>内地设置</w:t>
      </w:r>
      <w:r w:rsidR="00082FD9">
        <w:rPr>
          <w:rFonts w:eastAsia="楷体" w:cs="Arial" w:hint="eastAsia"/>
        </w:rPr>
        <w:t>50</w:t>
      </w:r>
      <w:r w:rsidR="00082FD9">
        <w:rPr>
          <w:rFonts w:eastAsia="楷体" w:cs="Arial" w:hint="eastAsia"/>
        </w:rPr>
        <w:t>万元</w:t>
      </w:r>
      <w:r w:rsidR="00082FD9" w:rsidRPr="0061753C">
        <w:rPr>
          <w:rFonts w:eastAsia="楷体" w:cs="Arial" w:hint="eastAsia"/>
        </w:rPr>
        <w:t>投资门槛</w:t>
      </w:r>
      <w:r w:rsidR="00082FD9">
        <w:rPr>
          <w:rFonts w:eastAsia="楷体" w:cs="Arial" w:hint="eastAsia"/>
        </w:rPr>
        <w:t>阻挡多数散户而遇冷。</w:t>
      </w:r>
      <w:r w:rsidR="00082FD9">
        <w:rPr>
          <w:rFonts w:hint="eastAsia"/>
          <w:szCs w:val="21"/>
          <w:lang w:val="en-US"/>
        </w:rPr>
        <w:t>前瞻地</w:t>
      </w:r>
      <w:r w:rsidR="00EC53BF" w:rsidRPr="0078535A">
        <w:rPr>
          <w:rFonts w:hint="eastAsia"/>
          <w:szCs w:val="21"/>
          <w:lang w:val="en-US"/>
        </w:rPr>
        <w:t>看，沪港通是</w:t>
      </w:r>
      <w:r w:rsidR="00082FD9" w:rsidRPr="0068400E">
        <w:rPr>
          <w:rFonts w:eastAsia="楷体" w:cs="Arial" w:hint="eastAsia"/>
        </w:rPr>
        <w:t>人民币国际化的出口之一</w:t>
      </w:r>
      <w:r w:rsidR="00082FD9">
        <w:rPr>
          <w:rFonts w:eastAsia="楷体" w:cs="Arial" w:hint="eastAsia"/>
        </w:rPr>
        <w:t>，是</w:t>
      </w:r>
      <w:r w:rsidR="00EC53BF" w:rsidRPr="0078535A">
        <w:rPr>
          <w:rFonts w:hint="eastAsia"/>
          <w:szCs w:val="21"/>
          <w:lang w:val="en-US"/>
        </w:rPr>
        <w:t>基于两地股市联通的制度构建，</w:t>
      </w:r>
      <w:r w:rsidR="00082FD9">
        <w:rPr>
          <w:rFonts w:hint="eastAsia"/>
          <w:szCs w:val="21"/>
          <w:lang w:val="en-US"/>
        </w:rPr>
        <w:t>其</w:t>
      </w:r>
      <w:r w:rsidR="006B2CD3">
        <w:rPr>
          <w:rFonts w:eastAsia="楷体" w:cs="Arial" w:hint="eastAsia"/>
        </w:rPr>
        <w:t>影响力</w:t>
      </w:r>
      <w:r w:rsidR="004D02D4">
        <w:rPr>
          <w:rFonts w:eastAsia="楷体" w:cs="Arial" w:hint="eastAsia"/>
        </w:rPr>
        <w:t>远不止目前所见</w:t>
      </w:r>
      <w:r w:rsidR="00082FD9">
        <w:rPr>
          <w:rFonts w:hint="eastAsia"/>
          <w:szCs w:val="21"/>
          <w:lang w:val="en-US"/>
        </w:rPr>
        <w:t>。</w:t>
      </w:r>
      <w:r w:rsidR="006B2CD3" w:rsidRPr="0068400E">
        <w:rPr>
          <w:rFonts w:eastAsia="楷体" w:cs="Arial" w:hint="eastAsia"/>
        </w:rPr>
        <w:t>未来如果</w:t>
      </w:r>
      <w:r w:rsidR="006B2CD3" w:rsidRPr="0068400E">
        <w:rPr>
          <w:rFonts w:eastAsia="楷体" w:cs="Arial" w:hint="eastAsia"/>
        </w:rPr>
        <w:t>A</w:t>
      </w:r>
      <w:r w:rsidR="006B2CD3" w:rsidRPr="0068400E">
        <w:rPr>
          <w:rFonts w:eastAsia="楷体" w:cs="Arial" w:hint="eastAsia"/>
        </w:rPr>
        <w:t>股能够进入</w:t>
      </w:r>
      <w:r w:rsidR="006B2CD3" w:rsidRPr="0068400E">
        <w:rPr>
          <w:rFonts w:eastAsia="楷体" w:cs="Arial" w:hint="eastAsia"/>
        </w:rPr>
        <w:t>MSCI</w:t>
      </w:r>
      <w:r w:rsidR="006B2CD3">
        <w:rPr>
          <w:rFonts w:eastAsia="楷体" w:cs="Arial" w:hint="eastAsia"/>
        </w:rPr>
        <w:t>全球指数，那么沪港通带来的机会将会显著提升，届时海外资金也会跟踪这一指数进行</w:t>
      </w:r>
      <w:r w:rsidR="006B2CD3" w:rsidRPr="0068400E">
        <w:rPr>
          <w:rFonts w:eastAsia="楷体" w:cs="Arial" w:hint="eastAsia"/>
        </w:rPr>
        <w:t>资产配置，</w:t>
      </w:r>
      <w:r w:rsidR="006B2CD3">
        <w:rPr>
          <w:rFonts w:eastAsia="楷体" w:cs="Arial" w:hint="eastAsia"/>
        </w:rPr>
        <w:t>无疑将</w:t>
      </w:r>
      <w:r w:rsidR="006B2CD3" w:rsidRPr="0068400E">
        <w:rPr>
          <w:rFonts w:eastAsia="楷体" w:cs="Arial" w:hint="eastAsia"/>
        </w:rPr>
        <w:t>增加沪港通的资金流。</w:t>
      </w:r>
      <w:r w:rsidR="006B2CD3">
        <w:rPr>
          <w:rFonts w:eastAsia="楷体" w:cs="Arial" w:hint="eastAsia"/>
        </w:rPr>
        <w:t>此外深港通启动的呼声也越来越高，有消息称最快将于</w:t>
      </w:r>
      <w:r w:rsidR="006B2CD3">
        <w:rPr>
          <w:rFonts w:eastAsia="楷体" w:cs="Arial" w:hint="eastAsia"/>
        </w:rPr>
        <w:t>2015</w:t>
      </w:r>
      <w:r w:rsidR="006B2CD3">
        <w:rPr>
          <w:rFonts w:eastAsia="楷体" w:cs="Arial" w:hint="eastAsia"/>
        </w:rPr>
        <w:t>年中旬开通，这将成为港股明年的又一大利好预期。</w:t>
      </w:r>
    </w:p>
    <w:p w:rsidR="00082FD9" w:rsidRPr="00EC53BF" w:rsidRDefault="00082FD9" w:rsidP="004A6695">
      <w:pPr>
        <w:pStyle w:val="ab"/>
        <w:numPr>
          <w:ilvl w:val="4"/>
          <w:numId w:val="1"/>
        </w:numPr>
      </w:pPr>
      <w:r>
        <w:rPr>
          <w:rFonts w:hint="eastAsia"/>
          <w:szCs w:val="21"/>
          <w:lang w:val="en-US"/>
        </w:rPr>
        <w:t>第四，港股</w:t>
      </w:r>
      <w:r w:rsidR="007E4878">
        <w:rPr>
          <w:rFonts w:hint="eastAsia"/>
          <w:szCs w:val="21"/>
          <w:lang w:val="en-US"/>
        </w:rPr>
        <w:t>估值优势渐显。</w:t>
      </w:r>
      <w:r w:rsidR="00953B30">
        <w:rPr>
          <w:rFonts w:hint="eastAsia"/>
          <w:szCs w:val="21"/>
          <w:lang w:val="en-US"/>
        </w:rPr>
        <w:t>历经五年多</w:t>
      </w:r>
      <w:r w:rsidR="007E4878">
        <w:rPr>
          <w:rFonts w:hint="eastAsia"/>
          <w:szCs w:val="21"/>
          <w:lang w:val="en-US"/>
        </w:rPr>
        <w:t>的</w:t>
      </w:r>
      <w:r w:rsidR="00953B30">
        <w:rPr>
          <w:rFonts w:hint="eastAsia"/>
          <w:szCs w:val="21"/>
          <w:lang w:val="en-US"/>
        </w:rPr>
        <w:t>震荡市，</w:t>
      </w:r>
      <w:r w:rsidR="007E4878">
        <w:rPr>
          <w:rFonts w:hint="eastAsia"/>
          <w:szCs w:val="21"/>
          <w:lang w:val="en-US"/>
        </w:rPr>
        <w:t>港股</w:t>
      </w:r>
      <w:r>
        <w:rPr>
          <w:rFonts w:hint="eastAsia"/>
          <w:szCs w:val="21"/>
          <w:lang w:val="en-US"/>
        </w:rPr>
        <w:t>目前的估值无论横向还是纵向相</w:t>
      </w:r>
      <w:r w:rsidR="00946552">
        <w:rPr>
          <w:rFonts w:hint="eastAsia"/>
          <w:szCs w:val="21"/>
          <w:lang w:val="en-US"/>
        </w:rPr>
        <w:t>比均</w:t>
      </w:r>
      <w:r>
        <w:rPr>
          <w:rFonts w:hint="eastAsia"/>
          <w:szCs w:val="21"/>
          <w:lang w:val="en-US"/>
        </w:rPr>
        <w:t>偏低</w:t>
      </w:r>
      <w:r w:rsidR="006B2CD3">
        <w:rPr>
          <w:rFonts w:hint="eastAsia"/>
          <w:szCs w:val="21"/>
          <w:lang w:val="en-US"/>
        </w:rPr>
        <w:t>，</w:t>
      </w:r>
      <w:r>
        <w:rPr>
          <w:rFonts w:hint="eastAsia"/>
          <w:szCs w:val="21"/>
          <w:lang w:val="en-US"/>
        </w:rPr>
        <w:t>未来存在估值修复动力。</w:t>
      </w:r>
      <w:r w:rsidR="004C52CA">
        <w:rPr>
          <w:rFonts w:hint="eastAsia"/>
          <w:szCs w:val="21"/>
          <w:lang w:val="en-US"/>
        </w:rPr>
        <w:t>根据港股的盈利预测，现在港股的排名为亚洲及新兴市场的最前列</w:t>
      </w:r>
      <w:r w:rsidR="007E4878">
        <w:rPr>
          <w:rFonts w:hint="eastAsia"/>
          <w:szCs w:val="21"/>
          <w:lang w:val="en-US"/>
        </w:rPr>
        <w:t>，其低估值已引发部分券商将港股评级上调至“增持”，并预计</w:t>
      </w:r>
      <w:r w:rsidR="007E4878" w:rsidRPr="007E4878">
        <w:rPr>
          <w:rFonts w:hint="eastAsia"/>
          <w:szCs w:val="21"/>
          <w:lang w:val="en-US"/>
        </w:rPr>
        <w:t>香港今明两年的经济增长率</w:t>
      </w:r>
      <w:r w:rsidR="007E4878">
        <w:rPr>
          <w:rFonts w:hint="eastAsia"/>
          <w:szCs w:val="21"/>
          <w:lang w:val="en-US"/>
        </w:rPr>
        <w:t>有望</w:t>
      </w:r>
      <w:r w:rsidR="007E4878" w:rsidRPr="007E4878">
        <w:rPr>
          <w:rFonts w:hint="eastAsia"/>
          <w:szCs w:val="21"/>
          <w:lang w:val="en-US"/>
        </w:rPr>
        <w:t>高于大部分亚太</w:t>
      </w:r>
      <w:r w:rsidR="004C52CA">
        <w:rPr>
          <w:rFonts w:hint="eastAsia"/>
          <w:szCs w:val="21"/>
          <w:lang w:val="en-US"/>
        </w:rPr>
        <w:t>国家和</w:t>
      </w:r>
      <w:r w:rsidR="007E4878" w:rsidRPr="007E4878">
        <w:rPr>
          <w:rFonts w:hint="eastAsia"/>
          <w:szCs w:val="21"/>
          <w:lang w:val="en-US"/>
        </w:rPr>
        <w:t>地区。</w:t>
      </w:r>
    </w:p>
    <w:p w:rsidR="00B6662B" w:rsidRPr="00756B38" w:rsidRDefault="00F85BE6" w:rsidP="00756B38">
      <w:pPr>
        <w:pStyle w:val="ab"/>
        <w:numPr>
          <w:ilvl w:val="4"/>
          <w:numId w:val="1"/>
        </w:numPr>
        <w:tabs>
          <w:tab w:val="left" w:pos="5250"/>
        </w:tabs>
        <w:spacing w:after="163"/>
        <w:rPr>
          <w:rFonts w:eastAsia="楷体" w:cs="Arial"/>
        </w:rPr>
      </w:pPr>
      <w:r w:rsidRPr="00504FAA">
        <w:rPr>
          <w:rFonts w:eastAsia="楷体" w:cs="Arial" w:hint="eastAsia"/>
          <w:b/>
        </w:rPr>
        <w:t>风险点：</w:t>
      </w:r>
      <w:r w:rsidR="000C17E3">
        <w:rPr>
          <w:rFonts w:eastAsia="楷体" w:cs="Arial" w:hint="eastAsia"/>
        </w:rPr>
        <w:t>升值的美元将</w:t>
      </w:r>
      <w:r w:rsidR="00756B38" w:rsidRPr="00864263">
        <w:rPr>
          <w:rFonts w:eastAsia="楷体" w:cs="Arial" w:hint="eastAsia"/>
        </w:rPr>
        <w:t>在流动性方面</w:t>
      </w:r>
      <w:r w:rsidR="000C17E3">
        <w:rPr>
          <w:rFonts w:eastAsia="楷体" w:cs="Arial" w:hint="eastAsia"/>
        </w:rPr>
        <w:t>给港股带来一定</w:t>
      </w:r>
      <w:r w:rsidR="00DD73D9" w:rsidRPr="006C36CB">
        <w:rPr>
          <w:rFonts w:eastAsia="楷体" w:cs="Arial" w:hint="eastAsia"/>
        </w:rPr>
        <w:t>压力。</w:t>
      </w:r>
      <w:r w:rsidR="0065330A" w:rsidRPr="00F85BE6">
        <w:rPr>
          <w:rFonts w:eastAsia="楷体" w:cs="Arial" w:hint="eastAsia"/>
        </w:rPr>
        <w:t>近期资金从新兴市场流出的态势仍然在持续，压制了港股走势。</w:t>
      </w:r>
      <w:r w:rsidR="00704A90">
        <w:rPr>
          <w:rFonts w:eastAsia="楷体" w:cs="Arial" w:hint="eastAsia"/>
        </w:rPr>
        <w:t>在美联储</w:t>
      </w:r>
      <w:r w:rsidR="00704A90" w:rsidRPr="00864263">
        <w:rPr>
          <w:rFonts w:eastAsia="楷体" w:cs="Arial"/>
        </w:rPr>
        <w:t>走上</w:t>
      </w:r>
      <w:r w:rsidR="00704A90">
        <w:rPr>
          <w:rFonts w:eastAsia="楷体" w:cs="Arial" w:hint="eastAsia"/>
        </w:rPr>
        <w:t>货币正常化</w:t>
      </w:r>
      <w:r w:rsidR="00704A90" w:rsidRPr="00864263">
        <w:rPr>
          <w:rFonts w:eastAsia="楷体" w:cs="Arial" w:hint="eastAsia"/>
        </w:rPr>
        <w:t>道路</w:t>
      </w:r>
      <w:r w:rsidR="00704A90">
        <w:rPr>
          <w:rFonts w:eastAsia="楷体" w:cs="Arial" w:hint="eastAsia"/>
        </w:rPr>
        <w:t>之际</w:t>
      </w:r>
      <w:r w:rsidR="0065330A">
        <w:rPr>
          <w:rFonts w:eastAsia="楷体" w:cs="Arial" w:hint="eastAsia"/>
        </w:rPr>
        <w:t>，投资者应时刻关注</w:t>
      </w:r>
      <w:r w:rsidR="0065330A" w:rsidRPr="00F85BE6">
        <w:rPr>
          <w:rFonts w:eastAsia="楷体" w:cs="Arial" w:hint="eastAsia"/>
        </w:rPr>
        <w:t>全球资金的流向</w:t>
      </w:r>
      <w:r w:rsidR="0065330A">
        <w:rPr>
          <w:rFonts w:eastAsia="楷体" w:cs="Arial" w:hint="eastAsia"/>
        </w:rPr>
        <w:t>，警惕美元升值对于港股市场</w:t>
      </w:r>
      <w:r w:rsidR="00704A90" w:rsidRPr="00864263">
        <w:rPr>
          <w:rFonts w:eastAsia="楷体" w:cs="Arial" w:hint="eastAsia"/>
        </w:rPr>
        <w:t>风险溢价的不利影响。</w:t>
      </w:r>
      <w:r w:rsidR="00E372D7" w:rsidRPr="00756B38">
        <w:rPr>
          <w:rFonts w:eastAsia="楷体" w:cs="Arial" w:hint="eastAsia"/>
        </w:rPr>
        <w:t>此外，</w:t>
      </w:r>
      <w:r w:rsidR="00BD1C10" w:rsidRPr="00756B38">
        <w:rPr>
          <w:rFonts w:eastAsia="楷体" w:cs="Arial" w:hint="eastAsia"/>
        </w:rPr>
        <w:t>12</w:t>
      </w:r>
      <w:r w:rsidR="00E372D7" w:rsidRPr="00756B38">
        <w:rPr>
          <w:rFonts w:eastAsia="楷体" w:cs="Arial" w:hint="eastAsia"/>
        </w:rPr>
        <w:t>月以来</w:t>
      </w:r>
      <w:r w:rsidR="004C52CA">
        <w:rPr>
          <w:rFonts w:eastAsia="楷体" w:cs="Arial" w:hint="eastAsia"/>
        </w:rPr>
        <w:t>国际石油价格和以俄罗斯卢布为首的新兴市场货币</w:t>
      </w:r>
      <w:r w:rsidR="00BD1C10" w:rsidRPr="00756B38">
        <w:rPr>
          <w:rFonts w:eastAsia="楷体" w:cs="Arial" w:hint="eastAsia"/>
        </w:rPr>
        <w:t>双双暴跌，</w:t>
      </w:r>
      <w:r w:rsidR="00756B38">
        <w:rPr>
          <w:rFonts w:eastAsia="楷体" w:cs="Arial" w:hint="eastAsia"/>
        </w:rPr>
        <w:t>外围风险高企将在未来继续对港股行情构成威胁</w:t>
      </w:r>
      <w:r w:rsidR="00BD1C10" w:rsidRPr="00756B38">
        <w:rPr>
          <w:rFonts w:eastAsia="楷体" w:cs="Arial" w:hint="eastAsia"/>
        </w:rPr>
        <w:t>。</w:t>
      </w:r>
      <w:r w:rsidR="00756B38">
        <w:rPr>
          <w:rFonts w:eastAsia="楷体" w:cs="Arial" w:hint="eastAsia"/>
        </w:rPr>
        <w:t>中国的</w:t>
      </w:r>
      <w:r w:rsidR="005A0CC1">
        <w:rPr>
          <w:rFonts w:eastAsia="楷体" w:cs="Arial" w:hint="eastAsia"/>
        </w:rPr>
        <w:t>政策红利</w:t>
      </w:r>
      <w:r w:rsidR="00756B38">
        <w:rPr>
          <w:rFonts w:eastAsia="楷体" w:cs="Arial" w:hint="eastAsia"/>
        </w:rPr>
        <w:t>会否“后劲不足”、</w:t>
      </w:r>
      <w:r w:rsidR="007F1C41">
        <w:rPr>
          <w:rFonts w:eastAsia="楷体" w:cs="Arial" w:hint="eastAsia"/>
        </w:rPr>
        <w:t>进而</w:t>
      </w:r>
      <w:r w:rsidR="00756B38">
        <w:rPr>
          <w:rFonts w:eastAsia="楷体" w:cs="Arial" w:hint="eastAsia"/>
        </w:rPr>
        <w:t>引发中资板块获利了结也是投资者亟需关注的焦点。</w:t>
      </w:r>
    </w:p>
    <w:p w:rsidR="00BA38B5" w:rsidRDefault="00CD075F" w:rsidP="0018437B">
      <w:pPr>
        <w:widowControl/>
        <w:tabs>
          <w:tab w:val="left" w:pos="5250"/>
        </w:tabs>
        <w:spacing w:after="120"/>
        <w:ind w:left="3430"/>
        <w:rPr>
          <w:rFonts w:ascii="楷体" w:eastAsia="楷体" w:hAnsi="楷体"/>
          <w:b/>
          <w:bCs/>
          <w:color w:val="0070C0"/>
          <w:kern w:val="0"/>
          <w:szCs w:val="21"/>
          <w:lang w:val="en-GB"/>
        </w:rPr>
      </w:pPr>
      <w:r>
        <w:rPr>
          <w:rFonts w:ascii="楷体" w:eastAsia="楷体" w:hAnsi="楷体" w:hint="eastAsia"/>
          <w:b/>
          <w:bCs/>
          <w:color w:val="0070C0"/>
          <w:kern w:val="0"/>
          <w:szCs w:val="21"/>
          <w:lang w:val="en-GB"/>
        </w:rPr>
        <w:lastRenderedPageBreak/>
        <w:t>大宗商品：下跌空间不大，存在阶段性机会</w:t>
      </w:r>
    </w:p>
    <w:p w:rsidR="0018437B" w:rsidRPr="0018437B" w:rsidRDefault="0018437B" w:rsidP="0018437B">
      <w:pPr>
        <w:widowControl/>
        <w:tabs>
          <w:tab w:val="left" w:pos="5250"/>
        </w:tabs>
        <w:spacing w:after="120"/>
        <w:ind w:left="3430"/>
        <w:rPr>
          <w:rFonts w:ascii="楷体" w:eastAsia="楷体" w:hAnsi="楷体"/>
          <w:b/>
          <w:bCs/>
          <w:color w:val="0070C0"/>
          <w:kern w:val="0"/>
          <w:szCs w:val="21"/>
          <w:lang w:val="en-GB"/>
        </w:rPr>
      </w:pPr>
      <w:r>
        <w:rPr>
          <w:rFonts w:ascii="楷体" w:eastAsia="楷体" w:hAnsi="楷体" w:hint="eastAsia"/>
          <w:b/>
          <w:bCs/>
          <w:color w:val="0070C0"/>
          <w:kern w:val="0"/>
          <w:szCs w:val="21"/>
          <w:lang w:val="en-GB"/>
        </w:rPr>
        <w:t>原油</w:t>
      </w:r>
      <w:r w:rsidR="008D1EED">
        <w:rPr>
          <w:rFonts w:ascii="楷体" w:eastAsia="楷体" w:hAnsi="楷体" w:hint="eastAsia"/>
          <w:b/>
          <w:bCs/>
          <w:color w:val="0070C0"/>
          <w:kern w:val="0"/>
          <w:szCs w:val="21"/>
          <w:lang w:val="en-GB"/>
        </w:rPr>
        <w:t>波段机会，时点尚难预测</w:t>
      </w:r>
    </w:p>
    <w:p w:rsidR="0018437B" w:rsidRDefault="00CD075F" w:rsidP="0018437B">
      <w:pPr>
        <w:pStyle w:val="ab"/>
        <w:numPr>
          <w:ilvl w:val="4"/>
          <w:numId w:val="1"/>
        </w:numPr>
        <w:tabs>
          <w:tab w:val="left" w:pos="5250"/>
        </w:tabs>
        <w:spacing w:after="163"/>
        <w:rPr>
          <w:rFonts w:eastAsia="楷体" w:cs="Arial"/>
        </w:rPr>
      </w:pPr>
      <w:r w:rsidRPr="0018437B">
        <w:rPr>
          <w:rFonts w:eastAsia="楷体" w:cs="Arial" w:hint="eastAsia"/>
        </w:rPr>
        <w:t>国际能源署下调了对</w:t>
      </w:r>
      <w:r w:rsidRPr="0018437B">
        <w:rPr>
          <w:rFonts w:eastAsia="楷体" w:cs="Arial" w:hint="eastAsia"/>
        </w:rPr>
        <w:t>2015</w:t>
      </w:r>
      <w:r w:rsidR="008D1EED">
        <w:rPr>
          <w:rFonts w:eastAsia="楷体" w:cs="Arial" w:hint="eastAsia"/>
        </w:rPr>
        <w:t>年需求增长的预期，体现出市场</w:t>
      </w:r>
      <w:r w:rsidR="009523F7">
        <w:rPr>
          <w:rFonts w:eastAsia="楷体" w:cs="Arial" w:hint="eastAsia"/>
        </w:rPr>
        <w:t>的悲观情绪</w:t>
      </w:r>
      <w:r w:rsidR="0018437B">
        <w:rPr>
          <w:rFonts w:eastAsia="楷体" w:cs="Arial" w:hint="eastAsia"/>
        </w:rPr>
        <w:t>。</w:t>
      </w:r>
      <w:r w:rsidR="0018437B" w:rsidRPr="0018437B">
        <w:rPr>
          <w:rFonts w:hint="eastAsia"/>
        </w:rPr>
        <w:t>在供给端，</w:t>
      </w:r>
      <w:r w:rsidR="0018437B" w:rsidRPr="0018437B">
        <w:t>美国原油库存数据超预期</w:t>
      </w:r>
      <w:r w:rsidR="0018437B" w:rsidRPr="0018437B">
        <w:rPr>
          <w:rFonts w:hint="eastAsia"/>
        </w:rPr>
        <w:t>，而</w:t>
      </w:r>
      <w:r w:rsidR="0018437B" w:rsidRPr="0018437B">
        <w:t>沙特</w:t>
      </w:r>
      <w:r w:rsidR="0018437B" w:rsidRPr="0018437B">
        <w:rPr>
          <w:rFonts w:hint="eastAsia"/>
        </w:rPr>
        <w:t>等重要产油国</w:t>
      </w:r>
      <w:r w:rsidR="0018437B" w:rsidRPr="0018437B">
        <w:t>坚决不减产</w:t>
      </w:r>
      <w:r w:rsidR="009523F7">
        <w:rPr>
          <w:rFonts w:hint="eastAsia"/>
        </w:rPr>
        <w:t>；在需求端，全球经济</w:t>
      </w:r>
      <w:r w:rsidR="0018437B" w:rsidRPr="0018437B">
        <w:rPr>
          <w:rFonts w:hint="eastAsia"/>
        </w:rPr>
        <w:t>特别是中国等新兴经济体的增速放缓，减缓了原油需求。此外，</w:t>
      </w:r>
      <w:r w:rsidR="009523F7">
        <w:rPr>
          <w:rFonts w:hint="eastAsia"/>
        </w:rPr>
        <w:t>原油市场也受到了原油开发成本降低的冲击：</w:t>
      </w:r>
      <w:r w:rsidR="0018437B">
        <w:rPr>
          <w:rFonts w:hint="eastAsia"/>
        </w:rPr>
        <w:t>据</w:t>
      </w:r>
      <w:r w:rsidR="0018437B" w:rsidRPr="0018437B">
        <w:rPr>
          <w:rFonts w:hint="eastAsia"/>
        </w:rPr>
        <w:t>分析，目前在引入的石油开发新技术与服务产能扩张，导致原油开发成本下降</w:t>
      </w:r>
      <w:r w:rsidR="00C60DBD">
        <w:rPr>
          <w:rFonts w:hint="eastAsia"/>
        </w:rPr>
        <w:t>5%</w:t>
      </w:r>
      <w:r w:rsidR="009523F7">
        <w:rPr>
          <w:rFonts w:hint="eastAsia"/>
        </w:rPr>
        <w:t>~</w:t>
      </w:r>
      <w:r w:rsidR="0018437B" w:rsidRPr="0018437B">
        <w:rPr>
          <w:rFonts w:hint="eastAsia"/>
        </w:rPr>
        <w:t>15%</w:t>
      </w:r>
      <w:r w:rsidR="00CA30F3">
        <w:rPr>
          <w:rFonts w:hint="eastAsia"/>
        </w:rPr>
        <w:t>。这些因素均</w:t>
      </w:r>
      <w:r w:rsidR="0018437B" w:rsidRPr="0018437B">
        <w:rPr>
          <w:rFonts w:hint="eastAsia"/>
        </w:rPr>
        <w:t>制约了原油长期价格的走高。</w:t>
      </w:r>
    </w:p>
    <w:p w:rsidR="0018437B" w:rsidRPr="0018437B" w:rsidRDefault="00C10E3D" w:rsidP="0018437B">
      <w:pPr>
        <w:pStyle w:val="ab"/>
        <w:numPr>
          <w:ilvl w:val="4"/>
          <w:numId w:val="1"/>
        </w:numPr>
        <w:tabs>
          <w:tab w:val="left" w:pos="5250"/>
        </w:tabs>
        <w:spacing w:after="163"/>
        <w:rPr>
          <w:rFonts w:eastAsia="楷体" w:cs="Arial"/>
        </w:rPr>
      </w:pPr>
      <w:r>
        <w:rPr>
          <w:rFonts w:eastAsia="楷体" w:cs="Arial" w:hint="eastAsia"/>
        </w:rPr>
        <w:t>凯石</w:t>
      </w:r>
      <w:r w:rsidR="0018437B" w:rsidRPr="0018437B">
        <w:rPr>
          <w:rFonts w:eastAsia="楷体" w:cs="Arial" w:hint="eastAsia"/>
        </w:rPr>
        <w:t>预期</w:t>
      </w:r>
      <w:r w:rsidR="0018437B" w:rsidRPr="0018437B">
        <w:rPr>
          <w:rFonts w:eastAsia="楷体" w:cs="Arial" w:hint="eastAsia"/>
        </w:rPr>
        <w:t>2015</w:t>
      </w:r>
      <w:r w:rsidR="0018437B" w:rsidRPr="0018437B">
        <w:rPr>
          <w:rFonts w:eastAsia="楷体" w:cs="Arial" w:hint="eastAsia"/>
        </w:rPr>
        <w:t>年大宗商品价格在美元指数步入上升通道之后，整体将维持低位震荡趋势。</w:t>
      </w:r>
      <w:r w:rsidR="004F43D8" w:rsidRPr="0018437B">
        <w:rPr>
          <w:rFonts w:eastAsia="楷体" w:cs="Arial" w:hint="eastAsia"/>
        </w:rPr>
        <w:t>但</w:t>
      </w:r>
      <w:r w:rsidR="00CD075F" w:rsidRPr="0018437B">
        <w:rPr>
          <w:rFonts w:eastAsia="楷体" w:cs="Arial" w:hint="eastAsia"/>
        </w:rPr>
        <w:t>我们</w:t>
      </w:r>
      <w:r w:rsidR="004F43D8" w:rsidRPr="0018437B">
        <w:rPr>
          <w:rFonts w:eastAsia="楷体" w:cs="Arial" w:hint="eastAsia"/>
        </w:rPr>
        <w:t>同时</w:t>
      </w:r>
      <w:r w:rsidR="00CD075F" w:rsidRPr="0018437B">
        <w:rPr>
          <w:rFonts w:eastAsia="楷体" w:cs="Arial" w:hint="eastAsia"/>
        </w:rPr>
        <w:t>认为，目前国际油价下跌空间已经不大，</w:t>
      </w:r>
      <w:r w:rsidR="00CD075F" w:rsidRPr="0018437B">
        <w:rPr>
          <w:rFonts w:eastAsia="楷体" w:cs="Arial" w:hint="eastAsia"/>
        </w:rPr>
        <w:t>2015</w:t>
      </w:r>
      <w:r w:rsidR="004F43D8" w:rsidRPr="0018437B">
        <w:rPr>
          <w:rFonts w:eastAsia="楷体" w:cs="Arial" w:hint="eastAsia"/>
        </w:rPr>
        <w:t>年有可能阶段性</w:t>
      </w:r>
      <w:r w:rsidR="00CD075F" w:rsidRPr="0018437B">
        <w:rPr>
          <w:rFonts w:eastAsia="楷体" w:cs="Arial" w:hint="eastAsia"/>
        </w:rPr>
        <w:t>回升，明年</w:t>
      </w:r>
      <w:r>
        <w:rPr>
          <w:rFonts w:eastAsia="楷体" w:cs="Arial" w:hint="eastAsia"/>
        </w:rPr>
        <w:t>或存在较明显的阶段投资机会，只是时点目前尚难判断，故建议投资者在一季度操作上回避、战略上关注</w:t>
      </w:r>
      <w:r w:rsidR="00220352">
        <w:rPr>
          <w:rFonts w:eastAsia="楷体" w:cs="Arial" w:hint="eastAsia"/>
        </w:rPr>
        <w:t>。</w:t>
      </w:r>
    </w:p>
    <w:p w:rsidR="009E2EF2" w:rsidRPr="0018437B" w:rsidRDefault="00D84200" w:rsidP="0018437B">
      <w:pPr>
        <w:pStyle w:val="ab"/>
        <w:numPr>
          <w:ilvl w:val="4"/>
          <w:numId w:val="1"/>
        </w:numPr>
        <w:tabs>
          <w:tab w:val="left" w:pos="5250"/>
        </w:tabs>
        <w:spacing w:after="163"/>
        <w:rPr>
          <w:rFonts w:eastAsia="楷体" w:cs="Arial"/>
        </w:rPr>
      </w:pPr>
      <w:r w:rsidRPr="0018437B">
        <w:rPr>
          <w:rFonts w:eastAsia="楷体" w:cs="Arial" w:hint="eastAsia"/>
        </w:rPr>
        <w:t>尽管</w:t>
      </w:r>
      <w:r w:rsidR="009E2EF2" w:rsidRPr="0018437B">
        <w:rPr>
          <w:rFonts w:eastAsia="楷体" w:cs="Arial" w:hint="eastAsia"/>
        </w:rPr>
        <w:t>随着美元走强、</w:t>
      </w:r>
      <w:r w:rsidRPr="0018437B">
        <w:rPr>
          <w:rFonts w:eastAsia="楷体" w:cs="Arial" w:hint="eastAsia"/>
        </w:rPr>
        <w:t>全球需求下滑及页岩油远景压低原油长期均衡价格，原油大幅回升无望，</w:t>
      </w:r>
      <w:r w:rsidR="004F43D8" w:rsidRPr="0018437B">
        <w:rPr>
          <w:rFonts w:eastAsia="楷体" w:cs="Arial" w:hint="eastAsia"/>
        </w:rPr>
        <w:t>但</w:t>
      </w:r>
      <w:r w:rsidR="009E2EF2" w:rsidRPr="0018437B">
        <w:rPr>
          <w:rFonts w:eastAsia="楷体" w:cs="Arial" w:hint="eastAsia"/>
        </w:rPr>
        <w:t>目前原油属</w:t>
      </w:r>
      <w:r w:rsidR="004F43D8" w:rsidRPr="0018437B">
        <w:rPr>
          <w:rFonts w:eastAsia="楷体" w:cs="Arial" w:hint="eastAsia"/>
        </w:rPr>
        <w:t>于超跌，鉴于</w:t>
      </w:r>
      <w:r w:rsidR="009E2EF2" w:rsidRPr="0018437B">
        <w:rPr>
          <w:rFonts w:eastAsia="楷体" w:cs="Arial" w:hint="eastAsia"/>
        </w:rPr>
        <w:t>海湾产油国的财政和国际收支平衡点位最低是</w:t>
      </w:r>
      <w:r w:rsidR="004F43D8" w:rsidRPr="0018437B">
        <w:rPr>
          <w:rFonts w:eastAsia="楷体" w:cs="Arial" w:hint="eastAsia"/>
        </w:rPr>
        <w:t>60~</w:t>
      </w:r>
      <w:r w:rsidR="009E2EF2" w:rsidRPr="0018437B">
        <w:rPr>
          <w:rFonts w:eastAsia="楷体" w:cs="Arial" w:hint="eastAsia"/>
        </w:rPr>
        <w:t xml:space="preserve">80 </w:t>
      </w:r>
      <w:r w:rsidR="0002375C" w:rsidRPr="0018437B">
        <w:rPr>
          <w:rFonts w:eastAsia="楷体" w:cs="Arial" w:hint="eastAsia"/>
        </w:rPr>
        <w:t>美元，原油超跌并</w:t>
      </w:r>
      <w:r w:rsidR="0018437B">
        <w:rPr>
          <w:rFonts w:eastAsia="楷体" w:cs="Arial" w:hint="eastAsia"/>
        </w:rPr>
        <w:t>非长久之局</w:t>
      </w:r>
      <w:r w:rsidR="00CD075F" w:rsidRPr="0018437B">
        <w:rPr>
          <w:rFonts w:eastAsia="楷体" w:cs="Arial" w:hint="eastAsia"/>
        </w:rPr>
        <w:t>。</w:t>
      </w:r>
      <w:r w:rsidR="004F43D8" w:rsidRPr="0018437B">
        <w:rPr>
          <w:rFonts w:eastAsia="楷体" w:cs="Arial" w:hint="eastAsia"/>
        </w:rPr>
        <w:t>我们预计，</w:t>
      </w:r>
      <w:r w:rsidRPr="0018437B">
        <w:rPr>
          <w:rFonts w:eastAsia="楷体" w:cs="Arial" w:hint="eastAsia"/>
        </w:rPr>
        <w:t>2015</w:t>
      </w:r>
      <w:r w:rsidRPr="0018437B">
        <w:rPr>
          <w:rFonts w:eastAsia="楷体" w:cs="Arial" w:hint="eastAsia"/>
        </w:rPr>
        <w:t>年将有几大因素</w:t>
      </w:r>
      <w:r w:rsidR="0002375C" w:rsidRPr="0018437B">
        <w:rPr>
          <w:rFonts w:eastAsia="楷体" w:cs="Arial" w:hint="eastAsia"/>
        </w:rPr>
        <w:t>联手“狙击”</w:t>
      </w:r>
      <w:r w:rsidRPr="0018437B">
        <w:rPr>
          <w:rFonts w:eastAsia="楷体" w:cs="Arial" w:hint="eastAsia"/>
        </w:rPr>
        <w:t>油价</w:t>
      </w:r>
      <w:r w:rsidR="0018437B">
        <w:rPr>
          <w:rFonts w:eastAsia="楷体" w:cs="Arial" w:hint="eastAsia"/>
        </w:rPr>
        <w:t>下探</w:t>
      </w:r>
      <w:r w:rsidR="0002375C" w:rsidRPr="0018437B">
        <w:rPr>
          <w:rFonts w:eastAsia="楷体" w:cs="Arial" w:hint="eastAsia"/>
        </w:rPr>
        <w:t>：地区边缘政治冲突加剧影响到原油的产能、运输进而</w:t>
      </w:r>
      <w:r w:rsidR="00D868A1">
        <w:rPr>
          <w:rFonts w:eastAsia="楷体" w:cs="Arial"/>
        </w:rPr>
        <w:t>推升油价，</w:t>
      </w:r>
      <w:r w:rsidR="00D868A1">
        <w:rPr>
          <w:rFonts w:eastAsia="楷体" w:cs="Arial" w:hint="eastAsia"/>
        </w:rPr>
        <w:t>美联储延期加息引发美元下行，</w:t>
      </w:r>
      <w:r w:rsidR="009E2EF2" w:rsidRPr="0018437B">
        <w:rPr>
          <w:rFonts w:eastAsia="楷体" w:cs="Arial"/>
        </w:rPr>
        <w:t>中东国家财政危机迫使</w:t>
      </w:r>
      <w:r w:rsidR="009E2EF2" w:rsidRPr="0018437B">
        <w:rPr>
          <w:rFonts w:eastAsia="楷体" w:cs="Arial"/>
        </w:rPr>
        <w:t>OPEC</w:t>
      </w:r>
      <w:r w:rsidR="00D868A1">
        <w:rPr>
          <w:rFonts w:eastAsia="楷体" w:cs="Arial"/>
        </w:rPr>
        <w:t>限产而对油价形成支撑，</w:t>
      </w:r>
      <w:r w:rsidR="009E2EF2" w:rsidRPr="0018437B">
        <w:rPr>
          <w:rFonts w:eastAsia="楷体" w:cs="Arial"/>
        </w:rPr>
        <w:t>美国对俄政策的调整</w:t>
      </w:r>
      <w:r w:rsidR="00D868A1">
        <w:rPr>
          <w:rFonts w:eastAsia="楷体" w:cs="Arial"/>
        </w:rPr>
        <w:t>，等</w:t>
      </w:r>
      <w:r w:rsidR="0018437B">
        <w:rPr>
          <w:rFonts w:eastAsia="楷体" w:cs="Arial"/>
        </w:rPr>
        <w:t>等</w:t>
      </w:r>
      <w:r w:rsidR="009E2EF2" w:rsidRPr="0018437B">
        <w:rPr>
          <w:rFonts w:eastAsia="楷体" w:cs="Arial"/>
        </w:rPr>
        <w:t>。</w:t>
      </w:r>
      <w:r w:rsidR="00B47FC1">
        <w:rPr>
          <w:rFonts w:eastAsia="楷体" w:cs="Arial"/>
        </w:rPr>
        <w:t>因此，</w:t>
      </w:r>
      <w:r w:rsidR="00B47FC1">
        <w:rPr>
          <w:rFonts w:eastAsia="楷体" w:cs="Arial" w:hint="eastAsia"/>
        </w:rPr>
        <w:t>2015</w:t>
      </w:r>
      <w:r w:rsidR="00D868A1">
        <w:rPr>
          <w:rFonts w:eastAsia="楷体" w:cs="Arial" w:hint="eastAsia"/>
        </w:rPr>
        <w:t>年度能源类投资将迎来阶段性机遇，介入</w:t>
      </w:r>
      <w:r w:rsidR="00B47FC1">
        <w:rPr>
          <w:rFonts w:eastAsia="楷体" w:cs="Arial" w:hint="eastAsia"/>
        </w:rPr>
        <w:t>时机</w:t>
      </w:r>
      <w:r w:rsidR="00D868A1">
        <w:rPr>
          <w:rFonts w:eastAsia="楷体" w:cs="Arial" w:hint="eastAsia"/>
        </w:rPr>
        <w:t>尚待观察</w:t>
      </w:r>
      <w:r w:rsidR="00B47FC1">
        <w:rPr>
          <w:rFonts w:eastAsia="楷体" w:cs="Arial" w:hint="eastAsia"/>
        </w:rPr>
        <w:t>。</w:t>
      </w:r>
    </w:p>
    <w:p w:rsidR="00201653" w:rsidRPr="00C92073" w:rsidRDefault="00201653" w:rsidP="00767A9B">
      <w:pPr>
        <w:widowControl/>
        <w:tabs>
          <w:tab w:val="left" w:pos="5250"/>
        </w:tabs>
        <w:spacing w:after="120"/>
        <w:ind w:left="3430"/>
      </w:pPr>
      <w:r w:rsidRPr="00767A9B">
        <w:rPr>
          <w:rFonts w:ascii="楷体" w:eastAsia="楷体" w:hAnsi="楷体" w:hint="eastAsia"/>
          <w:b/>
          <w:bCs/>
          <w:color w:val="0070C0"/>
          <w:kern w:val="0"/>
          <w:szCs w:val="21"/>
          <w:lang w:val="en-GB"/>
        </w:rPr>
        <w:t>黄金</w:t>
      </w:r>
      <w:r w:rsidR="00767A9B" w:rsidRPr="00767A9B">
        <w:rPr>
          <w:rFonts w:ascii="楷体" w:eastAsia="楷体" w:hAnsi="楷体" w:hint="eastAsia"/>
          <w:b/>
          <w:bCs/>
          <w:color w:val="0070C0"/>
          <w:kern w:val="0"/>
          <w:szCs w:val="21"/>
          <w:lang w:val="en-GB"/>
        </w:rPr>
        <w:t>有望“逆袭”</w:t>
      </w:r>
    </w:p>
    <w:p w:rsidR="00B47FC1" w:rsidRPr="00B47FC1" w:rsidRDefault="00B47FC1" w:rsidP="00201653">
      <w:pPr>
        <w:pStyle w:val="ab"/>
        <w:numPr>
          <w:ilvl w:val="4"/>
          <w:numId w:val="1"/>
        </w:numPr>
      </w:pPr>
      <w:r w:rsidRPr="00B47FC1">
        <w:rPr>
          <w:rFonts w:hint="eastAsia"/>
        </w:rPr>
        <w:t>2013</w:t>
      </w:r>
      <w:r w:rsidRPr="00B47FC1">
        <w:rPr>
          <w:rFonts w:hint="eastAsia"/>
        </w:rPr>
        <w:t>年，黄金市场结束了长达十三年的大牛行情，年度累计下跌近</w:t>
      </w:r>
      <w:r w:rsidRPr="00B47FC1">
        <w:rPr>
          <w:rFonts w:hint="eastAsia"/>
        </w:rPr>
        <w:t>30%</w:t>
      </w:r>
      <w:r w:rsidRPr="00B47FC1">
        <w:rPr>
          <w:rFonts w:hint="eastAsia"/>
        </w:rPr>
        <w:t>；紧接着经历了一整年的跌宕起伏，金价在</w:t>
      </w:r>
      <w:r w:rsidRPr="00B47FC1">
        <w:rPr>
          <w:rFonts w:hint="eastAsia"/>
        </w:rPr>
        <w:t>2014</w:t>
      </w:r>
      <w:r>
        <w:rPr>
          <w:rFonts w:hint="eastAsia"/>
        </w:rPr>
        <w:t>年尾</w:t>
      </w:r>
      <w:r w:rsidRPr="00B47FC1">
        <w:rPr>
          <w:rFonts w:hint="eastAsia"/>
        </w:rPr>
        <w:t>再次回到了年初时的行情。</w:t>
      </w:r>
      <w:r>
        <w:rPr>
          <w:rFonts w:hint="eastAsia"/>
        </w:rPr>
        <w:t>2015</w:t>
      </w:r>
      <w:r>
        <w:rPr>
          <w:rFonts w:hint="eastAsia"/>
        </w:rPr>
        <w:t>年</w:t>
      </w:r>
      <w:r w:rsidR="00D868A1">
        <w:rPr>
          <w:rFonts w:hint="eastAsia"/>
        </w:rPr>
        <w:t>，</w:t>
      </w:r>
      <w:r>
        <w:rPr>
          <w:rFonts w:hint="eastAsia"/>
        </w:rPr>
        <w:t>黄金依旧面临极大压力：</w:t>
      </w:r>
      <w:r w:rsidRPr="00B47FC1">
        <w:rPr>
          <w:rFonts w:hint="eastAsia"/>
        </w:rPr>
        <w:t>美国经济</w:t>
      </w:r>
      <w:r w:rsidR="00D868A1">
        <w:rPr>
          <w:rFonts w:hint="eastAsia"/>
        </w:rPr>
        <w:t>有力</w:t>
      </w:r>
      <w:r>
        <w:rPr>
          <w:rFonts w:hint="eastAsia"/>
        </w:rPr>
        <w:t>复苏</w:t>
      </w:r>
      <w:r w:rsidR="00835A4B">
        <w:rPr>
          <w:rFonts w:hint="eastAsia"/>
        </w:rPr>
        <w:t>削弱</w:t>
      </w:r>
      <w:r w:rsidR="00D868A1">
        <w:rPr>
          <w:rFonts w:hint="eastAsia"/>
        </w:rPr>
        <w:t>了</w:t>
      </w:r>
      <w:r w:rsidR="00835A4B">
        <w:rPr>
          <w:rFonts w:hint="eastAsia"/>
        </w:rPr>
        <w:t>避险需求</w:t>
      </w:r>
      <w:r>
        <w:rPr>
          <w:rFonts w:hint="eastAsia"/>
        </w:rPr>
        <w:t>，加息预期催涨美元中长期走强信心，</w:t>
      </w:r>
      <w:r w:rsidRPr="00BD6ABA">
        <w:rPr>
          <w:lang w:val="en-US"/>
        </w:rPr>
        <w:t>全球通胀数据继续低迷</w:t>
      </w:r>
      <w:r w:rsidR="00835A4B">
        <w:rPr>
          <w:lang w:val="en-US"/>
        </w:rPr>
        <w:t>降低黄金对冲价值。</w:t>
      </w:r>
      <w:r w:rsidR="00D868A1">
        <w:rPr>
          <w:rFonts w:hint="eastAsia"/>
        </w:rPr>
        <w:t>不过</w:t>
      </w:r>
      <w:r w:rsidR="00835A4B">
        <w:rPr>
          <w:rFonts w:hint="eastAsia"/>
        </w:rPr>
        <w:t>我们倾向于认为</w:t>
      </w:r>
      <w:r w:rsidR="00D868A1">
        <w:rPr>
          <w:rFonts w:hint="eastAsia"/>
        </w:rPr>
        <w:t>，</w:t>
      </w:r>
      <w:r w:rsidR="00835A4B" w:rsidRPr="00835A4B">
        <w:rPr>
          <w:rFonts w:hint="eastAsia"/>
        </w:rPr>
        <w:t>金价</w:t>
      </w:r>
      <w:r w:rsidR="00A04D2D">
        <w:rPr>
          <w:rFonts w:hint="eastAsia"/>
        </w:rPr>
        <w:t>目前</w:t>
      </w:r>
      <w:r w:rsidR="00835A4B" w:rsidRPr="00835A4B">
        <w:rPr>
          <w:rFonts w:hint="eastAsia"/>
        </w:rPr>
        <w:t>已</w:t>
      </w:r>
      <w:r w:rsidR="00835A4B">
        <w:rPr>
          <w:rFonts w:hint="eastAsia"/>
        </w:rPr>
        <w:t>然筑底，进一步下行空间有</w:t>
      </w:r>
      <w:r w:rsidR="00835A4B" w:rsidRPr="00835A4B">
        <w:rPr>
          <w:rFonts w:hint="eastAsia"/>
        </w:rPr>
        <w:t>限</w:t>
      </w:r>
      <w:r w:rsidR="00D868A1">
        <w:rPr>
          <w:rFonts w:hint="eastAsia"/>
        </w:rPr>
        <w:t>，同时</w:t>
      </w:r>
      <w:r w:rsidR="00A04D2D">
        <w:rPr>
          <w:rFonts w:hint="eastAsia"/>
        </w:rPr>
        <w:t>一些积极因素有望悄然支撑金价上扬，</w:t>
      </w:r>
      <w:r w:rsidR="00D868A1">
        <w:rPr>
          <w:rFonts w:hint="eastAsia"/>
        </w:rPr>
        <w:t>故</w:t>
      </w:r>
      <w:r w:rsidR="00835A4B" w:rsidRPr="00835A4B">
        <w:rPr>
          <w:rFonts w:hint="eastAsia"/>
        </w:rPr>
        <w:t>2015</w:t>
      </w:r>
      <w:r w:rsidR="00835A4B">
        <w:rPr>
          <w:rFonts w:hint="eastAsia"/>
        </w:rPr>
        <w:t>年或有可能成为贵金属的“逆袭”之年</w:t>
      </w:r>
      <w:r w:rsidR="00A04D2D">
        <w:rPr>
          <w:rFonts w:hint="eastAsia"/>
        </w:rPr>
        <w:t>：</w:t>
      </w:r>
    </w:p>
    <w:p w:rsidR="00066C0B" w:rsidRPr="00767A9B" w:rsidRDefault="00A04D2D" w:rsidP="00767A9B">
      <w:pPr>
        <w:pStyle w:val="ab"/>
        <w:numPr>
          <w:ilvl w:val="4"/>
          <w:numId w:val="1"/>
        </w:numPr>
      </w:pPr>
      <w:r>
        <w:rPr>
          <w:rFonts w:hint="eastAsia"/>
        </w:rPr>
        <w:t>新兴市场对于实物黄金的需求不容忽视，实物黄金市场在历经</w:t>
      </w:r>
      <w:r>
        <w:rPr>
          <w:rFonts w:hint="eastAsia"/>
        </w:rPr>
        <w:t>2014</w:t>
      </w:r>
      <w:r>
        <w:rPr>
          <w:rFonts w:hint="eastAsia"/>
        </w:rPr>
        <w:t>年下滑后或将出现复苏迹象；作为传统黄金消费大国，印度政府放松了黄金进口，而中国作为全球第二大黄金消费国，</w:t>
      </w:r>
      <w:r>
        <w:rPr>
          <w:rFonts w:hint="eastAsia"/>
        </w:rPr>
        <w:t>2015</w:t>
      </w:r>
      <w:r>
        <w:rPr>
          <w:rFonts w:hint="eastAsia"/>
        </w:rPr>
        <w:t>年亦可能为金价反弹做出相当贡献。由于低廉的金价对中印两国消费者极具吸引力，因此明年金价有可能伴随实物金的需求走强而反弹。更值得注意的是，正如</w:t>
      </w:r>
      <w:r>
        <w:rPr>
          <w:rFonts w:hint="eastAsia"/>
        </w:rPr>
        <w:t>2014</w:t>
      </w:r>
      <w:r>
        <w:rPr>
          <w:rFonts w:hint="eastAsia"/>
        </w:rPr>
        <w:t>年一度局势紧张催涨金价，地缘政治冲突加剧的可能性将继续成为</w:t>
      </w:r>
      <w:r>
        <w:rPr>
          <w:rFonts w:hint="eastAsia"/>
        </w:rPr>
        <w:t>2015</w:t>
      </w:r>
      <w:r>
        <w:rPr>
          <w:rFonts w:hint="eastAsia"/>
        </w:rPr>
        <w:t>年刺激黄金避险情绪升温的最大助力。此外，美联储延期加息的预期也有可能打断贵金属价格的下行进程。</w:t>
      </w:r>
    </w:p>
    <w:tbl>
      <w:tblPr>
        <w:tblW w:w="10771" w:type="dxa"/>
        <w:tblLayout w:type="fixed"/>
        <w:tblCellMar>
          <w:left w:w="0" w:type="dxa"/>
          <w:right w:w="0" w:type="dxa"/>
        </w:tblCellMar>
        <w:tblLook w:val="0000"/>
      </w:tblPr>
      <w:tblGrid>
        <w:gridCol w:w="5272"/>
        <w:gridCol w:w="227"/>
        <w:gridCol w:w="5272"/>
      </w:tblGrid>
      <w:tr w:rsidR="005768EA" w:rsidRPr="00FC54FE" w:rsidTr="00726B80">
        <w:trPr>
          <w:cantSplit/>
          <w:trHeight w:val="368"/>
        </w:trPr>
        <w:tc>
          <w:tcPr>
            <w:tcW w:w="5272" w:type="dxa"/>
            <w:tcBorders>
              <w:top w:val="single" w:sz="6" w:space="0" w:color="FF6600"/>
              <w:bottom w:val="single" w:sz="6" w:space="0" w:color="FF6600"/>
            </w:tcBorders>
            <w:shd w:val="clear" w:color="auto" w:fill="auto"/>
            <w:vAlign w:val="center"/>
          </w:tcPr>
          <w:p w:rsidR="005768EA" w:rsidRPr="00FC54FE" w:rsidRDefault="005768EA" w:rsidP="00726B80">
            <w:pPr>
              <w:pStyle w:val="SubTitleLargeTable"/>
              <w:pBdr>
                <w:top w:val="none" w:sz="0" w:space="0" w:color="auto"/>
              </w:pBdr>
              <w:tabs>
                <w:tab w:val="left" w:pos="5250"/>
              </w:tabs>
              <w:rPr>
                <w:rFonts w:ascii="楷体" w:eastAsia="楷体" w:hAnsi="楷体"/>
                <w:color w:val="FF6600"/>
              </w:rPr>
            </w:pPr>
            <w:r w:rsidRPr="00FC54FE">
              <w:rPr>
                <w:rFonts w:ascii="楷体" w:eastAsia="楷体" w:hAnsi="楷体"/>
                <w:color w:val="FF6600"/>
              </w:rPr>
              <w:t>图表</w:t>
            </w:r>
            <w:r>
              <w:rPr>
                <w:rFonts w:ascii="楷体" w:eastAsia="楷体" w:hAnsi="楷体" w:hint="eastAsia"/>
                <w:color w:val="FF6600"/>
              </w:rPr>
              <w:t>6</w:t>
            </w:r>
            <w:r w:rsidRPr="00FC54FE">
              <w:rPr>
                <w:rFonts w:ascii="楷体" w:eastAsia="楷体" w:hAnsi="楷体" w:hint="eastAsia"/>
                <w:color w:val="FF6600"/>
              </w:rPr>
              <w:t>：</w:t>
            </w:r>
            <w:r w:rsidRPr="005768EA">
              <w:rPr>
                <w:rFonts w:ascii="楷体" w:eastAsia="楷体" w:hAnsi="楷体" w:hint="eastAsia"/>
                <w:color w:val="FF6600"/>
              </w:rPr>
              <w:t>黄金走势（2007</w:t>
            </w:r>
            <w:r w:rsidR="00EA7B57">
              <w:rPr>
                <w:rFonts w:ascii="楷体" w:eastAsia="楷体" w:hAnsi="楷体" w:hint="eastAsia"/>
                <w:color w:val="FF6600"/>
              </w:rPr>
              <w:t>年</w:t>
            </w:r>
            <w:r w:rsidRPr="005768EA">
              <w:rPr>
                <w:rFonts w:ascii="楷体" w:eastAsia="楷体" w:hAnsi="楷体" w:hint="eastAsia"/>
                <w:color w:val="FF6600"/>
              </w:rPr>
              <w:t>3</w:t>
            </w:r>
            <w:r w:rsidR="00EA7B57">
              <w:rPr>
                <w:rFonts w:ascii="楷体" w:eastAsia="楷体" w:hAnsi="楷体" w:hint="eastAsia"/>
                <w:color w:val="FF6600"/>
              </w:rPr>
              <w:t>月</w:t>
            </w:r>
            <w:r w:rsidRPr="005768EA">
              <w:rPr>
                <w:rFonts w:ascii="楷体" w:eastAsia="楷体" w:hAnsi="楷体" w:hint="eastAsia"/>
                <w:color w:val="FF6600"/>
              </w:rPr>
              <w:t>以来）</w:t>
            </w:r>
          </w:p>
        </w:tc>
        <w:tc>
          <w:tcPr>
            <w:tcW w:w="227" w:type="dxa"/>
            <w:vAlign w:val="center"/>
          </w:tcPr>
          <w:p w:rsidR="005768EA" w:rsidRPr="00FC54FE" w:rsidRDefault="005768EA" w:rsidP="00726B80">
            <w:pPr>
              <w:tabs>
                <w:tab w:val="left" w:pos="5250"/>
              </w:tabs>
              <w:jc w:val="center"/>
              <w:rPr>
                <w:rFonts w:ascii="楷体" w:eastAsia="楷体" w:hAnsi="楷体" w:cs="Arial"/>
                <w:b/>
                <w:bCs/>
                <w:i/>
                <w:iCs/>
                <w:color w:val="FF6600"/>
                <w:kern w:val="0"/>
                <w:szCs w:val="21"/>
                <w:lang w:val="en-GB"/>
              </w:rPr>
            </w:pPr>
          </w:p>
        </w:tc>
        <w:tc>
          <w:tcPr>
            <w:tcW w:w="5272" w:type="dxa"/>
            <w:tcBorders>
              <w:top w:val="single" w:sz="6" w:space="0" w:color="FF6600"/>
              <w:bottom w:val="single" w:sz="6" w:space="0" w:color="FF6600"/>
            </w:tcBorders>
            <w:shd w:val="clear" w:color="auto" w:fill="auto"/>
            <w:vAlign w:val="center"/>
          </w:tcPr>
          <w:p w:rsidR="005768EA" w:rsidRPr="00FC54FE" w:rsidRDefault="005768EA" w:rsidP="00726B80">
            <w:pPr>
              <w:pStyle w:val="SubTitleLargeTable"/>
              <w:pBdr>
                <w:top w:val="none" w:sz="0" w:space="0" w:color="auto"/>
              </w:pBdr>
              <w:tabs>
                <w:tab w:val="left" w:pos="5250"/>
              </w:tabs>
              <w:rPr>
                <w:rFonts w:ascii="楷体" w:eastAsia="楷体" w:hAnsi="楷体"/>
                <w:color w:val="FF6600"/>
              </w:rPr>
            </w:pPr>
            <w:r w:rsidRPr="00FC54FE">
              <w:rPr>
                <w:rFonts w:ascii="楷体" w:eastAsia="楷体" w:hAnsi="楷体"/>
                <w:color w:val="FF6600"/>
              </w:rPr>
              <w:t>图表</w:t>
            </w:r>
            <w:r>
              <w:rPr>
                <w:rFonts w:ascii="楷体" w:eastAsia="楷体" w:hAnsi="楷体" w:hint="eastAsia"/>
                <w:color w:val="FF6600"/>
              </w:rPr>
              <w:t>7</w:t>
            </w:r>
            <w:r w:rsidRPr="00FC54FE">
              <w:rPr>
                <w:rFonts w:ascii="楷体" w:eastAsia="楷体" w:hAnsi="楷体" w:hint="eastAsia"/>
                <w:color w:val="FF6600"/>
              </w:rPr>
              <w:t>：</w:t>
            </w:r>
            <w:r w:rsidRPr="005768EA">
              <w:rPr>
                <w:rFonts w:ascii="楷体" w:eastAsia="楷体" w:hAnsi="楷体" w:hint="eastAsia"/>
                <w:color w:val="FF6600"/>
              </w:rPr>
              <w:t>美元指数与原油价格（2007</w:t>
            </w:r>
            <w:r w:rsidR="00EA7B57">
              <w:rPr>
                <w:rFonts w:ascii="楷体" w:eastAsia="楷体" w:hAnsi="楷体" w:hint="eastAsia"/>
                <w:color w:val="FF6600"/>
              </w:rPr>
              <w:t>年</w:t>
            </w:r>
            <w:r w:rsidRPr="005768EA">
              <w:rPr>
                <w:rFonts w:ascii="楷体" w:eastAsia="楷体" w:hAnsi="楷体" w:hint="eastAsia"/>
                <w:color w:val="FF6600"/>
              </w:rPr>
              <w:t>12</w:t>
            </w:r>
            <w:r w:rsidR="00EA7B57">
              <w:rPr>
                <w:rFonts w:ascii="楷体" w:eastAsia="楷体" w:hAnsi="楷体" w:hint="eastAsia"/>
                <w:color w:val="FF6600"/>
              </w:rPr>
              <w:t>月</w:t>
            </w:r>
            <w:r w:rsidRPr="005768EA">
              <w:rPr>
                <w:rFonts w:ascii="楷体" w:eastAsia="楷体" w:hAnsi="楷体" w:hint="eastAsia"/>
                <w:color w:val="FF6600"/>
              </w:rPr>
              <w:t>以来）</w:t>
            </w:r>
          </w:p>
        </w:tc>
      </w:tr>
      <w:tr w:rsidR="005768EA" w:rsidRPr="00FC54FE" w:rsidTr="00726B80">
        <w:trPr>
          <w:cantSplit/>
          <w:trHeight w:val="2793"/>
        </w:trPr>
        <w:tc>
          <w:tcPr>
            <w:tcW w:w="5272" w:type="dxa"/>
            <w:tcBorders>
              <w:top w:val="single" w:sz="6" w:space="0" w:color="FF6600"/>
              <w:bottom w:val="single" w:sz="6" w:space="0" w:color="FF6600"/>
            </w:tcBorders>
            <w:shd w:val="clear" w:color="auto" w:fill="auto"/>
            <w:vAlign w:val="center"/>
          </w:tcPr>
          <w:p w:rsidR="005768EA" w:rsidRPr="00FC54FE" w:rsidRDefault="005768EA" w:rsidP="00726B80">
            <w:pPr>
              <w:tabs>
                <w:tab w:val="left" w:pos="5250"/>
              </w:tabs>
              <w:rPr>
                <w:rFonts w:ascii="楷体" w:eastAsia="楷体" w:hAnsi="楷体"/>
              </w:rPr>
            </w:pPr>
            <w:r>
              <w:rPr>
                <w:noProof/>
              </w:rPr>
              <w:drawing>
                <wp:inline distT="0" distB="0" distL="0" distR="0">
                  <wp:extent cx="3324225" cy="2085975"/>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3324225" cy="2085975"/>
                          </a:xfrm>
                          <a:prstGeom prst="rect">
                            <a:avLst/>
                          </a:prstGeom>
                          <a:noFill/>
                          <a:ln w="9525">
                            <a:noFill/>
                            <a:miter lim="800000"/>
                            <a:headEnd/>
                            <a:tailEnd/>
                          </a:ln>
                        </pic:spPr>
                      </pic:pic>
                    </a:graphicData>
                  </a:graphic>
                </wp:inline>
              </w:drawing>
            </w:r>
          </w:p>
        </w:tc>
        <w:tc>
          <w:tcPr>
            <w:tcW w:w="227" w:type="dxa"/>
            <w:vAlign w:val="center"/>
          </w:tcPr>
          <w:p w:rsidR="005768EA" w:rsidRPr="00FC54FE" w:rsidRDefault="005768EA" w:rsidP="00726B80">
            <w:pPr>
              <w:tabs>
                <w:tab w:val="left" w:pos="5250"/>
              </w:tabs>
              <w:jc w:val="center"/>
              <w:rPr>
                <w:rFonts w:ascii="楷体" w:eastAsia="楷体" w:hAnsi="楷体"/>
              </w:rPr>
            </w:pPr>
          </w:p>
        </w:tc>
        <w:tc>
          <w:tcPr>
            <w:tcW w:w="5272" w:type="dxa"/>
            <w:tcBorders>
              <w:top w:val="single" w:sz="6" w:space="0" w:color="FF6600"/>
              <w:bottom w:val="single" w:sz="6" w:space="0" w:color="FF6600"/>
            </w:tcBorders>
            <w:shd w:val="clear" w:color="auto" w:fill="auto"/>
            <w:vAlign w:val="center"/>
          </w:tcPr>
          <w:p w:rsidR="005768EA" w:rsidRPr="00FC54FE" w:rsidRDefault="005768EA" w:rsidP="00726B80">
            <w:pPr>
              <w:tabs>
                <w:tab w:val="left" w:pos="5250"/>
              </w:tabs>
              <w:jc w:val="center"/>
              <w:rPr>
                <w:rFonts w:ascii="楷体" w:eastAsia="楷体" w:hAnsi="楷体"/>
              </w:rPr>
            </w:pPr>
            <w:r>
              <w:rPr>
                <w:noProof/>
              </w:rPr>
              <w:drawing>
                <wp:inline distT="0" distB="0" distL="0" distR="0">
                  <wp:extent cx="3305175" cy="2085975"/>
                  <wp:effectExtent l="19050" t="0" r="9525"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3305175" cy="2085975"/>
                          </a:xfrm>
                          <a:prstGeom prst="rect">
                            <a:avLst/>
                          </a:prstGeom>
                          <a:noFill/>
                          <a:ln w="9525">
                            <a:noFill/>
                            <a:miter lim="800000"/>
                            <a:headEnd/>
                            <a:tailEnd/>
                          </a:ln>
                        </pic:spPr>
                      </pic:pic>
                    </a:graphicData>
                  </a:graphic>
                </wp:inline>
              </w:drawing>
            </w:r>
          </w:p>
        </w:tc>
      </w:tr>
    </w:tbl>
    <w:p w:rsidR="005768EA" w:rsidRPr="005768EA" w:rsidRDefault="005768EA" w:rsidP="005768EA">
      <w:pPr>
        <w:pStyle w:val="FootnoteNoline"/>
        <w:tabs>
          <w:tab w:val="left" w:pos="5250"/>
        </w:tabs>
        <w:ind w:left="0"/>
        <w:rPr>
          <w:rFonts w:ascii="楷体" w:eastAsia="楷体" w:hAnsi="楷体"/>
          <w:color w:val="FF6600"/>
        </w:rPr>
      </w:pPr>
      <w:r w:rsidRPr="00FC54FE">
        <w:rPr>
          <w:rFonts w:ascii="楷体" w:eastAsia="楷体" w:hAnsi="楷体" w:hint="eastAsia"/>
          <w:color w:val="FF6600"/>
        </w:rPr>
        <w:t xml:space="preserve">来源：凯石财富工场 wind </w:t>
      </w:r>
    </w:p>
    <w:p w:rsidR="00BE4E61" w:rsidRPr="00BE4E61" w:rsidRDefault="0040694D" w:rsidP="00BE4E61">
      <w:pPr>
        <w:widowControl/>
        <w:tabs>
          <w:tab w:val="left" w:pos="5250"/>
        </w:tabs>
        <w:spacing w:after="120" w:line="240" w:lineRule="exact"/>
        <w:ind w:left="3430"/>
        <w:rPr>
          <w:rFonts w:ascii="楷体" w:eastAsia="楷体" w:hAnsi="楷体" w:cs="Times New Roman"/>
          <w:b/>
          <w:bCs/>
          <w:color w:val="0070C0"/>
          <w:kern w:val="0"/>
          <w:sz w:val="24"/>
          <w:szCs w:val="20"/>
          <w:lang w:val="en-GB"/>
        </w:rPr>
      </w:pPr>
      <w:r>
        <w:rPr>
          <w:rFonts w:ascii="Arial" w:eastAsia="楷体" w:hAnsi="Arial" w:cs="Arial" w:hint="eastAsia"/>
          <w:b/>
          <w:bCs/>
          <w:color w:val="0070C0"/>
          <w:kern w:val="0"/>
          <w:sz w:val="24"/>
          <w:szCs w:val="20"/>
          <w:lang w:val="en-GB"/>
        </w:rPr>
        <w:lastRenderedPageBreak/>
        <w:t>2</w:t>
      </w:r>
      <w:r>
        <w:rPr>
          <w:rFonts w:ascii="Arial" w:eastAsia="楷体" w:hAnsi="Arial" w:cs="Arial" w:hint="eastAsia"/>
          <w:b/>
          <w:bCs/>
          <w:color w:val="0070C0"/>
          <w:kern w:val="0"/>
          <w:sz w:val="24"/>
          <w:szCs w:val="20"/>
          <w:lang w:val="en-GB"/>
        </w:rPr>
        <w:t>、</w:t>
      </w:r>
      <w:r w:rsidR="004E1681">
        <w:rPr>
          <w:rFonts w:ascii="Arial" w:eastAsia="楷体" w:hAnsi="Arial" w:cs="Arial" w:hint="eastAsia"/>
          <w:b/>
          <w:bCs/>
          <w:color w:val="0070C0"/>
          <w:kern w:val="0"/>
          <w:sz w:val="24"/>
          <w:szCs w:val="20"/>
          <w:lang w:val="en-GB"/>
        </w:rPr>
        <w:t>2015</w:t>
      </w:r>
      <w:r w:rsidR="004E1681">
        <w:rPr>
          <w:rFonts w:ascii="Arial" w:eastAsia="楷体" w:hAnsi="Arial" w:cs="Arial" w:hint="eastAsia"/>
          <w:b/>
          <w:bCs/>
          <w:color w:val="0070C0"/>
          <w:kern w:val="0"/>
          <w:sz w:val="24"/>
          <w:szCs w:val="20"/>
          <w:lang w:val="en-GB"/>
        </w:rPr>
        <w:t>年度</w:t>
      </w:r>
      <w:r w:rsidR="00A70401" w:rsidRPr="00085288">
        <w:rPr>
          <w:rFonts w:ascii="Arial" w:eastAsia="楷体" w:hAnsi="Arial" w:cs="Arial"/>
          <w:b/>
          <w:bCs/>
          <w:color w:val="0070C0"/>
          <w:kern w:val="0"/>
          <w:sz w:val="24"/>
          <w:szCs w:val="20"/>
          <w:lang w:val="en-GB"/>
        </w:rPr>
        <w:t>QDII</w:t>
      </w:r>
      <w:r w:rsidR="00A70401" w:rsidRPr="00FC54FE">
        <w:rPr>
          <w:rFonts w:ascii="楷体" w:eastAsia="楷体" w:hAnsi="楷体" w:cs="Times New Roman" w:hint="eastAsia"/>
          <w:b/>
          <w:bCs/>
          <w:color w:val="0070C0"/>
          <w:kern w:val="0"/>
          <w:sz w:val="24"/>
          <w:szCs w:val="20"/>
          <w:lang w:val="en-GB"/>
        </w:rPr>
        <w:t>投资</w:t>
      </w:r>
      <w:r w:rsidR="00C95A13">
        <w:rPr>
          <w:rFonts w:ascii="楷体" w:eastAsia="楷体" w:hAnsi="楷体" w:cs="Times New Roman" w:hint="eastAsia"/>
          <w:b/>
          <w:bCs/>
          <w:color w:val="0070C0"/>
          <w:kern w:val="0"/>
          <w:sz w:val="24"/>
          <w:szCs w:val="20"/>
          <w:lang w:val="en-GB"/>
        </w:rPr>
        <w:t>策略</w:t>
      </w:r>
      <w:r w:rsidR="00726B80">
        <w:rPr>
          <w:rFonts w:ascii="楷体" w:eastAsia="楷体" w:hAnsi="楷体" w:cs="Times New Roman" w:hint="eastAsia"/>
          <w:b/>
          <w:bCs/>
          <w:color w:val="0070C0"/>
          <w:kern w:val="0"/>
          <w:sz w:val="24"/>
          <w:szCs w:val="20"/>
          <w:lang w:val="en-GB"/>
        </w:rPr>
        <w:t>：港股主打，分散投资</w:t>
      </w:r>
    </w:p>
    <w:p w:rsidR="00726B80" w:rsidRDefault="00BE4E61" w:rsidP="00BE4E61">
      <w:pPr>
        <w:pStyle w:val="ab"/>
        <w:numPr>
          <w:ilvl w:val="4"/>
          <w:numId w:val="1"/>
        </w:numPr>
        <w:tabs>
          <w:tab w:val="left" w:pos="5250"/>
        </w:tabs>
        <w:spacing w:after="163"/>
      </w:pPr>
      <w:r w:rsidRPr="00BE4E61">
        <w:rPr>
          <w:rFonts w:hint="eastAsia"/>
        </w:rPr>
        <w:t>2015</w:t>
      </w:r>
      <w:r w:rsidRPr="00BE4E61">
        <w:rPr>
          <w:rFonts w:hint="eastAsia"/>
        </w:rPr>
        <w:t>年</w:t>
      </w:r>
      <w:r>
        <w:rPr>
          <w:rFonts w:hint="eastAsia"/>
        </w:rPr>
        <w:t>全球经济缓慢复苏，</w:t>
      </w:r>
      <w:r w:rsidR="00E73F8D">
        <w:rPr>
          <w:rFonts w:hint="eastAsia"/>
        </w:rPr>
        <w:t>流动性较为充沛，</w:t>
      </w:r>
      <w:r>
        <w:rPr>
          <w:rFonts w:hint="eastAsia"/>
        </w:rPr>
        <w:t>美国、欧洲、新兴市场均呈机会与风险交织的局面，</w:t>
      </w:r>
      <w:r w:rsidR="006C2F69">
        <w:rPr>
          <w:rFonts w:hint="eastAsia"/>
        </w:rPr>
        <w:t>其中又以美联储加息预期的搅动因素为重。前已叙及，</w:t>
      </w:r>
      <w:r w:rsidR="006C2F69">
        <w:rPr>
          <w:rFonts w:hint="eastAsia"/>
        </w:rPr>
        <w:t>2015</w:t>
      </w:r>
      <w:r w:rsidR="006C2F69">
        <w:rPr>
          <w:rFonts w:hint="eastAsia"/>
        </w:rPr>
        <w:t>年</w:t>
      </w:r>
      <w:r w:rsidR="006C2F69" w:rsidRPr="00453CB6">
        <w:rPr>
          <w:rFonts w:hint="eastAsia"/>
        </w:rPr>
        <w:t>上半年</w:t>
      </w:r>
      <w:r w:rsidR="006C2F69">
        <w:rPr>
          <w:rFonts w:hint="eastAsia"/>
        </w:rPr>
        <w:t>将</w:t>
      </w:r>
      <w:r w:rsidR="006C2F69" w:rsidRPr="00453CB6">
        <w:rPr>
          <w:rFonts w:hint="eastAsia"/>
        </w:rPr>
        <w:t>是海外</w:t>
      </w:r>
      <w:r w:rsidR="006C2F69">
        <w:rPr>
          <w:rFonts w:hint="eastAsia"/>
        </w:rPr>
        <w:t>市场</w:t>
      </w:r>
      <w:r w:rsidR="006C2F69" w:rsidRPr="00453CB6">
        <w:rPr>
          <w:rFonts w:hint="eastAsia"/>
        </w:rPr>
        <w:t>不确定性较强的时间阶段，</w:t>
      </w:r>
      <w:r w:rsidR="006C2F69">
        <w:rPr>
          <w:rFonts w:hint="eastAsia"/>
        </w:rPr>
        <w:t>随着加息时点的临近，全球</w:t>
      </w:r>
      <w:r w:rsidR="006C2F69" w:rsidRPr="00453CB6">
        <w:rPr>
          <w:rFonts w:hint="eastAsia"/>
        </w:rPr>
        <w:t>金融市场的风险</w:t>
      </w:r>
      <w:r w:rsidR="006C2F69">
        <w:rPr>
          <w:rFonts w:hint="eastAsia"/>
        </w:rPr>
        <w:t>均有可能加大，至</w:t>
      </w:r>
      <w:r w:rsidR="006C2F69" w:rsidRPr="00453CB6">
        <w:rPr>
          <w:rFonts w:hint="eastAsia"/>
        </w:rPr>
        <w:t>下半年</w:t>
      </w:r>
      <w:r w:rsidR="006C2F69">
        <w:rPr>
          <w:rFonts w:hint="eastAsia"/>
        </w:rPr>
        <w:t>若加息预期兑现方可将波动风险</w:t>
      </w:r>
      <w:r w:rsidR="006C2F69" w:rsidRPr="00453CB6">
        <w:rPr>
          <w:rFonts w:hint="eastAsia"/>
        </w:rPr>
        <w:t>降低。</w:t>
      </w:r>
      <w:r w:rsidR="00726B80">
        <w:rPr>
          <w:rFonts w:hint="eastAsia"/>
        </w:rPr>
        <w:t>从</w:t>
      </w:r>
      <w:r w:rsidR="00726B80">
        <w:rPr>
          <w:rFonts w:hint="eastAsia"/>
        </w:rPr>
        <w:t>QDII</w:t>
      </w:r>
      <w:r>
        <w:rPr>
          <w:rFonts w:hint="eastAsia"/>
        </w:rPr>
        <w:t>基金的配置</w:t>
      </w:r>
      <w:r w:rsidR="00726B80">
        <w:rPr>
          <w:rFonts w:hint="eastAsia"/>
        </w:rPr>
        <w:t>角度，我们建议投资者在</w:t>
      </w:r>
      <w:r w:rsidR="00726B80">
        <w:rPr>
          <w:rFonts w:hint="eastAsia"/>
        </w:rPr>
        <w:t>2015</w:t>
      </w:r>
      <w:r w:rsidR="006C2F69">
        <w:rPr>
          <w:rFonts w:hint="eastAsia"/>
        </w:rPr>
        <w:t>年特别</w:t>
      </w:r>
      <w:r w:rsidR="00726B80">
        <w:rPr>
          <w:rFonts w:hint="eastAsia"/>
        </w:rPr>
        <w:t>是</w:t>
      </w:r>
      <w:r>
        <w:rPr>
          <w:rFonts w:hint="eastAsia"/>
        </w:rPr>
        <w:t>一季度，将防范风险、分散投资放在首位，适度降低美国市场相关基金的比重，同时进一步提升对港股品种的配比至基金组合</w:t>
      </w:r>
      <w:r w:rsidR="006C2F69">
        <w:rPr>
          <w:rFonts w:hint="eastAsia"/>
        </w:rPr>
        <w:t>的</w:t>
      </w:r>
      <w:r>
        <w:rPr>
          <w:rFonts w:hint="eastAsia"/>
        </w:rPr>
        <w:t>核心地位，力求准确把握香港市场</w:t>
      </w:r>
      <w:r>
        <w:rPr>
          <w:rFonts w:hint="eastAsia"/>
        </w:rPr>
        <w:t>2015</w:t>
      </w:r>
      <w:r>
        <w:rPr>
          <w:rFonts w:hint="eastAsia"/>
        </w:rPr>
        <w:t>年初的阶段性机遇。</w:t>
      </w:r>
      <w:r w:rsidR="00740C37">
        <w:rPr>
          <w:rFonts w:hint="eastAsia"/>
        </w:rPr>
        <w:t>此外，</w:t>
      </w:r>
      <w:r w:rsidR="00740C37">
        <w:rPr>
          <w:rFonts w:hint="eastAsia"/>
        </w:rPr>
        <w:t>2015</w:t>
      </w:r>
      <w:r w:rsidR="00353199">
        <w:rPr>
          <w:rFonts w:hint="eastAsia"/>
        </w:rPr>
        <w:t>年</w:t>
      </w:r>
      <w:r w:rsidR="000423F9">
        <w:rPr>
          <w:rFonts w:hint="eastAsia"/>
        </w:rPr>
        <w:t>当</w:t>
      </w:r>
      <w:r w:rsidR="00353199">
        <w:rPr>
          <w:rFonts w:hint="eastAsia"/>
        </w:rPr>
        <w:t>中还可择机布局大宗商品类基金的投资，实现分散风险的同时分享</w:t>
      </w:r>
      <w:r w:rsidR="006C2F69">
        <w:rPr>
          <w:rFonts w:hint="eastAsia"/>
        </w:rPr>
        <w:t>阶段</w:t>
      </w:r>
      <w:r w:rsidR="00353199">
        <w:rPr>
          <w:rFonts w:hint="eastAsia"/>
        </w:rPr>
        <w:t>收益</w:t>
      </w:r>
      <w:r w:rsidR="00740C37">
        <w:rPr>
          <w:rFonts w:hint="eastAsia"/>
        </w:rPr>
        <w:t>。</w:t>
      </w:r>
    </w:p>
    <w:p w:rsidR="00AF4A58" w:rsidRDefault="00AF4A58" w:rsidP="00EC792D">
      <w:pPr>
        <w:widowControl/>
        <w:tabs>
          <w:tab w:val="left" w:pos="5250"/>
        </w:tabs>
        <w:spacing w:after="120"/>
        <w:ind w:left="3430"/>
        <w:rPr>
          <w:rFonts w:ascii="楷体" w:eastAsia="楷体" w:hAnsi="楷体"/>
          <w:b/>
          <w:bCs/>
          <w:color w:val="0070C0"/>
          <w:kern w:val="0"/>
          <w:szCs w:val="21"/>
          <w:lang w:val="en-GB"/>
        </w:rPr>
      </w:pPr>
      <w:r>
        <w:rPr>
          <w:rFonts w:ascii="楷体" w:eastAsia="楷体" w:hAnsi="楷体" w:hint="eastAsia"/>
          <w:b/>
          <w:bCs/>
          <w:color w:val="0070C0"/>
          <w:kern w:val="0"/>
          <w:szCs w:val="21"/>
          <w:lang w:val="en-GB"/>
        </w:rPr>
        <w:t>2015年一季度QDII基金投资建议：</w:t>
      </w:r>
    </w:p>
    <w:p w:rsidR="009229BD" w:rsidRPr="00FC54FE" w:rsidRDefault="009229BD" w:rsidP="009229BD">
      <w:pPr>
        <w:widowControl/>
        <w:tabs>
          <w:tab w:val="left" w:pos="5250"/>
        </w:tabs>
        <w:spacing w:after="120"/>
        <w:ind w:left="3430"/>
        <w:rPr>
          <w:rFonts w:ascii="楷体" w:eastAsia="楷体" w:hAnsi="楷体" w:cs="Times New Roman"/>
          <w:b/>
          <w:bCs/>
          <w:color w:val="0070C0"/>
          <w:kern w:val="0"/>
          <w:sz w:val="24"/>
          <w:szCs w:val="20"/>
          <w:lang w:val="en-GB"/>
        </w:rPr>
      </w:pPr>
      <w:r>
        <w:rPr>
          <w:rFonts w:ascii="楷体" w:eastAsia="楷体" w:hAnsi="楷体" w:hint="eastAsia"/>
          <w:b/>
          <w:bCs/>
          <w:color w:val="0070C0"/>
          <w:kern w:val="0"/>
          <w:szCs w:val="21"/>
          <w:lang w:val="en-GB"/>
        </w:rPr>
        <w:t>1、</w:t>
      </w:r>
      <w:r>
        <w:rPr>
          <w:rFonts w:ascii="楷体" w:eastAsia="楷体" w:hAnsi="楷体"/>
          <w:b/>
          <w:bCs/>
          <w:color w:val="0070C0"/>
          <w:kern w:val="0"/>
          <w:szCs w:val="21"/>
          <w:lang w:val="en-GB"/>
        </w:rPr>
        <w:t>港股：增配至组合核心，把握阶段机会</w:t>
      </w:r>
    </w:p>
    <w:p w:rsidR="009229BD" w:rsidRDefault="009229BD" w:rsidP="009229BD">
      <w:pPr>
        <w:pStyle w:val="ab"/>
        <w:numPr>
          <w:ilvl w:val="4"/>
          <w:numId w:val="1"/>
        </w:numPr>
        <w:tabs>
          <w:tab w:val="left" w:pos="5250"/>
        </w:tabs>
        <w:spacing w:after="163"/>
        <w:rPr>
          <w:rFonts w:eastAsia="楷体" w:cs="Arial"/>
        </w:rPr>
      </w:pPr>
      <w:r>
        <w:rPr>
          <w:rFonts w:hint="eastAsia"/>
        </w:rPr>
        <w:t>凯石工场看好港股</w:t>
      </w:r>
      <w:r>
        <w:rPr>
          <w:rFonts w:hint="eastAsia"/>
        </w:rPr>
        <w:t>2015</w:t>
      </w:r>
      <w:r>
        <w:rPr>
          <w:rFonts w:hint="eastAsia"/>
        </w:rPr>
        <w:t>年的表现，并建议投资者作重点布局。</w:t>
      </w:r>
      <w:r>
        <w:rPr>
          <w:rFonts w:hint="eastAsia"/>
        </w:rPr>
        <w:t>2015</w:t>
      </w:r>
      <w:r>
        <w:rPr>
          <w:rFonts w:hint="eastAsia"/>
        </w:rPr>
        <w:t>年香港市场面临全球流动性宽松、中国经济筑底企稳、</w:t>
      </w:r>
      <w:r>
        <w:rPr>
          <w:rFonts w:eastAsia="楷体" w:cs="Arial" w:hint="eastAsia"/>
        </w:rPr>
        <w:t>沪港通效应发酵和深港通预期等利好因素，且</w:t>
      </w:r>
      <w:r>
        <w:rPr>
          <w:rFonts w:hint="eastAsia"/>
          <w:szCs w:val="21"/>
          <w:lang w:val="en-US"/>
        </w:rPr>
        <w:t>港股历经五年震荡，已经具备相当的估值优势。前瞻地看，</w:t>
      </w:r>
      <w:r w:rsidRPr="0078535A">
        <w:rPr>
          <w:rFonts w:hint="eastAsia"/>
          <w:szCs w:val="21"/>
          <w:lang w:val="en-US"/>
        </w:rPr>
        <w:t>沪港通是</w:t>
      </w:r>
      <w:r w:rsidRPr="0068400E">
        <w:rPr>
          <w:rFonts w:eastAsia="楷体" w:cs="Arial" w:hint="eastAsia"/>
        </w:rPr>
        <w:t>人民币国际化的出口之一</w:t>
      </w:r>
      <w:r>
        <w:rPr>
          <w:rFonts w:eastAsia="楷体" w:cs="Arial" w:hint="eastAsia"/>
        </w:rPr>
        <w:t>，是</w:t>
      </w:r>
      <w:r w:rsidRPr="0078535A">
        <w:rPr>
          <w:rFonts w:hint="eastAsia"/>
          <w:szCs w:val="21"/>
          <w:lang w:val="en-US"/>
        </w:rPr>
        <w:t>基于两地股市联通的制度构建，</w:t>
      </w:r>
      <w:r>
        <w:rPr>
          <w:rFonts w:hint="eastAsia"/>
          <w:szCs w:val="21"/>
          <w:lang w:val="en-US"/>
        </w:rPr>
        <w:t>其</w:t>
      </w:r>
      <w:r>
        <w:rPr>
          <w:rFonts w:eastAsia="楷体" w:cs="Arial" w:hint="eastAsia"/>
        </w:rPr>
        <w:t>影响力</w:t>
      </w:r>
      <w:r w:rsidR="000423F9">
        <w:rPr>
          <w:rFonts w:eastAsia="楷体" w:cs="Arial" w:hint="eastAsia"/>
        </w:rPr>
        <w:t>远不止目前所见</w:t>
      </w:r>
      <w:r>
        <w:rPr>
          <w:rFonts w:hint="eastAsia"/>
          <w:szCs w:val="21"/>
          <w:lang w:val="en-US"/>
        </w:rPr>
        <w:t>。</w:t>
      </w:r>
      <w:r w:rsidRPr="0068400E">
        <w:rPr>
          <w:rFonts w:eastAsia="楷体" w:cs="Arial" w:hint="eastAsia"/>
        </w:rPr>
        <w:t>未来如果</w:t>
      </w:r>
      <w:r w:rsidRPr="0068400E">
        <w:rPr>
          <w:rFonts w:eastAsia="楷体" w:cs="Arial" w:hint="eastAsia"/>
        </w:rPr>
        <w:t>A</w:t>
      </w:r>
      <w:r w:rsidRPr="0068400E">
        <w:rPr>
          <w:rFonts w:eastAsia="楷体" w:cs="Arial" w:hint="eastAsia"/>
        </w:rPr>
        <w:t>股能够进入</w:t>
      </w:r>
      <w:r w:rsidRPr="0068400E">
        <w:rPr>
          <w:rFonts w:eastAsia="楷体" w:cs="Arial" w:hint="eastAsia"/>
        </w:rPr>
        <w:t>MSCI</w:t>
      </w:r>
      <w:r>
        <w:rPr>
          <w:rFonts w:eastAsia="楷体" w:cs="Arial" w:hint="eastAsia"/>
        </w:rPr>
        <w:t>全球指数，那么沪港通带来的机会将会显著提升，届时海外资金也会跟踪这一指数进行</w:t>
      </w:r>
      <w:r w:rsidRPr="0068400E">
        <w:rPr>
          <w:rFonts w:eastAsia="楷体" w:cs="Arial" w:hint="eastAsia"/>
        </w:rPr>
        <w:t>资产配置，</w:t>
      </w:r>
      <w:r>
        <w:rPr>
          <w:rFonts w:eastAsia="楷体" w:cs="Arial" w:hint="eastAsia"/>
        </w:rPr>
        <w:t>无疑将</w:t>
      </w:r>
      <w:r w:rsidRPr="0068400E">
        <w:rPr>
          <w:rFonts w:eastAsia="楷体" w:cs="Arial" w:hint="eastAsia"/>
        </w:rPr>
        <w:t>增加沪港通的资金流。</w:t>
      </w:r>
      <w:r>
        <w:rPr>
          <w:rFonts w:eastAsia="楷体" w:cs="Arial" w:hint="eastAsia"/>
        </w:rPr>
        <w:t>此外深港通启动的呼声也越来越高，有消息称最快将于</w:t>
      </w:r>
      <w:r>
        <w:rPr>
          <w:rFonts w:eastAsia="楷体" w:cs="Arial" w:hint="eastAsia"/>
        </w:rPr>
        <w:t>2015</w:t>
      </w:r>
      <w:r>
        <w:rPr>
          <w:rFonts w:eastAsia="楷体" w:cs="Arial" w:hint="eastAsia"/>
        </w:rPr>
        <w:t>年中旬开通，这将成为港股明年的又一大利好预期。除“港股通”相关概念引发的投资机遇之外，</w:t>
      </w:r>
      <w:r w:rsidRPr="002571C5">
        <w:rPr>
          <w:rFonts w:hint="eastAsia"/>
        </w:rPr>
        <w:t>港股市场</w:t>
      </w:r>
      <w:r>
        <w:rPr>
          <w:rFonts w:hint="eastAsia"/>
        </w:rPr>
        <w:t>目前</w:t>
      </w:r>
      <w:r w:rsidRPr="002571C5">
        <w:rPr>
          <w:rFonts w:hint="eastAsia"/>
        </w:rPr>
        <w:t>有不少成长性好、基本面优良的中小市值股票</w:t>
      </w:r>
      <w:r>
        <w:rPr>
          <w:rFonts w:hint="eastAsia"/>
        </w:rPr>
        <w:t>蕴藏机会，而规模较小的</w:t>
      </w:r>
      <w:r>
        <w:rPr>
          <w:rFonts w:hint="eastAsia"/>
        </w:rPr>
        <w:t>QDII</w:t>
      </w:r>
      <w:r>
        <w:rPr>
          <w:rFonts w:hint="eastAsia"/>
        </w:rPr>
        <w:t>基金最有动力去挖掘其中的牛股。一旦市场风格</w:t>
      </w:r>
      <w:r w:rsidR="000423F9">
        <w:rPr>
          <w:rFonts w:hint="eastAsia"/>
        </w:rPr>
        <w:t>转向中小盘</w:t>
      </w:r>
      <w:r>
        <w:rPr>
          <w:rFonts w:hint="eastAsia"/>
        </w:rPr>
        <w:t>，基本面优秀的公司股价有望在短期贡献可观的涨幅，现在正</w:t>
      </w:r>
      <w:r w:rsidRPr="00381318">
        <w:rPr>
          <w:rFonts w:hint="eastAsia"/>
        </w:rPr>
        <w:t>是</w:t>
      </w:r>
      <w:r>
        <w:rPr>
          <w:rFonts w:hint="eastAsia"/>
        </w:rPr>
        <w:t>港股</w:t>
      </w:r>
      <w:r>
        <w:rPr>
          <w:rFonts w:hint="eastAsia"/>
        </w:rPr>
        <w:t>QDII</w:t>
      </w:r>
      <w:r>
        <w:rPr>
          <w:rFonts w:hint="eastAsia"/>
        </w:rPr>
        <w:t>基金“</w:t>
      </w:r>
      <w:r w:rsidRPr="00381318">
        <w:rPr>
          <w:rFonts w:hint="eastAsia"/>
        </w:rPr>
        <w:t>等风来</w:t>
      </w:r>
      <w:r>
        <w:rPr>
          <w:rFonts w:hint="eastAsia"/>
        </w:rPr>
        <w:t>”</w:t>
      </w:r>
      <w:r w:rsidRPr="00381318">
        <w:rPr>
          <w:rFonts w:hint="eastAsia"/>
        </w:rPr>
        <w:t>的时候。</w:t>
      </w:r>
      <w:r w:rsidRPr="0078535A">
        <w:rPr>
          <w:rFonts w:hint="eastAsia"/>
          <w:szCs w:val="21"/>
          <w:lang w:val="en-US"/>
        </w:rPr>
        <w:t>我们建议</w:t>
      </w:r>
      <w:r>
        <w:rPr>
          <w:rFonts w:hint="eastAsia"/>
          <w:szCs w:val="21"/>
          <w:lang w:val="en-US"/>
        </w:rPr>
        <w:t>，关注港股</w:t>
      </w:r>
      <w:r>
        <w:rPr>
          <w:rFonts w:hint="eastAsia"/>
          <w:szCs w:val="21"/>
          <w:lang w:val="en-US"/>
        </w:rPr>
        <w:t>QDII</w:t>
      </w:r>
      <w:r>
        <w:rPr>
          <w:rFonts w:hint="eastAsia"/>
          <w:szCs w:val="21"/>
          <w:lang w:val="en-US"/>
        </w:rPr>
        <w:t>中主动选股能力较强的富国中国中小盘，跟踪恒生指数与恒生国企指数的</w:t>
      </w:r>
      <w:r w:rsidRPr="009229BD">
        <w:rPr>
          <w:rFonts w:hint="eastAsia"/>
          <w:szCs w:val="21"/>
          <w:lang w:val="en-US"/>
        </w:rPr>
        <w:t>华夏恒生</w:t>
      </w:r>
      <w:r w:rsidRPr="009229BD">
        <w:rPr>
          <w:szCs w:val="21"/>
          <w:lang w:val="en-US"/>
        </w:rPr>
        <w:t>ETF</w:t>
      </w:r>
      <w:r>
        <w:rPr>
          <w:szCs w:val="21"/>
          <w:lang w:val="en-US"/>
        </w:rPr>
        <w:t>、</w:t>
      </w:r>
      <w:r w:rsidRPr="009229BD">
        <w:rPr>
          <w:rFonts w:hint="eastAsia"/>
          <w:szCs w:val="21"/>
          <w:lang w:val="en-US"/>
        </w:rPr>
        <w:t>嘉实恒生中国企业</w:t>
      </w:r>
      <w:r>
        <w:rPr>
          <w:rFonts w:hint="eastAsia"/>
          <w:szCs w:val="21"/>
          <w:lang w:val="en-US"/>
        </w:rPr>
        <w:t>，以及投资范围分散于亚太多地区的博时大中华亚太精选。</w:t>
      </w:r>
    </w:p>
    <w:p w:rsidR="00EC792D" w:rsidRPr="00BE4E61" w:rsidRDefault="009229BD" w:rsidP="00EC792D">
      <w:pPr>
        <w:widowControl/>
        <w:tabs>
          <w:tab w:val="left" w:pos="5250"/>
        </w:tabs>
        <w:spacing w:after="120"/>
        <w:ind w:left="3430"/>
        <w:rPr>
          <w:rFonts w:ascii="Arial" w:eastAsia="楷体_GB2312" w:hAnsi="Arial"/>
          <w:color w:val="000000"/>
          <w:szCs w:val="20"/>
        </w:rPr>
      </w:pPr>
      <w:r>
        <w:rPr>
          <w:rFonts w:ascii="楷体" w:eastAsia="楷体" w:hAnsi="楷体" w:hint="eastAsia"/>
          <w:b/>
          <w:bCs/>
          <w:color w:val="0070C0"/>
          <w:kern w:val="0"/>
          <w:szCs w:val="21"/>
          <w:lang w:val="en-GB"/>
        </w:rPr>
        <w:t>2</w:t>
      </w:r>
      <w:r w:rsidR="00AF4A58">
        <w:rPr>
          <w:rFonts w:ascii="楷体" w:eastAsia="楷体" w:hAnsi="楷体" w:hint="eastAsia"/>
          <w:b/>
          <w:bCs/>
          <w:color w:val="0070C0"/>
          <w:kern w:val="0"/>
          <w:szCs w:val="21"/>
          <w:lang w:val="en-GB"/>
        </w:rPr>
        <w:t>、</w:t>
      </w:r>
      <w:r w:rsidR="00E509BD">
        <w:rPr>
          <w:rFonts w:ascii="楷体" w:eastAsia="楷体" w:hAnsi="楷体" w:hint="eastAsia"/>
          <w:b/>
          <w:bCs/>
          <w:color w:val="0070C0"/>
          <w:kern w:val="0"/>
          <w:szCs w:val="21"/>
          <w:lang w:val="en-GB"/>
        </w:rPr>
        <w:t>美股：</w:t>
      </w:r>
      <w:r w:rsidR="00EC792D">
        <w:rPr>
          <w:rFonts w:ascii="楷体" w:eastAsia="楷体" w:hAnsi="楷体" w:hint="eastAsia"/>
          <w:b/>
          <w:bCs/>
          <w:color w:val="0070C0"/>
          <w:kern w:val="0"/>
          <w:szCs w:val="21"/>
          <w:lang w:val="en-GB"/>
        </w:rPr>
        <w:t>适度削减以防风险</w:t>
      </w:r>
    </w:p>
    <w:p w:rsidR="00726B80" w:rsidRPr="00EC792D" w:rsidRDefault="00726B80" w:rsidP="00EC792D">
      <w:pPr>
        <w:pStyle w:val="ab"/>
        <w:numPr>
          <w:ilvl w:val="4"/>
          <w:numId w:val="1"/>
        </w:numPr>
        <w:tabs>
          <w:tab w:val="left" w:pos="5250"/>
        </w:tabs>
        <w:spacing w:after="163"/>
        <w:rPr>
          <w:rFonts w:ascii="楷体" w:eastAsia="楷体" w:hAnsi="楷体"/>
          <w:b/>
          <w:bCs/>
          <w:color w:val="0070C0"/>
          <w:szCs w:val="21"/>
        </w:rPr>
      </w:pPr>
      <w:r>
        <w:rPr>
          <w:rFonts w:hint="eastAsia"/>
        </w:rPr>
        <w:t>美国经济系统内的正反馈效应仍在持续，在通胀水平尚低</w:t>
      </w:r>
      <w:r w:rsidR="00EC792D">
        <w:rPr>
          <w:rFonts w:hint="eastAsia"/>
        </w:rPr>
        <w:t>的情况下，周期前景有望在</w:t>
      </w:r>
      <w:r w:rsidR="00EC792D">
        <w:rPr>
          <w:rFonts w:hint="eastAsia"/>
        </w:rPr>
        <w:t>2015</w:t>
      </w:r>
      <w:r w:rsidR="00EC792D">
        <w:rPr>
          <w:rFonts w:hint="eastAsia"/>
        </w:rPr>
        <w:t>年持续</w:t>
      </w:r>
      <w:r>
        <w:rPr>
          <w:rFonts w:hint="eastAsia"/>
        </w:rPr>
        <w:t>处于较为乐观的攀升阶段。</w:t>
      </w:r>
      <w:r w:rsidR="00EC792D">
        <w:rPr>
          <w:rFonts w:hint="eastAsia"/>
        </w:rPr>
        <w:t>然而进入强周期的美国经济亦是把“双刃剑”，可能引发的提前加息预期恐将成为搅乱市场的最显著风险因素。</w:t>
      </w:r>
      <w:r w:rsidR="00EC792D" w:rsidRPr="00EC792D">
        <w:rPr>
          <w:rFonts w:hint="eastAsia"/>
        </w:rPr>
        <w:t>鉴于此，</w:t>
      </w:r>
      <w:r w:rsidR="00EC792D">
        <w:rPr>
          <w:rFonts w:hint="eastAsia"/>
        </w:rPr>
        <w:t>我们建议投资者可以考虑在目前美股走高时实现一部分基金的获利了结，而不要急于加码，即适度降低美股</w:t>
      </w:r>
      <w:r w:rsidR="00EC792D">
        <w:rPr>
          <w:rFonts w:hint="eastAsia"/>
        </w:rPr>
        <w:t>QDII</w:t>
      </w:r>
      <w:r w:rsidR="00EC792D">
        <w:rPr>
          <w:rFonts w:hint="eastAsia"/>
        </w:rPr>
        <w:t>在基金组合中的比重。</w:t>
      </w:r>
      <w:r w:rsidRPr="0009278A">
        <w:rPr>
          <w:rFonts w:hint="eastAsia"/>
        </w:rPr>
        <w:t>等到</w:t>
      </w:r>
      <w:r w:rsidRPr="0009278A">
        <w:rPr>
          <w:rFonts w:hint="eastAsia"/>
        </w:rPr>
        <w:t>2015</w:t>
      </w:r>
      <w:r w:rsidR="00EC792D">
        <w:rPr>
          <w:rFonts w:hint="eastAsia"/>
        </w:rPr>
        <w:t>年加息前景更加明朗，或者美股出现较大幅度回调的时候再度买入</w:t>
      </w:r>
      <w:r w:rsidRPr="0009278A">
        <w:rPr>
          <w:rFonts w:hint="eastAsia"/>
        </w:rPr>
        <w:t>。</w:t>
      </w:r>
      <w:r w:rsidR="00E73F8D">
        <w:rPr>
          <w:rFonts w:hint="eastAsia"/>
        </w:rPr>
        <w:t>鉴于</w:t>
      </w:r>
      <w:r w:rsidR="00AF4A58">
        <w:rPr>
          <w:rFonts w:hint="eastAsia"/>
        </w:rPr>
        <w:t>成长性极佳的</w:t>
      </w:r>
      <w:r w:rsidR="00AF4A58">
        <w:rPr>
          <w:rFonts w:eastAsia="楷体" w:cs="Arial" w:hint="eastAsia"/>
        </w:rPr>
        <w:t>科技股</w:t>
      </w:r>
      <w:r w:rsidR="00E73F8D" w:rsidRPr="00E21F26">
        <w:rPr>
          <w:rFonts w:eastAsia="楷体" w:cs="Arial" w:hint="eastAsia"/>
        </w:rPr>
        <w:t>有盈利支撑</w:t>
      </w:r>
      <w:r w:rsidR="00E73F8D">
        <w:rPr>
          <w:rFonts w:eastAsia="楷体" w:cs="Arial" w:hint="eastAsia"/>
        </w:rPr>
        <w:t>、房地产板块复苏较为明确，</w:t>
      </w:r>
      <w:r w:rsidR="00E73F8D" w:rsidRPr="00E21F26">
        <w:rPr>
          <w:rFonts w:eastAsia="楷体" w:cs="Arial" w:hint="eastAsia"/>
        </w:rPr>
        <w:t>跟踪纳斯达克</w:t>
      </w:r>
      <w:r w:rsidR="00E73F8D" w:rsidRPr="00E21F26">
        <w:rPr>
          <w:rFonts w:eastAsia="楷体" w:cs="Arial" w:hint="eastAsia"/>
        </w:rPr>
        <w:t>100</w:t>
      </w:r>
      <w:r w:rsidR="00E73F8D" w:rsidRPr="00E21F26">
        <w:rPr>
          <w:rFonts w:eastAsia="楷体" w:cs="Arial" w:hint="eastAsia"/>
        </w:rPr>
        <w:t>指数</w:t>
      </w:r>
      <w:r w:rsidR="00E73F8D">
        <w:rPr>
          <w:rFonts w:eastAsia="楷体" w:cs="Arial" w:hint="eastAsia"/>
        </w:rPr>
        <w:t>以及美国房地产相关</w:t>
      </w:r>
      <w:r w:rsidR="00E73F8D" w:rsidRPr="00E21F26">
        <w:rPr>
          <w:rFonts w:eastAsia="楷体" w:cs="Arial" w:hint="eastAsia"/>
        </w:rPr>
        <w:t>基金</w:t>
      </w:r>
      <w:r w:rsidR="00E73F8D">
        <w:rPr>
          <w:rFonts w:eastAsia="楷体" w:cs="Arial" w:hint="eastAsia"/>
        </w:rPr>
        <w:t>可作为</w:t>
      </w:r>
      <w:r w:rsidR="00E73F8D">
        <w:rPr>
          <w:rFonts w:hint="eastAsia"/>
        </w:rPr>
        <w:t>保留品种。</w:t>
      </w:r>
      <w:r w:rsidR="009229BD">
        <w:rPr>
          <w:rFonts w:hint="eastAsia"/>
        </w:rPr>
        <w:t>具体推荐</w:t>
      </w:r>
      <w:r w:rsidR="009229BD" w:rsidRPr="00636233">
        <w:rPr>
          <w:rFonts w:eastAsia="楷体" w:hAnsi="楷体" w:cs="Arial" w:hint="eastAsia"/>
        </w:rPr>
        <w:t>国泰纳斯达克</w:t>
      </w:r>
      <w:r w:rsidR="009229BD" w:rsidRPr="00636233">
        <w:rPr>
          <w:rFonts w:eastAsia="楷体" w:hAnsi="楷体" w:cs="Arial" w:hint="eastAsia"/>
        </w:rPr>
        <w:t>100</w:t>
      </w:r>
      <w:r w:rsidR="009229BD">
        <w:rPr>
          <w:rFonts w:eastAsia="楷体" w:hAnsi="楷体" w:cs="Arial" w:hint="eastAsia"/>
        </w:rPr>
        <w:t>指数基金</w:t>
      </w:r>
      <w:r w:rsidR="009229BD" w:rsidRPr="00636233">
        <w:rPr>
          <w:rFonts w:eastAsia="楷体" w:hAnsi="楷体" w:cs="Arial" w:hint="eastAsia"/>
        </w:rPr>
        <w:t>、鹏华</w:t>
      </w:r>
      <w:r w:rsidR="009229BD">
        <w:rPr>
          <w:rFonts w:eastAsia="楷体" w:hAnsi="楷体" w:cs="Arial" w:hint="eastAsia"/>
        </w:rPr>
        <w:t>美国房地产基金。</w:t>
      </w:r>
    </w:p>
    <w:p w:rsidR="00A70401" w:rsidRPr="00FC54FE" w:rsidRDefault="00A70401" w:rsidP="00900D47">
      <w:pPr>
        <w:widowControl/>
        <w:tabs>
          <w:tab w:val="left" w:pos="5250"/>
        </w:tabs>
        <w:spacing w:after="120" w:line="240" w:lineRule="exact"/>
        <w:ind w:left="3430"/>
        <w:rPr>
          <w:rFonts w:ascii="楷体" w:eastAsia="楷体" w:hAnsi="楷体" w:cs="Times New Roman"/>
          <w:b/>
          <w:bCs/>
          <w:color w:val="0070C0"/>
          <w:kern w:val="0"/>
          <w:sz w:val="24"/>
          <w:szCs w:val="20"/>
          <w:lang w:val="en-GB"/>
        </w:rPr>
      </w:pPr>
      <w:r w:rsidRPr="00FC54FE">
        <w:rPr>
          <w:rFonts w:ascii="楷体" w:eastAsia="楷体" w:hAnsi="楷体" w:cs="Times New Roman" w:hint="eastAsia"/>
          <w:b/>
          <w:bCs/>
          <w:color w:val="0070C0"/>
          <w:kern w:val="0"/>
          <w:sz w:val="24"/>
          <w:szCs w:val="20"/>
          <w:lang w:val="en-GB"/>
        </w:rPr>
        <w:t>牛基推荐：</w:t>
      </w:r>
      <w:r w:rsidR="0066791F">
        <w:rPr>
          <w:rFonts w:ascii="楷体" w:eastAsia="楷体" w:hAnsi="楷体" w:cs="Times New Roman" w:hint="eastAsia"/>
          <w:b/>
          <w:bCs/>
          <w:color w:val="0070C0"/>
          <w:kern w:val="0"/>
          <w:sz w:val="24"/>
          <w:szCs w:val="20"/>
          <w:lang w:val="en-GB"/>
        </w:rPr>
        <w:t>富国中国中小盘基金、</w:t>
      </w:r>
      <w:r w:rsidR="0066791F" w:rsidRPr="006866C5">
        <w:rPr>
          <w:rFonts w:ascii="楷体" w:eastAsia="楷体" w:hAnsi="楷体" w:cs="Times New Roman" w:hint="eastAsia"/>
          <w:b/>
          <w:bCs/>
          <w:color w:val="0070C0"/>
          <w:kern w:val="0"/>
          <w:sz w:val="24"/>
          <w:szCs w:val="20"/>
          <w:lang w:val="en-GB"/>
        </w:rPr>
        <w:t>华夏恒生ETF基金、嘉实恒生中国企业基金、</w:t>
      </w:r>
      <w:r w:rsidR="0066791F" w:rsidRPr="00812A58">
        <w:rPr>
          <w:rFonts w:ascii="楷体" w:eastAsia="楷体" w:hAnsi="楷体" w:cs="Times New Roman" w:hint="eastAsia"/>
          <w:b/>
          <w:bCs/>
          <w:color w:val="0070C0"/>
          <w:kern w:val="0"/>
          <w:sz w:val="24"/>
          <w:szCs w:val="20"/>
          <w:lang w:val="en-GB"/>
        </w:rPr>
        <w:t>博时大中华亚太精选</w:t>
      </w:r>
      <w:r w:rsidR="0066791F">
        <w:rPr>
          <w:rFonts w:ascii="楷体" w:eastAsia="楷体" w:hAnsi="楷体" w:cs="Times New Roman" w:hint="eastAsia"/>
          <w:b/>
          <w:bCs/>
          <w:color w:val="0070C0"/>
          <w:kern w:val="0"/>
          <w:sz w:val="24"/>
          <w:szCs w:val="20"/>
          <w:lang w:val="en-GB"/>
        </w:rPr>
        <w:t>基金、</w:t>
      </w:r>
      <w:r w:rsidR="005D3072" w:rsidRPr="00FC54FE">
        <w:rPr>
          <w:rFonts w:ascii="楷体" w:eastAsia="楷体" w:hAnsi="楷体" w:cs="Times New Roman" w:hint="eastAsia"/>
          <w:b/>
          <w:bCs/>
          <w:color w:val="0070C0"/>
          <w:kern w:val="0"/>
          <w:sz w:val="24"/>
          <w:szCs w:val="20"/>
          <w:lang w:val="en-GB"/>
        </w:rPr>
        <w:t>国泰纳斯达克100</w:t>
      </w:r>
      <w:r w:rsidR="005D3072">
        <w:rPr>
          <w:rFonts w:ascii="楷体" w:eastAsia="楷体" w:hAnsi="楷体" w:cs="Times New Roman" w:hint="eastAsia"/>
          <w:b/>
          <w:bCs/>
          <w:color w:val="0070C0"/>
          <w:kern w:val="0"/>
          <w:sz w:val="24"/>
          <w:szCs w:val="20"/>
          <w:lang w:val="en-GB"/>
        </w:rPr>
        <w:t>指数基金</w:t>
      </w:r>
      <w:r w:rsidR="005D3072" w:rsidRPr="00FC54FE">
        <w:rPr>
          <w:rFonts w:ascii="楷体" w:eastAsia="楷体" w:hAnsi="楷体" w:cs="Times New Roman" w:hint="eastAsia"/>
          <w:b/>
          <w:bCs/>
          <w:color w:val="0070C0"/>
          <w:kern w:val="0"/>
          <w:sz w:val="24"/>
          <w:szCs w:val="20"/>
          <w:lang w:val="en-GB"/>
        </w:rPr>
        <w:t>、</w:t>
      </w:r>
      <w:r w:rsidR="005D3072" w:rsidRPr="00680A06">
        <w:rPr>
          <w:rFonts w:ascii="楷体" w:eastAsia="楷体" w:hAnsi="楷体" w:cs="Times New Roman" w:hint="eastAsia"/>
          <w:b/>
          <w:bCs/>
          <w:color w:val="0070C0"/>
          <w:kern w:val="0"/>
          <w:sz w:val="24"/>
          <w:szCs w:val="20"/>
          <w:lang w:val="en-GB"/>
        </w:rPr>
        <w:t>鹏华</w:t>
      </w:r>
      <w:r w:rsidR="005D3072">
        <w:rPr>
          <w:rFonts w:ascii="楷体" w:eastAsia="楷体" w:hAnsi="楷体" w:cs="Times New Roman" w:hint="eastAsia"/>
          <w:b/>
          <w:bCs/>
          <w:color w:val="0070C0"/>
          <w:kern w:val="0"/>
          <w:sz w:val="24"/>
          <w:szCs w:val="20"/>
          <w:lang w:val="en-GB"/>
        </w:rPr>
        <w:t>美国</w:t>
      </w:r>
      <w:r w:rsidR="005D3072" w:rsidRPr="00680A06">
        <w:rPr>
          <w:rFonts w:ascii="楷体" w:eastAsia="楷体" w:hAnsi="楷体" w:cs="Times New Roman" w:hint="eastAsia"/>
          <w:b/>
          <w:bCs/>
          <w:color w:val="0070C0"/>
          <w:kern w:val="0"/>
          <w:sz w:val="24"/>
          <w:szCs w:val="20"/>
          <w:lang w:val="en-GB"/>
        </w:rPr>
        <w:t>房地产基金</w:t>
      </w:r>
      <w:r w:rsidR="005D3072">
        <w:rPr>
          <w:rFonts w:ascii="楷体" w:eastAsia="楷体" w:hAnsi="楷体" w:cs="Times New Roman" w:hint="eastAsia"/>
          <w:b/>
          <w:bCs/>
          <w:color w:val="0070C0"/>
          <w:kern w:val="0"/>
          <w:sz w:val="24"/>
          <w:szCs w:val="20"/>
          <w:lang w:val="en-GB"/>
        </w:rPr>
        <w:t>、</w:t>
      </w:r>
    </w:p>
    <w:p w:rsidR="00F45C7D" w:rsidRPr="002011BF" w:rsidRDefault="00F45C7D" w:rsidP="00900D47">
      <w:pPr>
        <w:pStyle w:val="ab"/>
        <w:numPr>
          <w:ilvl w:val="4"/>
          <w:numId w:val="1"/>
        </w:numPr>
        <w:tabs>
          <w:tab w:val="left" w:pos="5250"/>
        </w:tabs>
        <w:spacing w:after="163"/>
        <w:rPr>
          <w:rFonts w:eastAsia="楷体" w:hAnsi="楷体" w:cs="Arial"/>
        </w:rPr>
      </w:pPr>
      <w:r w:rsidRPr="00F45C7D">
        <w:rPr>
          <w:rFonts w:eastAsia="楷体" w:hAnsi="楷体" w:cs="Arial" w:hint="eastAsia"/>
          <w:b/>
        </w:rPr>
        <w:t>富国中国中小盘</w:t>
      </w:r>
      <w:r>
        <w:rPr>
          <w:rFonts w:eastAsia="楷体" w:hAnsi="楷体" w:cs="Arial" w:hint="eastAsia"/>
          <w:b/>
        </w:rPr>
        <w:t>(100061)</w:t>
      </w:r>
      <w:r>
        <w:rPr>
          <w:rFonts w:eastAsia="楷体" w:hAnsi="楷体" w:cs="Arial" w:hint="eastAsia"/>
          <w:b/>
        </w:rPr>
        <w:t>：</w:t>
      </w:r>
      <w:r w:rsidR="001E3EEC" w:rsidRPr="001E3EEC">
        <w:rPr>
          <w:rFonts w:eastAsia="楷体" w:hAnsi="楷体" w:cs="Arial" w:hint="eastAsia"/>
        </w:rPr>
        <w:t>采用主动管理模式，重点投资香港市场中具有中国</w:t>
      </w:r>
      <w:r w:rsidR="001E3EEC">
        <w:rPr>
          <w:rFonts w:eastAsia="楷体" w:hAnsi="楷体" w:cs="Arial" w:hint="eastAsia"/>
        </w:rPr>
        <w:t>概念的优质中小盘股票进行投资。中小盘股票成长空间大，且在香港市场</w:t>
      </w:r>
      <w:r w:rsidR="001E3EEC" w:rsidRPr="001E3EEC">
        <w:rPr>
          <w:rFonts w:eastAsia="楷体" w:hAnsi="楷体" w:cs="Arial" w:hint="eastAsia"/>
        </w:rPr>
        <w:t>往往存在估值洼地，因此往往能为长期投资者带来超额收益。基金经理自下而上选股能力表现出色，重点投资标的符合中国经济转型和改革方向。</w:t>
      </w:r>
    </w:p>
    <w:p w:rsidR="00082426" w:rsidRPr="00172285" w:rsidRDefault="00082426" w:rsidP="00900D47">
      <w:pPr>
        <w:pStyle w:val="ab"/>
        <w:numPr>
          <w:ilvl w:val="4"/>
          <w:numId w:val="1"/>
        </w:numPr>
        <w:tabs>
          <w:tab w:val="left" w:pos="5250"/>
        </w:tabs>
        <w:spacing w:after="163"/>
        <w:rPr>
          <w:rFonts w:eastAsia="楷体" w:hAnsi="楷体" w:cs="Arial"/>
        </w:rPr>
      </w:pPr>
      <w:r w:rsidRPr="00CB0983">
        <w:rPr>
          <w:rFonts w:eastAsia="楷体" w:hAnsi="楷体" w:cs="Arial" w:hint="eastAsia"/>
          <w:b/>
        </w:rPr>
        <w:t>华夏恒生</w:t>
      </w:r>
      <w:r w:rsidRPr="00CB0983">
        <w:rPr>
          <w:rFonts w:eastAsia="楷体" w:hAnsi="楷体" w:cs="Arial" w:hint="eastAsia"/>
          <w:b/>
        </w:rPr>
        <w:t>ETF(</w:t>
      </w:r>
      <w:r w:rsidRPr="00CB0983">
        <w:rPr>
          <w:rFonts w:eastAsia="楷体" w:hAnsi="楷体" w:cs="Arial"/>
          <w:b/>
        </w:rPr>
        <w:t>159920</w:t>
      </w:r>
      <w:r w:rsidRPr="00CB0983">
        <w:rPr>
          <w:rFonts w:eastAsia="楷体" w:hAnsi="楷体" w:cs="Arial" w:hint="eastAsia"/>
          <w:b/>
        </w:rPr>
        <w:t>)</w:t>
      </w:r>
      <w:r w:rsidRPr="00CB0983">
        <w:rPr>
          <w:rFonts w:eastAsia="楷体" w:hAnsi="楷体" w:cs="Arial" w:hint="eastAsia"/>
          <w:b/>
        </w:rPr>
        <w:t>：</w:t>
      </w:r>
      <w:r w:rsidRPr="00172285">
        <w:rPr>
          <w:rFonts w:eastAsia="楷体" w:hAnsi="楷体" w:cs="Arial" w:hint="eastAsia"/>
        </w:rPr>
        <w:t>华夏基金旗下首只跨境</w:t>
      </w:r>
      <w:r w:rsidRPr="00172285">
        <w:rPr>
          <w:rFonts w:eastAsia="楷体" w:hAnsi="楷体" w:cs="Arial" w:hint="eastAsia"/>
        </w:rPr>
        <w:t>ETF</w:t>
      </w:r>
      <w:r>
        <w:rPr>
          <w:rFonts w:eastAsia="楷体" w:hAnsi="楷体" w:cs="Arial" w:hint="eastAsia"/>
        </w:rPr>
        <w:t>基金，</w:t>
      </w:r>
      <w:r w:rsidRPr="00172285">
        <w:rPr>
          <w:rFonts w:eastAsia="楷体" w:hAnsi="楷体" w:cs="Arial" w:hint="eastAsia"/>
        </w:rPr>
        <w:t>采用组合复制策略及适当的替代性策略，紧密跟踪香港恒生指数。标的指数汇集了香港本地、中国内地以及海外众多的龙头公司。</w:t>
      </w:r>
      <w:r>
        <w:rPr>
          <w:rFonts w:eastAsia="楷体" w:hAnsi="楷体" w:cs="Arial" w:hint="eastAsia"/>
        </w:rPr>
        <w:t>在</w:t>
      </w:r>
      <w:r w:rsidRPr="00172285">
        <w:rPr>
          <w:rFonts w:eastAsia="楷体" w:hAnsi="楷体" w:cs="Arial" w:hint="eastAsia"/>
        </w:rPr>
        <w:t>金融、能源占比相对较高</w:t>
      </w:r>
      <w:r>
        <w:rPr>
          <w:rFonts w:eastAsia="楷体" w:hAnsi="楷体" w:cs="Arial" w:hint="eastAsia"/>
        </w:rPr>
        <w:t>，</w:t>
      </w:r>
      <w:r w:rsidRPr="00172285">
        <w:rPr>
          <w:rFonts w:eastAsia="楷体" w:hAnsi="楷体" w:cs="Arial" w:hint="eastAsia"/>
        </w:rPr>
        <w:t>服务业、原材料业占比相对较少</w:t>
      </w:r>
      <w:r>
        <w:rPr>
          <w:rFonts w:eastAsia="楷体" w:hAnsi="楷体" w:cs="Arial" w:hint="eastAsia"/>
        </w:rPr>
        <w:t>，成份股共</w:t>
      </w:r>
      <w:r w:rsidRPr="00172285">
        <w:rPr>
          <w:rFonts w:eastAsia="楷体" w:hAnsi="楷体" w:cs="Arial" w:hint="eastAsia"/>
        </w:rPr>
        <w:t>48</w:t>
      </w:r>
      <w:r>
        <w:rPr>
          <w:rFonts w:eastAsia="楷体" w:hAnsi="楷体" w:cs="Arial" w:hint="eastAsia"/>
        </w:rPr>
        <w:t>只，含</w:t>
      </w:r>
      <w:r>
        <w:rPr>
          <w:rFonts w:eastAsia="楷体" w:hAnsi="楷体" w:cs="Arial" w:hint="eastAsia"/>
        </w:rPr>
        <w:t>8</w:t>
      </w:r>
      <w:r>
        <w:rPr>
          <w:rFonts w:eastAsia="楷体" w:hAnsi="楷体" w:cs="Arial" w:hint="eastAsia"/>
        </w:rPr>
        <w:t>家</w:t>
      </w:r>
      <w:r w:rsidRPr="00172285">
        <w:rPr>
          <w:rFonts w:eastAsia="楷体" w:hAnsi="楷体" w:cs="Arial" w:hint="eastAsia"/>
        </w:rPr>
        <w:t>“重量级”蓝筹股</w:t>
      </w:r>
      <w:r>
        <w:rPr>
          <w:rFonts w:eastAsia="楷体" w:hAnsi="楷体" w:cs="Arial" w:hint="eastAsia"/>
        </w:rPr>
        <w:t>（</w:t>
      </w:r>
      <w:r w:rsidRPr="00172285">
        <w:rPr>
          <w:rFonts w:eastAsia="楷体" w:hAnsi="楷体" w:cs="Arial" w:hint="eastAsia"/>
        </w:rPr>
        <w:t>三大银行</w:t>
      </w:r>
      <w:r w:rsidRPr="00172285">
        <w:rPr>
          <w:rFonts w:eastAsia="楷体" w:hAnsi="楷体" w:cs="Arial" w:hint="eastAsia"/>
        </w:rPr>
        <w:t>+</w:t>
      </w:r>
      <w:r w:rsidRPr="00172285">
        <w:rPr>
          <w:rFonts w:eastAsia="楷体" w:hAnsi="楷体" w:cs="Arial" w:hint="eastAsia"/>
        </w:rPr>
        <w:t>三桶油</w:t>
      </w:r>
      <w:r w:rsidRPr="00172285">
        <w:rPr>
          <w:rFonts w:eastAsia="楷体" w:hAnsi="楷体" w:cs="Arial" w:hint="eastAsia"/>
        </w:rPr>
        <w:t>+</w:t>
      </w:r>
      <w:r w:rsidRPr="00172285">
        <w:rPr>
          <w:rFonts w:eastAsia="楷体" w:hAnsi="楷体" w:cs="Arial" w:hint="eastAsia"/>
        </w:rPr>
        <w:t>中国移动</w:t>
      </w:r>
      <w:r w:rsidRPr="00172285">
        <w:rPr>
          <w:rFonts w:eastAsia="楷体" w:hAnsi="楷体" w:cs="Arial" w:hint="eastAsia"/>
        </w:rPr>
        <w:t>+</w:t>
      </w:r>
      <w:r w:rsidRPr="00172285">
        <w:rPr>
          <w:rFonts w:eastAsia="楷体" w:hAnsi="楷体" w:cs="Arial" w:hint="eastAsia"/>
        </w:rPr>
        <w:t>汇丰银行占比合计</w:t>
      </w:r>
      <w:r w:rsidRPr="00172285">
        <w:rPr>
          <w:rFonts w:eastAsia="楷体" w:hAnsi="楷体" w:cs="Arial" w:hint="eastAsia"/>
        </w:rPr>
        <w:t>51.71%</w:t>
      </w:r>
      <w:r>
        <w:rPr>
          <w:rFonts w:eastAsia="楷体" w:hAnsi="楷体" w:cs="Arial" w:hint="eastAsia"/>
        </w:rPr>
        <w:t>）及</w:t>
      </w:r>
      <w:r w:rsidRPr="00172285">
        <w:rPr>
          <w:rFonts w:eastAsia="楷体" w:hAnsi="楷体" w:cs="Arial" w:hint="eastAsia"/>
        </w:rPr>
        <w:t>香港本地龙头企业，如长江实业、和记黄埔等；也包括</w:t>
      </w:r>
      <w:r>
        <w:rPr>
          <w:rFonts w:eastAsia="楷体" w:hAnsi="楷体" w:cs="Arial" w:hint="eastAsia"/>
        </w:rPr>
        <w:t>中国内地“新贵”</w:t>
      </w:r>
      <w:r w:rsidRPr="00172285">
        <w:rPr>
          <w:rFonts w:eastAsia="楷体" w:hAnsi="楷体" w:cs="Arial" w:hint="eastAsia"/>
        </w:rPr>
        <w:t>如腾讯控股。</w:t>
      </w:r>
    </w:p>
    <w:p w:rsidR="00082426" w:rsidRDefault="00082426" w:rsidP="00900D47">
      <w:pPr>
        <w:pStyle w:val="ab"/>
        <w:numPr>
          <w:ilvl w:val="4"/>
          <w:numId w:val="1"/>
        </w:numPr>
        <w:tabs>
          <w:tab w:val="left" w:pos="5250"/>
        </w:tabs>
        <w:spacing w:after="163"/>
        <w:rPr>
          <w:rFonts w:eastAsia="楷体" w:cs="Arial"/>
        </w:rPr>
      </w:pPr>
      <w:r w:rsidRPr="00CB0983">
        <w:rPr>
          <w:rFonts w:eastAsia="楷体" w:cs="Arial" w:hint="eastAsia"/>
          <w:b/>
        </w:rPr>
        <w:lastRenderedPageBreak/>
        <w:t>嘉实恒生中国企业</w:t>
      </w:r>
      <w:r w:rsidRPr="00CB0983">
        <w:rPr>
          <w:rFonts w:eastAsia="楷体" w:cs="Arial" w:hint="eastAsia"/>
          <w:b/>
        </w:rPr>
        <w:t>(</w:t>
      </w:r>
      <w:r w:rsidRPr="00CB0983">
        <w:rPr>
          <w:rFonts w:eastAsia="楷体" w:cs="Arial"/>
          <w:b/>
        </w:rPr>
        <w:t>160717</w:t>
      </w:r>
      <w:r w:rsidRPr="00CB0983">
        <w:rPr>
          <w:rFonts w:eastAsia="楷体" w:cs="Arial" w:hint="eastAsia"/>
          <w:b/>
        </w:rPr>
        <w:t>)</w:t>
      </w:r>
      <w:r w:rsidRPr="00CB0983">
        <w:rPr>
          <w:rFonts w:eastAsia="楷体" w:cs="Arial" w:hint="eastAsia"/>
          <w:b/>
        </w:rPr>
        <w:t>：</w:t>
      </w:r>
      <w:r>
        <w:rPr>
          <w:rFonts w:eastAsia="楷体" w:cs="Arial" w:hint="eastAsia"/>
        </w:rPr>
        <w:t>标的指数为</w:t>
      </w:r>
      <w:r w:rsidRPr="00FE105F">
        <w:rPr>
          <w:rFonts w:eastAsia="楷体" w:cs="Arial" w:hint="eastAsia"/>
        </w:rPr>
        <w:t>恒生中国企业指数</w:t>
      </w:r>
      <w:r>
        <w:rPr>
          <w:rFonts w:eastAsia="楷体" w:cs="Arial" w:hint="eastAsia"/>
        </w:rPr>
        <w:t>，该基金以拟合、跟踪标的</w:t>
      </w:r>
      <w:r w:rsidRPr="00FE105F">
        <w:rPr>
          <w:rFonts w:eastAsia="楷体" w:cs="Arial" w:hint="eastAsia"/>
        </w:rPr>
        <w:t>指数为原则</w:t>
      </w:r>
      <w:r>
        <w:rPr>
          <w:rFonts w:eastAsia="楷体" w:cs="Arial" w:hint="eastAsia"/>
        </w:rPr>
        <w:t>，</w:t>
      </w:r>
      <w:r w:rsidRPr="00FE105F">
        <w:rPr>
          <w:rFonts w:eastAsia="楷体" w:cs="Arial" w:hint="eastAsia"/>
        </w:rPr>
        <w:t>进行被动式指数化投资</w:t>
      </w:r>
      <w:r>
        <w:rPr>
          <w:rFonts w:eastAsia="楷体" w:cs="Arial" w:hint="eastAsia"/>
        </w:rPr>
        <w:t>。该基金在今年</w:t>
      </w:r>
      <w:r>
        <w:rPr>
          <w:rFonts w:eastAsia="楷体" w:cs="Arial" w:hint="eastAsia"/>
        </w:rPr>
        <w:t>7</w:t>
      </w:r>
      <w:r>
        <w:rPr>
          <w:rFonts w:eastAsia="楷体" w:cs="Arial" w:hint="eastAsia"/>
        </w:rPr>
        <w:t>月份以</w:t>
      </w:r>
      <w:r>
        <w:rPr>
          <w:rFonts w:eastAsia="楷体" w:cs="Arial" w:hint="eastAsia"/>
        </w:rPr>
        <w:t>8.81%</w:t>
      </w:r>
      <w:r>
        <w:rPr>
          <w:rFonts w:eastAsia="楷体" w:cs="Arial" w:hint="eastAsia"/>
        </w:rPr>
        <w:t>的收益率获得</w:t>
      </w:r>
      <w:r>
        <w:rPr>
          <w:rFonts w:eastAsia="楷体" w:cs="Arial" w:hint="eastAsia"/>
        </w:rPr>
        <w:t>QDII-</w:t>
      </w:r>
      <w:r>
        <w:rPr>
          <w:rFonts w:eastAsia="楷体" w:cs="Arial" w:hint="eastAsia"/>
        </w:rPr>
        <w:t>亚太及新兴市场类别之首。</w:t>
      </w:r>
    </w:p>
    <w:p w:rsidR="00082426" w:rsidRDefault="00082426" w:rsidP="00900D47">
      <w:pPr>
        <w:pStyle w:val="ab"/>
        <w:numPr>
          <w:ilvl w:val="4"/>
          <w:numId w:val="1"/>
        </w:numPr>
        <w:tabs>
          <w:tab w:val="left" w:pos="5250"/>
        </w:tabs>
        <w:spacing w:after="163"/>
        <w:rPr>
          <w:rFonts w:eastAsia="楷体" w:cs="Arial"/>
        </w:rPr>
      </w:pPr>
      <w:r w:rsidRPr="00CB0983">
        <w:rPr>
          <w:rFonts w:eastAsia="楷体" w:cs="Arial" w:hint="eastAsia"/>
          <w:b/>
        </w:rPr>
        <w:t>博时大中华亚太精选</w:t>
      </w:r>
      <w:r w:rsidRPr="00CB0983">
        <w:rPr>
          <w:rFonts w:eastAsia="楷体" w:cs="Arial" w:hint="eastAsia"/>
          <w:b/>
        </w:rPr>
        <w:t>(0</w:t>
      </w:r>
      <w:r w:rsidRPr="00CB0983">
        <w:rPr>
          <w:rFonts w:eastAsia="楷体" w:cs="Arial"/>
          <w:b/>
        </w:rPr>
        <w:t>50015</w:t>
      </w:r>
      <w:r w:rsidRPr="00CB0983">
        <w:rPr>
          <w:rFonts w:eastAsia="楷体" w:cs="Arial" w:hint="eastAsia"/>
          <w:b/>
        </w:rPr>
        <w:t>)</w:t>
      </w:r>
      <w:r w:rsidRPr="00CB0983">
        <w:rPr>
          <w:rFonts w:eastAsia="楷体" w:cs="Arial" w:hint="eastAsia"/>
          <w:b/>
        </w:rPr>
        <w:t>：</w:t>
      </w:r>
      <w:r w:rsidRPr="00B4378D">
        <w:rPr>
          <w:rFonts w:eastAsia="楷体" w:cs="Arial" w:hint="eastAsia"/>
        </w:rPr>
        <w:t>采用“核心</w:t>
      </w:r>
      <w:r w:rsidRPr="00B4378D">
        <w:rPr>
          <w:rFonts w:eastAsia="楷体" w:cs="Arial" w:hint="eastAsia"/>
        </w:rPr>
        <w:t>-</w:t>
      </w:r>
      <w:r w:rsidRPr="00B4378D">
        <w:rPr>
          <w:rFonts w:eastAsia="楷体" w:cs="Arial" w:hint="eastAsia"/>
        </w:rPr>
        <w:t>卫星”配置策略，“核心”指基金资产的</w:t>
      </w:r>
      <w:r w:rsidRPr="00B4378D">
        <w:rPr>
          <w:rFonts w:eastAsia="楷体" w:cs="Arial" w:hint="eastAsia"/>
        </w:rPr>
        <w:t>40%~75%</w:t>
      </w:r>
      <w:r>
        <w:rPr>
          <w:rFonts w:eastAsia="楷体" w:cs="Arial" w:hint="eastAsia"/>
        </w:rPr>
        <w:t>投资于大中华地区企业，包括中国大陆、港、澳、台地区企业在境外发行的股票</w:t>
      </w:r>
      <w:r w:rsidRPr="00B4378D">
        <w:rPr>
          <w:rFonts w:eastAsia="楷体" w:cs="Arial" w:hint="eastAsia"/>
        </w:rPr>
        <w:t>及其他衍生产品。“卫星”指基金资产的</w:t>
      </w:r>
      <w:r w:rsidRPr="00B4378D">
        <w:rPr>
          <w:rFonts w:eastAsia="楷体" w:cs="Arial" w:hint="eastAsia"/>
        </w:rPr>
        <w:t>20%~55%</w:t>
      </w:r>
      <w:r w:rsidRPr="00B4378D">
        <w:rPr>
          <w:rFonts w:eastAsia="楷体" w:cs="Arial" w:hint="eastAsia"/>
        </w:rPr>
        <w:t>投资于日本、韩国、澳大利亚、新加坡、印度等众多亚太国家或地区企业在亚太区证券市场发行的</w:t>
      </w:r>
      <w:r w:rsidR="007E4181">
        <w:rPr>
          <w:rFonts w:eastAsia="楷体" w:cs="Arial" w:hint="eastAsia"/>
        </w:rPr>
        <w:t>股票</w:t>
      </w:r>
      <w:r w:rsidRPr="00B4378D">
        <w:rPr>
          <w:rFonts w:eastAsia="楷体" w:cs="Arial" w:hint="eastAsia"/>
        </w:rPr>
        <w:t>等。主要采取“自下而上精选个股”和“价值策略为主，成长策略为辅</w:t>
      </w:r>
      <w:r>
        <w:rPr>
          <w:rFonts w:eastAsia="楷体" w:cs="Arial" w:hint="eastAsia"/>
        </w:rPr>
        <w:t>”的股票投资策略，辅以金融衍生品投资进行套期保值和汇率风险规避</w:t>
      </w:r>
      <w:r w:rsidRPr="00B97AD7">
        <w:rPr>
          <w:rFonts w:eastAsia="楷体" w:cs="Arial" w:hint="eastAsia"/>
        </w:rPr>
        <w:t>。</w:t>
      </w:r>
    </w:p>
    <w:p w:rsidR="0066791F" w:rsidRPr="0034660C" w:rsidRDefault="0066791F" w:rsidP="0066791F">
      <w:pPr>
        <w:pStyle w:val="ab"/>
        <w:numPr>
          <w:ilvl w:val="4"/>
          <w:numId w:val="1"/>
        </w:numPr>
        <w:tabs>
          <w:tab w:val="left" w:pos="5250"/>
        </w:tabs>
        <w:spacing w:after="163"/>
        <w:rPr>
          <w:rFonts w:eastAsia="楷体" w:cs="Arial"/>
        </w:rPr>
      </w:pPr>
      <w:r w:rsidRPr="00CB0983">
        <w:rPr>
          <w:rFonts w:eastAsia="楷体" w:cs="Arial" w:hint="eastAsia"/>
          <w:b/>
        </w:rPr>
        <w:t>国泰纳斯达克</w:t>
      </w:r>
      <w:r w:rsidRPr="00CB0983">
        <w:rPr>
          <w:rFonts w:eastAsia="楷体" w:cs="Arial" w:hint="eastAsia"/>
          <w:b/>
        </w:rPr>
        <w:t>100(</w:t>
      </w:r>
      <w:r w:rsidRPr="00CB0983">
        <w:rPr>
          <w:rFonts w:eastAsia="楷体" w:cs="Arial"/>
          <w:b/>
        </w:rPr>
        <w:t>160213</w:t>
      </w:r>
      <w:r w:rsidRPr="00CB0983">
        <w:rPr>
          <w:rFonts w:eastAsia="楷体" w:cs="Arial" w:hint="eastAsia"/>
          <w:b/>
        </w:rPr>
        <w:t>)</w:t>
      </w:r>
      <w:r w:rsidRPr="00CB0983">
        <w:rPr>
          <w:rFonts w:eastAsia="楷体" w:cs="Arial" w:hint="eastAsia"/>
          <w:b/>
        </w:rPr>
        <w:t>：</w:t>
      </w:r>
      <w:r w:rsidRPr="0034660C">
        <w:rPr>
          <w:rFonts w:eastAsia="楷体" w:cs="Arial" w:hint="eastAsia"/>
        </w:rPr>
        <w:t>跟踪美国纳斯达克</w:t>
      </w:r>
      <w:r w:rsidRPr="0034660C">
        <w:rPr>
          <w:rFonts w:eastAsia="楷体" w:cs="Arial" w:hint="eastAsia"/>
        </w:rPr>
        <w:t>100</w:t>
      </w:r>
      <w:r>
        <w:rPr>
          <w:rFonts w:eastAsia="楷体" w:cs="Arial" w:hint="eastAsia"/>
        </w:rPr>
        <w:t>指数，股票资产主要采取完全复制法，</w:t>
      </w:r>
      <w:r w:rsidRPr="0034660C">
        <w:rPr>
          <w:rFonts w:eastAsia="楷体" w:cs="Arial" w:hint="eastAsia"/>
        </w:rPr>
        <w:t>追求跟踪误差最小化。纳斯达克</w:t>
      </w:r>
      <w:r w:rsidRPr="0034660C">
        <w:rPr>
          <w:rFonts w:eastAsia="楷体" w:cs="Arial" w:hint="eastAsia"/>
        </w:rPr>
        <w:t>100</w:t>
      </w:r>
      <w:r w:rsidRPr="0034660C">
        <w:rPr>
          <w:rFonts w:eastAsia="楷体" w:cs="Arial" w:hint="eastAsia"/>
        </w:rPr>
        <w:t>指数成分股均具有高科技、高成长和非金融的特点，是美国科技股的代表，权重最大为苹果电脑，另包括</w:t>
      </w:r>
      <w:r>
        <w:rPr>
          <w:rFonts w:eastAsia="楷体" w:cs="Arial" w:hint="eastAsia"/>
        </w:rPr>
        <w:t>脸书、</w:t>
      </w:r>
      <w:r w:rsidRPr="0034660C">
        <w:rPr>
          <w:rFonts w:eastAsia="楷体" w:cs="Arial" w:hint="eastAsia"/>
        </w:rPr>
        <w:t>微软、谷歌、英特尔等。</w:t>
      </w:r>
    </w:p>
    <w:p w:rsidR="0066791F" w:rsidRPr="0066791F" w:rsidRDefault="0066791F" w:rsidP="0066791F">
      <w:pPr>
        <w:pStyle w:val="ab"/>
        <w:numPr>
          <w:ilvl w:val="4"/>
          <w:numId w:val="1"/>
        </w:numPr>
        <w:tabs>
          <w:tab w:val="left" w:pos="5250"/>
        </w:tabs>
        <w:spacing w:after="163"/>
        <w:rPr>
          <w:rFonts w:eastAsia="楷体" w:cs="Arial"/>
        </w:rPr>
      </w:pPr>
      <w:r w:rsidRPr="00CB0983">
        <w:rPr>
          <w:rFonts w:eastAsia="楷体" w:cs="Arial" w:hint="eastAsia"/>
          <w:b/>
        </w:rPr>
        <w:t>鹏华美国房地产</w:t>
      </w:r>
      <w:r w:rsidRPr="00CB0983">
        <w:rPr>
          <w:rFonts w:eastAsia="楷体" w:cs="Arial" w:hint="eastAsia"/>
          <w:b/>
        </w:rPr>
        <w:t>(</w:t>
      </w:r>
      <w:r w:rsidRPr="00CB0983">
        <w:rPr>
          <w:rFonts w:eastAsia="楷体" w:cs="Arial"/>
          <w:b/>
        </w:rPr>
        <w:t>206011</w:t>
      </w:r>
      <w:r w:rsidRPr="00CB0983">
        <w:rPr>
          <w:rFonts w:eastAsia="楷体" w:cs="Arial" w:hint="eastAsia"/>
          <w:b/>
        </w:rPr>
        <w:t>)</w:t>
      </w:r>
      <w:r w:rsidRPr="00CB0983">
        <w:rPr>
          <w:rFonts w:eastAsia="楷体" w:cs="Arial" w:hint="eastAsia"/>
          <w:b/>
        </w:rPr>
        <w:t>：</w:t>
      </w:r>
      <w:r>
        <w:rPr>
          <w:rFonts w:eastAsia="楷体" w:cs="Arial" w:hint="eastAsia"/>
        </w:rPr>
        <w:t>投资对象以美国房地产信托投资基金</w:t>
      </w:r>
      <w:r>
        <w:rPr>
          <w:rFonts w:eastAsia="楷体" w:cs="Arial" w:hint="eastAsia"/>
        </w:rPr>
        <w:t>(</w:t>
      </w:r>
      <w:r w:rsidRPr="00680A06">
        <w:rPr>
          <w:rFonts w:eastAsia="楷体" w:cs="Arial" w:hint="eastAsia"/>
        </w:rPr>
        <w:t>REITs</w:t>
      </w:r>
      <w:r>
        <w:rPr>
          <w:rFonts w:eastAsia="楷体" w:cs="Arial" w:hint="eastAsia"/>
        </w:rPr>
        <w:t>)</w:t>
      </w:r>
      <w:r w:rsidRPr="00680A06">
        <w:rPr>
          <w:rFonts w:eastAsia="楷体" w:cs="Arial" w:hint="eastAsia"/>
        </w:rPr>
        <w:t>、房地产行业股票和在美国市场上市交易的</w:t>
      </w:r>
      <w:r w:rsidRPr="00680A06">
        <w:rPr>
          <w:rFonts w:eastAsia="楷体" w:cs="Arial" w:hint="eastAsia"/>
        </w:rPr>
        <w:t>REIT ETF</w:t>
      </w:r>
      <w:r w:rsidRPr="00680A06">
        <w:rPr>
          <w:rFonts w:eastAsia="楷体" w:cs="Arial" w:hint="eastAsia"/>
        </w:rPr>
        <w:t>基金为主。</w:t>
      </w:r>
      <w:r>
        <w:rPr>
          <w:rFonts w:eastAsia="楷体" w:cs="Arial" w:hint="eastAsia"/>
        </w:rPr>
        <w:t>选择投资对象主要参考投资标的资产质量、现金流稳定性</w:t>
      </w:r>
      <w:r w:rsidRPr="00680A06">
        <w:rPr>
          <w:rFonts w:eastAsia="楷体" w:cs="Arial" w:hint="eastAsia"/>
        </w:rPr>
        <w:t>及管理层能力等指标。组合中也少量投资房地产行业股票，目的是把握阶段性机会，对</w:t>
      </w:r>
      <w:r w:rsidRPr="00680A06">
        <w:rPr>
          <w:rFonts w:eastAsia="楷体" w:cs="Arial"/>
        </w:rPr>
        <w:t>REITs</w:t>
      </w:r>
      <w:r w:rsidRPr="00680A06">
        <w:rPr>
          <w:rFonts w:eastAsia="楷体" w:cs="Arial" w:hint="eastAsia"/>
        </w:rPr>
        <w:t>投资作有益补充，并降低组合整体波动性。</w:t>
      </w:r>
    </w:p>
    <w:tbl>
      <w:tblPr>
        <w:tblW w:w="10771" w:type="dxa"/>
        <w:tblLayout w:type="fixed"/>
        <w:tblCellMar>
          <w:left w:w="0" w:type="dxa"/>
          <w:right w:w="0" w:type="dxa"/>
        </w:tblCellMar>
        <w:tblLook w:val="0000"/>
      </w:tblPr>
      <w:tblGrid>
        <w:gridCol w:w="5272"/>
        <w:gridCol w:w="227"/>
        <w:gridCol w:w="5272"/>
      </w:tblGrid>
      <w:tr w:rsidR="001E3EEC" w:rsidRPr="00FC54FE" w:rsidTr="00726B80">
        <w:trPr>
          <w:cantSplit/>
          <w:trHeight w:val="368"/>
        </w:trPr>
        <w:tc>
          <w:tcPr>
            <w:tcW w:w="5272" w:type="dxa"/>
            <w:tcBorders>
              <w:top w:val="single" w:sz="6" w:space="0" w:color="FF6600"/>
              <w:bottom w:val="single" w:sz="6" w:space="0" w:color="FF6600"/>
            </w:tcBorders>
            <w:shd w:val="clear" w:color="auto" w:fill="auto"/>
            <w:vAlign w:val="center"/>
          </w:tcPr>
          <w:p w:rsidR="001E3EEC" w:rsidRPr="00FC54FE" w:rsidRDefault="001E3EEC" w:rsidP="00726B80">
            <w:pPr>
              <w:pStyle w:val="SubTitleLargeTable"/>
              <w:pBdr>
                <w:top w:val="none" w:sz="0" w:space="0" w:color="auto"/>
              </w:pBdr>
              <w:rPr>
                <w:rFonts w:ascii="楷体" w:eastAsia="楷体" w:hAnsi="楷体"/>
                <w:color w:val="FF6600"/>
              </w:rPr>
            </w:pPr>
            <w:r w:rsidRPr="00FC54FE">
              <w:rPr>
                <w:rFonts w:ascii="楷体" w:eastAsia="楷体" w:hAnsi="楷体"/>
                <w:color w:val="FF6600"/>
              </w:rPr>
              <w:t>图表</w:t>
            </w:r>
            <w:r w:rsidR="005D3072">
              <w:rPr>
                <w:rFonts w:ascii="楷体" w:eastAsia="楷体" w:hAnsi="楷体" w:hint="eastAsia"/>
                <w:color w:val="FF6600"/>
              </w:rPr>
              <w:t>8</w:t>
            </w:r>
            <w:r>
              <w:rPr>
                <w:rFonts w:ascii="楷体" w:eastAsia="楷体" w:hAnsi="楷体" w:hint="eastAsia"/>
                <w:color w:val="FF6600"/>
              </w:rPr>
              <w:t>：</w:t>
            </w:r>
            <w:r w:rsidRPr="001E3EEC">
              <w:rPr>
                <w:rFonts w:ascii="楷体" w:eastAsia="楷体" w:hAnsi="楷体" w:hint="eastAsia"/>
                <w:color w:val="FF6600"/>
              </w:rPr>
              <w:t>富国中国中小盘</w:t>
            </w:r>
            <w:r>
              <w:rPr>
                <w:rFonts w:ascii="楷体" w:eastAsia="楷体" w:hAnsi="楷体" w:hint="eastAsia"/>
                <w:color w:val="FF6600"/>
              </w:rPr>
              <w:t>基金</w:t>
            </w:r>
            <w:r w:rsidRPr="001E3EEC">
              <w:rPr>
                <w:rFonts w:ascii="楷体" w:eastAsia="楷体" w:hAnsi="楷体"/>
                <w:color w:val="FF6600"/>
              </w:rPr>
              <w:t>(100061)</w:t>
            </w:r>
          </w:p>
        </w:tc>
        <w:tc>
          <w:tcPr>
            <w:tcW w:w="227" w:type="dxa"/>
            <w:vAlign w:val="center"/>
          </w:tcPr>
          <w:p w:rsidR="001E3EEC" w:rsidRPr="00FC54FE" w:rsidRDefault="001E3EEC" w:rsidP="00726B80">
            <w:pPr>
              <w:jc w:val="center"/>
              <w:rPr>
                <w:rFonts w:ascii="楷体" w:eastAsia="楷体" w:hAnsi="楷体" w:cs="Arial"/>
                <w:b/>
                <w:bCs/>
                <w:i/>
                <w:iCs/>
                <w:color w:val="FF6600"/>
                <w:kern w:val="0"/>
                <w:szCs w:val="21"/>
                <w:lang w:val="en-GB"/>
              </w:rPr>
            </w:pPr>
          </w:p>
        </w:tc>
        <w:tc>
          <w:tcPr>
            <w:tcW w:w="5272" w:type="dxa"/>
            <w:tcBorders>
              <w:top w:val="single" w:sz="6" w:space="0" w:color="FF6600"/>
              <w:bottom w:val="single" w:sz="6" w:space="0" w:color="FF6600"/>
            </w:tcBorders>
            <w:shd w:val="clear" w:color="auto" w:fill="auto"/>
            <w:vAlign w:val="center"/>
          </w:tcPr>
          <w:p w:rsidR="001E3EEC" w:rsidRPr="00FC54FE" w:rsidRDefault="001E3EEC" w:rsidP="00726B80">
            <w:pPr>
              <w:pStyle w:val="SubTitleLargeTable"/>
              <w:pBdr>
                <w:top w:val="none" w:sz="0" w:space="0" w:color="auto"/>
              </w:pBdr>
              <w:rPr>
                <w:rFonts w:ascii="楷体" w:eastAsia="楷体" w:hAnsi="楷体"/>
                <w:color w:val="FF6600"/>
              </w:rPr>
            </w:pPr>
            <w:r w:rsidRPr="00FC54FE">
              <w:rPr>
                <w:rFonts w:ascii="楷体" w:eastAsia="楷体" w:hAnsi="楷体"/>
                <w:color w:val="FF6600"/>
              </w:rPr>
              <w:t>图表</w:t>
            </w:r>
            <w:r w:rsidR="005D3072">
              <w:rPr>
                <w:rFonts w:ascii="楷体" w:eastAsia="楷体" w:hAnsi="楷体" w:hint="eastAsia"/>
                <w:color w:val="FF6600"/>
              </w:rPr>
              <w:t>9</w:t>
            </w:r>
            <w:r w:rsidRPr="00FC54FE">
              <w:rPr>
                <w:rFonts w:ascii="楷体" w:eastAsia="楷体" w:hAnsi="楷体" w:hint="eastAsia"/>
                <w:color w:val="FF6600"/>
              </w:rPr>
              <w:t>：</w:t>
            </w:r>
            <w:r w:rsidRPr="007D4B9D">
              <w:rPr>
                <w:rFonts w:ascii="楷体" w:eastAsia="楷体" w:hAnsi="楷体" w:hint="eastAsia"/>
                <w:color w:val="FF6600"/>
              </w:rPr>
              <w:t>华夏恒生ETF基金</w:t>
            </w:r>
            <w:r w:rsidRPr="007D4B9D">
              <w:rPr>
                <w:rFonts w:ascii="楷体" w:eastAsia="楷体" w:hAnsi="楷体"/>
                <w:color w:val="FF6600"/>
              </w:rPr>
              <w:t>(159920)</w:t>
            </w:r>
          </w:p>
        </w:tc>
      </w:tr>
      <w:tr w:rsidR="001E3EEC" w:rsidRPr="00FC54FE" w:rsidTr="00C5734A">
        <w:trPr>
          <w:cantSplit/>
          <w:trHeight w:val="2900"/>
        </w:trPr>
        <w:tc>
          <w:tcPr>
            <w:tcW w:w="5272" w:type="dxa"/>
            <w:tcBorders>
              <w:top w:val="single" w:sz="6" w:space="0" w:color="FF6600"/>
              <w:bottom w:val="single" w:sz="6" w:space="0" w:color="FF6600"/>
            </w:tcBorders>
            <w:shd w:val="clear" w:color="auto" w:fill="auto"/>
            <w:vAlign w:val="center"/>
          </w:tcPr>
          <w:p w:rsidR="001E3EEC" w:rsidRPr="00FC54FE" w:rsidRDefault="00C5734A" w:rsidP="00726B80">
            <w:pPr>
              <w:jc w:val="center"/>
              <w:rPr>
                <w:rFonts w:ascii="楷体" w:eastAsia="楷体" w:hAnsi="楷体"/>
              </w:rPr>
            </w:pPr>
            <w:r>
              <w:rPr>
                <w:rFonts w:ascii="楷体" w:eastAsia="楷体" w:hAnsi="楷体"/>
                <w:noProof/>
              </w:rPr>
              <w:drawing>
                <wp:inline distT="0" distB="0" distL="0" distR="0">
                  <wp:extent cx="3143250" cy="1571625"/>
                  <wp:effectExtent l="19050" t="0" r="0" b="0"/>
                  <wp:docPr id="19" name="图片 12" descr="C:\Users\shanghai\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shanghai\Desktop\1.jpg"/>
                          <pic:cNvPicPr>
                            <a:picLocks noChangeAspect="1" noChangeArrowheads="1"/>
                          </pic:cNvPicPr>
                        </pic:nvPicPr>
                        <pic:blipFill>
                          <a:blip r:embed="rId18" cstate="print"/>
                          <a:srcRect/>
                          <a:stretch>
                            <a:fillRect/>
                          </a:stretch>
                        </pic:blipFill>
                        <pic:spPr bwMode="auto">
                          <a:xfrm>
                            <a:off x="0" y="0"/>
                            <a:ext cx="3147421" cy="1573710"/>
                          </a:xfrm>
                          <a:prstGeom prst="rect">
                            <a:avLst/>
                          </a:prstGeom>
                          <a:noFill/>
                          <a:ln w="9525">
                            <a:noFill/>
                            <a:miter lim="800000"/>
                            <a:headEnd/>
                            <a:tailEnd/>
                          </a:ln>
                        </pic:spPr>
                      </pic:pic>
                    </a:graphicData>
                  </a:graphic>
                </wp:inline>
              </w:drawing>
            </w:r>
          </w:p>
        </w:tc>
        <w:tc>
          <w:tcPr>
            <w:tcW w:w="227" w:type="dxa"/>
            <w:vAlign w:val="center"/>
          </w:tcPr>
          <w:p w:rsidR="001E3EEC" w:rsidRPr="00FC54FE" w:rsidRDefault="001E3EEC" w:rsidP="00726B80">
            <w:pPr>
              <w:jc w:val="center"/>
              <w:rPr>
                <w:rFonts w:ascii="楷体" w:eastAsia="楷体" w:hAnsi="楷体"/>
              </w:rPr>
            </w:pPr>
          </w:p>
        </w:tc>
        <w:tc>
          <w:tcPr>
            <w:tcW w:w="5272" w:type="dxa"/>
            <w:tcBorders>
              <w:top w:val="single" w:sz="6" w:space="0" w:color="FF6600"/>
              <w:bottom w:val="single" w:sz="6" w:space="0" w:color="FF6600"/>
            </w:tcBorders>
            <w:shd w:val="clear" w:color="auto" w:fill="auto"/>
            <w:vAlign w:val="center"/>
          </w:tcPr>
          <w:p w:rsidR="001E3EEC" w:rsidRPr="00FC54FE" w:rsidRDefault="00C5734A" w:rsidP="00726B80">
            <w:pPr>
              <w:jc w:val="center"/>
              <w:rPr>
                <w:rFonts w:ascii="楷体" w:eastAsia="楷体" w:hAnsi="楷体"/>
              </w:rPr>
            </w:pPr>
            <w:r>
              <w:rPr>
                <w:rFonts w:ascii="楷体" w:eastAsia="楷体" w:hAnsi="楷体"/>
                <w:noProof/>
              </w:rPr>
              <w:drawing>
                <wp:inline distT="0" distB="0" distL="0" distR="0">
                  <wp:extent cx="3019425" cy="1328193"/>
                  <wp:effectExtent l="19050" t="0" r="9525" b="0"/>
                  <wp:docPr id="20" name="图片 13" descr="C:\Users\shanghai\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shanghai\Desktop\2.jpg"/>
                          <pic:cNvPicPr>
                            <a:picLocks noChangeAspect="1" noChangeArrowheads="1"/>
                          </pic:cNvPicPr>
                        </pic:nvPicPr>
                        <pic:blipFill>
                          <a:blip r:embed="rId19" cstate="print"/>
                          <a:srcRect/>
                          <a:stretch>
                            <a:fillRect/>
                          </a:stretch>
                        </pic:blipFill>
                        <pic:spPr bwMode="auto">
                          <a:xfrm>
                            <a:off x="0" y="0"/>
                            <a:ext cx="3019425" cy="1328193"/>
                          </a:xfrm>
                          <a:prstGeom prst="rect">
                            <a:avLst/>
                          </a:prstGeom>
                          <a:noFill/>
                          <a:ln w="9525">
                            <a:noFill/>
                            <a:miter lim="800000"/>
                            <a:headEnd/>
                            <a:tailEnd/>
                          </a:ln>
                        </pic:spPr>
                      </pic:pic>
                    </a:graphicData>
                  </a:graphic>
                </wp:inline>
              </w:drawing>
            </w:r>
          </w:p>
        </w:tc>
      </w:tr>
    </w:tbl>
    <w:p w:rsidR="001E3EEC" w:rsidRPr="001E3EEC" w:rsidRDefault="001E3EEC" w:rsidP="001E3EEC">
      <w:pPr>
        <w:pStyle w:val="FootnoteNoline"/>
        <w:ind w:left="0"/>
        <w:rPr>
          <w:rFonts w:ascii="楷体" w:eastAsia="楷体" w:hAnsi="楷体"/>
          <w:color w:val="FF6600"/>
        </w:rPr>
      </w:pPr>
      <w:r w:rsidRPr="00FC54FE">
        <w:rPr>
          <w:rFonts w:ascii="楷体" w:eastAsia="楷体" w:hAnsi="楷体" w:hint="eastAsia"/>
          <w:color w:val="FF6600"/>
        </w:rPr>
        <w:t xml:space="preserve">来源：凯石财富工场 wind </w:t>
      </w:r>
    </w:p>
    <w:tbl>
      <w:tblPr>
        <w:tblW w:w="10771" w:type="dxa"/>
        <w:tblLayout w:type="fixed"/>
        <w:tblCellMar>
          <w:left w:w="0" w:type="dxa"/>
          <w:right w:w="0" w:type="dxa"/>
        </w:tblCellMar>
        <w:tblLook w:val="0000"/>
      </w:tblPr>
      <w:tblGrid>
        <w:gridCol w:w="5272"/>
        <w:gridCol w:w="227"/>
        <w:gridCol w:w="5272"/>
      </w:tblGrid>
      <w:tr w:rsidR="00082426" w:rsidRPr="00FC54FE" w:rsidTr="00906A8D">
        <w:trPr>
          <w:cantSplit/>
          <w:trHeight w:val="368"/>
        </w:trPr>
        <w:tc>
          <w:tcPr>
            <w:tcW w:w="5272" w:type="dxa"/>
            <w:tcBorders>
              <w:top w:val="single" w:sz="6" w:space="0" w:color="FF6600"/>
              <w:bottom w:val="single" w:sz="6" w:space="0" w:color="FF6600"/>
            </w:tcBorders>
            <w:shd w:val="clear" w:color="auto" w:fill="auto"/>
            <w:vAlign w:val="center"/>
          </w:tcPr>
          <w:p w:rsidR="00082426" w:rsidRPr="00FC54FE" w:rsidRDefault="00082426" w:rsidP="00906A8D">
            <w:pPr>
              <w:pStyle w:val="SubTitleLargeTable"/>
              <w:pBdr>
                <w:top w:val="none" w:sz="0" w:space="0" w:color="auto"/>
              </w:pBdr>
              <w:rPr>
                <w:rFonts w:ascii="楷体" w:eastAsia="楷体" w:hAnsi="楷体"/>
                <w:color w:val="FF6600"/>
              </w:rPr>
            </w:pPr>
            <w:r w:rsidRPr="00FC54FE">
              <w:rPr>
                <w:rFonts w:ascii="楷体" w:eastAsia="楷体" w:hAnsi="楷体"/>
                <w:color w:val="FF6600"/>
              </w:rPr>
              <w:t>图表</w:t>
            </w:r>
            <w:r w:rsidR="005D3072">
              <w:rPr>
                <w:rFonts w:ascii="楷体" w:eastAsia="楷体" w:hAnsi="楷体" w:hint="eastAsia"/>
                <w:color w:val="FF6600"/>
              </w:rPr>
              <w:t>10</w:t>
            </w:r>
            <w:r w:rsidRPr="00FC54FE">
              <w:rPr>
                <w:rFonts w:ascii="楷体" w:eastAsia="楷体" w:hAnsi="楷体" w:hint="eastAsia"/>
                <w:color w:val="FF6600"/>
              </w:rPr>
              <w:t>：</w:t>
            </w:r>
            <w:r w:rsidR="001E3EEC" w:rsidRPr="007D4B9D">
              <w:rPr>
                <w:rFonts w:ascii="楷体" w:eastAsia="楷体" w:hAnsi="楷体" w:hint="eastAsia"/>
                <w:color w:val="FF6600"/>
              </w:rPr>
              <w:t>嘉实恒生中国企业基金</w:t>
            </w:r>
            <w:r w:rsidR="001E3EEC" w:rsidRPr="007D4B9D">
              <w:rPr>
                <w:rFonts w:ascii="楷体" w:eastAsia="楷体" w:hAnsi="楷体"/>
                <w:color w:val="FF6600"/>
              </w:rPr>
              <w:t>(160717)</w:t>
            </w:r>
          </w:p>
        </w:tc>
        <w:tc>
          <w:tcPr>
            <w:tcW w:w="227" w:type="dxa"/>
            <w:vAlign w:val="center"/>
          </w:tcPr>
          <w:p w:rsidR="00082426" w:rsidRPr="00FC54FE" w:rsidRDefault="00082426" w:rsidP="00906A8D">
            <w:pPr>
              <w:jc w:val="center"/>
              <w:rPr>
                <w:rFonts w:ascii="楷体" w:eastAsia="楷体" w:hAnsi="楷体" w:cs="Arial"/>
                <w:b/>
                <w:bCs/>
                <w:i/>
                <w:iCs/>
                <w:color w:val="FF6600"/>
                <w:kern w:val="0"/>
                <w:szCs w:val="21"/>
                <w:lang w:val="en-GB"/>
              </w:rPr>
            </w:pPr>
          </w:p>
        </w:tc>
        <w:tc>
          <w:tcPr>
            <w:tcW w:w="5272" w:type="dxa"/>
            <w:tcBorders>
              <w:top w:val="single" w:sz="6" w:space="0" w:color="FF6600"/>
              <w:bottom w:val="single" w:sz="6" w:space="0" w:color="FF6600"/>
            </w:tcBorders>
            <w:shd w:val="clear" w:color="auto" w:fill="auto"/>
            <w:vAlign w:val="center"/>
          </w:tcPr>
          <w:p w:rsidR="00082426" w:rsidRPr="00FC54FE" w:rsidRDefault="00082426" w:rsidP="00906A8D">
            <w:pPr>
              <w:pStyle w:val="SubTitleLargeTable"/>
              <w:pBdr>
                <w:top w:val="none" w:sz="0" w:space="0" w:color="auto"/>
              </w:pBdr>
              <w:rPr>
                <w:rFonts w:ascii="楷体" w:eastAsia="楷体" w:hAnsi="楷体"/>
                <w:color w:val="FF6600"/>
              </w:rPr>
            </w:pPr>
            <w:r w:rsidRPr="00FC54FE">
              <w:rPr>
                <w:rFonts w:ascii="楷体" w:eastAsia="楷体" w:hAnsi="楷体"/>
                <w:color w:val="FF6600"/>
              </w:rPr>
              <w:t>图表</w:t>
            </w:r>
            <w:r w:rsidR="005D3072">
              <w:rPr>
                <w:rFonts w:ascii="楷体" w:eastAsia="楷体" w:hAnsi="楷体" w:hint="eastAsia"/>
                <w:color w:val="FF6600"/>
              </w:rPr>
              <w:t>11</w:t>
            </w:r>
            <w:r w:rsidRPr="00FC54FE">
              <w:rPr>
                <w:rFonts w:ascii="楷体" w:eastAsia="楷体" w:hAnsi="楷体" w:hint="eastAsia"/>
                <w:color w:val="FF6600"/>
              </w:rPr>
              <w:t>：</w:t>
            </w:r>
            <w:r w:rsidR="001E3EEC" w:rsidRPr="00E3353D">
              <w:rPr>
                <w:rFonts w:ascii="楷体" w:eastAsia="楷体" w:hAnsi="楷体" w:hint="eastAsia"/>
                <w:color w:val="FF6600"/>
              </w:rPr>
              <w:t>博时大中华亚太精选基金</w:t>
            </w:r>
            <w:r w:rsidR="001E3EEC" w:rsidRPr="007D4B9D">
              <w:rPr>
                <w:rFonts w:ascii="楷体" w:eastAsia="楷体" w:hAnsi="楷体"/>
                <w:color w:val="FF6600"/>
              </w:rPr>
              <w:t>(050015)</w:t>
            </w:r>
          </w:p>
        </w:tc>
      </w:tr>
      <w:tr w:rsidR="00082426" w:rsidRPr="00FC54FE" w:rsidTr="00C5734A">
        <w:trPr>
          <w:cantSplit/>
          <w:trHeight w:val="2756"/>
        </w:trPr>
        <w:tc>
          <w:tcPr>
            <w:tcW w:w="5272" w:type="dxa"/>
            <w:tcBorders>
              <w:top w:val="single" w:sz="6" w:space="0" w:color="FF6600"/>
              <w:bottom w:val="single" w:sz="6" w:space="0" w:color="FF6600"/>
            </w:tcBorders>
            <w:shd w:val="clear" w:color="auto" w:fill="auto"/>
            <w:vAlign w:val="center"/>
          </w:tcPr>
          <w:p w:rsidR="00082426" w:rsidRPr="00FC54FE" w:rsidRDefault="00C5734A" w:rsidP="00906A8D">
            <w:pPr>
              <w:jc w:val="center"/>
              <w:rPr>
                <w:rFonts w:ascii="楷体" w:eastAsia="楷体" w:hAnsi="楷体"/>
              </w:rPr>
            </w:pPr>
            <w:r>
              <w:rPr>
                <w:rFonts w:ascii="楷体" w:eastAsia="楷体" w:hAnsi="楷体"/>
                <w:noProof/>
              </w:rPr>
              <w:drawing>
                <wp:inline distT="0" distB="0" distL="0" distR="0">
                  <wp:extent cx="3258553" cy="1485900"/>
                  <wp:effectExtent l="19050" t="0" r="0" b="0"/>
                  <wp:docPr id="21" name="图片 14" descr="C:\Users\shanghai\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shanghai\Desktop\3.jpg"/>
                          <pic:cNvPicPr>
                            <a:picLocks noChangeAspect="1" noChangeArrowheads="1"/>
                          </pic:cNvPicPr>
                        </pic:nvPicPr>
                        <pic:blipFill>
                          <a:blip r:embed="rId20" cstate="print"/>
                          <a:srcRect/>
                          <a:stretch>
                            <a:fillRect/>
                          </a:stretch>
                        </pic:blipFill>
                        <pic:spPr bwMode="auto">
                          <a:xfrm>
                            <a:off x="0" y="0"/>
                            <a:ext cx="3258553" cy="1485900"/>
                          </a:xfrm>
                          <a:prstGeom prst="rect">
                            <a:avLst/>
                          </a:prstGeom>
                          <a:noFill/>
                          <a:ln w="9525">
                            <a:noFill/>
                            <a:miter lim="800000"/>
                            <a:headEnd/>
                            <a:tailEnd/>
                          </a:ln>
                        </pic:spPr>
                      </pic:pic>
                    </a:graphicData>
                  </a:graphic>
                </wp:inline>
              </w:drawing>
            </w:r>
          </w:p>
        </w:tc>
        <w:tc>
          <w:tcPr>
            <w:tcW w:w="227" w:type="dxa"/>
            <w:vAlign w:val="center"/>
          </w:tcPr>
          <w:p w:rsidR="00082426" w:rsidRPr="00FC54FE" w:rsidRDefault="00082426" w:rsidP="00906A8D">
            <w:pPr>
              <w:jc w:val="center"/>
              <w:rPr>
                <w:rFonts w:ascii="楷体" w:eastAsia="楷体" w:hAnsi="楷体"/>
              </w:rPr>
            </w:pPr>
          </w:p>
        </w:tc>
        <w:tc>
          <w:tcPr>
            <w:tcW w:w="5272" w:type="dxa"/>
            <w:tcBorders>
              <w:top w:val="single" w:sz="6" w:space="0" w:color="FF6600"/>
              <w:bottom w:val="single" w:sz="6" w:space="0" w:color="FF6600"/>
            </w:tcBorders>
            <w:shd w:val="clear" w:color="auto" w:fill="auto"/>
            <w:vAlign w:val="center"/>
          </w:tcPr>
          <w:p w:rsidR="00082426" w:rsidRPr="00FC54FE" w:rsidRDefault="00C5734A" w:rsidP="00906A8D">
            <w:pPr>
              <w:jc w:val="center"/>
              <w:rPr>
                <w:rFonts w:ascii="楷体" w:eastAsia="楷体" w:hAnsi="楷体"/>
              </w:rPr>
            </w:pPr>
            <w:r>
              <w:rPr>
                <w:rFonts w:ascii="楷体" w:eastAsia="楷体" w:hAnsi="楷体"/>
                <w:noProof/>
              </w:rPr>
              <w:drawing>
                <wp:inline distT="0" distB="0" distL="0" distR="0">
                  <wp:extent cx="3552825" cy="1612326"/>
                  <wp:effectExtent l="19050" t="0" r="9525" b="0"/>
                  <wp:docPr id="23" name="图片 15" descr="C:\Users\shanghai\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hanghai\Desktop\4.jpg"/>
                          <pic:cNvPicPr>
                            <a:picLocks noChangeAspect="1" noChangeArrowheads="1"/>
                          </pic:cNvPicPr>
                        </pic:nvPicPr>
                        <pic:blipFill>
                          <a:blip r:embed="rId21" cstate="print"/>
                          <a:srcRect/>
                          <a:stretch>
                            <a:fillRect/>
                          </a:stretch>
                        </pic:blipFill>
                        <pic:spPr bwMode="auto">
                          <a:xfrm>
                            <a:off x="0" y="0"/>
                            <a:ext cx="3552825" cy="1612326"/>
                          </a:xfrm>
                          <a:prstGeom prst="rect">
                            <a:avLst/>
                          </a:prstGeom>
                          <a:noFill/>
                          <a:ln w="9525">
                            <a:noFill/>
                            <a:miter lim="800000"/>
                            <a:headEnd/>
                            <a:tailEnd/>
                          </a:ln>
                        </pic:spPr>
                      </pic:pic>
                    </a:graphicData>
                  </a:graphic>
                </wp:inline>
              </w:drawing>
            </w:r>
          </w:p>
        </w:tc>
      </w:tr>
    </w:tbl>
    <w:p w:rsidR="00082426" w:rsidRDefault="00082426" w:rsidP="00082426">
      <w:pPr>
        <w:pStyle w:val="FootnoteNoline"/>
        <w:ind w:left="0"/>
        <w:rPr>
          <w:rFonts w:ascii="楷体" w:eastAsia="楷体" w:hAnsi="楷体"/>
          <w:color w:val="FF6600"/>
        </w:rPr>
      </w:pPr>
      <w:r w:rsidRPr="00FC54FE">
        <w:rPr>
          <w:rFonts w:ascii="楷体" w:eastAsia="楷体" w:hAnsi="楷体" w:hint="eastAsia"/>
          <w:color w:val="FF6600"/>
        </w:rPr>
        <w:t xml:space="preserve">来源：凯石财富工场 wind </w:t>
      </w:r>
    </w:p>
    <w:tbl>
      <w:tblPr>
        <w:tblW w:w="10771" w:type="dxa"/>
        <w:tblLayout w:type="fixed"/>
        <w:tblCellMar>
          <w:left w:w="0" w:type="dxa"/>
          <w:right w:w="0" w:type="dxa"/>
        </w:tblCellMar>
        <w:tblLook w:val="0000"/>
      </w:tblPr>
      <w:tblGrid>
        <w:gridCol w:w="5272"/>
        <w:gridCol w:w="227"/>
        <w:gridCol w:w="5272"/>
      </w:tblGrid>
      <w:tr w:rsidR="0066791F" w:rsidRPr="00FC54FE" w:rsidTr="00651C66">
        <w:trPr>
          <w:cantSplit/>
          <w:trHeight w:val="368"/>
        </w:trPr>
        <w:tc>
          <w:tcPr>
            <w:tcW w:w="5272" w:type="dxa"/>
            <w:tcBorders>
              <w:top w:val="single" w:sz="6" w:space="0" w:color="FF6600"/>
              <w:bottom w:val="single" w:sz="6" w:space="0" w:color="FF6600"/>
            </w:tcBorders>
            <w:shd w:val="clear" w:color="auto" w:fill="auto"/>
            <w:vAlign w:val="center"/>
          </w:tcPr>
          <w:p w:rsidR="0066791F" w:rsidRPr="00FC54FE" w:rsidRDefault="0066791F" w:rsidP="00651C66">
            <w:pPr>
              <w:pStyle w:val="SubTitleLargeTable"/>
              <w:pBdr>
                <w:top w:val="none" w:sz="0" w:space="0" w:color="auto"/>
              </w:pBdr>
              <w:rPr>
                <w:rFonts w:ascii="楷体" w:eastAsia="楷体" w:hAnsi="楷体"/>
                <w:color w:val="FF6600"/>
              </w:rPr>
            </w:pPr>
            <w:r w:rsidRPr="00FC54FE">
              <w:rPr>
                <w:rFonts w:ascii="楷体" w:eastAsia="楷体" w:hAnsi="楷体"/>
                <w:color w:val="FF6600"/>
              </w:rPr>
              <w:lastRenderedPageBreak/>
              <w:t>图表</w:t>
            </w:r>
            <w:r w:rsidR="000423F9">
              <w:rPr>
                <w:rFonts w:ascii="楷体" w:eastAsia="楷体" w:hAnsi="楷体" w:hint="eastAsia"/>
                <w:color w:val="FF6600"/>
              </w:rPr>
              <w:t>12</w:t>
            </w:r>
            <w:r w:rsidRPr="00FC54FE">
              <w:rPr>
                <w:rFonts w:ascii="楷体" w:eastAsia="楷体" w:hAnsi="楷体" w:hint="eastAsia"/>
                <w:color w:val="FF6600"/>
              </w:rPr>
              <w:t>：国泰纳斯达克100指数基金</w:t>
            </w:r>
            <w:r w:rsidRPr="007D4B9D">
              <w:rPr>
                <w:rFonts w:ascii="楷体" w:eastAsia="楷体" w:hAnsi="楷体"/>
                <w:color w:val="FF6600"/>
              </w:rPr>
              <w:t>(160213)</w:t>
            </w:r>
          </w:p>
        </w:tc>
        <w:tc>
          <w:tcPr>
            <w:tcW w:w="227" w:type="dxa"/>
            <w:vAlign w:val="center"/>
          </w:tcPr>
          <w:p w:rsidR="0066791F" w:rsidRPr="00FC54FE" w:rsidRDefault="0066791F" w:rsidP="00651C66">
            <w:pPr>
              <w:jc w:val="center"/>
              <w:rPr>
                <w:rFonts w:ascii="楷体" w:eastAsia="楷体" w:hAnsi="楷体" w:cs="Arial"/>
                <w:b/>
                <w:bCs/>
                <w:i/>
                <w:iCs/>
                <w:color w:val="FF6600"/>
                <w:kern w:val="0"/>
                <w:szCs w:val="21"/>
                <w:lang w:val="en-GB"/>
              </w:rPr>
            </w:pPr>
          </w:p>
        </w:tc>
        <w:tc>
          <w:tcPr>
            <w:tcW w:w="5272" w:type="dxa"/>
            <w:tcBorders>
              <w:top w:val="single" w:sz="6" w:space="0" w:color="FF6600"/>
              <w:bottom w:val="single" w:sz="6" w:space="0" w:color="FF6600"/>
            </w:tcBorders>
            <w:shd w:val="clear" w:color="auto" w:fill="auto"/>
            <w:vAlign w:val="center"/>
          </w:tcPr>
          <w:p w:rsidR="0066791F" w:rsidRPr="00FC54FE" w:rsidRDefault="0066791F" w:rsidP="00651C66">
            <w:pPr>
              <w:pStyle w:val="SubTitleLargeTable"/>
              <w:pBdr>
                <w:top w:val="none" w:sz="0" w:space="0" w:color="auto"/>
              </w:pBdr>
              <w:rPr>
                <w:rFonts w:ascii="楷体" w:eastAsia="楷体" w:hAnsi="楷体"/>
                <w:color w:val="FF6600"/>
              </w:rPr>
            </w:pPr>
            <w:r w:rsidRPr="00FC54FE">
              <w:rPr>
                <w:rFonts w:ascii="楷体" w:eastAsia="楷体" w:hAnsi="楷体"/>
                <w:color w:val="FF6600"/>
              </w:rPr>
              <w:t>图表</w:t>
            </w:r>
            <w:r w:rsidR="000423F9">
              <w:rPr>
                <w:rFonts w:ascii="楷体" w:eastAsia="楷体" w:hAnsi="楷体" w:hint="eastAsia"/>
                <w:color w:val="FF6600"/>
              </w:rPr>
              <w:t>13</w:t>
            </w:r>
            <w:r w:rsidRPr="00FC54FE">
              <w:rPr>
                <w:rFonts w:ascii="楷体" w:eastAsia="楷体" w:hAnsi="楷体" w:hint="eastAsia"/>
                <w:color w:val="FF6600"/>
              </w:rPr>
              <w:t>：</w:t>
            </w:r>
            <w:r w:rsidRPr="00680A06">
              <w:rPr>
                <w:rFonts w:ascii="楷体" w:eastAsia="楷体" w:hAnsi="楷体" w:hint="eastAsia"/>
                <w:color w:val="FF6600"/>
              </w:rPr>
              <w:t>鹏华</w:t>
            </w:r>
            <w:r>
              <w:rPr>
                <w:rFonts w:ascii="楷体" w:eastAsia="楷体" w:hAnsi="楷体" w:hint="eastAsia"/>
                <w:color w:val="FF6600"/>
              </w:rPr>
              <w:t>美国</w:t>
            </w:r>
            <w:r w:rsidRPr="00680A06">
              <w:rPr>
                <w:rFonts w:ascii="楷体" w:eastAsia="楷体" w:hAnsi="楷体" w:hint="eastAsia"/>
                <w:color w:val="FF6600"/>
              </w:rPr>
              <w:t>房地产基金</w:t>
            </w:r>
            <w:r w:rsidRPr="007D4B9D">
              <w:rPr>
                <w:rFonts w:ascii="楷体" w:eastAsia="楷体" w:hAnsi="楷体"/>
                <w:color w:val="FF6600"/>
              </w:rPr>
              <w:t>(206011)</w:t>
            </w:r>
          </w:p>
        </w:tc>
      </w:tr>
      <w:tr w:rsidR="0066791F" w:rsidRPr="00FC54FE" w:rsidTr="00651C66">
        <w:trPr>
          <w:cantSplit/>
          <w:trHeight w:val="2429"/>
        </w:trPr>
        <w:tc>
          <w:tcPr>
            <w:tcW w:w="5272" w:type="dxa"/>
            <w:tcBorders>
              <w:top w:val="single" w:sz="6" w:space="0" w:color="FF6600"/>
              <w:bottom w:val="single" w:sz="6" w:space="0" w:color="FF6600"/>
            </w:tcBorders>
            <w:shd w:val="clear" w:color="auto" w:fill="auto"/>
            <w:vAlign w:val="center"/>
          </w:tcPr>
          <w:p w:rsidR="0066791F" w:rsidRPr="00FC54FE" w:rsidRDefault="003702F7" w:rsidP="00651C66">
            <w:pPr>
              <w:jc w:val="center"/>
              <w:rPr>
                <w:rFonts w:ascii="楷体" w:eastAsia="楷体" w:hAnsi="楷体"/>
              </w:rPr>
            </w:pPr>
            <w:r>
              <w:rPr>
                <w:rFonts w:ascii="楷体" w:eastAsia="楷体" w:hAnsi="楷体"/>
                <w:noProof/>
              </w:rPr>
              <w:drawing>
                <wp:inline distT="0" distB="0" distL="0" distR="0">
                  <wp:extent cx="3300518" cy="1476375"/>
                  <wp:effectExtent l="19050" t="0" r="0" b="0"/>
                  <wp:docPr id="24" name="图片 16" descr="C:\Users\shanghai\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hanghai\Desktop\5.jpg"/>
                          <pic:cNvPicPr>
                            <a:picLocks noChangeAspect="1" noChangeArrowheads="1"/>
                          </pic:cNvPicPr>
                        </pic:nvPicPr>
                        <pic:blipFill>
                          <a:blip r:embed="rId22" cstate="print"/>
                          <a:srcRect/>
                          <a:stretch>
                            <a:fillRect/>
                          </a:stretch>
                        </pic:blipFill>
                        <pic:spPr bwMode="auto">
                          <a:xfrm>
                            <a:off x="0" y="0"/>
                            <a:ext cx="3300518" cy="1476375"/>
                          </a:xfrm>
                          <a:prstGeom prst="rect">
                            <a:avLst/>
                          </a:prstGeom>
                          <a:noFill/>
                          <a:ln w="9525">
                            <a:noFill/>
                            <a:miter lim="800000"/>
                            <a:headEnd/>
                            <a:tailEnd/>
                          </a:ln>
                        </pic:spPr>
                      </pic:pic>
                    </a:graphicData>
                  </a:graphic>
                </wp:inline>
              </w:drawing>
            </w:r>
          </w:p>
        </w:tc>
        <w:tc>
          <w:tcPr>
            <w:tcW w:w="227" w:type="dxa"/>
            <w:vAlign w:val="center"/>
          </w:tcPr>
          <w:p w:rsidR="0066791F" w:rsidRPr="00FC54FE" w:rsidRDefault="0066791F" w:rsidP="00651C66">
            <w:pPr>
              <w:jc w:val="center"/>
              <w:rPr>
                <w:rFonts w:ascii="楷体" w:eastAsia="楷体" w:hAnsi="楷体"/>
              </w:rPr>
            </w:pPr>
          </w:p>
        </w:tc>
        <w:tc>
          <w:tcPr>
            <w:tcW w:w="5272" w:type="dxa"/>
            <w:tcBorders>
              <w:top w:val="single" w:sz="6" w:space="0" w:color="FF6600"/>
              <w:bottom w:val="single" w:sz="6" w:space="0" w:color="FF6600"/>
            </w:tcBorders>
            <w:shd w:val="clear" w:color="auto" w:fill="auto"/>
            <w:vAlign w:val="center"/>
          </w:tcPr>
          <w:p w:rsidR="0066791F" w:rsidRPr="00FC54FE" w:rsidRDefault="003702F7" w:rsidP="00651C66">
            <w:pPr>
              <w:jc w:val="center"/>
              <w:rPr>
                <w:rFonts w:ascii="楷体" w:eastAsia="楷体" w:hAnsi="楷体"/>
              </w:rPr>
            </w:pPr>
            <w:r>
              <w:rPr>
                <w:rFonts w:ascii="楷体" w:eastAsia="楷体" w:hAnsi="楷体"/>
                <w:noProof/>
              </w:rPr>
              <w:drawing>
                <wp:inline distT="0" distB="0" distL="0" distR="0">
                  <wp:extent cx="3295650" cy="1469860"/>
                  <wp:effectExtent l="19050" t="0" r="0" b="0"/>
                  <wp:docPr id="26" name="图片 17" descr="C:\Users\shanghai\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hanghai\Desktop\6.jpg"/>
                          <pic:cNvPicPr>
                            <a:picLocks noChangeAspect="1" noChangeArrowheads="1"/>
                          </pic:cNvPicPr>
                        </pic:nvPicPr>
                        <pic:blipFill>
                          <a:blip r:embed="rId23" cstate="print"/>
                          <a:srcRect/>
                          <a:stretch>
                            <a:fillRect/>
                          </a:stretch>
                        </pic:blipFill>
                        <pic:spPr bwMode="auto">
                          <a:xfrm>
                            <a:off x="0" y="0"/>
                            <a:ext cx="3295650" cy="1469860"/>
                          </a:xfrm>
                          <a:prstGeom prst="rect">
                            <a:avLst/>
                          </a:prstGeom>
                          <a:noFill/>
                          <a:ln w="9525">
                            <a:noFill/>
                            <a:miter lim="800000"/>
                            <a:headEnd/>
                            <a:tailEnd/>
                          </a:ln>
                        </pic:spPr>
                      </pic:pic>
                    </a:graphicData>
                  </a:graphic>
                </wp:inline>
              </w:drawing>
            </w:r>
          </w:p>
        </w:tc>
      </w:tr>
    </w:tbl>
    <w:p w:rsidR="0066791F" w:rsidRDefault="0066791F" w:rsidP="0066791F">
      <w:pPr>
        <w:pStyle w:val="FootnoteNoline"/>
        <w:ind w:left="0"/>
        <w:rPr>
          <w:rFonts w:ascii="楷体" w:eastAsia="楷体" w:hAnsi="楷体"/>
          <w:color w:val="FF6600"/>
        </w:rPr>
      </w:pPr>
      <w:r w:rsidRPr="00FC54FE">
        <w:rPr>
          <w:rFonts w:ascii="楷体" w:eastAsia="楷体" w:hAnsi="楷体" w:hint="eastAsia"/>
          <w:color w:val="FF6600"/>
        </w:rPr>
        <w:t xml:space="preserve">来源：凯石财富工场 wind </w:t>
      </w:r>
    </w:p>
    <w:p w:rsidR="00B10000" w:rsidRDefault="00B10000">
      <w:pPr>
        <w:widowControl/>
        <w:jc w:val="left"/>
        <w:rPr>
          <w:rFonts w:ascii="楷体" w:eastAsia="楷体" w:hAnsi="楷体"/>
          <w:b/>
          <w:kern w:val="0"/>
          <w:szCs w:val="20"/>
          <w:lang w:val="en-GB"/>
        </w:rPr>
      </w:pPr>
      <w:r w:rsidRPr="00FC54FE">
        <w:rPr>
          <w:rFonts w:ascii="楷体" w:eastAsia="楷体" w:hAnsi="楷体"/>
          <w:b/>
          <w:kern w:val="0"/>
          <w:szCs w:val="20"/>
          <w:lang w:val="en-GB"/>
        </w:rPr>
        <w:br w:type="page"/>
      </w:r>
    </w:p>
    <w:p w:rsidR="00593E61" w:rsidRPr="00FC54FE" w:rsidRDefault="00593E61" w:rsidP="00593E61">
      <w:pPr>
        <w:pStyle w:val="aa"/>
        <w:spacing w:after="312"/>
        <w:rPr>
          <w:rFonts w:ascii="楷体" w:eastAsia="楷体" w:hAnsi="楷体"/>
          <w:b/>
          <w:sz w:val="21"/>
          <w:szCs w:val="21"/>
        </w:rPr>
      </w:pPr>
      <w:r w:rsidRPr="00FC54FE">
        <w:rPr>
          <w:rFonts w:ascii="楷体" w:eastAsia="楷体" w:hAnsi="楷体" w:hint="eastAsia"/>
          <w:b/>
          <w:kern w:val="0"/>
          <w:sz w:val="21"/>
          <w:szCs w:val="20"/>
          <w:lang w:val="en-GB"/>
        </w:rPr>
        <w:lastRenderedPageBreak/>
        <w:t>特别声明：</w:t>
      </w:r>
    </w:p>
    <w:p w:rsidR="00593E61" w:rsidRPr="00FC54FE" w:rsidRDefault="00593E61" w:rsidP="00220352">
      <w:pPr>
        <w:pStyle w:val="aa"/>
        <w:spacing w:beforeLines="50" w:after="312"/>
        <w:rPr>
          <w:rFonts w:ascii="楷体" w:eastAsia="楷体" w:hAnsi="楷体"/>
          <w:kern w:val="0"/>
          <w:sz w:val="21"/>
          <w:szCs w:val="20"/>
          <w:lang w:val="en-GB"/>
        </w:rPr>
      </w:pPr>
      <w:r w:rsidRPr="00FC54FE">
        <w:rPr>
          <w:rFonts w:ascii="楷体" w:eastAsia="楷体" w:hAnsi="楷体" w:hint="eastAsia"/>
          <w:kern w:val="0"/>
          <w:sz w:val="21"/>
          <w:szCs w:val="20"/>
          <w:lang w:val="en-GB"/>
        </w:rPr>
        <w:t>本报告中的所有内容版权均属上海凯石财富投资管理有限公司（以下简称“本公司”），未经本公司事先书面授权，不得以任何方式修改、发送或者复制本报告及其所包含的材料、内容。所有本报告中使用的商标、服务标记及标记均为本公司的商标、服务标记及标记。如欲引用或转载本文内容，务必联络本公司研究中心并获得许可，并需注明出处为上海凯石财富投资有限公司研究中心，且不得对本文进行任何有悖原意的引用和删改。</w:t>
      </w:r>
    </w:p>
    <w:p w:rsidR="00593E61" w:rsidRPr="00FC54FE" w:rsidRDefault="00593E61" w:rsidP="00220352">
      <w:pPr>
        <w:pStyle w:val="aa"/>
        <w:spacing w:beforeLines="50" w:after="312"/>
        <w:rPr>
          <w:rFonts w:ascii="楷体" w:eastAsia="楷体" w:hAnsi="楷体"/>
          <w:kern w:val="0"/>
          <w:sz w:val="21"/>
          <w:szCs w:val="20"/>
          <w:lang w:val="en-GB"/>
        </w:rPr>
      </w:pPr>
      <w:r w:rsidRPr="00FC54FE">
        <w:rPr>
          <w:rFonts w:ascii="楷体" w:eastAsia="楷体" w:hAnsi="楷体" w:hint="eastAsia"/>
          <w:kern w:val="0"/>
          <w:sz w:val="21"/>
          <w:szCs w:val="20"/>
          <w:lang w:val="en-GB"/>
        </w:rPr>
        <w:t>本报告是基于已公开信息撰写，其所载资料的来源及观点的出处均被本公司认为可靠，但本公司不保证其准确性或完整性。本报告所载的资料、意见及推测反映本公司于最初发布此报告日期当日的判断，其所指的基金或者其他理财产品的价格、价值及投资收入可能会波动，在不同时期，本公司可发出与本报告所载资料、意见及推测不一致的报告。</w:t>
      </w:r>
    </w:p>
    <w:p w:rsidR="00B10000" w:rsidRPr="00FC54FE" w:rsidRDefault="00593E61" w:rsidP="00220352">
      <w:pPr>
        <w:pStyle w:val="aa"/>
        <w:spacing w:beforeLines="50" w:after="312"/>
        <w:rPr>
          <w:rFonts w:ascii="楷体" w:eastAsia="楷体" w:hAnsi="楷体"/>
          <w:kern w:val="0"/>
          <w:sz w:val="21"/>
          <w:szCs w:val="20"/>
          <w:lang w:val="en-GB"/>
        </w:rPr>
      </w:pPr>
      <w:r w:rsidRPr="00FC54FE">
        <w:rPr>
          <w:rFonts w:ascii="楷体" w:eastAsia="楷体" w:hAnsi="楷体" w:hint="eastAsia"/>
          <w:kern w:val="0"/>
          <w:sz w:val="21"/>
          <w:szCs w:val="20"/>
          <w:lang w:val="en-GB"/>
        </w:rPr>
        <w:t>本报告所载的除法律或规则规定必须承担的责任外，本公司不对因使用此报告的材料而引致的损失负任何责任。本报告不构成私人咨询建议，也没有考虑到个别客户特殊的投资目标、财务状况或需要。本报告所载的资料、工具、意见及推测只提供给客户做参考之用，并未作为或被是为出售或购买其他投资标的邀请或向他人做出邀请。</w:t>
      </w:r>
    </w:p>
    <w:p w:rsidR="00B10000" w:rsidRPr="00FC54FE" w:rsidRDefault="00B10000">
      <w:pPr>
        <w:rPr>
          <w:rFonts w:ascii="楷体" w:eastAsia="楷体" w:hAnsi="楷体"/>
          <w:lang w:val="en-GB"/>
        </w:rPr>
      </w:pPr>
    </w:p>
    <w:sectPr w:rsidR="00B10000" w:rsidRPr="00FC54FE" w:rsidSect="00656031">
      <w:headerReference w:type="default" r:id="rId24"/>
      <w:footerReference w:type="default" r:id="rId25"/>
      <w:headerReference w:type="first" r:id="rId26"/>
      <w:footerReference w:type="first" r:id="rId27"/>
      <w:pgSz w:w="11906" w:h="16838"/>
      <w:pgMar w:top="1440" w:right="624" w:bottom="1440" w:left="624" w:header="850" w:footer="283" w:gutter="0"/>
      <w:cols w:space="425"/>
      <w:titlePg/>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31293" w:rsidRDefault="00B31293" w:rsidP="00B10000">
      <w:r>
        <w:separator/>
      </w:r>
    </w:p>
  </w:endnote>
  <w:endnote w:type="continuationSeparator" w:id="1">
    <w:p w:rsidR="00B31293" w:rsidRDefault="00B31293" w:rsidP="00B1000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楷体_GB2312">
    <w:altName w:val="楷体"/>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Monotype Sorts">
    <w:altName w:val="Courier New"/>
    <w:panose1 w:val="00000000000000000000"/>
    <w:charset w:val="02"/>
    <w:family w:val="auto"/>
    <w:notTrueType/>
    <w:pitch w:val="variable"/>
    <w:sig w:usb0="00000000" w:usb1="00000000" w:usb2="00000000" w:usb3="00000000" w:csb0="00000000" w:csb1="00000000"/>
  </w:font>
  <w:font w:name="Calibri">
    <w:panose1 w:val="020F0502020204030204"/>
    <w:charset w:val="00"/>
    <w:family w:val="swiss"/>
    <w:pitch w:val="variable"/>
    <w:sig w:usb0="E00002FF" w:usb1="4000ACFF" w:usb2="00000001" w:usb3="00000000" w:csb0="0000019F" w:csb1="00000000"/>
  </w:font>
  <w:font w:name="华文新魏">
    <w:panose1 w:val="02010800040101010101"/>
    <w:charset w:val="86"/>
    <w:family w:val="auto"/>
    <w:pitch w:val="variable"/>
    <w:sig w:usb0="00000001" w:usb1="080F0000" w:usb2="00000010" w:usb3="00000000" w:csb0="00040000" w:csb1="00000000"/>
  </w:font>
  <w:font w:name="华文隶书">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LucidaSans">
    <w:altName w:val="Times New Roman"/>
    <w:panose1 w:val="00000000000000000000"/>
    <w:charset w:val="00"/>
    <w:family w:val="auto"/>
    <w:notTrueType/>
    <w:pitch w:val="variable"/>
    <w:sig w:usb0="000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B80" w:rsidRDefault="00E00D7B">
    <w:pPr>
      <w:pStyle w:val="a4"/>
      <w:jc w:val="center"/>
    </w:pPr>
    <w:r>
      <w:pict>
        <v:rect id="_x0000_i1027" style="width:571.2pt;height:2pt" o:hralign="center" o:hrstd="t" o:hrnoshade="t" o:hr="t" fillcolor="#e7a631" stroked="f"/>
      </w:pict>
    </w:r>
    <w:sdt>
      <w:sdtPr>
        <w:id w:val="31118581"/>
        <w:docPartObj>
          <w:docPartGallery w:val="Page Numbers (Bottom of Page)"/>
          <w:docPartUnique/>
        </w:docPartObj>
      </w:sdtPr>
      <w:sdtContent>
        <w:sdt>
          <w:sdtPr>
            <w:id w:val="31118580"/>
            <w:docPartObj>
              <w:docPartGallery w:val="Page Numbers (Top of Page)"/>
              <w:docPartUnique/>
            </w:docPartObj>
          </w:sdtPr>
          <w:sdtContent>
            <w:r w:rsidR="00726B80">
              <w:rPr>
                <w:lang w:val="zh-CN"/>
              </w:rPr>
              <w:t xml:space="preserve"> </w:t>
            </w:r>
            <w:r>
              <w:rPr>
                <w:b/>
                <w:sz w:val="24"/>
                <w:szCs w:val="24"/>
              </w:rPr>
              <w:fldChar w:fldCharType="begin"/>
            </w:r>
            <w:r w:rsidR="00726B80">
              <w:rPr>
                <w:b/>
              </w:rPr>
              <w:instrText>PAGE</w:instrText>
            </w:r>
            <w:r>
              <w:rPr>
                <w:b/>
                <w:sz w:val="24"/>
                <w:szCs w:val="24"/>
              </w:rPr>
              <w:fldChar w:fldCharType="separate"/>
            </w:r>
            <w:r w:rsidR="00220352">
              <w:rPr>
                <w:b/>
                <w:noProof/>
              </w:rPr>
              <w:t>2</w:t>
            </w:r>
            <w:r>
              <w:rPr>
                <w:b/>
                <w:sz w:val="24"/>
                <w:szCs w:val="24"/>
              </w:rPr>
              <w:fldChar w:fldCharType="end"/>
            </w:r>
            <w:r w:rsidR="00726B80">
              <w:rPr>
                <w:lang w:val="zh-CN"/>
              </w:rPr>
              <w:t xml:space="preserve"> / </w:t>
            </w:r>
            <w:r>
              <w:rPr>
                <w:b/>
                <w:sz w:val="24"/>
                <w:szCs w:val="24"/>
              </w:rPr>
              <w:fldChar w:fldCharType="begin"/>
            </w:r>
            <w:r w:rsidR="00726B80">
              <w:rPr>
                <w:b/>
              </w:rPr>
              <w:instrText>NUMPAGES</w:instrText>
            </w:r>
            <w:r>
              <w:rPr>
                <w:b/>
                <w:sz w:val="24"/>
                <w:szCs w:val="24"/>
              </w:rPr>
              <w:fldChar w:fldCharType="separate"/>
            </w:r>
            <w:r w:rsidR="00220352">
              <w:rPr>
                <w:b/>
                <w:noProof/>
              </w:rPr>
              <w:t>10</w:t>
            </w:r>
            <w:r>
              <w:rPr>
                <w:b/>
                <w:sz w:val="24"/>
                <w:szCs w:val="24"/>
              </w:rPr>
              <w:fldChar w:fldCharType="end"/>
            </w:r>
          </w:sdtContent>
        </w:sdt>
      </w:sdtContent>
    </w:sdt>
  </w:p>
  <w:p w:rsidR="00726B80" w:rsidRDefault="00726B80">
    <w:pPr>
      <w:pStyle w:val="a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18579"/>
      <w:docPartObj>
        <w:docPartGallery w:val="Page Numbers (Bottom of Page)"/>
        <w:docPartUnique/>
      </w:docPartObj>
    </w:sdtPr>
    <w:sdtContent>
      <w:sdt>
        <w:sdtPr>
          <w:id w:val="171357217"/>
          <w:docPartObj>
            <w:docPartGallery w:val="Page Numbers (Top of Page)"/>
            <w:docPartUnique/>
          </w:docPartObj>
        </w:sdtPr>
        <w:sdtContent>
          <w:p w:rsidR="00726B80" w:rsidRDefault="00E00D7B">
            <w:pPr>
              <w:pStyle w:val="a4"/>
              <w:jc w:val="center"/>
            </w:pPr>
            <w:r>
              <w:pict>
                <v:rect id="_x0000_i1029" style="width:571.2pt;height:2pt" o:hralign="center" o:hrstd="t" o:hrnoshade="t" o:hr="t" fillcolor="#e7a631" stroked="f"/>
              </w:pict>
            </w:r>
            <w:r w:rsidR="00726B80">
              <w:rPr>
                <w:lang w:val="zh-CN"/>
              </w:rPr>
              <w:t xml:space="preserve"> </w:t>
            </w:r>
            <w:r>
              <w:rPr>
                <w:b/>
                <w:sz w:val="24"/>
                <w:szCs w:val="24"/>
              </w:rPr>
              <w:fldChar w:fldCharType="begin"/>
            </w:r>
            <w:r w:rsidR="00726B80">
              <w:rPr>
                <w:b/>
              </w:rPr>
              <w:instrText>PAGE</w:instrText>
            </w:r>
            <w:r>
              <w:rPr>
                <w:b/>
                <w:sz w:val="24"/>
                <w:szCs w:val="24"/>
              </w:rPr>
              <w:fldChar w:fldCharType="separate"/>
            </w:r>
            <w:r w:rsidR="00220352">
              <w:rPr>
                <w:b/>
                <w:noProof/>
              </w:rPr>
              <w:t>1</w:t>
            </w:r>
            <w:r>
              <w:rPr>
                <w:b/>
                <w:sz w:val="24"/>
                <w:szCs w:val="24"/>
              </w:rPr>
              <w:fldChar w:fldCharType="end"/>
            </w:r>
            <w:r w:rsidR="00726B80">
              <w:rPr>
                <w:lang w:val="zh-CN"/>
              </w:rPr>
              <w:t xml:space="preserve"> / </w:t>
            </w:r>
            <w:r>
              <w:rPr>
                <w:b/>
                <w:sz w:val="24"/>
                <w:szCs w:val="24"/>
              </w:rPr>
              <w:fldChar w:fldCharType="begin"/>
            </w:r>
            <w:r w:rsidR="00726B80">
              <w:rPr>
                <w:b/>
              </w:rPr>
              <w:instrText>NUMPAGES</w:instrText>
            </w:r>
            <w:r>
              <w:rPr>
                <w:b/>
                <w:sz w:val="24"/>
                <w:szCs w:val="24"/>
              </w:rPr>
              <w:fldChar w:fldCharType="separate"/>
            </w:r>
            <w:r w:rsidR="00220352">
              <w:rPr>
                <w:b/>
                <w:noProof/>
              </w:rPr>
              <w:t>10</w:t>
            </w:r>
            <w:r>
              <w:rPr>
                <w:b/>
                <w:sz w:val="24"/>
                <w:szCs w:val="24"/>
              </w:rPr>
              <w:fldChar w:fldCharType="end"/>
            </w:r>
          </w:p>
        </w:sdtContent>
      </w:sdt>
    </w:sdtContent>
  </w:sdt>
  <w:p w:rsidR="00726B80" w:rsidRDefault="00726B80">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31293" w:rsidRDefault="00B31293" w:rsidP="00B10000">
      <w:r>
        <w:separator/>
      </w:r>
    </w:p>
  </w:footnote>
  <w:footnote w:type="continuationSeparator" w:id="1">
    <w:p w:rsidR="00B31293" w:rsidRDefault="00B31293" w:rsidP="00B100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B80" w:rsidRDefault="00E00D7B" w:rsidP="00B10000">
    <w:pPr>
      <w:pStyle w:val="a3"/>
      <w:pBdr>
        <w:bottom w:val="none" w:sz="0" w:space="0" w:color="auto"/>
      </w:pBdr>
    </w:pPr>
    <w:r>
      <w:rPr>
        <w:noProof/>
      </w:rPr>
      <w:pict>
        <v:group id="_x0000_s2058" style="position:absolute;left:0;text-align:left;margin-left:5.2pt;margin-top:-32.25pt;width:531.2pt;height:37.5pt;z-index:251658240" coordorigin="728,206" coordsize="10624,750">
          <v:shapetype id="_x0000_t202" coordsize="21600,21600" o:spt="202" path="m,l,21600r21600,l21600,xe">
            <v:stroke joinstyle="miter"/>
            <v:path gradientshapeok="t" o:connecttype="rect"/>
          </v:shapetype>
          <v:shape id="_x0000_s2059" type="#_x0000_t202" style="position:absolute;left:728;top:206;width:1336;height:724;mso-width-relative:margin;mso-height-relative:margin" strokecolor="white">
            <v:textbox style="mso-next-textbox:#_x0000_s2059">
              <w:txbxContent>
                <w:p w:rsidR="00726B80" w:rsidRDefault="00E00D7B" w:rsidP="00B10000">
                  <w:pPr>
                    <w:pStyle w:val="12"/>
                  </w:pPr>
                  <w:r w:rsidRPr="00E00D7B">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凯石工2.jpg" style="width:45.75pt;height:32.25pt;visibility:visible">
                        <v:imagedata r:id="rId1" o:title="凯石工2"/>
                      </v:shape>
                    </w:pict>
                  </w:r>
                </w:p>
              </w:txbxContent>
            </v:textbox>
          </v:shape>
          <v:shape id="_x0000_s2060" type="#_x0000_t202" style="position:absolute;left:5999;top:542;width:5353;height:414;mso-width-relative:margin;mso-height-relative:margin" strokecolor="white">
            <v:textbox style="mso-next-textbox:#_x0000_s2060">
              <w:txbxContent>
                <w:p w:rsidR="00726B80" w:rsidRPr="006E0F3C" w:rsidRDefault="00726B80" w:rsidP="00B10000">
                  <w:pPr>
                    <w:pStyle w:val="2"/>
                  </w:pPr>
                  <w:r w:rsidRPr="006E0F3C">
                    <w:rPr>
                      <w:rFonts w:hint="eastAsia"/>
                    </w:rPr>
                    <w:t>201</w:t>
                  </w:r>
                  <w:r>
                    <w:rPr>
                      <w:rFonts w:hint="eastAsia"/>
                    </w:rPr>
                    <w:t>5</w:t>
                  </w:r>
                  <w:r w:rsidRPr="006E0F3C">
                    <w:rPr>
                      <w:rFonts w:hint="eastAsia"/>
                    </w:rPr>
                    <w:t>年</w:t>
                  </w:r>
                  <w:r>
                    <w:rPr>
                      <w:rFonts w:hint="eastAsia"/>
                    </w:rPr>
                    <w:t>QDII</w:t>
                  </w:r>
                  <w:r w:rsidRPr="006E0F3C">
                    <w:rPr>
                      <w:rFonts w:hint="eastAsia"/>
                    </w:rPr>
                    <w:t>基金投资策略</w:t>
                  </w:r>
                </w:p>
              </w:txbxContent>
            </v:textbox>
          </v:shape>
        </v:group>
      </w:pict>
    </w:r>
    <w:r>
      <w:pict>
        <v:rect id="_x0000_i1026" style="width:571.2pt;height:2pt" o:hralign="center" o:hrstd="t" o:hrnoshade="t" o:hr="t" fillcolor="#e7a631" stroked="f"/>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6B80" w:rsidRDefault="00E00D7B" w:rsidP="00220352">
    <w:pPr>
      <w:pStyle w:val="a3"/>
      <w:pBdr>
        <w:bottom w:val="none" w:sz="0" w:space="0" w:color="auto"/>
      </w:pBdr>
      <w:spacing w:afterLines="100"/>
    </w:pPr>
    <w:r>
      <w:pict>
        <v:group id="_x0000_s2049" style="width:532.6pt;height:143.7pt;mso-position-horizontal-relative:char;mso-position-vertical-relative:line" coordorigin="652,331" coordsize="10652,2874">
          <v:shapetype id="_x0000_t202" coordsize="21600,21600" o:spt="202" path="m,l,21600r21600,l21600,xe">
            <v:stroke joinstyle="miter"/>
            <v:path gradientshapeok="t" o:connecttype="rect"/>
          </v:shapetype>
          <v:shape id="_x0000_s2050" type="#_x0000_t202" style="position:absolute;left:652;top:331;width:3664;height:2430;mso-width-relative:margin;mso-height-relative:margin" strokecolor="white">
            <v:textbox style="mso-next-textbox:#_x0000_s2050">
              <w:txbxContent>
                <w:p w:rsidR="00726B80" w:rsidRDefault="00220352" w:rsidP="00B10000">
                  <w:pPr>
                    <w:pStyle w:val="a6"/>
                  </w:pPr>
                  <w:r w:rsidRPr="00E00D7B">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0" o:spid="_x0000_i1031" type="#_x0000_t75" alt="凯石工2.jpg" style="width:125.25pt;height:117.75pt;visibility:visible">
                        <v:imagedata r:id="rId1" o:title="凯石工2"/>
                      </v:shape>
                    </w:pict>
                  </w:r>
                </w:p>
              </w:txbxContent>
            </v:textbox>
          </v:shape>
          <v:shape id="_x0000_s2051" type="#_x0000_t202" style="position:absolute;left:881;top:2578;width:2325;height:390" strokecolor="white">
            <v:textbox style="mso-next-textbox:#_x0000_s2051">
              <w:txbxContent>
                <w:p w:rsidR="00726B80" w:rsidRPr="006E0F3C" w:rsidRDefault="00726B80" w:rsidP="008840A4">
                  <w:pPr>
                    <w:pStyle w:val="a5"/>
                    <w:spacing w:after="240"/>
                  </w:pPr>
                  <w:r w:rsidRPr="006E0F3C">
                    <w:rPr>
                      <w:rFonts w:hint="eastAsia"/>
                    </w:rPr>
                    <w:t>凯石工场研究报告</w:t>
                  </w:r>
                </w:p>
              </w:txbxContent>
            </v:textbox>
          </v:shape>
          <v:shape id="_x0000_s2052" type="#_x0000_t202" style="position:absolute;left:8740;top:609;width:2441;height:475;mso-height-percent:200;mso-height-percent:200;mso-width-relative:margin;mso-height-relative:margin" strokecolor="white">
            <v:textbox style="mso-next-textbox:#_x0000_s2052;mso-fit-shape-to-text:t">
              <w:txbxContent>
                <w:p w:rsidR="00726B80" w:rsidRPr="006E0F3C" w:rsidRDefault="00726B80" w:rsidP="00B10000">
                  <w:pPr>
                    <w:pStyle w:val="a7"/>
                    <w:jc w:val="right"/>
                  </w:pPr>
                  <w:r w:rsidRPr="006E0F3C">
                    <w:rPr>
                      <w:rFonts w:hint="eastAsia"/>
                    </w:rPr>
                    <w:t>201</w:t>
                  </w:r>
                  <w:r>
                    <w:rPr>
                      <w:rFonts w:hint="eastAsia"/>
                    </w:rPr>
                    <w:t>4</w:t>
                  </w:r>
                  <w:r w:rsidRPr="006E0F3C">
                    <w:rPr>
                      <w:rFonts w:hint="eastAsia"/>
                    </w:rPr>
                    <w:t>年</w:t>
                  </w:r>
                  <w:r>
                    <w:rPr>
                      <w:rFonts w:hint="eastAsia"/>
                    </w:rPr>
                    <w:t>12</w:t>
                  </w:r>
                  <w:r w:rsidRPr="006E0F3C">
                    <w:rPr>
                      <w:rFonts w:hint="eastAsia"/>
                    </w:rPr>
                    <w:t>月</w:t>
                  </w:r>
                  <w:r w:rsidR="00220352">
                    <w:rPr>
                      <w:rFonts w:hint="eastAsia"/>
                    </w:rPr>
                    <w:t>3</w:t>
                  </w:r>
                  <w:r>
                    <w:rPr>
                      <w:rFonts w:hint="eastAsia"/>
                    </w:rPr>
                    <w:t>0</w:t>
                  </w:r>
                  <w:r w:rsidRPr="006E0F3C">
                    <w:rPr>
                      <w:rFonts w:hint="eastAsia"/>
                    </w:rPr>
                    <w:t>日</w:t>
                  </w:r>
                </w:p>
              </w:txbxContent>
            </v:textbox>
          </v:shape>
          <v:shape id="_x0000_s2053" type="#_x0000_t202" style="position:absolute;left:3214;top:1377;width:8090;height:1001;mso-height-percent:200;mso-height-percent:200;mso-width-relative:margin;mso-height-relative:margin" strokecolor="white">
            <v:textbox style="mso-next-textbox:#_x0000_s2053;mso-fit-shape-to-text:t">
              <w:txbxContent>
                <w:p w:rsidR="00726B80" w:rsidRDefault="00726B80" w:rsidP="00B10000">
                  <w:pPr>
                    <w:pStyle w:val="a8"/>
                    <w:jc w:val="right"/>
                  </w:pPr>
                  <w:r>
                    <w:rPr>
                      <w:rFonts w:hint="eastAsia"/>
                    </w:rPr>
                    <w:t>2015</w:t>
                  </w:r>
                  <w:r w:rsidR="003E23F1">
                    <w:rPr>
                      <w:rFonts w:hint="eastAsia"/>
                    </w:rPr>
                    <w:t>风险与机遇交织，</w:t>
                  </w:r>
                  <w:r w:rsidR="006A13B1">
                    <w:rPr>
                      <w:rFonts w:hint="eastAsia"/>
                    </w:rPr>
                    <w:t>主打</w:t>
                  </w:r>
                  <w:r w:rsidR="003E23F1">
                    <w:rPr>
                      <w:rFonts w:hint="eastAsia"/>
                    </w:rPr>
                    <w:t>港股把握阶段行情</w:t>
                  </w:r>
                </w:p>
                <w:p w:rsidR="00726B80" w:rsidRPr="00624366" w:rsidRDefault="00726B80" w:rsidP="00B10000">
                  <w:pPr>
                    <w:pStyle w:val="a8"/>
                    <w:jc w:val="right"/>
                    <w:rPr>
                      <w:sz w:val="28"/>
                      <w:szCs w:val="28"/>
                    </w:rPr>
                  </w:pPr>
                  <w:r>
                    <w:rPr>
                      <w:rFonts w:hint="eastAsia"/>
                      <w:sz w:val="28"/>
                      <w:szCs w:val="28"/>
                    </w:rPr>
                    <w:t>2015</w:t>
                  </w:r>
                  <w:r w:rsidRPr="0024360F">
                    <w:rPr>
                      <w:rFonts w:hint="eastAsia"/>
                      <w:sz w:val="28"/>
                      <w:szCs w:val="28"/>
                    </w:rPr>
                    <w:t>年QDII基金投资策略</w:t>
                  </w:r>
                </w:p>
              </w:txbxContent>
            </v:textbox>
          </v:shape>
          <v:shape id="_x0000_s2054" type="#_x0000_t202" style="position:absolute;left:3246;top:2578;width:7993;height:627" strokecolor="white">
            <v:textbox style="mso-next-textbox:#_x0000_s2054">
              <w:txbxContent>
                <w:p w:rsidR="00726B80" w:rsidRPr="006E0F3C" w:rsidRDefault="00726B80" w:rsidP="00923EFC">
                  <w:pPr>
                    <w:pStyle w:val="a9"/>
                  </w:pPr>
                  <w:r>
                    <w:rPr>
                      <w:rFonts w:hint="eastAsia"/>
                    </w:rPr>
                    <w:t>杨舒</w:t>
                  </w:r>
                  <w:r w:rsidRPr="006E0F3C">
                    <w:rPr>
                      <w:rFonts w:hint="eastAsia"/>
                    </w:rPr>
                    <w:t xml:space="preserve"> </w:t>
                  </w:r>
                  <w:r>
                    <w:rPr>
                      <w:rFonts w:hint="eastAsia"/>
                    </w:rPr>
                    <w:t>高级</w:t>
                  </w:r>
                  <w:r w:rsidRPr="006E0F3C">
                    <w:rPr>
                      <w:rFonts w:hint="eastAsia"/>
                    </w:rPr>
                    <w:t>分析师</w:t>
                  </w:r>
                </w:p>
              </w:txbxContent>
            </v:textbox>
          </v:shape>
          <w10:wrap type="none"/>
          <w10:anchorlock/>
        </v:group>
      </w:pict>
    </w:r>
    <w:r>
      <w:pict>
        <v:rect id="_x0000_i1028" style="width:571.2pt;height:2pt" o:hralign="center" o:hrstd="t" o:hrnoshade="t" o:hr="t" fillcolor="#e7a631" stroked="f"/>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014C42"/>
    <w:multiLevelType w:val="singleLevel"/>
    <w:tmpl w:val="B4861D4C"/>
    <w:lvl w:ilvl="0">
      <w:start w:val="1"/>
      <w:numFmt w:val="bullet"/>
      <w:pStyle w:val="CoverBullet"/>
      <w:lvlText w:val=""/>
      <w:lvlJc w:val="left"/>
      <w:pPr>
        <w:tabs>
          <w:tab w:val="num" w:pos="360"/>
        </w:tabs>
        <w:ind w:left="360" w:hanging="360"/>
      </w:pPr>
      <w:rPr>
        <w:rFonts w:ascii="Wingdings" w:hAnsi="Wingdings" w:cs="Times New Roman" w:hint="default"/>
        <w:color w:val="FF0000"/>
        <w:sz w:val="20"/>
        <w:szCs w:val="20"/>
      </w:rPr>
    </w:lvl>
  </w:abstractNum>
  <w:abstractNum w:abstractNumId="1">
    <w:nsid w:val="492C6DD3"/>
    <w:multiLevelType w:val="hybridMultilevel"/>
    <w:tmpl w:val="6B68E90C"/>
    <w:lvl w:ilvl="0" w:tplc="A1E68908">
      <w:start w:val="1"/>
      <w:numFmt w:val="bullet"/>
      <w:lvlText w:val=""/>
      <w:lvlJc w:val="left"/>
      <w:pPr>
        <w:tabs>
          <w:tab w:val="num" w:pos="4329"/>
        </w:tabs>
        <w:ind w:left="3969" w:firstLine="0"/>
      </w:pPr>
      <w:rPr>
        <w:rFonts w:hint="default"/>
        <w:b w:val="0"/>
        <w:i w:val="0"/>
        <w:color w:val="000565"/>
        <w:sz w:val="18"/>
      </w:rPr>
    </w:lvl>
    <w:lvl w:ilvl="1" w:tplc="04090003">
      <w:start w:val="1"/>
      <w:numFmt w:val="bullet"/>
      <w:lvlText w:val=""/>
      <w:lvlJc w:val="left"/>
      <w:pPr>
        <w:tabs>
          <w:tab w:val="num" w:pos="4242"/>
        </w:tabs>
        <w:ind w:left="4242" w:hanging="420"/>
      </w:pPr>
      <w:rPr>
        <w:rFonts w:ascii="Wingdings" w:hAnsi="Wingdings" w:hint="default"/>
      </w:rPr>
    </w:lvl>
    <w:lvl w:ilvl="2" w:tplc="04090005">
      <w:start w:val="1"/>
      <w:numFmt w:val="bullet"/>
      <w:lvlText w:val=""/>
      <w:lvlJc w:val="left"/>
      <w:pPr>
        <w:tabs>
          <w:tab w:val="num" w:pos="4662"/>
        </w:tabs>
        <w:ind w:left="4662" w:hanging="420"/>
      </w:pPr>
      <w:rPr>
        <w:rFonts w:ascii="Wingdings" w:hAnsi="Wingdings" w:hint="default"/>
      </w:rPr>
    </w:lvl>
    <w:lvl w:ilvl="3" w:tplc="04090001">
      <w:start w:val="1"/>
      <w:numFmt w:val="bullet"/>
      <w:lvlText w:val=""/>
      <w:lvlJc w:val="left"/>
      <w:pPr>
        <w:tabs>
          <w:tab w:val="num" w:pos="5082"/>
        </w:tabs>
        <w:ind w:left="5082" w:hanging="420"/>
      </w:pPr>
      <w:rPr>
        <w:rFonts w:ascii="Wingdings" w:hAnsi="Wingdings" w:hint="default"/>
      </w:rPr>
    </w:lvl>
    <w:lvl w:ilvl="4" w:tplc="AC7CA5DC">
      <w:start w:val="1"/>
      <w:numFmt w:val="bullet"/>
      <w:lvlText w:val=""/>
      <w:lvlJc w:val="left"/>
      <w:pPr>
        <w:tabs>
          <w:tab w:val="num" w:pos="3799"/>
        </w:tabs>
        <w:ind w:left="3799" w:hanging="369"/>
      </w:pPr>
      <w:rPr>
        <w:rFonts w:ascii="Wingdings" w:eastAsia="楷体_GB2312" w:hAnsi="Wingdings" w:hint="default"/>
        <w:b w:val="0"/>
        <w:i w:val="0"/>
        <w:color w:val="auto"/>
        <w:sz w:val="18"/>
      </w:rPr>
    </w:lvl>
    <w:lvl w:ilvl="5" w:tplc="04090005">
      <w:start w:val="1"/>
      <w:numFmt w:val="bullet"/>
      <w:lvlText w:val=""/>
      <w:lvlJc w:val="left"/>
      <w:pPr>
        <w:tabs>
          <w:tab w:val="num" w:pos="5922"/>
        </w:tabs>
        <w:ind w:left="5922" w:hanging="420"/>
      </w:pPr>
      <w:rPr>
        <w:rFonts w:ascii="Wingdings" w:hAnsi="Wingdings" w:hint="default"/>
      </w:rPr>
    </w:lvl>
    <w:lvl w:ilvl="6" w:tplc="04090001" w:tentative="1">
      <w:start w:val="1"/>
      <w:numFmt w:val="bullet"/>
      <w:lvlText w:val=""/>
      <w:lvlJc w:val="left"/>
      <w:pPr>
        <w:tabs>
          <w:tab w:val="num" w:pos="6342"/>
        </w:tabs>
        <w:ind w:left="6342" w:hanging="420"/>
      </w:pPr>
      <w:rPr>
        <w:rFonts w:ascii="Wingdings" w:hAnsi="Wingdings" w:hint="default"/>
      </w:rPr>
    </w:lvl>
    <w:lvl w:ilvl="7" w:tplc="04090003">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2">
    <w:nsid w:val="5E8271C1"/>
    <w:multiLevelType w:val="hybridMultilevel"/>
    <w:tmpl w:val="6B68E90C"/>
    <w:lvl w:ilvl="0" w:tplc="A1E68908">
      <w:start w:val="1"/>
      <w:numFmt w:val="bullet"/>
      <w:lvlText w:val=""/>
      <w:lvlJc w:val="left"/>
      <w:pPr>
        <w:tabs>
          <w:tab w:val="num" w:pos="4329"/>
        </w:tabs>
        <w:ind w:left="3969" w:firstLine="0"/>
      </w:pPr>
      <w:rPr>
        <w:rFonts w:hint="default"/>
        <w:b w:val="0"/>
        <w:i w:val="0"/>
        <w:color w:val="000565"/>
        <w:sz w:val="18"/>
      </w:rPr>
    </w:lvl>
    <w:lvl w:ilvl="1" w:tplc="04090003">
      <w:start w:val="1"/>
      <w:numFmt w:val="bullet"/>
      <w:lvlText w:val=""/>
      <w:lvlJc w:val="left"/>
      <w:pPr>
        <w:tabs>
          <w:tab w:val="num" w:pos="4242"/>
        </w:tabs>
        <w:ind w:left="4242" w:hanging="420"/>
      </w:pPr>
      <w:rPr>
        <w:rFonts w:ascii="Wingdings" w:hAnsi="Wingdings" w:hint="default"/>
      </w:rPr>
    </w:lvl>
    <w:lvl w:ilvl="2" w:tplc="04090005">
      <w:start w:val="1"/>
      <w:numFmt w:val="bullet"/>
      <w:lvlText w:val=""/>
      <w:lvlJc w:val="left"/>
      <w:pPr>
        <w:tabs>
          <w:tab w:val="num" w:pos="4662"/>
        </w:tabs>
        <w:ind w:left="4662" w:hanging="420"/>
      </w:pPr>
      <w:rPr>
        <w:rFonts w:ascii="Wingdings" w:hAnsi="Wingdings" w:hint="default"/>
      </w:rPr>
    </w:lvl>
    <w:lvl w:ilvl="3" w:tplc="04090001">
      <w:start w:val="1"/>
      <w:numFmt w:val="bullet"/>
      <w:lvlText w:val=""/>
      <w:lvlJc w:val="left"/>
      <w:pPr>
        <w:tabs>
          <w:tab w:val="num" w:pos="5082"/>
        </w:tabs>
        <w:ind w:left="5082" w:hanging="420"/>
      </w:pPr>
      <w:rPr>
        <w:rFonts w:ascii="Wingdings" w:hAnsi="Wingdings" w:hint="default"/>
      </w:rPr>
    </w:lvl>
    <w:lvl w:ilvl="4" w:tplc="31DAFFE0">
      <w:start w:val="1"/>
      <w:numFmt w:val="bullet"/>
      <w:lvlText w:val=""/>
      <w:lvlJc w:val="left"/>
      <w:pPr>
        <w:tabs>
          <w:tab w:val="num" w:pos="3649"/>
        </w:tabs>
        <w:ind w:left="3289" w:firstLine="0"/>
      </w:pPr>
      <w:rPr>
        <w:rFonts w:ascii="Wingdings" w:eastAsia="宋体" w:hAnsi="Wingdings" w:hint="default"/>
        <w:b w:val="0"/>
        <w:i w:val="0"/>
        <w:color w:val="000565"/>
        <w:sz w:val="18"/>
      </w:rPr>
    </w:lvl>
    <w:lvl w:ilvl="5" w:tplc="DDC8F30C">
      <w:start w:val="1"/>
      <w:numFmt w:val="bullet"/>
      <w:lvlText w:val=""/>
      <w:lvlJc w:val="left"/>
      <w:pPr>
        <w:tabs>
          <w:tab w:val="num" w:pos="4139"/>
        </w:tabs>
        <w:ind w:left="4139" w:hanging="368"/>
      </w:pPr>
      <w:rPr>
        <w:rFonts w:ascii="Wingdings 2" w:eastAsia="楷体_GB2312" w:hAnsi="Wingdings 2" w:hint="default"/>
        <w:b w:val="0"/>
        <w:i w:val="0"/>
        <w:sz w:val="18"/>
      </w:rPr>
    </w:lvl>
    <w:lvl w:ilvl="6" w:tplc="04090001" w:tentative="1">
      <w:start w:val="1"/>
      <w:numFmt w:val="bullet"/>
      <w:lvlText w:val=""/>
      <w:lvlJc w:val="left"/>
      <w:pPr>
        <w:tabs>
          <w:tab w:val="num" w:pos="6342"/>
        </w:tabs>
        <w:ind w:left="6342" w:hanging="420"/>
      </w:pPr>
      <w:rPr>
        <w:rFonts w:ascii="Wingdings" w:hAnsi="Wingdings" w:hint="default"/>
      </w:rPr>
    </w:lvl>
    <w:lvl w:ilvl="7" w:tplc="04090003" w:tentative="1">
      <w:start w:val="1"/>
      <w:numFmt w:val="bullet"/>
      <w:lvlText w:val=""/>
      <w:lvlJc w:val="left"/>
      <w:pPr>
        <w:tabs>
          <w:tab w:val="num" w:pos="6762"/>
        </w:tabs>
        <w:ind w:left="6762" w:hanging="420"/>
      </w:pPr>
      <w:rPr>
        <w:rFonts w:ascii="Wingdings" w:hAnsi="Wingdings" w:hint="default"/>
      </w:rPr>
    </w:lvl>
    <w:lvl w:ilvl="8" w:tplc="04090005" w:tentative="1">
      <w:start w:val="1"/>
      <w:numFmt w:val="bullet"/>
      <w:lvlText w:val=""/>
      <w:lvlJc w:val="left"/>
      <w:pPr>
        <w:tabs>
          <w:tab w:val="num" w:pos="7182"/>
        </w:tabs>
        <w:ind w:left="7182" w:hanging="420"/>
      </w:pPr>
      <w:rPr>
        <w:rFonts w:ascii="Wingdings" w:hAnsi="Wingdings" w:hint="default"/>
      </w:rPr>
    </w:lvl>
  </w:abstractNum>
  <w:abstractNum w:abstractNumId="3">
    <w:nsid w:val="66145FDE"/>
    <w:multiLevelType w:val="singleLevel"/>
    <w:tmpl w:val="918C41C0"/>
    <w:lvl w:ilvl="0">
      <w:start w:val="1"/>
      <w:numFmt w:val="bullet"/>
      <w:pStyle w:val="BulletCoverpage"/>
      <w:lvlText w:val=""/>
      <w:lvlJc w:val="left"/>
      <w:pPr>
        <w:tabs>
          <w:tab w:val="num" w:pos="0"/>
        </w:tabs>
        <w:ind w:left="227" w:hanging="227"/>
      </w:pPr>
      <w:rPr>
        <w:rFonts w:ascii="Monotype Sorts" w:hAnsi="Monotype Sorts" w:cs="Times New Roman" w:hint="default"/>
        <w:color w:val="FF0000"/>
        <w:sz w:val="16"/>
        <w:szCs w:val="16"/>
      </w:rPr>
    </w:lvl>
  </w:abstractNum>
  <w:num w:numId="1">
    <w:abstractNumId w:val="1"/>
  </w:num>
  <w:num w:numId="2">
    <w:abstractNumId w:val="2"/>
  </w:num>
  <w:num w:numId="3">
    <w:abstractNumId w:val="0"/>
  </w:num>
  <w:num w:numId="4">
    <w:abstractNumId w:val="3"/>
  </w:num>
  <w:num w:numId="5">
    <w:abstractNumId w:val="1"/>
  </w:num>
  <w:num w:numId="6">
    <w:abstractNumId w:val="1"/>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7">
    <w:abstractNumId w:val="1"/>
  </w:num>
  <w:num w:numId="8">
    <w:abstractNumId w:val="1"/>
  </w:num>
  <w:num w:numId="9">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104450"/>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B10000"/>
    <w:rsid w:val="00001113"/>
    <w:rsid w:val="00001134"/>
    <w:rsid w:val="00001D5C"/>
    <w:rsid w:val="00002264"/>
    <w:rsid w:val="0000342C"/>
    <w:rsid w:val="00004C89"/>
    <w:rsid w:val="00004C9F"/>
    <w:rsid w:val="000054B5"/>
    <w:rsid w:val="00007092"/>
    <w:rsid w:val="00007DF1"/>
    <w:rsid w:val="000106BD"/>
    <w:rsid w:val="0001250E"/>
    <w:rsid w:val="000151D6"/>
    <w:rsid w:val="00016238"/>
    <w:rsid w:val="00016A81"/>
    <w:rsid w:val="00016E71"/>
    <w:rsid w:val="00017187"/>
    <w:rsid w:val="00017BB7"/>
    <w:rsid w:val="000206B4"/>
    <w:rsid w:val="00022211"/>
    <w:rsid w:val="0002375C"/>
    <w:rsid w:val="00023796"/>
    <w:rsid w:val="00024678"/>
    <w:rsid w:val="0002559B"/>
    <w:rsid w:val="00026E09"/>
    <w:rsid w:val="000275D4"/>
    <w:rsid w:val="000278A3"/>
    <w:rsid w:val="0003001E"/>
    <w:rsid w:val="000305E0"/>
    <w:rsid w:val="000306ED"/>
    <w:rsid w:val="00030C1A"/>
    <w:rsid w:val="0003225B"/>
    <w:rsid w:val="00032C05"/>
    <w:rsid w:val="00032E10"/>
    <w:rsid w:val="00032FF0"/>
    <w:rsid w:val="0003322B"/>
    <w:rsid w:val="000333AF"/>
    <w:rsid w:val="00034C20"/>
    <w:rsid w:val="00034E38"/>
    <w:rsid w:val="00037334"/>
    <w:rsid w:val="00040949"/>
    <w:rsid w:val="000411B5"/>
    <w:rsid w:val="000413E7"/>
    <w:rsid w:val="00042188"/>
    <w:rsid w:val="000423F9"/>
    <w:rsid w:val="00042C1A"/>
    <w:rsid w:val="000432C9"/>
    <w:rsid w:val="000438EE"/>
    <w:rsid w:val="00044305"/>
    <w:rsid w:val="00044596"/>
    <w:rsid w:val="00044F19"/>
    <w:rsid w:val="0004511C"/>
    <w:rsid w:val="00045244"/>
    <w:rsid w:val="0004630C"/>
    <w:rsid w:val="00046CBC"/>
    <w:rsid w:val="00050D29"/>
    <w:rsid w:val="00051714"/>
    <w:rsid w:val="0005207E"/>
    <w:rsid w:val="000523A8"/>
    <w:rsid w:val="000525A1"/>
    <w:rsid w:val="00052FAC"/>
    <w:rsid w:val="00053302"/>
    <w:rsid w:val="00053B0E"/>
    <w:rsid w:val="00053B64"/>
    <w:rsid w:val="000548FB"/>
    <w:rsid w:val="00054B0F"/>
    <w:rsid w:val="000577B1"/>
    <w:rsid w:val="00057A76"/>
    <w:rsid w:val="000602EC"/>
    <w:rsid w:val="0006107F"/>
    <w:rsid w:val="000612DF"/>
    <w:rsid w:val="00061495"/>
    <w:rsid w:val="00061CAE"/>
    <w:rsid w:val="0006213B"/>
    <w:rsid w:val="00064244"/>
    <w:rsid w:val="000660CC"/>
    <w:rsid w:val="00066C0B"/>
    <w:rsid w:val="00067D7C"/>
    <w:rsid w:val="000701D9"/>
    <w:rsid w:val="00071544"/>
    <w:rsid w:val="00071838"/>
    <w:rsid w:val="00071EEE"/>
    <w:rsid w:val="000723B5"/>
    <w:rsid w:val="0007378F"/>
    <w:rsid w:val="00075461"/>
    <w:rsid w:val="000779ED"/>
    <w:rsid w:val="00077CD2"/>
    <w:rsid w:val="0008017C"/>
    <w:rsid w:val="00080A45"/>
    <w:rsid w:val="00081329"/>
    <w:rsid w:val="000816CD"/>
    <w:rsid w:val="00082426"/>
    <w:rsid w:val="00082FD9"/>
    <w:rsid w:val="00083342"/>
    <w:rsid w:val="00084963"/>
    <w:rsid w:val="00084F1F"/>
    <w:rsid w:val="000851DA"/>
    <w:rsid w:val="00085288"/>
    <w:rsid w:val="000855DD"/>
    <w:rsid w:val="00085CC2"/>
    <w:rsid w:val="00085D22"/>
    <w:rsid w:val="00086CA1"/>
    <w:rsid w:val="0008709B"/>
    <w:rsid w:val="00087BA6"/>
    <w:rsid w:val="0009278A"/>
    <w:rsid w:val="000927EA"/>
    <w:rsid w:val="00092843"/>
    <w:rsid w:val="00092A2F"/>
    <w:rsid w:val="00093196"/>
    <w:rsid w:val="00093CC4"/>
    <w:rsid w:val="00094002"/>
    <w:rsid w:val="00094A05"/>
    <w:rsid w:val="000951E4"/>
    <w:rsid w:val="00095FCF"/>
    <w:rsid w:val="00096930"/>
    <w:rsid w:val="00096B7C"/>
    <w:rsid w:val="0009792D"/>
    <w:rsid w:val="000A1EF9"/>
    <w:rsid w:val="000A2A98"/>
    <w:rsid w:val="000A3446"/>
    <w:rsid w:val="000A3F69"/>
    <w:rsid w:val="000A4368"/>
    <w:rsid w:val="000A49C0"/>
    <w:rsid w:val="000A5E63"/>
    <w:rsid w:val="000A70F6"/>
    <w:rsid w:val="000A7210"/>
    <w:rsid w:val="000B0CA4"/>
    <w:rsid w:val="000B0DE7"/>
    <w:rsid w:val="000B224E"/>
    <w:rsid w:val="000B48DA"/>
    <w:rsid w:val="000B48EC"/>
    <w:rsid w:val="000B4F6C"/>
    <w:rsid w:val="000B52E7"/>
    <w:rsid w:val="000B5339"/>
    <w:rsid w:val="000B53E7"/>
    <w:rsid w:val="000B5ED0"/>
    <w:rsid w:val="000B66DD"/>
    <w:rsid w:val="000B6C23"/>
    <w:rsid w:val="000C00E7"/>
    <w:rsid w:val="000C05DB"/>
    <w:rsid w:val="000C101D"/>
    <w:rsid w:val="000C1661"/>
    <w:rsid w:val="000C17E3"/>
    <w:rsid w:val="000C188B"/>
    <w:rsid w:val="000C1903"/>
    <w:rsid w:val="000C1B4D"/>
    <w:rsid w:val="000C2AFE"/>
    <w:rsid w:val="000C2BF6"/>
    <w:rsid w:val="000C2D96"/>
    <w:rsid w:val="000C6264"/>
    <w:rsid w:val="000C65D7"/>
    <w:rsid w:val="000D1663"/>
    <w:rsid w:val="000D255F"/>
    <w:rsid w:val="000D4D06"/>
    <w:rsid w:val="000D54AA"/>
    <w:rsid w:val="000D619B"/>
    <w:rsid w:val="000D6608"/>
    <w:rsid w:val="000D6DFB"/>
    <w:rsid w:val="000D7555"/>
    <w:rsid w:val="000E001B"/>
    <w:rsid w:val="000E22AC"/>
    <w:rsid w:val="000E39A7"/>
    <w:rsid w:val="000E3E62"/>
    <w:rsid w:val="000E4347"/>
    <w:rsid w:val="000E43E1"/>
    <w:rsid w:val="000E4F92"/>
    <w:rsid w:val="000E57CE"/>
    <w:rsid w:val="000E5F4B"/>
    <w:rsid w:val="000E60B0"/>
    <w:rsid w:val="000E63CE"/>
    <w:rsid w:val="000E654D"/>
    <w:rsid w:val="000E6595"/>
    <w:rsid w:val="000E6676"/>
    <w:rsid w:val="000F0909"/>
    <w:rsid w:val="000F0E85"/>
    <w:rsid w:val="000F1B1F"/>
    <w:rsid w:val="000F2323"/>
    <w:rsid w:val="000F56DC"/>
    <w:rsid w:val="000F5835"/>
    <w:rsid w:val="000F61AF"/>
    <w:rsid w:val="000F6AC7"/>
    <w:rsid w:val="000F6F13"/>
    <w:rsid w:val="000F7944"/>
    <w:rsid w:val="000F7AB0"/>
    <w:rsid w:val="000F7C30"/>
    <w:rsid w:val="001004C6"/>
    <w:rsid w:val="00101225"/>
    <w:rsid w:val="00101AC8"/>
    <w:rsid w:val="00101B41"/>
    <w:rsid w:val="00102576"/>
    <w:rsid w:val="0010356F"/>
    <w:rsid w:val="00103DC8"/>
    <w:rsid w:val="00103F83"/>
    <w:rsid w:val="001048EB"/>
    <w:rsid w:val="00105074"/>
    <w:rsid w:val="00105AEF"/>
    <w:rsid w:val="00105DEB"/>
    <w:rsid w:val="00106473"/>
    <w:rsid w:val="00107299"/>
    <w:rsid w:val="001102C7"/>
    <w:rsid w:val="0011084D"/>
    <w:rsid w:val="00111800"/>
    <w:rsid w:val="00111A39"/>
    <w:rsid w:val="001122C1"/>
    <w:rsid w:val="001129A7"/>
    <w:rsid w:val="00112A22"/>
    <w:rsid w:val="00113573"/>
    <w:rsid w:val="00114518"/>
    <w:rsid w:val="00115DD5"/>
    <w:rsid w:val="00115E2F"/>
    <w:rsid w:val="001160EB"/>
    <w:rsid w:val="0011699E"/>
    <w:rsid w:val="00116CE6"/>
    <w:rsid w:val="00117EC2"/>
    <w:rsid w:val="001213BD"/>
    <w:rsid w:val="0012141F"/>
    <w:rsid w:val="0012167F"/>
    <w:rsid w:val="0012463C"/>
    <w:rsid w:val="00124F07"/>
    <w:rsid w:val="001259C8"/>
    <w:rsid w:val="00125F8E"/>
    <w:rsid w:val="00126DDF"/>
    <w:rsid w:val="00130CA5"/>
    <w:rsid w:val="001312F5"/>
    <w:rsid w:val="00131ACF"/>
    <w:rsid w:val="00132468"/>
    <w:rsid w:val="00133243"/>
    <w:rsid w:val="00133CA1"/>
    <w:rsid w:val="00134CA7"/>
    <w:rsid w:val="00135124"/>
    <w:rsid w:val="00136012"/>
    <w:rsid w:val="001365A6"/>
    <w:rsid w:val="001375D6"/>
    <w:rsid w:val="00137B3F"/>
    <w:rsid w:val="001410E9"/>
    <w:rsid w:val="00144127"/>
    <w:rsid w:val="0014424F"/>
    <w:rsid w:val="001452B9"/>
    <w:rsid w:val="0014766F"/>
    <w:rsid w:val="001476B0"/>
    <w:rsid w:val="0015030D"/>
    <w:rsid w:val="001507E1"/>
    <w:rsid w:val="001547D4"/>
    <w:rsid w:val="00155001"/>
    <w:rsid w:val="001558A1"/>
    <w:rsid w:val="00155C41"/>
    <w:rsid w:val="00157B31"/>
    <w:rsid w:val="001602CB"/>
    <w:rsid w:val="001604FB"/>
    <w:rsid w:val="0016073A"/>
    <w:rsid w:val="001607D5"/>
    <w:rsid w:val="00160E91"/>
    <w:rsid w:val="00161EF2"/>
    <w:rsid w:val="00161FDF"/>
    <w:rsid w:val="0016231C"/>
    <w:rsid w:val="00166B49"/>
    <w:rsid w:val="00170096"/>
    <w:rsid w:val="001710A3"/>
    <w:rsid w:val="00171E7C"/>
    <w:rsid w:val="00172285"/>
    <w:rsid w:val="00173423"/>
    <w:rsid w:val="00175064"/>
    <w:rsid w:val="001771A2"/>
    <w:rsid w:val="00180629"/>
    <w:rsid w:val="00181C17"/>
    <w:rsid w:val="00181F3E"/>
    <w:rsid w:val="00182DB8"/>
    <w:rsid w:val="00182FC7"/>
    <w:rsid w:val="0018379B"/>
    <w:rsid w:val="00183EE1"/>
    <w:rsid w:val="0018437B"/>
    <w:rsid w:val="00185269"/>
    <w:rsid w:val="001854D5"/>
    <w:rsid w:val="001861F2"/>
    <w:rsid w:val="00186A81"/>
    <w:rsid w:val="0018765E"/>
    <w:rsid w:val="00187AEB"/>
    <w:rsid w:val="00191C07"/>
    <w:rsid w:val="00192ECE"/>
    <w:rsid w:val="00193C25"/>
    <w:rsid w:val="00194054"/>
    <w:rsid w:val="001940C0"/>
    <w:rsid w:val="00196353"/>
    <w:rsid w:val="001967DF"/>
    <w:rsid w:val="001A09F5"/>
    <w:rsid w:val="001A1BFB"/>
    <w:rsid w:val="001A389A"/>
    <w:rsid w:val="001A4126"/>
    <w:rsid w:val="001A4B1F"/>
    <w:rsid w:val="001A5408"/>
    <w:rsid w:val="001A5D15"/>
    <w:rsid w:val="001A674F"/>
    <w:rsid w:val="001A684C"/>
    <w:rsid w:val="001A6932"/>
    <w:rsid w:val="001A69EA"/>
    <w:rsid w:val="001A7688"/>
    <w:rsid w:val="001A7AA3"/>
    <w:rsid w:val="001B0246"/>
    <w:rsid w:val="001B1609"/>
    <w:rsid w:val="001B3F49"/>
    <w:rsid w:val="001B40F7"/>
    <w:rsid w:val="001B43FA"/>
    <w:rsid w:val="001B538F"/>
    <w:rsid w:val="001B57EE"/>
    <w:rsid w:val="001B6745"/>
    <w:rsid w:val="001B6F74"/>
    <w:rsid w:val="001B7CE9"/>
    <w:rsid w:val="001C0CF7"/>
    <w:rsid w:val="001C3544"/>
    <w:rsid w:val="001C3E93"/>
    <w:rsid w:val="001C44EB"/>
    <w:rsid w:val="001C4BEA"/>
    <w:rsid w:val="001C57D8"/>
    <w:rsid w:val="001C5CFB"/>
    <w:rsid w:val="001C5DBE"/>
    <w:rsid w:val="001C6281"/>
    <w:rsid w:val="001C675B"/>
    <w:rsid w:val="001C6E8C"/>
    <w:rsid w:val="001C73E7"/>
    <w:rsid w:val="001C7B3E"/>
    <w:rsid w:val="001C7FE8"/>
    <w:rsid w:val="001D000D"/>
    <w:rsid w:val="001D00D7"/>
    <w:rsid w:val="001D0A21"/>
    <w:rsid w:val="001D109E"/>
    <w:rsid w:val="001D25E4"/>
    <w:rsid w:val="001D36B6"/>
    <w:rsid w:val="001D3C19"/>
    <w:rsid w:val="001D4267"/>
    <w:rsid w:val="001D504E"/>
    <w:rsid w:val="001D5D6A"/>
    <w:rsid w:val="001D7053"/>
    <w:rsid w:val="001D7EE7"/>
    <w:rsid w:val="001D7F5D"/>
    <w:rsid w:val="001E1253"/>
    <w:rsid w:val="001E3EE9"/>
    <w:rsid w:val="001E3EEC"/>
    <w:rsid w:val="001E40D5"/>
    <w:rsid w:val="001E4787"/>
    <w:rsid w:val="001E60C8"/>
    <w:rsid w:val="001E61F8"/>
    <w:rsid w:val="001E7636"/>
    <w:rsid w:val="001E7A80"/>
    <w:rsid w:val="001E7DDC"/>
    <w:rsid w:val="001F0B14"/>
    <w:rsid w:val="001F0E37"/>
    <w:rsid w:val="001F1796"/>
    <w:rsid w:val="001F42E5"/>
    <w:rsid w:val="001F4858"/>
    <w:rsid w:val="001F5E3D"/>
    <w:rsid w:val="001F643C"/>
    <w:rsid w:val="001F6E9C"/>
    <w:rsid w:val="001F7132"/>
    <w:rsid w:val="001F730C"/>
    <w:rsid w:val="00200004"/>
    <w:rsid w:val="002011BF"/>
    <w:rsid w:val="00201653"/>
    <w:rsid w:val="00202496"/>
    <w:rsid w:val="00202C2B"/>
    <w:rsid w:val="00202D6B"/>
    <w:rsid w:val="002033B2"/>
    <w:rsid w:val="00204069"/>
    <w:rsid w:val="002040AE"/>
    <w:rsid w:val="00204D26"/>
    <w:rsid w:val="00205B2F"/>
    <w:rsid w:val="00206284"/>
    <w:rsid w:val="002077C9"/>
    <w:rsid w:val="00210515"/>
    <w:rsid w:val="002110BC"/>
    <w:rsid w:val="002136A9"/>
    <w:rsid w:val="00214281"/>
    <w:rsid w:val="0021476C"/>
    <w:rsid w:val="00215001"/>
    <w:rsid w:val="0021759F"/>
    <w:rsid w:val="00220352"/>
    <w:rsid w:val="00220991"/>
    <w:rsid w:val="00222885"/>
    <w:rsid w:val="002231FF"/>
    <w:rsid w:val="00223CE2"/>
    <w:rsid w:val="00226E48"/>
    <w:rsid w:val="0022712C"/>
    <w:rsid w:val="002303BD"/>
    <w:rsid w:val="00230888"/>
    <w:rsid w:val="00231106"/>
    <w:rsid w:val="00231667"/>
    <w:rsid w:val="00231F40"/>
    <w:rsid w:val="00231FBD"/>
    <w:rsid w:val="002322C7"/>
    <w:rsid w:val="002336A7"/>
    <w:rsid w:val="00234872"/>
    <w:rsid w:val="00235F70"/>
    <w:rsid w:val="0023647E"/>
    <w:rsid w:val="002364F4"/>
    <w:rsid w:val="00236AA9"/>
    <w:rsid w:val="00236D45"/>
    <w:rsid w:val="002409A7"/>
    <w:rsid w:val="0024326E"/>
    <w:rsid w:val="0024360F"/>
    <w:rsid w:val="00243A02"/>
    <w:rsid w:val="00245441"/>
    <w:rsid w:val="00246EDF"/>
    <w:rsid w:val="00247B48"/>
    <w:rsid w:val="002512B4"/>
    <w:rsid w:val="00251BD8"/>
    <w:rsid w:val="002523D0"/>
    <w:rsid w:val="002531ED"/>
    <w:rsid w:val="00253DAE"/>
    <w:rsid w:val="00254208"/>
    <w:rsid w:val="002547C3"/>
    <w:rsid w:val="002549CE"/>
    <w:rsid w:val="00254E39"/>
    <w:rsid w:val="0025635B"/>
    <w:rsid w:val="00256A3A"/>
    <w:rsid w:val="002571C5"/>
    <w:rsid w:val="00257E61"/>
    <w:rsid w:val="0026039C"/>
    <w:rsid w:val="00260BFA"/>
    <w:rsid w:val="002630FB"/>
    <w:rsid w:val="002654B1"/>
    <w:rsid w:val="00270317"/>
    <w:rsid w:val="00270A60"/>
    <w:rsid w:val="0027132E"/>
    <w:rsid w:val="00271636"/>
    <w:rsid w:val="00271F08"/>
    <w:rsid w:val="00272102"/>
    <w:rsid w:val="002740EF"/>
    <w:rsid w:val="00274876"/>
    <w:rsid w:val="002755D5"/>
    <w:rsid w:val="00276646"/>
    <w:rsid w:val="00276873"/>
    <w:rsid w:val="00276CD5"/>
    <w:rsid w:val="0028002E"/>
    <w:rsid w:val="0028096C"/>
    <w:rsid w:val="00281FBC"/>
    <w:rsid w:val="00282A44"/>
    <w:rsid w:val="002836D2"/>
    <w:rsid w:val="002845EC"/>
    <w:rsid w:val="00285A77"/>
    <w:rsid w:val="00286C91"/>
    <w:rsid w:val="00290484"/>
    <w:rsid w:val="0029196C"/>
    <w:rsid w:val="00291DCF"/>
    <w:rsid w:val="00292232"/>
    <w:rsid w:val="00292889"/>
    <w:rsid w:val="00292D72"/>
    <w:rsid w:val="00293537"/>
    <w:rsid w:val="002938AC"/>
    <w:rsid w:val="00293941"/>
    <w:rsid w:val="00293BC4"/>
    <w:rsid w:val="00294162"/>
    <w:rsid w:val="0029560B"/>
    <w:rsid w:val="00295FF3"/>
    <w:rsid w:val="00296A12"/>
    <w:rsid w:val="00297C75"/>
    <w:rsid w:val="002A15E9"/>
    <w:rsid w:val="002A178C"/>
    <w:rsid w:val="002A1811"/>
    <w:rsid w:val="002A1D0B"/>
    <w:rsid w:val="002A1D52"/>
    <w:rsid w:val="002A1D90"/>
    <w:rsid w:val="002A28B4"/>
    <w:rsid w:val="002A3097"/>
    <w:rsid w:val="002A48EC"/>
    <w:rsid w:val="002A592E"/>
    <w:rsid w:val="002A5B28"/>
    <w:rsid w:val="002A68F9"/>
    <w:rsid w:val="002A786C"/>
    <w:rsid w:val="002A7947"/>
    <w:rsid w:val="002B0B15"/>
    <w:rsid w:val="002B0C64"/>
    <w:rsid w:val="002B0CF5"/>
    <w:rsid w:val="002B0E9C"/>
    <w:rsid w:val="002B12A9"/>
    <w:rsid w:val="002B1402"/>
    <w:rsid w:val="002B20ED"/>
    <w:rsid w:val="002B5A4A"/>
    <w:rsid w:val="002B600C"/>
    <w:rsid w:val="002B62C9"/>
    <w:rsid w:val="002B6E31"/>
    <w:rsid w:val="002B74C1"/>
    <w:rsid w:val="002B7AE7"/>
    <w:rsid w:val="002B7F29"/>
    <w:rsid w:val="002C111A"/>
    <w:rsid w:val="002C1EAE"/>
    <w:rsid w:val="002C376F"/>
    <w:rsid w:val="002C3C7E"/>
    <w:rsid w:val="002C4258"/>
    <w:rsid w:val="002C5411"/>
    <w:rsid w:val="002C61E3"/>
    <w:rsid w:val="002C627D"/>
    <w:rsid w:val="002C6474"/>
    <w:rsid w:val="002C7FF5"/>
    <w:rsid w:val="002D0407"/>
    <w:rsid w:val="002D0519"/>
    <w:rsid w:val="002D303F"/>
    <w:rsid w:val="002D3525"/>
    <w:rsid w:val="002D3E44"/>
    <w:rsid w:val="002D4B39"/>
    <w:rsid w:val="002D51F9"/>
    <w:rsid w:val="002D6DB1"/>
    <w:rsid w:val="002E0474"/>
    <w:rsid w:val="002E0AE5"/>
    <w:rsid w:val="002E3746"/>
    <w:rsid w:val="002E56DB"/>
    <w:rsid w:val="002E60F9"/>
    <w:rsid w:val="002E6539"/>
    <w:rsid w:val="002E6EAB"/>
    <w:rsid w:val="002E7217"/>
    <w:rsid w:val="002E794A"/>
    <w:rsid w:val="002F1873"/>
    <w:rsid w:val="002F2229"/>
    <w:rsid w:val="002F258E"/>
    <w:rsid w:val="002F2BEE"/>
    <w:rsid w:val="002F3BD4"/>
    <w:rsid w:val="002F3C81"/>
    <w:rsid w:val="002F5431"/>
    <w:rsid w:val="002F60C2"/>
    <w:rsid w:val="002F6EA9"/>
    <w:rsid w:val="002F7B2B"/>
    <w:rsid w:val="002F7C37"/>
    <w:rsid w:val="003006D1"/>
    <w:rsid w:val="00300798"/>
    <w:rsid w:val="00300BA1"/>
    <w:rsid w:val="00302431"/>
    <w:rsid w:val="003031CC"/>
    <w:rsid w:val="003036EF"/>
    <w:rsid w:val="003039BE"/>
    <w:rsid w:val="00304156"/>
    <w:rsid w:val="00304166"/>
    <w:rsid w:val="00304A10"/>
    <w:rsid w:val="003059FD"/>
    <w:rsid w:val="00305C2C"/>
    <w:rsid w:val="00305FAE"/>
    <w:rsid w:val="00306DF5"/>
    <w:rsid w:val="00307A22"/>
    <w:rsid w:val="00310654"/>
    <w:rsid w:val="00313CFF"/>
    <w:rsid w:val="00313D2F"/>
    <w:rsid w:val="00313E06"/>
    <w:rsid w:val="003141DC"/>
    <w:rsid w:val="00314423"/>
    <w:rsid w:val="0031652C"/>
    <w:rsid w:val="00317EB6"/>
    <w:rsid w:val="003209D1"/>
    <w:rsid w:val="00320CA6"/>
    <w:rsid w:val="00320F16"/>
    <w:rsid w:val="0032164A"/>
    <w:rsid w:val="00321C09"/>
    <w:rsid w:val="003229FF"/>
    <w:rsid w:val="00322B96"/>
    <w:rsid w:val="003238E9"/>
    <w:rsid w:val="00324B6F"/>
    <w:rsid w:val="0032573F"/>
    <w:rsid w:val="00326376"/>
    <w:rsid w:val="003273A2"/>
    <w:rsid w:val="00327CE3"/>
    <w:rsid w:val="003302C8"/>
    <w:rsid w:val="00330D03"/>
    <w:rsid w:val="00330DE1"/>
    <w:rsid w:val="00333038"/>
    <w:rsid w:val="00333E93"/>
    <w:rsid w:val="00333EE2"/>
    <w:rsid w:val="00333EF1"/>
    <w:rsid w:val="003349E5"/>
    <w:rsid w:val="00334DA1"/>
    <w:rsid w:val="00335FA5"/>
    <w:rsid w:val="0033611E"/>
    <w:rsid w:val="0033663A"/>
    <w:rsid w:val="003366CA"/>
    <w:rsid w:val="003371B6"/>
    <w:rsid w:val="00337304"/>
    <w:rsid w:val="00337589"/>
    <w:rsid w:val="003377DE"/>
    <w:rsid w:val="00337C7C"/>
    <w:rsid w:val="00340C27"/>
    <w:rsid w:val="00340D1E"/>
    <w:rsid w:val="00340F68"/>
    <w:rsid w:val="0034163A"/>
    <w:rsid w:val="00343F99"/>
    <w:rsid w:val="003444E9"/>
    <w:rsid w:val="00344E86"/>
    <w:rsid w:val="0034660C"/>
    <w:rsid w:val="003504AB"/>
    <w:rsid w:val="00350615"/>
    <w:rsid w:val="003507D2"/>
    <w:rsid w:val="003511EC"/>
    <w:rsid w:val="003512B1"/>
    <w:rsid w:val="00351343"/>
    <w:rsid w:val="00351CE5"/>
    <w:rsid w:val="00351FE7"/>
    <w:rsid w:val="0035209B"/>
    <w:rsid w:val="003523C0"/>
    <w:rsid w:val="00353199"/>
    <w:rsid w:val="00354A0E"/>
    <w:rsid w:val="00354BF2"/>
    <w:rsid w:val="00354F6B"/>
    <w:rsid w:val="00356B09"/>
    <w:rsid w:val="00357961"/>
    <w:rsid w:val="003601D7"/>
    <w:rsid w:val="00360B5A"/>
    <w:rsid w:val="00361E36"/>
    <w:rsid w:val="00361F33"/>
    <w:rsid w:val="003629A1"/>
    <w:rsid w:val="00363DD9"/>
    <w:rsid w:val="00365258"/>
    <w:rsid w:val="003663C7"/>
    <w:rsid w:val="00367156"/>
    <w:rsid w:val="0036762C"/>
    <w:rsid w:val="00367B88"/>
    <w:rsid w:val="003702F7"/>
    <w:rsid w:val="00370865"/>
    <w:rsid w:val="003719D4"/>
    <w:rsid w:val="0037339B"/>
    <w:rsid w:val="00373A5C"/>
    <w:rsid w:val="00375080"/>
    <w:rsid w:val="003777DA"/>
    <w:rsid w:val="00377B94"/>
    <w:rsid w:val="00377EF0"/>
    <w:rsid w:val="0038093F"/>
    <w:rsid w:val="00381318"/>
    <w:rsid w:val="0038252C"/>
    <w:rsid w:val="00383546"/>
    <w:rsid w:val="003842FA"/>
    <w:rsid w:val="00385B91"/>
    <w:rsid w:val="00386167"/>
    <w:rsid w:val="00386A79"/>
    <w:rsid w:val="00386EAC"/>
    <w:rsid w:val="00390647"/>
    <w:rsid w:val="00391A99"/>
    <w:rsid w:val="00391D1E"/>
    <w:rsid w:val="0039237C"/>
    <w:rsid w:val="00392AE5"/>
    <w:rsid w:val="00392EBA"/>
    <w:rsid w:val="003951D9"/>
    <w:rsid w:val="00395AE5"/>
    <w:rsid w:val="00396141"/>
    <w:rsid w:val="00396479"/>
    <w:rsid w:val="00396EA8"/>
    <w:rsid w:val="0039755A"/>
    <w:rsid w:val="003A0409"/>
    <w:rsid w:val="003A2C9E"/>
    <w:rsid w:val="003A4E76"/>
    <w:rsid w:val="003A5FC7"/>
    <w:rsid w:val="003A6147"/>
    <w:rsid w:val="003A6B50"/>
    <w:rsid w:val="003B45D3"/>
    <w:rsid w:val="003B4EDA"/>
    <w:rsid w:val="003B6E18"/>
    <w:rsid w:val="003B7474"/>
    <w:rsid w:val="003B7602"/>
    <w:rsid w:val="003C0326"/>
    <w:rsid w:val="003C1E43"/>
    <w:rsid w:val="003C206D"/>
    <w:rsid w:val="003C2259"/>
    <w:rsid w:val="003C6111"/>
    <w:rsid w:val="003C71BA"/>
    <w:rsid w:val="003D250A"/>
    <w:rsid w:val="003D516C"/>
    <w:rsid w:val="003D58B0"/>
    <w:rsid w:val="003D5C36"/>
    <w:rsid w:val="003D5D16"/>
    <w:rsid w:val="003E23F1"/>
    <w:rsid w:val="003E241C"/>
    <w:rsid w:val="003E2F42"/>
    <w:rsid w:val="003E32B6"/>
    <w:rsid w:val="003E4988"/>
    <w:rsid w:val="003E5317"/>
    <w:rsid w:val="003E595A"/>
    <w:rsid w:val="003E5A5B"/>
    <w:rsid w:val="003E6CA2"/>
    <w:rsid w:val="003F0277"/>
    <w:rsid w:val="003F2ADA"/>
    <w:rsid w:val="003F3A79"/>
    <w:rsid w:val="003F4D5D"/>
    <w:rsid w:val="003F591F"/>
    <w:rsid w:val="003F6CBD"/>
    <w:rsid w:val="003F7523"/>
    <w:rsid w:val="003F7539"/>
    <w:rsid w:val="003F784D"/>
    <w:rsid w:val="003F7B63"/>
    <w:rsid w:val="0040088A"/>
    <w:rsid w:val="0040281B"/>
    <w:rsid w:val="00402AD8"/>
    <w:rsid w:val="00403507"/>
    <w:rsid w:val="0040554B"/>
    <w:rsid w:val="0040556B"/>
    <w:rsid w:val="0040586C"/>
    <w:rsid w:val="00405F92"/>
    <w:rsid w:val="004063E4"/>
    <w:rsid w:val="004063EB"/>
    <w:rsid w:val="0040694D"/>
    <w:rsid w:val="0041069E"/>
    <w:rsid w:val="004106BF"/>
    <w:rsid w:val="00410B47"/>
    <w:rsid w:val="0041171D"/>
    <w:rsid w:val="00411A1A"/>
    <w:rsid w:val="00411CAE"/>
    <w:rsid w:val="004126F6"/>
    <w:rsid w:val="004144AF"/>
    <w:rsid w:val="004149CA"/>
    <w:rsid w:val="0041626F"/>
    <w:rsid w:val="00417B80"/>
    <w:rsid w:val="0042139F"/>
    <w:rsid w:val="00423564"/>
    <w:rsid w:val="00424479"/>
    <w:rsid w:val="004246A7"/>
    <w:rsid w:val="00424971"/>
    <w:rsid w:val="00425540"/>
    <w:rsid w:val="00425CAF"/>
    <w:rsid w:val="00426A5B"/>
    <w:rsid w:val="004273E5"/>
    <w:rsid w:val="00427EFF"/>
    <w:rsid w:val="00431666"/>
    <w:rsid w:val="004322FC"/>
    <w:rsid w:val="00432DB1"/>
    <w:rsid w:val="00432EE0"/>
    <w:rsid w:val="0043361C"/>
    <w:rsid w:val="004347E9"/>
    <w:rsid w:val="0043613D"/>
    <w:rsid w:val="00436F7A"/>
    <w:rsid w:val="004374E7"/>
    <w:rsid w:val="004403FF"/>
    <w:rsid w:val="004407C3"/>
    <w:rsid w:val="00440A5B"/>
    <w:rsid w:val="004417AE"/>
    <w:rsid w:val="004422AC"/>
    <w:rsid w:val="00442D74"/>
    <w:rsid w:val="004432DC"/>
    <w:rsid w:val="00443A55"/>
    <w:rsid w:val="00443BC8"/>
    <w:rsid w:val="0044427B"/>
    <w:rsid w:val="00444F64"/>
    <w:rsid w:val="00444FA6"/>
    <w:rsid w:val="00445A7F"/>
    <w:rsid w:val="00445DD5"/>
    <w:rsid w:val="0044602F"/>
    <w:rsid w:val="004465BB"/>
    <w:rsid w:val="00447935"/>
    <w:rsid w:val="00447CB6"/>
    <w:rsid w:val="004523F0"/>
    <w:rsid w:val="00454576"/>
    <w:rsid w:val="00454EB4"/>
    <w:rsid w:val="004562C6"/>
    <w:rsid w:val="00456B79"/>
    <w:rsid w:val="00457391"/>
    <w:rsid w:val="0045777C"/>
    <w:rsid w:val="00457CD4"/>
    <w:rsid w:val="00460787"/>
    <w:rsid w:val="00460EBB"/>
    <w:rsid w:val="00461106"/>
    <w:rsid w:val="00461431"/>
    <w:rsid w:val="00461D50"/>
    <w:rsid w:val="00461E41"/>
    <w:rsid w:val="0046257E"/>
    <w:rsid w:val="004625B9"/>
    <w:rsid w:val="00462B33"/>
    <w:rsid w:val="0046397E"/>
    <w:rsid w:val="00463A2C"/>
    <w:rsid w:val="00464AC0"/>
    <w:rsid w:val="00465A4A"/>
    <w:rsid w:val="00466214"/>
    <w:rsid w:val="004705E4"/>
    <w:rsid w:val="004709C6"/>
    <w:rsid w:val="00470B7F"/>
    <w:rsid w:val="00470BD2"/>
    <w:rsid w:val="00470E05"/>
    <w:rsid w:val="00471193"/>
    <w:rsid w:val="00471778"/>
    <w:rsid w:val="004717E2"/>
    <w:rsid w:val="00471F2C"/>
    <w:rsid w:val="00473690"/>
    <w:rsid w:val="00473F0A"/>
    <w:rsid w:val="00474B84"/>
    <w:rsid w:val="0047514A"/>
    <w:rsid w:val="00475632"/>
    <w:rsid w:val="004759F7"/>
    <w:rsid w:val="00476223"/>
    <w:rsid w:val="004766E1"/>
    <w:rsid w:val="00480A22"/>
    <w:rsid w:val="00480A95"/>
    <w:rsid w:val="0048171D"/>
    <w:rsid w:val="00483AF9"/>
    <w:rsid w:val="00484324"/>
    <w:rsid w:val="004846AD"/>
    <w:rsid w:val="00484937"/>
    <w:rsid w:val="00485950"/>
    <w:rsid w:val="00485F74"/>
    <w:rsid w:val="00486443"/>
    <w:rsid w:val="00486A4A"/>
    <w:rsid w:val="0048718C"/>
    <w:rsid w:val="00490A8E"/>
    <w:rsid w:val="004922AA"/>
    <w:rsid w:val="0049296B"/>
    <w:rsid w:val="00494B18"/>
    <w:rsid w:val="00495689"/>
    <w:rsid w:val="004963A8"/>
    <w:rsid w:val="004965CC"/>
    <w:rsid w:val="00497958"/>
    <w:rsid w:val="004A042D"/>
    <w:rsid w:val="004A120D"/>
    <w:rsid w:val="004A15D7"/>
    <w:rsid w:val="004A239F"/>
    <w:rsid w:val="004A2ACB"/>
    <w:rsid w:val="004A3367"/>
    <w:rsid w:val="004A399B"/>
    <w:rsid w:val="004A3A81"/>
    <w:rsid w:val="004A61EA"/>
    <w:rsid w:val="004A6604"/>
    <w:rsid w:val="004A6695"/>
    <w:rsid w:val="004A6FDD"/>
    <w:rsid w:val="004A71D6"/>
    <w:rsid w:val="004A725C"/>
    <w:rsid w:val="004A75B5"/>
    <w:rsid w:val="004A76DB"/>
    <w:rsid w:val="004B09AF"/>
    <w:rsid w:val="004B1398"/>
    <w:rsid w:val="004B4236"/>
    <w:rsid w:val="004B4281"/>
    <w:rsid w:val="004B62C0"/>
    <w:rsid w:val="004B6450"/>
    <w:rsid w:val="004B74EE"/>
    <w:rsid w:val="004B7A2A"/>
    <w:rsid w:val="004B7FB6"/>
    <w:rsid w:val="004C08D8"/>
    <w:rsid w:val="004C10B7"/>
    <w:rsid w:val="004C12DA"/>
    <w:rsid w:val="004C29B9"/>
    <w:rsid w:val="004C397F"/>
    <w:rsid w:val="004C4B2E"/>
    <w:rsid w:val="004C52CA"/>
    <w:rsid w:val="004C5561"/>
    <w:rsid w:val="004C5E76"/>
    <w:rsid w:val="004C640B"/>
    <w:rsid w:val="004C6F72"/>
    <w:rsid w:val="004C722B"/>
    <w:rsid w:val="004C745A"/>
    <w:rsid w:val="004C7DD1"/>
    <w:rsid w:val="004D02D4"/>
    <w:rsid w:val="004D26AD"/>
    <w:rsid w:val="004D2EB7"/>
    <w:rsid w:val="004D355E"/>
    <w:rsid w:val="004D5065"/>
    <w:rsid w:val="004D511C"/>
    <w:rsid w:val="004D5663"/>
    <w:rsid w:val="004D59A9"/>
    <w:rsid w:val="004D6918"/>
    <w:rsid w:val="004D78C4"/>
    <w:rsid w:val="004E0475"/>
    <w:rsid w:val="004E08DD"/>
    <w:rsid w:val="004E1201"/>
    <w:rsid w:val="004E13A6"/>
    <w:rsid w:val="004E1681"/>
    <w:rsid w:val="004E43BE"/>
    <w:rsid w:val="004E4D27"/>
    <w:rsid w:val="004E4E3D"/>
    <w:rsid w:val="004E5A60"/>
    <w:rsid w:val="004E7283"/>
    <w:rsid w:val="004E7CD3"/>
    <w:rsid w:val="004F00E9"/>
    <w:rsid w:val="004F089F"/>
    <w:rsid w:val="004F2215"/>
    <w:rsid w:val="004F3768"/>
    <w:rsid w:val="004F4040"/>
    <w:rsid w:val="004F43D8"/>
    <w:rsid w:val="004F5DA2"/>
    <w:rsid w:val="004F5F12"/>
    <w:rsid w:val="004F609C"/>
    <w:rsid w:val="004F7FEC"/>
    <w:rsid w:val="005011F5"/>
    <w:rsid w:val="0050169D"/>
    <w:rsid w:val="0050238B"/>
    <w:rsid w:val="00502C9B"/>
    <w:rsid w:val="00503D01"/>
    <w:rsid w:val="00504684"/>
    <w:rsid w:val="005046E1"/>
    <w:rsid w:val="00504FAA"/>
    <w:rsid w:val="00505499"/>
    <w:rsid w:val="00505884"/>
    <w:rsid w:val="00507DE8"/>
    <w:rsid w:val="005114AB"/>
    <w:rsid w:val="00511AD7"/>
    <w:rsid w:val="00511FB9"/>
    <w:rsid w:val="005125F9"/>
    <w:rsid w:val="00512FDB"/>
    <w:rsid w:val="00513695"/>
    <w:rsid w:val="00514135"/>
    <w:rsid w:val="00515862"/>
    <w:rsid w:val="00516030"/>
    <w:rsid w:val="0051669C"/>
    <w:rsid w:val="00516843"/>
    <w:rsid w:val="00516F46"/>
    <w:rsid w:val="005174C8"/>
    <w:rsid w:val="005177F0"/>
    <w:rsid w:val="00517E93"/>
    <w:rsid w:val="00521693"/>
    <w:rsid w:val="00523F23"/>
    <w:rsid w:val="00524229"/>
    <w:rsid w:val="00524B1D"/>
    <w:rsid w:val="005258AD"/>
    <w:rsid w:val="005258BD"/>
    <w:rsid w:val="00525D9A"/>
    <w:rsid w:val="00525FCF"/>
    <w:rsid w:val="00526947"/>
    <w:rsid w:val="00527131"/>
    <w:rsid w:val="0052728C"/>
    <w:rsid w:val="00527682"/>
    <w:rsid w:val="00527E0E"/>
    <w:rsid w:val="00530381"/>
    <w:rsid w:val="0053086C"/>
    <w:rsid w:val="0053146C"/>
    <w:rsid w:val="0053289C"/>
    <w:rsid w:val="005329DA"/>
    <w:rsid w:val="00532D5E"/>
    <w:rsid w:val="005335FB"/>
    <w:rsid w:val="00533FC8"/>
    <w:rsid w:val="0053468E"/>
    <w:rsid w:val="00534DB0"/>
    <w:rsid w:val="005363FB"/>
    <w:rsid w:val="005369F2"/>
    <w:rsid w:val="00537416"/>
    <w:rsid w:val="00537FF5"/>
    <w:rsid w:val="00540C5F"/>
    <w:rsid w:val="00540ECB"/>
    <w:rsid w:val="00541147"/>
    <w:rsid w:val="00541C85"/>
    <w:rsid w:val="00541D5F"/>
    <w:rsid w:val="00542085"/>
    <w:rsid w:val="00542A23"/>
    <w:rsid w:val="00543222"/>
    <w:rsid w:val="0054322D"/>
    <w:rsid w:val="00543FC7"/>
    <w:rsid w:val="005441FC"/>
    <w:rsid w:val="00544244"/>
    <w:rsid w:val="00544AD8"/>
    <w:rsid w:val="005450EC"/>
    <w:rsid w:val="005457C5"/>
    <w:rsid w:val="005458DD"/>
    <w:rsid w:val="0054605E"/>
    <w:rsid w:val="005464D1"/>
    <w:rsid w:val="005468F3"/>
    <w:rsid w:val="00547B4F"/>
    <w:rsid w:val="00550D7B"/>
    <w:rsid w:val="00552230"/>
    <w:rsid w:val="00553335"/>
    <w:rsid w:val="0055394A"/>
    <w:rsid w:val="005546EB"/>
    <w:rsid w:val="005547AF"/>
    <w:rsid w:val="0055503A"/>
    <w:rsid w:val="005550F6"/>
    <w:rsid w:val="00557DFC"/>
    <w:rsid w:val="00561462"/>
    <w:rsid w:val="00561D9F"/>
    <w:rsid w:val="00561EA3"/>
    <w:rsid w:val="00561FD7"/>
    <w:rsid w:val="00562256"/>
    <w:rsid w:val="00562AA0"/>
    <w:rsid w:val="005631C9"/>
    <w:rsid w:val="0056561D"/>
    <w:rsid w:val="00567D67"/>
    <w:rsid w:val="00570F16"/>
    <w:rsid w:val="0057223F"/>
    <w:rsid w:val="00572623"/>
    <w:rsid w:val="005726C2"/>
    <w:rsid w:val="0057429F"/>
    <w:rsid w:val="00574C9B"/>
    <w:rsid w:val="005768EA"/>
    <w:rsid w:val="005769A3"/>
    <w:rsid w:val="00576BF7"/>
    <w:rsid w:val="005775C2"/>
    <w:rsid w:val="00577F2A"/>
    <w:rsid w:val="00580617"/>
    <w:rsid w:val="00580FA7"/>
    <w:rsid w:val="005829B4"/>
    <w:rsid w:val="005853D6"/>
    <w:rsid w:val="005854D2"/>
    <w:rsid w:val="00585B31"/>
    <w:rsid w:val="00585B68"/>
    <w:rsid w:val="005873FA"/>
    <w:rsid w:val="005915EE"/>
    <w:rsid w:val="005917EF"/>
    <w:rsid w:val="00591F92"/>
    <w:rsid w:val="00592FF5"/>
    <w:rsid w:val="005931A6"/>
    <w:rsid w:val="00593904"/>
    <w:rsid w:val="00593E61"/>
    <w:rsid w:val="00593EBD"/>
    <w:rsid w:val="005949A5"/>
    <w:rsid w:val="00596031"/>
    <w:rsid w:val="00596E40"/>
    <w:rsid w:val="00597747"/>
    <w:rsid w:val="00597FD6"/>
    <w:rsid w:val="00597FFD"/>
    <w:rsid w:val="005A0CC1"/>
    <w:rsid w:val="005A144D"/>
    <w:rsid w:val="005A1B11"/>
    <w:rsid w:val="005A341F"/>
    <w:rsid w:val="005A3F10"/>
    <w:rsid w:val="005A3FD6"/>
    <w:rsid w:val="005A516C"/>
    <w:rsid w:val="005A540D"/>
    <w:rsid w:val="005A5965"/>
    <w:rsid w:val="005A5DCD"/>
    <w:rsid w:val="005A5DE2"/>
    <w:rsid w:val="005A5F7A"/>
    <w:rsid w:val="005B28B3"/>
    <w:rsid w:val="005B2C33"/>
    <w:rsid w:val="005B39E8"/>
    <w:rsid w:val="005B39F0"/>
    <w:rsid w:val="005B3C1B"/>
    <w:rsid w:val="005B5D1C"/>
    <w:rsid w:val="005B6312"/>
    <w:rsid w:val="005B714C"/>
    <w:rsid w:val="005C04C9"/>
    <w:rsid w:val="005C0D02"/>
    <w:rsid w:val="005C4A2D"/>
    <w:rsid w:val="005C4FC7"/>
    <w:rsid w:val="005C5532"/>
    <w:rsid w:val="005C7C19"/>
    <w:rsid w:val="005D1897"/>
    <w:rsid w:val="005D3072"/>
    <w:rsid w:val="005D3A43"/>
    <w:rsid w:val="005D46B4"/>
    <w:rsid w:val="005D4780"/>
    <w:rsid w:val="005D485D"/>
    <w:rsid w:val="005D5AEA"/>
    <w:rsid w:val="005D6771"/>
    <w:rsid w:val="005D766F"/>
    <w:rsid w:val="005D79D8"/>
    <w:rsid w:val="005E0AD0"/>
    <w:rsid w:val="005E1C52"/>
    <w:rsid w:val="005E2323"/>
    <w:rsid w:val="005E26B9"/>
    <w:rsid w:val="005E319C"/>
    <w:rsid w:val="005E37D0"/>
    <w:rsid w:val="005E4D6F"/>
    <w:rsid w:val="005E7EDB"/>
    <w:rsid w:val="005F237F"/>
    <w:rsid w:val="005F2537"/>
    <w:rsid w:val="005F36BE"/>
    <w:rsid w:val="005F4B10"/>
    <w:rsid w:val="005F50B8"/>
    <w:rsid w:val="005F5479"/>
    <w:rsid w:val="005F583C"/>
    <w:rsid w:val="005F58E3"/>
    <w:rsid w:val="005F5997"/>
    <w:rsid w:val="005F59AD"/>
    <w:rsid w:val="005F5E5D"/>
    <w:rsid w:val="005F68FB"/>
    <w:rsid w:val="005F6A97"/>
    <w:rsid w:val="005F6BD4"/>
    <w:rsid w:val="005F6E6B"/>
    <w:rsid w:val="006001D3"/>
    <w:rsid w:val="0060046D"/>
    <w:rsid w:val="00602D41"/>
    <w:rsid w:val="00603D57"/>
    <w:rsid w:val="00607330"/>
    <w:rsid w:val="0060777C"/>
    <w:rsid w:val="00610956"/>
    <w:rsid w:val="0061150E"/>
    <w:rsid w:val="00611AF7"/>
    <w:rsid w:val="00612B80"/>
    <w:rsid w:val="00612F71"/>
    <w:rsid w:val="00613AFC"/>
    <w:rsid w:val="00614E0D"/>
    <w:rsid w:val="00615A49"/>
    <w:rsid w:val="00615D0A"/>
    <w:rsid w:val="006160C8"/>
    <w:rsid w:val="00616AE6"/>
    <w:rsid w:val="0061753C"/>
    <w:rsid w:val="0061796B"/>
    <w:rsid w:val="00620ACD"/>
    <w:rsid w:val="00620D5E"/>
    <w:rsid w:val="00621C1F"/>
    <w:rsid w:val="00621E3B"/>
    <w:rsid w:val="006220F7"/>
    <w:rsid w:val="00622EF3"/>
    <w:rsid w:val="00623C62"/>
    <w:rsid w:val="00623CC0"/>
    <w:rsid w:val="00623CD9"/>
    <w:rsid w:val="00624255"/>
    <w:rsid w:val="00624902"/>
    <w:rsid w:val="00625426"/>
    <w:rsid w:val="00627255"/>
    <w:rsid w:val="00630885"/>
    <w:rsid w:val="0063114B"/>
    <w:rsid w:val="0063189A"/>
    <w:rsid w:val="00631D42"/>
    <w:rsid w:val="006322BE"/>
    <w:rsid w:val="00633C8D"/>
    <w:rsid w:val="00634F30"/>
    <w:rsid w:val="00635E4C"/>
    <w:rsid w:val="00636233"/>
    <w:rsid w:val="00636B18"/>
    <w:rsid w:val="006372EB"/>
    <w:rsid w:val="00640063"/>
    <w:rsid w:val="00640F6F"/>
    <w:rsid w:val="006412FD"/>
    <w:rsid w:val="00641A96"/>
    <w:rsid w:val="00641FBD"/>
    <w:rsid w:val="00643C13"/>
    <w:rsid w:val="00644949"/>
    <w:rsid w:val="0064512C"/>
    <w:rsid w:val="00645267"/>
    <w:rsid w:val="0064533A"/>
    <w:rsid w:val="00645452"/>
    <w:rsid w:val="006459A3"/>
    <w:rsid w:val="006462D5"/>
    <w:rsid w:val="0064682D"/>
    <w:rsid w:val="0065026B"/>
    <w:rsid w:val="006504A4"/>
    <w:rsid w:val="006519E7"/>
    <w:rsid w:val="0065330A"/>
    <w:rsid w:val="006533D7"/>
    <w:rsid w:val="00653824"/>
    <w:rsid w:val="00653B3A"/>
    <w:rsid w:val="00653B6F"/>
    <w:rsid w:val="00653E0F"/>
    <w:rsid w:val="0065483E"/>
    <w:rsid w:val="00656031"/>
    <w:rsid w:val="00656F8E"/>
    <w:rsid w:val="00657E45"/>
    <w:rsid w:val="00660A25"/>
    <w:rsid w:val="0066194A"/>
    <w:rsid w:val="00661C93"/>
    <w:rsid w:val="00663446"/>
    <w:rsid w:val="0066346C"/>
    <w:rsid w:val="00663907"/>
    <w:rsid w:val="0066419F"/>
    <w:rsid w:val="00664B3A"/>
    <w:rsid w:val="00665317"/>
    <w:rsid w:val="006656D3"/>
    <w:rsid w:val="00665F02"/>
    <w:rsid w:val="0066770A"/>
    <w:rsid w:val="0066791F"/>
    <w:rsid w:val="00667D03"/>
    <w:rsid w:val="0067045E"/>
    <w:rsid w:val="00670E59"/>
    <w:rsid w:val="00670FA1"/>
    <w:rsid w:val="00671545"/>
    <w:rsid w:val="00672209"/>
    <w:rsid w:val="006724A2"/>
    <w:rsid w:val="006728D5"/>
    <w:rsid w:val="00672FFE"/>
    <w:rsid w:val="006749B7"/>
    <w:rsid w:val="00675A71"/>
    <w:rsid w:val="00680A06"/>
    <w:rsid w:val="00680BCB"/>
    <w:rsid w:val="0068284E"/>
    <w:rsid w:val="00683039"/>
    <w:rsid w:val="00683842"/>
    <w:rsid w:val="0068400E"/>
    <w:rsid w:val="006840AC"/>
    <w:rsid w:val="006845E1"/>
    <w:rsid w:val="006859EF"/>
    <w:rsid w:val="00685C11"/>
    <w:rsid w:val="00685C4C"/>
    <w:rsid w:val="006866C5"/>
    <w:rsid w:val="006868AC"/>
    <w:rsid w:val="00686EEB"/>
    <w:rsid w:val="0068772B"/>
    <w:rsid w:val="00690040"/>
    <w:rsid w:val="006902FE"/>
    <w:rsid w:val="00690887"/>
    <w:rsid w:val="00691F97"/>
    <w:rsid w:val="006920EF"/>
    <w:rsid w:val="00695146"/>
    <w:rsid w:val="00695441"/>
    <w:rsid w:val="006961DA"/>
    <w:rsid w:val="006968B9"/>
    <w:rsid w:val="00696E0C"/>
    <w:rsid w:val="00697A97"/>
    <w:rsid w:val="00697B37"/>
    <w:rsid w:val="006A044C"/>
    <w:rsid w:val="006A069E"/>
    <w:rsid w:val="006A13B1"/>
    <w:rsid w:val="006A20FA"/>
    <w:rsid w:val="006A3F05"/>
    <w:rsid w:val="006A43BF"/>
    <w:rsid w:val="006A47BF"/>
    <w:rsid w:val="006A5C33"/>
    <w:rsid w:val="006A7504"/>
    <w:rsid w:val="006B01C7"/>
    <w:rsid w:val="006B0CD3"/>
    <w:rsid w:val="006B2138"/>
    <w:rsid w:val="006B29B2"/>
    <w:rsid w:val="006B2CD2"/>
    <w:rsid w:val="006B2CD3"/>
    <w:rsid w:val="006B3615"/>
    <w:rsid w:val="006B5100"/>
    <w:rsid w:val="006B5153"/>
    <w:rsid w:val="006B555B"/>
    <w:rsid w:val="006B57C8"/>
    <w:rsid w:val="006C0A93"/>
    <w:rsid w:val="006C1184"/>
    <w:rsid w:val="006C184A"/>
    <w:rsid w:val="006C2726"/>
    <w:rsid w:val="006C2A7A"/>
    <w:rsid w:val="006C2F69"/>
    <w:rsid w:val="006C36CB"/>
    <w:rsid w:val="006C3DC1"/>
    <w:rsid w:val="006C4947"/>
    <w:rsid w:val="006C4E3A"/>
    <w:rsid w:val="006C5D09"/>
    <w:rsid w:val="006C619C"/>
    <w:rsid w:val="006C7774"/>
    <w:rsid w:val="006C7DE6"/>
    <w:rsid w:val="006D223D"/>
    <w:rsid w:val="006D2714"/>
    <w:rsid w:val="006D6C90"/>
    <w:rsid w:val="006D7395"/>
    <w:rsid w:val="006E0C49"/>
    <w:rsid w:val="006E0DF5"/>
    <w:rsid w:val="006E0F60"/>
    <w:rsid w:val="006E18E9"/>
    <w:rsid w:val="006E1CEC"/>
    <w:rsid w:val="006E2421"/>
    <w:rsid w:val="006E255D"/>
    <w:rsid w:val="006E4998"/>
    <w:rsid w:val="006E4B5D"/>
    <w:rsid w:val="006E568B"/>
    <w:rsid w:val="006E5BF7"/>
    <w:rsid w:val="006E5F58"/>
    <w:rsid w:val="006E7871"/>
    <w:rsid w:val="006F0431"/>
    <w:rsid w:val="006F09E1"/>
    <w:rsid w:val="006F10A3"/>
    <w:rsid w:val="006F5857"/>
    <w:rsid w:val="006F5F7E"/>
    <w:rsid w:val="006F6C09"/>
    <w:rsid w:val="006F6D50"/>
    <w:rsid w:val="006F6D9B"/>
    <w:rsid w:val="00701EDE"/>
    <w:rsid w:val="007029E7"/>
    <w:rsid w:val="00702BCC"/>
    <w:rsid w:val="00702C64"/>
    <w:rsid w:val="0070494E"/>
    <w:rsid w:val="00704A90"/>
    <w:rsid w:val="00704EB2"/>
    <w:rsid w:val="00705104"/>
    <w:rsid w:val="00707920"/>
    <w:rsid w:val="0071124A"/>
    <w:rsid w:val="007120F1"/>
    <w:rsid w:val="007122B9"/>
    <w:rsid w:val="00714187"/>
    <w:rsid w:val="00714C86"/>
    <w:rsid w:val="00714F74"/>
    <w:rsid w:val="007159AB"/>
    <w:rsid w:val="00720622"/>
    <w:rsid w:val="00720691"/>
    <w:rsid w:val="007206C9"/>
    <w:rsid w:val="00721493"/>
    <w:rsid w:val="007221D0"/>
    <w:rsid w:val="007258CB"/>
    <w:rsid w:val="00725D17"/>
    <w:rsid w:val="0072608C"/>
    <w:rsid w:val="00726B80"/>
    <w:rsid w:val="00726CC9"/>
    <w:rsid w:val="00727661"/>
    <w:rsid w:val="00727788"/>
    <w:rsid w:val="00730093"/>
    <w:rsid w:val="0073073C"/>
    <w:rsid w:val="007314E7"/>
    <w:rsid w:val="007317FA"/>
    <w:rsid w:val="00732C19"/>
    <w:rsid w:val="00733854"/>
    <w:rsid w:val="00733A6E"/>
    <w:rsid w:val="00733D8F"/>
    <w:rsid w:val="00736E5E"/>
    <w:rsid w:val="0073702E"/>
    <w:rsid w:val="007379A8"/>
    <w:rsid w:val="00740203"/>
    <w:rsid w:val="00740C37"/>
    <w:rsid w:val="00740F0E"/>
    <w:rsid w:val="00741A77"/>
    <w:rsid w:val="00741D9C"/>
    <w:rsid w:val="007436D0"/>
    <w:rsid w:val="0074453A"/>
    <w:rsid w:val="00744760"/>
    <w:rsid w:val="00744C0C"/>
    <w:rsid w:val="0074574D"/>
    <w:rsid w:val="00746D3D"/>
    <w:rsid w:val="00746DC1"/>
    <w:rsid w:val="0074705F"/>
    <w:rsid w:val="00750303"/>
    <w:rsid w:val="007504CC"/>
    <w:rsid w:val="00752973"/>
    <w:rsid w:val="00752A4A"/>
    <w:rsid w:val="00752BF9"/>
    <w:rsid w:val="0075587B"/>
    <w:rsid w:val="0075590E"/>
    <w:rsid w:val="007560E1"/>
    <w:rsid w:val="00756B38"/>
    <w:rsid w:val="00757534"/>
    <w:rsid w:val="007627D6"/>
    <w:rsid w:val="007633D2"/>
    <w:rsid w:val="00763FCD"/>
    <w:rsid w:val="007652C4"/>
    <w:rsid w:val="00765836"/>
    <w:rsid w:val="007659A0"/>
    <w:rsid w:val="007661FF"/>
    <w:rsid w:val="007664D4"/>
    <w:rsid w:val="00766D34"/>
    <w:rsid w:val="00766FBF"/>
    <w:rsid w:val="0076742E"/>
    <w:rsid w:val="00767577"/>
    <w:rsid w:val="00767A9B"/>
    <w:rsid w:val="00770AE1"/>
    <w:rsid w:val="00770C89"/>
    <w:rsid w:val="00771527"/>
    <w:rsid w:val="00771C36"/>
    <w:rsid w:val="00773E0B"/>
    <w:rsid w:val="0077499A"/>
    <w:rsid w:val="007760BE"/>
    <w:rsid w:val="007765F1"/>
    <w:rsid w:val="00777F44"/>
    <w:rsid w:val="0078071F"/>
    <w:rsid w:val="00780D95"/>
    <w:rsid w:val="00781486"/>
    <w:rsid w:val="00781702"/>
    <w:rsid w:val="00781C45"/>
    <w:rsid w:val="00782BF4"/>
    <w:rsid w:val="0078623E"/>
    <w:rsid w:val="007863EC"/>
    <w:rsid w:val="00787C48"/>
    <w:rsid w:val="007910D2"/>
    <w:rsid w:val="00793162"/>
    <w:rsid w:val="00793969"/>
    <w:rsid w:val="007951DF"/>
    <w:rsid w:val="007A06AE"/>
    <w:rsid w:val="007A0D5C"/>
    <w:rsid w:val="007A258C"/>
    <w:rsid w:val="007A391F"/>
    <w:rsid w:val="007A3D70"/>
    <w:rsid w:val="007A4147"/>
    <w:rsid w:val="007A600E"/>
    <w:rsid w:val="007A6DC2"/>
    <w:rsid w:val="007A7488"/>
    <w:rsid w:val="007B0108"/>
    <w:rsid w:val="007B0627"/>
    <w:rsid w:val="007B14FA"/>
    <w:rsid w:val="007B1600"/>
    <w:rsid w:val="007B17FB"/>
    <w:rsid w:val="007B1CE4"/>
    <w:rsid w:val="007B1CEB"/>
    <w:rsid w:val="007B1D00"/>
    <w:rsid w:val="007B1E91"/>
    <w:rsid w:val="007B3754"/>
    <w:rsid w:val="007B4609"/>
    <w:rsid w:val="007B4618"/>
    <w:rsid w:val="007B4776"/>
    <w:rsid w:val="007B4997"/>
    <w:rsid w:val="007B56B3"/>
    <w:rsid w:val="007B5C89"/>
    <w:rsid w:val="007B7326"/>
    <w:rsid w:val="007B7B61"/>
    <w:rsid w:val="007C0FD9"/>
    <w:rsid w:val="007C0FFD"/>
    <w:rsid w:val="007C1E9F"/>
    <w:rsid w:val="007C2AAD"/>
    <w:rsid w:val="007C2F05"/>
    <w:rsid w:val="007C3807"/>
    <w:rsid w:val="007C3BC4"/>
    <w:rsid w:val="007C3E23"/>
    <w:rsid w:val="007C4530"/>
    <w:rsid w:val="007C47B9"/>
    <w:rsid w:val="007C480A"/>
    <w:rsid w:val="007C506C"/>
    <w:rsid w:val="007C520B"/>
    <w:rsid w:val="007C608C"/>
    <w:rsid w:val="007C78CE"/>
    <w:rsid w:val="007D0E44"/>
    <w:rsid w:val="007D1ACC"/>
    <w:rsid w:val="007D1F59"/>
    <w:rsid w:val="007D20E6"/>
    <w:rsid w:val="007D3082"/>
    <w:rsid w:val="007D387B"/>
    <w:rsid w:val="007D43ED"/>
    <w:rsid w:val="007D4AC3"/>
    <w:rsid w:val="007D4B16"/>
    <w:rsid w:val="007D4B9D"/>
    <w:rsid w:val="007D5086"/>
    <w:rsid w:val="007D553A"/>
    <w:rsid w:val="007D720C"/>
    <w:rsid w:val="007E0316"/>
    <w:rsid w:val="007E0A2D"/>
    <w:rsid w:val="007E1652"/>
    <w:rsid w:val="007E1905"/>
    <w:rsid w:val="007E2655"/>
    <w:rsid w:val="007E3C06"/>
    <w:rsid w:val="007E4181"/>
    <w:rsid w:val="007E4878"/>
    <w:rsid w:val="007E4CCC"/>
    <w:rsid w:val="007E4E35"/>
    <w:rsid w:val="007E5659"/>
    <w:rsid w:val="007E5697"/>
    <w:rsid w:val="007E5B5C"/>
    <w:rsid w:val="007E5ECF"/>
    <w:rsid w:val="007E5FDD"/>
    <w:rsid w:val="007E6489"/>
    <w:rsid w:val="007E66A9"/>
    <w:rsid w:val="007E7875"/>
    <w:rsid w:val="007E7D79"/>
    <w:rsid w:val="007F08A0"/>
    <w:rsid w:val="007F0D59"/>
    <w:rsid w:val="007F105F"/>
    <w:rsid w:val="007F191B"/>
    <w:rsid w:val="007F1C41"/>
    <w:rsid w:val="007F37C8"/>
    <w:rsid w:val="007F5299"/>
    <w:rsid w:val="007F54BB"/>
    <w:rsid w:val="008016D9"/>
    <w:rsid w:val="00801E95"/>
    <w:rsid w:val="008027A7"/>
    <w:rsid w:val="00802B2F"/>
    <w:rsid w:val="0080308B"/>
    <w:rsid w:val="008039EC"/>
    <w:rsid w:val="00803CB5"/>
    <w:rsid w:val="00803F0B"/>
    <w:rsid w:val="00804226"/>
    <w:rsid w:val="008055B6"/>
    <w:rsid w:val="00807058"/>
    <w:rsid w:val="00807390"/>
    <w:rsid w:val="008106B1"/>
    <w:rsid w:val="00810CA1"/>
    <w:rsid w:val="008120C3"/>
    <w:rsid w:val="00812A58"/>
    <w:rsid w:val="0081385D"/>
    <w:rsid w:val="008139E8"/>
    <w:rsid w:val="00814C51"/>
    <w:rsid w:val="00815138"/>
    <w:rsid w:val="00816436"/>
    <w:rsid w:val="00820128"/>
    <w:rsid w:val="00820277"/>
    <w:rsid w:val="00820596"/>
    <w:rsid w:val="00826326"/>
    <w:rsid w:val="00826D44"/>
    <w:rsid w:val="008306ED"/>
    <w:rsid w:val="00830C12"/>
    <w:rsid w:val="00833959"/>
    <w:rsid w:val="00834800"/>
    <w:rsid w:val="00834B61"/>
    <w:rsid w:val="00835A4B"/>
    <w:rsid w:val="00835C5B"/>
    <w:rsid w:val="00835D0D"/>
    <w:rsid w:val="00837392"/>
    <w:rsid w:val="008378C8"/>
    <w:rsid w:val="008405EC"/>
    <w:rsid w:val="00840A70"/>
    <w:rsid w:val="00840AC5"/>
    <w:rsid w:val="00840DBB"/>
    <w:rsid w:val="00841E4D"/>
    <w:rsid w:val="008425DE"/>
    <w:rsid w:val="00843AB2"/>
    <w:rsid w:val="00845CF9"/>
    <w:rsid w:val="008460D8"/>
    <w:rsid w:val="00846394"/>
    <w:rsid w:val="00850617"/>
    <w:rsid w:val="00850B44"/>
    <w:rsid w:val="00850F7D"/>
    <w:rsid w:val="00851567"/>
    <w:rsid w:val="00852880"/>
    <w:rsid w:val="00852DC5"/>
    <w:rsid w:val="00854662"/>
    <w:rsid w:val="008548EB"/>
    <w:rsid w:val="0085538C"/>
    <w:rsid w:val="00855FB6"/>
    <w:rsid w:val="00856A06"/>
    <w:rsid w:val="00857E41"/>
    <w:rsid w:val="00860220"/>
    <w:rsid w:val="00861180"/>
    <w:rsid w:val="00863FE6"/>
    <w:rsid w:val="00864263"/>
    <w:rsid w:val="00864912"/>
    <w:rsid w:val="00864ED2"/>
    <w:rsid w:val="00865EA7"/>
    <w:rsid w:val="0087120B"/>
    <w:rsid w:val="0087146F"/>
    <w:rsid w:val="008721A1"/>
    <w:rsid w:val="00872C08"/>
    <w:rsid w:val="00873E6C"/>
    <w:rsid w:val="0087442E"/>
    <w:rsid w:val="00875027"/>
    <w:rsid w:val="00875DC2"/>
    <w:rsid w:val="00876401"/>
    <w:rsid w:val="0087670A"/>
    <w:rsid w:val="00876B3D"/>
    <w:rsid w:val="00876F2A"/>
    <w:rsid w:val="00877288"/>
    <w:rsid w:val="008775BA"/>
    <w:rsid w:val="00880CE4"/>
    <w:rsid w:val="008810DC"/>
    <w:rsid w:val="00881DBF"/>
    <w:rsid w:val="008840A4"/>
    <w:rsid w:val="008868A5"/>
    <w:rsid w:val="00887724"/>
    <w:rsid w:val="008878A5"/>
    <w:rsid w:val="00891377"/>
    <w:rsid w:val="00891B0F"/>
    <w:rsid w:val="00891C80"/>
    <w:rsid w:val="00892677"/>
    <w:rsid w:val="00894899"/>
    <w:rsid w:val="008962C5"/>
    <w:rsid w:val="008964D0"/>
    <w:rsid w:val="00897DE4"/>
    <w:rsid w:val="008A0D5C"/>
    <w:rsid w:val="008A1809"/>
    <w:rsid w:val="008A210E"/>
    <w:rsid w:val="008A214C"/>
    <w:rsid w:val="008A2526"/>
    <w:rsid w:val="008A28BB"/>
    <w:rsid w:val="008A2BBA"/>
    <w:rsid w:val="008A3AC5"/>
    <w:rsid w:val="008A4CEA"/>
    <w:rsid w:val="008A5057"/>
    <w:rsid w:val="008A67F4"/>
    <w:rsid w:val="008A76F9"/>
    <w:rsid w:val="008A7987"/>
    <w:rsid w:val="008A7FEE"/>
    <w:rsid w:val="008B173E"/>
    <w:rsid w:val="008B1BA4"/>
    <w:rsid w:val="008B2304"/>
    <w:rsid w:val="008B23F8"/>
    <w:rsid w:val="008B3214"/>
    <w:rsid w:val="008B3A48"/>
    <w:rsid w:val="008B4996"/>
    <w:rsid w:val="008B4DB2"/>
    <w:rsid w:val="008B4DB7"/>
    <w:rsid w:val="008B514F"/>
    <w:rsid w:val="008B54C4"/>
    <w:rsid w:val="008B5DAE"/>
    <w:rsid w:val="008B6C8E"/>
    <w:rsid w:val="008B7490"/>
    <w:rsid w:val="008B7FC8"/>
    <w:rsid w:val="008C0916"/>
    <w:rsid w:val="008C321D"/>
    <w:rsid w:val="008C3E7B"/>
    <w:rsid w:val="008C5E6B"/>
    <w:rsid w:val="008C7AB6"/>
    <w:rsid w:val="008D0E79"/>
    <w:rsid w:val="008D1EED"/>
    <w:rsid w:val="008D29C8"/>
    <w:rsid w:val="008D337E"/>
    <w:rsid w:val="008D4414"/>
    <w:rsid w:val="008D671F"/>
    <w:rsid w:val="008D7481"/>
    <w:rsid w:val="008E0380"/>
    <w:rsid w:val="008E1ACF"/>
    <w:rsid w:val="008E2054"/>
    <w:rsid w:val="008E2240"/>
    <w:rsid w:val="008E2ED3"/>
    <w:rsid w:val="008E2F84"/>
    <w:rsid w:val="008E4074"/>
    <w:rsid w:val="008E40EF"/>
    <w:rsid w:val="008E470F"/>
    <w:rsid w:val="008E5A85"/>
    <w:rsid w:val="008E60B7"/>
    <w:rsid w:val="008E60D9"/>
    <w:rsid w:val="008E692E"/>
    <w:rsid w:val="008E706F"/>
    <w:rsid w:val="008E7747"/>
    <w:rsid w:val="008E7F39"/>
    <w:rsid w:val="008F001B"/>
    <w:rsid w:val="008F014B"/>
    <w:rsid w:val="008F0E10"/>
    <w:rsid w:val="008F2245"/>
    <w:rsid w:val="008F2278"/>
    <w:rsid w:val="008F31AE"/>
    <w:rsid w:val="008F4F80"/>
    <w:rsid w:val="008F5F9F"/>
    <w:rsid w:val="008F6D22"/>
    <w:rsid w:val="008F6D72"/>
    <w:rsid w:val="008F6E8D"/>
    <w:rsid w:val="00900D47"/>
    <w:rsid w:val="009010F4"/>
    <w:rsid w:val="0090115E"/>
    <w:rsid w:val="00901AE0"/>
    <w:rsid w:val="00901F00"/>
    <w:rsid w:val="00903830"/>
    <w:rsid w:val="00903CA2"/>
    <w:rsid w:val="009047BC"/>
    <w:rsid w:val="00905BAC"/>
    <w:rsid w:val="00905F13"/>
    <w:rsid w:val="00906028"/>
    <w:rsid w:val="00906A8D"/>
    <w:rsid w:val="00906C42"/>
    <w:rsid w:val="009071EA"/>
    <w:rsid w:val="0090781A"/>
    <w:rsid w:val="00907C33"/>
    <w:rsid w:val="00907D58"/>
    <w:rsid w:val="00907F57"/>
    <w:rsid w:val="00910F47"/>
    <w:rsid w:val="009110CF"/>
    <w:rsid w:val="00912601"/>
    <w:rsid w:val="00913283"/>
    <w:rsid w:val="00913A3F"/>
    <w:rsid w:val="00914A2F"/>
    <w:rsid w:val="00914D74"/>
    <w:rsid w:val="009165A4"/>
    <w:rsid w:val="009214D9"/>
    <w:rsid w:val="00921738"/>
    <w:rsid w:val="0092193D"/>
    <w:rsid w:val="00921B77"/>
    <w:rsid w:val="00921F89"/>
    <w:rsid w:val="009229BD"/>
    <w:rsid w:val="009229FA"/>
    <w:rsid w:val="00922E9A"/>
    <w:rsid w:val="00923C8C"/>
    <w:rsid w:val="00923EC0"/>
    <w:rsid w:val="00923EFC"/>
    <w:rsid w:val="00924064"/>
    <w:rsid w:val="00924EBC"/>
    <w:rsid w:val="009262D1"/>
    <w:rsid w:val="0093179F"/>
    <w:rsid w:val="0093202A"/>
    <w:rsid w:val="00933CBE"/>
    <w:rsid w:val="00934164"/>
    <w:rsid w:val="009343DF"/>
    <w:rsid w:val="0093453F"/>
    <w:rsid w:val="00934833"/>
    <w:rsid w:val="00934D5B"/>
    <w:rsid w:val="00935522"/>
    <w:rsid w:val="00935742"/>
    <w:rsid w:val="00936007"/>
    <w:rsid w:val="009360A3"/>
    <w:rsid w:val="009361D6"/>
    <w:rsid w:val="009374B1"/>
    <w:rsid w:val="0094068B"/>
    <w:rsid w:val="00941E83"/>
    <w:rsid w:val="0094228B"/>
    <w:rsid w:val="00942E17"/>
    <w:rsid w:val="00943124"/>
    <w:rsid w:val="0094404A"/>
    <w:rsid w:val="00946315"/>
    <w:rsid w:val="00946552"/>
    <w:rsid w:val="00946C22"/>
    <w:rsid w:val="00947D64"/>
    <w:rsid w:val="009512DF"/>
    <w:rsid w:val="00951776"/>
    <w:rsid w:val="00951CEC"/>
    <w:rsid w:val="009523F7"/>
    <w:rsid w:val="009528DB"/>
    <w:rsid w:val="009528F8"/>
    <w:rsid w:val="00953B30"/>
    <w:rsid w:val="00954019"/>
    <w:rsid w:val="00955C45"/>
    <w:rsid w:val="00956509"/>
    <w:rsid w:val="00956B21"/>
    <w:rsid w:val="009575AD"/>
    <w:rsid w:val="00957E2F"/>
    <w:rsid w:val="00957EFB"/>
    <w:rsid w:val="00960120"/>
    <w:rsid w:val="00962240"/>
    <w:rsid w:val="00962A4A"/>
    <w:rsid w:val="009635F0"/>
    <w:rsid w:val="00963E55"/>
    <w:rsid w:val="0096423B"/>
    <w:rsid w:val="00965642"/>
    <w:rsid w:val="00965945"/>
    <w:rsid w:val="009670D1"/>
    <w:rsid w:val="009673FF"/>
    <w:rsid w:val="00967489"/>
    <w:rsid w:val="00967550"/>
    <w:rsid w:val="0097020C"/>
    <w:rsid w:val="00973D66"/>
    <w:rsid w:val="00974561"/>
    <w:rsid w:val="00974E34"/>
    <w:rsid w:val="00976D8A"/>
    <w:rsid w:val="009777C3"/>
    <w:rsid w:val="00977FA6"/>
    <w:rsid w:val="00980D8D"/>
    <w:rsid w:val="00981E0A"/>
    <w:rsid w:val="00982132"/>
    <w:rsid w:val="00984471"/>
    <w:rsid w:val="00986C1B"/>
    <w:rsid w:val="0099356F"/>
    <w:rsid w:val="009964F2"/>
    <w:rsid w:val="00996C0B"/>
    <w:rsid w:val="00997676"/>
    <w:rsid w:val="009A0A94"/>
    <w:rsid w:val="009A1060"/>
    <w:rsid w:val="009A1BD1"/>
    <w:rsid w:val="009A2160"/>
    <w:rsid w:val="009A2569"/>
    <w:rsid w:val="009A261C"/>
    <w:rsid w:val="009A4E40"/>
    <w:rsid w:val="009A4F93"/>
    <w:rsid w:val="009A50A0"/>
    <w:rsid w:val="009A6216"/>
    <w:rsid w:val="009A6376"/>
    <w:rsid w:val="009A64BF"/>
    <w:rsid w:val="009A78D8"/>
    <w:rsid w:val="009B070B"/>
    <w:rsid w:val="009B1269"/>
    <w:rsid w:val="009B1CE3"/>
    <w:rsid w:val="009B1DAF"/>
    <w:rsid w:val="009B2A92"/>
    <w:rsid w:val="009B426A"/>
    <w:rsid w:val="009B4856"/>
    <w:rsid w:val="009B48CA"/>
    <w:rsid w:val="009B4D2E"/>
    <w:rsid w:val="009C0706"/>
    <w:rsid w:val="009C095F"/>
    <w:rsid w:val="009C15AC"/>
    <w:rsid w:val="009C254A"/>
    <w:rsid w:val="009C395F"/>
    <w:rsid w:val="009C424F"/>
    <w:rsid w:val="009C429B"/>
    <w:rsid w:val="009C4479"/>
    <w:rsid w:val="009C5305"/>
    <w:rsid w:val="009C559F"/>
    <w:rsid w:val="009D0D44"/>
    <w:rsid w:val="009D169B"/>
    <w:rsid w:val="009D1808"/>
    <w:rsid w:val="009D49A8"/>
    <w:rsid w:val="009D49ED"/>
    <w:rsid w:val="009D4E68"/>
    <w:rsid w:val="009D5A2C"/>
    <w:rsid w:val="009D677A"/>
    <w:rsid w:val="009D7171"/>
    <w:rsid w:val="009D763E"/>
    <w:rsid w:val="009D7799"/>
    <w:rsid w:val="009E1A26"/>
    <w:rsid w:val="009E2581"/>
    <w:rsid w:val="009E2B9A"/>
    <w:rsid w:val="009E2EF2"/>
    <w:rsid w:val="009E3EE5"/>
    <w:rsid w:val="009E3FEF"/>
    <w:rsid w:val="009E4FBD"/>
    <w:rsid w:val="009E54D7"/>
    <w:rsid w:val="009E5644"/>
    <w:rsid w:val="009E6FA3"/>
    <w:rsid w:val="009F0358"/>
    <w:rsid w:val="009F0641"/>
    <w:rsid w:val="009F10A3"/>
    <w:rsid w:val="009F1523"/>
    <w:rsid w:val="009F1D39"/>
    <w:rsid w:val="009F4A38"/>
    <w:rsid w:val="009F50F3"/>
    <w:rsid w:val="009F56F6"/>
    <w:rsid w:val="009F691F"/>
    <w:rsid w:val="009F6B92"/>
    <w:rsid w:val="00A00194"/>
    <w:rsid w:val="00A002A1"/>
    <w:rsid w:val="00A00F34"/>
    <w:rsid w:val="00A0126A"/>
    <w:rsid w:val="00A02785"/>
    <w:rsid w:val="00A02CC3"/>
    <w:rsid w:val="00A02E6A"/>
    <w:rsid w:val="00A02F34"/>
    <w:rsid w:val="00A04437"/>
    <w:rsid w:val="00A044A6"/>
    <w:rsid w:val="00A04A73"/>
    <w:rsid w:val="00A04CB2"/>
    <w:rsid w:val="00A04D2D"/>
    <w:rsid w:val="00A050CD"/>
    <w:rsid w:val="00A06948"/>
    <w:rsid w:val="00A06A81"/>
    <w:rsid w:val="00A06BBF"/>
    <w:rsid w:val="00A1057B"/>
    <w:rsid w:val="00A1182D"/>
    <w:rsid w:val="00A11A63"/>
    <w:rsid w:val="00A124F7"/>
    <w:rsid w:val="00A13124"/>
    <w:rsid w:val="00A13206"/>
    <w:rsid w:val="00A13824"/>
    <w:rsid w:val="00A141D7"/>
    <w:rsid w:val="00A15769"/>
    <w:rsid w:val="00A15D35"/>
    <w:rsid w:val="00A169F8"/>
    <w:rsid w:val="00A16B03"/>
    <w:rsid w:val="00A16D9A"/>
    <w:rsid w:val="00A17CA5"/>
    <w:rsid w:val="00A17F80"/>
    <w:rsid w:val="00A20B48"/>
    <w:rsid w:val="00A216FF"/>
    <w:rsid w:val="00A21AA3"/>
    <w:rsid w:val="00A21F3C"/>
    <w:rsid w:val="00A21F62"/>
    <w:rsid w:val="00A248D4"/>
    <w:rsid w:val="00A2493C"/>
    <w:rsid w:val="00A24A04"/>
    <w:rsid w:val="00A2565B"/>
    <w:rsid w:val="00A256BD"/>
    <w:rsid w:val="00A30E14"/>
    <w:rsid w:val="00A31235"/>
    <w:rsid w:val="00A31DA6"/>
    <w:rsid w:val="00A3282F"/>
    <w:rsid w:val="00A33A60"/>
    <w:rsid w:val="00A33C93"/>
    <w:rsid w:val="00A35D2C"/>
    <w:rsid w:val="00A37681"/>
    <w:rsid w:val="00A379FC"/>
    <w:rsid w:val="00A40571"/>
    <w:rsid w:val="00A40842"/>
    <w:rsid w:val="00A410B5"/>
    <w:rsid w:val="00A41D52"/>
    <w:rsid w:val="00A422EE"/>
    <w:rsid w:val="00A4329A"/>
    <w:rsid w:val="00A44562"/>
    <w:rsid w:val="00A44F81"/>
    <w:rsid w:val="00A45684"/>
    <w:rsid w:val="00A45C5C"/>
    <w:rsid w:val="00A46719"/>
    <w:rsid w:val="00A46847"/>
    <w:rsid w:val="00A46FF5"/>
    <w:rsid w:val="00A473E5"/>
    <w:rsid w:val="00A47E4B"/>
    <w:rsid w:val="00A50422"/>
    <w:rsid w:val="00A50F31"/>
    <w:rsid w:val="00A51C2B"/>
    <w:rsid w:val="00A521DA"/>
    <w:rsid w:val="00A5326A"/>
    <w:rsid w:val="00A55408"/>
    <w:rsid w:val="00A56A79"/>
    <w:rsid w:val="00A60B7B"/>
    <w:rsid w:val="00A613A7"/>
    <w:rsid w:val="00A61C0F"/>
    <w:rsid w:val="00A622A9"/>
    <w:rsid w:val="00A636B0"/>
    <w:rsid w:val="00A64B1C"/>
    <w:rsid w:val="00A64CD0"/>
    <w:rsid w:val="00A657D0"/>
    <w:rsid w:val="00A66248"/>
    <w:rsid w:val="00A6645F"/>
    <w:rsid w:val="00A66891"/>
    <w:rsid w:val="00A669F6"/>
    <w:rsid w:val="00A67BC4"/>
    <w:rsid w:val="00A67FBE"/>
    <w:rsid w:val="00A70401"/>
    <w:rsid w:val="00A71F90"/>
    <w:rsid w:val="00A729CD"/>
    <w:rsid w:val="00A73514"/>
    <w:rsid w:val="00A758E8"/>
    <w:rsid w:val="00A75EDE"/>
    <w:rsid w:val="00A7616E"/>
    <w:rsid w:val="00A76BC2"/>
    <w:rsid w:val="00A774B3"/>
    <w:rsid w:val="00A77597"/>
    <w:rsid w:val="00A77A1A"/>
    <w:rsid w:val="00A77AB0"/>
    <w:rsid w:val="00A80498"/>
    <w:rsid w:val="00A80E45"/>
    <w:rsid w:val="00A80EC1"/>
    <w:rsid w:val="00A81A33"/>
    <w:rsid w:val="00A81A8B"/>
    <w:rsid w:val="00A83B06"/>
    <w:rsid w:val="00A83E8D"/>
    <w:rsid w:val="00A85E72"/>
    <w:rsid w:val="00A864DD"/>
    <w:rsid w:val="00A86E53"/>
    <w:rsid w:val="00A86FEF"/>
    <w:rsid w:val="00A87DAA"/>
    <w:rsid w:val="00A91041"/>
    <w:rsid w:val="00A91CB8"/>
    <w:rsid w:val="00A928B4"/>
    <w:rsid w:val="00A93200"/>
    <w:rsid w:val="00A940AE"/>
    <w:rsid w:val="00A9429A"/>
    <w:rsid w:val="00A94DF5"/>
    <w:rsid w:val="00A96330"/>
    <w:rsid w:val="00A964E5"/>
    <w:rsid w:val="00AA01BF"/>
    <w:rsid w:val="00AA145C"/>
    <w:rsid w:val="00AA2D82"/>
    <w:rsid w:val="00AA478C"/>
    <w:rsid w:val="00AA5B0C"/>
    <w:rsid w:val="00AA6415"/>
    <w:rsid w:val="00AA687E"/>
    <w:rsid w:val="00AA6F30"/>
    <w:rsid w:val="00AB09D7"/>
    <w:rsid w:val="00AB1CA0"/>
    <w:rsid w:val="00AB2D13"/>
    <w:rsid w:val="00AB37A6"/>
    <w:rsid w:val="00AB3F5F"/>
    <w:rsid w:val="00AB4954"/>
    <w:rsid w:val="00AB4DC0"/>
    <w:rsid w:val="00AB7E08"/>
    <w:rsid w:val="00AC0A58"/>
    <w:rsid w:val="00AC1AF6"/>
    <w:rsid w:val="00AC1E75"/>
    <w:rsid w:val="00AC29A5"/>
    <w:rsid w:val="00AC3C81"/>
    <w:rsid w:val="00AC42AA"/>
    <w:rsid w:val="00AC4B01"/>
    <w:rsid w:val="00AC6F53"/>
    <w:rsid w:val="00AC7668"/>
    <w:rsid w:val="00AC7961"/>
    <w:rsid w:val="00AD00FE"/>
    <w:rsid w:val="00AD025A"/>
    <w:rsid w:val="00AD2662"/>
    <w:rsid w:val="00AD3172"/>
    <w:rsid w:val="00AD3C64"/>
    <w:rsid w:val="00AD42C3"/>
    <w:rsid w:val="00AD47AA"/>
    <w:rsid w:val="00AD5B17"/>
    <w:rsid w:val="00AD6976"/>
    <w:rsid w:val="00AD6AB8"/>
    <w:rsid w:val="00AD768F"/>
    <w:rsid w:val="00AE0219"/>
    <w:rsid w:val="00AE0444"/>
    <w:rsid w:val="00AE1897"/>
    <w:rsid w:val="00AE2A2F"/>
    <w:rsid w:val="00AE3FED"/>
    <w:rsid w:val="00AE4171"/>
    <w:rsid w:val="00AE4D15"/>
    <w:rsid w:val="00AE4E4A"/>
    <w:rsid w:val="00AE6C1F"/>
    <w:rsid w:val="00AE6CFB"/>
    <w:rsid w:val="00AE7232"/>
    <w:rsid w:val="00AF2E00"/>
    <w:rsid w:val="00AF2F54"/>
    <w:rsid w:val="00AF31E4"/>
    <w:rsid w:val="00AF3280"/>
    <w:rsid w:val="00AF3E34"/>
    <w:rsid w:val="00AF4667"/>
    <w:rsid w:val="00AF4A58"/>
    <w:rsid w:val="00AF515E"/>
    <w:rsid w:val="00AF6D20"/>
    <w:rsid w:val="00AF7817"/>
    <w:rsid w:val="00B002DE"/>
    <w:rsid w:val="00B008AF"/>
    <w:rsid w:val="00B008C3"/>
    <w:rsid w:val="00B01140"/>
    <w:rsid w:val="00B02FD7"/>
    <w:rsid w:val="00B0600A"/>
    <w:rsid w:val="00B06599"/>
    <w:rsid w:val="00B071A7"/>
    <w:rsid w:val="00B073E2"/>
    <w:rsid w:val="00B07526"/>
    <w:rsid w:val="00B10000"/>
    <w:rsid w:val="00B112AF"/>
    <w:rsid w:val="00B13B2C"/>
    <w:rsid w:val="00B13CF9"/>
    <w:rsid w:val="00B16D31"/>
    <w:rsid w:val="00B17EB2"/>
    <w:rsid w:val="00B17F2A"/>
    <w:rsid w:val="00B20B03"/>
    <w:rsid w:val="00B2219C"/>
    <w:rsid w:val="00B222C6"/>
    <w:rsid w:val="00B22506"/>
    <w:rsid w:val="00B227AD"/>
    <w:rsid w:val="00B22D4F"/>
    <w:rsid w:val="00B23238"/>
    <w:rsid w:val="00B24747"/>
    <w:rsid w:val="00B24B73"/>
    <w:rsid w:val="00B25BFF"/>
    <w:rsid w:val="00B26078"/>
    <w:rsid w:val="00B2647D"/>
    <w:rsid w:val="00B31293"/>
    <w:rsid w:val="00B314B5"/>
    <w:rsid w:val="00B31607"/>
    <w:rsid w:val="00B32156"/>
    <w:rsid w:val="00B32DD5"/>
    <w:rsid w:val="00B3338A"/>
    <w:rsid w:val="00B333AA"/>
    <w:rsid w:val="00B33DA7"/>
    <w:rsid w:val="00B340D8"/>
    <w:rsid w:val="00B34EB8"/>
    <w:rsid w:val="00B36105"/>
    <w:rsid w:val="00B37420"/>
    <w:rsid w:val="00B37524"/>
    <w:rsid w:val="00B375CF"/>
    <w:rsid w:val="00B3792B"/>
    <w:rsid w:val="00B37E1D"/>
    <w:rsid w:val="00B421EB"/>
    <w:rsid w:val="00B431D9"/>
    <w:rsid w:val="00B4378D"/>
    <w:rsid w:val="00B44B90"/>
    <w:rsid w:val="00B4511D"/>
    <w:rsid w:val="00B45276"/>
    <w:rsid w:val="00B46E42"/>
    <w:rsid w:val="00B4752F"/>
    <w:rsid w:val="00B47FC1"/>
    <w:rsid w:val="00B50DE8"/>
    <w:rsid w:val="00B52ECE"/>
    <w:rsid w:val="00B537BA"/>
    <w:rsid w:val="00B549B9"/>
    <w:rsid w:val="00B5515A"/>
    <w:rsid w:val="00B55E8D"/>
    <w:rsid w:val="00B56205"/>
    <w:rsid w:val="00B56626"/>
    <w:rsid w:val="00B56C26"/>
    <w:rsid w:val="00B57192"/>
    <w:rsid w:val="00B57495"/>
    <w:rsid w:val="00B57DB0"/>
    <w:rsid w:val="00B60A2B"/>
    <w:rsid w:val="00B60C75"/>
    <w:rsid w:val="00B610A3"/>
    <w:rsid w:val="00B61337"/>
    <w:rsid w:val="00B625EB"/>
    <w:rsid w:val="00B64010"/>
    <w:rsid w:val="00B6426D"/>
    <w:rsid w:val="00B645E8"/>
    <w:rsid w:val="00B64FE7"/>
    <w:rsid w:val="00B6539F"/>
    <w:rsid w:val="00B66062"/>
    <w:rsid w:val="00B663C9"/>
    <w:rsid w:val="00B6654D"/>
    <w:rsid w:val="00B6662B"/>
    <w:rsid w:val="00B66F5B"/>
    <w:rsid w:val="00B70F8F"/>
    <w:rsid w:val="00B712D0"/>
    <w:rsid w:val="00B71D3C"/>
    <w:rsid w:val="00B723E5"/>
    <w:rsid w:val="00B73036"/>
    <w:rsid w:val="00B73B6E"/>
    <w:rsid w:val="00B7431B"/>
    <w:rsid w:val="00B7491C"/>
    <w:rsid w:val="00B7524E"/>
    <w:rsid w:val="00B75AA1"/>
    <w:rsid w:val="00B76629"/>
    <w:rsid w:val="00B77137"/>
    <w:rsid w:val="00B77278"/>
    <w:rsid w:val="00B82D14"/>
    <w:rsid w:val="00B84897"/>
    <w:rsid w:val="00B84D2D"/>
    <w:rsid w:val="00B85404"/>
    <w:rsid w:val="00B8580D"/>
    <w:rsid w:val="00B867AD"/>
    <w:rsid w:val="00B872DF"/>
    <w:rsid w:val="00B90A31"/>
    <w:rsid w:val="00B91175"/>
    <w:rsid w:val="00B917E2"/>
    <w:rsid w:val="00B91DE7"/>
    <w:rsid w:val="00B9423C"/>
    <w:rsid w:val="00B945AE"/>
    <w:rsid w:val="00B94EF2"/>
    <w:rsid w:val="00B9628C"/>
    <w:rsid w:val="00B97218"/>
    <w:rsid w:val="00B97AD7"/>
    <w:rsid w:val="00B97D6E"/>
    <w:rsid w:val="00BA0149"/>
    <w:rsid w:val="00BA05C4"/>
    <w:rsid w:val="00BA1523"/>
    <w:rsid w:val="00BA2B02"/>
    <w:rsid w:val="00BA3202"/>
    <w:rsid w:val="00BA38B5"/>
    <w:rsid w:val="00BA3D47"/>
    <w:rsid w:val="00BA535D"/>
    <w:rsid w:val="00BA556F"/>
    <w:rsid w:val="00BA65C4"/>
    <w:rsid w:val="00BA7445"/>
    <w:rsid w:val="00BB060F"/>
    <w:rsid w:val="00BB08DF"/>
    <w:rsid w:val="00BB10C0"/>
    <w:rsid w:val="00BB15D8"/>
    <w:rsid w:val="00BB283F"/>
    <w:rsid w:val="00BB32DB"/>
    <w:rsid w:val="00BB49A9"/>
    <w:rsid w:val="00BB5126"/>
    <w:rsid w:val="00BB5803"/>
    <w:rsid w:val="00BB5A09"/>
    <w:rsid w:val="00BC0361"/>
    <w:rsid w:val="00BC0D84"/>
    <w:rsid w:val="00BC16B3"/>
    <w:rsid w:val="00BC1CEC"/>
    <w:rsid w:val="00BC2435"/>
    <w:rsid w:val="00BC3109"/>
    <w:rsid w:val="00BC36F2"/>
    <w:rsid w:val="00BC3829"/>
    <w:rsid w:val="00BC4FC2"/>
    <w:rsid w:val="00BC5434"/>
    <w:rsid w:val="00BC6100"/>
    <w:rsid w:val="00BC7E1A"/>
    <w:rsid w:val="00BD0EDC"/>
    <w:rsid w:val="00BD11C2"/>
    <w:rsid w:val="00BD1C10"/>
    <w:rsid w:val="00BD2938"/>
    <w:rsid w:val="00BD2988"/>
    <w:rsid w:val="00BD2A24"/>
    <w:rsid w:val="00BD3165"/>
    <w:rsid w:val="00BD4099"/>
    <w:rsid w:val="00BD60C5"/>
    <w:rsid w:val="00BD7D2A"/>
    <w:rsid w:val="00BE01E4"/>
    <w:rsid w:val="00BE07C0"/>
    <w:rsid w:val="00BE1299"/>
    <w:rsid w:val="00BE21E0"/>
    <w:rsid w:val="00BE25E3"/>
    <w:rsid w:val="00BE2692"/>
    <w:rsid w:val="00BE27A1"/>
    <w:rsid w:val="00BE2F0C"/>
    <w:rsid w:val="00BE30B8"/>
    <w:rsid w:val="00BE31B7"/>
    <w:rsid w:val="00BE352C"/>
    <w:rsid w:val="00BE418A"/>
    <w:rsid w:val="00BE4E1B"/>
    <w:rsid w:val="00BE4E61"/>
    <w:rsid w:val="00BE5085"/>
    <w:rsid w:val="00BE579B"/>
    <w:rsid w:val="00BE7059"/>
    <w:rsid w:val="00BE7324"/>
    <w:rsid w:val="00BE7869"/>
    <w:rsid w:val="00BE7F05"/>
    <w:rsid w:val="00BF0607"/>
    <w:rsid w:val="00BF07C6"/>
    <w:rsid w:val="00BF0AB0"/>
    <w:rsid w:val="00BF1202"/>
    <w:rsid w:val="00BF1509"/>
    <w:rsid w:val="00BF1CEA"/>
    <w:rsid w:val="00BF31EC"/>
    <w:rsid w:val="00BF33FC"/>
    <w:rsid w:val="00BF6510"/>
    <w:rsid w:val="00BF6680"/>
    <w:rsid w:val="00BF6DA7"/>
    <w:rsid w:val="00BF7249"/>
    <w:rsid w:val="00C007C3"/>
    <w:rsid w:val="00C018D9"/>
    <w:rsid w:val="00C02323"/>
    <w:rsid w:val="00C02538"/>
    <w:rsid w:val="00C02F8C"/>
    <w:rsid w:val="00C04F5E"/>
    <w:rsid w:val="00C05A73"/>
    <w:rsid w:val="00C05D16"/>
    <w:rsid w:val="00C07CFB"/>
    <w:rsid w:val="00C07FD2"/>
    <w:rsid w:val="00C10E3D"/>
    <w:rsid w:val="00C11420"/>
    <w:rsid w:val="00C11F05"/>
    <w:rsid w:val="00C120F7"/>
    <w:rsid w:val="00C123F4"/>
    <w:rsid w:val="00C12DBF"/>
    <w:rsid w:val="00C12F63"/>
    <w:rsid w:val="00C140D7"/>
    <w:rsid w:val="00C15136"/>
    <w:rsid w:val="00C151C5"/>
    <w:rsid w:val="00C15626"/>
    <w:rsid w:val="00C16315"/>
    <w:rsid w:val="00C1746C"/>
    <w:rsid w:val="00C17C90"/>
    <w:rsid w:val="00C17ED4"/>
    <w:rsid w:val="00C20314"/>
    <w:rsid w:val="00C220C2"/>
    <w:rsid w:val="00C22A4D"/>
    <w:rsid w:val="00C2354A"/>
    <w:rsid w:val="00C23CB2"/>
    <w:rsid w:val="00C25E16"/>
    <w:rsid w:val="00C264E4"/>
    <w:rsid w:val="00C27FA7"/>
    <w:rsid w:val="00C3199A"/>
    <w:rsid w:val="00C31A8B"/>
    <w:rsid w:val="00C32457"/>
    <w:rsid w:val="00C326DD"/>
    <w:rsid w:val="00C353C3"/>
    <w:rsid w:val="00C36108"/>
    <w:rsid w:val="00C370E9"/>
    <w:rsid w:val="00C37F8E"/>
    <w:rsid w:val="00C425AA"/>
    <w:rsid w:val="00C42672"/>
    <w:rsid w:val="00C42975"/>
    <w:rsid w:val="00C434A4"/>
    <w:rsid w:val="00C43836"/>
    <w:rsid w:val="00C45E89"/>
    <w:rsid w:val="00C46BE9"/>
    <w:rsid w:val="00C46C61"/>
    <w:rsid w:val="00C46F1F"/>
    <w:rsid w:val="00C50209"/>
    <w:rsid w:val="00C50647"/>
    <w:rsid w:val="00C50B06"/>
    <w:rsid w:val="00C521F2"/>
    <w:rsid w:val="00C535FB"/>
    <w:rsid w:val="00C540D5"/>
    <w:rsid w:val="00C565D4"/>
    <w:rsid w:val="00C56702"/>
    <w:rsid w:val="00C5734A"/>
    <w:rsid w:val="00C579D0"/>
    <w:rsid w:val="00C60DBD"/>
    <w:rsid w:val="00C62B60"/>
    <w:rsid w:val="00C6448F"/>
    <w:rsid w:val="00C6485B"/>
    <w:rsid w:val="00C65423"/>
    <w:rsid w:val="00C66789"/>
    <w:rsid w:val="00C66CEE"/>
    <w:rsid w:val="00C66E26"/>
    <w:rsid w:val="00C6757F"/>
    <w:rsid w:val="00C67CBB"/>
    <w:rsid w:val="00C70E8B"/>
    <w:rsid w:val="00C71665"/>
    <w:rsid w:val="00C72B80"/>
    <w:rsid w:val="00C72F2F"/>
    <w:rsid w:val="00C7552E"/>
    <w:rsid w:val="00C75CB7"/>
    <w:rsid w:val="00C75DE3"/>
    <w:rsid w:val="00C77154"/>
    <w:rsid w:val="00C771E1"/>
    <w:rsid w:val="00C77634"/>
    <w:rsid w:val="00C7775D"/>
    <w:rsid w:val="00C806CE"/>
    <w:rsid w:val="00C81C57"/>
    <w:rsid w:val="00C824CD"/>
    <w:rsid w:val="00C82B9F"/>
    <w:rsid w:val="00C84B76"/>
    <w:rsid w:val="00C85931"/>
    <w:rsid w:val="00C87BE7"/>
    <w:rsid w:val="00C90048"/>
    <w:rsid w:val="00C908C8"/>
    <w:rsid w:val="00C90B50"/>
    <w:rsid w:val="00C91D95"/>
    <w:rsid w:val="00C924EF"/>
    <w:rsid w:val="00C938FC"/>
    <w:rsid w:val="00C94604"/>
    <w:rsid w:val="00C94899"/>
    <w:rsid w:val="00C94AB7"/>
    <w:rsid w:val="00C95A13"/>
    <w:rsid w:val="00C95E51"/>
    <w:rsid w:val="00C96346"/>
    <w:rsid w:val="00C975CA"/>
    <w:rsid w:val="00C97C44"/>
    <w:rsid w:val="00CA011E"/>
    <w:rsid w:val="00CA0A9A"/>
    <w:rsid w:val="00CA23D8"/>
    <w:rsid w:val="00CA30F3"/>
    <w:rsid w:val="00CA39A7"/>
    <w:rsid w:val="00CA451A"/>
    <w:rsid w:val="00CA5245"/>
    <w:rsid w:val="00CA68A6"/>
    <w:rsid w:val="00CA6B88"/>
    <w:rsid w:val="00CA7C46"/>
    <w:rsid w:val="00CB076C"/>
    <w:rsid w:val="00CB0983"/>
    <w:rsid w:val="00CB24BA"/>
    <w:rsid w:val="00CB29EC"/>
    <w:rsid w:val="00CB5092"/>
    <w:rsid w:val="00CB5551"/>
    <w:rsid w:val="00CB6AAC"/>
    <w:rsid w:val="00CB7844"/>
    <w:rsid w:val="00CC0753"/>
    <w:rsid w:val="00CC1C9F"/>
    <w:rsid w:val="00CC46ED"/>
    <w:rsid w:val="00CC63D8"/>
    <w:rsid w:val="00CC7449"/>
    <w:rsid w:val="00CC7C10"/>
    <w:rsid w:val="00CD075F"/>
    <w:rsid w:val="00CD0B70"/>
    <w:rsid w:val="00CD0D8E"/>
    <w:rsid w:val="00CD2A3E"/>
    <w:rsid w:val="00CD577C"/>
    <w:rsid w:val="00CE00D9"/>
    <w:rsid w:val="00CE1778"/>
    <w:rsid w:val="00CE1DEC"/>
    <w:rsid w:val="00CE3302"/>
    <w:rsid w:val="00CE3E89"/>
    <w:rsid w:val="00CE4DF1"/>
    <w:rsid w:val="00CE60B5"/>
    <w:rsid w:val="00CE6AD4"/>
    <w:rsid w:val="00CE6C81"/>
    <w:rsid w:val="00CE77E0"/>
    <w:rsid w:val="00CE7E7B"/>
    <w:rsid w:val="00CE7EC5"/>
    <w:rsid w:val="00CF0E66"/>
    <w:rsid w:val="00CF2676"/>
    <w:rsid w:val="00CF29CB"/>
    <w:rsid w:val="00CF5196"/>
    <w:rsid w:val="00CF615E"/>
    <w:rsid w:val="00CF6F99"/>
    <w:rsid w:val="00CF7AC0"/>
    <w:rsid w:val="00D01063"/>
    <w:rsid w:val="00D01921"/>
    <w:rsid w:val="00D019E8"/>
    <w:rsid w:val="00D02A2F"/>
    <w:rsid w:val="00D0334F"/>
    <w:rsid w:val="00D03C28"/>
    <w:rsid w:val="00D05F54"/>
    <w:rsid w:val="00D06A97"/>
    <w:rsid w:val="00D10160"/>
    <w:rsid w:val="00D1045D"/>
    <w:rsid w:val="00D111C1"/>
    <w:rsid w:val="00D11405"/>
    <w:rsid w:val="00D116AA"/>
    <w:rsid w:val="00D11DAF"/>
    <w:rsid w:val="00D12B79"/>
    <w:rsid w:val="00D13BE1"/>
    <w:rsid w:val="00D13C37"/>
    <w:rsid w:val="00D1424C"/>
    <w:rsid w:val="00D1436B"/>
    <w:rsid w:val="00D1477F"/>
    <w:rsid w:val="00D150CD"/>
    <w:rsid w:val="00D15292"/>
    <w:rsid w:val="00D157AF"/>
    <w:rsid w:val="00D15803"/>
    <w:rsid w:val="00D17601"/>
    <w:rsid w:val="00D201D5"/>
    <w:rsid w:val="00D2107F"/>
    <w:rsid w:val="00D21A46"/>
    <w:rsid w:val="00D22EE6"/>
    <w:rsid w:val="00D237A0"/>
    <w:rsid w:val="00D245FD"/>
    <w:rsid w:val="00D263C0"/>
    <w:rsid w:val="00D27247"/>
    <w:rsid w:val="00D27A67"/>
    <w:rsid w:val="00D27B4C"/>
    <w:rsid w:val="00D30320"/>
    <w:rsid w:val="00D30553"/>
    <w:rsid w:val="00D30B2C"/>
    <w:rsid w:val="00D31088"/>
    <w:rsid w:val="00D32462"/>
    <w:rsid w:val="00D35734"/>
    <w:rsid w:val="00D37223"/>
    <w:rsid w:val="00D37948"/>
    <w:rsid w:val="00D37AD0"/>
    <w:rsid w:val="00D405C4"/>
    <w:rsid w:val="00D40869"/>
    <w:rsid w:val="00D40D4C"/>
    <w:rsid w:val="00D41594"/>
    <w:rsid w:val="00D421E8"/>
    <w:rsid w:val="00D42283"/>
    <w:rsid w:val="00D4257F"/>
    <w:rsid w:val="00D42DA3"/>
    <w:rsid w:val="00D437FB"/>
    <w:rsid w:val="00D44222"/>
    <w:rsid w:val="00D4444A"/>
    <w:rsid w:val="00D44A82"/>
    <w:rsid w:val="00D44AB1"/>
    <w:rsid w:val="00D462D3"/>
    <w:rsid w:val="00D463C3"/>
    <w:rsid w:val="00D469D9"/>
    <w:rsid w:val="00D47A61"/>
    <w:rsid w:val="00D5111A"/>
    <w:rsid w:val="00D5116A"/>
    <w:rsid w:val="00D51341"/>
    <w:rsid w:val="00D52696"/>
    <w:rsid w:val="00D52978"/>
    <w:rsid w:val="00D53201"/>
    <w:rsid w:val="00D54CA3"/>
    <w:rsid w:val="00D57F4A"/>
    <w:rsid w:val="00D605C5"/>
    <w:rsid w:val="00D61D69"/>
    <w:rsid w:val="00D6250A"/>
    <w:rsid w:val="00D63237"/>
    <w:rsid w:val="00D64AB1"/>
    <w:rsid w:val="00D65940"/>
    <w:rsid w:val="00D66488"/>
    <w:rsid w:val="00D712CB"/>
    <w:rsid w:val="00D728C0"/>
    <w:rsid w:val="00D747D8"/>
    <w:rsid w:val="00D750F9"/>
    <w:rsid w:val="00D7704F"/>
    <w:rsid w:val="00D77EC7"/>
    <w:rsid w:val="00D80A24"/>
    <w:rsid w:val="00D81BBF"/>
    <w:rsid w:val="00D8225E"/>
    <w:rsid w:val="00D82D2F"/>
    <w:rsid w:val="00D83F4B"/>
    <w:rsid w:val="00D84200"/>
    <w:rsid w:val="00D84EA8"/>
    <w:rsid w:val="00D84F90"/>
    <w:rsid w:val="00D8530D"/>
    <w:rsid w:val="00D8559B"/>
    <w:rsid w:val="00D858D3"/>
    <w:rsid w:val="00D868A1"/>
    <w:rsid w:val="00D90343"/>
    <w:rsid w:val="00D94957"/>
    <w:rsid w:val="00D95396"/>
    <w:rsid w:val="00D96FBC"/>
    <w:rsid w:val="00DA0752"/>
    <w:rsid w:val="00DA1288"/>
    <w:rsid w:val="00DA12D2"/>
    <w:rsid w:val="00DA170F"/>
    <w:rsid w:val="00DA1850"/>
    <w:rsid w:val="00DA19DC"/>
    <w:rsid w:val="00DA29C6"/>
    <w:rsid w:val="00DA2D73"/>
    <w:rsid w:val="00DA3537"/>
    <w:rsid w:val="00DA3621"/>
    <w:rsid w:val="00DA3B8D"/>
    <w:rsid w:val="00DA4E7A"/>
    <w:rsid w:val="00DA5D2D"/>
    <w:rsid w:val="00DA63D8"/>
    <w:rsid w:val="00DA63FB"/>
    <w:rsid w:val="00DA707C"/>
    <w:rsid w:val="00DA7460"/>
    <w:rsid w:val="00DB02C4"/>
    <w:rsid w:val="00DB0A0D"/>
    <w:rsid w:val="00DB14AF"/>
    <w:rsid w:val="00DB23AC"/>
    <w:rsid w:val="00DB2E0E"/>
    <w:rsid w:val="00DB3411"/>
    <w:rsid w:val="00DB3F81"/>
    <w:rsid w:val="00DB4CC1"/>
    <w:rsid w:val="00DB51E1"/>
    <w:rsid w:val="00DB6183"/>
    <w:rsid w:val="00DB718D"/>
    <w:rsid w:val="00DC1653"/>
    <w:rsid w:val="00DC1929"/>
    <w:rsid w:val="00DC3486"/>
    <w:rsid w:val="00DC5088"/>
    <w:rsid w:val="00DC560E"/>
    <w:rsid w:val="00DC5BF2"/>
    <w:rsid w:val="00DC5C6D"/>
    <w:rsid w:val="00DC638A"/>
    <w:rsid w:val="00DC7249"/>
    <w:rsid w:val="00DC7A4D"/>
    <w:rsid w:val="00DD319A"/>
    <w:rsid w:val="00DD4BDC"/>
    <w:rsid w:val="00DD5F65"/>
    <w:rsid w:val="00DD61D6"/>
    <w:rsid w:val="00DD65E5"/>
    <w:rsid w:val="00DD660E"/>
    <w:rsid w:val="00DD73D9"/>
    <w:rsid w:val="00DD7B3A"/>
    <w:rsid w:val="00DD7F46"/>
    <w:rsid w:val="00DD7FE7"/>
    <w:rsid w:val="00DE1FAF"/>
    <w:rsid w:val="00DE2B5C"/>
    <w:rsid w:val="00DE2CC7"/>
    <w:rsid w:val="00DE2D65"/>
    <w:rsid w:val="00DE3512"/>
    <w:rsid w:val="00DE38DB"/>
    <w:rsid w:val="00DE3EAF"/>
    <w:rsid w:val="00DE436A"/>
    <w:rsid w:val="00DE5153"/>
    <w:rsid w:val="00DE5D5A"/>
    <w:rsid w:val="00DE6559"/>
    <w:rsid w:val="00DE6F1D"/>
    <w:rsid w:val="00DF1609"/>
    <w:rsid w:val="00DF21AC"/>
    <w:rsid w:val="00DF3250"/>
    <w:rsid w:val="00DF3B13"/>
    <w:rsid w:val="00DF5E5A"/>
    <w:rsid w:val="00DF7B64"/>
    <w:rsid w:val="00DF7FE0"/>
    <w:rsid w:val="00E00D0A"/>
    <w:rsid w:val="00E00D7B"/>
    <w:rsid w:val="00E011FF"/>
    <w:rsid w:val="00E02B15"/>
    <w:rsid w:val="00E03289"/>
    <w:rsid w:val="00E04CC4"/>
    <w:rsid w:val="00E05282"/>
    <w:rsid w:val="00E072D7"/>
    <w:rsid w:val="00E07B79"/>
    <w:rsid w:val="00E07C2C"/>
    <w:rsid w:val="00E07D32"/>
    <w:rsid w:val="00E111AA"/>
    <w:rsid w:val="00E121B1"/>
    <w:rsid w:val="00E129B0"/>
    <w:rsid w:val="00E13961"/>
    <w:rsid w:val="00E14AB7"/>
    <w:rsid w:val="00E1641F"/>
    <w:rsid w:val="00E16BAC"/>
    <w:rsid w:val="00E16BE9"/>
    <w:rsid w:val="00E17500"/>
    <w:rsid w:val="00E17CEB"/>
    <w:rsid w:val="00E20029"/>
    <w:rsid w:val="00E2074A"/>
    <w:rsid w:val="00E21F26"/>
    <w:rsid w:val="00E21F9D"/>
    <w:rsid w:val="00E22802"/>
    <w:rsid w:val="00E237B8"/>
    <w:rsid w:val="00E243C6"/>
    <w:rsid w:val="00E24A88"/>
    <w:rsid w:val="00E24C02"/>
    <w:rsid w:val="00E267B4"/>
    <w:rsid w:val="00E268F4"/>
    <w:rsid w:val="00E30544"/>
    <w:rsid w:val="00E32DE1"/>
    <w:rsid w:val="00E3353D"/>
    <w:rsid w:val="00E339DA"/>
    <w:rsid w:val="00E35BB7"/>
    <w:rsid w:val="00E35EF5"/>
    <w:rsid w:val="00E36306"/>
    <w:rsid w:val="00E372D7"/>
    <w:rsid w:val="00E41DB7"/>
    <w:rsid w:val="00E41ECF"/>
    <w:rsid w:val="00E420BF"/>
    <w:rsid w:val="00E42372"/>
    <w:rsid w:val="00E43863"/>
    <w:rsid w:val="00E4410C"/>
    <w:rsid w:val="00E4609D"/>
    <w:rsid w:val="00E4641B"/>
    <w:rsid w:val="00E469EC"/>
    <w:rsid w:val="00E46B0C"/>
    <w:rsid w:val="00E479EA"/>
    <w:rsid w:val="00E50322"/>
    <w:rsid w:val="00E5052F"/>
    <w:rsid w:val="00E509BD"/>
    <w:rsid w:val="00E51000"/>
    <w:rsid w:val="00E5122A"/>
    <w:rsid w:val="00E51357"/>
    <w:rsid w:val="00E513A4"/>
    <w:rsid w:val="00E5176E"/>
    <w:rsid w:val="00E52660"/>
    <w:rsid w:val="00E532FC"/>
    <w:rsid w:val="00E54DAD"/>
    <w:rsid w:val="00E55CEA"/>
    <w:rsid w:val="00E57258"/>
    <w:rsid w:val="00E57A0B"/>
    <w:rsid w:val="00E6124A"/>
    <w:rsid w:val="00E632CC"/>
    <w:rsid w:val="00E63322"/>
    <w:rsid w:val="00E6349C"/>
    <w:rsid w:val="00E63636"/>
    <w:rsid w:val="00E66609"/>
    <w:rsid w:val="00E66CF5"/>
    <w:rsid w:val="00E67350"/>
    <w:rsid w:val="00E67A4B"/>
    <w:rsid w:val="00E706BC"/>
    <w:rsid w:val="00E71445"/>
    <w:rsid w:val="00E7175E"/>
    <w:rsid w:val="00E71FB8"/>
    <w:rsid w:val="00E729C1"/>
    <w:rsid w:val="00E73117"/>
    <w:rsid w:val="00E73A63"/>
    <w:rsid w:val="00E73CA5"/>
    <w:rsid w:val="00E73F8D"/>
    <w:rsid w:val="00E74394"/>
    <w:rsid w:val="00E748E9"/>
    <w:rsid w:val="00E74BDF"/>
    <w:rsid w:val="00E7509A"/>
    <w:rsid w:val="00E753DA"/>
    <w:rsid w:val="00E75537"/>
    <w:rsid w:val="00E769E9"/>
    <w:rsid w:val="00E77029"/>
    <w:rsid w:val="00E776AC"/>
    <w:rsid w:val="00E8045D"/>
    <w:rsid w:val="00E8084C"/>
    <w:rsid w:val="00E80D52"/>
    <w:rsid w:val="00E812B4"/>
    <w:rsid w:val="00E82185"/>
    <w:rsid w:val="00E82772"/>
    <w:rsid w:val="00E82D21"/>
    <w:rsid w:val="00E82DB4"/>
    <w:rsid w:val="00E835BF"/>
    <w:rsid w:val="00E83AF2"/>
    <w:rsid w:val="00E84B15"/>
    <w:rsid w:val="00E85884"/>
    <w:rsid w:val="00E86AF9"/>
    <w:rsid w:val="00E87090"/>
    <w:rsid w:val="00E91B7B"/>
    <w:rsid w:val="00E92BDA"/>
    <w:rsid w:val="00E951CB"/>
    <w:rsid w:val="00E9544C"/>
    <w:rsid w:val="00E9545E"/>
    <w:rsid w:val="00E963B0"/>
    <w:rsid w:val="00E96701"/>
    <w:rsid w:val="00E97D63"/>
    <w:rsid w:val="00EA05A7"/>
    <w:rsid w:val="00EA06BA"/>
    <w:rsid w:val="00EA0BE1"/>
    <w:rsid w:val="00EA2636"/>
    <w:rsid w:val="00EA2FA4"/>
    <w:rsid w:val="00EA3057"/>
    <w:rsid w:val="00EA3B53"/>
    <w:rsid w:val="00EA5426"/>
    <w:rsid w:val="00EA5889"/>
    <w:rsid w:val="00EA5F6D"/>
    <w:rsid w:val="00EA7B57"/>
    <w:rsid w:val="00EB09FE"/>
    <w:rsid w:val="00EB0C5C"/>
    <w:rsid w:val="00EB0CC0"/>
    <w:rsid w:val="00EB244C"/>
    <w:rsid w:val="00EB256D"/>
    <w:rsid w:val="00EB2D4B"/>
    <w:rsid w:val="00EB34BE"/>
    <w:rsid w:val="00EB3A12"/>
    <w:rsid w:val="00EB3A43"/>
    <w:rsid w:val="00EB4137"/>
    <w:rsid w:val="00EB43A2"/>
    <w:rsid w:val="00EB53F1"/>
    <w:rsid w:val="00EB569A"/>
    <w:rsid w:val="00EB6E72"/>
    <w:rsid w:val="00EB70F9"/>
    <w:rsid w:val="00EB72EC"/>
    <w:rsid w:val="00EB7707"/>
    <w:rsid w:val="00EB77D4"/>
    <w:rsid w:val="00EC129E"/>
    <w:rsid w:val="00EC2448"/>
    <w:rsid w:val="00EC391E"/>
    <w:rsid w:val="00EC3D7D"/>
    <w:rsid w:val="00EC48BE"/>
    <w:rsid w:val="00EC4DC1"/>
    <w:rsid w:val="00EC504A"/>
    <w:rsid w:val="00EC53BF"/>
    <w:rsid w:val="00EC5E01"/>
    <w:rsid w:val="00EC6CCB"/>
    <w:rsid w:val="00EC70ED"/>
    <w:rsid w:val="00EC7232"/>
    <w:rsid w:val="00EC792D"/>
    <w:rsid w:val="00ED20EF"/>
    <w:rsid w:val="00ED2895"/>
    <w:rsid w:val="00ED301E"/>
    <w:rsid w:val="00ED4796"/>
    <w:rsid w:val="00ED5C64"/>
    <w:rsid w:val="00ED5E9A"/>
    <w:rsid w:val="00ED613B"/>
    <w:rsid w:val="00ED734B"/>
    <w:rsid w:val="00ED73CF"/>
    <w:rsid w:val="00ED7563"/>
    <w:rsid w:val="00ED75AD"/>
    <w:rsid w:val="00ED7E97"/>
    <w:rsid w:val="00EE1734"/>
    <w:rsid w:val="00EE1879"/>
    <w:rsid w:val="00EE2387"/>
    <w:rsid w:val="00EE27C8"/>
    <w:rsid w:val="00EE3125"/>
    <w:rsid w:val="00EE42C0"/>
    <w:rsid w:val="00EE53F9"/>
    <w:rsid w:val="00EE5C13"/>
    <w:rsid w:val="00EE663C"/>
    <w:rsid w:val="00EE6A8A"/>
    <w:rsid w:val="00EF05CE"/>
    <w:rsid w:val="00EF07D8"/>
    <w:rsid w:val="00EF11B0"/>
    <w:rsid w:val="00EF2AE5"/>
    <w:rsid w:val="00EF3244"/>
    <w:rsid w:val="00EF3632"/>
    <w:rsid w:val="00EF4AC5"/>
    <w:rsid w:val="00EF6AC8"/>
    <w:rsid w:val="00F003C6"/>
    <w:rsid w:val="00F01B0B"/>
    <w:rsid w:val="00F01B9A"/>
    <w:rsid w:val="00F02E99"/>
    <w:rsid w:val="00F032B8"/>
    <w:rsid w:val="00F03705"/>
    <w:rsid w:val="00F04D4D"/>
    <w:rsid w:val="00F04DDB"/>
    <w:rsid w:val="00F05850"/>
    <w:rsid w:val="00F063A4"/>
    <w:rsid w:val="00F071E0"/>
    <w:rsid w:val="00F0749E"/>
    <w:rsid w:val="00F10555"/>
    <w:rsid w:val="00F10CBF"/>
    <w:rsid w:val="00F11AFB"/>
    <w:rsid w:val="00F13965"/>
    <w:rsid w:val="00F14836"/>
    <w:rsid w:val="00F149CA"/>
    <w:rsid w:val="00F14A5D"/>
    <w:rsid w:val="00F1597E"/>
    <w:rsid w:val="00F15CCE"/>
    <w:rsid w:val="00F16CEC"/>
    <w:rsid w:val="00F172C8"/>
    <w:rsid w:val="00F2015A"/>
    <w:rsid w:val="00F20305"/>
    <w:rsid w:val="00F20823"/>
    <w:rsid w:val="00F208AF"/>
    <w:rsid w:val="00F215E0"/>
    <w:rsid w:val="00F218C0"/>
    <w:rsid w:val="00F21A77"/>
    <w:rsid w:val="00F21C98"/>
    <w:rsid w:val="00F22D05"/>
    <w:rsid w:val="00F2335B"/>
    <w:rsid w:val="00F24E24"/>
    <w:rsid w:val="00F25274"/>
    <w:rsid w:val="00F25534"/>
    <w:rsid w:val="00F2611D"/>
    <w:rsid w:val="00F26F69"/>
    <w:rsid w:val="00F3150E"/>
    <w:rsid w:val="00F31BCB"/>
    <w:rsid w:val="00F32193"/>
    <w:rsid w:val="00F323CE"/>
    <w:rsid w:val="00F33571"/>
    <w:rsid w:val="00F35042"/>
    <w:rsid w:val="00F35CF6"/>
    <w:rsid w:val="00F37178"/>
    <w:rsid w:val="00F372FF"/>
    <w:rsid w:val="00F40A16"/>
    <w:rsid w:val="00F412F9"/>
    <w:rsid w:val="00F42D80"/>
    <w:rsid w:val="00F451BB"/>
    <w:rsid w:val="00F45C23"/>
    <w:rsid w:val="00F45C7D"/>
    <w:rsid w:val="00F5458F"/>
    <w:rsid w:val="00F56A7C"/>
    <w:rsid w:val="00F56C57"/>
    <w:rsid w:val="00F573A2"/>
    <w:rsid w:val="00F60F2E"/>
    <w:rsid w:val="00F618FB"/>
    <w:rsid w:val="00F6212A"/>
    <w:rsid w:val="00F621EF"/>
    <w:rsid w:val="00F65AE1"/>
    <w:rsid w:val="00F65C0B"/>
    <w:rsid w:val="00F65EFB"/>
    <w:rsid w:val="00F66662"/>
    <w:rsid w:val="00F67321"/>
    <w:rsid w:val="00F67DB7"/>
    <w:rsid w:val="00F7010B"/>
    <w:rsid w:val="00F70BC8"/>
    <w:rsid w:val="00F70DB4"/>
    <w:rsid w:val="00F720C0"/>
    <w:rsid w:val="00F72B0B"/>
    <w:rsid w:val="00F73FFC"/>
    <w:rsid w:val="00F74277"/>
    <w:rsid w:val="00F74436"/>
    <w:rsid w:val="00F76361"/>
    <w:rsid w:val="00F80AD3"/>
    <w:rsid w:val="00F83227"/>
    <w:rsid w:val="00F83474"/>
    <w:rsid w:val="00F8399E"/>
    <w:rsid w:val="00F83B58"/>
    <w:rsid w:val="00F8439B"/>
    <w:rsid w:val="00F85659"/>
    <w:rsid w:val="00F857C1"/>
    <w:rsid w:val="00F85BE6"/>
    <w:rsid w:val="00F92291"/>
    <w:rsid w:val="00F92296"/>
    <w:rsid w:val="00F9255C"/>
    <w:rsid w:val="00F93C8C"/>
    <w:rsid w:val="00F93CF0"/>
    <w:rsid w:val="00F95130"/>
    <w:rsid w:val="00F95890"/>
    <w:rsid w:val="00F97CE6"/>
    <w:rsid w:val="00FA0D3A"/>
    <w:rsid w:val="00FA12F5"/>
    <w:rsid w:val="00FA12F8"/>
    <w:rsid w:val="00FA2082"/>
    <w:rsid w:val="00FA25D1"/>
    <w:rsid w:val="00FA5ACB"/>
    <w:rsid w:val="00FA5B9B"/>
    <w:rsid w:val="00FA5FD1"/>
    <w:rsid w:val="00FA6005"/>
    <w:rsid w:val="00FA6C88"/>
    <w:rsid w:val="00FA6D6F"/>
    <w:rsid w:val="00FA6F33"/>
    <w:rsid w:val="00FA7DDE"/>
    <w:rsid w:val="00FB003D"/>
    <w:rsid w:val="00FB06CE"/>
    <w:rsid w:val="00FB0C6D"/>
    <w:rsid w:val="00FB26C4"/>
    <w:rsid w:val="00FB2F3B"/>
    <w:rsid w:val="00FB3102"/>
    <w:rsid w:val="00FB311B"/>
    <w:rsid w:val="00FB3A61"/>
    <w:rsid w:val="00FB41D2"/>
    <w:rsid w:val="00FB4998"/>
    <w:rsid w:val="00FB544C"/>
    <w:rsid w:val="00FB5E3E"/>
    <w:rsid w:val="00FB7592"/>
    <w:rsid w:val="00FB79DF"/>
    <w:rsid w:val="00FC140A"/>
    <w:rsid w:val="00FC19AB"/>
    <w:rsid w:val="00FC1B07"/>
    <w:rsid w:val="00FC263C"/>
    <w:rsid w:val="00FC3C0E"/>
    <w:rsid w:val="00FC524D"/>
    <w:rsid w:val="00FC54FE"/>
    <w:rsid w:val="00FC6912"/>
    <w:rsid w:val="00FC7209"/>
    <w:rsid w:val="00FD14F0"/>
    <w:rsid w:val="00FD29B5"/>
    <w:rsid w:val="00FD443C"/>
    <w:rsid w:val="00FD5274"/>
    <w:rsid w:val="00FD60CC"/>
    <w:rsid w:val="00FD6975"/>
    <w:rsid w:val="00FD6A3F"/>
    <w:rsid w:val="00FD76DB"/>
    <w:rsid w:val="00FD7EC8"/>
    <w:rsid w:val="00FD7FDF"/>
    <w:rsid w:val="00FE09F8"/>
    <w:rsid w:val="00FE0B59"/>
    <w:rsid w:val="00FE105F"/>
    <w:rsid w:val="00FE2482"/>
    <w:rsid w:val="00FE2A61"/>
    <w:rsid w:val="00FE3C56"/>
    <w:rsid w:val="00FE4138"/>
    <w:rsid w:val="00FE46EC"/>
    <w:rsid w:val="00FE4B0E"/>
    <w:rsid w:val="00FE5A51"/>
    <w:rsid w:val="00FE5F04"/>
    <w:rsid w:val="00FE6E83"/>
    <w:rsid w:val="00FE6E8C"/>
    <w:rsid w:val="00FF03B2"/>
    <w:rsid w:val="00FF08F2"/>
    <w:rsid w:val="00FF461C"/>
    <w:rsid w:val="00FF5F5B"/>
    <w:rsid w:val="00FF68FA"/>
    <w:rsid w:val="00FF6F13"/>
    <w:rsid w:val="00FF715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6147"/>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B1000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B10000"/>
    <w:rPr>
      <w:sz w:val="18"/>
      <w:szCs w:val="18"/>
    </w:rPr>
  </w:style>
  <w:style w:type="paragraph" w:styleId="a4">
    <w:name w:val="footer"/>
    <w:basedOn w:val="a"/>
    <w:link w:val="Char0"/>
    <w:uiPriority w:val="99"/>
    <w:unhideWhenUsed/>
    <w:rsid w:val="00B10000"/>
    <w:pPr>
      <w:tabs>
        <w:tab w:val="center" w:pos="4153"/>
        <w:tab w:val="right" w:pos="8306"/>
      </w:tabs>
      <w:snapToGrid w:val="0"/>
      <w:jc w:val="left"/>
    </w:pPr>
    <w:rPr>
      <w:sz w:val="18"/>
      <w:szCs w:val="18"/>
    </w:rPr>
  </w:style>
  <w:style w:type="character" w:customStyle="1" w:styleId="Char0">
    <w:name w:val="页脚 Char"/>
    <w:basedOn w:val="a0"/>
    <w:link w:val="a4"/>
    <w:uiPriority w:val="99"/>
    <w:rsid w:val="00B10000"/>
    <w:rPr>
      <w:sz w:val="18"/>
      <w:szCs w:val="18"/>
    </w:rPr>
  </w:style>
  <w:style w:type="paragraph" w:customStyle="1" w:styleId="a5">
    <w:name w:val="页眉报告名称"/>
    <w:link w:val="Char1"/>
    <w:autoRedefine/>
    <w:qFormat/>
    <w:rsid w:val="00B10000"/>
    <w:pPr>
      <w:spacing w:afterLines="100" w:line="240" w:lineRule="exact"/>
      <w:jc w:val="both"/>
    </w:pPr>
    <w:rPr>
      <w:rFonts w:ascii="Calibri" w:eastAsia="华文新魏" w:hAnsi="Calibri" w:cs="Times New Roman"/>
      <w:sz w:val="24"/>
    </w:rPr>
  </w:style>
  <w:style w:type="character" w:customStyle="1" w:styleId="Char1">
    <w:name w:val="页眉报告名称 Char"/>
    <w:basedOn w:val="a0"/>
    <w:link w:val="a5"/>
    <w:rsid w:val="00B10000"/>
    <w:rPr>
      <w:rFonts w:ascii="Calibri" w:eastAsia="华文新魏" w:hAnsi="Calibri" w:cs="Times New Roman"/>
      <w:sz w:val="24"/>
    </w:rPr>
  </w:style>
  <w:style w:type="paragraph" w:customStyle="1" w:styleId="a6">
    <w:name w:val="页眉图片"/>
    <w:basedOn w:val="a3"/>
    <w:link w:val="Char2"/>
    <w:qFormat/>
    <w:rsid w:val="00B10000"/>
    <w:pPr>
      <w:pBdr>
        <w:bottom w:val="none" w:sz="0" w:space="0" w:color="auto"/>
      </w:pBdr>
      <w:tabs>
        <w:tab w:val="clear" w:pos="4153"/>
        <w:tab w:val="clear" w:pos="8306"/>
        <w:tab w:val="right" w:pos="11424"/>
      </w:tabs>
      <w:jc w:val="left"/>
    </w:pPr>
    <w:rPr>
      <w:rFonts w:ascii="Calibri" w:eastAsia="宋体" w:hAnsi="Calibri" w:cs="Times New Roman"/>
      <w:noProof/>
    </w:rPr>
  </w:style>
  <w:style w:type="character" w:customStyle="1" w:styleId="Char2">
    <w:name w:val="页眉图片 Char"/>
    <w:basedOn w:val="Char"/>
    <w:link w:val="a6"/>
    <w:rsid w:val="00B10000"/>
    <w:rPr>
      <w:rFonts w:ascii="Calibri" w:eastAsia="宋体" w:hAnsi="Calibri" w:cs="Times New Roman"/>
      <w:noProof/>
      <w:sz w:val="18"/>
      <w:szCs w:val="18"/>
    </w:rPr>
  </w:style>
  <w:style w:type="paragraph" w:customStyle="1" w:styleId="a7">
    <w:name w:val="页眉处日期"/>
    <w:basedOn w:val="a"/>
    <w:link w:val="Char3"/>
    <w:qFormat/>
    <w:rsid w:val="00B10000"/>
    <w:pPr>
      <w:tabs>
        <w:tab w:val="right" w:pos="11424"/>
      </w:tabs>
      <w:snapToGrid w:val="0"/>
      <w:jc w:val="left"/>
    </w:pPr>
    <w:rPr>
      <w:rFonts w:ascii="华文隶书" w:eastAsia="华文隶书" w:hAnsi="Calibri" w:cs="Times New Roman"/>
      <w:b/>
      <w:sz w:val="24"/>
      <w:szCs w:val="24"/>
    </w:rPr>
  </w:style>
  <w:style w:type="paragraph" w:customStyle="1" w:styleId="a8">
    <w:name w:val="页眉副标题"/>
    <w:basedOn w:val="a"/>
    <w:link w:val="Char4"/>
    <w:qFormat/>
    <w:rsid w:val="00B10000"/>
    <w:pPr>
      <w:tabs>
        <w:tab w:val="right" w:pos="11424"/>
      </w:tabs>
      <w:snapToGrid w:val="0"/>
      <w:jc w:val="left"/>
    </w:pPr>
    <w:rPr>
      <w:rFonts w:ascii="华文隶书" w:eastAsia="华文隶书" w:hAnsi="Calibri" w:cs="Times New Roman"/>
      <w:sz w:val="36"/>
      <w:szCs w:val="36"/>
    </w:rPr>
  </w:style>
  <w:style w:type="character" w:customStyle="1" w:styleId="Char3">
    <w:name w:val="页眉处日期 Char"/>
    <w:basedOn w:val="a0"/>
    <w:link w:val="a7"/>
    <w:rsid w:val="00B10000"/>
    <w:rPr>
      <w:rFonts w:ascii="华文隶书" w:eastAsia="华文隶书" w:hAnsi="Calibri" w:cs="Times New Roman"/>
      <w:b/>
      <w:sz w:val="24"/>
      <w:szCs w:val="24"/>
    </w:rPr>
  </w:style>
  <w:style w:type="character" w:customStyle="1" w:styleId="Char4">
    <w:name w:val="页眉副标题 Char"/>
    <w:basedOn w:val="a0"/>
    <w:link w:val="a8"/>
    <w:rsid w:val="00B10000"/>
    <w:rPr>
      <w:rFonts w:ascii="华文隶书" w:eastAsia="华文隶书" w:hAnsi="Calibri" w:cs="Times New Roman"/>
      <w:sz w:val="36"/>
      <w:szCs w:val="36"/>
    </w:rPr>
  </w:style>
  <w:style w:type="paragraph" w:customStyle="1" w:styleId="a9">
    <w:name w:val="页眉的分析师"/>
    <w:basedOn w:val="a"/>
    <w:link w:val="Char5"/>
    <w:qFormat/>
    <w:rsid w:val="00B10000"/>
    <w:pPr>
      <w:tabs>
        <w:tab w:val="right" w:pos="11424"/>
      </w:tabs>
      <w:snapToGrid w:val="0"/>
      <w:spacing w:line="240" w:lineRule="exact"/>
      <w:jc w:val="right"/>
    </w:pPr>
    <w:rPr>
      <w:rFonts w:ascii="华文新魏" w:eastAsia="华文新魏" w:hAnsi="Calibri" w:cs="Times New Roman"/>
      <w:szCs w:val="21"/>
    </w:rPr>
  </w:style>
  <w:style w:type="character" w:customStyle="1" w:styleId="Char5">
    <w:name w:val="页眉的分析师 Char"/>
    <w:basedOn w:val="a0"/>
    <w:link w:val="a9"/>
    <w:rsid w:val="00B10000"/>
    <w:rPr>
      <w:rFonts w:ascii="华文新魏" w:eastAsia="华文新魏" w:hAnsi="Calibri" w:cs="Times New Roman"/>
      <w:szCs w:val="21"/>
    </w:rPr>
  </w:style>
  <w:style w:type="paragraph" w:customStyle="1" w:styleId="12">
    <w:name w:val="页眉12"/>
    <w:basedOn w:val="a3"/>
    <w:link w:val="12Char"/>
    <w:qFormat/>
    <w:rsid w:val="00B10000"/>
    <w:pPr>
      <w:pBdr>
        <w:bottom w:val="none" w:sz="0" w:space="0" w:color="auto"/>
      </w:pBdr>
      <w:tabs>
        <w:tab w:val="clear" w:pos="4153"/>
        <w:tab w:val="clear" w:pos="8306"/>
        <w:tab w:val="right" w:pos="11424"/>
      </w:tabs>
      <w:jc w:val="left"/>
    </w:pPr>
    <w:rPr>
      <w:rFonts w:ascii="Calibri" w:eastAsia="宋体" w:hAnsi="Calibri" w:cs="Times New Roman"/>
    </w:rPr>
  </w:style>
  <w:style w:type="character" w:customStyle="1" w:styleId="12Char">
    <w:name w:val="页眉12 Char"/>
    <w:basedOn w:val="Char"/>
    <w:link w:val="12"/>
    <w:rsid w:val="00B10000"/>
    <w:rPr>
      <w:rFonts w:ascii="Calibri" w:eastAsia="宋体" w:hAnsi="Calibri" w:cs="Times New Roman"/>
      <w:sz w:val="18"/>
      <w:szCs w:val="18"/>
    </w:rPr>
  </w:style>
  <w:style w:type="paragraph" w:customStyle="1" w:styleId="2">
    <w:name w:val="页眉副标题2"/>
    <w:basedOn w:val="12"/>
    <w:link w:val="2Char"/>
    <w:qFormat/>
    <w:rsid w:val="00B10000"/>
    <w:pPr>
      <w:jc w:val="right"/>
    </w:pPr>
    <w:rPr>
      <w:rFonts w:ascii="华文隶书" w:eastAsia="华文隶书"/>
      <w:sz w:val="21"/>
      <w:szCs w:val="21"/>
    </w:rPr>
  </w:style>
  <w:style w:type="character" w:customStyle="1" w:styleId="2Char">
    <w:name w:val="页眉副标题2 Char"/>
    <w:basedOn w:val="12Char"/>
    <w:link w:val="2"/>
    <w:rsid w:val="00B10000"/>
    <w:rPr>
      <w:rFonts w:ascii="华文隶书" w:eastAsia="华文隶书" w:hAnsi="Calibri" w:cs="Times New Roman"/>
      <w:sz w:val="18"/>
      <w:szCs w:val="21"/>
    </w:rPr>
  </w:style>
  <w:style w:type="paragraph" w:customStyle="1" w:styleId="aa">
    <w:name w:val="特别声明格式"/>
    <w:basedOn w:val="a"/>
    <w:link w:val="Char6"/>
    <w:qFormat/>
    <w:rsid w:val="00B10000"/>
    <w:pPr>
      <w:spacing w:afterLines="100" w:line="240" w:lineRule="exact"/>
    </w:pPr>
    <w:rPr>
      <w:rFonts w:ascii="华文隶书" w:eastAsia="华文隶书" w:hAnsi="Calibri" w:cs="Times New Roman"/>
      <w:sz w:val="28"/>
    </w:rPr>
  </w:style>
  <w:style w:type="character" w:customStyle="1" w:styleId="Char6">
    <w:name w:val="特别声明格式 Char"/>
    <w:basedOn w:val="a0"/>
    <w:link w:val="aa"/>
    <w:rsid w:val="00B10000"/>
    <w:rPr>
      <w:rFonts w:ascii="华文隶书" w:eastAsia="华文隶书" w:hAnsi="Calibri" w:cs="Times New Roman"/>
      <w:sz w:val="28"/>
    </w:rPr>
  </w:style>
  <w:style w:type="paragraph" w:styleId="ab">
    <w:name w:val="Body Text"/>
    <w:basedOn w:val="a"/>
    <w:link w:val="Char7"/>
    <w:rsid w:val="00B10000"/>
    <w:pPr>
      <w:widowControl/>
      <w:spacing w:after="120" w:line="240" w:lineRule="exact"/>
      <w:ind w:left="3402"/>
    </w:pPr>
    <w:rPr>
      <w:rFonts w:ascii="Arial" w:eastAsia="楷体_GB2312" w:hAnsi="Arial" w:cs="Times New Roman"/>
      <w:color w:val="000000"/>
      <w:kern w:val="0"/>
      <w:szCs w:val="20"/>
      <w:lang w:val="en-GB"/>
    </w:rPr>
  </w:style>
  <w:style w:type="character" w:customStyle="1" w:styleId="Char7">
    <w:name w:val="正文文本 Char"/>
    <w:basedOn w:val="a0"/>
    <w:link w:val="ab"/>
    <w:rsid w:val="00B10000"/>
    <w:rPr>
      <w:rFonts w:ascii="Arial" w:eastAsia="楷体_GB2312" w:hAnsi="Arial" w:cs="Times New Roman"/>
      <w:color w:val="000000"/>
      <w:kern w:val="0"/>
      <w:szCs w:val="20"/>
      <w:lang w:val="en-GB"/>
    </w:rPr>
  </w:style>
  <w:style w:type="paragraph" w:customStyle="1" w:styleId="FootnoteNoline">
    <w:name w:val="FootnoteNoline"/>
    <w:basedOn w:val="a"/>
    <w:next w:val="ab"/>
    <w:rsid w:val="008840A4"/>
    <w:pPr>
      <w:widowControl/>
      <w:tabs>
        <w:tab w:val="right" w:pos="10065"/>
      </w:tabs>
      <w:spacing w:before="40" w:after="160"/>
      <w:ind w:left="3402"/>
    </w:pPr>
    <w:rPr>
      <w:rFonts w:ascii="Arial" w:eastAsia="楷体_GB2312" w:hAnsi="Arial" w:cs="Arial"/>
      <w:color w:val="003765"/>
      <w:kern w:val="0"/>
      <w:sz w:val="15"/>
      <w:szCs w:val="14"/>
      <w:lang w:val="en-GB"/>
    </w:rPr>
  </w:style>
  <w:style w:type="paragraph" w:customStyle="1" w:styleId="SubTitleLargeTable">
    <w:name w:val="SubTitleLargeTable"/>
    <w:rsid w:val="008840A4"/>
    <w:pPr>
      <w:keepNext/>
      <w:pBdr>
        <w:top w:val="single" w:sz="6" w:space="1" w:color="666699"/>
      </w:pBdr>
      <w:suppressAutoHyphens/>
      <w:spacing w:after="40" w:line="240" w:lineRule="atLeast"/>
    </w:pPr>
    <w:rPr>
      <w:rFonts w:ascii="Arial" w:eastAsia="楷体_GB2312" w:hAnsi="Arial" w:cs="Arial"/>
      <w:b/>
      <w:bCs/>
      <w:i/>
      <w:iCs/>
      <w:color w:val="003765"/>
      <w:kern w:val="0"/>
      <w:szCs w:val="21"/>
      <w:lang w:val="en-GB"/>
    </w:rPr>
  </w:style>
  <w:style w:type="paragraph" w:styleId="ac">
    <w:name w:val="Balloon Text"/>
    <w:basedOn w:val="a"/>
    <w:link w:val="Char8"/>
    <w:uiPriority w:val="99"/>
    <w:semiHidden/>
    <w:unhideWhenUsed/>
    <w:rsid w:val="008840A4"/>
    <w:rPr>
      <w:sz w:val="18"/>
      <w:szCs w:val="18"/>
    </w:rPr>
  </w:style>
  <w:style w:type="character" w:customStyle="1" w:styleId="Char8">
    <w:name w:val="批注框文本 Char"/>
    <w:basedOn w:val="a0"/>
    <w:link w:val="ac"/>
    <w:uiPriority w:val="99"/>
    <w:semiHidden/>
    <w:rsid w:val="008840A4"/>
    <w:rPr>
      <w:sz w:val="18"/>
      <w:szCs w:val="18"/>
    </w:rPr>
  </w:style>
  <w:style w:type="paragraph" w:customStyle="1" w:styleId="CoverBullet">
    <w:name w:val="Cover Bullet"/>
    <w:rsid w:val="008840A4"/>
    <w:pPr>
      <w:numPr>
        <w:numId w:val="3"/>
      </w:numPr>
      <w:spacing w:before="120" w:after="120"/>
      <w:ind w:left="357" w:hanging="357"/>
    </w:pPr>
    <w:rPr>
      <w:rFonts w:ascii="LucidaSans" w:eastAsia="宋体" w:hAnsi="LucidaSans" w:cs="Times New Roman"/>
      <w:b/>
      <w:bCs/>
      <w:kern w:val="0"/>
      <w:sz w:val="20"/>
      <w:szCs w:val="20"/>
      <w:lang w:val="en-GB"/>
    </w:rPr>
  </w:style>
  <w:style w:type="paragraph" w:styleId="ad">
    <w:name w:val="List Paragraph"/>
    <w:basedOn w:val="a"/>
    <w:uiPriority w:val="34"/>
    <w:qFormat/>
    <w:rsid w:val="002630FB"/>
    <w:pPr>
      <w:ind w:firstLineChars="200" w:firstLine="420"/>
    </w:pPr>
  </w:style>
  <w:style w:type="paragraph" w:customStyle="1" w:styleId="SourceLarge">
    <w:name w:val="SourceLarge"/>
    <w:rsid w:val="00875DC2"/>
    <w:pPr>
      <w:tabs>
        <w:tab w:val="left" w:pos="5216"/>
        <w:tab w:val="right" w:pos="9866"/>
      </w:tabs>
      <w:suppressAutoHyphens/>
      <w:spacing w:line="160" w:lineRule="atLeast"/>
    </w:pPr>
    <w:rPr>
      <w:rFonts w:ascii="LucidaSans" w:eastAsia="宋体" w:hAnsi="LucidaSans" w:cs="Times New Roman"/>
      <w:kern w:val="0"/>
      <w:sz w:val="12"/>
      <w:szCs w:val="12"/>
      <w:lang w:val="en-GB"/>
    </w:rPr>
  </w:style>
  <w:style w:type="paragraph" w:customStyle="1" w:styleId="BulletCoverpage">
    <w:name w:val="Bullet Cover page"/>
    <w:basedOn w:val="a"/>
    <w:rsid w:val="00875DC2"/>
    <w:pPr>
      <w:widowControl/>
      <w:numPr>
        <w:numId w:val="4"/>
      </w:numPr>
      <w:suppressAutoHyphens/>
      <w:spacing w:after="200" w:line="240" w:lineRule="atLeast"/>
    </w:pPr>
    <w:rPr>
      <w:rFonts w:ascii="Arial" w:eastAsia="楷体_GB2312" w:hAnsi="Arial" w:cs="Times New Roman"/>
      <w:kern w:val="0"/>
      <w:sz w:val="18"/>
      <w:szCs w:val="20"/>
      <w:lang w:val="en-GB"/>
    </w:rPr>
  </w:style>
  <w:style w:type="character" w:styleId="ae">
    <w:name w:val="Hyperlink"/>
    <w:basedOn w:val="a0"/>
    <w:uiPriority w:val="99"/>
    <w:semiHidden/>
    <w:unhideWhenUsed/>
    <w:rsid w:val="008A7FEE"/>
    <w:rPr>
      <w:strike w:val="0"/>
      <w:dstrike w:val="0"/>
      <w:color w:val="000000"/>
      <w:u w:val="none"/>
      <w:effect w:val="none"/>
    </w:rPr>
  </w:style>
  <w:style w:type="paragraph" w:styleId="af">
    <w:name w:val="Normal (Web)"/>
    <w:basedOn w:val="a"/>
    <w:uiPriority w:val="99"/>
    <w:semiHidden/>
    <w:unhideWhenUsed/>
    <w:rsid w:val="008A7FEE"/>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5081549">
      <w:bodyDiv w:val="1"/>
      <w:marLeft w:val="0"/>
      <w:marRight w:val="0"/>
      <w:marTop w:val="0"/>
      <w:marBottom w:val="0"/>
      <w:divBdr>
        <w:top w:val="none" w:sz="0" w:space="0" w:color="auto"/>
        <w:left w:val="none" w:sz="0" w:space="0" w:color="auto"/>
        <w:bottom w:val="none" w:sz="0" w:space="0" w:color="auto"/>
        <w:right w:val="none" w:sz="0" w:space="0" w:color="auto"/>
      </w:divBdr>
      <w:divsChild>
        <w:div w:id="136071357">
          <w:marLeft w:val="0"/>
          <w:marRight w:val="0"/>
          <w:marTop w:val="0"/>
          <w:marBottom w:val="0"/>
          <w:divBdr>
            <w:top w:val="none" w:sz="0" w:space="0" w:color="auto"/>
            <w:left w:val="none" w:sz="0" w:space="0" w:color="auto"/>
            <w:bottom w:val="none" w:sz="0" w:space="0" w:color="auto"/>
            <w:right w:val="none" w:sz="0" w:space="0" w:color="auto"/>
          </w:divBdr>
          <w:divsChild>
            <w:div w:id="1398166541">
              <w:marLeft w:val="0"/>
              <w:marRight w:val="0"/>
              <w:marTop w:val="0"/>
              <w:marBottom w:val="0"/>
              <w:divBdr>
                <w:top w:val="none" w:sz="0" w:space="0" w:color="auto"/>
                <w:left w:val="none" w:sz="0" w:space="0" w:color="auto"/>
                <w:bottom w:val="none" w:sz="0" w:space="0" w:color="auto"/>
                <w:right w:val="none" w:sz="0" w:space="0" w:color="auto"/>
              </w:divBdr>
              <w:divsChild>
                <w:div w:id="1969772329">
                  <w:marLeft w:val="0"/>
                  <w:marRight w:val="0"/>
                  <w:marTop w:val="0"/>
                  <w:marBottom w:val="0"/>
                  <w:divBdr>
                    <w:top w:val="single" w:sz="18" w:space="0" w:color="08237A"/>
                    <w:left w:val="none" w:sz="0" w:space="0" w:color="auto"/>
                    <w:bottom w:val="none" w:sz="0" w:space="0" w:color="auto"/>
                    <w:right w:val="none" w:sz="0" w:space="0" w:color="auto"/>
                  </w:divBdr>
                  <w:divsChild>
                    <w:div w:id="2000113312">
                      <w:marLeft w:val="0"/>
                      <w:marRight w:val="0"/>
                      <w:marTop w:val="0"/>
                      <w:marBottom w:val="0"/>
                      <w:divBdr>
                        <w:top w:val="single" w:sz="2" w:space="8" w:color="BBBBBB"/>
                        <w:left w:val="single" w:sz="6" w:space="0" w:color="BBBBBB"/>
                        <w:bottom w:val="single" w:sz="6" w:space="0" w:color="BBBBBB"/>
                        <w:right w:val="single" w:sz="6" w:space="0" w:color="BBBBBB"/>
                      </w:divBdr>
                      <w:divsChild>
                        <w:div w:id="1573543398">
                          <w:marLeft w:val="0"/>
                          <w:marRight w:val="0"/>
                          <w:marTop w:val="0"/>
                          <w:marBottom w:val="0"/>
                          <w:divBdr>
                            <w:top w:val="none" w:sz="0" w:space="0" w:color="auto"/>
                            <w:left w:val="none" w:sz="0" w:space="0" w:color="auto"/>
                            <w:bottom w:val="none" w:sz="0" w:space="0" w:color="auto"/>
                            <w:right w:val="none" w:sz="0" w:space="0" w:color="auto"/>
                          </w:divBdr>
                          <w:divsChild>
                            <w:div w:id="1916433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77277">
      <w:bodyDiv w:val="1"/>
      <w:marLeft w:val="0"/>
      <w:marRight w:val="0"/>
      <w:marTop w:val="0"/>
      <w:marBottom w:val="0"/>
      <w:divBdr>
        <w:top w:val="none" w:sz="0" w:space="0" w:color="auto"/>
        <w:left w:val="none" w:sz="0" w:space="0" w:color="auto"/>
        <w:bottom w:val="none" w:sz="0" w:space="0" w:color="auto"/>
        <w:right w:val="none" w:sz="0" w:space="0" w:color="auto"/>
      </w:divBdr>
      <w:divsChild>
        <w:div w:id="82528568">
          <w:marLeft w:val="0"/>
          <w:marRight w:val="0"/>
          <w:marTop w:val="0"/>
          <w:marBottom w:val="0"/>
          <w:divBdr>
            <w:top w:val="none" w:sz="0" w:space="0" w:color="auto"/>
            <w:left w:val="none" w:sz="0" w:space="0" w:color="auto"/>
            <w:bottom w:val="none" w:sz="0" w:space="0" w:color="auto"/>
            <w:right w:val="none" w:sz="0" w:space="0" w:color="auto"/>
          </w:divBdr>
          <w:divsChild>
            <w:div w:id="2039119017">
              <w:marLeft w:val="0"/>
              <w:marRight w:val="0"/>
              <w:marTop w:val="0"/>
              <w:marBottom w:val="0"/>
              <w:divBdr>
                <w:top w:val="none" w:sz="0" w:space="0" w:color="auto"/>
                <w:left w:val="none" w:sz="0" w:space="0" w:color="auto"/>
                <w:bottom w:val="none" w:sz="0" w:space="0" w:color="auto"/>
                <w:right w:val="none" w:sz="0" w:space="0" w:color="auto"/>
              </w:divBdr>
              <w:divsChild>
                <w:div w:id="485781892">
                  <w:marLeft w:val="0"/>
                  <w:marRight w:val="0"/>
                  <w:marTop w:val="0"/>
                  <w:marBottom w:val="0"/>
                  <w:divBdr>
                    <w:top w:val="none" w:sz="0" w:space="0" w:color="auto"/>
                    <w:left w:val="none" w:sz="0" w:space="0" w:color="auto"/>
                    <w:bottom w:val="none" w:sz="0" w:space="0" w:color="auto"/>
                    <w:right w:val="none" w:sz="0" w:space="0" w:color="auto"/>
                  </w:divBdr>
                  <w:divsChild>
                    <w:div w:id="484666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80817">
      <w:bodyDiv w:val="1"/>
      <w:marLeft w:val="0"/>
      <w:marRight w:val="0"/>
      <w:marTop w:val="0"/>
      <w:marBottom w:val="0"/>
      <w:divBdr>
        <w:top w:val="none" w:sz="0" w:space="0" w:color="auto"/>
        <w:left w:val="none" w:sz="0" w:space="0" w:color="auto"/>
        <w:bottom w:val="none" w:sz="0" w:space="0" w:color="auto"/>
        <w:right w:val="none" w:sz="0" w:space="0" w:color="auto"/>
      </w:divBdr>
      <w:divsChild>
        <w:div w:id="97019511">
          <w:marLeft w:val="0"/>
          <w:marRight w:val="0"/>
          <w:marTop w:val="0"/>
          <w:marBottom w:val="0"/>
          <w:divBdr>
            <w:top w:val="none" w:sz="0" w:space="0" w:color="auto"/>
            <w:left w:val="none" w:sz="0" w:space="0" w:color="auto"/>
            <w:bottom w:val="none" w:sz="0" w:space="0" w:color="auto"/>
            <w:right w:val="none" w:sz="0" w:space="0" w:color="auto"/>
          </w:divBdr>
        </w:div>
      </w:divsChild>
    </w:div>
    <w:div w:id="352002897">
      <w:bodyDiv w:val="1"/>
      <w:marLeft w:val="0"/>
      <w:marRight w:val="0"/>
      <w:marTop w:val="0"/>
      <w:marBottom w:val="0"/>
      <w:divBdr>
        <w:top w:val="none" w:sz="0" w:space="0" w:color="auto"/>
        <w:left w:val="none" w:sz="0" w:space="0" w:color="auto"/>
        <w:bottom w:val="none" w:sz="0" w:space="0" w:color="auto"/>
        <w:right w:val="none" w:sz="0" w:space="0" w:color="auto"/>
      </w:divBdr>
      <w:divsChild>
        <w:div w:id="115175382">
          <w:marLeft w:val="0"/>
          <w:marRight w:val="0"/>
          <w:marTop w:val="0"/>
          <w:marBottom w:val="0"/>
          <w:divBdr>
            <w:top w:val="none" w:sz="0" w:space="0" w:color="auto"/>
            <w:left w:val="none" w:sz="0" w:space="0" w:color="auto"/>
            <w:bottom w:val="none" w:sz="0" w:space="0" w:color="auto"/>
            <w:right w:val="none" w:sz="0" w:space="0" w:color="auto"/>
          </w:divBdr>
          <w:divsChild>
            <w:div w:id="92822488">
              <w:marLeft w:val="0"/>
              <w:marRight w:val="0"/>
              <w:marTop w:val="0"/>
              <w:marBottom w:val="0"/>
              <w:divBdr>
                <w:top w:val="none" w:sz="0" w:space="0" w:color="auto"/>
                <w:left w:val="none" w:sz="0" w:space="0" w:color="auto"/>
                <w:bottom w:val="none" w:sz="0" w:space="0" w:color="auto"/>
                <w:right w:val="none" w:sz="0" w:space="0" w:color="auto"/>
              </w:divBdr>
              <w:divsChild>
                <w:div w:id="1875843377">
                  <w:marLeft w:val="0"/>
                  <w:marRight w:val="0"/>
                  <w:marTop w:val="0"/>
                  <w:marBottom w:val="0"/>
                  <w:divBdr>
                    <w:top w:val="none" w:sz="0" w:space="0" w:color="auto"/>
                    <w:left w:val="none" w:sz="0" w:space="0" w:color="auto"/>
                    <w:bottom w:val="none" w:sz="0" w:space="0" w:color="auto"/>
                    <w:right w:val="none" w:sz="0" w:space="0" w:color="auto"/>
                  </w:divBdr>
                  <w:divsChild>
                    <w:div w:id="743840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555151">
      <w:bodyDiv w:val="1"/>
      <w:marLeft w:val="0"/>
      <w:marRight w:val="0"/>
      <w:marTop w:val="0"/>
      <w:marBottom w:val="0"/>
      <w:divBdr>
        <w:top w:val="none" w:sz="0" w:space="0" w:color="auto"/>
        <w:left w:val="none" w:sz="0" w:space="0" w:color="auto"/>
        <w:bottom w:val="none" w:sz="0" w:space="0" w:color="auto"/>
        <w:right w:val="none" w:sz="0" w:space="0" w:color="auto"/>
      </w:divBdr>
      <w:divsChild>
        <w:div w:id="574821741">
          <w:marLeft w:val="0"/>
          <w:marRight w:val="0"/>
          <w:marTop w:val="0"/>
          <w:marBottom w:val="0"/>
          <w:divBdr>
            <w:top w:val="none" w:sz="0" w:space="0" w:color="auto"/>
            <w:left w:val="none" w:sz="0" w:space="0" w:color="auto"/>
            <w:bottom w:val="none" w:sz="0" w:space="0" w:color="auto"/>
            <w:right w:val="none" w:sz="0" w:space="0" w:color="auto"/>
          </w:divBdr>
          <w:divsChild>
            <w:div w:id="1773016196">
              <w:marLeft w:val="0"/>
              <w:marRight w:val="0"/>
              <w:marTop w:val="0"/>
              <w:marBottom w:val="0"/>
              <w:divBdr>
                <w:top w:val="none" w:sz="0" w:space="0" w:color="auto"/>
                <w:left w:val="none" w:sz="0" w:space="0" w:color="auto"/>
                <w:bottom w:val="none" w:sz="0" w:space="0" w:color="auto"/>
                <w:right w:val="none" w:sz="0" w:space="0" w:color="auto"/>
              </w:divBdr>
              <w:divsChild>
                <w:div w:id="23751824">
                  <w:marLeft w:val="0"/>
                  <w:marRight w:val="0"/>
                  <w:marTop w:val="0"/>
                  <w:marBottom w:val="0"/>
                  <w:divBdr>
                    <w:top w:val="none" w:sz="0" w:space="0" w:color="auto"/>
                    <w:left w:val="none" w:sz="0" w:space="0" w:color="auto"/>
                    <w:bottom w:val="none" w:sz="0" w:space="0" w:color="auto"/>
                    <w:right w:val="none" w:sz="0" w:space="0" w:color="auto"/>
                  </w:divBdr>
                  <w:divsChild>
                    <w:div w:id="1461070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582711">
      <w:bodyDiv w:val="1"/>
      <w:marLeft w:val="0"/>
      <w:marRight w:val="0"/>
      <w:marTop w:val="0"/>
      <w:marBottom w:val="0"/>
      <w:divBdr>
        <w:top w:val="none" w:sz="0" w:space="0" w:color="auto"/>
        <w:left w:val="none" w:sz="0" w:space="0" w:color="auto"/>
        <w:bottom w:val="none" w:sz="0" w:space="0" w:color="auto"/>
        <w:right w:val="none" w:sz="0" w:space="0" w:color="auto"/>
      </w:divBdr>
      <w:divsChild>
        <w:div w:id="685257011">
          <w:marLeft w:val="0"/>
          <w:marRight w:val="0"/>
          <w:marTop w:val="0"/>
          <w:marBottom w:val="0"/>
          <w:divBdr>
            <w:top w:val="single" w:sz="18" w:space="0" w:color="F6F6F6"/>
            <w:left w:val="none" w:sz="0" w:space="0" w:color="auto"/>
            <w:bottom w:val="none" w:sz="0" w:space="0" w:color="auto"/>
            <w:right w:val="none" w:sz="0" w:space="0" w:color="auto"/>
          </w:divBdr>
          <w:divsChild>
            <w:div w:id="179515703">
              <w:marLeft w:val="0"/>
              <w:marRight w:val="0"/>
              <w:marTop w:val="0"/>
              <w:marBottom w:val="0"/>
              <w:divBdr>
                <w:top w:val="none" w:sz="0" w:space="0" w:color="auto"/>
                <w:left w:val="none" w:sz="0" w:space="0" w:color="auto"/>
                <w:bottom w:val="none" w:sz="0" w:space="0" w:color="auto"/>
                <w:right w:val="none" w:sz="0" w:space="0" w:color="auto"/>
              </w:divBdr>
              <w:divsChild>
                <w:div w:id="988360230">
                  <w:marLeft w:val="0"/>
                  <w:marRight w:val="0"/>
                  <w:marTop w:val="0"/>
                  <w:marBottom w:val="0"/>
                  <w:divBdr>
                    <w:top w:val="none" w:sz="0" w:space="0" w:color="auto"/>
                    <w:left w:val="none" w:sz="0" w:space="0" w:color="auto"/>
                    <w:bottom w:val="none" w:sz="0" w:space="0" w:color="auto"/>
                    <w:right w:val="none" w:sz="0" w:space="0" w:color="auto"/>
                  </w:divBdr>
                  <w:divsChild>
                    <w:div w:id="687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7164066">
      <w:bodyDiv w:val="1"/>
      <w:marLeft w:val="0"/>
      <w:marRight w:val="0"/>
      <w:marTop w:val="0"/>
      <w:marBottom w:val="0"/>
      <w:divBdr>
        <w:top w:val="none" w:sz="0" w:space="0" w:color="auto"/>
        <w:left w:val="none" w:sz="0" w:space="0" w:color="auto"/>
        <w:bottom w:val="none" w:sz="0" w:space="0" w:color="auto"/>
        <w:right w:val="none" w:sz="0" w:space="0" w:color="auto"/>
      </w:divBdr>
      <w:divsChild>
        <w:div w:id="296180593">
          <w:marLeft w:val="0"/>
          <w:marRight w:val="0"/>
          <w:marTop w:val="0"/>
          <w:marBottom w:val="0"/>
          <w:divBdr>
            <w:top w:val="none" w:sz="0" w:space="0" w:color="auto"/>
            <w:left w:val="none" w:sz="0" w:space="0" w:color="auto"/>
            <w:bottom w:val="none" w:sz="0" w:space="0" w:color="auto"/>
            <w:right w:val="none" w:sz="0" w:space="0" w:color="auto"/>
          </w:divBdr>
          <w:divsChild>
            <w:div w:id="1953786261">
              <w:marLeft w:val="0"/>
              <w:marRight w:val="0"/>
              <w:marTop w:val="0"/>
              <w:marBottom w:val="0"/>
              <w:divBdr>
                <w:top w:val="none" w:sz="0" w:space="0" w:color="auto"/>
                <w:left w:val="none" w:sz="0" w:space="0" w:color="auto"/>
                <w:bottom w:val="none" w:sz="0" w:space="0" w:color="auto"/>
                <w:right w:val="none" w:sz="0" w:space="0" w:color="auto"/>
              </w:divBdr>
              <w:divsChild>
                <w:div w:id="1611816696">
                  <w:marLeft w:val="0"/>
                  <w:marRight w:val="0"/>
                  <w:marTop w:val="0"/>
                  <w:marBottom w:val="0"/>
                  <w:divBdr>
                    <w:top w:val="none" w:sz="0" w:space="0" w:color="auto"/>
                    <w:left w:val="none" w:sz="0" w:space="0" w:color="auto"/>
                    <w:bottom w:val="none" w:sz="0" w:space="0" w:color="auto"/>
                    <w:right w:val="none" w:sz="0" w:space="0" w:color="auto"/>
                  </w:divBdr>
                  <w:divsChild>
                    <w:div w:id="1339043736">
                      <w:marLeft w:val="0"/>
                      <w:marRight w:val="0"/>
                      <w:marTop w:val="0"/>
                      <w:marBottom w:val="0"/>
                      <w:divBdr>
                        <w:top w:val="single" w:sz="6" w:space="15" w:color="C0D8F2"/>
                        <w:left w:val="single" w:sz="6" w:space="18" w:color="C0D8F2"/>
                        <w:bottom w:val="single" w:sz="6" w:space="11" w:color="C0D8F2"/>
                        <w:right w:val="single" w:sz="6" w:space="18" w:color="C0D8F2"/>
                      </w:divBdr>
                      <w:divsChild>
                        <w:div w:id="131605859">
                          <w:marLeft w:val="0"/>
                          <w:marRight w:val="0"/>
                          <w:marTop w:val="0"/>
                          <w:marBottom w:val="0"/>
                          <w:divBdr>
                            <w:top w:val="none" w:sz="0" w:space="0" w:color="auto"/>
                            <w:left w:val="none" w:sz="0" w:space="0" w:color="auto"/>
                            <w:bottom w:val="none" w:sz="0" w:space="0" w:color="auto"/>
                            <w:right w:val="none" w:sz="0" w:space="0" w:color="auto"/>
                          </w:divBdr>
                          <w:divsChild>
                            <w:div w:id="14957598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5204059">
      <w:bodyDiv w:val="1"/>
      <w:marLeft w:val="0"/>
      <w:marRight w:val="0"/>
      <w:marTop w:val="0"/>
      <w:marBottom w:val="0"/>
      <w:divBdr>
        <w:top w:val="none" w:sz="0" w:space="0" w:color="auto"/>
        <w:left w:val="none" w:sz="0" w:space="0" w:color="auto"/>
        <w:bottom w:val="none" w:sz="0" w:space="0" w:color="auto"/>
        <w:right w:val="none" w:sz="0" w:space="0" w:color="auto"/>
      </w:divBdr>
      <w:divsChild>
        <w:div w:id="273291827">
          <w:marLeft w:val="0"/>
          <w:marRight w:val="0"/>
          <w:marTop w:val="0"/>
          <w:marBottom w:val="0"/>
          <w:divBdr>
            <w:top w:val="none" w:sz="0" w:space="0" w:color="auto"/>
            <w:left w:val="none" w:sz="0" w:space="0" w:color="auto"/>
            <w:bottom w:val="none" w:sz="0" w:space="0" w:color="auto"/>
            <w:right w:val="none" w:sz="0" w:space="0" w:color="auto"/>
          </w:divBdr>
          <w:divsChild>
            <w:div w:id="1133326677">
              <w:marLeft w:val="0"/>
              <w:marRight w:val="0"/>
              <w:marTop w:val="0"/>
              <w:marBottom w:val="0"/>
              <w:divBdr>
                <w:top w:val="none" w:sz="0" w:space="0" w:color="auto"/>
                <w:left w:val="none" w:sz="0" w:space="0" w:color="auto"/>
                <w:bottom w:val="none" w:sz="0" w:space="0" w:color="auto"/>
                <w:right w:val="none" w:sz="0" w:space="0" w:color="auto"/>
              </w:divBdr>
              <w:divsChild>
                <w:div w:id="2124878114">
                  <w:marLeft w:val="0"/>
                  <w:marRight w:val="0"/>
                  <w:marTop w:val="0"/>
                  <w:marBottom w:val="0"/>
                  <w:divBdr>
                    <w:top w:val="single" w:sz="18" w:space="0" w:color="08237A"/>
                    <w:left w:val="none" w:sz="0" w:space="0" w:color="auto"/>
                    <w:bottom w:val="none" w:sz="0" w:space="0" w:color="auto"/>
                    <w:right w:val="none" w:sz="0" w:space="0" w:color="auto"/>
                  </w:divBdr>
                  <w:divsChild>
                    <w:div w:id="1762414594">
                      <w:marLeft w:val="0"/>
                      <w:marRight w:val="0"/>
                      <w:marTop w:val="0"/>
                      <w:marBottom w:val="0"/>
                      <w:divBdr>
                        <w:top w:val="single" w:sz="2" w:space="8" w:color="BBBBBB"/>
                        <w:left w:val="single" w:sz="6" w:space="0" w:color="BBBBBB"/>
                        <w:bottom w:val="single" w:sz="6" w:space="0" w:color="BBBBBB"/>
                        <w:right w:val="single" w:sz="6" w:space="0" w:color="BBBBBB"/>
                      </w:divBdr>
                      <w:divsChild>
                        <w:div w:id="2055032517">
                          <w:marLeft w:val="0"/>
                          <w:marRight w:val="0"/>
                          <w:marTop w:val="0"/>
                          <w:marBottom w:val="0"/>
                          <w:divBdr>
                            <w:top w:val="none" w:sz="0" w:space="0" w:color="auto"/>
                            <w:left w:val="none" w:sz="0" w:space="0" w:color="auto"/>
                            <w:bottom w:val="none" w:sz="0" w:space="0" w:color="auto"/>
                            <w:right w:val="none" w:sz="0" w:space="0" w:color="auto"/>
                          </w:divBdr>
                          <w:divsChild>
                            <w:div w:id="159620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9005056">
      <w:bodyDiv w:val="1"/>
      <w:marLeft w:val="0"/>
      <w:marRight w:val="0"/>
      <w:marTop w:val="0"/>
      <w:marBottom w:val="0"/>
      <w:divBdr>
        <w:top w:val="none" w:sz="0" w:space="0" w:color="auto"/>
        <w:left w:val="none" w:sz="0" w:space="0" w:color="auto"/>
        <w:bottom w:val="none" w:sz="0" w:space="0" w:color="auto"/>
        <w:right w:val="none" w:sz="0" w:space="0" w:color="auto"/>
      </w:divBdr>
      <w:divsChild>
        <w:div w:id="1250387762">
          <w:marLeft w:val="0"/>
          <w:marRight w:val="0"/>
          <w:marTop w:val="0"/>
          <w:marBottom w:val="0"/>
          <w:divBdr>
            <w:top w:val="none" w:sz="0" w:space="0" w:color="auto"/>
            <w:left w:val="none" w:sz="0" w:space="0" w:color="auto"/>
            <w:bottom w:val="none" w:sz="0" w:space="0" w:color="auto"/>
            <w:right w:val="none" w:sz="0" w:space="0" w:color="auto"/>
          </w:divBdr>
          <w:divsChild>
            <w:div w:id="982194837">
              <w:marLeft w:val="0"/>
              <w:marRight w:val="0"/>
              <w:marTop w:val="0"/>
              <w:marBottom w:val="0"/>
              <w:divBdr>
                <w:top w:val="none" w:sz="0" w:space="0" w:color="auto"/>
                <w:left w:val="none" w:sz="0" w:space="0" w:color="auto"/>
                <w:bottom w:val="none" w:sz="0" w:space="0" w:color="auto"/>
                <w:right w:val="none" w:sz="0" w:space="0" w:color="auto"/>
              </w:divBdr>
              <w:divsChild>
                <w:div w:id="575407800">
                  <w:marLeft w:val="0"/>
                  <w:marRight w:val="0"/>
                  <w:marTop w:val="0"/>
                  <w:marBottom w:val="0"/>
                  <w:divBdr>
                    <w:top w:val="none" w:sz="0" w:space="0" w:color="auto"/>
                    <w:left w:val="none" w:sz="0" w:space="0" w:color="auto"/>
                    <w:bottom w:val="none" w:sz="0" w:space="0" w:color="auto"/>
                    <w:right w:val="none" w:sz="0" w:space="0" w:color="auto"/>
                  </w:divBdr>
                  <w:divsChild>
                    <w:div w:id="1091851938">
                      <w:marLeft w:val="0"/>
                      <w:marRight w:val="0"/>
                      <w:marTop w:val="0"/>
                      <w:marBottom w:val="0"/>
                      <w:divBdr>
                        <w:top w:val="none" w:sz="0" w:space="0" w:color="auto"/>
                        <w:left w:val="none" w:sz="0" w:space="0" w:color="auto"/>
                        <w:bottom w:val="none" w:sz="0" w:space="0" w:color="auto"/>
                        <w:right w:val="none" w:sz="0" w:space="0" w:color="auto"/>
                      </w:divBdr>
                      <w:divsChild>
                        <w:div w:id="181869858">
                          <w:marLeft w:val="0"/>
                          <w:marRight w:val="0"/>
                          <w:marTop w:val="0"/>
                          <w:marBottom w:val="0"/>
                          <w:divBdr>
                            <w:top w:val="none" w:sz="0" w:space="0" w:color="auto"/>
                            <w:left w:val="none" w:sz="0" w:space="0" w:color="auto"/>
                            <w:bottom w:val="none" w:sz="0" w:space="0" w:color="auto"/>
                            <w:right w:val="single" w:sz="4" w:space="0" w:color="E9EAEE"/>
                          </w:divBdr>
                          <w:divsChild>
                            <w:div w:id="1107506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9072">
      <w:bodyDiv w:val="1"/>
      <w:marLeft w:val="0"/>
      <w:marRight w:val="0"/>
      <w:marTop w:val="0"/>
      <w:marBottom w:val="0"/>
      <w:divBdr>
        <w:top w:val="none" w:sz="0" w:space="0" w:color="auto"/>
        <w:left w:val="none" w:sz="0" w:space="0" w:color="auto"/>
        <w:bottom w:val="none" w:sz="0" w:space="0" w:color="auto"/>
        <w:right w:val="none" w:sz="0" w:space="0" w:color="auto"/>
      </w:divBdr>
      <w:divsChild>
        <w:div w:id="1181237964">
          <w:marLeft w:val="0"/>
          <w:marRight w:val="0"/>
          <w:marTop w:val="0"/>
          <w:marBottom w:val="0"/>
          <w:divBdr>
            <w:top w:val="none" w:sz="0" w:space="0" w:color="auto"/>
            <w:left w:val="none" w:sz="0" w:space="0" w:color="auto"/>
            <w:bottom w:val="none" w:sz="0" w:space="0" w:color="auto"/>
            <w:right w:val="none" w:sz="0" w:space="0" w:color="auto"/>
          </w:divBdr>
        </w:div>
      </w:divsChild>
    </w:div>
    <w:div w:id="701631983">
      <w:bodyDiv w:val="1"/>
      <w:marLeft w:val="0"/>
      <w:marRight w:val="0"/>
      <w:marTop w:val="0"/>
      <w:marBottom w:val="0"/>
      <w:divBdr>
        <w:top w:val="none" w:sz="0" w:space="0" w:color="auto"/>
        <w:left w:val="none" w:sz="0" w:space="0" w:color="auto"/>
        <w:bottom w:val="none" w:sz="0" w:space="0" w:color="auto"/>
        <w:right w:val="none" w:sz="0" w:space="0" w:color="auto"/>
      </w:divBdr>
      <w:divsChild>
        <w:div w:id="1831284613">
          <w:marLeft w:val="0"/>
          <w:marRight w:val="0"/>
          <w:marTop w:val="75"/>
          <w:marBottom w:val="75"/>
          <w:divBdr>
            <w:top w:val="none" w:sz="0" w:space="0" w:color="auto"/>
            <w:left w:val="none" w:sz="0" w:space="0" w:color="auto"/>
            <w:bottom w:val="none" w:sz="0" w:space="0" w:color="auto"/>
            <w:right w:val="none" w:sz="0" w:space="0" w:color="auto"/>
          </w:divBdr>
          <w:divsChild>
            <w:div w:id="1707363373">
              <w:marLeft w:val="0"/>
              <w:marRight w:val="0"/>
              <w:marTop w:val="0"/>
              <w:marBottom w:val="0"/>
              <w:divBdr>
                <w:top w:val="single" w:sz="6" w:space="0" w:color="BEBEBE"/>
                <w:left w:val="single" w:sz="6" w:space="0" w:color="BEBEBE"/>
                <w:bottom w:val="single" w:sz="6" w:space="0" w:color="BEBEBE"/>
                <w:right w:val="single" w:sz="6" w:space="0" w:color="BEBEBE"/>
              </w:divBdr>
              <w:divsChild>
                <w:div w:id="1338849477">
                  <w:marLeft w:val="0"/>
                  <w:marRight w:val="0"/>
                  <w:marTop w:val="0"/>
                  <w:marBottom w:val="0"/>
                  <w:divBdr>
                    <w:top w:val="none" w:sz="0" w:space="0" w:color="auto"/>
                    <w:left w:val="none" w:sz="0" w:space="0" w:color="auto"/>
                    <w:bottom w:val="none" w:sz="0" w:space="0" w:color="auto"/>
                    <w:right w:val="none" w:sz="0" w:space="0" w:color="auto"/>
                  </w:divBdr>
                  <w:divsChild>
                    <w:div w:id="964433213">
                      <w:marLeft w:val="0"/>
                      <w:marRight w:val="0"/>
                      <w:marTop w:val="0"/>
                      <w:marBottom w:val="0"/>
                      <w:divBdr>
                        <w:top w:val="none" w:sz="0" w:space="0" w:color="auto"/>
                        <w:left w:val="none" w:sz="0" w:space="0" w:color="auto"/>
                        <w:bottom w:val="none" w:sz="0" w:space="0" w:color="auto"/>
                        <w:right w:val="none" w:sz="0" w:space="0" w:color="auto"/>
                      </w:divBdr>
                      <w:divsChild>
                        <w:div w:id="200416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1759024">
      <w:bodyDiv w:val="1"/>
      <w:marLeft w:val="0"/>
      <w:marRight w:val="0"/>
      <w:marTop w:val="0"/>
      <w:marBottom w:val="0"/>
      <w:divBdr>
        <w:top w:val="none" w:sz="0" w:space="0" w:color="auto"/>
        <w:left w:val="none" w:sz="0" w:space="0" w:color="auto"/>
        <w:bottom w:val="none" w:sz="0" w:space="0" w:color="auto"/>
        <w:right w:val="none" w:sz="0" w:space="0" w:color="auto"/>
      </w:divBdr>
      <w:divsChild>
        <w:div w:id="1699817129">
          <w:marLeft w:val="0"/>
          <w:marRight w:val="0"/>
          <w:marTop w:val="0"/>
          <w:marBottom w:val="0"/>
          <w:divBdr>
            <w:top w:val="none" w:sz="0" w:space="0" w:color="auto"/>
            <w:left w:val="none" w:sz="0" w:space="0" w:color="auto"/>
            <w:bottom w:val="none" w:sz="0" w:space="0" w:color="auto"/>
            <w:right w:val="none" w:sz="0" w:space="0" w:color="auto"/>
          </w:divBdr>
          <w:divsChild>
            <w:div w:id="374549359">
              <w:marLeft w:val="0"/>
              <w:marRight w:val="0"/>
              <w:marTop w:val="0"/>
              <w:marBottom w:val="0"/>
              <w:divBdr>
                <w:top w:val="none" w:sz="0" w:space="0" w:color="auto"/>
                <w:left w:val="none" w:sz="0" w:space="0" w:color="auto"/>
                <w:bottom w:val="none" w:sz="0" w:space="0" w:color="auto"/>
                <w:right w:val="none" w:sz="0" w:space="0" w:color="auto"/>
              </w:divBdr>
              <w:divsChild>
                <w:div w:id="814374876">
                  <w:marLeft w:val="0"/>
                  <w:marRight w:val="0"/>
                  <w:marTop w:val="0"/>
                  <w:marBottom w:val="0"/>
                  <w:divBdr>
                    <w:top w:val="none" w:sz="0" w:space="0" w:color="auto"/>
                    <w:left w:val="none" w:sz="0" w:space="0" w:color="auto"/>
                    <w:bottom w:val="none" w:sz="0" w:space="0" w:color="auto"/>
                    <w:right w:val="none" w:sz="0" w:space="0" w:color="auto"/>
                  </w:divBdr>
                  <w:divsChild>
                    <w:div w:id="626201149">
                      <w:marLeft w:val="0"/>
                      <w:marRight w:val="0"/>
                      <w:marTop w:val="0"/>
                      <w:marBottom w:val="0"/>
                      <w:divBdr>
                        <w:top w:val="none" w:sz="0" w:space="0" w:color="auto"/>
                        <w:left w:val="none" w:sz="0" w:space="0" w:color="auto"/>
                        <w:bottom w:val="none" w:sz="0" w:space="0" w:color="auto"/>
                        <w:right w:val="none" w:sz="0" w:space="0" w:color="auto"/>
                      </w:divBdr>
                      <w:divsChild>
                        <w:div w:id="850026300">
                          <w:marLeft w:val="0"/>
                          <w:marRight w:val="0"/>
                          <w:marTop w:val="0"/>
                          <w:marBottom w:val="0"/>
                          <w:divBdr>
                            <w:top w:val="none" w:sz="0" w:space="0" w:color="auto"/>
                            <w:left w:val="none" w:sz="0" w:space="0" w:color="auto"/>
                            <w:bottom w:val="none" w:sz="0" w:space="0" w:color="auto"/>
                            <w:right w:val="none" w:sz="0" w:space="0" w:color="auto"/>
                          </w:divBdr>
                          <w:divsChild>
                            <w:div w:id="87233315">
                              <w:marLeft w:val="0"/>
                              <w:marRight w:val="0"/>
                              <w:marTop w:val="0"/>
                              <w:marBottom w:val="0"/>
                              <w:divBdr>
                                <w:top w:val="none" w:sz="0" w:space="0" w:color="auto"/>
                                <w:left w:val="none" w:sz="0" w:space="0" w:color="auto"/>
                                <w:bottom w:val="none" w:sz="0" w:space="0" w:color="auto"/>
                                <w:right w:val="none" w:sz="0" w:space="0" w:color="auto"/>
                              </w:divBdr>
                              <w:divsChild>
                                <w:div w:id="2094545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2965335">
      <w:bodyDiv w:val="1"/>
      <w:marLeft w:val="0"/>
      <w:marRight w:val="0"/>
      <w:marTop w:val="0"/>
      <w:marBottom w:val="0"/>
      <w:divBdr>
        <w:top w:val="none" w:sz="0" w:space="0" w:color="auto"/>
        <w:left w:val="none" w:sz="0" w:space="0" w:color="auto"/>
        <w:bottom w:val="none" w:sz="0" w:space="0" w:color="auto"/>
        <w:right w:val="none" w:sz="0" w:space="0" w:color="auto"/>
      </w:divBdr>
      <w:divsChild>
        <w:div w:id="1259943150">
          <w:marLeft w:val="0"/>
          <w:marRight w:val="0"/>
          <w:marTop w:val="0"/>
          <w:marBottom w:val="0"/>
          <w:divBdr>
            <w:top w:val="none" w:sz="0" w:space="0" w:color="auto"/>
            <w:left w:val="none" w:sz="0" w:space="0" w:color="auto"/>
            <w:bottom w:val="none" w:sz="0" w:space="0" w:color="auto"/>
            <w:right w:val="none" w:sz="0" w:space="0" w:color="auto"/>
          </w:divBdr>
        </w:div>
      </w:divsChild>
    </w:div>
    <w:div w:id="864055598">
      <w:bodyDiv w:val="1"/>
      <w:marLeft w:val="0"/>
      <w:marRight w:val="0"/>
      <w:marTop w:val="0"/>
      <w:marBottom w:val="0"/>
      <w:divBdr>
        <w:top w:val="none" w:sz="0" w:space="0" w:color="auto"/>
        <w:left w:val="none" w:sz="0" w:space="0" w:color="auto"/>
        <w:bottom w:val="none" w:sz="0" w:space="0" w:color="auto"/>
        <w:right w:val="none" w:sz="0" w:space="0" w:color="auto"/>
      </w:divBdr>
      <w:divsChild>
        <w:div w:id="2015915754">
          <w:marLeft w:val="0"/>
          <w:marRight w:val="0"/>
          <w:marTop w:val="0"/>
          <w:marBottom w:val="0"/>
          <w:divBdr>
            <w:top w:val="none" w:sz="0" w:space="0" w:color="auto"/>
            <w:left w:val="none" w:sz="0" w:space="0" w:color="auto"/>
            <w:bottom w:val="none" w:sz="0" w:space="0" w:color="auto"/>
            <w:right w:val="none" w:sz="0" w:space="0" w:color="auto"/>
          </w:divBdr>
          <w:divsChild>
            <w:div w:id="215628000">
              <w:marLeft w:val="0"/>
              <w:marRight w:val="0"/>
              <w:marTop w:val="0"/>
              <w:marBottom w:val="0"/>
              <w:divBdr>
                <w:top w:val="none" w:sz="0" w:space="0" w:color="auto"/>
                <w:left w:val="none" w:sz="0" w:space="0" w:color="auto"/>
                <w:bottom w:val="none" w:sz="0" w:space="0" w:color="auto"/>
                <w:right w:val="none" w:sz="0" w:space="0" w:color="auto"/>
              </w:divBdr>
              <w:divsChild>
                <w:div w:id="1142575490">
                  <w:marLeft w:val="0"/>
                  <w:marRight w:val="0"/>
                  <w:marTop w:val="0"/>
                  <w:marBottom w:val="0"/>
                  <w:divBdr>
                    <w:top w:val="none" w:sz="0" w:space="0" w:color="auto"/>
                    <w:left w:val="none" w:sz="0" w:space="0" w:color="auto"/>
                    <w:bottom w:val="none" w:sz="0" w:space="0" w:color="auto"/>
                    <w:right w:val="none" w:sz="0" w:space="0" w:color="auto"/>
                  </w:divBdr>
                  <w:divsChild>
                    <w:div w:id="1971327689">
                      <w:marLeft w:val="0"/>
                      <w:marRight w:val="0"/>
                      <w:marTop w:val="0"/>
                      <w:marBottom w:val="0"/>
                      <w:divBdr>
                        <w:top w:val="none" w:sz="0" w:space="0" w:color="auto"/>
                        <w:left w:val="none" w:sz="0" w:space="0" w:color="auto"/>
                        <w:bottom w:val="none" w:sz="0" w:space="0" w:color="auto"/>
                        <w:right w:val="none" w:sz="0" w:space="0" w:color="auto"/>
                      </w:divBdr>
                      <w:divsChild>
                        <w:div w:id="1306660554">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0330138">
      <w:bodyDiv w:val="1"/>
      <w:marLeft w:val="0"/>
      <w:marRight w:val="0"/>
      <w:marTop w:val="0"/>
      <w:marBottom w:val="0"/>
      <w:divBdr>
        <w:top w:val="none" w:sz="0" w:space="0" w:color="auto"/>
        <w:left w:val="none" w:sz="0" w:space="0" w:color="auto"/>
        <w:bottom w:val="none" w:sz="0" w:space="0" w:color="auto"/>
        <w:right w:val="none" w:sz="0" w:space="0" w:color="auto"/>
      </w:divBdr>
      <w:divsChild>
        <w:div w:id="1529104357">
          <w:marLeft w:val="0"/>
          <w:marRight w:val="0"/>
          <w:marTop w:val="0"/>
          <w:marBottom w:val="0"/>
          <w:divBdr>
            <w:top w:val="none" w:sz="0" w:space="0" w:color="auto"/>
            <w:left w:val="none" w:sz="0" w:space="0" w:color="auto"/>
            <w:bottom w:val="none" w:sz="0" w:space="0" w:color="auto"/>
            <w:right w:val="none" w:sz="0" w:space="0" w:color="auto"/>
          </w:divBdr>
          <w:divsChild>
            <w:div w:id="161897230">
              <w:marLeft w:val="0"/>
              <w:marRight w:val="0"/>
              <w:marTop w:val="0"/>
              <w:marBottom w:val="0"/>
              <w:divBdr>
                <w:top w:val="none" w:sz="0" w:space="0" w:color="auto"/>
                <w:left w:val="none" w:sz="0" w:space="0" w:color="auto"/>
                <w:bottom w:val="none" w:sz="0" w:space="0" w:color="auto"/>
                <w:right w:val="none" w:sz="0" w:space="0" w:color="auto"/>
              </w:divBdr>
              <w:divsChild>
                <w:div w:id="1803880972">
                  <w:marLeft w:val="0"/>
                  <w:marRight w:val="0"/>
                  <w:marTop w:val="0"/>
                  <w:marBottom w:val="0"/>
                  <w:divBdr>
                    <w:top w:val="none" w:sz="0" w:space="0" w:color="auto"/>
                    <w:left w:val="none" w:sz="0" w:space="0" w:color="auto"/>
                    <w:bottom w:val="none" w:sz="0" w:space="0" w:color="auto"/>
                    <w:right w:val="none" w:sz="0" w:space="0" w:color="auto"/>
                  </w:divBdr>
                  <w:divsChild>
                    <w:div w:id="186779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0832191">
      <w:bodyDiv w:val="1"/>
      <w:marLeft w:val="0"/>
      <w:marRight w:val="0"/>
      <w:marTop w:val="0"/>
      <w:marBottom w:val="0"/>
      <w:divBdr>
        <w:top w:val="none" w:sz="0" w:space="0" w:color="auto"/>
        <w:left w:val="none" w:sz="0" w:space="0" w:color="auto"/>
        <w:bottom w:val="none" w:sz="0" w:space="0" w:color="auto"/>
        <w:right w:val="none" w:sz="0" w:space="0" w:color="auto"/>
      </w:divBdr>
      <w:divsChild>
        <w:div w:id="1961497309">
          <w:marLeft w:val="0"/>
          <w:marRight w:val="0"/>
          <w:marTop w:val="0"/>
          <w:marBottom w:val="0"/>
          <w:divBdr>
            <w:top w:val="none" w:sz="0" w:space="0" w:color="auto"/>
            <w:left w:val="none" w:sz="0" w:space="0" w:color="auto"/>
            <w:bottom w:val="none" w:sz="0" w:space="0" w:color="auto"/>
            <w:right w:val="none" w:sz="0" w:space="0" w:color="auto"/>
          </w:divBdr>
          <w:divsChild>
            <w:div w:id="1515994863">
              <w:marLeft w:val="0"/>
              <w:marRight w:val="0"/>
              <w:marTop w:val="0"/>
              <w:marBottom w:val="0"/>
              <w:divBdr>
                <w:top w:val="none" w:sz="0" w:space="0" w:color="auto"/>
                <w:left w:val="none" w:sz="0" w:space="0" w:color="auto"/>
                <w:bottom w:val="none" w:sz="0" w:space="0" w:color="auto"/>
                <w:right w:val="none" w:sz="0" w:space="0" w:color="auto"/>
              </w:divBdr>
              <w:divsChild>
                <w:div w:id="578246007">
                  <w:marLeft w:val="0"/>
                  <w:marRight w:val="0"/>
                  <w:marTop w:val="0"/>
                  <w:marBottom w:val="0"/>
                  <w:divBdr>
                    <w:top w:val="single" w:sz="18" w:space="0" w:color="08237A"/>
                    <w:left w:val="none" w:sz="0" w:space="0" w:color="auto"/>
                    <w:bottom w:val="none" w:sz="0" w:space="0" w:color="auto"/>
                    <w:right w:val="none" w:sz="0" w:space="0" w:color="auto"/>
                  </w:divBdr>
                  <w:divsChild>
                    <w:div w:id="1013847593">
                      <w:marLeft w:val="0"/>
                      <w:marRight w:val="0"/>
                      <w:marTop w:val="0"/>
                      <w:marBottom w:val="0"/>
                      <w:divBdr>
                        <w:top w:val="single" w:sz="2" w:space="8" w:color="BBBBBB"/>
                        <w:left w:val="single" w:sz="6" w:space="0" w:color="BBBBBB"/>
                        <w:bottom w:val="single" w:sz="6" w:space="0" w:color="BBBBBB"/>
                        <w:right w:val="single" w:sz="6" w:space="0" w:color="BBBBBB"/>
                      </w:divBdr>
                      <w:divsChild>
                        <w:div w:id="1712993986">
                          <w:marLeft w:val="0"/>
                          <w:marRight w:val="0"/>
                          <w:marTop w:val="0"/>
                          <w:marBottom w:val="0"/>
                          <w:divBdr>
                            <w:top w:val="none" w:sz="0" w:space="0" w:color="auto"/>
                            <w:left w:val="none" w:sz="0" w:space="0" w:color="auto"/>
                            <w:bottom w:val="none" w:sz="0" w:space="0" w:color="auto"/>
                            <w:right w:val="none" w:sz="0" w:space="0" w:color="auto"/>
                          </w:divBdr>
                          <w:divsChild>
                            <w:div w:id="57936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3587294">
      <w:bodyDiv w:val="1"/>
      <w:marLeft w:val="0"/>
      <w:marRight w:val="0"/>
      <w:marTop w:val="0"/>
      <w:marBottom w:val="0"/>
      <w:divBdr>
        <w:top w:val="none" w:sz="0" w:space="0" w:color="auto"/>
        <w:left w:val="none" w:sz="0" w:space="0" w:color="auto"/>
        <w:bottom w:val="none" w:sz="0" w:space="0" w:color="auto"/>
        <w:right w:val="none" w:sz="0" w:space="0" w:color="auto"/>
      </w:divBdr>
      <w:divsChild>
        <w:div w:id="181405161">
          <w:marLeft w:val="0"/>
          <w:marRight w:val="0"/>
          <w:marTop w:val="0"/>
          <w:marBottom w:val="0"/>
          <w:divBdr>
            <w:top w:val="none" w:sz="0" w:space="0" w:color="auto"/>
            <w:left w:val="none" w:sz="0" w:space="0" w:color="auto"/>
            <w:bottom w:val="none" w:sz="0" w:space="0" w:color="auto"/>
            <w:right w:val="none" w:sz="0" w:space="0" w:color="auto"/>
          </w:divBdr>
          <w:divsChild>
            <w:div w:id="1215239793">
              <w:marLeft w:val="0"/>
              <w:marRight w:val="0"/>
              <w:marTop w:val="0"/>
              <w:marBottom w:val="0"/>
              <w:divBdr>
                <w:top w:val="none" w:sz="0" w:space="0" w:color="auto"/>
                <w:left w:val="none" w:sz="0" w:space="0" w:color="auto"/>
                <w:bottom w:val="none" w:sz="0" w:space="0" w:color="auto"/>
                <w:right w:val="none" w:sz="0" w:space="0" w:color="auto"/>
              </w:divBdr>
              <w:divsChild>
                <w:div w:id="1820489231">
                  <w:marLeft w:val="0"/>
                  <w:marRight w:val="0"/>
                  <w:marTop w:val="0"/>
                  <w:marBottom w:val="0"/>
                  <w:divBdr>
                    <w:top w:val="none" w:sz="0" w:space="0" w:color="auto"/>
                    <w:left w:val="none" w:sz="0" w:space="0" w:color="auto"/>
                    <w:bottom w:val="none" w:sz="0" w:space="0" w:color="auto"/>
                    <w:right w:val="none" w:sz="0" w:space="0" w:color="auto"/>
                  </w:divBdr>
                  <w:divsChild>
                    <w:div w:id="40753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352150">
      <w:bodyDiv w:val="1"/>
      <w:marLeft w:val="0"/>
      <w:marRight w:val="0"/>
      <w:marTop w:val="0"/>
      <w:marBottom w:val="0"/>
      <w:divBdr>
        <w:top w:val="none" w:sz="0" w:space="0" w:color="auto"/>
        <w:left w:val="none" w:sz="0" w:space="0" w:color="auto"/>
        <w:bottom w:val="none" w:sz="0" w:space="0" w:color="auto"/>
        <w:right w:val="none" w:sz="0" w:space="0" w:color="auto"/>
      </w:divBdr>
      <w:divsChild>
        <w:div w:id="730889303">
          <w:marLeft w:val="0"/>
          <w:marRight w:val="0"/>
          <w:marTop w:val="75"/>
          <w:marBottom w:val="75"/>
          <w:divBdr>
            <w:top w:val="none" w:sz="0" w:space="0" w:color="auto"/>
            <w:left w:val="none" w:sz="0" w:space="0" w:color="auto"/>
            <w:bottom w:val="none" w:sz="0" w:space="0" w:color="auto"/>
            <w:right w:val="none" w:sz="0" w:space="0" w:color="auto"/>
          </w:divBdr>
          <w:divsChild>
            <w:div w:id="1284118704">
              <w:marLeft w:val="0"/>
              <w:marRight w:val="0"/>
              <w:marTop w:val="0"/>
              <w:marBottom w:val="0"/>
              <w:divBdr>
                <w:top w:val="single" w:sz="6" w:space="0" w:color="BEBEBE"/>
                <w:left w:val="single" w:sz="6" w:space="0" w:color="BEBEBE"/>
                <w:bottom w:val="single" w:sz="6" w:space="0" w:color="BEBEBE"/>
                <w:right w:val="single" w:sz="6" w:space="0" w:color="BEBEBE"/>
              </w:divBdr>
              <w:divsChild>
                <w:div w:id="739866244">
                  <w:marLeft w:val="0"/>
                  <w:marRight w:val="0"/>
                  <w:marTop w:val="0"/>
                  <w:marBottom w:val="0"/>
                  <w:divBdr>
                    <w:top w:val="none" w:sz="0" w:space="0" w:color="auto"/>
                    <w:left w:val="none" w:sz="0" w:space="0" w:color="auto"/>
                    <w:bottom w:val="none" w:sz="0" w:space="0" w:color="auto"/>
                    <w:right w:val="none" w:sz="0" w:space="0" w:color="auto"/>
                  </w:divBdr>
                  <w:divsChild>
                    <w:div w:id="1191840049">
                      <w:marLeft w:val="0"/>
                      <w:marRight w:val="0"/>
                      <w:marTop w:val="0"/>
                      <w:marBottom w:val="0"/>
                      <w:divBdr>
                        <w:top w:val="none" w:sz="0" w:space="0" w:color="auto"/>
                        <w:left w:val="none" w:sz="0" w:space="0" w:color="auto"/>
                        <w:bottom w:val="none" w:sz="0" w:space="0" w:color="auto"/>
                        <w:right w:val="none" w:sz="0" w:space="0" w:color="auto"/>
                      </w:divBdr>
                      <w:divsChild>
                        <w:div w:id="384718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60086377">
      <w:bodyDiv w:val="1"/>
      <w:marLeft w:val="0"/>
      <w:marRight w:val="0"/>
      <w:marTop w:val="0"/>
      <w:marBottom w:val="0"/>
      <w:divBdr>
        <w:top w:val="none" w:sz="0" w:space="0" w:color="auto"/>
        <w:left w:val="none" w:sz="0" w:space="0" w:color="auto"/>
        <w:bottom w:val="none" w:sz="0" w:space="0" w:color="auto"/>
        <w:right w:val="none" w:sz="0" w:space="0" w:color="auto"/>
      </w:divBdr>
      <w:divsChild>
        <w:div w:id="936602070">
          <w:marLeft w:val="0"/>
          <w:marRight w:val="0"/>
          <w:marTop w:val="0"/>
          <w:marBottom w:val="0"/>
          <w:divBdr>
            <w:top w:val="none" w:sz="0" w:space="0" w:color="auto"/>
            <w:left w:val="none" w:sz="0" w:space="0" w:color="auto"/>
            <w:bottom w:val="none" w:sz="0" w:space="0" w:color="auto"/>
            <w:right w:val="none" w:sz="0" w:space="0" w:color="auto"/>
          </w:divBdr>
          <w:divsChild>
            <w:div w:id="2009671451">
              <w:marLeft w:val="0"/>
              <w:marRight w:val="0"/>
              <w:marTop w:val="0"/>
              <w:marBottom w:val="0"/>
              <w:divBdr>
                <w:top w:val="none" w:sz="0" w:space="0" w:color="auto"/>
                <w:left w:val="none" w:sz="0" w:space="0" w:color="auto"/>
                <w:bottom w:val="none" w:sz="0" w:space="0" w:color="auto"/>
                <w:right w:val="none" w:sz="0" w:space="0" w:color="auto"/>
              </w:divBdr>
              <w:divsChild>
                <w:div w:id="879319576">
                  <w:marLeft w:val="0"/>
                  <w:marRight w:val="0"/>
                  <w:marTop w:val="0"/>
                  <w:marBottom w:val="0"/>
                  <w:divBdr>
                    <w:top w:val="single" w:sz="18" w:space="0" w:color="08237A"/>
                    <w:left w:val="none" w:sz="0" w:space="0" w:color="auto"/>
                    <w:bottom w:val="none" w:sz="0" w:space="0" w:color="auto"/>
                    <w:right w:val="none" w:sz="0" w:space="0" w:color="auto"/>
                  </w:divBdr>
                  <w:divsChild>
                    <w:div w:id="1522426394">
                      <w:marLeft w:val="0"/>
                      <w:marRight w:val="0"/>
                      <w:marTop w:val="0"/>
                      <w:marBottom w:val="0"/>
                      <w:divBdr>
                        <w:top w:val="single" w:sz="2" w:space="8" w:color="BBBBBB"/>
                        <w:left w:val="single" w:sz="6" w:space="0" w:color="BBBBBB"/>
                        <w:bottom w:val="single" w:sz="6" w:space="0" w:color="BBBBBB"/>
                        <w:right w:val="single" w:sz="6" w:space="0" w:color="BBBBBB"/>
                      </w:divBdr>
                      <w:divsChild>
                        <w:div w:id="1847207687">
                          <w:marLeft w:val="0"/>
                          <w:marRight w:val="0"/>
                          <w:marTop w:val="0"/>
                          <w:marBottom w:val="0"/>
                          <w:divBdr>
                            <w:top w:val="none" w:sz="0" w:space="0" w:color="auto"/>
                            <w:left w:val="none" w:sz="0" w:space="0" w:color="auto"/>
                            <w:bottom w:val="none" w:sz="0" w:space="0" w:color="auto"/>
                            <w:right w:val="none" w:sz="0" w:space="0" w:color="auto"/>
                          </w:divBdr>
                          <w:divsChild>
                            <w:div w:id="105284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3476660">
      <w:bodyDiv w:val="1"/>
      <w:marLeft w:val="0"/>
      <w:marRight w:val="0"/>
      <w:marTop w:val="0"/>
      <w:marBottom w:val="0"/>
      <w:divBdr>
        <w:top w:val="none" w:sz="0" w:space="0" w:color="auto"/>
        <w:left w:val="none" w:sz="0" w:space="0" w:color="auto"/>
        <w:bottom w:val="none" w:sz="0" w:space="0" w:color="auto"/>
        <w:right w:val="none" w:sz="0" w:space="0" w:color="auto"/>
      </w:divBdr>
      <w:divsChild>
        <w:div w:id="463042640">
          <w:marLeft w:val="0"/>
          <w:marRight w:val="0"/>
          <w:marTop w:val="0"/>
          <w:marBottom w:val="0"/>
          <w:divBdr>
            <w:top w:val="none" w:sz="0" w:space="0" w:color="auto"/>
            <w:left w:val="none" w:sz="0" w:space="0" w:color="auto"/>
            <w:bottom w:val="none" w:sz="0" w:space="0" w:color="auto"/>
            <w:right w:val="none" w:sz="0" w:space="0" w:color="auto"/>
          </w:divBdr>
          <w:divsChild>
            <w:div w:id="2090729516">
              <w:marLeft w:val="0"/>
              <w:marRight w:val="0"/>
              <w:marTop w:val="0"/>
              <w:marBottom w:val="0"/>
              <w:divBdr>
                <w:top w:val="none" w:sz="0" w:space="0" w:color="auto"/>
                <w:left w:val="none" w:sz="0" w:space="0" w:color="auto"/>
                <w:bottom w:val="none" w:sz="0" w:space="0" w:color="auto"/>
                <w:right w:val="none" w:sz="0" w:space="0" w:color="auto"/>
              </w:divBdr>
              <w:divsChild>
                <w:div w:id="1669794550">
                  <w:marLeft w:val="0"/>
                  <w:marRight w:val="0"/>
                  <w:marTop w:val="0"/>
                  <w:marBottom w:val="0"/>
                  <w:divBdr>
                    <w:top w:val="none" w:sz="0" w:space="0" w:color="auto"/>
                    <w:left w:val="none" w:sz="0" w:space="0" w:color="auto"/>
                    <w:bottom w:val="none" w:sz="0" w:space="0" w:color="auto"/>
                    <w:right w:val="none" w:sz="0" w:space="0" w:color="auto"/>
                  </w:divBdr>
                  <w:divsChild>
                    <w:div w:id="202910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1684631">
      <w:bodyDiv w:val="1"/>
      <w:marLeft w:val="0"/>
      <w:marRight w:val="0"/>
      <w:marTop w:val="0"/>
      <w:marBottom w:val="0"/>
      <w:divBdr>
        <w:top w:val="none" w:sz="0" w:space="0" w:color="auto"/>
        <w:left w:val="none" w:sz="0" w:space="0" w:color="auto"/>
        <w:bottom w:val="none" w:sz="0" w:space="0" w:color="auto"/>
        <w:right w:val="none" w:sz="0" w:space="0" w:color="auto"/>
      </w:divBdr>
      <w:divsChild>
        <w:div w:id="1316571050">
          <w:marLeft w:val="0"/>
          <w:marRight w:val="0"/>
          <w:marTop w:val="0"/>
          <w:marBottom w:val="0"/>
          <w:divBdr>
            <w:top w:val="single" w:sz="18" w:space="0" w:color="F6F6F6"/>
            <w:left w:val="none" w:sz="0" w:space="0" w:color="auto"/>
            <w:bottom w:val="none" w:sz="0" w:space="0" w:color="auto"/>
            <w:right w:val="none" w:sz="0" w:space="0" w:color="auto"/>
          </w:divBdr>
          <w:divsChild>
            <w:div w:id="417335802">
              <w:marLeft w:val="0"/>
              <w:marRight w:val="0"/>
              <w:marTop w:val="0"/>
              <w:marBottom w:val="0"/>
              <w:divBdr>
                <w:top w:val="none" w:sz="0" w:space="0" w:color="auto"/>
                <w:left w:val="none" w:sz="0" w:space="0" w:color="auto"/>
                <w:bottom w:val="none" w:sz="0" w:space="0" w:color="auto"/>
                <w:right w:val="none" w:sz="0" w:space="0" w:color="auto"/>
              </w:divBdr>
              <w:divsChild>
                <w:div w:id="1946307263">
                  <w:marLeft w:val="0"/>
                  <w:marRight w:val="0"/>
                  <w:marTop w:val="0"/>
                  <w:marBottom w:val="0"/>
                  <w:divBdr>
                    <w:top w:val="none" w:sz="0" w:space="0" w:color="auto"/>
                    <w:left w:val="none" w:sz="0" w:space="0" w:color="auto"/>
                    <w:bottom w:val="none" w:sz="0" w:space="0" w:color="auto"/>
                    <w:right w:val="none" w:sz="0" w:space="0" w:color="auto"/>
                  </w:divBdr>
                  <w:divsChild>
                    <w:div w:id="1256859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1274428">
      <w:bodyDiv w:val="1"/>
      <w:marLeft w:val="0"/>
      <w:marRight w:val="0"/>
      <w:marTop w:val="0"/>
      <w:marBottom w:val="0"/>
      <w:divBdr>
        <w:top w:val="none" w:sz="0" w:space="0" w:color="auto"/>
        <w:left w:val="none" w:sz="0" w:space="0" w:color="auto"/>
        <w:bottom w:val="none" w:sz="0" w:space="0" w:color="auto"/>
        <w:right w:val="none" w:sz="0" w:space="0" w:color="auto"/>
      </w:divBdr>
      <w:divsChild>
        <w:div w:id="148181686">
          <w:marLeft w:val="0"/>
          <w:marRight w:val="0"/>
          <w:marTop w:val="0"/>
          <w:marBottom w:val="0"/>
          <w:divBdr>
            <w:top w:val="none" w:sz="0" w:space="0" w:color="auto"/>
            <w:left w:val="none" w:sz="0" w:space="0" w:color="auto"/>
            <w:bottom w:val="none" w:sz="0" w:space="0" w:color="auto"/>
            <w:right w:val="none" w:sz="0" w:space="0" w:color="auto"/>
          </w:divBdr>
          <w:divsChild>
            <w:div w:id="256594456">
              <w:marLeft w:val="0"/>
              <w:marRight w:val="0"/>
              <w:marTop w:val="0"/>
              <w:marBottom w:val="0"/>
              <w:divBdr>
                <w:top w:val="none" w:sz="0" w:space="0" w:color="auto"/>
                <w:left w:val="none" w:sz="0" w:space="0" w:color="auto"/>
                <w:bottom w:val="none" w:sz="0" w:space="0" w:color="auto"/>
                <w:right w:val="none" w:sz="0" w:space="0" w:color="auto"/>
              </w:divBdr>
              <w:divsChild>
                <w:div w:id="14693377">
                  <w:marLeft w:val="0"/>
                  <w:marRight w:val="0"/>
                  <w:marTop w:val="0"/>
                  <w:marBottom w:val="0"/>
                  <w:divBdr>
                    <w:top w:val="single" w:sz="18" w:space="0" w:color="08237A"/>
                    <w:left w:val="none" w:sz="0" w:space="0" w:color="auto"/>
                    <w:bottom w:val="none" w:sz="0" w:space="0" w:color="auto"/>
                    <w:right w:val="none" w:sz="0" w:space="0" w:color="auto"/>
                  </w:divBdr>
                  <w:divsChild>
                    <w:div w:id="1105689208">
                      <w:marLeft w:val="0"/>
                      <w:marRight w:val="0"/>
                      <w:marTop w:val="0"/>
                      <w:marBottom w:val="0"/>
                      <w:divBdr>
                        <w:top w:val="single" w:sz="2" w:space="8" w:color="BBBBBB"/>
                        <w:left w:val="single" w:sz="6" w:space="0" w:color="BBBBBB"/>
                        <w:bottom w:val="single" w:sz="6" w:space="0" w:color="BBBBBB"/>
                        <w:right w:val="single" w:sz="6" w:space="0" w:color="BBBBBB"/>
                      </w:divBdr>
                      <w:divsChild>
                        <w:div w:id="1034619026">
                          <w:marLeft w:val="0"/>
                          <w:marRight w:val="0"/>
                          <w:marTop w:val="0"/>
                          <w:marBottom w:val="0"/>
                          <w:divBdr>
                            <w:top w:val="none" w:sz="0" w:space="0" w:color="auto"/>
                            <w:left w:val="none" w:sz="0" w:space="0" w:color="auto"/>
                            <w:bottom w:val="none" w:sz="0" w:space="0" w:color="auto"/>
                            <w:right w:val="none" w:sz="0" w:space="0" w:color="auto"/>
                          </w:divBdr>
                          <w:divsChild>
                            <w:div w:id="1704938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4229908">
      <w:bodyDiv w:val="1"/>
      <w:marLeft w:val="0"/>
      <w:marRight w:val="0"/>
      <w:marTop w:val="0"/>
      <w:marBottom w:val="0"/>
      <w:divBdr>
        <w:top w:val="none" w:sz="0" w:space="0" w:color="auto"/>
        <w:left w:val="none" w:sz="0" w:space="0" w:color="auto"/>
        <w:bottom w:val="none" w:sz="0" w:space="0" w:color="auto"/>
        <w:right w:val="none" w:sz="0" w:space="0" w:color="auto"/>
      </w:divBdr>
      <w:divsChild>
        <w:div w:id="174417702">
          <w:marLeft w:val="0"/>
          <w:marRight w:val="0"/>
          <w:marTop w:val="0"/>
          <w:marBottom w:val="0"/>
          <w:divBdr>
            <w:top w:val="none" w:sz="0" w:space="0" w:color="auto"/>
            <w:left w:val="none" w:sz="0" w:space="0" w:color="auto"/>
            <w:bottom w:val="none" w:sz="0" w:space="0" w:color="auto"/>
            <w:right w:val="none" w:sz="0" w:space="0" w:color="auto"/>
          </w:divBdr>
          <w:divsChild>
            <w:div w:id="905262691">
              <w:marLeft w:val="0"/>
              <w:marRight w:val="0"/>
              <w:marTop w:val="0"/>
              <w:marBottom w:val="0"/>
              <w:divBdr>
                <w:top w:val="none" w:sz="0" w:space="0" w:color="auto"/>
                <w:left w:val="none" w:sz="0" w:space="0" w:color="auto"/>
                <w:bottom w:val="none" w:sz="0" w:space="0" w:color="auto"/>
                <w:right w:val="none" w:sz="0" w:space="0" w:color="auto"/>
              </w:divBdr>
              <w:divsChild>
                <w:div w:id="970355565">
                  <w:marLeft w:val="0"/>
                  <w:marRight w:val="0"/>
                  <w:marTop w:val="0"/>
                  <w:marBottom w:val="0"/>
                  <w:divBdr>
                    <w:top w:val="single" w:sz="18" w:space="0" w:color="08237A"/>
                    <w:left w:val="none" w:sz="0" w:space="0" w:color="auto"/>
                    <w:bottom w:val="none" w:sz="0" w:space="0" w:color="auto"/>
                    <w:right w:val="none" w:sz="0" w:space="0" w:color="auto"/>
                  </w:divBdr>
                  <w:divsChild>
                    <w:div w:id="1428112911">
                      <w:marLeft w:val="0"/>
                      <w:marRight w:val="0"/>
                      <w:marTop w:val="0"/>
                      <w:marBottom w:val="0"/>
                      <w:divBdr>
                        <w:top w:val="single" w:sz="2" w:space="8" w:color="BBBBBB"/>
                        <w:left w:val="single" w:sz="6" w:space="0" w:color="BBBBBB"/>
                        <w:bottom w:val="single" w:sz="6" w:space="0" w:color="BBBBBB"/>
                        <w:right w:val="single" w:sz="6" w:space="0" w:color="BBBBBB"/>
                      </w:divBdr>
                      <w:divsChild>
                        <w:div w:id="1912889333">
                          <w:marLeft w:val="0"/>
                          <w:marRight w:val="0"/>
                          <w:marTop w:val="0"/>
                          <w:marBottom w:val="0"/>
                          <w:divBdr>
                            <w:top w:val="none" w:sz="0" w:space="0" w:color="auto"/>
                            <w:left w:val="none" w:sz="0" w:space="0" w:color="auto"/>
                            <w:bottom w:val="none" w:sz="0" w:space="0" w:color="auto"/>
                            <w:right w:val="none" w:sz="0" w:space="0" w:color="auto"/>
                          </w:divBdr>
                          <w:divsChild>
                            <w:div w:id="494539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4576242">
      <w:bodyDiv w:val="1"/>
      <w:marLeft w:val="0"/>
      <w:marRight w:val="0"/>
      <w:marTop w:val="0"/>
      <w:marBottom w:val="0"/>
      <w:divBdr>
        <w:top w:val="none" w:sz="0" w:space="0" w:color="auto"/>
        <w:left w:val="none" w:sz="0" w:space="0" w:color="auto"/>
        <w:bottom w:val="none" w:sz="0" w:space="0" w:color="auto"/>
        <w:right w:val="none" w:sz="0" w:space="0" w:color="auto"/>
      </w:divBdr>
      <w:divsChild>
        <w:div w:id="1082095316">
          <w:marLeft w:val="0"/>
          <w:marRight w:val="0"/>
          <w:marTop w:val="0"/>
          <w:marBottom w:val="0"/>
          <w:divBdr>
            <w:top w:val="none" w:sz="0" w:space="0" w:color="auto"/>
            <w:left w:val="none" w:sz="0" w:space="0" w:color="auto"/>
            <w:bottom w:val="none" w:sz="0" w:space="0" w:color="auto"/>
            <w:right w:val="none" w:sz="0" w:space="0" w:color="auto"/>
          </w:divBdr>
          <w:divsChild>
            <w:div w:id="707291642">
              <w:marLeft w:val="0"/>
              <w:marRight w:val="0"/>
              <w:marTop w:val="0"/>
              <w:marBottom w:val="0"/>
              <w:divBdr>
                <w:top w:val="none" w:sz="0" w:space="0" w:color="auto"/>
                <w:left w:val="none" w:sz="0" w:space="0" w:color="auto"/>
                <w:bottom w:val="none" w:sz="0" w:space="0" w:color="auto"/>
                <w:right w:val="none" w:sz="0" w:space="0" w:color="auto"/>
              </w:divBdr>
              <w:divsChild>
                <w:div w:id="446588015">
                  <w:marLeft w:val="0"/>
                  <w:marRight w:val="0"/>
                  <w:marTop w:val="0"/>
                  <w:marBottom w:val="0"/>
                  <w:divBdr>
                    <w:top w:val="none" w:sz="0" w:space="0" w:color="auto"/>
                    <w:left w:val="none" w:sz="0" w:space="0" w:color="auto"/>
                    <w:bottom w:val="none" w:sz="0" w:space="0" w:color="auto"/>
                    <w:right w:val="none" w:sz="0" w:space="0" w:color="auto"/>
                  </w:divBdr>
                  <w:divsChild>
                    <w:div w:id="1399203967">
                      <w:marLeft w:val="0"/>
                      <w:marRight w:val="0"/>
                      <w:marTop w:val="0"/>
                      <w:marBottom w:val="0"/>
                      <w:divBdr>
                        <w:top w:val="none" w:sz="0" w:space="0" w:color="auto"/>
                        <w:left w:val="none" w:sz="0" w:space="0" w:color="auto"/>
                        <w:bottom w:val="none" w:sz="0" w:space="0" w:color="auto"/>
                        <w:right w:val="none" w:sz="0" w:space="0" w:color="auto"/>
                      </w:divBdr>
                      <w:divsChild>
                        <w:div w:id="941300450">
                          <w:marLeft w:val="0"/>
                          <w:marRight w:val="0"/>
                          <w:marTop w:val="0"/>
                          <w:marBottom w:val="0"/>
                          <w:divBdr>
                            <w:top w:val="none" w:sz="0" w:space="0" w:color="auto"/>
                            <w:left w:val="none" w:sz="0" w:space="0" w:color="auto"/>
                            <w:bottom w:val="none" w:sz="0" w:space="0" w:color="auto"/>
                            <w:right w:val="none" w:sz="0" w:space="0" w:color="auto"/>
                          </w:divBdr>
                          <w:divsChild>
                            <w:div w:id="91055509">
                              <w:marLeft w:val="0"/>
                              <w:marRight w:val="0"/>
                              <w:marTop w:val="0"/>
                              <w:marBottom w:val="0"/>
                              <w:divBdr>
                                <w:top w:val="none" w:sz="0" w:space="0" w:color="auto"/>
                                <w:left w:val="none" w:sz="0" w:space="0" w:color="auto"/>
                                <w:bottom w:val="none" w:sz="0" w:space="0" w:color="auto"/>
                                <w:right w:val="none" w:sz="0" w:space="0" w:color="auto"/>
                              </w:divBdr>
                              <w:divsChild>
                                <w:div w:id="687482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0048526">
      <w:bodyDiv w:val="1"/>
      <w:marLeft w:val="0"/>
      <w:marRight w:val="0"/>
      <w:marTop w:val="0"/>
      <w:marBottom w:val="0"/>
      <w:divBdr>
        <w:top w:val="none" w:sz="0" w:space="0" w:color="auto"/>
        <w:left w:val="none" w:sz="0" w:space="0" w:color="auto"/>
        <w:bottom w:val="none" w:sz="0" w:space="0" w:color="auto"/>
        <w:right w:val="none" w:sz="0" w:space="0" w:color="auto"/>
      </w:divBdr>
      <w:divsChild>
        <w:div w:id="911162431">
          <w:marLeft w:val="0"/>
          <w:marRight w:val="0"/>
          <w:marTop w:val="0"/>
          <w:marBottom w:val="0"/>
          <w:divBdr>
            <w:top w:val="none" w:sz="0" w:space="0" w:color="auto"/>
            <w:left w:val="none" w:sz="0" w:space="0" w:color="auto"/>
            <w:bottom w:val="none" w:sz="0" w:space="0" w:color="auto"/>
            <w:right w:val="none" w:sz="0" w:space="0" w:color="auto"/>
          </w:divBdr>
        </w:div>
      </w:divsChild>
    </w:div>
    <w:div w:id="1491290248">
      <w:bodyDiv w:val="1"/>
      <w:marLeft w:val="0"/>
      <w:marRight w:val="0"/>
      <w:marTop w:val="0"/>
      <w:marBottom w:val="0"/>
      <w:divBdr>
        <w:top w:val="none" w:sz="0" w:space="0" w:color="auto"/>
        <w:left w:val="none" w:sz="0" w:space="0" w:color="auto"/>
        <w:bottom w:val="none" w:sz="0" w:space="0" w:color="auto"/>
        <w:right w:val="none" w:sz="0" w:space="0" w:color="auto"/>
      </w:divBdr>
      <w:divsChild>
        <w:div w:id="719016491">
          <w:marLeft w:val="0"/>
          <w:marRight w:val="0"/>
          <w:marTop w:val="0"/>
          <w:marBottom w:val="0"/>
          <w:divBdr>
            <w:top w:val="none" w:sz="0" w:space="0" w:color="auto"/>
            <w:left w:val="none" w:sz="0" w:space="0" w:color="auto"/>
            <w:bottom w:val="none" w:sz="0" w:space="0" w:color="auto"/>
            <w:right w:val="none" w:sz="0" w:space="0" w:color="auto"/>
          </w:divBdr>
          <w:divsChild>
            <w:div w:id="1417048800">
              <w:marLeft w:val="0"/>
              <w:marRight w:val="0"/>
              <w:marTop w:val="0"/>
              <w:marBottom w:val="0"/>
              <w:divBdr>
                <w:top w:val="none" w:sz="0" w:space="0" w:color="auto"/>
                <w:left w:val="none" w:sz="0" w:space="0" w:color="auto"/>
                <w:bottom w:val="none" w:sz="0" w:space="0" w:color="auto"/>
                <w:right w:val="none" w:sz="0" w:space="0" w:color="auto"/>
              </w:divBdr>
              <w:divsChild>
                <w:div w:id="778526162">
                  <w:marLeft w:val="0"/>
                  <w:marRight w:val="0"/>
                  <w:marTop w:val="0"/>
                  <w:marBottom w:val="0"/>
                  <w:divBdr>
                    <w:top w:val="none" w:sz="0" w:space="0" w:color="auto"/>
                    <w:left w:val="none" w:sz="0" w:space="0" w:color="auto"/>
                    <w:bottom w:val="none" w:sz="0" w:space="0" w:color="auto"/>
                    <w:right w:val="none" w:sz="0" w:space="0" w:color="auto"/>
                  </w:divBdr>
                  <w:divsChild>
                    <w:div w:id="184859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563594">
      <w:bodyDiv w:val="1"/>
      <w:marLeft w:val="0"/>
      <w:marRight w:val="0"/>
      <w:marTop w:val="0"/>
      <w:marBottom w:val="0"/>
      <w:divBdr>
        <w:top w:val="none" w:sz="0" w:space="0" w:color="auto"/>
        <w:left w:val="none" w:sz="0" w:space="0" w:color="auto"/>
        <w:bottom w:val="none" w:sz="0" w:space="0" w:color="auto"/>
        <w:right w:val="none" w:sz="0" w:space="0" w:color="auto"/>
      </w:divBdr>
      <w:divsChild>
        <w:div w:id="1370303226">
          <w:marLeft w:val="0"/>
          <w:marRight w:val="0"/>
          <w:marTop w:val="0"/>
          <w:marBottom w:val="0"/>
          <w:divBdr>
            <w:top w:val="none" w:sz="0" w:space="0" w:color="auto"/>
            <w:left w:val="none" w:sz="0" w:space="0" w:color="auto"/>
            <w:bottom w:val="none" w:sz="0" w:space="0" w:color="auto"/>
            <w:right w:val="none" w:sz="0" w:space="0" w:color="auto"/>
          </w:divBdr>
          <w:divsChild>
            <w:div w:id="1925797466">
              <w:marLeft w:val="0"/>
              <w:marRight w:val="0"/>
              <w:marTop w:val="0"/>
              <w:marBottom w:val="0"/>
              <w:divBdr>
                <w:top w:val="none" w:sz="0" w:space="0" w:color="auto"/>
                <w:left w:val="none" w:sz="0" w:space="0" w:color="auto"/>
                <w:bottom w:val="none" w:sz="0" w:space="0" w:color="auto"/>
                <w:right w:val="none" w:sz="0" w:space="0" w:color="auto"/>
              </w:divBdr>
              <w:divsChild>
                <w:div w:id="2018846686">
                  <w:marLeft w:val="0"/>
                  <w:marRight w:val="0"/>
                  <w:marTop w:val="0"/>
                  <w:marBottom w:val="0"/>
                  <w:divBdr>
                    <w:top w:val="none" w:sz="0" w:space="0" w:color="auto"/>
                    <w:left w:val="none" w:sz="0" w:space="0" w:color="auto"/>
                    <w:bottom w:val="none" w:sz="0" w:space="0" w:color="auto"/>
                    <w:right w:val="none" w:sz="0" w:space="0" w:color="auto"/>
                  </w:divBdr>
                  <w:divsChild>
                    <w:div w:id="1685471763">
                      <w:marLeft w:val="0"/>
                      <w:marRight w:val="0"/>
                      <w:marTop w:val="0"/>
                      <w:marBottom w:val="0"/>
                      <w:divBdr>
                        <w:top w:val="none" w:sz="0" w:space="0" w:color="auto"/>
                        <w:left w:val="none" w:sz="0" w:space="0" w:color="auto"/>
                        <w:bottom w:val="none" w:sz="0" w:space="0" w:color="auto"/>
                        <w:right w:val="none" w:sz="0" w:space="0" w:color="auto"/>
                      </w:divBdr>
                      <w:divsChild>
                        <w:div w:id="106602709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8955523">
      <w:bodyDiv w:val="1"/>
      <w:marLeft w:val="0"/>
      <w:marRight w:val="0"/>
      <w:marTop w:val="0"/>
      <w:marBottom w:val="0"/>
      <w:divBdr>
        <w:top w:val="none" w:sz="0" w:space="0" w:color="auto"/>
        <w:left w:val="none" w:sz="0" w:space="0" w:color="auto"/>
        <w:bottom w:val="none" w:sz="0" w:space="0" w:color="auto"/>
        <w:right w:val="none" w:sz="0" w:space="0" w:color="auto"/>
      </w:divBdr>
      <w:divsChild>
        <w:div w:id="1745372100">
          <w:marLeft w:val="0"/>
          <w:marRight w:val="0"/>
          <w:marTop w:val="0"/>
          <w:marBottom w:val="0"/>
          <w:divBdr>
            <w:top w:val="none" w:sz="0" w:space="0" w:color="auto"/>
            <w:left w:val="none" w:sz="0" w:space="0" w:color="auto"/>
            <w:bottom w:val="none" w:sz="0" w:space="0" w:color="auto"/>
            <w:right w:val="none" w:sz="0" w:space="0" w:color="auto"/>
          </w:divBdr>
        </w:div>
      </w:divsChild>
    </w:div>
    <w:div w:id="1540583365">
      <w:bodyDiv w:val="1"/>
      <w:marLeft w:val="0"/>
      <w:marRight w:val="0"/>
      <w:marTop w:val="0"/>
      <w:marBottom w:val="0"/>
      <w:divBdr>
        <w:top w:val="none" w:sz="0" w:space="0" w:color="auto"/>
        <w:left w:val="none" w:sz="0" w:space="0" w:color="auto"/>
        <w:bottom w:val="none" w:sz="0" w:space="0" w:color="auto"/>
        <w:right w:val="none" w:sz="0" w:space="0" w:color="auto"/>
      </w:divBdr>
      <w:divsChild>
        <w:div w:id="1460689842">
          <w:marLeft w:val="0"/>
          <w:marRight w:val="0"/>
          <w:marTop w:val="63"/>
          <w:marBottom w:val="63"/>
          <w:divBdr>
            <w:top w:val="none" w:sz="0" w:space="0" w:color="auto"/>
            <w:left w:val="none" w:sz="0" w:space="0" w:color="auto"/>
            <w:bottom w:val="none" w:sz="0" w:space="0" w:color="auto"/>
            <w:right w:val="none" w:sz="0" w:space="0" w:color="auto"/>
          </w:divBdr>
          <w:divsChild>
            <w:div w:id="1173185362">
              <w:marLeft w:val="0"/>
              <w:marRight w:val="0"/>
              <w:marTop w:val="0"/>
              <w:marBottom w:val="0"/>
              <w:divBdr>
                <w:top w:val="single" w:sz="4" w:space="0" w:color="BEBEBE"/>
                <w:left w:val="single" w:sz="4" w:space="0" w:color="BEBEBE"/>
                <w:bottom w:val="single" w:sz="4" w:space="0" w:color="BEBEBE"/>
                <w:right w:val="single" w:sz="4" w:space="0" w:color="BEBEBE"/>
              </w:divBdr>
              <w:divsChild>
                <w:div w:id="2051147812">
                  <w:marLeft w:val="0"/>
                  <w:marRight w:val="0"/>
                  <w:marTop w:val="0"/>
                  <w:marBottom w:val="0"/>
                  <w:divBdr>
                    <w:top w:val="none" w:sz="0" w:space="0" w:color="auto"/>
                    <w:left w:val="none" w:sz="0" w:space="0" w:color="auto"/>
                    <w:bottom w:val="none" w:sz="0" w:space="0" w:color="auto"/>
                    <w:right w:val="none" w:sz="0" w:space="0" w:color="auto"/>
                  </w:divBdr>
                  <w:divsChild>
                    <w:div w:id="1182208104">
                      <w:marLeft w:val="0"/>
                      <w:marRight w:val="0"/>
                      <w:marTop w:val="0"/>
                      <w:marBottom w:val="0"/>
                      <w:divBdr>
                        <w:top w:val="none" w:sz="0" w:space="0" w:color="auto"/>
                        <w:left w:val="none" w:sz="0" w:space="0" w:color="auto"/>
                        <w:bottom w:val="none" w:sz="0" w:space="0" w:color="auto"/>
                        <w:right w:val="none" w:sz="0" w:space="0" w:color="auto"/>
                      </w:divBdr>
                      <w:divsChild>
                        <w:div w:id="1431655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881270">
      <w:bodyDiv w:val="1"/>
      <w:marLeft w:val="0"/>
      <w:marRight w:val="0"/>
      <w:marTop w:val="0"/>
      <w:marBottom w:val="0"/>
      <w:divBdr>
        <w:top w:val="none" w:sz="0" w:space="0" w:color="auto"/>
        <w:left w:val="none" w:sz="0" w:space="0" w:color="auto"/>
        <w:bottom w:val="none" w:sz="0" w:space="0" w:color="auto"/>
        <w:right w:val="none" w:sz="0" w:space="0" w:color="auto"/>
      </w:divBdr>
      <w:divsChild>
        <w:div w:id="466509606">
          <w:marLeft w:val="0"/>
          <w:marRight w:val="0"/>
          <w:marTop w:val="0"/>
          <w:marBottom w:val="0"/>
          <w:divBdr>
            <w:top w:val="none" w:sz="0" w:space="0" w:color="auto"/>
            <w:left w:val="none" w:sz="0" w:space="0" w:color="auto"/>
            <w:bottom w:val="none" w:sz="0" w:space="0" w:color="auto"/>
            <w:right w:val="none" w:sz="0" w:space="0" w:color="auto"/>
          </w:divBdr>
          <w:divsChild>
            <w:div w:id="1236167108">
              <w:marLeft w:val="0"/>
              <w:marRight w:val="0"/>
              <w:marTop w:val="0"/>
              <w:marBottom w:val="0"/>
              <w:divBdr>
                <w:top w:val="none" w:sz="0" w:space="0" w:color="auto"/>
                <w:left w:val="none" w:sz="0" w:space="0" w:color="auto"/>
                <w:bottom w:val="none" w:sz="0" w:space="0" w:color="auto"/>
                <w:right w:val="none" w:sz="0" w:space="0" w:color="auto"/>
              </w:divBdr>
              <w:divsChild>
                <w:div w:id="1576088925">
                  <w:marLeft w:val="0"/>
                  <w:marRight w:val="0"/>
                  <w:marTop w:val="0"/>
                  <w:marBottom w:val="0"/>
                  <w:divBdr>
                    <w:top w:val="single" w:sz="18" w:space="0" w:color="08237A"/>
                    <w:left w:val="none" w:sz="0" w:space="0" w:color="auto"/>
                    <w:bottom w:val="none" w:sz="0" w:space="0" w:color="auto"/>
                    <w:right w:val="none" w:sz="0" w:space="0" w:color="auto"/>
                  </w:divBdr>
                  <w:divsChild>
                    <w:div w:id="1383091334">
                      <w:marLeft w:val="0"/>
                      <w:marRight w:val="0"/>
                      <w:marTop w:val="0"/>
                      <w:marBottom w:val="0"/>
                      <w:divBdr>
                        <w:top w:val="single" w:sz="2" w:space="8" w:color="BBBBBB"/>
                        <w:left w:val="single" w:sz="6" w:space="0" w:color="BBBBBB"/>
                        <w:bottom w:val="single" w:sz="6" w:space="0" w:color="BBBBBB"/>
                        <w:right w:val="single" w:sz="6" w:space="0" w:color="BBBBBB"/>
                      </w:divBdr>
                      <w:divsChild>
                        <w:div w:id="2113625060">
                          <w:marLeft w:val="0"/>
                          <w:marRight w:val="0"/>
                          <w:marTop w:val="0"/>
                          <w:marBottom w:val="0"/>
                          <w:divBdr>
                            <w:top w:val="none" w:sz="0" w:space="0" w:color="auto"/>
                            <w:left w:val="none" w:sz="0" w:space="0" w:color="auto"/>
                            <w:bottom w:val="none" w:sz="0" w:space="0" w:color="auto"/>
                            <w:right w:val="none" w:sz="0" w:space="0" w:color="auto"/>
                          </w:divBdr>
                          <w:divsChild>
                            <w:div w:id="73408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1277556">
      <w:bodyDiv w:val="1"/>
      <w:marLeft w:val="0"/>
      <w:marRight w:val="0"/>
      <w:marTop w:val="0"/>
      <w:marBottom w:val="0"/>
      <w:divBdr>
        <w:top w:val="none" w:sz="0" w:space="0" w:color="auto"/>
        <w:left w:val="none" w:sz="0" w:space="0" w:color="auto"/>
        <w:bottom w:val="none" w:sz="0" w:space="0" w:color="auto"/>
        <w:right w:val="none" w:sz="0" w:space="0" w:color="auto"/>
      </w:divBdr>
      <w:divsChild>
        <w:div w:id="1514106116">
          <w:marLeft w:val="0"/>
          <w:marRight w:val="0"/>
          <w:marTop w:val="0"/>
          <w:marBottom w:val="0"/>
          <w:divBdr>
            <w:top w:val="none" w:sz="0" w:space="0" w:color="auto"/>
            <w:left w:val="none" w:sz="0" w:space="0" w:color="auto"/>
            <w:bottom w:val="none" w:sz="0" w:space="0" w:color="auto"/>
            <w:right w:val="none" w:sz="0" w:space="0" w:color="auto"/>
          </w:divBdr>
        </w:div>
      </w:divsChild>
    </w:div>
    <w:div w:id="1718970422">
      <w:bodyDiv w:val="1"/>
      <w:marLeft w:val="0"/>
      <w:marRight w:val="0"/>
      <w:marTop w:val="0"/>
      <w:marBottom w:val="0"/>
      <w:divBdr>
        <w:top w:val="none" w:sz="0" w:space="0" w:color="auto"/>
        <w:left w:val="none" w:sz="0" w:space="0" w:color="auto"/>
        <w:bottom w:val="none" w:sz="0" w:space="0" w:color="auto"/>
        <w:right w:val="none" w:sz="0" w:space="0" w:color="auto"/>
      </w:divBdr>
      <w:divsChild>
        <w:div w:id="1780370230">
          <w:marLeft w:val="0"/>
          <w:marRight w:val="0"/>
          <w:marTop w:val="0"/>
          <w:marBottom w:val="0"/>
          <w:divBdr>
            <w:top w:val="none" w:sz="0" w:space="0" w:color="auto"/>
            <w:left w:val="none" w:sz="0" w:space="0" w:color="auto"/>
            <w:bottom w:val="none" w:sz="0" w:space="0" w:color="auto"/>
            <w:right w:val="none" w:sz="0" w:space="0" w:color="auto"/>
          </w:divBdr>
          <w:divsChild>
            <w:div w:id="114563550">
              <w:marLeft w:val="0"/>
              <w:marRight w:val="0"/>
              <w:marTop w:val="0"/>
              <w:marBottom w:val="0"/>
              <w:divBdr>
                <w:top w:val="none" w:sz="0" w:space="0" w:color="auto"/>
                <w:left w:val="none" w:sz="0" w:space="0" w:color="auto"/>
                <w:bottom w:val="none" w:sz="0" w:space="0" w:color="auto"/>
                <w:right w:val="none" w:sz="0" w:space="0" w:color="auto"/>
              </w:divBdr>
              <w:divsChild>
                <w:div w:id="73354726">
                  <w:marLeft w:val="0"/>
                  <w:marRight w:val="0"/>
                  <w:marTop w:val="0"/>
                  <w:marBottom w:val="0"/>
                  <w:divBdr>
                    <w:top w:val="none" w:sz="0" w:space="0" w:color="auto"/>
                    <w:left w:val="none" w:sz="0" w:space="0" w:color="auto"/>
                    <w:bottom w:val="none" w:sz="0" w:space="0" w:color="auto"/>
                    <w:right w:val="none" w:sz="0" w:space="0" w:color="auto"/>
                  </w:divBdr>
                  <w:divsChild>
                    <w:div w:id="1030839816">
                      <w:marLeft w:val="0"/>
                      <w:marRight w:val="0"/>
                      <w:marTop w:val="0"/>
                      <w:marBottom w:val="0"/>
                      <w:divBdr>
                        <w:top w:val="single" w:sz="6" w:space="15" w:color="C0D8F2"/>
                        <w:left w:val="single" w:sz="6" w:space="18" w:color="C0D8F2"/>
                        <w:bottom w:val="single" w:sz="6" w:space="11" w:color="C0D8F2"/>
                        <w:right w:val="single" w:sz="6" w:space="18" w:color="C0D8F2"/>
                      </w:divBdr>
                      <w:divsChild>
                        <w:div w:id="1707365620">
                          <w:marLeft w:val="0"/>
                          <w:marRight w:val="0"/>
                          <w:marTop w:val="0"/>
                          <w:marBottom w:val="0"/>
                          <w:divBdr>
                            <w:top w:val="none" w:sz="0" w:space="0" w:color="auto"/>
                            <w:left w:val="none" w:sz="0" w:space="0" w:color="auto"/>
                            <w:bottom w:val="none" w:sz="0" w:space="0" w:color="auto"/>
                            <w:right w:val="none" w:sz="0" w:space="0" w:color="auto"/>
                          </w:divBdr>
                          <w:divsChild>
                            <w:div w:id="33253508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4870279">
      <w:bodyDiv w:val="1"/>
      <w:marLeft w:val="0"/>
      <w:marRight w:val="0"/>
      <w:marTop w:val="0"/>
      <w:marBottom w:val="0"/>
      <w:divBdr>
        <w:top w:val="none" w:sz="0" w:space="0" w:color="auto"/>
        <w:left w:val="none" w:sz="0" w:space="0" w:color="auto"/>
        <w:bottom w:val="none" w:sz="0" w:space="0" w:color="auto"/>
        <w:right w:val="none" w:sz="0" w:space="0" w:color="auto"/>
      </w:divBdr>
      <w:divsChild>
        <w:div w:id="621039247">
          <w:marLeft w:val="0"/>
          <w:marRight w:val="0"/>
          <w:marTop w:val="0"/>
          <w:marBottom w:val="0"/>
          <w:divBdr>
            <w:top w:val="none" w:sz="0" w:space="0" w:color="auto"/>
            <w:left w:val="none" w:sz="0" w:space="0" w:color="auto"/>
            <w:bottom w:val="none" w:sz="0" w:space="0" w:color="auto"/>
            <w:right w:val="none" w:sz="0" w:space="0" w:color="auto"/>
          </w:divBdr>
          <w:divsChild>
            <w:div w:id="839924714">
              <w:marLeft w:val="0"/>
              <w:marRight w:val="0"/>
              <w:marTop w:val="0"/>
              <w:marBottom w:val="0"/>
              <w:divBdr>
                <w:top w:val="none" w:sz="0" w:space="0" w:color="auto"/>
                <w:left w:val="none" w:sz="0" w:space="0" w:color="auto"/>
                <w:bottom w:val="none" w:sz="0" w:space="0" w:color="auto"/>
                <w:right w:val="none" w:sz="0" w:space="0" w:color="auto"/>
              </w:divBdr>
              <w:divsChild>
                <w:div w:id="81803956">
                  <w:marLeft w:val="0"/>
                  <w:marRight w:val="0"/>
                  <w:marTop w:val="0"/>
                  <w:marBottom w:val="0"/>
                  <w:divBdr>
                    <w:top w:val="single" w:sz="12" w:space="0" w:color="08237A"/>
                    <w:left w:val="none" w:sz="0" w:space="0" w:color="auto"/>
                    <w:bottom w:val="none" w:sz="0" w:space="0" w:color="auto"/>
                    <w:right w:val="none" w:sz="0" w:space="0" w:color="auto"/>
                  </w:divBdr>
                  <w:divsChild>
                    <w:div w:id="1879122116">
                      <w:marLeft w:val="0"/>
                      <w:marRight w:val="0"/>
                      <w:marTop w:val="0"/>
                      <w:marBottom w:val="0"/>
                      <w:divBdr>
                        <w:top w:val="single" w:sz="2" w:space="7" w:color="BBBBBB"/>
                        <w:left w:val="single" w:sz="4" w:space="0" w:color="BBBBBB"/>
                        <w:bottom w:val="single" w:sz="4" w:space="0" w:color="BBBBBB"/>
                        <w:right w:val="single" w:sz="4" w:space="0" w:color="BBBBBB"/>
                      </w:divBdr>
                      <w:divsChild>
                        <w:div w:id="831335673">
                          <w:marLeft w:val="0"/>
                          <w:marRight w:val="0"/>
                          <w:marTop w:val="0"/>
                          <w:marBottom w:val="0"/>
                          <w:divBdr>
                            <w:top w:val="none" w:sz="0" w:space="0" w:color="auto"/>
                            <w:left w:val="none" w:sz="0" w:space="0" w:color="auto"/>
                            <w:bottom w:val="none" w:sz="0" w:space="0" w:color="auto"/>
                            <w:right w:val="none" w:sz="0" w:space="0" w:color="auto"/>
                          </w:divBdr>
                          <w:divsChild>
                            <w:div w:id="1467894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6783196">
      <w:bodyDiv w:val="1"/>
      <w:marLeft w:val="0"/>
      <w:marRight w:val="0"/>
      <w:marTop w:val="0"/>
      <w:marBottom w:val="0"/>
      <w:divBdr>
        <w:top w:val="none" w:sz="0" w:space="0" w:color="auto"/>
        <w:left w:val="none" w:sz="0" w:space="0" w:color="auto"/>
        <w:bottom w:val="none" w:sz="0" w:space="0" w:color="auto"/>
        <w:right w:val="none" w:sz="0" w:space="0" w:color="auto"/>
      </w:divBdr>
      <w:divsChild>
        <w:div w:id="825165517">
          <w:marLeft w:val="0"/>
          <w:marRight w:val="0"/>
          <w:marTop w:val="0"/>
          <w:marBottom w:val="0"/>
          <w:divBdr>
            <w:top w:val="none" w:sz="0" w:space="0" w:color="auto"/>
            <w:left w:val="none" w:sz="0" w:space="0" w:color="auto"/>
            <w:bottom w:val="none" w:sz="0" w:space="0" w:color="auto"/>
            <w:right w:val="none" w:sz="0" w:space="0" w:color="auto"/>
          </w:divBdr>
          <w:divsChild>
            <w:div w:id="370689297">
              <w:marLeft w:val="0"/>
              <w:marRight w:val="0"/>
              <w:marTop w:val="0"/>
              <w:marBottom w:val="0"/>
              <w:divBdr>
                <w:top w:val="none" w:sz="0" w:space="0" w:color="auto"/>
                <w:left w:val="none" w:sz="0" w:space="0" w:color="auto"/>
                <w:bottom w:val="none" w:sz="0" w:space="0" w:color="auto"/>
                <w:right w:val="none" w:sz="0" w:space="0" w:color="auto"/>
              </w:divBdr>
              <w:divsChild>
                <w:div w:id="1188252631">
                  <w:marLeft w:val="0"/>
                  <w:marRight w:val="0"/>
                  <w:marTop w:val="0"/>
                  <w:marBottom w:val="0"/>
                  <w:divBdr>
                    <w:top w:val="none" w:sz="0" w:space="0" w:color="auto"/>
                    <w:left w:val="none" w:sz="0" w:space="0" w:color="auto"/>
                    <w:bottom w:val="none" w:sz="0" w:space="0" w:color="auto"/>
                    <w:right w:val="none" w:sz="0" w:space="0" w:color="auto"/>
                  </w:divBdr>
                  <w:divsChild>
                    <w:div w:id="1326931086">
                      <w:marLeft w:val="0"/>
                      <w:marRight w:val="0"/>
                      <w:marTop w:val="0"/>
                      <w:marBottom w:val="0"/>
                      <w:divBdr>
                        <w:top w:val="single" w:sz="6" w:space="15" w:color="C0D8F2"/>
                        <w:left w:val="single" w:sz="6" w:space="18" w:color="C0D8F2"/>
                        <w:bottom w:val="single" w:sz="6" w:space="11" w:color="C0D8F2"/>
                        <w:right w:val="single" w:sz="6" w:space="18" w:color="C0D8F2"/>
                      </w:divBdr>
                      <w:divsChild>
                        <w:div w:id="2019388215">
                          <w:marLeft w:val="0"/>
                          <w:marRight w:val="0"/>
                          <w:marTop w:val="0"/>
                          <w:marBottom w:val="0"/>
                          <w:divBdr>
                            <w:top w:val="none" w:sz="0" w:space="0" w:color="auto"/>
                            <w:left w:val="none" w:sz="0" w:space="0" w:color="auto"/>
                            <w:bottom w:val="none" w:sz="0" w:space="0" w:color="auto"/>
                            <w:right w:val="none" w:sz="0" w:space="0" w:color="auto"/>
                          </w:divBdr>
                          <w:divsChild>
                            <w:div w:id="211886874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587549">
      <w:bodyDiv w:val="1"/>
      <w:marLeft w:val="0"/>
      <w:marRight w:val="0"/>
      <w:marTop w:val="0"/>
      <w:marBottom w:val="0"/>
      <w:divBdr>
        <w:top w:val="none" w:sz="0" w:space="0" w:color="auto"/>
        <w:left w:val="none" w:sz="0" w:space="0" w:color="auto"/>
        <w:bottom w:val="none" w:sz="0" w:space="0" w:color="auto"/>
        <w:right w:val="none" w:sz="0" w:space="0" w:color="auto"/>
      </w:divBdr>
      <w:divsChild>
        <w:div w:id="1839229278">
          <w:marLeft w:val="0"/>
          <w:marRight w:val="0"/>
          <w:marTop w:val="75"/>
          <w:marBottom w:val="75"/>
          <w:divBdr>
            <w:top w:val="none" w:sz="0" w:space="0" w:color="auto"/>
            <w:left w:val="none" w:sz="0" w:space="0" w:color="auto"/>
            <w:bottom w:val="none" w:sz="0" w:space="0" w:color="auto"/>
            <w:right w:val="none" w:sz="0" w:space="0" w:color="auto"/>
          </w:divBdr>
          <w:divsChild>
            <w:div w:id="1451434269">
              <w:marLeft w:val="0"/>
              <w:marRight w:val="0"/>
              <w:marTop w:val="0"/>
              <w:marBottom w:val="0"/>
              <w:divBdr>
                <w:top w:val="single" w:sz="6" w:space="0" w:color="BEBEBE"/>
                <w:left w:val="single" w:sz="6" w:space="0" w:color="BEBEBE"/>
                <w:bottom w:val="single" w:sz="6" w:space="0" w:color="BEBEBE"/>
                <w:right w:val="single" w:sz="6" w:space="0" w:color="BEBEBE"/>
              </w:divBdr>
              <w:divsChild>
                <w:div w:id="1076971831">
                  <w:marLeft w:val="0"/>
                  <w:marRight w:val="0"/>
                  <w:marTop w:val="0"/>
                  <w:marBottom w:val="0"/>
                  <w:divBdr>
                    <w:top w:val="none" w:sz="0" w:space="0" w:color="auto"/>
                    <w:left w:val="none" w:sz="0" w:space="0" w:color="auto"/>
                    <w:bottom w:val="none" w:sz="0" w:space="0" w:color="auto"/>
                    <w:right w:val="none" w:sz="0" w:space="0" w:color="auto"/>
                  </w:divBdr>
                  <w:divsChild>
                    <w:div w:id="1161772802">
                      <w:marLeft w:val="0"/>
                      <w:marRight w:val="0"/>
                      <w:marTop w:val="0"/>
                      <w:marBottom w:val="0"/>
                      <w:divBdr>
                        <w:top w:val="none" w:sz="0" w:space="0" w:color="auto"/>
                        <w:left w:val="none" w:sz="0" w:space="0" w:color="auto"/>
                        <w:bottom w:val="none" w:sz="0" w:space="0" w:color="auto"/>
                        <w:right w:val="none" w:sz="0" w:space="0" w:color="auto"/>
                      </w:divBdr>
                      <w:divsChild>
                        <w:div w:id="160237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776544">
      <w:bodyDiv w:val="1"/>
      <w:marLeft w:val="0"/>
      <w:marRight w:val="0"/>
      <w:marTop w:val="0"/>
      <w:marBottom w:val="0"/>
      <w:divBdr>
        <w:top w:val="none" w:sz="0" w:space="0" w:color="auto"/>
        <w:left w:val="none" w:sz="0" w:space="0" w:color="auto"/>
        <w:bottom w:val="none" w:sz="0" w:space="0" w:color="auto"/>
        <w:right w:val="none" w:sz="0" w:space="0" w:color="auto"/>
      </w:divBdr>
      <w:divsChild>
        <w:div w:id="758796820">
          <w:marLeft w:val="0"/>
          <w:marRight w:val="0"/>
          <w:marTop w:val="0"/>
          <w:marBottom w:val="0"/>
          <w:divBdr>
            <w:top w:val="none" w:sz="0" w:space="0" w:color="auto"/>
            <w:left w:val="none" w:sz="0" w:space="0" w:color="auto"/>
            <w:bottom w:val="none" w:sz="0" w:space="0" w:color="auto"/>
            <w:right w:val="none" w:sz="0" w:space="0" w:color="auto"/>
          </w:divBdr>
        </w:div>
      </w:divsChild>
    </w:div>
    <w:div w:id="1794979875">
      <w:bodyDiv w:val="1"/>
      <w:marLeft w:val="0"/>
      <w:marRight w:val="0"/>
      <w:marTop w:val="0"/>
      <w:marBottom w:val="0"/>
      <w:divBdr>
        <w:top w:val="none" w:sz="0" w:space="0" w:color="auto"/>
        <w:left w:val="none" w:sz="0" w:space="0" w:color="auto"/>
        <w:bottom w:val="none" w:sz="0" w:space="0" w:color="auto"/>
        <w:right w:val="none" w:sz="0" w:space="0" w:color="auto"/>
      </w:divBdr>
      <w:divsChild>
        <w:div w:id="544370238">
          <w:marLeft w:val="0"/>
          <w:marRight w:val="0"/>
          <w:marTop w:val="75"/>
          <w:marBottom w:val="75"/>
          <w:divBdr>
            <w:top w:val="none" w:sz="0" w:space="0" w:color="auto"/>
            <w:left w:val="none" w:sz="0" w:space="0" w:color="auto"/>
            <w:bottom w:val="none" w:sz="0" w:space="0" w:color="auto"/>
            <w:right w:val="none" w:sz="0" w:space="0" w:color="auto"/>
          </w:divBdr>
          <w:divsChild>
            <w:div w:id="1868638555">
              <w:marLeft w:val="0"/>
              <w:marRight w:val="0"/>
              <w:marTop w:val="0"/>
              <w:marBottom w:val="0"/>
              <w:divBdr>
                <w:top w:val="single" w:sz="6" w:space="0" w:color="BEBEBE"/>
                <w:left w:val="single" w:sz="6" w:space="0" w:color="BEBEBE"/>
                <w:bottom w:val="single" w:sz="6" w:space="0" w:color="BEBEBE"/>
                <w:right w:val="single" w:sz="6" w:space="0" w:color="BEBEBE"/>
              </w:divBdr>
              <w:divsChild>
                <w:div w:id="1988512649">
                  <w:marLeft w:val="0"/>
                  <w:marRight w:val="0"/>
                  <w:marTop w:val="0"/>
                  <w:marBottom w:val="0"/>
                  <w:divBdr>
                    <w:top w:val="none" w:sz="0" w:space="0" w:color="auto"/>
                    <w:left w:val="none" w:sz="0" w:space="0" w:color="auto"/>
                    <w:bottom w:val="none" w:sz="0" w:space="0" w:color="auto"/>
                    <w:right w:val="none" w:sz="0" w:space="0" w:color="auto"/>
                  </w:divBdr>
                  <w:divsChild>
                    <w:div w:id="2142992859">
                      <w:marLeft w:val="0"/>
                      <w:marRight w:val="0"/>
                      <w:marTop w:val="0"/>
                      <w:marBottom w:val="0"/>
                      <w:divBdr>
                        <w:top w:val="none" w:sz="0" w:space="0" w:color="auto"/>
                        <w:left w:val="none" w:sz="0" w:space="0" w:color="auto"/>
                        <w:bottom w:val="none" w:sz="0" w:space="0" w:color="auto"/>
                        <w:right w:val="none" w:sz="0" w:space="0" w:color="auto"/>
                      </w:divBdr>
                      <w:divsChild>
                        <w:div w:id="5478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198414">
      <w:bodyDiv w:val="1"/>
      <w:marLeft w:val="0"/>
      <w:marRight w:val="0"/>
      <w:marTop w:val="0"/>
      <w:marBottom w:val="0"/>
      <w:divBdr>
        <w:top w:val="none" w:sz="0" w:space="0" w:color="auto"/>
        <w:left w:val="none" w:sz="0" w:space="0" w:color="auto"/>
        <w:bottom w:val="none" w:sz="0" w:space="0" w:color="auto"/>
        <w:right w:val="none" w:sz="0" w:space="0" w:color="auto"/>
      </w:divBdr>
      <w:divsChild>
        <w:div w:id="1629702622">
          <w:marLeft w:val="0"/>
          <w:marRight w:val="0"/>
          <w:marTop w:val="0"/>
          <w:marBottom w:val="0"/>
          <w:divBdr>
            <w:top w:val="none" w:sz="0" w:space="0" w:color="auto"/>
            <w:left w:val="none" w:sz="0" w:space="0" w:color="auto"/>
            <w:bottom w:val="none" w:sz="0" w:space="0" w:color="auto"/>
            <w:right w:val="none" w:sz="0" w:space="0" w:color="auto"/>
          </w:divBdr>
          <w:divsChild>
            <w:div w:id="1657806506">
              <w:marLeft w:val="0"/>
              <w:marRight w:val="0"/>
              <w:marTop w:val="300"/>
              <w:marBottom w:val="0"/>
              <w:divBdr>
                <w:top w:val="none" w:sz="0" w:space="0" w:color="auto"/>
                <w:left w:val="none" w:sz="0" w:space="0" w:color="auto"/>
                <w:bottom w:val="none" w:sz="0" w:space="0" w:color="auto"/>
                <w:right w:val="none" w:sz="0" w:space="0" w:color="auto"/>
              </w:divBdr>
              <w:divsChild>
                <w:div w:id="1587420601">
                  <w:marLeft w:val="0"/>
                  <w:marRight w:val="0"/>
                  <w:marTop w:val="0"/>
                  <w:marBottom w:val="0"/>
                  <w:divBdr>
                    <w:top w:val="none" w:sz="0" w:space="0" w:color="auto"/>
                    <w:left w:val="none" w:sz="0" w:space="0" w:color="auto"/>
                    <w:bottom w:val="none" w:sz="0" w:space="0" w:color="auto"/>
                    <w:right w:val="none" w:sz="0" w:space="0" w:color="auto"/>
                  </w:divBdr>
                  <w:divsChild>
                    <w:div w:id="10322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085112">
      <w:bodyDiv w:val="1"/>
      <w:marLeft w:val="0"/>
      <w:marRight w:val="0"/>
      <w:marTop w:val="0"/>
      <w:marBottom w:val="0"/>
      <w:divBdr>
        <w:top w:val="none" w:sz="0" w:space="0" w:color="auto"/>
        <w:left w:val="none" w:sz="0" w:space="0" w:color="auto"/>
        <w:bottom w:val="none" w:sz="0" w:space="0" w:color="auto"/>
        <w:right w:val="none" w:sz="0" w:space="0" w:color="auto"/>
      </w:divBdr>
      <w:divsChild>
        <w:div w:id="2065636930">
          <w:marLeft w:val="0"/>
          <w:marRight w:val="0"/>
          <w:marTop w:val="0"/>
          <w:marBottom w:val="0"/>
          <w:divBdr>
            <w:top w:val="none" w:sz="0" w:space="0" w:color="auto"/>
            <w:left w:val="none" w:sz="0" w:space="0" w:color="auto"/>
            <w:bottom w:val="none" w:sz="0" w:space="0" w:color="auto"/>
            <w:right w:val="none" w:sz="0" w:space="0" w:color="auto"/>
          </w:divBdr>
          <w:divsChild>
            <w:div w:id="898394236">
              <w:marLeft w:val="0"/>
              <w:marRight w:val="0"/>
              <w:marTop w:val="0"/>
              <w:marBottom w:val="0"/>
              <w:divBdr>
                <w:top w:val="none" w:sz="0" w:space="0" w:color="auto"/>
                <w:left w:val="none" w:sz="0" w:space="0" w:color="auto"/>
                <w:bottom w:val="none" w:sz="0" w:space="0" w:color="auto"/>
                <w:right w:val="none" w:sz="0" w:space="0" w:color="auto"/>
              </w:divBdr>
              <w:divsChild>
                <w:div w:id="669481674">
                  <w:marLeft w:val="0"/>
                  <w:marRight w:val="0"/>
                  <w:marTop w:val="0"/>
                  <w:marBottom w:val="0"/>
                  <w:divBdr>
                    <w:top w:val="single" w:sz="18" w:space="0" w:color="08237A"/>
                    <w:left w:val="none" w:sz="0" w:space="0" w:color="auto"/>
                    <w:bottom w:val="none" w:sz="0" w:space="0" w:color="auto"/>
                    <w:right w:val="none" w:sz="0" w:space="0" w:color="auto"/>
                  </w:divBdr>
                  <w:divsChild>
                    <w:div w:id="1428111132">
                      <w:marLeft w:val="0"/>
                      <w:marRight w:val="0"/>
                      <w:marTop w:val="0"/>
                      <w:marBottom w:val="0"/>
                      <w:divBdr>
                        <w:top w:val="single" w:sz="2" w:space="8" w:color="BBBBBB"/>
                        <w:left w:val="single" w:sz="6" w:space="0" w:color="BBBBBB"/>
                        <w:bottom w:val="single" w:sz="6" w:space="0" w:color="BBBBBB"/>
                        <w:right w:val="single" w:sz="6" w:space="0" w:color="BBBBBB"/>
                      </w:divBdr>
                      <w:divsChild>
                        <w:div w:id="747965269">
                          <w:marLeft w:val="0"/>
                          <w:marRight w:val="0"/>
                          <w:marTop w:val="0"/>
                          <w:marBottom w:val="0"/>
                          <w:divBdr>
                            <w:top w:val="none" w:sz="0" w:space="0" w:color="auto"/>
                            <w:left w:val="none" w:sz="0" w:space="0" w:color="auto"/>
                            <w:bottom w:val="none" w:sz="0" w:space="0" w:color="auto"/>
                            <w:right w:val="none" w:sz="0" w:space="0" w:color="auto"/>
                          </w:divBdr>
                          <w:divsChild>
                            <w:div w:id="13048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8952535">
      <w:bodyDiv w:val="1"/>
      <w:marLeft w:val="0"/>
      <w:marRight w:val="0"/>
      <w:marTop w:val="0"/>
      <w:marBottom w:val="0"/>
      <w:divBdr>
        <w:top w:val="none" w:sz="0" w:space="0" w:color="auto"/>
        <w:left w:val="none" w:sz="0" w:space="0" w:color="auto"/>
        <w:bottom w:val="none" w:sz="0" w:space="0" w:color="auto"/>
        <w:right w:val="none" w:sz="0" w:space="0" w:color="auto"/>
      </w:divBdr>
      <w:divsChild>
        <w:div w:id="1502424464">
          <w:marLeft w:val="0"/>
          <w:marRight w:val="0"/>
          <w:marTop w:val="0"/>
          <w:marBottom w:val="0"/>
          <w:divBdr>
            <w:top w:val="none" w:sz="0" w:space="0" w:color="auto"/>
            <w:left w:val="none" w:sz="0" w:space="0" w:color="auto"/>
            <w:bottom w:val="none" w:sz="0" w:space="0" w:color="auto"/>
            <w:right w:val="none" w:sz="0" w:space="0" w:color="auto"/>
          </w:divBdr>
        </w:div>
      </w:divsChild>
    </w:div>
    <w:div w:id="1986470375">
      <w:bodyDiv w:val="1"/>
      <w:marLeft w:val="0"/>
      <w:marRight w:val="0"/>
      <w:marTop w:val="0"/>
      <w:marBottom w:val="0"/>
      <w:divBdr>
        <w:top w:val="none" w:sz="0" w:space="0" w:color="auto"/>
        <w:left w:val="none" w:sz="0" w:space="0" w:color="auto"/>
        <w:bottom w:val="none" w:sz="0" w:space="0" w:color="auto"/>
        <w:right w:val="none" w:sz="0" w:space="0" w:color="auto"/>
      </w:divBdr>
      <w:divsChild>
        <w:div w:id="780951138">
          <w:marLeft w:val="0"/>
          <w:marRight w:val="0"/>
          <w:marTop w:val="75"/>
          <w:marBottom w:val="75"/>
          <w:divBdr>
            <w:top w:val="none" w:sz="0" w:space="0" w:color="auto"/>
            <w:left w:val="none" w:sz="0" w:space="0" w:color="auto"/>
            <w:bottom w:val="none" w:sz="0" w:space="0" w:color="auto"/>
            <w:right w:val="none" w:sz="0" w:space="0" w:color="auto"/>
          </w:divBdr>
          <w:divsChild>
            <w:div w:id="573316406">
              <w:marLeft w:val="0"/>
              <w:marRight w:val="0"/>
              <w:marTop w:val="0"/>
              <w:marBottom w:val="0"/>
              <w:divBdr>
                <w:top w:val="single" w:sz="6" w:space="0" w:color="BEBEBE"/>
                <w:left w:val="single" w:sz="6" w:space="0" w:color="BEBEBE"/>
                <w:bottom w:val="single" w:sz="6" w:space="0" w:color="BEBEBE"/>
                <w:right w:val="single" w:sz="6" w:space="0" w:color="BEBEBE"/>
              </w:divBdr>
              <w:divsChild>
                <w:div w:id="536625204">
                  <w:marLeft w:val="0"/>
                  <w:marRight w:val="0"/>
                  <w:marTop w:val="0"/>
                  <w:marBottom w:val="0"/>
                  <w:divBdr>
                    <w:top w:val="none" w:sz="0" w:space="0" w:color="auto"/>
                    <w:left w:val="none" w:sz="0" w:space="0" w:color="auto"/>
                    <w:bottom w:val="none" w:sz="0" w:space="0" w:color="auto"/>
                    <w:right w:val="none" w:sz="0" w:space="0" w:color="auto"/>
                  </w:divBdr>
                  <w:divsChild>
                    <w:div w:id="17702768">
                      <w:marLeft w:val="0"/>
                      <w:marRight w:val="0"/>
                      <w:marTop w:val="0"/>
                      <w:marBottom w:val="0"/>
                      <w:divBdr>
                        <w:top w:val="none" w:sz="0" w:space="0" w:color="auto"/>
                        <w:left w:val="none" w:sz="0" w:space="0" w:color="auto"/>
                        <w:bottom w:val="none" w:sz="0" w:space="0" w:color="auto"/>
                        <w:right w:val="none" w:sz="0" w:space="0" w:color="auto"/>
                      </w:divBdr>
                      <w:divsChild>
                        <w:div w:id="145621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964752">
      <w:bodyDiv w:val="1"/>
      <w:marLeft w:val="0"/>
      <w:marRight w:val="0"/>
      <w:marTop w:val="0"/>
      <w:marBottom w:val="0"/>
      <w:divBdr>
        <w:top w:val="none" w:sz="0" w:space="0" w:color="auto"/>
        <w:left w:val="none" w:sz="0" w:space="0" w:color="auto"/>
        <w:bottom w:val="none" w:sz="0" w:space="0" w:color="auto"/>
        <w:right w:val="none" w:sz="0" w:space="0" w:color="auto"/>
      </w:divBdr>
      <w:divsChild>
        <w:div w:id="372971968">
          <w:marLeft w:val="0"/>
          <w:marRight w:val="0"/>
          <w:marTop w:val="75"/>
          <w:marBottom w:val="75"/>
          <w:divBdr>
            <w:top w:val="none" w:sz="0" w:space="0" w:color="auto"/>
            <w:left w:val="none" w:sz="0" w:space="0" w:color="auto"/>
            <w:bottom w:val="none" w:sz="0" w:space="0" w:color="auto"/>
            <w:right w:val="none" w:sz="0" w:space="0" w:color="auto"/>
          </w:divBdr>
          <w:divsChild>
            <w:div w:id="238102791">
              <w:marLeft w:val="0"/>
              <w:marRight w:val="0"/>
              <w:marTop w:val="0"/>
              <w:marBottom w:val="0"/>
              <w:divBdr>
                <w:top w:val="single" w:sz="6" w:space="0" w:color="BEBEBE"/>
                <w:left w:val="single" w:sz="6" w:space="0" w:color="BEBEBE"/>
                <w:bottom w:val="single" w:sz="6" w:space="0" w:color="BEBEBE"/>
                <w:right w:val="single" w:sz="6" w:space="0" w:color="BEBEBE"/>
              </w:divBdr>
              <w:divsChild>
                <w:div w:id="1489174698">
                  <w:marLeft w:val="0"/>
                  <w:marRight w:val="0"/>
                  <w:marTop w:val="0"/>
                  <w:marBottom w:val="0"/>
                  <w:divBdr>
                    <w:top w:val="none" w:sz="0" w:space="0" w:color="auto"/>
                    <w:left w:val="none" w:sz="0" w:space="0" w:color="auto"/>
                    <w:bottom w:val="none" w:sz="0" w:space="0" w:color="auto"/>
                    <w:right w:val="none" w:sz="0" w:space="0" w:color="auto"/>
                  </w:divBdr>
                  <w:divsChild>
                    <w:div w:id="2135175621">
                      <w:marLeft w:val="0"/>
                      <w:marRight w:val="0"/>
                      <w:marTop w:val="0"/>
                      <w:marBottom w:val="0"/>
                      <w:divBdr>
                        <w:top w:val="none" w:sz="0" w:space="0" w:color="auto"/>
                        <w:left w:val="none" w:sz="0" w:space="0" w:color="auto"/>
                        <w:bottom w:val="none" w:sz="0" w:space="0" w:color="auto"/>
                        <w:right w:val="none" w:sz="0" w:space="0" w:color="auto"/>
                      </w:divBdr>
                      <w:divsChild>
                        <w:div w:id="166940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4091140">
      <w:bodyDiv w:val="1"/>
      <w:marLeft w:val="0"/>
      <w:marRight w:val="0"/>
      <w:marTop w:val="0"/>
      <w:marBottom w:val="0"/>
      <w:divBdr>
        <w:top w:val="none" w:sz="0" w:space="0" w:color="auto"/>
        <w:left w:val="none" w:sz="0" w:space="0" w:color="auto"/>
        <w:bottom w:val="none" w:sz="0" w:space="0" w:color="auto"/>
        <w:right w:val="none" w:sz="0" w:space="0" w:color="auto"/>
      </w:divBdr>
      <w:divsChild>
        <w:div w:id="1917208100">
          <w:marLeft w:val="0"/>
          <w:marRight w:val="0"/>
          <w:marTop w:val="0"/>
          <w:marBottom w:val="0"/>
          <w:divBdr>
            <w:top w:val="none" w:sz="0" w:space="0" w:color="auto"/>
            <w:left w:val="none" w:sz="0" w:space="0" w:color="auto"/>
            <w:bottom w:val="none" w:sz="0" w:space="0" w:color="auto"/>
            <w:right w:val="none" w:sz="0" w:space="0" w:color="auto"/>
          </w:divBdr>
          <w:divsChild>
            <w:div w:id="1793130769">
              <w:marLeft w:val="0"/>
              <w:marRight w:val="0"/>
              <w:marTop w:val="0"/>
              <w:marBottom w:val="0"/>
              <w:divBdr>
                <w:top w:val="none" w:sz="0" w:space="0" w:color="auto"/>
                <w:left w:val="none" w:sz="0" w:space="0" w:color="auto"/>
                <w:bottom w:val="none" w:sz="0" w:space="0" w:color="auto"/>
                <w:right w:val="none" w:sz="0" w:space="0" w:color="auto"/>
              </w:divBdr>
              <w:divsChild>
                <w:div w:id="897743760">
                  <w:marLeft w:val="0"/>
                  <w:marRight w:val="0"/>
                  <w:marTop w:val="0"/>
                  <w:marBottom w:val="0"/>
                  <w:divBdr>
                    <w:top w:val="none" w:sz="0" w:space="0" w:color="auto"/>
                    <w:left w:val="none" w:sz="0" w:space="0" w:color="auto"/>
                    <w:bottom w:val="none" w:sz="0" w:space="0" w:color="auto"/>
                    <w:right w:val="none" w:sz="0" w:space="0" w:color="auto"/>
                  </w:divBdr>
                  <w:divsChild>
                    <w:div w:id="2047949249">
                      <w:marLeft w:val="0"/>
                      <w:marRight w:val="0"/>
                      <w:marTop w:val="0"/>
                      <w:marBottom w:val="0"/>
                      <w:divBdr>
                        <w:top w:val="none" w:sz="0" w:space="0" w:color="auto"/>
                        <w:left w:val="none" w:sz="0" w:space="0" w:color="auto"/>
                        <w:bottom w:val="none" w:sz="0" w:space="0" w:color="auto"/>
                        <w:right w:val="none" w:sz="0" w:space="0" w:color="auto"/>
                      </w:divBdr>
                      <w:divsChild>
                        <w:div w:id="1065759027">
                          <w:marLeft w:val="0"/>
                          <w:marRight w:val="0"/>
                          <w:marTop w:val="0"/>
                          <w:marBottom w:val="0"/>
                          <w:divBdr>
                            <w:top w:val="none" w:sz="0" w:space="0" w:color="auto"/>
                            <w:left w:val="none" w:sz="0" w:space="0" w:color="auto"/>
                            <w:bottom w:val="none" w:sz="0" w:space="0" w:color="auto"/>
                            <w:right w:val="none" w:sz="0" w:space="0" w:color="auto"/>
                          </w:divBdr>
                          <w:divsChild>
                            <w:div w:id="1480343388">
                              <w:marLeft w:val="0"/>
                              <w:marRight w:val="0"/>
                              <w:marTop w:val="0"/>
                              <w:marBottom w:val="0"/>
                              <w:divBdr>
                                <w:top w:val="none" w:sz="0" w:space="0" w:color="auto"/>
                                <w:left w:val="none" w:sz="0" w:space="0" w:color="auto"/>
                                <w:bottom w:val="none" w:sz="0" w:space="0" w:color="auto"/>
                                <w:right w:val="none" w:sz="0" w:space="0" w:color="auto"/>
                              </w:divBdr>
                              <w:divsChild>
                                <w:div w:id="425078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661824">
      <w:bodyDiv w:val="1"/>
      <w:marLeft w:val="0"/>
      <w:marRight w:val="0"/>
      <w:marTop w:val="0"/>
      <w:marBottom w:val="0"/>
      <w:divBdr>
        <w:top w:val="none" w:sz="0" w:space="0" w:color="auto"/>
        <w:left w:val="none" w:sz="0" w:space="0" w:color="auto"/>
        <w:bottom w:val="none" w:sz="0" w:space="0" w:color="auto"/>
        <w:right w:val="none" w:sz="0" w:space="0" w:color="auto"/>
      </w:divBdr>
      <w:divsChild>
        <w:div w:id="43675856">
          <w:marLeft w:val="0"/>
          <w:marRight w:val="0"/>
          <w:marTop w:val="0"/>
          <w:marBottom w:val="0"/>
          <w:divBdr>
            <w:top w:val="none" w:sz="0" w:space="0" w:color="auto"/>
            <w:left w:val="none" w:sz="0" w:space="0" w:color="auto"/>
            <w:bottom w:val="none" w:sz="0" w:space="0" w:color="auto"/>
            <w:right w:val="none" w:sz="0" w:space="0" w:color="auto"/>
          </w:divBdr>
          <w:divsChild>
            <w:div w:id="1090271823">
              <w:marLeft w:val="0"/>
              <w:marRight w:val="0"/>
              <w:marTop w:val="0"/>
              <w:marBottom w:val="0"/>
              <w:divBdr>
                <w:top w:val="none" w:sz="0" w:space="0" w:color="auto"/>
                <w:left w:val="none" w:sz="0" w:space="0" w:color="auto"/>
                <w:bottom w:val="none" w:sz="0" w:space="0" w:color="auto"/>
                <w:right w:val="none" w:sz="0" w:space="0" w:color="auto"/>
              </w:divBdr>
              <w:divsChild>
                <w:div w:id="931669677">
                  <w:marLeft w:val="0"/>
                  <w:marRight w:val="0"/>
                  <w:marTop w:val="0"/>
                  <w:marBottom w:val="0"/>
                  <w:divBdr>
                    <w:top w:val="single" w:sz="18" w:space="0" w:color="08237A"/>
                    <w:left w:val="none" w:sz="0" w:space="0" w:color="auto"/>
                    <w:bottom w:val="none" w:sz="0" w:space="0" w:color="auto"/>
                    <w:right w:val="none" w:sz="0" w:space="0" w:color="auto"/>
                  </w:divBdr>
                  <w:divsChild>
                    <w:div w:id="113519217">
                      <w:marLeft w:val="0"/>
                      <w:marRight w:val="0"/>
                      <w:marTop w:val="0"/>
                      <w:marBottom w:val="0"/>
                      <w:divBdr>
                        <w:top w:val="single" w:sz="2" w:space="8" w:color="BBBBBB"/>
                        <w:left w:val="single" w:sz="6" w:space="0" w:color="BBBBBB"/>
                        <w:bottom w:val="single" w:sz="6" w:space="0" w:color="BBBBBB"/>
                        <w:right w:val="single" w:sz="6" w:space="0" w:color="BBBBBB"/>
                      </w:divBdr>
                      <w:divsChild>
                        <w:div w:id="672681419">
                          <w:marLeft w:val="0"/>
                          <w:marRight w:val="0"/>
                          <w:marTop w:val="0"/>
                          <w:marBottom w:val="0"/>
                          <w:divBdr>
                            <w:top w:val="none" w:sz="0" w:space="0" w:color="auto"/>
                            <w:left w:val="none" w:sz="0" w:space="0" w:color="auto"/>
                            <w:bottom w:val="none" w:sz="0" w:space="0" w:color="auto"/>
                            <w:right w:val="none" w:sz="0" w:space="0" w:color="auto"/>
                          </w:divBdr>
                          <w:divsChild>
                            <w:div w:id="1576282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306685">
      <w:bodyDiv w:val="1"/>
      <w:marLeft w:val="0"/>
      <w:marRight w:val="0"/>
      <w:marTop w:val="0"/>
      <w:marBottom w:val="0"/>
      <w:divBdr>
        <w:top w:val="none" w:sz="0" w:space="0" w:color="auto"/>
        <w:left w:val="none" w:sz="0" w:space="0" w:color="auto"/>
        <w:bottom w:val="none" w:sz="0" w:space="0" w:color="auto"/>
        <w:right w:val="none" w:sz="0" w:space="0" w:color="auto"/>
      </w:divBdr>
      <w:divsChild>
        <w:div w:id="1155074922">
          <w:marLeft w:val="0"/>
          <w:marRight w:val="0"/>
          <w:marTop w:val="0"/>
          <w:marBottom w:val="0"/>
          <w:divBdr>
            <w:top w:val="none" w:sz="0" w:space="0" w:color="auto"/>
            <w:left w:val="none" w:sz="0" w:space="0" w:color="auto"/>
            <w:bottom w:val="none" w:sz="0" w:space="0" w:color="auto"/>
            <w:right w:val="none" w:sz="0" w:space="0" w:color="auto"/>
          </w:divBdr>
          <w:divsChild>
            <w:div w:id="915434118">
              <w:marLeft w:val="0"/>
              <w:marRight w:val="0"/>
              <w:marTop w:val="0"/>
              <w:marBottom w:val="0"/>
              <w:divBdr>
                <w:top w:val="none" w:sz="0" w:space="0" w:color="auto"/>
                <w:left w:val="none" w:sz="0" w:space="0" w:color="auto"/>
                <w:bottom w:val="none" w:sz="0" w:space="0" w:color="auto"/>
                <w:right w:val="none" w:sz="0" w:space="0" w:color="auto"/>
              </w:divBdr>
              <w:divsChild>
                <w:div w:id="1431316614">
                  <w:marLeft w:val="0"/>
                  <w:marRight w:val="0"/>
                  <w:marTop w:val="0"/>
                  <w:marBottom w:val="0"/>
                  <w:divBdr>
                    <w:top w:val="none" w:sz="0" w:space="0" w:color="auto"/>
                    <w:left w:val="none" w:sz="0" w:space="0" w:color="auto"/>
                    <w:bottom w:val="none" w:sz="0" w:space="0" w:color="auto"/>
                    <w:right w:val="none" w:sz="0" w:space="0" w:color="auto"/>
                  </w:divBdr>
                  <w:divsChild>
                    <w:div w:id="1991864210">
                      <w:marLeft w:val="0"/>
                      <w:marRight w:val="0"/>
                      <w:marTop w:val="0"/>
                      <w:marBottom w:val="0"/>
                      <w:divBdr>
                        <w:top w:val="none" w:sz="0" w:space="0" w:color="auto"/>
                        <w:left w:val="none" w:sz="0" w:space="0" w:color="auto"/>
                        <w:bottom w:val="none" w:sz="0" w:space="0" w:color="auto"/>
                        <w:right w:val="none" w:sz="0" w:space="0" w:color="auto"/>
                      </w:divBdr>
                      <w:divsChild>
                        <w:div w:id="1672760889">
                          <w:marLeft w:val="0"/>
                          <w:marRight w:val="0"/>
                          <w:marTop w:val="0"/>
                          <w:marBottom w:val="0"/>
                          <w:divBdr>
                            <w:top w:val="none" w:sz="0" w:space="0" w:color="auto"/>
                            <w:left w:val="none" w:sz="0" w:space="0" w:color="auto"/>
                            <w:bottom w:val="none" w:sz="0" w:space="0" w:color="auto"/>
                            <w:right w:val="none" w:sz="0" w:space="0" w:color="auto"/>
                          </w:divBdr>
                          <w:divsChild>
                            <w:div w:id="186085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data.eastmoney.com/cjsj/yhll.html" TargetMode="External"/><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wmf"/><Relationship Id="rId23" Type="http://schemas.openxmlformats.org/officeDocument/2006/relationships/image" Target="media/image15.jpeg"/><Relationship Id="rId28" Type="http://schemas.openxmlformats.org/officeDocument/2006/relationships/fontTable" Target="fontTable.xml"/><Relationship Id="rId36"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wmf"/><Relationship Id="rId22" Type="http://schemas.openxmlformats.org/officeDocument/2006/relationships/image" Target="media/image14.jpe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_rels/header2.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CD2464-226E-439D-AB80-1EF39EAC21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11150</TotalTime>
  <Pages>10</Pages>
  <Words>1543</Words>
  <Characters>8797</Characters>
  <Application>Microsoft Office Word</Application>
  <DocSecurity>0</DocSecurity>
  <Lines>73</Lines>
  <Paragraphs>20</Paragraphs>
  <ScaleCrop>false</ScaleCrop>
  <Company/>
  <LinksUpToDate>false</LinksUpToDate>
  <CharactersWithSpaces>10320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shanghai vstone</dc:creator>
  <cp:lastModifiedBy>shanghai vstone</cp:lastModifiedBy>
  <cp:revision>2509</cp:revision>
  <dcterms:created xsi:type="dcterms:W3CDTF">2013-11-22T08:48:00Z</dcterms:created>
  <dcterms:modified xsi:type="dcterms:W3CDTF">2014-12-31T02:38:00Z</dcterms:modified>
</cp:coreProperties>
</file>