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360589" w:rsidP="00BE3940">
            <w:pPr>
              <w:rPr>
                <w:rFonts w:eastAsia="楷体_GB2312"/>
                <w:b/>
                <w:color w:val="003366"/>
                <w:sz w:val="24"/>
              </w:rPr>
            </w:pPr>
            <w:r w:rsidRPr="00360589">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410A84" w:rsidRPr="00FC770C" w:rsidRDefault="00410A84"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CD7632" w:rsidRDefault="00BE3940" w:rsidP="00E524A0">
            <w:pPr>
              <w:spacing w:line="360" w:lineRule="auto"/>
              <w:ind w:left="-288" w:firstLineChars="150" w:firstLine="315"/>
              <w:jc w:val="left"/>
              <w:rPr>
                <w:rFonts w:eastAsia="楷体_GB2312"/>
                <w:color w:val="003366"/>
                <w:szCs w:val="21"/>
              </w:rPr>
            </w:pPr>
          </w:p>
        </w:tc>
      </w:tr>
      <w:tr w:rsidR="00BE3940" w:rsidRPr="00F57D27" w:rsidTr="00E524A0">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BE3940" w:rsidP="009F1D47">
            <w:pPr>
              <w:ind w:leftChars="-51" w:rightChars="34" w:right="71" w:hangingChars="51" w:hanging="107"/>
              <w:rPr>
                <w:noProof/>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120C9"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1A459A" w:rsidP="001A459A">
                  <w:pPr>
                    <w:pStyle w:val="a8"/>
                    <w:rPr>
                      <w:rFonts w:hAnsi="宋体" w:cs="宋体"/>
                    </w:rPr>
                  </w:pP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sidR="007C7F38">
                    <w:rPr>
                      <w:rFonts w:hAnsi="宋体" w:cs="宋体" w:hint="eastAsia"/>
                    </w:rPr>
                    <w:t>4</w:t>
                  </w:r>
                  <w:r w:rsidRPr="00B21A03">
                    <w:rPr>
                      <w:rFonts w:hAnsi="宋体" w:cs="宋体"/>
                    </w:rPr>
                    <w:t>年</w:t>
                  </w:r>
                  <w:r w:rsidR="00DA12BA">
                    <w:rPr>
                      <w:rFonts w:hAnsi="宋体" w:cs="宋体" w:hint="eastAsia"/>
                    </w:rPr>
                    <w:t>1</w:t>
                  </w:r>
                  <w:r w:rsidR="00F01623">
                    <w:rPr>
                      <w:rFonts w:hAnsi="宋体" w:cs="宋体" w:hint="eastAsia"/>
                    </w:rPr>
                    <w:t>2</w:t>
                  </w:r>
                  <w:r w:rsidRPr="00B21A03">
                    <w:rPr>
                      <w:rFonts w:hAnsi="宋体" w:cs="宋体"/>
                    </w:rPr>
                    <w:t>月</w:t>
                  </w:r>
                  <w:r w:rsidR="00946743">
                    <w:rPr>
                      <w:rFonts w:hAnsi="宋体" w:cs="宋体" w:hint="eastAsia"/>
                    </w:rPr>
                    <w:t>31</w:t>
                  </w:r>
                  <w:r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trHeight w:hRule="exact" w:val="284"/>
              </w:trPr>
              <w:tc>
                <w:tcPr>
                  <w:tcW w:w="3888" w:type="dxa"/>
                  <w:gridSpan w:val="2"/>
                </w:tcPr>
                <w:p w:rsidR="001A459A" w:rsidRPr="00F57D27" w:rsidRDefault="001A459A" w:rsidP="001A459A">
                  <w:pPr>
                    <w:rPr>
                      <w:rFonts w:eastAsia="黑体"/>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E6E73" w:rsidRDefault="006E6E73"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w:t>
                  </w:r>
                  <w:r w:rsidR="00BE6373">
                    <w:rPr>
                      <w:rFonts w:eastAsia="楷体_GB2312" w:hint="eastAsia"/>
                      <w:sz w:val="18"/>
                      <w:szCs w:val="18"/>
                    </w:rPr>
                    <w:t>5</w:t>
                  </w:r>
                  <w:r w:rsidRPr="00D46766">
                    <w:rPr>
                      <w:rFonts w:eastAsia="楷体_GB2312" w:hint="eastAsia"/>
                      <w:sz w:val="18"/>
                      <w:szCs w:val="18"/>
                    </w:rPr>
                    <w:t>年基金投资策略</w:t>
                  </w:r>
                  <w:r>
                    <w:rPr>
                      <w:rFonts w:eastAsia="楷体_GB2312" w:hint="eastAsia"/>
                      <w:sz w:val="18"/>
                      <w:szCs w:val="18"/>
                    </w:rPr>
                    <w:t>：</w:t>
                  </w:r>
                  <w:r w:rsidR="00BE6373" w:rsidRPr="00BE6373">
                    <w:rPr>
                      <w:rFonts w:eastAsia="楷体_GB2312" w:hint="eastAsia"/>
                      <w:sz w:val="18"/>
                      <w:szCs w:val="18"/>
                    </w:rPr>
                    <w:t>重演六年美国路，先资金后经济助力股走强</w:t>
                  </w:r>
                </w:p>
                <w:p w:rsidR="00E524A0" w:rsidRDefault="00E524A0" w:rsidP="00E524A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Pr>
                      <w:rFonts w:eastAsia="楷体_GB2312" w:hint="eastAsia"/>
                      <w:sz w:val="18"/>
                      <w:szCs w:val="18"/>
                    </w:rPr>
                    <w:t>1</w:t>
                  </w:r>
                  <w:r w:rsidR="00BE6373">
                    <w:rPr>
                      <w:rFonts w:eastAsia="楷体_GB2312" w:hint="eastAsia"/>
                      <w:sz w:val="18"/>
                      <w:szCs w:val="18"/>
                    </w:rPr>
                    <w:t>2</w:t>
                  </w:r>
                  <w:r w:rsidRPr="00D46766">
                    <w:rPr>
                      <w:rFonts w:eastAsia="楷体_GB2312" w:hint="eastAsia"/>
                      <w:sz w:val="18"/>
                      <w:szCs w:val="18"/>
                    </w:rPr>
                    <w:t>月基金投资策略</w:t>
                  </w:r>
                  <w:r>
                    <w:rPr>
                      <w:rFonts w:eastAsia="楷体_GB2312" w:hint="eastAsia"/>
                      <w:sz w:val="18"/>
                      <w:szCs w:val="18"/>
                    </w:rPr>
                    <w:t>：</w:t>
                  </w:r>
                  <w:r w:rsidR="00BE6373" w:rsidRPr="00BE6373">
                    <w:rPr>
                      <w:rFonts w:eastAsia="楷体_GB2312" w:hint="eastAsia"/>
                      <w:sz w:val="18"/>
                      <w:szCs w:val="18"/>
                    </w:rPr>
                    <w:t>提高风险偏好，早期侧重高贝塔蓝筹指数型基金</w:t>
                  </w:r>
                </w:p>
                <w:p w:rsidR="000838AB" w:rsidRPr="00E524A0" w:rsidRDefault="000838AB" w:rsidP="004647C0">
                  <w:pPr>
                    <w:rPr>
                      <w:rFonts w:eastAsia="楷体_GB2312"/>
                      <w:sz w:val="18"/>
                      <w:szCs w:val="18"/>
                    </w:rPr>
                  </w:pP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360589"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410A84" w:rsidRPr="00C2401C" w:rsidRDefault="00410A84" w:rsidP="00BE3940">
                  <w:pPr>
                    <w:rPr>
                      <w:rFonts w:ascii="宋体-18030" w:eastAsia="宋体-18030" w:hAnsi="宋体-18030" w:cs="宋体-18030"/>
                      <w:szCs w:val="21"/>
                    </w:rPr>
                  </w:pPr>
                </w:p>
                <w:p w:rsidR="00410A84" w:rsidRPr="00C2401C" w:rsidRDefault="00410A84" w:rsidP="00BE3940">
                  <w:pPr>
                    <w:jc w:val="right"/>
                    <w:rPr>
                      <w:rFonts w:ascii="宋体-18030" w:eastAsia="宋体-18030" w:hAnsi="宋体-18030" w:cs="宋体-18030"/>
                      <w:b/>
                      <w:szCs w:val="21"/>
                    </w:rPr>
                  </w:pPr>
                </w:p>
                <w:p w:rsidR="00410A84" w:rsidRPr="00C2401C" w:rsidRDefault="00410A84" w:rsidP="00BE3940">
                  <w:pPr>
                    <w:rPr>
                      <w:rFonts w:ascii="宋体-18030" w:eastAsia="宋体-18030" w:hAnsi="宋体-18030" w:cs="宋体-18030"/>
                      <w:szCs w:val="21"/>
                    </w:rPr>
                  </w:pPr>
                </w:p>
                <w:p w:rsidR="00410A84" w:rsidRPr="00C2401C" w:rsidRDefault="00410A84" w:rsidP="00BE3940">
                  <w:pPr>
                    <w:rPr>
                      <w:rFonts w:ascii="宋体-18030" w:eastAsia="宋体-18030" w:hAnsi="宋体-18030" w:cs="宋体-18030"/>
                      <w:szCs w:val="21"/>
                    </w:rPr>
                  </w:pPr>
                </w:p>
                <w:p w:rsidR="00410A84" w:rsidRDefault="00410A84" w:rsidP="00410A84">
                  <w:pPr>
                    <w:spacing w:beforeLines="150" w:afterLines="100"/>
                    <w:ind w:right="147"/>
                    <w:jc w:val="right"/>
                    <w:rPr>
                      <w:rFonts w:ascii="黑体" w:eastAsia="黑体" w:hAnsi="宋体" w:cs="宋体-18030"/>
                      <w:b/>
                      <w:color w:val="FFFFFF"/>
                      <w:sz w:val="30"/>
                      <w:szCs w:val="30"/>
                    </w:rPr>
                  </w:pPr>
                  <w:r w:rsidRPr="00890CB9">
                    <w:rPr>
                      <w:rFonts w:ascii="黑体" w:eastAsia="黑体" w:hAnsi="宋体" w:cs="宋体-18030"/>
                      <w:b/>
                      <w:color w:val="FFFFFF"/>
                      <w:sz w:val="30"/>
                      <w:szCs w:val="30"/>
                    </w:rPr>
                    <w:t></w:t>
                  </w:r>
                  <w:r w:rsidRPr="00890CB9">
                    <w:rPr>
                      <w:rFonts w:ascii="黑体" w:eastAsia="黑体" w:hAnsi="宋体" w:cs="宋体-18030"/>
                      <w:b/>
                      <w:color w:val="FFFFFF"/>
                      <w:sz w:val="30"/>
                      <w:szCs w:val="30"/>
                    </w:rPr>
                    <w:tab/>
                  </w:r>
                  <w:r w:rsidRPr="005D663F">
                    <w:rPr>
                      <w:rFonts w:ascii="黑体" w:eastAsia="黑体" w:hAnsi="宋体" w:cs="宋体-18030" w:hint="eastAsia"/>
                      <w:b/>
                      <w:color w:val="FFFFFF"/>
                      <w:sz w:val="30"/>
                      <w:szCs w:val="30"/>
                    </w:rPr>
                    <w:t>维持高风险偏好，关注</w:t>
                  </w:r>
                  <w:r>
                    <w:rPr>
                      <w:rFonts w:ascii="黑体" w:eastAsia="黑体" w:hAnsi="宋体" w:cs="宋体-18030" w:hint="eastAsia"/>
                      <w:b/>
                      <w:color w:val="FFFFFF"/>
                      <w:sz w:val="30"/>
                      <w:szCs w:val="30"/>
                    </w:rPr>
                    <w:t>政策</w:t>
                  </w:r>
                  <w:r w:rsidRPr="005D663F">
                    <w:rPr>
                      <w:rFonts w:ascii="黑体" w:eastAsia="黑体" w:hAnsi="宋体" w:cs="宋体-18030" w:hint="eastAsia"/>
                      <w:b/>
                      <w:color w:val="FFFFFF"/>
                      <w:sz w:val="30"/>
                      <w:szCs w:val="30"/>
                    </w:rPr>
                    <w:t>主题</w:t>
                  </w:r>
                  <w:r>
                    <w:rPr>
                      <w:rFonts w:ascii="黑体" w:eastAsia="黑体" w:hAnsi="宋体" w:cs="宋体-18030" w:hint="eastAsia"/>
                      <w:b/>
                      <w:color w:val="FFFFFF"/>
                      <w:sz w:val="30"/>
                      <w:szCs w:val="30"/>
                    </w:rPr>
                    <w:t>和</w:t>
                  </w:r>
                  <w:r w:rsidRPr="005D663F">
                    <w:rPr>
                      <w:rFonts w:ascii="黑体" w:eastAsia="黑体" w:hAnsi="宋体" w:cs="宋体-18030" w:hint="eastAsia"/>
                      <w:b/>
                      <w:color w:val="FFFFFF"/>
                      <w:sz w:val="30"/>
                      <w:szCs w:val="30"/>
                    </w:rPr>
                    <w:t>非采掘类强周期基金</w:t>
                  </w:r>
                </w:p>
                <w:p w:rsidR="00410A84" w:rsidRPr="004E3270" w:rsidRDefault="00410A84"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Pr>
                      <w:rFonts w:ascii="楷体_GB2312" w:eastAsia="楷体_GB2312" w:hint="eastAsia"/>
                      <w:b/>
                      <w:szCs w:val="21"/>
                    </w:rPr>
                    <w:t>1月基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410A84" w:rsidRPr="00AF7DC8" w:rsidRDefault="00410A84"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36528C" w:rsidRDefault="00747B92" w:rsidP="00410A84">
      <w:pPr>
        <w:numPr>
          <w:ilvl w:val="0"/>
          <w:numId w:val="2"/>
        </w:numPr>
        <w:spacing w:beforeLines="50" w:afterLines="50"/>
        <w:rPr>
          <w:rFonts w:ascii="黑体" w:eastAsia="黑体" w:hAnsi="宋体-18030" w:cs="宋体-18030"/>
          <w:b/>
          <w:bCs/>
          <w:color w:val="003366"/>
          <w:kern w:val="44"/>
          <w:szCs w:val="21"/>
        </w:rPr>
      </w:pPr>
      <w:r w:rsidRPr="00747B92">
        <w:rPr>
          <w:rFonts w:ascii="黑体" w:eastAsia="黑体" w:hAnsi="宋体-18030" w:cs="宋体-18030" w:hint="eastAsia"/>
          <w:b/>
          <w:bCs/>
          <w:color w:val="003366"/>
          <w:kern w:val="44"/>
          <w:szCs w:val="21"/>
        </w:rPr>
        <w:t>欧弱美强，</w:t>
      </w:r>
      <w:r>
        <w:rPr>
          <w:rFonts w:ascii="黑体" w:eastAsia="黑体" w:hAnsi="宋体-18030" w:cs="宋体-18030" w:hint="eastAsia"/>
          <w:b/>
          <w:bCs/>
          <w:color w:val="003366"/>
          <w:kern w:val="44"/>
          <w:szCs w:val="21"/>
        </w:rPr>
        <w:t>中国</w:t>
      </w:r>
      <w:r w:rsidR="00410A84">
        <w:rPr>
          <w:rFonts w:ascii="黑体" w:eastAsia="黑体" w:hAnsi="宋体-18030" w:cs="宋体-18030" w:hint="eastAsia"/>
          <w:b/>
          <w:bCs/>
          <w:color w:val="003366"/>
          <w:kern w:val="44"/>
          <w:szCs w:val="21"/>
        </w:rPr>
        <w:t>变相</w:t>
      </w:r>
      <w:r w:rsidRPr="00747B92">
        <w:rPr>
          <w:rFonts w:ascii="黑体" w:eastAsia="黑体" w:hAnsi="宋体-18030" w:cs="宋体-18030" w:hint="eastAsia"/>
          <w:b/>
          <w:bCs/>
          <w:color w:val="003366"/>
          <w:kern w:val="44"/>
          <w:szCs w:val="21"/>
        </w:rPr>
        <w:t>降准助推流动性</w:t>
      </w:r>
    </w:p>
    <w:p w:rsidR="0036528C" w:rsidRDefault="00747B92" w:rsidP="0036528C">
      <w:pPr>
        <w:ind w:firstLine="420"/>
        <w:rPr>
          <w:rFonts w:ascii="楷体_GB2312" w:eastAsia="楷体_GB2312" w:hAnsi="宋体" w:cs="宋体"/>
          <w:kern w:val="0"/>
          <w:szCs w:val="21"/>
        </w:rPr>
      </w:pPr>
      <w:r>
        <w:rPr>
          <w:rFonts w:ascii="楷体_GB2312" w:eastAsia="楷体_GB2312" w:hAnsi="宋体" w:cs="宋体" w:hint="eastAsia"/>
          <w:kern w:val="0"/>
          <w:szCs w:val="21"/>
        </w:rPr>
        <w:t>欧元区短期</w:t>
      </w:r>
      <w:r w:rsidR="009D7032">
        <w:rPr>
          <w:rFonts w:ascii="楷体_GB2312" w:eastAsia="楷体_GB2312" w:hAnsi="宋体" w:cs="宋体" w:hint="eastAsia"/>
          <w:kern w:val="0"/>
          <w:szCs w:val="21"/>
        </w:rPr>
        <w:t>经济下行</w:t>
      </w:r>
      <w:r>
        <w:rPr>
          <w:rFonts w:ascii="楷体_GB2312" w:eastAsia="楷体_GB2312" w:hAnsi="宋体" w:cs="宋体" w:hint="eastAsia"/>
          <w:kern w:val="0"/>
          <w:szCs w:val="21"/>
        </w:rPr>
        <w:t>压力</w:t>
      </w:r>
      <w:r w:rsidR="009D7032">
        <w:rPr>
          <w:rFonts w:ascii="楷体_GB2312" w:eastAsia="楷体_GB2312" w:hAnsi="宋体" w:cs="宋体" w:hint="eastAsia"/>
          <w:kern w:val="0"/>
          <w:szCs w:val="21"/>
        </w:rPr>
        <w:t>加大，美国经济维持强势，但加息渐行渐近</w:t>
      </w:r>
      <w:r w:rsidR="0036528C">
        <w:rPr>
          <w:rFonts w:ascii="楷体_GB2312" w:eastAsia="楷体_GB2312" w:hAnsi="宋体" w:cs="宋体" w:hint="eastAsia"/>
          <w:kern w:val="0"/>
          <w:szCs w:val="21"/>
        </w:rPr>
        <w:t>。国际油价的大幅下跌</w:t>
      </w:r>
      <w:r w:rsidR="003711E1">
        <w:rPr>
          <w:rFonts w:ascii="楷体_GB2312" w:eastAsia="楷体_GB2312" w:hAnsi="宋体" w:cs="宋体" w:hint="eastAsia"/>
          <w:kern w:val="0"/>
          <w:szCs w:val="21"/>
        </w:rPr>
        <w:t>将给包括中国在内的主要能源消费国带来额外的“刺激措施”</w:t>
      </w:r>
      <w:r w:rsidR="0036528C">
        <w:rPr>
          <w:rFonts w:ascii="楷体_GB2312" w:eastAsia="楷体_GB2312" w:hAnsi="宋体" w:cs="宋体" w:hint="eastAsia"/>
          <w:kern w:val="0"/>
          <w:szCs w:val="21"/>
        </w:rPr>
        <w:t>。</w:t>
      </w:r>
    </w:p>
    <w:p w:rsidR="0036528C" w:rsidRDefault="003711E1" w:rsidP="0036528C">
      <w:pPr>
        <w:ind w:firstLine="420"/>
        <w:rPr>
          <w:rFonts w:ascii="楷体_GB2312" w:eastAsia="楷体_GB2312" w:hAnsi="宋体" w:cs="宋体"/>
          <w:kern w:val="0"/>
          <w:szCs w:val="21"/>
        </w:rPr>
      </w:pPr>
      <w:r>
        <w:rPr>
          <w:rFonts w:ascii="楷体_GB2312" w:eastAsia="楷体_GB2312" w:hAnsi="宋体" w:cs="宋体" w:hint="eastAsia"/>
          <w:kern w:val="0"/>
          <w:szCs w:val="21"/>
        </w:rPr>
        <w:t>中国经济增速持续放缓，但仍然较为稳健。在金融资产配置由房地产和理财市场向股票市场转移的大趋势下，央行387</w:t>
      </w:r>
      <w:r w:rsidR="00427134">
        <w:rPr>
          <w:rFonts w:ascii="楷体_GB2312" w:eastAsia="楷体_GB2312" w:hAnsi="宋体" w:cs="宋体" w:hint="eastAsia"/>
          <w:kern w:val="0"/>
          <w:szCs w:val="21"/>
        </w:rPr>
        <w:t>号变相降</w:t>
      </w:r>
      <w:r>
        <w:rPr>
          <w:rFonts w:ascii="楷体_GB2312" w:eastAsia="楷体_GB2312" w:hAnsi="宋体" w:cs="宋体" w:hint="eastAsia"/>
          <w:kern w:val="0"/>
          <w:szCs w:val="21"/>
        </w:rPr>
        <w:t>准为市场提供流动性，后市央行或实施进一步的宽松政策，股票市场将继续走强</w:t>
      </w:r>
      <w:r w:rsidR="0036528C">
        <w:rPr>
          <w:rFonts w:ascii="楷体_GB2312" w:eastAsia="楷体_GB2312" w:hAnsi="宋体" w:cs="宋体" w:hint="eastAsia"/>
          <w:kern w:val="0"/>
          <w:szCs w:val="21"/>
        </w:rPr>
        <w:t>。</w:t>
      </w:r>
    </w:p>
    <w:p w:rsidR="0036528C" w:rsidRPr="0050054F" w:rsidRDefault="005D663F" w:rsidP="00410A84">
      <w:pPr>
        <w:numPr>
          <w:ilvl w:val="0"/>
          <w:numId w:val="2"/>
        </w:numPr>
        <w:spacing w:beforeLines="50" w:afterLines="50"/>
        <w:rPr>
          <w:rFonts w:ascii="黑体" w:eastAsia="黑体" w:hAnsi="宋体-18030" w:cs="宋体-18030"/>
          <w:b/>
          <w:bCs/>
          <w:color w:val="003366"/>
          <w:kern w:val="44"/>
          <w:szCs w:val="21"/>
        </w:rPr>
      </w:pPr>
      <w:r w:rsidRPr="005D663F">
        <w:rPr>
          <w:rFonts w:ascii="黑体" w:eastAsia="黑体" w:hAnsi="宋体-18030" w:cs="宋体-18030" w:hint="eastAsia"/>
          <w:b/>
          <w:bCs/>
          <w:color w:val="003366"/>
          <w:kern w:val="44"/>
          <w:szCs w:val="21"/>
        </w:rPr>
        <w:t>维持高风险偏好，关注政策主题和非采掘类强周期基金</w:t>
      </w:r>
    </w:p>
    <w:p w:rsidR="00946743" w:rsidRPr="00946743" w:rsidRDefault="00946743" w:rsidP="00946743">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建议投资者投资维持积极，保持较高股票型基金配置比例。交易型投资者在提高风险偏好的同时须密切关注市场短期回调风险。</w:t>
      </w:r>
    </w:p>
    <w:p w:rsidR="00946743" w:rsidRPr="00946743" w:rsidRDefault="00946743" w:rsidP="00946743">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权益类基金方面，建议投资者侧重配置具备估值优势的蓝筹价值型基金，重点关注重仓</w:t>
      </w:r>
      <w:r w:rsidR="006165EE">
        <w:rPr>
          <w:rFonts w:ascii="楷体_GB2312" w:eastAsia="楷体_GB2312" w:hAnsi="宋体" w:cs="宋体" w:hint="eastAsia"/>
          <w:kern w:val="0"/>
          <w:szCs w:val="21"/>
        </w:rPr>
        <w:t>与</w:t>
      </w:r>
      <w:r w:rsidRPr="00946743">
        <w:rPr>
          <w:rFonts w:ascii="楷体_GB2312" w:eastAsia="楷体_GB2312" w:hAnsi="宋体" w:cs="宋体" w:hint="eastAsia"/>
          <w:kern w:val="0"/>
          <w:szCs w:val="21"/>
        </w:rPr>
        <w:t>国企改革、一路一带、“铁公机”基建项目等政策相关行业的基金、</w:t>
      </w:r>
      <w:r w:rsidR="006165EE" w:rsidRPr="00946743">
        <w:rPr>
          <w:rFonts w:ascii="楷体_GB2312" w:eastAsia="楷体_GB2312" w:hAnsi="宋体" w:cs="宋体" w:hint="eastAsia"/>
          <w:kern w:val="0"/>
          <w:szCs w:val="21"/>
        </w:rPr>
        <w:t>重仓</w:t>
      </w:r>
      <w:r w:rsidRPr="00946743">
        <w:rPr>
          <w:rFonts w:ascii="楷体_GB2312" w:eastAsia="楷体_GB2312" w:hAnsi="宋体" w:cs="宋体" w:hint="eastAsia"/>
          <w:kern w:val="0"/>
          <w:szCs w:val="21"/>
        </w:rPr>
        <w:t>受益成本节约的非采掘类强周期基金和受益限购取消和销量好转的房地产行业的基金。在产品类型上，建议短期投资者和交易型投资者侧重关注实施被动投资的指数型基金，中长期配置型投资者侧重关注具备择时优势的混合型基金。</w:t>
      </w:r>
    </w:p>
    <w:p w:rsidR="00946743" w:rsidRPr="00946743" w:rsidRDefault="00946743" w:rsidP="00946743">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固定收益率基金方面，债市牛市尚未走进尾声，但或将面临小幅调整，建议投资者适当警惕短期调整风险。侧重关注配置非城投债的中低评级信用债基金。</w:t>
      </w:r>
    </w:p>
    <w:p w:rsidR="00946743" w:rsidRPr="00946743" w:rsidRDefault="00946743" w:rsidP="00946743">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QDII方面，投资者高配主要投资资源进口国的QDII和欧洲市场QDII、香港市场QDII，中性配置美国市场QDII，低配主要投资资源出口国的QDII和大宗商品QDII</w:t>
      </w:r>
    </w:p>
    <w:p w:rsidR="0036528C" w:rsidRPr="00C1375D" w:rsidRDefault="0036528C" w:rsidP="00410A84">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123"/>
        <w:gridCol w:w="565"/>
        <w:gridCol w:w="222"/>
        <w:gridCol w:w="1560"/>
        <w:gridCol w:w="565"/>
        <w:gridCol w:w="222"/>
        <w:gridCol w:w="913"/>
        <w:gridCol w:w="565"/>
      </w:tblGrid>
      <w:tr w:rsidR="0036528C" w:rsidRPr="005B5148" w:rsidTr="00FA1BD5">
        <w:trPr>
          <w:trHeight w:val="285"/>
          <w:jc w:val="center"/>
        </w:trPr>
        <w:tc>
          <w:tcPr>
            <w:tcW w:w="1996"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FA1BD5">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7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36528C" w:rsidRPr="005B5148" w:rsidRDefault="0036528C" w:rsidP="00FA1BD5">
            <w:pPr>
              <w:widowControl/>
              <w:jc w:val="center"/>
              <w:rPr>
                <w:rFonts w:ascii="宋体" w:hAnsi="宋体" w:cs="宋体"/>
                <w:kern w:val="0"/>
                <w:sz w:val="18"/>
                <w:szCs w:val="18"/>
              </w:rPr>
            </w:pPr>
          </w:p>
        </w:tc>
        <w:tc>
          <w:tcPr>
            <w:tcW w:w="1567"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FA1BD5">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36528C" w:rsidRPr="005B5148" w:rsidRDefault="0036528C" w:rsidP="00FA1BD5">
            <w:pPr>
              <w:widowControl/>
              <w:jc w:val="center"/>
              <w:rPr>
                <w:rFonts w:ascii="宋体" w:hAnsi="宋体" w:cs="宋体"/>
                <w:kern w:val="0"/>
                <w:sz w:val="18"/>
                <w:szCs w:val="18"/>
              </w:rPr>
            </w:pPr>
          </w:p>
        </w:tc>
        <w:tc>
          <w:tcPr>
            <w:tcW w:w="1097"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FA1BD5">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36528C" w:rsidRPr="005B5148" w:rsidTr="00FA1BD5">
        <w:trPr>
          <w:trHeight w:val="285"/>
          <w:jc w:val="center"/>
        </w:trPr>
        <w:tc>
          <w:tcPr>
            <w:tcW w:w="1576" w:type="pct"/>
            <w:tcBorders>
              <w:top w:val="nil"/>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top w:val="nil"/>
              <w:left w:val="single" w:sz="8" w:space="0" w:color="auto"/>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75" w:type="pct"/>
            <w:vMerge/>
            <w:tcBorders>
              <w:top w:val="single" w:sz="4" w:space="0" w:color="auto"/>
              <w:left w:val="single" w:sz="8" w:space="0" w:color="auto"/>
              <w:bottom w:val="single" w:sz="4" w:space="0" w:color="000000"/>
            </w:tcBorders>
            <w:vAlign w:val="center"/>
          </w:tcPr>
          <w:p w:rsidR="0036528C" w:rsidRPr="005B5148" w:rsidRDefault="0036528C" w:rsidP="00FA1BD5">
            <w:pPr>
              <w:widowControl/>
              <w:jc w:val="left"/>
              <w:rPr>
                <w:rFonts w:ascii="宋体" w:hAnsi="宋体" w:cs="宋体"/>
                <w:kern w:val="0"/>
                <w:sz w:val="18"/>
                <w:szCs w:val="18"/>
              </w:rPr>
            </w:pPr>
          </w:p>
        </w:tc>
        <w:tc>
          <w:tcPr>
            <w:tcW w:w="1148" w:type="pct"/>
            <w:tcBorders>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left w:val="single" w:sz="8" w:space="0" w:color="auto"/>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36528C" w:rsidRPr="005B5148" w:rsidRDefault="0036528C" w:rsidP="00FA1BD5">
            <w:pPr>
              <w:widowControl/>
              <w:jc w:val="left"/>
              <w:rPr>
                <w:rFonts w:ascii="宋体" w:hAnsi="宋体" w:cs="宋体"/>
                <w:kern w:val="0"/>
                <w:sz w:val="18"/>
                <w:szCs w:val="18"/>
              </w:rPr>
            </w:pPr>
          </w:p>
        </w:tc>
        <w:tc>
          <w:tcPr>
            <w:tcW w:w="678" w:type="pct"/>
            <w:tcBorders>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left w:val="single" w:sz="8" w:space="0" w:color="auto"/>
              <w:bottom w:val="single" w:sz="8" w:space="0" w:color="auto"/>
              <w:right w:val="single" w:sz="8" w:space="0" w:color="auto"/>
            </w:tcBorders>
            <w:shd w:val="clear" w:color="auto" w:fill="D9D9D9"/>
            <w:noWrap/>
            <w:vAlign w:val="bottom"/>
          </w:tcPr>
          <w:p w:rsidR="0036528C" w:rsidRPr="005B5148" w:rsidRDefault="0036528C" w:rsidP="00FA1BD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36528C" w:rsidRPr="005B5148" w:rsidTr="00FA1BD5">
        <w:trPr>
          <w:trHeight w:val="285"/>
          <w:jc w:val="center"/>
        </w:trPr>
        <w:tc>
          <w:tcPr>
            <w:tcW w:w="1576" w:type="pct"/>
            <w:tcBorders>
              <w:top w:val="single" w:sz="8" w:space="0" w:color="auto"/>
              <w:left w:val="single" w:sz="4" w:space="0" w:color="auto"/>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sidRPr="007F4645">
              <w:rPr>
                <w:rFonts w:hint="eastAsia"/>
                <w:sz w:val="18"/>
                <w:szCs w:val="18"/>
              </w:rPr>
              <w:t>博时裕富沪深</w:t>
            </w:r>
            <w:r w:rsidRPr="007F4645">
              <w:rPr>
                <w:rFonts w:hint="eastAsia"/>
                <w:sz w:val="18"/>
                <w:szCs w:val="18"/>
              </w:rPr>
              <w:t>300</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40%</w:t>
            </w:r>
          </w:p>
        </w:tc>
        <w:tc>
          <w:tcPr>
            <w:tcW w:w="175" w:type="pct"/>
            <w:vMerge/>
            <w:tcBorders>
              <w:top w:val="single" w:sz="8"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1148" w:type="pct"/>
            <w:tcBorders>
              <w:top w:val="single" w:sz="8" w:space="0" w:color="auto"/>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sidRPr="007F4645">
              <w:rPr>
                <w:rFonts w:hint="eastAsia"/>
                <w:sz w:val="18"/>
                <w:szCs w:val="18"/>
              </w:rPr>
              <w:t>博时裕富沪深</w:t>
            </w:r>
            <w:r w:rsidRPr="007F4645">
              <w:rPr>
                <w:rFonts w:hint="eastAsia"/>
                <w:sz w:val="18"/>
                <w:szCs w:val="18"/>
              </w:rPr>
              <w:t>300</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35%</w:t>
            </w:r>
          </w:p>
        </w:tc>
        <w:tc>
          <w:tcPr>
            <w:tcW w:w="165" w:type="pct"/>
            <w:vMerge/>
            <w:tcBorders>
              <w:top w:val="single" w:sz="8"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678" w:type="pct"/>
            <w:tcBorders>
              <w:top w:val="single" w:sz="8" w:space="0" w:color="auto"/>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宝盈收益</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30%</w:t>
            </w:r>
          </w:p>
        </w:tc>
      </w:tr>
      <w:tr w:rsidR="0036528C" w:rsidRPr="005B5148" w:rsidTr="00FA1BD5">
        <w:trPr>
          <w:trHeight w:val="285"/>
          <w:jc w:val="center"/>
        </w:trPr>
        <w:tc>
          <w:tcPr>
            <w:tcW w:w="1576" w:type="pct"/>
            <w:tcBorders>
              <w:top w:val="nil"/>
              <w:left w:val="single" w:sz="4" w:space="0" w:color="auto"/>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添富价值</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40%</w:t>
            </w:r>
          </w:p>
        </w:tc>
        <w:tc>
          <w:tcPr>
            <w:tcW w:w="17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1148" w:type="pct"/>
            <w:tcBorders>
              <w:top w:val="nil"/>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添富价值</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678" w:type="pct"/>
            <w:tcBorders>
              <w:top w:val="nil"/>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华夏现金</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35%</w:t>
            </w:r>
          </w:p>
        </w:tc>
      </w:tr>
      <w:tr w:rsidR="0036528C" w:rsidRPr="005B5148" w:rsidTr="00FA1BD5">
        <w:trPr>
          <w:trHeight w:val="285"/>
          <w:jc w:val="center"/>
        </w:trPr>
        <w:tc>
          <w:tcPr>
            <w:tcW w:w="1576" w:type="pct"/>
            <w:tcBorders>
              <w:top w:val="nil"/>
              <w:left w:val="single" w:sz="4" w:space="0" w:color="auto"/>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sidRPr="007F4645">
              <w:rPr>
                <w:rFonts w:hint="eastAsia"/>
                <w:sz w:val="18"/>
                <w:szCs w:val="18"/>
              </w:rPr>
              <w:t>鹏华中证</w:t>
            </w:r>
            <w:r w:rsidRPr="007F4645">
              <w:rPr>
                <w:rFonts w:hint="eastAsia"/>
                <w:sz w:val="18"/>
                <w:szCs w:val="18"/>
              </w:rPr>
              <w:t>800</w:t>
            </w:r>
            <w:r w:rsidRPr="007F4645">
              <w:rPr>
                <w:rFonts w:hint="eastAsia"/>
                <w:sz w:val="18"/>
                <w:szCs w:val="18"/>
              </w:rPr>
              <w:t>非银行金融</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20%</w:t>
            </w:r>
          </w:p>
        </w:tc>
        <w:tc>
          <w:tcPr>
            <w:tcW w:w="17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1148" w:type="pct"/>
            <w:tcBorders>
              <w:top w:val="nil"/>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宝盈收益</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FA1BD5">
            <w:pPr>
              <w:widowControl/>
              <w:jc w:val="center"/>
              <w:rPr>
                <w:rFonts w:ascii="宋体" w:hAnsi="宋体" w:cs="宋体"/>
                <w:kern w:val="0"/>
                <w:sz w:val="18"/>
                <w:szCs w:val="18"/>
              </w:rPr>
            </w:pPr>
            <w:r>
              <w:rPr>
                <w:rFonts w:hint="eastAsia"/>
                <w:sz w:val="18"/>
                <w:szCs w:val="18"/>
              </w:rPr>
              <w:t>35%</w:t>
            </w:r>
          </w:p>
        </w:tc>
        <w:tc>
          <w:tcPr>
            <w:tcW w:w="16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FA1BD5">
            <w:pPr>
              <w:widowControl/>
              <w:jc w:val="left"/>
              <w:rPr>
                <w:rFonts w:ascii="宋体" w:hAnsi="宋体" w:cs="宋体"/>
                <w:kern w:val="0"/>
                <w:sz w:val="18"/>
                <w:szCs w:val="18"/>
              </w:rPr>
            </w:pPr>
          </w:p>
        </w:tc>
        <w:tc>
          <w:tcPr>
            <w:tcW w:w="678" w:type="pct"/>
            <w:tcBorders>
              <w:top w:val="nil"/>
              <w:left w:val="nil"/>
              <w:bottom w:val="single" w:sz="4" w:space="0" w:color="auto"/>
              <w:right w:val="single" w:sz="4" w:space="0" w:color="auto"/>
            </w:tcBorders>
            <w:shd w:val="clear" w:color="auto" w:fill="auto"/>
            <w:noWrap/>
            <w:vAlign w:val="bottom"/>
          </w:tcPr>
          <w:p w:rsidR="0036528C" w:rsidRPr="00D07E97" w:rsidRDefault="0036528C" w:rsidP="00FA1BD5">
            <w:pPr>
              <w:jc w:val="center"/>
              <w:rPr>
                <w:sz w:val="18"/>
                <w:szCs w:val="18"/>
              </w:rPr>
            </w:pPr>
            <w:r>
              <w:rPr>
                <w:rFonts w:hint="eastAsia"/>
                <w:sz w:val="18"/>
                <w:szCs w:val="18"/>
              </w:rPr>
              <w:t>广发货币</w:t>
            </w:r>
          </w:p>
        </w:tc>
        <w:tc>
          <w:tcPr>
            <w:tcW w:w="419" w:type="pct"/>
            <w:tcBorders>
              <w:top w:val="nil"/>
              <w:left w:val="nil"/>
              <w:bottom w:val="single" w:sz="4" w:space="0" w:color="auto"/>
              <w:right w:val="single" w:sz="4" w:space="0" w:color="auto"/>
            </w:tcBorders>
            <w:shd w:val="clear" w:color="auto" w:fill="auto"/>
            <w:noWrap/>
            <w:vAlign w:val="bottom"/>
          </w:tcPr>
          <w:p w:rsidR="0036528C" w:rsidRPr="005B5148" w:rsidRDefault="0036528C" w:rsidP="00FA1BD5">
            <w:pPr>
              <w:widowControl/>
              <w:jc w:val="center"/>
              <w:rPr>
                <w:rFonts w:ascii="宋体" w:hAnsi="宋体" w:cs="宋体"/>
                <w:kern w:val="0"/>
                <w:sz w:val="18"/>
                <w:szCs w:val="18"/>
              </w:rPr>
            </w:pPr>
            <w:r>
              <w:rPr>
                <w:rFonts w:hint="eastAsia"/>
                <w:sz w:val="18"/>
                <w:szCs w:val="18"/>
              </w:rPr>
              <w:t>35%</w:t>
            </w:r>
          </w:p>
        </w:tc>
      </w:tr>
    </w:tbl>
    <w:p w:rsidR="0036528C" w:rsidRPr="000B4882" w:rsidRDefault="0036528C" w:rsidP="0036528C">
      <w:pPr>
        <w:ind w:firstLine="420"/>
        <w:rPr>
          <w:rFonts w:ascii="楷体_GB2312" w:eastAsia="楷体_GB2312"/>
          <w:noProof/>
          <w:color w:val="000000"/>
        </w:rPr>
        <w:sectPr w:rsidR="0036528C" w:rsidRPr="000B4882" w:rsidSect="009A0C03">
          <w:headerReference w:type="default" r:id="rId9"/>
          <w:footerReference w:type="even" r:id="rId10"/>
          <w:footerReference w:type="default" r:id="rId11"/>
          <w:pgSz w:w="11906" w:h="16838"/>
          <w:pgMar w:top="3402" w:right="851" w:bottom="1418" w:left="4536" w:header="851" w:footer="992" w:gutter="0"/>
          <w:cols w:space="425"/>
          <w:docGrid w:type="lines" w:linePitch="312"/>
        </w:sectPr>
      </w:pPr>
    </w:p>
    <w:p w:rsidR="001E3B52" w:rsidRPr="007C1C3D" w:rsidRDefault="001E3B52" w:rsidP="00410A84">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A31A07" w:rsidRPr="00C17FBC" w:rsidRDefault="001E3B52" w:rsidP="00410A84">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w:t>
      </w:r>
      <w:r w:rsidR="004938DD" w:rsidRPr="00C17FBC">
        <w:rPr>
          <w:rFonts w:ascii="黑体" w:eastAsia="黑体" w:hAnsi="宋体-18030" w:cs="宋体-18030" w:hint="eastAsia"/>
          <w:b/>
          <w:bCs/>
          <w:color w:val="003366"/>
          <w:kern w:val="44"/>
          <w:sz w:val="24"/>
        </w:rPr>
        <w:t>基础市场分析：</w:t>
      </w:r>
      <w:r w:rsidR="00485841">
        <w:rPr>
          <w:rFonts w:ascii="黑体" w:eastAsia="黑体" w:hAnsi="宋体-18030" w:cs="宋体-18030" w:hint="eastAsia"/>
          <w:b/>
          <w:bCs/>
          <w:color w:val="003366"/>
          <w:kern w:val="44"/>
          <w:sz w:val="24"/>
        </w:rPr>
        <w:t>欧弱美强</w:t>
      </w:r>
      <w:r w:rsidR="00396AB6">
        <w:rPr>
          <w:rFonts w:ascii="黑体" w:eastAsia="黑体" w:hAnsi="宋体-18030" w:cs="宋体-18030" w:hint="eastAsia"/>
          <w:b/>
          <w:bCs/>
          <w:color w:val="003366"/>
          <w:kern w:val="44"/>
          <w:sz w:val="24"/>
        </w:rPr>
        <w:t>，</w:t>
      </w:r>
      <w:r w:rsidR="00410A84" w:rsidRPr="00410A84">
        <w:rPr>
          <w:rFonts w:ascii="黑体" w:eastAsia="黑体" w:hAnsi="宋体-18030" w:cs="宋体-18030" w:hint="eastAsia"/>
          <w:b/>
          <w:bCs/>
          <w:color w:val="003366"/>
          <w:kern w:val="44"/>
          <w:sz w:val="24"/>
        </w:rPr>
        <w:t>变相</w:t>
      </w:r>
      <w:r w:rsidR="00182484">
        <w:rPr>
          <w:rFonts w:ascii="黑体" w:eastAsia="黑体" w:hAnsi="宋体-18030" w:cs="宋体-18030" w:hint="eastAsia"/>
          <w:b/>
          <w:bCs/>
          <w:color w:val="003366"/>
          <w:kern w:val="44"/>
          <w:sz w:val="24"/>
        </w:rPr>
        <w:t>降准助推流动性</w:t>
      </w:r>
    </w:p>
    <w:p w:rsidR="000A4A44" w:rsidRPr="0066072C" w:rsidRDefault="006E3A34" w:rsidP="0066072C">
      <w:pPr>
        <w:ind w:leftChars="1350" w:left="2835" w:firstLineChars="202" w:firstLine="424"/>
        <w:rPr>
          <w:rFonts w:ascii="楷体_GB2312" w:eastAsia="楷体_GB2312" w:hAnsi="宋体" w:cs="宋体"/>
          <w:color w:val="000000"/>
          <w:kern w:val="0"/>
          <w:szCs w:val="21"/>
        </w:rPr>
      </w:pPr>
      <w:r>
        <w:rPr>
          <w:rFonts w:ascii="楷体_GB2312" w:eastAsia="楷体_GB2312" w:hAnsi="宋体" w:cs="宋体" w:hint="eastAsia"/>
          <w:kern w:val="0"/>
          <w:szCs w:val="21"/>
        </w:rPr>
        <w:t>12月欧元区</w:t>
      </w:r>
      <w:r w:rsidR="00705935">
        <w:rPr>
          <w:rFonts w:ascii="楷体_GB2312" w:eastAsia="楷体_GB2312" w:hAnsi="宋体" w:cs="宋体" w:hint="eastAsia"/>
          <w:kern w:val="0"/>
          <w:szCs w:val="21"/>
        </w:rPr>
        <w:t>经济维持疲软，</w:t>
      </w:r>
      <w:r w:rsidR="008A397C">
        <w:rPr>
          <w:rFonts w:ascii="楷体_GB2312" w:eastAsia="楷体_GB2312" w:hAnsi="宋体" w:cs="宋体" w:hint="eastAsia"/>
          <w:kern w:val="0"/>
          <w:szCs w:val="21"/>
        </w:rPr>
        <w:t>其中希腊再度陷入大选僵局，可能进一步削弱欧元区经济复苏前景</w:t>
      </w:r>
      <w:r w:rsidR="004A050D">
        <w:rPr>
          <w:rFonts w:ascii="楷体_GB2312" w:eastAsia="楷体_GB2312" w:hAnsi="宋体" w:cs="宋体" w:hint="eastAsia"/>
          <w:kern w:val="0"/>
          <w:szCs w:val="21"/>
        </w:rPr>
        <w:t>；</w:t>
      </w:r>
      <w:r w:rsidR="0066072C">
        <w:rPr>
          <w:rFonts w:ascii="楷体_GB2312" w:eastAsia="楷体_GB2312" w:hAnsi="宋体" w:cs="宋体" w:hint="eastAsia"/>
          <w:color w:val="000000"/>
          <w:kern w:val="0"/>
          <w:szCs w:val="21"/>
        </w:rPr>
        <w:t>欧俄对立也或将使得已经疲软的欧元起经济雪上加霜</w:t>
      </w:r>
      <w:r w:rsidR="004A050D">
        <w:rPr>
          <w:rFonts w:ascii="楷体_GB2312" w:eastAsia="楷体_GB2312" w:hAnsi="宋体" w:cs="宋体" w:hint="eastAsia"/>
          <w:color w:val="000000"/>
          <w:kern w:val="0"/>
          <w:szCs w:val="21"/>
        </w:rPr>
        <w:t>；</w:t>
      </w:r>
      <w:r w:rsidR="008A397C">
        <w:rPr>
          <w:rFonts w:ascii="楷体_GB2312" w:eastAsia="楷体_GB2312" w:hAnsi="宋体" w:cs="宋体" w:hint="eastAsia"/>
          <w:kern w:val="0"/>
          <w:szCs w:val="21"/>
        </w:rPr>
        <w:t>但受益欧元贬值、国际原油价格下跌和宽松货币</w:t>
      </w:r>
      <w:r w:rsidR="00456407">
        <w:rPr>
          <w:rFonts w:ascii="楷体_GB2312" w:eastAsia="楷体_GB2312" w:hAnsi="宋体" w:cs="宋体" w:hint="eastAsia"/>
          <w:kern w:val="0"/>
          <w:szCs w:val="21"/>
        </w:rPr>
        <w:t>，欧元区的复苏动力有望增强。美国</w:t>
      </w:r>
      <w:r w:rsidR="00E10EDD">
        <w:rPr>
          <w:rFonts w:ascii="楷体_GB2312" w:eastAsia="楷体_GB2312" w:hAnsi="宋体" w:cs="宋体" w:hint="eastAsia"/>
          <w:kern w:val="0"/>
          <w:szCs w:val="21"/>
        </w:rPr>
        <w:t>劳动力市场</w:t>
      </w:r>
      <w:r w:rsidR="00C76161">
        <w:rPr>
          <w:rFonts w:ascii="楷体_GB2312" w:eastAsia="楷体_GB2312" w:hAnsi="宋体" w:cs="宋体" w:hint="eastAsia"/>
          <w:kern w:val="0"/>
          <w:szCs w:val="21"/>
        </w:rPr>
        <w:t>持续</w:t>
      </w:r>
      <w:r w:rsidR="00E10EDD">
        <w:rPr>
          <w:rFonts w:ascii="楷体_GB2312" w:eastAsia="楷体_GB2312" w:hAnsi="宋体" w:cs="宋体" w:hint="eastAsia"/>
          <w:kern w:val="0"/>
          <w:szCs w:val="21"/>
        </w:rPr>
        <w:t>表现强劲，</w:t>
      </w:r>
      <w:r w:rsidR="00C76161">
        <w:rPr>
          <w:rFonts w:ascii="楷体_GB2312" w:eastAsia="楷体_GB2312" w:hAnsi="宋体" w:cs="宋体" w:hint="eastAsia"/>
          <w:kern w:val="0"/>
          <w:szCs w:val="21"/>
        </w:rPr>
        <w:t>受益油价下跌消费支出也有望走高，尽管面临美元走强和欧元宽松的压力，但整体经济</w:t>
      </w:r>
      <w:r w:rsidR="00825CBA">
        <w:rPr>
          <w:rFonts w:ascii="楷体_GB2312" w:eastAsia="楷体_GB2312" w:hAnsi="宋体" w:cs="宋体" w:hint="eastAsia"/>
          <w:kern w:val="0"/>
          <w:szCs w:val="21"/>
        </w:rPr>
        <w:t>维持强劲，</w:t>
      </w:r>
      <w:r w:rsidR="004A050D">
        <w:rPr>
          <w:rFonts w:ascii="楷体_GB2312" w:eastAsia="楷体_GB2312" w:hAnsi="宋体" w:cs="宋体" w:hint="eastAsia"/>
          <w:kern w:val="0"/>
          <w:szCs w:val="21"/>
        </w:rPr>
        <w:t>相应其</w:t>
      </w:r>
      <w:r w:rsidR="00825CBA">
        <w:rPr>
          <w:rFonts w:ascii="楷体_GB2312" w:eastAsia="楷体_GB2312" w:hAnsi="宋体" w:cs="宋体" w:hint="eastAsia"/>
          <w:kern w:val="0"/>
          <w:szCs w:val="21"/>
        </w:rPr>
        <w:t>加息的步伐也渐行渐近。</w:t>
      </w:r>
      <w:r w:rsidR="005139C3">
        <w:rPr>
          <w:rFonts w:ascii="楷体_GB2312" w:eastAsia="楷体_GB2312" w:hAnsi="宋体" w:cs="宋体" w:hint="eastAsia"/>
          <w:kern w:val="0"/>
          <w:szCs w:val="21"/>
        </w:rPr>
        <w:t>由于</w:t>
      </w:r>
      <w:r w:rsidR="00671DFF">
        <w:rPr>
          <w:rFonts w:ascii="楷体_GB2312" w:eastAsia="楷体_GB2312" w:hAnsi="宋体" w:cs="宋体" w:hint="eastAsia"/>
          <w:kern w:val="0"/>
          <w:szCs w:val="21"/>
        </w:rPr>
        <w:t>国际油价</w:t>
      </w:r>
      <w:r w:rsidR="00780A19">
        <w:rPr>
          <w:rFonts w:ascii="楷体_GB2312" w:eastAsia="楷体_GB2312" w:hAnsi="宋体" w:cs="宋体" w:hint="eastAsia"/>
          <w:kern w:val="0"/>
          <w:szCs w:val="21"/>
        </w:rPr>
        <w:t>大幅</w:t>
      </w:r>
      <w:r w:rsidR="005139C3">
        <w:rPr>
          <w:rFonts w:ascii="楷体_GB2312" w:eastAsia="楷体_GB2312" w:hAnsi="宋体" w:cs="宋体" w:hint="eastAsia"/>
          <w:kern w:val="0"/>
          <w:szCs w:val="21"/>
        </w:rPr>
        <w:t>将石油生产商收入转移至消费者，</w:t>
      </w:r>
      <w:r w:rsidR="00780A19">
        <w:rPr>
          <w:rFonts w:ascii="楷体_GB2312" w:eastAsia="楷体_GB2312" w:hAnsi="宋体" w:cs="宋体" w:hint="eastAsia"/>
          <w:kern w:val="0"/>
          <w:szCs w:val="21"/>
        </w:rPr>
        <w:t>成本节约</w:t>
      </w:r>
      <w:r w:rsidR="005139C3">
        <w:rPr>
          <w:rFonts w:ascii="楷体_GB2312" w:eastAsia="楷体_GB2312" w:hAnsi="宋体" w:cs="宋体" w:hint="eastAsia"/>
          <w:kern w:val="0"/>
          <w:szCs w:val="21"/>
        </w:rPr>
        <w:t>将给包括中国在内的主要能源消费国带来额外的“刺激措施”</w:t>
      </w:r>
      <w:r w:rsidR="005121C2">
        <w:rPr>
          <w:rFonts w:ascii="楷体_GB2312" w:eastAsia="楷体_GB2312" w:hAnsi="宋体" w:cs="宋体" w:hint="eastAsia"/>
          <w:kern w:val="0"/>
          <w:szCs w:val="21"/>
        </w:rPr>
        <w:t>。</w:t>
      </w:r>
    </w:p>
    <w:p w:rsidR="00780A19" w:rsidRDefault="00F16F2F" w:rsidP="0033633E">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由于内需和投资“双熊”，</w:t>
      </w:r>
      <w:r w:rsidR="00780A19">
        <w:rPr>
          <w:rFonts w:ascii="楷体_GB2312" w:eastAsia="楷体_GB2312" w:hAnsi="宋体" w:cs="宋体" w:hint="eastAsia"/>
          <w:kern w:val="0"/>
          <w:szCs w:val="21"/>
        </w:rPr>
        <w:t>中国经济</w:t>
      </w:r>
      <w:r w:rsidR="0087578C">
        <w:rPr>
          <w:rFonts w:ascii="楷体_GB2312" w:eastAsia="楷体_GB2312" w:hAnsi="宋体" w:cs="宋体" w:hint="eastAsia"/>
          <w:kern w:val="0"/>
          <w:szCs w:val="21"/>
        </w:rPr>
        <w:t>增速持续放缓</w:t>
      </w:r>
      <w:r w:rsidR="00780A19">
        <w:rPr>
          <w:rFonts w:ascii="楷体_GB2312" w:eastAsia="楷体_GB2312" w:hAnsi="宋体" w:cs="宋体" w:hint="eastAsia"/>
          <w:kern w:val="0"/>
          <w:szCs w:val="21"/>
        </w:rPr>
        <w:t>，</w:t>
      </w:r>
      <w:r w:rsidR="0087578C">
        <w:rPr>
          <w:rFonts w:ascii="楷体_GB2312" w:eastAsia="楷体_GB2312" w:hAnsi="宋体" w:cs="宋体" w:hint="eastAsia"/>
          <w:kern w:val="0"/>
          <w:szCs w:val="21"/>
        </w:rPr>
        <w:t>但仍然较为稳健。目前股票</w:t>
      </w:r>
      <w:r w:rsidR="00C54A27">
        <w:rPr>
          <w:rFonts w:ascii="楷体_GB2312" w:eastAsia="楷体_GB2312" w:hAnsi="宋体" w:cs="宋体" w:hint="eastAsia"/>
          <w:kern w:val="0"/>
          <w:szCs w:val="21"/>
        </w:rPr>
        <w:t>市场的逻辑</w:t>
      </w:r>
      <w:r w:rsidR="000423D0">
        <w:rPr>
          <w:rFonts w:ascii="楷体_GB2312" w:eastAsia="楷体_GB2312" w:hAnsi="宋体" w:cs="宋体" w:hint="eastAsia"/>
          <w:kern w:val="0"/>
          <w:szCs w:val="21"/>
        </w:rPr>
        <w:t>基本已经</w:t>
      </w:r>
      <w:r w:rsidR="00C54A27">
        <w:rPr>
          <w:rFonts w:ascii="楷体_GB2312" w:eastAsia="楷体_GB2312" w:hAnsi="宋体" w:cs="宋体" w:hint="eastAsia"/>
          <w:kern w:val="0"/>
          <w:szCs w:val="21"/>
        </w:rPr>
        <w:t>摆脱基本面，转由政策和流动性主宰。</w:t>
      </w:r>
      <w:r w:rsidR="000423D0">
        <w:rPr>
          <w:rFonts w:ascii="楷体_GB2312" w:eastAsia="楷体_GB2312" w:hAnsi="宋体" w:cs="宋体" w:hint="eastAsia"/>
          <w:kern w:val="0"/>
          <w:szCs w:val="21"/>
        </w:rPr>
        <w:t>在金融资产配置由房地产和理财市场向股票市场转移的大趋势下，12月</w:t>
      </w:r>
      <w:r w:rsidR="00C54A27">
        <w:rPr>
          <w:rFonts w:ascii="楷体_GB2312" w:eastAsia="楷体_GB2312" w:hAnsi="宋体" w:cs="宋体" w:hint="eastAsia"/>
          <w:kern w:val="0"/>
          <w:szCs w:val="21"/>
        </w:rPr>
        <w:t>27日央行</w:t>
      </w:r>
      <w:r w:rsidR="00177000">
        <w:rPr>
          <w:rFonts w:ascii="楷体_GB2312" w:eastAsia="楷体_GB2312" w:hAnsi="宋体" w:cs="宋体" w:hint="eastAsia"/>
          <w:kern w:val="0"/>
          <w:szCs w:val="21"/>
        </w:rPr>
        <w:t>发布</w:t>
      </w:r>
      <w:r w:rsidR="00C54A27">
        <w:rPr>
          <w:rFonts w:ascii="楷体_GB2312" w:eastAsia="楷体_GB2312" w:hAnsi="宋体" w:cs="宋体" w:hint="eastAsia"/>
          <w:kern w:val="0"/>
          <w:szCs w:val="21"/>
        </w:rPr>
        <w:t>387号文将同业</w:t>
      </w:r>
      <w:r w:rsidR="0033633E">
        <w:rPr>
          <w:rFonts w:ascii="楷体_GB2312" w:eastAsia="楷体_GB2312" w:hAnsi="宋体" w:cs="宋体" w:hint="eastAsia"/>
          <w:kern w:val="0"/>
          <w:szCs w:val="21"/>
        </w:rPr>
        <w:t>存款纳入一般性存款并暂不收准备金，</w:t>
      </w:r>
      <w:r w:rsidR="00427134">
        <w:rPr>
          <w:rFonts w:ascii="楷体_GB2312" w:eastAsia="楷体_GB2312" w:hAnsi="宋体" w:cs="宋体" w:hint="eastAsia"/>
          <w:kern w:val="0"/>
          <w:szCs w:val="21"/>
        </w:rPr>
        <w:t>变相</w:t>
      </w:r>
      <w:r w:rsidR="0033633E">
        <w:rPr>
          <w:rFonts w:ascii="楷体_GB2312" w:eastAsia="楷体_GB2312" w:hAnsi="宋体" w:cs="宋体" w:hint="eastAsia"/>
          <w:kern w:val="0"/>
          <w:szCs w:val="21"/>
        </w:rPr>
        <w:t>降准为市场提供流动性，</w:t>
      </w:r>
      <w:r w:rsidR="00656757">
        <w:rPr>
          <w:rFonts w:ascii="楷体_GB2312" w:eastAsia="楷体_GB2312" w:hAnsi="宋体" w:cs="宋体" w:hint="eastAsia"/>
          <w:kern w:val="0"/>
          <w:szCs w:val="21"/>
        </w:rPr>
        <w:t>后市</w:t>
      </w:r>
      <w:r>
        <w:rPr>
          <w:rFonts w:ascii="楷体_GB2312" w:eastAsia="楷体_GB2312" w:hAnsi="宋体" w:cs="宋体" w:hint="eastAsia"/>
          <w:kern w:val="0"/>
          <w:szCs w:val="21"/>
        </w:rPr>
        <w:t>央行或实施进一步的宽松政策，</w:t>
      </w:r>
      <w:r w:rsidR="003E3E38">
        <w:rPr>
          <w:rFonts w:ascii="楷体_GB2312" w:eastAsia="楷体_GB2312" w:hAnsi="宋体" w:cs="宋体" w:hint="eastAsia"/>
          <w:kern w:val="0"/>
          <w:szCs w:val="21"/>
        </w:rPr>
        <w:t>股票市场</w:t>
      </w:r>
      <w:r w:rsidR="0033633E">
        <w:rPr>
          <w:rFonts w:ascii="楷体_GB2312" w:eastAsia="楷体_GB2312" w:hAnsi="宋体" w:cs="宋体" w:hint="eastAsia"/>
          <w:kern w:val="0"/>
          <w:szCs w:val="21"/>
        </w:rPr>
        <w:t>将继续走强</w:t>
      </w:r>
      <w:r w:rsidR="0040601A">
        <w:rPr>
          <w:rFonts w:ascii="楷体_GB2312" w:eastAsia="楷体_GB2312" w:hAnsi="宋体" w:cs="宋体" w:hint="eastAsia"/>
          <w:kern w:val="0"/>
          <w:szCs w:val="21"/>
        </w:rPr>
        <w:t>。</w:t>
      </w:r>
    </w:p>
    <w:p w:rsidR="001E3B52" w:rsidRPr="00C17FBC" w:rsidRDefault="001E3B52" w:rsidP="00410A84">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w:t>
      </w:r>
      <w:r w:rsidR="004938DD" w:rsidRPr="00C17FBC">
        <w:rPr>
          <w:rFonts w:ascii="黑体" w:eastAsia="黑体" w:hAnsi="宋体-18030" w:cs="宋体-18030" w:hint="eastAsia"/>
          <w:b/>
          <w:bCs/>
          <w:color w:val="003366"/>
          <w:kern w:val="44"/>
          <w:sz w:val="24"/>
        </w:rPr>
        <w:t>基金投资策略：</w:t>
      </w:r>
      <w:r w:rsidR="009E0A49">
        <w:rPr>
          <w:rFonts w:ascii="黑体" w:eastAsia="黑体" w:hAnsi="宋体-18030" w:cs="宋体-18030" w:hint="eastAsia"/>
          <w:b/>
          <w:bCs/>
          <w:color w:val="003366"/>
          <w:kern w:val="44"/>
          <w:sz w:val="24"/>
        </w:rPr>
        <w:t>维持</w:t>
      </w:r>
      <w:r w:rsidR="008E2585">
        <w:rPr>
          <w:rFonts w:ascii="黑体" w:eastAsia="黑体" w:hAnsi="宋体-18030" w:cs="宋体-18030" w:hint="eastAsia"/>
          <w:b/>
          <w:bCs/>
          <w:color w:val="003366"/>
          <w:kern w:val="44"/>
          <w:sz w:val="24"/>
        </w:rPr>
        <w:t>高风险偏好</w:t>
      </w:r>
      <w:r w:rsidR="00770A60">
        <w:rPr>
          <w:rFonts w:ascii="黑体" w:eastAsia="黑体" w:hAnsi="宋体-18030" w:cs="宋体-18030" w:hint="eastAsia"/>
          <w:b/>
          <w:bCs/>
          <w:color w:val="003366"/>
          <w:kern w:val="44"/>
          <w:sz w:val="24"/>
        </w:rPr>
        <w:t>，</w:t>
      </w:r>
      <w:r w:rsidR="008E2585" w:rsidRPr="008E2585">
        <w:rPr>
          <w:rFonts w:ascii="黑体" w:eastAsia="黑体" w:hAnsi="宋体-18030" w:cs="宋体-18030" w:hint="eastAsia"/>
          <w:b/>
          <w:bCs/>
          <w:color w:val="003366"/>
          <w:kern w:val="44"/>
          <w:sz w:val="24"/>
        </w:rPr>
        <w:t>关注受益政策的主题型基金和受益成本节约的非采掘类强周期基金</w:t>
      </w:r>
    </w:p>
    <w:p w:rsidR="001B65D9" w:rsidRDefault="001B65D9" w:rsidP="00410A84">
      <w:pPr>
        <w:spacing w:beforeLines="50"/>
        <w:ind w:leftChars="1350" w:left="2835" w:firstLineChars="202" w:firstLine="424"/>
        <w:rPr>
          <w:rFonts w:ascii="楷体_GB2312" w:eastAsia="楷体_GB2312" w:hAnsi="宋体" w:cs="宋体"/>
          <w:color w:val="000000"/>
          <w:kern w:val="0"/>
          <w:szCs w:val="21"/>
        </w:rPr>
      </w:pPr>
      <w:r>
        <w:rPr>
          <w:rFonts w:ascii="楷体_GB2312" w:eastAsia="楷体_GB2312" w:hAnsi="宋体" w:cs="宋体" w:hint="eastAsia"/>
          <w:kern w:val="0"/>
          <w:szCs w:val="21"/>
        </w:rPr>
        <w:t>综上，我们预计</w:t>
      </w:r>
      <w:r w:rsidR="00B07BB7">
        <w:rPr>
          <w:rFonts w:ascii="楷体_GB2312" w:eastAsia="楷体_GB2312" w:hAnsi="宋体" w:cs="宋体" w:hint="eastAsia"/>
          <w:kern w:val="0"/>
          <w:szCs w:val="21"/>
        </w:rPr>
        <w:t>“</w:t>
      </w:r>
      <w:r w:rsidR="00663878">
        <w:rPr>
          <w:rFonts w:ascii="楷体_GB2312" w:eastAsia="楷体_GB2312" w:hAnsi="宋体" w:cs="宋体" w:hint="eastAsia"/>
          <w:kern w:val="0"/>
          <w:szCs w:val="21"/>
        </w:rPr>
        <w:t>央行变现降准为市场提供流动性，后市央行或实施进一步的宽松政策，股票市场将继续走强</w:t>
      </w:r>
      <w:r w:rsidR="008B3AA4">
        <w:rPr>
          <w:rFonts w:ascii="楷体_GB2312" w:eastAsia="楷体_GB2312" w:hAnsi="宋体" w:cs="宋体" w:hint="eastAsia"/>
          <w:color w:val="000000"/>
          <w:kern w:val="0"/>
          <w:szCs w:val="21"/>
        </w:rPr>
        <w:t>”，</w:t>
      </w:r>
      <w:r>
        <w:rPr>
          <w:rFonts w:ascii="楷体_GB2312" w:eastAsia="楷体_GB2312" w:hAnsi="宋体" w:cs="宋体" w:hint="eastAsia"/>
          <w:color w:val="000000"/>
          <w:kern w:val="0"/>
          <w:szCs w:val="21"/>
        </w:rPr>
        <w:t>建议</w:t>
      </w:r>
      <w:r w:rsidR="009B11AF">
        <w:rPr>
          <w:rFonts w:ascii="楷体_GB2312" w:eastAsia="楷体_GB2312" w:hAnsi="宋体" w:cs="宋体" w:hint="eastAsia"/>
          <w:color w:val="000000"/>
          <w:kern w:val="0"/>
          <w:szCs w:val="21"/>
        </w:rPr>
        <w:t>投资者</w:t>
      </w:r>
      <w:r w:rsidR="00770A60">
        <w:rPr>
          <w:rFonts w:ascii="楷体_GB2312" w:eastAsia="楷体_GB2312" w:hAnsi="宋体" w:cs="宋体" w:hint="eastAsia"/>
          <w:color w:val="000000"/>
          <w:kern w:val="0"/>
          <w:szCs w:val="21"/>
        </w:rPr>
        <w:t>投资</w:t>
      </w:r>
      <w:r w:rsidR="005B6D3E">
        <w:rPr>
          <w:rFonts w:ascii="楷体_GB2312" w:eastAsia="楷体_GB2312" w:hAnsi="宋体" w:cs="宋体" w:hint="eastAsia"/>
          <w:color w:val="000000"/>
          <w:kern w:val="0"/>
          <w:szCs w:val="21"/>
        </w:rPr>
        <w:t>维持</w:t>
      </w:r>
      <w:r w:rsidR="00770A60">
        <w:rPr>
          <w:rFonts w:ascii="楷体_GB2312" w:eastAsia="楷体_GB2312" w:hAnsi="宋体" w:cs="宋体" w:hint="eastAsia"/>
          <w:color w:val="000000"/>
          <w:kern w:val="0"/>
          <w:szCs w:val="21"/>
        </w:rPr>
        <w:t>积极</w:t>
      </w:r>
      <w:r w:rsidR="009B11AF">
        <w:rPr>
          <w:rFonts w:ascii="楷体_GB2312" w:eastAsia="楷体_GB2312" w:hAnsi="宋体" w:cs="宋体" w:hint="eastAsia"/>
          <w:color w:val="000000"/>
          <w:kern w:val="0"/>
          <w:szCs w:val="21"/>
        </w:rPr>
        <w:t>，</w:t>
      </w:r>
      <w:r w:rsidR="005B6D3E">
        <w:rPr>
          <w:rFonts w:ascii="楷体_GB2312" w:eastAsia="楷体_GB2312" w:hAnsi="宋体" w:cs="宋体" w:hint="eastAsia"/>
          <w:color w:val="000000"/>
          <w:kern w:val="0"/>
          <w:szCs w:val="21"/>
        </w:rPr>
        <w:t>保持较高</w:t>
      </w:r>
      <w:r w:rsidR="009B11AF">
        <w:rPr>
          <w:rFonts w:ascii="楷体_GB2312" w:eastAsia="楷体_GB2312" w:hAnsi="宋体" w:cs="宋体" w:hint="eastAsia"/>
          <w:color w:val="000000"/>
          <w:kern w:val="0"/>
          <w:szCs w:val="21"/>
        </w:rPr>
        <w:t>股票型基金</w:t>
      </w:r>
      <w:r w:rsidR="005B6D3E">
        <w:rPr>
          <w:rFonts w:ascii="楷体_GB2312" w:eastAsia="楷体_GB2312" w:hAnsi="宋体" w:cs="宋体" w:hint="eastAsia"/>
          <w:color w:val="000000"/>
          <w:kern w:val="0"/>
          <w:szCs w:val="21"/>
        </w:rPr>
        <w:t>配置比例</w:t>
      </w:r>
      <w:r w:rsidR="008401B3">
        <w:rPr>
          <w:rFonts w:ascii="楷体_GB2312" w:eastAsia="楷体_GB2312" w:hAnsi="宋体" w:cs="宋体" w:hint="eastAsia"/>
          <w:color w:val="000000"/>
          <w:kern w:val="0"/>
          <w:szCs w:val="21"/>
        </w:rPr>
        <w:t>。</w:t>
      </w:r>
      <w:r w:rsidR="004755B9">
        <w:rPr>
          <w:rFonts w:ascii="楷体_GB2312" w:eastAsia="楷体_GB2312" w:hAnsi="宋体" w:cs="宋体" w:hint="eastAsia"/>
          <w:color w:val="000000"/>
          <w:kern w:val="0"/>
          <w:szCs w:val="21"/>
        </w:rPr>
        <w:t>交易型投资者在提高风险偏好的同时</w:t>
      </w:r>
      <w:r w:rsidR="00181E6E">
        <w:rPr>
          <w:rFonts w:ascii="楷体_GB2312" w:eastAsia="楷体_GB2312" w:hAnsi="宋体" w:cs="宋体" w:hint="eastAsia"/>
          <w:color w:val="000000"/>
          <w:kern w:val="0"/>
          <w:szCs w:val="21"/>
        </w:rPr>
        <w:t>须</w:t>
      </w:r>
      <w:r w:rsidR="005B6D3E">
        <w:rPr>
          <w:rFonts w:ascii="楷体_GB2312" w:eastAsia="楷体_GB2312" w:hAnsi="宋体" w:cs="宋体" w:hint="eastAsia"/>
          <w:color w:val="000000"/>
          <w:kern w:val="0"/>
          <w:szCs w:val="21"/>
        </w:rPr>
        <w:t>密切</w:t>
      </w:r>
      <w:r w:rsidR="00181E6E">
        <w:rPr>
          <w:rFonts w:ascii="楷体_GB2312" w:eastAsia="楷体_GB2312" w:hAnsi="宋体" w:cs="宋体" w:hint="eastAsia"/>
          <w:color w:val="000000"/>
          <w:kern w:val="0"/>
          <w:szCs w:val="21"/>
        </w:rPr>
        <w:t>关注</w:t>
      </w:r>
      <w:r w:rsidR="005C50A0">
        <w:rPr>
          <w:rFonts w:ascii="楷体_GB2312" w:eastAsia="楷体_GB2312" w:hAnsi="宋体" w:cs="宋体" w:hint="eastAsia"/>
          <w:color w:val="000000"/>
          <w:kern w:val="0"/>
          <w:szCs w:val="21"/>
        </w:rPr>
        <w:t>市场</w:t>
      </w:r>
      <w:r w:rsidR="00181E6E">
        <w:rPr>
          <w:rFonts w:ascii="楷体_GB2312" w:eastAsia="楷体_GB2312" w:hAnsi="宋体" w:cs="宋体" w:hint="eastAsia"/>
          <w:color w:val="000000"/>
          <w:kern w:val="0"/>
          <w:szCs w:val="21"/>
        </w:rPr>
        <w:t>短期</w:t>
      </w:r>
      <w:r w:rsidR="005C50A0">
        <w:rPr>
          <w:rFonts w:ascii="楷体_GB2312" w:eastAsia="楷体_GB2312" w:hAnsi="宋体" w:cs="宋体" w:hint="eastAsia"/>
          <w:color w:val="000000"/>
          <w:kern w:val="0"/>
          <w:szCs w:val="21"/>
        </w:rPr>
        <w:t>回调</w:t>
      </w:r>
      <w:r w:rsidR="00181E6E">
        <w:rPr>
          <w:rFonts w:ascii="楷体_GB2312" w:eastAsia="楷体_GB2312" w:hAnsi="宋体" w:cs="宋体" w:hint="eastAsia"/>
          <w:color w:val="000000"/>
          <w:kern w:val="0"/>
          <w:szCs w:val="21"/>
        </w:rPr>
        <w:t>风险。</w:t>
      </w:r>
    </w:p>
    <w:p w:rsidR="00663878" w:rsidRPr="00D42E6E" w:rsidRDefault="00793E22" w:rsidP="00410A84">
      <w:pPr>
        <w:spacing w:beforeLines="50"/>
        <w:ind w:leftChars="1350" w:left="2835" w:firstLineChars="202" w:firstLine="424"/>
        <w:rPr>
          <w:rFonts w:ascii="楷体_GB2312" w:eastAsia="楷体_GB2312" w:hAnsi="宋体" w:cs="宋体"/>
          <w:color w:val="000000"/>
          <w:kern w:val="0"/>
          <w:szCs w:val="21"/>
        </w:rPr>
      </w:pPr>
      <w:r w:rsidRPr="00C556C4">
        <w:rPr>
          <w:rFonts w:ascii="楷体_GB2312" w:eastAsia="楷体_GB2312" w:hAnsi="宋体" w:cs="宋体" w:hint="eastAsia"/>
          <w:kern w:val="0"/>
          <w:szCs w:val="21"/>
        </w:rPr>
        <w:t>权益类基金方面，</w:t>
      </w:r>
      <w:r w:rsidR="00663878">
        <w:rPr>
          <w:rFonts w:ascii="楷体_GB2312" w:eastAsia="楷体_GB2312" w:hint="eastAsia"/>
          <w:color w:val="000000"/>
        </w:rPr>
        <w:t>由于上半年经济面并未得到足够改善，股票市场走强依赖于政策和资金推动，</w:t>
      </w:r>
      <w:r w:rsidR="00C17E5C">
        <w:rPr>
          <w:rFonts w:ascii="楷体_GB2312" w:eastAsia="楷体_GB2312" w:hint="eastAsia"/>
          <w:color w:val="000000"/>
        </w:rPr>
        <w:t>建议投资者</w:t>
      </w:r>
      <w:r w:rsidR="00C17E5C" w:rsidRPr="002244AC">
        <w:rPr>
          <w:rFonts w:ascii="楷体_GB2312" w:eastAsia="楷体_GB2312" w:hAnsi="宋体" w:cs="宋体" w:hint="eastAsia"/>
          <w:color w:val="000000"/>
          <w:kern w:val="0"/>
          <w:szCs w:val="21"/>
        </w:rPr>
        <w:t>侧重配置具备估值优势的蓝筹价值型基金，</w:t>
      </w:r>
      <w:r w:rsidR="004A050D" w:rsidRPr="00946743">
        <w:rPr>
          <w:rFonts w:ascii="楷体_GB2312" w:eastAsia="楷体_GB2312" w:hAnsi="宋体" w:cs="宋体" w:hint="eastAsia"/>
          <w:kern w:val="0"/>
          <w:szCs w:val="21"/>
        </w:rPr>
        <w:t>重点关注重仓</w:t>
      </w:r>
      <w:r w:rsidR="004A050D">
        <w:rPr>
          <w:rFonts w:ascii="楷体_GB2312" w:eastAsia="楷体_GB2312" w:hAnsi="宋体" w:cs="宋体" w:hint="eastAsia"/>
          <w:kern w:val="0"/>
          <w:szCs w:val="21"/>
        </w:rPr>
        <w:t>与</w:t>
      </w:r>
      <w:r w:rsidR="004A050D" w:rsidRPr="00946743">
        <w:rPr>
          <w:rFonts w:ascii="楷体_GB2312" w:eastAsia="楷体_GB2312" w:hAnsi="宋体" w:cs="宋体" w:hint="eastAsia"/>
          <w:kern w:val="0"/>
          <w:szCs w:val="21"/>
        </w:rPr>
        <w:t>国企改革、一路一带、“铁公机”基建项目等政策相关行业的基金、重仓受益成本节约的非采掘类强周期基金和受益限购取消和销量好转的房地产行业的基金</w:t>
      </w:r>
      <w:r w:rsidR="0048443A">
        <w:rPr>
          <w:rFonts w:ascii="楷体_GB2312" w:eastAsia="楷体_GB2312" w:hAnsi="宋体" w:cs="宋体" w:hint="eastAsia"/>
          <w:color w:val="000000"/>
          <w:kern w:val="0"/>
          <w:szCs w:val="21"/>
        </w:rPr>
        <w:t>。考虑到</w:t>
      </w:r>
      <w:r w:rsidR="00C17E5C">
        <w:rPr>
          <w:rFonts w:ascii="楷体_GB2312" w:eastAsia="楷体_GB2312" w:hAnsi="宋体" w:cs="宋体" w:hint="eastAsia"/>
          <w:color w:val="000000"/>
          <w:kern w:val="0"/>
          <w:szCs w:val="21"/>
        </w:rPr>
        <w:t>流动性支撑的强市震荡明显，</w:t>
      </w:r>
      <w:r w:rsidR="00946743">
        <w:rPr>
          <w:rFonts w:ascii="楷体_GB2312" w:eastAsia="楷体_GB2312" w:hAnsi="宋体" w:cs="宋体" w:hint="eastAsia"/>
          <w:color w:val="000000"/>
          <w:kern w:val="0"/>
          <w:szCs w:val="21"/>
        </w:rPr>
        <w:t>在产品类型上，</w:t>
      </w:r>
      <w:r w:rsidR="00C17E5C">
        <w:rPr>
          <w:rFonts w:ascii="楷体_GB2312" w:eastAsia="楷体_GB2312" w:hAnsi="宋体" w:cs="宋体" w:hint="eastAsia"/>
          <w:color w:val="000000"/>
          <w:kern w:val="0"/>
          <w:szCs w:val="21"/>
        </w:rPr>
        <w:t>建议</w:t>
      </w:r>
      <w:r w:rsidR="0048443A">
        <w:rPr>
          <w:rFonts w:ascii="楷体_GB2312" w:eastAsia="楷体_GB2312" w:hAnsi="宋体" w:cs="宋体" w:hint="eastAsia"/>
          <w:color w:val="000000"/>
          <w:kern w:val="0"/>
          <w:szCs w:val="21"/>
        </w:rPr>
        <w:t>短期投资者和交易型投资者侧重关注实施被动投资的指数型基金，中长期配置型</w:t>
      </w:r>
      <w:r w:rsidR="00C17E5C">
        <w:rPr>
          <w:rFonts w:ascii="楷体_GB2312" w:eastAsia="楷体_GB2312" w:hAnsi="宋体" w:cs="宋体" w:hint="eastAsia"/>
          <w:color w:val="000000"/>
          <w:kern w:val="0"/>
          <w:szCs w:val="21"/>
        </w:rPr>
        <w:t>投资者</w:t>
      </w:r>
      <w:r w:rsidR="0048443A">
        <w:rPr>
          <w:rFonts w:ascii="楷体_GB2312" w:eastAsia="楷体_GB2312" w:hAnsi="宋体" w:cs="宋体" w:hint="eastAsia"/>
          <w:color w:val="000000"/>
          <w:kern w:val="0"/>
          <w:szCs w:val="21"/>
        </w:rPr>
        <w:t>侧重关注</w:t>
      </w:r>
      <w:r w:rsidR="00C17E5C">
        <w:rPr>
          <w:rFonts w:ascii="楷体_GB2312" w:eastAsia="楷体_GB2312" w:hAnsi="宋体" w:cs="宋体" w:hint="eastAsia"/>
          <w:color w:val="000000"/>
          <w:kern w:val="0"/>
          <w:szCs w:val="21"/>
        </w:rPr>
        <w:t>具备择时优势的混合型基金</w:t>
      </w:r>
      <w:r w:rsidR="0048443A">
        <w:rPr>
          <w:rFonts w:ascii="楷体_GB2312" w:eastAsia="楷体_GB2312" w:hAnsi="宋体" w:cs="宋体" w:hint="eastAsia"/>
          <w:color w:val="000000"/>
          <w:kern w:val="0"/>
          <w:szCs w:val="21"/>
        </w:rPr>
        <w:t>。</w:t>
      </w:r>
    </w:p>
    <w:p w:rsidR="009F0ED5" w:rsidRPr="00807731" w:rsidRDefault="00CB03D0" w:rsidP="009F0ED5">
      <w:pPr>
        <w:ind w:leftChars="1350" w:left="2835" w:firstLineChars="202" w:firstLine="424"/>
        <w:rPr>
          <w:rFonts w:ascii="楷体_GB2312" w:eastAsia="楷体_GB2312"/>
          <w:b/>
          <w:color w:val="000000"/>
        </w:rPr>
      </w:pPr>
      <w:r w:rsidRPr="003F2B60">
        <w:rPr>
          <w:rFonts w:ascii="楷体_GB2312" w:eastAsia="楷体_GB2312" w:hAnsi="宋体" w:cs="宋体" w:hint="eastAsia"/>
          <w:kern w:val="0"/>
          <w:szCs w:val="21"/>
        </w:rPr>
        <w:t>固定收益率基金方面，</w:t>
      </w:r>
      <w:r w:rsidR="009F0ED5" w:rsidRPr="00C17250">
        <w:rPr>
          <w:rFonts w:ascii="楷体_GB2312" w:eastAsia="楷体_GB2312" w:hAnsi="宋体" w:cs="宋体" w:hint="eastAsia"/>
          <w:color w:val="000000"/>
          <w:kern w:val="0"/>
          <w:szCs w:val="21"/>
        </w:rPr>
        <w:t>央行通过引导货币市场利率下行</w:t>
      </w:r>
      <w:r w:rsidR="009F0ED5">
        <w:rPr>
          <w:rFonts w:ascii="楷体_GB2312" w:eastAsia="楷体_GB2312" w:hAnsi="宋体" w:cs="宋体" w:hint="eastAsia"/>
          <w:color w:val="000000"/>
          <w:kern w:val="0"/>
          <w:szCs w:val="21"/>
        </w:rPr>
        <w:t>来</w:t>
      </w:r>
      <w:r w:rsidR="009F0ED5" w:rsidRPr="00C17250">
        <w:rPr>
          <w:rFonts w:ascii="楷体_GB2312" w:eastAsia="楷体_GB2312" w:hAnsi="宋体" w:cs="宋体" w:hint="eastAsia"/>
          <w:color w:val="000000"/>
          <w:kern w:val="0"/>
          <w:szCs w:val="21"/>
        </w:rPr>
        <w:t>降低社会融资成本的</w:t>
      </w:r>
      <w:r w:rsidR="009F0ED5">
        <w:rPr>
          <w:rFonts w:ascii="楷体_GB2312" w:eastAsia="楷体_GB2312" w:hAnsi="宋体" w:cs="宋体" w:hint="eastAsia"/>
          <w:color w:val="000000"/>
          <w:kern w:val="0"/>
          <w:szCs w:val="21"/>
        </w:rPr>
        <w:t>态度不变</w:t>
      </w:r>
      <w:r w:rsidR="009F0ED5" w:rsidRPr="00C17250">
        <w:rPr>
          <w:rFonts w:ascii="楷体_GB2312" w:eastAsia="楷体_GB2312" w:hAnsi="宋体" w:cs="宋体" w:hint="eastAsia"/>
          <w:color w:val="000000"/>
          <w:kern w:val="0"/>
          <w:szCs w:val="21"/>
        </w:rPr>
        <w:t>，</w:t>
      </w:r>
      <w:r w:rsidR="009F0ED5">
        <w:rPr>
          <w:rFonts w:ascii="楷体_GB2312" w:eastAsia="楷体_GB2312" w:hAnsi="宋体" w:cs="宋体" w:hint="eastAsia"/>
          <w:color w:val="000000"/>
          <w:kern w:val="0"/>
          <w:szCs w:val="21"/>
        </w:rPr>
        <w:t>管理层要求</w:t>
      </w:r>
      <w:r w:rsidR="009F0ED5" w:rsidRPr="008E1C0E">
        <w:rPr>
          <w:rFonts w:ascii="楷体_GB2312" w:eastAsia="楷体_GB2312" w:hAnsi="宋体" w:cs="宋体" w:hint="eastAsia"/>
          <w:color w:val="000000"/>
          <w:kern w:val="0"/>
          <w:szCs w:val="21"/>
        </w:rPr>
        <w:t>提高发债主体和债券项目的资格，严格控制债券违约风险</w:t>
      </w:r>
      <w:r w:rsidR="009F0ED5">
        <w:rPr>
          <w:rFonts w:ascii="楷体_GB2312" w:eastAsia="楷体_GB2312" w:hAnsi="宋体" w:cs="宋体" w:hint="eastAsia"/>
          <w:color w:val="000000"/>
          <w:kern w:val="0"/>
          <w:szCs w:val="21"/>
        </w:rPr>
        <w:t>的债市管理思路不变，因此</w:t>
      </w:r>
      <w:r w:rsidR="009F0ED5" w:rsidRPr="008E1C0E">
        <w:rPr>
          <w:rFonts w:ascii="楷体_GB2312" w:eastAsia="楷体_GB2312" w:hAnsi="宋体" w:cs="宋体" w:hint="eastAsia"/>
          <w:color w:val="000000"/>
          <w:kern w:val="0"/>
          <w:szCs w:val="21"/>
        </w:rPr>
        <w:t>债券市场信用风险基本无忧。</w:t>
      </w:r>
      <w:r w:rsidR="009F0ED5">
        <w:rPr>
          <w:rFonts w:ascii="楷体_GB2312" w:eastAsia="楷体_GB2312" w:hAnsi="宋体" w:cs="宋体" w:hint="eastAsia"/>
          <w:color w:val="000000"/>
          <w:kern w:val="0"/>
          <w:szCs w:val="21"/>
        </w:rPr>
        <w:t>我们维持前期判断，</w:t>
      </w:r>
      <w:r w:rsidR="009F0ED5" w:rsidRPr="008E1C0E">
        <w:rPr>
          <w:rFonts w:ascii="楷体_GB2312" w:eastAsia="楷体_GB2312" w:hAnsi="宋体" w:cs="宋体" w:hint="eastAsia"/>
          <w:color w:val="000000"/>
          <w:kern w:val="0"/>
          <w:szCs w:val="21"/>
        </w:rPr>
        <w:t>在市场无风险利率下行、低通胀和经济偏弱的大背景下，债市牛市尚未走进尾声</w:t>
      </w:r>
      <w:r w:rsidR="009F0ED5">
        <w:rPr>
          <w:rFonts w:ascii="楷体_GB2312" w:eastAsia="楷体_GB2312" w:hAnsi="宋体" w:cs="宋体" w:hint="eastAsia"/>
          <w:color w:val="000000"/>
          <w:kern w:val="0"/>
          <w:szCs w:val="21"/>
        </w:rPr>
        <w:t>。但</w:t>
      </w:r>
      <w:r w:rsidR="009F0ED5" w:rsidRPr="008E1C0E">
        <w:rPr>
          <w:rFonts w:ascii="楷体_GB2312" w:eastAsia="楷体_GB2312" w:hAnsi="宋体" w:cs="宋体" w:hint="eastAsia"/>
          <w:color w:val="000000"/>
          <w:kern w:val="0"/>
          <w:szCs w:val="21"/>
        </w:rPr>
        <w:t>受去杠杆化、前期盈利兑付和股市走强引导资金流出的三重压力，短期债市或将面临小幅调整</w:t>
      </w:r>
      <w:r w:rsidR="009F0ED5">
        <w:rPr>
          <w:rFonts w:ascii="楷体_GB2312" w:eastAsia="楷体_GB2312" w:hAnsi="宋体" w:cs="宋体" w:hint="eastAsia"/>
          <w:color w:val="000000"/>
          <w:kern w:val="0"/>
          <w:szCs w:val="21"/>
        </w:rPr>
        <w:t>，建议投资者适当警惕短期调整风险</w:t>
      </w:r>
      <w:r w:rsidR="009F0ED5" w:rsidRPr="00471CBF">
        <w:rPr>
          <w:rFonts w:ascii="楷体_GB2312" w:eastAsia="楷体_GB2312" w:hAnsi="宋体" w:cs="宋体" w:hint="eastAsia"/>
          <w:color w:val="000000"/>
          <w:kern w:val="0"/>
          <w:szCs w:val="21"/>
        </w:rPr>
        <w:t>。从</w:t>
      </w:r>
      <w:r w:rsidR="009F0ED5">
        <w:rPr>
          <w:rFonts w:ascii="楷体_GB2312" w:eastAsia="楷体_GB2312" w:hAnsi="宋体" w:cs="宋体" w:hint="eastAsia"/>
          <w:color w:val="000000"/>
          <w:kern w:val="0"/>
          <w:szCs w:val="21"/>
        </w:rPr>
        <w:t>配置券种来看</w:t>
      </w:r>
      <w:r w:rsidR="009F0ED5" w:rsidRPr="00471CBF">
        <w:rPr>
          <w:rFonts w:ascii="楷体_GB2312" w:eastAsia="楷体_GB2312" w:hAnsi="宋体" w:cs="宋体" w:hint="eastAsia"/>
          <w:color w:val="000000"/>
          <w:kern w:val="0"/>
          <w:szCs w:val="21"/>
        </w:rPr>
        <w:t>，</w:t>
      </w:r>
      <w:r w:rsidR="009F0ED5" w:rsidRPr="00551D71">
        <w:rPr>
          <w:rFonts w:ascii="楷体_GB2312" w:eastAsia="楷体_GB2312" w:hAnsi="宋体" w:cs="宋体" w:hint="eastAsia"/>
          <w:color w:val="000000"/>
          <w:kern w:val="0"/>
          <w:szCs w:val="21"/>
        </w:rPr>
        <w:t>城投债面临去杠杆带来的调整风险，建议投资者侧重关注配置非城投债的中低评级信用债基金</w:t>
      </w:r>
      <w:r w:rsidR="009F0ED5" w:rsidRPr="008E1C0E">
        <w:rPr>
          <w:rFonts w:ascii="楷体_GB2312" w:eastAsia="楷体_GB2312" w:hAnsi="宋体" w:cs="宋体" w:hint="eastAsia"/>
          <w:color w:val="000000"/>
          <w:kern w:val="0"/>
          <w:szCs w:val="21"/>
        </w:rPr>
        <w:t>。</w:t>
      </w:r>
    </w:p>
    <w:p w:rsidR="009F0ED5" w:rsidRPr="0066072C" w:rsidRDefault="009F0ED5" w:rsidP="0066072C">
      <w:pPr>
        <w:ind w:leftChars="1350" w:left="2835" w:firstLineChars="202" w:firstLine="426"/>
        <w:rPr>
          <w:rFonts w:ascii="楷体_GB2312" w:eastAsia="楷体_GB2312" w:hAnsi="宋体" w:cs="宋体"/>
          <w:color w:val="000000"/>
          <w:kern w:val="0"/>
          <w:szCs w:val="21"/>
        </w:rPr>
      </w:pPr>
      <w:r w:rsidRPr="00807731">
        <w:rPr>
          <w:rFonts w:ascii="楷体_GB2312" w:eastAsia="楷体_GB2312" w:hAnsi="宋体" w:cs="宋体" w:hint="eastAsia"/>
          <w:b/>
          <w:kern w:val="0"/>
          <w:szCs w:val="21"/>
        </w:rPr>
        <w:lastRenderedPageBreak/>
        <w:t>QDII方面，</w:t>
      </w:r>
      <w:r w:rsidRPr="00A371E6">
        <w:rPr>
          <w:rFonts w:ascii="楷体_GB2312" w:eastAsia="楷体_GB2312" w:hAnsi="宋体" w:cs="宋体" w:hint="eastAsia"/>
          <w:color w:val="000000"/>
          <w:kern w:val="0"/>
          <w:szCs w:val="21"/>
        </w:rPr>
        <w:t>预计资源进口国将在大宗商品走弱的背景下更为显著的受益</w:t>
      </w:r>
      <w:r>
        <w:rPr>
          <w:rFonts w:ascii="楷体_GB2312" w:eastAsia="楷体_GB2312" w:hAnsi="宋体" w:cs="宋体" w:hint="eastAsia"/>
          <w:color w:val="000000"/>
          <w:kern w:val="0"/>
          <w:szCs w:val="21"/>
        </w:rPr>
        <w:t>，希腊政治变局不对欧元区经济造成如同200</w:t>
      </w:r>
      <w:r w:rsidR="00693876">
        <w:rPr>
          <w:rFonts w:ascii="楷体_GB2312" w:eastAsia="楷体_GB2312" w:hAnsi="宋体" w:cs="宋体" w:hint="eastAsia"/>
          <w:color w:val="000000"/>
          <w:kern w:val="0"/>
          <w:szCs w:val="21"/>
        </w:rPr>
        <w:t>9年</w:t>
      </w:r>
      <w:r>
        <w:rPr>
          <w:rFonts w:ascii="楷体_GB2312" w:eastAsia="楷体_GB2312" w:hAnsi="宋体" w:cs="宋体" w:hint="eastAsia"/>
          <w:color w:val="000000"/>
          <w:kern w:val="0"/>
          <w:szCs w:val="21"/>
        </w:rPr>
        <w:t>，</w:t>
      </w:r>
      <w:r w:rsidRPr="00A371E6">
        <w:rPr>
          <w:rFonts w:ascii="楷体_GB2312" w:eastAsia="楷体_GB2312" w:hAnsi="宋体" w:cs="宋体" w:hint="eastAsia"/>
          <w:color w:val="000000"/>
          <w:kern w:val="0"/>
          <w:szCs w:val="21"/>
        </w:rPr>
        <w:t>欧洲市场有望受益低成本和宽松货币而走强，美国市场将受高估值和较好经济的影响而表现稳定，香港市场将在国内市场走强的带动将得以攀升。因此建议投资者高配主要投资资源进口国的QDII和欧洲市场QDII、香港市场QDII，中性配置美国市场QDII，低配主要投资资源出口国的QDII和</w:t>
      </w:r>
      <w:r w:rsidRPr="00A371E6">
        <w:rPr>
          <w:rFonts w:ascii="楷体_GB2312" w:eastAsia="楷体_GB2312" w:hAnsi="宋体" w:cs="宋体" w:hint="eastAsia"/>
          <w:kern w:val="0"/>
          <w:szCs w:val="21"/>
        </w:rPr>
        <w:t>大宗商品QDII</w:t>
      </w:r>
      <w:r w:rsidR="009E0A49">
        <w:rPr>
          <w:rFonts w:ascii="楷体_GB2312" w:eastAsia="楷体_GB2312" w:hAnsi="宋体" w:cs="宋体" w:hint="eastAsia"/>
          <w:kern w:val="0"/>
          <w:szCs w:val="21"/>
        </w:rPr>
        <w:t>。</w:t>
      </w:r>
    </w:p>
    <w:p w:rsidR="001E3B52" w:rsidRPr="005E4592" w:rsidRDefault="004938DD" w:rsidP="00410A8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E921CB" w:rsidRDefault="001E3B52" w:rsidP="00410A84">
      <w:pPr>
        <w:spacing w:beforeLines="50"/>
        <w:ind w:leftChars="1350" w:left="2835" w:firstLineChars="202" w:firstLine="424"/>
        <w:rPr>
          <w:rFonts w:ascii="楷体_GB2312" w:eastAsia="楷体_GB2312" w:hAnsi="宋体" w:cs="宋体"/>
          <w:kern w:val="0"/>
          <w:szCs w:val="21"/>
        </w:rPr>
      </w:pPr>
      <w:r w:rsidRPr="003A2393">
        <w:rPr>
          <w:rFonts w:ascii="楷体_GB2312" w:eastAsia="楷体_GB2312" w:hAnsi="宋体" w:cs="宋体" w:hint="eastAsia"/>
          <w:kern w:val="0"/>
          <w:szCs w:val="21"/>
        </w:rPr>
        <w:t>具体到组合构建上，我们</w:t>
      </w:r>
      <w:r w:rsidR="003D3829">
        <w:rPr>
          <w:rFonts w:ascii="楷体_GB2312" w:eastAsia="楷体_GB2312" w:hAnsi="宋体" w:cs="宋体" w:hint="eastAsia"/>
          <w:kern w:val="0"/>
          <w:szCs w:val="21"/>
        </w:rPr>
        <w:t>在上文</w:t>
      </w:r>
      <w:r w:rsidRPr="003A2393">
        <w:rPr>
          <w:rFonts w:ascii="楷体_GB2312" w:eastAsia="楷体_GB2312" w:hAnsi="宋体" w:cs="宋体" w:hint="eastAsia"/>
          <w:kern w:val="0"/>
          <w:szCs w:val="21"/>
        </w:rPr>
        <w:t>基金投资策略指引下，充分考虑</w:t>
      </w:r>
      <w:r w:rsidR="006769D3">
        <w:rPr>
          <w:rFonts w:ascii="楷体_GB2312" w:eastAsia="楷体_GB2312" w:hAnsi="宋体" w:cs="宋体" w:hint="eastAsia"/>
          <w:kern w:val="0"/>
          <w:szCs w:val="21"/>
        </w:rPr>
        <w:t>投资品种流动性，并依据</w:t>
      </w:r>
      <w:r w:rsidRPr="003A2393">
        <w:rPr>
          <w:rFonts w:ascii="楷体_GB2312" w:eastAsia="楷体_GB2312" w:hAnsi="宋体" w:cs="宋体" w:hint="eastAsia"/>
          <w:kern w:val="0"/>
          <w:szCs w:val="21"/>
        </w:rPr>
        <w:t>资产配置、行业结构、投资风格分散化原则，构建投资组合以供投资参考</w:t>
      </w:r>
      <w:r w:rsidR="00CD64C4">
        <w:rPr>
          <w:rFonts w:ascii="楷体_GB2312" w:eastAsia="楷体_GB2312" w:hAnsi="宋体" w:cs="宋体" w:hint="eastAsia"/>
          <w:kern w:val="0"/>
          <w:szCs w:val="21"/>
        </w:rPr>
        <w:t>，本期组合</w:t>
      </w:r>
      <w:r w:rsidR="008326EB">
        <w:rPr>
          <w:rFonts w:ascii="楷体_GB2312" w:eastAsia="楷体_GB2312" w:hAnsi="宋体" w:cs="宋体" w:hint="eastAsia"/>
          <w:kern w:val="0"/>
          <w:szCs w:val="21"/>
        </w:rPr>
        <w:t>维持上月组合不变，</w:t>
      </w:r>
      <w:r w:rsidR="00AC461C">
        <w:rPr>
          <w:rFonts w:ascii="楷体_GB2312" w:eastAsia="楷体_GB2312" w:hAnsi="宋体" w:cs="宋体" w:hint="eastAsia"/>
          <w:kern w:val="0"/>
          <w:szCs w:val="21"/>
        </w:rPr>
        <w:t>建议如下：</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1E3B52" w:rsidRPr="00E921CB" w:rsidTr="007F4645">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7F4645">
        <w:trPr>
          <w:trHeight w:val="285"/>
          <w:jc w:val="center"/>
        </w:trPr>
        <w:tc>
          <w:tcPr>
            <w:tcW w:w="1320"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7F4645" w:rsidRPr="00E921CB" w:rsidTr="007F4645">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40%</w:t>
            </w:r>
          </w:p>
        </w:tc>
        <w:tc>
          <w:tcPr>
            <w:tcW w:w="324" w:type="pct"/>
            <w:vMerge/>
            <w:tcBorders>
              <w:top w:val="single" w:sz="8"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35%</w:t>
            </w:r>
          </w:p>
        </w:tc>
        <w:tc>
          <w:tcPr>
            <w:tcW w:w="297" w:type="pct"/>
            <w:vMerge/>
            <w:tcBorders>
              <w:top w:val="single" w:sz="8"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宝盈收益</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30%</w:t>
            </w:r>
          </w:p>
        </w:tc>
      </w:tr>
      <w:tr w:rsidR="007F4645" w:rsidRPr="00E921CB"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35%</w:t>
            </w:r>
          </w:p>
        </w:tc>
      </w:tr>
      <w:tr w:rsidR="007F4645" w:rsidRPr="005B5148"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鹏华中证</w:t>
            </w:r>
            <w:r w:rsidRPr="007F4645">
              <w:rPr>
                <w:rFonts w:hint="eastAsia"/>
                <w:sz w:val="18"/>
                <w:szCs w:val="18"/>
              </w:rPr>
              <w:t>800</w:t>
            </w:r>
            <w:r w:rsidRPr="007F4645">
              <w:rPr>
                <w:rFonts w:hint="eastAsia"/>
                <w:sz w:val="18"/>
                <w:szCs w:val="18"/>
              </w:rPr>
              <w:t>非银行金融</w:t>
            </w:r>
          </w:p>
        </w:tc>
        <w:tc>
          <w:tcPr>
            <w:tcW w:w="426" w:type="pct"/>
            <w:tcBorders>
              <w:top w:val="nil"/>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20%</w:t>
            </w:r>
          </w:p>
        </w:tc>
        <w:tc>
          <w:tcPr>
            <w:tcW w:w="324"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宝盈收益</w:t>
            </w:r>
          </w:p>
        </w:tc>
        <w:tc>
          <w:tcPr>
            <w:tcW w:w="393"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35%</w:t>
            </w:r>
          </w:p>
        </w:tc>
        <w:tc>
          <w:tcPr>
            <w:tcW w:w="297"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5"/>
        <w:gridCol w:w="756"/>
        <w:gridCol w:w="936"/>
        <w:gridCol w:w="849"/>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726DA8" w:rsidRPr="002072D1" w:rsidTr="00FA1BD5">
        <w:trPr>
          <w:trHeight w:val="397"/>
          <w:jc w:val="center"/>
        </w:trPr>
        <w:tc>
          <w:tcPr>
            <w:tcW w:w="0" w:type="auto"/>
            <w:shd w:val="clear" w:color="auto" w:fill="auto"/>
            <w:vAlign w:val="bottom"/>
          </w:tcPr>
          <w:p w:rsidR="00726DA8" w:rsidRPr="00573CAD" w:rsidRDefault="00F944D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博时裕富沪深300</w:t>
            </w:r>
          </w:p>
        </w:tc>
        <w:tc>
          <w:tcPr>
            <w:tcW w:w="0" w:type="auto"/>
            <w:shd w:val="clear" w:color="auto" w:fill="auto"/>
            <w:vAlign w:val="center"/>
          </w:tcPr>
          <w:p w:rsidR="00726DA8"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050002</w:t>
            </w:r>
          </w:p>
        </w:tc>
        <w:tc>
          <w:tcPr>
            <w:tcW w:w="0" w:type="auto"/>
            <w:vAlign w:val="center"/>
          </w:tcPr>
          <w:p w:rsidR="00726DA8" w:rsidRPr="00573CAD" w:rsidRDefault="00726DA8"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Pr="00573CAD">
              <w:rPr>
                <w:rFonts w:ascii="楷体_GB2312" w:eastAsia="楷体_GB2312" w:hAnsi="宋体" w:cs="宋体" w:hint="eastAsia"/>
                <w:color w:val="0D0D0D"/>
                <w:kern w:val="0"/>
                <w:sz w:val="18"/>
                <w:szCs w:val="18"/>
              </w:rPr>
              <w:t>型</w:t>
            </w:r>
          </w:p>
        </w:tc>
        <w:tc>
          <w:tcPr>
            <w:tcW w:w="0" w:type="auto"/>
            <w:vAlign w:val="center"/>
          </w:tcPr>
          <w:p w:rsidR="00726DA8"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7F4645">
              <w:rPr>
                <w:rFonts w:hint="eastAsia"/>
                <w:sz w:val="18"/>
                <w:szCs w:val="18"/>
              </w:rPr>
              <w:t>博时</w:t>
            </w:r>
          </w:p>
        </w:tc>
        <w:tc>
          <w:tcPr>
            <w:tcW w:w="0" w:type="auto"/>
            <w:shd w:val="clear" w:color="auto" w:fill="auto"/>
            <w:vAlign w:val="center"/>
          </w:tcPr>
          <w:p w:rsidR="00726DA8" w:rsidRPr="00573CAD" w:rsidRDefault="00726DA8" w:rsidP="00FA1BD5">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726DA8" w:rsidRPr="00573CAD" w:rsidRDefault="00726DA8" w:rsidP="00FA1BD5">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573CAD" w:rsidRPr="002072D1" w:rsidTr="00FA1BD5">
        <w:trPr>
          <w:trHeight w:val="397"/>
          <w:jc w:val="center"/>
        </w:trPr>
        <w:tc>
          <w:tcPr>
            <w:tcW w:w="0" w:type="auto"/>
            <w:shd w:val="clear" w:color="auto" w:fill="auto"/>
            <w:vAlign w:val="bottom"/>
          </w:tcPr>
          <w:p w:rsidR="00573CAD" w:rsidRPr="00573CAD" w:rsidRDefault="00F944D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鹏华中证800非银行金融</w:t>
            </w:r>
          </w:p>
        </w:tc>
        <w:tc>
          <w:tcPr>
            <w:tcW w:w="0" w:type="auto"/>
            <w:shd w:val="clear" w:color="auto" w:fill="auto"/>
            <w:vAlign w:val="center"/>
          </w:tcPr>
          <w:p w:rsidR="00573CAD"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160625</w:t>
            </w:r>
          </w:p>
        </w:tc>
        <w:tc>
          <w:tcPr>
            <w:tcW w:w="0" w:type="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00726DA8" w:rsidRPr="00573CAD">
              <w:rPr>
                <w:rFonts w:ascii="楷体_GB2312" w:eastAsia="楷体_GB2312" w:hAnsi="宋体" w:cs="宋体" w:hint="eastAsia"/>
                <w:color w:val="0D0D0D"/>
                <w:kern w:val="0"/>
                <w:sz w:val="18"/>
                <w:szCs w:val="18"/>
              </w:rPr>
              <w:t>型</w:t>
            </w:r>
          </w:p>
        </w:tc>
        <w:tc>
          <w:tcPr>
            <w:tcW w:w="0" w:type="auto"/>
            <w:vAlign w:val="center"/>
          </w:tcPr>
          <w:p w:rsidR="00573CAD" w:rsidRPr="00573CAD" w:rsidRDefault="00726DA8" w:rsidP="00573CAD">
            <w:pPr>
              <w:keepLines/>
              <w:adjustRightInd w:val="0"/>
              <w:snapToGrid w:val="0"/>
              <w:jc w:val="center"/>
              <w:rPr>
                <w:rFonts w:ascii="楷体_GB2312" w:eastAsia="楷体_GB2312" w:hAnsi="宋体" w:cs="宋体"/>
                <w:color w:val="0D0D0D"/>
                <w:kern w:val="0"/>
                <w:sz w:val="18"/>
                <w:szCs w:val="18"/>
              </w:rPr>
            </w:pPr>
            <w:r w:rsidRPr="00726DA8">
              <w:rPr>
                <w:rFonts w:ascii="楷体_GB2312" w:eastAsia="楷体_GB2312" w:hAnsi="宋体" w:cs="宋体" w:hint="eastAsia"/>
                <w:color w:val="0D0D0D"/>
                <w:kern w:val="0"/>
                <w:sz w:val="18"/>
                <w:szCs w:val="18"/>
              </w:rPr>
              <w:t>鹏华</w:t>
            </w:r>
          </w:p>
        </w:tc>
        <w:tc>
          <w:tcPr>
            <w:tcW w:w="0" w:type="auto"/>
            <w:shd w:val="clear" w:color="auto" w:fill="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宝盈收益</w:t>
            </w:r>
          </w:p>
        </w:tc>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672175" w:rsidRPr="00030158" w:rsidRDefault="00610DCE" w:rsidP="00410A84">
      <w:pPr>
        <w:spacing w:beforeLines="50"/>
        <w:ind w:leftChars="1350" w:left="2835" w:firstLineChars="202" w:firstLine="426"/>
        <w:rPr>
          <w:rFonts w:ascii="楷体_GB2312" w:eastAsia="楷体_GB2312" w:hAnsi="宋体" w:cs="宋体"/>
          <w:color w:val="000000" w:themeColor="text1"/>
          <w:kern w:val="0"/>
          <w:szCs w:val="21"/>
        </w:rPr>
      </w:pPr>
      <w:r w:rsidRPr="00610DCE">
        <w:rPr>
          <w:rFonts w:ascii="楷体_GB2312" w:eastAsia="楷体_GB2312" w:hAnsi="宋体" w:cs="宋体" w:hint="eastAsia"/>
          <w:b/>
          <w:color w:val="000000" w:themeColor="text1"/>
          <w:kern w:val="0"/>
          <w:szCs w:val="21"/>
        </w:rPr>
        <w:t>博时裕富沪深30</w:t>
      </w:r>
      <w:r w:rsidRPr="00F944D7">
        <w:rPr>
          <w:rFonts w:ascii="楷体_GB2312" w:eastAsia="楷体_GB2312" w:hAnsi="宋体" w:cs="宋体" w:hint="eastAsia"/>
          <w:b/>
          <w:color w:val="000000" w:themeColor="text1"/>
          <w:kern w:val="0"/>
          <w:szCs w:val="21"/>
        </w:rPr>
        <w:t>0</w:t>
      </w:r>
      <w:r w:rsidR="00050159" w:rsidRPr="00F944D7">
        <w:rPr>
          <w:rFonts w:ascii="楷体_GB2312" w:eastAsia="楷体_GB2312" w:hAnsi="宋体" w:cs="宋体" w:hint="eastAsia"/>
          <w:color w:val="000000" w:themeColor="text1"/>
          <w:kern w:val="0"/>
          <w:szCs w:val="21"/>
        </w:rPr>
        <w:t>：</w:t>
      </w:r>
      <w:r w:rsidR="00A05073" w:rsidRPr="00030158">
        <w:rPr>
          <w:rFonts w:ascii="楷体_GB2312" w:eastAsia="楷体_GB2312" w:hAnsi="宋体" w:cs="宋体" w:hint="eastAsia"/>
          <w:color w:val="000000" w:themeColor="text1"/>
          <w:kern w:val="0"/>
          <w:szCs w:val="21"/>
        </w:rPr>
        <w:t>该基金</w:t>
      </w:r>
      <w:r w:rsidR="00726DA8" w:rsidRPr="00030158">
        <w:rPr>
          <w:rFonts w:ascii="楷体_GB2312" w:eastAsia="楷体_GB2312" w:hAnsi="宋体" w:cs="宋体" w:hint="eastAsia"/>
          <w:color w:val="000000" w:themeColor="text1"/>
          <w:kern w:val="0"/>
          <w:szCs w:val="21"/>
        </w:rPr>
        <w:t>是目前市场中跟踪</w:t>
      </w:r>
      <w:r w:rsidRPr="00030158">
        <w:rPr>
          <w:rFonts w:ascii="楷体_GB2312" w:eastAsia="楷体_GB2312" w:hAnsi="宋体" w:cs="宋体" w:hint="eastAsia"/>
          <w:color w:val="000000" w:themeColor="text1"/>
          <w:kern w:val="0"/>
          <w:szCs w:val="21"/>
        </w:rPr>
        <w:t>沪深3</w:t>
      </w:r>
      <w:r w:rsidR="00726DA8" w:rsidRPr="00030158">
        <w:rPr>
          <w:rFonts w:ascii="楷体_GB2312" w:eastAsia="楷体_GB2312" w:hAnsi="宋体" w:cs="宋体" w:hint="eastAsia"/>
          <w:color w:val="000000" w:themeColor="text1"/>
          <w:kern w:val="0"/>
          <w:szCs w:val="21"/>
        </w:rPr>
        <w:t>00指数基金中最具规模的</w:t>
      </w:r>
      <w:r w:rsidRPr="00030158">
        <w:rPr>
          <w:rFonts w:ascii="楷体_GB2312" w:eastAsia="楷体_GB2312" w:hAnsi="宋体" w:cs="宋体" w:hint="eastAsia"/>
          <w:color w:val="000000" w:themeColor="text1"/>
          <w:kern w:val="0"/>
          <w:szCs w:val="21"/>
        </w:rPr>
        <w:t>非ETF指数型基金</w:t>
      </w:r>
      <w:r w:rsidR="00726DA8" w:rsidRPr="00030158">
        <w:rPr>
          <w:rFonts w:ascii="楷体_GB2312" w:eastAsia="楷体_GB2312" w:hAnsi="宋体" w:cs="宋体" w:hint="eastAsia"/>
          <w:color w:val="000000" w:themeColor="text1"/>
          <w:kern w:val="0"/>
          <w:szCs w:val="21"/>
        </w:rPr>
        <w:t>，</w:t>
      </w:r>
      <w:r w:rsidRPr="00030158">
        <w:rPr>
          <w:rFonts w:ascii="楷体_GB2312" w:eastAsia="楷体_GB2312" w:hAnsi="宋体" w:cs="宋体" w:hint="eastAsia"/>
          <w:color w:val="000000" w:themeColor="text1"/>
          <w:kern w:val="0"/>
          <w:szCs w:val="21"/>
        </w:rPr>
        <w:t>适合所有投资者通过各种渠道参与，流动性好。沪深</w:t>
      </w:r>
      <w:r w:rsidR="00902B67" w:rsidRPr="00030158">
        <w:rPr>
          <w:rFonts w:ascii="楷体_GB2312" w:eastAsia="楷体_GB2312" w:hAnsi="宋体" w:cs="宋体" w:hint="eastAsia"/>
          <w:color w:val="000000" w:themeColor="text1"/>
          <w:kern w:val="0"/>
          <w:szCs w:val="21"/>
        </w:rPr>
        <w:t>300指数是市场中最具代表性的宽基指数，可以较好的代表沪深两市大中盘蓝筹股票的整体走势。</w:t>
      </w:r>
    </w:p>
    <w:p w:rsidR="00050159" w:rsidRPr="000E2698" w:rsidRDefault="00050159" w:rsidP="00410A8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050159" w:rsidRPr="000E2698" w:rsidRDefault="00E20D5C" w:rsidP="00410A84">
      <w:pPr>
        <w:spacing w:beforeLines="50"/>
        <w:ind w:leftChars="1350" w:left="2835" w:firstLineChars="202" w:firstLine="426"/>
        <w:rPr>
          <w:rFonts w:ascii="楷体_GB2312" w:eastAsia="楷体_GB2312" w:hAnsi="宋体" w:cs="宋体"/>
          <w:color w:val="000000" w:themeColor="text1"/>
          <w:kern w:val="0"/>
          <w:szCs w:val="21"/>
        </w:rPr>
      </w:pPr>
      <w:r w:rsidRPr="004340A3">
        <w:rPr>
          <w:rFonts w:ascii="楷体_GB2312" w:eastAsia="楷体_GB2312" w:hAnsi="宋体" w:cs="宋体" w:hint="eastAsia"/>
          <w:b/>
          <w:color w:val="000000" w:themeColor="text1"/>
          <w:kern w:val="0"/>
          <w:szCs w:val="21"/>
        </w:rPr>
        <w:t>鹏华中证800非银行金融</w:t>
      </w:r>
      <w:r w:rsidR="00050159" w:rsidRPr="004340A3">
        <w:rPr>
          <w:rFonts w:ascii="楷体_GB2312" w:eastAsia="楷体_GB2312" w:hAnsi="宋体" w:cs="宋体" w:hint="eastAsia"/>
          <w:color w:val="000000" w:themeColor="text1"/>
          <w:kern w:val="0"/>
          <w:szCs w:val="21"/>
        </w:rPr>
        <w:t>：</w:t>
      </w:r>
      <w:r w:rsidR="00050159" w:rsidRPr="000A2CF8">
        <w:rPr>
          <w:rFonts w:ascii="楷体_GB2312" w:eastAsia="楷体_GB2312" w:hAnsi="宋体" w:cs="宋体" w:hint="eastAsia"/>
          <w:color w:val="000000" w:themeColor="text1"/>
          <w:kern w:val="0"/>
          <w:szCs w:val="21"/>
        </w:rPr>
        <w:t>该基金</w:t>
      </w:r>
      <w:r w:rsidRPr="000A2CF8">
        <w:rPr>
          <w:rFonts w:ascii="楷体_GB2312" w:eastAsia="楷体_GB2312" w:hAnsi="宋体" w:cs="宋体" w:hint="eastAsia"/>
          <w:color w:val="000000" w:themeColor="text1"/>
          <w:kern w:val="0"/>
          <w:szCs w:val="21"/>
        </w:rPr>
        <w:t>跟踪</w:t>
      </w:r>
      <w:r w:rsidR="00F944D7">
        <w:rPr>
          <w:rFonts w:ascii="楷体_GB2312" w:eastAsia="楷体_GB2312" w:hAnsi="宋体" w:cs="宋体" w:hint="eastAsia"/>
          <w:color w:val="000000" w:themeColor="text1"/>
          <w:kern w:val="0"/>
          <w:szCs w:val="21"/>
        </w:rPr>
        <w:t>中证800证券保险指数（2014年12月2诶更名为</w:t>
      </w:r>
      <w:r w:rsidRPr="000A2CF8">
        <w:rPr>
          <w:rFonts w:ascii="楷体_GB2312" w:eastAsia="楷体_GB2312" w:hAnsi="宋体" w:cs="宋体" w:hint="eastAsia"/>
          <w:color w:val="000000" w:themeColor="text1"/>
          <w:kern w:val="0"/>
          <w:szCs w:val="21"/>
        </w:rPr>
        <w:t>中证800非银行金融指数</w:t>
      </w:r>
      <w:r w:rsidR="003A2465">
        <w:rPr>
          <w:rFonts w:ascii="楷体_GB2312" w:eastAsia="楷体_GB2312" w:hAnsi="宋体" w:cs="宋体" w:hint="eastAsia"/>
          <w:color w:val="000000" w:themeColor="text1"/>
          <w:kern w:val="0"/>
          <w:szCs w:val="21"/>
        </w:rPr>
        <w:t>）</w:t>
      </w:r>
      <w:r w:rsidRPr="000A2CF8">
        <w:rPr>
          <w:rFonts w:ascii="楷体_GB2312" w:eastAsia="楷体_GB2312" w:hAnsi="宋体" w:cs="宋体" w:hint="eastAsia"/>
          <w:color w:val="000000" w:themeColor="text1"/>
          <w:kern w:val="0"/>
          <w:szCs w:val="21"/>
        </w:rPr>
        <w:t>，标的成分股主要为金融板块中的证券、保险上市公司</w:t>
      </w:r>
      <w:r w:rsidR="00EC5F5D" w:rsidRPr="000A2CF8">
        <w:rPr>
          <w:rFonts w:ascii="楷体_GB2312" w:eastAsia="楷体_GB2312" w:hAnsi="宋体" w:cs="宋体" w:hint="eastAsia"/>
          <w:color w:val="000000" w:themeColor="text1"/>
          <w:kern w:val="0"/>
          <w:szCs w:val="21"/>
        </w:rPr>
        <w:t>，这些上市公司直接受益股市走强，并在金融领域创新中直接受益</w:t>
      </w:r>
      <w:r w:rsidR="000A2CF8">
        <w:rPr>
          <w:rFonts w:ascii="楷体_GB2312" w:eastAsia="楷体_GB2312" w:hAnsi="宋体" w:cs="宋体" w:hint="eastAsia"/>
          <w:color w:val="000000" w:themeColor="text1"/>
          <w:kern w:val="0"/>
          <w:szCs w:val="21"/>
        </w:rPr>
        <w:t>，顺市场周期特征明显，贝塔值</w:t>
      </w:r>
      <w:r w:rsidR="004340A3">
        <w:rPr>
          <w:rFonts w:ascii="楷体_GB2312" w:eastAsia="楷体_GB2312" w:hAnsi="宋体" w:cs="宋体" w:hint="eastAsia"/>
          <w:color w:val="000000" w:themeColor="text1"/>
          <w:kern w:val="0"/>
          <w:szCs w:val="21"/>
        </w:rPr>
        <w:t>高</w:t>
      </w:r>
      <w:r w:rsidR="00050159" w:rsidRPr="000A2CF8">
        <w:rPr>
          <w:rFonts w:ascii="楷体_GB2312" w:eastAsia="楷体_GB2312" w:hAnsi="宋体" w:cs="宋体" w:hint="eastAsia"/>
          <w:color w:val="000000" w:themeColor="text1"/>
          <w:kern w:val="0"/>
          <w:szCs w:val="21"/>
        </w:rPr>
        <w:t>。</w:t>
      </w:r>
    </w:p>
    <w:p w:rsidR="00A46E4C" w:rsidRPr="00A46E4C" w:rsidRDefault="00962461" w:rsidP="00410A84">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lastRenderedPageBreak/>
        <w:t>宝盈收益</w:t>
      </w:r>
      <w:r w:rsidR="00050159"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w:t>
      </w:r>
      <w:r w:rsidR="00A46E4C">
        <w:rPr>
          <w:rFonts w:ascii="楷体_GB2312" w:eastAsia="楷体_GB2312" w:hAnsi="宋体" w:cs="宋体" w:hint="eastAsia"/>
          <w:color w:val="000000" w:themeColor="text1"/>
          <w:kern w:val="0"/>
          <w:szCs w:val="21"/>
        </w:rPr>
        <w:t>定位二级债基，但在超过5年的运作历史中体现出相对谨慎的投资风格，其风险管理水平较高，长期业绩出众，基金经理稳定，其良好获益能力有望得以</w:t>
      </w:r>
      <w:r w:rsidR="00F93E44">
        <w:rPr>
          <w:rFonts w:ascii="楷体_GB2312" w:eastAsia="楷体_GB2312" w:hAnsi="宋体" w:cs="宋体" w:hint="eastAsia"/>
          <w:color w:val="000000" w:themeColor="text1"/>
          <w:kern w:val="0"/>
          <w:szCs w:val="21"/>
        </w:rPr>
        <w:t>延续</w:t>
      </w:r>
      <w:r w:rsidR="00A46E4C">
        <w:rPr>
          <w:rFonts w:ascii="楷体_GB2312" w:eastAsia="楷体_GB2312" w:hAnsi="宋体" w:cs="宋体" w:hint="eastAsia"/>
          <w:color w:val="000000" w:themeColor="text1"/>
          <w:kern w:val="0"/>
          <w:szCs w:val="21"/>
        </w:rPr>
        <w:t>。</w:t>
      </w:r>
    </w:p>
    <w:p w:rsidR="00050159" w:rsidRPr="000E2698" w:rsidRDefault="00050159" w:rsidP="00410A8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基金设立于04年4月，</w:t>
      </w:r>
      <w:r w:rsidR="004474F8" w:rsidRPr="004474F8">
        <w:rPr>
          <w:rFonts w:ascii="楷体_GB2312" w:eastAsia="楷体_GB2312" w:hAnsi="宋体" w:cs="宋体" w:hint="eastAsia"/>
          <w:color w:val="000000" w:themeColor="text1"/>
          <w:kern w:val="0"/>
          <w:szCs w:val="21"/>
        </w:rPr>
        <w:t>截至2014年</w:t>
      </w:r>
      <w:r w:rsidR="00502A0E">
        <w:rPr>
          <w:rFonts w:ascii="楷体_GB2312" w:eastAsia="楷体_GB2312" w:hAnsi="宋体" w:cs="宋体" w:hint="eastAsia"/>
          <w:color w:val="000000" w:themeColor="text1"/>
          <w:kern w:val="0"/>
          <w:szCs w:val="21"/>
        </w:rPr>
        <w:t>三</w:t>
      </w:r>
      <w:r w:rsidR="004474F8" w:rsidRPr="004474F8">
        <w:rPr>
          <w:rFonts w:ascii="楷体_GB2312" w:eastAsia="楷体_GB2312" w:hAnsi="宋体" w:cs="宋体" w:hint="eastAsia"/>
          <w:color w:val="000000" w:themeColor="text1"/>
          <w:kern w:val="0"/>
          <w:szCs w:val="21"/>
        </w:rPr>
        <w:t>季度末基金A\E份额合计</w:t>
      </w:r>
      <w:r w:rsidR="007030DA" w:rsidRPr="007030DA">
        <w:rPr>
          <w:rFonts w:ascii="楷体_GB2312" w:eastAsia="楷体_GB2312" w:hAnsi="宋体" w:cs="宋体"/>
          <w:color w:val="000000" w:themeColor="text1"/>
          <w:kern w:val="0"/>
          <w:szCs w:val="21"/>
        </w:rPr>
        <w:t>108</w:t>
      </w:r>
      <w:r w:rsidR="007030DA">
        <w:rPr>
          <w:rFonts w:ascii="楷体_GB2312" w:eastAsia="楷体_GB2312" w:hAnsi="宋体" w:cs="宋体" w:hint="eastAsia"/>
          <w:color w:val="000000" w:themeColor="text1"/>
          <w:kern w:val="0"/>
          <w:szCs w:val="21"/>
        </w:rPr>
        <w:t>4</w:t>
      </w:r>
      <w:r w:rsidR="004474F8"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sidR="00C86CD0">
        <w:rPr>
          <w:rFonts w:ascii="楷体_GB2312" w:eastAsia="楷体_GB2312" w:hAnsi="宋体" w:cs="宋体" w:hint="eastAsia"/>
          <w:color w:val="000000" w:themeColor="text1"/>
          <w:kern w:val="0"/>
          <w:szCs w:val="21"/>
        </w:rPr>
        <w:t>五</w:t>
      </w:r>
      <w:r w:rsidRPr="000E2698">
        <w:rPr>
          <w:rFonts w:ascii="楷体_GB2312" w:eastAsia="楷体_GB2312" w:hAnsi="宋体" w:cs="宋体" w:hint="eastAsia"/>
          <w:color w:val="000000" w:themeColor="text1"/>
          <w:kern w:val="0"/>
          <w:szCs w:val="21"/>
        </w:rPr>
        <w:t>年，经验丰富。</w:t>
      </w:r>
    </w:p>
    <w:p w:rsidR="00050159" w:rsidRPr="000E2698" w:rsidRDefault="00050159" w:rsidP="00410A8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9A0C76">
        <w:rPr>
          <w:rFonts w:ascii="楷体_GB2312" w:eastAsia="楷体_GB2312" w:hAnsi="宋体" w:cs="宋体" w:hint="eastAsia"/>
          <w:color w:val="000000" w:themeColor="text1"/>
          <w:kern w:val="0"/>
          <w:szCs w:val="21"/>
        </w:rPr>
        <w:t>三</w:t>
      </w:r>
      <w:r w:rsidR="00D74301">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9A0C76" w:rsidRPr="009A0C76">
        <w:rPr>
          <w:rFonts w:ascii="楷体_GB2312" w:eastAsia="楷体_GB2312" w:hAnsi="宋体" w:cs="宋体"/>
          <w:color w:val="000000" w:themeColor="text1"/>
          <w:kern w:val="0"/>
          <w:szCs w:val="21"/>
        </w:rPr>
        <w:t>32</w:t>
      </w:r>
      <w:r w:rsidR="009A0C76" w:rsidRPr="009A0C76">
        <w:rPr>
          <w:rFonts w:ascii="楷体_GB2312" w:eastAsia="楷体_GB2312" w:hAnsi="宋体" w:cs="宋体" w:hint="eastAsia"/>
          <w:color w:val="000000" w:themeColor="text1"/>
          <w:kern w:val="0"/>
          <w:szCs w:val="21"/>
        </w:rPr>
        <w:t>6</w:t>
      </w:r>
      <w:r w:rsidR="004474F8" w:rsidRPr="004474F8">
        <w:rPr>
          <w:rFonts w:ascii="楷体_GB2312" w:eastAsia="楷体_GB2312" w:hAnsi="宋体" w:cs="宋体" w:hint="eastAsia"/>
          <w:color w:val="000000" w:themeColor="text1"/>
          <w:kern w:val="0"/>
          <w:szCs w:val="21"/>
        </w:rPr>
        <w:t>亿份</w:t>
      </w:r>
      <w:r w:rsidR="006A523F">
        <w:rPr>
          <w:rFonts w:ascii="楷体_GB2312" w:eastAsia="楷体_GB2312" w:hAnsi="宋体" w:cs="宋体" w:hint="eastAsia"/>
          <w:color w:val="000000" w:themeColor="text1"/>
          <w:kern w:val="0"/>
          <w:szCs w:val="21"/>
        </w:rPr>
        <w:t>，</w:t>
      </w:r>
      <w:r w:rsidR="009A0C76">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流动性较好，历史管理业绩优秀，</w:t>
      </w:r>
      <w:r w:rsidR="002C72DB">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410A8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0D394E">
        <w:rPr>
          <w:rFonts w:ascii="黑体" w:eastAsia="黑体" w:hAnsi="宋体-18030" w:cs="宋体-18030" w:hint="eastAsia"/>
          <w:b/>
          <w:bCs/>
          <w:color w:val="003366"/>
          <w:kern w:val="44"/>
          <w:sz w:val="24"/>
        </w:rPr>
        <w:t>市场</w:t>
      </w:r>
      <w:r w:rsidR="00FB5967">
        <w:rPr>
          <w:rFonts w:ascii="黑体" w:eastAsia="黑体" w:hAnsi="宋体-18030" w:cs="宋体-18030" w:hint="eastAsia"/>
          <w:b/>
          <w:bCs/>
          <w:color w:val="003366"/>
          <w:kern w:val="44"/>
          <w:sz w:val="24"/>
        </w:rPr>
        <w:t>强劲攀升</w:t>
      </w:r>
      <w:r w:rsidR="000D394E">
        <w:rPr>
          <w:rFonts w:ascii="黑体" w:eastAsia="黑体" w:hAnsi="宋体-18030" w:cs="宋体-18030" w:hint="eastAsia"/>
          <w:b/>
          <w:bCs/>
          <w:color w:val="003366"/>
          <w:kern w:val="44"/>
          <w:sz w:val="24"/>
        </w:rPr>
        <w:t>，</w:t>
      </w:r>
      <w:r w:rsidR="0061266E">
        <w:rPr>
          <w:rFonts w:ascii="黑体" w:eastAsia="黑体" w:hAnsi="宋体-18030" w:cs="宋体-18030" w:hint="eastAsia"/>
          <w:b/>
          <w:bCs/>
          <w:color w:val="003366"/>
          <w:kern w:val="44"/>
          <w:sz w:val="24"/>
        </w:rPr>
        <w:t>市场风格</w:t>
      </w:r>
      <w:r w:rsidR="00305AD0">
        <w:rPr>
          <w:rFonts w:ascii="黑体" w:eastAsia="黑体" w:hAnsi="宋体-18030" w:cs="宋体-18030" w:hint="eastAsia"/>
          <w:b/>
          <w:bCs/>
          <w:color w:val="003366"/>
          <w:kern w:val="44"/>
          <w:sz w:val="24"/>
        </w:rPr>
        <w:t>大幅</w:t>
      </w:r>
      <w:r w:rsidR="0061266E">
        <w:rPr>
          <w:rFonts w:ascii="黑体" w:eastAsia="黑体" w:hAnsi="宋体-18030" w:cs="宋体-18030" w:hint="eastAsia"/>
          <w:b/>
          <w:bCs/>
          <w:color w:val="003366"/>
          <w:kern w:val="44"/>
          <w:sz w:val="24"/>
        </w:rPr>
        <w:t>分化</w:t>
      </w:r>
      <w:r w:rsidR="0061266E" w:rsidRPr="005E4592">
        <w:rPr>
          <w:rFonts w:ascii="黑体" w:eastAsia="黑体" w:hAnsi="宋体-18030" w:cs="宋体-18030"/>
          <w:b/>
          <w:bCs/>
          <w:color w:val="003366"/>
          <w:kern w:val="44"/>
          <w:sz w:val="24"/>
        </w:rPr>
        <w:t xml:space="preserve"> </w:t>
      </w:r>
    </w:p>
    <w:p w:rsidR="00485587" w:rsidRPr="003A2393" w:rsidRDefault="004403B5" w:rsidP="00410A84">
      <w:pPr>
        <w:spacing w:beforeLines="50"/>
        <w:ind w:leftChars="1350" w:left="2835" w:firstLineChars="202" w:firstLine="424"/>
        <w:rPr>
          <w:rFonts w:ascii="楷体_GB2312" w:eastAsia="楷体_GB2312" w:hAnsi="宋体" w:cs="宋体"/>
          <w:kern w:val="0"/>
          <w:szCs w:val="21"/>
        </w:rPr>
      </w:pPr>
      <w:r w:rsidRPr="008326EB">
        <w:rPr>
          <w:rFonts w:ascii="楷体_GB2312" w:eastAsia="楷体_GB2312" w:hAnsi="宋体" w:cs="宋体" w:hint="eastAsia"/>
          <w:kern w:val="0"/>
          <w:szCs w:val="21"/>
        </w:rPr>
        <w:t>12</w:t>
      </w:r>
      <w:r w:rsidR="005C4BA9" w:rsidRPr="008326EB">
        <w:rPr>
          <w:rFonts w:ascii="楷体_GB2312" w:eastAsia="楷体_GB2312" w:hAnsi="宋体" w:cs="宋体" w:hint="eastAsia"/>
          <w:kern w:val="0"/>
          <w:szCs w:val="21"/>
        </w:rPr>
        <w:t>月</w:t>
      </w:r>
      <w:r w:rsidR="00E307E5" w:rsidRPr="008326EB">
        <w:rPr>
          <w:rFonts w:ascii="楷体_GB2312" w:eastAsia="楷体_GB2312" w:hAnsi="宋体" w:cs="宋体" w:hint="eastAsia"/>
          <w:kern w:val="0"/>
          <w:szCs w:val="21"/>
        </w:rPr>
        <w:t>市场在</w:t>
      </w:r>
      <w:r w:rsidRPr="008326EB">
        <w:rPr>
          <w:rFonts w:ascii="楷体_GB2312" w:eastAsia="楷体_GB2312" w:hAnsi="宋体" w:cs="宋体" w:hint="eastAsia"/>
          <w:kern w:val="0"/>
          <w:szCs w:val="21"/>
        </w:rPr>
        <w:t>做多浪潮中持续攀升，</w:t>
      </w:r>
      <w:r w:rsidR="00454357" w:rsidRPr="008326EB">
        <w:rPr>
          <w:rFonts w:ascii="楷体_GB2312" w:eastAsia="楷体_GB2312" w:hAnsi="宋体" w:cs="宋体" w:hint="eastAsia"/>
          <w:kern w:val="0"/>
          <w:szCs w:val="21"/>
        </w:rPr>
        <w:t>股指强劲上涨，</w:t>
      </w:r>
      <w:r w:rsidRPr="008326EB">
        <w:rPr>
          <w:rFonts w:ascii="楷体_GB2312" w:eastAsia="楷体_GB2312" w:hAnsi="宋体" w:cs="宋体" w:hint="eastAsia"/>
          <w:kern w:val="0"/>
          <w:szCs w:val="21"/>
        </w:rPr>
        <w:t>截止</w:t>
      </w:r>
      <w:r w:rsidR="00454357" w:rsidRPr="008326EB">
        <w:rPr>
          <w:rFonts w:ascii="楷体_GB2312" w:eastAsia="楷体_GB2312" w:hAnsi="宋体" w:cs="宋体" w:hint="eastAsia"/>
          <w:kern w:val="0"/>
          <w:szCs w:val="21"/>
        </w:rPr>
        <w:t>12月30日</w:t>
      </w:r>
      <w:r w:rsidR="008326EB">
        <w:rPr>
          <w:rFonts w:ascii="楷体_GB2312" w:eastAsia="楷体_GB2312" w:hAnsi="宋体" w:cs="宋体" w:hint="eastAsia"/>
          <w:kern w:val="0"/>
          <w:szCs w:val="21"/>
        </w:rPr>
        <w:t>（以下同）</w:t>
      </w:r>
      <w:r w:rsidR="00454357" w:rsidRPr="008326EB">
        <w:rPr>
          <w:rFonts w:ascii="楷体_GB2312" w:eastAsia="楷体_GB2312" w:hAnsi="宋体" w:cs="宋体" w:hint="eastAsia"/>
          <w:kern w:val="0"/>
          <w:szCs w:val="21"/>
        </w:rPr>
        <w:t>当月</w:t>
      </w:r>
      <w:r w:rsidR="00485587" w:rsidRPr="008326EB">
        <w:rPr>
          <w:rFonts w:ascii="楷体_GB2312" w:eastAsia="楷体_GB2312" w:hAnsi="宋体" w:cs="宋体" w:hint="eastAsia"/>
          <w:kern w:val="0"/>
          <w:szCs w:val="21"/>
        </w:rPr>
        <w:t>上证指数上涨</w:t>
      </w:r>
      <w:r w:rsidR="00CD5FD9" w:rsidRPr="008326EB">
        <w:rPr>
          <w:rFonts w:ascii="楷体_GB2312" w:eastAsia="楷体_GB2312" w:hAnsi="宋体" w:cs="宋体"/>
          <w:kern w:val="0"/>
          <w:szCs w:val="21"/>
        </w:rPr>
        <w:t>18.00</w:t>
      </w:r>
      <w:r w:rsidR="00485587" w:rsidRPr="008326EB">
        <w:rPr>
          <w:rFonts w:ascii="楷体_GB2312" w:eastAsia="楷体_GB2312" w:hAnsi="宋体" w:cs="宋体" w:hint="eastAsia"/>
          <w:kern w:val="0"/>
          <w:szCs w:val="21"/>
        </w:rPr>
        <w:t>%，</w:t>
      </w:r>
      <w:r w:rsidR="005144A4" w:rsidRPr="008326EB">
        <w:rPr>
          <w:rFonts w:ascii="楷体_GB2312" w:eastAsia="楷体_GB2312" w:hAnsi="宋体" w:cs="宋体" w:hint="eastAsia"/>
          <w:kern w:val="0"/>
          <w:szCs w:val="21"/>
        </w:rPr>
        <w:t>是最近数年表现最为强劲的一月。</w:t>
      </w:r>
      <w:r w:rsidR="00CD5FD9" w:rsidRPr="008326EB">
        <w:rPr>
          <w:rFonts w:ascii="楷体_GB2312" w:eastAsia="楷体_GB2312" w:hAnsi="宋体" w:cs="宋体" w:hint="eastAsia"/>
          <w:kern w:val="0"/>
          <w:szCs w:val="21"/>
        </w:rPr>
        <w:t>但市场结构大幅分化，</w:t>
      </w:r>
      <w:r w:rsidR="00485587" w:rsidRPr="008326EB">
        <w:rPr>
          <w:rFonts w:ascii="楷体_GB2312" w:eastAsia="楷体_GB2312" w:hAnsi="宋体" w:cs="宋体" w:hint="eastAsia"/>
          <w:kern w:val="0"/>
          <w:szCs w:val="21"/>
        </w:rPr>
        <w:t>深圳综指</w:t>
      </w:r>
      <w:r w:rsidR="00CD5FD9" w:rsidRPr="008326EB">
        <w:rPr>
          <w:rFonts w:ascii="楷体_GB2312" w:eastAsia="楷体_GB2312" w:hAnsi="宋体" w:cs="宋体" w:hint="eastAsia"/>
          <w:kern w:val="0"/>
          <w:szCs w:val="21"/>
        </w:rPr>
        <w:t>下跌1</w:t>
      </w:r>
      <w:r w:rsidR="00CD5FD9" w:rsidRPr="008326EB">
        <w:rPr>
          <w:rFonts w:ascii="楷体_GB2312" w:eastAsia="楷体_GB2312" w:hAnsi="宋体" w:cs="宋体"/>
          <w:kern w:val="0"/>
          <w:szCs w:val="21"/>
        </w:rPr>
        <w:t>.</w:t>
      </w:r>
      <w:r w:rsidR="00CD5FD9" w:rsidRPr="008326EB">
        <w:rPr>
          <w:rFonts w:ascii="楷体_GB2312" w:eastAsia="楷体_GB2312" w:hAnsi="宋体" w:cs="宋体" w:hint="eastAsia"/>
          <w:kern w:val="0"/>
          <w:szCs w:val="21"/>
        </w:rPr>
        <w:t>53</w:t>
      </w:r>
      <w:r w:rsidR="00485587" w:rsidRPr="008326EB">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6A2497" w:rsidRPr="00051DF8" w:rsidTr="001279AB">
        <w:tc>
          <w:tcPr>
            <w:tcW w:w="4962"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819"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F11D24">
        <w:tc>
          <w:tcPr>
            <w:tcW w:w="4820" w:type="dxa"/>
            <w:tcBorders>
              <w:top w:val="single" w:sz="4" w:space="0" w:color="FF0000"/>
              <w:bottom w:val="single" w:sz="4" w:space="0" w:color="FF0000"/>
            </w:tcBorders>
          </w:tcPr>
          <w:p w:rsidR="006A2497" w:rsidRPr="00B22D95" w:rsidRDefault="00F11D24"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69865" cy="1857375"/>
                  <wp:effectExtent l="19050" t="0" r="1935"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969865" cy="1857375"/>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6A2497" w:rsidRPr="00B22D95" w:rsidRDefault="00CD5FD9" w:rsidP="001279AB">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9900" cy="18764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09900" cy="1876425"/>
                          </a:xfrm>
                          <a:prstGeom prst="rect">
                            <a:avLst/>
                          </a:prstGeom>
                          <a:noFill/>
                          <a:ln w="9525">
                            <a:noFill/>
                            <a:miter lim="800000"/>
                            <a:headEnd/>
                            <a:tailEnd/>
                          </a:ln>
                        </pic:spPr>
                      </pic:pic>
                    </a:graphicData>
                  </a:graphic>
                </wp:inline>
              </w:drawing>
            </w:r>
          </w:p>
        </w:tc>
      </w:tr>
    </w:tbl>
    <w:p w:rsidR="005578EC" w:rsidRPr="00156066"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897461" w:rsidRDefault="00F11D24"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以券商、保险为首的金融服务行业仍然是本月上涨主力，</w:t>
      </w:r>
      <w:r w:rsidR="00596219" w:rsidRPr="00596219">
        <w:rPr>
          <w:rFonts w:ascii="楷体_GB2312" w:eastAsia="楷体_GB2312" w:hAnsi="宋体" w:cs="宋体" w:hint="eastAsia"/>
          <w:kern w:val="0"/>
          <w:szCs w:val="21"/>
        </w:rPr>
        <w:t>非银金融</w:t>
      </w:r>
      <w:r w:rsidR="00596219">
        <w:rPr>
          <w:rFonts w:ascii="楷体_GB2312" w:eastAsia="楷体_GB2312" w:hAnsi="宋体" w:cs="宋体" w:hint="eastAsia"/>
          <w:kern w:val="0"/>
          <w:szCs w:val="21"/>
        </w:rPr>
        <w:t>、</w:t>
      </w:r>
      <w:r w:rsidR="00596219" w:rsidRPr="00596219">
        <w:rPr>
          <w:rFonts w:ascii="楷体_GB2312" w:eastAsia="楷体_GB2312" w:hAnsi="宋体" w:cs="宋体" w:hint="eastAsia"/>
          <w:kern w:val="0"/>
          <w:szCs w:val="21"/>
        </w:rPr>
        <w:t>建筑装饰</w:t>
      </w:r>
      <w:r w:rsidR="00596219">
        <w:rPr>
          <w:rFonts w:ascii="楷体_GB2312" w:eastAsia="楷体_GB2312" w:hAnsi="宋体" w:cs="宋体" w:hint="eastAsia"/>
          <w:kern w:val="0"/>
          <w:szCs w:val="21"/>
        </w:rPr>
        <w:t>、</w:t>
      </w:r>
      <w:r w:rsidR="00596219" w:rsidRPr="00596219">
        <w:rPr>
          <w:rFonts w:ascii="楷体_GB2312" w:eastAsia="楷体_GB2312" w:hAnsi="宋体" w:cs="宋体" w:hint="eastAsia"/>
          <w:kern w:val="0"/>
          <w:szCs w:val="21"/>
        </w:rPr>
        <w:t>银行</w:t>
      </w:r>
      <w:r w:rsidR="00FA15F1">
        <w:rPr>
          <w:rFonts w:ascii="楷体_GB2312" w:eastAsia="楷体_GB2312" w:hAnsi="宋体" w:cs="宋体" w:hint="eastAsia"/>
          <w:kern w:val="0"/>
          <w:szCs w:val="21"/>
        </w:rPr>
        <w:t>分别大涨</w:t>
      </w:r>
      <w:r w:rsidR="00596219">
        <w:rPr>
          <w:rFonts w:ascii="楷体_GB2312" w:eastAsia="楷体_GB2312" w:hAnsi="宋体" w:cs="宋体"/>
          <w:kern w:val="0"/>
          <w:szCs w:val="21"/>
        </w:rPr>
        <w:t>49.56</w:t>
      </w:r>
      <w:r w:rsidR="00596219">
        <w:rPr>
          <w:rFonts w:ascii="楷体_GB2312" w:eastAsia="楷体_GB2312" w:hAnsi="宋体" w:cs="宋体" w:hint="eastAsia"/>
          <w:kern w:val="0"/>
          <w:szCs w:val="21"/>
        </w:rPr>
        <w:t>%、</w:t>
      </w:r>
      <w:r w:rsidR="00596219" w:rsidRPr="00596219">
        <w:rPr>
          <w:rFonts w:ascii="楷体_GB2312" w:eastAsia="楷体_GB2312" w:hAnsi="宋体" w:cs="宋体"/>
          <w:kern w:val="0"/>
          <w:szCs w:val="21"/>
        </w:rPr>
        <w:t>36.29</w:t>
      </w:r>
      <w:r w:rsidR="00596219">
        <w:rPr>
          <w:rFonts w:ascii="楷体_GB2312" w:eastAsia="楷体_GB2312" w:hAnsi="宋体" w:cs="宋体" w:hint="eastAsia"/>
          <w:kern w:val="0"/>
          <w:szCs w:val="21"/>
        </w:rPr>
        <w:t>%、</w:t>
      </w:r>
      <w:r w:rsidR="00596219">
        <w:rPr>
          <w:rFonts w:ascii="楷体_GB2312" w:eastAsia="楷体_GB2312" w:hAnsi="宋体" w:cs="宋体"/>
          <w:kern w:val="0"/>
          <w:szCs w:val="21"/>
        </w:rPr>
        <w:t>29.63</w:t>
      </w:r>
      <w:r w:rsidR="008324CB">
        <w:rPr>
          <w:rFonts w:ascii="楷体_GB2312" w:eastAsia="楷体_GB2312" w:hAnsi="宋体" w:cs="宋体" w:hint="eastAsia"/>
          <w:kern w:val="0"/>
          <w:szCs w:val="21"/>
        </w:rPr>
        <w:t>%，</w:t>
      </w:r>
      <w:r w:rsidR="00FA15F1">
        <w:rPr>
          <w:rFonts w:ascii="楷体_GB2312" w:eastAsia="楷体_GB2312" w:hAnsi="宋体" w:cs="宋体" w:hint="eastAsia"/>
          <w:kern w:val="0"/>
          <w:szCs w:val="21"/>
        </w:rPr>
        <w:t>表现极为强劲</w:t>
      </w:r>
      <w:r w:rsidR="008324CB">
        <w:rPr>
          <w:rFonts w:ascii="楷体_GB2312" w:eastAsia="楷体_GB2312" w:hAnsi="宋体" w:cs="宋体" w:hint="eastAsia"/>
          <w:kern w:val="0"/>
          <w:szCs w:val="21"/>
        </w:rPr>
        <w:t>。</w:t>
      </w:r>
      <w:r w:rsidR="00596219" w:rsidRPr="00596219">
        <w:rPr>
          <w:rFonts w:ascii="楷体_GB2312" w:eastAsia="楷体_GB2312" w:hAnsi="宋体" w:cs="宋体" w:hint="eastAsia"/>
          <w:kern w:val="0"/>
          <w:szCs w:val="21"/>
        </w:rPr>
        <w:t>电子</w:t>
      </w:r>
      <w:r w:rsidR="00596219">
        <w:rPr>
          <w:rFonts w:ascii="楷体_GB2312" w:eastAsia="楷体_GB2312" w:hAnsi="宋体" w:cs="宋体" w:hint="eastAsia"/>
          <w:kern w:val="0"/>
          <w:szCs w:val="21"/>
        </w:rPr>
        <w:t>、</w:t>
      </w:r>
      <w:r w:rsidR="00596219" w:rsidRPr="00596219">
        <w:rPr>
          <w:rFonts w:ascii="楷体_GB2312" w:eastAsia="楷体_GB2312" w:hAnsi="宋体" w:cs="宋体" w:hint="eastAsia"/>
          <w:kern w:val="0"/>
          <w:szCs w:val="21"/>
        </w:rPr>
        <w:t>计算机</w:t>
      </w:r>
      <w:r w:rsidR="00596219">
        <w:rPr>
          <w:rFonts w:ascii="楷体_GB2312" w:eastAsia="楷体_GB2312" w:hAnsi="宋体" w:cs="宋体" w:hint="eastAsia"/>
          <w:kern w:val="0"/>
          <w:szCs w:val="21"/>
        </w:rPr>
        <w:t>、</w:t>
      </w:r>
      <w:r w:rsidR="00596219" w:rsidRPr="00596219">
        <w:rPr>
          <w:rFonts w:ascii="楷体_GB2312" w:eastAsia="楷体_GB2312" w:hAnsi="宋体" w:cs="宋体" w:hint="eastAsia"/>
          <w:kern w:val="0"/>
          <w:szCs w:val="21"/>
        </w:rPr>
        <w:t>轻工制造</w:t>
      </w:r>
      <w:r w:rsidR="00FA15F1">
        <w:rPr>
          <w:rFonts w:ascii="楷体_GB2312" w:eastAsia="楷体_GB2312" w:hAnsi="宋体" w:cs="宋体" w:hint="eastAsia"/>
          <w:kern w:val="0"/>
          <w:szCs w:val="21"/>
        </w:rPr>
        <w:t>等</w:t>
      </w:r>
      <w:r w:rsidR="008E3871">
        <w:rPr>
          <w:rFonts w:ascii="楷体_GB2312" w:eastAsia="楷体_GB2312" w:hAnsi="宋体" w:cs="宋体" w:hint="eastAsia"/>
          <w:kern w:val="0"/>
          <w:szCs w:val="21"/>
        </w:rPr>
        <w:t>前两年涨幅较好的新兴行业维持</w:t>
      </w:r>
      <w:r w:rsidR="00FA15F1">
        <w:rPr>
          <w:rFonts w:ascii="楷体_GB2312" w:eastAsia="楷体_GB2312" w:hAnsi="宋体" w:cs="宋体" w:hint="eastAsia"/>
          <w:kern w:val="0"/>
          <w:szCs w:val="21"/>
        </w:rPr>
        <w:t>低迷，月度指数分别</w:t>
      </w:r>
      <w:r w:rsidR="008E3871">
        <w:rPr>
          <w:rFonts w:ascii="楷体_GB2312" w:eastAsia="楷体_GB2312" w:hAnsi="宋体" w:cs="宋体" w:hint="eastAsia"/>
          <w:kern w:val="0"/>
          <w:szCs w:val="21"/>
        </w:rPr>
        <w:t>下跌</w:t>
      </w:r>
      <w:r w:rsidR="008E3871" w:rsidRPr="008E3871">
        <w:rPr>
          <w:rFonts w:ascii="楷体_GB2312" w:eastAsia="楷体_GB2312" w:hAnsi="宋体" w:cs="宋体"/>
          <w:kern w:val="0"/>
          <w:szCs w:val="21"/>
        </w:rPr>
        <w:t>10.81</w:t>
      </w:r>
      <w:r w:rsidR="008E3871">
        <w:rPr>
          <w:rFonts w:ascii="楷体_GB2312" w:eastAsia="楷体_GB2312" w:hAnsi="宋体" w:cs="宋体" w:hint="eastAsia"/>
          <w:kern w:val="0"/>
          <w:szCs w:val="21"/>
        </w:rPr>
        <w:t>%、</w:t>
      </w:r>
      <w:r w:rsidR="008E3871" w:rsidRPr="008E3871">
        <w:rPr>
          <w:rFonts w:ascii="楷体_GB2312" w:eastAsia="楷体_GB2312" w:hAnsi="宋体" w:cs="宋体"/>
          <w:kern w:val="0"/>
          <w:szCs w:val="21"/>
        </w:rPr>
        <w:t>8.05</w:t>
      </w:r>
      <w:r w:rsidR="008E3871">
        <w:rPr>
          <w:rFonts w:ascii="楷体_GB2312" w:eastAsia="楷体_GB2312" w:hAnsi="宋体" w:cs="宋体" w:hint="eastAsia"/>
          <w:kern w:val="0"/>
          <w:szCs w:val="21"/>
        </w:rPr>
        <w:t>%、</w:t>
      </w:r>
      <w:r w:rsidR="008E3871">
        <w:rPr>
          <w:rFonts w:ascii="楷体_GB2312" w:eastAsia="楷体_GB2312" w:hAnsi="宋体" w:cs="宋体"/>
          <w:kern w:val="0"/>
          <w:szCs w:val="21"/>
        </w:rPr>
        <w:t>7.70</w:t>
      </w:r>
      <w:r w:rsidR="00FA15F1">
        <w:rPr>
          <w:rFonts w:ascii="楷体_GB2312" w:eastAsia="楷体_GB2312" w:hAnsi="宋体" w:cs="宋体" w:hint="eastAsia"/>
          <w:kern w:val="0"/>
          <w:szCs w:val="21"/>
        </w:rPr>
        <w:t>%，</w:t>
      </w:r>
      <w:r w:rsidR="008E3871">
        <w:rPr>
          <w:rFonts w:ascii="楷体_GB2312" w:eastAsia="楷体_GB2312" w:hAnsi="宋体" w:cs="宋体" w:hint="eastAsia"/>
          <w:kern w:val="0"/>
          <w:szCs w:val="21"/>
        </w:rPr>
        <w:t>市场两级分化极为显著</w:t>
      </w:r>
      <w:r w:rsidR="006B4B54">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51039B" w:rsidRPr="00051DF8" w:rsidTr="00A422E1">
        <w:tc>
          <w:tcPr>
            <w:tcW w:w="4820" w:type="dxa"/>
            <w:gridSpan w:val="2"/>
            <w:tcBorders>
              <w:bottom w:val="single" w:sz="4" w:space="0" w:color="FF0000"/>
            </w:tcBorders>
          </w:tcPr>
          <w:p w:rsidR="0051039B" w:rsidRPr="00144B03" w:rsidRDefault="0051039B"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本月申万市场风格指数涨跌幅</w:t>
            </w:r>
            <w:r w:rsidRPr="00144B03">
              <w:rPr>
                <w:rFonts w:ascii="楷体_GB2312" w:eastAsia="楷体_GB2312" w:hint="eastAsia"/>
                <w:b/>
                <w:color w:val="000000"/>
                <w:sz w:val="18"/>
                <w:szCs w:val="18"/>
              </w:rPr>
              <w:t>（%）</w:t>
            </w:r>
          </w:p>
        </w:tc>
        <w:tc>
          <w:tcPr>
            <w:tcW w:w="4536" w:type="dxa"/>
            <w:tcBorders>
              <w:bottom w:val="single" w:sz="4" w:space="0" w:color="FF0000"/>
            </w:tcBorders>
          </w:tcPr>
          <w:p w:rsidR="0051039B" w:rsidRPr="00144B03" w:rsidRDefault="0051039B"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本月申万行业指数涨跌幅（</w:t>
            </w:r>
            <w:r w:rsidRPr="00144B03">
              <w:rPr>
                <w:rFonts w:ascii="楷体_GB2312" w:eastAsia="楷体_GB2312" w:hint="eastAsia"/>
                <w:b/>
                <w:color w:val="000000"/>
                <w:sz w:val="18"/>
                <w:szCs w:val="18"/>
              </w:rPr>
              <w:t>%）</w:t>
            </w:r>
          </w:p>
        </w:tc>
      </w:tr>
      <w:tr w:rsidR="0051039B" w:rsidRPr="00B22D95" w:rsidTr="00D41E03">
        <w:tc>
          <w:tcPr>
            <w:tcW w:w="4678" w:type="dxa"/>
            <w:tcBorders>
              <w:top w:val="single" w:sz="4" w:space="0" w:color="FF0000"/>
              <w:bottom w:val="single" w:sz="4" w:space="0" w:color="FF0000"/>
            </w:tcBorders>
          </w:tcPr>
          <w:p w:rsidR="0051039B" w:rsidRPr="00B22D95" w:rsidRDefault="00D41E03"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05125" cy="1936750"/>
                  <wp:effectExtent l="1905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srcRect/>
                          <a:stretch>
                            <a:fillRect/>
                          </a:stretch>
                        </pic:blipFill>
                        <pic:spPr bwMode="auto">
                          <a:xfrm>
                            <a:off x="0" y="0"/>
                            <a:ext cx="2905125" cy="193675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B22D95" w:rsidRDefault="008E3871" w:rsidP="0051039B">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952625"/>
                  <wp:effectExtent l="19050" t="0" r="9525" b="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828925" cy="1952625"/>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Pr>
          <w:rFonts w:ascii="楷体_GB2312" w:eastAsia="楷体_GB2312" w:hint="eastAsia"/>
          <w:noProof/>
          <w:color w:val="000000"/>
        </w:rPr>
        <w:t>来源：</w:t>
      </w:r>
      <w:r w:rsidR="0051039B" w:rsidRPr="00156066">
        <w:rPr>
          <w:rFonts w:ascii="楷体_GB2312" w:eastAsia="楷体_GB2312" w:hint="eastAsia"/>
          <w:noProof/>
          <w:color w:val="000000"/>
        </w:rPr>
        <w:t>wind</w:t>
      </w:r>
      <w:r w:rsidR="0051039B">
        <w:rPr>
          <w:rFonts w:ascii="楷体_GB2312" w:eastAsia="楷体_GB2312" w:hint="eastAsia"/>
          <w:noProof/>
          <w:color w:val="000000"/>
        </w:rPr>
        <w:t>，</w:t>
      </w:r>
      <w:r w:rsidR="0051039B" w:rsidRPr="00156066">
        <w:rPr>
          <w:rFonts w:ascii="楷体_GB2312" w:eastAsia="楷体_GB2312" w:hint="eastAsia"/>
          <w:noProof/>
          <w:color w:val="000000"/>
        </w:rPr>
        <w:t>上海证券基金评价研究中心</w:t>
      </w:r>
    </w:p>
    <w:p w:rsidR="00710D47" w:rsidRPr="00E60E2E" w:rsidRDefault="00397E22"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12</w:t>
      </w:r>
      <w:r w:rsidR="004F5E52" w:rsidRPr="000F78AB">
        <w:rPr>
          <w:rFonts w:ascii="楷体_GB2312" w:eastAsia="楷体_GB2312" w:hAnsi="宋体" w:cs="宋体" w:hint="eastAsia"/>
          <w:kern w:val="0"/>
          <w:szCs w:val="21"/>
        </w:rPr>
        <w:t>月</w:t>
      </w:r>
      <w:r w:rsidR="00710D47">
        <w:rPr>
          <w:rFonts w:ascii="楷体_GB2312" w:eastAsia="楷体_GB2312" w:hAnsi="宋体" w:cs="宋体" w:hint="eastAsia"/>
          <w:kern w:val="0"/>
          <w:szCs w:val="21"/>
        </w:rPr>
        <w:t>债券市场</w:t>
      </w:r>
      <w:r w:rsidR="00710D47" w:rsidRPr="008E1C0E">
        <w:rPr>
          <w:rFonts w:ascii="楷体_GB2312" w:eastAsia="楷体_GB2312" w:hAnsi="宋体" w:cs="宋体" w:hint="eastAsia"/>
          <w:color w:val="000000"/>
          <w:kern w:val="0"/>
          <w:szCs w:val="21"/>
        </w:rPr>
        <w:t>受去杠杆化、前期盈利兑付和股市走强引导资金流出的三重压力</w:t>
      </w:r>
      <w:r w:rsidR="00710D47">
        <w:rPr>
          <w:rFonts w:ascii="楷体_GB2312" w:eastAsia="楷体_GB2312" w:hAnsi="宋体" w:cs="宋体" w:hint="eastAsia"/>
          <w:color w:val="000000"/>
          <w:kern w:val="0"/>
          <w:szCs w:val="21"/>
        </w:rPr>
        <w:t>而出现小幅调整，中证全债指数下跌</w:t>
      </w:r>
      <w:r w:rsidR="00710D47" w:rsidRPr="00710D47">
        <w:rPr>
          <w:rFonts w:ascii="楷体_GB2312" w:eastAsia="楷体_GB2312" w:hAnsi="宋体" w:cs="宋体"/>
          <w:color w:val="000000"/>
          <w:kern w:val="0"/>
          <w:szCs w:val="21"/>
        </w:rPr>
        <w:t>0.25</w:t>
      </w:r>
      <w:r w:rsidR="00710D47">
        <w:rPr>
          <w:rFonts w:ascii="楷体_GB2312" w:eastAsia="楷体_GB2312" w:hAnsi="宋体" w:cs="宋体" w:hint="eastAsia"/>
          <w:color w:val="000000"/>
          <w:kern w:val="0"/>
          <w:szCs w:val="21"/>
        </w:rPr>
        <w:t>%。</w:t>
      </w:r>
      <w:r w:rsidR="00E60E2E" w:rsidRPr="000F78AB">
        <w:rPr>
          <w:rFonts w:ascii="楷体_GB2312" w:eastAsia="楷体_GB2312" w:hAnsi="宋体" w:cs="宋体" w:hint="eastAsia"/>
          <w:kern w:val="0"/>
          <w:szCs w:val="21"/>
        </w:rPr>
        <w:t>10年期固定利率国债收益率</w:t>
      </w:r>
      <w:r w:rsidR="00E60E2E">
        <w:rPr>
          <w:rFonts w:ascii="楷体_GB2312" w:eastAsia="楷体_GB2312" w:hAnsi="宋体" w:cs="宋体" w:hint="eastAsia"/>
          <w:kern w:val="0"/>
          <w:szCs w:val="21"/>
        </w:rPr>
        <w:t>上行9.7个BP，3个月及更短期限的国债收益率 上行幅度甚至超过20个BP。市场信用利差扩大</w:t>
      </w:r>
    </w:p>
    <w:p w:rsidR="00CD1083" w:rsidRDefault="00361703" w:rsidP="00410A84">
      <w:pPr>
        <w:spacing w:beforeLines="50"/>
        <w:ind w:leftChars="1350" w:left="2835" w:firstLineChars="202" w:firstLine="424"/>
        <w:rPr>
          <w:rFonts w:ascii="楷体_GB2312" w:eastAsia="楷体_GB2312" w:hAnsi="宋体" w:cs="宋体"/>
          <w:kern w:val="0"/>
          <w:szCs w:val="21"/>
        </w:rPr>
      </w:pPr>
      <w:r w:rsidRPr="000F78AB">
        <w:rPr>
          <w:rFonts w:ascii="楷体_GB2312" w:eastAsia="楷体_GB2312" w:hAnsi="宋体" w:cs="宋体" w:hint="eastAsia"/>
          <w:kern w:val="0"/>
          <w:szCs w:val="21"/>
        </w:rPr>
        <w:t>市场在降息和流动性缓解的推动下债市加速上涨</w:t>
      </w:r>
      <w:r w:rsidR="006B34B3" w:rsidRPr="000F78AB">
        <w:rPr>
          <w:rFonts w:ascii="楷体_GB2312" w:eastAsia="楷体_GB2312" w:hAnsi="宋体" w:cs="宋体" w:hint="eastAsia"/>
          <w:kern w:val="0"/>
          <w:szCs w:val="21"/>
        </w:rPr>
        <w:t>，</w:t>
      </w:r>
      <w:r w:rsidR="0022596E" w:rsidRPr="000F78AB">
        <w:rPr>
          <w:rFonts w:ascii="楷体_GB2312" w:eastAsia="楷体_GB2312" w:hAnsi="宋体" w:cs="宋体" w:hint="eastAsia"/>
          <w:kern w:val="0"/>
          <w:szCs w:val="21"/>
        </w:rPr>
        <w:t>10年期固定利率国债收益率下滑幅度高达</w:t>
      </w:r>
      <w:r w:rsidR="000F78AB" w:rsidRPr="000F78AB">
        <w:rPr>
          <w:rFonts w:ascii="楷体_GB2312" w:eastAsia="楷体_GB2312" w:hAnsi="宋体" w:cs="宋体" w:hint="eastAsia"/>
          <w:kern w:val="0"/>
          <w:szCs w:val="21"/>
        </w:rPr>
        <w:t>23.24</w:t>
      </w:r>
      <w:r w:rsidR="0022596E" w:rsidRPr="000F78AB">
        <w:rPr>
          <w:rFonts w:ascii="楷体_GB2312" w:eastAsia="楷体_GB2312" w:hAnsi="宋体" w:cs="宋体" w:hint="eastAsia"/>
          <w:kern w:val="0"/>
          <w:szCs w:val="21"/>
        </w:rPr>
        <w:t>BP</w:t>
      </w:r>
      <w:r w:rsidR="006B34B3" w:rsidRPr="000F78AB">
        <w:rPr>
          <w:rFonts w:ascii="楷体_GB2312" w:eastAsia="楷体_GB2312" w:hAnsi="宋体" w:cs="宋体" w:hint="eastAsia"/>
          <w:kern w:val="0"/>
          <w:szCs w:val="21"/>
        </w:rPr>
        <w:t>。</w:t>
      </w:r>
      <w:r w:rsidR="0036638A" w:rsidRPr="000F78AB">
        <w:rPr>
          <w:rFonts w:ascii="楷体_GB2312" w:eastAsia="楷体_GB2312" w:hAnsi="宋体" w:cs="宋体" w:hint="eastAsia"/>
          <w:kern w:val="0"/>
          <w:szCs w:val="21"/>
        </w:rPr>
        <w:t>信用债</w:t>
      </w:r>
      <w:r w:rsidR="000F78AB" w:rsidRPr="000F78AB">
        <w:rPr>
          <w:rFonts w:ascii="楷体_GB2312" w:eastAsia="楷体_GB2312" w:hAnsi="宋体" w:cs="宋体" w:hint="eastAsia"/>
          <w:kern w:val="0"/>
          <w:szCs w:val="21"/>
        </w:rPr>
        <w:t>表现更为出众，</w:t>
      </w:r>
      <w:r w:rsidR="00CD1083" w:rsidRPr="000F78AB">
        <w:rPr>
          <w:rFonts w:ascii="楷体_GB2312" w:eastAsia="楷体_GB2312" w:hAnsi="宋体" w:cs="宋体" w:hint="eastAsia"/>
          <w:kern w:val="0"/>
          <w:szCs w:val="21"/>
        </w:rPr>
        <w:t>10年期国债</w:t>
      </w:r>
      <w:r w:rsidR="00CD1083" w:rsidRPr="000F78AB">
        <w:rPr>
          <w:rFonts w:ascii="楷体_GB2312" w:eastAsia="楷体_GB2312" w:hAnsi="宋体" w:cs="宋体" w:hint="eastAsia"/>
          <w:kern w:val="0"/>
          <w:szCs w:val="21"/>
        </w:rPr>
        <w:lastRenderedPageBreak/>
        <w:t>和AAA企业债利差</w:t>
      </w:r>
      <w:r w:rsidR="002E2784">
        <w:rPr>
          <w:rFonts w:ascii="楷体_GB2312" w:eastAsia="楷体_GB2312" w:hAnsi="宋体" w:cs="宋体" w:hint="eastAsia"/>
          <w:kern w:val="0"/>
          <w:szCs w:val="21"/>
        </w:rPr>
        <w:t>扩大至137.76个BP,较上月末扩大了15.81</w:t>
      </w:r>
      <w:r w:rsidR="0036638A" w:rsidRPr="000F78AB">
        <w:rPr>
          <w:rFonts w:ascii="楷体_GB2312" w:eastAsia="楷体_GB2312" w:hAnsi="宋体" w:cs="宋体" w:hint="eastAsia"/>
          <w:kern w:val="0"/>
          <w:szCs w:val="21"/>
        </w:rPr>
        <w:t>BP</w:t>
      </w:r>
      <w:r w:rsidR="000F78AB" w:rsidRPr="000F78AB">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D0395D" w:rsidRPr="00051DF8" w:rsidTr="00A422E1">
        <w:tc>
          <w:tcPr>
            <w:tcW w:w="4820" w:type="dxa"/>
            <w:gridSpan w:val="2"/>
            <w:tcBorders>
              <w:bottom w:val="single" w:sz="4" w:space="0" w:color="FF0000"/>
            </w:tcBorders>
          </w:tcPr>
          <w:p w:rsidR="00D0395D" w:rsidRPr="00144B03" w:rsidRDefault="00D0395D" w:rsidP="008B536E">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图5、</w:t>
            </w:r>
            <w:r w:rsidR="004254ED">
              <w:rPr>
                <w:rFonts w:ascii="楷体_GB2312" w:eastAsia="楷体_GB2312" w:hint="eastAsia"/>
                <w:b/>
                <w:color w:val="000000"/>
                <w:sz w:val="18"/>
                <w:szCs w:val="18"/>
              </w:rPr>
              <w:t>国债收益率曲线</w:t>
            </w:r>
            <w:r w:rsidR="008B536E">
              <w:rPr>
                <w:rFonts w:ascii="楷体_GB2312" w:eastAsia="楷体_GB2312" w:hint="eastAsia"/>
                <w:b/>
                <w:color w:val="000000"/>
                <w:sz w:val="18"/>
                <w:szCs w:val="18"/>
              </w:rPr>
              <w:t>大幅下移</w:t>
            </w:r>
          </w:p>
        </w:tc>
        <w:tc>
          <w:tcPr>
            <w:tcW w:w="4536" w:type="dxa"/>
            <w:tcBorders>
              <w:bottom w:val="single" w:sz="4" w:space="0" w:color="FF0000"/>
            </w:tcBorders>
          </w:tcPr>
          <w:p w:rsidR="00D0395D" w:rsidRPr="00144B03" w:rsidRDefault="00D0395D" w:rsidP="008B536E">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图6、</w:t>
            </w:r>
            <w:r w:rsidR="004254ED">
              <w:rPr>
                <w:rFonts w:ascii="楷体_GB2312" w:eastAsia="楷体_GB2312" w:hint="eastAsia"/>
                <w:b/>
                <w:color w:val="000000"/>
                <w:sz w:val="18"/>
                <w:szCs w:val="18"/>
              </w:rPr>
              <w:t>国债和企业债利差</w:t>
            </w:r>
          </w:p>
        </w:tc>
      </w:tr>
      <w:tr w:rsidR="00D0395D" w:rsidRPr="00B22D95" w:rsidTr="00A422E1">
        <w:tc>
          <w:tcPr>
            <w:tcW w:w="4678" w:type="dxa"/>
            <w:tcBorders>
              <w:top w:val="single" w:sz="4" w:space="0" w:color="FF0000"/>
              <w:bottom w:val="single" w:sz="4" w:space="0" w:color="FF0000"/>
            </w:tcBorders>
          </w:tcPr>
          <w:p w:rsidR="00D0395D" w:rsidRPr="00B22D95" w:rsidRDefault="00D1772B"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2171700"/>
                  <wp:effectExtent l="1905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2828925" cy="217170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D0395D" w:rsidRPr="00B22D95" w:rsidRDefault="002E2784" w:rsidP="00A422E1">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2152650"/>
                  <wp:effectExtent l="1905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srcRect/>
                          <a:stretch>
                            <a:fillRect/>
                          </a:stretch>
                        </pic:blipFill>
                        <pic:spPr bwMode="auto">
                          <a:xfrm>
                            <a:off x="0" y="0"/>
                            <a:ext cx="2828925" cy="2152650"/>
                          </a:xfrm>
                          <a:prstGeom prst="rect">
                            <a:avLst/>
                          </a:prstGeom>
                          <a:noFill/>
                          <a:ln w="9525">
                            <a:noFill/>
                            <a:miter lim="800000"/>
                            <a:headEnd/>
                            <a:tailEnd/>
                          </a:ln>
                        </pic:spPr>
                      </pic:pic>
                    </a:graphicData>
                  </a:graphic>
                </wp:inline>
              </w:drawing>
            </w:r>
          </w:p>
        </w:tc>
      </w:tr>
    </w:tbl>
    <w:p w:rsidR="00D0395D" w:rsidRPr="00156066" w:rsidRDefault="00564B59" w:rsidP="00D0395D">
      <w:pPr>
        <w:rPr>
          <w:rFonts w:ascii="楷体_GB2312" w:eastAsia="楷体_GB2312"/>
          <w:noProof/>
          <w:color w:val="000000"/>
        </w:rPr>
      </w:pPr>
      <w:r>
        <w:rPr>
          <w:rFonts w:ascii="楷体_GB2312" w:eastAsia="楷体_GB2312" w:hint="eastAsia"/>
          <w:noProof/>
          <w:color w:val="000000"/>
        </w:rPr>
        <w:t>来源：</w:t>
      </w:r>
      <w:r w:rsidR="00D0395D" w:rsidRPr="00156066">
        <w:rPr>
          <w:rFonts w:ascii="楷体_GB2312" w:eastAsia="楷体_GB2312" w:hint="eastAsia"/>
          <w:noProof/>
          <w:color w:val="000000"/>
        </w:rPr>
        <w:t>wind</w:t>
      </w:r>
      <w:r w:rsidR="00D0395D">
        <w:rPr>
          <w:rFonts w:ascii="楷体_GB2312" w:eastAsia="楷体_GB2312" w:hint="eastAsia"/>
          <w:noProof/>
          <w:color w:val="000000"/>
        </w:rPr>
        <w:t>，</w:t>
      </w:r>
      <w:r w:rsidR="00D0395D" w:rsidRPr="00156066">
        <w:rPr>
          <w:rFonts w:ascii="楷体_GB2312" w:eastAsia="楷体_GB2312" w:hint="eastAsia"/>
          <w:noProof/>
          <w:color w:val="000000"/>
        </w:rPr>
        <w:t>上海证券基金评价研究中心</w:t>
      </w:r>
    </w:p>
    <w:p w:rsidR="00B32EE1" w:rsidRPr="005E4592" w:rsidRDefault="00217C1F" w:rsidP="00410A8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（二）基金市场回顾：</w:t>
      </w:r>
      <w:r w:rsidR="0024184D">
        <w:rPr>
          <w:rFonts w:ascii="黑体" w:eastAsia="黑体" w:hAnsi="宋体-18030" w:cs="宋体-18030" w:hint="eastAsia"/>
          <w:b/>
          <w:bCs/>
          <w:color w:val="003366"/>
          <w:kern w:val="44"/>
          <w:sz w:val="24"/>
        </w:rPr>
        <w:t>各类型基金业绩收正，</w:t>
      </w:r>
      <w:r w:rsidR="00FF7CDC" w:rsidRPr="00FF7CDC">
        <w:rPr>
          <w:rFonts w:ascii="黑体" w:eastAsia="黑体" w:hAnsi="宋体-18030" w:cs="宋体-18030" w:hint="eastAsia"/>
          <w:b/>
          <w:bCs/>
          <w:color w:val="003366"/>
          <w:kern w:val="44"/>
          <w:sz w:val="24"/>
        </w:rPr>
        <w:t>指数基金全月大涨</w:t>
      </w:r>
      <w:r w:rsidR="00E01670" w:rsidRPr="00E01670">
        <w:rPr>
          <w:rFonts w:ascii="黑体" w:eastAsia="黑体" w:hAnsi="宋体-18030" w:cs="宋体-18030"/>
          <w:b/>
          <w:bCs/>
          <w:color w:val="003366"/>
          <w:kern w:val="44"/>
          <w:sz w:val="24"/>
        </w:rPr>
        <w:t>13.33%</w:t>
      </w:r>
      <w:r w:rsidR="0024184D" w:rsidRPr="005E4592">
        <w:rPr>
          <w:rFonts w:ascii="黑体" w:eastAsia="黑体" w:hAnsi="宋体-18030" w:cs="宋体-18030"/>
          <w:b/>
          <w:bCs/>
          <w:color w:val="003366"/>
          <w:kern w:val="44"/>
          <w:sz w:val="24"/>
        </w:rPr>
        <w:t xml:space="preserve"> </w:t>
      </w:r>
    </w:p>
    <w:p w:rsidR="00657885" w:rsidRPr="007C2A2C" w:rsidRDefault="004403B5"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12</w:t>
      </w:r>
      <w:r w:rsidR="00CA5001">
        <w:rPr>
          <w:rFonts w:ascii="楷体_GB2312" w:eastAsia="楷体_GB2312" w:hAnsi="宋体" w:cs="宋体" w:hint="eastAsia"/>
          <w:kern w:val="0"/>
          <w:szCs w:val="21"/>
        </w:rPr>
        <w:t>月</w:t>
      </w:r>
      <w:r w:rsidR="001B622E">
        <w:rPr>
          <w:rFonts w:ascii="楷体_GB2312" w:eastAsia="楷体_GB2312" w:hAnsi="宋体" w:cs="宋体" w:hint="eastAsia"/>
          <w:kern w:val="0"/>
          <w:szCs w:val="21"/>
        </w:rPr>
        <w:t>在股债两市的推动下各类型基金</w:t>
      </w:r>
      <w:r w:rsidR="00633214">
        <w:rPr>
          <w:rFonts w:ascii="楷体_GB2312" w:eastAsia="楷体_GB2312" w:hAnsi="宋体" w:cs="宋体" w:hint="eastAsia"/>
          <w:kern w:val="0"/>
          <w:szCs w:val="21"/>
        </w:rPr>
        <w:t>整体</w:t>
      </w:r>
      <w:r w:rsidR="00657885">
        <w:rPr>
          <w:rFonts w:ascii="楷体_GB2312" w:eastAsia="楷体_GB2312" w:hAnsi="宋体" w:cs="宋体" w:hint="eastAsia"/>
          <w:kern w:val="0"/>
          <w:szCs w:val="21"/>
        </w:rPr>
        <w:t>业绩收正</w:t>
      </w:r>
      <w:r w:rsidR="00FF7CDC">
        <w:rPr>
          <w:rFonts w:ascii="楷体_GB2312" w:eastAsia="楷体_GB2312" w:hAnsi="宋体" w:cs="宋体" w:hint="eastAsia"/>
          <w:kern w:val="0"/>
          <w:szCs w:val="21"/>
        </w:rPr>
        <w:t>，</w:t>
      </w:r>
      <w:r w:rsidR="003300D4">
        <w:rPr>
          <w:rFonts w:ascii="楷体_GB2312" w:eastAsia="楷体_GB2312" w:hAnsi="宋体" w:cs="宋体" w:hint="eastAsia"/>
          <w:kern w:val="0"/>
          <w:szCs w:val="21"/>
        </w:rPr>
        <w:t>突如其来的</w:t>
      </w:r>
      <w:r w:rsidR="00D771FA">
        <w:rPr>
          <w:rFonts w:ascii="楷体_GB2312" w:eastAsia="楷体_GB2312" w:hAnsi="宋体" w:cs="宋体" w:hint="eastAsia"/>
          <w:kern w:val="0"/>
          <w:szCs w:val="21"/>
        </w:rPr>
        <w:t>牛市</w:t>
      </w:r>
      <w:r w:rsidR="003300D4">
        <w:rPr>
          <w:rFonts w:ascii="楷体_GB2312" w:eastAsia="楷体_GB2312" w:hAnsi="宋体" w:cs="宋体" w:hint="eastAsia"/>
          <w:kern w:val="0"/>
          <w:szCs w:val="21"/>
        </w:rPr>
        <w:t>环境中，</w:t>
      </w:r>
      <w:r w:rsidR="00D771FA">
        <w:rPr>
          <w:rFonts w:ascii="楷体_GB2312" w:eastAsia="楷体_GB2312" w:hAnsi="宋体" w:cs="宋体" w:hint="eastAsia"/>
          <w:kern w:val="0"/>
          <w:szCs w:val="21"/>
        </w:rPr>
        <w:t>指数基金</w:t>
      </w:r>
      <w:r w:rsidR="00E01670">
        <w:rPr>
          <w:rFonts w:ascii="楷体_GB2312" w:eastAsia="楷体_GB2312" w:hAnsi="宋体" w:cs="宋体" w:hint="eastAsia"/>
          <w:kern w:val="0"/>
          <w:szCs w:val="21"/>
        </w:rPr>
        <w:t>继续强劲领先</w:t>
      </w:r>
      <w:r w:rsidR="00FF7CDC">
        <w:rPr>
          <w:rFonts w:ascii="楷体_GB2312" w:eastAsia="楷体_GB2312" w:hAnsi="宋体" w:cs="宋体" w:hint="eastAsia"/>
          <w:kern w:val="0"/>
          <w:szCs w:val="21"/>
        </w:rPr>
        <w:t>，</w:t>
      </w:r>
      <w:r w:rsidR="00D771FA">
        <w:rPr>
          <w:rFonts w:ascii="楷体_GB2312" w:eastAsia="楷体_GB2312" w:hAnsi="宋体" w:cs="宋体" w:hint="eastAsia"/>
          <w:kern w:val="0"/>
          <w:szCs w:val="21"/>
        </w:rPr>
        <w:t>全月大涨</w:t>
      </w:r>
      <w:r w:rsidR="00E01670">
        <w:rPr>
          <w:rFonts w:ascii="楷体_GB2312" w:eastAsia="楷体_GB2312" w:hAnsi="宋体" w:cs="宋体" w:hint="eastAsia"/>
          <w:kern w:val="0"/>
          <w:szCs w:val="21"/>
        </w:rPr>
        <w:t>13</w:t>
      </w:r>
      <w:r w:rsidR="00E01670">
        <w:rPr>
          <w:rFonts w:ascii="楷体_GB2312" w:eastAsia="楷体_GB2312" w:hAnsi="宋体" w:cs="宋体"/>
          <w:kern w:val="0"/>
          <w:szCs w:val="21"/>
        </w:rPr>
        <w:t>.</w:t>
      </w:r>
      <w:r w:rsidR="00E01670">
        <w:rPr>
          <w:rFonts w:ascii="楷体_GB2312" w:eastAsia="楷体_GB2312" w:hAnsi="宋体" w:cs="宋体" w:hint="eastAsia"/>
          <w:kern w:val="0"/>
          <w:szCs w:val="21"/>
        </w:rPr>
        <w:t>3</w:t>
      </w:r>
      <w:r w:rsidR="00D771FA" w:rsidRPr="00D771FA">
        <w:rPr>
          <w:rFonts w:ascii="楷体_GB2312" w:eastAsia="楷体_GB2312" w:hAnsi="宋体" w:cs="宋体"/>
          <w:kern w:val="0"/>
          <w:szCs w:val="21"/>
        </w:rPr>
        <w:t>3%</w:t>
      </w:r>
      <w:r w:rsidR="00D771FA">
        <w:rPr>
          <w:rFonts w:ascii="楷体_GB2312" w:eastAsia="楷体_GB2312" w:hAnsi="宋体" w:cs="宋体" w:hint="eastAsia"/>
          <w:kern w:val="0"/>
          <w:szCs w:val="21"/>
        </w:rPr>
        <w:t>，</w:t>
      </w:r>
      <w:r w:rsidR="00FF7CDC">
        <w:rPr>
          <w:rFonts w:ascii="楷体_GB2312" w:eastAsia="楷体_GB2312" w:hAnsi="宋体" w:cs="宋体" w:hint="eastAsia"/>
          <w:kern w:val="0"/>
          <w:szCs w:val="21"/>
        </w:rPr>
        <w:t>而主动投资偏股型基金</w:t>
      </w:r>
      <w:r w:rsidR="00E01670">
        <w:rPr>
          <w:rFonts w:ascii="楷体_GB2312" w:eastAsia="楷体_GB2312" w:hAnsi="宋体" w:cs="宋体" w:hint="eastAsia"/>
          <w:kern w:val="0"/>
          <w:szCs w:val="21"/>
        </w:rPr>
        <w:t>仍然</w:t>
      </w:r>
      <w:r w:rsidR="00FF7CDC">
        <w:rPr>
          <w:rFonts w:ascii="楷体_GB2312" w:eastAsia="楷体_GB2312" w:hAnsi="宋体" w:cs="宋体" w:hint="eastAsia"/>
          <w:kern w:val="0"/>
          <w:szCs w:val="21"/>
        </w:rPr>
        <w:t>未在狂热的</w:t>
      </w:r>
      <w:r w:rsidR="00E01670">
        <w:rPr>
          <w:rFonts w:ascii="楷体_GB2312" w:eastAsia="楷体_GB2312" w:hAnsi="宋体" w:cs="宋体" w:hint="eastAsia"/>
          <w:kern w:val="0"/>
          <w:szCs w:val="21"/>
        </w:rPr>
        <w:t>蓝筹</w:t>
      </w:r>
      <w:r w:rsidR="00FF7CDC">
        <w:rPr>
          <w:rFonts w:ascii="楷体_GB2312" w:eastAsia="楷体_GB2312" w:hAnsi="宋体" w:cs="宋体" w:hint="eastAsia"/>
          <w:kern w:val="0"/>
          <w:szCs w:val="21"/>
        </w:rPr>
        <w:t>行情获得足够收益</w:t>
      </w:r>
      <w:r w:rsidR="000C690A">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E01670">
        <w:trPr>
          <w:trHeight w:val="3184"/>
        </w:trPr>
        <w:tc>
          <w:tcPr>
            <w:tcW w:w="6521" w:type="dxa"/>
            <w:tcBorders>
              <w:top w:val="single" w:sz="4" w:space="0" w:color="FF0000"/>
              <w:bottom w:val="single" w:sz="4" w:space="0" w:color="FF0000"/>
            </w:tcBorders>
          </w:tcPr>
          <w:p w:rsidR="00D81F4D" w:rsidRPr="00F15A8A" w:rsidRDefault="00E01670"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14750" cy="1895475"/>
                  <wp:effectExtent l="1905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cstate="print"/>
                          <a:srcRect/>
                          <a:stretch>
                            <a:fillRect/>
                          </a:stretch>
                        </pic:blipFill>
                        <pic:spPr bwMode="auto">
                          <a:xfrm>
                            <a:off x="0" y="0"/>
                            <a:ext cx="3714750" cy="1895475"/>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C4683B" w:rsidRPr="005059AD" w:rsidRDefault="00564B59" w:rsidP="00055FBF">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r w:rsidR="008326EB">
              <w:rPr>
                <w:rFonts w:ascii="楷体_GB2312" w:eastAsia="楷体_GB2312" w:hint="eastAsia"/>
                <w:i/>
                <w:color w:val="000000"/>
                <w:sz w:val="18"/>
                <w:szCs w:val="18"/>
              </w:rPr>
              <w:t>（截止2014年12月30日）</w:t>
            </w:r>
          </w:p>
        </w:tc>
      </w:tr>
    </w:tbl>
    <w:p w:rsidR="00831030" w:rsidRPr="005E4592" w:rsidRDefault="00217C1F" w:rsidP="00410A8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831030" w:rsidRPr="005E4592">
        <w:rPr>
          <w:rFonts w:ascii="黑体" w:eastAsia="黑体" w:hAnsi="宋体-18030" w:cs="宋体-18030" w:hint="eastAsia"/>
          <w:b/>
          <w:bCs/>
          <w:color w:val="003366"/>
          <w:kern w:val="44"/>
          <w:sz w:val="24"/>
        </w:rPr>
        <w:t>影响市场的信息</w:t>
      </w:r>
      <w:r w:rsidR="00873401" w:rsidRPr="005E4592">
        <w:rPr>
          <w:rFonts w:ascii="黑体" w:eastAsia="黑体" w:hAnsi="宋体-18030" w:cs="宋体-18030" w:hint="eastAsia"/>
          <w:b/>
          <w:bCs/>
          <w:color w:val="003366"/>
          <w:kern w:val="44"/>
          <w:sz w:val="24"/>
        </w:rPr>
        <w:t>和数据</w:t>
      </w:r>
    </w:p>
    <w:p w:rsidR="00E50404" w:rsidRDefault="000C690A"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w:t>
      </w:r>
      <w:r w:rsidR="00037A3C">
        <w:rPr>
          <w:rFonts w:ascii="楷体_GB2312" w:eastAsia="楷体_GB2312" w:hAnsi="宋体" w:cs="宋体" w:hint="eastAsia"/>
          <w:kern w:val="0"/>
          <w:szCs w:val="21"/>
        </w:rPr>
        <w:t>2</w:t>
      </w:r>
      <w:r w:rsidR="008F4A34" w:rsidRPr="0000791E">
        <w:rPr>
          <w:rFonts w:ascii="楷体_GB2312" w:eastAsia="楷体_GB2312" w:hAnsi="宋体" w:cs="宋体" w:hint="eastAsia"/>
          <w:kern w:val="0"/>
          <w:szCs w:val="21"/>
        </w:rPr>
        <w:t>月</w:t>
      </w:r>
      <w:r w:rsidR="008F4A34">
        <w:rPr>
          <w:rFonts w:ascii="楷体_GB2312" w:eastAsia="楷体_GB2312" w:hAnsi="宋体" w:cs="宋体" w:hint="eastAsia"/>
          <w:kern w:val="0"/>
          <w:szCs w:val="21"/>
        </w:rPr>
        <w:t>欧元区</w:t>
      </w:r>
      <w:r>
        <w:rPr>
          <w:rFonts w:ascii="楷体_GB2312" w:eastAsia="楷体_GB2312" w:hAnsi="宋体" w:cs="宋体" w:hint="eastAsia"/>
          <w:kern w:val="0"/>
          <w:szCs w:val="21"/>
        </w:rPr>
        <w:t>维持</w:t>
      </w:r>
      <w:r w:rsidR="00E50404">
        <w:rPr>
          <w:rFonts w:ascii="楷体_GB2312" w:eastAsia="楷体_GB2312" w:hAnsi="宋体" w:cs="宋体" w:hint="eastAsia"/>
          <w:kern w:val="0"/>
          <w:szCs w:val="21"/>
        </w:rPr>
        <w:t>原有</w:t>
      </w:r>
      <w:r>
        <w:rPr>
          <w:rFonts w:ascii="楷体_GB2312" w:eastAsia="楷体_GB2312" w:hAnsi="宋体" w:cs="宋体" w:hint="eastAsia"/>
          <w:kern w:val="0"/>
          <w:szCs w:val="21"/>
        </w:rPr>
        <w:t>颓势</w:t>
      </w:r>
      <w:r w:rsidR="008F4A34">
        <w:rPr>
          <w:rFonts w:ascii="楷体_GB2312" w:eastAsia="楷体_GB2312" w:hAnsi="宋体" w:cs="宋体" w:hint="eastAsia"/>
          <w:kern w:val="0"/>
          <w:szCs w:val="21"/>
        </w:rPr>
        <w:t>，</w:t>
      </w:r>
      <w:r w:rsidR="00E50404">
        <w:rPr>
          <w:rFonts w:ascii="楷体_GB2312" w:eastAsia="楷体_GB2312" w:hAnsi="宋体" w:cs="宋体" w:hint="eastAsia"/>
          <w:kern w:val="0"/>
          <w:szCs w:val="21"/>
        </w:rPr>
        <w:t>工业生产维持低位，</w:t>
      </w:r>
      <w:r w:rsidR="00DA0180">
        <w:rPr>
          <w:rFonts w:ascii="楷体_GB2312" w:eastAsia="楷体_GB2312" w:hAnsi="宋体" w:cs="宋体" w:hint="eastAsia"/>
          <w:kern w:val="0"/>
          <w:szCs w:val="21"/>
        </w:rPr>
        <w:t>通缩明显</w:t>
      </w:r>
      <w:r w:rsidR="00E50404">
        <w:rPr>
          <w:rFonts w:ascii="楷体_GB2312" w:eastAsia="楷体_GB2312" w:hAnsi="宋体" w:cs="宋体" w:hint="eastAsia"/>
          <w:kern w:val="0"/>
          <w:szCs w:val="21"/>
        </w:rPr>
        <w:t>，</w:t>
      </w:r>
      <w:r w:rsidR="00DA0180">
        <w:rPr>
          <w:rFonts w:ascii="楷体_GB2312" w:eastAsia="楷体_GB2312" w:hAnsi="宋体" w:cs="宋体" w:hint="eastAsia"/>
          <w:kern w:val="0"/>
          <w:szCs w:val="21"/>
        </w:rPr>
        <w:t>经济景气指数低位波动。</w:t>
      </w:r>
      <w:r w:rsidR="00037A3C">
        <w:rPr>
          <w:rFonts w:ascii="楷体_GB2312" w:eastAsia="楷体_GB2312" w:hAnsi="宋体" w:cs="宋体" w:hint="eastAsia"/>
          <w:kern w:val="0"/>
          <w:szCs w:val="21"/>
        </w:rPr>
        <w:t>货币供应量加速放大。更令人担忧的是，希腊证据出现变数，同时欧洲和俄罗斯的政治对立也愈发严峻。</w:t>
      </w:r>
    </w:p>
    <w:p w:rsidR="0036528C" w:rsidRDefault="0036528C" w:rsidP="00410A84">
      <w:pPr>
        <w:spacing w:beforeLines="50"/>
        <w:ind w:leftChars="1350" w:left="2835" w:firstLineChars="202" w:firstLine="424"/>
        <w:rPr>
          <w:rFonts w:ascii="楷体_GB2312" w:eastAsia="楷体_GB2312" w:hAnsi="宋体" w:cs="宋体"/>
          <w:kern w:val="0"/>
          <w:szCs w:val="21"/>
        </w:rPr>
      </w:pPr>
    </w:p>
    <w:p w:rsidR="00305AD0" w:rsidRDefault="00305AD0" w:rsidP="00410A84">
      <w:pPr>
        <w:spacing w:beforeLines="50"/>
        <w:ind w:leftChars="1350" w:left="2835" w:firstLineChars="202" w:firstLine="424"/>
        <w:rPr>
          <w:rFonts w:ascii="楷体_GB2312" w:eastAsia="楷体_GB2312" w:hAnsi="宋体" w:cs="宋体"/>
          <w:kern w:val="0"/>
          <w:szCs w:val="21"/>
        </w:rPr>
      </w:pPr>
    </w:p>
    <w:p w:rsidR="0036528C" w:rsidRDefault="0036528C" w:rsidP="00410A84">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A67714" w:rsidRPr="00051DF8" w:rsidTr="00A422E1">
        <w:tc>
          <w:tcPr>
            <w:tcW w:w="4820" w:type="dxa"/>
            <w:gridSpan w:val="2"/>
            <w:tcBorders>
              <w:bottom w:val="single" w:sz="4" w:space="0" w:color="FF0000"/>
            </w:tcBorders>
          </w:tcPr>
          <w:p w:rsidR="00A67714" w:rsidRPr="00144B03" w:rsidRDefault="00A67714" w:rsidP="007154CF">
            <w:pPr>
              <w:spacing w:line="360" w:lineRule="auto"/>
              <w:ind w:left="33" w:hangingChars="18" w:hanging="33"/>
              <w:jc w:val="left"/>
              <w:rPr>
                <w:rFonts w:ascii="楷体_GB2312" w:eastAsia="楷体_GB2312"/>
                <w:b/>
                <w:color w:val="000000"/>
                <w:sz w:val="18"/>
                <w:szCs w:val="18"/>
              </w:rPr>
            </w:pPr>
            <w:r w:rsidRPr="00A212A2">
              <w:rPr>
                <w:rFonts w:ascii="楷体_GB2312" w:eastAsia="楷体_GB2312" w:hint="eastAsia"/>
                <w:b/>
                <w:color w:val="000000"/>
                <w:sz w:val="18"/>
                <w:szCs w:val="18"/>
              </w:rPr>
              <w:lastRenderedPageBreak/>
              <w:t>图</w:t>
            </w:r>
            <w:r w:rsidR="005E24D9" w:rsidRPr="00A212A2">
              <w:rPr>
                <w:rFonts w:ascii="楷体_GB2312" w:eastAsia="楷体_GB2312" w:hint="eastAsia"/>
                <w:b/>
                <w:color w:val="000000"/>
                <w:sz w:val="18"/>
                <w:szCs w:val="18"/>
              </w:rPr>
              <w:t>8</w:t>
            </w:r>
            <w:r w:rsidRPr="00A212A2">
              <w:rPr>
                <w:rFonts w:ascii="楷体_GB2312" w:eastAsia="楷体_GB2312" w:hint="eastAsia"/>
                <w:b/>
                <w:color w:val="000000"/>
                <w:sz w:val="18"/>
                <w:szCs w:val="18"/>
              </w:rPr>
              <w:t>、</w:t>
            </w:r>
            <w:r w:rsidR="00F211B3" w:rsidRPr="00A212A2">
              <w:rPr>
                <w:rFonts w:ascii="楷体_GB2312" w:eastAsia="楷体_GB2312" w:hint="eastAsia"/>
                <w:b/>
                <w:color w:val="000000"/>
                <w:sz w:val="18"/>
                <w:szCs w:val="18"/>
              </w:rPr>
              <w:t>欧</w:t>
            </w:r>
            <w:r w:rsidR="00F211B3">
              <w:rPr>
                <w:rFonts w:ascii="楷体_GB2312" w:eastAsia="楷体_GB2312" w:hint="eastAsia"/>
                <w:b/>
                <w:color w:val="000000"/>
                <w:sz w:val="18"/>
                <w:szCs w:val="18"/>
              </w:rPr>
              <w:t>盟：工业生产指数：同比（%）</w:t>
            </w:r>
          </w:p>
        </w:tc>
        <w:tc>
          <w:tcPr>
            <w:tcW w:w="4536" w:type="dxa"/>
            <w:tcBorders>
              <w:bottom w:val="single" w:sz="4" w:space="0" w:color="FF0000"/>
            </w:tcBorders>
          </w:tcPr>
          <w:p w:rsidR="00A67714" w:rsidRPr="00144B03" w:rsidRDefault="00404984" w:rsidP="00F211B3">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9</w:t>
            </w:r>
            <w:r w:rsidRPr="00144B03">
              <w:rPr>
                <w:rFonts w:ascii="楷体_GB2312" w:eastAsia="楷体_GB2312" w:hint="eastAsia"/>
                <w:b/>
                <w:color w:val="000000"/>
                <w:sz w:val="18"/>
                <w:szCs w:val="18"/>
              </w:rPr>
              <w:t>、</w:t>
            </w:r>
            <w:r w:rsidR="00F211B3">
              <w:rPr>
                <w:rFonts w:ascii="楷体_GB2312" w:eastAsia="楷体_GB2312" w:hint="eastAsia"/>
                <w:b/>
                <w:color w:val="000000"/>
                <w:sz w:val="18"/>
                <w:szCs w:val="18"/>
              </w:rPr>
              <w:t>欧元区</w:t>
            </w:r>
            <w:r w:rsidR="007154CF">
              <w:rPr>
                <w:rFonts w:ascii="楷体_GB2312" w:eastAsia="楷体_GB2312" w:hint="eastAsia"/>
                <w:b/>
                <w:color w:val="000000"/>
                <w:sz w:val="18"/>
                <w:szCs w:val="18"/>
              </w:rPr>
              <w:t>：</w:t>
            </w:r>
            <w:r w:rsidR="00F211B3">
              <w:rPr>
                <w:rFonts w:ascii="楷体_GB2312" w:eastAsia="楷体_GB2312" w:hint="eastAsia"/>
                <w:b/>
                <w:color w:val="000000"/>
                <w:sz w:val="18"/>
                <w:szCs w:val="18"/>
              </w:rPr>
              <w:t>M3（百万欧元</w:t>
            </w:r>
            <w:r w:rsidR="007154CF">
              <w:rPr>
                <w:rFonts w:ascii="楷体_GB2312" w:eastAsia="楷体_GB2312" w:hint="eastAsia"/>
                <w:b/>
                <w:color w:val="000000"/>
                <w:sz w:val="18"/>
                <w:szCs w:val="18"/>
              </w:rPr>
              <w:t>）</w:t>
            </w:r>
          </w:p>
        </w:tc>
      </w:tr>
      <w:tr w:rsidR="00A67714" w:rsidRPr="00B22D95" w:rsidTr="00A422E1">
        <w:tc>
          <w:tcPr>
            <w:tcW w:w="4678" w:type="dxa"/>
            <w:tcBorders>
              <w:top w:val="single" w:sz="4" w:space="0" w:color="FF0000"/>
              <w:bottom w:val="single" w:sz="4" w:space="0" w:color="FF0000"/>
            </w:tcBorders>
          </w:tcPr>
          <w:p w:rsidR="00A67714" w:rsidRPr="00B22D95" w:rsidRDefault="00F211B3" w:rsidP="00A422E1">
            <w:pPr>
              <w:spacing w:line="360" w:lineRule="auto"/>
              <w:ind w:leftChars="16" w:left="34"/>
              <w:rPr>
                <w:rFonts w:ascii="楷体_GB2312" w:eastAsia="楷体_GB2312"/>
                <w:color w:val="000000"/>
                <w:sz w:val="18"/>
                <w:szCs w:val="18"/>
              </w:rPr>
            </w:pPr>
            <w:r w:rsidRPr="00F211B3">
              <w:rPr>
                <w:rFonts w:ascii="楷体_GB2312" w:eastAsia="楷体_GB2312"/>
                <w:noProof/>
                <w:color w:val="000000"/>
                <w:sz w:val="18"/>
                <w:szCs w:val="18"/>
              </w:rPr>
              <w:drawing>
                <wp:inline distT="0" distB="0" distL="0" distR="0">
                  <wp:extent cx="2828925" cy="1371600"/>
                  <wp:effectExtent l="19050" t="0" r="9525" b="0"/>
                  <wp:docPr id="23"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srcRect/>
                          <a:stretch>
                            <a:fillRect/>
                          </a:stretch>
                        </pic:blipFill>
                        <pic:spPr bwMode="auto">
                          <a:xfrm>
                            <a:off x="0" y="0"/>
                            <a:ext cx="2828925" cy="137160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A67714" w:rsidRPr="00B22D95" w:rsidRDefault="00F211B3" w:rsidP="007154CF">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828925" cy="1381125"/>
                  <wp:effectExtent l="1905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srcRect/>
                          <a:stretch>
                            <a:fillRect/>
                          </a:stretch>
                        </pic:blipFill>
                        <pic:spPr bwMode="auto">
                          <a:xfrm>
                            <a:off x="0" y="0"/>
                            <a:ext cx="2828925" cy="1381125"/>
                          </a:xfrm>
                          <a:prstGeom prst="rect">
                            <a:avLst/>
                          </a:prstGeom>
                          <a:noFill/>
                          <a:ln w="9525">
                            <a:noFill/>
                            <a:miter lim="800000"/>
                            <a:headEnd/>
                            <a:tailEnd/>
                          </a:ln>
                        </pic:spPr>
                      </pic:pic>
                    </a:graphicData>
                  </a:graphic>
                </wp:inline>
              </w:drawing>
            </w:r>
          </w:p>
        </w:tc>
      </w:tr>
    </w:tbl>
    <w:p w:rsidR="00A67714" w:rsidRPr="00156066" w:rsidRDefault="00A67714" w:rsidP="00A67714">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tbl>
      <w:tblPr>
        <w:tblW w:w="9356" w:type="dxa"/>
        <w:tblInd w:w="-34" w:type="dxa"/>
        <w:tblLayout w:type="fixed"/>
        <w:tblLook w:val="04A0"/>
      </w:tblPr>
      <w:tblGrid>
        <w:gridCol w:w="4678"/>
        <w:gridCol w:w="142"/>
        <w:gridCol w:w="4536"/>
      </w:tblGrid>
      <w:tr w:rsidR="005C2193" w:rsidRPr="00051DF8" w:rsidTr="00AB5F14">
        <w:tc>
          <w:tcPr>
            <w:tcW w:w="4820" w:type="dxa"/>
            <w:gridSpan w:val="2"/>
            <w:tcBorders>
              <w:bottom w:val="single" w:sz="4" w:space="0" w:color="FF0000"/>
            </w:tcBorders>
          </w:tcPr>
          <w:p w:rsidR="005C2193" w:rsidRPr="00B202A4" w:rsidRDefault="005C2193" w:rsidP="00303246">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10</w:t>
            </w:r>
            <w:r w:rsidRPr="00144B03">
              <w:rPr>
                <w:rFonts w:ascii="楷体_GB2312" w:eastAsia="楷体_GB2312" w:hint="eastAsia"/>
                <w:b/>
                <w:color w:val="000000"/>
                <w:sz w:val="18"/>
                <w:szCs w:val="18"/>
              </w:rPr>
              <w:t>、</w:t>
            </w:r>
            <w:r w:rsidR="00EB4C84">
              <w:rPr>
                <w:rFonts w:ascii="楷体_GB2312" w:eastAsia="楷体_GB2312" w:hint="eastAsia"/>
                <w:b/>
                <w:color w:val="000000"/>
                <w:sz w:val="18"/>
                <w:szCs w:val="18"/>
              </w:rPr>
              <w:t>欧盟：</w:t>
            </w:r>
            <w:r w:rsidR="000D0CEA">
              <w:rPr>
                <w:rFonts w:ascii="楷体_GB2312" w:eastAsia="楷体_GB2312" w:hint="eastAsia"/>
                <w:b/>
                <w:color w:val="000000"/>
                <w:sz w:val="18"/>
                <w:szCs w:val="18"/>
              </w:rPr>
              <w:t>欧元区</w:t>
            </w:r>
            <w:r w:rsidR="00EB4C84">
              <w:rPr>
                <w:rFonts w:ascii="楷体_GB2312" w:eastAsia="楷体_GB2312" w:hint="eastAsia"/>
                <w:b/>
                <w:color w:val="000000"/>
                <w:sz w:val="18"/>
                <w:szCs w:val="18"/>
              </w:rPr>
              <w:t>：</w:t>
            </w:r>
            <w:r w:rsidR="000D0CEA">
              <w:rPr>
                <w:rFonts w:ascii="楷体_GB2312" w:eastAsia="楷体_GB2312" w:hint="eastAsia"/>
                <w:b/>
                <w:color w:val="000000"/>
                <w:sz w:val="18"/>
                <w:szCs w:val="18"/>
              </w:rPr>
              <w:t>CPI</w:t>
            </w:r>
            <w:r w:rsidR="002F2830">
              <w:rPr>
                <w:rFonts w:ascii="楷体_GB2312" w:eastAsia="楷体_GB2312" w:hint="eastAsia"/>
                <w:b/>
                <w:color w:val="000000"/>
                <w:sz w:val="18"/>
                <w:szCs w:val="18"/>
              </w:rPr>
              <w:t>（初值）</w:t>
            </w:r>
            <w:r w:rsidR="000D0CEA">
              <w:rPr>
                <w:rFonts w:ascii="楷体_GB2312" w:eastAsia="楷体_GB2312" w:hint="eastAsia"/>
                <w:b/>
                <w:color w:val="000000"/>
                <w:sz w:val="18"/>
                <w:szCs w:val="18"/>
              </w:rPr>
              <w:t>：同比</w:t>
            </w:r>
            <w:r w:rsidR="007729AE">
              <w:rPr>
                <w:rFonts w:ascii="楷体_GB2312" w:eastAsia="楷体_GB2312" w:hint="eastAsia"/>
                <w:b/>
                <w:color w:val="000000"/>
                <w:sz w:val="18"/>
                <w:szCs w:val="18"/>
              </w:rPr>
              <w:t>（%）</w:t>
            </w:r>
          </w:p>
        </w:tc>
        <w:tc>
          <w:tcPr>
            <w:tcW w:w="4536" w:type="dxa"/>
            <w:tcBorders>
              <w:bottom w:val="single" w:sz="4" w:space="0" w:color="FF0000"/>
            </w:tcBorders>
          </w:tcPr>
          <w:p w:rsidR="005C2193" w:rsidRPr="00144B03" w:rsidRDefault="005C2193" w:rsidP="000D0CEA">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11</w:t>
            </w:r>
            <w:r w:rsidRPr="00144B03">
              <w:rPr>
                <w:rFonts w:ascii="楷体_GB2312" w:eastAsia="楷体_GB2312" w:hint="eastAsia"/>
                <w:b/>
                <w:color w:val="000000"/>
                <w:sz w:val="18"/>
                <w:szCs w:val="18"/>
              </w:rPr>
              <w:t>、</w:t>
            </w:r>
            <w:r w:rsidR="000D0CEA">
              <w:rPr>
                <w:rFonts w:ascii="楷体_GB2312" w:eastAsia="楷体_GB2312" w:hint="eastAsia"/>
                <w:b/>
                <w:color w:val="000000"/>
                <w:sz w:val="18"/>
                <w:szCs w:val="18"/>
              </w:rPr>
              <w:t>欧盟：PPI：同比（%）</w:t>
            </w:r>
          </w:p>
        </w:tc>
      </w:tr>
      <w:tr w:rsidR="005C2193" w:rsidRPr="00B22D95" w:rsidTr="00AB5F14">
        <w:tc>
          <w:tcPr>
            <w:tcW w:w="4678" w:type="dxa"/>
            <w:tcBorders>
              <w:top w:val="single" w:sz="4" w:space="0" w:color="FF0000"/>
              <w:bottom w:val="single" w:sz="4" w:space="0" w:color="FF0000"/>
            </w:tcBorders>
          </w:tcPr>
          <w:p w:rsidR="005C2193" w:rsidRPr="00B22D95" w:rsidRDefault="005C505B" w:rsidP="00AB5F14">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323975"/>
                  <wp:effectExtent l="19050" t="0" r="952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srcRect/>
                          <a:stretch>
                            <a:fillRect/>
                          </a:stretch>
                        </pic:blipFill>
                        <pic:spPr bwMode="auto">
                          <a:xfrm>
                            <a:off x="0" y="0"/>
                            <a:ext cx="2828925" cy="132397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C2193" w:rsidRPr="00B22D95" w:rsidRDefault="002F2830" w:rsidP="003524C1">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828925" cy="1333500"/>
                  <wp:effectExtent l="1905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srcRect/>
                          <a:stretch>
                            <a:fillRect/>
                          </a:stretch>
                        </pic:blipFill>
                        <pic:spPr bwMode="auto">
                          <a:xfrm>
                            <a:off x="0" y="0"/>
                            <a:ext cx="2828925" cy="1333500"/>
                          </a:xfrm>
                          <a:prstGeom prst="rect">
                            <a:avLst/>
                          </a:prstGeom>
                          <a:noFill/>
                          <a:ln w="9525">
                            <a:noFill/>
                            <a:miter lim="800000"/>
                            <a:headEnd/>
                            <a:tailEnd/>
                          </a:ln>
                        </pic:spPr>
                      </pic:pic>
                    </a:graphicData>
                  </a:graphic>
                </wp:inline>
              </w:drawing>
            </w:r>
          </w:p>
        </w:tc>
      </w:tr>
    </w:tbl>
    <w:p w:rsidR="005C2193" w:rsidRPr="00156066" w:rsidRDefault="005C2193" w:rsidP="005C2193">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305AD0" w:rsidRDefault="00305AD0" w:rsidP="00410A84">
      <w:pPr>
        <w:spacing w:beforeLines="50"/>
        <w:ind w:leftChars="1350" w:left="2835" w:firstLineChars="202" w:firstLine="424"/>
        <w:rPr>
          <w:rFonts w:ascii="楷体_GB2312" w:eastAsia="楷体_GB2312" w:hAnsi="宋体" w:cs="宋体"/>
          <w:kern w:val="0"/>
          <w:szCs w:val="21"/>
        </w:rPr>
      </w:pPr>
    </w:p>
    <w:p w:rsidR="005E5978" w:rsidRDefault="003005FE"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美国</w:t>
      </w:r>
      <w:r w:rsidR="00CB0085">
        <w:rPr>
          <w:rFonts w:ascii="楷体_GB2312" w:eastAsia="楷体_GB2312" w:hAnsi="宋体" w:cs="宋体" w:hint="eastAsia"/>
          <w:kern w:val="0"/>
          <w:szCs w:val="21"/>
        </w:rPr>
        <w:t>经济</w:t>
      </w:r>
      <w:r w:rsidR="007E7DB8">
        <w:rPr>
          <w:rFonts w:ascii="楷体_GB2312" w:eastAsia="楷体_GB2312" w:hAnsi="宋体" w:cs="宋体" w:hint="eastAsia"/>
          <w:kern w:val="0"/>
          <w:szCs w:val="21"/>
        </w:rPr>
        <w:t>维持原有复苏</w:t>
      </w:r>
      <w:r w:rsidR="00CB0085">
        <w:rPr>
          <w:rFonts w:ascii="楷体_GB2312" w:eastAsia="楷体_GB2312" w:hAnsi="宋体" w:cs="宋体" w:hint="eastAsia"/>
          <w:kern w:val="0"/>
          <w:szCs w:val="21"/>
        </w:rPr>
        <w:t>趋势，</w:t>
      </w:r>
      <w:r w:rsidR="00AD7871">
        <w:rPr>
          <w:rFonts w:ascii="楷体_GB2312" w:eastAsia="楷体_GB2312" w:hAnsi="宋体" w:cs="宋体" w:hint="eastAsia"/>
          <w:kern w:val="0"/>
          <w:szCs w:val="21"/>
        </w:rPr>
        <w:t>就业市场总体向好，人均可支配收入持续攀升带动消费增长</w:t>
      </w:r>
      <w:r w:rsidR="00B13D3B">
        <w:rPr>
          <w:rFonts w:ascii="楷体_GB2312" w:eastAsia="楷体_GB2312" w:hAnsi="宋体" w:cs="宋体" w:hint="eastAsia"/>
          <w:kern w:val="0"/>
          <w:szCs w:val="21"/>
        </w:rPr>
        <w:t>，</w:t>
      </w:r>
      <w:r w:rsidR="00CB4BCF">
        <w:rPr>
          <w:rFonts w:ascii="楷体_GB2312" w:eastAsia="楷体_GB2312" w:hAnsi="宋体" w:cs="宋体" w:hint="eastAsia"/>
          <w:kern w:val="0"/>
          <w:szCs w:val="21"/>
        </w:rPr>
        <w:t>工业产出欣欣向荣</w:t>
      </w:r>
      <w:r w:rsidR="00CB0085" w:rsidRPr="00CB0085">
        <w:rPr>
          <w:rFonts w:ascii="楷体_GB2312" w:eastAsia="楷体_GB2312" w:hAnsi="宋体" w:cs="宋体" w:hint="eastAsia"/>
          <w:kern w:val="0"/>
          <w:szCs w:val="21"/>
        </w:rPr>
        <w:t>，</w:t>
      </w:r>
      <w:r w:rsidR="00CB4BCF">
        <w:rPr>
          <w:rFonts w:ascii="楷体_GB2312" w:eastAsia="楷体_GB2312" w:hAnsi="宋体" w:cs="宋体" w:hint="eastAsia"/>
          <w:kern w:val="0"/>
          <w:szCs w:val="21"/>
        </w:rPr>
        <w:t>3季度GDP终值显示其GDP增长年率高达5.0%</w:t>
      </w:r>
      <w:r w:rsidR="005C505B">
        <w:rPr>
          <w:rFonts w:ascii="楷体_GB2312" w:eastAsia="楷体_GB2312" w:hAnsi="宋体" w:cs="宋体" w:hint="eastAsia"/>
          <w:kern w:val="0"/>
          <w:szCs w:val="21"/>
        </w:rPr>
        <w:t>，整体经济表现强劲</w:t>
      </w:r>
      <w:r>
        <w:rPr>
          <w:rFonts w:ascii="楷体_GB2312" w:eastAsia="楷体_GB2312" w:hAnsi="宋体" w:cs="宋体" w:hint="eastAsia"/>
          <w:kern w:val="0"/>
          <w:szCs w:val="21"/>
        </w:rPr>
        <w:t>。</w:t>
      </w:r>
    </w:p>
    <w:p w:rsidR="00305AD0" w:rsidRDefault="00305AD0" w:rsidP="00410A84">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601217" w:rsidRPr="00051DF8" w:rsidTr="00A422E1">
        <w:tc>
          <w:tcPr>
            <w:tcW w:w="4820" w:type="dxa"/>
            <w:gridSpan w:val="2"/>
            <w:tcBorders>
              <w:bottom w:val="single" w:sz="4" w:space="0" w:color="FF0000"/>
            </w:tcBorders>
          </w:tcPr>
          <w:p w:rsidR="00601217" w:rsidRPr="00D373DD" w:rsidRDefault="00601217" w:rsidP="00AD7871">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AD7871">
              <w:rPr>
                <w:rFonts w:ascii="楷体_GB2312" w:eastAsia="楷体_GB2312" w:hint="eastAsia"/>
                <w:b/>
                <w:color w:val="000000"/>
                <w:sz w:val="18"/>
                <w:szCs w:val="18"/>
              </w:rPr>
              <w:t>人均可支配收入</w:t>
            </w:r>
            <w:r w:rsidR="00732625">
              <w:rPr>
                <w:rFonts w:ascii="楷体_GB2312" w:eastAsia="楷体_GB2312" w:hint="eastAsia"/>
                <w:b/>
                <w:color w:val="000000"/>
                <w:sz w:val="18"/>
                <w:szCs w:val="18"/>
              </w:rPr>
              <w:t>：</w:t>
            </w:r>
            <w:r w:rsidR="00AD7871">
              <w:rPr>
                <w:rFonts w:ascii="楷体_GB2312" w:eastAsia="楷体_GB2312" w:hint="eastAsia"/>
                <w:b/>
                <w:color w:val="000000"/>
                <w:sz w:val="18"/>
                <w:szCs w:val="18"/>
              </w:rPr>
              <w:t>折年数：</w:t>
            </w:r>
            <w:r w:rsidR="00732625">
              <w:rPr>
                <w:rFonts w:ascii="楷体_GB2312" w:eastAsia="楷体_GB2312" w:hint="eastAsia"/>
                <w:b/>
                <w:color w:val="000000"/>
                <w:sz w:val="18"/>
                <w:szCs w:val="18"/>
              </w:rPr>
              <w:t>季调（</w:t>
            </w:r>
            <w:r w:rsidR="00AD7871">
              <w:rPr>
                <w:rFonts w:ascii="楷体_GB2312" w:eastAsia="楷体_GB2312" w:hint="eastAsia"/>
                <w:b/>
                <w:color w:val="000000"/>
                <w:sz w:val="18"/>
                <w:szCs w:val="18"/>
              </w:rPr>
              <w:t>美元</w:t>
            </w:r>
            <w:r w:rsidR="00732625">
              <w:rPr>
                <w:rFonts w:ascii="楷体_GB2312" w:eastAsia="楷体_GB2312" w:hint="eastAsia"/>
                <w:b/>
                <w:color w:val="000000"/>
                <w:sz w:val="18"/>
                <w:szCs w:val="18"/>
              </w:rPr>
              <w:t>）</w:t>
            </w:r>
          </w:p>
        </w:tc>
        <w:tc>
          <w:tcPr>
            <w:tcW w:w="4536" w:type="dxa"/>
            <w:tcBorders>
              <w:bottom w:val="single" w:sz="4" w:space="0" w:color="FF0000"/>
            </w:tcBorders>
          </w:tcPr>
          <w:p w:rsidR="00601217" w:rsidRPr="00144B03" w:rsidRDefault="00601217" w:rsidP="00470D9A">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470D9A">
              <w:rPr>
                <w:rFonts w:ascii="楷体_GB2312" w:eastAsia="楷体_GB2312" w:hint="eastAsia"/>
                <w:b/>
                <w:color w:val="000000"/>
                <w:sz w:val="18"/>
                <w:szCs w:val="18"/>
              </w:rPr>
              <w:t>工业总体产出指数：环比（%）</w:t>
            </w:r>
          </w:p>
        </w:tc>
      </w:tr>
      <w:tr w:rsidR="00601217" w:rsidRPr="00B22D95" w:rsidTr="00A422E1">
        <w:tc>
          <w:tcPr>
            <w:tcW w:w="4678" w:type="dxa"/>
            <w:tcBorders>
              <w:top w:val="single" w:sz="4" w:space="0" w:color="FF0000"/>
              <w:bottom w:val="single" w:sz="4" w:space="0" w:color="FF0000"/>
            </w:tcBorders>
          </w:tcPr>
          <w:p w:rsidR="00601217" w:rsidRPr="00B22D95" w:rsidRDefault="00AD7871" w:rsidP="00A422E1">
            <w:pPr>
              <w:spacing w:line="360" w:lineRule="auto"/>
              <w:ind w:leftChars="16" w:left="34"/>
              <w:rPr>
                <w:rFonts w:ascii="楷体_GB2312" w:eastAsia="楷体_GB2312"/>
                <w:color w:val="000000"/>
                <w:sz w:val="18"/>
                <w:szCs w:val="18"/>
              </w:rPr>
            </w:pPr>
            <w:r>
              <w:rPr>
                <w:noProof/>
              </w:rPr>
              <w:drawing>
                <wp:inline distT="0" distB="0" distL="0" distR="0">
                  <wp:extent cx="2828925" cy="1333500"/>
                  <wp:effectExtent l="1905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2828925" cy="133350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01217" w:rsidRPr="00B22D95" w:rsidRDefault="00470D9A" w:rsidP="00D70BD0">
            <w:pPr>
              <w:spacing w:line="360" w:lineRule="auto"/>
              <w:ind w:left="1" w:firstLineChars="18" w:firstLine="38"/>
              <w:jc w:val="right"/>
              <w:rPr>
                <w:rFonts w:ascii="楷体_GB2312" w:eastAsia="楷体_GB2312"/>
                <w:color w:val="000000"/>
                <w:sz w:val="18"/>
                <w:szCs w:val="18"/>
              </w:rPr>
            </w:pPr>
            <w:r w:rsidRPr="00470D9A">
              <w:rPr>
                <w:noProof/>
              </w:rPr>
              <w:drawing>
                <wp:inline distT="0" distB="0" distL="0" distR="0">
                  <wp:extent cx="2867025" cy="1428750"/>
                  <wp:effectExtent l="19050" t="0" r="0" b="0"/>
                  <wp:docPr id="20"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866667" cy="1428572"/>
                          </a:xfrm>
                          <a:prstGeom prst="rect">
                            <a:avLst/>
                          </a:prstGeom>
                        </pic:spPr>
                      </pic:pic>
                    </a:graphicData>
                  </a:graphic>
                </wp:inline>
              </w:drawing>
            </w:r>
          </w:p>
        </w:tc>
      </w:tr>
    </w:tbl>
    <w:p w:rsidR="00601217" w:rsidRPr="00156066" w:rsidRDefault="00601217" w:rsidP="00601217">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B6334D" w:rsidRDefault="00B6334D" w:rsidP="00410A84">
      <w:pPr>
        <w:spacing w:beforeLines="50"/>
        <w:ind w:leftChars="1350" w:left="2835" w:firstLineChars="202" w:firstLine="424"/>
        <w:rPr>
          <w:rFonts w:ascii="楷体_GB2312" w:eastAsia="楷体_GB2312" w:hAnsi="宋体" w:cs="宋体"/>
          <w:kern w:val="0"/>
          <w:szCs w:val="21"/>
        </w:rPr>
      </w:pPr>
    </w:p>
    <w:p w:rsidR="00CA6DBF" w:rsidRDefault="00B66954" w:rsidP="00410A8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w:t>
      </w:r>
      <w:r w:rsidR="00CB0085">
        <w:rPr>
          <w:rFonts w:ascii="楷体_GB2312" w:eastAsia="楷体_GB2312" w:hAnsi="宋体" w:cs="宋体" w:hint="eastAsia"/>
          <w:kern w:val="0"/>
          <w:szCs w:val="21"/>
        </w:rPr>
        <w:t>经济如预期</w:t>
      </w:r>
      <w:r w:rsidR="00037A3C">
        <w:rPr>
          <w:rFonts w:ascii="楷体_GB2312" w:eastAsia="楷体_GB2312" w:hAnsi="宋体" w:cs="宋体" w:hint="eastAsia"/>
          <w:kern w:val="0"/>
          <w:szCs w:val="21"/>
        </w:rPr>
        <w:t>继续</w:t>
      </w:r>
      <w:r w:rsidR="00CB0085">
        <w:rPr>
          <w:rFonts w:ascii="楷体_GB2312" w:eastAsia="楷体_GB2312" w:hAnsi="宋体" w:cs="宋体" w:hint="eastAsia"/>
          <w:kern w:val="0"/>
          <w:szCs w:val="21"/>
        </w:rPr>
        <w:t>下滑，</w:t>
      </w:r>
      <w:r w:rsidR="00B6334D">
        <w:rPr>
          <w:rFonts w:ascii="楷体_GB2312" w:eastAsia="楷体_GB2312" w:hAnsi="宋体" w:cs="宋体" w:hint="eastAsia"/>
          <w:kern w:val="0"/>
          <w:szCs w:val="21"/>
        </w:rPr>
        <w:t>消费持续地位徘徊，投资加速下行。全社会用电量反应工业整体低迷，汇丰PMI预览值也反映了整体经济缺乏活力</w:t>
      </w:r>
      <w:r w:rsidR="00ED35DA" w:rsidRPr="007C0147">
        <w:rPr>
          <w:rFonts w:ascii="楷体_GB2312" w:eastAsia="楷体_GB2312" w:hAnsi="宋体" w:cs="宋体" w:hint="eastAsia"/>
          <w:kern w:val="0"/>
          <w:szCs w:val="21"/>
        </w:rPr>
        <w:t>。</w:t>
      </w:r>
    </w:p>
    <w:p w:rsidR="00B6334D" w:rsidRDefault="00B6334D" w:rsidP="00410A84">
      <w:pPr>
        <w:spacing w:beforeLines="50"/>
        <w:ind w:leftChars="1350" w:left="2835" w:firstLineChars="202" w:firstLine="424"/>
        <w:rPr>
          <w:rFonts w:ascii="楷体_GB2312" w:eastAsia="楷体_GB2312" w:hAnsi="宋体" w:cs="宋体"/>
          <w:kern w:val="0"/>
          <w:szCs w:val="21"/>
        </w:rPr>
      </w:pPr>
    </w:p>
    <w:p w:rsidR="00B6334D" w:rsidRPr="00B6334D" w:rsidRDefault="00B6334D" w:rsidP="00410A84">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6773F6" w:rsidRPr="00051DF8" w:rsidTr="00722604">
        <w:tc>
          <w:tcPr>
            <w:tcW w:w="4820" w:type="dxa"/>
            <w:gridSpan w:val="2"/>
            <w:tcBorders>
              <w:bottom w:val="single" w:sz="4" w:space="0" w:color="FF0000"/>
            </w:tcBorders>
          </w:tcPr>
          <w:p w:rsidR="006773F6" w:rsidRPr="00144B03" w:rsidRDefault="006773F6" w:rsidP="004B6EA2">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4B6EA2">
              <w:rPr>
                <w:rFonts w:ascii="楷体_GB2312" w:eastAsia="楷体_GB2312" w:hint="eastAsia"/>
                <w:b/>
                <w:color w:val="000000"/>
                <w:sz w:val="18"/>
                <w:szCs w:val="18"/>
              </w:rPr>
              <w:t>社会消费品零售总额：当月同比（%）</w:t>
            </w:r>
          </w:p>
        </w:tc>
        <w:tc>
          <w:tcPr>
            <w:tcW w:w="4536" w:type="dxa"/>
            <w:tcBorders>
              <w:bottom w:val="single" w:sz="4" w:space="0" w:color="FF0000"/>
            </w:tcBorders>
          </w:tcPr>
          <w:p w:rsidR="006773F6" w:rsidRPr="00144B03" w:rsidRDefault="006773F6" w:rsidP="004B6EA2">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5</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4B6EA2">
              <w:rPr>
                <w:rFonts w:ascii="楷体_GB2312" w:eastAsia="楷体_GB2312" w:hint="eastAsia"/>
                <w:b/>
                <w:color w:val="000000"/>
                <w:sz w:val="18"/>
                <w:szCs w:val="18"/>
              </w:rPr>
              <w:t>固定资产投资：累计同比（%）</w:t>
            </w:r>
          </w:p>
        </w:tc>
      </w:tr>
      <w:tr w:rsidR="006773F6" w:rsidRPr="00B22D95" w:rsidTr="00722604">
        <w:tc>
          <w:tcPr>
            <w:tcW w:w="4678" w:type="dxa"/>
            <w:tcBorders>
              <w:top w:val="single" w:sz="4" w:space="0" w:color="FF0000"/>
              <w:bottom w:val="single" w:sz="4" w:space="0" w:color="FF0000"/>
            </w:tcBorders>
          </w:tcPr>
          <w:p w:rsidR="006773F6" w:rsidRPr="00B22D95" w:rsidRDefault="00037A3C" w:rsidP="00722604">
            <w:pPr>
              <w:spacing w:line="360" w:lineRule="auto"/>
              <w:ind w:leftChars="16" w:left="34"/>
              <w:rPr>
                <w:rFonts w:ascii="楷体_GB2312" w:eastAsia="楷体_GB2312"/>
                <w:color w:val="000000"/>
                <w:sz w:val="18"/>
                <w:szCs w:val="18"/>
              </w:rPr>
            </w:pPr>
            <w:r>
              <w:rPr>
                <w:noProof/>
              </w:rPr>
              <w:drawing>
                <wp:inline distT="0" distB="0" distL="0" distR="0">
                  <wp:extent cx="2828925" cy="1352550"/>
                  <wp:effectExtent l="19050" t="0" r="952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srcRect/>
                          <a:stretch>
                            <a:fillRect/>
                          </a:stretch>
                        </pic:blipFill>
                        <pic:spPr bwMode="auto">
                          <a:xfrm>
                            <a:off x="0" y="0"/>
                            <a:ext cx="2828925" cy="135255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773F6" w:rsidRPr="00B22D95" w:rsidRDefault="004B6EA2" w:rsidP="00722604">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371600"/>
                  <wp:effectExtent l="19050" t="0" r="9525"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cstate="print"/>
                          <a:srcRect/>
                          <a:stretch>
                            <a:fillRect/>
                          </a:stretch>
                        </pic:blipFill>
                        <pic:spPr bwMode="auto">
                          <a:xfrm>
                            <a:off x="0" y="0"/>
                            <a:ext cx="2828925" cy="1371600"/>
                          </a:xfrm>
                          <a:prstGeom prst="rect">
                            <a:avLst/>
                          </a:prstGeom>
                          <a:noFill/>
                          <a:ln w="9525">
                            <a:noFill/>
                            <a:miter lim="800000"/>
                            <a:headEnd/>
                            <a:tailEnd/>
                          </a:ln>
                        </pic:spPr>
                      </pic:pic>
                    </a:graphicData>
                  </a:graphic>
                </wp:inline>
              </w:drawing>
            </w:r>
          </w:p>
        </w:tc>
      </w:tr>
      <w:tr w:rsidR="009B191B" w:rsidRPr="00051DF8" w:rsidTr="00DA569E">
        <w:tc>
          <w:tcPr>
            <w:tcW w:w="4820" w:type="dxa"/>
            <w:gridSpan w:val="2"/>
            <w:tcBorders>
              <w:bottom w:val="single" w:sz="4" w:space="0" w:color="FF0000"/>
            </w:tcBorders>
          </w:tcPr>
          <w:p w:rsidR="009B191B" w:rsidRPr="00144B03" w:rsidRDefault="009B191B" w:rsidP="00076B2A">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16</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076B2A">
              <w:rPr>
                <w:rFonts w:ascii="楷体_GB2312" w:eastAsia="楷体_GB2312" w:hint="eastAsia"/>
                <w:b/>
                <w:color w:val="000000"/>
                <w:sz w:val="18"/>
                <w:szCs w:val="18"/>
              </w:rPr>
              <w:t>全社会用电量：累计同比（%</w:t>
            </w:r>
            <w:r w:rsidR="00627B15">
              <w:rPr>
                <w:rFonts w:ascii="楷体_GB2312" w:eastAsia="楷体_GB2312" w:hint="eastAsia"/>
                <w:b/>
                <w:color w:val="000000"/>
                <w:sz w:val="18"/>
                <w:szCs w:val="18"/>
              </w:rPr>
              <w:t>）</w:t>
            </w:r>
          </w:p>
        </w:tc>
        <w:tc>
          <w:tcPr>
            <w:tcW w:w="4536" w:type="dxa"/>
            <w:tcBorders>
              <w:bottom w:val="single" w:sz="4" w:space="0" w:color="FF0000"/>
            </w:tcBorders>
          </w:tcPr>
          <w:p w:rsidR="009B191B" w:rsidRPr="00144B03" w:rsidRDefault="009B191B" w:rsidP="00B6334D">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17</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B6334D">
              <w:rPr>
                <w:rFonts w:ascii="楷体_GB2312" w:eastAsia="楷体_GB2312" w:hint="eastAsia"/>
                <w:b/>
                <w:color w:val="000000"/>
                <w:sz w:val="18"/>
                <w:szCs w:val="18"/>
              </w:rPr>
              <w:t>汇丰PMI（预览）</w:t>
            </w:r>
          </w:p>
        </w:tc>
      </w:tr>
      <w:tr w:rsidR="009B191B" w:rsidRPr="00B22D95" w:rsidTr="00DA569E">
        <w:tc>
          <w:tcPr>
            <w:tcW w:w="4678" w:type="dxa"/>
            <w:tcBorders>
              <w:top w:val="single" w:sz="4" w:space="0" w:color="FF0000"/>
              <w:bottom w:val="single" w:sz="4" w:space="0" w:color="FF0000"/>
            </w:tcBorders>
          </w:tcPr>
          <w:p w:rsidR="009B191B" w:rsidRPr="00B22D95" w:rsidRDefault="004B6EA2" w:rsidP="00DA569E">
            <w:pPr>
              <w:spacing w:line="360" w:lineRule="auto"/>
              <w:ind w:leftChars="16" w:left="34"/>
              <w:rPr>
                <w:rFonts w:ascii="楷体_GB2312" w:eastAsia="楷体_GB2312"/>
                <w:color w:val="000000"/>
                <w:sz w:val="18"/>
                <w:szCs w:val="18"/>
              </w:rPr>
            </w:pPr>
            <w:r>
              <w:rPr>
                <w:noProof/>
              </w:rPr>
              <w:drawing>
                <wp:inline distT="0" distB="0" distL="0" distR="0">
                  <wp:extent cx="2828925" cy="1304925"/>
                  <wp:effectExtent l="19050" t="0" r="952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print"/>
                          <a:srcRect/>
                          <a:stretch>
                            <a:fillRect/>
                          </a:stretch>
                        </pic:blipFill>
                        <pic:spPr bwMode="auto">
                          <a:xfrm>
                            <a:off x="0" y="0"/>
                            <a:ext cx="2828925" cy="130492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B191B" w:rsidRPr="00B22D95" w:rsidRDefault="004B6EA2" w:rsidP="00DA569E">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333500"/>
                  <wp:effectExtent l="19050" t="0" r="9525"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8" cstate="print"/>
                          <a:srcRect/>
                          <a:stretch>
                            <a:fillRect/>
                          </a:stretch>
                        </pic:blipFill>
                        <pic:spPr bwMode="auto">
                          <a:xfrm>
                            <a:off x="0" y="0"/>
                            <a:ext cx="2828925" cy="1333500"/>
                          </a:xfrm>
                          <a:prstGeom prst="rect">
                            <a:avLst/>
                          </a:prstGeom>
                          <a:noFill/>
                          <a:ln w="9525">
                            <a:noFill/>
                            <a:miter lim="800000"/>
                            <a:headEnd/>
                            <a:tailEnd/>
                          </a:ln>
                        </pic:spPr>
                      </pic:pic>
                    </a:graphicData>
                  </a:graphic>
                </wp:inline>
              </w:drawing>
            </w:r>
          </w:p>
        </w:tc>
      </w:tr>
    </w:tbl>
    <w:p w:rsidR="009B191B" w:rsidRDefault="009B191B" w:rsidP="009B191B">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AE0E62" w:rsidRPr="00816D44" w:rsidRDefault="00141178"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w:t>
      </w:r>
      <w:r w:rsidR="00AE0E62">
        <w:rPr>
          <w:rFonts w:ascii="黑体" w:eastAsia="黑体" w:hAnsi="宋体-18030" w:cs="宋体-18030" w:hint="eastAsia"/>
          <w:b/>
          <w:bCs/>
          <w:color w:val="000000"/>
          <w:kern w:val="44"/>
          <w:sz w:val="28"/>
          <w:szCs w:val="28"/>
        </w:rPr>
        <w:t>各期组合及业绩回顾</w:t>
      </w:r>
    </w:p>
    <w:p w:rsidR="00FA36C2" w:rsidRPr="00815599" w:rsidRDefault="008E0A57" w:rsidP="009B5BED">
      <w:pPr>
        <w:ind w:leftChars="1350" w:left="2835" w:firstLine="420"/>
        <w:rPr>
          <w:rFonts w:ascii="楷体_GB2312" w:eastAsia="楷体_GB2312"/>
          <w:b/>
          <w:noProof/>
          <w:color w:val="000000" w:themeColor="text1"/>
        </w:rPr>
      </w:pPr>
      <w:r w:rsidRPr="004141E0">
        <w:rPr>
          <w:rFonts w:ascii="楷体_GB2312" w:eastAsia="楷体_GB2312" w:hint="eastAsia"/>
          <w:noProof/>
          <w:color w:val="000000" w:themeColor="text1"/>
        </w:rPr>
        <w:t>自2011年2月以来，同期</w:t>
      </w:r>
      <w:r w:rsidR="00CF5001" w:rsidRPr="004141E0">
        <w:rPr>
          <w:rFonts w:ascii="楷体_GB2312" w:eastAsia="楷体_GB2312" w:hint="eastAsia"/>
          <w:noProof/>
          <w:color w:val="000000" w:themeColor="text1"/>
        </w:rPr>
        <w:t>基础市场表现低迷，</w:t>
      </w:r>
      <w:r w:rsidRPr="004141E0">
        <w:rPr>
          <w:rFonts w:ascii="楷体_GB2312" w:eastAsia="楷体_GB2312" w:hint="eastAsia"/>
          <w:noProof/>
          <w:color w:val="000000" w:themeColor="text1"/>
        </w:rPr>
        <w:t>上证指数</w:t>
      </w:r>
      <w:r w:rsidR="009B5BED">
        <w:rPr>
          <w:rFonts w:ascii="楷体_GB2312" w:eastAsia="楷体_GB2312" w:hint="eastAsia"/>
          <w:noProof/>
          <w:color w:val="000000" w:themeColor="text1"/>
        </w:rPr>
        <w:t>上涨</w:t>
      </w:r>
      <w:r w:rsidR="009B5BED" w:rsidRPr="009B5BED">
        <w:rPr>
          <w:rFonts w:ascii="楷体_GB2312" w:eastAsia="楷体_GB2312"/>
          <w:noProof/>
          <w:color w:val="000000" w:themeColor="text1"/>
        </w:rPr>
        <w:t>13.44</w:t>
      </w:r>
      <w:r w:rsidR="00AA2802" w:rsidRPr="004141E0">
        <w:rPr>
          <w:rFonts w:ascii="楷体_GB2312" w:eastAsia="楷体_GB2312" w:hint="eastAsia"/>
          <w:noProof/>
          <w:color w:val="000000" w:themeColor="text1"/>
        </w:rPr>
        <w:t>%</w:t>
      </w:r>
      <w:r w:rsidRPr="004141E0">
        <w:rPr>
          <w:rFonts w:ascii="楷体_GB2312" w:eastAsia="楷体_GB2312" w:hint="eastAsia"/>
          <w:noProof/>
          <w:color w:val="000000" w:themeColor="text1"/>
        </w:rPr>
        <w:t>，深圳综指</w:t>
      </w:r>
      <w:r w:rsidR="000F3DF3">
        <w:rPr>
          <w:rFonts w:ascii="楷体_GB2312" w:eastAsia="楷体_GB2312" w:hint="eastAsia"/>
          <w:noProof/>
          <w:color w:val="000000" w:themeColor="text1"/>
        </w:rPr>
        <w:t>上涨</w:t>
      </w:r>
      <w:r w:rsidR="009B5BED" w:rsidRPr="009B5BED">
        <w:rPr>
          <w:rFonts w:ascii="楷体_GB2312" w:eastAsia="楷体_GB2312"/>
          <w:noProof/>
          <w:color w:val="000000" w:themeColor="text1"/>
        </w:rPr>
        <w:t>16.77</w:t>
      </w:r>
      <w:r w:rsidRPr="004141E0">
        <w:rPr>
          <w:rFonts w:ascii="楷体_GB2312" w:eastAsia="楷体_GB2312" w:hint="eastAsia"/>
          <w:noProof/>
          <w:color w:val="000000" w:themeColor="text1"/>
        </w:rPr>
        <w:t>%。</w:t>
      </w:r>
      <w:r w:rsidR="00CF5001" w:rsidRPr="004141E0">
        <w:rPr>
          <w:rFonts w:ascii="楷体_GB2312" w:eastAsia="楷体_GB2312" w:hint="eastAsia"/>
          <w:noProof/>
          <w:color w:val="000000" w:themeColor="text1"/>
        </w:rPr>
        <w:t>上海证券三个风险等级组合</w:t>
      </w:r>
      <w:r w:rsidR="00974B66" w:rsidRPr="004141E0">
        <w:rPr>
          <w:rFonts w:ascii="楷体_GB2312" w:eastAsia="楷体_GB2312" w:hint="eastAsia"/>
          <w:noProof/>
          <w:color w:val="000000" w:themeColor="text1"/>
        </w:rPr>
        <w:t>实现正收益</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积极型、平衡型、稳健型</w:t>
      </w:r>
      <w:r w:rsidRPr="004141E0">
        <w:rPr>
          <w:rFonts w:ascii="楷体_GB2312" w:eastAsia="楷体_GB2312" w:hint="eastAsia"/>
          <w:noProof/>
          <w:color w:val="000000" w:themeColor="text1"/>
        </w:rPr>
        <w:t>累计</w:t>
      </w:r>
      <w:r w:rsidR="00B67ADD" w:rsidRPr="004141E0">
        <w:rPr>
          <w:rFonts w:ascii="楷体_GB2312" w:eastAsia="楷体_GB2312" w:hint="eastAsia"/>
          <w:noProof/>
          <w:color w:val="000000" w:themeColor="text1"/>
        </w:rPr>
        <w:t>分别上涨</w:t>
      </w:r>
      <w:r w:rsidR="009B5BED" w:rsidRPr="009B5BED">
        <w:rPr>
          <w:rFonts w:ascii="楷体_GB2312" w:eastAsia="楷体_GB2312"/>
          <w:b/>
          <w:noProof/>
          <w:color w:val="000000" w:themeColor="text1"/>
        </w:rPr>
        <w:t>81.13%</w:t>
      </w:r>
      <w:r w:rsidR="009B5BED">
        <w:rPr>
          <w:rFonts w:ascii="楷体_GB2312" w:eastAsia="楷体_GB2312" w:hint="eastAsia"/>
          <w:b/>
          <w:noProof/>
          <w:color w:val="000000" w:themeColor="text1"/>
        </w:rPr>
        <w:t>、</w:t>
      </w:r>
      <w:r w:rsidR="009B5BED" w:rsidRPr="009B5BED">
        <w:rPr>
          <w:rFonts w:ascii="楷体_GB2312" w:eastAsia="楷体_GB2312"/>
          <w:b/>
          <w:noProof/>
          <w:color w:val="000000" w:themeColor="text1"/>
        </w:rPr>
        <w:t>48.42%</w:t>
      </w:r>
      <w:r w:rsidR="009B5BED">
        <w:rPr>
          <w:rFonts w:ascii="楷体_GB2312" w:eastAsia="楷体_GB2312" w:hint="eastAsia"/>
          <w:b/>
          <w:noProof/>
          <w:color w:val="000000" w:themeColor="text1"/>
        </w:rPr>
        <w:t>、</w:t>
      </w:r>
      <w:r w:rsidR="009B5BED" w:rsidRPr="009B5BED">
        <w:rPr>
          <w:rFonts w:ascii="楷体_GB2312" w:eastAsia="楷体_GB2312"/>
          <w:b/>
          <w:noProof/>
          <w:color w:val="000000" w:themeColor="text1"/>
        </w:rPr>
        <w:t>20.35%</w:t>
      </w:r>
      <w:r w:rsidR="00B23E31" w:rsidRPr="00B23E31">
        <w:rPr>
          <w:rFonts w:ascii="楷体_GB2312" w:eastAsia="楷体_GB2312"/>
          <w:b/>
          <w:noProof/>
          <w:color w:val="000000" w:themeColor="text1"/>
        </w:rPr>
        <w:t>%</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分别</w:t>
      </w:r>
      <w:r w:rsidRPr="004141E0">
        <w:rPr>
          <w:rFonts w:ascii="楷体_GB2312" w:eastAsia="楷体_GB2312" w:hint="eastAsia"/>
          <w:noProof/>
          <w:color w:val="000000" w:themeColor="text1"/>
        </w:rPr>
        <w:t>超越</w:t>
      </w:r>
      <w:r w:rsidR="00B67ADD" w:rsidRPr="004141E0">
        <w:rPr>
          <w:rFonts w:ascii="楷体_GB2312" w:eastAsia="楷体_GB2312" w:hint="eastAsia"/>
          <w:noProof/>
          <w:color w:val="000000" w:themeColor="text1"/>
        </w:rPr>
        <w:t>相应</w:t>
      </w:r>
      <w:r w:rsidRPr="004141E0">
        <w:rPr>
          <w:rFonts w:ascii="楷体_GB2312" w:eastAsia="楷体_GB2312" w:hint="eastAsia"/>
          <w:noProof/>
          <w:color w:val="000000" w:themeColor="text1"/>
        </w:rPr>
        <w:t>基准</w:t>
      </w:r>
      <w:r w:rsidR="009B5BED">
        <w:rPr>
          <w:rFonts w:ascii="楷体_GB2312" w:eastAsia="楷体_GB2312"/>
          <w:b/>
          <w:noProof/>
          <w:color w:val="000000" w:themeColor="text1"/>
        </w:rPr>
        <w:t>66.06</w:t>
      </w:r>
      <w:r w:rsidR="009B5BED">
        <w:rPr>
          <w:rFonts w:ascii="楷体_GB2312" w:eastAsia="楷体_GB2312" w:hint="eastAsia"/>
          <w:b/>
          <w:noProof/>
          <w:color w:val="000000" w:themeColor="text1"/>
        </w:rPr>
        <w:t>、</w:t>
      </w:r>
      <w:r w:rsidR="009B5BED">
        <w:rPr>
          <w:rFonts w:ascii="楷体_GB2312" w:eastAsia="楷体_GB2312"/>
          <w:b/>
          <w:noProof/>
          <w:color w:val="000000" w:themeColor="text1"/>
        </w:rPr>
        <w:t>26.40</w:t>
      </w:r>
      <w:r w:rsidR="009B5BED">
        <w:rPr>
          <w:rFonts w:ascii="楷体_GB2312" w:eastAsia="楷体_GB2312" w:hint="eastAsia"/>
          <w:b/>
          <w:noProof/>
          <w:color w:val="000000" w:themeColor="text1"/>
        </w:rPr>
        <w:t>、</w:t>
      </w:r>
      <w:r w:rsidR="009B5BED" w:rsidRPr="009B5BED">
        <w:rPr>
          <w:rFonts w:ascii="楷体_GB2312" w:eastAsia="楷体_GB2312"/>
          <w:b/>
          <w:noProof/>
          <w:color w:val="000000" w:themeColor="text1"/>
        </w:rPr>
        <w:t>7.72</w:t>
      </w:r>
      <w:r w:rsidR="0046610D" w:rsidRPr="004141E0">
        <w:rPr>
          <w:rFonts w:ascii="楷体_GB2312" w:eastAsia="楷体_GB2312" w:hint="eastAsia"/>
          <w:noProof/>
          <w:color w:val="000000" w:themeColor="text1"/>
        </w:rPr>
        <w:t>个</w:t>
      </w:r>
      <w:r w:rsidR="00B67ADD" w:rsidRPr="004141E0">
        <w:rPr>
          <w:rFonts w:ascii="楷体_GB2312" w:eastAsia="楷体_GB2312" w:hint="eastAsia"/>
          <w:noProof/>
          <w:color w:val="000000" w:themeColor="text1"/>
        </w:rPr>
        <w:t>百分点。</w:t>
      </w:r>
      <w:r w:rsidR="00FA36C2" w:rsidRPr="004141E0">
        <w:rPr>
          <w:rFonts w:ascii="楷体_GB2312" w:eastAsia="楷体_GB2312" w:hint="eastAsia"/>
          <w:noProof/>
          <w:color w:val="000000" w:themeColor="text1"/>
        </w:rPr>
        <w:t>201</w:t>
      </w:r>
      <w:r w:rsidR="00916D6D" w:rsidRPr="004141E0">
        <w:rPr>
          <w:rFonts w:ascii="楷体_GB2312" w:eastAsia="楷体_GB2312" w:hint="eastAsia"/>
          <w:noProof/>
          <w:color w:val="000000" w:themeColor="text1"/>
        </w:rPr>
        <w:t>4</w:t>
      </w:r>
      <w:r w:rsidR="00FA36C2" w:rsidRPr="004141E0">
        <w:rPr>
          <w:rFonts w:ascii="楷体_GB2312" w:eastAsia="楷体_GB2312" w:hint="eastAsia"/>
          <w:noProof/>
          <w:color w:val="000000" w:themeColor="text1"/>
        </w:rPr>
        <w:t>年</w:t>
      </w:r>
      <w:r w:rsidR="00B23E31">
        <w:rPr>
          <w:rFonts w:ascii="楷体_GB2312" w:eastAsia="楷体_GB2312" w:hint="eastAsia"/>
          <w:noProof/>
          <w:color w:val="000000" w:themeColor="text1"/>
        </w:rPr>
        <w:t>1</w:t>
      </w:r>
      <w:r w:rsidR="009B5BED">
        <w:rPr>
          <w:rFonts w:ascii="楷体_GB2312" w:eastAsia="楷体_GB2312" w:hint="eastAsia"/>
          <w:noProof/>
          <w:color w:val="000000" w:themeColor="text1"/>
        </w:rPr>
        <w:t>2</w:t>
      </w:r>
      <w:r w:rsidR="00FA36C2" w:rsidRPr="004141E0">
        <w:rPr>
          <w:rFonts w:ascii="楷体_GB2312" w:eastAsia="楷体_GB2312" w:hint="eastAsia"/>
          <w:noProof/>
          <w:color w:val="000000" w:themeColor="text1"/>
        </w:rPr>
        <w:t>月，上海证券</w:t>
      </w:r>
      <w:r w:rsidR="00B23E31">
        <w:rPr>
          <w:rFonts w:ascii="楷体_GB2312" w:eastAsia="楷体_GB2312" w:hint="eastAsia"/>
          <w:noProof/>
          <w:color w:val="000000" w:themeColor="text1"/>
        </w:rPr>
        <w:t>旗下基金组合全部</w:t>
      </w:r>
      <w:r w:rsidR="00815599">
        <w:rPr>
          <w:rFonts w:ascii="楷体_GB2312" w:eastAsia="楷体_GB2312" w:hint="eastAsia"/>
          <w:noProof/>
          <w:color w:val="000000" w:themeColor="text1"/>
        </w:rPr>
        <w:t>超越业绩比较基准</w:t>
      </w:r>
      <w:r w:rsidR="009B5BED">
        <w:rPr>
          <w:rFonts w:ascii="楷体_GB2312" w:eastAsia="楷体_GB2312" w:hint="eastAsia"/>
          <w:noProof/>
          <w:color w:val="000000" w:themeColor="text1"/>
        </w:rPr>
        <w:t>，其中积极型组合超越业绩比较基准</w:t>
      </w:r>
      <w:r w:rsidR="009B5BED" w:rsidRPr="009B5BED">
        <w:rPr>
          <w:rFonts w:ascii="楷体_GB2312" w:eastAsia="楷体_GB2312"/>
          <w:noProof/>
          <w:color w:val="000000" w:themeColor="text1"/>
        </w:rPr>
        <w:t>19.83</w:t>
      </w:r>
      <w:r w:rsidR="009B5BED" w:rsidRPr="009B5BED">
        <w:rPr>
          <w:rFonts w:ascii="楷体_GB2312" w:eastAsia="楷体_GB2312" w:hint="eastAsia"/>
          <w:noProof/>
          <w:color w:val="000000" w:themeColor="text1"/>
        </w:rPr>
        <w:t>个百分点</w:t>
      </w:r>
      <w:r w:rsidR="00FA36C2" w:rsidRPr="004141E0">
        <w:rPr>
          <w:rFonts w:ascii="楷体_GB2312" w:eastAsia="楷体_GB2312" w:hint="eastAsia"/>
          <w:noProof/>
          <w:color w:val="000000" w:themeColor="text1"/>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0774F9">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146588">
              <w:rPr>
                <w:rFonts w:ascii="楷体_GB2312" w:eastAsia="楷体_GB2312" w:hAnsi="宋体" w:cs="宋体" w:hint="eastAsia"/>
                <w:b/>
                <w:bCs/>
                <w:color w:val="FFFFFF"/>
                <w:kern w:val="0"/>
                <w:szCs w:val="21"/>
              </w:rPr>
              <w:t>4</w:t>
            </w:r>
            <w:r w:rsidRPr="00BD1E88">
              <w:rPr>
                <w:rFonts w:ascii="楷体_GB2312" w:eastAsia="楷体_GB2312" w:hAnsi="宋体" w:cs="宋体" w:hint="eastAsia"/>
                <w:b/>
                <w:bCs/>
                <w:color w:val="FFFFFF"/>
                <w:kern w:val="0"/>
                <w:szCs w:val="21"/>
              </w:rPr>
              <w:t>年</w:t>
            </w:r>
            <w:r w:rsidR="0036528C">
              <w:rPr>
                <w:rFonts w:ascii="楷体_GB2312" w:eastAsia="楷体_GB2312" w:hAnsi="宋体" w:cs="宋体" w:hint="eastAsia"/>
                <w:b/>
                <w:bCs/>
                <w:color w:val="FFFFFF"/>
                <w:kern w:val="0"/>
                <w:szCs w:val="21"/>
              </w:rPr>
              <w:t>1</w:t>
            </w:r>
            <w:r w:rsidR="000774F9">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B5BED"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22.52%</w:t>
            </w:r>
          </w:p>
        </w:tc>
        <w:tc>
          <w:tcPr>
            <w:tcW w:w="714" w:type="pct"/>
            <w:tcBorders>
              <w:top w:val="nil"/>
              <w:left w:val="nil"/>
              <w:bottom w:val="single" w:sz="8" w:space="0" w:color="auto"/>
              <w:right w:val="single" w:sz="8" w:space="0" w:color="auto"/>
            </w:tcBorders>
            <w:shd w:val="clear" w:color="auto" w:fill="auto"/>
            <w:noWrap/>
            <w:vAlign w:val="center"/>
            <w:hideMark/>
          </w:tcPr>
          <w:p w:rsidR="009B5BED" w:rsidRDefault="009B5BED">
            <w:pPr>
              <w:jc w:val="center"/>
              <w:rPr>
                <w:rFonts w:ascii="宋体" w:hAnsi="宋体" w:cs="宋体"/>
                <w:sz w:val="18"/>
                <w:szCs w:val="18"/>
              </w:rPr>
            </w:pPr>
            <w:r>
              <w:rPr>
                <w:rFonts w:hint="eastAsia"/>
                <w:sz w:val="18"/>
                <w:szCs w:val="18"/>
              </w:rPr>
              <w:t>2.69%</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19.83%</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81.13%</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15.07%</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66.06%</w:t>
            </w:r>
          </w:p>
        </w:tc>
      </w:tr>
      <w:tr w:rsidR="009B5BED"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11.64%</w:t>
            </w:r>
          </w:p>
        </w:tc>
        <w:tc>
          <w:tcPr>
            <w:tcW w:w="714" w:type="pct"/>
            <w:tcBorders>
              <w:top w:val="nil"/>
              <w:left w:val="nil"/>
              <w:bottom w:val="single" w:sz="8" w:space="0" w:color="auto"/>
              <w:right w:val="single" w:sz="8" w:space="0" w:color="auto"/>
            </w:tcBorders>
            <w:shd w:val="clear" w:color="auto" w:fill="auto"/>
            <w:noWrap/>
            <w:vAlign w:val="center"/>
            <w:hideMark/>
          </w:tcPr>
          <w:p w:rsidR="009B5BED" w:rsidRDefault="009B5BED">
            <w:pPr>
              <w:jc w:val="center"/>
              <w:rPr>
                <w:rFonts w:ascii="宋体" w:hAnsi="宋体" w:cs="宋体"/>
                <w:sz w:val="18"/>
                <w:szCs w:val="18"/>
              </w:rPr>
            </w:pPr>
            <w:r>
              <w:rPr>
                <w:rFonts w:hint="eastAsia"/>
                <w:sz w:val="18"/>
                <w:szCs w:val="18"/>
              </w:rPr>
              <w:t>2.43%</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9.21%</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48.42%</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22.02%</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26.40%</w:t>
            </w:r>
          </w:p>
        </w:tc>
      </w:tr>
      <w:tr w:rsidR="009B5BED"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0.54%</w:t>
            </w:r>
          </w:p>
        </w:tc>
        <w:tc>
          <w:tcPr>
            <w:tcW w:w="714" w:type="pct"/>
            <w:tcBorders>
              <w:top w:val="nil"/>
              <w:left w:val="nil"/>
              <w:bottom w:val="single" w:sz="8" w:space="0" w:color="auto"/>
              <w:right w:val="single" w:sz="8" w:space="0" w:color="auto"/>
            </w:tcBorders>
            <w:shd w:val="clear" w:color="auto" w:fill="auto"/>
            <w:noWrap/>
            <w:vAlign w:val="center"/>
            <w:hideMark/>
          </w:tcPr>
          <w:p w:rsidR="009B5BED" w:rsidRDefault="009B5BED">
            <w:pPr>
              <w:jc w:val="center"/>
              <w:rPr>
                <w:rFonts w:ascii="宋体" w:hAnsi="宋体" w:cs="宋体"/>
                <w:sz w:val="18"/>
                <w:szCs w:val="18"/>
              </w:rPr>
            </w:pPr>
            <w:r>
              <w:rPr>
                <w:rFonts w:hint="eastAsia"/>
                <w:sz w:val="18"/>
                <w:szCs w:val="18"/>
              </w:rPr>
              <w:t>0.24%</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0.30%</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20.35%</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12.63%</w:t>
            </w:r>
          </w:p>
        </w:tc>
        <w:tc>
          <w:tcPr>
            <w:tcW w:w="715" w:type="pct"/>
            <w:tcBorders>
              <w:top w:val="nil"/>
              <w:left w:val="nil"/>
              <w:bottom w:val="single" w:sz="8" w:space="0" w:color="auto"/>
              <w:right w:val="single" w:sz="8" w:space="0" w:color="auto"/>
            </w:tcBorders>
            <w:shd w:val="clear" w:color="auto" w:fill="auto"/>
            <w:noWrap/>
            <w:hideMark/>
          </w:tcPr>
          <w:p w:rsidR="009B5BED" w:rsidRPr="009B5BED" w:rsidRDefault="009B5BED">
            <w:pPr>
              <w:jc w:val="center"/>
              <w:rPr>
                <w:b/>
                <w:color w:val="0D0D0D"/>
                <w:szCs w:val="21"/>
              </w:rPr>
            </w:pPr>
            <w:r w:rsidRPr="009B5BED">
              <w:rPr>
                <w:b/>
                <w:color w:val="0D0D0D"/>
                <w:szCs w:val="21"/>
              </w:rPr>
              <w:t>7.72%</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535E3C">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535E3C">
              <w:rPr>
                <w:rFonts w:ascii="楷体_GB2312" w:eastAsia="楷体_GB2312" w:hAnsi="宋体" w:cs="宋体" w:hint="eastAsia"/>
                <w:b/>
                <w:bCs/>
                <w:color w:val="FFFFFF"/>
                <w:kern w:val="0"/>
                <w:szCs w:val="21"/>
              </w:rPr>
              <w:t>以来</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254CD8">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B5BED"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52.05%</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20.18%</w:t>
            </w:r>
          </w:p>
        </w:tc>
        <w:tc>
          <w:tcPr>
            <w:tcW w:w="715" w:type="pct"/>
            <w:tcBorders>
              <w:top w:val="nil"/>
              <w:left w:val="nil"/>
              <w:bottom w:val="single" w:sz="8" w:space="0" w:color="auto"/>
              <w:right w:val="single" w:sz="8" w:space="0" w:color="auto"/>
            </w:tcBorders>
            <w:shd w:val="clear" w:color="auto" w:fill="auto"/>
            <w:noWrap/>
            <w:vAlign w:val="bottom"/>
            <w:hideMark/>
          </w:tcPr>
          <w:p w:rsidR="009B5BED" w:rsidRPr="009B5BED" w:rsidRDefault="009B5BED">
            <w:pPr>
              <w:jc w:val="right"/>
              <w:rPr>
                <w:rFonts w:ascii="宋体" w:hAnsi="宋体" w:cs="宋体"/>
                <w:b/>
                <w:color w:val="0D0D0D"/>
                <w:sz w:val="24"/>
              </w:rPr>
            </w:pPr>
            <w:r w:rsidRPr="009B5BED">
              <w:rPr>
                <w:rFonts w:hint="eastAsia"/>
                <w:b/>
                <w:color w:val="0D0D0D"/>
              </w:rPr>
              <w:t>27.05%</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Pr="005A3EE9" w:rsidRDefault="009B5BED" w:rsidP="005A3EE9">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b/>
                <w:i/>
                <w:color w:val="0D0D0D"/>
                <w:sz w:val="24"/>
              </w:rPr>
            </w:pPr>
            <w:r w:rsidRPr="002D0839">
              <w:rPr>
                <w:rFonts w:hint="eastAsia"/>
                <w:b/>
                <w:i/>
                <w:color w:val="0D0D0D"/>
              </w:rPr>
              <w:t>15.93%</w:t>
            </w:r>
          </w:p>
        </w:tc>
      </w:tr>
      <w:tr w:rsidR="009B5BED"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29.00%</w:t>
            </w:r>
          </w:p>
        </w:tc>
        <w:tc>
          <w:tcPr>
            <w:tcW w:w="714" w:type="pct"/>
            <w:tcBorders>
              <w:top w:val="nil"/>
              <w:left w:val="nil"/>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19.09%</w:t>
            </w:r>
          </w:p>
        </w:tc>
        <w:tc>
          <w:tcPr>
            <w:tcW w:w="715" w:type="pct"/>
            <w:tcBorders>
              <w:top w:val="nil"/>
              <w:left w:val="nil"/>
              <w:bottom w:val="single" w:sz="8" w:space="0" w:color="auto"/>
              <w:right w:val="single" w:sz="8" w:space="0" w:color="auto"/>
            </w:tcBorders>
            <w:shd w:val="clear" w:color="auto" w:fill="auto"/>
            <w:noWrap/>
            <w:vAlign w:val="bottom"/>
            <w:hideMark/>
          </w:tcPr>
          <w:p w:rsidR="009B5BED" w:rsidRPr="009B5BED" w:rsidRDefault="009B5BED">
            <w:pPr>
              <w:jc w:val="right"/>
              <w:rPr>
                <w:rFonts w:ascii="宋体" w:hAnsi="宋体" w:cs="宋体"/>
                <w:b/>
                <w:color w:val="0D0D0D"/>
                <w:sz w:val="24"/>
              </w:rPr>
            </w:pPr>
            <w:r w:rsidRPr="009B5BED">
              <w:rPr>
                <w:rFonts w:hint="eastAsia"/>
                <w:b/>
                <w:color w:val="0D0D0D"/>
              </w:rPr>
              <w:t>8.33%</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Pr="005A3EE9" w:rsidRDefault="009B5BED" w:rsidP="005A3EE9">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b/>
                <w:i/>
                <w:color w:val="0D0D0D"/>
                <w:sz w:val="24"/>
              </w:rPr>
            </w:pPr>
            <w:r w:rsidRPr="002D0839">
              <w:rPr>
                <w:rFonts w:hint="eastAsia"/>
                <w:b/>
                <w:i/>
                <w:color w:val="0D0D0D"/>
              </w:rPr>
              <w:t>1.49%</w:t>
            </w:r>
          </w:p>
        </w:tc>
      </w:tr>
      <w:tr w:rsidR="009B5BED"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B5BED" w:rsidRPr="00BD1E88" w:rsidRDefault="009B5BED"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8.13%</w:t>
            </w:r>
          </w:p>
        </w:tc>
        <w:tc>
          <w:tcPr>
            <w:tcW w:w="714" w:type="pct"/>
            <w:tcBorders>
              <w:top w:val="nil"/>
              <w:left w:val="nil"/>
              <w:bottom w:val="single" w:sz="4" w:space="0" w:color="auto"/>
              <w:right w:val="single" w:sz="4" w:space="0" w:color="auto"/>
            </w:tcBorders>
            <w:shd w:val="clear" w:color="auto" w:fill="auto"/>
            <w:noWrap/>
            <w:vAlign w:val="bottom"/>
            <w:hideMark/>
          </w:tcPr>
          <w:p w:rsidR="009B5BED" w:rsidRDefault="009B5BED">
            <w:pPr>
              <w:jc w:val="right"/>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9B5BED" w:rsidRPr="009B5BED" w:rsidRDefault="009B5BED">
            <w:pPr>
              <w:jc w:val="right"/>
              <w:rPr>
                <w:rFonts w:ascii="宋体" w:hAnsi="宋体" w:cs="宋体"/>
                <w:b/>
                <w:color w:val="0D0D0D"/>
                <w:sz w:val="24"/>
              </w:rPr>
            </w:pPr>
            <w:r w:rsidRPr="009B5BED">
              <w:rPr>
                <w:rFonts w:hint="eastAsia"/>
                <w:b/>
                <w:color w:val="0D0D0D"/>
              </w:rPr>
              <w:t>4.95%</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B5BED" w:rsidRPr="005A3EE9" w:rsidRDefault="009B5BED" w:rsidP="005A3EE9">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9B5BED" w:rsidRPr="002D0839" w:rsidRDefault="009B5BED" w:rsidP="002D0839">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注：组合于2011年2月</w:t>
      </w:r>
      <w:r w:rsidR="002A6E97">
        <w:rPr>
          <w:rFonts w:ascii="楷体_GB2312" w:eastAsia="楷体_GB2312" w:hint="eastAsia"/>
          <w:noProof/>
        </w:rPr>
        <w:t>1日</w:t>
      </w:r>
      <w:r>
        <w:rPr>
          <w:rFonts w:ascii="楷体_GB2312" w:eastAsia="楷体_GB2312" w:hint="eastAsia"/>
          <w:noProof/>
        </w:rPr>
        <w:t>设立</w:t>
      </w:r>
      <w:r w:rsidR="005A3EE9">
        <w:rPr>
          <w:rFonts w:ascii="楷体_GB2312" w:eastAsia="楷体_GB2312" w:hint="eastAsia"/>
          <w:noProof/>
        </w:rPr>
        <w:t>，数据截至</w:t>
      </w:r>
      <w:r w:rsidR="005A3EE9" w:rsidRPr="00CD771C">
        <w:rPr>
          <w:rFonts w:ascii="楷体_GB2312" w:eastAsia="楷体_GB2312" w:hint="eastAsia"/>
          <w:noProof/>
        </w:rPr>
        <w:t>201</w:t>
      </w:r>
      <w:r w:rsidR="005A3EE9">
        <w:rPr>
          <w:rFonts w:ascii="楷体_GB2312" w:eastAsia="楷体_GB2312" w:hint="eastAsia"/>
          <w:noProof/>
        </w:rPr>
        <w:t>4</w:t>
      </w:r>
      <w:r w:rsidR="005A3EE9" w:rsidRPr="00CD771C">
        <w:rPr>
          <w:rFonts w:ascii="楷体_GB2312" w:eastAsia="楷体_GB2312" w:hint="eastAsia"/>
          <w:noProof/>
        </w:rPr>
        <w:t>年</w:t>
      </w:r>
      <w:r w:rsidR="003D0A45">
        <w:rPr>
          <w:rFonts w:ascii="楷体_GB2312" w:eastAsia="楷体_GB2312" w:hint="eastAsia"/>
          <w:noProof/>
        </w:rPr>
        <w:t>1</w:t>
      </w:r>
      <w:r w:rsidR="009B5BED">
        <w:rPr>
          <w:rFonts w:ascii="楷体_GB2312" w:eastAsia="楷体_GB2312" w:hint="eastAsia"/>
          <w:noProof/>
        </w:rPr>
        <w:t>2</w:t>
      </w:r>
      <w:r w:rsidR="005A3EE9" w:rsidRPr="00CD771C">
        <w:rPr>
          <w:rFonts w:ascii="楷体_GB2312" w:eastAsia="楷体_GB2312" w:hint="eastAsia"/>
          <w:noProof/>
        </w:rPr>
        <w:t>月</w:t>
      </w:r>
      <w:r w:rsidR="005A3EE9">
        <w:rPr>
          <w:rFonts w:ascii="楷体_GB2312" w:eastAsia="楷体_GB2312" w:hint="eastAsia"/>
          <w:noProof/>
        </w:rPr>
        <w:t>3</w:t>
      </w:r>
      <w:r w:rsidR="00D356B3">
        <w:rPr>
          <w:rFonts w:ascii="楷体_GB2312" w:eastAsia="楷体_GB2312" w:hint="eastAsia"/>
          <w:noProof/>
        </w:rPr>
        <w:t>0</w:t>
      </w:r>
      <w:r w:rsidR="005A3EE9" w:rsidRPr="00CD771C">
        <w:rPr>
          <w:rFonts w:ascii="楷体_GB2312" w:eastAsia="楷体_GB2312" w:hint="eastAsia"/>
          <w:noProof/>
        </w:rPr>
        <w:t>日</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7B2E90">
        <w:rPr>
          <w:rFonts w:ascii="楷体_GB2312" w:eastAsia="楷体_GB2312" w:hint="eastAsia"/>
          <w:b/>
          <w:color w:val="000000"/>
          <w:sz w:val="18"/>
          <w:szCs w:val="18"/>
        </w:rPr>
        <w:t>18</w:t>
      </w:r>
      <w:r w:rsidRPr="00144B03">
        <w:rPr>
          <w:rFonts w:ascii="楷体_GB2312" w:eastAsia="楷体_GB2312" w:hint="eastAsia"/>
          <w:b/>
          <w:color w:val="000000"/>
          <w:sz w:val="18"/>
          <w:szCs w:val="18"/>
        </w:rPr>
        <w:t xml:space="preserve">  上海证券积极型基金组合累计</w:t>
      </w:r>
      <w:r w:rsidR="00DF138F"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D95D6C" w:rsidP="0067696A">
      <w:pPr>
        <w:keepNext/>
        <w:keepLines/>
        <w:jc w:val="center"/>
      </w:pPr>
      <w:r w:rsidRPr="00D95D6C">
        <w:rPr>
          <w:noProof/>
        </w:rPr>
        <w:drawing>
          <wp:inline distT="0" distB="0" distL="0" distR="0">
            <wp:extent cx="5124450" cy="2066925"/>
            <wp:effectExtent l="1905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cstate="print"/>
                    <a:srcRect/>
                    <a:stretch>
                      <a:fillRect/>
                    </a:stretch>
                  </pic:blipFill>
                  <pic:spPr bwMode="auto">
                    <a:xfrm>
                      <a:off x="0" y="0"/>
                      <a:ext cx="5124450" cy="2066925"/>
                    </a:xfrm>
                    <a:prstGeom prst="rect">
                      <a:avLst/>
                    </a:prstGeom>
                    <a:noFill/>
                    <a:ln w="9525">
                      <a:noFill/>
                      <a:miter lim="800000"/>
                      <a:headEnd/>
                      <a:tailEnd/>
                    </a:ln>
                  </pic:spPr>
                </pic:pic>
              </a:graphicData>
            </a:graphic>
          </wp:inline>
        </w:drawing>
      </w:r>
    </w:p>
    <w:p w:rsidR="008E0A57" w:rsidRDefault="008E0A57"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19</w:t>
      </w:r>
      <w:r w:rsidRPr="00144B03">
        <w:rPr>
          <w:rFonts w:ascii="楷体_GB2312" w:eastAsia="楷体_GB2312" w:hint="eastAsia"/>
          <w:b/>
          <w:color w:val="000000"/>
          <w:sz w:val="18"/>
          <w:szCs w:val="18"/>
        </w:rPr>
        <w:t xml:space="preserve"> 上海证券平衡型基金组合累计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D95D6C" w:rsidP="0067696A">
      <w:pPr>
        <w:keepNext/>
        <w:keepLines/>
        <w:jc w:val="center"/>
        <w:rPr>
          <w:noProof/>
        </w:rPr>
      </w:pPr>
      <w:r w:rsidRPr="00D95D6C">
        <w:rPr>
          <w:noProof/>
        </w:rPr>
        <w:drawing>
          <wp:inline distT="0" distB="0" distL="0" distR="0">
            <wp:extent cx="5124450" cy="2066925"/>
            <wp:effectExtent l="1905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cstate="print"/>
                    <a:srcRect/>
                    <a:stretch>
                      <a:fillRect/>
                    </a:stretch>
                  </pic:blipFill>
                  <pic:spPr bwMode="auto">
                    <a:xfrm>
                      <a:off x="0" y="0"/>
                      <a:ext cx="5124450" cy="2066925"/>
                    </a:xfrm>
                    <a:prstGeom prst="rect">
                      <a:avLst/>
                    </a:prstGeom>
                    <a:noFill/>
                    <a:ln w="9525">
                      <a:noFill/>
                      <a:miter lim="800000"/>
                      <a:headEnd/>
                      <a:tailEnd/>
                    </a:ln>
                  </pic:spPr>
                </pic:pic>
              </a:graphicData>
            </a:graphic>
          </wp:inline>
        </w:drawing>
      </w:r>
    </w:p>
    <w:p w:rsidR="00752EFB" w:rsidRDefault="00752EFB" w:rsidP="0067696A">
      <w:pPr>
        <w:keepNext/>
        <w:keepLines/>
        <w:jc w:val="center"/>
        <w:rPr>
          <w:rFonts w:ascii="楷体_GB2312" w:eastAsia="楷体_GB2312"/>
          <w:noProof/>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20</w:t>
      </w:r>
      <w:r w:rsidRPr="00144B03">
        <w:rPr>
          <w:rFonts w:ascii="楷体_GB2312" w:eastAsia="楷体_GB2312" w:hint="eastAsia"/>
          <w:b/>
          <w:color w:val="000000"/>
          <w:sz w:val="18"/>
          <w:szCs w:val="18"/>
        </w:rPr>
        <w:t xml:space="preserve">  上海证券稳健型基金组合累计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D95D6C" w:rsidP="0067696A">
      <w:pPr>
        <w:keepNext/>
        <w:keepLines/>
        <w:jc w:val="center"/>
        <w:rPr>
          <w:rFonts w:ascii="楷体_GB2312" w:eastAsia="楷体_GB2312"/>
          <w:noProof/>
        </w:rPr>
      </w:pPr>
      <w:r w:rsidRPr="00D95D6C">
        <w:rPr>
          <w:noProof/>
        </w:rPr>
        <w:drawing>
          <wp:inline distT="0" distB="0" distL="0" distR="0">
            <wp:extent cx="5124450" cy="2066925"/>
            <wp:effectExtent l="1905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 cstate="print"/>
                    <a:srcRect/>
                    <a:stretch>
                      <a:fillRect/>
                    </a:stretch>
                  </pic:blipFill>
                  <pic:spPr bwMode="auto">
                    <a:xfrm>
                      <a:off x="0" y="0"/>
                      <a:ext cx="5124450" cy="2066925"/>
                    </a:xfrm>
                    <a:prstGeom prst="rect">
                      <a:avLst/>
                    </a:prstGeom>
                    <a:noFill/>
                    <a:ln w="9525">
                      <a:noFill/>
                      <a:miter lim="800000"/>
                      <a:headEnd/>
                      <a:tailEnd/>
                    </a:ln>
                  </pic:spPr>
                </pic:pic>
              </a:graphicData>
            </a:graphic>
          </wp:inline>
        </w:drawing>
      </w:r>
    </w:p>
    <w:p w:rsidR="0036528C" w:rsidRDefault="0036528C" w:rsidP="00144B03">
      <w:pPr>
        <w:spacing w:line="360" w:lineRule="auto"/>
        <w:jc w:val="center"/>
        <w:rPr>
          <w:rFonts w:ascii="楷体_GB2312" w:eastAsia="楷体_GB2312"/>
          <w:b/>
          <w:color w:val="000000"/>
          <w:sz w:val="18"/>
          <w:szCs w:val="18"/>
        </w:rPr>
      </w:pPr>
    </w:p>
    <w:p w:rsidR="0036528C" w:rsidRDefault="0036528C" w:rsidP="00144B03">
      <w:pPr>
        <w:spacing w:line="360" w:lineRule="auto"/>
        <w:jc w:val="center"/>
        <w:rPr>
          <w:rFonts w:ascii="楷体_GB2312" w:eastAsia="楷体_GB2312"/>
          <w:b/>
          <w:color w:val="000000"/>
          <w:sz w:val="18"/>
          <w:szCs w:val="18"/>
        </w:rPr>
      </w:pPr>
    </w:p>
    <w:p w:rsidR="0036528C" w:rsidRDefault="0036528C" w:rsidP="00144B03">
      <w:pPr>
        <w:spacing w:line="360" w:lineRule="auto"/>
        <w:jc w:val="center"/>
        <w:rPr>
          <w:rFonts w:ascii="楷体_GB2312" w:eastAsia="楷体_GB2312"/>
          <w:b/>
          <w:color w:val="000000"/>
          <w:sz w:val="18"/>
          <w:szCs w:val="18"/>
        </w:rPr>
      </w:pPr>
    </w:p>
    <w:p w:rsidR="00E948C6" w:rsidRPr="00144B03" w:rsidRDefault="00A827A2"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表</w:t>
      </w:r>
      <w:r w:rsidR="00634E6C">
        <w:rPr>
          <w:rFonts w:ascii="楷体_GB2312" w:eastAsia="楷体_GB2312" w:hint="eastAsia"/>
          <w:b/>
          <w:color w:val="000000"/>
          <w:sz w:val="18"/>
          <w:szCs w:val="18"/>
        </w:rPr>
        <w:t>4</w:t>
      </w:r>
      <w:r w:rsidR="00080C6C" w:rsidRPr="00144B03">
        <w:rPr>
          <w:rFonts w:ascii="楷体_GB2312" w:eastAsia="楷体_GB2312" w:hint="eastAsia"/>
          <w:b/>
          <w:color w:val="000000"/>
          <w:sz w:val="18"/>
          <w:szCs w:val="18"/>
        </w:rPr>
        <w:t>、</w:t>
      </w:r>
      <w:r w:rsidR="00E948C6" w:rsidRPr="00144B03">
        <w:rPr>
          <w:rFonts w:ascii="楷体_GB2312" w:eastAsia="楷体_GB2312" w:hint="eastAsia"/>
          <w:b/>
          <w:color w:val="000000"/>
          <w:sz w:val="18"/>
          <w:szCs w:val="18"/>
        </w:rPr>
        <w:t>2011年2月以来各月份推荐组合</w:t>
      </w:r>
    </w:p>
    <w:tbl>
      <w:tblPr>
        <w:tblW w:w="8434" w:type="dxa"/>
        <w:jc w:val="center"/>
        <w:tblInd w:w="94" w:type="dxa"/>
        <w:tblLook w:val="04A0"/>
      </w:tblPr>
      <w:tblGrid>
        <w:gridCol w:w="2301"/>
        <w:gridCol w:w="630"/>
        <w:gridCol w:w="222"/>
        <w:gridCol w:w="2372"/>
        <w:gridCol w:w="630"/>
        <w:gridCol w:w="222"/>
        <w:gridCol w:w="1427"/>
        <w:gridCol w:w="630"/>
      </w:tblGrid>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2011年2-3月推荐组合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华商阿尔法</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2011年4-5月推荐组合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2011年12月推荐组合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广发标普全球农业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2012年2-4月推荐组合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2012年5-6月推荐组合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2012年7月推荐组合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2012年8-9月推荐组合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nil"/>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00"/>
          <w:jc w:val="center"/>
        </w:trPr>
        <w:tc>
          <w:tcPr>
            <w:tcW w:w="2301" w:type="dxa"/>
            <w:tcBorders>
              <w:top w:val="nil"/>
              <w:left w:val="single" w:sz="8" w:space="0" w:color="auto"/>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2012年12月-2013年5月推荐组合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0274E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2013年9-1</w:t>
            </w:r>
            <w:r w:rsidR="000274E7">
              <w:rPr>
                <w:rFonts w:ascii="宋体" w:hAnsi="宋体" w:cs="宋体" w:hint="eastAsia"/>
                <w:b/>
                <w:bCs/>
                <w:color w:val="FF0000"/>
                <w:kern w:val="0"/>
                <w:sz w:val="20"/>
                <w:szCs w:val="20"/>
              </w:rPr>
              <w:t>1</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2013年11</w:t>
            </w:r>
            <w:r w:rsidR="00CC2337">
              <w:rPr>
                <w:rFonts w:ascii="宋体" w:hAnsi="宋体" w:cs="宋体" w:hint="eastAsia"/>
                <w:b/>
                <w:bCs/>
                <w:color w:val="FF0000"/>
                <w:kern w:val="0"/>
                <w:sz w:val="20"/>
                <w:szCs w:val="20"/>
              </w:rPr>
              <w:t>-12</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CC2337" w:rsidRPr="00224A46" w:rsidRDefault="00CC2337" w:rsidP="00CC233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1</w:t>
            </w:r>
            <w:r w:rsidR="00CF5001">
              <w:rPr>
                <w:rFonts w:ascii="宋体" w:hAnsi="宋体" w:cs="宋体" w:hint="eastAsia"/>
                <w:b/>
                <w:bCs/>
                <w:color w:val="FF0000"/>
                <w:kern w:val="0"/>
                <w:sz w:val="20"/>
                <w:szCs w:val="20"/>
              </w:rPr>
              <w:t>-2</w:t>
            </w:r>
            <w:r w:rsidRPr="00224A46">
              <w:rPr>
                <w:rFonts w:ascii="宋体" w:hAnsi="宋体" w:cs="宋体" w:hint="eastAsia"/>
                <w:b/>
                <w:bCs/>
                <w:color w:val="FF0000"/>
                <w:kern w:val="0"/>
                <w:sz w:val="20"/>
                <w:szCs w:val="20"/>
              </w:rPr>
              <w:t>月推荐组合</w:t>
            </w:r>
          </w:p>
        </w:tc>
      </w:tr>
      <w:tr w:rsidR="00CC2337"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CC2337"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30%</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7F4193" w:rsidRPr="00224A46" w:rsidTr="00DC290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F4193" w:rsidRPr="00224A46" w:rsidRDefault="007F4193" w:rsidP="007F4193">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3</w:t>
            </w:r>
            <w:r w:rsidRPr="00224A46">
              <w:rPr>
                <w:rFonts w:ascii="宋体" w:hAnsi="宋体" w:cs="宋体" w:hint="eastAsia"/>
                <w:b/>
                <w:bCs/>
                <w:color w:val="FF0000"/>
                <w:kern w:val="0"/>
                <w:sz w:val="20"/>
                <w:szCs w:val="20"/>
              </w:rPr>
              <w:t>月推荐组合</w:t>
            </w:r>
          </w:p>
        </w:tc>
      </w:tr>
      <w:tr w:rsidR="007F4193" w:rsidRPr="00224A46" w:rsidTr="00DC290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F4193" w:rsidRPr="00224A46" w:rsidTr="00DC290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F4193"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40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AD4694" w:rsidRPr="00224A46" w:rsidTr="00AD4694">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AD4694" w:rsidRPr="00224A46" w:rsidRDefault="00AD4694" w:rsidP="00AD4694">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4</w:t>
            </w:r>
            <w:r w:rsidR="00EC59C8">
              <w:rPr>
                <w:rFonts w:ascii="宋体" w:hAnsi="宋体" w:cs="宋体" w:hint="eastAsia"/>
                <w:b/>
                <w:bCs/>
                <w:color w:val="FF0000"/>
                <w:kern w:val="0"/>
                <w:sz w:val="20"/>
                <w:szCs w:val="20"/>
              </w:rPr>
              <w:t>-5</w:t>
            </w:r>
            <w:r w:rsidRPr="00224A46">
              <w:rPr>
                <w:rFonts w:ascii="宋体" w:hAnsi="宋体" w:cs="宋体" w:hint="eastAsia"/>
                <w:b/>
                <w:bCs/>
                <w:color w:val="FF0000"/>
                <w:kern w:val="0"/>
                <w:sz w:val="20"/>
                <w:szCs w:val="20"/>
              </w:rPr>
              <w:t>月推荐组合</w:t>
            </w:r>
          </w:p>
        </w:tc>
      </w:tr>
      <w:tr w:rsidR="00AD4694" w:rsidRPr="00224A46" w:rsidTr="00AD4694">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AD4694" w:rsidRPr="00224A46" w:rsidTr="00AD4694">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AD4694"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2</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EC59C8" w:rsidP="00AD4694">
            <w:pPr>
              <w:widowControl/>
              <w:jc w:val="center"/>
              <w:rPr>
                <w:rFonts w:ascii="宋体" w:hAnsi="宋体" w:cs="宋体"/>
                <w:kern w:val="0"/>
                <w:sz w:val="18"/>
                <w:szCs w:val="18"/>
              </w:rPr>
            </w:pPr>
            <w:r>
              <w:rPr>
                <w:rFonts w:ascii="宋体" w:hAnsi="宋体" w:cs="宋体" w:hint="eastAsia"/>
                <w:kern w:val="0"/>
                <w:sz w:val="18"/>
                <w:szCs w:val="18"/>
              </w:rPr>
              <w:t>5</w:t>
            </w:r>
            <w:r w:rsidR="00AD4694">
              <w:rPr>
                <w:rFonts w:ascii="宋体" w:hAnsi="宋体" w:cs="宋体" w:hint="eastAsia"/>
                <w:kern w:val="0"/>
                <w:sz w:val="18"/>
                <w:szCs w:val="18"/>
              </w:rPr>
              <w:t>0</w:t>
            </w:r>
            <w:r w:rsidR="00AD4694"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252343" w:rsidRPr="00224A46" w:rsidTr="00252898">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52343" w:rsidRPr="00224A46" w:rsidRDefault="00252343" w:rsidP="0011000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6</w:t>
            </w:r>
            <w:r w:rsidR="002D1CDB">
              <w:rPr>
                <w:rFonts w:ascii="宋体" w:hAnsi="宋体" w:cs="宋体" w:hint="eastAsia"/>
                <w:b/>
                <w:bCs/>
                <w:color w:val="FF0000"/>
                <w:kern w:val="0"/>
                <w:sz w:val="20"/>
                <w:szCs w:val="20"/>
              </w:rPr>
              <w:t>-</w:t>
            </w:r>
            <w:r w:rsidR="0011000B">
              <w:rPr>
                <w:rFonts w:ascii="宋体" w:hAnsi="宋体" w:cs="宋体" w:hint="eastAsia"/>
                <w:b/>
                <w:bCs/>
                <w:color w:val="FF0000"/>
                <w:kern w:val="0"/>
                <w:sz w:val="20"/>
                <w:szCs w:val="20"/>
              </w:rPr>
              <w:t>8</w:t>
            </w:r>
            <w:r w:rsidRPr="00224A46">
              <w:rPr>
                <w:rFonts w:ascii="宋体" w:hAnsi="宋体" w:cs="宋体" w:hint="eastAsia"/>
                <w:b/>
                <w:bCs/>
                <w:color w:val="FF0000"/>
                <w:kern w:val="0"/>
                <w:sz w:val="20"/>
                <w:szCs w:val="20"/>
              </w:rPr>
              <w:t>月推荐组合</w:t>
            </w:r>
          </w:p>
        </w:tc>
      </w:tr>
      <w:tr w:rsidR="00252343" w:rsidRPr="00224A46" w:rsidTr="00252898">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52343" w:rsidRPr="00224A46" w:rsidTr="00252898">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52343"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40%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752EFB" w:rsidRPr="00224A46" w:rsidTr="00B66B4F">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52EFB" w:rsidRPr="00224A46" w:rsidRDefault="00752EFB" w:rsidP="00752EF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9</w:t>
            </w:r>
            <w:r w:rsidR="0095285C">
              <w:rPr>
                <w:rFonts w:ascii="宋体" w:hAnsi="宋体" w:cs="宋体" w:hint="eastAsia"/>
                <w:b/>
                <w:bCs/>
                <w:color w:val="FF0000"/>
                <w:kern w:val="0"/>
                <w:sz w:val="20"/>
                <w:szCs w:val="20"/>
              </w:rPr>
              <w:t>-11</w:t>
            </w:r>
            <w:r w:rsidRPr="00224A46">
              <w:rPr>
                <w:rFonts w:ascii="宋体" w:hAnsi="宋体" w:cs="宋体" w:hint="eastAsia"/>
                <w:b/>
                <w:bCs/>
                <w:color w:val="FF0000"/>
                <w:kern w:val="0"/>
                <w:sz w:val="20"/>
                <w:szCs w:val="20"/>
              </w:rPr>
              <w:t>月推荐组合</w:t>
            </w:r>
          </w:p>
        </w:tc>
      </w:tr>
      <w:tr w:rsidR="00752EFB" w:rsidRPr="00224A46" w:rsidTr="00B66B4F">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52EFB" w:rsidRPr="00224A46" w:rsidTr="00B66B4F">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lastRenderedPageBreak/>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45%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r w:rsidR="00D95D6C" w:rsidRPr="00224A46" w:rsidTr="00D95D6C">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D95D6C" w:rsidRPr="00224A46" w:rsidRDefault="00D95D6C" w:rsidP="00D95D6C">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12</w:t>
            </w:r>
            <w:r w:rsidRPr="00224A46">
              <w:rPr>
                <w:rFonts w:ascii="宋体" w:hAnsi="宋体" w:cs="宋体" w:hint="eastAsia"/>
                <w:b/>
                <w:bCs/>
                <w:color w:val="FF0000"/>
                <w:kern w:val="0"/>
                <w:sz w:val="20"/>
                <w:szCs w:val="20"/>
              </w:rPr>
              <w:t>月推荐组合</w:t>
            </w:r>
          </w:p>
        </w:tc>
      </w:tr>
      <w:tr w:rsidR="00D95D6C" w:rsidRPr="00224A46" w:rsidTr="00D95D6C">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D95D6C" w:rsidRPr="00224A46" w:rsidRDefault="00D95D6C" w:rsidP="00D95D6C">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D95D6C" w:rsidRPr="00224A46" w:rsidRDefault="00D95D6C" w:rsidP="00D95D6C">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D95D6C" w:rsidRPr="00224A46" w:rsidRDefault="00D95D6C" w:rsidP="00D95D6C">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D95D6C" w:rsidRPr="00224A46" w:rsidRDefault="00D95D6C" w:rsidP="00D95D6C">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D95D6C" w:rsidRPr="00224A46" w:rsidRDefault="00D95D6C" w:rsidP="00D95D6C">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D95D6C" w:rsidRPr="00224A46" w:rsidTr="00D95D6C">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D95D6C" w:rsidRPr="00224A46" w:rsidRDefault="00D95D6C" w:rsidP="00D95D6C">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D95D6C" w:rsidRPr="00224A46" w:rsidRDefault="00D95D6C" w:rsidP="00D95D6C">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D95D6C" w:rsidRPr="00224A46" w:rsidRDefault="00D95D6C" w:rsidP="00D95D6C">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BB573C" w:rsidTr="00D95D6C">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sidRPr="007F4645">
              <w:rPr>
                <w:rFonts w:hint="eastAsia"/>
                <w:sz w:val="18"/>
                <w:szCs w:val="18"/>
              </w:rPr>
              <w:t>博时裕富沪深</w:t>
            </w:r>
            <w:r w:rsidRPr="007F4645">
              <w:rPr>
                <w:rFonts w:hint="eastAsia"/>
                <w:sz w:val="18"/>
                <w:szCs w:val="18"/>
              </w:rPr>
              <w:t>300</w:t>
            </w:r>
          </w:p>
        </w:tc>
        <w:tc>
          <w:tcPr>
            <w:tcW w:w="630" w:type="dxa"/>
            <w:tcBorders>
              <w:top w:val="nil"/>
              <w:left w:val="nil"/>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40%</w:t>
            </w:r>
          </w:p>
        </w:tc>
        <w:tc>
          <w:tcPr>
            <w:tcW w:w="222" w:type="dxa"/>
            <w:vMerge/>
            <w:tcBorders>
              <w:top w:val="nil"/>
              <w:left w:val="nil"/>
              <w:bottom w:val="single" w:sz="8" w:space="0" w:color="000000"/>
              <w:right w:val="single" w:sz="8" w:space="0" w:color="auto"/>
            </w:tcBorders>
            <w:vAlign w:val="center"/>
            <w:hideMark/>
          </w:tcPr>
          <w:p w:rsidR="00BB573C" w:rsidRPr="00224A46" w:rsidRDefault="00BB573C" w:rsidP="00D95D6C">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sidRPr="007F4645">
              <w:rPr>
                <w:rFonts w:hint="eastAsia"/>
                <w:sz w:val="18"/>
                <w:szCs w:val="18"/>
              </w:rPr>
              <w:t>博时裕富沪深</w:t>
            </w:r>
            <w:r w:rsidRPr="007F4645">
              <w:rPr>
                <w:rFonts w:hint="eastAsia"/>
                <w:sz w:val="18"/>
                <w:szCs w:val="18"/>
              </w:rPr>
              <w:t>300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35%</w:t>
            </w:r>
          </w:p>
        </w:tc>
        <w:tc>
          <w:tcPr>
            <w:tcW w:w="222" w:type="dxa"/>
            <w:vMerge/>
            <w:tcBorders>
              <w:top w:val="nil"/>
              <w:left w:val="nil"/>
              <w:bottom w:val="single" w:sz="8" w:space="0" w:color="000000"/>
              <w:right w:val="nil"/>
            </w:tcBorders>
            <w:vAlign w:val="center"/>
            <w:hideMark/>
          </w:tcPr>
          <w:p w:rsidR="00BB573C" w:rsidRPr="00224A46" w:rsidRDefault="00BB573C" w:rsidP="00D95D6C">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30%</w:t>
            </w:r>
          </w:p>
        </w:tc>
      </w:tr>
      <w:tr w:rsidR="00BB573C" w:rsidTr="00D95D6C">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40%</w:t>
            </w:r>
          </w:p>
        </w:tc>
        <w:tc>
          <w:tcPr>
            <w:tcW w:w="222" w:type="dxa"/>
            <w:vMerge/>
            <w:tcBorders>
              <w:top w:val="nil"/>
              <w:left w:val="nil"/>
              <w:bottom w:val="single" w:sz="8" w:space="0" w:color="000000"/>
              <w:right w:val="single" w:sz="8" w:space="0" w:color="auto"/>
            </w:tcBorders>
            <w:vAlign w:val="center"/>
            <w:hideMark/>
          </w:tcPr>
          <w:p w:rsidR="00BB573C" w:rsidRPr="00224A46" w:rsidRDefault="00BB573C" w:rsidP="00D95D6C">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nil"/>
            </w:tcBorders>
            <w:vAlign w:val="center"/>
            <w:hideMark/>
          </w:tcPr>
          <w:p w:rsidR="00BB573C" w:rsidRPr="00224A46" w:rsidRDefault="00BB573C" w:rsidP="00D95D6C">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35%</w:t>
            </w:r>
          </w:p>
        </w:tc>
      </w:tr>
      <w:tr w:rsidR="00BB573C" w:rsidTr="00D95D6C">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sidRPr="007F4645">
              <w:rPr>
                <w:rFonts w:hint="eastAsia"/>
                <w:sz w:val="18"/>
                <w:szCs w:val="18"/>
              </w:rPr>
              <w:t>鹏华中证</w:t>
            </w:r>
            <w:r w:rsidRPr="007F4645">
              <w:rPr>
                <w:rFonts w:hint="eastAsia"/>
                <w:sz w:val="18"/>
                <w:szCs w:val="18"/>
              </w:rPr>
              <w:t>800</w:t>
            </w:r>
            <w:r w:rsidRPr="007F4645">
              <w:rPr>
                <w:rFonts w:hint="eastAsia"/>
                <w:sz w:val="18"/>
                <w:szCs w:val="18"/>
              </w:rPr>
              <w:t>非银行金融</w:t>
            </w:r>
          </w:p>
        </w:tc>
        <w:tc>
          <w:tcPr>
            <w:tcW w:w="630" w:type="dxa"/>
            <w:tcBorders>
              <w:top w:val="nil"/>
              <w:left w:val="nil"/>
              <w:bottom w:val="single" w:sz="8" w:space="0" w:color="auto"/>
              <w:right w:val="single" w:sz="8" w:space="0" w:color="auto"/>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20%</w:t>
            </w:r>
          </w:p>
        </w:tc>
        <w:tc>
          <w:tcPr>
            <w:tcW w:w="222" w:type="dxa"/>
            <w:vMerge/>
            <w:tcBorders>
              <w:top w:val="nil"/>
              <w:left w:val="nil"/>
              <w:bottom w:val="single" w:sz="8" w:space="0" w:color="000000"/>
              <w:right w:val="single" w:sz="8" w:space="0" w:color="auto"/>
            </w:tcBorders>
            <w:vAlign w:val="center"/>
            <w:hideMark/>
          </w:tcPr>
          <w:p w:rsidR="00BB573C" w:rsidRPr="00224A46" w:rsidRDefault="00BB573C" w:rsidP="00D95D6C">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35%</w:t>
            </w:r>
          </w:p>
        </w:tc>
        <w:tc>
          <w:tcPr>
            <w:tcW w:w="222" w:type="dxa"/>
            <w:vMerge/>
            <w:tcBorders>
              <w:top w:val="nil"/>
              <w:left w:val="nil"/>
              <w:bottom w:val="single" w:sz="8" w:space="0" w:color="000000"/>
              <w:right w:val="nil"/>
            </w:tcBorders>
            <w:vAlign w:val="center"/>
            <w:hideMark/>
          </w:tcPr>
          <w:p w:rsidR="00BB573C" w:rsidRPr="00224A46" w:rsidRDefault="00BB573C" w:rsidP="00D95D6C">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BB573C" w:rsidRDefault="00BB573C" w:rsidP="00D95D6C">
            <w:pPr>
              <w:jc w:val="center"/>
              <w:rPr>
                <w:rFonts w:ascii="宋体" w:hAnsi="宋体" w:cs="宋体"/>
                <w:sz w:val="18"/>
                <w:szCs w:val="18"/>
              </w:rPr>
            </w:pPr>
            <w:r>
              <w:rPr>
                <w:rFonts w:hint="eastAsia"/>
                <w:sz w:val="18"/>
                <w:szCs w:val="18"/>
              </w:rPr>
              <w:t>35%</w:t>
            </w:r>
          </w:p>
        </w:tc>
      </w:tr>
    </w:tbl>
    <w:p w:rsidR="00D95D6C" w:rsidRDefault="00D95D6C" w:rsidP="00D95D6C">
      <w:pPr>
        <w:spacing w:line="400" w:lineRule="exact"/>
        <w:jc w:val="left"/>
        <w:rPr>
          <w:rFonts w:eastAsia="楷体_GB2312"/>
          <w:b/>
          <w:bCs/>
          <w:color w:val="003366"/>
          <w:szCs w:val="21"/>
        </w:rPr>
      </w:pPr>
    </w:p>
    <w:p w:rsidR="00752EFB" w:rsidRDefault="00752EFB" w:rsidP="00752EFB">
      <w:pPr>
        <w:spacing w:line="400" w:lineRule="exact"/>
        <w:jc w:val="left"/>
        <w:rPr>
          <w:rFonts w:eastAsia="楷体_GB2312"/>
          <w:b/>
          <w:bCs/>
          <w:color w:val="003366"/>
          <w:szCs w:val="21"/>
        </w:rPr>
      </w:pP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410A84">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32"/>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54" w:rsidRDefault="00920B54">
      <w:r>
        <w:separator/>
      </w:r>
    </w:p>
  </w:endnote>
  <w:endnote w:type="continuationSeparator" w:id="0">
    <w:p w:rsidR="00920B54" w:rsidRDefault="00920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84" w:rsidRDefault="00410A84" w:rsidP="009A0C03">
    <w:pPr>
      <w:pStyle w:val="a5"/>
      <w:framePr w:wrap="around" w:vAnchor="text" w:hAnchor="margin" w:xAlign="right" w:y="1"/>
      <w:rPr>
        <w:rStyle w:val="a7"/>
      </w:rPr>
    </w:pPr>
    <w:r>
      <w:rPr>
        <w:rStyle w:val="a7"/>
        <w:noProof/>
      </w:rPr>
      <w:t>1</w:t>
    </w:r>
  </w:p>
  <w:p w:rsidR="00410A84" w:rsidRDefault="00410A84"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84" w:rsidRDefault="00410A84" w:rsidP="009A0C03">
    <w:pPr>
      <w:pStyle w:val="a5"/>
      <w:ind w:right="360"/>
    </w:pPr>
    <w:r>
      <w:rPr>
        <w:noProof/>
      </w:rPr>
      <w:pict>
        <v:shapetype id="_x0000_t202" coordsize="21600,21600" o:spt="202" path="m,l,21600r21600,l21600,xe">
          <v:stroke joinstyle="miter"/>
          <v:path gradientshapeok="t" o:connecttype="rect"/>
        </v:shapetype>
        <v:shape id="_x0000_s2061" type="#_x0000_t202" style="position:absolute;margin-left:28.8pt;margin-top:772.9pt;width:513.45pt;height:18pt;z-index:251660800;mso-position-horizontal-relative:page;mso-position-vertical-relative:page" filled="f" stroked="f">
          <v:textbox style="mso-next-textbox:#_x0000_s2061" inset="0,0,0,0">
            <w:txbxContent>
              <w:p w:rsidR="00410A84" w:rsidRPr="00310D17" w:rsidRDefault="00410A84"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0774F9" w:rsidRPr="000774F9">
                  <w:rPr>
                    <w:rFonts w:ascii="楷体_GB2312" w:eastAsia="楷体_GB2312"/>
                    <w:noProof/>
                    <w:color w:val="003366"/>
                    <w:szCs w:val="21"/>
                    <w:lang w:val="zh-CN"/>
                  </w:rPr>
                  <w:t>2</w:t>
                </w:r>
                <w:r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54" w:rsidRDefault="00920B54">
      <w:r>
        <w:separator/>
      </w:r>
    </w:p>
  </w:footnote>
  <w:footnote w:type="continuationSeparator" w:id="0">
    <w:p w:rsidR="00920B54" w:rsidRDefault="00920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84" w:rsidRPr="0010121A" w:rsidRDefault="00410A84">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84" w:rsidRPr="00935FC9" w:rsidRDefault="00410A84" w:rsidP="00CE0CE6">
    <w:pPr>
      <w:pStyle w:val="a4"/>
      <w:jc w:val="left"/>
      <w:rPr>
        <w:rFonts w:ascii="楷体_GB2312" w:eastAsia="楷体_GB2312"/>
        <w:b/>
        <w:color w:val="333399"/>
        <w:sz w:val="24"/>
        <w:szCs w:val="24"/>
      </w:rPr>
    </w:pPr>
    <w:r w:rsidRPr="00360589">
      <w:rPr>
        <w:rFonts w:ascii="楷体_GB2312" w:eastAsia="楷体_GB2312"/>
        <w:b/>
        <w:noProof/>
        <w:color w:val="003366"/>
        <w:sz w:val="21"/>
        <w:szCs w:val="21"/>
      </w:rPr>
      <w:pict>
        <v:line id="_x0000_s2054" style="position:absolute;z-index:25165875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360589">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410A84" w:rsidRDefault="00410A84">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830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C8C"/>
    <w:rsid w:val="00000E9F"/>
    <w:rsid w:val="000029A7"/>
    <w:rsid w:val="000029F2"/>
    <w:rsid w:val="000044F4"/>
    <w:rsid w:val="00004E27"/>
    <w:rsid w:val="00005BE8"/>
    <w:rsid w:val="0000648E"/>
    <w:rsid w:val="0000791E"/>
    <w:rsid w:val="00007A3C"/>
    <w:rsid w:val="000106CA"/>
    <w:rsid w:val="0001113C"/>
    <w:rsid w:val="000111C0"/>
    <w:rsid w:val="0001127B"/>
    <w:rsid w:val="00012918"/>
    <w:rsid w:val="000129DA"/>
    <w:rsid w:val="000131EA"/>
    <w:rsid w:val="0001321E"/>
    <w:rsid w:val="0001469B"/>
    <w:rsid w:val="000150D4"/>
    <w:rsid w:val="000157C0"/>
    <w:rsid w:val="00016CEE"/>
    <w:rsid w:val="00016D23"/>
    <w:rsid w:val="000171B5"/>
    <w:rsid w:val="000174A7"/>
    <w:rsid w:val="000202BA"/>
    <w:rsid w:val="00021FBC"/>
    <w:rsid w:val="00022534"/>
    <w:rsid w:val="000238F6"/>
    <w:rsid w:val="00023DD5"/>
    <w:rsid w:val="000246CA"/>
    <w:rsid w:val="00024B12"/>
    <w:rsid w:val="000258AD"/>
    <w:rsid w:val="00025F5B"/>
    <w:rsid w:val="00026DA0"/>
    <w:rsid w:val="000274E7"/>
    <w:rsid w:val="00027789"/>
    <w:rsid w:val="00027E1E"/>
    <w:rsid w:val="00030158"/>
    <w:rsid w:val="0003081E"/>
    <w:rsid w:val="00030B24"/>
    <w:rsid w:val="00030BAB"/>
    <w:rsid w:val="00030D7F"/>
    <w:rsid w:val="00030F4D"/>
    <w:rsid w:val="000314BE"/>
    <w:rsid w:val="00031764"/>
    <w:rsid w:val="000322EF"/>
    <w:rsid w:val="000327E3"/>
    <w:rsid w:val="0003301C"/>
    <w:rsid w:val="000331E5"/>
    <w:rsid w:val="0003332D"/>
    <w:rsid w:val="00034722"/>
    <w:rsid w:val="000347E8"/>
    <w:rsid w:val="00034BC1"/>
    <w:rsid w:val="00034DC0"/>
    <w:rsid w:val="00035714"/>
    <w:rsid w:val="00035A3C"/>
    <w:rsid w:val="00035B53"/>
    <w:rsid w:val="00037269"/>
    <w:rsid w:val="000379D8"/>
    <w:rsid w:val="00037A3C"/>
    <w:rsid w:val="00040F4E"/>
    <w:rsid w:val="0004119D"/>
    <w:rsid w:val="00041A04"/>
    <w:rsid w:val="00042120"/>
    <w:rsid w:val="000423D0"/>
    <w:rsid w:val="00042CAA"/>
    <w:rsid w:val="0004318E"/>
    <w:rsid w:val="00043955"/>
    <w:rsid w:val="000440AF"/>
    <w:rsid w:val="0004467B"/>
    <w:rsid w:val="00046606"/>
    <w:rsid w:val="0004775B"/>
    <w:rsid w:val="00047AF8"/>
    <w:rsid w:val="00050159"/>
    <w:rsid w:val="0005024E"/>
    <w:rsid w:val="0005043F"/>
    <w:rsid w:val="00050E71"/>
    <w:rsid w:val="00050ED4"/>
    <w:rsid w:val="0005103B"/>
    <w:rsid w:val="00051B01"/>
    <w:rsid w:val="00052F7F"/>
    <w:rsid w:val="00052FD4"/>
    <w:rsid w:val="00053075"/>
    <w:rsid w:val="000534E5"/>
    <w:rsid w:val="0005399B"/>
    <w:rsid w:val="00053B65"/>
    <w:rsid w:val="0005451D"/>
    <w:rsid w:val="00055F5A"/>
    <w:rsid w:val="00055FBF"/>
    <w:rsid w:val="000571C2"/>
    <w:rsid w:val="000574FE"/>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3D1"/>
    <w:rsid w:val="00064639"/>
    <w:rsid w:val="00065A74"/>
    <w:rsid w:val="00065D61"/>
    <w:rsid w:val="0006601F"/>
    <w:rsid w:val="000665F7"/>
    <w:rsid w:val="00067072"/>
    <w:rsid w:val="000679F2"/>
    <w:rsid w:val="00067A3A"/>
    <w:rsid w:val="00067EE7"/>
    <w:rsid w:val="0007081F"/>
    <w:rsid w:val="000709F3"/>
    <w:rsid w:val="0007102E"/>
    <w:rsid w:val="0007109A"/>
    <w:rsid w:val="00071740"/>
    <w:rsid w:val="00071BE6"/>
    <w:rsid w:val="00072ECB"/>
    <w:rsid w:val="000730BF"/>
    <w:rsid w:val="00073837"/>
    <w:rsid w:val="00073A20"/>
    <w:rsid w:val="00074C34"/>
    <w:rsid w:val="000753A8"/>
    <w:rsid w:val="00075727"/>
    <w:rsid w:val="00075A47"/>
    <w:rsid w:val="00075DEA"/>
    <w:rsid w:val="000765F3"/>
    <w:rsid w:val="00076B2A"/>
    <w:rsid w:val="000772BD"/>
    <w:rsid w:val="000773C7"/>
    <w:rsid w:val="000774F9"/>
    <w:rsid w:val="000803E1"/>
    <w:rsid w:val="0008073B"/>
    <w:rsid w:val="00080C6C"/>
    <w:rsid w:val="000815A9"/>
    <w:rsid w:val="000823FE"/>
    <w:rsid w:val="00083230"/>
    <w:rsid w:val="00083340"/>
    <w:rsid w:val="000838AB"/>
    <w:rsid w:val="00083D28"/>
    <w:rsid w:val="000844AB"/>
    <w:rsid w:val="000844E3"/>
    <w:rsid w:val="00084813"/>
    <w:rsid w:val="00084F6B"/>
    <w:rsid w:val="000865D2"/>
    <w:rsid w:val="0008663F"/>
    <w:rsid w:val="00086EB5"/>
    <w:rsid w:val="00087C65"/>
    <w:rsid w:val="00087FB6"/>
    <w:rsid w:val="000903CC"/>
    <w:rsid w:val="00091B9B"/>
    <w:rsid w:val="00092408"/>
    <w:rsid w:val="00093188"/>
    <w:rsid w:val="00093F2D"/>
    <w:rsid w:val="00094B48"/>
    <w:rsid w:val="00095183"/>
    <w:rsid w:val="00095242"/>
    <w:rsid w:val="00095B04"/>
    <w:rsid w:val="00095C41"/>
    <w:rsid w:val="00096293"/>
    <w:rsid w:val="00096A58"/>
    <w:rsid w:val="00096FBA"/>
    <w:rsid w:val="000970EC"/>
    <w:rsid w:val="00097771"/>
    <w:rsid w:val="00097F4B"/>
    <w:rsid w:val="000A06A5"/>
    <w:rsid w:val="000A0CBC"/>
    <w:rsid w:val="000A0D9A"/>
    <w:rsid w:val="000A134D"/>
    <w:rsid w:val="000A21DA"/>
    <w:rsid w:val="000A29F5"/>
    <w:rsid w:val="000A2CF8"/>
    <w:rsid w:val="000A3362"/>
    <w:rsid w:val="000A390F"/>
    <w:rsid w:val="000A3FB9"/>
    <w:rsid w:val="000A4A44"/>
    <w:rsid w:val="000A5E65"/>
    <w:rsid w:val="000A6448"/>
    <w:rsid w:val="000A7344"/>
    <w:rsid w:val="000A7E5D"/>
    <w:rsid w:val="000B03C3"/>
    <w:rsid w:val="000B0503"/>
    <w:rsid w:val="000B0573"/>
    <w:rsid w:val="000B0C95"/>
    <w:rsid w:val="000B3575"/>
    <w:rsid w:val="000B37D0"/>
    <w:rsid w:val="000B3D93"/>
    <w:rsid w:val="000B40AB"/>
    <w:rsid w:val="000B4882"/>
    <w:rsid w:val="000B488B"/>
    <w:rsid w:val="000B50D6"/>
    <w:rsid w:val="000B5ABE"/>
    <w:rsid w:val="000B6726"/>
    <w:rsid w:val="000B69C4"/>
    <w:rsid w:val="000B6CA4"/>
    <w:rsid w:val="000B72A5"/>
    <w:rsid w:val="000B7497"/>
    <w:rsid w:val="000C0C63"/>
    <w:rsid w:val="000C103A"/>
    <w:rsid w:val="000C10D1"/>
    <w:rsid w:val="000C15E5"/>
    <w:rsid w:val="000C18A0"/>
    <w:rsid w:val="000C19E7"/>
    <w:rsid w:val="000C24D4"/>
    <w:rsid w:val="000C3C4B"/>
    <w:rsid w:val="000C50F4"/>
    <w:rsid w:val="000C5348"/>
    <w:rsid w:val="000C56F5"/>
    <w:rsid w:val="000C67A7"/>
    <w:rsid w:val="000C690A"/>
    <w:rsid w:val="000C6D2E"/>
    <w:rsid w:val="000C791B"/>
    <w:rsid w:val="000D09B6"/>
    <w:rsid w:val="000D0CEA"/>
    <w:rsid w:val="000D141F"/>
    <w:rsid w:val="000D16E7"/>
    <w:rsid w:val="000D17BD"/>
    <w:rsid w:val="000D1B25"/>
    <w:rsid w:val="000D2EC7"/>
    <w:rsid w:val="000D394E"/>
    <w:rsid w:val="000D3FB7"/>
    <w:rsid w:val="000D518A"/>
    <w:rsid w:val="000D5771"/>
    <w:rsid w:val="000D6382"/>
    <w:rsid w:val="000D6473"/>
    <w:rsid w:val="000D6B1E"/>
    <w:rsid w:val="000D7492"/>
    <w:rsid w:val="000D76CD"/>
    <w:rsid w:val="000D787B"/>
    <w:rsid w:val="000D7E85"/>
    <w:rsid w:val="000E0370"/>
    <w:rsid w:val="000E0AE9"/>
    <w:rsid w:val="000E0E2E"/>
    <w:rsid w:val="000E1282"/>
    <w:rsid w:val="000E209A"/>
    <w:rsid w:val="000E2171"/>
    <w:rsid w:val="000E257F"/>
    <w:rsid w:val="000E2698"/>
    <w:rsid w:val="000E3681"/>
    <w:rsid w:val="000E3D2E"/>
    <w:rsid w:val="000E41B8"/>
    <w:rsid w:val="000E448E"/>
    <w:rsid w:val="000E4FF1"/>
    <w:rsid w:val="000E640F"/>
    <w:rsid w:val="000E6F1C"/>
    <w:rsid w:val="000E7BF8"/>
    <w:rsid w:val="000F03E0"/>
    <w:rsid w:val="000F0B66"/>
    <w:rsid w:val="000F0DFF"/>
    <w:rsid w:val="000F0EAA"/>
    <w:rsid w:val="000F152D"/>
    <w:rsid w:val="000F264F"/>
    <w:rsid w:val="000F2F03"/>
    <w:rsid w:val="000F35EA"/>
    <w:rsid w:val="000F3B44"/>
    <w:rsid w:val="000F3DF3"/>
    <w:rsid w:val="000F4524"/>
    <w:rsid w:val="000F47BA"/>
    <w:rsid w:val="000F4D4B"/>
    <w:rsid w:val="000F6411"/>
    <w:rsid w:val="000F6EE1"/>
    <w:rsid w:val="000F7237"/>
    <w:rsid w:val="000F76DD"/>
    <w:rsid w:val="000F78AB"/>
    <w:rsid w:val="000F798B"/>
    <w:rsid w:val="000F7C7F"/>
    <w:rsid w:val="001008C6"/>
    <w:rsid w:val="00100C8A"/>
    <w:rsid w:val="00101E0B"/>
    <w:rsid w:val="00102310"/>
    <w:rsid w:val="00102450"/>
    <w:rsid w:val="001026DB"/>
    <w:rsid w:val="00102B74"/>
    <w:rsid w:val="00103313"/>
    <w:rsid w:val="00103390"/>
    <w:rsid w:val="00103762"/>
    <w:rsid w:val="00103A2B"/>
    <w:rsid w:val="00103F19"/>
    <w:rsid w:val="00104223"/>
    <w:rsid w:val="001043C1"/>
    <w:rsid w:val="00105F08"/>
    <w:rsid w:val="0011000B"/>
    <w:rsid w:val="00110B48"/>
    <w:rsid w:val="001120C9"/>
    <w:rsid w:val="00112234"/>
    <w:rsid w:val="001129F3"/>
    <w:rsid w:val="00112BF0"/>
    <w:rsid w:val="00112EB3"/>
    <w:rsid w:val="001130A2"/>
    <w:rsid w:val="00113CD9"/>
    <w:rsid w:val="00113D19"/>
    <w:rsid w:val="00114C8D"/>
    <w:rsid w:val="00114D9D"/>
    <w:rsid w:val="00115273"/>
    <w:rsid w:val="001153EB"/>
    <w:rsid w:val="00115520"/>
    <w:rsid w:val="0011584C"/>
    <w:rsid w:val="00115CB5"/>
    <w:rsid w:val="00117050"/>
    <w:rsid w:val="001170FF"/>
    <w:rsid w:val="00117652"/>
    <w:rsid w:val="00121171"/>
    <w:rsid w:val="00121950"/>
    <w:rsid w:val="001224D9"/>
    <w:rsid w:val="0012296B"/>
    <w:rsid w:val="00122A4B"/>
    <w:rsid w:val="00122AC5"/>
    <w:rsid w:val="0012322E"/>
    <w:rsid w:val="001233B8"/>
    <w:rsid w:val="001236F7"/>
    <w:rsid w:val="00123C08"/>
    <w:rsid w:val="00123D36"/>
    <w:rsid w:val="00123D74"/>
    <w:rsid w:val="0012476C"/>
    <w:rsid w:val="001256F5"/>
    <w:rsid w:val="001257DF"/>
    <w:rsid w:val="001265A1"/>
    <w:rsid w:val="0012674B"/>
    <w:rsid w:val="001268D9"/>
    <w:rsid w:val="00126966"/>
    <w:rsid w:val="001275F8"/>
    <w:rsid w:val="001279AB"/>
    <w:rsid w:val="0013007A"/>
    <w:rsid w:val="00130869"/>
    <w:rsid w:val="00130E8B"/>
    <w:rsid w:val="001316D7"/>
    <w:rsid w:val="001316F6"/>
    <w:rsid w:val="0013271C"/>
    <w:rsid w:val="001329DD"/>
    <w:rsid w:val="00132F20"/>
    <w:rsid w:val="00132FB8"/>
    <w:rsid w:val="00133570"/>
    <w:rsid w:val="00134A4E"/>
    <w:rsid w:val="00134A97"/>
    <w:rsid w:val="00135339"/>
    <w:rsid w:val="00135751"/>
    <w:rsid w:val="00135E33"/>
    <w:rsid w:val="00135F63"/>
    <w:rsid w:val="001365B3"/>
    <w:rsid w:val="00136DAC"/>
    <w:rsid w:val="00137360"/>
    <w:rsid w:val="001407BA"/>
    <w:rsid w:val="00140CA2"/>
    <w:rsid w:val="00141178"/>
    <w:rsid w:val="001414CB"/>
    <w:rsid w:val="001417EA"/>
    <w:rsid w:val="00141AE8"/>
    <w:rsid w:val="00141C52"/>
    <w:rsid w:val="001430A8"/>
    <w:rsid w:val="00143200"/>
    <w:rsid w:val="001436D8"/>
    <w:rsid w:val="00143870"/>
    <w:rsid w:val="00143B16"/>
    <w:rsid w:val="00144B03"/>
    <w:rsid w:val="00144B28"/>
    <w:rsid w:val="00144B9D"/>
    <w:rsid w:val="001459B6"/>
    <w:rsid w:val="00145C28"/>
    <w:rsid w:val="00146029"/>
    <w:rsid w:val="001460BF"/>
    <w:rsid w:val="0014637E"/>
    <w:rsid w:val="00146588"/>
    <w:rsid w:val="00146EEF"/>
    <w:rsid w:val="0014719B"/>
    <w:rsid w:val="00147DFB"/>
    <w:rsid w:val="00151072"/>
    <w:rsid w:val="00151C0B"/>
    <w:rsid w:val="00151D25"/>
    <w:rsid w:val="00152623"/>
    <w:rsid w:val="00153698"/>
    <w:rsid w:val="0015384F"/>
    <w:rsid w:val="00154A1D"/>
    <w:rsid w:val="00154B70"/>
    <w:rsid w:val="00154B82"/>
    <w:rsid w:val="00155034"/>
    <w:rsid w:val="00155200"/>
    <w:rsid w:val="00155B60"/>
    <w:rsid w:val="00155D60"/>
    <w:rsid w:val="00156066"/>
    <w:rsid w:val="00156DE0"/>
    <w:rsid w:val="001578AF"/>
    <w:rsid w:val="00157CE6"/>
    <w:rsid w:val="00157F9D"/>
    <w:rsid w:val="00160415"/>
    <w:rsid w:val="001609E5"/>
    <w:rsid w:val="001615A4"/>
    <w:rsid w:val="0016164D"/>
    <w:rsid w:val="00161882"/>
    <w:rsid w:val="0016211C"/>
    <w:rsid w:val="0016234D"/>
    <w:rsid w:val="00162C24"/>
    <w:rsid w:val="00164099"/>
    <w:rsid w:val="00164D19"/>
    <w:rsid w:val="0016597C"/>
    <w:rsid w:val="001666B3"/>
    <w:rsid w:val="00166883"/>
    <w:rsid w:val="00167BAA"/>
    <w:rsid w:val="00167D64"/>
    <w:rsid w:val="00167FA0"/>
    <w:rsid w:val="00170214"/>
    <w:rsid w:val="001703C2"/>
    <w:rsid w:val="0017080E"/>
    <w:rsid w:val="001708E7"/>
    <w:rsid w:val="00171343"/>
    <w:rsid w:val="001715AE"/>
    <w:rsid w:val="00171A0B"/>
    <w:rsid w:val="00171A42"/>
    <w:rsid w:val="00171C4F"/>
    <w:rsid w:val="00172373"/>
    <w:rsid w:val="0017273B"/>
    <w:rsid w:val="001738B3"/>
    <w:rsid w:val="001746AF"/>
    <w:rsid w:val="001747A9"/>
    <w:rsid w:val="00174958"/>
    <w:rsid w:val="00175259"/>
    <w:rsid w:val="0017543C"/>
    <w:rsid w:val="0017553B"/>
    <w:rsid w:val="0017636C"/>
    <w:rsid w:val="001767DE"/>
    <w:rsid w:val="00176DA3"/>
    <w:rsid w:val="00176ED8"/>
    <w:rsid w:val="00176F9A"/>
    <w:rsid w:val="00177000"/>
    <w:rsid w:val="00177718"/>
    <w:rsid w:val="0017773A"/>
    <w:rsid w:val="001777E8"/>
    <w:rsid w:val="0018045B"/>
    <w:rsid w:val="00181228"/>
    <w:rsid w:val="00181D01"/>
    <w:rsid w:val="00181E6E"/>
    <w:rsid w:val="001821C3"/>
    <w:rsid w:val="0018246B"/>
    <w:rsid w:val="00182484"/>
    <w:rsid w:val="00183745"/>
    <w:rsid w:val="00183900"/>
    <w:rsid w:val="00184110"/>
    <w:rsid w:val="0018520D"/>
    <w:rsid w:val="00185A10"/>
    <w:rsid w:val="00185EC4"/>
    <w:rsid w:val="0018636B"/>
    <w:rsid w:val="00186447"/>
    <w:rsid w:val="0018691D"/>
    <w:rsid w:val="001876D9"/>
    <w:rsid w:val="001906A8"/>
    <w:rsid w:val="001909A7"/>
    <w:rsid w:val="00191141"/>
    <w:rsid w:val="0019149C"/>
    <w:rsid w:val="001914BE"/>
    <w:rsid w:val="00191FE7"/>
    <w:rsid w:val="00192465"/>
    <w:rsid w:val="001930E1"/>
    <w:rsid w:val="001932B8"/>
    <w:rsid w:val="00193442"/>
    <w:rsid w:val="00193771"/>
    <w:rsid w:val="00193900"/>
    <w:rsid w:val="00193CF9"/>
    <w:rsid w:val="001941AC"/>
    <w:rsid w:val="00194851"/>
    <w:rsid w:val="00194D59"/>
    <w:rsid w:val="00195F1F"/>
    <w:rsid w:val="001964B3"/>
    <w:rsid w:val="001965E6"/>
    <w:rsid w:val="0019689C"/>
    <w:rsid w:val="00196F5D"/>
    <w:rsid w:val="00197219"/>
    <w:rsid w:val="00197C10"/>
    <w:rsid w:val="00197E58"/>
    <w:rsid w:val="001A016D"/>
    <w:rsid w:val="001A059C"/>
    <w:rsid w:val="001A0F60"/>
    <w:rsid w:val="001A1808"/>
    <w:rsid w:val="001A35BB"/>
    <w:rsid w:val="001A39A9"/>
    <w:rsid w:val="001A459A"/>
    <w:rsid w:val="001A531F"/>
    <w:rsid w:val="001A5ED5"/>
    <w:rsid w:val="001A617C"/>
    <w:rsid w:val="001A6FFD"/>
    <w:rsid w:val="001A7A43"/>
    <w:rsid w:val="001A7ADF"/>
    <w:rsid w:val="001B06C6"/>
    <w:rsid w:val="001B0967"/>
    <w:rsid w:val="001B0B52"/>
    <w:rsid w:val="001B0C1B"/>
    <w:rsid w:val="001B0D70"/>
    <w:rsid w:val="001B1063"/>
    <w:rsid w:val="001B1274"/>
    <w:rsid w:val="001B1E36"/>
    <w:rsid w:val="001B2444"/>
    <w:rsid w:val="001B29C8"/>
    <w:rsid w:val="001B2BBD"/>
    <w:rsid w:val="001B2BF1"/>
    <w:rsid w:val="001B31CA"/>
    <w:rsid w:val="001B36C6"/>
    <w:rsid w:val="001B3C4A"/>
    <w:rsid w:val="001B448B"/>
    <w:rsid w:val="001B451C"/>
    <w:rsid w:val="001B4787"/>
    <w:rsid w:val="001B4A79"/>
    <w:rsid w:val="001B4DA7"/>
    <w:rsid w:val="001B5825"/>
    <w:rsid w:val="001B622E"/>
    <w:rsid w:val="001B6499"/>
    <w:rsid w:val="001B65D9"/>
    <w:rsid w:val="001B7054"/>
    <w:rsid w:val="001B7782"/>
    <w:rsid w:val="001B7C7E"/>
    <w:rsid w:val="001C0377"/>
    <w:rsid w:val="001C061E"/>
    <w:rsid w:val="001C0795"/>
    <w:rsid w:val="001C0B5C"/>
    <w:rsid w:val="001C0B73"/>
    <w:rsid w:val="001C0CF3"/>
    <w:rsid w:val="001C147C"/>
    <w:rsid w:val="001C1D65"/>
    <w:rsid w:val="001C2013"/>
    <w:rsid w:val="001C224D"/>
    <w:rsid w:val="001C24CD"/>
    <w:rsid w:val="001C28A8"/>
    <w:rsid w:val="001C2C6D"/>
    <w:rsid w:val="001C2F3D"/>
    <w:rsid w:val="001C326C"/>
    <w:rsid w:val="001C3ED6"/>
    <w:rsid w:val="001C3F10"/>
    <w:rsid w:val="001C469A"/>
    <w:rsid w:val="001C5526"/>
    <w:rsid w:val="001C612F"/>
    <w:rsid w:val="001C6F20"/>
    <w:rsid w:val="001C760A"/>
    <w:rsid w:val="001C7FC6"/>
    <w:rsid w:val="001D1AF2"/>
    <w:rsid w:val="001D20EC"/>
    <w:rsid w:val="001D2B7F"/>
    <w:rsid w:val="001D2C9C"/>
    <w:rsid w:val="001D2FBB"/>
    <w:rsid w:val="001D34AE"/>
    <w:rsid w:val="001D3C2B"/>
    <w:rsid w:val="001D4266"/>
    <w:rsid w:val="001D46E2"/>
    <w:rsid w:val="001D51CB"/>
    <w:rsid w:val="001D59BF"/>
    <w:rsid w:val="001D60FD"/>
    <w:rsid w:val="001D7989"/>
    <w:rsid w:val="001D7C41"/>
    <w:rsid w:val="001E02C6"/>
    <w:rsid w:val="001E13C5"/>
    <w:rsid w:val="001E1514"/>
    <w:rsid w:val="001E231A"/>
    <w:rsid w:val="001E2B99"/>
    <w:rsid w:val="001E2CE9"/>
    <w:rsid w:val="001E2D14"/>
    <w:rsid w:val="001E3B52"/>
    <w:rsid w:val="001E3C5A"/>
    <w:rsid w:val="001E3FB5"/>
    <w:rsid w:val="001E439C"/>
    <w:rsid w:val="001E43A9"/>
    <w:rsid w:val="001E44B9"/>
    <w:rsid w:val="001E4F7C"/>
    <w:rsid w:val="001E4FCF"/>
    <w:rsid w:val="001E58E3"/>
    <w:rsid w:val="001E63B0"/>
    <w:rsid w:val="001E6F81"/>
    <w:rsid w:val="001E7B9E"/>
    <w:rsid w:val="001F0ADF"/>
    <w:rsid w:val="001F19EB"/>
    <w:rsid w:val="001F201E"/>
    <w:rsid w:val="001F3351"/>
    <w:rsid w:val="001F37F4"/>
    <w:rsid w:val="001F3A40"/>
    <w:rsid w:val="001F47C8"/>
    <w:rsid w:val="001F48A8"/>
    <w:rsid w:val="001F50E0"/>
    <w:rsid w:val="001F588F"/>
    <w:rsid w:val="001F5D08"/>
    <w:rsid w:val="001F6B11"/>
    <w:rsid w:val="001F747E"/>
    <w:rsid w:val="001F753A"/>
    <w:rsid w:val="00200135"/>
    <w:rsid w:val="00200EFF"/>
    <w:rsid w:val="00200FA2"/>
    <w:rsid w:val="00202BBF"/>
    <w:rsid w:val="00202DC8"/>
    <w:rsid w:val="00202E80"/>
    <w:rsid w:val="002034E5"/>
    <w:rsid w:val="00203A74"/>
    <w:rsid w:val="00203ACC"/>
    <w:rsid w:val="00203E5C"/>
    <w:rsid w:val="002043E4"/>
    <w:rsid w:val="00204E69"/>
    <w:rsid w:val="002054F9"/>
    <w:rsid w:val="00205C76"/>
    <w:rsid w:val="00205CA0"/>
    <w:rsid w:val="00205E93"/>
    <w:rsid w:val="002060BF"/>
    <w:rsid w:val="002061DB"/>
    <w:rsid w:val="00206AAE"/>
    <w:rsid w:val="00206EC0"/>
    <w:rsid w:val="0020740C"/>
    <w:rsid w:val="00207A34"/>
    <w:rsid w:val="00207F2E"/>
    <w:rsid w:val="00210BB8"/>
    <w:rsid w:val="00210C5D"/>
    <w:rsid w:val="00211265"/>
    <w:rsid w:val="002119BF"/>
    <w:rsid w:val="00211EF4"/>
    <w:rsid w:val="002123DB"/>
    <w:rsid w:val="0021250E"/>
    <w:rsid w:val="00212B1B"/>
    <w:rsid w:val="00214740"/>
    <w:rsid w:val="0021478A"/>
    <w:rsid w:val="00214A1E"/>
    <w:rsid w:val="00214B3C"/>
    <w:rsid w:val="00214DD5"/>
    <w:rsid w:val="00215B56"/>
    <w:rsid w:val="00216951"/>
    <w:rsid w:val="002170E9"/>
    <w:rsid w:val="00217665"/>
    <w:rsid w:val="00217C1F"/>
    <w:rsid w:val="00217F1C"/>
    <w:rsid w:val="002202BB"/>
    <w:rsid w:val="0022085F"/>
    <w:rsid w:val="00220FEB"/>
    <w:rsid w:val="00221988"/>
    <w:rsid w:val="00222784"/>
    <w:rsid w:val="00222B3B"/>
    <w:rsid w:val="00222F76"/>
    <w:rsid w:val="002241BD"/>
    <w:rsid w:val="0022495E"/>
    <w:rsid w:val="00224A46"/>
    <w:rsid w:val="00224D21"/>
    <w:rsid w:val="0022532D"/>
    <w:rsid w:val="0022596E"/>
    <w:rsid w:val="00231F92"/>
    <w:rsid w:val="002325AC"/>
    <w:rsid w:val="00232C2C"/>
    <w:rsid w:val="002334E6"/>
    <w:rsid w:val="00233775"/>
    <w:rsid w:val="002347B3"/>
    <w:rsid w:val="00234DE6"/>
    <w:rsid w:val="00234FD8"/>
    <w:rsid w:val="0023524D"/>
    <w:rsid w:val="0023557C"/>
    <w:rsid w:val="00235F92"/>
    <w:rsid w:val="00236340"/>
    <w:rsid w:val="0023674B"/>
    <w:rsid w:val="00236E90"/>
    <w:rsid w:val="0023739B"/>
    <w:rsid w:val="0024049C"/>
    <w:rsid w:val="00240FE5"/>
    <w:rsid w:val="0024105D"/>
    <w:rsid w:val="002411EE"/>
    <w:rsid w:val="00241290"/>
    <w:rsid w:val="0024184D"/>
    <w:rsid w:val="00241C6D"/>
    <w:rsid w:val="00241DF7"/>
    <w:rsid w:val="00241F1F"/>
    <w:rsid w:val="0024346C"/>
    <w:rsid w:val="00243497"/>
    <w:rsid w:val="00243549"/>
    <w:rsid w:val="00244513"/>
    <w:rsid w:val="00244728"/>
    <w:rsid w:val="002448AB"/>
    <w:rsid w:val="00244CC4"/>
    <w:rsid w:val="002455A4"/>
    <w:rsid w:val="002465D1"/>
    <w:rsid w:val="002467A7"/>
    <w:rsid w:val="0024692D"/>
    <w:rsid w:val="0024709A"/>
    <w:rsid w:val="00247202"/>
    <w:rsid w:val="00247393"/>
    <w:rsid w:val="002474B9"/>
    <w:rsid w:val="00247898"/>
    <w:rsid w:val="00247FA4"/>
    <w:rsid w:val="002505FB"/>
    <w:rsid w:val="0025064E"/>
    <w:rsid w:val="00251730"/>
    <w:rsid w:val="00251DE2"/>
    <w:rsid w:val="00251ECD"/>
    <w:rsid w:val="00252343"/>
    <w:rsid w:val="002524E4"/>
    <w:rsid w:val="00252898"/>
    <w:rsid w:val="0025338C"/>
    <w:rsid w:val="0025370E"/>
    <w:rsid w:val="00254235"/>
    <w:rsid w:val="00254853"/>
    <w:rsid w:val="00254A99"/>
    <w:rsid w:val="00254CD8"/>
    <w:rsid w:val="00254CF1"/>
    <w:rsid w:val="002553D3"/>
    <w:rsid w:val="00255EC9"/>
    <w:rsid w:val="00256C63"/>
    <w:rsid w:val="00256F73"/>
    <w:rsid w:val="002574A6"/>
    <w:rsid w:val="00257BBD"/>
    <w:rsid w:val="00260438"/>
    <w:rsid w:val="00260FCD"/>
    <w:rsid w:val="00261226"/>
    <w:rsid w:val="00262C4D"/>
    <w:rsid w:val="00263270"/>
    <w:rsid w:val="00263915"/>
    <w:rsid w:val="00263D04"/>
    <w:rsid w:val="00264916"/>
    <w:rsid w:val="00264E74"/>
    <w:rsid w:val="00265082"/>
    <w:rsid w:val="00265A72"/>
    <w:rsid w:val="00266187"/>
    <w:rsid w:val="002663EA"/>
    <w:rsid w:val="0026756C"/>
    <w:rsid w:val="002676E2"/>
    <w:rsid w:val="00267FA7"/>
    <w:rsid w:val="00270162"/>
    <w:rsid w:val="00270932"/>
    <w:rsid w:val="00270AFD"/>
    <w:rsid w:val="00270CB7"/>
    <w:rsid w:val="00271918"/>
    <w:rsid w:val="00271C01"/>
    <w:rsid w:val="00271D70"/>
    <w:rsid w:val="00273844"/>
    <w:rsid w:val="00273F63"/>
    <w:rsid w:val="0027415F"/>
    <w:rsid w:val="00274854"/>
    <w:rsid w:val="002749F7"/>
    <w:rsid w:val="00275121"/>
    <w:rsid w:val="002751DE"/>
    <w:rsid w:val="002753B5"/>
    <w:rsid w:val="00275551"/>
    <w:rsid w:val="00275E11"/>
    <w:rsid w:val="00276D40"/>
    <w:rsid w:val="0027717C"/>
    <w:rsid w:val="0027751C"/>
    <w:rsid w:val="00280143"/>
    <w:rsid w:val="0028065C"/>
    <w:rsid w:val="002806D6"/>
    <w:rsid w:val="002809E8"/>
    <w:rsid w:val="00280C0A"/>
    <w:rsid w:val="00281F74"/>
    <w:rsid w:val="002821C8"/>
    <w:rsid w:val="00282778"/>
    <w:rsid w:val="0028289B"/>
    <w:rsid w:val="00282B35"/>
    <w:rsid w:val="002836AC"/>
    <w:rsid w:val="00285937"/>
    <w:rsid w:val="00285E28"/>
    <w:rsid w:val="002867AA"/>
    <w:rsid w:val="002868D5"/>
    <w:rsid w:val="00286AEF"/>
    <w:rsid w:val="00286C20"/>
    <w:rsid w:val="00286C2F"/>
    <w:rsid w:val="0028775D"/>
    <w:rsid w:val="00290A0F"/>
    <w:rsid w:val="0029173D"/>
    <w:rsid w:val="00291B19"/>
    <w:rsid w:val="00292341"/>
    <w:rsid w:val="00292759"/>
    <w:rsid w:val="00292B58"/>
    <w:rsid w:val="00292C4B"/>
    <w:rsid w:val="00293BE3"/>
    <w:rsid w:val="002944F6"/>
    <w:rsid w:val="00294DE6"/>
    <w:rsid w:val="00295348"/>
    <w:rsid w:val="002962B7"/>
    <w:rsid w:val="00296FB9"/>
    <w:rsid w:val="00297330"/>
    <w:rsid w:val="002978C0"/>
    <w:rsid w:val="002A00D8"/>
    <w:rsid w:val="002A0BCE"/>
    <w:rsid w:val="002A17EB"/>
    <w:rsid w:val="002A1944"/>
    <w:rsid w:val="002A1BB9"/>
    <w:rsid w:val="002A1BF6"/>
    <w:rsid w:val="002A2925"/>
    <w:rsid w:val="002A294D"/>
    <w:rsid w:val="002A3613"/>
    <w:rsid w:val="002A372B"/>
    <w:rsid w:val="002A400A"/>
    <w:rsid w:val="002A5A04"/>
    <w:rsid w:val="002A5DEB"/>
    <w:rsid w:val="002A5F4C"/>
    <w:rsid w:val="002A6044"/>
    <w:rsid w:val="002A6E25"/>
    <w:rsid w:val="002A6E97"/>
    <w:rsid w:val="002A73B2"/>
    <w:rsid w:val="002A762A"/>
    <w:rsid w:val="002B07A1"/>
    <w:rsid w:val="002B0C0F"/>
    <w:rsid w:val="002B0F26"/>
    <w:rsid w:val="002B10A2"/>
    <w:rsid w:val="002B1C8D"/>
    <w:rsid w:val="002B3004"/>
    <w:rsid w:val="002B3AB8"/>
    <w:rsid w:val="002B416F"/>
    <w:rsid w:val="002B55C7"/>
    <w:rsid w:val="002B66F9"/>
    <w:rsid w:val="002B6803"/>
    <w:rsid w:val="002C046D"/>
    <w:rsid w:val="002C0C00"/>
    <w:rsid w:val="002C0CC2"/>
    <w:rsid w:val="002C106C"/>
    <w:rsid w:val="002C1BB3"/>
    <w:rsid w:val="002C1F66"/>
    <w:rsid w:val="002C22EC"/>
    <w:rsid w:val="002C5247"/>
    <w:rsid w:val="002C5ABE"/>
    <w:rsid w:val="002C72DB"/>
    <w:rsid w:val="002C7367"/>
    <w:rsid w:val="002C798C"/>
    <w:rsid w:val="002C7D69"/>
    <w:rsid w:val="002D0839"/>
    <w:rsid w:val="002D0E08"/>
    <w:rsid w:val="002D16FA"/>
    <w:rsid w:val="002D1CDB"/>
    <w:rsid w:val="002D337A"/>
    <w:rsid w:val="002D34CE"/>
    <w:rsid w:val="002D376D"/>
    <w:rsid w:val="002D46CB"/>
    <w:rsid w:val="002D564B"/>
    <w:rsid w:val="002D58E1"/>
    <w:rsid w:val="002D6A49"/>
    <w:rsid w:val="002D6A6C"/>
    <w:rsid w:val="002D6B9F"/>
    <w:rsid w:val="002D6C88"/>
    <w:rsid w:val="002D7097"/>
    <w:rsid w:val="002D769B"/>
    <w:rsid w:val="002D7925"/>
    <w:rsid w:val="002D7E9F"/>
    <w:rsid w:val="002E0593"/>
    <w:rsid w:val="002E161D"/>
    <w:rsid w:val="002E1BA3"/>
    <w:rsid w:val="002E2784"/>
    <w:rsid w:val="002E27C6"/>
    <w:rsid w:val="002E554F"/>
    <w:rsid w:val="002E6353"/>
    <w:rsid w:val="002F01D5"/>
    <w:rsid w:val="002F02D3"/>
    <w:rsid w:val="002F0403"/>
    <w:rsid w:val="002F0686"/>
    <w:rsid w:val="002F0E46"/>
    <w:rsid w:val="002F1241"/>
    <w:rsid w:val="002F14CD"/>
    <w:rsid w:val="002F203C"/>
    <w:rsid w:val="002F2830"/>
    <w:rsid w:val="002F28B4"/>
    <w:rsid w:val="002F38AF"/>
    <w:rsid w:val="002F408F"/>
    <w:rsid w:val="002F4E9C"/>
    <w:rsid w:val="002F5AB6"/>
    <w:rsid w:val="002F5AD6"/>
    <w:rsid w:val="002F5BDE"/>
    <w:rsid w:val="002F6019"/>
    <w:rsid w:val="002F66AA"/>
    <w:rsid w:val="002F6EB6"/>
    <w:rsid w:val="002F7FE5"/>
    <w:rsid w:val="003005FE"/>
    <w:rsid w:val="00301409"/>
    <w:rsid w:val="003014F5"/>
    <w:rsid w:val="003020A2"/>
    <w:rsid w:val="00302194"/>
    <w:rsid w:val="00302AFF"/>
    <w:rsid w:val="00302CA1"/>
    <w:rsid w:val="00302E15"/>
    <w:rsid w:val="00303246"/>
    <w:rsid w:val="00303430"/>
    <w:rsid w:val="00303F87"/>
    <w:rsid w:val="0030540B"/>
    <w:rsid w:val="00305AD0"/>
    <w:rsid w:val="0030702B"/>
    <w:rsid w:val="00307945"/>
    <w:rsid w:val="00307DE8"/>
    <w:rsid w:val="00310711"/>
    <w:rsid w:val="003109A0"/>
    <w:rsid w:val="00310D17"/>
    <w:rsid w:val="00312E28"/>
    <w:rsid w:val="00312FDC"/>
    <w:rsid w:val="00313499"/>
    <w:rsid w:val="003141B8"/>
    <w:rsid w:val="003143CE"/>
    <w:rsid w:val="00314BDE"/>
    <w:rsid w:val="0031586F"/>
    <w:rsid w:val="0031613C"/>
    <w:rsid w:val="00316364"/>
    <w:rsid w:val="003167B4"/>
    <w:rsid w:val="00316D63"/>
    <w:rsid w:val="0031747A"/>
    <w:rsid w:val="00317751"/>
    <w:rsid w:val="00317C19"/>
    <w:rsid w:val="00320FC7"/>
    <w:rsid w:val="0032138F"/>
    <w:rsid w:val="003216FE"/>
    <w:rsid w:val="0032220B"/>
    <w:rsid w:val="00322AB5"/>
    <w:rsid w:val="00322B42"/>
    <w:rsid w:val="00322E35"/>
    <w:rsid w:val="00324C68"/>
    <w:rsid w:val="00325A9C"/>
    <w:rsid w:val="00325E7E"/>
    <w:rsid w:val="003269F0"/>
    <w:rsid w:val="003271B4"/>
    <w:rsid w:val="00327939"/>
    <w:rsid w:val="0032794A"/>
    <w:rsid w:val="003300D4"/>
    <w:rsid w:val="00330937"/>
    <w:rsid w:val="00331B2C"/>
    <w:rsid w:val="00331B97"/>
    <w:rsid w:val="00331C1C"/>
    <w:rsid w:val="00331E2B"/>
    <w:rsid w:val="003327A0"/>
    <w:rsid w:val="00332814"/>
    <w:rsid w:val="0033288B"/>
    <w:rsid w:val="00332986"/>
    <w:rsid w:val="00332B9A"/>
    <w:rsid w:val="0033333C"/>
    <w:rsid w:val="00334900"/>
    <w:rsid w:val="0033497B"/>
    <w:rsid w:val="00334BCE"/>
    <w:rsid w:val="0033517E"/>
    <w:rsid w:val="0033633E"/>
    <w:rsid w:val="0033677C"/>
    <w:rsid w:val="0033677D"/>
    <w:rsid w:val="00336810"/>
    <w:rsid w:val="00337E3C"/>
    <w:rsid w:val="00341B08"/>
    <w:rsid w:val="00341B6C"/>
    <w:rsid w:val="003426B7"/>
    <w:rsid w:val="003431E6"/>
    <w:rsid w:val="0034474F"/>
    <w:rsid w:val="0034479C"/>
    <w:rsid w:val="00344E75"/>
    <w:rsid w:val="003451CC"/>
    <w:rsid w:val="00345C07"/>
    <w:rsid w:val="00345C30"/>
    <w:rsid w:val="00345F80"/>
    <w:rsid w:val="00345FFE"/>
    <w:rsid w:val="00346B2B"/>
    <w:rsid w:val="00346F20"/>
    <w:rsid w:val="00347655"/>
    <w:rsid w:val="00350AA8"/>
    <w:rsid w:val="00350C0F"/>
    <w:rsid w:val="0035110C"/>
    <w:rsid w:val="003513D1"/>
    <w:rsid w:val="003513EC"/>
    <w:rsid w:val="0035196B"/>
    <w:rsid w:val="00352243"/>
    <w:rsid w:val="00352426"/>
    <w:rsid w:val="003524C1"/>
    <w:rsid w:val="00352B48"/>
    <w:rsid w:val="00352CFC"/>
    <w:rsid w:val="00353041"/>
    <w:rsid w:val="0035475B"/>
    <w:rsid w:val="00355198"/>
    <w:rsid w:val="00355320"/>
    <w:rsid w:val="00355D42"/>
    <w:rsid w:val="00356211"/>
    <w:rsid w:val="003565B2"/>
    <w:rsid w:val="00356E05"/>
    <w:rsid w:val="003573AD"/>
    <w:rsid w:val="003579D0"/>
    <w:rsid w:val="00360454"/>
    <w:rsid w:val="00360589"/>
    <w:rsid w:val="003606C4"/>
    <w:rsid w:val="00360AB9"/>
    <w:rsid w:val="00361703"/>
    <w:rsid w:val="00361E0C"/>
    <w:rsid w:val="00361FAC"/>
    <w:rsid w:val="003622FB"/>
    <w:rsid w:val="00362A1B"/>
    <w:rsid w:val="00363247"/>
    <w:rsid w:val="00364C92"/>
    <w:rsid w:val="003651FA"/>
    <w:rsid w:val="0036528C"/>
    <w:rsid w:val="003654F4"/>
    <w:rsid w:val="00366027"/>
    <w:rsid w:val="0036615E"/>
    <w:rsid w:val="0036638A"/>
    <w:rsid w:val="0036675A"/>
    <w:rsid w:val="00367579"/>
    <w:rsid w:val="0037014B"/>
    <w:rsid w:val="00370889"/>
    <w:rsid w:val="00370E81"/>
    <w:rsid w:val="003711E1"/>
    <w:rsid w:val="003714C6"/>
    <w:rsid w:val="00371987"/>
    <w:rsid w:val="00373108"/>
    <w:rsid w:val="00373B36"/>
    <w:rsid w:val="003744D3"/>
    <w:rsid w:val="003746A0"/>
    <w:rsid w:val="00374EF7"/>
    <w:rsid w:val="00375A2A"/>
    <w:rsid w:val="00375D93"/>
    <w:rsid w:val="0037683F"/>
    <w:rsid w:val="003771BE"/>
    <w:rsid w:val="0037720F"/>
    <w:rsid w:val="00377D61"/>
    <w:rsid w:val="003825A4"/>
    <w:rsid w:val="00383B2B"/>
    <w:rsid w:val="00384430"/>
    <w:rsid w:val="00384A06"/>
    <w:rsid w:val="00384D29"/>
    <w:rsid w:val="00385168"/>
    <w:rsid w:val="0038537E"/>
    <w:rsid w:val="00385AC0"/>
    <w:rsid w:val="003861EE"/>
    <w:rsid w:val="0038629A"/>
    <w:rsid w:val="003866C5"/>
    <w:rsid w:val="003872F7"/>
    <w:rsid w:val="0038731D"/>
    <w:rsid w:val="003878AA"/>
    <w:rsid w:val="00392033"/>
    <w:rsid w:val="0039288C"/>
    <w:rsid w:val="003928C6"/>
    <w:rsid w:val="00392B27"/>
    <w:rsid w:val="00392CB8"/>
    <w:rsid w:val="003938CE"/>
    <w:rsid w:val="00393A45"/>
    <w:rsid w:val="0039420E"/>
    <w:rsid w:val="00394563"/>
    <w:rsid w:val="00394899"/>
    <w:rsid w:val="00394A98"/>
    <w:rsid w:val="00394D75"/>
    <w:rsid w:val="00395169"/>
    <w:rsid w:val="003957E9"/>
    <w:rsid w:val="00396AB6"/>
    <w:rsid w:val="00397E22"/>
    <w:rsid w:val="003A0202"/>
    <w:rsid w:val="003A028A"/>
    <w:rsid w:val="003A03A9"/>
    <w:rsid w:val="003A0BC3"/>
    <w:rsid w:val="003A0EF2"/>
    <w:rsid w:val="003A2393"/>
    <w:rsid w:val="003A2465"/>
    <w:rsid w:val="003A2F26"/>
    <w:rsid w:val="003A30F0"/>
    <w:rsid w:val="003A378F"/>
    <w:rsid w:val="003A3B9D"/>
    <w:rsid w:val="003A46B9"/>
    <w:rsid w:val="003A4C1B"/>
    <w:rsid w:val="003A4FFC"/>
    <w:rsid w:val="003A500C"/>
    <w:rsid w:val="003A63F3"/>
    <w:rsid w:val="003B06C2"/>
    <w:rsid w:val="003B0BA7"/>
    <w:rsid w:val="003B12D1"/>
    <w:rsid w:val="003B15EA"/>
    <w:rsid w:val="003B1832"/>
    <w:rsid w:val="003B2326"/>
    <w:rsid w:val="003B23EC"/>
    <w:rsid w:val="003B2AE7"/>
    <w:rsid w:val="003B35B7"/>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2D87"/>
    <w:rsid w:val="003C3987"/>
    <w:rsid w:val="003C3F4C"/>
    <w:rsid w:val="003C427A"/>
    <w:rsid w:val="003C42D6"/>
    <w:rsid w:val="003C4803"/>
    <w:rsid w:val="003C48CC"/>
    <w:rsid w:val="003C4FF2"/>
    <w:rsid w:val="003C51B1"/>
    <w:rsid w:val="003C5349"/>
    <w:rsid w:val="003C5D20"/>
    <w:rsid w:val="003C704D"/>
    <w:rsid w:val="003C725C"/>
    <w:rsid w:val="003C7A2D"/>
    <w:rsid w:val="003C7C10"/>
    <w:rsid w:val="003D02E5"/>
    <w:rsid w:val="003D06B4"/>
    <w:rsid w:val="003D07F2"/>
    <w:rsid w:val="003D0A45"/>
    <w:rsid w:val="003D118B"/>
    <w:rsid w:val="003D13C6"/>
    <w:rsid w:val="003D2709"/>
    <w:rsid w:val="003D3074"/>
    <w:rsid w:val="003D3829"/>
    <w:rsid w:val="003D45D2"/>
    <w:rsid w:val="003D489E"/>
    <w:rsid w:val="003D501E"/>
    <w:rsid w:val="003D58A2"/>
    <w:rsid w:val="003D6033"/>
    <w:rsid w:val="003D666D"/>
    <w:rsid w:val="003D6B9D"/>
    <w:rsid w:val="003D794D"/>
    <w:rsid w:val="003D7C91"/>
    <w:rsid w:val="003D7E5C"/>
    <w:rsid w:val="003E111F"/>
    <w:rsid w:val="003E1A6F"/>
    <w:rsid w:val="003E2C4C"/>
    <w:rsid w:val="003E37A3"/>
    <w:rsid w:val="003E3E38"/>
    <w:rsid w:val="003E400F"/>
    <w:rsid w:val="003E47AC"/>
    <w:rsid w:val="003E4DD6"/>
    <w:rsid w:val="003E561E"/>
    <w:rsid w:val="003E58A0"/>
    <w:rsid w:val="003E647F"/>
    <w:rsid w:val="003E6496"/>
    <w:rsid w:val="003E7459"/>
    <w:rsid w:val="003F0079"/>
    <w:rsid w:val="003F04A5"/>
    <w:rsid w:val="003F05C6"/>
    <w:rsid w:val="003F08C1"/>
    <w:rsid w:val="003F15B8"/>
    <w:rsid w:val="003F1766"/>
    <w:rsid w:val="003F17A2"/>
    <w:rsid w:val="003F266A"/>
    <w:rsid w:val="003F2B60"/>
    <w:rsid w:val="003F3857"/>
    <w:rsid w:val="003F4621"/>
    <w:rsid w:val="003F48B1"/>
    <w:rsid w:val="003F56DB"/>
    <w:rsid w:val="003F5ECB"/>
    <w:rsid w:val="003F6C3F"/>
    <w:rsid w:val="003F6E6F"/>
    <w:rsid w:val="00400401"/>
    <w:rsid w:val="00400DC8"/>
    <w:rsid w:val="00401948"/>
    <w:rsid w:val="00401D08"/>
    <w:rsid w:val="00401DAB"/>
    <w:rsid w:val="00401F23"/>
    <w:rsid w:val="00401F69"/>
    <w:rsid w:val="0040245A"/>
    <w:rsid w:val="00402500"/>
    <w:rsid w:val="00402545"/>
    <w:rsid w:val="00402728"/>
    <w:rsid w:val="004028FF"/>
    <w:rsid w:val="00402AE7"/>
    <w:rsid w:val="00402FBB"/>
    <w:rsid w:val="0040324B"/>
    <w:rsid w:val="00403479"/>
    <w:rsid w:val="00404984"/>
    <w:rsid w:val="00404B86"/>
    <w:rsid w:val="0040601A"/>
    <w:rsid w:val="0040603F"/>
    <w:rsid w:val="00406215"/>
    <w:rsid w:val="00410A84"/>
    <w:rsid w:val="00410BEB"/>
    <w:rsid w:val="00410D48"/>
    <w:rsid w:val="004112FF"/>
    <w:rsid w:val="004118F3"/>
    <w:rsid w:val="004119EE"/>
    <w:rsid w:val="00411CB3"/>
    <w:rsid w:val="00412AA3"/>
    <w:rsid w:val="00412D07"/>
    <w:rsid w:val="004137DF"/>
    <w:rsid w:val="0041405D"/>
    <w:rsid w:val="004141E0"/>
    <w:rsid w:val="0041510B"/>
    <w:rsid w:val="004151F7"/>
    <w:rsid w:val="004152AE"/>
    <w:rsid w:val="00416266"/>
    <w:rsid w:val="004201C3"/>
    <w:rsid w:val="00420A9B"/>
    <w:rsid w:val="00420EDB"/>
    <w:rsid w:val="00421041"/>
    <w:rsid w:val="004225CD"/>
    <w:rsid w:val="004228E6"/>
    <w:rsid w:val="00422ADC"/>
    <w:rsid w:val="00422F77"/>
    <w:rsid w:val="00423075"/>
    <w:rsid w:val="00423E3D"/>
    <w:rsid w:val="00423F40"/>
    <w:rsid w:val="004252F0"/>
    <w:rsid w:val="004254ED"/>
    <w:rsid w:val="00425550"/>
    <w:rsid w:val="0042642C"/>
    <w:rsid w:val="0042645F"/>
    <w:rsid w:val="004264FD"/>
    <w:rsid w:val="00427134"/>
    <w:rsid w:val="004272DE"/>
    <w:rsid w:val="004274CC"/>
    <w:rsid w:val="00430167"/>
    <w:rsid w:val="00430FB7"/>
    <w:rsid w:val="00431C1E"/>
    <w:rsid w:val="004327E5"/>
    <w:rsid w:val="004332FB"/>
    <w:rsid w:val="0043358D"/>
    <w:rsid w:val="004340A3"/>
    <w:rsid w:val="00435214"/>
    <w:rsid w:val="0043599C"/>
    <w:rsid w:val="00435C00"/>
    <w:rsid w:val="0043659A"/>
    <w:rsid w:val="00436D85"/>
    <w:rsid w:val="00437B7A"/>
    <w:rsid w:val="00437DAE"/>
    <w:rsid w:val="0044016E"/>
    <w:rsid w:val="004403B5"/>
    <w:rsid w:val="00440754"/>
    <w:rsid w:val="00440A19"/>
    <w:rsid w:val="00440C4B"/>
    <w:rsid w:val="004411FE"/>
    <w:rsid w:val="00442C1C"/>
    <w:rsid w:val="00442D05"/>
    <w:rsid w:val="00442FF2"/>
    <w:rsid w:val="00443CFE"/>
    <w:rsid w:val="004441B0"/>
    <w:rsid w:val="00444205"/>
    <w:rsid w:val="00444C56"/>
    <w:rsid w:val="00444FA9"/>
    <w:rsid w:val="00445554"/>
    <w:rsid w:val="0044568D"/>
    <w:rsid w:val="00445E4E"/>
    <w:rsid w:val="00446308"/>
    <w:rsid w:val="00446A98"/>
    <w:rsid w:val="00447186"/>
    <w:rsid w:val="004474F8"/>
    <w:rsid w:val="00447A70"/>
    <w:rsid w:val="00447B2C"/>
    <w:rsid w:val="00451437"/>
    <w:rsid w:val="004521C5"/>
    <w:rsid w:val="004528C2"/>
    <w:rsid w:val="004531FB"/>
    <w:rsid w:val="004539A3"/>
    <w:rsid w:val="00453CFD"/>
    <w:rsid w:val="00453E03"/>
    <w:rsid w:val="00454357"/>
    <w:rsid w:val="004546CB"/>
    <w:rsid w:val="004548AB"/>
    <w:rsid w:val="00454D14"/>
    <w:rsid w:val="00454DED"/>
    <w:rsid w:val="00454EF0"/>
    <w:rsid w:val="00455758"/>
    <w:rsid w:val="00455952"/>
    <w:rsid w:val="00456407"/>
    <w:rsid w:val="004566D7"/>
    <w:rsid w:val="00457BB0"/>
    <w:rsid w:val="00457BEC"/>
    <w:rsid w:val="00460988"/>
    <w:rsid w:val="00460E2E"/>
    <w:rsid w:val="00461CEA"/>
    <w:rsid w:val="00462A9A"/>
    <w:rsid w:val="00463B3E"/>
    <w:rsid w:val="00463BF8"/>
    <w:rsid w:val="00463EDD"/>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047B"/>
    <w:rsid w:val="00470D9A"/>
    <w:rsid w:val="004723A4"/>
    <w:rsid w:val="00472846"/>
    <w:rsid w:val="00474106"/>
    <w:rsid w:val="00474C96"/>
    <w:rsid w:val="00475167"/>
    <w:rsid w:val="004755B9"/>
    <w:rsid w:val="004773CE"/>
    <w:rsid w:val="00477B7D"/>
    <w:rsid w:val="00477D8F"/>
    <w:rsid w:val="00480005"/>
    <w:rsid w:val="004800B8"/>
    <w:rsid w:val="004801C8"/>
    <w:rsid w:val="004803AB"/>
    <w:rsid w:val="004808FB"/>
    <w:rsid w:val="004822B2"/>
    <w:rsid w:val="00482AEB"/>
    <w:rsid w:val="004831AB"/>
    <w:rsid w:val="004841E1"/>
    <w:rsid w:val="0048421C"/>
    <w:rsid w:val="0048443A"/>
    <w:rsid w:val="00484654"/>
    <w:rsid w:val="00484F1C"/>
    <w:rsid w:val="0048527D"/>
    <w:rsid w:val="00485587"/>
    <w:rsid w:val="00485841"/>
    <w:rsid w:val="00485B0C"/>
    <w:rsid w:val="00485E6F"/>
    <w:rsid w:val="004878B8"/>
    <w:rsid w:val="0049029B"/>
    <w:rsid w:val="004938DD"/>
    <w:rsid w:val="00493ABD"/>
    <w:rsid w:val="00494055"/>
    <w:rsid w:val="0049464C"/>
    <w:rsid w:val="00495098"/>
    <w:rsid w:val="0049553F"/>
    <w:rsid w:val="00495E95"/>
    <w:rsid w:val="00495ED9"/>
    <w:rsid w:val="00495FCE"/>
    <w:rsid w:val="0049658D"/>
    <w:rsid w:val="004975DB"/>
    <w:rsid w:val="00497A37"/>
    <w:rsid w:val="004A04AC"/>
    <w:rsid w:val="004A050D"/>
    <w:rsid w:val="004A095A"/>
    <w:rsid w:val="004A12A8"/>
    <w:rsid w:val="004A186F"/>
    <w:rsid w:val="004A1B9A"/>
    <w:rsid w:val="004A1DDF"/>
    <w:rsid w:val="004A1FDA"/>
    <w:rsid w:val="004A23CB"/>
    <w:rsid w:val="004A2740"/>
    <w:rsid w:val="004A2C60"/>
    <w:rsid w:val="004A2EEA"/>
    <w:rsid w:val="004A47E2"/>
    <w:rsid w:val="004A4C9A"/>
    <w:rsid w:val="004A5675"/>
    <w:rsid w:val="004A57CE"/>
    <w:rsid w:val="004A59BC"/>
    <w:rsid w:val="004A5BF0"/>
    <w:rsid w:val="004A634E"/>
    <w:rsid w:val="004A7C9D"/>
    <w:rsid w:val="004B0218"/>
    <w:rsid w:val="004B0295"/>
    <w:rsid w:val="004B0A06"/>
    <w:rsid w:val="004B1569"/>
    <w:rsid w:val="004B1687"/>
    <w:rsid w:val="004B1BCE"/>
    <w:rsid w:val="004B2D87"/>
    <w:rsid w:val="004B35C7"/>
    <w:rsid w:val="004B3929"/>
    <w:rsid w:val="004B49D3"/>
    <w:rsid w:val="004B4BDB"/>
    <w:rsid w:val="004B62C9"/>
    <w:rsid w:val="004B66EF"/>
    <w:rsid w:val="004B6EA2"/>
    <w:rsid w:val="004B6EC1"/>
    <w:rsid w:val="004C083A"/>
    <w:rsid w:val="004C0D35"/>
    <w:rsid w:val="004C0DB0"/>
    <w:rsid w:val="004C1094"/>
    <w:rsid w:val="004C1825"/>
    <w:rsid w:val="004C288F"/>
    <w:rsid w:val="004C29EE"/>
    <w:rsid w:val="004C3093"/>
    <w:rsid w:val="004C3DB1"/>
    <w:rsid w:val="004C4438"/>
    <w:rsid w:val="004C453E"/>
    <w:rsid w:val="004C45DF"/>
    <w:rsid w:val="004C5156"/>
    <w:rsid w:val="004C517B"/>
    <w:rsid w:val="004C5733"/>
    <w:rsid w:val="004C5971"/>
    <w:rsid w:val="004C5C46"/>
    <w:rsid w:val="004C5D72"/>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6FF5"/>
    <w:rsid w:val="004D7943"/>
    <w:rsid w:val="004E14D9"/>
    <w:rsid w:val="004E1B66"/>
    <w:rsid w:val="004E1F15"/>
    <w:rsid w:val="004E2FFA"/>
    <w:rsid w:val="004E3270"/>
    <w:rsid w:val="004E37D4"/>
    <w:rsid w:val="004E3A3F"/>
    <w:rsid w:val="004E3A52"/>
    <w:rsid w:val="004E3BC4"/>
    <w:rsid w:val="004E51BD"/>
    <w:rsid w:val="004E62DA"/>
    <w:rsid w:val="004E6327"/>
    <w:rsid w:val="004E6E1E"/>
    <w:rsid w:val="004E6F1D"/>
    <w:rsid w:val="004E6FB3"/>
    <w:rsid w:val="004E7646"/>
    <w:rsid w:val="004E7F60"/>
    <w:rsid w:val="004F0323"/>
    <w:rsid w:val="004F0559"/>
    <w:rsid w:val="004F1B1B"/>
    <w:rsid w:val="004F1DDE"/>
    <w:rsid w:val="004F2329"/>
    <w:rsid w:val="004F2789"/>
    <w:rsid w:val="004F2C97"/>
    <w:rsid w:val="004F310E"/>
    <w:rsid w:val="004F39C7"/>
    <w:rsid w:val="004F3B1D"/>
    <w:rsid w:val="004F4964"/>
    <w:rsid w:val="004F4B30"/>
    <w:rsid w:val="004F4C19"/>
    <w:rsid w:val="004F5E52"/>
    <w:rsid w:val="004F6111"/>
    <w:rsid w:val="004F6B74"/>
    <w:rsid w:val="004F756D"/>
    <w:rsid w:val="00500732"/>
    <w:rsid w:val="005011AC"/>
    <w:rsid w:val="00502A0E"/>
    <w:rsid w:val="00503E28"/>
    <w:rsid w:val="005043A4"/>
    <w:rsid w:val="00505F78"/>
    <w:rsid w:val="00506208"/>
    <w:rsid w:val="0050639B"/>
    <w:rsid w:val="0050679A"/>
    <w:rsid w:val="00507174"/>
    <w:rsid w:val="005079B0"/>
    <w:rsid w:val="0051039B"/>
    <w:rsid w:val="00510432"/>
    <w:rsid w:val="00510490"/>
    <w:rsid w:val="00510494"/>
    <w:rsid w:val="00510CBC"/>
    <w:rsid w:val="00510D42"/>
    <w:rsid w:val="00510F22"/>
    <w:rsid w:val="005114CE"/>
    <w:rsid w:val="00511987"/>
    <w:rsid w:val="005121C2"/>
    <w:rsid w:val="0051288C"/>
    <w:rsid w:val="0051307A"/>
    <w:rsid w:val="00513398"/>
    <w:rsid w:val="005139C3"/>
    <w:rsid w:val="00513BA9"/>
    <w:rsid w:val="00513CE4"/>
    <w:rsid w:val="00513DED"/>
    <w:rsid w:val="00514118"/>
    <w:rsid w:val="00514478"/>
    <w:rsid w:val="005144A4"/>
    <w:rsid w:val="00515162"/>
    <w:rsid w:val="00515301"/>
    <w:rsid w:val="00516A90"/>
    <w:rsid w:val="00516DFF"/>
    <w:rsid w:val="00517517"/>
    <w:rsid w:val="00517522"/>
    <w:rsid w:val="00517D38"/>
    <w:rsid w:val="00520327"/>
    <w:rsid w:val="00520B41"/>
    <w:rsid w:val="00521202"/>
    <w:rsid w:val="00521752"/>
    <w:rsid w:val="005238EB"/>
    <w:rsid w:val="005240DF"/>
    <w:rsid w:val="0052496A"/>
    <w:rsid w:val="00525D81"/>
    <w:rsid w:val="00526296"/>
    <w:rsid w:val="00526B70"/>
    <w:rsid w:val="005272AE"/>
    <w:rsid w:val="005277CA"/>
    <w:rsid w:val="005307B5"/>
    <w:rsid w:val="00530F5C"/>
    <w:rsid w:val="00530FF0"/>
    <w:rsid w:val="005317FB"/>
    <w:rsid w:val="00531DE2"/>
    <w:rsid w:val="0053265B"/>
    <w:rsid w:val="00532803"/>
    <w:rsid w:val="00533939"/>
    <w:rsid w:val="00534A78"/>
    <w:rsid w:val="00534FF3"/>
    <w:rsid w:val="005356A4"/>
    <w:rsid w:val="00535C4B"/>
    <w:rsid w:val="00535E1C"/>
    <w:rsid w:val="00535E3C"/>
    <w:rsid w:val="0053627A"/>
    <w:rsid w:val="005365A7"/>
    <w:rsid w:val="00536D83"/>
    <w:rsid w:val="00536ECF"/>
    <w:rsid w:val="005376AE"/>
    <w:rsid w:val="005379AD"/>
    <w:rsid w:val="00537BAE"/>
    <w:rsid w:val="00537E84"/>
    <w:rsid w:val="005400CC"/>
    <w:rsid w:val="0054017D"/>
    <w:rsid w:val="00540255"/>
    <w:rsid w:val="005403FA"/>
    <w:rsid w:val="00540A20"/>
    <w:rsid w:val="00540A5A"/>
    <w:rsid w:val="005425B0"/>
    <w:rsid w:val="00542D64"/>
    <w:rsid w:val="00543022"/>
    <w:rsid w:val="00543163"/>
    <w:rsid w:val="00544589"/>
    <w:rsid w:val="005457E1"/>
    <w:rsid w:val="00547236"/>
    <w:rsid w:val="0054776F"/>
    <w:rsid w:val="00547B23"/>
    <w:rsid w:val="005505B7"/>
    <w:rsid w:val="00550B91"/>
    <w:rsid w:val="005519B4"/>
    <w:rsid w:val="00553024"/>
    <w:rsid w:val="00553A3F"/>
    <w:rsid w:val="00553F0A"/>
    <w:rsid w:val="00554134"/>
    <w:rsid w:val="00554859"/>
    <w:rsid w:val="00554911"/>
    <w:rsid w:val="00554D53"/>
    <w:rsid w:val="00554D58"/>
    <w:rsid w:val="00554F5D"/>
    <w:rsid w:val="005553C5"/>
    <w:rsid w:val="00556B80"/>
    <w:rsid w:val="00556E15"/>
    <w:rsid w:val="00556EEE"/>
    <w:rsid w:val="00556FDE"/>
    <w:rsid w:val="00557295"/>
    <w:rsid w:val="00557357"/>
    <w:rsid w:val="005578EC"/>
    <w:rsid w:val="005604AD"/>
    <w:rsid w:val="00560C9B"/>
    <w:rsid w:val="005621B9"/>
    <w:rsid w:val="00562CE0"/>
    <w:rsid w:val="00562D3C"/>
    <w:rsid w:val="0056388A"/>
    <w:rsid w:val="00564163"/>
    <w:rsid w:val="00564376"/>
    <w:rsid w:val="00564730"/>
    <w:rsid w:val="00564B59"/>
    <w:rsid w:val="00565260"/>
    <w:rsid w:val="00565610"/>
    <w:rsid w:val="005658C4"/>
    <w:rsid w:val="00566EFD"/>
    <w:rsid w:val="0056750B"/>
    <w:rsid w:val="0056789B"/>
    <w:rsid w:val="005679FE"/>
    <w:rsid w:val="005708E3"/>
    <w:rsid w:val="005714DE"/>
    <w:rsid w:val="00571D01"/>
    <w:rsid w:val="00572902"/>
    <w:rsid w:val="00572C88"/>
    <w:rsid w:val="005734FA"/>
    <w:rsid w:val="00573CAD"/>
    <w:rsid w:val="00574FE0"/>
    <w:rsid w:val="005760D4"/>
    <w:rsid w:val="005762BC"/>
    <w:rsid w:val="005773E7"/>
    <w:rsid w:val="00577BE2"/>
    <w:rsid w:val="00580BE7"/>
    <w:rsid w:val="00581A62"/>
    <w:rsid w:val="00581D17"/>
    <w:rsid w:val="00582A38"/>
    <w:rsid w:val="00582E42"/>
    <w:rsid w:val="00583B71"/>
    <w:rsid w:val="00583DAC"/>
    <w:rsid w:val="0058574F"/>
    <w:rsid w:val="0058593C"/>
    <w:rsid w:val="00587DC4"/>
    <w:rsid w:val="00590F9A"/>
    <w:rsid w:val="005910F8"/>
    <w:rsid w:val="00592211"/>
    <w:rsid w:val="0059242C"/>
    <w:rsid w:val="00592872"/>
    <w:rsid w:val="00592B87"/>
    <w:rsid w:val="00592EFA"/>
    <w:rsid w:val="00592FD9"/>
    <w:rsid w:val="005934E1"/>
    <w:rsid w:val="00593804"/>
    <w:rsid w:val="0059498A"/>
    <w:rsid w:val="00594DE3"/>
    <w:rsid w:val="00594E3B"/>
    <w:rsid w:val="00595C0D"/>
    <w:rsid w:val="00595E70"/>
    <w:rsid w:val="00595EBF"/>
    <w:rsid w:val="00595EDE"/>
    <w:rsid w:val="005960D8"/>
    <w:rsid w:val="00596219"/>
    <w:rsid w:val="0059625A"/>
    <w:rsid w:val="005963D2"/>
    <w:rsid w:val="00596956"/>
    <w:rsid w:val="00596ECB"/>
    <w:rsid w:val="005A024A"/>
    <w:rsid w:val="005A0570"/>
    <w:rsid w:val="005A135D"/>
    <w:rsid w:val="005A1409"/>
    <w:rsid w:val="005A1965"/>
    <w:rsid w:val="005A1D66"/>
    <w:rsid w:val="005A2477"/>
    <w:rsid w:val="005A26CA"/>
    <w:rsid w:val="005A2F57"/>
    <w:rsid w:val="005A2FD6"/>
    <w:rsid w:val="005A336F"/>
    <w:rsid w:val="005A3EE9"/>
    <w:rsid w:val="005A4102"/>
    <w:rsid w:val="005A4414"/>
    <w:rsid w:val="005A461F"/>
    <w:rsid w:val="005A496F"/>
    <w:rsid w:val="005A4EA9"/>
    <w:rsid w:val="005A52FA"/>
    <w:rsid w:val="005A5843"/>
    <w:rsid w:val="005A59F8"/>
    <w:rsid w:val="005A5A97"/>
    <w:rsid w:val="005A6747"/>
    <w:rsid w:val="005A6E5D"/>
    <w:rsid w:val="005A7293"/>
    <w:rsid w:val="005A79D9"/>
    <w:rsid w:val="005A7AC1"/>
    <w:rsid w:val="005A7F1E"/>
    <w:rsid w:val="005B0559"/>
    <w:rsid w:val="005B0EB5"/>
    <w:rsid w:val="005B1335"/>
    <w:rsid w:val="005B197C"/>
    <w:rsid w:val="005B1B66"/>
    <w:rsid w:val="005B219D"/>
    <w:rsid w:val="005B2953"/>
    <w:rsid w:val="005B313D"/>
    <w:rsid w:val="005B31E7"/>
    <w:rsid w:val="005B3FA7"/>
    <w:rsid w:val="005B45AA"/>
    <w:rsid w:val="005B48AA"/>
    <w:rsid w:val="005B4F6E"/>
    <w:rsid w:val="005B5148"/>
    <w:rsid w:val="005B6093"/>
    <w:rsid w:val="005B6506"/>
    <w:rsid w:val="005B6B28"/>
    <w:rsid w:val="005B6D3E"/>
    <w:rsid w:val="005B6EFF"/>
    <w:rsid w:val="005B6FA7"/>
    <w:rsid w:val="005B6FE1"/>
    <w:rsid w:val="005B759C"/>
    <w:rsid w:val="005B78A9"/>
    <w:rsid w:val="005C02ED"/>
    <w:rsid w:val="005C0ED0"/>
    <w:rsid w:val="005C14D1"/>
    <w:rsid w:val="005C2193"/>
    <w:rsid w:val="005C24E2"/>
    <w:rsid w:val="005C27C3"/>
    <w:rsid w:val="005C28E5"/>
    <w:rsid w:val="005C2C69"/>
    <w:rsid w:val="005C2E50"/>
    <w:rsid w:val="005C4505"/>
    <w:rsid w:val="005C4BA9"/>
    <w:rsid w:val="005C503A"/>
    <w:rsid w:val="005C505B"/>
    <w:rsid w:val="005C50A0"/>
    <w:rsid w:val="005C55A4"/>
    <w:rsid w:val="005C5CC6"/>
    <w:rsid w:val="005C6799"/>
    <w:rsid w:val="005C7781"/>
    <w:rsid w:val="005C7DFA"/>
    <w:rsid w:val="005D066D"/>
    <w:rsid w:val="005D07FA"/>
    <w:rsid w:val="005D1D63"/>
    <w:rsid w:val="005D237A"/>
    <w:rsid w:val="005D25E2"/>
    <w:rsid w:val="005D355A"/>
    <w:rsid w:val="005D3CCA"/>
    <w:rsid w:val="005D4DF5"/>
    <w:rsid w:val="005D5EB4"/>
    <w:rsid w:val="005D61D6"/>
    <w:rsid w:val="005D6271"/>
    <w:rsid w:val="005D663F"/>
    <w:rsid w:val="005D7855"/>
    <w:rsid w:val="005D7D4E"/>
    <w:rsid w:val="005E032A"/>
    <w:rsid w:val="005E0C54"/>
    <w:rsid w:val="005E0FB6"/>
    <w:rsid w:val="005E1094"/>
    <w:rsid w:val="005E1141"/>
    <w:rsid w:val="005E24D9"/>
    <w:rsid w:val="005E284F"/>
    <w:rsid w:val="005E3C20"/>
    <w:rsid w:val="005E3DD8"/>
    <w:rsid w:val="005E4037"/>
    <w:rsid w:val="005E41BE"/>
    <w:rsid w:val="005E4592"/>
    <w:rsid w:val="005E4BD2"/>
    <w:rsid w:val="005E4E9C"/>
    <w:rsid w:val="005E5026"/>
    <w:rsid w:val="005E514A"/>
    <w:rsid w:val="005E5978"/>
    <w:rsid w:val="005E612C"/>
    <w:rsid w:val="005E7D57"/>
    <w:rsid w:val="005F0468"/>
    <w:rsid w:val="005F0884"/>
    <w:rsid w:val="005F1F07"/>
    <w:rsid w:val="005F1F68"/>
    <w:rsid w:val="005F27BD"/>
    <w:rsid w:val="005F2951"/>
    <w:rsid w:val="005F36DB"/>
    <w:rsid w:val="005F4192"/>
    <w:rsid w:val="005F4473"/>
    <w:rsid w:val="005F4DD2"/>
    <w:rsid w:val="005F54DC"/>
    <w:rsid w:val="005F556A"/>
    <w:rsid w:val="005F64DD"/>
    <w:rsid w:val="005F68B1"/>
    <w:rsid w:val="005F6C26"/>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1039F"/>
    <w:rsid w:val="006103B7"/>
    <w:rsid w:val="00610DCE"/>
    <w:rsid w:val="006111EC"/>
    <w:rsid w:val="006115DC"/>
    <w:rsid w:val="0061168B"/>
    <w:rsid w:val="006121B9"/>
    <w:rsid w:val="0061266E"/>
    <w:rsid w:val="00612702"/>
    <w:rsid w:val="006128F7"/>
    <w:rsid w:val="00612927"/>
    <w:rsid w:val="00613E8E"/>
    <w:rsid w:val="00615FDB"/>
    <w:rsid w:val="00615FF1"/>
    <w:rsid w:val="006165EE"/>
    <w:rsid w:val="00616789"/>
    <w:rsid w:val="00616ECB"/>
    <w:rsid w:val="00616F0A"/>
    <w:rsid w:val="00617CA6"/>
    <w:rsid w:val="0062092B"/>
    <w:rsid w:val="00620F29"/>
    <w:rsid w:val="006216FC"/>
    <w:rsid w:val="00621C6F"/>
    <w:rsid w:val="00621E8A"/>
    <w:rsid w:val="0062243E"/>
    <w:rsid w:val="006226EA"/>
    <w:rsid w:val="00622F7C"/>
    <w:rsid w:val="00623A81"/>
    <w:rsid w:val="00623F83"/>
    <w:rsid w:val="00624ACC"/>
    <w:rsid w:val="00624B88"/>
    <w:rsid w:val="00624D66"/>
    <w:rsid w:val="00624FCB"/>
    <w:rsid w:val="0062526E"/>
    <w:rsid w:val="0062623C"/>
    <w:rsid w:val="006263A6"/>
    <w:rsid w:val="0062658D"/>
    <w:rsid w:val="006268E3"/>
    <w:rsid w:val="00626F82"/>
    <w:rsid w:val="00627B15"/>
    <w:rsid w:val="00630579"/>
    <w:rsid w:val="00632398"/>
    <w:rsid w:val="00632D04"/>
    <w:rsid w:val="006331A0"/>
    <w:rsid w:val="00633214"/>
    <w:rsid w:val="006335FF"/>
    <w:rsid w:val="00634137"/>
    <w:rsid w:val="00634558"/>
    <w:rsid w:val="00634627"/>
    <w:rsid w:val="00634E6C"/>
    <w:rsid w:val="00635CB5"/>
    <w:rsid w:val="00641429"/>
    <w:rsid w:val="00641F0E"/>
    <w:rsid w:val="00641FE3"/>
    <w:rsid w:val="00642622"/>
    <w:rsid w:val="00642968"/>
    <w:rsid w:val="00642B9D"/>
    <w:rsid w:val="006447B8"/>
    <w:rsid w:val="00644EC5"/>
    <w:rsid w:val="006453BE"/>
    <w:rsid w:val="006454E1"/>
    <w:rsid w:val="0064579A"/>
    <w:rsid w:val="00650105"/>
    <w:rsid w:val="00652DF2"/>
    <w:rsid w:val="00653334"/>
    <w:rsid w:val="00653AA8"/>
    <w:rsid w:val="00654017"/>
    <w:rsid w:val="0065501C"/>
    <w:rsid w:val="0065559E"/>
    <w:rsid w:val="006556FB"/>
    <w:rsid w:val="00656757"/>
    <w:rsid w:val="00657885"/>
    <w:rsid w:val="00657CC7"/>
    <w:rsid w:val="0066072C"/>
    <w:rsid w:val="00660A4E"/>
    <w:rsid w:val="00660BF4"/>
    <w:rsid w:val="00661078"/>
    <w:rsid w:val="00661EDE"/>
    <w:rsid w:val="00661F1A"/>
    <w:rsid w:val="0066258C"/>
    <w:rsid w:val="00662DE0"/>
    <w:rsid w:val="00662F7F"/>
    <w:rsid w:val="00663435"/>
    <w:rsid w:val="0066355F"/>
    <w:rsid w:val="0066380D"/>
    <w:rsid w:val="00663878"/>
    <w:rsid w:val="00663EB0"/>
    <w:rsid w:val="00663FA4"/>
    <w:rsid w:val="0066492D"/>
    <w:rsid w:val="00664952"/>
    <w:rsid w:val="00665995"/>
    <w:rsid w:val="00665B43"/>
    <w:rsid w:val="006666D0"/>
    <w:rsid w:val="00667372"/>
    <w:rsid w:val="006673EB"/>
    <w:rsid w:val="00667DAD"/>
    <w:rsid w:val="0067022C"/>
    <w:rsid w:val="00670EA8"/>
    <w:rsid w:val="00671DFF"/>
    <w:rsid w:val="00672175"/>
    <w:rsid w:val="0067227A"/>
    <w:rsid w:val="00672BC0"/>
    <w:rsid w:val="00672EA5"/>
    <w:rsid w:val="00672FA4"/>
    <w:rsid w:val="00672FA5"/>
    <w:rsid w:val="0067462E"/>
    <w:rsid w:val="00675C56"/>
    <w:rsid w:val="00675C65"/>
    <w:rsid w:val="00675EE3"/>
    <w:rsid w:val="0067696A"/>
    <w:rsid w:val="006769D3"/>
    <w:rsid w:val="00676C35"/>
    <w:rsid w:val="00676E2C"/>
    <w:rsid w:val="006773F6"/>
    <w:rsid w:val="0067781E"/>
    <w:rsid w:val="00677994"/>
    <w:rsid w:val="00677B64"/>
    <w:rsid w:val="00677BD1"/>
    <w:rsid w:val="00677FDB"/>
    <w:rsid w:val="006803F3"/>
    <w:rsid w:val="0068041F"/>
    <w:rsid w:val="006805BB"/>
    <w:rsid w:val="006812DC"/>
    <w:rsid w:val="00681ECA"/>
    <w:rsid w:val="00682013"/>
    <w:rsid w:val="00683602"/>
    <w:rsid w:val="00685851"/>
    <w:rsid w:val="00686A41"/>
    <w:rsid w:val="0068769F"/>
    <w:rsid w:val="0069074F"/>
    <w:rsid w:val="006908EB"/>
    <w:rsid w:val="0069123A"/>
    <w:rsid w:val="0069216F"/>
    <w:rsid w:val="00692877"/>
    <w:rsid w:val="00693425"/>
    <w:rsid w:val="00693876"/>
    <w:rsid w:val="00693B26"/>
    <w:rsid w:val="00694AB1"/>
    <w:rsid w:val="006958FB"/>
    <w:rsid w:val="006959FD"/>
    <w:rsid w:val="00696DA6"/>
    <w:rsid w:val="00697456"/>
    <w:rsid w:val="0069779F"/>
    <w:rsid w:val="00697B2F"/>
    <w:rsid w:val="006A008C"/>
    <w:rsid w:val="006A01CF"/>
    <w:rsid w:val="006A024A"/>
    <w:rsid w:val="006A0423"/>
    <w:rsid w:val="006A0D08"/>
    <w:rsid w:val="006A183D"/>
    <w:rsid w:val="006A1F85"/>
    <w:rsid w:val="006A2497"/>
    <w:rsid w:val="006A253D"/>
    <w:rsid w:val="006A2730"/>
    <w:rsid w:val="006A2A0C"/>
    <w:rsid w:val="006A2A31"/>
    <w:rsid w:val="006A2CC7"/>
    <w:rsid w:val="006A2CF9"/>
    <w:rsid w:val="006A3469"/>
    <w:rsid w:val="006A4002"/>
    <w:rsid w:val="006A5167"/>
    <w:rsid w:val="006A51B9"/>
    <w:rsid w:val="006A523F"/>
    <w:rsid w:val="006A589B"/>
    <w:rsid w:val="006A5FD1"/>
    <w:rsid w:val="006A6470"/>
    <w:rsid w:val="006A6B4B"/>
    <w:rsid w:val="006A6C4A"/>
    <w:rsid w:val="006A7747"/>
    <w:rsid w:val="006A783A"/>
    <w:rsid w:val="006B01C2"/>
    <w:rsid w:val="006B0508"/>
    <w:rsid w:val="006B0B07"/>
    <w:rsid w:val="006B10F4"/>
    <w:rsid w:val="006B1DB9"/>
    <w:rsid w:val="006B254F"/>
    <w:rsid w:val="006B25F8"/>
    <w:rsid w:val="006B28C2"/>
    <w:rsid w:val="006B2C42"/>
    <w:rsid w:val="006B34B3"/>
    <w:rsid w:val="006B3BD7"/>
    <w:rsid w:val="006B4B54"/>
    <w:rsid w:val="006B5549"/>
    <w:rsid w:val="006B57EE"/>
    <w:rsid w:val="006B5A1D"/>
    <w:rsid w:val="006B5FBC"/>
    <w:rsid w:val="006B6097"/>
    <w:rsid w:val="006B6972"/>
    <w:rsid w:val="006B69F7"/>
    <w:rsid w:val="006B7846"/>
    <w:rsid w:val="006B7D04"/>
    <w:rsid w:val="006C0A1C"/>
    <w:rsid w:val="006C1583"/>
    <w:rsid w:val="006C2505"/>
    <w:rsid w:val="006C2CBB"/>
    <w:rsid w:val="006C3313"/>
    <w:rsid w:val="006C336F"/>
    <w:rsid w:val="006C34D2"/>
    <w:rsid w:val="006C364B"/>
    <w:rsid w:val="006C3CA8"/>
    <w:rsid w:val="006C4956"/>
    <w:rsid w:val="006C4C58"/>
    <w:rsid w:val="006C5367"/>
    <w:rsid w:val="006C596B"/>
    <w:rsid w:val="006C59F4"/>
    <w:rsid w:val="006C5A03"/>
    <w:rsid w:val="006C66C1"/>
    <w:rsid w:val="006C6E1A"/>
    <w:rsid w:val="006C7923"/>
    <w:rsid w:val="006D042E"/>
    <w:rsid w:val="006D05BE"/>
    <w:rsid w:val="006D074A"/>
    <w:rsid w:val="006D139B"/>
    <w:rsid w:val="006D13E9"/>
    <w:rsid w:val="006D237B"/>
    <w:rsid w:val="006D350C"/>
    <w:rsid w:val="006D4A97"/>
    <w:rsid w:val="006D5202"/>
    <w:rsid w:val="006D52D9"/>
    <w:rsid w:val="006D5DC1"/>
    <w:rsid w:val="006D5F01"/>
    <w:rsid w:val="006D6106"/>
    <w:rsid w:val="006D630C"/>
    <w:rsid w:val="006D6429"/>
    <w:rsid w:val="006D6453"/>
    <w:rsid w:val="006D749C"/>
    <w:rsid w:val="006D7710"/>
    <w:rsid w:val="006D7EFB"/>
    <w:rsid w:val="006E18A6"/>
    <w:rsid w:val="006E29F5"/>
    <w:rsid w:val="006E308E"/>
    <w:rsid w:val="006E3428"/>
    <w:rsid w:val="006E3A34"/>
    <w:rsid w:val="006E3CFD"/>
    <w:rsid w:val="006E432A"/>
    <w:rsid w:val="006E5517"/>
    <w:rsid w:val="006E55F2"/>
    <w:rsid w:val="006E59C4"/>
    <w:rsid w:val="006E6E73"/>
    <w:rsid w:val="006E6FFC"/>
    <w:rsid w:val="006F02CA"/>
    <w:rsid w:val="006F0963"/>
    <w:rsid w:val="006F0F25"/>
    <w:rsid w:val="006F15CB"/>
    <w:rsid w:val="006F303B"/>
    <w:rsid w:val="006F355C"/>
    <w:rsid w:val="006F3C7C"/>
    <w:rsid w:val="006F4B43"/>
    <w:rsid w:val="006F51D7"/>
    <w:rsid w:val="006F5640"/>
    <w:rsid w:val="006F5996"/>
    <w:rsid w:val="006F6944"/>
    <w:rsid w:val="006F696C"/>
    <w:rsid w:val="006F7D97"/>
    <w:rsid w:val="006F7D9D"/>
    <w:rsid w:val="006F7E32"/>
    <w:rsid w:val="00700712"/>
    <w:rsid w:val="0070096B"/>
    <w:rsid w:val="00700D44"/>
    <w:rsid w:val="00700E94"/>
    <w:rsid w:val="00700EC9"/>
    <w:rsid w:val="00701E2C"/>
    <w:rsid w:val="00701EBF"/>
    <w:rsid w:val="007020E3"/>
    <w:rsid w:val="0070230B"/>
    <w:rsid w:val="00702706"/>
    <w:rsid w:val="007030DA"/>
    <w:rsid w:val="0070400D"/>
    <w:rsid w:val="007041DA"/>
    <w:rsid w:val="00704288"/>
    <w:rsid w:val="0070490A"/>
    <w:rsid w:val="00704944"/>
    <w:rsid w:val="00704E7E"/>
    <w:rsid w:val="00705348"/>
    <w:rsid w:val="0070581D"/>
    <w:rsid w:val="00705935"/>
    <w:rsid w:val="007059BA"/>
    <w:rsid w:val="00705E5A"/>
    <w:rsid w:val="007070BF"/>
    <w:rsid w:val="00707217"/>
    <w:rsid w:val="00707D25"/>
    <w:rsid w:val="00710382"/>
    <w:rsid w:val="00710464"/>
    <w:rsid w:val="00710D47"/>
    <w:rsid w:val="007114E0"/>
    <w:rsid w:val="00712326"/>
    <w:rsid w:val="0071294A"/>
    <w:rsid w:val="00712BD0"/>
    <w:rsid w:val="00712CDE"/>
    <w:rsid w:val="00713755"/>
    <w:rsid w:val="00713ACA"/>
    <w:rsid w:val="00713D59"/>
    <w:rsid w:val="00714644"/>
    <w:rsid w:val="00715274"/>
    <w:rsid w:val="007154CF"/>
    <w:rsid w:val="00715512"/>
    <w:rsid w:val="00715901"/>
    <w:rsid w:val="007170E3"/>
    <w:rsid w:val="007176F1"/>
    <w:rsid w:val="00717709"/>
    <w:rsid w:val="00717DD8"/>
    <w:rsid w:val="007201D8"/>
    <w:rsid w:val="00720A3E"/>
    <w:rsid w:val="0072135D"/>
    <w:rsid w:val="007213AE"/>
    <w:rsid w:val="00721618"/>
    <w:rsid w:val="00721955"/>
    <w:rsid w:val="00722122"/>
    <w:rsid w:val="00722579"/>
    <w:rsid w:val="00722604"/>
    <w:rsid w:val="00723AD7"/>
    <w:rsid w:val="00723F00"/>
    <w:rsid w:val="00724295"/>
    <w:rsid w:val="00725763"/>
    <w:rsid w:val="00725825"/>
    <w:rsid w:val="00726109"/>
    <w:rsid w:val="007269AA"/>
    <w:rsid w:val="00726BCC"/>
    <w:rsid w:val="00726CE2"/>
    <w:rsid w:val="00726DA8"/>
    <w:rsid w:val="00726EB2"/>
    <w:rsid w:val="007279F9"/>
    <w:rsid w:val="00727D3C"/>
    <w:rsid w:val="00730BFC"/>
    <w:rsid w:val="00730FC7"/>
    <w:rsid w:val="007312F9"/>
    <w:rsid w:val="00731448"/>
    <w:rsid w:val="00732119"/>
    <w:rsid w:val="00732124"/>
    <w:rsid w:val="00732343"/>
    <w:rsid w:val="00732372"/>
    <w:rsid w:val="00732625"/>
    <w:rsid w:val="00734602"/>
    <w:rsid w:val="00734701"/>
    <w:rsid w:val="00735366"/>
    <w:rsid w:val="007356B1"/>
    <w:rsid w:val="007362F7"/>
    <w:rsid w:val="00736AF2"/>
    <w:rsid w:val="007374A8"/>
    <w:rsid w:val="00737925"/>
    <w:rsid w:val="00737A32"/>
    <w:rsid w:val="007400AC"/>
    <w:rsid w:val="0074013E"/>
    <w:rsid w:val="00740667"/>
    <w:rsid w:val="007414A5"/>
    <w:rsid w:val="007414A9"/>
    <w:rsid w:val="00741CB4"/>
    <w:rsid w:val="00742513"/>
    <w:rsid w:val="00742D21"/>
    <w:rsid w:val="00742E0D"/>
    <w:rsid w:val="00743087"/>
    <w:rsid w:val="00743539"/>
    <w:rsid w:val="007435FF"/>
    <w:rsid w:val="007440DA"/>
    <w:rsid w:val="00744678"/>
    <w:rsid w:val="00744A6B"/>
    <w:rsid w:val="00744C33"/>
    <w:rsid w:val="007456F4"/>
    <w:rsid w:val="00746F59"/>
    <w:rsid w:val="0074753C"/>
    <w:rsid w:val="007475A5"/>
    <w:rsid w:val="00747B92"/>
    <w:rsid w:val="0075002E"/>
    <w:rsid w:val="00750518"/>
    <w:rsid w:val="00752375"/>
    <w:rsid w:val="007525D4"/>
    <w:rsid w:val="00752EFB"/>
    <w:rsid w:val="00752F85"/>
    <w:rsid w:val="00753E2D"/>
    <w:rsid w:val="00754109"/>
    <w:rsid w:val="00754180"/>
    <w:rsid w:val="00754AB3"/>
    <w:rsid w:val="00755407"/>
    <w:rsid w:val="0075607E"/>
    <w:rsid w:val="007563FA"/>
    <w:rsid w:val="00756820"/>
    <w:rsid w:val="0075693C"/>
    <w:rsid w:val="00757118"/>
    <w:rsid w:val="0075714E"/>
    <w:rsid w:val="00757474"/>
    <w:rsid w:val="007579D3"/>
    <w:rsid w:val="007579F2"/>
    <w:rsid w:val="0076081E"/>
    <w:rsid w:val="00760AC1"/>
    <w:rsid w:val="00760BE4"/>
    <w:rsid w:val="00760DE7"/>
    <w:rsid w:val="007610FE"/>
    <w:rsid w:val="00761260"/>
    <w:rsid w:val="0076138F"/>
    <w:rsid w:val="007615D3"/>
    <w:rsid w:val="00761B7D"/>
    <w:rsid w:val="007624D9"/>
    <w:rsid w:val="00763146"/>
    <w:rsid w:val="007644C3"/>
    <w:rsid w:val="00764792"/>
    <w:rsid w:val="00764C61"/>
    <w:rsid w:val="00764CFC"/>
    <w:rsid w:val="00765BEC"/>
    <w:rsid w:val="0076610D"/>
    <w:rsid w:val="00766F92"/>
    <w:rsid w:val="0076746E"/>
    <w:rsid w:val="00767678"/>
    <w:rsid w:val="007677F3"/>
    <w:rsid w:val="007702D3"/>
    <w:rsid w:val="007708D3"/>
    <w:rsid w:val="00770A60"/>
    <w:rsid w:val="00770BF8"/>
    <w:rsid w:val="007711BA"/>
    <w:rsid w:val="00771D42"/>
    <w:rsid w:val="00772264"/>
    <w:rsid w:val="007729AE"/>
    <w:rsid w:val="00773353"/>
    <w:rsid w:val="0077389B"/>
    <w:rsid w:val="007738B7"/>
    <w:rsid w:val="007738F4"/>
    <w:rsid w:val="00775108"/>
    <w:rsid w:val="0077534E"/>
    <w:rsid w:val="00775ECE"/>
    <w:rsid w:val="007765EC"/>
    <w:rsid w:val="00776ACE"/>
    <w:rsid w:val="007774BA"/>
    <w:rsid w:val="0077785C"/>
    <w:rsid w:val="00777DC0"/>
    <w:rsid w:val="00777EA4"/>
    <w:rsid w:val="00780447"/>
    <w:rsid w:val="007805BD"/>
    <w:rsid w:val="007808AD"/>
    <w:rsid w:val="00780A19"/>
    <w:rsid w:val="00780E11"/>
    <w:rsid w:val="0078156E"/>
    <w:rsid w:val="007818E8"/>
    <w:rsid w:val="0078243A"/>
    <w:rsid w:val="007830CA"/>
    <w:rsid w:val="007844A9"/>
    <w:rsid w:val="007844F6"/>
    <w:rsid w:val="00784F6A"/>
    <w:rsid w:val="0078584B"/>
    <w:rsid w:val="00786279"/>
    <w:rsid w:val="00786610"/>
    <w:rsid w:val="00786B2F"/>
    <w:rsid w:val="00787896"/>
    <w:rsid w:val="007878E7"/>
    <w:rsid w:val="007902DD"/>
    <w:rsid w:val="00790DF7"/>
    <w:rsid w:val="007912D2"/>
    <w:rsid w:val="00791990"/>
    <w:rsid w:val="00791CA9"/>
    <w:rsid w:val="00793E22"/>
    <w:rsid w:val="00794AE5"/>
    <w:rsid w:val="00794B52"/>
    <w:rsid w:val="00794D1C"/>
    <w:rsid w:val="00795168"/>
    <w:rsid w:val="007952BC"/>
    <w:rsid w:val="007960B0"/>
    <w:rsid w:val="00796387"/>
    <w:rsid w:val="007964BA"/>
    <w:rsid w:val="00796647"/>
    <w:rsid w:val="007970D2"/>
    <w:rsid w:val="00797698"/>
    <w:rsid w:val="007A15C2"/>
    <w:rsid w:val="007A2A77"/>
    <w:rsid w:val="007A2D23"/>
    <w:rsid w:val="007A2EB7"/>
    <w:rsid w:val="007A324A"/>
    <w:rsid w:val="007A37F8"/>
    <w:rsid w:val="007A4B7B"/>
    <w:rsid w:val="007A4BCD"/>
    <w:rsid w:val="007A5083"/>
    <w:rsid w:val="007A57C4"/>
    <w:rsid w:val="007A5EE9"/>
    <w:rsid w:val="007A77CA"/>
    <w:rsid w:val="007B0BD6"/>
    <w:rsid w:val="007B0D99"/>
    <w:rsid w:val="007B11DB"/>
    <w:rsid w:val="007B13E5"/>
    <w:rsid w:val="007B2558"/>
    <w:rsid w:val="007B2E90"/>
    <w:rsid w:val="007B31B6"/>
    <w:rsid w:val="007B39D4"/>
    <w:rsid w:val="007B41D6"/>
    <w:rsid w:val="007B4BD1"/>
    <w:rsid w:val="007B4F87"/>
    <w:rsid w:val="007B51BD"/>
    <w:rsid w:val="007B5699"/>
    <w:rsid w:val="007B5A20"/>
    <w:rsid w:val="007B6BB7"/>
    <w:rsid w:val="007B783B"/>
    <w:rsid w:val="007B795E"/>
    <w:rsid w:val="007B7B65"/>
    <w:rsid w:val="007C0147"/>
    <w:rsid w:val="007C0837"/>
    <w:rsid w:val="007C0F99"/>
    <w:rsid w:val="007C178A"/>
    <w:rsid w:val="007C1C3D"/>
    <w:rsid w:val="007C2A2C"/>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0AE"/>
    <w:rsid w:val="007D08BE"/>
    <w:rsid w:val="007D138E"/>
    <w:rsid w:val="007D1A3D"/>
    <w:rsid w:val="007D33F2"/>
    <w:rsid w:val="007D342A"/>
    <w:rsid w:val="007D3A00"/>
    <w:rsid w:val="007D60D0"/>
    <w:rsid w:val="007D70AB"/>
    <w:rsid w:val="007D7336"/>
    <w:rsid w:val="007E1665"/>
    <w:rsid w:val="007E2636"/>
    <w:rsid w:val="007E2908"/>
    <w:rsid w:val="007E3B40"/>
    <w:rsid w:val="007E42C8"/>
    <w:rsid w:val="007E42F9"/>
    <w:rsid w:val="007E467D"/>
    <w:rsid w:val="007E4F1C"/>
    <w:rsid w:val="007E51FE"/>
    <w:rsid w:val="007E5803"/>
    <w:rsid w:val="007E6BFF"/>
    <w:rsid w:val="007E7140"/>
    <w:rsid w:val="007E7DB8"/>
    <w:rsid w:val="007E7E60"/>
    <w:rsid w:val="007F080A"/>
    <w:rsid w:val="007F0C35"/>
    <w:rsid w:val="007F1070"/>
    <w:rsid w:val="007F1274"/>
    <w:rsid w:val="007F1A50"/>
    <w:rsid w:val="007F1DEA"/>
    <w:rsid w:val="007F21C7"/>
    <w:rsid w:val="007F2A1A"/>
    <w:rsid w:val="007F2C0D"/>
    <w:rsid w:val="007F3262"/>
    <w:rsid w:val="007F33BE"/>
    <w:rsid w:val="007F37A2"/>
    <w:rsid w:val="007F4193"/>
    <w:rsid w:val="007F4645"/>
    <w:rsid w:val="007F4A7E"/>
    <w:rsid w:val="007F4AB1"/>
    <w:rsid w:val="007F5689"/>
    <w:rsid w:val="007F5933"/>
    <w:rsid w:val="007F5F57"/>
    <w:rsid w:val="007F62A3"/>
    <w:rsid w:val="007F6739"/>
    <w:rsid w:val="007F694D"/>
    <w:rsid w:val="007F6D4E"/>
    <w:rsid w:val="007F7334"/>
    <w:rsid w:val="007F73EC"/>
    <w:rsid w:val="007F78DF"/>
    <w:rsid w:val="007F7987"/>
    <w:rsid w:val="007F7C2B"/>
    <w:rsid w:val="00800242"/>
    <w:rsid w:val="008016D4"/>
    <w:rsid w:val="0080220B"/>
    <w:rsid w:val="008028D3"/>
    <w:rsid w:val="00803033"/>
    <w:rsid w:val="008033F3"/>
    <w:rsid w:val="0080356E"/>
    <w:rsid w:val="008037B7"/>
    <w:rsid w:val="0080386F"/>
    <w:rsid w:val="008042E1"/>
    <w:rsid w:val="00804862"/>
    <w:rsid w:val="00804B1A"/>
    <w:rsid w:val="00804F8B"/>
    <w:rsid w:val="0080552B"/>
    <w:rsid w:val="00805922"/>
    <w:rsid w:val="00805BA4"/>
    <w:rsid w:val="008073EF"/>
    <w:rsid w:val="00812276"/>
    <w:rsid w:val="0081275E"/>
    <w:rsid w:val="00812FE3"/>
    <w:rsid w:val="00813094"/>
    <w:rsid w:val="00814551"/>
    <w:rsid w:val="00814FE5"/>
    <w:rsid w:val="00815599"/>
    <w:rsid w:val="00815D62"/>
    <w:rsid w:val="00815EB0"/>
    <w:rsid w:val="008160C9"/>
    <w:rsid w:val="008167D1"/>
    <w:rsid w:val="00816D44"/>
    <w:rsid w:val="00820412"/>
    <w:rsid w:val="00820607"/>
    <w:rsid w:val="00820840"/>
    <w:rsid w:val="008215D6"/>
    <w:rsid w:val="0082176D"/>
    <w:rsid w:val="0082234F"/>
    <w:rsid w:val="00822411"/>
    <w:rsid w:val="00822A63"/>
    <w:rsid w:val="00823079"/>
    <w:rsid w:val="00823A16"/>
    <w:rsid w:val="00823A1E"/>
    <w:rsid w:val="00824128"/>
    <w:rsid w:val="0082559D"/>
    <w:rsid w:val="00825B04"/>
    <w:rsid w:val="00825BE2"/>
    <w:rsid w:val="00825CBA"/>
    <w:rsid w:val="00825DFE"/>
    <w:rsid w:val="008261FB"/>
    <w:rsid w:val="00826AA3"/>
    <w:rsid w:val="008271C8"/>
    <w:rsid w:val="00827215"/>
    <w:rsid w:val="00827583"/>
    <w:rsid w:val="00827688"/>
    <w:rsid w:val="00827BB2"/>
    <w:rsid w:val="00830730"/>
    <w:rsid w:val="0083077F"/>
    <w:rsid w:val="00830EA5"/>
    <w:rsid w:val="00831030"/>
    <w:rsid w:val="00831FE8"/>
    <w:rsid w:val="00832061"/>
    <w:rsid w:val="008324CB"/>
    <w:rsid w:val="008326EB"/>
    <w:rsid w:val="0083314E"/>
    <w:rsid w:val="00833DB9"/>
    <w:rsid w:val="00835548"/>
    <w:rsid w:val="008358A0"/>
    <w:rsid w:val="00836329"/>
    <w:rsid w:val="00837665"/>
    <w:rsid w:val="008376E2"/>
    <w:rsid w:val="00837F89"/>
    <w:rsid w:val="008401B3"/>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51D6"/>
    <w:rsid w:val="008462A9"/>
    <w:rsid w:val="00846C36"/>
    <w:rsid w:val="00847531"/>
    <w:rsid w:val="008475D7"/>
    <w:rsid w:val="00847C07"/>
    <w:rsid w:val="00847F1B"/>
    <w:rsid w:val="00851081"/>
    <w:rsid w:val="008514CB"/>
    <w:rsid w:val="0085159C"/>
    <w:rsid w:val="00851A78"/>
    <w:rsid w:val="00851E22"/>
    <w:rsid w:val="00852170"/>
    <w:rsid w:val="0085223E"/>
    <w:rsid w:val="00852B4F"/>
    <w:rsid w:val="00852C00"/>
    <w:rsid w:val="00852C79"/>
    <w:rsid w:val="0085325D"/>
    <w:rsid w:val="00853371"/>
    <w:rsid w:val="00853445"/>
    <w:rsid w:val="008535B4"/>
    <w:rsid w:val="00853619"/>
    <w:rsid w:val="00853718"/>
    <w:rsid w:val="008537AE"/>
    <w:rsid w:val="008544AD"/>
    <w:rsid w:val="0085450A"/>
    <w:rsid w:val="00854771"/>
    <w:rsid w:val="00854779"/>
    <w:rsid w:val="00855227"/>
    <w:rsid w:val="00855EAF"/>
    <w:rsid w:val="00856997"/>
    <w:rsid w:val="00856AA1"/>
    <w:rsid w:val="008572DB"/>
    <w:rsid w:val="00857A1C"/>
    <w:rsid w:val="00857E45"/>
    <w:rsid w:val="0086216C"/>
    <w:rsid w:val="0086228F"/>
    <w:rsid w:val="00862D68"/>
    <w:rsid w:val="00863133"/>
    <w:rsid w:val="0086368F"/>
    <w:rsid w:val="008638EF"/>
    <w:rsid w:val="0086392C"/>
    <w:rsid w:val="00863D6C"/>
    <w:rsid w:val="008659CC"/>
    <w:rsid w:val="00866A62"/>
    <w:rsid w:val="00866EEB"/>
    <w:rsid w:val="0086721E"/>
    <w:rsid w:val="00867EEA"/>
    <w:rsid w:val="0087125F"/>
    <w:rsid w:val="00871EEE"/>
    <w:rsid w:val="00872CEC"/>
    <w:rsid w:val="00873401"/>
    <w:rsid w:val="0087376E"/>
    <w:rsid w:val="00873F0D"/>
    <w:rsid w:val="00873FF3"/>
    <w:rsid w:val="00874105"/>
    <w:rsid w:val="008746CF"/>
    <w:rsid w:val="008748B7"/>
    <w:rsid w:val="0087531E"/>
    <w:rsid w:val="0087578C"/>
    <w:rsid w:val="00875973"/>
    <w:rsid w:val="008774E3"/>
    <w:rsid w:val="00877553"/>
    <w:rsid w:val="0087787B"/>
    <w:rsid w:val="0088011B"/>
    <w:rsid w:val="008801F0"/>
    <w:rsid w:val="00882609"/>
    <w:rsid w:val="00882D19"/>
    <w:rsid w:val="00882DA0"/>
    <w:rsid w:val="0088431A"/>
    <w:rsid w:val="00884979"/>
    <w:rsid w:val="00885484"/>
    <w:rsid w:val="008857FB"/>
    <w:rsid w:val="008863A9"/>
    <w:rsid w:val="008873F1"/>
    <w:rsid w:val="00887749"/>
    <w:rsid w:val="00887987"/>
    <w:rsid w:val="008903B9"/>
    <w:rsid w:val="00890440"/>
    <w:rsid w:val="00890512"/>
    <w:rsid w:val="00890C0E"/>
    <w:rsid w:val="00890CB9"/>
    <w:rsid w:val="00890DBE"/>
    <w:rsid w:val="008911ED"/>
    <w:rsid w:val="00891458"/>
    <w:rsid w:val="00891524"/>
    <w:rsid w:val="00891EE8"/>
    <w:rsid w:val="008921B6"/>
    <w:rsid w:val="00892689"/>
    <w:rsid w:val="00892AC2"/>
    <w:rsid w:val="008937E3"/>
    <w:rsid w:val="008939AB"/>
    <w:rsid w:val="00893AA5"/>
    <w:rsid w:val="0089483D"/>
    <w:rsid w:val="0089514B"/>
    <w:rsid w:val="008953D5"/>
    <w:rsid w:val="00895812"/>
    <w:rsid w:val="00895838"/>
    <w:rsid w:val="00895F34"/>
    <w:rsid w:val="00896996"/>
    <w:rsid w:val="00896C4A"/>
    <w:rsid w:val="00897461"/>
    <w:rsid w:val="00897923"/>
    <w:rsid w:val="00897F27"/>
    <w:rsid w:val="008A03B4"/>
    <w:rsid w:val="008A03BF"/>
    <w:rsid w:val="008A1147"/>
    <w:rsid w:val="008A17BE"/>
    <w:rsid w:val="008A22F5"/>
    <w:rsid w:val="008A2AEB"/>
    <w:rsid w:val="008A2E73"/>
    <w:rsid w:val="008A3635"/>
    <w:rsid w:val="008A397C"/>
    <w:rsid w:val="008A3E69"/>
    <w:rsid w:val="008A485A"/>
    <w:rsid w:val="008A5047"/>
    <w:rsid w:val="008A69C4"/>
    <w:rsid w:val="008A6C46"/>
    <w:rsid w:val="008A6DBC"/>
    <w:rsid w:val="008A716E"/>
    <w:rsid w:val="008A79B3"/>
    <w:rsid w:val="008B07E5"/>
    <w:rsid w:val="008B094D"/>
    <w:rsid w:val="008B0FEC"/>
    <w:rsid w:val="008B1474"/>
    <w:rsid w:val="008B1629"/>
    <w:rsid w:val="008B1972"/>
    <w:rsid w:val="008B2BA6"/>
    <w:rsid w:val="008B3109"/>
    <w:rsid w:val="008B3433"/>
    <w:rsid w:val="008B3507"/>
    <w:rsid w:val="008B3AA4"/>
    <w:rsid w:val="008B4752"/>
    <w:rsid w:val="008B4A47"/>
    <w:rsid w:val="008B536E"/>
    <w:rsid w:val="008B581A"/>
    <w:rsid w:val="008B72A5"/>
    <w:rsid w:val="008B7429"/>
    <w:rsid w:val="008C0ECC"/>
    <w:rsid w:val="008C1389"/>
    <w:rsid w:val="008C15C5"/>
    <w:rsid w:val="008C2B87"/>
    <w:rsid w:val="008C2D72"/>
    <w:rsid w:val="008C3178"/>
    <w:rsid w:val="008C596A"/>
    <w:rsid w:val="008C60BB"/>
    <w:rsid w:val="008C6B3F"/>
    <w:rsid w:val="008C764D"/>
    <w:rsid w:val="008D02B5"/>
    <w:rsid w:val="008D03FC"/>
    <w:rsid w:val="008D07E0"/>
    <w:rsid w:val="008D08DD"/>
    <w:rsid w:val="008D0E6E"/>
    <w:rsid w:val="008D1111"/>
    <w:rsid w:val="008D1576"/>
    <w:rsid w:val="008D1B8D"/>
    <w:rsid w:val="008D1D6A"/>
    <w:rsid w:val="008D2154"/>
    <w:rsid w:val="008D24A6"/>
    <w:rsid w:val="008D3543"/>
    <w:rsid w:val="008D474C"/>
    <w:rsid w:val="008D5175"/>
    <w:rsid w:val="008D6C09"/>
    <w:rsid w:val="008D7733"/>
    <w:rsid w:val="008D7DF4"/>
    <w:rsid w:val="008D7E87"/>
    <w:rsid w:val="008E06B9"/>
    <w:rsid w:val="008E0A57"/>
    <w:rsid w:val="008E14C7"/>
    <w:rsid w:val="008E1E94"/>
    <w:rsid w:val="008E2000"/>
    <w:rsid w:val="008E2183"/>
    <w:rsid w:val="008E2585"/>
    <w:rsid w:val="008E25CC"/>
    <w:rsid w:val="008E27D0"/>
    <w:rsid w:val="008E2BC9"/>
    <w:rsid w:val="008E2C3A"/>
    <w:rsid w:val="008E2D21"/>
    <w:rsid w:val="008E2F30"/>
    <w:rsid w:val="008E3838"/>
    <w:rsid w:val="008E3871"/>
    <w:rsid w:val="008E3AFC"/>
    <w:rsid w:val="008E544A"/>
    <w:rsid w:val="008E679D"/>
    <w:rsid w:val="008E7C60"/>
    <w:rsid w:val="008F0703"/>
    <w:rsid w:val="008F1823"/>
    <w:rsid w:val="008F18C8"/>
    <w:rsid w:val="008F1924"/>
    <w:rsid w:val="008F2053"/>
    <w:rsid w:val="008F244E"/>
    <w:rsid w:val="008F29FD"/>
    <w:rsid w:val="008F348B"/>
    <w:rsid w:val="008F4661"/>
    <w:rsid w:val="008F4A34"/>
    <w:rsid w:val="008F4DC0"/>
    <w:rsid w:val="008F5C88"/>
    <w:rsid w:val="008F62AF"/>
    <w:rsid w:val="008F6447"/>
    <w:rsid w:val="008F6DD7"/>
    <w:rsid w:val="008F7664"/>
    <w:rsid w:val="008F785A"/>
    <w:rsid w:val="008F7ABD"/>
    <w:rsid w:val="008F7FAD"/>
    <w:rsid w:val="00900280"/>
    <w:rsid w:val="00902B67"/>
    <w:rsid w:val="00903187"/>
    <w:rsid w:val="009041D0"/>
    <w:rsid w:val="0090451E"/>
    <w:rsid w:val="0090452F"/>
    <w:rsid w:val="00904991"/>
    <w:rsid w:val="00905DA2"/>
    <w:rsid w:val="0090667C"/>
    <w:rsid w:val="00906C57"/>
    <w:rsid w:val="009071D3"/>
    <w:rsid w:val="0090786B"/>
    <w:rsid w:val="009078BE"/>
    <w:rsid w:val="00910D98"/>
    <w:rsid w:val="00910DCD"/>
    <w:rsid w:val="00910E4C"/>
    <w:rsid w:val="00910EB5"/>
    <w:rsid w:val="00911243"/>
    <w:rsid w:val="00911279"/>
    <w:rsid w:val="00911C4B"/>
    <w:rsid w:val="00911F58"/>
    <w:rsid w:val="00912EBC"/>
    <w:rsid w:val="0091409C"/>
    <w:rsid w:val="009143E9"/>
    <w:rsid w:val="00914549"/>
    <w:rsid w:val="0091526E"/>
    <w:rsid w:val="009153A4"/>
    <w:rsid w:val="009157F1"/>
    <w:rsid w:val="00915AA6"/>
    <w:rsid w:val="00915C22"/>
    <w:rsid w:val="00915D13"/>
    <w:rsid w:val="0091600A"/>
    <w:rsid w:val="00916243"/>
    <w:rsid w:val="009163FD"/>
    <w:rsid w:val="00916461"/>
    <w:rsid w:val="00916609"/>
    <w:rsid w:val="00916D6D"/>
    <w:rsid w:val="00916DD5"/>
    <w:rsid w:val="00916DFF"/>
    <w:rsid w:val="0091725B"/>
    <w:rsid w:val="00920344"/>
    <w:rsid w:val="00920B54"/>
    <w:rsid w:val="00920C64"/>
    <w:rsid w:val="00920E4E"/>
    <w:rsid w:val="009211CA"/>
    <w:rsid w:val="009221C2"/>
    <w:rsid w:val="0092248F"/>
    <w:rsid w:val="00922EEE"/>
    <w:rsid w:val="0092324C"/>
    <w:rsid w:val="00923EE3"/>
    <w:rsid w:val="009243A2"/>
    <w:rsid w:val="00924F65"/>
    <w:rsid w:val="00925225"/>
    <w:rsid w:val="0092537F"/>
    <w:rsid w:val="0092748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1818"/>
    <w:rsid w:val="00942014"/>
    <w:rsid w:val="009439A1"/>
    <w:rsid w:val="00944418"/>
    <w:rsid w:val="00944B02"/>
    <w:rsid w:val="00945D03"/>
    <w:rsid w:val="00945D68"/>
    <w:rsid w:val="0094610E"/>
    <w:rsid w:val="0094648A"/>
    <w:rsid w:val="00946743"/>
    <w:rsid w:val="00946E31"/>
    <w:rsid w:val="00946E7E"/>
    <w:rsid w:val="009476E9"/>
    <w:rsid w:val="00947741"/>
    <w:rsid w:val="00947905"/>
    <w:rsid w:val="00947E9B"/>
    <w:rsid w:val="0095070F"/>
    <w:rsid w:val="00950CC6"/>
    <w:rsid w:val="0095156F"/>
    <w:rsid w:val="0095187A"/>
    <w:rsid w:val="00951967"/>
    <w:rsid w:val="00952669"/>
    <w:rsid w:val="0095285C"/>
    <w:rsid w:val="009529F2"/>
    <w:rsid w:val="009541E7"/>
    <w:rsid w:val="00954339"/>
    <w:rsid w:val="00954C0A"/>
    <w:rsid w:val="00954E68"/>
    <w:rsid w:val="0095537F"/>
    <w:rsid w:val="00955683"/>
    <w:rsid w:val="00955C46"/>
    <w:rsid w:val="00956608"/>
    <w:rsid w:val="00956F75"/>
    <w:rsid w:val="00956FB6"/>
    <w:rsid w:val="00957CEE"/>
    <w:rsid w:val="00957E0E"/>
    <w:rsid w:val="00960590"/>
    <w:rsid w:val="00960A7F"/>
    <w:rsid w:val="00960AF7"/>
    <w:rsid w:val="00960E68"/>
    <w:rsid w:val="009611F9"/>
    <w:rsid w:val="009612FC"/>
    <w:rsid w:val="009623B9"/>
    <w:rsid w:val="00962461"/>
    <w:rsid w:val="00962536"/>
    <w:rsid w:val="00962654"/>
    <w:rsid w:val="0096291B"/>
    <w:rsid w:val="009635D8"/>
    <w:rsid w:val="00963C5E"/>
    <w:rsid w:val="00963F30"/>
    <w:rsid w:val="00964419"/>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E77"/>
    <w:rsid w:val="00975FCF"/>
    <w:rsid w:val="009760D5"/>
    <w:rsid w:val="009768DB"/>
    <w:rsid w:val="00976BED"/>
    <w:rsid w:val="009771AA"/>
    <w:rsid w:val="00980391"/>
    <w:rsid w:val="0098067E"/>
    <w:rsid w:val="009808A4"/>
    <w:rsid w:val="00981035"/>
    <w:rsid w:val="0098168F"/>
    <w:rsid w:val="00981E97"/>
    <w:rsid w:val="00981F76"/>
    <w:rsid w:val="0098313C"/>
    <w:rsid w:val="009834F9"/>
    <w:rsid w:val="009848A4"/>
    <w:rsid w:val="00985115"/>
    <w:rsid w:val="00985133"/>
    <w:rsid w:val="009859B6"/>
    <w:rsid w:val="00985C1E"/>
    <w:rsid w:val="00985E0E"/>
    <w:rsid w:val="009860C3"/>
    <w:rsid w:val="009862DC"/>
    <w:rsid w:val="00986527"/>
    <w:rsid w:val="00986B53"/>
    <w:rsid w:val="00987250"/>
    <w:rsid w:val="009874CB"/>
    <w:rsid w:val="009908B0"/>
    <w:rsid w:val="00990C6A"/>
    <w:rsid w:val="00991167"/>
    <w:rsid w:val="009911DB"/>
    <w:rsid w:val="009918BC"/>
    <w:rsid w:val="009925F0"/>
    <w:rsid w:val="00992937"/>
    <w:rsid w:val="00992AA5"/>
    <w:rsid w:val="0099355D"/>
    <w:rsid w:val="00993AB9"/>
    <w:rsid w:val="00994757"/>
    <w:rsid w:val="00994865"/>
    <w:rsid w:val="0099503D"/>
    <w:rsid w:val="0099515A"/>
    <w:rsid w:val="00995900"/>
    <w:rsid w:val="00996278"/>
    <w:rsid w:val="009965A1"/>
    <w:rsid w:val="009973F4"/>
    <w:rsid w:val="00997404"/>
    <w:rsid w:val="009A05FD"/>
    <w:rsid w:val="009A0A69"/>
    <w:rsid w:val="009A0C03"/>
    <w:rsid w:val="009A0C76"/>
    <w:rsid w:val="009A11F1"/>
    <w:rsid w:val="009A190D"/>
    <w:rsid w:val="009A2019"/>
    <w:rsid w:val="009A26D8"/>
    <w:rsid w:val="009A28E2"/>
    <w:rsid w:val="009A3502"/>
    <w:rsid w:val="009A38CE"/>
    <w:rsid w:val="009A4B6E"/>
    <w:rsid w:val="009A52CA"/>
    <w:rsid w:val="009A62F5"/>
    <w:rsid w:val="009A6403"/>
    <w:rsid w:val="009A6FD1"/>
    <w:rsid w:val="009A70A3"/>
    <w:rsid w:val="009A736B"/>
    <w:rsid w:val="009A77DF"/>
    <w:rsid w:val="009A7B3D"/>
    <w:rsid w:val="009A7BD2"/>
    <w:rsid w:val="009B07A8"/>
    <w:rsid w:val="009B07B6"/>
    <w:rsid w:val="009B0FB0"/>
    <w:rsid w:val="009B11AF"/>
    <w:rsid w:val="009B191B"/>
    <w:rsid w:val="009B1986"/>
    <w:rsid w:val="009B1F35"/>
    <w:rsid w:val="009B289A"/>
    <w:rsid w:val="009B2AB9"/>
    <w:rsid w:val="009B3083"/>
    <w:rsid w:val="009B33CB"/>
    <w:rsid w:val="009B342A"/>
    <w:rsid w:val="009B44BB"/>
    <w:rsid w:val="009B44DF"/>
    <w:rsid w:val="009B504B"/>
    <w:rsid w:val="009B51F1"/>
    <w:rsid w:val="009B555E"/>
    <w:rsid w:val="009B55AE"/>
    <w:rsid w:val="009B5BB9"/>
    <w:rsid w:val="009B5BED"/>
    <w:rsid w:val="009B604F"/>
    <w:rsid w:val="009B6079"/>
    <w:rsid w:val="009B6C05"/>
    <w:rsid w:val="009B7304"/>
    <w:rsid w:val="009B783E"/>
    <w:rsid w:val="009B7B6D"/>
    <w:rsid w:val="009B7C2D"/>
    <w:rsid w:val="009C03D1"/>
    <w:rsid w:val="009C1719"/>
    <w:rsid w:val="009C4169"/>
    <w:rsid w:val="009C4C65"/>
    <w:rsid w:val="009C4CAD"/>
    <w:rsid w:val="009C59F2"/>
    <w:rsid w:val="009C5F71"/>
    <w:rsid w:val="009C7CCD"/>
    <w:rsid w:val="009D0CDB"/>
    <w:rsid w:val="009D0D87"/>
    <w:rsid w:val="009D0EC0"/>
    <w:rsid w:val="009D1454"/>
    <w:rsid w:val="009D23BB"/>
    <w:rsid w:val="009D2501"/>
    <w:rsid w:val="009D3119"/>
    <w:rsid w:val="009D3382"/>
    <w:rsid w:val="009D3F01"/>
    <w:rsid w:val="009D43C3"/>
    <w:rsid w:val="009D51C5"/>
    <w:rsid w:val="009D5EEE"/>
    <w:rsid w:val="009D623D"/>
    <w:rsid w:val="009D6F9A"/>
    <w:rsid w:val="009D7032"/>
    <w:rsid w:val="009D7099"/>
    <w:rsid w:val="009E0A49"/>
    <w:rsid w:val="009E1264"/>
    <w:rsid w:val="009E142B"/>
    <w:rsid w:val="009E1C60"/>
    <w:rsid w:val="009E25A6"/>
    <w:rsid w:val="009E2C14"/>
    <w:rsid w:val="009E30F3"/>
    <w:rsid w:val="009E3324"/>
    <w:rsid w:val="009E377E"/>
    <w:rsid w:val="009E4517"/>
    <w:rsid w:val="009E46D1"/>
    <w:rsid w:val="009E4DB2"/>
    <w:rsid w:val="009E50D4"/>
    <w:rsid w:val="009E589D"/>
    <w:rsid w:val="009E5AE9"/>
    <w:rsid w:val="009E5D91"/>
    <w:rsid w:val="009E6052"/>
    <w:rsid w:val="009E6868"/>
    <w:rsid w:val="009E69B4"/>
    <w:rsid w:val="009E73D4"/>
    <w:rsid w:val="009E78C8"/>
    <w:rsid w:val="009F0ED5"/>
    <w:rsid w:val="009F0F61"/>
    <w:rsid w:val="009F1D47"/>
    <w:rsid w:val="009F22A4"/>
    <w:rsid w:val="009F26DF"/>
    <w:rsid w:val="009F2922"/>
    <w:rsid w:val="009F32E8"/>
    <w:rsid w:val="009F36B6"/>
    <w:rsid w:val="009F3D2F"/>
    <w:rsid w:val="009F47BF"/>
    <w:rsid w:val="009F47E5"/>
    <w:rsid w:val="009F49C5"/>
    <w:rsid w:val="009F5105"/>
    <w:rsid w:val="009F530B"/>
    <w:rsid w:val="009F60D8"/>
    <w:rsid w:val="009F65FD"/>
    <w:rsid w:val="009F68F2"/>
    <w:rsid w:val="009F6A5B"/>
    <w:rsid w:val="009F754D"/>
    <w:rsid w:val="00A0231D"/>
    <w:rsid w:val="00A034D8"/>
    <w:rsid w:val="00A03933"/>
    <w:rsid w:val="00A03CE3"/>
    <w:rsid w:val="00A03ED6"/>
    <w:rsid w:val="00A05073"/>
    <w:rsid w:val="00A05CD1"/>
    <w:rsid w:val="00A064EF"/>
    <w:rsid w:val="00A076E5"/>
    <w:rsid w:val="00A07B8B"/>
    <w:rsid w:val="00A1015E"/>
    <w:rsid w:val="00A103CB"/>
    <w:rsid w:val="00A10619"/>
    <w:rsid w:val="00A10D2B"/>
    <w:rsid w:val="00A11911"/>
    <w:rsid w:val="00A12A06"/>
    <w:rsid w:val="00A13008"/>
    <w:rsid w:val="00A1356A"/>
    <w:rsid w:val="00A13EE8"/>
    <w:rsid w:val="00A14081"/>
    <w:rsid w:val="00A1423A"/>
    <w:rsid w:val="00A14601"/>
    <w:rsid w:val="00A15554"/>
    <w:rsid w:val="00A15A28"/>
    <w:rsid w:val="00A15B9C"/>
    <w:rsid w:val="00A15C7A"/>
    <w:rsid w:val="00A168FF"/>
    <w:rsid w:val="00A17089"/>
    <w:rsid w:val="00A172C7"/>
    <w:rsid w:val="00A1752C"/>
    <w:rsid w:val="00A179BA"/>
    <w:rsid w:val="00A17D7C"/>
    <w:rsid w:val="00A20015"/>
    <w:rsid w:val="00A212A2"/>
    <w:rsid w:val="00A21372"/>
    <w:rsid w:val="00A21ED2"/>
    <w:rsid w:val="00A22F56"/>
    <w:rsid w:val="00A233E9"/>
    <w:rsid w:val="00A247C3"/>
    <w:rsid w:val="00A2508F"/>
    <w:rsid w:val="00A258A9"/>
    <w:rsid w:val="00A25A78"/>
    <w:rsid w:val="00A25AA2"/>
    <w:rsid w:val="00A267DD"/>
    <w:rsid w:val="00A27622"/>
    <w:rsid w:val="00A27E05"/>
    <w:rsid w:val="00A30731"/>
    <w:rsid w:val="00A30AF2"/>
    <w:rsid w:val="00A30DAA"/>
    <w:rsid w:val="00A31243"/>
    <w:rsid w:val="00A314A3"/>
    <w:rsid w:val="00A315CF"/>
    <w:rsid w:val="00A316E2"/>
    <w:rsid w:val="00A31890"/>
    <w:rsid w:val="00A31A07"/>
    <w:rsid w:val="00A32C7A"/>
    <w:rsid w:val="00A344AD"/>
    <w:rsid w:val="00A3457F"/>
    <w:rsid w:val="00A35BD8"/>
    <w:rsid w:val="00A35DF0"/>
    <w:rsid w:val="00A367A4"/>
    <w:rsid w:val="00A37304"/>
    <w:rsid w:val="00A379A7"/>
    <w:rsid w:val="00A40CD8"/>
    <w:rsid w:val="00A40FFC"/>
    <w:rsid w:val="00A41233"/>
    <w:rsid w:val="00A41CEA"/>
    <w:rsid w:val="00A41D89"/>
    <w:rsid w:val="00A422E1"/>
    <w:rsid w:val="00A42FDF"/>
    <w:rsid w:val="00A43AF9"/>
    <w:rsid w:val="00A43B19"/>
    <w:rsid w:val="00A44CFF"/>
    <w:rsid w:val="00A451AE"/>
    <w:rsid w:val="00A45A2E"/>
    <w:rsid w:val="00A45E66"/>
    <w:rsid w:val="00A4677E"/>
    <w:rsid w:val="00A46E4C"/>
    <w:rsid w:val="00A47B5C"/>
    <w:rsid w:val="00A51A12"/>
    <w:rsid w:val="00A52037"/>
    <w:rsid w:val="00A521E1"/>
    <w:rsid w:val="00A52B79"/>
    <w:rsid w:val="00A542A3"/>
    <w:rsid w:val="00A54B4F"/>
    <w:rsid w:val="00A5537D"/>
    <w:rsid w:val="00A554A1"/>
    <w:rsid w:val="00A559BD"/>
    <w:rsid w:val="00A55C80"/>
    <w:rsid w:val="00A56406"/>
    <w:rsid w:val="00A56D15"/>
    <w:rsid w:val="00A57B5D"/>
    <w:rsid w:val="00A607DB"/>
    <w:rsid w:val="00A60E28"/>
    <w:rsid w:val="00A60FCC"/>
    <w:rsid w:val="00A61070"/>
    <w:rsid w:val="00A61316"/>
    <w:rsid w:val="00A61DAA"/>
    <w:rsid w:val="00A62091"/>
    <w:rsid w:val="00A62715"/>
    <w:rsid w:val="00A62922"/>
    <w:rsid w:val="00A62EB3"/>
    <w:rsid w:val="00A63DA6"/>
    <w:rsid w:val="00A650F8"/>
    <w:rsid w:val="00A654D7"/>
    <w:rsid w:val="00A65CEF"/>
    <w:rsid w:val="00A65F33"/>
    <w:rsid w:val="00A666F0"/>
    <w:rsid w:val="00A67714"/>
    <w:rsid w:val="00A67871"/>
    <w:rsid w:val="00A678B9"/>
    <w:rsid w:val="00A700CC"/>
    <w:rsid w:val="00A70156"/>
    <w:rsid w:val="00A70186"/>
    <w:rsid w:val="00A70688"/>
    <w:rsid w:val="00A70E28"/>
    <w:rsid w:val="00A7126B"/>
    <w:rsid w:val="00A7161E"/>
    <w:rsid w:val="00A71B4D"/>
    <w:rsid w:val="00A72015"/>
    <w:rsid w:val="00A7282E"/>
    <w:rsid w:val="00A7319E"/>
    <w:rsid w:val="00A733ED"/>
    <w:rsid w:val="00A74993"/>
    <w:rsid w:val="00A75EAE"/>
    <w:rsid w:val="00A76826"/>
    <w:rsid w:val="00A774A5"/>
    <w:rsid w:val="00A7799B"/>
    <w:rsid w:val="00A77CA8"/>
    <w:rsid w:val="00A808D3"/>
    <w:rsid w:val="00A82272"/>
    <w:rsid w:val="00A827A2"/>
    <w:rsid w:val="00A8300D"/>
    <w:rsid w:val="00A837ED"/>
    <w:rsid w:val="00A83F0F"/>
    <w:rsid w:val="00A85A5B"/>
    <w:rsid w:val="00A85CD5"/>
    <w:rsid w:val="00A86147"/>
    <w:rsid w:val="00A86324"/>
    <w:rsid w:val="00A865BD"/>
    <w:rsid w:val="00A86EAC"/>
    <w:rsid w:val="00A870F8"/>
    <w:rsid w:val="00A90593"/>
    <w:rsid w:val="00A920DC"/>
    <w:rsid w:val="00A92AC4"/>
    <w:rsid w:val="00A93303"/>
    <w:rsid w:val="00A933BE"/>
    <w:rsid w:val="00A93615"/>
    <w:rsid w:val="00A93907"/>
    <w:rsid w:val="00A93B35"/>
    <w:rsid w:val="00A95492"/>
    <w:rsid w:val="00A95F20"/>
    <w:rsid w:val="00A95F55"/>
    <w:rsid w:val="00A961B0"/>
    <w:rsid w:val="00A962E3"/>
    <w:rsid w:val="00A964BF"/>
    <w:rsid w:val="00A97355"/>
    <w:rsid w:val="00A973F1"/>
    <w:rsid w:val="00A977F4"/>
    <w:rsid w:val="00AA0E32"/>
    <w:rsid w:val="00AA104F"/>
    <w:rsid w:val="00AA11D5"/>
    <w:rsid w:val="00AA18B9"/>
    <w:rsid w:val="00AA19C8"/>
    <w:rsid w:val="00AA1C59"/>
    <w:rsid w:val="00AA242D"/>
    <w:rsid w:val="00AA2802"/>
    <w:rsid w:val="00AA382B"/>
    <w:rsid w:val="00AA3ABC"/>
    <w:rsid w:val="00AA3B8E"/>
    <w:rsid w:val="00AA3E37"/>
    <w:rsid w:val="00AA3FAC"/>
    <w:rsid w:val="00AA4179"/>
    <w:rsid w:val="00AA5D1F"/>
    <w:rsid w:val="00AA6106"/>
    <w:rsid w:val="00AA6138"/>
    <w:rsid w:val="00AA61A4"/>
    <w:rsid w:val="00AA75D4"/>
    <w:rsid w:val="00AA7A52"/>
    <w:rsid w:val="00AB0546"/>
    <w:rsid w:val="00AB0632"/>
    <w:rsid w:val="00AB08B9"/>
    <w:rsid w:val="00AB0FD3"/>
    <w:rsid w:val="00AB2690"/>
    <w:rsid w:val="00AB2E96"/>
    <w:rsid w:val="00AB352A"/>
    <w:rsid w:val="00AB4E61"/>
    <w:rsid w:val="00AB5F14"/>
    <w:rsid w:val="00AB5F5D"/>
    <w:rsid w:val="00AB68B8"/>
    <w:rsid w:val="00AB75BD"/>
    <w:rsid w:val="00AC088F"/>
    <w:rsid w:val="00AC1DE0"/>
    <w:rsid w:val="00AC1F74"/>
    <w:rsid w:val="00AC20A4"/>
    <w:rsid w:val="00AC461C"/>
    <w:rsid w:val="00AC4B03"/>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DEB"/>
    <w:rsid w:val="00AD5F0B"/>
    <w:rsid w:val="00AD5F17"/>
    <w:rsid w:val="00AD653B"/>
    <w:rsid w:val="00AD7871"/>
    <w:rsid w:val="00AD7C72"/>
    <w:rsid w:val="00AE03DD"/>
    <w:rsid w:val="00AE0E62"/>
    <w:rsid w:val="00AE11CA"/>
    <w:rsid w:val="00AE27D4"/>
    <w:rsid w:val="00AE2958"/>
    <w:rsid w:val="00AE4B4D"/>
    <w:rsid w:val="00AE79F7"/>
    <w:rsid w:val="00AE7DE7"/>
    <w:rsid w:val="00AF02CC"/>
    <w:rsid w:val="00AF074E"/>
    <w:rsid w:val="00AF07FB"/>
    <w:rsid w:val="00AF1AF7"/>
    <w:rsid w:val="00AF1F38"/>
    <w:rsid w:val="00AF438A"/>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70C"/>
    <w:rsid w:val="00B03F67"/>
    <w:rsid w:val="00B044DB"/>
    <w:rsid w:val="00B047D2"/>
    <w:rsid w:val="00B04DA1"/>
    <w:rsid w:val="00B05B86"/>
    <w:rsid w:val="00B06489"/>
    <w:rsid w:val="00B071C8"/>
    <w:rsid w:val="00B07BB7"/>
    <w:rsid w:val="00B10015"/>
    <w:rsid w:val="00B104D1"/>
    <w:rsid w:val="00B10923"/>
    <w:rsid w:val="00B11CA0"/>
    <w:rsid w:val="00B1290C"/>
    <w:rsid w:val="00B12964"/>
    <w:rsid w:val="00B13D3B"/>
    <w:rsid w:val="00B143A9"/>
    <w:rsid w:val="00B149DD"/>
    <w:rsid w:val="00B14D51"/>
    <w:rsid w:val="00B15358"/>
    <w:rsid w:val="00B1550A"/>
    <w:rsid w:val="00B156F9"/>
    <w:rsid w:val="00B178A3"/>
    <w:rsid w:val="00B17AAE"/>
    <w:rsid w:val="00B17B85"/>
    <w:rsid w:val="00B17C92"/>
    <w:rsid w:val="00B17CDC"/>
    <w:rsid w:val="00B202A4"/>
    <w:rsid w:val="00B209C2"/>
    <w:rsid w:val="00B21AA6"/>
    <w:rsid w:val="00B21B57"/>
    <w:rsid w:val="00B2289B"/>
    <w:rsid w:val="00B22CFE"/>
    <w:rsid w:val="00B23014"/>
    <w:rsid w:val="00B23221"/>
    <w:rsid w:val="00B23E31"/>
    <w:rsid w:val="00B241D0"/>
    <w:rsid w:val="00B24FDC"/>
    <w:rsid w:val="00B25033"/>
    <w:rsid w:val="00B25063"/>
    <w:rsid w:val="00B25664"/>
    <w:rsid w:val="00B25883"/>
    <w:rsid w:val="00B25E41"/>
    <w:rsid w:val="00B26736"/>
    <w:rsid w:val="00B269C0"/>
    <w:rsid w:val="00B2718D"/>
    <w:rsid w:val="00B3080A"/>
    <w:rsid w:val="00B30B90"/>
    <w:rsid w:val="00B318AD"/>
    <w:rsid w:val="00B32135"/>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737"/>
    <w:rsid w:val="00B37917"/>
    <w:rsid w:val="00B37D87"/>
    <w:rsid w:val="00B37EF1"/>
    <w:rsid w:val="00B40123"/>
    <w:rsid w:val="00B404CD"/>
    <w:rsid w:val="00B40D90"/>
    <w:rsid w:val="00B41BA4"/>
    <w:rsid w:val="00B42678"/>
    <w:rsid w:val="00B42C5B"/>
    <w:rsid w:val="00B432DF"/>
    <w:rsid w:val="00B434C2"/>
    <w:rsid w:val="00B44C7B"/>
    <w:rsid w:val="00B44CFC"/>
    <w:rsid w:val="00B452C0"/>
    <w:rsid w:val="00B45DFF"/>
    <w:rsid w:val="00B462E5"/>
    <w:rsid w:val="00B46637"/>
    <w:rsid w:val="00B46EC5"/>
    <w:rsid w:val="00B4735F"/>
    <w:rsid w:val="00B47FC4"/>
    <w:rsid w:val="00B5005D"/>
    <w:rsid w:val="00B50129"/>
    <w:rsid w:val="00B50150"/>
    <w:rsid w:val="00B51934"/>
    <w:rsid w:val="00B51CC6"/>
    <w:rsid w:val="00B51EB1"/>
    <w:rsid w:val="00B52613"/>
    <w:rsid w:val="00B532CF"/>
    <w:rsid w:val="00B535B1"/>
    <w:rsid w:val="00B53654"/>
    <w:rsid w:val="00B536D7"/>
    <w:rsid w:val="00B54160"/>
    <w:rsid w:val="00B54A74"/>
    <w:rsid w:val="00B54CFF"/>
    <w:rsid w:val="00B5524B"/>
    <w:rsid w:val="00B554C0"/>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34D"/>
    <w:rsid w:val="00B6393A"/>
    <w:rsid w:val="00B64A28"/>
    <w:rsid w:val="00B64E97"/>
    <w:rsid w:val="00B64ED9"/>
    <w:rsid w:val="00B6508F"/>
    <w:rsid w:val="00B66183"/>
    <w:rsid w:val="00B66954"/>
    <w:rsid w:val="00B66B4F"/>
    <w:rsid w:val="00B674A7"/>
    <w:rsid w:val="00B6781B"/>
    <w:rsid w:val="00B67ADD"/>
    <w:rsid w:val="00B70D0C"/>
    <w:rsid w:val="00B70F2C"/>
    <w:rsid w:val="00B72770"/>
    <w:rsid w:val="00B73C2D"/>
    <w:rsid w:val="00B74290"/>
    <w:rsid w:val="00B756B1"/>
    <w:rsid w:val="00B76BDD"/>
    <w:rsid w:val="00B7750A"/>
    <w:rsid w:val="00B80ADA"/>
    <w:rsid w:val="00B80CDE"/>
    <w:rsid w:val="00B8182E"/>
    <w:rsid w:val="00B81846"/>
    <w:rsid w:val="00B825E8"/>
    <w:rsid w:val="00B82CF1"/>
    <w:rsid w:val="00B84AFB"/>
    <w:rsid w:val="00B855B8"/>
    <w:rsid w:val="00B85A89"/>
    <w:rsid w:val="00B85EEA"/>
    <w:rsid w:val="00B863F8"/>
    <w:rsid w:val="00B86B69"/>
    <w:rsid w:val="00B87448"/>
    <w:rsid w:val="00B874E0"/>
    <w:rsid w:val="00B87A7A"/>
    <w:rsid w:val="00B87E88"/>
    <w:rsid w:val="00B87FF8"/>
    <w:rsid w:val="00B90233"/>
    <w:rsid w:val="00B902BE"/>
    <w:rsid w:val="00B903AC"/>
    <w:rsid w:val="00B911CA"/>
    <w:rsid w:val="00B91659"/>
    <w:rsid w:val="00B93398"/>
    <w:rsid w:val="00B93538"/>
    <w:rsid w:val="00B93B14"/>
    <w:rsid w:val="00B9443A"/>
    <w:rsid w:val="00B94AA0"/>
    <w:rsid w:val="00B94E36"/>
    <w:rsid w:val="00B95813"/>
    <w:rsid w:val="00B9591C"/>
    <w:rsid w:val="00B95BB2"/>
    <w:rsid w:val="00B95EA8"/>
    <w:rsid w:val="00BA00D6"/>
    <w:rsid w:val="00BA01BC"/>
    <w:rsid w:val="00BA0449"/>
    <w:rsid w:val="00BA0B5A"/>
    <w:rsid w:val="00BA1935"/>
    <w:rsid w:val="00BA19C1"/>
    <w:rsid w:val="00BA2033"/>
    <w:rsid w:val="00BA2563"/>
    <w:rsid w:val="00BA30A1"/>
    <w:rsid w:val="00BA3F9E"/>
    <w:rsid w:val="00BA4565"/>
    <w:rsid w:val="00BA4994"/>
    <w:rsid w:val="00BA4FEE"/>
    <w:rsid w:val="00BA5462"/>
    <w:rsid w:val="00BA5811"/>
    <w:rsid w:val="00BA5C78"/>
    <w:rsid w:val="00BA66E0"/>
    <w:rsid w:val="00BA67AD"/>
    <w:rsid w:val="00BA684C"/>
    <w:rsid w:val="00BA6851"/>
    <w:rsid w:val="00BA6A6A"/>
    <w:rsid w:val="00BA6F42"/>
    <w:rsid w:val="00BA7054"/>
    <w:rsid w:val="00BA780E"/>
    <w:rsid w:val="00BA7A5F"/>
    <w:rsid w:val="00BA7A60"/>
    <w:rsid w:val="00BB0408"/>
    <w:rsid w:val="00BB0C74"/>
    <w:rsid w:val="00BB0EE9"/>
    <w:rsid w:val="00BB1604"/>
    <w:rsid w:val="00BB1AEA"/>
    <w:rsid w:val="00BB2EB2"/>
    <w:rsid w:val="00BB334C"/>
    <w:rsid w:val="00BB3599"/>
    <w:rsid w:val="00BB35B7"/>
    <w:rsid w:val="00BB3D0A"/>
    <w:rsid w:val="00BB3F25"/>
    <w:rsid w:val="00BB4120"/>
    <w:rsid w:val="00BB41A5"/>
    <w:rsid w:val="00BB44B0"/>
    <w:rsid w:val="00BB46E5"/>
    <w:rsid w:val="00BB4D30"/>
    <w:rsid w:val="00BB573C"/>
    <w:rsid w:val="00BB5B37"/>
    <w:rsid w:val="00BB5FCD"/>
    <w:rsid w:val="00BB633C"/>
    <w:rsid w:val="00BB6A41"/>
    <w:rsid w:val="00BB6CBE"/>
    <w:rsid w:val="00BB6DB7"/>
    <w:rsid w:val="00BB7663"/>
    <w:rsid w:val="00BB77F0"/>
    <w:rsid w:val="00BC08AD"/>
    <w:rsid w:val="00BC0BDD"/>
    <w:rsid w:val="00BC450E"/>
    <w:rsid w:val="00BC4AD4"/>
    <w:rsid w:val="00BC4F7C"/>
    <w:rsid w:val="00BC5425"/>
    <w:rsid w:val="00BC6345"/>
    <w:rsid w:val="00BC6854"/>
    <w:rsid w:val="00BC7540"/>
    <w:rsid w:val="00BC7571"/>
    <w:rsid w:val="00BC7651"/>
    <w:rsid w:val="00BC7F05"/>
    <w:rsid w:val="00BD1E88"/>
    <w:rsid w:val="00BD240D"/>
    <w:rsid w:val="00BD2C25"/>
    <w:rsid w:val="00BD2C7E"/>
    <w:rsid w:val="00BD3BD5"/>
    <w:rsid w:val="00BD3FD9"/>
    <w:rsid w:val="00BD4558"/>
    <w:rsid w:val="00BD4C27"/>
    <w:rsid w:val="00BD4DCD"/>
    <w:rsid w:val="00BD562A"/>
    <w:rsid w:val="00BD5DC9"/>
    <w:rsid w:val="00BD61CD"/>
    <w:rsid w:val="00BD6D0D"/>
    <w:rsid w:val="00BD6FA4"/>
    <w:rsid w:val="00BD73AF"/>
    <w:rsid w:val="00BD76BC"/>
    <w:rsid w:val="00BE0ED3"/>
    <w:rsid w:val="00BE1752"/>
    <w:rsid w:val="00BE1F72"/>
    <w:rsid w:val="00BE238B"/>
    <w:rsid w:val="00BE2BA3"/>
    <w:rsid w:val="00BE33D2"/>
    <w:rsid w:val="00BE3940"/>
    <w:rsid w:val="00BE3ABC"/>
    <w:rsid w:val="00BE4259"/>
    <w:rsid w:val="00BE4891"/>
    <w:rsid w:val="00BE4EB0"/>
    <w:rsid w:val="00BE5306"/>
    <w:rsid w:val="00BE5321"/>
    <w:rsid w:val="00BE5720"/>
    <w:rsid w:val="00BE57DB"/>
    <w:rsid w:val="00BE5F5E"/>
    <w:rsid w:val="00BE6373"/>
    <w:rsid w:val="00BE795E"/>
    <w:rsid w:val="00BE79F8"/>
    <w:rsid w:val="00BE7B76"/>
    <w:rsid w:val="00BE7EBF"/>
    <w:rsid w:val="00BF0E3B"/>
    <w:rsid w:val="00BF0F56"/>
    <w:rsid w:val="00BF1198"/>
    <w:rsid w:val="00BF1A23"/>
    <w:rsid w:val="00BF29B7"/>
    <w:rsid w:val="00BF3052"/>
    <w:rsid w:val="00BF40B4"/>
    <w:rsid w:val="00BF47FC"/>
    <w:rsid w:val="00BF595A"/>
    <w:rsid w:val="00BF5DE4"/>
    <w:rsid w:val="00BF680A"/>
    <w:rsid w:val="00BF7513"/>
    <w:rsid w:val="00BF7C9E"/>
    <w:rsid w:val="00BF7FF4"/>
    <w:rsid w:val="00C00BF3"/>
    <w:rsid w:val="00C025B3"/>
    <w:rsid w:val="00C02CB4"/>
    <w:rsid w:val="00C03C19"/>
    <w:rsid w:val="00C04D25"/>
    <w:rsid w:val="00C059AB"/>
    <w:rsid w:val="00C06E19"/>
    <w:rsid w:val="00C070D1"/>
    <w:rsid w:val="00C10899"/>
    <w:rsid w:val="00C1099D"/>
    <w:rsid w:val="00C10B91"/>
    <w:rsid w:val="00C11A7F"/>
    <w:rsid w:val="00C12E91"/>
    <w:rsid w:val="00C1375D"/>
    <w:rsid w:val="00C1401C"/>
    <w:rsid w:val="00C14395"/>
    <w:rsid w:val="00C143EF"/>
    <w:rsid w:val="00C1523A"/>
    <w:rsid w:val="00C15781"/>
    <w:rsid w:val="00C15873"/>
    <w:rsid w:val="00C15F35"/>
    <w:rsid w:val="00C16FCF"/>
    <w:rsid w:val="00C171F4"/>
    <w:rsid w:val="00C17E5C"/>
    <w:rsid w:val="00C17FBC"/>
    <w:rsid w:val="00C20D96"/>
    <w:rsid w:val="00C2125F"/>
    <w:rsid w:val="00C2139E"/>
    <w:rsid w:val="00C2157C"/>
    <w:rsid w:val="00C2157D"/>
    <w:rsid w:val="00C21853"/>
    <w:rsid w:val="00C219D6"/>
    <w:rsid w:val="00C21F16"/>
    <w:rsid w:val="00C22318"/>
    <w:rsid w:val="00C228DD"/>
    <w:rsid w:val="00C23458"/>
    <w:rsid w:val="00C23DAD"/>
    <w:rsid w:val="00C24609"/>
    <w:rsid w:val="00C24DA2"/>
    <w:rsid w:val="00C24FD4"/>
    <w:rsid w:val="00C251C0"/>
    <w:rsid w:val="00C2752B"/>
    <w:rsid w:val="00C27A9C"/>
    <w:rsid w:val="00C27FE6"/>
    <w:rsid w:val="00C301A8"/>
    <w:rsid w:val="00C30373"/>
    <w:rsid w:val="00C30387"/>
    <w:rsid w:val="00C30829"/>
    <w:rsid w:val="00C30B4A"/>
    <w:rsid w:val="00C317B8"/>
    <w:rsid w:val="00C33886"/>
    <w:rsid w:val="00C3396C"/>
    <w:rsid w:val="00C33FBF"/>
    <w:rsid w:val="00C3450A"/>
    <w:rsid w:val="00C346BB"/>
    <w:rsid w:val="00C34A88"/>
    <w:rsid w:val="00C3514D"/>
    <w:rsid w:val="00C3572C"/>
    <w:rsid w:val="00C35793"/>
    <w:rsid w:val="00C35A8D"/>
    <w:rsid w:val="00C35C46"/>
    <w:rsid w:val="00C35CAB"/>
    <w:rsid w:val="00C36589"/>
    <w:rsid w:val="00C36D55"/>
    <w:rsid w:val="00C36F88"/>
    <w:rsid w:val="00C3705C"/>
    <w:rsid w:val="00C371A5"/>
    <w:rsid w:val="00C37275"/>
    <w:rsid w:val="00C404A9"/>
    <w:rsid w:val="00C4097C"/>
    <w:rsid w:val="00C40B19"/>
    <w:rsid w:val="00C40C17"/>
    <w:rsid w:val="00C41085"/>
    <w:rsid w:val="00C41959"/>
    <w:rsid w:val="00C41D39"/>
    <w:rsid w:val="00C43325"/>
    <w:rsid w:val="00C43B51"/>
    <w:rsid w:val="00C4485C"/>
    <w:rsid w:val="00C4683B"/>
    <w:rsid w:val="00C47790"/>
    <w:rsid w:val="00C47BF6"/>
    <w:rsid w:val="00C47F0E"/>
    <w:rsid w:val="00C50029"/>
    <w:rsid w:val="00C500CC"/>
    <w:rsid w:val="00C52877"/>
    <w:rsid w:val="00C52E75"/>
    <w:rsid w:val="00C5393D"/>
    <w:rsid w:val="00C5394E"/>
    <w:rsid w:val="00C541D6"/>
    <w:rsid w:val="00C54202"/>
    <w:rsid w:val="00C54A27"/>
    <w:rsid w:val="00C556C4"/>
    <w:rsid w:val="00C558EA"/>
    <w:rsid w:val="00C55B70"/>
    <w:rsid w:val="00C55CBF"/>
    <w:rsid w:val="00C5638A"/>
    <w:rsid w:val="00C56402"/>
    <w:rsid w:val="00C56EB0"/>
    <w:rsid w:val="00C573AC"/>
    <w:rsid w:val="00C57D87"/>
    <w:rsid w:val="00C57F91"/>
    <w:rsid w:val="00C6009A"/>
    <w:rsid w:val="00C6268A"/>
    <w:rsid w:val="00C62CDF"/>
    <w:rsid w:val="00C62D06"/>
    <w:rsid w:val="00C6372F"/>
    <w:rsid w:val="00C63D05"/>
    <w:rsid w:val="00C646B9"/>
    <w:rsid w:val="00C64B20"/>
    <w:rsid w:val="00C64C69"/>
    <w:rsid w:val="00C656EE"/>
    <w:rsid w:val="00C65FB4"/>
    <w:rsid w:val="00C6617D"/>
    <w:rsid w:val="00C667E5"/>
    <w:rsid w:val="00C67012"/>
    <w:rsid w:val="00C67813"/>
    <w:rsid w:val="00C678FB"/>
    <w:rsid w:val="00C679CA"/>
    <w:rsid w:val="00C71869"/>
    <w:rsid w:val="00C7247C"/>
    <w:rsid w:val="00C72D2A"/>
    <w:rsid w:val="00C738D6"/>
    <w:rsid w:val="00C73A9F"/>
    <w:rsid w:val="00C73AD3"/>
    <w:rsid w:val="00C74302"/>
    <w:rsid w:val="00C749B2"/>
    <w:rsid w:val="00C75600"/>
    <w:rsid w:val="00C75613"/>
    <w:rsid w:val="00C75F34"/>
    <w:rsid w:val="00C76161"/>
    <w:rsid w:val="00C76571"/>
    <w:rsid w:val="00C772FE"/>
    <w:rsid w:val="00C80683"/>
    <w:rsid w:val="00C807F9"/>
    <w:rsid w:val="00C80F02"/>
    <w:rsid w:val="00C811AD"/>
    <w:rsid w:val="00C816A5"/>
    <w:rsid w:val="00C8202F"/>
    <w:rsid w:val="00C8243E"/>
    <w:rsid w:val="00C8283A"/>
    <w:rsid w:val="00C82B93"/>
    <w:rsid w:val="00C83083"/>
    <w:rsid w:val="00C8316A"/>
    <w:rsid w:val="00C83572"/>
    <w:rsid w:val="00C8384E"/>
    <w:rsid w:val="00C83C22"/>
    <w:rsid w:val="00C84260"/>
    <w:rsid w:val="00C84564"/>
    <w:rsid w:val="00C845FC"/>
    <w:rsid w:val="00C85175"/>
    <w:rsid w:val="00C85420"/>
    <w:rsid w:val="00C86CD0"/>
    <w:rsid w:val="00C87D20"/>
    <w:rsid w:val="00C87D9B"/>
    <w:rsid w:val="00C9026E"/>
    <w:rsid w:val="00C90678"/>
    <w:rsid w:val="00C9086D"/>
    <w:rsid w:val="00C908B1"/>
    <w:rsid w:val="00C911EC"/>
    <w:rsid w:val="00C9150F"/>
    <w:rsid w:val="00C91524"/>
    <w:rsid w:val="00C92206"/>
    <w:rsid w:val="00C92F10"/>
    <w:rsid w:val="00C9352A"/>
    <w:rsid w:val="00C95504"/>
    <w:rsid w:val="00C95B98"/>
    <w:rsid w:val="00C95CA2"/>
    <w:rsid w:val="00C961B2"/>
    <w:rsid w:val="00C97834"/>
    <w:rsid w:val="00C97F0F"/>
    <w:rsid w:val="00CA0047"/>
    <w:rsid w:val="00CA0317"/>
    <w:rsid w:val="00CA0664"/>
    <w:rsid w:val="00CA06F9"/>
    <w:rsid w:val="00CA1FD2"/>
    <w:rsid w:val="00CA345B"/>
    <w:rsid w:val="00CA37C7"/>
    <w:rsid w:val="00CA3A03"/>
    <w:rsid w:val="00CA3AAE"/>
    <w:rsid w:val="00CA3D87"/>
    <w:rsid w:val="00CA43DD"/>
    <w:rsid w:val="00CA4B91"/>
    <w:rsid w:val="00CA5001"/>
    <w:rsid w:val="00CA6DBF"/>
    <w:rsid w:val="00CA7032"/>
    <w:rsid w:val="00CA7350"/>
    <w:rsid w:val="00CA7D36"/>
    <w:rsid w:val="00CB0085"/>
    <w:rsid w:val="00CB03D0"/>
    <w:rsid w:val="00CB04B0"/>
    <w:rsid w:val="00CB0555"/>
    <w:rsid w:val="00CB0712"/>
    <w:rsid w:val="00CB0E20"/>
    <w:rsid w:val="00CB1609"/>
    <w:rsid w:val="00CB1AF5"/>
    <w:rsid w:val="00CB1BBC"/>
    <w:rsid w:val="00CB2475"/>
    <w:rsid w:val="00CB279A"/>
    <w:rsid w:val="00CB2C2C"/>
    <w:rsid w:val="00CB3684"/>
    <w:rsid w:val="00CB4614"/>
    <w:rsid w:val="00CB462C"/>
    <w:rsid w:val="00CB4769"/>
    <w:rsid w:val="00CB493D"/>
    <w:rsid w:val="00CB49C8"/>
    <w:rsid w:val="00CB4BCF"/>
    <w:rsid w:val="00CB5401"/>
    <w:rsid w:val="00CB5FF6"/>
    <w:rsid w:val="00CB66EC"/>
    <w:rsid w:val="00CB73D2"/>
    <w:rsid w:val="00CB78D1"/>
    <w:rsid w:val="00CC1832"/>
    <w:rsid w:val="00CC197E"/>
    <w:rsid w:val="00CC2337"/>
    <w:rsid w:val="00CC3EA0"/>
    <w:rsid w:val="00CC4655"/>
    <w:rsid w:val="00CC52DB"/>
    <w:rsid w:val="00CC5A28"/>
    <w:rsid w:val="00CC63BC"/>
    <w:rsid w:val="00CC691F"/>
    <w:rsid w:val="00CC695F"/>
    <w:rsid w:val="00CC6D56"/>
    <w:rsid w:val="00CC756E"/>
    <w:rsid w:val="00CC7715"/>
    <w:rsid w:val="00CC7B25"/>
    <w:rsid w:val="00CD0677"/>
    <w:rsid w:val="00CD079B"/>
    <w:rsid w:val="00CD1083"/>
    <w:rsid w:val="00CD10E7"/>
    <w:rsid w:val="00CD1B13"/>
    <w:rsid w:val="00CD1C91"/>
    <w:rsid w:val="00CD241E"/>
    <w:rsid w:val="00CD292B"/>
    <w:rsid w:val="00CD2A1A"/>
    <w:rsid w:val="00CD4289"/>
    <w:rsid w:val="00CD49A1"/>
    <w:rsid w:val="00CD4A5F"/>
    <w:rsid w:val="00CD4C56"/>
    <w:rsid w:val="00CD5982"/>
    <w:rsid w:val="00CD5FD9"/>
    <w:rsid w:val="00CD64C4"/>
    <w:rsid w:val="00CD7020"/>
    <w:rsid w:val="00CD7632"/>
    <w:rsid w:val="00CD771C"/>
    <w:rsid w:val="00CD7F4D"/>
    <w:rsid w:val="00CE014B"/>
    <w:rsid w:val="00CE0159"/>
    <w:rsid w:val="00CE04FE"/>
    <w:rsid w:val="00CE0CE6"/>
    <w:rsid w:val="00CE0F35"/>
    <w:rsid w:val="00CE1A25"/>
    <w:rsid w:val="00CE1D49"/>
    <w:rsid w:val="00CE2253"/>
    <w:rsid w:val="00CE2676"/>
    <w:rsid w:val="00CE37E7"/>
    <w:rsid w:val="00CE3CA4"/>
    <w:rsid w:val="00CE3CA5"/>
    <w:rsid w:val="00CE3FB5"/>
    <w:rsid w:val="00CE4203"/>
    <w:rsid w:val="00CE45A7"/>
    <w:rsid w:val="00CE4B5F"/>
    <w:rsid w:val="00CE5716"/>
    <w:rsid w:val="00CE57F8"/>
    <w:rsid w:val="00CE5E05"/>
    <w:rsid w:val="00CE6BE9"/>
    <w:rsid w:val="00CE6E28"/>
    <w:rsid w:val="00CE6FA0"/>
    <w:rsid w:val="00CE7C17"/>
    <w:rsid w:val="00CE7C69"/>
    <w:rsid w:val="00CF01C1"/>
    <w:rsid w:val="00CF0B54"/>
    <w:rsid w:val="00CF0DA6"/>
    <w:rsid w:val="00CF1B83"/>
    <w:rsid w:val="00CF2B5D"/>
    <w:rsid w:val="00CF2C99"/>
    <w:rsid w:val="00CF2DA3"/>
    <w:rsid w:val="00CF2FBA"/>
    <w:rsid w:val="00CF41A2"/>
    <w:rsid w:val="00CF4728"/>
    <w:rsid w:val="00CF5001"/>
    <w:rsid w:val="00CF5170"/>
    <w:rsid w:val="00CF51C0"/>
    <w:rsid w:val="00CF56D7"/>
    <w:rsid w:val="00CF588C"/>
    <w:rsid w:val="00CF5DA1"/>
    <w:rsid w:val="00CF5E9F"/>
    <w:rsid w:val="00CF621C"/>
    <w:rsid w:val="00CF6796"/>
    <w:rsid w:val="00CF7877"/>
    <w:rsid w:val="00CF7A32"/>
    <w:rsid w:val="00CF7B02"/>
    <w:rsid w:val="00CF7D6A"/>
    <w:rsid w:val="00CF7E84"/>
    <w:rsid w:val="00D003C6"/>
    <w:rsid w:val="00D0129E"/>
    <w:rsid w:val="00D01919"/>
    <w:rsid w:val="00D01B43"/>
    <w:rsid w:val="00D0210A"/>
    <w:rsid w:val="00D03190"/>
    <w:rsid w:val="00D03457"/>
    <w:rsid w:val="00D0395D"/>
    <w:rsid w:val="00D047D3"/>
    <w:rsid w:val="00D04BBC"/>
    <w:rsid w:val="00D05579"/>
    <w:rsid w:val="00D05AD8"/>
    <w:rsid w:val="00D06757"/>
    <w:rsid w:val="00D0771E"/>
    <w:rsid w:val="00D07E97"/>
    <w:rsid w:val="00D1029F"/>
    <w:rsid w:val="00D103DE"/>
    <w:rsid w:val="00D108F1"/>
    <w:rsid w:val="00D112F3"/>
    <w:rsid w:val="00D11558"/>
    <w:rsid w:val="00D116A3"/>
    <w:rsid w:val="00D12023"/>
    <w:rsid w:val="00D124D3"/>
    <w:rsid w:val="00D1335D"/>
    <w:rsid w:val="00D137D8"/>
    <w:rsid w:val="00D13817"/>
    <w:rsid w:val="00D13E70"/>
    <w:rsid w:val="00D140B7"/>
    <w:rsid w:val="00D14D50"/>
    <w:rsid w:val="00D153B0"/>
    <w:rsid w:val="00D155B4"/>
    <w:rsid w:val="00D15B78"/>
    <w:rsid w:val="00D15C36"/>
    <w:rsid w:val="00D15CF8"/>
    <w:rsid w:val="00D16AB4"/>
    <w:rsid w:val="00D1772B"/>
    <w:rsid w:val="00D20BE0"/>
    <w:rsid w:val="00D22AE7"/>
    <w:rsid w:val="00D23092"/>
    <w:rsid w:val="00D24B77"/>
    <w:rsid w:val="00D25A99"/>
    <w:rsid w:val="00D262A6"/>
    <w:rsid w:val="00D2646E"/>
    <w:rsid w:val="00D26557"/>
    <w:rsid w:val="00D267A0"/>
    <w:rsid w:val="00D2787A"/>
    <w:rsid w:val="00D301AE"/>
    <w:rsid w:val="00D31283"/>
    <w:rsid w:val="00D317FD"/>
    <w:rsid w:val="00D31DB2"/>
    <w:rsid w:val="00D32E01"/>
    <w:rsid w:val="00D32E8A"/>
    <w:rsid w:val="00D331EF"/>
    <w:rsid w:val="00D33393"/>
    <w:rsid w:val="00D33536"/>
    <w:rsid w:val="00D33ACA"/>
    <w:rsid w:val="00D348CF"/>
    <w:rsid w:val="00D34B67"/>
    <w:rsid w:val="00D34EE8"/>
    <w:rsid w:val="00D3552B"/>
    <w:rsid w:val="00D356B3"/>
    <w:rsid w:val="00D35EB6"/>
    <w:rsid w:val="00D36218"/>
    <w:rsid w:val="00D36ACC"/>
    <w:rsid w:val="00D373DD"/>
    <w:rsid w:val="00D3744B"/>
    <w:rsid w:val="00D37CF3"/>
    <w:rsid w:val="00D40521"/>
    <w:rsid w:val="00D4071D"/>
    <w:rsid w:val="00D40750"/>
    <w:rsid w:val="00D417E1"/>
    <w:rsid w:val="00D41AAE"/>
    <w:rsid w:val="00D41E03"/>
    <w:rsid w:val="00D42064"/>
    <w:rsid w:val="00D42E6E"/>
    <w:rsid w:val="00D430DC"/>
    <w:rsid w:val="00D433F8"/>
    <w:rsid w:val="00D45106"/>
    <w:rsid w:val="00D45B42"/>
    <w:rsid w:val="00D462C1"/>
    <w:rsid w:val="00D4655B"/>
    <w:rsid w:val="00D46703"/>
    <w:rsid w:val="00D46766"/>
    <w:rsid w:val="00D4727F"/>
    <w:rsid w:val="00D47708"/>
    <w:rsid w:val="00D47AF1"/>
    <w:rsid w:val="00D47FBE"/>
    <w:rsid w:val="00D50906"/>
    <w:rsid w:val="00D513A3"/>
    <w:rsid w:val="00D51F65"/>
    <w:rsid w:val="00D52A66"/>
    <w:rsid w:val="00D52F58"/>
    <w:rsid w:val="00D52F95"/>
    <w:rsid w:val="00D53057"/>
    <w:rsid w:val="00D5452D"/>
    <w:rsid w:val="00D5503E"/>
    <w:rsid w:val="00D551FC"/>
    <w:rsid w:val="00D5557B"/>
    <w:rsid w:val="00D55775"/>
    <w:rsid w:val="00D561D6"/>
    <w:rsid w:val="00D565C4"/>
    <w:rsid w:val="00D567B0"/>
    <w:rsid w:val="00D6006B"/>
    <w:rsid w:val="00D60CAD"/>
    <w:rsid w:val="00D60EF1"/>
    <w:rsid w:val="00D60F13"/>
    <w:rsid w:val="00D610DE"/>
    <w:rsid w:val="00D613C5"/>
    <w:rsid w:val="00D614C8"/>
    <w:rsid w:val="00D614D1"/>
    <w:rsid w:val="00D621E0"/>
    <w:rsid w:val="00D622FA"/>
    <w:rsid w:val="00D62466"/>
    <w:rsid w:val="00D63541"/>
    <w:rsid w:val="00D63B3F"/>
    <w:rsid w:val="00D6400F"/>
    <w:rsid w:val="00D640C3"/>
    <w:rsid w:val="00D70A45"/>
    <w:rsid w:val="00D70BD0"/>
    <w:rsid w:val="00D7212F"/>
    <w:rsid w:val="00D721BC"/>
    <w:rsid w:val="00D7229C"/>
    <w:rsid w:val="00D726C3"/>
    <w:rsid w:val="00D727CA"/>
    <w:rsid w:val="00D729B7"/>
    <w:rsid w:val="00D72E82"/>
    <w:rsid w:val="00D733BE"/>
    <w:rsid w:val="00D7381C"/>
    <w:rsid w:val="00D74301"/>
    <w:rsid w:val="00D743CA"/>
    <w:rsid w:val="00D753BD"/>
    <w:rsid w:val="00D76736"/>
    <w:rsid w:val="00D770D2"/>
    <w:rsid w:val="00D771FA"/>
    <w:rsid w:val="00D80C52"/>
    <w:rsid w:val="00D80D3B"/>
    <w:rsid w:val="00D81C8C"/>
    <w:rsid w:val="00D81F4D"/>
    <w:rsid w:val="00D82383"/>
    <w:rsid w:val="00D826D1"/>
    <w:rsid w:val="00D82A1C"/>
    <w:rsid w:val="00D82E82"/>
    <w:rsid w:val="00D8465B"/>
    <w:rsid w:val="00D85449"/>
    <w:rsid w:val="00D8561E"/>
    <w:rsid w:val="00D8583C"/>
    <w:rsid w:val="00D85A6F"/>
    <w:rsid w:val="00D85DC4"/>
    <w:rsid w:val="00D86955"/>
    <w:rsid w:val="00D869B5"/>
    <w:rsid w:val="00D873F0"/>
    <w:rsid w:val="00D907BA"/>
    <w:rsid w:val="00D90B5C"/>
    <w:rsid w:val="00D9105B"/>
    <w:rsid w:val="00D91109"/>
    <w:rsid w:val="00D91CEA"/>
    <w:rsid w:val="00D91DEA"/>
    <w:rsid w:val="00D93A31"/>
    <w:rsid w:val="00D93AE2"/>
    <w:rsid w:val="00D9544E"/>
    <w:rsid w:val="00D958F6"/>
    <w:rsid w:val="00D95D6C"/>
    <w:rsid w:val="00D9653D"/>
    <w:rsid w:val="00D96BA1"/>
    <w:rsid w:val="00D97D07"/>
    <w:rsid w:val="00DA0180"/>
    <w:rsid w:val="00DA09E1"/>
    <w:rsid w:val="00DA0A4E"/>
    <w:rsid w:val="00DA0CBD"/>
    <w:rsid w:val="00DA0ED9"/>
    <w:rsid w:val="00DA1151"/>
    <w:rsid w:val="00DA12BA"/>
    <w:rsid w:val="00DA1D80"/>
    <w:rsid w:val="00DA22E8"/>
    <w:rsid w:val="00DA2403"/>
    <w:rsid w:val="00DA2ADA"/>
    <w:rsid w:val="00DA2B8D"/>
    <w:rsid w:val="00DA306A"/>
    <w:rsid w:val="00DA3087"/>
    <w:rsid w:val="00DA47A8"/>
    <w:rsid w:val="00DA4D32"/>
    <w:rsid w:val="00DA508A"/>
    <w:rsid w:val="00DA543E"/>
    <w:rsid w:val="00DA569E"/>
    <w:rsid w:val="00DA6266"/>
    <w:rsid w:val="00DB19F5"/>
    <w:rsid w:val="00DB1BFC"/>
    <w:rsid w:val="00DB1D7F"/>
    <w:rsid w:val="00DB2EDC"/>
    <w:rsid w:val="00DB40A5"/>
    <w:rsid w:val="00DB4387"/>
    <w:rsid w:val="00DB45C7"/>
    <w:rsid w:val="00DB50BF"/>
    <w:rsid w:val="00DB5379"/>
    <w:rsid w:val="00DB5F7E"/>
    <w:rsid w:val="00DB67FF"/>
    <w:rsid w:val="00DB77C9"/>
    <w:rsid w:val="00DB7A25"/>
    <w:rsid w:val="00DB7C2C"/>
    <w:rsid w:val="00DC1C15"/>
    <w:rsid w:val="00DC2903"/>
    <w:rsid w:val="00DC301D"/>
    <w:rsid w:val="00DC44BA"/>
    <w:rsid w:val="00DC6597"/>
    <w:rsid w:val="00DC6A1D"/>
    <w:rsid w:val="00DC728A"/>
    <w:rsid w:val="00DC7C1D"/>
    <w:rsid w:val="00DC7C3C"/>
    <w:rsid w:val="00DD06C9"/>
    <w:rsid w:val="00DD0A6E"/>
    <w:rsid w:val="00DD1CF1"/>
    <w:rsid w:val="00DD1FE2"/>
    <w:rsid w:val="00DD21D3"/>
    <w:rsid w:val="00DD28F1"/>
    <w:rsid w:val="00DD2CD8"/>
    <w:rsid w:val="00DD2D02"/>
    <w:rsid w:val="00DD345E"/>
    <w:rsid w:val="00DD34CD"/>
    <w:rsid w:val="00DD351E"/>
    <w:rsid w:val="00DD3AAE"/>
    <w:rsid w:val="00DD3DA9"/>
    <w:rsid w:val="00DD3E02"/>
    <w:rsid w:val="00DD447E"/>
    <w:rsid w:val="00DD448C"/>
    <w:rsid w:val="00DD4B5C"/>
    <w:rsid w:val="00DD507E"/>
    <w:rsid w:val="00DD6CD4"/>
    <w:rsid w:val="00DD7B1F"/>
    <w:rsid w:val="00DE0AF4"/>
    <w:rsid w:val="00DE18DB"/>
    <w:rsid w:val="00DE1B3C"/>
    <w:rsid w:val="00DE2281"/>
    <w:rsid w:val="00DE5911"/>
    <w:rsid w:val="00DE5DCD"/>
    <w:rsid w:val="00DE5FF9"/>
    <w:rsid w:val="00DE6A34"/>
    <w:rsid w:val="00DE7213"/>
    <w:rsid w:val="00DE7E07"/>
    <w:rsid w:val="00DE7E43"/>
    <w:rsid w:val="00DE7F37"/>
    <w:rsid w:val="00DE7F98"/>
    <w:rsid w:val="00DF0713"/>
    <w:rsid w:val="00DF138F"/>
    <w:rsid w:val="00DF3F0E"/>
    <w:rsid w:val="00DF4B3D"/>
    <w:rsid w:val="00DF581A"/>
    <w:rsid w:val="00DF5F3C"/>
    <w:rsid w:val="00DF65A0"/>
    <w:rsid w:val="00DF69CE"/>
    <w:rsid w:val="00DF6AED"/>
    <w:rsid w:val="00DF6E5A"/>
    <w:rsid w:val="00DF75FE"/>
    <w:rsid w:val="00E01502"/>
    <w:rsid w:val="00E01670"/>
    <w:rsid w:val="00E0193F"/>
    <w:rsid w:val="00E02612"/>
    <w:rsid w:val="00E03055"/>
    <w:rsid w:val="00E043CC"/>
    <w:rsid w:val="00E04469"/>
    <w:rsid w:val="00E04C8D"/>
    <w:rsid w:val="00E04E64"/>
    <w:rsid w:val="00E05914"/>
    <w:rsid w:val="00E061AE"/>
    <w:rsid w:val="00E065F7"/>
    <w:rsid w:val="00E06D87"/>
    <w:rsid w:val="00E0702B"/>
    <w:rsid w:val="00E071BC"/>
    <w:rsid w:val="00E07E61"/>
    <w:rsid w:val="00E1001A"/>
    <w:rsid w:val="00E10037"/>
    <w:rsid w:val="00E102D3"/>
    <w:rsid w:val="00E10603"/>
    <w:rsid w:val="00E10C86"/>
    <w:rsid w:val="00E10CA6"/>
    <w:rsid w:val="00E10DC5"/>
    <w:rsid w:val="00E10E23"/>
    <w:rsid w:val="00E10EDD"/>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1F0"/>
    <w:rsid w:val="00E20983"/>
    <w:rsid w:val="00E20B6B"/>
    <w:rsid w:val="00E20D5C"/>
    <w:rsid w:val="00E21344"/>
    <w:rsid w:val="00E21469"/>
    <w:rsid w:val="00E21593"/>
    <w:rsid w:val="00E22B59"/>
    <w:rsid w:val="00E22FF3"/>
    <w:rsid w:val="00E23DC0"/>
    <w:rsid w:val="00E23F4C"/>
    <w:rsid w:val="00E2470F"/>
    <w:rsid w:val="00E25070"/>
    <w:rsid w:val="00E25CA0"/>
    <w:rsid w:val="00E26FE8"/>
    <w:rsid w:val="00E27248"/>
    <w:rsid w:val="00E2741E"/>
    <w:rsid w:val="00E275C8"/>
    <w:rsid w:val="00E277A6"/>
    <w:rsid w:val="00E307E5"/>
    <w:rsid w:val="00E30B53"/>
    <w:rsid w:val="00E31446"/>
    <w:rsid w:val="00E32279"/>
    <w:rsid w:val="00E32FC9"/>
    <w:rsid w:val="00E33720"/>
    <w:rsid w:val="00E338F0"/>
    <w:rsid w:val="00E33CCE"/>
    <w:rsid w:val="00E342AE"/>
    <w:rsid w:val="00E3456D"/>
    <w:rsid w:val="00E34BB4"/>
    <w:rsid w:val="00E34DDB"/>
    <w:rsid w:val="00E362C4"/>
    <w:rsid w:val="00E366AA"/>
    <w:rsid w:val="00E36AFD"/>
    <w:rsid w:val="00E36BCE"/>
    <w:rsid w:val="00E40192"/>
    <w:rsid w:val="00E40536"/>
    <w:rsid w:val="00E40D63"/>
    <w:rsid w:val="00E41344"/>
    <w:rsid w:val="00E42296"/>
    <w:rsid w:val="00E422CA"/>
    <w:rsid w:val="00E4288A"/>
    <w:rsid w:val="00E43573"/>
    <w:rsid w:val="00E44B3F"/>
    <w:rsid w:val="00E45CB4"/>
    <w:rsid w:val="00E46398"/>
    <w:rsid w:val="00E46EC5"/>
    <w:rsid w:val="00E47153"/>
    <w:rsid w:val="00E471A9"/>
    <w:rsid w:val="00E474DB"/>
    <w:rsid w:val="00E478D0"/>
    <w:rsid w:val="00E50199"/>
    <w:rsid w:val="00E50404"/>
    <w:rsid w:val="00E5103D"/>
    <w:rsid w:val="00E512EF"/>
    <w:rsid w:val="00E51A1B"/>
    <w:rsid w:val="00E51C1F"/>
    <w:rsid w:val="00E51C5B"/>
    <w:rsid w:val="00E524A0"/>
    <w:rsid w:val="00E525D0"/>
    <w:rsid w:val="00E539C3"/>
    <w:rsid w:val="00E53C66"/>
    <w:rsid w:val="00E54806"/>
    <w:rsid w:val="00E54A5B"/>
    <w:rsid w:val="00E54B9A"/>
    <w:rsid w:val="00E60E2E"/>
    <w:rsid w:val="00E60E35"/>
    <w:rsid w:val="00E611B0"/>
    <w:rsid w:val="00E6204C"/>
    <w:rsid w:val="00E62B33"/>
    <w:rsid w:val="00E63DE0"/>
    <w:rsid w:val="00E64B5B"/>
    <w:rsid w:val="00E64D55"/>
    <w:rsid w:val="00E64D63"/>
    <w:rsid w:val="00E64EF2"/>
    <w:rsid w:val="00E65597"/>
    <w:rsid w:val="00E6594A"/>
    <w:rsid w:val="00E65952"/>
    <w:rsid w:val="00E6667E"/>
    <w:rsid w:val="00E7011E"/>
    <w:rsid w:val="00E70570"/>
    <w:rsid w:val="00E71077"/>
    <w:rsid w:val="00E713F5"/>
    <w:rsid w:val="00E714BB"/>
    <w:rsid w:val="00E71774"/>
    <w:rsid w:val="00E75DB3"/>
    <w:rsid w:val="00E76D47"/>
    <w:rsid w:val="00E77891"/>
    <w:rsid w:val="00E80209"/>
    <w:rsid w:val="00E8123A"/>
    <w:rsid w:val="00E81626"/>
    <w:rsid w:val="00E82671"/>
    <w:rsid w:val="00E828E1"/>
    <w:rsid w:val="00E833D4"/>
    <w:rsid w:val="00E836F4"/>
    <w:rsid w:val="00E8491D"/>
    <w:rsid w:val="00E84D97"/>
    <w:rsid w:val="00E85228"/>
    <w:rsid w:val="00E853C4"/>
    <w:rsid w:val="00E86A04"/>
    <w:rsid w:val="00E877E6"/>
    <w:rsid w:val="00E87998"/>
    <w:rsid w:val="00E87BA1"/>
    <w:rsid w:val="00E91042"/>
    <w:rsid w:val="00E9126A"/>
    <w:rsid w:val="00E91933"/>
    <w:rsid w:val="00E921CB"/>
    <w:rsid w:val="00E92294"/>
    <w:rsid w:val="00E92474"/>
    <w:rsid w:val="00E92AE1"/>
    <w:rsid w:val="00E93B6B"/>
    <w:rsid w:val="00E948C6"/>
    <w:rsid w:val="00E94A95"/>
    <w:rsid w:val="00E94ECB"/>
    <w:rsid w:val="00E954DB"/>
    <w:rsid w:val="00E95C73"/>
    <w:rsid w:val="00E96963"/>
    <w:rsid w:val="00E97387"/>
    <w:rsid w:val="00E973EC"/>
    <w:rsid w:val="00E976D5"/>
    <w:rsid w:val="00EA01B2"/>
    <w:rsid w:val="00EA1371"/>
    <w:rsid w:val="00EA25B7"/>
    <w:rsid w:val="00EA2BCC"/>
    <w:rsid w:val="00EA3304"/>
    <w:rsid w:val="00EA3356"/>
    <w:rsid w:val="00EA39CA"/>
    <w:rsid w:val="00EA3B93"/>
    <w:rsid w:val="00EA5032"/>
    <w:rsid w:val="00EA5145"/>
    <w:rsid w:val="00EA5183"/>
    <w:rsid w:val="00EA594E"/>
    <w:rsid w:val="00EA5A0A"/>
    <w:rsid w:val="00EA65AF"/>
    <w:rsid w:val="00EA786E"/>
    <w:rsid w:val="00EB1EDD"/>
    <w:rsid w:val="00EB230A"/>
    <w:rsid w:val="00EB26BC"/>
    <w:rsid w:val="00EB29FC"/>
    <w:rsid w:val="00EB2CCF"/>
    <w:rsid w:val="00EB4601"/>
    <w:rsid w:val="00EB4B06"/>
    <w:rsid w:val="00EB4C84"/>
    <w:rsid w:val="00EB544E"/>
    <w:rsid w:val="00EB5D3C"/>
    <w:rsid w:val="00EB5D89"/>
    <w:rsid w:val="00EB5DE0"/>
    <w:rsid w:val="00EB5FDD"/>
    <w:rsid w:val="00EB6192"/>
    <w:rsid w:val="00EB6CE0"/>
    <w:rsid w:val="00EC1577"/>
    <w:rsid w:val="00EC162B"/>
    <w:rsid w:val="00EC1665"/>
    <w:rsid w:val="00EC1981"/>
    <w:rsid w:val="00EC2AA4"/>
    <w:rsid w:val="00EC4546"/>
    <w:rsid w:val="00EC45C1"/>
    <w:rsid w:val="00EC514F"/>
    <w:rsid w:val="00EC534D"/>
    <w:rsid w:val="00EC55CB"/>
    <w:rsid w:val="00EC59C8"/>
    <w:rsid w:val="00EC5DA2"/>
    <w:rsid w:val="00EC5DCD"/>
    <w:rsid w:val="00EC5F5D"/>
    <w:rsid w:val="00EC6751"/>
    <w:rsid w:val="00EC698B"/>
    <w:rsid w:val="00EC7BC4"/>
    <w:rsid w:val="00ED0179"/>
    <w:rsid w:val="00ED02A8"/>
    <w:rsid w:val="00ED1660"/>
    <w:rsid w:val="00ED16AF"/>
    <w:rsid w:val="00ED2103"/>
    <w:rsid w:val="00ED2CAA"/>
    <w:rsid w:val="00ED2E19"/>
    <w:rsid w:val="00ED314A"/>
    <w:rsid w:val="00ED35DA"/>
    <w:rsid w:val="00ED39D1"/>
    <w:rsid w:val="00ED3DB9"/>
    <w:rsid w:val="00ED409E"/>
    <w:rsid w:val="00ED42A8"/>
    <w:rsid w:val="00ED45F7"/>
    <w:rsid w:val="00ED4A75"/>
    <w:rsid w:val="00ED4E1E"/>
    <w:rsid w:val="00ED57A2"/>
    <w:rsid w:val="00ED5E15"/>
    <w:rsid w:val="00ED5E16"/>
    <w:rsid w:val="00ED61D2"/>
    <w:rsid w:val="00ED6984"/>
    <w:rsid w:val="00ED74EA"/>
    <w:rsid w:val="00EE2073"/>
    <w:rsid w:val="00EE2A94"/>
    <w:rsid w:val="00EE37DB"/>
    <w:rsid w:val="00EE3FCA"/>
    <w:rsid w:val="00EE4AB6"/>
    <w:rsid w:val="00EE4D13"/>
    <w:rsid w:val="00EE4DBE"/>
    <w:rsid w:val="00EE5A28"/>
    <w:rsid w:val="00EE5B37"/>
    <w:rsid w:val="00EE6095"/>
    <w:rsid w:val="00EE64DC"/>
    <w:rsid w:val="00EE6931"/>
    <w:rsid w:val="00EE6A66"/>
    <w:rsid w:val="00EE7296"/>
    <w:rsid w:val="00EE7DCB"/>
    <w:rsid w:val="00EF07F3"/>
    <w:rsid w:val="00EF0A9A"/>
    <w:rsid w:val="00EF0E1D"/>
    <w:rsid w:val="00EF132A"/>
    <w:rsid w:val="00EF207F"/>
    <w:rsid w:val="00EF283B"/>
    <w:rsid w:val="00EF49F8"/>
    <w:rsid w:val="00EF683F"/>
    <w:rsid w:val="00EF6D36"/>
    <w:rsid w:val="00EF6ED1"/>
    <w:rsid w:val="00EF7010"/>
    <w:rsid w:val="00EF76E6"/>
    <w:rsid w:val="00EF7D8D"/>
    <w:rsid w:val="00F00F1D"/>
    <w:rsid w:val="00F0151E"/>
    <w:rsid w:val="00F01623"/>
    <w:rsid w:val="00F01652"/>
    <w:rsid w:val="00F01F44"/>
    <w:rsid w:val="00F02440"/>
    <w:rsid w:val="00F026A9"/>
    <w:rsid w:val="00F0271F"/>
    <w:rsid w:val="00F0294D"/>
    <w:rsid w:val="00F02A45"/>
    <w:rsid w:val="00F02D8C"/>
    <w:rsid w:val="00F0335F"/>
    <w:rsid w:val="00F044AC"/>
    <w:rsid w:val="00F045D8"/>
    <w:rsid w:val="00F04A01"/>
    <w:rsid w:val="00F04D13"/>
    <w:rsid w:val="00F04FBF"/>
    <w:rsid w:val="00F052F2"/>
    <w:rsid w:val="00F07319"/>
    <w:rsid w:val="00F07BDF"/>
    <w:rsid w:val="00F07C7B"/>
    <w:rsid w:val="00F103C4"/>
    <w:rsid w:val="00F10A16"/>
    <w:rsid w:val="00F10DEE"/>
    <w:rsid w:val="00F118DB"/>
    <w:rsid w:val="00F11C7F"/>
    <w:rsid w:val="00F11D24"/>
    <w:rsid w:val="00F120F9"/>
    <w:rsid w:val="00F1222E"/>
    <w:rsid w:val="00F130A8"/>
    <w:rsid w:val="00F130BE"/>
    <w:rsid w:val="00F13772"/>
    <w:rsid w:val="00F1447A"/>
    <w:rsid w:val="00F146B8"/>
    <w:rsid w:val="00F14A68"/>
    <w:rsid w:val="00F150F2"/>
    <w:rsid w:val="00F153B6"/>
    <w:rsid w:val="00F15917"/>
    <w:rsid w:val="00F15A8A"/>
    <w:rsid w:val="00F15B5E"/>
    <w:rsid w:val="00F16833"/>
    <w:rsid w:val="00F16F2F"/>
    <w:rsid w:val="00F20825"/>
    <w:rsid w:val="00F211B3"/>
    <w:rsid w:val="00F21293"/>
    <w:rsid w:val="00F21494"/>
    <w:rsid w:val="00F21758"/>
    <w:rsid w:val="00F21C44"/>
    <w:rsid w:val="00F2221A"/>
    <w:rsid w:val="00F22EC3"/>
    <w:rsid w:val="00F2422D"/>
    <w:rsid w:val="00F2443F"/>
    <w:rsid w:val="00F2623F"/>
    <w:rsid w:val="00F26DA8"/>
    <w:rsid w:val="00F27514"/>
    <w:rsid w:val="00F27F15"/>
    <w:rsid w:val="00F30556"/>
    <w:rsid w:val="00F30C05"/>
    <w:rsid w:val="00F30D84"/>
    <w:rsid w:val="00F30EED"/>
    <w:rsid w:val="00F32909"/>
    <w:rsid w:val="00F32AEF"/>
    <w:rsid w:val="00F32C9F"/>
    <w:rsid w:val="00F32DB6"/>
    <w:rsid w:val="00F33146"/>
    <w:rsid w:val="00F33AA6"/>
    <w:rsid w:val="00F34100"/>
    <w:rsid w:val="00F34FB7"/>
    <w:rsid w:val="00F358F0"/>
    <w:rsid w:val="00F3590B"/>
    <w:rsid w:val="00F35A1E"/>
    <w:rsid w:val="00F35C78"/>
    <w:rsid w:val="00F36051"/>
    <w:rsid w:val="00F36176"/>
    <w:rsid w:val="00F36D78"/>
    <w:rsid w:val="00F36E40"/>
    <w:rsid w:val="00F37780"/>
    <w:rsid w:val="00F37ED3"/>
    <w:rsid w:val="00F402B5"/>
    <w:rsid w:val="00F40BBF"/>
    <w:rsid w:val="00F40DCE"/>
    <w:rsid w:val="00F41607"/>
    <w:rsid w:val="00F41EAC"/>
    <w:rsid w:val="00F41ECC"/>
    <w:rsid w:val="00F42076"/>
    <w:rsid w:val="00F422C3"/>
    <w:rsid w:val="00F42393"/>
    <w:rsid w:val="00F42B1B"/>
    <w:rsid w:val="00F440DC"/>
    <w:rsid w:val="00F4422D"/>
    <w:rsid w:val="00F442B3"/>
    <w:rsid w:val="00F447B4"/>
    <w:rsid w:val="00F4512A"/>
    <w:rsid w:val="00F454B0"/>
    <w:rsid w:val="00F45CDF"/>
    <w:rsid w:val="00F46810"/>
    <w:rsid w:val="00F470A5"/>
    <w:rsid w:val="00F47A01"/>
    <w:rsid w:val="00F47C39"/>
    <w:rsid w:val="00F504F1"/>
    <w:rsid w:val="00F508FD"/>
    <w:rsid w:val="00F509C8"/>
    <w:rsid w:val="00F51007"/>
    <w:rsid w:val="00F51702"/>
    <w:rsid w:val="00F51734"/>
    <w:rsid w:val="00F51AB8"/>
    <w:rsid w:val="00F526D5"/>
    <w:rsid w:val="00F547CD"/>
    <w:rsid w:val="00F54A52"/>
    <w:rsid w:val="00F54DFE"/>
    <w:rsid w:val="00F5581B"/>
    <w:rsid w:val="00F55AC3"/>
    <w:rsid w:val="00F55DDE"/>
    <w:rsid w:val="00F55F3E"/>
    <w:rsid w:val="00F56702"/>
    <w:rsid w:val="00F5671B"/>
    <w:rsid w:val="00F56836"/>
    <w:rsid w:val="00F56D7C"/>
    <w:rsid w:val="00F56E0D"/>
    <w:rsid w:val="00F5752E"/>
    <w:rsid w:val="00F607E5"/>
    <w:rsid w:val="00F609CF"/>
    <w:rsid w:val="00F61882"/>
    <w:rsid w:val="00F618C6"/>
    <w:rsid w:val="00F6227F"/>
    <w:rsid w:val="00F624FF"/>
    <w:rsid w:val="00F63857"/>
    <w:rsid w:val="00F63B9C"/>
    <w:rsid w:val="00F646B7"/>
    <w:rsid w:val="00F6494A"/>
    <w:rsid w:val="00F64DEB"/>
    <w:rsid w:val="00F65586"/>
    <w:rsid w:val="00F65B0B"/>
    <w:rsid w:val="00F66035"/>
    <w:rsid w:val="00F6784B"/>
    <w:rsid w:val="00F70761"/>
    <w:rsid w:val="00F707C8"/>
    <w:rsid w:val="00F718A0"/>
    <w:rsid w:val="00F71BEB"/>
    <w:rsid w:val="00F71BF1"/>
    <w:rsid w:val="00F71EB7"/>
    <w:rsid w:val="00F728AB"/>
    <w:rsid w:val="00F737F0"/>
    <w:rsid w:val="00F73A5F"/>
    <w:rsid w:val="00F73FEF"/>
    <w:rsid w:val="00F7412F"/>
    <w:rsid w:val="00F751B5"/>
    <w:rsid w:val="00F766E6"/>
    <w:rsid w:val="00F80253"/>
    <w:rsid w:val="00F80D79"/>
    <w:rsid w:val="00F80EE4"/>
    <w:rsid w:val="00F8150A"/>
    <w:rsid w:val="00F81A04"/>
    <w:rsid w:val="00F8299B"/>
    <w:rsid w:val="00F83361"/>
    <w:rsid w:val="00F84017"/>
    <w:rsid w:val="00F84C0C"/>
    <w:rsid w:val="00F84D23"/>
    <w:rsid w:val="00F84FCD"/>
    <w:rsid w:val="00F8662A"/>
    <w:rsid w:val="00F8710A"/>
    <w:rsid w:val="00F8732F"/>
    <w:rsid w:val="00F90219"/>
    <w:rsid w:val="00F90B91"/>
    <w:rsid w:val="00F90F2C"/>
    <w:rsid w:val="00F9123B"/>
    <w:rsid w:val="00F91786"/>
    <w:rsid w:val="00F91F42"/>
    <w:rsid w:val="00F9241B"/>
    <w:rsid w:val="00F927FE"/>
    <w:rsid w:val="00F92826"/>
    <w:rsid w:val="00F92912"/>
    <w:rsid w:val="00F93E44"/>
    <w:rsid w:val="00F944D7"/>
    <w:rsid w:val="00F9496F"/>
    <w:rsid w:val="00F94F9E"/>
    <w:rsid w:val="00F95000"/>
    <w:rsid w:val="00F95DC4"/>
    <w:rsid w:val="00F9647F"/>
    <w:rsid w:val="00F96DD8"/>
    <w:rsid w:val="00F96F03"/>
    <w:rsid w:val="00F9789D"/>
    <w:rsid w:val="00F97AE2"/>
    <w:rsid w:val="00FA0539"/>
    <w:rsid w:val="00FA0EDE"/>
    <w:rsid w:val="00FA0F71"/>
    <w:rsid w:val="00FA120B"/>
    <w:rsid w:val="00FA1246"/>
    <w:rsid w:val="00FA15A6"/>
    <w:rsid w:val="00FA15F1"/>
    <w:rsid w:val="00FA1862"/>
    <w:rsid w:val="00FA1B24"/>
    <w:rsid w:val="00FA1BD5"/>
    <w:rsid w:val="00FA1DE7"/>
    <w:rsid w:val="00FA1F6C"/>
    <w:rsid w:val="00FA1FD9"/>
    <w:rsid w:val="00FA230B"/>
    <w:rsid w:val="00FA2B00"/>
    <w:rsid w:val="00FA2B15"/>
    <w:rsid w:val="00FA3610"/>
    <w:rsid w:val="00FA36C2"/>
    <w:rsid w:val="00FA3758"/>
    <w:rsid w:val="00FA406C"/>
    <w:rsid w:val="00FA4530"/>
    <w:rsid w:val="00FA4D8D"/>
    <w:rsid w:val="00FA547B"/>
    <w:rsid w:val="00FA6C78"/>
    <w:rsid w:val="00FA758A"/>
    <w:rsid w:val="00FA7CB3"/>
    <w:rsid w:val="00FB02BB"/>
    <w:rsid w:val="00FB10B3"/>
    <w:rsid w:val="00FB198B"/>
    <w:rsid w:val="00FB1B24"/>
    <w:rsid w:val="00FB1C19"/>
    <w:rsid w:val="00FB1F02"/>
    <w:rsid w:val="00FB21D5"/>
    <w:rsid w:val="00FB271A"/>
    <w:rsid w:val="00FB2850"/>
    <w:rsid w:val="00FB2A9E"/>
    <w:rsid w:val="00FB3262"/>
    <w:rsid w:val="00FB37D4"/>
    <w:rsid w:val="00FB3CED"/>
    <w:rsid w:val="00FB4BB0"/>
    <w:rsid w:val="00FB547C"/>
    <w:rsid w:val="00FB5967"/>
    <w:rsid w:val="00FB68F0"/>
    <w:rsid w:val="00FB7190"/>
    <w:rsid w:val="00FB7673"/>
    <w:rsid w:val="00FC1300"/>
    <w:rsid w:val="00FC1C75"/>
    <w:rsid w:val="00FC2953"/>
    <w:rsid w:val="00FC3429"/>
    <w:rsid w:val="00FC35CE"/>
    <w:rsid w:val="00FC3C99"/>
    <w:rsid w:val="00FC4A01"/>
    <w:rsid w:val="00FC57F7"/>
    <w:rsid w:val="00FC74C2"/>
    <w:rsid w:val="00FC770C"/>
    <w:rsid w:val="00FC7778"/>
    <w:rsid w:val="00FC7856"/>
    <w:rsid w:val="00FC7E9B"/>
    <w:rsid w:val="00FC7FA8"/>
    <w:rsid w:val="00FD03F1"/>
    <w:rsid w:val="00FD0A33"/>
    <w:rsid w:val="00FD19D0"/>
    <w:rsid w:val="00FD24E0"/>
    <w:rsid w:val="00FD305E"/>
    <w:rsid w:val="00FD332D"/>
    <w:rsid w:val="00FD35A5"/>
    <w:rsid w:val="00FD3CD3"/>
    <w:rsid w:val="00FD3E54"/>
    <w:rsid w:val="00FD40CC"/>
    <w:rsid w:val="00FD4E74"/>
    <w:rsid w:val="00FD56C0"/>
    <w:rsid w:val="00FD5B7C"/>
    <w:rsid w:val="00FD5B98"/>
    <w:rsid w:val="00FD5C81"/>
    <w:rsid w:val="00FD5DC4"/>
    <w:rsid w:val="00FD62C7"/>
    <w:rsid w:val="00FD6473"/>
    <w:rsid w:val="00FD66D4"/>
    <w:rsid w:val="00FD6D99"/>
    <w:rsid w:val="00FE03DE"/>
    <w:rsid w:val="00FE08F7"/>
    <w:rsid w:val="00FE0A56"/>
    <w:rsid w:val="00FE1F23"/>
    <w:rsid w:val="00FE29C8"/>
    <w:rsid w:val="00FE3812"/>
    <w:rsid w:val="00FE5A6E"/>
    <w:rsid w:val="00FE615A"/>
    <w:rsid w:val="00FE656F"/>
    <w:rsid w:val="00FE7120"/>
    <w:rsid w:val="00FE77F3"/>
    <w:rsid w:val="00FF04D4"/>
    <w:rsid w:val="00FF14E0"/>
    <w:rsid w:val="00FF1574"/>
    <w:rsid w:val="00FF172C"/>
    <w:rsid w:val="00FF3733"/>
    <w:rsid w:val="00FF3F0F"/>
    <w:rsid w:val="00FF4260"/>
    <w:rsid w:val="00FF4B38"/>
    <w:rsid w:val="00FF5E4D"/>
    <w:rsid w:val="00FF6029"/>
    <w:rsid w:val="00FF60A6"/>
    <w:rsid w:val="00FF64DD"/>
    <w:rsid w:val="00FF68B2"/>
    <w:rsid w:val="00FF6E52"/>
    <w:rsid w:val="00FF7606"/>
    <w:rsid w:val="00FF77A2"/>
    <w:rsid w:val="00FF7CA3"/>
    <w:rsid w:val="00FF7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33253434">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43953522">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5895728">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F1D2-9845-4EB9-B30B-E5334A64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1488</Words>
  <Characters>8488</Characters>
  <Application>Microsoft Office Word</Application>
  <DocSecurity>0</DocSecurity>
  <Lines>70</Lines>
  <Paragraphs>19</Paragraphs>
  <ScaleCrop>false</ScaleCrop>
  <Company>湖州163软件园</Company>
  <LinksUpToDate>false</LinksUpToDate>
  <CharactersWithSpaces>9957</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11</cp:revision>
  <cp:lastPrinted>2014-12-03T10:39:00Z</cp:lastPrinted>
  <dcterms:created xsi:type="dcterms:W3CDTF">2014-12-31T02:12:00Z</dcterms:created>
  <dcterms:modified xsi:type="dcterms:W3CDTF">2014-12-31T08:35:00Z</dcterms:modified>
</cp:coreProperties>
</file>