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1FCC" w:rsidRDefault="00CD1FCC" w:rsidP="006A5488">
      <w:pPr>
        <w:widowControl/>
        <w:spacing w:after="120"/>
        <w:ind w:left="3430"/>
        <w:rPr>
          <w:rFonts w:ascii="楷体" w:eastAsia="楷体" w:hAnsi="楷体"/>
          <w:b/>
          <w:bCs/>
          <w:color w:val="0070C0"/>
          <w:kern w:val="0"/>
          <w:sz w:val="24"/>
          <w:szCs w:val="20"/>
          <w:lang w:val="en-GB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5" type="#_x0000_t202" style="position:absolute;left:0;text-align:left;margin-left:1.5pt;margin-top:279.2pt;width:148.5pt;height:275.6pt;z-index:251658240" strokecolor="white" strokeweight="0">
            <v:stroke dashstyle="1 1" endcap="round"/>
            <v:textbox style="mso-next-textbox:#_x0000_s1035">
              <w:txbxContent>
                <w:p w:rsidR="00CD1FCC" w:rsidRPr="00635482" w:rsidRDefault="00CD1FCC" w:rsidP="005B0E69">
                  <w:pPr>
                    <w:rPr>
                      <w:rFonts w:ascii="楷体" w:eastAsia="楷体" w:hAnsi="楷体"/>
                      <w:b/>
                      <w:lang w:val="en-GB"/>
                    </w:rPr>
                  </w:pPr>
                  <w:r w:rsidRPr="00635482">
                    <w:rPr>
                      <w:rFonts w:ascii="楷体" w:eastAsia="楷体" w:hAnsi="楷体" w:hint="eastAsia"/>
                      <w:b/>
                      <w:lang w:val="en-GB"/>
                    </w:rPr>
                    <w:t>凯石工场移动平台：</w:t>
                  </w:r>
                </w:p>
                <w:p w:rsidR="00CD1FCC" w:rsidRPr="00635482" w:rsidRDefault="00CD1FCC" w:rsidP="005B0E69">
                  <w:pPr>
                    <w:rPr>
                      <w:rFonts w:ascii="楷体" w:eastAsia="楷体" w:hAnsi="楷体"/>
                      <w:lang w:val="en-GB"/>
                    </w:rPr>
                  </w:pPr>
                </w:p>
                <w:p w:rsidR="00CD1FCC" w:rsidRPr="00635482" w:rsidRDefault="00CD1FCC" w:rsidP="005B0E69">
                  <w:r w:rsidRPr="00635482">
                    <w:rPr>
                      <w:rFonts w:ascii="楷体" w:eastAsia="楷体" w:hAnsi="楷体" w:hint="eastAsia"/>
                      <w:lang w:val="en-GB"/>
                    </w:rPr>
                    <w:t>官方微博：</w:t>
                  </w:r>
                </w:p>
                <w:p w:rsidR="00CD1FCC" w:rsidRPr="00635482" w:rsidRDefault="00CD1FCC" w:rsidP="005B0E69">
                  <w:pPr>
                    <w:rPr>
                      <w:rFonts w:ascii="楷体" w:eastAsia="楷体" w:hAnsi="楷体"/>
                      <w:lang w:val="en-GB"/>
                    </w:rPr>
                  </w:pPr>
                  <w:r w:rsidRPr="00635482">
                    <w:rPr>
                      <w:rFonts w:ascii="楷体" w:eastAsia="楷体" w:hAnsi="楷体" w:hint="eastAsia"/>
                      <w:lang w:val="en-GB"/>
                    </w:rPr>
                    <w:t>凯石财富工场</w:t>
                  </w:r>
                </w:p>
                <w:p w:rsidR="00CD1FCC" w:rsidRDefault="00CD1FCC" w:rsidP="005B0E69">
                  <w:r w:rsidRPr="002B7F41">
                    <w:rPr>
                      <w:noProof/>
                    </w:rPr>
                    <w:pict>
                      <v:shape id="图片 5" o:spid="_x0000_i1044" type="#_x0000_t75" alt="66.jpg" style="width:73.5pt;height:73.5pt;visibility:visible">
                        <v:imagedata r:id="rId7" o:title=""/>
                      </v:shape>
                    </w:pict>
                  </w:r>
                </w:p>
                <w:p w:rsidR="00CD1FCC" w:rsidRDefault="00CD1FCC" w:rsidP="005B0E69">
                  <w:pPr>
                    <w:rPr>
                      <w:rFonts w:ascii="楷体" w:eastAsia="楷体" w:hAnsi="楷体"/>
                      <w:b/>
                      <w:lang w:val="en-GB"/>
                    </w:rPr>
                  </w:pPr>
                </w:p>
                <w:p w:rsidR="00CD1FCC" w:rsidRPr="00635482" w:rsidRDefault="00CD1FCC" w:rsidP="005B0E69">
                  <w:pPr>
                    <w:rPr>
                      <w:rFonts w:ascii="楷体" w:eastAsia="楷体" w:hAnsi="楷体"/>
                      <w:lang w:val="en-GB"/>
                    </w:rPr>
                  </w:pPr>
                  <w:r w:rsidRPr="00635482">
                    <w:rPr>
                      <w:rFonts w:ascii="楷体" w:eastAsia="楷体" w:hAnsi="楷体" w:hint="eastAsia"/>
                      <w:lang w:val="en-GB"/>
                    </w:rPr>
                    <w:t>官方微信：</w:t>
                  </w:r>
                </w:p>
                <w:p w:rsidR="00CD1FCC" w:rsidRPr="00635482" w:rsidRDefault="00CD1FCC" w:rsidP="005B0E69">
                  <w:pPr>
                    <w:rPr>
                      <w:rFonts w:ascii="楷体" w:eastAsia="楷体" w:hAnsi="楷体"/>
                      <w:lang w:val="en-GB"/>
                    </w:rPr>
                  </w:pPr>
                  <w:r w:rsidRPr="00635482">
                    <w:rPr>
                      <w:rFonts w:ascii="楷体" w:eastAsia="楷体" w:hAnsi="楷体" w:hint="eastAsia"/>
                      <w:lang w:val="en-GB"/>
                    </w:rPr>
                    <w:t>凯石财富知音订阅号</w:t>
                  </w:r>
                </w:p>
                <w:p w:rsidR="00CD1FCC" w:rsidRDefault="00CD1FCC" w:rsidP="005B0E69">
                  <w:r w:rsidRPr="00453191">
                    <w:rPr>
                      <w:rFonts w:ascii="楷体" w:eastAsia="楷体" w:hAnsi="楷体"/>
                      <w:b/>
                      <w:noProof/>
                    </w:rPr>
                    <w:pict>
                      <v:shape id="图片 7" o:spid="_x0000_i1045" type="#_x0000_t75" alt="凯石财富知音订阅号3.jpg" style="width:75pt;height:75pt;visibility:visible">
                        <v:imagedata r:id="rId8" o:title=""/>
                      </v:shape>
                    </w:pict>
                  </w:r>
                </w:p>
              </w:txbxContent>
            </v:textbox>
          </v:shape>
        </w:pict>
      </w:r>
      <w:r w:rsidRPr="005B7CDB">
        <w:rPr>
          <w:rFonts w:ascii="楷体" w:eastAsia="楷体" w:hAnsi="楷体" w:hint="eastAsia"/>
          <w:b/>
          <w:bCs/>
          <w:color w:val="0070C0"/>
          <w:kern w:val="0"/>
          <w:sz w:val="24"/>
          <w:szCs w:val="20"/>
          <w:lang w:val="en-GB"/>
        </w:rPr>
        <w:t>导语</w:t>
      </w:r>
    </w:p>
    <w:p w:rsidR="00CD1FCC" w:rsidRPr="00E5121D" w:rsidRDefault="00CD1FCC" w:rsidP="003E6024">
      <w:pPr>
        <w:pStyle w:val="BodyText"/>
        <w:spacing w:after="163"/>
        <w:ind w:firstLineChars="200" w:firstLine="31680"/>
        <w:rPr>
          <w:rFonts w:ascii="楷体" w:eastAsia="楷体" w:hAnsi="楷体"/>
          <w:szCs w:val="21"/>
        </w:rPr>
      </w:pPr>
      <w:r w:rsidRPr="00E5121D">
        <w:rPr>
          <w:rFonts w:ascii="楷体" w:eastAsia="楷体" w:hAnsi="楷体" w:hint="eastAsia"/>
          <w:szCs w:val="21"/>
        </w:rPr>
        <w:t>上周（</w:t>
      </w:r>
      <w:r w:rsidRPr="00E5121D">
        <w:rPr>
          <w:rFonts w:ascii="楷体" w:eastAsia="楷体" w:hAnsi="楷体"/>
          <w:szCs w:val="21"/>
        </w:rPr>
        <w:t>2014.12.01~12.05</w:t>
      </w:r>
      <w:r w:rsidRPr="00E5121D">
        <w:rPr>
          <w:rFonts w:ascii="楷体" w:eastAsia="楷体" w:hAnsi="楷体" w:hint="eastAsia"/>
          <w:szCs w:val="21"/>
        </w:rPr>
        <w:t>）是大盘连涨的第四周，沪深两市成交量放大，</w:t>
      </w:r>
      <w:r>
        <w:rPr>
          <w:rFonts w:ascii="楷体" w:eastAsia="楷体" w:hAnsi="楷体" w:hint="eastAsia"/>
          <w:szCs w:val="21"/>
        </w:rPr>
        <w:t>创业板指波幅加大。整周</w:t>
      </w:r>
      <w:r w:rsidRPr="00E5121D">
        <w:rPr>
          <w:rFonts w:ascii="楷体" w:eastAsia="楷体" w:hAnsi="楷体" w:hint="eastAsia"/>
          <w:szCs w:val="21"/>
        </w:rPr>
        <w:t>沪深</w:t>
      </w:r>
      <w:r w:rsidRPr="00E5121D">
        <w:rPr>
          <w:rFonts w:ascii="楷体" w:eastAsia="楷体" w:hAnsi="楷体"/>
          <w:szCs w:val="21"/>
        </w:rPr>
        <w:t>300</w:t>
      </w:r>
      <w:r w:rsidRPr="00E5121D">
        <w:rPr>
          <w:rFonts w:ascii="楷体" w:eastAsia="楷体" w:hAnsi="楷体" w:hint="eastAsia"/>
          <w:szCs w:val="21"/>
        </w:rPr>
        <w:t>涨</w:t>
      </w:r>
      <w:r w:rsidRPr="00E5121D">
        <w:rPr>
          <w:rFonts w:ascii="楷体" w:eastAsia="楷体" w:hAnsi="楷体"/>
          <w:szCs w:val="21"/>
        </w:rPr>
        <w:t>11.25%</w:t>
      </w:r>
      <w:r w:rsidRPr="00E5121D">
        <w:rPr>
          <w:rFonts w:ascii="楷体" w:eastAsia="楷体" w:hAnsi="楷体" w:hint="eastAsia"/>
          <w:szCs w:val="21"/>
        </w:rPr>
        <w:t>，上证指数涨</w:t>
      </w:r>
      <w:r w:rsidRPr="00E5121D">
        <w:rPr>
          <w:rFonts w:ascii="楷体" w:eastAsia="楷体" w:hAnsi="楷体"/>
          <w:szCs w:val="21"/>
        </w:rPr>
        <w:t>9.50%</w:t>
      </w:r>
      <w:r w:rsidRPr="00E5121D">
        <w:rPr>
          <w:rFonts w:ascii="楷体" w:eastAsia="楷体" w:hAnsi="楷体" w:hint="eastAsia"/>
          <w:szCs w:val="21"/>
        </w:rPr>
        <w:t>，中小板指和创业板指分别涨</w:t>
      </w:r>
      <w:r w:rsidRPr="00E5121D">
        <w:rPr>
          <w:rFonts w:ascii="楷体" w:eastAsia="楷体" w:hAnsi="楷体"/>
          <w:szCs w:val="21"/>
        </w:rPr>
        <w:t>1.98%</w:t>
      </w:r>
      <w:r w:rsidRPr="00E5121D">
        <w:rPr>
          <w:rFonts w:ascii="楷体" w:eastAsia="楷体" w:hAnsi="楷体" w:hint="eastAsia"/>
          <w:szCs w:val="21"/>
        </w:rPr>
        <w:t>和</w:t>
      </w:r>
      <w:r w:rsidRPr="00E5121D">
        <w:rPr>
          <w:rFonts w:ascii="楷体" w:eastAsia="楷体" w:hAnsi="楷体"/>
          <w:szCs w:val="21"/>
        </w:rPr>
        <w:t>0.70%</w:t>
      </w:r>
      <w:r w:rsidRPr="00E5121D">
        <w:rPr>
          <w:rFonts w:ascii="楷体" w:eastAsia="楷体" w:hAnsi="楷体" w:hint="eastAsia"/>
          <w:szCs w:val="21"/>
        </w:rPr>
        <w:t>。</w:t>
      </w:r>
      <w:r w:rsidRPr="00E5121D">
        <w:rPr>
          <w:rFonts w:ascii="楷体" w:eastAsia="楷体" w:hAnsi="楷体"/>
          <w:szCs w:val="21"/>
        </w:rPr>
        <w:t>29</w:t>
      </w:r>
      <w:r w:rsidRPr="00E5121D">
        <w:rPr>
          <w:rFonts w:ascii="楷体" w:eastAsia="楷体" w:hAnsi="楷体" w:hint="eastAsia"/>
          <w:szCs w:val="21"/>
        </w:rPr>
        <w:t>个中信一级行业</w:t>
      </w:r>
      <w:r w:rsidRPr="00E5121D">
        <w:rPr>
          <w:rFonts w:ascii="楷体" w:eastAsia="楷体" w:hAnsi="楷体"/>
          <w:szCs w:val="21"/>
        </w:rPr>
        <w:t>23</w:t>
      </w:r>
      <w:r w:rsidRPr="00E5121D">
        <w:rPr>
          <w:rFonts w:ascii="楷体" w:eastAsia="楷体" w:hAnsi="楷体" w:hint="eastAsia"/>
          <w:szCs w:val="21"/>
        </w:rPr>
        <w:t>个上涨，非银金融（</w:t>
      </w:r>
      <w:r w:rsidRPr="00E5121D">
        <w:rPr>
          <w:rFonts w:ascii="楷体" w:eastAsia="楷体" w:hAnsi="楷体"/>
          <w:szCs w:val="21"/>
        </w:rPr>
        <w:t>27.19%</w:t>
      </w:r>
      <w:r w:rsidRPr="00E5121D">
        <w:rPr>
          <w:rFonts w:ascii="楷体" w:eastAsia="楷体" w:hAnsi="楷体" w:hint="eastAsia"/>
          <w:szCs w:val="21"/>
        </w:rPr>
        <w:t>）和银行（</w:t>
      </w:r>
      <w:r w:rsidRPr="00E5121D">
        <w:rPr>
          <w:rFonts w:ascii="楷体" w:eastAsia="楷体" w:hAnsi="楷体"/>
          <w:szCs w:val="21"/>
        </w:rPr>
        <w:t>14.94%</w:t>
      </w:r>
      <w:r w:rsidRPr="00E5121D">
        <w:rPr>
          <w:rFonts w:ascii="楷体" w:eastAsia="楷体" w:hAnsi="楷体" w:hint="eastAsia"/>
          <w:szCs w:val="21"/>
        </w:rPr>
        <w:t>）涨幅继续领先，餐饮旅游（</w:t>
      </w:r>
      <w:r w:rsidRPr="00E5121D">
        <w:rPr>
          <w:rFonts w:ascii="楷体" w:eastAsia="楷体" w:hAnsi="楷体"/>
          <w:szCs w:val="21"/>
        </w:rPr>
        <w:t>-2.44%</w:t>
      </w:r>
      <w:r w:rsidRPr="00E5121D">
        <w:rPr>
          <w:rFonts w:ascii="楷体" w:eastAsia="楷体" w:hAnsi="楷体" w:hint="eastAsia"/>
          <w:szCs w:val="21"/>
        </w:rPr>
        <w:t>）跌幅最大。我国</w:t>
      </w:r>
      <w:r w:rsidRPr="00E5121D">
        <w:rPr>
          <w:rFonts w:ascii="楷体" w:eastAsia="楷体" w:hAnsi="楷体"/>
          <w:szCs w:val="21"/>
        </w:rPr>
        <w:t>11</w:t>
      </w:r>
      <w:r w:rsidRPr="00E5121D">
        <w:rPr>
          <w:rFonts w:ascii="楷体" w:eastAsia="楷体" w:hAnsi="楷体" w:hint="eastAsia"/>
          <w:szCs w:val="21"/>
        </w:rPr>
        <w:t>月制造业</w:t>
      </w:r>
      <w:r w:rsidRPr="00E5121D">
        <w:rPr>
          <w:rFonts w:ascii="楷体" w:eastAsia="楷体" w:hAnsi="楷体"/>
          <w:szCs w:val="21"/>
        </w:rPr>
        <w:t>PMI</w:t>
      </w:r>
      <w:r w:rsidRPr="00E5121D">
        <w:rPr>
          <w:rFonts w:ascii="楷体" w:eastAsia="楷体" w:hAnsi="楷体" w:hint="eastAsia"/>
          <w:szCs w:val="21"/>
        </w:rPr>
        <w:t>为</w:t>
      </w:r>
      <w:r w:rsidRPr="00E5121D">
        <w:rPr>
          <w:rFonts w:ascii="楷体" w:eastAsia="楷体" w:hAnsi="楷体"/>
          <w:szCs w:val="21"/>
        </w:rPr>
        <w:t>50.3%</w:t>
      </w:r>
      <w:r w:rsidRPr="00E5121D">
        <w:rPr>
          <w:rFonts w:ascii="楷体" w:eastAsia="楷体" w:hAnsi="楷体" w:hint="eastAsia"/>
          <w:szCs w:val="21"/>
        </w:rPr>
        <w:t>，较</w:t>
      </w:r>
      <w:r w:rsidRPr="00E5121D">
        <w:rPr>
          <w:rFonts w:ascii="楷体" w:eastAsia="楷体" w:hAnsi="楷体"/>
          <w:szCs w:val="21"/>
        </w:rPr>
        <w:t>10</w:t>
      </w:r>
      <w:r w:rsidRPr="00E5121D">
        <w:rPr>
          <w:rFonts w:ascii="楷体" w:eastAsia="楷体" w:hAnsi="楷体" w:hint="eastAsia"/>
          <w:szCs w:val="21"/>
        </w:rPr>
        <w:t>月回落</w:t>
      </w:r>
      <w:r w:rsidRPr="00E5121D">
        <w:rPr>
          <w:rFonts w:ascii="楷体" w:eastAsia="楷体" w:hAnsi="楷体"/>
          <w:szCs w:val="21"/>
        </w:rPr>
        <w:t>0.5</w:t>
      </w:r>
      <w:r>
        <w:rPr>
          <w:rFonts w:ascii="楷体" w:eastAsia="楷体" w:hAnsi="楷体" w:hint="eastAsia"/>
          <w:szCs w:val="21"/>
        </w:rPr>
        <w:t>个百分点</w:t>
      </w:r>
      <w:r w:rsidRPr="00E5121D">
        <w:rPr>
          <w:rFonts w:ascii="楷体" w:eastAsia="楷体" w:hAnsi="楷体" w:hint="eastAsia"/>
          <w:szCs w:val="21"/>
        </w:rPr>
        <w:t>。经济结构调整使得部分产能过剩的行业减缓了生产速度，但我国当前经济增长动能依旧偏弱，稳增长政策短时间内无法扭转该局面</w:t>
      </w:r>
      <w:r>
        <w:rPr>
          <w:rFonts w:ascii="楷体" w:eastAsia="楷体" w:hAnsi="楷体" w:hint="eastAsia"/>
          <w:szCs w:val="21"/>
        </w:rPr>
        <w:t>。海外</w:t>
      </w:r>
      <w:r w:rsidRPr="00E5121D">
        <w:rPr>
          <w:rFonts w:ascii="楷体" w:eastAsia="楷体" w:hAnsi="楷体" w:hint="eastAsia"/>
          <w:szCs w:val="21"/>
        </w:rPr>
        <w:t>方面，</w:t>
      </w:r>
      <w:r w:rsidRPr="00E5121D">
        <w:rPr>
          <w:rFonts w:ascii="楷体" w:eastAsia="楷体" w:hAnsi="楷体" w:cs="宋体" w:hint="eastAsia"/>
          <w:szCs w:val="21"/>
        </w:rPr>
        <w:t>美国</w:t>
      </w:r>
      <w:r w:rsidRPr="00E5121D">
        <w:rPr>
          <w:rFonts w:ascii="楷体" w:eastAsia="楷体" w:hAnsi="楷体" w:cs="宋体"/>
          <w:szCs w:val="21"/>
        </w:rPr>
        <w:t>11</w:t>
      </w:r>
      <w:r w:rsidRPr="00E5121D">
        <w:rPr>
          <w:rFonts w:ascii="楷体" w:eastAsia="楷体" w:hAnsi="楷体" w:cs="宋体" w:hint="eastAsia"/>
          <w:szCs w:val="21"/>
        </w:rPr>
        <w:t>月份非农就业人数增加</w:t>
      </w:r>
      <w:r w:rsidRPr="00E5121D">
        <w:rPr>
          <w:rFonts w:ascii="楷体" w:eastAsia="楷体" w:hAnsi="楷体" w:cs="宋体"/>
          <w:szCs w:val="21"/>
        </w:rPr>
        <w:t>32.1</w:t>
      </w:r>
      <w:r w:rsidRPr="00E5121D">
        <w:rPr>
          <w:rFonts w:ascii="楷体" w:eastAsia="楷体" w:hAnsi="楷体" w:cs="宋体" w:hint="eastAsia"/>
          <w:szCs w:val="21"/>
        </w:rPr>
        <w:t>万人，为</w:t>
      </w:r>
      <w:r w:rsidRPr="00E5121D">
        <w:rPr>
          <w:rFonts w:ascii="楷体" w:eastAsia="楷体" w:hAnsi="楷体" w:cs="宋体"/>
          <w:szCs w:val="21"/>
        </w:rPr>
        <w:t>2012</w:t>
      </w:r>
      <w:r w:rsidRPr="00E5121D">
        <w:rPr>
          <w:rFonts w:ascii="楷体" w:eastAsia="楷体" w:hAnsi="楷体" w:cs="宋体" w:hint="eastAsia"/>
          <w:szCs w:val="21"/>
        </w:rPr>
        <w:t>年</w:t>
      </w:r>
      <w:r w:rsidRPr="00E5121D">
        <w:rPr>
          <w:rFonts w:ascii="楷体" w:eastAsia="楷体" w:hAnsi="楷体" w:cs="宋体"/>
          <w:szCs w:val="21"/>
        </w:rPr>
        <w:t>1</w:t>
      </w:r>
      <w:r>
        <w:rPr>
          <w:rFonts w:ascii="楷体" w:eastAsia="楷体" w:hAnsi="楷体" w:cs="宋体" w:hint="eastAsia"/>
          <w:szCs w:val="21"/>
        </w:rPr>
        <w:t>月以来最大增幅，</w:t>
      </w:r>
      <w:r w:rsidRPr="00E5121D">
        <w:rPr>
          <w:rFonts w:ascii="楷体" w:eastAsia="楷体" w:hAnsi="楷体" w:cs="宋体" w:hint="eastAsia"/>
          <w:szCs w:val="21"/>
        </w:rPr>
        <w:t>失业率仍然保持在</w:t>
      </w:r>
      <w:r w:rsidRPr="00E5121D">
        <w:rPr>
          <w:rFonts w:ascii="楷体" w:eastAsia="楷体" w:hAnsi="楷体" w:cs="宋体"/>
          <w:szCs w:val="21"/>
        </w:rPr>
        <w:t>5.8%</w:t>
      </w:r>
      <w:r>
        <w:rPr>
          <w:rFonts w:ascii="楷体" w:eastAsia="楷体" w:hAnsi="楷体" w:cs="宋体" w:hint="eastAsia"/>
          <w:szCs w:val="21"/>
        </w:rPr>
        <w:t>；</w:t>
      </w:r>
      <w:r w:rsidRPr="00E5121D">
        <w:rPr>
          <w:rFonts w:ascii="楷体" w:eastAsia="楷体" w:hAnsi="楷体" w:cs="宋体" w:hint="eastAsia"/>
          <w:szCs w:val="21"/>
        </w:rPr>
        <w:t>美国</w:t>
      </w:r>
      <w:r w:rsidRPr="00E5121D">
        <w:rPr>
          <w:rFonts w:ascii="楷体" w:eastAsia="楷体" w:hAnsi="楷体" w:cs="宋体"/>
          <w:szCs w:val="21"/>
        </w:rPr>
        <w:t>10</w:t>
      </w:r>
      <w:r w:rsidRPr="00E5121D">
        <w:rPr>
          <w:rFonts w:ascii="楷体" w:eastAsia="楷体" w:hAnsi="楷体" w:cs="宋体" w:hint="eastAsia"/>
          <w:szCs w:val="21"/>
        </w:rPr>
        <w:t>月贸易赤字下降</w:t>
      </w:r>
      <w:r w:rsidRPr="00E5121D">
        <w:rPr>
          <w:rFonts w:ascii="楷体" w:eastAsia="楷体" w:hAnsi="楷体" w:cs="宋体"/>
          <w:szCs w:val="21"/>
        </w:rPr>
        <w:t>0.4%</w:t>
      </w:r>
      <w:r w:rsidRPr="00E5121D">
        <w:rPr>
          <w:rFonts w:ascii="楷体" w:eastAsia="楷体" w:hAnsi="楷体" w:cs="宋体" w:hint="eastAsia"/>
          <w:szCs w:val="21"/>
        </w:rPr>
        <w:t>，总数下降至</w:t>
      </w:r>
      <w:r w:rsidRPr="00E5121D">
        <w:rPr>
          <w:rFonts w:ascii="楷体" w:eastAsia="楷体" w:hAnsi="楷体" w:cs="宋体"/>
          <w:szCs w:val="21"/>
        </w:rPr>
        <w:t>434</w:t>
      </w:r>
      <w:r w:rsidRPr="00E5121D">
        <w:rPr>
          <w:rFonts w:ascii="楷体" w:eastAsia="楷体" w:hAnsi="楷体" w:cs="宋体" w:hint="eastAsia"/>
          <w:szCs w:val="21"/>
        </w:rPr>
        <w:t>亿美元。股市方面，道琼斯工业指数周涨</w:t>
      </w:r>
      <w:r w:rsidRPr="00E5121D">
        <w:rPr>
          <w:rFonts w:ascii="楷体" w:eastAsia="楷体" w:hAnsi="楷体" w:cs="宋体"/>
          <w:szCs w:val="21"/>
        </w:rPr>
        <w:t>0.41%</w:t>
      </w:r>
      <w:r w:rsidRPr="00E5121D">
        <w:rPr>
          <w:rFonts w:ascii="楷体" w:eastAsia="楷体" w:hAnsi="楷体" w:cs="宋体" w:hint="eastAsia"/>
          <w:szCs w:val="21"/>
        </w:rPr>
        <w:t>，纳斯达克</w:t>
      </w:r>
      <w:r w:rsidRPr="00E5121D">
        <w:rPr>
          <w:rFonts w:ascii="楷体" w:eastAsia="楷体" w:hAnsi="楷体" w:cs="宋体"/>
          <w:szCs w:val="21"/>
        </w:rPr>
        <w:t>100</w:t>
      </w:r>
      <w:r w:rsidRPr="00E5121D">
        <w:rPr>
          <w:rFonts w:ascii="楷体" w:eastAsia="楷体" w:hAnsi="楷体" w:cs="宋体" w:hint="eastAsia"/>
          <w:szCs w:val="21"/>
        </w:rPr>
        <w:t>和标普</w:t>
      </w:r>
      <w:r w:rsidRPr="00E5121D">
        <w:rPr>
          <w:rFonts w:ascii="楷体" w:eastAsia="楷体" w:hAnsi="楷体" w:cs="宋体"/>
          <w:szCs w:val="21"/>
        </w:rPr>
        <w:t>500</w:t>
      </w:r>
      <w:r w:rsidRPr="00E5121D">
        <w:rPr>
          <w:rFonts w:ascii="楷体" w:eastAsia="楷体" w:hAnsi="楷体" w:cs="宋体" w:hint="eastAsia"/>
          <w:szCs w:val="21"/>
        </w:rPr>
        <w:t>分别周跌</w:t>
      </w:r>
      <w:r w:rsidRPr="00E5121D">
        <w:rPr>
          <w:rFonts w:ascii="楷体" w:eastAsia="楷体" w:hAnsi="楷体" w:cs="宋体"/>
          <w:szCs w:val="21"/>
        </w:rPr>
        <w:t>0.14%</w:t>
      </w:r>
      <w:r w:rsidRPr="00E5121D">
        <w:rPr>
          <w:rFonts w:ascii="楷体" w:eastAsia="楷体" w:hAnsi="楷体" w:cs="宋体" w:hint="eastAsia"/>
          <w:szCs w:val="21"/>
        </w:rPr>
        <w:t>和</w:t>
      </w:r>
      <w:r w:rsidRPr="00E5121D">
        <w:rPr>
          <w:rFonts w:ascii="楷体" w:eastAsia="楷体" w:hAnsi="楷体" w:cs="宋体"/>
          <w:szCs w:val="21"/>
        </w:rPr>
        <w:t>0.04%</w:t>
      </w:r>
      <w:r>
        <w:rPr>
          <w:rFonts w:ascii="楷体" w:eastAsia="楷体" w:hAnsi="楷体" w:cs="宋体" w:hint="eastAsia"/>
          <w:szCs w:val="21"/>
        </w:rPr>
        <w:t>。欧</w:t>
      </w:r>
      <w:r w:rsidRPr="00E5121D">
        <w:rPr>
          <w:rFonts w:ascii="楷体" w:eastAsia="楷体" w:hAnsi="楷体" w:cs="宋体" w:hint="eastAsia"/>
          <w:szCs w:val="21"/>
        </w:rPr>
        <w:t>央行行长德拉吉暗示可能会在明年</w:t>
      </w:r>
      <w:r w:rsidRPr="00E5121D">
        <w:rPr>
          <w:rFonts w:ascii="楷体" w:eastAsia="楷体" w:hAnsi="楷体" w:cs="宋体"/>
          <w:szCs w:val="21"/>
        </w:rPr>
        <w:t>1</w:t>
      </w:r>
      <w:r w:rsidRPr="00E5121D">
        <w:rPr>
          <w:rFonts w:ascii="楷体" w:eastAsia="楷体" w:hAnsi="楷体" w:cs="宋体" w:hint="eastAsia"/>
          <w:szCs w:val="21"/>
        </w:rPr>
        <w:t>月份推出大规模量化宽松计划。港股表现逊色，恒生指数周跌</w:t>
      </w:r>
      <w:r w:rsidRPr="00E5121D">
        <w:rPr>
          <w:rFonts w:ascii="楷体" w:eastAsia="楷体" w:hAnsi="楷体" w:cs="宋体"/>
          <w:szCs w:val="21"/>
        </w:rPr>
        <w:t>0.72%</w:t>
      </w:r>
      <w:r w:rsidRPr="00E5121D">
        <w:rPr>
          <w:rFonts w:ascii="楷体" w:eastAsia="楷体" w:hAnsi="楷体" w:cs="宋体" w:hint="eastAsia"/>
          <w:szCs w:val="21"/>
        </w:rPr>
        <w:t>。</w:t>
      </w:r>
    </w:p>
    <w:p w:rsidR="00CD1FCC" w:rsidRPr="00E5121D" w:rsidRDefault="00CD1FCC" w:rsidP="003E6024">
      <w:pPr>
        <w:pStyle w:val="BodyText"/>
        <w:spacing w:after="163"/>
        <w:ind w:firstLineChars="200" w:firstLine="31680"/>
        <w:rPr>
          <w:rFonts w:ascii="楷体" w:eastAsia="楷体" w:hAnsi="楷体"/>
          <w:szCs w:val="21"/>
        </w:rPr>
      </w:pPr>
      <w:r w:rsidRPr="00E5121D">
        <w:rPr>
          <w:rFonts w:ascii="楷体" w:eastAsia="楷体" w:hAnsi="楷体" w:hint="eastAsia"/>
          <w:szCs w:val="21"/>
        </w:rPr>
        <w:t>凯石工场统计的各类公募基金中，</w:t>
      </w:r>
      <w:r w:rsidRPr="00E5121D">
        <w:rPr>
          <w:rFonts w:ascii="楷体" w:eastAsia="楷体" w:hAnsi="楷体" w:cs="Arial" w:hint="eastAsia"/>
          <w:szCs w:val="21"/>
        </w:rPr>
        <w:t>股基涨幅较大，指数型平均收益率约为主动型</w:t>
      </w:r>
      <w:r w:rsidRPr="00E5121D">
        <w:rPr>
          <w:rFonts w:ascii="楷体" w:eastAsia="楷体" w:hAnsi="楷体" w:cs="Arial"/>
          <w:szCs w:val="21"/>
        </w:rPr>
        <w:t>2</w:t>
      </w:r>
      <w:r w:rsidRPr="00E5121D">
        <w:rPr>
          <w:rFonts w:ascii="楷体" w:eastAsia="楷体" w:hAnsi="楷体" w:cs="Arial" w:hint="eastAsia"/>
          <w:szCs w:val="21"/>
        </w:rPr>
        <w:t>倍；混合基金中，灵活型业绩好于偏股型、偏债型；</w:t>
      </w:r>
      <w:r w:rsidRPr="00E5121D">
        <w:rPr>
          <w:rFonts w:ascii="楷体" w:eastAsia="楷体" w:hAnsi="楷体" w:cs="Arial"/>
          <w:szCs w:val="21"/>
        </w:rPr>
        <w:t>QDII</w:t>
      </w:r>
      <w:r w:rsidRPr="00E5121D">
        <w:rPr>
          <w:rFonts w:ascii="楷体" w:eastAsia="楷体" w:hAnsi="楷体" w:cs="Arial" w:hint="eastAsia"/>
          <w:szCs w:val="21"/>
        </w:rPr>
        <w:t>整体下跌，业绩居前者多为新兴市场基金；债基业绩分化，可转债基涨幅突出，纯债基金下跌；货币基金七日年化收益率由前周的</w:t>
      </w:r>
      <w:r w:rsidRPr="00E5121D">
        <w:rPr>
          <w:rFonts w:ascii="楷体" w:eastAsia="楷体" w:hAnsi="楷体" w:cs="Arial"/>
          <w:szCs w:val="21"/>
        </w:rPr>
        <w:t>4.86%</w:t>
      </w:r>
      <w:r w:rsidRPr="00E5121D">
        <w:rPr>
          <w:rFonts w:ascii="楷体" w:eastAsia="楷体" w:hAnsi="楷体" w:cs="Arial" w:hint="eastAsia"/>
          <w:szCs w:val="21"/>
        </w:rPr>
        <w:t>降至</w:t>
      </w:r>
      <w:r w:rsidRPr="00E5121D">
        <w:rPr>
          <w:rFonts w:ascii="楷体" w:eastAsia="楷体" w:hAnsi="楷体" w:cs="Arial"/>
          <w:szCs w:val="21"/>
        </w:rPr>
        <w:t>4.11%</w:t>
      </w:r>
      <w:r w:rsidRPr="00E5121D">
        <w:rPr>
          <w:rFonts w:ascii="楷体" w:eastAsia="楷体" w:hAnsi="楷体" w:cs="Arial" w:hint="eastAsia"/>
          <w:szCs w:val="21"/>
        </w:rPr>
        <w:t>。</w:t>
      </w:r>
      <w:r w:rsidRPr="00E5121D">
        <w:rPr>
          <w:rFonts w:ascii="楷体" w:eastAsia="楷体" w:hAnsi="楷体" w:hint="eastAsia"/>
          <w:szCs w:val="21"/>
        </w:rPr>
        <w:t>产品方面，金元惠理新经济主题，申万菱信申万证券行业分级，易方达沪深</w:t>
      </w:r>
      <w:r w:rsidRPr="00E5121D">
        <w:rPr>
          <w:rFonts w:ascii="楷体" w:eastAsia="楷体" w:hAnsi="楷体"/>
          <w:szCs w:val="21"/>
        </w:rPr>
        <w:t>300</w:t>
      </w:r>
      <w:r w:rsidRPr="00E5121D">
        <w:rPr>
          <w:rFonts w:ascii="楷体" w:eastAsia="楷体" w:hAnsi="楷体" w:hint="eastAsia"/>
          <w:szCs w:val="21"/>
        </w:rPr>
        <w:t>非银</w:t>
      </w:r>
      <w:r w:rsidRPr="00E5121D">
        <w:rPr>
          <w:rFonts w:ascii="楷体" w:eastAsia="楷体" w:hAnsi="楷体"/>
          <w:szCs w:val="21"/>
        </w:rPr>
        <w:t>ETF</w:t>
      </w:r>
      <w:r w:rsidRPr="00E5121D">
        <w:rPr>
          <w:rFonts w:ascii="楷体" w:eastAsia="楷体" w:hAnsi="楷体" w:hint="eastAsia"/>
          <w:szCs w:val="21"/>
        </w:rPr>
        <w:t>，申万菱信深成进取，以及长信可转债</w:t>
      </w:r>
      <w:r w:rsidRPr="00E5121D">
        <w:rPr>
          <w:rFonts w:ascii="楷体" w:eastAsia="楷体" w:hAnsi="楷体"/>
          <w:szCs w:val="21"/>
        </w:rPr>
        <w:t>A</w:t>
      </w:r>
      <w:r w:rsidRPr="00E5121D">
        <w:rPr>
          <w:rFonts w:ascii="楷体" w:eastAsia="楷体" w:hAnsi="楷体" w:hint="eastAsia"/>
          <w:szCs w:val="21"/>
        </w:rPr>
        <w:t>等业绩居前。</w:t>
      </w:r>
    </w:p>
    <w:p w:rsidR="00CD1FCC" w:rsidRPr="005B7CDB" w:rsidRDefault="00CD1FCC" w:rsidP="002D7B70">
      <w:pPr>
        <w:widowControl/>
        <w:spacing w:after="120"/>
        <w:ind w:left="3402"/>
        <w:rPr>
          <w:rFonts w:ascii="楷体" w:eastAsia="楷体" w:hAnsi="楷体"/>
          <w:b/>
          <w:bCs/>
          <w:color w:val="0070C0"/>
          <w:kern w:val="0"/>
          <w:sz w:val="24"/>
          <w:szCs w:val="20"/>
          <w:lang w:val="en-GB"/>
        </w:rPr>
      </w:pPr>
      <w:r w:rsidRPr="005B7CDB">
        <w:rPr>
          <w:rFonts w:ascii="楷体" w:eastAsia="楷体" w:hAnsi="楷体" w:hint="eastAsia"/>
          <w:b/>
          <w:bCs/>
          <w:color w:val="0070C0"/>
          <w:kern w:val="0"/>
          <w:sz w:val="24"/>
          <w:szCs w:val="20"/>
          <w:lang w:val="en-GB"/>
        </w:rPr>
        <w:t>凯石工场本周基金投资策略：</w:t>
      </w:r>
    </w:p>
    <w:p w:rsidR="00CD1FCC" w:rsidRPr="007838F3" w:rsidRDefault="00CD1FCC" w:rsidP="004B58D7">
      <w:pPr>
        <w:pStyle w:val="BodyText"/>
        <w:numPr>
          <w:ilvl w:val="4"/>
          <w:numId w:val="1"/>
        </w:numPr>
        <w:spacing w:after="163"/>
        <w:rPr>
          <w:rFonts w:ascii="楷体" w:eastAsia="楷体" w:hAnsi="楷体" w:cs="Arial"/>
          <w:szCs w:val="21"/>
        </w:rPr>
      </w:pPr>
      <w:r w:rsidRPr="007838F3">
        <w:rPr>
          <w:rFonts w:ascii="楷体" w:eastAsia="楷体" w:hAnsi="楷体" w:cs="Arial" w:hint="eastAsia"/>
          <w:szCs w:val="21"/>
        </w:rPr>
        <w:t>权益类基金</w:t>
      </w:r>
      <w:r>
        <w:rPr>
          <w:rFonts w:ascii="楷体" w:eastAsia="楷体" w:hAnsi="楷体" w:cs="Arial" w:hint="eastAsia"/>
          <w:szCs w:val="21"/>
        </w:rPr>
        <w:t>：</w:t>
      </w:r>
      <w:r w:rsidRPr="00A211E4">
        <w:rPr>
          <w:rFonts w:ascii="楷体" w:eastAsia="楷体" w:hAnsi="楷体" w:cs="Arial" w:hint="eastAsia"/>
          <w:szCs w:val="21"/>
        </w:rPr>
        <w:t>上周股指延续强势上攻态势，周五两市成交量更是突破万亿大关。对于后市环境，我们在</w:t>
      </w:r>
      <w:r w:rsidRPr="00A211E4">
        <w:rPr>
          <w:rFonts w:ascii="楷体" w:eastAsia="楷体" w:hAnsi="楷体" w:cs="Arial"/>
          <w:szCs w:val="21"/>
        </w:rPr>
        <w:t>12</w:t>
      </w:r>
      <w:r w:rsidRPr="00A211E4">
        <w:rPr>
          <w:rFonts w:ascii="楷体" w:eastAsia="楷体" w:hAnsi="楷体" w:cs="Arial" w:hint="eastAsia"/>
          <w:szCs w:val="21"/>
        </w:rPr>
        <w:t>月投资策略中提出，在稳增长政策加码背景下，短期经济下行风险得到一定程度缓和。此外，央行意外降息、沪港通开闸，使得市场流动性整体较为丰沛。三季度以来股指呈现逐级盘升之势，市场赚钱效应逐渐显现，投资者乐观情绪回暖，增量资金持续入市，对于</w:t>
      </w:r>
      <w:r w:rsidRPr="00A211E4">
        <w:rPr>
          <w:rFonts w:ascii="楷体" w:eastAsia="楷体" w:hAnsi="楷体" w:cs="Arial"/>
          <w:szCs w:val="21"/>
        </w:rPr>
        <w:t>A</w:t>
      </w:r>
      <w:r w:rsidRPr="00A211E4">
        <w:rPr>
          <w:rFonts w:ascii="楷体" w:eastAsia="楷体" w:hAnsi="楷体" w:cs="Arial" w:hint="eastAsia"/>
          <w:szCs w:val="21"/>
        </w:rPr>
        <w:t>股的积极意义不言而喻。而从中长期角度来看，资金利率下行趋势不改，对股票等风险资产构成正面利好，</w:t>
      </w:r>
      <w:r w:rsidRPr="00A211E4">
        <w:rPr>
          <w:rFonts w:ascii="楷体" w:eastAsia="楷体" w:hAnsi="楷体" w:cs="Arial"/>
          <w:szCs w:val="21"/>
        </w:rPr>
        <w:t>A</w:t>
      </w:r>
      <w:r w:rsidRPr="00A211E4">
        <w:rPr>
          <w:rFonts w:ascii="楷体" w:eastAsia="楷体" w:hAnsi="楷体" w:cs="Arial" w:hint="eastAsia"/>
          <w:szCs w:val="21"/>
        </w:rPr>
        <w:t>股中长期战略配置价值得到提升。而从短期的角度来看，经过</w:t>
      </w:r>
      <w:r w:rsidRPr="00A211E4">
        <w:rPr>
          <w:rFonts w:ascii="楷体" w:eastAsia="楷体" w:hAnsi="楷体" w:cs="Arial"/>
          <w:szCs w:val="21"/>
        </w:rPr>
        <w:t>11</w:t>
      </w:r>
      <w:r w:rsidRPr="00A211E4">
        <w:rPr>
          <w:rFonts w:ascii="楷体" w:eastAsia="楷体" w:hAnsi="楷体" w:cs="Arial" w:hint="eastAsia"/>
          <w:szCs w:val="21"/>
        </w:rPr>
        <w:t>月下旬以来的连续拉升，股指内部技术性调整需求逐步积累，高位震荡可能性增加，但上行趋势不会因此发生动摇。基金配置层面，建议战略性加仓，提升股票资产配置比例，同时密切关注以金融、地产、机械为代表的大盘蓝筹估值修复性行情，可利用交易型指数产品在透明度、交易成本以及投资灵活性方面的优势把握波段性机会，关注方向为金融、地产等行业指数产品以及沪深</w:t>
      </w:r>
      <w:r w:rsidRPr="00A211E4">
        <w:rPr>
          <w:rFonts w:ascii="楷体" w:eastAsia="楷体" w:hAnsi="楷体" w:cs="Arial"/>
          <w:szCs w:val="21"/>
        </w:rPr>
        <w:t>300</w:t>
      </w:r>
      <w:r w:rsidRPr="00A211E4">
        <w:rPr>
          <w:rFonts w:ascii="楷体" w:eastAsia="楷体" w:hAnsi="楷体" w:cs="Arial" w:hint="eastAsia"/>
          <w:szCs w:val="21"/>
        </w:rPr>
        <w:t>、上证周期等价值风格突出的规模指数产品。同时</w:t>
      </w:r>
      <w:r>
        <w:rPr>
          <w:rFonts w:ascii="楷体" w:eastAsia="楷体" w:hAnsi="楷体" w:cs="Arial" w:hint="eastAsia"/>
          <w:szCs w:val="21"/>
        </w:rPr>
        <w:t>看好消费新兴品种中长期投资价值，择机逢低布局</w:t>
      </w:r>
      <w:r w:rsidRPr="00B2019E">
        <w:rPr>
          <w:rFonts w:ascii="楷体" w:eastAsia="楷体" w:hAnsi="楷体" w:cs="Arial" w:hint="eastAsia"/>
          <w:szCs w:val="21"/>
        </w:rPr>
        <w:t>。</w:t>
      </w:r>
    </w:p>
    <w:p w:rsidR="00CD1FCC" w:rsidRPr="00F95C99" w:rsidRDefault="00CD1FCC" w:rsidP="004B58D7">
      <w:pPr>
        <w:pStyle w:val="BodyText"/>
        <w:numPr>
          <w:ilvl w:val="4"/>
          <w:numId w:val="1"/>
        </w:numPr>
        <w:spacing w:after="163"/>
        <w:rPr>
          <w:rFonts w:ascii="楷体" w:eastAsia="楷体" w:hAnsi="楷体" w:cs="Arial"/>
          <w:szCs w:val="21"/>
        </w:rPr>
      </w:pPr>
      <w:r w:rsidRPr="00F95C99">
        <w:rPr>
          <w:rFonts w:ascii="楷体" w:eastAsia="楷体" w:hAnsi="楷体" w:cs="Arial" w:hint="eastAsia"/>
          <w:szCs w:val="21"/>
        </w:rPr>
        <w:t>固定收益类基金</w:t>
      </w:r>
      <w:r>
        <w:rPr>
          <w:rFonts w:ascii="楷体" w:eastAsia="楷体" w:hAnsi="楷体" w:cs="Arial" w:hint="eastAsia"/>
          <w:szCs w:val="21"/>
        </w:rPr>
        <w:t>：</w:t>
      </w:r>
      <w:r w:rsidRPr="00D8299E">
        <w:rPr>
          <w:rFonts w:ascii="楷体" w:eastAsia="楷体" w:hAnsi="楷体" w:cs="Arial" w:hint="eastAsia"/>
          <w:szCs w:val="21"/>
        </w:rPr>
        <w:t>在政府货币政策悄然转向的推动下，近来市场资金面比较宽裕，但是由于广大投资者对于</w:t>
      </w:r>
      <w:r w:rsidRPr="00D8299E">
        <w:rPr>
          <w:rFonts w:ascii="楷体" w:eastAsia="楷体" w:hAnsi="楷体" w:cs="Arial"/>
          <w:szCs w:val="21"/>
        </w:rPr>
        <w:t>A</w:t>
      </w:r>
      <w:r w:rsidRPr="00D8299E">
        <w:rPr>
          <w:rFonts w:ascii="楷体" w:eastAsia="楷体" w:hAnsi="楷体" w:cs="Arial" w:hint="eastAsia"/>
          <w:szCs w:val="21"/>
        </w:rPr>
        <w:t>股市场参与热情的显著提升，大量的资金已经通过各种渠道涌入股票市场，流动性的向好对于债市的利好程度正因此而有所削弱。尽</w:t>
      </w:r>
      <w:r>
        <w:rPr>
          <w:rFonts w:ascii="楷体" w:eastAsia="楷体" w:hAnsi="楷体" w:cs="Arial" w:hint="eastAsia"/>
          <w:szCs w:val="21"/>
        </w:rPr>
        <w:t>管就眼下而言，市场资金的腾挪方向或将会使债市面临小幅的波动，但</w:t>
      </w:r>
      <w:r w:rsidRPr="00D8299E">
        <w:rPr>
          <w:rFonts w:ascii="楷体" w:eastAsia="楷体" w:hAnsi="楷体" w:cs="Arial" w:hint="eastAsia"/>
          <w:szCs w:val="21"/>
        </w:rPr>
        <w:t>我们认为随着降低社会融资成本这一目标的逐步实现，债券收益率创新低将是大概率事件，而且经济基本面偏弱的局面也不可能快速转变，因而债市仍有一定的空间</w:t>
      </w:r>
      <w:r>
        <w:rPr>
          <w:rFonts w:ascii="楷体" w:eastAsia="楷体" w:hAnsi="楷体" w:cs="Arial" w:hint="eastAsia"/>
          <w:szCs w:val="21"/>
        </w:rPr>
        <w:t>，债券型基金品种仍具布局价值。短期考虑到股票市场的火爆行情，可</w:t>
      </w:r>
      <w:r w:rsidRPr="00D8299E">
        <w:rPr>
          <w:rFonts w:ascii="楷体" w:eastAsia="楷体" w:hAnsi="楷体" w:cs="Arial" w:hint="eastAsia"/>
          <w:szCs w:val="21"/>
        </w:rPr>
        <w:t>增配一些可投资权益类资产的债券型基金品种，同时建议继续关注信用债中城投债、以及中高等级产业债投资比例较高的基金产品</w:t>
      </w:r>
      <w:r w:rsidRPr="000374F2">
        <w:rPr>
          <w:rFonts w:ascii="楷体" w:eastAsia="楷体" w:hAnsi="楷体" w:cs="Arial" w:hint="eastAsia"/>
          <w:szCs w:val="21"/>
        </w:rPr>
        <w:t>。</w:t>
      </w:r>
    </w:p>
    <w:p w:rsidR="00CD1FCC" w:rsidRPr="00603F9C" w:rsidRDefault="00CD1FCC" w:rsidP="00603F9C">
      <w:pPr>
        <w:pStyle w:val="BodyText"/>
        <w:numPr>
          <w:ilvl w:val="4"/>
          <w:numId w:val="1"/>
        </w:numPr>
        <w:spacing w:after="163"/>
        <w:rPr>
          <w:rFonts w:ascii="宋体" w:eastAsia="宋体" w:hAnsi="宋体" w:cs="宋体"/>
          <w:sz w:val="24"/>
          <w:szCs w:val="24"/>
        </w:rPr>
      </w:pPr>
      <w:r w:rsidRPr="00F95C99">
        <w:rPr>
          <w:rFonts w:ascii="楷体" w:eastAsia="楷体" w:hAnsi="楷体" w:cs="Arial"/>
          <w:szCs w:val="21"/>
        </w:rPr>
        <w:t>QDII</w:t>
      </w:r>
      <w:r w:rsidRPr="00F95C99">
        <w:rPr>
          <w:rFonts w:ascii="楷体" w:eastAsia="楷体" w:hAnsi="楷体" w:cs="Arial" w:hint="eastAsia"/>
          <w:szCs w:val="21"/>
        </w:rPr>
        <w:t>基金</w:t>
      </w:r>
      <w:r>
        <w:rPr>
          <w:rFonts w:ascii="楷体" w:eastAsia="楷体" w:hAnsi="楷体" w:cs="Arial" w:hint="eastAsia"/>
          <w:szCs w:val="21"/>
        </w:rPr>
        <w:t>：</w:t>
      </w:r>
      <w:r w:rsidRPr="00A211E4">
        <w:rPr>
          <w:rFonts w:ascii="楷体" w:eastAsia="楷体" w:hAnsi="楷体" w:cs="Arial" w:hint="eastAsia"/>
          <w:szCs w:val="21"/>
        </w:rPr>
        <w:t>美国经济复苏前景明朗，超低政策利率持续，企业盈利好转等继续支持股市走强。值得重点关注的包括有盈利支撑的中小盘成长股，受益于新技术变革的科技股，及复苏较为明确的房地产板块。沪港通推出半月，内地设置</w:t>
      </w:r>
      <w:r w:rsidRPr="00A211E4">
        <w:rPr>
          <w:rFonts w:ascii="楷体" w:eastAsia="楷体" w:hAnsi="楷体" w:cs="Arial"/>
          <w:szCs w:val="21"/>
        </w:rPr>
        <w:t>50</w:t>
      </w:r>
      <w:r w:rsidRPr="00A211E4">
        <w:rPr>
          <w:rFonts w:ascii="楷体" w:eastAsia="楷体" w:hAnsi="楷体" w:cs="Arial" w:hint="eastAsia"/>
          <w:szCs w:val="21"/>
        </w:rPr>
        <w:t>万元投资门槛造成资金使用额度暂时低于预期。不过随着央行降息引发融资成本降低、增量资金入市，有望推升</w:t>
      </w:r>
      <w:r w:rsidRPr="00A211E4">
        <w:rPr>
          <w:rFonts w:ascii="楷体" w:eastAsia="楷体" w:hAnsi="楷体" w:cs="Arial"/>
          <w:szCs w:val="21"/>
        </w:rPr>
        <w:t>A</w:t>
      </w:r>
      <w:r w:rsidRPr="00A211E4">
        <w:rPr>
          <w:rFonts w:ascii="楷体" w:eastAsia="楷体" w:hAnsi="楷体" w:cs="Arial" w:hint="eastAsia"/>
          <w:szCs w:val="21"/>
        </w:rPr>
        <w:t>、</w:t>
      </w:r>
      <w:r w:rsidRPr="00A211E4">
        <w:rPr>
          <w:rFonts w:ascii="楷体" w:eastAsia="楷体" w:hAnsi="楷体" w:cs="Arial"/>
          <w:szCs w:val="21"/>
        </w:rPr>
        <w:t>H</w:t>
      </w:r>
      <w:r w:rsidRPr="00A211E4">
        <w:rPr>
          <w:rFonts w:ascii="楷体" w:eastAsia="楷体" w:hAnsi="楷体" w:cs="Arial" w:hint="eastAsia"/>
          <w:szCs w:val="21"/>
        </w:rPr>
        <w:t>股市场走势。海外投资建议采取“美股港股双核心”策略</w:t>
      </w:r>
      <w:r w:rsidRPr="000374F2">
        <w:rPr>
          <w:rFonts w:hint="eastAsia"/>
        </w:rPr>
        <w:t>。</w:t>
      </w:r>
    </w:p>
    <w:p w:rsidR="00CD1FCC" w:rsidRDefault="00CD1FCC" w:rsidP="003C0101">
      <w:pPr>
        <w:pStyle w:val="BodyText"/>
        <w:spacing w:after="163"/>
        <w:ind w:left="3430"/>
        <w:rPr>
          <w:rFonts w:ascii="楷体" w:eastAsia="楷体" w:hAnsi="楷体"/>
          <w:b/>
          <w:bCs/>
          <w:color w:val="0070C0"/>
          <w:sz w:val="24"/>
        </w:rPr>
      </w:pPr>
      <w:r w:rsidRPr="005B7CDB">
        <w:rPr>
          <w:rFonts w:ascii="楷体" w:eastAsia="楷体" w:hAnsi="楷体" w:hint="eastAsia"/>
          <w:b/>
          <w:bCs/>
          <w:color w:val="0070C0"/>
          <w:sz w:val="24"/>
        </w:rPr>
        <w:t>凯石每周微点评</w:t>
      </w:r>
      <w:r>
        <w:rPr>
          <w:rFonts w:ascii="楷体" w:eastAsia="楷体" w:hAnsi="楷体" w:hint="eastAsia"/>
          <w:b/>
          <w:bCs/>
          <w:color w:val="0070C0"/>
          <w:sz w:val="24"/>
        </w:rPr>
        <w:t>：</w:t>
      </w:r>
    </w:p>
    <w:tbl>
      <w:tblPr>
        <w:tblW w:w="0" w:type="auto"/>
        <w:tblInd w:w="-142" w:type="dxa"/>
        <w:tblBorders>
          <w:top w:val="single" w:sz="6" w:space="0" w:color="FF6600"/>
          <w:bottom w:val="single" w:sz="6" w:space="0" w:color="FF6600"/>
          <w:insideH w:val="single" w:sz="6" w:space="0" w:color="FF6600"/>
        </w:tblBorders>
        <w:tblCellMar>
          <w:left w:w="0" w:type="dxa"/>
          <w:right w:w="0" w:type="dxa"/>
        </w:tblCellMar>
        <w:tblLook w:val="0000"/>
      </w:tblPr>
      <w:tblGrid>
        <w:gridCol w:w="5104"/>
        <w:gridCol w:w="5696"/>
      </w:tblGrid>
      <w:tr w:rsidR="00CD1FCC" w:rsidRPr="00453191" w:rsidTr="00706D5E">
        <w:trPr>
          <w:cantSplit/>
          <w:trHeight w:val="335"/>
        </w:trPr>
        <w:tc>
          <w:tcPr>
            <w:tcW w:w="0" w:type="auto"/>
            <w:gridSpan w:val="2"/>
            <w:vAlign w:val="center"/>
          </w:tcPr>
          <w:p w:rsidR="00CD1FCC" w:rsidRPr="00F95C99" w:rsidRDefault="00CD1FCC" w:rsidP="004E0B0C">
            <w:pPr>
              <w:pStyle w:val="SubTitleLargeTable"/>
              <w:pBdr>
                <w:top w:val="none" w:sz="0" w:space="0" w:color="auto"/>
              </w:pBdr>
              <w:rPr>
                <w:rFonts w:ascii="楷体" w:eastAsia="楷体" w:hAnsi="楷体"/>
                <w:color w:val="FF6600"/>
              </w:rPr>
            </w:pPr>
            <w:r w:rsidRPr="005B7CDB">
              <w:rPr>
                <w:rFonts w:ascii="楷体" w:eastAsia="楷体" w:hAnsi="楷体" w:hint="eastAsia"/>
                <w:color w:val="FF6600"/>
              </w:rPr>
              <w:t>图表</w:t>
            </w:r>
            <w:r w:rsidRPr="005B7CDB">
              <w:rPr>
                <w:rFonts w:ascii="楷体" w:eastAsia="楷体" w:hAnsi="楷体"/>
                <w:color w:val="FF6600"/>
              </w:rPr>
              <w:t>1</w:t>
            </w:r>
            <w:r w:rsidRPr="005B7CDB">
              <w:rPr>
                <w:rFonts w:ascii="楷体" w:eastAsia="楷体" w:hAnsi="楷体" w:hint="eastAsia"/>
                <w:color w:val="FF6600"/>
              </w:rPr>
              <w:t>：基金行业近期动态及点评</w:t>
            </w:r>
          </w:p>
        </w:tc>
      </w:tr>
      <w:tr w:rsidR="00CD1FCC" w:rsidRPr="00453191" w:rsidTr="00C606A2">
        <w:trPr>
          <w:cantSplit/>
          <w:trHeight w:val="284"/>
        </w:trPr>
        <w:tc>
          <w:tcPr>
            <w:tcW w:w="5104" w:type="dxa"/>
            <w:tcBorders>
              <w:right w:val="single" w:sz="6" w:space="0" w:color="FF6600"/>
            </w:tcBorders>
            <w:shd w:val="clear" w:color="auto" w:fill="FDE9D9"/>
            <w:vAlign w:val="center"/>
          </w:tcPr>
          <w:p w:rsidR="00CD1FCC" w:rsidRPr="002656A6" w:rsidRDefault="00CD1FCC" w:rsidP="00737EA0">
            <w:pPr>
              <w:snapToGrid w:val="0"/>
              <w:jc w:val="center"/>
              <w:rPr>
                <w:rFonts w:ascii="楷体" w:eastAsia="楷体" w:hAnsi="楷体" w:cs="Arial"/>
                <w:color w:val="000000"/>
                <w:sz w:val="18"/>
                <w:szCs w:val="18"/>
              </w:rPr>
            </w:pPr>
            <w:r w:rsidRPr="00453191">
              <w:rPr>
                <w:rFonts w:ascii="楷体" w:eastAsia="楷体" w:hAnsi="楷体" w:hint="eastAsia"/>
                <w:b/>
                <w:sz w:val="18"/>
                <w:szCs w:val="18"/>
              </w:rPr>
              <w:t>微新闻</w:t>
            </w:r>
          </w:p>
        </w:tc>
        <w:tc>
          <w:tcPr>
            <w:tcW w:w="5696" w:type="dxa"/>
            <w:tcBorders>
              <w:left w:val="single" w:sz="6" w:space="0" w:color="FF6600"/>
            </w:tcBorders>
            <w:shd w:val="clear" w:color="auto" w:fill="FDE9D9"/>
            <w:vAlign w:val="center"/>
          </w:tcPr>
          <w:p w:rsidR="00CD1FCC" w:rsidRPr="00453191" w:rsidRDefault="00CD1FCC" w:rsidP="004E0B0C">
            <w:pPr>
              <w:snapToGrid w:val="0"/>
              <w:jc w:val="center"/>
              <w:rPr>
                <w:rFonts w:ascii="楷体" w:eastAsia="楷体" w:hAnsi="楷体"/>
                <w:b/>
                <w:sz w:val="18"/>
                <w:szCs w:val="18"/>
              </w:rPr>
            </w:pPr>
            <w:r w:rsidRPr="00453191">
              <w:rPr>
                <w:rFonts w:ascii="楷体" w:eastAsia="楷体" w:hAnsi="楷体" w:hint="eastAsia"/>
                <w:b/>
                <w:sz w:val="18"/>
                <w:szCs w:val="18"/>
              </w:rPr>
              <w:t>微点评</w:t>
            </w:r>
          </w:p>
        </w:tc>
      </w:tr>
      <w:tr w:rsidR="00CD1FCC" w:rsidRPr="00453191" w:rsidTr="00C606A2">
        <w:trPr>
          <w:cantSplit/>
          <w:trHeight w:val="605"/>
        </w:trPr>
        <w:tc>
          <w:tcPr>
            <w:tcW w:w="5104" w:type="dxa"/>
            <w:tcBorders>
              <w:right w:val="single" w:sz="6" w:space="0" w:color="FF6600"/>
            </w:tcBorders>
            <w:vAlign w:val="center"/>
          </w:tcPr>
          <w:p w:rsidR="00CD1FCC" w:rsidRPr="00905AD3" w:rsidRDefault="00CD1FCC" w:rsidP="00BD0418">
            <w:pPr>
              <w:pStyle w:val="NormalWeb"/>
              <w:snapToGrid w:val="0"/>
              <w:rPr>
                <w:rFonts w:ascii="楷体" w:eastAsia="楷体" w:hAnsi="楷体" w:cs="Arial"/>
                <w:color w:val="000000"/>
                <w:sz w:val="18"/>
                <w:szCs w:val="18"/>
              </w:rPr>
            </w:pPr>
            <w:r w:rsidRPr="00553FAA">
              <w:rPr>
                <w:rFonts w:ascii="楷体" w:eastAsia="楷体" w:hAnsi="楷体" w:cs="Arial" w:hint="eastAsia"/>
                <w:color w:val="000000"/>
                <w:sz w:val="18"/>
                <w:szCs w:val="18"/>
              </w:rPr>
              <w:t>中国结算拟于本周与</w:t>
            </w:r>
            <w:r w:rsidRPr="00553FAA">
              <w:rPr>
                <w:rFonts w:ascii="楷体" w:eastAsia="楷体" w:hAnsi="楷体" w:cs="Arial"/>
                <w:color w:val="000000"/>
                <w:sz w:val="18"/>
                <w:szCs w:val="18"/>
              </w:rPr>
              <w:t>4</w:t>
            </w:r>
            <w:r w:rsidRPr="00553FAA">
              <w:rPr>
                <w:rFonts w:ascii="楷体" w:eastAsia="楷体" w:hAnsi="楷体" w:cs="Arial" w:hint="eastAsia"/>
                <w:color w:val="000000"/>
                <w:sz w:val="18"/>
                <w:szCs w:val="18"/>
              </w:rPr>
              <w:t>家证券公司共同测试</w:t>
            </w:r>
            <w:r w:rsidRPr="00553FAA">
              <w:rPr>
                <w:rFonts w:ascii="楷体" w:eastAsia="楷体" w:hAnsi="楷体" w:cs="Arial"/>
                <w:color w:val="000000"/>
                <w:sz w:val="18"/>
                <w:szCs w:val="18"/>
              </w:rPr>
              <w:t>ETF</w:t>
            </w:r>
            <w:r>
              <w:rPr>
                <w:rFonts w:ascii="楷体" w:eastAsia="楷体" w:hAnsi="楷体" w:cs="Arial" w:hint="eastAsia"/>
                <w:color w:val="000000"/>
                <w:sz w:val="18"/>
                <w:szCs w:val="18"/>
              </w:rPr>
              <w:t>期权的结算方案，这是</w:t>
            </w:r>
            <w:r w:rsidRPr="00553FAA">
              <w:rPr>
                <w:rFonts w:ascii="楷体" w:eastAsia="楷体" w:hAnsi="楷体" w:cs="Arial" w:hint="eastAsia"/>
                <w:color w:val="000000"/>
                <w:sz w:val="18"/>
                <w:szCs w:val="18"/>
              </w:rPr>
              <w:t>中国结算首次参与</w:t>
            </w:r>
            <w:r w:rsidRPr="00553FAA">
              <w:rPr>
                <w:rFonts w:ascii="楷体" w:eastAsia="楷体" w:hAnsi="楷体" w:cs="Arial"/>
                <w:color w:val="000000"/>
                <w:sz w:val="18"/>
                <w:szCs w:val="18"/>
              </w:rPr>
              <w:t>ETF</w:t>
            </w:r>
            <w:r w:rsidRPr="00553FAA">
              <w:rPr>
                <w:rFonts w:ascii="楷体" w:eastAsia="楷体" w:hAnsi="楷体" w:cs="Arial" w:hint="eastAsia"/>
                <w:color w:val="000000"/>
                <w:sz w:val="18"/>
                <w:szCs w:val="18"/>
              </w:rPr>
              <w:t>期权业务的测试，按照过往新业务的上线流程，此举代表期权有望步入业务开闸准备期</w:t>
            </w:r>
            <w:r>
              <w:rPr>
                <w:rFonts w:ascii="楷体" w:eastAsia="楷体" w:hAnsi="楷体" w:cs="Arial" w:hint="eastAsia"/>
                <w:color w:val="000000"/>
                <w:sz w:val="18"/>
                <w:szCs w:val="18"/>
              </w:rPr>
              <w:t>。</w:t>
            </w:r>
          </w:p>
        </w:tc>
        <w:tc>
          <w:tcPr>
            <w:tcW w:w="5696" w:type="dxa"/>
            <w:tcBorders>
              <w:left w:val="single" w:sz="6" w:space="0" w:color="FF6600"/>
            </w:tcBorders>
            <w:vAlign w:val="center"/>
          </w:tcPr>
          <w:p w:rsidR="00CD1FCC" w:rsidRPr="00905AD3" w:rsidRDefault="00CD1FCC" w:rsidP="00C606A2">
            <w:pPr>
              <w:pStyle w:val="NormalWeb"/>
              <w:snapToGrid w:val="0"/>
              <w:rPr>
                <w:rFonts w:ascii="楷体" w:eastAsia="楷体" w:hAnsi="楷体" w:cs="Arial"/>
                <w:color w:val="000000"/>
                <w:sz w:val="18"/>
                <w:szCs w:val="18"/>
              </w:rPr>
            </w:pPr>
            <w:r w:rsidRPr="00553FAA">
              <w:rPr>
                <w:rFonts w:ascii="楷体" w:eastAsia="楷体" w:hAnsi="楷体" w:cs="Arial"/>
                <w:color w:val="000000"/>
                <w:sz w:val="18"/>
                <w:szCs w:val="18"/>
              </w:rPr>
              <w:t>ETF</w:t>
            </w:r>
            <w:r w:rsidRPr="00553FAA">
              <w:rPr>
                <w:rFonts w:ascii="楷体" w:eastAsia="楷体" w:hAnsi="楷体" w:cs="Arial" w:hint="eastAsia"/>
                <w:color w:val="000000"/>
                <w:sz w:val="18"/>
                <w:szCs w:val="18"/>
              </w:rPr>
              <w:t>期权是上交所重点打造的创新产品之一，</w:t>
            </w:r>
            <w:r>
              <w:rPr>
                <w:rFonts w:ascii="楷体" w:eastAsia="楷体" w:hAnsi="楷体" w:cs="Arial" w:hint="eastAsia"/>
                <w:color w:val="000000"/>
                <w:sz w:val="18"/>
                <w:szCs w:val="18"/>
              </w:rPr>
              <w:t>它的加速推进会使得</w:t>
            </w:r>
            <w:r w:rsidRPr="00553FAA">
              <w:rPr>
                <w:rFonts w:ascii="楷体" w:eastAsia="楷体" w:hAnsi="楷体" w:cs="Arial" w:hint="eastAsia"/>
                <w:color w:val="000000"/>
                <w:sz w:val="18"/>
                <w:szCs w:val="18"/>
              </w:rPr>
              <w:t>相关权重股的流动性溢价将提升，有助于大中市值股票</w:t>
            </w:r>
            <w:r>
              <w:rPr>
                <w:rFonts w:ascii="楷体" w:eastAsia="楷体" w:hAnsi="楷体" w:cs="Arial" w:hint="eastAsia"/>
                <w:color w:val="000000"/>
                <w:sz w:val="18"/>
                <w:szCs w:val="18"/>
              </w:rPr>
              <w:t>的</w:t>
            </w:r>
            <w:r w:rsidRPr="00553FAA">
              <w:rPr>
                <w:rFonts w:ascii="楷体" w:eastAsia="楷体" w:hAnsi="楷体" w:cs="Arial" w:hint="eastAsia"/>
                <w:color w:val="000000"/>
                <w:sz w:val="18"/>
                <w:szCs w:val="18"/>
              </w:rPr>
              <w:t>估值修复。</w:t>
            </w:r>
          </w:p>
        </w:tc>
      </w:tr>
    </w:tbl>
    <w:p w:rsidR="00CD1FCC" w:rsidRPr="002656A6" w:rsidRDefault="00CD1FCC" w:rsidP="002656A6">
      <w:pPr>
        <w:pStyle w:val="FootnoteNoline"/>
        <w:ind w:left="0"/>
        <w:rPr>
          <w:rFonts w:ascii="楷体" w:eastAsia="楷体" w:hAnsi="楷体"/>
          <w:color w:val="FF6600"/>
          <w:lang w:val="en-US"/>
        </w:rPr>
      </w:pPr>
      <w:r w:rsidRPr="005B7CDB">
        <w:rPr>
          <w:rFonts w:ascii="楷体" w:eastAsia="楷体" w:hAnsi="楷体" w:hint="eastAsia"/>
          <w:color w:val="FF6600"/>
          <w:lang w:val="en-US"/>
        </w:rPr>
        <w:t>来源：凯石财富工场</w:t>
      </w:r>
    </w:p>
    <w:p w:rsidR="00CD1FCC" w:rsidRPr="005B7CDB" w:rsidRDefault="00CD1FCC" w:rsidP="006A5488">
      <w:pPr>
        <w:widowControl/>
        <w:spacing w:after="120"/>
        <w:ind w:left="3430"/>
        <w:rPr>
          <w:rFonts w:ascii="楷体" w:eastAsia="楷体" w:hAnsi="楷体"/>
          <w:b/>
          <w:bCs/>
          <w:color w:val="0070C0"/>
          <w:kern w:val="0"/>
          <w:sz w:val="24"/>
          <w:szCs w:val="20"/>
          <w:lang w:val="en-GB"/>
        </w:rPr>
      </w:pPr>
      <w:r w:rsidRPr="005B7CDB">
        <w:rPr>
          <w:rFonts w:ascii="楷体" w:eastAsia="楷体" w:hAnsi="楷体" w:hint="eastAsia"/>
          <w:b/>
          <w:bCs/>
          <w:color w:val="0070C0"/>
          <w:kern w:val="0"/>
          <w:sz w:val="24"/>
          <w:szCs w:val="20"/>
          <w:lang w:val="en-GB"/>
        </w:rPr>
        <w:t>公募基金一周业绩：</w:t>
      </w:r>
    </w:p>
    <w:p w:rsidR="00CD1FCC" w:rsidRPr="00F1382E" w:rsidRDefault="00CD1FCC" w:rsidP="00F1382E">
      <w:pPr>
        <w:widowControl/>
        <w:spacing w:after="120"/>
        <w:ind w:left="3430"/>
        <w:rPr>
          <w:rFonts w:ascii="楷体" w:eastAsia="楷体" w:hAnsi="楷体"/>
          <w:b/>
          <w:bCs/>
          <w:color w:val="0070C0"/>
          <w:kern w:val="0"/>
          <w:szCs w:val="21"/>
          <w:lang w:val="en-GB"/>
        </w:rPr>
      </w:pPr>
      <w:r w:rsidRPr="005B7CDB">
        <w:rPr>
          <w:rFonts w:ascii="楷体" w:eastAsia="楷体" w:hAnsi="楷体" w:hint="eastAsia"/>
          <w:b/>
          <w:bCs/>
          <w:color w:val="0070C0"/>
          <w:kern w:val="0"/>
          <w:szCs w:val="21"/>
          <w:lang w:val="en-GB"/>
        </w:rPr>
        <w:t>国内外股市一周表现：</w:t>
      </w:r>
      <w:r>
        <w:rPr>
          <w:rFonts w:ascii="楷体" w:eastAsia="楷体" w:hAnsi="楷体" w:hint="eastAsia"/>
          <w:b/>
          <w:bCs/>
          <w:color w:val="0070C0"/>
          <w:kern w:val="0"/>
          <w:szCs w:val="21"/>
          <w:lang w:val="en-GB"/>
        </w:rPr>
        <w:t>国内大盘震荡上行，海外股市相对平淡</w:t>
      </w:r>
    </w:p>
    <w:p w:rsidR="00CD1FCC" w:rsidRPr="00A932D6" w:rsidRDefault="00CD1FCC" w:rsidP="005A3FE7">
      <w:pPr>
        <w:pStyle w:val="BodyText"/>
        <w:numPr>
          <w:ilvl w:val="4"/>
          <w:numId w:val="1"/>
        </w:numPr>
        <w:spacing w:after="163"/>
        <w:rPr>
          <w:rFonts w:ascii="楷体" w:eastAsia="楷体" w:hAnsi="楷体"/>
          <w:szCs w:val="21"/>
        </w:rPr>
      </w:pPr>
      <w:r w:rsidRPr="001E77A4">
        <w:rPr>
          <w:rFonts w:ascii="楷体" w:eastAsia="楷体" w:hAnsi="楷体" w:hint="eastAsia"/>
          <w:szCs w:val="21"/>
        </w:rPr>
        <w:t>截至</w:t>
      </w:r>
      <w:r w:rsidRPr="001E77A4">
        <w:rPr>
          <w:rFonts w:ascii="楷体" w:eastAsia="楷体" w:hAnsi="楷体"/>
          <w:szCs w:val="21"/>
        </w:rPr>
        <w:t>12</w:t>
      </w:r>
      <w:r w:rsidRPr="001E77A4">
        <w:rPr>
          <w:rFonts w:ascii="楷体" w:eastAsia="楷体" w:hAnsi="楷体" w:hint="eastAsia"/>
          <w:szCs w:val="21"/>
        </w:rPr>
        <w:t>月</w:t>
      </w:r>
      <w:r w:rsidRPr="001E77A4">
        <w:rPr>
          <w:rFonts w:ascii="楷体" w:eastAsia="楷体" w:hAnsi="楷体"/>
          <w:szCs w:val="21"/>
        </w:rPr>
        <w:t>5</w:t>
      </w:r>
      <w:r w:rsidRPr="001E77A4">
        <w:rPr>
          <w:rFonts w:ascii="楷体" w:eastAsia="楷体" w:hAnsi="楷体" w:hint="eastAsia"/>
          <w:szCs w:val="21"/>
        </w:rPr>
        <w:t>日的一周，大盘已连续四周上涨，沪深两市成交量放大，沪指屡创新高，创业板指波幅加大。整周来看，沪深</w:t>
      </w:r>
      <w:r w:rsidRPr="001E77A4">
        <w:rPr>
          <w:rFonts w:ascii="楷体" w:eastAsia="楷体" w:hAnsi="楷体"/>
          <w:szCs w:val="21"/>
        </w:rPr>
        <w:t>300</w:t>
      </w:r>
      <w:r w:rsidRPr="001E77A4">
        <w:rPr>
          <w:rFonts w:ascii="楷体" w:eastAsia="楷体" w:hAnsi="楷体" w:hint="eastAsia"/>
          <w:szCs w:val="21"/>
        </w:rPr>
        <w:t>涨</w:t>
      </w:r>
      <w:r w:rsidRPr="001E77A4">
        <w:rPr>
          <w:rFonts w:ascii="楷体" w:eastAsia="楷体" w:hAnsi="楷体"/>
          <w:szCs w:val="21"/>
        </w:rPr>
        <w:t>11.25%</w:t>
      </w:r>
      <w:r w:rsidRPr="001E77A4">
        <w:rPr>
          <w:rFonts w:ascii="楷体" w:eastAsia="楷体" w:hAnsi="楷体" w:hint="eastAsia"/>
          <w:szCs w:val="21"/>
        </w:rPr>
        <w:t>，上证指数涨</w:t>
      </w:r>
      <w:r w:rsidRPr="001E77A4">
        <w:rPr>
          <w:rFonts w:ascii="楷体" w:eastAsia="楷体" w:hAnsi="楷体"/>
          <w:szCs w:val="21"/>
        </w:rPr>
        <w:t>9.50%</w:t>
      </w:r>
      <w:r w:rsidRPr="001E77A4">
        <w:rPr>
          <w:rFonts w:ascii="楷体" w:eastAsia="楷体" w:hAnsi="楷体" w:hint="eastAsia"/>
          <w:szCs w:val="21"/>
        </w:rPr>
        <w:t>，中小板指和创业板指分别涨</w:t>
      </w:r>
      <w:r w:rsidRPr="001E77A4">
        <w:rPr>
          <w:rFonts w:ascii="楷体" w:eastAsia="楷体" w:hAnsi="楷体"/>
          <w:szCs w:val="21"/>
        </w:rPr>
        <w:t>1.98%</w:t>
      </w:r>
      <w:r w:rsidRPr="001E77A4">
        <w:rPr>
          <w:rFonts w:ascii="楷体" w:eastAsia="楷体" w:hAnsi="楷体" w:hint="eastAsia"/>
          <w:szCs w:val="21"/>
        </w:rPr>
        <w:t>和</w:t>
      </w:r>
      <w:r w:rsidRPr="001E77A4">
        <w:rPr>
          <w:rFonts w:ascii="楷体" w:eastAsia="楷体" w:hAnsi="楷体"/>
          <w:szCs w:val="21"/>
        </w:rPr>
        <w:t>0.70%</w:t>
      </w:r>
      <w:r w:rsidRPr="001E77A4">
        <w:rPr>
          <w:rFonts w:ascii="楷体" w:eastAsia="楷体" w:hAnsi="楷体" w:hint="eastAsia"/>
          <w:szCs w:val="21"/>
        </w:rPr>
        <w:t>。</w:t>
      </w:r>
      <w:r w:rsidRPr="001E77A4">
        <w:rPr>
          <w:rFonts w:ascii="楷体" w:eastAsia="楷体" w:hAnsi="楷体"/>
          <w:szCs w:val="21"/>
        </w:rPr>
        <w:t>29</w:t>
      </w:r>
      <w:r w:rsidRPr="001E77A4">
        <w:rPr>
          <w:rFonts w:ascii="楷体" w:eastAsia="楷体" w:hAnsi="楷体" w:hint="eastAsia"/>
          <w:szCs w:val="21"/>
        </w:rPr>
        <w:t>个中信一级行业</w:t>
      </w:r>
      <w:r w:rsidRPr="001E77A4">
        <w:rPr>
          <w:rFonts w:ascii="楷体" w:eastAsia="楷体" w:hAnsi="楷体"/>
          <w:szCs w:val="21"/>
        </w:rPr>
        <w:t>23</w:t>
      </w:r>
      <w:r w:rsidRPr="001E77A4">
        <w:rPr>
          <w:rFonts w:ascii="楷体" w:eastAsia="楷体" w:hAnsi="楷体" w:hint="eastAsia"/>
          <w:szCs w:val="21"/>
        </w:rPr>
        <w:t>个上涨，非银金融（</w:t>
      </w:r>
      <w:r w:rsidRPr="001E77A4">
        <w:rPr>
          <w:rFonts w:ascii="楷体" w:eastAsia="楷体" w:hAnsi="楷体"/>
          <w:szCs w:val="21"/>
        </w:rPr>
        <w:t>27.19%</w:t>
      </w:r>
      <w:r w:rsidRPr="001E77A4">
        <w:rPr>
          <w:rFonts w:ascii="楷体" w:eastAsia="楷体" w:hAnsi="楷体" w:hint="eastAsia"/>
          <w:szCs w:val="21"/>
        </w:rPr>
        <w:t>）和银行（</w:t>
      </w:r>
      <w:r w:rsidRPr="001E77A4">
        <w:rPr>
          <w:rFonts w:ascii="楷体" w:eastAsia="楷体" w:hAnsi="楷体"/>
          <w:szCs w:val="21"/>
        </w:rPr>
        <w:t>14.94%</w:t>
      </w:r>
      <w:r w:rsidRPr="001E77A4">
        <w:rPr>
          <w:rFonts w:ascii="楷体" w:eastAsia="楷体" w:hAnsi="楷体" w:hint="eastAsia"/>
          <w:szCs w:val="21"/>
        </w:rPr>
        <w:t>）涨幅继续领先，国防军工（</w:t>
      </w:r>
      <w:r w:rsidRPr="001E77A4">
        <w:rPr>
          <w:rFonts w:ascii="楷体" w:eastAsia="楷体" w:hAnsi="楷体"/>
          <w:szCs w:val="21"/>
        </w:rPr>
        <w:t>12.51%</w:t>
      </w:r>
      <w:r w:rsidRPr="001E77A4">
        <w:rPr>
          <w:rFonts w:ascii="楷体" w:eastAsia="楷体" w:hAnsi="楷体" w:hint="eastAsia"/>
          <w:szCs w:val="21"/>
        </w:rPr>
        <w:t>）尾随其后，餐饮旅游（</w:t>
      </w:r>
      <w:r w:rsidRPr="001E77A4">
        <w:rPr>
          <w:rFonts w:ascii="楷体" w:eastAsia="楷体" w:hAnsi="楷体"/>
          <w:szCs w:val="21"/>
        </w:rPr>
        <w:t>-2.44%</w:t>
      </w:r>
      <w:r w:rsidRPr="001E77A4">
        <w:rPr>
          <w:rFonts w:ascii="楷体" w:eastAsia="楷体" w:hAnsi="楷体" w:hint="eastAsia"/>
          <w:szCs w:val="21"/>
        </w:rPr>
        <w:t>）跌幅最大。经济数据方面，我国</w:t>
      </w:r>
      <w:r w:rsidRPr="001E77A4">
        <w:rPr>
          <w:rFonts w:ascii="楷体" w:eastAsia="楷体" w:hAnsi="楷体"/>
          <w:szCs w:val="21"/>
        </w:rPr>
        <w:t>11</w:t>
      </w:r>
      <w:r w:rsidRPr="001E77A4">
        <w:rPr>
          <w:rFonts w:ascii="楷体" w:eastAsia="楷体" w:hAnsi="楷体" w:hint="eastAsia"/>
          <w:szCs w:val="21"/>
        </w:rPr>
        <w:t>月制造业</w:t>
      </w:r>
      <w:r w:rsidRPr="001E77A4">
        <w:rPr>
          <w:rFonts w:ascii="楷体" w:eastAsia="楷体" w:hAnsi="楷体"/>
          <w:szCs w:val="21"/>
        </w:rPr>
        <w:t>PMI</w:t>
      </w:r>
      <w:r w:rsidRPr="001E77A4">
        <w:rPr>
          <w:rFonts w:ascii="楷体" w:eastAsia="楷体" w:hAnsi="楷体" w:hint="eastAsia"/>
          <w:szCs w:val="21"/>
        </w:rPr>
        <w:t>为</w:t>
      </w:r>
      <w:r w:rsidRPr="001E77A4">
        <w:rPr>
          <w:rFonts w:ascii="楷体" w:eastAsia="楷体" w:hAnsi="楷体"/>
          <w:szCs w:val="21"/>
        </w:rPr>
        <w:t>50.3%</w:t>
      </w:r>
      <w:r w:rsidRPr="001E77A4">
        <w:rPr>
          <w:rFonts w:ascii="楷体" w:eastAsia="楷体" w:hAnsi="楷体" w:hint="eastAsia"/>
          <w:szCs w:val="21"/>
        </w:rPr>
        <w:t>，较</w:t>
      </w:r>
      <w:r w:rsidRPr="001E77A4">
        <w:rPr>
          <w:rFonts w:ascii="楷体" w:eastAsia="楷体" w:hAnsi="楷体"/>
          <w:szCs w:val="21"/>
        </w:rPr>
        <w:t>10</w:t>
      </w:r>
      <w:r w:rsidRPr="001E77A4">
        <w:rPr>
          <w:rFonts w:ascii="楷体" w:eastAsia="楷体" w:hAnsi="楷体" w:hint="eastAsia"/>
          <w:szCs w:val="21"/>
        </w:rPr>
        <w:t>月回落</w:t>
      </w:r>
      <w:r w:rsidRPr="001E77A4">
        <w:rPr>
          <w:rFonts w:ascii="楷体" w:eastAsia="楷体" w:hAnsi="楷体"/>
          <w:szCs w:val="21"/>
        </w:rPr>
        <w:t>0.5</w:t>
      </w:r>
      <w:r>
        <w:rPr>
          <w:rFonts w:ascii="楷体" w:eastAsia="楷体" w:hAnsi="楷体"/>
          <w:szCs w:val="21"/>
        </w:rPr>
        <w:t>%</w:t>
      </w:r>
      <w:r>
        <w:rPr>
          <w:rFonts w:ascii="楷体" w:eastAsia="楷体" w:hAnsi="楷体" w:hint="eastAsia"/>
          <w:szCs w:val="21"/>
        </w:rPr>
        <w:t>；</w:t>
      </w:r>
      <w:r w:rsidRPr="001E77A4">
        <w:rPr>
          <w:rFonts w:ascii="楷体" w:eastAsia="楷体" w:hAnsi="楷体" w:hint="eastAsia"/>
          <w:szCs w:val="21"/>
        </w:rPr>
        <w:t>分类指数中，生产指数为</w:t>
      </w:r>
      <w:r w:rsidRPr="001E77A4">
        <w:rPr>
          <w:rFonts w:ascii="楷体" w:eastAsia="楷体" w:hAnsi="楷体"/>
          <w:szCs w:val="21"/>
        </w:rPr>
        <w:t>52.5%</w:t>
      </w:r>
      <w:r w:rsidRPr="001E77A4">
        <w:rPr>
          <w:rFonts w:ascii="楷体" w:eastAsia="楷体" w:hAnsi="楷体" w:hint="eastAsia"/>
          <w:szCs w:val="21"/>
        </w:rPr>
        <w:t>，较</w:t>
      </w:r>
      <w:r w:rsidRPr="001E77A4">
        <w:rPr>
          <w:rFonts w:ascii="楷体" w:eastAsia="楷体" w:hAnsi="楷体"/>
          <w:szCs w:val="21"/>
        </w:rPr>
        <w:t>10</w:t>
      </w:r>
      <w:r w:rsidRPr="001E77A4">
        <w:rPr>
          <w:rFonts w:ascii="楷体" w:eastAsia="楷体" w:hAnsi="楷体" w:hint="eastAsia"/>
          <w:szCs w:val="21"/>
        </w:rPr>
        <w:t>月低</w:t>
      </w:r>
      <w:r w:rsidRPr="001E77A4">
        <w:rPr>
          <w:rFonts w:ascii="楷体" w:eastAsia="楷体" w:hAnsi="楷体"/>
          <w:szCs w:val="21"/>
        </w:rPr>
        <w:t>0.6</w:t>
      </w:r>
      <w:r w:rsidRPr="001E77A4">
        <w:rPr>
          <w:rFonts w:ascii="楷体" w:eastAsia="楷体" w:hAnsi="楷体" w:hint="eastAsia"/>
          <w:szCs w:val="21"/>
        </w:rPr>
        <w:t>个百分点，新订单指数为</w:t>
      </w:r>
      <w:r w:rsidRPr="001E77A4">
        <w:rPr>
          <w:rFonts w:ascii="楷体" w:eastAsia="楷体" w:hAnsi="楷体"/>
          <w:szCs w:val="21"/>
        </w:rPr>
        <w:t>50.9%</w:t>
      </w:r>
      <w:r w:rsidRPr="001E77A4">
        <w:rPr>
          <w:rFonts w:ascii="楷体" w:eastAsia="楷体" w:hAnsi="楷体" w:hint="eastAsia"/>
          <w:szCs w:val="21"/>
        </w:rPr>
        <w:t>，较</w:t>
      </w:r>
      <w:r w:rsidRPr="001E77A4">
        <w:rPr>
          <w:rFonts w:ascii="楷体" w:eastAsia="楷体" w:hAnsi="楷体"/>
          <w:szCs w:val="21"/>
        </w:rPr>
        <w:t>10</w:t>
      </w:r>
      <w:r w:rsidRPr="001E77A4">
        <w:rPr>
          <w:rFonts w:ascii="楷体" w:eastAsia="楷体" w:hAnsi="楷体" w:hint="eastAsia"/>
          <w:szCs w:val="21"/>
        </w:rPr>
        <w:t>月低</w:t>
      </w:r>
      <w:r w:rsidRPr="001E77A4">
        <w:rPr>
          <w:rFonts w:ascii="楷体" w:eastAsia="楷体" w:hAnsi="楷体"/>
          <w:szCs w:val="21"/>
        </w:rPr>
        <w:t>0.7</w:t>
      </w:r>
      <w:r w:rsidRPr="001E77A4">
        <w:rPr>
          <w:rFonts w:ascii="楷体" w:eastAsia="楷体" w:hAnsi="楷体" w:hint="eastAsia"/>
          <w:szCs w:val="21"/>
        </w:rPr>
        <w:t>个百分点。经济结构调整使得部分产能过剩的行业减缓了生产速度，但我国当前经济增长动能依旧偏弱，稳增长政策短时间内无法扭转该局面</w:t>
      </w:r>
      <w:r w:rsidRPr="00A932D6">
        <w:rPr>
          <w:rFonts w:ascii="楷体" w:eastAsia="楷体" w:hAnsi="楷体" w:hint="eastAsia"/>
          <w:szCs w:val="21"/>
        </w:rPr>
        <w:t>。</w:t>
      </w:r>
    </w:p>
    <w:p w:rsidR="00CD1FCC" w:rsidRPr="00A932D6" w:rsidRDefault="00CD1FCC" w:rsidP="005A3FE7">
      <w:pPr>
        <w:pStyle w:val="BodyText"/>
        <w:numPr>
          <w:ilvl w:val="4"/>
          <w:numId w:val="1"/>
        </w:numPr>
        <w:spacing w:after="163"/>
        <w:rPr>
          <w:rFonts w:ascii="楷体" w:eastAsia="楷体" w:hAnsi="楷体" w:cs="宋体"/>
          <w:szCs w:val="21"/>
        </w:rPr>
      </w:pPr>
      <w:r w:rsidRPr="001E77A4">
        <w:rPr>
          <w:rFonts w:ascii="楷体" w:eastAsia="楷体" w:hAnsi="楷体" w:cs="宋体" w:hint="eastAsia"/>
          <w:szCs w:val="21"/>
        </w:rPr>
        <w:t>海外市场（</w:t>
      </w:r>
      <w:r w:rsidRPr="001E77A4">
        <w:rPr>
          <w:rFonts w:ascii="楷体" w:eastAsia="楷体" w:hAnsi="楷体" w:cs="宋体"/>
          <w:szCs w:val="21"/>
        </w:rPr>
        <w:t>2014.11.28~2014.12.04</w:t>
      </w:r>
      <w:r w:rsidRPr="001E77A4">
        <w:rPr>
          <w:rFonts w:ascii="楷体" w:eastAsia="楷体" w:hAnsi="楷体" w:cs="宋体" w:hint="eastAsia"/>
          <w:szCs w:val="21"/>
        </w:rPr>
        <w:t>），美国劳工部称</w:t>
      </w:r>
      <w:r w:rsidRPr="001E77A4">
        <w:rPr>
          <w:rFonts w:ascii="楷体" w:eastAsia="楷体" w:hAnsi="楷体" w:cs="宋体"/>
          <w:szCs w:val="21"/>
        </w:rPr>
        <w:t>11</w:t>
      </w:r>
      <w:r w:rsidRPr="001E77A4">
        <w:rPr>
          <w:rFonts w:ascii="楷体" w:eastAsia="楷体" w:hAnsi="楷体" w:cs="宋体" w:hint="eastAsia"/>
          <w:szCs w:val="21"/>
        </w:rPr>
        <w:t>月份非农就业人数增加</w:t>
      </w:r>
      <w:r w:rsidRPr="001E77A4">
        <w:rPr>
          <w:rFonts w:ascii="楷体" w:eastAsia="楷体" w:hAnsi="楷体" w:cs="宋体"/>
          <w:szCs w:val="21"/>
        </w:rPr>
        <w:t>32.1</w:t>
      </w:r>
      <w:r w:rsidRPr="001E77A4">
        <w:rPr>
          <w:rFonts w:ascii="楷体" w:eastAsia="楷体" w:hAnsi="楷体" w:cs="宋体" w:hint="eastAsia"/>
          <w:szCs w:val="21"/>
        </w:rPr>
        <w:t>万人，为</w:t>
      </w:r>
      <w:r w:rsidRPr="001E77A4">
        <w:rPr>
          <w:rFonts w:ascii="楷体" w:eastAsia="楷体" w:hAnsi="楷体" w:cs="宋体"/>
          <w:szCs w:val="21"/>
        </w:rPr>
        <w:t>2012</w:t>
      </w:r>
      <w:r w:rsidRPr="001E77A4">
        <w:rPr>
          <w:rFonts w:ascii="楷体" w:eastAsia="楷体" w:hAnsi="楷体" w:cs="宋体" w:hint="eastAsia"/>
          <w:szCs w:val="21"/>
        </w:rPr>
        <w:t>年</w:t>
      </w:r>
      <w:r w:rsidRPr="001E77A4">
        <w:rPr>
          <w:rFonts w:ascii="楷体" w:eastAsia="楷体" w:hAnsi="楷体" w:cs="宋体"/>
          <w:szCs w:val="21"/>
        </w:rPr>
        <w:t>1</w:t>
      </w:r>
      <w:r w:rsidRPr="001E77A4">
        <w:rPr>
          <w:rFonts w:ascii="楷体" w:eastAsia="楷体" w:hAnsi="楷体" w:cs="宋体" w:hint="eastAsia"/>
          <w:szCs w:val="21"/>
        </w:rPr>
        <w:t>月份以来的最大增幅，而失业率仍然保持在</w:t>
      </w:r>
      <w:r w:rsidRPr="001E77A4">
        <w:rPr>
          <w:rFonts w:ascii="楷体" w:eastAsia="楷体" w:hAnsi="楷体" w:cs="宋体"/>
          <w:szCs w:val="21"/>
        </w:rPr>
        <w:t>5.8%</w:t>
      </w:r>
      <w:r>
        <w:rPr>
          <w:rFonts w:ascii="楷体" w:eastAsia="楷体" w:hAnsi="楷体" w:cs="宋体" w:hint="eastAsia"/>
          <w:szCs w:val="21"/>
        </w:rPr>
        <w:t>，此外</w:t>
      </w:r>
      <w:r w:rsidRPr="001E77A4">
        <w:rPr>
          <w:rFonts w:ascii="楷体" w:eastAsia="楷体" w:hAnsi="楷体" w:cs="宋体" w:hint="eastAsia"/>
          <w:szCs w:val="21"/>
        </w:rPr>
        <w:t>美国</w:t>
      </w:r>
      <w:r w:rsidRPr="001E77A4">
        <w:rPr>
          <w:rFonts w:ascii="楷体" w:eastAsia="楷体" w:hAnsi="楷体" w:cs="宋体"/>
          <w:szCs w:val="21"/>
        </w:rPr>
        <w:t>10</w:t>
      </w:r>
      <w:r w:rsidRPr="001E77A4">
        <w:rPr>
          <w:rFonts w:ascii="楷体" w:eastAsia="楷体" w:hAnsi="楷体" w:cs="宋体" w:hint="eastAsia"/>
          <w:szCs w:val="21"/>
        </w:rPr>
        <w:t>月贸易赤字下降</w:t>
      </w:r>
      <w:r w:rsidRPr="001E77A4">
        <w:rPr>
          <w:rFonts w:ascii="楷体" w:eastAsia="楷体" w:hAnsi="楷体" w:cs="宋体"/>
          <w:szCs w:val="21"/>
        </w:rPr>
        <w:t>0.4%</w:t>
      </w:r>
      <w:r w:rsidRPr="001E77A4">
        <w:rPr>
          <w:rFonts w:ascii="楷体" w:eastAsia="楷体" w:hAnsi="楷体" w:cs="宋体" w:hint="eastAsia"/>
          <w:szCs w:val="21"/>
        </w:rPr>
        <w:t>，总数下降至</w:t>
      </w:r>
      <w:r w:rsidRPr="001E77A4">
        <w:rPr>
          <w:rFonts w:ascii="楷体" w:eastAsia="楷体" w:hAnsi="楷体" w:cs="宋体"/>
          <w:szCs w:val="21"/>
        </w:rPr>
        <w:t>434</w:t>
      </w:r>
      <w:r w:rsidRPr="001E77A4">
        <w:rPr>
          <w:rFonts w:ascii="楷体" w:eastAsia="楷体" w:hAnsi="楷体" w:cs="宋体" w:hint="eastAsia"/>
          <w:szCs w:val="21"/>
        </w:rPr>
        <w:t>亿美元。股市方面，道琼斯工业指数周涨</w:t>
      </w:r>
      <w:r w:rsidRPr="001E77A4">
        <w:rPr>
          <w:rFonts w:ascii="楷体" w:eastAsia="楷体" w:hAnsi="楷体" w:cs="宋体"/>
          <w:szCs w:val="21"/>
        </w:rPr>
        <w:t>0.41%</w:t>
      </w:r>
      <w:r w:rsidRPr="001E77A4">
        <w:rPr>
          <w:rFonts w:ascii="楷体" w:eastAsia="楷体" w:hAnsi="楷体" w:cs="宋体" w:hint="eastAsia"/>
          <w:szCs w:val="21"/>
        </w:rPr>
        <w:t>，纳斯达克</w:t>
      </w:r>
      <w:r w:rsidRPr="001E77A4">
        <w:rPr>
          <w:rFonts w:ascii="楷体" w:eastAsia="楷体" w:hAnsi="楷体" w:cs="宋体"/>
          <w:szCs w:val="21"/>
        </w:rPr>
        <w:t>100</w:t>
      </w:r>
      <w:r w:rsidRPr="001E77A4">
        <w:rPr>
          <w:rFonts w:ascii="楷体" w:eastAsia="楷体" w:hAnsi="楷体" w:cs="宋体" w:hint="eastAsia"/>
          <w:szCs w:val="21"/>
        </w:rPr>
        <w:t>和标普</w:t>
      </w:r>
      <w:r w:rsidRPr="001E77A4">
        <w:rPr>
          <w:rFonts w:ascii="楷体" w:eastAsia="楷体" w:hAnsi="楷体" w:cs="宋体"/>
          <w:szCs w:val="21"/>
        </w:rPr>
        <w:t>500</w:t>
      </w:r>
      <w:r w:rsidRPr="001E77A4">
        <w:rPr>
          <w:rFonts w:ascii="楷体" w:eastAsia="楷体" w:hAnsi="楷体" w:cs="宋体" w:hint="eastAsia"/>
          <w:szCs w:val="21"/>
        </w:rPr>
        <w:t>分别周跌</w:t>
      </w:r>
      <w:r w:rsidRPr="001E77A4">
        <w:rPr>
          <w:rFonts w:ascii="楷体" w:eastAsia="楷体" w:hAnsi="楷体" w:cs="宋体"/>
          <w:szCs w:val="21"/>
        </w:rPr>
        <w:t>0.14%</w:t>
      </w:r>
      <w:r w:rsidRPr="001E77A4">
        <w:rPr>
          <w:rFonts w:ascii="楷体" w:eastAsia="楷体" w:hAnsi="楷体" w:cs="宋体" w:hint="eastAsia"/>
          <w:szCs w:val="21"/>
        </w:rPr>
        <w:t>和</w:t>
      </w:r>
      <w:r w:rsidRPr="001E77A4">
        <w:rPr>
          <w:rFonts w:ascii="楷体" w:eastAsia="楷体" w:hAnsi="楷体" w:cs="宋体"/>
          <w:szCs w:val="21"/>
        </w:rPr>
        <w:t>0.04%</w:t>
      </w:r>
      <w:r w:rsidRPr="001E77A4">
        <w:rPr>
          <w:rFonts w:ascii="楷体" w:eastAsia="楷体" w:hAnsi="楷体" w:cs="宋体" w:hint="eastAsia"/>
          <w:szCs w:val="21"/>
        </w:rPr>
        <w:t>。欧洲央行行长德拉吉暗示欧洲央行可能会在明年</w:t>
      </w:r>
      <w:r w:rsidRPr="001E77A4">
        <w:rPr>
          <w:rFonts w:ascii="楷体" w:eastAsia="楷体" w:hAnsi="楷体" w:cs="宋体"/>
          <w:szCs w:val="21"/>
        </w:rPr>
        <w:t>1</w:t>
      </w:r>
      <w:r w:rsidRPr="001E77A4">
        <w:rPr>
          <w:rFonts w:ascii="楷体" w:eastAsia="楷体" w:hAnsi="楷体" w:cs="宋体" w:hint="eastAsia"/>
          <w:szCs w:val="21"/>
        </w:rPr>
        <w:t>月份推出大规模量化宽松计划</w:t>
      </w:r>
      <w:r w:rsidRPr="001E77A4">
        <w:rPr>
          <w:rFonts w:ascii="楷体" w:eastAsia="楷体" w:hAnsi="楷体" w:cs="宋体"/>
          <w:szCs w:val="21"/>
        </w:rPr>
        <w:t xml:space="preserve"> </w:t>
      </w:r>
      <w:r w:rsidRPr="001E77A4">
        <w:rPr>
          <w:rFonts w:ascii="楷体" w:eastAsia="楷体" w:hAnsi="楷体" w:cs="宋体" w:hint="eastAsia"/>
          <w:szCs w:val="21"/>
        </w:rPr>
        <w:t>。港股表现逊色，恒生指数周跌</w:t>
      </w:r>
      <w:r w:rsidRPr="001E77A4">
        <w:rPr>
          <w:rFonts w:ascii="楷体" w:eastAsia="楷体" w:hAnsi="楷体" w:cs="宋体"/>
          <w:szCs w:val="21"/>
        </w:rPr>
        <w:t>0.72%</w:t>
      </w:r>
      <w:r w:rsidRPr="00A932D6">
        <w:rPr>
          <w:rFonts w:ascii="楷体" w:eastAsia="楷体" w:hAnsi="楷体" w:cs="宋体" w:hint="eastAsia"/>
          <w:szCs w:val="21"/>
        </w:rPr>
        <w:t>。</w:t>
      </w:r>
    </w:p>
    <w:tbl>
      <w:tblPr>
        <w:tblW w:w="10773" w:type="dxa"/>
        <w:tblLayout w:type="fixed"/>
        <w:tblCellMar>
          <w:left w:w="0" w:type="dxa"/>
          <w:right w:w="0" w:type="dxa"/>
        </w:tblCellMar>
        <w:tblLook w:val="0000"/>
      </w:tblPr>
      <w:tblGrid>
        <w:gridCol w:w="5245"/>
        <w:gridCol w:w="284"/>
        <w:gridCol w:w="5244"/>
      </w:tblGrid>
      <w:tr w:rsidR="00CD1FCC" w:rsidRPr="00453191" w:rsidTr="007E0343">
        <w:trPr>
          <w:cantSplit/>
          <w:trHeight w:val="124"/>
        </w:trPr>
        <w:tc>
          <w:tcPr>
            <w:tcW w:w="5245" w:type="dxa"/>
            <w:tcBorders>
              <w:top w:val="single" w:sz="6" w:space="0" w:color="FF6600"/>
              <w:bottom w:val="single" w:sz="6" w:space="0" w:color="FF6600"/>
            </w:tcBorders>
            <w:vAlign w:val="center"/>
          </w:tcPr>
          <w:p w:rsidR="00CD1FCC" w:rsidRPr="00057142" w:rsidRDefault="00CD1FCC" w:rsidP="00D7627F">
            <w:pPr>
              <w:pStyle w:val="SubTitleLargeTable"/>
              <w:pBdr>
                <w:top w:val="none" w:sz="0" w:space="0" w:color="auto"/>
              </w:pBdr>
              <w:rPr>
                <w:rFonts w:ascii="楷体" w:eastAsia="楷体" w:hAnsi="楷体"/>
                <w:color w:val="FF6600"/>
              </w:rPr>
            </w:pPr>
            <w:r w:rsidRPr="005B7CDB">
              <w:rPr>
                <w:rFonts w:ascii="楷体" w:eastAsia="楷体" w:hAnsi="楷体" w:hint="eastAsia"/>
                <w:color w:val="FF6600"/>
              </w:rPr>
              <w:t>图表</w:t>
            </w:r>
            <w:r w:rsidRPr="005B7CDB">
              <w:rPr>
                <w:rFonts w:ascii="楷体" w:eastAsia="楷体" w:hAnsi="楷体"/>
                <w:color w:val="FF6600"/>
              </w:rPr>
              <w:t>2</w:t>
            </w:r>
            <w:r w:rsidRPr="005B7CDB">
              <w:rPr>
                <w:rFonts w:ascii="楷体" w:eastAsia="楷体" w:hAnsi="楷体" w:hint="eastAsia"/>
                <w:color w:val="FF6600"/>
              </w:rPr>
              <w:t>：各类指数周涨跌</w:t>
            </w:r>
            <w:r>
              <w:rPr>
                <w:rFonts w:ascii="楷体" w:eastAsia="楷体" w:hAnsi="楷体"/>
                <w:color w:val="FF6600"/>
              </w:rPr>
              <w:t>(12.01~05</w:t>
            </w:r>
            <w:r w:rsidRPr="00057142">
              <w:rPr>
                <w:rFonts w:ascii="楷体" w:eastAsia="楷体" w:hAnsi="楷体" w:hint="eastAsia"/>
                <w:color w:val="FF6600"/>
              </w:rPr>
              <w:t>，海外指数</w:t>
            </w:r>
            <w:r>
              <w:rPr>
                <w:rFonts w:ascii="楷体" w:eastAsia="楷体" w:hAnsi="楷体"/>
                <w:color w:val="FF6600"/>
              </w:rPr>
              <w:t>11.28</w:t>
            </w:r>
            <w:r w:rsidRPr="00057142">
              <w:rPr>
                <w:rFonts w:ascii="楷体" w:eastAsia="楷体" w:hAnsi="楷体"/>
                <w:color w:val="FF6600"/>
              </w:rPr>
              <w:t>~</w:t>
            </w:r>
            <w:r>
              <w:rPr>
                <w:rFonts w:ascii="楷体" w:eastAsia="楷体" w:hAnsi="楷体"/>
                <w:color w:val="FF6600"/>
              </w:rPr>
              <w:t>12.4)</w:t>
            </w:r>
          </w:p>
        </w:tc>
        <w:tc>
          <w:tcPr>
            <w:tcW w:w="284" w:type="dxa"/>
            <w:vAlign w:val="center"/>
          </w:tcPr>
          <w:p w:rsidR="00CD1FCC" w:rsidRPr="00453191" w:rsidRDefault="00CD1FCC" w:rsidP="003B1409">
            <w:pPr>
              <w:jc w:val="center"/>
              <w:rPr>
                <w:rFonts w:ascii="楷体" w:eastAsia="楷体" w:hAnsi="楷体"/>
                <w:lang w:val="en-GB"/>
              </w:rPr>
            </w:pPr>
          </w:p>
        </w:tc>
        <w:tc>
          <w:tcPr>
            <w:tcW w:w="5244" w:type="dxa"/>
            <w:tcBorders>
              <w:top w:val="single" w:sz="6" w:space="0" w:color="FF6600"/>
              <w:bottom w:val="single" w:sz="6" w:space="0" w:color="FF6600"/>
            </w:tcBorders>
            <w:vAlign w:val="center"/>
          </w:tcPr>
          <w:p w:rsidR="00CD1FCC" w:rsidRPr="005B7CDB" w:rsidRDefault="00CD1FCC" w:rsidP="007B1899">
            <w:pPr>
              <w:pStyle w:val="SubTitleLargeTable"/>
              <w:pBdr>
                <w:top w:val="none" w:sz="0" w:space="0" w:color="auto"/>
              </w:pBdr>
              <w:rPr>
                <w:rFonts w:ascii="楷体" w:eastAsia="楷体" w:hAnsi="楷体"/>
              </w:rPr>
            </w:pPr>
            <w:r w:rsidRPr="005B7CDB">
              <w:rPr>
                <w:rFonts w:ascii="楷体" w:eastAsia="楷体" w:hAnsi="楷体" w:hint="eastAsia"/>
                <w:color w:val="FF6600"/>
              </w:rPr>
              <w:t>图表</w:t>
            </w:r>
            <w:r w:rsidRPr="005B7CDB">
              <w:rPr>
                <w:rFonts w:ascii="楷体" w:eastAsia="楷体" w:hAnsi="楷体"/>
                <w:color w:val="FF6600"/>
              </w:rPr>
              <w:t>3</w:t>
            </w:r>
            <w:r w:rsidRPr="005B7CDB">
              <w:rPr>
                <w:rFonts w:ascii="楷体" w:eastAsia="楷体" w:hAnsi="楷体" w:hint="eastAsia"/>
                <w:color w:val="FF6600"/>
              </w:rPr>
              <w:t>：中信一级行业板块周涨跌（</w:t>
            </w:r>
            <w:r>
              <w:rPr>
                <w:rFonts w:ascii="楷体" w:eastAsia="楷体" w:hAnsi="楷体"/>
                <w:color w:val="FF6600"/>
              </w:rPr>
              <w:t>12.01~05</w:t>
            </w:r>
            <w:r w:rsidRPr="005B7CDB">
              <w:rPr>
                <w:rFonts w:ascii="楷体" w:eastAsia="楷体" w:hAnsi="楷体" w:hint="eastAsia"/>
                <w:color w:val="FF6600"/>
              </w:rPr>
              <w:t>）</w:t>
            </w:r>
          </w:p>
        </w:tc>
      </w:tr>
      <w:tr w:rsidR="00CD1FCC" w:rsidRPr="00453191" w:rsidTr="007E0343">
        <w:trPr>
          <w:cantSplit/>
          <w:trHeight w:val="2238"/>
        </w:trPr>
        <w:tc>
          <w:tcPr>
            <w:tcW w:w="5245" w:type="dxa"/>
            <w:tcBorders>
              <w:top w:val="single" w:sz="6" w:space="0" w:color="FF6600"/>
              <w:bottom w:val="single" w:sz="6" w:space="0" w:color="FF6600"/>
            </w:tcBorders>
            <w:vAlign w:val="center"/>
          </w:tcPr>
          <w:p w:rsidR="00CD1FCC" w:rsidRPr="00453191" w:rsidRDefault="00CD1FCC" w:rsidP="003B1409">
            <w:pPr>
              <w:jc w:val="center"/>
              <w:rPr>
                <w:rFonts w:ascii="楷体" w:eastAsia="楷体" w:hAnsi="楷体"/>
              </w:rPr>
            </w:pPr>
            <w:r w:rsidRPr="00453191">
              <w:rPr>
                <w:rFonts w:ascii="楷体" w:eastAsia="楷体" w:hAnsi="楷体"/>
                <w:noProof/>
              </w:rPr>
              <w:pict>
                <v:shape id="图片 2" o:spid="_x0000_i1046" type="#_x0000_t75" style="width:262.5pt;height:162.75pt;visibility:visible">
                  <v:imagedata r:id="rId9" o:title=""/>
                </v:shape>
              </w:pict>
            </w:r>
          </w:p>
        </w:tc>
        <w:tc>
          <w:tcPr>
            <w:tcW w:w="284" w:type="dxa"/>
            <w:vAlign w:val="center"/>
          </w:tcPr>
          <w:p w:rsidR="00CD1FCC" w:rsidRPr="00453191" w:rsidRDefault="00CD1FCC" w:rsidP="003B1409">
            <w:pPr>
              <w:jc w:val="center"/>
              <w:rPr>
                <w:rFonts w:ascii="楷体" w:eastAsia="楷体" w:hAnsi="楷体"/>
              </w:rPr>
            </w:pPr>
          </w:p>
        </w:tc>
        <w:tc>
          <w:tcPr>
            <w:tcW w:w="5244" w:type="dxa"/>
            <w:tcBorders>
              <w:top w:val="single" w:sz="6" w:space="0" w:color="FF6600"/>
              <w:bottom w:val="single" w:sz="6" w:space="0" w:color="FF6600"/>
            </w:tcBorders>
            <w:vAlign w:val="center"/>
          </w:tcPr>
          <w:p w:rsidR="00CD1FCC" w:rsidRPr="00453191" w:rsidRDefault="00CD1FCC" w:rsidP="003B1409">
            <w:pPr>
              <w:jc w:val="center"/>
              <w:rPr>
                <w:rFonts w:ascii="楷体" w:eastAsia="楷体" w:hAnsi="楷体"/>
              </w:rPr>
            </w:pPr>
            <w:r w:rsidRPr="00453191">
              <w:rPr>
                <w:rFonts w:ascii="楷体" w:eastAsia="楷体" w:hAnsi="楷体"/>
                <w:noProof/>
              </w:rPr>
              <w:pict>
                <v:shape id="图片 1" o:spid="_x0000_i1047" type="#_x0000_t75" style="width:261pt;height:165pt;visibility:visible">
                  <v:imagedata r:id="rId10" o:title=""/>
                </v:shape>
              </w:pict>
            </w:r>
          </w:p>
        </w:tc>
      </w:tr>
    </w:tbl>
    <w:p w:rsidR="00CD1FCC" w:rsidRPr="005B7CDB" w:rsidRDefault="00CD1FCC" w:rsidP="00BD0930">
      <w:pPr>
        <w:pStyle w:val="FootnoteNoline"/>
        <w:ind w:left="0"/>
        <w:jc w:val="left"/>
        <w:rPr>
          <w:rFonts w:ascii="楷体" w:eastAsia="楷体" w:hAnsi="楷体"/>
        </w:rPr>
      </w:pPr>
      <w:r w:rsidRPr="005B7CDB">
        <w:rPr>
          <w:rFonts w:ascii="楷体" w:eastAsia="楷体" w:hAnsi="楷体" w:hint="eastAsia"/>
          <w:color w:val="FF6600"/>
        </w:rPr>
        <w:t>来源：凯石财富工场</w:t>
      </w:r>
      <w:r w:rsidRPr="005B7CDB">
        <w:rPr>
          <w:rFonts w:ascii="楷体" w:eastAsia="楷体" w:hAnsi="楷体"/>
        </w:rPr>
        <w:t xml:space="preserve"> </w:t>
      </w:r>
    </w:p>
    <w:p w:rsidR="00CD1FCC" w:rsidRPr="00A01ECE" w:rsidRDefault="00CD1FCC" w:rsidP="00A01ECE">
      <w:pPr>
        <w:widowControl/>
        <w:spacing w:after="120"/>
        <w:ind w:left="3430"/>
        <w:rPr>
          <w:rFonts w:ascii="Arial" w:eastAsia="楷体" w:hAnsi="Arial" w:cs="Arial"/>
          <w:b/>
          <w:bCs/>
          <w:color w:val="0070C0"/>
          <w:kern w:val="0"/>
          <w:szCs w:val="21"/>
          <w:lang w:val="en-GB"/>
        </w:rPr>
      </w:pPr>
      <w:r w:rsidRPr="00E15464">
        <w:rPr>
          <w:rFonts w:ascii="Arial" w:eastAsia="楷体" w:hAnsi="楷体" w:cs="Arial" w:hint="eastAsia"/>
          <w:b/>
          <w:bCs/>
          <w:color w:val="0070C0"/>
          <w:kern w:val="0"/>
          <w:szCs w:val="21"/>
          <w:lang w:val="en-GB"/>
        </w:rPr>
        <w:t>各类型公募基金一周业绩：</w:t>
      </w:r>
      <w:r w:rsidRPr="00A01ECE">
        <w:rPr>
          <w:rFonts w:ascii="Arial" w:eastAsia="楷体" w:hAnsi="Arial" w:cs="Arial"/>
          <w:b/>
          <w:bCs/>
          <w:color w:val="0070C0"/>
          <w:kern w:val="0"/>
          <w:szCs w:val="21"/>
          <w:lang w:val="en-GB"/>
        </w:rPr>
        <w:t xml:space="preserve"> </w:t>
      </w:r>
      <w:r>
        <w:rPr>
          <w:rFonts w:ascii="Arial" w:eastAsia="楷体" w:hAnsi="Arial" w:cs="Arial" w:hint="eastAsia"/>
          <w:b/>
          <w:bCs/>
          <w:color w:val="0070C0"/>
          <w:kern w:val="0"/>
          <w:szCs w:val="21"/>
          <w:lang w:val="en-GB"/>
        </w:rPr>
        <w:t>权益类基金领涨，固收类基金涨幅缩水</w:t>
      </w:r>
    </w:p>
    <w:p w:rsidR="00CD1FCC" w:rsidRPr="009C46D3" w:rsidRDefault="00CD1FCC" w:rsidP="00120197">
      <w:pPr>
        <w:pStyle w:val="BodyText"/>
        <w:numPr>
          <w:ilvl w:val="4"/>
          <w:numId w:val="1"/>
        </w:numPr>
        <w:spacing w:after="163"/>
        <w:rPr>
          <w:rFonts w:ascii="楷体" w:eastAsia="楷体" w:hAnsi="楷体" w:cs="Arial"/>
          <w:szCs w:val="21"/>
        </w:rPr>
      </w:pPr>
      <w:r w:rsidRPr="00AB7143">
        <w:rPr>
          <w:rFonts w:ascii="楷体" w:eastAsia="楷体" w:hAnsi="楷体" w:cs="Arial" w:hint="eastAsia"/>
          <w:szCs w:val="21"/>
        </w:rPr>
        <w:t>上周（</w:t>
      </w:r>
      <w:r w:rsidRPr="00AB7143">
        <w:rPr>
          <w:rFonts w:ascii="楷体" w:eastAsia="楷体" w:hAnsi="楷体" w:cs="Arial"/>
          <w:szCs w:val="21"/>
        </w:rPr>
        <w:t>2014.12.01~2014.12.05</w:t>
      </w:r>
      <w:r>
        <w:rPr>
          <w:rFonts w:ascii="楷体" w:eastAsia="楷体" w:hAnsi="楷体" w:cs="Arial" w:hint="eastAsia"/>
          <w:szCs w:val="21"/>
        </w:rPr>
        <w:t>），金融股依引领股指上扬，部分中小盘股持平</w:t>
      </w:r>
      <w:r w:rsidRPr="00AB7143">
        <w:rPr>
          <w:rFonts w:ascii="楷体" w:eastAsia="楷体" w:hAnsi="楷体" w:cs="Arial" w:hint="eastAsia"/>
          <w:szCs w:val="21"/>
        </w:rPr>
        <w:t>或下跌。分类来看，股基涨幅较大，</w:t>
      </w:r>
      <w:r>
        <w:rPr>
          <w:rFonts w:ascii="楷体" w:eastAsia="楷体" w:hAnsi="楷体" w:cs="Arial" w:hint="eastAsia"/>
          <w:szCs w:val="21"/>
        </w:rPr>
        <w:t>其中</w:t>
      </w:r>
      <w:r w:rsidRPr="00AB7143">
        <w:rPr>
          <w:rFonts w:ascii="楷体" w:eastAsia="楷体" w:hAnsi="楷体" w:cs="Arial" w:hint="eastAsia"/>
          <w:szCs w:val="21"/>
        </w:rPr>
        <w:t>指数型平均收益率约为主动型</w:t>
      </w:r>
      <w:r>
        <w:rPr>
          <w:rFonts w:ascii="楷体" w:eastAsia="楷体" w:hAnsi="楷体" w:cs="Arial" w:hint="eastAsia"/>
          <w:szCs w:val="21"/>
        </w:rPr>
        <w:t>的</w:t>
      </w:r>
      <w:r w:rsidRPr="00AB7143">
        <w:rPr>
          <w:rFonts w:ascii="楷体" w:eastAsia="楷体" w:hAnsi="楷体" w:cs="Arial"/>
          <w:szCs w:val="21"/>
        </w:rPr>
        <w:t>2</w:t>
      </w:r>
      <w:r w:rsidRPr="00AB7143">
        <w:rPr>
          <w:rFonts w:ascii="楷体" w:eastAsia="楷体" w:hAnsi="楷体" w:cs="Arial" w:hint="eastAsia"/>
          <w:szCs w:val="21"/>
        </w:rPr>
        <w:t>倍；</w:t>
      </w:r>
      <w:r>
        <w:rPr>
          <w:rFonts w:ascii="楷体" w:eastAsia="楷体" w:hAnsi="楷体" w:cs="Arial" w:hint="eastAsia"/>
          <w:szCs w:val="21"/>
        </w:rPr>
        <w:t>混合型基金中，灵活型业绩好于偏股型、偏债型；</w:t>
      </w:r>
      <w:r w:rsidRPr="00AB7143">
        <w:rPr>
          <w:rFonts w:ascii="楷体" w:eastAsia="楷体" w:hAnsi="楷体" w:cs="Arial"/>
          <w:szCs w:val="21"/>
        </w:rPr>
        <w:t>QDII</w:t>
      </w:r>
      <w:r>
        <w:rPr>
          <w:rFonts w:ascii="楷体" w:eastAsia="楷体" w:hAnsi="楷体" w:cs="Arial" w:hint="eastAsia"/>
          <w:szCs w:val="21"/>
        </w:rPr>
        <w:t>整体下跌，业绩居前者多为新兴市场基金；债基业绩分化，可转债基涨幅突出，纯债基金下跌；</w:t>
      </w:r>
      <w:r w:rsidRPr="00AB7143">
        <w:rPr>
          <w:rFonts w:ascii="楷体" w:eastAsia="楷体" w:hAnsi="楷体" w:cs="Arial" w:hint="eastAsia"/>
          <w:szCs w:val="21"/>
        </w:rPr>
        <w:t>货币基金七日年化收益率由前周的</w:t>
      </w:r>
      <w:r w:rsidRPr="00AB7143">
        <w:rPr>
          <w:rFonts w:ascii="楷体" w:eastAsia="楷体" w:hAnsi="楷体" w:cs="Arial"/>
          <w:szCs w:val="21"/>
        </w:rPr>
        <w:t>4.86%</w:t>
      </w:r>
      <w:r w:rsidRPr="00AB7143">
        <w:rPr>
          <w:rFonts w:ascii="楷体" w:eastAsia="楷体" w:hAnsi="楷体" w:cs="Arial" w:hint="eastAsia"/>
          <w:szCs w:val="21"/>
        </w:rPr>
        <w:t>降至</w:t>
      </w:r>
      <w:r w:rsidRPr="00AB7143">
        <w:rPr>
          <w:rFonts w:ascii="楷体" w:eastAsia="楷体" w:hAnsi="楷体" w:cs="Arial"/>
          <w:szCs w:val="21"/>
        </w:rPr>
        <w:t>4.11%</w:t>
      </w:r>
      <w:r w:rsidRPr="009C46D3">
        <w:rPr>
          <w:rFonts w:ascii="楷体" w:eastAsia="楷体" w:hAnsi="楷体" w:cs="Arial" w:hint="eastAsia"/>
          <w:szCs w:val="21"/>
        </w:rPr>
        <w:t>。</w:t>
      </w:r>
    </w:p>
    <w:tbl>
      <w:tblPr>
        <w:tblW w:w="10772" w:type="dxa"/>
        <w:tblBorders>
          <w:top w:val="single" w:sz="6" w:space="0" w:color="FF6600"/>
          <w:bottom w:val="single" w:sz="6" w:space="0" w:color="FF6600"/>
          <w:insideH w:val="single" w:sz="6" w:space="0" w:color="FF66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993"/>
        <w:gridCol w:w="1400"/>
        <w:gridCol w:w="1197"/>
        <w:gridCol w:w="946"/>
        <w:gridCol w:w="1448"/>
        <w:gridCol w:w="1197"/>
        <w:gridCol w:w="1041"/>
        <w:gridCol w:w="1353"/>
        <w:gridCol w:w="1197"/>
      </w:tblGrid>
      <w:tr w:rsidR="00CD1FCC" w:rsidRPr="00453191" w:rsidTr="00D7627F">
        <w:trPr>
          <w:trHeight w:val="335"/>
          <w:tblHeader/>
        </w:trPr>
        <w:tc>
          <w:tcPr>
            <w:tcW w:w="10772" w:type="dxa"/>
            <w:gridSpan w:val="9"/>
            <w:vAlign w:val="center"/>
          </w:tcPr>
          <w:p w:rsidR="00CD1FCC" w:rsidRPr="005B7CDB" w:rsidRDefault="00CD1FCC" w:rsidP="00894F78">
            <w:pPr>
              <w:pStyle w:val="SubTitleLargeTable"/>
              <w:pBdr>
                <w:top w:val="none" w:sz="0" w:space="0" w:color="auto"/>
              </w:pBdr>
              <w:rPr>
                <w:rFonts w:ascii="楷体" w:eastAsia="楷体" w:hAnsi="楷体"/>
                <w:b w:val="0"/>
              </w:rPr>
            </w:pPr>
            <w:r w:rsidRPr="005B7CDB">
              <w:rPr>
                <w:rFonts w:ascii="楷体" w:eastAsia="楷体" w:hAnsi="楷体" w:cs="宋体" w:hint="eastAsia"/>
                <w:color w:val="FF6600"/>
              </w:rPr>
              <w:t>图表</w:t>
            </w:r>
            <w:r w:rsidRPr="005B7CDB">
              <w:rPr>
                <w:rFonts w:ascii="楷体" w:eastAsia="楷体" w:hAnsi="楷体"/>
                <w:color w:val="FF6600"/>
              </w:rPr>
              <w:t>4</w:t>
            </w:r>
            <w:r w:rsidRPr="005B7CDB">
              <w:rPr>
                <w:rFonts w:ascii="楷体" w:eastAsia="楷体" w:hAnsi="楷体" w:cs="宋体" w:hint="eastAsia"/>
                <w:color w:val="FF6600"/>
              </w:rPr>
              <w:t>：各类型公募基金（含封闭式）周平均收益率（</w:t>
            </w:r>
            <w:r>
              <w:rPr>
                <w:rFonts w:ascii="楷体" w:eastAsia="楷体" w:hAnsi="楷体"/>
                <w:color w:val="FF6600"/>
              </w:rPr>
              <w:t>12.01~05</w:t>
            </w:r>
            <w:r w:rsidRPr="005B7CDB">
              <w:rPr>
                <w:rFonts w:ascii="楷体" w:eastAsia="楷体" w:hAnsi="楷体" w:cs="宋体" w:hint="eastAsia"/>
                <w:color w:val="FF6600"/>
              </w:rPr>
              <w:t>，</w:t>
            </w:r>
            <w:r w:rsidRPr="005B7CDB">
              <w:rPr>
                <w:rFonts w:ascii="楷体" w:eastAsia="楷体" w:hAnsi="楷体"/>
                <w:color w:val="FF6600"/>
              </w:rPr>
              <w:t>QDII</w:t>
            </w:r>
            <w:r w:rsidRPr="005B7CDB">
              <w:rPr>
                <w:rFonts w:ascii="楷体" w:eastAsia="楷体" w:hAnsi="楷体" w:hint="eastAsia"/>
                <w:color w:val="FF6600"/>
              </w:rPr>
              <w:t>为</w:t>
            </w:r>
            <w:r>
              <w:rPr>
                <w:rFonts w:ascii="楷体" w:eastAsia="楷体" w:hAnsi="楷体"/>
                <w:color w:val="FF6600"/>
              </w:rPr>
              <w:t>11.28</w:t>
            </w:r>
            <w:r w:rsidRPr="00057142">
              <w:rPr>
                <w:rFonts w:ascii="楷体" w:eastAsia="楷体" w:hAnsi="楷体"/>
                <w:color w:val="FF6600"/>
              </w:rPr>
              <w:t>~</w:t>
            </w:r>
            <w:r>
              <w:rPr>
                <w:rFonts w:ascii="楷体" w:eastAsia="楷体" w:hAnsi="楷体"/>
                <w:color w:val="FF6600"/>
              </w:rPr>
              <w:t>12.04</w:t>
            </w:r>
            <w:r>
              <w:rPr>
                <w:rFonts w:ascii="楷体" w:eastAsia="楷体" w:hAnsi="楷体" w:hint="eastAsia"/>
                <w:color w:val="FF6600"/>
              </w:rPr>
              <w:t>，</w:t>
            </w:r>
            <w:r w:rsidRPr="005B7CDB">
              <w:rPr>
                <w:rFonts w:ascii="楷体" w:eastAsia="楷体" w:hAnsi="楷体" w:hint="eastAsia"/>
                <w:color w:val="FF6600"/>
              </w:rPr>
              <w:t>货币基金为</w:t>
            </w:r>
            <w:r w:rsidRPr="005B7CDB">
              <w:rPr>
                <w:rFonts w:ascii="楷体" w:eastAsia="楷体" w:hAnsi="楷体"/>
                <w:color w:val="FF6600"/>
              </w:rPr>
              <w:t>7</w:t>
            </w:r>
            <w:r w:rsidRPr="005B7CDB">
              <w:rPr>
                <w:rFonts w:ascii="楷体" w:eastAsia="楷体" w:hAnsi="楷体" w:hint="eastAsia"/>
                <w:color w:val="FF6600"/>
              </w:rPr>
              <w:t>日年化收益</w:t>
            </w:r>
            <w:r>
              <w:rPr>
                <w:rFonts w:ascii="楷体" w:eastAsia="楷体" w:hAnsi="楷体" w:hint="eastAsia"/>
                <w:color w:val="FF6600"/>
              </w:rPr>
              <w:t>率</w:t>
            </w:r>
            <w:r w:rsidRPr="005B7CDB">
              <w:rPr>
                <w:rFonts w:ascii="楷体" w:eastAsia="楷体" w:hAnsi="楷体" w:cs="宋体" w:hint="eastAsia"/>
                <w:color w:val="FF6600"/>
              </w:rPr>
              <w:t>）</w:t>
            </w:r>
          </w:p>
        </w:tc>
      </w:tr>
      <w:tr w:rsidR="00CD1FCC" w:rsidRPr="00453191" w:rsidTr="00D7627F">
        <w:trPr>
          <w:trHeight w:val="284"/>
          <w:tblHeader/>
        </w:trPr>
        <w:tc>
          <w:tcPr>
            <w:tcW w:w="2393" w:type="dxa"/>
            <w:gridSpan w:val="2"/>
            <w:tcBorders>
              <w:right w:val="single" w:sz="6" w:space="0" w:color="FF6600"/>
            </w:tcBorders>
            <w:shd w:val="clear" w:color="auto" w:fill="FDE9D9"/>
            <w:vAlign w:val="center"/>
          </w:tcPr>
          <w:p w:rsidR="00CD1FCC" w:rsidRPr="00453191" w:rsidRDefault="00CD1FCC" w:rsidP="009D6B40">
            <w:pPr>
              <w:snapToGrid w:val="0"/>
              <w:jc w:val="center"/>
              <w:rPr>
                <w:rFonts w:ascii="楷体" w:eastAsia="楷体" w:hAnsi="楷体"/>
                <w:b/>
                <w:sz w:val="18"/>
                <w:szCs w:val="18"/>
              </w:rPr>
            </w:pPr>
            <w:r w:rsidRPr="00453191">
              <w:rPr>
                <w:rFonts w:ascii="楷体" w:eastAsia="楷体" w:hAnsi="楷体" w:hint="eastAsia"/>
                <w:b/>
                <w:sz w:val="18"/>
                <w:szCs w:val="18"/>
              </w:rPr>
              <w:t>凯石分类</w:t>
            </w:r>
          </w:p>
        </w:tc>
        <w:tc>
          <w:tcPr>
            <w:tcW w:w="1197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FDE9D9"/>
            <w:vAlign w:val="center"/>
          </w:tcPr>
          <w:p w:rsidR="00CD1FCC" w:rsidRPr="00453191" w:rsidRDefault="00CD1FCC" w:rsidP="009D6B40">
            <w:pPr>
              <w:snapToGrid w:val="0"/>
              <w:jc w:val="center"/>
              <w:rPr>
                <w:rFonts w:ascii="楷体" w:eastAsia="楷体" w:hAnsi="楷体"/>
                <w:b/>
                <w:sz w:val="18"/>
                <w:szCs w:val="18"/>
              </w:rPr>
            </w:pPr>
            <w:r w:rsidRPr="00453191">
              <w:rPr>
                <w:rFonts w:ascii="楷体" w:eastAsia="楷体" w:hAnsi="楷体" w:hint="eastAsia"/>
                <w:b/>
                <w:sz w:val="18"/>
                <w:szCs w:val="18"/>
              </w:rPr>
              <w:t>周收益率</w:t>
            </w:r>
            <w:r w:rsidRPr="00453191">
              <w:rPr>
                <w:rFonts w:ascii="楷体" w:eastAsia="楷体" w:hAnsi="楷体"/>
                <w:b/>
                <w:sz w:val="18"/>
                <w:szCs w:val="18"/>
              </w:rPr>
              <w:t>%</w:t>
            </w:r>
          </w:p>
        </w:tc>
        <w:tc>
          <w:tcPr>
            <w:tcW w:w="2394" w:type="dxa"/>
            <w:gridSpan w:val="2"/>
            <w:tcBorders>
              <w:left w:val="single" w:sz="6" w:space="0" w:color="FF6600"/>
              <w:right w:val="single" w:sz="6" w:space="0" w:color="FF6600"/>
            </w:tcBorders>
            <w:shd w:val="clear" w:color="auto" w:fill="FDE9D9"/>
            <w:vAlign w:val="center"/>
          </w:tcPr>
          <w:p w:rsidR="00CD1FCC" w:rsidRPr="00453191" w:rsidRDefault="00CD1FCC" w:rsidP="009D6B40">
            <w:pPr>
              <w:snapToGrid w:val="0"/>
              <w:jc w:val="center"/>
              <w:rPr>
                <w:rFonts w:ascii="楷体" w:eastAsia="楷体" w:hAnsi="楷体"/>
                <w:b/>
                <w:sz w:val="18"/>
                <w:szCs w:val="18"/>
              </w:rPr>
            </w:pPr>
            <w:r w:rsidRPr="00453191">
              <w:rPr>
                <w:rFonts w:ascii="楷体" w:eastAsia="楷体" w:hAnsi="楷体" w:hint="eastAsia"/>
                <w:b/>
                <w:sz w:val="18"/>
                <w:szCs w:val="18"/>
              </w:rPr>
              <w:t>凯石分类</w:t>
            </w:r>
          </w:p>
        </w:tc>
        <w:tc>
          <w:tcPr>
            <w:tcW w:w="1197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FDE9D9"/>
            <w:vAlign w:val="center"/>
          </w:tcPr>
          <w:p w:rsidR="00CD1FCC" w:rsidRPr="00453191" w:rsidRDefault="00CD1FCC" w:rsidP="009D6B40">
            <w:pPr>
              <w:snapToGrid w:val="0"/>
              <w:jc w:val="center"/>
              <w:rPr>
                <w:rFonts w:ascii="楷体" w:eastAsia="楷体" w:hAnsi="楷体"/>
                <w:b/>
                <w:sz w:val="18"/>
                <w:szCs w:val="18"/>
              </w:rPr>
            </w:pPr>
            <w:r w:rsidRPr="00453191">
              <w:rPr>
                <w:rFonts w:ascii="楷体" w:eastAsia="楷体" w:hAnsi="楷体" w:hint="eastAsia"/>
                <w:b/>
                <w:sz w:val="18"/>
                <w:szCs w:val="18"/>
              </w:rPr>
              <w:t>周收益率</w:t>
            </w:r>
            <w:r w:rsidRPr="00453191">
              <w:rPr>
                <w:rFonts w:ascii="楷体" w:eastAsia="楷体" w:hAnsi="楷体"/>
                <w:b/>
                <w:sz w:val="18"/>
                <w:szCs w:val="18"/>
              </w:rPr>
              <w:t>%</w:t>
            </w:r>
          </w:p>
        </w:tc>
        <w:tc>
          <w:tcPr>
            <w:tcW w:w="2394" w:type="dxa"/>
            <w:gridSpan w:val="2"/>
            <w:tcBorders>
              <w:left w:val="single" w:sz="6" w:space="0" w:color="FF6600"/>
              <w:right w:val="single" w:sz="6" w:space="0" w:color="FF6600"/>
            </w:tcBorders>
            <w:shd w:val="clear" w:color="auto" w:fill="FDE9D9"/>
            <w:vAlign w:val="center"/>
          </w:tcPr>
          <w:p w:rsidR="00CD1FCC" w:rsidRPr="00453191" w:rsidRDefault="00CD1FCC" w:rsidP="009D6B40">
            <w:pPr>
              <w:snapToGrid w:val="0"/>
              <w:jc w:val="center"/>
              <w:rPr>
                <w:rFonts w:ascii="楷体" w:eastAsia="楷体" w:hAnsi="楷体"/>
                <w:b/>
                <w:sz w:val="18"/>
                <w:szCs w:val="18"/>
              </w:rPr>
            </w:pPr>
            <w:r w:rsidRPr="00453191">
              <w:rPr>
                <w:rFonts w:ascii="楷体" w:eastAsia="楷体" w:hAnsi="楷体" w:hint="eastAsia"/>
                <w:b/>
                <w:sz w:val="18"/>
                <w:szCs w:val="18"/>
              </w:rPr>
              <w:t>凯石分类</w:t>
            </w:r>
          </w:p>
        </w:tc>
        <w:tc>
          <w:tcPr>
            <w:tcW w:w="1197" w:type="dxa"/>
            <w:tcBorders>
              <w:left w:val="single" w:sz="6" w:space="0" w:color="FF6600"/>
            </w:tcBorders>
            <w:shd w:val="clear" w:color="auto" w:fill="FDE9D9"/>
            <w:vAlign w:val="center"/>
          </w:tcPr>
          <w:p w:rsidR="00CD1FCC" w:rsidRPr="00453191" w:rsidRDefault="00CD1FCC" w:rsidP="009D6B40">
            <w:pPr>
              <w:snapToGrid w:val="0"/>
              <w:jc w:val="center"/>
              <w:rPr>
                <w:rFonts w:ascii="楷体" w:eastAsia="楷体" w:hAnsi="楷体"/>
                <w:b/>
                <w:sz w:val="18"/>
                <w:szCs w:val="18"/>
              </w:rPr>
            </w:pPr>
            <w:r w:rsidRPr="00453191">
              <w:rPr>
                <w:rFonts w:ascii="楷体" w:eastAsia="楷体" w:hAnsi="楷体" w:hint="eastAsia"/>
                <w:b/>
                <w:sz w:val="18"/>
                <w:szCs w:val="18"/>
              </w:rPr>
              <w:t>周收益率</w:t>
            </w:r>
            <w:r w:rsidRPr="00453191">
              <w:rPr>
                <w:rFonts w:ascii="楷体" w:eastAsia="楷体" w:hAnsi="楷体"/>
                <w:b/>
                <w:sz w:val="18"/>
                <w:szCs w:val="18"/>
              </w:rPr>
              <w:t>%</w:t>
            </w:r>
          </w:p>
        </w:tc>
      </w:tr>
      <w:tr w:rsidR="00CD1FCC" w:rsidRPr="00453191" w:rsidTr="009D6B40">
        <w:trPr>
          <w:cantSplit/>
          <w:trHeight w:val="284"/>
        </w:trPr>
        <w:tc>
          <w:tcPr>
            <w:tcW w:w="993" w:type="dxa"/>
            <w:vMerge w:val="restart"/>
            <w:tcBorders>
              <w:right w:val="single" w:sz="6" w:space="0" w:color="FF6600"/>
            </w:tcBorders>
            <w:shd w:val="clear" w:color="auto" w:fill="FDE9D9"/>
            <w:vAlign w:val="center"/>
          </w:tcPr>
          <w:p w:rsidR="00CD1FCC" w:rsidRPr="00453191" w:rsidRDefault="00CD1FCC" w:rsidP="009D6B40">
            <w:pPr>
              <w:snapToGrid w:val="0"/>
              <w:jc w:val="center"/>
              <w:rPr>
                <w:rFonts w:ascii="楷体" w:eastAsia="楷体" w:hAnsi="楷体"/>
                <w:b/>
                <w:sz w:val="18"/>
                <w:szCs w:val="18"/>
              </w:rPr>
            </w:pPr>
            <w:r w:rsidRPr="00453191">
              <w:rPr>
                <w:rFonts w:ascii="楷体" w:eastAsia="楷体" w:hAnsi="楷体" w:hint="eastAsia"/>
                <w:b/>
                <w:sz w:val="18"/>
                <w:szCs w:val="18"/>
              </w:rPr>
              <w:t>股票型</w:t>
            </w:r>
          </w:p>
        </w:tc>
        <w:tc>
          <w:tcPr>
            <w:tcW w:w="1400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FDE9D9"/>
            <w:vAlign w:val="center"/>
          </w:tcPr>
          <w:p w:rsidR="00CD1FCC" w:rsidRPr="00453191" w:rsidRDefault="00CD1FCC" w:rsidP="009D6B40">
            <w:pPr>
              <w:snapToGrid w:val="0"/>
              <w:jc w:val="center"/>
              <w:rPr>
                <w:rFonts w:ascii="楷体" w:eastAsia="楷体" w:hAnsi="楷体"/>
                <w:b/>
                <w:sz w:val="18"/>
                <w:szCs w:val="18"/>
              </w:rPr>
            </w:pPr>
            <w:r w:rsidRPr="00453191">
              <w:rPr>
                <w:rFonts w:ascii="楷体" w:eastAsia="楷体" w:hAnsi="楷体" w:hint="eastAsia"/>
                <w:b/>
                <w:sz w:val="18"/>
                <w:szCs w:val="18"/>
              </w:rPr>
              <w:t>股票</w:t>
            </w:r>
            <w:r w:rsidRPr="00453191">
              <w:rPr>
                <w:rFonts w:ascii="楷体" w:eastAsia="楷体" w:hAnsi="楷体"/>
                <w:b/>
                <w:sz w:val="18"/>
                <w:szCs w:val="18"/>
              </w:rPr>
              <w:t>-</w:t>
            </w:r>
            <w:r w:rsidRPr="00453191">
              <w:rPr>
                <w:rFonts w:ascii="楷体" w:eastAsia="楷体" w:hAnsi="楷体" w:hint="eastAsia"/>
                <w:b/>
                <w:sz w:val="18"/>
                <w:szCs w:val="18"/>
              </w:rPr>
              <w:t>主动型</w:t>
            </w:r>
          </w:p>
        </w:tc>
        <w:tc>
          <w:tcPr>
            <w:tcW w:w="1197" w:type="dxa"/>
            <w:tcBorders>
              <w:left w:val="single" w:sz="6" w:space="0" w:color="FF6600"/>
              <w:right w:val="single" w:sz="6" w:space="0" w:color="FF6600"/>
            </w:tcBorders>
            <w:vAlign w:val="center"/>
          </w:tcPr>
          <w:p w:rsidR="00CD1FCC" w:rsidRPr="00453191" w:rsidRDefault="00CD1FCC" w:rsidP="009D6B40">
            <w:pPr>
              <w:snapToGrid w:val="0"/>
              <w:jc w:val="center"/>
              <w:rPr>
                <w:rFonts w:ascii="楷体" w:eastAsia="楷体" w:hAnsi="楷体"/>
                <w:color w:val="000000"/>
                <w:sz w:val="18"/>
                <w:szCs w:val="18"/>
              </w:rPr>
            </w:pPr>
            <w:r w:rsidRPr="00453191">
              <w:rPr>
                <w:rFonts w:ascii="楷体" w:eastAsia="楷体" w:hAnsi="楷体"/>
                <w:color w:val="000000"/>
                <w:sz w:val="18"/>
                <w:szCs w:val="18"/>
              </w:rPr>
              <w:t>3.94</w:t>
            </w:r>
          </w:p>
        </w:tc>
        <w:tc>
          <w:tcPr>
            <w:tcW w:w="946" w:type="dxa"/>
            <w:vMerge w:val="restart"/>
            <w:tcBorders>
              <w:left w:val="single" w:sz="6" w:space="0" w:color="FF6600"/>
              <w:right w:val="single" w:sz="6" w:space="0" w:color="FF6600"/>
            </w:tcBorders>
            <w:shd w:val="clear" w:color="auto" w:fill="FDE9D9"/>
            <w:vAlign w:val="center"/>
          </w:tcPr>
          <w:p w:rsidR="00CD1FCC" w:rsidRPr="00453191" w:rsidRDefault="00CD1FCC" w:rsidP="009D6B40">
            <w:pPr>
              <w:snapToGrid w:val="0"/>
              <w:jc w:val="center"/>
              <w:rPr>
                <w:rFonts w:ascii="楷体" w:eastAsia="楷体" w:hAnsi="楷体"/>
                <w:b/>
                <w:sz w:val="18"/>
                <w:szCs w:val="18"/>
              </w:rPr>
            </w:pPr>
            <w:r w:rsidRPr="00453191">
              <w:rPr>
                <w:rFonts w:ascii="楷体" w:eastAsia="楷体" w:hAnsi="楷体" w:hint="eastAsia"/>
                <w:b/>
                <w:sz w:val="18"/>
                <w:szCs w:val="18"/>
              </w:rPr>
              <w:t>债券型</w:t>
            </w:r>
          </w:p>
        </w:tc>
        <w:tc>
          <w:tcPr>
            <w:tcW w:w="1448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FDE9D9"/>
            <w:vAlign w:val="center"/>
          </w:tcPr>
          <w:p w:rsidR="00CD1FCC" w:rsidRPr="007E0CA0" w:rsidRDefault="00CD1FCC" w:rsidP="009D6B40">
            <w:pPr>
              <w:snapToGrid w:val="0"/>
              <w:jc w:val="center"/>
              <w:rPr>
                <w:rFonts w:ascii="楷体" w:eastAsia="楷体" w:hAnsi="楷体" w:cs="宋体"/>
                <w:b/>
                <w:bCs/>
                <w:sz w:val="18"/>
                <w:szCs w:val="18"/>
              </w:rPr>
            </w:pPr>
            <w:r w:rsidRPr="00453191">
              <w:rPr>
                <w:rFonts w:ascii="楷体" w:eastAsia="楷体" w:hAnsi="楷体" w:hint="eastAsia"/>
                <w:b/>
                <w:bCs/>
                <w:sz w:val="18"/>
                <w:szCs w:val="18"/>
              </w:rPr>
              <w:t>债券</w:t>
            </w:r>
            <w:r w:rsidRPr="00453191">
              <w:rPr>
                <w:rFonts w:ascii="楷体" w:eastAsia="楷体" w:hAnsi="楷体"/>
                <w:b/>
                <w:bCs/>
                <w:sz w:val="18"/>
                <w:szCs w:val="18"/>
              </w:rPr>
              <w:t>-</w:t>
            </w:r>
            <w:r w:rsidRPr="00453191">
              <w:rPr>
                <w:rFonts w:ascii="楷体" w:eastAsia="楷体" w:hAnsi="楷体" w:hint="eastAsia"/>
                <w:b/>
                <w:bCs/>
                <w:sz w:val="18"/>
                <w:szCs w:val="18"/>
              </w:rPr>
              <w:t>纯债基金</w:t>
            </w:r>
          </w:p>
        </w:tc>
        <w:tc>
          <w:tcPr>
            <w:tcW w:w="1197" w:type="dxa"/>
            <w:tcBorders>
              <w:left w:val="single" w:sz="6" w:space="0" w:color="FF6600"/>
              <w:right w:val="single" w:sz="6" w:space="0" w:color="FF6600"/>
            </w:tcBorders>
            <w:vAlign w:val="center"/>
          </w:tcPr>
          <w:p w:rsidR="00CD1FCC" w:rsidRPr="00453191" w:rsidRDefault="00CD1FCC" w:rsidP="00A7544D">
            <w:pPr>
              <w:snapToGrid w:val="0"/>
              <w:jc w:val="center"/>
              <w:rPr>
                <w:rFonts w:ascii="楷体" w:eastAsia="楷体" w:hAnsi="楷体"/>
                <w:color w:val="FF0000"/>
                <w:sz w:val="18"/>
                <w:szCs w:val="18"/>
              </w:rPr>
            </w:pPr>
            <w:r w:rsidRPr="00453191">
              <w:rPr>
                <w:rFonts w:ascii="楷体" w:eastAsia="楷体" w:hAnsi="楷体"/>
                <w:color w:val="FF0000"/>
                <w:sz w:val="18"/>
                <w:szCs w:val="18"/>
              </w:rPr>
              <w:t>-0.26</w:t>
            </w:r>
          </w:p>
        </w:tc>
        <w:tc>
          <w:tcPr>
            <w:tcW w:w="2394" w:type="dxa"/>
            <w:gridSpan w:val="2"/>
            <w:tcBorders>
              <w:left w:val="single" w:sz="6" w:space="0" w:color="FF6600"/>
              <w:right w:val="single" w:sz="6" w:space="0" w:color="FF6600"/>
            </w:tcBorders>
            <w:shd w:val="clear" w:color="auto" w:fill="FDE9D9"/>
            <w:vAlign w:val="center"/>
          </w:tcPr>
          <w:p w:rsidR="00CD1FCC" w:rsidRPr="00453191" w:rsidRDefault="00CD1FCC" w:rsidP="00884478">
            <w:pPr>
              <w:snapToGrid w:val="0"/>
              <w:jc w:val="center"/>
              <w:rPr>
                <w:rFonts w:ascii="楷体" w:eastAsia="楷体" w:hAnsi="楷体"/>
                <w:b/>
                <w:sz w:val="18"/>
                <w:szCs w:val="18"/>
              </w:rPr>
            </w:pPr>
            <w:r w:rsidRPr="00453191">
              <w:rPr>
                <w:rFonts w:ascii="楷体" w:eastAsia="楷体" w:hAnsi="楷体" w:hint="eastAsia"/>
                <w:b/>
                <w:sz w:val="18"/>
                <w:szCs w:val="18"/>
              </w:rPr>
              <w:t>货币市场基金</w:t>
            </w:r>
            <w:r w:rsidRPr="00453191">
              <w:rPr>
                <w:rFonts w:ascii="楷体" w:eastAsia="楷体" w:hAnsi="楷体"/>
                <w:b/>
                <w:sz w:val="18"/>
                <w:szCs w:val="18"/>
              </w:rPr>
              <w:t>7</w:t>
            </w:r>
            <w:r w:rsidRPr="00453191">
              <w:rPr>
                <w:rFonts w:ascii="楷体" w:eastAsia="楷体" w:hAnsi="楷体" w:hint="eastAsia"/>
                <w:b/>
                <w:sz w:val="18"/>
                <w:szCs w:val="18"/>
              </w:rPr>
              <w:t>日年化收益率</w:t>
            </w:r>
          </w:p>
        </w:tc>
        <w:tc>
          <w:tcPr>
            <w:tcW w:w="1197" w:type="dxa"/>
            <w:tcBorders>
              <w:left w:val="single" w:sz="6" w:space="0" w:color="FF6600"/>
            </w:tcBorders>
            <w:vAlign w:val="center"/>
          </w:tcPr>
          <w:p w:rsidR="00CD1FCC" w:rsidRPr="00453191" w:rsidRDefault="00CD1FCC" w:rsidP="007416C4">
            <w:pPr>
              <w:snapToGrid w:val="0"/>
              <w:jc w:val="center"/>
              <w:rPr>
                <w:rFonts w:ascii="楷体" w:eastAsia="楷体" w:hAnsi="楷体"/>
                <w:color w:val="000000"/>
                <w:sz w:val="18"/>
                <w:szCs w:val="18"/>
              </w:rPr>
            </w:pPr>
            <w:r w:rsidRPr="00453191">
              <w:rPr>
                <w:rFonts w:ascii="楷体" w:eastAsia="楷体" w:hAnsi="楷体"/>
                <w:color w:val="000000"/>
                <w:sz w:val="18"/>
                <w:szCs w:val="18"/>
              </w:rPr>
              <w:t>4.11</w:t>
            </w:r>
          </w:p>
        </w:tc>
      </w:tr>
      <w:tr w:rsidR="00CD1FCC" w:rsidRPr="00453191" w:rsidTr="009D6B40">
        <w:trPr>
          <w:cantSplit/>
          <w:trHeight w:val="284"/>
        </w:trPr>
        <w:tc>
          <w:tcPr>
            <w:tcW w:w="993" w:type="dxa"/>
            <w:vMerge/>
            <w:tcBorders>
              <w:right w:val="single" w:sz="6" w:space="0" w:color="FF6600"/>
            </w:tcBorders>
            <w:shd w:val="clear" w:color="auto" w:fill="FDE9D9"/>
            <w:vAlign w:val="center"/>
          </w:tcPr>
          <w:p w:rsidR="00CD1FCC" w:rsidRPr="00453191" w:rsidRDefault="00CD1FCC" w:rsidP="009D6B40">
            <w:pPr>
              <w:snapToGrid w:val="0"/>
              <w:jc w:val="center"/>
              <w:rPr>
                <w:rFonts w:ascii="楷体" w:eastAsia="楷体" w:hAnsi="楷体"/>
                <w:b/>
                <w:sz w:val="18"/>
                <w:szCs w:val="18"/>
              </w:rPr>
            </w:pPr>
          </w:p>
        </w:tc>
        <w:tc>
          <w:tcPr>
            <w:tcW w:w="1400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FDE9D9"/>
            <w:vAlign w:val="center"/>
          </w:tcPr>
          <w:p w:rsidR="00CD1FCC" w:rsidRPr="00453191" w:rsidRDefault="00CD1FCC" w:rsidP="009D6B40">
            <w:pPr>
              <w:snapToGrid w:val="0"/>
              <w:jc w:val="center"/>
              <w:rPr>
                <w:rFonts w:ascii="楷体" w:eastAsia="楷体" w:hAnsi="楷体"/>
                <w:b/>
                <w:sz w:val="18"/>
                <w:szCs w:val="18"/>
              </w:rPr>
            </w:pPr>
            <w:r w:rsidRPr="00453191">
              <w:rPr>
                <w:rFonts w:ascii="楷体" w:eastAsia="楷体" w:hAnsi="楷体" w:hint="eastAsia"/>
                <w:b/>
                <w:sz w:val="18"/>
                <w:szCs w:val="18"/>
              </w:rPr>
              <w:t>股票</w:t>
            </w:r>
            <w:r w:rsidRPr="00453191">
              <w:rPr>
                <w:rFonts w:ascii="楷体" w:eastAsia="楷体" w:hAnsi="楷体"/>
                <w:b/>
                <w:sz w:val="18"/>
                <w:szCs w:val="18"/>
              </w:rPr>
              <w:t>-</w:t>
            </w:r>
            <w:r w:rsidRPr="00453191">
              <w:rPr>
                <w:rFonts w:ascii="楷体" w:eastAsia="楷体" w:hAnsi="楷体" w:hint="eastAsia"/>
                <w:b/>
                <w:sz w:val="18"/>
                <w:szCs w:val="18"/>
              </w:rPr>
              <w:t>指数型</w:t>
            </w:r>
          </w:p>
        </w:tc>
        <w:tc>
          <w:tcPr>
            <w:tcW w:w="1197" w:type="dxa"/>
            <w:tcBorders>
              <w:left w:val="single" w:sz="6" w:space="0" w:color="FF6600"/>
              <w:right w:val="single" w:sz="6" w:space="0" w:color="FF6600"/>
            </w:tcBorders>
            <w:vAlign w:val="center"/>
          </w:tcPr>
          <w:p w:rsidR="00CD1FCC" w:rsidRPr="00453191" w:rsidRDefault="00CD1FCC" w:rsidP="00B103F5">
            <w:pPr>
              <w:snapToGrid w:val="0"/>
              <w:jc w:val="center"/>
              <w:rPr>
                <w:rFonts w:ascii="楷体" w:eastAsia="楷体" w:hAnsi="楷体"/>
                <w:color w:val="000000"/>
                <w:sz w:val="18"/>
                <w:szCs w:val="18"/>
              </w:rPr>
            </w:pPr>
            <w:r w:rsidRPr="00453191">
              <w:rPr>
                <w:rFonts w:ascii="楷体" w:eastAsia="楷体" w:hAnsi="楷体"/>
                <w:color w:val="000000"/>
                <w:sz w:val="18"/>
                <w:szCs w:val="18"/>
              </w:rPr>
              <w:t>7.82</w:t>
            </w:r>
          </w:p>
        </w:tc>
        <w:tc>
          <w:tcPr>
            <w:tcW w:w="946" w:type="dxa"/>
            <w:vMerge/>
            <w:tcBorders>
              <w:left w:val="single" w:sz="6" w:space="0" w:color="FF6600"/>
              <w:right w:val="single" w:sz="6" w:space="0" w:color="FF6600"/>
            </w:tcBorders>
            <w:shd w:val="clear" w:color="auto" w:fill="FDE9D9"/>
            <w:vAlign w:val="center"/>
          </w:tcPr>
          <w:p w:rsidR="00CD1FCC" w:rsidRPr="00453191" w:rsidRDefault="00CD1FCC" w:rsidP="009D6B40">
            <w:pPr>
              <w:snapToGrid w:val="0"/>
              <w:jc w:val="center"/>
              <w:rPr>
                <w:rFonts w:ascii="楷体" w:eastAsia="楷体" w:hAnsi="楷体"/>
                <w:b/>
                <w:sz w:val="18"/>
                <w:szCs w:val="18"/>
              </w:rPr>
            </w:pPr>
          </w:p>
        </w:tc>
        <w:tc>
          <w:tcPr>
            <w:tcW w:w="1448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FDE9D9"/>
            <w:vAlign w:val="center"/>
          </w:tcPr>
          <w:p w:rsidR="00CD1FCC" w:rsidRPr="007E0CA0" w:rsidRDefault="00CD1FCC" w:rsidP="009D6B40">
            <w:pPr>
              <w:snapToGrid w:val="0"/>
              <w:jc w:val="center"/>
              <w:rPr>
                <w:rFonts w:ascii="楷体" w:eastAsia="楷体" w:hAnsi="楷体" w:cs="宋体"/>
                <w:b/>
                <w:bCs/>
                <w:sz w:val="18"/>
                <w:szCs w:val="18"/>
              </w:rPr>
            </w:pPr>
            <w:r w:rsidRPr="00453191">
              <w:rPr>
                <w:rFonts w:ascii="楷体" w:eastAsia="楷体" w:hAnsi="楷体" w:hint="eastAsia"/>
                <w:b/>
                <w:bCs/>
                <w:sz w:val="18"/>
                <w:szCs w:val="18"/>
              </w:rPr>
              <w:t>债券</w:t>
            </w:r>
            <w:r w:rsidRPr="00453191">
              <w:rPr>
                <w:rFonts w:ascii="楷体" w:eastAsia="楷体" w:hAnsi="楷体"/>
                <w:b/>
                <w:bCs/>
                <w:sz w:val="18"/>
                <w:szCs w:val="18"/>
              </w:rPr>
              <w:t>-</w:t>
            </w:r>
            <w:r w:rsidRPr="00453191">
              <w:rPr>
                <w:rFonts w:ascii="楷体" w:eastAsia="楷体" w:hAnsi="楷体" w:hint="eastAsia"/>
                <w:b/>
                <w:bCs/>
                <w:sz w:val="18"/>
                <w:szCs w:val="18"/>
              </w:rPr>
              <w:t>一级债基</w:t>
            </w:r>
          </w:p>
        </w:tc>
        <w:tc>
          <w:tcPr>
            <w:tcW w:w="1197" w:type="dxa"/>
            <w:tcBorders>
              <w:left w:val="single" w:sz="6" w:space="0" w:color="FF6600"/>
              <w:right w:val="single" w:sz="6" w:space="0" w:color="FF6600"/>
            </w:tcBorders>
            <w:vAlign w:val="center"/>
          </w:tcPr>
          <w:p w:rsidR="00CD1FCC" w:rsidRPr="00453191" w:rsidRDefault="00CD1FCC" w:rsidP="005B32AB">
            <w:pPr>
              <w:snapToGrid w:val="0"/>
              <w:jc w:val="center"/>
              <w:rPr>
                <w:rFonts w:ascii="楷体" w:eastAsia="楷体" w:hAnsi="楷体"/>
                <w:color w:val="000000"/>
                <w:sz w:val="18"/>
                <w:szCs w:val="18"/>
              </w:rPr>
            </w:pPr>
            <w:r w:rsidRPr="00453191">
              <w:rPr>
                <w:rFonts w:ascii="楷体" w:eastAsia="楷体" w:hAnsi="楷体"/>
                <w:color w:val="000000"/>
                <w:sz w:val="18"/>
                <w:szCs w:val="18"/>
              </w:rPr>
              <w:t>0.65</w:t>
            </w:r>
          </w:p>
        </w:tc>
        <w:tc>
          <w:tcPr>
            <w:tcW w:w="1041" w:type="dxa"/>
            <w:vMerge w:val="restart"/>
            <w:tcBorders>
              <w:left w:val="single" w:sz="6" w:space="0" w:color="FF6600"/>
              <w:right w:val="single" w:sz="6" w:space="0" w:color="FF6600"/>
            </w:tcBorders>
            <w:shd w:val="clear" w:color="auto" w:fill="FDE9D9"/>
            <w:vAlign w:val="center"/>
          </w:tcPr>
          <w:p w:rsidR="00CD1FCC" w:rsidRPr="00453191" w:rsidRDefault="00CD1FCC" w:rsidP="009D6B40">
            <w:pPr>
              <w:snapToGrid w:val="0"/>
              <w:jc w:val="center"/>
              <w:rPr>
                <w:rFonts w:ascii="楷体" w:eastAsia="楷体" w:hAnsi="楷体"/>
                <w:b/>
                <w:sz w:val="18"/>
                <w:szCs w:val="18"/>
              </w:rPr>
            </w:pPr>
            <w:r w:rsidRPr="00453191">
              <w:rPr>
                <w:rFonts w:ascii="楷体" w:eastAsia="楷体" w:hAnsi="楷体" w:hint="eastAsia"/>
                <w:b/>
                <w:sz w:val="18"/>
                <w:szCs w:val="18"/>
              </w:rPr>
              <w:t>分级基金</w:t>
            </w:r>
          </w:p>
          <w:p w:rsidR="00CD1FCC" w:rsidRPr="00453191" w:rsidRDefault="00CD1FCC" w:rsidP="009D6B40">
            <w:pPr>
              <w:snapToGrid w:val="0"/>
              <w:jc w:val="center"/>
              <w:rPr>
                <w:rFonts w:ascii="楷体" w:eastAsia="楷体" w:hAnsi="楷体"/>
                <w:b/>
                <w:sz w:val="18"/>
                <w:szCs w:val="18"/>
              </w:rPr>
            </w:pPr>
            <w:r w:rsidRPr="00453191">
              <w:rPr>
                <w:rFonts w:ascii="楷体" w:eastAsia="楷体" w:hAnsi="楷体" w:hint="eastAsia"/>
                <w:b/>
                <w:sz w:val="18"/>
                <w:szCs w:val="18"/>
              </w:rPr>
              <w:t>子份额</w:t>
            </w:r>
          </w:p>
        </w:tc>
        <w:tc>
          <w:tcPr>
            <w:tcW w:w="1353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FDE9D9"/>
            <w:vAlign w:val="center"/>
          </w:tcPr>
          <w:p w:rsidR="00CD1FCC" w:rsidRPr="00453191" w:rsidRDefault="00CD1FCC" w:rsidP="009D6B40">
            <w:pPr>
              <w:snapToGrid w:val="0"/>
              <w:jc w:val="center"/>
              <w:rPr>
                <w:rFonts w:ascii="楷体" w:eastAsia="楷体" w:hAnsi="楷体"/>
                <w:b/>
                <w:sz w:val="18"/>
                <w:szCs w:val="18"/>
              </w:rPr>
            </w:pPr>
            <w:r w:rsidRPr="00453191">
              <w:rPr>
                <w:rFonts w:ascii="楷体" w:eastAsia="楷体" w:hAnsi="楷体" w:hint="eastAsia"/>
                <w:b/>
                <w:sz w:val="18"/>
                <w:szCs w:val="18"/>
              </w:rPr>
              <w:t>股票稳健</w:t>
            </w:r>
          </w:p>
        </w:tc>
        <w:tc>
          <w:tcPr>
            <w:tcW w:w="1197" w:type="dxa"/>
            <w:tcBorders>
              <w:left w:val="single" w:sz="6" w:space="0" w:color="FF6600"/>
            </w:tcBorders>
            <w:vAlign w:val="center"/>
          </w:tcPr>
          <w:p w:rsidR="00CD1FCC" w:rsidRPr="00453191" w:rsidRDefault="00CD1FCC" w:rsidP="00E243BF">
            <w:pPr>
              <w:snapToGrid w:val="0"/>
              <w:jc w:val="center"/>
              <w:rPr>
                <w:rFonts w:ascii="楷体" w:eastAsia="楷体" w:hAnsi="楷体"/>
                <w:color w:val="000000"/>
                <w:sz w:val="18"/>
                <w:szCs w:val="18"/>
              </w:rPr>
            </w:pPr>
            <w:r w:rsidRPr="00453191">
              <w:rPr>
                <w:rFonts w:ascii="楷体" w:eastAsia="楷体" w:hAnsi="楷体"/>
                <w:color w:val="000000"/>
                <w:sz w:val="18"/>
                <w:szCs w:val="18"/>
              </w:rPr>
              <w:t>0.32</w:t>
            </w:r>
          </w:p>
        </w:tc>
      </w:tr>
      <w:tr w:rsidR="00CD1FCC" w:rsidRPr="00453191" w:rsidTr="009D6B40">
        <w:trPr>
          <w:cantSplit/>
          <w:trHeight w:val="284"/>
        </w:trPr>
        <w:tc>
          <w:tcPr>
            <w:tcW w:w="993" w:type="dxa"/>
            <w:vMerge w:val="restart"/>
            <w:tcBorders>
              <w:right w:val="single" w:sz="6" w:space="0" w:color="FF6600"/>
            </w:tcBorders>
            <w:shd w:val="clear" w:color="auto" w:fill="FDE9D9"/>
            <w:vAlign w:val="center"/>
          </w:tcPr>
          <w:p w:rsidR="00CD1FCC" w:rsidRPr="00453191" w:rsidRDefault="00CD1FCC" w:rsidP="009D6B40">
            <w:pPr>
              <w:snapToGrid w:val="0"/>
              <w:jc w:val="center"/>
              <w:rPr>
                <w:rFonts w:ascii="楷体" w:eastAsia="楷体" w:hAnsi="楷体"/>
                <w:b/>
                <w:sz w:val="18"/>
                <w:szCs w:val="18"/>
              </w:rPr>
            </w:pPr>
            <w:r w:rsidRPr="00453191">
              <w:rPr>
                <w:rFonts w:ascii="楷体" w:eastAsia="楷体" w:hAnsi="楷体" w:hint="eastAsia"/>
                <w:b/>
                <w:sz w:val="18"/>
                <w:szCs w:val="18"/>
              </w:rPr>
              <w:t>混合型</w:t>
            </w:r>
          </w:p>
        </w:tc>
        <w:tc>
          <w:tcPr>
            <w:tcW w:w="1400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FDE9D9"/>
            <w:vAlign w:val="center"/>
          </w:tcPr>
          <w:p w:rsidR="00CD1FCC" w:rsidRPr="007E0CA0" w:rsidRDefault="00CD1FCC" w:rsidP="009D6B40">
            <w:pPr>
              <w:snapToGrid w:val="0"/>
              <w:jc w:val="center"/>
              <w:rPr>
                <w:rFonts w:ascii="楷体" w:eastAsia="楷体" w:hAnsi="楷体" w:cs="宋体"/>
                <w:b/>
                <w:bCs/>
                <w:sz w:val="18"/>
                <w:szCs w:val="18"/>
              </w:rPr>
            </w:pPr>
            <w:r w:rsidRPr="00453191">
              <w:rPr>
                <w:rFonts w:ascii="楷体" w:eastAsia="楷体" w:hAnsi="楷体" w:hint="eastAsia"/>
                <w:b/>
                <w:bCs/>
                <w:sz w:val="18"/>
                <w:szCs w:val="18"/>
              </w:rPr>
              <w:t>混合</w:t>
            </w:r>
            <w:r w:rsidRPr="00453191">
              <w:rPr>
                <w:rFonts w:ascii="楷体" w:eastAsia="楷体" w:hAnsi="楷体"/>
                <w:b/>
                <w:bCs/>
                <w:sz w:val="18"/>
                <w:szCs w:val="18"/>
              </w:rPr>
              <w:t>-</w:t>
            </w:r>
            <w:r w:rsidRPr="00453191">
              <w:rPr>
                <w:rFonts w:ascii="楷体" w:eastAsia="楷体" w:hAnsi="楷体" w:hint="eastAsia"/>
                <w:b/>
                <w:bCs/>
                <w:sz w:val="18"/>
                <w:szCs w:val="18"/>
              </w:rPr>
              <w:t>偏股型</w:t>
            </w:r>
          </w:p>
        </w:tc>
        <w:tc>
          <w:tcPr>
            <w:tcW w:w="1197" w:type="dxa"/>
            <w:tcBorders>
              <w:left w:val="single" w:sz="6" w:space="0" w:color="FF6600"/>
              <w:right w:val="single" w:sz="6" w:space="0" w:color="FF6600"/>
            </w:tcBorders>
            <w:vAlign w:val="center"/>
          </w:tcPr>
          <w:p w:rsidR="00CD1FCC" w:rsidRPr="00453191" w:rsidRDefault="00CD1FCC" w:rsidP="009D6B40">
            <w:pPr>
              <w:snapToGrid w:val="0"/>
              <w:jc w:val="center"/>
              <w:rPr>
                <w:rFonts w:ascii="楷体" w:eastAsia="楷体" w:hAnsi="楷体"/>
                <w:color w:val="000000"/>
                <w:sz w:val="18"/>
                <w:szCs w:val="18"/>
              </w:rPr>
            </w:pPr>
            <w:r w:rsidRPr="00453191">
              <w:rPr>
                <w:rFonts w:ascii="楷体" w:eastAsia="楷体" w:hAnsi="楷体"/>
                <w:color w:val="000000"/>
                <w:sz w:val="18"/>
                <w:szCs w:val="18"/>
              </w:rPr>
              <w:t>3.07</w:t>
            </w:r>
          </w:p>
        </w:tc>
        <w:tc>
          <w:tcPr>
            <w:tcW w:w="946" w:type="dxa"/>
            <w:vMerge/>
            <w:tcBorders>
              <w:left w:val="single" w:sz="6" w:space="0" w:color="FF6600"/>
              <w:right w:val="single" w:sz="6" w:space="0" w:color="FF6600"/>
            </w:tcBorders>
            <w:shd w:val="clear" w:color="auto" w:fill="FDE9D9"/>
            <w:vAlign w:val="center"/>
          </w:tcPr>
          <w:p w:rsidR="00CD1FCC" w:rsidRPr="00453191" w:rsidRDefault="00CD1FCC" w:rsidP="009D6B40">
            <w:pPr>
              <w:snapToGrid w:val="0"/>
              <w:jc w:val="center"/>
              <w:rPr>
                <w:rFonts w:ascii="楷体" w:eastAsia="楷体" w:hAnsi="楷体"/>
                <w:b/>
                <w:sz w:val="18"/>
                <w:szCs w:val="18"/>
              </w:rPr>
            </w:pPr>
          </w:p>
        </w:tc>
        <w:tc>
          <w:tcPr>
            <w:tcW w:w="1448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FDE9D9"/>
            <w:vAlign w:val="center"/>
          </w:tcPr>
          <w:p w:rsidR="00CD1FCC" w:rsidRPr="007E0CA0" w:rsidRDefault="00CD1FCC" w:rsidP="009D6B40">
            <w:pPr>
              <w:snapToGrid w:val="0"/>
              <w:jc w:val="center"/>
              <w:rPr>
                <w:rFonts w:ascii="楷体" w:eastAsia="楷体" w:hAnsi="楷体" w:cs="宋体"/>
                <w:b/>
                <w:bCs/>
                <w:sz w:val="18"/>
                <w:szCs w:val="18"/>
              </w:rPr>
            </w:pPr>
            <w:r w:rsidRPr="00453191">
              <w:rPr>
                <w:rFonts w:ascii="楷体" w:eastAsia="楷体" w:hAnsi="楷体" w:hint="eastAsia"/>
                <w:b/>
                <w:bCs/>
                <w:sz w:val="18"/>
                <w:szCs w:val="18"/>
              </w:rPr>
              <w:t>债券</w:t>
            </w:r>
            <w:r w:rsidRPr="00453191">
              <w:rPr>
                <w:rFonts w:ascii="楷体" w:eastAsia="楷体" w:hAnsi="楷体"/>
                <w:b/>
                <w:bCs/>
                <w:sz w:val="18"/>
                <w:szCs w:val="18"/>
              </w:rPr>
              <w:t>-</w:t>
            </w:r>
            <w:r w:rsidRPr="00453191">
              <w:rPr>
                <w:rFonts w:ascii="楷体" w:eastAsia="楷体" w:hAnsi="楷体" w:hint="eastAsia"/>
                <w:b/>
                <w:bCs/>
                <w:sz w:val="18"/>
                <w:szCs w:val="18"/>
              </w:rPr>
              <w:t>二级债基</w:t>
            </w:r>
          </w:p>
        </w:tc>
        <w:tc>
          <w:tcPr>
            <w:tcW w:w="1197" w:type="dxa"/>
            <w:tcBorders>
              <w:left w:val="single" w:sz="6" w:space="0" w:color="FF6600"/>
              <w:right w:val="single" w:sz="6" w:space="0" w:color="FF6600"/>
            </w:tcBorders>
            <w:vAlign w:val="center"/>
          </w:tcPr>
          <w:p w:rsidR="00CD1FCC" w:rsidRPr="00453191" w:rsidRDefault="00CD1FCC" w:rsidP="00E243BF">
            <w:pPr>
              <w:snapToGrid w:val="0"/>
              <w:jc w:val="center"/>
              <w:rPr>
                <w:rFonts w:ascii="楷体" w:eastAsia="楷体" w:hAnsi="楷体"/>
                <w:color w:val="000000"/>
                <w:sz w:val="18"/>
                <w:szCs w:val="18"/>
              </w:rPr>
            </w:pPr>
            <w:r w:rsidRPr="00453191">
              <w:rPr>
                <w:rFonts w:ascii="楷体" w:eastAsia="楷体" w:hAnsi="楷体"/>
                <w:color w:val="000000"/>
                <w:sz w:val="18"/>
                <w:szCs w:val="18"/>
              </w:rPr>
              <w:t>1.47</w:t>
            </w:r>
          </w:p>
        </w:tc>
        <w:tc>
          <w:tcPr>
            <w:tcW w:w="1041" w:type="dxa"/>
            <w:vMerge/>
            <w:tcBorders>
              <w:left w:val="single" w:sz="6" w:space="0" w:color="FF6600"/>
              <w:right w:val="single" w:sz="6" w:space="0" w:color="FF6600"/>
            </w:tcBorders>
            <w:shd w:val="clear" w:color="auto" w:fill="FDE9D9"/>
            <w:vAlign w:val="center"/>
          </w:tcPr>
          <w:p w:rsidR="00CD1FCC" w:rsidRPr="00453191" w:rsidRDefault="00CD1FCC" w:rsidP="009D6B40">
            <w:pPr>
              <w:snapToGrid w:val="0"/>
              <w:jc w:val="center"/>
              <w:rPr>
                <w:rFonts w:ascii="楷体" w:eastAsia="楷体" w:hAnsi="楷体"/>
                <w:b/>
                <w:sz w:val="18"/>
                <w:szCs w:val="18"/>
              </w:rPr>
            </w:pPr>
          </w:p>
        </w:tc>
        <w:tc>
          <w:tcPr>
            <w:tcW w:w="1353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FDE9D9"/>
            <w:vAlign w:val="center"/>
          </w:tcPr>
          <w:p w:rsidR="00CD1FCC" w:rsidRPr="00453191" w:rsidRDefault="00CD1FCC" w:rsidP="009D6B40">
            <w:pPr>
              <w:snapToGrid w:val="0"/>
              <w:jc w:val="center"/>
              <w:rPr>
                <w:rFonts w:ascii="楷体" w:eastAsia="楷体" w:hAnsi="楷体"/>
                <w:b/>
                <w:sz w:val="18"/>
                <w:szCs w:val="18"/>
              </w:rPr>
            </w:pPr>
            <w:r w:rsidRPr="00453191">
              <w:rPr>
                <w:rFonts w:ascii="楷体" w:eastAsia="楷体" w:hAnsi="楷体" w:hint="eastAsia"/>
                <w:b/>
                <w:sz w:val="18"/>
                <w:szCs w:val="18"/>
              </w:rPr>
              <w:t>股票积极</w:t>
            </w:r>
          </w:p>
        </w:tc>
        <w:tc>
          <w:tcPr>
            <w:tcW w:w="1197" w:type="dxa"/>
            <w:tcBorders>
              <w:left w:val="single" w:sz="6" w:space="0" w:color="FF6600"/>
            </w:tcBorders>
            <w:vAlign w:val="center"/>
          </w:tcPr>
          <w:p w:rsidR="00CD1FCC" w:rsidRPr="00453191" w:rsidRDefault="00CD1FCC" w:rsidP="009D6B40">
            <w:pPr>
              <w:snapToGrid w:val="0"/>
              <w:jc w:val="center"/>
              <w:rPr>
                <w:rFonts w:ascii="楷体" w:eastAsia="楷体" w:hAnsi="楷体"/>
                <w:color w:val="000000"/>
                <w:sz w:val="18"/>
                <w:szCs w:val="18"/>
              </w:rPr>
            </w:pPr>
            <w:r w:rsidRPr="00453191">
              <w:rPr>
                <w:rFonts w:ascii="楷体" w:eastAsia="楷体" w:hAnsi="楷体"/>
                <w:color w:val="000000"/>
                <w:sz w:val="18"/>
                <w:szCs w:val="18"/>
              </w:rPr>
              <w:t>14.06</w:t>
            </w:r>
          </w:p>
        </w:tc>
      </w:tr>
      <w:tr w:rsidR="00CD1FCC" w:rsidRPr="00453191" w:rsidTr="009D6B40">
        <w:trPr>
          <w:cantSplit/>
          <w:trHeight w:val="284"/>
        </w:trPr>
        <w:tc>
          <w:tcPr>
            <w:tcW w:w="993" w:type="dxa"/>
            <w:vMerge/>
            <w:tcBorders>
              <w:right w:val="single" w:sz="6" w:space="0" w:color="FF6600"/>
            </w:tcBorders>
            <w:shd w:val="clear" w:color="auto" w:fill="FDE9D9"/>
            <w:vAlign w:val="center"/>
          </w:tcPr>
          <w:p w:rsidR="00CD1FCC" w:rsidRPr="00453191" w:rsidRDefault="00CD1FCC" w:rsidP="009D6B40">
            <w:pPr>
              <w:snapToGrid w:val="0"/>
              <w:jc w:val="center"/>
              <w:rPr>
                <w:rFonts w:ascii="楷体" w:eastAsia="楷体" w:hAnsi="楷体"/>
                <w:b/>
                <w:sz w:val="18"/>
                <w:szCs w:val="18"/>
              </w:rPr>
            </w:pPr>
          </w:p>
        </w:tc>
        <w:tc>
          <w:tcPr>
            <w:tcW w:w="1400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FDE9D9"/>
            <w:vAlign w:val="center"/>
          </w:tcPr>
          <w:p w:rsidR="00CD1FCC" w:rsidRPr="007E0CA0" w:rsidRDefault="00CD1FCC" w:rsidP="009D6B40">
            <w:pPr>
              <w:snapToGrid w:val="0"/>
              <w:jc w:val="center"/>
              <w:rPr>
                <w:rFonts w:ascii="楷体" w:eastAsia="楷体" w:hAnsi="楷体" w:cs="宋体"/>
                <w:b/>
                <w:bCs/>
                <w:sz w:val="18"/>
                <w:szCs w:val="18"/>
              </w:rPr>
            </w:pPr>
            <w:r w:rsidRPr="00453191">
              <w:rPr>
                <w:rFonts w:ascii="楷体" w:eastAsia="楷体" w:hAnsi="楷体" w:hint="eastAsia"/>
                <w:b/>
                <w:bCs/>
                <w:sz w:val="18"/>
                <w:szCs w:val="18"/>
              </w:rPr>
              <w:t>混合</w:t>
            </w:r>
            <w:r w:rsidRPr="00453191">
              <w:rPr>
                <w:rFonts w:ascii="楷体" w:eastAsia="楷体" w:hAnsi="楷体"/>
                <w:b/>
                <w:bCs/>
                <w:sz w:val="18"/>
                <w:szCs w:val="18"/>
              </w:rPr>
              <w:t>-</w:t>
            </w:r>
            <w:r w:rsidRPr="00453191">
              <w:rPr>
                <w:rFonts w:ascii="楷体" w:eastAsia="楷体" w:hAnsi="楷体" w:hint="eastAsia"/>
                <w:b/>
                <w:bCs/>
                <w:sz w:val="18"/>
                <w:szCs w:val="18"/>
              </w:rPr>
              <w:t>偏债型</w:t>
            </w:r>
          </w:p>
        </w:tc>
        <w:tc>
          <w:tcPr>
            <w:tcW w:w="1197" w:type="dxa"/>
            <w:tcBorders>
              <w:left w:val="single" w:sz="6" w:space="0" w:color="FF6600"/>
              <w:right w:val="single" w:sz="6" w:space="0" w:color="FF6600"/>
            </w:tcBorders>
            <w:vAlign w:val="center"/>
          </w:tcPr>
          <w:p w:rsidR="00CD1FCC" w:rsidRPr="00453191" w:rsidRDefault="00CD1FCC" w:rsidP="00F40C1B">
            <w:pPr>
              <w:snapToGrid w:val="0"/>
              <w:jc w:val="center"/>
              <w:rPr>
                <w:rFonts w:ascii="楷体" w:eastAsia="楷体" w:hAnsi="楷体"/>
                <w:color w:val="000000"/>
                <w:sz w:val="18"/>
                <w:szCs w:val="18"/>
              </w:rPr>
            </w:pPr>
            <w:r w:rsidRPr="00453191">
              <w:rPr>
                <w:rFonts w:ascii="楷体" w:eastAsia="楷体" w:hAnsi="楷体"/>
                <w:color w:val="000000"/>
                <w:sz w:val="18"/>
                <w:szCs w:val="18"/>
              </w:rPr>
              <w:t>2.13</w:t>
            </w:r>
          </w:p>
        </w:tc>
        <w:tc>
          <w:tcPr>
            <w:tcW w:w="946" w:type="dxa"/>
            <w:vMerge/>
            <w:tcBorders>
              <w:left w:val="single" w:sz="6" w:space="0" w:color="FF6600"/>
              <w:right w:val="single" w:sz="6" w:space="0" w:color="FF6600"/>
            </w:tcBorders>
            <w:shd w:val="clear" w:color="auto" w:fill="FDE9D9"/>
            <w:vAlign w:val="center"/>
          </w:tcPr>
          <w:p w:rsidR="00CD1FCC" w:rsidRPr="00453191" w:rsidRDefault="00CD1FCC" w:rsidP="009D6B40">
            <w:pPr>
              <w:snapToGrid w:val="0"/>
              <w:jc w:val="center"/>
              <w:rPr>
                <w:rFonts w:ascii="楷体" w:eastAsia="楷体" w:hAnsi="楷体"/>
                <w:b/>
                <w:sz w:val="18"/>
                <w:szCs w:val="18"/>
              </w:rPr>
            </w:pPr>
          </w:p>
        </w:tc>
        <w:tc>
          <w:tcPr>
            <w:tcW w:w="1448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FDE9D9"/>
            <w:vAlign w:val="center"/>
          </w:tcPr>
          <w:p w:rsidR="00CD1FCC" w:rsidRPr="007E0CA0" w:rsidRDefault="00CD1FCC" w:rsidP="009D6B40">
            <w:pPr>
              <w:snapToGrid w:val="0"/>
              <w:jc w:val="center"/>
              <w:rPr>
                <w:rFonts w:ascii="楷体" w:eastAsia="楷体" w:hAnsi="楷体" w:cs="宋体"/>
                <w:b/>
                <w:bCs/>
                <w:sz w:val="18"/>
                <w:szCs w:val="18"/>
              </w:rPr>
            </w:pPr>
            <w:r w:rsidRPr="00453191">
              <w:rPr>
                <w:rFonts w:ascii="楷体" w:eastAsia="楷体" w:hAnsi="楷体" w:hint="eastAsia"/>
                <w:b/>
                <w:bCs/>
                <w:sz w:val="18"/>
                <w:szCs w:val="18"/>
              </w:rPr>
              <w:t>债券</w:t>
            </w:r>
            <w:r w:rsidRPr="00453191">
              <w:rPr>
                <w:rFonts w:ascii="楷体" w:eastAsia="楷体" w:hAnsi="楷体"/>
                <w:b/>
                <w:bCs/>
                <w:sz w:val="18"/>
                <w:szCs w:val="18"/>
              </w:rPr>
              <w:t>-</w:t>
            </w:r>
            <w:r w:rsidRPr="00453191">
              <w:rPr>
                <w:rFonts w:ascii="楷体" w:eastAsia="楷体" w:hAnsi="楷体" w:hint="eastAsia"/>
                <w:b/>
                <w:bCs/>
                <w:sz w:val="18"/>
                <w:szCs w:val="18"/>
              </w:rPr>
              <w:t>指数债基</w:t>
            </w:r>
          </w:p>
        </w:tc>
        <w:tc>
          <w:tcPr>
            <w:tcW w:w="1197" w:type="dxa"/>
            <w:tcBorders>
              <w:left w:val="single" w:sz="6" w:space="0" w:color="FF6600"/>
              <w:right w:val="single" w:sz="6" w:space="0" w:color="FF6600"/>
            </w:tcBorders>
            <w:vAlign w:val="center"/>
          </w:tcPr>
          <w:p w:rsidR="00CD1FCC" w:rsidRPr="00453191" w:rsidRDefault="00CD1FCC" w:rsidP="009D6B40">
            <w:pPr>
              <w:snapToGrid w:val="0"/>
              <w:jc w:val="center"/>
              <w:rPr>
                <w:rFonts w:ascii="楷体" w:eastAsia="楷体" w:hAnsi="楷体"/>
                <w:color w:val="000000"/>
                <w:sz w:val="18"/>
                <w:szCs w:val="18"/>
              </w:rPr>
            </w:pPr>
            <w:r w:rsidRPr="00453191">
              <w:rPr>
                <w:rFonts w:ascii="楷体" w:eastAsia="楷体" w:hAnsi="楷体"/>
                <w:color w:val="000000"/>
                <w:sz w:val="18"/>
                <w:szCs w:val="18"/>
              </w:rPr>
              <w:t>0.48</w:t>
            </w:r>
          </w:p>
        </w:tc>
        <w:tc>
          <w:tcPr>
            <w:tcW w:w="1041" w:type="dxa"/>
            <w:vMerge/>
            <w:tcBorders>
              <w:left w:val="single" w:sz="6" w:space="0" w:color="FF6600"/>
              <w:right w:val="single" w:sz="6" w:space="0" w:color="FF6600"/>
            </w:tcBorders>
            <w:shd w:val="clear" w:color="auto" w:fill="FDE9D9"/>
            <w:vAlign w:val="center"/>
          </w:tcPr>
          <w:p w:rsidR="00CD1FCC" w:rsidRPr="00453191" w:rsidRDefault="00CD1FCC" w:rsidP="009D6B40">
            <w:pPr>
              <w:snapToGrid w:val="0"/>
              <w:jc w:val="center"/>
              <w:rPr>
                <w:rFonts w:ascii="楷体" w:eastAsia="楷体" w:hAnsi="楷体"/>
                <w:b/>
                <w:sz w:val="18"/>
                <w:szCs w:val="18"/>
              </w:rPr>
            </w:pPr>
          </w:p>
        </w:tc>
        <w:tc>
          <w:tcPr>
            <w:tcW w:w="1353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FDE9D9"/>
            <w:vAlign w:val="center"/>
          </w:tcPr>
          <w:p w:rsidR="00CD1FCC" w:rsidRPr="00453191" w:rsidRDefault="00CD1FCC" w:rsidP="009D6B40">
            <w:pPr>
              <w:snapToGrid w:val="0"/>
              <w:jc w:val="center"/>
              <w:rPr>
                <w:rFonts w:ascii="楷体" w:eastAsia="楷体" w:hAnsi="楷体"/>
                <w:b/>
                <w:sz w:val="18"/>
                <w:szCs w:val="18"/>
              </w:rPr>
            </w:pPr>
            <w:r w:rsidRPr="00453191">
              <w:rPr>
                <w:rFonts w:ascii="楷体" w:eastAsia="楷体" w:hAnsi="楷体" w:hint="eastAsia"/>
                <w:b/>
                <w:sz w:val="18"/>
                <w:szCs w:val="18"/>
              </w:rPr>
              <w:t>债券稳健</w:t>
            </w:r>
          </w:p>
        </w:tc>
        <w:tc>
          <w:tcPr>
            <w:tcW w:w="1197" w:type="dxa"/>
            <w:tcBorders>
              <w:left w:val="single" w:sz="6" w:space="0" w:color="FF6600"/>
            </w:tcBorders>
            <w:vAlign w:val="center"/>
          </w:tcPr>
          <w:p w:rsidR="00CD1FCC" w:rsidRPr="00453191" w:rsidRDefault="00CD1FCC" w:rsidP="00E243BF">
            <w:pPr>
              <w:snapToGrid w:val="0"/>
              <w:jc w:val="center"/>
              <w:rPr>
                <w:rFonts w:ascii="楷体" w:eastAsia="楷体" w:hAnsi="楷体"/>
                <w:color w:val="000000"/>
                <w:sz w:val="18"/>
                <w:szCs w:val="18"/>
              </w:rPr>
            </w:pPr>
            <w:r w:rsidRPr="00453191">
              <w:rPr>
                <w:rFonts w:ascii="楷体" w:eastAsia="楷体" w:hAnsi="楷体"/>
                <w:color w:val="000000"/>
                <w:sz w:val="18"/>
                <w:szCs w:val="18"/>
              </w:rPr>
              <w:t>0.12</w:t>
            </w:r>
          </w:p>
        </w:tc>
      </w:tr>
      <w:tr w:rsidR="00CD1FCC" w:rsidRPr="00453191" w:rsidTr="009D6B40">
        <w:trPr>
          <w:cantSplit/>
          <w:trHeight w:val="284"/>
        </w:trPr>
        <w:tc>
          <w:tcPr>
            <w:tcW w:w="993" w:type="dxa"/>
            <w:vMerge/>
            <w:tcBorders>
              <w:right w:val="single" w:sz="6" w:space="0" w:color="FF6600"/>
            </w:tcBorders>
            <w:shd w:val="clear" w:color="auto" w:fill="FDE9D9"/>
            <w:vAlign w:val="center"/>
          </w:tcPr>
          <w:p w:rsidR="00CD1FCC" w:rsidRPr="00453191" w:rsidRDefault="00CD1FCC" w:rsidP="009D6B40">
            <w:pPr>
              <w:snapToGrid w:val="0"/>
              <w:jc w:val="center"/>
              <w:rPr>
                <w:rFonts w:ascii="楷体" w:eastAsia="楷体" w:hAnsi="楷体"/>
                <w:b/>
                <w:sz w:val="18"/>
                <w:szCs w:val="18"/>
              </w:rPr>
            </w:pPr>
          </w:p>
        </w:tc>
        <w:tc>
          <w:tcPr>
            <w:tcW w:w="1400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FDE9D9"/>
            <w:vAlign w:val="center"/>
          </w:tcPr>
          <w:p w:rsidR="00CD1FCC" w:rsidRPr="007E0CA0" w:rsidRDefault="00CD1FCC" w:rsidP="00884478">
            <w:pPr>
              <w:snapToGrid w:val="0"/>
              <w:jc w:val="center"/>
              <w:rPr>
                <w:rFonts w:ascii="楷体" w:eastAsia="楷体" w:hAnsi="楷体" w:cs="宋体"/>
                <w:b/>
                <w:bCs/>
                <w:sz w:val="18"/>
                <w:szCs w:val="18"/>
              </w:rPr>
            </w:pPr>
            <w:r w:rsidRPr="00453191">
              <w:rPr>
                <w:rFonts w:ascii="楷体" w:eastAsia="楷体" w:hAnsi="楷体" w:hint="eastAsia"/>
                <w:b/>
                <w:bCs/>
                <w:sz w:val="18"/>
                <w:szCs w:val="18"/>
              </w:rPr>
              <w:t>混合</w:t>
            </w:r>
            <w:r w:rsidRPr="00453191">
              <w:rPr>
                <w:rFonts w:ascii="楷体" w:eastAsia="楷体" w:hAnsi="楷体"/>
                <w:b/>
                <w:bCs/>
                <w:sz w:val="18"/>
                <w:szCs w:val="18"/>
              </w:rPr>
              <w:t>-</w:t>
            </w:r>
            <w:r w:rsidRPr="00453191">
              <w:rPr>
                <w:rFonts w:ascii="楷体" w:eastAsia="楷体" w:hAnsi="楷体" w:hint="eastAsia"/>
                <w:b/>
                <w:bCs/>
                <w:sz w:val="18"/>
                <w:szCs w:val="18"/>
              </w:rPr>
              <w:t>灵活型</w:t>
            </w:r>
          </w:p>
        </w:tc>
        <w:tc>
          <w:tcPr>
            <w:tcW w:w="1197" w:type="dxa"/>
            <w:tcBorders>
              <w:left w:val="single" w:sz="6" w:space="0" w:color="FF6600"/>
              <w:right w:val="single" w:sz="6" w:space="0" w:color="FF6600"/>
            </w:tcBorders>
            <w:vAlign w:val="center"/>
          </w:tcPr>
          <w:p w:rsidR="00CD1FCC" w:rsidRPr="00453191" w:rsidRDefault="00CD1FCC" w:rsidP="006766DE">
            <w:pPr>
              <w:snapToGrid w:val="0"/>
              <w:jc w:val="center"/>
              <w:rPr>
                <w:rFonts w:ascii="楷体" w:eastAsia="楷体" w:hAnsi="楷体"/>
                <w:color w:val="000000"/>
                <w:sz w:val="18"/>
                <w:szCs w:val="18"/>
              </w:rPr>
            </w:pPr>
            <w:r w:rsidRPr="00453191">
              <w:rPr>
                <w:rFonts w:ascii="楷体" w:eastAsia="楷体" w:hAnsi="楷体"/>
                <w:color w:val="000000"/>
                <w:sz w:val="18"/>
                <w:szCs w:val="18"/>
              </w:rPr>
              <w:t>3.13</w:t>
            </w:r>
          </w:p>
        </w:tc>
        <w:tc>
          <w:tcPr>
            <w:tcW w:w="946" w:type="dxa"/>
            <w:vMerge/>
            <w:tcBorders>
              <w:left w:val="single" w:sz="6" w:space="0" w:color="FF6600"/>
              <w:right w:val="single" w:sz="6" w:space="0" w:color="FF6600"/>
            </w:tcBorders>
            <w:shd w:val="clear" w:color="auto" w:fill="FDE9D9"/>
            <w:vAlign w:val="center"/>
          </w:tcPr>
          <w:p w:rsidR="00CD1FCC" w:rsidRPr="00453191" w:rsidRDefault="00CD1FCC" w:rsidP="009D6B40">
            <w:pPr>
              <w:snapToGrid w:val="0"/>
              <w:jc w:val="center"/>
              <w:rPr>
                <w:rFonts w:ascii="楷体" w:eastAsia="楷体" w:hAnsi="楷体"/>
                <w:b/>
                <w:sz w:val="18"/>
                <w:szCs w:val="18"/>
              </w:rPr>
            </w:pPr>
          </w:p>
        </w:tc>
        <w:tc>
          <w:tcPr>
            <w:tcW w:w="1448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FDE9D9"/>
            <w:vAlign w:val="center"/>
          </w:tcPr>
          <w:p w:rsidR="00CD1FCC" w:rsidRPr="007E0CA0" w:rsidRDefault="00CD1FCC" w:rsidP="009D6B40">
            <w:pPr>
              <w:snapToGrid w:val="0"/>
              <w:jc w:val="center"/>
              <w:rPr>
                <w:rFonts w:ascii="楷体" w:eastAsia="楷体" w:hAnsi="楷体" w:cs="宋体"/>
                <w:b/>
                <w:bCs/>
                <w:sz w:val="18"/>
                <w:szCs w:val="18"/>
              </w:rPr>
            </w:pPr>
            <w:r w:rsidRPr="00453191">
              <w:rPr>
                <w:rFonts w:ascii="楷体" w:eastAsia="楷体" w:hAnsi="楷体" w:hint="eastAsia"/>
                <w:b/>
                <w:bCs/>
                <w:sz w:val="18"/>
                <w:szCs w:val="18"/>
              </w:rPr>
              <w:t>债券</w:t>
            </w:r>
            <w:r w:rsidRPr="00453191">
              <w:rPr>
                <w:rFonts w:ascii="楷体" w:eastAsia="楷体" w:hAnsi="楷体"/>
                <w:b/>
                <w:bCs/>
                <w:sz w:val="18"/>
                <w:szCs w:val="18"/>
              </w:rPr>
              <w:t>-</w:t>
            </w:r>
            <w:r w:rsidRPr="00453191">
              <w:rPr>
                <w:rFonts w:ascii="楷体" w:eastAsia="楷体" w:hAnsi="楷体" w:hint="eastAsia"/>
                <w:b/>
                <w:bCs/>
                <w:sz w:val="18"/>
                <w:szCs w:val="18"/>
              </w:rPr>
              <w:t>可转债基</w:t>
            </w:r>
          </w:p>
        </w:tc>
        <w:tc>
          <w:tcPr>
            <w:tcW w:w="1197" w:type="dxa"/>
            <w:tcBorders>
              <w:left w:val="single" w:sz="6" w:space="0" w:color="FF6600"/>
              <w:right w:val="single" w:sz="6" w:space="0" w:color="FF6600"/>
            </w:tcBorders>
            <w:vAlign w:val="center"/>
          </w:tcPr>
          <w:p w:rsidR="00CD1FCC" w:rsidRPr="00453191" w:rsidRDefault="00CD1FCC" w:rsidP="00E243BF">
            <w:pPr>
              <w:snapToGrid w:val="0"/>
              <w:jc w:val="center"/>
              <w:rPr>
                <w:rFonts w:ascii="楷体" w:eastAsia="楷体" w:hAnsi="楷体"/>
                <w:color w:val="000000"/>
                <w:sz w:val="18"/>
                <w:szCs w:val="18"/>
              </w:rPr>
            </w:pPr>
            <w:r w:rsidRPr="00453191">
              <w:rPr>
                <w:rFonts w:ascii="楷体" w:eastAsia="楷体" w:hAnsi="楷体"/>
                <w:color w:val="000000"/>
                <w:sz w:val="18"/>
                <w:szCs w:val="18"/>
              </w:rPr>
              <w:t>10.52</w:t>
            </w:r>
          </w:p>
        </w:tc>
        <w:tc>
          <w:tcPr>
            <w:tcW w:w="1041" w:type="dxa"/>
            <w:vMerge/>
            <w:tcBorders>
              <w:left w:val="single" w:sz="6" w:space="0" w:color="FF6600"/>
              <w:right w:val="single" w:sz="6" w:space="0" w:color="FF6600"/>
            </w:tcBorders>
            <w:shd w:val="clear" w:color="auto" w:fill="FDE9D9"/>
            <w:vAlign w:val="center"/>
          </w:tcPr>
          <w:p w:rsidR="00CD1FCC" w:rsidRPr="00453191" w:rsidRDefault="00CD1FCC" w:rsidP="009D6B40">
            <w:pPr>
              <w:snapToGrid w:val="0"/>
              <w:jc w:val="center"/>
              <w:rPr>
                <w:rFonts w:ascii="楷体" w:eastAsia="楷体" w:hAnsi="楷体"/>
                <w:b/>
                <w:sz w:val="18"/>
                <w:szCs w:val="18"/>
              </w:rPr>
            </w:pPr>
          </w:p>
        </w:tc>
        <w:tc>
          <w:tcPr>
            <w:tcW w:w="1353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FDE9D9"/>
            <w:vAlign w:val="center"/>
          </w:tcPr>
          <w:p w:rsidR="00CD1FCC" w:rsidRPr="00453191" w:rsidRDefault="00CD1FCC" w:rsidP="009D6B40">
            <w:pPr>
              <w:snapToGrid w:val="0"/>
              <w:jc w:val="center"/>
              <w:rPr>
                <w:rFonts w:ascii="楷体" w:eastAsia="楷体" w:hAnsi="楷体"/>
                <w:b/>
                <w:sz w:val="18"/>
                <w:szCs w:val="18"/>
              </w:rPr>
            </w:pPr>
            <w:r w:rsidRPr="00453191">
              <w:rPr>
                <w:rFonts w:ascii="楷体" w:eastAsia="楷体" w:hAnsi="楷体" w:hint="eastAsia"/>
                <w:b/>
                <w:sz w:val="18"/>
                <w:szCs w:val="18"/>
              </w:rPr>
              <w:t>债券积极</w:t>
            </w:r>
          </w:p>
        </w:tc>
        <w:tc>
          <w:tcPr>
            <w:tcW w:w="1197" w:type="dxa"/>
            <w:tcBorders>
              <w:left w:val="single" w:sz="6" w:space="0" w:color="FF6600"/>
            </w:tcBorders>
            <w:vAlign w:val="center"/>
          </w:tcPr>
          <w:p w:rsidR="00CD1FCC" w:rsidRPr="00453191" w:rsidRDefault="00CD1FCC" w:rsidP="00E243BF">
            <w:pPr>
              <w:snapToGrid w:val="0"/>
              <w:jc w:val="center"/>
              <w:rPr>
                <w:rFonts w:ascii="楷体" w:eastAsia="楷体" w:hAnsi="楷体"/>
                <w:color w:val="000000"/>
                <w:sz w:val="18"/>
                <w:szCs w:val="18"/>
              </w:rPr>
            </w:pPr>
            <w:r w:rsidRPr="00453191">
              <w:rPr>
                <w:rFonts w:ascii="楷体" w:eastAsia="楷体" w:hAnsi="楷体"/>
                <w:color w:val="000000"/>
                <w:sz w:val="18"/>
                <w:szCs w:val="18"/>
              </w:rPr>
              <w:t>0.78</w:t>
            </w:r>
          </w:p>
        </w:tc>
      </w:tr>
      <w:tr w:rsidR="00CD1FCC" w:rsidRPr="00453191" w:rsidTr="00884478">
        <w:trPr>
          <w:cantSplit/>
          <w:trHeight w:val="284"/>
        </w:trPr>
        <w:tc>
          <w:tcPr>
            <w:tcW w:w="2393" w:type="dxa"/>
            <w:gridSpan w:val="2"/>
            <w:tcBorders>
              <w:right w:val="single" w:sz="6" w:space="0" w:color="FF6600"/>
            </w:tcBorders>
            <w:shd w:val="clear" w:color="auto" w:fill="FDE9D9"/>
            <w:vAlign w:val="center"/>
          </w:tcPr>
          <w:p w:rsidR="00CD1FCC" w:rsidRPr="00453191" w:rsidRDefault="00CD1FCC" w:rsidP="00884478">
            <w:pPr>
              <w:snapToGrid w:val="0"/>
              <w:jc w:val="center"/>
              <w:rPr>
                <w:rFonts w:ascii="楷体" w:eastAsia="楷体" w:hAnsi="楷体"/>
                <w:b/>
                <w:sz w:val="18"/>
                <w:szCs w:val="18"/>
              </w:rPr>
            </w:pPr>
            <w:r w:rsidRPr="00453191">
              <w:rPr>
                <w:rFonts w:ascii="楷体" w:eastAsia="楷体" w:hAnsi="楷体"/>
                <w:b/>
                <w:sz w:val="18"/>
                <w:szCs w:val="18"/>
              </w:rPr>
              <w:t>QDII</w:t>
            </w:r>
          </w:p>
        </w:tc>
        <w:tc>
          <w:tcPr>
            <w:tcW w:w="1197" w:type="dxa"/>
            <w:tcBorders>
              <w:left w:val="single" w:sz="6" w:space="0" w:color="FF6600"/>
              <w:right w:val="single" w:sz="6" w:space="0" w:color="FF6600"/>
            </w:tcBorders>
            <w:vAlign w:val="center"/>
          </w:tcPr>
          <w:p w:rsidR="00CD1FCC" w:rsidRPr="00453191" w:rsidRDefault="00CD1FCC" w:rsidP="00B236A5">
            <w:pPr>
              <w:snapToGrid w:val="0"/>
              <w:jc w:val="center"/>
              <w:rPr>
                <w:rFonts w:ascii="楷体" w:eastAsia="楷体" w:hAnsi="楷体"/>
                <w:color w:val="FF0000"/>
                <w:sz w:val="18"/>
                <w:szCs w:val="18"/>
              </w:rPr>
            </w:pPr>
            <w:r w:rsidRPr="00453191">
              <w:rPr>
                <w:rFonts w:ascii="楷体" w:eastAsia="楷体" w:hAnsi="楷体"/>
                <w:color w:val="FF0000"/>
                <w:sz w:val="18"/>
                <w:szCs w:val="18"/>
              </w:rPr>
              <w:t>-0.75</w:t>
            </w:r>
          </w:p>
        </w:tc>
        <w:tc>
          <w:tcPr>
            <w:tcW w:w="946" w:type="dxa"/>
            <w:vMerge/>
            <w:tcBorders>
              <w:left w:val="single" w:sz="6" w:space="0" w:color="FF6600"/>
              <w:right w:val="single" w:sz="6" w:space="0" w:color="FF6600"/>
            </w:tcBorders>
            <w:shd w:val="clear" w:color="auto" w:fill="FDE9D9"/>
            <w:vAlign w:val="center"/>
          </w:tcPr>
          <w:p w:rsidR="00CD1FCC" w:rsidRPr="00453191" w:rsidRDefault="00CD1FCC" w:rsidP="009D6B40">
            <w:pPr>
              <w:snapToGrid w:val="0"/>
              <w:jc w:val="center"/>
              <w:rPr>
                <w:rFonts w:ascii="楷体" w:eastAsia="楷体" w:hAnsi="楷体"/>
                <w:b/>
                <w:sz w:val="18"/>
                <w:szCs w:val="18"/>
              </w:rPr>
            </w:pPr>
          </w:p>
        </w:tc>
        <w:tc>
          <w:tcPr>
            <w:tcW w:w="1448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FDE9D9"/>
            <w:vAlign w:val="center"/>
          </w:tcPr>
          <w:p w:rsidR="00CD1FCC" w:rsidRPr="007E0CA0" w:rsidRDefault="00CD1FCC" w:rsidP="009D6B40">
            <w:pPr>
              <w:snapToGrid w:val="0"/>
              <w:jc w:val="center"/>
              <w:rPr>
                <w:rFonts w:ascii="楷体" w:eastAsia="楷体" w:hAnsi="楷体" w:cs="宋体"/>
                <w:b/>
                <w:bCs/>
                <w:sz w:val="18"/>
                <w:szCs w:val="18"/>
              </w:rPr>
            </w:pPr>
            <w:r w:rsidRPr="00453191">
              <w:rPr>
                <w:rFonts w:ascii="楷体" w:eastAsia="楷体" w:hAnsi="楷体" w:hint="eastAsia"/>
                <w:b/>
                <w:bCs/>
                <w:sz w:val="18"/>
                <w:szCs w:val="18"/>
              </w:rPr>
              <w:t>债券</w:t>
            </w:r>
            <w:r w:rsidRPr="00453191">
              <w:rPr>
                <w:rFonts w:ascii="楷体" w:eastAsia="楷体" w:hAnsi="楷体"/>
                <w:b/>
                <w:bCs/>
                <w:sz w:val="18"/>
                <w:szCs w:val="18"/>
              </w:rPr>
              <w:t>-</w:t>
            </w:r>
            <w:r w:rsidRPr="00453191">
              <w:rPr>
                <w:rFonts w:ascii="楷体" w:eastAsia="楷体" w:hAnsi="楷体" w:hint="eastAsia"/>
                <w:b/>
                <w:bCs/>
                <w:sz w:val="18"/>
                <w:szCs w:val="18"/>
              </w:rPr>
              <w:t>理财债基</w:t>
            </w:r>
          </w:p>
        </w:tc>
        <w:tc>
          <w:tcPr>
            <w:tcW w:w="1197" w:type="dxa"/>
            <w:tcBorders>
              <w:left w:val="single" w:sz="6" w:space="0" w:color="FF6600"/>
              <w:right w:val="single" w:sz="6" w:space="0" w:color="FF6600"/>
            </w:tcBorders>
            <w:vAlign w:val="center"/>
          </w:tcPr>
          <w:p w:rsidR="00CD1FCC" w:rsidRPr="00453191" w:rsidRDefault="00CD1FCC" w:rsidP="005B32AB">
            <w:pPr>
              <w:snapToGrid w:val="0"/>
              <w:jc w:val="center"/>
              <w:rPr>
                <w:rFonts w:ascii="楷体" w:eastAsia="楷体" w:hAnsi="楷体"/>
                <w:color w:val="000000"/>
                <w:sz w:val="18"/>
                <w:szCs w:val="18"/>
              </w:rPr>
            </w:pPr>
            <w:r w:rsidRPr="00453191">
              <w:rPr>
                <w:rFonts w:ascii="楷体" w:eastAsia="楷体" w:hAnsi="楷体"/>
                <w:color w:val="000000"/>
                <w:sz w:val="18"/>
                <w:szCs w:val="18"/>
              </w:rPr>
              <w:t>0.07</w:t>
            </w:r>
          </w:p>
        </w:tc>
        <w:tc>
          <w:tcPr>
            <w:tcW w:w="2394" w:type="dxa"/>
            <w:gridSpan w:val="2"/>
            <w:tcBorders>
              <w:left w:val="single" w:sz="6" w:space="0" w:color="FF6600"/>
              <w:right w:val="single" w:sz="6" w:space="0" w:color="FF6600"/>
            </w:tcBorders>
            <w:shd w:val="clear" w:color="auto" w:fill="FDE9D9"/>
            <w:vAlign w:val="center"/>
          </w:tcPr>
          <w:p w:rsidR="00CD1FCC" w:rsidRPr="00453191" w:rsidRDefault="00CD1FCC" w:rsidP="009D6B40">
            <w:pPr>
              <w:snapToGrid w:val="0"/>
              <w:jc w:val="center"/>
              <w:rPr>
                <w:rFonts w:ascii="楷体" w:eastAsia="楷体" w:hAnsi="楷体"/>
                <w:b/>
                <w:color w:val="000000"/>
                <w:sz w:val="18"/>
                <w:szCs w:val="18"/>
              </w:rPr>
            </w:pPr>
            <w:r w:rsidRPr="00453191">
              <w:rPr>
                <w:rFonts w:ascii="楷体" w:eastAsia="楷体" w:hAnsi="楷体" w:hint="eastAsia"/>
                <w:b/>
                <w:color w:val="000000"/>
                <w:sz w:val="18"/>
                <w:szCs w:val="18"/>
              </w:rPr>
              <w:t>商品基金</w:t>
            </w:r>
          </w:p>
        </w:tc>
        <w:tc>
          <w:tcPr>
            <w:tcW w:w="1197" w:type="dxa"/>
            <w:tcBorders>
              <w:left w:val="single" w:sz="6" w:space="0" w:color="FF6600"/>
            </w:tcBorders>
            <w:vAlign w:val="center"/>
          </w:tcPr>
          <w:p w:rsidR="00CD1FCC" w:rsidRPr="00453191" w:rsidRDefault="00CD1FCC" w:rsidP="00100CB5">
            <w:pPr>
              <w:snapToGrid w:val="0"/>
              <w:jc w:val="center"/>
              <w:rPr>
                <w:rFonts w:ascii="楷体" w:eastAsia="楷体" w:hAnsi="楷体"/>
                <w:color w:val="000000"/>
                <w:sz w:val="18"/>
                <w:szCs w:val="18"/>
              </w:rPr>
            </w:pPr>
            <w:r w:rsidRPr="00453191">
              <w:rPr>
                <w:rFonts w:ascii="楷体" w:eastAsia="楷体" w:hAnsi="楷体"/>
                <w:color w:val="000000"/>
                <w:sz w:val="18"/>
                <w:szCs w:val="18"/>
              </w:rPr>
              <w:t>1.50</w:t>
            </w:r>
          </w:p>
        </w:tc>
      </w:tr>
    </w:tbl>
    <w:p w:rsidR="00CD1FCC" w:rsidRPr="005B7CDB" w:rsidRDefault="00CD1FCC" w:rsidP="000D4A66">
      <w:pPr>
        <w:pStyle w:val="FootnoteNoline"/>
        <w:ind w:left="0"/>
        <w:rPr>
          <w:rFonts w:ascii="楷体" w:eastAsia="楷体" w:hAnsi="楷体"/>
          <w:color w:val="FF6600"/>
          <w:lang w:val="en-US"/>
        </w:rPr>
      </w:pPr>
      <w:r w:rsidRPr="005B7CDB">
        <w:rPr>
          <w:rFonts w:ascii="楷体" w:eastAsia="楷体" w:hAnsi="楷体" w:cs="宋体" w:hint="eastAsia"/>
          <w:color w:val="FF6600"/>
          <w:lang w:val="en-US"/>
        </w:rPr>
        <w:t>来源：凯石财富工场</w:t>
      </w:r>
    </w:p>
    <w:p w:rsidR="00CD1FCC" w:rsidRPr="007F0AC5" w:rsidRDefault="00CD1FCC" w:rsidP="007F0AC5">
      <w:pPr>
        <w:widowControl/>
        <w:spacing w:after="120"/>
        <w:ind w:left="3430"/>
        <w:rPr>
          <w:rFonts w:ascii="楷体" w:eastAsia="楷体" w:hAnsi="楷体"/>
          <w:b/>
          <w:bCs/>
          <w:color w:val="0070C0"/>
          <w:kern w:val="0"/>
          <w:szCs w:val="21"/>
          <w:lang w:val="en-GB"/>
        </w:rPr>
      </w:pPr>
      <w:r w:rsidRPr="005B7CDB">
        <w:rPr>
          <w:rFonts w:ascii="楷体" w:eastAsia="楷体" w:hAnsi="楷体" w:hint="eastAsia"/>
          <w:b/>
          <w:bCs/>
          <w:color w:val="0070C0"/>
          <w:kern w:val="0"/>
          <w:szCs w:val="21"/>
          <w:lang w:val="en-GB"/>
        </w:rPr>
        <w:t>权益类基金一周业绩：</w:t>
      </w:r>
      <w:r w:rsidRPr="007F0AC5">
        <w:rPr>
          <w:rFonts w:ascii="楷体" w:eastAsia="楷体" w:hAnsi="楷体"/>
          <w:b/>
          <w:bCs/>
          <w:color w:val="0070C0"/>
          <w:kern w:val="0"/>
          <w:szCs w:val="21"/>
          <w:lang w:val="en-GB"/>
        </w:rPr>
        <w:t xml:space="preserve"> </w:t>
      </w:r>
      <w:r>
        <w:rPr>
          <w:rFonts w:ascii="楷体" w:eastAsia="楷体" w:hAnsi="楷体" w:hint="eastAsia"/>
          <w:b/>
          <w:bCs/>
          <w:color w:val="0070C0"/>
          <w:kern w:val="0"/>
          <w:szCs w:val="21"/>
          <w:lang w:val="en-GB"/>
        </w:rPr>
        <w:t>股基混合涨多跌少，被动风格好于主动风格</w:t>
      </w:r>
    </w:p>
    <w:p w:rsidR="00CD1FCC" w:rsidRPr="00994C09" w:rsidRDefault="00CD1FCC" w:rsidP="00FF12F1">
      <w:pPr>
        <w:pStyle w:val="BodyText"/>
        <w:numPr>
          <w:ilvl w:val="4"/>
          <w:numId w:val="1"/>
        </w:numPr>
        <w:spacing w:after="163"/>
        <w:rPr>
          <w:rFonts w:ascii="楷体" w:eastAsia="楷体" w:hAnsi="楷体" w:cs="Arial"/>
          <w:szCs w:val="21"/>
        </w:rPr>
      </w:pPr>
      <w:r w:rsidRPr="00994C09">
        <w:rPr>
          <w:rFonts w:ascii="楷体" w:eastAsia="楷体" w:hAnsi="楷体" w:cs="Arial" w:hint="eastAsia"/>
          <w:szCs w:val="21"/>
        </w:rPr>
        <w:t>上周，受益于增量资金不断涌入</w:t>
      </w:r>
      <w:r w:rsidRPr="00994C09">
        <w:rPr>
          <w:rFonts w:ascii="楷体" w:eastAsia="楷体" w:hAnsi="楷体" w:cs="Arial"/>
          <w:szCs w:val="21"/>
        </w:rPr>
        <w:t>A</w:t>
      </w:r>
      <w:r w:rsidRPr="00994C09">
        <w:rPr>
          <w:rFonts w:ascii="楷体" w:eastAsia="楷体" w:hAnsi="楷体" w:cs="Arial" w:hint="eastAsia"/>
          <w:szCs w:val="21"/>
        </w:rPr>
        <w:t>股，权益类基金继续上涨，股票</w:t>
      </w:r>
      <w:r w:rsidRPr="00994C09">
        <w:rPr>
          <w:rFonts w:ascii="楷体" w:eastAsia="楷体" w:hAnsi="楷体" w:cs="Arial"/>
          <w:szCs w:val="21"/>
        </w:rPr>
        <w:t>-</w:t>
      </w:r>
      <w:r w:rsidRPr="00994C09">
        <w:rPr>
          <w:rFonts w:ascii="楷体" w:eastAsia="楷体" w:hAnsi="楷体" w:cs="Arial" w:hint="eastAsia"/>
          <w:szCs w:val="21"/>
        </w:rPr>
        <w:t>指数型</w:t>
      </w:r>
      <w:r>
        <w:rPr>
          <w:rFonts w:ascii="楷体" w:eastAsia="楷体" w:hAnsi="楷体" w:cs="Arial" w:hint="eastAsia"/>
          <w:szCs w:val="21"/>
        </w:rPr>
        <w:t>收益</w:t>
      </w:r>
      <w:r w:rsidRPr="00994C09">
        <w:rPr>
          <w:rFonts w:ascii="楷体" w:eastAsia="楷体" w:hAnsi="楷体" w:cs="Arial" w:hint="eastAsia"/>
          <w:szCs w:val="21"/>
        </w:rPr>
        <w:t>领先股票</w:t>
      </w:r>
      <w:r w:rsidRPr="00994C09">
        <w:rPr>
          <w:rFonts w:ascii="楷体" w:eastAsia="楷体" w:hAnsi="楷体" w:cs="Arial"/>
          <w:szCs w:val="21"/>
        </w:rPr>
        <w:t>-</w:t>
      </w:r>
      <w:r w:rsidRPr="00994C09">
        <w:rPr>
          <w:rFonts w:ascii="楷体" w:eastAsia="楷体" w:hAnsi="楷体" w:cs="Arial" w:hint="eastAsia"/>
          <w:szCs w:val="21"/>
        </w:rPr>
        <w:t>主动型。混合型基金中，灵活型平均收益略高于偏股型，偏债型平均收益相对较低。</w:t>
      </w:r>
      <w:r w:rsidRPr="00994C09">
        <w:rPr>
          <w:rFonts w:ascii="楷体" w:eastAsia="楷体" w:hAnsi="楷体" w:cs="Arial"/>
          <w:szCs w:val="21"/>
        </w:rPr>
        <w:t>QDII</w:t>
      </w:r>
      <w:r w:rsidRPr="00994C09">
        <w:rPr>
          <w:rFonts w:ascii="楷体" w:eastAsia="楷体" w:hAnsi="楷体" w:cs="Arial" w:hint="eastAsia"/>
          <w:szCs w:val="21"/>
        </w:rPr>
        <w:t>业绩回调，新兴市场涨幅依然靠前，美股基金排名中上游，行业基金和全球基金涨跌互现，排名分散。</w:t>
      </w:r>
    </w:p>
    <w:p w:rsidR="00CD1FCC" w:rsidRPr="00706890" w:rsidRDefault="00CD1FCC" w:rsidP="005A43E6">
      <w:pPr>
        <w:pStyle w:val="BodyText"/>
        <w:numPr>
          <w:ilvl w:val="5"/>
          <w:numId w:val="2"/>
        </w:numPr>
        <w:spacing w:after="163"/>
        <w:ind w:left="4140" w:hanging="369"/>
        <w:rPr>
          <w:rFonts w:ascii="楷体" w:eastAsia="楷体" w:hAnsi="楷体" w:cs="Arial"/>
          <w:szCs w:val="21"/>
        </w:rPr>
      </w:pPr>
      <w:r w:rsidRPr="00706890">
        <w:rPr>
          <w:rFonts w:ascii="楷体" w:eastAsia="楷体" w:hAnsi="楷体" w:cs="Arial"/>
          <w:szCs w:val="21"/>
        </w:rPr>
        <w:t>405</w:t>
      </w:r>
      <w:r w:rsidRPr="00706890">
        <w:rPr>
          <w:rFonts w:ascii="楷体" w:eastAsia="楷体" w:hAnsi="楷体" w:cs="Arial" w:hint="eastAsia"/>
          <w:szCs w:val="21"/>
        </w:rPr>
        <w:t>只股票</w:t>
      </w:r>
      <w:r w:rsidRPr="00706890">
        <w:rPr>
          <w:rFonts w:ascii="楷体" w:eastAsia="楷体" w:hAnsi="楷体" w:cs="Arial"/>
          <w:szCs w:val="21"/>
        </w:rPr>
        <w:t>-</w:t>
      </w:r>
      <w:r w:rsidRPr="00706890">
        <w:rPr>
          <w:rFonts w:ascii="楷体" w:eastAsia="楷体" w:hAnsi="楷体" w:cs="Arial" w:hint="eastAsia"/>
          <w:szCs w:val="21"/>
        </w:rPr>
        <w:t>主动型基金周收益率均值为</w:t>
      </w:r>
      <w:r w:rsidRPr="00706890">
        <w:rPr>
          <w:rFonts w:ascii="楷体" w:eastAsia="楷体" w:hAnsi="楷体" w:cs="Arial"/>
          <w:szCs w:val="21"/>
        </w:rPr>
        <w:t>3.94%</w:t>
      </w:r>
      <w:r w:rsidRPr="00706890">
        <w:rPr>
          <w:rFonts w:ascii="楷体" w:eastAsia="楷体" w:hAnsi="楷体" w:cs="Arial" w:hint="eastAsia"/>
          <w:szCs w:val="21"/>
        </w:rPr>
        <w:t>，</w:t>
      </w:r>
      <w:r>
        <w:rPr>
          <w:rFonts w:ascii="楷体" w:eastAsia="楷体" w:hAnsi="楷体" w:cs="Arial" w:hint="eastAsia"/>
          <w:szCs w:val="21"/>
        </w:rPr>
        <w:t>近九成</w:t>
      </w:r>
      <w:r w:rsidRPr="00706890">
        <w:rPr>
          <w:rFonts w:ascii="楷体" w:eastAsia="楷体" w:hAnsi="楷体" w:cs="Arial" w:hint="eastAsia"/>
          <w:szCs w:val="21"/>
        </w:rPr>
        <w:t>产品上涨，</w:t>
      </w:r>
      <w:r>
        <w:rPr>
          <w:rFonts w:ascii="楷体" w:eastAsia="楷体" w:hAnsi="楷体" w:cs="Arial" w:hint="eastAsia"/>
          <w:szCs w:val="21"/>
        </w:rPr>
        <w:t>超过</w:t>
      </w:r>
      <w:r>
        <w:rPr>
          <w:rFonts w:ascii="楷体" w:eastAsia="楷体" w:hAnsi="楷体" w:cs="Arial"/>
          <w:szCs w:val="21"/>
        </w:rPr>
        <w:t>5</w:t>
      </w:r>
      <w:r w:rsidRPr="00706890">
        <w:rPr>
          <w:rFonts w:ascii="楷体" w:eastAsia="楷体" w:hAnsi="楷体" w:cs="Arial"/>
          <w:szCs w:val="21"/>
        </w:rPr>
        <w:t>%</w:t>
      </w:r>
      <w:r>
        <w:rPr>
          <w:rFonts w:ascii="楷体" w:eastAsia="楷体" w:hAnsi="楷体" w:cs="Arial" w:hint="eastAsia"/>
          <w:szCs w:val="21"/>
        </w:rPr>
        <w:t>的产品周收益率大于</w:t>
      </w:r>
      <w:r w:rsidRPr="00706890">
        <w:rPr>
          <w:rFonts w:ascii="楷体" w:eastAsia="楷体" w:hAnsi="楷体" w:cs="Arial"/>
          <w:szCs w:val="21"/>
        </w:rPr>
        <w:t>10%</w:t>
      </w:r>
      <w:r>
        <w:rPr>
          <w:rFonts w:ascii="楷体" w:eastAsia="楷体" w:hAnsi="楷体" w:cs="Arial" w:hint="eastAsia"/>
          <w:szCs w:val="21"/>
        </w:rPr>
        <w:t>；</w:t>
      </w:r>
      <w:r w:rsidRPr="00706890">
        <w:rPr>
          <w:rFonts w:ascii="楷体" w:eastAsia="楷体" w:hAnsi="楷体" w:cs="Arial" w:hint="eastAsia"/>
          <w:szCs w:val="21"/>
        </w:rPr>
        <w:t>有三只产品跌幅超</w:t>
      </w:r>
      <w:r w:rsidRPr="00706890">
        <w:rPr>
          <w:rFonts w:ascii="楷体" w:eastAsia="楷体" w:hAnsi="楷体" w:cs="Arial"/>
          <w:szCs w:val="21"/>
        </w:rPr>
        <w:t>4%</w:t>
      </w:r>
      <w:r>
        <w:rPr>
          <w:rFonts w:ascii="楷体" w:eastAsia="楷体" w:hAnsi="楷体" w:cs="Arial" w:hint="eastAsia"/>
          <w:szCs w:val="21"/>
        </w:rPr>
        <w:t>。</w:t>
      </w:r>
      <w:r w:rsidRPr="00706890">
        <w:rPr>
          <w:rFonts w:ascii="楷体" w:eastAsia="楷体" w:hAnsi="楷体" w:cs="Arial" w:hint="eastAsia"/>
          <w:szCs w:val="21"/>
        </w:rPr>
        <w:t>收益排名第一、第二的分别是金元惠理新经济主题（</w:t>
      </w:r>
      <w:r w:rsidRPr="00706890">
        <w:rPr>
          <w:rFonts w:ascii="楷体" w:eastAsia="楷体" w:hAnsi="楷体" w:cs="Arial"/>
          <w:szCs w:val="21"/>
        </w:rPr>
        <w:t>25.19%</w:t>
      </w:r>
      <w:r w:rsidRPr="00706890">
        <w:rPr>
          <w:rFonts w:ascii="楷体" w:eastAsia="楷体" w:hAnsi="楷体" w:cs="Arial" w:hint="eastAsia"/>
          <w:szCs w:val="21"/>
        </w:rPr>
        <w:t>）和海富通国策导向（</w:t>
      </w:r>
      <w:r w:rsidRPr="00706890">
        <w:rPr>
          <w:rFonts w:ascii="楷体" w:eastAsia="楷体" w:hAnsi="楷体" w:cs="Arial"/>
          <w:szCs w:val="21"/>
        </w:rPr>
        <w:t>20.55%</w:t>
      </w:r>
      <w:r w:rsidRPr="00706890">
        <w:rPr>
          <w:rFonts w:ascii="楷体" w:eastAsia="楷体" w:hAnsi="楷体" w:cs="Arial" w:hint="eastAsia"/>
          <w:szCs w:val="21"/>
        </w:rPr>
        <w:t>）。</w:t>
      </w:r>
      <w:r w:rsidRPr="00706890">
        <w:rPr>
          <w:rFonts w:ascii="楷体" w:eastAsia="楷体" w:hAnsi="楷体" w:cs="Arial"/>
          <w:szCs w:val="21"/>
        </w:rPr>
        <w:t>257</w:t>
      </w:r>
      <w:r w:rsidRPr="00706890">
        <w:rPr>
          <w:rFonts w:ascii="楷体" w:eastAsia="楷体" w:hAnsi="楷体" w:cs="Arial" w:hint="eastAsia"/>
          <w:szCs w:val="21"/>
        </w:rPr>
        <w:t>只股票</w:t>
      </w:r>
      <w:r w:rsidRPr="00706890">
        <w:rPr>
          <w:rFonts w:ascii="楷体" w:eastAsia="楷体" w:hAnsi="楷体" w:cs="Arial"/>
          <w:szCs w:val="21"/>
        </w:rPr>
        <w:t>-</w:t>
      </w:r>
      <w:r w:rsidRPr="00706890">
        <w:rPr>
          <w:rFonts w:ascii="楷体" w:eastAsia="楷体" w:hAnsi="楷体" w:cs="Arial" w:hint="eastAsia"/>
          <w:szCs w:val="21"/>
        </w:rPr>
        <w:t>指数型基金周收益率均值为</w:t>
      </w:r>
      <w:r w:rsidRPr="00706890">
        <w:rPr>
          <w:rFonts w:ascii="楷体" w:eastAsia="楷体" w:hAnsi="楷体" w:cs="Arial"/>
          <w:szCs w:val="21"/>
        </w:rPr>
        <w:t>7.82%</w:t>
      </w:r>
      <w:r>
        <w:rPr>
          <w:rFonts w:ascii="楷体" w:eastAsia="楷体" w:hAnsi="楷体" w:cs="Arial" w:hint="eastAsia"/>
          <w:szCs w:val="21"/>
        </w:rPr>
        <w:t>，达</w:t>
      </w:r>
      <w:r w:rsidRPr="00706890">
        <w:rPr>
          <w:rFonts w:ascii="楷体" w:eastAsia="楷体" w:hAnsi="楷体" w:cs="Arial"/>
          <w:szCs w:val="21"/>
        </w:rPr>
        <w:t>98%</w:t>
      </w:r>
      <w:r w:rsidRPr="00706890">
        <w:rPr>
          <w:rFonts w:ascii="楷体" w:eastAsia="楷体" w:hAnsi="楷体" w:cs="Arial" w:hint="eastAsia"/>
          <w:szCs w:val="21"/>
        </w:rPr>
        <w:t>的产品上涨，</w:t>
      </w:r>
      <w:r w:rsidRPr="00706890">
        <w:rPr>
          <w:rFonts w:ascii="楷体" w:eastAsia="楷体" w:hAnsi="楷体" w:cs="Arial"/>
          <w:szCs w:val="21"/>
        </w:rPr>
        <w:t>36%</w:t>
      </w:r>
      <w:r w:rsidRPr="00706890">
        <w:rPr>
          <w:rFonts w:ascii="楷体" w:eastAsia="楷体" w:hAnsi="楷体" w:cs="Arial" w:hint="eastAsia"/>
          <w:szCs w:val="21"/>
        </w:rPr>
        <w:t>的产品周收益率超</w:t>
      </w:r>
      <w:r w:rsidRPr="00706890">
        <w:rPr>
          <w:rFonts w:ascii="楷体" w:eastAsia="楷体" w:hAnsi="楷体" w:cs="Arial"/>
          <w:szCs w:val="21"/>
        </w:rPr>
        <w:t>10%</w:t>
      </w:r>
      <w:r w:rsidRPr="00706890">
        <w:rPr>
          <w:rFonts w:ascii="楷体" w:eastAsia="楷体" w:hAnsi="楷体" w:cs="Arial" w:hint="eastAsia"/>
          <w:szCs w:val="21"/>
        </w:rPr>
        <w:t>，</w:t>
      </w:r>
      <w:r>
        <w:rPr>
          <w:rFonts w:ascii="楷体" w:eastAsia="楷体" w:hAnsi="楷体" w:cs="Arial" w:hint="eastAsia"/>
          <w:szCs w:val="21"/>
        </w:rPr>
        <w:t>收益位居前两名</w:t>
      </w:r>
      <w:r w:rsidRPr="00706890">
        <w:rPr>
          <w:rFonts w:ascii="楷体" w:eastAsia="楷体" w:hAnsi="楷体" w:cs="Arial" w:hint="eastAsia"/>
          <w:szCs w:val="21"/>
        </w:rPr>
        <w:t>的分别是申万菱信申万证券行业分级（</w:t>
      </w:r>
      <w:r w:rsidRPr="00706890">
        <w:rPr>
          <w:rFonts w:ascii="楷体" w:eastAsia="楷体" w:hAnsi="楷体" w:cs="Arial"/>
          <w:szCs w:val="21"/>
        </w:rPr>
        <w:t>31.21%</w:t>
      </w:r>
      <w:r w:rsidRPr="00706890">
        <w:rPr>
          <w:rFonts w:ascii="楷体" w:eastAsia="楷体" w:hAnsi="楷体" w:cs="Arial" w:hint="eastAsia"/>
          <w:szCs w:val="21"/>
        </w:rPr>
        <w:t>）和易方达沪深</w:t>
      </w:r>
      <w:r w:rsidRPr="00706890">
        <w:rPr>
          <w:rFonts w:ascii="楷体" w:eastAsia="楷体" w:hAnsi="楷体" w:cs="Arial"/>
          <w:szCs w:val="21"/>
        </w:rPr>
        <w:t>300</w:t>
      </w:r>
      <w:r w:rsidRPr="00706890">
        <w:rPr>
          <w:rFonts w:ascii="楷体" w:eastAsia="楷体" w:hAnsi="楷体" w:cs="Arial" w:hint="eastAsia"/>
          <w:szCs w:val="21"/>
        </w:rPr>
        <w:t>非银</w:t>
      </w:r>
      <w:r w:rsidRPr="00706890">
        <w:rPr>
          <w:rFonts w:ascii="楷体" w:eastAsia="楷体" w:hAnsi="楷体" w:cs="Arial"/>
          <w:szCs w:val="21"/>
        </w:rPr>
        <w:t>ETF</w:t>
      </w:r>
      <w:r w:rsidRPr="00706890">
        <w:rPr>
          <w:rFonts w:ascii="楷体" w:eastAsia="楷体" w:hAnsi="楷体" w:cs="Arial" w:hint="eastAsia"/>
          <w:szCs w:val="21"/>
        </w:rPr>
        <w:t>（</w:t>
      </w:r>
      <w:r w:rsidRPr="00706890">
        <w:rPr>
          <w:rFonts w:ascii="楷体" w:eastAsia="楷体" w:hAnsi="楷体" w:cs="Arial"/>
          <w:szCs w:val="21"/>
        </w:rPr>
        <w:t>25.56%</w:t>
      </w:r>
      <w:r w:rsidRPr="00706890">
        <w:rPr>
          <w:rFonts w:ascii="楷体" w:eastAsia="楷体" w:hAnsi="楷体" w:cs="Arial" w:hint="eastAsia"/>
          <w:szCs w:val="21"/>
        </w:rPr>
        <w:t>）。</w:t>
      </w:r>
    </w:p>
    <w:p w:rsidR="00CD1FCC" w:rsidRPr="00706890" w:rsidRDefault="00CD1FCC" w:rsidP="005A43E6">
      <w:pPr>
        <w:pStyle w:val="BodyText"/>
        <w:numPr>
          <w:ilvl w:val="5"/>
          <w:numId w:val="2"/>
        </w:numPr>
        <w:spacing w:after="163"/>
        <w:ind w:left="4140" w:hanging="369"/>
        <w:rPr>
          <w:rFonts w:ascii="楷体" w:eastAsia="楷体" w:hAnsi="楷体" w:cs="Arial"/>
          <w:szCs w:val="21"/>
        </w:rPr>
      </w:pPr>
      <w:r w:rsidRPr="00706890">
        <w:rPr>
          <w:rFonts w:ascii="楷体" w:eastAsia="楷体" w:hAnsi="楷体" w:cs="Arial" w:hint="eastAsia"/>
          <w:szCs w:val="21"/>
        </w:rPr>
        <w:t>混合</w:t>
      </w:r>
      <w:r w:rsidRPr="00706890">
        <w:rPr>
          <w:rFonts w:ascii="楷体" w:eastAsia="楷体" w:hAnsi="楷体" w:cs="Arial"/>
          <w:szCs w:val="21"/>
        </w:rPr>
        <w:t>-</w:t>
      </w:r>
      <w:r w:rsidRPr="00706890">
        <w:rPr>
          <w:rFonts w:ascii="楷体" w:eastAsia="楷体" w:hAnsi="楷体" w:cs="Arial" w:hint="eastAsia"/>
          <w:szCs w:val="21"/>
        </w:rPr>
        <w:t>灵活型，混合</w:t>
      </w:r>
      <w:r w:rsidRPr="00706890">
        <w:rPr>
          <w:rFonts w:ascii="楷体" w:eastAsia="楷体" w:hAnsi="楷体" w:cs="Arial"/>
          <w:szCs w:val="21"/>
        </w:rPr>
        <w:t>-</w:t>
      </w:r>
      <w:r w:rsidRPr="00706890">
        <w:rPr>
          <w:rFonts w:ascii="楷体" w:eastAsia="楷体" w:hAnsi="楷体" w:cs="Arial" w:hint="eastAsia"/>
          <w:szCs w:val="21"/>
        </w:rPr>
        <w:t>偏股型和混合</w:t>
      </w:r>
      <w:r w:rsidRPr="00706890">
        <w:rPr>
          <w:rFonts w:ascii="楷体" w:eastAsia="楷体" w:hAnsi="楷体" w:cs="Arial"/>
          <w:szCs w:val="21"/>
        </w:rPr>
        <w:t>-</w:t>
      </w:r>
      <w:r w:rsidRPr="00706890">
        <w:rPr>
          <w:rFonts w:ascii="楷体" w:eastAsia="楷体" w:hAnsi="楷体" w:cs="Arial" w:hint="eastAsia"/>
          <w:szCs w:val="21"/>
        </w:rPr>
        <w:t>偏债型基金的周收益率均值依次为</w:t>
      </w:r>
      <w:r w:rsidRPr="00706890">
        <w:rPr>
          <w:rFonts w:ascii="楷体" w:eastAsia="楷体" w:hAnsi="楷体" w:cs="Arial"/>
          <w:szCs w:val="21"/>
        </w:rPr>
        <w:t>3.13%</w:t>
      </w:r>
      <w:r w:rsidRPr="00706890">
        <w:rPr>
          <w:rFonts w:ascii="楷体" w:eastAsia="楷体" w:hAnsi="楷体" w:cs="Arial" w:hint="eastAsia"/>
          <w:szCs w:val="21"/>
        </w:rPr>
        <w:t>，</w:t>
      </w:r>
      <w:r w:rsidRPr="00706890">
        <w:rPr>
          <w:rFonts w:ascii="楷体" w:eastAsia="楷体" w:hAnsi="楷体" w:cs="Arial"/>
          <w:szCs w:val="21"/>
        </w:rPr>
        <w:t>3.07%</w:t>
      </w:r>
      <w:r w:rsidRPr="00706890">
        <w:rPr>
          <w:rFonts w:ascii="楷体" w:eastAsia="楷体" w:hAnsi="楷体" w:cs="Arial" w:hint="eastAsia"/>
          <w:szCs w:val="21"/>
        </w:rPr>
        <w:t>和</w:t>
      </w:r>
      <w:r w:rsidRPr="00706890">
        <w:rPr>
          <w:rFonts w:ascii="楷体" w:eastAsia="楷体" w:hAnsi="楷体" w:cs="Arial"/>
          <w:szCs w:val="21"/>
        </w:rPr>
        <w:t>2.13%</w:t>
      </w:r>
      <w:r w:rsidRPr="00706890">
        <w:rPr>
          <w:rFonts w:ascii="楷体" w:eastAsia="楷体" w:hAnsi="楷体" w:cs="Arial" w:hint="eastAsia"/>
          <w:szCs w:val="21"/>
        </w:rPr>
        <w:t>。</w:t>
      </w:r>
      <w:r w:rsidRPr="00706890">
        <w:rPr>
          <w:rFonts w:ascii="楷体" w:eastAsia="楷体" w:hAnsi="楷体" w:cs="Arial"/>
          <w:szCs w:val="21"/>
        </w:rPr>
        <w:t>234</w:t>
      </w:r>
      <w:r w:rsidRPr="00706890">
        <w:rPr>
          <w:rFonts w:ascii="楷体" w:eastAsia="楷体" w:hAnsi="楷体" w:cs="Arial" w:hint="eastAsia"/>
          <w:szCs w:val="21"/>
        </w:rPr>
        <w:t>只灵活型基金中，约</w:t>
      </w:r>
      <w:r w:rsidRPr="00706890">
        <w:rPr>
          <w:rFonts w:ascii="楷体" w:eastAsia="楷体" w:hAnsi="楷体" w:cs="Arial"/>
          <w:szCs w:val="21"/>
        </w:rPr>
        <w:t>87%</w:t>
      </w:r>
      <w:r w:rsidRPr="00706890">
        <w:rPr>
          <w:rFonts w:ascii="楷体" w:eastAsia="楷体" w:hAnsi="楷体" w:cs="Arial" w:hint="eastAsia"/>
          <w:szCs w:val="21"/>
        </w:rPr>
        <w:t>的产品上涨，最高收益者仍然为交银主题优选（</w:t>
      </w:r>
      <w:r w:rsidRPr="00706890">
        <w:rPr>
          <w:rFonts w:ascii="楷体" w:eastAsia="楷体" w:hAnsi="楷体" w:cs="Arial"/>
          <w:szCs w:val="21"/>
        </w:rPr>
        <w:t>15.31%</w:t>
      </w:r>
      <w:r w:rsidRPr="00706890">
        <w:rPr>
          <w:rFonts w:ascii="楷体" w:eastAsia="楷体" w:hAnsi="楷体" w:cs="Arial" w:hint="eastAsia"/>
          <w:szCs w:val="21"/>
        </w:rPr>
        <w:t>），最低收益为</w:t>
      </w:r>
      <w:r w:rsidRPr="00706890">
        <w:rPr>
          <w:rFonts w:ascii="楷体" w:eastAsia="楷体" w:hAnsi="楷体" w:cs="Arial"/>
          <w:szCs w:val="21"/>
        </w:rPr>
        <w:t>-2.62%</w:t>
      </w:r>
      <w:r w:rsidRPr="00706890">
        <w:rPr>
          <w:rFonts w:ascii="楷体" w:eastAsia="楷体" w:hAnsi="楷体" w:cs="Arial" w:hint="eastAsia"/>
          <w:szCs w:val="21"/>
        </w:rPr>
        <w:t>。</w:t>
      </w:r>
      <w:r w:rsidRPr="00706890">
        <w:rPr>
          <w:rFonts w:ascii="楷体" w:eastAsia="楷体" w:hAnsi="楷体" w:cs="Arial"/>
          <w:szCs w:val="21"/>
        </w:rPr>
        <w:t xml:space="preserve"> 35</w:t>
      </w:r>
      <w:r w:rsidRPr="00706890">
        <w:rPr>
          <w:rFonts w:ascii="楷体" w:eastAsia="楷体" w:hAnsi="楷体" w:cs="Arial" w:hint="eastAsia"/>
          <w:szCs w:val="21"/>
        </w:rPr>
        <w:t>只偏股型基金中，约</w:t>
      </w:r>
      <w:r w:rsidRPr="00706890">
        <w:rPr>
          <w:rFonts w:ascii="楷体" w:eastAsia="楷体" w:hAnsi="楷体" w:cs="Arial"/>
          <w:szCs w:val="21"/>
        </w:rPr>
        <w:t>89%</w:t>
      </w:r>
      <w:r w:rsidRPr="00706890">
        <w:rPr>
          <w:rFonts w:ascii="楷体" w:eastAsia="楷体" w:hAnsi="楷体" w:cs="Arial" w:hint="eastAsia"/>
          <w:szCs w:val="21"/>
        </w:rPr>
        <w:t>的产品上涨，最高收益者为金元惠理宝石动力（</w:t>
      </w:r>
      <w:r w:rsidRPr="00706890">
        <w:rPr>
          <w:rFonts w:ascii="楷体" w:eastAsia="楷体" w:hAnsi="楷体" w:cs="Arial"/>
          <w:szCs w:val="21"/>
        </w:rPr>
        <w:t>10.99%</w:t>
      </w:r>
      <w:r w:rsidRPr="00706890">
        <w:rPr>
          <w:rFonts w:ascii="楷体" w:eastAsia="楷体" w:hAnsi="楷体" w:cs="Arial" w:hint="eastAsia"/>
          <w:szCs w:val="21"/>
        </w:rPr>
        <w:t>），最低收益为</w:t>
      </w:r>
      <w:r w:rsidRPr="00706890">
        <w:rPr>
          <w:rFonts w:ascii="楷体" w:eastAsia="楷体" w:hAnsi="楷体" w:cs="Arial"/>
          <w:szCs w:val="21"/>
        </w:rPr>
        <w:t>-2.35%</w:t>
      </w:r>
      <w:r w:rsidRPr="00706890">
        <w:rPr>
          <w:rFonts w:ascii="楷体" w:eastAsia="楷体" w:hAnsi="楷体" w:cs="Arial" w:hint="eastAsia"/>
          <w:szCs w:val="21"/>
        </w:rPr>
        <w:t>。</w:t>
      </w:r>
      <w:r w:rsidRPr="00706890">
        <w:rPr>
          <w:rFonts w:ascii="楷体" w:eastAsia="楷体" w:hAnsi="楷体" w:cs="Arial"/>
          <w:szCs w:val="21"/>
        </w:rPr>
        <w:t>20</w:t>
      </w:r>
      <w:r w:rsidRPr="00706890">
        <w:rPr>
          <w:rFonts w:ascii="楷体" w:eastAsia="楷体" w:hAnsi="楷体" w:cs="Arial" w:hint="eastAsia"/>
          <w:szCs w:val="21"/>
        </w:rPr>
        <w:t>只偏债型基金中，</w:t>
      </w:r>
      <w:r w:rsidRPr="00706890">
        <w:rPr>
          <w:rFonts w:ascii="楷体" w:eastAsia="楷体" w:hAnsi="楷体" w:cs="Arial"/>
          <w:szCs w:val="21"/>
        </w:rPr>
        <w:t>90%</w:t>
      </w:r>
      <w:r w:rsidRPr="00706890">
        <w:rPr>
          <w:rFonts w:ascii="楷体" w:eastAsia="楷体" w:hAnsi="楷体" w:cs="Arial" w:hint="eastAsia"/>
          <w:szCs w:val="21"/>
        </w:rPr>
        <w:t>的产品上涨，最高收益者为大成景益平稳收益（</w:t>
      </w:r>
      <w:r w:rsidRPr="00706890">
        <w:rPr>
          <w:rFonts w:ascii="楷体" w:eastAsia="楷体" w:hAnsi="楷体" w:cs="Arial"/>
          <w:szCs w:val="21"/>
        </w:rPr>
        <w:t>8.08%</w:t>
      </w:r>
      <w:r w:rsidRPr="00706890">
        <w:rPr>
          <w:rFonts w:ascii="楷体" w:eastAsia="楷体" w:hAnsi="楷体" w:cs="Arial" w:hint="eastAsia"/>
          <w:szCs w:val="21"/>
        </w:rPr>
        <w:t>），最低收益为</w:t>
      </w:r>
      <w:r w:rsidRPr="00706890">
        <w:rPr>
          <w:rFonts w:ascii="楷体" w:eastAsia="楷体" w:hAnsi="楷体" w:cs="Arial"/>
          <w:szCs w:val="21"/>
        </w:rPr>
        <w:t>-1.39%</w:t>
      </w:r>
      <w:r w:rsidRPr="00706890">
        <w:rPr>
          <w:rFonts w:ascii="楷体" w:eastAsia="楷体" w:hAnsi="楷体" w:cs="Arial" w:hint="eastAsia"/>
          <w:szCs w:val="21"/>
        </w:rPr>
        <w:t>。</w:t>
      </w:r>
    </w:p>
    <w:p w:rsidR="00CD1FCC" w:rsidRPr="008E21B7" w:rsidRDefault="00CD1FCC" w:rsidP="00C403EB">
      <w:pPr>
        <w:pStyle w:val="BodyText"/>
        <w:numPr>
          <w:ilvl w:val="4"/>
          <w:numId w:val="1"/>
        </w:numPr>
        <w:spacing w:after="163"/>
        <w:rPr>
          <w:rFonts w:ascii="楷体" w:eastAsia="楷体" w:hAnsi="楷体" w:cs="Arial"/>
          <w:szCs w:val="21"/>
        </w:rPr>
      </w:pPr>
      <w:r w:rsidRPr="008E21B7">
        <w:rPr>
          <w:rFonts w:ascii="楷体" w:eastAsia="楷体" w:hAnsi="楷体" w:cs="Arial"/>
          <w:szCs w:val="21"/>
        </w:rPr>
        <w:t>91</w:t>
      </w:r>
      <w:r w:rsidRPr="008E21B7">
        <w:rPr>
          <w:rFonts w:ascii="楷体" w:eastAsia="楷体" w:hAnsi="楷体" w:cs="Arial" w:hint="eastAsia"/>
          <w:szCs w:val="21"/>
        </w:rPr>
        <w:t>只</w:t>
      </w:r>
      <w:r w:rsidRPr="008E21B7">
        <w:rPr>
          <w:rFonts w:ascii="楷体" w:eastAsia="楷体" w:hAnsi="楷体" w:cs="Arial"/>
          <w:szCs w:val="21"/>
        </w:rPr>
        <w:t>QDII</w:t>
      </w:r>
      <w:r w:rsidRPr="008E21B7">
        <w:rPr>
          <w:rFonts w:ascii="楷体" w:eastAsia="楷体" w:hAnsi="楷体" w:cs="Arial" w:hint="eastAsia"/>
          <w:szCs w:val="21"/>
        </w:rPr>
        <w:t>平均下跌</w:t>
      </w:r>
      <w:r w:rsidRPr="008E21B7">
        <w:rPr>
          <w:rFonts w:ascii="楷体" w:eastAsia="楷体" w:hAnsi="楷体" w:cs="Arial"/>
          <w:szCs w:val="21"/>
        </w:rPr>
        <w:t>0.75%</w:t>
      </w:r>
      <w:r w:rsidRPr="008E21B7">
        <w:rPr>
          <w:rFonts w:ascii="楷体" w:eastAsia="楷体" w:hAnsi="楷体" w:cs="Arial" w:hint="eastAsia"/>
          <w:szCs w:val="21"/>
        </w:rPr>
        <w:t>，与前周相比，新兴市场基金和行业基金都涨少跌多，美股基金收益</w:t>
      </w:r>
      <w:r>
        <w:rPr>
          <w:rFonts w:ascii="楷体" w:eastAsia="楷体" w:hAnsi="楷体" w:cs="Arial" w:hint="eastAsia"/>
          <w:szCs w:val="21"/>
        </w:rPr>
        <w:t>率有所下滑</w:t>
      </w:r>
      <w:r w:rsidRPr="008E21B7">
        <w:rPr>
          <w:rFonts w:ascii="楷体" w:eastAsia="楷体" w:hAnsi="楷体" w:cs="Arial" w:hint="eastAsia"/>
          <w:szCs w:val="21"/>
        </w:rPr>
        <w:t>，黄金主题的商品基金微涨，半数全球市场基金下跌。比较各类产品收益，新兴市场基金业绩排名靠前，美股基金排名中上游。</w:t>
      </w:r>
      <w:r w:rsidRPr="008E21B7">
        <w:rPr>
          <w:rFonts w:ascii="楷体" w:eastAsia="楷体" w:hAnsi="楷体" w:cs="Arial"/>
          <w:szCs w:val="21"/>
        </w:rPr>
        <w:t>QDII</w:t>
      </w:r>
      <w:r w:rsidRPr="008E21B7">
        <w:rPr>
          <w:rFonts w:ascii="楷体" w:eastAsia="楷体" w:hAnsi="楷体" w:cs="Arial" w:hint="eastAsia"/>
          <w:szCs w:val="21"/>
        </w:rPr>
        <w:t>业绩前五名均为投资香港市场的产品</w:t>
      </w:r>
      <w:r w:rsidRPr="008E21B7">
        <w:rPr>
          <w:rFonts w:ascii="楷体" w:eastAsia="楷体" w:hAnsi="楷体" w:cs="Arial"/>
          <w:szCs w:val="21"/>
        </w:rPr>
        <w:t>,</w:t>
      </w:r>
      <w:r w:rsidRPr="008E21B7">
        <w:rPr>
          <w:rFonts w:ascii="楷体" w:eastAsia="楷体" w:hAnsi="楷体"/>
          <w:szCs w:val="21"/>
        </w:rPr>
        <w:t xml:space="preserve"> </w:t>
      </w:r>
      <w:r w:rsidRPr="008E21B7">
        <w:rPr>
          <w:rFonts w:ascii="楷体" w:eastAsia="楷体" w:hAnsi="楷体" w:hint="eastAsia"/>
          <w:szCs w:val="21"/>
        </w:rPr>
        <w:t>最高收益为银华恒生</w:t>
      </w:r>
      <w:r w:rsidRPr="008E21B7">
        <w:rPr>
          <w:rFonts w:ascii="楷体" w:eastAsia="楷体" w:hAnsi="楷体"/>
          <w:szCs w:val="21"/>
        </w:rPr>
        <w:t>H</w:t>
      </w:r>
      <w:r w:rsidRPr="008E21B7">
        <w:rPr>
          <w:rFonts w:ascii="楷体" w:eastAsia="楷体" w:hAnsi="楷体" w:hint="eastAsia"/>
          <w:szCs w:val="21"/>
        </w:rPr>
        <w:t>股</w:t>
      </w:r>
      <w:r w:rsidRPr="008E21B7">
        <w:rPr>
          <w:rFonts w:ascii="楷体" w:eastAsia="楷体" w:hAnsi="楷体"/>
          <w:szCs w:val="21"/>
        </w:rPr>
        <w:t>B</w:t>
      </w:r>
      <w:r w:rsidRPr="008E21B7">
        <w:rPr>
          <w:rFonts w:ascii="楷体" w:eastAsia="楷体" w:hAnsi="楷体" w:hint="eastAsia"/>
          <w:szCs w:val="21"/>
        </w:rPr>
        <w:t>的</w:t>
      </w:r>
      <w:r w:rsidRPr="008E21B7">
        <w:rPr>
          <w:rFonts w:ascii="楷体" w:eastAsia="楷体" w:hAnsi="楷体"/>
          <w:szCs w:val="21"/>
        </w:rPr>
        <w:t>7.04%</w:t>
      </w:r>
      <w:r w:rsidRPr="008E21B7">
        <w:rPr>
          <w:rFonts w:ascii="楷体" w:eastAsia="楷体" w:hAnsi="楷体" w:hint="eastAsia"/>
          <w:szCs w:val="21"/>
        </w:rPr>
        <w:t>，</w:t>
      </w:r>
      <w:r w:rsidRPr="008E21B7">
        <w:rPr>
          <w:rFonts w:ascii="楷体" w:eastAsia="楷体" w:hAnsi="楷体" w:cs="Arial" w:hint="eastAsia"/>
          <w:szCs w:val="21"/>
        </w:rPr>
        <w:t>最低收益为</w:t>
      </w:r>
      <w:r w:rsidRPr="008E21B7">
        <w:rPr>
          <w:rFonts w:ascii="楷体" w:eastAsia="楷体" w:hAnsi="楷体" w:cs="Arial"/>
          <w:szCs w:val="21"/>
        </w:rPr>
        <w:t>-15.12%</w:t>
      </w:r>
      <w:r w:rsidRPr="008E21B7">
        <w:rPr>
          <w:rFonts w:ascii="楷体" w:eastAsia="楷体" w:hAnsi="楷体" w:cs="Arial" w:hint="eastAsia"/>
          <w:szCs w:val="21"/>
        </w:rPr>
        <w:t>。</w:t>
      </w:r>
    </w:p>
    <w:p w:rsidR="00CD1FCC" w:rsidRPr="00CD2EE1" w:rsidRDefault="00CD1FCC" w:rsidP="00CD2EE1">
      <w:pPr>
        <w:widowControl/>
        <w:spacing w:after="120"/>
        <w:ind w:left="3430"/>
        <w:rPr>
          <w:rFonts w:ascii="楷体" w:eastAsia="楷体" w:hAnsi="楷体"/>
          <w:b/>
          <w:bCs/>
          <w:color w:val="0070C0"/>
          <w:kern w:val="0"/>
          <w:szCs w:val="21"/>
          <w:lang w:val="en-GB"/>
        </w:rPr>
      </w:pPr>
      <w:r w:rsidRPr="005B7CDB">
        <w:rPr>
          <w:rFonts w:ascii="楷体" w:eastAsia="楷体" w:hAnsi="楷体" w:hint="eastAsia"/>
          <w:b/>
          <w:bCs/>
          <w:color w:val="0070C0"/>
          <w:kern w:val="0"/>
          <w:szCs w:val="21"/>
          <w:lang w:val="en-GB"/>
        </w:rPr>
        <w:t>固定</w:t>
      </w:r>
      <w:r w:rsidRPr="003B6A6A">
        <w:rPr>
          <w:rFonts w:ascii="楷体" w:eastAsia="楷体" w:hAnsi="楷体" w:hint="eastAsia"/>
          <w:b/>
          <w:bCs/>
          <w:color w:val="0070C0"/>
          <w:kern w:val="0"/>
          <w:szCs w:val="21"/>
          <w:lang w:val="en-GB"/>
        </w:rPr>
        <w:t>收</w:t>
      </w:r>
      <w:r w:rsidRPr="005B7CDB">
        <w:rPr>
          <w:rFonts w:ascii="楷体" w:eastAsia="楷体" w:hAnsi="楷体" w:hint="eastAsia"/>
          <w:b/>
          <w:bCs/>
          <w:color w:val="0070C0"/>
          <w:kern w:val="0"/>
          <w:szCs w:val="21"/>
          <w:lang w:val="en-GB"/>
        </w:rPr>
        <w:t>益类基金一周业绩：</w:t>
      </w:r>
      <w:r w:rsidRPr="00EB505F">
        <w:rPr>
          <w:rFonts w:ascii="楷体" w:eastAsia="楷体" w:hAnsi="楷体"/>
          <w:b/>
          <w:bCs/>
          <w:color w:val="0070C0"/>
          <w:kern w:val="0"/>
          <w:szCs w:val="21"/>
          <w:lang w:val="en-GB"/>
        </w:rPr>
        <w:t xml:space="preserve"> </w:t>
      </w:r>
      <w:r>
        <w:rPr>
          <w:rFonts w:ascii="楷体" w:eastAsia="楷体" w:hAnsi="楷体" w:hint="eastAsia"/>
          <w:b/>
          <w:bCs/>
          <w:color w:val="0070C0"/>
          <w:kern w:val="0"/>
          <w:szCs w:val="21"/>
          <w:lang w:val="en-GB"/>
        </w:rPr>
        <w:t>债券基金涨跌互现，货币基金收益率下降</w:t>
      </w:r>
    </w:p>
    <w:p w:rsidR="00CD1FCC" w:rsidRPr="00D6545D" w:rsidRDefault="00CD1FCC" w:rsidP="00A03150">
      <w:pPr>
        <w:pStyle w:val="BodyText"/>
        <w:numPr>
          <w:ilvl w:val="4"/>
          <w:numId w:val="1"/>
        </w:numPr>
        <w:spacing w:after="163"/>
        <w:rPr>
          <w:rFonts w:ascii="楷体" w:eastAsia="楷体" w:hAnsi="楷体" w:cs="Arial"/>
          <w:szCs w:val="21"/>
        </w:rPr>
      </w:pPr>
      <w:r w:rsidRPr="00AB7143">
        <w:rPr>
          <w:rFonts w:ascii="楷体" w:eastAsia="楷体" w:hAnsi="楷体" w:hint="eastAsia"/>
          <w:szCs w:val="21"/>
        </w:rPr>
        <w:t>上周，央行未在公开市场进行任何操作，实现自然净投放</w:t>
      </w:r>
      <w:r w:rsidRPr="00AB7143">
        <w:rPr>
          <w:rFonts w:ascii="楷体" w:eastAsia="楷体" w:hAnsi="楷体"/>
          <w:szCs w:val="21"/>
        </w:rPr>
        <w:t>300</w:t>
      </w:r>
      <w:r w:rsidRPr="00AB7143">
        <w:rPr>
          <w:rFonts w:ascii="楷体" w:eastAsia="楷体" w:hAnsi="楷体" w:hint="eastAsia"/>
          <w:szCs w:val="21"/>
        </w:rPr>
        <w:t>亿元，市场利率维持低位，沪深交易所债券回购利率继续走低，资金态度趋于谨慎</w:t>
      </w:r>
      <w:r w:rsidRPr="00D6545D">
        <w:rPr>
          <w:rFonts w:ascii="楷体" w:eastAsia="楷体" w:hAnsi="楷体" w:hint="eastAsia"/>
          <w:szCs w:val="21"/>
        </w:rPr>
        <w:t>。</w:t>
      </w:r>
    </w:p>
    <w:p w:rsidR="00CD1FCC" w:rsidRPr="00D6545D" w:rsidRDefault="00CD1FCC" w:rsidP="00701B7A">
      <w:pPr>
        <w:pStyle w:val="BodyText"/>
        <w:numPr>
          <w:ilvl w:val="4"/>
          <w:numId w:val="1"/>
        </w:numPr>
        <w:spacing w:after="163"/>
        <w:rPr>
          <w:rFonts w:ascii="楷体" w:eastAsia="楷体" w:hAnsi="楷体" w:cs="Arial"/>
          <w:szCs w:val="21"/>
        </w:rPr>
      </w:pPr>
      <w:r w:rsidRPr="00D6545D">
        <w:rPr>
          <w:rFonts w:ascii="楷体" w:eastAsia="楷体" w:hAnsi="楷体" w:cs="Arial" w:hint="eastAsia"/>
          <w:szCs w:val="21"/>
        </w:rPr>
        <w:t>债基业绩分化明显，可转债基涨幅扩大至</w:t>
      </w:r>
      <w:r w:rsidRPr="00D6545D">
        <w:rPr>
          <w:rFonts w:ascii="楷体" w:eastAsia="楷体" w:hAnsi="楷体" w:cs="Arial"/>
          <w:szCs w:val="21"/>
        </w:rPr>
        <w:t>10.52%</w:t>
      </w:r>
      <w:r w:rsidRPr="00D6545D">
        <w:rPr>
          <w:rFonts w:ascii="楷体" w:eastAsia="楷体" w:hAnsi="楷体" w:cs="Arial" w:hint="eastAsia"/>
          <w:szCs w:val="21"/>
        </w:rPr>
        <w:t>，</w:t>
      </w:r>
      <w:r w:rsidRPr="00D6545D">
        <w:rPr>
          <w:rFonts w:ascii="楷体" w:eastAsia="楷体" w:hAnsi="楷体" w:hint="eastAsia"/>
          <w:szCs w:val="21"/>
        </w:rPr>
        <w:t>长信可转债</w:t>
      </w:r>
      <w:r w:rsidRPr="00D6545D">
        <w:rPr>
          <w:rFonts w:ascii="楷体" w:eastAsia="楷体" w:hAnsi="楷体"/>
          <w:szCs w:val="21"/>
        </w:rPr>
        <w:t>A</w:t>
      </w:r>
      <w:r w:rsidRPr="00D6545D">
        <w:rPr>
          <w:rFonts w:ascii="楷体" w:eastAsia="楷体" w:hAnsi="楷体" w:hint="eastAsia"/>
          <w:szCs w:val="21"/>
        </w:rPr>
        <w:t>（</w:t>
      </w:r>
      <w:r w:rsidRPr="00D6545D">
        <w:rPr>
          <w:rFonts w:ascii="楷体" w:eastAsia="楷体" w:hAnsi="楷体"/>
          <w:szCs w:val="21"/>
        </w:rPr>
        <w:t>15.45%</w:t>
      </w:r>
      <w:r w:rsidRPr="00D6545D">
        <w:rPr>
          <w:rFonts w:ascii="楷体" w:eastAsia="楷体" w:hAnsi="楷体" w:hint="eastAsia"/>
          <w:szCs w:val="21"/>
        </w:rPr>
        <w:t>）和长信可转债</w:t>
      </w:r>
      <w:r w:rsidRPr="00D6545D">
        <w:rPr>
          <w:rFonts w:ascii="楷体" w:eastAsia="楷体" w:hAnsi="楷体"/>
          <w:szCs w:val="21"/>
        </w:rPr>
        <w:t>C</w:t>
      </w:r>
      <w:r w:rsidRPr="00D6545D">
        <w:rPr>
          <w:rFonts w:ascii="楷体" w:eastAsia="楷体" w:hAnsi="楷体" w:hint="eastAsia"/>
          <w:szCs w:val="21"/>
        </w:rPr>
        <w:t>（</w:t>
      </w:r>
      <w:r w:rsidRPr="00D6545D">
        <w:rPr>
          <w:rFonts w:ascii="楷体" w:eastAsia="楷体" w:hAnsi="楷体"/>
          <w:szCs w:val="21"/>
        </w:rPr>
        <w:t>15.41%</w:t>
      </w:r>
      <w:r w:rsidRPr="00D6545D">
        <w:rPr>
          <w:rFonts w:ascii="楷体" w:eastAsia="楷体" w:hAnsi="楷体" w:hint="eastAsia"/>
          <w:szCs w:val="21"/>
        </w:rPr>
        <w:t>）收益最高。</w:t>
      </w:r>
      <w:r w:rsidRPr="00D6545D">
        <w:rPr>
          <w:rFonts w:ascii="楷体" w:eastAsia="楷体" w:hAnsi="楷体" w:cs="Arial" w:hint="eastAsia"/>
          <w:szCs w:val="21"/>
        </w:rPr>
        <w:t>纯债基金平均下跌</w:t>
      </w:r>
      <w:r w:rsidRPr="00D6545D">
        <w:rPr>
          <w:rFonts w:ascii="楷体" w:eastAsia="楷体" w:hAnsi="楷体" w:cs="Arial"/>
          <w:szCs w:val="21"/>
        </w:rPr>
        <w:t>0.26%</w:t>
      </w:r>
      <w:r w:rsidRPr="00D6545D">
        <w:rPr>
          <w:rFonts w:ascii="楷体" w:eastAsia="楷体" w:hAnsi="楷体" w:cs="Arial" w:hint="eastAsia"/>
          <w:szCs w:val="21"/>
        </w:rPr>
        <w:t>，理财债基收益率均值依旧为</w:t>
      </w:r>
      <w:r w:rsidRPr="00D6545D">
        <w:rPr>
          <w:rFonts w:ascii="楷体" w:eastAsia="楷体" w:hAnsi="楷体" w:cs="Arial"/>
          <w:szCs w:val="21"/>
        </w:rPr>
        <w:t>0.07%</w:t>
      </w:r>
      <w:r w:rsidRPr="00D6545D">
        <w:rPr>
          <w:rFonts w:ascii="楷体" w:eastAsia="楷体" w:hAnsi="楷体" w:cs="Arial" w:hint="eastAsia"/>
          <w:szCs w:val="21"/>
        </w:rPr>
        <w:t>，其他类债基涨幅均收窄。二级债基、一级债基和指数债基平均周收率分别为</w:t>
      </w:r>
      <w:r w:rsidRPr="00D6545D">
        <w:rPr>
          <w:rFonts w:ascii="楷体" w:eastAsia="楷体" w:hAnsi="楷体" w:cs="Arial"/>
          <w:szCs w:val="21"/>
        </w:rPr>
        <w:t>1.47%</w:t>
      </w:r>
      <w:r w:rsidRPr="00D6545D">
        <w:rPr>
          <w:rFonts w:ascii="楷体" w:eastAsia="楷体" w:hAnsi="楷体" w:cs="Arial" w:hint="eastAsia"/>
          <w:szCs w:val="21"/>
        </w:rPr>
        <w:t>，</w:t>
      </w:r>
      <w:r w:rsidRPr="00D6545D">
        <w:rPr>
          <w:rFonts w:ascii="楷体" w:eastAsia="楷体" w:hAnsi="楷体" w:cs="Arial"/>
          <w:szCs w:val="21"/>
        </w:rPr>
        <w:t>0.65%</w:t>
      </w:r>
      <w:r w:rsidRPr="00D6545D">
        <w:rPr>
          <w:rFonts w:ascii="楷体" w:eastAsia="楷体" w:hAnsi="楷体" w:cs="Arial" w:hint="eastAsia"/>
          <w:szCs w:val="21"/>
        </w:rPr>
        <w:t>和</w:t>
      </w:r>
      <w:r w:rsidRPr="00D6545D">
        <w:rPr>
          <w:rFonts w:ascii="楷体" w:eastAsia="楷体" w:hAnsi="楷体" w:cs="Arial"/>
          <w:szCs w:val="21"/>
        </w:rPr>
        <w:t>0.48%</w:t>
      </w:r>
      <w:r w:rsidRPr="00D6545D">
        <w:rPr>
          <w:rFonts w:ascii="楷体" w:eastAsia="楷体" w:hAnsi="楷体" w:cs="Arial" w:hint="eastAsia"/>
          <w:szCs w:val="21"/>
        </w:rPr>
        <w:t>。</w:t>
      </w:r>
    </w:p>
    <w:p w:rsidR="00CD1FCC" w:rsidRPr="00D6545D" w:rsidRDefault="00CD1FCC" w:rsidP="00701B7A">
      <w:pPr>
        <w:pStyle w:val="BodyText"/>
        <w:numPr>
          <w:ilvl w:val="4"/>
          <w:numId w:val="1"/>
        </w:numPr>
        <w:spacing w:after="163"/>
        <w:rPr>
          <w:rFonts w:ascii="楷体" w:eastAsia="楷体" w:hAnsi="楷体" w:cs="Arial"/>
          <w:szCs w:val="21"/>
        </w:rPr>
      </w:pPr>
      <w:r w:rsidRPr="00D6545D">
        <w:rPr>
          <w:rFonts w:ascii="楷体" w:eastAsia="楷体" w:hAnsi="楷体" w:cs="Arial"/>
          <w:szCs w:val="21"/>
        </w:rPr>
        <w:t>228</w:t>
      </w:r>
      <w:r w:rsidRPr="00D6545D">
        <w:rPr>
          <w:rFonts w:ascii="楷体" w:eastAsia="楷体" w:hAnsi="楷体" w:cs="Arial" w:hint="eastAsia"/>
          <w:szCs w:val="21"/>
        </w:rPr>
        <w:t>只货币基金平均七日年化收益率为</w:t>
      </w:r>
      <w:r w:rsidRPr="00D6545D">
        <w:rPr>
          <w:rFonts w:ascii="楷体" w:eastAsia="楷体" w:hAnsi="楷体" w:cs="Arial"/>
          <w:szCs w:val="21"/>
        </w:rPr>
        <w:t>4.11%</w:t>
      </w:r>
      <w:r w:rsidRPr="00D6545D">
        <w:rPr>
          <w:rFonts w:ascii="楷体" w:eastAsia="楷体" w:hAnsi="楷体" w:cs="Arial" w:hint="eastAsia"/>
          <w:szCs w:val="21"/>
        </w:rPr>
        <w:t>，涨幅较前周（</w:t>
      </w:r>
      <w:r w:rsidRPr="00D6545D">
        <w:rPr>
          <w:rFonts w:ascii="楷体" w:eastAsia="楷体" w:hAnsi="楷体" w:cs="Arial"/>
          <w:szCs w:val="21"/>
        </w:rPr>
        <w:t>4.86%</w:t>
      </w:r>
      <w:r w:rsidRPr="00D6545D">
        <w:rPr>
          <w:rFonts w:ascii="楷体" w:eastAsia="楷体" w:hAnsi="楷体" w:cs="Arial" w:hint="eastAsia"/>
          <w:szCs w:val="21"/>
        </w:rPr>
        <w:t>）收缩。</w:t>
      </w:r>
      <w:r>
        <w:rPr>
          <w:rFonts w:ascii="楷体" w:eastAsia="楷体" w:hAnsi="楷体" w:cs="Arial" w:hint="eastAsia"/>
          <w:szCs w:val="21"/>
        </w:rPr>
        <w:t>近</w:t>
      </w:r>
      <w:r>
        <w:rPr>
          <w:rFonts w:ascii="楷体" w:eastAsia="楷体" w:hAnsi="楷体"/>
          <w:szCs w:val="21"/>
        </w:rPr>
        <w:t>7</w:t>
      </w:r>
      <w:r w:rsidRPr="00D6545D">
        <w:rPr>
          <w:rFonts w:ascii="楷体" w:eastAsia="楷体" w:hAnsi="楷体"/>
          <w:szCs w:val="21"/>
        </w:rPr>
        <w:t>%</w:t>
      </w:r>
      <w:r w:rsidRPr="00D6545D">
        <w:rPr>
          <w:rFonts w:ascii="楷体" w:eastAsia="楷体" w:hAnsi="楷体" w:hint="eastAsia"/>
          <w:szCs w:val="21"/>
        </w:rPr>
        <w:t>的</w:t>
      </w:r>
      <w:r w:rsidRPr="00D6545D">
        <w:rPr>
          <w:rFonts w:ascii="楷体" w:eastAsia="楷体" w:hAnsi="楷体" w:cs="Arial" w:hint="eastAsia"/>
          <w:szCs w:val="21"/>
        </w:rPr>
        <w:t>产品</w:t>
      </w:r>
      <w:r>
        <w:rPr>
          <w:rFonts w:ascii="楷体" w:eastAsia="楷体" w:hAnsi="楷体" w:cs="Arial" w:hint="eastAsia"/>
          <w:szCs w:val="21"/>
        </w:rPr>
        <w:t>七日年化收益率高</w:t>
      </w:r>
      <w:r w:rsidRPr="00D6545D">
        <w:rPr>
          <w:rFonts w:ascii="楷体" w:eastAsia="楷体" w:hAnsi="楷体" w:cs="Arial" w:hint="eastAsia"/>
          <w:szCs w:val="21"/>
        </w:rPr>
        <w:t>于</w:t>
      </w:r>
      <w:r w:rsidRPr="00D6545D">
        <w:rPr>
          <w:rFonts w:ascii="楷体" w:eastAsia="楷体" w:hAnsi="楷体" w:cs="Arial"/>
          <w:szCs w:val="21"/>
        </w:rPr>
        <w:t>5%</w:t>
      </w:r>
      <w:r w:rsidRPr="00D6545D">
        <w:rPr>
          <w:rFonts w:ascii="楷体" w:eastAsia="楷体" w:hAnsi="楷体" w:cs="Arial" w:hint="eastAsia"/>
          <w:szCs w:val="21"/>
        </w:rPr>
        <w:t>，</w:t>
      </w:r>
      <w:r>
        <w:rPr>
          <w:rFonts w:ascii="楷体" w:eastAsia="楷体" w:hAnsi="楷体" w:cs="Arial" w:hint="eastAsia"/>
          <w:szCs w:val="21"/>
        </w:rPr>
        <w:t>约</w:t>
      </w:r>
      <w:r>
        <w:rPr>
          <w:rFonts w:ascii="楷体" w:eastAsia="楷体" w:hAnsi="楷体" w:cs="Arial"/>
          <w:szCs w:val="21"/>
        </w:rPr>
        <w:t>47%</w:t>
      </w:r>
      <w:r w:rsidRPr="00D6545D">
        <w:rPr>
          <w:rFonts w:ascii="楷体" w:eastAsia="楷体" w:hAnsi="楷体" w:cs="Arial" w:hint="eastAsia"/>
          <w:szCs w:val="21"/>
        </w:rPr>
        <w:t>的产品在</w:t>
      </w:r>
      <w:r w:rsidRPr="00D6545D">
        <w:rPr>
          <w:rFonts w:ascii="楷体" w:eastAsia="楷体" w:hAnsi="楷体" w:cs="Arial"/>
          <w:szCs w:val="21"/>
        </w:rPr>
        <w:t>4%~5%</w:t>
      </w:r>
      <w:r w:rsidRPr="00D6545D">
        <w:rPr>
          <w:rFonts w:ascii="楷体" w:eastAsia="楷体" w:hAnsi="楷体" w:cs="Arial" w:hint="eastAsia"/>
          <w:szCs w:val="21"/>
        </w:rPr>
        <w:t>之间，</w:t>
      </w:r>
      <w:r>
        <w:rPr>
          <w:rFonts w:ascii="楷体" w:eastAsia="楷体" w:hAnsi="楷体" w:cs="Arial" w:hint="eastAsia"/>
          <w:szCs w:val="21"/>
        </w:rPr>
        <w:t>占比</w:t>
      </w:r>
      <w:r>
        <w:rPr>
          <w:rFonts w:ascii="楷体" w:eastAsia="楷体" w:hAnsi="楷体" w:cs="Arial"/>
          <w:szCs w:val="21"/>
        </w:rPr>
        <w:t>43</w:t>
      </w:r>
      <w:r w:rsidRPr="00D6545D">
        <w:rPr>
          <w:rFonts w:ascii="楷体" w:eastAsia="楷体" w:hAnsi="楷体" w:cs="Arial"/>
          <w:szCs w:val="21"/>
        </w:rPr>
        <w:t>%</w:t>
      </w:r>
      <w:r w:rsidRPr="00D6545D">
        <w:rPr>
          <w:rFonts w:ascii="楷体" w:eastAsia="楷体" w:hAnsi="楷体" w:cs="Arial" w:hint="eastAsia"/>
          <w:szCs w:val="21"/>
        </w:rPr>
        <w:t>的产品在</w:t>
      </w:r>
      <w:r w:rsidRPr="00D6545D">
        <w:rPr>
          <w:rFonts w:ascii="楷体" w:eastAsia="楷体" w:hAnsi="楷体" w:cs="Arial"/>
          <w:szCs w:val="21"/>
        </w:rPr>
        <w:t>3%~4%</w:t>
      </w:r>
      <w:r w:rsidRPr="00D6545D">
        <w:rPr>
          <w:rFonts w:ascii="楷体" w:eastAsia="楷体" w:hAnsi="楷体" w:cs="Arial" w:hint="eastAsia"/>
          <w:szCs w:val="21"/>
        </w:rPr>
        <w:t>之间。</w:t>
      </w:r>
      <w:r w:rsidRPr="00D6545D">
        <w:rPr>
          <w:rFonts w:ascii="楷体" w:eastAsia="楷体" w:hAnsi="楷体" w:hint="eastAsia"/>
          <w:szCs w:val="21"/>
        </w:rPr>
        <w:t>华宝兴业活期通</w:t>
      </w:r>
      <w:r w:rsidRPr="00D6545D">
        <w:rPr>
          <w:rFonts w:ascii="楷体" w:eastAsia="楷体" w:hAnsi="楷体"/>
          <w:szCs w:val="21"/>
        </w:rPr>
        <w:t>T</w:t>
      </w:r>
      <w:r w:rsidRPr="00D6545D">
        <w:rPr>
          <w:rFonts w:ascii="楷体" w:eastAsia="楷体" w:hAnsi="楷体" w:hint="eastAsia"/>
          <w:szCs w:val="21"/>
        </w:rPr>
        <w:t>（</w:t>
      </w:r>
      <w:r w:rsidRPr="00D6545D">
        <w:rPr>
          <w:rFonts w:ascii="楷体" w:eastAsia="楷体" w:hAnsi="楷体"/>
          <w:szCs w:val="21"/>
        </w:rPr>
        <w:t>9.64%</w:t>
      </w:r>
      <w:r w:rsidRPr="00D6545D">
        <w:rPr>
          <w:rFonts w:ascii="楷体" w:eastAsia="楷体" w:hAnsi="楷体" w:hint="eastAsia"/>
          <w:szCs w:val="21"/>
        </w:rPr>
        <w:t>）和华宝兴业活期通</w:t>
      </w:r>
      <w:r w:rsidRPr="00D6545D">
        <w:rPr>
          <w:rFonts w:ascii="楷体" w:eastAsia="楷体" w:hAnsi="楷体"/>
          <w:szCs w:val="21"/>
        </w:rPr>
        <w:t>A</w:t>
      </w:r>
      <w:r w:rsidRPr="00D6545D">
        <w:rPr>
          <w:rFonts w:ascii="楷体" w:eastAsia="楷体" w:hAnsi="楷体" w:hint="eastAsia"/>
          <w:szCs w:val="21"/>
        </w:rPr>
        <w:t>（</w:t>
      </w:r>
      <w:r w:rsidRPr="00D6545D">
        <w:rPr>
          <w:rFonts w:ascii="楷体" w:eastAsia="楷体" w:hAnsi="楷体"/>
          <w:szCs w:val="21"/>
        </w:rPr>
        <w:t>9.46%</w:t>
      </w:r>
      <w:r w:rsidRPr="00D6545D">
        <w:rPr>
          <w:rFonts w:ascii="楷体" w:eastAsia="楷体" w:hAnsi="楷体" w:hint="eastAsia"/>
          <w:szCs w:val="21"/>
        </w:rPr>
        <w:t>）</w:t>
      </w:r>
      <w:r>
        <w:rPr>
          <w:rFonts w:ascii="楷体" w:eastAsia="楷体" w:hAnsi="楷体" w:hint="eastAsia"/>
          <w:szCs w:val="21"/>
        </w:rPr>
        <w:t>业绩居前。</w:t>
      </w:r>
    </w:p>
    <w:p w:rsidR="00CD1FCC" w:rsidRPr="00761DE6" w:rsidRDefault="00CD1FCC" w:rsidP="00BB3463">
      <w:pPr>
        <w:widowControl/>
        <w:spacing w:after="120"/>
        <w:ind w:left="3430"/>
        <w:rPr>
          <w:rFonts w:ascii="楷体" w:eastAsia="楷体" w:hAnsi="楷体"/>
          <w:b/>
          <w:bCs/>
          <w:color w:val="0070C0"/>
          <w:kern w:val="0"/>
          <w:szCs w:val="21"/>
          <w:lang w:val="en-GB"/>
        </w:rPr>
      </w:pPr>
      <w:r w:rsidRPr="00EB505F">
        <w:rPr>
          <w:rFonts w:ascii="楷体" w:eastAsia="楷体" w:hAnsi="楷体" w:hint="eastAsia"/>
          <w:b/>
          <w:bCs/>
          <w:color w:val="0070C0"/>
          <w:kern w:val="0"/>
          <w:szCs w:val="21"/>
          <w:lang w:val="en-GB"/>
        </w:rPr>
        <w:t>分级基金子份额一周业绩：</w:t>
      </w:r>
      <w:r>
        <w:rPr>
          <w:rFonts w:ascii="楷体" w:eastAsia="楷体" w:hAnsi="楷体" w:hint="eastAsia"/>
          <w:b/>
          <w:bCs/>
          <w:color w:val="0070C0"/>
          <w:kern w:val="0"/>
          <w:szCs w:val="21"/>
          <w:lang w:val="en-GB"/>
        </w:rPr>
        <w:t>股基分级</w:t>
      </w:r>
      <w:r>
        <w:rPr>
          <w:rFonts w:ascii="楷体" w:eastAsia="楷体" w:hAnsi="楷体"/>
          <w:b/>
          <w:bCs/>
          <w:color w:val="0070C0"/>
          <w:kern w:val="0"/>
          <w:szCs w:val="21"/>
          <w:lang w:val="en-GB"/>
        </w:rPr>
        <w:t>B</w:t>
      </w:r>
      <w:r>
        <w:rPr>
          <w:rFonts w:ascii="楷体" w:eastAsia="楷体" w:hAnsi="楷体" w:hint="eastAsia"/>
          <w:b/>
          <w:bCs/>
          <w:color w:val="0070C0"/>
          <w:kern w:val="0"/>
          <w:szCs w:val="21"/>
          <w:lang w:val="en-GB"/>
        </w:rPr>
        <w:t>普遍大涨，债基分级</w:t>
      </w:r>
      <w:r>
        <w:rPr>
          <w:rFonts w:ascii="楷体" w:eastAsia="楷体" w:hAnsi="楷体"/>
          <w:b/>
          <w:bCs/>
          <w:color w:val="0070C0"/>
          <w:kern w:val="0"/>
          <w:szCs w:val="21"/>
          <w:lang w:val="en-GB"/>
        </w:rPr>
        <w:t>B</w:t>
      </w:r>
      <w:r>
        <w:rPr>
          <w:rFonts w:ascii="楷体" w:eastAsia="楷体" w:hAnsi="楷体" w:hint="eastAsia"/>
          <w:b/>
          <w:bCs/>
          <w:color w:val="0070C0"/>
          <w:kern w:val="0"/>
          <w:szCs w:val="21"/>
          <w:lang w:val="en-GB"/>
        </w:rPr>
        <w:t>业绩差距较大</w:t>
      </w:r>
    </w:p>
    <w:p w:rsidR="00CD1FCC" w:rsidRPr="003C3F02" w:rsidRDefault="00CD1FCC" w:rsidP="00AB0EF5">
      <w:pPr>
        <w:pStyle w:val="BodyText"/>
        <w:numPr>
          <w:ilvl w:val="4"/>
          <w:numId w:val="1"/>
        </w:numPr>
        <w:spacing w:after="163"/>
        <w:rPr>
          <w:rFonts w:ascii="楷体" w:eastAsia="楷体" w:hAnsi="楷体" w:cs="Arial"/>
          <w:szCs w:val="21"/>
        </w:rPr>
      </w:pPr>
      <w:r w:rsidRPr="003C3F02">
        <w:rPr>
          <w:rFonts w:ascii="楷体" w:eastAsia="楷体" w:hAnsi="楷体" w:cs="Arial" w:hint="eastAsia"/>
          <w:szCs w:val="21"/>
        </w:rPr>
        <w:t>上周，股基分级份额全部上涨，稳健份额平均周收益率为</w:t>
      </w:r>
      <w:r w:rsidRPr="003C3F02">
        <w:rPr>
          <w:rFonts w:ascii="楷体" w:eastAsia="楷体" w:hAnsi="楷体" w:cs="Arial"/>
          <w:szCs w:val="21"/>
        </w:rPr>
        <w:t>0.32%</w:t>
      </w:r>
      <w:r w:rsidRPr="003C3F02">
        <w:rPr>
          <w:rFonts w:ascii="楷体" w:eastAsia="楷体" w:hAnsi="楷体" w:cs="Arial" w:hint="eastAsia"/>
          <w:szCs w:val="21"/>
        </w:rPr>
        <w:t>，涨幅</w:t>
      </w:r>
      <w:r>
        <w:rPr>
          <w:rFonts w:ascii="楷体" w:eastAsia="楷体" w:hAnsi="楷体" w:cs="Arial" w:hint="eastAsia"/>
          <w:szCs w:val="21"/>
        </w:rPr>
        <w:t>较前一周</w:t>
      </w:r>
      <w:r w:rsidRPr="003C3F02">
        <w:rPr>
          <w:rFonts w:ascii="楷体" w:eastAsia="楷体" w:hAnsi="楷体" w:cs="Arial" w:hint="eastAsia"/>
          <w:szCs w:val="21"/>
        </w:rPr>
        <w:t>收</w:t>
      </w:r>
      <w:r>
        <w:rPr>
          <w:rFonts w:ascii="楷体" w:eastAsia="楷体" w:hAnsi="楷体" w:cs="Arial" w:hint="eastAsia"/>
          <w:szCs w:val="21"/>
        </w:rPr>
        <w:t>窄</w:t>
      </w:r>
      <w:r w:rsidRPr="003C3F02">
        <w:rPr>
          <w:rFonts w:ascii="楷体" w:eastAsia="楷体" w:hAnsi="楷体" w:cs="Arial" w:hint="eastAsia"/>
          <w:szCs w:val="21"/>
        </w:rPr>
        <w:t>，</w:t>
      </w:r>
      <w:r w:rsidRPr="003C3F02">
        <w:rPr>
          <w:rFonts w:ascii="楷体" w:eastAsia="楷体" w:hAnsi="楷体" w:hint="eastAsia"/>
          <w:szCs w:val="21"/>
        </w:rPr>
        <w:t>兴全合润分级</w:t>
      </w:r>
      <w:r w:rsidRPr="003C3F02">
        <w:rPr>
          <w:rFonts w:ascii="楷体" w:eastAsia="楷体" w:hAnsi="楷体"/>
          <w:szCs w:val="21"/>
        </w:rPr>
        <w:t>A</w:t>
      </w:r>
      <w:r>
        <w:rPr>
          <w:rFonts w:ascii="楷体" w:eastAsia="楷体" w:hAnsi="楷体" w:hint="eastAsia"/>
          <w:szCs w:val="21"/>
        </w:rPr>
        <w:t>（</w:t>
      </w:r>
      <w:r w:rsidRPr="003C3F02">
        <w:rPr>
          <w:rFonts w:ascii="楷体" w:eastAsia="楷体" w:hAnsi="楷体"/>
          <w:szCs w:val="21"/>
        </w:rPr>
        <w:t>6.48%</w:t>
      </w:r>
      <w:r>
        <w:rPr>
          <w:rFonts w:ascii="楷体" w:eastAsia="楷体" w:hAnsi="楷体" w:hint="eastAsia"/>
          <w:szCs w:val="21"/>
        </w:rPr>
        <w:t>）</w:t>
      </w:r>
      <w:r w:rsidRPr="003C3F02">
        <w:rPr>
          <w:rFonts w:ascii="楷体" w:eastAsia="楷体" w:hAnsi="楷体" w:hint="eastAsia"/>
          <w:szCs w:val="21"/>
        </w:rPr>
        <w:t>收益最高</w:t>
      </w:r>
      <w:r>
        <w:rPr>
          <w:rFonts w:ascii="楷体" w:eastAsia="楷体" w:hAnsi="楷体" w:hint="eastAsia"/>
          <w:szCs w:val="21"/>
        </w:rPr>
        <w:t>。</w:t>
      </w:r>
      <w:r w:rsidRPr="003C3F02">
        <w:rPr>
          <w:rFonts w:ascii="楷体" w:eastAsia="楷体" w:hAnsi="楷体" w:cs="Arial" w:hint="eastAsia"/>
          <w:szCs w:val="21"/>
        </w:rPr>
        <w:t>积极份额平均周收益率为</w:t>
      </w:r>
      <w:r w:rsidRPr="003C3F02">
        <w:rPr>
          <w:rFonts w:ascii="楷体" w:eastAsia="楷体" w:hAnsi="楷体" w:cs="Arial"/>
          <w:szCs w:val="21"/>
        </w:rPr>
        <w:t>14.06%</w:t>
      </w:r>
      <w:r w:rsidRPr="003C3F02">
        <w:rPr>
          <w:rFonts w:ascii="楷体" w:eastAsia="楷体" w:hAnsi="楷体" w:cs="Arial" w:hint="eastAsia"/>
          <w:szCs w:val="21"/>
        </w:rPr>
        <w:t>，排名第一的是</w:t>
      </w:r>
      <w:r>
        <w:rPr>
          <w:rFonts w:ascii="楷体" w:eastAsia="楷体" w:hAnsi="楷体" w:hint="eastAsia"/>
          <w:szCs w:val="21"/>
        </w:rPr>
        <w:t>申万菱信深成进取，周涨</w:t>
      </w:r>
      <w:r w:rsidRPr="003C3F02">
        <w:rPr>
          <w:rFonts w:ascii="楷体" w:eastAsia="楷体" w:hAnsi="楷体"/>
          <w:szCs w:val="21"/>
        </w:rPr>
        <w:t>122.98%,</w:t>
      </w:r>
      <w:r w:rsidRPr="003C3F02">
        <w:rPr>
          <w:rFonts w:ascii="楷体" w:eastAsia="楷体" w:hAnsi="楷体" w:cs="Arial" w:hint="eastAsia"/>
          <w:szCs w:val="21"/>
        </w:rPr>
        <w:t>排名第二、第三的分别是</w:t>
      </w:r>
      <w:r w:rsidRPr="003C3F02">
        <w:rPr>
          <w:rFonts w:ascii="楷体" w:eastAsia="楷体" w:hAnsi="楷体" w:hint="eastAsia"/>
          <w:szCs w:val="21"/>
        </w:rPr>
        <w:t>申万菱信申万证券行业</w:t>
      </w:r>
      <w:r w:rsidRPr="003C3F02">
        <w:rPr>
          <w:rFonts w:ascii="楷体" w:eastAsia="楷体" w:hAnsi="楷体"/>
          <w:szCs w:val="21"/>
        </w:rPr>
        <w:t>B</w:t>
      </w:r>
      <w:r>
        <w:rPr>
          <w:rFonts w:ascii="楷体" w:eastAsia="楷体" w:hAnsi="楷体" w:hint="eastAsia"/>
          <w:szCs w:val="21"/>
        </w:rPr>
        <w:t>、</w:t>
      </w:r>
      <w:r w:rsidRPr="003C3F02">
        <w:rPr>
          <w:rFonts w:ascii="楷体" w:eastAsia="楷体" w:hAnsi="楷体" w:hint="eastAsia"/>
          <w:szCs w:val="21"/>
        </w:rPr>
        <w:t>鹏华非银行</w:t>
      </w:r>
      <w:r w:rsidRPr="003C3F02">
        <w:rPr>
          <w:rFonts w:ascii="楷体" w:eastAsia="楷体" w:hAnsi="楷体"/>
          <w:szCs w:val="21"/>
        </w:rPr>
        <w:t>B</w:t>
      </w:r>
      <w:r>
        <w:rPr>
          <w:rFonts w:ascii="楷体" w:eastAsia="楷体" w:hAnsi="楷体" w:hint="eastAsia"/>
          <w:szCs w:val="21"/>
        </w:rPr>
        <w:t>，分别周涨</w:t>
      </w:r>
      <w:r w:rsidRPr="003C3F02">
        <w:rPr>
          <w:rFonts w:ascii="楷体" w:eastAsia="楷体" w:hAnsi="楷体"/>
          <w:szCs w:val="21"/>
        </w:rPr>
        <w:t>54.14%</w:t>
      </w:r>
      <w:r>
        <w:rPr>
          <w:rFonts w:ascii="楷体" w:eastAsia="楷体" w:hAnsi="楷体" w:hint="eastAsia"/>
          <w:szCs w:val="21"/>
        </w:rPr>
        <w:t>、</w:t>
      </w:r>
      <w:r w:rsidRPr="003C3F02">
        <w:rPr>
          <w:rFonts w:ascii="楷体" w:eastAsia="楷体" w:hAnsi="楷体"/>
          <w:szCs w:val="21"/>
        </w:rPr>
        <w:t>49.59%</w:t>
      </w:r>
      <w:r>
        <w:rPr>
          <w:rFonts w:ascii="楷体" w:eastAsia="楷体" w:hAnsi="楷体" w:hint="eastAsia"/>
          <w:szCs w:val="21"/>
        </w:rPr>
        <w:t>。</w:t>
      </w:r>
    </w:p>
    <w:p w:rsidR="00CD1FCC" w:rsidRPr="001B57EB" w:rsidRDefault="00CD1FCC" w:rsidP="003C3F02">
      <w:pPr>
        <w:pStyle w:val="BodyText"/>
        <w:numPr>
          <w:ilvl w:val="4"/>
          <w:numId w:val="1"/>
        </w:numPr>
        <w:spacing w:after="163"/>
        <w:rPr>
          <w:rFonts w:ascii="楷体" w:eastAsia="楷体" w:hAnsi="楷体" w:cs="Arial"/>
          <w:szCs w:val="21"/>
        </w:rPr>
      </w:pPr>
      <w:r>
        <w:rPr>
          <w:rFonts w:ascii="楷体" w:eastAsia="楷体" w:hAnsi="楷体" w:cs="Arial" w:hint="eastAsia"/>
          <w:szCs w:val="21"/>
        </w:rPr>
        <w:t>债基稳健份额平均涨幅与上周相比依旧</w:t>
      </w:r>
      <w:r w:rsidRPr="001B57EB">
        <w:rPr>
          <w:rFonts w:ascii="楷体" w:eastAsia="楷体" w:hAnsi="楷体" w:cs="Arial" w:hint="eastAsia"/>
          <w:szCs w:val="21"/>
        </w:rPr>
        <w:t>为</w:t>
      </w:r>
      <w:r w:rsidRPr="001B57EB">
        <w:rPr>
          <w:rFonts w:ascii="楷体" w:eastAsia="楷体" w:hAnsi="楷体" w:cs="Arial"/>
          <w:szCs w:val="21"/>
        </w:rPr>
        <w:t>0.12%</w:t>
      </w:r>
      <w:r>
        <w:rPr>
          <w:rFonts w:ascii="楷体" w:eastAsia="楷体" w:hAnsi="楷体" w:cs="Arial" w:hint="eastAsia"/>
          <w:szCs w:val="21"/>
        </w:rPr>
        <w:t>，</w:t>
      </w:r>
      <w:r w:rsidRPr="001B57EB">
        <w:rPr>
          <w:rFonts w:ascii="楷体" w:eastAsia="楷体" w:hAnsi="楷体" w:cs="Arial" w:hint="eastAsia"/>
          <w:szCs w:val="21"/>
        </w:rPr>
        <w:t>最高收益为</w:t>
      </w:r>
      <w:r w:rsidRPr="001B57EB">
        <w:rPr>
          <w:rFonts w:ascii="楷体" w:eastAsia="楷体" w:hAnsi="楷体" w:hint="eastAsia"/>
          <w:szCs w:val="21"/>
        </w:rPr>
        <w:t>富国恒利分级</w:t>
      </w:r>
      <w:r w:rsidRPr="001B57EB">
        <w:rPr>
          <w:rFonts w:ascii="楷体" w:eastAsia="楷体" w:hAnsi="楷体"/>
          <w:szCs w:val="21"/>
        </w:rPr>
        <w:t>A</w:t>
      </w:r>
      <w:r w:rsidRPr="001B57EB">
        <w:rPr>
          <w:rFonts w:ascii="楷体" w:eastAsia="楷体" w:hAnsi="楷体" w:cs="Arial"/>
          <w:szCs w:val="21"/>
        </w:rPr>
        <w:t xml:space="preserve"> </w:t>
      </w:r>
      <w:r w:rsidRPr="001B57EB">
        <w:rPr>
          <w:rFonts w:ascii="楷体" w:eastAsia="楷体" w:hAnsi="楷体" w:cs="Arial" w:hint="eastAsia"/>
          <w:szCs w:val="21"/>
        </w:rPr>
        <w:t>的</w:t>
      </w:r>
      <w:r w:rsidRPr="001B57EB">
        <w:rPr>
          <w:rFonts w:ascii="楷体" w:eastAsia="楷体" w:hAnsi="楷体" w:cs="Arial"/>
          <w:szCs w:val="21"/>
        </w:rPr>
        <w:t>1.3%</w:t>
      </w:r>
      <w:r w:rsidRPr="001B57EB">
        <w:rPr>
          <w:rFonts w:ascii="楷体" w:eastAsia="楷体" w:hAnsi="楷体" w:cs="Arial" w:hint="eastAsia"/>
          <w:szCs w:val="21"/>
        </w:rPr>
        <w:t>。债基积极份额平均上涨</w:t>
      </w:r>
      <w:r w:rsidRPr="001B57EB">
        <w:rPr>
          <w:rFonts w:ascii="楷体" w:eastAsia="楷体" w:hAnsi="楷体" w:cs="Arial"/>
          <w:szCs w:val="21"/>
        </w:rPr>
        <w:t>0.78%</w:t>
      </w:r>
      <w:r w:rsidRPr="001B57EB">
        <w:rPr>
          <w:rFonts w:ascii="楷体" w:eastAsia="楷体" w:hAnsi="楷体" w:cs="Arial" w:hint="eastAsia"/>
          <w:szCs w:val="21"/>
        </w:rPr>
        <w:t>，仅</w:t>
      </w:r>
      <w:r w:rsidRPr="001B57EB">
        <w:rPr>
          <w:rFonts w:ascii="楷体" w:eastAsia="楷体" w:hAnsi="楷体" w:cs="Arial"/>
          <w:szCs w:val="21"/>
        </w:rPr>
        <w:t>37%</w:t>
      </w:r>
      <w:r w:rsidRPr="001B57EB">
        <w:rPr>
          <w:rFonts w:ascii="楷体" w:eastAsia="楷体" w:hAnsi="楷体" w:cs="Arial" w:hint="eastAsia"/>
          <w:szCs w:val="21"/>
        </w:rPr>
        <w:t>的产品上涨，业绩差距较大，排名第一滴的</w:t>
      </w:r>
      <w:r w:rsidRPr="001B57EB">
        <w:rPr>
          <w:rFonts w:ascii="楷体" w:eastAsia="楷体" w:hAnsi="楷体" w:hint="eastAsia"/>
          <w:szCs w:val="21"/>
        </w:rPr>
        <w:t>银华中证转债</w:t>
      </w:r>
      <w:r w:rsidRPr="001B57EB">
        <w:rPr>
          <w:rFonts w:ascii="楷体" w:eastAsia="楷体" w:hAnsi="楷体"/>
          <w:szCs w:val="21"/>
        </w:rPr>
        <w:t>B</w:t>
      </w:r>
      <w:r w:rsidRPr="001B57EB">
        <w:rPr>
          <w:rFonts w:ascii="楷体" w:eastAsia="楷体" w:hAnsi="楷体" w:hint="eastAsia"/>
          <w:szCs w:val="21"/>
        </w:rPr>
        <w:t>涨幅为</w:t>
      </w:r>
      <w:r w:rsidRPr="001B57EB">
        <w:rPr>
          <w:rFonts w:ascii="楷体" w:eastAsia="楷体" w:hAnsi="楷体"/>
          <w:szCs w:val="21"/>
        </w:rPr>
        <w:t>24.16%</w:t>
      </w:r>
      <w:r w:rsidRPr="001B57EB">
        <w:rPr>
          <w:rFonts w:ascii="楷体" w:eastAsia="楷体" w:hAnsi="楷体" w:hint="eastAsia"/>
          <w:szCs w:val="21"/>
        </w:rPr>
        <w:t>，排名第二的东吴中证可转换债券</w:t>
      </w:r>
      <w:r w:rsidRPr="001B57EB">
        <w:rPr>
          <w:rFonts w:ascii="楷体" w:eastAsia="楷体" w:hAnsi="楷体"/>
          <w:szCs w:val="21"/>
        </w:rPr>
        <w:t>B</w:t>
      </w:r>
      <w:r w:rsidRPr="001B57EB">
        <w:rPr>
          <w:rFonts w:ascii="楷体" w:eastAsia="楷体" w:hAnsi="楷体" w:hint="eastAsia"/>
          <w:szCs w:val="21"/>
        </w:rPr>
        <w:t>涨幅为</w:t>
      </w:r>
      <w:r w:rsidRPr="001B57EB">
        <w:rPr>
          <w:rFonts w:ascii="楷体" w:eastAsia="楷体" w:hAnsi="楷体"/>
          <w:szCs w:val="21"/>
        </w:rPr>
        <w:t>20.37%</w:t>
      </w:r>
      <w:r w:rsidRPr="001B57EB">
        <w:rPr>
          <w:rFonts w:ascii="楷体" w:eastAsia="楷体" w:hAnsi="楷体" w:cs="Arial" w:hint="eastAsia"/>
          <w:szCs w:val="21"/>
        </w:rPr>
        <w:t>，排名第三的</w:t>
      </w:r>
      <w:r w:rsidRPr="001B57EB">
        <w:rPr>
          <w:rFonts w:ascii="楷体" w:eastAsia="楷体" w:hAnsi="楷体" w:hint="eastAsia"/>
          <w:szCs w:val="21"/>
        </w:rPr>
        <w:t>信诚岁岁添金涨幅为</w:t>
      </w:r>
      <w:r w:rsidRPr="001B57EB">
        <w:rPr>
          <w:rFonts w:ascii="楷体" w:eastAsia="楷体" w:hAnsi="楷体"/>
          <w:szCs w:val="21"/>
        </w:rPr>
        <w:t>4.04%</w:t>
      </w:r>
      <w:r w:rsidRPr="001B57EB">
        <w:rPr>
          <w:rFonts w:ascii="楷体" w:eastAsia="楷体" w:hAnsi="楷体" w:hint="eastAsia"/>
          <w:szCs w:val="21"/>
        </w:rPr>
        <w:t>，最低收益为</w:t>
      </w:r>
      <w:r w:rsidRPr="001B57EB">
        <w:rPr>
          <w:rFonts w:ascii="楷体" w:eastAsia="楷体" w:hAnsi="楷体"/>
          <w:szCs w:val="21"/>
        </w:rPr>
        <w:t>-3.60%</w:t>
      </w:r>
      <w:r w:rsidRPr="001B57EB">
        <w:rPr>
          <w:rFonts w:ascii="楷体" w:eastAsia="楷体" w:hAnsi="楷体" w:hint="eastAsia"/>
          <w:szCs w:val="21"/>
        </w:rPr>
        <w:t>。</w:t>
      </w:r>
    </w:p>
    <w:tbl>
      <w:tblPr>
        <w:tblW w:w="11057" w:type="dxa"/>
        <w:tblInd w:w="-142" w:type="dxa"/>
        <w:tblBorders>
          <w:top w:val="single" w:sz="6" w:space="0" w:color="FF6600"/>
          <w:bottom w:val="single" w:sz="6" w:space="0" w:color="FF6600"/>
          <w:insideH w:val="single" w:sz="6" w:space="0" w:color="FF66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851"/>
        <w:gridCol w:w="851"/>
        <w:gridCol w:w="2551"/>
        <w:gridCol w:w="567"/>
        <w:gridCol w:w="851"/>
        <w:gridCol w:w="992"/>
        <w:gridCol w:w="850"/>
        <w:gridCol w:w="1985"/>
        <w:gridCol w:w="709"/>
        <w:gridCol w:w="850"/>
      </w:tblGrid>
      <w:tr w:rsidR="00CD1FCC" w:rsidRPr="00453191" w:rsidTr="00CE01AE">
        <w:trPr>
          <w:cantSplit/>
          <w:trHeight w:val="335"/>
        </w:trPr>
        <w:tc>
          <w:tcPr>
            <w:tcW w:w="11057" w:type="dxa"/>
            <w:gridSpan w:val="10"/>
            <w:vAlign w:val="center"/>
          </w:tcPr>
          <w:p w:rsidR="00CD1FCC" w:rsidRPr="005B7CDB" w:rsidRDefault="00CD1FCC" w:rsidP="00796BF9">
            <w:pPr>
              <w:pStyle w:val="SubTitleLargeTable"/>
              <w:pBdr>
                <w:top w:val="none" w:sz="0" w:space="0" w:color="auto"/>
              </w:pBdr>
              <w:rPr>
                <w:rFonts w:ascii="楷体" w:eastAsia="楷体" w:hAnsi="楷体"/>
                <w:b w:val="0"/>
              </w:rPr>
            </w:pPr>
            <w:r w:rsidRPr="005B7CDB">
              <w:rPr>
                <w:rFonts w:ascii="楷体" w:eastAsia="楷体" w:hAnsi="楷体" w:cs="宋体" w:hint="eastAsia"/>
                <w:color w:val="FF6600"/>
              </w:rPr>
              <w:t>图表</w:t>
            </w:r>
            <w:r w:rsidRPr="005B7CDB">
              <w:rPr>
                <w:rFonts w:ascii="楷体" w:eastAsia="楷体" w:hAnsi="楷体"/>
                <w:color w:val="FF6600"/>
              </w:rPr>
              <w:t>5</w:t>
            </w:r>
            <w:r w:rsidRPr="005B7CDB">
              <w:rPr>
                <w:rFonts w:ascii="楷体" w:eastAsia="楷体" w:hAnsi="楷体" w:cs="宋体" w:hint="eastAsia"/>
                <w:color w:val="FF6600"/>
              </w:rPr>
              <w:t>：各类型公募基金（含封闭式）周收益率前</w:t>
            </w:r>
            <w:r w:rsidRPr="005B7CDB">
              <w:rPr>
                <w:rFonts w:ascii="楷体" w:eastAsia="楷体" w:hAnsi="楷体"/>
                <w:color w:val="FF6600"/>
              </w:rPr>
              <w:t>3</w:t>
            </w:r>
            <w:r w:rsidRPr="005B7CDB">
              <w:rPr>
                <w:rFonts w:ascii="楷体" w:eastAsia="楷体" w:hAnsi="楷体" w:cs="宋体" w:hint="eastAsia"/>
                <w:color w:val="FF6600"/>
              </w:rPr>
              <w:t>（</w:t>
            </w:r>
            <w:r>
              <w:rPr>
                <w:rFonts w:ascii="楷体" w:eastAsia="楷体" w:hAnsi="楷体"/>
                <w:color w:val="FF6600"/>
              </w:rPr>
              <w:t>12.01~05</w:t>
            </w:r>
            <w:r w:rsidRPr="005B7CDB">
              <w:rPr>
                <w:rFonts w:ascii="楷体" w:eastAsia="楷体" w:hAnsi="楷体" w:cs="宋体" w:hint="eastAsia"/>
                <w:color w:val="FF6600"/>
              </w:rPr>
              <w:t>，</w:t>
            </w:r>
            <w:r w:rsidRPr="005B7CDB">
              <w:rPr>
                <w:rFonts w:ascii="楷体" w:eastAsia="楷体" w:hAnsi="楷体"/>
                <w:color w:val="FF6600"/>
              </w:rPr>
              <w:t>QDII</w:t>
            </w:r>
            <w:r w:rsidRPr="005B7CDB">
              <w:rPr>
                <w:rFonts w:ascii="楷体" w:eastAsia="楷体" w:hAnsi="楷体" w:hint="eastAsia"/>
                <w:color w:val="FF6600"/>
              </w:rPr>
              <w:t>为</w:t>
            </w:r>
            <w:r>
              <w:rPr>
                <w:rFonts w:ascii="楷体" w:eastAsia="楷体" w:hAnsi="楷体"/>
                <w:color w:val="FF6600"/>
              </w:rPr>
              <w:t>11.28</w:t>
            </w:r>
            <w:r w:rsidRPr="00057142">
              <w:rPr>
                <w:rFonts w:ascii="楷体" w:eastAsia="楷体" w:hAnsi="楷体"/>
                <w:color w:val="FF6600"/>
              </w:rPr>
              <w:t>~</w:t>
            </w:r>
            <w:r>
              <w:rPr>
                <w:rFonts w:ascii="楷体" w:eastAsia="楷体" w:hAnsi="楷体"/>
                <w:color w:val="FF6600"/>
              </w:rPr>
              <w:t>12.04</w:t>
            </w:r>
            <w:r w:rsidRPr="005B7CDB">
              <w:rPr>
                <w:rFonts w:ascii="楷体" w:eastAsia="楷体" w:hAnsi="楷体" w:hint="eastAsia"/>
                <w:color w:val="FF6600"/>
              </w:rPr>
              <w:t>，货币基金为</w:t>
            </w:r>
            <w:r w:rsidRPr="005B7CDB">
              <w:rPr>
                <w:rFonts w:ascii="楷体" w:eastAsia="楷体" w:hAnsi="楷体"/>
                <w:color w:val="FF6600"/>
              </w:rPr>
              <w:t>7</w:t>
            </w:r>
            <w:r w:rsidRPr="005B7CDB">
              <w:rPr>
                <w:rFonts w:ascii="楷体" w:eastAsia="楷体" w:hAnsi="楷体" w:hint="eastAsia"/>
                <w:color w:val="FF6600"/>
              </w:rPr>
              <w:t>日年化收益</w:t>
            </w:r>
            <w:r>
              <w:rPr>
                <w:rFonts w:ascii="楷体" w:eastAsia="楷体" w:hAnsi="楷体" w:hint="eastAsia"/>
                <w:color w:val="FF6600"/>
              </w:rPr>
              <w:t>率</w:t>
            </w:r>
            <w:r w:rsidRPr="005B7CDB">
              <w:rPr>
                <w:rFonts w:ascii="楷体" w:eastAsia="楷体" w:hAnsi="楷体" w:cs="宋体" w:hint="eastAsia"/>
                <w:color w:val="FF6600"/>
              </w:rPr>
              <w:t>）</w:t>
            </w:r>
          </w:p>
        </w:tc>
      </w:tr>
      <w:tr w:rsidR="00CD1FCC" w:rsidRPr="00453191" w:rsidTr="007056F8">
        <w:trPr>
          <w:cantSplit/>
          <w:trHeight w:val="227"/>
        </w:trPr>
        <w:tc>
          <w:tcPr>
            <w:tcW w:w="851" w:type="dxa"/>
            <w:tcBorders>
              <w:right w:val="single" w:sz="6" w:space="0" w:color="FF6600"/>
            </w:tcBorders>
            <w:shd w:val="clear" w:color="auto" w:fill="FDE9D9"/>
            <w:vAlign w:val="center"/>
          </w:tcPr>
          <w:p w:rsidR="00CD1FCC" w:rsidRPr="00453191" w:rsidRDefault="00CD1FCC" w:rsidP="000D1136">
            <w:pPr>
              <w:snapToGrid w:val="0"/>
              <w:jc w:val="center"/>
              <w:rPr>
                <w:rFonts w:ascii="楷体" w:eastAsia="楷体" w:hAnsi="楷体"/>
                <w:b/>
                <w:sz w:val="18"/>
                <w:szCs w:val="18"/>
              </w:rPr>
            </w:pPr>
            <w:r w:rsidRPr="00453191">
              <w:rPr>
                <w:rFonts w:ascii="楷体" w:eastAsia="楷体" w:hAnsi="楷体" w:hint="eastAsia"/>
                <w:b/>
                <w:sz w:val="18"/>
                <w:szCs w:val="18"/>
              </w:rPr>
              <w:t>凯石分类</w:t>
            </w:r>
          </w:p>
        </w:tc>
        <w:tc>
          <w:tcPr>
            <w:tcW w:w="851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FDE9D9"/>
            <w:vAlign w:val="center"/>
          </w:tcPr>
          <w:p w:rsidR="00CD1FCC" w:rsidRPr="00453191" w:rsidRDefault="00CD1FCC" w:rsidP="000D1136">
            <w:pPr>
              <w:snapToGrid w:val="0"/>
              <w:jc w:val="center"/>
              <w:rPr>
                <w:rFonts w:ascii="楷体" w:eastAsia="楷体" w:hAnsi="楷体"/>
                <w:b/>
                <w:sz w:val="18"/>
                <w:szCs w:val="18"/>
              </w:rPr>
            </w:pPr>
            <w:r w:rsidRPr="00453191">
              <w:rPr>
                <w:rFonts w:ascii="楷体" w:eastAsia="楷体" w:hAnsi="楷体" w:hint="eastAsia"/>
                <w:b/>
                <w:sz w:val="18"/>
                <w:szCs w:val="18"/>
              </w:rPr>
              <w:t>基金代码</w:t>
            </w:r>
          </w:p>
        </w:tc>
        <w:tc>
          <w:tcPr>
            <w:tcW w:w="2551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FDE9D9"/>
            <w:vAlign w:val="center"/>
          </w:tcPr>
          <w:p w:rsidR="00CD1FCC" w:rsidRPr="00453191" w:rsidRDefault="00CD1FCC" w:rsidP="000D1136">
            <w:pPr>
              <w:snapToGrid w:val="0"/>
              <w:jc w:val="center"/>
              <w:rPr>
                <w:rFonts w:ascii="楷体" w:eastAsia="楷体" w:hAnsi="楷体"/>
                <w:b/>
                <w:sz w:val="18"/>
                <w:szCs w:val="18"/>
              </w:rPr>
            </w:pPr>
            <w:r w:rsidRPr="00453191">
              <w:rPr>
                <w:rFonts w:ascii="楷体" w:eastAsia="楷体" w:hAnsi="楷体" w:hint="eastAsia"/>
                <w:b/>
                <w:sz w:val="18"/>
                <w:szCs w:val="18"/>
              </w:rPr>
              <w:t>基金名称</w:t>
            </w:r>
          </w:p>
        </w:tc>
        <w:tc>
          <w:tcPr>
            <w:tcW w:w="567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FDE9D9"/>
            <w:vAlign w:val="center"/>
          </w:tcPr>
          <w:p w:rsidR="00CD1FCC" w:rsidRPr="00453191" w:rsidRDefault="00CD1FCC" w:rsidP="000D1136">
            <w:pPr>
              <w:snapToGrid w:val="0"/>
              <w:jc w:val="center"/>
              <w:rPr>
                <w:rFonts w:ascii="楷体" w:eastAsia="楷体" w:hAnsi="楷体"/>
                <w:b/>
                <w:sz w:val="18"/>
                <w:szCs w:val="18"/>
              </w:rPr>
            </w:pPr>
            <w:r w:rsidRPr="00453191">
              <w:rPr>
                <w:rFonts w:ascii="楷体" w:eastAsia="楷体" w:hAnsi="楷体" w:hint="eastAsia"/>
                <w:b/>
                <w:sz w:val="18"/>
                <w:szCs w:val="18"/>
              </w:rPr>
              <w:t>类型</w:t>
            </w:r>
          </w:p>
        </w:tc>
        <w:tc>
          <w:tcPr>
            <w:tcW w:w="851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FDE9D9"/>
            <w:vAlign w:val="center"/>
          </w:tcPr>
          <w:p w:rsidR="00CD1FCC" w:rsidRPr="00453191" w:rsidRDefault="00CD1FCC" w:rsidP="000D1136">
            <w:pPr>
              <w:snapToGrid w:val="0"/>
              <w:jc w:val="center"/>
              <w:rPr>
                <w:rFonts w:ascii="楷体" w:eastAsia="楷体" w:hAnsi="楷体"/>
                <w:b/>
                <w:sz w:val="18"/>
                <w:szCs w:val="18"/>
              </w:rPr>
            </w:pPr>
            <w:r w:rsidRPr="00453191">
              <w:rPr>
                <w:rFonts w:ascii="楷体" w:eastAsia="楷体" w:hAnsi="楷体" w:hint="eastAsia"/>
                <w:b/>
                <w:sz w:val="18"/>
                <w:szCs w:val="18"/>
              </w:rPr>
              <w:t>周收益率</w:t>
            </w:r>
            <w:r w:rsidRPr="00453191">
              <w:rPr>
                <w:rFonts w:ascii="楷体" w:eastAsia="楷体" w:hAnsi="楷体"/>
                <w:b/>
                <w:sz w:val="18"/>
                <w:szCs w:val="18"/>
              </w:rPr>
              <w:t>%</w:t>
            </w:r>
          </w:p>
        </w:tc>
        <w:tc>
          <w:tcPr>
            <w:tcW w:w="992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FDE9D9"/>
            <w:vAlign w:val="center"/>
          </w:tcPr>
          <w:p w:rsidR="00CD1FCC" w:rsidRPr="00453191" w:rsidRDefault="00CD1FCC" w:rsidP="000D1136">
            <w:pPr>
              <w:snapToGrid w:val="0"/>
              <w:jc w:val="center"/>
              <w:rPr>
                <w:rFonts w:ascii="楷体" w:eastAsia="楷体" w:hAnsi="楷体"/>
                <w:b/>
                <w:sz w:val="18"/>
                <w:szCs w:val="18"/>
              </w:rPr>
            </w:pPr>
            <w:r w:rsidRPr="00453191">
              <w:rPr>
                <w:rFonts w:ascii="楷体" w:eastAsia="楷体" w:hAnsi="楷体" w:hint="eastAsia"/>
                <w:b/>
                <w:sz w:val="18"/>
                <w:szCs w:val="18"/>
              </w:rPr>
              <w:t>凯石分类</w:t>
            </w:r>
          </w:p>
        </w:tc>
        <w:tc>
          <w:tcPr>
            <w:tcW w:w="850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FDE9D9"/>
            <w:vAlign w:val="center"/>
          </w:tcPr>
          <w:p w:rsidR="00CD1FCC" w:rsidRPr="00453191" w:rsidRDefault="00CD1FCC" w:rsidP="000D1136">
            <w:pPr>
              <w:snapToGrid w:val="0"/>
              <w:jc w:val="center"/>
              <w:rPr>
                <w:rFonts w:ascii="楷体" w:eastAsia="楷体" w:hAnsi="楷体"/>
                <w:b/>
                <w:sz w:val="18"/>
                <w:szCs w:val="18"/>
              </w:rPr>
            </w:pPr>
            <w:r w:rsidRPr="00453191">
              <w:rPr>
                <w:rFonts w:ascii="楷体" w:eastAsia="楷体" w:hAnsi="楷体" w:hint="eastAsia"/>
                <w:b/>
                <w:sz w:val="18"/>
                <w:szCs w:val="18"/>
              </w:rPr>
              <w:t>基金代码</w:t>
            </w:r>
          </w:p>
        </w:tc>
        <w:tc>
          <w:tcPr>
            <w:tcW w:w="1985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FDE9D9"/>
            <w:vAlign w:val="center"/>
          </w:tcPr>
          <w:p w:rsidR="00CD1FCC" w:rsidRPr="00453191" w:rsidRDefault="00CD1FCC" w:rsidP="000D1136">
            <w:pPr>
              <w:snapToGrid w:val="0"/>
              <w:jc w:val="center"/>
              <w:rPr>
                <w:rFonts w:ascii="楷体" w:eastAsia="楷体" w:hAnsi="楷体"/>
                <w:b/>
                <w:sz w:val="18"/>
                <w:szCs w:val="18"/>
              </w:rPr>
            </w:pPr>
            <w:r w:rsidRPr="00453191">
              <w:rPr>
                <w:rFonts w:ascii="楷体" w:eastAsia="楷体" w:hAnsi="楷体" w:hint="eastAsia"/>
                <w:b/>
                <w:sz w:val="18"/>
                <w:szCs w:val="18"/>
              </w:rPr>
              <w:t>基金名称</w:t>
            </w:r>
          </w:p>
        </w:tc>
        <w:tc>
          <w:tcPr>
            <w:tcW w:w="709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FDE9D9"/>
            <w:vAlign w:val="center"/>
          </w:tcPr>
          <w:p w:rsidR="00CD1FCC" w:rsidRPr="00453191" w:rsidRDefault="00CD1FCC" w:rsidP="000D1136">
            <w:pPr>
              <w:snapToGrid w:val="0"/>
              <w:jc w:val="center"/>
              <w:rPr>
                <w:rFonts w:ascii="楷体" w:eastAsia="楷体" w:hAnsi="楷体"/>
                <w:b/>
                <w:sz w:val="18"/>
                <w:szCs w:val="18"/>
              </w:rPr>
            </w:pPr>
            <w:r w:rsidRPr="00453191">
              <w:rPr>
                <w:rFonts w:ascii="楷体" w:eastAsia="楷体" w:hAnsi="楷体" w:hint="eastAsia"/>
                <w:b/>
                <w:sz w:val="18"/>
                <w:szCs w:val="18"/>
              </w:rPr>
              <w:t>类型</w:t>
            </w:r>
          </w:p>
        </w:tc>
        <w:tc>
          <w:tcPr>
            <w:tcW w:w="850" w:type="dxa"/>
            <w:tcBorders>
              <w:left w:val="single" w:sz="6" w:space="0" w:color="FF6600"/>
            </w:tcBorders>
            <w:shd w:val="clear" w:color="auto" w:fill="FDE9D9"/>
            <w:vAlign w:val="center"/>
          </w:tcPr>
          <w:p w:rsidR="00CD1FCC" w:rsidRPr="00453191" w:rsidRDefault="00CD1FCC" w:rsidP="000D1136">
            <w:pPr>
              <w:snapToGrid w:val="0"/>
              <w:jc w:val="center"/>
              <w:rPr>
                <w:rFonts w:ascii="楷体" w:eastAsia="楷体" w:hAnsi="楷体"/>
                <w:b/>
                <w:sz w:val="18"/>
                <w:szCs w:val="18"/>
              </w:rPr>
            </w:pPr>
            <w:r w:rsidRPr="00453191">
              <w:rPr>
                <w:rFonts w:ascii="楷体" w:eastAsia="楷体" w:hAnsi="楷体" w:hint="eastAsia"/>
                <w:b/>
                <w:sz w:val="18"/>
                <w:szCs w:val="18"/>
              </w:rPr>
              <w:t>周收益率</w:t>
            </w:r>
            <w:r w:rsidRPr="00453191">
              <w:rPr>
                <w:rFonts w:ascii="楷体" w:eastAsia="楷体" w:hAnsi="楷体"/>
                <w:b/>
                <w:sz w:val="18"/>
                <w:szCs w:val="18"/>
              </w:rPr>
              <w:t>%</w:t>
            </w:r>
          </w:p>
        </w:tc>
      </w:tr>
      <w:tr w:rsidR="00CD1FCC" w:rsidRPr="00453191" w:rsidTr="007056F8">
        <w:trPr>
          <w:cantSplit/>
          <w:trHeight w:val="227"/>
        </w:trPr>
        <w:tc>
          <w:tcPr>
            <w:tcW w:w="851" w:type="dxa"/>
            <w:vMerge w:val="restart"/>
            <w:tcBorders>
              <w:right w:val="single" w:sz="6" w:space="0" w:color="FF6600"/>
            </w:tcBorders>
            <w:shd w:val="clear" w:color="auto" w:fill="FDE9D9"/>
            <w:vAlign w:val="center"/>
          </w:tcPr>
          <w:p w:rsidR="00CD1FCC" w:rsidRPr="00453191" w:rsidRDefault="00CD1FCC" w:rsidP="006E677E">
            <w:pPr>
              <w:snapToGrid w:val="0"/>
              <w:jc w:val="center"/>
              <w:rPr>
                <w:rFonts w:ascii="楷体" w:eastAsia="楷体" w:hAnsi="楷体"/>
                <w:b/>
                <w:sz w:val="18"/>
                <w:szCs w:val="18"/>
              </w:rPr>
            </w:pPr>
            <w:r w:rsidRPr="00453191">
              <w:rPr>
                <w:rFonts w:ascii="楷体" w:eastAsia="楷体" w:hAnsi="楷体" w:hint="eastAsia"/>
                <w:b/>
                <w:sz w:val="18"/>
                <w:szCs w:val="18"/>
              </w:rPr>
              <w:t>股票</w:t>
            </w:r>
            <w:r w:rsidRPr="00453191">
              <w:rPr>
                <w:rFonts w:ascii="楷体" w:eastAsia="楷体" w:hAnsi="楷体"/>
                <w:b/>
                <w:sz w:val="18"/>
                <w:szCs w:val="18"/>
              </w:rPr>
              <w:t>-</w:t>
            </w:r>
          </w:p>
          <w:p w:rsidR="00CD1FCC" w:rsidRPr="00453191" w:rsidRDefault="00CD1FCC" w:rsidP="006E677E">
            <w:pPr>
              <w:snapToGrid w:val="0"/>
              <w:jc w:val="center"/>
              <w:rPr>
                <w:rFonts w:ascii="楷体" w:eastAsia="楷体" w:hAnsi="楷体"/>
                <w:b/>
                <w:sz w:val="18"/>
                <w:szCs w:val="18"/>
              </w:rPr>
            </w:pPr>
            <w:r w:rsidRPr="00453191">
              <w:rPr>
                <w:rFonts w:ascii="楷体" w:eastAsia="楷体" w:hAnsi="楷体" w:hint="eastAsia"/>
                <w:b/>
                <w:sz w:val="18"/>
                <w:szCs w:val="18"/>
              </w:rPr>
              <w:t>主动型</w:t>
            </w:r>
          </w:p>
        </w:tc>
        <w:tc>
          <w:tcPr>
            <w:tcW w:w="851" w:type="dxa"/>
            <w:tcBorders>
              <w:left w:val="single" w:sz="6" w:space="0" w:color="FF6600"/>
              <w:right w:val="single" w:sz="6" w:space="0" w:color="FF6600"/>
            </w:tcBorders>
          </w:tcPr>
          <w:p w:rsidR="00CD1FCC" w:rsidRPr="00E81144" w:rsidRDefault="00CD1FCC" w:rsidP="00E81144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453191">
              <w:rPr>
                <w:rFonts w:ascii="楷体" w:eastAsia="楷体" w:hAnsi="楷体"/>
                <w:color w:val="000000"/>
                <w:sz w:val="18"/>
                <w:szCs w:val="18"/>
              </w:rPr>
              <w:t>620008</w:t>
            </w:r>
          </w:p>
        </w:tc>
        <w:tc>
          <w:tcPr>
            <w:tcW w:w="2551" w:type="dxa"/>
            <w:tcBorders>
              <w:left w:val="single" w:sz="6" w:space="0" w:color="FF6600"/>
              <w:right w:val="single" w:sz="6" w:space="0" w:color="FF6600"/>
            </w:tcBorders>
          </w:tcPr>
          <w:p w:rsidR="00CD1FCC" w:rsidRPr="00E81144" w:rsidRDefault="00CD1FCC" w:rsidP="00E81144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453191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金元惠理新经济主题</w:t>
            </w:r>
          </w:p>
        </w:tc>
        <w:tc>
          <w:tcPr>
            <w:tcW w:w="567" w:type="dxa"/>
            <w:tcBorders>
              <w:left w:val="single" w:sz="6" w:space="0" w:color="FF6600"/>
              <w:right w:val="single" w:sz="6" w:space="0" w:color="FF6600"/>
            </w:tcBorders>
            <w:vAlign w:val="center"/>
          </w:tcPr>
          <w:p w:rsidR="00CD1FCC" w:rsidRPr="00E81144" w:rsidRDefault="00CD1FCC" w:rsidP="00E81144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453191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开放式</w:t>
            </w:r>
          </w:p>
        </w:tc>
        <w:tc>
          <w:tcPr>
            <w:tcW w:w="851" w:type="dxa"/>
            <w:tcBorders>
              <w:left w:val="single" w:sz="6" w:space="0" w:color="FF6600"/>
              <w:right w:val="single" w:sz="6" w:space="0" w:color="FF6600"/>
            </w:tcBorders>
          </w:tcPr>
          <w:p w:rsidR="00CD1FCC" w:rsidRPr="00E81144" w:rsidRDefault="00CD1FCC" w:rsidP="00E81144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453191">
              <w:rPr>
                <w:rFonts w:ascii="楷体" w:eastAsia="楷体" w:hAnsi="楷体"/>
                <w:color w:val="000000"/>
                <w:sz w:val="18"/>
                <w:szCs w:val="18"/>
              </w:rPr>
              <w:t>25.19</w:t>
            </w:r>
          </w:p>
        </w:tc>
        <w:tc>
          <w:tcPr>
            <w:tcW w:w="992" w:type="dxa"/>
            <w:vMerge w:val="restart"/>
            <w:tcBorders>
              <w:left w:val="single" w:sz="6" w:space="0" w:color="FF6600"/>
              <w:right w:val="single" w:sz="6" w:space="0" w:color="FF6600"/>
            </w:tcBorders>
            <w:shd w:val="clear" w:color="auto" w:fill="FDE9D9"/>
            <w:vAlign w:val="center"/>
          </w:tcPr>
          <w:p w:rsidR="00CD1FCC" w:rsidRPr="00453191" w:rsidRDefault="00CD1FCC" w:rsidP="006E677E">
            <w:pPr>
              <w:snapToGrid w:val="0"/>
              <w:jc w:val="center"/>
              <w:rPr>
                <w:rFonts w:ascii="楷体" w:eastAsia="楷体" w:hAnsi="楷体"/>
                <w:b/>
                <w:sz w:val="18"/>
                <w:szCs w:val="18"/>
              </w:rPr>
            </w:pPr>
            <w:r w:rsidRPr="00453191">
              <w:rPr>
                <w:rFonts w:ascii="楷体" w:eastAsia="楷体" w:hAnsi="楷体" w:hint="eastAsia"/>
                <w:b/>
                <w:sz w:val="18"/>
                <w:szCs w:val="18"/>
              </w:rPr>
              <w:t>债券</w:t>
            </w:r>
            <w:r w:rsidRPr="00453191">
              <w:rPr>
                <w:rFonts w:ascii="楷体" w:eastAsia="楷体" w:hAnsi="楷体"/>
                <w:b/>
                <w:sz w:val="18"/>
                <w:szCs w:val="18"/>
              </w:rPr>
              <w:t>-</w:t>
            </w:r>
          </w:p>
          <w:p w:rsidR="00CD1FCC" w:rsidRPr="00453191" w:rsidRDefault="00CD1FCC" w:rsidP="006E677E">
            <w:pPr>
              <w:snapToGrid w:val="0"/>
              <w:jc w:val="center"/>
              <w:rPr>
                <w:rFonts w:ascii="楷体" w:eastAsia="楷体" w:hAnsi="楷体"/>
                <w:b/>
                <w:sz w:val="18"/>
                <w:szCs w:val="18"/>
              </w:rPr>
            </w:pPr>
            <w:r w:rsidRPr="00453191">
              <w:rPr>
                <w:rFonts w:ascii="楷体" w:eastAsia="楷体" w:hAnsi="楷体" w:hint="eastAsia"/>
                <w:b/>
                <w:sz w:val="18"/>
                <w:szCs w:val="18"/>
              </w:rPr>
              <w:t>纯债基金</w:t>
            </w:r>
          </w:p>
        </w:tc>
        <w:tc>
          <w:tcPr>
            <w:tcW w:w="850" w:type="dxa"/>
            <w:tcBorders>
              <w:left w:val="single" w:sz="6" w:space="0" w:color="FF6600"/>
              <w:right w:val="single" w:sz="6" w:space="0" w:color="FF6600"/>
            </w:tcBorders>
          </w:tcPr>
          <w:p w:rsidR="00CD1FCC" w:rsidRPr="00E81144" w:rsidRDefault="00CD1FCC" w:rsidP="00E81144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453191">
              <w:rPr>
                <w:rFonts w:ascii="楷体" w:eastAsia="楷体" w:hAnsi="楷体"/>
                <w:color w:val="000000"/>
                <w:sz w:val="18"/>
                <w:szCs w:val="18"/>
              </w:rPr>
              <w:t>519060</w:t>
            </w:r>
          </w:p>
        </w:tc>
        <w:tc>
          <w:tcPr>
            <w:tcW w:w="1985" w:type="dxa"/>
            <w:tcBorders>
              <w:left w:val="single" w:sz="6" w:space="0" w:color="FF6600"/>
              <w:right w:val="single" w:sz="6" w:space="0" w:color="FF6600"/>
            </w:tcBorders>
          </w:tcPr>
          <w:p w:rsidR="00CD1FCC" w:rsidRPr="00E81144" w:rsidRDefault="00CD1FCC" w:rsidP="00E81144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453191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海富通纯债</w:t>
            </w:r>
            <w:r w:rsidRPr="00453191">
              <w:rPr>
                <w:rFonts w:ascii="楷体" w:eastAsia="楷体" w:hAnsi="楷体"/>
                <w:color w:val="000000"/>
                <w:sz w:val="18"/>
                <w:szCs w:val="18"/>
              </w:rPr>
              <w:t>C</w:t>
            </w:r>
          </w:p>
        </w:tc>
        <w:tc>
          <w:tcPr>
            <w:tcW w:w="709" w:type="dxa"/>
            <w:tcBorders>
              <w:left w:val="single" w:sz="6" w:space="0" w:color="FF6600"/>
              <w:right w:val="single" w:sz="6" w:space="0" w:color="FF6600"/>
            </w:tcBorders>
            <w:vAlign w:val="center"/>
          </w:tcPr>
          <w:p w:rsidR="00CD1FCC" w:rsidRPr="00E81144" w:rsidRDefault="00CD1FCC" w:rsidP="00E81144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453191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开放式</w:t>
            </w:r>
          </w:p>
        </w:tc>
        <w:tc>
          <w:tcPr>
            <w:tcW w:w="850" w:type="dxa"/>
            <w:tcBorders>
              <w:left w:val="single" w:sz="6" w:space="0" w:color="FF6600"/>
            </w:tcBorders>
          </w:tcPr>
          <w:p w:rsidR="00CD1FCC" w:rsidRPr="00E81144" w:rsidRDefault="00CD1FCC" w:rsidP="00E81144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453191">
              <w:rPr>
                <w:rFonts w:ascii="楷体" w:eastAsia="楷体" w:hAnsi="楷体"/>
                <w:color w:val="000000"/>
                <w:sz w:val="18"/>
                <w:szCs w:val="18"/>
              </w:rPr>
              <w:t>8.00</w:t>
            </w:r>
          </w:p>
        </w:tc>
      </w:tr>
      <w:tr w:rsidR="00CD1FCC" w:rsidRPr="00453191" w:rsidTr="007056F8">
        <w:trPr>
          <w:cantSplit/>
          <w:trHeight w:val="227"/>
        </w:trPr>
        <w:tc>
          <w:tcPr>
            <w:tcW w:w="851" w:type="dxa"/>
            <w:vMerge/>
            <w:tcBorders>
              <w:right w:val="single" w:sz="6" w:space="0" w:color="FF6600"/>
            </w:tcBorders>
            <w:shd w:val="clear" w:color="auto" w:fill="FDE9D9"/>
            <w:vAlign w:val="center"/>
          </w:tcPr>
          <w:p w:rsidR="00CD1FCC" w:rsidRPr="00453191" w:rsidRDefault="00CD1FCC" w:rsidP="006E677E">
            <w:pPr>
              <w:snapToGrid w:val="0"/>
              <w:jc w:val="center"/>
              <w:rPr>
                <w:rFonts w:ascii="楷体" w:eastAsia="楷体" w:hAnsi="楷体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6" w:space="0" w:color="FF6600"/>
              <w:right w:val="single" w:sz="6" w:space="0" w:color="FF6600"/>
            </w:tcBorders>
          </w:tcPr>
          <w:p w:rsidR="00CD1FCC" w:rsidRPr="00E81144" w:rsidRDefault="00CD1FCC" w:rsidP="00E81144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453191">
              <w:rPr>
                <w:rFonts w:ascii="楷体" w:eastAsia="楷体" w:hAnsi="楷体"/>
                <w:color w:val="000000"/>
                <w:sz w:val="18"/>
                <w:szCs w:val="18"/>
              </w:rPr>
              <w:t>519033</w:t>
            </w:r>
          </w:p>
        </w:tc>
        <w:tc>
          <w:tcPr>
            <w:tcW w:w="2551" w:type="dxa"/>
            <w:tcBorders>
              <w:left w:val="single" w:sz="6" w:space="0" w:color="FF6600"/>
              <w:right w:val="single" w:sz="6" w:space="0" w:color="FF6600"/>
            </w:tcBorders>
          </w:tcPr>
          <w:p w:rsidR="00CD1FCC" w:rsidRPr="00E81144" w:rsidRDefault="00CD1FCC" w:rsidP="00E81144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453191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海富通国策导向</w:t>
            </w:r>
          </w:p>
        </w:tc>
        <w:tc>
          <w:tcPr>
            <w:tcW w:w="567" w:type="dxa"/>
            <w:tcBorders>
              <w:left w:val="single" w:sz="6" w:space="0" w:color="FF6600"/>
              <w:right w:val="single" w:sz="6" w:space="0" w:color="FF6600"/>
            </w:tcBorders>
            <w:vAlign w:val="center"/>
          </w:tcPr>
          <w:p w:rsidR="00CD1FCC" w:rsidRPr="00E81144" w:rsidRDefault="00CD1FCC" w:rsidP="00E81144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453191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开放式</w:t>
            </w:r>
          </w:p>
        </w:tc>
        <w:tc>
          <w:tcPr>
            <w:tcW w:w="851" w:type="dxa"/>
            <w:tcBorders>
              <w:left w:val="single" w:sz="6" w:space="0" w:color="FF6600"/>
              <w:right w:val="single" w:sz="6" w:space="0" w:color="FF6600"/>
            </w:tcBorders>
          </w:tcPr>
          <w:p w:rsidR="00CD1FCC" w:rsidRPr="00E81144" w:rsidRDefault="00CD1FCC" w:rsidP="00E81144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453191">
              <w:rPr>
                <w:rFonts w:ascii="楷体" w:eastAsia="楷体" w:hAnsi="楷体"/>
                <w:color w:val="000000"/>
                <w:sz w:val="18"/>
                <w:szCs w:val="18"/>
              </w:rPr>
              <w:t>20.55</w:t>
            </w:r>
          </w:p>
        </w:tc>
        <w:tc>
          <w:tcPr>
            <w:tcW w:w="992" w:type="dxa"/>
            <w:vMerge/>
            <w:tcBorders>
              <w:left w:val="single" w:sz="6" w:space="0" w:color="FF6600"/>
              <w:right w:val="single" w:sz="6" w:space="0" w:color="FF6600"/>
            </w:tcBorders>
            <w:shd w:val="clear" w:color="auto" w:fill="FDE9D9"/>
            <w:vAlign w:val="center"/>
          </w:tcPr>
          <w:p w:rsidR="00CD1FCC" w:rsidRPr="00453191" w:rsidRDefault="00CD1FCC" w:rsidP="006E677E">
            <w:pPr>
              <w:snapToGrid w:val="0"/>
              <w:jc w:val="center"/>
              <w:rPr>
                <w:rFonts w:ascii="楷体" w:eastAsia="楷体" w:hAnsi="楷体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6" w:space="0" w:color="FF6600"/>
              <w:right w:val="single" w:sz="6" w:space="0" w:color="FF6600"/>
            </w:tcBorders>
          </w:tcPr>
          <w:p w:rsidR="00CD1FCC" w:rsidRPr="00E81144" w:rsidRDefault="00CD1FCC" w:rsidP="00E81144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453191">
              <w:rPr>
                <w:rFonts w:ascii="楷体" w:eastAsia="楷体" w:hAnsi="楷体"/>
                <w:color w:val="000000"/>
                <w:sz w:val="18"/>
                <w:szCs w:val="18"/>
              </w:rPr>
              <w:t>519061</w:t>
            </w:r>
          </w:p>
        </w:tc>
        <w:tc>
          <w:tcPr>
            <w:tcW w:w="1985" w:type="dxa"/>
            <w:tcBorders>
              <w:left w:val="single" w:sz="6" w:space="0" w:color="FF6600"/>
              <w:right w:val="single" w:sz="6" w:space="0" w:color="FF6600"/>
            </w:tcBorders>
          </w:tcPr>
          <w:p w:rsidR="00CD1FCC" w:rsidRPr="00E81144" w:rsidRDefault="00CD1FCC" w:rsidP="00E81144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453191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海富通纯债</w:t>
            </w:r>
            <w:r w:rsidRPr="00453191">
              <w:rPr>
                <w:rFonts w:ascii="楷体" w:eastAsia="楷体" w:hAnsi="楷体"/>
                <w:color w:val="000000"/>
                <w:sz w:val="18"/>
                <w:szCs w:val="18"/>
              </w:rPr>
              <w:t>A</w:t>
            </w:r>
          </w:p>
        </w:tc>
        <w:tc>
          <w:tcPr>
            <w:tcW w:w="709" w:type="dxa"/>
            <w:tcBorders>
              <w:left w:val="single" w:sz="6" w:space="0" w:color="FF6600"/>
              <w:right w:val="single" w:sz="6" w:space="0" w:color="FF6600"/>
            </w:tcBorders>
            <w:vAlign w:val="center"/>
          </w:tcPr>
          <w:p w:rsidR="00CD1FCC" w:rsidRPr="00E81144" w:rsidRDefault="00CD1FCC" w:rsidP="00E81144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453191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开放式</w:t>
            </w:r>
          </w:p>
        </w:tc>
        <w:tc>
          <w:tcPr>
            <w:tcW w:w="850" w:type="dxa"/>
            <w:tcBorders>
              <w:left w:val="single" w:sz="6" w:space="0" w:color="FF6600"/>
            </w:tcBorders>
          </w:tcPr>
          <w:p w:rsidR="00CD1FCC" w:rsidRPr="00E81144" w:rsidRDefault="00CD1FCC" w:rsidP="00E81144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453191">
              <w:rPr>
                <w:rFonts w:ascii="楷体" w:eastAsia="楷体" w:hAnsi="楷体"/>
                <w:color w:val="000000"/>
                <w:sz w:val="18"/>
                <w:szCs w:val="18"/>
              </w:rPr>
              <w:t>7.96</w:t>
            </w:r>
          </w:p>
        </w:tc>
      </w:tr>
      <w:tr w:rsidR="00CD1FCC" w:rsidRPr="00453191" w:rsidTr="007056F8">
        <w:trPr>
          <w:cantSplit/>
          <w:trHeight w:val="227"/>
        </w:trPr>
        <w:tc>
          <w:tcPr>
            <w:tcW w:w="851" w:type="dxa"/>
            <w:vMerge/>
            <w:tcBorders>
              <w:right w:val="single" w:sz="6" w:space="0" w:color="FF6600"/>
            </w:tcBorders>
            <w:shd w:val="clear" w:color="auto" w:fill="FDE9D9"/>
            <w:vAlign w:val="center"/>
          </w:tcPr>
          <w:p w:rsidR="00CD1FCC" w:rsidRPr="00453191" w:rsidRDefault="00CD1FCC" w:rsidP="006E677E">
            <w:pPr>
              <w:snapToGrid w:val="0"/>
              <w:jc w:val="center"/>
              <w:rPr>
                <w:rFonts w:ascii="楷体" w:eastAsia="楷体" w:hAnsi="楷体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6" w:space="0" w:color="FF6600"/>
              <w:right w:val="single" w:sz="6" w:space="0" w:color="FF6600"/>
            </w:tcBorders>
          </w:tcPr>
          <w:p w:rsidR="00CD1FCC" w:rsidRPr="00E81144" w:rsidRDefault="00CD1FCC" w:rsidP="00E81144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453191">
              <w:rPr>
                <w:rFonts w:ascii="楷体" w:eastAsia="楷体" w:hAnsi="楷体"/>
                <w:color w:val="000000"/>
                <w:sz w:val="18"/>
                <w:szCs w:val="18"/>
              </w:rPr>
              <w:t>540002</w:t>
            </w:r>
          </w:p>
        </w:tc>
        <w:tc>
          <w:tcPr>
            <w:tcW w:w="2551" w:type="dxa"/>
            <w:tcBorders>
              <w:left w:val="single" w:sz="6" w:space="0" w:color="FF6600"/>
              <w:right w:val="single" w:sz="6" w:space="0" w:color="FF6600"/>
            </w:tcBorders>
          </w:tcPr>
          <w:p w:rsidR="00CD1FCC" w:rsidRPr="00E81144" w:rsidRDefault="00CD1FCC" w:rsidP="00E81144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453191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汇丰晋信龙腾</w:t>
            </w:r>
          </w:p>
        </w:tc>
        <w:tc>
          <w:tcPr>
            <w:tcW w:w="567" w:type="dxa"/>
            <w:tcBorders>
              <w:left w:val="single" w:sz="6" w:space="0" w:color="FF6600"/>
              <w:right w:val="single" w:sz="6" w:space="0" w:color="FF6600"/>
            </w:tcBorders>
            <w:vAlign w:val="center"/>
          </w:tcPr>
          <w:p w:rsidR="00CD1FCC" w:rsidRPr="00E81144" w:rsidRDefault="00CD1FCC" w:rsidP="00E81144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453191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开放式</w:t>
            </w:r>
          </w:p>
        </w:tc>
        <w:tc>
          <w:tcPr>
            <w:tcW w:w="851" w:type="dxa"/>
            <w:tcBorders>
              <w:left w:val="single" w:sz="6" w:space="0" w:color="FF6600"/>
              <w:right w:val="single" w:sz="6" w:space="0" w:color="FF6600"/>
            </w:tcBorders>
          </w:tcPr>
          <w:p w:rsidR="00CD1FCC" w:rsidRPr="00E81144" w:rsidRDefault="00CD1FCC" w:rsidP="00E81144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453191">
              <w:rPr>
                <w:rFonts w:ascii="楷体" w:eastAsia="楷体" w:hAnsi="楷体"/>
                <w:color w:val="000000"/>
                <w:sz w:val="18"/>
                <w:szCs w:val="18"/>
              </w:rPr>
              <w:t>15.63</w:t>
            </w:r>
          </w:p>
        </w:tc>
        <w:tc>
          <w:tcPr>
            <w:tcW w:w="992" w:type="dxa"/>
            <w:vMerge/>
            <w:tcBorders>
              <w:left w:val="single" w:sz="6" w:space="0" w:color="FF6600"/>
              <w:right w:val="single" w:sz="6" w:space="0" w:color="FF6600"/>
            </w:tcBorders>
            <w:shd w:val="clear" w:color="auto" w:fill="FDE9D9"/>
            <w:vAlign w:val="center"/>
          </w:tcPr>
          <w:p w:rsidR="00CD1FCC" w:rsidRPr="00453191" w:rsidRDefault="00CD1FCC" w:rsidP="006E677E">
            <w:pPr>
              <w:snapToGrid w:val="0"/>
              <w:jc w:val="center"/>
              <w:rPr>
                <w:rFonts w:ascii="楷体" w:eastAsia="楷体" w:hAnsi="楷体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6" w:space="0" w:color="FF6600"/>
              <w:right w:val="single" w:sz="6" w:space="0" w:color="FF6600"/>
            </w:tcBorders>
          </w:tcPr>
          <w:p w:rsidR="00CD1FCC" w:rsidRPr="00E81144" w:rsidRDefault="00CD1FCC" w:rsidP="00E81144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453191">
              <w:rPr>
                <w:rFonts w:ascii="楷体" w:eastAsia="楷体" w:hAnsi="楷体"/>
                <w:color w:val="000000"/>
                <w:sz w:val="18"/>
                <w:szCs w:val="18"/>
              </w:rPr>
              <w:t>000053</w:t>
            </w:r>
          </w:p>
        </w:tc>
        <w:tc>
          <w:tcPr>
            <w:tcW w:w="1985" w:type="dxa"/>
            <w:tcBorders>
              <w:left w:val="single" w:sz="6" w:space="0" w:color="FF6600"/>
              <w:right w:val="single" w:sz="6" w:space="0" w:color="FF6600"/>
            </w:tcBorders>
          </w:tcPr>
          <w:p w:rsidR="00CD1FCC" w:rsidRPr="00E81144" w:rsidRDefault="00CD1FCC" w:rsidP="00E81144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453191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鹏华实业债纯债</w:t>
            </w:r>
          </w:p>
        </w:tc>
        <w:tc>
          <w:tcPr>
            <w:tcW w:w="709" w:type="dxa"/>
            <w:tcBorders>
              <w:left w:val="single" w:sz="6" w:space="0" w:color="FF6600"/>
              <w:right w:val="single" w:sz="6" w:space="0" w:color="FF6600"/>
            </w:tcBorders>
            <w:vAlign w:val="center"/>
          </w:tcPr>
          <w:p w:rsidR="00CD1FCC" w:rsidRPr="00E81144" w:rsidRDefault="00CD1FCC" w:rsidP="00E81144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453191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开放式</w:t>
            </w:r>
          </w:p>
        </w:tc>
        <w:tc>
          <w:tcPr>
            <w:tcW w:w="850" w:type="dxa"/>
            <w:tcBorders>
              <w:left w:val="single" w:sz="6" w:space="0" w:color="FF6600"/>
            </w:tcBorders>
          </w:tcPr>
          <w:p w:rsidR="00CD1FCC" w:rsidRPr="00E81144" w:rsidRDefault="00CD1FCC" w:rsidP="00E81144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453191">
              <w:rPr>
                <w:rFonts w:ascii="楷体" w:eastAsia="楷体" w:hAnsi="楷体"/>
                <w:color w:val="000000"/>
                <w:sz w:val="18"/>
                <w:szCs w:val="18"/>
              </w:rPr>
              <w:t>4.57</w:t>
            </w:r>
          </w:p>
        </w:tc>
      </w:tr>
      <w:tr w:rsidR="00CD1FCC" w:rsidRPr="00453191" w:rsidTr="007056F8">
        <w:trPr>
          <w:cantSplit/>
          <w:trHeight w:val="227"/>
        </w:trPr>
        <w:tc>
          <w:tcPr>
            <w:tcW w:w="851" w:type="dxa"/>
            <w:vMerge w:val="restart"/>
            <w:tcBorders>
              <w:right w:val="single" w:sz="6" w:space="0" w:color="FF6600"/>
            </w:tcBorders>
            <w:shd w:val="clear" w:color="auto" w:fill="FDE9D9"/>
            <w:vAlign w:val="center"/>
          </w:tcPr>
          <w:p w:rsidR="00CD1FCC" w:rsidRPr="00453191" w:rsidRDefault="00CD1FCC" w:rsidP="006E677E">
            <w:pPr>
              <w:snapToGrid w:val="0"/>
              <w:jc w:val="center"/>
              <w:rPr>
                <w:rFonts w:ascii="楷体" w:eastAsia="楷体" w:hAnsi="楷体"/>
                <w:b/>
                <w:sz w:val="18"/>
                <w:szCs w:val="18"/>
              </w:rPr>
            </w:pPr>
            <w:r w:rsidRPr="00453191">
              <w:rPr>
                <w:rFonts w:ascii="楷体" w:eastAsia="楷体" w:hAnsi="楷体" w:hint="eastAsia"/>
                <w:b/>
                <w:sz w:val="18"/>
                <w:szCs w:val="18"/>
              </w:rPr>
              <w:t>股票</w:t>
            </w:r>
            <w:r w:rsidRPr="00453191">
              <w:rPr>
                <w:rFonts w:ascii="楷体" w:eastAsia="楷体" w:hAnsi="楷体"/>
                <w:b/>
                <w:sz w:val="18"/>
                <w:szCs w:val="18"/>
              </w:rPr>
              <w:t>-</w:t>
            </w:r>
          </w:p>
          <w:p w:rsidR="00CD1FCC" w:rsidRPr="00453191" w:rsidRDefault="00CD1FCC" w:rsidP="006E677E">
            <w:pPr>
              <w:snapToGrid w:val="0"/>
              <w:jc w:val="center"/>
              <w:rPr>
                <w:rFonts w:ascii="楷体" w:eastAsia="楷体" w:hAnsi="楷体"/>
                <w:b/>
                <w:sz w:val="18"/>
                <w:szCs w:val="18"/>
              </w:rPr>
            </w:pPr>
            <w:r w:rsidRPr="00453191">
              <w:rPr>
                <w:rFonts w:ascii="楷体" w:eastAsia="楷体" w:hAnsi="楷体" w:hint="eastAsia"/>
                <w:b/>
                <w:sz w:val="18"/>
                <w:szCs w:val="18"/>
              </w:rPr>
              <w:t>指数型</w:t>
            </w:r>
          </w:p>
        </w:tc>
        <w:tc>
          <w:tcPr>
            <w:tcW w:w="851" w:type="dxa"/>
            <w:tcBorders>
              <w:left w:val="single" w:sz="6" w:space="0" w:color="FF6600"/>
              <w:right w:val="single" w:sz="6" w:space="0" w:color="FF6600"/>
            </w:tcBorders>
          </w:tcPr>
          <w:p w:rsidR="00CD1FCC" w:rsidRPr="00E81144" w:rsidRDefault="00CD1FCC" w:rsidP="00E81144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453191">
              <w:rPr>
                <w:rFonts w:ascii="楷体" w:eastAsia="楷体" w:hAnsi="楷体"/>
                <w:color w:val="000000"/>
                <w:sz w:val="18"/>
                <w:szCs w:val="18"/>
              </w:rPr>
              <w:t>163113</w:t>
            </w:r>
          </w:p>
        </w:tc>
        <w:tc>
          <w:tcPr>
            <w:tcW w:w="2551" w:type="dxa"/>
            <w:tcBorders>
              <w:left w:val="single" w:sz="6" w:space="0" w:color="FF6600"/>
              <w:right w:val="single" w:sz="6" w:space="0" w:color="FF6600"/>
            </w:tcBorders>
          </w:tcPr>
          <w:p w:rsidR="00CD1FCC" w:rsidRPr="00E81144" w:rsidRDefault="00CD1FCC" w:rsidP="00E81144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453191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申万菱信申万证券行业分级</w:t>
            </w:r>
          </w:p>
        </w:tc>
        <w:tc>
          <w:tcPr>
            <w:tcW w:w="567" w:type="dxa"/>
            <w:tcBorders>
              <w:left w:val="single" w:sz="6" w:space="0" w:color="FF6600"/>
              <w:right w:val="single" w:sz="6" w:space="0" w:color="FF6600"/>
            </w:tcBorders>
            <w:vAlign w:val="center"/>
          </w:tcPr>
          <w:p w:rsidR="00CD1FCC" w:rsidRPr="00E81144" w:rsidRDefault="00CD1FCC" w:rsidP="00E81144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453191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开放式</w:t>
            </w:r>
          </w:p>
        </w:tc>
        <w:tc>
          <w:tcPr>
            <w:tcW w:w="851" w:type="dxa"/>
            <w:tcBorders>
              <w:left w:val="single" w:sz="6" w:space="0" w:color="FF6600"/>
              <w:right w:val="single" w:sz="6" w:space="0" w:color="FF6600"/>
            </w:tcBorders>
          </w:tcPr>
          <w:p w:rsidR="00CD1FCC" w:rsidRPr="00E81144" w:rsidRDefault="00CD1FCC" w:rsidP="00E81144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453191">
              <w:rPr>
                <w:rFonts w:ascii="楷体" w:eastAsia="楷体" w:hAnsi="楷体"/>
                <w:color w:val="000000"/>
                <w:sz w:val="18"/>
                <w:szCs w:val="18"/>
              </w:rPr>
              <w:t>31.21</w:t>
            </w:r>
          </w:p>
        </w:tc>
        <w:tc>
          <w:tcPr>
            <w:tcW w:w="992" w:type="dxa"/>
            <w:vMerge w:val="restart"/>
            <w:tcBorders>
              <w:left w:val="single" w:sz="6" w:space="0" w:color="FF6600"/>
              <w:right w:val="single" w:sz="6" w:space="0" w:color="FF6600"/>
            </w:tcBorders>
            <w:shd w:val="clear" w:color="auto" w:fill="FDE9D9"/>
            <w:vAlign w:val="center"/>
          </w:tcPr>
          <w:p w:rsidR="00CD1FCC" w:rsidRPr="00453191" w:rsidRDefault="00CD1FCC" w:rsidP="006E677E">
            <w:pPr>
              <w:snapToGrid w:val="0"/>
              <w:jc w:val="center"/>
              <w:rPr>
                <w:rFonts w:ascii="楷体" w:eastAsia="楷体" w:hAnsi="楷体"/>
                <w:b/>
                <w:bCs/>
                <w:color w:val="000000"/>
                <w:sz w:val="18"/>
                <w:szCs w:val="18"/>
              </w:rPr>
            </w:pPr>
            <w:r w:rsidRPr="00453191">
              <w:rPr>
                <w:rFonts w:ascii="楷体" w:eastAsia="楷体" w:hAnsi="楷体" w:hint="eastAsia"/>
                <w:b/>
                <w:bCs/>
                <w:color w:val="000000"/>
                <w:sz w:val="18"/>
                <w:szCs w:val="18"/>
              </w:rPr>
              <w:t>债券</w:t>
            </w:r>
            <w:r w:rsidRPr="00453191">
              <w:rPr>
                <w:rFonts w:ascii="楷体" w:eastAsia="楷体" w:hAnsi="楷体"/>
                <w:b/>
                <w:bCs/>
                <w:color w:val="000000"/>
                <w:sz w:val="18"/>
                <w:szCs w:val="18"/>
              </w:rPr>
              <w:t>-</w:t>
            </w:r>
          </w:p>
          <w:p w:rsidR="00CD1FCC" w:rsidRPr="005B7CDB" w:rsidRDefault="00CD1FCC" w:rsidP="006E677E">
            <w:pPr>
              <w:snapToGrid w:val="0"/>
              <w:jc w:val="center"/>
              <w:rPr>
                <w:rFonts w:ascii="楷体" w:eastAsia="楷体" w:hAnsi="楷体" w:cs="宋体"/>
                <w:b/>
                <w:bCs/>
                <w:color w:val="000000"/>
                <w:sz w:val="18"/>
                <w:szCs w:val="18"/>
              </w:rPr>
            </w:pPr>
            <w:r w:rsidRPr="00453191">
              <w:rPr>
                <w:rFonts w:ascii="楷体" w:eastAsia="楷体" w:hAnsi="楷体" w:hint="eastAsia"/>
                <w:b/>
                <w:bCs/>
                <w:color w:val="000000"/>
                <w:sz w:val="18"/>
                <w:szCs w:val="18"/>
              </w:rPr>
              <w:t>一级债基</w:t>
            </w:r>
          </w:p>
        </w:tc>
        <w:tc>
          <w:tcPr>
            <w:tcW w:w="850" w:type="dxa"/>
            <w:tcBorders>
              <w:left w:val="single" w:sz="6" w:space="0" w:color="FF6600"/>
              <w:right w:val="single" w:sz="6" w:space="0" w:color="FF6600"/>
            </w:tcBorders>
          </w:tcPr>
          <w:p w:rsidR="00CD1FCC" w:rsidRPr="00E81144" w:rsidRDefault="00CD1FCC" w:rsidP="00E81144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453191">
              <w:rPr>
                <w:rFonts w:ascii="楷体" w:eastAsia="楷体" w:hAnsi="楷体"/>
                <w:color w:val="000000"/>
                <w:sz w:val="18"/>
                <w:szCs w:val="18"/>
              </w:rPr>
              <w:t>519051</w:t>
            </w:r>
          </w:p>
        </w:tc>
        <w:tc>
          <w:tcPr>
            <w:tcW w:w="1985" w:type="dxa"/>
            <w:tcBorders>
              <w:left w:val="single" w:sz="6" w:space="0" w:color="FF6600"/>
              <w:right w:val="single" w:sz="6" w:space="0" w:color="FF6600"/>
            </w:tcBorders>
          </w:tcPr>
          <w:p w:rsidR="00CD1FCC" w:rsidRPr="00E81144" w:rsidRDefault="00CD1FCC" w:rsidP="00E81144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453191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海富通一年定期开放</w:t>
            </w:r>
          </w:p>
        </w:tc>
        <w:tc>
          <w:tcPr>
            <w:tcW w:w="709" w:type="dxa"/>
            <w:tcBorders>
              <w:left w:val="single" w:sz="6" w:space="0" w:color="FF6600"/>
              <w:right w:val="single" w:sz="6" w:space="0" w:color="FF6600"/>
            </w:tcBorders>
            <w:vAlign w:val="center"/>
          </w:tcPr>
          <w:p w:rsidR="00CD1FCC" w:rsidRPr="00E81144" w:rsidRDefault="00CD1FCC" w:rsidP="00E81144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453191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开放式</w:t>
            </w:r>
          </w:p>
        </w:tc>
        <w:tc>
          <w:tcPr>
            <w:tcW w:w="850" w:type="dxa"/>
            <w:tcBorders>
              <w:left w:val="single" w:sz="6" w:space="0" w:color="FF6600"/>
            </w:tcBorders>
          </w:tcPr>
          <w:p w:rsidR="00CD1FCC" w:rsidRPr="00E81144" w:rsidRDefault="00CD1FCC" w:rsidP="00E81144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453191">
              <w:rPr>
                <w:rFonts w:ascii="楷体" w:eastAsia="楷体" w:hAnsi="楷体"/>
                <w:color w:val="000000"/>
                <w:sz w:val="18"/>
                <w:szCs w:val="18"/>
              </w:rPr>
              <w:t>7.20</w:t>
            </w:r>
          </w:p>
        </w:tc>
      </w:tr>
      <w:tr w:rsidR="00CD1FCC" w:rsidRPr="00453191" w:rsidTr="007056F8">
        <w:trPr>
          <w:cantSplit/>
          <w:trHeight w:val="227"/>
        </w:trPr>
        <w:tc>
          <w:tcPr>
            <w:tcW w:w="851" w:type="dxa"/>
            <w:vMerge/>
            <w:tcBorders>
              <w:right w:val="single" w:sz="6" w:space="0" w:color="FF6600"/>
            </w:tcBorders>
            <w:shd w:val="clear" w:color="auto" w:fill="FDE9D9"/>
            <w:vAlign w:val="center"/>
          </w:tcPr>
          <w:p w:rsidR="00CD1FCC" w:rsidRPr="00453191" w:rsidRDefault="00CD1FCC" w:rsidP="006E677E">
            <w:pPr>
              <w:snapToGrid w:val="0"/>
              <w:jc w:val="center"/>
              <w:rPr>
                <w:rFonts w:ascii="楷体" w:eastAsia="楷体" w:hAnsi="楷体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6" w:space="0" w:color="FF6600"/>
              <w:right w:val="single" w:sz="6" w:space="0" w:color="FF6600"/>
            </w:tcBorders>
          </w:tcPr>
          <w:p w:rsidR="00CD1FCC" w:rsidRPr="00E81144" w:rsidRDefault="00CD1FCC" w:rsidP="00E81144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453191">
              <w:rPr>
                <w:rFonts w:ascii="楷体" w:eastAsia="楷体" w:hAnsi="楷体"/>
                <w:color w:val="000000"/>
                <w:sz w:val="18"/>
                <w:szCs w:val="18"/>
              </w:rPr>
              <w:t>512070</w:t>
            </w:r>
          </w:p>
        </w:tc>
        <w:tc>
          <w:tcPr>
            <w:tcW w:w="2551" w:type="dxa"/>
            <w:tcBorders>
              <w:left w:val="single" w:sz="6" w:space="0" w:color="FF6600"/>
              <w:right w:val="single" w:sz="6" w:space="0" w:color="FF6600"/>
            </w:tcBorders>
          </w:tcPr>
          <w:p w:rsidR="00CD1FCC" w:rsidRPr="00E81144" w:rsidRDefault="00CD1FCC" w:rsidP="00E81144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453191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易方达沪深</w:t>
            </w:r>
            <w:r w:rsidRPr="00453191">
              <w:rPr>
                <w:rFonts w:ascii="楷体" w:eastAsia="楷体" w:hAnsi="楷体"/>
                <w:color w:val="000000"/>
                <w:sz w:val="18"/>
                <w:szCs w:val="18"/>
              </w:rPr>
              <w:t>300</w:t>
            </w:r>
            <w:r w:rsidRPr="00453191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非银</w:t>
            </w:r>
            <w:r w:rsidRPr="00453191">
              <w:rPr>
                <w:rFonts w:ascii="楷体" w:eastAsia="楷体" w:hAnsi="楷体"/>
                <w:color w:val="000000"/>
                <w:sz w:val="18"/>
                <w:szCs w:val="18"/>
              </w:rPr>
              <w:t>ETF</w:t>
            </w:r>
          </w:p>
        </w:tc>
        <w:tc>
          <w:tcPr>
            <w:tcW w:w="567" w:type="dxa"/>
            <w:tcBorders>
              <w:left w:val="single" w:sz="6" w:space="0" w:color="FF6600"/>
              <w:right w:val="single" w:sz="6" w:space="0" w:color="FF6600"/>
            </w:tcBorders>
            <w:vAlign w:val="center"/>
          </w:tcPr>
          <w:p w:rsidR="00CD1FCC" w:rsidRPr="00E81144" w:rsidRDefault="00CD1FCC" w:rsidP="00E81144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453191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开放式</w:t>
            </w:r>
          </w:p>
        </w:tc>
        <w:tc>
          <w:tcPr>
            <w:tcW w:w="851" w:type="dxa"/>
            <w:tcBorders>
              <w:left w:val="single" w:sz="6" w:space="0" w:color="FF6600"/>
              <w:right w:val="single" w:sz="6" w:space="0" w:color="FF6600"/>
            </w:tcBorders>
          </w:tcPr>
          <w:p w:rsidR="00CD1FCC" w:rsidRPr="00E81144" w:rsidRDefault="00CD1FCC" w:rsidP="00E81144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453191">
              <w:rPr>
                <w:rFonts w:ascii="楷体" w:eastAsia="楷体" w:hAnsi="楷体"/>
                <w:color w:val="000000"/>
                <w:sz w:val="18"/>
                <w:szCs w:val="18"/>
              </w:rPr>
              <w:t>26.56</w:t>
            </w:r>
          </w:p>
        </w:tc>
        <w:tc>
          <w:tcPr>
            <w:tcW w:w="992" w:type="dxa"/>
            <w:vMerge/>
            <w:tcBorders>
              <w:left w:val="single" w:sz="6" w:space="0" w:color="FF6600"/>
              <w:right w:val="single" w:sz="6" w:space="0" w:color="FF6600"/>
            </w:tcBorders>
            <w:shd w:val="clear" w:color="auto" w:fill="FDE9D9"/>
            <w:vAlign w:val="center"/>
          </w:tcPr>
          <w:p w:rsidR="00CD1FCC" w:rsidRPr="00453191" w:rsidRDefault="00CD1FCC" w:rsidP="006E677E">
            <w:pPr>
              <w:snapToGrid w:val="0"/>
              <w:jc w:val="center"/>
              <w:rPr>
                <w:rFonts w:ascii="楷体" w:eastAsia="楷体" w:hAnsi="楷体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6" w:space="0" w:color="FF6600"/>
              <w:right w:val="single" w:sz="6" w:space="0" w:color="FF6600"/>
            </w:tcBorders>
          </w:tcPr>
          <w:p w:rsidR="00CD1FCC" w:rsidRPr="00E81144" w:rsidRDefault="00CD1FCC" w:rsidP="00E81144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453191">
              <w:rPr>
                <w:rFonts w:ascii="楷体" w:eastAsia="楷体" w:hAnsi="楷体"/>
                <w:color w:val="000000"/>
                <w:sz w:val="18"/>
                <w:szCs w:val="18"/>
              </w:rPr>
              <w:t>160130</w:t>
            </w:r>
          </w:p>
        </w:tc>
        <w:tc>
          <w:tcPr>
            <w:tcW w:w="1985" w:type="dxa"/>
            <w:tcBorders>
              <w:left w:val="single" w:sz="6" w:space="0" w:color="FF6600"/>
              <w:right w:val="single" w:sz="6" w:space="0" w:color="FF6600"/>
            </w:tcBorders>
          </w:tcPr>
          <w:p w:rsidR="00CD1FCC" w:rsidRPr="00E81144" w:rsidRDefault="00CD1FCC" w:rsidP="00E81144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453191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南方永利</w:t>
            </w:r>
            <w:r w:rsidRPr="00453191">
              <w:rPr>
                <w:rFonts w:ascii="楷体" w:eastAsia="楷体" w:hAnsi="楷体"/>
                <w:color w:val="000000"/>
                <w:sz w:val="18"/>
                <w:szCs w:val="18"/>
              </w:rPr>
              <w:t>1</w:t>
            </w:r>
            <w:r w:rsidRPr="00453191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年</w:t>
            </w:r>
            <w:r w:rsidRPr="00453191">
              <w:rPr>
                <w:rFonts w:ascii="楷体" w:eastAsia="楷体" w:hAnsi="楷体"/>
                <w:color w:val="000000"/>
                <w:sz w:val="18"/>
                <w:szCs w:val="18"/>
              </w:rPr>
              <w:t>A</w:t>
            </w:r>
          </w:p>
        </w:tc>
        <w:tc>
          <w:tcPr>
            <w:tcW w:w="709" w:type="dxa"/>
            <w:tcBorders>
              <w:left w:val="single" w:sz="6" w:space="0" w:color="FF6600"/>
              <w:right w:val="single" w:sz="6" w:space="0" w:color="FF6600"/>
            </w:tcBorders>
            <w:vAlign w:val="center"/>
          </w:tcPr>
          <w:p w:rsidR="00CD1FCC" w:rsidRPr="00E81144" w:rsidRDefault="00CD1FCC" w:rsidP="00E81144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453191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开放式</w:t>
            </w:r>
          </w:p>
        </w:tc>
        <w:tc>
          <w:tcPr>
            <w:tcW w:w="850" w:type="dxa"/>
            <w:tcBorders>
              <w:left w:val="single" w:sz="6" w:space="0" w:color="FF6600"/>
            </w:tcBorders>
          </w:tcPr>
          <w:p w:rsidR="00CD1FCC" w:rsidRPr="00E81144" w:rsidRDefault="00CD1FCC" w:rsidP="00E81144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453191">
              <w:rPr>
                <w:rFonts w:ascii="楷体" w:eastAsia="楷体" w:hAnsi="楷体"/>
                <w:color w:val="000000"/>
                <w:sz w:val="18"/>
                <w:szCs w:val="18"/>
              </w:rPr>
              <w:t>6.52</w:t>
            </w:r>
          </w:p>
        </w:tc>
      </w:tr>
      <w:tr w:rsidR="00CD1FCC" w:rsidRPr="00453191" w:rsidTr="007056F8">
        <w:trPr>
          <w:cantSplit/>
          <w:trHeight w:val="227"/>
        </w:trPr>
        <w:tc>
          <w:tcPr>
            <w:tcW w:w="851" w:type="dxa"/>
            <w:vMerge/>
            <w:tcBorders>
              <w:right w:val="single" w:sz="6" w:space="0" w:color="FF6600"/>
            </w:tcBorders>
            <w:shd w:val="clear" w:color="auto" w:fill="FDE9D9"/>
            <w:vAlign w:val="center"/>
          </w:tcPr>
          <w:p w:rsidR="00CD1FCC" w:rsidRPr="00453191" w:rsidRDefault="00CD1FCC" w:rsidP="006E677E">
            <w:pPr>
              <w:snapToGrid w:val="0"/>
              <w:jc w:val="center"/>
              <w:rPr>
                <w:rFonts w:ascii="楷体" w:eastAsia="楷体" w:hAnsi="楷体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6" w:space="0" w:color="FF6600"/>
              <w:right w:val="single" w:sz="6" w:space="0" w:color="FF6600"/>
            </w:tcBorders>
          </w:tcPr>
          <w:p w:rsidR="00CD1FCC" w:rsidRPr="00E81144" w:rsidRDefault="00CD1FCC" w:rsidP="00E81144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453191">
              <w:rPr>
                <w:rFonts w:ascii="楷体" w:eastAsia="楷体" w:hAnsi="楷体"/>
                <w:color w:val="000000"/>
                <w:sz w:val="18"/>
                <w:szCs w:val="18"/>
              </w:rPr>
              <w:t>160625</w:t>
            </w:r>
          </w:p>
        </w:tc>
        <w:tc>
          <w:tcPr>
            <w:tcW w:w="2551" w:type="dxa"/>
            <w:tcBorders>
              <w:left w:val="single" w:sz="6" w:space="0" w:color="FF6600"/>
              <w:right w:val="single" w:sz="6" w:space="0" w:color="FF6600"/>
            </w:tcBorders>
          </w:tcPr>
          <w:p w:rsidR="00CD1FCC" w:rsidRPr="00E81144" w:rsidRDefault="00CD1FCC" w:rsidP="00E81144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453191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鹏华中证</w:t>
            </w:r>
            <w:r w:rsidRPr="00453191">
              <w:rPr>
                <w:rFonts w:ascii="楷体" w:eastAsia="楷体" w:hAnsi="楷体"/>
                <w:color w:val="000000"/>
                <w:sz w:val="18"/>
                <w:szCs w:val="18"/>
              </w:rPr>
              <w:t>800</w:t>
            </w:r>
            <w:r w:rsidRPr="00453191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非银行金融</w:t>
            </w:r>
          </w:p>
        </w:tc>
        <w:tc>
          <w:tcPr>
            <w:tcW w:w="567" w:type="dxa"/>
            <w:tcBorders>
              <w:left w:val="single" w:sz="6" w:space="0" w:color="FF6600"/>
              <w:right w:val="single" w:sz="6" w:space="0" w:color="FF6600"/>
            </w:tcBorders>
            <w:vAlign w:val="center"/>
          </w:tcPr>
          <w:p w:rsidR="00CD1FCC" w:rsidRPr="00E81144" w:rsidRDefault="00CD1FCC" w:rsidP="00E81144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453191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开放式</w:t>
            </w:r>
          </w:p>
        </w:tc>
        <w:tc>
          <w:tcPr>
            <w:tcW w:w="851" w:type="dxa"/>
            <w:tcBorders>
              <w:left w:val="single" w:sz="6" w:space="0" w:color="FF6600"/>
              <w:right w:val="single" w:sz="6" w:space="0" w:color="FF6600"/>
            </w:tcBorders>
          </w:tcPr>
          <w:p w:rsidR="00CD1FCC" w:rsidRPr="00E81144" w:rsidRDefault="00CD1FCC" w:rsidP="00E81144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453191">
              <w:rPr>
                <w:rFonts w:ascii="楷体" w:eastAsia="楷体" w:hAnsi="楷体"/>
                <w:color w:val="000000"/>
                <w:sz w:val="18"/>
                <w:szCs w:val="18"/>
              </w:rPr>
              <w:t>24.67</w:t>
            </w:r>
          </w:p>
        </w:tc>
        <w:tc>
          <w:tcPr>
            <w:tcW w:w="992" w:type="dxa"/>
            <w:vMerge/>
            <w:tcBorders>
              <w:left w:val="single" w:sz="6" w:space="0" w:color="FF6600"/>
              <w:right w:val="single" w:sz="6" w:space="0" w:color="FF6600"/>
            </w:tcBorders>
            <w:shd w:val="clear" w:color="auto" w:fill="FDE9D9"/>
            <w:vAlign w:val="center"/>
          </w:tcPr>
          <w:p w:rsidR="00CD1FCC" w:rsidRPr="00453191" w:rsidRDefault="00CD1FCC" w:rsidP="006E677E">
            <w:pPr>
              <w:snapToGrid w:val="0"/>
              <w:jc w:val="center"/>
              <w:rPr>
                <w:rFonts w:ascii="楷体" w:eastAsia="楷体" w:hAnsi="楷体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6" w:space="0" w:color="FF6600"/>
              <w:right w:val="single" w:sz="6" w:space="0" w:color="FF6600"/>
            </w:tcBorders>
          </w:tcPr>
          <w:p w:rsidR="00CD1FCC" w:rsidRPr="00E81144" w:rsidRDefault="00CD1FCC" w:rsidP="00E81144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453191">
              <w:rPr>
                <w:rFonts w:ascii="楷体" w:eastAsia="楷体" w:hAnsi="楷体"/>
                <w:color w:val="000000"/>
                <w:sz w:val="18"/>
                <w:szCs w:val="18"/>
              </w:rPr>
              <w:t>160132</w:t>
            </w:r>
          </w:p>
        </w:tc>
        <w:tc>
          <w:tcPr>
            <w:tcW w:w="1985" w:type="dxa"/>
            <w:tcBorders>
              <w:left w:val="single" w:sz="6" w:space="0" w:color="FF6600"/>
              <w:right w:val="single" w:sz="6" w:space="0" w:color="FF6600"/>
            </w:tcBorders>
          </w:tcPr>
          <w:p w:rsidR="00CD1FCC" w:rsidRPr="00E81144" w:rsidRDefault="00CD1FCC" w:rsidP="00E81144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453191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南方永利</w:t>
            </w:r>
            <w:r w:rsidRPr="00453191">
              <w:rPr>
                <w:rFonts w:ascii="楷体" w:eastAsia="楷体" w:hAnsi="楷体"/>
                <w:color w:val="000000"/>
                <w:sz w:val="18"/>
                <w:szCs w:val="18"/>
              </w:rPr>
              <w:t>1</w:t>
            </w:r>
            <w:r w:rsidRPr="00453191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年</w:t>
            </w:r>
            <w:r w:rsidRPr="00453191">
              <w:rPr>
                <w:rFonts w:ascii="楷体" w:eastAsia="楷体" w:hAnsi="楷体"/>
                <w:color w:val="000000"/>
                <w:sz w:val="18"/>
                <w:szCs w:val="18"/>
              </w:rPr>
              <w:t>C</w:t>
            </w:r>
          </w:p>
        </w:tc>
        <w:tc>
          <w:tcPr>
            <w:tcW w:w="709" w:type="dxa"/>
            <w:tcBorders>
              <w:left w:val="single" w:sz="6" w:space="0" w:color="FF6600"/>
              <w:right w:val="single" w:sz="6" w:space="0" w:color="FF6600"/>
            </w:tcBorders>
            <w:vAlign w:val="center"/>
          </w:tcPr>
          <w:p w:rsidR="00CD1FCC" w:rsidRPr="00E81144" w:rsidRDefault="00CD1FCC" w:rsidP="00E81144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453191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开放式</w:t>
            </w:r>
          </w:p>
        </w:tc>
        <w:tc>
          <w:tcPr>
            <w:tcW w:w="850" w:type="dxa"/>
            <w:tcBorders>
              <w:left w:val="single" w:sz="6" w:space="0" w:color="FF6600"/>
            </w:tcBorders>
          </w:tcPr>
          <w:p w:rsidR="00CD1FCC" w:rsidRPr="00E81144" w:rsidRDefault="00CD1FCC" w:rsidP="00E81144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453191">
              <w:rPr>
                <w:rFonts w:ascii="楷体" w:eastAsia="楷体" w:hAnsi="楷体"/>
                <w:color w:val="000000"/>
                <w:sz w:val="18"/>
                <w:szCs w:val="18"/>
              </w:rPr>
              <w:t>6.51</w:t>
            </w:r>
          </w:p>
        </w:tc>
      </w:tr>
      <w:tr w:rsidR="00CD1FCC" w:rsidRPr="00453191" w:rsidTr="007056F8">
        <w:trPr>
          <w:cantSplit/>
          <w:trHeight w:val="227"/>
        </w:trPr>
        <w:tc>
          <w:tcPr>
            <w:tcW w:w="851" w:type="dxa"/>
            <w:vMerge w:val="restart"/>
            <w:tcBorders>
              <w:right w:val="single" w:sz="6" w:space="0" w:color="FF6600"/>
            </w:tcBorders>
            <w:shd w:val="clear" w:color="auto" w:fill="FDE9D9"/>
            <w:vAlign w:val="center"/>
          </w:tcPr>
          <w:p w:rsidR="00CD1FCC" w:rsidRPr="00453191" w:rsidRDefault="00CD1FCC" w:rsidP="006E677E">
            <w:pPr>
              <w:snapToGrid w:val="0"/>
              <w:jc w:val="center"/>
              <w:rPr>
                <w:rFonts w:ascii="楷体" w:eastAsia="楷体" w:hAnsi="楷体"/>
                <w:b/>
                <w:bCs/>
                <w:color w:val="000000"/>
                <w:sz w:val="18"/>
                <w:szCs w:val="18"/>
              </w:rPr>
            </w:pPr>
            <w:r w:rsidRPr="00453191">
              <w:rPr>
                <w:rFonts w:ascii="楷体" w:eastAsia="楷体" w:hAnsi="楷体" w:hint="eastAsia"/>
                <w:b/>
                <w:bCs/>
                <w:color w:val="000000"/>
                <w:sz w:val="18"/>
                <w:szCs w:val="18"/>
              </w:rPr>
              <w:t>混合</w:t>
            </w:r>
            <w:r w:rsidRPr="00453191">
              <w:rPr>
                <w:rFonts w:ascii="楷体" w:eastAsia="楷体" w:hAnsi="楷体"/>
                <w:b/>
                <w:bCs/>
                <w:color w:val="000000"/>
                <w:sz w:val="18"/>
                <w:szCs w:val="18"/>
              </w:rPr>
              <w:t>-</w:t>
            </w:r>
          </w:p>
          <w:p w:rsidR="00CD1FCC" w:rsidRPr="00453191" w:rsidRDefault="00CD1FCC" w:rsidP="006E677E">
            <w:pPr>
              <w:snapToGrid w:val="0"/>
              <w:jc w:val="center"/>
              <w:rPr>
                <w:rFonts w:ascii="楷体" w:eastAsia="楷体" w:hAnsi="楷体"/>
                <w:b/>
                <w:sz w:val="18"/>
                <w:szCs w:val="18"/>
              </w:rPr>
            </w:pPr>
            <w:r w:rsidRPr="00453191">
              <w:rPr>
                <w:rFonts w:ascii="楷体" w:eastAsia="楷体" w:hAnsi="楷体" w:hint="eastAsia"/>
                <w:b/>
                <w:bCs/>
                <w:color w:val="000000"/>
                <w:sz w:val="18"/>
                <w:szCs w:val="18"/>
              </w:rPr>
              <w:t>偏股型</w:t>
            </w:r>
          </w:p>
        </w:tc>
        <w:tc>
          <w:tcPr>
            <w:tcW w:w="851" w:type="dxa"/>
            <w:tcBorders>
              <w:left w:val="single" w:sz="6" w:space="0" w:color="FF6600"/>
              <w:right w:val="single" w:sz="6" w:space="0" w:color="FF6600"/>
            </w:tcBorders>
          </w:tcPr>
          <w:p w:rsidR="00CD1FCC" w:rsidRPr="00E81144" w:rsidRDefault="00CD1FCC" w:rsidP="00E81144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453191">
              <w:rPr>
                <w:rFonts w:ascii="楷体" w:eastAsia="楷体" w:hAnsi="楷体"/>
                <w:color w:val="000000"/>
                <w:sz w:val="18"/>
                <w:szCs w:val="18"/>
              </w:rPr>
              <w:t>620001</w:t>
            </w:r>
          </w:p>
        </w:tc>
        <w:tc>
          <w:tcPr>
            <w:tcW w:w="2551" w:type="dxa"/>
            <w:tcBorders>
              <w:left w:val="single" w:sz="6" w:space="0" w:color="FF6600"/>
              <w:right w:val="single" w:sz="6" w:space="0" w:color="FF6600"/>
            </w:tcBorders>
          </w:tcPr>
          <w:p w:rsidR="00CD1FCC" w:rsidRPr="00E81144" w:rsidRDefault="00CD1FCC" w:rsidP="00E81144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453191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金元惠理宝石动力</w:t>
            </w:r>
          </w:p>
        </w:tc>
        <w:tc>
          <w:tcPr>
            <w:tcW w:w="567" w:type="dxa"/>
            <w:tcBorders>
              <w:left w:val="single" w:sz="6" w:space="0" w:color="FF6600"/>
              <w:right w:val="single" w:sz="6" w:space="0" w:color="FF6600"/>
            </w:tcBorders>
            <w:vAlign w:val="center"/>
          </w:tcPr>
          <w:p w:rsidR="00CD1FCC" w:rsidRPr="00E81144" w:rsidRDefault="00CD1FCC" w:rsidP="00E81144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453191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开放式</w:t>
            </w:r>
          </w:p>
        </w:tc>
        <w:tc>
          <w:tcPr>
            <w:tcW w:w="851" w:type="dxa"/>
            <w:tcBorders>
              <w:left w:val="single" w:sz="6" w:space="0" w:color="FF6600"/>
              <w:right w:val="single" w:sz="6" w:space="0" w:color="FF6600"/>
            </w:tcBorders>
          </w:tcPr>
          <w:p w:rsidR="00CD1FCC" w:rsidRPr="00E81144" w:rsidRDefault="00CD1FCC" w:rsidP="00E81144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453191">
              <w:rPr>
                <w:rFonts w:ascii="楷体" w:eastAsia="楷体" w:hAnsi="楷体"/>
                <w:color w:val="000000"/>
                <w:sz w:val="18"/>
                <w:szCs w:val="18"/>
              </w:rPr>
              <w:t>10.99</w:t>
            </w:r>
          </w:p>
        </w:tc>
        <w:tc>
          <w:tcPr>
            <w:tcW w:w="992" w:type="dxa"/>
            <w:vMerge w:val="restart"/>
            <w:tcBorders>
              <w:left w:val="single" w:sz="6" w:space="0" w:color="FF6600"/>
              <w:right w:val="single" w:sz="6" w:space="0" w:color="FF6600"/>
            </w:tcBorders>
            <w:shd w:val="clear" w:color="auto" w:fill="FDE9D9"/>
            <w:vAlign w:val="center"/>
          </w:tcPr>
          <w:p w:rsidR="00CD1FCC" w:rsidRPr="00453191" w:rsidRDefault="00CD1FCC" w:rsidP="006E677E">
            <w:pPr>
              <w:snapToGrid w:val="0"/>
              <w:jc w:val="center"/>
              <w:rPr>
                <w:rFonts w:ascii="楷体" w:eastAsia="楷体" w:hAnsi="楷体"/>
                <w:b/>
                <w:bCs/>
                <w:color w:val="000000"/>
                <w:sz w:val="18"/>
                <w:szCs w:val="18"/>
              </w:rPr>
            </w:pPr>
            <w:r w:rsidRPr="00453191">
              <w:rPr>
                <w:rFonts w:ascii="楷体" w:eastAsia="楷体" w:hAnsi="楷体" w:hint="eastAsia"/>
                <w:b/>
                <w:bCs/>
                <w:color w:val="000000"/>
                <w:sz w:val="18"/>
                <w:szCs w:val="18"/>
              </w:rPr>
              <w:t>债券</w:t>
            </w:r>
            <w:r w:rsidRPr="00453191">
              <w:rPr>
                <w:rFonts w:ascii="楷体" w:eastAsia="楷体" w:hAnsi="楷体"/>
                <w:b/>
                <w:bCs/>
                <w:color w:val="000000"/>
                <w:sz w:val="18"/>
                <w:szCs w:val="18"/>
              </w:rPr>
              <w:t>-</w:t>
            </w:r>
          </w:p>
          <w:p w:rsidR="00CD1FCC" w:rsidRPr="005B7CDB" w:rsidRDefault="00CD1FCC" w:rsidP="006E677E">
            <w:pPr>
              <w:snapToGrid w:val="0"/>
              <w:jc w:val="center"/>
              <w:rPr>
                <w:rFonts w:ascii="楷体" w:eastAsia="楷体" w:hAnsi="楷体" w:cs="宋体"/>
                <w:b/>
                <w:bCs/>
                <w:color w:val="000000"/>
                <w:sz w:val="18"/>
                <w:szCs w:val="18"/>
              </w:rPr>
            </w:pPr>
            <w:r w:rsidRPr="00453191">
              <w:rPr>
                <w:rFonts w:ascii="楷体" w:eastAsia="楷体" w:hAnsi="楷体" w:hint="eastAsia"/>
                <w:b/>
                <w:bCs/>
                <w:color w:val="000000"/>
                <w:sz w:val="18"/>
                <w:szCs w:val="18"/>
              </w:rPr>
              <w:t>二级债基</w:t>
            </w:r>
          </w:p>
        </w:tc>
        <w:tc>
          <w:tcPr>
            <w:tcW w:w="850" w:type="dxa"/>
            <w:tcBorders>
              <w:left w:val="single" w:sz="6" w:space="0" w:color="FF6600"/>
              <w:right w:val="single" w:sz="6" w:space="0" w:color="FF6600"/>
            </w:tcBorders>
          </w:tcPr>
          <w:p w:rsidR="00CD1FCC" w:rsidRPr="00E81144" w:rsidRDefault="00CD1FCC" w:rsidP="00E81144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453191">
              <w:rPr>
                <w:rFonts w:ascii="楷体" w:eastAsia="楷体" w:hAnsi="楷体"/>
                <w:color w:val="000000"/>
                <w:sz w:val="18"/>
                <w:szCs w:val="18"/>
              </w:rPr>
              <w:t>050111</w:t>
            </w:r>
          </w:p>
        </w:tc>
        <w:tc>
          <w:tcPr>
            <w:tcW w:w="1985" w:type="dxa"/>
            <w:tcBorders>
              <w:left w:val="single" w:sz="6" w:space="0" w:color="FF6600"/>
              <w:right w:val="single" w:sz="6" w:space="0" w:color="FF6600"/>
            </w:tcBorders>
          </w:tcPr>
          <w:p w:rsidR="00CD1FCC" w:rsidRPr="00E81144" w:rsidRDefault="00CD1FCC" w:rsidP="00E81144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453191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博时信用债券</w:t>
            </w:r>
            <w:r w:rsidRPr="00453191">
              <w:rPr>
                <w:rFonts w:ascii="楷体" w:eastAsia="楷体" w:hAnsi="楷体"/>
                <w:color w:val="000000"/>
                <w:sz w:val="18"/>
                <w:szCs w:val="18"/>
              </w:rPr>
              <w:t>C</w:t>
            </w:r>
          </w:p>
        </w:tc>
        <w:tc>
          <w:tcPr>
            <w:tcW w:w="709" w:type="dxa"/>
            <w:tcBorders>
              <w:left w:val="single" w:sz="6" w:space="0" w:color="FF6600"/>
              <w:right w:val="single" w:sz="6" w:space="0" w:color="FF6600"/>
            </w:tcBorders>
            <w:vAlign w:val="center"/>
          </w:tcPr>
          <w:p w:rsidR="00CD1FCC" w:rsidRPr="00E81144" w:rsidRDefault="00CD1FCC" w:rsidP="00E81144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453191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开放式</w:t>
            </w:r>
          </w:p>
        </w:tc>
        <w:tc>
          <w:tcPr>
            <w:tcW w:w="850" w:type="dxa"/>
            <w:tcBorders>
              <w:left w:val="single" w:sz="6" w:space="0" w:color="FF6600"/>
            </w:tcBorders>
          </w:tcPr>
          <w:p w:rsidR="00CD1FCC" w:rsidRPr="00E81144" w:rsidRDefault="00CD1FCC" w:rsidP="00E81144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453191">
              <w:rPr>
                <w:rFonts w:ascii="楷体" w:eastAsia="楷体" w:hAnsi="楷体"/>
                <w:color w:val="000000"/>
                <w:sz w:val="18"/>
                <w:szCs w:val="18"/>
              </w:rPr>
              <w:t>10.20</w:t>
            </w:r>
          </w:p>
        </w:tc>
      </w:tr>
      <w:tr w:rsidR="00CD1FCC" w:rsidRPr="00453191" w:rsidTr="007056F8">
        <w:trPr>
          <w:cantSplit/>
          <w:trHeight w:val="227"/>
        </w:trPr>
        <w:tc>
          <w:tcPr>
            <w:tcW w:w="851" w:type="dxa"/>
            <w:vMerge/>
            <w:tcBorders>
              <w:right w:val="single" w:sz="6" w:space="0" w:color="FF6600"/>
            </w:tcBorders>
            <w:shd w:val="clear" w:color="auto" w:fill="FDE9D9"/>
            <w:vAlign w:val="center"/>
          </w:tcPr>
          <w:p w:rsidR="00CD1FCC" w:rsidRPr="00453191" w:rsidRDefault="00CD1FCC" w:rsidP="006E677E">
            <w:pPr>
              <w:snapToGrid w:val="0"/>
              <w:jc w:val="center"/>
              <w:rPr>
                <w:rFonts w:ascii="楷体" w:eastAsia="楷体" w:hAnsi="楷体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6" w:space="0" w:color="FF6600"/>
              <w:right w:val="single" w:sz="6" w:space="0" w:color="FF6600"/>
            </w:tcBorders>
          </w:tcPr>
          <w:p w:rsidR="00CD1FCC" w:rsidRPr="00E81144" w:rsidRDefault="00CD1FCC" w:rsidP="00E81144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453191">
              <w:rPr>
                <w:rFonts w:ascii="楷体" w:eastAsia="楷体" w:hAnsi="楷体"/>
                <w:color w:val="000000"/>
                <w:sz w:val="18"/>
                <w:szCs w:val="18"/>
              </w:rPr>
              <w:t>162207</w:t>
            </w:r>
          </w:p>
        </w:tc>
        <w:tc>
          <w:tcPr>
            <w:tcW w:w="2551" w:type="dxa"/>
            <w:tcBorders>
              <w:left w:val="single" w:sz="6" w:space="0" w:color="FF6600"/>
              <w:right w:val="single" w:sz="6" w:space="0" w:color="FF6600"/>
            </w:tcBorders>
          </w:tcPr>
          <w:p w:rsidR="00CD1FCC" w:rsidRPr="00E81144" w:rsidRDefault="00CD1FCC" w:rsidP="00E81144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453191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泰达宏利效率优选</w:t>
            </w:r>
          </w:p>
        </w:tc>
        <w:tc>
          <w:tcPr>
            <w:tcW w:w="567" w:type="dxa"/>
            <w:tcBorders>
              <w:left w:val="single" w:sz="6" w:space="0" w:color="FF6600"/>
              <w:right w:val="single" w:sz="6" w:space="0" w:color="FF6600"/>
            </w:tcBorders>
            <w:vAlign w:val="center"/>
          </w:tcPr>
          <w:p w:rsidR="00CD1FCC" w:rsidRPr="00E81144" w:rsidRDefault="00CD1FCC" w:rsidP="00E81144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453191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开放式</w:t>
            </w:r>
          </w:p>
        </w:tc>
        <w:tc>
          <w:tcPr>
            <w:tcW w:w="851" w:type="dxa"/>
            <w:tcBorders>
              <w:left w:val="single" w:sz="6" w:space="0" w:color="FF6600"/>
              <w:right w:val="single" w:sz="6" w:space="0" w:color="FF6600"/>
            </w:tcBorders>
          </w:tcPr>
          <w:p w:rsidR="00CD1FCC" w:rsidRPr="00E81144" w:rsidRDefault="00CD1FCC" w:rsidP="00E81144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453191">
              <w:rPr>
                <w:rFonts w:ascii="楷体" w:eastAsia="楷体" w:hAnsi="楷体"/>
                <w:color w:val="000000"/>
                <w:sz w:val="18"/>
                <w:szCs w:val="18"/>
              </w:rPr>
              <w:t>8.90</w:t>
            </w:r>
          </w:p>
        </w:tc>
        <w:tc>
          <w:tcPr>
            <w:tcW w:w="992" w:type="dxa"/>
            <w:vMerge/>
            <w:tcBorders>
              <w:left w:val="single" w:sz="6" w:space="0" w:color="FF6600"/>
              <w:right w:val="single" w:sz="6" w:space="0" w:color="FF6600"/>
            </w:tcBorders>
            <w:shd w:val="clear" w:color="auto" w:fill="FDE9D9"/>
            <w:vAlign w:val="center"/>
          </w:tcPr>
          <w:p w:rsidR="00CD1FCC" w:rsidRPr="00453191" w:rsidRDefault="00CD1FCC" w:rsidP="006E677E">
            <w:pPr>
              <w:snapToGrid w:val="0"/>
              <w:jc w:val="center"/>
              <w:rPr>
                <w:rFonts w:ascii="楷体" w:eastAsia="楷体" w:hAnsi="楷体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6" w:space="0" w:color="FF6600"/>
              <w:right w:val="single" w:sz="6" w:space="0" w:color="FF6600"/>
            </w:tcBorders>
          </w:tcPr>
          <w:p w:rsidR="00CD1FCC" w:rsidRPr="00E81144" w:rsidRDefault="00CD1FCC" w:rsidP="00E81144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453191">
              <w:rPr>
                <w:rFonts w:ascii="楷体" w:eastAsia="楷体" w:hAnsi="楷体"/>
                <w:color w:val="000000"/>
                <w:sz w:val="18"/>
                <w:szCs w:val="18"/>
              </w:rPr>
              <w:t>050011</w:t>
            </w:r>
          </w:p>
        </w:tc>
        <w:tc>
          <w:tcPr>
            <w:tcW w:w="1985" w:type="dxa"/>
            <w:tcBorders>
              <w:left w:val="single" w:sz="6" w:space="0" w:color="FF6600"/>
              <w:right w:val="single" w:sz="6" w:space="0" w:color="FF6600"/>
            </w:tcBorders>
          </w:tcPr>
          <w:p w:rsidR="00CD1FCC" w:rsidRPr="00E81144" w:rsidRDefault="00CD1FCC" w:rsidP="00E81144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453191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博时信用债券</w:t>
            </w:r>
            <w:r w:rsidRPr="00453191">
              <w:rPr>
                <w:rFonts w:ascii="楷体" w:eastAsia="楷体" w:hAnsi="楷体"/>
                <w:color w:val="000000"/>
                <w:sz w:val="18"/>
                <w:szCs w:val="18"/>
              </w:rPr>
              <w:t>A</w:t>
            </w:r>
          </w:p>
        </w:tc>
        <w:tc>
          <w:tcPr>
            <w:tcW w:w="709" w:type="dxa"/>
            <w:tcBorders>
              <w:left w:val="single" w:sz="6" w:space="0" w:color="FF6600"/>
              <w:right w:val="single" w:sz="6" w:space="0" w:color="FF6600"/>
            </w:tcBorders>
            <w:vAlign w:val="center"/>
          </w:tcPr>
          <w:p w:rsidR="00CD1FCC" w:rsidRPr="00E81144" w:rsidRDefault="00CD1FCC" w:rsidP="00E81144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453191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开放式</w:t>
            </w:r>
          </w:p>
        </w:tc>
        <w:tc>
          <w:tcPr>
            <w:tcW w:w="850" w:type="dxa"/>
            <w:tcBorders>
              <w:left w:val="single" w:sz="6" w:space="0" w:color="FF6600"/>
            </w:tcBorders>
          </w:tcPr>
          <w:p w:rsidR="00CD1FCC" w:rsidRPr="00E81144" w:rsidRDefault="00CD1FCC" w:rsidP="00E81144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453191">
              <w:rPr>
                <w:rFonts w:ascii="楷体" w:eastAsia="楷体" w:hAnsi="楷体"/>
                <w:color w:val="000000"/>
                <w:sz w:val="18"/>
                <w:szCs w:val="18"/>
              </w:rPr>
              <w:t>10.10</w:t>
            </w:r>
          </w:p>
        </w:tc>
      </w:tr>
      <w:tr w:rsidR="00CD1FCC" w:rsidRPr="00453191" w:rsidTr="007056F8">
        <w:trPr>
          <w:cantSplit/>
          <w:trHeight w:val="227"/>
        </w:trPr>
        <w:tc>
          <w:tcPr>
            <w:tcW w:w="851" w:type="dxa"/>
            <w:vMerge/>
            <w:tcBorders>
              <w:right w:val="single" w:sz="6" w:space="0" w:color="FF6600"/>
            </w:tcBorders>
            <w:shd w:val="clear" w:color="auto" w:fill="FDE9D9"/>
            <w:vAlign w:val="center"/>
          </w:tcPr>
          <w:p w:rsidR="00CD1FCC" w:rsidRPr="00453191" w:rsidRDefault="00CD1FCC" w:rsidP="006E677E">
            <w:pPr>
              <w:snapToGrid w:val="0"/>
              <w:jc w:val="center"/>
              <w:rPr>
                <w:rFonts w:ascii="楷体" w:eastAsia="楷体" w:hAnsi="楷体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6" w:space="0" w:color="FF6600"/>
              <w:right w:val="single" w:sz="6" w:space="0" w:color="FF6600"/>
            </w:tcBorders>
          </w:tcPr>
          <w:p w:rsidR="00CD1FCC" w:rsidRPr="00E81144" w:rsidRDefault="00CD1FCC" w:rsidP="00E81144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453191">
              <w:rPr>
                <w:rFonts w:ascii="楷体" w:eastAsia="楷体" w:hAnsi="楷体"/>
                <w:color w:val="000000"/>
                <w:sz w:val="18"/>
                <w:szCs w:val="18"/>
              </w:rPr>
              <w:t>161601</w:t>
            </w:r>
          </w:p>
        </w:tc>
        <w:tc>
          <w:tcPr>
            <w:tcW w:w="2551" w:type="dxa"/>
            <w:tcBorders>
              <w:left w:val="single" w:sz="6" w:space="0" w:color="FF6600"/>
              <w:right w:val="single" w:sz="6" w:space="0" w:color="FF6600"/>
            </w:tcBorders>
          </w:tcPr>
          <w:p w:rsidR="00CD1FCC" w:rsidRPr="00E81144" w:rsidRDefault="00CD1FCC" w:rsidP="00E81144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453191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融通新蓝筹</w:t>
            </w:r>
          </w:p>
        </w:tc>
        <w:tc>
          <w:tcPr>
            <w:tcW w:w="567" w:type="dxa"/>
            <w:tcBorders>
              <w:left w:val="single" w:sz="6" w:space="0" w:color="FF6600"/>
              <w:right w:val="single" w:sz="6" w:space="0" w:color="FF6600"/>
            </w:tcBorders>
            <w:vAlign w:val="center"/>
          </w:tcPr>
          <w:p w:rsidR="00CD1FCC" w:rsidRPr="00E81144" w:rsidRDefault="00CD1FCC" w:rsidP="00E81144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453191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开放式</w:t>
            </w:r>
          </w:p>
        </w:tc>
        <w:tc>
          <w:tcPr>
            <w:tcW w:w="851" w:type="dxa"/>
            <w:tcBorders>
              <w:left w:val="single" w:sz="6" w:space="0" w:color="FF6600"/>
              <w:right w:val="single" w:sz="6" w:space="0" w:color="FF6600"/>
            </w:tcBorders>
          </w:tcPr>
          <w:p w:rsidR="00CD1FCC" w:rsidRPr="00E81144" w:rsidRDefault="00CD1FCC" w:rsidP="00E81144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453191">
              <w:rPr>
                <w:rFonts w:ascii="楷体" w:eastAsia="楷体" w:hAnsi="楷体"/>
                <w:color w:val="000000"/>
                <w:sz w:val="18"/>
                <w:szCs w:val="18"/>
              </w:rPr>
              <w:t>6.04</w:t>
            </w:r>
          </w:p>
        </w:tc>
        <w:tc>
          <w:tcPr>
            <w:tcW w:w="992" w:type="dxa"/>
            <w:vMerge/>
            <w:tcBorders>
              <w:left w:val="single" w:sz="6" w:space="0" w:color="FF6600"/>
              <w:right w:val="single" w:sz="6" w:space="0" w:color="FF6600"/>
            </w:tcBorders>
            <w:shd w:val="clear" w:color="auto" w:fill="FDE9D9"/>
            <w:vAlign w:val="center"/>
          </w:tcPr>
          <w:p w:rsidR="00CD1FCC" w:rsidRPr="00453191" w:rsidRDefault="00CD1FCC" w:rsidP="006E677E">
            <w:pPr>
              <w:snapToGrid w:val="0"/>
              <w:jc w:val="center"/>
              <w:rPr>
                <w:rFonts w:ascii="楷体" w:eastAsia="楷体" w:hAnsi="楷体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6" w:space="0" w:color="FF6600"/>
              <w:right w:val="single" w:sz="6" w:space="0" w:color="FF6600"/>
            </w:tcBorders>
          </w:tcPr>
          <w:p w:rsidR="00CD1FCC" w:rsidRPr="00E81144" w:rsidRDefault="00CD1FCC" w:rsidP="00E81144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453191">
              <w:rPr>
                <w:rFonts w:ascii="楷体" w:eastAsia="楷体" w:hAnsi="楷体"/>
                <w:color w:val="000000"/>
                <w:sz w:val="18"/>
                <w:szCs w:val="18"/>
              </w:rPr>
              <w:t>690202</w:t>
            </w:r>
          </w:p>
        </w:tc>
        <w:tc>
          <w:tcPr>
            <w:tcW w:w="1985" w:type="dxa"/>
            <w:tcBorders>
              <w:left w:val="single" w:sz="6" w:space="0" w:color="FF6600"/>
              <w:right w:val="single" w:sz="6" w:space="0" w:color="FF6600"/>
            </w:tcBorders>
          </w:tcPr>
          <w:p w:rsidR="00CD1FCC" w:rsidRPr="00E81144" w:rsidRDefault="00CD1FCC" w:rsidP="00E81144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453191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民生加银增强收益</w:t>
            </w:r>
            <w:r w:rsidRPr="00453191">
              <w:rPr>
                <w:rFonts w:ascii="楷体" w:eastAsia="楷体" w:hAnsi="楷体"/>
                <w:color w:val="000000"/>
                <w:sz w:val="18"/>
                <w:szCs w:val="18"/>
              </w:rPr>
              <w:t>C</w:t>
            </w:r>
          </w:p>
        </w:tc>
        <w:tc>
          <w:tcPr>
            <w:tcW w:w="709" w:type="dxa"/>
            <w:tcBorders>
              <w:left w:val="single" w:sz="6" w:space="0" w:color="FF6600"/>
              <w:right w:val="single" w:sz="6" w:space="0" w:color="FF6600"/>
            </w:tcBorders>
            <w:vAlign w:val="center"/>
          </w:tcPr>
          <w:p w:rsidR="00CD1FCC" w:rsidRPr="00E81144" w:rsidRDefault="00CD1FCC" w:rsidP="00E81144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453191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开放式</w:t>
            </w:r>
          </w:p>
        </w:tc>
        <w:tc>
          <w:tcPr>
            <w:tcW w:w="850" w:type="dxa"/>
            <w:tcBorders>
              <w:left w:val="single" w:sz="6" w:space="0" w:color="FF6600"/>
            </w:tcBorders>
          </w:tcPr>
          <w:p w:rsidR="00CD1FCC" w:rsidRPr="00E81144" w:rsidRDefault="00CD1FCC" w:rsidP="00E81144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453191">
              <w:rPr>
                <w:rFonts w:ascii="楷体" w:eastAsia="楷体" w:hAnsi="楷体"/>
                <w:color w:val="000000"/>
                <w:sz w:val="18"/>
                <w:szCs w:val="18"/>
              </w:rPr>
              <w:t>9.16</w:t>
            </w:r>
          </w:p>
        </w:tc>
      </w:tr>
      <w:tr w:rsidR="00CD1FCC" w:rsidRPr="00453191" w:rsidTr="007056F8">
        <w:trPr>
          <w:cantSplit/>
          <w:trHeight w:val="227"/>
        </w:trPr>
        <w:tc>
          <w:tcPr>
            <w:tcW w:w="851" w:type="dxa"/>
            <w:vMerge w:val="restart"/>
            <w:tcBorders>
              <w:right w:val="single" w:sz="6" w:space="0" w:color="FF6600"/>
            </w:tcBorders>
            <w:shd w:val="clear" w:color="auto" w:fill="FDE9D9"/>
            <w:vAlign w:val="center"/>
          </w:tcPr>
          <w:p w:rsidR="00CD1FCC" w:rsidRPr="00453191" w:rsidRDefault="00CD1FCC" w:rsidP="006E677E">
            <w:pPr>
              <w:snapToGrid w:val="0"/>
              <w:jc w:val="center"/>
              <w:rPr>
                <w:rFonts w:ascii="楷体" w:eastAsia="楷体" w:hAnsi="楷体"/>
                <w:b/>
                <w:bCs/>
                <w:color w:val="000000"/>
                <w:sz w:val="18"/>
                <w:szCs w:val="18"/>
              </w:rPr>
            </w:pPr>
            <w:r w:rsidRPr="00453191">
              <w:rPr>
                <w:rFonts w:ascii="楷体" w:eastAsia="楷体" w:hAnsi="楷体" w:hint="eastAsia"/>
                <w:b/>
                <w:bCs/>
                <w:color w:val="000000"/>
                <w:sz w:val="18"/>
                <w:szCs w:val="18"/>
              </w:rPr>
              <w:t>混合</w:t>
            </w:r>
            <w:r w:rsidRPr="00453191">
              <w:rPr>
                <w:rFonts w:ascii="楷体" w:eastAsia="楷体" w:hAnsi="楷体"/>
                <w:b/>
                <w:bCs/>
                <w:color w:val="000000"/>
                <w:sz w:val="18"/>
                <w:szCs w:val="18"/>
              </w:rPr>
              <w:t>-</w:t>
            </w:r>
          </w:p>
          <w:p w:rsidR="00CD1FCC" w:rsidRPr="00453191" w:rsidRDefault="00CD1FCC" w:rsidP="006E677E">
            <w:pPr>
              <w:snapToGrid w:val="0"/>
              <w:jc w:val="center"/>
              <w:rPr>
                <w:rFonts w:ascii="楷体" w:eastAsia="楷体" w:hAnsi="楷体"/>
                <w:b/>
                <w:sz w:val="18"/>
                <w:szCs w:val="18"/>
              </w:rPr>
            </w:pPr>
            <w:r w:rsidRPr="00453191">
              <w:rPr>
                <w:rFonts w:ascii="楷体" w:eastAsia="楷体" w:hAnsi="楷体" w:hint="eastAsia"/>
                <w:b/>
                <w:bCs/>
                <w:color w:val="000000"/>
                <w:sz w:val="18"/>
                <w:szCs w:val="18"/>
              </w:rPr>
              <w:t>偏债型</w:t>
            </w:r>
          </w:p>
        </w:tc>
        <w:tc>
          <w:tcPr>
            <w:tcW w:w="851" w:type="dxa"/>
            <w:tcBorders>
              <w:left w:val="single" w:sz="6" w:space="0" w:color="FF6600"/>
              <w:right w:val="single" w:sz="6" w:space="0" w:color="FF6600"/>
            </w:tcBorders>
          </w:tcPr>
          <w:p w:rsidR="00CD1FCC" w:rsidRPr="00E81144" w:rsidRDefault="00CD1FCC" w:rsidP="00E81144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453191">
              <w:rPr>
                <w:rFonts w:ascii="楷体" w:eastAsia="楷体" w:hAnsi="楷体"/>
                <w:color w:val="000000"/>
                <w:sz w:val="18"/>
                <w:szCs w:val="18"/>
              </w:rPr>
              <w:t>000695</w:t>
            </w:r>
          </w:p>
        </w:tc>
        <w:tc>
          <w:tcPr>
            <w:tcW w:w="2551" w:type="dxa"/>
            <w:tcBorders>
              <w:left w:val="single" w:sz="6" w:space="0" w:color="FF6600"/>
              <w:right w:val="single" w:sz="6" w:space="0" w:color="FF6600"/>
            </w:tcBorders>
          </w:tcPr>
          <w:p w:rsidR="00CD1FCC" w:rsidRPr="00E81144" w:rsidRDefault="00CD1FCC" w:rsidP="00E81144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453191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大成景益平稳收益</w:t>
            </w:r>
          </w:p>
        </w:tc>
        <w:tc>
          <w:tcPr>
            <w:tcW w:w="567" w:type="dxa"/>
            <w:tcBorders>
              <w:left w:val="single" w:sz="6" w:space="0" w:color="FF6600"/>
              <w:right w:val="single" w:sz="6" w:space="0" w:color="FF6600"/>
            </w:tcBorders>
            <w:vAlign w:val="center"/>
          </w:tcPr>
          <w:p w:rsidR="00CD1FCC" w:rsidRPr="00E81144" w:rsidRDefault="00CD1FCC" w:rsidP="00E81144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453191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开放式</w:t>
            </w:r>
          </w:p>
        </w:tc>
        <w:tc>
          <w:tcPr>
            <w:tcW w:w="851" w:type="dxa"/>
            <w:tcBorders>
              <w:left w:val="single" w:sz="6" w:space="0" w:color="FF6600"/>
              <w:right w:val="single" w:sz="6" w:space="0" w:color="FF6600"/>
            </w:tcBorders>
          </w:tcPr>
          <w:p w:rsidR="00CD1FCC" w:rsidRPr="00E81144" w:rsidRDefault="00CD1FCC" w:rsidP="00E81144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453191">
              <w:rPr>
                <w:rFonts w:ascii="楷体" w:eastAsia="楷体" w:hAnsi="楷体"/>
                <w:color w:val="000000"/>
                <w:sz w:val="18"/>
                <w:szCs w:val="18"/>
              </w:rPr>
              <w:t>8.08</w:t>
            </w:r>
          </w:p>
        </w:tc>
        <w:tc>
          <w:tcPr>
            <w:tcW w:w="992" w:type="dxa"/>
            <w:vMerge w:val="restart"/>
            <w:tcBorders>
              <w:left w:val="single" w:sz="6" w:space="0" w:color="FF6600"/>
              <w:right w:val="single" w:sz="6" w:space="0" w:color="FF6600"/>
            </w:tcBorders>
            <w:shd w:val="clear" w:color="auto" w:fill="FDE9D9"/>
            <w:vAlign w:val="center"/>
          </w:tcPr>
          <w:p w:rsidR="00CD1FCC" w:rsidRPr="00453191" w:rsidRDefault="00CD1FCC" w:rsidP="006E677E">
            <w:pPr>
              <w:snapToGrid w:val="0"/>
              <w:jc w:val="center"/>
              <w:rPr>
                <w:rFonts w:ascii="楷体" w:eastAsia="楷体" w:hAnsi="楷体"/>
                <w:b/>
                <w:bCs/>
                <w:color w:val="000000"/>
                <w:sz w:val="18"/>
                <w:szCs w:val="18"/>
              </w:rPr>
            </w:pPr>
            <w:r w:rsidRPr="00453191">
              <w:rPr>
                <w:rFonts w:ascii="楷体" w:eastAsia="楷体" w:hAnsi="楷体" w:hint="eastAsia"/>
                <w:b/>
                <w:bCs/>
                <w:color w:val="000000"/>
                <w:sz w:val="18"/>
                <w:szCs w:val="18"/>
              </w:rPr>
              <w:t>债券</w:t>
            </w:r>
            <w:r w:rsidRPr="00453191">
              <w:rPr>
                <w:rFonts w:ascii="楷体" w:eastAsia="楷体" w:hAnsi="楷体"/>
                <w:b/>
                <w:bCs/>
                <w:color w:val="000000"/>
                <w:sz w:val="18"/>
                <w:szCs w:val="18"/>
              </w:rPr>
              <w:t>-</w:t>
            </w:r>
          </w:p>
          <w:p w:rsidR="00CD1FCC" w:rsidRPr="005B7CDB" w:rsidRDefault="00CD1FCC" w:rsidP="006E677E">
            <w:pPr>
              <w:snapToGrid w:val="0"/>
              <w:jc w:val="center"/>
              <w:rPr>
                <w:rFonts w:ascii="楷体" w:eastAsia="楷体" w:hAnsi="楷体" w:cs="宋体"/>
                <w:b/>
                <w:bCs/>
                <w:color w:val="000000"/>
                <w:sz w:val="18"/>
                <w:szCs w:val="18"/>
              </w:rPr>
            </w:pPr>
            <w:r w:rsidRPr="00453191">
              <w:rPr>
                <w:rFonts w:ascii="楷体" w:eastAsia="楷体" w:hAnsi="楷体" w:hint="eastAsia"/>
                <w:b/>
                <w:bCs/>
                <w:color w:val="000000"/>
                <w:sz w:val="18"/>
                <w:szCs w:val="18"/>
              </w:rPr>
              <w:t>理财债基</w:t>
            </w:r>
          </w:p>
        </w:tc>
        <w:tc>
          <w:tcPr>
            <w:tcW w:w="850" w:type="dxa"/>
            <w:tcBorders>
              <w:left w:val="single" w:sz="6" w:space="0" w:color="FF6600"/>
              <w:right w:val="single" w:sz="6" w:space="0" w:color="FF6600"/>
            </w:tcBorders>
          </w:tcPr>
          <w:p w:rsidR="00CD1FCC" w:rsidRPr="00E81144" w:rsidRDefault="00CD1FCC" w:rsidP="00E81144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453191">
              <w:rPr>
                <w:rFonts w:ascii="楷体" w:eastAsia="楷体" w:hAnsi="楷体"/>
                <w:color w:val="000000"/>
                <w:sz w:val="18"/>
                <w:szCs w:val="18"/>
              </w:rPr>
              <w:t>000671</w:t>
            </w:r>
          </w:p>
        </w:tc>
        <w:tc>
          <w:tcPr>
            <w:tcW w:w="1985" w:type="dxa"/>
            <w:tcBorders>
              <w:left w:val="single" w:sz="6" w:space="0" w:color="FF6600"/>
              <w:right w:val="single" w:sz="6" w:space="0" w:color="FF6600"/>
            </w:tcBorders>
          </w:tcPr>
          <w:p w:rsidR="00CD1FCC" w:rsidRPr="00E81144" w:rsidRDefault="00CD1FCC" w:rsidP="00E81144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453191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天弘季加利理财</w:t>
            </w:r>
            <w:r w:rsidRPr="00453191">
              <w:rPr>
                <w:rFonts w:ascii="楷体" w:eastAsia="楷体" w:hAnsi="楷体"/>
                <w:color w:val="000000"/>
                <w:sz w:val="18"/>
                <w:szCs w:val="18"/>
              </w:rPr>
              <w:t>B</w:t>
            </w:r>
          </w:p>
        </w:tc>
        <w:tc>
          <w:tcPr>
            <w:tcW w:w="709" w:type="dxa"/>
            <w:tcBorders>
              <w:left w:val="single" w:sz="6" w:space="0" w:color="FF6600"/>
              <w:right w:val="single" w:sz="6" w:space="0" w:color="FF6600"/>
            </w:tcBorders>
            <w:vAlign w:val="center"/>
          </w:tcPr>
          <w:p w:rsidR="00CD1FCC" w:rsidRPr="00E81144" w:rsidRDefault="00CD1FCC" w:rsidP="00E81144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453191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开放式</w:t>
            </w:r>
          </w:p>
        </w:tc>
        <w:tc>
          <w:tcPr>
            <w:tcW w:w="850" w:type="dxa"/>
            <w:tcBorders>
              <w:left w:val="single" w:sz="6" w:space="0" w:color="FF6600"/>
            </w:tcBorders>
          </w:tcPr>
          <w:p w:rsidR="00CD1FCC" w:rsidRPr="00E81144" w:rsidRDefault="00CD1FCC" w:rsidP="00E81144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453191">
              <w:rPr>
                <w:rFonts w:ascii="楷体" w:eastAsia="楷体" w:hAnsi="楷体"/>
                <w:color w:val="000000"/>
                <w:sz w:val="18"/>
                <w:szCs w:val="18"/>
              </w:rPr>
              <w:t>0.17</w:t>
            </w:r>
          </w:p>
        </w:tc>
      </w:tr>
      <w:tr w:rsidR="00CD1FCC" w:rsidRPr="00453191" w:rsidTr="007056F8">
        <w:trPr>
          <w:cantSplit/>
          <w:trHeight w:val="227"/>
        </w:trPr>
        <w:tc>
          <w:tcPr>
            <w:tcW w:w="851" w:type="dxa"/>
            <w:vMerge/>
            <w:tcBorders>
              <w:right w:val="single" w:sz="6" w:space="0" w:color="FF6600"/>
            </w:tcBorders>
            <w:shd w:val="clear" w:color="auto" w:fill="FDE9D9"/>
            <w:vAlign w:val="center"/>
          </w:tcPr>
          <w:p w:rsidR="00CD1FCC" w:rsidRPr="00453191" w:rsidRDefault="00CD1FCC" w:rsidP="006E677E">
            <w:pPr>
              <w:snapToGrid w:val="0"/>
              <w:jc w:val="center"/>
              <w:rPr>
                <w:rFonts w:ascii="楷体" w:eastAsia="楷体" w:hAnsi="楷体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6" w:space="0" w:color="FF6600"/>
              <w:right w:val="single" w:sz="6" w:space="0" w:color="FF6600"/>
            </w:tcBorders>
          </w:tcPr>
          <w:p w:rsidR="00CD1FCC" w:rsidRPr="00E81144" w:rsidRDefault="00CD1FCC" w:rsidP="00E81144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453191">
              <w:rPr>
                <w:rFonts w:ascii="楷体" w:eastAsia="楷体" w:hAnsi="楷体"/>
                <w:color w:val="000000"/>
                <w:sz w:val="18"/>
                <w:szCs w:val="18"/>
              </w:rPr>
              <w:t>340001</w:t>
            </w:r>
          </w:p>
        </w:tc>
        <w:tc>
          <w:tcPr>
            <w:tcW w:w="2551" w:type="dxa"/>
            <w:tcBorders>
              <w:left w:val="single" w:sz="6" w:space="0" w:color="FF6600"/>
              <w:right w:val="single" w:sz="6" w:space="0" w:color="FF6600"/>
            </w:tcBorders>
          </w:tcPr>
          <w:p w:rsidR="00CD1FCC" w:rsidRPr="00E81144" w:rsidRDefault="00CD1FCC" w:rsidP="00E81144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453191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兴全可转债</w:t>
            </w:r>
          </w:p>
        </w:tc>
        <w:tc>
          <w:tcPr>
            <w:tcW w:w="567" w:type="dxa"/>
            <w:tcBorders>
              <w:left w:val="single" w:sz="6" w:space="0" w:color="FF6600"/>
              <w:right w:val="single" w:sz="6" w:space="0" w:color="FF6600"/>
            </w:tcBorders>
            <w:vAlign w:val="center"/>
          </w:tcPr>
          <w:p w:rsidR="00CD1FCC" w:rsidRPr="00E81144" w:rsidRDefault="00CD1FCC" w:rsidP="00E81144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453191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开放式</w:t>
            </w:r>
          </w:p>
        </w:tc>
        <w:tc>
          <w:tcPr>
            <w:tcW w:w="851" w:type="dxa"/>
            <w:tcBorders>
              <w:left w:val="single" w:sz="6" w:space="0" w:color="FF6600"/>
              <w:right w:val="single" w:sz="6" w:space="0" w:color="FF6600"/>
            </w:tcBorders>
          </w:tcPr>
          <w:p w:rsidR="00CD1FCC" w:rsidRPr="00E81144" w:rsidRDefault="00CD1FCC" w:rsidP="00E81144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453191">
              <w:rPr>
                <w:rFonts w:ascii="楷体" w:eastAsia="楷体" w:hAnsi="楷体"/>
                <w:color w:val="000000"/>
                <w:sz w:val="18"/>
                <w:szCs w:val="18"/>
              </w:rPr>
              <w:t>7.91</w:t>
            </w:r>
          </w:p>
        </w:tc>
        <w:tc>
          <w:tcPr>
            <w:tcW w:w="992" w:type="dxa"/>
            <w:vMerge/>
            <w:tcBorders>
              <w:left w:val="single" w:sz="6" w:space="0" w:color="FF6600"/>
              <w:right w:val="single" w:sz="6" w:space="0" w:color="FF6600"/>
            </w:tcBorders>
            <w:shd w:val="clear" w:color="auto" w:fill="FDE9D9"/>
            <w:vAlign w:val="center"/>
          </w:tcPr>
          <w:p w:rsidR="00CD1FCC" w:rsidRPr="00453191" w:rsidRDefault="00CD1FCC" w:rsidP="006E677E">
            <w:pPr>
              <w:snapToGrid w:val="0"/>
              <w:jc w:val="center"/>
              <w:rPr>
                <w:rFonts w:ascii="楷体" w:eastAsia="楷体" w:hAnsi="楷体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6" w:space="0" w:color="FF6600"/>
              <w:right w:val="single" w:sz="6" w:space="0" w:color="FF6600"/>
            </w:tcBorders>
          </w:tcPr>
          <w:p w:rsidR="00CD1FCC" w:rsidRPr="00E81144" w:rsidRDefault="00CD1FCC" w:rsidP="00E81144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453191">
              <w:rPr>
                <w:rFonts w:ascii="楷体" w:eastAsia="楷体" w:hAnsi="楷体"/>
                <w:color w:val="000000"/>
                <w:sz w:val="18"/>
                <w:szCs w:val="18"/>
              </w:rPr>
              <w:t>000670</w:t>
            </w:r>
          </w:p>
        </w:tc>
        <w:tc>
          <w:tcPr>
            <w:tcW w:w="1985" w:type="dxa"/>
            <w:tcBorders>
              <w:left w:val="single" w:sz="6" w:space="0" w:color="FF6600"/>
              <w:right w:val="single" w:sz="6" w:space="0" w:color="FF6600"/>
            </w:tcBorders>
          </w:tcPr>
          <w:p w:rsidR="00CD1FCC" w:rsidRPr="00E81144" w:rsidRDefault="00CD1FCC" w:rsidP="00E81144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453191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天弘季加利理财</w:t>
            </w:r>
            <w:r w:rsidRPr="00453191">
              <w:rPr>
                <w:rFonts w:ascii="楷体" w:eastAsia="楷体" w:hAnsi="楷体"/>
                <w:color w:val="000000"/>
                <w:sz w:val="18"/>
                <w:szCs w:val="18"/>
              </w:rPr>
              <w:t>A</w:t>
            </w:r>
          </w:p>
        </w:tc>
        <w:tc>
          <w:tcPr>
            <w:tcW w:w="709" w:type="dxa"/>
            <w:tcBorders>
              <w:left w:val="single" w:sz="6" w:space="0" w:color="FF6600"/>
              <w:right w:val="single" w:sz="6" w:space="0" w:color="FF6600"/>
            </w:tcBorders>
            <w:vAlign w:val="center"/>
          </w:tcPr>
          <w:p w:rsidR="00CD1FCC" w:rsidRPr="00E81144" w:rsidRDefault="00CD1FCC" w:rsidP="00E81144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453191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开放式</w:t>
            </w:r>
          </w:p>
        </w:tc>
        <w:tc>
          <w:tcPr>
            <w:tcW w:w="850" w:type="dxa"/>
            <w:tcBorders>
              <w:left w:val="single" w:sz="6" w:space="0" w:color="FF6600"/>
            </w:tcBorders>
          </w:tcPr>
          <w:p w:rsidR="00CD1FCC" w:rsidRPr="00E81144" w:rsidRDefault="00CD1FCC" w:rsidP="00E81144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453191">
              <w:rPr>
                <w:rFonts w:ascii="楷体" w:eastAsia="楷体" w:hAnsi="楷体"/>
                <w:color w:val="000000"/>
                <w:sz w:val="18"/>
                <w:szCs w:val="18"/>
              </w:rPr>
              <w:t>0.16</w:t>
            </w:r>
          </w:p>
        </w:tc>
      </w:tr>
      <w:tr w:rsidR="00CD1FCC" w:rsidRPr="00453191" w:rsidTr="007056F8">
        <w:trPr>
          <w:cantSplit/>
          <w:trHeight w:val="227"/>
        </w:trPr>
        <w:tc>
          <w:tcPr>
            <w:tcW w:w="851" w:type="dxa"/>
            <w:vMerge/>
            <w:tcBorders>
              <w:right w:val="single" w:sz="6" w:space="0" w:color="FF6600"/>
            </w:tcBorders>
            <w:shd w:val="clear" w:color="auto" w:fill="FDE9D9"/>
            <w:vAlign w:val="center"/>
          </w:tcPr>
          <w:p w:rsidR="00CD1FCC" w:rsidRPr="00453191" w:rsidRDefault="00CD1FCC" w:rsidP="006E677E">
            <w:pPr>
              <w:snapToGrid w:val="0"/>
              <w:jc w:val="center"/>
              <w:rPr>
                <w:rFonts w:ascii="楷体" w:eastAsia="楷体" w:hAnsi="楷体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6" w:space="0" w:color="FF6600"/>
              <w:right w:val="single" w:sz="6" w:space="0" w:color="FF6600"/>
            </w:tcBorders>
          </w:tcPr>
          <w:p w:rsidR="00CD1FCC" w:rsidRPr="00E81144" w:rsidRDefault="00CD1FCC" w:rsidP="00E81144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453191">
              <w:rPr>
                <w:rFonts w:ascii="楷体" w:eastAsia="楷体" w:hAnsi="楷体"/>
                <w:color w:val="000000"/>
                <w:sz w:val="18"/>
                <w:szCs w:val="18"/>
              </w:rPr>
              <w:t>162205</w:t>
            </w:r>
          </w:p>
        </w:tc>
        <w:tc>
          <w:tcPr>
            <w:tcW w:w="2551" w:type="dxa"/>
            <w:tcBorders>
              <w:left w:val="single" w:sz="6" w:space="0" w:color="FF6600"/>
              <w:right w:val="single" w:sz="6" w:space="0" w:color="FF6600"/>
            </w:tcBorders>
          </w:tcPr>
          <w:p w:rsidR="00CD1FCC" w:rsidRPr="00E81144" w:rsidRDefault="00CD1FCC" w:rsidP="00E81144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453191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泰达宏利风险预算</w:t>
            </w:r>
          </w:p>
        </w:tc>
        <w:tc>
          <w:tcPr>
            <w:tcW w:w="567" w:type="dxa"/>
            <w:tcBorders>
              <w:left w:val="single" w:sz="6" w:space="0" w:color="FF6600"/>
              <w:right w:val="single" w:sz="6" w:space="0" w:color="FF6600"/>
            </w:tcBorders>
            <w:vAlign w:val="center"/>
          </w:tcPr>
          <w:p w:rsidR="00CD1FCC" w:rsidRPr="00E81144" w:rsidRDefault="00CD1FCC" w:rsidP="00E81144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453191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开放式</w:t>
            </w:r>
          </w:p>
        </w:tc>
        <w:tc>
          <w:tcPr>
            <w:tcW w:w="851" w:type="dxa"/>
            <w:tcBorders>
              <w:left w:val="single" w:sz="6" w:space="0" w:color="FF6600"/>
              <w:right w:val="single" w:sz="6" w:space="0" w:color="FF6600"/>
            </w:tcBorders>
          </w:tcPr>
          <w:p w:rsidR="00CD1FCC" w:rsidRPr="00E81144" w:rsidRDefault="00CD1FCC" w:rsidP="00E81144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453191">
              <w:rPr>
                <w:rFonts w:ascii="楷体" w:eastAsia="楷体" w:hAnsi="楷体"/>
                <w:color w:val="000000"/>
                <w:sz w:val="18"/>
                <w:szCs w:val="18"/>
              </w:rPr>
              <w:t>6.55</w:t>
            </w:r>
          </w:p>
        </w:tc>
        <w:tc>
          <w:tcPr>
            <w:tcW w:w="992" w:type="dxa"/>
            <w:vMerge/>
            <w:tcBorders>
              <w:left w:val="single" w:sz="6" w:space="0" w:color="FF6600"/>
              <w:right w:val="single" w:sz="6" w:space="0" w:color="FF6600"/>
            </w:tcBorders>
            <w:shd w:val="clear" w:color="auto" w:fill="FDE9D9"/>
            <w:vAlign w:val="center"/>
          </w:tcPr>
          <w:p w:rsidR="00CD1FCC" w:rsidRPr="00453191" w:rsidRDefault="00CD1FCC" w:rsidP="006E677E">
            <w:pPr>
              <w:snapToGrid w:val="0"/>
              <w:jc w:val="center"/>
              <w:rPr>
                <w:rFonts w:ascii="楷体" w:eastAsia="楷体" w:hAnsi="楷体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6" w:space="0" w:color="FF6600"/>
              <w:right w:val="single" w:sz="6" w:space="0" w:color="FF6600"/>
            </w:tcBorders>
          </w:tcPr>
          <w:p w:rsidR="00CD1FCC" w:rsidRPr="00E81144" w:rsidRDefault="00CD1FCC" w:rsidP="00E81144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453191">
              <w:rPr>
                <w:rFonts w:ascii="楷体" w:eastAsia="楷体" w:hAnsi="楷体"/>
                <w:color w:val="000000"/>
                <w:sz w:val="18"/>
                <w:szCs w:val="18"/>
              </w:rPr>
              <w:t>000038</w:t>
            </w:r>
          </w:p>
        </w:tc>
        <w:tc>
          <w:tcPr>
            <w:tcW w:w="1985" w:type="dxa"/>
            <w:tcBorders>
              <w:left w:val="single" w:sz="6" w:space="0" w:color="FF6600"/>
              <w:right w:val="single" w:sz="6" w:space="0" w:color="FF6600"/>
            </w:tcBorders>
          </w:tcPr>
          <w:p w:rsidR="00CD1FCC" w:rsidRPr="00E81144" w:rsidRDefault="00CD1FCC" w:rsidP="00E81144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453191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广发理财</w:t>
            </w:r>
            <w:r w:rsidRPr="00453191">
              <w:rPr>
                <w:rFonts w:ascii="楷体" w:eastAsia="楷体" w:hAnsi="楷体"/>
                <w:color w:val="000000"/>
                <w:sz w:val="18"/>
                <w:szCs w:val="18"/>
              </w:rPr>
              <w:t>7</w:t>
            </w:r>
            <w:r w:rsidRPr="00453191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天</w:t>
            </w:r>
            <w:r w:rsidRPr="00453191">
              <w:rPr>
                <w:rFonts w:ascii="楷体" w:eastAsia="楷体" w:hAnsi="楷体"/>
                <w:color w:val="000000"/>
                <w:sz w:val="18"/>
                <w:szCs w:val="18"/>
              </w:rPr>
              <w:t>B</w:t>
            </w:r>
          </w:p>
        </w:tc>
        <w:tc>
          <w:tcPr>
            <w:tcW w:w="709" w:type="dxa"/>
            <w:tcBorders>
              <w:left w:val="single" w:sz="6" w:space="0" w:color="FF6600"/>
              <w:right w:val="single" w:sz="6" w:space="0" w:color="FF6600"/>
            </w:tcBorders>
            <w:vAlign w:val="center"/>
          </w:tcPr>
          <w:p w:rsidR="00CD1FCC" w:rsidRPr="00E81144" w:rsidRDefault="00CD1FCC" w:rsidP="00E81144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453191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开放式</w:t>
            </w:r>
          </w:p>
        </w:tc>
        <w:tc>
          <w:tcPr>
            <w:tcW w:w="850" w:type="dxa"/>
            <w:tcBorders>
              <w:left w:val="single" w:sz="6" w:space="0" w:color="FF6600"/>
            </w:tcBorders>
          </w:tcPr>
          <w:p w:rsidR="00CD1FCC" w:rsidRPr="00E81144" w:rsidRDefault="00CD1FCC" w:rsidP="00E81144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453191">
              <w:rPr>
                <w:rFonts w:ascii="楷体" w:eastAsia="楷体" w:hAnsi="楷体"/>
                <w:color w:val="000000"/>
                <w:sz w:val="18"/>
                <w:szCs w:val="18"/>
              </w:rPr>
              <w:t>0.14</w:t>
            </w:r>
          </w:p>
        </w:tc>
      </w:tr>
      <w:tr w:rsidR="00CD1FCC" w:rsidRPr="00453191" w:rsidTr="007056F8">
        <w:trPr>
          <w:cantSplit/>
          <w:trHeight w:val="227"/>
        </w:trPr>
        <w:tc>
          <w:tcPr>
            <w:tcW w:w="851" w:type="dxa"/>
            <w:vMerge w:val="restart"/>
            <w:tcBorders>
              <w:right w:val="single" w:sz="6" w:space="0" w:color="FF6600"/>
            </w:tcBorders>
            <w:shd w:val="clear" w:color="auto" w:fill="FDE9D9"/>
            <w:vAlign w:val="center"/>
          </w:tcPr>
          <w:p w:rsidR="00CD1FCC" w:rsidRPr="00453191" w:rsidRDefault="00CD1FCC" w:rsidP="006E677E">
            <w:pPr>
              <w:snapToGrid w:val="0"/>
              <w:jc w:val="center"/>
              <w:rPr>
                <w:rFonts w:ascii="楷体" w:eastAsia="楷体" w:hAnsi="楷体"/>
                <w:b/>
                <w:bCs/>
                <w:color w:val="000000"/>
                <w:sz w:val="18"/>
                <w:szCs w:val="18"/>
              </w:rPr>
            </w:pPr>
            <w:r w:rsidRPr="00453191">
              <w:rPr>
                <w:rFonts w:ascii="楷体" w:eastAsia="楷体" w:hAnsi="楷体" w:hint="eastAsia"/>
                <w:b/>
                <w:bCs/>
                <w:color w:val="000000"/>
                <w:sz w:val="18"/>
                <w:szCs w:val="18"/>
              </w:rPr>
              <w:t>混合</w:t>
            </w:r>
            <w:r w:rsidRPr="00453191">
              <w:rPr>
                <w:rFonts w:ascii="楷体" w:eastAsia="楷体" w:hAnsi="楷体"/>
                <w:b/>
                <w:bCs/>
                <w:color w:val="000000"/>
                <w:sz w:val="18"/>
                <w:szCs w:val="18"/>
              </w:rPr>
              <w:t>-</w:t>
            </w:r>
          </w:p>
          <w:p w:rsidR="00CD1FCC" w:rsidRPr="00453191" w:rsidRDefault="00CD1FCC" w:rsidP="006E677E">
            <w:pPr>
              <w:snapToGrid w:val="0"/>
              <w:jc w:val="center"/>
              <w:rPr>
                <w:rFonts w:ascii="楷体" w:eastAsia="楷体" w:hAnsi="楷体"/>
                <w:b/>
                <w:sz w:val="18"/>
                <w:szCs w:val="18"/>
              </w:rPr>
            </w:pPr>
            <w:r w:rsidRPr="00453191">
              <w:rPr>
                <w:rFonts w:ascii="楷体" w:eastAsia="楷体" w:hAnsi="楷体" w:hint="eastAsia"/>
                <w:b/>
                <w:bCs/>
                <w:color w:val="000000"/>
                <w:sz w:val="18"/>
                <w:szCs w:val="18"/>
              </w:rPr>
              <w:t>灵活型</w:t>
            </w:r>
          </w:p>
        </w:tc>
        <w:tc>
          <w:tcPr>
            <w:tcW w:w="851" w:type="dxa"/>
            <w:tcBorders>
              <w:left w:val="single" w:sz="6" w:space="0" w:color="FF6600"/>
              <w:right w:val="single" w:sz="6" w:space="0" w:color="FF6600"/>
            </w:tcBorders>
          </w:tcPr>
          <w:p w:rsidR="00CD1FCC" w:rsidRPr="00E81144" w:rsidRDefault="00CD1FCC" w:rsidP="00E81144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453191">
              <w:rPr>
                <w:rFonts w:ascii="楷体" w:eastAsia="楷体" w:hAnsi="楷体"/>
                <w:color w:val="000000"/>
                <w:sz w:val="18"/>
                <w:szCs w:val="18"/>
              </w:rPr>
              <w:t>519700</w:t>
            </w:r>
          </w:p>
        </w:tc>
        <w:tc>
          <w:tcPr>
            <w:tcW w:w="2551" w:type="dxa"/>
            <w:tcBorders>
              <w:left w:val="single" w:sz="6" w:space="0" w:color="FF6600"/>
              <w:right w:val="single" w:sz="6" w:space="0" w:color="FF6600"/>
            </w:tcBorders>
          </w:tcPr>
          <w:p w:rsidR="00CD1FCC" w:rsidRPr="00E81144" w:rsidRDefault="00CD1FCC" w:rsidP="00E81144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453191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交银主题优选</w:t>
            </w:r>
          </w:p>
        </w:tc>
        <w:tc>
          <w:tcPr>
            <w:tcW w:w="567" w:type="dxa"/>
            <w:tcBorders>
              <w:left w:val="single" w:sz="6" w:space="0" w:color="FF6600"/>
              <w:right w:val="single" w:sz="6" w:space="0" w:color="FF6600"/>
            </w:tcBorders>
            <w:vAlign w:val="center"/>
          </w:tcPr>
          <w:p w:rsidR="00CD1FCC" w:rsidRPr="00E81144" w:rsidRDefault="00CD1FCC" w:rsidP="00E81144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453191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开放式</w:t>
            </w:r>
          </w:p>
        </w:tc>
        <w:tc>
          <w:tcPr>
            <w:tcW w:w="851" w:type="dxa"/>
            <w:tcBorders>
              <w:left w:val="single" w:sz="6" w:space="0" w:color="FF6600"/>
              <w:right w:val="single" w:sz="6" w:space="0" w:color="FF6600"/>
            </w:tcBorders>
          </w:tcPr>
          <w:p w:rsidR="00CD1FCC" w:rsidRPr="00E81144" w:rsidRDefault="00CD1FCC" w:rsidP="00E81144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453191">
              <w:rPr>
                <w:rFonts w:ascii="楷体" w:eastAsia="楷体" w:hAnsi="楷体"/>
                <w:color w:val="000000"/>
                <w:sz w:val="18"/>
                <w:szCs w:val="18"/>
              </w:rPr>
              <w:t>15.31</w:t>
            </w:r>
          </w:p>
        </w:tc>
        <w:tc>
          <w:tcPr>
            <w:tcW w:w="992" w:type="dxa"/>
            <w:vMerge w:val="restart"/>
            <w:tcBorders>
              <w:left w:val="single" w:sz="6" w:space="0" w:color="FF6600"/>
              <w:right w:val="single" w:sz="6" w:space="0" w:color="FF6600"/>
            </w:tcBorders>
            <w:shd w:val="clear" w:color="auto" w:fill="FDE9D9"/>
            <w:vAlign w:val="center"/>
          </w:tcPr>
          <w:p w:rsidR="00CD1FCC" w:rsidRPr="00453191" w:rsidRDefault="00CD1FCC" w:rsidP="006E677E">
            <w:pPr>
              <w:snapToGrid w:val="0"/>
              <w:jc w:val="center"/>
              <w:rPr>
                <w:rFonts w:ascii="楷体" w:eastAsia="楷体" w:hAnsi="楷体"/>
                <w:b/>
                <w:bCs/>
                <w:color w:val="000000"/>
                <w:sz w:val="18"/>
                <w:szCs w:val="18"/>
              </w:rPr>
            </w:pPr>
            <w:r w:rsidRPr="00453191">
              <w:rPr>
                <w:rFonts w:ascii="楷体" w:eastAsia="楷体" w:hAnsi="楷体" w:hint="eastAsia"/>
                <w:b/>
                <w:bCs/>
                <w:color w:val="000000"/>
                <w:sz w:val="18"/>
                <w:szCs w:val="18"/>
              </w:rPr>
              <w:t>债券</w:t>
            </w:r>
            <w:r w:rsidRPr="00453191">
              <w:rPr>
                <w:rFonts w:ascii="楷体" w:eastAsia="楷体" w:hAnsi="楷体"/>
                <w:b/>
                <w:bCs/>
                <w:color w:val="000000"/>
                <w:sz w:val="18"/>
                <w:szCs w:val="18"/>
              </w:rPr>
              <w:t>-</w:t>
            </w:r>
          </w:p>
          <w:p w:rsidR="00CD1FCC" w:rsidRPr="005B7CDB" w:rsidRDefault="00CD1FCC" w:rsidP="006E677E">
            <w:pPr>
              <w:snapToGrid w:val="0"/>
              <w:jc w:val="center"/>
              <w:rPr>
                <w:rFonts w:ascii="楷体" w:eastAsia="楷体" w:hAnsi="楷体" w:cs="宋体"/>
                <w:b/>
                <w:bCs/>
                <w:color w:val="000000"/>
                <w:sz w:val="18"/>
                <w:szCs w:val="18"/>
              </w:rPr>
            </w:pPr>
            <w:r w:rsidRPr="00453191">
              <w:rPr>
                <w:rFonts w:ascii="楷体" w:eastAsia="楷体" w:hAnsi="楷体" w:hint="eastAsia"/>
                <w:b/>
                <w:bCs/>
                <w:color w:val="000000"/>
                <w:sz w:val="18"/>
                <w:szCs w:val="18"/>
              </w:rPr>
              <w:t>指数债基</w:t>
            </w:r>
          </w:p>
        </w:tc>
        <w:tc>
          <w:tcPr>
            <w:tcW w:w="850" w:type="dxa"/>
            <w:tcBorders>
              <w:left w:val="single" w:sz="6" w:space="0" w:color="FF6600"/>
              <w:right w:val="single" w:sz="6" w:space="0" w:color="FF6600"/>
            </w:tcBorders>
          </w:tcPr>
          <w:p w:rsidR="00CD1FCC" w:rsidRPr="00E81144" w:rsidRDefault="00CD1FCC" w:rsidP="00E81144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453191">
              <w:rPr>
                <w:rFonts w:ascii="楷体" w:eastAsia="楷体" w:hAnsi="楷体"/>
                <w:color w:val="000000"/>
                <w:sz w:val="18"/>
                <w:szCs w:val="18"/>
              </w:rPr>
              <w:t>161826</w:t>
            </w:r>
          </w:p>
        </w:tc>
        <w:tc>
          <w:tcPr>
            <w:tcW w:w="1985" w:type="dxa"/>
            <w:tcBorders>
              <w:left w:val="single" w:sz="6" w:space="0" w:color="FF6600"/>
              <w:right w:val="single" w:sz="6" w:space="0" w:color="FF6600"/>
            </w:tcBorders>
          </w:tcPr>
          <w:p w:rsidR="00CD1FCC" w:rsidRPr="00E81144" w:rsidRDefault="00CD1FCC" w:rsidP="00E81144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453191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银华中证转债</w:t>
            </w:r>
          </w:p>
        </w:tc>
        <w:tc>
          <w:tcPr>
            <w:tcW w:w="709" w:type="dxa"/>
            <w:tcBorders>
              <w:left w:val="single" w:sz="6" w:space="0" w:color="FF6600"/>
              <w:right w:val="single" w:sz="6" w:space="0" w:color="FF6600"/>
            </w:tcBorders>
            <w:vAlign w:val="center"/>
          </w:tcPr>
          <w:p w:rsidR="00CD1FCC" w:rsidRPr="00E81144" w:rsidRDefault="00CD1FCC" w:rsidP="00E81144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453191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开放式</w:t>
            </w:r>
          </w:p>
        </w:tc>
        <w:tc>
          <w:tcPr>
            <w:tcW w:w="850" w:type="dxa"/>
            <w:tcBorders>
              <w:left w:val="single" w:sz="6" w:space="0" w:color="FF6600"/>
            </w:tcBorders>
          </w:tcPr>
          <w:p w:rsidR="00CD1FCC" w:rsidRPr="00E81144" w:rsidRDefault="00CD1FCC" w:rsidP="00E81144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453191">
              <w:rPr>
                <w:rFonts w:ascii="楷体" w:eastAsia="楷体" w:hAnsi="楷体"/>
                <w:color w:val="000000"/>
                <w:sz w:val="18"/>
                <w:szCs w:val="18"/>
              </w:rPr>
              <w:t>9.63</w:t>
            </w:r>
          </w:p>
        </w:tc>
      </w:tr>
      <w:tr w:rsidR="00CD1FCC" w:rsidRPr="00453191" w:rsidTr="007056F8">
        <w:trPr>
          <w:cantSplit/>
          <w:trHeight w:val="227"/>
        </w:trPr>
        <w:tc>
          <w:tcPr>
            <w:tcW w:w="851" w:type="dxa"/>
            <w:vMerge/>
            <w:tcBorders>
              <w:right w:val="single" w:sz="6" w:space="0" w:color="FF6600"/>
            </w:tcBorders>
            <w:shd w:val="clear" w:color="auto" w:fill="FDE9D9"/>
            <w:vAlign w:val="center"/>
          </w:tcPr>
          <w:p w:rsidR="00CD1FCC" w:rsidRPr="00453191" w:rsidRDefault="00CD1FCC" w:rsidP="006E677E">
            <w:pPr>
              <w:snapToGrid w:val="0"/>
              <w:jc w:val="center"/>
              <w:rPr>
                <w:rFonts w:ascii="楷体" w:eastAsia="楷体" w:hAnsi="楷体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6" w:space="0" w:color="FF6600"/>
              <w:right w:val="single" w:sz="6" w:space="0" w:color="FF6600"/>
            </w:tcBorders>
          </w:tcPr>
          <w:p w:rsidR="00CD1FCC" w:rsidRPr="00E81144" w:rsidRDefault="00CD1FCC" w:rsidP="00E81144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453191">
              <w:rPr>
                <w:rFonts w:ascii="楷体" w:eastAsia="楷体" w:hAnsi="楷体"/>
                <w:color w:val="000000"/>
                <w:sz w:val="18"/>
                <w:szCs w:val="18"/>
              </w:rPr>
              <w:t>540003</w:t>
            </w:r>
          </w:p>
        </w:tc>
        <w:tc>
          <w:tcPr>
            <w:tcW w:w="2551" w:type="dxa"/>
            <w:tcBorders>
              <w:left w:val="single" w:sz="6" w:space="0" w:color="FF6600"/>
              <w:right w:val="single" w:sz="6" w:space="0" w:color="FF6600"/>
            </w:tcBorders>
          </w:tcPr>
          <w:p w:rsidR="00CD1FCC" w:rsidRPr="00E81144" w:rsidRDefault="00CD1FCC" w:rsidP="00E81144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453191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汇丰晋信动态策略</w:t>
            </w:r>
          </w:p>
        </w:tc>
        <w:tc>
          <w:tcPr>
            <w:tcW w:w="567" w:type="dxa"/>
            <w:tcBorders>
              <w:left w:val="single" w:sz="6" w:space="0" w:color="FF6600"/>
              <w:right w:val="single" w:sz="6" w:space="0" w:color="FF6600"/>
            </w:tcBorders>
            <w:vAlign w:val="center"/>
          </w:tcPr>
          <w:p w:rsidR="00CD1FCC" w:rsidRPr="00E81144" w:rsidRDefault="00CD1FCC" w:rsidP="00E81144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453191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开放式</w:t>
            </w:r>
          </w:p>
        </w:tc>
        <w:tc>
          <w:tcPr>
            <w:tcW w:w="851" w:type="dxa"/>
            <w:tcBorders>
              <w:left w:val="single" w:sz="6" w:space="0" w:color="FF6600"/>
              <w:right w:val="single" w:sz="6" w:space="0" w:color="FF6600"/>
            </w:tcBorders>
          </w:tcPr>
          <w:p w:rsidR="00CD1FCC" w:rsidRPr="00E81144" w:rsidRDefault="00CD1FCC" w:rsidP="00E81144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453191">
              <w:rPr>
                <w:rFonts w:ascii="楷体" w:eastAsia="楷体" w:hAnsi="楷体"/>
                <w:color w:val="000000"/>
                <w:sz w:val="18"/>
                <w:szCs w:val="18"/>
              </w:rPr>
              <w:t>13.50</w:t>
            </w:r>
          </w:p>
        </w:tc>
        <w:tc>
          <w:tcPr>
            <w:tcW w:w="992" w:type="dxa"/>
            <w:vMerge/>
            <w:tcBorders>
              <w:left w:val="single" w:sz="6" w:space="0" w:color="FF6600"/>
              <w:right w:val="single" w:sz="6" w:space="0" w:color="FF6600"/>
            </w:tcBorders>
            <w:shd w:val="clear" w:color="auto" w:fill="FDE9D9"/>
            <w:vAlign w:val="center"/>
          </w:tcPr>
          <w:p w:rsidR="00CD1FCC" w:rsidRPr="00453191" w:rsidRDefault="00CD1FCC" w:rsidP="006E677E">
            <w:pPr>
              <w:snapToGrid w:val="0"/>
              <w:jc w:val="center"/>
              <w:rPr>
                <w:rFonts w:ascii="楷体" w:eastAsia="楷体" w:hAnsi="楷体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6" w:space="0" w:color="FF6600"/>
              <w:right w:val="single" w:sz="6" w:space="0" w:color="FF6600"/>
            </w:tcBorders>
          </w:tcPr>
          <w:p w:rsidR="00CD1FCC" w:rsidRPr="00E81144" w:rsidRDefault="00CD1FCC" w:rsidP="00E81144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453191">
              <w:rPr>
                <w:rFonts w:ascii="楷体" w:eastAsia="楷体" w:hAnsi="楷体"/>
                <w:color w:val="000000"/>
                <w:sz w:val="18"/>
                <w:szCs w:val="18"/>
              </w:rPr>
              <w:t>161624</w:t>
            </w:r>
          </w:p>
        </w:tc>
        <w:tc>
          <w:tcPr>
            <w:tcW w:w="1985" w:type="dxa"/>
            <w:tcBorders>
              <w:left w:val="single" w:sz="6" w:space="0" w:color="FF6600"/>
              <w:right w:val="single" w:sz="6" w:space="0" w:color="FF6600"/>
            </w:tcBorders>
          </w:tcPr>
          <w:p w:rsidR="00CD1FCC" w:rsidRPr="00E81144" w:rsidRDefault="00CD1FCC" w:rsidP="00E81144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453191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融通标普中国可转债</w:t>
            </w:r>
            <w:r w:rsidRPr="00453191">
              <w:rPr>
                <w:rFonts w:ascii="楷体" w:eastAsia="楷体" w:hAnsi="楷体"/>
                <w:color w:val="000000"/>
                <w:sz w:val="18"/>
                <w:szCs w:val="18"/>
              </w:rPr>
              <w:t>A</w:t>
            </w:r>
          </w:p>
        </w:tc>
        <w:tc>
          <w:tcPr>
            <w:tcW w:w="709" w:type="dxa"/>
            <w:tcBorders>
              <w:left w:val="single" w:sz="6" w:space="0" w:color="FF6600"/>
              <w:right w:val="single" w:sz="6" w:space="0" w:color="FF6600"/>
            </w:tcBorders>
            <w:vAlign w:val="center"/>
          </w:tcPr>
          <w:p w:rsidR="00CD1FCC" w:rsidRPr="00E81144" w:rsidRDefault="00CD1FCC" w:rsidP="00E81144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453191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开放式</w:t>
            </w:r>
          </w:p>
        </w:tc>
        <w:tc>
          <w:tcPr>
            <w:tcW w:w="850" w:type="dxa"/>
            <w:tcBorders>
              <w:left w:val="single" w:sz="6" w:space="0" w:color="FF6600"/>
            </w:tcBorders>
          </w:tcPr>
          <w:p w:rsidR="00CD1FCC" w:rsidRPr="00E81144" w:rsidRDefault="00CD1FCC" w:rsidP="00E81144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453191">
              <w:rPr>
                <w:rFonts w:ascii="楷体" w:eastAsia="楷体" w:hAnsi="楷体"/>
                <w:color w:val="000000"/>
                <w:sz w:val="18"/>
                <w:szCs w:val="18"/>
              </w:rPr>
              <w:t>9.60</w:t>
            </w:r>
          </w:p>
        </w:tc>
      </w:tr>
      <w:tr w:rsidR="00CD1FCC" w:rsidRPr="00453191" w:rsidTr="007056F8">
        <w:trPr>
          <w:cantSplit/>
          <w:trHeight w:val="227"/>
        </w:trPr>
        <w:tc>
          <w:tcPr>
            <w:tcW w:w="851" w:type="dxa"/>
            <w:vMerge/>
            <w:tcBorders>
              <w:right w:val="single" w:sz="6" w:space="0" w:color="FF6600"/>
            </w:tcBorders>
            <w:shd w:val="clear" w:color="auto" w:fill="FDE9D9"/>
            <w:vAlign w:val="center"/>
          </w:tcPr>
          <w:p w:rsidR="00CD1FCC" w:rsidRPr="00453191" w:rsidRDefault="00CD1FCC" w:rsidP="006E677E">
            <w:pPr>
              <w:snapToGrid w:val="0"/>
              <w:jc w:val="center"/>
              <w:rPr>
                <w:rFonts w:ascii="楷体" w:eastAsia="楷体" w:hAnsi="楷体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6" w:space="0" w:color="FF6600"/>
              <w:right w:val="single" w:sz="6" w:space="0" w:color="FF6600"/>
            </w:tcBorders>
          </w:tcPr>
          <w:p w:rsidR="00CD1FCC" w:rsidRPr="00E81144" w:rsidRDefault="00CD1FCC" w:rsidP="00E81144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453191">
              <w:rPr>
                <w:rFonts w:ascii="楷体" w:eastAsia="楷体" w:hAnsi="楷体"/>
                <w:color w:val="000000"/>
                <w:sz w:val="18"/>
                <w:szCs w:val="18"/>
              </w:rPr>
              <w:t>620002</w:t>
            </w:r>
          </w:p>
        </w:tc>
        <w:tc>
          <w:tcPr>
            <w:tcW w:w="2551" w:type="dxa"/>
            <w:tcBorders>
              <w:left w:val="single" w:sz="6" w:space="0" w:color="FF6600"/>
              <w:right w:val="single" w:sz="6" w:space="0" w:color="FF6600"/>
            </w:tcBorders>
          </w:tcPr>
          <w:p w:rsidR="00CD1FCC" w:rsidRPr="00E81144" w:rsidRDefault="00CD1FCC" w:rsidP="00E81144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453191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金元惠理成长动力</w:t>
            </w:r>
          </w:p>
        </w:tc>
        <w:tc>
          <w:tcPr>
            <w:tcW w:w="567" w:type="dxa"/>
            <w:tcBorders>
              <w:left w:val="single" w:sz="6" w:space="0" w:color="FF6600"/>
              <w:right w:val="single" w:sz="6" w:space="0" w:color="FF6600"/>
            </w:tcBorders>
            <w:vAlign w:val="center"/>
          </w:tcPr>
          <w:p w:rsidR="00CD1FCC" w:rsidRPr="00E81144" w:rsidRDefault="00CD1FCC" w:rsidP="00E81144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453191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开放式</w:t>
            </w:r>
          </w:p>
        </w:tc>
        <w:tc>
          <w:tcPr>
            <w:tcW w:w="851" w:type="dxa"/>
            <w:tcBorders>
              <w:left w:val="single" w:sz="6" w:space="0" w:color="FF6600"/>
              <w:right w:val="single" w:sz="6" w:space="0" w:color="FF6600"/>
            </w:tcBorders>
          </w:tcPr>
          <w:p w:rsidR="00CD1FCC" w:rsidRPr="00E81144" w:rsidRDefault="00CD1FCC" w:rsidP="00E81144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453191">
              <w:rPr>
                <w:rFonts w:ascii="楷体" w:eastAsia="楷体" w:hAnsi="楷体"/>
                <w:color w:val="000000"/>
                <w:sz w:val="18"/>
                <w:szCs w:val="18"/>
              </w:rPr>
              <w:t>12.09</w:t>
            </w:r>
          </w:p>
        </w:tc>
        <w:tc>
          <w:tcPr>
            <w:tcW w:w="992" w:type="dxa"/>
            <w:vMerge/>
            <w:tcBorders>
              <w:left w:val="single" w:sz="6" w:space="0" w:color="FF6600"/>
              <w:right w:val="single" w:sz="6" w:space="0" w:color="FF6600"/>
            </w:tcBorders>
            <w:shd w:val="clear" w:color="auto" w:fill="FDE9D9"/>
            <w:vAlign w:val="center"/>
          </w:tcPr>
          <w:p w:rsidR="00CD1FCC" w:rsidRPr="00453191" w:rsidRDefault="00CD1FCC" w:rsidP="006E677E">
            <w:pPr>
              <w:snapToGrid w:val="0"/>
              <w:jc w:val="center"/>
              <w:rPr>
                <w:rFonts w:ascii="楷体" w:eastAsia="楷体" w:hAnsi="楷体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6" w:space="0" w:color="FF6600"/>
              <w:right w:val="single" w:sz="6" w:space="0" w:color="FF6600"/>
            </w:tcBorders>
          </w:tcPr>
          <w:p w:rsidR="00CD1FCC" w:rsidRPr="00E81144" w:rsidRDefault="00CD1FCC" w:rsidP="00E81144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453191">
              <w:rPr>
                <w:rFonts w:ascii="楷体" w:eastAsia="楷体" w:hAnsi="楷体"/>
                <w:color w:val="000000"/>
                <w:sz w:val="18"/>
                <w:szCs w:val="18"/>
              </w:rPr>
              <w:t>161625</w:t>
            </w:r>
          </w:p>
        </w:tc>
        <w:tc>
          <w:tcPr>
            <w:tcW w:w="1985" w:type="dxa"/>
            <w:tcBorders>
              <w:left w:val="single" w:sz="6" w:space="0" w:color="FF6600"/>
              <w:right w:val="single" w:sz="6" w:space="0" w:color="FF6600"/>
            </w:tcBorders>
          </w:tcPr>
          <w:p w:rsidR="00CD1FCC" w:rsidRPr="00E81144" w:rsidRDefault="00CD1FCC" w:rsidP="00E81144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453191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融通标普中国可转债</w:t>
            </w:r>
            <w:r w:rsidRPr="00453191">
              <w:rPr>
                <w:rFonts w:ascii="楷体" w:eastAsia="楷体" w:hAnsi="楷体"/>
                <w:color w:val="000000"/>
                <w:sz w:val="18"/>
                <w:szCs w:val="18"/>
              </w:rPr>
              <w:t>C</w:t>
            </w:r>
          </w:p>
        </w:tc>
        <w:tc>
          <w:tcPr>
            <w:tcW w:w="709" w:type="dxa"/>
            <w:tcBorders>
              <w:left w:val="single" w:sz="6" w:space="0" w:color="FF6600"/>
              <w:right w:val="single" w:sz="6" w:space="0" w:color="FF6600"/>
            </w:tcBorders>
            <w:vAlign w:val="center"/>
          </w:tcPr>
          <w:p w:rsidR="00CD1FCC" w:rsidRPr="00E81144" w:rsidRDefault="00CD1FCC" w:rsidP="00E81144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453191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开放式</w:t>
            </w:r>
          </w:p>
        </w:tc>
        <w:tc>
          <w:tcPr>
            <w:tcW w:w="850" w:type="dxa"/>
            <w:tcBorders>
              <w:left w:val="single" w:sz="6" w:space="0" w:color="FF6600"/>
            </w:tcBorders>
          </w:tcPr>
          <w:p w:rsidR="00CD1FCC" w:rsidRPr="00E81144" w:rsidRDefault="00CD1FCC" w:rsidP="00E81144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453191">
              <w:rPr>
                <w:rFonts w:ascii="楷体" w:eastAsia="楷体" w:hAnsi="楷体"/>
                <w:color w:val="000000"/>
                <w:sz w:val="18"/>
                <w:szCs w:val="18"/>
              </w:rPr>
              <w:t>9.57</w:t>
            </w:r>
          </w:p>
        </w:tc>
      </w:tr>
      <w:tr w:rsidR="00CD1FCC" w:rsidRPr="00453191" w:rsidTr="007056F8">
        <w:trPr>
          <w:cantSplit/>
          <w:trHeight w:val="227"/>
        </w:trPr>
        <w:tc>
          <w:tcPr>
            <w:tcW w:w="851" w:type="dxa"/>
            <w:vMerge w:val="restart"/>
            <w:tcBorders>
              <w:right w:val="single" w:sz="6" w:space="0" w:color="FF6600"/>
            </w:tcBorders>
            <w:shd w:val="clear" w:color="auto" w:fill="FDE9D9"/>
            <w:vAlign w:val="center"/>
          </w:tcPr>
          <w:p w:rsidR="00CD1FCC" w:rsidRPr="00453191" w:rsidRDefault="00CD1FCC" w:rsidP="006E677E">
            <w:pPr>
              <w:snapToGrid w:val="0"/>
              <w:jc w:val="center"/>
              <w:rPr>
                <w:rFonts w:ascii="楷体" w:eastAsia="楷体" w:hAnsi="楷体"/>
                <w:b/>
                <w:sz w:val="18"/>
                <w:szCs w:val="18"/>
              </w:rPr>
            </w:pPr>
            <w:r w:rsidRPr="00453191">
              <w:rPr>
                <w:rFonts w:ascii="楷体" w:eastAsia="楷体" w:hAnsi="楷体"/>
                <w:b/>
                <w:sz w:val="18"/>
                <w:szCs w:val="18"/>
              </w:rPr>
              <w:t>QDII</w:t>
            </w:r>
          </w:p>
        </w:tc>
        <w:tc>
          <w:tcPr>
            <w:tcW w:w="851" w:type="dxa"/>
            <w:tcBorders>
              <w:left w:val="single" w:sz="6" w:space="0" w:color="FF6600"/>
              <w:right w:val="single" w:sz="6" w:space="0" w:color="FF6600"/>
            </w:tcBorders>
          </w:tcPr>
          <w:p w:rsidR="00CD1FCC" w:rsidRPr="00E81144" w:rsidRDefault="00CD1FCC" w:rsidP="00E81144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453191">
              <w:rPr>
                <w:rFonts w:ascii="楷体" w:eastAsia="楷体" w:hAnsi="楷体"/>
                <w:color w:val="000000"/>
                <w:sz w:val="18"/>
                <w:szCs w:val="18"/>
              </w:rPr>
              <w:t>150176</w:t>
            </w:r>
          </w:p>
        </w:tc>
        <w:tc>
          <w:tcPr>
            <w:tcW w:w="2551" w:type="dxa"/>
            <w:tcBorders>
              <w:left w:val="single" w:sz="6" w:space="0" w:color="FF6600"/>
              <w:right w:val="single" w:sz="6" w:space="0" w:color="FF6600"/>
            </w:tcBorders>
          </w:tcPr>
          <w:p w:rsidR="00CD1FCC" w:rsidRPr="00E81144" w:rsidRDefault="00CD1FCC" w:rsidP="00E81144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453191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银华恒生</w:t>
            </w:r>
            <w:r w:rsidRPr="00453191">
              <w:rPr>
                <w:rFonts w:ascii="楷体" w:eastAsia="楷体" w:hAnsi="楷体"/>
                <w:color w:val="000000"/>
                <w:sz w:val="18"/>
                <w:szCs w:val="18"/>
              </w:rPr>
              <w:t>H</w:t>
            </w:r>
            <w:r w:rsidRPr="00453191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股</w:t>
            </w:r>
            <w:r w:rsidRPr="00453191">
              <w:rPr>
                <w:rFonts w:ascii="楷体" w:eastAsia="楷体" w:hAnsi="楷体"/>
                <w:color w:val="000000"/>
                <w:sz w:val="18"/>
                <w:szCs w:val="18"/>
              </w:rPr>
              <w:t>B</w:t>
            </w:r>
          </w:p>
        </w:tc>
        <w:tc>
          <w:tcPr>
            <w:tcW w:w="567" w:type="dxa"/>
            <w:tcBorders>
              <w:left w:val="single" w:sz="6" w:space="0" w:color="FF6600"/>
              <w:right w:val="single" w:sz="6" w:space="0" w:color="FF6600"/>
            </w:tcBorders>
            <w:vAlign w:val="center"/>
          </w:tcPr>
          <w:p w:rsidR="00CD1FCC" w:rsidRPr="00E81144" w:rsidRDefault="00CD1FCC" w:rsidP="00E81144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453191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开放式</w:t>
            </w:r>
          </w:p>
        </w:tc>
        <w:tc>
          <w:tcPr>
            <w:tcW w:w="851" w:type="dxa"/>
            <w:tcBorders>
              <w:left w:val="single" w:sz="6" w:space="0" w:color="FF6600"/>
              <w:right w:val="single" w:sz="6" w:space="0" w:color="FF6600"/>
            </w:tcBorders>
          </w:tcPr>
          <w:p w:rsidR="00CD1FCC" w:rsidRPr="00E81144" w:rsidRDefault="00CD1FCC" w:rsidP="00E81144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453191">
              <w:rPr>
                <w:rFonts w:ascii="楷体" w:eastAsia="楷体" w:hAnsi="楷体"/>
                <w:color w:val="000000"/>
                <w:sz w:val="18"/>
                <w:szCs w:val="18"/>
              </w:rPr>
              <w:t>7.40</w:t>
            </w:r>
          </w:p>
        </w:tc>
        <w:tc>
          <w:tcPr>
            <w:tcW w:w="992" w:type="dxa"/>
            <w:vMerge w:val="restart"/>
            <w:tcBorders>
              <w:left w:val="single" w:sz="6" w:space="0" w:color="FF6600"/>
              <w:right w:val="single" w:sz="6" w:space="0" w:color="FF6600"/>
            </w:tcBorders>
            <w:shd w:val="clear" w:color="auto" w:fill="FDE9D9"/>
            <w:vAlign w:val="center"/>
          </w:tcPr>
          <w:p w:rsidR="00CD1FCC" w:rsidRPr="00453191" w:rsidRDefault="00CD1FCC" w:rsidP="006E677E">
            <w:pPr>
              <w:snapToGrid w:val="0"/>
              <w:jc w:val="center"/>
              <w:rPr>
                <w:rFonts w:ascii="楷体" w:eastAsia="楷体" w:hAnsi="楷体"/>
                <w:b/>
                <w:bCs/>
                <w:color w:val="000000"/>
                <w:sz w:val="18"/>
                <w:szCs w:val="18"/>
              </w:rPr>
            </w:pPr>
            <w:r w:rsidRPr="00453191">
              <w:rPr>
                <w:rFonts w:ascii="楷体" w:eastAsia="楷体" w:hAnsi="楷体" w:hint="eastAsia"/>
                <w:b/>
                <w:bCs/>
                <w:color w:val="000000"/>
                <w:sz w:val="18"/>
                <w:szCs w:val="18"/>
              </w:rPr>
              <w:t>债券</w:t>
            </w:r>
            <w:r w:rsidRPr="00453191">
              <w:rPr>
                <w:rFonts w:ascii="楷体" w:eastAsia="楷体" w:hAnsi="楷体"/>
                <w:b/>
                <w:bCs/>
                <w:color w:val="000000"/>
                <w:sz w:val="18"/>
                <w:szCs w:val="18"/>
              </w:rPr>
              <w:t>-</w:t>
            </w:r>
          </w:p>
          <w:p w:rsidR="00CD1FCC" w:rsidRPr="005B7CDB" w:rsidRDefault="00CD1FCC" w:rsidP="006E677E">
            <w:pPr>
              <w:snapToGrid w:val="0"/>
              <w:jc w:val="center"/>
              <w:rPr>
                <w:rFonts w:ascii="楷体" w:eastAsia="楷体" w:hAnsi="楷体" w:cs="宋体"/>
                <w:b/>
                <w:bCs/>
                <w:color w:val="000000"/>
                <w:sz w:val="18"/>
                <w:szCs w:val="18"/>
              </w:rPr>
            </w:pPr>
            <w:r w:rsidRPr="00453191">
              <w:rPr>
                <w:rFonts w:ascii="楷体" w:eastAsia="楷体" w:hAnsi="楷体" w:hint="eastAsia"/>
                <w:b/>
                <w:bCs/>
                <w:color w:val="000000"/>
                <w:sz w:val="18"/>
                <w:szCs w:val="18"/>
              </w:rPr>
              <w:t>可转债基</w:t>
            </w:r>
          </w:p>
        </w:tc>
        <w:tc>
          <w:tcPr>
            <w:tcW w:w="850" w:type="dxa"/>
            <w:tcBorders>
              <w:left w:val="single" w:sz="6" w:space="0" w:color="FF6600"/>
              <w:right w:val="single" w:sz="6" w:space="0" w:color="FF6600"/>
            </w:tcBorders>
          </w:tcPr>
          <w:p w:rsidR="00CD1FCC" w:rsidRPr="00E81144" w:rsidRDefault="00CD1FCC" w:rsidP="00E81144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453191">
              <w:rPr>
                <w:rFonts w:ascii="楷体" w:eastAsia="楷体" w:hAnsi="楷体"/>
                <w:color w:val="000000"/>
                <w:sz w:val="18"/>
                <w:szCs w:val="18"/>
              </w:rPr>
              <w:t>519977</w:t>
            </w:r>
          </w:p>
        </w:tc>
        <w:tc>
          <w:tcPr>
            <w:tcW w:w="1985" w:type="dxa"/>
            <w:tcBorders>
              <w:left w:val="single" w:sz="6" w:space="0" w:color="FF6600"/>
              <w:right w:val="single" w:sz="6" w:space="0" w:color="FF6600"/>
            </w:tcBorders>
          </w:tcPr>
          <w:p w:rsidR="00CD1FCC" w:rsidRPr="00E81144" w:rsidRDefault="00CD1FCC" w:rsidP="00E81144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453191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长信可转债</w:t>
            </w:r>
            <w:r w:rsidRPr="00453191">
              <w:rPr>
                <w:rFonts w:ascii="楷体" w:eastAsia="楷体" w:hAnsi="楷体"/>
                <w:color w:val="000000"/>
                <w:sz w:val="18"/>
                <w:szCs w:val="18"/>
              </w:rPr>
              <w:t>A</w:t>
            </w:r>
          </w:p>
        </w:tc>
        <w:tc>
          <w:tcPr>
            <w:tcW w:w="709" w:type="dxa"/>
            <w:tcBorders>
              <w:left w:val="single" w:sz="6" w:space="0" w:color="FF6600"/>
              <w:right w:val="single" w:sz="6" w:space="0" w:color="FF6600"/>
            </w:tcBorders>
            <w:vAlign w:val="center"/>
          </w:tcPr>
          <w:p w:rsidR="00CD1FCC" w:rsidRPr="00E81144" w:rsidRDefault="00CD1FCC" w:rsidP="00E81144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453191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开放式</w:t>
            </w:r>
          </w:p>
        </w:tc>
        <w:tc>
          <w:tcPr>
            <w:tcW w:w="850" w:type="dxa"/>
            <w:tcBorders>
              <w:left w:val="single" w:sz="6" w:space="0" w:color="FF6600"/>
            </w:tcBorders>
          </w:tcPr>
          <w:p w:rsidR="00CD1FCC" w:rsidRPr="00E81144" w:rsidRDefault="00CD1FCC" w:rsidP="00E81144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453191">
              <w:rPr>
                <w:rFonts w:ascii="楷体" w:eastAsia="楷体" w:hAnsi="楷体"/>
                <w:color w:val="000000"/>
                <w:sz w:val="18"/>
                <w:szCs w:val="18"/>
              </w:rPr>
              <w:t>15.45</w:t>
            </w:r>
          </w:p>
        </w:tc>
      </w:tr>
      <w:tr w:rsidR="00CD1FCC" w:rsidRPr="00453191" w:rsidTr="007056F8">
        <w:trPr>
          <w:cantSplit/>
          <w:trHeight w:val="227"/>
        </w:trPr>
        <w:tc>
          <w:tcPr>
            <w:tcW w:w="851" w:type="dxa"/>
            <w:vMerge/>
            <w:tcBorders>
              <w:right w:val="single" w:sz="6" w:space="0" w:color="FF6600"/>
            </w:tcBorders>
            <w:shd w:val="clear" w:color="auto" w:fill="FDE9D9"/>
            <w:vAlign w:val="center"/>
          </w:tcPr>
          <w:p w:rsidR="00CD1FCC" w:rsidRPr="00453191" w:rsidRDefault="00CD1FCC" w:rsidP="006E677E">
            <w:pPr>
              <w:snapToGrid w:val="0"/>
              <w:jc w:val="center"/>
              <w:rPr>
                <w:rFonts w:ascii="楷体" w:eastAsia="楷体" w:hAnsi="楷体"/>
                <w:b/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6" w:space="0" w:color="FF6600"/>
              <w:right w:val="single" w:sz="6" w:space="0" w:color="FF6600"/>
            </w:tcBorders>
          </w:tcPr>
          <w:p w:rsidR="00CD1FCC" w:rsidRPr="00E81144" w:rsidRDefault="00CD1FCC" w:rsidP="00E81144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453191">
              <w:rPr>
                <w:rFonts w:ascii="楷体" w:eastAsia="楷体" w:hAnsi="楷体"/>
                <w:color w:val="000000"/>
                <w:sz w:val="18"/>
                <w:szCs w:val="18"/>
              </w:rPr>
              <w:t>160717</w:t>
            </w:r>
          </w:p>
        </w:tc>
        <w:tc>
          <w:tcPr>
            <w:tcW w:w="2551" w:type="dxa"/>
            <w:tcBorders>
              <w:left w:val="single" w:sz="6" w:space="0" w:color="FF6600"/>
              <w:right w:val="single" w:sz="6" w:space="0" w:color="FF6600"/>
            </w:tcBorders>
          </w:tcPr>
          <w:p w:rsidR="00CD1FCC" w:rsidRPr="00E81144" w:rsidRDefault="00CD1FCC" w:rsidP="00E81144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453191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嘉实恒生中国企业</w:t>
            </w:r>
          </w:p>
        </w:tc>
        <w:tc>
          <w:tcPr>
            <w:tcW w:w="567" w:type="dxa"/>
            <w:tcBorders>
              <w:left w:val="single" w:sz="6" w:space="0" w:color="FF6600"/>
              <w:right w:val="single" w:sz="6" w:space="0" w:color="FF6600"/>
            </w:tcBorders>
            <w:vAlign w:val="center"/>
          </w:tcPr>
          <w:p w:rsidR="00CD1FCC" w:rsidRPr="00E81144" w:rsidRDefault="00CD1FCC" w:rsidP="00E81144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453191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开放式</w:t>
            </w:r>
          </w:p>
        </w:tc>
        <w:tc>
          <w:tcPr>
            <w:tcW w:w="851" w:type="dxa"/>
            <w:tcBorders>
              <w:left w:val="single" w:sz="6" w:space="0" w:color="FF6600"/>
              <w:right w:val="single" w:sz="6" w:space="0" w:color="FF6600"/>
            </w:tcBorders>
          </w:tcPr>
          <w:p w:rsidR="00CD1FCC" w:rsidRPr="00E81144" w:rsidRDefault="00CD1FCC" w:rsidP="00E81144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453191">
              <w:rPr>
                <w:rFonts w:ascii="楷体" w:eastAsia="楷体" w:hAnsi="楷体"/>
                <w:color w:val="000000"/>
                <w:sz w:val="18"/>
                <w:szCs w:val="18"/>
              </w:rPr>
              <w:t>4.96</w:t>
            </w:r>
          </w:p>
        </w:tc>
        <w:tc>
          <w:tcPr>
            <w:tcW w:w="992" w:type="dxa"/>
            <w:vMerge/>
            <w:tcBorders>
              <w:left w:val="single" w:sz="6" w:space="0" w:color="FF6600"/>
              <w:right w:val="single" w:sz="6" w:space="0" w:color="FF6600"/>
            </w:tcBorders>
            <w:shd w:val="clear" w:color="auto" w:fill="FDE9D9"/>
            <w:vAlign w:val="center"/>
          </w:tcPr>
          <w:p w:rsidR="00CD1FCC" w:rsidRPr="00453191" w:rsidRDefault="00CD1FCC" w:rsidP="006E677E">
            <w:pPr>
              <w:snapToGrid w:val="0"/>
              <w:jc w:val="center"/>
              <w:rPr>
                <w:rFonts w:ascii="楷体" w:eastAsia="楷体" w:hAnsi="楷体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6" w:space="0" w:color="FF6600"/>
              <w:right w:val="single" w:sz="6" w:space="0" w:color="FF6600"/>
            </w:tcBorders>
          </w:tcPr>
          <w:p w:rsidR="00CD1FCC" w:rsidRPr="00E81144" w:rsidRDefault="00CD1FCC" w:rsidP="00E81144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453191">
              <w:rPr>
                <w:rFonts w:ascii="楷体" w:eastAsia="楷体" w:hAnsi="楷体"/>
                <w:color w:val="000000"/>
                <w:sz w:val="18"/>
                <w:szCs w:val="18"/>
              </w:rPr>
              <w:t>519976</w:t>
            </w:r>
          </w:p>
        </w:tc>
        <w:tc>
          <w:tcPr>
            <w:tcW w:w="1985" w:type="dxa"/>
            <w:tcBorders>
              <w:left w:val="single" w:sz="6" w:space="0" w:color="FF6600"/>
              <w:right w:val="single" w:sz="6" w:space="0" w:color="FF6600"/>
            </w:tcBorders>
          </w:tcPr>
          <w:p w:rsidR="00CD1FCC" w:rsidRPr="00E81144" w:rsidRDefault="00CD1FCC" w:rsidP="00E81144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453191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长信可转债</w:t>
            </w:r>
            <w:r w:rsidRPr="00453191">
              <w:rPr>
                <w:rFonts w:ascii="楷体" w:eastAsia="楷体" w:hAnsi="楷体"/>
                <w:color w:val="000000"/>
                <w:sz w:val="18"/>
                <w:szCs w:val="18"/>
              </w:rPr>
              <w:t>C</w:t>
            </w:r>
          </w:p>
        </w:tc>
        <w:tc>
          <w:tcPr>
            <w:tcW w:w="709" w:type="dxa"/>
            <w:tcBorders>
              <w:left w:val="single" w:sz="6" w:space="0" w:color="FF6600"/>
              <w:right w:val="single" w:sz="6" w:space="0" w:color="FF6600"/>
            </w:tcBorders>
            <w:vAlign w:val="center"/>
          </w:tcPr>
          <w:p w:rsidR="00CD1FCC" w:rsidRPr="00E81144" w:rsidRDefault="00CD1FCC" w:rsidP="00E81144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453191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开放式</w:t>
            </w:r>
          </w:p>
        </w:tc>
        <w:tc>
          <w:tcPr>
            <w:tcW w:w="850" w:type="dxa"/>
            <w:tcBorders>
              <w:left w:val="single" w:sz="6" w:space="0" w:color="FF6600"/>
            </w:tcBorders>
          </w:tcPr>
          <w:p w:rsidR="00CD1FCC" w:rsidRPr="00E81144" w:rsidRDefault="00CD1FCC" w:rsidP="00E81144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453191">
              <w:rPr>
                <w:rFonts w:ascii="楷体" w:eastAsia="楷体" w:hAnsi="楷体"/>
                <w:color w:val="000000"/>
                <w:sz w:val="18"/>
                <w:szCs w:val="18"/>
              </w:rPr>
              <w:t>15.41</w:t>
            </w:r>
          </w:p>
        </w:tc>
      </w:tr>
      <w:tr w:rsidR="00CD1FCC" w:rsidRPr="00453191" w:rsidTr="007056F8">
        <w:trPr>
          <w:cantSplit/>
          <w:trHeight w:val="227"/>
        </w:trPr>
        <w:tc>
          <w:tcPr>
            <w:tcW w:w="851" w:type="dxa"/>
            <w:vMerge/>
            <w:tcBorders>
              <w:right w:val="single" w:sz="6" w:space="0" w:color="FF6600"/>
            </w:tcBorders>
            <w:shd w:val="clear" w:color="auto" w:fill="FDE9D9"/>
            <w:vAlign w:val="center"/>
          </w:tcPr>
          <w:p w:rsidR="00CD1FCC" w:rsidRPr="00453191" w:rsidRDefault="00CD1FCC" w:rsidP="006E677E">
            <w:pPr>
              <w:snapToGrid w:val="0"/>
              <w:jc w:val="center"/>
              <w:rPr>
                <w:rFonts w:ascii="楷体" w:eastAsia="楷体" w:hAnsi="楷体"/>
                <w:b/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6" w:space="0" w:color="FF6600"/>
              <w:right w:val="single" w:sz="6" w:space="0" w:color="FF6600"/>
            </w:tcBorders>
          </w:tcPr>
          <w:p w:rsidR="00CD1FCC" w:rsidRPr="00E81144" w:rsidRDefault="00CD1FCC" w:rsidP="00E81144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453191">
              <w:rPr>
                <w:rFonts w:ascii="楷体" w:eastAsia="楷体" w:hAnsi="楷体"/>
                <w:color w:val="000000"/>
                <w:sz w:val="18"/>
                <w:szCs w:val="18"/>
              </w:rPr>
              <w:t>510900</w:t>
            </w:r>
          </w:p>
        </w:tc>
        <w:tc>
          <w:tcPr>
            <w:tcW w:w="2551" w:type="dxa"/>
            <w:tcBorders>
              <w:left w:val="single" w:sz="6" w:space="0" w:color="FF6600"/>
              <w:right w:val="single" w:sz="6" w:space="0" w:color="FF6600"/>
            </w:tcBorders>
          </w:tcPr>
          <w:p w:rsidR="00CD1FCC" w:rsidRPr="00E81144" w:rsidRDefault="00CD1FCC" w:rsidP="00E81144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453191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易方达恒生</w:t>
            </w:r>
            <w:r w:rsidRPr="00453191">
              <w:rPr>
                <w:rFonts w:ascii="楷体" w:eastAsia="楷体" w:hAnsi="楷体"/>
                <w:color w:val="000000"/>
                <w:sz w:val="18"/>
                <w:szCs w:val="18"/>
              </w:rPr>
              <w:t>H</w:t>
            </w:r>
            <w:r w:rsidRPr="00453191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股</w:t>
            </w:r>
            <w:r w:rsidRPr="00453191">
              <w:rPr>
                <w:rFonts w:ascii="楷体" w:eastAsia="楷体" w:hAnsi="楷体"/>
                <w:color w:val="000000"/>
                <w:sz w:val="18"/>
                <w:szCs w:val="18"/>
              </w:rPr>
              <w:t>ETF</w:t>
            </w:r>
          </w:p>
        </w:tc>
        <w:tc>
          <w:tcPr>
            <w:tcW w:w="567" w:type="dxa"/>
            <w:tcBorders>
              <w:left w:val="single" w:sz="6" w:space="0" w:color="FF6600"/>
              <w:right w:val="single" w:sz="6" w:space="0" w:color="FF6600"/>
            </w:tcBorders>
            <w:vAlign w:val="center"/>
          </w:tcPr>
          <w:p w:rsidR="00CD1FCC" w:rsidRPr="00E81144" w:rsidRDefault="00CD1FCC" w:rsidP="00E81144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453191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开放式</w:t>
            </w:r>
          </w:p>
        </w:tc>
        <w:tc>
          <w:tcPr>
            <w:tcW w:w="851" w:type="dxa"/>
            <w:tcBorders>
              <w:left w:val="single" w:sz="6" w:space="0" w:color="FF6600"/>
              <w:right w:val="single" w:sz="6" w:space="0" w:color="FF6600"/>
            </w:tcBorders>
          </w:tcPr>
          <w:p w:rsidR="00CD1FCC" w:rsidRPr="00E81144" w:rsidRDefault="00CD1FCC" w:rsidP="00E81144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453191">
              <w:rPr>
                <w:rFonts w:ascii="楷体" w:eastAsia="楷体" w:hAnsi="楷体"/>
                <w:color w:val="000000"/>
                <w:sz w:val="18"/>
                <w:szCs w:val="18"/>
              </w:rPr>
              <w:t>4.34</w:t>
            </w:r>
          </w:p>
        </w:tc>
        <w:tc>
          <w:tcPr>
            <w:tcW w:w="992" w:type="dxa"/>
            <w:vMerge/>
            <w:tcBorders>
              <w:left w:val="single" w:sz="6" w:space="0" w:color="FF6600"/>
              <w:right w:val="single" w:sz="6" w:space="0" w:color="FF6600"/>
            </w:tcBorders>
            <w:shd w:val="clear" w:color="auto" w:fill="FDE9D9"/>
            <w:vAlign w:val="center"/>
          </w:tcPr>
          <w:p w:rsidR="00CD1FCC" w:rsidRPr="00453191" w:rsidRDefault="00CD1FCC" w:rsidP="006E677E">
            <w:pPr>
              <w:snapToGrid w:val="0"/>
              <w:jc w:val="center"/>
              <w:rPr>
                <w:rFonts w:ascii="楷体" w:eastAsia="楷体" w:hAnsi="楷体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6" w:space="0" w:color="FF6600"/>
              <w:right w:val="single" w:sz="6" w:space="0" w:color="FF6600"/>
            </w:tcBorders>
          </w:tcPr>
          <w:p w:rsidR="00CD1FCC" w:rsidRPr="00E81144" w:rsidRDefault="00CD1FCC" w:rsidP="00E81144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453191">
              <w:rPr>
                <w:rFonts w:ascii="楷体" w:eastAsia="楷体" w:hAnsi="楷体"/>
                <w:color w:val="000000"/>
                <w:sz w:val="18"/>
                <w:szCs w:val="18"/>
              </w:rPr>
              <w:t>040022</w:t>
            </w:r>
          </w:p>
        </w:tc>
        <w:tc>
          <w:tcPr>
            <w:tcW w:w="1985" w:type="dxa"/>
            <w:tcBorders>
              <w:left w:val="single" w:sz="6" w:space="0" w:color="FF6600"/>
              <w:right w:val="single" w:sz="6" w:space="0" w:color="FF6600"/>
            </w:tcBorders>
          </w:tcPr>
          <w:p w:rsidR="00CD1FCC" w:rsidRPr="00E81144" w:rsidRDefault="00CD1FCC" w:rsidP="00E81144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453191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华安可转债</w:t>
            </w:r>
            <w:r w:rsidRPr="00453191">
              <w:rPr>
                <w:rFonts w:ascii="楷体" w:eastAsia="楷体" w:hAnsi="楷体"/>
                <w:color w:val="000000"/>
                <w:sz w:val="18"/>
                <w:szCs w:val="18"/>
              </w:rPr>
              <w:t>A</w:t>
            </w:r>
          </w:p>
        </w:tc>
        <w:tc>
          <w:tcPr>
            <w:tcW w:w="709" w:type="dxa"/>
            <w:tcBorders>
              <w:left w:val="single" w:sz="6" w:space="0" w:color="FF6600"/>
              <w:right w:val="single" w:sz="6" w:space="0" w:color="FF6600"/>
            </w:tcBorders>
            <w:vAlign w:val="center"/>
          </w:tcPr>
          <w:p w:rsidR="00CD1FCC" w:rsidRPr="00E81144" w:rsidRDefault="00CD1FCC" w:rsidP="00E81144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453191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开放式</w:t>
            </w:r>
          </w:p>
        </w:tc>
        <w:tc>
          <w:tcPr>
            <w:tcW w:w="850" w:type="dxa"/>
            <w:tcBorders>
              <w:left w:val="single" w:sz="6" w:space="0" w:color="FF6600"/>
            </w:tcBorders>
          </w:tcPr>
          <w:p w:rsidR="00CD1FCC" w:rsidRPr="00E81144" w:rsidRDefault="00CD1FCC" w:rsidP="00E81144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453191">
              <w:rPr>
                <w:rFonts w:ascii="楷体" w:eastAsia="楷体" w:hAnsi="楷体"/>
                <w:color w:val="000000"/>
                <w:sz w:val="18"/>
                <w:szCs w:val="18"/>
              </w:rPr>
              <w:t>15.25</w:t>
            </w:r>
          </w:p>
        </w:tc>
      </w:tr>
      <w:tr w:rsidR="00CD1FCC" w:rsidRPr="00453191" w:rsidTr="007056F8">
        <w:trPr>
          <w:cantSplit/>
          <w:trHeight w:val="227"/>
        </w:trPr>
        <w:tc>
          <w:tcPr>
            <w:tcW w:w="851" w:type="dxa"/>
            <w:vMerge w:val="restart"/>
            <w:tcBorders>
              <w:right w:val="single" w:sz="6" w:space="0" w:color="FF6600"/>
            </w:tcBorders>
            <w:shd w:val="clear" w:color="auto" w:fill="FDE9D9"/>
            <w:vAlign w:val="center"/>
          </w:tcPr>
          <w:p w:rsidR="00CD1FCC" w:rsidRPr="00453191" w:rsidRDefault="00CD1FCC" w:rsidP="006E677E">
            <w:pPr>
              <w:snapToGrid w:val="0"/>
              <w:jc w:val="center"/>
              <w:rPr>
                <w:rFonts w:ascii="楷体" w:eastAsia="楷体" w:hAnsi="楷体"/>
                <w:b/>
                <w:sz w:val="18"/>
                <w:szCs w:val="18"/>
              </w:rPr>
            </w:pPr>
            <w:r w:rsidRPr="00453191">
              <w:rPr>
                <w:rFonts w:ascii="楷体" w:eastAsia="楷体" w:hAnsi="楷体" w:hint="eastAsia"/>
                <w:b/>
                <w:sz w:val="18"/>
                <w:szCs w:val="18"/>
              </w:rPr>
              <w:t>分级基金子份额</w:t>
            </w:r>
            <w:r w:rsidRPr="00453191">
              <w:rPr>
                <w:rFonts w:ascii="楷体" w:eastAsia="楷体" w:hAnsi="楷体"/>
                <w:b/>
                <w:sz w:val="18"/>
                <w:szCs w:val="18"/>
              </w:rPr>
              <w:t>-</w:t>
            </w:r>
          </w:p>
          <w:p w:rsidR="00CD1FCC" w:rsidRPr="00453191" w:rsidRDefault="00CD1FCC" w:rsidP="006E677E">
            <w:pPr>
              <w:snapToGrid w:val="0"/>
              <w:jc w:val="center"/>
              <w:rPr>
                <w:rFonts w:ascii="楷体" w:eastAsia="楷体" w:hAnsi="楷体"/>
                <w:b/>
                <w:sz w:val="18"/>
                <w:szCs w:val="18"/>
              </w:rPr>
            </w:pPr>
            <w:r w:rsidRPr="00453191">
              <w:rPr>
                <w:rFonts w:ascii="楷体" w:eastAsia="楷体" w:hAnsi="楷体" w:hint="eastAsia"/>
                <w:b/>
                <w:sz w:val="18"/>
                <w:szCs w:val="18"/>
              </w:rPr>
              <w:t>股票稳健</w:t>
            </w:r>
          </w:p>
        </w:tc>
        <w:tc>
          <w:tcPr>
            <w:tcW w:w="851" w:type="dxa"/>
            <w:tcBorders>
              <w:left w:val="single" w:sz="6" w:space="0" w:color="FF6600"/>
              <w:right w:val="single" w:sz="6" w:space="0" w:color="FF6600"/>
            </w:tcBorders>
          </w:tcPr>
          <w:p w:rsidR="00CD1FCC" w:rsidRPr="00E81144" w:rsidRDefault="00CD1FCC" w:rsidP="00E81144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453191">
              <w:rPr>
                <w:rFonts w:ascii="楷体" w:eastAsia="楷体" w:hAnsi="楷体"/>
                <w:color w:val="000000"/>
                <w:sz w:val="18"/>
                <w:szCs w:val="18"/>
              </w:rPr>
              <w:t>150016</w:t>
            </w:r>
          </w:p>
        </w:tc>
        <w:tc>
          <w:tcPr>
            <w:tcW w:w="2551" w:type="dxa"/>
            <w:tcBorders>
              <w:left w:val="single" w:sz="6" w:space="0" w:color="FF6600"/>
              <w:right w:val="single" w:sz="6" w:space="0" w:color="FF6600"/>
            </w:tcBorders>
          </w:tcPr>
          <w:p w:rsidR="00CD1FCC" w:rsidRPr="00E81144" w:rsidRDefault="00CD1FCC" w:rsidP="00E81144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453191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兴全合润分级</w:t>
            </w:r>
            <w:r w:rsidRPr="00453191">
              <w:rPr>
                <w:rFonts w:ascii="楷体" w:eastAsia="楷体" w:hAnsi="楷体"/>
                <w:color w:val="000000"/>
                <w:sz w:val="18"/>
                <w:szCs w:val="18"/>
              </w:rPr>
              <w:t>A</w:t>
            </w:r>
          </w:p>
        </w:tc>
        <w:tc>
          <w:tcPr>
            <w:tcW w:w="567" w:type="dxa"/>
            <w:tcBorders>
              <w:left w:val="single" w:sz="6" w:space="0" w:color="FF6600"/>
              <w:right w:val="single" w:sz="6" w:space="0" w:color="FF6600"/>
            </w:tcBorders>
            <w:vAlign w:val="center"/>
          </w:tcPr>
          <w:p w:rsidR="00CD1FCC" w:rsidRPr="00E81144" w:rsidRDefault="00CD1FCC" w:rsidP="00E81144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453191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开放式</w:t>
            </w:r>
          </w:p>
        </w:tc>
        <w:tc>
          <w:tcPr>
            <w:tcW w:w="851" w:type="dxa"/>
            <w:tcBorders>
              <w:left w:val="single" w:sz="6" w:space="0" w:color="FF6600"/>
              <w:right w:val="single" w:sz="6" w:space="0" w:color="FF6600"/>
            </w:tcBorders>
          </w:tcPr>
          <w:p w:rsidR="00CD1FCC" w:rsidRPr="00E81144" w:rsidRDefault="00CD1FCC" w:rsidP="00E81144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453191">
              <w:rPr>
                <w:rFonts w:ascii="楷体" w:eastAsia="楷体" w:hAnsi="楷体"/>
                <w:color w:val="000000"/>
                <w:sz w:val="18"/>
                <w:szCs w:val="18"/>
              </w:rPr>
              <w:t>6.48</w:t>
            </w:r>
          </w:p>
        </w:tc>
        <w:tc>
          <w:tcPr>
            <w:tcW w:w="992" w:type="dxa"/>
            <w:vMerge w:val="restart"/>
            <w:tcBorders>
              <w:left w:val="single" w:sz="6" w:space="0" w:color="FF6600"/>
              <w:right w:val="single" w:sz="6" w:space="0" w:color="FF6600"/>
            </w:tcBorders>
            <w:shd w:val="clear" w:color="auto" w:fill="FDE9D9"/>
            <w:vAlign w:val="center"/>
          </w:tcPr>
          <w:p w:rsidR="00CD1FCC" w:rsidRPr="00453191" w:rsidRDefault="00CD1FCC" w:rsidP="006E677E">
            <w:pPr>
              <w:snapToGrid w:val="0"/>
              <w:jc w:val="center"/>
              <w:rPr>
                <w:rFonts w:ascii="楷体" w:eastAsia="楷体" w:hAnsi="楷体"/>
                <w:b/>
                <w:color w:val="000000"/>
                <w:sz w:val="18"/>
                <w:szCs w:val="18"/>
              </w:rPr>
            </w:pPr>
            <w:r w:rsidRPr="00453191">
              <w:rPr>
                <w:rFonts w:ascii="楷体" w:eastAsia="楷体" w:hAnsi="楷体" w:hint="eastAsia"/>
                <w:b/>
                <w:color w:val="000000"/>
                <w:sz w:val="18"/>
                <w:szCs w:val="18"/>
              </w:rPr>
              <w:t>分级基金子份额</w:t>
            </w:r>
            <w:r w:rsidRPr="00453191">
              <w:rPr>
                <w:rFonts w:ascii="楷体" w:eastAsia="楷体" w:hAnsi="楷体"/>
                <w:b/>
                <w:color w:val="000000"/>
                <w:sz w:val="18"/>
                <w:szCs w:val="18"/>
              </w:rPr>
              <w:t>-</w:t>
            </w:r>
          </w:p>
          <w:p w:rsidR="00CD1FCC" w:rsidRPr="00453191" w:rsidRDefault="00CD1FCC" w:rsidP="006E677E">
            <w:pPr>
              <w:snapToGrid w:val="0"/>
              <w:jc w:val="center"/>
              <w:rPr>
                <w:rFonts w:ascii="楷体" w:eastAsia="楷体" w:hAnsi="楷体"/>
                <w:b/>
                <w:color w:val="000000"/>
                <w:sz w:val="18"/>
                <w:szCs w:val="18"/>
              </w:rPr>
            </w:pPr>
            <w:r w:rsidRPr="00453191">
              <w:rPr>
                <w:rFonts w:ascii="楷体" w:eastAsia="楷体" w:hAnsi="楷体" w:hint="eastAsia"/>
                <w:b/>
                <w:color w:val="000000"/>
                <w:sz w:val="18"/>
                <w:szCs w:val="18"/>
              </w:rPr>
              <w:t>股票积极</w:t>
            </w:r>
          </w:p>
        </w:tc>
        <w:tc>
          <w:tcPr>
            <w:tcW w:w="850" w:type="dxa"/>
            <w:tcBorders>
              <w:left w:val="single" w:sz="6" w:space="0" w:color="FF6600"/>
              <w:right w:val="single" w:sz="6" w:space="0" w:color="FF6600"/>
            </w:tcBorders>
          </w:tcPr>
          <w:p w:rsidR="00CD1FCC" w:rsidRPr="00E81144" w:rsidRDefault="00CD1FCC" w:rsidP="00E81144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453191">
              <w:rPr>
                <w:rFonts w:ascii="楷体" w:eastAsia="楷体" w:hAnsi="楷体"/>
                <w:color w:val="000000"/>
                <w:sz w:val="18"/>
                <w:szCs w:val="18"/>
              </w:rPr>
              <w:t>150023</w:t>
            </w:r>
          </w:p>
        </w:tc>
        <w:tc>
          <w:tcPr>
            <w:tcW w:w="1985" w:type="dxa"/>
            <w:tcBorders>
              <w:left w:val="single" w:sz="6" w:space="0" w:color="FF6600"/>
              <w:right w:val="single" w:sz="6" w:space="0" w:color="FF6600"/>
            </w:tcBorders>
          </w:tcPr>
          <w:p w:rsidR="00CD1FCC" w:rsidRPr="00E81144" w:rsidRDefault="00CD1FCC" w:rsidP="00E81144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453191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申万菱信深成进取</w:t>
            </w:r>
          </w:p>
        </w:tc>
        <w:tc>
          <w:tcPr>
            <w:tcW w:w="709" w:type="dxa"/>
            <w:tcBorders>
              <w:left w:val="single" w:sz="6" w:space="0" w:color="FF6600"/>
              <w:right w:val="single" w:sz="6" w:space="0" w:color="FF6600"/>
            </w:tcBorders>
            <w:vAlign w:val="center"/>
          </w:tcPr>
          <w:p w:rsidR="00CD1FCC" w:rsidRPr="00E81144" w:rsidRDefault="00CD1FCC" w:rsidP="00E81144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453191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开放式</w:t>
            </w:r>
          </w:p>
        </w:tc>
        <w:tc>
          <w:tcPr>
            <w:tcW w:w="850" w:type="dxa"/>
            <w:tcBorders>
              <w:left w:val="single" w:sz="6" w:space="0" w:color="FF6600"/>
            </w:tcBorders>
          </w:tcPr>
          <w:p w:rsidR="00CD1FCC" w:rsidRPr="00E81144" w:rsidRDefault="00CD1FCC" w:rsidP="00E81144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453191">
              <w:rPr>
                <w:rFonts w:ascii="楷体" w:eastAsia="楷体" w:hAnsi="楷体"/>
                <w:color w:val="000000"/>
                <w:sz w:val="18"/>
                <w:szCs w:val="18"/>
              </w:rPr>
              <w:t>122.98</w:t>
            </w:r>
          </w:p>
        </w:tc>
      </w:tr>
      <w:tr w:rsidR="00CD1FCC" w:rsidRPr="00453191" w:rsidTr="007056F8">
        <w:trPr>
          <w:cantSplit/>
          <w:trHeight w:val="227"/>
        </w:trPr>
        <w:tc>
          <w:tcPr>
            <w:tcW w:w="851" w:type="dxa"/>
            <w:vMerge/>
            <w:tcBorders>
              <w:right w:val="single" w:sz="6" w:space="0" w:color="FF6600"/>
            </w:tcBorders>
            <w:shd w:val="clear" w:color="auto" w:fill="FDE9D9"/>
            <w:vAlign w:val="center"/>
          </w:tcPr>
          <w:p w:rsidR="00CD1FCC" w:rsidRPr="00453191" w:rsidRDefault="00CD1FCC" w:rsidP="006E677E">
            <w:pPr>
              <w:snapToGrid w:val="0"/>
              <w:jc w:val="center"/>
              <w:rPr>
                <w:rFonts w:ascii="楷体" w:eastAsia="楷体" w:hAnsi="楷体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6" w:space="0" w:color="FF6600"/>
              <w:right w:val="single" w:sz="6" w:space="0" w:color="FF6600"/>
            </w:tcBorders>
          </w:tcPr>
          <w:p w:rsidR="00CD1FCC" w:rsidRPr="00E81144" w:rsidRDefault="00CD1FCC" w:rsidP="00E81144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453191">
              <w:rPr>
                <w:rFonts w:ascii="楷体" w:eastAsia="楷体" w:hAnsi="楷体"/>
                <w:color w:val="000000"/>
                <w:sz w:val="18"/>
                <w:szCs w:val="18"/>
              </w:rPr>
              <w:t>150008</w:t>
            </w:r>
          </w:p>
        </w:tc>
        <w:tc>
          <w:tcPr>
            <w:tcW w:w="2551" w:type="dxa"/>
            <w:tcBorders>
              <w:left w:val="single" w:sz="6" w:space="0" w:color="FF6600"/>
              <w:right w:val="single" w:sz="6" w:space="0" w:color="FF6600"/>
            </w:tcBorders>
          </w:tcPr>
          <w:p w:rsidR="00CD1FCC" w:rsidRPr="00E81144" w:rsidRDefault="00CD1FCC" w:rsidP="00E81144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453191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国投瑞银瑞和小康</w:t>
            </w:r>
          </w:p>
        </w:tc>
        <w:tc>
          <w:tcPr>
            <w:tcW w:w="567" w:type="dxa"/>
            <w:tcBorders>
              <w:left w:val="single" w:sz="6" w:space="0" w:color="FF6600"/>
              <w:right w:val="single" w:sz="6" w:space="0" w:color="FF6600"/>
            </w:tcBorders>
            <w:vAlign w:val="center"/>
          </w:tcPr>
          <w:p w:rsidR="00CD1FCC" w:rsidRPr="00E81144" w:rsidRDefault="00CD1FCC" w:rsidP="00E81144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453191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开放式</w:t>
            </w:r>
          </w:p>
        </w:tc>
        <w:tc>
          <w:tcPr>
            <w:tcW w:w="851" w:type="dxa"/>
            <w:tcBorders>
              <w:left w:val="single" w:sz="6" w:space="0" w:color="FF6600"/>
              <w:right w:val="single" w:sz="6" w:space="0" w:color="FF6600"/>
            </w:tcBorders>
          </w:tcPr>
          <w:p w:rsidR="00CD1FCC" w:rsidRPr="00E81144" w:rsidRDefault="00CD1FCC" w:rsidP="00E81144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453191">
              <w:rPr>
                <w:rFonts w:ascii="楷体" w:eastAsia="楷体" w:hAnsi="楷体"/>
                <w:color w:val="000000"/>
                <w:sz w:val="18"/>
                <w:szCs w:val="18"/>
              </w:rPr>
              <w:t>4.09</w:t>
            </w:r>
          </w:p>
        </w:tc>
        <w:tc>
          <w:tcPr>
            <w:tcW w:w="992" w:type="dxa"/>
            <w:vMerge/>
            <w:tcBorders>
              <w:left w:val="single" w:sz="6" w:space="0" w:color="FF6600"/>
              <w:right w:val="single" w:sz="6" w:space="0" w:color="FF6600"/>
            </w:tcBorders>
            <w:shd w:val="clear" w:color="auto" w:fill="FDE9D9"/>
            <w:vAlign w:val="center"/>
          </w:tcPr>
          <w:p w:rsidR="00CD1FCC" w:rsidRPr="00453191" w:rsidRDefault="00CD1FCC" w:rsidP="006E677E">
            <w:pPr>
              <w:snapToGrid w:val="0"/>
              <w:jc w:val="center"/>
              <w:rPr>
                <w:rFonts w:ascii="楷体" w:eastAsia="楷体" w:hAnsi="楷体"/>
                <w:b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6" w:space="0" w:color="FF6600"/>
              <w:right w:val="single" w:sz="6" w:space="0" w:color="FF6600"/>
            </w:tcBorders>
          </w:tcPr>
          <w:p w:rsidR="00CD1FCC" w:rsidRPr="00E81144" w:rsidRDefault="00CD1FCC" w:rsidP="00E81144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453191">
              <w:rPr>
                <w:rFonts w:ascii="楷体" w:eastAsia="楷体" w:hAnsi="楷体"/>
                <w:color w:val="000000"/>
                <w:sz w:val="18"/>
                <w:szCs w:val="18"/>
              </w:rPr>
              <w:t>150172</w:t>
            </w:r>
          </w:p>
        </w:tc>
        <w:tc>
          <w:tcPr>
            <w:tcW w:w="1985" w:type="dxa"/>
            <w:tcBorders>
              <w:left w:val="single" w:sz="6" w:space="0" w:color="FF6600"/>
              <w:right w:val="single" w:sz="6" w:space="0" w:color="FF6600"/>
            </w:tcBorders>
          </w:tcPr>
          <w:p w:rsidR="00CD1FCC" w:rsidRPr="00E81144" w:rsidRDefault="00CD1FCC" w:rsidP="00E81144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453191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申万菱信申万证券行业</w:t>
            </w:r>
            <w:r w:rsidRPr="00453191">
              <w:rPr>
                <w:rFonts w:ascii="楷体" w:eastAsia="楷体" w:hAnsi="楷体"/>
                <w:color w:val="000000"/>
                <w:sz w:val="18"/>
                <w:szCs w:val="18"/>
              </w:rPr>
              <w:t>B</w:t>
            </w:r>
          </w:p>
        </w:tc>
        <w:tc>
          <w:tcPr>
            <w:tcW w:w="709" w:type="dxa"/>
            <w:tcBorders>
              <w:left w:val="single" w:sz="6" w:space="0" w:color="FF6600"/>
              <w:right w:val="single" w:sz="6" w:space="0" w:color="FF6600"/>
            </w:tcBorders>
            <w:vAlign w:val="center"/>
          </w:tcPr>
          <w:p w:rsidR="00CD1FCC" w:rsidRPr="00E81144" w:rsidRDefault="00CD1FCC" w:rsidP="00E81144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453191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开放式</w:t>
            </w:r>
          </w:p>
        </w:tc>
        <w:tc>
          <w:tcPr>
            <w:tcW w:w="850" w:type="dxa"/>
            <w:tcBorders>
              <w:left w:val="single" w:sz="6" w:space="0" w:color="FF6600"/>
            </w:tcBorders>
          </w:tcPr>
          <w:p w:rsidR="00CD1FCC" w:rsidRPr="00E81144" w:rsidRDefault="00CD1FCC" w:rsidP="00E81144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453191">
              <w:rPr>
                <w:rFonts w:ascii="楷体" w:eastAsia="楷体" w:hAnsi="楷体"/>
                <w:color w:val="000000"/>
                <w:sz w:val="18"/>
                <w:szCs w:val="18"/>
              </w:rPr>
              <w:t>57.14</w:t>
            </w:r>
          </w:p>
        </w:tc>
      </w:tr>
      <w:tr w:rsidR="00CD1FCC" w:rsidRPr="00453191" w:rsidTr="007056F8">
        <w:trPr>
          <w:cantSplit/>
          <w:trHeight w:val="227"/>
        </w:trPr>
        <w:tc>
          <w:tcPr>
            <w:tcW w:w="851" w:type="dxa"/>
            <w:vMerge/>
            <w:tcBorders>
              <w:right w:val="single" w:sz="6" w:space="0" w:color="FF6600"/>
            </w:tcBorders>
            <w:shd w:val="clear" w:color="auto" w:fill="FDE9D9"/>
            <w:vAlign w:val="center"/>
          </w:tcPr>
          <w:p w:rsidR="00CD1FCC" w:rsidRPr="00453191" w:rsidRDefault="00CD1FCC" w:rsidP="006E677E">
            <w:pPr>
              <w:snapToGrid w:val="0"/>
              <w:jc w:val="center"/>
              <w:rPr>
                <w:rFonts w:ascii="楷体" w:eastAsia="楷体" w:hAnsi="楷体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6" w:space="0" w:color="FF6600"/>
              <w:right w:val="single" w:sz="6" w:space="0" w:color="FF6600"/>
            </w:tcBorders>
          </w:tcPr>
          <w:p w:rsidR="00CD1FCC" w:rsidRPr="00E81144" w:rsidRDefault="00CD1FCC" w:rsidP="00E81144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453191">
              <w:rPr>
                <w:rFonts w:ascii="楷体" w:eastAsia="楷体" w:hAnsi="楷体"/>
                <w:color w:val="000000"/>
                <w:sz w:val="18"/>
                <w:szCs w:val="18"/>
              </w:rPr>
              <w:t>150049</w:t>
            </w:r>
          </w:p>
        </w:tc>
        <w:tc>
          <w:tcPr>
            <w:tcW w:w="2551" w:type="dxa"/>
            <w:tcBorders>
              <w:left w:val="single" w:sz="6" w:space="0" w:color="FF6600"/>
              <w:right w:val="single" w:sz="6" w:space="0" w:color="FF6600"/>
            </w:tcBorders>
          </w:tcPr>
          <w:p w:rsidR="00CD1FCC" w:rsidRPr="00E81144" w:rsidRDefault="00CD1FCC" w:rsidP="00E81144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453191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南方新兴消费收益</w:t>
            </w:r>
          </w:p>
        </w:tc>
        <w:tc>
          <w:tcPr>
            <w:tcW w:w="567" w:type="dxa"/>
            <w:tcBorders>
              <w:left w:val="single" w:sz="6" w:space="0" w:color="FF6600"/>
              <w:right w:val="single" w:sz="6" w:space="0" w:color="FF6600"/>
            </w:tcBorders>
            <w:vAlign w:val="center"/>
          </w:tcPr>
          <w:p w:rsidR="00CD1FCC" w:rsidRPr="00E81144" w:rsidRDefault="00CD1FCC" w:rsidP="00E81144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453191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开放式</w:t>
            </w:r>
          </w:p>
        </w:tc>
        <w:tc>
          <w:tcPr>
            <w:tcW w:w="851" w:type="dxa"/>
            <w:tcBorders>
              <w:left w:val="single" w:sz="6" w:space="0" w:color="FF6600"/>
              <w:right w:val="single" w:sz="6" w:space="0" w:color="FF6600"/>
            </w:tcBorders>
          </w:tcPr>
          <w:p w:rsidR="00CD1FCC" w:rsidRPr="00E81144" w:rsidRDefault="00CD1FCC" w:rsidP="00E81144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453191">
              <w:rPr>
                <w:rFonts w:ascii="楷体" w:eastAsia="楷体" w:hAnsi="楷体"/>
                <w:color w:val="000000"/>
                <w:sz w:val="18"/>
                <w:szCs w:val="18"/>
              </w:rPr>
              <w:t>0.19</w:t>
            </w:r>
          </w:p>
        </w:tc>
        <w:tc>
          <w:tcPr>
            <w:tcW w:w="992" w:type="dxa"/>
            <w:vMerge/>
            <w:tcBorders>
              <w:left w:val="single" w:sz="6" w:space="0" w:color="FF6600"/>
              <w:right w:val="single" w:sz="6" w:space="0" w:color="FF6600"/>
            </w:tcBorders>
            <w:shd w:val="clear" w:color="auto" w:fill="FDE9D9"/>
            <w:vAlign w:val="center"/>
          </w:tcPr>
          <w:p w:rsidR="00CD1FCC" w:rsidRPr="00453191" w:rsidRDefault="00CD1FCC" w:rsidP="006E677E">
            <w:pPr>
              <w:snapToGrid w:val="0"/>
              <w:jc w:val="center"/>
              <w:rPr>
                <w:rFonts w:ascii="楷体" w:eastAsia="楷体" w:hAnsi="楷体"/>
                <w:b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6" w:space="0" w:color="FF6600"/>
              <w:right w:val="single" w:sz="6" w:space="0" w:color="FF6600"/>
            </w:tcBorders>
          </w:tcPr>
          <w:p w:rsidR="00CD1FCC" w:rsidRPr="00E81144" w:rsidRDefault="00CD1FCC" w:rsidP="00E81144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453191">
              <w:rPr>
                <w:rFonts w:ascii="楷体" w:eastAsia="楷体" w:hAnsi="楷体"/>
                <w:color w:val="000000"/>
                <w:sz w:val="18"/>
                <w:szCs w:val="18"/>
              </w:rPr>
              <w:t>150178</w:t>
            </w:r>
          </w:p>
        </w:tc>
        <w:tc>
          <w:tcPr>
            <w:tcW w:w="1985" w:type="dxa"/>
            <w:tcBorders>
              <w:left w:val="single" w:sz="6" w:space="0" w:color="FF6600"/>
              <w:right w:val="single" w:sz="6" w:space="0" w:color="FF6600"/>
            </w:tcBorders>
          </w:tcPr>
          <w:p w:rsidR="00CD1FCC" w:rsidRPr="00E81144" w:rsidRDefault="00CD1FCC" w:rsidP="00E81144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453191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鹏华非银行</w:t>
            </w:r>
            <w:r w:rsidRPr="00453191">
              <w:rPr>
                <w:rFonts w:ascii="楷体" w:eastAsia="楷体" w:hAnsi="楷体"/>
                <w:color w:val="000000"/>
                <w:sz w:val="18"/>
                <w:szCs w:val="18"/>
              </w:rPr>
              <w:t>B</w:t>
            </w:r>
          </w:p>
        </w:tc>
        <w:tc>
          <w:tcPr>
            <w:tcW w:w="709" w:type="dxa"/>
            <w:tcBorders>
              <w:left w:val="single" w:sz="6" w:space="0" w:color="FF6600"/>
              <w:right w:val="single" w:sz="6" w:space="0" w:color="FF6600"/>
            </w:tcBorders>
            <w:vAlign w:val="center"/>
          </w:tcPr>
          <w:p w:rsidR="00CD1FCC" w:rsidRPr="00E81144" w:rsidRDefault="00CD1FCC" w:rsidP="00E81144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453191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开放式</w:t>
            </w:r>
          </w:p>
        </w:tc>
        <w:tc>
          <w:tcPr>
            <w:tcW w:w="850" w:type="dxa"/>
            <w:tcBorders>
              <w:left w:val="single" w:sz="6" w:space="0" w:color="FF6600"/>
            </w:tcBorders>
          </w:tcPr>
          <w:p w:rsidR="00CD1FCC" w:rsidRPr="00E81144" w:rsidRDefault="00CD1FCC" w:rsidP="00E81144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453191">
              <w:rPr>
                <w:rFonts w:ascii="楷体" w:eastAsia="楷体" w:hAnsi="楷体"/>
                <w:color w:val="000000"/>
                <w:sz w:val="18"/>
                <w:szCs w:val="18"/>
              </w:rPr>
              <w:t>49.59</w:t>
            </w:r>
          </w:p>
        </w:tc>
      </w:tr>
      <w:tr w:rsidR="00CD1FCC" w:rsidRPr="00453191" w:rsidTr="007056F8">
        <w:trPr>
          <w:cantSplit/>
          <w:trHeight w:val="227"/>
        </w:trPr>
        <w:tc>
          <w:tcPr>
            <w:tcW w:w="851" w:type="dxa"/>
            <w:vMerge w:val="restart"/>
            <w:tcBorders>
              <w:right w:val="single" w:sz="6" w:space="0" w:color="FF6600"/>
            </w:tcBorders>
            <w:shd w:val="clear" w:color="auto" w:fill="FDE9D9"/>
            <w:vAlign w:val="center"/>
          </w:tcPr>
          <w:p w:rsidR="00CD1FCC" w:rsidRPr="00453191" w:rsidRDefault="00CD1FCC" w:rsidP="006E677E">
            <w:pPr>
              <w:snapToGrid w:val="0"/>
              <w:jc w:val="center"/>
              <w:rPr>
                <w:rFonts w:ascii="楷体" w:eastAsia="楷体" w:hAnsi="楷体"/>
                <w:b/>
                <w:sz w:val="18"/>
                <w:szCs w:val="18"/>
              </w:rPr>
            </w:pPr>
            <w:r w:rsidRPr="00453191">
              <w:rPr>
                <w:rFonts w:ascii="楷体" w:eastAsia="楷体" w:hAnsi="楷体" w:hint="eastAsia"/>
                <w:b/>
                <w:sz w:val="18"/>
                <w:szCs w:val="18"/>
              </w:rPr>
              <w:t>分级基金子份额</w:t>
            </w:r>
            <w:r w:rsidRPr="00453191">
              <w:rPr>
                <w:rFonts w:ascii="楷体" w:eastAsia="楷体" w:hAnsi="楷体"/>
                <w:b/>
                <w:sz w:val="18"/>
                <w:szCs w:val="18"/>
              </w:rPr>
              <w:t>-</w:t>
            </w:r>
          </w:p>
          <w:p w:rsidR="00CD1FCC" w:rsidRPr="00453191" w:rsidRDefault="00CD1FCC" w:rsidP="006E677E">
            <w:pPr>
              <w:snapToGrid w:val="0"/>
              <w:jc w:val="center"/>
              <w:rPr>
                <w:rFonts w:ascii="楷体" w:eastAsia="楷体" w:hAnsi="楷体"/>
                <w:b/>
                <w:sz w:val="18"/>
                <w:szCs w:val="18"/>
              </w:rPr>
            </w:pPr>
            <w:r w:rsidRPr="00453191">
              <w:rPr>
                <w:rFonts w:ascii="楷体" w:eastAsia="楷体" w:hAnsi="楷体" w:hint="eastAsia"/>
                <w:b/>
                <w:sz w:val="18"/>
                <w:szCs w:val="18"/>
              </w:rPr>
              <w:t>债券稳健</w:t>
            </w:r>
          </w:p>
        </w:tc>
        <w:tc>
          <w:tcPr>
            <w:tcW w:w="851" w:type="dxa"/>
            <w:tcBorders>
              <w:left w:val="single" w:sz="6" w:space="0" w:color="FF6600"/>
              <w:right w:val="single" w:sz="6" w:space="0" w:color="FF6600"/>
            </w:tcBorders>
          </w:tcPr>
          <w:p w:rsidR="00CD1FCC" w:rsidRPr="00E81144" w:rsidRDefault="00CD1FCC" w:rsidP="00E81144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453191">
              <w:rPr>
                <w:rFonts w:ascii="楷体" w:eastAsia="楷体" w:hAnsi="楷体"/>
                <w:color w:val="000000"/>
                <w:sz w:val="18"/>
                <w:szCs w:val="18"/>
              </w:rPr>
              <w:t>000383</w:t>
            </w:r>
          </w:p>
        </w:tc>
        <w:tc>
          <w:tcPr>
            <w:tcW w:w="2551" w:type="dxa"/>
            <w:tcBorders>
              <w:left w:val="single" w:sz="6" w:space="0" w:color="FF6600"/>
              <w:right w:val="single" w:sz="6" w:space="0" w:color="FF6600"/>
            </w:tcBorders>
          </w:tcPr>
          <w:p w:rsidR="00CD1FCC" w:rsidRPr="00E81144" w:rsidRDefault="00CD1FCC" w:rsidP="00E81144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453191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富国恒利分级</w:t>
            </w:r>
            <w:r w:rsidRPr="00453191">
              <w:rPr>
                <w:rFonts w:ascii="楷体" w:eastAsia="楷体" w:hAnsi="楷体"/>
                <w:color w:val="000000"/>
                <w:sz w:val="18"/>
                <w:szCs w:val="18"/>
              </w:rPr>
              <w:t>A</w:t>
            </w:r>
          </w:p>
        </w:tc>
        <w:tc>
          <w:tcPr>
            <w:tcW w:w="567" w:type="dxa"/>
            <w:tcBorders>
              <w:left w:val="single" w:sz="6" w:space="0" w:color="FF6600"/>
              <w:right w:val="single" w:sz="6" w:space="0" w:color="FF6600"/>
            </w:tcBorders>
            <w:vAlign w:val="center"/>
          </w:tcPr>
          <w:p w:rsidR="00CD1FCC" w:rsidRPr="00E81144" w:rsidRDefault="00CD1FCC" w:rsidP="00E81144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453191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开放式</w:t>
            </w:r>
          </w:p>
        </w:tc>
        <w:tc>
          <w:tcPr>
            <w:tcW w:w="851" w:type="dxa"/>
            <w:tcBorders>
              <w:left w:val="single" w:sz="6" w:space="0" w:color="FF6600"/>
              <w:right w:val="single" w:sz="6" w:space="0" w:color="FF6600"/>
            </w:tcBorders>
          </w:tcPr>
          <w:p w:rsidR="00CD1FCC" w:rsidRPr="00E81144" w:rsidRDefault="00CD1FCC" w:rsidP="00E81144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453191">
              <w:rPr>
                <w:rFonts w:ascii="楷体" w:eastAsia="楷体" w:hAnsi="楷体"/>
                <w:color w:val="000000"/>
                <w:sz w:val="18"/>
                <w:szCs w:val="18"/>
              </w:rPr>
              <w:t>1.30</w:t>
            </w:r>
          </w:p>
        </w:tc>
        <w:tc>
          <w:tcPr>
            <w:tcW w:w="992" w:type="dxa"/>
            <w:vMerge w:val="restart"/>
            <w:tcBorders>
              <w:left w:val="single" w:sz="6" w:space="0" w:color="FF6600"/>
              <w:right w:val="single" w:sz="6" w:space="0" w:color="FF6600"/>
            </w:tcBorders>
            <w:shd w:val="clear" w:color="auto" w:fill="FDE9D9"/>
            <w:vAlign w:val="center"/>
          </w:tcPr>
          <w:p w:rsidR="00CD1FCC" w:rsidRPr="00453191" w:rsidRDefault="00CD1FCC" w:rsidP="006E677E">
            <w:pPr>
              <w:snapToGrid w:val="0"/>
              <w:jc w:val="center"/>
              <w:rPr>
                <w:rFonts w:ascii="楷体" w:eastAsia="楷体" w:hAnsi="楷体"/>
                <w:b/>
                <w:color w:val="000000"/>
                <w:sz w:val="18"/>
                <w:szCs w:val="18"/>
              </w:rPr>
            </w:pPr>
            <w:r w:rsidRPr="00453191">
              <w:rPr>
                <w:rFonts w:ascii="楷体" w:eastAsia="楷体" w:hAnsi="楷体" w:hint="eastAsia"/>
                <w:b/>
                <w:color w:val="000000"/>
                <w:sz w:val="18"/>
                <w:szCs w:val="18"/>
              </w:rPr>
              <w:t>分级基金子份额</w:t>
            </w:r>
            <w:r w:rsidRPr="00453191">
              <w:rPr>
                <w:rFonts w:ascii="楷体" w:eastAsia="楷体" w:hAnsi="楷体"/>
                <w:b/>
                <w:color w:val="000000"/>
                <w:sz w:val="18"/>
                <w:szCs w:val="18"/>
              </w:rPr>
              <w:t>-</w:t>
            </w:r>
          </w:p>
          <w:p w:rsidR="00CD1FCC" w:rsidRPr="00453191" w:rsidRDefault="00CD1FCC" w:rsidP="006E677E">
            <w:pPr>
              <w:snapToGrid w:val="0"/>
              <w:jc w:val="center"/>
              <w:rPr>
                <w:rFonts w:ascii="楷体" w:eastAsia="楷体" w:hAnsi="楷体"/>
                <w:b/>
                <w:color w:val="000000"/>
                <w:sz w:val="18"/>
                <w:szCs w:val="18"/>
              </w:rPr>
            </w:pPr>
            <w:r w:rsidRPr="00453191">
              <w:rPr>
                <w:rFonts w:ascii="楷体" w:eastAsia="楷体" w:hAnsi="楷体" w:hint="eastAsia"/>
                <w:b/>
                <w:color w:val="000000"/>
                <w:sz w:val="18"/>
                <w:szCs w:val="18"/>
              </w:rPr>
              <w:t>债券积极</w:t>
            </w:r>
          </w:p>
        </w:tc>
        <w:tc>
          <w:tcPr>
            <w:tcW w:w="850" w:type="dxa"/>
            <w:tcBorders>
              <w:left w:val="single" w:sz="6" w:space="0" w:color="FF6600"/>
              <w:right w:val="single" w:sz="6" w:space="0" w:color="FF6600"/>
            </w:tcBorders>
          </w:tcPr>
          <w:p w:rsidR="00CD1FCC" w:rsidRPr="00E81144" w:rsidRDefault="00CD1FCC" w:rsidP="00E81144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453191">
              <w:rPr>
                <w:rFonts w:ascii="楷体" w:eastAsia="楷体" w:hAnsi="楷体"/>
                <w:color w:val="000000"/>
                <w:sz w:val="18"/>
                <w:szCs w:val="18"/>
              </w:rPr>
              <w:t>150144</w:t>
            </w:r>
          </w:p>
        </w:tc>
        <w:tc>
          <w:tcPr>
            <w:tcW w:w="1985" w:type="dxa"/>
            <w:tcBorders>
              <w:left w:val="single" w:sz="6" w:space="0" w:color="FF6600"/>
              <w:right w:val="single" w:sz="6" w:space="0" w:color="FF6600"/>
            </w:tcBorders>
          </w:tcPr>
          <w:p w:rsidR="00CD1FCC" w:rsidRPr="00E81144" w:rsidRDefault="00CD1FCC" w:rsidP="00E81144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453191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银华中证转债</w:t>
            </w:r>
            <w:r w:rsidRPr="00453191">
              <w:rPr>
                <w:rFonts w:ascii="楷体" w:eastAsia="楷体" w:hAnsi="楷体"/>
                <w:color w:val="000000"/>
                <w:sz w:val="18"/>
                <w:szCs w:val="18"/>
              </w:rPr>
              <w:t>B</w:t>
            </w:r>
          </w:p>
        </w:tc>
        <w:tc>
          <w:tcPr>
            <w:tcW w:w="709" w:type="dxa"/>
            <w:tcBorders>
              <w:left w:val="single" w:sz="6" w:space="0" w:color="FF6600"/>
              <w:right w:val="single" w:sz="6" w:space="0" w:color="FF6600"/>
            </w:tcBorders>
            <w:vAlign w:val="center"/>
          </w:tcPr>
          <w:p w:rsidR="00CD1FCC" w:rsidRPr="00E81144" w:rsidRDefault="00CD1FCC" w:rsidP="00E81144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453191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开放式</w:t>
            </w:r>
          </w:p>
        </w:tc>
        <w:tc>
          <w:tcPr>
            <w:tcW w:w="850" w:type="dxa"/>
            <w:tcBorders>
              <w:left w:val="single" w:sz="6" w:space="0" w:color="FF6600"/>
            </w:tcBorders>
          </w:tcPr>
          <w:p w:rsidR="00CD1FCC" w:rsidRPr="00E81144" w:rsidRDefault="00CD1FCC" w:rsidP="00E81144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453191">
              <w:rPr>
                <w:rFonts w:ascii="楷体" w:eastAsia="楷体" w:hAnsi="楷体"/>
                <w:color w:val="000000"/>
                <w:sz w:val="18"/>
                <w:szCs w:val="18"/>
              </w:rPr>
              <w:t>24.16</w:t>
            </w:r>
          </w:p>
        </w:tc>
      </w:tr>
      <w:tr w:rsidR="00CD1FCC" w:rsidRPr="00453191" w:rsidTr="007056F8">
        <w:trPr>
          <w:cantSplit/>
          <w:trHeight w:val="227"/>
        </w:trPr>
        <w:tc>
          <w:tcPr>
            <w:tcW w:w="851" w:type="dxa"/>
            <w:vMerge/>
            <w:tcBorders>
              <w:right w:val="single" w:sz="6" w:space="0" w:color="FF6600"/>
            </w:tcBorders>
            <w:shd w:val="clear" w:color="auto" w:fill="FDE9D9"/>
            <w:vAlign w:val="center"/>
          </w:tcPr>
          <w:p w:rsidR="00CD1FCC" w:rsidRPr="00453191" w:rsidRDefault="00CD1FCC" w:rsidP="006E677E">
            <w:pPr>
              <w:snapToGrid w:val="0"/>
              <w:jc w:val="center"/>
              <w:rPr>
                <w:rFonts w:ascii="楷体" w:eastAsia="楷体" w:hAnsi="楷体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6" w:space="0" w:color="FF6600"/>
              <w:right w:val="single" w:sz="6" w:space="0" w:color="FF6600"/>
            </w:tcBorders>
          </w:tcPr>
          <w:p w:rsidR="00CD1FCC" w:rsidRPr="00E81144" w:rsidRDefault="00CD1FCC" w:rsidP="00E81144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453191">
              <w:rPr>
                <w:rFonts w:ascii="楷体" w:eastAsia="楷体" w:hAnsi="楷体"/>
                <w:color w:val="000000"/>
                <w:sz w:val="18"/>
                <w:szCs w:val="18"/>
              </w:rPr>
              <w:t>000429</w:t>
            </w:r>
          </w:p>
        </w:tc>
        <w:tc>
          <w:tcPr>
            <w:tcW w:w="2551" w:type="dxa"/>
            <w:tcBorders>
              <w:left w:val="single" w:sz="6" w:space="0" w:color="FF6600"/>
              <w:right w:val="single" w:sz="6" w:space="0" w:color="FF6600"/>
            </w:tcBorders>
          </w:tcPr>
          <w:p w:rsidR="00CD1FCC" w:rsidRPr="00E81144" w:rsidRDefault="00CD1FCC" w:rsidP="00E81144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453191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易方达聚盈</w:t>
            </w:r>
            <w:r w:rsidRPr="00453191">
              <w:rPr>
                <w:rFonts w:ascii="楷体" w:eastAsia="楷体" w:hAnsi="楷体"/>
                <w:color w:val="000000"/>
                <w:sz w:val="18"/>
                <w:szCs w:val="18"/>
              </w:rPr>
              <w:t>A</w:t>
            </w:r>
          </w:p>
        </w:tc>
        <w:tc>
          <w:tcPr>
            <w:tcW w:w="567" w:type="dxa"/>
            <w:tcBorders>
              <w:left w:val="single" w:sz="6" w:space="0" w:color="FF6600"/>
              <w:right w:val="single" w:sz="6" w:space="0" w:color="FF6600"/>
            </w:tcBorders>
            <w:vAlign w:val="center"/>
          </w:tcPr>
          <w:p w:rsidR="00CD1FCC" w:rsidRPr="00E81144" w:rsidRDefault="00CD1FCC" w:rsidP="00E81144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453191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开放式</w:t>
            </w:r>
          </w:p>
        </w:tc>
        <w:tc>
          <w:tcPr>
            <w:tcW w:w="851" w:type="dxa"/>
            <w:tcBorders>
              <w:left w:val="single" w:sz="6" w:space="0" w:color="FF6600"/>
              <w:right w:val="single" w:sz="6" w:space="0" w:color="FF6600"/>
            </w:tcBorders>
          </w:tcPr>
          <w:p w:rsidR="00CD1FCC" w:rsidRPr="00E81144" w:rsidRDefault="00CD1FCC" w:rsidP="00E81144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453191">
              <w:rPr>
                <w:rFonts w:ascii="楷体" w:eastAsia="楷体" w:hAnsi="楷体"/>
                <w:color w:val="000000"/>
                <w:sz w:val="18"/>
                <w:szCs w:val="18"/>
              </w:rPr>
              <w:t>0.11</w:t>
            </w:r>
          </w:p>
        </w:tc>
        <w:tc>
          <w:tcPr>
            <w:tcW w:w="992" w:type="dxa"/>
            <w:vMerge/>
            <w:tcBorders>
              <w:left w:val="single" w:sz="6" w:space="0" w:color="FF6600"/>
              <w:right w:val="single" w:sz="6" w:space="0" w:color="FF6600"/>
            </w:tcBorders>
            <w:shd w:val="clear" w:color="auto" w:fill="FDE9D9"/>
            <w:vAlign w:val="center"/>
          </w:tcPr>
          <w:p w:rsidR="00CD1FCC" w:rsidRPr="00453191" w:rsidRDefault="00CD1FCC" w:rsidP="006E677E">
            <w:pPr>
              <w:snapToGrid w:val="0"/>
              <w:jc w:val="center"/>
              <w:rPr>
                <w:rFonts w:ascii="楷体" w:eastAsia="楷体" w:hAnsi="楷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6" w:space="0" w:color="FF6600"/>
              <w:right w:val="single" w:sz="6" w:space="0" w:color="FF6600"/>
            </w:tcBorders>
          </w:tcPr>
          <w:p w:rsidR="00CD1FCC" w:rsidRPr="00E81144" w:rsidRDefault="00CD1FCC" w:rsidP="00E81144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453191">
              <w:rPr>
                <w:rFonts w:ascii="楷体" w:eastAsia="楷体" w:hAnsi="楷体"/>
                <w:color w:val="000000"/>
                <w:sz w:val="18"/>
                <w:szCs w:val="18"/>
              </w:rPr>
              <w:t>150165</w:t>
            </w:r>
          </w:p>
        </w:tc>
        <w:tc>
          <w:tcPr>
            <w:tcW w:w="1985" w:type="dxa"/>
            <w:tcBorders>
              <w:left w:val="single" w:sz="6" w:space="0" w:color="FF6600"/>
              <w:right w:val="single" w:sz="6" w:space="0" w:color="FF6600"/>
            </w:tcBorders>
          </w:tcPr>
          <w:p w:rsidR="00CD1FCC" w:rsidRPr="00E81144" w:rsidRDefault="00CD1FCC" w:rsidP="00E81144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453191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东吴中证可转换债券</w:t>
            </w:r>
            <w:r w:rsidRPr="00453191">
              <w:rPr>
                <w:rFonts w:ascii="楷体" w:eastAsia="楷体" w:hAnsi="楷体"/>
                <w:color w:val="000000"/>
                <w:sz w:val="18"/>
                <w:szCs w:val="18"/>
              </w:rPr>
              <w:t>B</w:t>
            </w:r>
          </w:p>
        </w:tc>
        <w:tc>
          <w:tcPr>
            <w:tcW w:w="709" w:type="dxa"/>
            <w:tcBorders>
              <w:left w:val="single" w:sz="6" w:space="0" w:color="FF6600"/>
              <w:right w:val="single" w:sz="6" w:space="0" w:color="FF6600"/>
            </w:tcBorders>
            <w:vAlign w:val="center"/>
          </w:tcPr>
          <w:p w:rsidR="00CD1FCC" w:rsidRPr="00E81144" w:rsidRDefault="00CD1FCC" w:rsidP="00E81144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453191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开放式</w:t>
            </w:r>
          </w:p>
        </w:tc>
        <w:tc>
          <w:tcPr>
            <w:tcW w:w="850" w:type="dxa"/>
            <w:tcBorders>
              <w:left w:val="single" w:sz="6" w:space="0" w:color="FF6600"/>
            </w:tcBorders>
          </w:tcPr>
          <w:p w:rsidR="00CD1FCC" w:rsidRPr="00E81144" w:rsidRDefault="00CD1FCC" w:rsidP="00E81144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453191">
              <w:rPr>
                <w:rFonts w:ascii="楷体" w:eastAsia="楷体" w:hAnsi="楷体"/>
                <w:color w:val="000000"/>
                <w:sz w:val="18"/>
                <w:szCs w:val="18"/>
              </w:rPr>
              <w:t>20.37</w:t>
            </w:r>
          </w:p>
        </w:tc>
      </w:tr>
      <w:tr w:rsidR="00CD1FCC" w:rsidRPr="00453191" w:rsidTr="007056F8">
        <w:trPr>
          <w:cantSplit/>
          <w:trHeight w:val="227"/>
        </w:trPr>
        <w:tc>
          <w:tcPr>
            <w:tcW w:w="851" w:type="dxa"/>
            <w:vMerge/>
            <w:tcBorders>
              <w:right w:val="single" w:sz="6" w:space="0" w:color="FF6600"/>
            </w:tcBorders>
            <w:shd w:val="clear" w:color="auto" w:fill="FDE9D9"/>
            <w:vAlign w:val="center"/>
          </w:tcPr>
          <w:p w:rsidR="00CD1FCC" w:rsidRPr="00453191" w:rsidRDefault="00CD1FCC" w:rsidP="006E677E">
            <w:pPr>
              <w:snapToGrid w:val="0"/>
              <w:jc w:val="center"/>
              <w:rPr>
                <w:rFonts w:ascii="楷体" w:eastAsia="楷体" w:hAnsi="楷体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6" w:space="0" w:color="FF6600"/>
              <w:right w:val="single" w:sz="6" w:space="0" w:color="FF6600"/>
            </w:tcBorders>
          </w:tcPr>
          <w:p w:rsidR="00CD1FCC" w:rsidRPr="00E81144" w:rsidRDefault="00CD1FCC" w:rsidP="00E81144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453191">
              <w:rPr>
                <w:rFonts w:ascii="楷体" w:eastAsia="楷体" w:hAnsi="楷体"/>
                <w:color w:val="000000"/>
                <w:sz w:val="18"/>
                <w:szCs w:val="18"/>
              </w:rPr>
              <w:t>519052</w:t>
            </w:r>
          </w:p>
        </w:tc>
        <w:tc>
          <w:tcPr>
            <w:tcW w:w="2551" w:type="dxa"/>
            <w:tcBorders>
              <w:left w:val="single" w:sz="6" w:space="0" w:color="FF6600"/>
              <w:right w:val="single" w:sz="6" w:space="0" w:color="FF6600"/>
            </w:tcBorders>
          </w:tcPr>
          <w:p w:rsidR="00CD1FCC" w:rsidRPr="00E81144" w:rsidRDefault="00CD1FCC" w:rsidP="00E81144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453191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海富通双利分级</w:t>
            </w:r>
            <w:r w:rsidRPr="00453191">
              <w:rPr>
                <w:rFonts w:ascii="楷体" w:eastAsia="楷体" w:hAnsi="楷体"/>
                <w:color w:val="000000"/>
                <w:sz w:val="18"/>
                <w:szCs w:val="18"/>
              </w:rPr>
              <w:t>A</w:t>
            </w:r>
          </w:p>
        </w:tc>
        <w:tc>
          <w:tcPr>
            <w:tcW w:w="567" w:type="dxa"/>
            <w:tcBorders>
              <w:left w:val="single" w:sz="6" w:space="0" w:color="FF6600"/>
              <w:right w:val="single" w:sz="6" w:space="0" w:color="FF6600"/>
            </w:tcBorders>
            <w:vAlign w:val="center"/>
          </w:tcPr>
          <w:p w:rsidR="00CD1FCC" w:rsidRPr="00E81144" w:rsidRDefault="00CD1FCC" w:rsidP="00E81144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453191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开放式</w:t>
            </w:r>
          </w:p>
        </w:tc>
        <w:tc>
          <w:tcPr>
            <w:tcW w:w="851" w:type="dxa"/>
            <w:tcBorders>
              <w:left w:val="single" w:sz="6" w:space="0" w:color="FF6600"/>
              <w:right w:val="single" w:sz="6" w:space="0" w:color="FF6600"/>
            </w:tcBorders>
          </w:tcPr>
          <w:p w:rsidR="00CD1FCC" w:rsidRPr="00E81144" w:rsidRDefault="00CD1FCC" w:rsidP="00E81144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453191">
              <w:rPr>
                <w:rFonts w:ascii="楷体" w:eastAsia="楷体" w:hAnsi="楷体"/>
                <w:color w:val="000000"/>
                <w:sz w:val="18"/>
                <w:szCs w:val="18"/>
              </w:rPr>
              <w:t>0.10</w:t>
            </w:r>
          </w:p>
        </w:tc>
        <w:tc>
          <w:tcPr>
            <w:tcW w:w="992" w:type="dxa"/>
            <w:vMerge/>
            <w:tcBorders>
              <w:left w:val="single" w:sz="6" w:space="0" w:color="FF6600"/>
              <w:right w:val="single" w:sz="6" w:space="0" w:color="FF6600"/>
            </w:tcBorders>
            <w:shd w:val="clear" w:color="auto" w:fill="FDE9D9"/>
            <w:vAlign w:val="center"/>
          </w:tcPr>
          <w:p w:rsidR="00CD1FCC" w:rsidRPr="00453191" w:rsidRDefault="00CD1FCC" w:rsidP="006E677E">
            <w:pPr>
              <w:snapToGrid w:val="0"/>
              <w:jc w:val="center"/>
              <w:rPr>
                <w:rFonts w:ascii="楷体" w:eastAsia="楷体" w:hAnsi="楷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6" w:space="0" w:color="FF6600"/>
              <w:right w:val="single" w:sz="6" w:space="0" w:color="FF6600"/>
            </w:tcBorders>
          </w:tcPr>
          <w:p w:rsidR="00CD1FCC" w:rsidRPr="00E81144" w:rsidRDefault="00CD1FCC" w:rsidP="00E81144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453191">
              <w:rPr>
                <w:rFonts w:ascii="楷体" w:eastAsia="楷体" w:hAnsi="楷体"/>
                <w:color w:val="000000"/>
                <w:sz w:val="18"/>
                <w:szCs w:val="18"/>
              </w:rPr>
              <w:t>550016</w:t>
            </w:r>
          </w:p>
        </w:tc>
        <w:tc>
          <w:tcPr>
            <w:tcW w:w="1985" w:type="dxa"/>
            <w:tcBorders>
              <w:left w:val="single" w:sz="6" w:space="0" w:color="FF6600"/>
              <w:right w:val="single" w:sz="6" w:space="0" w:color="FF6600"/>
            </w:tcBorders>
          </w:tcPr>
          <w:p w:rsidR="00CD1FCC" w:rsidRPr="00E81144" w:rsidRDefault="00CD1FCC" w:rsidP="00E81144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453191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信诚岁岁添金</w:t>
            </w:r>
          </w:p>
        </w:tc>
        <w:tc>
          <w:tcPr>
            <w:tcW w:w="709" w:type="dxa"/>
            <w:tcBorders>
              <w:left w:val="single" w:sz="6" w:space="0" w:color="FF6600"/>
              <w:right w:val="single" w:sz="6" w:space="0" w:color="FF6600"/>
            </w:tcBorders>
            <w:vAlign w:val="center"/>
          </w:tcPr>
          <w:p w:rsidR="00CD1FCC" w:rsidRPr="00E81144" w:rsidRDefault="00CD1FCC" w:rsidP="00E81144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453191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开放式</w:t>
            </w:r>
          </w:p>
        </w:tc>
        <w:tc>
          <w:tcPr>
            <w:tcW w:w="850" w:type="dxa"/>
            <w:tcBorders>
              <w:left w:val="single" w:sz="6" w:space="0" w:color="FF6600"/>
            </w:tcBorders>
          </w:tcPr>
          <w:p w:rsidR="00CD1FCC" w:rsidRPr="00E81144" w:rsidRDefault="00CD1FCC" w:rsidP="00E81144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453191">
              <w:rPr>
                <w:rFonts w:ascii="楷体" w:eastAsia="楷体" w:hAnsi="楷体"/>
                <w:color w:val="000000"/>
                <w:sz w:val="18"/>
                <w:szCs w:val="18"/>
              </w:rPr>
              <w:t>4.04</w:t>
            </w:r>
          </w:p>
        </w:tc>
      </w:tr>
      <w:tr w:rsidR="00CD1FCC" w:rsidRPr="00453191" w:rsidTr="007056F8">
        <w:trPr>
          <w:cantSplit/>
          <w:trHeight w:val="227"/>
        </w:trPr>
        <w:tc>
          <w:tcPr>
            <w:tcW w:w="851" w:type="dxa"/>
            <w:vMerge w:val="restart"/>
            <w:tcBorders>
              <w:right w:val="single" w:sz="6" w:space="0" w:color="FF6600"/>
            </w:tcBorders>
            <w:shd w:val="clear" w:color="auto" w:fill="FDE9D9"/>
            <w:vAlign w:val="center"/>
          </w:tcPr>
          <w:p w:rsidR="00CD1FCC" w:rsidRPr="00453191" w:rsidRDefault="00CD1FCC" w:rsidP="006E677E">
            <w:pPr>
              <w:snapToGrid w:val="0"/>
              <w:jc w:val="center"/>
              <w:rPr>
                <w:rFonts w:ascii="楷体" w:eastAsia="楷体" w:hAnsi="楷体"/>
                <w:b/>
                <w:sz w:val="18"/>
                <w:szCs w:val="18"/>
              </w:rPr>
            </w:pPr>
            <w:r w:rsidRPr="00453191">
              <w:rPr>
                <w:rFonts w:ascii="楷体" w:eastAsia="楷体" w:hAnsi="楷体" w:hint="eastAsia"/>
                <w:b/>
                <w:sz w:val="18"/>
                <w:szCs w:val="18"/>
              </w:rPr>
              <w:t>货币市场</w:t>
            </w:r>
          </w:p>
          <w:p w:rsidR="00CD1FCC" w:rsidRPr="00453191" w:rsidRDefault="00CD1FCC" w:rsidP="006E677E">
            <w:pPr>
              <w:snapToGrid w:val="0"/>
              <w:jc w:val="center"/>
              <w:rPr>
                <w:rFonts w:ascii="楷体" w:eastAsia="楷体" w:hAnsi="楷体"/>
                <w:b/>
                <w:color w:val="FF0000"/>
                <w:sz w:val="18"/>
                <w:szCs w:val="18"/>
              </w:rPr>
            </w:pPr>
            <w:r w:rsidRPr="00453191">
              <w:rPr>
                <w:rFonts w:ascii="楷体" w:eastAsia="楷体" w:hAnsi="楷体" w:hint="eastAsia"/>
                <w:b/>
                <w:sz w:val="18"/>
                <w:szCs w:val="18"/>
              </w:rPr>
              <w:t>基金</w:t>
            </w:r>
          </w:p>
        </w:tc>
        <w:tc>
          <w:tcPr>
            <w:tcW w:w="851" w:type="dxa"/>
            <w:tcBorders>
              <w:left w:val="single" w:sz="6" w:space="0" w:color="FF6600"/>
              <w:right w:val="single" w:sz="6" w:space="0" w:color="FF6600"/>
            </w:tcBorders>
          </w:tcPr>
          <w:p w:rsidR="00CD1FCC" w:rsidRPr="00E81144" w:rsidRDefault="00CD1FCC" w:rsidP="00E81144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453191">
              <w:rPr>
                <w:rFonts w:ascii="楷体" w:eastAsia="楷体" w:hAnsi="楷体"/>
                <w:color w:val="000000"/>
                <w:sz w:val="18"/>
                <w:szCs w:val="18"/>
              </w:rPr>
              <w:t>240021</w:t>
            </w:r>
          </w:p>
        </w:tc>
        <w:tc>
          <w:tcPr>
            <w:tcW w:w="2551" w:type="dxa"/>
            <w:tcBorders>
              <w:left w:val="single" w:sz="6" w:space="0" w:color="FF6600"/>
              <w:right w:val="single" w:sz="6" w:space="0" w:color="FF6600"/>
            </w:tcBorders>
          </w:tcPr>
          <w:p w:rsidR="00CD1FCC" w:rsidRPr="00E81144" w:rsidRDefault="00CD1FCC" w:rsidP="00E81144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453191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华宝兴业活期通</w:t>
            </w:r>
            <w:r w:rsidRPr="00453191">
              <w:rPr>
                <w:rFonts w:ascii="楷体" w:eastAsia="楷体" w:hAnsi="楷体"/>
                <w:color w:val="000000"/>
                <w:sz w:val="18"/>
                <w:szCs w:val="18"/>
              </w:rPr>
              <w:t>T</w:t>
            </w:r>
          </w:p>
        </w:tc>
        <w:tc>
          <w:tcPr>
            <w:tcW w:w="567" w:type="dxa"/>
            <w:tcBorders>
              <w:left w:val="single" w:sz="6" w:space="0" w:color="FF6600"/>
              <w:right w:val="single" w:sz="6" w:space="0" w:color="FF6600"/>
            </w:tcBorders>
            <w:vAlign w:val="center"/>
          </w:tcPr>
          <w:p w:rsidR="00CD1FCC" w:rsidRPr="00E81144" w:rsidRDefault="00CD1FCC" w:rsidP="00E81144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453191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开放式</w:t>
            </w:r>
          </w:p>
        </w:tc>
        <w:tc>
          <w:tcPr>
            <w:tcW w:w="851" w:type="dxa"/>
            <w:tcBorders>
              <w:left w:val="single" w:sz="6" w:space="0" w:color="FF6600"/>
              <w:right w:val="single" w:sz="6" w:space="0" w:color="FF6600"/>
            </w:tcBorders>
          </w:tcPr>
          <w:p w:rsidR="00CD1FCC" w:rsidRPr="00E81144" w:rsidRDefault="00CD1FCC" w:rsidP="00E81144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453191">
              <w:rPr>
                <w:rFonts w:ascii="楷体" w:eastAsia="楷体" w:hAnsi="楷体"/>
                <w:color w:val="000000"/>
                <w:sz w:val="18"/>
                <w:szCs w:val="18"/>
              </w:rPr>
              <w:t>9.64</w:t>
            </w:r>
          </w:p>
        </w:tc>
        <w:tc>
          <w:tcPr>
            <w:tcW w:w="992" w:type="dxa"/>
            <w:vMerge w:val="restart"/>
            <w:tcBorders>
              <w:left w:val="single" w:sz="6" w:space="0" w:color="FF6600"/>
              <w:right w:val="single" w:sz="6" w:space="0" w:color="FF6600"/>
            </w:tcBorders>
            <w:shd w:val="clear" w:color="auto" w:fill="FDE9D9"/>
            <w:vAlign w:val="center"/>
          </w:tcPr>
          <w:p w:rsidR="00CD1FCC" w:rsidRPr="00453191" w:rsidRDefault="00CD1FCC" w:rsidP="006E677E">
            <w:pPr>
              <w:snapToGrid w:val="0"/>
              <w:jc w:val="center"/>
              <w:rPr>
                <w:rFonts w:ascii="楷体" w:eastAsia="楷体" w:hAnsi="楷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6" w:space="0" w:color="FF6600"/>
              <w:right w:val="single" w:sz="6" w:space="0" w:color="FF6600"/>
            </w:tcBorders>
            <w:vAlign w:val="center"/>
          </w:tcPr>
          <w:p w:rsidR="00CD1FCC" w:rsidRPr="00E81144" w:rsidRDefault="00CD1FCC" w:rsidP="00E81144">
            <w:pPr>
              <w:snapToGrid w:val="0"/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left w:val="single" w:sz="6" w:space="0" w:color="FF6600"/>
              <w:right w:val="single" w:sz="6" w:space="0" w:color="FF6600"/>
            </w:tcBorders>
            <w:vAlign w:val="center"/>
          </w:tcPr>
          <w:p w:rsidR="00CD1FCC" w:rsidRPr="00E81144" w:rsidRDefault="00CD1FCC" w:rsidP="00E81144">
            <w:pPr>
              <w:snapToGrid w:val="0"/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6" w:space="0" w:color="FF6600"/>
              <w:right w:val="single" w:sz="6" w:space="0" w:color="FF6600"/>
            </w:tcBorders>
            <w:vAlign w:val="center"/>
          </w:tcPr>
          <w:p w:rsidR="00CD1FCC" w:rsidRPr="00E81144" w:rsidRDefault="00CD1FCC" w:rsidP="00E81144">
            <w:pPr>
              <w:snapToGrid w:val="0"/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6" w:space="0" w:color="FF6600"/>
            </w:tcBorders>
            <w:vAlign w:val="center"/>
          </w:tcPr>
          <w:p w:rsidR="00CD1FCC" w:rsidRPr="00E81144" w:rsidRDefault="00CD1FCC" w:rsidP="00E81144">
            <w:pPr>
              <w:snapToGrid w:val="0"/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</w:p>
        </w:tc>
      </w:tr>
      <w:tr w:rsidR="00CD1FCC" w:rsidRPr="00453191" w:rsidTr="007056F8">
        <w:trPr>
          <w:cantSplit/>
          <w:trHeight w:val="227"/>
        </w:trPr>
        <w:tc>
          <w:tcPr>
            <w:tcW w:w="851" w:type="dxa"/>
            <w:vMerge/>
            <w:tcBorders>
              <w:right w:val="single" w:sz="6" w:space="0" w:color="FF6600"/>
            </w:tcBorders>
            <w:shd w:val="clear" w:color="auto" w:fill="FDE9D9"/>
            <w:vAlign w:val="center"/>
          </w:tcPr>
          <w:p w:rsidR="00CD1FCC" w:rsidRPr="00453191" w:rsidRDefault="00CD1FCC" w:rsidP="006E677E">
            <w:pPr>
              <w:snapToGrid w:val="0"/>
              <w:jc w:val="center"/>
              <w:rPr>
                <w:rFonts w:ascii="楷体" w:eastAsia="楷体" w:hAnsi="楷体"/>
                <w:b/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6" w:space="0" w:color="FF6600"/>
              <w:right w:val="single" w:sz="6" w:space="0" w:color="FF6600"/>
            </w:tcBorders>
          </w:tcPr>
          <w:p w:rsidR="00CD1FCC" w:rsidRPr="00E81144" w:rsidRDefault="00CD1FCC" w:rsidP="00E81144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453191">
              <w:rPr>
                <w:rFonts w:ascii="楷体" w:eastAsia="楷体" w:hAnsi="楷体"/>
                <w:color w:val="000000"/>
                <w:sz w:val="18"/>
                <w:szCs w:val="18"/>
              </w:rPr>
              <w:t>000643</w:t>
            </w:r>
          </w:p>
        </w:tc>
        <w:tc>
          <w:tcPr>
            <w:tcW w:w="2551" w:type="dxa"/>
            <w:tcBorders>
              <w:left w:val="single" w:sz="6" w:space="0" w:color="FF6600"/>
              <w:right w:val="single" w:sz="6" w:space="0" w:color="FF6600"/>
            </w:tcBorders>
          </w:tcPr>
          <w:p w:rsidR="00CD1FCC" w:rsidRPr="00E81144" w:rsidRDefault="00CD1FCC" w:rsidP="00E81144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453191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华宝兴业活期通</w:t>
            </w:r>
            <w:r w:rsidRPr="00453191">
              <w:rPr>
                <w:rFonts w:ascii="楷体" w:eastAsia="楷体" w:hAnsi="楷体"/>
                <w:color w:val="000000"/>
                <w:sz w:val="18"/>
                <w:szCs w:val="18"/>
              </w:rPr>
              <w:t>A</w:t>
            </w:r>
          </w:p>
        </w:tc>
        <w:tc>
          <w:tcPr>
            <w:tcW w:w="567" w:type="dxa"/>
            <w:tcBorders>
              <w:left w:val="single" w:sz="6" w:space="0" w:color="FF6600"/>
              <w:right w:val="single" w:sz="6" w:space="0" w:color="FF6600"/>
            </w:tcBorders>
            <w:vAlign w:val="center"/>
          </w:tcPr>
          <w:p w:rsidR="00CD1FCC" w:rsidRPr="00E81144" w:rsidRDefault="00CD1FCC" w:rsidP="00E81144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453191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开放式</w:t>
            </w:r>
          </w:p>
        </w:tc>
        <w:tc>
          <w:tcPr>
            <w:tcW w:w="851" w:type="dxa"/>
            <w:tcBorders>
              <w:left w:val="single" w:sz="6" w:space="0" w:color="FF6600"/>
              <w:right w:val="single" w:sz="6" w:space="0" w:color="FF6600"/>
            </w:tcBorders>
          </w:tcPr>
          <w:p w:rsidR="00CD1FCC" w:rsidRPr="00E81144" w:rsidRDefault="00CD1FCC" w:rsidP="00E81144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453191">
              <w:rPr>
                <w:rFonts w:ascii="楷体" w:eastAsia="楷体" w:hAnsi="楷体"/>
                <w:color w:val="000000"/>
                <w:sz w:val="18"/>
                <w:szCs w:val="18"/>
              </w:rPr>
              <w:t>9.46</w:t>
            </w:r>
          </w:p>
        </w:tc>
        <w:tc>
          <w:tcPr>
            <w:tcW w:w="992" w:type="dxa"/>
            <w:vMerge/>
            <w:tcBorders>
              <w:left w:val="single" w:sz="6" w:space="0" w:color="FF6600"/>
              <w:right w:val="single" w:sz="6" w:space="0" w:color="FF6600"/>
            </w:tcBorders>
            <w:shd w:val="clear" w:color="auto" w:fill="FDE9D9"/>
            <w:vAlign w:val="center"/>
          </w:tcPr>
          <w:p w:rsidR="00CD1FCC" w:rsidRPr="00453191" w:rsidRDefault="00CD1FCC" w:rsidP="006E677E">
            <w:pPr>
              <w:snapToGrid w:val="0"/>
              <w:jc w:val="center"/>
              <w:rPr>
                <w:rFonts w:ascii="楷体" w:eastAsia="楷体" w:hAnsi="楷体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6" w:space="0" w:color="FF6600"/>
              <w:right w:val="single" w:sz="6" w:space="0" w:color="FF6600"/>
            </w:tcBorders>
            <w:vAlign w:val="center"/>
          </w:tcPr>
          <w:p w:rsidR="00CD1FCC" w:rsidRPr="00453191" w:rsidRDefault="00CD1FCC" w:rsidP="00E81144">
            <w:pPr>
              <w:snapToGrid w:val="0"/>
              <w:jc w:val="center"/>
              <w:rPr>
                <w:rFonts w:ascii="楷体" w:eastAsia="楷体" w:hAnsi="楷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left w:val="single" w:sz="6" w:space="0" w:color="FF6600"/>
              <w:right w:val="single" w:sz="6" w:space="0" w:color="FF6600"/>
            </w:tcBorders>
            <w:vAlign w:val="center"/>
          </w:tcPr>
          <w:p w:rsidR="00CD1FCC" w:rsidRPr="00453191" w:rsidRDefault="00CD1FCC" w:rsidP="00E81144">
            <w:pPr>
              <w:snapToGrid w:val="0"/>
              <w:jc w:val="center"/>
              <w:rPr>
                <w:rFonts w:ascii="楷体" w:eastAsia="楷体" w:hAnsi="楷体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6" w:space="0" w:color="FF6600"/>
              <w:right w:val="single" w:sz="6" w:space="0" w:color="FF6600"/>
            </w:tcBorders>
            <w:vAlign w:val="center"/>
          </w:tcPr>
          <w:p w:rsidR="00CD1FCC" w:rsidRPr="00453191" w:rsidRDefault="00CD1FCC" w:rsidP="00E81144">
            <w:pPr>
              <w:snapToGrid w:val="0"/>
              <w:jc w:val="center"/>
              <w:rPr>
                <w:rFonts w:ascii="楷体" w:eastAsia="楷体" w:hAnsi="楷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6" w:space="0" w:color="FF6600"/>
            </w:tcBorders>
            <w:vAlign w:val="center"/>
          </w:tcPr>
          <w:p w:rsidR="00CD1FCC" w:rsidRPr="00453191" w:rsidRDefault="00CD1FCC" w:rsidP="00E81144">
            <w:pPr>
              <w:snapToGrid w:val="0"/>
              <w:jc w:val="center"/>
              <w:rPr>
                <w:rFonts w:ascii="楷体" w:eastAsia="楷体" w:hAnsi="楷体"/>
                <w:color w:val="000000"/>
                <w:sz w:val="18"/>
                <w:szCs w:val="18"/>
              </w:rPr>
            </w:pPr>
          </w:p>
        </w:tc>
      </w:tr>
      <w:tr w:rsidR="00CD1FCC" w:rsidRPr="00453191" w:rsidTr="007056F8">
        <w:trPr>
          <w:cantSplit/>
          <w:trHeight w:val="227"/>
        </w:trPr>
        <w:tc>
          <w:tcPr>
            <w:tcW w:w="851" w:type="dxa"/>
            <w:vMerge/>
            <w:tcBorders>
              <w:right w:val="single" w:sz="6" w:space="0" w:color="FF6600"/>
            </w:tcBorders>
            <w:shd w:val="clear" w:color="auto" w:fill="FDE9D9"/>
            <w:vAlign w:val="center"/>
          </w:tcPr>
          <w:p w:rsidR="00CD1FCC" w:rsidRPr="00453191" w:rsidRDefault="00CD1FCC" w:rsidP="006E677E">
            <w:pPr>
              <w:snapToGrid w:val="0"/>
              <w:jc w:val="center"/>
              <w:rPr>
                <w:rFonts w:ascii="楷体" w:eastAsia="楷体" w:hAnsi="楷体"/>
                <w:b/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6" w:space="0" w:color="FF6600"/>
              <w:right w:val="single" w:sz="6" w:space="0" w:color="FF6600"/>
            </w:tcBorders>
          </w:tcPr>
          <w:p w:rsidR="00CD1FCC" w:rsidRPr="00E81144" w:rsidRDefault="00CD1FCC" w:rsidP="00E81144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453191">
              <w:rPr>
                <w:rFonts w:ascii="楷体" w:eastAsia="楷体" w:hAnsi="楷体"/>
                <w:color w:val="000000"/>
                <w:sz w:val="18"/>
                <w:szCs w:val="18"/>
              </w:rPr>
              <w:t>730103</w:t>
            </w:r>
          </w:p>
        </w:tc>
        <w:tc>
          <w:tcPr>
            <w:tcW w:w="2551" w:type="dxa"/>
            <w:tcBorders>
              <w:left w:val="single" w:sz="6" w:space="0" w:color="FF6600"/>
              <w:right w:val="single" w:sz="6" w:space="0" w:color="FF6600"/>
            </w:tcBorders>
          </w:tcPr>
          <w:p w:rsidR="00CD1FCC" w:rsidRPr="00E81144" w:rsidRDefault="00CD1FCC" w:rsidP="00E81144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453191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方正富邦货币</w:t>
            </w:r>
            <w:r w:rsidRPr="00453191">
              <w:rPr>
                <w:rFonts w:ascii="楷体" w:eastAsia="楷体" w:hAnsi="楷体"/>
                <w:color w:val="000000"/>
                <w:sz w:val="18"/>
                <w:szCs w:val="18"/>
              </w:rPr>
              <w:t>B</w:t>
            </w:r>
          </w:p>
        </w:tc>
        <w:tc>
          <w:tcPr>
            <w:tcW w:w="567" w:type="dxa"/>
            <w:tcBorders>
              <w:left w:val="single" w:sz="6" w:space="0" w:color="FF6600"/>
              <w:right w:val="single" w:sz="6" w:space="0" w:color="FF6600"/>
            </w:tcBorders>
            <w:vAlign w:val="center"/>
          </w:tcPr>
          <w:p w:rsidR="00CD1FCC" w:rsidRPr="00E81144" w:rsidRDefault="00CD1FCC" w:rsidP="00E81144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453191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开放式</w:t>
            </w:r>
          </w:p>
        </w:tc>
        <w:tc>
          <w:tcPr>
            <w:tcW w:w="851" w:type="dxa"/>
            <w:tcBorders>
              <w:left w:val="single" w:sz="6" w:space="0" w:color="FF6600"/>
              <w:right w:val="single" w:sz="6" w:space="0" w:color="FF6600"/>
            </w:tcBorders>
          </w:tcPr>
          <w:p w:rsidR="00CD1FCC" w:rsidRPr="00E81144" w:rsidRDefault="00CD1FCC" w:rsidP="00E81144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453191">
              <w:rPr>
                <w:rFonts w:ascii="楷体" w:eastAsia="楷体" w:hAnsi="楷体"/>
                <w:color w:val="000000"/>
                <w:sz w:val="18"/>
                <w:szCs w:val="18"/>
              </w:rPr>
              <w:t>7.88</w:t>
            </w:r>
          </w:p>
        </w:tc>
        <w:tc>
          <w:tcPr>
            <w:tcW w:w="992" w:type="dxa"/>
            <w:vMerge/>
            <w:tcBorders>
              <w:left w:val="single" w:sz="6" w:space="0" w:color="FF6600"/>
              <w:right w:val="single" w:sz="6" w:space="0" w:color="FF6600"/>
            </w:tcBorders>
            <w:shd w:val="clear" w:color="auto" w:fill="FDE9D9"/>
            <w:vAlign w:val="center"/>
          </w:tcPr>
          <w:p w:rsidR="00CD1FCC" w:rsidRPr="00453191" w:rsidRDefault="00CD1FCC" w:rsidP="006E677E">
            <w:pPr>
              <w:snapToGrid w:val="0"/>
              <w:jc w:val="center"/>
              <w:rPr>
                <w:rFonts w:ascii="楷体" w:eastAsia="楷体" w:hAnsi="楷体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6" w:space="0" w:color="FF6600"/>
              <w:right w:val="single" w:sz="6" w:space="0" w:color="FF6600"/>
            </w:tcBorders>
            <w:vAlign w:val="center"/>
          </w:tcPr>
          <w:p w:rsidR="00CD1FCC" w:rsidRPr="00453191" w:rsidRDefault="00CD1FCC" w:rsidP="00E81144">
            <w:pPr>
              <w:snapToGrid w:val="0"/>
              <w:jc w:val="center"/>
              <w:rPr>
                <w:rFonts w:ascii="楷体" w:eastAsia="楷体" w:hAnsi="楷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left w:val="single" w:sz="6" w:space="0" w:color="FF6600"/>
              <w:right w:val="single" w:sz="6" w:space="0" w:color="FF6600"/>
            </w:tcBorders>
            <w:vAlign w:val="center"/>
          </w:tcPr>
          <w:p w:rsidR="00CD1FCC" w:rsidRPr="00453191" w:rsidRDefault="00CD1FCC" w:rsidP="00E81144">
            <w:pPr>
              <w:snapToGrid w:val="0"/>
              <w:jc w:val="center"/>
              <w:rPr>
                <w:rFonts w:ascii="楷体" w:eastAsia="楷体" w:hAnsi="楷体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6" w:space="0" w:color="FF6600"/>
              <w:right w:val="single" w:sz="6" w:space="0" w:color="FF6600"/>
            </w:tcBorders>
            <w:vAlign w:val="center"/>
          </w:tcPr>
          <w:p w:rsidR="00CD1FCC" w:rsidRPr="00453191" w:rsidRDefault="00CD1FCC" w:rsidP="00E81144">
            <w:pPr>
              <w:snapToGrid w:val="0"/>
              <w:jc w:val="center"/>
              <w:rPr>
                <w:rFonts w:ascii="楷体" w:eastAsia="楷体" w:hAnsi="楷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6" w:space="0" w:color="FF6600"/>
            </w:tcBorders>
            <w:vAlign w:val="center"/>
          </w:tcPr>
          <w:p w:rsidR="00CD1FCC" w:rsidRPr="00453191" w:rsidRDefault="00CD1FCC" w:rsidP="00E81144">
            <w:pPr>
              <w:snapToGrid w:val="0"/>
              <w:jc w:val="center"/>
              <w:rPr>
                <w:rFonts w:ascii="楷体" w:eastAsia="楷体" w:hAnsi="楷体"/>
                <w:color w:val="000000"/>
                <w:sz w:val="18"/>
                <w:szCs w:val="18"/>
              </w:rPr>
            </w:pPr>
          </w:p>
        </w:tc>
      </w:tr>
    </w:tbl>
    <w:p w:rsidR="00CD1FCC" w:rsidRPr="00E361D3" w:rsidRDefault="00CD1FCC" w:rsidP="00E361D3">
      <w:pPr>
        <w:pStyle w:val="FootnoteNoline"/>
        <w:ind w:left="0"/>
        <w:rPr>
          <w:rFonts w:ascii="楷体" w:eastAsia="楷体" w:hAnsi="楷体"/>
          <w:color w:val="FF6600"/>
          <w:lang w:val="en-US"/>
        </w:rPr>
      </w:pPr>
      <w:r w:rsidRPr="005B7CDB">
        <w:rPr>
          <w:rFonts w:ascii="楷体" w:eastAsia="楷体" w:hAnsi="楷体" w:hint="eastAsia"/>
          <w:color w:val="FF6600"/>
          <w:lang w:val="en-US"/>
        </w:rPr>
        <w:t>来源：凯石财富工场</w:t>
      </w:r>
    </w:p>
    <w:p w:rsidR="00CD1FCC" w:rsidRDefault="00CD1FCC">
      <w:pPr>
        <w:widowControl/>
        <w:jc w:val="left"/>
        <w:rPr>
          <w:rFonts w:ascii="楷体" w:eastAsia="楷体" w:hAnsi="楷体" w:cs="宋体"/>
          <w:b/>
          <w:kern w:val="0"/>
          <w:szCs w:val="20"/>
          <w:lang w:val="en-GB"/>
        </w:rPr>
      </w:pPr>
      <w:r>
        <w:rPr>
          <w:rFonts w:ascii="楷体" w:eastAsia="楷体" w:hAnsi="楷体" w:cs="宋体"/>
          <w:b/>
          <w:kern w:val="0"/>
          <w:szCs w:val="20"/>
          <w:lang w:val="en-GB"/>
        </w:rPr>
        <w:br w:type="page"/>
      </w:r>
    </w:p>
    <w:p w:rsidR="00CD1FCC" w:rsidRPr="005B7CDB" w:rsidRDefault="00CD1FCC" w:rsidP="009F0008">
      <w:pPr>
        <w:widowControl/>
        <w:jc w:val="left"/>
        <w:rPr>
          <w:rFonts w:ascii="楷体" w:eastAsia="楷体" w:hAnsi="楷体"/>
          <w:b/>
          <w:szCs w:val="21"/>
        </w:rPr>
      </w:pPr>
      <w:r w:rsidRPr="005B7CDB">
        <w:rPr>
          <w:rFonts w:ascii="楷体" w:eastAsia="楷体" w:hAnsi="楷体" w:cs="宋体" w:hint="eastAsia"/>
          <w:b/>
          <w:kern w:val="0"/>
          <w:szCs w:val="20"/>
          <w:lang w:val="en-GB"/>
        </w:rPr>
        <w:t>特别声明：</w:t>
      </w:r>
    </w:p>
    <w:p w:rsidR="00CD1FCC" w:rsidRPr="005B7CDB" w:rsidRDefault="00CD1FCC" w:rsidP="00453191">
      <w:pPr>
        <w:pStyle w:val="a4"/>
        <w:spacing w:beforeLines="50" w:after="312"/>
        <w:rPr>
          <w:rFonts w:ascii="楷体" w:eastAsia="楷体" w:hAnsi="楷体"/>
          <w:kern w:val="0"/>
          <w:sz w:val="21"/>
          <w:szCs w:val="20"/>
          <w:lang w:val="en-GB"/>
        </w:rPr>
      </w:pPr>
      <w:r w:rsidRPr="005B7CDB">
        <w:rPr>
          <w:rFonts w:ascii="楷体" w:eastAsia="楷体" w:hAnsi="楷体" w:hint="eastAsia"/>
          <w:kern w:val="0"/>
          <w:sz w:val="21"/>
          <w:szCs w:val="20"/>
          <w:lang w:val="en-GB"/>
        </w:rPr>
        <w:t>本报告中的所有内容版权均属上海凯石财富投资管理有限公司（以下简称“本公司”），未经本公司事先书面授权，不得以任何方式修改、发送或者复制本报告及其所包含的材料、内容。所有本报告中使用的商标、服务标记及标记均为本公司的商标、服务标记及标记。如欲引用或转载本文内容，务必联络本公司研究中心并获得许可，并需注明出处为上海凯石财富投资有限公司研究中心，且不得对本文进行任何有悖原意的引用和删改。</w:t>
      </w:r>
    </w:p>
    <w:p w:rsidR="00CD1FCC" w:rsidRPr="005B7CDB" w:rsidRDefault="00CD1FCC" w:rsidP="00453191">
      <w:pPr>
        <w:pStyle w:val="a4"/>
        <w:spacing w:beforeLines="50" w:after="312"/>
        <w:rPr>
          <w:rFonts w:ascii="楷体" w:eastAsia="楷体" w:hAnsi="楷体"/>
          <w:kern w:val="0"/>
          <w:sz w:val="21"/>
          <w:szCs w:val="20"/>
          <w:lang w:val="en-GB"/>
        </w:rPr>
      </w:pPr>
      <w:r w:rsidRPr="005B7CDB">
        <w:rPr>
          <w:rFonts w:ascii="楷体" w:eastAsia="楷体" w:hAnsi="楷体" w:hint="eastAsia"/>
          <w:kern w:val="0"/>
          <w:sz w:val="21"/>
          <w:szCs w:val="20"/>
          <w:lang w:val="en-GB"/>
        </w:rPr>
        <w:t>本报告是基于已公开信息撰写，其所载资料的来源及观点的出处均被本公司认为可靠，但本公司不保证其准确性或完整性。本报告所载的资料、意见及推测反映本公司于最初发布此报告日期当日的判断，其所指的基金或者其他理财产品的价格、价值及投资收入可能会波动，在不同时期，本公司可发出与本报告所载资料、意见及推测不一致的报告。</w:t>
      </w:r>
    </w:p>
    <w:p w:rsidR="00CD1FCC" w:rsidRPr="005B7CDB" w:rsidRDefault="00CD1FCC" w:rsidP="00453191">
      <w:pPr>
        <w:pStyle w:val="a4"/>
        <w:spacing w:beforeLines="50" w:after="312"/>
        <w:rPr>
          <w:rFonts w:ascii="楷体" w:eastAsia="楷体" w:hAnsi="楷体"/>
          <w:kern w:val="0"/>
          <w:sz w:val="21"/>
          <w:szCs w:val="20"/>
          <w:lang w:val="en-GB"/>
        </w:rPr>
      </w:pPr>
      <w:r w:rsidRPr="005B7CDB">
        <w:rPr>
          <w:rFonts w:ascii="楷体" w:eastAsia="楷体" w:hAnsi="楷体" w:hint="eastAsia"/>
          <w:kern w:val="0"/>
          <w:sz w:val="21"/>
          <w:szCs w:val="20"/>
          <w:lang w:val="en-GB"/>
        </w:rPr>
        <w:t>本报告所载的除法律或规则规定必须承担的责任外，本公司不对因使用此报告的材料而引致的损失负任何责任。本报告不构成私人咨询建议，也没有考虑到个别客户特殊的投资目标、财务状况或需要。本报告所载的资料、工具、意见及推测只提供给客户做参考之用，并未作为或被是为出售或购买其他投资标的邀请或向他人做出邀请。</w:t>
      </w:r>
    </w:p>
    <w:p w:rsidR="00CD1FCC" w:rsidRPr="005B7CDB" w:rsidRDefault="00CD1FCC">
      <w:pPr>
        <w:rPr>
          <w:rFonts w:ascii="楷体" w:eastAsia="楷体" w:hAnsi="楷体"/>
          <w:lang w:val="en-GB"/>
        </w:rPr>
      </w:pPr>
    </w:p>
    <w:sectPr w:rsidR="00CD1FCC" w:rsidRPr="005B7CDB" w:rsidSect="00D4319D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40" w:right="624" w:bottom="1440" w:left="624" w:header="850" w:footer="283" w:gutter="0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1FCC" w:rsidRDefault="00CD1FCC" w:rsidP="00B10000">
      <w:r>
        <w:separator/>
      </w:r>
    </w:p>
  </w:endnote>
  <w:endnote w:type="continuationSeparator" w:id="0">
    <w:p w:rsidR="00CD1FCC" w:rsidRDefault="00CD1FCC" w:rsidP="00B100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KaiTi_GB2312">
    <w:panose1 w:val="02010609060101010101"/>
    <w:charset w:val="86"/>
    <w:family w:val="modern"/>
    <w:pitch w:val="fixed"/>
    <w:sig w:usb0="00000003" w:usb1="080E0000" w:usb2="00000010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onotype Sorts">
    <w:altName w:val="Courier New"/>
    <w:panose1 w:val="00000000000000000000"/>
    <w:charset w:val="02"/>
    <w:family w:val="auto"/>
    <w:notTrueType/>
    <w:pitch w:val="variable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华文隶书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San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KaiTi_GB2312">
    <w:altName w:val="MS Gothic"/>
    <w:panose1 w:val="02010609060101010101"/>
    <w:charset w:val="00"/>
    <w:family w:val="modern"/>
    <w:notTrueType/>
    <w:pitch w:val="fixed"/>
    <w:sig w:usb0="00000003" w:usb1="00000000" w:usb2="00000000" w:usb3="00000000" w:csb0="0000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1FCC" w:rsidRDefault="00CD1FCC">
    <w:pPr>
      <w:pStyle w:val="Footer"/>
      <w:jc w:val="center"/>
    </w:pPr>
    <w:r>
      <w:pict>
        <v:rect id="_x0000_i1032" style="width:571.2pt;height:2pt" o:hralign="center" o:hrstd="t" o:hrnoshade="t" o:hr="t" fillcolor="#e7a631" stroked="f"/>
      </w:pict>
    </w:r>
    <w:r>
      <w:rPr>
        <w:lang w:val="zh-CN"/>
      </w:rPr>
      <w:t xml:space="preserve"> </w:t>
    </w:r>
    <w:r>
      <w:rPr>
        <w:b/>
      </w:rPr>
      <w:fldChar w:fldCharType="begin"/>
    </w:r>
    <w:r>
      <w:rPr>
        <w:b/>
      </w:rPr>
      <w:instrText>PAGE</w:instrText>
    </w:r>
    <w:r>
      <w:rPr>
        <w:b/>
      </w:rPr>
      <w:fldChar w:fldCharType="separate"/>
    </w:r>
    <w:r>
      <w:rPr>
        <w:b/>
        <w:noProof/>
      </w:rPr>
      <w:t>4</w:t>
    </w:r>
    <w:r>
      <w:rPr>
        <w:b/>
      </w:rPr>
      <w:fldChar w:fldCharType="end"/>
    </w:r>
    <w:r>
      <w:rPr>
        <w:lang w:val="zh-CN"/>
      </w:rPr>
      <w:t xml:space="preserve"> / </w:t>
    </w:r>
    <w:r>
      <w:rPr>
        <w:b/>
      </w:rPr>
      <w:fldChar w:fldCharType="begin"/>
    </w:r>
    <w:r>
      <w:rPr>
        <w:b/>
      </w:rPr>
      <w:instrText>NUMPAGES</w:instrText>
    </w:r>
    <w:r>
      <w:rPr>
        <w:b/>
      </w:rPr>
      <w:fldChar w:fldCharType="separate"/>
    </w:r>
    <w:r>
      <w:rPr>
        <w:b/>
        <w:noProof/>
      </w:rPr>
      <w:t>5</w:t>
    </w:r>
    <w:r>
      <w:rPr>
        <w:b/>
      </w:rPr>
      <w:fldChar w:fldCharType="end"/>
    </w:r>
  </w:p>
  <w:p w:rsidR="00CD1FCC" w:rsidRDefault="00CD1FCC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1FCC" w:rsidRDefault="00CD1FCC">
    <w:pPr>
      <w:pStyle w:val="Footer"/>
      <w:jc w:val="center"/>
    </w:pPr>
    <w:r>
      <w:pict>
        <v:rect id="_x0000_i1041" style="width:571.2pt;height:2pt" o:hralign="center" o:hrstd="t" o:hrnoshade="t" o:hr="t" fillcolor="#e7a631" stroked="f"/>
      </w:pict>
    </w:r>
    <w:r>
      <w:rPr>
        <w:lang w:val="zh-CN"/>
      </w:rPr>
      <w:t xml:space="preserve"> </w:t>
    </w:r>
    <w:r>
      <w:rPr>
        <w:b/>
      </w:rPr>
      <w:fldChar w:fldCharType="begin"/>
    </w:r>
    <w:r>
      <w:rPr>
        <w:b/>
      </w:rPr>
      <w:instrText>PAGE</w:instrText>
    </w:r>
    <w:r>
      <w:rPr>
        <w:b/>
      </w:rPr>
      <w:fldChar w:fldCharType="separate"/>
    </w:r>
    <w:r>
      <w:rPr>
        <w:b/>
        <w:noProof/>
      </w:rPr>
      <w:t>1</w:t>
    </w:r>
    <w:r>
      <w:rPr>
        <w:b/>
      </w:rPr>
      <w:fldChar w:fldCharType="end"/>
    </w:r>
    <w:r>
      <w:rPr>
        <w:lang w:val="zh-CN"/>
      </w:rPr>
      <w:t xml:space="preserve"> / </w:t>
    </w:r>
    <w:r>
      <w:rPr>
        <w:b/>
      </w:rPr>
      <w:fldChar w:fldCharType="begin"/>
    </w:r>
    <w:r>
      <w:rPr>
        <w:b/>
      </w:rPr>
      <w:instrText>NUMPAGES</w:instrText>
    </w:r>
    <w:r>
      <w:rPr>
        <w:b/>
      </w:rPr>
      <w:fldChar w:fldCharType="separate"/>
    </w:r>
    <w:r>
      <w:rPr>
        <w:b/>
        <w:noProof/>
      </w:rPr>
      <w:t>5</w:t>
    </w:r>
    <w:r>
      <w:rPr>
        <w:b/>
      </w:rPr>
      <w:fldChar w:fldCharType="end"/>
    </w:r>
  </w:p>
  <w:p w:rsidR="00CD1FCC" w:rsidRDefault="00CD1FC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1FCC" w:rsidRDefault="00CD1FCC" w:rsidP="00B10000">
      <w:r>
        <w:separator/>
      </w:r>
    </w:p>
  </w:footnote>
  <w:footnote w:type="continuationSeparator" w:id="0">
    <w:p w:rsidR="00CD1FCC" w:rsidRDefault="00CD1FCC" w:rsidP="00B1000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1FCC" w:rsidRDefault="00CD1FCC" w:rsidP="00B10000">
    <w:pPr>
      <w:pStyle w:val="Header"/>
      <w:pBdr>
        <w:bottom w:val="none" w:sz="0" w:space="0" w:color="auto"/>
      </w:pBdr>
    </w:pPr>
    <w:r>
      <w:rPr>
        <w:noProof/>
      </w:rPr>
      <w:pict>
        <v:group id="_x0000_s2049" style="position:absolute;left:0;text-align:left;margin-left:5.2pt;margin-top:-32.25pt;width:531.2pt;height:37.5pt;z-index:251660288" coordorigin="728,206" coordsize="10624,750"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728;top:206;width:1336;height:724" strokecolor="white">
            <v:textbox style="mso-next-textbox:#_x0000_s2050">
              <w:txbxContent>
                <w:p w:rsidR="00CD1FCC" w:rsidRDefault="00CD1FCC" w:rsidP="00B10000">
                  <w:pPr>
                    <w:pStyle w:val="12"/>
                  </w:pPr>
                  <w:r w:rsidRPr="009A5376">
                    <w:rPr>
                      <w:noProof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30" type="#_x0000_t75" alt="凯石工2.jpg" style="width:42pt;height:29.25pt;visibility:visible">
                        <v:imagedata r:id="rId1" o:title=""/>
                      </v:shape>
                    </w:pict>
                  </w:r>
                </w:p>
              </w:txbxContent>
            </v:textbox>
          </v:shape>
          <v:shape id="_x0000_s2051" type="#_x0000_t202" style="position:absolute;left:5999;top:542;width:5353;height:414" strokecolor="white">
            <v:textbox style="mso-next-textbox:#_x0000_s2051">
              <w:txbxContent>
                <w:p w:rsidR="00CD1FCC" w:rsidRPr="006E0F3C" w:rsidRDefault="00CD1FCC" w:rsidP="00B10000">
                  <w:pPr>
                    <w:pStyle w:val="2"/>
                  </w:pPr>
                  <w:r>
                    <w:rPr>
                      <w:rFonts w:hint="eastAsia"/>
                    </w:rPr>
                    <w:t>公募基金周报（</w:t>
                  </w:r>
                  <w:r>
                    <w:t>2014.12.01~2014.12.05</w:t>
                  </w:r>
                  <w:r>
                    <w:rPr>
                      <w:rFonts w:hint="eastAsia"/>
                    </w:rPr>
                    <w:t>）</w:t>
                  </w:r>
                </w:p>
              </w:txbxContent>
            </v:textbox>
          </v:shape>
        </v:group>
      </w:pict>
    </w:r>
    <w:r>
      <w:pict>
        <v:rect id="_x0000_i1029" style="width:571.2pt;height:2pt" o:hralign="center" o:hrstd="t" o:hrnoshade="t" o:hr="t" fillcolor="#e7a631" stroked="f"/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1FCC" w:rsidRDefault="00CD1FCC" w:rsidP="003E6024">
    <w:pPr>
      <w:pStyle w:val="Header"/>
      <w:pBdr>
        <w:bottom w:val="none" w:sz="0" w:space="0" w:color="auto"/>
      </w:pBdr>
      <w:spacing w:afterLines="100"/>
    </w:pPr>
    <w:r>
      <w:rPr>
        <w:noProof/>
      </w:rPr>
    </w:r>
    <w:r>
      <w:pict>
        <v:group id="_x0000_s2052" style="width:532.6pt;height:143.7pt;mso-position-horizontal-relative:char;mso-position-vertical-relative:line" coordorigin="652,331" coordsize="10652,2874">
          <v:shapetype id="_x0000_t202" coordsize="21600,21600" o:spt="202" path="m,l,21600r21600,l21600,xe">
            <v:stroke joinstyle="miter"/>
            <v:path gradientshapeok="t" o:connecttype="rect"/>
          </v:shapetype>
          <v:shape id="_x0000_s2053" type="#_x0000_t202" style="position:absolute;left:652;top:331;width:3664;height:2430" strokecolor="white">
            <v:textbox style="mso-next-textbox:#_x0000_s2053">
              <w:txbxContent>
                <w:p w:rsidR="00CD1FCC" w:rsidRDefault="00CD1FCC" w:rsidP="00B10000">
                  <w:pPr>
                    <w:pStyle w:val="a0"/>
                  </w:pPr>
                  <w:r w:rsidRPr="009A5376"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图片 0" o:spid="_x0000_i1039" type="#_x0000_t75" alt="凯石工2.jpg" style="width:123pt;height:115.5pt;visibility:visible">
                        <v:imagedata r:id="rId1" o:title=""/>
                      </v:shape>
                    </w:pict>
                  </w:r>
                </w:p>
              </w:txbxContent>
            </v:textbox>
          </v:shape>
          <v:shape id="_x0000_s2054" type="#_x0000_t202" style="position:absolute;left:881;top:2578;width:2325;height:390" strokecolor="white">
            <v:textbox style="mso-next-textbox:#_x0000_s2054">
              <w:txbxContent>
                <w:p w:rsidR="00CD1FCC" w:rsidRPr="006E0F3C" w:rsidRDefault="00CD1FCC" w:rsidP="008840A4">
                  <w:pPr>
                    <w:pStyle w:val="a"/>
                    <w:spacing w:after="240"/>
                  </w:pPr>
                  <w:r w:rsidRPr="006E0F3C">
                    <w:rPr>
                      <w:rFonts w:hint="eastAsia"/>
                    </w:rPr>
                    <w:t>凯石工场研究报告</w:t>
                  </w:r>
                </w:p>
              </w:txbxContent>
            </v:textbox>
          </v:shape>
          <v:shape id="_x0000_s2055" type="#_x0000_t202" style="position:absolute;left:8740;top:609;width:2441;height:475" strokecolor="white">
            <v:textbox style="mso-next-textbox:#_x0000_s2055;mso-fit-shape-to-text:t">
              <w:txbxContent>
                <w:p w:rsidR="00CD1FCC" w:rsidRPr="006E0F3C" w:rsidRDefault="00CD1FCC" w:rsidP="00B10000">
                  <w:pPr>
                    <w:pStyle w:val="a1"/>
                    <w:jc w:val="right"/>
                  </w:pPr>
                  <w:r>
                    <w:t>2014</w:t>
                  </w:r>
                  <w:r w:rsidRPr="006E0F3C">
                    <w:rPr>
                      <w:rFonts w:hint="eastAsia"/>
                    </w:rPr>
                    <w:t>年</w:t>
                  </w:r>
                  <w:r>
                    <w:t>12</w:t>
                  </w:r>
                  <w:r w:rsidRPr="006E0F3C">
                    <w:rPr>
                      <w:rFonts w:hint="eastAsia"/>
                    </w:rPr>
                    <w:t>月</w:t>
                  </w:r>
                  <w:r>
                    <w:t>08</w:t>
                  </w:r>
                  <w:r w:rsidRPr="006E0F3C">
                    <w:rPr>
                      <w:rFonts w:hint="eastAsia"/>
                    </w:rPr>
                    <w:t>日</w:t>
                  </w:r>
                </w:p>
              </w:txbxContent>
            </v:textbox>
          </v:shape>
          <v:shape id="_x0000_s2056" type="#_x0000_t202" style="position:absolute;left:3214;top:1377;width:8090;height:1001" strokecolor="white">
            <v:textbox style="mso-next-textbox:#_x0000_s2056;mso-fit-shape-to-text:t">
              <w:txbxContent>
                <w:p w:rsidR="00CD1FCC" w:rsidRPr="00667F84" w:rsidRDefault="00CD1FCC" w:rsidP="00073ED8">
                  <w:pPr>
                    <w:pStyle w:val="a2"/>
                    <w:ind w:right="180"/>
                    <w:jc w:val="right"/>
                  </w:pPr>
                  <w:r>
                    <w:rPr>
                      <w:rFonts w:hint="eastAsia"/>
                    </w:rPr>
                    <w:t>多数权益类基金上涨，指数型收益领先主动型</w:t>
                  </w:r>
                </w:p>
                <w:p w:rsidR="00CD1FCC" w:rsidRPr="00624366" w:rsidRDefault="00CD1FCC" w:rsidP="00B10000">
                  <w:pPr>
                    <w:pStyle w:val="a2"/>
                    <w:jc w:val="right"/>
                    <w:rPr>
                      <w:sz w:val="28"/>
                      <w:szCs w:val="28"/>
                    </w:rPr>
                  </w:pPr>
                  <w:r w:rsidRPr="0095202C">
                    <w:rPr>
                      <w:rFonts w:hint="eastAsia"/>
                      <w:sz w:val="28"/>
                      <w:szCs w:val="28"/>
                    </w:rPr>
                    <w:t>公募基金周报（</w:t>
                  </w:r>
                  <w:r>
                    <w:rPr>
                      <w:sz w:val="28"/>
                      <w:szCs w:val="28"/>
                    </w:rPr>
                    <w:t>2014.12.01</w:t>
                  </w:r>
                  <w:r w:rsidRPr="0095202C">
                    <w:rPr>
                      <w:sz w:val="28"/>
                      <w:szCs w:val="28"/>
                    </w:rPr>
                    <w:t>~</w:t>
                  </w:r>
                  <w:r>
                    <w:rPr>
                      <w:sz w:val="28"/>
                      <w:szCs w:val="28"/>
                    </w:rPr>
                    <w:t>2014.12.05</w:t>
                  </w:r>
                  <w:r w:rsidRPr="0095202C">
                    <w:rPr>
                      <w:rFonts w:hint="eastAsia"/>
                      <w:sz w:val="28"/>
                      <w:szCs w:val="28"/>
                    </w:rPr>
                    <w:t>）</w:t>
                  </w:r>
                </w:p>
              </w:txbxContent>
            </v:textbox>
          </v:shape>
          <v:shape id="_x0000_s2057" type="#_x0000_t202" style="position:absolute;left:3246;top:2578;width:7993;height:627" strokecolor="white">
            <v:textbox style="mso-next-textbox:#_x0000_s2057">
              <w:txbxContent>
                <w:p w:rsidR="00CD1FCC" w:rsidRDefault="00CD1FCC" w:rsidP="005E42B1">
                  <w:pPr>
                    <w:pStyle w:val="a3"/>
                    <w:wordWrap w:val="0"/>
                    <w:ind w:right="420"/>
                  </w:pPr>
                  <w:r>
                    <w:rPr>
                      <w:rFonts w:hint="eastAsia"/>
                    </w:rPr>
                    <w:t>万晓微</w:t>
                  </w:r>
                  <w:r>
                    <w:t xml:space="preserve">  </w:t>
                  </w:r>
                  <w:r>
                    <w:rPr>
                      <w:rFonts w:hint="eastAsia"/>
                    </w:rPr>
                    <w:t>联系人</w:t>
                  </w:r>
                </w:p>
                <w:p w:rsidR="00CD1FCC" w:rsidRPr="006E0F3C" w:rsidRDefault="00CD1FCC" w:rsidP="005E42B1">
                  <w:pPr>
                    <w:pStyle w:val="a3"/>
                  </w:pPr>
                  <w:r>
                    <w:rPr>
                      <w:rFonts w:hint="eastAsia"/>
                    </w:rPr>
                    <w:t>杨</w:t>
                  </w:r>
                  <w:r>
                    <w:t xml:space="preserve">  </w:t>
                  </w:r>
                  <w:r>
                    <w:rPr>
                      <w:rFonts w:hint="eastAsia"/>
                    </w:rPr>
                    <w:t>舒</w:t>
                  </w:r>
                  <w:r w:rsidRPr="006E0F3C">
                    <w:t xml:space="preserve"> </w:t>
                  </w:r>
                  <w:r>
                    <w:t xml:space="preserve"> </w:t>
                  </w:r>
                  <w:r>
                    <w:rPr>
                      <w:rFonts w:hint="eastAsia"/>
                    </w:rPr>
                    <w:t>高级</w:t>
                  </w:r>
                  <w:r w:rsidRPr="006E0F3C">
                    <w:rPr>
                      <w:rFonts w:hint="eastAsia"/>
                    </w:rPr>
                    <w:t>分析师</w:t>
                  </w:r>
                  <w:r w:rsidRPr="006E0F3C">
                    <w:t xml:space="preserve"> </w:t>
                  </w:r>
                </w:p>
              </w:txbxContent>
            </v:textbox>
          </v:shape>
          <w10:anchorlock/>
        </v:group>
      </w:pict>
    </w:r>
    <w:r>
      <w:pict>
        <v:rect id="_x0000_i1038" style="width:571.2pt;height:2pt" o:hralign="center" o:hrstd="t" o:hrnoshade="t" o:hr="t" fillcolor="#e7a631" stroked="f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25pt;height:11.25pt" o:bullet="t">
        <v:imagedata r:id="rId1" o:title=""/>
      </v:shape>
    </w:pict>
  </w:numPicBullet>
  <w:abstractNum w:abstractNumId="0">
    <w:nsid w:val="08014C42"/>
    <w:multiLevelType w:val="singleLevel"/>
    <w:tmpl w:val="B4861D4C"/>
    <w:lvl w:ilvl="0">
      <w:start w:val="1"/>
      <w:numFmt w:val="bullet"/>
      <w:pStyle w:val="Cover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  <w:sz w:val="20"/>
      </w:rPr>
    </w:lvl>
  </w:abstractNum>
  <w:abstractNum w:abstractNumId="1">
    <w:nsid w:val="10E71F9D"/>
    <w:multiLevelType w:val="hybridMultilevel"/>
    <w:tmpl w:val="FF3C5942"/>
    <w:lvl w:ilvl="0" w:tplc="0409000B">
      <w:start w:val="1"/>
      <w:numFmt w:val="bullet"/>
      <w:lvlText w:val=""/>
      <w:lvlJc w:val="left"/>
      <w:pPr>
        <w:ind w:left="4248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4668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508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50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592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634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76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718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7608" w:hanging="420"/>
      </w:pPr>
      <w:rPr>
        <w:rFonts w:ascii="Wingdings" w:hAnsi="Wingdings" w:hint="default"/>
      </w:rPr>
    </w:lvl>
  </w:abstractNum>
  <w:abstractNum w:abstractNumId="2">
    <w:nsid w:val="492C6DD3"/>
    <w:multiLevelType w:val="hybridMultilevel"/>
    <w:tmpl w:val="6EAE99B8"/>
    <w:lvl w:ilvl="0" w:tplc="A1E68908">
      <w:start w:val="1"/>
      <w:numFmt w:val="bullet"/>
      <w:lvlText w:val=""/>
      <w:lvlJc w:val="left"/>
      <w:pPr>
        <w:tabs>
          <w:tab w:val="num" w:pos="4329"/>
        </w:tabs>
        <w:ind w:left="3969"/>
      </w:pPr>
      <w:rPr>
        <w:rFonts w:hint="default"/>
        <w:b w:val="0"/>
        <w:i w:val="0"/>
        <w:color w:val="000565"/>
        <w:sz w:val="18"/>
      </w:rPr>
    </w:lvl>
    <w:lvl w:ilvl="1" w:tplc="04090003">
      <w:start w:val="1"/>
      <w:numFmt w:val="bullet"/>
      <w:lvlText w:val=""/>
      <w:lvlJc w:val="left"/>
      <w:pPr>
        <w:tabs>
          <w:tab w:val="num" w:pos="4242"/>
        </w:tabs>
        <w:ind w:left="4242" w:hanging="420"/>
      </w:pPr>
      <w:rPr>
        <w:rFonts w:ascii="Wingdings" w:hAnsi="Wingdings" w:hint="default"/>
      </w:rPr>
    </w:lvl>
    <w:lvl w:ilvl="2" w:tplc="B0CACDC8">
      <w:start w:val="1"/>
      <w:numFmt w:val="bullet"/>
      <w:lvlText w:val=""/>
      <w:lvlJc w:val="left"/>
      <w:pPr>
        <w:tabs>
          <w:tab w:val="num" w:pos="4106"/>
        </w:tabs>
        <w:ind w:left="4106" w:hanging="420"/>
      </w:pPr>
      <w:rPr>
        <w:rFonts w:ascii="Wingdings" w:hAnsi="Wingdings" w:hint="default"/>
        <w:sz w:val="15"/>
      </w:rPr>
    </w:lvl>
    <w:lvl w:ilvl="3" w:tplc="04090001">
      <w:start w:val="1"/>
      <w:numFmt w:val="bullet"/>
      <w:lvlText w:val=""/>
      <w:lvlJc w:val="left"/>
      <w:pPr>
        <w:tabs>
          <w:tab w:val="num" w:pos="5082"/>
        </w:tabs>
        <w:ind w:left="5082" w:hanging="420"/>
      </w:pPr>
      <w:rPr>
        <w:rFonts w:ascii="Wingdings" w:hAnsi="Wingdings" w:hint="default"/>
      </w:rPr>
    </w:lvl>
    <w:lvl w:ilvl="4" w:tplc="AC7CA5DC">
      <w:start w:val="1"/>
      <w:numFmt w:val="bullet"/>
      <w:lvlText w:val=""/>
      <w:lvlJc w:val="left"/>
      <w:pPr>
        <w:tabs>
          <w:tab w:val="num" w:pos="3799"/>
        </w:tabs>
        <w:ind w:left="3799" w:hanging="369"/>
      </w:pPr>
      <w:rPr>
        <w:rFonts w:ascii="Wingdings" w:eastAsia="KaiTi_GB2312" w:hAnsi="Wingdings" w:hint="default"/>
        <w:b w:val="0"/>
        <w:i w:val="0"/>
        <w:color w:val="auto"/>
        <w:sz w:val="18"/>
      </w:rPr>
    </w:lvl>
    <w:lvl w:ilvl="5" w:tplc="04090005">
      <w:start w:val="1"/>
      <w:numFmt w:val="bullet"/>
      <w:lvlText w:val=""/>
      <w:lvlJc w:val="left"/>
      <w:pPr>
        <w:tabs>
          <w:tab w:val="num" w:pos="5922"/>
        </w:tabs>
        <w:ind w:left="59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6342"/>
        </w:tabs>
        <w:ind w:left="6342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6762"/>
        </w:tabs>
        <w:ind w:left="676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7182"/>
        </w:tabs>
        <w:ind w:left="7182" w:hanging="420"/>
      </w:pPr>
      <w:rPr>
        <w:rFonts w:ascii="Wingdings" w:hAnsi="Wingdings" w:hint="default"/>
      </w:rPr>
    </w:lvl>
  </w:abstractNum>
  <w:abstractNum w:abstractNumId="3">
    <w:nsid w:val="49A16DB4"/>
    <w:multiLevelType w:val="hybridMultilevel"/>
    <w:tmpl w:val="4E9C4D18"/>
    <w:lvl w:ilvl="0" w:tplc="A1E68908">
      <w:start w:val="1"/>
      <w:numFmt w:val="bullet"/>
      <w:lvlText w:val=""/>
      <w:lvlJc w:val="left"/>
      <w:pPr>
        <w:tabs>
          <w:tab w:val="num" w:pos="4329"/>
        </w:tabs>
        <w:ind w:left="3969"/>
      </w:pPr>
      <w:rPr>
        <w:rFonts w:hint="default"/>
        <w:b w:val="0"/>
        <w:i w:val="0"/>
        <w:color w:val="000565"/>
        <w:sz w:val="18"/>
      </w:rPr>
    </w:lvl>
    <w:lvl w:ilvl="1" w:tplc="04090003">
      <w:start w:val="1"/>
      <w:numFmt w:val="bullet"/>
      <w:lvlText w:val=""/>
      <w:lvlJc w:val="left"/>
      <w:pPr>
        <w:tabs>
          <w:tab w:val="num" w:pos="4242"/>
        </w:tabs>
        <w:ind w:left="4242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4662"/>
        </w:tabs>
        <w:ind w:left="4662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5082"/>
        </w:tabs>
        <w:ind w:left="5082" w:hanging="420"/>
      </w:pPr>
      <w:rPr>
        <w:rFonts w:ascii="Wingdings" w:hAnsi="Wingdings" w:hint="default"/>
      </w:rPr>
    </w:lvl>
    <w:lvl w:ilvl="4" w:tplc="15407DAC">
      <w:start w:val="1"/>
      <w:numFmt w:val="bullet"/>
      <w:lvlText w:val=""/>
      <w:lvlJc w:val="left"/>
      <w:pPr>
        <w:tabs>
          <w:tab w:val="num" w:pos="3799"/>
        </w:tabs>
        <w:ind w:left="3799" w:hanging="369"/>
      </w:pPr>
      <w:rPr>
        <w:rFonts w:ascii="Wingdings" w:hAnsi="Wingdings" w:hint="default"/>
        <w:b w:val="0"/>
        <w:i w:val="0"/>
        <w:color w:val="auto"/>
        <w:sz w:val="18"/>
      </w:rPr>
    </w:lvl>
    <w:lvl w:ilvl="5" w:tplc="04090005">
      <w:start w:val="1"/>
      <w:numFmt w:val="bullet"/>
      <w:lvlText w:val=""/>
      <w:lvlJc w:val="left"/>
      <w:pPr>
        <w:tabs>
          <w:tab w:val="num" w:pos="5922"/>
        </w:tabs>
        <w:ind w:left="59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6342"/>
        </w:tabs>
        <w:ind w:left="634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6762"/>
        </w:tabs>
        <w:ind w:left="676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7182"/>
        </w:tabs>
        <w:ind w:left="7182" w:hanging="420"/>
      </w:pPr>
      <w:rPr>
        <w:rFonts w:ascii="Wingdings" w:hAnsi="Wingdings" w:hint="default"/>
      </w:rPr>
    </w:lvl>
  </w:abstractNum>
  <w:abstractNum w:abstractNumId="4">
    <w:nsid w:val="5E8271C1"/>
    <w:multiLevelType w:val="hybridMultilevel"/>
    <w:tmpl w:val="6B68E90C"/>
    <w:lvl w:ilvl="0" w:tplc="A1E68908">
      <w:start w:val="1"/>
      <w:numFmt w:val="bullet"/>
      <w:lvlText w:val=""/>
      <w:lvlJc w:val="left"/>
      <w:pPr>
        <w:tabs>
          <w:tab w:val="num" w:pos="4329"/>
        </w:tabs>
        <w:ind w:left="3969"/>
      </w:pPr>
      <w:rPr>
        <w:rFonts w:hint="default"/>
        <w:b w:val="0"/>
        <w:i w:val="0"/>
        <w:color w:val="000565"/>
        <w:sz w:val="18"/>
      </w:rPr>
    </w:lvl>
    <w:lvl w:ilvl="1" w:tplc="04090003">
      <w:start w:val="1"/>
      <w:numFmt w:val="bullet"/>
      <w:lvlText w:val=""/>
      <w:lvlJc w:val="left"/>
      <w:pPr>
        <w:tabs>
          <w:tab w:val="num" w:pos="4242"/>
        </w:tabs>
        <w:ind w:left="4242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4662"/>
        </w:tabs>
        <w:ind w:left="4662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5082"/>
        </w:tabs>
        <w:ind w:left="5082" w:hanging="420"/>
      </w:pPr>
      <w:rPr>
        <w:rFonts w:ascii="Wingdings" w:hAnsi="Wingdings" w:hint="default"/>
      </w:rPr>
    </w:lvl>
    <w:lvl w:ilvl="4" w:tplc="31DAFFE0">
      <w:start w:val="1"/>
      <w:numFmt w:val="bullet"/>
      <w:lvlText w:val=""/>
      <w:lvlJc w:val="left"/>
      <w:pPr>
        <w:tabs>
          <w:tab w:val="num" w:pos="3649"/>
        </w:tabs>
        <w:ind w:left="3289"/>
      </w:pPr>
      <w:rPr>
        <w:rFonts w:ascii="Wingdings" w:eastAsia="宋体" w:hAnsi="Wingdings" w:hint="default"/>
        <w:b w:val="0"/>
        <w:i w:val="0"/>
        <w:color w:val="000565"/>
        <w:sz w:val="18"/>
      </w:rPr>
    </w:lvl>
    <w:lvl w:ilvl="5" w:tplc="DDC8F30C">
      <w:start w:val="1"/>
      <w:numFmt w:val="bullet"/>
      <w:lvlText w:val=""/>
      <w:lvlJc w:val="left"/>
      <w:pPr>
        <w:tabs>
          <w:tab w:val="num" w:pos="4139"/>
        </w:tabs>
        <w:ind w:left="4139" w:hanging="368"/>
      </w:pPr>
      <w:rPr>
        <w:rFonts w:ascii="Wingdings 2" w:eastAsia="KaiTi_GB2312" w:hAnsi="Wingdings 2" w:hint="default"/>
        <w:b w:val="0"/>
        <w:i w:val="0"/>
        <w:sz w:val="18"/>
      </w:rPr>
    </w:lvl>
    <w:lvl w:ilvl="6" w:tplc="04090001" w:tentative="1">
      <w:start w:val="1"/>
      <w:numFmt w:val="bullet"/>
      <w:lvlText w:val=""/>
      <w:lvlJc w:val="left"/>
      <w:pPr>
        <w:tabs>
          <w:tab w:val="num" w:pos="6342"/>
        </w:tabs>
        <w:ind w:left="634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6762"/>
        </w:tabs>
        <w:ind w:left="676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7182"/>
        </w:tabs>
        <w:ind w:left="7182" w:hanging="420"/>
      </w:pPr>
      <w:rPr>
        <w:rFonts w:ascii="Wingdings" w:hAnsi="Wingdings" w:hint="default"/>
      </w:rPr>
    </w:lvl>
  </w:abstractNum>
  <w:abstractNum w:abstractNumId="5">
    <w:nsid w:val="66145FDE"/>
    <w:multiLevelType w:val="singleLevel"/>
    <w:tmpl w:val="918C41C0"/>
    <w:lvl w:ilvl="0">
      <w:start w:val="1"/>
      <w:numFmt w:val="bullet"/>
      <w:pStyle w:val="BulletCoverpage"/>
      <w:lvlText w:val=""/>
      <w:lvlJc w:val="left"/>
      <w:pPr>
        <w:tabs>
          <w:tab w:val="num" w:pos="0"/>
        </w:tabs>
        <w:ind w:left="227" w:hanging="227"/>
      </w:pPr>
      <w:rPr>
        <w:rFonts w:ascii="Monotype Sorts" w:hAnsi="Monotype Sorts" w:hint="default"/>
        <w:color w:val="FF0000"/>
        <w:sz w:val="16"/>
      </w:rPr>
    </w:lvl>
  </w:abstractNum>
  <w:abstractNum w:abstractNumId="6">
    <w:nsid w:val="7DB2660F"/>
    <w:multiLevelType w:val="hybridMultilevel"/>
    <w:tmpl w:val="20BAD2A2"/>
    <w:lvl w:ilvl="0" w:tplc="74927076">
      <w:start w:val="1"/>
      <w:numFmt w:val="bullet"/>
      <w:pStyle w:val="Heading1"/>
      <w:lvlText w:val=""/>
      <w:lvlPicBulletId w:val="0"/>
      <w:lvlJc w:val="left"/>
      <w:pPr>
        <w:ind w:left="1620" w:hanging="42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20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9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3"/>
  </w:num>
  <w:num w:numId="6">
    <w:abstractNumId w:val="6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10000"/>
    <w:rsid w:val="00000141"/>
    <w:rsid w:val="00000D21"/>
    <w:rsid w:val="00000FDF"/>
    <w:rsid w:val="0000120D"/>
    <w:rsid w:val="00001D3E"/>
    <w:rsid w:val="00003645"/>
    <w:rsid w:val="00003664"/>
    <w:rsid w:val="00004B2E"/>
    <w:rsid w:val="00006269"/>
    <w:rsid w:val="00006540"/>
    <w:rsid w:val="000067F9"/>
    <w:rsid w:val="000067FB"/>
    <w:rsid w:val="00006C3E"/>
    <w:rsid w:val="00007D8C"/>
    <w:rsid w:val="00010847"/>
    <w:rsid w:val="00011851"/>
    <w:rsid w:val="000119BE"/>
    <w:rsid w:val="000126C4"/>
    <w:rsid w:val="00012FFF"/>
    <w:rsid w:val="0001365A"/>
    <w:rsid w:val="00013790"/>
    <w:rsid w:val="000143E6"/>
    <w:rsid w:val="00015E23"/>
    <w:rsid w:val="0001604D"/>
    <w:rsid w:val="000162FF"/>
    <w:rsid w:val="000204F2"/>
    <w:rsid w:val="000212A0"/>
    <w:rsid w:val="000215CD"/>
    <w:rsid w:val="0002164B"/>
    <w:rsid w:val="000219A1"/>
    <w:rsid w:val="000225B4"/>
    <w:rsid w:val="00022866"/>
    <w:rsid w:val="00024188"/>
    <w:rsid w:val="00024C7D"/>
    <w:rsid w:val="00026FF9"/>
    <w:rsid w:val="000305DC"/>
    <w:rsid w:val="0003081C"/>
    <w:rsid w:val="00031276"/>
    <w:rsid w:val="000341C3"/>
    <w:rsid w:val="00034C20"/>
    <w:rsid w:val="00036038"/>
    <w:rsid w:val="00036353"/>
    <w:rsid w:val="00036AB5"/>
    <w:rsid w:val="00036BCD"/>
    <w:rsid w:val="00037343"/>
    <w:rsid w:val="000374F2"/>
    <w:rsid w:val="000374FE"/>
    <w:rsid w:val="00037BAF"/>
    <w:rsid w:val="00042A77"/>
    <w:rsid w:val="00043D8D"/>
    <w:rsid w:val="00043FC9"/>
    <w:rsid w:val="00044179"/>
    <w:rsid w:val="000461F6"/>
    <w:rsid w:val="0004751A"/>
    <w:rsid w:val="00047523"/>
    <w:rsid w:val="00047EDC"/>
    <w:rsid w:val="000507E5"/>
    <w:rsid w:val="0005101C"/>
    <w:rsid w:val="000522ED"/>
    <w:rsid w:val="0005299A"/>
    <w:rsid w:val="00053854"/>
    <w:rsid w:val="00056D77"/>
    <w:rsid w:val="00057142"/>
    <w:rsid w:val="00060829"/>
    <w:rsid w:val="000612CD"/>
    <w:rsid w:val="00061632"/>
    <w:rsid w:val="000621C7"/>
    <w:rsid w:val="0006243F"/>
    <w:rsid w:val="00062830"/>
    <w:rsid w:val="00062965"/>
    <w:rsid w:val="00064DAE"/>
    <w:rsid w:val="00064E08"/>
    <w:rsid w:val="00066D5E"/>
    <w:rsid w:val="000677D5"/>
    <w:rsid w:val="00070093"/>
    <w:rsid w:val="00070307"/>
    <w:rsid w:val="00072445"/>
    <w:rsid w:val="00073843"/>
    <w:rsid w:val="00073BEE"/>
    <w:rsid w:val="00073ED8"/>
    <w:rsid w:val="0007448E"/>
    <w:rsid w:val="00074E24"/>
    <w:rsid w:val="00075931"/>
    <w:rsid w:val="00080386"/>
    <w:rsid w:val="000803A7"/>
    <w:rsid w:val="00081D63"/>
    <w:rsid w:val="00081EA9"/>
    <w:rsid w:val="000822B8"/>
    <w:rsid w:val="00082331"/>
    <w:rsid w:val="00082805"/>
    <w:rsid w:val="000856DF"/>
    <w:rsid w:val="00087210"/>
    <w:rsid w:val="0009128D"/>
    <w:rsid w:val="000913FB"/>
    <w:rsid w:val="00091649"/>
    <w:rsid w:val="00091971"/>
    <w:rsid w:val="00091E0E"/>
    <w:rsid w:val="000929C7"/>
    <w:rsid w:val="00092C5E"/>
    <w:rsid w:val="000941BB"/>
    <w:rsid w:val="00094650"/>
    <w:rsid w:val="00097363"/>
    <w:rsid w:val="00097FE0"/>
    <w:rsid w:val="000A22A7"/>
    <w:rsid w:val="000A284C"/>
    <w:rsid w:val="000A2DCE"/>
    <w:rsid w:val="000A2FAE"/>
    <w:rsid w:val="000A35A9"/>
    <w:rsid w:val="000A384C"/>
    <w:rsid w:val="000A5652"/>
    <w:rsid w:val="000B05CE"/>
    <w:rsid w:val="000B0D20"/>
    <w:rsid w:val="000B21FF"/>
    <w:rsid w:val="000B31B2"/>
    <w:rsid w:val="000B3641"/>
    <w:rsid w:val="000B5823"/>
    <w:rsid w:val="000B6F19"/>
    <w:rsid w:val="000B6F70"/>
    <w:rsid w:val="000B712C"/>
    <w:rsid w:val="000B716A"/>
    <w:rsid w:val="000B7203"/>
    <w:rsid w:val="000B7303"/>
    <w:rsid w:val="000B7C3D"/>
    <w:rsid w:val="000C023E"/>
    <w:rsid w:val="000C0348"/>
    <w:rsid w:val="000C088F"/>
    <w:rsid w:val="000C08C5"/>
    <w:rsid w:val="000C0997"/>
    <w:rsid w:val="000C15DC"/>
    <w:rsid w:val="000C18B7"/>
    <w:rsid w:val="000C32D5"/>
    <w:rsid w:val="000C32DA"/>
    <w:rsid w:val="000C3A57"/>
    <w:rsid w:val="000C4D6A"/>
    <w:rsid w:val="000C4EBD"/>
    <w:rsid w:val="000C51A4"/>
    <w:rsid w:val="000C6B9E"/>
    <w:rsid w:val="000C6E03"/>
    <w:rsid w:val="000C7DF2"/>
    <w:rsid w:val="000D01C4"/>
    <w:rsid w:val="000D01F8"/>
    <w:rsid w:val="000D1136"/>
    <w:rsid w:val="000D27F8"/>
    <w:rsid w:val="000D4A66"/>
    <w:rsid w:val="000D6FC5"/>
    <w:rsid w:val="000D73AB"/>
    <w:rsid w:val="000E05DC"/>
    <w:rsid w:val="000E14C2"/>
    <w:rsid w:val="000E17E0"/>
    <w:rsid w:val="000E1E84"/>
    <w:rsid w:val="000E1F81"/>
    <w:rsid w:val="000E217B"/>
    <w:rsid w:val="000E371E"/>
    <w:rsid w:val="000E37D5"/>
    <w:rsid w:val="000E39C2"/>
    <w:rsid w:val="000E5E16"/>
    <w:rsid w:val="000E62CE"/>
    <w:rsid w:val="000E6D9A"/>
    <w:rsid w:val="000E713F"/>
    <w:rsid w:val="000F0312"/>
    <w:rsid w:val="000F10CB"/>
    <w:rsid w:val="000F325C"/>
    <w:rsid w:val="000F5786"/>
    <w:rsid w:val="001003DE"/>
    <w:rsid w:val="00100572"/>
    <w:rsid w:val="00100CB5"/>
    <w:rsid w:val="00102234"/>
    <w:rsid w:val="001024F4"/>
    <w:rsid w:val="001029D0"/>
    <w:rsid w:val="00103C41"/>
    <w:rsid w:val="00104265"/>
    <w:rsid w:val="001063EA"/>
    <w:rsid w:val="001064E7"/>
    <w:rsid w:val="00106D18"/>
    <w:rsid w:val="001073F0"/>
    <w:rsid w:val="0010775F"/>
    <w:rsid w:val="001106F0"/>
    <w:rsid w:val="00111BEB"/>
    <w:rsid w:val="00111D39"/>
    <w:rsid w:val="001123BE"/>
    <w:rsid w:val="001130D2"/>
    <w:rsid w:val="00113876"/>
    <w:rsid w:val="00113E7A"/>
    <w:rsid w:val="00114389"/>
    <w:rsid w:val="00115337"/>
    <w:rsid w:val="001169B2"/>
    <w:rsid w:val="00120197"/>
    <w:rsid w:val="00120F16"/>
    <w:rsid w:val="00121295"/>
    <w:rsid w:val="001228E3"/>
    <w:rsid w:val="001230AE"/>
    <w:rsid w:val="00123F2B"/>
    <w:rsid w:val="0012463A"/>
    <w:rsid w:val="00125684"/>
    <w:rsid w:val="00125825"/>
    <w:rsid w:val="001268AC"/>
    <w:rsid w:val="00126B45"/>
    <w:rsid w:val="00127385"/>
    <w:rsid w:val="00130016"/>
    <w:rsid w:val="00130213"/>
    <w:rsid w:val="00130DAF"/>
    <w:rsid w:val="001312C8"/>
    <w:rsid w:val="0013161E"/>
    <w:rsid w:val="0013294D"/>
    <w:rsid w:val="0013351F"/>
    <w:rsid w:val="00133AAB"/>
    <w:rsid w:val="00136BFE"/>
    <w:rsid w:val="00137C4A"/>
    <w:rsid w:val="001403F1"/>
    <w:rsid w:val="0014376B"/>
    <w:rsid w:val="001458C0"/>
    <w:rsid w:val="00146452"/>
    <w:rsid w:val="00147264"/>
    <w:rsid w:val="00147EA7"/>
    <w:rsid w:val="001506C6"/>
    <w:rsid w:val="00150FC3"/>
    <w:rsid w:val="001522E7"/>
    <w:rsid w:val="00152902"/>
    <w:rsid w:val="001531C5"/>
    <w:rsid w:val="001531DA"/>
    <w:rsid w:val="001533D0"/>
    <w:rsid w:val="001538BD"/>
    <w:rsid w:val="00154684"/>
    <w:rsid w:val="00154896"/>
    <w:rsid w:val="00154C4E"/>
    <w:rsid w:val="0015518D"/>
    <w:rsid w:val="00155E7B"/>
    <w:rsid w:val="0015777B"/>
    <w:rsid w:val="00160A00"/>
    <w:rsid w:val="00160B05"/>
    <w:rsid w:val="00161177"/>
    <w:rsid w:val="0016637B"/>
    <w:rsid w:val="00166B27"/>
    <w:rsid w:val="0016750A"/>
    <w:rsid w:val="0017058D"/>
    <w:rsid w:val="001707EB"/>
    <w:rsid w:val="001709A2"/>
    <w:rsid w:val="00170E5D"/>
    <w:rsid w:val="00171DE7"/>
    <w:rsid w:val="00171E16"/>
    <w:rsid w:val="00172C7D"/>
    <w:rsid w:val="0017320D"/>
    <w:rsid w:val="001732F3"/>
    <w:rsid w:val="001735B0"/>
    <w:rsid w:val="001736DF"/>
    <w:rsid w:val="00174454"/>
    <w:rsid w:val="001757C6"/>
    <w:rsid w:val="001757D1"/>
    <w:rsid w:val="001757EC"/>
    <w:rsid w:val="001765DA"/>
    <w:rsid w:val="00176FFB"/>
    <w:rsid w:val="00180920"/>
    <w:rsid w:val="00181DC4"/>
    <w:rsid w:val="00181DE3"/>
    <w:rsid w:val="00181FF9"/>
    <w:rsid w:val="001824C1"/>
    <w:rsid w:val="00183A83"/>
    <w:rsid w:val="00185298"/>
    <w:rsid w:val="00185397"/>
    <w:rsid w:val="001866D5"/>
    <w:rsid w:val="00187DBC"/>
    <w:rsid w:val="0019096C"/>
    <w:rsid w:val="00190A08"/>
    <w:rsid w:val="001913B3"/>
    <w:rsid w:val="00192281"/>
    <w:rsid w:val="001929EF"/>
    <w:rsid w:val="00193191"/>
    <w:rsid w:val="00194A20"/>
    <w:rsid w:val="00196AEC"/>
    <w:rsid w:val="00196BC9"/>
    <w:rsid w:val="001A04CB"/>
    <w:rsid w:val="001A08B1"/>
    <w:rsid w:val="001A20EF"/>
    <w:rsid w:val="001A357D"/>
    <w:rsid w:val="001A380A"/>
    <w:rsid w:val="001A3AA9"/>
    <w:rsid w:val="001A3D7F"/>
    <w:rsid w:val="001A4657"/>
    <w:rsid w:val="001A6631"/>
    <w:rsid w:val="001A7013"/>
    <w:rsid w:val="001A74F7"/>
    <w:rsid w:val="001B0FB5"/>
    <w:rsid w:val="001B187C"/>
    <w:rsid w:val="001B197C"/>
    <w:rsid w:val="001B1A86"/>
    <w:rsid w:val="001B1E97"/>
    <w:rsid w:val="001B3B5C"/>
    <w:rsid w:val="001B3B9B"/>
    <w:rsid w:val="001B3E3A"/>
    <w:rsid w:val="001B4063"/>
    <w:rsid w:val="001B4102"/>
    <w:rsid w:val="001B472A"/>
    <w:rsid w:val="001B4F00"/>
    <w:rsid w:val="001B4F35"/>
    <w:rsid w:val="001B57EB"/>
    <w:rsid w:val="001B5C91"/>
    <w:rsid w:val="001B6D17"/>
    <w:rsid w:val="001B6D2E"/>
    <w:rsid w:val="001B7AA9"/>
    <w:rsid w:val="001C0504"/>
    <w:rsid w:val="001C1C98"/>
    <w:rsid w:val="001C2E66"/>
    <w:rsid w:val="001C3226"/>
    <w:rsid w:val="001C343E"/>
    <w:rsid w:val="001D0941"/>
    <w:rsid w:val="001D0ED6"/>
    <w:rsid w:val="001D10EA"/>
    <w:rsid w:val="001D11C7"/>
    <w:rsid w:val="001D15BF"/>
    <w:rsid w:val="001D1F68"/>
    <w:rsid w:val="001D293B"/>
    <w:rsid w:val="001D33CC"/>
    <w:rsid w:val="001D45B3"/>
    <w:rsid w:val="001D4758"/>
    <w:rsid w:val="001D5881"/>
    <w:rsid w:val="001D5DD8"/>
    <w:rsid w:val="001D6224"/>
    <w:rsid w:val="001D6DEE"/>
    <w:rsid w:val="001D75AA"/>
    <w:rsid w:val="001E08CB"/>
    <w:rsid w:val="001E095A"/>
    <w:rsid w:val="001E182A"/>
    <w:rsid w:val="001E1D7C"/>
    <w:rsid w:val="001E2223"/>
    <w:rsid w:val="001E2509"/>
    <w:rsid w:val="001E3E6D"/>
    <w:rsid w:val="001E3FEC"/>
    <w:rsid w:val="001E5298"/>
    <w:rsid w:val="001E571E"/>
    <w:rsid w:val="001E5E74"/>
    <w:rsid w:val="001E6FE6"/>
    <w:rsid w:val="001E7012"/>
    <w:rsid w:val="001E77A4"/>
    <w:rsid w:val="001F1187"/>
    <w:rsid w:val="001F13E5"/>
    <w:rsid w:val="001F2B31"/>
    <w:rsid w:val="001F3F91"/>
    <w:rsid w:val="001F4217"/>
    <w:rsid w:val="001F5143"/>
    <w:rsid w:val="001F5653"/>
    <w:rsid w:val="001F602C"/>
    <w:rsid w:val="00200F65"/>
    <w:rsid w:val="0020555F"/>
    <w:rsid w:val="0021175A"/>
    <w:rsid w:val="002123E6"/>
    <w:rsid w:val="00212517"/>
    <w:rsid w:val="00212819"/>
    <w:rsid w:val="002134BF"/>
    <w:rsid w:val="0021355A"/>
    <w:rsid w:val="00214A19"/>
    <w:rsid w:val="00215FD6"/>
    <w:rsid w:val="0021658D"/>
    <w:rsid w:val="00217126"/>
    <w:rsid w:val="00217252"/>
    <w:rsid w:val="0022142A"/>
    <w:rsid w:val="00221A18"/>
    <w:rsid w:val="00223AC5"/>
    <w:rsid w:val="00224D0D"/>
    <w:rsid w:val="00225508"/>
    <w:rsid w:val="0022551E"/>
    <w:rsid w:val="00225E44"/>
    <w:rsid w:val="00226D20"/>
    <w:rsid w:val="00227C4D"/>
    <w:rsid w:val="00230CEA"/>
    <w:rsid w:val="00231AF8"/>
    <w:rsid w:val="002327F6"/>
    <w:rsid w:val="00233317"/>
    <w:rsid w:val="002338C0"/>
    <w:rsid w:val="00233AC4"/>
    <w:rsid w:val="002344A5"/>
    <w:rsid w:val="00235525"/>
    <w:rsid w:val="002370DC"/>
    <w:rsid w:val="002379F3"/>
    <w:rsid w:val="002413CF"/>
    <w:rsid w:val="00241CE2"/>
    <w:rsid w:val="002423F7"/>
    <w:rsid w:val="0024271D"/>
    <w:rsid w:val="00242D53"/>
    <w:rsid w:val="00242D8D"/>
    <w:rsid w:val="00245068"/>
    <w:rsid w:val="002451DB"/>
    <w:rsid w:val="00245B98"/>
    <w:rsid w:val="00246A3D"/>
    <w:rsid w:val="002479FC"/>
    <w:rsid w:val="00247B9F"/>
    <w:rsid w:val="0025038E"/>
    <w:rsid w:val="00250622"/>
    <w:rsid w:val="0025117A"/>
    <w:rsid w:val="0025195E"/>
    <w:rsid w:val="00252878"/>
    <w:rsid w:val="00253953"/>
    <w:rsid w:val="00253B42"/>
    <w:rsid w:val="00256FE2"/>
    <w:rsid w:val="0025748F"/>
    <w:rsid w:val="00257525"/>
    <w:rsid w:val="00257B4B"/>
    <w:rsid w:val="00257D31"/>
    <w:rsid w:val="0026029B"/>
    <w:rsid w:val="00261ADB"/>
    <w:rsid w:val="00261BE7"/>
    <w:rsid w:val="002637EF"/>
    <w:rsid w:val="0026413E"/>
    <w:rsid w:val="002643C4"/>
    <w:rsid w:val="002645D0"/>
    <w:rsid w:val="00264C5C"/>
    <w:rsid w:val="002656A6"/>
    <w:rsid w:val="002659DF"/>
    <w:rsid w:val="00265B6D"/>
    <w:rsid w:val="00265D17"/>
    <w:rsid w:val="0027079A"/>
    <w:rsid w:val="00272F28"/>
    <w:rsid w:val="00273C1B"/>
    <w:rsid w:val="00274905"/>
    <w:rsid w:val="00275EC5"/>
    <w:rsid w:val="00276D8F"/>
    <w:rsid w:val="0027722C"/>
    <w:rsid w:val="00281145"/>
    <w:rsid w:val="00281F38"/>
    <w:rsid w:val="00281FF8"/>
    <w:rsid w:val="002840F1"/>
    <w:rsid w:val="00284688"/>
    <w:rsid w:val="00284CD1"/>
    <w:rsid w:val="00286F58"/>
    <w:rsid w:val="00290143"/>
    <w:rsid w:val="00290712"/>
    <w:rsid w:val="0029089C"/>
    <w:rsid w:val="00290EC1"/>
    <w:rsid w:val="002919F1"/>
    <w:rsid w:val="00291B5F"/>
    <w:rsid w:val="00292974"/>
    <w:rsid w:val="00292E2D"/>
    <w:rsid w:val="00293321"/>
    <w:rsid w:val="00293928"/>
    <w:rsid w:val="00294614"/>
    <w:rsid w:val="0029599D"/>
    <w:rsid w:val="00296C0E"/>
    <w:rsid w:val="00297532"/>
    <w:rsid w:val="00297B88"/>
    <w:rsid w:val="00297F35"/>
    <w:rsid w:val="002A1208"/>
    <w:rsid w:val="002A190B"/>
    <w:rsid w:val="002A3099"/>
    <w:rsid w:val="002A34F9"/>
    <w:rsid w:val="002A37A1"/>
    <w:rsid w:val="002A3FBB"/>
    <w:rsid w:val="002A45E7"/>
    <w:rsid w:val="002A5630"/>
    <w:rsid w:val="002A5DDD"/>
    <w:rsid w:val="002A6AB8"/>
    <w:rsid w:val="002A7560"/>
    <w:rsid w:val="002A79C3"/>
    <w:rsid w:val="002B0922"/>
    <w:rsid w:val="002B0F8E"/>
    <w:rsid w:val="002B114E"/>
    <w:rsid w:val="002B128A"/>
    <w:rsid w:val="002B1A4F"/>
    <w:rsid w:val="002B1DFF"/>
    <w:rsid w:val="002B3374"/>
    <w:rsid w:val="002B3515"/>
    <w:rsid w:val="002B3544"/>
    <w:rsid w:val="002B368B"/>
    <w:rsid w:val="002B4921"/>
    <w:rsid w:val="002B5A7F"/>
    <w:rsid w:val="002B615B"/>
    <w:rsid w:val="002B7B9F"/>
    <w:rsid w:val="002B7F41"/>
    <w:rsid w:val="002C0245"/>
    <w:rsid w:val="002C095D"/>
    <w:rsid w:val="002C0C0A"/>
    <w:rsid w:val="002C1257"/>
    <w:rsid w:val="002C2F59"/>
    <w:rsid w:val="002C337A"/>
    <w:rsid w:val="002C5323"/>
    <w:rsid w:val="002C5822"/>
    <w:rsid w:val="002C6DA1"/>
    <w:rsid w:val="002C75C8"/>
    <w:rsid w:val="002C777A"/>
    <w:rsid w:val="002D013F"/>
    <w:rsid w:val="002D0968"/>
    <w:rsid w:val="002D1F64"/>
    <w:rsid w:val="002D26EA"/>
    <w:rsid w:val="002D2967"/>
    <w:rsid w:val="002D33C7"/>
    <w:rsid w:val="002D361E"/>
    <w:rsid w:val="002D3F9A"/>
    <w:rsid w:val="002D47FE"/>
    <w:rsid w:val="002D7B70"/>
    <w:rsid w:val="002D7BF5"/>
    <w:rsid w:val="002E0C37"/>
    <w:rsid w:val="002E12A4"/>
    <w:rsid w:val="002E1DB4"/>
    <w:rsid w:val="002E21CD"/>
    <w:rsid w:val="002E5B19"/>
    <w:rsid w:val="002E6183"/>
    <w:rsid w:val="002E772B"/>
    <w:rsid w:val="002E77AD"/>
    <w:rsid w:val="002E7B53"/>
    <w:rsid w:val="002F185F"/>
    <w:rsid w:val="002F1C35"/>
    <w:rsid w:val="002F1D00"/>
    <w:rsid w:val="002F2866"/>
    <w:rsid w:val="002F3B45"/>
    <w:rsid w:val="002F45A3"/>
    <w:rsid w:val="002F4660"/>
    <w:rsid w:val="002F504E"/>
    <w:rsid w:val="002F55EC"/>
    <w:rsid w:val="002F5B82"/>
    <w:rsid w:val="002F5E62"/>
    <w:rsid w:val="002F6B09"/>
    <w:rsid w:val="00300242"/>
    <w:rsid w:val="00300A5A"/>
    <w:rsid w:val="00302EDB"/>
    <w:rsid w:val="00303164"/>
    <w:rsid w:val="00304661"/>
    <w:rsid w:val="00305313"/>
    <w:rsid w:val="003069F4"/>
    <w:rsid w:val="003072D1"/>
    <w:rsid w:val="003073E4"/>
    <w:rsid w:val="00310E88"/>
    <w:rsid w:val="00310FA9"/>
    <w:rsid w:val="003116D3"/>
    <w:rsid w:val="00311935"/>
    <w:rsid w:val="00313F33"/>
    <w:rsid w:val="00314942"/>
    <w:rsid w:val="00315ECA"/>
    <w:rsid w:val="003162DE"/>
    <w:rsid w:val="003163A1"/>
    <w:rsid w:val="003168D1"/>
    <w:rsid w:val="003173B8"/>
    <w:rsid w:val="00322227"/>
    <w:rsid w:val="00323F6F"/>
    <w:rsid w:val="00324CBF"/>
    <w:rsid w:val="003253E4"/>
    <w:rsid w:val="003258CF"/>
    <w:rsid w:val="00325916"/>
    <w:rsid w:val="00326DD8"/>
    <w:rsid w:val="00327C6B"/>
    <w:rsid w:val="00330C9D"/>
    <w:rsid w:val="0033170F"/>
    <w:rsid w:val="00331CA2"/>
    <w:rsid w:val="00334383"/>
    <w:rsid w:val="00335140"/>
    <w:rsid w:val="003362A1"/>
    <w:rsid w:val="00336F80"/>
    <w:rsid w:val="003373AC"/>
    <w:rsid w:val="003406CE"/>
    <w:rsid w:val="003417B7"/>
    <w:rsid w:val="00341CB3"/>
    <w:rsid w:val="00343429"/>
    <w:rsid w:val="0034351F"/>
    <w:rsid w:val="00343694"/>
    <w:rsid w:val="00343D07"/>
    <w:rsid w:val="003440C8"/>
    <w:rsid w:val="00344812"/>
    <w:rsid w:val="00344B0F"/>
    <w:rsid w:val="003462B6"/>
    <w:rsid w:val="003471C6"/>
    <w:rsid w:val="0035051D"/>
    <w:rsid w:val="0035107C"/>
    <w:rsid w:val="00351538"/>
    <w:rsid w:val="00354855"/>
    <w:rsid w:val="00354C5A"/>
    <w:rsid w:val="00354CB8"/>
    <w:rsid w:val="00355317"/>
    <w:rsid w:val="00355CC6"/>
    <w:rsid w:val="00356092"/>
    <w:rsid w:val="00357725"/>
    <w:rsid w:val="00357A68"/>
    <w:rsid w:val="0036098B"/>
    <w:rsid w:val="00360B1F"/>
    <w:rsid w:val="003629A1"/>
    <w:rsid w:val="00362BDF"/>
    <w:rsid w:val="003630D1"/>
    <w:rsid w:val="00363312"/>
    <w:rsid w:val="00363438"/>
    <w:rsid w:val="0036352A"/>
    <w:rsid w:val="003637FA"/>
    <w:rsid w:val="00363986"/>
    <w:rsid w:val="00363F8F"/>
    <w:rsid w:val="00364108"/>
    <w:rsid w:val="00364CD1"/>
    <w:rsid w:val="00365F1B"/>
    <w:rsid w:val="00366189"/>
    <w:rsid w:val="00366935"/>
    <w:rsid w:val="00366E94"/>
    <w:rsid w:val="0036766C"/>
    <w:rsid w:val="00370701"/>
    <w:rsid w:val="00370A76"/>
    <w:rsid w:val="00370B61"/>
    <w:rsid w:val="00371002"/>
    <w:rsid w:val="00371BA7"/>
    <w:rsid w:val="003723DE"/>
    <w:rsid w:val="00372756"/>
    <w:rsid w:val="00372CE0"/>
    <w:rsid w:val="003737C6"/>
    <w:rsid w:val="00373948"/>
    <w:rsid w:val="00373A37"/>
    <w:rsid w:val="0037412F"/>
    <w:rsid w:val="00374506"/>
    <w:rsid w:val="003746B1"/>
    <w:rsid w:val="0037492D"/>
    <w:rsid w:val="00374BA5"/>
    <w:rsid w:val="00375B9D"/>
    <w:rsid w:val="003771E7"/>
    <w:rsid w:val="003778C1"/>
    <w:rsid w:val="00377F18"/>
    <w:rsid w:val="0038003D"/>
    <w:rsid w:val="00380361"/>
    <w:rsid w:val="00380EEB"/>
    <w:rsid w:val="00381AC5"/>
    <w:rsid w:val="00381CFE"/>
    <w:rsid w:val="00382364"/>
    <w:rsid w:val="0038273D"/>
    <w:rsid w:val="00382C66"/>
    <w:rsid w:val="00382CDF"/>
    <w:rsid w:val="0038350E"/>
    <w:rsid w:val="00384718"/>
    <w:rsid w:val="00384812"/>
    <w:rsid w:val="00385D0C"/>
    <w:rsid w:val="003868A6"/>
    <w:rsid w:val="00386B54"/>
    <w:rsid w:val="00387780"/>
    <w:rsid w:val="003901F3"/>
    <w:rsid w:val="003903DA"/>
    <w:rsid w:val="00390A0F"/>
    <w:rsid w:val="003919B4"/>
    <w:rsid w:val="003920E5"/>
    <w:rsid w:val="0039344D"/>
    <w:rsid w:val="003936BE"/>
    <w:rsid w:val="003940C0"/>
    <w:rsid w:val="0039511A"/>
    <w:rsid w:val="00395B1F"/>
    <w:rsid w:val="003960A9"/>
    <w:rsid w:val="00396ECB"/>
    <w:rsid w:val="00397178"/>
    <w:rsid w:val="003A036D"/>
    <w:rsid w:val="003A0E58"/>
    <w:rsid w:val="003A2FAE"/>
    <w:rsid w:val="003A5083"/>
    <w:rsid w:val="003A50E7"/>
    <w:rsid w:val="003A5519"/>
    <w:rsid w:val="003A5C5F"/>
    <w:rsid w:val="003A6147"/>
    <w:rsid w:val="003B10CC"/>
    <w:rsid w:val="003B126E"/>
    <w:rsid w:val="003B1409"/>
    <w:rsid w:val="003B174B"/>
    <w:rsid w:val="003B2635"/>
    <w:rsid w:val="003B2637"/>
    <w:rsid w:val="003B35FC"/>
    <w:rsid w:val="003B3C9C"/>
    <w:rsid w:val="003B45D3"/>
    <w:rsid w:val="003B550A"/>
    <w:rsid w:val="003B5D7E"/>
    <w:rsid w:val="003B5E85"/>
    <w:rsid w:val="003B6A6A"/>
    <w:rsid w:val="003B6C66"/>
    <w:rsid w:val="003C0101"/>
    <w:rsid w:val="003C08A1"/>
    <w:rsid w:val="003C12B7"/>
    <w:rsid w:val="003C1392"/>
    <w:rsid w:val="003C13DB"/>
    <w:rsid w:val="003C24D0"/>
    <w:rsid w:val="003C2907"/>
    <w:rsid w:val="003C2CC0"/>
    <w:rsid w:val="003C3F02"/>
    <w:rsid w:val="003C5C90"/>
    <w:rsid w:val="003C77A2"/>
    <w:rsid w:val="003C7C60"/>
    <w:rsid w:val="003D3780"/>
    <w:rsid w:val="003D3C89"/>
    <w:rsid w:val="003D445A"/>
    <w:rsid w:val="003D4C21"/>
    <w:rsid w:val="003D4E0C"/>
    <w:rsid w:val="003E094A"/>
    <w:rsid w:val="003E0FE3"/>
    <w:rsid w:val="003E104D"/>
    <w:rsid w:val="003E2C89"/>
    <w:rsid w:val="003E3E40"/>
    <w:rsid w:val="003E3F7D"/>
    <w:rsid w:val="003E597D"/>
    <w:rsid w:val="003E6024"/>
    <w:rsid w:val="003E6742"/>
    <w:rsid w:val="003F0C5A"/>
    <w:rsid w:val="003F0F93"/>
    <w:rsid w:val="003F158A"/>
    <w:rsid w:val="003F15EB"/>
    <w:rsid w:val="003F18DA"/>
    <w:rsid w:val="003F2B05"/>
    <w:rsid w:val="003F3DCE"/>
    <w:rsid w:val="003F40A1"/>
    <w:rsid w:val="003F4C66"/>
    <w:rsid w:val="003F4C8D"/>
    <w:rsid w:val="003F501F"/>
    <w:rsid w:val="003F562A"/>
    <w:rsid w:val="003F647D"/>
    <w:rsid w:val="003F6D13"/>
    <w:rsid w:val="003F7490"/>
    <w:rsid w:val="003F7591"/>
    <w:rsid w:val="003F765F"/>
    <w:rsid w:val="004001CA"/>
    <w:rsid w:val="004010BD"/>
    <w:rsid w:val="0040136A"/>
    <w:rsid w:val="00402243"/>
    <w:rsid w:val="00402302"/>
    <w:rsid w:val="004025B1"/>
    <w:rsid w:val="00403762"/>
    <w:rsid w:val="00403CD9"/>
    <w:rsid w:val="004041B3"/>
    <w:rsid w:val="004049E1"/>
    <w:rsid w:val="00404A3A"/>
    <w:rsid w:val="0040548E"/>
    <w:rsid w:val="00405C38"/>
    <w:rsid w:val="00406576"/>
    <w:rsid w:val="0040695C"/>
    <w:rsid w:val="0040729F"/>
    <w:rsid w:val="00407E0E"/>
    <w:rsid w:val="00410E46"/>
    <w:rsid w:val="00410F2F"/>
    <w:rsid w:val="004120F5"/>
    <w:rsid w:val="004125BB"/>
    <w:rsid w:val="004130AB"/>
    <w:rsid w:val="0041361B"/>
    <w:rsid w:val="00413A93"/>
    <w:rsid w:val="00414F28"/>
    <w:rsid w:val="00415080"/>
    <w:rsid w:val="00415B85"/>
    <w:rsid w:val="0041702F"/>
    <w:rsid w:val="00417258"/>
    <w:rsid w:val="00422D18"/>
    <w:rsid w:val="00423456"/>
    <w:rsid w:val="00423975"/>
    <w:rsid w:val="00424629"/>
    <w:rsid w:val="004251A4"/>
    <w:rsid w:val="004261CB"/>
    <w:rsid w:val="00426624"/>
    <w:rsid w:val="00426652"/>
    <w:rsid w:val="00427EB4"/>
    <w:rsid w:val="004305E5"/>
    <w:rsid w:val="00430B20"/>
    <w:rsid w:val="00431A05"/>
    <w:rsid w:val="00432BCA"/>
    <w:rsid w:val="00433C4A"/>
    <w:rsid w:val="00434CD4"/>
    <w:rsid w:val="00435858"/>
    <w:rsid w:val="00435E54"/>
    <w:rsid w:val="0043757C"/>
    <w:rsid w:val="00437894"/>
    <w:rsid w:val="004400BA"/>
    <w:rsid w:val="004402A1"/>
    <w:rsid w:val="0044069B"/>
    <w:rsid w:val="00440E12"/>
    <w:rsid w:val="00441AD6"/>
    <w:rsid w:val="00442AF1"/>
    <w:rsid w:val="004431EC"/>
    <w:rsid w:val="00443354"/>
    <w:rsid w:val="00444107"/>
    <w:rsid w:val="00444B15"/>
    <w:rsid w:val="00444C11"/>
    <w:rsid w:val="004456D4"/>
    <w:rsid w:val="00446E1B"/>
    <w:rsid w:val="00447E47"/>
    <w:rsid w:val="004503DA"/>
    <w:rsid w:val="00450B25"/>
    <w:rsid w:val="00450EF2"/>
    <w:rsid w:val="004516BD"/>
    <w:rsid w:val="00451967"/>
    <w:rsid w:val="004520F9"/>
    <w:rsid w:val="00453191"/>
    <w:rsid w:val="004534F9"/>
    <w:rsid w:val="004564B0"/>
    <w:rsid w:val="00461B47"/>
    <w:rsid w:val="0046411E"/>
    <w:rsid w:val="004647A5"/>
    <w:rsid w:val="00464A8B"/>
    <w:rsid w:val="0046524C"/>
    <w:rsid w:val="00465341"/>
    <w:rsid w:val="004654CC"/>
    <w:rsid w:val="0046596D"/>
    <w:rsid w:val="00465C63"/>
    <w:rsid w:val="004666BC"/>
    <w:rsid w:val="00466D12"/>
    <w:rsid w:val="00471251"/>
    <w:rsid w:val="004714B2"/>
    <w:rsid w:val="00471AC7"/>
    <w:rsid w:val="0047299E"/>
    <w:rsid w:val="0047414F"/>
    <w:rsid w:val="004757D9"/>
    <w:rsid w:val="00475DD9"/>
    <w:rsid w:val="004764E4"/>
    <w:rsid w:val="00476FE4"/>
    <w:rsid w:val="004803FA"/>
    <w:rsid w:val="00481C0D"/>
    <w:rsid w:val="004855C1"/>
    <w:rsid w:val="00486443"/>
    <w:rsid w:val="00486C57"/>
    <w:rsid w:val="00487536"/>
    <w:rsid w:val="004876B1"/>
    <w:rsid w:val="0049212C"/>
    <w:rsid w:val="00492A13"/>
    <w:rsid w:val="00493237"/>
    <w:rsid w:val="00493C77"/>
    <w:rsid w:val="00495D2B"/>
    <w:rsid w:val="00497B8E"/>
    <w:rsid w:val="00497E95"/>
    <w:rsid w:val="004A3541"/>
    <w:rsid w:val="004A3A25"/>
    <w:rsid w:val="004A3F1C"/>
    <w:rsid w:val="004A4503"/>
    <w:rsid w:val="004A56E2"/>
    <w:rsid w:val="004A6C01"/>
    <w:rsid w:val="004B07FF"/>
    <w:rsid w:val="004B087F"/>
    <w:rsid w:val="004B18C9"/>
    <w:rsid w:val="004B23AB"/>
    <w:rsid w:val="004B3290"/>
    <w:rsid w:val="004B3751"/>
    <w:rsid w:val="004B376F"/>
    <w:rsid w:val="004B48A2"/>
    <w:rsid w:val="004B58D7"/>
    <w:rsid w:val="004B5FF4"/>
    <w:rsid w:val="004B640C"/>
    <w:rsid w:val="004B6C69"/>
    <w:rsid w:val="004B75E0"/>
    <w:rsid w:val="004B7E7F"/>
    <w:rsid w:val="004C0B80"/>
    <w:rsid w:val="004C18BB"/>
    <w:rsid w:val="004C1F81"/>
    <w:rsid w:val="004C3182"/>
    <w:rsid w:val="004C40C1"/>
    <w:rsid w:val="004C4741"/>
    <w:rsid w:val="004C486F"/>
    <w:rsid w:val="004C4F0B"/>
    <w:rsid w:val="004C50B6"/>
    <w:rsid w:val="004C6C4D"/>
    <w:rsid w:val="004C7698"/>
    <w:rsid w:val="004D0302"/>
    <w:rsid w:val="004D0721"/>
    <w:rsid w:val="004D0D56"/>
    <w:rsid w:val="004D14D4"/>
    <w:rsid w:val="004D1863"/>
    <w:rsid w:val="004D1B93"/>
    <w:rsid w:val="004D20D9"/>
    <w:rsid w:val="004D3189"/>
    <w:rsid w:val="004D53BB"/>
    <w:rsid w:val="004D58DC"/>
    <w:rsid w:val="004D71B5"/>
    <w:rsid w:val="004D7B6D"/>
    <w:rsid w:val="004D7ECB"/>
    <w:rsid w:val="004E0323"/>
    <w:rsid w:val="004E068A"/>
    <w:rsid w:val="004E0B0C"/>
    <w:rsid w:val="004E0FEE"/>
    <w:rsid w:val="004E2A6D"/>
    <w:rsid w:val="004E354F"/>
    <w:rsid w:val="004E462D"/>
    <w:rsid w:val="004E53AC"/>
    <w:rsid w:val="004E5C87"/>
    <w:rsid w:val="004E6A2A"/>
    <w:rsid w:val="004E788F"/>
    <w:rsid w:val="004E7938"/>
    <w:rsid w:val="004F12DC"/>
    <w:rsid w:val="004F348F"/>
    <w:rsid w:val="004F47F8"/>
    <w:rsid w:val="004F58DF"/>
    <w:rsid w:val="0050034A"/>
    <w:rsid w:val="00502D84"/>
    <w:rsid w:val="00503057"/>
    <w:rsid w:val="0050406F"/>
    <w:rsid w:val="0050501E"/>
    <w:rsid w:val="00505FA0"/>
    <w:rsid w:val="005062CE"/>
    <w:rsid w:val="005067E5"/>
    <w:rsid w:val="00511ABF"/>
    <w:rsid w:val="005127F0"/>
    <w:rsid w:val="005136FB"/>
    <w:rsid w:val="00514715"/>
    <w:rsid w:val="00514A29"/>
    <w:rsid w:val="00515278"/>
    <w:rsid w:val="00515439"/>
    <w:rsid w:val="00517D66"/>
    <w:rsid w:val="0052191D"/>
    <w:rsid w:val="005220A2"/>
    <w:rsid w:val="00522D48"/>
    <w:rsid w:val="00522FD3"/>
    <w:rsid w:val="00524732"/>
    <w:rsid w:val="00524C90"/>
    <w:rsid w:val="00524D1D"/>
    <w:rsid w:val="00525658"/>
    <w:rsid w:val="00526196"/>
    <w:rsid w:val="005306B6"/>
    <w:rsid w:val="0053082E"/>
    <w:rsid w:val="00530B7B"/>
    <w:rsid w:val="00531AF7"/>
    <w:rsid w:val="00532D30"/>
    <w:rsid w:val="00533327"/>
    <w:rsid w:val="00533C19"/>
    <w:rsid w:val="00534947"/>
    <w:rsid w:val="0053587E"/>
    <w:rsid w:val="00536304"/>
    <w:rsid w:val="005375C2"/>
    <w:rsid w:val="00537D72"/>
    <w:rsid w:val="00540875"/>
    <w:rsid w:val="0054107C"/>
    <w:rsid w:val="005411DC"/>
    <w:rsid w:val="00542F05"/>
    <w:rsid w:val="005435DE"/>
    <w:rsid w:val="00544683"/>
    <w:rsid w:val="00546067"/>
    <w:rsid w:val="00547F6D"/>
    <w:rsid w:val="005502D0"/>
    <w:rsid w:val="00550466"/>
    <w:rsid w:val="0055078E"/>
    <w:rsid w:val="0055098D"/>
    <w:rsid w:val="00552527"/>
    <w:rsid w:val="00553FAA"/>
    <w:rsid w:val="005543EB"/>
    <w:rsid w:val="00554855"/>
    <w:rsid w:val="00555583"/>
    <w:rsid w:val="00556701"/>
    <w:rsid w:val="00560A9E"/>
    <w:rsid w:val="00560B59"/>
    <w:rsid w:val="00560BBC"/>
    <w:rsid w:val="00561462"/>
    <w:rsid w:val="0056453D"/>
    <w:rsid w:val="0056666F"/>
    <w:rsid w:val="00567A0C"/>
    <w:rsid w:val="00570A48"/>
    <w:rsid w:val="00570CE9"/>
    <w:rsid w:val="00570CFF"/>
    <w:rsid w:val="00571013"/>
    <w:rsid w:val="005713B9"/>
    <w:rsid w:val="00571FE3"/>
    <w:rsid w:val="0057207D"/>
    <w:rsid w:val="00572677"/>
    <w:rsid w:val="00572915"/>
    <w:rsid w:val="005734D4"/>
    <w:rsid w:val="00575212"/>
    <w:rsid w:val="005755D3"/>
    <w:rsid w:val="005756FF"/>
    <w:rsid w:val="00576706"/>
    <w:rsid w:val="00580651"/>
    <w:rsid w:val="00580A22"/>
    <w:rsid w:val="00581C8E"/>
    <w:rsid w:val="00582735"/>
    <w:rsid w:val="0058328A"/>
    <w:rsid w:val="00584BA1"/>
    <w:rsid w:val="00585180"/>
    <w:rsid w:val="00585416"/>
    <w:rsid w:val="0058556E"/>
    <w:rsid w:val="00586BF4"/>
    <w:rsid w:val="00592D62"/>
    <w:rsid w:val="00593A28"/>
    <w:rsid w:val="00593C20"/>
    <w:rsid w:val="00594596"/>
    <w:rsid w:val="00595F3E"/>
    <w:rsid w:val="00596573"/>
    <w:rsid w:val="00596BB8"/>
    <w:rsid w:val="00597250"/>
    <w:rsid w:val="005A0162"/>
    <w:rsid w:val="005A12B3"/>
    <w:rsid w:val="005A2616"/>
    <w:rsid w:val="005A27A5"/>
    <w:rsid w:val="005A3AA6"/>
    <w:rsid w:val="005A3FE7"/>
    <w:rsid w:val="005A43E6"/>
    <w:rsid w:val="005A518A"/>
    <w:rsid w:val="005A5B7F"/>
    <w:rsid w:val="005A5C5E"/>
    <w:rsid w:val="005A5F0C"/>
    <w:rsid w:val="005A67E3"/>
    <w:rsid w:val="005A78C3"/>
    <w:rsid w:val="005B020A"/>
    <w:rsid w:val="005B07A8"/>
    <w:rsid w:val="005B0C3F"/>
    <w:rsid w:val="005B0E69"/>
    <w:rsid w:val="005B0FFC"/>
    <w:rsid w:val="005B169A"/>
    <w:rsid w:val="005B1B65"/>
    <w:rsid w:val="005B24B5"/>
    <w:rsid w:val="005B29B5"/>
    <w:rsid w:val="005B2AF8"/>
    <w:rsid w:val="005B2B03"/>
    <w:rsid w:val="005B2B7A"/>
    <w:rsid w:val="005B3039"/>
    <w:rsid w:val="005B30C8"/>
    <w:rsid w:val="005B32AB"/>
    <w:rsid w:val="005B4397"/>
    <w:rsid w:val="005B49EB"/>
    <w:rsid w:val="005B4F0D"/>
    <w:rsid w:val="005B51F2"/>
    <w:rsid w:val="005B5344"/>
    <w:rsid w:val="005B6077"/>
    <w:rsid w:val="005B66D4"/>
    <w:rsid w:val="005B697D"/>
    <w:rsid w:val="005B7144"/>
    <w:rsid w:val="005B7CDB"/>
    <w:rsid w:val="005C0F32"/>
    <w:rsid w:val="005C20A6"/>
    <w:rsid w:val="005C3660"/>
    <w:rsid w:val="005C3964"/>
    <w:rsid w:val="005C3FCE"/>
    <w:rsid w:val="005C43D1"/>
    <w:rsid w:val="005C4913"/>
    <w:rsid w:val="005C4AF6"/>
    <w:rsid w:val="005C62E8"/>
    <w:rsid w:val="005C6505"/>
    <w:rsid w:val="005C7939"/>
    <w:rsid w:val="005D012A"/>
    <w:rsid w:val="005D0786"/>
    <w:rsid w:val="005D098E"/>
    <w:rsid w:val="005D11C2"/>
    <w:rsid w:val="005D176B"/>
    <w:rsid w:val="005D1C90"/>
    <w:rsid w:val="005D1FED"/>
    <w:rsid w:val="005D29B8"/>
    <w:rsid w:val="005D2F08"/>
    <w:rsid w:val="005D3303"/>
    <w:rsid w:val="005D3C44"/>
    <w:rsid w:val="005D4346"/>
    <w:rsid w:val="005D4493"/>
    <w:rsid w:val="005D5D07"/>
    <w:rsid w:val="005D6112"/>
    <w:rsid w:val="005D7D5E"/>
    <w:rsid w:val="005E0144"/>
    <w:rsid w:val="005E1089"/>
    <w:rsid w:val="005E11DF"/>
    <w:rsid w:val="005E38DE"/>
    <w:rsid w:val="005E42B1"/>
    <w:rsid w:val="005E4315"/>
    <w:rsid w:val="005E5835"/>
    <w:rsid w:val="005E6375"/>
    <w:rsid w:val="005E6A6C"/>
    <w:rsid w:val="005F1E04"/>
    <w:rsid w:val="005F2086"/>
    <w:rsid w:val="005F3112"/>
    <w:rsid w:val="005F394F"/>
    <w:rsid w:val="005F570A"/>
    <w:rsid w:val="005F5EE6"/>
    <w:rsid w:val="005F73AE"/>
    <w:rsid w:val="005F7414"/>
    <w:rsid w:val="00600831"/>
    <w:rsid w:val="0060087D"/>
    <w:rsid w:val="00601790"/>
    <w:rsid w:val="00602AD2"/>
    <w:rsid w:val="00602E3A"/>
    <w:rsid w:val="006031DE"/>
    <w:rsid w:val="00603CFF"/>
    <w:rsid w:val="00603F9C"/>
    <w:rsid w:val="0060639A"/>
    <w:rsid w:val="00607AF3"/>
    <w:rsid w:val="00607D01"/>
    <w:rsid w:val="00610709"/>
    <w:rsid w:val="006115CD"/>
    <w:rsid w:val="00611ADA"/>
    <w:rsid w:val="00611FAE"/>
    <w:rsid w:val="00612B6F"/>
    <w:rsid w:val="00612D93"/>
    <w:rsid w:val="006147F0"/>
    <w:rsid w:val="00615FCF"/>
    <w:rsid w:val="006170FF"/>
    <w:rsid w:val="006175E2"/>
    <w:rsid w:val="00617863"/>
    <w:rsid w:val="00620E33"/>
    <w:rsid w:val="00620FF8"/>
    <w:rsid w:val="00621B7F"/>
    <w:rsid w:val="006223A9"/>
    <w:rsid w:val="0062314B"/>
    <w:rsid w:val="00623C62"/>
    <w:rsid w:val="00624366"/>
    <w:rsid w:val="006245AB"/>
    <w:rsid w:val="00624A77"/>
    <w:rsid w:val="0062591B"/>
    <w:rsid w:val="00625AC7"/>
    <w:rsid w:val="00625EA6"/>
    <w:rsid w:val="006270CD"/>
    <w:rsid w:val="00632F6E"/>
    <w:rsid w:val="00633FE6"/>
    <w:rsid w:val="00635482"/>
    <w:rsid w:val="006358FE"/>
    <w:rsid w:val="00635B70"/>
    <w:rsid w:val="00637714"/>
    <w:rsid w:val="0064097F"/>
    <w:rsid w:val="006435D5"/>
    <w:rsid w:val="00644709"/>
    <w:rsid w:val="006449FF"/>
    <w:rsid w:val="006456A9"/>
    <w:rsid w:val="006500CF"/>
    <w:rsid w:val="00651FA2"/>
    <w:rsid w:val="00653FCD"/>
    <w:rsid w:val="00654A8F"/>
    <w:rsid w:val="006551AF"/>
    <w:rsid w:val="006559C0"/>
    <w:rsid w:val="00656031"/>
    <w:rsid w:val="0065672E"/>
    <w:rsid w:val="00656D3E"/>
    <w:rsid w:val="006578A3"/>
    <w:rsid w:val="006579F2"/>
    <w:rsid w:val="00657BD7"/>
    <w:rsid w:val="006600AA"/>
    <w:rsid w:val="00660666"/>
    <w:rsid w:val="0066070E"/>
    <w:rsid w:val="006608E2"/>
    <w:rsid w:val="00660BAD"/>
    <w:rsid w:val="0066276F"/>
    <w:rsid w:val="00663B8A"/>
    <w:rsid w:val="006645C6"/>
    <w:rsid w:val="00664661"/>
    <w:rsid w:val="0066540E"/>
    <w:rsid w:val="00665C78"/>
    <w:rsid w:val="006670F3"/>
    <w:rsid w:val="006675F9"/>
    <w:rsid w:val="00667F84"/>
    <w:rsid w:val="006708B3"/>
    <w:rsid w:val="00671515"/>
    <w:rsid w:val="00672A44"/>
    <w:rsid w:val="00673B36"/>
    <w:rsid w:val="00674776"/>
    <w:rsid w:val="00676537"/>
    <w:rsid w:val="0067662C"/>
    <w:rsid w:val="006766DE"/>
    <w:rsid w:val="006772EB"/>
    <w:rsid w:val="006827AD"/>
    <w:rsid w:val="00682B36"/>
    <w:rsid w:val="006833F8"/>
    <w:rsid w:val="00683DCB"/>
    <w:rsid w:val="00683F7F"/>
    <w:rsid w:val="0068600F"/>
    <w:rsid w:val="00686383"/>
    <w:rsid w:val="00686607"/>
    <w:rsid w:val="00686D48"/>
    <w:rsid w:val="00687228"/>
    <w:rsid w:val="006906E5"/>
    <w:rsid w:val="00690FF3"/>
    <w:rsid w:val="0069248F"/>
    <w:rsid w:val="0069249C"/>
    <w:rsid w:val="00692594"/>
    <w:rsid w:val="006941F9"/>
    <w:rsid w:val="00694456"/>
    <w:rsid w:val="00694B86"/>
    <w:rsid w:val="0069543D"/>
    <w:rsid w:val="00695936"/>
    <w:rsid w:val="00696125"/>
    <w:rsid w:val="006962B2"/>
    <w:rsid w:val="00696F09"/>
    <w:rsid w:val="006A028F"/>
    <w:rsid w:val="006A089A"/>
    <w:rsid w:val="006A0EF2"/>
    <w:rsid w:val="006A2527"/>
    <w:rsid w:val="006A3423"/>
    <w:rsid w:val="006A3AA5"/>
    <w:rsid w:val="006A3CD2"/>
    <w:rsid w:val="006A3DE8"/>
    <w:rsid w:val="006A3F7F"/>
    <w:rsid w:val="006A4318"/>
    <w:rsid w:val="006A4AA1"/>
    <w:rsid w:val="006A5215"/>
    <w:rsid w:val="006A53C2"/>
    <w:rsid w:val="006A5488"/>
    <w:rsid w:val="006A56CE"/>
    <w:rsid w:val="006A6E20"/>
    <w:rsid w:val="006A6E27"/>
    <w:rsid w:val="006A7368"/>
    <w:rsid w:val="006B2623"/>
    <w:rsid w:val="006B48F2"/>
    <w:rsid w:val="006B5727"/>
    <w:rsid w:val="006B7C89"/>
    <w:rsid w:val="006C1F99"/>
    <w:rsid w:val="006C2CA2"/>
    <w:rsid w:val="006C32DB"/>
    <w:rsid w:val="006C4437"/>
    <w:rsid w:val="006C6227"/>
    <w:rsid w:val="006C6313"/>
    <w:rsid w:val="006C7B1B"/>
    <w:rsid w:val="006C7C4A"/>
    <w:rsid w:val="006C7FEC"/>
    <w:rsid w:val="006D23D8"/>
    <w:rsid w:val="006D3A2D"/>
    <w:rsid w:val="006D4173"/>
    <w:rsid w:val="006D654F"/>
    <w:rsid w:val="006D6C35"/>
    <w:rsid w:val="006D7158"/>
    <w:rsid w:val="006D7641"/>
    <w:rsid w:val="006E0F3C"/>
    <w:rsid w:val="006E1BFA"/>
    <w:rsid w:val="006E1C73"/>
    <w:rsid w:val="006E2215"/>
    <w:rsid w:val="006E256B"/>
    <w:rsid w:val="006E4347"/>
    <w:rsid w:val="006E46AE"/>
    <w:rsid w:val="006E4FB6"/>
    <w:rsid w:val="006E55A6"/>
    <w:rsid w:val="006E5C99"/>
    <w:rsid w:val="006E5DF5"/>
    <w:rsid w:val="006E677E"/>
    <w:rsid w:val="006E695C"/>
    <w:rsid w:val="006E6961"/>
    <w:rsid w:val="006E6A00"/>
    <w:rsid w:val="006F12DA"/>
    <w:rsid w:val="006F17A9"/>
    <w:rsid w:val="006F1DAC"/>
    <w:rsid w:val="006F20D6"/>
    <w:rsid w:val="006F2538"/>
    <w:rsid w:val="006F2909"/>
    <w:rsid w:val="006F2C3A"/>
    <w:rsid w:val="006F3555"/>
    <w:rsid w:val="006F495F"/>
    <w:rsid w:val="006F4A62"/>
    <w:rsid w:val="006F5466"/>
    <w:rsid w:val="006F55B1"/>
    <w:rsid w:val="006F5EEB"/>
    <w:rsid w:val="006F6DBD"/>
    <w:rsid w:val="006F6EAC"/>
    <w:rsid w:val="006F7446"/>
    <w:rsid w:val="006F7EC3"/>
    <w:rsid w:val="0070040A"/>
    <w:rsid w:val="00700F29"/>
    <w:rsid w:val="00701B7A"/>
    <w:rsid w:val="0070332C"/>
    <w:rsid w:val="00703A45"/>
    <w:rsid w:val="00703A64"/>
    <w:rsid w:val="00704A54"/>
    <w:rsid w:val="007056F8"/>
    <w:rsid w:val="00706890"/>
    <w:rsid w:val="00706C09"/>
    <w:rsid w:val="00706D5E"/>
    <w:rsid w:val="00707145"/>
    <w:rsid w:val="00707474"/>
    <w:rsid w:val="00707904"/>
    <w:rsid w:val="007135E0"/>
    <w:rsid w:val="00713CF6"/>
    <w:rsid w:val="0071416B"/>
    <w:rsid w:val="007143DB"/>
    <w:rsid w:val="007145D7"/>
    <w:rsid w:val="00714E55"/>
    <w:rsid w:val="00720238"/>
    <w:rsid w:val="00721A6E"/>
    <w:rsid w:val="00721BD8"/>
    <w:rsid w:val="00721E16"/>
    <w:rsid w:val="00722312"/>
    <w:rsid w:val="00722631"/>
    <w:rsid w:val="0072299D"/>
    <w:rsid w:val="00722A23"/>
    <w:rsid w:val="00722BF7"/>
    <w:rsid w:val="007233A7"/>
    <w:rsid w:val="00723620"/>
    <w:rsid w:val="007242C3"/>
    <w:rsid w:val="0072583A"/>
    <w:rsid w:val="0072603A"/>
    <w:rsid w:val="007264CC"/>
    <w:rsid w:val="00727017"/>
    <w:rsid w:val="007314DC"/>
    <w:rsid w:val="007316AC"/>
    <w:rsid w:val="007317F3"/>
    <w:rsid w:val="00732522"/>
    <w:rsid w:val="0073260D"/>
    <w:rsid w:val="0073278C"/>
    <w:rsid w:val="00732D94"/>
    <w:rsid w:val="007330B5"/>
    <w:rsid w:val="00733A3E"/>
    <w:rsid w:val="0073500F"/>
    <w:rsid w:val="007353B5"/>
    <w:rsid w:val="0073551D"/>
    <w:rsid w:val="00735A44"/>
    <w:rsid w:val="00737A6C"/>
    <w:rsid w:val="00737EA0"/>
    <w:rsid w:val="00740DEA"/>
    <w:rsid w:val="00741197"/>
    <w:rsid w:val="00741443"/>
    <w:rsid w:val="007416C4"/>
    <w:rsid w:val="00741891"/>
    <w:rsid w:val="00741BB3"/>
    <w:rsid w:val="007421CF"/>
    <w:rsid w:val="00745353"/>
    <w:rsid w:val="007459DC"/>
    <w:rsid w:val="007474D9"/>
    <w:rsid w:val="00750388"/>
    <w:rsid w:val="0075060C"/>
    <w:rsid w:val="00750B3F"/>
    <w:rsid w:val="00751098"/>
    <w:rsid w:val="007513AA"/>
    <w:rsid w:val="00751B67"/>
    <w:rsid w:val="007527A2"/>
    <w:rsid w:val="00752B2A"/>
    <w:rsid w:val="0075324D"/>
    <w:rsid w:val="0075480C"/>
    <w:rsid w:val="00754DEE"/>
    <w:rsid w:val="007559A0"/>
    <w:rsid w:val="00755C81"/>
    <w:rsid w:val="00755F5C"/>
    <w:rsid w:val="00755F60"/>
    <w:rsid w:val="00757211"/>
    <w:rsid w:val="0075762B"/>
    <w:rsid w:val="0076044A"/>
    <w:rsid w:val="00760A91"/>
    <w:rsid w:val="00761036"/>
    <w:rsid w:val="007610A6"/>
    <w:rsid w:val="00761DE6"/>
    <w:rsid w:val="007632B6"/>
    <w:rsid w:val="00763E9C"/>
    <w:rsid w:val="00763F25"/>
    <w:rsid w:val="00766349"/>
    <w:rsid w:val="007672A3"/>
    <w:rsid w:val="00770FEF"/>
    <w:rsid w:val="0077163F"/>
    <w:rsid w:val="007717CB"/>
    <w:rsid w:val="00771B4A"/>
    <w:rsid w:val="00771B5F"/>
    <w:rsid w:val="00774279"/>
    <w:rsid w:val="007744B0"/>
    <w:rsid w:val="0077477F"/>
    <w:rsid w:val="007752E7"/>
    <w:rsid w:val="00775789"/>
    <w:rsid w:val="00775DEE"/>
    <w:rsid w:val="00776979"/>
    <w:rsid w:val="00777FBF"/>
    <w:rsid w:val="007801B0"/>
    <w:rsid w:val="0078077F"/>
    <w:rsid w:val="00782014"/>
    <w:rsid w:val="007820CE"/>
    <w:rsid w:val="007838F3"/>
    <w:rsid w:val="00784E7E"/>
    <w:rsid w:val="007853EC"/>
    <w:rsid w:val="007853FB"/>
    <w:rsid w:val="00785B6F"/>
    <w:rsid w:val="00786188"/>
    <w:rsid w:val="0078665A"/>
    <w:rsid w:val="00786FCC"/>
    <w:rsid w:val="0078700C"/>
    <w:rsid w:val="00787D30"/>
    <w:rsid w:val="007931BD"/>
    <w:rsid w:val="007949FB"/>
    <w:rsid w:val="00794CD7"/>
    <w:rsid w:val="00795050"/>
    <w:rsid w:val="00796BF9"/>
    <w:rsid w:val="00797357"/>
    <w:rsid w:val="007A0089"/>
    <w:rsid w:val="007A1ADA"/>
    <w:rsid w:val="007A1F64"/>
    <w:rsid w:val="007A2638"/>
    <w:rsid w:val="007A3E07"/>
    <w:rsid w:val="007A6AF9"/>
    <w:rsid w:val="007A75A8"/>
    <w:rsid w:val="007A7CB8"/>
    <w:rsid w:val="007B0526"/>
    <w:rsid w:val="007B1899"/>
    <w:rsid w:val="007B1955"/>
    <w:rsid w:val="007B269A"/>
    <w:rsid w:val="007B2BA9"/>
    <w:rsid w:val="007B2C79"/>
    <w:rsid w:val="007B48A8"/>
    <w:rsid w:val="007B4C9A"/>
    <w:rsid w:val="007B56B2"/>
    <w:rsid w:val="007B583E"/>
    <w:rsid w:val="007B762C"/>
    <w:rsid w:val="007B7916"/>
    <w:rsid w:val="007B7BB8"/>
    <w:rsid w:val="007B7F71"/>
    <w:rsid w:val="007C0B7D"/>
    <w:rsid w:val="007C1ABB"/>
    <w:rsid w:val="007C2031"/>
    <w:rsid w:val="007C2061"/>
    <w:rsid w:val="007C224E"/>
    <w:rsid w:val="007C23DF"/>
    <w:rsid w:val="007C2628"/>
    <w:rsid w:val="007C315B"/>
    <w:rsid w:val="007C40BC"/>
    <w:rsid w:val="007C424E"/>
    <w:rsid w:val="007C4612"/>
    <w:rsid w:val="007C4FAF"/>
    <w:rsid w:val="007C531C"/>
    <w:rsid w:val="007C552E"/>
    <w:rsid w:val="007C6776"/>
    <w:rsid w:val="007C707B"/>
    <w:rsid w:val="007D11AE"/>
    <w:rsid w:val="007D38F5"/>
    <w:rsid w:val="007D402F"/>
    <w:rsid w:val="007D47C3"/>
    <w:rsid w:val="007D556D"/>
    <w:rsid w:val="007D601B"/>
    <w:rsid w:val="007D6313"/>
    <w:rsid w:val="007D6CD7"/>
    <w:rsid w:val="007D6D1A"/>
    <w:rsid w:val="007D7A71"/>
    <w:rsid w:val="007E0343"/>
    <w:rsid w:val="007E03D3"/>
    <w:rsid w:val="007E0517"/>
    <w:rsid w:val="007E05AB"/>
    <w:rsid w:val="007E0CA0"/>
    <w:rsid w:val="007E16CF"/>
    <w:rsid w:val="007E1E1B"/>
    <w:rsid w:val="007E2DC5"/>
    <w:rsid w:val="007E30E7"/>
    <w:rsid w:val="007E346B"/>
    <w:rsid w:val="007E3800"/>
    <w:rsid w:val="007E3ADE"/>
    <w:rsid w:val="007E4D13"/>
    <w:rsid w:val="007E5507"/>
    <w:rsid w:val="007E56A7"/>
    <w:rsid w:val="007E607C"/>
    <w:rsid w:val="007E6984"/>
    <w:rsid w:val="007F0AC5"/>
    <w:rsid w:val="007F0F86"/>
    <w:rsid w:val="007F3DB1"/>
    <w:rsid w:val="007F4290"/>
    <w:rsid w:val="007F777F"/>
    <w:rsid w:val="008003B6"/>
    <w:rsid w:val="00800AD4"/>
    <w:rsid w:val="0080291E"/>
    <w:rsid w:val="0080311B"/>
    <w:rsid w:val="00803B5B"/>
    <w:rsid w:val="00805125"/>
    <w:rsid w:val="00805258"/>
    <w:rsid w:val="0080574A"/>
    <w:rsid w:val="00805B8B"/>
    <w:rsid w:val="008062DE"/>
    <w:rsid w:val="00807261"/>
    <w:rsid w:val="008107BE"/>
    <w:rsid w:val="00810C9F"/>
    <w:rsid w:val="00810D63"/>
    <w:rsid w:val="00811725"/>
    <w:rsid w:val="00813536"/>
    <w:rsid w:val="0081385D"/>
    <w:rsid w:val="008148DF"/>
    <w:rsid w:val="00814CC4"/>
    <w:rsid w:val="00814D27"/>
    <w:rsid w:val="008155EE"/>
    <w:rsid w:val="00816256"/>
    <w:rsid w:val="008177CF"/>
    <w:rsid w:val="00820200"/>
    <w:rsid w:val="00821C99"/>
    <w:rsid w:val="00822C1C"/>
    <w:rsid w:val="0082343E"/>
    <w:rsid w:val="0082387F"/>
    <w:rsid w:val="00823B57"/>
    <w:rsid w:val="00823EA9"/>
    <w:rsid w:val="0082551F"/>
    <w:rsid w:val="008255AB"/>
    <w:rsid w:val="008263D3"/>
    <w:rsid w:val="0082719B"/>
    <w:rsid w:val="008276EA"/>
    <w:rsid w:val="008300F3"/>
    <w:rsid w:val="008327E4"/>
    <w:rsid w:val="00833263"/>
    <w:rsid w:val="008332A3"/>
    <w:rsid w:val="008342BA"/>
    <w:rsid w:val="00834484"/>
    <w:rsid w:val="00834BFB"/>
    <w:rsid w:val="00834CE1"/>
    <w:rsid w:val="0083619A"/>
    <w:rsid w:val="00836771"/>
    <w:rsid w:val="00836D09"/>
    <w:rsid w:val="0083796B"/>
    <w:rsid w:val="0084032D"/>
    <w:rsid w:val="008412B5"/>
    <w:rsid w:val="00842096"/>
    <w:rsid w:val="00842CD8"/>
    <w:rsid w:val="00844130"/>
    <w:rsid w:val="0084560C"/>
    <w:rsid w:val="00846399"/>
    <w:rsid w:val="008466B0"/>
    <w:rsid w:val="00847F07"/>
    <w:rsid w:val="008504B5"/>
    <w:rsid w:val="0085166E"/>
    <w:rsid w:val="00851F70"/>
    <w:rsid w:val="0085256A"/>
    <w:rsid w:val="00852978"/>
    <w:rsid w:val="008545EE"/>
    <w:rsid w:val="00854856"/>
    <w:rsid w:val="008549D1"/>
    <w:rsid w:val="00854C8A"/>
    <w:rsid w:val="00855988"/>
    <w:rsid w:val="00855FEC"/>
    <w:rsid w:val="00856939"/>
    <w:rsid w:val="00856C8D"/>
    <w:rsid w:val="0086042C"/>
    <w:rsid w:val="00860492"/>
    <w:rsid w:val="0086193A"/>
    <w:rsid w:val="00862010"/>
    <w:rsid w:val="00862696"/>
    <w:rsid w:val="00862CBF"/>
    <w:rsid w:val="008633F3"/>
    <w:rsid w:val="00863E99"/>
    <w:rsid w:val="00864612"/>
    <w:rsid w:val="0086465F"/>
    <w:rsid w:val="0087284F"/>
    <w:rsid w:val="008734AF"/>
    <w:rsid w:val="00873890"/>
    <w:rsid w:val="00874638"/>
    <w:rsid w:val="00875578"/>
    <w:rsid w:val="00875B3C"/>
    <w:rsid w:val="008766A1"/>
    <w:rsid w:val="00876BB7"/>
    <w:rsid w:val="00877138"/>
    <w:rsid w:val="008777DB"/>
    <w:rsid w:val="00877D02"/>
    <w:rsid w:val="00880F80"/>
    <w:rsid w:val="00883452"/>
    <w:rsid w:val="00883BBE"/>
    <w:rsid w:val="00883F80"/>
    <w:rsid w:val="008840A4"/>
    <w:rsid w:val="00884478"/>
    <w:rsid w:val="0088568C"/>
    <w:rsid w:val="00886021"/>
    <w:rsid w:val="008863D8"/>
    <w:rsid w:val="008901EE"/>
    <w:rsid w:val="008911FE"/>
    <w:rsid w:val="0089245E"/>
    <w:rsid w:val="00892FB2"/>
    <w:rsid w:val="00893898"/>
    <w:rsid w:val="0089448F"/>
    <w:rsid w:val="00894914"/>
    <w:rsid w:val="00894F78"/>
    <w:rsid w:val="00895DFA"/>
    <w:rsid w:val="00896183"/>
    <w:rsid w:val="0089688C"/>
    <w:rsid w:val="008A095A"/>
    <w:rsid w:val="008A0CD1"/>
    <w:rsid w:val="008A1560"/>
    <w:rsid w:val="008A156F"/>
    <w:rsid w:val="008A23AC"/>
    <w:rsid w:val="008A2429"/>
    <w:rsid w:val="008A2C49"/>
    <w:rsid w:val="008A2CED"/>
    <w:rsid w:val="008A3B7A"/>
    <w:rsid w:val="008A3D75"/>
    <w:rsid w:val="008A5CDA"/>
    <w:rsid w:val="008A6F33"/>
    <w:rsid w:val="008A75F7"/>
    <w:rsid w:val="008B1084"/>
    <w:rsid w:val="008B1985"/>
    <w:rsid w:val="008B1BC9"/>
    <w:rsid w:val="008B1F39"/>
    <w:rsid w:val="008B3409"/>
    <w:rsid w:val="008B397C"/>
    <w:rsid w:val="008B567C"/>
    <w:rsid w:val="008B587B"/>
    <w:rsid w:val="008B626E"/>
    <w:rsid w:val="008B6ABC"/>
    <w:rsid w:val="008B7182"/>
    <w:rsid w:val="008B74AF"/>
    <w:rsid w:val="008B7D87"/>
    <w:rsid w:val="008C02E1"/>
    <w:rsid w:val="008C0317"/>
    <w:rsid w:val="008C0EB2"/>
    <w:rsid w:val="008C23D1"/>
    <w:rsid w:val="008C34A1"/>
    <w:rsid w:val="008C3FC0"/>
    <w:rsid w:val="008C5115"/>
    <w:rsid w:val="008C7FAA"/>
    <w:rsid w:val="008D0CA2"/>
    <w:rsid w:val="008D109A"/>
    <w:rsid w:val="008D1104"/>
    <w:rsid w:val="008D26BB"/>
    <w:rsid w:val="008D2B6C"/>
    <w:rsid w:val="008D2BB5"/>
    <w:rsid w:val="008D2D88"/>
    <w:rsid w:val="008D3C68"/>
    <w:rsid w:val="008D4966"/>
    <w:rsid w:val="008D4CD4"/>
    <w:rsid w:val="008D7188"/>
    <w:rsid w:val="008D73C0"/>
    <w:rsid w:val="008D77B6"/>
    <w:rsid w:val="008E0997"/>
    <w:rsid w:val="008E10DB"/>
    <w:rsid w:val="008E11AB"/>
    <w:rsid w:val="008E21B7"/>
    <w:rsid w:val="008E29BE"/>
    <w:rsid w:val="008E3038"/>
    <w:rsid w:val="008E368A"/>
    <w:rsid w:val="008E401C"/>
    <w:rsid w:val="008E40D0"/>
    <w:rsid w:val="008E41E5"/>
    <w:rsid w:val="008E5755"/>
    <w:rsid w:val="008E5ADF"/>
    <w:rsid w:val="008E6864"/>
    <w:rsid w:val="008E76AA"/>
    <w:rsid w:val="008F0180"/>
    <w:rsid w:val="008F0B78"/>
    <w:rsid w:val="008F0FDF"/>
    <w:rsid w:val="008F2961"/>
    <w:rsid w:val="008F2C15"/>
    <w:rsid w:val="008F39C1"/>
    <w:rsid w:val="008F4E4A"/>
    <w:rsid w:val="008F52CD"/>
    <w:rsid w:val="008F6195"/>
    <w:rsid w:val="008F622D"/>
    <w:rsid w:val="008F7A1B"/>
    <w:rsid w:val="008F7DFD"/>
    <w:rsid w:val="00901DFE"/>
    <w:rsid w:val="0090205F"/>
    <w:rsid w:val="009032B3"/>
    <w:rsid w:val="009048EC"/>
    <w:rsid w:val="00904DF6"/>
    <w:rsid w:val="00905090"/>
    <w:rsid w:val="009056CA"/>
    <w:rsid w:val="00905AD3"/>
    <w:rsid w:val="00905DE8"/>
    <w:rsid w:val="00906113"/>
    <w:rsid w:val="00906E29"/>
    <w:rsid w:val="0091123B"/>
    <w:rsid w:val="009112D7"/>
    <w:rsid w:val="009115A4"/>
    <w:rsid w:val="009118F6"/>
    <w:rsid w:val="00912172"/>
    <w:rsid w:val="00912A29"/>
    <w:rsid w:val="00912FF1"/>
    <w:rsid w:val="0091372A"/>
    <w:rsid w:val="00913F9C"/>
    <w:rsid w:val="009147AF"/>
    <w:rsid w:val="00915428"/>
    <w:rsid w:val="0091600C"/>
    <w:rsid w:val="00916BB3"/>
    <w:rsid w:val="00917E42"/>
    <w:rsid w:val="00920197"/>
    <w:rsid w:val="00920C92"/>
    <w:rsid w:val="00921282"/>
    <w:rsid w:val="009216DB"/>
    <w:rsid w:val="0092172F"/>
    <w:rsid w:val="00921C24"/>
    <w:rsid w:val="0092324C"/>
    <w:rsid w:val="00927479"/>
    <w:rsid w:val="00927B30"/>
    <w:rsid w:val="00930A75"/>
    <w:rsid w:val="00930B68"/>
    <w:rsid w:val="00931F14"/>
    <w:rsid w:val="00932028"/>
    <w:rsid w:val="009335FE"/>
    <w:rsid w:val="009349C8"/>
    <w:rsid w:val="009355BA"/>
    <w:rsid w:val="009363AE"/>
    <w:rsid w:val="009363D0"/>
    <w:rsid w:val="00937F1A"/>
    <w:rsid w:val="009401E9"/>
    <w:rsid w:val="0094174F"/>
    <w:rsid w:val="00941C0C"/>
    <w:rsid w:val="00942DB5"/>
    <w:rsid w:val="00943D50"/>
    <w:rsid w:val="009442D5"/>
    <w:rsid w:val="00944C25"/>
    <w:rsid w:val="00944F17"/>
    <w:rsid w:val="0094581C"/>
    <w:rsid w:val="00945D34"/>
    <w:rsid w:val="00946D8F"/>
    <w:rsid w:val="00951647"/>
    <w:rsid w:val="0095202C"/>
    <w:rsid w:val="00952906"/>
    <w:rsid w:val="009541E9"/>
    <w:rsid w:val="00954338"/>
    <w:rsid w:val="00954FC4"/>
    <w:rsid w:val="009552F5"/>
    <w:rsid w:val="00955A6B"/>
    <w:rsid w:val="00956190"/>
    <w:rsid w:val="009572CD"/>
    <w:rsid w:val="0095741E"/>
    <w:rsid w:val="009574C2"/>
    <w:rsid w:val="0096159D"/>
    <w:rsid w:val="009628FA"/>
    <w:rsid w:val="00963262"/>
    <w:rsid w:val="00963D09"/>
    <w:rsid w:val="00965612"/>
    <w:rsid w:val="00967606"/>
    <w:rsid w:val="00967CDF"/>
    <w:rsid w:val="00967DBF"/>
    <w:rsid w:val="009708D9"/>
    <w:rsid w:val="00970AE1"/>
    <w:rsid w:val="00971C66"/>
    <w:rsid w:val="00972965"/>
    <w:rsid w:val="00973267"/>
    <w:rsid w:val="009734A2"/>
    <w:rsid w:val="009740BC"/>
    <w:rsid w:val="009748A1"/>
    <w:rsid w:val="00974B28"/>
    <w:rsid w:val="00976AD9"/>
    <w:rsid w:val="00980B2D"/>
    <w:rsid w:val="00980F3B"/>
    <w:rsid w:val="009822F9"/>
    <w:rsid w:val="00983211"/>
    <w:rsid w:val="0098340A"/>
    <w:rsid w:val="00983990"/>
    <w:rsid w:val="00992912"/>
    <w:rsid w:val="00993136"/>
    <w:rsid w:val="00994233"/>
    <w:rsid w:val="00994C09"/>
    <w:rsid w:val="00997712"/>
    <w:rsid w:val="00997C59"/>
    <w:rsid w:val="009A0733"/>
    <w:rsid w:val="009A0F37"/>
    <w:rsid w:val="009A20F6"/>
    <w:rsid w:val="009A24FC"/>
    <w:rsid w:val="009A2E0F"/>
    <w:rsid w:val="009A3617"/>
    <w:rsid w:val="009A40AF"/>
    <w:rsid w:val="009A5376"/>
    <w:rsid w:val="009A6261"/>
    <w:rsid w:val="009A65E4"/>
    <w:rsid w:val="009B0647"/>
    <w:rsid w:val="009B08CA"/>
    <w:rsid w:val="009B0E02"/>
    <w:rsid w:val="009B0E3B"/>
    <w:rsid w:val="009B1613"/>
    <w:rsid w:val="009B18AE"/>
    <w:rsid w:val="009B19DA"/>
    <w:rsid w:val="009B2883"/>
    <w:rsid w:val="009B2A0C"/>
    <w:rsid w:val="009B2B6E"/>
    <w:rsid w:val="009B3707"/>
    <w:rsid w:val="009B46ED"/>
    <w:rsid w:val="009B4973"/>
    <w:rsid w:val="009B507B"/>
    <w:rsid w:val="009B5511"/>
    <w:rsid w:val="009B56D3"/>
    <w:rsid w:val="009B57C7"/>
    <w:rsid w:val="009B5F70"/>
    <w:rsid w:val="009B7B1B"/>
    <w:rsid w:val="009C0443"/>
    <w:rsid w:val="009C0A9C"/>
    <w:rsid w:val="009C11D0"/>
    <w:rsid w:val="009C315A"/>
    <w:rsid w:val="009C32FE"/>
    <w:rsid w:val="009C3818"/>
    <w:rsid w:val="009C40BE"/>
    <w:rsid w:val="009C4677"/>
    <w:rsid w:val="009C46D3"/>
    <w:rsid w:val="009C4FD8"/>
    <w:rsid w:val="009C6312"/>
    <w:rsid w:val="009C67BD"/>
    <w:rsid w:val="009D2327"/>
    <w:rsid w:val="009D3505"/>
    <w:rsid w:val="009D3AFE"/>
    <w:rsid w:val="009D46A4"/>
    <w:rsid w:val="009D4929"/>
    <w:rsid w:val="009D4BC2"/>
    <w:rsid w:val="009D60CC"/>
    <w:rsid w:val="009D6B40"/>
    <w:rsid w:val="009D78EE"/>
    <w:rsid w:val="009D7B6F"/>
    <w:rsid w:val="009E1AFC"/>
    <w:rsid w:val="009E3A78"/>
    <w:rsid w:val="009E3A7B"/>
    <w:rsid w:val="009E3DDA"/>
    <w:rsid w:val="009E4B64"/>
    <w:rsid w:val="009E4EEF"/>
    <w:rsid w:val="009E629A"/>
    <w:rsid w:val="009E73DF"/>
    <w:rsid w:val="009E78BA"/>
    <w:rsid w:val="009F0008"/>
    <w:rsid w:val="009F04D0"/>
    <w:rsid w:val="009F0AB3"/>
    <w:rsid w:val="009F3343"/>
    <w:rsid w:val="009F4234"/>
    <w:rsid w:val="009F5242"/>
    <w:rsid w:val="009F5523"/>
    <w:rsid w:val="009F59C0"/>
    <w:rsid w:val="009F5BC1"/>
    <w:rsid w:val="009F63EA"/>
    <w:rsid w:val="009F6F2C"/>
    <w:rsid w:val="00A00224"/>
    <w:rsid w:val="00A01ECE"/>
    <w:rsid w:val="00A024E2"/>
    <w:rsid w:val="00A02B94"/>
    <w:rsid w:val="00A02C75"/>
    <w:rsid w:val="00A03150"/>
    <w:rsid w:val="00A03CBA"/>
    <w:rsid w:val="00A044B3"/>
    <w:rsid w:val="00A056CA"/>
    <w:rsid w:val="00A06D7E"/>
    <w:rsid w:val="00A11221"/>
    <w:rsid w:val="00A1127D"/>
    <w:rsid w:val="00A13B06"/>
    <w:rsid w:val="00A14BF6"/>
    <w:rsid w:val="00A154A2"/>
    <w:rsid w:val="00A15715"/>
    <w:rsid w:val="00A161CD"/>
    <w:rsid w:val="00A162FE"/>
    <w:rsid w:val="00A166DD"/>
    <w:rsid w:val="00A203CA"/>
    <w:rsid w:val="00A20E51"/>
    <w:rsid w:val="00A211E4"/>
    <w:rsid w:val="00A212C7"/>
    <w:rsid w:val="00A21A5A"/>
    <w:rsid w:val="00A21F73"/>
    <w:rsid w:val="00A22077"/>
    <w:rsid w:val="00A23A7C"/>
    <w:rsid w:val="00A24EB1"/>
    <w:rsid w:val="00A254F9"/>
    <w:rsid w:val="00A262EF"/>
    <w:rsid w:val="00A2679B"/>
    <w:rsid w:val="00A31D24"/>
    <w:rsid w:val="00A32AF3"/>
    <w:rsid w:val="00A334B6"/>
    <w:rsid w:val="00A33B3E"/>
    <w:rsid w:val="00A35D18"/>
    <w:rsid w:val="00A35D8A"/>
    <w:rsid w:val="00A36363"/>
    <w:rsid w:val="00A3657C"/>
    <w:rsid w:val="00A36E0B"/>
    <w:rsid w:val="00A37C07"/>
    <w:rsid w:val="00A41664"/>
    <w:rsid w:val="00A41994"/>
    <w:rsid w:val="00A42A8A"/>
    <w:rsid w:val="00A4307B"/>
    <w:rsid w:val="00A439FD"/>
    <w:rsid w:val="00A43D4F"/>
    <w:rsid w:val="00A43E37"/>
    <w:rsid w:val="00A444FF"/>
    <w:rsid w:val="00A44EA0"/>
    <w:rsid w:val="00A44FB7"/>
    <w:rsid w:val="00A45828"/>
    <w:rsid w:val="00A45E8C"/>
    <w:rsid w:val="00A46059"/>
    <w:rsid w:val="00A47FE3"/>
    <w:rsid w:val="00A505D2"/>
    <w:rsid w:val="00A50C9A"/>
    <w:rsid w:val="00A51762"/>
    <w:rsid w:val="00A52726"/>
    <w:rsid w:val="00A52DEC"/>
    <w:rsid w:val="00A53C99"/>
    <w:rsid w:val="00A54683"/>
    <w:rsid w:val="00A547F4"/>
    <w:rsid w:val="00A556F8"/>
    <w:rsid w:val="00A56121"/>
    <w:rsid w:val="00A562C9"/>
    <w:rsid w:val="00A57616"/>
    <w:rsid w:val="00A57946"/>
    <w:rsid w:val="00A60808"/>
    <w:rsid w:val="00A62135"/>
    <w:rsid w:val="00A6545F"/>
    <w:rsid w:val="00A65A46"/>
    <w:rsid w:val="00A6686B"/>
    <w:rsid w:val="00A66E5F"/>
    <w:rsid w:val="00A677CB"/>
    <w:rsid w:val="00A67DA6"/>
    <w:rsid w:val="00A722F0"/>
    <w:rsid w:val="00A7276D"/>
    <w:rsid w:val="00A72EC2"/>
    <w:rsid w:val="00A742A7"/>
    <w:rsid w:val="00A7435D"/>
    <w:rsid w:val="00A74E93"/>
    <w:rsid w:val="00A7544D"/>
    <w:rsid w:val="00A7626C"/>
    <w:rsid w:val="00A76E72"/>
    <w:rsid w:val="00A7710A"/>
    <w:rsid w:val="00A77805"/>
    <w:rsid w:val="00A80F70"/>
    <w:rsid w:val="00A83266"/>
    <w:rsid w:val="00A834FC"/>
    <w:rsid w:val="00A83880"/>
    <w:rsid w:val="00A845DE"/>
    <w:rsid w:val="00A84F52"/>
    <w:rsid w:val="00A8664B"/>
    <w:rsid w:val="00A86CAD"/>
    <w:rsid w:val="00A873A5"/>
    <w:rsid w:val="00A87530"/>
    <w:rsid w:val="00A87FA6"/>
    <w:rsid w:val="00A924E4"/>
    <w:rsid w:val="00A932D6"/>
    <w:rsid w:val="00A94D81"/>
    <w:rsid w:val="00A97055"/>
    <w:rsid w:val="00A9749F"/>
    <w:rsid w:val="00AA1296"/>
    <w:rsid w:val="00AA1561"/>
    <w:rsid w:val="00AA383A"/>
    <w:rsid w:val="00AA421E"/>
    <w:rsid w:val="00AA427E"/>
    <w:rsid w:val="00AA42FC"/>
    <w:rsid w:val="00AA5077"/>
    <w:rsid w:val="00AA5550"/>
    <w:rsid w:val="00AA5A1C"/>
    <w:rsid w:val="00AA735C"/>
    <w:rsid w:val="00AA7CE9"/>
    <w:rsid w:val="00AB0549"/>
    <w:rsid w:val="00AB0EF5"/>
    <w:rsid w:val="00AB21E0"/>
    <w:rsid w:val="00AB32F4"/>
    <w:rsid w:val="00AB43D5"/>
    <w:rsid w:val="00AB5F12"/>
    <w:rsid w:val="00AB627D"/>
    <w:rsid w:val="00AB7143"/>
    <w:rsid w:val="00AB716B"/>
    <w:rsid w:val="00AB7AF2"/>
    <w:rsid w:val="00AC0B94"/>
    <w:rsid w:val="00AC1745"/>
    <w:rsid w:val="00AC26A3"/>
    <w:rsid w:val="00AC3F8D"/>
    <w:rsid w:val="00AC3FC5"/>
    <w:rsid w:val="00AC42AC"/>
    <w:rsid w:val="00AC4F22"/>
    <w:rsid w:val="00AC5743"/>
    <w:rsid w:val="00AC5A10"/>
    <w:rsid w:val="00AC5A53"/>
    <w:rsid w:val="00AC5E37"/>
    <w:rsid w:val="00AD18CF"/>
    <w:rsid w:val="00AD3504"/>
    <w:rsid w:val="00AD3B62"/>
    <w:rsid w:val="00AE1132"/>
    <w:rsid w:val="00AE1697"/>
    <w:rsid w:val="00AE209A"/>
    <w:rsid w:val="00AE27F7"/>
    <w:rsid w:val="00AE4171"/>
    <w:rsid w:val="00AE4A17"/>
    <w:rsid w:val="00AE6ABD"/>
    <w:rsid w:val="00AE6DBE"/>
    <w:rsid w:val="00AE73BE"/>
    <w:rsid w:val="00AE75DA"/>
    <w:rsid w:val="00AE77EC"/>
    <w:rsid w:val="00AF6733"/>
    <w:rsid w:val="00AF73D1"/>
    <w:rsid w:val="00AF7784"/>
    <w:rsid w:val="00AF7D30"/>
    <w:rsid w:val="00B00AD0"/>
    <w:rsid w:val="00B00AF3"/>
    <w:rsid w:val="00B00F85"/>
    <w:rsid w:val="00B01410"/>
    <w:rsid w:val="00B026C4"/>
    <w:rsid w:val="00B02C22"/>
    <w:rsid w:val="00B037AF"/>
    <w:rsid w:val="00B0398D"/>
    <w:rsid w:val="00B04D8C"/>
    <w:rsid w:val="00B06585"/>
    <w:rsid w:val="00B079D5"/>
    <w:rsid w:val="00B07EE4"/>
    <w:rsid w:val="00B10000"/>
    <w:rsid w:val="00B103F5"/>
    <w:rsid w:val="00B10D9C"/>
    <w:rsid w:val="00B120AC"/>
    <w:rsid w:val="00B12855"/>
    <w:rsid w:val="00B140AE"/>
    <w:rsid w:val="00B15689"/>
    <w:rsid w:val="00B167E7"/>
    <w:rsid w:val="00B16860"/>
    <w:rsid w:val="00B1762A"/>
    <w:rsid w:val="00B176C3"/>
    <w:rsid w:val="00B2019E"/>
    <w:rsid w:val="00B20B2A"/>
    <w:rsid w:val="00B214EE"/>
    <w:rsid w:val="00B21AE6"/>
    <w:rsid w:val="00B21FBC"/>
    <w:rsid w:val="00B22486"/>
    <w:rsid w:val="00B236A5"/>
    <w:rsid w:val="00B24C73"/>
    <w:rsid w:val="00B24D62"/>
    <w:rsid w:val="00B24E7E"/>
    <w:rsid w:val="00B26173"/>
    <w:rsid w:val="00B27394"/>
    <w:rsid w:val="00B27A21"/>
    <w:rsid w:val="00B30F0A"/>
    <w:rsid w:val="00B3180C"/>
    <w:rsid w:val="00B32570"/>
    <w:rsid w:val="00B3322C"/>
    <w:rsid w:val="00B33A56"/>
    <w:rsid w:val="00B33A94"/>
    <w:rsid w:val="00B33B4E"/>
    <w:rsid w:val="00B3471E"/>
    <w:rsid w:val="00B35046"/>
    <w:rsid w:val="00B35CE4"/>
    <w:rsid w:val="00B36136"/>
    <w:rsid w:val="00B36302"/>
    <w:rsid w:val="00B36F04"/>
    <w:rsid w:val="00B37489"/>
    <w:rsid w:val="00B43BA8"/>
    <w:rsid w:val="00B45512"/>
    <w:rsid w:val="00B465C2"/>
    <w:rsid w:val="00B47874"/>
    <w:rsid w:val="00B5085F"/>
    <w:rsid w:val="00B518D5"/>
    <w:rsid w:val="00B53586"/>
    <w:rsid w:val="00B54726"/>
    <w:rsid w:val="00B55987"/>
    <w:rsid w:val="00B60B81"/>
    <w:rsid w:val="00B620CE"/>
    <w:rsid w:val="00B62632"/>
    <w:rsid w:val="00B62B2E"/>
    <w:rsid w:val="00B6368B"/>
    <w:rsid w:val="00B63AC6"/>
    <w:rsid w:val="00B64F26"/>
    <w:rsid w:val="00B65645"/>
    <w:rsid w:val="00B6694F"/>
    <w:rsid w:val="00B673B6"/>
    <w:rsid w:val="00B67691"/>
    <w:rsid w:val="00B6786C"/>
    <w:rsid w:val="00B70A6C"/>
    <w:rsid w:val="00B71196"/>
    <w:rsid w:val="00B7120A"/>
    <w:rsid w:val="00B71AB2"/>
    <w:rsid w:val="00B7269E"/>
    <w:rsid w:val="00B72925"/>
    <w:rsid w:val="00B72D4F"/>
    <w:rsid w:val="00B73D0D"/>
    <w:rsid w:val="00B740F5"/>
    <w:rsid w:val="00B74816"/>
    <w:rsid w:val="00B74E08"/>
    <w:rsid w:val="00B76EC7"/>
    <w:rsid w:val="00B774CB"/>
    <w:rsid w:val="00B802A9"/>
    <w:rsid w:val="00B80409"/>
    <w:rsid w:val="00B80E2E"/>
    <w:rsid w:val="00B81719"/>
    <w:rsid w:val="00B821A9"/>
    <w:rsid w:val="00B82AC0"/>
    <w:rsid w:val="00B8303D"/>
    <w:rsid w:val="00B834DB"/>
    <w:rsid w:val="00B859CA"/>
    <w:rsid w:val="00B85CE9"/>
    <w:rsid w:val="00B863BD"/>
    <w:rsid w:val="00B864EF"/>
    <w:rsid w:val="00B86943"/>
    <w:rsid w:val="00B901CC"/>
    <w:rsid w:val="00B90320"/>
    <w:rsid w:val="00B92831"/>
    <w:rsid w:val="00B931EE"/>
    <w:rsid w:val="00B9333A"/>
    <w:rsid w:val="00B93424"/>
    <w:rsid w:val="00B9464F"/>
    <w:rsid w:val="00B954B9"/>
    <w:rsid w:val="00B95A6C"/>
    <w:rsid w:val="00B95D31"/>
    <w:rsid w:val="00B95DE0"/>
    <w:rsid w:val="00B960AC"/>
    <w:rsid w:val="00B964C7"/>
    <w:rsid w:val="00B96B05"/>
    <w:rsid w:val="00B9715C"/>
    <w:rsid w:val="00B97A7E"/>
    <w:rsid w:val="00BA01FF"/>
    <w:rsid w:val="00BA0408"/>
    <w:rsid w:val="00BA0B9A"/>
    <w:rsid w:val="00BA1A04"/>
    <w:rsid w:val="00BA1A37"/>
    <w:rsid w:val="00BA1ADF"/>
    <w:rsid w:val="00BA2BAD"/>
    <w:rsid w:val="00BA2D5C"/>
    <w:rsid w:val="00BA3253"/>
    <w:rsid w:val="00BA4465"/>
    <w:rsid w:val="00BA67CE"/>
    <w:rsid w:val="00BA6A91"/>
    <w:rsid w:val="00BB193D"/>
    <w:rsid w:val="00BB1CE3"/>
    <w:rsid w:val="00BB1F36"/>
    <w:rsid w:val="00BB3463"/>
    <w:rsid w:val="00BB38E2"/>
    <w:rsid w:val="00BB450E"/>
    <w:rsid w:val="00BB461D"/>
    <w:rsid w:val="00BB5141"/>
    <w:rsid w:val="00BB5C28"/>
    <w:rsid w:val="00BB5CA0"/>
    <w:rsid w:val="00BB5CDC"/>
    <w:rsid w:val="00BB5D53"/>
    <w:rsid w:val="00BB67AE"/>
    <w:rsid w:val="00BB6C33"/>
    <w:rsid w:val="00BB7555"/>
    <w:rsid w:val="00BB7694"/>
    <w:rsid w:val="00BC0685"/>
    <w:rsid w:val="00BC3449"/>
    <w:rsid w:val="00BC4600"/>
    <w:rsid w:val="00BC4B17"/>
    <w:rsid w:val="00BC62A9"/>
    <w:rsid w:val="00BC6BDA"/>
    <w:rsid w:val="00BC6F9C"/>
    <w:rsid w:val="00BC7664"/>
    <w:rsid w:val="00BD0418"/>
    <w:rsid w:val="00BD0930"/>
    <w:rsid w:val="00BD0A65"/>
    <w:rsid w:val="00BD10D8"/>
    <w:rsid w:val="00BD16DC"/>
    <w:rsid w:val="00BD2309"/>
    <w:rsid w:val="00BD3002"/>
    <w:rsid w:val="00BD391E"/>
    <w:rsid w:val="00BD4B2C"/>
    <w:rsid w:val="00BD517A"/>
    <w:rsid w:val="00BD577A"/>
    <w:rsid w:val="00BD5871"/>
    <w:rsid w:val="00BD607C"/>
    <w:rsid w:val="00BD72B6"/>
    <w:rsid w:val="00BD76B6"/>
    <w:rsid w:val="00BD7C90"/>
    <w:rsid w:val="00BD7E19"/>
    <w:rsid w:val="00BE087A"/>
    <w:rsid w:val="00BE1561"/>
    <w:rsid w:val="00BE2166"/>
    <w:rsid w:val="00BE2C01"/>
    <w:rsid w:val="00BE2D15"/>
    <w:rsid w:val="00BE3214"/>
    <w:rsid w:val="00BE32F2"/>
    <w:rsid w:val="00BE34ED"/>
    <w:rsid w:val="00BE4124"/>
    <w:rsid w:val="00BE4D64"/>
    <w:rsid w:val="00BE5477"/>
    <w:rsid w:val="00BE6460"/>
    <w:rsid w:val="00BE6F0C"/>
    <w:rsid w:val="00BF07C1"/>
    <w:rsid w:val="00BF0C28"/>
    <w:rsid w:val="00BF0CA2"/>
    <w:rsid w:val="00BF0E3A"/>
    <w:rsid w:val="00BF20D2"/>
    <w:rsid w:val="00BF3987"/>
    <w:rsid w:val="00BF4167"/>
    <w:rsid w:val="00BF49D1"/>
    <w:rsid w:val="00BF63F7"/>
    <w:rsid w:val="00C006B4"/>
    <w:rsid w:val="00C009C5"/>
    <w:rsid w:val="00C00D8D"/>
    <w:rsid w:val="00C026C5"/>
    <w:rsid w:val="00C02FF7"/>
    <w:rsid w:val="00C0390E"/>
    <w:rsid w:val="00C04483"/>
    <w:rsid w:val="00C048C2"/>
    <w:rsid w:val="00C04D07"/>
    <w:rsid w:val="00C052D5"/>
    <w:rsid w:val="00C13400"/>
    <w:rsid w:val="00C13B9B"/>
    <w:rsid w:val="00C14528"/>
    <w:rsid w:val="00C163AE"/>
    <w:rsid w:val="00C167DD"/>
    <w:rsid w:val="00C1727C"/>
    <w:rsid w:val="00C20296"/>
    <w:rsid w:val="00C202CD"/>
    <w:rsid w:val="00C209B8"/>
    <w:rsid w:val="00C20A70"/>
    <w:rsid w:val="00C20C59"/>
    <w:rsid w:val="00C22C7C"/>
    <w:rsid w:val="00C23887"/>
    <w:rsid w:val="00C238E8"/>
    <w:rsid w:val="00C23EBA"/>
    <w:rsid w:val="00C24B8C"/>
    <w:rsid w:val="00C26311"/>
    <w:rsid w:val="00C30031"/>
    <w:rsid w:val="00C31934"/>
    <w:rsid w:val="00C342FD"/>
    <w:rsid w:val="00C3467D"/>
    <w:rsid w:val="00C349A4"/>
    <w:rsid w:val="00C35CAE"/>
    <w:rsid w:val="00C35D71"/>
    <w:rsid w:val="00C35DE8"/>
    <w:rsid w:val="00C36DFE"/>
    <w:rsid w:val="00C37169"/>
    <w:rsid w:val="00C374F2"/>
    <w:rsid w:val="00C379B4"/>
    <w:rsid w:val="00C37F7B"/>
    <w:rsid w:val="00C403EB"/>
    <w:rsid w:val="00C40B7E"/>
    <w:rsid w:val="00C40E58"/>
    <w:rsid w:val="00C40E9C"/>
    <w:rsid w:val="00C411E5"/>
    <w:rsid w:val="00C41806"/>
    <w:rsid w:val="00C41ED1"/>
    <w:rsid w:val="00C426D8"/>
    <w:rsid w:val="00C42BD8"/>
    <w:rsid w:val="00C42C76"/>
    <w:rsid w:val="00C42CE9"/>
    <w:rsid w:val="00C44502"/>
    <w:rsid w:val="00C449F6"/>
    <w:rsid w:val="00C45585"/>
    <w:rsid w:val="00C45F3C"/>
    <w:rsid w:val="00C470EA"/>
    <w:rsid w:val="00C4714D"/>
    <w:rsid w:val="00C47A55"/>
    <w:rsid w:val="00C47A8C"/>
    <w:rsid w:val="00C47FF4"/>
    <w:rsid w:val="00C50AB2"/>
    <w:rsid w:val="00C52B69"/>
    <w:rsid w:val="00C53626"/>
    <w:rsid w:val="00C53A46"/>
    <w:rsid w:val="00C53D7F"/>
    <w:rsid w:val="00C5471A"/>
    <w:rsid w:val="00C55441"/>
    <w:rsid w:val="00C55DE1"/>
    <w:rsid w:val="00C572E9"/>
    <w:rsid w:val="00C60145"/>
    <w:rsid w:val="00C606A2"/>
    <w:rsid w:val="00C60F63"/>
    <w:rsid w:val="00C60F6F"/>
    <w:rsid w:val="00C62291"/>
    <w:rsid w:val="00C624A1"/>
    <w:rsid w:val="00C627EE"/>
    <w:rsid w:val="00C62ABC"/>
    <w:rsid w:val="00C62F64"/>
    <w:rsid w:val="00C6467D"/>
    <w:rsid w:val="00C64E57"/>
    <w:rsid w:val="00C67B16"/>
    <w:rsid w:val="00C70388"/>
    <w:rsid w:val="00C707C0"/>
    <w:rsid w:val="00C70D32"/>
    <w:rsid w:val="00C71FF4"/>
    <w:rsid w:val="00C7205C"/>
    <w:rsid w:val="00C73200"/>
    <w:rsid w:val="00C735F9"/>
    <w:rsid w:val="00C738F4"/>
    <w:rsid w:val="00C74087"/>
    <w:rsid w:val="00C74860"/>
    <w:rsid w:val="00C74913"/>
    <w:rsid w:val="00C75D4F"/>
    <w:rsid w:val="00C80363"/>
    <w:rsid w:val="00C806CE"/>
    <w:rsid w:val="00C81BA9"/>
    <w:rsid w:val="00C81C8C"/>
    <w:rsid w:val="00C81F24"/>
    <w:rsid w:val="00C82E16"/>
    <w:rsid w:val="00C83F70"/>
    <w:rsid w:val="00C84C37"/>
    <w:rsid w:val="00C85C66"/>
    <w:rsid w:val="00C86862"/>
    <w:rsid w:val="00C86AC8"/>
    <w:rsid w:val="00C874F7"/>
    <w:rsid w:val="00C87510"/>
    <w:rsid w:val="00C8768D"/>
    <w:rsid w:val="00C879EB"/>
    <w:rsid w:val="00C87C03"/>
    <w:rsid w:val="00C90F36"/>
    <w:rsid w:val="00C923B0"/>
    <w:rsid w:val="00C92568"/>
    <w:rsid w:val="00C933AA"/>
    <w:rsid w:val="00C9364E"/>
    <w:rsid w:val="00C94C01"/>
    <w:rsid w:val="00C9545B"/>
    <w:rsid w:val="00C95726"/>
    <w:rsid w:val="00C95E13"/>
    <w:rsid w:val="00C9629F"/>
    <w:rsid w:val="00C973F4"/>
    <w:rsid w:val="00C97CE8"/>
    <w:rsid w:val="00CA0180"/>
    <w:rsid w:val="00CA080F"/>
    <w:rsid w:val="00CA0BC4"/>
    <w:rsid w:val="00CA16B2"/>
    <w:rsid w:val="00CA1DE9"/>
    <w:rsid w:val="00CA2D09"/>
    <w:rsid w:val="00CA35BA"/>
    <w:rsid w:val="00CA44B3"/>
    <w:rsid w:val="00CA4C94"/>
    <w:rsid w:val="00CA6F9B"/>
    <w:rsid w:val="00CA7B06"/>
    <w:rsid w:val="00CB1148"/>
    <w:rsid w:val="00CB122D"/>
    <w:rsid w:val="00CB16EB"/>
    <w:rsid w:val="00CB16ED"/>
    <w:rsid w:val="00CB1BC1"/>
    <w:rsid w:val="00CB222E"/>
    <w:rsid w:val="00CB31AB"/>
    <w:rsid w:val="00CB335B"/>
    <w:rsid w:val="00CB34E2"/>
    <w:rsid w:val="00CB4014"/>
    <w:rsid w:val="00CB45F2"/>
    <w:rsid w:val="00CB4A78"/>
    <w:rsid w:val="00CB55F5"/>
    <w:rsid w:val="00CB63E7"/>
    <w:rsid w:val="00CC01E9"/>
    <w:rsid w:val="00CC0557"/>
    <w:rsid w:val="00CC0D11"/>
    <w:rsid w:val="00CC2902"/>
    <w:rsid w:val="00CC3F9C"/>
    <w:rsid w:val="00CC406D"/>
    <w:rsid w:val="00CC47E8"/>
    <w:rsid w:val="00CC4FE1"/>
    <w:rsid w:val="00CC6379"/>
    <w:rsid w:val="00CD04CF"/>
    <w:rsid w:val="00CD13CB"/>
    <w:rsid w:val="00CD1FCC"/>
    <w:rsid w:val="00CD2731"/>
    <w:rsid w:val="00CD2EE1"/>
    <w:rsid w:val="00CD30CB"/>
    <w:rsid w:val="00CD43C1"/>
    <w:rsid w:val="00CD5187"/>
    <w:rsid w:val="00CD51F7"/>
    <w:rsid w:val="00CD53B3"/>
    <w:rsid w:val="00CD5B1F"/>
    <w:rsid w:val="00CD61CA"/>
    <w:rsid w:val="00CD7C89"/>
    <w:rsid w:val="00CE01AE"/>
    <w:rsid w:val="00CE0DC1"/>
    <w:rsid w:val="00CE3A4A"/>
    <w:rsid w:val="00CE4857"/>
    <w:rsid w:val="00CE5501"/>
    <w:rsid w:val="00CE6493"/>
    <w:rsid w:val="00CE7095"/>
    <w:rsid w:val="00CE765E"/>
    <w:rsid w:val="00CF0B4F"/>
    <w:rsid w:val="00CF1497"/>
    <w:rsid w:val="00CF1731"/>
    <w:rsid w:val="00CF2615"/>
    <w:rsid w:val="00CF2DF0"/>
    <w:rsid w:val="00CF2EC9"/>
    <w:rsid w:val="00CF5989"/>
    <w:rsid w:val="00CF6D4B"/>
    <w:rsid w:val="00CF76E8"/>
    <w:rsid w:val="00D000F8"/>
    <w:rsid w:val="00D052E9"/>
    <w:rsid w:val="00D0541C"/>
    <w:rsid w:val="00D054C6"/>
    <w:rsid w:val="00D05CB1"/>
    <w:rsid w:val="00D06160"/>
    <w:rsid w:val="00D06820"/>
    <w:rsid w:val="00D06827"/>
    <w:rsid w:val="00D06EBE"/>
    <w:rsid w:val="00D079A5"/>
    <w:rsid w:val="00D108B0"/>
    <w:rsid w:val="00D110F3"/>
    <w:rsid w:val="00D1127D"/>
    <w:rsid w:val="00D11C06"/>
    <w:rsid w:val="00D13D14"/>
    <w:rsid w:val="00D15231"/>
    <w:rsid w:val="00D16CD1"/>
    <w:rsid w:val="00D16FC0"/>
    <w:rsid w:val="00D17A47"/>
    <w:rsid w:val="00D17DA9"/>
    <w:rsid w:val="00D202CC"/>
    <w:rsid w:val="00D20515"/>
    <w:rsid w:val="00D20DD2"/>
    <w:rsid w:val="00D22DF0"/>
    <w:rsid w:val="00D22DF3"/>
    <w:rsid w:val="00D24882"/>
    <w:rsid w:val="00D24F02"/>
    <w:rsid w:val="00D2589E"/>
    <w:rsid w:val="00D267E9"/>
    <w:rsid w:val="00D26C84"/>
    <w:rsid w:val="00D27F16"/>
    <w:rsid w:val="00D27F88"/>
    <w:rsid w:val="00D30390"/>
    <w:rsid w:val="00D3068D"/>
    <w:rsid w:val="00D311FD"/>
    <w:rsid w:val="00D3352A"/>
    <w:rsid w:val="00D337B6"/>
    <w:rsid w:val="00D34F1B"/>
    <w:rsid w:val="00D35EC9"/>
    <w:rsid w:val="00D3632C"/>
    <w:rsid w:val="00D4015B"/>
    <w:rsid w:val="00D40281"/>
    <w:rsid w:val="00D40EBA"/>
    <w:rsid w:val="00D428E9"/>
    <w:rsid w:val="00D42D8C"/>
    <w:rsid w:val="00D4319D"/>
    <w:rsid w:val="00D43478"/>
    <w:rsid w:val="00D4454C"/>
    <w:rsid w:val="00D459A1"/>
    <w:rsid w:val="00D46574"/>
    <w:rsid w:val="00D4777D"/>
    <w:rsid w:val="00D47B0A"/>
    <w:rsid w:val="00D50513"/>
    <w:rsid w:val="00D506B1"/>
    <w:rsid w:val="00D50998"/>
    <w:rsid w:val="00D511F2"/>
    <w:rsid w:val="00D541DF"/>
    <w:rsid w:val="00D547B9"/>
    <w:rsid w:val="00D551E3"/>
    <w:rsid w:val="00D555E5"/>
    <w:rsid w:val="00D555FB"/>
    <w:rsid w:val="00D55BCB"/>
    <w:rsid w:val="00D61221"/>
    <w:rsid w:val="00D6173C"/>
    <w:rsid w:val="00D617F2"/>
    <w:rsid w:val="00D61D43"/>
    <w:rsid w:val="00D62785"/>
    <w:rsid w:val="00D64055"/>
    <w:rsid w:val="00D6545D"/>
    <w:rsid w:val="00D65590"/>
    <w:rsid w:val="00D6561D"/>
    <w:rsid w:val="00D6583D"/>
    <w:rsid w:val="00D65C5B"/>
    <w:rsid w:val="00D65CFA"/>
    <w:rsid w:val="00D66104"/>
    <w:rsid w:val="00D66F57"/>
    <w:rsid w:val="00D671D5"/>
    <w:rsid w:val="00D70DC7"/>
    <w:rsid w:val="00D718F8"/>
    <w:rsid w:val="00D71A28"/>
    <w:rsid w:val="00D71F92"/>
    <w:rsid w:val="00D72A21"/>
    <w:rsid w:val="00D734FD"/>
    <w:rsid w:val="00D74AA8"/>
    <w:rsid w:val="00D74EB1"/>
    <w:rsid w:val="00D75936"/>
    <w:rsid w:val="00D7627F"/>
    <w:rsid w:val="00D76AF7"/>
    <w:rsid w:val="00D7709A"/>
    <w:rsid w:val="00D77E43"/>
    <w:rsid w:val="00D80E0E"/>
    <w:rsid w:val="00D81854"/>
    <w:rsid w:val="00D82286"/>
    <w:rsid w:val="00D825A2"/>
    <w:rsid w:val="00D8299E"/>
    <w:rsid w:val="00D82AB2"/>
    <w:rsid w:val="00D834CD"/>
    <w:rsid w:val="00D84A7B"/>
    <w:rsid w:val="00D84ABD"/>
    <w:rsid w:val="00D84D48"/>
    <w:rsid w:val="00D85186"/>
    <w:rsid w:val="00D85500"/>
    <w:rsid w:val="00D857B1"/>
    <w:rsid w:val="00D86F02"/>
    <w:rsid w:val="00D87385"/>
    <w:rsid w:val="00D90075"/>
    <w:rsid w:val="00D90AE4"/>
    <w:rsid w:val="00D92320"/>
    <w:rsid w:val="00D936E2"/>
    <w:rsid w:val="00D936EB"/>
    <w:rsid w:val="00D94753"/>
    <w:rsid w:val="00D94B8F"/>
    <w:rsid w:val="00D95EC8"/>
    <w:rsid w:val="00D96888"/>
    <w:rsid w:val="00DA0029"/>
    <w:rsid w:val="00DA00F6"/>
    <w:rsid w:val="00DA0B41"/>
    <w:rsid w:val="00DA0D0C"/>
    <w:rsid w:val="00DA18FF"/>
    <w:rsid w:val="00DA2762"/>
    <w:rsid w:val="00DA286B"/>
    <w:rsid w:val="00DA343E"/>
    <w:rsid w:val="00DA547F"/>
    <w:rsid w:val="00DA56E0"/>
    <w:rsid w:val="00DB0CF0"/>
    <w:rsid w:val="00DB0D85"/>
    <w:rsid w:val="00DB0F86"/>
    <w:rsid w:val="00DB12EE"/>
    <w:rsid w:val="00DB13C7"/>
    <w:rsid w:val="00DB1A14"/>
    <w:rsid w:val="00DB1F62"/>
    <w:rsid w:val="00DB2018"/>
    <w:rsid w:val="00DB25CF"/>
    <w:rsid w:val="00DB2757"/>
    <w:rsid w:val="00DB39BD"/>
    <w:rsid w:val="00DB496D"/>
    <w:rsid w:val="00DB4C05"/>
    <w:rsid w:val="00DB5ED8"/>
    <w:rsid w:val="00DB69CC"/>
    <w:rsid w:val="00DB7D1B"/>
    <w:rsid w:val="00DC0D32"/>
    <w:rsid w:val="00DC30F4"/>
    <w:rsid w:val="00DC36A1"/>
    <w:rsid w:val="00DC4FE5"/>
    <w:rsid w:val="00DC64F5"/>
    <w:rsid w:val="00DC6813"/>
    <w:rsid w:val="00DC6F52"/>
    <w:rsid w:val="00DD0781"/>
    <w:rsid w:val="00DD0E5B"/>
    <w:rsid w:val="00DD17DA"/>
    <w:rsid w:val="00DD4E34"/>
    <w:rsid w:val="00DD5E87"/>
    <w:rsid w:val="00DD65C9"/>
    <w:rsid w:val="00DD6CD9"/>
    <w:rsid w:val="00DD71F9"/>
    <w:rsid w:val="00DE45DC"/>
    <w:rsid w:val="00DE4932"/>
    <w:rsid w:val="00DE5267"/>
    <w:rsid w:val="00DE55C4"/>
    <w:rsid w:val="00DE582C"/>
    <w:rsid w:val="00DE67B2"/>
    <w:rsid w:val="00DE6AA0"/>
    <w:rsid w:val="00DE7145"/>
    <w:rsid w:val="00DE7565"/>
    <w:rsid w:val="00DF07EE"/>
    <w:rsid w:val="00DF0896"/>
    <w:rsid w:val="00DF0CB3"/>
    <w:rsid w:val="00DF122A"/>
    <w:rsid w:val="00DF15AC"/>
    <w:rsid w:val="00DF2210"/>
    <w:rsid w:val="00DF2E95"/>
    <w:rsid w:val="00DF3CDE"/>
    <w:rsid w:val="00DF3DE3"/>
    <w:rsid w:val="00DF414D"/>
    <w:rsid w:val="00DF58E9"/>
    <w:rsid w:val="00DF59A3"/>
    <w:rsid w:val="00DF5F7B"/>
    <w:rsid w:val="00DF73D4"/>
    <w:rsid w:val="00E000D3"/>
    <w:rsid w:val="00E00DD3"/>
    <w:rsid w:val="00E00EFE"/>
    <w:rsid w:val="00E01D70"/>
    <w:rsid w:val="00E02692"/>
    <w:rsid w:val="00E027FB"/>
    <w:rsid w:val="00E02B7C"/>
    <w:rsid w:val="00E03125"/>
    <w:rsid w:val="00E03A94"/>
    <w:rsid w:val="00E0408E"/>
    <w:rsid w:val="00E0462B"/>
    <w:rsid w:val="00E063DA"/>
    <w:rsid w:val="00E066F2"/>
    <w:rsid w:val="00E07D25"/>
    <w:rsid w:val="00E101EA"/>
    <w:rsid w:val="00E108A9"/>
    <w:rsid w:val="00E1126A"/>
    <w:rsid w:val="00E12FA2"/>
    <w:rsid w:val="00E13C75"/>
    <w:rsid w:val="00E14038"/>
    <w:rsid w:val="00E14186"/>
    <w:rsid w:val="00E15464"/>
    <w:rsid w:val="00E179BB"/>
    <w:rsid w:val="00E204CD"/>
    <w:rsid w:val="00E21164"/>
    <w:rsid w:val="00E2143C"/>
    <w:rsid w:val="00E2206C"/>
    <w:rsid w:val="00E2246A"/>
    <w:rsid w:val="00E22863"/>
    <w:rsid w:val="00E22C14"/>
    <w:rsid w:val="00E22D2D"/>
    <w:rsid w:val="00E22E9F"/>
    <w:rsid w:val="00E23F34"/>
    <w:rsid w:val="00E243BF"/>
    <w:rsid w:val="00E24567"/>
    <w:rsid w:val="00E2543B"/>
    <w:rsid w:val="00E25A0A"/>
    <w:rsid w:val="00E266FF"/>
    <w:rsid w:val="00E26D04"/>
    <w:rsid w:val="00E26F2A"/>
    <w:rsid w:val="00E27112"/>
    <w:rsid w:val="00E273AE"/>
    <w:rsid w:val="00E31D94"/>
    <w:rsid w:val="00E32F50"/>
    <w:rsid w:val="00E33FDF"/>
    <w:rsid w:val="00E34731"/>
    <w:rsid w:val="00E35D2B"/>
    <w:rsid w:val="00E361D3"/>
    <w:rsid w:val="00E367B7"/>
    <w:rsid w:val="00E36993"/>
    <w:rsid w:val="00E40189"/>
    <w:rsid w:val="00E4064A"/>
    <w:rsid w:val="00E40CA3"/>
    <w:rsid w:val="00E42400"/>
    <w:rsid w:val="00E43103"/>
    <w:rsid w:val="00E43E25"/>
    <w:rsid w:val="00E440CB"/>
    <w:rsid w:val="00E44E6D"/>
    <w:rsid w:val="00E4503C"/>
    <w:rsid w:val="00E455FE"/>
    <w:rsid w:val="00E45E70"/>
    <w:rsid w:val="00E507C4"/>
    <w:rsid w:val="00E5085C"/>
    <w:rsid w:val="00E5101E"/>
    <w:rsid w:val="00E5121D"/>
    <w:rsid w:val="00E51533"/>
    <w:rsid w:val="00E5188F"/>
    <w:rsid w:val="00E51C7C"/>
    <w:rsid w:val="00E51CAB"/>
    <w:rsid w:val="00E51D5F"/>
    <w:rsid w:val="00E52315"/>
    <w:rsid w:val="00E52764"/>
    <w:rsid w:val="00E52908"/>
    <w:rsid w:val="00E53375"/>
    <w:rsid w:val="00E534CE"/>
    <w:rsid w:val="00E535EA"/>
    <w:rsid w:val="00E53776"/>
    <w:rsid w:val="00E53FD1"/>
    <w:rsid w:val="00E54300"/>
    <w:rsid w:val="00E5440B"/>
    <w:rsid w:val="00E55457"/>
    <w:rsid w:val="00E55D6F"/>
    <w:rsid w:val="00E560F3"/>
    <w:rsid w:val="00E56225"/>
    <w:rsid w:val="00E57C13"/>
    <w:rsid w:val="00E603DA"/>
    <w:rsid w:val="00E60CEB"/>
    <w:rsid w:val="00E61406"/>
    <w:rsid w:val="00E618DE"/>
    <w:rsid w:val="00E61DC7"/>
    <w:rsid w:val="00E61E14"/>
    <w:rsid w:val="00E62088"/>
    <w:rsid w:val="00E622CC"/>
    <w:rsid w:val="00E626CE"/>
    <w:rsid w:val="00E635A9"/>
    <w:rsid w:val="00E6416C"/>
    <w:rsid w:val="00E6473D"/>
    <w:rsid w:val="00E64E19"/>
    <w:rsid w:val="00E64F61"/>
    <w:rsid w:val="00E65392"/>
    <w:rsid w:val="00E6636A"/>
    <w:rsid w:val="00E675D6"/>
    <w:rsid w:val="00E6768C"/>
    <w:rsid w:val="00E70864"/>
    <w:rsid w:val="00E7088E"/>
    <w:rsid w:val="00E71C16"/>
    <w:rsid w:val="00E71CAE"/>
    <w:rsid w:val="00E72898"/>
    <w:rsid w:val="00E7350C"/>
    <w:rsid w:val="00E74790"/>
    <w:rsid w:val="00E74C6B"/>
    <w:rsid w:val="00E7606D"/>
    <w:rsid w:val="00E81144"/>
    <w:rsid w:val="00E81D40"/>
    <w:rsid w:val="00E82C4A"/>
    <w:rsid w:val="00E8327B"/>
    <w:rsid w:val="00E84629"/>
    <w:rsid w:val="00E84CA9"/>
    <w:rsid w:val="00E86700"/>
    <w:rsid w:val="00E86859"/>
    <w:rsid w:val="00E86F9C"/>
    <w:rsid w:val="00E92171"/>
    <w:rsid w:val="00E9276D"/>
    <w:rsid w:val="00E92947"/>
    <w:rsid w:val="00E95CC1"/>
    <w:rsid w:val="00E95CCC"/>
    <w:rsid w:val="00E978CD"/>
    <w:rsid w:val="00E97FCC"/>
    <w:rsid w:val="00EA0BAA"/>
    <w:rsid w:val="00EA23E8"/>
    <w:rsid w:val="00EA434E"/>
    <w:rsid w:val="00EA510B"/>
    <w:rsid w:val="00EA5560"/>
    <w:rsid w:val="00EA594B"/>
    <w:rsid w:val="00EA68E0"/>
    <w:rsid w:val="00EA71FE"/>
    <w:rsid w:val="00EA74CF"/>
    <w:rsid w:val="00EA7C7B"/>
    <w:rsid w:val="00EB2CA3"/>
    <w:rsid w:val="00EB3516"/>
    <w:rsid w:val="00EB4B8E"/>
    <w:rsid w:val="00EB505F"/>
    <w:rsid w:val="00EB55B9"/>
    <w:rsid w:val="00EB6C71"/>
    <w:rsid w:val="00EB77A9"/>
    <w:rsid w:val="00EC1948"/>
    <w:rsid w:val="00EC2E8D"/>
    <w:rsid w:val="00EC3F72"/>
    <w:rsid w:val="00EC528D"/>
    <w:rsid w:val="00EC5325"/>
    <w:rsid w:val="00EC5A59"/>
    <w:rsid w:val="00EC65B4"/>
    <w:rsid w:val="00EC7745"/>
    <w:rsid w:val="00ED2B76"/>
    <w:rsid w:val="00ED2C45"/>
    <w:rsid w:val="00ED343C"/>
    <w:rsid w:val="00ED36DC"/>
    <w:rsid w:val="00ED3A7C"/>
    <w:rsid w:val="00ED5130"/>
    <w:rsid w:val="00ED5785"/>
    <w:rsid w:val="00ED6277"/>
    <w:rsid w:val="00ED6A57"/>
    <w:rsid w:val="00ED792D"/>
    <w:rsid w:val="00ED7BA9"/>
    <w:rsid w:val="00ED7FCF"/>
    <w:rsid w:val="00EE0058"/>
    <w:rsid w:val="00EE0074"/>
    <w:rsid w:val="00EE0093"/>
    <w:rsid w:val="00EE0682"/>
    <w:rsid w:val="00EE0B93"/>
    <w:rsid w:val="00EE1612"/>
    <w:rsid w:val="00EE25DB"/>
    <w:rsid w:val="00EE2D37"/>
    <w:rsid w:val="00EE366B"/>
    <w:rsid w:val="00EE51E7"/>
    <w:rsid w:val="00EE545E"/>
    <w:rsid w:val="00EE5B4B"/>
    <w:rsid w:val="00EE5DEC"/>
    <w:rsid w:val="00EE6A79"/>
    <w:rsid w:val="00EE6B15"/>
    <w:rsid w:val="00EE70D1"/>
    <w:rsid w:val="00EF0C15"/>
    <w:rsid w:val="00EF0D70"/>
    <w:rsid w:val="00EF140E"/>
    <w:rsid w:val="00EF171E"/>
    <w:rsid w:val="00EF1D6F"/>
    <w:rsid w:val="00EF1F23"/>
    <w:rsid w:val="00EF2F69"/>
    <w:rsid w:val="00EF3207"/>
    <w:rsid w:val="00EF4FFB"/>
    <w:rsid w:val="00EF6E5C"/>
    <w:rsid w:val="00EF7E46"/>
    <w:rsid w:val="00F00011"/>
    <w:rsid w:val="00F002AB"/>
    <w:rsid w:val="00F00ED7"/>
    <w:rsid w:val="00F02192"/>
    <w:rsid w:val="00F02693"/>
    <w:rsid w:val="00F02910"/>
    <w:rsid w:val="00F02AAE"/>
    <w:rsid w:val="00F0312B"/>
    <w:rsid w:val="00F0397F"/>
    <w:rsid w:val="00F03CFE"/>
    <w:rsid w:val="00F04368"/>
    <w:rsid w:val="00F0490B"/>
    <w:rsid w:val="00F05498"/>
    <w:rsid w:val="00F05961"/>
    <w:rsid w:val="00F07D8D"/>
    <w:rsid w:val="00F07E40"/>
    <w:rsid w:val="00F10BBD"/>
    <w:rsid w:val="00F110A0"/>
    <w:rsid w:val="00F11123"/>
    <w:rsid w:val="00F11364"/>
    <w:rsid w:val="00F12107"/>
    <w:rsid w:val="00F1382E"/>
    <w:rsid w:val="00F13ED7"/>
    <w:rsid w:val="00F153D5"/>
    <w:rsid w:val="00F15E15"/>
    <w:rsid w:val="00F16449"/>
    <w:rsid w:val="00F177DF"/>
    <w:rsid w:val="00F20928"/>
    <w:rsid w:val="00F218DD"/>
    <w:rsid w:val="00F21BCF"/>
    <w:rsid w:val="00F22759"/>
    <w:rsid w:val="00F22F54"/>
    <w:rsid w:val="00F24F8F"/>
    <w:rsid w:val="00F2533C"/>
    <w:rsid w:val="00F25F2E"/>
    <w:rsid w:val="00F270EE"/>
    <w:rsid w:val="00F2772B"/>
    <w:rsid w:val="00F2780E"/>
    <w:rsid w:val="00F279A6"/>
    <w:rsid w:val="00F30632"/>
    <w:rsid w:val="00F30E8D"/>
    <w:rsid w:val="00F31624"/>
    <w:rsid w:val="00F32966"/>
    <w:rsid w:val="00F346E3"/>
    <w:rsid w:val="00F357D6"/>
    <w:rsid w:val="00F35D40"/>
    <w:rsid w:val="00F3606A"/>
    <w:rsid w:val="00F361BE"/>
    <w:rsid w:val="00F36638"/>
    <w:rsid w:val="00F36E3A"/>
    <w:rsid w:val="00F40C1B"/>
    <w:rsid w:val="00F41350"/>
    <w:rsid w:val="00F42AF0"/>
    <w:rsid w:val="00F42E9D"/>
    <w:rsid w:val="00F43C59"/>
    <w:rsid w:val="00F44EBE"/>
    <w:rsid w:val="00F46227"/>
    <w:rsid w:val="00F4631A"/>
    <w:rsid w:val="00F5045F"/>
    <w:rsid w:val="00F51754"/>
    <w:rsid w:val="00F51FF0"/>
    <w:rsid w:val="00F52578"/>
    <w:rsid w:val="00F536A4"/>
    <w:rsid w:val="00F53BFA"/>
    <w:rsid w:val="00F54873"/>
    <w:rsid w:val="00F54FA6"/>
    <w:rsid w:val="00F55033"/>
    <w:rsid w:val="00F559B1"/>
    <w:rsid w:val="00F5717F"/>
    <w:rsid w:val="00F573C9"/>
    <w:rsid w:val="00F57D4F"/>
    <w:rsid w:val="00F60041"/>
    <w:rsid w:val="00F60130"/>
    <w:rsid w:val="00F64CDE"/>
    <w:rsid w:val="00F6581A"/>
    <w:rsid w:val="00F65C03"/>
    <w:rsid w:val="00F65CEC"/>
    <w:rsid w:val="00F66A4F"/>
    <w:rsid w:val="00F66F82"/>
    <w:rsid w:val="00F67DA0"/>
    <w:rsid w:val="00F67E5B"/>
    <w:rsid w:val="00F67F4E"/>
    <w:rsid w:val="00F7142B"/>
    <w:rsid w:val="00F7199E"/>
    <w:rsid w:val="00F719CC"/>
    <w:rsid w:val="00F71A0A"/>
    <w:rsid w:val="00F72759"/>
    <w:rsid w:val="00F7391D"/>
    <w:rsid w:val="00F73B44"/>
    <w:rsid w:val="00F75323"/>
    <w:rsid w:val="00F76814"/>
    <w:rsid w:val="00F76BDD"/>
    <w:rsid w:val="00F77874"/>
    <w:rsid w:val="00F7788B"/>
    <w:rsid w:val="00F77B17"/>
    <w:rsid w:val="00F81D92"/>
    <w:rsid w:val="00F82FDB"/>
    <w:rsid w:val="00F831EA"/>
    <w:rsid w:val="00F8346A"/>
    <w:rsid w:val="00F845F0"/>
    <w:rsid w:val="00F8589C"/>
    <w:rsid w:val="00F911E9"/>
    <w:rsid w:val="00F9290D"/>
    <w:rsid w:val="00F92EBE"/>
    <w:rsid w:val="00F93A2D"/>
    <w:rsid w:val="00F93A65"/>
    <w:rsid w:val="00F93FBA"/>
    <w:rsid w:val="00F94A1B"/>
    <w:rsid w:val="00F95297"/>
    <w:rsid w:val="00F95C99"/>
    <w:rsid w:val="00F9677C"/>
    <w:rsid w:val="00F96854"/>
    <w:rsid w:val="00F96919"/>
    <w:rsid w:val="00F96CBE"/>
    <w:rsid w:val="00F978E8"/>
    <w:rsid w:val="00F97B7D"/>
    <w:rsid w:val="00F97FCA"/>
    <w:rsid w:val="00FA1002"/>
    <w:rsid w:val="00FA1054"/>
    <w:rsid w:val="00FA1E05"/>
    <w:rsid w:val="00FA1EFB"/>
    <w:rsid w:val="00FA260D"/>
    <w:rsid w:val="00FA27FA"/>
    <w:rsid w:val="00FA2CD8"/>
    <w:rsid w:val="00FA5600"/>
    <w:rsid w:val="00FA79B5"/>
    <w:rsid w:val="00FB0667"/>
    <w:rsid w:val="00FB39E5"/>
    <w:rsid w:val="00FB3D99"/>
    <w:rsid w:val="00FB4D48"/>
    <w:rsid w:val="00FB5B00"/>
    <w:rsid w:val="00FB5F69"/>
    <w:rsid w:val="00FB5FA2"/>
    <w:rsid w:val="00FB6619"/>
    <w:rsid w:val="00FC0FA2"/>
    <w:rsid w:val="00FC199A"/>
    <w:rsid w:val="00FC23A0"/>
    <w:rsid w:val="00FC2404"/>
    <w:rsid w:val="00FC2845"/>
    <w:rsid w:val="00FC33F0"/>
    <w:rsid w:val="00FC4753"/>
    <w:rsid w:val="00FC4B8D"/>
    <w:rsid w:val="00FC5668"/>
    <w:rsid w:val="00FC5C93"/>
    <w:rsid w:val="00FC5D84"/>
    <w:rsid w:val="00FC6E5F"/>
    <w:rsid w:val="00FC71C9"/>
    <w:rsid w:val="00FD030A"/>
    <w:rsid w:val="00FD295A"/>
    <w:rsid w:val="00FD528C"/>
    <w:rsid w:val="00FD597D"/>
    <w:rsid w:val="00FD5C1F"/>
    <w:rsid w:val="00FD696E"/>
    <w:rsid w:val="00FD78E5"/>
    <w:rsid w:val="00FE0672"/>
    <w:rsid w:val="00FE20C8"/>
    <w:rsid w:val="00FE4237"/>
    <w:rsid w:val="00FE42EA"/>
    <w:rsid w:val="00FE4D52"/>
    <w:rsid w:val="00FE51C4"/>
    <w:rsid w:val="00FE6AAC"/>
    <w:rsid w:val="00FE74DD"/>
    <w:rsid w:val="00FE7F87"/>
    <w:rsid w:val="00FF042E"/>
    <w:rsid w:val="00FF04BE"/>
    <w:rsid w:val="00FF074C"/>
    <w:rsid w:val="00FF12F1"/>
    <w:rsid w:val="00FF14C9"/>
    <w:rsid w:val="00FF170B"/>
    <w:rsid w:val="00FF1B2A"/>
    <w:rsid w:val="00FF1DF9"/>
    <w:rsid w:val="00FF1F58"/>
    <w:rsid w:val="00FF21B4"/>
    <w:rsid w:val="00FF2A99"/>
    <w:rsid w:val="00FF2ADD"/>
    <w:rsid w:val="00FF3582"/>
    <w:rsid w:val="00FF40FC"/>
    <w:rsid w:val="00FF4DA5"/>
    <w:rsid w:val="00FF4FB8"/>
    <w:rsid w:val="00FF50B9"/>
    <w:rsid w:val="00FF65AC"/>
    <w:rsid w:val="00FF6609"/>
    <w:rsid w:val="00FF6917"/>
    <w:rsid w:val="00FF7334"/>
    <w:rsid w:val="00FF77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6147"/>
    <w:pPr>
      <w:widowControl w:val="0"/>
      <w:jc w:val="both"/>
    </w:pPr>
  </w:style>
  <w:style w:type="paragraph" w:styleId="Heading1">
    <w:name w:val="heading 1"/>
    <w:aliases w:val="小标题"/>
    <w:basedOn w:val="Normal"/>
    <w:next w:val="Normal"/>
    <w:link w:val="Heading1Char"/>
    <w:autoRedefine/>
    <w:uiPriority w:val="99"/>
    <w:qFormat/>
    <w:rsid w:val="00A21A5A"/>
    <w:pPr>
      <w:keepNext/>
      <w:keepLines/>
      <w:widowControl/>
      <w:numPr>
        <w:numId w:val="6"/>
      </w:numPr>
      <w:spacing w:before="100" w:beforeAutospacing="1" w:afterLines="50"/>
      <w:ind w:leftChars="1200" w:left="1200"/>
      <w:outlineLvl w:val="0"/>
    </w:pPr>
    <w:rPr>
      <w:rFonts w:eastAsia="华文楷体"/>
      <w:b/>
      <w:bCs/>
      <w:kern w:val="44"/>
      <w:sz w:val="28"/>
      <w:szCs w:val="4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小标题 Char"/>
    <w:basedOn w:val="DefaultParagraphFont"/>
    <w:link w:val="Heading1"/>
    <w:uiPriority w:val="99"/>
    <w:locked/>
    <w:rsid w:val="00A21A5A"/>
    <w:rPr>
      <w:rFonts w:ascii="Calibri" w:eastAsia="华文楷体" w:hAnsi="Calibri" w:cs="Times New Roman"/>
      <w:b/>
      <w:bCs/>
      <w:kern w:val="44"/>
      <w:sz w:val="44"/>
      <w:szCs w:val="44"/>
    </w:rPr>
  </w:style>
  <w:style w:type="paragraph" w:styleId="Header">
    <w:name w:val="header"/>
    <w:basedOn w:val="Normal"/>
    <w:link w:val="HeaderChar"/>
    <w:uiPriority w:val="99"/>
    <w:semiHidden/>
    <w:rsid w:val="00B100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B10000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B100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B10000"/>
    <w:rPr>
      <w:rFonts w:cs="Times New Roman"/>
      <w:sz w:val="18"/>
      <w:szCs w:val="18"/>
    </w:rPr>
  </w:style>
  <w:style w:type="paragraph" w:customStyle="1" w:styleId="a">
    <w:name w:val="页眉报告名称"/>
    <w:link w:val="Char"/>
    <w:autoRedefine/>
    <w:uiPriority w:val="99"/>
    <w:rsid w:val="00B10000"/>
    <w:pPr>
      <w:spacing w:afterLines="100" w:line="240" w:lineRule="exact"/>
      <w:jc w:val="both"/>
    </w:pPr>
    <w:rPr>
      <w:rFonts w:eastAsia="华文新魏"/>
      <w:sz w:val="24"/>
    </w:rPr>
  </w:style>
  <w:style w:type="character" w:customStyle="1" w:styleId="Char">
    <w:name w:val="页眉报告名称 Char"/>
    <w:basedOn w:val="DefaultParagraphFont"/>
    <w:link w:val="a"/>
    <w:uiPriority w:val="99"/>
    <w:locked/>
    <w:rsid w:val="00B10000"/>
    <w:rPr>
      <w:rFonts w:ascii="Calibri" w:eastAsia="华文新魏" w:hAnsi="Calibri" w:cs="Times New Roman"/>
      <w:kern w:val="2"/>
      <w:sz w:val="22"/>
      <w:szCs w:val="22"/>
      <w:lang w:val="en-US" w:eastAsia="zh-CN" w:bidi="ar-SA"/>
    </w:rPr>
  </w:style>
  <w:style w:type="paragraph" w:customStyle="1" w:styleId="a0">
    <w:name w:val="页眉图片"/>
    <w:basedOn w:val="Header"/>
    <w:link w:val="Char0"/>
    <w:uiPriority w:val="99"/>
    <w:rsid w:val="00B10000"/>
    <w:pPr>
      <w:pBdr>
        <w:bottom w:val="none" w:sz="0" w:space="0" w:color="auto"/>
      </w:pBdr>
      <w:tabs>
        <w:tab w:val="clear" w:pos="4153"/>
        <w:tab w:val="clear" w:pos="8306"/>
        <w:tab w:val="right" w:pos="11424"/>
      </w:tabs>
      <w:jc w:val="left"/>
    </w:pPr>
    <w:rPr>
      <w:noProof/>
    </w:rPr>
  </w:style>
  <w:style w:type="character" w:customStyle="1" w:styleId="Char0">
    <w:name w:val="页眉图片 Char"/>
    <w:basedOn w:val="HeaderChar"/>
    <w:link w:val="a0"/>
    <w:uiPriority w:val="99"/>
    <w:locked/>
    <w:rsid w:val="00B10000"/>
    <w:rPr>
      <w:rFonts w:ascii="Calibri" w:eastAsia="宋体" w:hAnsi="Calibri"/>
      <w:noProof/>
    </w:rPr>
  </w:style>
  <w:style w:type="paragraph" w:customStyle="1" w:styleId="a1">
    <w:name w:val="页眉处日期"/>
    <w:basedOn w:val="Normal"/>
    <w:link w:val="Char1"/>
    <w:uiPriority w:val="99"/>
    <w:rsid w:val="00B10000"/>
    <w:pPr>
      <w:tabs>
        <w:tab w:val="right" w:pos="11424"/>
      </w:tabs>
      <w:snapToGrid w:val="0"/>
      <w:jc w:val="left"/>
    </w:pPr>
    <w:rPr>
      <w:rFonts w:ascii="华文隶书" w:eastAsia="华文隶书"/>
      <w:b/>
      <w:sz w:val="24"/>
      <w:szCs w:val="24"/>
    </w:rPr>
  </w:style>
  <w:style w:type="paragraph" w:customStyle="1" w:styleId="a2">
    <w:name w:val="页眉副标题"/>
    <w:basedOn w:val="Normal"/>
    <w:link w:val="Char2"/>
    <w:uiPriority w:val="99"/>
    <w:rsid w:val="00B10000"/>
    <w:pPr>
      <w:tabs>
        <w:tab w:val="right" w:pos="11424"/>
      </w:tabs>
      <w:snapToGrid w:val="0"/>
      <w:jc w:val="left"/>
    </w:pPr>
    <w:rPr>
      <w:rFonts w:ascii="华文隶书" w:eastAsia="华文隶书"/>
      <w:sz w:val="36"/>
      <w:szCs w:val="36"/>
    </w:rPr>
  </w:style>
  <w:style w:type="character" w:customStyle="1" w:styleId="Char1">
    <w:name w:val="页眉处日期 Char"/>
    <w:basedOn w:val="DefaultParagraphFont"/>
    <w:link w:val="a1"/>
    <w:uiPriority w:val="99"/>
    <w:locked/>
    <w:rsid w:val="00B10000"/>
    <w:rPr>
      <w:rFonts w:ascii="华文隶书" w:eastAsia="华文隶书" w:hAnsi="Calibri" w:cs="Times New Roman"/>
      <w:b/>
      <w:sz w:val="24"/>
      <w:szCs w:val="24"/>
    </w:rPr>
  </w:style>
  <w:style w:type="character" w:customStyle="1" w:styleId="Char2">
    <w:name w:val="页眉副标题 Char"/>
    <w:basedOn w:val="DefaultParagraphFont"/>
    <w:link w:val="a2"/>
    <w:uiPriority w:val="99"/>
    <w:locked/>
    <w:rsid w:val="00B10000"/>
    <w:rPr>
      <w:rFonts w:ascii="华文隶书" w:eastAsia="华文隶书" w:hAnsi="Calibri" w:cs="Times New Roman"/>
      <w:sz w:val="36"/>
      <w:szCs w:val="36"/>
    </w:rPr>
  </w:style>
  <w:style w:type="paragraph" w:customStyle="1" w:styleId="a3">
    <w:name w:val="页眉的分析师"/>
    <w:basedOn w:val="Normal"/>
    <w:link w:val="Char3"/>
    <w:uiPriority w:val="99"/>
    <w:rsid w:val="00B10000"/>
    <w:pPr>
      <w:tabs>
        <w:tab w:val="right" w:pos="11424"/>
      </w:tabs>
      <w:snapToGrid w:val="0"/>
      <w:spacing w:line="240" w:lineRule="exact"/>
      <w:jc w:val="right"/>
    </w:pPr>
    <w:rPr>
      <w:rFonts w:ascii="华文新魏" w:eastAsia="华文新魏"/>
      <w:szCs w:val="21"/>
    </w:rPr>
  </w:style>
  <w:style w:type="character" w:customStyle="1" w:styleId="Char3">
    <w:name w:val="页眉的分析师 Char"/>
    <w:basedOn w:val="DefaultParagraphFont"/>
    <w:link w:val="a3"/>
    <w:uiPriority w:val="99"/>
    <w:locked/>
    <w:rsid w:val="00B10000"/>
    <w:rPr>
      <w:rFonts w:ascii="华文新魏" w:eastAsia="华文新魏" w:hAnsi="Calibri" w:cs="Times New Roman"/>
      <w:sz w:val="21"/>
      <w:szCs w:val="21"/>
    </w:rPr>
  </w:style>
  <w:style w:type="paragraph" w:customStyle="1" w:styleId="12">
    <w:name w:val="页眉12"/>
    <w:basedOn w:val="Header"/>
    <w:link w:val="12Char"/>
    <w:uiPriority w:val="99"/>
    <w:rsid w:val="00B10000"/>
    <w:pPr>
      <w:pBdr>
        <w:bottom w:val="none" w:sz="0" w:space="0" w:color="auto"/>
      </w:pBdr>
      <w:tabs>
        <w:tab w:val="clear" w:pos="4153"/>
        <w:tab w:val="clear" w:pos="8306"/>
        <w:tab w:val="right" w:pos="11424"/>
      </w:tabs>
      <w:jc w:val="left"/>
    </w:pPr>
  </w:style>
  <w:style w:type="character" w:customStyle="1" w:styleId="12Char">
    <w:name w:val="页眉12 Char"/>
    <w:basedOn w:val="HeaderChar"/>
    <w:link w:val="12"/>
    <w:uiPriority w:val="99"/>
    <w:locked/>
    <w:rsid w:val="00B10000"/>
    <w:rPr>
      <w:rFonts w:ascii="Calibri" w:eastAsia="宋体" w:hAnsi="Calibri"/>
    </w:rPr>
  </w:style>
  <w:style w:type="paragraph" w:customStyle="1" w:styleId="2">
    <w:name w:val="页眉副标题2"/>
    <w:basedOn w:val="12"/>
    <w:link w:val="2Char"/>
    <w:uiPriority w:val="99"/>
    <w:rsid w:val="00B10000"/>
    <w:pPr>
      <w:jc w:val="right"/>
    </w:pPr>
    <w:rPr>
      <w:rFonts w:ascii="华文隶书" w:eastAsia="华文隶书"/>
      <w:sz w:val="21"/>
      <w:szCs w:val="21"/>
    </w:rPr>
  </w:style>
  <w:style w:type="character" w:customStyle="1" w:styleId="2Char">
    <w:name w:val="页眉副标题2 Char"/>
    <w:basedOn w:val="12Char"/>
    <w:link w:val="2"/>
    <w:uiPriority w:val="99"/>
    <w:locked/>
    <w:rsid w:val="00B10000"/>
    <w:rPr>
      <w:rFonts w:ascii="华文隶书" w:eastAsia="华文隶书"/>
      <w:sz w:val="21"/>
      <w:szCs w:val="21"/>
    </w:rPr>
  </w:style>
  <w:style w:type="paragraph" w:customStyle="1" w:styleId="a4">
    <w:name w:val="特别声明格式"/>
    <w:basedOn w:val="Normal"/>
    <w:link w:val="Char4"/>
    <w:uiPriority w:val="99"/>
    <w:rsid w:val="00B10000"/>
    <w:pPr>
      <w:spacing w:afterLines="100" w:line="240" w:lineRule="exact"/>
    </w:pPr>
    <w:rPr>
      <w:rFonts w:ascii="华文隶书" w:eastAsia="华文隶书"/>
      <w:sz w:val="28"/>
    </w:rPr>
  </w:style>
  <w:style w:type="character" w:customStyle="1" w:styleId="Char4">
    <w:name w:val="特别声明格式 Char"/>
    <w:basedOn w:val="DefaultParagraphFont"/>
    <w:link w:val="a4"/>
    <w:uiPriority w:val="99"/>
    <w:locked/>
    <w:rsid w:val="00B10000"/>
    <w:rPr>
      <w:rFonts w:ascii="华文隶书" w:eastAsia="华文隶书" w:hAnsi="Calibri" w:cs="Times New Roman"/>
      <w:sz w:val="28"/>
    </w:rPr>
  </w:style>
  <w:style w:type="paragraph" w:styleId="BodyText">
    <w:name w:val="Body Text"/>
    <w:basedOn w:val="Normal"/>
    <w:link w:val="BodyTextChar"/>
    <w:uiPriority w:val="99"/>
    <w:rsid w:val="00B10000"/>
    <w:pPr>
      <w:widowControl/>
      <w:spacing w:after="120" w:line="240" w:lineRule="exact"/>
      <w:ind w:left="3402"/>
    </w:pPr>
    <w:rPr>
      <w:rFonts w:ascii="Arial" w:eastAsia="KaiTi_GB2312" w:hAnsi="Arial"/>
      <w:color w:val="000000"/>
      <w:kern w:val="0"/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B10000"/>
    <w:rPr>
      <w:rFonts w:ascii="Arial" w:eastAsia="KaiTi_GB2312" w:hAnsi="Arial" w:cs="Times New Roman"/>
      <w:color w:val="000000"/>
      <w:kern w:val="0"/>
      <w:sz w:val="20"/>
      <w:szCs w:val="20"/>
      <w:lang w:val="en-GB"/>
    </w:rPr>
  </w:style>
  <w:style w:type="paragraph" w:customStyle="1" w:styleId="FootnoteNoline">
    <w:name w:val="FootnoteNoline"/>
    <w:basedOn w:val="Normal"/>
    <w:next w:val="BodyText"/>
    <w:uiPriority w:val="99"/>
    <w:rsid w:val="008840A4"/>
    <w:pPr>
      <w:widowControl/>
      <w:tabs>
        <w:tab w:val="right" w:pos="10065"/>
      </w:tabs>
      <w:spacing w:before="40" w:after="160"/>
      <w:ind w:left="3402"/>
    </w:pPr>
    <w:rPr>
      <w:rFonts w:ascii="Arial" w:eastAsia="KaiTi_GB2312" w:hAnsi="Arial" w:cs="Arial"/>
      <w:color w:val="003765"/>
      <w:kern w:val="0"/>
      <w:sz w:val="15"/>
      <w:szCs w:val="14"/>
      <w:lang w:val="en-GB"/>
    </w:rPr>
  </w:style>
  <w:style w:type="paragraph" w:customStyle="1" w:styleId="SubTitleLargeTable">
    <w:name w:val="SubTitleLargeTable"/>
    <w:uiPriority w:val="99"/>
    <w:rsid w:val="008840A4"/>
    <w:pPr>
      <w:keepNext/>
      <w:pBdr>
        <w:top w:val="single" w:sz="6" w:space="1" w:color="666699"/>
      </w:pBdr>
      <w:suppressAutoHyphens/>
      <w:spacing w:after="40" w:line="240" w:lineRule="atLeast"/>
    </w:pPr>
    <w:rPr>
      <w:rFonts w:ascii="Arial" w:eastAsia="KaiTi_GB2312" w:hAnsi="Arial" w:cs="Arial"/>
      <w:b/>
      <w:bCs/>
      <w:i/>
      <w:iCs/>
      <w:color w:val="003765"/>
      <w:kern w:val="0"/>
      <w:szCs w:val="21"/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8840A4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840A4"/>
    <w:rPr>
      <w:rFonts w:cs="Times New Roman"/>
      <w:sz w:val="18"/>
      <w:szCs w:val="18"/>
    </w:rPr>
  </w:style>
  <w:style w:type="paragraph" w:customStyle="1" w:styleId="CoverBullet">
    <w:name w:val="Cover Bullet"/>
    <w:uiPriority w:val="99"/>
    <w:rsid w:val="008840A4"/>
    <w:pPr>
      <w:numPr>
        <w:numId w:val="3"/>
      </w:numPr>
      <w:spacing w:before="120" w:after="120"/>
      <w:ind w:left="357" w:hanging="357"/>
    </w:pPr>
    <w:rPr>
      <w:rFonts w:ascii="LucidaSans" w:hAnsi="LucidaSans"/>
      <w:b/>
      <w:bCs/>
      <w:kern w:val="0"/>
      <w:sz w:val="20"/>
      <w:szCs w:val="20"/>
      <w:lang w:val="en-GB"/>
    </w:rPr>
  </w:style>
  <w:style w:type="paragraph" w:styleId="ListParagraph">
    <w:name w:val="List Paragraph"/>
    <w:basedOn w:val="Normal"/>
    <w:uiPriority w:val="99"/>
    <w:qFormat/>
    <w:rsid w:val="00026FF9"/>
    <w:pPr>
      <w:ind w:firstLineChars="200" w:firstLine="420"/>
    </w:pPr>
  </w:style>
  <w:style w:type="paragraph" w:customStyle="1" w:styleId="SourceLarge">
    <w:name w:val="SourceLarge"/>
    <w:uiPriority w:val="99"/>
    <w:rsid w:val="00611ADA"/>
    <w:pPr>
      <w:tabs>
        <w:tab w:val="left" w:pos="5216"/>
        <w:tab w:val="right" w:pos="9866"/>
      </w:tabs>
      <w:suppressAutoHyphens/>
      <w:spacing w:line="160" w:lineRule="atLeast"/>
    </w:pPr>
    <w:rPr>
      <w:rFonts w:ascii="LucidaSans" w:hAnsi="LucidaSans"/>
      <w:kern w:val="0"/>
      <w:sz w:val="12"/>
      <w:szCs w:val="12"/>
      <w:lang w:val="en-GB"/>
    </w:rPr>
  </w:style>
  <w:style w:type="paragraph" w:customStyle="1" w:styleId="BulletCoverpage">
    <w:name w:val="Bullet Cover page"/>
    <w:basedOn w:val="Normal"/>
    <w:uiPriority w:val="99"/>
    <w:rsid w:val="00611ADA"/>
    <w:pPr>
      <w:widowControl/>
      <w:numPr>
        <w:numId w:val="4"/>
      </w:numPr>
      <w:suppressAutoHyphens/>
      <w:spacing w:after="200" w:line="240" w:lineRule="atLeast"/>
    </w:pPr>
    <w:rPr>
      <w:rFonts w:ascii="Arial" w:eastAsia="KaiTi_GB2312" w:hAnsi="Arial"/>
      <w:kern w:val="0"/>
      <w:sz w:val="18"/>
      <w:szCs w:val="20"/>
      <w:lang w:val="en-GB"/>
    </w:rPr>
  </w:style>
  <w:style w:type="paragraph" w:customStyle="1" w:styleId="1">
    <w:name w:val="模板标题1"/>
    <w:basedOn w:val="Normal"/>
    <w:next w:val="BodyText"/>
    <w:uiPriority w:val="99"/>
    <w:rsid w:val="00611ADA"/>
    <w:pPr>
      <w:widowControl/>
      <w:spacing w:after="240" w:line="300" w:lineRule="exact"/>
      <w:ind w:left="3402"/>
      <w:outlineLvl w:val="0"/>
    </w:pPr>
    <w:rPr>
      <w:rFonts w:ascii="Arial" w:eastAsia="KaiTi_GB2312" w:hAnsi="Arial"/>
      <w:b/>
      <w:bCs/>
      <w:color w:val="01659D"/>
      <w:kern w:val="0"/>
      <w:sz w:val="24"/>
      <w:szCs w:val="20"/>
      <w:lang w:val="en-GB"/>
    </w:rPr>
  </w:style>
  <w:style w:type="paragraph" w:customStyle="1" w:styleId="a5">
    <w:name w:val="正文内容"/>
    <w:basedOn w:val="BodyText"/>
    <w:link w:val="Char5"/>
    <w:uiPriority w:val="99"/>
    <w:rsid w:val="00A21A5A"/>
    <w:pPr>
      <w:tabs>
        <w:tab w:val="num" w:pos="3799"/>
      </w:tabs>
      <w:spacing w:after="163"/>
      <w:ind w:left="3799" w:hanging="369"/>
    </w:pPr>
    <w:rPr>
      <w:rFonts w:ascii="KaiTi_GB2312" w:eastAsia="宋体" w:hAnsi="KaiTi_GB2312"/>
      <w:color w:val="auto"/>
    </w:rPr>
  </w:style>
  <w:style w:type="character" w:customStyle="1" w:styleId="Char5">
    <w:name w:val="正文内容 Char"/>
    <w:basedOn w:val="BodyTextChar"/>
    <w:link w:val="a5"/>
    <w:uiPriority w:val="99"/>
    <w:locked/>
    <w:rsid w:val="00A21A5A"/>
    <w:rPr>
      <w:rFonts w:ascii="KaiTi_GB2312" w:eastAsia="Times New Roman" w:hAnsi="KaiTi_GB2312"/>
    </w:rPr>
  </w:style>
  <w:style w:type="paragraph" w:customStyle="1" w:styleId="a6">
    <w:name w:val="正文小标题"/>
    <w:basedOn w:val="BodyText"/>
    <w:link w:val="Char6"/>
    <w:uiPriority w:val="99"/>
    <w:rsid w:val="00A21A5A"/>
    <w:pPr>
      <w:spacing w:after="0"/>
    </w:pPr>
    <w:rPr>
      <w:rFonts w:ascii="KaiTi_GB2312" w:eastAsia="宋体" w:hAnsi="KaiTi_GB2312"/>
      <w:b/>
      <w:bCs/>
      <w:color w:val="0070C0"/>
      <w:szCs w:val="21"/>
      <w:lang w:val="en-US"/>
    </w:rPr>
  </w:style>
  <w:style w:type="character" w:customStyle="1" w:styleId="Char6">
    <w:name w:val="正文小标题 Char"/>
    <w:basedOn w:val="BodyTextChar"/>
    <w:link w:val="a6"/>
    <w:uiPriority w:val="99"/>
    <w:locked/>
    <w:rsid w:val="00A21A5A"/>
    <w:rPr>
      <w:rFonts w:ascii="KaiTi_GB2312" w:eastAsia="Times New Roman" w:hAnsi="KaiTi_GB2312"/>
      <w:b/>
      <w:bCs/>
      <w:color w:val="0070C0"/>
      <w:sz w:val="21"/>
      <w:szCs w:val="21"/>
    </w:rPr>
  </w:style>
  <w:style w:type="character" w:styleId="Hyperlink">
    <w:name w:val="Hyperlink"/>
    <w:basedOn w:val="DefaultParagraphFont"/>
    <w:uiPriority w:val="99"/>
    <w:semiHidden/>
    <w:rsid w:val="006F4A62"/>
    <w:rPr>
      <w:rFonts w:cs="Times New Roman"/>
      <w:color w:val="072885"/>
      <w:u w:val="none"/>
      <w:effect w:val="none"/>
    </w:rPr>
  </w:style>
  <w:style w:type="paragraph" w:styleId="NormalWeb">
    <w:name w:val="Normal (Web)"/>
    <w:basedOn w:val="Normal"/>
    <w:uiPriority w:val="99"/>
    <w:rsid w:val="00413A93"/>
    <w:pPr>
      <w:widowControl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7941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41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41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41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41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41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41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94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941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41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41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41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94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941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94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94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941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94191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5" w:color="C0D8F2"/>
                        <w:left w:val="single" w:sz="6" w:space="18" w:color="C0D8F2"/>
                        <w:bottom w:val="single" w:sz="6" w:space="11" w:color="C0D8F2"/>
                        <w:right w:val="single" w:sz="6" w:space="18" w:color="C0D8F2"/>
                      </w:divBdr>
                      <w:divsChild>
                        <w:div w:id="487941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7941841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7941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41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94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941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41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41818">
      <w:marLeft w:val="180"/>
      <w:marRight w:val="180"/>
      <w:marTop w:val="180"/>
      <w:marBottom w:val="18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94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941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41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94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941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41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94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941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41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41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41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94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941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94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94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941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94187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5" w:color="C0D8F2"/>
                        <w:left w:val="single" w:sz="6" w:space="18" w:color="C0D8F2"/>
                        <w:bottom w:val="single" w:sz="6" w:space="11" w:color="C0D8F2"/>
                        <w:right w:val="single" w:sz="6" w:space="18" w:color="C0D8F2"/>
                      </w:divBdr>
                      <w:divsChild>
                        <w:div w:id="487941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7941905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7941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41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41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41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94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941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41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41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41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41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41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94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941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94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94190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5" w:color="C0D8F2"/>
                        <w:left w:val="single" w:sz="6" w:space="18" w:color="C0D8F2"/>
                        <w:bottom w:val="single" w:sz="6" w:space="11" w:color="C0D8F2"/>
                        <w:right w:val="single" w:sz="6" w:space="18" w:color="C0D8F2"/>
                      </w:divBdr>
                      <w:divsChild>
                        <w:div w:id="487941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7941908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7941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41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41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94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941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41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41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41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94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941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41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94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94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941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941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7941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41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41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41865">
      <w:marLeft w:val="180"/>
      <w:marRight w:val="180"/>
      <w:marTop w:val="180"/>
      <w:marBottom w:val="18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94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941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41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41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41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94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941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41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41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41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41885">
      <w:marLeft w:val="180"/>
      <w:marRight w:val="180"/>
      <w:marTop w:val="180"/>
      <w:marBottom w:val="18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94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941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41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94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941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41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94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94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941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94189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5" w:color="C0D8F2"/>
                        <w:left w:val="single" w:sz="6" w:space="18" w:color="C0D8F2"/>
                        <w:bottom w:val="single" w:sz="6" w:space="11" w:color="C0D8F2"/>
                        <w:right w:val="single" w:sz="6" w:space="18" w:color="C0D8F2"/>
                      </w:divBdr>
                      <w:divsChild>
                        <w:div w:id="487941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7941825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7941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41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41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41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41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41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41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41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41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41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41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94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941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94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5</Pages>
  <Words>990</Words>
  <Characters>5646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导语</dc:title>
  <dc:subject/>
  <dc:creator>shanghai vstone</dc:creator>
  <cp:keywords/>
  <dc:description/>
  <cp:lastModifiedBy>User</cp:lastModifiedBy>
  <cp:revision>2</cp:revision>
  <dcterms:created xsi:type="dcterms:W3CDTF">2014-12-10T05:41:00Z</dcterms:created>
  <dcterms:modified xsi:type="dcterms:W3CDTF">2014-12-10T05:41:00Z</dcterms:modified>
</cp:coreProperties>
</file>