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41C" w:rsidRPr="008E35D6" w:rsidRDefault="000F741C" w:rsidP="00B10000">
      <w:pPr>
        <w:widowControl/>
        <w:spacing w:after="120" w:line="240" w:lineRule="exact"/>
        <w:ind w:left="3430"/>
        <w:rPr>
          <w:rFonts w:ascii="楷体" w:eastAsia="楷体" w:hAnsi="楷体"/>
          <w:b/>
          <w:bCs/>
          <w:color w:val="0070C0"/>
          <w:kern w:val="0"/>
          <w:sz w:val="24"/>
          <w:szCs w:val="20"/>
          <w:lang w:val="en-GB"/>
        </w:rPr>
      </w:pPr>
      <w:r>
        <w:rPr>
          <w:noProof/>
        </w:rPr>
        <w:pict>
          <v:shapetype id="_x0000_t202" coordsize="21600,21600" o:spt="202" path="m,l,21600r21600,l21600,xe">
            <v:stroke joinstyle="miter"/>
            <v:path gradientshapeok="t" o:connecttype="rect"/>
          </v:shapetype>
          <v:shape id="_x0000_s1035" type="#_x0000_t202" style="position:absolute;left:0;text-align:left;margin-left:1.5pt;margin-top:285.2pt;width:148.5pt;height:275.6pt;z-index:251656704" strokecolor="white" strokeweight="0">
            <v:stroke dashstyle="1 1" endcap="round"/>
            <v:textbox style="mso-next-textbox:#_x0000_s1035">
              <w:txbxContent>
                <w:p w:rsidR="000F741C" w:rsidRPr="00635482" w:rsidRDefault="000F741C" w:rsidP="002A2B89">
                  <w:pPr>
                    <w:rPr>
                      <w:rFonts w:ascii="楷体" w:eastAsia="楷体" w:hAnsi="楷体"/>
                      <w:b/>
                      <w:lang w:val="en-GB"/>
                    </w:rPr>
                  </w:pPr>
                  <w:r w:rsidRPr="00635482">
                    <w:rPr>
                      <w:rFonts w:ascii="楷体" w:eastAsia="楷体" w:hAnsi="楷体" w:hint="eastAsia"/>
                      <w:b/>
                      <w:lang w:val="en-GB"/>
                    </w:rPr>
                    <w:t>凯石工场移动平台：</w:t>
                  </w:r>
                </w:p>
                <w:p w:rsidR="000F741C" w:rsidRPr="00635482" w:rsidRDefault="000F741C" w:rsidP="002A2B89">
                  <w:pPr>
                    <w:rPr>
                      <w:rFonts w:ascii="楷体" w:eastAsia="楷体" w:hAnsi="楷体"/>
                      <w:lang w:val="en-GB"/>
                    </w:rPr>
                  </w:pPr>
                </w:p>
                <w:p w:rsidR="000F741C" w:rsidRPr="00635482" w:rsidRDefault="000F741C" w:rsidP="002A2B89">
                  <w:r w:rsidRPr="00635482">
                    <w:rPr>
                      <w:rFonts w:ascii="楷体" w:eastAsia="楷体" w:hAnsi="楷体" w:hint="eastAsia"/>
                      <w:lang w:val="en-GB"/>
                    </w:rPr>
                    <w:t>官方微博：</w:t>
                  </w:r>
                </w:p>
                <w:p w:rsidR="000F741C" w:rsidRPr="00635482" w:rsidRDefault="000F741C" w:rsidP="002A2B89">
                  <w:pPr>
                    <w:rPr>
                      <w:rFonts w:ascii="楷体" w:eastAsia="楷体" w:hAnsi="楷体"/>
                      <w:lang w:val="en-GB"/>
                    </w:rPr>
                  </w:pPr>
                  <w:r w:rsidRPr="00635482">
                    <w:rPr>
                      <w:rFonts w:ascii="楷体" w:eastAsia="楷体" w:hAnsi="楷体" w:hint="eastAsia"/>
                      <w:lang w:val="en-GB"/>
                    </w:rPr>
                    <w:t>凯石财富工场</w:t>
                  </w:r>
                </w:p>
                <w:p w:rsidR="000F741C" w:rsidRDefault="000F741C" w:rsidP="002A2B89">
                  <w:r w:rsidRPr="0096623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43" type="#_x0000_t75" alt="66.jpg" style="width:73.5pt;height:73.5pt;visibility:visible">
                        <v:imagedata r:id="rId7" o:title=""/>
                      </v:shape>
                    </w:pict>
                  </w:r>
                </w:p>
                <w:p w:rsidR="000F741C" w:rsidRDefault="000F741C" w:rsidP="002A2B89">
                  <w:pPr>
                    <w:rPr>
                      <w:rFonts w:ascii="楷体" w:eastAsia="楷体" w:hAnsi="楷体"/>
                      <w:b/>
                      <w:lang w:val="en-GB"/>
                    </w:rPr>
                  </w:pPr>
                </w:p>
                <w:p w:rsidR="000F741C" w:rsidRPr="00635482" w:rsidRDefault="000F741C" w:rsidP="002A2B89">
                  <w:pPr>
                    <w:rPr>
                      <w:rFonts w:ascii="楷体" w:eastAsia="楷体" w:hAnsi="楷体"/>
                      <w:lang w:val="en-GB"/>
                    </w:rPr>
                  </w:pPr>
                  <w:r w:rsidRPr="00635482">
                    <w:rPr>
                      <w:rFonts w:ascii="楷体" w:eastAsia="楷体" w:hAnsi="楷体" w:hint="eastAsia"/>
                      <w:lang w:val="en-GB"/>
                    </w:rPr>
                    <w:t>官方微信：</w:t>
                  </w:r>
                </w:p>
                <w:p w:rsidR="000F741C" w:rsidRPr="00635482" w:rsidRDefault="000F741C" w:rsidP="002A2B89">
                  <w:pPr>
                    <w:rPr>
                      <w:rFonts w:ascii="楷体" w:eastAsia="楷体" w:hAnsi="楷体"/>
                      <w:lang w:val="en-GB"/>
                    </w:rPr>
                  </w:pPr>
                  <w:r w:rsidRPr="00635482">
                    <w:rPr>
                      <w:rFonts w:ascii="楷体" w:eastAsia="楷体" w:hAnsi="楷体" w:hint="eastAsia"/>
                      <w:lang w:val="en-GB"/>
                    </w:rPr>
                    <w:t>凯石财富知音订阅号</w:t>
                  </w:r>
                </w:p>
                <w:p w:rsidR="000F741C" w:rsidRDefault="000F741C" w:rsidP="002A2B89">
                  <w:r w:rsidRPr="00D11FE4">
                    <w:rPr>
                      <w:rFonts w:ascii="楷体" w:eastAsia="楷体" w:hAnsi="楷体"/>
                      <w:b/>
                      <w:noProof/>
                    </w:rPr>
                    <w:pict>
                      <v:shape id="图片 7" o:spid="_x0000_i1044" type="#_x0000_t75" alt="凯石财富知音订阅号3.jpg" style="width:75pt;height:75pt;visibility:visible">
                        <v:imagedata r:id="rId8" o:title=""/>
                      </v:shape>
                    </w:pict>
                  </w:r>
                </w:p>
              </w:txbxContent>
            </v:textbox>
          </v:shape>
        </w:pict>
      </w:r>
      <w:r w:rsidRPr="008E35D6">
        <w:rPr>
          <w:rFonts w:ascii="楷体" w:eastAsia="楷体" w:hAnsi="楷体" w:hint="eastAsia"/>
          <w:b/>
          <w:bCs/>
          <w:color w:val="0070C0"/>
          <w:kern w:val="0"/>
          <w:sz w:val="24"/>
          <w:szCs w:val="20"/>
          <w:lang w:val="en-GB"/>
        </w:rPr>
        <w:t>导语</w:t>
      </w:r>
    </w:p>
    <w:p w:rsidR="000F741C" w:rsidRPr="008E35D6" w:rsidRDefault="000F741C" w:rsidP="000C7ABD">
      <w:pPr>
        <w:pStyle w:val="BodyText"/>
        <w:numPr>
          <w:ilvl w:val="4"/>
          <w:numId w:val="4"/>
        </w:numPr>
        <w:spacing w:after="163"/>
        <w:rPr>
          <w:rFonts w:ascii="楷体" w:eastAsia="楷体" w:hAnsi="楷体"/>
          <w:b/>
          <w:color w:val="auto"/>
        </w:rPr>
      </w:pPr>
      <w:r w:rsidRPr="00F168FE">
        <w:rPr>
          <w:rFonts w:ascii="楷体" w:eastAsia="楷体" w:hAnsi="楷体"/>
          <w:b/>
          <w:color w:val="auto"/>
        </w:rPr>
        <w:t>11</w:t>
      </w:r>
      <w:r w:rsidRPr="00F168FE">
        <w:rPr>
          <w:rFonts w:ascii="楷体" w:eastAsia="楷体" w:hAnsi="楷体" w:hint="eastAsia"/>
          <w:b/>
          <w:color w:val="auto"/>
        </w:rPr>
        <w:t>月实体经济</w:t>
      </w:r>
      <w:r>
        <w:rPr>
          <w:rFonts w:ascii="楷体" w:eastAsia="楷体" w:hAnsi="楷体" w:hint="eastAsia"/>
          <w:b/>
          <w:color w:val="auto"/>
        </w:rPr>
        <w:t>低</w:t>
      </w:r>
      <w:r w:rsidRPr="00F168FE">
        <w:rPr>
          <w:rFonts w:ascii="楷体" w:eastAsia="楷体" w:hAnsi="楷体" w:hint="eastAsia"/>
          <w:b/>
          <w:color w:val="auto"/>
        </w:rPr>
        <w:t>位筑底，稳增长政策加码，即基建审批提速后，央行于</w:t>
      </w:r>
      <w:r w:rsidRPr="00F168FE">
        <w:rPr>
          <w:rFonts w:ascii="楷体" w:eastAsia="楷体" w:hAnsi="楷体"/>
          <w:b/>
          <w:color w:val="auto"/>
        </w:rPr>
        <w:t>11</w:t>
      </w:r>
      <w:r w:rsidRPr="00F168FE">
        <w:rPr>
          <w:rFonts w:ascii="楷体" w:eastAsia="楷体" w:hAnsi="楷体" w:hint="eastAsia"/>
          <w:b/>
          <w:color w:val="auto"/>
        </w:rPr>
        <w:t>月下旬意外宣布降息，</w:t>
      </w:r>
      <w:r>
        <w:rPr>
          <w:rFonts w:ascii="楷体" w:eastAsia="楷体" w:hAnsi="楷体" w:hint="eastAsia"/>
          <w:b/>
          <w:color w:val="auto"/>
        </w:rPr>
        <w:t>并再度下调正回购利率，市场</w:t>
      </w:r>
      <w:r w:rsidRPr="00F168FE">
        <w:rPr>
          <w:rFonts w:ascii="楷体" w:eastAsia="楷体" w:hAnsi="楷体" w:hint="eastAsia"/>
          <w:b/>
          <w:color w:val="auto"/>
        </w:rPr>
        <w:t>宽松预期增强，</w:t>
      </w:r>
      <w:r>
        <w:rPr>
          <w:rFonts w:ascii="楷体" w:eastAsia="楷体" w:hAnsi="楷体" w:hint="eastAsia"/>
          <w:b/>
          <w:color w:val="auto"/>
        </w:rPr>
        <w:t>资本市场呈现股债齐涨的良好格局</w:t>
      </w:r>
      <w:r>
        <w:rPr>
          <w:rFonts w:ascii="楷体" w:eastAsia="楷体" w:hAnsi="楷体"/>
          <w:b/>
          <w:color w:val="auto"/>
        </w:rPr>
        <w:t>;</w:t>
      </w:r>
      <w:r>
        <w:rPr>
          <w:rFonts w:ascii="楷体" w:eastAsia="楷体" w:hAnsi="楷体" w:hint="eastAsia"/>
          <w:b/>
          <w:color w:val="auto"/>
        </w:rPr>
        <w:t>各大类型基金产品月均回报全线飘红，其中以股票指数基金和可转债基表现最为夺目。</w:t>
      </w:r>
    </w:p>
    <w:p w:rsidR="000F741C" w:rsidRPr="008E35D6" w:rsidRDefault="000F741C" w:rsidP="000C7ABD">
      <w:pPr>
        <w:pStyle w:val="BodyText"/>
        <w:numPr>
          <w:ilvl w:val="4"/>
          <w:numId w:val="4"/>
        </w:numPr>
        <w:spacing w:after="163"/>
        <w:rPr>
          <w:rFonts w:ascii="楷体" w:eastAsia="楷体" w:hAnsi="楷体"/>
          <w:b/>
          <w:color w:val="auto"/>
        </w:rPr>
      </w:pPr>
      <w:r>
        <w:rPr>
          <w:rFonts w:ascii="楷体" w:eastAsia="楷体" w:hAnsi="楷体"/>
          <w:b/>
          <w:color w:val="auto"/>
        </w:rPr>
        <w:t>11</w:t>
      </w:r>
      <w:r>
        <w:rPr>
          <w:rFonts w:ascii="楷体" w:eastAsia="楷体" w:hAnsi="楷体" w:hint="eastAsia"/>
          <w:b/>
          <w:color w:val="auto"/>
        </w:rPr>
        <w:t>月基础市场走高</w:t>
      </w:r>
      <w:r w:rsidRPr="00B02633">
        <w:rPr>
          <w:rFonts w:ascii="楷体" w:eastAsia="楷体" w:hAnsi="楷体" w:hint="eastAsia"/>
          <w:b/>
          <w:color w:val="auto"/>
        </w:rPr>
        <w:t>，</w:t>
      </w:r>
      <w:r>
        <w:rPr>
          <w:rFonts w:ascii="楷体" w:eastAsia="楷体" w:hAnsi="楷体" w:hint="eastAsia"/>
          <w:b/>
          <w:color w:val="auto"/>
        </w:rPr>
        <w:t>基金产品发行再度回暖。</w:t>
      </w:r>
      <w:r w:rsidRPr="00B02633">
        <w:rPr>
          <w:rFonts w:ascii="楷体" w:eastAsia="楷体" w:hAnsi="楷体" w:hint="eastAsia"/>
          <w:b/>
          <w:color w:val="auto"/>
        </w:rPr>
        <w:t>月内新设产品数量达到</w:t>
      </w:r>
      <w:r w:rsidRPr="00B02633">
        <w:rPr>
          <w:rFonts w:ascii="楷体" w:eastAsia="楷体" w:hAnsi="楷体"/>
          <w:b/>
          <w:color w:val="auto"/>
        </w:rPr>
        <w:t>36</w:t>
      </w:r>
      <w:r>
        <w:rPr>
          <w:rFonts w:ascii="楷体" w:eastAsia="楷体" w:hAnsi="楷体" w:hint="eastAsia"/>
          <w:b/>
          <w:color w:val="auto"/>
        </w:rPr>
        <w:t>只，较上月实现倍增，</w:t>
      </w:r>
      <w:r w:rsidRPr="00B02633">
        <w:rPr>
          <w:rFonts w:ascii="楷体" w:eastAsia="楷体" w:hAnsi="楷体" w:hint="eastAsia"/>
          <w:b/>
          <w:color w:val="auto"/>
        </w:rPr>
        <w:t>总募集规模也随之升至</w:t>
      </w:r>
      <w:r w:rsidRPr="00B02633">
        <w:rPr>
          <w:rFonts w:ascii="楷体" w:eastAsia="楷体" w:hAnsi="楷体"/>
          <w:b/>
          <w:color w:val="auto"/>
        </w:rPr>
        <w:t>375.31</w:t>
      </w:r>
      <w:r w:rsidRPr="00B02633">
        <w:rPr>
          <w:rFonts w:ascii="楷体" w:eastAsia="楷体" w:hAnsi="楷体" w:hint="eastAsia"/>
          <w:b/>
          <w:color w:val="auto"/>
        </w:rPr>
        <w:t>亿元，至此今年新设基金总募集规模已突破</w:t>
      </w:r>
      <w:r w:rsidRPr="00B02633">
        <w:rPr>
          <w:rFonts w:ascii="楷体" w:eastAsia="楷体" w:hAnsi="楷体"/>
          <w:b/>
          <w:color w:val="auto"/>
        </w:rPr>
        <w:t>3000</w:t>
      </w:r>
      <w:r>
        <w:rPr>
          <w:rFonts w:ascii="楷体" w:eastAsia="楷体" w:hAnsi="楷体" w:hint="eastAsia"/>
          <w:b/>
          <w:color w:val="auto"/>
        </w:rPr>
        <w:t>亿元。从产品结构上来看，</w:t>
      </w:r>
      <w:r w:rsidRPr="000E310E">
        <w:rPr>
          <w:rFonts w:ascii="楷体" w:eastAsia="楷体" w:hAnsi="楷体" w:hint="eastAsia"/>
          <w:b/>
          <w:color w:val="auto"/>
        </w:rPr>
        <w:t>新增权益类产品</w:t>
      </w:r>
      <w:r w:rsidRPr="000E310E">
        <w:rPr>
          <w:rFonts w:ascii="楷体" w:eastAsia="楷体" w:hAnsi="楷体"/>
          <w:b/>
          <w:color w:val="auto"/>
        </w:rPr>
        <w:t>22</w:t>
      </w:r>
      <w:r w:rsidRPr="000E310E">
        <w:rPr>
          <w:rFonts w:ascii="楷体" w:eastAsia="楷体" w:hAnsi="楷体" w:hint="eastAsia"/>
          <w:b/>
          <w:color w:val="auto"/>
        </w:rPr>
        <w:t>只，</w:t>
      </w:r>
      <w:r>
        <w:rPr>
          <w:rFonts w:ascii="楷体" w:eastAsia="楷体" w:hAnsi="楷体" w:hint="eastAsia"/>
          <w:b/>
          <w:color w:val="auto"/>
        </w:rPr>
        <w:t>固定收益类产品</w:t>
      </w:r>
      <w:r>
        <w:rPr>
          <w:rFonts w:ascii="楷体" w:eastAsia="楷体" w:hAnsi="楷体"/>
          <w:b/>
          <w:color w:val="auto"/>
        </w:rPr>
        <w:t>14</w:t>
      </w:r>
      <w:r>
        <w:rPr>
          <w:rFonts w:ascii="楷体" w:eastAsia="楷体" w:hAnsi="楷体" w:hint="eastAsia"/>
          <w:b/>
          <w:color w:val="auto"/>
        </w:rPr>
        <w:t>只，总募集规模分别为</w:t>
      </w:r>
      <w:r w:rsidRPr="000E310E">
        <w:rPr>
          <w:rFonts w:ascii="楷体" w:eastAsia="楷体" w:hAnsi="楷体"/>
          <w:b/>
          <w:color w:val="auto"/>
        </w:rPr>
        <w:t>223.59</w:t>
      </w:r>
      <w:r w:rsidRPr="000E310E">
        <w:rPr>
          <w:rFonts w:ascii="楷体" w:eastAsia="楷体" w:hAnsi="楷体" w:hint="eastAsia"/>
          <w:b/>
          <w:color w:val="auto"/>
        </w:rPr>
        <w:t>亿元</w:t>
      </w:r>
      <w:r>
        <w:rPr>
          <w:rFonts w:ascii="楷体" w:eastAsia="楷体" w:hAnsi="楷体" w:hint="eastAsia"/>
          <w:b/>
          <w:color w:val="auto"/>
        </w:rPr>
        <w:t>、</w:t>
      </w:r>
      <w:r w:rsidRPr="000E310E">
        <w:rPr>
          <w:rFonts w:ascii="楷体" w:eastAsia="楷体" w:hAnsi="楷体"/>
          <w:b/>
          <w:color w:val="auto"/>
        </w:rPr>
        <w:t>151.71</w:t>
      </w:r>
      <w:r>
        <w:rPr>
          <w:rFonts w:ascii="楷体" w:eastAsia="楷体" w:hAnsi="楷体" w:hint="eastAsia"/>
          <w:b/>
          <w:color w:val="auto"/>
        </w:rPr>
        <w:t>亿。</w:t>
      </w:r>
      <w:r w:rsidRPr="00B02633">
        <w:rPr>
          <w:rFonts w:ascii="楷体" w:eastAsia="楷体" w:hAnsi="楷体" w:hint="eastAsia"/>
          <w:b/>
          <w:color w:val="auto"/>
        </w:rPr>
        <w:t>从各类基金的平均募集规模来看，债券基金平均首募规模</w:t>
      </w:r>
      <w:r w:rsidRPr="00B02633">
        <w:rPr>
          <w:rFonts w:ascii="楷体" w:eastAsia="楷体" w:hAnsi="楷体"/>
          <w:b/>
          <w:color w:val="auto"/>
        </w:rPr>
        <w:t>22.45</w:t>
      </w:r>
      <w:r w:rsidRPr="00B02633">
        <w:rPr>
          <w:rFonts w:ascii="楷体" w:eastAsia="楷体" w:hAnsi="楷体" w:hint="eastAsia"/>
          <w:b/>
          <w:color w:val="auto"/>
        </w:rPr>
        <w:t>亿元，最受</w:t>
      </w:r>
      <w:r>
        <w:rPr>
          <w:rFonts w:ascii="楷体" w:eastAsia="楷体" w:hAnsi="楷体" w:hint="eastAsia"/>
          <w:b/>
          <w:color w:val="auto"/>
        </w:rPr>
        <w:t>投资者</w:t>
      </w:r>
      <w:r w:rsidRPr="00B02633">
        <w:rPr>
          <w:rFonts w:ascii="楷体" w:eastAsia="楷体" w:hAnsi="楷体" w:hint="eastAsia"/>
          <w:b/>
          <w:color w:val="auto"/>
        </w:rPr>
        <w:t>认可，而此</w:t>
      </w:r>
      <w:r>
        <w:rPr>
          <w:rFonts w:ascii="楷体" w:eastAsia="楷体" w:hAnsi="楷体" w:hint="eastAsia"/>
          <w:b/>
          <w:color w:val="auto"/>
        </w:rPr>
        <w:t>前颇受追捧的</w:t>
      </w:r>
      <w:r w:rsidRPr="00B02633">
        <w:rPr>
          <w:rFonts w:ascii="楷体" w:eastAsia="楷体" w:hAnsi="楷体" w:hint="eastAsia"/>
          <w:b/>
          <w:color w:val="auto"/>
        </w:rPr>
        <w:t>货币基金则出现大幅缩水，</w:t>
      </w:r>
      <w:r>
        <w:rPr>
          <w:rFonts w:ascii="楷体" w:eastAsia="楷体" w:hAnsi="楷体" w:hint="eastAsia"/>
          <w:b/>
          <w:color w:val="auto"/>
        </w:rPr>
        <w:t>平均募集规模</w:t>
      </w:r>
      <w:r w:rsidRPr="00B02633">
        <w:rPr>
          <w:rFonts w:ascii="楷体" w:eastAsia="楷体" w:hAnsi="楷体" w:hint="eastAsia"/>
          <w:b/>
          <w:color w:val="auto"/>
        </w:rPr>
        <w:t>仅为</w:t>
      </w:r>
      <w:r w:rsidRPr="00B02633">
        <w:rPr>
          <w:rFonts w:ascii="楷体" w:eastAsia="楷体" w:hAnsi="楷体"/>
          <w:b/>
          <w:color w:val="auto"/>
        </w:rPr>
        <w:t>4.38</w:t>
      </w:r>
      <w:r w:rsidRPr="00B02633">
        <w:rPr>
          <w:rFonts w:ascii="楷体" w:eastAsia="楷体" w:hAnsi="楷体" w:hint="eastAsia"/>
          <w:b/>
          <w:color w:val="auto"/>
        </w:rPr>
        <w:t>亿元。</w:t>
      </w:r>
    </w:p>
    <w:p w:rsidR="000F741C" w:rsidRPr="008E35D6" w:rsidRDefault="000F741C" w:rsidP="000C7ABD">
      <w:pPr>
        <w:pStyle w:val="BodyText"/>
        <w:numPr>
          <w:ilvl w:val="4"/>
          <w:numId w:val="4"/>
        </w:numPr>
        <w:spacing w:after="163"/>
        <w:rPr>
          <w:rFonts w:ascii="楷体" w:eastAsia="楷体" w:hAnsi="楷体"/>
          <w:b/>
          <w:color w:val="auto"/>
        </w:rPr>
      </w:pPr>
      <w:r w:rsidRPr="008E35D6">
        <w:rPr>
          <w:rFonts w:ascii="楷体" w:eastAsia="楷体" w:hAnsi="楷体" w:hint="eastAsia"/>
          <w:b/>
          <w:color w:val="auto"/>
        </w:rPr>
        <w:t>行业发展动态方面，</w:t>
      </w:r>
      <w:r w:rsidRPr="00E53AAC">
        <w:rPr>
          <w:rFonts w:ascii="楷体" w:eastAsia="楷体" w:hAnsi="楷体" w:hint="eastAsia"/>
          <w:b/>
          <w:color w:val="auto"/>
        </w:rPr>
        <w:t>深交所发布《深圳证券交易所基金产品开发与创新服务指引》</w:t>
      </w:r>
      <w:r w:rsidRPr="008E35D6">
        <w:rPr>
          <w:rFonts w:ascii="楷体" w:eastAsia="楷体" w:hAnsi="楷体" w:hint="eastAsia"/>
          <w:b/>
          <w:color w:val="auto"/>
        </w:rPr>
        <w:t>，</w:t>
      </w:r>
      <w:r>
        <w:rPr>
          <w:rFonts w:ascii="楷体" w:eastAsia="楷体" w:hAnsi="楷体" w:hint="eastAsia"/>
          <w:b/>
          <w:color w:val="auto"/>
        </w:rPr>
        <w:t>明确</w:t>
      </w:r>
      <w:r w:rsidRPr="004A7921">
        <w:rPr>
          <w:rFonts w:ascii="楷体" w:eastAsia="楷体" w:hAnsi="楷体" w:hint="eastAsia"/>
          <w:b/>
          <w:color w:val="auto"/>
        </w:rPr>
        <w:t>产品</w:t>
      </w:r>
      <w:r>
        <w:rPr>
          <w:rFonts w:ascii="楷体" w:eastAsia="楷体" w:hAnsi="楷体" w:hint="eastAsia"/>
          <w:b/>
          <w:color w:val="auto"/>
        </w:rPr>
        <w:t>开发及服务制度</w:t>
      </w:r>
      <w:r w:rsidRPr="004A7921">
        <w:rPr>
          <w:rFonts w:ascii="楷体" w:eastAsia="楷体" w:hAnsi="楷体" w:hint="eastAsia"/>
          <w:b/>
          <w:color w:val="auto"/>
        </w:rPr>
        <w:t>流程</w:t>
      </w:r>
      <w:r>
        <w:rPr>
          <w:rFonts w:ascii="楷体" w:eastAsia="楷体" w:hAnsi="楷体" w:hint="eastAsia"/>
          <w:b/>
          <w:color w:val="auto"/>
        </w:rPr>
        <w:t>，鼓励</w:t>
      </w:r>
      <w:r w:rsidRPr="00E53AAC">
        <w:rPr>
          <w:rFonts w:ascii="楷体" w:eastAsia="楷体" w:hAnsi="楷体" w:hint="eastAsia"/>
          <w:b/>
          <w:color w:val="auto"/>
        </w:rPr>
        <w:t>创新，</w:t>
      </w:r>
      <w:r>
        <w:rPr>
          <w:rFonts w:ascii="楷体" w:eastAsia="楷体" w:hAnsi="楷体" w:hint="eastAsia"/>
          <w:b/>
          <w:color w:val="auto"/>
        </w:rPr>
        <w:t>推动上市基金</w:t>
      </w:r>
      <w:r w:rsidRPr="00E53AAC">
        <w:rPr>
          <w:rFonts w:ascii="楷体" w:eastAsia="楷体" w:hAnsi="楷体" w:hint="eastAsia"/>
          <w:b/>
          <w:color w:val="auto"/>
        </w:rPr>
        <w:t>发展</w:t>
      </w:r>
      <w:r>
        <w:rPr>
          <w:rFonts w:ascii="楷体" w:eastAsia="楷体" w:hAnsi="楷体" w:hint="eastAsia"/>
          <w:b/>
          <w:color w:val="auto"/>
        </w:rPr>
        <w:t>；</w:t>
      </w:r>
      <w:r w:rsidRPr="00E53AAC">
        <w:rPr>
          <w:rFonts w:ascii="楷体" w:eastAsia="楷体" w:hAnsi="楷体" w:hint="eastAsia"/>
          <w:b/>
          <w:color w:val="auto"/>
        </w:rPr>
        <w:t>央行下发《关于人民币合格境内机构投资者境外证券投资有关事项的通知》</w:t>
      </w:r>
      <w:r>
        <w:rPr>
          <w:rFonts w:ascii="楷体" w:eastAsia="楷体" w:hAnsi="楷体" w:hint="eastAsia"/>
          <w:b/>
          <w:color w:val="auto"/>
        </w:rPr>
        <w:t>，</w:t>
      </w:r>
      <w:r w:rsidRPr="00E53AAC">
        <w:rPr>
          <w:rFonts w:ascii="楷体" w:eastAsia="楷体" w:hAnsi="楷体"/>
          <w:b/>
          <w:color w:val="auto"/>
        </w:rPr>
        <w:t>RQDII</w:t>
      </w:r>
      <w:r w:rsidRPr="00E53AAC">
        <w:rPr>
          <w:rFonts w:ascii="楷体" w:eastAsia="楷体" w:hAnsi="楷体" w:hint="eastAsia"/>
          <w:b/>
          <w:color w:val="auto"/>
        </w:rPr>
        <w:t>业务正式开闸。中国证券投资基金业协会发布《基金业务外包服务指引</w:t>
      </w:r>
      <w:r>
        <w:rPr>
          <w:rFonts w:ascii="楷体" w:eastAsia="楷体" w:hAnsi="楷体" w:hint="eastAsia"/>
          <w:b/>
          <w:color w:val="auto"/>
        </w:rPr>
        <w:t>》，对公募、私募基金管理人开展业务外包的主要环节进行</w:t>
      </w:r>
      <w:r w:rsidRPr="00E53AAC">
        <w:rPr>
          <w:rFonts w:ascii="楷体" w:eastAsia="楷体" w:hAnsi="楷体" w:hint="eastAsia"/>
          <w:b/>
          <w:color w:val="auto"/>
        </w:rPr>
        <w:t>原则性规定，</w:t>
      </w:r>
      <w:r>
        <w:rPr>
          <w:rFonts w:ascii="楷体" w:eastAsia="楷体" w:hAnsi="楷体" w:hint="eastAsia"/>
          <w:b/>
          <w:color w:val="auto"/>
        </w:rPr>
        <w:t>并指出基金业务外包机构实行备案制管理，该</w:t>
      </w:r>
      <w:r w:rsidRPr="00E53AAC">
        <w:rPr>
          <w:rFonts w:ascii="楷体" w:eastAsia="楷体" w:hAnsi="楷体" w:hint="eastAsia"/>
          <w:b/>
          <w:color w:val="auto"/>
        </w:rPr>
        <w:t>《指引》将于</w:t>
      </w:r>
      <w:r w:rsidRPr="00E53AAC">
        <w:rPr>
          <w:rFonts w:ascii="楷体" w:eastAsia="楷体" w:hAnsi="楷体"/>
          <w:b/>
          <w:color w:val="auto"/>
        </w:rPr>
        <w:t>2015</w:t>
      </w:r>
      <w:r w:rsidRPr="00E53AAC">
        <w:rPr>
          <w:rFonts w:ascii="楷体" w:eastAsia="楷体" w:hAnsi="楷体" w:hint="eastAsia"/>
          <w:b/>
          <w:color w:val="auto"/>
        </w:rPr>
        <w:t>年</w:t>
      </w:r>
      <w:r w:rsidRPr="00E53AAC">
        <w:rPr>
          <w:rFonts w:ascii="楷体" w:eastAsia="楷体" w:hAnsi="楷体"/>
          <w:b/>
          <w:color w:val="auto"/>
        </w:rPr>
        <w:t>2</w:t>
      </w:r>
      <w:r w:rsidRPr="00E53AAC">
        <w:rPr>
          <w:rFonts w:ascii="楷体" w:eastAsia="楷体" w:hAnsi="楷体" w:hint="eastAsia"/>
          <w:b/>
          <w:color w:val="auto"/>
        </w:rPr>
        <w:t>月</w:t>
      </w:r>
      <w:r w:rsidRPr="00E53AAC">
        <w:rPr>
          <w:rFonts w:ascii="楷体" w:eastAsia="楷体" w:hAnsi="楷体"/>
          <w:b/>
          <w:color w:val="auto"/>
        </w:rPr>
        <w:t>1</w:t>
      </w:r>
      <w:r w:rsidRPr="00E53AAC">
        <w:rPr>
          <w:rFonts w:ascii="楷体" w:eastAsia="楷体" w:hAnsi="楷体" w:hint="eastAsia"/>
          <w:b/>
          <w:color w:val="auto"/>
        </w:rPr>
        <w:t>日起正式实施。</w:t>
      </w:r>
    </w:p>
    <w:p w:rsidR="000F741C" w:rsidRPr="008E35D6" w:rsidRDefault="000F741C" w:rsidP="00BC47C9">
      <w:pPr>
        <w:widowControl/>
        <w:spacing w:beforeLines="100" w:after="120" w:line="240" w:lineRule="exact"/>
        <w:ind w:left="3430"/>
        <w:rPr>
          <w:rFonts w:ascii="楷体" w:eastAsia="楷体" w:hAnsi="楷体"/>
          <w:b/>
          <w:bCs/>
          <w:color w:val="0070C0"/>
          <w:kern w:val="0"/>
          <w:sz w:val="24"/>
          <w:szCs w:val="20"/>
          <w:lang w:val="en-GB"/>
        </w:rPr>
      </w:pPr>
      <w:r w:rsidRPr="008E35D6">
        <w:rPr>
          <w:rFonts w:ascii="楷体" w:eastAsia="楷体" w:hAnsi="楷体" w:hint="eastAsia"/>
          <w:b/>
          <w:bCs/>
          <w:color w:val="0070C0"/>
          <w:kern w:val="0"/>
          <w:sz w:val="24"/>
          <w:szCs w:val="20"/>
          <w:lang w:val="en-GB"/>
        </w:rPr>
        <w:t>公募产品月度业绩回顾</w:t>
      </w:r>
    </w:p>
    <w:tbl>
      <w:tblPr>
        <w:tblW w:w="6586" w:type="dxa"/>
        <w:tblInd w:w="4087" w:type="dxa"/>
        <w:tblLook w:val="00A0"/>
      </w:tblPr>
      <w:tblGrid>
        <w:gridCol w:w="1975"/>
        <w:gridCol w:w="2692"/>
        <w:gridCol w:w="1919"/>
      </w:tblGrid>
      <w:tr w:rsidR="000F741C" w:rsidRPr="00D11FE4" w:rsidTr="00442BB8">
        <w:trPr>
          <w:trHeight w:val="286"/>
        </w:trPr>
        <w:tc>
          <w:tcPr>
            <w:tcW w:w="6586" w:type="dxa"/>
            <w:gridSpan w:val="3"/>
            <w:tcBorders>
              <w:top w:val="single" w:sz="8" w:space="0" w:color="F79646"/>
              <w:left w:val="nil"/>
              <w:bottom w:val="single" w:sz="8" w:space="0" w:color="F79646"/>
              <w:right w:val="nil"/>
            </w:tcBorders>
            <w:noWrap/>
            <w:vAlign w:val="bottom"/>
          </w:tcPr>
          <w:p w:rsidR="000F741C" w:rsidRPr="00442BB8" w:rsidRDefault="000F741C" w:rsidP="00442BB8">
            <w:pPr>
              <w:widowControl/>
              <w:jc w:val="left"/>
              <w:rPr>
                <w:rFonts w:ascii="宋体" w:cs="宋体"/>
                <w:b/>
                <w:bCs/>
                <w:i/>
                <w:iCs/>
                <w:color w:val="E36C0A"/>
                <w:kern w:val="0"/>
                <w:sz w:val="20"/>
                <w:szCs w:val="20"/>
              </w:rPr>
            </w:pPr>
            <w:r w:rsidRPr="00442BB8">
              <w:rPr>
                <w:rFonts w:ascii="宋体" w:hAnsi="宋体" w:cs="宋体" w:hint="eastAsia"/>
                <w:b/>
                <w:bCs/>
                <w:i/>
                <w:iCs/>
                <w:color w:val="E36C0A"/>
                <w:kern w:val="0"/>
                <w:sz w:val="20"/>
                <w:szCs w:val="20"/>
              </w:rPr>
              <w:t>图表</w:t>
            </w:r>
            <w:r w:rsidRPr="00442BB8">
              <w:rPr>
                <w:rFonts w:ascii="宋体" w:hAnsi="宋体" w:cs="宋体"/>
                <w:b/>
                <w:bCs/>
                <w:i/>
                <w:iCs/>
                <w:color w:val="E36C0A"/>
                <w:kern w:val="0"/>
                <w:sz w:val="20"/>
                <w:szCs w:val="20"/>
              </w:rPr>
              <w:t>1:2014</w:t>
            </w:r>
            <w:r w:rsidRPr="00442BB8">
              <w:rPr>
                <w:rFonts w:ascii="宋体" w:hAnsi="宋体" w:cs="宋体" w:hint="eastAsia"/>
                <w:b/>
                <w:bCs/>
                <w:i/>
                <w:iCs/>
                <w:color w:val="E36C0A"/>
                <w:kern w:val="0"/>
                <w:sz w:val="20"/>
                <w:szCs w:val="20"/>
              </w:rPr>
              <w:t>年</w:t>
            </w:r>
            <w:r>
              <w:rPr>
                <w:rFonts w:ascii="宋体" w:hAnsi="宋体" w:cs="宋体"/>
                <w:b/>
                <w:bCs/>
                <w:i/>
                <w:iCs/>
                <w:color w:val="E36C0A"/>
                <w:kern w:val="0"/>
                <w:sz w:val="20"/>
                <w:szCs w:val="20"/>
              </w:rPr>
              <w:t>11</w:t>
            </w:r>
            <w:r w:rsidRPr="00442BB8">
              <w:rPr>
                <w:rFonts w:ascii="宋体" w:hAnsi="宋体" w:cs="宋体" w:hint="eastAsia"/>
                <w:b/>
                <w:bCs/>
                <w:i/>
                <w:iCs/>
                <w:color w:val="E36C0A"/>
                <w:kern w:val="0"/>
                <w:sz w:val="20"/>
                <w:szCs w:val="20"/>
              </w:rPr>
              <w:t>月各类基金平均业绩</w:t>
            </w:r>
          </w:p>
        </w:tc>
      </w:tr>
      <w:tr w:rsidR="000F741C" w:rsidRPr="00D11FE4" w:rsidTr="00442BB8">
        <w:trPr>
          <w:trHeight w:val="738"/>
        </w:trPr>
        <w:tc>
          <w:tcPr>
            <w:tcW w:w="1975" w:type="dxa"/>
            <w:tcBorders>
              <w:top w:val="nil"/>
              <w:left w:val="nil"/>
              <w:bottom w:val="single" w:sz="8" w:space="0" w:color="F79646"/>
              <w:right w:val="nil"/>
            </w:tcBorders>
            <w:vAlign w:val="center"/>
          </w:tcPr>
          <w:p w:rsidR="000F741C" w:rsidRPr="00442BB8" w:rsidRDefault="000F741C" w:rsidP="00442BB8">
            <w:pPr>
              <w:widowControl/>
              <w:jc w:val="center"/>
              <w:rPr>
                <w:rFonts w:ascii="宋体" w:cs="宋体"/>
                <w:color w:val="000000"/>
                <w:kern w:val="0"/>
                <w:sz w:val="20"/>
                <w:szCs w:val="20"/>
              </w:rPr>
            </w:pPr>
            <w:r w:rsidRPr="00442BB8">
              <w:rPr>
                <w:rFonts w:ascii="宋体" w:hAnsi="宋体" w:cs="宋体" w:hint="eastAsia"/>
                <w:color w:val="000000"/>
                <w:kern w:val="0"/>
                <w:sz w:val="20"/>
                <w:szCs w:val="20"/>
              </w:rPr>
              <w:t>基金类型</w:t>
            </w:r>
          </w:p>
        </w:tc>
        <w:tc>
          <w:tcPr>
            <w:tcW w:w="2692" w:type="dxa"/>
            <w:tcBorders>
              <w:top w:val="nil"/>
              <w:left w:val="nil"/>
              <w:bottom w:val="single" w:sz="8" w:space="0" w:color="F79646"/>
              <w:right w:val="nil"/>
            </w:tcBorders>
            <w:vAlign w:val="center"/>
          </w:tcPr>
          <w:p w:rsidR="000F741C" w:rsidRPr="00442BB8" w:rsidRDefault="000F741C" w:rsidP="00442BB8">
            <w:pPr>
              <w:widowControl/>
              <w:jc w:val="center"/>
              <w:rPr>
                <w:rFonts w:ascii="宋体" w:cs="宋体"/>
                <w:color w:val="000000"/>
                <w:kern w:val="0"/>
                <w:sz w:val="20"/>
                <w:szCs w:val="20"/>
              </w:rPr>
            </w:pPr>
            <w:r w:rsidRPr="00442BB8">
              <w:rPr>
                <w:rFonts w:ascii="宋体" w:hAnsi="宋体" w:cs="宋体"/>
                <w:color w:val="000000"/>
                <w:kern w:val="0"/>
                <w:sz w:val="20"/>
                <w:szCs w:val="20"/>
              </w:rPr>
              <w:t>2014</w:t>
            </w:r>
            <w:r w:rsidRPr="00442BB8">
              <w:rPr>
                <w:rFonts w:ascii="宋体" w:hAnsi="宋体" w:cs="宋体" w:hint="eastAsia"/>
                <w:color w:val="000000"/>
                <w:kern w:val="0"/>
                <w:sz w:val="20"/>
                <w:szCs w:val="20"/>
              </w:rPr>
              <w:t>年</w:t>
            </w:r>
            <w:r>
              <w:rPr>
                <w:rFonts w:ascii="宋体" w:hAnsi="宋体" w:cs="宋体"/>
                <w:color w:val="000000"/>
                <w:kern w:val="0"/>
                <w:sz w:val="20"/>
                <w:szCs w:val="20"/>
              </w:rPr>
              <w:t>11</w:t>
            </w:r>
            <w:r w:rsidRPr="00442BB8">
              <w:rPr>
                <w:rFonts w:ascii="宋体" w:hAnsi="宋体" w:cs="宋体" w:hint="eastAsia"/>
                <w:color w:val="000000"/>
                <w:kern w:val="0"/>
                <w:sz w:val="20"/>
                <w:szCs w:val="20"/>
              </w:rPr>
              <w:t>月平均业绩</w:t>
            </w:r>
            <w:r w:rsidRPr="00442BB8">
              <w:rPr>
                <w:rFonts w:ascii="宋体" w:hAnsi="宋体" w:cs="宋体"/>
                <w:color w:val="000000"/>
                <w:kern w:val="0"/>
                <w:sz w:val="20"/>
                <w:szCs w:val="20"/>
              </w:rPr>
              <w:t>(%)</w:t>
            </w:r>
          </w:p>
        </w:tc>
        <w:tc>
          <w:tcPr>
            <w:tcW w:w="1919" w:type="dxa"/>
            <w:tcBorders>
              <w:top w:val="nil"/>
              <w:left w:val="nil"/>
              <w:bottom w:val="single" w:sz="8" w:space="0" w:color="F79646"/>
              <w:right w:val="nil"/>
            </w:tcBorders>
            <w:vAlign w:val="center"/>
          </w:tcPr>
          <w:p w:rsidR="000F741C" w:rsidRPr="00442BB8" w:rsidRDefault="000F741C" w:rsidP="00442BB8">
            <w:pPr>
              <w:widowControl/>
              <w:jc w:val="center"/>
              <w:rPr>
                <w:rFonts w:ascii="宋体" w:cs="宋体"/>
                <w:color w:val="000000"/>
                <w:kern w:val="0"/>
                <w:sz w:val="20"/>
                <w:szCs w:val="20"/>
              </w:rPr>
            </w:pPr>
            <w:r w:rsidRPr="00442BB8">
              <w:rPr>
                <w:rFonts w:ascii="宋体" w:hAnsi="宋体" w:cs="宋体" w:hint="eastAsia"/>
                <w:color w:val="000000"/>
                <w:kern w:val="0"/>
                <w:sz w:val="20"/>
                <w:szCs w:val="20"/>
              </w:rPr>
              <w:t>样本数量</w:t>
            </w:r>
          </w:p>
        </w:tc>
      </w:tr>
      <w:tr w:rsidR="000F741C" w:rsidRPr="00D11FE4" w:rsidTr="00442BB8">
        <w:trPr>
          <w:trHeight w:val="271"/>
        </w:trPr>
        <w:tc>
          <w:tcPr>
            <w:tcW w:w="1975" w:type="dxa"/>
            <w:tcBorders>
              <w:top w:val="nil"/>
              <w:left w:val="nil"/>
              <w:bottom w:val="nil"/>
              <w:right w:val="nil"/>
            </w:tcBorders>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hint="eastAsia"/>
                <w:color w:val="000000"/>
                <w:kern w:val="0"/>
                <w:sz w:val="20"/>
                <w:szCs w:val="20"/>
              </w:rPr>
              <w:t>传统封闭式</w:t>
            </w:r>
          </w:p>
        </w:tc>
        <w:tc>
          <w:tcPr>
            <w:tcW w:w="2692"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 xml:space="preserve">5.67 </w:t>
            </w:r>
          </w:p>
        </w:tc>
        <w:tc>
          <w:tcPr>
            <w:tcW w:w="1919"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8</w:t>
            </w:r>
          </w:p>
        </w:tc>
      </w:tr>
      <w:tr w:rsidR="000F741C" w:rsidRPr="00D11FE4" w:rsidTr="00442BB8">
        <w:trPr>
          <w:trHeight w:val="271"/>
        </w:trPr>
        <w:tc>
          <w:tcPr>
            <w:tcW w:w="1975" w:type="dxa"/>
            <w:tcBorders>
              <w:top w:val="nil"/>
              <w:left w:val="nil"/>
              <w:bottom w:val="nil"/>
              <w:right w:val="nil"/>
            </w:tcBorders>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hint="eastAsia"/>
                <w:color w:val="000000"/>
                <w:kern w:val="0"/>
                <w:sz w:val="20"/>
                <w:szCs w:val="20"/>
              </w:rPr>
              <w:t>股票型</w:t>
            </w:r>
          </w:p>
        </w:tc>
        <w:tc>
          <w:tcPr>
            <w:tcW w:w="2692"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 xml:space="preserve">6.76 </w:t>
            </w:r>
          </w:p>
        </w:tc>
        <w:tc>
          <w:tcPr>
            <w:tcW w:w="1919"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680</w:t>
            </w:r>
          </w:p>
        </w:tc>
      </w:tr>
      <w:tr w:rsidR="000F741C" w:rsidRPr="00D11FE4" w:rsidTr="00442BB8">
        <w:trPr>
          <w:trHeight w:val="482"/>
        </w:trPr>
        <w:tc>
          <w:tcPr>
            <w:tcW w:w="1975" w:type="dxa"/>
            <w:tcBorders>
              <w:top w:val="nil"/>
              <w:left w:val="nil"/>
              <w:bottom w:val="nil"/>
              <w:right w:val="nil"/>
            </w:tcBorders>
            <w:shd w:val="clear" w:color="000000" w:fill="FDE9D9"/>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color w:val="000000"/>
                <w:kern w:val="0"/>
                <w:sz w:val="20"/>
                <w:szCs w:val="20"/>
              </w:rPr>
              <w:t xml:space="preserve">   </w:t>
            </w:r>
            <w:r w:rsidRPr="00442BB8">
              <w:rPr>
                <w:rFonts w:ascii="宋体" w:hAnsi="宋体" w:cs="宋体" w:hint="eastAsia"/>
                <w:color w:val="000000"/>
                <w:kern w:val="0"/>
                <w:sz w:val="20"/>
                <w:szCs w:val="20"/>
              </w:rPr>
              <w:t>主动股票型</w:t>
            </w:r>
          </w:p>
        </w:tc>
        <w:tc>
          <w:tcPr>
            <w:tcW w:w="2692" w:type="dxa"/>
            <w:tcBorders>
              <w:top w:val="nil"/>
              <w:left w:val="nil"/>
              <w:bottom w:val="nil"/>
              <w:right w:val="nil"/>
            </w:tcBorders>
            <w:shd w:val="clear" w:color="000000" w:fill="FDE9D9"/>
            <w:noWrap/>
            <w:vAlign w:val="bottom"/>
          </w:tcPr>
          <w:p w:rsidR="000F741C" w:rsidRPr="009A4AAB" w:rsidRDefault="000F741C">
            <w:pPr>
              <w:jc w:val="center"/>
              <w:rPr>
                <w:rFonts w:ascii="宋体" w:cs="宋体"/>
                <w:color w:val="000000"/>
                <w:sz w:val="18"/>
                <w:szCs w:val="18"/>
              </w:rPr>
            </w:pPr>
            <w:r w:rsidRPr="00D11FE4">
              <w:rPr>
                <w:color w:val="000000"/>
                <w:sz w:val="18"/>
                <w:szCs w:val="18"/>
              </w:rPr>
              <w:t xml:space="preserve">5.80 </w:t>
            </w:r>
          </w:p>
        </w:tc>
        <w:tc>
          <w:tcPr>
            <w:tcW w:w="1919" w:type="dxa"/>
            <w:tcBorders>
              <w:top w:val="nil"/>
              <w:left w:val="nil"/>
              <w:bottom w:val="nil"/>
              <w:right w:val="nil"/>
            </w:tcBorders>
            <w:shd w:val="clear" w:color="000000" w:fill="FDE9D9"/>
            <w:noWrap/>
            <w:vAlign w:val="bottom"/>
          </w:tcPr>
          <w:p w:rsidR="000F741C" w:rsidRPr="009A4AAB" w:rsidRDefault="000F741C">
            <w:pPr>
              <w:jc w:val="center"/>
              <w:rPr>
                <w:rFonts w:ascii="宋体" w:cs="宋体"/>
                <w:color w:val="000000"/>
                <w:sz w:val="18"/>
                <w:szCs w:val="18"/>
              </w:rPr>
            </w:pPr>
            <w:r w:rsidRPr="00D11FE4">
              <w:rPr>
                <w:color w:val="000000"/>
                <w:sz w:val="18"/>
                <w:szCs w:val="18"/>
              </w:rPr>
              <w:t>412</w:t>
            </w:r>
          </w:p>
        </w:tc>
      </w:tr>
      <w:tr w:rsidR="000F741C" w:rsidRPr="00D11FE4" w:rsidTr="00442BB8">
        <w:trPr>
          <w:trHeight w:val="271"/>
        </w:trPr>
        <w:tc>
          <w:tcPr>
            <w:tcW w:w="1975" w:type="dxa"/>
            <w:tcBorders>
              <w:top w:val="nil"/>
              <w:left w:val="nil"/>
              <w:bottom w:val="nil"/>
              <w:right w:val="nil"/>
            </w:tcBorders>
            <w:shd w:val="clear" w:color="000000" w:fill="FDE9D9"/>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color w:val="000000"/>
                <w:kern w:val="0"/>
                <w:sz w:val="20"/>
                <w:szCs w:val="20"/>
              </w:rPr>
              <w:t xml:space="preserve">   </w:t>
            </w:r>
            <w:r w:rsidRPr="00442BB8">
              <w:rPr>
                <w:rFonts w:ascii="宋体" w:hAnsi="宋体" w:cs="宋体" w:hint="eastAsia"/>
                <w:color w:val="000000"/>
                <w:kern w:val="0"/>
                <w:sz w:val="20"/>
                <w:szCs w:val="20"/>
              </w:rPr>
              <w:t>指数型</w:t>
            </w:r>
          </w:p>
        </w:tc>
        <w:tc>
          <w:tcPr>
            <w:tcW w:w="2692" w:type="dxa"/>
            <w:tcBorders>
              <w:top w:val="nil"/>
              <w:left w:val="nil"/>
              <w:bottom w:val="nil"/>
              <w:right w:val="nil"/>
            </w:tcBorders>
            <w:shd w:val="clear" w:color="000000" w:fill="FDE9D9"/>
            <w:noWrap/>
            <w:vAlign w:val="bottom"/>
          </w:tcPr>
          <w:p w:rsidR="000F741C" w:rsidRPr="009A4AAB" w:rsidRDefault="000F741C">
            <w:pPr>
              <w:jc w:val="center"/>
              <w:rPr>
                <w:rFonts w:ascii="宋体" w:cs="宋体"/>
                <w:color w:val="000000"/>
                <w:sz w:val="18"/>
                <w:szCs w:val="18"/>
              </w:rPr>
            </w:pPr>
            <w:r w:rsidRPr="00D11FE4">
              <w:rPr>
                <w:color w:val="000000"/>
                <w:sz w:val="18"/>
                <w:szCs w:val="18"/>
              </w:rPr>
              <w:t xml:space="preserve">8.25 </w:t>
            </w:r>
          </w:p>
        </w:tc>
        <w:tc>
          <w:tcPr>
            <w:tcW w:w="1919" w:type="dxa"/>
            <w:tcBorders>
              <w:top w:val="nil"/>
              <w:left w:val="nil"/>
              <w:bottom w:val="nil"/>
              <w:right w:val="nil"/>
            </w:tcBorders>
            <w:shd w:val="clear" w:color="000000" w:fill="FDE9D9"/>
            <w:noWrap/>
            <w:vAlign w:val="bottom"/>
          </w:tcPr>
          <w:p w:rsidR="000F741C" w:rsidRPr="009A4AAB" w:rsidRDefault="000F741C">
            <w:pPr>
              <w:jc w:val="center"/>
              <w:rPr>
                <w:rFonts w:ascii="宋体" w:cs="宋体"/>
                <w:color w:val="000000"/>
                <w:sz w:val="18"/>
                <w:szCs w:val="18"/>
              </w:rPr>
            </w:pPr>
            <w:r w:rsidRPr="00D11FE4">
              <w:rPr>
                <w:color w:val="000000"/>
                <w:sz w:val="18"/>
                <w:szCs w:val="18"/>
              </w:rPr>
              <w:t>268</w:t>
            </w:r>
          </w:p>
        </w:tc>
      </w:tr>
      <w:tr w:rsidR="000F741C" w:rsidRPr="00D11FE4" w:rsidTr="00442BB8">
        <w:trPr>
          <w:trHeight w:val="271"/>
        </w:trPr>
        <w:tc>
          <w:tcPr>
            <w:tcW w:w="1975" w:type="dxa"/>
            <w:tcBorders>
              <w:top w:val="nil"/>
              <w:left w:val="nil"/>
              <w:bottom w:val="nil"/>
              <w:right w:val="nil"/>
            </w:tcBorders>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hint="eastAsia"/>
                <w:color w:val="000000"/>
                <w:kern w:val="0"/>
                <w:sz w:val="20"/>
                <w:szCs w:val="20"/>
              </w:rPr>
              <w:t>混合型</w:t>
            </w:r>
          </w:p>
        </w:tc>
        <w:tc>
          <w:tcPr>
            <w:tcW w:w="2692"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4.83</w:t>
            </w:r>
          </w:p>
        </w:tc>
        <w:tc>
          <w:tcPr>
            <w:tcW w:w="1919"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321</w:t>
            </w:r>
          </w:p>
        </w:tc>
      </w:tr>
      <w:tr w:rsidR="000F741C" w:rsidRPr="00D11FE4" w:rsidTr="00442BB8">
        <w:trPr>
          <w:trHeight w:val="271"/>
        </w:trPr>
        <w:tc>
          <w:tcPr>
            <w:tcW w:w="1975" w:type="dxa"/>
            <w:tcBorders>
              <w:top w:val="nil"/>
              <w:left w:val="nil"/>
              <w:bottom w:val="nil"/>
              <w:right w:val="nil"/>
            </w:tcBorders>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hint="eastAsia"/>
                <w:color w:val="000000"/>
                <w:kern w:val="0"/>
                <w:sz w:val="20"/>
                <w:szCs w:val="20"/>
              </w:rPr>
              <w:t>商品基金</w:t>
            </w:r>
          </w:p>
        </w:tc>
        <w:tc>
          <w:tcPr>
            <w:tcW w:w="2692"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 xml:space="preserve">2.03 </w:t>
            </w:r>
          </w:p>
        </w:tc>
        <w:tc>
          <w:tcPr>
            <w:tcW w:w="1919"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6</w:t>
            </w:r>
          </w:p>
        </w:tc>
      </w:tr>
      <w:tr w:rsidR="000F741C" w:rsidRPr="00D11FE4" w:rsidTr="00442BB8">
        <w:trPr>
          <w:trHeight w:val="271"/>
        </w:trPr>
        <w:tc>
          <w:tcPr>
            <w:tcW w:w="1975" w:type="dxa"/>
            <w:tcBorders>
              <w:top w:val="nil"/>
              <w:left w:val="nil"/>
              <w:bottom w:val="nil"/>
              <w:right w:val="nil"/>
            </w:tcBorders>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hint="eastAsia"/>
                <w:color w:val="000000"/>
                <w:kern w:val="0"/>
                <w:sz w:val="20"/>
                <w:szCs w:val="20"/>
              </w:rPr>
              <w:t>保本型</w:t>
            </w:r>
          </w:p>
        </w:tc>
        <w:tc>
          <w:tcPr>
            <w:tcW w:w="2692"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 xml:space="preserve">2.71 </w:t>
            </w:r>
          </w:p>
        </w:tc>
        <w:tc>
          <w:tcPr>
            <w:tcW w:w="1919"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55</w:t>
            </w:r>
          </w:p>
        </w:tc>
      </w:tr>
      <w:tr w:rsidR="000F741C" w:rsidRPr="00D11FE4" w:rsidTr="00442BB8">
        <w:trPr>
          <w:trHeight w:val="271"/>
        </w:trPr>
        <w:tc>
          <w:tcPr>
            <w:tcW w:w="1975" w:type="dxa"/>
            <w:tcBorders>
              <w:top w:val="nil"/>
              <w:left w:val="nil"/>
              <w:bottom w:val="nil"/>
              <w:right w:val="nil"/>
            </w:tcBorders>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hint="eastAsia"/>
                <w:color w:val="000000"/>
                <w:kern w:val="0"/>
                <w:sz w:val="20"/>
                <w:szCs w:val="20"/>
              </w:rPr>
              <w:t>债券型</w:t>
            </w:r>
          </w:p>
        </w:tc>
        <w:tc>
          <w:tcPr>
            <w:tcW w:w="2692"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 xml:space="preserve">2.74 </w:t>
            </w:r>
          </w:p>
        </w:tc>
        <w:tc>
          <w:tcPr>
            <w:tcW w:w="1919"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691</w:t>
            </w:r>
          </w:p>
        </w:tc>
      </w:tr>
      <w:tr w:rsidR="000F741C" w:rsidRPr="00D11FE4" w:rsidTr="00442BB8">
        <w:trPr>
          <w:trHeight w:val="271"/>
        </w:trPr>
        <w:tc>
          <w:tcPr>
            <w:tcW w:w="1975" w:type="dxa"/>
            <w:tcBorders>
              <w:top w:val="nil"/>
              <w:left w:val="nil"/>
              <w:bottom w:val="nil"/>
              <w:right w:val="nil"/>
            </w:tcBorders>
            <w:shd w:val="clear" w:color="000000" w:fill="FDE9D9"/>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color w:val="000000"/>
                <w:kern w:val="0"/>
                <w:sz w:val="20"/>
                <w:szCs w:val="20"/>
              </w:rPr>
              <w:t xml:space="preserve">  </w:t>
            </w:r>
            <w:r w:rsidRPr="00442BB8">
              <w:rPr>
                <w:rFonts w:ascii="宋体" w:hAnsi="宋体" w:cs="宋体" w:hint="eastAsia"/>
                <w:color w:val="000000"/>
                <w:kern w:val="0"/>
                <w:sz w:val="20"/>
                <w:szCs w:val="20"/>
              </w:rPr>
              <w:t>纯债型</w:t>
            </w:r>
          </w:p>
        </w:tc>
        <w:tc>
          <w:tcPr>
            <w:tcW w:w="2692" w:type="dxa"/>
            <w:tcBorders>
              <w:top w:val="nil"/>
              <w:left w:val="nil"/>
              <w:bottom w:val="nil"/>
              <w:right w:val="nil"/>
            </w:tcBorders>
            <w:shd w:val="clear" w:color="000000" w:fill="FDE9D9"/>
            <w:noWrap/>
            <w:vAlign w:val="bottom"/>
          </w:tcPr>
          <w:p w:rsidR="000F741C" w:rsidRPr="009A4AAB" w:rsidRDefault="000F741C">
            <w:pPr>
              <w:jc w:val="center"/>
              <w:rPr>
                <w:rFonts w:ascii="宋体" w:cs="宋体"/>
                <w:color w:val="000000"/>
                <w:sz w:val="18"/>
                <w:szCs w:val="18"/>
              </w:rPr>
            </w:pPr>
            <w:r w:rsidRPr="00D11FE4">
              <w:rPr>
                <w:color w:val="000000"/>
                <w:sz w:val="18"/>
                <w:szCs w:val="18"/>
              </w:rPr>
              <w:t xml:space="preserve">1.74 </w:t>
            </w:r>
          </w:p>
        </w:tc>
        <w:tc>
          <w:tcPr>
            <w:tcW w:w="1919" w:type="dxa"/>
            <w:tcBorders>
              <w:top w:val="nil"/>
              <w:left w:val="nil"/>
              <w:bottom w:val="nil"/>
              <w:right w:val="nil"/>
            </w:tcBorders>
            <w:shd w:val="clear" w:color="000000" w:fill="FDE9D9"/>
            <w:noWrap/>
            <w:vAlign w:val="bottom"/>
          </w:tcPr>
          <w:p w:rsidR="000F741C" w:rsidRPr="009A4AAB" w:rsidRDefault="000F741C">
            <w:pPr>
              <w:jc w:val="center"/>
              <w:rPr>
                <w:rFonts w:ascii="宋体" w:cs="宋体"/>
                <w:color w:val="000000"/>
                <w:sz w:val="18"/>
                <w:szCs w:val="18"/>
              </w:rPr>
            </w:pPr>
            <w:r w:rsidRPr="00D11FE4">
              <w:rPr>
                <w:color w:val="000000"/>
                <w:sz w:val="18"/>
                <w:szCs w:val="18"/>
              </w:rPr>
              <w:t>286</w:t>
            </w:r>
          </w:p>
        </w:tc>
      </w:tr>
      <w:tr w:rsidR="000F741C" w:rsidRPr="00D11FE4" w:rsidTr="00442BB8">
        <w:trPr>
          <w:trHeight w:val="271"/>
        </w:trPr>
        <w:tc>
          <w:tcPr>
            <w:tcW w:w="1975" w:type="dxa"/>
            <w:tcBorders>
              <w:top w:val="nil"/>
              <w:left w:val="nil"/>
              <w:bottom w:val="nil"/>
              <w:right w:val="nil"/>
            </w:tcBorders>
            <w:shd w:val="clear" w:color="000000" w:fill="FDE9D9"/>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color w:val="000000"/>
                <w:kern w:val="0"/>
                <w:sz w:val="20"/>
                <w:szCs w:val="20"/>
              </w:rPr>
              <w:t xml:space="preserve">  </w:t>
            </w:r>
            <w:r w:rsidRPr="00442BB8">
              <w:rPr>
                <w:rFonts w:ascii="宋体" w:hAnsi="宋体" w:cs="宋体" w:hint="eastAsia"/>
                <w:color w:val="000000"/>
                <w:kern w:val="0"/>
                <w:sz w:val="20"/>
                <w:szCs w:val="20"/>
              </w:rPr>
              <w:t>一级债基</w:t>
            </w:r>
          </w:p>
        </w:tc>
        <w:tc>
          <w:tcPr>
            <w:tcW w:w="2692" w:type="dxa"/>
            <w:tcBorders>
              <w:top w:val="nil"/>
              <w:left w:val="nil"/>
              <w:bottom w:val="nil"/>
              <w:right w:val="nil"/>
            </w:tcBorders>
            <w:shd w:val="clear" w:color="000000" w:fill="FDE9D9"/>
            <w:noWrap/>
            <w:vAlign w:val="bottom"/>
          </w:tcPr>
          <w:p w:rsidR="000F741C" w:rsidRPr="009A4AAB" w:rsidRDefault="000F741C">
            <w:pPr>
              <w:jc w:val="center"/>
              <w:rPr>
                <w:rFonts w:ascii="宋体" w:cs="宋体"/>
                <w:color w:val="000000"/>
                <w:sz w:val="18"/>
                <w:szCs w:val="18"/>
              </w:rPr>
            </w:pPr>
            <w:r w:rsidRPr="00D11FE4">
              <w:rPr>
                <w:color w:val="000000"/>
                <w:sz w:val="18"/>
                <w:szCs w:val="18"/>
              </w:rPr>
              <w:t xml:space="preserve">2.36 </w:t>
            </w:r>
          </w:p>
        </w:tc>
        <w:tc>
          <w:tcPr>
            <w:tcW w:w="1919" w:type="dxa"/>
            <w:tcBorders>
              <w:top w:val="nil"/>
              <w:left w:val="nil"/>
              <w:bottom w:val="nil"/>
              <w:right w:val="nil"/>
            </w:tcBorders>
            <w:shd w:val="clear" w:color="000000" w:fill="FDE9D9"/>
            <w:noWrap/>
            <w:vAlign w:val="bottom"/>
          </w:tcPr>
          <w:p w:rsidR="000F741C" w:rsidRPr="009A4AAB" w:rsidRDefault="000F741C">
            <w:pPr>
              <w:jc w:val="center"/>
              <w:rPr>
                <w:rFonts w:ascii="宋体" w:cs="宋体"/>
                <w:color w:val="000000"/>
                <w:sz w:val="18"/>
                <w:szCs w:val="18"/>
              </w:rPr>
            </w:pPr>
            <w:r w:rsidRPr="00D11FE4">
              <w:rPr>
                <w:color w:val="000000"/>
                <w:sz w:val="18"/>
                <w:szCs w:val="18"/>
              </w:rPr>
              <w:t>160</w:t>
            </w:r>
          </w:p>
        </w:tc>
      </w:tr>
      <w:tr w:rsidR="000F741C" w:rsidRPr="00D11FE4" w:rsidTr="00442BB8">
        <w:trPr>
          <w:trHeight w:val="271"/>
        </w:trPr>
        <w:tc>
          <w:tcPr>
            <w:tcW w:w="1975" w:type="dxa"/>
            <w:tcBorders>
              <w:top w:val="nil"/>
              <w:left w:val="nil"/>
              <w:bottom w:val="nil"/>
              <w:right w:val="nil"/>
            </w:tcBorders>
            <w:shd w:val="clear" w:color="000000" w:fill="FDE9D9"/>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color w:val="000000"/>
                <w:kern w:val="0"/>
                <w:sz w:val="20"/>
                <w:szCs w:val="20"/>
              </w:rPr>
              <w:t xml:space="preserve">  </w:t>
            </w:r>
            <w:r w:rsidRPr="00442BB8">
              <w:rPr>
                <w:rFonts w:ascii="宋体" w:hAnsi="宋体" w:cs="宋体" w:hint="eastAsia"/>
                <w:color w:val="000000"/>
                <w:kern w:val="0"/>
                <w:sz w:val="20"/>
                <w:szCs w:val="20"/>
              </w:rPr>
              <w:t>二级债基</w:t>
            </w:r>
          </w:p>
        </w:tc>
        <w:tc>
          <w:tcPr>
            <w:tcW w:w="2692" w:type="dxa"/>
            <w:tcBorders>
              <w:top w:val="nil"/>
              <w:left w:val="nil"/>
              <w:bottom w:val="nil"/>
              <w:right w:val="nil"/>
            </w:tcBorders>
            <w:shd w:val="clear" w:color="000000" w:fill="FDE9D9"/>
            <w:noWrap/>
            <w:vAlign w:val="bottom"/>
          </w:tcPr>
          <w:p w:rsidR="000F741C" w:rsidRPr="009A4AAB" w:rsidRDefault="000F741C">
            <w:pPr>
              <w:jc w:val="center"/>
              <w:rPr>
                <w:rFonts w:ascii="宋体" w:cs="宋体"/>
                <w:color w:val="000000"/>
                <w:sz w:val="18"/>
                <w:szCs w:val="18"/>
              </w:rPr>
            </w:pPr>
            <w:r w:rsidRPr="00D11FE4">
              <w:rPr>
                <w:color w:val="000000"/>
                <w:sz w:val="18"/>
                <w:szCs w:val="18"/>
              </w:rPr>
              <w:t xml:space="preserve">3.44 </w:t>
            </w:r>
          </w:p>
        </w:tc>
        <w:tc>
          <w:tcPr>
            <w:tcW w:w="1919" w:type="dxa"/>
            <w:tcBorders>
              <w:top w:val="nil"/>
              <w:left w:val="nil"/>
              <w:bottom w:val="nil"/>
              <w:right w:val="nil"/>
            </w:tcBorders>
            <w:shd w:val="clear" w:color="000000" w:fill="FDE9D9"/>
            <w:noWrap/>
            <w:vAlign w:val="bottom"/>
          </w:tcPr>
          <w:p w:rsidR="000F741C" w:rsidRPr="009A4AAB" w:rsidRDefault="000F741C">
            <w:pPr>
              <w:jc w:val="center"/>
              <w:rPr>
                <w:rFonts w:ascii="宋体" w:cs="宋体"/>
                <w:color w:val="000000"/>
                <w:sz w:val="18"/>
                <w:szCs w:val="18"/>
              </w:rPr>
            </w:pPr>
            <w:r w:rsidRPr="00D11FE4">
              <w:rPr>
                <w:color w:val="000000"/>
                <w:sz w:val="18"/>
                <w:szCs w:val="18"/>
              </w:rPr>
              <w:t>192</w:t>
            </w:r>
          </w:p>
        </w:tc>
      </w:tr>
      <w:tr w:rsidR="000F741C" w:rsidRPr="00D11FE4" w:rsidTr="00442BB8">
        <w:trPr>
          <w:trHeight w:val="271"/>
        </w:trPr>
        <w:tc>
          <w:tcPr>
            <w:tcW w:w="1975" w:type="dxa"/>
            <w:tcBorders>
              <w:top w:val="nil"/>
              <w:left w:val="nil"/>
              <w:bottom w:val="nil"/>
              <w:right w:val="nil"/>
            </w:tcBorders>
            <w:shd w:val="clear" w:color="000000" w:fill="FDE9D9"/>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color w:val="000000"/>
                <w:kern w:val="0"/>
                <w:sz w:val="20"/>
                <w:szCs w:val="20"/>
              </w:rPr>
              <w:t xml:space="preserve">  </w:t>
            </w:r>
            <w:r w:rsidRPr="00442BB8">
              <w:rPr>
                <w:rFonts w:ascii="宋体" w:hAnsi="宋体" w:cs="宋体" w:hint="eastAsia"/>
                <w:color w:val="000000"/>
                <w:kern w:val="0"/>
                <w:sz w:val="20"/>
                <w:szCs w:val="20"/>
              </w:rPr>
              <w:t>可转债基</w:t>
            </w:r>
          </w:p>
        </w:tc>
        <w:tc>
          <w:tcPr>
            <w:tcW w:w="2692" w:type="dxa"/>
            <w:tcBorders>
              <w:top w:val="nil"/>
              <w:left w:val="nil"/>
              <w:bottom w:val="nil"/>
              <w:right w:val="nil"/>
            </w:tcBorders>
            <w:shd w:val="clear" w:color="000000" w:fill="FDE9D9"/>
            <w:noWrap/>
            <w:vAlign w:val="bottom"/>
          </w:tcPr>
          <w:p w:rsidR="000F741C" w:rsidRPr="009A4AAB" w:rsidRDefault="000F741C">
            <w:pPr>
              <w:jc w:val="center"/>
              <w:rPr>
                <w:rFonts w:ascii="宋体" w:cs="宋体"/>
                <w:color w:val="000000"/>
                <w:sz w:val="18"/>
                <w:szCs w:val="18"/>
              </w:rPr>
            </w:pPr>
            <w:r w:rsidRPr="00D11FE4">
              <w:rPr>
                <w:color w:val="000000"/>
                <w:sz w:val="18"/>
                <w:szCs w:val="18"/>
              </w:rPr>
              <w:t xml:space="preserve">11.67 </w:t>
            </w:r>
          </w:p>
        </w:tc>
        <w:tc>
          <w:tcPr>
            <w:tcW w:w="1919" w:type="dxa"/>
            <w:tcBorders>
              <w:top w:val="nil"/>
              <w:left w:val="nil"/>
              <w:bottom w:val="nil"/>
              <w:right w:val="nil"/>
            </w:tcBorders>
            <w:shd w:val="clear" w:color="000000" w:fill="FDE9D9"/>
            <w:noWrap/>
            <w:vAlign w:val="bottom"/>
          </w:tcPr>
          <w:p w:rsidR="000F741C" w:rsidRPr="009A4AAB" w:rsidRDefault="000F741C">
            <w:pPr>
              <w:jc w:val="center"/>
              <w:rPr>
                <w:rFonts w:ascii="宋体" w:cs="宋体"/>
                <w:color w:val="000000"/>
                <w:sz w:val="18"/>
                <w:szCs w:val="18"/>
              </w:rPr>
            </w:pPr>
            <w:r w:rsidRPr="00D11FE4">
              <w:rPr>
                <w:color w:val="000000"/>
                <w:sz w:val="18"/>
                <w:szCs w:val="18"/>
              </w:rPr>
              <w:t>24</w:t>
            </w:r>
          </w:p>
        </w:tc>
      </w:tr>
      <w:tr w:rsidR="000F741C" w:rsidRPr="00D11FE4" w:rsidTr="00442BB8">
        <w:trPr>
          <w:trHeight w:val="271"/>
        </w:trPr>
        <w:tc>
          <w:tcPr>
            <w:tcW w:w="1975" w:type="dxa"/>
            <w:tcBorders>
              <w:top w:val="nil"/>
              <w:left w:val="nil"/>
              <w:bottom w:val="nil"/>
              <w:right w:val="nil"/>
            </w:tcBorders>
            <w:shd w:val="clear" w:color="000000" w:fill="FDE9D9"/>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color w:val="000000"/>
                <w:kern w:val="0"/>
                <w:sz w:val="20"/>
                <w:szCs w:val="20"/>
              </w:rPr>
              <w:t xml:space="preserve">  </w:t>
            </w:r>
            <w:r w:rsidRPr="00442BB8">
              <w:rPr>
                <w:rFonts w:ascii="宋体" w:hAnsi="宋体" w:cs="宋体" w:hint="eastAsia"/>
                <w:color w:val="000000"/>
                <w:kern w:val="0"/>
                <w:sz w:val="20"/>
                <w:szCs w:val="20"/>
              </w:rPr>
              <w:t>指数债基</w:t>
            </w:r>
          </w:p>
        </w:tc>
        <w:tc>
          <w:tcPr>
            <w:tcW w:w="2692" w:type="dxa"/>
            <w:tcBorders>
              <w:top w:val="nil"/>
              <w:left w:val="nil"/>
              <w:bottom w:val="nil"/>
              <w:right w:val="nil"/>
            </w:tcBorders>
            <w:shd w:val="clear" w:color="000000" w:fill="FDE9D9"/>
            <w:noWrap/>
            <w:vAlign w:val="bottom"/>
          </w:tcPr>
          <w:p w:rsidR="000F741C" w:rsidRPr="009A4AAB" w:rsidRDefault="000F741C">
            <w:pPr>
              <w:jc w:val="center"/>
              <w:rPr>
                <w:rFonts w:ascii="宋体" w:cs="宋体"/>
                <w:color w:val="000000"/>
                <w:sz w:val="18"/>
                <w:szCs w:val="18"/>
              </w:rPr>
            </w:pPr>
            <w:r w:rsidRPr="00D11FE4">
              <w:rPr>
                <w:color w:val="000000"/>
                <w:sz w:val="18"/>
                <w:szCs w:val="18"/>
              </w:rPr>
              <w:t>2.56</w:t>
            </w:r>
          </w:p>
        </w:tc>
        <w:tc>
          <w:tcPr>
            <w:tcW w:w="1919" w:type="dxa"/>
            <w:tcBorders>
              <w:top w:val="nil"/>
              <w:left w:val="nil"/>
              <w:bottom w:val="nil"/>
              <w:right w:val="nil"/>
            </w:tcBorders>
            <w:shd w:val="clear" w:color="000000" w:fill="FDE9D9"/>
            <w:noWrap/>
            <w:vAlign w:val="bottom"/>
          </w:tcPr>
          <w:p w:rsidR="000F741C" w:rsidRPr="009A4AAB" w:rsidRDefault="000F741C">
            <w:pPr>
              <w:jc w:val="center"/>
              <w:rPr>
                <w:rFonts w:ascii="宋体" w:cs="宋体"/>
                <w:color w:val="000000"/>
                <w:sz w:val="18"/>
                <w:szCs w:val="18"/>
              </w:rPr>
            </w:pPr>
            <w:r w:rsidRPr="00D11FE4">
              <w:rPr>
                <w:color w:val="000000"/>
                <w:sz w:val="18"/>
                <w:szCs w:val="18"/>
              </w:rPr>
              <w:t>29</w:t>
            </w:r>
          </w:p>
        </w:tc>
      </w:tr>
      <w:tr w:rsidR="000F741C" w:rsidRPr="00D11FE4" w:rsidTr="00442BB8">
        <w:trPr>
          <w:trHeight w:val="271"/>
        </w:trPr>
        <w:tc>
          <w:tcPr>
            <w:tcW w:w="1975" w:type="dxa"/>
            <w:tcBorders>
              <w:top w:val="nil"/>
              <w:left w:val="nil"/>
              <w:bottom w:val="nil"/>
              <w:right w:val="nil"/>
            </w:tcBorders>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hint="eastAsia"/>
                <w:color w:val="000000"/>
                <w:kern w:val="0"/>
                <w:sz w:val="20"/>
                <w:szCs w:val="20"/>
              </w:rPr>
              <w:t>理财债基</w:t>
            </w:r>
          </w:p>
        </w:tc>
        <w:tc>
          <w:tcPr>
            <w:tcW w:w="2692"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 xml:space="preserve">0.35 </w:t>
            </w:r>
          </w:p>
        </w:tc>
        <w:tc>
          <w:tcPr>
            <w:tcW w:w="1919"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111</w:t>
            </w:r>
          </w:p>
        </w:tc>
      </w:tr>
      <w:tr w:rsidR="000F741C" w:rsidRPr="00D11FE4" w:rsidTr="00442BB8">
        <w:trPr>
          <w:trHeight w:val="271"/>
        </w:trPr>
        <w:tc>
          <w:tcPr>
            <w:tcW w:w="1975" w:type="dxa"/>
            <w:tcBorders>
              <w:top w:val="nil"/>
              <w:left w:val="nil"/>
              <w:bottom w:val="nil"/>
              <w:right w:val="nil"/>
            </w:tcBorders>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hint="eastAsia"/>
                <w:color w:val="000000"/>
                <w:kern w:val="0"/>
                <w:sz w:val="20"/>
                <w:szCs w:val="20"/>
              </w:rPr>
              <w:t>货币型</w:t>
            </w:r>
          </w:p>
        </w:tc>
        <w:tc>
          <w:tcPr>
            <w:tcW w:w="2692"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 xml:space="preserve">0.36 </w:t>
            </w:r>
          </w:p>
        </w:tc>
        <w:tc>
          <w:tcPr>
            <w:tcW w:w="1919" w:type="dxa"/>
            <w:tcBorders>
              <w:top w:val="nil"/>
              <w:left w:val="nil"/>
              <w:bottom w:val="nil"/>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277</w:t>
            </w:r>
          </w:p>
        </w:tc>
      </w:tr>
      <w:tr w:rsidR="000F741C" w:rsidRPr="00D11FE4" w:rsidTr="00442BB8">
        <w:trPr>
          <w:trHeight w:val="286"/>
        </w:trPr>
        <w:tc>
          <w:tcPr>
            <w:tcW w:w="1975" w:type="dxa"/>
            <w:tcBorders>
              <w:top w:val="nil"/>
              <w:left w:val="nil"/>
              <w:bottom w:val="single" w:sz="8" w:space="0" w:color="F79646"/>
              <w:right w:val="nil"/>
            </w:tcBorders>
            <w:noWrap/>
            <w:vAlign w:val="bottom"/>
          </w:tcPr>
          <w:p w:rsidR="000F741C" w:rsidRPr="00442BB8" w:rsidRDefault="000F741C" w:rsidP="00442BB8">
            <w:pPr>
              <w:widowControl/>
              <w:rPr>
                <w:rFonts w:ascii="宋体" w:cs="宋体"/>
                <w:color w:val="000000"/>
                <w:kern w:val="0"/>
                <w:sz w:val="20"/>
                <w:szCs w:val="20"/>
              </w:rPr>
            </w:pPr>
            <w:r w:rsidRPr="00442BB8">
              <w:rPr>
                <w:rFonts w:ascii="宋体" w:hAnsi="宋体" w:cs="宋体"/>
                <w:color w:val="000000"/>
                <w:kern w:val="0"/>
                <w:sz w:val="20"/>
                <w:szCs w:val="20"/>
              </w:rPr>
              <w:t>QDII</w:t>
            </w:r>
          </w:p>
        </w:tc>
        <w:tc>
          <w:tcPr>
            <w:tcW w:w="2692" w:type="dxa"/>
            <w:tcBorders>
              <w:top w:val="nil"/>
              <w:left w:val="nil"/>
              <w:bottom w:val="single" w:sz="8" w:space="0" w:color="F79646"/>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 xml:space="preserve">0.21 </w:t>
            </w:r>
          </w:p>
        </w:tc>
        <w:tc>
          <w:tcPr>
            <w:tcW w:w="1919" w:type="dxa"/>
            <w:tcBorders>
              <w:top w:val="nil"/>
              <w:left w:val="nil"/>
              <w:bottom w:val="single" w:sz="8" w:space="0" w:color="F79646"/>
              <w:right w:val="nil"/>
            </w:tcBorders>
            <w:noWrap/>
            <w:vAlign w:val="bottom"/>
          </w:tcPr>
          <w:p w:rsidR="000F741C" w:rsidRPr="009A4AAB" w:rsidRDefault="000F741C">
            <w:pPr>
              <w:jc w:val="center"/>
              <w:rPr>
                <w:rFonts w:ascii="宋体" w:cs="宋体"/>
                <w:color w:val="000000"/>
                <w:sz w:val="18"/>
                <w:szCs w:val="18"/>
              </w:rPr>
            </w:pPr>
            <w:r w:rsidRPr="00D11FE4">
              <w:rPr>
                <w:color w:val="000000"/>
                <w:sz w:val="18"/>
                <w:szCs w:val="18"/>
              </w:rPr>
              <w:t>87</w:t>
            </w:r>
          </w:p>
        </w:tc>
      </w:tr>
      <w:tr w:rsidR="000F741C" w:rsidRPr="00D11FE4" w:rsidTr="00442BB8">
        <w:trPr>
          <w:trHeight w:val="271"/>
        </w:trPr>
        <w:tc>
          <w:tcPr>
            <w:tcW w:w="6586" w:type="dxa"/>
            <w:gridSpan w:val="3"/>
            <w:tcBorders>
              <w:top w:val="single" w:sz="8" w:space="0" w:color="F79646"/>
              <w:left w:val="nil"/>
              <w:bottom w:val="nil"/>
              <w:right w:val="nil"/>
            </w:tcBorders>
            <w:noWrap/>
            <w:vAlign w:val="bottom"/>
          </w:tcPr>
          <w:p w:rsidR="000F741C" w:rsidRPr="00442BB8" w:rsidRDefault="000F741C" w:rsidP="00442BB8">
            <w:pPr>
              <w:widowControl/>
              <w:jc w:val="left"/>
              <w:rPr>
                <w:rFonts w:ascii="宋体" w:cs="宋体"/>
                <w:color w:val="000000"/>
                <w:kern w:val="0"/>
                <w:sz w:val="20"/>
                <w:szCs w:val="20"/>
              </w:rPr>
            </w:pPr>
            <w:r w:rsidRPr="00442BB8">
              <w:rPr>
                <w:rFonts w:ascii="宋体" w:hAnsi="宋体" w:cs="宋体" w:hint="eastAsia"/>
                <w:color w:val="000000"/>
                <w:kern w:val="0"/>
                <w:sz w:val="20"/>
                <w:szCs w:val="20"/>
              </w:rPr>
              <w:t>注：统计口径不含分级基金子份额；采用简单平均计算方式</w:t>
            </w:r>
          </w:p>
        </w:tc>
      </w:tr>
      <w:tr w:rsidR="000F741C" w:rsidRPr="00D11FE4" w:rsidTr="00442BB8">
        <w:trPr>
          <w:trHeight w:val="286"/>
        </w:trPr>
        <w:tc>
          <w:tcPr>
            <w:tcW w:w="6586" w:type="dxa"/>
            <w:gridSpan w:val="3"/>
            <w:tcBorders>
              <w:top w:val="nil"/>
              <w:left w:val="nil"/>
              <w:bottom w:val="single" w:sz="8" w:space="0" w:color="F79646"/>
              <w:right w:val="nil"/>
            </w:tcBorders>
            <w:noWrap/>
            <w:vAlign w:val="bottom"/>
          </w:tcPr>
          <w:p w:rsidR="000F741C" w:rsidRPr="00442BB8" w:rsidRDefault="000F741C" w:rsidP="00442BB8">
            <w:pPr>
              <w:widowControl/>
              <w:jc w:val="left"/>
              <w:rPr>
                <w:rFonts w:ascii="宋体" w:cs="宋体"/>
                <w:color w:val="000000"/>
                <w:kern w:val="0"/>
                <w:sz w:val="20"/>
                <w:szCs w:val="20"/>
              </w:rPr>
            </w:pPr>
            <w:r w:rsidRPr="00442BB8">
              <w:rPr>
                <w:rFonts w:ascii="宋体" w:hAnsi="宋体" w:cs="宋体" w:hint="eastAsia"/>
                <w:color w:val="000000"/>
                <w:kern w:val="0"/>
                <w:sz w:val="20"/>
                <w:szCs w:val="20"/>
              </w:rPr>
              <w:t>来源：凯石财富工场</w:t>
            </w:r>
          </w:p>
        </w:tc>
      </w:tr>
    </w:tbl>
    <w:p w:rsidR="000F741C" w:rsidRDefault="000F741C" w:rsidP="00BC47C9">
      <w:pPr>
        <w:widowControl/>
        <w:spacing w:beforeLines="100" w:after="120" w:line="240" w:lineRule="exact"/>
        <w:rPr>
          <w:rFonts w:eastAsia="KaiTi_GB2312"/>
        </w:rPr>
      </w:pPr>
    </w:p>
    <w:p w:rsidR="000F741C" w:rsidRPr="008E35D6" w:rsidRDefault="000F741C" w:rsidP="00F74387">
      <w:pPr>
        <w:widowControl/>
        <w:spacing w:after="120" w:line="240" w:lineRule="exact"/>
        <w:ind w:left="3430"/>
        <w:rPr>
          <w:rFonts w:ascii="楷体" w:eastAsia="楷体" w:hAnsi="楷体"/>
          <w:b/>
          <w:bCs/>
          <w:color w:val="0070C0"/>
          <w:kern w:val="0"/>
          <w:szCs w:val="21"/>
          <w:lang w:val="en-GB"/>
        </w:rPr>
      </w:pPr>
      <w:r w:rsidRPr="008E35D6">
        <w:rPr>
          <w:rFonts w:ascii="楷体" w:eastAsia="楷体" w:hAnsi="楷体" w:hint="eastAsia"/>
          <w:b/>
          <w:bCs/>
          <w:color w:val="0070C0"/>
          <w:kern w:val="0"/>
          <w:szCs w:val="21"/>
          <w:lang w:val="en-GB"/>
        </w:rPr>
        <w:t>权益类基金：</w:t>
      </w:r>
      <w:r>
        <w:rPr>
          <w:rFonts w:ascii="楷体" w:eastAsia="楷体" w:hAnsi="楷体" w:hint="eastAsia"/>
          <w:b/>
          <w:bCs/>
          <w:color w:val="0070C0"/>
          <w:kern w:val="0"/>
          <w:szCs w:val="21"/>
          <w:lang w:val="en-GB"/>
        </w:rPr>
        <w:t>股指强势上涨</w:t>
      </w:r>
      <w:r w:rsidRPr="008E35D6">
        <w:rPr>
          <w:rFonts w:ascii="楷体" w:eastAsia="楷体" w:hAnsi="楷体" w:hint="eastAsia"/>
          <w:b/>
          <w:bCs/>
          <w:color w:val="0070C0"/>
          <w:kern w:val="0"/>
          <w:szCs w:val="21"/>
          <w:lang w:val="en-GB"/>
        </w:rPr>
        <w:t>，</w:t>
      </w:r>
      <w:r>
        <w:rPr>
          <w:rFonts w:ascii="楷体" w:eastAsia="楷体" w:hAnsi="楷体" w:hint="eastAsia"/>
          <w:b/>
          <w:bCs/>
          <w:color w:val="0070C0"/>
          <w:kern w:val="0"/>
          <w:szCs w:val="21"/>
          <w:lang w:val="en-GB"/>
        </w:rPr>
        <w:t>指数基金风头盛</w:t>
      </w:r>
    </w:p>
    <w:p w:rsidR="000F741C" w:rsidRPr="008E35D6" w:rsidRDefault="000F741C" w:rsidP="00F4743D">
      <w:pPr>
        <w:pStyle w:val="BodyText"/>
        <w:numPr>
          <w:ilvl w:val="4"/>
          <w:numId w:val="1"/>
        </w:numPr>
        <w:spacing w:after="163"/>
        <w:rPr>
          <w:rFonts w:ascii="楷体" w:eastAsia="楷体" w:hAnsi="楷体"/>
          <w:color w:val="auto"/>
        </w:rPr>
      </w:pPr>
      <w:r w:rsidRPr="008E35D6">
        <w:rPr>
          <w:rFonts w:ascii="楷体" w:eastAsia="楷体" w:hAnsi="楷体" w:cs="Arial"/>
          <w:color w:val="auto"/>
        </w:rPr>
        <w:t>2014</w:t>
      </w:r>
      <w:r w:rsidRPr="008E35D6">
        <w:rPr>
          <w:rFonts w:ascii="楷体" w:eastAsia="楷体" w:hAnsi="楷体" w:cs="Arial" w:hint="eastAsia"/>
          <w:color w:val="auto"/>
        </w:rPr>
        <w:t>年</w:t>
      </w:r>
      <w:r>
        <w:rPr>
          <w:rFonts w:ascii="楷体" w:eastAsia="楷体" w:hAnsi="楷体" w:cs="Arial"/>
          <w:color w:val="auto"/>
        </w:rPr>
        <w:t>11</w:t>
      </w:r>
      <w:r w:rsidRPr="008E35D6">
        <w:rPr>
          <w:rFonts w:ascii="楷体" w:eastAsia="楷体" w:hAnsi="楷体" w:cs="Arial" w:hint="eastAsia"/>
          <w:color w:val="auto"/>
        </w:rPr>
        <w:t>月</w:t>
      </w:r>
      <w:r>
        <w:rPr>
          <w:rFonts w:ascii="楷体" w:eastAsia="楷体" w:hAnsi="楷体" w:cs="Arial" w:hint="eastAsia"/>
          <w:color w:val="auto"/>
        </w:rPr>
        <w:t>实体经济地位筑底，稳增长政策加码，即基建审批提速后，央行于</w:t>
      </w:r>
      <w:r>
        <w:rPr>
          <w:rFonts w:ascii="楷体" w:eastAsia="楷体" w:hAnsi="楷体" w:cs="Arial"/>
          <w:color w:val="auto"/>
        </w:rPr>
        <w:t>11</w:t>
      </w:r>
      <w:r>
        <w:rPr>
          <w:rFonts w:ascii="楷体" w:eastAsia="楷体" w:hAnsi="楷体" w:cs="Arial" w:hint="eastAsia"/>
          <w:color w:val="auto"/>
        </w:rPr>
        <w:t>月下旬意外宣布降息，宽松预期增强，点燃投资者做多热情，在此背景下，</w:t>
      </w:r>
      <w:r w:rsidRPr="00525B93">
        <w:rPr>
          <w:rFonts w:ascii="楷体" w:eastAsia="楷体" w:hAnsi="楷体" w:cs="Arial" w:hint="eastAsia"/>
          <w:color w:val="auto"/>
        </w:rPr>
        <w:t>金融、地产等大盘蓝筹</w:t>
      </w:r>
      <w:r>
        <w:rPr>
          <w:rFonts w:ascii="楷体" w:eastAsia="楷体" w:hAnsi="楷体" w:cs="Arial" w:hint="eastAsia"/>
          <w:color w:val="auto"/>
        </w:rPr>
        <w:t>强势上攻，带动股指节节攀升，最终上证指数、深证综指月内</w:t>
      </w:r>
      <w:r w:rsidRPr="00525B93">
        <w:rPr>
          <w:rFonts w:ascii="楷体" w:eastAsia="楷体" w:hAnsi="楷体" w:cs="Arial" w:hint="eastAsia"/>
          <w:color w:val="auto"/>
        </w:rPr>
        <w:t>分别大涨</w:t>
      </w:r>
      <w:r w:rsidRPr="00525B93">
        <w:rPr>
          <w:rFonts w:ascii="楷体" w:eastAsia="楷体" w:hAnsi="楷体" w:cs="Arial"/>
          <w:color w:val="auto"/>
        </w:rPr>
        <w:t>10,85%</w:t>
      </w:r>
      <w:r w:rsidRPr="00525B93">
        <w:rPr>
          <w:rFonts w:ascii="楷体" w:eastAsia="楷体" w:hAnsi="楷体" w:cs="Arial" w:hint="eastAsia"/>
          <w:color w:val="auto"/>
        </w:rPr>
        <w:t>与</w:t>
      </w:r>
      <w:r w:rsidRPr="00525B93">
        <w:rPr>
          <w:rFonts w:ascii="楷体" w:eastAsia="楷体" w:hAnsi="楷体" w:cs="Arial"/>
          <w:color w:val="auto"/>
        </w:rPr>
        <w:t>5.17%</w:t>
      </w:r>
      <w:r w:rsidRPr="00525B93">
        <w:rPr>
          <w:rFonts w:ascii="楷体" w:eastAsia="楷体" w:hAnsi="楷体" w:cs="Arial" w:hint="eastAsia"/>
          <w:color w:val="auto"/>
        </w:rPr>
        <w:t>，市场赚钱效应</w:t>
      </w:r>
      <w:r>
        <w:rPr>
          <w:rFonts w:ascii="楷体" w:eastAsia="楷体" w:hAnsi="楷体" w:cs="Arial" w:hint="eastAsia"/>
          <w:color w:val="auto"/>
        </w:rPr>
        <w:t>再度</w:t>
      </w:r>
      <w:r w:rsidRPr="00525B93">
        <w:rPr>
          <w:rFonts w:ascii="楷体" w:eastAsia="楷体" w:hAnsi="楷体" w:cs="Arial" w:hint="eastAsia"/>
          <w:color w:val="auto"/>
        </w:rPr>
        <w:t>显现。</w:t>
      </w:r>
    </w:p>
    <w:p w:rsidR="000F741C" w:rsidRPr="008E35D6" w:rsidRDefault="000F741C" w:rsidP="00F4743D">
      <w:pPr>
        <w:pStyle w:val="BodyText"/>
        <w:numPr>
          <w:ilvl w:val="4"/>
          <w:numId w:val="1"/>
        </w:numPr>
        <w:spacing w:after="163"/>
        <w:rPr>
          <w:rFonts w:ascii="楷体" w:eastAsia="楷体" w:hAnsi="楷体"/>
          <w:color w:val="auto"/>
        </w:rPr>
      </w:pPr>
      <w:r>
        <w:rPr>
          <w:rFonts w:ascii="楷体" w:eastAsia="楷体" w:hAnsi="楷体"/>
          <w:color w:val="auto"/>
        </w:rPr>
        <w:t>11</w:t>
      </w:r>
      <w:r w:rsidRPr="008E35D6">
        <w:rPr>
          <w:rFonts w:ascii="楷体" w:eastAsia="楷体" w:hAnsi="楷体" w:hint="eastAsia"/>
          <w:color w:val="auto"/>
        </w:rPr>
        <w:t>月开放式偏股型基金净值平均上涨</w:t>
      </w:r>
      <w:r>
        <w:rPr>
          <w:rFonts w:ascii="楷体" w:eastAsia="楷体" w:hAnsi="楷体"/>
          <w:color w:val="auto"/>
        </w:rPr>
        <w:t>6.14</w:t>
      </w:r>
      <w:r w:rsidRPr="008E35D6">
        <w:rPr>
          <w:rFonts w:ascii="楷体" w:eastAsia="楷体" w:hAnsi="楷体"/>
          <w:color w:val="auto"/>
        </w:rPr>
        <w:t>%</w:t>
      </w:r>
      <w:r w:rsidRPr="008E35D6">
        <w:rPr>
          <w:rFonts w:ascii="楷体" w:eastAsia="楷体" w:hAnsi="楷体" w:hint="eastAsia"/>
          <w:color w:val="auto"/>
        </w:rPr>
        <w:t>，股票型基金平均上涨</w:t>
      </w:r>
      <w:r>
        <w:rPr>
          <w:rFonts w:ascii="楷体" w:eastAsia="楷体" w:hAnsi="楷体"/>
          <w:color w:val="auto"/>
        </w:rPr>
        <w:t>6.76</w:t>
      </w:r>
      <w:r w:rsidRPr="008E35D6">
        <w:rPr>
          <w:rFonts w:ascii="楷体" w:eastAsia="楷体" w:hAnsi="楷体"/>
          <w:color w:val="auto"/>
        </w:rPr>
        <w:t>%</w:t>
      </w:r>
      <w:r w:rsidRPr="008E35D6">
        <w:rPr>
          <w:rFonts w:ascii="楷体" w:eastAsia="楷体" w:hAnsi="楷体" w:hint="eastAsia"/>
          <w:color w:val="auto"/>
        </w:rPr>
        <w:t>，其中高仓位的指数型产品平均涨幅为</w:t>
      </w:r>
      <w:r>
        <w:rPr>
          <w:rFonts w:ascii="楷体" w:eastAsia="楷体" w:hAnsi="楷体"/>
          <w:color w:val="auto"/>
        </w:rPr>
        <w:t>8.25</w:t>
      </w:r>
      <w:r w:rsidRPr="008E35D6">
        <w:rPr>
          <w:rFonts w:ascii="楷体" w:eastAsia="楷体" w:hAnsi="楷体"/>
          <w:color w:val="auto"/>
        </w:rPr>
        <w:t>%</w:t>
      </w:r>
      <w:r w:rsidRPr="008E35D6">
        <w:rPr>
          <w:rFonts w:ascii="楷体" w:eastAsia="楷体" w:hAnsi="楷体" w:hint="eastAsia"/>
          <w:color w:val="auto"/>
        </w:rPr>
        <w:t>，</w:t>
      </w:r>
      <w:r>
        <w:rPr>
          <w:rFonts w:ascii="楷体" w:eastAsia="楷体" w:hAnsi="楷体" w:hint="eastAsia"/>
          <w:color w:val="auto"/>
        </w:rPr>
        <w:t>相较</w:t>
      </w:r>
      <w:r w:rsidRPr="008E35D6">
        <w:rPr>
          <w:rFonts w:ascii="楷体" w:eastAsia="楷体" w:hAnsi="楷体" w:hint="eastAsia"/>
          <w:color w:val="auto"/>
        </w:rPr>
        <w:t>主动股票基金</w:t>
      </w:r>
      <w:r>
        <w:rPr>
          <w:rFonts w:ascii="楷体" w:eastAsia="楷体" w:hAnsi="楷体"/>
          <w:color w:val="auto"/>
        </w:rPr>
        <w:t>5.80</w:t>
      </w:r>
      <w:r w:rsidRPr="008E35D6">
        <w:rPr>
          <w:rFonts w:ascii="楷体" w:eastAsia="楷体" w:hAnsi="楷体"/>
          <w:color w:val="auto"/>
        </w:rPr>
        <w:t>%</w:t>
      </w:r>
      <w:r w:rsidRPr="008E35D6">
        <w:rPr>
          <w:rFonts w:ascii="楷体" w:eastAsia="楷体" w:hAnsi="楷体" w:hint="eastAsia"/>
          <w:color w:val="auto"/>
        </w:rPr>
        <w:t>的平均业绩</w:t>
      </w:r>
      <w:r>
        <w:rPr>
          <w:rFonts w:ascii="楷体" w:eastAsia="楷体" w:hAnsi="楷体" w:hint="eastAsia"/>
          <w:color w:val="auto"/>
        </w:rPr>
        <w:t>具备明显优势</w:t>
      </w:r>
      <w:r w:rsidRPr="008E35D6">
        <w:rPr>
          <w:rFonts w:ascii="楷体" w:eastAsia="楷体" w:hAnsi="楷体" w:hint="eastAsia"/>
          <w:color w:val="auto"/>
        </w:rPr>
        <w:t>，此外混合型基金月内平均收益为</w:t>
      </w:r>
      <w:r>
        <w:rPr>
          <w:rFonts w:ascii="楷体" w:eastAsia="楷体" w:hAnsi="楷体"/>
          <w:color w:val="auto"/>
        </w:rPr>
        <w:t>4.83</w:t>
      </w:r>
      <w:r w:rsidRPr="008E35D6">
        <w:rPr>
          <w:rFonts w:ascii="楷体" w:eastAsia="楷体" w:hAnsi="楷体"/>
          <w:color w:val="auto"/>
        </w:rPr>
        <w:t>%</w:t>
      </w:r>
      <w:r w:rsidRPr="008E35D6">
        <w:rPr>
          <w:rFonts w:ascii="楷体" w:eastAsia="楷体" w:hAnsi="楷体" w:hint="eastAsia"/>
          <w:color w:val="auto"/>
        </w:rPr>
        <w:t>。</w:t>
      </w:r>
    </w:p>
    <w:p w:rsidR="000F741C" w:rsidRPr="0066024F" w:rsidRDefault="000F741C" w:rsidP="0066024F">
      <w:pPr>
        <w:pStyle w:val="BodyText"/>
        <w:numPr>
          <w:ilvl w:val="4"/>
          <w:numId w:val="1"/>
        </w:numPr>
        <w:spacing w:after="163"/>
        <w:rPr>
          <w:rFonts w:ascii="楷体" w:eastAsia="楷体" w:hAnsi="楷体"/>
          <w:color w:val="auto"/>
        </w:rPr>
      </w:pPr>
      <w:r w:rsidRPr="008E35D6">
        <w:rPr>
          <w:rFonts w:ascii="楷体" w:eastAsia="楷体" w:hAnsi="楷体" w:hint="eastAsia"/>
          <w:color w:val="auto"/>
        </w:rPr>
        <w:t>对于开放式</w:t>
      </w:r>
      <w:r w:rsidRPr="00337022">
        <w:rPr>
          <w:rFonts w:ascii="楷体" w:eastAsia="楷体" w:hAnsi="楷体" w:hint="eastAsia"/>
          <w:color w:val="auto"/>
        </w:rPr>
        <w:t>主动偏股产品（主动股票型、混合型）而言，</w:t>
      </w:r>
      <w:r>
        <w:rPr>
          <w:rFonts w:ascii="楷体" w:eastAsia="楷体" w:hAnsi="楷体" w:hint="eastAsia"/>
          <w:color w:val="auto"/>
        </w:rPr>
        <w:t>重配金融地产的价值型品种涨势喜人</w:t>
      </w:r>
      <w:r w:rsidRPr="0066024F">
        <w:rPr>
          <w:rFonts w:ascii="楷体" w:eastAsia="楷体" w:hAnsi="楷体" w:hint="eastAsia"/>
          <w:color w:val="auto"/>
        </w:rPr>
        <w:t>。从涨幅榜排位来看，</w:t>
      </w:r>
      <w:r>
        <w:rPr>
          <w:rFonts w:ascii="楷体" w:eastAsia="楷体" w:hAnsi="楷体" w:hint="eastAsia"/>
          <w:color w:val="auto"/>
        </w:rPr>
        <w:t>主题型基金工银金融地产月内净值飙升</w:t>
      </w:r>
      <w:r>
        <w:rPr>
          <w:rFonts w:ascii="楷体" w:eastAsia="楷体" w:hAnsi="楷体"/>
          <w:color w:val="auto"/>
        </w:rPr>
        <w:t>21.22%</w:t>
      </w:r>
      <w:r>
        <w:rPr>
          <w:rFonts w:ascii="楷体" w:eastAsia="楷体" w:hAnsi="楷体" w:hint="eastAsia"/>
          <w:color w:val="auto"/>
        </w:rPr>
        <w:t>，位居首位；价值风格突出的交银主题优选、汇丰晋信大盘股票、</w:t>
      </w:r>
      <w:r w:rsidRPr="00251D1F">
        <w:rPr>
          <w:rFonts w:ascii="楷体" w:eastAsia="楷体" w:hAnsi="楷体" w:hint="eastAsia"/>
          <w:color w:val="auto"/>
        </w:rPr>
        <w:t>金元惠理核心动力</w:t>
      </w:r>
      <w:r>
        <w:rPr>
          <w:rFonts w:ascii="楷体" w:eastAsia="楷体" w:hAnsi="楷体" w:hint="eastAsia"/>
          <w:color w:val="auto"/>
        </w:rPr>
        <w:t>等基金涨幅居前；此外重点关注信息技术的海富通国策导向、</w:t>
      </w:r>
      <w:r w:rsidRPr="00251D1F">
        <w:rPr>
          <w:rFonts w:ascii="楷体" w:eastAsia="楷体" w:hAnsi="楷体" w:hint="eastAsia"/>
          <w:color w:val="auto"/>
        </w:rPr>
        <w:t>金鹰策略配置</w:t>
      </w:r>
      <w:r>
        <w:rPr>
          <w:rFonts w:ascii="楷体" w:eastAsia="楷体" w:hAnsi="楷体" w:hint="eastAsia"/>
          <w:color w:val="auto"/>
        </w:rPr>
        <w:t>、</w:t>
      </w:r>
      <w:r w:rsidRPr="00251D1F">
        <w:rPr>
          <w:rFonts w:ascii="楷体" w:eastAsia="楷体" w:hAnsi="楷体" w:hint="eastAsia"/>
          <w:color w:val="auto"/>
        </w:rPr>
        <w:t>汇丰晋信科技先锋</w:t>
      </w:r>
      <w:r>
        <w:rPr>
          <w:rFonts w:ascii="楷体" w:eastAsia="楷体" w:hAnsi="楷体" w:hint="eastAsia"/>
          <w:color w:val="auto"/>
        </w:rPr>
        <w:t>、</w:t>
      </w:r>
      <w:r w:rsidRPr="00251D1F">
        <w:rPr>
          <w:rFonts w:ascii="楷体" w:eastAsia="楷体" w:hAnsi="楷体" w:hint="eastAsia"/>
          <w:color w:val="auto"/>
        </w:rPr>
        <w:t>兴全轻资产</w:t>
      </w:r>
      <w:r>
        <w:rPr>
          <w:rFonts w:ascii="楷体" w:eastAsia="楷体" w:hAnsi="楷体" w:hint="eastAsia"/>
          <w:color w:val="auto"/>
        </w:rPr>
        <w:t>等也有上佳表现。而医药医疗行业基金、对冲策略基金同期表现相对平淡</w:t>
      </w:r>
      <w:r w:rsidRPr="0066024F">
        <w:rPr>
          <w:rFonts w:ascii="楷体" w:eastAsia="楷体" w:hAnsi="楷体" w:hint="eastAsia"/>
          <w:color w:val="auto"/>
        </w:rPr>
        <w:t>。</w:t>
      </w:r>
    </w:p>
    <w:p w:rsidR="000F741C" w:rsidRPr="008E35D6" w:rsidRDefault="000F741C" w:rsidP="00F4743D">
      <w:pPr>
        <w:pStyle w:val="BodyText"/>
        <w:numPr>
          <w:ilvl w:val="4"/>
          <w:numId w:val="1"/>
        </w:numPr>
        <w:spacing w:after="163"/>
        <w:rPr>
          <w:rFonts w:ascii="楷体" w:eastAsia="楷体" w:hAnsi="楷体"/>
          <w:color w:val="auto"/>
        </w:rPr>
      </w:pPr>
      <w:r w:rsidRPr="008E35D6">
        <w:rPr>
          <w:rFonts w:ascii="楷体" w:eastAsia="楷体" w:hAnsi="楷体" w:hint="eastAsia"/>
          <w:color w:val="auto"/>
        </w:rPr>
        <w:t>就指数型产品而言，以金融、地产等行业指数或上述两类行业权重较大的价值风格指数为跟踪标的基金涨势突出，其中</w:t>
      </w:r>
      <w:r>
        <w:rPr>
          <w:rFonts w:ascii="楷体" w:eastAsia="楷体" w:hAnsi="楷体" w:hint="eastAsia"/>
          <w:color w:val="auto"/>
        </w:rPr>
        <w:t>易方达非银</w:t>
      </w:r>
      <w:r>
        <w:rPr>
          <w:rFonts w:ascii="楷体" w:eastAsia="楷体" w:hAnsi="楷体"/>
          <w:color w:val="auto"/>
        </w:rPr>
        <w:t>ETF</w:t>
      </w:r>
      <w:r w:rsidRPr="008E35D6">
        <w:rPr>
          <w:rFonts w:ascii="楷体" w:eastAsia="楷体" w:hAnsi="楷体" w:hint="eastAsia"/>
          <w:color w:val="auto"/>
        </w:rPr>
        <w:t>、</w:t>
      </w:r>
      <w:r>
        <w:rPr>
          <w:rFonts w:ascii="楷体" w:eastAsia="楷体" w:hAnsi="楷体" w:hint="eastAsia"/>
          <w:color w:val="auto"/>
        </w:rPr>
        <w:t>鹏华非银行</w:t>
      </w:r>
      <w:r w:rsidRPr="008E35D6">
        <w:rPr>
          <w:rFonts w:ascii="楷体" w:eastAsia="楷体" w:hAnsi="楷体" w:hint="eastAsia"/>
          <w:color w:val="auto"/>
        </w:rPr>
        <w:t>、</w:t>
      </w:r>
      <w:r>
        <w:rPr>
          <w:rFonts w:ascii="楷体" w:eastAsia="楷体" w:hAnsi="楷体" w:hint="eastAsia"/>
          <w:color w:val="auto"/>
        </w:rPr>
        <w:t>申万证券</w:t>
      </w:r>
      <w:r w:rsidRPr="008E35D6">
        <w:rPr>
          <w:rFonts w:ascii="楷体" w:eastAsia="楷体" w:hAnsi="楷体" w:hint="eastAsia"/>
          <w:color w:val="auto"/>
        </w:rPr>
        <w:t>、</w:t>
      </w:r>
      <w:r>
        <w:rPr>
          <w:rFonts w:ascii="楷体" w:eastAsia="楷体" w:hAnsi="楷体" w:hint="eastAsia"/>
          <w:color w:val="auto"/>
        </w:rPr>
        <w:t>国投金地</w:t>
      </w:r>
      <w:r>
        <w:rPr>
          <w:rFonts w:ascii="楷体" w:eastAsia="楷体" w:hAnsi="楷体"/>
          <w:color w:val="auto"/>
        </w:rPr>
        <w:t>ETF</w:t>
      </w:r>
      <w:r>
        <w:rPr>
          <w:rFonts w:ascii="楷体" w:eastAsia="楷体" w:hAnsi="楷体" w:hint="eastAsia"/>
          <w:color w:val="auto"/>
        </w:rPr>
        <w:t>及其联接基金</w:t>
      </w:r>
      <w:r w:rsidRPr="008E35D6">
        <w:rPr>
          <w:rFonts w:ascii="楷体" w:eastAsia="楷体" w:hAnsi="楷体" w:hint="eastAsia"/>
          <w:color w:val="auto"/>
        </w:rPr>
        <w:t>业绩表现突出；而</w:t>
      </w:r>
      <w:r>
        <w:rPr>
          <w:rFonts w:ascii="楷体" w:eastAsia="楷体" w:hAnsi="楷体" w:hint="eastAsia"/>
          <w:color w:val="auto"/>
        </w:rPr>
        <w:t>医药、军工</w:t>
      </w:r>
      <w:r w:rsidRPr="008E35D6">
        <w:rPr>
          <w:rFonts w:ascii="楷体" w:eastAsia="楷体" w:hAnsi="楷体" w:hint="eastAsia"/>
          <w:color w:val="auto"/>
        </w:rPr>
        <w:t>主题指数、中创指数基金则同期表现</w:t>
      </w:r>
      <w:r>
        <w:rPr>
          <w:rFonts w:ascii="楷体" w:eastAsia="楷体" w:hAnsi="楷体" w:hint="eastAsia"/>
          <w:color w:val="auto"/>
        </w:rPr>
        <w:t>相对滞后</w:t>
      </w:r>
      <w:r w:rsidRPr="008E35D6">
        <w:rPr>
          <w:rFonts w:ascii="楷体" w:eastAsia="楷体" w:hAnsi="楷体" w:hint="eastAsia"/>
          <w:color w:val="auto"/>
        </w:rPr>
        <w:t>。</w:t>
      </w:r>
    </w:p>
    <w:p w:rsidR="000F741C" w:rsidRPr="008E35D6" w:rsidRDefault="000F741C" w:rsidP="00E969EA">
      <w:pPr>
        <w:pStyle w:val="BodyText"/>
        <w:spacing w:after="163"/>
        <w:ind w:left="0"/>
        <w:rPr>
          <w:rFonts w:ascii="楷体" w:eastAsia="楷体" w:hAnsi="楷体"/>
          <w:color w:val="auto"/>
        </w:rPr>
      </w:pPr>
      <w:r>
        <w:rPr>
          <w:noProof/>
          <w:lang w:val="en-US"/>
        </w:rPr>
        <w:pict>
          <v:shape id="_x0000_s1036" type="#_x0000_t202" style="position:absolute;left:0;text-align:left;margin-left:284.55pt;margin-top:1.1pt;width:273.75pt;height:249pt;z-index:251658752" stroked="f">
            <v:textbox style="mso-next-textbox:#_x0000_s1036">
              <w:txbxContent>
                <w:tbl>
                  <w:tblPr>
                    <w:tblW w:w="5235" w:type="dxa"/>
                    <w:tblInd w:w="93" w:type="dxa"/>
                    <w:tblLook w:val="00A0"/>
                  </w:tblPr>
                  <w:tblGrid>
                    <w:gridCol w:w="958"/>
                    <w:gridCol w:w="2559"/>
                    <w:gridCol w:w="1022"/>
                    <w:gridCol w:w="696"/>
                  </w:tblGrid>
                  <w:tr w:rsidR="000F741C" w:rsidRPr="00D11FE4" w:rsidTr="00F4563C">
                    <w:trPr>
                      <w:trHeight w:val="284"/>
                    </w:trPr>
                    <w:tc>
                      <w:tcPr>
                        <w:tcW w:w="4539" w:type="dxa"/>
                        <w:gridSpan w:val="3"/>
                        <w:tcBorders>
                          <w:top w:val="single" w:sz="8" w:space="0" w:color="E46D0A"/>
                          <w:left w:val="nil"/>
                          <w:bottom w:val="single" w:sz="8" w:space="0" w:color="E46D0A"/>
                          <w:right w:val="nil"/>
                        </w:tcBorders>
                        <w:noWrap/>
                        <w:vAlign w:val="center"/>
                      </w:tcPr>
                      <w:p w:rsidR="000F741C" w:rsidRPr="00D11FE4" w:rsidRDefault="000F741C" w:rsidP="00F4563C">
                        <w:pPr>
                          <w:widowControl/>
                          <w:jc w:val="left"/>
                          <w:rPr>
                            <w:rFonts w:ascii="宋体" w:cs="宋体"/>
                            <w:b/>
                            <w:i/>
                            <w:iCs/>
                            <w:color w:val="E36C0A"/>
                            <w:kern w:val="0"/>
                            <w:sz w:val="20"/>
                            <w:szCs w:val="20"/>
                          </w:rPr>
                        </w:pPr>
                        <w:r w:rsidRPr="00D11FE4">
                          <w:rPr>
                            <w:rFonts w:ascii="宋体" w:hAnsi="宋体" w:cs="宋体" w:hint="eastAsia"/>
                            <w:b/>
                            <w:i/>
                            <w:iCs/>
                            <w:color w:val="E36C0A"/>
                            <w:sz w:val="20"/>
                          </w:rPr>
                          <w:t>图表</w:t>
                        </w:r>
                        <w:r w:rsidRPr="00D11FE4">
                          <w:rPr>
                            <w:rFonts w:ascii="宋体" w:hAnsi="宋体" w:cs="宋体"/>
                            <w:b/>
                            <w:i/>
                            <w:iCs/>
                            <w:color w:val="E36C0A"/>
                            <w:kern w:val="0"/>
                            <w:sz w:val="20"/>
                            <w:szCs w:val="20"/>
                          </w:rPr>
                          <w:t>3:2014</w:t>
                        </w:r>
                        <w:r w:rsidRPr="00D11FE4">
                          <w:rPr>
                            <w:rFonts w:ascii="宋体" w:hAnsi="宋体" w:cs="宋体" w:hint="eastAsia"/>
                            <w:b/>
                            <w:i/>
                            <w:iCs/>
                            <w:color w:val="E36C0A"/>
                            <w:kern w:val="0"/>
                            <w:sz w:val="20"/>
                            <w:szCs w:val="20"/>
                          </w:rPr>
                          <w:t>年</w:t>
                        </w:r>
                        <w:r w:rsidRPr="00D11FE4">
                          <w:rPr>
                            <w:rFonts w:ascii="宋体" w:hAnsi="宋体" w:cs="宋体"/>
                            <w:b/>
                            <w:i/>
                            <w:iCs/>
                            <w:color w:val="E36C0A"/>
                            <w:kern w:val="0"/>
                            <w:sz w:val="20"/>
                            <w:szCs w:val="20"/>
                          </w:rPr>
                          <w:t>11</w:t>
                        </w:r>
                        <w:r w:rsidRPr="00D11FE4">
                          <w:rPr>
                            <w:rFonts w:ascii="宋体" w:hAnsi="宋体" w:cs="宋体" w:hint="eastAsia"/>
                            <w:b/>
                            <w:i/>
                            <w:iCs/>
                            <w:color w:val="E36C0A"/>
                            <w:kern w:val="0"/>
                            <w:sz w:val="20"/>
                            <w:szCs w:val="20"/>
                          </w:rPr>
                          <w:t>月指数型产品前十</w:t>
                        </w:r>
                      </w:p>
                    </w:tc>
                    <w:tc>
                      <w:tcPr>
                        <w:tcW w:w="696" w:type="dxa"/>
                        <w:tcBorders>
                          <w:top w:val="single" w:sz="8" w:space="0" w:color="E46D0A"/>
                          <w:left w:val="nil"/>
                          <w:bottom w:val="single" w:sz="8" w:space="0" w:color="E46D0A"/>
                          <w:right w:val="nil"/>
                        </w:tcBorders>
                        <w:noWrap/>
                        <w:vAlign w:val="bottom"/>
                      </w:tcPr>
                      <w:p w:rsidR="000F741C" w:rsidRPr="003072DB" w:rsidRDefault="000F741C"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r>
                  <w:tr w:rsidR="000F741C" w:rsidRPr="00D11FE4" w:rsidTr="003072DB">
                    <w:trPr>
                      <w:trHeight w:val="434"/>
                    </w:trPr>
                    <w:tc>
                      <w:tcPr>
                        <w:tcW w:w="958"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市场代码</w:t>
                        </w:r>
                      </w:p>
                    </w:tc>
                    <w:tc>
                      <w:tcPr>
                        <w:tcW w:w="2559"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基金名称</w:t>
                        </w:r>
                      </w:p>
                    </w:tc>
                    <w:tc>
                      <w:tcPr>
                        <w:tcW w:w="1022" w:type="dxa"/>
                        <w:tcBorders>
                          <w:top w:val="nil"/>
                          <w:left w:val="nil"/>
                          <w:bottom w:val="single" w:sz="8" w:space="0" w:color="E46D0A"/>
                          <w:right w:val="nil"/>
                        </w:tcBorders>
                        <w:vAlign w:val="center"/>
                      </w:tcPr>
                      <w:p w:rsidR="000F741C" w:rsidRPr="003072DB" w:rsidRDefault="000F741C" w:rsidP="003072DB">
                        <w:pPr>
                          <w:widowControl/>
                          <w:jc w:val="center"/>
                          <w:rPr>
                            <w:rFonts w:ascii="宋体" w:cs="宋体"/>
                            <w:color w:val="000000"/>
                            <w:kern w:val="0"/>
                            <w:sz w:val="16"/>
                            <w:szCs w:val="16"/>
                          </w:rPr>
                        </w:pPr>
                        <w:r>
                          <w:rPr>
                            <w:rFonts w:ascii="宋体" w:hAnsi="宋体" w:cs="宋体"/>
                            <w:color w:val="000000"/>
                            <w:kern w:val="0"/>
                            <w:sz w:val="16"/>
                            <w:szCs w:val="16"/>
                          </w:rPr>
                          <w:t>11</w:t>
                        </w:r>
                        <w:r>
                          <w:rPr>
                            <w:rFonts w:ascii="宋体" w:hAnsi="宋体" w:cs="宋体" w:hint="eastAsia"/>
                            <w:color w:val="000000"/>
                            <w:kern w:val="0"/>
                            <w:sz w:val="16"/>
                            <w:szCs w:val="16"/>
                          </w:rPr>
                          <w:t>月</w:t>
                        </w:r>
                        <w:r w:rsidRPr="003072DB">
                          <w:rPr>
                            <w:rFonts w:ascii="宋体" w:hAnsi="宋体" w:cs="宋体" w:hint="eastAsia"/>
                            <w:color w:val="000000"/>
                            <w:kern w:val="0"/>
                            <w:sz w:val="16"/>
                            <w:szCs w:val="16"/>
                          </w:rPr>
                          <w:t>业绩（</w:t>
                        </w:r>
                        <w:r w:rsidRPr="003072DB">
                          <w:rPr>
                            <w:rFonts w:ascii="宋体" w:hAnsi="宋体" w:cs="宋体"/>
                            <w:color w:val="000000"/>
                            <w:kern w:val="0"/>
                            <w:sz w:val="16"/>
                            <w:szCs w:val="16"/>
                          </w:rPr>
                          <w:t>%</w:t>
                        </w:r>
                        <w:r w:rsidRPr="003072DB">
                          <w:rPr>
                            <w:rFonts w:ascii="宋体" w:hAnsi="宋体" w:cs="宋体" w:hint="eastAsia"/>
                            <w:color w:val="000000"/>
                            <w:kern w:val="0"/>
                            <w:sz w:val="16"/>
                            <w:szCs w:val="16"/>
                          </w:rPr>
                          <w:t>）</w:t>
                        </w:r>
                      </w:p>
                    </w:tc>
                    <w:tc>
                      <w:tcPr>
                        <w:tcW w:w="696"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排名</w:t>
                        </w:r>
                      </w:p>
                    </w:tc>
                  </w:tr>
                  <w:tr w:rsidR="000F741C" w:rsidRPr="00D11FE4" w:rsidTr="003072DB">
                    <w:trPr>
                      <w:trHeight w:val="269"/>
                    </w:trPr>
                    <w:tc>
                      <w:tcPr>
                        <w:tcW w:w="958"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512070</w:t>
                        </w:r>
                      </w:p>
                    </w:tc>
                    <w:tc>
                      <w:tcPr>
                        <w:tcW w:w="255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易方达非银</w:t>
                        </w:r>
                        <w:r w:rsidRPr="00D11FE4">
                          <w:rPr>
                            <w:color w:val="000000"/>
                            <w:sz w:val="16"/>
                            <w:szCs w:val="16"/>
                          </w:rPr>
                          <w:t>ETF</w:t>
                        </w:r>
                      </w:p>
                    </w:tc>
                    <w:tc>
                      <w:tcPr>
                        <w:tcW w:w="1022"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30.06</w:t>
                        </w:r>
                      </w:p>
                    </w:tc>
                    <w:tc>
                      <w:tcPr>
                        <w:tcW w:w="69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w:t>
                        </w:r>
                      </w:p>
                    </w:tc>
                  </w:tr>
                  <w:tr w:rsidR="000F741C" w:rsidRPr="00D11FE4" w:rsidTr="003072DB">
                    <w:trPr>
                      <w:trHeight w:val="269"/>
                    </w:trPr>
                    <w:tc>
                      <w:tcPr>
                        <w:tcW w:w="958"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160625</w:t>
                        </w:r>
                      </w:p>
                    </w:tc>
                    <w:tc>
                      <w:tcPr>
                        <w:tcW w:w="255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鹏华非银行</w:t>
                        </w:r>
                      </w:p>
                    </w:tc>
                    <w:tc>
                      <w:tcPr>
                        <w:tcW w:w="1022"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25.41</w:t>
                        </w:r>
                      </w:p>
                    </w:tc>
                    <w:tc>
                      <w:tcPr>
                        <w:tcW w:w="69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2</w:t>
                        </w:r>
                      </w:p>
                    </w:tc>
                  </w:tr>
                  <w:tr w:rsidR="000F741C" w:rsidRPr="00D11FE4" w:rsidTr="003072DB">
                    <w:trPr>
                      <w:trHeight w:val="269"/>
                    </w:trPr>
                    <w:tc>
                      <w:tcPr>
                        <w:tcW w:w="958"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163113</w:t>
                        </w:r>
                      </w:p>
                    </w:tc>
                    <w:tc>
                      <w:tcPr>
                        <w:tcW w:w="255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申万证券</w:t>
                        </w:r>
                      </w:p>
                    </w:tc>
                    <w:tc>
                      <w:tcPr>
                        <w:tcW w:w="1022"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24.79</w:t>
                        </w:r>
                      </w:p>
                    </w:tc>
                    <w:tc>
                      <w:tcPr>
                        <w:tcW w:w="69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3</w:t>
                        </w:r>
                      </w:p>
                    </w:tc>
                  </w:tr>
                  <w:tr w:rsidR="000F741C" w:rsidRPr="00D11FE4" w:rsidTr="003072DB">
                    <w:trPr>
                      <w:trHeight w:val="269"/>
                    </w:trPr>
                    <w:tc>
                      <w:tcPr>
                        <w:tcW w:w="958"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159933</w:t>
                        </w:r>
                      </w:p>
                    </w:tc>
                    <w:tc>
                      <w:tcPr>
                        <w:tcW w:w="255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国投金地</w:t>
                        </w:r>
                        <w:r w:rsidRPr="00D11FE4">
                          <w:rPr>
                            <w:color w:val="000000"/>
                            <w:sz w:val="16"/>
                            <w:szCs w:val="16"/>
                          </w:rPr>
                          <w:t>ETF</w:t>
                        </w:r>
                      </w:p>
                    </w:tc>
                    <w:tc>
                      <w:tcPr>
                        <w:tcW w:w="1022"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21.65</w:t>
                        </w:r>
                      </w:p>
                    </w:tc>
                    <w:tc>
                      <w:tcPr>
                        <w:tcW w:w="69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4</w:t>
                        </w:r>
                      </w:p>
                    </w:tc>
                  </w:tr>
                  <w:tr w:rsidR="000F741C" w:rsidRPr="00D11FE4" w:rsidTr="003072DB">
                    <w:trPr>
                      <w:trHeight w:val="269"/>
                    </w:trPr>
                    <w:tc>
                      <w:tcPr>
                        <w:tcW w:w="958"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161211</w:t>
                        </w:r>
                      </w:p>
                    </w:tc>
                    <w:tc>
                      <w:tcPr>
                        <w:tcW w:w="255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国投金地</w:t>
                        </w:r>
                        <w:r w:rsidRPr="00D11FE4">
                          <w:rPr>
                            <w:color w:val="000000"/>
                            <w:sz w:val="16"/>
                            <w:szCs w:val="16"/>
                          </w:rPr>
                          <w:t>ETF</w:t>
                        </w:r>
                        <w:r w:rsidRPr="00D11FE4">
                          <w:rPr>
                            <w:rFonts w:hint="eastAsia"/>
                            <w:color w:val="000000"/>
                            <w:sz w:val="16"/>
                            <w:szCs w:val="16"/>
                          </w:rPr>
                          <w:t>联接</w:t>
                        </w:r>
                      </w:p>
                    </w:tc>
                    <w:tc>
                      <w:tcPr>
                        <w:tcW w:w="1022"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20.97</w:t>
                        </w:r>
                      </w:p>
                    </w:tc>
                    <w:tc>
                      <w:tcPr>
                        <w:tcW w:w="69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w:t>
                        </w:r>
                      </w:p>
                    </w:tc>
                  </w:tr>
                  <w:tr w:rsidR="000F741C" w:rsidRPr="00D11FE4" w:rsidTr="003072DB">
                    <w:trPr>
                      <w:trHeight w:val="269"/>
                    </w:trPr>
                    <w:tc>
                      <w:tcPr>
                        <w:tcW w:w="958"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510230</w:t>
                        </w:r>
                      </w:p>
                    </w:tc>
                    <w:tc>
                      <w:tcPr>
                        <w:tcW w:w="255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国泰上证</w:t>
                        </w:r>
                        <w:r w:rsidRPr="00D11FE4">
                          <w:rPr>
                            <w:color w:val="000000"/>
                            <w:sz w:val="16"/>
                            <w:szCs w:val="16"/>
                          </w:rPr>
                          <w:t>180</w:t>
                        </w:r>
                        <w:r w:rsidRPr="00D11FE4">
                          <w:rPr>
                            <w:rFonts w:hint="eastAsia"/>
                            <w:color w:val="000000"/>
                            <w:sz w:val="16"/>
                            <w:szCs w:val="16"/>
                          </w:rPr>
                          <w:t>金融</w:t>
                        </w:r>
                        <w:r w:rsidRPr="00D11FE4">
                          <w:rPr>
                            <w:color w:val="000000"/>
                            <w:sz w:val="16"/>
                            <w:szCs w:val="16"/>
                          </w:rPr>
                          <w:t>ETF</w:t>
                        </w:r>
                      </w:p>
                    </w:tc>
                    <w:tc>
                      <w:tcPr>
                        <w:tcW w:w="1022"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20.91</w:t>
                        </w:r>
                      </w:p>
                    </w:tc>
                    <w:tc>
                      <w:tcPr>
                        <w:tcW w:w="69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6</w:t>
                        </w:r>
                      </w:p>
                    </w:tc>
                  </w:tr>
                  <w:tr w:rsidR="000F741C" w:rsidRPr="00D11FE4" w:rsidTr="003072DB">
                    <w:trPr>
                      <w:trHeight w:val="269"/>
                    </w:trPr>
                    <w:tc>
                      <w:tcPr>
                        <w:tcW w:w="958"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159931</w:t>
                        </w:r>
                      </w:p>
                    </w:tc>
                    <w:tc>
                      <w:tcPr>
                        <w:tcW w:w="255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添富金融</w:t>
                        </w:r>
                        <w:r w:rsidRPr="00D11FE4">
                          <w:rPr>
                            <w:color w:val="000000"/>
                            <w:sz w:val="16"/>
                            <w:szCs w:val="16"/>
                          </w:rPr>
                          <w:t>ETF</w:t>
                        </w:r>
                      </w:p>
                    </w:tc>
                    <w:tc>
                      <w:tcPr>
                        <w:tcW w:w="1022"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20.73</w:t>
                        </w:r>
                      </w:p>
                    </w:tc>
                    <w:tc>
                      <w:tcPr>
                        <w:tcW w:w="69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7</w:t>
                        </w:r>
                      </w:p>
                    </w:tc>
                  </w:tr>
                  <w:tr w:rsidR="000F741C" w:rsidRPr="00D11FE4" w:rsidTr="003072DB">
                    <w:trPr>
                      <w:trHeight w:val="269"/>
                    </w:trPr>
                    <w:tc>
                      <w:tcPr>
                        <w:tcW w:w="958"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510650</w:t>
                        </w:r>
                      </w:p>
                    </w:tc>
                    <w:tc>
                      <w:tcPr>
                        <w:tcW w:w="255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rFonts w:hint="eastAsia"/>
                            <w:color w:val="000000"/>
                            <w:sz w:val="16"/>
                            <w:szCs w:val="16"/>
                          </w:rPr>
                          <w:t>华夏金融</w:t>
                        </w:r>
                        <w:r w:rsidRPr="00D11FE4">
                          <w:rPr>
                            <w:color w:val="000000"/>
                            <w:sz w:val="16"/>
                            <w:szCs w:val="16"/>
                          </w:rPr>
                          <w:t>ETF</w:t>
                        </w:r>
                      </w:p>
                    </w:tc>
                    <w:tc>
                      <w:tcPr>
                        <w:tcW w:w="1022"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20.58</w:t>
                        </w:r>
                      </w:p>
                    </w:tc>
                    <w:tc>
                      <w:tcPr>
                        <w:tcW w:w="69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8</w:t>
                        </w:r>
                      </w:p>
                    </w:tc>
                  </w:tr>
                  <w:tr w:rsidR="000F741C" w:rsidRPr="00D11FE4" w:rsidTr="003072DB">
                    <w:trPr>
                      <w:trHeight w:val="269"/>
                    </w:trPr>
                    <w:tc>
                      <w:tcPr>
                        <w:tcW w:w="958"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165521</w:t>
                        </w:r>
                      </w:p>
                    </w:tc>
                    <w:tc>
                      <w:tcPr>
                        <w:tcW w:w="255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信诚金融</w:t>
                        </w:r>
                      </w:p>
                    </w:tc>
                    <w:tc>
                      <w:tcPr>
                        <w:tcW w:w="1022"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20.33</w:t>
                        </w:r>
                      </w:p>
                    </w:tc>
                    <w:tc>
                      <w:tcPr>
                        <w:tcW w:w="69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9</w:t>
                        </w:r>
                      </w:p>
                    </w:tc>
                  </w:tr>
                  <w:tr w:rsidR="000F741C" w:rsidRPr="00D11FE4" w:rsidTr="003072DB">
                    <w:trPr>
                      <w:trHeight w:val="284"/>
                    </w:trPr>
                    <w:tc>
                      <w:tcPr>
                        <w:tcW w:w="958" w:type="dxa"/>
                        <w:tcBorders>
                          <w:top w:val="nil"/>
                          <w:left w:val="nil"/>
                          <w:bottom w:val="single" w:sz="8" w:space="0" w:color="E46D0A"/>
                          <w:right w:val="nil"/>
                        </w:tcBorders>
                        <w:noWrap/>
                        <w:vAlign w:val="center"/>
                      </w:tcPr>
                      <w:p w:rsidR="000F741C" w:rsidRDefault="000F741C">
                        <w:pPr>
                          <w:jc w:val="center"/>
                          <w:rPr>
                            <w:rFonts w:cs="宋体"/>
                            <w:color w:val="000000"/>
                            <w:sz w:val="16"/>
                            <w:szCs w:val="16"/>
                          </w:rPr>
                        </w:pPr>
                        <w:r w:rsidRPr="00D11FE4">
                          <w:rPr>
                            <w:color w:val="000000"/>
                            <w:sz w:val="16"/>
                            <w:szCs w:val="16"/>
                          </w:rPr>
                          <w:t>512640</w:t>
                        </w:r>
                      </w:p>
                    </w:tc>
                    <w:tc>
                      <w:tcPr>
                        <w:tcW w:w="2559" w:type="dxa"/>
                        <w:tcBorders>
                          <w:top w:val="nil"/>
                          <w:left w:val="nil"/>
                          <w:bottom w:val="single" w:sz="8" w:space="0" w:color="E46D0A"/>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嘉实金融地产</w:t>
                        </w:r>
                        <w:r w:rsidRPr="00D11FE4">
                          <w:rPr>
                            <w:color w:val="000000"/>
                            <w:sz w:val="16"/>
                            <w:szCs w:val="16"/>
                          </w:rPr>
                          <w:t>ETF</w:t>
                        </w:r>
                      </w:p>
                    </w:tc>
                    <w:tc>
                      <w:tcPr>
                        <w:tcW w:w="1022" w:type="dxa"/>
                        <w:tcBorders>
                          <w:top w:val="nil"/>
                          <w:left w:val="nil"/>
                          <w:bottom w:val="single" w:sz="8" w:space="0" w:color="E46D0A"/>
                          <w:right w:val="nil"/>
                        </w:tcBorders>
                        <w:noWrap/>
                        <w:vAlign w:val="center"/>
                      </w:tcPr>
                      <w:p w:rsidR="000F741C" w:rsidRDefault="000F741C">
                        <w:pPr>
                          <w:jc w:val="center"/>
                          <w:rPr>
                            <w:rFonts w:cs="宋体"/>
                            <w:color w:val="000000"/>
                            <w:sz w:val="16"/>
                            <w:szCs w:val="16"/>
                          </w:rPr>
                        </w:pPr>
                        <w:r w:rsidRPr="00D11FE4">
                          <w:rPr>
                            <w:color w:val="000000"/>
                            <w:sz w:val="16"/>
                            <w:szCs w:val="16"/>
                          </w:rPr>
                          <w:t>20.07</w:t>
                        </w:r>
                      </w:p>
                    </w:tc>
                    <w:tc>
                      <w:tcPr>
                        <w:tcW w:w="696" w:type="dxa"/>
                        <w:tcBorders>
                          <w:top w:val="nil"/>
                          <w:left w:val="nil"/>
                          <w:bottom w:val="single" w:sz="8" w:space="0" w:color="E46D0A"/>
                          <w:right w:val="nil"/>
                        </w:tcBorders>
                        <w:noWrap/>
                        <w:vAlign w:val="center"/>
                      </w:tcPr>
                      <w:p w:rsidR="000F741C" w:rsidRDefault="000F741C">
                        <w:pPr>
                          <w:jc w:val="center"/>
                          <w:rPr>
                            <w:rFonts w:cs="宋体"/>
                            <w:color w:val="000000"/>
                            <w:sz w:val="16"/>
                            <w:szCs w:val="16"/>
                          </w:rPr>
                        </w:pPr>
                        <w:r w:rsidRPr="00D11FE4">
                          <w:rPr>
                            <w:color w:val="000000"/>
                            <w:sz w:val="16"/>
                            <w:szCs w:val="16"/>
                          </w:rPr>
                          <w:t>10</w:t>
                        </w:r>
                      </w:p>
                    </w:tc>
                  </w:tr>
                  <w:tr w:rsidR="000F741C" w:rsidRPr="00D11FE4" w:rsidTr="003072DB">
                    <w:trPr>
                      <w:trHeight w:val="284"/>
                    </w:trPr>
                    <w:tc>
                      <w:tcPr>
                        <w:tcW w:w="3517" w:type="dxa"/>
                        <w:gridSpan w:val="2"/>
                        <w:tcBorders>
                          <w:top w:val="single" w:sz="8" w:space="0" w:color="E46D0A"/>
                          <w:left w:val="nil"/>
                          <w:bottom w:val="single" w:sz="8" w:space="0" w:color="E46D0A"/>
                          <w:right w:val="nil"/>
                        </w:tcBorders>
                        <w:noWrap/>
                        <w:vAlign w:val="center"/>
                      </w:tcPr>
                      <w:p w:rsidR="000F741C" w:rsidRPr="003072DB" w:rsidRDefault="000F741C"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来源：凯石财富工场</w:t>
                        </w:r>
                      </w:p>
                    </w:tc>
                    <w:tc>
                      <w:tcPr>
                        <w:tcW w:w="1022"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8"/>
                            <w:szCs w:val="18"/>
                          </w:rPr>
                        </w:pPr>
                        <w:r w:rsidRPr="003072DB">
                          <w:rPr>
                            <w:rFonts w:ascii="宋体" w:hAnsi="宋体" w:cs="宋体" w:hint="eastAsia"/>
                            <w:color w:val="000000"/>
                            <w:kern w:val="0"/>
                            <w:sz w:val="18"/>
                            <w:szCs w:val="18"/>
                          </w:rPr>
                          <w:t xml:space="preserve">　</w:t>
                        </w:r>
                      </w:p>
                    </w:tc>
                    <w:tc>
                      <w:tcPr>
                        <w:tcW w:w="696"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8"/>
                            <w:szCs w:val="18"/>
                          </w:rPr>
                        </w:pPr>
                        <w:r w:rsidRPr="003072DB">
                          <w:rPr>
                            <w:rFonts w:ascii="宋体" w:hAnsi="宋体" w:cs="宋体" w:hint="eastAsia"/>
                            <w:color w:val="000000"/>
                            <w:kern w:val="0"/>
                            <w:sz w:val="18"/>
                            <w:szCs w:val="18"/>
                          </w:rPr>
                          <w:t xml:space="preserve">　</w:t>
                        </w:r>
                      </w:p>
                    </w:tc>
                  </w:tr>
                </w:tbl>
                <w:p w:rsidR="000F741C" w:rsidRDefault="000F741C"/>
              </w:txbxContent>
            </v:textbox>
          </v:shape>
        </w:pict>
      </w:r>
      <w:r>
        <w:rPr>
          <w:noProof/>
          <w:lang w:val="en-US"/>
        </w:rPr>
        <w:pict>
          <v:shape id="_x0000_s1037" type="#_x0000_t202" style="position:absolute;left:0;text-align:left;margin-left:-7.95pt;margin-top:1.1pt;width:287.25pt;height:249pt;z-index:251657728" stroked="f">
            <v:textbox style="mso-next-textbox:#_x0000_s1037">
              <w:txbxContent>
                <w:tbl>
                  <w:tblPr>
                    <w:tblW w:w="5430" w:type="dxa"/>
                    <w:tblInd w:w="93" w:type="dxa"/>
                    <w:tblLook w:val="00A0"/>
                  </w:tblPr>
                  <w:tblGrid>
                    <w:gridCol w:w="999"/>
                    <w:gridCol w:w="2789"/>
                    <w:gridCol w:w="1036"/>
                    <w:gridCol w:w="606"/>
                  </w:tblGrid>
                  <w:tr w:rsidR="000F741C" w:rsidRPr="00D11FE4" w:rsidTr="003072DB">
                    <w:trPr>
                      <w:trHeight w:val="305"/>
                    </w:trPr>
                    <w:tc>
                      <w:tcPr>
                        <w:tcW w:w="4824" w:type="dxa"/>
                        <w:gridSpan w:val="3"/>
                        <w:tcBorders>
                          <w:top w:val="single" w:sz="8" w:space="0" w:color="E46D0A"/>
                          <w:left w:val="nil"/>
                          <w:bottom w:val="single" w:sz="8" w:space="0" w:color="E46D0A"/>
                          <w:right w:val="nil"/>
                        </w:tcBorders>
                        <w:noWrap/>
                        <w:vAlign w:val="center"/>
                      </w:tcPr>
                      <w:p w:rsidR="000F741C" w:rsidRPr="00D11FE4" w:rsidRDefault="000F741C" w:rsidP="00F4563C">
                        <w:pPr>
                          <w:widowControl/>
                          <w:jc w:val="left"/>
                          <w:rPr>
                            <w:rFonts w:ascii="宋体" w:cs="宋体"/>
                            <w:b/>
                            <w:i/>
                            <w:iCs/>
                            <w:color w:val="E36C0A"/>
                            <w:kern w:val="0"/>
                            <w:sz w:val="20"/>
                            <w:szCs w:val="20"/>
                          </w:rPr>
                        </w:pPr>
                        <w:r w:rsidRPr="00D11FE4">
                          <w:rPr>
                            <w:rFonts w:ascii="宋体" w:hAnsi="宋体" w:cs="宋体" w:hint="eastAsia"/>
                            <w:b/>
                            <w:i/>
                            <w:iCs/>
                            <w:color w:val="E36C0A"/>
                            <w:sz w:val="20"/>
                          </w:rPr>
                          <w:t>图表</w:t>
                        </w:r>
                        <w:r w:rsidRPr="00D11FE4">
                          <w:rPr>
                            <w:rFonts w:ascii="宋体" w:hAnsi="宋体" w:cs="宋体"/>
                            <w:b/>
                            <w:i/>
                            <w:iCs/>
                            <w:color w:val="E36C0A"/>
                            <w:kern w:val="0"/>
                            <w:sz w:val="20"/>
                            <w:szCs w:val="20"/>
                          </w:rPr>
                          <w:t>2:2014</w:t>
                        </w:r>
                        <w:r w:rsidRPr="00D11FE4">
                          <w:rPr>
                            <w:rFonts w:ascii="宋体" w:hAnsi="宋体" w:cs="宋体" w:hint="eastAsia"/>
                            <w:b/>
                            <w:i/>
                            <w:iCs/>
                            <w:color w:val="E36C0A"/>
                            <w:kern w:val="0"/>
                            <w:sz w:val="20"/>
                            <w:szCs w:val="20"/>
                          </w:rPr>
                          <w:t>年</w:t>
                        </w:r>
                        <w:r w:rsidRPr="00D11FE4">
                          <w:rPr>
                            <w:rFonts w:ascii="宋体" w:hAnsi="宋体" w:cs="宋体"/>
                            <w:b/>
                            <w:i/>
                            <w:iCs/>
                            <w:color w:val="E36C0A"/>
                            <w:kern w:val="0"/>
                            <w:sz w:val="20"/>
                            <w:szCs w:val="20"/>
                          </w:rPr>
                          <w:t>11</w:t>
                        </w:r>
                        <w:r w:rsidRPr="00D11FE4">
                          <w:rPr>
                            <w:rFonts w:ascii="宋体" w:hAnsi="宋体" w:cs="宋体" w:hint="eastAsia"/>
                            <w:b/>
                            <w:i/>
                            <w:iCs/>
                            <w:color w:val="E36C0A"/>
                            <w:kern w:val="0"/>
                            <w:sz w:val="20"/>
                            <w:szCs w:val="20"/>
                          </w:rPr>
                          <w:t>月开放式主动偏股产品前十</w:t>
                        </w:r>
                      </w:p>
                    </w:tc>
                    <w:tc>
                      <w:tcPr>
                        <w:tcW w:w="606" w:type="dxa"/>
                        <w:tcBorders>
                          <w:top w:val="single" w:sz="8" w:space="0" w:color="E46D0A"/>
                          <w:left w:val="nil"/>
                          <w:bottom w:val="single" w:sz="8" w:space="0" w:color="E46D0A"/>
                          <w:right w:val="nil"/>
                        </w:tcBorders>
                        <w:noWrap/>
                        <w:vAlign w:val="bottom"/>
                      </w:tcPr>
                      <w:p w:rsidR="000F741C" w:rsidRPr="003072DB" w:rsidRDefault="000F741C"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r>
                  <w:tr w:rsidR="000F741C" w:rsidRPr="00D11FE4" w:rsidTr="003072DB">
                    <w:trPr>
                      <w:trHeight w:val="501"/>
                    </w:trPr>
                    <w:tc>
                      <w:tcPr>
                        <w:tcW w:w="999"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市场代码</w:t>
                        </w:r>
                      </w:p>
                    </w:tc>
                    <w:tc>
                      <w:tcPr>
                        <w:tcW w:w="2789"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基金名称</w:t>
                        </w:r>
                      </w:p>
                    </w:tc>
                    <w:tc>
                      <w:tcPr>
                        <w:tcW w:w="1036" w:type="dxa"/>
                        <w:tcBorders>
                          <w:top w:val="nil"/>
                          <w:left w:val="nil"/>
                          <w:bottom w:val="single" w:sz="8" w:space="0" w:color="E46D0A"/>
                          <w:right w:val="nil"/>
                        </w:tcBorders>
                        <w:vAlign w:val="center"/>
                      </w:tcPr>
                      <w:p w:rsidR="000F741C" w:rsidRPr="003072DB" w:rsidRDefault="000F741C" w:rsidP="003072DB">
                        <w:pPr>
                          <w:widowControl/>
                          <w:jc w:val="center"/>
                          <w:rPr>
                            <w:rFonts w:ascii="宋体" w:cs="宋体"/>
                            <w:color w:val="000000"/>
                            <w:kern w:val="0"/>
                            <w:sz w:val="16"/>
                            <w:szCs w:val="16"/>
                          </w:rPr>
                        </w:pPr>
                        <w:r>
                          <w:rPr>
                            <w:rFonts w:ascii="宋体" w:hAnsi="宋体" w:cs="宋体"/>
                            <w:color w:val="000000"/>
                            <w:kern w:val="0"/>
                            <w:sz w:val="16"/>
                            <w:szCs w:val="16"/>
                          </w:rPr>
                          <w:t>11</w:t>
                        </w:r>
                        <w:r>
                          <w:rPr>
                            <w:rFonts w:ascii="宋体" w:hAnsi="宋体" w:cs="宋体" w:hint="eastAsia"/>
                            <w:color w:val="000000"/>
                            <w:kern w:val="0"/>
                            <w:sz w:val="16"/>
                            <w:szCs w:val="16"/>
                          </w:rPr>
                          <w:t>月</w:t>
                        </w:r>
                        <w:r w:rsidRPr="003072DB">
                          <w:rPr>
                            <w:rFonts w:ascii="宋体" w:hAnsi="宋体" w:cs="宋体" w:hint="eastAsia"/>
                            <w:color w:val="000000"/>
                            <w:kern w:val="0"/>
                            <w:sz w:val="16"/>
                            <w:szCs w:val="16"/>
                          </w:rPr>
                          <w:t>业绩（</w:t>
                        </w:r>
                        <w:r w:rsidRPr="003072DB">
                          <w:rPr>
                            <w:rFonts w:ascii="宋体" w:hAnsi="宋体" w:cs="宋体"/>
                            <w:color w:val="000000"/>
                            <w:kern w:val="0"/>
                            <w:sz w:val="16"/>
                            <w:szCs w:val="16"/>
                          </w:rPr>
                          <w:t>%</w:t>
                        </w:r>
                        <w:r w:rsidRPr="003072DB">
                          <w:rPr>
                            <w:rFonts w:ascii="宋体" w:hAnsi="宋体" w:cs="宋体" w:hint="eastAsia"/>
                            <w:color w:val="000000"/>
                            <w:kern w:val="0"/>
                            <w:sz w:val="16"/>
                            <w:szCs w:val="16"/>
                          </w:rPr>
                          <w:t>）</w:t>
                        </w:r>
                      </w:p>
                    </w:tc>
                    <w:tc>
                      <w:tcPr>
                        <w:tcW w:w="606"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排名</w:t>
                        </w:r>
                      </w:p>
                    </w:tc>
                  </w:tr>
                  <w:tr w:rsidR="000F741C" w:rsidRPr="00D11FE4" w:rsidTr="003072DB">
                    <w:trPr>
                      <w:trHeight w:val="289"/>
                    </w:trPr>
                    <w:tc>
                      <w:tcPr>
                        <w:tcW w:w="99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000251</w:t>
                        </w:r>
                      </w:p>
                    </w:tc>
                    <w:tc>
                      <w:tcPr>
                        <w:tcW w:w="278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工银金融地产</w:t>
                        </w:r>
                      </w:p>
                    </w:tc>
                    <w:tc>
                      <w:tcPr>
                        <w:tcW w:w="103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21.22</w:t>
                        </w:r>
                      </w:p>
                    </w:tc>
                    <w:tc>
                      <w:tcPr>
                        <w:tcW w:w="60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w:t>
                        </w:r>
                      </w:p>
                    </w:tc>
                  </w:tr>
                  <w:tr w:rsidR="000F741C" w:rsidRPr="00D11FE4" w:rsidTr="003072DB">
                    <w:trPr>
                      <w:trHeight w:val="289"/>
                    </w:trPr>
                    <w:tc>
                      <w:tcPr>
                        <w:tcW w:w="99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519700</w:t>
                        </w:r>
                      </w:p>
                    </w:tc>
                    <w:tc>
                      <w:tcPr>
                        <w:tcW w:w="278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交银主题优选混合</w:t>
                        </w:r>
                      </w:p>
                    </w:tc>
                    <w:tc>
                      <w:tcPr>
                        <w:tcW w:w="103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19.95</w:t>
                        </w:r>
                      </w:p>
                    </w:tc>
                    <w:tc>
                      <w:tcPr>
                        <w:tcW w:w="60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2</w:t>
                        </w:r>
                      </w:p>
                    </w:tc>
                  </w:tr>
                  <w:tr w:rsidR="000F741C" w:rsidRPr="00D11FE4" w:rsidTr="003072DB">
                    <w:trPr>
                      <w:trHeight w:val="289"/>
                    </w:trPr>
                    <w:tc>
                      <w:tcPr>
                        <w:tcW w:w="99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163822</w:t>
                        </w:r>
                      </w:p>
                    </w:tc>
                    <w:tc>
                      <w:tcPr>
                        <w:tcW w:w="278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中银主题策略股票</w:t>
                        </w:r>
                      </w:p>
                    </w:tc>
                    <w:tc>
                      <w:tcPr>
                        <w:tcW w:w="103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18.35</w:t>
                        </w:r>
                      </w:p>
                    </w:tc>
                    <w:tc>
                      <w:tcPr>
                        <w:tcW w:w="60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3</w:t>
                        </w:r>
                      </w:p>
                    </w:tc>
                  </w:tr>
                  <w:tr w:rsidR="000F741C" w:rsidRPr="00D11FE4" w:rsidTr="003072DB">
                    <w:trPr>
                      <w:trHeight w:val="289"/>
                    </w:trPr>
                    <w:tc>
                      <w:tcPr>
                        <w:tcW w:w="99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519033</w:t>
                        </w:r>
                      </w:p>
                    </w:tc>
                    <w:tc>
                      <w:tcPr>
                        <w:tcW w:w="278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海富通国策导向股票</w:t>
                        </w:r>
                      </w:p>
                    </w:tc>
                    <w:tc>
                      <w:tcPr>
                        <w:tcW w:w="103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18.28</w:t>
                        </w:r>
                      </w:p>
                    </w:tc>
                    <w:tc>
                      <w:tcPr>
                        <w:tcW w:w="60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4</w:t>
                        </w:r>
                      </w:p>
                    </w:tc>
                  </w:tr>
                  <w:tr w:rsidR="000F741C" w:rsidRPr="00D11FE4" w:rsidTr="003072DB">
                    <w:trPr>
                      <w:trHeight w:val="289"/>
                    </w:trPr>
                    <w:tc>
                      <w:tcPr>
                        <w:tcW w:w="99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210008</w:t>
                        </w:r>
                      </w:p>
                    </w:tc>
                    <w:tc>
                      <w:tcPr>
                        <w:tcW w:w="278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金鹰策略配置股票</w:t>
                        </w:r>
                      </w:p>
                    </w:tc>
                    <w:tc>
                      <w:tcPr>
                        <w:tcW w:w="103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18.23</w:t>
                        </w:r>
                      </w:p>
                    </w:tc>
                    <w:tc>
                      <w:tcPr>
                        <w:tcW w:w="60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w:t>
                        </w:r>
                      </w:p>
                    </w:tc>
                  </w:tr>
                  <w:tr w:rsidR="000F741C" w:rsidRPr="00D11FE4" w:rsidTr="003072DB">
                    <w:trPr>
                      <w:trHeight w:val="289"/>
                    </w:trPr>
                    <w:tc>
                      <w:tcPr>
                        <w:tcW w:w="99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540010</w:t>
                        </w:r>
                      </w:p>
                    </w:tc>
                    <w:tc>
                      <w:tcPr>
                        <w:tcW w:w="278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汇丰晋信科技先锋股票</w:t>
                        </w:r>
                      </w:p>
                    </w:tc>
                    <w:tc>
                      <w:tcPr>
                        <w:tcW w:w="103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18.19</w:t>
                        </w:r>
                      </w:p>
                    </w:tc>
                    <w:tc>
                      <w:tcPr>
                        <w:tcW w:w="60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6</w:t>
                        </w:r>
                      </w:p>
                    </w:tc>
                  </w:tr>
                  <w:tr w:rsidR="000F741C" w:rsidRPr="00D11FE4" w:rsidTr="003072DB">
                    <w:trPr>
                      <w:trHeight w:val="289"/>
                    </w:trPr>
                    <w:tc>
                      <w:tcPr>
                        <w:tcW w:w="99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163412</w:t>
                        </w:r>
                      </w:p>
                    </w:tc>
                    <w:tc>
                      <w:tcPr>
                        <w:tcW w:w="278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兴全轻资产股票（</w:t>
                        </w:r>
                        <w:r w:rsidRPr="00D11FE4">
                          <w:rPr>
                            <w:color w:val="000000"/>
                            <w:sz w:val="16"/>
                            <w:szCs w:val="16"/>
                          </w:rPr>
                          <w:t>LOF</w:t>
                        </w:r>
                        <w:r w:rsidRPr="00D11FE4">
                          <w:rPr>
                            <w:rFonts w:hint="eastAsia"/>
                            <w:color w:val="000000"/>
                            <w:sz w:val="16"/>
                            <w:szCs w:val="16"/>
                          </w:rPr>
                          <w:t>）</w:t>
                        </w:r>
                      </w:p>
                    </w:tc>
                    <w:tc>
                      <w:tcPr>
                        <w:tcW w:w="103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17.29</w:t>
                        </w:r>
                      </w:p>
                    </w:tc>
                    <w:tc>
                      <w:tcPr>
                        <w:tcW w:w="60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7</w:t>
                        </w:r>
                      </w:p>
                    </w:tc>
                  </w:tr>
                  <w:tr w:rsidR="000F741C" w:rsidRPr="00D11FE4" w:rsidTr="003072DB">
                    <w:trPr>
                      <w:trHeight w:val="289"/>
                    </w:trPr>
                    <w:tc>
                      <w:tcPr>
                        <w:tcW w:w="99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540006</w:t>
                        </w:r>
                      </w:p>
                    </w:tc>
                    <w:tc>
                      <w:tcPr>
                        <w:tcW w:w="278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汇丰晋信大盘股票</w:t>
                        </w:r>
                      </w:p>
                    </w:tc>
                    <w:tc>
                      <w:tcPr>
                        <w:tcW w:w="103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17</w:t>
                        </w:r>
                      </w:p>
                    </w:tc>
                    <w:tc>
                      <w:tcPr>
                        <w:tcW w:w="60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8</w:t>
                        </w:r>
                      </w:p>
                    </w:tc>
                  </w:tr>
                  <w:tr w:rsidR="000F741C" w:rsidRPr="00D11FE4" w:rsidTr="003072DB">
                    <w:trPr>
                      <w:trHeight w:val="289"/>
                    </w:trPr>
                    <w:tc>
                      <w:tcPr>
                        <w:tcW w:w="99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620005</w:t>
                        </w:r>
                      </w:p>
                    </w:tc>
                    <w:tc>
                      <w:tcPr>
                        <w:tcW w:w="2789"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金元惠理核心动力股票</w:t>
                        </w:r>
                      </w:p>
                    </w:tc>
                    <w:tc>
                      <w:tcPr>
                        <w:tcW w:w="103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16.75</w:t>
                        </w:r>
                      </w:p>
                    </w:tc>
                    <w:tc>
                      <w:tcPr>
                        <w:tcW w:w="60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9</w:t>
                        </w:r>
                      </w:p>
                    </w:tc>
                  </w:tr>
                  <w:tr w:rsidR="000F741C" w:rsidRPr="00D11FE4" w:rsidTr="003072DB">
                    <w:trPr>
                      <w:trHeight w:val="305"/>
                    </w:trPr>
                    <w:tc>
                      <w:tcPr>
                        <w:tcW w:w="999" w:type="dxa"/>
                        <w:tcBorders>
                          <w:top w:val="nil"/>
                          <w:left w:val="nil"/>
                          <w:bottom w:val="single" w:sz="8" w:space="0" w:color="E46D0A"/>
                          <w:right w:val="nil"/>
                        </w:tcBorders>
                        <w:noWrap/>
                        <w:vAlign w:val="center"/>
                      </w:tcPr>
                      <w:p w:rsidR="000F741C" w:rsidRDefault="000F741C">
                        <w:pPr>
                          <w:jc w:val="center"/>
                          <w:rPr>
                            <w:rFonts w:cs="宋体"/>
                            <w:color w:val="000000"/>
                            <w:sz w:val="16"/>
                            <w:szCs w:val="16"/>
                          </w:rPr>
                        </w:pPr>
                        <w:r w:rsidRPr="00D11FE4">
                          <w:rPr>
                            <w:color w:val="000000"/>
                            <w:sz w:val="16"/>
                            <w:szCs w:val="16"/>
                          </w:rPr>
                          <w:t>540002</w:t>
                        </w:r>
                      </w:p>
                    </w:tc>
                    <w:tc>
                      <w:tcPr>
                        <w:tcW w:w="2789" w:type="dxa"/>
                        <w:tcBorders>
                          <w:top w:val="nil"/>
                          <w:left w:val="nil"/>
                          <w:bottom w:val="single" w:sz="8" w:space="0" w:color="E46D0A"/>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汇丰晋信龙腾股票</w:t>
                        </w:r>
                      </w:p>
                    </w:tc>
                    <w:tc>
                      <w:tcPr>
                        <w:tcW w:w="1036" w:type="dxa"/>
                        <w:tcBorders>
                          <w:top w:val="nil"/>
                          <w:left w:val="nil"/>
                          <w:bottom w:val="single" w:sz="8" w:space="0" w:color="E46D0A"/>
                          <w:right w:val="nil"/>
                        </w:tcBorders>
                        <w:noWrap/>
                        <w:vAlign w:val="center"/>
                      </w:tcPr>
                      <w:p w:rsidR="000F741C" w:rsidRDefault="000F741C">
                        <w:pPr>
                          <w:jc w:val="center"/>
                          <w:rPr>
                            <w:rFonts w:cs="宋体"/>
                            <w:color w:val="000000"/>
                            <w:sz w:val="16"/>
                            <w:szCs w:val="16"/>
                          </w:rPr>
                        </w:pPr>
                        <w:r w:rsidRPr="00D11FE4">
                          <w:rPr>
                            <w:color w:val="000000"/>
                            <w:sz w:val="16"/>
                            <w:szCs w:val="16"/>
                          </w:rPr>
                          <w:t>16.52</w:t>
                        </w:r>
                      </w:p>
                    </w:tc>
                    <w:tc>
                      <w:tcPr>
                        <w:tcW w:w="606" w:type="dxa"/>
                        <w:tcBorders>
                          <w:top w:val="nil"/>
                          <w:left w:val="nil"/>
                          <w:bottom w:val="single" w:sz="8" w:space="0" w:color="E46D0A"/>
                          <w:right w:val="nil"/>
                        </w:tcBorders>
                        <w:noWrap/>
                        <w:vAlign w:val="center"/>
                      </w:tcPr>
                      <w:p w:rsidR="000F741C" w:rsidRDefault="000F741C">
                        <w:pPr>
                          <w:jc w:val="center"/>
                          <w:rPr>
                            <w:rFonts w:cs="宋体"/>
                            <w:color w:val="000000"/>
                            <w:sz w:val="16"/>
                            <w:szCs w:val="16"/>
                          </w:rPr>
                        </w:pPr>
                        <w:r w:rsidRPr="00D11FE4">
                          <w:rPr>
                            <w:color w:val="000000"/>
                            <w:sz w:val="16"/>
                            <w:szCs w:val="16"/>
                          </w:rPr>
                          <w:t>10</w:t>
                        </w:r>
                      </w:p>
                    </w:tc>
                  </w:tr>
                  <w:tr w:rsidR="000F741C" w:rsidRPr="00D11FE4" w:rsidTr="003072DB">
                    <w:trPr>
                      <w:trHeight w:val="305"/>
                    </w:trPr>
                    <w:tc>
                      <w:tcPr>
                        <w:tcW w:w="5430" w:type="dxa"/>
                        <w:gridSpan w:val="4"/>
                        <w:tcBorders>
                          <w:top w:val="nil"/>
                          <w:left w:val="nil"/>
                          <w:bottom w:val="nil"/>
                          <w:right w:val="nil"/>
                        </w:tcBorders>
                        <w:noWrap/>
                        <w:vAlign w:val="center"/>
                      </w:tcPr>
                      <w:p w:rsidR="000F741C" w:rsidRPr="003072DB" w:rsidRDefault="000F741C"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注：开放式主动偏股产品包含开放主动股票型及混合型</w:t>
                        </w:r>
                      </w:p>
                    </w:tc>
                  </w:tr>
                  <w:tr w:rsidR="000F741C" w:rsidRPr="00D11FE4" w:rsidTr="003072DB">
                    <w:trPr>
                      <w:trHeight w:val="305"/>
                    </w:trPr>
                    <w:tc>
                      <w:tcPr>
                        <w:tcW w:w="3788" w:type="dxa"/>
                        <w:gridSpan w:val="2"/>
                        <w:tcBorders>
                          <w:top w:val="nil"/>
                          <w:left w:val="nil"/>
                          <w:bottom w:val="single" w:sz="8" w:space="0" w:color="E46D0A"/>
                          <w:right w:val="nil"/>
                        </w:tcBorders>
                        <w:noWrap/>
                        <w:vAlign w:val="center"/>
                      </w:tcPr>
                      <w:p w:rsidR="000F741C" w:rsidRPr="003072DB" w:rsidRDefault="000F741C"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来源：凯石财富工场</w:t>
                        </w:r>
                      </w:p>
                    </w:tc>
                    <w:tc>
                      <w:tcPr>
                        <w:tcW w:w="1036"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 xml:space="preserve">　</w:t>
                        </w:r>
                      </w:p>
                    </w:tc>
                    <w:tc>
                      <w:tcPr>
                        <w:tcW w:w="606"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 xml:space="preserve">　</w:t>
                        </w:r>
                      </w:p>
                    </w:tc>
                  </w:tr>
                </w:tbl>
                <w:p w:rsidR="000F741C" w:rsidRDefault="000F741C"/>
              </w:txbxContent>
            </v:textbox>
          </v:shape>
        </w:pict>
      </w:r>
    </w:p>
    <w:p w:rsidR="000F741C" w:rsidRPr="008E35D6" w:rsidRDefault="000F741C" w:rsidP="00E969EA">
      <w:pPr>
        <w:pStyle w:val="BodyText"/>
        <w:spacing w:after="163"/>
        <w:ind w:left="0"/>
        <w:rPr>
          <w:rFonts w:ascii="楷体" w:eastAsia="楷体" w:hAnsi="楷体"/>
          <w:color w:val="auto"/>
        </w:rPr>
      </w:pPr>
    </w:p>
    <w:p w:rsidR="000F741C" w:rsidRPr="008E35D6" w:rsidRDefault="000F741C" w:rsidP="00E969EA">
      <w:pPr>
        <w:pStyle w:val="BodyText"/>
        <w:spacing w:after="163"/>
        <w:ind w:left="0"/>
        <w:rPr>
          <w:rFonts w:ascii="楷体" w:eastAsia="楷体" w:hAnsi="楷体"/>
          <w:color w:val="auto"/>
        </w:rPr>
      </w:pPr>
    </w:p>
    <w:p w:rsidR="000F741C" w:rsidRPr="008E35D6" w:rsidRDefault="000F741C" w:rsidP="00E969EA">
      <w:pPr>
        <w:pStyle w:val="BodyText"/>
        <w:spacing w:after="163"/>
        <w:ind w:left="0"/>
        <w:rPr>
          <w:rFonts w:ascii="楷体" w:eastAsia="楷体" w:hAnsi="楷体"/>
          <w:color w:val="auto"/>
        </w:rPr>
      </w:pPr>
    </w:p>
    <w:p w:rsidR="000F741C" w:rsidRPr="008E35D6" w:rsidRDefault="000F741C" w:rsidP="00E969EA">
      <w:pPr>
        <w:pStyle w:val="BodyText"/>
        <w:spacing w:after="163"/>
        <w:ind w:left="0"/>
        <w:rPr>
          <w:rFonts w:ascii="楷体" w:eastAsia="楷体" w:hAnsi="楷体"/>
          <w:color w:val="auto"/>
        </w:rPr>
      </w:pPr>
    </w:p>
    <w:p w:rsidR="000F741C" w:rsidRPr="008E35D6" w:rsidRDefault="000F741C" w:rsidP="00E969EA">
      <w:pPr>
        <w:pStyle w:val="BodyText"/>
        <w:spacing w:after="163"/>
        <w:ind w:left="0"/>
        <w:rPr>
          <w:rFonts w:ascii="楷体" w:eastAsia="楷体" w:hAnsi="楷体"/>
          <w:color w:val="auto"/>
        </w:rPr>
      </w:pPr>
    </w:p>
    <w:p w:rsidR="000F741C" w:rsidRPr="008E35D6" w:rsidRDefault="000F741C" w:rsidP="00E969EA">
      <w:pPr>
        <w:pStyle w:val="BodyText"/>
        <w:spacing w:after="163"/>
        <w:ind w:left="0"/>
        <w:rPr>
          <w:rFonts w:ascii="楷体" w:eastAsia="楷体" w:hAnsi="楷体"/>
          <w:color w:val="auto"/>
        </w:rPr>
      </w:pPr>
    </w:p>
    <w:p w:rsidR="000F741C" w:rsidRPr="008E35D6" w:rsidRDefault="000F741C" w:rsidP="00E969EA">
      <w:pPr>
        <w:pStyle w:val="BodyText"/>
        <w:spacing w:after="163"/>
        <w:ind w:left="0"/>
        <w:rPr>
          <w:rFonts w:ascii="楷体" w:eastAsia="楷体" w:hAnsi="楷体"/>
          <w:color w:val="auto"/>
        </w:rPr>
      </w:pPr>
    </w:p>
    <w:p w:rsidR="000F741C" w:rsidRPr="008E35D6" w:rsidRDefault="000F741C" w:rsidP="00E969EA">
      <w:pPr>
        <w:pStyle w:val="BodyText"/>
        <w:spacing w:after="163"/>
        <w:ind w:left="0"/>
        <w:rPr>
          <w:rFonts w:ascii="楷体" w:eastAsia="楷体" w:hAnsi="楷体"/>
          <w:color w:val="auto"/>
        </w:rPr>
      </w:pPr>
    </w:p>
    <w:p w:rsidR="000F741C" w:rsidRPr="008E35D6" w:rsidRDefault="000F741C" w:rsidP="00E969EA">
      <w:pPr>
        <w:pStyle w:val="BodyText"/>
        <w:spacing w:after="163"/>
        <w:ind w:left="0"/>
        <w:rPr>
          <w:rFonts w:ascii="楷体" w:eastAsia="楷体" w:hAnsi="楷体"/>
          <w:color w:val="auto"/>
        </w:rPr>
      </w:pPr>
    </w:p>
    <w:p w:rsidR="000F741C" w:rsidRPr="008E35D6" w:rsidRDefault="000F741C" w:rsidP="00E969EA">
      <w:pPr>
        <w:pStyle w:val="BodyText"/>
        <w:spacing w:after="163"/>
        <w:ind w:left="0"/>
        <w:rPr>
          <w:rFonts w:ascii="楷体" w:eastAsia="楷体" w:hAnsi="楷体"/>
          <w:color w:val="auto"/>
        </w:rPr>
      </w:pPr>
    </w:p>
    <w:p w:rsidR="000F741C" w:rsidRPr="008E35D6" w:rsidRDefault="000F741C" w:rsidP="00E969EA">
      <w:pPr>
        <w:pStyle w:val="BodyText"/>
        <w:spacing w:after="163"/>
        <w:ind w:left="0"/>
        <w:rPr>
          <w:rFonts w:ascii="楷体" w:eastAsia="楷体" w:hAnsi="楷体"/>
          <w:color w:val="auto"/>
        </w:rPr>
      </w:pPr>
    </w:p>
    <w:p w:rsidR="000F741C" w:rsidRPr="008E35D6" w:rsidRDefault="000F741C" w:rsidP="00E969EA">
      <w:pPr>
        <w:pStyle w:val="BodyText"/>
        <w:spacing w:after="163"/>
        <w:ind w:left="0"/>
        <w:rPr>
          <w:rFonts w:ascii="楷体" w:eastAsia="楷体" w:hAnsi="楷体"/>
          <w:color w:val="auto"/>
        </w:rPr>
      </w:pPr>
    </w:p>
    <w:p w:rsidR="000F741C" w:rsidRPr="008E35D6" w:rsidRDefault="000F741C" w:rsidP="0035104D">
      <w:pPr>
        <w:widowControl/>
        <w:spacing w:after="120" w:line="240" w:lineRule="exact"/>
        <w:ind w:left="3430"/>
        <w:rPr>
          <w:rFonts w:ascii="楷体" w:eastAsia="楷体" w:hAnsi="楷体"/>
          <w:b/>
          <w:bCs/>
          <w:color w:val="0070C0"/>
          <w:kern w:val="0"/>
          <w:szCs w:val="21"/>
          <w:lang w:val="en-GB"/>
        </w:rPr>
      </w:pPr>
      <w:r w:rsidRPr="008E35D6">
        <w:rPr>
          <w:rFonts w:ascii="楷体" w:eastAsia="楷体" w:hAnsi="楷体" w:hint="eastAsia"/>
          <w:b/>
          <w:bCs/>
          <w:color w:val="0070C0"/>
          <w:kern w:val="0"/>
          <w:szCs w:val="21"/>
          <w:lang w:val="en-GB"/>
        </w:rPr>
        <w:t>固收类基金：</w:t>
      </w:r>
      <w:r>
        <w:rPr>
          <w:rFonts w:ascii="楷体" w:eastAsia="楷体" w:hAnsi="楷体" w:hint="eastAsia"/>
          <w:b/>
          <w:bCs/>
          <w:color w:val="0070C0"/>
          <w:kern w:val="0"/>
          <w:szCs w:val="21"/>
          <w:lang w:val="en-GB"/>
        </w:rPr>
        <w:t>可转债基领衔</w:t>
      </w:r>
      <w:r w:rsidRPr="008E35D6">
        <w:rPr>
          <w:rFonts w:ascii="楷体" w:eastAsia="楷体" w:hAnsi="楷体" w:hint="eastAsia"/>
          <w:b/>
          <w:bCs/>
          <w:color w:val="0070C0"/>
          <w:kern w:val="0"/>
          <w:szCs w:val="21"/>
          <w:lang w:val="en-GB"/>
        </w:rPr>
        <w:t>，</w:t>
      </w:r>
      <w:r>
        <w:rPr>
          <w:rFonts w:ascii="楷体" w:eastAsia="楷体" w:hAnsi="楷体" w:hint="eastAsia"/>
          <w:b/>
          <w:bCs/>
          <w:color w:val="0070C0"/>
          <w:kern w:val="0"/>
          <w:szCs w:val="21"/>
          <w:lang w:val="en-GB"/>
        </w:rPr>
        <w:t>债券基金再迎普涨</w:t>
      </w:r>
      <w:r w:rsidRPr="008E35D6">
        <w:rPr>
          <w:rFonts w:ascii="楷体" w:eastAsia="楷体" w:hAnsi="楷体"/>
          <w:b/>
          <w:bCs/>
          <w:color w:val="0070C0"/>
          <w:kern w:val="0"/>
          <w:szCs w:val="21"/>
          <w:lang w:val="en-GB"/>
        </w:rPr>
        <w:t xml:space="preserve"> </w:t>
      </w:r>
    </w:p>
    <w:p w:rsidR="000F741C" w:rsidRPr="00F168FE" w:rsidRDefault="000F741C" w:rsidP="00F168FE">
      <w:pPr>
        <w:pStyle w:val="BodyText"/>
        <w:numPr>
          <w:ilvl w:val="4"/>
          <w:numId w:val="1"/>
        </w:numPr>
        <w:spacing w:after="163"/>
        <w:rPr>
          <w:rFonts w:ascii="楷体" w:eastAsia="楷体" w:hAnsi="楷体"/>
          <w:color w:val="auto"/>
        </w:rPr>
      </w:pPr>
      <w:r w:rsidRPr="00F168FE">
        <w:rPr>
          <w:rFonts w:ascii="楷体" w:eastAsia="楷体" w:hAnsi="楷体" w:hint="eastAsia"/>
          <w:color w:val="auto"/>
        </w:rPr>
        <w:t>短期经济数据仍显疲态，政策刺激加码，央行祭出降息利剑，并在公开市场操作中进一步下调正回购利率，债市延续强势格局。统计显示</w:t>
      </w:r>
      <w:r w:rsidRPr="00F168FE">
        <w:rPr>
          <w:rFonts w:ascii="楷体" w:eastAsia="楷体" w:hAnsi="楷体"/>
          <w:color w:val="auto"/>
        </w:rPr>
        <w:t>691</w:t>
      </w:r>
      <w:r w:rsidRPr="00F168FE">
        <w:rPr>
          <w:rFonts w:ascii="楷体" w:eastAsia="楷体" w:hAnsi="楷体" w:hint="eastAsia"/>
          <w:color w:val="auto"/>
        </w:rPr>
        <w:t>只债券型基金（不含理财债基）</w:t>
      </w:r>
      <w:r w:rsidRPr="00F168FE">
        <w:rPr>
          <w:rFonts w:ascii="楷体" w:eastAsia="楷体" w:hAnsi="楷体"/>
          <w:color w:val="auto"/>
        </w:rPr>
        <w:t>683</w:t>
      </w:r>
      <w:r w:rsidRPr="00F168FE">
        <w:rPr>
          <w:rFonts w:ascii="楷体" w:eastAsia="楷体" w:hAnsi="楷体" w:hint="eastAsia"/>
          <w:color w:val="auto"/>
        </w:rPr>
        <w:t>涨</w:t>
      </w:r>
      <w:r w:rsidRPr="00F168FE">
        <w:rPr>
          <w:rFonts w:ascii="楷体" w:eastAsia="楷体" w:hAnsi="楷体"/>
          <w:color w:val="auto"/>
        </w:rPr>
        <w:t>2</w:t>
      </w:r>
      <w:r w:rsidRPr="00F168FE">
        <w:rPr>
          <w:rFonts w:ascii="楷体" w:eastAsia="楷体" w:hAnsi="楷体" w:hint="eastAsia"/>
          <w:color w:val="auto"/>
        </w:rPr>
        <w:t>平</w:t>
      </w:r>
      <w:r w:rsidRPr="00F168FE">
        <w:rPr>
          <w:rFonts w:ascii="楷体" w:eastAsia="楷体" w:hAnsi="楷体"/>
          <w:color w:val="auto"/>
        </w:rPr>
        <w:t>4</w:t>
      </w:r>
      <w:r w:rsidRPr="00F168FE">
        <w:rPr>
          <w:rFonts w:ascii="楷体" w:eastAsia="楷体" w:hAnsi="楷体" w:hint="eastAsia"/>
          <w:color w:val="auto"/>
        </w:rPr>
        <w:t>跌，全月平均上涨</w:t>
      </w:r>
      <w:r w:rsidRPr="00F168FE">
        <w:rPr>
          <w:rFonts w:ascii="楷体" w:eastAsia="楷体" w:hAnsi="楷体"/>
          <w:color w:val="auto"/>
        </w:rPr>
        <w:t>2.74%</w:t>
      </w:r>
      <w:r w:rsidRPr="00F168FE">
        <w:rPr>
          <w:rFonts w:ascii="楷体" w:eastAsia="楷体" w:hAnsi="楷体" w:hint="eastAsia"/>
          <w:color w:val="auto"/>
        </w:rPr>
        <w:t>，分类型来看，在股市上涨、蓝筹股走强的背景下，可转债基金受益于正股的良好表现，月均净值大涨</w:t>
      </w:r>
      <w:r w:rsidRPr="00F168FE">
        <w:rPr>
          <w:rFonts w:ascii="楷体" w:eastAsia="楷体" w:hAnsi="楷体"/>
          <w:color w:val="auto"/>
        </w:rPr>
        <w:t>11.67%</w:t>
      </w:r>
      <w:r w:rsidRPr="00F168FE">
        <w:rPr>
          <w:rFonts w:ascii="楷体" w:eastAsia="楷体" w:hAnsi="楷体" w:hint="eastAsia"/>
          <w:color w:val="auto"/>
        </w:rPr>
        <w:t>，成为各类债券基金中的佼佼者，包括博时转债增强债券</w:t>
      </w:r>
      <w:r w:rsidRPr="00F168FE">
        <w:rPr>
          <w:rFonts w:ascii="楷体" w:eastAsia="楷体" w:hAnsi="楷体"/>
          <w:color w:val="auto"/>
        </w:rPr>
        <w:t>C</w:t>
      </w:r>
      <w:r w:rsidRPr="00F168FE">
        <w:rPr>
          <w:rFonts w:ascii="楷体" w:eastAsia="楷体" w:hAnsi="楷体" w:hint="eastAsia"/>
          <w:color w:val="auto"/>
        </w:rPr>
        <w:t>、博时可转债增强债券</w:t>
      </w:r>
      <w:r w:rsidRPr="00F168FE">
        <w:rPr>
          <w:rFonts w:ascii="楷体" w:eastAsia="楷体" w:hAnsi="楷体"/>
          <w:color w:val="auto"/>
        </w:rPr>
        <w:t>A</w:t>
      </w:r>
      <w:r w:rsidRPr="00F168FE">
        <w:rPr>
          <w:rFonts w:ascii="楷体" w:eastAsia="楷体" w:hAnsi="楷体" w:hint="eastAsia"/>
          <w:color w:val="auto"/>
        </w:rPr>
        <w:t>、华安可转债债券</w:t>
      </w:r>
      <w:r w:rsidRPr="00F168FE">
        <w:rPr>
          <w:rFonts w:ascii="楷体" w:eastAsia="楷体" w:hAnsi="楷体"/>
          <w:color w:val="auto"/>
        </w:rPr>
        <w:t>B</w:t>
      </w:r>
      <w:r w:rsidRPr="00F168FE">
        <w:rPr>
          <w:rFonts w:ascii="楷体" w:eastAsia="楷体" w:hAnsi="楷体" w:hint="eastAsia"/>
          <w:color w:val="auto"/>
        </w:rPr>
        <w:t>、华安可转债债券</w:t>
      </w:r>
      <w:r w:rsidRPr="00F168FE">
        <w:rPr>
          <w:rFonts w:ascii="楷体" w:eastAsia="楷体" w:hAnsi="楷体"/>
          <w:color w:val="auto"/>
        </w:rPr>
        <w:t>A</w:t>
      </w:r>
      <w:r w:rsidRPr="00F168FE">
        <w:rPr>
          <w:rFonts w:ascii="楷体" w:eastAsia="楷体" w:hAnsi="楷体" w:hint="eastAsia"/>
          <w:color w:val="auto"/>
        </w:rPr>
        <w:t>等在内的</w:t>
      </w:r>
      <w:r w:rsidRPr="00F168FE">
        <w:rPr>
          <w:rFonts w:ascii="楷体" w:eastAsia="楷体" w:hAnsi="楷体"/>
          <w:color w:val="auto"/>
        </w:rPr>
        <w:t>8</w:t>
      </w:r>
      <w:r w:rsidRPr="00F168FE">
        <w:rPr>
          <w:rFonts w:ascii="楷体" w:eastAsia="楷体" w:hAnsi="楷体" w:hint="eastAsia"/>
          <w:color w:val="auto"/>
        </w:rPr>
        <w:t>只产品入围涨幅榜前十。二级债基整体表现同样亮眼，月度平均上涨</w:t>
      </w:r>
      <w:r w:rsidRPr="00F168FE">
        <w:rPr>
          <w:rFonts w:ascii="楷体" w:eastAsia="楷体" w:hAnsi="楷体"/>
          <w:color w:val="auto"/>
        </w:rPr>
        <w:t>3.44%</w:t>
      </w:r>
      <w:r w:rsidRPr="00F168FE">
        <w:rPr>
          <w:rFonts w:ascii="楷体" w:eastAsia="楷体" w:hAnsi="楷体" w:hint="eastAsia"/>
          <w:color w:val="auto"/>
        </w:rPr>
        <w:t>，其中博时信用债债券</w:t>
      </w:r>
      <w:r w:rsidRPr="00F168FE">
        <w:rPr>
          <w:rFonts w:ascii="楷体" w:eastAsia="楷体" w:hAnsi="楷体"/>
          <w:color w:val="auto"/>
        </w:rPr>
        <w:t>A/B</w:t>
      </w:r>
      <w:r w:rsidRPr="00F168FE">
        <w:rPr>
          <w:rFonts w:ascii="楷体" w:eastAsia="楷体" w:hAnsi="楷体" w:hint="eastAsia"/>
          <w:color w:val="auto"/>
        </w:rPr>
        <w:t>、博时信用债债券</w:t>
      </w:r>
      <w:r w:rsidRPr="00F168FE">
        <w:rPr>
          <w:rFonts w:ascii="楷体" w:eastAsia="楷体" w:hAnsi="楷体"/>
          <w:color w:val="auto"/>
        </w:rPr>
        <w:t>C</w:t>
      </w:r>
      <w:r w:rsidRPr="00F168FE">
        <w:rPr>
          <w:rFonts w:ascii="楷体" w:eastAsia="楷体" w:hAnsi="楷体" w:hint="eastAsia"/>
          <w:color w:val="auto"/>
        </w:rPr>
        <w:t>，月度表现突出，净值涨幅分别为</w:t>
      </w:r>
      <w:r w:rsidRPr="00F168FE">
        <w:rPr>
          <w:rFonts w:ascii="楷体" w:eastAsia="楷体" w:hAnsi="楷体"/>
          <w:color w:val="auto"/>
        </w:rPr>
        <w:t>16.65%</w:t>
      </w:r>
      <w:r w:rsidRPr="00F168FE">
        <w:rPr>
          <w:rFonts w:ascii="楷体" w:eastAsia="楷体" w:hAnsi="楷体" w:hint="eastAsia"/>
          <w:color w:val="auto"/>
        </w:rPr>
        <w:t>、</w:t>
      </w:r>
      <w:r w:rsidRPr="00F168FE">
        <w:rPr>
          <w:rFonts w:ascii="楷体" w:eastAsia="楷体" w:hAnsi="楷体"/>
          <w:color w:val="auto"/>
        </w:rPr>
        <w:t>16.57%</w:t>
      </w:r>
      <w:r w:rsidRPr="00F168FE">
        <w:rPr>
          <w:rFonts w:ascii="楷体" w:eastAsia="楷体" w:hAnsi="楷体" w:hint="eastAsia"/>
          <w:color w:val="auto"/>
        </w:rPr>
        <w:t>，跻身涨幅榜前十。此外一级债基、纯债基金以及指数债基月度平均回报分别为</w:t>
      </w:r>
      <w:r w:rsidRPr="00F168FE">
        <w:rPr>
          <w:rFonts w:ascii="楷体" w:eastAsia="楷体" w:hAnsi="楷体"/>
          <w:color w:val="auto"/>
        </w:rPr>
        <w:t>2.36%</w:t>
      </w:r>
      <w:r w:rsidRPr="00F168FE">
        <w:rPr>
          <w:rFonts w:ascii="楷体" w:eastAsia="楷体" w:hAnsi="楷体" w:hint="eastAsia"/>
          <w:color w:val="auto"/>
        </w:rPr>
        <w:t>、</w:t>
      </w:r>
      <w:r w:rsidRPr="00F168FE">
        <w:rPr>
          <w:rFonts w:ascii="楷体" w:eastAsia="楷体" w:hAnsi="楷体"/>
          <w:color w:val="auto"/>
        </w:rPr>
        <w:t>1.74%</w:t>
      </w:r>
      <w:r w:rsidRPr="00F168FE">
        <w:rPr>
          <w:rFonts w:ascii="楷体" w:eastAsia="楷体" w:hAnsi="楷体" w:hint="eastAsia"/>
          <w:color w:val="auto"/>
        </w:rPr>
        <w:t>和</w:t>
      </w:r>
      <w:r w:rsidRPr="00F168FE">
        <w:rPr>
          <w:rFonts w:ascii="楷体" w:eastAsia="楷体" w:hAnsi="楷体"/>
          <w:color w:val="auto"/>
        </w:rPr>
        <w:t>2.56%</w:t>
      </w:r>
      <w:r w:rsidRPr="00F168FE">
        <w:rPr>
          <w:rFonts w:ascii="楷体" w:eastAsia="楷体" w:hAnsi="楷体" w:hint="eastAsia"/>
          <w:color w:val="auto"/>
        </w:rPr>
        <w:t>。</w:t>
      </w:r>
    </w:p>
    <w:p w:rsidR="000F741C" w:rsidRPr="008E35D6" w:rsidRDefault="000F741C" w:rsidP="00E15C62">
      <w:pPr>
        <w:pStyle w:val="BodyText"/>
        <w:numPr>
          <w:ilvl w:val="4"/>
          <w:numId w:val="1"/>
        </w:numPr>
        <w:spacing w:after="163"/>
        <w:rPr>
          <w:rFonts w:ascii="楷体" w:eastAsia="楷体" w:hAnsi="楷体"/>
          <w:color w:val="auto"/>
        </w:rPr>
      </w:pPr>
      <w:r w:rsidRPr="008E35D6">
        <w:rPr>
          <w:rFonts w:ascii="楷体" w:eastAsia="楷体" w:hAnsi="楷体" w:hint="eastAsia"/>
          <w:color w:val="auto"/>
        </w:rPr>
        <w:t>保本基金方面，</w:t>
      </w:r>
      <w:r w:rsidRPr="008E35D6">
        <w:rPr>
          <w:rFonts w:ascii="楷体" w:eastAsia="楷体" w:hAnsi="楷体"/>
          <w:color w:val="auto"/>
        </w:rPr>
        <w:t>55</w:t>
      </w:r>
      <w:r w:rsidRPr="008E35D6">
        <w:rPr>
          <w:rFonts w:ascii="楷体" w:eastAsia="楷体" w:hAnsi="楷体" w:hint="eastAsia"/>
          <w:color w:val="auto"/>
        </w:rPr>
        <w:t>只产品净值平均上涨</w:t>
      </w:r>
      <w:r w:rsidRPr="008E35D6">
        <w:rPr>
          <w:rFonts w:ascii="楷体" w:eastAsia="楷体" w:hAnsi="楷体"/>
          <w:color w:val="auto"/>
        </w:rPr>
        <w:t>2.71%</w:t>
      </w:r>
      <w:r w:rsidRPr="008E35D6">
        <w:rPr>
          <w:rFonts w:ascii="楷体" w:eastAsia="楷体" w:hAnsi="楷体" w:hint="eastAsia"/>
          <w:color w:val="auto"/>
        </w:rPr>
        <w:t>，其中</w:t>
      </w:r>
      <w:r w:rsidRPr="008E35D6">
        <w:rPr>
          <w:rFonts w:ascii="楷体" w:eastAsia="楷体" w:hAnsi="楷体" w:hint="eastAsia"/>
          <w:color w:val="auto"/>
          <w:lang w:val="en-US"/>
        </w:rPr>
        <w:t>新华阿里一号</w:t>
      </w:r>
      <w:r w:rsidRPr="008E35D6">
        <w:rPr>
          <w:rFonts w:ascii="楷体" w:eastAsia="楷体" w:hAnsi="楷体" w:hint="eastAsia"/>
          <w:color w:val="auto"/>
        </w:rPr>
        <w:t>净值飙涨</w:t>
      </w:r>
      <w:r w:rsidRPr="008E35D6">
        <w:rPr>
          <w:rFonts w:ascii="楷体" w:eastAsia="楷体" w:hAnsi="楷体"/>
          <w:color w:val="auto"/>
        </w:rPr>
        <w:t>8.94%</w:t>
      </w:r>
      <w:r w:rsidRPr="008E35D6">
        <w:rPr>
          <w:rFonts w:ascii="楷体" w:eastAsia="楷体" w:hAnsi="楷体" w:hint="eastAsia"/>
          <w:color w:val="auto"/>
        </w:rPr>
        <w:t>、华安保本净值上涨</w:t>
      </w:r>
      <w:r w:rsidRPr="008E35D6">
        <w:rPr>
          <w:rFonts w:ascii="楷体" w:eastAsia="楷体" w:hAnsi="楷体"/>
          <w:color w:val="auto"/>
        </w:rPr>
        <w:t>7%</w:t>
      </w:r>
      <w:r w:rsidRPr="008E35D6">
        <w:rPr>
          <w:rFonts w:ascii="楷体" w:eastAsia="楷体" w:hAnsi="楷体" w:hint="eastAsia"/>
          <w:color w:val="auto"/>
        </w:rPr>
        <w:t>，排名涨幅榜前两位。</w:t>
      </w:r>
    </w:p>
    <w:p w:rsidR="000F741C" w:rsidRPr="008E35D6" w:rsidRDefault="000F741C" w:rsidP="00E15C62">
      <w:pPr>
        <w:pStyle w:val="BodyText"/>
        <w:numPr>
          <w:ilvl w:val="4"/>
          <w:numId w:val="1"/>
        </w:numPr>
        <w:spacing w:after="163"/>
        <w:rPr>
          <w:rFonts w:ascii="楷体" w:eastAsia="楷体" w:hAnsi="楷体"/>
          <w:color w:val="auto"/>
        </w:rPr>
      </w:pPr>
      <w:r w:rsidRPr="008E35D6">
        <w:rPr>
          <w:rFonts w:ascii="楷体" w:eastAsia="楷体" w:hAnsi="楷体" w:hint="eastAsia"/>
          <w:color w:val="auto"/>
        </w:rPr>
        <w:t>理财债基及货币基金方面，</w:t>
      </w:r>
      <w:r w:rsidRPr="008E35D6">
        <w:rPr>
          <w:rFonts w:ascii="楷体" w:eastAsia="楷体" w:hAnsi="楷体"/>
          <w:color w:val="auto"/>
        </w:rPr>
        <w:t>11</w:t>
      </w:r>
      <w:r w:rsidRPr="008E35D6">
        <w:rPr>
          <w:rFonts w:ascii="楷体" w:eastAsia="楷体" w:hAnsi="楷体" w:hint="eastAsia"/>
          <w:color w:val="auto"/>
        </w:rPr>
        <w:t>月</w:t>
      </w:r>
      <w:r w:rsidRPr="008E35D6">
        <w:rPr>
          <w:rFonts w:ascii="楷体" w:eastAsia="楷体" w:hAnsi="楷体"/>
          <w:color w:val="auto"/>
        </w:rPr>
        <w:t>277</w:t>
      </w:r>
      <w:r w:rsidRPr="008E35D6">
        <w:rPr>
          <w:rFonts w:ascii="楷体" w:eastAsia="楷体" w:hAnsi="楷体" w:hint="eastAsia"/>
          <w:color w:val="auto"/>
        </w:rPr>
        <w:t>只货币基金简单平均收益为</w:t>
      </w:r>
      <w:r w:rsidRPr="008E35D6">
        <w:rPr>
          <w:rFonts w:ascii="楷体" w:eastAsia="楷体" w:hAnsi="楷体"/>
          <w:color w:val="auto"/>
        </w:rPr>
        <w:t>0.36%</w:t>
      </w:r>
      <w:r w:rsidRPr="008E35D6">
        <w:rPr>
          <w:rFonts w:ascii="楷体" w:eastAsia="楷体" w:hAnsi="楷体" w:hint="eastAsia"/>
          <w:color w:val="auto"/>
        </w:rPr>
        <w:t>、同期</w:t>
      </w:r>
      <w:r w:rsidRPr="008E35D6">
        <w:rPr>
          <w:rFonts w:ascii="楷体" w:eastAsia="楷体" w:hAnsi="楷体"/>
          <w:color w:val="auto"/>
        </w:rPr>
        <w:t>111</w:t>
      </w:r>
      <w:r w:rsidRPr="008E35D6">
        <w:rPr>
          <w:rFonts w:ascii="楷体" w:eastAsia="楷体" w:hAnsi="楷体" w:hint="eastAsia"/>
          <w:color w:val="auto"/>
        </w:rPr>
        <w:t>只理财债基简单平均收益</w:t>
      </w:r>
      <w:r w:rsidRPr="008E35D6">
        <w:rPr>
          <w:rFonts w:ascii="楷体" w:eastAsia="楷体" w:hAnsi="楷体"/>
          <w:color w:val="auto"/>
        </w:rPr>
        <w:t>0.35%</w:t>
      </w:r>
      <w:r w:rsidRPr="008E35D6">
        <w:rPr>
          <w:rFonts w:ascii="楷体" w:eastAsia="楷体" w:hAnsi="楷体" w:hint="eastAsia"/>
          <w:color w:val="auto"/>
        </w:rPr>
        <w:t>。</w:t>
      </w:r>
    </w:p>
    <w:tbl>
      <w:tblPr>
        <w:tblW w:w="5850" w:type="dxa"/>
        <w:tblInd w:w="3906" w:type="dxa"/>
        <w:tblLook w:val="00A0"/>
      </w:tblPr>
      <w:tblGrid>
        <w:gridCol w:w="816"/>
        <w:gridCol w:w="2131"/>
        <w:gridCol w:w="1302"/>
        <w:gridCol w:w="985"/>
        <w:gridCol w:w="616"/>
      </w:tblGrid>
      <w:tr w:rsidR="000F741C" w:rsidRPr="00D11FE4" w:rsidTr="003072DB">
        <w:trPr>
          <w:trHeight w:val="285"/>
        </w:trPr>
        <w:tc>
          <w:tcPr>
            <w:tcW w:w="4249" w:type="dxa"/>
            <w:gridSpan w:val="3"/>
            <w:tcBorders>
              <w:top w:val="single" w:sz="8" w:space="0" w:color="E46D0A"/>
              <w:left w:val="nil"/>
              <w:bottom w:val="single" w:sz="8" w:space="0" w:color="E46D0A"/>
              <w:right w:val="nil"/>
            </w:tcBorders>
            <w:noWrap/>
            <w:vAlign w:val="center"/>
          </w:tcPr>
          <w:p w:rsidR="000F741C" w:rsidRPr="003072DB" w:rsidRDefault="000F741C" w:rsidP="00F4563C">
            <w:pPr>
              <w:widowControl/>
              <w:jc w:val="left"/>
              <w:rPr>
                <w:rFonts w:ascii="宋体" w:cs="宋体"/>
                <w:b/>
                <w:i/>
                <w:iCs/>
                <w:color w:val="E36C0A"/>
                <w:kern w:val="0"/>
                <w:sz w:val="20"/>
                <w:szCs w:val="20"/>
              </w:rPr>
            </w:pPr>
            <w:r w:rsidRPr="003072DB">
              <w:rPr>
                <w:rFonts w:ascii="宋体" w:hAnsi="宋体" w:cs="宋体" w:hint="eastAsia"/>
                <w:b/>
                <w:i/>
                <w:iCs/>
                <w:color w:val="E36C0A"/>
                <w:kern w:val="0"/>
                <w:sz w:val="20"/>
                <w:szCs w:val="20"/>
              </w:rPr>
              <w:t>图表</w:t>
            </w:r>
            <w:r w:rsidRPr="003072DB">
              <w:rPr>
                <w:rFonts w:ascii="宋体" w:hAnsi="宋体" w:cs="宋体"/>
                <w:b/>
                <w:i/>
                <w:iCs/>
                <w:color w:val="E36C0A"/>
                <w:kern w:val="0"/>
                <w:sz w:val="20"/>
                <w:szCs w:val="20"/>
              </w:rPr>
              <w:t>4:2014</w:t>
            </w:r>
            <w:r>
              <w:rPr>
                <w:rFonts w:ascii="宋体" w:hAnsi="宋体" w:cs="宋体" w:hint="eastAsia"/>
                <w:b/>
                <w:i/>
                <w:iCs/>
                <w:color w:val="E36C0A"/>
                <w:kern w:val="0"/>
                <w:sz w:val="20"/>
                <w:szCs w:val="20"/>
              </w:rPr>
              <w:t>年</w:t>
            </w:r>
            <w:r>
              <w:rPr>
                <w:rFonts w:ascii="宋体" w:hAnsi="宋体" w:cs="宋体"/>
                <w:b/>
                <w:i/>
                <w:iCs/>
                <w:color w:val="E36C0A"/>
                <w:kern w:val="0"/>
                <w:sz w:val="20"/>
                <w:szCs w:val="20"/>
              </w:rPr>
              <w:t>11</w:t>
            </w:r>
            <w:r>
              <w:rPr>
                <w:rFonts w:ascii="宋体" w:hAnsi="宋体" w:cs="宋体" w:hint="eastAsia"/>
                <w:b/>
                <w:i/>
                <w:iCs/>
                <w:color w:val="E36C0A"/>
                <w:kern w:val="0"/>
                <w:sz w:val="20"/>
                <w:szCs w:val="20"/>
              </w:rPr>
              <w:t>月</w:t>
            </w:r>
            <w:r w:rsidRPr="003072DB">
              <w:rPr>
                <w:rFonts w:ascii="宋体" w:hAnsi="宋体" w:cs="宋体" w:hint="eastAsia"/>
                <w:b/>
                <w:i/>
                <w:iCs/>
                <w:color w:val="E36C0A"/>
                <w:kern w:val="0"/>
                <w:sz w:val="20"/>
                <w:szCs w:val="20"/>
              </w:rPr>
              <w:t>债券型产品前十</w:t>
            </w:r>
          </w:p>
        </w:tc>
        <w:tc>
          <w:tcPr>
            <w:tcW w:w="985" w:type="dxa"/>
            <w:tcBorders>
              <w:top w:val="single" w:sz="8" w:space="0" w:color="E46D0A"/>
              <w:left w:val="nil"/>
              <w:bottom w:val="single" w:sz="8" w:space="0" w:color="E46D0A"/>
              <w:right w:val="nil"/>
            </w:tcBorders>
            <w:noWrap/>
            <w:vAlign w:val="bottom"/>
          </w:tcPr>
          <w:p w:rsidR="000F741C" w:rsidRPr="003072DB" w:rsidRDefault="000F741C"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c>
          <w:tcPr>
            <w:tcW w:w="616" w:type="dxa"/>
            <w:tcBorders>
              <w:top w:val="single" w:sz="8" w:space="0" w:color="E46D0A"/>
              <w:left w:val="nil"/>
              <w:bottom w:val="single" w:sz="8" w:space="0" w:color="E46D0A"/>
              <w:right w:val="nil"/>
            </w:tcBorders>
            <w:noWrap/>
            <w:vAlign w:val="bottom"/>
          </w:tcPr>
          <w:p w:rsidR="000F741C" w:rsidRPr="003072DB" w:rsidRDefault="000F741C"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r>
      <w:tr w:rsidR="000F741C" w:rsidRPr="00D11FE4" w:rsidTr="003072DB">
        <w:trPr>
          <w:trHeight w:val="435"/>
        </w:trPr>
        <w:tc>
          <w:tcPr>
            <w:tcW w:w="816"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市场代码</w:t>
            </w:r>
          </w:p>
        </w:tc>
        <w:tc>
          <w:tcPr>
            <w:tcW w:w="2131"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基金名称</w:t>
            </w:r>
          </w:p>
        </w:tc>
        <w:tc>
          <w:tcPr>
            <w:tcW w:w="1302"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产品类型</w:t>
            </w:r>
          </w:p>
        </w:tc>
        <w:tc>
          <w:tcPr>
            <w:tcW w:w="985" w:type="dxa"/>
            <w:tcBorders>
              <w:top w:val="nil"/>
              <w:left w:val="nil"/>
              <w:bottom w:val="single" w:sz="8" w:space="0" w:color="E46D0A"/>
              <w:right w:val="nil"/>
            </w:tcBorders>
            <w:vAlign w:val="center"/>
          </w:tcPr>
          <w:p w:rsidR="000F741C" w:rsidRPr="003072DB" w:rsidRDefault="000F741C" w:rsidP="003072DB">
            <w:pPr>
              <w:widowControl/>
              <w:jc w:val="center"/>
              <w:rPr>
                <w:rFonts w:ascii="宋体" w:cs="宋体"/>
                <w:color w:val="000000"/>
                <w:kern w:val="0"/>
                <w:sz w:val="16"/>
                <w:szCs w:val="16"/>
              </w:rPr>
            </w:pPr>
            <w:r>
              <w:rPr>
                <w:rFonts w:ascii="宋体" w:hAnsi="宋体" w:cs="宋体"/>
                <w:color w:val="000000"/>
                <w:kern w:val="0"/>
                <w:sz w:val="16"/>
                <w:szCs w:val="16"/>
              </w:rPr>
              <w:t>11</w:t>
            </w:r>
            <w:r>
              <w:rPr>
                <w:rFonts w:ascii="宋体" w:hAnsi="宋体" w:cs="宋体" w:hint="eastAsia"/>
                <w:color w:val="000000"/>
                <w:kern w:val="0"/>
                <w:sz w:val="16"/>
                <w:szCs w:val="16"/>
              </w:rPr>
              <w:t>月</w:t>
            </w:r>
            <w:r w:rsidRPr="003072DB">
              <w:rPr>
                <w:rFonts w:ascii="宋体" w:hAnsi="宋体" w:cs="宋体" w:hint="eastAsia"/>
                <w:color w:val="000000"/>
                <w:kern w:val="0"/>
                <w:sz w:val="16"/>
                <w:szCs w:val="16"/>
              </w:rPr>
              <w:t>业绩（</w:t>
            </w:r>
            <w:r w:rsidRPr="003072DB">
              <w:rPr>
                <w:rFonts w:ascii="宋体" w:hAnsi="宋体" w:cs="宋体"/>
                <w:color w:val="000000"/>
                <w:kern w:val="0"/>
                <w:sz w:val="16"/>
                <w:szCs w:val="16"/>
              </w:rPr>
              <w:t>%</w:t>
            </w:r>
            <w:r w:rsidRPr="003072DB">
              <w:rPr>
                <w:rFonts w:ascii="宋体" w:hAnsi="宋体" w:cs="宋体" w:hint="eastAsia"/>
                <w:color w:val="000000"/>
                <w:kern w:val="0"/>
                <w:sz w:val="16"/>
                <w:szCs w:val="16"/>
              </w:rPr>
              <w:t>）</w:t>
            </w:r>
          </w:p>
        </w:tc>
        <w:tc>
          <w:tcPr>
            <w:tcW w:w="616"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排名</w:t>
            </w:r>
          </w:p>
        </w:tc>
      </w:tr>
      <w:tr w:rsidR="000F741C" w:rsidRPr="00D11FE4" w:rsidTr="003072DB">
        <w:trPr>
          <w:trHeight w:val="270"/>
        </w:trPr>
        <w:tc>
          <w:tcPr>
            <w:tcW w:w="8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50119</w:t>
            </w:r>
          </w:p>
        </w:tc>
        <w:tc>
          <w:tcPr>
            <w:tcW w:w="2131"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博时转债增强债券</w:t>
            </w:r>
            <w:r w:rsidRPr="00D11FE4">
              <w:rPr>
                <w:color w:val="000000"/>
                <w:sz w:val="16"/>
                <w:szCs w:val="16"/>
              </w:rPr>
              <w:t>C</w:t>
            </w:r>
            <w:r w:rsidRPr="00D11FE4">
              <w:rPr>
                <w:rFonts w:hint="eastAsia"/>
                <w:color w:val="000000"/>
                <w:sz w:val="16"/>
                <w:szCs w:val="16"/>
              </w:rPr>
              <w:t>类</w:t>
            </w:r>
          </w:p>
        </w:tc>
        <w:tc>
          <w:tcPr>
            <w:tcW w:w="1302"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债券</w:t>
            </w:r>
            <w:r w:rsidRPr="00D11FE4">
              <w:rPr>
                <w:color w:val="000000"/>
                <w:sz w:val="16"/>
                <w:szCs w:val="16"/>
              </w:rPr>
              <w:t>-</w:t>
            </w:r>
            <w:r w:rsidRPr="00D11FE4">
              <w:rPr>
                <w:rFonts w:hint="eastAsia"/>
                <w:color w:val="000000"/>
                <w:sz w:val="16"/>
                <w:szCs w:val="16"/>
              </w:rPr>
              <w:t>可转债基</w:t>
            </w:r>
          </w:p>
        </w:tc>
        <w:tc>
          <w:tcPr>
            <w:tcW w:w="985"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18.79</w:t>
            </w:r>
          </w:p>
        </w:tc>
        <w:tc>
          <w:tcPr>
            <w:tcW w:w="6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w:t>
            </w:r>
          </w:p>
        </w:tc>
      </w:tr>
      <w:tr w:rsidR="000F741C" w:rsidRPr="00D11FE4" w:rsidTr="003072DB">
        <w:trPr>
          <w:trHeight w:val="270"/>
        </w:trPr>
        <w:tc>
          <w:tcPr>
            <w:tcW w:w="8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50019</w:t>
            </w:r>
          </w:p>
        </w:tc>
        <w:tc>
          <w:tcPr>
            <w:tcW w:w="2131"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博时转债增强债券</w:t>
            </w:r>
            <w:r w:rsidRPr="00D11FE4">
              <w:rPr>
                <w:color w:val="000000"/>
                <w:sz w:val="16"/>
                <w:szCs w:val="16"/>
              </w:rPr>
              <w:t>A</w:t>
            </w:r>
            <w:r w:rsidRPr="00D11FE4">
              <w:rPr>
                <w:rFonts w:hint="eastAsia"/>
                <w:color w:val="000000"/>
                <w:sz w:val="16"/>
                <w:szCs w:val="16"/>
              </w:rPr>
              <w:t>类</w:t>
            </w:r>
          </w:p>
        </w:tc>
        <w:tc>
          <w:tcPr>
            <w:tcW w:w="1302"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债券</w:t>
            </w:r>
            <w:r w:rsidRPr="00D11FE4">
              <w:rPr>
                <w:color w:val="000000"/>
                <w:sz w:val="16"/>
                <w:szCs w:val="16"/>
              </w:rPr>
              <w:t>-</w:t>
            </w:r>
            <w:r w:rsidRPr="00D11FE4">
              <w:rPr>
                <w:rFonts w:hint="eastAsia"/>
                <w:color w:val="000000"/>
                <w:sz w:val="16"/>
                <w:szCs w:val="16"/>
              </w:rPr>
              <w:t>可转债基</w:t>
            </w:r>
          </w:p>
        </w:tc>
        <w:tc>
          <w:tcPr>
            <w:tcW w:w="985"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18.64</w:t>
            </w:r>
          </w:p>
        </w:tc>
        <w:tc>
          <w:tcPr>
            <w:tcW w:w="6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2</w:t>
            </w:r>
          </w:p>
        </w:tc>
      </w:tr>
      <w:tr w:rsidR="000F741C" w:rsidRPr="00D11FE4" w:rsidTr="003072DB">
        <w:trPr>
          <w:trHeight w:val="270"/>
        </w:trPr>
        <w:tc>
          <w:tcPr>
            <w:tcW w:w="8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50011</w:t>
            </w:r>
          </w:p>
        </w:tc>
        <w:tc>
          <w:tcPr>
            <w:tcW w:w="2131"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博时信用债券</w:t>
            </w:r>
            <w:r w:rsidRPr="00D11FE4">
              <w:rPr>
                <w:color w:val="000000"/>
                <w:sz w:val="16"/>
                <w:szCs w:val="16"/>
              </w:rPr>
              <w:t>A/B</w:t>
            </w:r>
          </w:p>
        </w:tc>
        <w:tc>
          <w:tcPr>
            <w:tcW w:w="1302"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债券</w:t>
            </w:r>
            <w:r w:rsidRPr="00D11FE4">
              <w:rPr>
                <w:color w:val="000000"/>
                <w:sz w:val="16"/>
                <w:szCs w:val="16"/>
              </w:rPr>
              <w:t>-</w:t>
            </w:r>
            <w:r w:rsidRPr="00D11FE4">
              <w:rPr>
                <w:rFonts w:hint="eastAsia"/>
                <w:color w:val="000000"/>
                <w:sz w:val="16"/>
                <w:szCs w:val="16"/>
              </w:rPr>
              <w:t>二级债基</w:t>
            </w:r>
          </w:p>
        </w:tc>
        <w:tc>
          <w:tcPr>
            <w:tcW w:w="985"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16.65</w:t>
            </w:r>
          </w:p>
        </w:tc>
        <w:tc>
          <w:tcPr>
            <w:tcW w:w="6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3</w:t>
            </w:r>
          </w:p>
        </w:tc>
      </w:tr>
      <w:tr w:rsidR="000F741C" w:rsidRPr="00D11FE4" w:rsidTr="003072DB">
        <w:trPr>
          <w:trHeight w:val="270"/>
        </w:trPr>
        <w:tc>
          <w:tcPr>
            <w:tcW w:w="8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50111</w:t>
            </w:r>
          </w:p>
        </w:tc>
        <w:tc>
          <w:tcPr>
            <w:tcW w:w="2131"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博时信用债券</w:t>
            </w:r>
            <w:r w:rsidRPr="00D11FE4">
              <w:rPr>
                <w:color w:val="000000"/>
                <w:sz w:val="16"/>
                <w:szCs w:val="16"/>
              </w:rPr>
              <w:t>C</w:t>
            </w:r>
          </w:p>
        </w:tc>
        <w:tc>
          <w:tcPr>
            <w:tcW w:w="1302"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债券</w:t>
            </w:r>
            <w:r w:rsidRPr="00D11FE4">
              <w:rPr>
                <w:color w:val="000000"/>
                <w:sz w:val="16"/>
                <w:szCs w:val="16"/>
              </w:rPr>
              <w:t>-</w:t>
            </w:r>
            <w:r w:rsidRPr="00D11FE4">
              <w:rPr>
                <w:rFonts w:hint="eastAsia"/>
                <w:color w:val="000000"/>
                <w:sz w:val="16"/>
                <w:szCs w:val="16"/>
              </w:rPr>
              <w:t>二级债基</w:t>
            </w:r>
          </w:p>
        </w:tc>
        <w:tc>
          <w:tcPr>
            <w:tcW w:w="985"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16.57</w:t>
            </w:r>
          </w:p>
        </w:tc>
        <w:tc>
          <w:tcPr>
            <w:tcW w:w="6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4</w:t>
            </w:r>
          </w:p>
        </w:tc>
      </w:tr>
      <w:tr w:rsidR="000F741C" w:rsidRPr="00D11FE4" w:rsidTr="003072DB">
        <w:trPr>
          <w:trHeight w:val="270"/>
        </w:trPr>
        <w:tc>
          <w:tcPr>
            <w:tcW w:w="8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40023</w:t>
            </w:r>
          </w:p>
        </w:tc>
        <w:tc>
          <w:tcPr>
            <w:tcW w:w="2131"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华安可转债债券</w:t>
            </w:r>
            <w:r w:rsidRPr="00D11FE4">
              <w:rPr>
                <w:color w:val="000000"/>
                <w:sz w:val="16"/>
                <w:szCs w:val="16"/>
              </w:rPr>
              <w:t>B</w:t>
            </w:r>
            <w:r w:rsidRPr="00D11FE4">
              <w:rPr>
                <w:rFonts w:hint="eastAsia"/>
                <w:color w:val="000000"/>
                <w:sz w:val="16"/>
                <w:szCs w:val="16"/>
              </w:rPr>
              <w:t>类</w:t>
            </w:r>
          </w:p>
        </w:tc>
        <w:tc>
          <w:tcPr>
            <w:tcW w:w="1302"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债券</w:t>
            </w:r>
            <w:r w:rsidRPr="00D11FE4">
              <w:rPr>
                <w:color w:val="000000"/>
                <w:sz w:val="16"/>
                <w:szCs w:val="16"/>
              </w:rPr>
              <w:t>-</w:t>
            </w:r>
            <w:r w:rsidRPr="00D11FE4">
              <w:rPr>
                <w:rFonts w:hint="eastAsia"/>
                <w:color w:val="000000"/>
                <w:sz w:val="16"/>
                <w:szCs w:val="16"/>
              </w:rPr>
              <w:t>可转债基</w:t>
            </w:r>
          </w:p>
        </w:tc>
        <w:tc>
          <w:tcPr>
            <w:tcW w:w="985"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15.68</w:t>
            </w:r>
          </w:p>
        </w:tc>
        <w:tc>
          <w:tcPr>
            <w:tcW w:w="6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w:t>
            </w:r>
          </w:p>
        </w:tc>
      </w:tr>
      <w:tr w:rsidR="000F741C" w:rsidRPr="00D11FE4" w:rsidTr="003072DB">
        <w:trPr>
          <w:trHeight w:val="270"/>
        </w:trPr>
        <w:tc>
          <w:tcPr>
            <w:tcW w:w="8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40022</w:t>
            </w:r>
          </w:p>
        </w:tc>
        <w:tc>
          <w:tcPr>
            <w:tcW w:w="2131"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华安可转债债券</w:t>
            </w:r>
            <w:r w:rsidRPr="00D11FE4">
              <w:rPr>
                <w:color w:val="000000"/>
                <w:sz w:val="16"/>
                <w:szCs w:val="16"/>
              </w:rPr>
              <w:t>A</w:t>
            </w:r>
            <w:r w:rsidRPr="00D11FE4">
              <w:rPr>
                <w:rFonts w:hint="eastAsia"/>
                <w:color w:val="000000"/>
                <w:sz w:val="16"/>
                <w:szCs w:val="16"/>
              </w:rPr>
              <w:t>类</w:t>
            </w:r>
          </w:p>
        </w:tc>
        <w:tc>
          <w:tcPr>
            <w:tcW w:w="1302"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债券</w:t>
            </w:r>
            <w:r w:rsidRPr="00D11FE4">
              <w:rPr>
                <w:color w:val="000000"/>
                <w:sz w:val="16"/>
                <w:szCs w:val="16"/>
              </w:rPr>
              <w:t>-</w:t>
            </w:r>
            <w:r w:rsidRPr="00D11FE4">
              <w:rPr>
                <w:rFonts w:hint="eastAsia"/>
                <w:color w:val="000000"/>
                <w:sz w:val="16"/>
                <w:szCs w:val="16"/>
              </w:rPr>
              <w:t>可转债基</w:t>
            </w:r>
          </w:p>
        </w:tc>
        <w:tc>
          <w:tcPr>
            <w:tcW w:w="985"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15.67</w:t>
            </w:r>
          </w:p>
        </w:tc>
        <w:tc>
          <w:tcPr>
            <w:tcW w:w="6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6</w:t>
            </w:r>
          </w:p>
        </w:tc>
      </w:tr>
      <w:tr w:rsidR="000F741C" w:rsidRPr="00D11FE4" w:rsidTr="003072DB">
        <w:trPr>
          <w:trHeight w:val="270"/>
        </w:trPr>
        <w:tc>
          <w:tcPr>
            <w:tcW w:w="8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519977</w:t>
            </w:r>
          </w:p>
        </w:tc>
        <w:tc>
          <w:tcPr>
            <w:tcW w:w="2131"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长信可转债</w:t>
            </w:r>
            <w:r w:rsidRPr="00D11FE4">
              <w:rPr>
                <w:color w:val="000000"/>
                <w:sz w:val="16"/>
                <w:szCs w:val="16"/>
              </w:rPr>
              <w:t>A</w:t>
            </w:r>
          </w:p>
        </w:tc>
        <w:tc>
          <w:tcPr>
            <w:tcW w:w="1302"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债券</w:t>
            </w:r>
            <w:r w:rsidRPr="00D11FE4">
              <w:rPr>
                <w:color w:val="000000"/>
                <w:sz w:val="16"/>
                <w:szCs w:val="16"/>
              </w:rPr>
              <w:t>-</w:t>
            </w:r>
            <w:r w:rsidRPr="00D11FE4">
              <w:rPr>
                <w:rFonts w:hint="eastAsia"/>
                <w:color w:val="000000"/>
                <w:sz w:val="16"/>
                <w:szCs w:val="16"/>
              </w:rPr>
              <w:t>可转债基</w:t>
            </w:r>
          </w:p>
        </w:tc>
        <w:tc>
          <w:tcPr>
            <w:tcW w:w="985"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15.29</w:t>
            </w:r>
          </w:p>
        </w:tc>
        <w:tc>
          <w:tcPr>
            <w:tcW w:w="6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7</w:t>
            </w:r>
          </w:p>
        </w:tc>
      </w:tr>
      <w:tr w:rsidR="000F741C" w:rsidRPr="00D11FE4" w:rsidTr="003072DB">
        <w:trPr>
          <w:trHeight w:val="270"/>
        </w:trPr>
        <w:tc>
          <w:tcPr>
            <w:tcW w:w="8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519976</w:t>
            </w:r>
          </w:p>
        </w:tc>
        <w:tc>
          <w:tcPr>
            <w:tcW w:w="2131"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长信可转债</w:t>
            </w:r>
            <w:r w:rsidRPr="00D11FE4">
              <w:rPr>
                <w:color w:val="000000"/>
                <w:sz w:val="16"/>
                <w:szCs w:val="16"/>
              </w:rPr>
              <w:t>C</w:t>
            </w:r>
          </w:p>
        </w:tc>
        <w:tc>
          <w:tcPr>
            <w:tcW w:w="1302"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债券</w:t>
            </w:r>
            <w:r w:rsidRPr="00D11FE4">
              <w:rPr>
                <w:color w:val="000000"/>
                <w:sz w:val="16"/>
                <w:szCs w:val="16"/>
              </w:rPr>
              <w:t>-</w:t>
            </w:r>
            <w:r w:rsidRPr="00D11FE4">
              <w:rPr>
                <w:rFonts w:hint="eastAsia"/>
                <w:color w:val="000000"/>
                <w:sz w:val="16"/>
                <w:szCs w:val="16"/>
              </w:rPr>
              <w:t>可转债基</w:t>
            </w:r>
          </w:p>
        </w:tc>
        <w:tc>
          <w:tcPr>
            <w:tcW w:w="985"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15.23</w:t>
            </w:r>
          </w:p>
        </w:tc>
        <w:tc>
          <w:tcPr>
            <w:tcW w:w="6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8</w:t>
            </w:r>
          </w:p>
        </w:tc>
      </w:tr>
      <w:tr w:rsidR="000F741C" w:rsidRPr="00D11FE4" w:rsidTr="003072DB">
        <w:trPr>
          <w:trHeight w:val="270"/>
        </w:trPr>
        <w:tc>
          <w:tcPr>
            <w:tcW w:w="8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100051</w:t>
            </w:r>
          </w:p>
        </w:tc>
        <w:tc>
          <w:tcPr>
            <w:tcW w:w="2131"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富国可转债</w:t>
            </w:r>
          </w:p>
        </w:tc>
        <w:tc>
          <w:tcPr>
            <w:tcW w:w="1302"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债券</w:t>
            </w:r>
            <w:r w:rsidRPr="00D11FE4">
              <w:rPr>
                <w:color w:val="000000"/>
                <w:sz w:val="16"/>
                <w:szCs w:val="16"/>
              </w:rPr>
              <w:t>-</w:t>
            </w:r>
            <w:r w:rsidRPr="00D11FE4">
              <w:rPr>
                <w:rFonts w:hint="eastAsia"/>
                <w:color w:val="000000"/>
                <w:sz w:val="16"/>
                <w:szCs w:val="16"/>
              </w:rPr>
              <w:t>可转债基</w:t>
            </w:r>
          </w:p>
        </w:tc>
        <w:tc>
          <w:tcPr>
            <w:tcW w:w="985"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14</w:t>
            </w:r>
          </w:p>
        </w:tc>
        <w:tc>
          <w:tcPr>
            <w:tcW w:w="6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9</w:t>
            </w:r>
          </w:p>
        </w:tc>
      </w:tr>
      <w:tr w:rsidR="000F741C" w:rsidRPr="00D11FE4" w:rsidTr="003072DB">
        <w:trPr>
          <w:trHeight w:val="285"/>
        </w:trPr>
        <w:tc>
          <w:tcPr>
            <w:tcW w:w="816" w:type="dxa"/>
            <w:tcBorders>
              <w:top w:val="nil"/>
              <w:left w:val="nil"/>
              <w:bottom w:val="single" w:sz="8" w:space="0" w:color="E46D0A"/>
              <w:right w:val="nil"/>
            </w:tcBorders>
            <w:noWrap/>
            <w:vAlign w:val="center"/>
          </w:tcPr>
          <w:p w:rsidR="000F741C" w:rsidRDefault="000F741C">
            <w:pPr>
              <w:jc w:val="center"/>
              <w:rPr>
                <w:rFonts w:cs="宋体"/>
                <w:color w:val="000000"/>
                <w:sz w:val="16"/>
                <w:szCs w:val="16"/>
              </w:rPr>
            </w:pPr>
            <w:r w:rsidRPr="00D11FE4">
              <w:rPr>
                <w:color w:val="000000"/>
                <w:sz w:val="16"/>
                <w:szCs w:val="16"/>
              </w:rPr>
              <w:t>470058</w:t>
            </w:r>
          </w:p>
        </w:tc>
        <w:tc>
          <w:tcPr>
            <w:tcW w:w="2131" w:type="dxa"/>
            <w:tcBorders>
              <w:top w:val="nil"/>
              <w:left w:val="nil"/>
              <w:bottom w:val="single" w:sz="8" w:space="0" w:color="E46D0A"/>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汇添富可转换债券</w:t>
            </w:r>
            <w:r w:rsidRPr="00D11FE4">
              <w:rPr>
                <w:color w:val="000000"/>
                <w:sz w:val="16"/>
                <w:szCs w:val="16"/>
              </w:rPr>
              <w:t>A</w:t>
            </w:r>
          </w:p>
        </w:tc>
        <w:tc>
          <w:tcPr>
            <w:tcW w:w="1302" w:type="dxa"/>
            <w:tcBorders>
              <w:top w:val="nil"/>
              <w:left w:val="nil"/>
              <w:bottom w:val="single" w:sz="8" w:space="0" w:color="E46D0A"/>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债券</w:t>
            </w:r>
            <w:r w:rsidRPr="00D11FE4">
              <w:rPr>
                <w:color w:val="000000"/>
                <w:sz w:val="16"/>
                <w:szCs w:val="16"/>
              </w:rPr>
              <w:t>-</w:t>
            </w:r>
            <w:r w:rsidRPr="00D11FE4">
              <w:rPr>
                <w:rFonts w:hint="eastAsia"/>
                <w:color w:val="000000"/>
                <w:sz w:val="16"/>
                <w:szCs w:val="16"/>
              </w:rPr>
              <w:t>可转债基</w:t>
            </w:r>
          </w:p>
        </w:tc>
        <w:tc>
          <w:tcPr>
            <w:tcW w:w="985" w:type="dxa"/>
            <w:tcBorders>
              <w:top w:val="nil"/>
              <w:left w:val="nil"/>
              <w:bottom w:val="single" w:sz="8" w:space="0" w:color="E46D0A"/>
              <w:right w:val="nil"/>
            </w:tcBorders>
            <w:noWrap/>
            <w:vAlign w:val="center"/>
          </w:tcPr>
          <w:p w:rsidR="000F741C" w:rsidRDefault="000F741C">
            <w:pPr>
              <w:jc w:val="center"/>
              <w:rPr>
                <w:rFonts w:cs="宋体"/>
                <w:color w:val="000000"/>
                <w:sz w:val="16"/>
                <w:szCs w:val="16"/>
              </w:rPr>
            </w:pPr>
            <w:r w:rsidRPr="00D11FE4">
              <w:rPr>
                <w:color w:val="000000"/>
                <w:sz w:val="16"/>
                <w:szCs w:val="16"/>
              </w:rPr>
              <w:t>13.57</w:t>
            </w:r>
          </w:p>
        </w:tc>
        <w:tc>
          <w:tcPr>
            <w:tcW w:w="616" w:type="dxa"/>
            <w:tcBorders>
              <w:top w:val="nil"/>
              <w:left w:val="nil"/>
              <w:bottom w:val="single" w:sz="8" w:space="0" w:color="E46D0A"/>
              <w:right w:val="nil"/>
            </w:tcBorders>
            <w:noWrap/>
            <w:vAlign w:val="center"/>
          </w:tcPr>
          <w:p w:rsidR="000F741C" w:rsidRDefault="000F741C">
            <w:pPr>
              <w:jc w:val="center"/>
              <w:rPr>
                <w:rFonts w:cs="宋体"/>
                <w:color w:val="000000"/>
                <w:sz w:val="16"/>
                <w:szCs w:val="16"/>
              </w:rPr>
            </w:pPr>
            <w:r w:rsidRPr="00D11FE4">
              <w:rPr>
                <w:color w:val="000000"/>
                <w:sz w:val="16"/>
                <w:szCs w:val="16"/>
              </w:rPr>
              <w:t>10</w:t>
            </w:r>
          </w:p>
        </w:tc>
      </w:tr>
      <w:tr w:rsidR="000F741C" w:rsidRPr="00D11FE4" w:rsidTr="003072DB">
        <w:trPr>
          <w:trHeight w:val="285"/>
        </w:trPr>
        <w:tc>
          <w:tcPr>
            <w:tcW w:w="2947" w:type="dxa"/>
            <w:gridSpan w:val="2"/>
            <w:tcBorders>
              <w:top w:val="single" w:sz="8" w:space="0" w:color="E46D0A"/>
              <w:left w:val="nil"/>
              <w:bottom w:val="single" w:sz="8" w:space="0" w:color="E46D0A"/>
              <w:right w:val="nil"/>
            </w:tcBorders>
            <w:noWrap/>
            <w:vAlign w:val="center"/>
          </w:tcPr>
          <w:p w:rsidR="000F741C" w:rsidRPr="003072DB" w:rsidRDefault="000F741C"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来源：凯石财富工场</w:t>
            </w:r>
          </w:p>
        </w:tc>
        <w:tc>
          <w:tcPr>
            <w:tcW w:w="1302"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 xml:space="preserve">　</w:t>
            </w:r>
          </w:p>
        </w:tc>
        <w:tc>
          <w:tcPr>
            <w:tcW w:w="985"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 xml:space="preserve">　</w:t>
            </w:r>
          </w:p>
        </w:tc>
        <w:tc>
          <w:tcPr>
            <w:tcW w:w="616"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 xml:space="preserve">　</w:t>
            </w:r>
          </w:p>
        </w:tc>
      </w:tr>
    </w:tbl>
    <w:p w:rsidR="000F741C" w:rsidRDefault="000F741C" w:rsidP="003072DB">
      <w:pPr>
        <w:pStyle w:val="BodyText"/>
        <w:spacing w:after="163"/>
        <w:ind w:left="3799"/>
        <w:rPr>
          <w:color w:val="auto"/>
        </w:rPr>
      </w:pPr>
    </w:p>
    <w:tbl>
      <w:tblPr>
        <w:tblW w:w="6014" w:type="dxa"/>
        <w:tblInd w:w="3816" w:type="dxa"/>
        <w:tblLook w:val="00A0"/>
      </w:tblPr>
      <w:tblGrid>
        <w:gridCol w:w="1289"/>
        <w:gridCol w:w="2765"/>
        <w:gridCol w:w="1289"/>
        <w:gridCol w:w="671"/>
      </w:tblGrid>
      <w:tr w:rsidR="000F741C" w:rsidRPr="00D11FE4" w:rsidTr="00D06FC1">
        <w:trPr>
          <w:trHeight w:val="276"/>
        </w:trPr>
        <w:tc>
          <w:tcPr>
            <w:tcW w:w="6014" w:type="dxa"/>
            <w:gridSpan w:val="4"/>
            <w:tcBorders>
              <w:top w:val="single" w:sz="8" w:space="0" w:color="E46D0A"/>
              <w:left w:val="nil"/>
              <w:bottom w:val="single" w:sz="8" w:space="0" w:color="E46D0A"/>
              <w:right w:val="nil"/>
            </w:tcBorders>
            <w:noWrap/>
            <w:vAlign w:val="center"/>
          </w:tcPr>
          <w:p w:rsidR="000F741C" w:rsidRPr="003072DB" w:rsidRDefault="000F741C" w:rsidP="00726FF6">
            <w:pPr>
              <w:widowControl/>
              <w:jc w:val="left"/>
              <w:rPr>
                <w:rFonts w:ascii="宋体" w:cs="宋体"/>
                <w:b/>
                <w:i/>
                <w:iCs/>
                <w:color w:val="E36C0A"/>
                <w:kern w:val="0"/>
                <w:sz w:val="20"/>
                <w:szCs w:val="20"/>
              </w:rPr>
            </w:pPr>
            <w:r w:rsidRPr="003072DB">
              <w:rPr>
                <w:rFonts w:ascii="宋体" w:hAnsi="宋体" w:cs="宋体" w:hint="eastAsia"/>
                <w:b/>
                <w:i/>
                <w:iCs/>
                <w:color w:val="E36C0A"/>
                <w:kern w:val="0"/>
                <w:sz w:val="20"/>
                <w:szCs w:val="20"/>
              </w:rPr>
              <w:t>图表</w:t>
            </w:r>
            <w:r w:rsidRPr="003072DB">
              <w:rPr>
                <w:rFonts w:ascii="宋体" w:hAnsi="宋体" w:cs="宋体"/>
                <w:b/>
                <w:i/>
                <w:iCs/>
                <w:color w:val="E36C0A"/>
                <w:kern w:val="0"/>
                <w:sz w:val="20"/>
                <w:szCs w:val="20"/>
              </w:rPr>
              <w:t>5:2014</w:t>
            </w:r>
            <w:r>
              <w:rPr>
                <w:rFonts w:ascii="宋体" w:hAnsi="宋体" w:cs="宋体" w:hint="eastAsia"/>
                <w:b/>
                <w:i/>
                <w:iCs/>
                <w:color w:val="E36C0A"/>
                <w:kern w:val="0"/>
                <w:sz w:val="20"/>
                <w:szCs w:val="20"/>
              </w:rPr>
              <w:t>年</w:t>
            </w:r>
            <w:r>
              <w:rPr>
                <w:rFonts w:ascii="宋体" w:hAnsi="宋体" w:cs="宋体"/>
                <w:b/>
                <w:i/>
                <w:iCs/>
                <w:color w:val="E36C0A"/>
                <w:kern w:val="0"/>
                <w:sz w:val="20"/>
                <w:szCs w:val="20"/>
              </w:rPr>
              <w:t>11</w:t>
            </w:r>
            <w:r>
              <w:rPr>
                <w:rFonts w:ascii="宋体" w:hAnsi="宋体" w:cs="宋体" w:hint="eastAsia"/>
                <w:b/>
                <w:i/>
                <w:iCs/>
                <w:color w:val="E36C0A"/>
                <w:kern w:val="0"/>
                <w:sz w:val="20"/>
                <w:szCs w:val="20"/>
              </w:rPr>
              <w:t>月</w:t>
            </w:r>
            <w:r w:rsidRPr="003072DB">
              <w:rPr>
                <w:rFonts w:ascii="宋体" w:hAnsi="宋体" w:cs="宋体" w:hint="eastAsia"/>
                <w:b/>
                <w:i/>
                <w:iCs/>
                <w:color w:val="E36C0A"/>
                <w:kern w:val="0"/>
                <w:sz w:val="20"/>
                <w:szCs w:val="20"/>
              </w:rPr>
              <w:t>保本型产品前</w:t>
            </w:r>
            <w:r>
              <w:rPr>
                <w:rFonts w:ascii="宋体" w:hAnsi="宋体" w:cs="宋体" w:hint="eastAsia"/>
                <w:b/>
                <w:i/>
                <w:iCs/>
                <w:color w:val="E36C0A"/>
                <w:kern w:val="0"/>
                <w:sz w:val="20"/>
                <w:szCs w:val="20"/>
              </w:rPr>
              <w:t>五</w:t>
            </w:r>
          </w:p>
        </w:tc>
      </w:tr>
      <w:tr w:rsidR="000F741C" w:rsidRPr="00D11FE4" w:rsidTr="003072DB">
        <w:trPr>
          <w:trHeight w:val="422"/>
        </w:trPr>
        <w:tc>
          <w:tcPr>
            <w:tcW w:w="1289"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市场代码</w:t>
            </w:r>
          </w:p>
        </w:tc>
        <w:tc>
          <w:tcPr>
            <w:tcW w:w="2765"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基金名称</w:t>
            </w:r>
          </w:p>
        </w:tc>
        <w:tc>
          <w:tcPr>
            <w:tcW w:w="1289" w:type="dxa"/>
            <w:tcBorders>
              <w:top w:val="nil"/>
              <w:left w:val="nil"/>
              <w:bottom w:val="single" w:sz="8" w:space="0" w:color="E46D0A"/>
              <w:right w:val="nil"/>
            </w:tcBorders>
            <w:vAlign w:val="center"/>
          </w:tcPr>
          <w:p w:rsidR="000F741C" w:rsidRPr="003072DB" w:rsidRDefault="000F741C" w:rsidP="003072DB">
            <w:pPr>
              <w:widowControl/>
              <w:jc w:val="center"/>
              <w:rPr>
                <w:rFonts w:ascii="宋体" w:cs="宋体"/>
                <w:color w:val="000000"/>
                <w:kern w:val="0"/>
                <w:sz w:val="16"/>
                <w:szCs w:val="16"/>
              </w:rPr>
            </w:pPr>
            <w:r>
              <w:rPr>
                <w:rFonts w:ascii="宋体" w:hAnsi="宋体" w:cs="宋体"/>
                <w:color w:val="000000"/>
                <w:kern w:val="0"/>
                <w:sz w:val="16"/>
                <w:szCs w:val="16"/>
              </w:rPr>
              <w:t>11</w:t>
            </w:r>
            <w:r>
              <w:rPr>
                <w:rFonts w:ascii="宋体" w:hAnsi="宋体" w:cs="宋体" w:hint="eastAsia"/>
                <w:color w:val="000000"/>
                <w:kern w:val="0"/>
                <w:sz w:val="16"/>
                <w:szCs w:val="16"/>
              </w:rPr>
              <w:t>月</w:t>
            </w:r>
            <w:r w:rsidRPr="003072DB">
              <w:rPr>
                <w:rFonts w:ascii="宋体" w:hAnsi="宋体" w:cs="宋体" w:hint="eastAsia"/>
                <w:color w:val="000000"/>
                <w:kern w:val="0"/>
                <w:sz w:val="16"/>
                <w:szCs w:val="16"/>
              </w:rPr>
              <w:t>业绩（</w:t>
            </w:r>
            <w:r w:rsidRPr="003072DB">
              <w:rPr>
                <w:rFonts w:ascii="宋体" w:hAnsi="宋体" w:cs="宋体"/>
                <w:color w:val="000000"/>
                <w:kern w:val="0"/>
                <w:sz w:val="16"/>
                <w:szCs w:val="16"/>
              </w:rPr>
              <w:t>%</w:t>
            </w:r>
            <w:r w:rsidRPr="003072DB">
              <w:rPr>
                <w:rFonts w:ascii="宋体" w:hAnsi="宋体" w:cs="宋体" w:hint="eastAsia"/>
                <w:color w:val="000000"/>
                <w:kern w:val="0"/>
                <w:sz w:val="16"/>
                <w:szCs w:val="16"/>
              </w:rPr>
              <w:t>）</w:t>
            </w:r>
          </w:p>
        </w:tc>
        <w:tc>
          <w:tcPr>
            <w:tcW w:w="671"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排名</w:t>
            </w:r>
          </w:p>
        </w:tc>
      </w:tr>
      <w:tr w:rsidR="000F741C" w:rsidRPr="00D11FE4" w:rsidTr="003072DB">
        <w:trPr>
          <w:trHeight w:val="262"/>
        </w:trPr>
        <w:tc>
          <w:tcPr>
            <w:tcW w:w="128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000610</w:t>
            </w:r>
          </w:p>
        </w:tc>
        <w:tc>
          <w:tcPr>
            <w:tcW w:w="2765"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新华阿里一号</w:t>
            </w:r>
          </w:p>
        </w:tc>
        <w:tc>
          <w:tcPr>
            <w:tcW w:w="128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8.94</w:t>
            </w:r>
          </w:p>
        </w:tc>
        <w:tc>
          <w:tcPr>
            <w:tcW w:w="671"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color w:val="000000"/>
                <w:sz w:val="16"/>
                <w:szCs w:val="16"/>
              </w:rPr>
              <w:t>1</w:t>
            </w:r>
          </w:p>
        </w:tc>
      </w:tr>
      <w:tr w:rsidR="000F741C" w:rsidRPr="00D11FE4" w:rsidTr="003072DB">
        <w:trPr>
          <w:trHeight w:val="262"/>
        </w:trPr>
        <w:tc>
          <w:tcPr>
            <w:tcW w:w="128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000072</w:t>
            </w:r>
          </w:p>
        </w:tc>
        <w:tc>
          <w:tcPr>
            <w:tcW w:w="2765"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华安保本混合</w:t>
            </w:r>
          </w:p>
        </w:tc>
        <w:tc>
          <w:tcPr>
            <w:tcW w:w="128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7</w:t>
            </w:r>
          </w:p>
        </w:tc>
        <w:tc>
          <w:tcPr>
            <w:tcW w:w="671"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color w:val="000000"/>
                <w:sz w:val="16"/>
                <w:szCs w:val="16"/>
              </w:rPr>
              <w:t>2</w:t>
            </w:r>
          </w:p>
        </w:tc>
      </w:tr>
      <w:tr w:rsidR="000F741C" w:rsidRPr="00D11FE4" w:rsidTr="003072DB">
        <w:trPr>
          <w:trHeight w:val="262"/>
        </w:trPr>
        <w:tc>
          <w:tcPr>
            <w:tcW w:w="128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000199</w:t>
            </w:r>
          </w:p>
        </w:tc>
        <w:tc>
          <w:tcPr>
            <w:tcW w:w="2765"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国泰目标收益</w:t>
            </w:r>
          </w:p>
        </w:tc>
        <w:tc>
          <w:tcPr>
            <w:tcW w:w="128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5.76</w:t>
            </w:r>
          </w:p>
        </w:tc>
        <w:tc>
          <w:tcPr>
            <w:tcW w:w="671"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color w:val="000000"/>
                <w:sz w:val="16"/>
                <w:szCs w:val="16"/>
              </w:rPr>
              <w:t>3</w:t>
            </w:r>
          </w:p>
        </w:tc>
      </w:tr>
      <w:tr w:rsidR="000F741C" w:rsidRPr="00D11FE4" w:rsidTr="003072DB">
        <w:trPr>
          <w:trHeight w:val="262"/>
        </w:trPr>
        <w:tc>
          <w:tcPr>
            <w:tcW w:w="128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000195</w:t>
            </w:r>
          </w:p>
        </w:tc>
        <w:tc>
          <w:tcPr>
            <w:tcW w:w="2765"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工银保本</w:t>
            </w:r>
            <w:r w:rsidRPr="00D11FE4">
              <w:rPr>
                <w:color w:val="000000"/>
                <w:sz w:val="16"/>
                <w:szCs w:val="16"/>
              </w:rPr>
              <w:t>3</w:t>
            </w:r>
            <w:r w:rsidRPr="00D11FE4">
              <w:rPr>
                <w:rFonts w:hint="eastAsia"/>
                <w:color w:val="000000"/>
                <w:sz w:val="16"/>
                <w:szCs w:val="16"/>
              </w:rPr>
              <w:t>号</w:t>
            </w:r>
            <w:r w:rsidRPr="00D11FE4">
              <w:rPr>
                <w:color w:val="000000"/>
                <w:sz w:val="16"/>
                <w:szCs w:val="16"/>
              </w:rPr>
              <w:t>A</w:t>
            </w:r>
          </w:p>
        </w:tc>
        <w:tc>
          <w:tcPr>
            <w:tcW w:w="1289"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5.58</w:t>
            </w:r>
          </w:p>
        </w:tc>
        <w:tc>
          <w:tcPr>
            <w:tcW w:w="671"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color w:val="000000"/>
                <w:sz w:val="16"/>
                <w:szCs w:val="16"/>
              </w:rPr>
              <w:t>4</w:t>
            </w:r>
          </w:p>
        </w:tc>
      </w:tr>
      <w:tr w:rsidR="000F741C" w:rsidRPr="00D11FE4" w:rsidTr="003072DB">
        <w:trPr>
          <w:trHeight w:val="276"/>
        </w:trPr>
        <w:tc>
          <w:tcPr>
            <w:tcW w:w="1289" w:type="dxa"/>
            <w:tcBorders>
              <w:top w:val="nil"/>
              <w:left w:val="nil"/>
              <w:bottom w:val="single" w:sz="8" w:space="0" w:color="E46D0A"/>
              <w:right w:val="nil"/>
            </w:tcBorders>
            <w:noWrap/>
            <w:vAlign w:val="center"/>
          </w:tcPr>
          <w:p w:rsidR="000F741C" w:rsidRDefault="000F741C">
            <w:pPr>
              <w:jc w:val="center"/>
              <w:rPr>
                <w:rFonts w:cs="宋体"/>
                <w:color w:val="000000"/>
                <w:sz w:val="16"/>
                <w:szCs w:val="16"/>
              </w:rPr>
            </w:pPr>
            <w:r w:rsidRPr="00D11FE4">
              <w:rPr>
                <w:color w:val="000000"/>
                <w:sz w:val="16"/>
                <w:szCs w:val="16"/>
              </w:rPr>
              <w:t>000196</w:t>
            </w:r>
          </w:p>
        </w:tc>
        <w:tc>
          <w:tcPr>
            <w:tcW w:w="2765" w:type="dxa"/>
            <w:tcBorders>
              <w:top w:val="nil"/>
              <w:left w:val="nil"/>
              <w:bottom w:val="single" w:sz="8" w:space="0" w:color="E46D0A"/>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工银保本</w:t>
            </w:r>
            <w:r w:rsidRPr="00D11FE4">
              <w:rPr>
                <w:color w:val="000000"/>
                <w:sz w:val="16"/>
                <w:szCs w:val="16"/>
              </w:rPr>
              <w:t>3</w:t>
            </w:r>
            <w:r w:rsidRPr="00D11FE4">
              <w:rPr>
                <w:rFonts w:hint="eastAsia"/>
                <w:color w:val="000000"/>
                <w:sz w:val="16"/>
                <w:szCs w:val="16"/>
              </w:rPr>
              <w:t>号</w:t>
            </w:r>
            <w:r w:rsidRPr="00D11FE4">
              <w:rPr>
                <w:color w:val="000000"/>
                <w:sz w:val="16"/>
                <w:szCs w:val="16"/>
              </w:rPr>
              <w:t>B</w:t>
            </w:r>
          </w:p>
        </w:tc>
        <w:tc>
          <w:tcPr>
            <w:tcW w:w="1289" w:type="dxa"/>
            <w:tcBorders>
              <w:top w:val="nil"/>
              <w:left w:val="nil"/>
              <w:bottom w:val="single" w:sz="8" w:space="0" w:color="E46D0A"/>
              <w:right w:val="nil"/>
            </w:tcBorders>
            <w:noWrap/>
            <w:vAlign w:val="center"/>
          </w:tcPr>
          <w:p w:rsidR="000F741C" w:rsidRDefault="000F741C">
            <w:pPr>
              <w:jc w:val="center"/>
              <w:rPr>
                <w:rFonts w:cs="宋体"/>
                <w:color w:val="000000"/>
                <w:sz w:val="16"/>
                <w:szCs w:val="16"/>
              </w:rPr>
            </w:pPr>
            <w:r w:rsidRPr="00D11FE4">
              <w:rPr>
                <w:color w:val="000000"/>
                <w:sz w:val="16"/>
                <w:szCs w:val="16"/>
              </w:rPr>
              <w:t>5.54</w:t>
            </w:r>
          </w:p>
        </w:tc>
        <w:tc>
          <w:tcPr>
            <w:tcW w:w="671" w:type="dxa"/>
            <w:tcBorders>
              <w:top w:val="nil"/>
              <w:left w:val="nil"/>
              <w:bottom w:val="single" w:sz="8" w:space="0" w:color="E46D0A"/>
              <w:right w:val="nil"/>
            </w:tcBorders>
            <w:noWrap/>
            <w:vAlign w:val="center"/>
          </w:tcPr>
          <w:p w:rsidR="000F741C" w:rsidRDefault="000F741C">
            <w:pPr>
              <w:jc w:val="center"/>
              <w:rPr>
                <w:rFonts w:ascii="宋体" w:cs="宋体"/>
                <w:color w:val="000000"/>
                <w:sz w:val="16"/>
                <w:szCs w:val="16"/>
              </w:rPr>
            </w:pPr>
            <w:r w:rsidRPr="00D11FE4">
              <w:rPr>
                <w:color w:val="000000"/>
                <w:sz w:val="16"/>
                <w:szCs w:val="16"/>
              </w:rPr>
              <w:t>5</w:t>
            </w:r>
          </w:p>
        </w:tc>
      </w:tr>
      <w:tr w:rsidR="000F741C" w:rsidRPr="00D11FE4" w:rsidTr="003072DB">
        <w:trPr>
          <w:trHeight w:val="276"/>
        </w:trPr>
        <w:tc>
          <w:tcPr>
            <w:tcW w:w="4054" w:type="dxa"/>
            <w:gridSpan w:val="2"/>
            <w:tcBorders>
              <w:top w:val="single" w:sz="8" w:space="0" w:color="E46D0A"/>
              <w:left w:val="nil"/>
              <w:bottom w:val="single" w:sz="8" w:space="0" w:color="E46D0A"/>
              <w:right w:val="nil"/>
            </w:tcBorders>
            <w:noWrap/>
            <w:vAlign w:val="center"/>
          </w:tcPr>
          <w:p w:rsidR="000F741C" w:rsidRPr="003072DB" w:rsidRDefault="000F741C"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来源：凯石财富工场</w:t>
            </w:r>
          </w:p>
        </w:tc>
        <w:tc>
          <w:tcPr>
            <w:tcW w:w="1289" w:type="dxa"/>
            <w:tcBorders>
              <w:top w:val="nil"/>
              <w:left w:val="nil"/>
              <w:bottom w:val="single" w:sz="8" w:space="0" w:color="E46D0A"/>
              <w:right w:val="nil"/>
            </w:tcBorders>
            <w:noWrap/>
            <w:vAlign w:val="bottom"/>
          </w:tcPr>
          <w:p w:rsidR="000F741C" w:rsidRPr="003072DB" w:rsidRDefault="000F741C"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 xml:space="preserve">　</w:t>
            </w:r>
          </w:p>
        </w:tc>
        <w:tc>
          <w:tcPr>
            <w:tcW w:w="671" w:type="dxa"/>
            <w:tcBorders>
              <w:top w:val="nil"/>
              <w:left w:val="nil"/>
              <w:bottom w:val="single" w:sz="8" w:space="0" w:color="E46D0A"/>
              <w:right w:val="nil"/>
            </w:tcBorders>
            <w:noWrap/>
            <w:vAlign w:val="bottom"/>
          </w:tcPr>
          <w:p w:rsidR="000F741C" w:rsidRPr="003072DB" w:rsidRDefault="000F741C"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 xml:space="preserve">　</w:t>
            </w:r>
          </w:p>
        </w:tc>
      </w:tr>
    </w:tbl>
    <w:p w:rsidR="000F741C" w:rsidRDefault="000F741C" w:rsidP="003072DB">
      <w:pPr>
        <w:pStyle w:val="BodyText"/>
        <w:spacing w:after="163"/>
        <w:ind w:left="3799"/>
        <w:rPr>
          <w:color w:val="auto"/>
        </w:rPr>
      </w:pPr>
    </w:p>
    <w:p w:rsidR="000F741C" w:rsidRPr="008E35D6" w:rsidRDefault="000F741C" w:rsidP="00DD7991">
      <w:pPr>
        <w:widowControl/>
        <w:spacing w:after="120" w:line="240" w:lineRule="exact"/>
        <w:ind w:left="3430"/>
        <w:rPr>
          <w:rFonts w:ascii="楷体" w:eastAsia="楷体" w:hAnsi="楷体"/>
          <w:b/>
          <w:bCs/>
          <w:color w:val="0070C0"/>
          <w:kern w:val="0"/>
          <w:szCs w:val="21"/>
          <w:lang w:val="en-GB"/>
        </w:rPr>
      </w:pPr>
      <w:r w:rsidRPr="008E35D6">
        <w:rPr>
          <w:rFonts w:ascii="楷体" w:eastAsia="楷体" w:hAnsi="楷体"/>
          <w:b/>
          <w:bCs/>
          <w:color w:val="0070C0"/>
          <w:kern w:val="0"/>
          <w:szCs w:val="21"/>
          <w:lang w:val="en-GB"/>
        </w:rPr>
        <w:t xml:space="preserve"> QDII</w:t>
      </w:r>
      <w:r w:rsidRPr="008E35D6">
        <w:rPr>
          <w:rFonts w:ascii="楷体" w:eastAsia="楷体" w:hAnsi="楷体" w:hint="eastAsia"/>
          <w:b/>
          <w:bCs/>
          <w:color w:val="0070C0"/>
          <w:kern w:val="0"/>
          <w:szCs w:val="21"/>
          <w:lang w:val="en-GB"/>
        </w:rPr>
        <w:t>基金：</w:t>
      </w:r>
      <w:r>
        <w:rPr>
          <w:rFonts w:ascii="楷体" w:eastAsia="楷体" w:hAnsi="楷体" w:hint="eastAsia"/>
          <w:b/>
          <w:bCs/>
          <w:color w:val="0070C0"/>
          <w:kern w:val="0"/>
          <w:szCs w:val="21"/>
          <w:lang w:val="en-GB"/>
        </w:rPr>
        <w:t>成熟市场阳光明媚</w:t>
      </w:r>
      <w:r w:rsidRPr="008E35D6">
        <w:rPr>
          <w:rFonts w:ascii="楷体" w:eastAsia="楷体" w:hAnsi="楷体" w:hint="eastAsia"/>
          <w:b/>
          <w:bCs/>
          <w:color w:val="0070C0"/>
          <w:kern w:val="0"/>
          <w:szCs w:val="21"/>
          <w:lang w:val="en-GB"/>
        </w:rPr>
        <w:t>，</w:t>
      </w:r>
      <w:r>
        <w:rPr>
          <w:rFonts w:ascii="楷体" w:eastAsia="楷体" w:hAnsi="楷体" w:hint="eastAsia"/>
          <w:b/>
          <w:bCs/>
          <w:color w:val="0070C0"/>
          <w:kern w:val="0"/>
          <w:szCs w:val="21"/>
          <w:lang w:val="en-GB"/>
        </w:rPr>
        <w:t>能源商品</w:t>
      </w:r>
      <w:r w:rsidRPr="008E35D6">
        <w:rPr>
          <w:rFonts w:ascii="楷体" w:eastAsia="楷体" w:hAnsi="楷体" w:hint="eastAsia"/>
          <w:b/>
          <w:bCs/>
          <w:color w:val="0070C0"/>
          <w:kern w:val="0"/>
          <w:szCs w:val="21"/>
          <w:lang w:val="en-GB"/>
        </w:rPr>
        <w:t>遭重挫</w:t>
      </w:r>
    </w:p>
    <w:p w:rsidR="000F741C" w:rsidRPr="008E35D6" w:rsidRDefault="000F741C" w:rsidP="00D514AF">
      <w:pPr>
        <w:pStyle w:val="BodyText"/>
        <w:numPr>
          <w:ilvl w:val="4"/>
          <w:numId w:val="1"/>
        </w:numPr>
        <w:spacing w:after="163"/>
        <w:rPr>
          <w:rFonts w:ascii="楷体" w:eastAsia="楷体" w:hAnsi="楷体"/>
          <w:color w:val="auto"/>
        </w:rPr>
      </w:pPr>
      <w:r w:rsidRPr="008E35D6">
        <w:rPr>
          <w:rFonts w:ascii="楷体" w:eastAsia="楷体" w:hAnsi="楷体"/>
          <w:color w:val="auto"/>
        </w:rPr>
        <w:t>11</w:t>
      </w:r>
      <w:r w:rsidRPr="008E35D6">
        <w:rPr>
          <w:rFonts w:ascii="楷体" w:eastAsia="楷体" w:hAnsi="楷体" w:hint="eastAsia"/>
          <w:color w:val="auto"/>
        </w:rPr>
        <w:t>月欧美股市再迎普涨，美国三大股指道指、纳指与标普</w:t>
      </w:r>
      <w:r w:rsidRPr="008E35D6">
        <w:rPr>
          <w:rFonts w:ascii="楷体" w:eastAsia="楷体" w:hAnsi="楷体"/>
          <w:color w:val="auto"/>
        </w:rPr>
        <w:t>500</w:t>
      </w:r>
      <w:r w:rsidRPr="008E35D6">
        <w:rPr>
          <w:rFonts w:ascii="楷体" w:eastAsia="楷体" w:hAnsi="楷体" w:hint="eastAsia"/>
          <w:color w:val="auto"/>
        </w:rPr>
        <w:t>分别上涨</w:t>
      </w:r>
      <w:r w:rsidRPr="008E35D6">
        <w:rPr>
          <w:rFonts w:ascii="楷体" w:eastAsia="楷体" w:hAnsi="楷体"/>
          <w:color w:val="auto"/>
        </w:rPr>
        <w:t>2.52%</w:t>
      </w:r>
      <w:r w:rsidRPr="008E35D6">
        <w:rPr>
          <w:rFonts w:ascii="楷体" w:eastAsia="楷体" w:hAnsi="楷体" w:hint="eastAsia"/>
          <w:color w:val="auto"/>
        </w:rPr>
        <w:t>、</w:t>
      </w:r>
      <w:r w:rsidRPr="008E35D6">
        <w:rPr>
          <w:rFonts w:ascii="楷体" w:eastAsia="楷体" w:hAnsi="楷体"/>
          <w:color w:val="auto"/>
        </w:rPr>
        <w:t>3.47%</w:t>
      </w:r>
      <w:r w:rsidRPr="008E35D6">
        <w:rPr>
          <w:rFonts w:ascii="楷体" w:eastAsia="楷体" w:hAnsi="楷体" w:hint="eastAsia"/>
          <w:color w:val="auto"/>
        </w:rPr>
        <w:t>和</w:t>
      </w:r>
      <w:r w:rsidRPr="008E35D6">
        <w:rPr>
          <w:rFonts w:ascii="楷体" w:eastAsia="楷体" w:hAnsi="楷体"/>
          <w:color w:val="auto"/>
        </w:rPr>
        <w:t>2.45%</w:t>
      </w:r>
      <w:r w:rsidRPr="008E35D6">
        <w:rPr>
          <w:rFonts w:ascii="楷体" w:eastAsia="楷体" w:hAnsi="楷体" w:hint="eastAsia"/>
          <w:color w:val="auto"/>
        </w:rPr>
        <w:t>，欧洲股指中德国</w:t>
      </w:r>
      <w:r w:rsidRPr="008E35D6">
        <w:rPr>
          <w:rFonts w:ascii="楷体" w:eastAsia="楷体" w:hAnsi="楷体"/>
          <w:color w:val="auto"/>
        </w:rPr>
        <w:t>DAX</w:t>
      </w:r>
      <w:r w:rsidRPr="008E35D6">
        <w:rPr>
          <w:rFonts w:ascii="楷体" w:eastAsia="楷体" w:hAnsi="楷体" w:hint="eastAsia"/>
          <w:color w:val="auto"/>
        </w:rPr>
        <w:t>飙涨</w:t>
      </w:r>
      <w:r w:rsidRPr="008E35D6">
        <w:rPr>
          <w:rFonts w:ascii="楷体" w:eastAsia="楷体" w:hAnsi="楷体"/>
          <w:color w:val="auto"/>
        </w:rPr>
        <w:t>7.01%</w:t>
      </w:r>
      <w:r w:rsidRPr="008E35D6">
        <w:rPr>
          <w:rFonts w:ascii="楷体" w:eastAsia="楷体" w:hAnsi="楷体" w:hint="eastAsia"/>
          <w:color w:val="auto"/>
        </w:rPr>
        <w:t>，法国</w:t>
      </w:r>
      <w:r w:rsidRPr="008E35D6">
        <w:rPr>
          <w:rFonts w:ascii="楷体" w:eastAsia="楷体" w:hAnsi="楷体"/>
          <w:color w:val="auto"/>
        </w:rPr>
        <w:t>CAC40</w:t>
      </w:r>
      <w:r w:rsidRPr="008E35D6">
        <w:rPr>
          <w:rFonts w:ascii="楷体" w:eastAsia="楷体" w:hAnsi="楷体" w:hint="eastAsia"/>
          <w:color w:val="auto"/>
        </w:rPr>
        <w:t>和英国伦敦金融时报指数分别上涨</w:t>
      </w:r>
      <w:r w:rsidRPr="008E35D6">
        <w:rPr>
          <w:rFonts w:ascii="楷体" w:eastAsia="楷体" w:hAnsi="楷体"/>
          <w:color w:val="auto"/>
        </w:rPr>
        <w:t>3.71%</w:t>
      </w:r>
      <w:r w:rsidRPr="008E35D6">
        <w:rPr>
          <w:rFonts w:ascii="楷体" w:eastAsia="楷体" w:hAnsi="楷体" w:hint="eastAsia"/>
          <w:color w:val="auto"/>
        </w:rPr>
        <w:t>和</w:t>
      </w:r>
      <w:r w:rsidRPr="008E35D6">
        <w:rPr>
          <w:rFonts w:ascii="楷体" w:eastAsia="楷体" w:hAnsi="楷体"/>
          <w:color w:val="auto"/>
        </w:rPr>
        <w:t>2.69%</w:t>
      </w:r>
      <w:r w:rsidRPr="008E35D6">
        <w:rPr>
          <w:rFonts w:ascii="楷体" w:eastAsia="楷体" w:hAnsi="楷体" w:hint="eastAsia"/>
          <w:color w:val="auto"/>
        </w:rPr>
        <w:t>。此外日本股市受益宽松政策加码日经</w:t>
      </w:r>
      <w:r w:rsidRPr="008E35D6">
        <w:rPr>
          <w:rFonts w:ascii="楷体" w:eastAsia="楷体" w:hAnsi="楷体"/>
          <w:color w:val="auto"/>
        </w:rPr>
        <w:t>225</w:t>
      </w:r>
      <w:r w:rsidRPr="008E35D6">
        <w:rPr>
          <w:rFonts w:ascii="楷体" w:eastAsia="楷体" w:hAnsi="楷体" w:hint="eastAsia"/>
          <w:color w:val="auto"/>
        </w:rPr>
        <w:t>指数大涨超过</w:t>
      </w:r>
      <w:r w:rsidRPr="008E35D6">
        <w:rPr>
          <w:rFonts w:ascii="楷体" w:eastAsia="楷体" w:hAnsi="楷体"/>
          <w:color w:val="auto"/>
        </w:rPr>
        <w:t>6%</w:t>
      </w:r>
      <w:r w:rsidRPr="008E35D6">
        <w:rPr>
          <w:rFonts w:ascii="楷体" w:eastAsia="楷体" w:hAnsi="楷体" w:hint="eastAsia"/>
          <w:color w:val="auto"/>
        </w:rPr>
        <w:t>、而香港市场则微跌</w:t>
      </w:r>
      <w:r w:rsidRPr="008E35D6">
        <w:rPr>
          <w:rFonts w:ascii="楷体" w:eastAsia="楷体" w:hAnsi="楷体"/>
          <w:color w:val="auto"/>
        </w:rPr>
        <w:t>0.04%</w:t>
      </w:r>
      <w:r w:rsidRPr="008E35D6">
        <w:rPr>
          <w:rFonts w:ascii="楷体" w:eastAsia="楷体" w:hAnsi="楷体" w:hint="eastAsia"/>
          <w:color w:val="auto"/>
        </w:rPr>
        <w:t>。</w:t>
      </w:r>
    </w:p>
    <w:p w:rsidR="000F741C" w:rsidRPr="008E35D6" w:rsidRDefault="000F741C" w:rsidP="00D514AF">
      <w:pPr>
        <w:pStyle w:val="BodyText"/>
        <w:numPr>
          <w:ilvl w:val="4"/>
          <w:numId w:val="1"/>
        </w:numPr>
        <w:spacing w:after="163"/>
        <w:rPr>
          <w:rFonts w:ascii="楷体" w:eastAsia="楷体" w:hAnsi="楷体"/>
          <w:color w:val="auto"/>
        </w:rPr>
      </w:pPr>
      <w:r w:rsidRPr="008E35D6">
        <w:rPr>
          <w:rFonts w:ascii="楷体" w:eastAsia="楷体" w:hAnsi="楷体"/>
          <w:color w:val="auto"/>
        </w:rPr>
        <w:t>11</w:t>
      </w:r>
      <w:r w:rsidRPr="008E35D6">
        <w:rPr>
          <w:rFonts w:ascii="楷体" w:eastAsia="楷体" w:hAnsi="楷体" w:hint="eastAsia"/>
          <w:color w:val="auto"/>
        </w:rPr>
        <w:t>月</w:t>
      </w:r>
      <w:r w:rsidRPr="008E35D6">
        <w:rPr>
          <w:rFonts w:ascii="楷体" w:eastAsia="楷体" w:hAnsi="楷体"/>
          <w:color w:val="auto"/>
        </w:rPr>
        <w:t>87</w:t>
      </w:r>
      <w:r w:rsidRPr="008E35D6">
        <w:rPr>
          <w:rFonts w:ascii="楷体" w:eastAsia="楷体" w:hAnsi="楷体" w:hint="eastAsia"/>
          <w:color w:val="auto"/>
        </w:rPr>
        <w:t>只</w:t>
      </w:r>
      <w:r w:rsidRPr="008E35D6">
        <w:rPr>
          <w:rFonts w:ascii="楷体" w:eastAsia="楷体" w:hAnsi="楷体"/>
          <w:color w:val="auto"/>
        </w:rPr>
        <w:t>QDII</w:t>
      </w:r>
      <w:r w:rsidRPr="008E35D6">
        <w:rPr>
          <w:rFonts w:ascii="楷体" w:eastAsia="楷体" w:hAnsi="楷体" w:hint="eastAsia"/>
          <w:color w:val="auto"/>
        </w:rPr>
        <w:t>基金张多跌少，净值简单平均上涨</w:t>
      </w:r>
      <w:r w:rsidRPr="008E35D6">
        <w:rPr>
          <w:rFonts w:ascii="楷体" w:eastAsia="楷体" w:hAnsi="楷体"/>
          <w:color w:val="auto"/>
        </w:rPr>
        <w:t>0.21%</w:t>
      </w:r>
      <w:r w:rsidRPr="008E35D6">
        <w:rPr>
          <w:rFonts w:ascii="楷体" w:eastAsia="楷体" w:hAnsi="楷体" w:hint="eastAsia"/>
          <w:color w:val="auto"/>
        </w:rPr>
        <w:t>。其中股票类产品整体表现相对强势，主投美国地产也股票的国泰美国房地产以</w:t>
      </w:r>
      <w:r w:rsidRPr="008E35D6">
        <w:rPr>
          <w:rFonts w:ascii="楷体" w:eastAsia="楷体" w:hAnsi="楷体"/>
          <w:color w:val="auto"/>
        </w:rPr>
        <w:t>6.05%</w:t>
      </w:r>
      <w:r w:rsidRPr="008E35D6">
        <w:rPr>
          <w:rFonts w:ascii="楷体" w:eastAsia="楷体" w:hAnsi="楷体" w:hint="eastAsia"/>
          <w:color w:val="auto"/>
        </w:rPr>
        <w:t>的月度净值涨幅夺得头筹，此外易方达标普消费品、华安龙头</w:t>
      </w:r>
      <w:r w:rsidRPr="008E35D6">
        <w:rPr>
          <w:rFonts w:ascii="楷体" w:eastAsia="楷体" w:hAnsi="楷体"/>
          <w:color w:val="auto"/>
        </w:rPr>
        <w:t>ETF</w:t>
      </w:r>
      <w:r w:rsidRPr="008E35D6">
        <w:rPr>
          <w:rFonts w:ascii="楷体" w:eastAsia="楷体" w:hAnsi="楷体" w:hint="eastAsia"/>
          <w:color w:val="auto"/>
        </w:rPr>
        <w:t>、嘉实</w:t>
      </w:r>
      <w:r w:rsidRPr="008E35D6">
        <w:rPr>
          <w:rFonts w:ascii="楷体" w:eastAsia="楷体" w:hAnsi="楷体"/>
          <w:color w:val="auto"/>
        </w:rPr>
        <w:t>H</w:t>
      </w:r>
      <w:r w:rsidRPr="008E35D6">
        <w:rPr>
          <w:rFonts w:ascii="楷体" w:eastAsia="楷体" w:hAnsi="楷体" w:hint="eastAsia"/>
          <w:color w:val="auto"/>
        </w:rPr>
        <w:t>股指数、富国全球顶级消费品指数净值涨幅分别为</w:t>
      </w:r>
      <w:r w:rsidRPr="008E35D6">
        <w:rPr>
          <w:rFonts w:ascii="楷体" w:eastAsia="楷体" w:hAnsi="楷体"/>
          <w:color w:val="auto"/>
        </w:rPr>
        <w:t>4.96%</w:t>
      </w:r>
      <w:r w:rsidRPr="008E35D6">
        <w:rPr>
          <w:rFonts w:ascii="楷体" w:eastAsia="楷体" w:hAnsi="楷体" w:hint="eastAsia"/>
          <w:color w:val="auto"/>
        </w:rPr>
        <w:t>、</w:t>
      </w:r>
      <w:r w:rsidRPr="008E35D6">
        <w:rPr>
          <w:rFonts w:ascii="楷体" w:eastAsia="楷体" w:hAnsi="楷体"/>
          <w:color w:val="auto"/>
        </w:rPr>
        <w:t>4.94%</w:t>
      </w:r>
      <w:r w:rsidRPr="008E35D6">
        <w:rPr>
          <w:rFonts w:ascii="楷体" w:eastAsia="楷体" w:hAnsi="楷体" w:hint="eastAsia"/>
          <w:color w:val="auto"/>
        </w:rPr>
        <w:t>、</w:t>
      </w:r>
      <w:r w:rsidRPr="008E35D6">
        <w:rPr>
          <w:rFonts w:ascii="楷体" w:eastAsia="楷体" w:hAnsi="楷体"/>
          <w:color w:val="auto"/>
        </w:rPr>
        <w:t>4.24%</w:t>
      </w:r>
      <w:r w:rsidRPr="008E35D6">
        <w:rPr>
          <w:rFonts w:ascii="楷体" w:eastAsia="楷体" w:hAnsi="楷体" w:hint="eastAsia"/>
          <w:color w:val="auto"/>
        </w:rPr>
        <w:t>和</w:t>
      </w:r>
      <w:r w:rsidRPr="008E35D6">
        <w:rPr>
          <w:rFonts w:ascii="楷体" w:eastAsia="楷体" w:hAnsi="楷体"/>
          <w:color w:val="auto"/>
        </w:rPr>
        <w:t>4.21%</w:t>
      </w:r>
      <w:r w:rsidRPr="008E35D6">
        <w:rPr>
          <w:rFonts w:ascii="楷体" w:eastAsia="楷体" w:hAnsi="楷体" w:hint="eastAsia"/>
          <w:color w:val="auto"/>
        </w:rPr>
        <w:t>，涨幅居前。另一方面大宗商品、资源能源主题类基金表现持续低迷，其中两只油气类产品</w:t>
      </w:r>
      <w:r>
        <w:rPr>
          <w:rFonts w:ascii="楷体" w:eastAsia="楷体" w:hAnsi="楷体" w:hint="eastAsia"/>
          <w:color w:val="auto"/>
        </w:rPr>
        <w:t>净值大幅下挫</w:t>
      </w:r>
      <w:r w:rsidRPr="008E35D6">
        <w:rPr>
          <w:rFonts w:ascii="楷体" w:eastAsia="楷体" w:hAnsi="楷体" w:hint="eastAsia"/>
          <w:color w:val="auto"/>
        </w:rPr>
        <w:t>。</w:t>
      </w:r>
    </w:p>
    <w:tbl>
      <w:tblPr>
        <w:tblpPr w:leftFromText="180" w:rightFromText="180" w:vertAnchor="text" w:horzAnchor="page" w:tblpX="4213" w:tblpY="64"/>
        <w:tblW w:w="6215" w:type="dxa"/>
        <w:tblLook w:val="00A0"/>
      </w:tblPr>
      <w:tblGrid>
        <w:gridCol w:w="882"/>
        <w:gridCol w:w="3484"/>
        <w:gridCol w:w="1216"/>
        <w:gridCol w:w="633"/>
      </w:tblGrid>
      <w:tr w:rsidR="000F741C" w:rsidRPr="00D11FE4" w:rsidTr="003072DB">
        <w:trPr>
          <w:trHeight w:val="283"/>
        </w:trPr>
        <w:tc>
          <w:tcPr>
            <w:tcW w:w="4366" w:type="dxa"/>
            <w:gridSpan w:val="2"/>
            <w:tcBorders>
              <w:top w:val="single" w:sz="8" w:space="0" w:color="E46D0A"/>
              <w:left w:val="nil"/>
              <w:bottom w:val="single" w:sz="8" w:space="0" w:color="E46D0A"/>
              <w:right w:val="nil"/>
            </w:tcBorders>
            <w:noWrap/>
            <w:vAlign w:val="center"/>
          </w:tcPr>
          <w:p w:rsidR="000F741C" w:rsidRPr="003072DB" w:rsidRDefault="000F741C" w:rsidP="003072DB">
            <w:pPr>
              <w:widowControl/>
              <w:jc w:val="left"/>
              <w:rPr>
                <w:rFonts w:ascii="宋体" w:cs="宋体"/>
                <w:b/>
                <w:i/>
                <w:iCs/>
                <w:color w:val="E36C0A"/>
                <w:kern w:val="0"/>
                <w:sz w:val="20"/>
                <w:szCs w:val="20"/>
              </w:rPr>
            </w:pPr>
            <w:r w:rsidRPr="003072DB">
              <w:rPr>
                <w:rFonts w:ascii="宋体" w:hAnsi="宋体" w:cs="宋体" w:hint="eastAsia"/>
                <w:b/>
                <w:i/>
                <w:iCs/>
                <w:color w:val="E36C0A"/>
                <w:kern w:val="0"/>
                <w:sz w:val="20"/>
                <w:szCs w:val="20"/>
              </w:rPr>
              <w:t>图表</w:t>
            </w:r>
            <w:r w:rsidRPr="003072DB">
              <w:rPr>
                <w:rFonts w:ascii="宋体" w:hAnsi="宋体" w:cs="宋体"/>
                <w:b/>
                <w:i/>
                <w:iCs/>
                <w:color w:val="E36C0A"/>
                <w:kern w:val="0"/>
                <w:sz w:val="20"/>
                <w:szCs w:val="20"/>
              </w:rPr>
              <w:t>6:2014</w:t>
            </w:r>
            <w:r>
              <w:rPr>
                <w:rFonts w:ascii="宋体" w:hAnsi="宋体" w:cs="宋体" w:hint="eastAsia"/>
                <w:b/>
                <w:i/>
                <w:iCs/>
                <w:color w:val="E36C0A"/>
                <w:kern w:val="0"/>
                <w:sz w:val="20"/>
                <w:szCs w:val="20"/>
              </w:rPr>
              <w:t>年</w:t>
            </w:r>
            <w:r>
              <w:rPr>
                <w:rFonts w:ascii="宋体" w:hAnsi="宋体" w:cs="宋体"/>
                <w:b/>
                <w:i/>
                <w:iCs/>
                <w:color w:val="E36C0A"/>
                <w:kern w:val="0"/>
                <w:sz w:val="20"/>
                <w:szCs w:val="20"/>
              </w:rPr>
              <w:t>11</w:t>
            </w:r>
            <w:r>
              <w:rPr>
                <w:rFonts w:ascii="宋体" w:hAnsi="宋体" w:cs="宋体" w:hint="eastAsia"/>
                <w:b/>
                <w:i/>
                <w:iCs/>
                <w:color w:val="E36C0A"/>
                <w:kern w:val="0"/>
                <w:sz w:val="20"/>
                <w:szCs w:val="20"/>
              </w:rPr>
              <w:t>月</w:t>
            </w:r>
            <w:r w:rsidRPr="003072DB">
              <w:rPr>
                <w:rFonts w:ascii="宋体" w:hAnsi="宋体" w:cs="宋体"/>
                <w:b/>
                <w:i/>
                <w:iCs/>
                <w:color w:val="E36C0A"/>
                <w:kern w:val="0"/>
                <w:sz w:val="20"/>
                <w:szCs w:val="20"/>
              </w:rPr>
              <w:t>QDII</w:t>
            </w:r>
            <w:r w:rsidRPr="003072DB">
              <w:rPr>
                <w:rFonts w:ascii="宋体" w:hAnsi="宋体" w:cs="宋体" w:hint="eastAsia"/>
                <w:b/>
                <w:i/>
                <w:iCs/>
                <w:color w:val="E36C0A"/>
                <w:kern w:val="0"/>
                <w:sz w:val="20"/>
                <w:szCs w:val="20"/>
              </w:rPr>
              <w:t>产品前</w:t>
            </w:r>
            <w:r>
              <w:rPr>
                <w:rFonts w:ascii="宋体" w:hAnsi="宋体" w:cs="宋体" w:hint="eastAsia"/>
                <w:b/>
                <w:i/>
                <w:iCs/>
                <w:color w:val="E36C0A"/>
                <w:kern w:val="0"/>
                <w:sz w:val="20"/>
                <w:szCs w:val="20"/>
              </w:rPr>
              <w:t>五</w:t>
            </w:r>
          </w:p>
        </w:tc>
        <w:tc>
          <w:tcPr>
            <w:tcW w:w="1216" w:type="dxa"/>
            <w:tcBorders>
              <w:top w:val="single" w:sz="8" w:space="0" w:color="E46D0A"/>
              <w:left w:val="nil"/>
              <w:bottom w:val="single" w:sz="8" w:space="0" w:color="E46D0A"/>
              <w:right w:val="nil"/>
            </w:tcBorders>
            <w:noWrap/>
            <w:vAlign w:val="bottom"/>
          </w:tcPr>
          <w:p w:rsidR="000F741C" w:rsidRPr="003072DB" w:rsidRDefault="000F741C"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c>
          <w:tcPr>
            <w:tcW w:w="633" w:type="dxa"/>
            <w:tcBorders>
              <w:top w:val="single" w:sz="8" w:space="0" w:color="E46D0A"/>
              <w:left w:val="nil"/>
              <w:bottom w:val="single" w:sz="8" w:space="0" w:color="E46D0A"/>
              <w:right w:val="nil"/>
            </w:tcBorders>
            <w:noWrap/>
            <w:vAlign w:val="bottom"/>
          </w:tcPr>
          <w:p w:rsidR="000F741C" w:rsidRPr="003072DB" w:rsidRDefault="000F741C"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r>
      <w:tr w:rsidR="000F741C" w:rsidRPr="00D11FE4" w:rsidTr="003072DB">
        <w:trPr>
          <w:trHeight w:val="432"/>
        </w:trPr>
        <w:tc>
          <w:tcPr>
            <w:tcW w:w="882"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市场代码</w:t>
            </w:r>
          </w:p>
        </w:tc>
        <w:tc>
          <w:tcPr>
            <w:tcW w:w="3484"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基金名称</w:t>
            </w:r>
          </w:p>
        </w:tc>
        <w:tc>
          <w:tcPr>
            <w:tcW w:w="1216" w:type="dxa"/>
            <w:tcBorders>
              <w:top w:val="nil"/>
              <w:left w:val="nil"/>
              <w:bottom w:val="single" w:sz="8" w:space="0" w:color="E46D0A"/>
              <w:right w:val="nil"/>
            </w:tcBorders>
            <w:vAlign w:val="center"/>
          </w:tcPr>
          <w:p w:rsidR="000F741C" w:rsidRPr="003072DB" w:rsidRDefault="000F741C" w:rsidP="003072DB">
            <w:pPr>
              <w:widowControl/>
              <w:jc w:val="center"/>
              <w:rPr>
                <w:rFonts w:ascii="宋体" w:cs="宋体"/>
                <w:color w:val="000000"/>
                <w:kern w:val="0"/>
                <w:sz w:val="16"/>
                <w:szCs w:val="16"/>
              </w:rPr>
            </w:pPr>
            <w:r>
              <w:rPr>
                <w:rFonts w:ascii="宋体" w:hAnsi="宋体" w:cs="宋体"/>
                <w:color w:val="000000"/>
                <w:kern w:val="0"/>
                <w:sz w:val="16"/>
                <w:szCs w:val="16"/>
              </w:rPr>
              <w:t>11</w:t>
            </w:r>
            <w:r>
              <w:rPr>
                <w:rFonts w:ascii="宋体" w:hAnsi="宋体" w:cs="宋体" w:hint="eastAsia"/>
                <w:color w:val="000000"/>
                <w:kern w:val="0"/>
                <w:sz w:val="16"/>
                <w:szCs w:val="16"/>
              </w:rPr>
              <w:t>月</w:t>
            </w:r>
            <w:r w:rsidRPr="003072DB">
              <w:rPr>
                <w:rFonts w:ascii="宋体" w:hAnsi="宋体" w:cs="宋体" w:hint="eastAsia"/>
                <w:color w:val="000000"/>
                <w:kern w:val="0"/>
                <w:sz w:val="16"/>
                <w:szCs w:val="16"/>
              </w:rPr>
              <w:t>业绩（</w:t>
            </w:r>
            <w:r w:rsidRPr="003072DB">
              <w:rPr>
                <w:rFonts w:ascii="宋体" w:hAnsi="宋体" w:cs="宋体"/>
                <w:color w:val="000000"/>
                <w:kern w:val="0"/>
                <w:sz w:val="16"/>
                <w:szCs w:val="16"/>
              </w:rPr>
              <w:t>%</w:t>
            </w:r>
            <w:r w:rsidRPr="003072DB">
              <w:rPr>
                <w:rFonts w:ascii="宋体" w:hAnsi="宋体" w:cs="宋体" w:hint="eastAsia"/>
                <w:color w:val="000000"/>
                <w:kern w:val="0"/>
                <w:sz w:val="16"/>
                <w:szCs w:val="16"/>
              </w:rPr>
              <w:t>）</w:t>
            </w:r>
          </w:p>
        </w:tc>
        <w:tc>
          <w:tcPr>
            <w:tcW w:w="633" w:type="dxa"/>
            <w:tcBorders>
              <w:top w:val="nil"/>
              <w:left w:val="nil"/>
              <w:bottom w:val="single" w:sz="8" w:space="0" w:color="E46D0A"/>
              <w:right w:val="nil"/>
            </w:tcBorders>
            <w:noWrap/>
            <w:vAlign w:val="center"/>
          </w:tcPr>
          <w:p w:rsidR="000F741C" w:rsidRPr="003072DB" w:rsidRDefault="000F741C"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排名</w:t>
            </w:r>
          </w:p>
        </w:tc>
      </w:tr>
      <w:tr w:rsidR="000F741C" w:rsidRPr="00D11FE4" w:rsidTr="003072DB">
        <w:trPr>
          <w:trHeight w:val="268"/>
        </w:trPr>
        <w:tc>
          <w:tcPr>
            <w:tcW w:w="882"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000193</w:t>
            </w:r>
          </w:p>
        </w:tc>
        <w:tc>
          <w:tcPr>
            <w:tcW w:w="3484"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国泰美国房地产</w:t>
            </w:r>
          </w:p>
        </w:tc>
        <w:tc>
          <w:tcPr>
            <w:tcW w:w="12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6.05</w:t>
            </w:r>
          </w:p>
        </w:tc>
        <w:tc>
          <w:tcPr>
            <w:tcW w:w="633"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color w:val="000000"/>
                <w:sz w:val="16"/>
                <w:szCs w:val="16"/>
              </w:rPr>
              <w:t>1</w:t>
            </w:r>
          </w:p>
        </w:tc>
      </w:tr>
      <w:tr w:rsidR="000F741C" w:rsidRPr="00D11FE4" w:rsidTr="003072DB">
        <w:trPr>
          <w:trHeight w:val="268"/>
        </w:trPr>
        <w:tc>
          <w:tcPr>
            <w:tcW w:w="882"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118002</w:t>
            </w:r>
          </w:p>
        </w:tc>
        <w:tc>
          <w:tcPr>
            <w:tcW w:w="3484"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易方达标普消费品指数增强（</w:t>
            </w:r>
            <w:r w:rsidRPr="00D11FE4">
              <w:rPr>
                <w:color w:val="000000"/>
                <w:sz w:val="16"/>
                <w:szCs w:val="16"/>
              </w:rPr>
              <w:t>QDII)</w:t>
            </w:r>
          </w:p>
        </w:tc>
        <w:tc>
          <w:tcPr>
            <w:tcW w:w="12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4.96</w:t>
            </w:r>
          </w:p>
        </w:tc>
        <w:tc>
          <w:tcPr>
            <w:tcW w:w="633"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color w:val="000000"/>
                <w:sz w:val="16"/>
                <w:szCs w:val="16"/>
              </w:rPr>
              <w:t>2</w:t>
            </w:r>
          </w:p>
        </w:tc>
      </w:tr>
      <w:tr w:rsidR="000F741C" w:rsidRPr="00D11FE4" w:rsidTr="003072DB">
        <w:trPr>
          <w:trHeight w:val="268"/>
        </w:trPr>
        <w:tc>
          <w:tcPr>
            <w:tcW w:w="882"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513030</w:t>
            </w:r>
          </w:p>
        </w:tc>
        <w:tc>
          <w:tcPr>
            <w:tcW w:w="3484"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华安龙头</w:t>
            </w:r>
            <w:r w:rsidRPr="00D11FE4">
              <w:rPr>
                <w:color w:val="000000"/>
                <w:sz w:val="16"/>
                <w:szCs w:val="16"/>
              </w:rPr>
              <w:t>ETF</w:t>
            </w:r>
          </w:p>
        </w:tc>
        <w:tc>
          <w:tcPr>
            <w:tcW w:w="12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4.94</w:t>
            </w:r>
          </w:p>
        </w:tc>
        <w:tc>
          <w:tcPr>
            <w:tcW w:w="633"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color w:val="000000"/>
                <w:sz w:val="16"/>
                <w:szCs w:val="16"/>
              </w:rPr>
              <w:t>3</w:t>
            </w:r>
          </w:p>
        </w:tc>
      </w:tr>
      <w:tr w:rsidR="000F741C" w:rsidRPr="00D11FE4" w:rsidTr="003072DB">
        <w:trPr>
          <w:trHeight w:val="268"/>
        </w:trPr>
        <w:tc>
          <w:tcPr>
            <w:tcW w:w="882"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160717</w:t>
            </w:r>
          </w:p>
        </w:tc>
        <w:tc>
          <w:tcPr>
            <w:tcW w:w="3484"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嘉实</w:t>
            </w:r>
            <w:r w:rsidRPr="00D11FE4">
              <w:rPr>
                <w:color w:val="000000"/>
                <w:sz w:val="16"/>
                <w:szCs w:val="16"/>
              </w:rPr>
              <w:t>H</w:t>
            </w:r>
            <w:r w:rsidRPr="00D11FE4">
              <w:rPr>
                <w:rFonts w:hint="eastAsia"/>
                <w:color w:val="000000"/>
                <w:sz w:val="16"/>
                <w:szCs w:val="16"/>
              </w:rPr>
              <w:t>股指数（</w:t>
            </w:r>
            <w:r w:rsidRPr="00D11FE4">
              <w:rPr>
                <w:color w:val="000000"/>
                <w:sz w:val="16"/>
                <w:szCs w:val="16"/>
              </w:rPr>
              <w:t>QDII-LOF</w:t>
            </w:r>
            <w:r w:rsidRPr="00D11FE4">
              <w:rPr>
                <w:rFonts w:hint="eastAsia"/>
                <w:color w:val="000000"/>
                <w:sz w:val="16"/>
                <w:szCs w:val="16"/>
              </w:rPr>
              <w:t>）</w:t>
            </w:r>
          </w:p>
        </w:tc>
        <w:tc>
          <w:tcPr>
            <w:tcW w:w="1216" w:type="dxa"/>
            <w:tcBorders>
              <w:top w:val="nil"/>
              <w:left w:val="nil"/>
              <w:bottom w:val="nil"/>
              <w:right w:val="nil"/>
            </w:tcBorders>
            <w:noWrap/>
            <w:vAlign w:val="center"/>
          </w:tcPr>
          <w:p w:rsidR="000F741C" w:rsidRDefault="000F741C">
            <w:pPr>
              <w:jc w:val="center"/>
              <w:rPr>
                <w:rFonts w:cs="宋体"/>
                <w:color w:val="000000"/>
                <w:sz w:val="16"/>
                <w:szCs w:val="16"/>
              </w:rPr>
            </w:pPr>
            <w:r w:rsidRPr="00D11FE4">
              <w:rPr>
                <w:color w:val="000000"/>
                <w:sz w:val="16"/>
                <w:szCs w:val="16"/>
              </w:rPr>
              <w:t>4.24</w:t>
            </w:r>
          </w:p>
        </w:tc>
        <w:tc>
          <w:tcPr>
            <w:tcW w:w="633" w:type="dxa"/>
            <w:tcBorders>
              <w:top w:val="nil"/>
              <w:left w:val="nil"/>
              <w:bottom w:val="nil"/>
              <w:right w:val="nil"/>
            </w:tcBorders>
            <w:noWrap/>
            <w:vAlign w:val="center"/>
          </w:tcPr>
          <w:p w:rsidR="000F741C" w:rsidRDefault="000F741C">
            <w:pPr>
              <w:jc w:val="center"/>
              <w:rPr>
                <w:rFonts w:ascii="宋体" w:cs="宋体"/>
                <w:color w:val="000000"/>
                <w:sz w:val="16"/>
                <w:szCs w:val="16"/>
              </w:rPr>
            </w:pPr>
            <w:r w:rsidRPr="00D11FE4">
              <w:rPr>
                <w:color w:val="000000"/>
                <w:sz w:val="16"/>
                <w:szCs w:val="16"/>
              </w:rPr>
              <w:t>4</w:t>
            </w:r>
          </w:p>
        </w:tc>
      </w:tr>
      <w:tr w:rsidR="000F741C" w:rsidRPr="00D11FE4" w:rsidTr="003072DB">
        <w:trPr>
          <w:trHeight w:val="283"/>
        </w:trPr>
        <w:tc>
          <w:tcPr>
            <w:tcW w:w="882" w:type="dxa"/>
            <w:tcBorders>
              <w:top w:val="nil"/>
              <w:left w:val="nil"/>
              <w:bottom w:val="single" w:sz="8" w:space="0" w:color="E46D0A"/>
              <w:right w:val="nil"/>
            </w:tcBorders>
            <w:noWrap/>
            <w:vAlign w:val="center"/>
          </w:tcPr>
          <w:p w:rsidR="000F741C" w:rsidRDefault="000F741C">
            <w:pPr>
              <w:jc w:val="center"/>
              <w:rPr>
                <w:rFonts w:cs="宋体"/>
                <w:color w:val="000000"/>
                <w:sz w:val="16"/>
                <w:szCs w:val="16"/>
              </w:rPr>
            </w:pPr>
            <w:r w:rsidRPr="00D11FE4">
              <w:rPr>
                <w:color w:val="000000"/>
                <w:sz w:val="16"/>
                <w:szCs w:val="16"/>
              </w:rPr>
              <w:t>100055</w:t>
            </w:r>
          </w:p>
        </w:tc>
        <w:tc>
          <w:tcPr>
            <w:tcW w:w="3484" w:type="dxa"/>
            <w:tcBorders>
              <w:top w:val="nil"/>
              <w:left w:val="nil"/>
              <w:bottom w:val="single" w:sz="8" w:space="0" w:color="E46D0A"/>
              <w:right w:val="nil"/>
            </w:tcBorders>
            <w:noWrap/>
            <w:vAlign w:val="center"/>
          </w:tcPr>
          <w:p w:rsidR="000F741C" w:rsidRDefault="000F741C">
            <w:pPr>
              <w:jc w:val="center"/>
              <w:rPr>
                <w:rFonts w:ascii="宋体" w:cs="宋体"/>
                <w:color w:val="000000"/>
                <w:sz w:val="16"/>
                <w:szCs w:val="16"/>
              </w:rPr>
            </w:pPr>
            <w:r w:rsidRPr="00D11FE4">
              <w:rPr>
                <w:rFonts w:hint="eastAsia"/>
                <w:color w:val="000000"/>
                <w:sz w:val="16"/>
                <w:szCs w:val="16"/>
              </w:rPr>
              <w:t>富国全球顶级消费品股票（</w:t>
            </w:r>
            <w:r w:rsidRPr="00D11FE4">
              <w:rPr>
                <w:color w:val="000000"/>
                <w:sz w:val="16"/>
                <w:szCs w:val="16"/>
              </w:rPr>
              <w:t>QDII</w:t>
            </w:r>
            <w:r w:rsidRPr="00D11FE4">
              <w:rPr>
                <w:rFonts w:hint="eastAsia"/>
                <w:color w:val="000000"/>
                <w:sz w:val="16"/>
                <w:szCs w:val="16"/>
              </w:rPr>
              <w:t>）</w:t>
            </w:r>
          </w:p>
        </w:tc>
        <w:tc>
          <w:tcPr>
            <w:tcW w:w="1216" w:type="dxa"/>
            <w:tcBorders>
              <w:top w:val="nil"/>
              <w:left w:val="nil"/>
              <w:bottom w:val="single" w:sz="8" w:space="0" w:color="E46D0A"/>
              <w:right w:val="nil"/>
            </w:tcBorders>
            <w:noWrap/>
            <w:vAlign w:val="center"/>
          </w:tcPr>
          <w:p w:rsidR="000F741C" w:rsidRDefault="000F741C">
            <w:pPr>
              <w:jc w:val="center"/>
              <w:rPr>
                <w:rFonts w:cs="宋体"/>
                <w:color w:val="000000"/>
                <w:sz w:val="16"/>
                <w:szCs w:val="16"/>
              </w:rPr>
            </w:pPr>
            <w:r w:rsidRPr="00D11FE4">
              <w:rPr>
                <w:color w:val="000000"/>
                <w:sz w:val="16"/>
                <w:szCs w:val="16"/>
              </w:rPr>
              <w:t>4.21</w:t>
            </w:r>
          </w:p>
        </w:tc>
        <w:tc>
          <w:tcPr>
            <w:tcW w:w="633" w:type="dxa"/>
            <w:tcBorders>
              <w:top w:val="nil"/>
              <w:left w:val="nil"/>
              <w:bottom w:val="single" w:sz="8" w:space="0" w:color="E46D0A"/>
              <w:right w:val="nil"/>
            </w:tcBorders>
            <w:noWrap/>
            <w:vAlign w:val="center"/>
          </w:tcPr>
          <w:p w:rsidR="000F741C" w:rsidRDefault="000F741C">
            <w:pPr>
              <w:jc w:val="center"/>
              <w:rPr>
                <w:rFonts w:ascii="宋体" w:cs="宋体"/>
                <w:color w:val="000000"/>
                <w:sz w:val="16"/>
                <w:szCs w:val="16"/>
              </w:rPr>
            </w:pPr>
            <w:r w:rsidRPr="00D11FE4">
              <w:rPr>
                <w:color w:val="000000"/>
                <w:sz w:val="16"/>
                <w:szCs w:val="16"/>
              </w:rPr>
              <w:t>5</w:t>
            </w:r>
          </w:p>
        </w:tc>
      </w:tr>
      <w:tr w:rsidR="000F741C" w:rsidRPr="00D11FE4" w:rsidTr="003953B6">
        <w:trPr>
          <w:trHeight w:val="283"/>
        </w:trPr>
        <w:tc>
          <w:tcPr>
            <w:tcW w:w="4366" w:type="dxa"/>
            <w:gridSpan w:val="2"/>
            <w:tcBorders>
              <w:top w:val="single" w:sz="8" w:space="0" w:color="E46D0A"/>
              <w:left w:val="nil"/>
              <w:bottom w:val="single" w:sz="8" w:space="0" w:color="E46D0A"/>
              <w:right w:val="nil"/>
            </w:tcBorders>
            <w:noWrap/>
            <w:vAlign w:val="center"/>
          </w:tcPr>
          <w:p w:rsidR="000F741C" w:rsidRPr="003072DB" w:rsidRDefault="000F741C"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来源：凯石财富工场</w:t>
            </w:r>
          </w:p>
        </w:tc>
        <w:tc>
          <w:tcPr>
            <w:tcW w:w="1216" w:type="dxa"/>
            <w:tcBorders>
              <w:top w:val="nil"/>
              <w:left w:val="nil"/>
              <w:bottom w:val="nil"/>
              <w:right w:val="nil"/>
            </w:tcBorders>
            <w:noWrap/>
            <w:vAlign w:val="bottom"/>
          </w:tcPr>
          <w:p w:rsidR="000F741C" w:rsidRPr="003072DB" w:rsidRDefault="000F741C"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 xml:space="preserve">　</w:t>
            </w:r>
          </w:p>
        </w:tc>
        <w:tc>
          <w:tcPr>
            <w:tcW w:w="633" w:type="dxa"/>
            <w:tcBorders>
              <w:top w:val="nil"/>
              <w:left w:val="nil"/>
              <w:bottom w:val="nil"/>
              <w:right w:val="nil"/>
            </w:tcBorders>
            <w:noWrap/>
            <w:vAlign w:val="bottom"/>
          </w:tcPr>
          <w:p w:rsidR="000F741C" w:rsidRPr="003072DB" w:rsidRDefault="000F741C"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 xml:space="preserve">　</w:t>
            </w:r>
          </w:p>
        </w:tc>
      </w:tr>
    </w:tbl>
    <w:p w:rsidR="000F741C" w:rsidRPr="008E35D6" w:rsidRDefault="000F741C" w:rsidP="003072DB">
      <w:pPr>
        <w:pStyle w:val="BodyText"/>
        <w:spacing w:after="163"/>
        <w:ind w:left="3799"/>
        <w:rPr>
          <w:rFonts w:ascii="楷体" w:eastAsia="楷体" w:hAnsi="楷体"/>
          <w:color w:val="auto"/>
        </w:rPr>
      </w:pPr>
    </w:p>
    <w:p w:rsidR="000F741C" w:rsidRPr="008E35D6" w:rsidRDefault="000F741C" w:rsidP="00BC47C9">
      <w:pPr>
        <w:widowControl/>
        <w:spacing w:beforeLines="100" w:after="120" w:line="240" w:lineRule="exact"/>
        <w:ind w:firstLineChars="1372" w:firstLine="3306"/>
        <w:rPr>
          <w:rFonts w:ascii="楷体" w:eastAsia="楷体" w:hAnsi="楷体"/>
          <w:b/>
          <w:bCs/>
          <w:color w:val="0070C0"/>
          <w:kern w:val="0"/>
          <w:sz w:val="24"/>
          <w:szCs w:val="20"/>
          <w:lang w:val="en-GB"/>
        </w:rPr>
      </w:pPr>
      <w:r w:rsidRPr="008E35D6">
        <w:rPr>
          <w:rFonts w:ascii="楷体" w:eastAsia="楷体" w:hAnsi="楷体" w:hint="eastAsia"/>
          <w:b/>
          <w:bCs/>
          <w:color w:val="0070C0"/>
          <w:kern w:val="0"/>
          <w:sz w:val="24"/>
          <w:szCs w:val="20"/>
          <w:lang w:val="en-GB"/>
        </w:rPr>
        <w:t>月度基金发行情况概览</w:t>
      </w:r>
    </w:p>
    <w:p w:rsidR="000F741C" w:rsidRPr="008E35D6" w:rsidRDefault="000F741C" w:rsidP="00954DC9">
      <w:pPr>
        <w:pStyle w:val="BodyText"/>
        <w:numPr>
          <w:ilvl w:val="4"/>
          <w:numId w:val="1"/>
        </w:numPr>
        <w:spacing w:after="163"/>
        <w:rPr>
          <w:rFonts w:ascii="楷体" w:eastAsia="楷体" w:hAnsi="楷体"/>
          <w:color w:val="auto"/>
        </w:rPr>
      </w:pPr>
      <w:r w:rsidRPr="008E35D6">
        <w:rPr>
          <w:rFonts w:ascii="楷体" w:eastAsia="楷体" w:hAnsi="楷体"/>
          <w:color w:val="auto"/>
        </w:rPr>
        <w:t>11</w:t>
      </w:r>
      <w:r w:rsidRPr="008E35D6">
        <w:rPr>
          <w:rFonts w:ascii="楷体" w:eastAsia="楷体" w:hAnsi="楷体" w:hint="eastAsia"/>
          <w:color w:val="auto"/>
        </w:rPr>
        <w:t>月</w:t>
      </w:r>
      <w:r w:rsidRPr="008E35D6">
        <w:rPr>
          <w:rFonts w:ascii="楷体" w:eastAsia="楷体" w:hAnsi="楷体"/>
          <w:color w:val="auto"/>
        </w:rPr>
        <w:t>A</w:t>
      </w:r>
      <w:r w:rsidRPr="008E35D6">
        <w:rPr>
          <w:rFonts w:ascii="楷体" w:eastAsia="楷体" w:hAnsi="楷体" w:hint="eastAsia"/>
          <w:color w:val="auto"/>
        </w:rPr>
        <w:t>股市场迎来普涨，发行市场再度转暖，月内新设基金产品数量达到</w:t>
      </w:r>
      <w:r w:rsidRPr="008E35D6">
        <w:rPr>
          <w:rFonts w:ascii="楷体" w:eastAsia="楷体" w:hAnsi="楷体"/>
          <w:color w:val="auto"/>
        </w:rPr>
        <w:t>36</w:t>
      </w:r>
      <w:r w:rsidRPr="008E35D6">
        <w:rPr>
          <w:rFonts w:ascii="楷体" w:eastAsia="楷体" w:hAnsi="楷体" w:hint="eastAsia"/>
          <w:color w:val="auto"/>
        </w:rPr>
        <w:t>只，较上月实现倍增，而总募集规模也随之升至</w:t>
      </w:r>
      <w:r w:rsidRPr="008E35D6">
        <w:rPr>
          <w:rFonts w:ascii="楷体" w:eastAsia="楷体" w:hAnsi="楷体"/>
          <w:color w:val="auto"/>
        </w:rPr>
        <w:t>375.31</w:t>
      </w:r>
      <w:r w:rsidRPr="008E35D6">
        <w:rPr>
          <w:rFonts w:ascii="楷体" w:eastAsia="楷体" w:hAnsi="楷体" w:hint="eastAsia"/>
          <w:color w:val="auto"/>
        </w:rPr>
        <w:t>亿元，至此今年新设基金总募集规模已突破</w:t>
      </w:r>
      <w:r w:rsidRPr="008E35D6">
        <w:rPr>
          <w:rFonts w:ascii="楷体" w:eastAsia="楷体" w:hAnsi="楷体"/>
          <w:color w:val="auto"/>
        </w:rPr>
        <w:t>3000</w:t>
      </w:r>
      <w:r w:rsidRPr="008E35D6">
        <w:rPr>
          <w:rFonts w:ascii="楷体" w:eastAsia="楷体" w:hAnsi="楷体" w:hint="eastAsia"/>
          <w:color w:val="auto"/>
        </w:rPr>
        <w:t>亿元。从产品结构上来看，新增权益类产品</w:t>
      </w:r>
      <w:r w:rsidRPr="008E35D6">
        <w:rPr>
          <w:rFonts w:ascii="楷体" w:eastAsia="楷体" w:hAnsi="楷体"/>
          <w:color w:val="auto"/>
        </w:rPr>
        <w:t>22</w:t>
      </w:r>
      <w:r w:rsidRPr="008E35D6">
        <w:rPr>
          <w:rFonts w:ascii="楷体" w:eastAsia="楷体" w:hAnsi="楷体" w:hint="eastAsia"/>
          <w:color w:val="auto"/>
        </w:rPr>
        <w:t>只，共募得</w:t>
      </w:r>
      <w:r w:rsidRPr="008E35D6">
        <w:rPr>
          <w:rFonts w:ascii="楷体" w:eastAsia="楷体" w:hAnsi="楷体"/>
          <w:color w:val="auto"/>
        </w:rPr>
        <w:t>223.59</w:t>
      </w:r>
      <w:r w:rsidRPr="008E35D6">
        <w:rPr>
          <w:rFonts w:ascii="楷体" w:eastAsia="楷体" w:hAnsi="楷体" w:hint="eastAsia"/>
          <w:color w:val="auto"/>
        </w:rPr>
        <w:t>亿元；其中股票型基金</w:t>
      </w:r>
      <w:r w:rsidRPr="008E35D6">
        <w:rPr>
          <w:rFonts w:ascii="楷体" w:eastAsia="楷体" w:hAnsi="楷体"/>
          <w:color w:val="auto"/>
        </w:rPr>
        <w:t>11</w:t>
      </w:r>
      <w:r w:rsidRPr="008E35D6">
        <w:rPr>
          <w:rFonts w:ascii="楷体" w:eastAsia="楷体" w:hAnsi="楷体" w:hint="eastAsia"/>
          <w:color w:val="auto"/>
        </w:rPr>
        <w:t>只，募集规模为</w:t>
      </w:r>
      <w:r w:rsidRPr="008E35D6">
        <w:rPr>
          <w:rFonts w:ascii="楷体" w:eastAsia="楷体" w:hAnsi="楷体"/>
          <w:color w:val="auto"/>
        </w:rPr>
        <w:t>80.40</w:t>
      </w:r>
      <w:r w:rsidRPr="008E35D6">
        <w:rPr>
          <w:rFonts w:ascii="楷体" w:eastAsia="楷体" w:hAnsi="楷体" w:hint="eastAsia"/>
          <w:color w:val="auto"/>
        </w:rPr>
        <w:t>亿元；混合基金</w:t>
      </w:r>
      <w:r w:rsidRPr="008E35D6">
        <w:rPr>
          <w:rFonts w:ascii="楷体" w:eastAsia="楷体" w:hAnsi="楷体"/>
          <w:color w:val="auto"/>
        </w:rPr>
        <w:t>10</w:t>
      </w:r>
      <w:r w:rsidRPr="008E35D6">
        <w:rPr>
          <w:rFonts w:ascii="楷体" w:eastAsia="楷体" w:hAnsi="楷体" w:hint="eastAsia"/>
          <w:color w:val="auto"/>
        </w:rPr>
        <w:t>只，募集规模</w:t>
      </w:r>
      <w:r w:rsidRPr="008E35D6">
        <w:rPr>
          <w:rFonts w:ascii="楷体" w:eastAsia="楷体" w:hAnsi="楷体"/>
          <w:color w:val="auto"/>
        </w:rPr>
        <w:t>138.45</w:t>
      </w:r>
      <w:r w:rsidRPr="008E35D6">
        <w:rPr>
          <w:rFonts w:ascii="楷体" w:eastAsia="楷体" w:hAnsi="楷体" w:hint="eastAsia"/>
          <w:color w:val="auto"/>
        </w:rPr>
        <w:t>亿元，另有</w:t>
      </w:r>
      <w:r w:rsidRPr="008E35D6">
        <w:rPr>
          <w:rFonts w:ascii="楷体" w:eastAsia="楷体" w:hAnsi="楷体"/>
          <w:color w:val="auto"/>
        </w:rPr>
        <w:t>1</w:t>
      </w:r>
      <w:r w:rsidRPr="008E35D6">
        <w:rPr>
          <w:rFonts w:ascii="楷体" w:eastAsia="楷体" w:hAnsi="楷体" w:hint="eastAsia"/>
          <w:color w:val="auto"/>
        </w:rPr>
        <w:t>只</w:t>
      </w:r>
      <w:r w:rsidRPr="008E35D6">
        <w:rPr>
          <w:rFonts w:ascii="楷体" w:eastAsia="楷体" w:hAnsi="楷体"/>
          <w:color w:val="auto"/>
        </w:rPr>
        <w:t>QDII</w:t>
      </w:r>
      <w:r w:rsidRPr="008E35D6">
        <w:rPr>
          <w:rFonts w:ascii="楷体" w:eastAsia="楷体" w:hAnsi="楷体" w:hint="eastAsia"/>
          <w:color w:val="auto"/>
        </w:rPr>
        <w:t>首募</w:t>
      </w:r>
      <w:r w:rsidRPr="008E35D6">
        <w:rPr>
          <w:rFonts w:ascii="楷体" w:eastAsia="楷体" w:hAnsi="楷体"/>
          <w:color w:val="auto"/>
        </w:rPr>
        <w:t>4.74</w:t>
      </w:r>
      <w:r w:rsidRPr="008E35D6">
        <w:rPr>
          <w:rFonts w:ascii="楷体" w:eastAsia="楷体" w:hAnsi="楷体" w:hint="eastAsia"/>
          <w:color w:val="auto"/>
        </w:rPr>
        <w:t>亿元。此外，新增固定收益类产品</w:t>
      </w:r>
      <w:r w:rsidRPr="008E35D6">
        <w:rPr>
          <w:rFonts w:ascii="楷体" w:eastAsia="楷体" w:hAnsi="楷体"/>
          <w:color w:val="auto"/>
        </w:rPr>
        <w:t>14</w:t>
      </w:r>
      <w:r w:rsidRPr="008E35D6">
        <w:rPr>
          <w:rFonts w:ascii="楷体" w:eastAsia="楷体" w:hAnsi="楷体" w:hint="eastAsia"/>
          <w:color w:val="auto"/>
        </w:rPr>
        <w:t>只，募集规模总计</w:t>
      </w:r>
      <w:r w:rsidRPr="008E35D6">
        <w:rPr>
          <w:rFonts w:ascii="楷体" w:eastAsia="楷体" w:hAnsi="楷体"/>
          <w:color w:val="auto"/>
        </w:rPr>
        <w:t>151.71</w:t>
      </w:r>
      <w:r w:rsidRPr="008E35D6">
        <w:rPr>
          <w:rFonts w:ascii="楷体" w:eastAsia="楷体" w:hAnsi="楷体" w:hint="eastAsia"/>
          <w:color w:val="auto"/>
        </w:rPr>
        <w:t>亿元；其中债券型</w:t>
      </w:r>
      <w:r w:rsidRPr="008E35D6">
        <w:rPr>
          <w:rFonts w:ascii="楷体" w:eastAsia="楷体" w:hAnsi="楷体"/>
          <w:color w:val="auto"/>
        </w:rPr>
        <w:t>5</w:t>
      </w:r>
      <w:r w:rsidRPr="008E35D6">
        <w:rPr>
          <w:rFonts w:ascii="楷体" w:eastAsia="楷体" w:hAnsi="楷体" w:hint="eastAsia"/>
          <w:color w:val="auto"/>
        </w:rPr>
        <w:t>只、货币型</w:t>
      </w:r>
      <w:r w:rsidRPr="008E35D6">
        <w:rPr>
          <w:rFonts w:ascii="楷体" w:eastAsia="楷体" w:hAnsi="楷体"/>
          <w:color w:val="auto"/>
        </w:rPr>
        <w:t>9</w:t>
      </w:r>
      <w:r w:rsidRPr="008E35D6">
        <w:rPr>
          <w:rFonts w:ascii="楷体" w:eastAsia="楷体" w:hAnsi="楷体" w:hint="eastAsia"/>
          <w:color w:val="auto"/>
        </w:rPr>
        <w:t>只，募集规模分别为</w:t>
      </w:r>
      <w:r w:rsidRPr="008E35D6">
        <w:rPr>
          <w:rFonts w:ascii="楷体" w:eastAsia="楷体" w:hAnsi="楷体"/>
          <w:color w:val="auto"/>
        </w:rPr>
        <w:t>112.27</w:t>
      </w:r>
      <w:r w:rsidRPr="008E35D6">
        <w:rPr>
          <w:rFonts w:ascii="楷体" w:eastAsia="楷体" w:hAnsi="楷体" w:hint="eastAsia"/>
          <w:color w:val="auto"/>
        </w:rPr>
        <w:t>、</w:t>
      </w:r>
      <w:r w:rsidRPr="008E35D6">
        <w:rPr>
          <w:rFonts w:ascii="楷体" w:eastAsia="楷体" w:hAnsi="楷体"/>
          <w:color w:val="auto"/>
        </w:rPr>
        <w:t>39.45</w:t>
      </w:r>
      <w:r w:rsidRPr="008E35D6">
        <w:rPr>
          <w:rFonts w:ascii="楷体" w:eastAsia="楷体" w:hAnsi="楷体" w:hint="eastAsia"/>
          <w:color w:val="auto"/>
        </w:rPr>
        <w:t>亿元。</w:t>
      </w:r>
      <w:r w:rsidRPr="000E310E">
        <w:rPr>
          <w:rFonts w:ascii="楷体" w:eastAsia="楷体" w:hAnsi="楷体" w:hint="eastAsia"/>
          <w:color w:val="auto"/>
        </w:rPr>
        <w:t>从各类基金的平均募集规模来看，债券基金平均首募规模</w:t>
      </w:r>
      <w:r w:rsidRPr="000E310E">
        <w:rPr>
          <w:rFonts w:ascii="楷体" w:eastAsia="楷体" w:hAnsi="楷体"/>
          <w:color w:val="auto"/>
        </w:rPr>
        <w:t>22.45</w:t>
      </w:r>
      <w:r w:rsidRPr="000E310E">
        <w:rPr>
          <w:rFonts w:ascii="楷体" w:eastAsia="楷体" w:hAnsi="楷体" w:hint="eastAsia"/>
          <w:color w:val="auto"/>
        </w:rPr>
        <w:t>亿元，最受投资者认可，而此</w:t>
      </w:r>
      <w:r>
        <w:rPr>
          <w:rFonts w:ascii="楷体" w:eastAsia="楷体" w:hAnsi="楷体" w:hint="eastAsia"/>
          <w:color w:val="auto"/>
        </w:rPr>
        <w:t>前</w:t>
      </w:r>
      <w:r w:rsidRPr="000E310E">
        <w:rPr>
          <w:rFonts w:ascii="楷体" w:eastAsia="楷体" w:hAnsi="楷体" w:hint="eastAsia"/>
          <w:color w:val="auto"/>
        </w:rPr>
        <w:t>颇受追捧的货币基金则出现大幅缩水，平均募集规模仅为</w:t>
      </w:r>
      <w:r w:rsidRPr="000E310E">
        <w:rPr>
          <w:rFonts w:ascii="楷体" w:eastAsia="楷体" w:hAnsi="楷体"/>
          <w:color w:val="auto"/>
        </w:rPr>
        <w:t>4.38</w:t>
      </w:r>
      <w:r w:rsidRPr="000E310E">
        <w:rPr>
          <w:rFonts w:ascii="楷体" w:eastAsia="楷体" w:hAnsi="楷体" w:hint="eastAsia"/>
          <w:color w:val="auto"/>
        </w:rPr>
        <w:t>亿元。</w:t>
      </w:r>
    </w:p>
    <w:tbl>
      <w:tblPr>
        <w:tblW w:w="7198" w:type="dxa"/>
        <w:tblInd w:w="3411" w:type="dxa"/>
        <w:tblLook w:val="00A0"/>
      </w:tblPr>
      <w:tblGrid>
        <w:gridCol w:w="2177"/>
        <w:gridCol w:w="1486"/>
        <w:gridCol w:w="1844"/>
        <w:gridCol w:w="1691"/>
      </w:tblGrid>
      <w:tr w:rsidR="000F741C" w:rsidRPr="00D11FE4" w:rsidTr="008B7BE0">
        <w:trPr>
          <w:trHeight w:val="285"/>
        </w:trPr>
        <w:tc>
          <w:tcPr>
            <w:tcW w:w="5507" w:type="dxa"/>
            <w:gridSpan w:val="3"/>
            <w:tcBorders>
              <w:top w:val="single" w:sz="8" w:space="0" w:color="E46D0A"/>
              <w:left w:val="nil"/>
              <w:bottom w:val="single" w:sz="8" w:space="0" w:color="E46D0A"/>
              <w:right w:val="nil"/>
            </w:tcBorders>
            <w:noWrap/>
            <w:vAlign w:val="center"/>
          </w:tcPr>
          <w:p w:rsidR="000F741C" w:rsidRPr="008B7BE0" w:rsidRDefault="000F741C" w:rsidP="008B7BE0">
            <w:pPr>
              <w:widowControl/>
              <w:jc w:val="left"/>
              <w:rPr>
                <w:rFonts w:ascii="宋体" w:cs="宋体"/>
                <w:b/>
                <w:bCs/>
                <w:i/>
                <w:iCs/>
                <w:color w:val="E46D0A"/>
                <w:kern w:val="0"/>
                <w:sz w:val="20"/>
                <w:szCs w:val="20"/>
              </w:rPr>
            </w:pPr>
            <w:r w:rsidRPr="008B7BE0">
              <w:rPr>
                <w:rFonts w:ascii="宋体" w:hAnsi="宋体" w:cs="宋体" w:hint="eastAsia"/>
                <w:b/>
                <w:bCs/>
                <w:i/>
                <w:iCs/>
                <w:color w:val="E46D0A"/>
                <w:kern w:val="0"/>
                <w:sz w:val="20"/>
                <w:szCs w:val="20"/>
              </w:rPr>
              <w:t>图表</w:t>
            </w:r>
            <w:r w:rsidRPr="008B7BE0">
              <w:rPr>
                <w:rFonts w:ascii="Arial" w:hAnsi="Arial" w:cs="Arial"/>
                <w:b/>
                <w:bCs/>
                <w:i/>
                <w:iCs/>
                <w:color w:val="E46D0A"/>
                <w:kern w:val="0"/>
                <w:sz w:val="20"/>
                <w:szCs w:val="20"/>
              </w:rPr>
              <w:t>7:2014</w:t>
            </w:r>
            <w:r w:rsidRPr="008B7BE0">
              <w:rPr>
                <w:rFonts w:ascii="宋体" w:hAnsi="宋体" w:cs="宋体" w:hint="eastAsia"/>
                <w:b/>
                <w:bCs/>
                <w:i/>
                <w:iCs/>
                <w:color w:val="E46D0A"/>
                <w:kern w:val="0"/>
                <w:sz w:val="20"/>
                <w:szCs w:val="20"/>
              </w:rPr>
              <w:t>年</w:t>
            </w:r>
            <w:r>
              <w:rPr>
                <w:rFonts w:ascii="Arial" w:hAnsi="Arial" w:cs="Arial"/>
                <w:b/>
                <w:bCs/>
                <w:i/>
                <w:iCs/>
                <w:color w:val="E46D0A"/>
                <w:kern w:val="0"/>
                <w:sz w:val="20"/>
                <w:szCs w:val="20"/>
              </w:rPr>
              <w:t>11</w:t>
            </w:r>
            <w:r w:rsidRPr="008B7BE0">
              <w:rPr>
                <w:rFonts w:ascii="宋体" w:hAnsi="宋体" w:cs="宋体" w:hint="eastAsia"/>
                <w:b/>
                <w:bCs/>
                <w:i/>
                <w:iCs/>
                <w:color w:val="E46D0A"/>
                <w:kern w:val="0"/>
                <w:sz w:val="20"/>
                <w:szCs w:val="20"/>
              </w:rPr>
              <w:t>月新发基金情况</w:t>
            </w:r>
          </w:p>
        </w:tc>
        <w:tc>
          <w:tcPr>
            <w:tcW w:w="1691" w:type="dxa"/>
            <w:tcBorders>
              <w:top w:val="single" w:sz="8" w:space="0" w:color="E46D0A"/>
              <w:left w:val="nil"/>
              <w:bottom w:val="single" w:sz="8" w:space="0" w:color="E46D0A"/>
              <w:right w:val="nil"/>
            </w:tcBorders>
            <w:noWrap/>
            <w:vAlign w:val="center"/>
          </w:tcPr>
          <w:p w:rsidR="000F741C" w:rsidRPr="008B7BE0" w:rsidRDefault="000F741C" w:rsidP="008B7BE0">
            <w:pPr>
              <w:widowControl/>
              <w:jc w:val="left"/>
              <w:rPr>
                <w:rFonts w:ascii="宋体" w:cs="宋体"/>
                <w:b/>
                <w:bCs/>
                <w:i/>
                <w:iCs/>
                <w:color w:val="E46D0A"/>
                <w:kern w:val="0"/>
                <w:sz w:val="20"/>
                <w:szCs w:val="20"/>
              </w:rPr>
            </w:pPr>
            <w:r w:rsidRPr="008B7BE0">
              <w:rPr>
                <w:rFonts w:ascii="宋体" w:hAnsi="宋体" w:cs="宋体" w:hint="eastAsia"/>
                <w:b/>
                <w:bCs/>
                <w:i/>
                <w:iCs/>
                <w:color w:val="E46D0A"/>
                <w:kern w:val="0"/>
                <w:sz w:val="20"/>
                <w:szCs w:val="20"/>
              </w:rPr>
              <w:t xml:space="preserve">　</w:t>
            </w:r>
          </w:p>
        </w:tc>
      </w:tr>
      <w:tr w:rsidR="000F741C" w:rsidRPr="00D11FE4" w:rsidTr="008B7BE0">
        <w:trPr>
          <w:trHeight w:val="435"/>
        </w:trPr>
        <w:tc>
          <w:tcPr>
            <w:tcW w:w="2177" w:type="dxa"/>
            <w:tcBorders>
              <w:top w:val="nil"/>
              <w:left w:val="nil"/>
              <w:bottom w:val="single" w:sz="8" w:space="0" w:color="E46D0A"/>
              <w:right w:val="nil"/>
            </w:tcBorders>
            <w:vAlign w:val="center"/>
          </w:tcPr>
          <w:p w:rsidR="000F741C" w:rsidRPr="008B7BE0" w:rsidRDefault="000F741C" w:rsidP="008B7BE0">
            <w:pPr>
              <w:widowControl/>
              <w:jc w:val="center"/>
              <w:rPr>
                <w:rFonts w:ascii="宋体" w:cs="宋体"/>
                <w:b/>
                <w:bCs/>
                <w:color w:val="000000"/>
                <w:kern w:val="0"/>
                <w:sz w:val="16"/>
                <w:szCs w:val="16"/>
              </w:rPr>
            </w:pPr>
            <w:r w:rsidRPr="008B7BE0">
              <w:rPr>
                <w:rFonts w:ascii="宋体" w:hAnsi="宋体" w:cs="宋体" w:hint="eastAsia"/>
                <w:b/>
                <w:bCs/>
                <w:color w:val="000000"/>
                <w:kern w:val="0"/>
                <w:sz w:val="16"/>
                <w:szCs w:val="16"/>
              </w:rPr>
              <w:t>基金类型</w:t>
            </w:r>
          </w:p>
        </w:tc>
        <w:tc>
          <w:tcPr>
            <w:tcW w:w="1486" w:type="dxa"/>
            <w:tcBorders>
              <w:top w:val="nil"/>
              <w:left w:val="nil"/>
              <w:bottom w:val="single" w:sz="8" w:space="0" w:color="E46D0A"/>
              <w:right w:val="nil"/>
            </w:tcBorders>
            <w:vAlign w:val="center"/>
          </w:tcPr>
          <w:p w:rsidR="000F741C" w:rsidRPr="008B7BE0" w:rsidRDefault="000F741C" w:rsidP="008B7BE0">
            <w:pPr>
              <w:widowControl/>
              <w:jc w:val="center"/>
              <w:rPr>
                <w:rFonts w:ascii="宋体" w:cs="宋体"/>
                <w:b/>
                <w:bCs/>
                <w:color w:val="000000"/>
                <w:kern w:val="0"/>
                <w:sz w:val="16"/>
                <w:szCs w:val="16"/>
              </w:rPr>
            </w:pPr>
            <w:r w:rsidRPr="008B7BE0">
              <w:rPr>
                <w:rFonts w:ascii="宋体" w:hAnsi="宋体" w:cs="宋体" w:hint="eastAsia"/>
                <w:b/>
                <w:bCs/>
                <w:color w:val="000000"/>
                <w:kern w:val="0"/>
                <w:sz w:val="16"/>
                <w:szCs w:val="16"/>
              </w:rPr>
              <w:t>数量（只）</w:t>
            </w:r>
          </w:p>
        </w:tc>
        <w:tc>
          <w:tcPr>
            <w:tcW w:w="1844" w:type="dxa"/>
            <w:tcBorders>
              <w:top w:val="nil"/>
              <w:left w:val="nil"/>
              <w:bottom w:val="single" w:sz="8" w:space="0" w:color="E46D0A"/>
              <w:right w:val="nil"/>
            </w:tcBorders>
            <w:vAlign w:val="center"/>
          </w:tcPr>
          <w:p w:rsidR="000F741C" w:rsidRPr="008B7BE0" w:rsidRDefault="000F741C" w:rsidP="008B7BE0">
            <w:pPr>
              <w:widowControl/>
              <w:jc w:val="center"/>
              <w:rPr>
                <w:rFonts w:ascii="宋体" w:cs="宋体"/>
                <w:b/>
                <w:bCs/>
                <w:color w:val="000000"/>
                <w:kern w:val="0"/>
                <w:sz w:val="16"/>
                <w:szCs w:val="16"/>
              </w:rPr>
            </w:pPr>
            <w:r w:rsidRPr="008B7BE0">
              <w:rPr>
                <w:rFonts w:ascii="宋体" w:hAnsi="宋体" w:cs="宋体" w:hint="eastAsia"/>
                <w:b/>
                <w:bCs/>
                <w:color w:val="000000"/>
                <w:kern w:val="0"/>
                <w:sz w:val="16"/>
                <w:szCs w:val="16"/>
              </w:rPr>
              <w:t>募集规模（亿元）</w:t>
            </w:r>
          </w:p>
        </w:tc>
        <w:tc>
          <w:tcPr>
            <w:tcW w:w="1691" w:type="dxa"/>
            <w:tcBorders>
              <w:top w:val="nil"/>
              <w:left w:val="nil"/>
              <w:bottom w:val="single" w:sz="8" w:space="0" w:color="E46D0A"/>
              <w:right w:val="nil"/>
            </w:tcBorders>
            <w:vAlign w:val="center"/>
          </w:tcPr>
          <w:p w:rsidR="000F741C" w:rsidRPr="008B7BE0" w:rsidRDefault="000F741C" w:rsidP="008B7BE0">
            <w:pPr>
              <w:widowControl/>
              <w:jc w:val="center"/>
              <w:rPr>
                <w:rFonts w:ascii="宋体" w:cs="宋体"/>
                <w:b/>
                <w:bCs/>
                <w:color w:val="000000"/>
                <w:kern w:val="0"/>
                <w:sz w:val="16"/>
                <w:szCs w:val="16"/>
              </w:rPr>
            </w:pPr>
            <w:r w:rsidRPr="008B7BE0">
              <w:rPr>
                <w:rFonts w:ascii="宋体" w:hAnsi="宋体" w:cs="宋体" w:hint="eastAsia"/>
                <w:b/>
                <w:bCs/>
                <w:color w:val="000000"/>
                <w:kern w:val="0"/>
                <w:sz w:val="16"/>
                <w:szCs w:val="16"/>
              </w:rPr>
              <w:t>平均募集规模（亿元）</w:t>
            </w:r>
          </w:p>
        </w:tc>
      </w:tr>
      <w:tr w:rsidR="000F741C" w:rsidRPr="00D11FE4" w:rsidTr="008B7BE0">
        <w:trPr>
          <w:trHeight w:val="270"/>
        </w:trPr>
        <w:tc>
          <w:tcPr>
            <w:tcW w:w="2177" w:type="dxa"/>
            <w:tcBorders>
              <w:top w:val="nil"/>
              <w:left w:val="nil"/>
              <w:bottom w:val="nil"/>
              <w:right w:val="nil"/>
            </w:tcBorders>
            <w:noWrap/>
            <w:vAlign w:val="bottom"/>
          </w:tcPr>
          <w:p w:rsidR="000F741C" w:rsidRDefault="000F741C">
            <w:pPr>
              <w:jc w:val="center"/>
              <w:rPr>
                <w:rFonts w:ascii="宋体" w:cs="Arial"/>
                <w:color w:val="000000"/>
                <w:sz w:val="16"/>
                <w:szCs w:val="16"/>
              </w:rPr>
            </w:pPr>
            <w:r w:rsidRPr="00D11FE4">
              <w:rPr>
                <w:rFonts w:cs="Arial" w:hint="eastAsia"/>
                <w:color w:val="000000"/>
                <w:sz w:val="16"/>
                <w:szCs w:val="16"/>
              </w:rPr>
              <w:t>股票型</w:t>
            </w:r>
          </w:p>
        </w:tc>
        <w:tc>
          <w:tcPr>
            <w:tcW w:w="1486" w:type="dxa"/>
            <w:tcBorders>
              <w:top w:val="nil"/>
              <w:left w:val="nil"/>
              <w:bottom w:val="nil"/>
              <w:right w:val="nil"/>
            </w:tcBorders>
            <w:noWrap/>
            <w:vAlign w:val="bottom"/>
          </w:tcPr>
          <w:p w:rsidR="000F741C" w:rsidRDefault="000F741C">
            <w:pPr>
              <w:jc w:val="center"/>
              <w:rPr>
                <w:rFonts w:ascii="Arial" w:hAnsi="Arial" w:cs="Arial"/>
                <w:color w:val="000000"/>
                <w:sz w:val="16"/>
                <w:szCs w:val="16"/>
              </w:rPr>
            </w:pPr>
            <w:r w:rsidRPr="00D11FE4">
              <w:rPr>
                <w:rFonts w:ascii="Arial" w:hAnsi="Arial" w:cs="Arial"/>
                <w:color w:val="000000"/>
                <w:sz w:val="16"/>
                <w:szCs w:val="16"/>
              </w:rPr>
              <w:t>11</w:t>
            </w:r>
          </w:p>
        </w:tc>
        <w:tc>
          <w:tcPr>
            <w:tcW w:w="1844" w:type="dxa"/>
            <w:tcBorders>
              <w:top w:val="nil"/>
              <w:left w:val="nil"/>
              <w:bottom w:val="nil"/>
              <w:right w:val="nil"/>
            </w:tcBorders>
            <w:noWrap/>
            <w:vAlign w:val="bottom"/>
          </w:tcPr>
          <w:p w:rsidR="000F741C" w:rsidRDefault="000F741C">
            <w:pPr>
              <w:jc w:val="center"/>
              <w:rPr>
                <w:rFonts w:ascii="Arial" w:hAnsi="Arial" w:cs="Arial"/>
                <w:color w:val="000000"/>
                <w:sz w:val="16"/>
                <w:szCs w:val="16"/>
              </w:rPr>
            </w:pPr>
            <w:r w:rsidRPr="00D11FE4">
              <w:rPr>
                <w:rFonts w:ascii="Arial" w:hAnsi="Arial" w:cs="Arial"/>
                <w:color w:val="000000"/>
                <w:sz w:val="16"/>
                <w:szCs w:val="16"/>
              </w:rPr>
              <w:t xml:space="preserve">80.40 </w:t>
            </w:r>
          </w:p>
        </w:tc>
        <w:tc>
          <w:tcPr>
            <w:tcW w:w="1691" w:type="dxa"/>
            <w:tcBorders>
              <w:top w:val="nil"/>
              <w:left w:val="nil"/>
              <w:bottom w:val="nil"/>
              <w:right w:val="nil"/>
            </w:tcBorders>
            <w:noWrap/>
            <w:vAlign w:val="bottom"/>
          </w:tcPr>
          <w:p w:rsidR="000F741C" w:rsidRDefault="000F741C">
            <w:pPr>
              <w:jc w:val="center"/>
              <w:rPr>
                <w:rFonts w:ascii="Arial" w:hAnsi="Arial" w:cs="Arial"/>
                <w:color w:val="000000"/>
                <w:sz w:val="16"/>
                <w:szCs w:val="16"/>
              </w:rPr>
            </w:pPr>
            <w:r w:rsidRPr="00D11FE4">
              <w:rPr>
                <w:rFonts w:ascii="Arial" w:hAnsi="Arial" w:cs="Arial"/>
                <w:color w:val="000000"/>
                <w:sz w:val="16"/>
                <w:szCs w:val="16"/>
              </w:rPr>
              <w:t xml:space="preserve">7.31 </w:t>
            </w:r>
          </w:p>
        </w:tc>
      </w:tr>
      <w:tr w:rsidR="000F741C" w:rsidRPr="00D11FE4" w:rsidTr="008B7BE0">
        <w:trPr>
          <w:trHeight w:val="270"/>
        </w:trPr>
        <w:tc>
          <w:tcPr>
            <w:tcW w:w="2177" w:type="dxa"/>
            <w:tcBorders>
              <w:top w:val="nil"/>
              <w:left w:val="nil"/>
              <w:bottom w:val="nil"/>
              <w:right w:val="nil"/>
            </w:tcBorders>
            <w:noWrap/>
            <w:vAlign w:val="bottom"/>
          </w:tcPr>
          <w:p w:rsidR="000F741C" w:rsidRDefault="000F741C">
            <w:pPr>
              <w:jc w:val="center"/>
              <w:rPr>
                <w:rFonts w:ascii="宋体" w:cs="Arial"/>
                <w:color w:val="000000"/>
                <w:sz w:val="16"/>
                <w:szCs w:val="16"/>
              </w:rPr>
            </w:pPr>
            <w:r w:rsidRPr="00D11FE4">
              <w:rPr>
                <w:rFonts w:cs="Arial" w:hint="eastAsia"/>
                <w:color w:val="000000"/>
                <w:sz w:val="16"/>
                <w:szCs w:val="16"/>
              </w:rPr>
              <w:t>混合型</w:t>
            </w:r>
          </w:p>
        </w:tc>
        <w:tc>
          <w:tcPr>
            <w:tcW w:w="1486" w:type="dxa"/>
            <w:tcBorders>
              <w:top w:val="nil"/>
              <w:left w:val="nil"/>
              <w:bottom w:val="nil"/>
              <w:right w:val="nil"/>
            </w:tcBorders>
            <w:noWrap/>
            <w:vAlign w:val="bottom"/>
          </w:tcPr>
          <w:p w:rsidR="000F741C" w:rsidRDefault="000F741C">
            <w:pPr>
              <w:jc w:val="center"/>
              <w:rPr>
                <w:rFonts w:ascii="Arial" w:hAnsi="Arial" w:cs="Arial"/>
                <w:color w:val="000000"/>
                <w:sz w:val="16"/>
                <w:szCs w:val="16"/>
              </w:rPr>
            </w:pPr>
            <w:r w:rsidRPr="00D11FE4">
              <w:rPr>
                <w:rFonts w:ascii="Arial" w:hAnsi="Arial" w:cs="Arial"/>
                <w:color w:val="000000"/>
                <w:sz w:val="16"/>
                <w:szCs w:val="16"/>
              </w:rPr>
              <w:t>10</w:t>
            </w:r>
          </w:p>
        </w:tc>
        <w:tc>
          <w:tcPr>
            <w:tcW w:w="1844" w:type="dxa"/>
            <w:tcBorders>
              <w:top w:val="nil"/>
              <w:left w:val="nil"/>
              <w:bottom w:val="nil"/>
              <w:right w:val="nil"/>
            </w:tcBorders>
            <w:noWrap/>
            <w:vAlign w:val="bottom"/>
          </w:tcPr>
          <w:p w:rsidR="000F741C" w:rsidRDefault="000F741C">
            <w:pPr>
              <w:jc w:val="center"/>
              <w:rPr>
                <w:rFonts w:ascii="Arial" w:hAnsi="Arial" w:cs="Arial"/>
                <w:color w:val="000000"/>
                <w:sz w:val="16"/>
                <w:szCs w:val="16"/>
              </w:rPr>
            </w:pPr>
            <w:r w:rsidRPr="00D11FE4">
              <w:rPr>
                <w:rFonts w:ascii="Arial" w:hAnsi="Arial" w:cs="Arial"/>
                <w:color w:val="000000"/>
                <w:sz w:val="16"/>
                <w:szCs w:val="16"/>
              </w:rPr>
              <w:t xml:space="preserve">138.45 </w:t>
            </w:r>
          </w:p>
        </w:tc>
        <w:tc>
          <w:tcPr>
            <w:tcW w:w="1691" w:type="dxa"/>
            <w:tcBorders>
              <w:top w:val="nil"/>
              <w:left w:val="nil"/>
              <w:bottom w:val="nil"/>
              <w:right w:val="nil"/>
            </w:tcBorders>
            <w:noWrap/>
            <w:vAlign w:val="bottom"/>
          </w:tcPr>
          <w:p w:rsidR="000F741C" w:rsidRDefault="000F741C">
            <w:pPr>
              <w:jc w:val="center"/>
              <w:rPr>
                <w:rFonts w:ascii="Arial" w:hAnsi="Arial" w:cs="Arial"/>
                <w:color w:val="000000"/>
                <w:sz w:val="16"/>
                <w:szCs w:val="16"/>
              </w:rPr>
            </w:pPr>
            <w:r w:rsidRPr="00D11FE4">
              <w:rPr>
                <w:rFonts w:ascii="Arial" w:hAnsi="Arial" w:cs="Arial"/>
                <w:color w:val="000000"/>
                <w:sz w:val="16"/>
                <w:szCs w:val="16"/>
              </w:rPr>
              <w:t xml:space="preserve">13.85 </w:t>
            </w:r>
          </w:p>
        </w:tc>
      </w:tr>
      <w:tr w:rsidR="000F741C" w:rsidRPr="00D11FE4" w:rsidTr="008B7BE0">
        <w:trPr>
          <w:trHeight w:val="270"/>
        </w:trPr>
        <w:tc>
          <w:tcPr>
            <w:tcW w:w="2177" w:type="dxa"/>
            <w:tcBorders>
              <w:top w:val="nil"/>
              <w:left w:val="nil"/>
              <w:bottom w:val="nil"/>
              <w:right w:val="nil"/>
            </w:tcBorders>
            <w:noWrap/>
            <w:vAlign w:val="bottom"/>
          </w:tcPr>
          <w:p w:rsidR="000F741C" w:rsidRDefault="000F741C">
            <w:pPr>
              <w:jc w:val="center"/>
              <w:rPr>
                <w:rFonts w:ascii="宋体" w:cs="Arial"/>
                <w:color w:val="000000"/>
                <w:sz w:val="16"/>
                <w:szCs w:val="16"/>
              </w:rPr>
            </w:pPr>
            <w:r w:rsidRPr="00D11FE4">
              <w:rPr>
                <w:rFonts w:cs="Arial" w:hint="eastAsia"/>
                <w:color w:val="000000"/>
                <w:sz w:val="16"/>
                <w:szCs w:val="16"/>
              </w:rPr>
              <w:t>债券型</w:t>
            </w:r>
          </w:p>
        </w:tc>
        <w:tc>
          <w:tcPr>
            <w:tcW w:w="1486" w:type="dxa"/>
            <w:tcBorders>
              <w:top w:val="nil"/>
              <w:left w:val="nil"/>
              <w:bottom w:val="nil"/>
              <w:right w:val="nil"/>
            </w:tcBorders>
            <w:noWrap/>
            <w:vAlign w:val="bottom"/>
          </w:tcPr>
          <w:p w:rsidR="000F741C" w:rsidRDefault="000F741C">
            <w:pPr>
              <w:jc w:val="center"/>
              <w:rPr>
                <w:rFonts w:ascii="Arial" w:hAnsi="Arial" w:cs="Arial"/>
                <w:color w:val="000000"/>
                <w:sz w:val="16"/>
                <w:szCs w:val="16"/>
              </w:rPr>
            </w:pPr>
            <w:r w:rsidRPr="00D11FE4">
              <w:rPr>
                <w:rFonts w:ascii="Arial" w:hAnsi="Arial" w:cs="Arial"/>
                <w:color w:val="000000"/>
                <w:sz w:val="16"/>
                <w:szCs w:val="16"/>
              </w:rPr>
              <w:t>5</w:t>
            </w:r>
          </w:p>
        </w:tc>
        <w:tc>
          <w:tcPr>
            <w:tcW w:w="1844" w:type="dxa"/>
            <w:tcBorders>
              <w:top w:val="nil"/>
              <w:left w:val="nil"/>
              <w:bottom w:val="nil"/>
              <w:right w:val="nil"/>
            </w:tcBorders>
            <w:noWrap/>
            <w:vAlign w:val="bottom"/>
          </w:tcPr>
          <w:p w:rsidR="000F741C" w:rsidRDefault="000F741C">
            <w:pPr>
              <w:jc w:val="center"/>
              <w:rPr>
                <w:rFonts w:ascii="Arial" w:hAnsi="Arial" w:cs="Arial"/>
                <w:color w:val="000000"/>
                <w:sz w:val="16"/>
                <w:szCs w:val="16"/>
              </w:rPr>
            </w:pPr>
            <w:r w:rsidRPr="00D11FE4">
              <w:rPr>
                <w:rFonts w:ascii="Arial" w:hAnsi="Arial" w:cs="Arial"/>
                <w:color w:val="000000"/>
                <w:sz w:val="16"/>
                <w:szCs w:val="16"/>
              </w:rPr>
              <w:t xml:space="preserve">112.27 </w:t>
            </w:r>
          </w:p>
        </w:tc>
        <w:tc>
          <w:tcPr>
            <w:tcW w:w="1691" w:type="dxa"/>
            <w:tcBorders>
              <w:top w:val="nil"/>
              <w:left w:val="nil"/>
              <w:bottom w:val="nil"/>
              <w:right w:val="nil"/>
            </w:tcBorders>
            <w:noWrap/>
            <w:vAlign w:val="bottom"/>
          </w:tcPr>
          <w:p w:rsidR="000F741C" w:rsidRDefault="000F741C">
            <w:pPr>
              <w:jc w:val="center"/>
              <w:rPr>
                <w:rFonts w:ascii="Arial" w:hAnsi="Arial" w:cs="Arial"/>
                <w:color w:val="000000"/>
                <w:sz w:val="16"/>
                <w:szCs w:val="16"/>
              </w:rPr>
            </w:pPr>
            <w:r w:rsidRPr="00D11FE4">
              <w:rPr>
                <w:rFonts w:ascii="Arial" w:hAnsi="Arial" w:cs="Arial"/>
                <w:color w:val="000000"/>
                <w:sz w:val="16"/>
                <w:szCs w:val="16"/>
              </w:rPr>
              <w:t xml:space="preserve">22.45 </w:t>
            </w:r>
          </w:p>
        </w:tc>
      </w:tr>
      <w:tr w:rsidR="000F741C" w:rsidRPr="00D11FE4" w:rsidTr="008B7BE0">
        <w:trPr>
          <w:trHeight w:val="270"/>
        </w:trPr>
        <w:tc>
          <w:tcPr>
            <w:tcW w:w="2177" w:type="dxa"/>
            <w:tcBorders>
              <w:top w:val="nil"/>
              <w:left w:val="nil"/>
              <w:bottom w:val="nil"/>
              <w:right w:val="nil"/>
            </w:tcBorders>
            <w:noWrap/>
            <w:vAlign w:val="bottom"/>
          </w:tcPr>
          <w:p w:rsidR="000F741C" w:rsidRDefault="000F741C">
            <w:pPr>
              <w:jc w:val="center"/>
              <w:rPr>
                <w:rFonts w:ascii="宋体" w:cs="Arial"/>
                <w:color w:val="000000"/>
                <w:sz w:val="16"/>
                <w:szCs w:val="16"/>
              </w:rPr>
            </w:pPr>
            <w:r w:rsidRPr="00D11FE4">
              <w:rPr>
                <w:rFonts w:cs="Arial" w:hint="eastAsia"/>
                <w:color w:val="000000"/>
                <w:sz w:val="16"/>
                <w:szCs w:val="16"/>
              </w:rPr>
              <w:t>货币型</w:t>
            </w:r>
          </w:p>
        </w:tc>
        <w:tc>
          <w:tcPr>
            <w:tcW w:w="1486" w:type="dxa"/>
            <w:tcBorders>
              <w:top w:val="nil"/>
              <w:left w:val="nil"/>
              <w:bottom w:val="nil"/>
              <w:right w:val="nil"/>
            </w:tcBorders>
            <w:noWrap/>
            <w:vAlign w:val="bottom"/>
          </w:tcPr>
          <w:p w:rsidR="000F741C" w:rsidRDefault="000F741C">
            <w:pPr>
              <w:jc w:val="center"/>
              <w:rPr>
                <w:rFonts w:ascii="Arial" w:hAnsi="Arial" w:cs="Arial"/>
                <w:color w:val="000000"/>
                <w:sz w:val="16"/>
                <w:szCs w:val="16"/>
              </w:rPr>
            </w:pPr>
            <w:r w:rsidRPr="00D11FE4">
              <w:rPr>
                <w:rFonts w:ascii="Arial" w:hAnsi="Arial" w:cs="Arial"/>
                <w:color w:val="000000"/>
                <w:sz w:val="16"/>
                <w:szCs w:val="16"/>
              </w:rPr>
              <w:t>9</w:t>
            </w:r>
          </w:p>
        </w:tc>
        <w:tc>
          <w:tcPr>
            <w:tcW w:w="1844" w:type="dxa"/>
            <w:tcBorders>
              <w:top w:val="nil"/>
              <w:left w:val="nil"/>
              <w:bottom w:val="nil"/>
              <w:right w:val="nil"/>
            </w:tcBorders>
            <w:noWrap/>
            <w:vAlign w:val="bottom"/>
          </w:tcPr>
          <w:p w:rsidR="000F741C" w:rsidRDefault="000F741C">
            <w:pPr>
              <w:jc w:val="center"/>
              <w:rPr>
                <w:rFonts w:ascii="Arial" w:hAnsi="Arial" w:cs="Arial"/>
                <w:color w:val="000000"/>
                <w:sz w:val="16"/>
                <w:szCs w:val="16"/>
              </w:rPr>
            </w:pPr>
            <w:r w:rsidRPr="00D11FE4">
              <w:rPr>
                <w:rFonts w:ascii="Arial" w:hAnsi="Arial" w:cs="Arial"/>
                <w:color w:val="000000"/>
                <w:sz w:val="16"/>
                <w:szCs w:val="16"/>
              </w:rPr>
              <w:t xml:space="preserve">39.45 </w:t>
            </w:r>
          </w:p>
        </w:tc>
        <w:tc>
          <w:tcPr>
            <w:tcW w:w="1691" w:type="dxa"/>
            <w:tcBorders>
              <w:top w:val="nil"/>
              <w:left w:val="nil"/>
              <w:bottom w:val="nil"/>
              <w:right w:val="nil"/>
            </w:tcBorders>
            <w:noWrap/>
            <w:vAlign w:val="bottom"/>
          </w:tcPr>
          <w:p w:rsidR="000F741C" w:rsidRDefault="000F741C">
            <w:pPr>
              <w:jc w:val="center"/>
              <w:rPr>
                <w:rFonts w:ascii="Arial" w:hAnsi="Arial" w:cs="Arial"/>
                <w:color w:val="000000"/>
                <w:sz w:val="16"/>
                <w:szCs w:val="16"/>
              </w:rPr>
            </w:pPr>
            <w:r w:rsidRPr="00D11FE4">
              <w:rPr>
                <w:rFonts w:ascii="Arial" w:hAnsi="Arial" w:cs="Arial"/>
                <w:color w:val="000000"/>
                <w:sz w:val="16"/>
                <w:szCs w:val="16"/>
              </w:rPr>
              <w:t xml:space="preserve">4.38 </w:t>
            </w:r>
          </w:p>
        </w:tc>
      </w:tr>
      <w:tr w:rsidR="000F741C" w:rsidRPr="00D11FE4" w:rsidTr="008B7BE0">
        <w:trPr>
          <w:trHeight w:val="270"/>
        </w:trPr>
        <w:tc>
          <w:tcPr>
            <w:tcW w:w="2177" w:type="dxa"/>
            <w:tcBorders>
              <w:top w:val="nil"/>
              <w:left w:val="nil"/>
              <w:bottom w:val="nil"/>
              <w:right w:val="nil"/>
            </w:tcBorders>
            <w:noWrap/>
            <w:vAlign w:val="bottom"/>
          </w:tcPr>
          <w:p w:rsidR="000F741C" w:rsidRDefault="000F741C">
            <w:pPr>
              <w:jc w:val="center"/>
              <w:rPr>
                <w:rFonts w:ascii="宋体" w:cs="Arial"/>
                <w:color w:val="000000"/>
                <w:sz w:val="16"/>
                <w:szCs w:val="16"/>
              </w:rPr>
            </w:pPr>
            <w:r w:rsidRPr="00D11FE4">
              <w:rPr>
                <w:rFonts w:cs="Arial"/>
                <w:color w:val="000000"/>
                <w:sz w:val="16"/>
                <w:szCs w:val="16"/>
              </w:rPr>
              <w:t>QDII</w:t>
            </w:r>
          </w:p>
        </w:tc>
        <w:tc>
          <w:tcPr>
            <w:tcW w:w="1486" w:type="dxa"/>
            <w:tcBorders>
              <w:top w:val="nil"/>
              <w:left w:val="nil"/>
              <w:bottom w:val="nil"/>
              <w:right w:val="nil"/>
            </w:tcBorders>
            <w:noWrap/>
            <w:vAlign w:val="bottom"/>
          </w:tcPr>
          <w:p w:rsidR="000F741C" w:rsidRDefault="000F741C">
            <w:pPr>
              <w:jc w:val="center"/>
              <w:rPr>
                <w:rFonts w:ascii="Arial" w:hAnsi="Arial" w:cs="Arial"/>
                <w:color w:val="000000"/>
                <w:sz w:val="16"/>
                <w:szCs w:val="16"/>
              </w:rPr>
            </w:pPr>
            <w:r w:rsidRPr="00D11FE4">
              <w:rPr>
                <w:rFonts w:ascii="Arial" w:hAnsi="Arial" w:cs="Arial"/>
                <w:color w:val="000000"/>
                <w:sz w:val="16"/>
                <w:szCs w:val="16"/>
              </w:rPr>
              <w:t>1</w:t>
            </w:r>
          </w:p>
        </w:tc>
        <w:tc>
          <w:tcPr>
            <w:tcW w:w="1844" w:type="dxa"/>
            <w:tcBorders>
              <w:top w:val="nil"/>
              <w:left w:val="nil"/>
              <w:bottom w:val="nil"/>
              <w:right w:val="nil"/>
            </w:tcBorders>
            <w:noWrap/>
            <w:vAlign w:val="bottom"/>
          </w:tcPr>
          <w:p w:rsidR="000F741C" w:rsidRDefault="000F741C">
            <w:pPr>
              <w:jc w:val="center"/>
              <w:rPr>
                <w:rFonts w:ascii="Arial" w:hAnsi="Arial" w:cs="Arial"/>
                <w:color w:val="000000"/>
                <w:sz w:val="16"/>
                <w:szCs w:val="16"/>
              </w:rPr>
            </w:pPr>
            <w:r w:rsidRPr="00D11FE4">
              <w:rPr>
                <w:rFonts w:ascii="Arial" w:hAnsi="Arial" w:cs="Arial"/>
                <w:color w:val="000000"/>
                <w:sz w:val="16"/>
                <w:szCs w:val="16"/>
              </w:rPr>
              <w:t xml:space="preserve">4.74 </w:t>
            </w:r>
          </w:p>
        </w:tc>
        <w:tc>
          <w:tcPr>
            <w:tcW w:w="1691" w:type="dxa"/>
            <w:tcBorders>
              <w:top w:val="nil"/>
              <w:left w:val="nil"/>
              <w:bottom w:val="nil"/>
              <w:right w:val="nil"/>
            </w:tcBorders>
            <w:noWrap/>
            <w:vAlign w:val="bottom"/>
          </w:tcPr>
          <w:p w:rsidR="000F741C" w:rsidRDefault="000F741C">
            <w:pPr>
              <w:jc w:val="center"/>
              <w:rPr>
                <w:rFonts w:ascii="Arial" w:hAnsi="Arial" w:cs="Arial"/>
                <w:color w:val="000000"/>
                <w:sz w:val="16"/>
                <w:szCs w:val="16"/>
              </w:rPr>
            </w:pPr>
            <w:r w:rsidRPr="00D11FE4">
              <w:rPr>
                <w:rFonts w:ascii="Arial" w:hAnsi="Arial" w:cs="Arial"/>
                <w:color w:val="000000"/>
                <w:sz w:val="16"/>
                <w:szCs w:val="16"/>
              </w:rPr>
              <w:t xml:space="preserve">4.74 </w:t>
            </w:r>
          </w:p>
        </w:tc>
      </w:tr>
      <w:tr w:rsidR="000F741C" w:rsidRPr="00D11FE4" w:rsidTr="008B7BE0">
        <w:trPr>
          <w:trHeight w:val="285"/>
        </w:trPr>
        <w:tc>
          <w:tcPr>
            <w:tcW w:w="2177" w:type="dxa"/>
            <w:tcBorders>
              <w:top w:val="nil"/>
              <w:left w:val="nil"/>
              <w:bottom w:val="nil"/>
              <w:right w:val="nil"/>
            </w:tcBorders>
            <w:noWrap/>
            <w:vAlign w:val="bottom"/>
          </w:tcPr>
          <w:p w:rsidR="000F741C" w:rsidRDefault="000F741C">
            <w:pPr>
              <w:jc w:val="center"/>
              <w:rPr>
                <w:rFonts w:ascii="宋体" w:cs="Arial"/>
                <w:b/>
                <w:bCs/>
                <w:color w:val="000000"/>
                <w:sz w:val="16"/>
                <w:szCs w:val="16"/>
              </w:rPr>
            </w:pPr>
            <w:r w:rsidRPr="00D11FE4">
              <w:rPr>
                <w:rFonts w:cs="Arial" w:hint="eastAsia"/>
                <w:b/>
                <w:bCs/>
                <w:color w:val="000000"/>
                <w:sz w:val="16"/>
                <w:szCs w:val="16"/>
              </w:rPr>
              <w:t>总计</w:t>
            </w:r>
          </w:p>
        </w:tc>
        <w:tc>
          <w:tcPr>
            <w:tcW w:w="1486" w:type="dxa"/>
            <w:tcBorders>
              <w:top w:val="nil"/>
              <w:left w:val="nil"/>
              <w:bottom w:val="nil"/>
              <w:right w:val="nil"/>
            </w:tcBorders>
            <w:noWrap/>
            <w:vAlign w:val="bottom"/>
          </w:tcPr>
          <w:p w:rsidR="000F741C" w:rsidRDefault="000F741C">
            <w:pPr>
              <w:jc w:val="center"/>
              <w:rPr>
                <w:rFonts w:ascii="Arial" w:hAnsi="Arial" w:cs="Arial"/>
                <w:b/>
                <w:bCs/>
                <w:color w:val="000000"/>
                <w:sz w:val="16"/>
                <w:szCs w:val="16"/>
              </w:rPr>
            </w:pPr>
            <w:r w:rsidRPr="00D11FE4">
              <w:rPr>
                <w:rFonts w:ascii="Arial" w:hAnsi="Arial" w:cs="Arial"/>
                <w:b/>
                <w:bCs/>
                <w:color w:val="000000"/>
                <w:sz w:val="16"/>
                <w:szCs w:val="16"/>
              </w:rPr>
              <w:t>36</w:t>
            </w:r>
          </w:p>
        </w:tc>
        <w:tc>
          <w:tcPr>
            <w:tcW w:w="1844" w:type="dxa"/>
            <w:tcBorders>
              <w:top w:val="nil"/>
              <w:left w:val="nil"/>
              <w:bottom w:val="nil"/>
              <w:right w:val="nil"/>
            </w:tcBorders>
            <w:noWrap/>
            <w:vAlign w:val="bottom"/>
          </w:tcPr>
          <w:p w:rsidR="000F741C" w:rsidRDefault="000F741C">
            <w:pPr>
              <w:jc w:val="center"/>
              <w:rPr>
                <w:rFonts w:ascii="Arial" w:hAnsi="Arial" w:cs="Arial"/>
                <w:b/>
                <w:bCs/>
                <w:color w:val="000000"/>
                <w:sz w:val="16"/>
                <w:szCs w:val="16"/>
              </w:rPr>
            </w:pPr>
            <w:r w:rsidRPr="00D11FE4">
              <w:rPr>
                <w:rFonts w:ascii="Arial" w:hAnsi="Arial" w:cs="Arial"/>
                <w:b/>
                <w:bCs/>
                <w:color w:val="000000"/>
                <w:sz w:val="16"/>
                <w:szCs w:val="16"/>
              </w:rPr>
              <w:t xml:space="preserve">375.31 </w:t>
            </w:r>
          </w:p>
        </w:tc>
        <w:tc>
          <w:tcPr>
            <w:tcW w:w="1691" w:type="dxa"/>
            <w:tcBorders>
              <w:top w:val="nil"/>
              <w:left w:val="nil"/>
              <w:bottom w:val="nil"/>
              <w:right w:val="nil"/>
            </w:tcBorders>
            <w:noWrap/>
            <w:vAlign w:val="bottom"/>
          </w:tcPr>
          <w:p w:rsidR="000F741C" w:rsidRDefault="000F741C">
            <w:pPr>
              <w:jc w:val="center"/>
              <w:rPr>
                <w:rFonts w:ascii="Arial" w:hAnsi="Arial" w:cs="Arial"/>
                <w:b/>
                <w:bCs/>
                <w:color w:val="000000"/>
                <w:sz w:val="16"/>
                <w:szCs w:val="16"/>
              </w:rPr>
            </w:pPr>
            <w:r w:rsidRPr="00D11FE4">
              <w:rPr>
                <w:rFonts w:ascii="Arial" w:hAnsi="Arial" w:cs="Arial"/>
                <w:b/>
                <w:bCs/>
                <w:color w:val="000000"/>
                <w:sz w:val="16"/>
                <w:szCs w:val="16"/>
              </w:rPr>
              <w:t xml:space="preserve">10.43 </w:t>
            </w:r>
          </w:p>
        </w:tc>
      </w:tr>
      <w:tr w:rsidR="000F741C" w:rsidRPr="00D11FE4" w:rsidTr="008B7BE0">
        <w:trPr>
          <w:trHeight w:val="285"/>
        </w:trPr>
        <w:tc>
          <w:tcPr>
            <w:tcW w:w="3663" w:type="dxa"/>
            <w:gridSpan w:val="2"/>
            <w:tcBorders>
              <w:top w:val="single" w:sz="8" w:space="0" w:color="E46D0A"/>
              <w:left w:val="nil"/>
              <w:bottom w:val="single" w:sz="8" w:space="0" w:color="E46D0A"/>
              <w:right w:val="nil"/>
            </w:tcBorders>
            <w:noWrap/>
            <w:vAlign w:val="bottom"/>
          </w:tcPr>
          <w:p w:rsidR="000F741C" w:rsidRPr="008B7BE0" w:rsidRDefault="000F741C" w:rsidP="008B7BE0">
            <w:pPr>
              <w:widowControl/>
              <w:jc w:val="left"/>
              <w:rPr>
                <w:rFonts w:ascii="宋体" w:cs="宋体"/>
                <w:color w:val="000000"/>
                <w:kern w:val="0"/>
                <w:sz w:val="16"/>
                <w:szCs w:val="16"/>
              </w:rPr>
            </w:pPr>
            <w:r w:rsidRPr="008B7BE0">
              <w:rPr>
                <w:rFonts w:ascii="宋体" w:hAnsi="宋体" w:cs="宋体" w:hint="eastAsia"/>
                <w:color w:val="000000"/>
                <w:kern w:val="0"/>
                <w:sz w:val="16"/>
                <w:szCs w:val="16"/>
              </w:rPr>
              <w:t>来源：凯石财富工场</w:t>
            </w:r>
          </w:p>
        </w:tc>
        <w:tc>
          <w:tcPr>
            <w:tcW w:w="1844" w:type="dxa"/>
            <w:tcBorders>
              <w:top w:val="single" w:sz="8" w:space="0" w:color="E46D0A"/>
              <w:left w:val="nil"/>
              <w:bottom w:val="single" w:sz="8" w:space="0" w:color="E46D0A"/>
              <w:right w:val="nil"/>
            </w:tcBorders>
            <w:noWrap/>
            <w:vAlign w:val="bottom"/>
          </w:tcPr>
          <w:p w:rsidR="000F741C" w:rsidRPr="008B7BE0" w:rsidRDefault="000F741C" w:rsidP="008B7BE0">
            <w:pPr>
              <w:widowControl/>
              <w:jc w:val="left"/>
              <w:rPr>
                <w:rFonts w:ascii="宋体" w:cs="宋体"/>
                <w:color w:val="000000"/>
                <w:kern w:val="0"/>
                <w:sz w:val="16"/>
                <w:szCs w:val="16"/>
              </w:rPr>
            </w:pPr>
            <w:r w:rsidRPr="008B7BE0">
              <w:rPr>
                <w:rFonts w:ascii="宋体" w:hAnsi="宋体" w:cs="宋体" w:hint="eastAsia"/>
                <w:color w:val="000000"/>
                <w:kern w:val="0"/>
                <w:sz w:val="16"/>
                <w:szCs w:val="16"/>
              </w:rPr>
              <w:t xml:space="preserve">　</w:t>
            </w:r>
          </w:p>
        </w:tc>
        <w:tc>
          <w:tcPr>
            <w:tcW w:w="1691" w:type="dxa"/>
            <w:tcBorders>
              <w:top w:val="single" w:sz="8" w:space="0" w:color="E46D0A"/>
              <w:left w:val="nil"/>
              <w:bottom w:val="single" w:sz="8" w:space="0" w:color="E46D0A"/>
              <w:right w:val="nil"/>
            </w:tcBorders>
            <w:noWrap/>
            <w:vAlign w:val="bottom"/>
          </w:tcPr>
          <w:p w:rsidR="000F741C" w:rsidRPr="008B7BE0" w:rsidRDefault="000F741C" w:rsidP="008B7BE0">
            <w:pPr>
              <w:widowControl/>
              <w:jc w:val="left"/>
              <w:rPr>
                <w:rFonts w:ascii="宋体" w:cs="宋体"/>
                <w:color w:val="000000"/>
                <w:kern w:val="0"/>
                <w:sz w:val="16"/>
                <w:szCs w:val="16"/>
              </w:rPr>
            </w:pPr>
            <w:r w:rsidRPr="008B7BE0">
              <w:rPr>
                <w:rFonts w:ascii="宋体" w:hAnsi="宋体" w:cs="宋体" w:hint="eastAsia"/>
                <w:color w:val="000000"/>
                <w:kern w:val="0"/>
                <w:sz w:val="16"/>
                <w:szCs w:val="16"/>
              </w:rPr>
              <w:t xml:space="preserve">　</w:t>
            </w:r>
          </w:p>
        </w:tc>
      </w:tr>
    </w:tbl>
    <w:p w:rsidR="000F741C" w:rsidRDefault="000F741C" w:rsidP="00D06FC1">
      <w:pPr>
        <w:pStyle w:val="BodyText"/>
        <w:spacing w:after="163"/>
        <w:ind w:left="0"/>
        <w:rPr>
          <w:color w:val="auto"/>
        </w:rPr>
      </w:pPr>
    </w:p>
    <w:p w:rsidR="000F741C" w:rsidRPr="008E35D6" w:rsidRDefault="000F741C" w:rsidP="00BC47C9">
      <w:pPr>
        <w:widowControl/>
        <w:spacing w:beforeLines="100" w:after="120" w:line="240" w:lineRule="exact"/>
        <w:ind w:firstLineChars="1421" w:firstLine="3424"/>
        <w:rPr>
          <w:rFonts w:ascii="楷体" w:eastAsia="楷体" w:hAnsi="楷体"/>
          <w:b/>
          <w:bCs/>
          <w:color w:val="0070C0"/>
          <w:kern w:val="0"/>
          <w:sz w:val="24"/>
          <w:szCs w:val="20"/>
          <w:lang w:val="en-GB"/>
        </w:rPr>
      </w:pPr>
      <w:r w:rsidRPr="008E35D6">
        <w:rPr>
          <w:rFonts w:ascii="楷体" w:eastAsia="楷体" w:hAnsi="楷体" w:hint="eastAsia"/>
          <w:b/>
          <w:bCs/>
          <w:color w:val="0070C0"/>
          <w:kern w:val="0"/>
          <w:sz w:val="24"/>
          <w:szCs w:val="20"/>
          <w:lang w:val="en-GB"/>
        </w:rPr>
        <w:t>公募基金行业发展动态</w:t>
      </w:r>
    </w:p>
    <w:p w:rsidR="000F741C" w:rsidRPr="008E35D6" w:rsidRDefault="000F741C" w:rsidP="00BC47C9">
      <w:pPr>
        <w:widowControl/>
        <w:spacing w:beforeLines="100" w:after="120" w:line="240" w:lineRule="exact"/>
        <w:ind w:firstLineChars="1609" w:firstLine="3392"/>
        <w:rPr>
          <w:rFonts w:ascii="楷体" w:eastAsia="楷体" w:hAnsi="楷体"/>
          <w:b/>
          <w:bCs/>
          <w:color w:val="0070C0"/>
          <w:kern w:val="0"/>
          <w:sz w:val="24"/>
          <w:szCs w:val="20"/>
          <w:lang w:val="en-GB"/>
        </w:rPr>
      </w:pPr>
      <w:r w:rsidRPr="008E35D6">
        <w:rPr>
          <w:rFonts w:ascii="楷体" w:eastAsia="楷体" w:hAnsi="楷体" w:hint="eastAsia"/>
          <w:b/>
          <w:bCs/>
          <w:color w:val="0070C0"/>
          <w:kern w:val="0"/>
          <w:szCs w:val="21"/>
          <w:lang w:val="en-GB"/>
        </w:rPr>
        <w:t>深交所发布基金产品服务指引</w:t>
      </w:r>
    </w:p>
    <w:p w:rsidR="000F741C" w:rsidRPr="00C714B4" w:rsidRDefault="000F741C" w:rsidP="00B10BB1">
      <w:pPr>
        <w:pStyle w:val="BodyText"/>
        <w:numPr>
          <w:ilvl w:val="4"/>
          <w:numId w:val="1"/>
        </w:numPr>
        <w:spacing w:after="163"/>
        <w:rPr>
          <w:rFonts w:ascii="楷体" w:eastAsia="楷体" w:hAnsi="楷体"/>
          <w:color w:val="auto"/>
        </w:rPr>
      </w:pPr>
      <w:r w:rsidRPr="00C714B4">
        <w:rPr>
          <w:rFonts w:ascii="楷体" w:eastAsia="楷体" w:hAnsi="楷体"/>
          <w:color w:val="auto"/>
        </w:rPr>
        <w:t>11</w:t>
      </w:r>
      <w:r w:rsidRPr="00C714B4">
        <w:rPr>
          <w:rFonts w:ascii="楷体" w:eastAsia="楷体" w:hAnsi="楷体" w:hint="eastAsia"/>
          <w:color w:val="auto"/>
        </w:rPr>
        <w:t>月</w:t>
      </w:r>
      <w:r w:rsidRPr="00C714B4">
        <w:rPr>
          <w:rFonts w:ascii="楷体" w:eastAsia="楷体" w:hAnsi="楷体"/>
          <w:color w:val="auto"/>
        </w:rPr>
        <w:t>18</w:t>
      </w:r>
      <w:r w:rsidRPr="00C714B4">
        <w:rPr>
          <w:rFonts w:ascii="楷体" w:eastAsia="楷体" w:hAnsi="楷体" w:hint="eastAsia"/>
          <w:color w:val="auto"/>
        </w:rPr>
        <w:t>日深交所发布《深圳证券交易所基金产品开发与创新服务指引》（简称《产品服务指引》）旨在进一步推动上市基金市场发展，鼓励产品创新，更好地服务市场参与主体。《产品服务指引》主要包含以下几大方面的内容：一是建立了标准明确、透明高效的产品服务制度和流程，明确了产品开发的准备工作、申请材料的内容、受理产品的流程和办理时限等；二是鼓励市场创新，对有意开发创新产品的基金管理人予以支持和保护，并提供产品和风险评估、技术开发等服务，协助基金管理人完善产品方案；三是引入竞争机制，允许多家基金管理人开发包括深证指数在内的同一指数标的产品，促进市场在竞争中发展。</w:t>
      </w:r>
    </w:p>
    <w:p w:rsidR="000F741C" w:rsidRPr="008E35D6" w:rsidRDefault="000F741C" w:rsidP="00D83752">
      <w:pPr>
        <w:pStyle w:val="BodyText"/>
        <w:spacing w:after="163"/>
        <w:rPr>
          <w:rFonts w:ascii="楷体" w:eastAsia="楷体" w:hAnsi="楷体"/>
          <w:b/>
          <w:bCs/>
          <w:color w:val="0070C0"/>
          <w:szCs w:val="21"/>
        </w:rPr>
      </w:pPr>
      <w:r w:rsidRPr="008E35D6">
        <w:rPr>
          <w:rFonts w:ascii="楷体" w:eastAsia="楷体" w:hAnsi="楷体"/>
          <w:b/>
          <w:bCs/>
          <w:color w:val="0070C0"/>
          <w:szCs w:val="21"/>
        </w:rPr>
        <w:t>RQDII</w:t>
      </w:r>
      <w:r w:rsidRPr="008E35D6">
        <w:rPr>
          <w:rFonts w:ascii="楷体" w:eastAsia="楷体" w:hAnsi="楷体" w:hint="eastAsia"/>
          <w:b/>
          <w:bCs/>
          <w:color w:val="0070C0"/>
          <w:szCs w:val="21"/>
        </w:rPr>
        <w:t>正式开闸，人民币离岸投资大幕将启</w:t>
      </w:r>
    </w:p>
    <w:p w:rsidR="000F741C" w:rsidRPr="008E35D6" w:rsidRDefault="000F741C" w:rsidP="001D4B26">
      <w:pPr>
        <w:pStyle w:val="BodyText"/>
        <w:numPr>
          <w:ilvl w:val="4"/>
          <w:numId w:val="1"/>
        </w:numPr>
        <w:spacing w:after="163"/>
        <w:rPr>
          <w:rFonts w:ascii="楷体" w:eastAsia="楷体" w:hAnsi="楷体"/>
          <w:color w:val="auto"/>
        </w:rPr>
      </w:pPr>
      <w:r w:rsidRPr="008E35D6">
        <w:rPr>
          <w:rFonts w:ascii="楷体" w:eastAsia="楷体" w:hAnsi="楷体" w:hint="eastAsia"/>
          <w:color w:val="auto"/>
        </w:rPr>
        <w:t>近期央行下发《关于人民币合格境内机构投资者境外证券投资有关事项的通知》（简称《通知》），允许人民币合格投资者可以用自有人民币资金或募集境内机构和个人人民币资金，投资于境外金融市场的人民币计价产品（银行自有资金境外运用除外），标志着</w:t>
      </w:r>
      <w:r w:rsidRPr="008E35D6">
        <w:rPr>
          <w:rFonts w:ascii="楷体" w:eastAsia="楷体" w:hAnsi="楷体"/>
          <w:color w:val="auto"/>
        </w:rPr>
        <w:t>RQDII</w:t>
      </w:r>
      <w:r w:rsidRPr="008E35D6">
        <w:rPr>
          <w:rFonts w:ascii="楷体" w:eastAsia="楷体" w:hAnsi="楷体" w:hint="eastAsia"/>
          <w:color w:val="auto"/>
        </w:rPr>
        <w:t>业务正式开闸。</w:t>
      </w:r>
    </w:p>
    <w:p w:rsidR="000F741C" w:rsidRPr="008E35D6" w:rsidRDefault="000F741C" w:rsidP="001D4B26">
      <w:pPr>
        <w:pStyle w:val="BodyText"/>
        <w:numPr>
          <w:ilvl w:val="4"/>
          <w:numId w:val="1"/>
        </w:numPr>
        <w:spacing w:after="163"/>
        <w:rPr>
          <w:rFonts w:ascii="楷体" w:eastAsia="楷体" w:hAnsi="楷体"/>
          <w:color w:val="auto"/>
        </w:rPr>
      </w:pPr>
      <w:r w:rsidRPr="008E35D6">
        <w:rPr>
          <w:rFonts w:ascii="楷体" w:eastAsia="楷体" w:hAnsi="楷体" w:hint="eastAsia"/>
          <w:color w:val="auto"/>
        </w:rPr>
        <w:t>从政策内容来看，相对于</w:t>
      </w:r>
      <w:r w:rsidRPr="008E35D6">
        <w:rPr>
          <w:rFonts w:ascii="楷体" w:eastAsia="楷体" w:hAnsi="楷体"/>
          <w:color w:val="auto"/>
        </w:rPr>
        <w:t>RQFII</w:t>
      </w:r>
      <w:r w:rsidRPr="008E35D6">
        <w:rPr>
          <w:rFonts w:ascii="楷体" w:eastAsia="楷体" w:hAnsi="楷体" w:hint="eastAsia"/>
          <w:color w:val="auto"/>
        </w:rPr>
        <w:t>，</w:t>
      </w:r>
      <w:r w:rsidRPr="008E35D6">
        <w:rPr>
          <w:rFonts w:ascii="楷体" w:eastAsia="楷体" w:hAnsi="楷体"/>
          <w:color w:val="auto"/>
        </w:rPr>
        <w:t>RQDII</w:t>
      </w:r>
      <w:r w:rsidRPr="008E35D6">
        <w:rPr>
          <w:rFonts w:ascii="楷体" w:eastAsia="楷体" w:hAnsi="楷体" w:hint="eastAsia"/>
          <w:color w:val="auto"/>
        </w:rPr>
        <w:t>不再另设额度审批。《通知》明确规定人民币合格投资者发行产品，应明确最大发行规模并报送监管机构，境外投资资金汇出规模应以实际募资规模为准，不得超过报送的产品最大发行规模。其中值得关注的是，人民币合格投资者可以根据实际募集情况上调产品的最大发行规模，这将给予合格投资者以较大的自主决策权。</w:t>
      </w:r>
    </w:p>
    <w:p w:rsidR="000F741C" w:rsidRPr="008E35D6" w:rsidRDefault="000F741C" w:rsidP="001D4B26">
      <w:pPr>
        <w:pStyle w:val="BodyText"/>
        <w:numPr>
          <w:ilvl w:val="4"/>
          <w:numId w:val="1"/>
        </w:numPr>
        <w:spacing w:after="163"/>
        <w:rPr>
          <w:rFonts w:ascii="楷体" w:eastAsia="楷体" w:hAnsi="楷体"/>
          <w:color w:val="auto"/>
        </w:rPr>
      </w:pPr>
      <w:r w:rsidRPr="008E35D6">
        <w:rPr>
          <w:rFonts w:ascii="楷体" w:eastAsia="楷体" w:hAnsi="楷体" w:hint="eastAsia"/>
          <w:color w:val="auto"/>
        </w:rPr>
        <w:t>从</w:t>
      </w:r>
      <w:r w:rsidRPr="008E35D6">
        <w:rPr>
          <w:rFonts w:ascii="楷体" w:eastAsia="楷体" w:hAnsi="楷体"/>
          <w:color w:val="auto"/>
        </w:rPr>
        <w:t>RQDII</w:t>
      </w:r>
      <w:r w:rsidRPr="008E35D6">
        <w:rPr>
          <w:rFonts w:ascii="楷体" w:eastAsia="楷体" w:hAnsi="楷体" w:hint="eastAsia"/>
          <w:color w:val="auto"/>
        </w:rPr>
        <w:t>推出的背景及意义来看，当前中国香港地区、新加坡、伦敦等地逐渐推出以人民币计价的金融产品，但由于离岸市场人民币资金池较小，以人民币进行投资的机构投资者数量和规模均十分有限，活跃的人民币金融产品市场难以形成。而</w:t>
      </w:r>
      <w:r w:rsidRPr="008E35D6">
        <w:rPr>
          <w:rFonts w:ascii="楷体" w:eastAsia="楷体" w:hAnsi="楷体"/>
          <w:color w:val="auto"/>
        </w:rPr>
        <w:t>RQDII</w:t>
      </w:r>
      <w:r w:rsidRPr="008E35D6">
        <w:rPr>
          <w:rFonts w:ascii="楷体" w:eastAsia="楷体" w:hAnsi="楷体" w:hint="eastAsia"/>
          <w:color w:val="auto"/>
        </w:rPr>
        <w:t>制度将带动人民币资金流入境外市场，促进境外金融市场加快推出人民币金融产品，进而拓宽离岸人民币的投资范围，推动人民币国际化。</w:t>
      </w:r>
    </w:p>
    <w:p w:rsidR="000F741C" w:rsidRPr="008E35D6" w:rsidRDefault="000F741C" w:rsidP="003A1061">
      <w:pPr>
        <w:pStyle w:val="BodyText"/>
        <w:spacing w:after="163"/>
        <w:rPr>
          <w:rFonts w:ascii="楷体" w:eastAsia="楷体" w:hAnsi="楷体"/>
          <w:b/>
          <w:bCs/>
          <w:color w:val="0070C0"/>
          <w:szCs w:val="21"/>
        </w:rPr>
      </w:pPr>
      <w:r w:rsidRPr="008E35D6">
        <w:rPr>
          <w:rFonts w:ascii="楷体" w:eastAsia="楷体" w:hAnsi="楷体" w:hint="eastAsia"/>
          <w:b/>
          <w:bCs/>
          <w:color w:val="0070C0"/>
          <w:szCs w:val="21"/>
        </w:rPr>
        <w:t>《基金业务外包服务指引》出台</w:t>
      </w:r>
    </w:p>
    <w:p w:rsidR="000F741C" w:rsidRPr="008E35D6" w:rsidRDefault="000F741C" w:rsidP="003A1061">
      <w:pPr>
        <w:pStyle w:val="BodyText"/>
        <w:numPr>
          <w:ilvl w:val="4"/>
          <w:numId w:val="1"/>
        </w:numPr>
        <w:spacing w:after="163"/>
        <w:rPr>
          <w:rFonts w:ascii="楷体" w:eastAsia="楷体" w:hAnsi="楷体"/>
          <w:color w:val="auto"/>
        </w:rPr>
      </w:pPr>
      <w:r w:rsidRPr="008E35D6">
        <w:rPr>
          <w:rFonts w:ascii="楷体" w:eastAsia="楷体" w:hAnsi="楷体" w:hint="eastAsia"/>
          <w:color w:val="auto"/>
        </w:rPr>
        <w:t>中国证券投资基金业协会发布《基金业务外包服务指引》，对公募、私募基金管理人开展业务外包的主要环节进行了原则性规定，涉及外包机构的备案要求、外包机构应具备的基本资质、基金管理人的法定职责不因外包而免除等五大方面内容，并指出基金业务外包机构将实行备案制管理。《指引》将于</w:t>
      </w:r>
      <w:r w:rsidRPr="008E35D6">
        <w:rPr>
          <w:rFonts w:ascii="楷体" w:eastAsia="楷体" w:hAnsi="楷体"/>
          <w:color w:val="auto"/>
        </w:rPr>
        <w:t>2015</w:t>
      </w:r>
      <w:r w:rsidRPr="008E35D6">
        <w:rPr>
          <w:rFonts w:ascii="楷体" w:eastAsia="楷体" w:hAnsi="楷体" w:hint="eastAsia"/>
          <w:color w:val="auto"/>
        </w:rPr>
        <w:t>年</w:t>
      </w:r>
      <w:r w:rsidRPr="008E35D6">
        <w:rPr>
          <w:rFonts w:ascii="楷体" w:eastAsia="楷体" w:hAnsi="楷体"/>
          <w:color w:val="auto"/>
        </w:rPr>
        <w:t>2</w:t>
      </w:r>
      <w:r w:rsidRPr="008E35D6">
        <w:rPr>
          <w:rFonts w:ascii="楷体" w:eastAsia="楷体" w:hAnsi="楷体" w:hint="eastAsia"/>
          <w:color w:val="auto"/>
        </w:rPr>
        <w:t>月</w:t>
      </w:r>
      <w:r w:rsidRPr="008E35D6">
        <w:rPr>
          <w:rFonts w:ascii="楷体" w:eastAsia="楷体" w:hAnsi="楷体"/>
          <w:color w:val="auto"/>
        </w:rPr>
        <w:t>1</w:t>
      </w:r>
      <w:r w:rsidRPr="008E35D6">
        <w:rPr>
          <w:rFonts w:ascii="楷体" w:eastAsia="楷体" w:hAnsi="楷体" w:hint="eastAsia"/>
          <w:color w:val="auto"/>
        </w:rPr>
        <w:t>日起正式实施。</w:t>
      </w:r>
    </w:p>
    <w:p w:rsidR="000F741C" w:rsidRPr="008E35D6" w:rsidRDefault="000F741C" w:rsidP="003A1061">
      <w:pPr>
        <w:pStyle w:val="BodyText"/>
        <w:numPr>
          <w:ilvl w:val="4"/>
          <w:numId w:val="1"/>
        </w:numPr>
        <w:spacing w:after="163"/>
        <w:rPr>
          <w:rFonts w:ascii="楷体" w:eastAsia="楷体" w:hAnsi="楷体"/>
          <w:color w:val="auto"/>
        </w:rPr>
      </w:pPr>
      <w:r w:rsidRPr="008E35D6">
        <w:rPr>
          <w:rFonts w:ascii="楷体" w:eastAsia="楷体" w:hAnsi="楷体" w:hint="eastAsia"/>
          <w:color w:val="auto"/>
        </w:rPr>
        <w:t>《指引》规定外包机构在业务开展前应通过基金业协会网站电子备案平台进行备案，并加入基金业协会成为会员，基金业协会对外包机构填报资料的完整性进行核对，材料齐备的给予备案。但与此同时，基金业协会为外包机构办理备案不构成对外包机构营运资质、持续合规情况的认可，不作为对基金财产安全的保证。这意味着，基金外包中最要紧的“风险防范”环节并没有因为《指引》出台而得到明确答案。《指引》只是规定：“由于基金外包业务活动发展初期可能存在着部分未预知的风险，或部分出于鼓励外包发展的原因、先期没有设置更加严格监管措施但暴露出的风险，为方便我会及时掌握情况，外包机构应在每季度、年度向基金业协会报送外包业务情况表、运营情况报告。”这也意味着基金业协会对基金业务外包活动实施事后自律监管。</w:t>
      </w:r>
    </w:p>
    <w:p w:rsidR="000F741C" w:rsidRPr="008E35D6" w:rsidRDefault="000F741C" w:rsidP="003A1061">
      <w:pPr>
        <w:pStyle w:val="BodyText"/>
        <w:numPr>
          <w:ilvl w:val="4"/>
          <w:numId w:val="1"/>
        </w:numPr>
        <w:spacing w:after="163"/>
        <w:rPr>
          <w:rFonts w:ascii="楷体" w:eastAsia="楷体" w:hAnsi="楷体"/>
          <w:color w:val="auto"/>
        </w:rPr>
      </w:pPr>
      <w:r w:rsidRPr="008E35D6">
        <w:rPr>
          <w:rFonts w:ascii="楷体" w:eastAsia="楷体" w:hAnsi="楷体" w:hint="eastAsia"/>
          <w:color w:val="auto"/>
        </w:rPr>
        <w:t>总体来看，《基金业务外包服务指引》的出台从行业规定的层面对公、私募基金光丽人外包业务环节进行细化，具有较高的实操意义，而在《指引》生效后，对于基金公司降低运营成本、引导资源配置向投研倾斜，提高专业化水平均具有较强的正面积极意义。</w:t>
      </w:r>
    </w:p>
    <w:p w:rsidR="000F741C" w:rsidRPr="008E35D6" w:rsidRDefault="000F741C" w:rsidP="001D4B26">
      <w:pPr>
        <w:pStyle w:val="BodyText"/>
        <w:spacing w:after="163"/>
        <w:rPr>
          <w:rFonts w:ascii="楷体" w:eastAsia="楷体" w:hAnsi="楷体"/>
          <w:b/>
          <w:bCs/>
          <w:color w:val="0070C0"/>
          <w:szCs w:val="21"/>
        </w:rPr>
      </w:pPr>
      <w:r w:rsidRPr="008E35D6">
        <w:rPr>
          <w:rFonts w:ascii="楷体" w:eastAsia="楷体" w:hAnsi="楷体" w:hint="eastAsia"/>
          <w:b/>
          <w:bCs/>
          <w:color w:val="0070C0"/>
          <w:szCs w:val="21"/>
        </w:rPr>
        <w:t>场内</w:t>
      </w:r>
      <w:r w:rsidRPr="008E35D6">
        <w:rPr>
          <w:rFonts w:ascii="楷体" w:eastAsia="楷体" w:hAnsi="楷体"/>
          <w:b/>
          <w:bCs/>
          <w:color w:val="0070C0"/>
          <w:szCs w:val="21"/>
        </w:rPr>
        <w:t>+</w:t>
      </w:r>
      <w:r w:rsidRPr="008E35D6">
        <w:rPr>
          <w:rFonts w:ascii="楷体" w:eastAsia="楷体" w:hAnsi="楷体" w:hint="eastAsia"/>
          <w:b/>
          <w:bCs/>
          <w:color w:val="0070C0"/>
          <w:szCs w:val="21"/>
        </w:rPr>
        <w:t>场外，首只</w:t>
      </w:r>
      <w:r w:rsidRPr="008E35D6">
        <w:rPr>
          <w:rFonts w:ascii="楷体" w:eastAsia="楷体" w:hAnsi="楷体"/>
          <w:b/>
          <w:bCs/>
          <w:color w:val="0070C0"/>
          <w:szCs w:val="21"/>
        </w:rPr>
        <w:t>A+H</w:t>
      </w:r>
      <w:r w:rsidRPr="008E35D6">
        <w:rPr>
          <w:rFonts w:ascii="楷体" w:eastAsia="楷体" w:hAnsi="楷体" w:hint="eastAsia"/>
          <w:b/>
          <w:bCs/>
          <w:color w:val="0070C0"/>
          <w:szCs w:val="21"/>
        </w:rPr>
        <w:t>货币基金正式公开募集</w:t>
      </w:r>
    </w:p>
    <w:p w:rsidR="000F741C" w:rsidRPr="008E35D6" w:rsidRDefault="000F741C" w:rsidP="001D4B26">
      <w:pPr>
        <w:pStyle w:val="BodyText"/>
        <w:numPr>
          <w:ilvl w:val="4"/>
          <w:numId w:val="1"/>
        </w:numPr>
        <w:spacing w:after="163"/>
        <w:rPr>
          <w:rFonts w:ascii="楷体" w:eastAsia="楷体" w:hAnsi="楷体"/>
          <w:color w:val="auto"/>
        </w:rPr>
      </w:pPr>
      <w:r w:rsidRPr="008E35D6">
        <w:rPr>
          <w:rFonts w:ascii="楷体" w:eastAsia="楷体" w:hAnsi="楷体"/>
          <w:color w:val="auto"/>
        </w:rPr>
        <w:t>11</w:t>
      </w:r>
      <w:r w:rsidRPr="008E35D6">
        <w:rPr>
          <w:rFonts w:ascii="楷体" w:eastAsia="楷体" w:hAnsi="楷体" w:hint="eastAsia"/>
          <w:color w:val="auto"/>
        </w:rPr>
        <w:t>月</w:t>
      </w:r>
      <w:r w:rsidRPr="008E35D6">
        <w:rPr>
          <w:rFonts w:ascii="楷体" w:eastAsia="楷体" w:hAnsi="楷体"/>
          <w:color w:val="auto"/>
        </w:rPr>
        <w:t>17</w:t>
      </w:r>
      <w:r w:rsidRPr="008E35D6">
        <w:rPr>
          <w:rFonts w:ascii="楷体" w:eastAsia="楷体" w:hAnsi="楷体" w:hint="eastAsia"/>
          <w:color w:val="auto"/>
        </w:rPr>
        <w:t>日首只</w:t>
      </w:r>
      <w:r w:rsidRPr="008E35D6">
        <w:rPr>
          <w:rFonts w:ascii="楷体" w:eastAsia="楷体" w:hAnsi="楷体"/>
          <w:color w:val="auto"/>
        </w:rPr>
        <w:t>A+H</w:t>
      </w:r>
      <w:r w:rsidRPr="008E35D6">
        <w:rPr>
          <w:rFonts w:ascii="楷体" w:eastAsia="楷体" w:hAnsi="楷体" w:hint="eastAsia"/>
          <w:color w:val="auto"/>
        </w:rPr>
        <w:t>货币基金</w:t>
      </w:r>
      <w:r w:rsidRPr="008E35D6">
        <w:rPr>
          <w:rFonts w:ascii="楷体" w:eastAsia="楷体" w:hAnsi="楷体"/>
          <w:color w:val="auto"/>
        </w:rPr>
        <w:t>——</w:t>
      </w:r>
      <w:r w:rsidRPr="008E35D6">
        <w:rPr>
          <w:rFonts w:ascii="楷体" w:eastAsia="楷体" w:hAnsi="楷体" w:hint="eastAsia"/>
          <w:color w:val="auto"/>
        </w:rPr>
        <w:t>南方理财金交易型货币市场基金正式对外公开募集，该基金创新性的同时设置了场内场外两类份额，其中</w:t>
      </w:r>
      <w:r w:rsidRPr="008E35D6">
        <w:rPr>
          <w:rFonts w:ascii="楷体" w:eastAsia="楷体" w:hAnsi="楷体"/>
          <w:color w:val="auto"/>
        </w:rPr>
        <w:t>A</w:t>
      </w:r>
      <w:r w:rsidRPr="008E35D6">
        <w:rPr>
          <w:rFonts w:ascii="楷体" w:eastAsia="楷体" w:hAnsi="楷体" w:hint="eastAsia"/>
          <w:color w:val="auto"/>
        </w:rPr>
        <w:t>类基金份额为场外份额，</w:t>
      </w:r>
      <w:r w:rsidRPr="008E35D6">
        <w:rPr>
          <w:rFonts w:ascii="楷体" w:eastAsia="楷体" w:hAnsi="楷体"/>
          <w:color w:val="auto"/>
        </w:rPr>
        <w:t>H</w:t>
      </w:r>
      <w:r w:rsidRPr="008E35D6">
        <w:rPr>
          <w:rFonts w:ascii="楷体" w:eastAsia="楷体" w:hAnsi="楷体" w:hint="eastAsia"/>
          <w:color w:val="auto"/>
        </w:rPr>
        <w:t>类基金份额为上海证券交易所场内份额。双市场货币基金的设计成功实现了场外和场内功能的结合，在满足不同投资者需求的同时，利用二级市场交易滑货币基金的申购赎回，减少申赎对基金投资的影响，在保证资金安全的前提下，提高了资金流动性和收益性。</w:t>
      </w:r>
    </w:p>
    <w:p w:rsidR="000F741C" w:rsidRDefault="000F741C">
      <w:pPr>
        <w:widowControl/>
        <w:jc w:val="left"/>
        <w:rPr>
          <w:rFonts w:ascii="Arial" w:eastAsia="KaiTi_GB2312" w:hAnsi="Arial"/>
          <w:kern w:val="0"/>
          <w:szCs w:val="20"/>
          <w:lang w:val="en-GB"/>
        </w:rPr>
      </w:pPr>
      <w:r>
        <w:rPr>
          <w:rFonts w:ascii="Arial" w:eastAsia="KaiTi_GB2312" w:hAnsi="Arial"/>
          <w:kern w:val="0"/>
          <w:szCs w:val="20"/>
          <w:lang w:val="en-GB"/>
        </w:rPr>
        <w:br w:type="page"/>
      </w:r>
    </w:p>
    <w:p w:rsidR="000F741C" w:rsidRPr="001D4B26" w:rsidRDefault="000F741C">
      <w:pPr>
        <w:widowControl/>
        <w:jc w:val="left"/>
        <w:rPr>
          <w:rFonts w:ascii="Arial" w:eastAsia="KaiTi_GB2312" w:hAnsi="Arial"/>
          <w:b/>
          <w:kern w:val="0"/>
          <w:szCs w:val="20"/>
          <w:lang w:val="en-GB"/>
        </w:rPr>
      </w:pPr>
    </w:p>
    <w:p w:rsidR="000F741C" w:rsidRPr="008E35D6" w:rsidRDefault="000F741C" w:rsidP="00B10000">
      <w:pPr>
        <w:pStyle w:val="a4"/>
        <w:spacing w:after="312"/>
        <w:rPr>
          <w:rFonts w:ascii="楷体" w:eastAsia="楷体" w:hAnsi="楷体"/>
          <w:b/>
          <w:kern w:val="0"/>
          <w:sz w:val="21"/>
          <w:szCs w:val="20"/>
          <w:lang w:val="en-GB"/>
        </w:rPr>
      </w:pPr>
      <w:r w:rsidRPr="008E35D6">
        <w:rPr>
          <w:rFonts w:ascii="楷体" w:eastAsia="楷体" w:hAnsi="楷体" w:hint="eastAsia"/>
          <w:b/>
          <w:kern w:val="0"/>
          <w:sz w:val="21"/>
          <w:szCs w:val="20"/>
          <w:lang w:val="en-GB"/>
        </w:rPr>
        <w:t>特别声明：</w:t>
      </w:r>
    </w:p>
    <w:p w:rsidR="000F741C" w:rsidRPr="008E35D6" w:rsidRDefault="000F741C" w:rsidP="00BC47C9">
      <w:pPr>
        <w:pStyle w:val="a4"/>
        <w:spacing w:beforeLines="50" w:after="312"/>
        <w:rPr>
          <w:rFonts w:ascii="楷体" w:eastAsia="楷体" w:hAnsi="楷体"/>
          <w:kern w:val="0"/>
          <w:sz w:val="21"/>
          <w:szCs w:val="20"/>
          <w:lang w:val="en-GB"/>
        </w:rPr>
      </w:pPr>
      <w:r w:rsidRPr="008E35D6">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0F741C" w:rsidRPr="008E35D6" w:rsidRDefault="000F741C" w:rsidP="00BC47C9">
      <w:pPr>
        <w:pStyle w:val="a4"/>
        <w:spacing w:beforeLines="50" w:after="312"/>
        <w:rPr>
          <w:rFonts w:ascii="楷体" w:eastAsia="楷体" w:hAnsi="楷体"/>
          <w:kern w:val="0"/>
          <w:sz w:val="21"/>
          <w:szCs w:val="20"/>
          <w:lang w:val="en-GB"/>
        </w:rPr>
      </w:pPr>
      <w:r w:rsidRPr="008E35D6">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0F741C" w:rsidRPr="008E35D6" w:rsidRDefault="000F741C" w:rsidP="00BC47C9">
      <w:pPr>
        <w:pStyle w:val="a4"/>
        <w:spacing w:beforeLines="50" w:after="312"/>
        <w:rPr>
          <w:rFonts w:ascii="楷体" w:eastAsia="楷体" w:hAnsi="楷体"/>
          <w:kern w:val="0"/>
          <w:sz w:val="21"/>
          <w:szCs w:val="20"/>
          <w:lang w:val="en-GB"/>
        </w:rPr>
      </w:pPr>
      <w:r w:rsidRPr="008E35D6">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0F741C" w:rsidRPr="00B10000" w:rsidRDefault="000F741C">
      <w:pPr>
        <w:rPr>
          <w:lang w:val="en-GB"/>
        </w:rPr>
      </w:pPr>
    </w:p>
    <w:sectPr w:rsidR="000F741C" w:rsidRPr="00B10000" w:rsidSect="00656031">
      <w:headerReference w:type="default" r:id="rId9"/>
      <w:footerReference w:type="default" r:id="rId10"/>
      <w:headerReference w:type="first" r:id="rId11"/>
      <w:footerReference w:type="first" r:id="rId12"/>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41C" w:rsidRDefault="000F741C" w:rsidP="00B10000">
      <w:r>
        <w:separator/>
      </w:r>
    </w:p>
  </w:endnote>
  <w:endnote w:type="continuationSeparator" w:id="0">
    <w:p w:rsidR="000F741C" w:rsidRDefault="000F741C"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KaiTi_GB2312">
    <w:panose1 w:val="02010609060101010101"/>
    <w:charset w:val="86"/>
    <w:family w:val="modern"/>
    <w:pitch w:val="fixed"/>
    <w:sig w:usb0="00000003"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1C" w:rsidRDefault="000F741C">
    <w:pPr>
      <w:pStyle w:val="Footer"/>
      <w:jc w:val="center"/>
    </w:pPr>
    <w:r>
      <w:pict>
        <v:rect id="_x0000_i1031"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2</w:t>
    </w:r>
    <w:r>
      <w:rPr>
        <w:b/>
      </w:rPr>
      <w:fldChar w:fldCharType="end"/>
    </w:r>
    <w:r>
      <w:rPr>
        <w:lang w:val="zh-CN"/>
      </w:rPr>
      <w:t xml:space="preserve"> / </w:t>
    </w:r>
    <w:r>
      <w:rPr>
        <w:b/>
      </w:rPr>
      <w:fldChar w:fldCharType="begin"/>
    </w:r>
    <w:r>
      <w:rPr>
        <w:b/>
      </w:rPr>
      <w:instrText>NUMPAGES</w:instrText>
    </w:r>
    <w:r>
      <w:rPr>
        <w:b/>
      </w:rPr>
      <w:fldChar w:fldCharType="separate"/>
    </w:r>
    <w:r>
      <w:rPr>
        <w:b/>
        <w:noProof/>
      </w:rPr>
      <w:t>6</w:t>
    </w:r>
    <w:r>
      <w:rPr>
        <w:b/>
      </w:rPr>
      <w:fldChar w:fldCharType="end"/>
    </w:r>
  </w:p>
  <w:p w:rsidR="000F741C" w:rsidRDefault="000F74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1C" w:rsidRDefault="000F741C">
    <w:pPr>
      <w:pStyle w:val="Footer"/>
      <w:jc w:val="center"/>
    </w:pPr>
    <w:r>
      <w:pict>
        <v:rect id="_x0000_i1040"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6</w:t>
    </w:r>
    <w:r>
      <w:rPr>
        <w:b/>
      </w:rPr>
      <w:fldChar w:fldCharType="end"/>
    </w:r>
  </w:p>
  <w:p w:rsidR="000F741C" w:rsidRDefault="000F7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41C" w:rsidRDefault="000F741C" w:rsidP="00B10000">
      <w:r>
        <w:separator/>
      </w:r>
    </w:p>
  </w:footnote>
  <w:footnote w:type="continuationSeparator" w:id="0">
    <w:p w:rsidR="000F741C" w:rsidRDefault="000F741C"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1C" w:rsidRDefault="000F741C" w:rsidP="00B10000">
    <w:pPr>
      <w:pStyle w:val="Header"/>
      <w:pBdr>
        <w:bottom w:val="none" w:sz="0" w:space="0" w:color="auto"/>
      </w:pBdr>
    </w:pPr>
    <w:r>
      <w:rPr>
        <w:noProof/>
      </w:rPr>
      <w:pict>
        <v:group id="_x0000_s2049" style="position:absolute;left:0;text-align:left;margin-left:5.2pt;margin-top:-32.25pt;width:531.2pt;height:37.5pt;z-index:251660288" coordorigin="728,206" coordsize="10624,750">
          <v:shapetype id="_x0000_t202" coordsize="21600,21600" o:spt="202" path="m,l,21600r21600,l21600,xe">
            <v:stroke joinstyle="miter"/>
            <v:path gradientshapeok="t" o:connecttype="rect"/>
          </v:shapetype>
          <v:shape id="_x0000_s2050" type="#_x0000_t202" style="position:absolute;left:728;top:206;width:1336;height:724" strokecolor="white">
            <v:textbox style="mso-next-textbox:#_x0000_s2050">
              <w:txbxContent>
                <w:p w:rsidR="000F741C" w:rsidRDefault="000F741C" w:rsidP="00B10000">
                  <w:pPr>
                    <w:pStyle w:val="12"/>
                  </w:pPr>
                  <w:r w:rsidRPr="00AD4FD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凯石工2.jpg" style="width:42pt;height:29.25pt;visibility:visible">
                        <v:imagedata r:id="rId1" o:title=""/>
                      </v:shape>
                    </w:pict>
                  </w:r>
                </w:p>
              </w:txbxContent>
            </v:textbox>
          </v:shape>
          <v:shape id="_x0000_s2051" type="#_x0000_t202" style="position:absolute;left:5999;top:542;width:5353;height:414" strokecolor="white">
            <v:textbox style="mso-next-textbox:#_x0000_s2051">
              <w:txbxContent>
                <w:p w:rsidR="000F741C" w:rsidRPr="006E0F3C" w:rsidRDefault="000F741C" w:rsidP="00B10000">
                  <w:pPr>
                    <w:pStyle w:val="2"/>
                  </w:pPr>
                  <w:r w:rsidRPr="0080290B">
                    <w:t>2014</w:t>
                  </w:r>
                  <w:r w:rsidRPr="0080290B">
                    <w:rPr>
                      <w:rFonts w:hint="eastAsia"/>
                    </w:rPr>
                    <w:t>年</w:t>
                  </w:r>
                  <w:r>
                    <w:t>11</w:t>
                  </w:r>
                  <w:r w:rsidRPr="0080290B">
                    <w:rPr>
                      <w:rFonts w:hint="eastAsia"/>
                    </w:rPr>
                    <w:t>月公募基金行业回顾</w:t>
                  </w:r>
                </w:p>
              </w:txbxContent>
            </v:textbox>
          </v:shape>
        </v:group>
      </w:pict>
    </w:r>
    <w:r>
      <w:pict>
        <v:rect id="_x0000_i1028"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1C" w:rsidRDefault="000F741C" w:rsidP="00BC47C9">
    <w:pPr>
      <w:pStyle w:val="Header"/>
      <w:pBdr>
        <w:bottom w:val="none" w:sz="0" w:space="0" w:color="auto"/>
      </w:pBdr>
      <w:spacing w:afterLines="100"/>
    </w:pPr>
    <w:r>
      <w:rPr>
        <w:noProof/>
      </w:rPr>
    </w:r>
    <w:r>
      <w:pict>
        <v:group id="_x0000_s2052"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2053" type="#_x0000_t202" style="position:absolute;left:652;top:331;width:3664;height:2430" strokecolor="white">
            <v:textbox style="mso-next-textbox:#_x0000_s2053">
              <w:txbxContent>
                <w:p w:rsidR="000F741C" w:rsidRDefault="000F741C" w:rsidP="00B10000">
                  <w:pPr>
                    <w:pStyle w:val="a0"/>
                  </w:pPr>
                  <w:r w:rsidRPr="00AD4FD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8" type="#_x0000_t75" alt="凯石工2.jpg" style="width:123pt;height:115.5pt;visibility:visible">
                        <v:imagedata r:id="rId1" o:title=""/>
                      </v:shape>
                    </w:pict>
                  </w:r>
                </w:p>
              </w:txbxContent>
            </v:textbox>
          </v:shape>
          <v:shape id="_x0000_s2054" type="#_x0000_t202" style="position:absolute;left:881;top:2578;width:2325;height:390" strokecolor="white">
            <v:textbox style="mso-next-textbox:#_x0000_s2054">
              <w:txbxContent>
                <w:p w:rsidR="000F741C" w:rsidRPr="006E0F3C" w:rsidRDefault="000F741C" w:rsidP="008840A4">
                  <w:pPr>
                    <w:pStyle w:val="a"/>
                    <w:spacing w:after="240"/>
                  </w:pPr>
                  <w:r w:rsidRPr="006E0F3C">
                    <w:rPr>
                      <w:rFonts w:hint="eastAsia"/>
                    </w:rPr>
                    <w:t>凯石工场研究报告</w:t>
                  </w:r>
                </w:p>
              </w:txbxContent>
            </v:textbox>
          </v:shape>
          <v:shape id="_x0000_s2055" type="#_x0000_t202" style="position:absolute;left:8740;top:609;width:2441;height:475" strokecolor="white">
            <v:textbox style="mso-next-textbox:#_x0000_s2055;mso-fit-shape-to-text:t">
              <w:txbxContent>
                <w:p w:rsidR="000F741C" w:rsidRPr="006E0F3C" w:rsidRDefault="000F741C" w:rsidP="00B10000">
                  <w:pPr>
                    <w:pStyle w:val="a1"/>
                    <w:jc w:val="right"/>
                  </w:pPr>
                  <w:r w:rsidRPr="006E0F3C">
                    <w:t>201</w:t>
                  </w:r>
                  <w:r>
                    <w:t>4</w:t>
                  </w:r>
                  <w:r w:rsidRPr="006E0F3C">
                    <w:rPr>
                      <w:rFonts w:hint="eastAsia"/>
                    </w:rPr>
                    <w:t>年</w:t>
                  </w:r>
                  <w:r>
                    <w:t>12</w:t>
                  </w:r>
                  <w:r>
                    <w:rPr>
                      <w:rFonts w:hint="eastAsia"/>
                    </w:rPr>
                    <w:t>月</w:t>
                  </w:r>
                  <w:r>
                    <w:t>5</w:t>
                  </w:r>
                  <w:r w:rsidRPr="006E0F3C">
                    <w:rPr>
                      <w:rFonts w:hint="eastAsia"/>
                    </w:rPr>
                    <w:t>日</w:t>
                  </w:r>
                </w:p>
              </w:txbxContent>
            </v:textbox>
          </v:shape>
          <v:shape id="_x0000_s2056" type="#_x0000_t202" style="position:absolute;left:3214;top:1377;width:8090;height:1001" strokecolor="white">
            <v:textbox style="mso-next-textbox:#_x0000_s2056;mso-fit-shape-to-text:t">
              <w:txbxContent>
                <w:p w:rsidR="000F741C" w:rsidRDefault="000F741C" w:rsidP="00B10000">
                  <w:pPr>
                    <w:pStyle w:val="a2"/>
                    <w:jc w:val="right"/>
                  </w:pPr>
                  <w:r w:rsidRPr="00F82D2A">
                    <w:t>2014</w:t>
                  </w:r>
                  <w:r>
                    <w:rPr>
                      <w:rFonts w:hint="eastAsia"/>
                    </w:rPr>
                    <w:t>年</w:t>
                  </w:r>
                  <w:r>
                    <w:t>11</w:t>
                  </w:r>
                  <w:r>
                    <w:rPr>
                      <w:rFonts w:hint="eastAsia"/>
                    </w:rPr>
                    <w:t>月公募基金行业</w:t>
                  </w:r>
                  <w:r w:rsidRPr="00F82D2A">
                    <w:rPr>
                      <w:rFonts w:hint="eastAsia"/>
                    </w:rPr>
                    <w:t>回顾</w:t>
                  </w:r>
                </w:p>
                <w:p w:rsidR="000F741C" w:rsidRPr="00624366" w:rsidRDefault="000F741C" w:rsidP="00050667">
                  <w:pPr>
                    <w:pStyle w:val="a2"/>
                    <w:jc w:val="right"/>
                    <w:rPr>
                      <w:sz w:val="28"/>
                      <w:szCs w:val="28"/>
                    </w:rPr>
                  </w:pPr>
                  <w:r>
                    <w:rPr>
                      <w:rFonts w:hint="eastAsia"/>
                      <w:sz w:val="28"/>
                      <w:szCs w:val="28"/>
                    </w:rPr>
                    <w:t>宽松加码，股债齐涨</w:t>
                  </w:r>
                </w:p>
              </w:txbxContent>
            </v:textbox>
          </v:shape>
          <v:shape id="_x0000_s2057" type="#_x0000_t202" style="position:absolute;left:3246;top:2578;width:7993;height:627" strokecolor="white">
            <v:textbox style="mso-next-textbox:#_x0000_s2057">
              <w:txbxContent>
                <w:p w:rsidR="000F741C" w:rsidRDefault="000F741C" w:rsidP="00B10000">
                  <w:pPr>
                    <w:pStyle w:val="a3"/>
                  </w:pPr>
                  <w:r>
                    <w:rPr>
                      <w:rFonts w:hint="eastAsia"/>
                    </w:rPr>
                    <w:t>郭佳楠</w:t>
                  </w:r>
                  <w:r>
                    <w:t xml:space="preserve"> </w:t>
                  </w:r>
                  <w:r>
                    <w:rPr>
                      <w:rFonts w:hint="eastAsia"/>
                    </w:rPr>
                    <w:t>基金分析师</w:t>
                  </w:r>
                </w:p>
                <w:p w:rsidR="000F741C" w:rsidRDefault="000F741C" w:rsidP="00B10000">
                  <w:pPr>
                    <w:pStyle w:val="a3"/>
                  </w:pPr>
                  <w:r w:rsidRPr="006E0F3C">
                    <w:t xml:space="preserve"> </w:t>
                  </w:r>
                </w:p>
                <w:p w:rsidR="000F741C" w:rsidRPr="006E0F3C" w:rsidRDefault="000F741C" w:rsidP="00E52127">
                  <w:pPr>
                    <w:pStyle w:val="a3"/>
                    <w:wordWrap w:val="0"/>
                  </w:pPr>
                </w:p>
              </w:txbxContent>
            </v:textbox>
          </v:shape>
          <w10:anchorlock/>
        </v:group>
      </w:pict>
    </w:r>
    <w:r>
      <w:pict>
        <v:rect id="_x0000_i1037"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hint="default"/>
        <w:color w:val="FF0000"/>
        <w:sz w:val="20"/>
      </w:rPr>
    </w:lvl>
  </w:abstractNum>
  <w:abstractNum w:abstractNumId="1">
    <w:nsid w:val="492C6DD3"/>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KaiTi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KaiTi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num w:numId="1">
    <w:abstractNumId w:val="1"/>
  </w:num>
  <w:num w:numId="2">
    <w:abstractNumId w:val="2"/>
  </w:num>
  <w:num w:numId="3">
    <w:abstractNumId w:val="0"/>
  </w:num>
  <w:num w:numId="4">
    <w:abstractNumId w:val="1"/>
    <w:lvlOverride w:ilvl="0"/>
    <w:lvlOverride w:ilvl="1"/>
    <w:lvlOverride w:ilvl="2"/>
    <w:lvlOverride w:ilvl="3"/>
    <w:lvlOverride w:ilvl="4"/>
    <w:lvlOverride w:ilvl="5"/>
    <w:lvlOverride w:ilvl="6">
      <w:startOverride w:val="1"/>
    </w:lvlOverride>
    <w:lvlOverride w:ilvl="7"/>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000"/>
    <w:rsid w:val="000004FA"/>
    <w:rsid w:val="000004FB"/>
    <w:rsid w:val="00000E19"/>
    <w:rsid w:val="000029A7"/>
    <w:rsid w:val="00002F3E"/>
    <w:rsid w:val="0000422A"/>
    <w:rsid w:val="00004D3C"/>
    <w:rsid w:val="00005573"/>
    <w:rsid w:val="00005DF2"/>
    <w:rsid w:val="00006664"/>
    <w:rsid w:val="00011AA4"/>
    <w:rsid w:val="0001249B"/>
    <w:rsid w:val="0001391F"/>
    <w:rsid w:val="000149E5"/>
    <w:rsid w:val="00014E4A"/>
    <w:rsid w:val="0001684B"/>
    <w:rsid w:val="00016FEE"/>
    <w:rsid w:val="0002028D"/>
    <w:rsid w:val="00021011"/>
    <w:rsid w:val="00021B60"/>
    <w:rsid w:val="00023796"/>
    <w:rsid w:val="00023FC5"/>
    <w:rsid w:val="000244AD"/>
    <w:rsid w:val="00024B34"/>
    <w:rsid w:val="00024CC7"/>
    <w:rsid w:val="000253A1"/>
    <w:rsid w:val="00026157"/>
    <w:rsid w:val="00030DA9"/>
    <w:rsid w:val="0003185B"/>
    <w:rsid w:val="000322F1"/>
    <w:rsid w:val="00032786"/>
    <w:rsid w:val="00033494"/>
    <w:rsid w:val="000336F0"/>
    <w:rsid w:val="000341BA"/>
    <w:rsid w:val="00034C20"/>
    <w:rsid w:val="00036BD6"/>
    <w:rsid w:val="00040B0F"/>
    <w:rsid w:val="00040CB9"/>
    <w:rsid w:val="00040D7D"/>
    <w:rsid w:val="000413B6"/>
    <w:rsid w:val="00041A4A"/>
    <w:rsid w:val="00043780"/>
    <w:rsid w:val="00043842"/>
    <w:rsid w:val="000448A5"/>
    <w:rsid w:val="00044D2F"/>
    <w:rsid w:val="00044EF2"/>
    <w:rsid w:val="00045287"/>
    <w:rsid w:val="00046736"/>
    <w:rsid w:val="0004681E"/>
    <w:rsid w:val="00046929"/>
    <w:rsid w:val="00047DBC"/>
    <w:rsid w:val="00050667"/>
    <w:rsid w:val="000506BB"/>
    <w:rsid w:val="00050901"/>
    <w:rsid w:val="00050A97"/>
    <w:rsid w:val="0005199E"/>
    <w:rsid w:val="00051D27"/>
    <w:rsid w:val="000523AB"/>
    <w:rsid w:val="00052D05"/>
    <w:rsid w:val="00053D98"/>
    <w:rsid w:val="00053DA5"/>
    <w:rsid w:val="000553B5"/>
    <w:rsid w:val="00055DD2"/>
    <w:rsid w:val="00060A8A"/>
    <w:rsid w:val="0006232B"/>
    <w:rsid w:val="00063B9F"/>
    <w:rsid w:val="000645DD"/>
    <w:rsid w:val="00066569"/>
    <w:rsid w:val="00066BBB"/>
    <w:rsid w:val="000673EA"/>
    <w:rsid w:val="00071EEE"/>
    <w:rsid w:val="00072D00"/>
    <w:rsid w:val="0007557C"/>
    <w:rsid w:val="00075B19"/>
    <w:rsid w:val="0008067A"/>
    <w:rsid w:val="00081118"/>
    <w:rsid w:val="00081208"/>
    <w:rsid w:val="000832AE"/>
    <w:rsid w:val="00083E8F"/>
    <w:rsid w:val="000851F8"/>
    <w:rsid w:val="00086645"/>
    <w:rsid w:val="00086B34"/>
    <w:rsid w:val="000874C0"/>
    <w:rsid w:val="000874DE"/>
    <w:rsid w:val="00087A79"/>
    <w:rsid w:val="000906F3"/>
    <w:rsid w:val="000908E4"/>
    <w:rsid w:val="00090CA3"/>
    <w:rsid w:val="000910BF"/>
    <w:rsid w:val="00091D95"/>
    <w:rsid w:val="00091E7C"/>
    <w:rsid w:val="00093760"/>
    <w:rsid w:val="00097891"/>
    <w:rsid w:val="000A0045"/>
    <w:rsid w:val="000A0200"/>
    <w:rsid w:val="000A0E04"/>
    <w:rsid w:val="000A2E30"/>
    <w:rsid w:val="000A3635"/>
    <w:rsid w:val="000A3AF7"/>
    <w:rsid w:val="000A3F69"/>
    <w:rsid w:val="000A49D0"/>
    <w:rsid w:val="000A6127"/>
    <w:rsid w:val="000A61C2"/>
    <w:rsid w:val="000A6C46"/>
    <w:rsid w:val="000A7D34"/>
    <w:rsid w:val="000A7D6F"/>
    <w:rsid w:val="000B214F"/>
    <w:rsid w:val="000B2574"/>
    <w:rsid w:val="000B436C"/>
    <w:rsid w:val="000B4549"/>
    <w:rsid w:val="000B4837"/>
    <w:rsid w:val="000B6599"/>
    <w:rsid w:val="000C17A5"/>
    <w:rsid w:val="000C1903"/>
    <w:rsid w:val="000C1A33"/>
    <w:rsid w:val="000C26B1"/>
    <w:rsid w:val="000C301B"/>
    <w:rsid w:val="000C35A6"/>
    <w:rsid w:val="000C3F6D"/>
    <w:rsid w:val="000C53C4"/>
    <w:rsid w:val="000C560C"/>
    <w:rsid w:val="000C5AA9"/>
    <w:rsid w:val="000C7ABD"/>
    <w:rsid w:val="000C7C2B"/>
    <w:rsid w:val="000D00E9"/>
    <w:rsid w:val="000D04C0"/>
    <w:rsid w:val="000D098E"/>
    <w:rsid w:val="000D0A63"/>
    <w:rsid w:val="000D120E"/>
    <w:rsid w:val="000D172C"/>
    <w:rsid w:val="000D3A3A"/>
    <w:rsid w:val="000D3B2C"/>
    <w:rsid w:val="000D600C"/>
    <w:rsid w:val="000D612E"/>
    <w:rsid w:val="000D6237"/>
    <w:rsid w:val="000D6608"/>
    <w:rsid w:val="000E2EDF"/>
    <w:rsid w:val="000E310E"/>
    <w:rsid w:val="000E3E62"/>
    <w:rsid w:val="000E406D"/>
    <w:rsid w:val="000E455B"/>
    <w:rsid w:val="000E4713"/>
    <w:rsid w:val="000E4CCA"/>
    <w:rsid w:val="000E598D"/>
    <w:rsid w:val="000E6028"/>
    <w:rsid w:val="000E63CE"/>
    <w:rsid w:val="000E77F4"/>
    <w:rsid w:val="000F17A4"/>
    <w:rsid w:val="000F1B1F"/>
    <w:rsid w:val="000F1B5B"/>
    <w:rsid w:val="000F1C39"/>
    <w:rsid w:val="000F23EE"/>
    <w:rsid w:val="000F26E1"/>
    <w:rsid w:val="000F4582"/>
    <w:rsid w:val="000F5835"/>
    <w:rsid w:val="000F61AF"/>
    <w:rsid w:val="000F65BC"/>
    <w:rsid w:val="000F6D23"/>
    <w:rsid w:val="000F6F39"/>
    <w:rsid w:val="000F70C1"/>
    <w:rsid w:val="000F741C"/>
    <w:rsid w:val="001015AE"/>
    <w:rsid w:val="001015FD"/>
    <w:rsid w:val="0010182C"/>
    <w:rsid w:val="001018EE"/>
    <w:rsid w:val="00101F24"/>
    <w:rsid w:val="00102244"/>
    <w:rsid w:val="00103CEE"/>
    <w:rsid w:val="0010550D"/>
    <w:rsid w:val="00105DAE"/>
    <w:rsid w:val="001061FC"/>
    <w:rsid w:val="00110DA0"/>
    <w:rsid w:val="0011175E"/>
    <w:rsid w:val="00111800"/>
    <w:rsid w:val="001129A7"/>
    <w:rsid w:val="00112F63"/>
    <w:rsid w:val="00113693"/>
    <w:rsid w:val="001161DB"/>
    <w:rsid w:val="00116263"/>
    <w:rsid w:val="00116A76"/>
    <w:rsid w:val="00116CE6"/>
    <w:rsid w:val="00117538"/>
    <w:rsid w:val="00121905"/>
    <w:rsid w:val="00123ACF"/>
    <w:rsid w:val="00124D6B"/>
    <w:rsid w:val="0012510C"/>
    <w:rsid w:val="00125231"/>
    <w:rsid w:val="00125DED"/>
    <w:rsid w:val="00127AD1"/>
    <w:rsid w:val="00131E5C"/>
    <w:rsid w:val="00134AAF"/>
    <w:rsid w:val="00135C66"/>
    <w:rsid w:val="00135FD6"/>
    <w:rsid w:val="001360B9"/>
    <w:rsid w:val="001375D6"/>
    <w:rsid w:val="00137804"/>
    <w:rsid w:val="00137B68"/>
    <w:rsid w:val="00140273"/>
    <w:rsid w:val="0014101E"/>
    <w:rsid w:val="001410E9"/>
    <w:rsid w:val="001418E9"/>
    <w:rsid w:val="0014457B"/>
    <w:rsid w:val="00144CFC"/>
    <w:rsid w:val="0014511E"/>
    <w:rsid w:val="00145791"/>
    <w:rsid w:val="00145E53"/>
    <w:rsid w:val="0014676E"/>
    <w:rsid w:val="00146CB1"/>
    <w:rsid w:val="001520A8"/>
    <w:rsid w:val="00152120"/>
    <w:rsid w:val="00152298"/>
    <w:rsid w:val="00152953"/>
    <w:rsid w:val="00152F6B"/>
    <w:rsid w:val="00153344"/>
    <w:rsid w:val="00154FA6"/>
    <w:rsid w:val="001556D7"/>
    <w:rsid w:val="001602A3"/>
    <w:rsid w:val="001609A2"/>
    <w:rsid w:val="00160DA3"/>
    <w:rsid w:val="001615D1"/>
    <w:rsid w:val="001619D5"/>
    <w:rsid w:val="001640A4"/>
    <w:rsid w:val="00164B00"/>
    <w:rsid w:val="00164CC6"/>
    <w:rsid w:val="00164D9C"/>
    <w:rsid w:val="001653DB"/>
    <w:rsid w:val="00166645"/>
    <w:rsid w:val="00166701"/>
    <w:rsid w:val="00166870"/>
    <w:rsid w:val="00166B2A"/>
    <w:rsid w:val="00166E52"/>
    <w:rsid w:val="0017025F"/>
    <w:rsid w:val="001708F5"/>
    <w:rsid w:val="0017189D"/>
    <w:rsid w:val="00171E69"/>
    <w:rsid w:val="001728A4"/>
    <w:rsid w:val="00172E37"/>
    <w:rsid w:val="00173FFD"/>
    <w:rsid w:val="00174EF9"/>
    <w:rsid w:val="00175082"/>
    <w:rsid w:val="00177319"/>
    <w:rsid w:val="00180BE1"/>
    <w:rsid w:val="00181F34"/>
    <w:rsid w:val="0018327F"/>
    <w:rsid w:val="0018335F"/>
    <w:rsid w:val="0018379B"/>
    <w:rsid w:val="00185269"/>
    <w:rsid w:val="00185F9C"/>
    <w:rsid w:val="0019050E"/>
    <w:rsid w:val="001911BA"/>
    <w:rsid w:val="001923DF"/>
    <w:rsid w:val="00192CE7"/>
    <w:rsid w:val="00193841"/>
    <w:rsid w:val="0019417E"/>
    <w:rsid w:val="00194189"/>
    <w:rsid w:val="00194C36"/>
    <w:rsid w:val="00195CE3"/>
    <w:rsid w:val="0019658E"/>
    <w:rsid w:val="00197150"/>
    <w:rsid w:val="00197320"/>
    <w:rsid w:val="00197D45"/>
    <w:rsid w:val="001A24A5"/>
    <w:rsid w:val="001A2F71"/>
    <w:rsid w:val="001A6513"/>
    <w:rsid w:val="001A705C"/>
    <w:rsid w:val="001B1476"/>
    <w:rsid w:val="001B1F02"/>
    <w:rsid w:val="001B21B7"/>
    <w:rsid w:val="001B2EDF"/>
    <w:rsid w:val="001B4410"/>
    <w:rsid w:val="001B55E5"/>
    <w:rsid w:val="001B7CE9"/>
    <w:rsid w:val="001C0183"/>
    <w:rsid w:val="001C0EEA"/>
    <w:rsid w:val="001C1EF1"/>
    <w:rsid w:val="001C2B08"/>
    <w:rsid w:val="001C3B35"/>
    <w:rsid w:val="001C3B98"/>
    <w:rsid w:val="001C3E81"/>
    <w:rsid w:val="001C3E87"/>
    <w:rsid w:val="001C5426"/>
    <w:rsid w:val="001C56C2"/>
    <w:rsid w:val="001C618D"/>
    <w:rsid w:val="001C64E1"/>
    <w:rsid w:val="001C651B"/>
    <w:rsid w:val="001C73E7"/>
    <w:rsid w:val="001D057F"/>
    <w:rsid w:val="001D25E4"/>
    <w:rsid w:val="001D3C98"/>
    <w:rsid w:val="001D4B26"/>
    <w:rsid w:val="001D5036"/>
    <w:rsid w:val="001D52F4"/>
    <w:rsid w:val="001D62AF"/>
    <w:rsid w:val="001D6ADC"/>
    <w:rsid w:val="001D7653"/>
    <w:rsid w:val="001D7EE7"/>
    <w:rsid w:val="001E1B04"/>
    <w:rsid w:val="001E2BAE"/>
    <w:rsid w:val="001E3873"/>
    <w:rsid w:val="001E4D3B"/>
    <w:rsid w:val="001E5D0A"/>
    <w:rsid w:val="001E7567"/>
    <w:rsid w:val="001F0934"/>
    <w:rsid w:val="001F3B60"/>
    <w:rsid w:val="001F3E30"/>
    <w:rsid w:val="001F3E45"/>
    <w:rsid w:val="001F538E"/>
    <w:rsid w:val="001F5926"/>
    <w:rsid w:val="001F643C"/>
    <w:rsid w:val="001F6610"/>
    <w:rsid w:val="002015D6"/>
    <w:rsid w:val="00201AC3"/>
    <w:rsid w:val="00202C2B"/>
    <w:rsid w:val="00202CB8"/>
    <w:rsid w:val="002038E2"/>
    <w:rsid w:val="00204A9B"/>
    <w:rsid w:val="00205F59"/>
    <w:rsid w:val="00206AC5"/>
    <w:rsid w:val="0020734D"/>
    <w:rsid w:val="00207443"/>
    <w:rsid w:val="002075F0"/>
    <w:rsid w:val="002114F2"/>
    <w:rsid w:val="00213BE5"/>
    <w:rsid w:val="002143A9"/>
    <w:rsid w:val="00214601"/>
    <w:rsid w:val="00216C4E"/>
    <w:rsid w:val="002206ED"/>
    <w:rsid w:val="00220DD2"/>
    <w:rsid w:val="0022103F"/>
    <w:rsid w:val="00221061"/>
    <w:rsid w:val="00221442"/>
    <w:rsid w:val="002227B7"/>
    <w:rsid w:val="00222934"/>
    <w:rsid w:val="002249F6"/>
    <w:rsid w:val="00226F3A"/>
    <w:rsid w:val="00231F40"/>
    <w:rsid w:val="002336EA"/>
    <w:rsid w:val="0023413A"/>
    <w:rsid w:val="0023421B"/>
    <w:rsid w:val="00234530"/>
    <w:rsid w:val="00234C9E"/>
    <w:rsid w:val="00235011"/>
    <w:rsid w:val="00237BD5"/>
    <w:rsid w:val="00237C34"/>
    <w:rsid w:val="0024018B"/>
    <w:rsid w:val="00240E65"/>
    <w:rsid w:val="00241218"/>
    <w:rsid w:val="00241EEE"/>
    <w:rsid w:val="002435C9"/>
    <w:rsid w:val="00244358"/>
    <w:rsid w:val="002451A2"/>
    <w:rsid w:val="00245441"/>
    <w:rsid w:val="002477E1"/>
    <w:rsid w:val="002500B8"/>
    <w:rsid w:val="0025077E"/>
    <w:rsid w:val="00250800"/>
    <w:rsid w:val="00251D1F"/>
    <w:rsid w:val="00251EBB"/>
    <w:rsid w:val="002540D4"/>
    <w:rsid w:val="0025549A"/>
    <w:rsid w:val="00255A22"/>
    <w:rsid w:val="00256A3A"/>
    <w:rsid w:val="00256FBC"/>
    <w:rsid w:val="002602D2"/>
    <w:rsid w:val="00261350"/>
    <w:rsid w:val="00262E05"/>
    <w:rsid w:val="002630FB"/>
    <w:rsid w:val="00267F8F"/>
    <w:rsid w:val="00270827"/>
    <w:rsid w:val="002712A1"/>
    <w:rsid w:val="0027178D"/>
    <w:rsid w:val="00272C58"/>
    <w:rsid w:val="002753B7"/>
    <w:rsid w:val="00276646"/>
    <w:rsid w:val="00276BE7"/>
    <w:rsid w:val="002773C9"/>
    <w:rsid w:val="00277885"/>
    <w:rsid w:val="002801A1"/>
    <w:rsid w:val="00281FBC"/>
    <w:rsid w:val="00283879"/>
    <w:rsid w:val="00283F57"/>
    <w:rsid w:val="002845EC"/>
    <w:rsid w:val="0028468E"/>
    <w:rsid w:val="00287491"/>
    <w:rsid w:val="002908FC"/>
    <w:rsid w:val="0029242B"/>
    <w:rsid w:val="00294162"/>
    <w:rsid w:val="0029473E"/>
    <w:rsid w:val="002949B3"/>
    <w:rsid w:val="00294B8F"/>
    <w:rsid w:val="0029560A"/>
    <w:rsid w:val="0029687F"/>
    <w:rsid w:val="002971B8"/>
    <w:rsid w:val="00297477"/>
    <w:rsid w:val="00297BE6"/>
    <w:rsid w:val="002A1243"/>
    <w:rsid w:val="002A12EA"/>
    <w:rsid w:val="002A2B89"/>
    <w:rsid w:val="002A3B13"/>
    <w:rsid w:val="002A4E4C"/>
    <w:rsid w:val="002A5710"/>
    <w:rsid w:val="002A5EE2"/>
    <w:rsid w:val="002A6798"/>
    <w:rsid w:val="002A7F4D"/>
    <w:rsid w:val="002B0385"/>
    <w:rsid w:val="002B2586"/>
    <w:rsid w:val="002B3A85"/>
    <w:rsid w:val="002B4102"/>
    <w:rsid w:val="002C15CE"/>
    <w:rsid w:val="002C2849"/>
    <w:rsid w:val="002C3DB0"/>
    <w:rsid w:val="002C45CA"/>
    <w:rsid w:val="002C468C"/>
    <w:rsid w:val="002C6217"/>
    <w:rsid w:val="002C74DB"/>
    <w:rsid w:val="002D018C"/>
    <w:rsid w:val="002D0A85"/>
    <w:rsid w:val="002D0D2E"/>
    <w:rsid w:val="002D27D9"/>
    <w:rsid w:val="002D33F2"/>
    <w:rsid w:val="002D50E8"/>
    <w:rsid w:val="002D5B8F"/>
    <w:rsid w:val="002D6EBA"/>
    <w:rsid w:val="002D7992"/>
    <w:rsid w:val="002E1746"/>
    <w:rsid w:val="002E1B0F"/>
    <w:rsid w:val="002E32FD"/>
    <w:rsid w:val="002E34C7"/>
    <w:rsid w:val="002E47B6"/>
    <w:rsid w:val="002E5D6B"/>
    <w:rsid w:val="002E6732"/>
    <w:rsid w:val="002E794A"/>
    <w:rsid w:val="002F01BD"/>
    <w:rsid w:val="002F1251"/>
    <w:rsid w:val="002F16BA"/>
    <w:rsid w:val="002F28EF"/>
    <w:rsid w:val="002F3BCA"/>
    <w:rsid w:val="002F3DF1"/>
    <w:rsid w:val="002F401A"/>
    <w:rsid w:val="002F4722"/>
    <w:rsid w:val="002F5E16"/>
    <w:rsid w:val="002F6091"/>
    <w:rsid w:val="002F6336"/>
    <w:rsid w:val="002F6876"/>
    <w:rsid w:val="002F6895"/>
    <w:rsid w:val="002F68C6"/>
    <w:rsid w:val="002F745F"/>
    <w:rsid w:val="00300CF5"/>
    <w:rsid w:val="0030131C"/>
    <w:rsid w:val="00301578"/>
    <w:rsid w:val="00302E8B"/>
    <w:rsid w:val="0030310E"/>
    <w:rsid w:val="00304AA5"/>
    <w:rsid w:val="003056A1"/>
    <w:rsid w:val="00305746"/>
    <w:rsid w:val="00305B58"/>
    <w:rsid w:val="00305C2C"/>
    <w:rsid w:val="003065E5"/>
    <w:rsid w:val="0030669C"/>
    <w:rsid w:val="00307014"/>
    <w:rsid w:val="003072DB"/>
    <w:rsid w:val="0031058D"/>
    <w:rsid w:val="00310630"/>
    <w:rsid w:val="00310654"/>
    <w:rsid w:val="00313790"/>
    <w:rsid w:val="003138D3"/>
    <w:rsid w:val="00313D2F"/>
    <w:rsid w:val="00313DB4"/>
    <w:rsid w:val="00315A5E"/>
    <w:rsid w:val="00315F44"/>
    <w:rsid w:val="00316A5C"/>
    <w:rsid w:val="00316CFF"/>
    <w:rsid w:val="0031770E"/>
    <w:rsid w:val="003178C4"/>
    <w:rsid w:val="00317C86"/>
    <w:rsid w:val="00317EA3"/>
    <w:rsid w:val="00317EE2"/>
    <w:rsid w:val="00321CE8"/>
    <w:rsid w:val="00322C64"/>
    <w:rsid w:val="00322D1F"/>
    <w:rsid w:val="0032315A"/>
    <w:rsid w:val="003239B8"/>
    <w:rsid w:val="00324C18"/>
    <w:rsid w:val="00326603"/>
    <w:rsid w:val="00326665"/>
    <w:rsid w:val="003267CA"/>
    <w:rsid w:val="00327895"/>
    <w:rsid w:val="00330B3A"/>
    <w:rsid w:val="003316EF"/>
    <w:rsid w:val="003325C8"/>
    <w:rsid w:val="00333101"/>
    <w:rsid w:val="00333351"/>
    <w:rsid w:val="00333E93"/>
    <w:rsid w:val="00333EF1"/>
    <w:rsid w:val="00334A7D"/>
    <w:rsid w:val="00335A63"/>
    <w:rsid w:val="003367EA"/>
    <w:rsid w:val="003369C2"/>
    <w:rsid w:val="00337022"/>
    <w:rsid w:val="00337589"/>
    <w:rsid w:val="0033768A"/>
    <w:rsid w:val="00340CF1"/>
    <w:rsid w:val="00341856"/>
    <w:rsid w:val="00341E29"/>
    <w:rsid w:val="003420EF"/>
    <w:rsid w:val="003428F6"/>
    <w:rsid w:val="00343F99"/>
    <w:rsid w:val="003445FE"/>
    <w:rsid w:val="00344969"/>
    <w:rsid w:val="00345F06"/>
    <w:rsid w:val="00345F92"/>
    <w:rsid w:val="00347A3B"/>
    <w:rsid w:val="00347BD8"/>
    <w:rsid w:val="0035104D"/>
    <w:rsid w:val="00351E87"/>
    <w:rsid w:val="003533E7"/>
    <w:rsid w:val="0035363E"/>
    <w:rsid w:val="00353E67"/>
    <w:rsid w:val="0035514D"/>
    <w:rsid w:val="0035589E"/>
    <w:rsid w:val="003559FC"/>
    <w:rsid w:val="00356B4C"/>
    <w:rsid w:val="0036053B"/>
    <w:rsid w:val="00360E1F"/>
    <w:rsid w:val="003629A1"/>
    <w:rsid w:val="00362BA9"/>
    <w:rsid w:val="0036376B"/>
    <w:rsid w:val="00364300"/>
    <w:rsid w:val="0037074A"/>
    <w:rsid w:val="00371213"/>
    <w:rsid w:val="003729AE"/>
    <w:rsid w:val="003736F8"/>
    <w:rsid w:val="00375179"/>
    <w:rsid w:val="00376092"/>
    <w:rsid w:val="003775CB"/>
    <w:rsid w:val="00380078"/>
    <w:rsid w:val="00380FE4"/>
    <w:rsid w:val="00381444"/>
    <w:rsid w:val="00381992"/>
    <w:rsid w:val="0038238B"/>
    <w:rsid w:val="00383888"/>
    <w:rsid w:val="00384D25"/>
    <w:rsid w:val="00385B41"/>
    <w:rsid w:val="00387419"/>
    <w:rsid w:val="003903E9"/>
    <w:rsid w:val="00391A99"/>
    <w:rsid w:val="00391FD6"/>
    <w:rsid w:val="003951B9"/>
    <w:rsid w:val="003953B6"/>
    <w:rsid w:val="00395CFA"/>
    <w:rsid w:val="00396C81"/>
    <w:rsid w:val="00396C9C"/>
    <w:rsid w:val="00397045"/>
    <w:rsid w:val="00397BDC"/>
    <w:rsid w:val="003A1061"/>
    <w:rsid w:val="003A2983"/>
    <w:rsid w:val="003A41D8"/>
    <w:rsid w:val="003A481F"/>
    <w:rsid w:val="003A5DC1"/>
    <w:rsid w:val="003A6147"/>
    <w:rsid w:val="003A7593"/>
    <w:rsid w:val="003A75F3"/>
    <w:rsid w:val="003B09B0"/>
    <w:rsid w:val="003B3072"/>
    <w:rsid w:val="003B33A2"/>
    <w:rsid w:val="003B3C44"/>
    <w:rsid w:val="003B47DC"/>
    <w:rsid w:val="003B4D70"/>
    <w:rsid w:val="003B4FDA"/>
    <w:rsid w:val="003B51BA"/>
    <w:rsid w:val="003B587D"/>
    <w:rsid w:val="003B5DEA"/>
    <w:rsid w:val="003B7474"/>
    <w:rsid w:val="003B7CDC"/>
    <w:rsid w:val="003C19F1"/>
    <w:rsid w:val="003C1C71"/>
    <w:rsid w:val="003C26E3"/>
    <w:rsid w:val="003C3E52"/>
    <w:rsid w:val="003C4C2D"/>
    <w:rsid w:val="003C5E25"/>
    <w:rsid w:val="003C63E7"/>
    <w:rsid w:val="003D05A4"/>
    <w:rsid w:val="003D05B9"/>
    <w:rsid w:val="003D4686"/>
    <w:rsid w:val="003D5254"/>
    <w:rsid w:val="003D5B64"/>
    <w:rsid w:val="003D5F17"/>
    <w:rsid w:val="003D61C9"/>
    <w:rsid w:val="003D6406"/>
    <w:rsid w:val="003D7298"/>
    <w:rsid w:val="003D7F3E"/>
    <w:rsid w:val="003E053D"/>
    <w:rsid w:val="003E1107"/>
    <w:rsid w:val="003E1CEC"/>
    <w:rsid w:val="003E234E"/>
    <w:rsid w:val="003E3722"/>
    <w:rsid w:val="003E47F9"/>
    <w:rsid w:val="003E48A5"/>
    <w:rsid w:val="003E496D"/>
    <w:rsid w:val="003E595A"/>
    <w:rsid w:val="003E7620"/>
    <w:rsid w:val="003E78F0"/>
    <w:rsid w:val="003E7924"/>
    <w:rsid w:val="003F15FC"/>
    <w:rsid w:val="003F2C9A"/>
    <w:rsid w:val="003F31C6"/>
    <w:rsid w:val="003F46B3"/>
    <w:rsid w:val="003F607E"/>
    <w:rsid w:val="003F6CBD"/>
    <w:rsid w:val="003F7539"/>
    <w:rsid w:val="003F7A50"/>
    <w:rsid w:val="003F7C14"/>
    <w:rsid w:val="00400479"/>
    <w:rsid w:val="004008D6"/>
    <w:rsid w:val="004014F0"/>
    <w:rsid w:val="00402AD8"/>
    <w:rsid w:val="00406C20"/>
    <w:rsid w:val="00407BE7"/>
    <w:rsid w:val="00407E82"/>
    <w:rsid w:val="00407EBC"/>
    <w:rsid w:val="00411A44"/>
    <w:rsid w:val="00412379"/>
    <w:rsid w:val="004125AE"/>
    <w:rsid w:val="00412A47"/>
    <w:rsid w:val="00413723"/>
    <w:rsid w:val="004144B7"/>
    <w:rsid w:val="00415687"/>
    <w:rsid w:val="004157B2"/>
    <w:rsid w:val="00416A9A"/>
    <w:rsid w:val="00416CBE"/>
    <w:rsid w:val="004172B5"/>
    <w:rsid w:val="004177C9"/>
    <w:rsid w:val="00417D0B"/>
    <w:rsid w:val="004201E5"/>
    <w:rsid w:val="0042059A"/>
    <w:rsid w:val="00420DF7"/>
    <w:rsid w:val="00421878"/>
    <w:rsid w:val="0042220C"/>
    <w:rsid w:val="00423DC3"/>
    <w:rsid w:val="004240A2"/>
    <w:rsid w:val="00424612"/>
    <w:rsid w:val="00424971"/>
    <w:rsid w:val="004252BF"/>
    <w:rsid w:val="004255D2"/>
    <w:rsid w:val="004302B6"/>
    <w:rsid w:val="0043160E"/>
    <w:rsid w:val="00431666"/>
    <w:rsid w:val="00431689"/>
    <w:rsid w:val="004326DB"/>
    <w:rsid w:val="00432837"/>
    <w:rsid w:val="00432DAD"/>
    <w:rsid w:val="00432EE0"/>
    <w:rsid w:val="004332FB"/>
    <w:rsid w:val="0043361C"/>
    <w:rsid w:val="0043422C"/>
    <w:rsid w:val="00434A50"/>
    <w:rsid w:val="00434E6B"/>
    <w:rsid w:val="00435317"/>
    <w:rsid w:val="00435555"/>
    <w:rsid w:val="00436693"/>
    <w:rsid w:val="004371B4"/>
    <w:rsid w:val="00437621"/>
    <w:rsid w:val="00437FB2"/>
    <w:rsid w:val="00442BB8"/>
    <w:rsid w:val="00443504"/>
    <w:rsid w:val="00443E12"/>
    <w:rsid w:val="0044427B"/>
    <w:rsid w:val="00444361"/>
    <w:rsid w:val="0044537B"/>
    <w:rsid w:val="004478AE"/>
    <w:rsid w:val="00450E71"/>
    <w:rsid w:val="00451119"/>
    <w:rsid w:val="004530E5"/>
    <w:rsid w:val="004535BF"/>
    <w:rsid w:val="00453609"/>
    <w:rsid w:val="0045397C"/>
    <w:rsid w:val="00453EAC"/>
    <w:rsid w:val="004546EA"/>
    <w:rsid w:val="00454822"/>
    <w:rsid w:val="00454CFF"/>
    <w:rsid w:val="00454FCC"/>
    <w:rsid w:val="00457391"/>
    <w:rsid w:val="00457EBC"/>
    <w:rsid w:val="0046129D"/>
    <w:rsid w:val="00461432"/>
    <w:rsid w:val="00461D1B"/>
    <w:rsid w:val="00461D50"/>
    <w:rsid w:val="004631F4"/>
    <w:rsid w:val="0046484F"/>
    <w:rsid w:val="00465B73"/>
    <w:rsid w:val="00466158"/>
    <w:rsid w:val="00471193"/>
    <w:rsid w:val="00471407"/>
    <w:rsid w:val="00473F6E"/>
    <w:rsid w:val="00474253"/>
    <w:rsid w:val="00474750"/>
    <w:rsid w:val="004766E1"/>
    <w:rsid w:val="00476B69"/>
    <w:rsid w:val="004773C3"/>
    <w:rsid w:val="0048048B"/>
    <w:rsid w:val="00484937"/>
    <w:rsid w:val="0048527C"/>
    <w:rsid w:val="00486443"/>
    <w:rsid w:val="00491016"/>
    <w:rsid w:val="004941DB"/>
    <w:rsid w:val="00494BA2"/>
    <w:rsid w:val="00494F21"/>
    <w:rsid w:val="00496040"/>
    <w:rsid w:val="00496111"/>
    <w:rsid w:val="0049726E"/>
    <w:rsid w:val="004A0231"/>
    <w:rsid w:val="004A18B2"/>
    <w:rsid w:val="004A1A11"/>
    <w:rsid w:val="004A2382"/>
    <w:rsid w:val="004A257E"/>
    <w:rsid w:val="004A2ACB"/>
    <w:rsid w:val="004A49CD"/>
    <w:rsid w:val="004A4D2E"/>
    <w:rsid w:val="004A61EA"/>
    <w:rsid w:val="004A72AB"/>
    <w:rsid w:val="004A7921"/>
    <w:rsid w:val="004B09C5"/>
    <w:rsid w:val="004B0E7D"/>
    <w:rsid w:val="004B1091"/>
    <w:rsid w:val="004B208A"/>
    <w:rsid w:val="004B2BBA"/>
    <w:rsid w:val="004B3350"/>
    <w:rsid w:val="004B4902"/>
    <w:rsid w:val="004B5A4C"/>
    <w:rsid w:val="004B5D4B"/>
    <w:rsid w:val="004B5FCD"/>
    <w:rsid w:val="004B671C"/>
    <w:rsid w:val="004C2631"/>
    <w:rsid w:val="004C61A7"/>
    <w:rsid w:val="004D04FC"/>
    <w:rsid w:val="004D0ACC"/>
    <w:rsid w:val="004D15AD"/>
    <w:rsid w:val="004D2993"/>
    <w:rsid w:val="004D2A02"/>
    <w:rsid w:val="004D31F9"/>
    <w:rsid w:val="004D3C37"/>
    <w:rsid w:val="004D451E"/>
    <w:rsid w:val="004D5065"/>
    <w:rsid w:val="004D5446"/>
    <w:rsid w:val="004D581E"/>
    <w:rsid w:val="004D67C2"/>
    <w:rsid w:val="004D6C64"/>
    <w:rsid w:val="004D7C45"/>
    <w:rsid w:val="004E082F"/>
    <w:rsid w:val="004E1BA0"/>
    <w:rsid w:val="004E1FD0"/>
    <w:rsid w:val="004E204C"/>
    <w:rsid w:val="004E28AF"/>
    <w:rsid w:val="004E298E"/>
    <w:rsid w:val="004E304E"/>
    <w:rsid w:val="004E3C52"/>
    <w:rsid w:val="004E5E4A"/>
    <w:rsid w:val="004E65EE"/>
    <w:rsid w:val="004E7A1E"/>
    <w:rsid w:val="004E7ACA"/>
    <w:rsid w:val="004F060E"/>
    <w:rsid w:val="004F0833"/>
    <w:rsid w:val="004F343D"/>
    <w:rsid w:val="004F39DA"/>
    <w:rsid w:val="004F4202"/>
    <w:rsid w:val="004F5D12"/>
    <w:rsid w:val="004F5DA2"/>
    <w:rsid w:val="004F6064"/>
    <w:rsid w:val="00502D4F"/>
    <w:rsid w:val="00503154"/>
    <w:rsid w:val="00503799"/>
    <w:rsid w:val="00504CD6"/>
    <w:rsid w:val="0050569B"/>
    <w:rsid w:val="005057A9"/>
    <w:rsid w:val="005057F1"/>
    <w:rsid w:val="00507DE8"/>
    <w:rsid w:val="00510ADE"/>
    <w:rsid w:val="005115E1"/>
    <w:rsid w:val="00511FB9"/>
    <w:rsid w:val="00512A9E"/>
    <w:rsid w:val="00514C83"/>
    <w:rsid w:val="00514D5D"/>
    <w:rsid w:val="00515273"/>
    <w:rsid w:val="00516320"/>
    <w:rsid w:val="0052100E"/>
    <w:rsid w:val="005227C6"/>
    <w:rsid w:val="005230B9"/>
    <w:rsid w:val="005235C6"/>
    <w:rsid w:val="00525B93"/>
    <w:rsid w:val="00525FCF"/>
    <w:rsid w:val="00526709"/>
    <w:rsid w:val="0053007C"/>
    <w:rsid w:val="00530101"/>
    <w:rsid w:val="0053086C"/>
    <w:rsid w:val="00531E6A"/>
    <w:rsid w:val="005332CB"/>
    <w:rsid w:val="00534211"/>
    <w:rsid w:val="005346AF"/>
    <w:rsid w:val="00534982"/>
    <w:rsid w:val="005369F2"/>
    <w:rsid w:val="005370AB"/>
    <w:rsid w:val="00540BEF"/>
    <w:rsid w:val="00540ECB"/>
    <w:rsid w:val="00541D5F"/>
    <w:rsid w:val="0054276D"/>
    <w:rsid w:val="00542C57"/>
    <w:rsid w:val="00543884"/>
    <w:rsid w:val="005441FC"/>
    <w:rsid w:val="00544599"/>
    <w:rsid w:val="00544AC6"/>
    <w:rsid w:val="005453E8"/>
    <w:rsid w:val="00546779"/>
    <w:rsid w:val="00550A1D"/>
    <w:rsid w:val="005512DB"/>
    <w:rsid w:val="00551BF9"/>
    <w:rsid w:val="00553335"/>
    <w:rsid w:val="00555217"/>
    <w:rsid w:val="00555DCA"/>
    <w:rsid w:val="00556A84"/>
    <w:rsid w:val="00557715"/>
    <w:rsid w:val="005603B6"/>
    <w:rsid w:val="0056129E"/>
    <w:rsid w:val="00561462"/>
    <w:rsid w:val="0056299F"/>
    <w:rsid w:val="00562AA0"/>
    <w:rsid w:val="00564AB5"/>
    <w:rsid w:val="00564CEF"/>
    <w:rsid w:val="00567C8E"/>
    <w:rsid w:val="005707CD"/>
    <w:rsid w:val="00572623"/>
    <w:rsid w:val="00572E34"/>
    <w:rsid w:val="005736C8"/>
    <w:rsid w:val="00573E85"/>
    <w:rsid w:val="005766A3"/>
    <w:rsid w:val="00576C22"/>
    <w:rsid w:val="005775C2"/>
    <w:rsid w:val="00577836"/>
    <w:rsid w:val="00577D5A"/>
    <w:rsid w:val="00577F2A"/>
    <w:rsid w:val="005816AE"/>
    <w:rsid w:val="005819EE"/>
    <w:rsid w:val="00582846"/>
    <w:rsid w:val="005846FF"/>
    <w:rsid w:val="0058496F"/>
    <w:rsid w:val="00584E6B"/>
    <w:rsid w:val="00586D8B"/>
    <w:rsid w:val="00586ECA"/>
    <w:rsid w:val="005903DB"/>
    <w:rsid w:val="00590EA5"/>
    <w:rsid w:val="005915EE"/>
    <w:rsid w:val="00591993"/>
    <w:rsid w:val="00592926"/>
    <w:rsid w:val="00592A2F"/>
    <w:rsid w:val="00592AF1"/>
    <w:rsid w:val="005931A6"/>
    <w:rsid w:val="005966CF"/>
    <w:rsid w:val="005A06E3"/>
    <w:rsid w:val="005A074F"/>
    <w:rsid w:val="005A1A0A"/>
    <w:rsid w:val="005A228A"/>
    <w:rsid w:val="005A4C18"/>
    <w:rsid w:val="005A513E"/>
    <w:rsid w:val="005A516C"/>
    <w:rsid w:val="005A5F70"/>
    <w:rsid w:val="005A6A27"/>
    <w:rsid w:val="005A6F82"/>
    <w:rsid w:val="005A737A"/>
    <w:rsid w:val="005B015C"/>
    <w:rsid w:val="005B041A"/>
    <w:rsid w:val="005B1186"/>
    <w:rsid w:val="005B1386"/>
    <w:rsid w:val="005B2385"/>
    <w:rsid w:val="005B2D56"/>
    <w:rsid w:val="005B5A41"/>
    <w:rsid w:val="005B5BDD"/>
    <w:rsid w:val="005B5D1F"/>
    <w:rsid w:val="005B5E15"/>
    <w:rsid w:val="005B5EBF"/>
    <w:rsid w:val="005B6CB7"/>
    <w:rsid w:val="005B7335"/>
    <w:rsid w:val="005B7E8D"/>
    <w:rsid w:val="005C07A6"/>
    <w:rsid w:val="005C1C43"/>
    <w:rsid w:val="005C1C72"/>
    <w:rsid w:val="005C1D6C"/>
    <w:rsid w:val="005C2196"/>
    <w:rsid w:val="005C284D"/>
    <w:rsid w:val="005C3235"/>
    <w:rsid w:val="005C3A2E"/>
    <w:rsid w:val="005C4668"/>
    <w:rsid w:val="005C4FC7"/>
    <w:rsid w:val="005C537C"/>
    <w:rsid w:val="005C7B13"/>
    <w:rsid w:val="005C7E51"/>
    <w:rsid w:val="005D05C8"/>
    <w:rsid w:val="005D1521"/>
    <w:rsid w:val="005D1680"/>
    <w:rsid w:val="005D17D7"/>
    <w:rsid w:val="005D2044"/>
    <w:rsid w:val="005D4B49"/>
    <w:rsid w:val="005D4E79"/>
    <w:rsid w:val="005D6B1F"/>
    <w:rsid w:val="005E01A4"/>
    <w:rsid w:val="005E084C"/>
    <w:rsid w:val="005E13E3"/>
    <w:rsid w:val="005E1EB7"/>
    <w:rsid w:val="005E1EEB"/>
    <w:rsid w:val="005E3238"/>
    <w:rsid w:val="005E4D6F"/>
    <w:rsid w:val="005E4F0C"/>
    <w:rsid w:val="005E66CF"/>
    <w:rsid w:val="005E7C5A"/>
    <w:rsid w:val="005F0668"/>
    <w:rsid w:val="005F0A57"/>
    <w:rsid w:val="005F152B"/>
    <w:rsid w:val="005F237F"/>
    <w:rsid w:val="005F2801"/>
    <w:rsid w:val="005F30F2"/>
    <w:rsid w:val="005F39F5"/>
    <w:rsid w:val="005F4D58"/>
    <w:rsid w:val="005F5ADD"/>
    <w:rsid w:val="005F5E5D"/>
    <w:rsid w:val="005F6178"/>
    <w:rsid w:val="005F63D1"/>
    <w:rsid w:val="005F732D"/>
    <w:rsid w:val="0060046D"/>
    <w:rsid w:val="0060162B"/>
    <w:rsid w:val="00601E16"/>
    <w:rsid w:val="00603907"/>
    <w:rsid w:val="00604A61"/>
    <w:rsid w:val="00607330"/>
    <w:rsid w:val="006106A1"/>
    <w:rsid w:val="006109DD"/>
    <w:rsid w:val="00611CA3"/>
    <w:rsid w:val="0061227F"/>
    <w:rsid w:val="00612B2B"/>
    <w:rsid w:val="00613C2E"/>
    <w:rsid w:val="00614268"/>
    <w:rsid w:val="006144AE"/>
    <w:rsid w:val="00615A49"/>
    <w:rsid w:val="006163BB"/>
    <w:rsid w:val="00616699"/>
    <w:rsid w:val="00616F98"/>
    <w:rsid w:val="00617953"/>
    <w:rsid w:val="00620306"/>
    <w:rsid w:val="00623C62"/>
    <w:rsid w:val="00624366"/>
    <w:rsid w:val="00624902"/>
    <w:rsid w:val="006312B0"/>
    <w:rsid w:val="00635482"/>
    <w:rsid w:val="00635869"/>
    <w:rsid w:val="00635E4C"/>
    <w:rsid w:val="00636B6E"/>
    <w:rsid w:val="00640475"/>
    <w:rsid w:val="00640FB7"/>
    <w:rsid w:val="00641A96"/>
    <w:rsid w:val="006424F3"/>
    <w:rsid w:val="006431A5"/>
    <w:rsid w:val="00643301"/>
    <w:rsid w:val="00643E75"/>
    <w:rsid w:val="0064459C"/>
    <w:rsid w:val="006457FE"/>
    <w:rsid w:val="006459A3"/>
    <w:rsid w:val="00647355"/>
    <w:rsid w:val="00647654"/>
    <w:rsid w:val="00647EEF"/>
    <w:rsid w:val="006512DE"/>
    <w:rsid w:val="00651FCC"/>
    <w:rsid w:val="00652F07"/>
    <w:rsid w:val="00656031"/>
    <w:rsid w:val="006576CD"/>
    <w:rsid w:val="0065798C"/>
    <w:rsid w:val="00657DA1"/>
    <w:rsid w:val="0066024F"/>
    <w:rsid w:val="0066177D"/>
    <w:rsid w:val="006618E8"/>
    <w:rsid w:val="006619B6"/>
    <w:rsid w:val="00662A8E"/>
    <w:rsid w:val="00662F62"/>
    <w:rsid w:val="0066393D"/>
    <w:rsid w:val="006639AB"/>
    <w:rsid w:val="006639D4"/>
    <w:rsid w:val="00667B2E"/>
    <w:rsid w:val="00671522"/>
    <w:rsid w:val="00673A5E"/>
    <w:rsid w:val="00674E69"/>
    <w:rsid w:val="00675515"/>
    <w:rsid w:val="00676922"/>
    <w:rsid w:val="00680EC2"/>
    <w:rsid w:val="00681200"/>
    <w:rsid w:val="00681305"/>
    <w:rsid w:val="006826D5"/>
    <w:rsid w:val="00682E63"/>
    <w:rsid w:val="00682F62"/>
    <w:rsid w:val="0068330F"/>
    <w:rsid w:val="00683C61"/>
    <w:rsid w:val="006845E1"/>
    <w:rsid w:val="00684953"/>
    <w:rsid w:val="006869E5"/>
    <w:rsid w:val="0068772B"/>
    <w:rsid w:val="00687DEE"/>
    <w:rsid w:val="00690887"/>
    <w:rsid w:val="00690FF7"/>
    <w:rsid w:val="006927C1"/>
    <w:rsid w:val="00692A50"/>
    <w:rsid w:val="00693091"/>
    <w:rsid w:val="00693542"/>
    <w:rsid w:val="00693C0D"/>
    <w:rsid w:val="00694CFD"/>
    <w:rsid w:val="00695146"/>
    <w:rsid w:val="0069518F"/>
    <w:rsid w:val="00695441"/>
    <w:rsid w:val="0069671F"/>
    <w:rsid w:val="00697A97"/>
    <w:rsid w:val="00697B57"/>
    <w:rsid w:val="00697EB1"/>
    <w:rsid w:val="006A05B5"/>
    <w:rsid w:val="006A069E"/>
    <w:rsid w:val="006A09E5"/>
    <w:rsid w:val="006A1933"/>
    <w:rsid w:val="006A26E1"/>
    <w:rsid w:val="006A3DA1"/>
    <w:rsid w:val="006A4B17"/>
    <w:rsid w:val="006A4BA3"/>
    <w:rsid w:val="006A5B55"/>
    <w:rsid w:val="006A644D"/>
    <w:rsid w:val="006A71D2"/>
    <w:rsid w:val="006A79C1"/>
    <w:rsid w:val="006B01CE"/>
    <w:rsid w:val="006B07F5"/>
    <w:rsid w:val="006B085A"/>
    <w:rsid w:val="006B0CD9"/>
    <w:rsid w:val="006B21B0"/>
    <w:rsid w:val="006B2B47"/>
    <w:rsid w:val="006B2E9D"/>
    <w:rsid w:val="006B3837"/>
    <w:rsid w:val="006B401B"/>
    <w:rsid w:val="006B5B8E"/>
    <w:rsid w:val="006B6687"/>
    <w:rsid w:val="006B67AA"/>
    <w:rsid w:val="006C087F"/>
    <w:rsid w:val="006C0972"/>
    <w:rsid w:val="006C0CF4"/>
    <w:rsid w:val="006C1F06"/>
    <w:rsid w:val="006C2E39"/>
    <w:rsid w:val="006C407D"/>
    <w:rsid w:val="006C5178"/>
    <w:rsid w:val="006C531A"/>
    <w:rsid w:val="006C5F5C"/>
    <w:rsid w:val="006C619C"/>
    <w:rsid w:val="006C72A4"/>
    <w:rsid w:val="006D0201"/>
    <w:rsid w:val="006D1867"/>
    <w:rsid w:val="006D36EC"/>
    <w:rsid w:val="006D70EA"/>
    <w:rsid w:val="006D733D"/>
    <w:rsid w:val="006D7395"/>
    <w:rsid w:val="006E0F3C"/>
    <w:rsid w:val="006E117F"/>
    <w:rsid w:val="006E166C"/>
    <w:rsid w:val="006E18E9"/>
    <w:rsid w:val="006E29B1"/>
    <w:rsid w:val="006E2F6C"/>
    <w:rsid w:val="006E40CF"/>
    <w:rsid w:val="006E4C9F"/>
    <w:rsid w:val="006E567E"/>
    <w:rsid w:val="006E5BF7"/>
    <w:rsid w:val="006E5E4F"/>
    <w:rsid w:val="006E65DE"/>
    <w:rsid w:val="006E6B8B"/>
    <w:rsid w:val="006E7359"/>
    <w:rsid w:val="006E7B5E"/>
    <w:rsid w:val="006E7BCD"/>
    <w:rsid w:val="006F1BF0"/>
    <w:rsid w:val="006F2047"/>
    <w:rsid w:val="006F268F"/>
    <w:rsid w:val="006F331C"/>
    <w:rsid w:val="006F33B1"/>
    <w:rsid w:val="006F4087"/>
    <w:rsid w:val="006F6811"/>
    <w:rsid w:val="00700013"/>
    <w:rsid w:val="00700128"/>
    <w:rsid w:val="00700827"/>
    <w:rsid w:val="0070098A"/>
    <w:rsid w:val="00700C3D"/>
    <w:rsid w:val="007014CF"/>
    <w:rsid w:val="00701C6D"/>
    <w:rsid w:val="00702322"/>
    <w:rsid w:val="00702E2C"/>
    <w:rsid w:val="00706E03"/>
    <w:rsid w:val="007079A7"/>
    <w:rsid w:val="007105C2"/>
    <w:rsid w:val="00710AF5"/>
    <w:rsid w:val="00711851"/>
    <w:rsid w:val="00711A60"/>
    <w:rsid w:val="00711B11"/>
    <w:rsid w:val="007121DB"/>
    <w:rsid w:val="00712570"/>
    <w:rsid w:val="0071330B"/>
    <w:rsid w:val="0071348A"/>
    <w:rsid w:val="00713D15"/>
    <w:rsid w:val="00714187"/>
    <w:rsid w:val="007146B8"/>
    <w:rsid w:val="00715E16"/>
    <w:rsid w:val="00716573"/>
    <w:rsid w:val="00716EE2"/>
    <w:rsid w:val="00717DA0"/>
    <w:rsid w:val="00720139"/>
    <w:rsid w:val="00720562"/>
    <w:rsid w:val="00720827"/>
    <w:rsid w:val="0072140C"/>
    <w:rsid w:val="00721E59"/>
    <w:rsid w:val="00723BD8"/>
    <w:rsid w:val="00724FF6"/>
    <w:rsid w:val="0072608C"/>
    <w:rsid w:val="00726CC9"/>
    <w:rsid w:val="00726FF6"/>
    <w:rsid w:val="00727563"/>
    <w:rsid w:val="00727661"/>
    <w:rsid w:val="00727788"/>
    <w:rsid w:val="00730D60"/>
    <w:rsid w:val="00731A3F"/>
    <w:rsid w:val="00731E33"/>
    <w:rsid w:val="00734A7E"/>
    <w:rsid w:val="00735235"/>
    <w:rsid w:val="00736372"/>
    <w:rsid w:val="00736541"/>
    <w:rsid w:val="00736E5E"/>
    <w:rsid w:val="00740451"/>
    <w:rsid w:val="00740B62"/>
    <w:rsid w:val="00741127"/>
    <w:rsid w:val="00741B7C"/>
    <w:rsid w:val="00741C46"/>
    <w:rsid w:val="00743C2D"/>
    <w:rsid w:val="00743C4E"/>
    <w:rsid w:val="00744977"/>
    <w:rsid w:val="007459CF"/>
    <w:rsid w:val="00745E23"/>
    <w:rsid w:val="00746136"/>
    <w:rsid w:val="007463AF"/>
    <w:rsid w:val="00746484"/>
    <w:rsid w:val="00746994"/>
    <w:rsid w:val="00746D3D"/>
    <w:rsid w:val="00746F05"/>
    <w:rsid w:val="00747524"/>
    <w:rsid w:val="007477F4"/>
    <w:rsid w:val="00747F3B"/>
    <w:rsid w:val="00750280"/>
    <w:rsid w:val="00750C7D"/>
    <w:rsid w:val="00750E78"/>
    <w:rsid w:val="00752A4A"/>
    <w:rsid w:val="00752BF9"/>
    <w:rsid w:val="007533EB"/>
    <w:rsid w:val="007536ED"/>
    <w:rsid w:val="0075492F"/>
    <w:rsid w:val="00755451"/>
    <w:rsid w:val="007560E1"/>
    <w:rsid w:val="00765B30"/>
    <w:rsid w:val="00765D18"/>
    <w:rsid w:val="007671B5"/>
    <w:rsid w:val="0077008B"/>
    <w:rsid w:val="007707DD"/>
    <w:rsid w:val="007721A6"/>
    <w:rsid w:val="007768C3"/>
    <w:rsid w:val="00777550"/>
    <w:rsid w:val="00780947"/>
    <w:rsid w:val="007825B3"/>
    <w:rsid w:val="00783788"/>
    <w:rsid w:val="0078389B"/>
    <w:rsid w:val="00784044"/>
    <w:rsid w:val="0078457A"/>
    <w:rsid w:val="00784C0F"/>
    <w:rsid w:val="00787110"/>
    <w:rsid w:val="00787CCB"/>
    <w:rsid w:val="00787F9D"/>
    <w:rsid w:val="0079097B"/>
    <w:rsid w:val="007918EA"/>
    <w:rsid w:val="00792315"/>
    <w:rsid w:val="00793523"/>
    <w:rsid w:val="00793DA2"/>
    <w:rsid w:val="00794A5B"/>
    <w:rsid w:val="00794AF7"/>
    <w:rsid w:val="0079563D"/>
    <w:rsid w:val="007959D5"/>
    <w:rsid w:val="00795B73"/>
    <w:rsid w:val="007963E5"/>
    <w:rsid w:val="007A0A12"/>
    <w:rsid w:val="007A0F0A"/>
    <w:rsid w:val="007A1DE0"/>
    <w:rsid w:val="007A2D71"/>
    <w:rsid w:val="007A37B6"/>
    <w:rsid w:val="007A3D70"/>
    <w:rsid w:val="007A4528"/>
    <w:rsid w:val="007A4D06"/>
    <w:rsid w:val="007A5AD2"/>
    <w:rsid w:val="007A5C5D"/>
    <w:rsid w:val="007A6887"/>
    <w:rsid w:val="007A7073"/>
    <w:rsid w:val="007A722A"/>
    <w:rsid w:val="007A72CA"/>
    <w:rsid w:val="007A7377"/>
    <w:rsid w:val="007A7825"/>
    <w:rsid w:val="007A786C"/>
    <w:rsid w:val="007B0ED1"/>
    <w:rsid w:val="007B2228"/>
    <w:rsid w:val="007B35DE"/>
    <w:rsid w:val="007B3754"/>
    <w:rsid w:val="007B41F9"/>
    <w:rsid w:val="007B5673"/>
    <w:rsid w:val="007B572E"/>
    <w:rsid w:val="007B63CB"/>
    <w:rsid w:val="007B7EA4"/>
    <w:rsid w:val="007C012E"/>
    <w:rsid w:val="007C0E62"/>
    <w:rsid w:val="007C176D"/>
    <w:rsid w:val="007C2860"/>
    <w:rsid w:val="007C2AA0"/>
    <w:rsid w:val="007C3294"/>
    <w:rsid w:val="007C41D7"/>
    <w:rsid w:val="007C56C4"/>
    <w:rsid w:val="007C6BAB"/>
    <w:rsid w:val="007C749E"/>
    <w:rsid w:val="007C77B9"/>
    <w:rsid w:val="007D03A4"/>
    <w:rsid w:val="007D12BF"/>
    <w:rsid w:val="007D3B71"/>
    <w:rsid w:val="007D66BF"/>
    <w:rsid w:val="007E0CC2"/>
    <w:rsid w:val="007E0E05"/>
    <w:rsid w:val="007E159C"/>
    <w:rsid w:val="007E2ACD"/>
    <w:rsid w:val="007E4627"/>
    <w:rsid w:val="007E46A2"/>
    <w:rsid w:val="007E5E08"/>
    <w:rsid w:val="007E74A4"/>
    <w:rsid w:val="007E788D"/>
    <w:rsid w:val="007E79BA"/>
    <w:rsid w:val="007F0CE8"/>
    <w:rsid w:val="007F1184"/>
    <w:rsid w:val="007F266E"/>
    <w:rsid w:val="007F2D71"/>
    <w:rsid w:val="007F48A2"/>
    <w:rsid w:val="007F5299"/>
    <w:rsid w:val="007F585F"/>
    <w:rsid w:val="007F594C"/>
    <w:rsid w:val="007F5AD3"/>
    <w:rsid w:val="00800430"/>
    <w:rsid w:val="00800D85"/>
    <w:rsid w:val="00802456"/>
    <w:rsid w:val="0080290B"/>
    <w:rsid w:val="0080309B"/>
    <w:rsid w:val="008055D9"/>
    <w:rsid w:val="00805806"/>
    <w:rsid w:val="008073CA"/>
    <w:rsid w:val="00810257"/>
    <w:rsid w:val="00810B36"/>
    <w:rsid w:val="00811825"/>
    <w:rsid w:val="008118F9"/>
    <w:rsid w:val="0081234F"/>
    <w:rsid w:val="0081271E"/>
    <w:rsid w:val="0081385D"/>
    <w:rsid w:val="00814116"/>
    <w:rsid w:val="00820926"/>
    <w:rsid w:val="00821636"/>
    <w:rsid w:val="00821E1E"/>
    <w:rsid w:val="008222D8"/>
    <w:rsid w:val="00824306"/>
    <w:rsid w:val="00831271"/>
    <w:rsid w:val="0083198F"/>
    <w:rsid w:val="00831EE9"/>
    <w:rsid w:val="00832562"/>
    <w:rsid w:val="00832CB5"/>
    <w:rsid w:val="008332DF"/>
    <w:rsid w:val="008337AE"/>
    <w:rsid w:val="00833B8A"/>
    <w:rsid w:val="00833D09"/>
    <w:rsid w:val="00834206"/>
    <w:rsid w:val="0083456B"/>
    <w:rsid w:val="00837286"/>
    <w:rsid w:val="008407D3"/>
    <w:rsid w:val="00840DBB"/>
    <w:rsid w:val="008411A7"/>
    <w:rsid w:val="0084223D"/>
    <w:rsid w:val="008454C2"/>
    <w:rsid w:val="00847B6B"/>
    <w:rsid w:val="00850F7D"/>
    <w:rsid w:val="00852BA8"/>
    <w:rsid w:val="008531F8"/>
    <w:rsid w:val="00854662"/>
    <w:rsid w:val="008548EB"/>
    <w:rsid w:val="00855039"/>
    <w:rsid w:val="008558BE"/>
    <w:rsid w:val="00855BFA"/>
    <w:rsid w:val="0086197A"/>
    <w:rsid w:val="008619CC"/>
    <w:rsid w:val="00861DB0"/>
    <w:rsid w:val="00861EC5"/>
    <w:rsid w:val="00863B9F"/>
    <w:rsid w:val="00863BBD"/>
    <w:rsid w:val="00865389"/>
    <w:rsid w:val="00865439"/>
    <w:rsid w:val="00865E63"/>
    <w:rsid w:val="0086631B"/>
    <w:rsid w:val="00866607"/>
    <w:rsid w:val="008667A1"/>
    <w:rsid w:val="008718E9"/>
    <w:rsid w:val="008736F7"/>
    <w:rsid w:val="00875815"/>
    <w:rsid w:val="00875F04"/>
    <w:rsid w:val="0087751A"/>
    <w:rsid w:val="008805B8"/>
    <w:rsid w:val="008819C9"/>
    <w:rsid w:val="00882685"/>
    <w:rsid w:val="00884076"/>
    <w:rsid w:val="008840A4"/>
    <w:rsid w:val="00884730"/>
    <w:rsid w:val="008849D0"/>
    <w:rsid w:val="00884B83"/>
    <w:rsid w:val="00884F6F"/>
    <w:rsid w:val="0088512E"/>
    <w:rsid w:val="00887026"/>
    <w:rsid w:val="0088772D"/>
    <w:rsid w:val="00887B24"/>
    <w:rsid w:val="008903BA"/>
    <w:rsid w:val="00890421"/>
    <w:rsid w:val="00890E4A"/>
    <w:rsid w:val="00891377"/>
    <w:rsid w:val="00891D0B"/>
    <w:rsid w:val="00891E24"/>
    <w:rsid w:val="00892E69"/>
    <w:rsid w:val="00892E7A"/>
    <w:rsid w:val="008945CC"/>
    <w:rsid w:val="008964C5"/>
    <w:rsid w:val="00896DFA"/>
    <w:rsid w:val="008A1501"/>
    <w:rsid w:val="008A2A0F"/>
    <w:rsid w:val="008A3FA0"/>
    <w:rsid w:val="008A55B6"/>
    <w:rsid w:val="008A6145"/>
    <w:rsid w:val="008B1496"/>
    <w:rsid w:val="008B1712"/>
    <w:rsid w:val="008B17C9"/>
    <w:rsid w:val="008B1F1E"/>
    <w:rsid w:val="008B2DBD"/>
    <w:rsid w:val="008B39DB"/>
    <w:rsid w:val="008B5B6C"/>
    <w:rsid w:val="008B6BE0"/>
    <w:rsid w:val="008B6F3B"/>
    <w:rsid w:val="008B7935"/>
    <w:rsid w:val="008B7A9A"/>
    <w:rsid w:val="008B7BE0"/>
    <w:rsid w:val="008B7EE9"/>
    <w:rsid w:val="008C1208"/>
    <w:rsid w:val="008C16BF"/>
    <w:rsid w:val="008C3184"/>
    <w:rsid w:val="008C38DE"/>
    <w:rsid w:val="008C4B0D"/>
    <w:rsid w:val="008C7178"/>
    <w:rsid w:val="008D0836"/>
    <w:rsid w:val="008D0E25"/>
    <w:rsid w:val="008D337E"/>
    <w:rsid w:val="008D5210"/>
    <w:rsid w:val="008D576A"/>
    <w:rsid w:val="008D6C35"/>
    <w:rsid w:val="008D7AA2"/>
    <w:rsid w:val="008D7F07"/>
    <w:rsid w:val="008E2240"/>
    <w:rsid w:val="008E2ED3"/>
    <w:rsid w:val="008E35D6"/>
    <w:rsid w:val="008E3B8F"/>
    <w:rsid w:val="008E3E89"/>
    <w:rsid w:val="008E4584"/>
    <w:rsid w:val="008E497D"/>
    <w:rsid w:val="008E4C12"/>
    <w:rsid w:val="008E4EA9"/>
    <w:rsid w:val="008E79B2"/>
    <w:rsid w:val="008E7BD6"/>
    <w:rsid w:val="008F0A1D"/>
    <w:rsid w:val="008F1216"/>
    <w:rsid w:val="008F1B20"/>
    <w:rsid w:val="008F1C38"/>
    <w:rsid w:val="008F2245"/>
    <w:rsid w:val="008F2278"/>
    <w:rsid w:val="008F2A0C"/>
    <w:rsid w:val="008F2FF6"/>
    <w:rsid w:val="008F37AD"/>
    <w:rsid w:val="008F3F9C"/>
    <w:rsid w:val="008F6096"/>
    <w:rsid w:val="008F68F7"/>
    <w:rsid w:val="008F6FDF"/>
    <w:rsid w:val="008F75A2"/>
    <w:rsid w:val="00901AE0"/>
    <w:rsid w:val="009024E1"/>
    <w:rsid w:val="00904413"/>
    <w:rsid w:val="00904A0E"/>
    <w:rsid w:val="0090728F"/>
    <w:rsid w:val="00907932"/>
    <w:rsid w:val="00907D68"/>
    <w:rsid w:val="00910B41"/>
    <w:rsid w:val="0091102E"/>
    <w:rsid w:val="009110CF"/>
    <w:rsid w:val="00911FFC"/>
    <w:rsid w:val="00913B1C"/>
    <w:rsid w:val="00916D40"/>
    <w:rsid w:val="00917ACA"/>
    <w:rsid w:val="00920251"/>
    <w:rsid w:val="0092127E"/>
    <w:rsid w:val="00921414"/>
    <w:rsid w:val="00923534"/>
    <w:rsid w:val="0092502B"/>
    <w:rsid w:val="009251F6"/>
    <w:rsid w:val="00926E5F"/>
    <w:rsid w:val="009304A6"/>
    <w:rsid w:val="00934164"/>
    <w:rsid w:val="00936400"/>
    <w:rsid w:val="00936547"/>
    <w:rsid w:val="00944330"/>
    <w:rsid w:val="0094443A"/>
    <w:rsid w:val="00944AB7"/>
    <w:rsid w:val="00944F64"/>
    <w:rsid w:val="0094529C"/>
    <w:rsid w:val="009456DE"/>
    <w:rsid w:val="00946429"/>
    <w:rsid w:val="00946AEA"/>
    <w:rsid w:val="00946CB6"/>
    <w:rsid w:val="009477B4"/>
    <w:rsid w:val="009479C6"/>
    <w:rsid w:val="00950AE8"/>
    <w:rsid w:val="0095132B"/>
    <w:rsid w:val="00951A0E"/>
    <w:rsid w:val="00952515"/>
    <w:rsid w:val="009528F8"/>
    <w:rsid w:val="009528FE"/>
    <w:rsid w:val="009543F2"/>
    <w:rsid w:val="00954DC9"/>
    <w:rsid w:val="00955287"/>
    <w:rsid w:val="00955431"/>
    <w:rsid w:val="009558C9"/>
    <w:rsid w:val="00955ED0"/>
    <w:rsid w:val="00957ACE"/>
    <w:rsid w:val="00957ADB"/>
    <w:rsid w:val="00957BBC"/>
    <w:rsid w:val="00960929"/>
    <w:rsid w:val="00961969"/>
    <w:rsid w:val="00962488"/>
    <w:rsid w:val="009624C3"/>
    <w:rsid w:val="00962D41"/>
    <w:rsid w:val="00963D70"/>
    <w:rsid w:val="009655B1"/>
    <w:rsid w:val="00965644"/>
    <w:rsid w:val="0096623F"/>
    <w:rsid w:val="00966CC2"/>
    <w:rsid w:val="00966D2B"/>
    <w:rsid w:val="00967018"/>
    <w:rsid w:val="009670D1"/>
    <w:rsid w:val="00967199"/>
    <w:rsid w:val="00971EEF"/>
    <w:rsid w:val="00972A8B"/>
    <w:rsid w:val="009730CB"/>
    <w:rsid w:val="00973316"/>
    <w:rsid w:val="0097377A"/>
    <w:rsid w:val="00973E28"/>
    <w:rsid w:val="009757ED"/>
    <w:rsid w:val="00975EF3"/>
    <w:rsid w:val="00975F20"/>
    <w:rsid w:val="0097795E"/>
    <w:rsid w:val="00977B3A"/>
    <w:rsid w:val="00977ED6"/>
    <w:rsid w:val="00980C9F"/>
    <w:rsid w:val="00984471"/>
    <w:rsid w:val="009869C1"/>
    <w:rsid w:val="00987023"/>
    <w:rsid w:val="0098747E"/>
    <w:rsid w:val="009910EB"/>
    <w:rsid w:val="009916B0"/>
    <w:rsid w:val="0099294C"/>
    <w:rsid w:val="00992B47"/>
    <w:rsid w:val="009943CE"/>
    <w:rsid w:val="009959DC"/>
    <w:rsid w:val="00995D4D"/>
    <w:rsid w:val="00997370"/>
    <w:rsid w:val="00997483"/>
    <w:rsid w:val="009A0B32"/>
    <w:rsid w:val="009A0FF1"/>
    <w:rsid w:val="009A1A94"/>
    <w:rsid w:val="009A34D6"/>
    <w:rsid w:val="009A3EA9"/>
    <w:rsid w:val="009A4AAB"/>
    <w:rsid w:val="009A51AC"/>
    <w:rsid w:val="009A6C6D"/>
    <w:rsid w:val="009A737F"/>
    <w:rsid w:val="009A7ED7"/>
    <w:rsid w:val="009B1BBD"/>
    <w:rsid w:val="009B24C4"/>
    <w:rsid w:val="009B2637"/>
    <w:rsid w:val="009B41A9"/>
    <w:rsid w:val="009B425F"/>
    <w:rsid w:val="009B426A"/>
    <w:rsid w:val="009B5704"/>
    <w:rsid w:val="009B5867"/>
    <w:rsid w:val="009B59EB"/>
    <w:rsid w:val="009B5C03"/>
    <w:rsid w:val="009B6132"/>
    <w:rsid w:val="009B7054"/>
    <w:rsid w:val="009B7A47"/>
    <w:rsid w:val="009C0A5E"/>
    <w:rsid w:val="009C0F5E"/>
    <w:rsid w:val="009C2540"/>
    <w:rsid w:val="009C3703"/>
    <w:rsid w:val="009C410D"/>
    <w:rsid w:val="009C5183"/>
    <w:rsid w:val="009C7660"/>
    <w:rsid w:val="009D0CC8"/>
    <w:rsid w:val="009D169B"/>
    <w:rsid w:val="009D43D0"/>
    <w:rsid w:val="009D5623"/>
    <w:rsid w:val="009D5BE4"/>
    <w:rsid w:val="009D5FBB"/>
    <w:rsid w:val="009D6C53"/>
    <w:rsid w:val="009D7EC0"/>
    <w:rsid w:val="009E0095"/>
    <w:rsid w:val="009E05C8"/>
    <w:rsid w:val="009E1B9F"/>
    <w:rsid w:val="009E21AB"/>
    <w:rsid w:val="009E2581"/>
    <w:rsid w:val="009E2E26"/>
    <w:rsid w:val="009E3197"/>
    <w:rsid w:val="009E5209"/>
    <w:rsid w:val="009E66D5"/>
    <w:rsid w:val="009E6FA3"/>
    <w:rsid w:val="009E778E"/>
    <w:rsid w:val="009F0D95"/>
    <w:rsid w:val="009F10A3"/>
    <w:rsid w:val="009F1DD9"/>
    <w:rsid w:val="009F243C"/>
    <w:rsid w:val="009F34EC"/>
    <w:rsid w:val="009F3FCA"/>
    <w:rsid w:val="009F4C3F"/>
    <w:rsid w:val="009F5F93"/>
    <w:rsid w:val="009F61FD"/>
    <w:rsid w:val="009F7C30"/>
    <w:rsid w:val="009F7E5B"/>
    <w:rsid w:val="00A001E9"/>
    <w:rsid w:val="00A02D1C"/>
    <w:rsid w:val="00A03BB7"/>
    <w:rsid w:val="00A03EB6"/>
    <w:rsid w:val="00A04027"/>
    <w:rsid w:val="00A043C9"/>
    <w:rsid w:val="00A044E1"/>
    <w:rsid w:val="00A05DEC"/>
    <w:rsid w:val="00A06A7D"/>
    <w:rsid w:val="00A06A81"/>
    <w:rsid w:val="00A104EF"/>
    <w:rsid w:val="00A1182D"/>
    <w:rsid w:val="00A146EF"/>
    <w:rsid w:val="00A14EB3"/>
    <w:rsid w:val="00A1547C"/>
    <w:rsid w:val="00A15C11"/>
    <w:rsid w:val="00A15DB2"/>
    <w:rsid w:val="00A160A1"/>
    <w:rsid w:val="00A213FB"/>
    <w:rsid w:val="00A21478"/>
    <w:rsid w:val="00A228CB"/>
    <w:rsid w:val="00A238DB"/>
    <w:rsid w:val="00A2397C"/>
    <w:rsid w:val="00A23FB8"/>
    <w:rsid w:val="00A2593E"/>
    <w:rsid w:val="00A27BC6"/>
    <w:rsid w:val="00A30485"/>
    <w:rsid w:val="00A30F18"/>
    <w:rsid w:val="00A33DC6"/>
    <w:rsid w:val="00A34190"/>
    <w:rsid w:val="00A353A6"/>
    <w:rsid w:val="00A369CB"/>
    <w:rsid w:val="00A36EE5"/>
    <w:rsid w:val="00A36F1D"/>
    <w:rsid w:val="00A40040"/>
    <w:rsid w:val="00A407A7"/>
    <w:rsid w:val="00A41BC0"/>
    <w:rsid w:val="00A426E1"/>
    <w:rsid w:val="00A42F36"/>
    <w:rsid w:val="00A44E19"/>
    <w:rsid w:val="00A459EF"/>
    <w:rsid w:val="00A47205"/>
    <w:rsid w:val="00A50422"/>
    <w:rsid w:val="00A50C0E"/>
    <w:rsid w:val="00A54180"/>
    <w:rsid w:val="00A542AD"/>
    <w:rsid w:val="00A54EAC"/>
    <w:rsid w:val="00A55210"/>
    <w:rsid w:val="00A573C8"/>
    <w:rsid w:val="00A57777"/>
    <w:rsid w:val="00A61E03"/>
    <w:rsid w:val="00A63D0B"/>
    <w:rsid w:val="00A64DF9"/>
    <w:rsid w:val="00A64E37"/>
    <w:rsid w:val="00A6666F"/>
    <w:rsid w:val="00A6741A"/>
    <w:rsid w:val="00A70401"/>
    <w:rsid w:val="00A70F05"/>
    <w:rsid w:val="00A71CAB"/>
    <w:rsid w:val="00A71F90"/>
    <w:rsid w:val="00A725F0"/>
    <w:rsid w:val="00A73C59"/>
    <w:rsid w:val="00A73EB5"/>
    <w:rsid w:val="00A73F06"/>
    <w:rsid w:val="00A75EA0"/>
    <w:rsid w:val="00A8112D"/>
    <w:rsid w:val="00A81CDD"/>
    <w:rsid w:val="00A854B9"/>
    <w:rsid w:val="00A85648"/>
    <w:rsid w:val="00A85E72"/>
    <w:rsid w:val="00A87108"/>
    <w:rsid w:val="00A87786"/>
    <w:rsid w:val="00A90C35"/>
    <w:rsid w:val="00A91CB8"/>
    <w:rsid w:val="00A92B99"/>
    <w:rsid w:val="00A92E33"/>
    <w:rsid w:val="00A93D24"/>
    <w:rsid w:val="00A96018"/>
    <w:rsid w:val="00A96ED1"/>
    <w:rsid w:val="00AA1376"/>
    <w:rsid w:val="00AA2E8E"/>
    <w:rsid w:val="00AA337F"/>
    <w:rsid w:val="00AA3B36"/>
    <w:rsid w:val="00AA5B9A"/>
    <w:rsid w:val="00AB190D"/>
    <w:rsid w:val="00AB1EF4"/>
    <w:rsid w:val="00AB343B"/>
    <w:rsid w:val="00AB3475"/>
    <w:rsid w:val="00AB4A31"/>
    <w:rsid w:val="00AB4BB1"/>
    <w:rsid w:val="00AB5BEA"/>
    <w:rsid w:val="00AC2549"/>
    <w:rsid w:val="00AC3278"/>
    <w:rsid w:val="00AC39E9"/>
    <w:rsid w:val="00AC431D"/>
    <w:rsid w:val="00AC4B9E"/>
    <w:rsid w:val="00AC5F03"/>
    <w:rsid w:val="00AC61C0"/>
    <w:rsid w:val="00AC66B9"/>
    <w:rsid w:val="00AD178D"/>
    <w:rsid w:val="00AD17DC"/>
    <w:rsid w:val="00AD1949"/>
    <w:rsid w:val="00AD3A34"/>
    <w:rsid w:val="00AD3C64"/>
    <w:rsid w:val="00AD3C93"/>
    <w:rsid w:val="00AD4B67"/>
    <w:rsid w:val="00AD4FD9"/>
    <w:rsid w:val="00AD591E"/>
    <w:rsid w:val="00AD6B48"/>
    <w:rsid w:val="00AD6F54"/>
    <w:rsid w:val="00AE0727"/>
    <w:rsid w:val="00AE140B"/>
    <w:rsid w:val="00AE151D"/>
    <w:rsid w:val="00AE2826"/>
    <w:rsid w:val="00AE4171"/>
    <w:rsid w:val="00AE4F72"/>
    <w:rsid w:val="00AE550E"/>
    <w:rsid w:val="00AF0710"/>
    <w:rsid w:val="00AF1122"/>
    <w:rsid w:val="00AF15F6"/>
    <w:rsid w:val="00AF470A"/>
    <w:rsid w:val="00AF6699"/>
    <w:rsid w:val="00AF7CF5"/>
    <w:rsid w:val="00AF7EB6"/>
    <w:rsid w:val="00B002DE"/>
    <w:rsid w:val="00B008C3"/>
    <w:rsid w:val="00B0093F"/>
    <w:rsid w:val="00B00A0B"/>
    <w:rsid w:val="00B00F7C"/>
    <w:rsid w:val="00B01AE7"/>
    <w:rsid w:val="00B01BBD"/>
    <w:rsid w:val="00B02633"/>
    <w:rsid w:val="00B041C4"/>
    <w:rsid w:val="00B04B99"/>
    <w:rsid w:val="00B060EE"/>
    <w:rsid w:val="00B062D8"/>
    <w:rsid w:val="00B06D07"/>
    <w:rsid w:val="00B073B1"/>
    <w:rsid w:val="00B073D2"/>
    <w:rsid w:val="00B07938"/>
    <w:rsid w:val="00B10000"/>
    <w:rsid w:val="00B10B58"/>
    <w:rsid w:val="00B10BB1"/>
    <w:rsid w:val="00B13D28"/>
    <w:rsid w:val="00B1427C"/>
    <w:rsid w:val="00B146BE"/>
    <w:rsid w:val="00B15953"/>
    <w:rsid w:val="00B21106"/>
    <w:rsid w:val="00B2113E"/>
    <w:rsid w:val="00B222C6"/>
    <w:rsid w:val="00B224DE"/>
    <w:rsid w:val="00B23AFD"/>
    <w:rsid w:val="00B25A12"/>
    <w:rsid w:val="00B2761D"/>
    <w:rsid w:val="00B277CA"/>
    <w:rsid w:val="00B323E1"/>
    <w:rsid w:val="00B32DFE"/>
    <w:rsid w:val="00B33718"/>
    <w:rsid w:val="00B33B77"/>
    <w:rsid w:val="00B340D8"/>
    <w:rsid w:val="00B3616E"/>
    <w:rsid w:val="00B364C7"/>
    <w:rsid w:val="00B37483"/>
    <w:rsid w:val="00B40A4E"/>
    <w:rsid w:val="00B40F4C"/>
    <w:rsid w:val="00B41052"/>
    <w:rsid w:val="00B41B6A"/>
    <w:rsid w:val="00B43D7E"/>
    <w:rsid w:val="00B441B8"/>
    <w:rsid w:val="00B448E4"/>
    <w:rsid w:val="00B46A66"/>
    <w:rsid w:val="00B46D87"/>
    <w:rsid w:val="00B506C7"/>
    <w:rsid w:val="00B51491"/>
    <w:rsid w:val="00B521F4"/>
    <w:rsid w:val="00B52D04"/>
    <w:rsid w:val="00B53EC5"/>
    <w:rsid w:val="00B55E8D"/>
    <w:rsid w:val="00B55FDD"/>
    <w:rsid w:val="00B5634D"/>
    <w:rsid w:val="00B57F39"/>
    <w:rsid w:val="00B610A4"/>
    <w:rsid w:val="00B6136A"/>
    <w:rsid w:val="00B61F72"/>
    <w:rsid w:val="00B63C2F"/>
    <w:rsid w:val="00B64C09"/>
    <w:rsid w:val="00B660E1"/>
    <w:rsid w:val="00B6678D"/>
    <w:rsid w:val="00B677DB"/>
    <w:rsid w:val="00B67CD6"/>
    <w:rsid w:val="00B70374"/>
    <w:rsid w:val="00B71387"/>
    <w:rsid w:val="00B72C79"/>
    <w:rsid w:val="00B73E0A"/>
    <w:rsid w:val="00B75AA1"/>
    <w:rsid w:val="00B75CAC"/>
    <w:rsid w:val="00B76575"/>
    <w:rsid w:val="00B7747F"/>
    <w:rsid w:val="00B775C9"/>
    <w:rsid w:val="00B77A71"/>
    <w:rsid w:val="00B804E3"/>
    <w:rsid w:val="00B8082C"/>
    <w:rsid w:val="00B815CC"/>
    <w:rsid w:val="00B824C6"/>
    <w:rsid w:val="00B8355A"/>
    <w:rsid w:val="00B83D23"/>
    <w:rsid w:val="00B83F13"/>
    <w:rsid w:val="00B840D0"/>
    <w:rsid w:val="00B87E7B"/>
    <w:rsid w:val="00B87EB9"/>
    <w:rsid w:val="00B90303"/>
    <w:rsid w:val="00B909E5"/>
    <w:rsid w:val="00B92592"/>
    <w:rsid w:val="00B9374C"/>
    <w:rsid w:val="00B94069"/>
    <w:rsid w:val="00B9628C"/>
    <w:rsid w:val="00B96BF0"/>
    <w:rsid w:val="00B970ED"/>
    <w:rsid w:val="00BA0619"/>
    <w:rsid w:val="00BA0D43"/>
    <w:rsid w:val="00BA162F"/>
    <w:rsid w:val="00BA1EA1"/>
    <w:rsid w:val="00BA2C40"/>
    <w:rsid w:val="00BA2D09"/>
    <w:rsid w:val="00BA37E9"/>
    <w:rsid w:val="00BA3864"/>
    <w:rsid w:val="00BA48CD"/>
    <w:rsid w:val="00BA4EFC"/>
    <w:rsid w:val="00BA652E"/>
    <w:rsid w:val="00BA6F35"/>
    <w:rsid w:val="00BA7445"/>
    <w:rsid w:val="00BA7AB5"/>
    <w:rsid w:val="00BB0246"/>
    <w:rsid w:val="00BB0A06"/>
    <w:rsid w:val="00BB12F9"/>
    <w:rsid w:val="00BB166C"/>
    <w:rsid w:val="00BB1AA8"/>
    <w:rsid w:val="00BB247B"/>
    <w:rsid w:val="00BB2D9C"/>
    <w:rsid w:val="00BB42FB"/>
    <w:rsid w:val="00BB4654"/>
    <w:rsid w:val="00BB497D"/>
    <w:rsid w:val="00BB63BF"/>
    <w:rsid w:val="00BB73B1"/>
    <w:rsid w:val="00BC1D34"/>
    <w:rsid w:val="00BC2581"/>
    <w:rsid w:val="00BC3D40"/>
    <w:rsid w:val="00BC40A3"/>
    <w:rsid w:val="00BC47C9"/>
    <w:rsid w:val="00BC5BC3"/>
    <w:rsid w:val="00BC5F51"/>
    <w:rsid w:val="00BC68EA"/>
    <w:rsid w:val="00BC6943"/>
    <w:rsid w:val="00BD0B4E"/>
    <w:rsid w:val="00BD2040"/>
    <w:rsid w:val="00BD6428"/>
    <w:rsid w:val="00BD6746"/>
    <w:rsid w:val="00BD7CEA"/>
    <w:rsid w:val="00BE0162"/>
    <w:rsid w:val="00BE2001"/>
    <w:rsid w:val="00BE2276"/>
    <w:rsid w:val="00BE2D55"/>
    <w:rsid w:val="00BE2E55"/>
    <w:rsid w:val="00BE45B4"/>
    <w:rsid w:val="00BE500F"/>
    <w:rsid w:val="00BE5DE8"/>
    <w:rsid w:val="00BE6163"/>
    <w:rsid w:val="00BE7059"/>
    <w:rsid w:val="00BE713E"/>
    <w:rsid w:val="00BE7FFE"/>
    <w:rsid w:val="00BF0607"/>
    <w:rsid w:val="00BF19B0"/>
    <w:rsid w:val="00BF1BED"/>
    <w:rsid w:val="00BF1D1B"/>
    <w:rsid w:val="00BF1D4A"/>
    <w:rsid w:val="00BF25D5"/>
    <w:rsid w:val="00BF2B8C"/>
    <w:rsid w:val="00BF3296"/>
    <w:rsid w:val="00BF331B"/>
    <w:rsid w:val="00BF3FBA"/>
    <w:rsid w:val="00BF574B"/>
    <w:rsid w:val="00BF5B40"/>
    <w:rsid w:val="00C01BB0"/>
    <w:rsid w:val="00C02376"/>
    <w:rsid w:val="00C02CD0"/>
    <w:rsid w:val="00C03B79"/>
    <w:rsid w:val="00C06379"/>
    <w:rsid w:val="00C066EA"/>
    <w:rsid w:val="00C06C03"/>
    <w:rsid w:val="00C073DC"/>
    <w:rsid w:val="00C10ED5"/>
    <w:rsid w:val="00C1104E"/>
    <w:rsid w:val="00C114A2"/>
    <w:rsid w:val="00C1208F"/>
    <w:rsid w:val="00C120F7"/>
    <w:rsid w:val="00C12517"/>
    <w:rsid w:val="00C12FBC"/>
    <w:rsid w:val="00C13E18"/>
    <w:rsid w:val="00C1436D"/>
    <w:rsid w:val="00C149CE"/>
    <w:rsid w:val="00C151C5"/>
    <w:rsid w:val="00C16315"/>
    <w:rsid w:val="00C170FE"/>
    <w:rsid w:val="00C20DB8"/>
    <w:rsid w:val="00C228D7"/>
    <w:rsid w:val="00C23BC4"/>
    <w:rsid w:val="00C23FA2"/>
    <w:rsid w:val="00C25149"/>
    <w:rsid w:val="00C25CD9"/>
    <w:rsid w:val="00C26091"/>
    <w:rsid w:val="00C266C4"/>
    <w:rsid w:val="00C30285"/>
    <w:rsid w:val="00C31998"/>
    <w:rsid w:val="00C32C80"/>
    <w:rsid w:val="00C32E62"/>
    <w:rsid w:val="00C3322A"/>
    <w:rsid w:val="00C35B68"/>
    <w:rsid w:val="00C36315"/>
    <w:rsid w:val="00C365FC"/>
    <w:rsid w:val="00C36B34"/>
    <w:rsid w:val="00C3761E"/>
    <w:rsid w:val="00C41E38"/>
    <w:rsid w:val="00C42CA6"/>
    <w:rsid w:val="00C42E6A"/>
    <w:rsid w:val="00C44956"/>
    <w:rsid w:val="00C44E7D"/>
    <w:rsid w:val="00C4531F"/>
    <w:rsid w:val="00C454F4"/>
    <w:rsid w:val="00C45960"/>
    <w:rsid w:val="00C459A4"/>
    <w:rsid w:val="00C46016"/>
    <w:rsid w:val="00C46B96"/>
    <w:rsid w:val="00C5104B"/>
    <w:rsid w:val="00C52543"/>
    <w:rsid w:val="00C52F6B"/>
    <w:rsid w:val="00C538B2"/>
    <w:rsid w:val="00C546B3"/>
    <w:rsid w:val="00C54B37"/>
    <w:rsid w:val="00C54BF4"/>
    <w:rsid w:val="00C55CA3"/>
    <w:rsid w:val="00C5664C"/>
    <w:rsid w:val="00C56873"/>
    <w:rsid w:val="00C56CD2"/>
    <w:rsid w:val="00C573C7"/>
    <w:rsid w:val="00C57A63"/>
    <w:rsid w:val="00C609C4"/>
    <w:rsid w:val="00C60B0D"/>
    <w:rsid w:val="00C6192A"/>
    <w:rsid w:val="00C6448F"/>
    <w:rsid w:val="00C648C5"/>
    <w:rsid w:val="00C6513F"/>
    <w:rsid w:val="00C6567F"/>
    <w:rsid w:val="00C65FD3"/>
    <w:rsid w:val="00C66583"/>
    <w:rsid w:val="00C673CD"/>
    <w:rsid w:val="00C67BAE"/>
    <w:rsid w:val="00C67F84"/>
    <w:rsid w:val="00C712CF"/>
    <w:rsid w:val="00C714B4"/>
    <w:rsid w:val="00C71665"/>
    <w:rsid w:val="00C72259"/>
    <w:rsid w:val="00C724DD"/>
    <w:rsid w:val="00C72FE0"/>
    <w:rsid w:val="00C75DE3"/>
    <w:rsid w:val="00C770FC"/>
    <w:rsid w:val="00C77346"/>
    <w:rsid w:val="00C77C22"/>
    <w:rsid w:val="00C806CE"/>
    <w:rsid w:val="00C809FF"/>
    <w:rsid w:val="00C81FDF"/>
    <w:rsid w:val="00C830A1"/>
    <w:rsid w:val="00C85702"/>
    <w:rsid w:val="00C85947"/>
    <w:rsid w:val="00C868B1"/>
    <w:rsid w:val="00C871C5"/>
    <w:rsid w:val="00C87A79"/>
    <w:rsid w:val="00C908C8"/>
    <w:rsid w:val="00C90C5F"/>
    <w:rsid w:val="00C91959"/>
    <w:rsid w:val="00C9282A"/>
    <w:rsid w:val="00C94D6C"/>
    <w:rsid w:val="00C95632"/>
    <w:rsid w:val="00C95780"/>
    <w:rsid w:val="00C96AF7"/>
    <w:rsid w:val="00C97A9A"/>
    <w:rsid w:val="00CA0DC2"/>
    <w:rsid w:val="00CA2DBF"/>
    <w:rsid w:val="00CA397A"/>
    <w:rsid w:val="00CA3EF5"/>
    <w:rsid w:val="00CA4E6A"/>
    <w:rsid w:val="00CA54CA"/>
    <w:rsid w:val="00CA55EC"/>
    <w:rsid w:val="00CA5676"/>
    <w:rsid w:val="00CA630D"/>
    <w:rsid w:val="00CA744D"/>
    <w:rsid w:val="00CB30DB"/>
    <w:rsid w:val="00CB353C"/>
    <w:rsid w:val="00CB4C33"/>
    <w:rsid w:val="00CB4CBF"/>
    <w:rsid w:val="00CC0CCE"/>
    <w:rsid w:val="00CC1E72"/>
    <w:rsid w:val="00CC3B86"/>
    <w:rsid w:val="00CC465E"/>
    <w:rsid w:val="00CC6551"/>
    <w:rsid w:val="00CD1A8A"/>
    <w:rsid w:val="00CD28D7"/>
    <w:rsid w:val="00CD2DE7"/>
    <w:rsid w:val="00CD2F8C"/>
    <w:rsid w:val="00CD3D3F"/>
    <w:rsid w:val="00CD464E"/>
    <w:rsid w:val="00CD4977"/>
    <w:rsid w:val="00CE3866"/>
    <w:rsid w:val="00CE51FD"/>
    <w:rsid w:val="00CE5E2A"/>
    <w:rsid w:val="00CE65F5"/>
    <w:rsid w:val="00CE78EA"/>
    <w:rsid w:val="00CF0B20"/>
    <w:rsid w:val="00CF0B9B"/>
    <w:rsid w:val="00CF0E73"/>
    <w:rsid w:val="00CF1359"/>
    <w:rsid w:val="00CF29CB"/>
    <w:rsid w:val="00CF3096"/>
    <w:rsid w:val="00CF3B21"/>
    <w:rsid w:val="00CF5943"/>
    <w:rsid w:val="00CF5CF7"/>
    <w:rsid w:val="00CF79EF"/>
    <w:rsid w:val="00CF7AC0"/>
    <w:rsid w:val="00CF7FF7"/>
    <w:rsid w:val="00D01855"/>
    <w:rsid w:val="00D019E8"/>
    <w:rsid w:val="00D01C62"/>
    <w:rsid w:val="00D01ED3"/>
    <w:rsid w:val="00D02245"/>
    <w:rsid w:val="00D02D84"/>
    <w:rsid w:val="00D06FC1"/>
    <w:rsid w:val="00D07EE0"/>
    <w:rsid w:val="00D107D2"/>
    <w:rsid w:val="00D11580"/>
    <w:rsid w:val="00D1169D"/>
    <w:rsid w:val="00D11807"/>
    <w:rsid w:val="00D11FE4"/>
    <w:rsid w:val="00D12518"/>
    <w:rsid w:val="00D126BD"/>
    <w:rsid w:val="00D131CE"/>
    <w:rsid w:val="00D141EF"/>
    <w:rsid w:val="00D157AF"/>
    <w:rsid w:val="00D15803"/>
    <w:rsid w:val="00D170B0"/>
    <w:rsid w:val="00D20013"/>
    <w:rsid w:val="00D20DC5"/>
    <w:rsid w:val="00D21221"/>
    <w:rsid w:val="00D216BD"/>
    <w:rsid w:val="00D252D4"/>
    <w:rsid w:val="00D27308"/>
    <w:rsid w:val="00D314A7"/>
    <w:rsid w:val="00D316FC"/>
    <w:rsid w:val="00D326AC"/>
    <w:rsid w:val="00D33410"/>
    <w:rsid w:val="00D33615"/>
    <w:rsid w:val="00D3510C"/>
    <w:rsid w:val="00D40869"/>
    <w:rsid w:val="00D40DDA"/>
    <w:rsid w:val="00D41337"/>
    <w:rsid w:val="00D42DF4"/>
    <w:rsid w:val="00D44A82"/>
    <w:rsid w:val="00D4581C"/>
    <w:rsid w:val="00D45BA0"/>
    <w:rsid w:val="00D45D3D"/>
    <w:rsid w:val="00D46067"/>
    <w:rsid w:val="00D46E2A"/>
    <w:rsid w:val="00D474AF"/>
    <w:rsid w:val="00D47E17"/>
    <w:rsid w:val="00D511EB"/>
    <w:rsid w:val="00D51365"/>
    <w:rsid w:val="00D514AF"/>
    <w:rsid w:val="00D52696"/>
    <w:rsid w:val="00D52DE9"/>
    <w:rsid w:val="00D607CB"/>
    <w:rsid w:val="00D607FE"/>
    <w:rsid w:val="00D60944"/>
    <w:rsid w:val="00D60A91"/>
    <w:rsid w:val="00D61416"/>
    <w:rsid w:val="00D61736"/>
    <w:rsid w:val="00D6250A"/>
    <w:rsid w:val="00D62816"/>
    <w:rsid w:val="00D63237"/>
    <w:rsid w:val="00D6343F"/>
    <w:rsid w:val="00D63806"/>
    <w:rsid w:val="00D63D2F"/>
    <w:rsid w:val="00D6454E"/>
    <w:rsid w:val="00D64B9F"/>
    <w:rsid w:val="00D6607E"/>
    <w:rsid w:val="00D6637E"/>
    <w:rsid w:val="00D71B0C"/>
    <w:rsid w:val="00D73636"/>
    <w:rsid w:val="00D739F0"/>
    <w:rsid w:val="00D75663"/>
    <w:rsid w:val="00D76013"/>
    <w:rsid w:val="00D76B17"/>
    <w:rsid w:val="00D76F2E"/>
    <w:rsid w:val="00D8069D"/>
    <w:rsid w:val="00D82485"/>
    <w:rsid w:val="00D82D2F"/>
    <w:rsid w:val="00D83752"/>
    <w:rsid w:val="00D841D9"/>
    <w:rsid w:val="00D84B78"/>
    <w:rsid w:val="00D85D13"/>
    <w:rsid w:val="00D90E6B"/>
    <w:rsid w:val="00D91043"/>
    <w:rsid w:val="00D94492"/>
    <w:rsid w:val="00D94810"/>
    <w:rsid w:val="00D975B6"/>
    <w:rsid w:val="00D97DF6"/>
    <w:rsid w:val="00DA12D2"/>
    <w:rsid w:val="00DA2D8B"/>
    <w:rsid w:val="00DA3920"/>
    <w:rsid w:val="00DA3E71"/>
    <w:rsid w:val="00DA4FB1"/>
    <w:rsid w:val="00DA5127"/>
    <w:rsid w:val="00DA5278"/>
    <w:rsid w:val="00DA5B46"/>
    <w:rsid w:val="00DA5D60"/>
    <w:rsid w:val="00DA76FE"/>
    <w:rsid w:val="00DB05F0"/>
    <w:rsid w:val="00DB17DB"/>
    <w:rsid w:val="00DB20B2"/>
    <w:rsid w:val="00DB498E"/>
    <w:rsid w:val="00DB4F9C"/>
    <w:rsid w:val="00DB5A08"/>
    <w:rsid w:val="00DB5F1D"/>
    <w:rsid w:val="00DB6183"/>
    <w:rsid w:val="00DC0E49"/>
    <w:rsid w:val="00DC2331"/>
    <w:rsid w:val="00DC2A93"/>
    <w:rsid w:val="00DC367B"/>
    <w:rsid w:val="00DC4043"/>
    <w:rsid w:val="00DC5091"/>
    <w:rsid w:val="00DC7A7C"/>
    <w:rsid w:val="00DD08B4"/>
    <w:rsid w:val="00DD1252"/>
    <w:rsid w:val="00DD20EF"/>
    <w:rsid w:val="00DD33E4"/>
    <w:rsid w:val="00DD3AFF"/>
    <w:rsid w:val="00DD455D"/>
    <w:rsid w:val="00DD4896"/>
    <w:rsid w:val="00DD544C"/>
    <w:rsid w:val="00DD59EA"/>
    <w:rsid w:val="00DD5C9A"/>
    <w:rsid w:val="00DD64A8"/>
    <w:rsid w:val="00DD65E5"/>
    <w:rsid w:val="00DD767D"/>
    <w:rsid w:val="00DD7991"/>
    <w:rsid w:val="00DD7B3A"/>
    <w:rsid w:val="00DD7C5B"/>
    <w:rsid w:val="00DE0C1C"/>
    <w:rsid w:val="00DE0E22"/>
    <w:rsid w:val="00DE19EE"/>
    <w:rsid w:val="00DE1B93"/>
    <w:rsid w:val="00DE2FF0"/>
    <w:rsid w:val="00DE3F62"/>
    <w:rsid w:val="00DE4147"/>
    <w:rsid w:val="00DE45FA"/>
    <w:rsid w:val="00DE4615"/>
    <w:rsid w:val="00DE4857"/>
    <w:rsid w:val="00DF0105"/>
    <w:rsid w:val="00DF0751"/>
    <w:rsid w:val="00DF1396"/>
    <w:rsid w:val="00DF5AEF"/>
    <w:rsid w:val="00DF5CAC"/>
    <w:rsid w:val="00DF60F9"/>
    <w:rsid w:val="00DF65D1"/>
    <w:rsid w:val="00DF7022"/>
    <w:rsid w:val="00DF77B7"/>
    <w:rsid w:val="00E00522"/>
    <w:rsid w:val="00E00E65"/>
    <w:rsid w:val="00E01BF5"/>
    <w:rsid w:val="00E03390"/>
    <w:rsid w:val="00E063AE"/>
    <w:rsid w:val="00E067C9"/>
    <w:rsid w:val="00E07D71"/>
    <w:rsid w:val="00E10CEE"/>
    <w:rsid w:val="00E111AA"/>
    <w:rsid w:val="00E12F97"/>
    <w:rsid w:val="00E1399D"/>
    <w:rsid w:val="00E1460F"/>
    <w:rsid w:val="00E1514E"/>
    <w:rsid w:val="00E155CD"/>
    <w:rsid w:val="00E157AC"/>
    <w:rsid w:val="00E15C0F"/>
    <w:rsid w:val="00E15C62"/>
    <w:rsid w:val="00E168FB"/>
    <w:rsid w:val="00E16BE9"/>
    <w:rsid w:val="00E171CD"/>
    <w:rsid w:val="00E177FC"/>
    <w:rsid w:val="00E20387"/>
    <w:rsid w:val="00E212CA"/>
    <w:rsid w:val="00E2163B"/>
    <w:rsid w:val="00E21A0C"/>
    <w:rsid w:val="00E21D65"/>
    <w:rsid w:val="00E227B5"/>
    <w:rsid w:val="00E22A18"/>
    <w:rsid w:val="00E24AD6"/>
    <w:rsid w:val="00E252B4"/>
    <w:rsid w:val="00E26177"/>
    <w:rsid w:val="00E30002"/>
    <w:rsid w:val="00E30336"/>
    <w:rsid w:val="00E30982"/>
    <w:rsid w:val="00E30C7A"/>
    <w:rsid w:val="00E30D55"/>
    <w:rsid w:val="00E31708"/>
    <w:rsid w:val="00E33130"/>
    <w:rsid w:val="00E34353"/>
    <w:rsid w:val="00E356FC"/>
    <w:rsid w:val="00E35BB7"/>
    <w:rsid w:val="00E40942"/>
    <w:rsid w:val="00E414EB"/>
    <w:rsid w:val="00E42AB2"/>
    <w:rsid w:val="00E42CDF"/>
    <w:rsid w:val="00E43160"/>
    <w:rsid w:val="00E4421C"/>
    <w:rsid w:val="00E4435B"/>
    <w:rsid w:val="00E4515C"/>
    <w:rsid w:val="00E451B3"/>
    <w:rsid w:val="00E45F2D"/>
    <w:rsid w:val="00E46374"/>
    <w:rsid w:val="00E46B8A"/>
    <w:rsid w:val="00E472B1"/>
    <w:rsid w:val="00E4735B"/>
    <w:rsid w:val="00E4760A"/>
    <w:rsid w:val="00E50F2C"/>
    <w:rsid w:val="00E52127"/>
    <w:rsid w:val="00E521F8"/>
    <w:rsid w:val="00E52F16"/>
    <w:rsid w:val="00E53A8A"/>
    <w:rsid w:val="00E53AAC"/>
    <w:rsid w:val="00E55ED6"/>
    <w:rsid w:val="00E57270"/>
    <w:rsid w:val="00E630B6"/>
    <w:rsid w:val="00E63677"/>
    <w:rsid w:val="00E63DE4"/>
    <w:rsid w:val="00E64F21"/>
    <w:rsid w:val="00E65D26"/>
    <w:rsid w:val="00E6768D"/>
    <w:rsid w:val="00E67CD0"/>
    <w:rsid w:val="00E71FE8"/>
    <w:rsid w:val="00E72BAA"/>
    <w:rsid w:val="00E7383C"/>
    <w:rsid w:val="00E73A63"/>
    <w:rsid w:val="00E74F77"/>
    <w:rsid w:val="00E7553B"/>
    <w:rsid w:val="00E75819"/>
    <w:rsid w:val="00E75846"/>
    <w:rsid w:val="00E75970"/>
    <w:rsid w:val="00E75E0C"/>
    <w:rsid w:val="00E76CA4"/>
    <w:rsid w:val="00E77CC1"/>
    <w:rsid w:val="00E8084C"/>
    <w:rsid w:val="00E82141"/>
    <w:rsid w:val="00E82185"/>
    <w:rsid w:val="00E8274F"/>
    <w:rsid w:val="00E833DD"/>
    <w:rsid w:val="00E84E3B"/>
    <w:rsid w:val="00E85E71"/>
    <w:rsid w:val="00E864D1"/>
    <w:rsid w:val="00E86DF3"/>
    <w:rsid w:val="00E87D79"/>
    <w:rsid w:val="00E9265E"/>
    <w:rsid w:val="00E92EDC"/>
    <w:rsid w:val="00E94744"/>
    <w:rsid w:val="00E95809"/>
    <w:rsid w:val="00E95F83"/>
    <w:rsid w:val="00E969EA"/>
    <w:rsid w:val="00E9724E"/>
    <w:rsid w:val="00E9742D"/>
    <w:rsid w:val="00E97D0E"/>
    <w:rsid w:val="00EA37AB"/>
    <w:rsid w:val="00EA3AB9"/>
    <w:rsid w:val="00EA3B30"/>
    <w:rsid w:val="00EA3D31"/>
    <w:rsid w:val="00EA3EFA"/>
    <w:rsid w:val="00EA5A85"/>
    <w:rsid w:val="00EA7EC1"/>
    <w:rsid w:val="00EB02B2"/>
    <w:rsid w:val="00EB2AB5"/>
    <w:rsid w:val="00EB2FC7"/>
    <w:rsid w:val="00EB3245"/>
    <w:rsid w:val="00EB479B"/>
    <w:rsid w:val="00EB63A0"/>
    <w:rsid w:val="00EB751C"/>
    <w:rsid w:val="00EC0E7D"/>
    <w:rsid w:val="00EC25F3"/>
    <w:rsid w:val="00EC2D6D"/>
    <w:rsid w:val="00EC34EE"/>
    <w:rsid w:val="00EC391E"/>
    <w:rsid w:val="00EC39D8"/>
    <w:rsid w:val="00ED0112"/>
    <w:rsid w:val="00ED0C44"/>
    <w:rsid w:val="00ED1491"/>
    <w:rsid w:val="00ED15BC"/>
    <w:rsid w:val="00ED27CF"/>
    <w:rsid w:val="00ED348B"/>
    <w:rsid w:val="00ED373F"/>
    <w:rsid w:val="00ED503B"/>
    <w:rsid w:val="00ED5469"/>
    <w:rsid w:val="00ED57C4"/>
    <w:rsid w:val="00ED61A8"/>
    <w:rsid w:val="00ED75A7"/>
    <w:rsid w:val="00EE08D0"/>
    <w:rsid w:val="00EE1879"/>
    <w:rsid w:val="00EE1BDD"/>
    <w:rsid w:val="00EE2342"/>
    <w:rsid w:val="00EE3C28"/>
    <w:rsid w:val="00EE42B2"/>
    <w:rsid w:val="00EE42C0"/>
    <w:rsid w:val="00EE54AB"/>
    <w:rsid w:val="00EE5CD2"/>
    <w:rsid w:val="00EE6D20"/>
    <w:rsid w:val="00EE7497"/>
    <w:rsid w:val="00EF1377"/>
    <w:rsid w:val="00EF3533"/>
    <w:rsid w:val="00EF3BF3"/>
    <w:rsid w:val="00EF3C69"/>
    <w:rsid w:val="00EF41D0"/>
    <w:rsid w:val="00EF4B06"/>
    <w:rsid w:val="00EF4FDD"/>
    <w:rsid w:val="00EF637E"/>
    <w:rsid w:val="00EF68A4"/>
    <w:rsid w:val="00EF7A1A"/>
    <w:rsid w:val="00F0088A"/>
    <w:rsid w:val="00F00ADE"/>
    <w:rsid w:val="00F015B1"/>
    <w:rsid w:val="00F05B1C"/>
    <w:rsid w:val="00F066A6"/>
    <w:rsid w:val="00F1047E"/>
    <w:rsid w:val="00F10C34"/>
    <w:rsid w:val="00F12333"/>
    <w:rsid w:val="00F1273A"/>
    <w:rsid w:val="00F1285B"/>
    <w:rsid w:val="00F13965"/>
    <w:rsid w:val="00F13D76"/>
    <w:rsid w:val="00F1408A"/>
    <w:rsid w:val="00F14A80"/>
    <w:rsid w:val="00F1539B"/>
    <w:rsid w:val="00F1576D"/>
    <w:rsid w:val="00F157F0"/>
    <w:rsid w:val="00F168FE"/>
    <w:rsid w:val="00F16DB8"/>
    <w:rsid w:val="00F174A1"/>
    <w:rsid w:val="00F17B15"/>
    <w:rsid w:val="00F200FD"/>
    <w:rsid w:val="00F20597"/>
    <w:rsid w:val="00F206DD"/>
    <w:rsid w:val="00F21224"/>
    <w:rsid w:val="00F21566"/>
    <w:rsid w:val="00F21D5C"/>
    <w:rsid w:val="00F23275"/>
    <w:rsid w:val="00F23E3C"/>
    <w:rsid w:val="00F24C0D"/>
    <w:rsid w:val="00F25069"/>
    <w:rsid w:val="00F25274"/>
    <w:rsid w:val="00F26711"/>
    <w:rsid w:val="00F30959"/>
    <w:rsid w:val="00F3198F"/>
    <w:rsid w:val="00F31B10"/>
    <w:rsid w:val="00F35023"/>
    <w:rsid w:val="00F35656"/>
    <w:rsid w:val="00F374F0"/>
    <w:rsid w:val="00F40873"/>
    <w:rsid w:val="00F40F37"/>
    <w:rsid w:val="00F41417"/>
    <w:rsid w:val="00F421B4"/>
    <w:rsid w:val="00F42421"/>
    <w:rsid w:val="00F42EE0"/>
    <w:rsid w:val="00F43105"/>
    <w:rsid w:val="00F440F8"/>
    <w:rsid w:val="00F44972"/>
    <w:rsid w:val="00F44DEF"/>
    <w:rsid w:val="00F4563C"/>
    <w:rsid w:val="00F471CD"/>
    <w:rsid w:val="00F4743D"/>
    <w:rsid w:val="00F47D01"/>
    <w:rsid w:val="00F50A2C"/>
    <w:rsid w:val="00F50B42"/>
    <w:rsid w:val="00F51C19"/>
    <w:rsid w:val="00F5283E"/>
    <w:rsid w:val="00F53358"/>
    <w:rsid w:val="00F61121"/>
    <w:rsid w:val="00F62C02"/>
    <w:rsid w:val="00F62E79"/>
    <w:rsid w:val="00F63506"/>
    <w:rsid w:val="00F63885"/>
    <w:rsid w:val="00F64603"/>
    <w:rsid w:val="00F64AE7"/>
    <w:rsid w:val="00F65C0B"/>
    <w:rsid w:val="00F666C5"/>
    <w:rsid w:val="00F668F9"/>
    <w:rsid w:val="00F70F53"/>
    <w:rsid w:val="00F742C1"/>
    <w:rsid w:val="00F7435F"/>
    <w:rsid w:val="00F74387"/>
    <w:rsid w:val="00F77FEA"/>
    <w:rsid w:val="00F801CA"/>
    <w:rsid w:val="00F81C13"/>
    <w:rsid w:val="00F829AD"/>
    <w:rsid w:val="00F82D2A"/>
    <w:rsid w:val="00F83DBC"/>
    <w:rsid w:val="00F84D7C"/>
    <w:rsid w:val="00F84E0E"/>
    <w:rsid w:val="00F92BA5"/>
    <w:rsid w:val="00F93E6E"/>
    <w:rsid w:val="00F94C9B"/>
    <w:rsid w:val="00F94E04"/>
    <w:rsid w:val="00F96BD8"/>
    <w:rsid w:val="00F96CBD"/>
    <w:rsid w:val="00FA0603"/>
    <w:rsid w:val="00FA0C1D"/>
    <w:rsid w:val="00FA13E5"/>
    <w:rsid w:val="00FA1454"/>
    <w:rsid w:val="00FA2D96"/>
    <w:rsid w:val="00FA2EF8"/>
    <w:rsid w:val="00FA3344"/>
    <w:rsid w:val="00FA3C1C"/>
    <w:rsid w:val="00FA3CC3"/>
    <w:rsid w:val="00FA4245"/>
    <w:rsid w:val="00FA479A"/>
    <w:rsid w:val="00FA6624"/>
    <w:rsid w:val="00FA7BCC"/>
    <w:rsid w:val="00FA7C3E"/>
    <w:rsid w:val="00FB2758"/>
    <w:rsid w:val="00FB4920"/>
    <w:rsid w:val="00FB4BA6"/>
    <w:rsid w:val="00FB50F4"/>
    <w:rsid w:val="00FB51CA"/>
    <w:rsid w:val="00FB544C"/>
    <w:rsid w:val="00FB63F0"/>
    <w:rsid w:val="00FB6CE3"/>
    <w:rsid w:val="00FC00DC"/>
    <w:rsid w:val="00FC059C"/>
    <w:rsid w:val="00FC0F02"/>
    <w:rsid w:val="00FC26AA"/>
    <w:rsid w:val="00FC286E"/>
    <w:rsid w:val="00FC40AF"/>
    <w:rsid w:val="00FC40BA"/>
    <w:rsid w:val="00FC4348"/>
    <w:rsid w:val="00FC47EC"/>
    <w:rsid w:val="00FC4C70"/>
    <w:rsid w:val="00FC55CE"/>
    <w:rsid w:val="00FC5C4E"/>
    <w:rsid w:val="00FC7DBB"/>
    <w:rsid w:val="00FD0549"/>
    <w:rsid w:val="00FD0E1F"/>
    <w:rsid w:val="00FD10D4"/>
    <w:rsid w:val="00FD1230"/>
    <w:rsid w:val="00FD13F2"/>
    <w:rsid w:val="00FD1998"/>
    <w:rsid w:val="00FD2A05"/>
    <w:rsid w:val="00FD3A51"/>
    <w:rsid w:val="00FD4C1C"/>
    <w:rsid w:val="00FD52AB"/>
    <w:rsid w:val="00FD79E3"/>
    <w:rsid w:val="00FD7DF9"/>
    <w:rsid w:val="00FD7E04"/>
    <w:rsid w:val="00FD7EC8"/>
    <w:rsid w:val="00FE116C"/>
    <w:rsid w:val="00FE12A1"/>
    <w:rsid w:val="00FE1C55"/>
    <w:rsid w:val="00FE2132"/>
    <w:rsid w:val="00FE3AEE"/>
    <w:rsid w:val="00FE4443"/>
    <w:rsid w:val="00FE4E85"/>
    <w:rsid w:val="00FE561C"/>
    <w:rsid w:val="00FE5BC1"/>
    <w:rsid w:val="00FE610B"/>
    <w:rsid w:val="00FE794E"/>
    <w:rsid w:val="00FF08F2"/>
    <w:rsid w:val="00FF16C4"/>
    <w:rsid w:val="00FF1ABF"/>
    <w:rsid w:val="00FF242E"/>
    <w:rsid w:val="00FF2F3E"/>
    <w:rsid w:val="00FF4617"/>
    <w:rsid w:val="00FF7646"/>
    <w:rsid w:val="00FF777E"/>
    <w:rsid w:val="00FF7AA8"/>
    <w:rsid w:val="00FF7C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4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100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10000"/>
    <w:rPr>
      <w:rFonts w:cs="Times New Roman"/>
      <w:sz w:val="18"/>
      <w:szCs w:val="18"/>
    </w:rPr>
  </w:style>
  <w:style w:type="paragraph" w:styleId="Footer">
    <w:name w:val="footer"/>
    <w:basedOn w:val="Normal"/>
    <w:link w:val="FooterChar"/>
    <w:uiPriority w:val="99"/>
    <w:rsid w:val="00B100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0000"/>
    <w:rPr>
      <w:rFonts w:cs="Times New Roman"/>
      <w:sz w:val="18"/>
      <w:szCs w:val="18"/>
    </w:rPr>
  </w:style>
  <w:style w:type="paragraph" w:customStyle="1" w:styleId="a">
    <w:name w:val="页眉报告名称"/>
    <w:link w:val="Char"/>
    <w:autoRedefine/>
    <w:uiPriority w:val="99"/>
    <w:rsid w:val="00B10000"/>
    <w:pPr>
      <w:spacing w:afterLines="100" w:line="240" w:lineRule="exact"/>
      <w:jc w:val="both"/>
    </w:pPr>
    <w:rPr>
      <w:rFonts w:eastAsia="华文新魏"/>
      <w:sz w:val="24"/>
    </w:rPr>
  </w:style>
  <w:style w:type="character" w:customStyle="1" w:styleId="Char">
    <w:name w:val="页眉报告名称 Char"/>
    <w:basedOn w:val="DefaultParagraphFont"/>
    <w:link w:val="a"/>
    <w:uiPriority w:val="99"/>
    <w:locked/>
    <w:rsid w:val="00B10000"/>
    <w:rPr>
      <w:rFonts w:ascii="Calibri" w:eastAsia="华文新魏" w:hAnsi="Calibri" w:cs="Times New Roman"/>
      <w:kern w:val="2"/>
      <w:sz w:val="22"/>
      <w:szCs w:val="22"/>
      <w:lang w:val="en-US" w:eastAsia="zh-CN" w:bidi="ar-SA"/>
    </w:rPr>
  </w:style>
  <w:style w:type="paragraph" w:customStyle="1" w:styleId="a0">
    <w:name w:val="页眉图片"/>
    <w:basedOn w:val="Header"/>
    <w:link w:val="Char0"/>
    <w:uiPriority w:val="99"/>
    <w:rsid w:val="00B10000"/>
    <w:pPr>
      <w:pBdr>
        <w:bottom w:val="none" w:sz="0" w:space="0" w:color="auto"/>
      </w:pBdr>
      <w:tabs>
        <w:tab w:val="clear" w:pos="4153"/>
        <w:tab w:val="clear" w:pos="8306"/>
        <w:tab w:val="right" w:pos="11424"/>
      </w:tabs>
      <w:jc w:val="left"/>
    </w:pPr>
    <w:rPr>
      <w:noProof/>
    </w:rPr>
  </w:style>
  <w:style w:type="character" w:customStyle="1" w:styleId="Char0">
    <w:name w:val="页眉图片 Char"/>
    <w:basedOn w:val="HeaderChar"/>
    <w:link w:val="a0"/>
    <w:uiPriority w:val="99"/>
    <w:locked/>
    <w:rsid w:val="00B10000"/>
    <w:rPr>
      <w:rFonts w:ascii="Calibri" w:eastAsia="宋体" w:hAnsi="Calibri"/>
      <w:noProof/>
    </w:rPr>
  </w:style>
  <w:style w:type="paragraph" w:customStyle="1" w:styleId="a1">
    <w:name w:val="页眉处日期"/>
    <w:basedOn w:val="Normal"/>
    <w:link w:val="Char1"/>
    <w:uiPriority w:val="99"/>
    <w:rsid w:val="00B10000"/>
    <w:pPr>
      <w:tabs>
        <w:tab w:val="right" w:pos="11424"/>
      </w:tabs>
      <w:snapToGrid w:val="0"/>
      <w:jc w:val="left"/>
    </w:pPr>
    <w:rPr>
      <w:rFonts w:ascii="华文隶书" w:eastAsia="华文隶书"/>
      <w:b/>
      <w:sz w:val="24"/>
      <w:szCs w:val="24"/>
    </w:rPr>
  </w:style>
  <w:style w:type="paragraph" w:customStyle="1" w:styleId="a2">
    <w:name w:val="页眉副标题"/>
    <w:basedOn w:val="Normal"/>
    <w:link w:val="Char2"/>
    <w:uiPriority w:val="99"/>
    <w:rsid w:val="00B10000"/>
    <w:pPr>
      <w:tabs>
        <w:tab w:val="right" w:pos="11424"/>
      </w:tabs>
      <w:snapToGrid w:val="0"/>
      <w:jc w:val="left"/>
    </w:pPr>
    <w:rPr>
      <w:rFonts w:ascii="华文隶书" w:eastAsia="华文隶书"/>
      <w:sz w:val="36"/>
      <w:szCs w:val="36"/>
    </w:rPr>
  </w:style>
  <w:style w:type="character" w:customStyle="1" w:styleId="Char1">
    <w:name w:val="页眉处日期 Char"/>
    <w:basedOn w:val="DefaultParagraphFont"/>
    <w:link w:val="a1"/>
    <w:uiPriority w:val="99"/>
    <w:locked/>
    <w:rsid w:val="00B10000"/>
    <w:rPr>
      <w:rFonts w:ascii="华文隶书" w:eastAsia="华文隶书" w:hAnsi="Calibri" w:cs="Times New Roman"/>
      <w:b/>
      <w:sz w:val="24"/>
      <w:szCs w:val="24"/>
    </w:rPr>
  </w:style>
  <w:style w:type="character" w:customStyle="1" w:styleId="Char2">
    <w:name w:val="页眉副标题 Char"/>
    <w:basedOn w:val="DefaultParagraphFont"/>
    <w:link w:val="a2"/>
    <w:uiPriority w:val="99"/>
    <w:locked/>
    <w:rsid w:val="00B10000"/>
    <w:rPr>
      <w:rFonts w:ascii="华文隶书" w:eastAsia="华文隶书" w:hAnsi="Calibri" w:cs="Times New Roman"/>
      <w:sz w:val="36"/>
      <w:szCs w:val="36"/>
    </w:rPr>
  </w:style>
  <w:style w:type="paragraph" w:customStyle="1" w:styleId="a3">
    <w:name w:val="页眉的分析师"/>
    <w:basedOn w:val="Normal"/>
    <w:link w:val="Char3"/>
    <w:uiPriority w:val="99"/>
    <w:rsid w:val="00B10000"/>
    <w:pPr>
      <w:tabs>
        <w:tab w:val="right" w:pos="11424"/>
      </w:tabs>
      <w:snapToGrid w:val="0"/>
      <w:spacing w:line="240" w:lineRule="exact"/>
      <w:jc w:val="right"/>
    </w:pPr>
    <w:rPr>
      <w:rFonts w:ascii="华文新魏" w:eastAsia="华文新魏"/>
      <w:szCs w:val="21"/>
    </w:rPr>
  </w:style>
  <w:style w:type="character" w:customStyle="1" w:styleId="Char3">
    <w:name w:val="页眉的分析师 Char"/>
    <w:basedOn w:val="DefaultParagraphFont"/>
    <w:link w:val="a3"/>
    <w:uiPriority w:val="99"/>
    <w:locked/>
    <w:rsid w:val="00B10000"/>
    <w:rPr>
      <w:rFonts w:ascii="华文新魏" w:eastAsia="华文新魏" w:hAnsi="Calibri" w:cs="Times New Roman"/>
      <w:sz w:val="21"/>
      <w:szCs w:val="21"/>
    </w:rPr>
  </w:style>
  <w:style w:type="paragraph" w:customStyle="1" w:styleId="12">
    <w:name w:val="页眉12"/>
    <w:basedOn w:val="Header"/>
    <w:link w:val="12Char"/>
    <w:uiPriority w:val="99"/>
    <w:rsid w:val="00B10000"/>
    <w:pPr>
      <w:pBdr>
        <w:bottom w:val="none" w:sz="0" w:space="0" w:color="auto"/>
      </w:pBdr>
      <w:tabs>
        <w:tab w:val="clear" w:pos="4153"/>
        <w:tab w:val="clear" w:pos="8306"/>
        <w:tab w:val="right" w:pos="11424"/>
      </w:tabs>
      <w:jc w:val="left"/>
    </w:pPr>
  </w:style>
  <w:style w:type="character" w:customStyle="1" w:styleId="12Char">
    <w:name w:val="页眉12 Char"/>
    <w:basedOn w:val="HeaderChar"/>
    <w:link w:val="12"/>
    <w:uiPriority w:val="99"/>
    <w:locked/>
    <w:rsid w:val="00B10000"/>
    <w:rPr>
      <w:rFonts w:ascii="Calibri" w:eastAsia="宋体" w:hAnsi="Calibri"/>
    </w:rPr>
  </w:style>
  <w:style w:type="paragraph" w:customStyle="1" w:styleId="2">
    <w:name w:val="页眉副标题2"/>
    <w:basedOn w:val="12"/>
    <w:link w:val="2Char"/>
    <w:uiPriority w:val="99"/>
    <w:rsid w:val="00B10000"/>
    <w:pPr>
      <w:jc w:val="right"/>
    </w:pPr>
    <w:rPr>
      <w:rFonts w:ascii="华文隶书" w:eastAsia="华文隶书"/>
      <w:sz w:val="21"/>
      <w:szCs w:val="21"/>
    </w:rPr>
  </w:style>
  <w:style w:type="character" w:customStyle="1" w:styleId="2Char">
    <w:name w:val="页眉副标题2 Char"/>
    <w:basedOn w:val="12Char"/>
    <w:link w:val="2"/>
    <w:uiPriority w:val="99"/>
    <w:locked/>
    <w:rsid w:val="00B10000"/>
    <w:rPr>
      <w:rFonts w:ascii="华文隶书" w:eastAsia="华文隶书"/>
      <w:sz w:val="21"/>
      <w:szCs w:val="21"/>
    </w:rPr>
  </w:style>
  <w:style w:type="paragraph" w:customStyle="1" w:styleId="a4">
    <w:name w:val="特别声明格式"/>
    <w:basedOn w:val="Normal"/>
    <w:link w:val="Char4"/>
    <w:uiPriority w:val="99"/>
    <w:rsid w:val="00B10000"/>
    <w:pPr>
      <w:spacing w:afterLines="100" w:line="240" w:lineRule="exact"/>
    </w:pPr>
    <w:rPr>
      <w:rFonts w:ascii="华文隶书" w:eastAsia="华文隶书"/>
      <w:sz w:val="28"/>
    </w:rPr>
  </w:style>
  <w:style w:type="character" w:customStyle="1" w:styleId="Char4">
    <w:name w:val="特别声明格式 Char"/>
    <w:basedOn w:val="DefaultParagraphFont"/>
    <w:link w:val="a4"/>
    <w:uiPriority w:val="99"/>
    <w:locked/>
    <w:rsid w:val="00B10000"/>
    <w:rPr>
      <w:rFonts w:ascii="华文隶书" w:eastAsia="华文隶书" w:hAnsi="Calibri" w:cs="Times New Roman"/>
      <w:sz w:val="28"/>
    </w:rPr>
  </w:style>
  <w:style w:type="paragraph" w:styleId="BodyText">
    <w:name w:val="Body Text"/>
    <w:basedOn w:val="Normal"/>
    <w:link w:val="BodyTextChar"/>
    <w:uiPriority w:val="99"/>
    <w:rsid w:val="00B10000"/>
    <w:pPr>
      <w:widowControl/>
      <w:spacing w:after="120" w:line="240" w:lineRule="exact"/>
      <w:ind w:left="3402"/>
    </w:pPr>
    <w:rPr>
      <w:rFonts w:ascii="Arial" w:eastAsia="KaiTi_GB2312" w:hAnsi="Arial"/>
      <w:color w:val="000000"/>
      <w:kern w:val="0"/>
      <w:szCs w:val="20"/>
      <w:lang w:val="en-GB"/>
    </w:rPr>
  </w:style>
  <w:style w:type="character" w:customStyle="1" w:styleId="BodyTextChar">
    <w:name w:val="Body Text Char"/>
    <w:basedOn w:val="DefaultParagraphFont"/>
    <w:link w:val="BodyText"/>
    <w:uiPriority w:val="99"/>
    <w:locked/>
    <w:rsid w:val="00B10000"/>
    <w:rPr>
      <w:rFonts w:ascii="Arial" w:eastAsia="KaiTi_GB2312" w:hAnsi="Arial" w:cs="Times New Roman"/>
      <w:color w:val="000000"/>
      <w:kern w:val="0"/>
      <w:sz w:val="20"/>
      <w:szCs w:val="20"/>
      <w:lang w:val="en-GB"/>
    </w:rPr>
  </w:style>
  <w:style w:type="paragraph" w:customStyle="1" w:styleId="FootnoteNoline">
    <w:name w:val="FootnoteNoline"/>
    <w:basedOn w:val="Normal"/>
    <w:next w:val="BodyText"/>
    <w:uiPriority w:val="99"/>
    <w:rsid w:val="008840A4"/>
    <w:pPr>
      <w:widowControl/>
      <w:tabs>
        <w:tab w:val="right" w:pos="10065"/>
      </w:tabs>
      <w:spacing w:before="40" w:after="160"/>
      <w:ind w:left="3402"/>
    </w:pPr>
    <w:rPr>
      <w:rFonts w:ascii="Arial" w:eastAsia="KaiTi_GB2312" w:hAnsi="Arial" w:cs="Arial"/>
      <w:color w:val="003765"/>
      <w:kern w:val="0"/>
      <w:sz w:val="15"/>
      <w:szCs w:val="14"/>
      <w:lang w:val="en-GB"/>
    </w:rPr>
  </w:style>
  <w:style w:type="paragraph" w:customStyle="1" w:styleId="SubTitleLargeTable">
    <w:name w:val="SubTitleLargeTable"/>
    <w:uiPriority w:val="99"/>
    <w:rsid w:val="008840A4"/>
    <w:pPr>
      <w:keepNext/>
      <w:pBdr>
        <w:top w:val="single" w:sz="6" w:space="1" w:color="666699"/>
      </w:pBdr>
      <w:suppressAutoHyphens/>
      <w:spacing w:after="40" w:line="240" w:lineRule="atLeast"/>
    </w:pPr>
    <w:rPr>
      <w:rFonts w:ascii="Arial" w:eastAsia="KaiTi_GB2312" w:hAnsi="Arial" w:cs="Arial"/>
      <w:b/>
      <w:bCs/>
      <w:i/>
      <w:iCs/>
      <w:color w:val="003765"/>
      <w:kern w:val="0"/>
      <w:szCs w:val="21"/>
      <w:lang w:val="en-GB"/>
    </w:rPr>
  </w:style>
  <w:style w:type="paragraph" w:styleId="BalloonText">
    <w:name w:val="Balloon Text"/>
    <w:basedOn w:val="Normal"/>
    <w:link w:val="BalloonTextChar"/>
    <w:uiPriority w:val="99"/>
    <w:semiHidden/>
    <w:rsid w:val="008840A4"/>
    <w:rPr>
      <w:sz w:val="18"/>
      <w:szCs w:val="18"/>
    </w:rPr>
  </w:style>
  <w:style w:type="character" w:customStyle="1" w:styleId="BalloonTextChar">
    <w:name w:val="Balloon Text Char"/>
    <w:basedOn w:val="DefaultParagraphFont"/>
    <w:link w:val="BalloonText"/>
    <w:uiPriority w:val="99"/>
    <w:semiHidden/>
    <w:locked/>
    <w:rsid w:val="008840A4"/>
    <w:rPr>
      <w:rFonts w:cs="Times New Roman"/>
      <w:sz w:val="18"/>
      <w:szCs w:val="18"/>
    </w:rPr>
  </w:style>
  <w:style w:type="paragraph" w:customStyle="1" w:styleId="CoverBullet">
    <w:name w:val="Cover Bullet"/>
    <w:uiPriority w:val="99"/>
    <w:rsid w:val="008840A4"/>
    <w:pPr>
      <w:numPr>
        <w:numId w:val="3"/>
      </w:numPr>
      <w:spacing w:before="120" w:after="120"/>
      <w:ind w:left="357" w:hanging="357"/>
    </w:pPr>
    <w:rPr>
      <w:rFonts w:ascii="LucidaSans" w:hAnsi="LucidaSans"/>
      <w:b/>
      <w:bCs/>
      <w:kern w:val="0"/>
      <w:sz w:val="20"/>
      <w:szCs w:val="20"/>
      <w:lang w:val="en-GB"/>
    </w:rPr>
  </w:style>
  <w:style w:type="paragraph" w:styleId="ListParagraph">
    <w:name w:val="List Paragraph"/>
    <w:basedOn w:val="Normal"/>
    <w:uiPriority w:val="99"/>
    <w:qFormat/>
    <w:rsid w:val="002630FB"/>
    <w:pPr>
      <w:ind w:firstLineChars="200" w:firstLine="420"/>
    </w:pPr>
  </w:style>
</w:styles>
</file>

<file path=word/webSettings.xml><?xml version="1.0" encoding="utf-8"?>
<w:webSettings xmlns:r="http://schemas.openxmlformats.org/officeDocument/2006/relationships" xmlns:w="http://schemas.openxmlformats.org/wordprocessingml/2006/main">
  <w:divs>
    <w:div w:id="1054962594">
      <w:marLeft w:val="0"/>
      <w:marRight w:val="0"/>
      <w:marTop w:val="0"/>
      <w:marBottom w:val="0"/>
      <w:divBdr>
        <w:top w:val="none" w:sz="0" w:space="0" w:color="auto"/>
        <w:left w:val="none" w:sz="0" w:space="0" w:color="auto"/>
        <w:bottom w:val="none" w:sz="0" w:space="0" w:color="auto"/>
        <w:right w:val="none" w:sz="0" w:space="0" w:color="auto"/>
      </w:divBdr>
    </w:div>
    <w:div w:id="1054962595">
      <w:marLeft w:val="0"/>
      <w:marRight w:val="0"/>
      <w:marTop w:val="0"/>
      <w:marBottom w:val="0"/>
      <w:divBdr>
        <w:top w:val="none" w:sz="0" w:space="0" w:color="auto"/>
        <w:left w:val="none" w:sz="0" w:space="0" w:color="auto"/>
        <w:bottom w:val="none" w:sz="0" w:space="0" w:color="auto"/>
        <w:right w:val="none" w:sz="0" w:space="0" w:color="auto"/>
      </w:divBdr>
    </w:div>
    <w:div w:id="1054962596">
      <w:marLeft w:val="0"/>
      <w:marRight w:val="0"/>
      <w:marTop w:val="0"/>
      <w:marBottom w:val="0"/>
      <w:divBdr>
        <w:top w:val="none" w:sz="0" w:space="0" w:color="auto"/>
        <w:left w:val="none" w:sz="0" w:space="0" w:color="auto"/>
        <w:bottom w:val="none" w:sz="0" w:space="0" w:color="auto"/>
        <w:right w:val="none" w:sz="0" w:space="0" w:color="auto"/>
      </w:divBdr>
    </w:div>
    <w:div w:id="1054962597">
      <w:marLeft w:val="0"/>
      <w:marRight w:val="0"/>
      <w:marTop w:val="0"/>
      <w:marBottom w:val="0"/>
      <w:divBdr>
        <w:top w:val="none" w:sz="0" w:space="0" w:color="auto"/>
        <w:left w:val="none" w:sz="0" w:space="0" w:color="auto"/>
        <w:bottom w:val="none" w:sz="0" w:space="0" w:color="auto"/>
        <w:right w:val="none" w:sz="0" w:space="0" w:color="auto"/>
      </w:divBdr>
    </w:div>
    <w:div w:id="1054962598">
      <w:marLeft w:val="0"/>
      <w:marRight w:val="0"/>
      <w:marTop w:val="0"/>
      <w:marBottom w:val="0"/>
      <w:divBdr>
        <w:top w:val="none" w:sz="0" w:space="0" w:color="auto"/>
        <w:left w:val="none" w:sz="0" w:space="0" w:color="auto"/>
        <w:bottom w:val="none" w:sz="0" w:space="0" w:color="auto"/>
        <w:right w:val="none" w:sz="0" w:space="0" w:color="auto"/>
      </w:divBdr>
    </w:div>
    <w:div w:id="1054962599">
      <w:marLeft w:val="0"/>
      <w:marRight w:val="0"/>
      <w:marTop w:val="0"/>
      <w:marBottom w:val="0"/>
      <w:divBdr>
        <w:top w:val="none" w:sz="0" w:space="0" w:color="auto"/>
        <w:left w:val="none" w:sz="0" w:space="0" w:color="auto"/>
        <w:bottom w:val="none" w:sz="0" w:space="0" w:color="auto"/>
        <w:right w:val="none" w:sz="0" w:space="0" w:color="auto"/>
      </w:divBdr>
    </w:div>
    <w:div w:id="1054962600">
      <w:marLeft w:val="0"/>
      <w:marRight w:val="0"/>
      <w:marTop w:val="0"/>
      <w:marBottom w:val="0"/>
      <w:divBdr>
        <w:top w:val="none" w:sz="0" w:space="0" w:color="auto"/>
        <w:left w:val="none" w:sz="0" w:space="0" w:color="auto"/>
        <w:bottom w:val="none" w:sz="0" w:space="0" w:color="auto"/>
        <w:right w:val="none" w:sz="0" w:space="0" w:color="auto"/>
      </w:divBdr>
    </w:div>
    <w:div w:id="1054962601">
      <w:marLeft w:val="0"/>
      <w:marRight w:val="0"/>
      <w:marTop w:val="0"/>
      <w:marBottom w:val="0"/>
      <w:divBdr>
        <w:top w:val="none" w:sz="0" w:space="0" w:color="auto"/>
        <w:left w:val="none" w:sz="0" w:space="0" w:color="auto"/>
        <w:bottom w:val="none" w:sz="0" w:space="0" w:color="auto"/>
        <w:right w:val="none" w:sz="0" w:space="0" w:color="auto"/>
      </w:divBdr>
    </w:div>
    <w:div w:id="1054962602">
      <w:marLeft w:val="0"/>
      <w:marRight w:val="0"/>
      <w:marTop w:val="0"/>
      <w:marBottom w:val="0"/>
      <w:divBdr>
        <w:top w:val="none" w:sz="0" w:space="0" w:color="auto"/>
        <w:left w:val="none" w:sz="0" w:space="0" w:color="auto"/>
        <w:bottom w:val="none" w:sz="0" w:space="0" w:color="auto"/>
        <w:right w:val="none" w:sz="0" w:space="0" w:color="auto"/>
      </w:divBdr>
    </w:div>
    <w:div w:id="1054962603">
      <w:marLeft w:val="0"/>
      <w:marRight w:val="0"/>
      <w:marTop w:val="0"/>
      <w:marBottom w:val="0"/>
      <w:divBdr>
        <w:top w:val="none" w:sz="0" w:space="0" w:color="auto"/>
        <w:left w:val="none" w:sz="0" w:space="0" w:color="auto"/>
        <w:bottom w:val="none" w:sz="0" w:space="0" w:color="auto"/>
        <w:right w:val="none" w:sz="0" w:space="0" w:color="auto"/>
      </w:divBdr>
    </w:div>
    <w:div w:id="1054962604">
      <w:marLeft w:val="0"/>
      <w:marRight w:val="0"/>
      <w:marTop w:val="0"/>
      <w:marBottom w:val="0"/>
      <w:divBdr>
        <w:top w:val="none" w:sz="0" w:space="0" w:color="auto"/>
        <w:left w:val="none" w:sz="0" w:space="0" w:color="auto"/>
        <w:bottom w:val="none" w:sz="0" w:space="0" w:color="auto"/>
        <w:right w:val="none" w:sz="0" w:space="0" w:color="auto"/>
      </w:divBdr>
    </w:div>
    <w:div w:id="1054962605">
      <w:marLeft w:val="0"/>
      <w:marRight w:val="0"/>
      <w:marTop w:val="0"/>
      <w:marBottom w:val="0"/>
      <w:divBdr>
        <w:top w:val="none" w:sz="0" w:space="0" w:color="auto"/>
        <w:left w:val="none" w:sz="0" w:space="0" w:color="auto"/>
        <w:bottom w:val="none" w:sz="0" w:space="0" w:color="auto"/>
        <w:right w:val="none" w:sz="0" w:space="0" w:color="auto"/>
      </w:divBdr>
    </w:div>
    <w:div w:id="1054962606">
      <w:marLeft w:val="0"/>
      <w:marRight w:val="0"/>
      <w:marTop w:val="0"/>
      <w:marBottom w:val="0"/>
      <w:divBdr>
        <w:top w:val="none" w:sz="0" w:space="0" w:color="auto"/>
        <w:left w:val="none" w:sz="0" w:space="0" w:color="auto"/>
        <w:bottom w:val="none" w:sz="0" w:space="0" w:color="auto"/>
        <w:right w:val="none" w:sz="0" w:space="0" w:color="auto"/>
      </w:divBdr>
    </w:div>
    <w:div w:id="1054962607">
      <w:marLeft w:val="0"/>
      <w:marRight w:val="0"/>
      <w:marTop w:val="0"/>
      <w:marBottom w:val="0"/>
      <w:divBdr>
        <w:top w:val="none" w:sz="0" w:space="0" w:color="auto"/>
        <w:left w:val="none" w:sz="0" w:space="0" w:color="auto"/>
        <w:bottom w:val="none" w:sz="0" w:space="0" w:color="auto"/>
        <w:right w:val="none" w:sz="0" w:space="0" w:color="auto"/>
      </w:divBdr>
    </w:div>
    <w:div w:id="1054962608">
      <w:marLeft w:val="0"/>
      <w:marRight w:val="0"/>
      <w:marTop w:val="0"/>
      <w:marBottom w:val="0"/>
      <w:divBdr>
        <w:top w:val="none" w:sz="0" w:space="0" w:color="auto"/>
        <w:left w:val="none" w:sz="0" w:space="0" w:color="auto"/>
        <w:bottom w:val="none" w:sz="0" w:space="0" w:color="auto"/>
        <w:right w:val="none" w:sz="0" w:space="0" w:color="auto"/>
      </w:divBdr>
    </w:div>
    <w:div w:id="1054962609">
      <w:marLeft w:val="0"/>
      <w:marRight w:val="0"/>
      <w:marTop w:val="0"/>
      <w:marBottom w:val="0"/>
      <w:divBdr>
        <w:top w:val="none" w:sz="0" w:space="0" w:color="auto"/>
        <w:left w:val="none" w:sz="0" w:space="0" w:color="auto"/>
        <w:bottom w:val="none" w:sz="0" w:space="0" w:color="auto"/>
        <w:right w:val="none" w:sz="0" w:space="0" w:color="auto"/>
      </w:divBdr>
    </w:div>
    <w:div w:id="1054962610">
      <w:marLeft w:val="0"/>
      <w:marRight w:val="0"/>
      <w:marTop w:val="0"/>
      <w:marBottom w:val="0"/>
      <w:divBdr>
        <w:top w:val="none" w:sz="0" w:space="0" w:color="auto"/>
        <w:left w:val="none" w:sz="0" w:space="0" w:color="auto"/>
        <w:bottom w:val="none" w:sz="0" w:space="0" w:color="auto"/>
        <w:right w:val="none" w:sz="0" w:space="0" w:color="auto"/>
      </w:divBdr>
    </w:div>
    <w:div w:id="1054962611">
      <w:marLeft w:val="0"/>
      <w:marRight w:val="0"/>
      <w:marTop w:val="0"/>
      <w:marBottom w:val="0"/>
      <w:divBdr>
        <w:top w:val="none" w:sz="0" w:space="0" w:color="auto"/>
        <w:left w:val="none" w:sz="0" w:space="0" w:color="auto"/>
        <w:bottom w:val="none" w:sz="0" w:space="0" w:color="auto"/>
        <w:right w:val="none" w:sz="0" w:space="0" w:color="auto"/>
      </w:divBdr>
    </w:div>
    <w:div w:id="1054962612">
      <w:marLeft w:val="0"/>
      <w:marRight w:val="0"/>
      <w:marTop w:val="0"/>
      <w:marBottom w:val="0"/>
      <w:divBdr>
        <w:top w:val="none" w:sz="0" w:space="0" w:color="auto"/>
        <w:left w:val="none" w:sz="0" w:space="0" w:color="auto"/>
        <w:bottom w:val="none" w:sz="0" w:space="0" w:color="auto"/>
        <w:right w:val="none" w:sz="0" w:space="0" w:color="auto"/>
      </w:divBdr>
    </w:div>
    <w:div w:id="1054962613">
      <w:marLeft w:val="0"/>
      <w:marRight w:val="0"/>
      <w:marTop w:val="0"/>
      <w:marBottom w:val="0"/>
      <w:divBdr>
        <w:top w:val="none" w:sz="0" w:space="0" w:color="auto"/>
        <w:left w:val="none" w:sz="0" w:space="0" w:color="auto"/>
        <w:bottom w:val="none" w:sz="0" w:space="0" w:color="auto"/>
        <w:right w:val="none" w:sz="0" w:space="0" w:color="auto"/>
      </w:divBdr>
    </w:div>
    <w:div w:id="1054962614">
      <w:marLeft w:val="0"/>
      <w:marRight w:val="0"/>
      <w:marTop w:val="0"/>
      <w:marBottom w:val="0"/>
      <w:divBdr>
        <w:top w:val="none" w:sz="0" w:space="0" w:color="auto"/>
        <w:left w:val="none" w:sz="0" w:space="0" w:color="auto"/>
        <w:bottom w:val="none" w:sz="0" w:space="0" w:color="auto"/>
        <w:right w:val="none" w:sz="0" w:space="0" w:color="auto"/>
      </w:divBdr>
    </w:div>
    <w:div w:id="1054962615">
      <w:marLeft w:val="0"/>
      <w:marRight w:val="0"/>
      <w:marTop w:val="0"/>
      <w:marBottom w:val="0"/>
      <w:divBdr>
        <w:top w:val="none" w:sz="0" w:space="0" w:color="auto"/>
        <w:left w:val="none" w:sz="0" w:space="0" w:color="auto"/>
        <w:bottom w:val="none" w:sz="0" w:space="0" w:color="auto"/>
        <w:right w:val="none" w:sz="0" w:space="0" w:color="auto"/>
      </w:divBdr>
    </w:div>
    <w:div w:id="1054962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864</Words>
  <Characters>4928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导语</dc:title>
  <dc:subject/>
  <dc:creator>shanghai vstone</dc:creator>
  <cp:keywords/>
  <dc:description/>
  <cp:lastModifiedBy>User</cp:lastModifiedBy>
  <cp:revision>2</cp:revision>
  <dcterms:created xsi:type="dcterms:W3CDTF">2014-12-09T05:50:00Z</dcterms:created>
  <dcterms:modified xsi:type="dcterms:W3CDTF">2014-12-09T05:50:00Z</dcterms:modified>
</cp:coreProperties>
</file>