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5E" w:rsidRPr="00961E7F" w:rsidRDefault="00D5205E" w:rsidP="007B3051">
      <w:pPr>
        <w:widowControl/>
        <w:spacing w:after="120" w:line="240" w:lineRule="exact"/>
        <w:ind w:left="3430"/>
        <w:rPr>
          <w:rFonts w:ascii="楷体" w:eastAsia="楷体" w:hAnsi="楷体"/>
          <w:b/>
          <w:bCs/>
          <w:color w:val="0070C0"/>
          <w:kern w:val="0"/>
          <w:sz w:val="24"/>
          <w:szCs w:val="20"/>
          <w:lang w:val="en-GB"/>
        </w:rPr>
      </w:pPr>
      <w:r>
        <w:rPr>
          <w:rFonts w:ascii="楷体" w:eastAsia="楷体" w:hAnsi="楷体" w:hint="eastAsia"/>
          <w:b/>
          <w:bCs/>
          <w:color w:val="0070C0"/>
          <w:kern w:val="0"/>
          <w:sz w:val="24"/>
          <w:szCs w:val="20"/>
          <w:lang w:val="en-GB"/>
        </w:rPr>
        <w:t>导语</w:t>
      </w:r>
    </w:p>
    <w:p w:rsidR="00D5205E" w:rsidRPr="00155C6F" w:rsidRDefault="00D5205E" w:rsidP="00C01486">
      <w:pPr>
        <w:pStyle w:val="BodyText"/>
        <w:numPr>
          <w:ilvl w:val="4"/>
          <w:numId w:val="1"/>
        </w:numPr>
        <w:spacing w:after="163"/>
        <w:rPr>
          <w:b/>
          <w:color w:val="auto"/>
        </w:rPr>
      </w:pPr>
      <w:r w:rsidRPr="003522D8">
        <w:rPr>
          <w:b/>
          <w:color w:val="auto"/>
        </w:rPr>
        <w:t>2014</w:t>
      </w:r>
      <w:r w:rsidRPr="003522D8">
        <w:rPr>
          <w:rFonts w:ascii="宋体" w:hAnsi="宋体" w:cs="宋体" w:hint="eastAsia"/>
          <w:b/>
          <w:color w:val="auto"/>
        </w:rPr>
        <w:t>年</w:t>
      </w:r>
      <w:r>
        <w:rPr>
          <w:b/>
          <w:color w:val="auto"/>
        </w:rPr>
        <w:t>11</w:t>
      </w:r>
      <w:r>
        <w:rPr>
          <w:rFonts w:ascii="宋体" w:hAnsi="宋体" w:cs="宋体" w:hint="eastAsia"/>
          <w:b/>
          <w:color w:val="auto"/>
        </w:rPr>
        <w:t>月下</w:t>
      </w:r>
      <w:r w:rsidRPr="003522D8">
        <w:rPr>
          <w:rFonts w:ascii="宋体" w:hAnsi="宋体" w:cs="宋体" w:hint="eastAsia"/>
          <w:b/>
          <w:color w:val="auto"/>
        </w:rPr>
        <w:t>半月</w:t>
      </w:r>
      <w:r>
        <w:rPr>
          <w:rFonts w:ascii="宋体" w:hAnsi="宋体" w:cs="宋体" w:hint="eastAsia"/>
          <w:b/>
          <w:color w:val="auto"/>
        </w:rPr>
        <w:t>股、债市场在降息政策的刺激下全线飘红，</w:t>
      </w:r>
      <w:r w:rsidRPr="00155C6F">
        <w:rPr>
          <w:rFonts w:ascii="宋体" w:hAnsi="宋体" w:cs="宋体" w:hint="eastAsia"/>
          <w:b/>
        </w:rPr>
        <w:t>基金</w:t>
      </w:r>
      <w:r>
        <w:rPr>
          <w:rFonts w:ascii="宋体" w:hAnsi="宋体" w:cs="宋体" w:hint="eastAsia"/>
          <w:b/>
        </w:rPr>
        <w:t>发行设立自然也延续了前期的热情。</w:t>
      </w:r>
      <w:r w:rsidRPr="008A6C8C">
        <w:rPr>
          <w:rFonts w:ascii="宋体" w:hAnsi="宋体" w:cs="宋体" w:hint="eastAsia"/>
          <w:b/>
        </w:rPr>
        <w:t>从品种分布上来看，股票市场的回暖直接助力了权益类基金的募集，</w:t>
      </w:r>
      <w:r w:rsidRPr="00D4447F">
        <w:rPr>
          <w:rFonts w:ascii="宋体" w:hAnsi="宋体" w:cs="宋体" w:hint="eastAsia"/>
          <w:b/>
          <w:color w:val="auto"/>
        </w:rPr>
        <w:t>基金公司</w:t>
      </w:r>
      <w:r>
        <w:rPr>
          <w:rFonts w:ascii="宋体" w:hAnsi="宋体" w:cs="宋体" w:hint="eastAsia"/>
          <w:b/>
          <w:color w:val="auto"/>
        </w:rPr>
        <w:t>显然也</w:t>
      </w:r>
      <w:r w:rsidRPr="00D4447F">
        <w:rPr>
          <w:rFonts w:ascii="宋体" w:hAnsi="宋体" w:cs="宋体" w:hint="eastAsia"/>
          <w:b/>
          <w:color w:val="auto"/>
        </w:rPr>
        <w:t>根据市场行情的演变以及投资者的偏好，不约而同地增加了</w:t>
      </w:r>
      <w:r>
        <w:rPr>
          <w:rFonts w:ascii="宋体" w:hAnsi="宋体" w:cs="宋体" w:hint="eastAsia"/>
          <w:b/>
          <w:color w:val="auto"/>
        </w:rPr>
        <w:t>权益类</w:t>
      </w:r>
      <w:r w:rsidRPr="00D4447F">
        <w:rPr>
          <w:rFonts w:ascii="宋体" w:hAnsi="宋体" w:cs="宋体" w:hint="eastAsia"/>
          <w:b/>
          <w:color w:val="auto"/>
        </w:rPr>
        <w:t>基金的发行脚步，</w:t>
      </w:r>
      <w:r w:rsidRPr="008A6C8C">
        <w:rPr>
          <w:rFonts w:ascii="宋体" w:hAnsi="宋体" w:cs="宋体" w:hint="eastAsia"/>
          <w:b/>
        </w:rPr>
        <w:t>不论已经成立还是上报的产品中，</w:t>
      </w:r>
      <w:r>
        <w:rPr>
          <w:rFonts w:ascii="宋体" w:hAnsi="宋体" w:cs="宋体" w:hint="eastAsia"/>
          <w:b/>
        </w:rPr>
        <w:t>均以股票型和混合型为主</w:t>
      </w:r>
      <w:r w:rsidRPr="008A6C8C">
        <w:rPr>
          <w:rFonts w:ascii="宋体" w:hAnsi="宋体" w:cs="宋体" w:hint="eastAsia"/>
          <w:b/>
        </w:rPr>
        <w:t>，</w:t>
      </w:r>
      <w:r>
        <w:rPr>
          <w:rFonts w:ascii="宋体" w:hAnsi="宋体" w:cs="宋体" w:hint="eastAsia"/>
          <w:b/>
        </w:rPr>
        <w:t>其中有多只指数型基金产品，</w:t>
      </w:r>
      <w:r w:rsidRPr="00D4447F">
        <w:rPr>
          <w:rFonts w:ascii="宋体" w:hAnsi="宋体" w:cs="宋体" w:hint="eastAsia"/>
          <w:b/>
          <w:color w:val="auto"/>
        </w:rPr>
        <w:t>覆盖消费、医药、环保、养老、军工、电子、新能源等等领域。</w:t>
      </w:r>
      <w:r w:rsidRPr="008A6C8C">
        <w:rPr>
          <w:rFonts w:ascii="宋体" w:hAnsi="宋体" w:cs="宋体" w:hint="eastAsia"/>
          <w:b/>
        </w:rPr>
        <w:t>当然，对于资金面的宽松预期也利好了整个债</w:t>
      </w:r>
      <w:r>
        <w:rPr>
          <w:rFonts w:ascii="宋体" w:hAnsi="宋体" w:cs="宋体" w:hint="eastAsia"/>
          <w:b/>
        </w:rPr>
        <w:t>券</w:t>
      </w:r>
      <w:r w:rsidRPr="008A6C8C">
        <w:rPr>
          <w:rFonts w:ascii="宋体" w:hAnsi="宋体" w:cs="宋体" w:hint="eastAsia"/>
          <w:b/>
        </w:rPr>
        <w:t>市</w:t>
      </w:r>
      <w:r>
        <w:rPr>
          <w:rFonts w:ascii="宋体" w:hAnsi="宋体" w:cs="宋体" w:hint="eastAsia"/>
          <w:b/>
        </w:rPr>
        <w:t>场</w:t>
      </w:r>
      <w:r w:rsidRPr="008A6C8C">
        <w:rPr>
          <w:rFonts w:ascii="宋体" w:hAnsi="宋体" w:cs="宋体" w:hint="eastAsia"/>
          <w:b/>
        </w:rPr>
        <w:t>，因而债券型基金也较受欢迎。</w:t>
      </w:r>
      <w:r w:rsidRPr="00155C6F">
        <w:rPr>
          <w:b/>
          <w:color w:val="auto"/>
        </w:rPr>
        <w:t xml:space="preserve"> </w:t>
      </w:r>
      <w:r>
        <w:rPr>
          <w:b/>
          <w:color w:val="auto"/>
        </w:rPr>
        <w:t xml:space="preserve"> </w:t>
      </w:r>
    </w:p>
    <w:p w:rsidR="00D5205E" w:rsidRPr="00F820FE" w:rsidRDefault="00D5205E" w:rsidP="00C01486">
      <w:pPr>
        <w:pStyle w:val="BodyText"/>
        <w:numPr>
          <w:ilvl w:val="4"/>
          <w:numId w:val="1"/>
        </w:numPr>
        <w:spacing w:after="163"/>
        <w:rPr>
          <w:b/>
          <w:color w:val="auto"/>
        </w:rPr>
      </w:pPr>
      <w:r w:rsidRPr="00D66666">
        <w:rPr>
          <w:rFonts w:ascii="宋体" w:hAnsi="宋体" w:cs="宋体" w:hint="eastAsia"/>
          <w:b/>
          <w:color w:val="auto"/>
        </w:rPr>
        <w:t>具</w:t>
      </w:r>
      <w:r w:rsidRPr="00101C67">
        <w:rPr>
          <w:rFonts w:ascii="宋体" w:hAnsi="宋体" w:cs="宋体" w:hint="eastAsia"/>
          <w:b/>
          <w:color w:val="auto"/>
        </w:rPr>
        <w:t>体产品方面，</w:t>
      </w:r>
      <w:r>
        <w:rPr>
          <w:rFonts w:ascii="宋体" w:hAnsi="宋体" w:cs="宋体" w:hint="eastAsia"/>
          <w:b/>
          <w:color w:val="auto"/>
        </w:rPr>
        <w:t>从本届政府的改革决心来看，</w:t>
      </w:r>
      <w:r w:rsidRPr="00D4447F">
        <w:rPr>
          <w:rFonts w:ascii="宋体" w:hAnsi="宋体" w:cs="宋体" w:hint="eastAsia"/>
          <w:b/>
          <w:color w:val="auto"/>
        </w:rPr>
        <w:t>富国中证国有企业改革指数分级基金通过指数化投资的方式，将能够较好的持续把握国企改革这一重大事件所引发的投资机会。</w:t>
      </w:r>
      <w:r>
        <w:rPr>
          <w:rFonts w:ascii="楷体" w:eastAsia="楷体" w:hAnsi="楷体" w:hint="eastAsia"/>
          <w:b/>
          <w:color w:val="auto"/>
        </w:rPr>
        <w:t>另外，从央行意外降息所引发的资金面利好来看，</w:t>
      </w:r>
      <w:r w:rsidRPr="00E55FDA">
        <w:rPr>
          <w:rFonts w:ascii="宋体" w:hAnsi="宋体" w:cs="宋体" w:hint="eastAsia"/>
          <w:b/>
          <w:color w:val="auto"/>
        </w:rPr>
        <w:t>上投摩根纯债添利债券型基金的投资价值也将值得关注</w:t>
      </w:r>
      <w:r w:rsidRPr="009E2007">
        <w:rPr>
          <w:rFonts w:ascii="楷体" w:eastAsia="楷体" w:hAnsi="楷体" w:hint="eastAsia"/>
          <w:b/>
          <w:color w:val="auto"/>
        </w:rPr>
        <w:t>。</w:t>
      </w:r>
    </w:p>
    <w:p w:rsidR="00D5205E" w:rsidRPr="00C01486" w:rsidRDefault="00D5205E" w:rsidP="00C01486">
      <w:pPr>
        <w:widowControl/>
        <w:spacing w:after="120" w:line="240" w:lineRule="exact"/>
        <w:ind w:left="3430"/>
        <w:rPr>
          <w:rFonts w:ascii="楷体" w:eastAsia="楷体" w:hAnsi="楷体"/>
          <w:b/>
          <w:bCs/>
          <w:color w:val="0070C0"/>
          <w:kern w:val="0"/>
          <w:sz w:val="24"/>
          <w:szCs w:val="20"/>
          <w:lang w:val="en-GB"/>
        </w:rPr>
      </w:pPr>
      <w:r w:rsidRPr="00C01486">
        <w:rPr>
          <w:rFonts w:ascii="楷体" w:eastAsia="楷体" w:hAnsi="楷体" w:hint="eastAsia"/>
          <w:b/>
          <w:bCs/>
          <w:color w:val="0070C0"/>
          <w:kern w:val="0"/>
          <w:sz w:val="24"/>
          <w:szCs w:val="20"/>
          <w:lang w:val="en-GB"/>
        </w:rPr>
        <w:t>公募基金双周发行概况</w:t>
      </w:r>
    </w:p>
    <w:p w:rsidR="00D5205E" w:rsidRDefault="00D5205E" w:rsidP="00B10000">
      <w:pPr>
        <w:pStyle w:val="BodyText"/>
        <w:numPr>
          <w:ilvl w:val="4"/>
          <w:numId w:val="1"/>
        </w:numPr>
        <w:spacing w:after="163"/>
      </w:pPr>
      <w:r>
        <w:rPr>
          <w:noProof/>
          <w:lang w:val="en-US"/>
        </w:rPr>
        <w:pict>
          <v:shapetype id="_x0000_t202" coordsize="21600,21600" o:spt="202" path="m,l,21600r21600,l21600,xe">
            <v:stroke joinstyle="miter"/>
            <v:path gradientshapeok="t" o:connecttype="rect"/>
          </v:shapetype>
          <v:shape id="_x0000_s1035" type="#_x0000_t202" style="position:absolute;left:0;text-align:left;margin-left:0;margin-top:88.95pt;width:148.5pt;height:275.6pt;z-index:251658240" strokecolor="white" strokeweight="0">
            <v:stroke dashstyle="1 1" endcap="round"/>
            <v:textbox style="mso-next-textbox:#_x0000_s1035">
              <w:txbxContent>
                <w:p w:rsidR="00D5205E" w:rsidRPr="00635482" w:rsidRDefault="00D5205E" w:rsidP="00DD687B">
                  <w:pPr>
                    <w:rPr>
                      <w:rFonts w:ascii="楷体" w:eastAsia="楷体" w:hAnsi="楷体"/>
                      <w:b/>
                      <w:lang w:val="en-GB"/>
                    </w:rPr>
                  </w:pPr>
                  <w:r w:rsidRPr="00635482">
                    <w:rPr>
                      <w:rFonts w:ascii="楷体" w:eastAsia="楷体" w:hAnsi="楷体" w:hint="eastAsia"/>
                      <w:b/>
                    </w:rPr>
                    <w:t>凯石工场移动平台</w:t>
                  </w:r>
                  <w:r w:rsidRPr="00635482">
                    <w:rPr>
                      <w:rFonts w:ascii="楷体" w:eastAsia="楷体" w:hAnsi="楷体" w:hint="eastAsia"/>
                      <w:b/>
                      <w:lang w:val="en-GB"/>
                    </w:rPr>
                    <w:t>：</w:t>
                  </w:r>
                </w:p>
                <w:p w:rsidR="00D5205E" w:rsidRPr="00635482" w:rsidRDefault="00D5205E" w:rsidP="00DD687B">
                  <w:pPr>
                    <w:rPr>
                      <w:rFonts w:ascii="楷体" w:eastAsia="楷体" w:hAnsi="楷体"/>
                      <w:lang w:val="en-GB"/>
                    </w:rPr>
                  </w:pPr>
                </w:p>
                <w:p w:rsidR="00D5205E" w:rsidRPr="00635482" w:rsidRDefault="00D5205E" w:rsidP="00DD687B">
                  <w:r w:rsidRPr="00635482">
                    <w:rPr>
                      <w:rFonts w:ascii="楷体" w:eastAsia="楷体" w:hAnsi="楷体" w:hint="eastAsia"/>
                      <w:lang w:val="en-GB"/>
                    </w:rPr>
                    <w:t>官方微博：</w:t>
                  </w:r>
                </w:p>
                <w:p w:rsidR="00D5205E" w:rsidRPr="00635482" w:rsidRDefault="00D5205E" w:rsidP="00DD687B">
                  <w:pPr>
                    <w:rPr>
                      <w:rFonts w:ascii="楷体" w:eastAsia="楷体" w:hAnsi="楷体"/>
                      <w:lang w:val="en-GB"/>
                    </w:rPr>
                  </w:pPr>
                  <w:r w:rsidRPr="00635482">
                    <w:rPr>
                      <w:rFonts w:ascii="楷体" w:eastAsia="楷体" w:hAnsi="楷体" w:hint="eastAsia"/>
                      <w:lang w:val="en-GB"/>
                    </w:rPr>
                    <w:t>凯石财富工场</w:t>
                  </w:r>
                </w:p>
                <w:p w:rsidR="00D5205E" w:rsidRDefault="00D5205E" w:rsidP="00DD687B">
                  <w:r w:rsidRPr="0080324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43" type="#_x0000_t75" alt="66.jpg" style="width:73.5pt;height:73.5pt;visibility:visible">
                        <v:imagedata r:id="rId7" o:title=""/>
                      </v:shape>
                    </w:pict>
                  </w:r>
                </w:p>
                <w:p w:rsidR="00D5205E" w:rsidRDefault="00D5205E" w:rsidP="00DD687B">
                  <w:pPr>
                    <w:rPr>
                      <w:rFonts w:ascii="楷体" w:eastAsia="楷体" w:hAnsi="楷体"/>
                      <w:b/>
                      <w:lang w:val="en-GB"/>
                    </w:rPr>
                  </w:pPr>
                </w:p>
                <w:p w:rsidR="00D5205E" w:rsidRPr="00635482" w:rsidRDefault="00D5205E" w:rsidP="00DD687B">
                  <w:pPr>
                    <w:rPr>
                      <w:rFonts w:ascii="楷体" w:eastAsia="楷体" w:hAnsi="楷体"/>
                      <w:lang w:val="en-GB"/>
                    </w:rPr>
                  </w:pPr>
                  <w:r w:rsidRPr="00635482">
                    <w:rPr>
                      <w:rFonts w:ascii="楷体" w:eastAsia="楷体" w:hAnsi="楷体" w:hint="eastAsia"/>
                      <w:lang w:val="en-GB"/>
                    </w:rPr>
                    <w:t>官方微信：</w:t>
                  </w:r>
                </w:p>
                <w:p w:rsidR="00D5205E" w:rsidRPr="00635482" w:rsidRDefault="00D5205E" w:rsidP="00DD687B">
                  <w:pPr>
                    <w:rPr>
                      <w:rFonts w:ascii="楷体" w:eastAsia="楷体" w:hAnsi="楷体"/>
                      <w:lang w:val="en-GB"/>
                    </w:rPr>
                  </w:pPr>
                  <w:r w:rsidRPr="00635482">
                    <w:rPr>
                      <w:rFonts w:ascii="楷体" w:eastAsia="楷体" w:hAnsi="楷体" w:hint="eastAsia"/>
                      <w:lang w:val="en-GB"/>
                    </w:rPr>
                    <w:t>凯石财富知音订阅号</w:t>
                  </w:r>
                </w:p>
                <w:p w:rsidR="00D5205E" w:rsidRDefault="00D5205E" w:rsidP="00DD687B">
                  <w:r w:rsidRPr="00056432">
                    <w:rPr>
                      <w:rFonts w:ascii="楷体" w:eastAsia="楷体" w:hAnsi="楷体"/>
                      <w:b/>
                      <w:noProof/>
                    </w:rPr>
                    <w:pict>
                      <v:shape id="图片 7" o:spid="_x0000_i1044" type="#_x0000_t75" alt="凯石财富知音订阅号3.jpg" style="width:75pt;height:75pt;visibility:visible">
                        <v:imagedata r:id="rId8" o:title=""/>
                      </v:shape>
                    </w:pict>
                  </w:r>
                </w:p>
              </w:txbxContent>
            </v:textbox>
          </v:shape>
        </w:pict>
      </w:r>
      <w:r w:rsidRPr="00CE42E6">
        <w:t>2014</w:t>
      </w:r>
      <w:r w:rsidRPr="00CE42E6">
        <w:rPr>
          <w:rFonts w:ascii="宋体" w:hAnsi="宋体" w:cs="宋体" w:hint="eastAsia"/>
        </w:rPr>
        <w:t>年</w:t>
      </w:r>
      <w:r>
        <w:t>11</w:t>
      </w:r>
      <w:r>
        <w:rPr>
          <w:rFonts w:ascii="宋体" w:hAnsi="宋体" w:cs="宋体" w:hint="eastAsia"/>
        </w:rPr>
        <w:t>月下</w:t>
      </w:r>
      <w:r w:rsidRPr="00CE42E6">
        <w:rPr>
          <w:rFonts w:ascii="宋体" w:hAnsi="宋体" w:cs="宋体" w:hint="eastAsia"/>
        </w:rPr>
        <w:t>半月（</w:t>
      </w:r>
      <w:r w:rsidRPr="00CE42E6">
        <w:t>2014.</w:t>
      </w:r>
      <w:r>
        <w:t>11</w:t>
      </w:r>
      <w:r w:rsidRPr="00CE42E6">
        <w:t>.1</w:t>
      </w:r>
      <w:r>
        <w:t>6</w:t>
      </w:r>
      <w:r w:rsidRPr="00CE42E6">
        <w:rPr>
          <w:rFonts w:ascii="宋体" w:hAnsi="宋体" w:cs="宋体" w:hint="eastAsia"/>
        </w:rPr>
        <w:t>至</w:t>
      </w:r>
      <w:r w:rsidRPr="00CE42E6">
        <w:t>2014.</w:t>
      </w:r>
      <w:r>
        <w:t>11.30</w:t>
      </w:r>
      <w:r w:rsidRPr="00CE42E6">
        <w:rPr>
          <w:rFonts w:ascii="宋体" w:hAnsi="宋体" w:cs="宋体" w:hint="eastAsia"/>
        </w:rPr>
        <w:t>）</w:t>
      </w:r>
      <w:r>
        <w:t>A</w:t>
      </w:r>
      <w:r>
        <w:rPr>
          <w:rFonts w:ascii="宋体" w:hAnsi="宋体" w:cs="宋体" w:hint="eastAsia"/>
        </w:rPr>
        <w:t>股市场在降息所带来的宽松预期之下几乎单边上行，其中，沪深</w:t>
      </w:r>
      <w:r>
        <w:t>300</w:t>
      </w:r>
      <w:r>
        <w:rPr>
          <w:rFonts w:ascii="宋体" w:hAnsi="宋体" w:cs="宋体" w:hint="eastAsia"/>
        </w:rPr>
        <w:t>指数期间上涨</w:t>
      </w:r>
      <w:r>
        <w:t>8.82%</w:t>
      </w:r>
      <w:r>
        <w:rPr>
          <w:rFonts w:ascii="宋体" w:hAnsi="宋体" w:cs="宋体" w:hint="eastAsia"/>
        </w:rPr>
        <w:t>，中证</w:t>
      </w:r>
      <w:r>
        <w:t>500</w:t>
      </w:r>
      <w:r>
        <w:rPr>
          <w:rFonts w:ascii="宋体" w:hAnsi="宋体" w:cs="宋体" w:hint="eastAsia"/>
        </w:rPr>
        <w:t>指数上涨</w:t>
      </w:r>
      <w:r>
        <w:t>6.84%</w:t>
      </w:r>
      <w:r>
        <w:rPr>
          <w:rFonts w:ascii="宋体" w:hAnsi="宋体" w:cs="宋体" w:hint="eastAsia"/>
        </w:rPr>
        <w:t>。</w:t>
      </w:r>
      <w:r w:rsidRPr="006577CF">
        <w:rPr>
          <w:rFonts w:ascii="宋体" w:hAnsi="宋体" w:cs="宋体" w:hint="eastAsia"/>
        </w:rPr>
        <w:t>基金发行设立市场方面，</w:t>
      </w:r>
      <w:r>
        <w:rPr>
          <w:rFonts w:ascii="宋体" w:hAnsi="宋体" w:cs="宋体" w:hint="eastAsia"/>
        </w:rPr>
        <w:t>情绪依旧火热</w:t>
      </w:r>
      <w:r w:rsidRPr="006577CF">
        <w:rPr>
          <w:rFonts w:ascii="宋体" w:hAnsi="宋体" w:cs="宋体" w:hint="eastAsia"/>
        </w:rPr>
        <w:t>，</w:t>
      </w:r>
      <w:r>
        <w:rPr>
          <w:rFonts w:ascii="宋体" w:hAnsi="宋体" w:cs="宋体" w:hint="eastAsia"/>
        </w:rPr>
        <w:t>上一期中在发的基金大多数都完成了募集并设立，使得新成立产品数量显著增加</w:t>
      </w:r>
      <w:r w:rsidRPr="006577CF">
        <w:rPr>
          <w:rFonts w:ascii="宋体" w:hAnsi="宋体" w:cs="宋体" w:hint="eastAsia"/>
        </w:rPr>
        <w:t>。</w:t>
      </w:r>
      <w:r w:rsidRPr="009179FA">
        <w:rPr>
          <w:rFonts w:ascii="宋体" w:hAnsi="宋体" w:cs="宋体" w:hint="eastAsia"/>
        </w:rPr>
        <w:t>从品种分布上来看，</w:t>
      </w:r>
      <w:r>
        <w:rPr>
          <w:rFonts w:ascii="宋体" w:hAnsi="宋体" w:cs="宋体" w:hint="eastAsia"/>
        </w:rPr>
        <w:t>股票市场的回暖直接助力了权益类基金的募集，不论已经成立还是上报的产品中，均以股票型和混合型为主导，当然，对于资金面的宽松预期也利好了整个债市，因而债券型基金也较受欢迎。</w:t>
      </w:r>
    </w:p>
    <w:p w:rsidR="00D5205E" w:rsidRDefault="00D5205E" w:rsidP="00507CBF">
      <w:pPr>
        <w:pStyle w:val="BodyText"/>
        <w:numPr>
          <w:ilvl w:val="5"/>
          <w:numId w:val="2"/>
        </w:numPr>
        <w:spacing w:after="163"/>
        <w:ind w:left="4140" w:hanging="369"/>
        <w:rPr>
          <w:color w:val="auto"/>
        </w:rPr>
      </w:pPr>
      <w:r w:rsidRPr="004A5E8A">
        <w:rPr>
          <w:rFonts w:ascii="宋体" w:hAnsi="宋体" w:cs="宋体" w:hint="eastAsia"/>
          <w:color w:val="auto"/>
        </w:rPr>
        <w:t>截止</w:t>
      </w:r>
      <w:r>
        <w:rPr>
          <w:color w:val="auto"/>
        </w:rPr>
        <w:t>12</w:t>
      </w:r>
      <w:r w:rsidRPr="004A5E8A">
        <w:rPr>
          <w:rFonts w:ascii="宋体" w:hAnsi="宋体" w:cs="宋体" w:hint="eastAsia"/>
          <w:color w:val="auto"/>
        </w:rPr>
        <w:t>月</w:t>
      </w:r>
      <w:r>
        <w:rPr>
          <w:color w:val="auto"/>
        </w:rPr>
        <w:t>1</w:t>
      </w:r>
      <w:r w:rsidRPr="004A5E8A">
        <w:rPr>
          <w:rFonts w:ascii="宋体" w:hAnsi="宋体" w:cs="宋体" w:hint="eastAsia"/>
          <w:color w:val="auto"/>
        </w:rPr>
        <w:t>日，共有</w:t>
      </w:r>
      <w:r>
        <w:rPr>
          <w:color w:val="auto"/>
        </w:rPr>
        <w:t>20</w:t>
      </w:r>
      <w:r w:rsidRPr="004A5E8A">
        <w:rPr>
          <w:rFonts w:ascii="宋体" w:hAnsi="宋体" w:cs="宋体" w:hint="eastAsia"/>
          <w:color w:val="auto"/>
        </w:rPr>
        <w:t>只产品正在发行，</w:t>
      </w:r>
      <w:r>
        <w:rPr>
          <w:rFonts w:ascii="宋体" w:hAnsi="宋体" w:cs="宋体" w:hint="eastAsia"/>
          <w:color w:val="auto"/>
        </w:rPr>
        <w:t>具体来看，在发产品中共有</w:t>
      </w:r>
      <w:r w:rsidRPr="004A5E8A">
        <w:rPr>
          <w:rFonts w:ascii="宋体" w:hAnsi="宋体" w:cs="宋体" w:hint="eastAsia"/>
          <w:color w:val="auto"/>
        </w:rPr>
        <w:t>股票型基金</w:t>
      </w:r>
      <w:r>
        <w:rPr>
          <w:color w:val="auto"/>
        </w:rPr>
        <w:t>5</w:t>
      </w:r>
      <w:r w:rsidRPr="004A5E8A">
        <w:rPr>
          <w:rFonts w:ascii="宋体" w:hAnsi="宋体" w:cs="宋体" w:hint="eastAsia"/>
          <w:color w:val="auto"/>
        </w:rPr>
        <w:t>只、混合型基金</w:t>
      </w:r>
      <w:r>
        <w:rPr>
          <w:color w:val="auto"/>
        </w:rPr>
        <w:t>6</w:t>
      </w:r>
      <w:r w:rsidRPr="004A5E8A">
        <w:rPr>
          <w:rFonts w:ascii="宋体" w:hAnsi="宋体" w:cs="宋体" w:hint="eastAsia"/>
          <w:color w:val="auto"/>
        </w:rPr>
        <w:t>只</w:t>
      </w:r>
      <w:r>
        <w:rPr>
          <w:rFonts w:ascii="宋体" w:hAnsi="宋体" w:cs="宋体" w:hint="eastAsia"/>
          <w:color w:val="auto"/>
        </w:rPr>
        <w:t>、</w:t>
      </w:r>
      <w:r w:rsidRPr="004A5E8A">
        <w:rPr>
          <w:rFonts w:ascii="宋体" w:hAnsi="宋体" w:cs="宋体" w:hint="eastAsia"/>
          <w:color w:val="auto"/>
        </w:rPr>
        <w:t>债券型基金</w:t>
      </w:r>
      <w:r>
        <w:rPr>
          <w:color w:val="auto"/>
        </w:rPr>
        <w:t>6</w:t>
      </w:r>
      <w:r w:rsidRPr="004A5E8A">
        <w:rPr>
          <w:rFonts w:ascii="宋体" w:hAnsi="宋体" w:cs="宋体" w:hint="eastAsia"/>
          <w:color w:val="auto"/>
        </w:rPr>
        <w:t>只</w:t>
      </w:r>
      <w:r>
        <w:rPr>
          <w:rFonts w:ascii="宋体" w:hAnsi="宋体" w:cs="宋体" w:hint="eastAsia"/>
          <w:color w:val="auto"/>
        </w:rPr>
        <w:t>、货币市场基金</w:t>
      </w:r>
      <w:r>
        <w:rPr>
          <w:color w:val="auto"/>
        </w:rPr>
        <w:t>3</w:t>
      </w:r>
      <w:r>
        <w:rPr>
          <w:rFonts w:ascii="宋体" w:hAnsi="宋体" w:cs="宋体" w:hint="eastAsia"/>
          <w:color w:val="auto"/>
        </w:rPr>
        <w:t>只</w:t>
      </w:r>
      <w:r w:rsidRPr="004A5E8A">
        <w:rPr>
          <w:rFonts w:ascii="宋体" w:hAnsi="宋体" w:cs="宋体" w:hint="eastAsia"/>
          <w:color w:val="auto"/>
        </w:rPr>
        <w:t>，具体可参见图表</w:t>
      </w:r>
      <w:r w:rsidRPr="004A5E8A">
        <w:rPr>
          <w:color w:val="auto"/>
        </w:rPr>
        <w:t>1</w:t>
      </w:r>
      <w:r w:rsidRPr="004A5E8A">
        <w:rPr>
          <w:rFonts w:ascii="宋体" w:hAnsi="宋体" w:cs="宋体" w:hint="eastAsia"/>
          <w:color w:val="auto"/>
        </w:rPr>
        <w:t>。</w:t>
      </w:r>
      <w:r>
        <w:rPr>
          <w:rFonts w:ascii="宋体" w:hAnsi="宋体" w:cs="宋体" w:hint="eastAsia"/>
          <w:color w:val="auto"/>
        </w:rPr>
        <w:t>从品种上来看，股票型、混合型、债券型基金分布比较均衡，受益于降息所引发的货币政策转向宽松的预期，这三类基金受到了普遍欢迎，但与此同时，资金利率的下行趋势使得货币市场基金的关注度出现了明显下降</w:t>
      </w:r>
      <w:r w:rsidRPr="00E34071">
        <w:rPr>
          <w:rFonts w:ascii="宋体" w:hAnsi="宋体" w:cs="宋体" w:hint="eastAsia"/>
          <w:color w:val="auto"/>
        </w:rPr>
        <w:t>。</w:t>
      </w:r>
    </w:p>
    <w:p w:rsidR="00D5205E" w:rsidRDefault="00D5205E" w:rsidP="00E17408">
      <w:pPr>
        <w:pStyle w:val="BodyText"/>
        <w:numPr>
          <w:ilvl w:val="5"/>
          <w:numId w:val="2"/>
        </w:numPr>
        <w:spacing w:after="163"/>
        <w:ind w:left="4140" w:hanging="369"/>
        <w:rPr>
          <w:color w:val="auto"/>
        </w:rPr>
      </w:pPr>
      <w:r w:rsidRPr="00EA040B">
        <w:rPr>
          <w:rFonts w:ascii="宋体" w:hAnsi="宋体" w:cs="宋体" w:hint="eastAsia"/>
          <w:color w:val="auto"/>
        </w:rPr>
        <w:t>新成立的产品方面，</w:t>
      </w:r>
      <w:r>
        <w:rPr>
          <w:color w:val="auto"/>
        </w:rPr>
        <w:t>11</w:t>
      </w:r>
      <w:r w:rsidRPr="00EA040B">
        <w:rPr>
          <w:rFonts w:ascii="宋体" w:hAnsi="宋体" w:cs="宋体" w:hint="eastAsia"/>
          <w:color w:val="auto"/>
        </w:rPr>
        <w:t>月</w:t>
      </w:r>
      <w:r>
        <w:rPr>
          <w:rFonts w:ascii="宋体" w:hAnsi="宋体" w:cs="宋体" w:hint="eastAsia"/>
          <w:color w:val="auto"/>
        </w:rPr>
        <w:t>下半月共</w:t>
      </w:r>
      <w:r>
        <w:rPr>
          <w:color w:val="auto"/>
        </w:rPr>
        <w:t>22</w:t>
      </w:r>
      <w:r w:rsidRPr="00EA040B">
        <w:rPr>
          <w:rFonts w:ascii="宋体" w:hAnsi="宋体" w:cs="宋体" w:hint="eastAsia"/>
          <w:color w:val="auto"/>
        </w:rPr>
        <w:t>只基金完成募集并设立，</w:t>
      </w:r>
      <w:r>
        <w:rPr>
          <w:rFonts w:ascii="宋体" w:hAnsi="宋体" w:cs="宋体" w:hint="eastAsia"/>
          <w:color w:val="auto"/>
        </w:rPr>
        <w:t>较前一期显著增加。</w:t>
      </w:r>
      <w:r w:rsidRPr="00EA040B">
        <w:rPr>
          <w:rFonts w:ascii="宋体" w:hAnsi="宋体" w:cs="宋体" w:hint="eastAsia"/>
          <w:color w:val="auto"/>
        </w:rPr>
        <w:t>其中股票型基金</w:t>
      </w:r>
      <w:r>
        <w:rPr>
          <w:color w:val="auto"/>
        </w:rPr>
        <w:t>7</w:t>
      </w:r>
      <w:r w:rsidRPr="00EA040B">
        <w:rPr>
          <w:rFonts w:ascii="宋体" w:hAnsi="宋体" w:cs="宋体" w:hint="eastAsia"/>
          <w:color w:val="auto"/>
        </w:rPr>
        <w:t>只，募资规模</w:t>
      </w:r>
      <w:r>
        <w:rPr>
          <w:color w:val="auto"/>
        </w:rPr>
        <w:t>58.48</w:t>
      </w:r>
      <w:r w:rsidRPr="00EA040B">
        <w:rPr>
          <w:rFonts w:ascii="宋体" w:hAnsi="宋体" w:cs="宋体" w:hint="eastAsia"/>
          <w:color w:val="auto"/>
        </w:rPr>
        <w:t>亿元</w:t>
      </w:r>
      <w:r>
        <w:rPr>
          <w:rFonts w:ascii="宋体" w:hAnsi="宋体" w:cs="宋体" w:hint="eastAsia"/>
          <w:color w:val="auto"/>
        </w:rPr>
        <w:t>，平均单只募资</w:t>
      </w:r>
      <w:r>
        <w:rPr>
          <w:color w:val="auto"/>
        </w:rPr>
        <w:t>8.35</w:t>
      </w:r>
      <w:r>
        <w:rPr>
          <w:rFonts w:ascii="宋体" w:hAnsi="宋体" w:cs="宋体" w:hint="eastAsia"/>
          <w:color w:val="auto"/>
        </w:rPr>
        <w:t>亿元</w:t>
      </w:r>
      <w:r w:rsidRPr="00EA040B">
        <w:rPr>
          <w:rFonts w:ascii="宋体" w:hAnsi="宋体" w:cs="宋体" w:hint="eastAsia"/>
          <w:color w:val="auto"/>
        </w:rPr>
        <w:t>；混合型基金</w:t>
      </w:r>
      <w:r>
        <w:rPr>
          <w:color w:val="auto"/>
        </w:rPr>
        <w:t>6</w:t>
      </w:r>
      <w:r>
        <w:rPr>
          <w:rFonts w:ascii="宋体" w:hAnsi="宋体" w:cs="宋体" w:hint="eastAsia"/>
          <w:color w:val="auto"/>
        </w:rPr>
        <w:t>只，</w:t>
      </w:r>
      <w:r w:rsidRPr="00EA040B">
        <w:rPr>
          <w:rFonts w:ascii="宋体" w:hAnsi="宋体" w:cs="宋体" w:hint="eastAsia"/>
          <w:color w:val="auto"/>
        </w:rPr>
        <w:t>募资规模</w:t>
      </w:r>
      <w:r>
        <w:rPr>
          <w:color w:val="auto"/>
        </w:rPr>
        <w:t>52.83</w:t>
      </w:r>
      <w:r>
        <w:rPr>
          <w:rFonts w:ascii="宋体" w:hAnsi="宋体" w:cs="宋体" w:hint="eastAsia"/>
          <w:color w:val="auto"/>
        </w:rPr>
        <w:t>亿元，平均单只募资</w:t>
      </w:r>
      <w:r>
        <w:rPr>
          <w:color w:val="auto"/>
        </w:rPr>
        <w:t>8.80</w:t>
      </w:r>
      <w:r>
        <w:rPr>
          <w:rFonts w:ascii="宋体" w:hAnsi="宋体" w:cs="宋体" w:hint="eastAsia"/>
          <w:color w:val="auto"/>
        </w:rPr>
        <w:t>亿元</w:t>
      </w:r>
      <w:r w:rsidRPr="00EA040B">
        <w:rPr>
          <w:rFonts w:ascii="宋体" w:hAnsi="宋体" w:cs="宋体" w:hint="eastAsia"/>
          <w:color w:val="auto"/>
        </w:rPr>
        <w:t>；债券型基金</w:t>
      </w:r>
      <w:r>
        <w:rPr>
          <w:color w:val="auto"/>
        </w:rPr>
        <w:t>2</w:t>
      </w:r>
      <w:r w:rsidRPr="00EA040B">
        <w:rPr>
          <w:rFonts w:ascii="宋体" w:hAnsi="宋体" w:cs="宋体" w:hint="eastAsia"/>
          <w:color w:val="auto"/>
        </w:rPr>
        <w:t>只，募得资金</w:t>
      </w:r>
      <w:r>
        <w:rPr>
          <w:color w:val="auto"/>
        </w:rPr>
        <w:t>20.95</w:t>
      </w:r>
      <w:r w:rsidRPr="00EA040B">
        <w:rPr>
          <w:rFonts w:ascii="宋体" w:hAnsi="宋体" w:cs="宋体" w:hint="eastAsia"/>
          <w:color w:val="auto"/>
        </w:rPr>
        <w:t>亿元</w:t>
      </w:r>
      <w:r>
        <w:rPr>
          <w:rFonts w:ascii="宋体" w:hAnsi="宋体" w:cs="宋体" w:hint="eastAsia"/>
          <w:color w:val="auto"/>
        </w:rPr>
        <w:t>，平均单只募资</w:t>
      </w:r>
      <w:r>
        <w:rPr>
          <w:color w:val="auto"/>
        </w:rPr>
        <w:t>10.47</w:t>
      </w:r>
      <w:r>
        <w:rPr>
          <w:rFonts w:ascii="宋体" w:hAnsi="宋体" w:cs="宋体" w:hint="eastAsia"/>
          <w:color w:val="auto"/>
        </w:rPr>
        <w:t>亿元；货币市场基金</w:t>
      </w:r>
      <w:r>
        <w:rPr>
          <w:color w:val="auto"/>
        </w:rPr>
        <w:t>7</w:t>
      </w:r>
      <w:r>
        <w:rPr>
          <w:rFonts w:ascii="宋体" w:hAnsi="宋体" w:cs="宋体" w:hint="eastAsia"/>
          <w:color w:val="auto"/>
        </w:rPr>
        <w:t>只，</w:t>
      </w:r>
      <w:r w:rsidRPr="00EA040B">
        <w:rPr>
          <w:rFonts w:ascii="宋体" w:hAnsi="宋体" w:cs="宋体" w:hint="eastAsia"/>
          <w:color w:val="auto"/>
        </w:rPr>
        <w:t>募得资金</w:t>
      </w:r>
      <w:r>
        <w:rPr>
          <w:color w:val="auto"/>
        </w:rPr>
        <w:t>35.44</w:t>
      </w:r>
      <w:r w:rsidRPr="00EA040B">
        <w:rPr>
          <w:rFonts w:ascii="宋体" w:hAnsi="宋体" w:cs="宋体" w:hint="eastAsia"/>
          <w:color w:val="auto"/>
        </w:rPr>
        <w:t>亿元</w:t>
      </w:r>
      <w:r>
        <w:rPr>
          <w:rFonts w:ascii="宋体" w:hAnsi="宋体" w:cs="宋体" w:hint="eastAsia"/>
          <w:color w:val="auto"/>
        </w:rPr>
        <w:t>，平均单只募资</w:t>
      </w:r>
      <w:r>
        <w:rPr>
          <w:color w:val="auto"/>
        </w:rPr>
        <w:t>5.06</w:t>
      </w:r>
      <w:r>
        <w:rPr>
          <w:rFonts w:ascii="宋体" w:hAnsi="宋体" w:cs="宋体" w:hint="eastAsia"/>
          <w:color w:val="auto"/>
        </w:rPr>
        <w:t>亿元</w:t>
      </w:r>
      <w:r w:rsidRPr="00EA040B">
        <w:rPr>
          <w:rFonts w:ascii="宋体" w:hAnsi="宋体" w:cs="宋体" w:hint="eastAsia"/>
          <w:color w:val="auto"/>
        </w:rPr>
        <w:t>。</w:t>
      </w:r>
      <w:r w:rsidRPr="00B84505">
        <w:rPr>
          <w:rFonts w:ascii="宋体" w:hAnsi="宋体" w:cs="宋体" w:hint="eastAsia"/>
          <w:color w:val="auto"/>
        </w:rPr>
        <w:t>从募集规模来看，</w:t>
      </w:r>
      <w:r>
        <w:rPr>
          <w:rFonts w:ascii="宋体" w:hAnsi="宋体" w:cs="宋体" w:hint="eastAsia"/>
          <w:color w:val="auto"/>
        </w:rPr>
        <w:t>随着本轮股票市场阶段行情的到来，投资者对于权益类基金品种的需求明显加大，不论是设立数量还是募集规模均领先其他类型品种。</w:t>
      </w:r>
    </w:p>
    <w:p w:rsidR="00D5205E" w:rsidRPr="00FD4C6A" w:rsidRDefault="00D5205E" w:rsidP="00054A45">
      <w:pPr>
        <w:pStyle w:val="BodyText"/>
        <w:numPr>
          <w:ilvl w:val="5"/>
          <w:numId w:val="2"/>
        </w:numPr>
        <w:spacing w:after="163"/>
        <w:ind w:left="4140" w:hanging="369"/>
        <w:rPr>
          <w:color w:val="auto"/>
        </w:rPr>
      </w:pPr>
      <w:r w:rsidRPr="00FD4C6A">
        <w:rPr>
          <w:rFonts w:ascii="宋体" w:hAnsi="宋体" w:cs="宋体" w:hint="eastAsia"/>
          <w:color w:val="auto"/>
        </w:rPr>
        <w:t>另外，据财汇数据库统计显示，</w:t>
      </w:r>
      <w:r w:rsidRPr="00FD4C6A">
        <w:rPr>
          <w:color w:val="auto"/>
        </w:rPr>
        <w:t>1</w:t>
      </w:r>
      <w:r>
        <w:rPr>
          <w:color w:val="auto"/>
        </w:rPr>
        <w:t>1</w:t>
      </w:r>
      <w:r>
        <w:rPr>
          <w:rFonts w:ascii="宋体" w:hAnsi="宋体" w:cs="宋体" w:hint="eastAsia"/>
          <w:color w:val="auto"/>
        </w:rPr>
        <w:t>月下</w:t>
      </w:r>
      <w:r w:rsidRPr="00FD4C6A">
        <w:rPr>
          <w:rFonts w:ascii="宋体" w:hAnsi="宋体" w:cs="宋体" w:hint="eastAsia"/>
          <w:color w:val="auto"/>
        </w:rPr>
        <w:t>半月公告前期递交申请材料的共</w:t>
      </w:r>
      <w:r>
        <w:rPr>
          <w:color w:val="auto"/>
        </w:rPr>
        <w:t>20</w:t>
      </w:r>
      <w:r w:rsidRPr="00FD4C6A">
        <w:rPr>
          <w:rFonts w:ascii="宋体" w:hAnsi="宋体" w:cs="宋体" w:hint="eastAsia"/>
          <w:color w:val="auto"/>
        </w:rPr>
        <w:t>只基金产品获得受理，</w:t>
      </w:r>
      <w:r>
        <w:rPr>
          <w:rFonts w:ascii="宋体" w:hAnsi="宋体" w:cs="宋体" w:hint="eastAsia"/>
          <w:color w:val="auto"/>
        </w:rPr>
        <w:t>权益类品种占据绝对数量优势</w:t>
      </w:r>
      <w:r w:rsidRPr="00FD4C6A">
        <w:rPr>
          <w:rFonts w:ascii="宋体" w:hAnsi="宋体" w:cs="宋体" w:hint="eastAsia"/>
          <w:color w:val="auto"/>
        </w:rPr>
        <w:t>。从类型分布上来看，股票型</w:t>
      </w:r>
      <w:r>
        <w:rPr>
          <w:color w:val="auto"/>
        </w:rPr>
        <w:t>11</w:t>
      </w:r>
      <w:r w:rsidRPr="00FD4C6A">
        <w:rPr>
          <w:rFonts w:ascii="宋体" w:hAnsi="宋体" w:cs="宋体" w:hint="eastAsia"/>
          <w:color w:val="auto"/>
        </w:rPr>
        <w:t>只、混合型</w:t>
      </w:r>
      <w:r w:rsidRPr="00FD4C6A">
        <w:rPr>
          <w:color w:val="auto"/>
        </w:rPr>
        <w:t>2</w:t>
      </w:r>
      <w:r w:rsidRPr="00FD4C6A">
        <w:rPr>
          <w:rFonts w:ascii="宋体" w:hAnsi="宋体" w:cs="宋体" w:hint="eastAsia"/>
          <w:color w:val="auto"/>
        </w:rPr>
        <w:t>只、</w:t>
      </w:r>
      <w:r>
        <w:rPr>
          <w:color w:val="auto"/>
        </w:rPr>
        <w:t>QDII</w:t>
      </w:r>
      <w:r>
        <w:rPr>
          <w:rFonts w:ascii="宋体" w:hAnsi="宋体" w:cs="宋体" w:hint="eastAsia"/>
          <w:color w:val="auto"/>
        </w:rPr>
        <w:t>基金</w:t>
      </w:r>
      <w:r>
        <w:rPr>
          <w:color w:val="auto"/>
        </w:rPr>
        <w:t>1</w:t>
      </w:r>
      <w:r>
        <w:rPr>
          <w:rFonts w:ascii="宋体" w:hAnsi="宋体" w:cs="宋体" w:hint="eastAsia"/>
          <w:color w:val="auto"/>
        </w:rPr>
        <w:t>只、</w:t>
      </w:r>
      <w:r w:rsidRPr="00FD4C6A">
        <w:rPr>
          <w:rFonts w:ascii="宋体" w:hAnsi="宋体" w:cs="宋体" w:hint="eastAsia"/>
          <w:color w:val="auto"/>
        </w:rPr>
        <w:t>债券型</w:t>
      </w:r>
      <w:r>
        <w:rPr>
          <w:color w:val="auto"/>
        </w:rPr>
        <w:t>4</w:t>
      </w:r>
      <w:r w:rsidRPr="00FD4C6A">
        <w:rPr>
          <w:rFonts w:ascii="宋体" w:hAnsi="宋体" w:cs="宋体" w:hint="eastAsia"/>
          <w:color w:val="auto"/>
        </w:rPr>
        <w:t>只，货币市场基金</w:t>
      </w:r>
      <w:r>
        <w:rPr>
          <w:color w:val="auto"/>
        </w:rPr>
        <w:t>2</w:t>
      </w:r>
      <w:r w:rsidRPr="00FD4C6A">
        <w:rPr>
          <w:rFonts w:ascii="宋体" w:hAnsi="宋体" w:cs="宋体" w:hint="eastAsia"/>
          <w:color w:val="auto"/>
        </w:rPr>
        <w:t>只。</w:t>
      </w:r>
      <w:r>
        <w:rPr>
          <w:rFonts w:ascii="宋体" w:hAnsi="宋体" w:cs="宋体" w:hint="eastAsia"/>
          <w:color w:val="auto"/>
        </w:rPr>
        <w:t>与产品募集相比，权益类品种的优势更加明显</w:t>
      </w:r>
      <w:r w:rsidRPr="00932AB9">
        <w:rPr>
          <w:rFonts w:ascii="宋体" w:hAnsi="宋体" w:cs="宋体" w:hint="eastAsia"/>
          <w:color w:val="auto"/>
        </w:rPr>
        <w:t>，</w:t>
      </w:r>
      <w:r>
        <w:rPr>
          <w:rFonts w:ascii="宋体" w:hAnsi="宋体" w:cs="宋体" w:hint="eastAsia"/>
          <w:color w:val="auto"/>
        </w:rPr>
        <w:t>基金公司根据市场行情的演变以及投资者的偏好，不约而同地增加了股票型基金的发行脚步，而且这</w:t>
      </w:r>
      <w:r>
        <w:rPr>
          <w:color w:val="auto"/>
        </w:rPr>
        <w:t>11</w:t>
      </w:r>
      <w:r>
        <w:rPr>
          <w:rFonts w:ascii="宋体" w:hAnsi="宋体" w:cs="宋体" w:hint="eastAsia"/>
          <w:color w:val="auto"/>
        </w:rPr>
        <w:t>只产品中有</w:t>
      </w:r>
      <w:r>
        <w:rPr>
          <w:color w:val="auto"/>
        </w:rPr>
        <w:t>8</w:t>
      </w:r>
      <w:r>
        <w:rPr>
          <w:rFonts w:ascii="宋体" w:hAnsi="宋体" w:cs="宋体" w:hint="eastAsia"/>
          <w:color w:val="auto"/>
        </w:rPr>
        <w:t>只均为指数型基金产品，覆盖消费、医药、环保、养老、军工、电子、新能源等等领域。</w:t>
      </w:r>
      <w:r w:rsidRPr="00FD4C6A">
        <w:rPr>
          <w:rFonts w:ascii="宋体" w:hAnsi="宋体" w:cs="宋体" w:hint="eastAsia"/>
          <w:color w:val="auto"/>
        </w:rPr>
        <w:t>从产品分布来看，</w:t>
      </w:r>
      <w:r>
        <w:rPr>
          <w:color w:val="auto"/>
        </w:rPr>
        <w:t>20</w:t>
      </w:r>
      <w:r w:rsidRPr="00FD4C6A">
        <w:rPr>
          <w:rFonts w:ascii="宋体" w:hAnsi="宋体" w:cs="宋体" w:hint="eastAsia"/>
          <w:color w:val="auto"/>
        </w:rPr>
        <w:t>只基金分布于</w:t>
      </w:r>
      <w:r w:rsidRPr="00FD4C6A">
        <w:rPr>
          <w:color w:val="auto"/>
        </w:rPr>
        <w:t>1</w:t>
      </w:r>
      <w:r>
        <w:rPr>
          <w:color w:val="auto"/>
        </w:rPr>
        <w:t>4</w:t>
      </w:r>
      <w:r w:rsidRPr="00FD4C6A">
        <w:rPr>
          <w:rFonts w:ascii="宋体" w:hAnsi="宋体" w:cs="宋体" w:hint="eastAsia"/>
          <w:color w:val="auto"/>
        </w:rPr>
        <w:t>家基金管理公司，</w:t>
      </w:r>
      <w:r>
        <w:rPr>
          <w:rFonts w:ascii="宋体" w:hAnsi="宋体" w:cs="宋体" w:hint="eastAsia"/>
          <w:color w:val="auto"/>
        </w:rPr>
        <w:t>其中，广发旗下产品数量最多，有</w:t>
      </w:r>
      <w:r>
        <w:rPr>
          <w:color w:val="auto"/>
        </w:rPr>
        <w:t>4</w:t>
      </w:r>
      <w:r>
        <w:rPr>
          <w:rFonts w:ascii="宋体" w:hAnsi="宋体" w:cs="宋体" w:hint="eastAsia"/>
          <w:color w:val="auto"/>
        </w:rPr>
        <w:t>只指数型基金获得受理，东吴、景顺长城、新华旗下分别有</w:t>
      </w:r>
      <w:r>
        <w:rPr>
          <w:color w:val="auto"/>
        </w:rPr>
        <w:t>2</w:t>
      </w:r>
      <w:r>
        <w:rPr>
          <w:rFonts w:ascii="宋体" w:hAnsi="宋体" w:cs="宋体" w:hint="eastAsia"/>
          <w:color w:val="auto"/>
        </w:rPr>
        <w:t>只基金获得受理，另外</w:t>
      </w:r>
      <w:r>
        <w:rPr>
          <w:color w:val="auto"/>
        </w:rPr>
        <w:t>10</w:t>
      </w:r>
      <w:r>
        <w:rPr>
          <w:rFonts w:ascii="宋体" w:hAnsi="宋体" w:cs="宋体" w:hint="eastAsia"/>
          <w:color w:val="auto"/>
        </w:rPr>
        <w:t>家基金公司旗下各有</w:t>
      </w:r>
      <w:r>
        <w:rPr>
          <w:color w:val="auto"/>
        </w:rPr>
        <w:t>1</w:t>
      </w:r>
      <w:r>
        <w:rPr>
          <w:rFonts w:ascii="宋体" w:hAnsi="宋体" w:cs="宋体" w:hint="eastAsia"/>
          <w:color w:val="auto"/>
        </w:rPr>
        <w:t>只产品获得受理</w:t>
      </w:r>
      <w:r w:rsidRPr="00FD4C6A">
        <w:rPr>
          <w:rFonts w:ascii="宋体" w:hAnsi="宋体" w:cs="宋体" w:hint="eastAsia"/>
          <w:color w:val="auto"/>
        </w:rPr>
        <w:t>。</w:t>
      </w:r>
    </w:p>
    <w:tbl>
      <w:tblPr>
        <w:tblW w:w="11183" w:type="dxa"/>
        <w:jc w:val="center"/>
        <w:tblInd w:w="-126"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547"/>
        <w:gridCol w:w="2273"/>
        <w:gridCol w:w="992"/>
        <w:gridCol w:w="850"/>
        <w:gridCol w:w="851"/>
        <w:gridCol w:w="142"/>
        <w:gridCol w:w="625"/>
        <w:gridCol w:w="2210"/>
        <w:gridCol w:w="992"/>
        <w:gridCol w:w="850"/>
        <w:gridCol w:w="851"/>
      </w:tblGrid>
      <w:tr w:rsidR="00D5205E" w:rsidRPr="00056432" w:rsidTr="00DD5458">
        <w:trPr>
          <w:cantSplit/>
          <w:trHeight w:val="335"/>
          <w:jc w:val="center"/>
        </w:trPr>
        <w:tc>
          <w:tcPr>
            <w:tcW w:w="11183" w:type="dxa"/>
            <w:gridSpan w:val="11"/>
            <w:vAlign w:val="center"/>
          </w:tcPr>
          <w:p w:rsidR="00D5205E" w:rsidRPr="0007259C" w:rsidRDefault="00D5205E" w:rsidP="00C923B4">
            <w:pPr>
              <w:pStyle w:val="SubTitleLargeTable"/>
              <w:pBdr>
                <w:top w:val="none" w:sz="0" w:space="0" w:color="auto"/>
              </w:pBdr>
              <w:rPr>
                <w:rFonts w:ascii="宋体" w:hAnsi="宋体"/>
                <w:b w:val="0"/>
              </w:rPr>
            </w:pPr>
            <w:r w:rsidRPr="00656031">
              <w:rPr>
                <w:rFonts w:ascii="宋体" w:hAnsi="宋体" w:cs="宋体" w:hint="eastAsia"/>
                <w:color w:val="FF6600"/>
              </w:rPr>
              <w:t>图表</w:t>
            </w:r>
            <w:r w:rsidRPr="00656031">
              <w:rPr>
                <w:color w:val="FF6600"/>
              </w:rPr>
              <w:t>1</w:t>
            </w:r>
            <w:r w:rsidRPr="00656031">
              <w:rPr>
                <w:rFonts w:ascii="宋体" w:hAnsi="宋体" w:cs="宋体" w:hint="eastAsia"/>
                <w:color w:val="FF6600"/>
              </w:rPr>
              <w:t>：</w:t>
            </w:r>
            <w:r w:rsidRPr="006967F1">
              <w:rPr>
                <w:rFonts w:ascii="宋体" w:hAnsi="宋体" w:cs="宋体" w:hint="eastAsia"/>
                <w:color w:val="FF6600"/>
              </w:rPr>
              <w:t>在发基金产品列表（截止</w:t>
            </w:r>
            <w:r w:rsidRPr="006967F1">
              <w:rPr>
                <w:color w:val="FF6600"/>
              </w:rPr>
              <w:t>2014.</w:t>
            </w:r>
            <w:r>
              <w:rPr>
                <w:color w:val="FF6600"/>
              </w:rPr>
              <w:t>12</w:t>
            </w:r>
            <w:r w:rsidRPr="006967F1">
              <w:rPr>
                <w:color w:val="FF6600"/>
              </w:rPr>
              <w:t>.</w:t>
            </w:r>
            <w:r>
              <w:rPr>
                <w:color w:val="FF6600"/>
              </w:rPr>
              <w:t>1</w:t>
            </w:r>
            <w:r w:rsidRPr="006967F1">
              <w:rPr>
                <w:rFonts w:ascii="宋体" w:hAnsi="宋体" w:cs="宋体" w:hint="eastAsia"/>
                <w:color w:val="FF6600"/>
              </w:rPr>
              <w:t>）</w:t>
            </w:r>
          </w:p>
        </w:tc>
      </w:tr>
      <w:tr w:rsidR="00D5205E" w:rsidRPr="00056432" w:rsidTr="00DD5458">
        <w:trPr>
          <w:cantSplit/>
          <w:trHeight w:val="233"/>
          <w:jc w:val="center"/>
        </w:trPr>
        <w:tc>
          <w:tcPr>
            <w:tcW w:w="547" w:type="dxa"/>
            <w:tcBorders>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代码</w:t>
            </w:r>
          </w:p>
        </w:tc>
        <w:tc>
          <w:tcPr>
            <w:tcW w:w="2273"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简称</w:t>
            </w:r>
          </w:p>
        </w:tc>
        <w:tc>
          <w:tcPr>
            <w:tcW w:w="992"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凯石分类</w:t>
            </w:r>
          </w:p>
        </w:tc>
        <w:tc>
          <w:tcPr>
            <w:tcW w:w="850"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募集起始日</w:t>
            </w:r>
          </w:p>
        </w:tc>
        <w:tc>
          <w:tcPr>
            <w:tcW w:w="851"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计划截止日</w:t>
            </w:r>
          </w:p>
        </w:tc>
        <w:tc>
          <w:tcPr>
            <w:tcW w:w="142" w:type="dxa"/>
            <w:vMerge w:val="restart"/>
            <w:tcBorders>
              <w:left w:val="single" w:sz="6" w:space="0" w:color="FF6600"/>
              <w:right w:val="single" w:sz="6" w:space="0" w:color="FF6600"/>
            </w:tcBorders>
            <w:vAlign w:val="center"/>
          </w:tcPr>
          <w:p w:rsidR="00D5205E" w:rsidRPr="00056432" w:rsidRDefault="00D5205E" w:rsidP="00D92D8A">
            <w:pPr>
              <w:jc w:val="center"/>
              <w:rPr>
                <w:rFonts w:ascii="宋体"/>
                <w:b/>
              </w:rPr>
            </w:pPr>
          </w:p>
        </w:tc>
        <w:tc>
          <w:tcPr>
            <w:tcW w:w="625"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代码</w:t>
            </w:r>
          </w:p>
        </w:tc>
        <w:tc>
          <w:tcPr>
            <w:tcW w:w="2210"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简称</w:t>
            </w:r>
          </w:p>
        </w:tc>
        <w:tc>
          <w:tcPr>
            <w:tcW w:w="992"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凯石分类</w:t>
            </w:r>
          </w:p>
        </w:tc>
        <w:tc>
          <w:tcPr>
            <w:tcW w:w="850"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募集起始日</w:t>
            </w:r>
          </w:p>
        </w:tc>
        <w:tc>
          <w:tcPr>
            <w:tcW w:w="851" w:type="dxa"/>
            <w:tcBorders>
              <w:lef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计划截止日</w:t>
            </w:r>
          </w:p>
        </w:tc>
      </w:tr>
      <w:tr w:rsidR="00D5205E" w:rsidRPr="00056432" w:rsidTr="00DD5458">
        <w:trPr>
          <w:cantSplit/>
          <w:trHeight w:val="232"/>
          <w:jc w:val="center"/>
        </w:trPr>
        <w:tc>
          <w:tcPr>
            <w:tcW w:w="547" w:type="dxa"/>
            <w:tcBorders>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160134</w:t>
            </w:r>
          </w:p>
        </w:tc>
        <w:tc>
          <w:tcPr>
            <w:tcW w:w="2273"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南方聚利</w:t>
            </w:r>
            <w:r w:rsidRPr="00056432">
              <w:rPr>
                <w:color w:val="000000"/>
                <w:sz w:val="15"/>
                <w:szCs w:val="15"/>
              </w:rPr>
              <w:t>1</w:t>
            </w:r>
            <w:r w:rsidRPr="00056432">
              <w:rPr>
                <w:rFonts w:hint="eastAsia"/>
                <w:color w:val="000000"/>
                <w:sz w:val="15"/>
                <w:szCs w:val="15"/>
              </w:rPr>
              <w:t>年定期开放债券</w:t>
            </w:r>
            <w:r w:rsidRPr="00056432">
              <w:rPr>
                <w:color w:val="000000"/>
                <w:sz w:val="15"/>
                <w:szCs w:val="15"/>
              </w:rPr>
              <w:t>(LOF)C</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债券</w:t>
            </w:r>
            <w:r w:rsidRPr="00056432">
              <w:rPr>
                <w:color w:val="000000"/>
                <w:sz w:val="15"/>
                <w:szCs w:val="15"/>
              </w:rPr>
              <w:t>-</w:t>
            </w:r>
            <w:r w:rsidRPr="00056432">
              <w:rPr>
                <w:rFonts w:hint="eastAsia"/>
                <w:color w:val="000000"/>
                <w:sz w:val="15"/>
                <w:szCs w:val="15"/>
              </w:rPr>
              <w:t>纯债基金</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w:t>
            </w:r>
          </w:p>
        </w:tc>
        <w:tc>
          <w:tcPr>
            <w:tcW w:w="851"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w:t>
            </w:r>
          </w:p>
        </w:tc>
        <w:tc>
          <w:tcPr>
            <w:tcW w:w="142" w:type="dxa"/>
            <w:vMerge/>
            <w:tcBorders>
              <w:left w:val="single" w:sz="6" w:space="0" w:color="FF6600"/>
              <w:right w:val="single" w:sz="6" w:space="0" w:color="FF6600"/>
            </w:tcBorders>
            <w:vAlign w:val="center"/>
          </w:tcPr>
          <w:p w:rsidR="00D5205E" w:rsidRPr="00056432" w:rsidRDefault="00D5205E"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400030</w:t>
            </w:r>
          </w:p>
        </w:tc>
        <w:tc>
          <w:tcPr>
            <w:tcW w:w="221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东方添益债券</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债券</w:t>
            </w:r>
            <w:r w:rsidRPr="00056432">
              <w:rPr>
                <w:color w:val="000000"/>
                <w:sz w:val="15"/>
                <w:szCs w:val="15"/>
              </w:rPr>
              <w:t>-</w:t>
            </w:r>
            <w:r w:rsidRPr="00056432">
              <w:rPr>
                <w:rFonts w:hint="eastAsia"/>
                <w:color w:val="000000"/>
                <w:sz w:val="15"/>
                <w:szCs w:val="15"/>
              </w:rPr>
              <w:t>纯债基金</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2014/11/20</w:t>
            </w:r>
          </w:p>
        </w:tc>
        <w:tc>
          <w:tcPr>
            <w:tcW w:w="851" w:type="dxa"/>
            <w:tcBorders>
              <w:lef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2014/12/10</w:t>
            </w:r>
          </w:p>
        </w:tc>
      </w:tr>
      <w:tr w:rsidR="00D5205E" w:rsidRPr="00056432" w:rsidTr="00DD5458">
        <w:trPr>
          <w:cantSplit/>
          <w:trHeight w:val="232"/>
          <w:jc w:val="center"/>
        </w:trPr>
        <w:tc>
          <w:tcPr>
            <w:tcW w:w="547" w:type="dxa"/>
            <w:tcBorders>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000903</w:t>
            </w:r>
          </w:p>
        </w:tc>
        <w:tc>
          <w:tcPr>
            <w:tcW w:w="2273"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新华活期添利货币</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货币市场基金</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2014/11/28</w:t>
            </w:r>
          </w:p>
        </w:tc>
        <w:tc>
          <w:tcPr>
            <w:tcW w:w="851"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2014/12/2</w:t>
            </w:r>
          </w:p>
        </w:tc>
        <w:tc>
          <w:tcPr>
            <w:tcW w:w="142" w:type="dxa"/>
            <w:vMerge/>
            <w:tcBorders>
              <w:left w:val="single" w:sz="6" w:space="0" w:color="FF6600"/>
              <w:right w:val="single" w:sz="6" w:space="0" w:color="FF6600"/>
            </w:tcBorders>
            <w:vAlign w:val="center"/>
          </w:tcPr>
          <w:p w:rsidR="00D5205E" w:rsidRPr="00056432" w:rsidRDefault="00D5205E"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000880</w:t>
            </w:r>
          </w:p>
        </w:tc>
        <w:tc>
          <w:tcPr>
            <w:tcW w:w="221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富国研究精选灵活配置混合</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混合</w:t>
            </w:r>
            <w:r w:rsidRPr="00056432">
              <w:rPr>
                <w:color w:val="000000"/>
                <w:sz w:val="15"/>
                <w:szCs w:val="15"/>
              </w:rPr>
              <w:t>-</w:t>
            </w:r>
            <w:r w:rsidRPr="00056432">
              <w:rPr>
                <w:rFonts w:hint="eastAsia"/>
                <w:color w:val="000000"/>
                <w:sz w:val="15"/>
                <w:szCs w:val="15"/>
              </w:rPr>
              <w:t>灵活型</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2014/11/13</w:t>
            </w:r>
          </w:p>
        </w:tc>
        <w:tc>
          <w:tcPr>
            <w:tcW w:w="851" w:type="dxa"/>
            <w:tcBorders>
              <w:lef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2014/12/10</w:t>
            </w:r>
          </w:p>
        </w:tc>
      </w:tr>
      <w:tr w:rsidR="00D5205E" w:rsidRPr="00056432" w:rsidTr="00DD5458">
        <w:trPr>
          <w:cantSplit/>
          <w:trHeight w:val="232"/>
          <w:jc w:val="center"/>
        </w:trPr>
        <w:tc>
          <w:tcPr>
            <w:tcW w:w="547" w:type="dxa"/>
            <w:tcBorders>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519128</w:t>
            </w:r>
          </w:p>
        </w:tc>
        <w:tc>
          <w:tcPr>
            <w:tcW w:w="2273"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浦银安盛月月盈定期支付债券</w:t>
            </w:r>
            <w:r w:rsidRPr="00056432">
              <w:rPr>
                <w:color w:val="000000"/>
                <w:sz w:val="15"/>
                <w:szCs w:val="15"/>
              </w:rPr>
              <w:t>A</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债券</w:t>
            </w:r>
            <w:r w:rsidRPr="00056432">
              <w:rPr>
                <w:color w:val="000000"/>
                <w:sz w:val="15"/>
                <w:szCs w:val="15"/>
              </w:rPr>
              <w:t>-</w:t>
            </w:r>
            <w:r w:rsidRPr="00056432">
              <w:rPr>
                <w:rFonts w:hint="eastAsia"/>
                <w:color w:val="000000"/>
                <w:sz w:val="15"/>
                <w:szCs w:val="15"/>
              </w:rPr>
              <w:t>纯债基金</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2014/11/3</w:t>
            </w:r>
          </w:p>
        </w:tc>
        <w:tc>
          <w:tcPr>
            <w:tcW w:w="851"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2014/12/2</w:t>
            </w:r>
          </w:p>
        </w:tc>
        <w:tc>
          <w:tcPr>
            <w:tcW w:w="142" w:type="dxa"/>
            <w:vMerge/>
            <w:tcBorders>
              <w:left w:val="single" w:sz="6" w:space="0" w:color="FF6600"/>
              <w:right w:val="single" w:sz="6" w:space="0" w:color="FF6600"/>
            </w:tcBorders>
            <w:vAlign w:val="center"/>
          </w:tcPr>
          <w:p w:rsidR="00D5205E" w:rsidRPr="00056432" w:rsidRDefault="00D5205E"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000866</w:t>
            </w:r>
          </w:p>
        </w:tc>
        <w:tc>
          <w:tcPr>
            <w:tcW w:w="221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华宝兴业制造股票</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股票</w:t>
            </w:r>
            <w:r w:rsidRPr="00056432">
              <w:rPr>
                <w:color w:val="000000"/>
                <w:sz w:val="15"/>
                <w:szCs w:val="15"/>
              </w:rPr>
              <w:t>-</w:t>
            </w:r>
            <w:r w:rsidRPr="00056432">
              <w:rPr>
                <w:rFonts w:hint="eastAsia"/>
                <w:color w:val="000000"/>
                <w:sz w:val="15"/>
                <w:szCs w:val="15"/>
              </w:rPr>
              <w:t>主动型</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2014/11/13</w:t>
            </w:r>
          </w:p>
        </w:tc>
        <w:tc>
          <w:tcPr>
            <w:tcW w:w="851" w:type="dxa"/>
            <w:tcBorders>
              <w:lef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2014/12/10</w:t>
            </w:r>
          </w:p>
        </w:tc>
      </w:tr>
      <w:tr w:rsidR="00D5205E" w:rsidRPr="00056432" w:rsidTr="00DD5458">
        <w:trPr>
          <w:cantSplit/>
          <w:trHeight w:val="232"/>
          <w:jc w:val="center"/>
        </w:trPr>
        <w:tc>
          <w:tcPr>
            <w:tcW w:w="547" w:type="dxa"/>
            <w:tcBorders>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000912</w:t>
            </w:r>
          </w:p>
        </w:tc>
        <w:tc>
          <w:tcPr>
            <w:tcW w:w="2273"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英大现金宝货币</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货币市场基金</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w:t>
            </w:r>
          </w:p>
        </w:tc>
        <w:tc>
          <w:tcPr>
            <w:tcW w:w="851"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2014/12/5</w:t>
            </w:r>
          </w:p>
        </w:tc>
        <w:tc>
          <w:tcPr>
            <w:tcW w:w="142" w:type="dxa"/>
            <w:vMerge/>
            <w:tcBorders>
              <w:left w:val="single" w:sz="6" w:space="0" w:color="FF6600"/>
              <w:right w:val="single" w:sz="6" w:space="0" w:color="FF6600"/>
            </w:tcBorders>
            <w:vAlign w:val="center"/>
          </w:tcPr>
          <w:p w:rsidR="00D5205E" w:rsidRPr="00056432" w:rsidRDefault="00D5205E"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161026</w:t>
            </w:r>
          </w:p>
        </w:tc>
        <w:tc>
          <w:tcPr>
            <w:tcW w:w="221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富国中证国有企业改革指数分级</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股票</w:t>
            </w:r>
            <w:r w:rsidRPr="00056432">
              <w:rPr>
                <w:color w:val="000000"/>
                <w:sz w:val="15"/>
                <w:szCs w:val="15"/>
              </w:rPr>
              <w:t>-</w:t>
            </w:r>
            <w:r w:rsidRPr="00056432">
              <w:rPr>
                <w:rFonts w:hint="eastAsia"/>
                <w:color w:val="000000"/>
                <w:sz w:val="15"/>
                <w:szCs w:val="15"/>
              </w:rPr>
              <w:t>指数型</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2014/11/28</w:t>
            </w:r>
          </w:p>
        </w:tc>
        <w:tc>
          <w:tcPr>
            <w:tcW w:w="851" w:type="dxa"/>
            <w:tcBorders>
              <w:lef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2014/12/11</w:t>
            </w:r>
          </w:p>
        </w:tc>
      </w:tr>
      <w:tr w:rsidR="00D5205E" w:rsidRPr="00056432" w:rsidTr="00DD5458">
        <w:trPr>
          <w:cantSplit/>
          <w:trHeight w:val="232"/>
          <w:jc w:val="center"/>
        </w:trPr>
        <w:tc>
          <w:tcPr>
            <w:tcW w:w="547" w:type="dxa"/>
            <w:tcBorders>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160629</w:t>
            </w:r>
          </w:p>
        </w:tc>
        <w:tc>
          <w:tcPr>
            <w:tcW w:w="2273"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鹏华传媒分级</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股票</w:t>
            </w:r>
            <w:r w:rsidRPr="00056432">
              <w:rPr>
                <w:color w:val="000000"/>
                <w:sz w:val="15"/>
                <w:szCs w:val="15"/>
              </w:rPr>
              <w:t>-</w:t>
            </w:r>
            <w:r w:rsidRPr="00056432">
              <w:rPr>
                <w:rFonts w:hint="eastAsia"/>
                <w:color w:val="000000"/>
                <w:sz w:val="15"/>
                <w:szCs w:val="15"/>
              </w:rPr>
              <w:t>指数型</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2014/11/24</w:t>
            </w:r>
          </w:p>
        </w:tc>
        <w:tc>
          <w:tcPr>
            <w:tcW w:w="851"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2014/12/5</w:t>
            </w:r>
          </w:p>
        </w:tc>
        <w:tc>
          <w:tcPr>
            <w:tcW w:w="142" w:type="dxa"/>
            <w:tcBorders>
              <w:left w:val="single" w:sz="6" w:space="0" w:color="FF6600"/>
              <w:right w:val="single" w:sz="6" w:space="0" w:color="FF6600"/>
            </w:tcBorders>
            <w:vAlign w:val="center"/>
          </w:tcPr>
          <w:p w:rsidR="00D5205E" w:rsidRPr="00056432" w:rsidRDefault="00D5205E"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000898</w:t>
            </w:r>
          </w:p>
        </w:tc>
        <w:tc>
          <w:tcPr>
            <w:tcW w:w="221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华富恒稳纯债债券</w:t>
            </w:r>
            <w:r w:rsidRPr="00056432">
              <w:rPr>
                <w:color w:val="000000"/>
                <w:sz w:val="15"/>
                <w:szCs w:val="15"/>
              </w:rPr>
              <w:t>A</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债券</w:t>
            </w:r>
            <w:r w:rsidRPr="00056432">
              <w:rPr>
                <w:color w:val="000000"/>
                <w:sz w:val="15"/>
                <w:szCs w:val="15"/>
              </w:rPr>
              <w:t>-</w:t>
            </w:r>
            <w:r w:rsidRPr="00056432">
              <w:rPr>
                <w:rFonts w:hint="eastAsia"/>
                <w:color w:val="000000"/>
                <w:sz w:val="15"/>
                <w:szCs w:val="15"/>
              </w:rPr>
              <w:t>纯债基金</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2014/11/24</w:t>
            </w:r>
          </w:p>
        </w:tc>
        <w:tc>
          <w:tcPr>
            <w:tcW w:w="851" w:type="dxa"/>
            <w:tcBorders>
              <w:lef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2014/12/12</w:t>
            </w:r>
          </w:p>
        </w:tc>
      </w:tr>
      <w:tr w:rsidR="00D5205E" w:rsidRPr="00056432" w:rsidTr="00DD5458">
        <w:trPr>
          <w:cantSplit/>
          <w:trHeight w:val="232"/>
          <w:jc w:val="center"/>
        </w:trPr>
        <w:tc>
          <w:tcPr>
            <w:tcW w:w="547" w:type="dxa"/>
            <w:tcBorders>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000870</w:t>
            </w:r>
          </w:p>
        </w:tc>
        <w:tc>
          <w:tcPr>
            <w:tcW w:w="2273"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嘉实新收益混合</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混合</w:t>
            </w:r>
            <w:r w:rsidRPr="00056432">
              <w:rPr>
                <w:color w:val="000000"/>
                <w:sz w:val="15"/>
                <w:szCs w:val="15"/>
              </w:rPr>
              <w:t>-</w:t>
            </w:r>
            <w:r w:rsidRPr="00056432">
              <w:rPr>
                <w:rFonts w:hint="eastAsia"/>
                <w:color w:val="000000"/>
                <w:sz w:val="15"/>
                <w:szCs w:val="15"/>
              </w:rPr>
              <w:t>灵活型</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2014/11/17</w:t>
            </w:r>
          </w:p>
        </w:tc>
        <w:tc>
          <w:tcPr>
            <w:tcW w:w="851"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2014/12/5</w:t>
            </w:r>
          </w:p>
        </w:tc>
        <w:tc>
          <w:tcPr>
            <w:tcW w:w="142" w:type="dxa"/>
            <w:tcBorders>
              <w:left w:val="single" w:sz="6" w:space="0" w:color="FF6600"/>
              <w:right w:val="single" w:sz="6" w:space="0" w:color="FF6600"/>
            </w:tcBorders>
            <w:vAlign w:val="center"/>
          </w:tcPr>
          <w:p w:rsidR="00D5205E" w:rsidRPr="00056432" w:rsidRDefault="00D5205E"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519743</w:t>
            </w:r>
          </w:p>
        </w:tc>
        <w:tc>
          <w:tcPr>
            <w:tcW w:w="221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交银丰润收益债券</w:t>
            </w:r>
            <w:r w:rsidRPr="00056432">
              <w:rPr>
                <w:color w:val="000000"/>
                <w:sz w:val="15"/>
                <w:szCs w:val="15"/>
              </w:rPr>
              <w:t>A</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债券</w:t>
            </w:r>
            <w:r w:rsidRPr="00056432">
              <w:rPr>
                <w:color w:val="000000"/>
                <w:sz w:val="15"/>
                <w:szCs w:val="15"/>
              </w:rPr>
              <w:t>-</w:t>
            </w:r>
            <w:r w:rsidRPr="00056432">
              <w:rPr>
                <w:rFonts w:hint="eastAsia"/>
                <w:color w:val="000000"/>
                <w:sz w:val="15"/>
                <w:szCs w:val="15"/>
              </w:rPr>
              <w:t>纯债基金</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2014/11/24</w:t>
            </w:r>
          </w:p>
        </w:tc>
        <w:tc>
          <w:tcPr>
            <w:tcW w:w="851" w:type="dxa"/>
            <w:tcBorders>
              <w:lef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2014/12/12</w:t>
            </w:r>
          </w:p>
        </w:tc>
      </w:tr>
      <w:tr w:rsidR="00D5205E" w:rsidRPr="00056432" w:rsidTr="00DD5458">
        <w:trPr>
          <w:cantSplit/>
          <w:trHeight w:val="232"/>
          <w:jc w:val="center"/>
        </w:trPr>
        <w:tc>
          <w:tcPr>
            <w:tcW w:w="547" w:type="dxa"/>
            <w:tcBorders>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000878</w:t>
            </w:r>
          </w:p>
        </w:tc>
        <w:tc>
          <w:tcPr>
            <w:tcW w:w="2273"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中海医药健康产业精选混合</w:t>
            </w:r>
            <w:r w:rsidRPr="00056432">
              <w:rPr>
                <w:color w:val="000000"/>
                <w:sz w:val="15"/>
                <w:szCs w:val="15"/>
              </w:rPr>
              <w:t>A</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混合</w:t>
            </w:r>
            <w:r w:rsidRPr="00056432">
              <w:rPr>
                <w:color w:val="000000"/>
                <w:sz w:val="15"/>
                <w:szCs w:val="15"/>
              </w:rPr>
              <w:t>-</w:t>
            </w:r>
            <w:r w:rsidRPr="00056432">
              <w:rPr>
                <w:rFonts w:hint="eastAsia"/>
                <w:color w:val="000000"/>
                <w:sz w:val="15"/>
                <w:szCs w:val="15"/>
              </w:rPr>
              <w:t>灵活型</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2014/11/17</w:t>
            </w:r>
          </w:p>
        </w:tc>
        <w:tc>
          <w:tcPr>
            <w:tcW w:w="851"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2014/12/5</w:t>
            </w:r>
          </w:p>
        </w:tc>
        <w:tc>
          <w:tcPr>
            <w:tcW w:w="142" w:type="dxa"/>
            <w:tcBorders>
              <w:left w:val="single" w:sz="6" w:space="0" w:color="FF6600"/>
              <w:right w:val="single" w:sz="6" w:space="0" w:color="FF6600"/>
            </w:tcBorders>
            <w:vAlign w:val="center"/>
          </w:tcPr>
          <w:p w:rsidR="00D5205E" w:rsidRPr="00056432" w:rsidRDefault="00D5205E"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000877</w:t>
            </w:r>
          </w:p>
        </w:tc>
        <w:tc>
          <w:tcPr>
            <w:tcW w:w="221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华泰柏瑞量化优选混合</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混合</w:t>
            </w:r>
            <w:r w:rsidRPr="00056432">
              <w:rPr>
                <w:color w:val="000000"/>
                <w:sz w:val="15"/>
                <w:szCs w:val="15"/>
              </w:rPr>
              <w:t>-</w:t>
            </w:r>
            <w:r w:rsidRPr="00056432">
              <w:rPr>
                <w:rFonts w:hint="eastAsia"/>
                <w:color w:val="000000"/>
                <w:sz w:val="15"/>
                <w:szCs w:val="15"/>
              </w:rPr>
              <w:t>灵活型</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2014/11/17</w:t>
            </w:r>
          </w:p>
        </w:tc>
        <w:tc>
          <w:tcPr>
            <w:tcW w:w="851" w:type="dxa"/>
            <w:tcBorders>
              <w:lef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2014/12/12</w:t>
            </w:r>
          </w:p>
        </w:tc>
      </w:tr>
      <w:tr w:rsidR="00D5205E" w:rsidRPr="00056432" w:rsidTr="00DD5458">
        <w:trPr>
          <w:cantSplit/>
          <w:trHeight w:val="232"/>
          <w:jc w:val="center"/>
        </w:trPr>
        <w:tc>
          <w:tcPr>
            <w:tcW w:w="547" w:type="dxa"/>
            <w:tcBorders>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000865</w:t>
            </w:r>
          </w:p>
        </w:tc>
        <w:tc>
          <w:tcPr>
            <w:tcW w:w="2273"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大成景利混合</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混合</w:t>
            </w:r>
            <w:r w:rsidRPr="00056432">
              <w:rPr>
                <w:color w:val="000000"/>
                <w:sz w:val="15"/>
                <w:szCs w:val="15"/>
              </w:rPr>
              <w:t>-</w:t>
            </w:r>
            <w:r w:rsidRPr="00056432">
              <w:rPr>
                <w:rFonts w:hint="eastAsia"/>
                <w:color w:val="000000"/>
                <w:sz w:val="15"/>
                <w:szCs w:val="15"/>
              </w:rPr>
              <w:t>偏债型</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2014/11/17</w:t>
            </w:r>
          </w:p>
        </w:tc>
        <w:tc>
          <w:tcPr>
            <w:tcW w:w="851"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2014/12/5</w:t>
            </w:r>
          </w:p>
        </w:tc>
        <w:tc>
          <w:tcPr>
            <w:tcW w:w="142" w:type="dxa"/>
            <w:tcBorders>
              <w:left w:val="single" w:sz="6" w:space="0" w:color="FF6600"/>
              <w:right w:val="single" w:sz="6" w:space="0" w:color="FF6600"/>
            </w:tcBorders>
            <w:vAlign w:val="center"/>
          </w:tcPr>
          <w:p w:rsidR="00D5205E" w:rsidRPr="00056432" w:rsidRDefault="00D5205E"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000884</w:t>
            </w:r>
          </w:p>
        </w:tc>
        <w:tc>
          <w:tcPr>
            <w:tcW w:w="221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民生加银优选股票</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股票</w:t>
            </w:r>
            <w:r w:rsidRPr="00056432">
              <w:rPr>
                <w:color w:val="000000"/>
                <w:sz w:val="15"/>
                <w:szCs w:val="15"/>
              </w:rPr>
              <w:t>-</w:t>
            </w:r>
            <w:r w:rsidRPr="00056432">
              <w:rPr>
                <w:rFonts w:hint="eastAsia"/>
                <w:color w:val="000000"/>
                <w:sz w:val="15"/>
                <w:szCs w:val="15"/>
              </w:rPr>
              <w:t>主动型</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2014/11/17</w:t>
            </w:r>
          </w:p>
        </w:tc>
        <w:tc>
          <w:tcPr>
            <w:tcW w:w="851" w:type="dxa"/>
            <w:tcBorders>
              <w:lef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2014/12/17</w:t>
            </w:r>
          </w:p>
        </w:tc>
      </w:tr>
      <w:tr w:rsidR="00D5205E" w:rsidRPr="00056432" w:rsidTr="00DD5458">
        <w:trPr>
          <w:cantSplit/>
          <w:trHeight w:val="232"/>
          <w:jc w:val="center"/>
        </w:trPr>
        <w:tc>
          <w:tcPr>
            <w:tcW w:w="547" w:type="dxa"/>
            <w:tcBorders>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000421</w:t>
            </w:r>
          </w:p>
        </w:tc>
        <w:tc>
          <w:tcPr>
            <w:tcW w:w="2273"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华泰柏瑞丰汇债券</w:t>
            </w:r>
            <w:r w:rsidRPr="00056432">
              <w:rPr>
                <w:color w:val="000000"/>
                <w:sz w:val="15"/>
                <w:szCs w:val="15"/>
              </w:rPr>
              <w:t>A</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债券</w:t>
            </w:r>
            <w:r w:rsidRPr="00056432">
              <w:rPr>
                <w:color w:val="000000"/>
                <w:sz w:val="15"/>
                <w:szCs w:val="15"/>
              </w:rPr>
              <w:t>-</w:t>
            </w:r>
            <w:r w:rsidRPr="00056432">
              <w:rPr>
                <w:rFonts w:hint="eastAsia"/>
                <w:color w:val="000000"/>
                <w:sz w:val="15"/>
                <w:szCs w:val="15"/>
              </w:rPr>
              <w:t>一级债基</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2014/11/17</w:t>
            </w:r>
          </w:p>
        </w:tc>
        <w:tc>
          <w:tcPr>
            <w:tcW w:w="851"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2014/12/5</w:t>
            </w:r>
          </w:p>
        </w:tc>
        <w:tc>
          <w:tcPr>
            <w:tcW w:w="142" w:type="dxa"/>
            <w:tcBorders>
              <w:left w:val="single" w:sz="6" w:space="0" w:color="FF6600"/>
              <w:right w:val="single" w:sz="6" w:space="0" w:color="FF6600"/>
            </w:tcBorders>
            <w:vAlign w:val="center"/>
          </w:tcPr>
          <w:p w:rsidR="00D5205E" w:rsidRPr="00056432" w:rsidRDefault="00D5205E"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000924</w:t>
            </w:r>
          </w:p>
        </w:tc>
        <w:tc>
          <w:tcPr>
            <w:tcW w:w="221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宝盈先进制造混合</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混合</w:t>
            </w:r>
            <w:r w:rsidRPr="00056432">
              <w:rPr>
                <w:color w:val="000000"/>
                <w:sz w:val="15"/>
                <w:szCs w:val="15"/>
              </w:rPr>
              <w:t>-</w:t>
            </w:r>
            <w:r w:rsidRPr="00056432">
              <w:rPr>
                <w:rFonts w:hint="eastAsia"/>
                <w:color w:val="000000"/>
                <w:sz w:val="15"/>
                <w:szCs w:val="15"/>
              </w:rPr>
              <w:t>灵活型</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w:t>
            </w:r>
          </w:p>
        </w:tc>
        <w:tc>
          <w:tcPr>
            <w:tcW w:w="851" w:type="dxa"/>
            <w:tcBorders>
              <w:lef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2014/12/19</w:t>
            </w:r>
          </w:p>
        </w:tc>
      </w:tr>
      <w:tr w:rsidR="00D5205E" w:rsidRPr="00056432" w:rsidTr="00DD5458">
        <w:trPr>
          <w:cantSplit/>
          <w:trHeight w:val="232"/>
          <w:jc w:val="center"/>
        </w:trPr>
        <w:tc>
          <w:tcPr>
            <w:tcW w:w="547" w:type="dxa"/>
            <w:tcBorders>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000893</w:t>
            </w:r>
          </w:p>
        </w:tc>
        <w:tc>
          <w:tcPr>
            <w:tcW w:w="2273"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工银创新动力股票</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股票</w:t>
            </w:r>
            <w:r w:rsidRPr="00056432">
              <w:rPr>
                <w:color w:val="000000"/>
                <w:sz w:val="15"/>
                <w:szCs w:val="15"/>
              </w:rPr>
              <w:t>-</w:t>
            </w:r>
            <w:r w:rsidRPr="00056432">
              <w:rPr>
                <w:rFonts w:hint="eastAsia"/>
                <w:color w:val="000000"/>
                <w:sz w:val="15"/>
                <w:szCs w:val="15"/>
              </w:rPr>
              <w:t>主动型</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2014/11/24</w:t>
            </w:r>
          </w:p>
        </w:tc>
        <w:tc>
          <w:tcPr>
            <w:tcW w:w="851"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2014/12/9</w:t>
            </w:r>
          </w:p>
        </w:tc>
        <w:tc>
          <w:tcPr>
            <w:tcW w:w="142" w:type="dxa"/>
            <w:tcBorders>
              <w:left w:val="single" w:sz="6" w:space="0" w:color="FF6600"/>
              <w:right w:val="single" w:sz="6" w:space="0" w:color="FF6600"/>
            </w:tcBorders>
            <w:vAlign w:val="center"/>
          </w:tcPr>
          <w:p w:rsidR="00D5205E" w:rsidRPr="00056432" w:rsidRDefault="00D5205E" w:rsidP="00D92D8A">
            <w:pPr>
              <w:jc w:val="center"/>
              <w:rPr>
                <w:rFonts w:ascii="宋体"/>
                <w:b/>
                <w:sz w:val="15"/>
                <w:szCs w:val="15"/>
              </w:rPr>
            </w:pPr>
          </w:p>
        </w:tc>
        <w:tc>
          <w:tcPr>
            <w:tcW w:w="625"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000889</w:t>
            </w:r>
          </w:p>
        </w:tc>
        <w:tc>
          <w:tcPr>
            <w:tcW w:w="221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上投摩根纯债添利债券</w:t>
            </w:r>
            <w:r w:rsidRPr="00056432">
              <w:rPr>
                <w:color w:val="000000"/>
                <w:sz w:val="15"/>
                <w:szCs w:val="15"/>
              </w:rPr>
              <w:t>A</w:t>
            </w:r>
          </w:p>
        </w:tc>
        <w:tc>
          <w:tcPr>
            <w:tcW w:w="992"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rFonts w:hint="eastAsia"/>
                <w:color w:val="000000"/>
                <w:sz w:val="15"/>
                <w:szCs w:val="15"/>
              </w:rPr>
              <w:t>债券</w:t>
            </w:r>
            <w:r w:rsidRPr="00056432">
              <w:rPr>
                <w:color w:val="000000"/>
                <w:sz w:val="15"/>
                <w:szCs w:val="15"/>
              </w:rPr>
              <w:t>-</w:t>
            </w:r>
            <w:r w:rsidRPr="00056432">
              <w:rPr>
                <w:rFonts w:hint="eastAsia"/>
                <w:color w:val="000000"/>
                <w:sz w:val="15"/>
                <w:szCs w:val="15"/>
              </w:rPr>
              <w:t>纯债基金</w:t>
            </w:r>
          </w:p>
        </w:tc>
        <w:tc>
          <w:tcPr>
            <w:tcW w:w="850" w:type="dxa"/>
            <w:tcBorders>
              <w:left w:val="single" w:sz="6" w:space="0" w:color="FF6600"/>
              <w:righ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w:t>
            </w:r>
          </w:p>
        </w:tc>
        <w:tc>
          <w:tcPr>
            <w:tcW w:w="851" w:type="dxa"/>
            <w:tcBorders>
              <w:left w:val="single" w:sz="6" w:space="0" w:color="FF6600"/>
            </w:tcBorders>
            <w:vAlign w:val="center"/>
          </w:tcPr>
          <w:p w:rsidR="00D5205E" w:rsidRPr="00C923B4" w:rsidRDefault="00D5205E" w:rsidP="00C923B4">
            <w:pPr>
              <w:jc w:val="center"/>
              <w:rPr>
                <w:rFonts w:ascii="宋体" w:cs="宋体"/>
                <w:color w:val="000000"/>
                <w:sz w:val="15"/>
                <w:szCs w:val="15"/>
              </w:rPr>
            </w:pPr>
            <w:r w:rsidRPr="00056432">
              <w:rPr>
                <w:color w:val="000000"/>
                <w:sz w:val="15"/>
                <w:szCs w:val="15"/>
              </w:rPr>
              <w:t>2014/12/19</w:t>
            </w:r>
          </w:p>
        </w:tc>
      </w:tr>
      <w:tr w:rsidR="00D5205E" w:rsidRPr="00056432" w:rsidTr="00DD5458">
        <w:trPr>
          <w:cantSplit/>
          <w:trHeight w:val="232"/>
          <w:jc w:val="center"/>
        </w:trPr>
        <w:tc>
          <w:tcPr>
            <w:tcW w:w="11183" w:type="dxa"/>
            <w:gridSpan w:val="11"/>
            <w:vAlign w:val="center"/>
          </w:tcPr>
          <w:p w:rsidR="00D5205E" w:rsidRPr="00056432" w:rsidRDefault="00D5205E" w:rsidP="00D92D8A">
            <w:pPr>
              <w:jc w:val="left"/>
              <w:rPr>
                <w:rFonts w:ascii="宋体"/>
                <w:b/>
                <w:sz w:val="15"/>
                <w:szCs w:val="15"/>
              </w:rPr>
            </w:pPr>
            <w:r w:rsidRPr="00056432">
              <w:rPr>
                <w:rFonts w:ascii="宋体" w:hAnsi="宋体" w:hint="eastAsia"/>
                <w:b/>
                <w:sz w:val="15"/>
                <w:szCs w:val="15"/>
              </w:rPr>
              <w:t>注：</w:t>
            </w:r>
            <w:r w:rsidRPr="00056432">
              <w:rPr>
                <w:rFonts w:ascii="宋体" w:hAnsi="宋体"/>
                <w:sz w:val="15"/>
                <w:szCs w:val="15"/>
              </w:rPr>
              <w:t>A/B/C</w:t>
            </w:r>
            <w:r w:rsidRPr="00056432">
              <w:rPr>
                <w:rFonts w:ascii="宋体" w:hAnsi="宋体" w:hint="eastAsia"/>
                <w:sz w:val="15"/>
                <w:szCs w:val="15"/>
              </w:rPr>
              <w:t>类仅列举</w:t>
            </w:r>
            <w:r w:rsidRPr="00056432">
              <w:rPr>
                <w:rFonts w:ascii="宋体" w:hAnsi="宋体"/>
                <w:sz w:val="15"/>
                <w:szCs w:val="15"/>
              </w:rPr>
              <w:t>A</w:t>
            </w:r>
            <w:r w:rsidRPr="00056432">
              <w:rPr>
                <w:rFonts w:ascii="宋体" w:hAnsi="宋体" w:hint="eastAsia"/>
                <w:sz w:val="15"/>
                <w:szCs w:val="15"/>
              </w:rPr>
              <w:t>类。</w:t>
            </w:r>
          </w:p>
        </w:tc>
      </w:tr>
    </w:tbl>
    <w:p w:rsidR="00D5205E" w:rsidRPr="003629A1" w:rsidRDefault="00D5205E" w:rsidP="00C01486">
      <w:pPr>
        <w:pStyle w:val="FootnoteNoline"/>
        <w:ind w:left="0"/>
        <w:rPr>
          <w:color w:val="FF6600"/>
          <w:lang w:val="en-US"/>
        </w:rPr>
      </w:pPr>
      <w:r w:rsidRPr="003629A1">
        <w:rPr>
          <w:rFonts w:ascii="宋体" w:hAnsi="宋体" w:cs="宋体" w:hint="eastAsia"/>
          <w:color w:val="FF6600"/>
          <w:lang w:val="en-US"/>
        </w:rPr>
        <w:t>来源：凯石财富工场</w:t>
      </w:r>
    </w:p>
    <w:p w:rsidR="00D5205E" w:rsidRDefault="00D5205E" w:rsidP="00C01486">
      <w:pPr>
        <w:widowControl/>
        <w:spacing w:after="120" w:line="240" w:lineRule="exact"/>
        <w:ind w:left="3430"/>
        <w:rPr>
          <w:rFonts w:ascii="楷体" w:eastAsia="楷体" w:hAnsi="楷体"/>
          <w:b/>
          <w:bCs/>
          <w:color w:val="0070C0"/>
          <w:kern w:val="0"/>
          <w:sz w:val="24"/>
          <w:szCs w:val="20"/>
          <w:lang w:val="en-GB"/>
        </w:rPr>
      </w:pPr>
      <w:r w:rsidRPr="0094318C">
        <w:rPr>
          <w:rFonts w:ascii="楷体" w:eastAsia="楷体" w:hAnsi="楷体" w:hint="eastAsia"/>
          <w:b/>
          <w:bCs/>
          <w:color w:val="0070C0"/>
          <w:kern w:val="0"/>
          <w:sz w:val="24"/>
          <w:szCs w:val="20"/>
          <w:lang w:val="en-GB"/>
        </w:rPr>
        <w:t>基金市场热点关注</w:t>
      </w:r>
    </w:p>
    <w:p w:rsidR="00D5205E" w:rsidRPr="00BC4BF3" w:rsidRDefault="00D5205E" w:rsidP="00BC4BF3">
      <w:pPr>
        <w:pStyle w:val="BodyText"/>
        <w:numPr>
          <w:ilvl w:val="4"/>
          <w:numId w:val="1"/>
        </w:numPr>
        <w:spacing w:after="163"/>
        <w:rPr>
          <w:rFonts w:ascii="楷体" w:eastAsia="楷体" w:hAnsi="楷体"/>
          <w:b/>
          <w:color w:val="auto"/>
        </w:rPr>
      </w:pPr>
      <w:r w:rsidRPr="007C538F">
        <w:rPr>
          <w:rFonts w:ascii="楷体" w:eastAsia="楷体" w:hAnsi="楷体" w:hint="eastAsia"/>
          <w:b/>
          <w:color w:val="auto"/>
        </w:rPr>
        <w:t>证监会保监会或放行基金及保险资金参与“港股通”</w:t>
      </w:r>
      <w:r>
        <w:rPr>
          <w:rFonts w:ascii="楷体" w:eastAsia="楷体" w:hAnsi="楷体" w:hint="eastAsia"/>
          <w:b/>
          <w:color w:val="auto"/>
        </w:rPr>
        <w:t>（来源：证券时报网）</w:t>
      </w:r>
    </w:p>
    <w:p w:rsidR="00D5205E" w:rsidRPr="007F745E" w:rsidRDefault="00D5205E" w:rsidP="007F745E">
      <w:pPr>
        <w:pStyle w:val="BodyText"/>
        <w:numPr>
          <w:ilvl w:val="5"/>
          <w:numId w:val="2"/>
        </w:numPr>
        <w:spacing w:after="163"/>
        <w:ind w:left="4140" w:hanging="369"/>
        <w:rPr>
          <w:color w:val="auto"/>
        </w:rPr>
      </w:pPr>
      <w:r w:rsidRPr="007C538F">
        <w:rPr>
          <w:rFonts w:ascii="宋体" w:hAnsi="宋体" w:cs="宋体" w:hint="eastAsia"/>
          <w:color w:val="auto"/>
        </w:rPr>
        <w:t>香港财经事务及库务局署理局长刘怡翔今日表示，内地机构投资者如果参与沪港通，需要经过多重手续批准。他透露，内地监管机构正准备修改基金管理办法，保监会也正研究让保险资金通过沪港通投资港股；至于会否放宽内地散户</w:t>
      </w:r>
      <w:r w:rsidRPr="007C538F">
        <w:rPr>
          <w:color w:val="auto"/>
        </w:rPr>
        <w:t>50</w:t>
      </w:r>
      <w:r w:rsidRPr="007C538F">
        <w:rPr>
          <w:rFonts w:ascii="宋体" w:hAnsi="宋体" w:cs="宋体" w:hint="eastAsia"/>
          <w:color w:val="auto"/>
        </w:rPr>
        <w:t>万元账户资产的门槛及扩大投资港股类别，仍有待监管部门探讨。</w:t>
      </w:r>
    </w:p>
    <w:p w:rsidR="00D5205E" w:rsidRPr="007F745E" w:rsidRDefault="00D5205E" w:rsidP="007F745E">
      <w:pPr>
        <w:pStyle w:val="BodyText"/>
        <w:numPr>
          <w:ilvl w:val="4"/>
          <w:numId w:val="1"/>
        </w:numPr>
        <w:spacing w:after="163"/>
        <w:rPr>
          <w:rFonts w:ascii="楷体" w:eastAsia="楷体" w:hAnsi="楷体"/>
          <w:b/>
          <w:color w:val="auto"/>
        </w:rPr>
      </w:pPr>
      <w:r w:rsidRPr="00A36F72">
        <w:rPr>
          <w:rFonts w:ascii="楷体" w:eastAsia="楷体" w:hAnsi="楷体" w:hint="eastAsia"/>
          <w:b/>
          <w:color w:val="auto"/>
        </w:rPr>
        <w:t>《基金业务外包服务指引》发布</w:t>
      </w:r>
      <w:r>
        <w:rPr>
          <w:rFonts w:ascii="楷体" w:eastAsia="楷体" w:hAnsi="楷体" w:hint="eastAsia"/>
          <w:b/>
          <w:color w:val="auto"/>
        </w:rPr>
        <w:t>（来源：第一财经日报）</w:t>
      </w:r>
    </w:p>
    <w:p w:rsidR="00D5205E" w:rsidRPr="00A36F72" w:rsidRDefault="00D5205E" w:rsidP="00E913C0">
      <w:pPr>
        <w:pStyle w:val="BodyText"/>
        <w:numPr>
          <w:ilvl w:val="5"/>
          <w:numId w:val="2"/>
        </w:numPr>
        <w:spacing w:after="163"/>
        <w:ind w:left="4140" w:hanging="369"/>
        <w:rPr>
          <w:color w:val="auto"/>
        </w:rPr>
      </w:pPr>
      <w:r w:rsidRPr="00A36F72">
        <w:rPr>
          <w:color w:val="auto"/>
        </w:rPr>
        <w:t>11</w:t>
      </w:r>
      <w:r w:rsidRPr="00A36F72">
        <w:rPr>
          <w:rFonts w:ascii="宋体" w:hAnsi="宋体" w:cs="宋体" w:hint="eastAsia"/>
          <w:color w:val="auto"/>
        </w:rPr>
        <w:t>月</w:t>
      </w:r>
      <w:r w:rsidRPr="00A36F72">
        <w:rPr>
          <w:color w:val="auto"/>
        </w:rPr>
        <w:t>24</w:t>
      </w:r>
      <w:r w:rsidRPr="00A36F72">
        <w:rPr>
          <w:rFonts w:ascii="宋体" w:hAnsi="宋体" w:cs="宋体" w:hint="eastAsia"/>
          <w:color w:val="auto"/>
        </w:rPr>
        <w:t>日，中国证券投资基金业协会发布《基金业务外包服务指引》（下称《指引》），对公募、私募基金管理人开展业务外包的主要环节进行了原则性规定，涉及外包机构的备案要求、外包机构应具备的基本资质、基金管理人的法定职责不因外包而免除等五大方面内容，并指出基金业务外包机构将实行备案制管理。《指引》将于</w:t>
      </w:r>
      <w:r w:rsidRPr="00A36F72">
        <w:rPr>
          <w:color w:val="auto"/>
        </w:rPr>
        <w:t>2015</w:t>
      </w:r>
      <w:r w:rsidRPr="00A36F72">
        <w:rPr>
          <w:rFonts w:ascii="宋体" w:hAnsi="宋体" w:cs="宋体" w:hint="eastAsia"/>
          <w:color w:val="auto"/>
        </w:rPr>
        <w:t>年</w:t>
      </w:r>
      <w:r w:rsidRPr="00A36F72">
        <w:rPr>
          <w:color w:val="auto"/>
        </w:rPr>
        <w:t>2</w:t>
      </w:r>
      <w:r w:rsidRPr="00A36F72">
        <w:rPr>
          <w:rFonts w:ascii="宋体" w:hAnsi="宋体" w:cs="宋体" w:hint="eastAsia"/>
          <w:color w:val="auto"/>
        </w:rPr>
        <w:t>月</w:t>
      </w:r>
      <w:r w:rsidRPr="00A36F72">
        <w:rPr>
          <w:color w:val="auto"/>
        </w:rPr>
        <w:t>1</w:t>
      </w:r>
      <w:r w:rsidRPr="00A36F72">
        <w:rPr>
          <w:rFonts w:ascii="宋体" w:hAnsi="宋体" w:cs="宋体" w:hint="eastAsia"/>
          <w:color w:val="auto"/>
        </w:rPr>
        <w:t>日起正式实施。</w:t>
      </w:r>
    </w:p>
    <w:p w:rsidR="00D5205E" w:rsidRPr="00556846" w:rsidRDefault="00D5205E" w:rsidP="00E913C0">
      <w:pPr>
        <w:pStyle w:val="BodyText"/>
        <w:numPr>
          <w:ilvl w:val="5"/>
          <w:numId w:val="2"/>
        </w:numPr>
        <w:spacing w:after="163"/>
        <w:ind w:left="4140" w:hanging="369"/>
        <w:rPr>
          <w:color w:val="auto"/>
        </w:rPr>
      </w:pPr>
      <w:r w:rsidRPr="00556846">
        <w:rPr>
          <w:rFonts w:ascii="宋体" w:hAnsi="宋体" w:cs="宋体" w:hint="eastAsia"/>
          <w:color w:val="auto"/>
        </w:rPr>
        <w:t>《指引》规定，外包服务是指基金业务外包服务机构（下称</w:t>
      </w:r>
      <w:r w:rsidRPr="00556846">
        <w:rPr>
          <w:color w:val="auto"/>
        </w:rPr>
        <w:t>“</w:t>
      </w:r>
      <w:r w:rsidRPr="00556846">
        <w:rPr>
          <w:rFonts w:ascii="宋体" w:hAnsi="宋体" w:cs="宋体" w:hint="eastAsia"/>
          <w:color w:val="auto"/>
        </w:rPr>
        <w:t>外包机构</w:t>
      </w:r>
      <w:r w:rsidRPr="00556846">
        <w:rPr>
          <w:color w:val="auto"/>
        </w:rPr>
        <w:t>”</w:t>
      </w:r>
      <w:r w:rsidRPr="00556846">
        <w:rPr>
          <w:rFonts w:ascii="宋体" w:hAnsi="宋体" w:cs="宋体" w:hint="eastAsia"/>
          <w:color w:val="auto"/>
        </w:rPr>
        <w:t>）为基金管理人提供销售、销售支付、份额登记、估值核算、信息技术系统等业务的服务。本次基金业协会发布的《指引》重点关注了外包业务中基金销售、销售支付、份额登记和估值核算环节的制度安排，并要求基金销售和份额登记机构应通过基金中央数据交换平台交换基金份额（权益）、合同等基金销售信息及相关变更信息。</w:t>
      </w:r>
      <w:r w:rsidRPr="00556846">
        <w:rPr>
          <w:rFonts w:ascii="KaiTi_GB2312" w:eastAsia="Times New Roman" w:hAnsi="Times New Roman" w:cs="KaiTi_GB2312"/>
          <w:szCs w:val="21"/>
          <w:lang w:val="en-US"/>
        </w:rPr>
        <w:t>通过外包主要是可以降低基金公司的运行成本及运营风险，专注于投资业务，提高专业化的管理水平。《指引》的出台对基金行业发展具有积极意义。</w:t>
      </w:r>
    </w:p>
    <w:p w:rsidR="00D5205E" w:rsidRPr="00C01486" w:rsidRDefault="00D5205E" w:rsidP="00C01486">
      <w:pPr>
        <w:widowControl/>
        <w:spacing w:after="120" w:line="240" w:lineRule="exact"/>
        <w:ind w:left="3430"/>
        <w:rPr>
          <w:rFonts w:ascii="楷体" w:eastAsia="楷体" w:hAnsi="楷体"/>
          <w:b/>
          <w:bCs/>
          <w:color w:val="0070C0"/>
          <w:kern w:val="0"/>
          <w:sz w:val="24"/>
          <w:szCs w:val="20"/>
          <w:lang w:val="en-GB"/>
        </w:rPr>
      </w:pPr>
      <w:r>
        <w:rPr>
          <w:rFonts w:ascii="楷体" w:eastAsia="楷体" w:hAnsi="楷体" w:hint="eastAsia"/>
          <w:b/>
          <w:bCs/>
          <w:color w:val="0070C0"/>
          <w:kern w:val="0"/>
          <w:sz w:val="24"/>
          <w:szCs w:val="20"/>
          <w:lang w:val="en-GB"/>
        </w:rPr>
        <w:t>新发产品推荐</w:t>
      </w:r>
    </w:p>
    <w:p w:rsidR="00D5205E" w:rsidRPr="00C01486" w:rsidRDefault="00D5205E" w:rsidP="009206FD">
      <w:pPr>
        <w:pStyle w:val="BodyText"/>
        <w:numPr>
          <w:ilvl w:val="4"/>
          <w:numId w:val="1"/>
        </w:numPr>
        <w:spacing w:after="163"/>
        <w:rPr>
          <w:rFonts w:ascii="楷体" w:eastAsia="楷体" w:hAnsi="楷体"/>
          <w:b/>
          <w:color w:val="auto"/>
        </w:rPr>
      </w:pPr>
      <w:r w:rsidRPr="00A026A7">
        <w:rPr>
          <w:rFonts w:ascii="楷体" w:eastAsia="楷体" w:hAnsi="楷体" w:hint="eastAsia"/>
          <w:b/>
          <w:color w:val="auto"/>
        </w:rPr>
        <w:t>富国中证国有企业改革指数分级</w:t>
      </w:r>
      <w:r>
        <w:rPr>
          <w:rFonts w:ascii="楷体" w:eastAsia="楷体" w:hAnsi="楷体" w:hint="eastAsia"/>
          <w:b/>
          <w:color w:val="auto"/>
        </w:rPr>
        <w:t>基金</w:t>
      </w:r>
    </w:p>
    <w:p w:rsidR="00D5205E" w:rsidRPr="00B57A7E" w:rsidRDefault="00D5205E" w:rsidP="00212FA6">
      <w:pPr>
        <w:pStyle w:val="BodyText"/>
        <w:numPr>
          <w:ilvl w:val="5"/>
          <w:numId w:val="2"/>
        </w:numPr>
        <w:spacing w:after="163"/>
        <w:ind w:left="4140" w:hanging="369"/>
        <w:rPr>
          <w:color w:val="auto"/>
        </w:rPr>
      </w:pPr>
      <w:r>
        <w:rPr>
          <w:rFonts w:ascii="宋体" w:hAnsi="宋体" w:cs="宋体" w:hint="eastAsia"/>
          <w:b/>
          <w:color w:val="auto"/>
        </w:rPr>
        <w:t>关注国企改革主题机会</w:t>
      </w:r>
      <w:r w:rsidRPr="00B57A7E">
        <w:rPr>
          <w:rFonts w:ascii="宋体" w:hAnsi="宋体" w:cs="宋体" w:hint="eastAsia"/>
          <w:b/>
          <w:color w:val="auto"/>
        </w:rPr>
        <w:t>。</w:t>
      </w:r>
      <w:r w:rsidRPr="00B57A7E">
        <w:rPr>
          <w:rFonts w:ascii="宋体" w:hAnsi="宋体" w:cs="宋体" w:hint="eastAsia"/>
          <w:color w:val="auto"/>
        </w:rPr>
        <w:t>该基金是</w:t>
      </w:r>
      <w:r>
        <w:rPr>
          <w:rFonts w:ascii="宋体" w:hAnsi="宋体" w:cs="宋体" w:hint="eastAsia"/>
          <w:color w:val="auto"/>
        </w:rPr>
        <w:t>一只指数化基金，通过跟踪</w:t>
      </w:r>
      <w:r w:rsidRPr="006C1704">
        <w:rPr>
          <w:rFonts w:ascii="宋体" w:hAnsi="宋体" w:cs="宋体" w:hint="eastAsia"/>
          <w:color w:val="auto"/>
        </w:rPr>
        <w:t>中证国有企业改革指数</w:t>
      </w:r>
      <w:r>
        <w:rPr>
          <w:rFonts w:ascii="宋体" w:hAnsi="宋体" w:cs="宋体" w:hint="eastAsia"/>
          <w:color w:val="auto"/>
        </w:rPr>
        <w:t>把握国企改革主题机会</w:t>
      </w:r>
      <w:r w:rsidRPr="00B57A7E">
        <w:rPr>
          <w:rFonts w:ascii="宋体" w:hAnsi="宋体" w:cs="宋体" w:hint="eastAsia"/>
          <w:color w:val="auto"/>
        </w:rPr>
        <w:t>。</w:t>
      </w:r>
      <w:r>
        <w:rPr>
          <w:rFonts w:ascii="宋体" w:hAnsi="宋体" w:cs="宋体" w:hint="eastAsia"/>
          <w:color w:val="auto"/>
        </w:rPr>
        <w:t>根据指数编制规则，</w:t>
      </w:r>
      <w:r w:rsidRPr="00647555">
        <w:rPr>
          <w:rFonts w:ascii="宋体" w:hAnsi="宋体" w:cs="宋体" w:hint="eastAsia"/>
          <w:color w:val="auto"/>
        </w:rPr>
        <w:t>将全部发生及拟发生改革的国有企业公司作为待选样本</w:t>
      </w:r>
      <w:r>
        <w:rPr>
          <w:rFonts w:ascii="宋体" w:hAnsi="宋体" w:cs="宋体" w:hint="eastAsia"/>
          <w:color w:val="auto"/>
        </w:rPr>
        <w:t>，其中已出台相关股权激励方案、重大资产重组方案</w:t>
      </w:r>
      <w:r w:rsidRPr="00647555">
        <w:rPr>
          <w:rFonts w:ascii="宋体" w:hAnsi="宋体" w:cs="宋体" w:hint="eastAsia"/>
          <w:color w:val="auto"/>
        </w:rPr>
        <w:t>的国企改革事件优先入选，再从剩余预期发生改革的国企中按照过去一年日均总市值由高到低排名，选取不超过</w:t>
      </w:r>
      <w:r w:rsidRPr="00647555">
        <w:rPr>
          <w:color w:val="auto"/>
        </w:rPr>
        <w:t>100</w:t>
      </w:r>
      <w:r w:rsidRPr="00647555">
        <w:rPr>
          <w:rFonts w:ascii="宋体" w:hAnsi="宋体" w:cs="宋体" w:hint="eastAsia"/>
          <w:color w:val="auto"/>
        </w:rPr>
        <w:t>只股票构成指数样本股。</w:t>
      </w:r>
      <w:r w:rsidRPr="00875923">
        <w:rPr>
          <w:rFonts w:ascii="宋体" w:hAnsi="宋体" w:cs="宋体" w:hint="eastAsia"/>
          <w:color w:val="auto"/>
        </w:rPr>
        <w:t>从</w:t>
      </w:r>
      <w:r>
        <w:rPr>
          <w:rFonts w:ascii="宋体" w:hAnsi="宋体" w:cs="宋体" w:hint="eastAsia"/>
          <w:color w:val="auto"/>
        </w:rPr>
        <w:t>本</w:t>
      </w:r>
      <w:r w:rsidRPr="00875923">
        <w:rPr>
          <w:rFonts w:ascii="宋体" w:hAnsi="宋体" w:cs="宋体" w:hint="eastAsia"/>
          <w:color w:val="auto"/>
        </w:rPr>
        <w:t>届政府反腐到某些行政权力的放开等</w:t>
      </w:r>
      <w:r>
        <w:rPr>
          <w:rFonts w:ascii="宋体" w:hAnsi="宋体" w:cs="宋体" w:hint="eastAsia"/>
          <w:color w:val="auto"/>
        </w:rPr>
        <w:t>等举措来看</w:t>
      </w:r>
      <w:r w:rsidRPr="00875923">
        <w:rPr>
          <w:rFonts w:ascii="宋体" w:hAnsi="宋体" w:cs="宋体" w:hint="eastAsia"/>
          <w:color w:val="auto"/>
        </w:rPr>
        <w:t>，上层改革的决心</w:t>
      </w:r>
      <w:r>
        <w:rPr>
          <w:rFonts w:ascii="宋体" w:hAnsi="宋体" w:cs="宋体" w:hint="eastAsia"/>
          <w:color w:val="auto"/>
        </w:rPr>
        <w:t>已经</w:t>
      </w:r>
      <w:r w:rsidRPr="00875923">
        <w:rPr>
          <w:rFonts w:ascii="宋体" w:hAnsi="宋体" w:cs="宋体" w:hint="eastAsia"/>
          <w:color w:val="auto"/>
        </w:rPr>
        <w:t>充分</w:t>
      </w:r>
      <w:r>
        <w:rPr>
          <w:rFonts w:ascii="宋体" w:hAnsi="宋体" w:cs="宋体" w:hint="eastAsia"/>
          <w:color w:val="auto"/>
        </w:rPr>
        <w:t>的表达了出来</w:t>
      </w:r>
      <w:r w:rsidRPr="00875923">
        <w:rPr>
          <w:rFonts w:ascii="宋体" w:hAnsi="宋体" w:cs="宋体" w:hint="eastAsia"/>
          <w:color w:val="auto"/>
        </w:rPr>
        <w:t>，</w:t>
      </w:r>
      <w:r>
        <w:rPr>
          <w:rFonts w:ascii="宋体" w:hAnsi="宋体" w:cs="宋体" w:hint="eastAsia"/>
          <w:color w:val="auto"/>
        </w:rPr>
        <w:t>对于国企改革想必也会强力推进，加上</w:t>
      </w:r>
      <w:r w:rsidRPr="003B3889">
        <w:rPr>
          <w:rFonts w:ascii="宋体" w:hAnsi="宋体" w:cs="宋体" w:hint="eastAsia"/>
          <w:color w:val="auto"/>
        </w:rPr>
        <w:t>市场上有上千家国企，不可能一蹴而就</w:t>
      </w:r>
      <w:r>
        <w:rPr>
          <w:rFonts w:ascii="宋体" w:hAnsi="宋体" w:cs="宋体" w:hint="eastAsia"/>
          <w:color w:val="auto"/>
        </w:rPr>
        <w:t>，因此触发的各项事件驱动机会将会长期存在</w:t>
      </w:r>
      <w:r w:rsidRPr="00875923">
        <w:rPr>
          <w:rFonts w:ascii="宋体" w:hAnsi="宋体" w:cs="宋体" w:hint="eastAsia"/>
          <w:color w:val="auto"/>
        </w:rPr>
        <w:t>。</w:t>
      </w:r>
      <w:r>
        <w:rPr>
          <w:rFonts w:ascii="宋体" w:hAnsi="宋体" w:cs="宋体" w:hint="eastAsia"/>
          <w:color w:val="auto"/>
        </w:rPr>
        <w:t>该基金通过指数化投资的方式，将能够较好的持续把握这一重大事件所引发的投资机会。</w:t>
      </w:r>
    </w:p>
    <w:p w:rsidR="00D5205E" w:rsidRPr="00096F44" w:rsidRDefault="00D5205E" w:rsidP="00212FA6">
      <w:pPr>
        <w:pStyle w:val="BodyText"/>
        <w:numPr>
          <w:ilvl w:val="5"/>
          <w:numId w:val="2"/>
        </w:numPr>
        <w:spacing w:after="163"/>
        <w:ind w:left="4140" w:hanging="369"/>
        <w:rPr>
          <w:color w:val="auto"/>
        </w:rPr>
      </w:pPr>
      <w:r>
        <w:rPr>
          <w:rFonts w:ascii="宋体" w:hAnsi="宋体" w:cs="宋体" w:hint="eastAsia"/>
          <w:b/>
          <w:color w:val="auto"/>
        </w:rPr>
        <w:t>分级设计，放大收益成果</w:t>
      </w:r>
      <w:r w:rsidRPr="00B57A7E">
        <w:rPr>
          <w:rFonts w:ascii="宋体" w:hAnsi="宋体" w:cs="宋体" w:hint="eastAsia"/>
          <w:b/>
          <w:color w:val="auto"/>
        </w:rPr>
        <w:t>。</w:t>
      </w:r>
      <w:r w:rsidRPr="00B57A7E">
        <w:rPr>
          <w:rFonts w:ascii="宋体" w:hAnsi="宋体" w:cs="宋体" w:hint="eastAsia"/>
          <w:color w:val="auto"/>
        </w:rPr>
        <w:t>该基金</w:t>
      </w:r>
      <w:r>
        <w:rPr>
          <w:rFonts w:ascii="宋体" w:hAnsi="宋体" w:cs="宋体" w:hint="eastAsia"/>
          <w:color w:val="auto"/>
        </w:rPr>
        <w:t>采用分级方式</w:t>
      </w:r>
      <w:r w:rsidRPr="00B50551">
        <w:rPr>
          <w:rFonts w:ascii="宋体" w:hAnsi="宋体" w:cs="宋体" w:hint="eastAsia"/>
          <w:color w:val="auto"/>
        </w:rPr>
        <w:t>设计，基金份额包括富国国企改革份额</w:t>
      </w:r>
      <w:r w:rsidRPr="00B50551">
        <w:rPr>
          <w:color w:val="auto"/>
        </w:rPr>
        <w:t>(</w:t>
      </w:r>
      <w:r w:rsidRPr="00B50551">
        <w:rPr>
          <w:rFonts w:ascii="宋体" w:hAnsi="宋体" w:cs="宋体" w:hint="eastAsia"/>
          <w:color w:val="auto"/>
        </w:rPr>
        <w:t>母份额</w:t>
      </w:r>
      <w:r w:rsidRPr="00B50551">
        <w:rPr>
          <w:color w:val="auto"/>
        </w:rPr>
        <w:t>)</w:t>
      </w:r>
      <w:r w:rsidRPr="00B50551">
        <w:rPr>
          <w:rFonts w:ascii="宋体" w:hAnsi="宋体" w:cs="宋体" w:hint="eastAsia"/>
          <w:color w:val="auto"/>
        </w:rPr>
        <w:t>、富国国企改革</w:t>
      </w:r>
      <w:r w:rsidRPr="00B50551">
        <w:rPr>
          <w:color w:val="auto"/>
        </w:rPr>
        <w:t>A</w:t>
      </w:r>
      <w:r w:rsidRPr="00B50551">
        <w:rPr>
          <w:rFonts w:ascii="宋体" w:hAnsi="宋体" w:cs="宋体" w:hint="eastAsia"/>
          <w:color w:val="auto"/>
        </w:rPr>
        <w:t>份额与富国国企改革</w:t>
      </w:r>
      <w:r w:rsidRPr="00B50551">
        <w:rPr>
          <w:color w:val="auto"/>
        </w:rPr>
        <w:t>B</w:t>
      </w:r>
      <w:r w:rsidRPr="00B50551">
        <w:rPr>
          <w:rFonts w:ascii="宋体" w:hAnsi="宋体" w:cs="宋体" w:hint="eastAsia"/>
          <w:color w:val="auto"/>
        </w:rPr>
        <w:t>份额。其中，</w:t>
      </w:r>
      <w:r w:rsidRPr="00B50551">
        <w:rPr>
          <w:color w:val="auto"/>
        </w:rPr>
        <w:t xml:space="preserve"> A</w:t>
      </w:r>
      <w:r w:rsidRPr="00B50551">
        <w:rPr>
          <w:rFonts w:ascii="宋体" w:hAnsi="宋体" w:cs="宋体" w:hint="eastAsia"/>
          <w:color w:val="auto"/>
        </w:rPr>
        <w:t>份额与</w:t>
      </w:r>
      <w:r w:rsidRPr="00B50551">
        <w:rPr>
          <w:color w:val="auto"/>
        </w:rPr>
        <w:t>B</w:t>
      </w:r>
      <w:r w:rsidRPr="00B50551">
        <w:rPr>
          <w:rFonts w:ascii="宋体" w:hAnsi="宋体" w:cs="宋体" w:hint="eastAsia"/>
          <w:color w:val="auto"/>
        </w:rPr>
        <w:t>份额的配比始终保持</w:t>
      </w:r>
      <w:r w:rsidRPr="00B50551">
        <w:rPr>
          <w:color w:val="auto"/>
        </w:rPr>
        <w:t>1:1</w:t>
      </w:r>
      <w:r w:rsidRPr="00B50551">
        <w:rPr>
          <w:rFonts w:ascii="宋体" w:hAnsi="宋体" w:cs="宋体" w:hint="eastAsia"/>
          <w:color w:val="auto"/>
        </w:rPr>
        <w:t>的比率不变。富国国企改革</w:t>
      </w:r>
      <w:r w:rsidRPr="00B50551">
        <w:rPr>
          <w:color w:val="auto"/>
        </w:rPr>
        <w:t>A</w:t>
      </w:r>
      <w:r w:rsidRPr="00B50551">
        <w:rPr>
          <w:rFonts w:ascii="宋体" w:hAnsi="宋体" w:cs="宋体" w:hint="eastAsia"/>
          <w:color w:val="auto"/>
        </w:rPr>
        <w:t>份额的约定年基准收益率为</w:t>
      </w:r>
      <w:r w:rsidRPr="00B50551">
        <w:rPr>
          <w:color w:val="auto"/>
        </w:rPr>
        <w:t>“</w:t>
      </w:r>
      <w:r w:rsidRPr="00B50551">
        <w:rPr>
          <w:rFonts w:ascii="宋体" w:hAnsi="宋体" w:cs="宋体" w:hint="eastAsia"/>
          <w:color w:val="auto"/>
        </w:rPr>
        <w:t>同期银行人民币一年期定期存款利率</w:t>
      </w:r>
      <w:r w:rsidRPr="00B50551">
        <w:rPr>
          <w:color w:val="auto"/>
        </w:rPr>
        <w:t>(</w:t>
      </w:r>
      <w:r w:rsidRPr="00B50551">
        <w:rPr>
          <w:rFonts w:ascii="宋体" w:hAnsi="宋体" w:cs="宋体" w:hint="eastAsia"/>
          <w:color w:val="auto"/>
        </w:rPr>
        <w:t>税后</w:t>
      </w:r>
      <w:r w:rsidRPr="00B50551">
        <w:rPr>
          <w:color w:val="auto"/>
        </w:rPr>
        <w:t>)+3%”</w:t>
      </w:r>
      <w:r w:rsidRPr="00B50551">
        <w:rPr>
          <w:rFonts w:ascii="宋体" w:hAnsi="宋体" w:cs="宋体" w:hint="eastAsia"/>
          <w:color w:val="auto"/>
        </w:rPr>
        <w:t>。按照当前一年期银行定期存款利率</w:t>
      </w:r>
      <w:r w:rsidRPr="00B50551">
        <w:rPr>
          <w:color w:val="auto"/>
        </w:rPr>
        <w:t>2.75%</w:t>
      </w:r>
      <w:r w:rsidRPr="00B50551">
        <w:rPr>
          <w:rFonts w:ascii="宋体" w:hAnsi="宋体" w:cs="宋体" w:hint="eastAsia"/>
          <w:color w:val="auto"/>
        </w:rPr>
        <w:t>计算，富国国企改革</w:t>
      </w:r>
      <w:r w:rsidRPr="00B50551">
        <w:rPr>
          <w:color w:val="auto"/>
        </w:rPr>
        <w:t>A</w:t>
      </w:r>
      <w:r w:rsidRPr="00B50551">
        <w:rPr>
          <w:rFonts w:ascii="宋体" w:hAnsi="宋体" w:cs="宋体" w:hint="eastAsia"/>
          <w:color w:val="auto"/>
        </w:rPr>
        <w:t>份额的首期约定年基准收益率为</w:t>
      </w:r>
      <w:r w:rsidRPr="00B50551">
        <w:rPr>
          <w:color w:val="auto"/>
        </w:rPr>
        <w:t>5.75%</w:t>
      </w:r>
      <w:r>
        <w:rPr>
          <w:rFonts w:ascii="宋体" w:hAnsi="宋体" w:cs="宋体" w:hint="eastAsia"/>
          <w:color w:val="auto"/>
        </w:rPr>
        <w:t>，</w:t>
      </w:r>
      <w:r w:rsidRPr="00B50551">
        <w:rPr>
          <w:rFonts w:ascii="宋体" w:hAnsi="宋体" w:cs="宋体" w:hint="eastAsia"/>
          <w:color w:val="auto"/>
        </w:rPr>
        <w:t>富国国企改革</w:t>
      </w:r>
      <w:r w:rsidRPr="00B50551">
        <w:rPr>
          <w:color w:val="auto"/>
        </w:rPr>
        <w:t>B</w:t>
      </w:r>
      <w:r w:rsidRPr="00B50551">
        <w:rPr>
          <w:rFonts w:ascii="宋体" w:hAnsi="宋体" w:cs="宋体" w:hint="eastAsia"/>
          <w:color w:val="auto"/>
        </w:rPr>
        <w:t>份额的初始杠杆为</w:t>
      </w:r>
      <w:r w:rsidRPr="00B50551">
        <w:rPr>
          <w:color w:val="auto"/>
        </w:rPr>
        <w:t>2</w:t>
      </w:r>
      <w:r>
        <w:rPr>
          <w:rFonts w:ascii="宋体" w:hAnsi="宋体" w:cs="宋体" w:hint="eastAsia"/>
          <w:color w:val="auto"/>
        </w:rPr>
        <w:t>倍</w:t>
      </w:r>
      <w:r w:rsidRPr="005716FA">
        <w:rPr>
          <w:rFonts w:ascii="宋体" w:hAnsi="宋体" w:cs="宋体" w:hint="eastAsia"/>
          <w:color w:val="auto"/>
        </w:rPr>
        <w:t>。</w:t>
      </w:r>
      <w:r>
        <w:rPr>
          <w:rFonts w:ascii="宋体" w:hAnsi="宋体" w:cs="宋体" w:hint="eastAsia"/>
          <w:color w:val="auto"/>
        </w:rPr>
        <w:t>在当前</w:t>
      </w:r>
      <w:r>
        <w:rPr>
          <w:color w:val="auto"/>
        </w:rPr>
        <w:t>A</w:t>
      </w:r>
      <w:r>
        <w:rPr>
          <w:rFonts w:ascii="宋体" w:hAnsi="宋体" w:cs="宋体" w:hint="eastAsia"/>
          <w:color w:val="auto"/>
        </w:rPr>
        <w:t>股市场受资金推动助力上涨的背景下，杠杆基金将具备一定的放大收益优势。当然，其所面临的潜在波动风险也是需要关注的。</w:t>
      </w:r>
    </w:p>
    <w:tbl>
      <w:tblPr>
        <w:tblW w:w="7725" w:type="dxa"/>
        <w:tblInd w:w="3119"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523"/>
        <w:gridCol w:w="1240"/>
        <w:gridCol w:w="1241"/>
        <w:gridCol w:w="1240"/>
        <w:gridCol w:w="1240"/>
        <w:gridCol w:w="1241"/>
      </w:tblGrid>
      <w:tr w:rsidR="00D5205E" w:rsidRPr="00056432" w:rsidTr="00D92D8A">
        <w:trPr>
          <w:cantSplit/>
          <w:trHeight w:val="65"/>
        </w:trPr>
        <w:tc>
          <w:tcPr>
            <w:tcW w:w="7725" w:type="dxa"/>
            <w:gridSpan w:val="6"/>
            <w:vAlign w:val="center"/>
          </w:tcPr>
          <w:p w:rsidR="00D5205E" w:rsidRPr="00656031" w:rsidRDefault="00D5205E" w:rsidP="00D92D8A">
            <w:pPr>
              <w:pStyle w:val="SubTitleLargeTable"/>
              <w:pBdr>
                <w:top w:val="none" w:sz="0" w:space="0" w:color="auto"/>
              </w:pBdr>
              <w:rPr>
                <w:rFonts w:ascii="宋体" w:hAnsi="宋体"/>
                <w:b w:val="0"/>
                <w:color w:val="FF6600"/>
              </w:rPr>
            </w:pPr>
            <w:r w:rsidRPr="00656031">
              <w:rPr>
                <w:rFonts w:ascii="宋体" w:hAnsi="宋体" w:cs="宋体" w:hint="eastAsia"/>
                <w:color w:val="FF6600"/>
              </w:rPr>
              <w:t>图表</w:t>
            </w:r>
            <w:r>
              <w:rPr>
                <w:color w:val="FF6600"/>
              </w:rPr>
              <w:t>2</w:t>
            </w:r>
            <w:r w:rsidRPr="00656031">
              <w:rPr>
                <w:rFonts w:ascii="宋体" w:hAnsi="宋体" w:cs="宋体" w:hint="eastAsia"/>
                <w:color w:val="FF6600"/>
              </w:rPr>
              <w:t>：</w:t>
            </w:r>
            <w:r w:rsidRPr="004D7299">
              <w:rPr>
                <w:rFonts w:ascii="宋体" w:hAnsi="宋体" w:cs="宋体" w:hint="eastAsia"/>
                <w:color w:val="FF6600"/>
              </w:rPr>
              <w:t>富国中证国有企业改革指数分级基金</w:t>
            </w:r>
            <w:r>
              <w:rPr>
                <w:rFonts w:ascii="宋体" w:hAnsi="宋体" w:cs="宋体" w:hint="eastAsia"/>
                <w:color w:val="FF6600"/>
              </w:rPr>
              <w:t>简介</w:t>
            </w:r>
          </w:p>
        </w:tc>
      </w:tr>
      <w:tr w:rsidR="00D5205E" w:rsidRPr="00056432" w:rsidTr="00D92D8A">
        <w:trPr>
          <w:cantSplit/>
          <w:trHeight w:val="276"/>
        </w:trPr>
        <w:tc>
          <w:tcPr>
            <w:tcW w:w="1523" w:type="dxa"/>
            <w:tcBorders>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基金名称</w:t>
            </w:r>
          </w:p>
        </w:tc>
        <w:tc>
          <w:tcPr>
            <w:tcW w:w="6202" w:type="dxa"/>
            <w:gridSpan w:val="5"/>
            <w:tcBorders>
              <w:left w:val="single" w:sz="6" w:space="0" w:color="FF6600"/>
            </w:tcBorders>
            <w:vAlign w:val="center"/>
          </w:tcPr>
          <w:p w:rsidR="00D5205E" w:rsidRPr="00056432" w:rsidRDefault="00D5205E" w:rsidP="00D92D8A">
            <w:pPr>
              <w:snapToGrid w:val="0"/>
              <w:spacing w:line="10" w:lineRule="atLeast"/>
              <w:jc w:val="center"/>
              <w:rPr>
                <w:rFonts w:ascii="宋体"/>
                <w:sz w:val="15"/>
                <w:szCs w:val="15"/>
              </w:rPr>
            </w:pPr>
            <w:r w:rsidRPr="00056432">
              <w:rPr>
                <w:rFonts w:ascii="宋体" w:hAnsi="宋体" w:cs="宋体" w:hint="eastAsia"/>
                <w:sz w:val="15"/>
                <w:szCs w:val="15"/>
              </w:rPr>
              <w:t></w:t>
            </w:r>
            <w:r w:rsidRPr="00056432">
              <w:t xml:space="preserve"> </w:t>
            </w:r>
            <w:r w:rsidRPr="00056432">
              <w:rPr>
                <w:rFonts w:ascii="宋体" w:hAnsi="宋体" w:hint="eastAsia"/>
                <w:sz w:val="15"/>
                <w:szCs w:val="15"/>
              </w:rPr>
              <w:t>富国中证国有企业改革指数分级基金</w:t>
            </w:r>
          </w:p>
        </w:tc>
      </w:tr>
      <w:tr w:rsidR="00D5205E" w:rsidRPr="00056432" w:rsidTr="00D92D8A">
        <w:trPr>
          <w:cantSplit/>
          <w:trHeight w:val="269"/>
        </w:trPr>
        <w:tc>
          <w:tcPr>
            <w:tcW w:w="1523" w:type="dxa"/>
            <w:tcBorders>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市场代码</w:t>
            </w:r>
          </w:p>
        </w:tc>
        <w:tc>
          <w:tcPr>
            <w:tcW w:w="1240" w:type="dxa"/>
            <w:tcBorders>
              <w:left w:val="single" w:sz="6" w:space="0" w:color="FF6600"/>
              <w:right w:val="single" w:sz="6" w:space="0" w:color="FF6600"/>
            </w:tcBorders>
            <w:vAlign w:val="center"/>
          </w:tcPr>
          <w:p w:rsidR="00D5205E" w:rsidRPr="00056432" w:rsidRDefault="00D5205E" w:rsidP="00E30B81">
            <w:pPr>
              <w:snapToGrid w:val="0"/>
              <w:spacing w:line="10" w:lineRule="atLeast"/>
              <w:jc w:val="center"/>
              <w:rPr>
                <w:rFonts w:ascii="宋体"/>
                <w:sz w:val="15"/>
                <w:szCs w:val="15"/>
              </w:rPr>
            </w:pPr>
            <w:r w:rsidRPr="00056432">
              <w:rPr>
                <w:rFonts w:ascii="宋体" w:hAnsi="宋体"/>
                <w:sz w:val="15"/>
                <w:szCs w:val="15"/>
              </w:rPr>
              <w:t>161026</w:t>
            </w:r>
          </w:p>
        </w:tc>
        <w:tc>
          <w:tcPr>
            <w:tcW w:w="1241"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基金公司</w:t>
            </w:r>
          </w:p>
        </w:tc>
        <w:tc>
          <w:tcPr>
            <w:tcW w:w="1240" w:type="dxa"/>
            <w:tcBorders>
              <w:left w:val="single" w:sz="6" w:space="0" w:color="FF6600"/>
              <w:right w:val="single" w:sz="6" w:space="0" w:color="FF6600"/>
            </w:tcBorders>
            <w:vAlign w:val="center"/>
          </w:tcPr>
          <w:p w:rsidR="00D5205E" w:rsidRPr="00056432" w:rsidRDefault="00D5205E" w:rsidP="00BE7FD9">
            <w:pPr>
              <w:snapToGrid w:val="0"/>
              <w:spacing w:line="10" w:lineRule="atLeast"/>
              <w:ind w:firstLineChars="200" w:firstLine="300"/>
              <w:rPr>
                <w:rFonts w:ascii="宋体"/>
                <w:sz w:val="15"/>
                <w:szCs w:val="15"/>
              </w:rPr>
            </w:pPr>
            <w:r w:rsidRPr="00056432">
              <w:rPr>
                <w:rFonts w:ascii="宋体" w:hAnsi="宋体" w:hint="eastAsia"/>
                <w:sz w:val="15"/>
                <w:szCs w:val="15"/>
              </w:rPr>
              <w:t>富国基金</w:t>
            </w:r>
          </w:p>
        </w:tc>
        <w:tc>
          <w:tcPr>
            <w:tcW w:w="1240"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基金经理</w:t>
            </w:r>
          </w:p>
        </w:tc>
        <w:tc>
          <w:tcPr>
            <w:tcW w:w="1241" w:type="dxa"/>
            <w:tcBorders>
              <w:left w:val="single" w:sz="6" w:space="0" w:color="FF6600"/>
            </w:tcBorders>
            <w:vAlign w:val="center"/>
          </w:tcPr>
          <w:p w:rsidR="00D5205E" w:rsidRPr="00056432" w:rsidRDefault="00D5205E" w:rsidP="00BB3278">
            <w:pPr>
              <w:snapToGrid w:val="0"/>
              <w:spacing w:line="10" w:lineRule="atLeast"/>
              <w:jc w:val="center"/>
              <w:rPr>
                <w:rFonts w:ascii="宋体"/>
                <w:sz w:val="15"/>
                <w:szCs w:val="15"/>
              </w:rPr>
            </w:pPr>
            <w:r w:rsidRPr="00056432">
              <w:rPr>
                <w:rFonts w:ascii="宋体" w:hAnsi="宋体" w:hint="eastAsia"/>
                <w:sz w:val="15"/>
                <w:szCs w:val="15"/>
              </w:rPr>
              <w:t>章椹元</w:t>
            </w:r>
          </w:p>
        </w:tc>
      </w:tr>
      <w:tr w:rsidR="00D5205E" w:rsidRPr="00056432" w:rsidTr="00B7662B">
        <w:trPr>
          <w:cantSplit/>
          <w:trHeight w:val="979"/>
        </w:trPr>
        <w:tc>
          <w:tcPr>
            <w:tcW w:w="1523" w:type="dxa"/>
            <w:tcBorders>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投资策略</w:t>
            </w:r>
          </w:p>
        </w:tc>
        <w:tc>
          <w:tcPr>
            <w:tcW w:w="6202" w:type="dxa"/>
            <w:gridSpan w:val="5"/>
            <w:tcBorders>
              <w:left w:val="single" w:sz="6" w:space="0" w:color="FF6600"/>
            </w:tcBorders>
            <w:vAlign w:val="center"/>
          </w:tcPr>
          <w:p w:rsidR="00D5205E" w:rsidRPr="00056432" w:rsidRDefault="00D5205E" w:rsidP="0013611B">
            <w:pPr>
              <w:snapToGrid w:val="0"/>
              <w:spacing w:line="10" w:lineRule="atLeast"/>
              <w:ind w:firstLineChars="200" w:firstLine="300"/>
              <w:rPr>
                <w:rFonts w:ascii="宋体"/>
                <w:sz w:val="15"/>
                <w:szCs w:val="15"/>
              </w:rPr>
            </w:pPr>
            <w:r w:rsidRPr="00056432">
              <w:rPr>
                <w:rFonts w:ascii="宋体" w:hAnsi="宋体" w:hint="eastAsia"/>
                <w:sz w:val="15"/>
                <w:szCs w:val="15"/>
              </w:rPr>
              <w:t>该基金采用指数化投资策略，紧密跟踪中证国有企业改革指数。在正常市场情况下，力争将基金的净值增长率与业绩比较基准之间的日均跟踪偏离度绝对值控制在</w:t>
            </w:r>
            <w:r w:rsidRPr="00056432">
              <w:rPr>
                <w:rFonts w:ascii="宋体" w:hAnsi="宋体"/>
                <w:sz w:val="15"/>
                <w:szCs w:val="15"/>
              </w:rPr>
              <w:t>0.35%</w:t>
            </w:r>
            <w:r w:rsidRPr="00056432">
              <w:rPr>
                <w:rFonts w:ascii="宋体" w:hAnsi="宋体" w:hint="eastAsia"/>
                <w:sz w:val="15"/>
                <w:szCs w:val="15"/>
              </w:rPr>
              <w:t>以内，年跟踪误差控制在</w:t>
            </w:r>
            <w:r w:rsidRPr="00056432">
              <w:rPr>
                <w:rFonts w:ascii="宋体" w:hAnsi="宋体"/>
                <w:sz w:val="15"/>
                <w:szCs w:val="15"/>
              </w:rPr>
              <w:t>4%</w:t>
            </w:r>
            <w:r w:rsidRPr="00056432">
              <w:rPr>
                <w:rFonts w:ascii="宋体" w:hAnsi="宋体" w:hint="eastAsia"/>
                <w:sz w:val="15"/>
                <w:szCs w:val="15"/>
              </w:rPr>
              <w:t>以内。基金股票资产投资比例不低于基金资产的</w:t>
            </w:r>
            <w:r w:rsidRPr="00056432">
              <w:rPr>
                <w:rFonts w:ascii="宋体" w:hAnsi="宋体"/>
                <w:sz w:val="15"/>
                <w:szCs w:val="15"/>
              </w:rPr>
              <w:t>90%</w:t>
            </w:r>
            <w:r w:rsidRPr="00056432">
              <w:rPr>
                <w:rFonts w:ascii="宋体" w:hAnsi="宋体" w:hint="eastAsia"/>
                <w:sz w:val="15"/>
                <w:szCs w:val="15"/>
              </w:rPr>
              <w:t>，其中投资于中证国有企业改革指数成份股和备选成份股的资产不低于非现金基金资产的</w:t>
            </w:r>
            <w:r w:rsidRPr="00056432">
              <w:rPr>
                <w:rFonts w:ascii="宋体" w:hAnsi="宋体"/>
                <w:sz w:val="15"/>
                <w:szCs w:val="15"/>
              </w:rPr>
              <w:t>80%</w:t>
            </w:r>
            <w:r w:rsidRPr="00056432">
              <w:rPr>
                <w:rFonts w:ascii="宋体" w:hAnsi="宋体" w:hint="eastAsia"/>
                <w:sz w:val="15"/>
                <w:szCs w:val="15"/>
              </w:rPr>
              <w:t>。</w:t>
            </w:r>
          </w:p>
        </w:tc>
      </w:tr>
      <w:tr w:rsidR="00D5205E" w:rsidRPr="00056432" w:rsidTr="00D92D8A">
        <w:trPr>
          <w:cantSplit/>
          <w:trHeight w:val="273"/>
        </w:trPr>
        <w:tc>
          <w:tcPr>
            <w:tcW w:w="1523" w:type="dxa"/>
            <w:tcBorders>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业绩比较基准</w:t>
            </w:r>
          </w:p>
        </w:tc>
        <w:tc>
          <w:tcPr>
            <w:tcW w:w="6202" w:type="dxa"/>
            <w:gridSpan w:val="5"/>
            <w:tcBorders>
              <w:left w:val="single" w:sz="6" w:space="0" w:color="FF6600"/>
            </w:tcBorders>
            <w:vAlign w:val="center"/>
          </w:tcPr>
          <w:p w:rsidR="00D5205E" w:rsidRPr="00056432" w:rsidRDefault="00D5205E" w:rsidP="0077447D">
            <w:pPr>
              <w:snapToGrid w:val="0"/>
              <w:spacing w:line="10" w:lineRule="atLeast"/>
              <w:jc w:val="center"/>
              <w:rPr>
                <w:rFonts w:ascii="宋体"/>
                <w:sz w:val="15"/>
                <w:szCs w:val="15"/>
              </w:rPr>
            </w:pPr>
            <w:r w:rsidRPr="00056432">
              <w:rPr>
                <w:rFonts w:ascii="宋体" w:hAnsi="宋体" w:hint="eastAsia"/>
                <w:sz w:val="15"/>
                <w:szCs w:val="15"/>
              </w:rPr>
              <w:t>中证国有企业改革指数</w:t>
            </w:r>
          </w:p>
        </w:tc>
      </w:tr>
    </w:tbl>
    <w:p w:rsidR="00D5205E" w:rsidRPr="00961E7F" w:rsidRDefault="00D5205E" w:rsidP="009206FD">
      <w:pPr>
        <w:pStyle w:val="FootnoteNoline"/>
        <w:rPr>
          <w:rFonts w:ascii="楷体" w:eastAsia="楷体" w:hAnsi="楷体"/>
          <w:color w:val="FF6600"/>
        </w:rPr>
      </w:pPr>
      <w:r w:rsidRPr="00961E7F">
        <w:rPr>
          <w:rFonts w:ascii="楷体" w:eastAsia="楷体" w:hAnsi="楷体" w:hint="eastAsia"/>
          <w:color w:val="FF6600"/>
        </w:rPr>
        <w:t>来源：凯石财富工场</w:t>
      </w:r>
    </w:p>
    <w:p w:rsidR="00D5205E" w:rsidRPr="006C59A6" w:rsidRDefault="00D5205E" w:rsidP="00C01486">
      <w:pPr>
        <w:pStyle w:val="BodyText"/>
        <w:numPr>
          <w:ilvl w:val="4"/>
          <w:numId w:val="1"/>
        </w:numPr>
        <w:spacing w:after="163"/>
        <w:rPr>
          <w:b/>
          <w:color w:val="auto"/>
        </w:rPr>
      </w:pPr>
      <w:bookmarkStart w:id="0" w:name="_Hlk395170995"/>
      <w:r w:rsidRPr="00CA6171">
        <w:rPr>
          <w:rFonts w:ascii="宋体" w:hAnsi="宋体" w:cs="宋体" w:hint="eastAsia"/>
          <w:b/>
          <w:color w:val="auto"/>
        </w:rPr>
        <w:t>上投摩根纯债添利债券</w:t>
      </w:r>
      <w:r>
        <w:rPr>
          <w:rFonts w:ascii="宋体" w:hAnsi="宋体" w:cs="宋体" w:hint="eastAsia"/>
          <w:b/>
          <w:color w:val="auto"/>
        </w:rPr>
        <w:t>型基金</w:t>
      </w:r>
      <w:bookmarkEnd w:id="0"/>
    </w:p>
    <w:p w:rsidR="00D5205E" w:rsidRDefault="00D5205E" w:rsidP="00B57A7E">
      <w:pPr>
        <w:pStyle w:val="BodyText"/>
        <w:numPr>
          <w:ilvl w:val="5"/>
          <w:numId w:val="2"/>
        </w:numPr>
        <w:spacing w:after="163"/>
        <w:ind w:left="4140" w:hanging="369"/>
        <w:rPr>
          <w:color w:val="auto"/>
        </w:rPr>
      </w:pPr>
      <w:r>
        <w:rPr>
          <w:rFonts w:ascii="宋体" w:hAnsi="宋体" w:cs="宋体" w:hint="eastAsia"/>
          <w:b/>
          <w:color w:val="auto"/>
        </w:rPr>
        <w:t>把握流动性宽松下的债市投资机会</w:t>
      </w:r>
      <w:r w:rsidRPr="00B57A7E">
        <w:rPr>
          <w:rFonts w:ascii="宋体" w:hAnsi="宋体" w:cs="宋体" w:hint="eastAsia"/>
          <w:b/>
          <w:color w:val="auto"/>
        </w:rPr>
        <w:t>。</w:t>
      </w:r>
      <w:r w:rsidRPr="00FF512E">
        <w:rPr>
          <w:rFonts w:ascii="宋体" w:hAnsi="宋体" w:cs="宋体" w:hint="eastAsia"/>
          <w:color w:val="auto"/>
        </w:rPr>
        <w:t>前不久央行意外下调了金融机构人民币贷款和存款基准利率</w:t>
      </w:r>
      <w:r>
        <w:rPr>
          <w:rFonts w:ascii="宋体" w:hAnsi="宋体" w:cs="宋体" w:hint="eastAsia"/>
          <w:color w:val="auto"/>
        </w:rPr>
        <w:t>，除了降息时点超预期提前之外，其所预示的货币政策真正放松的方向性意义更加显著，从流动性释放角度来讲，对于债券市场可谓是重大利好</w:t>
      </w:r>
      <w:r w:rsidRPr="00157F7A">
        <w:rPr>
          <w:rFonts w:ascii="宋体" w:hAnsi="宋体" w:cs="宋体" w:hint="eastAsia"/>
          <w:color w:val="auto"/>
        </w:rPr>
        <w:t>。</w:t>
      </w:r>
      <w:r w:rsidRPr="00CA24BD">
        <w:rPr>
          <w:rFonts w:ascii="宋体" w:hAnsi="宋体" w:cs="宋体" w:hint="eastAsia"/>
          <w:color w:val="auto"/>
        </w:rPr>
        <w:t>伴随着本次降息，央行继续缩减了</w:t>
      </w:r>
      <w:r>
        <w:rPr>
          <w:rFonts w:ascii="宋体" w:hAnsi="宋体" w:cs="宋体" w:hint="eastAsia"/>
          <w:color w:val="auto"/>
        </w:rPr>
        <w:t>正回购的规模并调低了利率水平</w:t>
      </w:r>
      <w:r w:rsidRPr="00CA24BD">
        <w:rPr>
          <w:rFonts w:ascii="宋体" w:hAnsi="宋体" w:cs="宋体" w:hint="eastAsia"/>
          <w:color w:val="auto"/>
        </w:rPr>
        <w:t>，可见，降低资金成本、托底经济的意图已经十分的明显</w:t>
      </w:r>
      <w:r>
        <w:rPr>
          <w:rFonts w:ascii="宋体" w:hAnsi="宋体" w:cs="宋体" w:hint="eastAsia"/>
          <w:color w:val="auto"/>
        </w:rPr>
        <w:t>，</w:t>
      </w:r>
      <w:r>
        <w:rPr>
          <w:rFonts w:ascii="宋体" w:hAnsi="宋体" w:cs="宋体" w:hint="eastAsia"/>
        </w:rPr>
        <w:t>未来降息所引发的流动性宽松将继续有利于债市收益率短期形成下行趋势</w:t>
      </w:r>
      <w:r>
        <w:rPr>
          <w:rFonts w:ascii="宋体" w:hAnsi="宋体" w:cs="宋体" w:hint="eastAsia"/>
          <w:color w:val="auto"/>
        </w:rPr>
        <w:t>。</w:t>
      </w:r>
      <w:r w:rsidRPr="00FE174D">
        <w:rPr>
          <w:rFonts w:ascii="宋体" w:hAnsi="宋体" w:cs="宋体" w:hint="eastAsia"/>
          <w:color w:val="auto"/>
        </w:rPr>
        <w:t>上投摩根纯债添利基金以债券市场投资为主，基金债券资产占基金资产的比例不低于</w:t>
      </w:r>
      <w:r w:rsidRPr="00FE174D">
        <w:rPr>
          <w:color w:val="auto"/>
        </w:rPr>
        <w:t>80</w:t>
      </w:r>
      <w:r w:rsidRPr="00FE174D">
        <w:rPr>
          <w:rFonts w:ascii="宋体" w:hAnsi="宋体" w:cs="宋体" w:hint="eastAsia"/>
          <w:color w:val="auto"/>
        </w:rPr>
        <w:t>％</w:t>
      </w:r>
      <w:r>
        <w:rPr>
          <w:rFonts w:ascii="宋体" w:hAnsi="宋体" w:cs="宋体" w:hint="eastAsia"/>
          <w:color w:val="auto"/>
        </w:rPr>
        <w:t>，在此背景下，其投资价值将值得关注。</w:t>
      </w:r>
    </w:p>
    <w:p w:rsidR="00D5205E" w:rsidRPr="005D4D0B" w:rsidRDefault="00D5205E" w:rsidP="005D4D0B">
      <w:pPr>
        <w:pStyle w:val="BodyText"/>
        <w:numPr>
          <w:ilvl w:val="5"/>
          <w:numId w:val="2"/>
        </w:numPr>
        <w:spacing w:after="163"/>
        <w:ind w:left="4140" w:hanging="369"/>
        <w:rPr>
          <w:color w:val="auto"/>
        </w:rPr>
      </w:pPr>
      <w:r>
        <w:rPr>
          <w:rFonts w:ascii="宋体" w:hAnsi="宋体" w:cs="宋体" w:hint="eastAsia"/>
          <w:b/>
          <w:color w:val="auto"/>
        </w:rPr>
        <w:t>基金经理固定收益投资管理经验丰富</w:t>
      </w:r>
      <w:r w:rsidRPr="00B57A7E">
        <w:rPr>
          <w:rFonts w:ascii="宋体" w:hAnsi="宋体" w:cs="宋体" w:hint="eastAsia"/>
          <w:b/>
          <w:color w:val="auto"/>
        </w:rPr>
        <w:t>。</w:t>
      </w:r>
      <w:r w:rsidRPr="00CC39A8">
        <w:rPr>
          <w:rFonts w:ascii="宋体" w:hAnsi="宋体" w:cs="宋体" w:hint="eastAsia"/>
          <w:color w:val="auto"/>
        </w:rPr>
        <w:t>基金经理赵峰自</w:t>
      </w:r>
      <w:r w:rsidRPr="00CC39A8">
        <w:rPr>
          <w:color w:val="auto"/>
        </w:rPr>
        <w:t>2003</w:t>
      </w:r>
      <w:r w:rsidRPr="00CC39A8">
        <w:rPr>
          <w:rFonts w:ascii="宋体" w:hAnsi="宋体" w:cs="宋体" w:hint="eastAsia"/>
          <w:color w:val="auto"/>
        </w:rPr>
        <w:t>年</w:t>
      </w:r>
      <w:r>
        <w:rPr>
          <w:rFonts w:ascii="宋体" w:hAnsi="宋体" w:cs="宋体" w:hint="eastAsia"/>
          <w:color w:val="auto"/>
        </w:rPr>
        <w:t>起便开始进行债券领域研究工作，</w:t>
      </w:r>
      <w:r w:rsidRPr="00CC39A8">
        <w:rPr>
          <w:color w:val="auto"/>
        </w:rPr>
        <w:t>2011</w:t>
      </w:r>
      <w:r w:rsidRPr="00CC39A8">
        <w:rPr>
          <w:rFonts w:ascii="宋体" w:hAnsi="宋体" w:cs="宋体" w:hint="eastAsia"/>
          <w:color w:val="auto"/>
        </w:rPr>
        <w:t>年</w:t>
      </w:r>
      <w:r w:rsidRPr="00CC39A8">
        <w:rPr>
          <w:color w:val="auto"/>
        </w:rPr>
        <w:t>4</w:t>
      </w:r>
      <w:r w:rsidRPr="00CC39A8">
        <w:rPr>
          <w:rFonts w:ascii="宋体" w:hAnsi="宋体" w:cs="宋体" w:hint="eastAsia"/>
          <w:color w:val="auto"/>
        </w:rPr>
        <w:t>月加入上投摩根担任固定收益部总监助理，主要负责固定收益产品研究</w:t>
      </w:r>
      <w:r>
        <w:rPr>
          <w:rFonts w:ascii="宋体" w:hAnsi="宋体" w:cs="宋体" w:hint="eastAsia"/>
          <w:color w:val="auto"/>
        </w:rPr>
        <w:t>，</w:t>
      </w:r>
      <w:r w:rsidRPr="00CC39A8">
        <w:rPr>
          <w:rFonts w:ascii="宋体" w:hAnsi="宋体" w:cs="宋体" w:hint="eastAsia"/>
          <w:color w:val="auto"/>
        </w:rPr>
        <w:t>自</w:t>
      </w:r>
      <w:r>
        <w:rPr>
          <w:rFonts w:ascii="宋体" w:hAnsi="宋体" w:cs="宋体" w:hint="eastAsia"/>
          <w:color w:val="auto"/>
        </w:rPr>
        <w:t>同</w:t>
      </w:r>
      <w:r w:rsidRPr="00CC39A8">
        <w:rPr>
          <w:rFonts w:ascii="宋体" w:hAnsi="宋体" w:cs="宋体" w:hint="eastAsia"/>
          <w:color w:val="auto"/>
        </w:rPr>
        <w:t>年</w:t>
      </w:r>
      <w:r w:rsidRPr="00CC39A8">
        <w:rPr>
          <w:color w:val="auto"/>
        </w:rPr>
        <w:t>9</w:t>
      </w:r>
      <w:r w:rsidRPr="00CC39A8">
        <w:rPr>
          <w:rFonts w:ascii="宋体" w:hAnsi="宋体" w:cs="宋体" w:hint="eastAsia"/>
          <w:color w:val="auto"/>
        </w:rPr>
        <w:t>月起担任上投摩根强化回报债券基金</w:t>
      </w:r>
      <w:r>
        <w:rPr>
          <w:rFonts w:ascii="宋体" w:hAnsi="宋体" w:cs="宋体" w:hint="eastAsia"/>
          <w:color w:val="auto"/>
        </w:rPr>
        <w:t>的</w:t>
      </w:r>
      <w:r w:rsidRPr="00CC39A8">
        <w:rPr>
          <w:rFonts w:ascii="宋体" w:hAnsi="宋体" w:cs="宋体" w:hint="eastAsia"/>
          <w:color w:val="auto"/>
        </w:rPr>
        <w:t>基金经理</w:t>
      </w:r>
      <w:r>
        <w:rPr>
          <w:rFonts w:ascii="宋体" w:hAnsi="宋体" w:cs="宋体" w:hint="eastAsia"/>
          <w:color w:val="auto"/>
        </w:rPr>
        <w:t>，</w:t>
      </w:r>
      <w:r w:rsidRPr="00CC39A8">
        <w:rPr>
          <w:color w:val="auto"/>
        </w:rPr>
        <w:t>2012</w:t>
      </w:r>
      <w:r w:rsidRPr="00CC39A8">
        <w:rPr>
          <w:rFonts w:ascii="宋体" w:hAnsi="宋体" w:cs="宋体" w:hint="eastAsia"/>
          <w:color w:val="auto"/>
        </w:rPr>
        <w:t>年</w:t>
      </w:r>
      <w:r w:rsidRPr="00CC39A8">
        <w:rPr>
          <w:color w:val="auto"/>
        </w:rPr>
        <w:t>6</w:t>
      </w:r>
      <w:r w:rsidRPr="00CC39A8">
        <w:rPr>
          <w:rFonts w:ascii="宋体" w:hAnsi="宋体" w:cs="宋体" w:hint="eastAsia"/>
          <w:color w:val="auto"/>
        </w:rPr>
        <w:t>月</w:t>
      </w:r>
      <w:r>
        <w:rPr>
          <w:rFonts w:ascii="宋体" w:hAnsi="宋体" w:cs="宋体" w:hint="eastAsia"/>
          <w:color w:val="auto"/>
        </w:rPr>
        <w:t>兼任</w:t>
      </w:r>
      <w:r w:rsidRPr="00CC39A8">
        <w:rPr>
          <w:rFonts w:ascii="宋体" w:hAnsi="宋体" w:cs="宋体" w:hint="eastAsia"/>
          <w:color w:val="auto"/>
        </w:rPr>
        <w:t>上投摩根分红添利债券基金基金经理。</w:t>
      </w:r>
      <w:r w:rsidRPr="00CC39A8">
        <w:rPr>
          <w:color w:val="auto"/>
        </w:rPr>
        <w:t>2013</w:t>
      </w:r>
      <w:r w:rsidRPr="00CC39A8">
        <w:rPr>
          <w:rFonts w:ascii="宋体" w:hAnsi="宋体" w:cs="宋体" w:hint="eastAsia"/>
          <w:color w:val="auto"/>
        </w:rPr>
        <w:t>年</w:t>
      </w:r>
      <w:r w:rsidRPr="00CC39A8">
        <w:rPr>
          <w:color w:val="auto"/>
        </w:rPr>
        <w:t>8</w:t>
      </w:r>
      <w:r w:rsidRPr="00CC39A8">
        <w:rPr>
          <w:rFonts w:ascii="宋体" w:hAnsi="宋体" w:cs="宋体" w:hint="eastAsia"/>
          <w:color w:val="auto"/>
        </w:rPr>
        <w:t>月起</w:t>
      </w:r>
      <w:r>
        <w:rPr>
          <w:rFonts w:ascii="宋体" w:hAnsi="宋体" w:cs="宋体" w:hint="eastAsia"/>
          <w:color w:val="auto"/>
        </w:rPr>
        <w:t>管理</w:t>
      </w:r>
      <w:r w:rsidRPr="00CC39A8">
        <w:rPr>
          <w:rFonts w:ascii="宋体" w:hAnsi="宋体" w:cs="宋体" w:hint="eastAsia"/>
          <w:color w:val="auto"/>
        </w:rPr>
        <w:t>上投摩根岁岁盈定期开放债券型</w:t>
      </w:r>
      <w:r>
        <w:rPr>
          <w:rFonts w:ascii="宋体" w:hAnsi="宋体" w:cs="宋体" w:hint="eastAsia"/>
          <w:color w:val="auto"/>
        </w:rPr>
        <w:t>基金</w:t>
      </w:r>
      <w:r w:rsidRPr="00CC39A8">
        <w:rPr>
          <w:rFonts w:ascii="宋体" w:hAnsi="宋体" w:cs="宋体" w:hint="eastAsia"/>
          <w:color w:val="auto"/>
        </w:rPr>
        <w:t>，</w:t>
      </w:r>
      <w:r>
        <w:rPr>
          <w:rFonts w:ascii="宋体" w:hAnsi="宋体" w:cs="宋体" w:hint="eastAsia"/>
          <w:color w:val="auto"/>
        </w:rPr>
        <w:t>今</w:t>
      </w:r>
      <w:r w:rsidRPr="00CC39A8">
        <w:rPr>
          <w:rFonts w:ascii="宋体" w:hAnsi="宋体" w:cs="宋体" w:hint="eastAsia"/>
          <w:color w:val="auto"/>
        </w:rPr>
        <w:t>年</w:t>
      </w:r>
      <w:r w:rsidRPr="00CC39A8">
        <w:rPr>
          <w:color w:val="auto"/>
        </w:rPr>
        <w:t>6</w:t>
      </w:r>
      <w:r w:rsidRPr="00CC39A8">
        <w:rPr>
          <w:rFonts w:ascii="宋体" w:hAnsi="宋体" w:cs="宋体" w:hint="eastAsia"/>
          <w:color w:val="auto"/>
        </w:rPr>
        <w:t>月</w:t>
      </w:r>
      <w:r>
        <w:rPr>
          <w:rFonts w:ascii="宋体" w:hAnsi="宋体" w:cs="宋体" w:hint="eastAsia"/>
          <w:color w:val="auto"/>
        </w:rPr>
        <w:t>同时担任上投摩根优信增利债券</w:t>
      </w:r>
      <w:r w:rsidRPr="00CC39A8">
        <w:rPr>
          <w:rFonts w:ascii="宋体" w:hAnsi="宋体" w:cs="宋体" w:hint="eastAsia"/>
          <w:color w:val="auto"/>
        </w:rPr>
        <w:t>基金</w:t>
      </w:r>
      <w:r>
        <w:rPr>
          <w:rFonts w:ascii="宋体" w:hAnsi="宋体" w:cs="宋体" w:hint="eastAsia"/>
          <w:color w:val="auto"/>
        </w:rPr>
        <w:t>的</w:t>
      </w:r>
      <w:r w:rsidRPr="00CC39A8">
        <w:rPr>
          <w:rFonts w:ascii="宋体" w:hAnsi="宋体" w:cs="宋体" w:hint="eastAsia"/>
          <w:color w:val="auto"/>
        </w:rPr>
        <w:t>基金经理</w:t>
      </w:r>
      <w:r>
        <w:rPr>
          <w:rFonts w:ascii="楷体" w:eastAsia="楷体" w:hAnsi="楷体" w:cs="KaiTi_GB2312" w:hint="eastAsia"/>
          <w:szCs w:val="21"/>
          <w:lang w:val="en-US"/>
        </w:rPr>
        <w:t>，管理基金经验丰富。</w:t>
      </w:r>
    </w:p>
    <w:tbl>
      <w:tblPr>
        <w:tblW w:w="7725" w:type="dxa"/>
        <w:tblInd w:w="3119"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523"/>
        <w:gridCol w:w="1240"/>
        <w:gridCol w:w="1241"/>
        <w:gridCol w:w="1240"/>
        <w:gridCol w:w="1240"/>
        <w:gridCol w:w="1241"/>
      </w:tblGrid>
      <w:tr w:rsidR="00D5205E" w:rsidRPr="00056432" w:rsidTr="00D92D8A">
        <w:trPr>
          <w:cantSplit/>
          <w:trHeight w:val="65"/>
        </w:trPr>
        <w:tc>
          <w:tcPr>
            <w:tcW w:w="7725" w:type="dxa"/>
            <w:gridSpan w:val="6"/>
            <w:vAlign w:val="center"/>
          </w:tcPr>
          <w:p w:rsidR="00D5205E" w:rsidRPr="00656031" w:rsidRDefault="00D5205E" w:rsidP="00D92D8A">
            <w:pPr>
              <w:pStyle w:val="SubTitleLargeTable"/>
              <w:pBdr>
                <w:top w:val="none" w:sz="0" w:space="0" w:color="auto"/>
              </w:pBdr>
              <w:rPr>
                <w:rFonts w:ascii="宋体" w:hAnsi="宋体"/>
                <w:b w:val="0"/>
                <w:color w:val="FF6600"/>
              </w:rPr>
            </w:pPr>
            <w:r w:rsidRPr="00656031">
              <w:rPr>
                <w:rFonts w:ascii="宋体" w:hAnsi="宋体" w:cs="宋体" w:hint="eastAsia"/>
                <w:color w:val="FF6600"/>
              </w:rPr>
              <w:t>图表</w:t>
            </w:r>
            <w:r>
              <w:rPr>
                <w:color w:val="FF6600"/>
              </w:rPr>
              <w:t>3</w:t>
            </w:r>
            <w:r w:rsidRPr="00656031">
              <w:rPr>
                <w:rFonts w:ascii="宋体" w:hAnsi="宋体" w:cs="宋体" w:hint="eastAsia"/>
                <w:color w:val="FF6600"/>
              </w:rPr>
              <w:t>：</w:t>
            </w:r>
            <w:r w:rsidRPr="00CC39A8">
              <w:rPr>
                <w:rFonts w:ascii="宋体" w:hAnsi="宋体" w:cs="宋体" w:hint="eastAsia"/>
                <w:color w:val="FF6600"/>
              </w:rPr>
              <w:t>上投摩根纯债添利债券型基金</w:t>
            </w:r>
            <w:r>
              <w:rPr>
                <w:rFonts w:ascii="宋体" w:hAnsi="宋体" w:cs="宋体" w:hint="eastAsia"/>
                <w:color w:val="FF6600"/>
              </w:rPr>
              <w:t>简介</w:t>
            </w:r>
          </w:p>
        </w:tc>
      </w:tr>
      <w:tr w:rsidR="00D5205E" w:rsidRPr="00056432" w:rsidTr="00D92D8A">
        <w:trPr>
          <w:cantSplit/>
          <w:trHeight w:val="276"/>
        </w:trPr>
        <w:tc>
          <w:tcPr>
            <w:tcW w:w="1523" w:type="dxa"/>
            <w:tcBorders>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基金名称</w:t>
            </w:r>
          </w:p>
        </w:tc>
        <w:tc>
          <w:tcPr>
            <w:tcW w:w="6202" w:type="dxa"/>
            <w:gridSpan w:val="5"/>
            <w:tcBorders>
              <w:left w:val="single" w:sz="6" w:space="0" w:color="FF6600"/>
            </w:tcBorders>
            <w:vAlign w:val="center"/>
          </w:tcPr>
          <w:p w:rsidR="00D5205E" w:rsidRPr="00056432" w:rsidRDefault="00D5205E" w:rsidP="00D92D8A">
            <w:pPr>
              <w:snapToGrid w:val="0"/>
              <w:spacing w:line="10" w:lineRule="atLeast"/>
              <w:jc w:val="center"/>
              <w:rPr>
                <w:rFonts w:ascii="宋体"/>
                <w:sz w:val="15"/>
                <w:szCs w:val="15"/>
              </w:rPr>
            </w:pPr>
            <w:r w:rsidRPr="00056432">
              <w:rPr>
                <w:rFonts w:ascii="宋体" w:hAnsi="宋体" w:cs="宋体" w:hint="eastAsia"/>
                <w:sz w:val="15"/>
                <w:szCs w:val="15"/>
              </w:rPr>
              <w:t></w:t>
            </w:r>
            <w:r w:rsidRPr="00056432">
              <w:t xml:space="preserve"> </w:t>
            </w:r>
            <w:r w:rsidRPr="00056432">
              <w:rPr>
                <w:rFonts w:ascii="宋体" w:hAnsi="宋体" w:hint="eastAsia"/>
                <w:sz w:val="15"/>
                <w:szCs w:val="15"/>
              </w:rPr>
              <w:t>上投摩根纯债添利债券型基金</w:t>
            </w:r>
          </w:p>
        </w:tc>
      </w:tr>
      <w:tr w:rsidR="00D5205E" w:rsidRPr="00056432" w:rsidTr="00D92D8A">
        <w:trPr>
          <w:cantSplit/>
          <w:trHeight w:val="269"/>
        </w:trPr>
        <w:tc>
          <w:tcPr>
            <w:tcW w:w="1523" w:type="dxa"/>
            <w:tcBorders>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市场代码</w:t>
            </w:r>
          </w:p>
        </w:tc>
        <w:tc>
          <w:tcPr>
            <w:tcW w:w="1240" w:type="dxa"/>
            <w:tcBorders>
              <w:left w:val="single" w:sz="6" w:space="0" w:color="FF6600"/>
              <w:right w:val="single" w:sz="6" w:space="0" w:color="FF6600"/>
            </w:tcBorders>
            <w:vAlign w:val="center"/>
          </w:tcPr>
          <w:p w:rsidR="00D5205E" w:rsidRPr="00056432" w:rsidRDefault="00D5205E" w:rsidP="00CC39A8">
            <w:pPr>
              <w:snapToGrid w:val="0"/>
              <w:spacing w:line="10" w:lineRule="atLeast"/>
              <w:jc w:val="center"/>
              <w:rPr>
                <w:rFonts w:ascii="宋体"/>
                <w:sz w:val="15"/>
                <w:szCs w:val="15"/>
              </w:rPr>
            </w:pPr>
            <w:r w:rsidRPr="00056432">
              <w:rPr>
                <w:rFonts w:ascii="宋体" w:hAnsi="宋体"/>
                <w:sz w:val="15"/>
                <w:szCs w:val="15"/>
              </w:rPr>
              <w:t>000889</w:t>
            </w:r>
          </w:p>
        </w:tc>
        <w:tc>
          <w:tcPr>
            <w:tcW w:w="1241"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基金公司</w:t>
            </w:r>
          </w:p>
        </w:tc>
        <w:tc>
          <w:tcPr>
            <w:tcW w:w="1240" w:type="dxa"/>
            <w:tcBorders>
              <w:left w:val="single" w:sz="6" w:space="0" w:color="FF6600"/>
              <w:right w:val="single" w:sz="6" w:space="0" w:color="FF6600"/>
            </w:tcBorders>
            <w:vAlign w:val="center"/>
          </w:tcPr>
          <w:p w:rsidR="00D5205E" w:rsidRPr="00056432" w:rsidRDefault="00D5205E" w:rsidP="00127C0D">
            <w:pPr>
              <w:snapToGrid w:val="0"/>
              <w:spacing w:line="10" w:lineRule="atLeast"/>
              <w:ind w:firstLineChars="100" w:firstLine="150"/>
              <w:rPr>
                <w:rFonts w:ascii="宋体"/>
                <w:sz w:val="15"/>
                <w:szCs w:val="15"/>
              </w:rPr>
            </w:pPr>
            <w:r w:rsidRPr="00056432">
              <w:rPr>
                <w:rFonts w:ascii="宋体" w:hAnsi="宋体" w:hint="eastAsia"/>
                <w:sz w:val="15"/>
                <w:szCs w:val="15"/>
              </w:rPr>
              <w:t>上投摩根基金</w:t>
            </w:r>
          </w:p>
        </w:tc>
        <w:tc>
          <w:tcPr>
            <w:tcW w:w="1240" w:type="dxa"/>
            <w:tcBorders>
              <w:left w:val="single" w:sz="6" w:space="0" w:color="FF6600"/>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基金经理</w:t>
            </w:r>
          </w:p>
        </w:tc>
        <w:tc>
          <w:tcPr>
            <w:tcW w:w="1241" w:type="dxa"/>
            <w:tcBorders>
              <w:left w:val="single" w:sz="6" w:space="0" w:color="FF6600"/>
            </w:tcBorders>
            <w:vAlign w:val="center"/>
          </w:tcPr>
          <w:p w:rsidR="00D5205E" w:rsidRPr="00056432" w:rsidRDefault="00D5205E" w:rsidP="00427AD4">
            <w:pPr>
              <w:snapToGrid w:val="0"/>
              <w:spacing w:line="10" w:lineRule="atLeast"/>
              <w:jc w:val="center"/>
              <w:rPr>
                <w:rFonts w:ascii="宋体"/>
                <w:sz w:val="15"/>
                <w:szCs w:val="15"/>
              </w:rPr>
            </w:pPr>
            <w:r w:rsidRPr="00056432">
              <w:rPr>
                <w:rFonts w:ascii="宋体" w:hAnsi="宋体" w:hint="eastAsia"/>
                <w:sz w:val="15"/>
                <w:szCs w:val="15"/>
              </w:rPr>
              <w:t>赵峰</w:t>
            </w:r>
          </w:p>
        </w:tc>
      </w:tr>
      <w:tr w:rsidR="00D5205E" w:rsidRPr="00056432" w:rsidTr="00D92D8A">
        <w:trPr>
          <w:cantSplit/>
          <w:trHeight w:val="1005"/>
        </w:trPr>
        <w:tc>
          <w:tcPr>
            <w:tcW w:w="1523" w:type="dxa"/>
            <w:tcBorders>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投资策略</w:t>
            </w:r>
          </w:p>
        </w:tc>
        <w:tc>
          <w:tcPr>
            <w:tcW w:w="6202" w:type="dxa"/>
            <w:gridSpan w:val="5"/>
            <w:tcBorders>
              <w:left w:val="single" w:sz="6" w:space="0" w:color="FF6600"/>
            </w:tcBorders>
            <w:vAlign w:val="center"/>
          </w:tcPr>
          <w:p w:rsidR="00D5205E" w:rsidRPr="00056432" w:rsidRDefault="00D5205E" w:rsidP="00CC39A8">
            <w:pPr>
              <w:snapToGrid w:val="0"/>
              <w:spacing w:line="10" w:lineRule="atLeast"/>
              <w:ind w:firstLineChars="200" w:firstLine="300"/>
              <w:rPr>
                <w:rFonts w:ascii="宋体"/>
                <w:sz w:val="15"/>
                <w:szCs w:val="15"/>
              </w:rPr>
            </w:pPr>
            <w:r w:rsidRPr="00056432">
              <w:rPr>
                <w:rFonts w:ascii="宋体" w:hAnsi="宋体" w:hint="eastAsia"/>
                <w:sz w:val="15"/>
                <w:szCs w:val="15"/>
              </w:rPr>
              <w:t>该基金债券投资比例不低于基金资产的</w:t>
            </w:r>
            <w:r w:rsidRPr="00056432">
              <w:rPr>
                <w:rFonts w:ascii="宋体" w:hAnsi="宋体"/>
                <w:sz w:val="15"/>
                <w:szCs w:val="15"/>
              </w:rPr>
              <w:t>80%</w:t>
            </w:r>
            <w:r w:rsidRPr="00056432">
              <w:rPr>
                <w:rFonts w:ascii="宋体" w:hAnsi="宋体" w:hint="eastAsia"/>
                <w:sz w:val="15"/>
                <w:szCs w:val="15"/>
              </w:rPr>
              <w:t>，不直接从二级市场买入股票或权证，也不参与一级市场新股申购或股票增发。在实际操作中，将采用自上而下的方法，对宏观经济形势和货币政策进行分析，并结合债券市场供需状况、市场流动性水平等重要市场指标，对不同债券板块之间的相对投资价值进行考量，确定债券类属配置策略，并根据市场变化及时进行调整，从而选择既能匹配目标久期、同时又能获得较高持有期收益的类属债券配置比例。</w:t>
            </w:r>
          </w:p>
        </w:tc>
      </w:tr>
      <w:tr w:rsidR="00D5205E" w:rsidRPr="00056432" w:rsidTr="00D92D8A">
        <w:trPr>
          <w:cantSplit/>
          <w:trHeight w:val="273"/>
        </w:trPr>
        <w:tc>
          <w:tcPr>
            <w:tcW w:w="1523" w:type="dxa"/>
            <w:tcBorders>
              <w:right w:val="single" w:sz="6" w:space="0" w:color="FF6600"/>
            </w:tcBorders>
            <w:vAlign w:val="center"/>
          </w:tcPr>
          <w:p w:rsidR="00D5205E" w:rsidRPr="00056432" w:rsidRDefault="00D5205E" w:rsidP="00D92D8A">
            <w:pPr>
              <w:snapToGrid w:val="0"/>
              <w:spacing w:line="10" w:lineRule="atLeast"/>
              <w:jc w:val="center"/>
              <w:rPr>
                <w:rFonts w:ascii="宋体"/>
                <w:b/>
                <w:sz w:val="15"/>
                <w:szCs w:val="15"/>
              </w:rPr>
            </w:pPr>
            <w:r w:rsidRPr="00056432">
              <w:rPr>
                <w:rFonts w:ascii="宋体" w:hAnsi="宋体" w:hint="eastAsia"/>
                <w:b/>
                <w:sz w:val="15"/>
                <w:szCs w:val="15"/>
              </w:rPr>
              <w:t>业绩比较基准</w:t>
            </w:r>
          </w:p>
        </w:tc>
        <w:tc>
          <w:tcPr>
            <w:tcW w:w="6202" w:type="dxa"/>
            <w:gridSpan w:val="5"/>
            <w:tcBorders>
              <w:left w:val="single" w:sz="6" w:space="0" w:color="FF6600"/>
            </w:tcBorders>
            <w:vAlign w:val="center"/>
          </w:tcPr>
          <w:p w:rsidR="00D5205E" w:rsidRPr="00056432" w:rsidRDefault="00D5205E" w:rsidP="00643FEA">
            <w:pPr>
              <w:snapToGrid w:val="0"/>
              <w:spacing w:line="10" w:lineRule="atLeast"/>
              <w:jc w:val="center"/>
              <w:rPr>
                <w:rFonts w:ascii="宋体"/>
                <w:sz w:val="15"/>
                <w:szCs w:val="15"/>
              </w:rPr>
            </w:pPr>
            <w:r w:rsidRPr="00056432">
              <w:rPr>
                <w:rFonts w:ascii="宋体" w:hAnsi="宋体" w:hint="eastAsia"/>
                <w:sz w:val="15"/>
                <w:szCs w:val="15"/>
              </w:rPr>
              <w:t>中信标普全债指数</w:t>
            </w:r>
          </w:p>
        </w:tc>
      </w:tr>
    </w:tbl>
    <w:p w:rsidR="00D5205E" w:rsidRPr="00656031" w:rsidRDefault="00D5205E" w:rsidP="00C01486">
      <w:pPr>
        <w:pStyle w:val="FootnoteNoline"/>
        <w:ind w:left="0" w:firstLineChars="2100" w:firstLine="3150"/>
        <w:rPr>
          <w:color w:val="FF6600"/>
        </w:rPr>
      </w:pPr>
      <w:r w:rsidRPr="00656031">
        <w:rPr>
          <w:rFonts w:ascii="宋体" w:hAnsi="宋体" w:cs="宋体" w:hint="eastAsia"/>
          <w:color w:val="FF6600"/>
        </w:rPr>
        <w:t>来源：凯石财富工场</w:t>
      </w:r>
    </w:p>
    <w:p w:rsidR="00D5205E" w:rsidRPr="00961E7F" w:rsidRDefault="00D5205E">
      <w:pPr>
        <w:widowControl/>
        <w:jc w:val="left"/>
        <w:rPr>
          <w:rFonts w:ascii="楷体" w:eastAsia="楷体" w:hAnsi="楷体"/>
          <w:b/>
          <w:kern w:val="0"/>
          <w:szCs w:val="20"/>
          <w:lang w:val="en-GB"/>
        </w:rPr>
      </w:pPr>
      <w:r w:rsidRPr="00961E7F">
        <w:rPr>
          <w:rFonts w:ascii="楷体" w:eastAsia="楷体" w:hAnsi="楷体"/>
          <w:b/>
          <w:kern w:val="0"/>
          <w:szCs w:val="20"/>
          <w:lang w:val="en-GB"/>
        </w:rPr>
        <w:br w:type="page"/>
      </w:r>
    </w:p>
    <w:p w:rsidR="00D5205E" w:rsidRPr="00961E7F" w:rsidRDefault="00D5205E" w:rsidP="00B10000">
      <w:pPr>
        <w:pStyle w:val="a4"/>
        <w:spacing w:after="312"/>
        <w:rPr>
          <w:rFonts w:ascii="楷体" w:eastAsia="楷体" w:hAnsi="楷体"/>
          <w:b/>
          <w:sz w:val="21"/>
          <w:szCs w:val="21"/>
        </w:rPr>
      </w:pPr>
      <w:r w:rsidRPr="00961E7F">
        <w:rPr>
          <w:rFonts w:ascii="楷体" w:eastAsia="楷体" w:hAnsi="楷体" w:hint="eastAsia"/>
          <w:b/>
          <w:kern w:val="0"/>
          <w:sz w:val="21"/>
          <w:szCs w:val="20"/>
          <w:lang w:val="en-GB"/>
        </w:rPr>
        <w:t>特别声明：</w:t>
      </w:r>
    </w:p>
    <w:p w:rsidR="00D5205E" w:rsidRPr="00961E7F" w:rsidRDefault="00D5205E" w:rsidP="009F264A">
      <w:pPr>
        <w:pStyle w:val="a4"/>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D5205E" w:rsidRPr="00961E7F" w:rsidRDefault="00D5205E" w:rsidP="009F264A">
      <w:pPr>
        <w:pStyle w:val="a4"/>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05E" w:rsidRPr="00961E7F" w:rsidRDefault="00D5205E" w:rsidP="009F264A">
      <w:pPr>
        <w:pStyle w:val="a4"/>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D5205E" w:rsidRDefault="00D5205E">
      <w:r>
        <w:pict>
          <v:rect id="_x0000_i1045" style="width:571.2pt;height:2pt" o:hralign="center" o:hrstd="t" o:hrnoshade="t" o:hr="t" fillcolor="#e7a631" stroked="f"/>
        </w:pict>
      </w:r>
    </w:p>
    <w:p w:rsidR="00D5205E" w:rsidRPr="009F7F1E" w:rsidRDefault="00D5205E">
      <w:pPr>
        <w:rPr>
          <w:rFonts w:ascii="楷体" w:eastAsia="楷体" w:hAnsi="楷体"/>
          <w:b/>
          <w:lang w:val="en-GB"/>
        </w:rPr>
      </w:pPr>
      <w:r>
        <w:rPr>
          <w:rFonts w:ascii="楷体" w:eastAsia="楷体" w:hAnsi="楷体"/>
          <w:b/>
          <w:lang w:val="en-GB"/>
        </w:rPr>
        <w:t xml:space="preserve"> </w:t>
      </w:r>
    </w:p>
    <w:sectPr w:rsidR="00D5205E" w:rsidRPr="009F7F1E" w:rsidSect="00656031">
      <w:headerReference w:type="default" r:id="rId9"/>
      <w:footerReference w:type="default" r:id="rId10"/>
      <w:headerReference w:type="first" r:id="rId11"/>
      <w:footerReference w:type="first" r:id="rId12"/>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05E" w:rsidRDefault="00D5205E" w:rsidP="00B10000">
      <w:r>
        <w:separator/>
      </w:r>
    </w:p>
  </w:endnote>
  <w:endnote w:type="continuationSeparator" w:id="0">
    <w:p w:rsidR="00D5205E" w:rsidRDefault="00D5205E"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KaiTi_GB2312">
    <w:altName w:val="MS Gothic"/>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5E" w:rsidRDefault="00D5205E">
    <w:pPr>
      <w:pStyle w:val="Footer"/>
      <w:jc w:val="center"/>
    </w:pPr>
    <w:r>
      <w:pict>
        <v:rect id="_x0000_i103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2</w:t>
    </w:r>
    <w:r>
      <w:rPr>
        <w:b/>
      </w:rPr>
      <w:fldChar w:fldCharType="end"/>
    </w:r>
    <w:r>
      <w:rPr>
        <w:lang w:val="zh-CN"/>
      </w:rPr>
      <w:t xml:space="preserve"> / </w:t>
    </w:r>
    <w:r>
      <w:rPr>
        <w:b/>
      </w:rPr>
      <w:fldChar w:fldCharType="begin"/>
    </w:r>
    <w:r>
      <w:rPr>
        <w:b/>
      </w:rPr>
      <w:instrText>NUMPAGES</w:instrText>
    </w:r>
    <w:r>
      <w:rPr>
        <w:b/>
      </w:rPr>
      <w:fldChar w:fldCharType="separate"/>
    </w:r>
    <w:r>
      <w:rPr>
        <w:b/>
        <w:noProof/>
      </w:rPr>
      <w:t>4</w:t>
    </w:r>
    <w:r>
      <w:rPr>
        <w:b/>
      </w:rPr>
      <w:fldChar w:fldCharType="end"/>
    </w:r>
  </w:p>
  <w:p w:rsidR="00D5205E" w:rsidRDefault="00D520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5E" w:rsidRDefault="00D5205E">
    <w:pPr>
      <w:pStyle w:val="Footer"/>
      <w:jc w:val="center"/>
    </w:pPr>
    <w:r>
      <w:pict>
        <v:rect id="_x0000_i1040"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4</w:t>
    </w:r>
    <w:r>
      <w:rPr>
        <w:b/>
      </w:rPr>
      <w:fldChar w:fldCharType="end"/>
    </w:r>
  </w:p>
  <w:p w:rsidR="00D5205E" w:rsidRDefault="00D520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05E" w:rsidRDefault="00D5205E" w:rsidP="00B10000">
      <w:r>
        <w:separator/>
      </w:r>
    </w:p>
  </w:footnote>
  <w:footnote w:type="continuationSeparator" w:id="0">
    <w:p w:rsidR="00D5205E" w:rsidRDefault="00D5205E"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5E" w:rsidRDefault="00D5205E"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D5205E" w:rsidRDefault="00D5205E" w:rsidP="00B10000">
                  <w:pPr>
                    <w:pStyle w:val="12"/>
                  </w:pPr>
                  <w:r w:rsidRPr="00BE6CD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D5205E" w:rsidRPr="006E0F3C" w:rsidRDefault="00D5205E" w:rsidP="00B10000">
                  <w:pPr>
                    <w:pStyle w:val="2"/>
                  </w:pPr>
                  <w:r w:rsidRPr="00E05F78">
                    <w:t>2</w:t>
                  </w:r>
                  <w:r w:rsidRPr="00E90896">
                    <w:t>01</w:t>
                  </w:r>
                  <w:r>
                    <w:t>4</w:t>
                  </w:r>
                  <w:r w:rsidRPr="00E90896">
                    <w:rPr>
                      <w:rFonts w:hint="eastAsia"/>
                    </w:rPr>
                    <w:t>年</w:t>
                  </w:r>
                  <w:r>
                    <w:t>11</w:t>
                  </w:r>
                  <w:r w:rsidRPr="00E90896">
                    <w:rPr>
                      <w:rFonts w:hint="eastAsia"/>
                    </w:rPr>
                    <w:t>月（</w:t>
                  </w:r>
                  <w:r>
                    <w:rPr>
                      <w:rFonts w:hint="eastAsia"/>
                    </w:rPr>
                    <w:t>下</w:t>
                  </w:r>
                  <w:r w:rsidRPr="00E90896">
                    <w:rPr>
                      <w:rFonts w:hint="eastAsia"/>
                    </w:rPr>
                    <w:t>）新发基金双周报</w:t>
                  </w:r>
                </w:p>
              </w:txbxContent>
            </v:textbox>
          </v:shape>
        </v:group>
      </w:pict>
    </w:r>
    <w:r>
      <w:pict>
        <v:rect id="_x0000_i1028"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5E" w:rsidRDefault="00D5205E" w:rsidP="009F264A">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D5205E" w:rsidRDefault="00D5205E" w:rsidP="00B10000">
                  <w:pPr>
                    <w:pStyle w:val="a0"/>
                  </w:pPr>
                  <w:r w:rsidRPr="00BE6CD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8"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D5205E" w:rsidRPr="006E0F3C" w:rsidRDefault="00D5205E"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D5205E" w:rsidRPr="006E0F3C" w:rsidRDefault="00D5205E" w:rsidP="00B10000">
                  <w:pPr>
                    <w:pStyle w:val="a1"/>
                    <w:jc w:val="right"/>
                  </w:pPr>
                  <w:r>
                    <w:t>2014</w:t>
                  </w:r>
                  <w:r w:rsidRPr="006E0F3C">
                    <w:rPr>
                      <w:rFonts w:hint="eastAsia"/>
                    </w:rPr>
                    <w:t>年</w:t>
                  </w:r>
                  <w:r>
                    <w:t>12</w:t>
                  </w:r>
                  <w:r w:rsidRPr="006E0F3C">
                    <w:rPr>
                      <w:rFonts w:hint="eastAsia"/>
                    </w:rPr>
                    <w:t>月</w:t>
                  </w:r>
                  <w:r>
                    <w:t>04</w:t>
                  </w:r>
                  <w:r w:rsidRPr="006E0F3C">
                    <w:rPr>
                      <w:rFonts w:hint="eastAsia"/>
                    </w:rPr>
                    <w:t>日</w:t>
                  </w:r>
                </w:p>
              </w:txbxContent>
            </v:textbox>
          </v:shape>
          <v:shape id="_x0000_s2056" type="#_x0000_t202" style="position:absolute;left:3214;top:1377;width:8090;height:1001" strokecolor="white">
            <v:textbox style="mso-next-textbox:#_x0000_s2056;mso-fit-shape-to-text:t">
              <w:txbxContent>
                <w:p w:rsidR="00D5205E" w:rsidRDefault="00D5205E" w:rsidP="00B10000">
                  <w:pPr>
                    <w:pStyle w:val="a2"/>
                    <w:jc w:val="right"/>
                  </w:pPr>
                  <w:r>
                    <w:t>2</w:t>
                  </w:r>
                  <w:r w:rsidRPr="006E0F3C">
                    <w:t>01</w:t>
                  </w:r>
                  <w:r>
                    <w:t>4</w:t>
                  </w:r>
                  <w:r w:rsidRPr="006E0F3C">
                    <w:rPr>
                      <w:rFonts w:hint="eastAsia"/>
                    </w:rPr>
                    <w:t>年</w:t>
                  </w:r>
                  <w:r>
                    <w:t>11</w:t>
                  </w:r>
                  <w:r w:rsidRPr="006E0F3C">
                    <w:rPr>
                      <w:rFonts w:hint="eastAsia"/>
                    </w:rPr>
                    <w:t>月</w:t>
                  </w:r>
                  <w:r>
                    <w:rPr>
                      <w:rFonts w:hint="eastAsia"/>
                    </w:rPr>
                    <w:t>（下）新发基金双周报</w:t>
                  </w:r>
                </w:p>
                <w:p w:rsidR="00D5205E" w:rsidRPr="00624366" w:rsidRDefault="00D5205E" w:rsidP="00B10000">
                  <w:pPr>
                    <w:pStyle w:val="a2"/>
                    <w:jc w:val="right"/>
                    <w:rPr>
                      <w:sz w:val="28"/>
                      <w:szCs w:val="28"/>
                    </w:rPr>
                  </w:pPr>
                  <w:r>
                    <w:rPr>
                      <w:sz w:val="28"/>
                      <w:szCs w:val="28"/>
                    </w:rPr>
                    <w:t>A</w:t>
                  </w:r>
                  <w:r>
                    <w:rPr>
                      <w:rFonts w:hint="eastAsia"/>
                      <w:sz w:val="28"/>
                      <w:szCs w:val="28"/>
                    </w:rPr>
                    <w:t>股单边上行，权益类品种大受热捧</w:t>
                  </w:r>
                </w:p>
              </w:txbxContent>
            </v:textbox>
          </v:shape>
          <v:shape id="_x0000_s2057" type="#_x0000_t202" style="position:absolute;left:3246;top:2578;width:7993;height:627" strokecolor="white">
            <v:textbox style="mso-next-textbox:#_x0000_s2057">
              <w:txbxContent>
                <w:p w:rsidR="00D5205E" w:rsidRPr="006E0F3C" w:rsidRDefault="00D5205E" w:rsidP="00B10000">
                  <w:pPr>
                    <w:pStyle w:val="a3"/>
                  </w:pPr>
                  <w:r w:rsidRPr="006E0F3C">
                    <w:rPr>
                      <w:rFonts w:hint="eastAsia"/>
                    </w:rPr>
                    <w:t>张</w:t>
                  </w:r>
                  <w:r>
                    <w:rPr>
                      <w:rFonts w:hint="eastAsia"/>
                    </w:rPr>
                    <w:t>慧</w:t>
                  </w:r>
                  <w:r w:rsidRPr="006E0F3C">
                    <w:t xml:space="preserve"> </w:t>
                  </w:r>
                  <w:r>
                    <w:rPr>
                      <w:rFonts w:hint="eastAsia"/>
                    </w:rPr>
                    <w:t>高级</w:t>
                  </w:r>
                  <w:r w:rsidRPr="006E0F3C">
                    <w:rPr>
                      <w:rFonts w:hint="eastAsia"/>
                    </w:rPr>
                    <w:t>分析师</w:t>
                  </w:r>
                  <w:r w:rsidRPr="006E0F3C">
                    <w:t xml:space="preserve"> </w:t>
                  </w:r>
                </w:p>
              </w:txbxContent>
            </v:textbox>
          </v:shape>
          <w10:anchorlock/>
        </v:group>
      </w:pict>
    </w:r>
    <w:r>
      <w:pict>
        <v:rect id="_x0000_i1037"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492C6DD3"/>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Times New Roman"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Times New Roman"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5FEE"/>
    <w:rsid w:val="0000690F"/>
    <w:rsid w:val="00006B50"/>
    <w:rsid w:val="00006F0B"/>
    <w:rsid w:val="00007370"/>
    <w:rsid w:val="00011547"/>
    <w:rsid w:val="0002036A"/>
    <w:rsid w:val="00022A09"/>
    <w:rsid w:val="00032564"/>
    <w:rsid w:val="00032E03"/>
    <w:rsid w:val="00034C20"/>
    <w:rsid w:val="00034C75"/>
    <w:rsid w:val="00036708"/>
    <w:rsid w:val="00041D47"/>
    <w:rsid w:val="000421D2"/>
    <w:rsid w:val="00044180"/>
    <w:rsid w:val="0004431B"/>
    <w:rsid w:val="000529F1"/>
    <w:rsid w:val="00054A45"/>
    <w:rsid w:val="00056432"/>
    <w:rsid w:val="00062258"/>
    <w:rsid w:val="00062B6C"/>
    <w:rsid w:val="00064A25"/>
    <w:rsid w:val="000662EE"/>
    <w:rsid w:val="00071CA1"/>
    <w:rsid w:val="00072252"/>
    <w:rsid w:val="0007259C"/>
    <w:rsid w:val="0007387A"/>
    <w:rsid w:val="00081699"/>
    <w:rsid w:val="00081B8E"/>
    <w:rsid w:val="00087977"/>
    <w:rsid w:val="00096F44"/>
    <w:rsid w:val="00097E11"/>
    <w:rsid w:val="000A1683"/>
    <w:rsid w:val="000A2F05"/>
    <w:rsid w:val="000A394F"/>
    <w:rsid w:val="000A5307"/>
    <w:rsid w:val="000A6BBD"/>
    <w:rsid w:val="000A6F07"/>
    <w:rsid w:val="000B3263"/>
    <w:rsid w:val="000C0CC1"/>
    <w:rsid w:val="000C6809"/>
    <w:rsid w:val="000D037C"/>
    <w:rsid w:val="000D2D27"/>
    <w:rsid w:val="000D54C4"/>
    <w:rsid w:val="000D7972"/>
    <w:rsid w:val="000E08A2"/>
    <w:rsid w:val="000E1B8E"/>
    <w:rsid w:val="000E2504"/>
    <w:rsid w:val="000E2F3D"/>
    <w:rsid w:val="000E380B"/>
    <w:rsid w:val="000E57D1"/>
    <w:rsid w:val="00101C67"/>
    <w:rsid w:val="0010588D"/>
    <w:rsid w:val="001067C9"/>
    <w:rsid w:val="001130F5"/>
    <w:rsid w:val="00113EA7"/>
    <w:rsid w:val="001159E7"/>
    <w:rsid w:val="00115A46"/>
    <w:rsid w:val="00115C8C"/>
    <w:rsid w:val="00116D74"/>
    <w:rsid w:val="0012020D"/>
    <w:rsid w:val="0012509B"/>
    <w:rsid w:val="00125CD3"/>
    <w:rsid w:val="00127C0D"/>
    <w:rsid w:val="00130FA7"/>
    <w:rsid w:val="001327F0"/>
    <w:rsid w:val="001353D4"/>
    <w:rsid w:val="0013611B"/>
    <w:rsid w:val="00136772"/>
    <w:rsid w:val="00137434"/>
    <w:rsid w:val="001402F8"/>
    <w:rsid w:val="00142318"/>
    <w:rsid w:val="001442C0"/>
    <w:rsid w:val="001445CA"/>
    <w:rsid w:val="00146DF7"/>
    <w:rsid w:val="00155C6F"/>
    <w:rsid w:val="00156A2D"/>
    <w:rsid w:val="00157F7A"/>
    <w:rsid w:val="001649A3"/>
    <w:rsid w:val="00167708"/>
    <w:rsid w:val="0017786E"/>
    <w:rsid w:val="00180027"/>
    <w:rsid w:val="00180D64"/>
    <w:rsid w:val="00183119"/>
    <w:rsid w:val="00184604"/>
    <w:rsid w:val="001860C4"/>
    <w:rsid w:val="001863C8"/>
    <w:rsid w:val="00187CCA"/>
    <w:rsid w:val="001931A3"/>
    <w:rsid w:val="00195595"/>
    <w:rsid w:val="001A031A"/>
    <w:rsid w:val="001A6AF9"/>
    <w:rsid w:val="001B6197"/>
    <w:rsid w:val="001B71A0"/>
    <w:rsid w:val="001C1488"/>
    <w:rsid w:val="001C69CB"/>
    <w:rsid w:val="001C7151"/>
    <w:rsid w:val="001C74ED"/>
    <w:rsid w:val="001C760F"/>
    <w:rsid w:val="001E1E9E"/>
    <w:rsid w:val="001E2BCC"/>
    <w:rsid w:val="001E2C21"/>
    <w:rsid w:val="001E53D5"/>
    <w:rsid w:val="001E63F4"/>
    <w:rsid w:val="001F046A"/>
    <w:rsid w:val="00201866"/>
    <w:rsid w:val="002029F8"/>
    <w:rsid w:val="00203E34"/>
    <w:rsid w:val="00204323"/>
    <w:rsid w:val="00204A33"/>
    <w:rsid w:val="00205704"/>
    <w:rsid w:val="00205D5C"/>
    <w:rsid w:val="00210970"/>
    <w:rsid w:val="00212B53"/>
    <w:rsid w:val="00212FA6"/>
    <w:rsid w:val="002130DE"/>
    <w:rsid w:val="00213EBB"/>
    <w:rsid w:val="00216264"/>
    <w:rsid w:val="00216DAC"/>
    <w:rsid w:val="00217436"/>
    <w:rsid w:val="0022164A"/>
    <w:rsid w:val="002243BA"/>
    <w:rsid w:val="00237BD0"/>
    <w:rsid w:val="00243C7A"/>
    <w:rsid w:val="00245691"/>
    <w:rsid w:val="002529CC"/>
    <w:rsid w:val="00257BE7"/>
    <w:rsid w:val="00266367"/>
    <w:rsid w:val="002800D8"/>
    <w:rsid w:val="002811E4"/>
    <w:rsid w:val="0028704E"/>
    <w:rsid w:val="00287476"/>
    <w:rsid w:val="002929AC"/>
    <w:rsid w:val="00294312"/>
    <w:rsid w:val="00294F25"/>
    <w:rsid w:val="00296627"/>
    <w:rsid w:val="00296D0C"/>
    <w:rsid w:val="002A114C"/>
    <w:rsid w:val="002A3F39"/>
    <w:rsid w:val="002A7338"/>
    <w:rsid w:val="002A7F67"/>
    <w:rsid w:val="002B1B47"/>
    <w:rsid w:val="002B1C51"/>
    <w:rsid w:val="002B3BB7"/>
    <w:rsid w:val="002B435F"/>
    <w:rsid w:val="002B44B9"/>
    <w:rsid w:val="002B694D"/>
    <w:rsid w:val="002C36FD"/>
    <w:rsid w:val="002C5E5F"/>
    <w:rsid w:val="002C762D"/>
    <w:rsid w:val="002D5140"/>
    <w:rsid w:val="002D5A3F"/>
    <w:rsid w:val="002D764A"/>
    <w:rsid w:val="002D7CF2"/>
    <w:rsid w:val="002E22EC"/>
    <w:rsid w:val="002E6157"/>
    <w:rsid w:val="002E687A"/>
    <w:rsid w:val="002F05AE"/>
    <w:rsid w:val="00302878"/>
    <w:rsid w:val="00302A96"/>
    <w:rsid w:val="00302C65"/>
    <w:rsid w:val="00307499"/>
    <w:rsid w:val="00313664"/>
    <w:rsid w:val="003139FE"/>
    <w:rsid w:val="0031414D"/>
    <w:rsid w:val="00317236"/>
    <w:rsid w:val="00321DF3"/>
    <w:rsid w:val="00322F07"/>
    <w:rsid w:val="003249B0"/>
    <w:rsid w:val="00330DB9"/>
    <w:rsid w:val="00342A8A"/>
    <w:rsid w:val="00344D06"/>
    <w:rsid w:val="00345406"/>
    <w:rsid w:val="00347816"/>
    <w:rsid w:val="003522D8"/>
    <w:rsid w:val="00353FD6"/>
    <w:rsid w:val="003546AA"/>
    <w:rsid w:val="003568F9"/>
    <w:rsid w:val="003573FC"/>
    <w:rsid w:val="0036091C"/>
    <w:rsid w:val="003629A1"/>
    <w:rsid w:val="00363A8B"/>
    <w:rsid w:val="003655C1"/>
    <w:rsid w:val="003656E1"/>
    <w:rsid w:val="003704CC"/>
    <w:rsid w:val="003710E4"/>
    <w:rsid w:val="00372E11"/>
    <w:rsid w:val="00373AAC"/>
    <w:rsid w:val="003812C1"/>
    <w:rsid w:val="0038282C"/>
    <w:rsid w:val="003857DF"/>
    <w:rsid w:val="0038678D"/>
    <w:rsid w:val="003867C4"/>
    <w:rsid w:val="00386A2A"/>
    <w:rsid w:val="0038742F"/>
    <w:rsid w:val="00390878"/>
    <w:rsid w:val="00391D54"/>
    <w:rsid w:val="00395250"/>
    <w:rsid w:val="00395822"/>
    <w:rsid w:val="003A440B"/>
    <w:rsid w:val="003A6147"/>
    <w:rsid w:val="003B1245"/>
    <w:rsid w:val="003B3889"/>
    <w:rsid w:val="003B4531"/>
    <w:rsid w:val="003B49F7"/>
    <w:rsid w:val="003B4B73"/>
    <w:rsid w:val="003B6DC1"/>
    <w:rsid w:val="003C00E1"/>
    <w:rsid w:val="003C03D0"/>
    <w:rsid w:val="003C0FEB"/>
    <w:rsid w:val="003C1473"/>
    <w:rsid w:val="003C6B1D"/>
    <w:rsid w:val="003C7F5D"/>
    <w:rsid w:val="003D116B"/>
    <w:rsid w:val="003D3D0B"/>
    <w:rsid w:val="003D442C"/>
    <w:rsid w:val="003D6A20"/>
    <w:rsid w:val="003E1015"/>
    <w:rsid w:val="003E1A04"/>
    <w:rsid w:val="003E33CB"/>
    <w:rsid w:val="003E4A48"/>
    <w:rsid w:val="003E5968"/>
    <w:rsid w:val="003E6121"/>
    <w:rsid w:val="003F0650"/>
    <w:rsid w:val="003F0753"/>
    <w:rsid w:val="003F497B"/>
    <w:rsid w:val="003F4FE1"/>
    <w:rsid w:val="003F501F"/>
    <w:rsid w:val="003F6341"/>
    <w:rsid w:val="003F7AF3"/>
    <w:rsid w:val="00405FD3"/>
    <w:rsid w:val="00410EFB"/>
    <w:rsid w:val="00411854"/>
    <w:rsid w:val="004133AC"/>
    <w:rsid w:val="00415169"/>
    <w:rsid w:val="00415938"/>
    <w:rsid w:val="00416E71"/>
    <w:rsid w:val="004173A5"/>
    <w:rsid w:val="00421BFD"/>
    <w:rsid w:val="004226F5"/>
    <w:rsid w:val="00423C7F"/>
    <w:rsid w:val="00427AD4"/>
    <w:rsid w:val="004338C9"/>
    <w:rsid w:val="004342A2"/>
    <w:rsid w:val="0044105B"/>
    <w:rsid w:val="00445C22"/>
    <w:rsid w:val="00446B56"/>
    <w:rsid w:val="00451A09"/>
    <w:rsid w:val="00455BA7"/>
    <w:rsid w:val="00460400"/>
    <w:rsid w:val="00462411"/>
    <w:rsid w:val="00467E79"/>
    <w:rsid w:val="00471249"/>
    <w:rsid w:val="00476868"/>
    <w:rsid w:val="004800F5"/>
    <w:rsid w:val="00480F4D"/>
    <w:rsid w:val="00484B69"/>
    <w:rsid w:val="00486443"/>
    <w:rsid w:val="00487DDF"/>
    <w:rsid w:val="0049310A"/>
    <w:rsid w:val="004932D6"/>
    <w:rsid w:val="004A1119"/>
    <w:rsid w:val="004A234C"/>
    <w:rsid w:val="004A5E8A"/>
    <w:rsid w:val="004B5C50"/>
    <w:rsid w:val="004B76CA"/>
    <w:rsid w:val="004C6546"/>
    <w:rsid w:val="004D3B98"/>
    <w:rsid w:val="004D4BB1"/>
    <w:rsid w:val="004D7299"/>
    <w:rsid w:val="004D7C93"/>
    <w:rsid w:val="004E032B"/>
    <w:rsid w:val="004E174B"/>
    <w:rsid w:val="004E49A1"/>
    <w:rsid w:val="004E5D2F"/>
    <w:rsid w:val="004E7D3A"/>
    <w:rsid w:val="004F2A4E"/>
    <w:rsid w:val="004F346C"/>
    <w:rsid w:val="00501EEF"/>
    <w:rsid w:val="00505D91"/>
    <w:rsid w:val="00507472"/>
    <w:rsid w:val="00507CBF"/>
    <w:rsid w:val="005175D9"/>
    <w:rsid w:val="00525C71"/>
    <w:rsid w:val="0052709D"/>
    <w:rsid w:val="005314D1"/>
    <w:rsid w:val="005333AA"/>
    <w:rsid w:val="00534D79"/>
    <w:rsid w:val="00534F82"/>
    <w:rsid w:val="00535C8B"/>
    <w:rsid w:val="00536B24"/>
    <w:rsid w:val="00537779"/>
    <w:rsid w:val="0054101C"/>
    <w:rsid w:val="005467AD"/>
    <w:rsid w:val="00550B1A"/>
    <w:rsid w:val="00554DD7"/>
    <w:rsid w:val="00556846"/>
    <w:rsid w:val="005611A1"/>
    <w:rsid w:val="00561462"/>
    <w:rsid w:val="00564BE0"/>
    <w:rsid w:val="00566ADE"/>
    <w:rsid w:val="0056791E"/>
    <w:rsid w:val="00570946"/>
    <w:rsid w:val="005716FA"/>
    <w:rsid w:val="0057393D"/>
    <w:rsid w:val="00575168"/>
    <w:rsid w:val="00581C4D"/>
    <w:rsid w:val="00582457"/>
    <w:rsid w:val="005849F5"/>
    <w:rsid w:val="00586379"/>
    <w:rsid w:val="00587C79"/>
    <w:rsid w:val="00590AA6"/>
    <w:rsid w:val="00590E78"/>
    <w:rsid w:val="005910E5"/>
    <w:rsid w:val="00592BBE"/>
    <w:rsid w:val="0059378F"/>
    <w:rsid w:val="00593B63"/>
    <w:rsid w:val="0059574D"/>
    <w:rsid w:val="005A5894"/>
    <w:rsid w:val="005A725E"/>
    <w:rsid w:val="005A7524"/>
    <w:rsid w:val="005B3353"/>
    <w:rsid w:val="005B355E"/>
    <w:rsid w:val="005B55A9"/>
    <w:rsid w:val="005B5B3E"/>
    <w:rsid w:val="005B6281"/>
    <w:rsid w:val="005B6EF4"/>
    <w:rsid w:val="005C0032"/>
    <w:rsid w:val="005C0D1D"/>
    <w:rsid w:val="005C3444"/>
    <w:rsid w:val="005C3A87"/>
    <w:rsid w:val="005C4D6B"/>
    <w:rsid w:val="005C7F73"/>
    <w:rsid w:val="005D000C"/>
    <w:rsid w:val="005D3469"/>
    <w:rsid w:val="005D4AF6"/>
    <w:rsid w:val="005D4D0B"/>
    <w:rsid w:val="005D5435"/>
    <w:rsid w:val="005E04D8"/>
    <w:rsid w:val="005E0E45"/>
    <w:rsid w:val="005E43F7"/>
    <w:rsid w:val="005E5694"/>
    <w:rsid w:val="005F005A"/>
    <w:rsid w:val="005F05DA"/>
    <w:rsid w:val="005F1BD5"/>
    <w:rsid w:val="005F2EDC"/>
    <w:rsid w:val="005F416A"/>
    <w:rsid w:val="005F63E4"/>
    <w:rsid w:val="005F6814"/>
    <w:rsid w:val="00602BF1"/>
    <w:rsid w:val="00603DEF"/>
    <w:rsid w:val="00604B51"/>
    <w:rsid w:val="0060686C"/>
    <w:rsid w:val="00610832"/>
    <w:rsid w:val="00612B5B"/>
    <w:rsid w:val="00612E92"/>
    <w:rsid w:val="00615F03"/>
    <w:rsid w:val="0062013C"/>
    <w:rsid w:val="00623C62"/>
    <w:rsid w:val="00624366"/>
    <w:rsid w:val="00624EF3"/>
    <w:rsid w:val="0062514F"/>
    <w:rsid w:val="00630F97"/>
    <w:rsid w:val="00633ECC"/>
    <w:rsid w:val="00635482"/>
    <w:rsid w:val="00641AA4"/>
    <w:rsid w:val="00642AA4"/>
    <w:rsid w:val="00643FEA"/>
    <w:rsid w:val="006451C2"/>
    <w:rsid w:val="00645A62"/>
    <w:rsid w:val="00645F00"/>
    <w:rsid w:val="00646663"/>
    <w:rsid w:val="006471EF"/>
    <w:rsid w:val="00647555"/>
    <w:rsid w:val="00651336"/>
    <w:rsid w:val="006513FE"/>
    <w:rsid w:val="006515F4"/>
    <w:rsid w:val="00656031"/>
    <w:rsid w:val="0065775A"/>
    <w:rsid w:val="006577CF"/>
    <w:rsid w:val="00660928"/>
    <w:rsid w:val="006629D6"/>
    <w:rsid w:val="006668B4"/>
    <w:rsid w:val="00666DAC"/>
    <w:rsid w:val="00671493"/>
    <w:rsid w:val="006807C6"/>
    <w:rsid w:val="006814CB"/>
    <w:rsid w:val="00684BD3"/>
    <w:rsid w:val="00684CCA"/>
    <w:rsid w:val="00684E88"/>
    <w:rsid w:val="00691F15"/>
    <w:rsid w:val="00692086"/>
    <w:rsid w:val="006967F1"/>
    <w:rsid w:val="006976C4"/>
    <w:rsid w:val="006A2934"/>
    <w:rsid w:val="006A29E2"/>
    <w:rsid w:val="006A4651"/>
    <w:rsid w:val="006A7DAE"/>
    <w:rsid w:val="006B1B73"/>
    <w:rsid w:val="006B1C95"/>
    <w:rsid w:val="006B1E6A"/>
    <w:rsid w:val="006B34CE"/>
    <w:rsid w:val="006B3674"/>
    <w:rsid w:val="006B44D7"/>
    <w:rsid w:val="006B45D1"/>
    <w:rsid w:val="006B4895"/>
    <w:rsid w:val="006C04AC"/>
    <w:rsid w:val="006C0F60"/>
    <w:rsid w:val="006C1704"/>
    <w:rsid w:val="006C3FC9"/>
    <w:rsid w:val="006C59A6"/>
    <w:rsid w:val="006C6390"/>
    <w:rsid w:val="006C6452"/>
    <w:rsid w:val="006C6BAD"/>
    <w:rsid w:val="006D1004"/>
    <w:rsid w:val="006D1467"/>
    <w:rsid w:val="006D5C33"/>
    <w:rsid w:val="006E00A1"/>
    <w:rsid w:val="006E0F3C"/>
    <w:rsid w:val="006E1A2B"/>
    <w:rsid w:val="006E43E6"/>
    <w:rsid w:val="006E6742"/>
    <w:rsid w:val="006E72B8"/>
    <w:rsid w:val="006F05B9"/>
    <w:rsid w:val="006F2262"/>
    <w:rsid w:val="006F2A60"/>
    <w:rsid w:val="006F2E8F"/>
    <w:rsid w:val="006F6F9C"/>
    <w:rsid w:val="0070710F"/>
    <w:rsid w:val="00710608"/>
    <w:rsid w:val="00710EDB"/>
    <w:rsid w:val="007141AC"/>
    <w:rsid w:val="007143AD"/>
    <w:rsid w:val="00723A8A"/>
    <w:rsid w:val="0072642F"/>
    <w:rsid w:val="00726C05"/>
    <w:rsid w:val="00726F1F"/>
    <w:rsid w:val="00731634"/>
    <w:rsid w:val="007325B9"/>
    <w:rsid w:val="007356F0"/>
    <w:rsid w:val="00735AA3"/>
    <w:rsid w:val="00736FE1"/>
    <w:rsid w:val="00740FBA"/>
    <w:rsid w:val="00746348"/>
    <w:rsid w:val="00747D5B"/>
    <w:rsid w:val="00760E6D"/>
    <w:rsid w:val="0076129C"/>
    <w:rsid w:val="0076313A"/>
    <w:rsid w:val="00763F57"/>
    <w:rsid w:val="00765CCA"/>
    <w:rsid w:val="00765CD9"/>
    <w:rsid w:val="00767ED2"/>
    <w:rsid w:val="007709C9"/>
    <w:rsid w:val="00771201"/>
    <w:rsid w:val="0077272F"/>
    <w:rsid w:val="0077447D"/>
    <w:rsid w:val="007802EF"/>
    <w:rsid w:val="00782273"/>
    <w:rsid w:val="007824CE"/>
    <w:rsid w:val="0078515B"/>
    <w:rsid w:val="00785184"/>
    <w:rsid w:val="0079268C"/>
    <w:rsid w:val="00796FD6"/>
    <w:rsid w:val="007A71EB"/>
    <w:rsid w:val="007B206A"/>
    <w:rsid w:val="007B3051"/>
    <w:rsid w:val="007B457A"/>
    <w:rsid w:val="007B5AA9"/>
    <w:rsid w:val="007C0CD7"/>
    <w:rsid w:val="007C4F20"/>
    <w:rsid w:val="007C531D"/>
    <w:rsid w:val="007C538F"/>
    <w:rsid w:val="007D0188"/>
    <w:rsid w:val="007D21B0"/>
    <w:rsid w:val="007D39A9"/>
    <w:rsid w:val="007D5860"/>
    <w:rsid w:val="007D5EA0"/>
    <w:rsid w:val="007D72D5"/>
    <w:rsid w:val="007E1780"/>
    <w:rsid w:val="007E1DD2"/>
    <w:rsid w:val="007E2F1B"/>
    <w:rsid w:val="007E4A52"/>
    <w:rsid w:val="007E4D06"/>
    <w:rsid w:val="007F1013"/>
    <w:rsid w:val="007F1F24"/>
    <w:rsid w:val="007F3D55"/>
    <w:rsid w:val="007F4CA8"/>
    <w:rsid w:val="007F745E"/>
    <w:rsid w:val="007F749C"/>
    <w:rsid w:val="00803246"/>
    <w:rsid w:val="0080364F"/>
    <w:rsid w:val="00803C66"/>
    <w:rsid w:val="00804B89"/>
    <w:rsid w:val="00805EBB"/>
    <w:rsid w:val="00807747"/>
    <w:rsid w:val="00807C0B"/>
    <w:rsid w:val="00807F7A"/>
    <w:rsid w:val="0081385D"/>
    <w:rsid w:val="00813D9F"/>
    <w:rsid w:val="00814EEF"/>
    <w:rsid w:val="0082156A"/>
    <w:rsid w:val="008220BB"/>
    <w:rsid w:val="008237B1"/>
    <w:rsid w:val="0082600F"/>
    <w:rsid w:val="00831257"/>
    <w:rsid w:val="0083144C"/>
    <w:rsid w:val="008347F0"/>
    <w:rsid w:val="008355EF"/>
    <w:rsid w:val="008358D5"/>
    <w:rsid w:val="00840046"/>
    <w:rsid w:val="00840673"/>
    <w:rsid w:val="00841D0C"/>
    <w:rsid w:val="00845462"/>
    <w:rsid w:val="00845793"/>
    <w:rsid w:val="00845C13"/>
    <w:rsid w:val="00851036"/>
    <w:rsid w:val="00851E44"/>
    <w:rsid w:val="0085637D"/>
    <w:rsid w:val="00857A59"/>
    <w:rsid w:val="008611BA"/>
    <w:rsid w:val="00864AD6"/>
    <w:rsid w:val="00865BF7"/>
    <w:rsid w:val="0087386F"/>
    <w:rsid w:val="00873D95"/>
    <w:rsid w:val="0087548B"/>
    <w:rsid w:val="00875923"/>
    <w:rsid w:val="008840A4"/>
    <w:rsid w:val="008872AF"/>
    <w:rsid w:val="0089199F"/>
    <w:rsid w:val="00891E01"/>
    <w:rsid w:val="00892163"/>
    <w:rsid w:val="00892878"/>
    <w:rsid w:val="00894B1A"/>
    <w:rsid w:val="008A07BB"/>
    <w:rsid w:val="008A1CAB"/>
    <w:rsid w:val="008A5345"/>
    <w:rsid w:val="008A58F2"/>
    <w:rsid w:val="008A65C5"/>
    <w:rsid w:val="008A6C8C"/>
    <w:rsid w:val="008A6DE9"/>
    <w:rsid w:val="008A7527"/>
    <w:rsid w:val="008A775D"/>
    <w:rsid w:val="008A7C34"/>
    <w:rsid w:val="008B05B9"/>
    <w:rsid w:val="008B1444"/>
    <w:rsid w:val="008C1F8C"/>
    <w:rsid w:val="008C4DBE"/>
    <w:rsid w:val="008C538A"/>
    <w:rsid w:val="008D2B4D"/>
    <w:rsid w:val="008D2BE4"/>
    <w:rsid w:val="008D486A"/>
    <w:rsid w:val="008D49AD"/>
    <w:rsid w:val="008D6A8F"/>
    <w:rsid w:val="008E0641"/>
    <w:rsid w:val="008E54E4"/>
    <w:rsid w:val="008E5831"/>
    <w:rsid w:val="008E59B2"/>
    <w:rsid w:val="008E6C7A"/>
    <w:rsid w:val="008E73D0"/>
    <w:rsid w:val="008F1EAF"/>
    <w:rsid w:val="008F285F"/>
    <w:rsid w:val="00903E83"/>
    <w:rsid w:val="00904892"/>
    <w:rsid w:val="00905EED"/>
    <w:rsid w:val="0090698B"/>
    <w:rsid w:val="009070B5"/>
    <w:rsid w:val="0091589B"/>
    <w:rsid w:val="00916225"/>
    <w:rsid w:val="009179FA"/>
    <w:rsid w:val="009206FD"/>
    <w:rsid w:val="00921D38"/>
    <w:rsid w:val="0092308E"/>
    <w:rsid w:val="00926221"/>
    <w:rsid w:val="00930A50"/>
    <w:rsid w:val="009314D1"/>
    <w:rsid w:val="00931B73"/>
    <w:rsid w:val="00932235"/>
    <w:rsid w:val="00932AB9"/>
    <w:rsid w:val="009364B9"/>
    <w:rsid w:val="009405FE"/>
    <w:rsid w:val="009428C0"/>
    <w:rsid w:val="0094318C"/>
    <w:rsid w:val="00956320"/>
    <w:rsid w:val="00957485"/>
    <w:rsid w:val="009577D1"/>
    <w:rsid w:val="0096045F"/>
    <w:rsid w:val="00961E7F"/>
    <w:rsid w:val="009631A8"/>
    <w:rsid w:val="0096561F"/>
    <w:rsid w:val="00965815"/>
    <w:rsid w:val="00965A8F"/>
    <w:rsid w:val="00974DE9"/>
    <w:rsid w:val="009751CC"/>
    <w:rsid w:val="00977091"/>
    <w:rsid w:val="009805E4"/>
    <w:rsid w:val="009835CA"/>
    <w:rsid w:val="0098415E"/>
    <w:rsid w:val="0098654C"/>
    <w:rsid w:val="00986775"/>
    <w:rsid w:val="009871EA"/>
    <w:rsid w:val="00987DF9"/>
    <w:rsid w:val="009935C7"/>
    <w:rsid w:val="009A1F16"/>
    <w:rsid w:val="009A260B"/>
    <w:rsid w:val="009A6D78"/>
    <w:rsid w:val="009B3824"/>
    <w:rsid w:val="009B5041"/>
    <w:rsid w:val="009C2019"/>
    <w:rsid w:val="009C6B89"/>
    <w:rsid w:val="009C6F68"/>
    <w:rsid w:val="009C7958"/>
    <w:rsid w:val="009D3C30"/>
    <w:rsid w:val="009D42AB"/>
    <w:rsid w:val="009D668C"/>
    <w:rsid w:val="009E156C"/>
    <w:rsid w:val="009E2007"/>
    <w:rsid w:val="009E37B1"/>
    <w:rsid w:val="009E5171"/>
    <w:rsid w:val="009E75FC"/>
    <w:rsid w:val="009F05F5"/>
    <w:rsid w:val="009F264A"/>
    <w:rsid w:val="009F3FBA"/>
    <w:rsid w:val="009F6950"/>
    <w:rsid w:val="009F6D34"/>
    <w:rsid w:val="009F7F1E"/>
    <w:rsid w:val="00A026A7"/>
    <w:rsid w:val="00A0593C"/>
    <w:rsid w:val="00A064D5"/>
    <w:rsid w:val="00A16D3E"/>
    <w:rsid w:val="00A21617"/>
    <w:rsid w:val="00A225DC"/>
    <w:rsid w:val="00A264D4"/>
    <w:rsid w:val="00A322C5"/>
    <w:rsid w:val="00A33924"/>
    <w:rsid w:val="00A3442B"/>
    <w:rsid w:val="00A34FB9"/>
    <w:rsid w:val="00A35D50"/>
    <w:rsid w:val="00A36805"/>
    <w:rsid w:val="00A36F72"/>
    <w:rsid w:val="00A4027B"/>
    <w:rsid w:val="00A4092E"/>
    <w:rsid w:val="00A41EC1"/>
    <w:rsid w:val="00A45BCA"/>
    <w:rsid w:val="00A471B4"/>
    <w:rsid w:val="00A511B3"/>
    <w:rsid w:val="00A524E7"/>
    <w:rsid w:val="00A52C3A"/>
    <w:rsid w:val="00A54F91"/>
    <w:rsid w:val="00A5631F"/>
    <w:rsid w:val="00A607DE"/>
    <w:rsid w:val="00A639D2"/>
    <w:rsid w:val="00A64A59"/>
    <w:rsid w:val="00A67490"/>
    <w:rsid w:val="00A67651"/>
    <w:rsid w:val="00A67ECA"/>
    <w:rsid w:val="00A732F2"/>
    <w:rsid w:val="00A76446"/>
    <w:rsid w:val="00A76C08"/>
    <w:rsid w:val="00A76EA2"/>
    <w:rsid w:val="00A90046"/>
    <w:rsid w:val="00A935A6"/>
    <w:rsid w:val="00A947BA"/>
    <w:rsid w:val="00A96A04"/>
    <w:rsid w:val="00A97CE2"/>
    <w:rsid w:val="00A97E36"/>
    <w:rsid w:val="00AA236D"/>
    <w:rsid w:val="00AA47EF"/>
    <w:rsid w:val="00AA6E00"/>
    <w:rsid w:val="00AA7E0D"/>
    <w:rsid w:val="00AA7E61"/>
    <w:rsid w:val="00AB2196"/>
    <w:rsid w:val="00AC010E"/>
    <w:rsid w:val="00AC034E"/>
    <w:rsid w:val="00AC107B"/>
    <w:rsid w:val="00AC1F6C"/>
    <w:rsid w:val="00AC1FB4"/>
    <w:rsid w:val="00AC1FDC"/>
    <w:rsid w:val="00AC62CB"/>
    <w:rsid w:val="00AC7B94"/>
    <w:rsid w:val="00AD0C59"/>
    <w:rsid w:val="00AD2813"/>
    <w:rsid w:val="00AD2AD0"/>
    <w:rsid w:val="00AD5B85"/>
    <w:rsid w:val="00AE132B"/>
    <w:rsid w:val="00AE4171"/>
    <w:rsid w:val="00AE6F69"/>
    <w:rsid w:val="00AF14BD"/>
    <w:rsid w:val="00AF200A"/>
    <w:rsid w:val="00AF2328"/>
    <w:rsid w:val="00AF27BA"/>
    <w:rsid w:val="00AF2F61"/>
    <w:rsid w:val="00AF49C4"/>
    <w:rsid w:val="00AF7005"/>
    <w:rsid w:val="00AF7E6B"/>
    <w:rsid w:val="00B00421"/>
    <w:rsid w:val="00B05740"/>
    <w:rsid w:val="00B0587B"/>
    <w:rsid w:val="00B067C4"/>
    <w:rsid w:val="00B06F59"/>
    <w:rsid w:val="00B10000"/>
    <w:rsid w:val="00B10A00"/>
    <w:rsid w:val="00B13AFD"/>
    <w:rsid w:val="00B175E3"/>
    <w:rsid w:val="00B20F79"/>
    <w:rsid w:val="00B24E8B"/>
    <w:rsid w:val="00B2569D"/>
    <w:rsid w:val="00B25F15"/>
    <w:rsid w:val="00B27F9A"/>
    <w:rsid w:val="00B30CE3"/>
    <w:rsid w:val="00B412E9"/>
    <w:rsid w:val="00B4373A"/>
    <w:rsid w:val="00B44F18"/>
    <w:rsid w:val="00B50551"/>
    <w:rsid w:val="00B530F7"/>
    <w:rsid w:val="00B57A7E"/>
    <w:rsid w:val="00B62C59"/>
    <w:rsid w:val="00B65EFE"/>
    <w:rsid w:val="00B666D6"/>
    <w:rsid w:val="00B67119"/>
    <w:rsid w:val="00B67725"/>
    <w:rsid w:val="00B67909"/>
    <w:rsid w:val="00B67CDF"/>
    <w:rsid w:val="00B70375"/>
    <w:rsid w:val="00B7662B"/>
    <w:rsid w:val="00B779DE"/>
    <w:rsid w:val="00B80097"/>
    <w:rsid w:val="00B84505"/>
    <w:rsid w:val="00B84578"/>
    <w:rsid w:val="00B91931"/>
    <w:rsid w:val="00B91B96"/>
    <w:rsid w:val="00B9706D"/>
    <w:rsid w:val="00B97162"/>
    <w:rsid w:val="00BA0058"/>
    <w:rsid w:val="00BA1EC1"/>
    <w:rsid w:val="00BA5B4E"/>
    <w:rsid w:val="00BA5C18"/>
    <w:rsid w:val="00BA7AB5"/>
    <w:rsid w:val="00BB3278"/>
    <w:rsid w:val="00BB5BD5"/>
    <w:rsid w:val="00BB68C8"/>
    <w:rsid w:val="00BB6D2F"/>
    <w:rsid w:val="00BB7373"/>
    <w:rsid w:val="00BB7D16"/>
    <w:rsid w:val="00BC4BF3"/>
    <w:rsid w:val="00BD37E7"/>
    <w:rsid w:val="00BE1D5D"/>
    <w:rsid w:val="00BE6190"/>
    <w:rsid w:val="00BE6CDE"/>
    <w:rsid w:val="00BE7FD9"/>
    <w:rsid w:val="00BF047B"/>
    <w:rsid w:val="00BF20CC"/>
    <w:rsid w:val="00BF22E5"/>
    <w:rsid w:val="00C01486"/>
    <w:rsid w:val="00C01B03"/>
    <w:rsid w:val="00C05306"/>
    <w:rsid w:val="00C06F34"/>
    <w:rsid w:val="00C14D6E"/>
    <w:rsid w:val="00C20639"/>
    <w:rsid w:val="00C277EF"/>
    <w:rsid w:val="00C30912"/>
    <w:rsid w:val="00C33798"/>
    <w:rsid w:val="00C350CD"/>
    <w:rsid w:val="00C36B4A"/>
    <w:rsid w:val="00C371E6"/>
    <w:rsid w:val="00C44EDE"/>
    <w:rsid w:val="00C451F0"/>
    <w:rsid w:val="00C523B7"/>
    <w:rsid w:val="00C53D71"/>
    <w:rsid w:val="00C542F4"/>
    <w:rsid w:val="00C65127"/>
    <w:rsid w:val="00C675C5"/>
    <w:rsid w:val="00C70219"/>
    <w:rsid w:val="00C77E0D"/>
    <w:rsid w:val="00C806CE"/>
    <w:rsid w:val="00C84DD4"/>
    <w:rsid w:val="00C8564B"/>
    <w:rsid w:val="00C8737F"/>
    <w:rsid w:val="00C923B4"/>
    <w:rsid w:val="00CA09FE"/>
    <w:rsid w:val="00CA24BD"/>
    <w:rsid w:val="00CA4B1F"/>
    <w:rsid w:val="00CA6171"/>
    <w:rsid w:val="00CB1891"/>
    <w:rsid w:val="00CB2759"/>
    <w:rsid w:val="00CB3EFB"/>
    <w:rsid w:val="00CB5821"/>
    <w:rsid w:val="00CC39A8"/>
    <w:rsid w:val="00CC422E"/>
    <w:rsid w:val="00CC427D"/>
    <w:rsid w:val="00CD2B03"/>
    <w:rsid w:val="00CD3CF3"/>
    <w:rsid w:val="00CE0F92"/>
    <w:rsid w:val="00CE2A66"/>
    <w:rsid w:val="00CE42E6"/>
    <w:rsid w:val="00CE68DA"/>
    <w:rsid w:val="00CF3761"/>
    <w:rsid w:val="00CF4D29"/>
    <w:rsid w:val="00CF7E8D"/>
    <w:rsid w:val="00D01A5F"/>
    <w:rsid w:val="00D03BAB"/>
    <w:rsid w:val="00D03EF1"/>
    <w:rsid w:val="00D04713"/>
    <w:rsid w:val="00D12C4A"/>
    <w:rsid w:val="00D14DE2"/>
    <w:rsid w:val="00D15EF7"/>
    <w:rsid w:val="00D161D9"/>
    <w:rsid w:val="00D16885"/>
    <w:rsid w:val="00D20B3A"/>
    <w:rsid w:val="00D24D5B"/>
    <w:rsid w:val="00D313AB"/>
    <w:rsid w:val="00D32F6E"/>
    <w:rsid w:val="00D353FA"/>
    <w:rsid w:val="00D35C46"/>
    <w:rsid w:val="00D36E18"/>
    <w:rsid w:val="00D420B9"/>
    <w:rsid w:val="00D4447F"/>
    <w:rsid w:val="00D458B1"/>
    <w:rsid w:val="00D47A11"/>
    <w:rsid w:val="00D5205E"/>
    <w:rsid w:val="00D52E72"/>
    <w:rsid w:val="00D54FFD"/>
    <w:rsid w:val="00D55AF3"/>
    <w:rsid w:val="00D62283"/>
    <w:rsid w:val="00D648B8"/>
    <w:rsid w:val="00D64E08"/>
    <w:rsid w:val="00D66666"/>
    <w:rsid w:val="00D67200"/>
    <w:rsid w:val="00D71339"/>
    <w:rsid w:val="00D7149C"/>
    <w:rsid w:val="00D76805"/>
    <w:rsid w:val="00D84C9B"/>
    <w:rsid w:val="00D8603F"/>
    <w:rsid w:val="00D92D8A"/>
    <w:rsid w:val="00D94985"/>
    <w:rsid w:val="00D95A6A"/>
    <w:rsid w:val="00D97CE5"/>
    <w:rsid w:val="00DA0D67"/>
    <w:rsid w:val="00DA1FDB"/>
    <w:rsid w:val="00DA64CE"/>
    <w:rsid w:val="00DB0E97"/>
    <w:rsid w:val="00DB1430"/>
    <w:rsid w:val="00DB3F7D"/>
    <w:rsid w:val="00DB6571"/>
    <w:rsid w:val="00DB6DC7"/>
    <w:rsid w:val="00DB78B5"/>
    <w:rsid w:val="00DC2B4E"/>
    <w:rsid w:val="00DC6FC7"/>
    <w:rsid w:val="00DC7991"/>
    <w:rsid w:val="00DC7BBB"/>
    <w:rsid w:val="00DC7C51"/>
    <w:rsid w:val="00DD0F82"/>
    <w:rsid w:val="00DD2246"/>
    <w:rsid w:val="00DD252F"/>
    <w:rsid w:val="00DD3896"/>
    <w:rsid w:val="00DD5036"/>
    <w:rsid w:val="00DD5458"/>
    <w:rsid w:val="00DD601F"/>
    <w:rsid w:val="00DD61F8"/>
    <w:rsid w:val="00DD687B"/>
    <w:rsid w:val="00DD6F9C"/>
    <w:rsid w:val="00DD7FA1"/>
    <w:rsid w:val="00DF035E"/>
    <w:rsid w:val="00DF0A92"/>
    <w:rsid w:val="00DF284D"/>
    <w:rsid w:val="00DF475A"/>
    <w:rsid w:val="00DF5545"/>
    <w:rsid w:val="00DF758F"/>
    <w:rsid w:val="00E01DBA"/>
    <w:rsid w:val="00E03735"/>
    <w:rsid w:val="00E05704"/>
    <w:rsid w:val="00E05F78"/>
    <w:rsid w:val="00E1479B"/>
    <w:rsid w:val="00E14B7F"/>
    <w:rsid w:val="00E155E6"/>
    <w:rsid w:val="00E169D0"/>
    <w:rsid w:val="00E17408"/>
    <w:rsid w:val="00E21B41"/>
    <w:rsid w:val="00E21E3A"/>
    <w:rsid w:val="00E259A3"/>
    <w:rsid w:val="00E27389"/>
    <w:rsid w:val="00E30B81"/>
    <w:rsid w:val="00E30C2A"/>
    <w:rsid w:val="00E323ED"/>
    <w:rsid w:val="00E32425"/>
    <w:rsid w:val="00E34071"/>
    <w:rsid w:val="00E36F05"/>
    <w:rsid w:val="00E41CB0"/>
    <w:rsid w:val="00E5111F"/>
    <w:rsid w:val="00E55FDA"/>
    <w:rsid w:val="00E572D2"/>
    <w:rsid w:val="00E6025D"/>
    <w:rsid w:val="00E61EF0"/>
    <w:rsid w:val="00E6341F"/>
    <w:rsid w:val="00E66A3F"/>
    <w:rsid w:val="00E737D6"/>
    <w:rsid w:val="00E744E3"/>
    <w:rsid w:val="00E80189"/>
    <w:rsid w:val="00E82FB9"/>
    <w:rsid w:val="00E8427C"/>
    <w:rsid w:val="00E852C4"/>
    <w:rsid w:val="00E86037"/>
    <w:rsid w:val="00E90896"/>
    <w:rsid w:val="00E913C0"/>
    <w:rsid w:val="00E91CFA"/>
    <w:rsid w:val="00E929C3"/>
    <w:rsid w:val="00E93078"/>
    <w:rsid w:val="00E96517"/>
    <w:rsid w:val="00EA040B"/>
    <w:rsid w:val="00EA3337"/>
    <w:rsid w:val="00EA60B9"/>
    <w:rsid w:val="00EA7508"/>
    <w:rsid w:val="00EB0A5F"/>
    <w:rsid w:val="00EB2600"/>
    <w:rsid w:val="00EB7508"/>
    <w:rsid w:val="00EB7CA4"/>
    <w:rsid w:val="00EC19BD"/>
    <w:rsid w:val="00EC57E7"/>
    <w:rsid w:val="00EC6D5B"/>
    <w:rsid w:val="00EC7247"/>
    <w:rsid w:val="00ED0F81"/>
    <w:rsid w:val="00ED1058"/>
    <w:rsid w:val="00ED232E"/>
    <w:rsid w:val="00ED4B2E"/>
    <w:rsid w:val="00ED4DC8"/>
    <w:rsid w:val="00ED7AFB"/>
    <w:rsid w:val="00ED7E1D"/>
    <w:rsid w:val="00EE1596"/>
    <w:rsid w:val="00EE2D5F"/>
    <w:rsid w:val="00EE31E8"/>
    <w:rsid w:val="00EE3923"/>
    <w:rsid w:val="00EE475D"/>
    <w:rsid w:val="00EE70C0"/>
    <w:rsid w:val="00EF43E4"/>
    <w:rsid w:val="00EF4450"/>
    <w:rsid w:val="00F00E10"/>
    <w:rsid w:val="00F0293C"/>
    <w:rsid w:val="00F02BB3"/>
    <w:rsid w:val="00F03286"/>
    <w:rsid w:val="00F06F91"/>
    <w:rsid w:val="00F11E35"/>
    <w:rsid w:val="00F14762"/>
    <w:rsid w:val="00F17E60"/>
    <w:rsid w:val="00F25C65"/>
    <w:rsid w:val="00F2768E"/>
    <w:rsid w:val="00F37983"/>
    <w:rsid w:val="00F405EC"/>
    <w:rsid w:val="00F43549"/>
    <w:rsid w:val="00F459C1"/>
    <w:rsid w:val="00F4755E"/>
    <w:rsid w:val="00F54923"/>
    <w:rsid w:val="00F57C1E"/>
    <w:rsid w:val="00F6154C"/>
    <w:rsid w:val="00F63053"/>
    <w:rsid w:val="00F63D16"/>
    <w:rsid w:val="00F643F1"/>
    <w:rsid w:val="00F65B99"/>
    <w:rsid w:val="00F671D6"/>
    <w:rsid w:val="00F67CF0"/>
    <w:rsid w:val="00F72073"/>
    <w:rsid w:val="00F72214"/>
    <w:rsid w:val="00F74800"/>
    <w:rsid w:val="00F74ED4"/>
    <w:rsid w:val="00F820FE"/>
    <w:rsid w:val="00F8490A"/>
    <w:rsid w:val="00F86944"/>
    <w:rsid w:val="00F916ED"/>
    <w:rsid w:val="00F96A95"/>
    <w:rsid w:val="00F96CE1"/>
    <w:rsid w:val="00F9720B"/>
    <w:rsid w:val="00FA04B7"/>
    <w:rsid w:val="00FA3B0B"/>
    <w:rsid w:val="00FA4263"/>
    <w:rsid w:val="00FB5670"/>
    <w:rsid w:val="00FC532F"/>
    <w:rsid w:val="00FC7F00"/>
    <w:rsid w:val="00FD1DC0"/>
    <w:rsid w:val="00FD2554"/>
    <w:rsid w:val="00FD3FB0"/>
    <w:rsid w:val="00FD4C5C"/>
    <w:rsid w:val="00FD4C6A"/>
    <w:rsid w:val="00FD7448"/>
    <w:rsid w:val="00FE174D"/>
    <w:rsid w:val="00FE3D11"/>
    <w:rsid w:val="00FE5D14"/>
    <w:rsid w:val="00FF34B3"/>
    <w:rsid w:val="00FF387D"/>
    <w:rsid w:val="00FF42C5"/>
    <w:rsid w:val="00FF512E"/>
    <w:rsid w:val="00FF5223"/>
    <w:rsid w:val="00FF6795"/>
    <w:rsid w:val="00FF74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Times New Roman"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635482"/>
    <w:pPr>
      <w:ind w:firstLineChars="200" w:firstLine="420"/>
    </w:pPr>
  </w:style>
  <w:style w:type="character" w:styleId="Hyperlink">
    <w:name w:val="Hyperlink"/>
    <w:basedOn w:val="DefaultParagraphFont"/>
    <w:uiPriority w:val="99"/>
    <w:rsid w:val="00390878"/>
    <w:rPr>
      <w:rFonts w:cs="Times New Roman"/>
      <w:color w:val="0000FF"/>
      <w:u w:val="single"/>
    </w:rPr>
  </w:style>
  <w:style w:type="character" w:styleId="Strong">
    <w:name w:val="Strong"/>
    <w:basedOn w:val="DefaultParagraphFont"/>
    <w:uiPriority w:val="99"/>
    <w:qFormat/>
    <w:rsid w:val="001863C8"/>
    <w:rPr>
      <w:rFonts w:cs="Times New Roman"/>
      <w:b/>
    </w:rPr>
  </w:style>
</w:styles>
</file>

<file path=word/webSettings.xml><?xml version="1.0" encoding="utf-8"?>
<w:webSettings xmlns:r="http://schemas.openxmlformats.org/officeDocument/2006/relationships" xmlns:w="http://schemas.openxmlformats.org/wordprocessingml/2006/main">
  <w:divs>
    <w:div w:id="1998028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767</Words>
  <Characters>4374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2014-12-05T06:23:00Z</dcterms:created>
  <dcterms:modified xsi:type="dcterms:W3CDTF">2014-12-05T06:23:00Z</dcterms:modified>
</cp:coreProperties>
</file>