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21B4" w:rsidRPr="00FC54FE" w:rsidRDefault="008F21B4" w:rsidP="00B10000">
      <w:pPr>
        <w:widowControl/>
        <w:spacing w:after="120" w:line="240" w:lineRule="exact"/>
        <w:ind w:left="3430"/>
        <w:rPr>
          <w:rFonts w:ascii="楷体" w:eastAsia="楷体" w:hAnsi="楷体"/>
          <w:b/>
          <w:bCs/>
          <w:color w:val="0070C0"/>
          <w:kern w:val="0"/>
          <w:sz w:val="24"/>
          <w:szCs w:val="20"/>
          <w:lang w:val="en-GB"/>
        </w:rPr>
      </w:pPr>
      <w:r>
        <w:rPr>
          <w:noProof/>
        </w:rPr>
        <w:pict>
          <v:shapetype id="_x0000_t202" coordsize="21600,21600" o:spt="202" path="m,l,21600r21600,l21600,xe">
            <v:stroke joinstyle="miter"/>
            <v:path gradientshapeok="t" o:connecttype="rect"/>
          </v:shapetype>
          <v:shape id="_x0000_s1035" type="#_x0000_t202" style="position:absolute;left:0;text-align:left;margin-left:1.5pt;margin-top:284.2pt;width:148.5pt;height:275.6pt;z-index:251658240" strokecolor="white" strokeweight="0">
            <v:stroke dashstyle="1 1" endcap="round"/>
            <v:textbox style="mso-next-textbox:#_x0000_s1035">
              <w:txbxContent>
                <w:p w:rsidR="008F21B4" w:rsidRPr="00635482" w:rsidRDefault="008F21B4" w:rsidP="00DE2D65">
                  <w:pPr>
                    <w:rPr>
                      <w:rFonts w:ascii="楷体" w:eastAsia="楷体" w:hAnsi="楷体"/>
                      <w:b/>
                      <w:lang w:val="en-GB"/>
                    </w:rPr>
                  </w:pPr>
                  <w:r w:rsidRPr="00635482">
                    <w:rPr>
                      <w:rFonts w:ascii="楷体" w:eastAsia="楷体" w:hAnsi="楷体" w:hint="eastAsia"/>
                      <w:b/>
                      <w:lang w:val="en-GB"/>
                    </w:rPr>
                    <w:t>凯石工场移动平台：</w:t>
                  </w:r>
                </w:p>
                <w:p w:rsidR="008F21B4" w:rsidRPr="00635482" w:rsidRDefault="008F21B4" w:rsidP="00DE2D65">
                  <w:pPr>
                    <w:rPr>
                      <w:rFonts w:ascii="楷体" w:eastAsia="楷体" w:hAnsi="楷体"/>
                      <w:lang w:val="en-GB"/>
                    </w:rPr>
                  </w:pPr>
                </w:p>
                <w:p w:rsidR="008F21B4" w:rsidRPr="00635482" w:rsidRDefault="008F21B4" w:rsidP="00DE2D65">
                  <w:r w:rsidRPr="00635482">
                    <w:rPr>
                      <w:rFonts w:ascii="楷体" w:eastAsia="楷体" w:hAnsi="楷体" w:hint="eastAsia"/>
                      <w:lang w:val="en-GB"/>
                    </w:rPr>
                    <w:t>官方微博：</w:t>
                  </w:r>
                </w:p>
                <w:p w:rsidR="008F21B4" w:rsidRPr="00635482" w:rsidRDefault="008F21B4" w:rsidP="00DE2D65">
                  <w:pPr>
                    <w:rPr>
                      <w:rFonts w:ascii="楷体" w:eastAsia="楷体" w:hAnsi="楷体"/>
                      <w:lang w:val="en-GB"/>
                    </w:rPr>
                  </w:pPr>
                  <w:r w:rsidRPr="00635482">
                    <w:rPr>
                      <w:rFonts w:ascii="楷体" w:eastAsia="楷体" w:hAnsi="楷体" w:hint="eastAsia"/>
                      <w:lang w:val="en-GB"/>
                    </w:rPr>
                    <w:t>凯石财富工场</w:t>
                  </w:r>
                </w:p>
                <w:p w:rsidR="008F21B4" w:rsidRDefault="008F21B4" w:rsidP="00DE2D65">
                  <w:r w:rsidRPr="006D35DD">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i1043" type="#_x0000_t75" alt="66.jpg" style="width:73.5pt;height:73.5pt;visibility:visible">
                        <v:imagedata r:id="rId7" o:title=""/>
                      </v:shape>
                    </w:pict>
                  </w:r>
                </w:p>
                <w:p w:rsidR="008F21B4" w:rsidRDefault="008F21B4" w:rsidP="00DE2D65">
                  <w:pPr>
                    <w:rPr>
                      <w:rFonts w:ascii="楷体" w:eastAsia="楷体" w:hAnsi="楷体"/>
                      <w:b/>
                      <w:lang w:val="en-GB"/>
                    </w:rPr>
                  </w:pPr>
                </w:p>
                <w:p w:rsidR="008F21B4" w:rsidRPr="00635482" w:rsidRDefault="008F21B4" w:rsidP="00DE2D65">
                  <w:pPr>
                    <w:rPr>
                      <w:rFonts w:ascii="楷体" w:eastAsia="楷体" w:hAnsi="楷体"/>
                      <w:lang w:val="en-GB"/>
                    </w:rPr>
                  </w:pPr>
                  <w:r w:rsidRPr="00635482">
                    <w:rPr>
                      <w:rFonts w:ascii="楷体" w:eastAsia="楷体" w:hAnsi="楷体" w:hint="eastAsia"/>
                      <w:lang w:val="en-GB"/>
                    </w:rPr>
                    <w:t>官方微信：</w:t>
                  </w:r>
                </w:p>
                <w:p w:rsidR="008F21B4" w:rsidRPr="00635482" w:rsidRDefault="008F21B4" w:rsidP="00DE2D65">
                  <w:pPr>
                    <w:rPr>
                      <w:rFonts w:ascii="楷体" w:eastAsia="楷体" w:hAnsi="楷体"/>
                      <w:lang w:val="en-GB"/>
                    </w:rPr>
                  </w:pPr>
                  <w:r w:rsidRPr="00635482">
                    <w:rPr>
                      <w:rFonts w:ascii="楷体" w:eastAsia="楷体" w:hAnsi="楷体" w:hint="eastAsia"/>
                      <w:lang w:val="en-GB"/>
                    </w:rPr>
                    <w:t>凯石财富知音订阅号</w:t>
                  </w:r>
                </w:p>
                <w:p w:rsidR="008F21B4" w:rsidRDefault="008F21B4" w:rsidP="00DE2D65">
                  <w:r w:rsidRPr="00D41C41">
                    <w:rPr>
                      <w:rFonts w:ascii="楷体" w:eastAsia="楷体" w:hAnsi="楷体"/>
                      <w:b/>
                      <w:noProof/>
                    </w:rPr>
                    <w:pict>
                      <v:shape id="图片 7" o:spid="_x0000_i1044" type="#_x0000_t75" alt="凯石财富知音订阅号3.jpg" style="width:75pt;height:75pt;visibility:visible">
                        <v:imagedata r:id="rId8" o:title=""/>
                      </v:shape>
                    </w:pict>
                  </w:r>
                </w:p>
              </w:txbxContent>
            </v:textbox>
          </v:shape>
        </w:pict>
      </w:r>
      <w:r w:rsidRPr="00FC54FE">
        <w:rPr>
          <w:rFonts w:ascii="楷体" w:eastAsia="楷体" w:hAnsi="楷体" w:hint="eastAsia"/>
          <w:b/>
          <w:bCs/>
          <w:color w:val="0070C0"/>
          <w:kern w:val="0"/>
          <w:sz w:val="24"/>
          <w:szCs w:val="20"/>
          <w:lang w:val="en-GB"/>
        </w:rPr>
        <w:t>导语</w:t>
      </w:r>
    </w:p>
    <w:p w:rsidR="008F21B4" w:rsidRDefault="008F21B4" w:rsidP="00403507">
      <w:pPr>
        <w:pStyle w:val="BodyText"/>
        <w:spacing w:after="163"/>
        <w:ind w:firstLineChars="200" w:firstLine="420"/>
        <w:rPr>
          <w:rFonts w:eastAsia="楷体" w:cs="Arial"/>
        </w:rPr>
      </w:pPr>
      <w:r w:rsidRPr="00E21F26">
        <w:rPr>
          <w:rFonts w:eastAsia="楷体" w:cs="Arial" w:hint="eastAsia"/>
        </w:rPr>
        <w:t>美国经济复苏前景明朗、</w:t>
      </w:r>
      <w:r>
        <w:rPr>
          <w:rFonts w:eastAsia="楷体" w:cs="Arial" w:hint="eastAsia"/>
        </w:rPr>
        <w:t>维持</w:t>
      </w:r>
      <w:r w:rsidRPr="00864263">
        <w:rPr>
          <w:rFonts w:eastAsia="楷体" w:cs="Arial" w:hint="eastAsia"/>
        </w:rPr>
        <w:t>超低政策利率</w:t>
      </w:r>
      <w:r>
        <w:rPr>
          <w:rFonts w:eastAsia="楷体" w:cs="Arial" w:hint="eastAsia"/>
        </w:rPr>
        <w:t>、</w:t>
      </w:r>
      <w:r w:rsidRPr="00E21F26">
        <w:rPr>
          <w:rFonts w:eastAsia="楷体" w:cs="Arial" w:hint="eastAsia"/>
        </w:rPr>
        <w:t>企业盈利好转等基本面利好继续支持股市走强，</w:t>
      </w:r>
      <w:r>
        <w:rPr>
          <w:rFonts w:eastAsia="楷体" w:cs="Arial" w:hint="eastAsia"/>
        </w:rPr>
        <w:t>其中</w:t>
      </w:r>
      <w:r w:rsidRPr="00E21F26">
        <w:rPr>
          <w:rFonts w:eastAsia="楷体" w:cs="Arial" w:hint="eastAsia"/>
        </w:rPr>
        <w:t>值得重点关注的</w:t>
      </w:r>
      <w:r>
        <w:rPr>
          <w:rFonts w:eastAsia="楷体" w:cs="Arial" w:hint="eastAsia"/>
        </w:rPr>
        <w:t>包括</w:t>
      </w:r>
      <w:r w:rsidRPr="00E21F26">
        <w:rPr>
          <w:rFonts w:eastAsia="楷体" w:cs="Arial" w:hint="eastAsia"/>
        </w:rPr>
        <w:t>有盈利支撑的中小盘</w:t>
      </w:r>
      <w:r>
        <w:rPr>
          <w:rFonts w:eastAsia="楷体" w:cs="Arial" w:hint="eastAsia"/>
        </w:rPr>
        <w:t>成长股，受益于新技术变革的科技股，以及复苏较为明确的房地产板块。</w:t>
      </w:r>
      <w:r w:rsidRPr="00E21F26">
        <w:rPr>
          <w:rFonts w:eastAsia="楷体" w:cs="Arial" w:hint="eastAsia"/>
        </w:rPr>
        <w:t>具体</w:t>
      </w:r>
      <w:r>
        <w:rPr>
          <w:rFonts w:eastAsia="楷体" w:cs="Arial" w:hint="eastAsia"/>
        </w:rPr>
        <w:t>受益品种</w:t>
      </w:r>
      <w:r w:rsidRPr="00E21F26">
        <w:rPr>
          <w:rFonts w:eastAsia="楷体" w:cs="Arial" w:hint="eastAsia"/>
        </w:rPr>
        <w:t>包括跟踪纳斯达克</w:t>
      </w:r>
      <w:r w:rsidRPr="00E21F26">
        <w:rPr>
          <w:rFonts w:eastAsia="楷体" w:cs="Arial"/>
        </w:rPr>
        <w:t>100</w:t>
      </w:r>
      <w:r w:rsidRPr="00E21F26">
        <w:rPr>
          <w:rFonts w:eastAsia="楷体" w:cs="Arial" w:hint="eastAsia"/>
        </w:rPr>
        <w:t>指数及标普</w:t>
      </w:r>
      <w:r w:rsidRPr="00E21F26">
        <w:rPr>
          <w:rFonts w:eastAsia="楷体" w:cs="Arial"/>
        </w:rPr>
        <w:t>500</w:t>
      </w:r>
      <w:r w:rsidRPr="00E21F26">
        <w:rPr>
          <w:rFonts w:eastAsia="楷体" w:cs="Arial" w:hint="eastAsia"/>
        </w:rPr>
        <w:t>指数的基金、投资美国房地产的基金。</w:t>
      </w:r>
      <w:r>
        <w:rPr>
          <w:rFonts w:eastAsia="楷体" w:cs="Arial" w:hint="eastAsia"/>
        </w:rPr>
        <w:t>鉴于此，</w:t>
      </w:r>
      <w:r w:rsidRPr="00864263">
        <w:rPr>
          <w:rFonts w:eastAsia="楷体" w:cs="Arial" w:hint="eastAsia"/>
        </w:rPr>
        <w:t>凯石工场</w:t>
      </w:r>
      <w:r>
        <w:rPr>
          <w:rFonts w:eastAsia="楷体" w:cs="Arial" w:hint="eastAsia"/>
        </w:rPr>
        <w:t>建议</w:t>
      </w:r>
      <w:r>
        <w:rPr>
          <w:rFonts w:eastAsia="楷体" w:cs="Arial"/>
        </w:rPr>
        <w:t>12</w:t>
      </w:r>
      <w:r>
        <w:rPr>
          <w:rFonts w:eastAsia="楷体" w:cs="Arial" w:hint="eastAsia"/>
        </w:rPr>
        <w:t>月份维持“美股美房”在</w:t>
      </w:r>
      <w:r w:rsidRPr="00864263">
        <w:rPr>
          <w:rFonts w:eastAsia="楷体" w:cs="Arial"/>
        </w:rPr>
        <w:t>QDII</w:t>
      </w:r>
      <w:r>
        <w:rPr>
          <w:rFonts w:eastAsia="楷体" w:cs="Arial" w:hint="eastAsia"/>
        </w:rPr>
        <w:t>基金组合中的核心位置</w:t>
      </w:r>
      <w:r w:rsidRPr="00E21F26">
        <w:rPr>
          <w:rFonts w:eastAsia="楷体" w:cs="Arial" w:hint="eastAsia"/>
        </w:rPr>
        <w:t>。</w:t>
      </w:r>
    </w:p>
    <w:p w:rsidR="008F21B4" w:rsidRDefault="008F21B4" w:rsidP="00403507">
      <w:pPr>
        <w:pStyle w:val="BodyText"/>
        <w:spacing w:after="163"/>
        <w:ind w:firstLineChars="200" w:firstLine="420"/>
        <w:rPr>
          <w:rFonts w:eastAsia="楷体" w:cs="Arial"/>
        </w:rPr>
      </w:pPr>
      <w:r>
        <w:rPr>
          <w:rFonts w:eastAsia="楷体" w:cs="Arial" w:hint="eastAsia"/>
        </w:rPr>
        <w:t>同时，我们继续看好港股的表现。</w:t>
      </w:r>
      <w:r w:rsidRPr="0061753C">
        <w:rPr>
          <w:rFonts w:eastAsia="楷体" w:cs="Arial" w:hint="eastAsia"/>
        </w:rPr>
        <w:t>沪港通推出第一周，由于内地设置</w:t>
      </w:r>
      <w:r>
        <w:rPr>
          <w:rFonts w:eastAsia="楷体" w:cs="Arial"/>
        </w:rPr>
        <w:t>50</w:t>
      </w:r>
      <w:r>
        <w:rPr>
          <w:rFonts w:eastAsia="楷体" w:cs="Arial" w:hint="eastAsia"/>
        </w:rPr>
        <w:t>万元</w:t>
      </w:r>
      <w:r w:rsidRPr="0061753C">
        <w:rPr>
          <w:rFonts w:eastAsia="楷体" w:cs="Arial" w:hint="eastAsia"/>
        </w:rPr>
        <w:t>投资门槛</w:t>
      </w:r>
      <w:r>
        <w:rPr>
          <w:rFonts w:eastAsia="楷体" w:cs="Arial" w:hint="eastAsia"/>
        </w:rPr>
        <w:t>而参与者又多为“小散”</w:t>
      </w:r>
      <w:r w:rsidRPr="0061753C">
        <w:rPr>
          <w:rFonts w:eastAsia="楷体" w:cs="Arial" w:hint="eastAsia"/>
        </w:rPr>
        <w:t>，使得“南下”资金</w:t>
      </w:r>
      <w:r>
        <w:rPr>
          <w:rFonts w:eastAsia="楷体" w:cs="Arial" w:hint="eastAsia"/>
        </w:rPr>
        <w:t>使用额度低于预期，一度引发港股较大调整。不过，</w:t>
      </w:r>
      <w:r w:rsidRPr="0061753C">
        <w:rPr>
          <w:rFonts w:eastAsia="楷体" w:cs="Arial" w:hint="eastAsia"/>
        </w:rPr>
        <w:t>央行</w:t>
      </w:r>
      <w:r>
        <w:rPr>
          <w:rFonts w:eastAsia="楷体" w:cs="Arial" w:hint="eastAsia"/>
        </w:rPr>
        <w:t>此次</w:t>
      </w:r>
      <w:r w:rsidRPr="0061753C">
        <w:rPr>
          <w:rFonts w:eastAsia="楷体" w:cs="Arial" w:hint="eastAsia"/>
        </w:rPr>
        <w:t>降息</w:t>
      </w:r>
      <w:r>
        <w:rPr>
          <w:rFonts w:eastAsia="楷体" w:cs="Arial" w:hint="eastAsia"/>
        </w:rPr>
        <w:t>实现</w:t>
      </w:r>
      <w:r w:rsidRPr="0061753C">
        <w:rPr>
          <w:rFonts w:eastAsia="楷体" w:cs="Arial" w:hint="eastAsia"/>
        </w:rPr>
        <w:t>降低融资成本、催生增量资金入市，</w:t>
      </w:r>
      <w:r>
        <w:rPr>
          <w:rFonts w:eastAsia="楷体" w:cs="Arial" w:hint="eastAsia"/>
        </w:rPr>
        <w:t>有望推升</w:t>
      </w:r>
      <w:r w:rsidRPr="0061753C">
        <w:rPr>
          <w:rFonts w:eastAsia="楷体" w:cs="Arial"/>
        </w:rPr>
        <w:t>A</w:t>
      </w:r>
      <w:r w:rsidRPr="0061753C">
        <w:rPr>
          <w:rFonts w:eastAsia="楷体" w:cs="Arial" w:hint="eastAsia"/>
        </w:rPr>
        <w:t>、</w:t>
      </w:r>
      <w:r w:rsidRPr="0061753C">
        <w:rPr>
          <w:rFonts w:eastAsia="楷体" w:cs="Arial"/>
        </w:rPr>
        <w:t>H</w:t>
      </w:r>
      <w:r>
        <w:rPr>
          <w:rFonts w:eastAsia="楷体" w:cs="Arial" w:hint="eastAsia"/>
        </w:rPr>
        <w:t>股市场走势、利好沪港通的推行。且若未来几年沪深股市转牛，必将</w:t>
      </w:r>
      <w:r w:rsidRPr="00F218C0">
        <w:rPr>
          <w:rFonts w:eastAsia="楷体" w:cs="Arial" w:hint="eastAsia"/>
        </w:rPr>
        <w:t>带动香港股市更加繁荣。</w:t>
      </w:r>
      <w:r>
        <w:rPr>
          <w:rFonts w:eastAsia="楷体" w:cs="Arial" w:hint="eastAsia"/>
        </w:rPr>
        <w:t>因此港股</w:t>
      </w:r>
      <w:r w:rsidRPr="0061753C">
        <w:rPr>
          <w:rFonts w:eastAsia="楷体" w:cs="Arial"/>
        </w:rPr>
        <w:t>QDII</w:t>
      </w:r>
      <w:r>
        <w:rPr>
          <w:rFonts w:eastAsia="楷体" w:cs="Arial" w:hint="eastAsia"/>
        </w:rPr>
        <w:t>的未来走势依然大有可期。</w:t>
      </w:r>
    </w:p>
    <w:p w:rsidR="008F21B4" w:rsidRPr="00636233" w:rsidRDefault="008F21B4" w:rsidP="00403507">
      <w:pPr>
        <w:pStyle w:val="BodyText"/>
        <w:spacing w:after="163"/>
        <w:ind w:firstLineChars="200" w:firstLine="420"/>
        <w:rPr>
          <w:rFonts w:eastAsia="楷体" w:hAnsi="楷体" w:cs="Arial"/>
        </w:rPr>
      </w:pPr>
      <w:r w:rsidRPr="00636233">
        <w:rPr>
          <w:rFonts w:eastAsia="楷体" w:hAnsi="楷体" w:cs="Arial" w:hint="eastAsia"/>
        </w:rPr>
        <w:t>综上，</w:t>
      </w:r>
      <w:r>
        <w:rPr>
          <w:rFonts w:eastAsia="楷体" w:hAnsi="楷体" w:cs="Arial" w:hint="eastAsia"/>
        </w:rPr>
        <w:t>凯石工场建议</w:t>
      </w:r>
      <w:r>
        <w:rPr>
          <w:rFonts w:eastAsia="楷体" w:hAnsi="楷体" w:cs="Arial"/>
        </w:rPr>
        <w:t>12</w:t>
      </w:r>
      <w:r>
        <w:rPr>
          <w:rFonts w:eastAsia="楷体" w:hAnsi="楷体" w:cs="Arial" w:hint="eastAsia"/>
        </w:rPr>
        <w:t>月份</w:t>
      </w:r>
      <w:r w:rsidRPr="00636233">
        <w:rPr>
          <w:rFonts w:eastAsia="楷体" w:hAnsi="楷体" w:cs="Arial"/>
        </w:rPr>
        <w:t>QDII</w:t>
      </w:r>
      <w:r>
        <w:rPr>
          <w:rFonts w:eastAsia="楷体" w:hAnsi="楷体" w:cs="Arial" w:hint="eastAsia"/>
        </w:rPr>
        <w:t>投资延续“美股港股双核心”的策略，基金组合包括</w:t>
      </w:r>
      <w:r w:rsidRPr="00636233">
        <w:rPr>
          <w:rFonts w:eastAsia="楷体" w:hAnsi="楷体" w:cs="Arial" w:hint="eastAsia"/>
        </w:rPr>
        <w:t>美股指数基金、投资美国房地产行业股票及</w:t>
      </w:r>
      <w:r w:rsidRPr="00636233">
        <w:rPr>
          <w:rFonts w:eastAsia="楷体" w:hAnsi="楷体" w:cs="Arial"/>
        </w:rPr>
        <w:t>REITs</w:t>
      </w:r>
      <w:r>
        <w:rPr>
          <w:rFonts w:eastAsia="楷体" w:hAnsi="楷体" w:cs="Arial" w:hint="eastAsia"/>
        </w:rPr>
        <w:t>基金、以港股为代表的新兴市场基金</w:t>
      </w:r>
      <w:r w:rsidRPr="00636233">
        <w:rPr>
          <w:rFonts w:eastAsia="楷体" w:hAnsi="楷体" w:cs="Arial" w:hint="eastAsia"/>
        </w:rPr>
        <w:t>，从而</w:t>
      </w:r>
      <w:r>
        <w:rPr>
          <w:rFonts w:eastAsia="楷体" w:hAnsi="楷体" w:cs="Arial" w:hint="eastAsia"/>
        </w:rPr>
        <w:t>在分散区域</w:t>
      </w:r>
      <w:r w:rsidRPr="00636233">
        <w:rPr>
          <w:rFonts w:eastAsia="楷体" w:hAnsi="楷体" w:cs="Arial" w:hint="eastAsia"/>
        </w:rPr>
        <w:t>风险</w:t>
      </w:r>
      <w:r>
        <w:rPr>
          <w:rFonts w:eastAsia="楷体" w:hAnsi="楷体" w:cs="Arial" w:hint="eastAsia"/>
        </w:rPr>
        <w:t>的同时</w:t>
      </w:r>
      <w:r>
        <w:rPr>
          <w:rFonts w:eastAsia="楷体" w:cs="Arial" w:hint="eastAsia"/>
        </w:rPr>
        <w:t>有效把握住阶段行情。</w:t>
      </w:r>
      <w:r w:rsidRPr="00636233">
        <w:rPr>
          <w:rFonts w:eastAsia="楷体" w:hAnsi="楷体" w:cs="Arial" w:hint="eastAsia"/>
        </w:rPr>
        <w:t>具体产品推荐</w:t>
      </w:r>
      <w:r>
        <w:rPr>
          <w:rFonts w:eastAsia="楷体" w:hAnsi="楷体" w:cs="Arial" w:hint="eastAsia"/>
        </w:rPr>
        <w:t>富国中国中小盘、</w:t>
      </w:r>
      <w:r w:rsidRPr="005F5997">
        <w:rPr>
          <w:rFonts w:eastAsia="楷体" w:hAnsi="楷体" w:cs="Arial" w:hint="eastAsia"/>
        </w:rPr>
        <w:t>华夏恒生</w:t>
      </w:r>
      <w:r w:rsidRPr="005F5997">
        <w:rPr>
          <w:rFonts w:eastAsia="楷体" w:hAnsi="楷体" w:cs="Arial"/>
        </w:rPr>
        <w:t>ETF</w:t>
      </w:r>
      <w:r>
        <w:rPr>
          <w:rFonts w:eastAsia="楷体" w:hAnsi="楷体" w:cs="Arial" w:hint="eastAsia"/>
        </w:rPr>
        <w:t>基金、嘉实恒生中国企业基金、博时大中华亚太精选基金、</w:t>
      </w:r>
      <w:r w:rsidRPr="00636233">
        <w:rPr>
          <w:rFonts w:eastAsia="楷体" w:hAnsi="楷体" w:cs="Arial" w:hint="eastAsia"/>
        </w:rPr>
        <w:t>国泰纳斯达克</w:t>
      </w:r>
      <w:r w:rsidRPr="00636233">
        <w:rPr>
          <w:rFonts w:eastAsia="楷体" w:hAnsi="楷体" w:cs="Arial"/>
        </w:rPr>
        <w:t>100</w:t>
      </w:r>
      <w:r>
        <w:rPr>
          <w:rFonts w:eastAsia="楷体" w:hAnsi="楷体" w:cs="Arial" w:hint="eastAsia"/>
        </w:rPr>
        <w:t>指数基金</w:t>
      </w:r>
      <w:r w:rsidRPr="00636233">
        <w:rPr>
          <w:rFonts w:eastAsia="楷体" w:hAnsi="楷体" w:cs="Arial" w:hint="eastAsia"/>
        </w:rPr>
        <w:t>、大成标普</w:t>
      </w:r>
      <w:r w:rsidRPr="00636233">
        <w:rPr>
          <w:rFonts w:eastAsia="楷体" w:hAnsi="楷体" w:cs="Arial"/>
        </w:rPr>
        <w:t>500</w:t>
      </w:r>
      <w:r w:rsidRPr="00636233">
        <w:rPr>
          <w:rFonts w:eastAsia="楷体" w:hAnsi="楷体" w:cs="Arial" w:hint="eastAsia"/>
        </w:rPr>
        <w:t>等权重指数基金、鹏华</w:t>
      </w:r>
      <w:r>
        <w:rPr>
          <w:rFonts w:eastAsia="楷体" w:hAnsi="楷体" w:cs="Arial" w:hint="eastAsia"/>
        </w:rPr>
        <w:t>美国房地产基金</w:t>
      </w:r>
      <w:r w:rsidRPr="00636233">
        <w:rPr>
          <w:rFonts w:eastAsia="楷体" w:hAnsi="楷体" w:cs="Arial" w:hint="eastAsia"/>
        </w:rPr>
        <w:t>。</w:t>
      </w:r>
    </w:p>
    <w:p w:rsidR="008F21B4" w:rsidRDefault="008F21B4" w:rsidP="00403507">
      <w:pPr>
        <w:widowControl/>
        <w:spacing w:after="120" w:line="240" w:lineRule="exact"/>
        <w:ind w:left="3430"/>
        <w:rPr>
          <w:rFonts w:ascii="楷体" w:eastAsia="楷体" w:hAnsi="楷体"/>
          <w:b/>
          <w:bCs/>
          <w:color w:val="0070C0"/>
          <w:kern w:val="0"/>
          <w:sz w:val="24"/>
          <w:szCs w:val="20"/>
          <w:lang w:val="en-GB"/>
        </w:rPr>
      </w:pPr>
      <w:r>
        <w:rPr>
          <w:rFonts w:ascii="楷体" w:eastAsia="楷体" w:hAnsi="楷体" w:hint="eastAsia"/>
          <w:b/>
          <w:bCs/>
          <w:color w:val="0070C0"/>
          <w:kern w:val="0"/>
          <w:sz w:val="24"/>
          <w:szCs w:val="20"/>
          <w:lang w:val="en-GB"/>
        </w:rPr>
        <w:t>一、</w:t>
      </w:r>
      <w:r>
        <w:rPr>
          <w:rFonts w:ascii="楷体" w:eastAsia="楷体" w:hAnsi="楷体"/>
          <w:b/>
          <w:bCs/>
          <w:color w:val="0070C0"/>
          <w:kern w:val="0"/>
          <w:sz w:val="24"/>
          <w:szCs w:val="20"/>
          <w:lang w:val="en-GB"/>
        </w:rPr>
        <w:t>QDII</w:t>
      </w:r>
      <w:r>
        <w:rPr>
          <w:rFonts w:ascii="楷体" w:eastAsia="楷体" w:hAnsi="楷体" w:hint="eastAsia"/>
          <w:b/>
          <w:bCs/>
          <w:color w:val="0070C0"/>
          <w:kern w:val="0"/>
          <w:sz w:val="24"/>
          <w:szCs w:val="20"/>
          <w:lang w:val="en-GB"/>
        </w:rPr>
        <w:t>基金四季度以来收益情况</w:t>
      </w:r>
    </w:p>
    <w:p w:rsidR="008F21B4" w:rsidRDefault="008F21B4" w:rsidP="00330DE1">
      <w:pPr>
        <w:pStyle w:val="BodyText"/>
        <w:spacing w:after="163"/>
        <w:rPr>
          <w:rFonts w:ascii="楷体" w:eastAsia="楷体" w:hAnsi="楷体"/>
        </w:rPr>
      </w:pPr>
      <w:r>
        <w:rPr>
          <w:rFonts w:ascii="楷体" w:eastAsia="楷体" w:hAnsi="楷体" w:hint="eastAsia"/>
          <w:b/>
          <w:bCs/>
          <w:color w:val="0070C0"/>
          <w:szCs w:val="21"/>
        </w:rPr>
        <w:t>全球股市先抑后扬，“美房”基金强势领跑</w:t>
      </w:r>
    </w:p>
    <w:p w:rsidR="008F21B4" w:rsidRPr="00AE6C1F" w:rsidRDefault="008F21B4" w:rsidP="00330DE1">
      <w:pPr>
        <w:pStyle w:val="BodyText"/>
        <w:numPr>
          <w:ilvl w:val="4"/>
          <w:numId w:val="1"/>
        </w:numPr>
        <w:spacing w:after="163"/>
        <w:rPr>
          <w:rFonts w:eastAsia="楷体" w:cs="Arial"/>
        </w:rPr>
      </w:pPr>
      <w:r>
        <w:rPr>
          <w:rFonts w:eastAsia="楷体" w:cs="Arial" w:hint="eastAsia"/>
        </w:rPr>
        <w:t>四季度以来，全球股票市场总体呈“</w:t>
      </w:r>
      <w:r>
        <w:rPr>
          <w:rFonts w:eastAsia="楷体" w:cs="Arial"/>
        </w:rPr>
        <w:t>V</w:t>
      </w:r>
      <w:r>
        <w:rPr>
          <w:rFonts w:eastAsia="楷体" w:cs="Arial" w:hint="eastAsia"/>
        </w:rPr>
        <w:t>”型走势，</w:t>
      </w:r>
      <w:r>
        <w:rPr>
          <w:rFonts w:eastAsia="楷体" w:cs="Arial"/>
        </w:rPr>
        <w:t>10</w:t>
      </w:r>
      <w:r>
        <w:rPr>
          <w:rFonts w:eastAsia="楷体" w:cs="Arial" w:hint="eastAsia"/>
        </w:rPr>
        <w:t>月上旬延续</w:t>
      </w:r>
      <w:r>
        <w:rPr>
          <w:rFonts w:eastAsia="楷体" w:cs="Arial"/>
        </w:rPr>
        <w:t>9</w:t>
      </w:r>
      <w:r>
        <w:rPr>
          <w:rFonts w:eastAsia="楷体" w:cs="Arial" w:hint="eastAsia"/>
        </w:rPr>
        <w:t>月以来的跌势，至中下旬掀起反弹，尤以美股反弹力度最大。</w:t>
      </w:r>
      <w:r w:rsidRPr="00864263">
        <w:rPr>
          <w:rFonts w:eastAsia="楷体" w:cs="Arial" w:hint="eastAsia"/>
        </w:rPr>
        <w:t>道琼斯工业、标普</w:t>
      </w:r>
      <w:r w:rsidRPr="00864263">
        <w:rPr>
          <w:rFonts w:eastAsia="楷体" w:cs="Arial"/>
        </w:rPr>
        <w:t>500</w:t>
      </w:r>
      <w:r w:rsidRPr="00864263">
        <w:rPr>
          <w:rFonts w:eastAsia="楷体" w:cs="Arial" w:hint="eastAsia"/>
        </w:rPr>
        <w:t>和纳斯达克</w:t>
      </w:r>
      <w:r w:rsidRPr="00864263">
        <w:rPr>
          <w:rFonts w:eastAsia="楷体" w:cs="Arial"/>
        </w:rPr>
        <w:t>100</w:t>
      </w:r>
      <w:r w:rsidRPr="00864263">
        <w:rPr>
          <w:rFonts w:eastAsia="楷体" w:cs="Arial" w:hint="eastAsia"/>
        </w:rPr>
        <w:t>指数分别上涨了</w:t>
      </w:r>
      <w:r>
        <w:rPr>
          <w:rFonts w:eastAsia="楷体" w:cs="Arial"/>
        </w:rPr>
        <w:t>3.97</w:t>
      </w:r>
      <w:r w:rsidRPr="00864263">
        <w:rPr>
          <w:rFonts w:eastAsia="楷体" w:cs="Arial"/>
        </w:rPr>
        <w:t>%</w:t>
      </w:r>
      <w:r>
        <w:rPr>
          <w:rFonts w:eastAsia="楷体" w:cs="Arial" w:hint="eastAsia"/>
        </w:rPr>
        <w:t>、</w:t>
      </w:r>
      <w:r>
        <w:rPr>
          <w:rFonts w:eastAsia="楷体" w:cs="Arial"/>
        </w:rPr>
        <w:t>4.08%</w:t>
      </w:r>
      <w:r>
        <w:rPr>
          <w:rFonts w:eastAsia="楷体" w:cs="Arial" w:hint="eastAsia"/>
        </w:rPr>
        <w:t>、</w:t>
      </w:r>
      <w:r>
        <w:rPr>
          <w:rFonts w:eastAsia="楷体" w:cs="Arial"/>
        </w:rPr>
        <w:t>4.99%</w:t>
      </w:r>
      <w:r>
        <w:rPr>
          <w:rFonts w:eastAsia="楷体" w:cs="Arial" w:hint="eastAsia"/>
        </w:rPr>
        <w:t>。欧洲市场受制于通缩和经济压力，反弹幅度有限。亚太及新兴市场基本企稳回升</w:t>
      </w:r>
      <w:r w:rsidRPr="00864263">
        <w:rPr>
          <w:rFonts w:eastAsia="楷体" w:cs="Arial" w:hint="eastAsia"/>
        </w:rPr>
        <w:t>，日经</w:t>
      </w:r>
      <w:r w:rsidRPr="00864263">
        <w:rPr>
          <w:rFonts w:eastAsia="楷体" w:cs="Arial"/>
        </w:rPr>
        <w:t>225</w:t>
      </w:r>
      <w:r w:rsidRPr="00864263">
        <w:rPr>
          <w:rFonts w:eastAsia="楷体" w:cs="Arial" w:hint="eastAsia"/>
        </w:rPr>
        <w:t>指数</w:t>
      </w:r>
      <w:r>
        <w:rPr>
          <w:rFonts w:eastAsia="楷体" w:cs="Arial" w:hint="eastAsia"/>
        </w:rPr>
        <w:t>大</w:t>
      </w:r>
      <w:r w:rsidRPr="00864263">
        <w:rPr>
          <w:rFonts w:eastAsia="楷体" w:cs="Arial" w:hint="eastAsia"/>
        </w:rPr>
        <w:t>涨</w:t>
      </w:r>
      <w:r>
        <w:rPr>
          <w:rFonts w:eastAsia="楷体" w:cs="Arial"/>
        </w:rPr>
        <w:t>6.97</w:t>
      </w:r>
      <w:r w:rsidRPr="00864263">
        <w:rPr>
          <w:rFonts w:eastAsia="楷体" w:cs="Arial"/>
        </w:rPr>
        <w:t>%</w:t>
      </w:r>
      <w:r w:rsidRPr="00864263">
        <w:rPr>
          <w:rFonts w:eastAsia="楷体" w:cs="Arial" w:hint="eastAsia"/>
        </w:rPr>
        <w:t>，恒生指数</w:t>
      </w:r>
      <w:r>
        <w:rPr>
          <w:rFonts w:eastAsia="楷体" w:cs="Arial" w:hint="eastAsia"/>
        </w:rPr>
        <w:t>震荡收于</w:t>
      </w:r>
      <w:r>
        <w:rPr>
          <w:rFonts w:eastAsia="楷体" w:cs="Arial"/>
        </w:rPr>
        <w:t>1.82</w:t>
      </w:r>
      <w:r w:rsidRPr="00864263">
        <w:rPr>
          <w:rFonts w:eastAsia="楷体" w:cs="Arial"/>
        </w:rPr>
        <w:t>%</w:t>
      </w:r>
      <w:r w:rsidRPr="00864263">
        <w:rPr>
          <w:rFonts w:eastAsia="楷体" w:cs="Arial" w:hint="eastAsia"/>
        </w:rPr>
        <w:t>。大宗商品方面，</w:t>
      </w:r>
      <w:r>
        <w:rPr>
          <w:rFonts w:eastAsia="楷体" w:cs="Arial" w:hint="eastAsia"/>
        </w:rPr>
        <w:t>美国经济基本面向好、</w:t>
      </w:r>
      <w:r w:rsidRPr="00864263">
        <w:rPr>
          <w:rFonts w:eastAsia="楷体" w:cs="Arial" w:hint="eastAsia"/>
        </w:rPr>
        <w:t>美元强势导致黄金等贵金属价格</w:t>
      </w:r>
      <w:r>
        <w:rPr>
          <w:rFonts w:eastAsia="楷体" w:cs="Arial" w:hint="eastAsia"/>
        </w:rPr>
        <w:t>大幅波动</w:t>
      </w:r>
      <w:r w:rsidRPr="00864263">
        <w:rPr>
          <w:rFonts w:eastAsia="楷体" w:cs="Arial" w:hint="eastAsia"/>
        </w:rPr>
        <w:t>，沙特原油增长则令能源、油气等资源品价格出现较大跌幅</w:t>
      </w:r>
      <w:r>
        <w:rPr>
          <w:rFonts w:eastAsia="楷体" w:cs="Arial" w:hint="eastAsia"/>
        </w:rPr>
        <w:t>，且尚未见到止跌企稳迹象</w:t>
      </w:r>
      <w:r w:rsidRPr="00864263">
        <w:rPr>
          <w:rFonts w:eastAsia="楷体" w:cs="Arial" w:hint="eastAsia"/>
        </w:rPr>
        <w:t>。</w:t>
      </w:r>
    </w:p>
    <w:p w:rsidR="008F21B4" w:rsidRDefault="008F21B4" w:rsidP="00330DE1">
      <w:pPr>
        <w:pStyle w:val="BodyText"/>
        <w:numPr>
          <w:ilvl w:val="4"/>
          <w:numId w:val="1"/>
        </w:numPr>
        <w:spacing w:after="163"/>
        <w:rPr>
          <w:rFonts w:eastAsia="楷体" w:cs="Arial"/>
        </w:rPr>
      </w:pPr>
      <w:r w:rsidRPr="00864263">
        <w:rPr>
          <w:rFonts w:eastAsia="楷体" w:cs="Arial" w:hint="eastAsia"/>
        </w:rPr>
        <w:t>凯石工场研究覆盖的</w:t>
      </w:r>
      <w:r w:rsidRPr="00864263">
        <w:rPr>
          <w:rFonts w:eastAsia="楷体" w:cs="Arial"/>
        </w:rPr>
        <w:t>91</w:t>
      </w:r>
      <w:r w:rsidRPr="00864263">
        <w:rPr>
          <w:rFonts w:eastAsia="楷体" w:cs="Arial" w:hint="eastAsia"/>
        </w:rPr>
        <w:t>只</w:t>
      </w:r>
      <w:r w:rsidRPr="00864263">
        <w:rPr>
          <w:rFonts w:eastAsia="楷体" w:cs="Arial"/>
        </w:rPr>
        <w:t>QDII</w:t>
      </w:r>
      <w:r w:rsidRPr="00864263">
        <w:rPr>
          <w:rFonts w:eastAsia="楷体" w:cs="Arial" w:hint="eastAsia"/>
        </w:rPr>
        <w:t>基金</w:t>
      </w:r>
      <w:r>
        <w:rPr>
          <w:rFonts w:eastAsia="楷体" w:cs="Arial" w:hint="eastAsia"/>
        </w:rPr>
        <w:t>四季度以来（</w:t>
      </w:r>
      <w:r>
        <w:rPr>
          <w:rFonts w:eastAsia="楷体" w:cs="Arial"/>
        </w:rPr>
        <w:t>10.1~11.20</w:t>
      </w:r>
      <w:r>
        <w:rPr>
          <w:rFonts w:eastAsia="楷体" w:cs="Arial" w:hint="eastAsia"/>
        </w:rPr>
        <w:t>）</w:t>
      </w:r>
      <w:r w:rsidRPr="00864263">
        <w:rPr>
          <w:rFonts w:eastAsia="楷体" w:cs="Arial" w:hint="eastAsia"/>
        </w:rPr>
        <w:t>大部分随市收涨，</w:t>
      </w:r>
      <w:r>
        <w:rPr>
          <w:rFonts w:eastAsia="楷体" w:cs="Arial" w:hint="eastAsia"/>
        </w:rPr>
        <w:t>平均收益</w:t>
      </w:r>
      <w:r>
        <w:rPr>
          <w:rFonts w:eastAsia="楷体" w:cs="Arial"/>
        </w:rPr>
        <w:t>0.4%</w:t>
      </w:r>
      <w:r>
        <w:rPr>
          <w:rFonts w:eastAsia="楷体" w:cs="Arial" w:hint="eastAsia"/>
        </w:rPr>
        <w:t>。业绩前</w:t>
      </w:r>
      <w:r>
        <w:rPr>
          <w:rFonts w:eastAsia="楷体" w:cs="Arial"/>
        </w:rPr>
        <w:t>5</w:t>
      </w:r>
      <w:r>
        <w:rPr>
          <w:rFonts w:eastAsia="楷体" w:cs="Arial" w:hint="eastAsia"/>
        </w:rPr>
        <w:t>全数被投资美国房地产行业的品种包揽，延续了今年以来“美房”基金的强劲势头，居首的诺安全球收益不动产区间内涨幅达</w:t>
      </w:r>
      <w:r>
        <w:rPr>
          <w:rFonts w:eastAsia="楷体" w:cs="Arial"/>
        </w:rPr>
        <w:t>9.09%</w:t>
      </w:r>
      <w:r>
        <w:rPr>
          <w:rFonts w:eastAsia="楷体" w:cs="Arial" w:hint="eastAsia"/>
        </w:rPr>
        <w:t>。按投资地域来看，</w:t>
      </w:r>
      <w:r>
        <w:rPr>
          <w:rFonts w:eastAsia="楷体" w:cs="Arial"/>
        </w:rPr>
        <w:t>13</w:t>
      </w:r>
      <w:r>
        <w:rPr>
          <w:rFonts w:eastAsia="楷体" w:cs="Arial" w:hint="eastAsia"/>
        </w:rPr>
        <w:t>只美股基金均涨</w:t>
      </w:r>
      <w:r>
        <w:rPr>
          <w:rFonts w:eastAsia="楷体" w:cs="Arial"/>
        </w:rPr>
        <w:t>2.98%</w:t>
      </w:r>
      <w:r>
        <w:rPr>
          <w:rFonts w:eastAsia="楷体" w:cs="Arial" w:hint="eastAsia"/>
        </w:rPr>
        <w:t>，除</w:t>
      </w:r>
      <w:r>
        <w:rPr>
          <w:rFonts w:eastAsia="楷体" w:cs="Arial"/>
        </w:rPr>
        <w:t>1</w:t>
      </w:r>
      <w:r>
        <w:rPr>
          <w:rFonts w:eastAsia="楷体" w:cs="Arial" w:hint="eastAsia"/>
        </w:rPr>
        <w:t>只投资油气导致跌幅近</w:t>
      </w:r>
      <w:r>
        <w:rPr>
          <w:rFonts w:eastAsia="楷体" w:cs="Arial"/>
        </w:rPr>
        <w:t>15%</w:t>
      </w:r>
      <w:r>
        <w:rPr>
          <w:rFonts w:eastAsia="楷体" w:cs="Arial" w:hint="eastAsia"/>
        </w:rPr>
        <w:t>外，其余均取得正收益；</w:t>
      </w:r>
      <w:r>
        <w:rPr>
          <w:rFonts w:eastAsia="楷体" w:cs="Arial"/>
        </w:rPr>
        <w:t>28</w:t>
      </w:r>
      <w:r>
        <w:rPr>
          <w:rFonts w:eastAsia="楷体" w:cs="Arial" w:hint="eastAsia"/>
        </w:rPr>
        <w:t>只亚太与新兴市场基金平均收益</w:t>
      </w:r>
      <w:r>
        <w:rPr>
          <w:rFonts w:eastAsia="楷体" w:cs="Arial"/>
        </w:rPr>
        <w:t>0.54%</w:t>
      </w:r>
      <w:r>
        <w:rPr>
          <w:rFonts w:eastAsia="楷体" w:cs="Arial" w:hint="eastAsia"/>
        </w:rPr>
        <w:t>，其中</w:t>
      </w:r>
      <w:r>
        <w:rPr>
          <w:rFonts w:eastAsia="楷体" w:cs="Arial"/>
        </w:rPr>
        <w:t>9</w:t>
      </w:r>
      <w:r>
        <w:rPr>
          <w:rFonts w:eastAsia="楷体" w:cs="Arial" w:hint="eastAsia"/>
        </w:rPr>
        <w:t>只收益为负。商品基金则遭遇大幅杀跌，四季度以来平均跌幅达</w:t>
      </w:r>
      <w:r>
        <w:rPr>
          <w:rFonts w:eastAsia="楷体" w:cs="Arial"/>
        </w:rPr>
        <w:t>4.12%</w:t>
      </w:r>
      <w:r>
        <w:rPr>
          <w:rFonts w:eastAsia="楷体" w:cs="Arial" w:hint="eastAsia"/>
        </w:rPr>
        <w:t>，</w:t>
      </w:r>
      <w:r>
        <w:rPr>
          <w:rFonts w:eastAsia="楷体" w:cs="Arial"/>
        </w:rPr>
        <w:t>8</w:t>
      </w:r>
      <w:r>
        <w:rPr>
          <w:rFonts w:eastAsia="楷体" w:cs="Arial" w:hint="eastAsia"/>
        </w:rPr>
        <w:t>只基金全数下跌，垫底者跌幅超过</w:t>
      </w:r>
      <w:r>
        <w:rPr>
          <w:rFonts w:eastAsia="楷体" w:cs="Arial"/>
        </w:rPr>
        <w:t>10%</w:t>
      </w:r>
      <w:r>
        <w:rPr>
          <w:rFonts w:eastAsia="楷体" w:cs="Arial" w:hint="eastAsia"/>
        </w:rPr>
        <w:t>。</w:t>
      </w:r>
    </w:p>
    <w:tbl>
      <w:tblPr>
        <w:tblW w:w="7442" w:type="dxa"/>
        <w:tblInd w:w="3402" w:type="dxa"/>
        <w:tblBorders>
          <w:top w:val="single" w:sz="6" w:space="0" w:color="FF6600"/>
          <w:bottom w:val="single" w:sz="6" w:space="0" w:color="FF6600"/>
          <w:insideH w:val="single" w:sz="6" w:space="0" w:color="FF6600"/>
        </w:tblBorders>
        <w:tblLayout w:type="fixed"/>
        <w:tblCellMar>
          <w:left w:w="0" w:type="dxa"/>
          <w:right w:w="0" w:type="dxa"/>
        </w:tblCellMar>
        <w:tblLook w:val="0000"/>
      </w:tblPr>
      <w:tblGrid>
        <w:gridCol w:w="7442"/>
      </w:tblGrid>
      <w:tr w:rsidR="008F21B4" w:rsidRPr="00D41C41" w:rsidTr="0093179F">
        <w:trPr>
          <w:cantSplit/>
          <w:trHeight w:val="65"/>
        </w:trPr>
        <w:tc>
          <w:tcPr>
            <w:tcW w:w="7442" w:type="dxa"/>
            <w:vAlign w:val="center"/>
          </w:tcPr>
          <w:p w:rsidR="008F21B4" w:rsidRPr="00FC54FE" w:rsidRDefault="008F21B4" w:rsidP="004B4236">
            <w:pPr>
              <w:pStyle w:val="SubTitleLargeTable"/>
              <w:pBdr>
                <w:top w:val="none" w:sz="0" w:space="0" w:color="auto"/>
              </w:pBdr>
              <w:rPr>
                <w:rFonts w:ascii="楷体" w:eastAsia="楷体" w:hAnsi="楷体"/>
                <w:b w:val="0"/>
                <w:color w:val="FF6600"/>
              </w:rPr>
            </w:pPr>
            <w:r w:rsidRPr="00FC54FE">
              <w:rPr>
                <w:rFonts w:ascii="楷体" w:eastAsia="楷体" w:hAnsi="楷体" w:hint="eastAsia"/>
                <w:color w:val="FF6600"/>
              </w:rPr>
              <w:t>图表</w:t>
            </w:r>
            <w:r w:rsidRPr="00FC54FE">
              <w:rPr>
                <w:rFonts w:ascii="楷体" w:eastAsia="楷体" w:hAnsi="楷体"/>
                <w:color w:val="FF6600"/>
              </w:rPr>
              <w:t>1</w:t>
            </w:r>
            <w:r w:rsidRPr="00FC54FE">
              <w:rPr>
                <w:rFonts w:ascii="楷体" w:eastAsia="楷体" w:hAnsi="楷体" w:hint="eastAsia"/>
                <w:color w:val="FF6600"/>
              </w:rPr>
              <w:t>：</w:t>
            </w:r>
            <w:r w:rsidRPr="00FC54FE">
              <w:rPr>
                <w:rFonts w:ascii="楷体" w:eastAsia="楷体" w:hAnsi="楷体"/>
                <w:b w:val="0"/>
                <w:color w:val="FF6600"/>
              </w:rPr>
              <w:t xml:space="preserve"> </w:t>
            </w:r>
            <w:r>
              <w:rPr>
                <w:rFonts w:ascii="楷体" w:eastAsia="楷体" w:hAnsi="楷体" w:hint="eastAsia"/>
                <w:color w:val="FF6600"/>
              </w:rPr>
              <w:t>四季度以来市场指数及各</w:t>
            </w:r>
            <w:r w:rsidRPr="007F54BB">
              <w:rPr>
                <w:rFonts w:ascii="楷体" w:eastAsia="楷体" w:hAnsi="楷体" w:hint="eastAsia"/>
                <w:color w:val="FF6600"/>
              </w:rPr>
              <w:t>类</w:t>
            </w:r>
            <w:r>
              <w:rPr>
                <w:rFonts w:ascii="楷体" w:eastAsia="楷体" w:hAnsi="楷体" w:hint="eastAsia"/>
                <w:color w:val="FF6600"/>
              </w:rPr>
              <w:t>型</w:t>
            </w:r>
            <w:r w:rsidRPr="007F54BB">
              <w:rPr>
                <w:rFonts w:ascii="楷体" w:eastAsia="楷体" w:hAnsi="楷体"/>
                <w:color w:val="FF6600"/>
              </w:rPr>
              <w:t>QDII</w:t>
            </w:r>
            <w:r w:rsidRPr="007F54BB">
              <w:rPr>
                <w:rFonts w:ascii="楷体" w:eastAsia="楷体" w:hAnsi="楷体" w:hint="eastAsia"/>
                <w:color w:val="FF6600"/>
              </w:rPr>
              <w:t>基金</w:t>
            </w:r>
            <w:r>
              <w:rPr>
                <w:rFonts w:ascii="楷体" w:eastAsia="楷体" w:hAnsi="楷体" w:hint="eastAsia"/>
                <w:color w:val="FF6600"/>
              </w:rPr>
              <w:t>涨跌</w:t>
            </w:r>
          </w:p>
        </w:tc>
      </w:tr>
      <w:tr w:rsidR="008F21B4" w:rsidRPr="00D41C41" w:rsidTr="0093179F">
        <w:trPr>
          <w:cantSplit/>
          <w:trHeight w:val="2599"/>
        </w:trPr>
        <w:tc>
          <w:tcPr>
            <w:tcW w:w="7442" w:type="dxa"/>
            <w:vAlign w:val="center"/>
          </w:tcPr>
          <w:p w:rsidR="008F21B4" w:rsidRPr="00D41C41" w:rsidRDefault="008F21B4" w:rsidP="005D6771">
            <w:pPr>
              <w:snapToGrid w:val="0"/>
              <w:spacing w:line="10" w:lineRule="atLeast"/>
              <w:jc w:val="center"/>
              <w:rPr>
                <w:rFonts w:ascii="楷体" w:eastAsia="楷体" w:hAnsi="楷体"/>
                <w:b/>
              </w:rPr>
            </w:pPr>
            <w:r w:rsidRPr="00D41C41">
              <w:rPr>
                <w:rFonts w:ascii="楷体" w:eastAsia="楷体" w:hAnsi="楷体"/>
                <w:b/>
                <w:noProof/>
              </w:rPr>
              <w:pict>
                <v:shape id="图片 4" o:spid="_x0000_i1045" type="#_x0000_t75" style="width:253.5pt;height:139.5pt;visibility:visible">
                  <v:imagedata r:id="rId9" o:title=""/>
                </v:shape>
              </w:pict>
            </w:r>
          </w:p>
        </w:tc>
      </w:tr>
    </w:tbl>
    <w:p w:rsidR="008F21B4" w:rsidRPr="007F54BB" w:rsidRDefault="008F21B4" w:rsidP="00330DE1">
      <w:pPr>
        <w:pStyle w:val="FootnoteNoline"/>
        <w:rPr>
          <w:rFonts w:ascii="楷体" w:eastAsia="楷体" w:hAnsi="楷体"/>
          <w:color w:val="FF6600"/>
        </w:rPr>
      </w:pPr>
      <w:r w:rsidRPr="00FC54FE">
        <w:rPr>
          <w:rFonts w:ascii="楷体" w:eastAsia="楷体" w:hAnsi="楷体" w:hint="eastAsia"/>
          <w:color w:val="FF6600"/>
        </w:rPr>
        <w:t>来源：凯石财富工场</w:t>
      </w:r>
      <w:r w:rsidRPr="00FC54FE">
        <w:rPr>
          <w:rFonts w:ascii="楷体" w:eastAsia="楷体" w:hAnsi="楷体"/>
          <w:color w:val="FF6600"/>
        </w:rPr>
        <w:t xml:space="preserve"> </w:t>
      </w:r>
      <w:r>
        <w:rPr>
          <w:rFonts w:ascii="楷体" w:eastAsia="楷体" w:hAnsi="楷体"/>
          <w:color w:val="FF6600"/>
        </w:rPr>
        <w:t>Wind</w:t>
      </w:r>
      <w:r w:rsidRPr="00FC54FE">
        <w:rPr>
          <w:rFonts w:ascii="楷体" w:eastAsia="楷体" w:hAnsi="楷体" w:hint="eastAsia"/>
          <w:color w:val="FF6600"/>
        </w:rPr>
        <w:t>数据</w:t>
      </w:r>
    </w:p>
    <w:p w:rsidR="008F21B4" w:rsidRDefault="008F21B4" w:rsidP="00A70401">
      <w:pPr>
        <w:widowControl/>
        <w:spacing w:after="120" w:line="240" w:lineRule="exact"/>
        <w:ind w:left="3430"/>
        <w:rPr>
          <w:rFonts w:ascii="楷体" w:eastAsia="楷体" w:hAnsi="楷体"/>
          <w:b/>
          <w:bCs/>
          <w:color w:val="0070C0"/>
          <w:kern w:val="0"/>
          <w:sz w:val="24"/>
          <w:szCs w:val="20"/>
          <w:lang w:val="en-GB"/>
        </w:rPr>
      </w:pPr>
      <w:r>
        <w:rPr>
          <w:rFonts w:ascii="楷体" w:eastAsia="楷体" w:hAnsi="楷体" w:hint="eastAsia"/>
          <w:b/>
          <w:bCs/>
          <w:color w:val="0070C0"/>
          <w:kern w:val="0"/>
          <w:sz w:val="24"/>
          <w:szCs w:val="20"/>
          <w:lang w:val="en-GB"/>
        </w:rPr>
        <w:t>二、</w:t>
      </w:r>
      <w:r>
        <w:rPr>
          <w:rFonts w:ascii="楷体" w:eastAsia="楷体" w:hAnsi="楷体"/>
          <w:b/>
          <w:bCs/>
          <w:color w:val="0070C0"/>
          <w:kern w:val="0"/>
          <w:sz w:val="24"/>
          <w:szCs w:val="20"/>
          <w:lang w:val="en-GB"/>
        </w:rPr>
        <w:t>QDII</w:t>
      </w:r>
      <w:r>
        <w:rPr>
          <w:rFonts w:ascii="楷体" w:eastAsia="楷体" w:hAnsi="楷体" w:hint="eastAsia"/>
          <w:b/>
          <w:bCs/>
          <w:color w:val="0070C0"/>
          <w:kern w:val="0"/>
          <w:sz w:val="24"/>
          <w:szCs w:val="20"/>
          <w:lang w:val="en-GB"/>
        </w:rPr>
        <w:t>基金</w:t>
      </w:r>
      <w:r>
        <w:rPr>
          <w:rFonts w:ascii="楷体" w:eastAsia="楷体" w:hAnsi="楷体"/>
          <w:b/>
          <w:bCs/>
          <w:color w:val="0070C0"/>
          <w:kern w:val="0"/>
          <w:sz w:val="24"/>
          <w:szCs w:val="20"/>
          <w:lang w:val="en-GB"/>
        </w:rPr>
        <w:t>12</w:t>
      </w:r>
      <w:r>
        <w:rPr>
          <w:rFonts w:ascii="楷体" w:eastAsia="楷体" w:hAnsi="楷体" w:hint="eastAsia"/>
          <w:b/>
          <w:bCs/>
          <w:color w:val="0070C0"/>
          <w:kern w:val="0"/>
          <w:sz w:val="24"/>
          <w:szCs w:val="20"/>
          <w:lang w:val="en-GB"/>
        </w:rPr>
        <w:t>月投资策略</w:t>
      </w:r>
    </w:p>
    <w:p w:rsidR="008F21B4" w:rsidRPr="00FC54FE" w:rsidRDefault="008F21B4" w:rsidP="00A70401">
      <w:pPr>
        <w:widowControl/>
        <w:spacing w:after="120" w:line="240" w:lineRule="exact"/>
        <w:ind w:left="3430"/>
        <w:rPr>
          <w:rFonts w:ascii="楷体" w:eastAsia="楷体" w:hAnsi="楷体"/>
          <w:b/>
          <w:bCs/>
          <w:color w:val="0070C0"/>
          <w:kern w:val="0"/>
          <w:sz w:val="24"/>
          <w:szCs w:val="20"/>
          <w:lang w:val="en-GB"/>
        </w:rPr>
      </w:pPr>
      <w:r>
        <w:rPr>
          <w:rFonts w:ascii="楷体" w:eastAsia="楷体" w:hAnsi="楷体" w:hint="eastAsia"/>
          <w:b/>
          <w:bCs/>
          <w:color w:val="0070C0"/>
          <w:kern w:val="0"/>
          <w:sz w:val="24"/>
          <w:szCs w:val="20"/>
          <w:lang w:val="en-GB"/>
        </w:rPr>
        <w:t>基本面支持</w:t>
      </w:r>
      <w:r>
        <w:rPr>
          <w:rFonts w:ascii="楷体" w:eastAsia="楷体" w:hAnsi="楷体"/>
          <w:b/>
          <w:bCs/>
          <w:color w:val="0070C0"/>
          <w:kern w:val="0"/>
          <w:sz w:val="24"/>
          <w:szCs w:val="20"/>
          <w:lang w:val="en-GB"/>
        </w:rPr>
        <w:t>+</w:t>
      </w:r>
      <w:r>
        <w:rPr>
          <w:rFonts w:ascii="楷体" w:eastAsia="楷体" w:hAnsi="楷体" w:hint="eastAsia"/>
          <w:b/>
          <w:bCs/>
          <w:color w:val="0070C0"/>
          <w:kern w:val="0"/>
          <w:sz w:val="24"/>
          <w:szCs w:val="20"/>
          <w:lang w:val="en-GB"/>
        </w:rPr>
        <w:t>事件驱动，把握“美港双核心”</w:t>
      </w:r>
    </w:p>
    <w:p w:rsidR="008F21B4" w:rsidRDefault="008F21B4" w:rsidP="00F40A16">
      <w:pPr>
        <w:pStyle w:val="BodyText"/>
        <w:numPr>
          <w:ilvl w:val="4"/>
          <w:numId w:val="1"/>
        </w:numPr>
        <w:spacing w:after="163"/>
        <w:rPr>
          <w:rFonts w:eastAsia="楷体" w:cs="Arial"/>
        </w:rPr>
      </w:pPr>
      <w:r>
        <w:rPr>
          <w:rFonts w:eastAsia="楷体" w:cs="Arial" w:hint="eastAsia"/>
        </w:rPr>
        <w:t>美联储</w:t>
      </w:r>
      <w:r w:rsidRPr="00864263">
        <w:rPr>
          <w:rFonts w:eastAsia="楷体" w:cs="Arial" w:hint="eastAsia"/>
        </w:rPr>
        <w:t>如期结束</w:t>
      </w:r>
      <w:r w:rsidRPr="00864263">
        <w:rPr>
          <w:rFonts w:eastAsia="楷体" w:cs="Arial"/>
        </w:rPr>
        <w:t>QE3</w:t>
      </w:r>
      <w:r w:rsidRPr="00864263">
        <w:rPr>
          <w:rFonts w:eastAsia="楷体" w:cs="Arial" w:hint="eastAsia"/>
        </w:rPr>
        <w:t>，显示出对美国经济复苏的信心，并继续维持</w:t>
      </w:r>
      <w:r w:rsidRPr="00864263">
        <w:rPr>
          <w:rFonts w:eastAsia="楷体" w:cs="Arial"/>
        </w:rPr>
        <w:t>0~0.25%</w:t>
      </w:r>
      <w:r w:rsidRPr="00864263">
        <w:rPr>
          <w:rFonts w:eastAsia="楷体" w:cs="Arial" w:hint="eastAsia"/>
        </w:rPr>
        <w:t>的超低政策利率“相当长时间内保持不变”，</w:t>
      </w:r>
      <w:r>
        <w:rPr>
          <w:rFonts w:eastAsia="楷体" w:cs="Arial" w:hint="eastAsia"/>
        </w:rPr>
        <w:t>进一步降低了明年春季加息的可能性，其对于劳动力市场的预期也更为</w:t>
      </w:r>
      <w:r w:rsidRPr="00864263">
        <w:rPr>
          <w:rFonts w:eastAsia="楷体" w:cs="Arial" w:hint="eastAsia"/>
        </w:rPr>
        <w:t>乐观。</w:t>
      </w:r>
      <w:r>
        <w:rPr>
          <w:rFonts w:eastAsia="楷体" w:cs="Arial"/>
        </w:rPr>
        <w:t>11</w:t>
      </w:r>
      <w:r>
        <w:rPr>
          <w:rFonts w:eastAsia="楷体" w:cs="Arial" w:hint="eastAsia"/>
        </w:rPr>
        <w:t>月初最新披露</w:t>
      </w:r>
      <w:r w:rsidRPr="00864263">
        <w:rPr>
          <w:rFonts w:eastAsia="楷体" w:cs="Arial" w:hint="eastAsia"/>
        </w:rPr>
        <w:t>的</w:t>
      </w:r>
      <w:r>
        <w:rPr>
          <w:rFonts w:eastAsia="楷体" w:cs="Arial" w:hint="eastAsia"/>
        </w:rPr>
        <w:t>房地产、制造业、劳动力市场、物价等各项数据皆有力</w:t>
      </w:r>
      <w:r w:rsidRPr="00864263">
        <w:rPr>
          <w:rFonts w:eastAsia="楷体" w:cs="Arial" w:hint="eastAsia"/>
        </w:rPr>
        <w:t>支持了美联储的判断。</w:t>
      </w:r>
      <w:r>
        <w:rPr>
          <w:rFonts w:eastAsia="楷体" w:cs="Arial" w:hint="eastAsia"/>
        </w:rPr>
        <w:t>鉴于经济基本面和流动性两方面均支持美股行情的持续，</w:t>
      </w:r>
      <w:r w:rsidRPr="00864263">
        <w:rPr>
          <w:rFonts w:eastAsia="楷体" w:cs="Arial" w:hint="eastAsia"/>
        </w:rPr>
        <w:t>凯石工场</w:t>
      </w:r>
      <w:r>
        <w:rPr>
          <w:rFonts w:eastAsia="楷体" w:cs="Arial" w:hint="eastAsia"/>
        </w:rPr>
        <w:t>建议</w:t>
      </w:r>
      <w:r>
        <w:rPr>
          <w:rFonts w:eastAsia="楷体" w:cs="Arial"/>
        </w:rPr>
        <w:t>12</w:t>
      </w:r>
      <w:r>
        <w:rPr>
          <w:rFonts w:eastAsia="楷体" w:cs="Arial" w:hint="eastAsia"/>
        </w:rPr>
        <w:t>月份维持“美股美房”在</w:t>
      </w:r>
      <w:r w:rsidRPr="00864263">
        <w:rPr>
          <w:rFonts w:eastAsia="楷体" w:cs="Arial"/>
        </w:rPr>
        <w:t>QDII</w:t>
      </w:r>
      <w:r>
        <w:rPr>
          <w:rFonts w:eastAsia="楷体" w:cs="Arial" w:hint="eastAsia"/>
        </w:rPr>
        <w:t>基金组合中的核心位置。</w:t>
      </w:r>
    </w:p>
    <w:p w:rsidR="008F21B4" w:rsidRDefault="008F21B4" w:rsidP="00F40A16">
      <w:pPr>
        <w:pStyle w:val="BodyText"/>
        <w:numPr>
          <w:ilvl w:val="4"/>
          <w:numId w:val="1"/>
        </w:numPr>
        <w:spacing w:after="163"/>
        <w:rPr>
          <w:rFonts w:eastAsia="楷体" w:cs="Arial"/>
        </w:rPr>
      </w:pPr>
      <w:r>
        <w:rPr>
          <w:rFonts w:eastAsia="楷体" w:cs="Arial" w:hint="eastAsia"/>
        </w:rPr>
        <w:t>同时，我们继续看好港股在未来的表现：</w:t>
      </w:r>
      <w:r w:rsidRPr="0061753C">
        <w:rPr>
          <w:rFonts w:eastAsia="楷体" w:cs="Arial" w:hint="eastAsia"/>
        </w:rPr>
        <w:t>沪港通推出</w:t>
      </w:r>
      <w:r>
        <w:rPr>
          <w:rFonts w:eastAsia="楷体" w:cs="Arial" w:hint="eastAsia"/>
        </w:rPr>
        <w:t>首周，由于内地</w:t>
      </w:r>
      <w:r>
        <w:rPr>
          <w:rFonts w:eastAsia="楷体" w:cs="Arial"/>
        </w:rPr>
        <w:t>50</w:t>
      </w:r>
      <w:r>
        <w:rPr>
          <w:rFonts w:eastAsia="楷体" w:cs="Arial" w:hint="eastAsia"/>
        </w:rPr>
        <w:t>万的</w:t>
      </w:r>
      <w:r w:rsidRPr="0061753C">
        <w:rPr>
          <w:rFonts w:eastAsia="楷体" w:cs="Arial" w:hint="eastAsia"/>
        </w:rPr>
        <w:t>投资门槛</w:t>
      </w:r>
      <w:r>
        <w:rPr>
          <w:rFonts w:eastAsia="楷体" w:cs="Arial" w:hint="eastAsia"/>
        </w:rPr>
        <w:t>而参与者又多为“小散”</w:t>
      </w:r>
      <w:r w:rsidRPr="0061753C">
        <w:rPr>
          <w:rFonts w:eastAsia="楷体" w:cs="Arial" w:hint="eastAsia"/>
        </w:rPr>
        <w:t>，使得“南下”资金</w:t>
      </w:r>
      <w:r>
        <w:rPr>
          <w:rFonts w:eastAsia="楷体" w:cs="Arial" w:hint="eastAsia"/>
        </w:rPr>
        <w:t>使用额度低于预期，一度引发港股较大调整。不过，</w:t>
      </w:r>
      <w:r w:rsidRPr="0061753C">
        <w:rPr>
          <w:rFonts w:eastAsia="楷体" w:cs="Arial" w:hint="eastAsia"/>
        </w:rPr>
        <w:t>央行</w:t>
      </w:r>
      <w:r>
        <w:rPr>
          <w:rFonts w:eastAsia="楷体" w:cs="Arial" w:hint="eastAsia"/>
        </w:rPr>
        <w:t>此次</w:t>
      </w:r>
      <w:r w:rsidRPr="0061753C">
        <w:rPr>
          <w:rFonts w:eastAsia="楷体" w:cs="Arial" w:hint="eastAsia"/>
        </w:rPr>
        <w:t>降息</w:t>
      </w:r>
      <w:r>
        <w:rPr>
          <w:rFonts w:eastAsia="楷体" w:cs="Arial" w:hint="eastAsia"/>
        </w:rPr>
        <w:t>实现</w:t>
      </w:r>
      <w:r w:rsidRPr="0061753C">
        <w:rPr>
          <w:rFonts w:eastAsia="楷体" w:cs="Arial" w:hint="eastAsia"/>
        </w:rPr>
        <w:t>降低融资成本、催生增量资金入市，</w:t>
      </w:r>
      <w:r>
        <w:rPr>
          <w:rFonts w:eastAsia="楷体" w:cs="Arial" w:hint="eastAsia"/>
        </w:rPr>
        <w:t>有望推升</w:t>
      </w:r>
      <w:r w:rsidRPr="0061753C">
        <w:rPr>
          <w:rFonts w:eastAsia="楷体" w:cs="Arial"/>
        </w:rPr>
        <w:t>A</w:t>
      </w:r>
      <w:r w:rsidRPr="0061753C">
        <w:rPr>
          <w:rFonts w:eastAsia="楷体" w:cs="Arial" w:hint="eastAsia"/>
        </w:rPr>
        <w:t>、</w:t>
      </w:r>
      <w:r w:rsidRPr="0061753C">
        <w:rPr>
          <w:rFonts w:eastAsia="楷体" w:cs="Arial"/>
        </w:rPr>
        <w:t>H</w:t>
      </w:r>
      <w:r>
        <w:rPr>
          <w:rFonts w:eastAsia="楷体" w:cs="Arial" w:hint="eastAsia"/>
        </w:rPr>
        <w:t>股市场走势、利好沪港通的推行。且若未来几年沪深股市转牛，必将</w:t>
      </w:r>
      <w:r w:rsidRPr="00F218C0">
        <w:rPr>
          <w:rFonts w:eastAsia="楷体" w:cs="Arial" w:hint="eastAsia"/>
        </w:rPr>
        <w:t>带动香港股市更加繁荣。</w:t>
      </w:r>
      <w:r>
        <w:rPr>
          <w:rFonts w:eastAsia="楷体" w:cs="Arial" w:hint="eastAsia"/>
        </w:rPr>
        <w:t>因此港股</w:t>
      </w:r>
      <w:r w:rsidRPr="0061753C">
        <w:rPr>
          <w:rFonts w:eastAsia="楷体" w:cs="Arial"/>
        </w:rPr>
        <w:t>QDII</w:t>
      </w:r>
      <w:r>
        <w:rPr>
          <w:rFonts w:eastAsia="楷体" w:cs="Arial" w:hint="eastAsia"/>
        </w:rPr>
        <w:t>的走势依然大有可期。综上，我们建议投资者维持</w:t>
      </w:r>
      <w:r>
        <w:rPr>
          <w:rFonts w:eastAsia="楷体" w:cs="Arial"/>
        </w:rPr>
        <w:t>QDII</w:t>
      </w:r>
      <w:r>
        <w:rPr>
          <w:rFonts w:eastAsia="楷体" w:cs="Arial" w:hint="eastAsia"/>
        </w:rPr>
        <w:t>“美港双核心”的均衡配置。</w:t>
      </w:r>
    </w:p>
    <w:p w:rsidR="008F21B4" w:rsidRPr="00FC54FE" w:rsidRDefault="008F21B4" w:rsidP="00256A3A">
      <w:pPr>
        <w:widowControl/>
        <w:spacing w:after="120"/>
        <w:ind w:left="3430"/>
        <w:rPr>
          <w:rFonts w:ascii="楷体" w:eastAsia="楷体" w:hAnsi="楷体"/>
          <w:b/>
          <w:bCs/>
          <w:color w:val="0070C0"/>
          <w:kern w:val="0"/>
          <w:szCs w:val="21"/>
          <w:lang w:val="en-GB"/>
        </w:rPr>
      </w:pPr>
      <w:r w:rsidRPr="00FC54FE">
        <w:rPr>
          <w:rFonts w:ascii="楷体" w:eastAsia="楷体" w:hAnsi="楷体" w:hint="eastAsia"/>
          <w:b/>
          <w:bCs/>
          <w:color w:val="0070C0"/>
          <w:kern w:val="0"/>
          <w:szCs w:val="21"/>
          <w:lang w:val="en-GB"/>
        </w:rPr>
        <w:t>美国：</w:t>
      </w:r>
      <w:r>
        <w:rPr>
          <w:rFonts w:ascii="楷体" w:eastAsia="楷体" w:hAnsi="楷体" w:hint="eastAsia"/>
          <w:b/>
          <w:bCs/>
          <w:color w:val="0070C0"/>
          <w:kern w:val="0"/>
          <w:szCs w:val="21"/>
          <w:lang w:val="en-GB"/>
        </w:rPr>
        <w:t>复苏态势明确，投资前景看好</w:t>
      </w:r>
    </w:p>
    <w:p w:rsidR="008F21B4" w:rsidRPr="00C11420" w:rsidRDefault="008F21B4" w:rsidP="00C11420">
      <w:pPr>
        <w:pStyle w:val="BodyText"/>
        <w:numPr>
          <w:ilvl w:val="4"/>
          <w:numId w:val="1"/>
        </w:numPr>
        <w:spacing w:after="163"/>
        <w:rPr>
          <w:rFonts w:eastAsia="楷体" w:cs="Arial"/>
        </w:rPr>
      </w:pPr>
      <w:r w:rsidRPr="00864263">
        <w:rPr>
          <w:rFonts w:eastAsia="楷体" w:cs="Arial"/>
        </w:rPr>
        <w:t>10</w:t>
      </w:r>
      <w:r w:rsidRPr="00864263">
        <w:rPr>
          <w:rFonts w:eastAsia="楷体" w:cs="Arial" w:hint="eastAsia"/>
        </w:rPr>
        <w:t>月</w:t>
      </w:r>
      <w:r w:rsidRPr="00864263">
        <w:rPr>
          <w:rFonts w:eastAsia="楷体" w:cs="Arial"/>
        </w:rPr>
        <w:t>30</w:t>
      </w:r>
      <w:r w:rsidRPr="00864263">
        <w:rPr>
          <w:rFonts w:eastAsia="楷体" w:cs="Arial" w:hint="eastAsia"/>
        </w:rPr>
        <w:t>日美联储</w:t>
      </w:r>
      <w:r>
        <w:rPr>
          <w:rFonts w:eastAsia="楷体" w:cs="Arial" w:hint="eastAsia"/>
        </w:rPr>
        <w:t>宣告</w:t>
      </w:r>
      <w:r w:rsidRPr="00864263">
        <w:rPr>
          <w:rFonts w:eastAsia="楷体" w:cs="Arial" w:hint="eastAsia"/>
        </w:rPr>
        <w:t>结束</w:t>
      </w:r>
      <w:r w:rsidRPr="00864263">
        <w:rPr>
          <w:rFonts w:eastAsia="楷体" w:cs="Arial"/>
        </w:rPr>
        <w:t>QE3</w:t>
      </w:r>
      <w:r w:rsidRPr="00864263">
        <w:rPr>
          <w:rFonts w:eastAsia="楷体" w:cs="Arial" w:hint="eastAsia"/>
        </w:rPr>
        <w:t>，</w:t>
      </w:r>
      <w:r w:rsidRPr="00340C27">
        <w:rPr>
          <w:rFonts w:eastAsia="楷体" w:cs="Arial" w:hint="eastAsia"/>
        </w:rPr>
        <w:t>货币政策正常化进程开始。</w:t>
      </w:r>
      <w:r w:rsidRPr="00864263">
        <w:rPr>
          <w:rFonts w:eastAsia="楷体" w:cs="Arial" w:hint="eastAsia"/>
        </w:rPr>
        <w:t>市场普遍预测加息将在明年</w:t>
      </w:r>
      <w:r w:rsidRPr="00864263">
        <w:rPr>
          <w:rFonts w:eastAsia="楷体" w:cs="Arial"/>
        </w:rPr>
        <w:t>10~11</w:t>
      </w:r>
      <w:r w:rsidRPr="00864263">
        <w:rPr>
          <w:rFonts w:eastAsia="楷体" w:cs="Arial" w:hint="eastAsia"/>
        </w:rPr>
        <w:t>月。</w:t>
      </w:r>
      <w:r>
        <w:rPr>
          <w:rFonts w:eastAsia="楷体" w:cs="Arial" w:hint="eastAsia"/>
        </w:rPr>
        <w:t>美联储同时提出美国就业市场有了显著改善。美国政府的财政收支已经提前实现正常化，不再需要央行融资，</w:t>
      </w:r>
      <w:r w:rsidRPr="00340C27">
        <w:rPr>
          <w:rFonts w:eastAsia="楷体" w:cs="Arial" w:hint="eastAsia"/>
        </w:rPr>
        <w:t>长期利率也已经处于低位，不需要再通过</w:t>
      </w:r>
      <w:r w:rsidRPr="00340C27">
        <w:rPr>
          <w:rFonts w:eastAsia="楷体" w:cs="Arial"/>
        </w:rPr>
        <w:t>QE</w:t>
      </w:r>
      <w:r w:rsidRPr="00340C27">
        <w:rPr>
          <w:rFonts w:eastAsia="楷体" w:cs="Arial" w:hint="eastAsia"/>
        </w:rPr>
        <w:t>压低利率。</w:t>
      </w:r>
      <w:r>
        <w:rPr>
          <w:rFonts w:eastAsia="楷体" w:cs="Arial" w:hint="eastAsia"/>
        </w:rPr>
        <w:t>此轮</w:t>
      </w:r>
      <w:r>
        <w:rPr>
          <w:rFonts w:eastAsia="楷体" w:cs="Arial"/>
        </w:rPr>
        <w:t>QE</w:t>
      </w:r>
      <w:r>
        <w:rPr>
          <w:rFonts w:eastAsia="楷体" w:cs="Arial" w:hint="eastAsia"/>
        </w:rPr>
        <w:t>结束宣告美国逆衰退经济周期的财政政策和货币政策均已</w:t>
      </w:r>
      <w:r w:rsidRPr="00C11420">
        <w:rPr>
          <w:rFonts w:eastAsia="楷体" w:cs="Arial" w:hint="eastAsia"/>
        </w:rPr>
        <w:t>结束，</w:t>
      </w:r>
      <w:r>
        <w:rPr>
          <w:rFonts w:eastAsia="楷体" w:cs="Arial" w:hint="eastAsia"/>
        </w:rPr>
        <w:t>在发达经济体中率先完成财政整固</w:t>
      </w:r>
      <w:r w:rsidRPr="00C11420">
        <w:rPr>
          <w:rFonts w:eastAsia="楷体" w:cs="Arial" w:hint="eastAsia"/>
        </w:rPr>
        <w:t>并进入货币正常化</w:t>
      </w:r>
      <w:r>
        <w:rPr>
          <w:rFonts w:eastAsia="楷体" w:cs="Arial" w:hint="eastAsia"/>
        </w:rPr>
        <w:t>，这也</w:t>
      </w:r>
      <w:r w:rsidRPr="00C11420">
        <w:rPr>
          <w:rFonts w:eastAsia="楷体" w:cs="Arial" w:hint="eastAsia"/>
        </w:rPr>
        <w:t>将增强美国的主权信用。</w:t>
      </w:r>
      <w:r>
        <w:rPr>
          <w:rFonts w:eastAsia="楷体" w:cs="Arial" w:hint="eastAsia"/>
        </w:rPr>
        <w:t>从市场角度而言，此次</w:t>
      </w:r>
      <w:r w:rsidRPr="00C11420">
        <w:rPr>
          <w:rFonts w:eastAsia="楷体" w:cs="Arial" w:hint="eastAsia"/>
        </w:rPr>
        <w:t>美联储退出</w:t>
      </w:r>
      <w:r w:rsidRPr="00C11420">
        <w:rPr>
          <w:rFonts w:eastAsia="楷体" w:cs="Arial"/>
        </w:rPr>
        <w:t>QE</w:t>
      </w:r>
      <w:r w:rsidRPr="00C11420">
        <w:rPr>
          <w:rFonts w:eastAsia="楷体" w:cs="Arial" w:hint="eastAsia"/>
        </w:rPr>
        <w:t>更多的是市场预期的兑现，因而对股指走势的实质影响有限。</w:t>
      </w:r>
    </w:p>
    <w:p w:rsidR="008F21B4" w:rsidRPr="00864263" w:rsidRDefault="008F21B4" w:rsidP="00603D57">
      <w:pPr>
        <w:pStyle w:val="BodyText"/>
        <w:numPr>
          <w:ilvl w:val="4"/>
          <w:numId w:val="1"/>
        </w:numPr>
        <w:spacing w:after="163"/>
        <w:rPr>
          <w:rFonts w:eastAsia="楷体" w:cs="Arial"/>
        </w:rPr>
      </w:pPr>
      <w:r>
        <w:rPr>
          <w:rFonts w:eastAsia="楷体" w:cs="Arial" w:hint="eastAsia"/>
        </w:rPr>
        <w:t>经济数据方面，</w:t>
      </w:r>
      <w:r w:rsidRPr="00A21AA3">
        <w:rPr>
          <w:rFonts w:eastAsia="楷体" w:cs="Arial" w:hint="eastAsia"/>
        </w:rPr>
        <w:t>美股大部分企业三季报业绩好于预期</w:t>
      </w:r>
      <w:r>
        <w:rPr>
          <w:rFonts w:eastAsia="楷体" w:cs="Arial" w:hint="eastAsia"/>
        </w:rPr>
        <w:t>，</w:t>
      </w:r>
      <w:r>
        <w:rPr>
          <w:rFonts w:eastAsia="楷体" w:cs="Arial"/>
        </w:rPr>
        <w:t>11</w:t>
      </w:r>
      <w:r>
        <w:rPr>
          <w:rFonts w:eastAsia="楷体" w:cs="Arial" w:hint="eastAsia"/>
        </w:rPr>
        <w:t>月初</w:t>
      </w:r>
      <w:r w:rsidRPr="00864263">
        <w:rPr>
          <w:rFonts w:eastAsia="楷体" w:cs="Arial" w:hint="eastAsia"/>
        </w:rPr>
        <w:t>公布的</w:t>
      </w:r>
      <w:r>
        <w:rPr>
          <w:rFonts w:eastAsia="楷体" w:cs="Arial" w:hint="eastAsia"/>
        </w:rPr>
        <w:t>一系列经济指标尽数向好，</w:t>
      </w:r>
      <w:r w:rsidRPr="0029196C">
        <w:rPr>
          <w:rFonts w:eastAsia="楷体" w:cs="Arial" w:hint="eastAsia"/>
        </w:rPr>
        <w:t>为美股继续震荡上行提供了坚实的基本面支撑</w:t>
      </w:r>
      <w:r w:rsidRPr="00864263">
        <w:rPr>
          <w:rFonts w:eastAsia="楷体" w:cs="Arial" w:hint="eastAsia"/>
        </w:rPr>
        <w:t>。美股资产的显著优势以及美元升值等因素均有力增强美国市场对资金的吸引力。</w:t>
      </w:r>
    </w:p>
    <w:p w:rsidR="008F21B4" w:rsidRDefault="008F21B4" w:rsidP="00E00D0A">
      <w:pPr>
        <w:pStyle w:val="BodyText"/>
        <w:numPr>
          <w:ilvl w:val="5"/>
          <w:numId w:val="2"/>
        </w:numPr>
        <w:spacing w:after="163"/>
        <w:ind w:left="4140" w:hanging="369"/>
        <w:rPr>
          <w:rFonts w:eastAsia="楷体" w:cs="Arial"/>
        </w:rPr>
      </w:pPr>
      <w:r>
        <w:rPr>
          <w:rFonts w:eastAsia="楷体" w:cs="Arial" w:hint="eastAsia"/>
        </w:rPr>
        <w:t>楼市复苏前景乐观：美国全国住宅建筑商协会数据显示，</w:t>
      </w:r>
      <w:r w:rsidRPr="00537416">
        <w:rPr>
          <w:rFonts w:eastAsia="楷体" w:cs="Arial"/>
        </w:rPr>
        <w:t>11</w:t>
      </w:r>
      <w:r w:rsidRPr="00537416">
        <w:rPr>
          <w:rFonts w:eastAsia="楷体" w:cs="Arial" w:hint="eastAsia"/>
        </w:rPr>
        <w:t>月份住宅建筑商信心指数为</w:t>
      </w:r>
      <w:r w:rsidRPr="00537416">
        <w:rPr>
          <w:rFonts w:eastAsia="楷体" w:cs="Arial"/>
        </w:rPr>
        <w:t>58</w:t>
      </w:r>
      <w:r w:rsidRPr="00537416">
        <w:rPr>
          <w:rFonts w:eastAsia="楷体" w:cs="Arial" w:hint="eastAsia"/>
        </w:rPr>
        <w:t>，较前一月上升</w:t>
      </w:r>
      <w:r w:rsidRPr="00537416">
        <w:rPr>
          <w:rFonts w:eastAsia="楷体" w:cs="Arial"/>
        </w:rPr>
        <w:t>4</w:t>
      </w:r>
      <w:r w:rsidRPr="00537416">
        <w:rPr>
          <w:rFonts w:eastAsia="楷体" w:cs="Arial" w:hint="eastAsia"/>
        </w:rPr>
        <w:t>点，高于预期的</w:t>
      </w:r>
      <w:r w:rsidRPr="00537416">
        <w:rPr>
          <w:rFonts w:eastAsia="楷体" w:cs="Arial"/>
        </w:rPr>
        <w:t>55</w:t>
      </w:r>
      <w:r w:rsidRPr="00537416">
        <w:rPr>
          <w:rFonts w:eastAsia="楷体" w:cs="Arial" w:hint="eastAsia"/>
        </w:rPr>
        <w:t>，且连续</w:t>
      </w:r>
      <w:r w:rsidRPr="00537416">
        <w:rPr>
          <w:rFonts w:eastAsia="楷体" w:cs="Arial"/>
        </w:rPr>
        <w:t>5</w:t>
      </w:r>
      <w:r w:rsidRPr="00537416">
        <w:rPr>
          <w:rFonts w:eastAsia="楷体" w:cs="Arial" w:hint="eastAsia"/>
        </w:rPr>
        <w:t>个月保持在</w:t>
      </w:r>
      <w:r w:rsidRPr="00537416">
        <w:rPr>
          <w:rFonts w:eastAsia="楷体" w:cs="Arial"/>
        </w:rPr>
        <w:t>50</w:t>
      </w:r>
      <w:r>
        <w:rPr>
          <w:rFonts w:eastAsia="楷体" w:cs="Arial" w:hint="eastAsia"/>
        </w:rPr>
        <w:t>的门槛线以上。这显示建筑商对美</w:t>
      </w:r>
      <w:r w:rsidRPr="00537416">
        <w:rPr>
          <w:rFonts w:eastAsia="楷体" w:cs="Arial" w:hint="eastAsia"/>
        </w:rPr>
        <w:t>房市复苏前景持乐观态度。全美地产经纪商协会</w:t>
      </w:r>
      <w:r w:rsidRPr="00537416">
        <w:rPr>
          <w:rFonts w:eastAsia="楷体" w:cs="Arial"/>
        </w:rPr>
        <w:t>(NAR)</w:t>
      </w:r>
      <w:r w:rsidRPr="00537416">
        <w:rPr>
          <w:rFonts w:eastAsia="楷体" w:cs="Arial" w:hint="eastAsia"/>
        </w:rPr>
        <w:t>报告称，</w:t>
      </w:r>
      <w:r w:rsidRPr="00537416">
        <w:rPr>
          <w:rFonts w:eastAsia="楷体" w:cs="Arial"/>
        </w:rPr>
        <w:t>10</w:t>
      </w:r>
      <w:r w:rsidRPr="00537416">
        <w:rPr>
          <w:rFonts w:eastAsia="楷体" w:cs="Arial" w:hint="eastAsia"/>
        </w:rPr>
        <w:t>月份美国成屋销售环比增长</w:t>
      </w:r>
      <w:r w:rsidRPr="00537416">
        <w:rPr>
          <w:rFonts w:eastAsia="楷体" w:cs="Arial"/>
        </w:rPr>
        <w:t>1.5%</w:t>
      </w:r>
      <w:r>
        <w:rPr>
          <w:rFonts w:eastAsia="楷体" w:cs="Arial" w:hint="eastAsia"/>
        </w:rPr>
        <w:t>，季调</w:t>
      </w:r>
      <w:r w:rsidRPr="00537416">
        <w:rPr>
          <w:rFonts w:eastAsia="楷体" w:cs="Arial" w:hint="eastAsia"/>
        </w:rPr>
        <w:t>后的年率为</w:t>
      </w:r>
      <w:r w:rsidRPr="00537416">
        <w:rPr>
          <w:rFonts w:eastAsia="楷体" w:cs="Arial"/>
        </w:rPr>
        <w:t>526</w:t>
      </w:r>
      <w:r w:rsidRPr="00537416">
        <w:rPr>
          <w:rFonts w:eastAsia="楷体" w:cs="Arial" w:hint="eastAsia"/>
        </w:rPr>
        <w:t>万套，创下自</w:t>
      </w:r>
      <w:r w:rsidRPr="00537416">
        <w:rPr>
          <w:rFonts w:eastAsia="楷体" w:cs="Arial"/>
        </w:rPr>
        <w:t>2013</w:t>
      </w:r>
      <w:r w:rsidRPr="00537416">
        <w:rPr>
          <w:rFonts w:eastAsia="楷体" w:cs="Arial" w:hint="eastAsia"/>
        </w:rPr>
        <w:t>年</w:t>
      </w:r>
      <w:r w:rsidRPr="00537416">
        <w:rPr>
          <w:rFonts w:eastAsia="楷体" w:cs="Arial"/>
        </w:rPr>
        <w:t>9</w:t>
      </w:r>
      <w:r>
        <w:rPr>
          <w:rFonts w:eastAsia="楷体" w:cs="Arial" w:hint="eastAsia"/>
        </w:rPr>
        <w:t>月</w:t>
      </w:r>
      <w:r w:rsidRPr="00537416">
        <w:rPr>
          <w:rFonts w:eastAsia="楷体" w:cs="Arial" w:hint="eastAsia"/>
        </w:rPr>
        <w:t>以来的最高水平。</w:t>
      </w:r>
    </w:p>
    <w:p w:rsidR="008F21B4" w:rsidRPr="00914A2F" w:rsidRDefault="008F21B4" w:rsidP="00914A2F">
      <w:pPr>
        <w:pStyle w:val="BodyText"/>
        <w:numPr>
          <w:ilvl w:val="5"/>
          <w:numId w:val="2"/>
        </w:numPr>
        <w:spacing w:after="163"/>
        <w:ind w:left="4140" w:hanging="369"/>
        <w:rPr>
          <w:rFonts w:eastAsia="楷体" w:cs="Arial"/>
        </w:rPr>
      </w:pPr>
      <w:r>
        <w:rPr>
          <w:rFonts w:eastAsia="楷体" w:cs="Arial" w:hint="eastAsia"/>
        </w:rPr>
        <w:t>就业市场稳步回温：</w:t>
      </w:r>
      <w:r w:rsidRPr="00C11F05">
        <w:rPr>
          <w:rFonts w:eastAsia="楷体" w:cs="Arial" w:hint="eastAsia"/>
        </w:rPr>
        <w:t>截至</w:t>
      </w:r>
      <w:r w:rsidRPr="00C11F05">
        <w:rPr>
          <w:rFonts w:eastAsia="楷体" w:cs="Arial"/>
        </w:rPr>
        <w:t>11</w:t>
      </w:r>
      <w:r w:rsidRPr="00C11F05">
        <w:rPr>
          <w:rFonts w:eastAsia="楷体" w:cs="Arial" w:hint="eastAsia"/>
        </w:rPr>
        <w:t>月</w:t>
      </w:r>
      <w:r w:rsidRPr="00C11F05">
        <w:rPr>
          <w:rFonts w:eastAsia="楷体" w:cs="Arial"/>
        </w:rPr>
        <w:t>15</w:t>
      </w:r>
      <w:r>
        <w:rPr>
          <w:rFonts w:eastAsia="楷体" w:cs="Arial" w:hint="eastAsia"/>
        </w:rPr>
        <w:t>日的一周，美国首</w:t>
      </w:r>
      <w:r w:rsidRPr="00C11F05">
        <w:rPr>
          <w:rFonts w:eastAsia="楷体" w:cs="Arial" w:hint="eastAsia"/>
        </w:rPr>
        <w:t>申</w:t>
      </w:r>
      <w:r>
        <w:rPr>
          <w:rFonts w:eastAsia="楷体" w:cs="Arial" w:hint="eastAsia"/>
        </w:rPr>
        <w:t>失业救济人数</w:t>
      </w:r>
      <w:r w:rsidRPr="00C11F05">
        <w:rPr>
          <w:rFonts w:eastAsia="楷体" w:cs="Arial"/>
        </w:rPr>
        <w:t>29.1</w:t>
      </w:r>
      <w:r w:rsidRPr="00C11F05">
        <w:rPr>
          <w:rFonts w:eastAsia="楷体" w:cs="Arial" w:hint="eastAsia"/>
        </w:rPr>
        <w:t>万，连续第</w:t>
      </w:r>
      <w:r w:rsidRPr="00C11F05">
        <w:rPr>
          <w:rFonts w:eastAsia="楷体" w:cs="Arial"/>
        </w:rPr>
        <w:t>10</w:t>
      </w:r>
      <w:r w:rsidRPr="00C11F05">
        <w:rPr>
          <w:rFonts w:eastAsia="楷体" w:cs="Arial" w:hint="eastAsia"/>
        </w:rPr>
        <w:t>周低于</w:t>
      </w:r>
      <w:r w:rsidRPr="00C11F05">
        <w:rPr>
          <w:rFonts w:eastAsia="楷体" w:cs="Arial"/>
        </w:rPr>
        <w:t>30</w:t>
      </w:r>
      <w:r>
        <w:rPr>
          <w:rFonts w:eastAsia="楷体" w:cs="Arial" w:hint="eastAsia"/>
        </w:rPr>
        <w:t>万，</w:t>
      </w:r>
      <w:r w:rsidRPr="00C11F05">
        <w:rPr>
          <w:rFonts w:eastAsia="楷体" w:cs="Arial" w:hint="eastAsia"/>
        </w:rPr>
        <w:t>比前一周修正后的数字下降</w:t>
      </w:r>
      <w:r w:rsidRPr="00C11F05">
        <w:rPr>
          <w:rFonts w:eastAsia="楷体" w:cs="Arial"/>
        </w:rPr>
        <w:t>2000</w:t>
      </w:r>
      <w:r w:rsidRPr="00C11F05">
        <w:rPr>
          <w:rFonts w:eastAsia="楷体" w:cs="Arial" w:hint="eastAsia"/>
        </w:rPr>
        <w:t>人</w:t>
      </w:r>
      <w:r>
        <w:rPr>
          <w:rFonts w:eastAsia="楷体" w:cs="Arial" w:hint="eastAsia"/>
        </w:rPr>
        <w:t>，显示美</w:t>
      </w:r>
      <w:r w:rsidRPr="00C11F05">
        <w:rPr>
          <w:rFonts w:eastAsia="楷体" w:cs="Arial" w:hint="eastAsia"/>
        </w:rPr>
        <w:t>就业市场保持良好复苏态势。在截至</w:t>
      </w:r>
      <w:r w:rsidRPr="00C11F05">
        <w:rPr>
          <w:rFonts w:eastAsia="楷体" w:cs="Arial"/>
        </w:rPr>
        <w:t>11</w:t>
      </w:r>
      <w:r w:rsidRPr="00C11F05">
        <w:rPr>
          <w:rFonts w:eastAsia="楷体" w:cs="Arial" w:hint="eastAsia"/>
        </w:rPr>
        <w:t>月</w:t>
      </w:r>
      <w:r w:rsidRPr="00C11F05">
        <w:rPr>
          <w:rFonts w:eastAsia="楷体" w:cs="Arial"/>
        </w:rPr>
        <w:t>8</w:t>
      </w:r>
      <w:r>
        <w:rPr>
          <w:rFonts w:eastAsia="楷体" w:cs="Arial" w:hint="eastAsia"/>
        </w:rPr>
        <w:t>日的一周，美全国领取失业救济人数</w:t>
      </w:r>
      <w:r w:rsidRPr="00C11F05">
        <w:rPr>
          <w:rFonts w:eastAsia="楷体" w:cs="Arial"/>
        </w:rPr>
        <w:t>233</w:t>
      </w:r>
      <w:r w:rsidRPr="00C11F05">
        <w:rPr>
          <w:rFonts w:eastAsia="楷体" w:cs="Arial" w:hint="eastAsia"/>
        </w:rPr>
        <w:t>万，比前一周修正后的数字下降</w:t>
      </w:r>
      <w:r w:rsidRPr="00C11F05">
        <w:rPr>
          <w:rFonts w:eastAsia="楷体" w:cs="Arial"/>
        </w:rPr>
        <w:t>7.3</w:t>
      </w:r>
      <w:r w:rsidRPr="00C11F05">
        <w:rPr>
          <w:rFonts w:eastAsia="楷体" w:cs="Arial" w:hint="eastAsia"/>
        </w:rPr>
        <w:t>万人，为</w:t>
      </w:r>
      <w:r w:rsidRPr="00C11F05">
        <w:rPr>
          <w:rFonts w:eastAsia="楷体" w:cs="Arial"/>
        </w:rPr>
        <w:t>2000</w:t>
      </w:r>
      <w:r w:rsidRPr="00C11F05">
        <w:rPr>
          <w:rFonts w:eastAsia="楷体" w:cs="Arial" w:hint="eastAsia"/>
        </w:rPr>
        <w:t>年</w:t>
      </w:r>
      <w:r w:rsidRPr="00C11F05">
        <w:rPr>
          <w:rFonts w:eastAsia="楷体" w:cs="Arial"/>
        </w:rPr>
        <w:t>12</w:t>
      </w:r>
      <w:r w:rsidRPr="00C11F05">
        <w:rPr>
          <w:rFonts w:eastAsia="楷体" w:cs="Arial" w:hint="eastAsia"/>
        </w:rPr>
        <w:t>月中旬以来最低值。美国非农部门</w:t>
      </w:r>
      <w:r w:rsidRPr="00C11F05">
        <w:rPr>
          <w:rFonts w:eastAsia="楷体" w:cs="Arial"/>
        </w:rPr>
        <w:t>10</w:t>
      </w:r>
      <w:r w:rsidRPr="00C11F05">
        <w:rPr>
          <w:rFonts w:eastAsia="楷体" w:cs="Arial" w:hint="eastAsia"/>
        </w:rPr>
        <w:t>月份新增就业岗位</w:t>
      </w:r>
      <w:r w:rsidRPr="00C11F05">
        <w:rPr>
          <w:rFonts w:eastAsia="楷体" w:cs="Arial"/>
        </w:rPr>
        <w:t>21.4</w:t>
      </w:r>
      <w:r>
        <w:rPr>
          <w:rFonts w:eastAsia="楷体" w:cs="Arial" w:hint="eastAsia"/>
        </w:rPr>
        <w:t>万个，</w:t>
      </w:r>
      <w:r w:rsidRPr="00C11F05">
        <w:rPr>
          <w:rFonts w:eastAsia="楷体" w:cs="Arial" w:hint="eastAsia"/>
        </w:rPr>
        <w:t>失业率从此前的</w:t>
      </w:r>
      <w:r w:rsidRPr="00C11F05">
        <w:rPr>
          <w:rFonts w:eastAsia="楷体" w:cs="Arial"/>
        </w:rPr>
        <w:t>5.9%</w:t>
      </w:r>
      <w:r w:rsidRPr="00C11F05">
        <w:rPr>
          <w:rFonts w:eastAsia="楷体" w:cs="Arial" w:hint="eastAsia"/>
        </w:rPr>
        <w:t>降至</w:t>
      </w:r>
      <w:r w:rsidRPr="00C11F05">
        <w:rPr>
          <w:rFonts w:eastAsia="楷体" w:cs="Arial"/>
        </w:rPr>
        <w:t>5.8%</w:t>
      </w:r>
      <w:r w:rsidRPr="00C11F05">
        <w:rPr>
          <w:rFonts w:eastAsia="楷体" w:cs="Arial" w:hint="eastAsia"/>
        </w:rPr>
        <w:t>，为</w:t>
      </w:r>
      <w:r w:rsidRPr="00C11F05">
        <w:rPr>
          <w:rFonts w:eastAsia="楷体" w:cs="Arial"/>
        </w:rPr>
        <w:t>2008</w:t>
      </w:r>
      <w:r w:rsidRPr="00C11F05">
        <w:rPr>
          <w:rFonts w:eastAsia="楷体" w:cs="Arial" w:hint="eastAsia"/>
        </w:rPr>
        <w:t>年以来的最低水平。</w:t>
      </w:r>
    </w:p>
    <w:p w:rsidR="008F21B4" w:rsidRDefault="008F21B4" w:rsidP="00161FDF">
      <w:pPr>
        <w:pStyle w:val="BodyText"/>
        <w:numPr>
          <w:ilvl w:val="5"/>
          <w:numId w:val="2"/>
        </w:numPr>
        <w:spacing w:after="163"/>
        <w:ind w:left="4140" w:hanging="369"/>
        <w:rPr>
          <w:rFonts w:eastAsia="楷体" w:cs="Arial"/>
          <w:lang w:val="en-US"/>
        </w:rPr>
      </w:pPr>
      <w:r w:rsidRPr="00850B44">
        <w:rPr>
          <w:rFonts w:eastAsia="楷体" w:cs="Arial" w:hint="eastAsia"/>
          <w:lang w:val="en-US"/>
        </w:rPr>
        <w:t>美国</w:t>
      </w:r>
      <w:r>
        <w:rPr>
          <w:rFonts w:eastAsia="楷体" w:cs="Arial"/>
          <w:lang w:val="en-US"/>
        </w:rPr>
        <w:t>1</w:t>
      </w:r>
      <w:r w:rsidRPr="00850B44">
        <w:rPr>
          <w:rFonts w:eastAsia="楷体" w:cs="Arial"/>
          <w:lang w:val="en-US"/>
        </w:rPr>
        <w:t>0</w:t>
      </w:r>
      <w:r w:rsidRPr="00850B44">
        <w:rPr>
          <w:rFonts w:eastAsia="楷体" w:cs="Arial" w:hint="eastAsia"/>
          <w:lang w:val="en-US"/>
        </w:rPr>
        <w:t>月份</w:t>
      </w:r>
      <w:r>
        <w:rPr>
          <w:rFonts w:eastAsia="楷体" w:cs="Arial"/>
          <w:lang w:val="en-US"/>
        </w:rPr>
        <w:t>ISM</w:t>
      </w:r>
      <w:r w:rsidRPr="00850B44">
        <w:rPr>
          <w:rFonts w:eastAsia="楷体" w:cs="Arial" w:hint="eastAsia"/>
          <w:lang w:val="en-US"/>
        </w:rPr>
        <w:t>制造业</w:t>
      </w:r>
      <w:r>
        <w:rPr>
          <w:rFonts w:eastAsia="楷体" w:cs="Arial"/>
          <w:lang w:val="en-US"/>
        </w:rPr>
        <w:t>PMI</w:t>
      </w:r>
      <w:r w:rsidRPr="00850B44">
        <w:rPr>
          <w:rFonts w:eastAsia="楷体" w:cs="Arial" w:hint="eastAsia"/>
          <w:lang w:val="en-US"/>
        </w:rPr>
        <w:t>大幅增至</w:t>
      </w:r>
      <w:r w:rsidRPr="00850B44">
        <w:rPr>
          <w:rFonts w:eastAsia="楷体" w:cs="Arial"/>
          <w:lang w:val="en-US"/>
        </w:rPr>
        <w:t>59</w:t>
      </w:r>
      <w:r>
        <w:rPr>
          <w:rFonts w:eastAsia="楷体" w:cs="Arial" w:hint="eastAsia"/>
          <w:lang w:val="en-US"/>
        </w:rPr>
        <w:t>，</w:t>
      </w:r>
      <w:r w:rsidRPr="00850B44">
        <w:rPr>
          <w:rFonts w:eastAsia="楷体" w:cs="Arial" w:hint="eastAsia"/>
          <w:lang w:val="en-US"/>
        </w:rPr>
        <w:t>创下</w:t>
      </w:r>
      <w:r w:rsidRPr="00850B44">
        <w:rPr>
          <w:rFonts w:eastAsia="楷体" w:cs="Arial"/>
          <w:lang w:val="en-US"/>
        </w:rPr>
        <w:t>2011</w:t>
      </w:r>
      <w:r w:rsidRPr="00850B44">
        <w:rPr>
          <w:rFonts w:eastAsia="楷体" w:cs="Arial" w:hint="eastAsia"/>
          <w:lang w:val="en-US"/>
        </w:rPr>
        <w:t>年</w:t>
      </w:r>
      <w:r w:rsidRPr="00850B44">
        <w:rPr>
          <w:rFonts w:eastAsia="楷体" w:cs="Arial"/>
          <w:lang w:val="en-US"/>
        </w:rPr>
        <w:t>3</w:t>
      </w:r>
      <w:r>
        <w:rPr>
          <w:rFonts w:eastAsia="楷体" w:cs="Arial" w:hint="eastAsia"/>
          <w:lang w:val="en-US"/>
        </w:rPr>
        <w:t>月份来的最高值；</w:t>
      </w:r>
      <w:r w:rsidRPr="00850B44">
        <w:rPr>
          <w:rFonts w:eastAsia="楷体" w:cs="Arial" w:hint="eastAsia"/>
          <w:lang w:val="en-US"/>
        </w:rPr>
        <w:t>预期为</w:t>
      </w:r>
      <w:r w:rsidRPr="00850B44">
        <w:rPr>
          <w:rFonts w:eastAsia="楷体" w:cs="Arial"/>
          <w:lang w:val="en-US"/>
        </w:rPr>
        <w:t>56.2</w:t>
      </w:r>
      <w:r w:rsidRPr="00850B44">
        <w:rPr>
          <w:rFonts w:eastAsia="楷体" w:cs="Arial" w:hint="eastAsia"/>
          <w:lang w:val="en-US"/>
        </w:rPr>
        <w:t>，</w:t>
      </w:r>
      <w:r w:rsidRPr="00850B44">
        <w:rPr>
          <w:rFonts w:eastAsia="楷体" w:cs="Arial"/>
          <w:lang w:val="en-US"/>
        </w:rPr>
        <w:t>9</w:t>
      </w:r>
      <w:r w:rsidRPr="00850B44">
        <w:rPr>
          <w:rFonts w:eastAsia="楷体" w:cs="Arial" w:hint="eastAsia"/>
          <w:lang w:val="en-US"/>
        </w:rPr>
        <w:t>月份</w:t>
      </w:r>
      <w:r w:rsidRPr="00850B44">
        <w:rPr>
          <w:rFonts w:eastAsia="楷体" w:cs="Arial"/>
          <w:lang w:val="en-US"/>
        </w:rPr>
        <w:t>56.6</w:t>
      </w:r>
      <w:r w:rsidRPr="00850B44">
        <w:rPr>
          <w:rFonts w:eastAsia="楷体" w:cs="Arial" w:hint="eastAsia"/>
          <w:lang w:val="en-US"/>
        </w:rPr>
        <w:t>。</w:t>
      </w:r>
      <w:r>
        <w:rPr>
          <w:rFonts w:eastAsia="楷体" w:cs="Arial" w:hint="eastAsia"/>
          <w:lang w:val="en-US"/>
        </w:rPr>
        <w:t>增速超预期</w:t>
      </w:r>
      <w:r w:rsidRPr="00850B44">
        <w:rPr>
          <w:rFonts w:eastAsia="楷体" w:cs="Arial" w:hint="eastAsia"/>
          <w:lang w:val="en-US"/>
        </w:rPr>
        <w:t>显示出全球最大经济体工业表现仍然非常强劲。分项指数中</w:t>
      </w:r>
      <w:r>
        <w:rPr>
          <w:rFonts w:eastAsia="楷体" w:cs="Arial" w:hint="eastAsia"/>
          <w:lang w:val="en-US"/>
        </w:rPr>
        <w:t>，</w:t>
      </w:r>
      <w:r w:rsidRPr="00850B44">
        <w:rPr>
          <w:rFonts w:eastAsia="楷体" w:cs="Arial" w:hint="eastAsia"/>
          <w:lang w:val="en-US"/>
        </w:rPr>
        <w:t>就业指数从</w:t>
      </w:r>
      <w:r w:rsidRPr="00850B44">
        <w:rPr>
          <w:rFonts w:eastAsia="楷体" w:cs="Arial"/>
          <w:lang w:val="en-US"/>
        </w:rPr>
        <w:t>9</w:t>
      </w:r>
      <w:r>
        <w:rPr>
          <w:rFonts w:eastAsia="楷体" w:cs="Arial" w:hint="eastAsia"/>
          <w:lang w:val="en-US"/>
        </w:rPr>
        <w:t>月</w:t>
      </w:r>
      <w:r w:rsidRPr="00850B44">
        <w:rPr>
          <w:rFonts w:eastAsia="楷体" w:cs="Arial" w:hint="eastAsia"/>
          <w:lang w:val="en-US"/>
        </w:rPr>
        <w:t>的</w:t>
      </w:r>
      <w:r w:rsidRPr="00850B44">
        <w:rPr>
          <w:rFonts w:eastAsia="楷体" w:cs="Arial"/>
          <w:lang w:val="en-US"/>
        </w:rPr>
        <w:t>54.6</w:t>
      </w:r>
      <w:r w:rsidRPr="00850B44">
        <w:rPr>
          <w:rFonts w:eastAsia="楷体" w:cs="Arial" w:hint="eastAsia"/>
          <w:lang w:val="en-US"/>
        </w:rPr>
        <w:t>升至</w:t>
      </w:r>
      <w:r w:rsidRPr="00850B44">
        <w:rPr>
          <w:rFonts w:eastAsia="楷体" w:cs="Arial"/>
          <w:lang w:val="en-US"/>
        </w:rPr>
        <w:t>55.5</w:t>
      </w:r>
      <w:r>
        <w:rPr>
          <w:rFonts w:eastAsia="楷体" w:cs="Arial" w:hint="eastAsia"/>
          <w:lang w:val="en-US"/>
        </w:rPr>
        <w:t>；</w:t>
      </w:r>
      <w:r w:rsidRPr="00850B44">
        <w:rPr>
          <w:rFonts w:eastAsia="楷体" w:cs="Arial" w:hint="eastAsia"/>
          <w:lang w:val="en-US"/>
        </w:rPr>
        <w:t>物价支付指数降至</w:t>
      </w:r>
      <w:r w:rsidRPr="00850B44">
        <w:rPr>
          <w:rFonts w:eastAsia="楷体" w:cs="Arial"/>
          <w:lang w:val="en-US"/>
        </w:rPr>
        <w:t>53.5</w:t>
      </w:r>
      <w:r>
        <w:rPr>
          <w:rFonts w:eastAsia="楷体" w:cs="Arial" w:hint="eastAsia"/>
          <w:lang w:val="en-US"/>
        </w:rPr>
        <w:t>的</w:t>
      </w:r>
      <w:r w:rsidRPr="00850B44">
        <w:rPr>
          <w:rFonts w:eastAsia="楷体" w:cs="Arial" w:hint="eastAsia"/>
          <w:lang w:val="en-US"/>
        </w:rPr>
        <w:t>年内最低值，主要是因为较低的成本和原材料价格。</w:t>
      </w:r>
      <w:r>
        <w:rPr>
          <w:rFonts w:eastAsia="楷体" w:cs="Arial" w:hint="eastAsia"/>
          <w:lang w:val="en-US"/>
        </w:rPr>
        <w:t>各项均处于</w:t>
      </w:r>
      <w:r>
        <w:rPr>
          <w:rFonts w:eastAsia="楷体" w:cs="Arial"/>
          <w:lang w:val="en-US"/>
        </w:rPr>
        <w:t>50</w:t>
      </w:r>
      <w:r>
        <w:rPr>
          <w:rFonts w:eastAsia="楷体" w:cs="Arial" w:hint="eastAsia"/>
          <w:lang w:val="en-US"/>
        </w:rPr>
        <w:t>以上的</w:t>
      </w:r>
      <w:r w:rsidRPr="00850B44">
        <w:rPr>
          <w:rFonts w:eastAsia="楷体" w:cs="Arial" w:hint="eastAsia"/>
          <w:lang w:val="en-US"/>
        </w:rPr>
        <w:t>扩张区域。</w:t>
      </w:r>
    </w:p>
    <w:p w:rsidR="008F21B4" w:rsidRPr="00161FDF" w:rsidRDefault="008F21B4" w:rsidP="00161FDF">
      <w:pPr>
        <w:pStyle w:val="BodyText"/>
        <w:numPr>
          <w:ilvl w:val="5"/>
          <w:numId w:val="2"/>
        </w:numPr>
        <w:spacing w:after="163"/>
        <w:ind w:left="4140" w:hanging="369"/>
        <w:rPr>
          <w:rFonts w:eastAsia="楷体" w:cs="Arial"/>
          <w:lang w:val="en-US"/>
        </w:rPr>
      </w:pPr>
      <w:r>
        <w:rPr>
          <w:rFonts w:eastAsia="楷体" w:cs="Arial" w:hint="eastAsia"/>
          <w:lang w:val="en-US"/>
        </w:rPr>
        <w:t>通胀压力温和：</w:t>
      </w:r>
      <w:r w:rsidRPr="00D747D8">
        <w:rPr>
          <w:rFonts w:eastAsia="楷体" w:cs="Arial" w:hint="eastAsia"/>
          <w:lang w:val="en-US"/>
        </w:rPr>
        <w:t>美国</w:t>
      </w:r>
      <w:r w:rsidRPr="00D747D8">
        <w:rPr>
          <w:rFonts w:eastAsia="楷体" w:cs="Arial"/>
          <w:lang w:val="en-US"/>
        </w:rPr>
        <w:t>10</w:t>
      </w:r>
      <w:r w:rsidRPr="00D747D8">
        <w:rPr>
          <w:rFonts w:eastAsia="楷体" w:cs="Arial" w:hint="eastAsia"/>
          <w:lang w:val="en-US"/>
        </w:rPr>
        <w:t>月</w:t>
      </w:r>
      <w:r w:rsidRPr="00D747D8">
        <w:rPr>
          <w:rFonts w:eastAsia="楷体" w:cs="Arial"/>
          <w:lang w:val="en-US"/>
        </w:rPr>
        <w:t>PPI</w:t>
      </w:r>
      <w:r w:rsidRPr="00D747D8">
        <w:rPr>
          <w:rFonts w:eastAsia="楷体" w:cs="Arial" w:hint="eastAsia"/>
          <w:lang w:val="en-US"/>
        </w:rPr>
        <w:t>环比上升</w:t>
      </w:r>
      <w:r w:rsidRPr="00D747D8">
        <w:rPr>
          <w:rFonts w:eastAsia="楷体" w:cs="Arial"/>
          <w:lang w:val="en-US"/>
        </w:rPr>
        <w:t>0.2%</w:t>
      </w:r>
      <w:r w:rsidRPr="00D747D8">
        <w:rPr>
          <w:rFonts w:eastAsia="楷体" w:cs="Arial" w:hint="eastAsia"/>
          <w:lang w:val="en-US"/>
        </w:rPr>
        <w:t>，预期</w:t>
      </w:r>
      <w:r>
        <w:rPr>
          <w:rFonts w:eastAsia="楷体" w:cs="Arial" w:hint="eastAsia"/>
          <w:lang w:val="en-US"/>
        </w:rPr>
        <w:t>与前值为</w:t>
      </w:r>
      <w:r w:rsidRPr="00D747D8">
        <w:rPr>
          <w:rFonts w:eastAsia="楷体" w:cs="Arial" w:hint="eastAsia"/>
          <w:lang w:val="en-US"/>
        </w:rPr>
        <w:t>下降</w:t>
      </w:r>
      <w:r w:rsidRPr="00D747D8">
        <w:rPr>
          <w:rFonts w:eastAsia="楷体" w:cs="Arial"/>
          <w:lang w:val="en-US"/>
        </w:rPr>
        <w:t>0.1%</w:t>
      </w:r>
      <w:r>
        <w:rPr>
          <w:rFonts w:eastAsia="楷体" w:cs="Arial" w:hint="eastAsia"/>
          <w:lang w:val="en-US"/>
        </w:rPr>
        <w:t>；</w:t>
      </w:r>
      <w:r w:rsidRPr="00D747D8">
        <w:rPr>
          <w:rFonts w:eastAsia="楷体" w:cs="Arial" w:hint="eastAsia"/>
          <w:lang w:val="en-US"/>
        </w:rPr>
        <w:t>不包括食品和能源价格的核心</w:t>
      </w:r>
      <w:r w:rsidRPr="00D747D8">
        <w:rPr>
          <w:rFonts w:eastAsia="楷体" w:cs="Arial"/>
          <w:lang w:val="en-US"/>
        </w:rPr>
        <w:t>PPI</w:t>
      </w:r>
      <w:r w:rsidRPr="00D747D8">
        <w:rPr>
          <w:rFonts w:eastAsia="楷体" w:cs="Arial" w:hint="eastAsia"/>
          <w:lang w:val="en-US"/>
        </w:rPr>
        <w:t>环比上升</w:t>
      </w:r>
      <w:r w:rsidRPr="00D747D8">
        <w:rPr>
          <w:rFonts w:eastAsia="楷体" w:cs="Arial"/>
          <w:lang w:val="en-US"/>
        </w:rPr>
        <w:t>0.4%</w:t>
      </w:r>
      <w:r>
        <w:rPr>
          <w:rFonts w:eastAsia="楷体" w:cs="Arial" w:hint="eastAsia"/>
          <w:lang w:val="en-US"/>
        </w:rPr>
        <w:t>，预期</w:t>
      </w:r>
      <w:r w:rsidRPr="00D747D8">
        <w:rPr>
          <w:rFonts w:eastAsia="楷体" w:cs="Arial" w:hint="eastAsia"/>
          <w:lang w:val="en-US"/>
        </w:rPr>
        <w:t>升</w:t>
      </w:r>
      <w:r w:rsidRPr="00D747D8">
        <w:rPr>
          <w:rFonts w:eastAsia="楷体" w:cs="Arial"/>
          <w:lang w:val="en-US"/>
        </w:rPr>
        <w:t>0.1%</w:t>
      </w:r>
      <w:r w:rsidRPr="00D747D8">
        <w:rPr>
          <w:rFonts w:eastAsia="楷体" w:cs="Arial" w:hint="eastAsia"/>
          <w:lang w:val="en-US"/>
        </w:rPr>
        <w:t>。增</w:t>
      </w:r>
      <w:r>
        <w:rPr>
          <w:rFonts w:eastAsia="楷体" w:cs="Arial" w:hint="eastAsia"/>
          <w:lang w:val="en-US"/>
        </w:rPr>
        <w:t>长主要由服务部门和食品的价格上涨，加之汽车新机型的引进而拉动的，</w:t>
      </w:r>
      <w:r w:rsidRPr="00D747D8">
        <w:rPr>
          <w:rFonts w:eastAsia="楷体" w:cs="Arial" w:hint="eastAsia"/>
          <w:lang w:val="en-US"/>
        </w:rPr>
        <w:t>但扣除能源、食物以及贸易服务的分项价格指数</w:t>
      </w:r>
      <w:r>
        <w:rPr>
          <w:rFonts w:eastAsia="楷体" w:cs="Arial" w:hint="eastAsia"/>
          <w:lang w:val="en-US"/>
        </w:rPr>
        <w:t>环比</w:t>
      </w:r>
      <w:r w:rsidRPr="00D747D8">
        <w:rPr>
          <w:rFonts w:eastAsia="楷体" w:cs="Arial" w:hint="eastAsia"/>
          <w:lang w:val="en-US"/>
        </w:rPr>
        <w:t>仅</w:t>
      </w:r>
      <w:r>
        <w:rPr>
          <w:rFonts w:eastAsia="楷体" w:cs="Arial" w:hint="eastAsia"/>
          <w:lang w:val="en-US"/>
        </w:rPr>
        <w:t>增</w:t>
      </w:r>
      <w:r w:rsidRPr="00D747D8">
        <w:rPr>
          <w:rFonts w:eastAsia="楷体" w:cs="Arial"/>
          <w:lang w:val="en-US"/>
        </w:rPr>
        <w:t>0.1%</w:t>
      </w:r>
      <w:r>
        <w:rPr>
          <w:rFonts w:eastAsia="楷体" w:cs="Arial" w:hint="eastAsia"/>
          <w:lang w:val="en-US"/>
        </w:rPr>
        <w:t>，表明通胀上行压力仍保持温和。</w:t>
      </w:r>
      <w:r w:rsidRPr="00D747D8">
        <w:rPr>
          <w:rFonts w:eastAsia="楷体" w:cs="Arial"/>
          <w:lang w:val="en-US"/>
        </w:rPr>
        <w:t>10</w:t>
      </w:r>
      <w:r w:rsidRPr="00D747D8">
        <w:rPr>
          <w:rFonts w:eastAsia="楷体" w:cs="Arial" w:hint="eastAsia"/>
          <w:lang w:val="en-US"/>
        </w:rPr>
        <w:t>月份</w:t>
      </w:r>
      <w:r w:rsidRPr="00D747D8">
        <w:rPr>
          <w:rFonts w:eastAsia="楷体" w:cs="Arial"/>
          <w:lang w:val="en-US"/>
        </w:rPr>
        <w:t>CPI</w:t>
      </w:r>
      <w:r w:rsidRPr="00D747D8">
        <w:rPr>
          <w:rFonts w:eastAsia="楷体" w:cs="Arial" w:hint="eastAsia"/>
          <w:lang w:val="en-US"/>
        </w:rPr>
        <w:t>与上月持</w:t>
      </w:r>
      <w:r>
        <w:rPr>
          <w:rFonts w:eastAsia="楷体" w:cs="Arial" w:hint="eastAsia"/>
          <w:lang w:val="en-US"/>
        </w:rPr>
        <w:t>平，主要由于汽油价格的大幅下跌抵消了住房、医疗和航空费用的增长。数据缓解了</w:t>
      </w:r>
      <w:r w:rsidRPr="00D747D8">
        <w:rPr>
          <w:rFonts w:eastAsia="楷体" w:cs="Arial" w:hint="eastAsia"/>
          <w:lang w:val="en-US"/>
        </w:rPr>
        <w:t>市场对通胀水平过快上涨的担忧</w:t>
      </w:r>
      <w:r>
        <w:rPr>
          <w:rFonts w:eastAsia="楷体" w:cs="Arial" w:hint="eastAsia"/>
          <w:lang w:val="en-US"/>
        </w:rPr>
        <w:t>，</w:t>
      </w:r>
      <w:r w:rsidRPr="00D747D8">
        <w:rPr>
          <w:rFonts w:eastAsia="楷体" w:cs="Arial" w:hint="eastAsia"/>
          <w:lang w:val="en-US"/>
        </w:rPr>
        <w:t>支持美联储保持利率在较低水平。</w:t>
      </w:r>
    </w:p>
    <w:tbl>
      <w:tblPr>
        <w:tblW w:w="10771" w:type="dxa"/>
        <w:tblLayout w:type="fixed"/>
        <w:tblCellMar>
          <w:left w:w="0" w:type="dxa"/>
          <w:right w:w="0" w:type="dxa"/>
        </w:tblCellMar>
        <w:tblLook w:val="0000"/>
      </w:tblPr>
      <w:tblGrid>
        <w:gridCol w:w="5272"/>
        <w:gridCol w:w="227"/>
        <w:gridCol w:w="5272"/>
      </w:tblGrid>
      <w:tr w:rsidR="008F21B4" w:rsidRPr="00D41C41" w:rsidTr="001C47CA">
        <w:trPr>
          <w:cantSplit/>
          <w:trHeight w:val="368"/>
        </w:trPr>
        <w:tc>
          <w:tcPr>
            <w:tcW w:w="5272" w:type="dxa"/>
            <w:tcBorders>
              <w:top w:val="single" w:sz="6" w:space="0" w:color="FF6600"/>
              <w:bottom w:val="single" w:sz="6" w:space="0" w:color="FF6600"/>
            </w:tcBorders>
            <w:vAlign w:val="center"/>
          </w:tcPr>
          <w:p w:rsidR="008F21B4" w:rsidRPr="00FC54FE" w:rsidRDefault="008F21B4" w:rsidP="001C47CA">
            <w:pPr>
              <w:pStyle w:val="SubTitleLargeTable"/>
              <w:pBdr>
                <w:top w:val="none" w:sz="0" w:space="0" w:color="auto"/>
              </w:pBdr>
              <w:rPr>
                <w:rFonts w:ascii="楷体" w:eastAsia="楷体" w:hAnsi="楷体"/>
                <w:color w:val="FF6600"/>
              </w:rPr>
            </w:pPr>
            <w:r w:rsidRPr="00FC54FE">
              <w:rPr>
                <w:rFonts w:ascii="楷体" w:eastAsia="楷体" w:hAnsi="楷体" w:hint="eastAsia"/>
                <w:color w:val="FF6600"/>
              </w:rPr>
              <w:t>图表</w:t>
            </w:r>
            <w:r>
              <w:rPr>
                <w:rFonts w:ascii="楷体" w:eastAsia="楷体" w:hAnsi="楷体"/>
                <w:color w:val="FF6600"/>
              </w:rPr>
              <w:t>2</w:t>
            </w:r>
            <w:r w:rsidRPr="00FC54FE">
              <w:rPr>
                <w:rFonts w:ascii="楷体" w:eastAsia="楷体" w:hAnsi="楷体" w:hint="eastAsia"/>
                <w:color w:val="FF6600"/>
              </w:rPr>
              <w:t>：</w:t>
            </w:r>
            <w:r w:rsidRPr="00A3282F">
              <w:rPr>
                <w:rFonts w:ascii="楷体" w:eastAsia="楷体" w:hAnsi="楷体" w:hint="eastAsia"/>
                <w:color w:val="FF6600"/>
              </w:rPr>
              <w:t>美国</w:t>
            </w:r>
            <w:r>
              <w:rPr>
                <w:rFonts w:ascii="楷体" w:eastAsia="楷体" w:hAnsi="楷体"/>
                <w:color w:val="FF6600"/>
              </w:rPr>
              <w:t>ISM</w:t>
            </w:r>
            <w:r w:rsidRPr="00A3282F">
              <w:rPr>
                <w:rFonts w:ascii="楷体" w:eastAsia="楷体" w:hAnsi="楷体" w:hint="eastAsia"/>
                <w:color w:val="FF6600"/>
              </w:rPr>
              <w:t>制造业</w:t>
            </w:r>
            <w:r w:rsidRPr="00A3282F">
              <w:rPr>
                <w:rFonts w:ascii="楷体" w:eastAsia="楷体" w:hAnsi="楷体"/>
                <w:color w:val="FF6600"/>
              </w:rPr>
              <w:t>PMI</w:t>
            </w:r>
            <w:r w:rsidRPr="00A3282F">
              <w:rPr>
                <w:rFonts w:ascii="楷体" w:eastAsia="楷体" w:hAnsi="楷体" w:hint="eastAsia"/>
                <w:color w:val="FF6600"/>
              </w:rPr>
              <w:t>指数</w:t>
            </w:r>
          </w:p>
        </w:tc>
        <w:tc>
          <w:tcPr>
            <w:tcW w:w="227" w:type="dxa"/>
            <w:vAlign w:val="center"/>
          </w:tcPr>
          <w:p w:rsidR="008F21B4" w:rsidRPr="00FC54FE" w:rsidRDefault="008F21B4" w:rsidP="001C47CA">
            <w:pPr>
              <w:jc w:val="center"/>
              <w:rPr>
                <w:rFonts w:ascii="楷体" w:eastAsia="楷体" w:hAnsi="楷体" w:cs="Arial"/>
                <w:b/>
                <w:bCs/>
                <w:i/>
                <w:iCs/>
                <w:color w:val="FF6600"/>
                <w:kern w:val="0"/>
                <w:szCs w:val="21"/>
                <w:lang w:val="en-GB"/>
              </w:rPr>
            </w:pPr>
          </w:p>
        </w:tc>
        <w:tc>
          <w:tcPr>
            <w:tcW w:w="5272" w:type="dxa"/>
            <w:tcBorders>
              <w:top w:val="single" w:sz="6" w:space="0" w:color="FF6600"/>
              <w:bottom w:val="single" w:sz="6" w:space="0" w:color="FF6600"/>
            </w:tcBorders>
            <w:vAlign w:val="center"/>
          </w:tcPr>
          <w:p w:rsidR="008F21B4" w:rsidRPr="00FC54FE" w:rsidRDefault="008F21B4" w:rsidP="001C47CA">
            <w:pPr>
              <w:pStyle w:val="SubTitleLargeTable"/>
              <w:pBdr>
                <w:top w:val="none" w:sz="0" w:space="0" w:color="auto"/>
              </w:pBdr>
              <w:rPr>
                <w:rFonts w:ascii="楷体" w:eastAsia="楷体" w:hAnsi="楷体"/>
                <w:color w:val="FF6600"/>
              </w:rPr>
            </w:pPr>
            <w:r w:rsidRPr="00FC54FE">
              <w:rPr>
                <w:rFonts w:ascii="楷体" w:eastAsia="楷体" w:hAnsi="楷体" w:hint="eastAsia"/>
                <w:color w:val="FF6600"/>
              </w:rPr>
              <w:t>图表</w:t>
            </w:r>
            <w:r>
              <w:rPr>
                <w:rFonts w:ascii="楷体" w:eastAsia="楷体" w:hAnsi="楷体"/>
                <w:color w:val="FF6600"/>
              </w:rPr>
              <w:t>3</w:t>
            </w:r>
            <w:r w:rsidRPr="00FC54FE">
              <w:rPr>
                <w:rFonts w:ascii="楷体" w:eastAsia="楷体" w:hAnsi="楷体" w:hint="eastAsia"/>
                <w:color w:val="FF6600"/>
              </w:rPr>
              <w:t>：</w:t>
            </w:r>
            <w:r w:rsidRPr="00053B64">
              <w:rPr>
                <w:rFonts w:ascii="楷体" w:eastAsia="楷体" w:hAnsi="楷体" w:hint="eastAsia"/>
                <w:color w:val="FF6600"/>
              </w:rPr>
              <w:t>美</w:t>
            </w:r>
            <w:r>
              <w:rPr>
                <w:rFonts w:ascii="楷体" w:eastAsia="楷体" w:hAnsi="楷体" w:hint="eastAsia"/>
                <w:color w:val="FF6600"/>
              </w:rPr>
              <w:t>国</w:t>
            </w:r>
            <w:r w:rsidRPr="00053B64">
              <w:rPr>
                <w:rFonts w:ascii="楷体" w:eastAsia="楷体" w:hAnsi="楷体" w:hint="eastAsia"/>
                <w:color w:val="FF6600"/>
              </w:rPr>
              <w:t>成屋销售</w:t>
            </w:r>
            <w:r>
              <w:rPr>
                <w:rFonts w:ascii="楷体" w:eastAsia="楷体" w:hAnsi="楷体" w:hint="eastAsia"/>
                <w:color w:val="FF6600"/>
              </w:rPr>
              <w:t>月率</w:t>
            </w:r>
          </w:p>
        </w:tc>
      </w:tr>
      <w:tr w:rsidR="008F21B4" w:rsidRPr="00D41C41" w:rsidTr="001C47CA">
        <w:trPr>
          <w:cantSplit/>
          <w:trHeight w:val="2793"/>
        </w:trPr>
        <w:tc>
          <w:tcPr>
            <w:tcW w:w="5272" w:type="dxa"/>
            <w:tcBorders>
              <w:top w:val="single" w:sz="6" w:space="0" w:color="FF6600"/>
              <w:bottom w:val="single" w:sz="6" w:space="0" w:color="FF6600"/>
            </w:tcBorders>
            <w:vAlign w:val="center"/>
          </w:tcPr>
          <w:p w:rsidR="008F21B4" w:rsidRPr="00D41C41" w:rsidRDefault="008F21B4" w:rsidP="001C47CA">
            <w:pPr>
              <w:jc w:val="center"/>
              <w:rPr>
                <w:rFonts w:ascii="楷体" w:eastAsia="楷体" w:hAnsi="楷体"/>
              </w:rPr>
            </w:pPr>
            <w:r w:rsidRPr="00D41C41">
              <w:rPr>
                <w:rFonts w:ascii="楷体" w:eastAsia="楷体" w:hAnsi="楷体"/>
                <w:noProof/>
              </w:rPr>
              <w:pict>
                <v:shape id="图片 10" o:spid="_x0000_i1046" type="#_x0000_t75" style="width:258pt;height:150pt;visibility:visible">
                  <v:imagedata r:id="rId10" o:title=""/>
                </v:shape>
              </w:pict>
            </w:r>
          </w:p>
        </w:tc>
        <w:tc>
          <w:tcPr>
            <w:tcW w:w="227" w:type="dxa"/>
            <w:vAlign w:val="center"/>
          </w:tcPr>
          <w:p w:rsidR="008F21B4" w:rsidRPr="00D41C41" w:rsidRDefault="008F21B4" w:rsidP="001C47CA">
            <w:pPr>
              <w:jc w:val="center"/>
              <w:rPr>
                <w:rFonts w:ascii="楷体" w:eastAsia="楷体" w:hAnsi="楷体"/>
              </w:rPr>
            </w:pPr>
          </w:p>
        </w:tc>
        <w:tc>
          <w:tcPr>
            <w:tcW w:w="5272" w:type="dxa"/>
            <w:tcBorders>
              <w:top w:val="single" w:sz="6" w:space="0" w:color="FF6600"/>
              <w:bottom w:val="single" w:sz="6" w:space="0" w:color="FF6600"/>
            </w:tcBorders>
            <w:vAlign w:val="center"/>
          </w:tcPr>
          <w:p w:rsidR="008F21B4" w:rsidRPr="00D41C41" w:rsidRDefault="008F21B4" w:rsidP="001C47CA">
            <w:pPr>
              <w:jc w:val="center"/>
              <w:rPr>
                <w:rFonts w:ascii="楷体" w:eastAsia="楷体" w:hAnsi="楷体"/>
              </w:rPr>
            </w:pPr>
            <w:r w:rsidRPr="00D41C41">
              <w:rPr>
                <w:rFonts w:ascii="楷体" w:eastAsia="楷体" w:hAnsi="楷体"/>
                <w:noProof/>
              </w:rPr>
              <w:pict>
                <v:shape id="_x0000_i1047" type="#_x0000_t75" style="width:260.25pt;height:152.25pt;visibility:visible">
                  <v:imagedata r:id="rId11" o:title=""/>
                </v:shape>
              </w:pict>
            </w:r>
          </w:p>
        </w:tc>
      </w:tr>
    </w:tbl>
    <w:p w:rsidR="008F21B4" w:rsidRPr="002C111A" w:rsidRDefault="008F21B4" w:rsidP="002C111A">
      <w:pPr>
        <w:pStyle w:val="FootnoteNoline"/>
        <w:ind w:left="0"/>
        <w:rPr>
          <w:rFonts w:ascii="楷体" w:eastAsia="楷体" w:hAnsi="楷体"/>
          <w:color w:val="FF6600"/>
        </w:rPr>
      </w:pPr>
      <w:r w:rsidRPr="00FC54FE">
        <w:rPr>
          <w:rFonts w:ascii="楷体" w:eastAsia="楷体" w:hAnsi="楷体" w:hint="eastAsia"/>
          <w:color w:val="FF6600"/>
        </w:rPr>
        <w:t>来源：凯石财富工场</w:t>
      </w:r>
      <w:r w:rsidRPr="00FC54FE">
        <w:rPr>
          <w:rFonts w:ascii="楷体" w:eastAsia="楷体" w:hAnsi="楷体"/>
          <w:color w:val="FF6600"/>
        </w:rPr>
        <w:t xml:space="preserve"> wind </w:t>
      </w:r>
    </w:p>
    <w:p w:rsidR="008F21B4" w:rsidRPr="00D06A97" w:rsidRDefault="008F21B4" w:rsidP="00C11420">
      <w:pPr>
        <w:pStyle w:val="BodyText"/>
        <w:numPr>
          <w:ilvl w:val="4"/>
          <w:numId w:val="1"/>
        </w:numPr>
        <w:spacing w:after="163"/>
        <w:rPr>
          <w:rFonts w:eastAsia="楷体" w:cs="Arial"/>
        </w:rPr>
      </w:pPr>
      <w:r w:rsidRPr="00E21F26">
        <w:rPr>
          <w:rFonts w:eastAsia="楷体" w:cs="Arial" w:hint="eastAsia"/>
        </w:rPr>
        <w:t>美国经济复苏前景明朗、</w:t>
      </w:r>
      <w:r>
        <w:rPr>
          <w:rFonts w:eastAsia="楷体" w:cs="Arial" w:hint="eastAsia"/>
        </w:rPr>
        <w:t>维持超低政策利率、</w:t>
      </w:r>
      <w:r w:rsidRPr="00E21F26">
        <w:rPr>
          <w:rFonts w:eastAsia="楷体" w:cs="Arial" w:hint="eastAsia"/>
        </w:rPr>
        <w:t>企业盈利好转等基本面利好继续支持股市走强，</w:t>
      </w:r>
      <w:r>
        <w:rPr>
          <w:rFonts w:eastAsia="楷体" w:cs="Arial" w:hint="eastAsia"/>
        </w:rPr>
        <w:t>其中</w:t>
      </w:r>
      <w:r w:rsidRPr="00E21F26">
        <w:rPr>
          <w:rFonts w:eastAsia="楷体" w:cs="Arial" w:hint="eastAsia"/>
        </w:rPr>
        <w:t>值得重点关注的</w:t>
      </w:r>
      <w:r>
        <w:rPr>
          <w:rFonts w:eastAsia="楷体" w:cs="Arial" w:hint="eastAsia"/>
        </w:rPr>
        <w:t>包括</w:t>
      </w:r>
      <w:r w:rsidRPr="00E21F26">
        <w:rPr>
          <w:rFonts w:eastAsia="楷体" w:cs="Arial" w:hint="eastAsia"/>
        </w:rPr>
        <w:t>有盈利支撑的中小盘</w:t>
      </w:r>
      <w:r>
        <w:rPr>
          <w:rFonts w:eastAsia="楷体" w:cs="Arial" w:hint="eastAsia"/>
        </w:rPr>
        <w:t>成长股，得益于新技术变革的科技股，以及复苏较为明确的房地产板块。</w:t>
      </w:r>
      <w:r w:rsidRPr="00E21F26">
        <w:rPr>
          <w:rFonts w:eastAsia="楷体" w:cs="Arial" w:hint="eastAsia"/>
        </w:rPr>
        <w:t>具体</w:t>
      </w:r>
      <w:r>
        <w:rPr>
          <w:rFonts w:eastAsia="楷体" w:cs="Arial" w:hint="eastAsia"/>
        </w:rPr>
        <w:t>受益品种</w:t>
      </w:r>
      <w:r w:rsidRPr="00E21F26">
        <w:rPr>
          <w:rFonts w:eastAsia="楷体" w:cs="Arial" w:hint="eastAsia"/>
        </w:rPr>
        <w:t>包括跟踪纳斯达克</w:t>
      </w:r>
      <w:r w:rsidRPr="00E21F26">
        <w:rPr>
          <w:rFonts w:eastAsia="楷体" w:cs="Arial"/>
        </w:rPr>
        <w:t>100</w:t>
      </w:r>
      <w:r w:rsidRPr="00E21F26">
        <w:rPr>
          <w:rFonts w:eastAsia="楷体" w:cs="Arial" w:hint="eastAsia"/>
        </w:rPr>
        <w:t>指数及标普</w:t>
      </w:r>
      <w:r w:rsidRPr="00E21F26">
        <w:rPr>
          <w:rFonts w:eastAsia="楷体" w:cs="Arial"/>
        </w:rPr>
        <w:t>500</w:t>
      </w:r>
      <w:r w:rsidRPr="00E21F26">
        <w:rPr>
          <w:rFonts w:eastAsia="楷体" w:cs="Arial" w:hint="eastAsia"/>
        </w:rPr>
        <w:t>指数的基金、投资美国房地产的基金。</w:t>
      </w:r>
      <w:r>
        <w:rPr>
          <w:rFonts w:eastAsia="楷体" w:cs="Arial" w:hint="eastAsia"/>
        </w:rPr>
        <w:t>综上，</w:t>
      </w:r>
      <w:r w:rsidRPr="00864263">
        <w:rPr>
          <w:rFonts w:eastAsia="楷体" w:cs="Arial" w:hint="eastAsia"/>
        </w:rPr>
        <w:t>凯石工场</w:t>
      </w:r>
      <w:r>
        <w:rPr>
          <w:rFonts w:eastAsia="楷体" w:cs="Arial" w:hint="eastAsia"/>
        </w:rPr>
        <w:t>建议</w:t>
      </w:r>
      <w:r>
        <w:rPr>
          <w:rFonts w:eastAsia="楷体" w:cs="Arial"/>
        </w:rPr>
        <w:t>12</w:t>
      </w:r>
      <w:r>
        <w:rPr>
          <w:rFonts w:eastAsia="楷体" w:cs="Arial" w:hint="eastAsia"/>
        </w:rPr>
        <w:t>月份维持“美股美房”的核心位置</w:t>
      </w:r>
      <w:r w:rsidRPr="00E21F26">
        <w:rPr>
          <w:rFonts w:eastAsia="楷体" w:cs="Arial" w:hint="eastAsia"/>
        </w:rPr>
        <w:t>。</w:t>
      </w:r>
    </w:p>
    <w:p w:rsidR="008F21B4" w:rsidRPr="00C84B76" w:rsidRDefault="008F21B4" w:rsidP="00C84B76">
      <w:pPr>
        <w:widowControl/>
        <w:spacing w:after="120"/>
        <w:ind w:left="3430"/>
        <w:rPr>
          <w:rFonts w:ascii="楷体" w:eastAsia="楷体" w:hAnsi="楷体"/>
          <w:b/>
          <w:bCs/>
          <w:color w:val="0070C0"/>
          <w:kern w:val="0"/>
          <w:szCs w:val="21"/>
          <w:lang w:val="en-GB"/>
        </w:rPr>
      </w:pPr>
      <w:r w:rsidRPr="00FC54FE">
        <w:rPr>
          <w:rFonts w:ascii="楷体" w:eastAsia="楷体" w:hAnsi="楷体" w:hint="eastAsia"/>
          <w:b/>
          <w:bCs/>
          <w:color w:val="0070C0"/>
          <w:kern w:val="0"/>
          <w:szCs w:val="21"/>
          <w:lang w:val="en-GB"/>
        </w:rPr>
        <w:t>欧洲：</w:t>
      </w:r>
      <w:bookmarkStart w:id="0" w:name="_GoBack"/>
      <w:bookmarkEnd w:id="0"/>
      <w:r>
        <w:rPr>
          <w:rFonts w:ascii="楷体" w:eastAsia="楷体" w:hAnsi="楷体" w:hint="eastAsia"/>
          <w:b/>
          <w:bCs/>
          <w:color w:val="0070C0"/>
          <w:kern w:val="0"/>
          <w:szCs w:val="21"/>
          <w:lang w:val="en-GB"/>
        </w:rPr>
        <w:t>陷入衰退危机，投资建议回避</w:t>
      </w:r>
    </w:p>
    <w:p w:rsidR="008F21B4" w:rsidRDefault="008F21B4" w:rsidP="00591F92">
      <w:pPr>
        <w:pStyle w:val="BodyText"/>
        <w:numPr>
          <w:ilvl w:val="4"/>
          <w:numId w:val="1"/>
        </w:numPr>
        <w:spacing w:after="163"/>
        <w:rPr>
          <w:rFonts w:eastAsia="楷体" w:cs="Arial"/>
        </w:rPr>
      </w:pPr>
      <w:r w:rsidRPr="00A3282F">
        <w:rPr>
          <w:rFonts w:eastAsia="楷体" w:cs="Arial" w:hint="eastAsia"/>
        </w:rPr>
        <w:t>欧元区经济</w:t>
      </w:r>
      <w:r>
        <w:rPr>
          <w:rFonts w:eastAsia="楷体" w:cs="Arial" w:hint="eastAsia"/>
        </w:rPr>
        <w:t>陷入衰退危机。</w:t>
      </w:r>
      <w:r w:rsidRPr="00864263">
        <w:rPr>
          <w:rFonts w:eastAsia="楷体" w:cs="Arial"/>
        </w:rPr>
        <w:t>6</w:t>
      </w:r>
      <w:r>
        <w:rPr>
          <w:rFonts w:eastAsia="楷体" w:cs="Arial" w:hint="eastAsia"/>
        </w:rPr>
        <w:t>月施行</w:t>
      </w:r>
      <w:r w:rsidRPr="00864263">
        <w:rPr>
          <w:rFonts w:eastAsia="楷体" w:cs="Arial" w:hint="eastAsia"/>
        </w:rPr>
        <w:t>的货币政策</w:t>
      </w:r>
      <w:r>
        <w:rPr>
          <w:rFonts w:eastAsia="楷体" w:cs="Arial" w:hint="eastAsia"/>
        </w:rPr>
        <w:t>宽松并未对经济带来明显支撑，反而导致欧元走弱、降低对资金吸引力</w:t>
      </w:r>
      <w:r w:rsidRPr="00A3282F">
        <w:rPr>
          <w:rFonts w:eastAsia="楷体" w:cs="Arial" w:hint="eastAsia"/>
        </w:rPr>
        <w:t>。</w:t>
      </w:r>
      <w:r>
        <w:rPr>
          <w:rFonts w:eastAsia="楷体" w:cs="Arial" w:hint="eastAsia"/>
        </w:rPr>
        <w:t>目前欧央行已采取了降息、资产购买、向银行提供廉价融资等措施来促进经济增长并避免通缩，近期欧盟有望启动</w:t>
      </w:r>
      <w:r w:rsidRPr="00C90B50">
        <w:rPr>
          <w:rFonts w:eastAsia="楷体" w:cs="Arial"/>
        </w:rPr>
        <w:t>3000</w:t>
      </w:r>
      <w:r w:rsidRPr="00C90B50">
        <w:rPr>
          <w:rFonts w:eastAsia="楷体" w:cs="Arial" w:hint="eastAsia"/>
        </w:rPr>
        <w:t>亿欧元投资计划</w:t>
      </w:r>
      <w:r>
        <w:rPr>
          <w:rFonts w:eastAsia="楷体" w:cs="Arial" w:hint="eastAsia"/>
        </w:rPr>
        <w:t>，但措施奏效尚需时日</w:t>
      </w:r>
      <w:r w:rsidRPr="00591F92">
        <w:rPr>
          <w:rFonts w:eastAsia="楷体" w:cs="Arial" w:hint="eastAsia"/>
        </w:rPr>
        <w:t>。</w:t>
      </w:r>
      <w:r w:rsidRPr="00864263">
        <w:rPr>
          <w:rFonts w:eastAsia="楷体" w:cs="Arial" w:hint="eastAsia"/>
        </w:rPr>
        <w:t>凯石工场建议</w:t>
      </w:r>
      <w:r>
        <w:rPr>
          <w:rFonts w:eastAsia="楷体" w:cs="Arial" w:hint="eastAsia"/>
        </w:rPr>
        <w:t>，</w:t>
      </w:r>
      <w:r>
        <w:rPr>
          <w:rFonts w:eastAsia="楷体" w:cs="Arial"/>
        </w:rPr>
        <w:t>12</w:t>
      </w:r>
      <w:r>
        <w:rPr>
          <w:rFonts w:eastAsia="楷体" w:cs="Arial" w:hint="eastAsia"/>
        </w:rPr>
        <w:t>月</w:t>
      </w:r>
      <w:r w:rsidRPr="00864263">
        <w:rPr>
          <w:rFonts w:eastAsia="楷体" w:cs="Arial"/>
        </w:rPr>
        <w:t>QDII</w:t>
      </w:r>
      <w:r w:rsidRPr="00864263">
        <w:rPr>
          <w:rFonts w:eastAsia="楷体" w:cs="Arial" w:hint="eastAsia"/>
        </w:rPr>
        <w:t>投资继续回避欧洲市场。</w:t>
      </w:r>
    </w:p>
    <w:p w:rsidR="008F21B4" w:rsidRDefault="008F21B4" w:rsidP="00C90B50">
      <w:pPr>
        <w:pStyle w:val="BodyText"/>
        <w:numPr>
          <w:ilvl w:val="5"/>
          <w:numId w:val="2"/>
        </w:numPr>
        <w:spacing w:after="163"/>
        <w:rPr>
          <w:rFonts w:eastAsia="楷体" w:cs="Arial"/>
        </w:rPr>
      </w:pPr>
      <w:r w:rsidRPr="00C90B50">
        <w:rPr>
          <w:rFonts w:eastAsia="楷体" w:cs="Arial" w:hint="eastAsia"/>
        </w:rPr>
        <w:t>今年第三季度欧元区和欧盟的</w:t>
      </w:r>
      <w:r w:rsidRPr="00C90B50">
        <w:rPr>
          <w:rFonts w:eastAsia="楷体" w:cs="Arial"/>
        </w:rPr>
        <w:t>GDP</w:t>
      </w:r>
      <w:r w:rsidRPr="00C90B50">
        <w:rPr>
          <w:rFonts w:eastAsia="楷体" w:cs="Arial" w:hint="eastAsia"/>
        </w:rPr>
        <w:t>初值分别环比增长</w:t>
      </w:r>
      <w:r w:rsidRPr="00C90B50">
        <w:rPr>
          <w:rFonts w:eastAsia="楷体" w:cs="Arial"/>
        </w:rPr>
        <w:t>0.2%</w:t>
      </w:r>
      <w:r w:rsidRPr="00C90B50">
        <w:rPr>
          <w:rFonts w:eastAsia="楷体" w:cs="Arial" w:hint="eastAsia"/>
        </w:rPr>
        <w:t>和</w:t>
      </w:r>
      <w:r w:rsidRPr="00C90B50">
        <w:rPr>
          <w:rFonts w:eastAsia="楷体" w:cs="Arial"/>
        </w:rPr>
        <w:t>0.3%</w:t>
      </w:r>
      <w:r w:rsidRPr="00C90B50">
        <w:rPr>
          <w:rFonts w:eastAsia="楷体" w:cs="Arial" w:hint="eastAsia"/>
        </w:rPr>
        <w:t>，同比增长</w:t>
      </w:r>
      <w:r w:rsidRPr="00C90B50">
        <w:rPr>
          <w:rFonts w:eastAsia="楷体" w:cs="Arial"/>
        </w:rPr>
        <w:t>0.8%</w:t>
      </w:r>
      <w:r w:rsidRPr="00C90B50">
        <w:rPr>
          <w:rFonts w:eastAsia="楷体" w:cs="Arial" w:hint="eastAsia"/>
        </w:rPr>
        <w:t>和</w:t>
      </w:r>
      <w:r w:rsidRPr="00C90B50">
        <w:rPr>
          <w:rFonts w:eastAsia="楷体" w:cs="Arial"/>
        </w:rPr>
        <w:t>1.3%</w:t>
      </w:r>
      <w:r>
        <w:rPr>
          <w:rFonts w:eastAsia="楷体" w:cs="Arial" w:hint="eastAsia"/>
        </w:rPr>
        <w:t>，皆好于预期。其中，深陷衰退长达六年之久的欧元区重债国希腊</w:t>
      </w:r>
      <w:r w:rsidRPr="00C90B50">
        <w:rPr>
          <w:rFonts w:eastAsia="楷体" w:cs="Arial" w:hint="eastAsia"/>
        </w:rPr>
        <w:t>同比增长</w:t>
      </w:r>
      <w:r w:rsidRPr="00C90B50">
        <w:rPr>
          <w:rFonts w:eastAsia="楷体" w:cs="Arial"/>
        </w:rPr>
        <w:t>1.7%</w:t>
      </w:r>
      <w:r w:rsidRPr="00C90B50">
        <w:rPr>
          <w:rFonts w:eastAsia="楷体" w:cs="Arial" w:hint="eastAsia"/>
        </w:rPr>
        <w:t>，跃居增幅首位。欧元区经济小幅回暖主要由于第一大经济体德国和第二大经济体法国的经济改善。第三季度德国</w:t>
      </w:r>
      <w:r w:rsidRPr="00C90B50">
        <w:rPr>
          <w:rFonts w:eastAsia="楷体" w:cs="Arial"/>
        </w:rPr>
        <w:t>GDP</w:t>
      </w:r>
      <w:r w:rsidRPr="00C90B50">
        <w:rPr>
          <w:rFonts w:eastAsia="楷体" w:cs="Arial" w:hint="eastAsia"/>
        </w:rPr>
        <w:t>初值环比增长</w:t>
      </w:r>
      <w:r w:rsidRPr="00C90B50">
        <w:rPr>
          <w:rFonts w:eastAsia="楷体" w:cs="Arial"/>
        </w:rPr>
        <w:t>0.1%</w:t>
      </w:r>
      <w:r w:rsidRPr="00C90B50">
        <w:rPr>
          <w:rFonts w:eastAsia="楷体" w:cs="Arial" w:hint="eastAsia"/>
        </w:rPr>
        <w:t>好于第二季度</w:t>
      </w:r>
      <w:r>
        <w:rPr>
          <w:rFonts w:eastAsia="楷体" w:cs="Arial" w:hint="eastAsia"/>
        </w:rPr>
        <w:t>，</w:t>
      </w:r>
      <w:r w:rsidRPr="00C90B50">
        <w:rPr>
          <w:rFonts w:eastAsia="楷体" w:cs="Arial" w:hint="eastAsia"/>
        </w:rPr>
        <w:t>同比增长</w:t>
      </w:r>
      <w:r w:rsidRPr="00C90B50">
        <w:rPr>
          <w:rFonts w:eastAsia="楷体" w:cs="Arial"/>
        </w:rPr>
        <w:t>1.2%</w:t>
      </w:r>
      <w:r w:rsidRPr="00C90B50">
        <w:rPr>
          <w:rFonts w:eastAsia="楷体" w:cs="Arial" w:hint="eastAsia"/>
        </w:rPr>
        <w:t>高于预期，增速快于第二季度。第三季度法国</w:t>
      </w:r>
      <w:r w:rsidRPr="00C90B50">
        <w:rPr>
          <w:rFonts w:eastAsia="楷体" w:cs="Arial"/>
        </w:rPr>
        <w:t>GDP</w:t>
      </w:r>
      <w:r w:rsidRPr="00C90B50">
        <w:rPr>
          <w:rFonts w:eastAsia="楷体" w:cs="Arial" w:hint="eastAsia"/>
        </w:rPr>
        <w:t>初值环比增长</w:t>
      </w:r>
      <w:r w:rsidRPr="00C90B50">
        <w:rPr>
          <w:rFonts w:eastAsia="楷体" w:cs="Arial"/>
        </w:rPr>
        <w:t>0.3%</w:t>
      </w:r>
      <w:r w:rsidRPr="00C90B50">
        <w:rPr>
          <w:rFonts w:eastAsia="楷体" w:cs="Arial" w:hint="eastAsia"/>
        </w:rPr>
        <w:t>，创一年多来新高，好于预期；同比增长</w:t>
      </w:r>
      <w:r w:rsidRPr="00C90B50">
        <w:rPr>
          <w:rFonts w:eastAsia="楷体" w:cs="Arial"/>
        </w:rPr>
        <w:t>0.4%</w:t>
      </w:r>
      <w:r w:rsidRPr="00C90B50">
        <w:rPr>
          <w:rFonts w:eastAsia="楷体" w:cs="Arial" w:hint="eastAsia"/>
        </w:rPr>
        <w:t>。</w:t>
      </w:r>
      <w:r>
        <w:rPr>
          <w:rFonts w:eastAsia="楷体" w:cs="Arial" w:hint="eastAsia"/>
        </w:rPr>
        <w:t>但</w:t>
      </w:r>
      <w:r w:rsidRPr="00C90B50">
        <w:rPr>
          <w:rFonts w:eastAsia="楷体" w:cs="Arial" w:hint="eastAsia"/>
        </w:rPr>
        <w:t>第三季度欧元区经济的改善并不意味着已经摆脱经济复苏乏力的困局，诸多数据显示欧元区经济仍处于低谷，且面临着通缩威胁。</w:t>
      </w:r>
    </w:p>
    <w:p w:rsidR="008F21B4" w:rsidRDefault="008F21B4" w:rsidP="00C90B50">
      <w:pPr>
        <w:pStyle w:val="BodyText"/>
        <w:numPr>
          <w:ilvl w:val="5"/>
          <w:numId w:val="2"/>
        </w:numPr>
        <w:spacing w:after="163"/>
        <w:rPr>
          <w:rFonts w:eastAsia="楷体" w:cs="Arial"/>
        </w:rPr>
      </w:pPr>
      <w:r w:rsidRPr="00C90B50">
        <w:rPr>
          <w:rFonts w:eastAsia="楷体" w:cs="Arial"/>
        </w:rPr>
        <w:t>Markit</w:t>
      </w:r>
      <w:r w:rsidRPr="00C90B50">
        <w:rPr>
          <w:rFonts w:eastAsia="楷体" w:cs="Arial" w:hint="eastAsia"/>
        </w:rPr>
        <w:t>数据显示，欧元区</w:t>
      </w:r>
      <w:r w:rsidRPr="00C90B50">
        <w:rPr>
          <w:rFonts w:eastAsia="楷体" w:cs="Arial"/>
        </w:rPr>
        <w:t>11</w:t>
      </w:r>
      <w:r w:rsidRPr="00C90B50">
        <w:rPr>
          <w:rFonts w:eastAsia="楷体" w:cs="Arial" w:hint="eastAsia"/>
        </w:rPr>
        <w:t>月</w:t>
      </w:r>
      <w:r w:rsidRPr="00C90B50">
        <w:rPr>
          <w:rFonts w:eastAsia="楷体" w:cs="Arial"/>
        </w:rPr>
        <w:t>PMI</w:t>
      </w:r>
      <w:r w:rsidRPr="00C90B50">
        <w:rPr>
          <w:rFonts w:eastAsia="楷体" w:cs="Arial" w:hint="eastAsia"/>
        </w:rPr>
        <w:t>初值由</w:t>
      </w:r>
      <w:r w:rsidRPr="00C90B50">
        <w:rPr>
          <w:rFonts w:eastAsia="楷体" w:cs="Arial"/>
        </w:rPr>
        <w:t>10</w:t>
      </w:r>
      <w:r w:rsidRPr="00C90B50">
        <w:rPr>
          <w:rFonts w:eastAsia="楷体" w:cs="Arial" w:hint="eastAsia"/>
        </w:rPr>
        <w:t>月份终值</w:t>
      </w:r>
      <w:r w:rsidRPr="00C90B50">
        <w:rPr>
          <w:rFonts w:eastAsia="楷体" w:cs="Arial"/>
        </w:rPr>
        <w:t>50.6</w:t>
      </w:r>
      <w:r w:rsidRPr="00C90B50">
        <w:rPr>
          <w:rFonts w:eastAsia="楷体" w:cs="Arial" w:hint="eastAsia"/>
        </w:rPr>
        <w:t>降至</w:t>
      </w:r>
      <w:r w:rsidRPr="00C90B50">
        <w:rPr>
          <w:rFonts w:eastAsia="楷体" w:cs="Arial"/>
        </w:rPr>
        <w:t>50.4</w:t>
      </w:r>
      <w:r w:rsidRPr="00C90B50">
        <w:rPr>
          <w:rFonts w:eastAsia="楷体" w:cs="Arial" w:hint="eastAsia"/>
        </w:rPr>
        <w:t>，不及预期的</w:t>
      </w:r>
      <w:r w:rsidRPr="00C90B50">
        <w:rPr>
          <w:rFonts w:eastAsia="楷体" w:cs="Arial"/>
        </w:rPr>
        <w:t>50.8</w:t>
      </w:r>
      <w:r w:rsidRPr="00C90B50">
        <w:rPr>
          <w:rFonts w:eastAsia="楷体" w:cs="Arial" w:hint="eastAsia"/>
        </w:rPr>
        <w:t>；服务业</w:t>
      </w:r>
      <w:r w:rsidRPr="00C90B50">
        <w:rPr>
          <w:rFonts w:eastAsia="楷体" w:cs="Arial"/>
        </w:rPr>
        <w:t>PMI</w:t>
      </w:r>
      <w:r w:rsidRPr="00C90B50">
        <w:rPr>
          <w:rFonts w:eastAsia="楷体" w:cs="Arial" w:hint="eastAsia"/>
        </w:rPr>
        <w:t>初值由</w:t>
      </w:r>
      <w:r w:rsidRPr="00C90B50">
        <w:rPr>
          <w:rFonts w:eastAsia="楷体" w:cs="Arial"/>
        </w:rPr>
        <w:t>10</w:t>
      </w:r>
      <w:r w:rsidRPr="00C90B50">
        <w:rPr>
          <w:rFonts w:eastAsia="楷体" w:cs="Arial" w:hint="eastAsia"/>
        </w:rPr>
        <w:t>月份的</w:t>
      </w:r>
      <w:r w:rsidRPr="00C90B50">
        <w:rPr>
          <w:rFonts w:eastAsia="楷体" w:cs="Arial"/>
        </w:rPr>
        <w:t>52.3</w:t>
      </w:r>
      <w:r w:rsidRPr="00C90B50">
        <w:rPr>
          <w:rFonts w:eastAsia="楷体" w:cs="Arial" w:hint="eastAsia"/>
        </w:rPr>
        <w:t>降至</w:t>
      </w:r>
      <w:r w:rsidRPr="00C90B50">
        <w:rPr>
          <w:rFonts w:eastAsia="楷体" w:cs="Arial"/>
        </w:rPr>
        <w:t>51.3</w:t>
      </w:r>
      <w:r w:rsidRPr="00C90B50">
        <w:rPr>
          <w:rFonts w:eastAsia="楷体" w:cs="Arial" w:hint="eastAsia"/>
        </w:rPr>
        <w:t>，不及预期值</w:t>
      </w:r>
      <w:r w:rsidRPr="00C90B50">
        <w:rPr>
          <w:rFonts w:eastAsia="楷体" w:cs="Arial"/>
        </w:rPr>
        <w:t>52.3</w:t>
      </w:r>
      <w:r w:rsidRPr="00C90B50">
        <w:rPr>
          <w:rFonts w:eastAsia="楷体" w:cs="Arial" w:hint="eastAsia"/>
        </w:rPr>
        <w:t>，并创</w:t>
      </w:r>
      <w:r w:rsidRPr="00C90B50">
        <w:rPr>
          <w:rFonts w:eastAsia="楷体" w:cs="Arial"/>
        </w:rPr>
        <w:t>11</w:t>
      </w:r>
      <w:r w:rsidRPr="00C90B50">
        <w:rPr>
          <w:rFonts w:eastAsia="楷体" w:cs="Arial" w:hint="eastAsia"/>
        </w:rPr>
        <w:t>个月新低；欧元区</w:t>
      </w:r>
      <w:r w:rsidRPr="00C90B50">
        <w:rPr>
          <w:rFonts w:eastAsia="楷体" w:cs="Arial"/>
        </w:rPr>
        <w:t>11</w:t>
      </w:r>
      <w:r w:rsidRPr="00C90B50">
        <w:rPr>
          <w:rFonts w:eastAsia="楷体" w:cs="Arial" w:hint="eastAsia"/>
        </w:rPr>
        <w:t>月综合</w:t>
      </w:r>
      <w:r w:rsidRPr="00C90B50">
        <w:rPr>
          <w:rFonts w:eastAsia="楷体" w:cs="Arial"/>
        </w:rPr>
        <w:t>PMI</w:t>
      </w:r>
      <w:r w:rsidRPr="00C90B50">
        <w:rPr>
          <w:rFonts w:eastAsia="楷体" w:cs="Arial" w:hint="eastAsia"/>
        </w:rPr>
        <w:t>初值为</w:t>
      </w:r>
      <w:r w:rsidRPr="00C90B50">
        <w:rPr>
          <w:rFonts w:eastAsia="楷体" w:cs="Arial"/>
        </w:rPr>
        <w:t>51.4</w:t>
      </w:r>
      <w:r w:rsidRPr="00C90B50">
        <w:rPr>
          <w:rFonts w:eastAsia="楷体" w:cs="Arial" w:hint="eastAsia"/>
        </w:rPr>
        <w:t>，创</w:t>
      </w:r>
      <w:r w:rsidRPr="00C90B50">
        <w:rPr>
          <w:rFonts w:eastAsia="楷体" w:cs="Arial"/>
        </w:rPr>
        <w:t>16</w:t>
      </w:r>
      <w:r w:rsidRPr="00C90B50">
        <w:rPr>
          <w:rFonts w:eastAsia="楷体" w:cs="Arial" w:hint="eastAsia"/>
        </w:rPr>
        <w:t>个月新低，增加了欧元区陷入新一轮衰退的风险。</w:t>
      </w:r>
    </w:p>
    <w:p w:rsidR="008F21B4" w:rsidRPr="00EA2636" w:rsidRDefault="008F21B4" w:rsidP="00EA2636">
      <w:pPr>
        <w:pStyle w:val="BodyText"/>
        <w:numPr>
          <w:ilvl w:val="4"/>
          <w:numId w:val="1"/>
        </w:numPr>
        <w:spacing w:after="163"/>
        <w:rPr>
          <w:rFonts w:eastAsia="楷体" w:cs="Arial"/>
        </w:rPr>
      </w:pPr>
      <w:r w:rsidRPr="00C90B50">
        <w:rPr>
          <w:rFonts w:eastAsia="楷体" w:cs="Arial" w:hint="eastAsia"/>
        </w:rPr>
        <w:t>据报道，新上任的欧盟委员会主席容克有望</w:t>
      </w:r>
      <w:r>
        <w:rPr>
          <w:rFonts w:eastAsia="楷体" w:cs="Arial" w:hint="eastAsia"/>
        </w:rPr>
        <w:t>于近期</w:t>
      </w:r>
      <w:r w:rsidRPr="00C90B50">
        <w:rPr>
          <w:rFonts w:eastAsia="楷体" w:cs="Arial" w:hint="eastAsia"/>
        </w:rPr>
        <w:t>宣布</w:t>
      </w:r>
      <w:r w:rsidRPr="00C90B50">
        <w:rPr>
          <w:rFonts w:eastAsia="楷体" w:cs="Arial"/>
        </w:rPr>
        <w:t>3000</w:t>
      </w:r>
      <w:r w:rsidRPr="00C90B50">
        <w:rPr>
          <w:rFonts w:eastAsia="楷体" w:cs="Arial" w:hint="eastAsia"/>
        </w:rPr>
        <w:t>亿欧元投资计划，主要投资于欧盟成员国的基础设施建设，以促进当前欧盟疲弱的经济增长势头。据悉，欧洲投资银行可能只会投入</w:t>
      </w:r>
      <w:r w:rsidRPr="00C90B50">
        <w:rPr>
          <w:rFonts w:eastAsia="楷体" w:cs="Arial"/>
        </w:rPr>
        <w:t>200</w:t>
      </w:r>
      <w:r w:rsidRPr="00C90B50">
        <w:rPr>
          <w:rFonts w:eastAsia="楷体" w:cs="Arial" w:hint="eastAsia"/>
        </w:rPr>
        <w:t>亿至</w:t>
      </w:r>
      <w:r w:rsidRPr="00C90B50">
        <w:rPr>
          <w:rFonts w:eastAsia="楷体" w:cs="Arial"/>
        </w:rPr>
        <w:t>300</w:t>
      </w:r>
      <w:r w:rsidRPr="00C90B50">
        <w:rPr>
          <w:rFonts w:eastAsia="楷体" w:cs="Arial" w:hint="eastAsia"/>
        </w:rPr>
        <w:t>亿欧元，其他资金将吸引私人资本共同投资基础设施。据估算，如果所有的资金都用于投资，将让欧盟国家在未来</w:t>
      </w:r>
      <w:r w:rsidRPr="00C90B50">
        <w:rPr>
          <w:rFonts w:eastAsia="楷体" w:cs="Arial"/>
        </w:rPr>
        <w:t>3</w:t>
      </w:r>
      <w:r w:rsidRPr="00C90B50">
        <w:rPr>
          <w:rFonts w:eastAsia="楷体" w:cs="Arial" w:hint="eastAsia"/>
        </w:rPr>
        <w:t>年每年实现额外</w:t>
      </w:r>
      <w:r w:rsidRPr="00C90B50">
        <w:rPr>
          <w:rFonts w:eastAsia="楷体" w:cs="Arial"/>
        </w:rPr>
        <w:t>0.7%</w:t>
      </w:r>
      <w:r w:rsidRPr="00C90B50">
        <w:rPr>
          <w:rFonts w:eastAsia="楷体" w:cs="Arial" w:hint="eastAsia"/>
        </w:rPr>
        <w:t>的经济增长。</w:t>
      </w:r>
    </w:p>
    <w:p w:rsidR="008F21B4" w:rsidRPr="000A2A98" w:rsidRDefault="008F21B4" w:rsidP="000A2A98">
      <w:pPr>
        <w:widowControl/>
        <w:spacing w:after="120"/>
        <w:ind w:left="3430"/>
        <w:rPr>
          <w:rFonts w:ascii="楷体" w:eastAsia="楷体" w:hAnsi="楷体"/>
          <w:b/>
          <w:bCs/>
          <w:color w:val="0070C0"/>
          <w:kern w:val="0"/>
          <w:szCs w:val="21"/>
          <w:lang w:val="en-GB"/>
        </w:rPr>
      </w:pPr>
      <w:r w:rsidRPr="000A2A98">
        <w:rPr>
          <w:rFonts w:ascii="楷体" w:eastAsia="楷体" w:hAnsi="楷体" w:hint="eastAsia"/>
          <w:b/>
          <w:bCs/>
          <w:color w:val="0070C0"/>
          <w:kern w:val="0"/>
          <w:szCs w:val="21"/>
          <w:lang w:val="en-GB"/>
        </w:rPr>
        <w:t>新兴市场：</w:t>
      </w:r>
      <w:r>
        <w:rPr>
          <w:rFonts w:ascii="楷体" w:eastAsia="楷体" w:hAnsi="楷体" w:hint="eastAsia"/>
          <w:b/>
          <w:bCs/>
          <w:color w:val="0070C0"/>
          <w:kern w:val="0"/>
          <w:szCs w:val="21"/>
          <w:lang w:val="en-GB"/>
        </w:rPr>
        <w:t>“沪港通”初试牛刀，有望驱动港股走强</w:t>
      </w:r>
    </w:p>
    <w:p w:rsidR="008F21B4" w:rsidRDefault="008F21B4" w:rsidP="003A2C9E">
      <w:pPr>
        <w:pStyle w:val="BodyText"/>
        <w:numPr>
          <w:ilvl w:val="4"/>
          <w:numId w:val="1"/>
        </w:numPr>
        <w:spacing w:after="163"/>
        <w:rPr>
          <w:rFonts w:eastAsia="楷体" w:cs="Arial"/>
        </w:rPr>
      </w:pPr>
      <w:r>
        <w:rPr>
          <w:rFonts w:eastAsia="楷体" w:cs="Arial" w:hint="eastAsia"/>
        </w:rPr>
        <w:t>在新兴经济体中，我们仍旧看好与中国市场关联紧密的港股市场。目前</w:t>
      </w:r>
      <w:r w:rsidRPr="004A120D">
        <w:rPr>
          <w:rFonts w:eastAsia="楷体" w:cs="Arial" w:hint="eastAsia"/>
        </w:rPr>
        <w:t>新兴经济体经济增速</w:t>
      </w:r>
      <w:r>
        <w:rPr>
          <w:rFonts w:eastAsia="楷体" w:cs="Arial" w:hint="eastAsia"/>
        </w:rPr>
        <w:t>多有放缓，且在</w:t>
      </w:r>
      <w:r w:rsidRPr="004A120D">
        <w:rPr>
          <w:rFonts w:eastAsia="楷体" w:cs="Arial" w:hint="eastAsia"/>
        </w:rPr>
        <w:t>全球需求低迷、美元强势</w:t>
      </w:r>
      <w:r>
        <w:rPr>
          <w:rFonts w:eastAsia="楷体" w:cs="Arial" w:hint="eastAsia"/>
        </w:rPr>
        <w:t>的</w:t>
      </w:r>
      <w:r w:rsidRPr="004A120D">
        <w:rPr>
          <w:rFonts w:eastAsia="楷体" w:cs="Arial" w:hint="eastAsia"/>
        </w:rPr>
        <w:t>背景下</w:t>
      </w:r>
      <w:r>
        <w:rPr>
          <w:rFonts w:eastAsia="楷体" w:cs="Arial" w:hint="eastAsia"/>
        </w:rPr>
        <w:t>中国经济持续存在下行压力，但</w:t>
      </w:r>
      <w:r w:rsidRPr="004A120D">
        <w:rPr>
          <w:rFonts w:eastAsia="楷体" w:cs="Arial"/>
        </w:rPr>
        <w:t>A</w:t>
      </w:r>
      <w:r w:rsidRPr="004A120D">
        <w:rPr>
          <w:rFonts w:eastAsia="楷体" w:cs="Arial" w:hint="eastAsia"/>
        </w:rPr>
        <w:t>股</w:t>
      </w:r>
      <w:r>
        <w:rPr>
          <w:rFonts w:eastAsia="楷体" w:cs="Arial" w:hint="eastAsia"/>
        </w:rPr>
        <w:t>在改革红利、无风险利率</w:t>
      </w:r>
      <w:r w:rsidRPr="00F218C0">
        <w:rPr>
          <w:rFonts w:eastAsia="楷体" w:cs="Arial" w:hint="eastAsia"/>
        </w:rPr>
        <w:t>下行</w:t>
      </w:r>
      <w:r>
        <w:rPr>
          <w:rFonts w:eastAsia="楷体" w:cs="Arial" w:hint="eastAsia"/>
        </w:rPr>
        <w:t>、</w:t>
      </w:r>
      <w:r w:rsidRPr="00F218C0">
        <w:rPr>
          <w:rFonts w:eastAsia="楷体" w:cs="Arial" w:hint="eastAsia"/>
        </w:rPr>
        <w:t>以沪港通为标志的境内外资本市场互联互通</w:t>
      </w:r>
      <w:r>
        <w:rPr>
          <w:rFonts w:eastAsia="楷体" w:cs="Arial" w:hint="eastAsia"/>
        </w:rPr>
        <w:t>等正面因素带动下，摆脱宏观经济放缓的影响，自</w:t>
      </w:r>
      <w:r>
        <w:rPr>
          <w:rFonts w:eastAsia="楷体" w:cs="Arial"/>
        </w:rPr>
        <w:t>7</w:t>
      </w:r>
      <w:r>
        <w:rPr>
          <w:rFonts w:eastAsia="楷体" w:cs="Arial" w:hint="eastAsia"/>
        </w:rPr>
        <w:t>月以来演绎了“独立”</w:t>
      </w:r>
      <w:r w:rsidRPr="004A120D">
        <w:rPr>
          <w:rFonts w:eastAsia="楷体" w:cs="Arial" w:hint="eastAsia"/>
        </w:rPr>
        <w:t>上扬</w:t>
      </w:r>
      <w:r>
        <w:rPr>
          <w:rFonts w:eastAsia="楷体" w:cs="Arial" w:hint="eastAsia"/>
        </w:rPr>
        <w:t>的中期</w:t>
      </w:r>
      <w:r w:rsidRPr="004A120D">
        <w:rPr>
          <w:rFonts w:eastAsia="楷体" w:cs="Arial" w:hint="eastAsia"/>
        </w:rPr>
        <w:t>行情，</w:t>
      </w:r>
      <w:r w:rsidRPr="005B3C1B">
        <w:rPr>
          <w:rFonts w:eastAsia="楷体" w:cs="Arial" w:hint="eastAsia"/>
        </w:rPr>
        <w:t>且有增量资金持续进入的态势。</w:t>
      </w:r>
      <w:r>
        <w:rPr>
          <w:rFonts w:eastAsia="楷体" w:cs="Arial" w:hint="eastAsia"/>
        </w:rPr>
        <w:t>随着中国政府出台更多推进改革执行的措施，</w:t>
      </w:r>
      <w:r w:rsidRPr="003A2C9E">
        <w:rPr>
          <w:rFonts w:eastAsia="楷体" w:cs="Arial" w:hint="eastAsia"/>
        </w:rPr>
        <w:t>港股市场</w:t>
      </w:r>
      <w:r>
        <w:rPr>
          <w:rFonts w:eastAsia="楷体" w:cs="Arial" w:hint="eastAsia"/>
        </w:rPr>
        <w:t>将</w:t>
      </w:r>
      <w:r w:rsidRPr="003A2C9E">
        <w:rPr>
          <w:rFonts w:eastAsia="楷体" w:cs="Arial" w:hint="eastAsia"/>
        </w:rPr>
        <w:t>受益于</w:t>
      </w:r>
      <w:r>
        <w:rPr>
          <w:rFonts w:eastAsia="楷体" w:cs="Arial" w:hint="eastAsia"/>
        </w:rPr>
        <w:t>政策活力从而</w:t>
      </w:r>
      <w:r w:rsidRPr="003A2C9E">
        <w:rPr>
          <w:rFonts w:eastAsia="楷体" w:cs="Arial" w:hint="eastAsia"/>
        </w:rPr>
        <w:t>释放增长潜力。</w:t>
      </w:r>
    </w:p>
    <w:p w:rsidR="008F21B4" w:rsidRDefault="008F21B4" w:rsidP="003A2C9E">
      <w:pPr>
        <w:pStyle w:val="BodyText"/>
        <w:numPr>
          <w:ilvl w:val="4"/>
          <w:numId w:val="1"/>
        </w:numPr>
        <w:spacing w:after="163"/>
        <w:rPr>
          <w:rFonts w:eastAsia="楷体" w:cs="Arial"/>
        </w:rPr>
      </w:pPr>
      <w:r>
        <w:rPr>
          <w:rFonts w:eastAsia="楷体" w:cs="Arial" w:hint="eastAsia"/>
        </w:rPr>
        <w:t>“</w:t>
      </w:r>
      <w:r w:rsidRPr="0061753C">
        <w:rPr>
          <w:rFonts w:eastAsia="楷体" w:cs="Arial" w:hint="eastAsia"/>
        </w:rPr>
        <w:t>沪港通</w:t>
      </w:r>
      <w:r>
        <w:rPr>
          <w:rFonts w:eastAsia="楷体" w:cs="Arial" w:hint="eastAsia"/>
        </w:rPr>
        <w:t>”</w:t>
      </w:r>
      <w:r w:rsidRPr="0061753C">
        <w:rPr>
          <w:rFonts w:eastAsia="楷体" w:cs="Arial" w:hint="eastAsia"/>
        </w:rPr>
        <w:t>推出第一周，</w:t>
      </w:r>
      <w:r>
        <w:rPr>
          <w:rFonts w:eastAsia="楷体" w:cs="Arial" w:hint="eastAsia"/>
        </w:rPr>
        <w:t>出现了阶段性“沪强港弱”的局面。由于目前内地市场慢牛起步，低估值股票</w:t>
      </w:r>
      <w:r w:rsidRPr="00F218C0">
        <w:rPr>
          <w:rFonts w:eastAsia="楷体" w:cs="Arial" w:hint="eastAsia"/>
        </w:rPr>
        <w:t>吸引</w:t>
      </w:r>
      <w:r>
        <w:rPr>
          <w:rFonts w:eastAsia="楷体" w:cs="Arial" w:hint="eastAsia"/>
        </w:rPr>
        <w:t>香港及境外市场资金转入，而香港方面由于</w:t>
      </w:r>
      <w:r w:rsidRPr="0061753C">
        <w:rPr>
          <w:rFonts w:eastAsia="楷体" w:cs="Arial" w:hint="eastAsia"/>
        </w:rPr>
        <w:t>内地设置</w:t>
      </w:r>
      <w:r>
        <w:rPr>
          <w:rFonts w:eastAsia="楷体" w:cs="Arial"/>
        </w:rPr>
        <w:t>50</w:t>
      </w:r>
      <w:r>
        <w:rPr>
          <w:rFonts w:eastAsia="楷体" w:cs="Arial" w:hint="eastAsia"/>
        </w:rPr>
        <w:t>万元</w:t>
      </w:r>
      <w:r w:rsidRPr="0061753C">
        <w:rPr>
          <w:rFonts w:eastAsia="楷体" w:cs="Arial" w:hint="eastAsia"/>
        </w:rPr>
        <w:t>投资门槛</w:t>
      </w:r>
      <w:r>
        <w:rPr>
          <w:rFonts w:eastAsia="楷体" w:cs="Arial" w:hint="eastAsia"/>
        </w:rPr>
        <w:t>阻挡多数“小散”</w:t>
      </w:r>
      <w:r w:rsidRPr="0061753C">
        <w:rPr>
          <w:rFonts w:eastAsia="楷体" w:cs="Arial" w:hint="eastAsia"/>
        </w:rPr>
        <w:t>，使得“南下”资金</w:t>
      </w:r>
      <w:r>
        <w:rPr>
          <w:rFonts w:eastAsia="楷体" w:cs="Arial" w:hint="eastAsia"/>
        </w:rPr>
        <w:t>使用额度低于预期，引发港股较大调整。不过，</w:t>
      </w:r>
      <w:r w:rsidRPr="0061753C">
        <w:rPr>
          <w:rFonts w:eastAsia="楷体" w:cs="Arial" w:hint="eastAsia"/>
        </w:rPr>
        <w:t>央行</w:t>
      </w:r>
      <w:r>
        <w:rPr>
          <w:rFonts w:eastAsia="楷体" w:cs="Arial" w:hint="eastAsia"/>
        </w:rPr>
        <w:t>此次</w:t>
      </w:r>
      <w:r w:rsidRPr="0061753C">
        <w:rPr>
          <w:rFonts w:eastAsia="楷体" w:cs="Arial" w:hint="eastAsia"/>
        </w:rPr>
        <w:t>降息</w:t>
      </w:r>
      <w:r>
        <w:rPr>
          <w:rFonts w:eastAsia="楷体" w:cs="Arial" w:hint="eastAsia"/>
        </w:rPr>
        <w:t>实现</w:t>
      </w:r>
      <w:r w:rsidRPr="0061753C">
        <w:rPr>
          <w:rFonts w:eastAsia="楷体" w:cs="Arial" w:hint="eastAsia"/>
        </w:rPr>
        <w:t>降低融资成本、催生增量资金入市，</w:t>
      </w:r>
      <w:r>
        <w:rPr>
          <w:rFonts w:eastAsia="楷体" w:cs="Arial" w:hint="eastAsia"/>
        </w:rPr>
        <w:t>有望推升</w:t>
      </w:r>
      <w:r w:rsidRPr="0061753C">
        <w:rPr>
          <w:rFonts w:eastAsia="楷体" w:cs="Arial"/>
        </w:rPr>
        <w:t>A</w:t>
      </w:r>
      <w:r w:rsidRPr="0061753C">
        <w:rPr>
          <w:rFonts w:eastAsia="楷体" w:cs="Arial" w:hint="eastAsia"/>
        </w:rPr>
        <w:t>、</w:t>
      </w:r>
      <w:r w:rsidRPr="0061753C">
        <w:rPr>
          <w:rFonts w:eastAsia="楷体" w:cs="Arial"/>
        </w:rPr>
        <w:t>H</w:t>
      </w:r>
      <w:r>
        <w:rPr>
          <w:rFonts w:eastAsia="楷体" w:cs="Arial" w:hint="eastAsia"/>
        </w:rPr>
        <w:t>股市场走势，从而结束“沪强港弱”、利好沪港通的推行。且若未来几年沪深股市转牛，必将</w:t>
      </w:r>
      <w:r w:rsidRPr="00F218C0">
        <w:rPr>
          <w:rFonts w:eastAsia="楷体" w:cs="Arial" w:hint="eastAsia"/>
        </w:rPr>
        <w:t>带动香港股市更加繁荣。</w:t>
      </w:r>
      <w:r>
        <w:rPr>
          <w:rFonts w:eastAsia="楷体" w:cs="Arial" w:hint="eastAsia"/>
        </w:rPr>
        <w:t>因此，港股</w:t>
      </w:r>
      <w:r w:rsidRPr="0061753C">
        <w:rPr>
          <w:rFonts w:eastAsia="楷体" w:cs="Arial"/>
        </w:rPr>
        <w:t>QDII</w:t>
      </w:r>
      <w:r>
        <w:rPr>
          <w:rFonts w:eastAsia="楷体" w:cs="Arial" w:hint="eastAsia"/>
        </w:rPr>
        <w:t>的未来走强依然值得期待。</w:t>
      </w:r>
    </w:p>
    <w:p w:rsidR="008F21B4" w:rsidRDefault="008F21B4" w:rsidP="00B6662B">
      <w:pPr>
        <w:pStyle w:val="BodyText"/>
        <w:numPr>
          <w:ilvl w:val="4"/>
          <w:numId w:val="1"/>
        </w:numPr>
        <w:spacing w:after="163"/>
        <w:rPr>
          <w:rFonts w:eastAsia="楷体" w:cs="Arial"/>
        </w:rPr>
      </w:pPr>
      <w:r>
        <w:rPr>
          <w:rFonts w:eastAsia="楷体" w:cs="Arial" w:hint="eastAsia"/>
        </w:rPr>
        <w:t>值得注意的是，</w:t>
      </w:r>
      <w:r w:rsidRPr="00864263">
        <w:rPr>
          <w:rFonts w:eastAsia="楷体" w:cs="Arial" w:hint="eastAsia"/>
        </w:rPr>
        <w:t>在美国经济持续复苏</w:t>
      </w:r>
      <w:r>
        <w:rPr>
          <w:rFonts w:eastAsia="楷体" w:cs="Arial" w:hint="eastAsia"/>
        </w:rPr>
        <w:t>支撑下</w:t>
      </w:r>
      <w:r w:rsidRPr="00864263">
        <w:rPr>
          <w:rFonts w:eastAsia="楷体" w:cs="Arial" w:hint="eastAsia"/>
        </w:rPr>
        <w:t>，美元资产对投资者的吸引力逐步增强，美元指数呈稳步上扬态势，恐将在流动性方面对新兴市场形成一定冲击。</w:t>
      </w:r>
      <w:r>
        <w:rPr>
          <w:rFonts w:eastAsia="楷体" w:cs="Arial" w:hint="eastAsia"/>
        </w:rPr>
        <w:t>在美联储</w:t>
      </w:r>
      <w:r w:rsidRPr="00864263">
        <w:rPr>
          <w:rFonts w:eastAsia="楷体" w:cs="Arial" w:hint="eastAsia"/>
        </w:rPr>
        <w:t>结束</w:t>
      </w:r>
      <w:r w:rsidRPr="00864263">
        <w:rPr>
          <w:rFonts w:eastAsia="楷体" w:cs="Arial"/>
        </w:rPr>
        <w:t>QE</w:t>
      </w:r>
      <w:r>
        <w:rPr>
          <w:rFonts w:eastAsia="楷体" w:cs="Arial" w:hint="eastAsia"/>
        </w:rPr>
        <w:t>、</w:t>
      </w:r>
      <w:r w:rsidRPr="00864263">
        <w:rPr>
          <w:rFonts w:eastAsia="楷体" w:cs="Arial" w:hint="eastAsia"/>
        </w:rPr>
        <w:t>走上</w:t>
      </w:r>
      <w:r>
        <w:rPr>
          <w:rFonts w:eastAsia="楷体" w:cs="Arial" w:hint="eastAsia"/>
        </w:rPr>
        <w:t>货币正常化</w:t>
      </w:r>
      <w:r w:rsidRPr="00864263">
        <w:rPr>
          <w:rFonts w:eastAsia="楷体" w:cs="Arial" w:hint="eastAsia"/>
        </w:rPr>
        <w:t>道路</w:t>
      </w:r>
      <w:r>
        <w:rPr>
          <w:rFonts w:eastAsia="楷体" w:cs="Arial" w:hint="eastAsia"/>
        </w:rPr>
        <w:t>之际</w:t>
      </w:r>
      <w:r w:rsidRPr="00864263">
        <w:rPr>
          <w:rFonts w:eastAsia="楷体" w:cs="Arial" w:hint="eastAsia"/>
        </w:rPr>
        <w:t>，投资者应警惕美元升值对于新兴市场风险溢价的不利影响。</w:t>
      </w:r>
    </w:p>
    <w:p w:rsidR="008F21B4" w:rsidRPr="00066C0B" w:rsidRDefault="008F21B4" w:rsidP="00066C0B">
      <w:pPr>
        <w:widowControl/>
        <w:spacing w:after="120"/>
        <w:ind w:left="3430"/>
        <w:rPr>
          <w:rFonts w:ascii="楷体" w:eastAsia="楷体" w:hAnsi="楷体"/>
          <w:b/>
          <w:bCs/>
          <w:color w:val="0070C0"/>
          <w:kern w:val="0"/>
          <w:szCs w:val="21"/>
          <w:lang w:val="en-GB"/>
        </w:rPr>
      </w:pPr>
      <w:r>
        <w:rPr>
          <w:rFonts w:ascii="楷体" w:eastAsia="楷体" w:hAnsi="楷体" w:hint="eastAsia"/>
          <w:b/>
          <w:bCs/>
          <w:color w:val="0070C0"/>
          <w:kern w:val="0"/>
          <w:szCs w:val="21"/>
          <w:lang w:val="en-GB"/>
        </w:rPr>
        <w:t>大宗商品：缺乏趋势性机会</w:t>
      </w:r>
    </w:p>
    <w:p w:rsidR="008F21B4" w:rsidRPr="00AD42C3" w:rsidRDefault="008F21B4" w:rsidP="00AD42C3">
      <w:pPr>
        <w:pStyle w:val="BodyText"/>
        <w:numPr>
          <w:ilvl w:val="4"/>
          <w:numId w:val="1"/>
        </w:numPr>
        <w:spacing w:after="163"/>
        <w:rPr>
          <w:rFonts w:eastAsia="楷体" w:cs="Arial"/>
        </w:rPr>
      </w:pPr>
      <w:r w:rsidRPr="00AD42C3">
        <w:rPr>
          <w:rFonts w:eastAsia="楷体" w:cs="Arial" w:hint="eastAsia"/>
        </w:rPr>
        <w:t>在全球经济温和复苏、</w:t>
      </w:r>
      <w:r>
        <w:rPr>
          <w:rFonts w:eastAsia="楷体" w:cs="Arial" w:hint="eastAsia"/>
        </w:rPr>
        <w:t>美元走强及通胀水平基本可控的背景</w:t>
      </w:r>
      <w:r w:rsidRPr="00AD42C3">
        <w:rPr>
          <w:rFonts w:eastAsia="楷体" w:cs="Arial" w:hint="eastAsia"/>
        </w:rPr>
        <w:t>下，支撑</w:t>
      </w:r>
      <w:r>
        <w:rPr>
          <w:rFonts w:eastAsia="楷体" w:cs="Arial" w:hint="eastAsia"/>
        </w:rPr>
        <w:t>能源及贵金属价格的长期动力不足，故此类</w:t>
      </w:r>
      <w:r>
        <w:rPr>
          <w:rFonts w:eastAsia="楷体" w:cs="Arial"/>
        </w:rPr>
        <w:t>QDII</w:t>
      </w:r>
      <w:r w:rsidRPr="00AD42C3">
        <w:rPr>
          <w:rFonts w:eastAsia="楷体" w:cs="Arial" w:hint="eastAsia"/>
        </w:rPr>
        <w:t>难有趋势性机会。原油在跌破</w:t>
      </w:r>
      <w:r w:rsidRPr="00AD42C3">
        <w:rPr>
          <w:rFonts w:eastAsia="楷体" w:cs="Arial"/>
        </w:rPr>
        <w:t>80</w:t>
      </w:r>
      <w:r w:rsidRPr="00AD42C3">
        <w:rPr>
          <w:rFonts w:eastAsia="楷体" w:cs="Arial" w:hint="eastAsia"/>
        </w:rPr>
        <w:t>美元之后仍</w:t>
      </w:r>
      <w:r>
        <w:rPr>
          <w:rFonts w:eastAsia="楷体" w:cs="Arial" w:hint="eastAsia"/>
        </w:rPr>
        <w:t>难现好转，存在</w:t>
      </w:r>
      <w:r w:rsidRPr="00AD42C3">
        <w:rPr>
          <w:rFonts w:eastAsia="楷体" w:cs="Arial" w:hint="eastAsia"/>
        </w:rPr>
        <w:t>需求萎缩、美元强势、政治打压等</w:t>
      </w:r>
      <w:r>
        <w:rPr>
          <w:rFonts w:eastAsia="楷体" w:cs="Arial" w:hint="eastAsia"/>
        </w:rPr>
        <w:t>多重因素抑制。黄金作为通胀避险工具，在美元强势格局下可谓</w:t>
      </w:r>
      <w:r w:rsidRPr="00AD42C3">
        <w:rPr>
          <w:rFonts w:eastAsia="楷体" w:cs="Arial" w:hint="eastAsia"/>
        </w:rPr>
        <w:t>长期利空</w:t>
      </w:r>
      <w:r>
        <w:rPr>
          <w:rFonts w:eastAsia="楷体" w:cs="Arial" w:hint="eastAsia"/>
        </w:rPr>
        <w:t>。</w:t>
      </w:r>
    </w:p>
    <w:p w:rsidR="008F21B4" w:rsidRPr="00FC54FE" w:rsidRDefault="008F21B4" w:rsidP="00A70401">
      <w:pPr>
        <w:widowControl/>
        <w:spacing w:after="120" w:line="240" w:lineRule="exact"/>
        <w:ind w:left="3430"/>
        <w:rPr>
          <w:rFonts w:ascii="楷体" w:eastAsia="楷体" w:hAnsi="楷体"/>
          <w:b/>
          <w:bCs/>
          <w:color w:val="0070C0"/>
          <w:kern w:val="0"/>
          <w:sz w:val="24"/>
          <w:szCs w:val="20"/>
          <w:lang w:val="en-GB"/>
        </w:rPr>
      </w:pPr>
      <w:r w:rsidRPr="00085288">
        <w:rPr>
          <w:rFonts w:ascii="Arial" w:eastAsia="楷体" w:hAnsi="Arial" w:cs="Arial"/>
          <w:b/>
          <w:bCs/>
          <w:color w:val="0070C0"/>
          <w:kern w:val="0"/>
          <w:sz w:val="24"/>
          <w:szCs w:val="20"/>
          <w:lang w:val="en-GB"/>
        </w:rPr>
        <w:t>12</w:t>
      </w:r>
      <w:r w:rsidRPr="00085288">
        <w:rPr>
          <w:rFonts w:ascii="Arial" w:eastAsia="楷体" w:hAnsi="楷体" w:cs="Arial" w:hint="eastAsia"/>
          <w:b/>
          <w:bCs/>
          <w:color w:val="0070C0"/>
          <w:kern w:val="0"/>
          <w:sz w:val="24"/>
          <w:szCs w:val="20"/>
          <w:lang w:val="en-GB"/>
        </w:rPr>
        <w:t>月</w:t>
      </w:r>
      <w:r w:rsidRPr="00085288">
        <w:rPr>
          <w:rFonts w:ascii="Arial" w:eastAsia="楷体" w:hAnsi="Arial" w:cs="Arial"/>
          <w:b/>
          <w:bCs/>
          <w:color w:val="0070C0"/>
          <w:kern w:val="0"/>
          <w:sz w:val="24"/>
          <w:szCs w:val="20"/>
          <w:lang w:val="en-GB"/>
        </w:rPr>
        <w:t>QDII</w:t>
      </w:r>
      <w:r w:rsidRPr="00FC54FE">
        <w:rPr>
          <w:rFonts w:ascii="楷体" w:eastAsia="楷体" w:hAnsi="楷体" w:hint="eastAsia"/>
          <w:b/>
          <w:bCs/>
          <w:color w:val="0070C0"/>
          <w:kern w:val="0"/>
          <w:sz w:val="24"/>
          <w:szCs w:val="20"/>
          <w:lang w:val="en-GB"/>
        </w:rPr>
        <w:t>投资</w:t>
      </w:r>
      <w:r>
        <w:rPr>
          <w:rFonts w:ascii="楷体" w:eastAsia="楷体" w:hAnsi="楷体" w:hint="eastAsia"/>
          <w:b/>
          <w:bCs/>
          <w:color w:val="0070C0"/>
          <w:kern w:val="0"/>
          <w:sz w:val="24"/>
          <w:szCs w:val="20"/>
          <w:lang w:val="en-GB"/>
        </w:rPr>
        <w:t>策略</w:t>
      </w:r>
      <w:r w:rsidRPr="00FC54FE">
        <w:rPr>
          <w:rFonts w:ascii="楷体" w:eastAsia="楷体" w:hAnsi="楷体" w:hint="eastAsia"/>
          <w:b/>
          <w:bCs/>
          <w:color w:val="0070C0"/>
          <w:kern w:val="0"/>
          <w:sz w:val="24"/>
          <w:szCs w:val="20"/>
          <w:lang w:val="en-GB"/>
        </w:rPr>
        <w:t>：</w:t>
      </w:r>
      <w:r>
        <w:rPr>
          <w:rFonts w:ascii="楷体" w:eastAsia="楷体" w:hAnsi="楷体" w:hint="eastAsia"/>
          <w:b/>
          <w:bCs/>
          <w:color w:val="0070C0"/>
          <w:kern w:val="0"/>
          <w:sz w:val="24"/>
          <w:szCs w:val="20"/>
          <w:lang w:val="en-GB"/>
        </w:rPr>
        <w:t>“美港双核心”</w:t>
      </w:r>
    </w:p>
    <w:p w:rsidR="008F21B4" w:rsidRDefault="008F21B4" w:rsidP="00253DAE">
      <w:pPr>
        <w:pStyle w:val="BodyText"/>
        <w:numPr>
          <w:ilvl w:val="4"/>
          <w:numId w:val="1"/>
        </w:numPr>
        <w:spacing w:after="163"/>
        <w:rPr>
          <w:rFonts w:eastAsia="楷体" w:cs="Arial"/>
        </w:rPr>
      </w:pPr>
      <w:r w:rsidRPr="00E21F26">
        <w:rPr>
          <w:rFonts w:eastAsia="楷体" w:cs="Arial" w:hint="eastAsia"/>
        </w:rPr>
        <w:t>美国经济复苏前景明朗、</w:t>
      </w:r>
      <w:r>
        <w:rPr>
          <w:rFonts w:eastAsia="楷体" w:cs="Arial" w:hint="eastAsia"/>
        </w:rPr>
        <w:t>维持</w:t>
      </w:r>
      <w:r w:rsidRPr="00864263">
        <w:rPr>
          <w:rFonts w:eastAsia="楷体" w:cs="Arial" w:hint="eastAsia"/>
        </w:rPr>
        <w:t>超低政策利率</w:t>
      </w:r>
      <w:r>
        <w:rPr>
          <w:rFonts w:eastAsia="楷体" w:cs="Arial" w:hint="eastAsia"/>
        </w:rPr>
        <w:t>、</w:t>
      </w:r>
      <w:r w:rsidRPr="00E21F26">
        <w:rPr>
          <w:rFonts w:eastAsia="楷体" w:cs="Arial" w:hint="eastAsia"/>
        </w:rPr>
        <w:t>企业盈利好转等基本面利好继续支持股市走强，</w:t>
      </w:r>
      <w:r>
        <w:rPr>
          <w:rFonts w:eastAsia="楷体" w:cs="Arial" w:hint="eastAsia"/>
        </w:rPr>
        <w:t>其中</w:t>
      </w:r>
      <w:r w:rsidRPr="00E21F26">
        <w:rPr>
          <w:rFonts w:eastAsia="楷体" w:cs="Arial" w:hint="eastAsia"/>
        </w:rPr>
        <w:t>值得重点关注的</w:t>
      </w:r>
      <w:r>
        <w:rPr>
          <w:rFonts w:eastAsia="楷体" w:cs="Arial" w:hint="eastAsia"/>
        </w:rPr>
        <w:t>包括</w:t>
      </w:r>
      <w:r w:rsidRPr="00E21F26">
        <w:rPr>
          <w:rFonts w:eastAsia="楷体" w:cs="Arial" w:hint="eastAsia"/>
        </w:rPr>
        <w:t>有盈利支撑的中小盘</w:t>
      </w:r>
      <w:r>
        <w:rPr>
          <w:rFonts w:eastAsia="楷体" w:cs="Arial" w:hint="eastAsia"/>
        </w:rPr>
        <w:t>成长股、受益于新技术变革的科技股，以及复苏较为明确的房地产板块。</w:t>
      </w:r>
      <w:r w:rsidRPr="00E21F26">
        <w:rPr>
          <w:rFonts w:eastAsia="楷体" w:cs="Arial" w:hint="eastAsia"/>
        </w:rPr>
        <w:t>具体</w:t>
      </w:r>
      <w:r>
        <w:rPr>
          <w:rFonts w:eastAsia="楷体" w:cs="Arial" w:hint="eastAsia"/>
        </w:rPr>
        <w:t>受益品种</w:t>
      </w:r>
      <w:r w:rsidRPr="00E21F26">
        <w:rPr>
          <w:rFonts w:eastAsia="楷体" w:cs="Arial" w:hint="eastAsia"/>
        </w:rPr>
        <w:t>包括跟踪纳斯达克</w:t>
      </w:r>
      <w:r w:rsidRPr="00E21F26">
        <w:rPr>
          <w:rFonts w:eastAsia="楷体" w:cs="Arial"/>
        </w:rPr>
        <w:t>100</w:t>
      </w:r>
      <w:r w:rsidRPr="00E21F26">
        <w:rPr>
          <w:rFonts w:eastAsia="楷体" w:cs="Arial" w:hint="eastAsia"/>
        </w:rPr>
        <w:t>指数及标普</w:t>
      </w:r>
      <w:r w:rsidRPr="00E21F26">
        <w:rPr>
          <w:rFonts w:eastAsia="楷体" w:cs="Arial"/>
        </w:rPr>
        <w:t>500</w:t>
      </w:r>
      <w:r w:rsidRPr="00E21F26">
        <w:rPr>
          <w:rFonts w:eastAsia="楷体" w:cs="Arial" w:hint="eastAsia"/>
        </w:rPr>
        <w:t>指数的基金、投资美国房地产的基金。</w:t>
      </w:r>
      <w:r>
        <w:rPr>
          <w:rFonts w:eastAsia="楷体" w:cs="Arial" w:hint="eastAsia"/>
        </w:rPr>
        <w:t>综上，</w:t>
      </w:r>
      <w:r w:rsidRPr="00864263">
        <w:rPr>
          <w:rFonts w:eastAsia="楷体" w:cs="Arial" w:hint="eastAsia"/>
        </w:rPr>
        <w:t>凯石工场</w:t>
      </w:r>
      <w:r>
        <w:rPr>
          <w:rFonts w:eastAsia="楷体" w:cs="Arial" w:hint="eastAsia"/>
        </w:rPr>
        <w:t>建议</w:t>
      </w:r>
      <w:r>
        <w:rPr>
          <w:rFonts w:eastAsia="楷体" w:cs="Arial"/>
        </w:rPr>
        <w:t>12</w:t>
      </w:r>
      <w:r>
        <w:rPr>
          <w:rFonts w:eastAsia="楷体" w:cs="Arial" w:hint="eastAsia"/>
        </w:rPr>
        <w:t>月份维持“美股美房”在</w:t>
      </w:r>
      <w:r w:rsidRPr="00864263">
        <w:rPr>
          <w:rFonts w:eastAsia="楷体" w:cs="Arial"/>
        </w:rPr>
        <w:t>QDII</w:t>
      </w:r>
      <w:r>
        <w:rPr>
          <w:rFonts w:eastAsia="楷体" w:cs="Arial" w:hint="eastAsia"/>
        </w:rPr>
        <w:t>基金组合中的核心位置</w:t>
      </w:r>
      <w:r w:rsidRPr="00E21F26">
        <w:rPr>
          <w:rFonts w:eastAsia="楷体" w:cs="Arial" w:hint="eastAsia"/>
        </w:rPr>
        <w:t>。</w:t>
      </w:r>
    </w:p>
    <w:p w:rsidR="008F21B4" w:rsidRDefault="008F21B4" w:rsidP="00253DAE">
      <w:pPr>
        <w:pStyle w:val="BodyText"/>
        <w:numPr>
          <w:ilvl w:val="4"/>
          <w:numId w:val="1"/>
        </w:numPr>
        <w:spacing w:after="163"/>
        <w:rPr>
          <w:rFonts w:eastAsia="楷体" w:cs="Arial"/>
        </w:rPr>
      </w:pPr>
      <w:r>
        <w:rPr>
          <w:rFonts w:eastAsia="楷体" w:cs="Arial" w:hint="eastAsia"/>
        </w:rPr>
        <w:t>同时，我们继续看好港股在未来的表现。</w:t>
      </w:r>
      <w:r w:rsidRPr="0061753C">
        <w:rPr>
          <w:rFonts w:eastAsia="楷体" w:cs="Arial" w:hint="eastAsia"/>
        </w:rPr>
        <w:t>沪港通推出第一周，由于内地设置</w:t>
      </w:r>
      <w:r>
        <w:rPr>
          <w:rFonts w:eastAsia="楷体" w:cs="Arial"/>
        </w:rPr>
        <w:t>50</w:t>
      </w:r>
      <w:r>
        <w:rPr>
          <w:rFonts w:eastAsia="楷体" w:cs="Arial" w:hint="eastAsia"/>
        </w:rPr>
        <w:t>万的</w:t>
      </w:r>
      <w:r w:rsidRPr="0061753C">
        <w:rPr>
          <w:rFonts w:eastAsia="楷体" w:cs="Arial" w:hint="eastAsia"/>
        </w:rPr>
        <w:t>投资门槛</w:t>
      </w:r>
      <w:r>
        <w:rPr>
          <w:rFonts w:eastAsia="楷体" w:cs="Arial" w:hint="eastAsia"/>
        </w:rPr>
        <w:t>而参与者又多为“小散”</w:t>
      </w:r>
      <w:r w:rsidRPr="0061753C">
        <w:rPr>
          <w:rFonts w:eastAsia="楷体" w:cs="Arial" w:hint="eastAsia"/>
        </w:rPr>
        <w:t>，使得“南下”资金</w:t>
      </w:r>
      <w:r>
        <w:rPr>
          <w:rFonts w:eastAsia="楷体" w:cs="Arial" w:hint="eastAsia"/>
        </w:rPr>
        <w:t>使用额度低于预期，一度引发港股较大调整。不过，</w:t>
      </w:r>
      <w:r w:rsidRPr="0061753C">
        <w:rPr>
          <w:rFonts w:eastAsia="楷体" w:cs="Arial" w:hint="eastAsia"/>
        </w:rPr>
        <w:t>央行</w:t>
      </w:r>
      <w:r>
        <w:rPr>
          <w:rFonts w:eastAsia="楷体" w:cs="Arial" w:hint="eastAsia"/>
        </w:rPr>
        <w:t>此次</w:t>
      </w:r>
      <w:r w:rsidRPr="0061753C">
        <w:rPr>
          <w:rFonts w:eastAsia="楷体" w:cs="Arial" w:hint="eastAsia"/>
        </w:rPr>
        <w:t>降息</w:t>
      </w:r>
      <w:r>
        <w:rPr>
          <w:rFonts w:eastAsia="楷体" w:cs="Arial" w:hint="eastAsia"/>
        </w:rPr>
        <w:t>实现</w:t>
      </w:r>
      <w:r w:rsidRPr="0061753C">
        <w:rPr>
          <w:rFonts w:eastAsia="楷体" w:cs="Arial" w:hint="eastAsia"/>
        </w:rPr>
        <w:t>降低融资成本、催生增量资金入市，</w:t>
      </w:r>
      <w:r>
        <w:rPr>
          <w:rFonts w:eastAsia="楷体" w:cs="Arial" w:hint="eastAsia"/>
        </w:rPr>
        <w:t>有望推升</w:t>
      </w:r>
      <w:r w:rsidRPr="0061753C">
        <w:rPr>
          <w:rFonts w:eastAsia="楷体" w:cs="Arial"/>
        </w:rPr>
        <w:t>A</w:t>
      </w:r>
      <w:r w:rsidRPr="0061753C">
        <w:rPr>
          <w:rFonts w:eastAsia="楷体" w:cs="Arial" w:hint="eastAsia"/>
        </w:rPr>
        <w:t>、</w:t>
      </w:r>
      <w:r w:rsidRPr="0061753C">
        <w:rPr>
          <w:rFonts w:eastAsia="楷体" w:cs="Arial"/>
        </w:rPr>
        <w:t>H</w:t>
      </w:r>
      <w:r>
        <w:rPr>
          <w:rFonts w:eastAsia="楷体" w:cs="Arial" w:hint="eastAsia"/>
        </w:rPr>
        <w:t>股市场走势、利好沪港通的推行。且若未来几年沪深股市转牛，必将</w:t>
      </w:r>
      <w:r w:rsidRPr="00F218C0">
        <w:rPr>
          <w:rFonts w:eastAsia="楷体" w:cs="Arial" w:hint="eastAsia"/>
        </w:rPr>
        <w:t>带动香港股市更加繁荣。</w:t>
      </w:r>
      <w:r>
        <w:rPr>
          <w:rFonts w:eastAsia="楷体" w:cs="Arial" w:hint="eastAsia"/>
        </w:rPr>
        <w:t>因此港股</w:t>
      </w:r>
      <w:r w:rsidRPr="0061753C">
        <w:rPr>
          <w:rFonts w:eastAsia="楷体" w:cs="Arial"/>
        </w:rPr>
        <w:t>QDII</w:t>
      </w:r>
      <w:r>
        <w:rPr>
          <w:rFonts w:eastAsia="楷体" w:cs="Arial" w:hint="eastAsia"/>
        </w:rPr>
        <w:t>的未来走势依然大有可期。</w:t>
      </w:r>
    </w:p>
    <w:p w:rsidR="008F21B4" w:rsidRPr="00636233" w:rsidRDefault="008F21B4" w:rsidP="00636233">
      <w:pPr>
        <w:pStyle w:val="BodyText"/>
        <w:numPr>
          <w:ilvl w:val="4"/>
          <w:numId w:val="1"/>
        </w:numPr>
        <w:spacing w:after="163"/>
        <w:rPr>
          <w:rFonts w:eastAsia="楷体" w:hAnsi="楷体" w:cs="Arial"/>
        </w:rPr>
      </w:pPr>
      <w:r w:rsidRPr="00636233">
        <w:rPr>
          <w:rFonts w:eastAsia="楷体" w:hAnsi="楷体" w:cs="Arial" w:hint="eastAsia"/>
        </w:rPr>
        <w:t>综上，</w:t>
      </w:r>
      <w:r>
        <w:rPr>
          <w:rFonts w:eastAsia="楷体" w:hAnsi="楷体" w:cs="Arial" w:hint="eastAsia"/>
        </w:rPr>
        <w:t>凯石工场建议</w:t>
      </w:r>
      <w:r>
        <w:rPr>
          <w:rFonts w:eastAsia="楷体" w:hAnsi="楷体" w:cs="Arial"/>
        </w:rPr>
        <w:t>12</w:t>
      </w:r>
      <w:r>
        <w:rPr>
          <w:rFonts w:eastAsia="楷体" w:hAnsi="楷体" w:cs="Arial" w:hint="eastAsia"/>
        </w:rPr>
        <w:t>月份</w:t>
      </w:r>
      <w:r w:rsidRPr="00636233">
        <w:rPr>
          <w:rFonts w:eastAsia="楷体" w:hAnsi="楷体" w:cs="Arial"/>
        </w:rPr>
        <w:t>QDII</w:t>
      </w:r>
      <w:r>
        <w:rPr>
          <w:rFonts w:eastAsia="楷体" w:hAnsi="楷体" w:cs="Arial" w:hint="eastAsia"/>
        </w:rPr>
        <w:t>投资延续“美股港股双核心”的策略，基金组合包括</w:t>
      </w:r>
      <w:r w:rsidRPr="00636233">
        <w:rPr>
          <w:rFonts w:eastAsia="楷体" w:hAnsi="楷体" w:cs="Arial" w:hint="eastAsia"/>
        </w:rPr>
        <w:t>美股指数基金、投资美国房地产行业股票及</w:t>
      </w:r>
      <w:r w:rsidRPr="00636233">
        <w:rPr>
          <w:rFonts w:eastAsia="楷体" w:hAnsi="楷体" w:cs="Arial"/>
        </w:rPr>
        <w:t>REITs</w:t>
      </w:r>
      <w:r>
        <w:rPr>
          <w:rFonts w:eastAsia="楷体" w:hAnsi="楷体" w:cs="Arial" w:hint="eastAsia"/>
        </w:rPr>
        <w:t>基金、以港股为代表的新兴市场基金</w:t>
      </w:r>
      <w:r w:rsidRPr="00636233">
        <w:rPr>
          <w:rFonts w:eastAsia="楷体" w:hAnsi="楷体" w:cs="Arial" w:hint="eastAsia"/>
        </w:rPr>
        <w:t>，从而</w:t>
      </w:r>
      <w:r>
        <w:rPr>
          <w:rFonts w:eastAsia="楷体" w:hAnsi="楷体" w:cs="Arial" w:hint="eastAsia"/>
        </w:rPr>
        <w:t>在分散区域</w:t>
      </w:r>
      <w:r w:rsidRPr="00636233">
        <w:rPr>
          <w:rFonts w:eastAsia="楷体" w:hAnsi="楷体" w:cs="Arial" w:hint="eastAsia"/>
        </w:rPr>
        <w:t>风险</w:t>
      </w:r>
      <w:r>
        <w:rPr>
          <w:rFonts w:eastAsia="楷体" w:hAnsi="楷体" w:cs="Arial" w:hint="eastAsia"/>
        </w:rPr>
        <w:t>的同时</w:t>
      </w:r>
      <w:r>
        <w:rPr>
          <w:rFonts w:eastAsia="楷体" w:cs="Arial" w:hint="eastAsia"/>
        </w:rPr>
        <w:t>有效把握住阶段行情。</w:t>
      </w:r>
      <w:r w:rsidRPr="00636233">
        <w:rPr>
          <w:rFonts w:eastAsia="楷体" w:hAnsi="楷体" w:cs="Arial" w:hint="eastAsia"/>
        </w:rPr>
        <w:t>具体产品推荐国泰纳斯达克</w:t>
      </w:r>
      <w:r w:rsidRPr="00636233">
        <w:rPr>
          <w:rFonts w:eastAsia="楷体" w:hAnsi="楷体" w:cs="Arial"/>
        </w:rPr>
        <w:t>100</w:t>
      </w:r>
      <w:r>
        <w:rPr>
          <w:rFonts w:eastAsia="楷体" w:hAnsi="楷体" w:cs="Arial" w:hint="eastAsia"/>
        </w:rPr>
        <w:t>指数基金</w:t>
      </w:r>
      <w:r w:rsidRPr="00636233">
        <w:rPr>
          <w:rFonts w:eastAsia="楷体" w:hAnsi="楷体" w:cs="Arial" w:hint="eastAsia"/>
        </w:rPr>
        <w:t>、大成标普</w:t>
      </w:r>
      <w:r w:rsidRPr="00636233">
        <w:rPr>
          <w:rFonts w:eastAsia="楷体" w:hAnsi="楷体" w:cs="Arial"/>
        </w:rPr>
        <w:t>500</w:t>
      </w:r>
      <w:r w:rsidRPr="00636233">
        <w:rPr>
          <w:rFonts w:eastAsia="楷体" w:hAnsi="楷体" w:cs="Arial" w:hint="eastAsia"/>
        </w:rPr>
        <w:t>等权重指数基金、鹏华</w:t>
      </w:r>
      <w:r>
        <w:rPr>
          <w:rFonts w:eastAsia="楷体" w:hAnsi="楷体" w:cs="Arial" w:hint="eastAsia"/>
        </w:rPr>
        <w:t>美国房地产基金、富国中国中小盘、</w:t>
      </w:r>
      <w:r w:rsidRPr="005F5997">
        <w:rPr>
          <w:rFonts w:eastAsia="楷体" w:hAnsi="楷体" w:cs="Arial" w:hint="eastAsia"/>
        </w:rPr>
        <w:t>华夏恒生</w:t>
      </w:r>
      <w:r w:rsidRPr="005F5997">
        <w:rPr>
          <w:rFonts w:eastAsia="楷体" w:hAnsi="楷体" w:cs="Arial"/>
        </w:rPr>
        <w:t>ETF</w:t>
      </w:r>
      <w:r>
        <w:rPr>
          <w:rFonts w:eastAsia="楷体" w:hAnsi="楷体" w:cs="Arial" w:hint="eastAsia"/>
        </w:rPr>
        <w:t>基金、嘉实恒生中国企业基金、博时大中华亚太精选基金</w:t>
      </w:r>
      <w:r w:rsidRPr="00636233">
        <w:rPr>
          <w:rFonts w:eastAsia="楷体" w:hAnsi="楷体" w:cs="Arial" w:hint="eastAsia"/>
        </w:rPr>
        <w:t>。</w:t>
      </w:r>
    </w:p>
    <w:p w:rsidR="008F21B4" w:rsidRPr="00FC54FE" w:rsidRDefault="008F21B4" w:rsidP="00A70401">
      <w:pPr>
        <w:widowControl/>
        <w:spacing w:after="120" w:line="240" w:lineRule="exact"/>
        <w:ind w:left="3430"/>
        <w:rPr>
          <w:rFonts w:ascii="楷体" w:eastAsia="楷体" w:hAnsi="楷体"/>
          <w:b/>
          <w:bCs/>
          <w:color w:val="0070C0"/>
          <w:kern w:val="0"/>
          <w:sz w:val="24"/>
          <w:szCs w:val="20"/>
          <w:lang w:val="en-GB"/>
        </w:rPr>
      </w:pPr>
      <w:r w:rsidRPr="00FC54FE">
        <w:rPr>
          <w:rFonts w:ascii="楷体" w:eastAsia="楷体" w:hAnsi="楷体" w:hint="eastAsia"/>
          <w:b/>
          <w:bCs/>
          <w:color w:val="0070C0"/>
          <w:kern w:val="0"/>
          <w:sz w:val="24"/>
          <w:szCs w:val="20"/>
          <w:lang w:val="en-GB"/>
        </w:rPr>
        <w:t>牛基推荐：国泰纳斯达克</w:t>
      </w:r>
      <w:r w:rsidRPr="00FC54FE">
        <w:rPr>
          <w:rFonts w:ascii="楷体" w:eastAsia="楷体" w:hAnsi="楷体"/>
          <w:b/>
          <w:bCs/>
          <w:color w:val="0070C0"/>
          <w:kern w:val="0"/>
          <w:sz w:val="24"/>
          <w:szCs w:val="20"/>
          <w:lang w:val="en-GB"/>
        </w:rPr>
        <w:t>100</w:t>
      </w:r>
      <w:r>
        <w:rPr>
          <w:rFonts w:ascii="楷体" w:eastAsia="楷体" w:hAnsi="楷体" w:hint="eastAsia"/>
          <w:b/>
          <w:bCs/>
          <w:color w:val="0070C0"/>
          <w:kern w:val="0"/>
          <w:sz w:val="24"/>
          <w:szCs w:val="20"/>
          <w:lang w:val="en-GB"/>
        </w:rPr>
        <w:t>指数基金</w:t>
      </w:r>
      <w:r w:rsidRPr="00FC54FE">
        <w:rPr>
          <w:rFonts w:ascii="楷体" w:eastAsia="楷体" w:hAnsi="楷体" w:hint="eastAsia"/>
          <w:b/>
          <w:bCs/>
          <w:color w:val="0070C0"/>
          <w:kern w:val="0"/>
          <w:sz w:val="24"/>
          <w:szCs w:val="20"/>
          <w:lang w:val="en-GB"/>
        </w:rPr>
        <w:t>、</w:t>
      </w:r>
      <w:r w:rsidRPr="00B16D31">
        <w:rPr>
          <w:rFonts w:ascii="楷体" w:eastAsia="楷体" w:hAnsi="楷体" w:hint="eastAsia"/>
          <w:b/>
          <w:bCs/>
          <w:color w:val="0070C0"/>
          <w:kern w:val="0"/>
          <w:sz w:val="24"/>
          <w:szCs w:val="20"/>
          <w:lang w:val="en-GB"/>
        </w:rPr>
        <w:t>大成标普</w:t>
      </w:r>
      <w:r w:rsidRPr="00B16D31">
        <w:rPr>
          <w:rFonts w:ascii="楷体" w:eastAsia="楷体" w:hAnsi="楷体"/>
          <w:b/>
          <w:bCs/>
          <w:color w:val="0070C0"/>
          <w:kern w:val="0"/>
          <w:sz w:val="24"/>
          <w:szCs w:val="20"/>
          <w:lang w:val="en-GB"/>
        </w:rPr>
        <w:t>500</w:t>
      </w:r>
      <w:r w:rsidRPr="00B16D31">
        <w:rPr>
          <w:rFonts w:ascii="楷体" w:eastAsia="楷体" w:hAnsi="楷体" w:hint="eastAsia"/>
          <w:b/>
          <w:bCs/>
          <w:color w:val="0070C0"/>
          <w:kern w:val="0"/>
          <w:sz w:val="24"/>
          <w:szCs w:val="20"/>
          <w:lang w:val="en-GB"/>
        </w:rPr>
        <w:t>等权重指数基金</w:t>
      </w:r>
      <w:r>
        <w:rPr>
          <w:rFonts w:ascii="楷体" w:eastAsia="楷体" w:hAnsi="楷体" w:hint="eastAsia"/>
          <w:b/>
          <w:bCs/>
          <w:color w:val="0070C0"/>
          <w:kern w:val="0"/>
          <w:sz w:val="24"/>
          <w:szCs w:val="20"/>
          <w:lang w:val="en-GB"/>
        </w:rPr>
        <w:t>、</w:t>
      </w:r>
      <w:r w:rsidRPr="00680A06">
        <w:rPr>
          <w:rFonts w:ascii="楷体" w:eastAsia="楷体" w:hAnsi="楷体" w:hint="eastAsia"/>
          <w:b/>
          <w:bCs/>
          <w:color w:val="0070C0"/>
          <w:kern w:val="0"/>
          <w:sz w:val="24"/>
          <w:szCs w:val="20"/>
          <w:lang w:val="en-GB"/>
        </w:rPr>
        <w:t>鹏华</w:t>
      </w:r>
      <w:r>
        <w:rPr>
          <w:rFonts w:ascii="楷体" w:eastAsia="楷体" w:hAnsi="楷体" w:hint="eastAsia"/>
          <w:b/>
          <w:bCs/>
          <w:color w:val="0070C0"/>
          <w:kern w:val="0"/>
          <w:sz w:val="24"/>
          <w:szCs w:val="20"/>
          <w:lang w:val="en-GB"/>
        </w:rPr>
        <w:t>美国</w:t>
      </w:r>
      <w:r w:rsidRPr="00680A06">
        <w:rPr>
          <w:rFonts w:ascii="楷体" w:eastAsia="楷体" w:hAnsi="楷体" w:hint="eastAsia"/>
          <w:b/>
          <w:bCs/>
          <w:color w:val="0070C0"/>
          <w:kern w:val="0"/>
          <w:sz w:val="24"/>
          <w:szCs w:val="20"/>
          <w:lang w:val="en-GB"/>
        </w:rPr>
        <w:t>房地产基金</w:t>
      </w:r>
      <w:r>
        <w:rPr>
          <w:rFonts w:ascii="楷体" w:eastAsia="楷体" w:hAnsi="楷体" w:hint="eastAsia"/>
          <w:b/>
          <w:bCs/>
          <w:color w:val="0070C0"/>
          <w:kern w:val="0"/>
          <w:sz w:val="24"/>
          <w:szCs w:val="20"/>
          <w:lang w:val="en-GB"/>
        </w:rPr>
        <w:t>、富国中国中小盘基金、</w:t>
      </w:r>
      <w:r w:rsidRPr="006866C5">
        <w:rPr>
          <w:rFonts w:ascii="楷体" w:eastAsia="楷体" w:hAnsi="楷体" w:hint="eastAsia"/>
          <w:b/>
          <w:bCs/>
          <w:color w:val="0070C0"/>
          <w:kern w:val="0"/>
          <w:sz w:val="24"/>
          <w:szCs w:val="20"/>
          <w:lang w:val="en-GB"/>
        </w:rPr>
        <w:t>华夏恒生</w:t>
      </w:r>
      <w:r w:rsidRPr="006866C5">
        <w:rPr>
          <w:rFonts w:ascii="楷体" w:eastAsia="楷体" w:hAnsi="楷体"/>
          <w:b/>
          <w:bCs/>
          <w:color w:val="0070C0"/>
          <w:kern w:val="0"/>
          <w:sz w:val="24"/>
          <w:szCs w:val="20"/>
          <w:lang w:val="en-GB"/>
        </w:rPr>
        <w:t>ETF</w:t>
      </w:r>
      <w:r w:rsidRPr="006866C5">
        <w:rPr>
          <w:rFonts w:ascii="楷体" w:eastAsia="楷体" w:hAnsi="楷体" w:hint="eastAsia"/>
          <w:b/>
          <w:bCs/>
          <w:color w:val="0070C0"/>
          <w:kern w:val="0"/>
          <w:sz w:val="24"/>
          <w:szCs w:val="20"/>
          <w:lang w:val="en-GB"/>
        </w:rPr>
        <w:t>基金、嘉实恒生中国企业基金、</w:t>
      </w:r>
      <w:r w:rsidRPr="00812A58">
        <w:rPr>
          <w:rFonts w:ascii="楷体" w:eastAsia="楷体" w:hAnsi="楷体" w:hint="eastAsia"/>
          <w:b/>
          <w:bCs/>
          <w:color w:val="0070C0"/>
          <w:kern w:val="0"/>
          <w:sz w:val="24"/>
          <w:szCs w:val="20"/>
          <w:lang w:val="en-GB"/>
        </w:rPr>
        <w:t>博时大中华亚太精选</w:t>
      </w:r>
      <w:r>
        <w:rPr>
          <w:rFonts w:ascii="楷体" w:eastAsia="楷体" w:hAnsi="楷体" w:hint="eastAsia"/>
          <w:b/>
          <w:bCs/>
          <w:color w:val="0070C0"/>
          <w:kern w:val="0"/>
          <w:sz w:val="24"/>
          <w:szCs w:val="20"/>
          <w:lang w:val="en-GB"/>
        </w:rPr>
        <w:t>基金</w:t>
      </w:r>
    </w:p>
    <w:p w:rsidR="008F21B4" w:rsidRPr="0034660C" w:rsidRDefault="008F21B4" w:rsidP="005D3072">
      <w:pPr>
        <w:pStyle w:val="BodyText"/>
        <w:numPr>
          <w:ilvl w:val="4"/>
          <w:numId w:val="1"/>
        </w:numPr>
        <w:spacing w:after="163"/>
        <w:rPr>
          <w:rFonts w:eastAsia="楷体" w:cs="Arial"/>
        </w:rPr>
      </w:pPr>
      <w:r w:rsidRPr="00CB0983">
        <w:rPr>
          <w:rFonts w:eastAsia="楷体" w:cs="Arial" w:hint="eastAsia"/>
          <w:b/>
        </w:rPr>
        <w:t>国泰纳斯达克</w:t>
      </w:r>
      <w:r w:rsidRPr="00CB0983">
        <w:rPr>
          <w:rFonts w:eastAsia="楷体" w:cs="Arial"/>
          <w:b/>
        </w:rPr>
        <w:t>100(160213)</w:t>
      </w:r>
      <w:r w:rsidRPr="00CB0983">
        <w:rPr>
          <w:rFonts w:eastAsia="楷体" w:cs="Arial" w:hint="eastAsia"/>
          <w:b/>
        </w:rPr>
        <w:t>：</w:t>
      </w:r>
      <w:r w:rsidRPr="0034660C">
        <w:rPr>
          <w:rFonts w:eastAsia="楷体" w:cs="Arial" w:hint="eastAsia"/>
        </w:rPr>
        <w:t>跟踪美国纳斯达克</w:t>
      </w:r>
      <w:r w:rsidRPr="0034660C">
        <w:rPr>
          <w:rFonts w:eastAsia="楷体" w:cs="Arial"/>
        </w:rPr>
        <w:t>100</w:t>
      </w:r>
      <w:r>
        <w:rPr>
          <w:rFonts w:eastAsia="楷体" w:cs="Arial" w:hint="eastAsia"/>
        </w:rPr>
        <w:t>指数，股票资产主要采取完全复制法，</w:t>
      </w:r>
      <w:r w:rsidRPr="0034660C">
        <w:rPr>
          <w:rFonts w:eastAsia="楷体" w:cs="Arial" w:hint="eastAsia"/>
        </w:rPr>
        <w:t>追求跟踪误差最小化。纳斯达克</w:t>
      </w:r>
      <w:r w:rsidRPr="0034660C">
        <w:rPr>
          <w:rFonts w:eastAsia="楷体" w:cs="Arial"/>
        </w:rPr>
        <w:t>100</w:t>
      </w:r>
      <w:r w:rsidRPr="0034660C">
        <w:rPr>
          <w:rFonts w:eastAsia="楷体" w:cs="Arial" w:hint="eastAsia"/>
        </w:rPr>
        <w:t>指数成分股均具有高科技、高成长和非金融的特点，是美国科技股的代表，权重最大为苹果电脑，另包括</w:t>
      </w:r>
      <w:r>
        <w:rPr>
          <w:rFonts w:eastAsia="楷体" w:cs="Arial" w:hint="eastAsia"/>
        </w:rPr>
        <w:t>脸书、</w:t>
      </w:r>
      <w:r w:rsidRPr="0034660C">
        <w:rPr>
          <w:rFonts w:eastAsia="楷体" w:cs="Arial" w:hint="eastAsia"/>
        </w:rPr>
        <w:t>微软、谷歌、英特尔等。</w:t>
      </w:r>
    </w:p>
    <w:p w:rsidR="008F21B4" w:rsidRDefault="008F21B4" w:rsidP="005D3072">
      <w:pPr>
        <w:pStyle w:val="BodyText"/>
        <w:numPr>
          <w:ilvl w:val="4"/>
          <w:numId w:val="1"/>
        </w:numPr>
        <w:spacing w:after="163"/>
        <w:rPr>
          <w:rFonts w:eastAsia="楷体" w:cs="Arial"/>
        </w:rPr>
      </w:pPr>
      <w:r w:rsidRPr="00CB0983">
        <w:rPr>
          <w:rFonts w:eastAsia="楷体" w:cs="Arial" w:hint="eastAsia"/>
          <w:b/>
        </w:rPr>
        <w:t>大成标普</w:t>
      </w:r>
      <w:r w:rsidRPr="00CB0983">
        <w:rPr>
          <w:rFonts w:eastAsia="楷体" w:cs="Arial"/>
          <w:b/>
        </w:rPr>
        <w:t>500</w:t>
      </w:r>
      <w:r w:rsidRPr="00CB0983">
        <w:rPr>
          <w:rFonts w:eastAsia="楷体" w:cs="Arial" w:hint="eastAsia"/>
          <w:b/>
        </w:rPr>
        <w:t>等权重</w:t>
      </w:r>
      <w:r w:rsidRPr="00CB0983">
        <w:rPr>
          <w:rFonts w:eastAsia="楷体" w:cs="Arial"/>
          <w:b/>
        </w:rPr>
        <w:t>(096001)</w:t>
      </w:r>
      <w:r w:rsidRPr="00CB0983">
        <w:rPr>
          <w:rFonts w:eastAsia="楷体" w:cs="Arial" w:hint="eastAsia"/>
          <w:b/>
        </w:rPr>
        <w:t>：</w:t>
      </w:r>
      <w:r w:rsidRPr="0034660C">
        <w:rPr>
          <w:rFonts w:eastAsia="楷体" w:cs="Arial" w:hint="eastAsia"/>
        </w:rPr>
        <w:t>基金投资组合</w:t>
      </w:r>
      <w:r>
        <w:rPr>
          <w:rFonts w:eastAsia="楷体" w:cs="Arial" w:hint="eastAsia"/>
        </w:rPr>
        <w:t>有效跟踪</w:t>
      </w:r>
      <w:r w:rsidRPr="0034660C">
        <w:rPr>
          <w:rFonts w:eastAsia="楷体" w:cs="Arial" w:hint="eastAsia"/>
        </w:rPr>
        <w:t>标普</w:t>
      </w:r>
      <w:r w:rsidRPr="0034660C">
        <w:rPr>
          <w:rFonts w:eastAsia="楷体" w:cs="Arial"/>
        </w:rPr>
        <w:t>500</w:t>
      </w:r>
      <w:r w:rsidRPr="0034660C">
        <w:rPr>
          <w:rFonts w:eastAsia="楷体" w:cs="Arial" w:hint="eastAsia"/>
        </w:rPr>
        <w:t>等权重指数</w:t>
      </w:r>
      <w:r>
        <w:rPr>
          <w:rFonts w:eastAsia="楷体" w:cs="Arial" w:hint="eastAsia"/>
        </w:rPr>
        <w:t>，还可能将一定比例的</w:t>
      </w:r>
      <w:r w:rsidRPr="0034660C">
        <w:rPr>
          <w:rFonts w:eastAsia="楷体" w:cs="Arial" w:hint="eastAsia"/>
        </w:rPr>
        <w:t>资产投资于与标普</w:t>
      </w:r>
      <w:r w:rsidRPr="0034660C">
        <w:rPr>
          <w:rFonts w:eastAsia="楷体" w:cs="Arial"/>
        </w:rPr>
        <w:t>500</w:t>
      </w:r>
      <w:r w:rsidRPr="0034660C">
        <w:rPr>
          <w:rFonts w:eastAsia="楷体" w:cs="Arial" w:hint="eastAsia"/>
        </w:rPr>
        <w:t>等权重指数相关的公募基金、上市交易型基金，以优化投资组合的建立，达到节约交易成本和有效追踪标的指数表现的目的。标准普尔</w:t>
      </w:r>
      <w:r w:rsidRPr="0034660C">
        <w:rPr>
          <w:rFonts w:eastAsia="楷体" w:cs="Arial"/>
        </w:rPr>
        <w:t>500</w:t>
      </w:r>
      <w:r w:rsidRPr="0034660C">
        <w:rPr>
          <w:rFonts w:eastAsia="楷体" w:cs="Arial" w:hint="eastAsia"/>
        </w:rPr>
        <w:t>系列指数具有采样面广、代表性强、精确度高、连续性好等特点，全面反映美国市场变化。</w:t>
      </w:r>
    </w:p>
    <w:p w:rsidR="008F21B4" w:rsidRDefault="008F21B4" w:rsidP="005D3072">
      <w:pPr>
        <w:pStyle w:val="BodyText"/>
        <w:numPr>
          <w:ilvl w:val="4"/>
          <w:numId w:val="1"/>
        </w:numPr>
        <w:spacing w:after="163"/>
        <w:rPr>
          <w:rFonts w:eastAsia="楷体" w:cs="Arial"/>
        </w:rPr>
      </w:pPr>
      <w:r w:rsidRPr="00CB0983">
        <w:rPr>
          <w:rFonts w:eastAsia="楷体" w:cs="Arial" w:hint="eastAsia"/>
          <w:b/>
        </w:rPr>
        <w:t>鹏华美国房地产</w:t>
      </w:r>
      <w:r w:rsidRPr="00CB0983">
        <w:rPr>
          <w:rFonts w:eastAsia="楷体" w:cs="Arial"/>
          <w:b/>
        </w:rPr>
        <w:t>(206011)</w:t>
      </w:r>
      <w:r w:rsidRPr="00CB0983">
        <w:rPr>
          <w:rFonts w:eastAsia="楷体" w:cs="Arial" w:hint="eastAsia"/>
          <w:b/>
        </w:rPr>
        <w:t>：</w:t>
      </w:r>
      <w:r>
        <w:rPr>
          <w:rFonts w:eastAsia="楷体" w:cs="Arial" w:hint="eastAsia"/>
        </w:rPr>
        <w:t>投资对象以美国房地产信托投资基金</w:t>
      </w:r>
      <w:r>
        <w:rPr>
          <w:rFonts w:eastAsia="楷体" w:cs="Arial"/>
        </w:rPr>
        <w:t>(</w:t>
      </w:r>
      <w:r w:rsidRPr="00680A06">
        <w:rPr>
          <w:rFonts w:eastAsia="楷体" w:cs="Arial"/>
        </w:rPr>
        <w:t>REITs</w:t>
      </w:r>
      <w:r>
        <w:rPr>
          <w:rFonts w:eastAsia="楷体" w:cs="Arial"/>
        </w:rPr>
        <w:t>)</w:t>
      </w:r>
      <w:r w:rsidRPr="00680A06">
        <w:rPr>
          <w:rFonts w:eastAsia="楷体" w:cs="Arial" w:hint="eastAsia"/>
        </w:rPr>
        <w:t>、房地产行业股票和在美国市场上市交易的</w:t>
      </w:r>
      <w:r w:rsidRPr="00680A06">
        <w:rPr>
          <w:rFonts w:eastAsia="楷体" w:cs="Arial"/>
        </w:rPr>
        <w:t>REIT ETF</w:t>
      </w:r>
      <w:r w:rsidRPr="00680A06">
        <w:rPr>
          <w:rFonts w:eastAsia="楷体" w:cs="Arial" w:hint="eastAsia"/>
        </w:rPr>
        <w:t>基金为主。</w:t>
      </w:r>
      <w:r>
        <w:rPr>
          <w:rFonts w:eastAsia="楷体" w:cs="Arial" w:hint="eastAsia"/>
        </w:rPr>
        <w:t>选择投资对象主要参考投资标的资产质量、现金流稳定性</w:t>
      </w:r>
      <w:r w:rsidRPr="00680A06">
        <w:rPr>
          <w:rFonts w:eastAsia="楷体" w:cs="Arial" w:hint="eastAsia"/>
        </w:rPr>
        <w:t>及管理层能力等指标。组合中也少量投资房地产行业股票，目的是把握阶段性机会，对</w:t>
      </w:r>
      <w:r w:rsidRPr="00680A06">
        <w:rPr>
          <w:rFonts w:eastAsia="楷体" w:cs="Arial"/>
        </w:rPr>
        <w:t>REITs</w:t>
      </w:r>
      <w:r w:rsidRPr="00680A06">
        <w:rPr>
          <w:rFonts w:eastAsia="楷体" w:cs="Arial" w:hint="eastAsia"/>
        </w:rPr>
        <w:t>投资作有益补充，并降低组合整体波动性。</w:t>
      </w:r>
    </w:p>
    <w:p w:rsidR="008F21B4" w:rsidRPr="002011BF" w:rsidRDefault="008F21B4" w:rsidP="00082426">
      <w:pPr>
        <w:pStyle w:val="BodyText"/>
        <w:numPr>
          <w:ilvl w:val="4"/>
          <w:numId w:val="1"/>
        </w:numPr>
        <w:spacing w:after="163"/>
        <w:rPr>
          <w:rFonts w:eastAsia="楷体" w:hAnsi="楷体" w:cs="Arial"/>
        </w:rPr>
      </w:pPr>
      <w:r w:rsidRPr="00F45C7D">
        <w:rPr>
          <w:rFonts w:eastAsia="楷体" w:hAnsi="楷体" w:cs="Arial" w:hint="eastAsia"/>
          <w:b/>
        </w:rPr>
        <w:t>富国中国中小盘</w:t>
      </w:r>
      <w:r>
        <w:rPr>
          <w:rFonts w:eastAsia="楷体" w:hAnsi="楷体" w:cs="Arial"/>
          <w:b/>
        </w:rPr>
        <w:t>(100061)</w:t>
      </w:r>
      <w:r>
        <w:rPr>
          <w:rFonts w:eastAsia="楷体" w:hAnsi="楷体" w:cs="Arial" w:hint="eastAsia"/>
          <w:b/>
        </w:rPr>
        <w:t>：</w:t>
      </w:r>
      <w:r w:rsidRPr="001E3EEC">
        <w:rPr>
          <w:rFonts w:eastAsia="楷体" w:hAnsi="楷体" w:cs="Arial" w:hint="eastAsia"/>
        </w:rPr>
        <w:t>采用主动管理模式，重点投资香港市场中具有中国</w:t>
      </w:r>
      <w:r>
        <w:rPr>
          <w:rFonts w:eastAsia="楷体" w:hAnsi="楷体" w:cs="Arial" w:hint="eastAsia"/>
        </w:rPr>
        <w:t>概念的优质中小盘股票进行投资。中小盘股票成长空间大，且在香港市场</w:t>
      </w:r>
      <w:r w:rsidRPr="001E3EEC">
        <w:rPr>
          <w:rFonts w:eastAsia="楷体" w:hAnsi="楷体" w:cs="Arial" w:hint="eastAsia"/>
        </w:rPr>
        <w:t>往往存在估值洼地，因此往往能为长期投资者带来超额收益。基金经理自下而上选股能力表现出色，重点投资标的符合中国经济转型和改革方向。</w:t>
      </w:r>
    </w:p>
    <w:p w:rsidR="008F21B4" w:rsidRPr="00172285" w:rsidRDefault="008F21B4" w:rsidP="00082426">
      <w:pPr>
        <w:pStyle w:val="BodyText"/>
        <w:numPr>
          <w:ilvl w:val="4"/>
          <w:numId w:val="1"/>
        </w:numPr>
        <w:spacing w:after="163"/>
        <w:rPr>
          <w:rFonts w:eastAsia="楷体" w:hAnsi="楷体" w:cs="Arial"/>
        </w:rPr>
      </w:pPr>
      <w:r w:rsidRPr="00CB0983">
        <w:rPr>
          <w:rFonts w:eastAsia="楷体" w:hAnsi="楷体" w:cs="Arial" w:hint="eastAsia"/>
          <w:b/>
        </w:rPr>
        <w:t>华夏恒生</w:t>
      </w:r>
      <w:r w:rsidRPr="00CB0983">
        <w:rPr>
          <w:rFonts w:eastAsia="楷体" w:hAnsi="楷体" w:cs="Arial"/>
          <w:b/>
        </w:rPr>
        <w:t>ETF(159920)</w:t>
      </w:r>
      <w:r w:rsidRPr="00CB0983">
        <w:rPr>
          <w:rFonts w:eastAsia="楷体" w:hAnsi="楷体" w:cs="Arial" w:hint="eastAsia"/>
          <w:b/>
        </w:rPr>
        <w:t>：</w:t>
      </w:r>
      <w:r w:rsidRPr="00172285">
        <w:rPr>
          <w:rFonts w:eastAsia="楷体" w:hAnsi="楷体" w:cs="Arial" w:hint="eastAsia"/>
        </w:rPr>
        <w:t>华夏基金旗下首只跨境</w:t>
      </w:r>
      <w:r w:rsidRPr="00172285">
        <w:rPr>
          <w:rFonts w:eastAsia="楷体" w:hAnsi="楷体" w:cs="Arial"/>
        </w:rPr>
        <w:t>ETF</w:t>
      </w:r>
      <w:r>
        <w:rPr>
          <w:rFonts w:eastAsia="楷体" w:hAnsi="楷体" w:cs="Arial" w:hint="eastAsia"/>
        </w:rPr>
        <w:t>基金，</w:t>
      </w:r>
      <w:r w:rsidRPr="00172285">
        <w:rPr>
          <w:rFonts w:eastAsia="楷体" w:hAnsi="楷体" w:cs="Arial" w:hint="eastAsia"/>
        </w:rPr>
        <w:t>采用组合复制策略及适当的替代性策略，紧密跟踪香港恒生指数。标的指数汇集了香港本地、中国内地以及海外众多的龙头公司。</w:t>
      </w:r>
      <w:r>
        <w:rPr>
          <w:rFonts w:eastAsia="楷体" w:hAnsi="楷体" w:cs="Arial" w:hint="eastAsia"/>
        </w:rPr>
        <w:t>在</w:t>
      </w:r>
      <w:r w:rsidRPr="00172285">
        <w:rPr>
          <w:rFonts w:eastAsia="楷体" w:hAnsi="楷体" w:cs="Arial" w:hint="eastAsia"/>
        </w:rPr>
        <w:t>金融、能源占比相对较高</w:t>
      </w:r>
      <w:r>
        <w:rPr>
          <w:rFonts w:eastAsia="楷体" w:hAnsi="楷体" w:cs="Arial" w:hint="eastAsia"/>
        </w:rPr>
        <w:t>，</w:t>
      </w:r>
      <w:r w:rsidRPr="00172285">
        <w:rPr>
          <w:rFonts w:eastAsia="楷体" w:hAnsi="楷体" w:cs="Arial" w:hint="eastAsia"/>
        </w:rPr>
        <w:t>服务业、原材料业占比相对较少</w:t>
      </w:r>
      <w:r>
        <w:rPr>
          <w:rFonts w:eastAsia="楷体" w:hAnsi="楷体" w:cs="Arial" w:hint="eastAsia"/>
        </w:rPr>
        <w:t>，成份股共</w:t>
      </w:r>
      <w:r w:rsidRPr="00172285">
        <w:rPr>
          <w:rFonts w:eastAsia="楷体" w:hAnsi="楷体" w:cs="Arial"/>
        </w:rPr>
        <w:t>48</w:t>
      </w:r>
      <w:r>
        <w:rPr>
          <w:rFonts w:eastAsia="楷体" w:hAnsi="楷体" w:cs="Arial" w:hint="eastAsia"/>
        </w:rPr>
        <w:t>只，含</w:t>
      </w:r>
      <w:r>
        <w:rPr>
          <w:rFonts w:eastAsia="楷体" w:hAnsi="楷体" w:cs="Arial"/>
        </w:rPr>
        <w:t>8</w:t>
      </w:r>
      <w:r>
        <w:rPr>
          <w:rFonts w:eastAsia="楷体" w:hAnsi="楷体" w:cs="Arial" w:hint="eastAsia"/>
        </w:rPr>
        <w:t>家</w:t>
      </w:r>
      <w:r w:rsidRPr="00172285">
        <w:rPr>
          <w:rFonts w:eastAsia="楷体" w:hAnsi="楷体" w:cs="Arial" w:hint="eastAsia"/>
        </w:rPr>
        <w:t>“重量级”蓝筹股</w:t>
      </w:r>
      <w:r>
        <w:rPr>
          <w:rFonts w:eastAsia="楷体" w:hAnsi="楷体" w:cs="Arial" w:hint="eastAsia"/>
        </w:rPr>
        <w:t>（</w:t>
      </w:r>
      <w:r w:rsidRPr="00172285">
        <w:rPr>
          <w:rFonts w:eastAsia="楷体" w:hAnsi="楷体" w:cs="Arial" w:hint="eastAsia"/>
        </w:rPr>
        <w:t>三大银行</w:t>
      </w:r>
      <w:r w:rsidRPr="00172285">
        <w:rPr>
          <w:rFonts w:eastAsia="楷体" w:hAnsi="楷体" w:cs="Arial"/>
        </w:rPr>
        <w:t>+</w:t>
      </w:r>
      <w:r w:rsidRPr="00172285">
        <w:rPr>
          <w:rFonts w:eastAsia="楷体" w:hAnsi="楷体" w:cs="Arial" w:hint="eastAsia"/>
        </w:rPr>
        <w:t>三桶油</w:t>
      </w:r>
      <w:r w:rsidRPr="00172285">
        <w:rPr>
          <w:rFonts w:eastAsia="楷体" w:hAnsi="楷体" w:cs="Arial"/>
        </w:rPr>
        <w:t>+</w:t>
      </w:r>
      <w:r w:rsidRPr="00172285">
        <w:rPr>
          <w:rFonts w:eastAsia="楷体" w:hAnsi="楷体" w:cs="Arial" w:hint="eastAsia"/>
        </w:rPr>
        <w:t>中国移动</w:t>
      </w:r>
      <w:r w:rsidRPr="00172285">
        <w:rPr>
          <w:rFonts w:eastAsia="楷体" w:hAnsi="楷体" w:cs="Arial"/>
        </w:rPr>
        <w:t>+</w:t>
      </w:r>
      <w:r w:rsidRPr="00172285">
        <w:rPr>
          <w:rFonts w:eastAsia="楷体" w:hAnsi="楷体" w:cs="Arial" w:hint="eastAsia"/>
        </w:rPr>
        <w:t>汇丰银行占比合计</w:t>
      </w:r>
      <w:r w:rsidRPr="00172285">
        <w:rPr>
          <w:rFonts w:eastAsia="楷体" w:hAnsi="楷体" w:cs="Arial"/>
        </w:rPr>
        <w:t>51.71%</w:t>
      </w:r>
      <w:r>
        <w:rPr>
          <w:rFonts w:eastAsia="楷体" w:hAnsi="楷体" w:cs="Arial" w:hint="eastAsia"/>
        </w:rPr>
        <w:t>）及</w:t>
      </w:r>
      <w:r w:rsidRPr="00172285">
        <w:rPr>
          <w:rFonts w:eastAsia="楷体" w:hAnsi="楷体" w:cs="Arial" w:hint="eastAsia"/>
        </w:rPr>
        <w:t>香港本地龙头企业，如长江实业、和记黄埔等；也包括</w:t>
      </w:r>
      <w:r>
        <w:rPr>
          <w:rFonts w:eastAsia="楷体" w:hAnsi="楷体" w:cs="Arial" w:hint="eastAsia"/>
        </w:rPr>
        <w:t>中国内地“新贵”</w:t>
      </w:r>
      <w:r w:rsidRPr="00172285">
        <w:rPr>
          <w:rFonts w:eastAsia="楷体" w:hAnsi="楷体" w:cs="Arial" w:hint="eastAsia"/>
        </w:rPr>
        <w:t>如腾讯控股。</w:t>
      </w:r>
    </w:p>
    <w:p w:rsidR="008F21B4" w:rsidRDefault="008F21B4" w:rsidP="00082426">
      <w:pPr>
        <w:pStyle w:val="BodyText"/>
        <w:numPr>
          <w:ilvl w:val="4"/>
          <w:numId w:val="1"/>
        </w:numPr>
        <w:spacing w:after="163"/>
        <w:rPr>
          <w:rFonts w:eastAsia="楷体" w:cs="Arial"/>
        </w:rPr>
      </w:pPr>
      <w:r w:rsidRPr="00CB0983">
        <w:rPr>
          <w:rFonts w:eastAsia="楷体" w:cs="Arial" w:hint="eastAsia"/>
          <w:b/>
        </w:rPr>
        <w:t>嘉实恒生中国企业</w:t>
      </w:r>
      <w:r w:rsidRPr="00CB0983">
        <w:rPr>
          <w:rFonts w:eastAsia="楷体" w:cs="Arial"/>
          <w:b/>
        </w:rPr>
        <w:t>(160717)</w:t>
      </w:r>
      <w:r w:rsidRPr="00CB0983">
        <w:rPr>
          <w:rFonts w:eastAsia="楷体" w:cs="Arial" w:hint="eastAsia"/>
          <w:b/>
        </w:rPr>
        <w:t>：</w:t>
      </w:r>
      <w:r>
        <w:rPr>
          <w:rFonts w:eastAsia="楷体" w:cs="Arial" w:hint="eastAsia"/>
        </w:rPr>
        <w:t>标的指数为</w:t>
      </w:r>
      <w:r w:rsidRPr="00FE105F">
        <w:rPr>
          <w:rFonts w:eastAsia="楷体" w:cs="Arial" w:hint="eastAsia"/>
        </w:rPr>
        <w:t>恒生中国企业指数</w:t>
      </w:r>
      <w:r>
        <w:rPr>
          <w:rFonts w:eastAsia="楷体" w:cs="Arial" w:hint="eastAsia"/>
        </w:rPr>
        <w:t>，该基金以拟合、跟踪标的</w:t>
      </w:r>
      <w:r w:rsidRPr="00FE105F">
        <w:rPr>
          <w:rFonts w:eastAsia="楷体" w:cs="Arial" w:hint="eastAsia"/>
        </w:rPr>
        <w:t>指数为原则</w:t>
      </w:r>
      <w:r>
        <w:rPr>
          <w:rFonts w:eastAsia="楷体" w:cs="Arial" w:hint="eastAsia"/>
        </w:rPr>
        <w:t>，</w:t>
      </w:r>
      <w:r w:rsidRPr="00FE105F">
        <w:rPr>
          <w:rFonts w:eastAsia="楷体" w:cs="Arial" w:hint="eastAsia"/>
        </w:rPr>
        <w:t>进行被动式指数化投资</w:t>
      </w:r>
      <w:r>
        <w:rPr>
          <w:rFonts w:eastAsia="楷体" w:cs="Arial" w:hint="eastAsia"/>
        </w:rPr>
        <w:t>。该基金在今年</w:t>
      </w:r>
      <w:r>
        <w:rPr>
          <w:rFonts w:eastAsia="楷体" w:cs="Arial"/>
        </w:rPr>
        <w:t>7</w:t>
      </w:r>
      <w:r>
        <w:rPr>
          <w:rFonts w:eastAsia="楷体" w:cs="Arial" w:hint="eastAsia"/>
        </w:rPr>
        <w:t>月份以</w:t>
      </w:r>
      <w:r>
        <w:rPr>
          <w:rFonts w:eastAsia="楷体" w:cs="Arial"/>
        </w:rPr>
        <w:t>8.81%</w:t>
      </w:r>
      <w:r>
        <w:rPr>
          <w:rFonts w:eastAsia="楷体" w:cs="Arial" w:hint="eastAsia"/>
        </w:rPr>
        <w:t>的收益率获得</w:t>
      </w:r>
      <w:r>
        <w:rPr>
          <w:rFonts w:eastAsia="楷体" w:cs="Arial"/>
        </w:rPr>
        <w:t>QDII-</w:t>
      </w:r>
      <w:r>
        <w:rPr>
          <w:rFonts w:eastAsia="楷体" w:cs="Arial" w:hint="eastAsia"/>
        </w:rPr>
        <w:t>亚太及新兴市场类别之首。</w:t>
      </w:r>
    </w:p>
    <w:p w:rsidR="008F21B4" w:rsidRDefault="008F21B4" w:rsidP="00082426">
      <w:pPr>
        <w:pStyle w:val="BodyText"/>
        <w:numPr>
          <w:ilvl w:val="4"/>
          <w:numId w:val="1"/>
        </w:numPr>
        <w:spacing w:after="163"/>
        <w:rPr>
          <w:rFonts w:eastAsia="楷体" w:cs="Arial"/>
        </w:rPr>
      </w:pPr>
      <w:r w:rsidRPr="00CB0983">
        <w:rPr>
          <w:rFonts w:eastAsia="楷体" w:cs="Arial" w:hint="eastAsia"/>
          <w:b/>
        </w:rPr>
        <w:t>博时大中华亚太精选</w:t>
      </w:r>
      <w:r w:rsidRPr="00CB0983">
        <w:rPr>
          <w:rFonts w:eastAsia="楷体" w:cs="Arial"/>
          <w:b/>
        </w:rPr>
        <w:t>(050015)</w:t>
      </w:r>
      <w:r w:rsidRPr="00CB0983">
        <w:rPr>
          <w:rFonts w:eastAsia="楷体" w:cs="Arial" w:hint="eastAsia"/>
          <w:b/>
        </w:rPr>
        <w:t>：</w:t>
      </w:r>
      <w:r w:rsidRPr="00B4378D">
        <w:rPr>
          <w:rFonts w:eastAsia="楷体" w:cs="Arial" w:hint="eastAsia"/>
        </w:rPr>
        <w:t>采用“核心</w:t>
      </w:r>
      <w:r w:rsidRPr="00B4378D">
        <w:rPr>
          <w:rFonts w:eastAsia="楷体" w:cs="Arial"/>
        </w:rPr>
        <w:t>-</w:t>
      </w:r>
      <w:r w:rsidRPr="00B4378D">
        <w:rPr>
          <w:rFonts w:eastAsia="楷体" w:cs="Arial" w:hint="eastAsia"/>
        </w:rPr>
        <w:t>卫星”配置策略，“核心”指基金资产的</w:t>
      </w:r>
      <w:r w:rsidRPr="00B4378D">
        <w:rPr>
          <w:rFonts w:eastAsia="楷体" w:cs="Arial"/>
        </w:rPr>
        <w:t>40%~75%</w:t>
      </w:r>
      <w:r>
        <w:rPr>
          <w:rFonts w:eastAsia="楷体" w:cs="Arial" w:hint="eastAsia"/>
        </w:rPr>
        <w:t>投资于大中华地区企业，包括中国大陆、港、澳、台地区企业在境外发行的股票</w:t>
      </w:r>
      <w:r w:rsidRPr="00B4378D">
        <w:rPr>
          <w:rFonts w:eastAsia="楷体" w:cs="Arial" w:hint="eastAsia"/>
        </w:rPr>
        <w:t>及其他衍生产品。“卫星”指基金资产的</w:t>
      </w:r>
      <w:r w:rsidRPr="00B4378D">
        <w:rPr>
          <w:rFonts w:eastAsia="楷体" w:cs="Arial"/>
        </w:rPr>
        <w:t>20%~55%</w:t>
      </w:r>
      <w:r w:rsidRPr="00B4378D">
        <w:rPr>
          <w:rFonts w:eastAsia="楷体" w:cs="Arial" w:hint="eastAsia"/>
        </w:rPr>
        <w:t>投资于日本、韩国、澳大利亚、新加坡、印度等众多亚太国家或地区企业在亚太区证券市场发行的</w:t>
      </w:r>
      <w:r>
        <w:rPr>
          <w:rFonts w:eastAsia="楷体" w:cs="Arial" w:hint="eastAsia"/>
        </w:rPr>
        <w:t>股票</w:t>
      </w:r>
      <w:r w:rsidRPr="00B4378D">
        <w:rPr>
          <w:rFonts w:eastAsia="楷体" w:cs="Arial" w:hint="eastAsia"/>
        </w:rPr>
        <w:t>等。主要采取“自下而上精选个股”和“价值策略为主，成长策略为辅</w:t>
      </w:r>
      <w:r>
        <w:rPr>
          <w:rFonts w:eastAsia="楷体" w:cs="Arial" w:hint="eastAsia"/>
        </w:rPr>
        <w:t>”的股票投资策略，辅以金融衍生品投资进行套期保值和汇率风险规避</w:t>
      </w:r>
      <w:r w:rsidRPr="00B97AD7">
        <w:rPr>
          <w:rFonts w:eastAsia="楷体" w:cs="Arial" w:hint="eastAsia"/>
        </w:rPr>
        <w:t>。</w:t>
      </w:r>
    </w:p>
    <w:tbl>
      <w:tblPr>
        <w:tblW w:w="10771" w:type="dxa"/>
        <w:tblLayout w:type="fixed"/>
        <w:tblCellMar>
          <w:left w:w="0" w:type="dxa"/>
          <w:right w:w="0" w:type="dxa"/>
        </w:tblCellMar>
        <w:tblLook w:val="0000"/>
      </w:tblPr>
      <w:tblGrid>
        <w:gridCol w:w="5272"/>
        <w:gridCol w:w="227"/>
        <w:gridCol w:w="5272"/>
      </w:tblGrid>
      <w:tr w:rsidR="008F21B4" w:rsidRPr="00D41C41" w:rsidTr="001C47CA">
        <w:trPr>
          <w:cantSplit/>
          <w:trHeight w:val="368"/>
        </w:trPr>
        <w:tc>
          <w:tcPr>
            <w:tcW w:w="5272" w:type="dxa"/>
            <w:tcBorders>
              <w:top w:val="single" w:sz="6" w:space="0" w:color="FF6600"/>
              <w:bottom w:val="single" w:sz="6" w:space="0" w:color="FF6600"/>
            </w:tcBorders>
            <w:vAlign w:val="center"/>
          </w:tcPr>
          <w:p w:rsidR="008F21B4" w:rsidRPr="00FC54FE" w:rsidRDefault="008F21B4" w:rsidP="001C47CA">
            <w:pPr>
              <w:pStyle w:val="SubTitleLargeTable"/>
              <w:pBdr>
                <w:top w:val="none" w:sz="0" w:space="0" w:color="auto"/>
              </w:pBdr>
              <w:rPr>
                <w:rFonts w:ascii="楷体" w:eastAsia="楷体" w:hAnsi="楷体"/>
                <w:color w:val="FF6600"/>
              </w:rPr>
            </w:pPr>
            <w:r w:rsidRPr="00FC54FE">
              <w:rPr>
                <w:rFonts w:ascii="楷体" w:eastAsia="楷体" w:hAnsi="楷体" w:hint="eastAsia"/>
                <w:color w:val="FF6600"/>
              </w:rPr>
              <w:t>图表</w:t>
            </w:r>
            <w:r>
              <w:rPr>
                <w:rFonts w:ascii="楷体" w:eastAsia="楷体" w:hAnsi="楷体"/>
                <w:color w:val="FF6600"/>
              </w:rPr>
              <w:t>5</w:t>
            </w:r>
            <w:r w:rsidRPr="00FC54FE">
              <w:rPr>
                <w:rFonts w:ascii="楷体" w:eastAsia="楷体" w:hAnsi="楷体" w:hint="eastAsia"/>
                <w:color w:val="FF6600"/>
              </w:rPr>
              <w:t>：国泰纳斯达克</w:t>
            </w:r>
            <w:r w:rsidRPr="00FC54FE">
              <w:rPr>
                <w:rFonts w:ascii="楷体" w:eastAsia="楷体" w:hAnsi="楷体"/>
                <w:color w:val="FF6600"/>
              </w:rPr>
              <w:t>100</w:t>
            </w:r>
            <w:r w:rsidRPr="00FC54FE">
              <w:rPr>
                <w:rFonts w:ascii="楷体" w:eastAsia="楷体" w:hAnsi="楷体" w:hint="eastAsia"/>
                <w:color w:val="FF6600"/>
              </w:rPr>
              <w:t>指数基金</w:t>
            </w:r>
            <w:r w:rsidRPr="007D4B9D">
              <w:rPr>
                <w:rFonts w:ascii="楷体" w:eastAsia="楷体" w:hAnsi="楷体"/>
                <w:color w:val="FF6600"/>
              </w:rPr>
              <w:t>(160213)</w:t>
            </w:r>
          </w:p>
        </w:tc>
        <w:tc>
          <w:tcPr>
            <w:tcW w:w="227" w:type="dxa"/>
            <w:vAlign w:val="center"/>
          </w:tcPr>
          <w:p w:rsidR="008F21B4" w:rsidRPr="00FC54FE" w:rsidRDefault="008F21B4" w:rsidP="001C47CA">
            <w:pPr>
              <w:jc w:val="center"/>
              <w:rPr>
                <w:rFonts w:ascii="楷体" w:eastAsia="楷体" w:hAnsi="楷体" w:cs="Arial"/>
                <w:b/>
                <w:bCs/>
                <w:i/>
                <w:iCs/>
                <w:color w:val="FF6600"/>
                <w:kern w:val="0"/>
                <w:szCs w:val="21"/>
                <w:lang w:val="en-GB"/>
              </w:rPr>
            </w:pPr>
          </w:p>
        </w:tc>
        <w:tc>
          <w:tcPr>
            <w:tcW w:w="5272" w:type="dxa"/>
            <w:tcBorders>
              <w:top w:val="single" w:sz="6" w:space="0" w:color="FF6600"/>
              <w:bottom w:val="single" w:sz="6" w:space="0" w:color="FF6600"/>
            </w:tcBorders>
            <w:vAlign w:val="center"/>
          </w:tcPr>
          <w:p w:rsidR="008F21B4" w:rsidRPr="00FC54FE" w:rsidRDefault="008F21B4" w:rsidP="001C47CA">
            <w:pPr>
              <w:pStyle w:val="SubTitleLargeTable"/>
              <w:pBdr>
                <w:top w:val="none" w:sz="0" w:space="0" w:color="auto"/>
              </w:pBdr>
              <w:rPr>
                <w:rFonts w:ascii="楷体" w:eastAsia="楷体" w:hAnsi="楷体"/>
                <w:color w:val="FF6600"/>
              </w:rPr>
            </w:pPr>
            <w:r w:rsidRPr="00FC54FE">
              <w:rPr>
                <w:rFonts w:ascii="楷体" w:eastAsia="楷体" w:hAnsi="楷体" w:hint="eastAsia"/>
                <w:color w:val="FF6600"/>
              </w:rPr>
              <w:t>图表</w:t>
            </w:r>
            <w:r>
              <w:rPr>
                <w:rFonts w:ascii="楷体" w:eastAsia="楷体" w:hAnsi="楷体"/>
                <w:color w:val="FF6600"/>
              </w:rPr>
              <w:t>6</w:t>
            </w:r>
            <w:r w:rsidRPr="00FC54FE">
              <w:rPr>
                <w:rFonts w:ascii="楷体" w:eastAsia="楷体" w:hAnsi="楷体" w:hint="eastAsia"/>
                <w:color w:val="FF6600"/>
              </w:rPr>
              <w:t>：</w:t>
            </w:r>
            <w:r>
              <w:rPr>
                <w:rFonts w:ascii="楷体" w:eastAsia="楷体" w:hAnsi="楷体" w:hint="eastAsia"/>
                <w:color w:val="FF6600"/>
              </w:rPr>
              <w:t>大成</w:t>
            </w:r>
            <w:r w:rsidRPr="00FC54FE">
              <w:rPr>
                <w:rFonts w:ascii="楷体" w:eastAsia="楷体" w:hAnsi="楷体" w:hint="eastAsia"/>
                <w:color w:val="FF6600"/>
              </w:rPr>
              <w:t>标普</w:t>
            </w:r>
            <w:r w:rsidRPr="00FC54FE">
              <w:rPr>
                <w:rFonts w:ascii="楷体" w:eastAsia="楷体" w:hAnsi="楷体"/>
                <w:color w:val="FF6600"/>
              </w:rPr>
              <w:t>500</w:t>
            </w:r>
            <w:r>
              <w:rPr>
                <w:rFonts w:ascii="楷体" w:eastAsia="楷体" w:hAnsi="楷体" w:hint="eastAsia"/>
                <w:color w:val="FF6600"/>
              </w:rPr>
              <w:t>等权重指数</w:t>
            </w:r>
            <w:r w:rsidRPr="00FC54FE">
              <w:rPr>
                <w:rFonts w:ascii="楷体" w:eastAsia="楷体" w:hAnsi="楷体" w:hint="eastAsia"/>
                <w:color w:val="FF6600"/>
              </w:rPr>
              <w:t>基金</w:t>
            </w:r>
            <w:r w:rsidRPr="007D4B9D">
              <w:rPr>
                <w:rFonts w:ascii="楷体" w:eastAsia="楷体" w:hAnsi="楷体"/>
                <w:color w:val="FF6600"/>
              </w:rPr>
              <w:t>(096001)</w:t>
            </w:r>
          </w:p>
        </w:tc>
      </w:tr>
      <w:tr w:rsidR="008F21B4" w:rsidRPr="00D41C41" w:rsidTr="00016A81">
        <w:trPr>
          <w:cantSplit/>
          <w:trHeight w:val="2429"/>
        </w:trPr>
        <w:tc>
          <w:tcPr>
            <w:tcW w:w="5272" w:type="dxa"/>
            <w:tcBorders>
              <w:top w:val="single" w:sz="6" w:space="0" w:color="FF6600"/>
              <w:bottom w:val="single" w:sz="6" w:space="0" w:color="FF6600"/>
            </w:tcBorders>
            <w:vAlign w:val="center"/>
          </w:tcPr>
          <w:p w:rsidR="008F21B4" w:rsidRPr="00D41C41" w:rsidRDefault="008F21B4" w:rsidP="001C47CA">
            <w:pPr>
              <w:jc w:val="center"/>
              <w:rPr>
                <w:rFonts w:ascii="楷体" w:eastAsia="楷体" w:hAnsi="楷体"/>
              </w:rPr>
            </w:pPr>
            <w:r w:rsidRPr="00D41C41">
              <w:rPr>
                <w:rFonts w:ascii="楷体" w:eastAsia="楷体" w:hAnsi="楷体"/>
                <w:noProof/>
              </w:rPr>
              <w:pict>
                <v:shape id="图片 1" o:spid="_x0000_i1048" type="#_x0000_t75" alt="1.jpg" style="width:261pt;height:137.25pt;visibility:visible">
                  <v:imagedata r:id="rId12" o:title=""/>
                </v:shape>
              </w:pict>
            </w:r>
          </w:p>
        </w:tc>
        <w:tc>
          <w:tcPr>
            <w:tcW w:w="227" w:type="dxa"/>
            <w:vAlign w:val="center"/>
          </w:tcPr>
          <w:p w:rsidR="008F21B4" w:rsidRPr="00D41C41" w:rsidRDefault="008F21B4" w:rsidP="001C47CA">
            <w:pPr>
              <w:jc w:val="center"/>
              <w:rPr>
                <w:rFonts w:ascii="楷体" w:eastAsia="楷体" w:hAnsi="楷体"/>
              </w:rPr>
            </w:pPr>
          </w:p>
        </w:tc>
        <w:tc>
          <w:tcPr>
            <w:tcW w:w="5272" w:type="dxa"/>
            <w:tcBorders>
              <w:top w:val="single" w:sz="6" w:space="0" w:color="FF6600"/>
              <w:bottom w:val="single" w:sz="6" w:space="0" w:color="FF6600"/>
            </w:tcBorders>
            <w:vAlign w:val="center"/>
          </w:tcPr>
          <w:p w:rsidR="008F21B4" w:rsidRPr="00D41C41" w:rsidRDefault="008F21B4" w:rsidP="001C47CA">
            <w:pPr>
              <w:jc w:val="center"/>
              <w:rPr>
                <w:rFonts w:ascii="楷体" w:eastAsia="楷体" w:hAnsi="楷体"/>
              </w:rPr>
            </w:pPr>
            <w:r w:rsidRPr="00D41C41">
              <w:rPr>
                <w:rFonts w:ascii="楷体" w:eastAsia="楷体" w:hAnsi="楷体"/>
                <w:noProof/>
              </w:rPr>
              <w:pict>
                <v:shape id="图片 2" o:spid="_x0000_i1049" type="#_x0000_t75" alt="2.jpg" style="width:261pt;height:135.75pt;visibility:visible">
                  <v:imagedata r:id="rId13" o:title=""/>
                </v:shape>
              </w:pict>
            </w:r>
          </w:p>
        </w:tc>
      </w:tr>
    </w:tbl>
    <w:p w:rsidR="008F21B4" w:rsidRDefault="008F21B4" w:rsidP="005D3072">
      <w:pPr>
        <w:pStyle w:val="FootnoteNoline"/>
        <w:ind w:left="0"/>
        <w:rPr>
          <w:rFonts w:ascii="楷体" w:eastAsia="楷体" w:hAnsi="楷体"/>
          <w:color w:val="FF6600"/>
        </w:rPr>
      </w:pPr>
      <w:r w:rsidRPr="00FC54FE">
        <w:rPr>
          <w:rFonts w:ascii="楷体" w:eastAsia="楷体" w:hAnsi="楷体" w:hint="eastAsia"/>
          <w:color w:val="FF6600"/>
        </w:rPr>
        <w:t>来源：凯石财富工场</w:t>
      </w:r>
      <w:r w:rsidRPr="00FC54FE">
        <w:rPr>
          <w:rFonts w:ascii="楷体" w:eastAsia="楷体" w:hAnsi="楷体"/>
          <w:color w:val="FF6600"/>
        </w:rPr>
        <w:t xml:space="preserve"> wind </w:t>
      </w:r>
    </w:p>
    <w:tbl>
      <w:tblPr>
        <w:tblW w:w="10771" w:type="dxa"/>
        <w:tblLayout w:type="fixed"/>
        <w:tblCellMar>
          <w:left w:w="0" w:type="dxa"/>
          <w:right w:w="0" w:type="dxa"/>
        </w:tblCellMar>
        <w:tblLook w:val="0000"/>
      </w:tblPr>
      <w:tblGrid>
        <w:gridCol w:w="5272"/>
        <w:gridCol w:w="227"/>
        <w:gridCol w:w="5272"/>
      </w:tblGrid>
      <w:tr w:rsidR="008F21B4" w:rsidRPr="00D41C41" w:rsidTr="001C47CA">
        <w:trPr>
          <w:cantSplit/>
          <w:trHeight w:val="368"/>
        </w:trPr>
        <w:tc>
          <w:tcPr>
            <w:tcW w:w="5272" w:type="dxa"/>
            <w:tcBorders>
              <w:top w:val="single" w:sz="6" w:space="0" w:color="FF6600"/>
              <w:bottom w:val="single" w:sz="6" w:space="0" w:color="FF6600"/>
            </w:tcBorders>
            <w:vAlign w:val="center"/>
          </w:tcPr>
          <w:p w:rsidR="008F21B4" w:rsidRPr="00FC54FE" w:rsidRDefault="008F21B4" w:rsidP="001C47CA">
            <w:pPr>
              <w:pStyle w:val="SubTitleLargeTable"/>
              <w:pBdr>
                <w:top w:val="none" w:sz="0" w:space="0" w:color="auto"/>
              </w:pBdr>
              <w:rPr>
                <w:rFonts w:ascii="楷体" w:eastAsia="楷体" w:hAnsi="楷体"/>
                <w:color w:val="FF6600"/>
              </w:rPr>
            </w:pPr>
            <w:r w:rsidRPr="00FC54FE">
              <w:rPr>
                <w:rFonts w:ascii="楷体" w:eastAsia="楷体" w:hAnsi="楷体" w:hint="eastAsia"/>
                <w:color w:val="FF6600"/>
              </w:rPr>
              <w:t>图表</w:t>
            </w:r>
            <w:r>
              <w:rPr>
                <w:rFonts w:ascii="楷体" w:eastAsia="楷体" w:hAnsi="楷体"/>
                <w:color w:val="FF6600"/>
              </w:rPr>
              <w:t>7</w:t>
            </w:r>
            <w:r w:rsidRPr="00FC54FE">
              <w:rPr>
                <w:rFonts w:ascii="楷体" w:eastAsia="楷体" w:hAnsi="楷体" w:hint="eastAsia"/>
                <w:color w:val="FF6600"/>
              </w:rPr>
              <w:t>：</w:t>
            </w:r>
            <w:r w:rsidRPr="00680A06">
              <w:rPr>
                <w:rFonts w:ascii="楷体" w:eastAsia="楷体" w:hAnsi="楷体" w:hint="eastAsia"/>
                <w:color w:val="FF6600"/>
              </w:rPr>
              <w:t>鹏华</w:t>
            </w:r>
            <w:r>
              <w:rPr>
                <w:rFonts w:ascii="楷体" w:eastAsia="楷体" w:hAnsi="楷体" w:hint="eastAsia"/>
                <w:color w:val="FF6600"/>
              </w:rPr>
              <w:t>美国</w:t>
            </w:r>
            <w:r w:rsidRPr="00680A06">
              <w:rPr>
                <w:rFonts w:ascii="楷体" w:eastAsia="楷体" w:hAnsi="楷体" w:hint="eastAsia"/>
                <w:color w:val="FF6600"/>
              </w:rPr>
              <w:t>房地产基金</w:t>
            </w:r>
            <w:r w:rsidRPr="007D4B9D">
              <w:rPr>
                <w:rFonts w:ascii="楷体" w:eastAsia="楷体" w:hAnsi="楷体"/>
                <w:color w:val="FF6600"/>
              </w:rPr>
              <w:t>(206011)</w:t>
            </w:r>
          </w:p>
        </w:tc>
        <w:tc>
          <w:tcPr>
            <w:tcW w:w="227" w:type="dxa"/>
            <w:vAlign w:val="center"/>
          </w:tcPr>
          <w:p w:rsidR="008F21B4" w:rsidRPr="00FC54FE" w:rsidRDefault="008F21B4" w:rsidP="001C47CA">
            <w:pPr>
              <w:jc w:val="center"/>
              <w:rPr>
                <w:rFonts w:ascii="楷体" w:eastAsia="楷体" w:hAnsi="楷体" w:cs="Arial"/>
                <w:b/>
                <w:bCs/>
                <w:i/>
                <w:iCs/>
                <w:color w:val="FF6600"/>
                <w:kern w:val="0"/>
                <w:szCs w:val="21"/>
                <w:lang w:val="en-GB"/>
              </w:rPr>
            </w:pPr>
          </w:p>
        </w:tc>
        <w:tc>
          <w:tcPr>
            <w:tcW w:w="5272" w:type="dxa"/>
            <w:tcBorders>
              <w:top w:val="single" w:sz="6" w:space="0" w:color="FF6600"/>
              <w:bottom w:val="single" w:sz="6" w:space="0" w:color="FF6600"/>
            </w:tcBorders>
            <w:vAlign w:val="center"/>
          </w:tcPr>
          <w:p w:rsidR="008F21B4" w:rsidRPr="00FC54FE" w:rsidRDefault="008F21B4" w:rsidP="001C47CA">
            <w:pPr>
              <w:pStyle w:val="SubTitleLargeTable"/>
              <w:pBdr>
                <w:top w:val="none" w:sz="0" w:space="0" w:color="auto"/>
              </w:pBdr>
              <w:rPr>
                <w:rFonts w:ascii="楷体" w:eastAsia="楷体" w:hAnsi="楷体"/>
                <w:color w:val="FF6600"/>
              </w:rPr>
            </w:pPr>
          </w:p>
        </w:tc>
      </w:tr>
      <w:tr w:rsidR="008F21B4" w:rsidRPr="00D41C41" w:rsidTr="001C47CA">
        <w:trPr>
          <w:cantSplit/>
          <w:trHeight w:val="3016"/>
        </w:trPr>
        <w:tc>
          <w:tcPr>
            <w:tcW w:w="5272" w:type="dxa"/>
            <w:tcBorders>
              <w:top w:val="single" w:sz="6" w:space="0" w:color="FF6600"/>
              <w:bottom w:val="single" w:sz="6" w:space="0" w:color="FF6600"/>
            </w:tcBorders>
            <w:vAlign w:val="center"/>
          </w:tcPr>
          <w:p w:rsidR="008F21B4" w:rsidRPr="00D41C41" w:rsidRDefault="008F21B4" w:rsidP="001C47CA">
            <w:pPr>
              <w:jc w:val="center"/>
              <w:rPr>
                <w:rFonts w:ascii="楷体" w:eastAsia="楷体" w:hAnsi="楷体"/>
              </w:rPr>
            </w:pPr>
            <w:r w:rsidRPr="00D41C41">
              <w:rPr>
                <w:rFonts w:ascii="楷体" w:eastAsia="楷体" w:hAnsi="楷体"/>
                <w:noProof/>
              </w:rPr>
              <w:pict>
                <v:shape id="_x0000_i1050" type="#_x0000_t75" alt="3.jpg" style="width:262.5pt;height:151.5pt;visibility:visible">
                  <v:imagedata r:id="rId14" o:title=""/>
                </v:shape>
              </w:pict>
            </w:r>
          </w:p>
        </w:tc>
        <w:tc>
          <w:tcPr>
            <w:tcW w:w="227" w:type="dxa"/>
            <w:vAlign w:val="center"/>
          </w:tcPr>
          <w:p w:rsidR="008F21B4" w:rsidRPr="00D41C41" w:rsidRDefault="008F21B4" w:rsidP="001C47CA">
            <w:pPr>
              <w:jc w:val="center"/>
              <w:rPr>
                <w:rFonts w:ascii="楷体" w:eastAsia="楷体" w:hAnsi="楷体"/>
              </w:rPr>
            </w:pPr>
          </w:p>
        </w:tc>
        <w:tc>
          <w:tcPr>
            <w:tcW w:w="5272" w:type="dxa"/>
            <w:tcBorders>
              <w:top w:val="single" w:sz="6" w:space="0" w:color="FF6600"/>
              <w:bottom w:val="single" w:sz="6" w:space="0" w:color="FF6600"/>
            </w:tcBorders>
            <w:vAlign w:val="center"/>
          </w:tcPr>
          <w:p w:rsidR="008F21B4" w:rsidRPr="00D41C41" w:rsidRDefault="008F21B4" w:rsidP="001C47CA">
            <w:pPr>
              <w:jc w:val="center"/>
              <w:rPr>
                <w:rFonts w:ascii="楷体" w:eastAsia="楷体" w:hAnsi="楷体"/>
              </w:rPr>
            </w:pPr>
          </w:p>
        </w:tc>
      </w:tr>
    </w:tbl>
    <w:p w:rsidR="008F21B4" w:rsidRPr="005D3072" w:rsidRDefault="008F21B4" w:rsidP="005D3072">
      <w:pPr>
        <w:pStyle w:val="FootnoteNoline"/>
        <w:ind w:left="0"/>
        <w:rPr>
          <w:rFonts w:ascii="楷体" w:eastAsia="楷体" w:hAnsi="楷体"/>
          <w:color w:val="FF6600"/>
        </w:rPr>
      </w:pPr>
      <w:r w:rsidRPr="00FC54FE">
        <w:rPr>
          <w:rFonts w:ascii="楷体" w:eastAsia="楷体" w:hAnsi="楷体" w:hint="eastAsia"/>
          <w:color w:val="FF6600"/>
        </w:rPr>
        <w:t>来源：凯石财富工场</w:t>
      </w:r>
      <w:r w:rsidRPr="00FC54FE">
        <w:rPr>
          <w:rFonts w:ascii="楷体" w:eastAsia="楷体" w:hAnsi="楷体"/>
          <w:color w:val="FF6600"/>
        </w:rPr>
        <w:t xml:space="preserve"> wind </w:t>
      </w:r>
    </w:p>
    <w:tbl>
      <w:tblPr>
        <w:tblW w:w="10771" w:type="dxa"/>
        <w:tblLayout w:type="fixed"/>
        <w:tblCellMar>
          <w:left w:w="0" w:type="dxa"/>
          <w:right w:w="0" w:type="dxa"/>
        </w:tblCellMar>
        <w:tblLook w:val="0000"/>
      </w:tblPr>
      <w:tblGrid>
        <w:gridCol w:w="5272"/>
        <w:gridCol w:w="227"/>
        <w:gridCol w:w="5272"/>
      </w:tblGrid>
      <w:tr w:rsidR="008F21B4" w:rsidRPr="00D41C41" w:rsidTr="00CF492F">
        <w:trPr>
          <w:cantSplit/>
          <w:trHeight w:val="368"/>
        </w:trPr>
        <w:tc>
          <w:tcPr>
            <w:tcW w:w="5272" w:type="dxa"/>
            <w:tcBorders>
              <w:top w:val="single" w:sz="6" w:space="0" w:color="FF6600"/>
              <w:bottom w:val="single" w:sz="6" w:space="0" w:color="FF6600"/>
            </w:tcBorders>
            <w:vAlign w:val="center"/>
          </w:tcPr>
          <w:p w:rsidR="008F21B4" w:rsidRPr="00FC54FE" w:rsidRDefault="008F21B4" w:rsidP="00CF492F">
            <w:pPr>
              <w:pStyle w:val="SubTitleLargeTable"/>
              <w:pBdr>
                <w:top w:val="none" w:sz="0" w:space="0" w:color="auto"/>
              </w:pBdr>
              <w:rPr>
                <w:rFonts w:ascii="楷体" w:eastAsia="楷体" w:hAnsi="楷体"/>
                <w:color w:val="FF6600"/>
              </w:rPr>
            </w:pPr>
            <w:r w:rsidRPr="00FC54FE">
              <w:rPr>
                <w:rFonts w:ascii="楷体" w:eastAsia="楷体" w:hAnsi="楷体" w:hint="eastAsia"/>
                <w:color w:val="FF6600"/>
              </w:rPr>
              <w:t>图表</w:t>
            </w:r>
            <w:r>
              <w:rPr>
                <w:rFonts w:ascii="楷体" w:eastAsia="楷体" w:hAnsi="楷体"/>
                <w:color w:val="FF6600"/>
              </w:rPr>
              <w:t>8</w:t>
            </w:r>
            <w:r>
              <w:rPr>
                <w:rFonts w:ascii="楷体" w:eastAsia="楷体" w:hAnsi="楷体" w:hint="eastAsia"/>
                <w:color w:val="FF6600"/>
              </w:rPr>
              <w:t>：</w:t>
            </w:r>
            <w:r w:rsidRPr="001E3EEC">
              <w:rPr>
                <w:rFonts w:ascii="楷体" w:eastAsia="楷体" w:hAnsi="楷体" w:hint="eastAsia"/>
                <w:color w:val="FF6600"/>
              </w:rPr>
              <w:t>富国中国中小盘</w:t>
            </w:r>
            <w:r>
              <w:rPr>
                <w:rFonts w:ascii="楷体" w:eastAsia="楷体" w:hAnsi="楷体" w:hint="eastAsia"/>
                <w:color w:val="FF6600"/>
              </w:rPr>
              <w:t>基金</w:t>
            </w:r>
            <w:r w:rsidRPr="001E3EEC">
              <w:rPr>
                <w:rFonts w:ascii="楷体" w:eastAsia="楷体" w:hAnsi="楷体"/>
                <w:color w:val="FF6600"/>
              </w:rPr>
              <w:t>(100061)</w:t>
            </w:r>
          </w:p>
        </w:tc>
        <w:tc>
          <w:tcPr>
            <w:tcW w:w="227" w:type="dxa"/>
            <w:vAlign w:val="center"/>
          </w:tcPr>
          <w:p w:rsidR="008F21B4" w:rsidRPr="00FC54FE" w:rsidRDefault="008F21B4" w:rsidP="00CF492F">
            <w:pPr>
              <w:jc w:val="center"/>
              <w:rPr>
                <w:rFonts w:ascii="楷体" w:eastAsia="楷体" w:hAnsi="楷体" w:cs="Arial"/>
                <w:b/>
                <w:bCs/>
                <w:i/>
                <w:iCs/>
                <w:color w:val="FF6600"/>
                <w:kern w:val="0"/>
                <w:szCs w:val="21"/>
                <w:lang w:val="en-GB"/>
              </w:rPr>
            </w:pPr>
          </w:p>
        </w:tc>
        <w:tc>
          <w:tcPr>
            <w:tcW w:w="5272" w:type="dxa"/>
            <w:tcBorders>
              <w:top w:val="single" w:sz="6" w:space="0" w:color="FF6600"/>
              <w:bottom w:val="single" w:sz="6" w:space="0" w:color="FF6600"/>
            </w:tcBorders>
            <w:vAlign w:val="center"/>
          </w:tcPr>
          <w:p w:rsidR="008F21B4" w:rsidRPr="00FC54FE" w:rsidRDefault="008F21B4" w:rsidP="00CF492F">
            <w:pPr>
              <w:pStyle w:val="SubTitleLargeTable"/>
              <w:pBdr>
                <w:top w:val="none" w:sz="0" w:space="0" w:color="auto"/>
              </w:pBdr>
              <w:rPr>
                <w:rFonts w:ascii="楷体" w:eastAsia="楷体" w:hAnsi="楷体"/>
                <w:color w:val="FF6600"/>
              </w:rPr>
            </w:pPr>
            <w:r w:rsidRPr="00FC54FE">
              <w:rPr>
                <w:rFonts w:ascii="楷体" w:eastAsia="楷体" w:hAnsi="楷体" w:hint="eastAsia"/>
                <w:color w:val="FF6600"/>
              </w:rPr>
              <w:t>图表</w:t>
            </w:r>
            <w:r>
              <w:rPr>
                <w:rFonts w:ascii="楷体" w:eastAsia="楷体" w:hAnsi="楷体"/>
                <w:color w:val="FF6600"/>
              </w:rPr>
              <w:t>9</w:t>
            </w:r>
            <w:r w:rsidRPr="00FC54FE">
              <w:rPr>
                <w:rFonts w:ascii="楷体" w:eastAsia="楷体" w:hAnsi="楷体" w:hint="eastAsia"/>
                <w:color w:val="FF6600"/>
              </w:rPr>
              <w:t>：</w:t>
            </w:r>
            <w:r w:rsidRPr="007D4B9D">
              <w:rPr>
                <w:rFonts w:ascii="楷体" w:eastAsia="楷体" w:hAnsi="楷体" w:hint="eastAsia"/>
                <w:color w:val="FF6600"/>
              </w:rPr>
              <w:t>华夏恒生</w:t>
            </w:r>
            <w:r w:rsidRPr="007D4B9D">
              <w:rPr>
                <w:rFonts w:ascii="楷体" w:eastAsia="楷体" w:hAnsi="楷体"/>
                <w:color w:val="FF6600"/>
              </w:rPr>
              <w:t>ETF</w:t>
            </w:r>
            <w:r w:rsidRPr="007D4B9D">
              <w:rPr>
                <w:rFonts w:ascii="楷体" w:eastAsia="楷体" w:hAnsi="楷体" w:hint="eastAsia"/>
                <w:color w:val="FF6600"/>
              </w:rPr>
              <w:t>基金</w:t>
            </w:r>
            <w:r w:rsidRPr="007D4B9D">
              <w:rPr>
                <w:rFonts w:ascii="楷体" w:eastAsia="楷体" w:hAnsi="楷体"/>
                <w:color w:val="FF6600"/>
              </w:rPr>
              <w:t>(159920)</w:t>
            </w:r>
          </w:p>
        </w:tc>
      </w:tr>
      <w:tr w:rsidR="008F21B4" w:rsidRPr="00D41C41" w:rsidTr="00CF492F">
        <w:trPr>
          <w:cantSplit/>
          <w:trHeight w:val="3016"/>
        </w:trPr>
        <w:tc>
          <w:tcPr>
            <w:tcW w:w="5272" w:type="dxa"/>
            <w:tcBorders>
              <w:top w:val="single" w:sz="6" w:space="0" w:color="FF6600"/>
              <w:bottom w:val="single" w:sz="6" w:space="0" w:color="FF6600"/>
            </w:tcBorders>
            <w:vAlign w:val="center"/>
          </w:tcPr>
          <w:p w:rsidR="008F21B4" w:rsidRPr="00D41C41" w:rsidRDefault="008F21B4" w:rsidP="00CF492F">
            <w:pPr>
              <w:jc w:val="center"/>
              <w:rPr>
                <w:rFonts w:ascii="楷体" w:eastAsia="楷体" w:hAnsi="楷体"/>
              </w:rPr>
            </w:pPr>
            <w:r w:rsidRPr="00D41C41">
              <w:rPr>
                <w:rFonts w:ascii="楷体" w:eastAsia="楷体" w:hAnsi="楷体"/>
                <w:noProof/>
              </w:rPr>
              <w:pict>
                <v:shape id="图片 6" o:spid="_x0000_i1051" type="#_x0000_t75" alt="4.jpg" style="width:262.5pt;height:152.25pt;visibility:visible">
                  <v:imagedata r:id="rId15" o:title=""/>
                </v:shape>
              </w:pict>
            </w:r>
          </w:p>
        </w:tc>
        <w:tc>
          <w:tcPr>
            <w:tcW w:w="227" w:type="dxa"/>
            <w:vAlign w:val="center"/>
          </w:tcPr>
          <w:p w:rsidR="008F21B4" w:rsidRPr="00D41C41" w:rsidRDefault="008F21B4" w:rsidP="00CF492F">
            <w:pPr>
              <w:jc w:val="center"/>
              <w:rPr>
                <w:rFonts w:ascii="楷体" w:eastAsia="楷体" w:hAnsi="楷体"/>
              </w:rPr>
            </w:pPr>
          </w:p>
        </w:tc>
        <w:tc>
          <w:tcPr>
            <w:tcW w:w="5272" w:type="dxa"/>
            <w:tcBorders>
              <w:top w:val="single" w:sz="6" w:space="0" w:color="FF6600"/>
              <w:bottom w:val="single" w:sz="6" w:space="0" w:color="FF6600"/>
            </w:tcBorders>
            <w:vAlign w:val="center"/>
          </w:tcPr>
          <w:p w:rsidR="008F21B4" w:rsidRPr="00D41C41" w:rsidRDefault="008F21B4" w:rsidP="00CF492F">
            <w:pPr>
              <w:jc w:val="center"/>
              <w:rPr>
                <w:rFonts w:ascii="楷体" w:eastAsia="楷体" w:hAnsi="楷体"/>
              </w:rPr>
            </w:pPr>
            <w:r w:rsidRPr="00D41C41">
              <w:rPr>
                <w:rFonts w:ascii="楷体" w:eastAsia="楷体" w:hAnsi="楷体"/>
                <w:noProof/>
              </w:rPr>
              <w:pict>
                <v:shape id="图片 9" o:spid="_x0000_i1052" type="#_x0000_t75" alt="5.jpg" style="width:260.25pt;height:150.75pt;visibility:visible">
                  <v:imagedata r:id="rId16" o:title=""/>
                </v:shape>
              </w:pict>
            </w:r>
          </w:p>
        </w:tc>
      </w:tr>
    </w:tbl>
    <w:p w:rsidR="008F21B4" w:rsidRPr="001E3EEC" w:rsidRDefault="008F21B4" w:rsidP="001E3EEC">
      <w:pPr>
        <w:pStyle w:val="FootnoteNoline"/>
        <w:ind w:left="0"/>
        <w:rPr>
          <w:rFonts w:ascii="楷体" w:eastAsia="楷体" w:hAnsi="楷体"/>
          <w:color w:val="FF6600"/>
        </w:rPr>
      </w:pPr>
      <w:r w:rsidRPr="00FC54FE">
        <w:rPr>
          <w:rFonts w:ascii="楷体" w:eastAsia="楷体" w:hAnsi="楷体" w:hint="eastAsia"/>
          <w:color w:val="FF6600"/>
        </w:rPr>
        <w:t>来源：凯石财富工场</w:t>
      </w:r>
      <w:r w:rsidRPr="00FC54FE">
        <w:rPr>
          <w:rFonts w:ascii="楷体" w:eastAsia="楷体" w:hAnsi="楷体"/>
          <w:color w:val="FF6600"/>
        </w:rPr>
        <w:t xml:space="preserve"> wind </w:t>
      </w:r>
    </w:p>
    <w:tbl>
      <w:tblPr>
        <w:tblW w:w="10771" w:type="dxa"/>
        <w:tblLayout w:type="fixed"/>
        <w:tblCellMar>
          <w:left w:w="0" w:type="dxa"/>
          <w:right w:w="0" w:type="dxa"/>
        </w:tblCellMar>
        <w:tblLook w:val="0000"/>
      </w:tblPr>
      <w:tblGrid>
        <w:gridCol w:w="5272"/>
        <w:gridCol w:w="227"/>
        <w:gridCol w:w="5272"/>
      </w:tblGrid>
      <w:tr w:rsidR="008F21B4" w:rsidRPr="00D41C41" w:rsidTr="00906A8D">
        <w:trPr>
          <w:cantSplit/>
          <w:trHeight w:val="368"/>
        </w:trPr>
        <w:tc>
          <w:tcPr>
            <w:tcW w:w="5272" w:type="dxa"/>
            <w:tcBorders>
              <w:top w:val="single" w:sz="6" w:space="0" w:color="FF6600"/>
              <w:bottom w:val="single" w:sz="6" w:space="0" w:color="FF6600"/>
            </w:tcBorders>
            <w:vAlign w:val="center"/>
          </w:tcPr>
          <w:p w:rsidR="008F21B4" w:rsidRPr="00FC54FE" w:rsidRDefault="008F21B4" w:rsidP="00906A8D">
            <w:pPr>
              <w:pStyle w:val="SubTitleLargeTable"/>
              <w:pBdr>
                <w:top w:val="none" w:sz="0" w:space="0" w:color="auto"/>
              </w:pBdr>
              <w:rPr>
                <w:rFonts w:ascii="楷体" w:eastAsia="楷体" w:hAnsi="楷体"/>
                <w:color w:val="FF6600"/>
              </w:rPr>
            </w:pPr>
            <w:r w:rsidRPr="00FC54FE">
              <w:rPr>
                <w:rFonts w:ascii="楷体" w:eastAsia="楷体" w:hAnsi="楷体" w:hint="eastAsia"/>
                <w:color w:val="FF6600"/>
              </w:rPr>
              <w:t>图表</w:t>
            </w:r>
            <w:r>
              <w:rPr>
                <w:rFonts w:ascii="楷体" w:eastAsia="楷体" w:hAnsi="楷体"/>
                <w:color w:val="FF6600"/>
              </w:rPr>
              <w:t>10</w:t>
            </w:r>
            <w:r w:rsidRPr="00FC54FE">
              <w:rPr>
                <w:rFonts w:ascii="楷体" w:eastAsia="楷体" w:hAnsi="楷体" w:hint="eastAsia"/>
                <w:color w:val="FF6600"/>
              </w:rPr>
              <w:t>：</w:t>
            </w:r>
            <w:r w:rsidRPr="007D4B9D">
              <w:rPr>
                <w:rFonts w:ascii="楷体" w:eastAsia="楷体" w:hAnsi="楷体" w:hint="eastAsia"/>
                <w:color w:val="FF6600"/>
              </w:rPr>
              <w:t>嘉实恒生中国企业基金</w:t>
            </w:r>
            <w:r w:rsidRPr="007D4B9D">
              <w:rPr>
                <w:rFonts w:ascii="楷体" w:eastAsia="楷体" w:hAnsi="楷体"/>
                <w:color w:val="FF6600"/>
              </w:rPr>
              <w:t>(160717)</w:t>
            </w:r>
          </w:p>
        </w:tc>
        <w:tc>
          <w:tcPr>
            <w:tcW w:w="227" w:type="dxa"/>
            <w:vAlign w:val="center"/>
          </w:tcPr>
          <w:p w:rsidR="008F21B4" w:rsidRPr="00FC54FE" w:rsidRDefault="008F21B4" w:rsidP="00906A8D">
            <w:pPr>
              <w:jc w:val="center"/>
              <w:rPr>
                <w:rFonts w:ascii="楷体" w:eastAsia="楷体" w:hAnsi="楷体" w:cs="Arial"/>
                <w:b/>
                <w:bCs/>
                <w:i/>
                <w:iCs/>
                <w:color w:val="FF6600"/>
                <w:kern w:val="0"/>
                <w:szCs w:val="21"/>
                <w:lang w:val="en-GB"/>
              </w:rPr>
            </w:pPr>
          </w:p>
        </w:tc>
        <w:tc>
          <w:tcPr>
            <w:tcW w:w="5272" w:type="dxa"/>
            <w:tcBorders>
              <w:top w:val="single" w:sz="6" w:space="0" w:color="FF6600"/>
              <w:bottom w:val="single" w:sz="6" w:space="0" w:color="FF6600"/>
            </w:tcBorders>
            <w:vAlign w:val="center"/>
          </w:tcPr>
          <w:p w:rsidR="008F21B4" w:rsidRPr="00FC54FE" w:rsidRDefault="008F21B4" w:rsidP="00906A8D">
            <w:pPr>
              <w:pStyle w:val="SubTitleLargeTable"/>
              <w:pBdr>
                <w:top w:val="none" w:sz="0" w:space="0" w:color="auto"/>
              </w:pBdr>
              <w:rPr>
                <w:rFonts w:ascii="楷体" w:eastAsia="楷体" w:hAnsi="楷体"/>
                <w:color w:val="FF6600"/>
              </w:rPr>
            </w:pPr>
            <w:r w:rsidRPr="00FC54FE">
              <w:rPr>
                <w:rFonts w:ascii="楷体" w:eastAsia="楷体" w:hAnsi="楷体" w:hint="eastAsia"/>
                <w:color w:val="FF6600"/>
              </w:rPr>
              <w:t>图表</w:t>
            </w:r>
            <w:r>
              <w:rPr>
                <w:rFonts w:ascii="楷体" w:eastAsia="楷体" w:hAnsi="楷体"/>
                <w:color w:val="FF6600"/>
              </w:rPr>
              <w:t>11</w:t>
            </w:r>
            <w:r w:rsidRPr="00FC54FE">
              <w:rPr>
                <w:rFonts w:ascii="楷体" w:eastAsia="楷体" w:hAnsi="楷体" w:hint="eastAsia"/>
                <w:color w:val="FF6600"/>
              </w:rPr>
              <w:t>：</w:t>
            </w:r>
            <w:r w:rsidRPr="00E3353D">
              <w:rPr>
                <w:rFonts w:ascii="楷体" w:eastAsia="楷体" w:hAnsi="楷体" w:hint="eastAsia"/>
                <w:color w:val="FF6600"/>
              </w:rPr>
              <w:t>博时大中华亚太精选基金</w:t>
            </w:r>
            <w:r w:rsidRPr="007D4B9D">
              <w:rPr>
                <w:rFonts w:ascii="楷体" w:eastAsia="楷体" w:hAnsi="楷体"/>
                <w:color w:val="FF6600"/>
              </w:rPr>
              <w:t>(050015)</w:t>
            </w:r>
          </w:p>
        </w:tc>
      </w:tr>
      <w:tr w:rsidR="008F21B4" w:rsidRPr="00D41C41" w:rsidTr="00906A8D">
        <w:trPr>
          <w:cantSplit/>
          <w:trHeight w:val="3016"/>
        </w:trPr>
        <w:tc>
          <w:tcPr>
            <w:tcW w:w="5272" w:type="dxa"/>
            <w:tcBorders>
              <w:top w:val="single" w:sz="6" w:space="0" w:color="FF6600"/>
              <w:bottom w:val="single" w:sz="6" w:space="0" w:color="FF6600"/>
            </w:tcBorders>
            <w:vAlign w:val="center"/>
          </w:tcPr>
          <w:p w:rsidR="008F21B4" w:rsidRPr="00D41C41" w:rsidRDefault="008F21B4" w:rsidP="00906A8D">
            <w:pPr>
              <w:jc w:val="center"/>
              <w:rPr>
                <w:rFonts w:ascii="楷体" w:eastAsia="楷体" w:hAnsi="楷体"/>
              </w:rPr>
            </w:pPr>
            <w:r w:rsidRPr="00D41C41">
              <w:rPr>
                <w:rFonts w:ascii="楷体" w:eastAsia="楷体" w:hAnsi="楷体"/>
                <w:noProof/>
              </w:rPr>
              <w:pict>
                <v:shape id="_x0000_i1053" type="#_x0000_t75" alt="6.jpg" style="width:260.25pt;height:153.75pt;visibility:visible">
                  <v:imagedata r:id="rId17" o:title=""/>
                </v:shape>
              </w:pict>
            </w:r>
          </w:p>
        </w:tc>
        <w:tc>
          <w:tcPr>
            <w:tcW w:w="227" w:type="dxa"/>
            <w:vAlign w:val="center"/>
          </w:tcPr>
          <w:p w:rsidR="008F21B4" w:rsidRPr="00D41C41" w:rsidRDefault="008F21B4" w:rsidP="00906A8D">
            <w:pPr>
              <w:jc w:val="center"/>
              <w:rPr>
                <w:rFonts w:ascii="楷体" w:eastAsia="楷体" w:hAnsi="楷体"/>
              </w:rPr>
            </w:pPr>
          </w:p>
        </w:tc>
        <w:tc>
          <w:tcPr>
            <w:tcW w:w="5272" w:type="dxa"/>
            <w:tcBorders>
              <w:top w:val="single" w:sz="6" w:space="0" w:color="FF6600"/>
              <w:bottom w:val="single" w:sz="6" w:space="0" w:color="FF6600"/>
            </w:tcBorders>
            <w:vAlign w:val="center"/>
          </w:tcPr>
          <w:p w:rsidR="008F21B4" w:rsidRPr="00D41C41" w:rsidRDefault="008F21B4" w:rsidP="00906A8D">
            <w:pPr>
              <w:jc w:val="center"/>
              <w:rPr>
                <w:rFonts w:ascii="楷体" w:eastAsia="楷体" w:hAnsi="楷体"/>
              </w:rPr>
            </w:pPr>
            <w:r w:rsidRPr="00D41C41">
              <w:rPr>
                <w:rFonts w:ascii="楷体" w:eastAsia="楷体" w:hAnsi="楷体"/>
                <w:noProof/>
              </w:rPr>
              <w:pict>
                <v:shape id="图片 12" o:spid="_x0000_i1054" type="#_x0000_t75" alt="7.jpg" style="width:262.5pt;height:151.5pt;visibility:visible">
                  <v:imagedata r:id="rId18" o:title=""/>
                </v:shape>
              </w:pict>
            </w:r>
          </w:p>
        </w:tc>
      </w:tr>
    </w:tbl>
    <w:p w:rsidR="008F21B4" w:rsidRPr="00082426" w:rsidRDefault="008F21B4" w:rsidP="00082426">
      <w:pPr>
        <w:pStyle w:val="FootnoteNoline"/>
        <w:ind w:left="0"/>
        <w:rPr>
          <w:rFonts w:ascii="楷体" w:eastAsia="楷体" w:hAnsi="楷体"/>
          <w:color w:val="FF6600"/>
        </w:rPr>
      </w:pPr>
      <w:r w:rsidRPr="00FC54FE">
        <w:rPr>
          <w:rFonts w:ascii="楷体" w:eastAsia="楷体" w:hAnsi="楷体" w:hint="eastAsia"/>
          <w:color w:val="FF6600"/>
        </w:rPr>
        <w:t>来源：凯石财富工场</w:t>
      </w:r>
      <w:r w:rsidRPr="00FC54FE">
        <w:rPr>
          <w:rFonts w:ascii="楷体" w:eastAsia="楷体" w:hAnsi="楷体"/>
          <w:color w:val="FF6600"/>
        </w:rPr>
        <w:t xml:space="preserve"> wind </w:t>
      </w:r>
    </w:p>
    <w:p w:rsidR="008F21B4" w:rsidRPr="00FC54FE" w:rsidRDefault="008F21B4">
      <w:pPr>
        <w:widowControl/>
        <w:jc w:val="left"/>
        <w:rPr>
          <w:rFonts w:ascii="楷体" w:eastAsia="楷体" w:hAnsi="楷体"/>
          <w:b/>
          <w:kern w:val="0"/>
          <w:szCs w:val="20"/>
          <w:lang w:val="en-GB"/>
        </w:rPr>
      </w:pPr>
      <w:r w:rsidRPr="00FC54FE">
        <w:rPr>
          <w:rFonts w:ascii="楷体" w:eastAsia="楷体" w:hAnsi="楷体"/>
          <w:b/>
          <w:kern w:val="0"/>
          <w:szCs w:val="20"/>
          <w:lang w:val="en-GB"/>
        </w:rPr>
        <w:br w:type="page"/>
      </w:r>
    </w:p>
    <w:p w:rsidR="008F21B4" w:rsidRPr="00FC54FE" w:rsidRDefault="008F21B4" w:rsidP="00593E61">
      <w:pPr>
        <w:pStyle w:val="a4"/>
        <w:spacing w:after="312"/>
        <w:rPr>
          <w:rFonts w:ascii="楷体" w:eastAsia="楷体" w:hAnsi="楷体"/>
          <w:b/>
          <w:sz w:val="21"/>
          <w:szCs w:val="21"/>
        </w:rPr>
      </w:pPr>
      <w:r w:rsidRPr="00FC54FE">
        <w:rPr>
          <w:rFonts w:ascii="楷体" w:eastAsia="楷体" w:hAnsi="楷体" w:hint="eastAsia"/>
          <w:b/>
          <w:kern w:val="0"/>
          <w:sz w:val="21"/>
          <w:szCs w:val="20"/>
          <w:lang w:val="en-GB"/>
        </w:rPr>
        <w:t>特别声明：</w:t>
      </w:r>
    </w:p>
    <w:p w:rsidR="008F21B4" w:rsidRPr="00FC54FE" w:rsidRDefault="008F21B4" w:rsidP="00695302">
      <w:pPr>
        <w:pStyle w:val="a4"/>
        <w:spacing w:beforeLines="50" w:after="312"/>
        <w:rPr>
          <w:rFonts w:ascii="楷体" w:eastAsia="楷体" w:hAnsi="楷体"/>
          <w:kern w:val="0"/>
          <w:sz w:val="21"/>
          <w:szCs w:val="20"/>
          <w:lang w:val="en-GB"/>
        </w:rPr>
      </w:pPr>
      <w:r w:rsidRPr="00FC54FE">
        <w:rPr>
          <w:rFonts w:ascii="楷体" w:eastAsia="楷体" w:hAnsi="楷体" w:hint="eastAsia"/>
          <w:kern w:val="0"/>
          <w:sz w:val="21"/>
          <w:szCs w:val="20"/>
          <w:lang w:val="en-GB"/>
        </w:rPr>
        <w:t>本报告中的所有内容版权均属上海凯石财富投资管理有限公司（以下简称“本公司”），未经本公司事先书面授权，不得以任何方式修改、发送或者复制本报告及其所包含的材料、内容。所有本报告中使用的商标、服务标记及标记均为本公司的商标、服务标记及标记。如欲引用或转载本文内容，务必联络本公司研究中心并获得许可，并需注明出处为上海凯石财富投资有限公司研究中心，且不得对本文进行任何有悖原意的引用和删改。</w:t>
      </w:r>
    </w:p>
    <w:p w:rsidR="008F21B4" w:rsidRPr="00FC54FE" w:rsidRDefault="008F21B4" w:rsidP="00695302">
      <w:pPr>
        <w:pStyle w:val="a4"/>
        <w:spacing w:beforeLines="50" w:after="312"/>
        <w:rPr>
          <w:rFonts w:ascii="楷体" w:eastAsia="楷体" w:hAnsi="楷体"/>
          <w:kern w:val="0"/>
          <w:sz w:val="21"/>
          <w:szCs w:val="20"/>
          <w:lang w:val="en-GB"/>
        </w:rPr>
      </w:pPr>
      <w:r w:rsidRPr="00FC54FE">
        <w:rPr>
          <w:rFonts w:ascii="楷体" w:eastAsia="楷体" w:hAnsi="楷体" w:hint="eastAsia"/>
          <w:kern w:val="0"/>
          <w:sz w:val="21"/>
          <w:szCs w:val="20"/>
          <w:lang w:val="en-GB"/>
        </w:rPr>
        <w:t>本报告是基于已公开信息撰写，其所载资料的来源及观点的出处均被本公司认为可靠，但本公司不保证其准确性或完整性。本报告所载的资料、意见及推测反映本公司于最初发布此报告日期当日的判断，其所指的基金或者其他理财产品的价格、价值及投资收入可能会波动，在不同时期，本公司可发出与本报告所载资料、意见及推测不一致的报告。</w:t>
      </w:r>
    </w:p>
    <w:p w:rsidR="008F21B4" w:rsidRPr="00FC54FE" w:rsidRDefault="008F21B4" w:rsidP="00695302">
      <w:pPr>
        <w:pStyle w:val="a4"/>
        <w:spacing w:beforeLines="50" w:after="312"/>
        <w:rPr>
          <w:rFonts w:ascii="楷体" w:eastAsia="楷体" w:hAnsi="楷体"/>
          <w:kern w:val="0"/>
          <w:sz w:val="21"/>
          <w:szCs w:val="20"/>
          <w:lang w:val="en-GB"/>
        </w:rPr>
      </w:pPr>
      <w:r w:rsidRPr="00FC54FE">
        <w:rPr>
          <w:rFonts w:ascii="楷体" w:eastAsia="楷体" w:hAnsi="楷体" w:hint="eastAsia"/>
          <w:kern w:val="0"/>
          <w:sz w:val="21"/>
          <w:szCs w:val="20"/>
          <w:lang w:val="en-GB"/>
        </w:rPr>
        <w:t>本报告所载的除法律或规则规定必须承担的责任外，本公司不对因使用此报告的材料而引致的损失负任何责任。本报告不构成私人咨询建议，也没有考虑到个别客户特殊的投资目标、财务状况或需要。本报告所载的资料、工具、意见及推测只提供给客户做参考之用，并未作为或被是为出售或购买其他投资标的邀请或向他人做出邀请。</w:t>
      </w:r>
    </w:p>
    <w:p w:rsidR="008F21B4" w:rsidRPr="00FC54FE" w:rsidRDefault="008F21B4">
      <w:pPr>
        <w:rPr>
          <w:rFonts w:ascii="楷体" w:eastAsia="楷体" w:hAnsi="楷体"/>
          <w:lang w:val="en-GB"/>
        </w:rPr>
      </w:pPr>
    </w:p>
    <w:sectPr w:rsidR="008F21B4" w:rsidRPr="00FC54FE" w:rsidSect="00656031">
      <w:headerReference w:type="default" r:id="rId19"/>
      <w:footerReference w:type="default" r:id="rId20"/>
      <w:headerReference w:type="first" r:id="rId21"/>
      <w:footerReference w:type="first" r:id="rId22"/>
      <w:pgSz w:w="11906" w:h="16838"/>
      <w:pgMar w:top="1440" w:right="624" w:bottom="1440" w:left="624" w:header="850" w:footer="283" w:gutter="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21B4" w:rsidRDefault="008F21B4" w:rsidP="00B10000">
      <w:r>
        <w:separator/>
      </w:r>
    </w:p>
  </w:endnote>
  <w:endnote w:type="continuationSeparator" w:id="0">
    <w:p w:rsidR="008F21B4" w:rsidRDefault="008F21B4" w:rsidP="00B10000">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楷体_GB2312">
    <w:altName w:val="宋体"/>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Monotype Sorts">
    <w:altName w:val="Courier New"/>
    <w:panose1 w:val="00000000000000000000"/>
    <w:charset w:val="02"/>
    <w:family w:val="auto"/>
    <w:notTrueType/>
    <w:pitch w:val="variable"/>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华文新魏">
    <w:panose1 w:val="02010800040101010101"/>
    <w:charset w:val="86"/>
    <w:family w:val="auto"/>
    <w:pitch w:val="variable"/>
    <w:sig w:usb0="00000001" w:usb1="080F0000" w:usb2="00000010" w:usb3="00000000" w:csb0="00040000" w:csb1="00000000"/>
  </w:font>
  <w:font w:name="华文隶书">
    <w:panose1 w:val="02010800040101010101"/>
    <w:charset w:val="86"/>
    <w:family w:val="auto"/>
    <w:pitch w:val="variable"/>
    <w:sig w:usb0="00000001" w:usb1="080F0000" w:usb2="00000010" w:usb3="00000000" w:csb0="00040000" w:csb1="00000000"/>
  </w:font>
  <w:font w:name="Arial">
    <w:panose1 w:val="020B0604020202020204"/>
    <w:charset w:val="00"/>
    <w:family w:val="swiss"/>
    <w:pitch w:val="variable"/>
    <w:sig w:usb0="E0002AFF" w:usb1="C0007843" w:usb2="00000009" w:usb3="00000000" w:csb0="000001FF" w:csb1="00000000"/>
  </w:font>
  <w:font w:name="LucidaSans">
    <w:altName w:val="Times New Roman"/>
    <w:panose1 w:val="00000000000000000000"/>
    <w:charset w:val="00"/>
    <w:family w:val="auto"/>
    <w:notTrueType/>
    <w:pitch w:val="variable"/>
    <w:sig w:usb0="00000003" w:usb1="00000000" w:usb2="00000000" w:usb3="00000000" w:csb0="0000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21B4" w:rsidRDefault="008F21B4">
    <w:pPr>
      <w:pStyle w:val="Footer"/>
      <w:jc w:val="center"/>
    </w:pPr>
    <w:r>
      <w:pict>
        <v:rect id="_x0000_i1031" style="width:571.2pt;height:2pt" o:hralign="center" o:hrstd="t" o:hrnoshade="t" o:hr="t" fillcolor="#e7a631" stroked="f"/>
      </w:pict>
    </w:r>
    <w:r>
      <w:rPr>
        <w:lang w:val="zh-CN"/>
      </w:rPr>
      <w:t xml:space="preserve"> </w:t>
    </w:r>
    <w:r>
      <w:rPr>
        <w:b/>
      </w:rPr>
      <w:fldChar w:fldCharType="begin"/>
    </w:r>
    <w:r>
      <w:rPr>
        <w:b/>
      </w:rPr>
      <w:instrText>PAGE</w:instrText>
    </w:r>
    <w:r>
      <w:rPr>
        <w:b/>
      </w:rPr>
      <w:fldChar w:fldCharType="separate"/>
    </w:r>
    <w:r>
      <w:rPr>
        <w:b/>
        <w:noProof/>
      </w:rPr>
      <w:t>2</w:t>
    </w:r>
    <w:r>
      <w:rPr>
        <w:b/>
      </w:rPr>
      <w:fldChar w:fldCharType="end"/>
    </w:r>
    <w:r>
      <w:rPr>
        <w:lang w:val="zh-CN"/>
      </w:rPr>
      <w:t xml:space="preserve"> / </w:t>
    </w:r>
    <w:r>
      <w:rPr>
        <w:b/>
      </w:rPr>
      <w:fldChar w:fldCharType="begin"/>
    </w:r>
    <w:r>
      <w:rPr>
        <w:b/>
      </w:rPr>
      <w:instrText>NUMPAGES</w:instrText>
    </w:r>
    <w:r>
      <w:rPr>
        <w:b/>
      </w:rPr>
      <w:fldChar w:fldCharType="separate"/>
    </w:r>
    <w:r>
      <w:rPr>
        <w:b/>
        <w:noProof/>
      </w:rPr>
      <w:t>7</w:t>
    </w:r>
    <w:r>
      <w:rPr>
        <w:b/>
      </w:rPr>
      <w:fldChar w:fldCharType="end"/>
    </w:r>
  </w:p>
  <w:p w:rsidR="008F21B4" w:rsidRDefault="008F21B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21B4" w:rsidRDefault="008F21B4">
    <w:pPr>
      <w:pStyle w:val="Footer"/>
      <w:jc w:val="center"/>
    </w:pPr>
    <w:r>
      <w:pict>
        <v:rect id="_x0000_i1040" style="width:571.2pt;height:2pt" o:hralign="center" o:hrstd="t" o:hrnoshade="t" o:hr="t" fillcolor="#e7a631" stroked="f"/>
      </w:pict>
    </w:r>
    <w:r>
      <w:rPr>
        <w:lang w:val="zh-CN"/>
      </w:rPr>
      <w:t xml:space="preserve"> </w:t>
    </w:r>
    <w:r>
      <w:rPr>
        <w:b/>
      </w:rPr>
      <w:fldChar w:fldCharType="begin"/>
    </w:r>
    <w:r>
      <w:rPr>
        <w:b/>
      </w:rPr>
      <w:instrText>PAGE</w:instrText>
    </w:r>
    <w:r>
      <w:rPr>
        <w:b/>
      </w:rPr>
      <w:fldChar w:fldCharType="separate"/>
    </w:r>
    <w:r>
      <w:rPr>
        <w:b/>
        <w:noProof/>
      </w:rPr>
      <w:t>1</w:t>
    </w:r>
    <w:r>
      <w:rPr>
        <w:b/>
      </w:rPr>
      <w:fldChar w:fldCharType="end"/>
    </w:r>
    <w:r>
      <w:rPr>
        <w:lang w:val="zh-CN"/>
      </w:rPr>
      <w:t xml:space="preserve"> / </w:t>
    </w:r>
    <w:r>
      <w:rPr>
        <w:b/>
      </w:rPr>
      <w:fldChar w:fldCharType="begin"/>
    </w:r>
    <w:r>
      <w:rPr>
        <w:b/>
      </w:rPr>
      <w:instrText>NUMPAGES</w:instrText>
    </w:r>
    <w:r>
      <w:rPr>
        <w:b/>
      </w:rPr>
      <w:fldChar w:fldCharType="separate"/>
    </w:r>
    <w:r>
      <w:rPr>
        <w:b/>
        <w:noProof/>
      </w:rPr>
      <w:t>7</w:t>
    </w:r>
    <w:r>
      <w:rPr>
        <w:b/>
      </w:rPr>
      <w:fldChar w:fldCharType="end"/>
    </w:r>
  </w:p>
  <w:p w:rsidR="008F21B4" w:rsidRDefault="008F21B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21B4" w:rsidRDefault="008F21B4" w:rsidP="00B10000">
      <w:r>
        <w:separator/>
      </w:r>
    </w:p>
  </w:footnote>
  <w:footnote w:type="continuationSeparator" w:id="0">
    <w:p w:rsidR="008F21B4" w:rsidRDefault="008F21B4" w:rsidP="00B1000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21B4" w:rsidRDefault="008F21B4" w:rsidP="00B10000">
    <w:pPr>
      <w:pStyle w:val="Header"/>
      <w:pBdr>
        <w:bottom w:val="none" w:sz="0" w:space="0" w:color="auto"/>
      </w:pBdr>
    </w:pPr>
    <w:r>
      <w:rPr>
        <w:noProof/>
      </w:rPr>
      <w:pict>
        <v:group id="_x0000_s2049" style="position:absolute;left:0;text-align:left;margin-left:5.2pt;margin-top:-32.25pt;width:531.2pt;height:37.5pt;z-index:251660288" coordorigin="728,206" coordsize="10624,750">
          <v:shapetype id="_x0000_t202" coordsize="21600,21600" o:spt="202" path="m,l,21600r21600,l21600,xe">
            <v:stroke joinstyle="miter"/>
            <v:path gradientshapeok="t" o:connecttype="rect"/>
          </v:shapetype>
          <v:shape id="_x0000_s2050" type="#_x0000_t202" style="position:absolute;left:728;top:206;width:1336;height:724" strokecolor="white">
            <v:textbox style="mso-next-textbox:#_x0000_s2050">
              <w:txbxContent>
                <w:p w:rsidR="008F21B4" w:rsidRDefault="008F21B4" w:rsidP="00B10000">
                  <w:pPr>
                    <w:pStyle w:val="12"/>
                  </w:pPr>
                  <w:r w:rsidRPr="0061564A">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alt="凯石工2.jpg" style="width:42pt;height:29.25pt;visibility:visible">
                        <v:imagedata r:id="rId1" o:title=""/>
                      </v:shape>
                    </w:pict>
                  </w:r>
                </w:p>
              </w:txbxContent>
            </v:textbox>
          </v:shape>
          <v:shape id="_x0000_s2051" type="#_x0000_t202" style="position:absolute;left:5999;top:542;width:5353;height:414" strokecolor="white">
            <v:textbox style="mso-next-textbox:#_x0000_s2051">
              <w:txbxContent>
                <w:p w:rsidR="008F21B4" w:rsidRPr="006E0F3C" w:rsidRDefault="008F21B4" w:rsidP="00B10000">
                  <w:pPr>
                    <w:pStyle w:val="2"/>
                  </w:pPr>
                  <w:r w:rsidRPr="006E0F3C">
                    <w:t>201</w:t>
                  </w:r>
                  <w:r>
                    <w:t>4</w:t>
                  </w:r>
                  <w:r w:rsidRPr="006E0F3C">
                    <w:rPr>
                      <w:rFonts w:hint="eastAsia"/>
                    </w:rPr>
                    <w:t>年</w:t>
                  </w:r>
                  <w:r>
                    <w:t>12</w:t>
                  </w:r>
                  <w:r>
                    <w:rPr>
                      <w:rFonts w:hint="eastAsia"/>
                    </w:rPr>
                    <w:t>月</w:t>
                  </w:r>
                  <w:r>
                    <w:t>QDII</w:t>
                  </w:r>
                  <w:r w:rsidRPr="006E0F3C">
                    <w:rPr>
                      <w:rFonts w:hint="eastAsia"/>
                    </w:rPr>
                    <w:t>基金投资策略</w:t>
                  </w:r>
                </w:p>
              </w:txbxContent>
            </v:textbox>
          </v:shape>
        </v:group>
      </w:pict>
    </w:r>
    <w:r>
      <w:pict>
        <v:rect id="_x0000_i1028" style="width:571.2pt;height:2pt" o:hralign="center" o:hrstd="t" o:hrnoshade="t" o:hr="t" fillcolor="#e7a631" stroked="f"/>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21B4" w:rsidRDefault="008F21B4" w:rsidP="00695302">
    <w:pPr>
      <w:pStyle w:val="Header"/>
      <w:pBdr>
        <w:bottom w:val="none" w:sz="0" w:space="0" w:color="auto"/>
      </w:pBdr>
      <w:spacing w:afterLines="100"/>
    </w:pPr>
    <w:r>
      <w:rPr>
        <w:noProof/>
      </w:rPr>
    </w:r>
    <w:r>
      <w:pict>
        <v:group id="_x0000_s2052" style="width:532.6pt;height:143.7pt;mso-position-horizontal-relative:char;mso-position-vertical-relative:line" coordorigin="652,331" coordsize="10652,2874">
          <v:shapetype id="_x0000_t202" coordsize="21600,21600" o:spt="202" path="m,l,21600r21600,l21600,xe">
            <v:stroke joinstyle="miter"/>
            <v:path gradientshapeok="t" o:connecttype="rect"/>
          </v:shapetype>
          <v:shape id="_x0000_s2053" type="#_x0000_t202" style="position:absolute;left:652;top:331;width:3664;height:2430" strokecolor="white">
            <v:textbox style="mso-next-textbox:#_x0000_s2053">
              <w:txbxContent>
                <w:p w:rsidR="008F21B4" w:rsidRDefault="008F21B4" w:rsidP="00B10000">
                  <w:pPr>
                    <w:pStyle w:val="a0"/>
                  </w:pPr>
                  <w:r w:rsidRPr="0061564A">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0" o:spid="_x0000_i1038" type="#_x0000_t75" alt="凯石工2.jpg" style="width:123pt;height:115.5pt;visibility:visible">
                        <v:imagedata r:id="rId1" o:title=""/>
                      </v:shape>
                    </w:pict>
                  </w:r>
                </w:p>
              </w:txbxContent>
            </v:textbox>
          </v:shape>
          <v:shape id="_x0000_s2054" type="#_x0000_t202" style="position:absolute;left:881;top:2578;width:2325;height:390" strokecolor="white">
            <v:textbox style="mso-next-textbox:#_x0000_s2054">
              <w:txbxContent>
                <w:p w:rsidR="008F21B4" w:rsidRPr="006E0F3C" w:rsidRDefault="008F21B4" w:rsidP="008840A4">
                  <w:pPr>
                    <w:pStyle w:val="a"/>
                    <w:spacing w:after="240"/>
                  </w:pPr>
                  <w:r w:rsidRPr="006E0F3C">
                    <w:rPr>
                      <w:rFonts w:hint="eastAsia"/>
                    </w:rPr>
                    <w:t>凯石工场研究报告</w:t>
                  </w:r>
                </w:p>
              </w:txbxContent>
            </v:textbox>
          </v:shape>
          <v:shape id="_x0000_s2055" type="#_x0000_t202" style="position:absolute;left:8740;top:609;width:2441;height:475" strokecolor="white">
            <v:textbox style="mso-next-textbox:#_x0000_s2055;mso-fit-shape-to-text:t">
              <w:txbxContent>
                <w:p w:rsidR="008F21B4" w:rsidRPr="006E0F3C" w:rsidRDefault="008F21B4" w:rsidP="00B10000">
                  <w:pPr>
                    <w:pStyle w:val="a1"/>
                    <w:jc w:val="right"/>
                  </w:pPr>
                  <w:r w:rsidRPr="006E0F3C">
                    <w:t>201</w:t>
                  </w:r>
                  <w:r>
                    <w:t>4</w:t>
                  </w:r>
                  <w:r w:rsidRPr="006E0F3C">
                    <w:rPr>
                      <w:rFonts w:hint="eastAsia"/>
                    </w:rPr>
                    <w:t>年</w:t>
                  </w:r>
                  <w:r>
                    <w:t>11</w:t>
                  </w:r>
                  <w:r w:rsidRPr="006E0F3C">
                    <w:rPr>
                      <w:rFonts w:hint="eastAsia"/>
                    </w:rPr>
                    <w:t>月</w:t>
                  </w:r>
                  <w:r>
                    <w:t>20</w:t>
                  </w:r>
                  <w:r w:rsidRPr="006E0F3C">
                    <w:rPr>
                      <w:rFonts w:hint="eastAsia"/>
                    </w:rPr>
                    <w:t>日</w:t>
                  </w:r>
                </w:p>
              </w:txbxContent>
            </v:textbox>
          </v:shape>
          <v:shape id="_x0000_s2056" type="#_x0000_t202" style="position:absolute;left:3214;top:1377;width:8090;height:1001" strokecolor="white">
            <v:textbox style="mso-next-textbox:#_x0000_s2056;mso-fit-shape-to-text:t">
              <w:txbxContent>
                <w:p w:rsidR="008F21B4" w:rsidRDefault="008F21B4" w:rsidP="00B10000">
                  <w:pPr>
                    <w:pStyle w:val="a2"/>
                    <w:jc w:val="right"/>
                  </w:pPr>
                  <w:r>
                    <w:rPr>
                      <w:rFonts w:hint="eastAsia"/>
                    </w:rPr>
                    <w:t>基本面支持</w:t>
                  </w:r>
                  <w:r>
                    <w:t>+</w:t>
                  </w:r>
                  <w:r>
                    <w:rPr>
                      <w:rFonts w:hint="eastAsia"/>
                    </w:rPr>
                    <w:t>事件驱动，把握“美港双核心”</w:t>
                  </w:r>
                </w:p>
                <w:p w:rsidR="008F21B4" w:rsidRPr="00624366" w:rsidRDefault="008F21B4" w:rsidP="00B10000">
                  <w:pPr>
                    <w:pStyle w:val="a2"/>
                    <w:jc w:val="right"/>
                    <w:rPr>
                      <w:sz w:val="28"/>
                      <w:szCs w:val="28"/>
                    </w:rPr>
                  </w:pPr>
                  <w:r w:rsidRPr="0024360F">
                    <w:rPr>
                      <w:sz w:val="28"/>
                      <w:szCs w:val="28"/>
                    </w:rPr>
                    <w:t>2014</w:t>
                  </w:r>
                  <w:r w:rsidRPr="0024360F">
                    <w:rPr>
                      <w:rFonts w:hint="eastAsia"/>
                      <w:sz w:val="28"/>
                      <w:szCs w:val="28"/>
                    </w:rPr>
                    <w:t>年</w:t>
                  </w:r>
                  <w:r>
                    <w:rPr>
                      <w:sz w:val="28"/>
                      <w:szCs w:val="28"/>
                    </w:rPr>
                    <w:t>12</w:t>
                  </w:r>
                  <w:r>
                    <w:rPr>
                      <w:rFonts w:hint="eastAsia"/>
                      <w:sz w:val="28"/>
                      <w:szCs w:val="28"/>
                    </w:rPr>
                    <w:t>月</w:t>
                  </w:r>
                  <w:r w:rsidRPr="0024360F">
                    <w:rPr>
                      <w:sz w:val="28"/>
                      <w:szCs w:val="28"/>
                    </w:rPr>
                    <w:t>QDII</w:t>
                  </w:r>
                  <w:r w:rsidRPr="0024360F">
                    <w:rPr>
                      <w:rFonts w:hint="eastAsia"/>
                      <w:sz w:val="28"/>
                      <w:szCs w:val="28"/>
                    </w:rPr>
                    <w:t>基金投资策略</w:t>
                  </w:r>
                </w:p>
              </w:txbxContent>
            </v:textbox>
          </v:shape>
          <v:shape id="_x0000_s2057" type="#_x0000_t202" style="position:absolute;left:3246;top:2578;width:7993;height:627" strokecolor="white">
            <v:textbox style="mso-next-textbox:#_x0000_s2057">
              <w:txbxContent>
                <w:p w:rsidR="008F21B4" w:rsidRPr="006E0F3C" w:rsidRDefault="008F21B4" w:rsidP="00923EFC">
                  <w:pPr>
                    <w:pStyle w:val="a3"/>
                  </w:pPr>
                  <w:r>
                    <w:rPr>
                      <w:rFonts w:hint="eastAsia"/>
                    </w:rPr>
                    <w:t>杨舒</w:t>
                  </w:r>
                  <w:r w:rsidRPr="006E0F3C">
                    <w:t xml:space="preserve"> </w:t>
                  </w:r>
                  <w:r>
                    <w:rPr>
                      <w:rFonts w:hint="eastAsia"/>
                    </w:rPr>
                    <w:t>高级</w:t>
                  </w:r>
                  <w:r w:rsidRPr="006E0F3C">
                    <w:rPr>
                      <w:rFonts w:hint="eastAsia"/>
                    </w:rPr>
                    <w:t>分析师</w:t>
                  </w:r>
                </w:p>
              </w:txbxContent>
            </v:textbox>
          </v:shape>
          <w10:anchorlock/>
        </v:group>
      </w:pict>
    </w:r>
    <w:r>
      <w:pict>
        <v:rect id="_x0000_i1037" style="width:571.2pt;height:2pt" o:hralign="center" o:hrstd="t" o:hrnoshade="t" o:hr="t" fillcolor="#e7a631" stroked="f"/>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014C42"/>
    <w:multiLevelType w:val="singleLevel"/>
    <w:tmpl w:val="B4861D4C"/>
    <w:lvl w:ilvl="0">
      <w:start w:val="1"/>
      <w:numFmt w:val="bullet"/>
      <w:pStyle w:val="CoverBullet"/>
      <w:lvlText w:val=""/>
      <w:lvlJc w:val="left"/>
      <w:pPr>
        <w:tabs>
          <w:tab w:val="num" w:pos="360"/>
        </w:tabs>
        <w:ind w:left="360" w:hanging="360"/>
      </w:pPr>
      <w:rPr>
        <w:rFonts w:ascii="Wingdings" w:hAnsi="Wingdings" w:hint="default"/>
        <w:color w:val="FF0000"/>
        <w:sz w:val="20"/>
      </w:rPr>
    </w:lvl>
  </w:abstractNum>
  <w:abstractNum w:abstractNumId="1">
    <w:nsid w:val="492C6DD3"/>
    <w:multiLevelType w:val="hybridMultilevel"/>
    <w:tmpl w:val="6B68E90C"/>
    <w:lvl w:ilvl="0" w:tplc="A1E68908">
      <w:start w:val="1"/>
      <w:numFmt w:val="bullet"/>
      <w:lvlText w:val=""/>
      <w:lvlJc w:val="left"/>
      <w:pPr>
        <w:tabs>
          <w:tab w:val="num" w:pos="4329"/>
        </w:tabs>
        <w:ind w:left="3969"/>
      </w:pPr>
      <w:rPr>
        <w:rFonts w:hint="default"/>
        <w:b w:val="0"/>
        <w:i w:val="0"/>
        <w:color w:val="000565"/>
        <w:sz w:val="18"/>
      </w:rPr>
    </w:lvl>
    <w:lvl w:ilvl="1" w:tplc="04090003">
      <w:start w:val="1"/>
      <w:numFmt w:val="bullet"/>
      <w:lvlText w:val=""/>
      <w:lvlJc w:val="left"/>
      <w:pPr>
        <w:tabs>
          <w:tab w:val="num" w:pos="4242"/>
        </w:tabs>
        <w:ind w:left="4242" w:hanging="420"/>
      </w:pPr>
      <w:rPr>
        <w:rFonts w:ascii="Wingdings" w:hAnsi="Wingdings" w:hint="default"/>
      </w:rPr>
    </w:lvl>
    <w:lvl w:ilvl="2" w:tplc="04090005">
      <w:start w:val="1"/>
      <w:numFmt w:val="bullet"/>
      <w:lvlText w:val=""/>
      <w:lvlJc w:val="left"/>
      <w:pPr>
        <w:tabs>
          <w:tab w:val="num" w:pos="4662"/>
        </w:tabs>
        <w:ind w:left="4662" w:hanging="420"/>
      </w:pPr>
      <w:rPr>
        <w:rFonts w:ascii="Wingdings" w:hAnsi="Wingdings" w:hint="default"/>
      </w:rPr>
    </w:lvl>
    <w:lvl w:ilvl="3" w:tplc="04090001">
      <w:start w:val="1"/>
      <w:numFmt w:val="bullet"/>
      <w:lvlText w:val=""/>
      <w:lvlJc w:val="left"/>
      <w:pPr>
        <w:tabs>
          <w:tab w:val="num" w:pos="5082"/>
        </w:tabs>
        <w:ind w:left="5082" w:hanging="420"/>
      </w:pPr>
      <w:rPr>
        <w:rFonts w:ascii="Wingdings" w:hAnsi="Wingdings" w:hint="default"/>
      </w:rPr>
    </w:lvl>
    <w:lvl w:ilvl="4" w:tplc="AC7CA5DC">
      <w:start w:val="1"/>
      <w:numFmt w:val="bullet"/>
      <w:lvlText w:val=""/>
      <w:lvlJc w:val="left"/>
      <w:pPr>
        <w:tabs>
          <w:tab w:val="num" w:pos="3799"/>
        </w:tabs>
        <w:ind w:left="3799" w:hanging="369"/>
      </w:pPr>
      <w:rPr>
        <w:rFonts w:ascii="Wingdings" w:eastAsia="楷体_GB2312" w:hAnsi="Wingdings" w:hint="default"/>
        <w:b w:val="0"/>
        <w:i w:val="0"/>
        <w:color w:val="auto"/>
        <w:sz w:val="18"/>
      </w:rPr>
    </w:lvl>
    <w:lvl w:ilvl="5" w:tplc="04090005">
      <w:start w:val="1"/>
      <w:numFmt w:val="bullet"/>
      <w:lvlText w:val=""/>
      <w:lvlJc w:val="left"/>
      <w:pPr>
        <w:tabs>
          <w:tab w:val="num" w:pos="5922"/>
        </w:tabs>
        <w:ind w:left="5922" w:hanging="420"/>
      </w:pPr>
      <w:rPr>
        <w:rFonts w:ascii="Wingdings" w:hAnsi="Wingdings" w:hint="default"/>
      </w:rPr>
    </w:lvl>
    <w:lvl w:ilvl="6" w:tplc="04090001" w:tentative="1">
      <w:start w:val="1"/>
      <w:numFmt w:val="bullet"/>
      <w:lvlText w:val=""/>
      <w:lvlJc w:val="left"/>
      <w:pPr>
        <w:tabs>
          <w:tab w:val="num" w:pos="6342"/>
        </w:tabs>
        <w:ind w:left="6342" w:hanging="420"/>
      </w:pPr>
      <w:rPr>
        <w:rFonts w:ascii="Wingdings" w:hAnsi="Wingdings" w:hint="default"/>
      </w:rPr>
    </w:lvl>
    <w:lvl w:ilvl="7" w:tplc="04090003">
      <w:start w:val="1"/>
      <w:numFmt w:val="bullet"/>
      <w:lvlText w:val=""/>
      <w:lvlJc w:val="left"/>
      <w:pPr>
        <w:tabs>
          <w:tab w:val="num" w:pos="6762"/>
        </w:tabs>
        <w:ind w:left="6762" w:hanging="420"/>
      </w:pPr>
      <w:rPr>
        <w:rFonts w:ascii="Wingdings" w:hAnsi="Wingdings" w:hint="default"/>
      </w:rPr>
    </w:lvl>
    <w:lvl w:ilvl="8" w:tplc="04090005" w:tentative="1">
      <w:start w:val="1"/>
      <w:numFmt w:val="bullet"/>
      <w:lvlText w:val=""/>
      <w:lvlJc w:val="left"/>
      <w:pPr>
        <w:tabs>
          <w:tab w:val="num" w:pos="7182"/>
        </w:tabs>
        <w:ind w:left="7182" w:hanging="420"/>
      </w:pPr>
      <w:rPr>
        <w:rFonts w:ascii="Wingdings" w:hAnsi="Wingdings" w:hint="default"/>
      </w:rPr>
    </w:lvl>
  </w:abstractNum>
  <w:abstractNum w:abstractNumId="2">
    <w:nsid w:val="5E8271C1"/>
    <w:multiLevelType w:val="hybridMultilevel"/>
    <w:tmpl w:val="6B68E90C"/>
    <w:lvl w:ilvl="0" w:tplc="A1E68908">
      <w:start w:val="1"/>
      <w:numFmt w:val="bullet"/>
      <w:lvlText w:val=""/>
      <w:lvlJc w:val="left"/>
      <w:pPr>
        <w:tabs>
          <w:tab w:val="num" w:pos="4329"/>
        </w:tabs>
        <w:ind w:left="3969"/>
      </w:pPr>
      <w:rPr>
        <w:rFonts w:hint="default"/>
        <w:b w:val="0"/>
        <w:i w:val="0"/>
        <w:color w:val="000565"/>
        <w:sz w:val="18"/>
      </w:rPr>
    </w:lvl>
    <w:lvl w:ilvl="1" w:tplc="04090003">
      <w:start w:val="1"/>
      <w:numFmt w:val="bullet"/>
      <w:lvlText w:val=""/>
      <w:lvlJc w:val="left"/>
      <w:pPr>
        <w:tabs>
          <w:tab w:val="num" w:pos="4242"/>
        </w:tabs>
        <w:ind w:left="4242" w:hanging="420"/>
      </w:pPr>
      <w:rPr>
        <w:rFonts w:ascii="Wingdings" w:hAnsi="Wingdings" w:hint="default"/>
      </w:rPr>
    </w:lvl>
    <w:lvl w:ilvl="2" w:tplc="04090005">
      <w:start w:val="1"/>
      <w:numFmt w:val="bullet"/>
      <w:lvlText w:val=""/>
      <w:lvlJc w:val="left"/>
      <w:pPr>
        <w:tabs>
          <w:tab w:val="num" w:pos="4662"/>
        </w:tabs>
        <w:ind w:left="4662" w:hanging="420"/>
      </w:pPr>
      <w:rPr>
        <w:rFonts w:ascii="Wingdings" w:hAnsi="Wingdings" w:hint="default"/>
      </w:rPr>
    </w:lvl>
    <w:lvl w:ilvl="3" w:tplc="04090001">
      <w:start w:val="1"/>
      <w:numFmt w:val="bullet"/>
      <w:lvlText w:val=""/>
      <w:lvlJc w:val="left"/>
      <w:pPr>
        <w:tabs>
          <w:tab w:val="num" w:pos="5082"/>
        </w:tabs>
        <w:ind w:left="5082" w:hanging="420"/>
      </w:pPr>
      <w:rPr>
        <w:rFonts w:ascii="Wingdings" w:hAnsi="Wingdings" w:hint="default"/>
      </w:rPr>
    </w:lvl>
    <w:lvl w:ilvl="4" w:tplc="31DAFFE0">
      <w:start w:val="1"/>
      <w:numFmt w:val="bullet"/>
      <w:lvlText w:val=""/>
      <w:lvlJc w:val="left"/>
      <w:pPr>
        <w:tabs>
          <w:tab w:val="num" w:pos="3649"/>
        </w:tabs>
        <w:ind w:left="3289"/>
      </w:pPr>
      <w:rPr>
        <w:rFonts w:ascii="Wingdings" w:eastAsia="宋体" w:hAnsi="Wingdings" w:hint="default"/>
        <w:b w:val="0"/>
        <w:i w:val="0"/>
        <w:color w:val="000565"/>
        <w:sz w:val="18"/>
      </w:rPr>
    </w:lvl>
    <w:lvl w:ilvl="5" w:tplc="DDC8F30C">
      <w:start w:val="1"/>
      <w:numFmt w:val="bullet"/>
      <w:lvlText w:val=""/>
      <w:lvlJc w:val="left"/>
      <w:pPr>
        <w:tabs>
          <w:tab w:val="num" w:pos="4139"/>
        </w:tabs>
        <w:ind w:left="4139" w:hanging="368"/>
      </w:pPr>
      <w:rPr>
        <w:rFonts w:ascii="Wingdings 2" w:eastAsia="楷体_GB2312" w:hAnsi="Wingdings 2" w:hint="default"/>
        <w:b w:val="0"/>
        <w:i w:val="0"/>
        <w:sz w:val="18"/>
      </w:rPr>
    </w:lvl>
    <w:lvl w:ilvl="6" w:tplc="04090001" w:tentative="1">
      <w:start w:val="1"/>
      <w:numFmt w:val="bullet"/>
      <w:lvlText w:val=""/>
      <w:lvlJc w:val="left"/>
      <w:pPr>
        <w:tabs>
          <w:tab w:val="num" w:pos="6342"/>
        </w:tabs>
        <w:ind w:left="6342" w:hanging="420"/>
      </w:pPr>
      <w:rPr>
        <w:rFonts w:ascii="Wingdings" w:hAnsi="Wingdings" w:hint="default"/>
      </w:rPr>
    </w:lvl>
    <w:lvl w:ilvl="7" w:tplc="04090003" w:tentative="1">
      <w:start w:val="1"/>
      <w:numFmt w:val="bullet"/>
      <w:lvlText w:val=""/>
      <w:lvlJc w:val="left"/>
      <w:pPr>
        <w:tabs>
          <w:tab w:val="num" w:pos="6762"/>
        </w:tabs>
        <w:ind w:left="6762" w:hanging="420"/>
      </w:pPr>
      <w:rPr>
        <w:rFonts w:ascii="Wingdings" w:hAnsi="Wingdings" w:hint="default"/>
      </w:rPr>
    </w:lvl>
    <w:lvl w:ilvl="8" w:tplc="04090005" w:tentative="1">
      <w:start w:val="1"/>
      <w:numFmt w:val="bullet"/>
      <w:lvlText w:val=""/>
      <w:lvlJc w:val="left"/>
      <w:pPr>
        <w:tabs>
          <w:tab w:val="num" w:pos="7182"/>
        </w:tabs>
        <w:ind w:left="7182" w:hanging="420"/>
      </w:pPr>
      <w:rPr>
        <w:rFonts w:ascii="Wingdings" w:hAnsi="Wingdings" w:hint="default"/>
      </w:rPr>
    </w:lvl>
  </w:abstractNum>
  <w:abstractNum w:abstractNumId="3">
    <w:nsid w:val="66145FDE"/>
    <w:multiLevelType w:val="singleLevel"/>
    <w:tmpl w:val="918C41C0"/>
    <w:lvl w:ilvl="0">
      <w:start w:val="1"/>
      <w:numFmt w:val="bullet"/>
      <w:pStyle w:val="BulletCoverpage"/>
      <w:lvlText w:val=""/>
      <w:lvlJc w:val="left"/>
      <w:pPr>
        <w:tabs>
          <w:tab w:val="num" w:pos="0"/>
        </w:tabs>
        <w:ind w:left="227" w:hanging="227"/>
      </w:pPr>
      <w:rPr>
        <w:rFonts w:ascii="Monotype Sorts" w:hAnsi="Monotype Sorts" w:hint="default"/>
        <w:color w:val="FF0000"/>
        <w:sz w:val="16"/>
      </w:rPr>
    </w:lvl>
  </w:abstractNum>
  <w:num w:numId="1">
    <w:abstractNumId w:val="1"/>
  </w:num>
  <w:num w:numId="2">
    <w:abstractNumId w:val="2"/>
  </w:num>
  <w:num w:numId="3">
    <w:abstractNumId w:val="0"/>
  </w:num>
  <w:num w:numId="4">
    <w:abstractNumId w:val="3"/>
  </w:num>
  <w:num w:numId="5">
    <w:abstractNumId w:val="1"/>
  </w:num>
  <w:num w:numId="6">
    <w:abstractNumId w:val="1"/>
    <w:lvlOverride w:ilvl="0"/>
    <w:lvlOverride w:ilvl="1"/>
    <w:lvlOverride w:ilvl="2"/>
    <w:lvlOverride w:ilvl="3"/>
    <w:lvlOverride w:ilvl="4"/>
    <w:lvlOverride w:ilvl="5"/>
    <w:lvlOverride w:ilvl="6">
      <w:startOverride w:val="1"/>
    </w:lvlOverride>
    <w:lvlOverride w:ilvl="7">
      <w:startOverride w:val="1"/>
    </w:lvlOverride>
    <w:lvlOverride w:ilvl="8">
      <w:startOverride w:val="1"/>
    </w:lvlOverride>
  </w:num>
  <w:num w:numId="7">
    <w:abstractNumId w:val="1"/>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8"/>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10000"/>
    <w:rsid w:val="00001113"/>
    <w:rsid w:val="00001134"/>
    <w:rsid w:val="00001D5C"/>
    <w:rsid w:val="00002264"/>
    <w:rsid w:val="0000342C"/>
    <w:rsid w:val="00004C89"/>
    <w:rsid w:val="00004C9F"/>
    <w:rsid w:val="000054B5"/>
    <w:rsid w:val="00007092"/>
    <w:rsid w:val="00007DF1"/>
    <w:rsid w:val="000106BD"/>
    <w:rsid w:val="0001250E"/>
    <w:rsid w:val="000151D6"/>
    <w:rsid w:val="00016238"/>
    <w:rsid w:val="00016A81"/>
    <w:rsid w:val="00016E71"/>
    <w:rsid w:val="00017BB7"/>
    <w:rsid w:val="000206B4"/>
    <w:rsid w:val="00022211"/>
    <w:rsid w:val="00023796"/>
    <w:rsid w:val="00024678"/>
    <w:rsid w:val="0002559B"/>
    <w:rsid w:val="00026E09"/>
    <w:rsid w:val="000275D4"/>
    <w:rsid w:val="000278A3"/>
    <w:rsid w:val="0003001E"/>
    <w:rsid w:val="000305E0"/>
    <w:rsid w:val="00030C1A"/>
    <w:rsid w:val="0003225B"/>
    <w:rsid w:val="00032C05"/>
    <w:rsid w:val="00032E10"/>
    <w:rsid w:val="00032FF0"/>
    <w:rsid w:val="000333AF"/>
    <w:rsid w:val="00034C20"/>
    <w:rsid w:val="00034E38"/>
    <w:rsid w:val="00037334"/>
    <w:rsid w:val="00040949"/>
    <w:rsid w:val="000411B5"/>
    <w:rsid w:val="000413E7"/>
    <w:rsid w:val="00042188"/>
    <w:rsid w:val="000432C9"/>
    <w:rsid w:val="000438EE"/>
    <w:rsid w:val="00044F19"/>
    <w:rsid w:val="0004511C"/>
    <w:rsid w:val="00045244"/>
    <w:rsid w:val="0004630C"/>
    <w:rsid w:val="00050D29"/>
    <w:rsid w:val="0005207E"/>
    <w:rsid w:val="000523A8"/>
    <w:rsid w:val="000525A1"/>
    <w:rsid w:val="00052FAC"/>
    <w:rsid w:val="00053302"/>
    <w:rsid w:val="00053B0E"/>
    <w:rsid w:val="00053B64"/>
    <w:rsid w:val="000548FB"/>
    <w:rsid w:val="00054B0F"/>
    <w:rsid w:val="000577B1"/>
    <w:rsid w:val="00057A76"/>
    <w:rsid w:val="000602EC"/>
    <w:rsid w:val="0006107F"/>
    <w:rsid w:val="000612DF"/>
    <w:rsid w:val="00061495"/>
    <w:rsid w:val="00061CAE"/>
    <w:rsid w:val="0006213B"/>
    <w:rsid w:val="000660CC"/>
    <w:rsid w:val="00066C0B"/>
    <w:rsid w:val="00067D7C"/>
    <w:rsid w:val="000701D9"/>
    <w:rsid w:val="00071544"/>
    <w:rsid w:val="00071838"/>
    <w:rsid w:val="00071EEE"/>
    <w:rsid w:val="000723B5"/>
    <w:rsid w:val="0007378F"/>
    <w:rsid w:val="00075461"/>
    <w:rsid w:val="000779ED"/>
    <w:rsid w:val="00077CD2"/>
    <w:rsid w:val="0008017C"/>
    <w:rsid w:val="00080A45"/>
    <w:rsid w:val="00081329"/>
    <w:rsid w:val="00082426"/>
    <w:rsid w:val="00083342"/>
    <w:rsid w:val="00084963"/>
    <w:rsid w:val="00084F1F"/>
    <w:rsid w:val="000851DA"/>
    <w:rsid w:val="00085288"/>
    <w:rsid w:val="000855DD"/>
    <w:rsid w:val="00085CC2"/>
    <w:rsid w:val="00085D22"/>
    <w:rsid w:val="00086CA1"/>
    <w:rsid w:val="0008709B"/>
    <w:rsid w:val="00087BA6"/>
    <w:rsid w:val="00092843"/>
    <w:rsid w:val="00092A2F"/>
    <w:rsid w:val="00093196"/>
    <w:rsid w:val="00093CC4"/>
    <w:rsid w:val="00094002"/>
    <w:rsid w:val="00094A05"/>
    <w:rsid w:val="00095FCF"/>
    <w:rsid w:val="0009792D"/>
    <w:rsid w:val="000A1EF9"/>
    <w:rsid w:val="000A2A98"/>
    <w:rsid w:val="000A3446"/>
    <w:rsid w:val="000A3F69"/>
    <w:rsid w:val="000A4368"/>
    <w:rsid w:val="000A49C0"/>
    <w:rsid w:val="000A70F6"/>
    <w:rsid w:val="000A7210"/>
    <w:rsid w:val="000B0CA4"/>
    <w:rsid w:val="000B0DE7"/>
    <w:rsid w:val="000B48DA"/>
    <w:rsid w:val="000B48EC"/>
    <w:rsid w:val="000B4F6C"/>
    <w:rsid w:val="000B53E7"/>
    <w:rsid w:val="000B5ED0"/>
    <w:rsid w:val="000B66DD"/>
    <w:rsid w:val="000B6C23"/>
    <w:rsid w:val="000C00E7"/>
    <w:rsid w:val="000C101D"/>
    <w:rsid w:val="000C1661"/>
    <w:rsid w:val="000C188B"/>
    <w:rsid w:val="000C1903"/>
    <w:rsid w:val="000C1B4D"/>
    <w:rsid w:val="000C2AFE"/>
    <w:rsid w:val="000C2BF6"/>
    <w:rsid w:val="000C2D96"/>
    <w:rsid w:val="000C6264"/>
    <w:rsid w:val="000C65D7"/>
    <w:rsid w:val="000D1663"/>
    <w:rsid w:val="000D255F"/>
    <w:rsid w:val="000D4D06"/>
    <w:rsid w:val="000D54AA"/>
    <w:rsid w:val="000D6608"/>
    <w:rsid w:val="000D6DFB"/>
    <w:rsid w:val="000D7555"/>
    <w:rsid w:val="000E39A7"/>
    <w:rsid w:val="000E3E62"/>
    <w:rsid w:val="000E4347"/>
    <w:rsid w:val="000E43E1"/>
    <w:rsid w:val="000E4F92"/>
    <w:rsid w:val="000E57CE"/>
    <w:rsid w:val="000E60B0"/>
    <w:rsid w:val="000E63CE"/>
    <w:rsid w:val="000E654D"/>
    <w:rsid w:val="000E6595"/>
    <w:rsid w:val="000E6676"/>
    <w:rsid w:val="000F0909"/>
    <w:rsid w:val="000F0E85"/>
    <w:rsid w:val="000F1B1F"/>
    <w:rsid w:val="000F2323"/>
    <w:rsid w:val="000F56DC"/>
    <w:rsid w:val="000F5835"/>
    <w:rsid w:val="000F61AF"/>
    <w:rsid w:val="000F6AC7"/>
    <w:rsid w:val="000F6F13"/>
    <w:rsid w:val="000F7944"/>
    <w:rsid w:val="000F7AB0"/>
    <w:rsid w:val="000F7C30"/>
    <w:rsid w:val="001004C6"/>
    <w:rsid w:val="00101225"/>
    <w:rsid w:val="00101AC8"/>
    <w:rsid w:val="00101B41"/>
    <w:rsid w:val="0010356F"/>
    <w:rsid w:val="00103DC8"/>
    <w:rsid w:val="00103F83"/>
    <w:rsid w:val="001048EB"/>
    <w:rsid w:val="00105074"/>
    <w:rsid w:val="00105AEF"/>
    <w:rsid w:val="00105DEB"/>
    <w:rsid w:val="00106473"/>
    <w:rsid w:val="001102C7"/>
    <w:rsid w:val="0011084D"/>
    <w:rsid w:val="00111800"/>
    <w:rsid w:val="00111A39"/>
    <w:rsid w:val="001122C1"/>
    <w:rsid w:val="001129A7"/>
    <w:rsid w:val="00112A22"/>
    <w:rsid w:val="00113573"/>
    <w:rsid w:val="00114518"/>
    <w:rsid w:val="00115DD5"/>
    <w:rsid w:val="001160EB"/>
    <w:rsid w:val="0011699E"/>
    <w:rsid w:val="00116CE6"/>
    <w:rsid w:val="00117EC2"/>
    <w:rsid w:val="001213BD"/>
    <w:rsid w:val="0012167F"/>
    <w:rsid w:val="0012463C"/>
    <w:rsid w:val="00124F07"/>
    <w:rsid w:val="001259C8"/>
    <w:rsid w:val="00125F8E"/>
    <w:rsid w:val="00126DDF"/>
    <w:rsid w:val="001312F5"/>
    <w:rsid w:val="00131ACF"/>
    <w:rsid w:val="00132468"/>
    <w:rsid w:val="00133243"/>
    <w:rsid w:val="00133CA1"/>
    <w:rsid w:val="00135124"/>
    <w:rsid w:val="00136012"/>
    <w:rsid w:val="001365A6"/>
    <w:rsid w:val="001375D6"/>
    <w:rsid w:val="00137B3F"/>
    <w:rsid w:val="001410E9"/>
    <w:rsid w:val="00144127"/>
    <w:rsid w:val="0014424F"/>
    <w:rsid w:val="001452B9"/>
    <w:rsid w:val="0014766F"/>
    <w:rsid w:val="0015030D"/>
    <w:rsid w:val="001507E1"/>
    <w:rsid w:val="001547D4"/>
    <w:rsid w:val="00155001"/>
    <w:rsid w:val="001558A1"/>
    <w:rsid w:val="00155C41"/>
    <w:rsid w:val="00157B31"/>
    <w:rsid w:val="001602CB"/>
    <w:rsid w:val="001604FB"/>
    <w:rsid w:val="0016073A"/>
    <w:rsid w:val="001607D5"/>
    <w:rsid w:val="00161EF2"/>
    <w:rsid w:val="00161FDF"/>
    <w:rsid w:val="0016231C"/>
    <w:rsid w:val="00166B49"/>
    <w:rsid w:val="00170096"/>
    <w:rsid w:val="001710A3"/>
    <w:rsid w:val="00171E7C"/>
    <w:rsid w:val="00172285"/>
    <w:rsid w:val="00173423"/>
    <w:rsid w:val="00175064"/>
    <w:rsid w:val="001771A2"/>
    <w:rsid w:val="00181C17"/>
    <w:rsid w:val="00181F3E"/>
    <w:rsid w:val="00182DB8"/>
    <w:rsid w:val="00182FC7"/>
    <w:rsid w:val="0018379B"/>
    <w:rsid w:val="00183EE1"/>
    <w:rsid w:val="00185269"/>
    <w:rsid w:val="001854D5"/>
    <w:rsid w:val="001861F2"/>
    <w:rsid w:val="0018765E"/>
    <w:rsid w:val="00187AEB"/>
    <w:rsid w:val="00191C07"/>
    <w:rsid w:val="00192ECE"/>
    <w:rsid w:val="00193C25"/>
    <w:rsid w:val="00194054"/>
    <w:rsid w:val="001940C0"/>
    <w:rsid w:val="00196353"/>
    <w:rsid w:val="001967DF"/>
    <w:rsid w:val="001A09F5"/>
    <w:rsid w:val="001A1BFB"/>
    <w:rsid w:val="001A389A"/>
    <w:rsid w:val="001A5408"/>
    <w:rsid w:val="001A5D15"/>
    <w:rsid w:val="001A674F"/>
    <w:rsid w:val="001A6932"/>
    <w:rsid w:val="001A69EA"/>
    <w:rsid w:val="001A7688"/>
    <w:rsid w:val="001A7AA3"/>
    <w:rsid w:val="001B0246"/>
    <w:rsid w:val="001B1609"/>
    <w:rsid w:val="001B3F49"/>
    <w:rsid w:val="001B40F7"/>
    <w:rsid w:val="001B43FA"/>
    <w:rsid w:val="001B538F"/>
    <w:rsid w:val="001B57EE"/>
    <w:rsid w:val="001B6F74"/>
    <w:rsid w:val="001B7CE9"/>
    <w:rsid w:val="001C0CF7"/>
    <w:rsid w:val="001C3544"/>
    <w:rsid w:val="001C3E93"/>
    <w:rsid w:val="001C44EB"/>
    <w:rsid w:val="001C47CA"/>
    <w:rsid w:val="001C4BEA"/>
    <w:rsid w:val="001C57D8"/>
    <w:rsid w:val="001C5CFB"/>
    <w:rsid w:val="001C5DBE"/>
    <w:rsid w:val="001C6281"/>
    <w:rsid w:val="001C675B"/>
    <w:rsid w:val="001C6E8C"/>
    <w:rsid w:val="001C73E7"/>
    <w:rsid w:val="001C7B3E"/>
    <w:rsid w:val="001C7FE8"/>
    <w:rsid w:val="001D000D"/>
    <w:rsid w:val="001D00D7"/>
    <w:rsid w:val="001D0A21"/>
    <w:rsid w:val="001D109E"/>
    <w:rsid w:val="001D25E4"/>
    <w:rsid w:val="001D36B6"/>
    <w:rsid w:val="001D3C19"/>
    <w:rsid w:val="001D4267"/>
    <w:rsid w:val="001D504E"/>
    <w:rsid w:val="001D5D6A"/>
    <w:rsid w:val="001D7EE7"/>
    <w:rsid w:val="001D7F5D"/>
    <w:rsid w:val="001E3EEC"/>
    <w:rsid w:val="001E40D5"/>
    <w:rsid w:val="001E4787"/>
    <w:rsid w:val="001E60C8"/>
    <w:rsid w:val="001E61F8"/>
    <w:rsid w:val="001E7636"/>
    <w:rsid w:val="001E7A80"/>
    <w:rsid w:val="001E7DDC"/>
    <w:rsid w:val="001F0B14"/>
    <w:rsid w:val="001F0E37"/>
    <w:rsid w:val="001F1796"/>
    <w:rsid w:val="001F42E5"/>
    <w:rsid w:val="001F4858"/>
    <w:rsid w:val="001F5E3D"/>
    <w:rsid w:val="001F643C"/>
    <w:rsid w:val="001F6E9C"/>
    <w:rsid w:val="001F7132"/>
    <w:rsid w:val="001F730C"/>
    <w:rsid w:val="00200004"/>
    <w:rsid w:val="002011BF"/>
    <w:rsid w:val="00202496"/>
    <w:rsid w:val="00202C2B"/>
    <w:rsid w:val="00202D6B"/>
    <w:rsid w:val="002033B2"/>
    <w:rsid w:val="00204069"/>
    <w:rsid w:val="002040AE"/>
    <w:rsid w:val="00204D26"/>
    <w:rsid w:val="00205B2F"/>
    <w:rsid w:val="00206284"/>
    <w:rsid w:val="002077C9"/>
    <w:rsid w:val="00210515"/>
    <w:rsid w:val="002110BC"/>
    <w:rsid w:val="002136A9"/>
    <w:rsid w:val="00214281"/>
    <w:rsid w:val="0021476C"/>
    <w:rsid w:val="00215001"/>
    <w:rsid w:val="0021759F"/>
    <w:rsid w:val="00220991"/>
    <w:rsid w:val="00222885"/>
    <w:rsid w:val="002231FF"/>
    <w:rsid w:val="00223CE2"/>
    <w:rsid w:val="00226E48"/>
    <w:rsid w:val="0022712C"/>
    <w:rsid w:val="002303BD"/>
    <w:rsid w:val="00231106"/>
    <w:rsid w:val="00231667"/>
    <w:rsid w:val="00231F40"/>
    <w:rsid w:val="00231FBD"/>
    <w:rsid w:val="002322C7"/>
    <w:rsid w:val="002336A7"/>
    <w:rsid w:val="00234872"/>
    <w:rsid w:val="00235F70"/>
    <w:rsid w:val="002364F4"/>
    <w:rsid w:val="002409A7"/>
    <w:rsid w:val="0024326E"/>
    <w:rsid w:val="0024360F"/>
    <w:rsid w:val="00243A02"/>
    <w:rsid w:val="00245441"/>
    <w:rsid w:val="00246EDF"/>
    <w:rsid w:val="00247B48"/>
    <w:rsid w:val="002512B4"/>
    <w:rsid w:val="002523D0"/>
    <w:rsid w:val="002531ED"/>
    <w:rsid w:val="00253DAE"/>
    <w:rsid w:val="002547C3"/>
    <w:rsid w:val="002549CE"/>
    <w:rsid w:val="0025635B"/>
    <w:rsid w:val="00256A3A"/>
    <w:rsid w:val="00257E61"/>
    <w:rsid w:val="0026039C"/>
    <w:rsid w:val="00260BFA"/>
    <w:rsid w:val="002630FB"/>
    <w:rsid w:val="002654B1"/>
    <w:rsid w:val="00270317"/>
    <w:rsid w:val="0027132E"/>
    <w:rsid w:val="00271636"/>
    <w:rsid w:val="00271F08"/>
    <w:rsid w:val="00272102"/>
    <w:rsid w:val="002740EF"/>
    <w:rsid w:val="00274876"/>
    <w:rsid w:val="002755D5"/>
    <w:rsid w:val="00276646"/>
    <w:rsid w:val="00276873"/>
    <w:rsid w:val="00276CD5"/>
    <w:rsid w:val="0028002E"/>
    <w:rsid w:val="0028096C"/>
    <w:rsid w:val="00281FBC"/>
    <w:rsid w:val="00282A44"/>
    <w:rsid w:val="002836D2"/>
    <w:rsid w:val="002845EC"/>
    <w:rsid w:val="00286C91"/>
    <w:rsid w:val="00290484"/>
    <w:rsid w:val="0029196C"/>
    <w:rsid w:val="00291DCF"/>
    <w:rsid w:val="00292232"/>
    <w:rsid w:val="00292889"/>
    <w:rsid w:val="00293537"/>
    <w:rsid w:val="002938AC"/>
    <w:rsid w:val="00293941"/>
    <w:rsid w:val="00293BC4"/>
    <w:rsid w:val="00294162"/>
    <w:rsid w:val="0029560B"/>
    <w:rsid w:val="00296A12"/>
    <w:rsid w:val="00297C75"/>
    <w:rsid w:val="002A15E9"/>
    <w:rsid w:val="002A178C"/>
    <w:rsid w:val="002A1811"/>
    <w:rsid w:val="002A1D0B"/>
    <w:rsid w:val="002A1D90"/>
    <w:rsid w:val="002A28B4"/>
    <w:rsid w:val="002A48EC"/>
    <w:rsid w:val="002A592E"/>
    <w:rsid w:val="002A68F9"/>
    <w:rsid w:val="002A7947"/>
    <w:rsid w:val="002B0B15"/>
    <w:rsid w:val="002B0CF5"/>
    <w:rsid w:val="002B0E9C"/>
    <w:rsid w:val="002B12A9"/>
    <w:rsid w:val="002B1402"/>
    <w:rsid w:val="002B20ED"/>
    <w:rsid w:val="002B5A4A"/>
    <w:rsid w:val="002B600C"/>
    <w:rsid w:val="002B62C9"/>
    <w:rsid w:val="002B6E31"/>
    <w:rsid w:val="002B74C1"/>
    <w:rsid w:val="002B7F29"/>
    <w:rsid w:val="002C111A"/>
    <w:rsid w:val="002C1EAE"/>
    <w:rsid w:val="002C376F"/>
    <w:rsid w:val="002C3C7E"/>
    <w:rsid w:val="002C4258"/>
    <w:rsid w:val="002C5411"/>
    <w:rsid w:val="002C627D"/>
    <w:rsid w:val="002C6474"/>
    <w:rsid w:val="002C7FF5"/>
    <w:rsid w:val="002D0407"/>
    <w:rsid w:val="002D0519"/>
    <w:rsid w:val="002D303F"/>
    <w:rsid w:val="002D3525"/>
    <w:rsid w:val="002D3E44"/>
    <w:rsid w:val="002D51F9"/>
    <w:rsid w:val="002E0474"/>
    <w:rsid w:val="002E0AE5"/>
    <w:rsid w:val="002E3746"/>
    <w:rsid w:val="002E56DB"/>
    <w:rsid w:val="002E60F9"/>
    <w:rsid w:val="002E6539"/>
    <w:rsid w:val="002E7217"/>
    <w:rsid w:val="002E794A"/>
    <w:rsid w:val="002F2229"/>
    <w:rsid w:val="002F258E"/>
    <w:rsid w:val="002F2BEE"/>
    <w:rsid w:val="002F3BD4"/>
    <w:rsid w:val="002F3C81"/>
    <w:rsid w:val="002F5431"/>
    <w:rsid w:val="002F60C2"/>
    <w:rsid w:val="002F7B2B"/>
    <w:rsid w:val="002F7C37"/>
    <w:rsid w:val="00300798"/>
    <w:rsid w:val="00300BA1"/>
    <w:rsid w:val="00302431"/>
    <w:rsid w:val="003031CC"/>
    <w:rsid w:val="003036EF"/>
    <w:rsid w:val="003039BE"/>
    <w:rsid w:val="00304156"/>
    <w:rsid w:val="00304166"/>
    <w:rsid w:val="00304A10"/>
    <w:rsid w:val="003059FD"/>
    <w:rsid w:val="00305C2C"/>
    <w:rsid w:val="00305FAE"/>
    <w:rsid w:val="00306DF5"/>
    <w:rsid w:val="00307A22"/>
    <w:rsid w:val="00310654"/>
    <w:rsid w:val="00313CFF"/>
    <w:rsid w:val="00313D2F"/>
    <w:rsid w:val="00313E06"/>
    <w:rsid w:val="003141DC"/>
    <w:rsid w:val="00314423"/>
    <w:rsid w:val="0031652C"/>
    <w:rsid w:val="00317EB6"/>
    <w:rsid w:val="003209D1"/>
    <w:rsid w:val="00320CA6"/>
    <w:rsid w:val="00320F16"/>
    <w:rsid w:val="0032164A"/>
    <w:rsid w:val="003229FF"/>
    <w:rsid w:val="00322B96"/>
    <w:rsid w:val="003238E9"/>
    <w:rsid w:val="00324B6F"/>
    <w:rsid w:val="0032573F"/>
    <w:rsid w:val="00326376"/>
    <w:rsid w:val="003273A2"/>
    <w:rsid w:val="00327CE3"/>
    <w:rsid w:val="003302C8"/>
    <w:rsid w:val="00330D03"/>
    <w:rsid w:val="00330DE1"/>
    <w:rsid w:val="00333038"/>
    <w:rsid w:val="00333E93"/>
    <w:rsid w:val="00333EE2"/>
    <w:rsid w:val="00333EF1"/>
    <w:rsid w:val="003349E5"/>
    <w:rsid w:val="00335FA5"/>
    <w:rsid w:val="0033611E"/>
    <w:rsid w:val="0033663A"/>
    <w:rsid w:val="003366CA"/>
    <w:rsid w:val="003371B6"/>
    <w:rsid w:val="00337304"/>
    <w:rsid w:val="00337589"/>
    <w:rsid w:val="003377DE"/>
    <w:rsid w:val="00337C7C"/>
    <w:rsid w:val="00340C27"/>
    <w:rsid w:val="00340D1E"/>
    <w:rsid w:val="00340F68"/>
    <w:rsid w:val="0034163A"/>
    <w:rsid w:val="00343F99"/>
    <w:rsid w:val="003444E9"/>
    <w:rsid w:val="0034660C"/>
    <w:rsid w:val="003504AB"/>
    <w:rsid w:val="00350615"/>
    <w:rsid w:val="003507D2"/>
    <w:rsid w:val="003511EC"/>
    <w:rsid w:val="003512B1"/>
    <w:rsid w:val="00351343"/>
    <w:rsid w:val="00351CE5"/>
    <w:rsid w:val="0035209B"/>
    <w:rsid w:val="003523C0"/>
    <w:rsid w:val="00354BF2"/>
    <w:rsid w:val="00354F6B"/>
    <w:rsid w:val="00356B09"/>
    <w:rsid w:val="003601D7"/>
    <w:rsid w:val="00360B5A"/>
    <w:rsid w:val="00361E36"/>
    <w:rsid w:val="00361F33"/>
    <w:rsid w:val="003629A1"/>
    <w:rsid w:val="00363DD9"/>
    <w:rsid w:val="00365258"/>
    <w:rsid w:val="003663C7"/>
    <w:rsid w:val="00367156"/>
    <w:rsid w:val="00367B88"/>
    <w:rsid w:val="00370865"/>
    <w:rsid w:val="003719D4"/>
    <w:rsid w:val="0037339B"/>
    <w:rsid w:val="00373A5C"/>
    <w:rsid w:val="003777DA"/>
    <w:rsid w:val="00377B94"/>
    <w:rsid w:val="00377EF0"/>
    <w:rsid w:val="0038093F"/>
    <w:rsid w:val="0038252C"/>
    <w:rsid w:val="00383546"/>
    <w:rsid w:val="003842FA"/>
    <w:rsid w:val="00385B91"/>
    <w:rsid w:val="00386167"/>
    <w:rsid w:val="00386A79"/>
    <w:rsid w:val="00386EAC"/>
    <w:rsid w:val="00391A99"/>
    <w:rsid w:val="00391D1E"/>
    <w:rsid w:val="0039237C"/>
    <w:rsid w:val="00392AE5"/>
    <w:rsid w:val="00392EBA"/>
    <w:rsid w:val="00396141"/>
    <w:rsid w:val="00396479"/>
    <w:rsid w:val="00396EA8"/>
    <w:rsid w:val="003A0409"/>
    <w:rsid w:val="003A2C9E"/>
    <w:rsid w:val="003A5FC7"/>
    <w:rsid w:val="003A6147"/>
    <w:rsid w:val="003A6B50"/>
    <w:rsid w:val="003B45D3"/>
    <w:rsid w:val="003B4EDA"/>
    <w:rsid w:val="003B6E18"/>
    <w:rsid w:val="003B7474"/>
    <w:rsid w:val="003B7602"/>
    <w:rsid w:val="003C0326"/>
    <w:rsid w:val="003C1E43"/>
    <w:rsid w:val="003C206D"/>
    <w:rsid w:val="003C6111"/>
    <w:rsid w:val="003C71BA"/>
    <w:rsid w:val="003D250A"/>
    <w:rsid w:val="003D516C"/>
    <w:rsid w:val="003D58B0"/>
    <w:rsid w:val="003D5C36"/>
    <w:rsid w:val="003D5D16"/>
    <w:rsid w:val="003E2F42"/>
    <w:rsid w:val="003E32B6"/>
    <w:rsid w:val="003E4988"/>
    <w:rsid w:val="003E595A"/>
    <w:rsid w:val="003E5A5B"/>
    <w:rsid w:val="003F0277"/>
    <w:rsid w:val="003F3A79"/>
    <w:rsid w:val="003F4D5D"/>
    <w:rsid w:val="003F591F"/>
    <w:rsid w:val="003F6CBD"/>
    <w:rsid w:val="003F7523"/>
    <w:rsid w:val="003F7539"/>
    <w:rsid w:val="003F784D"/>
    <w:rsid w:val="0040088A"/>
    <w:rsid w:val="0040281B"/>
    <w:rsid w:val="00402AD8"/>
    <w:rsid w:val="00403507"/>
    <w:rsid w:val="0040556B"/>
    <w:rsid w:val="0040586C"/>
    <w:rsid w:val="00405F92"/>
    <w:rsid w:val="004063EB"/>
    <w:rsid w:val="0041069E"/>
    <w:rsid w:val="004106BF"/>
    <w:rsid w:val="00410B47"/>
    <w:rsid w:val="0041171D"/>
    <w:rsid w:val="00411A1A"/>
    <w:rsid w:val="00411CAE"/>
    <w:rsid w:val="004126F6"/>
    <w:rsid w:val="004144AF"/>
    <w:rsid w:val="004149CA"/>
    <w:rsid w:val="0041626F"/>
    <w:rsid w:val="00417B80"/>
    <w:rsid w:val="0042139F"/>
    <w:rsid w:val="00423564"/>
    <w:rsid w:val="00424479"/>
    <w:rsid w:val="004246A7"/>
    <w:rsid w:val="00424971"/>
    <w:rsid w:val="00425540"/>
    <w:rsid w:val="004273E5"/>
    <w:rsid w:val="00431666"/>
    <w:rsid w:val="004322FC"/>
    <w:rsid w:val="00432DB1"/>
    <w:rsid w:val="00432EE0"/>
    <w:rsid w:val="0043361C"/>
    <w:rsid w:val="004347E9"/>
    <w:rsid w:val="0043613D"/>
    <w:rsid w:val="004374E7"/>
    <w:rsid w:val="004403FF"/>
    <w:rsid w:val="004407C3"/>
    <w:rsid w:val="004417AE"/>
    <w:rsid w:val="004422AC"/>
    <w:rsid w:val="00442D74"/>
    <w:rsid w:val="004432DC"/>
    <w:rsid w:val="00443A55"/>
    <w:rsid w:val="00443BC8"/>
    <w:rsid w:val="0044427B"/>
    <w:rsid w:val="00444F64"/>
    <w:rsid w:val="00445DD5"/>
    <w:rsid w:val="0044602F"/>
    <w:rsid w:val="004465BB"/>
    <w:rsid w:val="00447935"/>
    <w:rsid w:val="00447CB6"/>
    <w:rsid w:val="004523F0"/>
    <w:rsid w:val="00454576"/>
    <w:rsid w:val="00454EB4"/>
    <w:rsid w:val="00457391"/>
    <w:rsid w:val="0045777C"/>
    <w:rsid w:val="00457CD4"/>
    <w:rsid w:val="00460787"/>
    <w:rsid w:val="00460EBB"/>
    <w:rsid w:val="00461106"/>
    <w:rsid w:val="00461431"/>
    <w:rsid w:val="00461D50"/>
    <w:rsid w:val="00461E41"/>
    <w:rsid w:val="0046257E"/>
    <w:rsid w:val="004625B9"/>
    <w:rsid w:val="00462B33"/>
    <w:rsid w:val="0046397E"/>
    <w:rsid w:val="00464AC0"/>
    <w:rsid w:val="00465A4A"/>
    <w:rsid w:val="00466214"/>
    <w:rsid w:val="004705E4"/>
    <w:rsid w:val="004709C6"/>
    <w:rsid w:val="00470B7F"/>
    <w:rsid w:val="00470BD2"/>
    <w:rsid w:val="00470E05"/>
    <w:rsid w:val="00471193"/>
    <w:rsid w:val="00471778"/>
    <w:rsid w:val="00471F2C"/>
    <w:rsid w:val="00473690"/>
    <w:rsid w:val="00473F0A"/>
    <w:rsid w:val="00474B84"/>
    <w:rsid w:val="0047514A"/>
    <w:rsid w:val="00475632"/>
    <w:rsid w:val="00476223"/>
    <w:rsid w:val="004766E1"/>
    <w:rsid w:val="00480A22"/>
    <w:rsid w:val="00480A95"/>
    <w:rsid w:val="0048171D"/>
    <w:rsid w:val="00483AF9"/>
    <w:rsid w:val="00484324"/>
    <w:rsid w:val="004846AD"/>
    <w:rsid w:val="00484937"/>
    <w:rsid w:val="00485950"/>
    <w:rsid w:val="00485F74"/>
    <w:rsid w:val="00486443"/>
    <w:rsid w:val="00486A4A"/>
    <w:rsid w:val="0048718C"/>
    <w:rsid w:val="00490A8E"/>
    <w:rsid w:val="004922AA"/>
    <w:rsid w:val="0049296B"/>
    <w:rsid w:val="00495689"/>
    <w:rsid w:val="004963A8"/>
    <w:rsid w:val="004965CC"/>
    <w:rsid w:val="00497958"/>
    <w:rsid w:val="004A042D"/>
    <w:rsid w:val="004A120D"/>
    <w:rsid w:val="004A15D7"/>
    <w:rsid w:val="004A239F"/>
    <w:rsid w:val="004A2ACB"/>
    <w:rsid w:val="004A3367"/>
    <w:rsid w:val="004A399B"/>
    <w:rsid w:val="004A3A81"/>
    <w:rsid w:val="004A61EA"/>
    <w:rsid w:val="004A6604"/>
    <w:rsid w:val="004A6FDD"/>
    <w:rsid w:val="004A71D6"/>
    <w:rsid w:val="004A725C"/>
    <w:rsid w:val="004A76DB"/>
    <w:rsid w:val="004B09AF"/>
    <w:rsid w:val="004B1398"/>
    <w:rsid w:val="004B4236"/>
    <w:rsid w:val="004B4281"/>
    <w:rsid w:val="004B62C0"/>
    <w:rsid w:val="004B6450"/>
    <w:rsid w:val="004B7A2A"/>
    <w:rsid w:val="004B7FB6"/>
    <w:rsid w:val="004C08D8"/>
    <w:rsid w:val="004C10B7"/>
    <w:rsid w:val="004C12DA"/>
    <w:rsid w:val="004C29B9"/>
    <w:rsid w:val="004C397F"/>
    <w:rsid w:val="004C4B2E"/>
    <w:rsid w:val="004C5561"/>
    <w:rsid w:val="004C5E76"/>
    <w:rsid w:val="004C6F72"/>
    <w:rsid w:val="004C722B"/>
    <w:rsid w:val="004C745A"/>
    <w:rsid w:val="004C7DD1"/>
    <w:rsid w:val="004D26AD"/>
    <w:rsid w:val="004D2EB7"/>
    <w:rsid w:val="004D5065"/>
    <w:rsid w:val="004D511C"/>
    <w:rsid w:val="004D59A9"/>
    <w:rsid w:val="004D6918"/>
    <w:rsid w:val="004D78C4"/>
    <w:rsid w:val="004E0475"/>
    <w:rsid w:val="004E08DD"/>
    <w:rsid w:val="004E1201"/>
    <w:rsid w:val="004E13A6"/>
    <w:rsid w:val="004E43BE"/>
    <w:rsid w:val="004E5A60"/>
    <w:rsid w:val="004E7283"/>
    <w:rsid w:val="004E7CD3"/>
    <w:rsid w:val="004F00E9"/>
    <w:rsid w:val="004F089F"/>
    <w:rsid w:val="004F2215"/>
    <w:rsid w:val="004F3768"/>
    <w:rsid w:val="004F4040"/>
    <w:rsid w:val="004F5DA2"/>
    <w:rsid w:val="004F5F12"/>
    <w:rsid w:val="004F609C"/>
    <w:rsid w:val="004F7FEC"/>
    <w:rsid w:val="005011F5"/>
    <w:rsid w:val="0050169D"/>
    <w:rsid w:val="0050238B"/>
    <w:rsid w:val="00502C9B"/>
    <w:rsid w:val="00503D01"/>
    <w:rsid w:val="00504684"/>
    <w:rsid w:val="005046E1"/>
    <w:rsid w:val="00505499"/>
    <w:rsid w:val="00507DE8"/>
    <w:rsid w:val="00511AD7"/>
    <w:rsid w:val="00511FB9"/>
    <w:rsid w:val="005125F9"/>
    <w:rsid w:val="00512FDB"/>
    <w:rsid w:val="00514135"/>
    <w:rsid w:val="00515862"/>
    <w:rsid w:val="00516030"/>
    <w:rsid w:val="0051669C"/>
    <w:rsid w:val="00516843"/>
    <w:rsid w:val="00516F46"/>
    <w:rsid w:val="005177F0"/>
    <w:rsid w:val="00517E93"/>
    <w:rsid w:val="00521693"/>
    <w:rsid w:val="00523F23"/>
    <w:rsid w:val="00524229"/>
    <w:rsid w:val="00524B1D"/>
    <w:rsid w:val="005258AD"/>
    <w:rsid w:val="005258BD"/>
    <w:rsid w:val="00525D9A"/>
    <w:rsid w:val="00525FCF"/>
    <w:rsid w:val="00527131"/>
    <w:rsid w:val="0052728C"/>
    <w:rsid w:val="00527682"/>
    <w:rsid w:val="00527E0E"/>
    <w:rsid w:val="00530381"/>
    <w:rsid w:val="0053086C"/>
    <w:rsid w:val="0053146C"/>
    <w:rsid w:val="0053289C"/>
    <w:rsid w:val="005329DA"/>
    <w:rsid w:val="00532D5E"/>
    <w:rsid w:val="005335FB"/>
    <w:rsid w:val="00533FC8"/>
    <w:rsid w:val="0053468E"/>
    <w:rsid w:val="00534DB0"/>
    <w:rsid w:val="005363FB"/>
    <w:rsid w:val="005369F2"/>
    <w:rsid w:val="00537416"/>
    <w:rsid w:val="00537FF5"/>
    <w:rsid w:val="00540C5F"/>
    <w:rsid w:val="00540ECB"/>
    <w:rsid w:val="00541147"/>
    <w:rsid w:val="00541C85"/>
    <w:rsid w:val="00541D5F"/>
    <w:rsid w:val="00542085"/>
    <w:rsid w:val="00542A23"/>
    <w:rsid w:val="00543FC7"/>
    <w:rsid w:val="005441FC"/>
    <w:rsid w:val="00544244"/>
    <w:rsid w:val="005450EC"/>
    <w:rsid w:val="005457C5"/>
    <w:rsid w:val="005458DD"/>
    <w:rsid w:val="0054605E"/>
    <w:rsid w:val="005464D1"/>
    <w:rsid w:val="005468F3"/>
    <w:rsid w:val="00547B4F"/>
    <w:rsid w:val="00550D7B"/>
    <w:rsid w:val="00552230"/>
    <w:rsid w:val="00553335"/>
    <w:rsid w:val="0055394A"/>
    <w:rsid w:val="005547AF"/>
    <w:rsid w:val="0055503A"/>
    <w:rsid w:val="005550F6"/>
    <w:rsid w:val="00557DFC"/>
    <w:rsid w:val="00561462"/>
    <w:rsid w:val="00561EA3"/>
    <w:rsid w:val="00561FD7"/>
    <w:rsid w:val="00562256"/>
    <w:rsid w:val="00562AA0"/>
    <w:rsid w:val="005631C9"/>
    <w:rsid w:val="0056561D"/>
    <w:rsid w:val="00567D67"/>
    <w:rsid w:val="0057223F"/>
    <w:rsid w:val="00572623"/>
    <w:rsid w:val="005726C2"/>
    <w:rsid w:val="0057429F"/>
    <w:rsid w:val="00574C9B"/>
    <w:rsid w:val="005769A3"/>
    <w:rsid w:val="00576BF7"/>
    <w:rsid w:val="005775C2"/>
    <w:rsid w:val="00577F2A"/>
    <w:rsid w:val="00580617"/>
    <w:rsid w:val="00580FA7"/>
    <w:rsid w:val="005853D6"/>
    <w:rsid w:val="005854D2"/>
    <w:rsid w:val="00585B31"/>
    <w:rsid w:val="00585B68"/>
    <w:rsid w:val="005873FA"/>
    <w:rsid w:val="005915EE"/>
    <w:rsid w:val="00591F92"/>
    <w:rsid w:val="00592FF5"/>
    <w:rsid w:val="005931A6"/>
    <w:rsid w:val="00593904"/>
    <w:rsid w:val="00593E61"/>
    <w:rsid w:val="00593EBD"/>
    <w:rsid w:val="00596031"/>
    <w:rsid w:val="00596E40"/>
    <w:rsid w:val="00597FD6"/>
    <w:rsid w:val="00597FFD"/>
    <w:rsid w:val="005A144D"/>
    <w:rsid w:val="005A1B11"/>
    <w:rsid w:val="005A341F"/>
    <w:rsid w:val="005A3F10"/>
    <w:rsid w:val="005A3FD6"/>
    <w:rsid w:val="005A516C"/>
    <w:rsid w:val="005A540D"/>
    <w:rsid w:val="005A5965"/>
    <w:rsid w:val="005A5DE2"/>
    <w:rsid w:val="005A5F7A"/>
    <w:rsid w:val="005B28B3"/>
    <w:rsid w:val="005B39E8"/>
    <w:rsid w:val="005B39F0"/>
    <w:rsid w:val="005B3C1B"/>
    <w:rsid w:val="005B6312"/>
    <w:rsid w:val="005B714C"/>
    <w:rsid w:val="005C04C9"/>
    <w:rsid w:val="005C0D02"/>
    <w:rsid w:val="005C4A2D"/>
    <w:rsid w:val="005C4FC7"/>
    <w:rsid w:val="005C5532"/>
    <w:rsid w:val="005C7C19"/>
    <w:rsid w:val="005D1897"/>
    <w:rsid w:val="005D3072"/>
    <w:rsid w:val="005D46B4"/>
    <w:rsid w:val="005D4780"/>
    <w:rsid w:val="005D485D"/>
    <w:rsid w:val="005D5AEA"/>
    <w:rsid w:val="005D6771"/>
    <w:rsid w:val="005D766F"/>
    <w:rsid w:val="005D79D8"/>
    <w:rsid w:val="005E1C52"/>
    <w:rsid w:val="005E2323"/>
    <w:rsid w:val="005E26B9"/>
    <w:rsid w:val="005E319C"/>
    <w:rsid w:val="005E37D0"/>
    <w:rsid w:val="005E4D6F"/>
    <w:rsid w:val="005E7EDB"/>
    <w:rsid w:val="005F237F"/>
    <w:rsid w:val="005F2537"/>
    <w:rsid w:val="005F36BE"/>
    <w:rsid w:val="005F50B8"/>
    <w:rsid w:val="005F5479"/>
    <w:rsid w:val="005F583C"/>
    <w:rsid w:val="005F58E3"/>
    <w:rsid w:val="005F5997"/>
    <w:rsid w:val="005F5E5D"/>
    <w:rsid w:val="005F68FB"/>
    <w:rsid w:val="005F6A97"/>
    <w:rsid w:val="005F6BD4"/>
    <w:rsid w:val="005F6E6B"/>
    <w:rsid w:val="006001D3"/>
    <w:rsid w:val="0060046D"/>
    <w:rsid w:val="00602D41"/>
    <w:rsid w:val="00603D57"/>
    <w:rsid w:val="00607330"/>
    <w:rsid w:val="0060777C"/>
    <w:rsid w:val="0061150E"/>
    <w:rsid w:val="00611AF7"/>
    <w:rsid w:val="00612B80"/>
    <w:rsid w:val="00612F71"/>
    <w:rsid w:val="00613AFC"/>
    <w:rsid w:val="00614E0D"/>
    <w:rsid w:val="0061564A"/>
    <w:rsid w:val="00615A49"/>
    <w:rsid w:val="00615D0A"/>
    <w:rsid w:val="006160C8"/>
    <w:rsid w:val="00616AE6"/>
    <w:rsid w:val="0061753C"/>
    <w:rsid w:val="0061796B"/>
    <w:rsid w:val="00620D5E"/>
    <w:rsid w:val="00621C1F"/>
    <w:rsid w:val="00621E3B"/>
    <w:rsid w:val="006220F7"/>
    <w:rsid w:val="00622EF3"/>
    <w:rsid w:val="00623C62"/>
    <w:rsid w:val="00623CC0"/>
    <w:rsid w:val="00623CD9"/>
    <w:rsid w:val="00624255"/>
    <w:rsid w:val="00624366"/>
    <w:rsid w:val="00624902"/>
    <w:rsid w:val="00625426"/>
    <w:rsid w:val="00630885"/>
    <w:rsid w:val="0063114B"/>
    <w:rsid w:val="0063189A"/>
    <w:rsid w:val="00631D42"/>
    <w:rsid w:val="006322BE"/>
    <w:rsid w:val="00634F30"/>
    <w:rsid w:val="00635482"/>
    <w:rsid w:val="00635E4C"/>
    <w:rsid w:val="00636233"/>
    <w:rsid w:val="006372EB"/>
    <w:rsid w:val="00640063"/>
    <w:rsid w:val="00640F6F"/>
    <w:rsid w:val="006412FD"/>
    <w:rsid w:val="00641A96"/>
    <w:rsid w:val="00643C13"/>
    <w:rsid w:val="00644949"/>
    <w:rsid w:val="0064512C"/>
    <w:rsid w:val="00645267"/>
    <w:rsid w:val="0064533A"/>
    <w:rsid w:val="00645452"/>
    <w:rsid w:val="006459A3"/>
    <w:rsid w:val="006462D5"/>
    <w:rsid w:val="0064682D"/>
    <w:rsid w:val="006504A4"/>
    <w:rsid w:val="006519E7"/>
    <w:rsid w:val="006533D7"/>
    <w:rsid w:val="00653824"/>
    <w:rsid w:val="00653B6F"/>
    <w:rsid w:val="0065483E"/>
    <w:rsid w:val="00656031"/>
    <w:rsid w:val="00656F8E"/>
    <w:rsid w:val="00657E45"/>
    <w:rsid w:val="0066194A"/>
    <w:rsid w:val="00661C93"/>
    <w:rsid w:val="00663446"/>
    <w:rsid w:val="0066346C"/>
    <w:rsid w:val="00663907"/>
    <w:rsid w:val="0066419F"/>
    <w:rsid w:val="00664B3A"/>
    <w:rsid w:val="00665317"/>
    <w:rsid w:val="006656D3"/>
    <w:rsid w:val="00665F02"/>
    <w:rsid w:val="0066770A"/>
    <w:rsid w:val="00667D03"/>
    <w:rsid w:val="0067045E"/>
    <w:rsid w:val="00670E59"/>
    <w:rsid w:val="00671545"/>
    <w:rsid w:val="00672209"/>
    <w:rsid w:val="006728D5"/>
    <w:rsid w:val="00672FFE"/>
    <w:rsid w:val="006749B7"/>
    <w:rsid w:val="00675A71"/>
    <w:rsid w:val="00680A06"/>
    <w:rsid w:val="0068284E"/>
    <w:rsid w:val="00683039"/>
    <w:rsid w:val="00683842"/>
    <w:rsid w:val="006840AC"/>
    <w:rsid w:val="006845E1"/>
    <w:rsid w:val="00685C11"/>
    <w:rsid w:val="00685C4C"/>
    <w:rsid w:val="006866C5"/>
    <w:rsid w:val="006868AC"/>
    <w:rsid w:val="00686EEB"/>
    <w:rsid w:val="0068772B"/>
    <w:rsid w:val="00690040"/>
    <w:rsid w:val="00690887"/>
    <w:rsid w:val="00691F97"/>
    <w:rsid w:val="006920EF"/>
    <w:rsid w:val="00695146"/>
    <w:rsid w:val="00695302"/>
    <w:rsid w:val="00695441"/>
    <w:rsid w:val="006968B9"/>
    <w:rsid w:val="00696E0C"/>
    <w:rsid w:val="00697A97"/>
    <w:rsid w:val="00697B37"/>
    <w:rsid w:val="006A044C"/>
    <w:rsid w:val="006A069E"/>
    <w:rsid w:val="006A20FA"/>
    <w:rsid w:val="006A3F05"/>
    <w:rsid w:val="006A43BF"/>
    <w:rsid w:val="006A47BF"/>
    <w:rsid w:val="006A5C33"/>
    <w:rsid w:val="006A7504"/>
    <w:rsid w:val="006B01C7"/>
    <w:rsid w:val="006B0CD3"/>
    <w:rsid w:val="006B2138"/>
    <w:rsid w:val="006B29B2"/>
    <w:rsid w:val="006B2CD2"/>
    <w:rsid w:val="006B3615"/>
    <w:rsid w:val="006B5100"/>
    <w:rsid w:val="006B5153"/>
    <w:rsid w:val="006B555B"/>
    <w:rsid w:val="006B57C8"/>
    <w:rsid w:val="006C0A93"/>
    <w:rsid w:val="006C1184"/>
    <w:rsid w:val="006C184A"/>
    <w:rsid w:val="006C2A7A"/>
    <w:rsid w:val="006C3DC1"/>
    <w:rsid w:val="006C4947"/>
    <w:rsid w:val="006C4E3A"/>
    <w:rsid w:val="006C5D09"/>
    <w:rsid w:val="006C619C"/>
    <w:rsid w:val="006C7774"/>
    <w:rsid w:val="006D223D"/>
    <w:rsid w:val="006D2714"/>
    <w:rsid w:val="006D35DD"/>
    <w:rsid w:val="006D6C90"/>
    <w:rsid w:val="006D7395"/>
    <w:rsid w:val="006E0C49"/>
    <w:rsid w:val="006E0DF5"/>
    <w:rsid w:val="006E0F3C"/>
    <w:rsid w:val="006E18E9"/>
    <w:rsid w:val="006E2421"/>
    <w:rsid w:val="006E4998"/>
    <w:rsid w:val="006E4B5D"/>
    <w:rsid w:val="006E568B"/>
    <w:rsid w:val="006E5BF7"/>
    <w:rsid w:val="006E5F58"/>
    <w:rsid w:val="006E7871"/>
    <w:rsid w:val="006F0431"/>
    <w:rsid w:val="006F09E1"/>
    <w:rsid w:val="006F10A3"/>
    <w:rsid w:val="006F6C09"/>
    <w:rsid w:val="006F6D50"/>
    <w:rsid w:val="00701EDE"/>
    <w:rsid w:val="007029E7"/>
    <w:rsid w:val="00702C64"/>
    <w:rsid w:val="0070494E"/>
    <w:rsid w:val="00704EB2"/>
    <w:rsid w:val="00705104"/>
    <w:rsid w:val="00707920"/>
    <w:rsid w:val="0071124A"/>
    <w:rsid w:val="007122B9"/>
    <w:rsid w:val="00714187"/>
    <w:rsid w:val="00714F74"/>
    <w:rsid w:val="007159AB"/>
    <w:rsid w:val="00720622"/>
    <w:rsid w:val="00720691"/>
    <w:rsid w:val="007206C9"/>
    <w:rsid w:val="00721493"/>
    <w:rsid w:val="007221D0"/>
    <w:rsid w:val="007258CB"/>
    <w:rsid w:val="00725D17"/>
    <w:rsid w:val="0072608C"/>
    <w:rsid w:val="00726CC9"/>
    <w:rsid w:val="00727661"/>
    <w:rsid w:val="00727788"/>
    <w:rsid w:val="00730093"/>
    <w:rsid w:val="0073073C"/>
    <w:rsid w:val="007317FA"/>
    <w:rsid w:val="00732C19"/>
    <w:rsid w:val="00733854"/>
    <w:rsid w:val="00733A6E"/>
    <w:rsid w:val="00733D8F"/>
    <w:rsid w:val="00736E5E"/>
    <w:rsid w:val="0073702E"/>
    <w:rsid w:val="007379A8"/>
    <w:rsid w:val="00740203"/>
    <w:rsid w:val="00740F0E"/>
    <w:rsid w:val="00741A77"/>
    <w:rsid w:val="00741D9C"/>
    <w:rsid w:val="007436D0"/>
    <w:rsid w:val="0074453A"/>
    <w:rsid w:val="00744760"/>
    <w:rsid w:val="00744C0C"/>
    <w:rsid w:val="0074574D"/>
    <w:rsid w:val="00746D3D"/>
    <w:rsid w:val="00746DC1"/>
    <w:rsid w:val="0074705F"/>
    <w:rsid w:val="00750303"/>
    <w:rsid w:val="007504CC"/>
    <w:rsid w:val="00752973"/>
    <w:rsid w:val="00752A4A"/>
    <w:rsid w:val="00752BF9"/>
    <w:rsid w:val="0075587B"/>
    <w:rsid w:val="0075590E"/>
    <w:rsid w:val="007560E1"/>
    <w:rsid w:val="007627D6"/>
    <w:rsid w:val="007633D2"/>
    <w:rsid w:val="007652C4"/>
    <w:rsid w:val="00765836"/>
    <w:rsid w:val="007659A0"/>
    <w:rsid w:val="007661FF"/>
    <w:rsid w:val="007664D4"/>
    <w:rsid w:val="00766D34"/>
    <w:rsid w:val="00766FBF"/>
    <w:rsid w:val="0076742E"/>
    <w:rsid w:val="00770AE1"/>
    <w:rsid w:val="00770C89"/>
    <w:rsid w:val="00771C36"/>
    <w:rsid w:val="00773E0B"/>
    <w:rsid w:val="0077499A"/>
    <w:rsid w:val="007760BE"/>
    <w:rsid w:val="007765F1"/>
    <w:rsid w:val="00777F44"/>
    <w:rsid w:val="00780D95"/>
    <w:rsid w:val="00781486"/>
    <w:rsid w:val="00781702"/>
    <w:rsid w:val="00782BF4"/>
    <w:rsid w:val="0078623E"/>
    <w:rsid w:val="007863EC"/>
    <w:rsid w:val="00787C48"/>
    <w:rsid w:val="007910D2"/>
    <w:rsid w:val="00793162"/>
    <w:rsid w:val="00793969"/>
    <w:rsid w:val="007951DF"/>
    <w:rsid w:val="007A06AE"/>
    <w:rsid w:val="007A0D5C"/>
    <w:rsid w:val="007A258C"/>
    <w:rsid w:val="007A391F"/>
    <w:rsid w:val="007A3D70"/>
    <w:rsid w:val="007A4147"/>
    <w:rsid w:val="007A7488"/>
    <w:rsid w:val="007B0108"/>
    <w:rsid w:val="007B0627"/>
    <w:rsid w:val="007B14FA"/>
    <w:rsid w:val="007B1600"/>
    <w:rsid w:val="007B17FB"/>
    <w:rsid w:val="007B1CEB"/>
    <w:rsid w:val="007B1D00"/>
    <w:rsid w:val="007B1E91"/>
    <w:rsid w:val="007B3754"/>
    <w:rsid w:val="007B4609"/>
    <w:rsid w:val="007B4618"/>
    <w:rsid w:val="007B4997"/>
    <w:rsid w:val="007B56B3"/>
    <w:rsid w:val="007B5C89"/>
    <w:rsid w:val="007C0FD9"/>
    <w:rsid w:val="007C0FFD"/>
    <w:rsid w:val="007C1E9F"/>
    <w:rsid w:val="007C2AAD"/>
    <w:rsid w:val="007C2F05"/>
    <w:rsid w:val="007C3807"/>
    <w:rsid w:val="007C3BC4"/>
    <w:rsid w:val="007C3E23"/>
    <w:rsid w:val="007C4530"/>
    <w:rsid w:val="007C47B9"/>
    <w:rsid w:val="007C480A"/>
    <w:rsid w:val="007C506C"/>
    <w:rsid w:val="007C608C"/>
    <w:rsid w:val="007C78CE"/>
    <w:rsid w:val="007D0E44"/>
    <w:rsid w:val="007D1ACC"/>
    <w:rsid w:val="007D1F59"/>
    <w:rsid w:val="007D20E6"/>
    <w:rsid w:val="007D43ED"/>
    <w:rsid w:val="007D4AC3"/>
    <w:rsid w:val="007D4B16"/>
    <w:rsid w:val="007D4B9D"/>
    <w:rsid w:val="007D5086"/>
    <w:rsid w:val="007D553A"/>
    <w:rsid w:val="007D720C"/>
    <w:rsid w:val="007E0A2D"/>
    <w:rsid w:val="007E1652"/>
    <w:rsid w:val="007E1905"/>
    <w:rsid w:val="007E2655"/>
    <w:rsid w:val="007E3C06"/>
    <w:rsid w:val="007E4181"/>
    <w:rsid w:val="007E4CCC"/>
    <w:rsid w:val="007E4E35"/>
    <w:rsid w:val="007E5659"/>
    <w:rsid w:val="007E5697"/>
    <w:rsid w:val="007E5B5C"/>
    <w:rsid w:val="007E5ECF"/>
    <w:rsid w:val="007E5FDD"/>
    <w:rsid w:val="007E6489"/>
    <w:rsid w:val="007E66A9"/>
    <w:rsid w:val="007E7875"/>
    <w:rsid w:val="007E7D79"/>
    <w:rsid w:val="007F08A0"/>
    <w:rsid w:val="007F105F"/>
    <w:rsid w:val="007F191B"/>
    <w:rsid w:val="007F37C8"/>
    <w:rsid w:val="007F5299"/>
    <w:rsid w:val="007F54BB"/>
    <w:rsid w:val="008016D9"/>
    <w:rsid w:val="00801E95"/>
    <w:rsid w:val="008027A7"/>
    <w:rsid w:val="00802B2F"/>
    <w:rsid w:val="0080308B"/>
    <w:rsid w:val="008039EC"/>
    <w:rsid w:val="00803CB5"/>
    <w:rsid w:val="00803F0B"/>
    <w:rsid w:val="00804226"/>
    <w:rsid w:val="008055B6"/>
    <w:rsid w:val="00807390"/>
    <w:rsid w:val="008106B1"/>
    <w:rsid w:val="00810CA1"/>
    <w:rsid w:val="008120C3"/>
    <w:rsid w:val="00812A58"/>
    <w:rsid w:val="0081385D"/>
    <w:rsid w:val="008139E8"/>
    <w:rsid w:val="00814C51"/>
    <w:rsid w:val="00815138"/>
    <w:rsid w:val="00820277"/>
    <w:rsid w:val="00820596"/>
    <w:rsid w:val="00826326"/>
    <w:rsid w:val="00826D44"/>
    <w:rsid w:val="008306ED"/>
    <w:rsid w:val="00830C12"/>
    <w:rsid w:val="00833959"/>
    <w:rsid w:val="00835C5B"/>
    <w:rsid w:val="00837392"/>
    <w:rsid w:val="008378C8"/>
    <w:rsid w:val="008405EC"/>
    <w:rsid w:val="00840A70"/>
    <w:rsid w:val="00840AC5"/>
    <w:rsid w:val="00840DBB"/>
    <w:rsid w:val="00841E4D"/>
    <w:rsid w:val="00843AB2"/>
    <w:rsid w:val="00845CF9"/>
    <w:rsid w:val="008460D8"/>
    <w:rsid w:val="00846394"/>
    <w:rsid w:val="00850617"/>
    <w:rsid w:val="00850B44"/>
    <w:rsid w:val="00850F7D"/>
    <w:rsid w:val="00851567"/>
    <w:rsid w:val="00852880"/>
    <w:rsid w:val="00854662"/>
    <w:rsid w:val="008548EB"/>
    <w:rsid w:val="0085538C"/>
    <w:rsid w:val="00855FB6"/>
    <w:rsid w:val="00856A06"/>
    <w:rsid w:val="00857E41"/>
    <w:rsid w:val="00860220"/>
    <w:rsid w:val="00861180"/>
    <w:rsid w:val="00863FE6"/>
    <w:rsid w:val="00864263"/>
    <w:rsid w:val="00864ED2"/>
    <w:rsid w:val="00865EA7"/>
    <w:rsid w:val="0087120B"/>
    <w:rsid w:val="008721A1"/>
    <w:rsid w:val="00872C08"/>
    <w:rsid w:val="00873E6C"/>
    <w:rsid w:val="0087442E"/>
    <w:rsid w:val="00875027"/>
    <w:rsid w:val="00875DC2"/>
    <w:rsid w:val="00876401"/>
    <w:rsid w:val="0087670A"/>
    <w:rsid w:val="00876B3D"/>
    <w:rsid w:val="00876F2A"/>
    <w:rsid w:val="008775BA"/>
    <w:rsid w:val="00880CE4"/>
    <w:rsid w:val="008810DC"/>
    <w:rsid w:val="008840A4"/>
    <w:rsid w:val="008868A5"/>
    <w:rsid w:val="00887724"/>
    <w:rsid w:val="008878A5"/>
    <w:rsid w:val="00891377"/>
    <w:rsid w:val="00891B0F"/>
    <w:rsid w:val="00891C80"/>
    <w:rsid w:val="00892677"/>
    <w:rsid w:val="00894899"/>
    <w:rsid w:val="008962C5"/>
    <w:rsid w:val="008964D0"/>
    <w:rsid w:val="00897DE4"/>
    <w:rsid w:val="008A0D5C"/>
    <w:rsid w:val="008A1809"/>
    <w:rsid w:val="008A210E"/>
    <w:rsid w:val="008A214C"/>
    <w:rsid w:val="008A2526"/>
    <w:rsid w:val="008A28BB"/>
    <w:rsid w:val="008A2BBA"/>
    <w:rsid w:val="008A3AC5"/>
    <w:rsid w:val="008A4CEA"/>
    <w:rsid w:val="008A5057"/>
    <w:rsid w:val="008A67F4"/>
    <w:rsid w:val="008A7FEE"/>
    <w:rsid w:val="008B173E"/>
    <w:rsid w:val="008B1BA4"/>
    <w:rsid w:val="008B2304"/>
    <w:rsid w:val="008B23F8"/>
    <w:rsid w:val="008B3214"/>
    <w:rsid w:val="008B4DB2"/>
    <w:rsid w:val="008B4DB7"/>
    <w:rsid w:val="008B514F"/>
    <w:rsid w:val="008B6C8E"/>
    <w:rsid w:val="008B7490"/>
    <w:rsid w:val="008B7FC8"/>
    <w:rsid w:val="008C0916"/>
    <w:rsid w:val="008C321D"/>
    <w:rsid w:val="008C3E7B"/>
    <w:rsid w:val="008C5E6B"/>
    <w:rsid w:val="008C7AB6"/>
    <w:rsid w:val="008D29C8"/>
    <w:rsid w:val="008D337E"/>
    <w:rsid w:val="008D4414"/>
    <w:rsid w:val="008D671F"/>
    <w:rsid w:val="008D7481"/>
    <w:rsid w:val="008E0380"/>
    <w:rsid w:val="008E1ACF"/>
    <w:rsid w:val="008E2054"/>
    <w:rsid w:val="008E2240"/>
    <w:rsid w:val="008E2ED3"/>
    <w:rsid w:val="008E2F84"/>
    <w:rsid w:val="008E4074"/>
    <w:rsid w:val="008E40EF"/>
    <w:rsid w:val="008E470F"/>
    <w:rsid w:val="008E5A85"/>
    <w:rsid w:val="008E60B7"/>
    <w:rsid w:val="008E60D9"/>
    <w:rsid w:val="008E706F"/>
    <w:rsid w:val="008E7747"/>
    <w:rsid w:val="008E7F39"/>
    <w:rsid w:val="008F001B"/>
    <w:rsid w:val="008F014B"/>
    <w:rsid w:val="008F0E10"/>
    <w:rsid w:val="008F21B4"/>
    <w:rsid w:val="008F2245"/>
    <w:rsid w:val="008F2278"/>
    <w:rsid w:val="008F31AE"/>
    <w:rsid w:val="008F4F80"/>
    <w:rsid w:val="008F5F9F"/>
    <w:rsid w:val="008F6D22"/>
    <w:rsid w:val="008F6E8D"/>
    <w:rsid w:val="0090115E"/>
    <w:rsid w:val="00901AE0"/>
    <w:rsid w:val="00901F00"/>
    <w:rsid w:val="00903830"/>
    <w:rsid w:val="00903CA2"/>
    <w:rsid w:val="00906028"/>
    <w:rsid w:val="00906A8D"/>
    <w:rsid w:val="00906C42"/>
    <w:rsid w:val="009071EA"/>
    <w:rsid w:val="00907C33"/>
    <w:rsid w:val="00907D58"/>
    <w:rsid w:val="00907F57"/>
    <w:rsid w:val="00910F47"/>
    <w:rsid w:val="009110CF"/>
    <w:rsid w:val="00913283"/>
    <w:rsid w:val="00914A2F"/>
    <w:rsid w:val="00914D74"/>
    <w:rsid w:val="009214D9"/>
    <w:rsid w:val="00921738"/>
    <w:rsid w:val="0092193D"/>
    <w:rsid w:val="00921F89"/>
    <w:rsid w:val="009229FA"/>
    <w:rsid w:val="00922E9A"/>
    <w:rsid w:val="00923C8C"/>
    <w:rsid w:val="00923EC0"/>
    <w:rsid w:val="00923EFC"/>
    <w:rsid w:val="00924064"/>
    <w:rsid w:val="00924EBC"/>
    <w:rsid w:val="009262D1"/>
    <w:rsid w:val="0093179F"/>
    <w:rsid w:val="0093202A"/>
    <w:rsid w:val="00933CBE"/>
    <w:rsid w:val="00934164"/>
    <w:rsid w:val="009343DF"/>
    <w:rsid w:val="00934833"/>
    <w:rsid w:val="00934D5B"/>
    <w:rsid w:val="00935522"/>
    <w:rsid w:val="00935742"/>
    <w:rsid w:val="00936007"/>
    <w:rsid w:val="009360A3"/>
    <w:rsid w:val="009361D6"/>
    <w:rsid w:val="009374B1"/>
    <w:rsid w:val="0094068B"/>
    <w:rsid w:val="0094228B"/>
    <w:rsid w:val="00942E17"/>
    <w:rsid w:val="00943124"/>
    <w:rsid w:val="0094404A"/>
    <w:rsid w:val="00946315"/>
    <w:rsid w:val="00946C22"/>
    <w:rsid w:val="00947D64"/>
    <w:rsid w:val="009512DF"/>
    <w:rsid w:val="00951776"/>
    <w:rsid w:val="00951CEC"/>
    <w:rsid w:val="009528DB"/>
    <w:rsid w:val="009528F8"/>
    <w:rsid w:val="00955C45"/>
    <w:rsid w:val="00956509"/>
    <w:rsid w:val="009575AD"/>
    <w:rsid w:val="00957E2F"/>
    <w:rsid w:val="00957EFB"/>
    <w:rsid w:val="00960120"/>
    <w:rsid w:val="00962240"/>
    <w:rsid w:val="00962A4A"/>
    <w:rsid w:val="00963E55"/>
    <w:rsid w:val="0096423B"/>
    <w:rsid w:val="00965642"/>
    <w:rsid w:val="00965945"/>
    <w:rsid w:val="009670D1"/>
    <w:rsid w:val="00967489"/>
    <w:rsid w:val="0097020C"/>
    <w:rsid w:val="00973D66"/>
    <w:rsid w:val="00974561"/>
    <w:rsid w:val="00974E34"/>
    <w:rsid w:val="00976D8A"/>
    <w:rsid w:val="00980D8D"/>
    <w:rsid w:val="00981E0A"/>
    <w:rsid w:val="00982132"/>
    <w:rsid w:val="00984471"/>
    <w:rsid w:val="00986C1B"/>
    <w:rsid w:val="0099356F"/>
    <w:rsid w:val="009964F2"/>
    <w:rsid w:val="00996C0B"/>
    <w:rsid w:val="009A0A94"/>
    <w:rsid w:val="009A1060"/>
    <w:rsid w:val="009A1BD1"/>
    <w:rsid w:val="009A2160"/>
    <w:rsid w:val="009A2569"/>
    <w:rsid w:val="009A50A0"/>
    <w:rsid w:val="009A6216"/>
    <w:rsid w:val="009A6376"/>
    <w:rsid w:val="009A64BF"/>
    <w:rsid w:val="009B070B"/>
    <w:rsid w:val="009B1CE3"/>
    <w:rsid w:val="009B1DAF"/>
    <w:rsid w:val="009B2A92"/>
    <w:rsid w:val="009B426A"/>
    <w:rsid w:val="009B4856"/>
    <w:rsid w:val="009B4D2E"/>
    <w:rsid w:val="009C0706"/>
    <w:rsid w:val="009C095F"/>
    <w:rsid w:val="009C15AC"/>
    <w:rsid w:val="009C254A"/>
    <w:rsid w:val="009C395F"/>
    <w:rsid w:val="009C424F"/>
    <w:rsid w:val="009C429B"/>
    <w:rsid w:val="009C4479"/>
    <w:rsid w:val="009C5305"/>
    <w:rsid w:val="009C559F"/>
    <w:rsid w:val="009D0D44"/>
    <w:rsid w:val="009D169B"/>
    <w:rsid w:val="009D1808"/>
    <w:rsid w:val="009D49A8"/>
    <w:rsid w:val="009D4E68"/>
    <w:rsid w:val="009D5A2C"/>
    <w:rsid w:val="009D7171"/>
    <w:rsid w:val="009D763E"/>
    <w:rsid w:val="009E1A26"/>
    <w:rsid w:val="009E2581"/>
    <w:rsid w:val="009E3EE5"/>
    <w:rsid w:val="009E54D7"/>
    <w:rsid w:val="009E5644"/>
    <w:rsid w:val="009E6FA3"/>
    <w:rsid w:val="009F0358"/>
    <w:rsid w:val="009F0641"/>
    <w:rsid w:val="009F10A3"/>
    <w:rsid w:val="009F1523"/>
    <w:rsid w:val="009F1D39"/>
    <w:rsid w:val="009F4A38"/>
    <w:rsid w:val="009F56F6"/>
    <w:rsid w:val="009F691F"/>
    <w:rsid w:val="009F6B92"/>
    <w:rsid w:val="00A00194"/>
    <w:rsid w:val="00A00F34"/>
    <w:rsid w:val="00A0126A"/>
    <w:rsid w:val="00A02785"/>
    <w:rsid w:val="00A02CC3"/>
    <w:rsid w:val="00A02E6A"/>
    <w:rsid w:val="00A02F34"/>
    <w:rsid w:val="00A04437"/>
    <w:rsid w:val="00A044A6"/>
    <w:rsid w:val="00A04A73"/>
    <w:rsid w:val="00A04CB2"/>
    <w:rsid w:val="00A06948"/>
    <w:rsid w:val="00A06A81"/>
    <w:rsid w:val="00A06BBF"/>
    <w:rsid w:val="00A1057B"/>
    <w:rsid w:val="00A1182D"/>
    <w:rsid w:val="00A124F7"/>
    <w:rsid w:val="00A13124"/>
    <w:rsid w:val="00A13206"/>
    <w:rsid w:val="00A141D7"/>
    <w:rsid w:val="00A15769"/>
    <w:rsid w:val="00A15D35"/>
    <w:rsid w:val="00A169F8"/>
    <w:rsid w:val="00A16B03"/>
    <w:rsid w:val="00A16D9A"/>
    <w:rsid w:val="00A17F80"/>
    <w:rsid w:val="00A216FF"/>
    <w:rsid w:val="00A21AA3"/>
    <w:rsid w:val="00A21F3C"/>
    <w:rsid w:val="00A21F62"/>
    <w:rsid w:val="00A248D4"/>
    <w:rsid w:val="00A24A04"/>
    <w:rsid w:val="00A2565B"/>
    <w:rsid w:val="00A256BD"/>
    <w:rsid w:val="00A30E14"/>
    <w:rsid w:val="00A31235"/>
    <w:rsid w:val="00A31DA6"/>
    <w:rsid w:val="00A3282F"/>
    <w:rsid w:val="00A33A60"/>
    <w:rsid w:val="00A33C93"/>
    <w:rsid w:val="00A35D2C"/>
    <w:rsid w:val="00A37681"/>
    <w:rsid w:val="00A379FC"/>
    <w:rsid w:val="00A40571"/>
    <w:rsid w:val="00A40842"/>
    <w:rsid w:val="00A41D52"/>
    <w:rsid w:val="00A422EE"/>
    <w:rsid w:val="00A4329A"/>
    <w:rsid w:val="00A44562"/>
    <w:rsid w:val="00A44F81"/>
    <w:rsid w:val="00A45684"/>
    <w:rsid w:val="00A45C5C"/>
    <w:rsid w:val="00A46719"/>
    <w:rsid w:val="00A46847"/>
    <w:rsid w:val="00A46FF5"/>
    <w:rsid w:val="00A473E5"/>
    <w:rsid w:val="00A47E4B"/>
    <w:rsid w:val="00A50422"/>
    <w:rsid w:val="00A50F31"/>
    <w:rsid w:val="00A51C2B"/>
    <w:rsid w:val="00A521DA"/>
    <w:rsid w:val="00A5326A"/>
    <w:rsid w:val="00A60B7B"/>
    <w:rsid w:val="00A613A7"/>
    <w:rsid w:val="00A61C0F"/>
    <w:rsid w:val="00A622A9"/>
    <w:rsid w:val="00A636B0"/>
    <w:rsid w:val="00A64B1C"/>
    <w:rsid w:val="00A64CD0"/>
    <w:rsid w:val="00A66248"/>
    <w:rsid w:val="00A6645F"/>
    <w:rsid w:val="00A66891"/>
    <w:rsid w:val="00A669F6"/>
    <w:rsid w:val="00A67BC4"/>
    <w:rsid w:val="00A67FBE"/>
    <w:rsid w:val="00A70401"/>
    <w:rsid w:val="00A71F90"/>
    <w:rsid w:val="00A729CD"/>
    <w:rsid w:val="00A73514"/>
    <w:rsid w:val="00A758E8"/>
    <w:rsid w:val="00A75EDE"/>
    <w:rsid w:val="00A7616E"/>
    <w:rsid w:val="00A76BC2"/>
    <w:rsid w:val="00A774B3"/>
    <w:rsid w:val="00A77A1A"/>
    <w:rsid w:val="00A77AB0"/>
    <w:rsid w:val="00A80498"/>
    <w:rsid w:val="00A80EC1"/>
    <w:rsid w:val="00A81A33"/>
    <w:rsid w:val="00A81A8B"/>
    <w:rsid w:val="00A83B06"/>
    <w:rsid w:val="00A83E8D"/>
    <w:rsid w:val="00A85E72"/>
    <w:rsid w:val="00A864DD"/>
    <w:rsid w:val="00A86FEF"/>
    <w:rsid w:val="00A87DAA"/>
    <w:rsid w:val="00A91CB8"/>
    <w:rsid w:val="00A928B4"/>
    <w:rsid w:val="00A93200"/>
    <w:rsid w:val="00A94DF5"/>
    <w:rsid w:val="00A96330"/>
    <w:rsid w:val="00A964E5"/>
    <w:rsid w:val="00AA01BF"/>
    <w:rsid w:val="00AA145C"/>
    <w:rsid w:val="00AA2D82"/>
    <w:rsid w:val="00AA478C"/>
    <w:rsid w:val="00AA6415"/>
    <w:rsid w:val="00AA687E"/>
    <w:rsid w:val="00AA6F30"/>
    <w:rsid w:val="00AB09D7"/>
    <w:rsid w:val="00AB1CA0"/>
    <w:rsid w:val="00AB2D13"/>
    <w:rsid w:val="00AB37A6"/>
    <w:rsid w:val="00AB3F5F"/>
    <w:rsid w:val="00AB4954"/>
    <w:rsid w:val="00AB4DC0"/>
    <w:rsid w:val="00AB7E08"/>
    <w:rsid w:val="00AC1AF6"/>
    <w:rsid w:val="00AC1E75"/>
    <w:rsid w:val="00AC29A5"/>
    <w:rsid w:val="00AC42AA"/>
    <w:rsid w:val="00AC4B01"/>
    <w:rsid w:val="00AC7668"/>
    <w:rsid w:val="00AC7961"/>
    <w:rsid w:val="00AD00FE"/>
    <w:rsid w:val="00AD025A"/>
    <w:rsid w:val="00AD3172"/>
    <w:rsid w:val="00AD3C64"/>
    <w:rsid w:val="00AD42C3"/>
    <w:rsid w:val="00AD5B17"/>
    <w:rsid w:val="00AD6976"/>
    <w:rsid w:val="00AE0219"/>
    <w:rsid w:val="00AE0444"/>
    <w:rsid w:val="00AE1897"/>
    <w:rsid w:val="00AE3FED"/>
    <w:rsid w:val="00AE4171"/>
    <w:rsid w:val="00AE4D15"/>
    <w:rsid w:val="00AE4E4A"/>
    <w:rsid w:val="00AE6C1F"/>
    <w:rsid w:val="00AE6CFB"/>
    <w:rsid w:val="00AE7232"/>
    <w:rsid w:val="00AF2E00"/>
    <w:rsid w:val="00AF2F54"/>
    <w:rsid w:val="00AF3280"/>
    <w:rsid w:val="00AF4667"/>
    <w:rsid w:val="00AF6D20"/>
    <w:rsid w:val="00AF7817"/>
    <w:rsid w:val="00B002DE"/>
    <w:rsid w:val="00B008AF"/>
    <w:rsid w:val="00B008C3"/>
    <w:rsid w:val="00B01140"/>
    <w:rsid w:val="00B0600A"/>
    <w:rsid w:val="00B06599"/>
    <w:rsid w:val="00B071A7"/>
    <w:rsid w:val="00B073E2"/>
    <w:rsid w:val="00B10000"/>
    <w:rsid w:val="00B13CF9"/>
    <w:rsid w:val="00B16D31"/>
    <w:rsid w:val="00B17EB2"/>
    <w:rsid w:val="00B17F2A"/>
    <w:rsid w:val="00B20B03"/>
    <w:rsid w:val="00B222C6"/>
    <w:rsid w:val="00B22506"/>
    <w:rsid w:val="00B227AD"/>
    <w:rsid w:val="00B22D4F"/>
    <w:rsid w:val="00B23238"/>
    <w:rsid w:val="00B24747"/>
    <w:rsid w:val="00B24B73"/>
    <w:rsid w:val="00B26078"/>
    <w:rsid w:val="00B2647D"/>
    <w:rsid w:val="00B30464"/>
    <w:rsid w:val="00B314B5"/>
    <w:rsid w:val="00B31607"/>
    <w:rsid w:val="00B32156"/>
    <w:rsid w:val="00B32DD5"/>
    <w:rsid w:val="00B3338A"/>
    <w:rsid w:val="00B333AA"/>
    <w:rsid w:val="00B33DA7"/>
    <w:rsid w:val="00B340D8"/>
    <w:rsid w:val="00B36105"/>
    <w:rsid w:val="00B37420"/>
    <w:rsid w:val="00B37524"/>
    <w:rsid w:val="00B375CF"/>
    <w:rsid w:val="00B3792B"/>
    <w:rsid w:val="00B421EB"/>
    <w:rsid w:val="00B431D9"/>
    <w:rsid w:val="00B4378D"/>
    <w:rsid w:val="00B45276"/>
    <w:rsid w:val="00B46E42"/>
    <w:rsid w:val="00B4752F"/>
    <w:rsid w:val="00B50DE8"/>
    <w:rsid w:val="00B52ECE"/>
    <w:rsid w:val="00B537BA"/>
    <w:rsid w:val="00B549B9"/>
    <w:rsid w:val="00B5515A"/>
    <w:rsid w:val="00B55E8D"/>
    <w:rsid w:val="00B56205"/>
    <w:rsid w:val="00B56C26"/>
    <w:rsid w:val="00B57192"/>
    <w:rsid w:val="00B57495"/>
    <w:rsid w:val="00B57DB0"/>
    <w:rsid w:val="00B60A2B"/>
    <w:rsid w:val="00B610A3"/>
    <w:rsid w:val="00B61337"/>
    <w:rsid w:val="00B625EB"/>
    <w:rsid w:val="00B64010"/>
    <w:rsid w:val="00B6426D"/>
    <w:rsid w:val="00B645E8"/>
    <w:rsid w:val="00B64FE7"/>
    <w:rsid w:val="00B6539F"/>
    <w:rsid w:val="00B66062"/>
    <w:rsid w:val="00B6654D"/>
    <w:rsid w:val="00B6662B"/>
    <w:rsid w:val="00B66F5B"/>
    <w:rsid w:val="00B70F8F"/>
    <w:rsid w:val="00B712D0"/>
    <w:rsid w:val="00B71D3C"/>
    <w:rsid w:val="00B73036"/>
    <w:rsid w:val="00B73B6E"/>
    <w:rsid w:val="00B7431B"/>
    <w:rsid w:val="00B7491C"/>
    <w:rsid w:val="00B7524E"/>
    <w:rsid w:val="00B75AA1"/>
    <w:rsid w:val="00B76629"/>
    <w:rsid w:val="00B77137"/>
    <w:rsid w:val="00B77278"/>
    <w:rsid w:val="00B82D14"/>
    <w:rsid w:val="00B84D2D"/>
    <w:rsid w:val="00B85404"/>
    <w:rsid w:val="00B8580D"/>
    <w:rsid w:val="00B867AD"/>
    <w:rsid w:val="00B872DF"/>
    <w:rsid w:val="00B90A31"/>
    <w:rsid w:val="00B91175"/>
    <w:rsid w:val="00B917E2"/>
    <w:rsid w:val="00B91DE7"/>
    <w:rsid w:val="00B9423C"/>
    <w:rsid w:val="00B945AE"/>
    <w:rsid w:val="00B94EF2"/>
    <w:rsid w:val="00B9628C"/>
    <w:rsid w:val="00B97218"/>
    <w:rsid w:val="00B97AD7"/>
    <w:rsid w:val="00B97D6E"/>
    <w:rsid w:val="00BA0149"/>
    <w:rsid w:val="00BA05C4"/>
    <w:rsid w:val="00BA1523"/>
    <w:rsid w:val="00BA2B02"/>
    <w:rsid w:val="00BA3202"/>
    <w:rsid w:val="00BA3D47"/>
    <w:rsid w:val="00BA556F"/>
    <w:rsid w:val="00BA65C4"/>
    <w:rsid w:val="00BA7445"/>
    <w:rsid w:val="00BB060F"/>
    <w:rsid w:val="00BB08DF"/>
    <w:rsid w:val="00BB10C0"/>
    <w:rsid w:val="00BB15D8"/>
    <w:rsid w:val="00BB283F"/>
    <w:rsid w:val="00BB32DB"/>
    <w:rsid w:val="00BB49A9"/>
    <w:rsid w:val="00BB5126"/>
    <w:rsid w:val="00BB5803"/>
    <w:rsid w:val="00BB5A09"/>
    <w:rsid w:val="00BC0D84"/>
    <w:rsid w:val="00BC16B3"/>
    <w:rsid w:val="00BC1CEC"/>
    <w:rsid w:val="00BC2435"/>
    <w:rsid w:val="00BC3109"/>
    <w:rsid w:val="00BC3829"/>
    <w:rsid w:val="00BC4FC2"/>
    <w:rsid w:val="00BC5434"/>
    <w:rsid w:val="00BC6100"/>
    <w:rsid w:val="00BC7E1A"/>
    <w:rsid w:val="00BD0EDC"/>
    <w:rsid w:val="00BD11C2"/>
    <w:rsid w:val="00BD2938"/>
    <w:rsid w:val="00BD2988"/>
    <w:rsid w:val="00BD3165"/>
    <w:rsid w:val="00BD4099"/>
    <w:rsid w:val="00BD60C5"/>
    <w:rsid w:val="00BD7D2A"/>
    <w:rsid w:val="00BE01E4"/>
    <w:rsid w:val="00BE07C0"/>
    <w:rsid w:val="00BE1299"/>
    <w:rsid w:val="00BE21E0"/>
    <w:rsid w:val="00BE25E3"/>
    <w:rsid w:val="00BE2692"/>
    <w:rsid w:val="00BE27A1"/>
    <w:rsid w:val="00BE30B8"/>
    <w:rsid w:val="00BE31B7"/>
    <w:rsid w:val="00BE4E1B"/>
    <w:rsid w:val="00BE579B"/>
    <w:rsid w:val="00BE7059"/>
    <w:rsid w:val="00BE7324"/>
    <w:rsid w:val="00BE7869"/>
    <w:rsid w:val="00BE7F05"/>
    <w:rsid w:val="00BF0607"/>
    <w:rsid w:val="00BF07C6"/>
    <w:rsid w:val="00BF0AB0"/>
    <w:rsid w:val="00BF1202"/>
    <w:rsid w:val="00BF1509"/>
    <w:rsid w:val="00BF1CEA"/>
    <w:rsid w:val="00BF31EC"/>
    <w:rsid w:val="00BF33FC"/>
    <w:rsid w:val="00BF6510"/>
    <w:rsid w:val="00BF6680"/>
    <w:rsid w:val="00BF7249"/>
    <w:rsid w:val="00C007C3"/>
    <w:rsid w:val="00C018D9"/>
    <w:rsid w:val="00C02323"/>
    <w:rsid w:val="00C02538"/>
    <w:rsid w:val="00C04F5E"/>
    <w:rsid w:val="00C05A73"/>
    <w:rsid w:val="00C07CFB"/>
    <w:rsid w:val="00C07FD2"/>
    <w:rsid w:val="00C11420"/>
    <w:rsid w:val="00C11F05"/>
    <w:rsid w:val="00C120F7"/>
    <w:rsid w:val="00C123F4"/>
    <w:rsid w:val="00C12DBF"/>
    <w:rsid w:val="00C12F63"/>
    <w:rsid w:val="00C140D7"/>
    <w:rsid w:val="00C15136"/>
    <w:rsid w:val="00C151C5"/>
    <w:rsid w:val="00C16315"/>
    <w:rsid w:val="00C1746C"/>
    <w:rsid w:val="00C17C90"/>
    <w:rsid w:val="00C17ED4"/>
    <w:rsid w:val="00C20314"/>
    <w:rsid w:val="00C220C2"/>
    <w:rsid w:val="00C22A4D"/>
    <w:rsid w:val="00C2354A"/>
    <w:rsid w:val="00C23CB2"/>
    <w:rsid w:val="00C25E16"/>
    <w:rsid w:val="00C264E4"/>
    <w:rsid w:val="00C27FA7"/>
    <w:rsid w:val="00C31A8B"/>
    <w:rsid w:val="00C32457"/>
    <w:rsid w:val="00C326DD"/>
    <w:rsid w:val="00C353C3"/>
    <w:rsid w:val="00C36108"/>
    <w:rsid w:val="00C370E9"/>
    <w:rsid w:val="00C37F8E"/>
    <w:rsid w:val="00C425AA"/>
    <w:rsid w:val="00C42672"/>
    <w:rsid w:val="00C42975"/>
    <w:rsid w:val="00C434A4"/>
    <w:rsid w:val="00C43836"/>
    <w:rsid w:val="00C45E89"/>
    <w:rsid w:val="00C46BE9"/>
    <w:rsid w:val="00C46C61"/>
    <w:rsid w:val="00C50B06"/>
    <w:rsid w:val="00C521F2"/>
    <w:rsid w:val="00C535FB"/>
    <w:rsid w:val="00C540D5"/>
    <w:rsid w:val="00C579D0"/>
    <w:rsid w:val="00C62B60"/>
    <w:rsid w:val="00C6448F"/>
    <w:rsid w:val="00C6485B"/>
    <w:rsid w:val="00C65423"/>
    <w:rsid w:val="00C66789"/>
    <w:rsid w:val="00C66CEE"/>
    <w:rsid w:val="00C66E26"/>
    <w:rsid w:val="00C6757F"/>
    <w:rsid w:val="00C67CBB"/>
    <w:rsid w:val="00C70E8B"/>
    <w:rsid w:val="00C71665"/>
    <w:rsid w:val="00C72F2F"/>
    <w:rsid w:val="00C7552E"/>
    <w:rsid w:val="00C75CB7"/>
    <w:rsid w:val="00C75DE3"/>
    <w:rsid w:val="00C771E1"/>
    <w:rsid w:val="00C77634"/>
    <w:rsid w:val="00C7775D"/>
    <w:rsid w:val="00C806CE"/>
    <w:rsid w:val="00C824CD"/>
    <w:rsid w:val="00C84B76"/>
    <w:rsid w:val="00C85931"/>
    <w:rsid w:val="00C87BE7"/>
    <w:rsid w:val="00C90048"/>
    <w:rsid w:val="00C908C8"/>
    <w:rsid w:val="00C90B50"/>
    <w:rsid w:val="00C924EF"/>
    <w:rsid w:val="00C938FC"/>
    <w:rsid w:val="00C94899"/>
    <w:rsid w:val="00C94AB7"/>
    <w:rsid w:val="00C95A13"/>
    <w:rsid w:val="00C95E51"/>
    <w:rsid w:val="00C96346"/>
    <w:rsid w:val="00C975CA"/>
    <w:rsid w:val="00C97C44"/>
    <w:rsid w:val="00CA011E"/>
    <w:rsid w:val="00CA0A9A"/>
    <w:rsid w:val="00CA23D8"/>
    <w:rsid w:val="00CA39A7"/>
    <w:rsid w:val="00CA451A"/>
    <w:rsid w:val="00CA5245"/>
    <w:rsid w:val="00CA68A6"/>
    <w:rsid w:val="00CA6B88"/>
    <w:rsid w:val="00CB076C"/>
    <w:rsid w:val="00CB0983"/>
    <w:rsid w:val="00CB24BA"/>
    <w:rsid w:val="00CB29EC"/>
    <w:rsid w:val="00CB5092"/>
    <w:rsid w:val="00CB5551"/>
    <w:rsid w:val="00CB6AAC"/>
    <w:rsid w:val="00CB7844"/>
    <w:rsid w:val="00CC0753"/>
    <w:rsid w:val="00CC1C9F"/>
    <w:rsid w:val="00CC46ED"/>
    <w:rsid w:val="00CC7449"/>
    <w:rsid w:val="00CC7C10"/>
    <w:rsid w:val="00CD0B70"/>
    <w:rsid w:val="00CD2A3E"/>
    <w:rsid w:val="00CD577C"/>
    <w:rsid w:val="00CE00D9"/>
    <w:rsid w:val="00CE1778"/>
    <w:rsid w:val="00CE1DEC"/>
    <w:rsid w:val="00CE3302"/>
    <w:rsid w:val="00CE3E89"/>
    <w:rsid w:val="00CE4DF1"/>
    <w:rsid w:val="00CE60B5"/>
    <w:rsid w:val="00CE6AD4"/>
    <w:rsid w:val="00CE6C81"/>
    <w:rsid w:val="00CE77E0"/>
    <w:rsid w:val="00CE7E7B"/>
    <w:rsid w:val="00CE7EC5"/>
    <w:rsid w:val="00CF0E66"/>
    <w:rsid w:val="00CF2676"/>
    <w:rsid w:val="00CF29CB"/>
    <w:rsid w:val="00CF492F"/>
    <w:rsid w:val="00CF5196"/>
    <w:rsid w:val="00CF615E"/>
    <w:rsid w:val="00CF6F99"/>
    <w:rsid w:val="00CF7AC0"/>
    <w:rsid w:val="00D01063"/>
    <w:rsid w:val="00D01921"/>
    <w:rsid w:val="00D019E8"/>
    <w:rsid w:val="00D02A2F"/>
    <w:rsid w:val="00D0334F"/>
    <w:rsid w:val="00D05F54"/>
    <w:rsid w:val="00D06A97"/>
    <w:rsid w:val="00D10160"/>
    <w:rsid w:val="00D1045D"/>
    <w:rsid w:val="00D111C1"/>
    <w:rsid w:val="00D116AA"/>
    <w:rsid w:val="00D11DAF"/>
    <w:rsid w:val="00D12B79"/>
    <w:rsid w:val="00D13C37"/>
    <w:rsid w:val="00D1424C"/>
    <w:rsid w:val="00D1436B"/>
    <w:rsid w:val="00D1477F"/>
    <w:rsid w:val="00D150CD"/>
    <w:rsid w:val="00D15292"/>
    <w:rsid w:val="00D157AF"/>
    <w:rsid w:val="00D15803"/>
    <w:rsid w:val="00D17601"/>
    <w:rsid w:val="00D201D5"/>
    <w:rsid w:val="00D21A46"/>
    <w:rsid w:val="00D22EE6"/>
    <w:rsid w:val="00D237A0"/>
    <w:rsid w:val="00D245FD"/>
    <w:rsid w:val="00D263C0"/>
    <w:rsid w:val="00D27A67"/>
    <w:rsid w:val="00D27B4C"/>
    <w:rsid w:val="00D30320"/>
    <w:rsid w:val="00D30553"/>
    <w:rsid w:val="00D31088"/>
    <w:rsid w:val="00D35734"/>
    <w:rsid w:val="00D37223"/>
    <w:rsid w:val="00D37AD0"/>
    <w:rsid w:val="00D405C4"/>
    <w:rsid w:val="00D40869"/>
    <w:rsid w:val="00D40D4C"/>
    <w:rsid w:val="00D41C41"/>
    <w:rsid w:val="00D421E8"/>
    <w:rsid w:val="00D4257F"/>
    <w:rsid w:val="00D42DA3"/>
    <w:rsid w:val="00D437FB"/>
    <w:rsid w:val="00D44222"/>
    <w:rsid w:val="00D4444A"/>
    <w:rsid w:val="00D44A82"/>
    <w:rsid w:val="00D44AB1"/>
    <w:rsid w:val="00D462D3"/>
    <w:rsid w:val="00D463C3"/>
    <w:rsid w:val="00D469D9"/>
    <w:rsid w:val="00D47A61"/>
    <w:rsid w:val="00D5116A"/>
    <w:rsid w:val="00D51341"/>
    <w:rsid w:val="00D52696"/>
    <w:rsid w:val="00D52978"/>
    <w:rsid w:val="00D53201"/>
    <w:rsid w:val="00D54CA3"/>
    <w:rsid w:val="00D57F4A"/>
    <w:rsid w:val="00D61D69"/>
    <w:rsid w:val="00D6250A"/>
    <w:rsid w:val="00D63237"/>
    <w:rsid w:val="00D64AB1"/>
    <w:rsid w:val="00D65940"/>
    <w:rsid w:val="00D66488"/>
    <w:rsid w:val="00D712CB"/>
    <w:rsid w:val="00D728C0"/>
    <w:rsid w:val="00D747D8"/>
    <w:rsid w:val="00D750F9"/>
    <w:rsid w:val="00D7704F"/>
    <w:rsid w:val="00D77EC7"/>
    <w:rsid w:val="00D80A24"/>
    <w:rsid w:val="00D81BBF"/>
    <w:rsid w:val="00D8225E"/>
    <w:rsid w:val="00D82D2F"/>
    <w:rsid w:val="00D83F4B"/>
    <w:rsid w:val="00D84EA8"/>
    <w:rsid w:val="00D84F90"/>
    <w:rsid w:val="00D8530D"/>
    <w:rsid w:val="00D8559B"/>
    <w:rsid w:val="00D858D3"/>
    <w:rsid w:val="00D90343"/>
    <w:rsid w:val="00D94957"/>
    <w:rsid w:val="00D95396"/>
    <w:rsid w:val="00D96FBC"/>
    <w:rsid w:val="00DA0752"/>
    <w:rsid w:val="00DA1288"/>
    <w:rsid w:val="00DA12D2"/>
    <w:rsid w:val="00DA170F"/>
    <w:rsid w:val="00DA19DC"/>
    <w:rsid w:val="00DA29C6"/>
    <w:rsid w:val="00DA2D73"/>
    <w:rsid w:val="00DA3537"/>
    <w:rsid w:val="00DA3621"/>
    <w:rsid w:val="00DA5D2D"/>
    <w:rsid w:val="00DA63D8"/>
    <w:rsid w:val="00DA707C"/>
    <w:rsid w:val="00DA7460"/>
    <w:rsid w:val="00DB02C4"/>
    <w:rsid w:val="00DB0A0D"/>
    <w:rsid w:val="00DB14AF"/>
    <w:rsid w:val="00DB23AC"/>
    <w:rsid w:val="00DB2E0E"/>
    <w:rsid w:val="00DB3411"/>
    <w:rsid w:val="00DB4CC1"/>
    <w:rsid w:val="00DB51E1"/>
    <w:rsid w:val="00DB6183"/>
    <w:rsid w:val="00DB718D"/>
    <w:rsid w:val="00DC1653"/>
    <w:rsid w:val="00DC1929"/>
    <w:rsid w:val="00DC3486"/>
    <w:rsid w:val="00DC5088"/>
    <w:rsid w:val="00DC560E"/>
    <w:rsid w:val="00DC5BF2"/>
    <w:rsid w:val="00DC5C6D"/>
    <w:rsid w:val="00DC638A"/>
    <w:rsid w:val="00DC7249"/>
    <w:rsid w:val="00DC7A4D"/>
    <w:rsid w:val="00DD319A"/>
    <w:rsid w:val="00DD4BDC"/>
    <w:rsid w:val="00DD5F65"/>
    <w:rsid w:val="00DD61D6"/>
    <w:rsid w:val="00DD65E5"/>
    <w:rsid w:val="00DD660E"/>
    <w:rsid w:val="00DD7B3A"/>
    <w:rsid w:val="00DD7F46"/>
    <w:rsid w:val="00DD7FE7"/>
    <w:rsid w:val="00DE1FAF"/>
    <w:rsid w:val="00DE2B5C"/>
    <w:rsid w:val="00DE2CC7"/>
    <w:rsid w:val="00DE2D65"/>
    <w:rsid w:val="00DE3EAF"/>
    <w:rsid w:val="00DE436A"/>
    <w:rsid w:val="00DE5153"/>
    <w:rsid w:val="00DE5D5A"/>
    <w:rsid w:val="00DE6559"/>
    <w:rsid w:val="00DE6F1D"/>
    <w:rsid w:val="00DF1609"/>
    <w:rsid w:val="00DF21AC"/>
    <w:rsid w:val="00DF3250"/>
    <w:rsid w:val="00DF5E5A"/>
    <w:rsid w:val="00DF7FE0"/>
    <w:rsid w:val="00E00D0A"/>
    <w:rsid w:val="00E011FF"/>
    <w:rsid w:val="00E02B15"/>
    <w:rsid w:val="00E03289"/>
    <w:rsid w:val="00E04CC4"/>
    <w:rsid w:val="00E05282"/>
    <w:rsid w:val="00E072D7"/>
    <w:rsid w:val="00E07B79"/>
    <w:rsid w:val="00E07C2C"/>
    <w:rsid w:val="00E111AA"/>
    <w:rsid w:val="00E121B1"/>
    <w:rsid w:val="00E13961"/>
    <w:rsid w:val="00E14AB7"/>
    <w:rsid w:val="00E1641F"/>
    <w:rsid w:val="00E16BAC"/>
    <w:rsid w:val="00E16BE9"/>
    <w:rsid w:val="00E17500"/>
    <w:rsid w:val="00E20029"/>
    <w:rsid w:val="00E21F26"/>
    <w:rsid w:val="00E21F9D"/>
    <w:rsid w:val="00E22802"/>
    <w:rsid w:val="00E237B8"/>
    <w:rsid w:val="00E243C6"/>
    <w:rsid w:val="00E24A88"/>
    <w:rsid w:val="00E268F4"/>
    <w:rsid w:val="00E30544"/>
    <w:rsid w:val="00E32DE1"/>
    <w:rsid w:val="00E3353D"/>
    <w:rsid w:val="00E339DA"/>
    <w:rsid w:val="00E35BB7"/>
    <w:rsid w:val="00E36306"/>
    <w:rsid w:val="00E41ECF"/>
    <w:rsid w:val="00E420BF"/>
    <w:rsid w:val="00E42372"/>
    <w:rsid w:val="00E4410C"/>
    <w:rsid w:val="00E4609D"/>
    <w:rsid w:val="00E4641B"/>
    <w:rsid w:val="00E46B0C"/>
    <w:rsid w:val="00E479EA"/>
    <w:rsid w:val="00E50322"/>
    <w:rsid w:val="00E5052F"/>
    <w:rsid w:val="00E51000"/>
    <w:rsid w:val="00E51357"/>
    <w:rsid w:val="00E5176E"/>
    <w:rsid w:val="00E532FC"/>
    <w:rsid w:val="00E54DAD"/>
    <w:rsid w:val="00E55CEA"/>
    <w:rsid w:val="00E57258"/>
    <w:rsid w:val="00E6124A"/>
    <w:rsid w:val="00E632CC"/>
    <w:rsid w:val="00E63322"/>
    <w:rsid w:val="00E6349C"/>
    <w:rsid w:val="00E66609"/>
    <w:rsid w:val="00E66CF5"/>
    <w:rsid w:val="00E67350"/>
    <w:rsid w:val="00E67A4B"/>
    <w:rsid w:val="00E706BC"/>
    <w:rsid w:val="00E71445"/>
    <w:rsid w:val="00E7175E"/>
    <w:rsid w:val="00E71FB8"/>
    <w:rsid w:val="00E729C1"/>
    <w:rsid w:val="00E73117"/>
    <w:rsid w:val="00E73A63"/>
    <w:rsid w:val="00E73CA5"/>
    <w:rsid w:val="00E74394"/>
    <w:rsid w:val="00E748E9"/>
    <w:rsid w:val="00E74BDF"/>
    <w:rsid w:val="00E7509A"/>
    <w:rsid w:val="00E753DA"/>
    <w:rsid w:val="00E75537"/>
    <w:rsid w:val="00E769E9"/>
    <w:rsid w:val="00E776AC"/>
    <w:rsid w:val="00E8045D"/>
    <w:rsid w:val="00E8084C"/>
    <w:rsid w:val="00E80D52"/>
    <w:rsid w:val="00E812B4"/>
    <w:rsid w:val="00E82185"/>
    <w:rsid w:val="00E82D21"/>
    <w:rsid w:val="00E82DB4"/>
    <w:rsid w:val="00E835BF"/>
    <w:rsid w:val="00E83AF2"/>
    <w:rsid w:val="00E84B15"/>
    <w:rsid w:val="00E85884"/>
    <w:rsid w:val="00E86AF9"/>
    <w:rsid w:val="00E87090"/>
    <w:rsid w:val="00E91B7B"/>
    <w:rsid w:val="00E951CB"/>
    <w:rsid w:val="00E9544C"/>
    <w:rsid w:val="00E9545E"/>
    <w:rsid w:val="00E963B0"/>
    <w:rsid w:val="00E97D63"/>
    <w:rsid w:val="00EA05A7"/>
    <w:rsid w:val="00EA06BA"/>
    <w:rsid w:val="00EA0BE1"/>
    <w:rsid w:val="00EA2636"/>
    <w:rsid w:val="00EA2FA4"/>
    <w:rsid w:val="00EA3057"/>
    <w:rsid w:val="00EA3B53"/>
    <w:rsid w:val="00EA5426"/>
    <w:rsid w:val="00EA5889"/>
    <w:rsid w:val="00EA5F6D"/>
    <w:rsid w:val="00EB09FE"/>
    <w:rsid w:val="00EB0C5C"/>
    <w:rsid w:val="00EB0CC0"/>
    <w:rsid w:val="00EB244C"/>
    <w:rsid w:val="00EB256D"/>
    <w:rsid w:val="00EB2D4B"/>
    <w:rsid w:val="00EB3A12"/>
    <w:rsid w:val="00EB3A43"/>
    <w:rsid w:val="00EB4137"/>
    <w:rsid w:val="00EB43A2"/>
    <w:rsid w:val="00EB569A"/>
    <w:rsid w:val="00EB6E72"/>
    <w:rsid w:val="00EB72EC"/>
    <w:rsid w:val="00EB7707"/>
    <w:rsid w:val="00EC129E"/>
    <w:rsid w:val="00EC391E"/>
    <w:rsid w:val="00EC48BE"/>
    <w:rsid w:val="00EC4DC1"/>
    <w:rsid w:val="00EC504A"/>
    <w:rsid w:val="00EC6CCB"/>
    <w:rsid w:val="00EC70ED"/>
    <w:rsid w:val="00EC7232"/>
    <w:rsid w:val="00ED2895"/>
    <w:rsid w:val="00ED4796"/>
    <w:rsid w:val="00ED5E9A"/>
    <w:rsid w:val="00ED613B"/>
    <w:rsid w:val="00ED734B"/>
    <w:rsid w:val="00ED73CF"/>
    <w:rsid w:val="00ED7563"/>
    <w:rsid w:val="00ED75AD"/>
    <w:rsid w:val="00ED7E97"/>
    <w:rsid w:val="00EE1734"/>
    <w:rsid w:val="00EE1879"/>
    <w:rsid w:val="00EE27C8"/>
    <w:rsid w:val="00EE3125"/>
    <w:rsid w:val="00EE42C0"/>
    <w:rsid w:val="00EE53F9"/>
    <w:rsid w:val="00EE5C13"/>
    <w:rsid w:val="00EE663C"/>
    <w:rsid w:val="00EE6A8A"/>
    <w:rsid w:val="00EF05CE"/>
    <w:rsid w:val="00EF07D8"/>
    <w:rsid w:val="00EF11B0"/>
    <w:rsid w:val="00EF3244"/>
    <w:rsid w:val="00EF4AC5"/>
    <w:rsid w:val="00EF6AC8"/>
    <w:rsid w:val="00F003C6"/>
    <w:rsid w:val="00F01B0B"/>
    <w:rsid w:val="00F01B9A"/>
    <w:rsid w:val="00F02E99"/>
    <w:rsid w:val="00F032B8"/>
    <w:rsid w:val="00F03705"/>
    <w:rsid w:val="00F04D4D"/>
    <w:rsid w:val="00F04DDB"/>
    <w:rsid w:val="00F05850"/>
    <w:rsid w:val="00F063A4"/>
    <w:rsid w:val="00F071E0"/>
    <w:rsid w:val="00F0749E"/>
    <w:rsid w:val="00F10555"/>
    <w:rsid w:val="00F10CBF"/>
    <w:rsid w:val="00F11AFB"/>
    <w:rsid w:val="00F13965"/>
    <w:rsid w:val="00F14836"/>
    <w:rsid w:val="00F149CA"/>
    <w:rsid w:val="00F14A5D"/>
    <w:rsid w:val="00F1597E"/>
    <w:rsid w:val="00F15CCE"/>
    <w:rsid w:val="00F16CEC"/>
    <w:rsid w:val="00F172C8"/>
    <w:rsid w:val="00F2015A"/>
    <w:rsid w:val="00F20305"/>
    <w:rsid w:val="00F20823"/>
    <w:rsid w:val="00F208AF"/>
    <w:rsid w:val="00F215E0"/>
    <w:rsid w:val="00F218C0"/>
    <w:rsid w:val="00F21A77"/>
    <w:rsid w:val="00F21C98"/>
    <w:rsid w:val="00F2335B"/>
    <w:rsid w:val="00F24E24"/>
    <w:rsid w:val="00F25274"/>
    <w:rsid w:val="00F25534"/>
    <w:rsid w:val="00F2611D"/>
    <w:rsid w:val="00F26F69"/>
    <w:rsid w:val="00F3150E"/>
    <w:rsid w:val="00F31BCB"/>
    <w:rsid w:val="00F32193"/>
    <w:rsid w:val="00F323CE"/>
    <w:rsid w:val="00F33571"/>
    <w:rsid w:val="00F35042"/>
    <w:rsid w:val="00F35CF6"/>
    <w:rsid w:val="00F37178"/>
    <w:rsid w:val="00F40A16"/>
    <w:rsid w:val="00F412F9"/>
    <w:rsid w:val="00F42D80"/>
    <w:rsid w:val="00F45C7D"/>
    <w:rsid w:val="00F5458F"/>
    <w:rsid w:val="00F56A7C"/>
    <w:rsid w:val="00F56C57"/>
    <w:rsid w:val="00F573A2"/>
    <w:rsid w:val="00F60F2E"/>
    <w:rsid w:val="00F618FB"/>
    <w:rsid w:val="00F6212A"/>
    <w:rsid w:val="00F621EF"/>
    <w:rsid w:val="00F65AE1"/>
    <w:rsid w:val="00F65C0B"/>
    <w:rsid w:val="00F66662"/>
    <w:rsid w:val="00F67321"/>
    <w:rsid w:val="00F7010B"/>
    <w:rsid w:val="00F70BC8"/>
    <w:rsid w:val="00F720C0"/>
    <w:rsid w:val="00F73FFC"/>
    <w:rsid w:val="00F74277"/>
    <w:rsid w:val="00F74436"/>
    <w:rsid w:val="00F76361"/>
    <w:rsid w:val="00F80AD3"/>
    <w:rsid w:val="00F83227"/>
    <w:rsid w:val="00F83474"/>
    <w:rsid w:val="00F8399E"/>
    <w:rsid w:val="00F83B58"/>
    <w:rsid w:val="00F8439B"/>
    <w:rsid w:val="00F85659"/>
    <w:rsid w:val="00F857C1"/>
    <w:rsid w:val="00F92291"/>
    <w:rsid w:val="00F92296"/>
    <w:rsid w:val="00F9255C"/>
    <w:rsid w:val="00F93C8C"/>
    <w:rsid w:val="00F95130"/>
    <w:rsid w:val="00F95890"/>
    <w:rsid w:val="00F97CE6"/>
    <w:rsid w:val="00FA12F5"/>
    <w:rsid w:val="00FA12F8"/>
    <w:rsid w:val="00FA2082"/>
    <w:rsid w:val="00FA25D1"/>
    <w:rsid w:val="00FA5ACB"/>
    <w:rsid w:val="00FA5FD1"/>
    <w:rsid w:val="00FA6005"/>
    <w:rsid w:val="00FA6C88"/>
    <w:rsid w:val="00FA6D6F"/>
    <w:rsid w:val="00FA6F33"/>
    <w:rsid w:val="00FA7DDE"/>
    <w:rsid w:val="00FB003D"/>
    <w:rsid w:val="00FB06CE"/>
    <w:rsid w:val="00FB26C4"/>
    <w:rsid w:val="00FB2F3B"/>
    <w:rsid w:val="00FB3102"/>
    <w:rsid w:val="00FB311B"/>
    <w:rsid w:val="00FB3A61"/>
    <w:rsid w:val="00FB41D2"/>
    <w:rsid w:val="00FB4998"/>
    <w:rsid w:val="00FB544C"/>
    <w:rsid w:val="00FB5E3E"/>
    <w:rsid w:val="00FB7592"/>
    <w:rsid w:val="00FC140A"/>
    <w:rsid w:val="00FC19AB"/>
    <w:rsid w:val="00FC1B07"/>
    <w:rsid w:val="00FC263C"/>
    <w:rsid w:val="00FC3C0E"/>
    <w:rsid w:val="00FC524D"/>
    <w:rsid w:val="00FC54FE"/>
    <w:rsid w:val="00FC6912"/>
    <w:rsid w:val="00FC7209"/>
    <w:rsid w:val="00FD14F0"/>
    <w:rsid w:val="00FD29B5"/>
    <w:rsid w:val="00FD5274"/>
    <w:rsid w:val="00FD60CC"/>
    <w:rsid w:val="00FD6975"/>
    <w:rsid w:val="00FD6A3F"/>
    <w:rsid w:val="00FD76DB"/>
    <w:rsid w:val="00FD7EC8"/>
    <w:rsid w:val="00FE09F8"/>
    <w:rsid w:val="00FE0B59"/>
    <w:rsid w:val="00FE105F"/>
    <w:rsid w:val="00FE2482"/>
    <w:rsid w:val="00FE2A61"/>
    <w:rsid w:val="00FE3C56"/>
    <w:rsid w:val="00FE5A51"/>
    <w:rsid w:val="00FE6E83"/>
    <w:rsid w:val="00FE6E8C"/>
    <w:rsid w:val="00FF08F2"/>
    <w:rsid w:val="00FF5F5B"/>
    <w:rsid w:val="00FF68FA"/>
    <w:rsid w:val="00FF6F13"/>
    <w:rsid w:val="00FF715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6147"/>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B10000"/>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B10000"/>
    <w:rPr>
      <w:rFonts w:cs="Times New Roman"/>
      <w:sz w:val="18"/>
      <w:szCs w:val="18"/>
    </w:rPr>
  </w:style>
  <w:style w:type="paragraph" w:styleId="Footer">
    <w:name w:val="footer"/>
    <w:basedOn w:val="Normal"/>
    <w:link w:val="FooterChar"/>
    <w:uiPriority w:val="99"/>
    <w:rsid w:val="00B10000"/>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B10000"/>
    <w:rPr>
      <w:rFonts w:cs="Times New Roman"/>
      <w:sz w:val="18"/>
      <w:szCs w:val="18"/>
    </w:rPr>
  </w:style>
  <w:style w:type="paragraph" w:customStyle="1" w:styleId="a">
    <w:name w:val="页眉报告名称"/>
    <w:link w:val="Char"/>
    <w:autoRedefine/>
    <w:uiPriority w:val="99"/>
    <w:rsid w:val="00B10000"/>
    <w:pPr>
      <w:spacing w:afterLines="100" w:line="240" w:lineRule="exact"/>
      <w:jc w:val="both"/>
    </w:pPr>
    <w:rPr>
      <w:rFonts w:eastAsia="华文新魏"/>
      <w:sz w:val="24"/>
    </w:rPr>
  </w:style>
  <w:style w:type="character" w:customStyle="1" w:styleId="Char">
    <w:name w:val="页眉报告名称 Char"/>
    <w:basedOn w:val="DefaultParagraphFont"/>
    <w:link w:val="a"/>
    <w:uiPriority w:val="99"/>
    <w:locked/>
    <w:rsid w:val="00B10000"/>
    <w:rPr>
      <w:rFonts w:ascii="Calibri" w:eastAsia="华文新魏" w:hAnsi="Calibri" w:cs="Times New Roman"/>
      <w:kern w:val="2"/>
      <w:sz w:val="22"/>
      <w:szCs w:val="22"/>
      <w:lang w:val="en-US" w:eastAsia="zh-CN" w:bidi="ar-SA"/>
    </w:rPr>
  </w:style>
  <w:style w:type="paragraph" w:customStyle="1" w:styleId="a0">
    <w:name w:val="页眉图片"/>
    <w:basedOn w:val="Header"/>
    <w:link w:val="Char0"/>
    <w:uiPriority w:val="99"/>
    <w:rsid w:val="00B10000"/>
    <w:pPr>
      <w:pBdr>
        <w:bottom w:val="none" w:sz="0" w:space="0" w:color="auto"/>
      </w:pBdr>
      <w:tabs>
        <w:tab w:val="clear" w:pos="4153"/>
        <w:tab w:val="clear" w:pos="8306"/>
        <w:tab w:val="right" w:pos="11424"/>
      </w:tabs>
      <w:jc w:val="left"/>
    </w:pPr>
    <w:rPr>
      <w:noProof/>
    </w:rPr>
  </w:style>
  <w:style w:type="character" w:customStyle="1" w:styleId="Char0">
    <w:name w:val="页眉图片 Char"/>
    <w:basedOn w:val="HeaderChar"/>
    <w:link w:val="a0"/>
    <w:uiPriority w:val="99"/>
    <w:locked/>
    <w:rsid w:val="00B10000"/>
    <w:rPr>
      <w:rFonts w:ascii="Calibri" w:eastAsia="宋体" w:hAnsi="Calibri"/>
      <w:noProof/>
    </w:rPr>
  </w:style>
  <w:style w:type="paragraph" w:customStyle="1" w:styleId="a1">
    <w:name w:val="页眉处日期"/>
    <w:basedOn w:val="Normal"/>
    <w:link w:val="Char1"/>
    <w:uiPriority w:val="99"/>
    <w:rsid w:val="00B10000"/>
    <w:pPr>
      <w:tabs>
        <w:tab w:val="right" w:pos="11424"/>
      </w:tabs>
      <w:snapToGrid w:val="0"/>
      <w:jc w:val="left"/>
    </w:pPr>
    <w:rPr>
      <w:rFonts w:ascii="华文隶书" w:eastAsia="华文隶书"/>
      <w:b/>
      <w:sz w:val="24"/>
      <w:szCs w:val="24"/>
    </w:rPr>
  </w:style>
  <w:style w:type="paragraph" w:customStyle="1" w:styleId="a2">
    <w:name w:val="页眉副标题"/>
    <w:basedOn w:val="Normal"/>
    <w:link w:val="Char2"/>
    <w:uiPriority w:val="99"/>
    <w:rsid w:val="00B10000"/>
    <w:pPr>
      <w:tabs>
        <w:tab w:val="right" w:pos="11424"/>
      </w:tabs>
      <w:snapToGrid w:val="0"/>
      <w:jc w:val="left"/>
    </w:pPr>
    <w:rPr>
      <w:rFonts w:ascii="华文隶书" w:eastAsia="华文隶书"/>
      <w:sz w:val="36"/>
      <w:szCs w:val="36"/>
    </w:rPr>
  </w:style>
  <w:style w:type="character" w:customStyle="1" w:styleId="Char1">
    <w:name w:val="页眉处日期 Char"/>
    <w:basedOn w:val="DefaultParagraphFont"/>
    <w:link w:val="a1"/>
    <w:uiPriority w:val="99"/>
    <w:locked/>
    <w:rsid w:val="00B10000"/>
    <w:rPr>
      <w:rFonts w:ascii="华文隶书" w:eastAsia="华文隶书" w:hAnsi="Calibri" w:cs="Times New Roman"/>
      <w:b/>
      <w:sz w:val="24"/>
      <w:szCs w:val="24"/>
    </w:rPr>
  </w:style>
  <w:style w:type="character" w:customStyle="1" w:styleId="Char2">
    <w:name w:val="页眉副标题 Char"/>
    <w:basedOn w:val="DefaultParagraphFont"/>
    <w:link w:val="a2"/>
    <w:uiPriority w:val="99"/>
    <w:locked/>
    <w:rsid w:val="00B10000"/>
    <w:rPr>
      <w:rFonts w:ascii="华文隶书" w:eastAsia="华文隶书" w:hAnsi="Calibri" w:cs="Times New Roman"/>
      <w:sz w:val="36"/>
      <w:szCs w:val="36"/>
    </w:rPr>
  </w:style>
  <w:style w:type="paragraph" w:customStyle="1" w:styleId="a3">
    <w:name w:val="页眉的分析师"/>
    <w:basedOn w:val="Normal"/>
    <w:link w:val="Char3"/>
    <w:uiPriority w:val="99"/>
    <w:rsid w:val="00B10000"/>
    <w:pPr>
      <w:tabs>
        <w:tab w:val="right" w:pos="11424"/>
      </w:tabs>
      <w:snapToGrid w:val="0"/>
      <w:spacing w:line="240" w:lineRule="exact"/>
      <w:jc w:val="right"/>
    </w:pPr>
    <w:rPr>
      <w:rFonts w:ascii="华文新魏" w:eastAsia="华文新魏"/>
      <w:szCs w:val="21"/>
    </w:rPr>
  </w:style>
  <w:style w:type="character" w:customStyle="1" w:styleId="Char3">
    <w:name w:val="页眉的分析师 Char"/>
    <w:basedOn w:val="DefaultParagraphFont"/>
    <w:link w:val="a3"/>
    <w:uiPriority w:val="99"/>
    <w:locked/>
    <w:rsid w:val="00B10000"/>
    <w:rPr>
      <w:rFonts w:ascii="华文新魏" w:eastAsia="华文新魏" w:hAnsi="Calibri" w:cs="Times New Roman"/>
      <w:sz w:val="21"/>
      <w:szCs w:val="21"/>
    </w:rPr>
  </w:style>
  <w:style w:type="paragraph" w:customStyle="1" w:styleId="12">
    <w:name w:val="页眉12"/>
    <w:basedOn w:val="Header"/>
    <w:link w:val="12Char"/>
    <w:uiPriority w:val="99"/>
    <w:rsid w:val="00B10000"/>
    <w:pPr>
      <w:pBdr>
        <w:bottom w:val="none" w:sz="0" w:space="0" w:color="auto"/>
      </w:pBdr>
      <w:tabs>
        <w:tab w:val="clear" w:pos="4153"/>
        <w:tab w:val="clear" w:pos="8306"/>
        <w:tab w:val="right" w:pos="11424"/>
      </w:tabs>
      <w:jc w:val="left"/>
    </w:pPr>
  </w:style>
  <w:style w:type="character" w:customStyle="1" w:styleId="12Char">
    <w:name w:val="页眉12 Char"/>
    <w:basedOn w:val="HeaderChar"/>
    <w:link w:val="12"/>
    <w:uiPriority w:val="99"/>
    <w:locked/>
    <w:rsid w:val="00B10000"/>
    <w:rPr>
      <w:rFonts w:ascii="Calibri" w:eastAsia="宋体" w:hAnsi="Calibri"/>
    </w:rPr>
  </w:style>
  <w:style w:type="paragraph" w:customStyle="1" w:styleId="2">
    <w:name w:val="页眉副标题2"/>
    <w:basedOn w:val="12"/>
    <w:link w:val="2Char"/>
    <w:uiPriority w:val="99"/>
    <w:rsid w:val="00B10000"/>
    <w:pPr>
      <w:jc w:val="right"/>
    </w:pPr>
    <w:rPr>
      <w:rFonts w:ascii="华文隶书" w:eastAsia="华文隶书"/>
      <w:sz w:val="21"/>
      <w:szCs w:val="21"/>
    </w:rPr>
  </w:style>
  <w:style w:type="character" w:customStyle="1" w:styleId="2Char">
    <w:name w:val="页眉副标题2 Char"/>
    <w:basedOn w:val="12Char"/>
    <w:link w:val="2"/>
    <w:uiPriority w:val="99"/>
    <w:locked/>
    <w:rsid w:val="00B10000"/>
    <w:rPr>
      <w:rFonts w:ascii="华文隶书" w:eastAsia="华文隶书"/>
      <w:sz w:val="21"/>
      <w:szCs w:val="21"/>
    </w:rPr>
  </w:style>
  <w:style w:type="paragraph" w:customStyle="1" w:styleId="a4">
    <w:name w:val="特别声明格式"/>
    <w:basedOn w:val="Normal"/>
    <w:link w:val="Char4"/>
    <w:uiPriority w:val="99"/>
    <w:rsid w:val="00B10000"/>
    <w:pPr>
      <w:spacing w:afterLines="100" w:line="240" w:lineRule="exact"/>
    </w:pPr>
    <w:rPr>
      <w:rFonts w:ascii="华文隶书" w:eastAsia="华文隶书"/>
      <w:sz w:val="28"/>
    </w:rPr>
  </w:style>
  <w:style w:type="character" w:customStyle="1" w:styleId="Char4">
    <w:name w:val="特别声明格式 Char"/>
    <w:basedOn w:val="DefaultParagraphFont"/>
    <w:link w:val="a4"/>
    <w:uiPriority w:val="99"/>
    <w:locked/>
    <w:rsid w:val="00B10000"/>
    <w:rPr>
      <w:rFonts w:ascii="华文隶书" w:eastAsia="华文隶书" w:hAnsi="Calibri" w:cs="Times New Roman"/>
      <w:sz w:val="28"/>
    </w:rPr>
  </w:style>
  <w:style w:type="paragraph" w:styleId="BodyText">
    <w:name w:val="Body Text"/>
    <w:basedOn w:val="Normal"/>
    <w:link w:val="BodyTextChar"/>
    <w:uiPriority w:val="99"/>
    <w:rsid w:val="00B10000"/>
    <w:pPr>
      <w:widowControl/>
      <w:spacing w:after="120" w:line="240" w:lineRule="exact"/>
      <w:ind w:left="3402"/>
    </w:pPr>
    <w:rPr>
      <w:rFonts w:ascii="Arial" w:eastAsia="楷体_GB2312" w:hAnsi="Arial"/>
      <w:color w:val="000000"/>
      <w:kern w:val="0"/>
      <w:szCs w:val="20"/>
      <w:lang w:val="en-GB"/>
    </w:rPr>
  </w:style>
  <w:style w:type="character" w:customStyle="1" w:styleId="BodyTextChar">
    <w:name w:val="Body Text Char"/>
    <w:basedOn w:val="DefaultParagraphFont"/>
    <w:link w:val="BodyText"/>
    <w:uiPriority w:val="99"/>
    <w:locked/>
    <w:rsid w:val="00B10000"/>
    <w:rPr>
      <w:rFonts w:ascii="Arial" w:eastAsia="楷体_GB2312" w:hAnsi="Arial" w:cs="Times New Roman"/>
      <w:color w:val="000000"/>
      <w:kern w:val="0"/>
      <w:sz w:val="20"/>
      <w:szCs w:val="20"/>
      <w:lang w:val="en-GB"/>
    </w:rPr>
  </w:style>
  <w:style w:type="paragraph" w:customStyle="1" w:styleId="FootnoteNoline">
    <w:name w:val="FootnoteNoline"/>
    <w:basedOn w:val="Normal"/>
    <w:next w:val="BodyText"/>
    <w:uiPriority w:val="99"/>
    <w:rsid w:val="008840A4"/>
    <w:pPr>
      <w:widowControl/>
      <w:tabs>
        <w:tab w:val="right" w:pos="10065"/>
      </w:tabs>
      <w:spacing w:before="40" w:after="160"/>
      <w:ind w:left="3402"/>
    </w:pPr>
    <w:rPr>
      <w:rFonts w:ascii="Arial" w:eastAsia="楷体_GB2312" w:hAnsi="Arial" w:cs="Arial"/>
      <w:color w:val="003765"/>
      <w:kern w:val="0"/>
      <w:sz w:val="15"/>
      <w:szCs w:val="14"/>
      <w:lang w:val="en-GB"/>
    </w:rPr>
  </w:style>
  <w:style w:type="paragraph" w:customStyle="1" w:styleId="SubTitleLargeTable">
    <w:name w:val="SubTitleLargeTable"/>
    <w:uiPriority w:val="99"/>
    <w:rsid w:val="008840A4"/>
    <w:pPr>
      <w:keepNext/>
      <w:pBdr>
        <w:top w:val="single" w:sz="6" w:space="1" w:color="666699"/>
      </w:pBdr>
      <w:suppressAutoHyphens/>
      <w:spacing w:after="40" w:line="240" w:lineRule="atLeast"/>
    </w:pPr>
    <w:rPr>
      <w:rFonts w:ascii="Arial" w:eastAsia="楷体_GB2312" w:hAnsi="Arial" w:cs="Arial"/>
      <w:b/>
      <w:bCs/>
      <w:i/>
      <w:iCs/>
      <w:color w:val="003765"/>
      <w:kern w:val="0"/>
      <w:szCs w:val="21"/>
      <w:lang w:val="en-GB"/>
    </w:rPr>
  </w:style>
  <w:style w:type="paragraph" w:styleId="BalloonText">
    <w:name w:val="Balloon Text"/>
    <w:basedOn w:val="Normal"/>
    <w:link w:val="BalloonTextChar"/>
    <w:uiPriority w:val="99"/>
    <w:semiHidden/>
    <w:rsid w:val="008840A4"/>
    <w:rPr>
      <w:sz w:val="18"/>
      <w:szCs w:val="18"/>
    </w:rPr>
  </w:style>
  <w:style w:type="character" w:customStyle="1" w:styleId="BalloonTextChar">
    <w:name w:val="Balloon Text Char"/>
    <w:basedOn w:val="DefaultParagraphFont"/>
    <w:link w:val="BalloonText"/>
    <w:uiPriority w:val="99"/>
    <w:semiHidden/>
    <w:locked/>
    <w:rsid w:val="008840A4"/>
    <w:rPr>
      <w:rFonts w:cs="Times New Roman"/>
      <w:sz w:val="18"/>
      <w:szCs w:val="18"/>
    </w:rPr>
  </w:style>
  <w:style w:type="paragraph" w:customStyle="1" w:styleId="CoverBullet">
    <w:name w:val="Cover Bullet"/>
    <w:uiPriority w:val="99"/>
    <w:rsid w:val="008840A4"/>
    <w:pPr>
      <w:numPr>
        <w:numId w:val="3"/>
      </w:numPr>
      <w:spacing w:before="120" w:after="120"/>
      <w:ind w:left="357" w:hanging="357"/>
    </w:pPr>
    <w:rPr>
      <w:rFonts w:ascii="LucidaSans" w:hAnsi="LucidaSans"/>
      <w:b/>
      <w:bCs/>
      <w:kern w:val="0"/>
      <w:sz w:val="20"/>
      <w:szCs w:val="20"/>
      <w:lang w:val="en-GB"/>
    </w:rPr>
  </w:style>
  <w:style w:type="paragraph" w:styleId="ListParagraph">
    <w:name w:val="List Paragraph"/>
    <w:basedOn w:val="Normal"/>
    <w:uiPriority w:val="99"/>
    <w:qFormat/>
    <w:rsid w:val="002630FB"/>
    <w:pPr>
      <w:ind w:firstLineChars="200" w:firstLine="420"/>
    </w:pPr>
  </w:style>
  <w:style w:type="paragraph" w:customStyle="1" w:styleId="SourceLarge">
    <w:name w:val="SourceLarge"/>
    <w:uiPriority w:val="99"/>
    <w:rsid w:val="00875DC2"/>
    <w:pPr>
      <w:tabs>
        <w:tab w:val="left" w:pos="5216"/>
        <w:tab w:val="right" w:pos="9866"/>
      </w:tabs>
      <w:suppressAutoHyphens/>
      <w:spacing w:line="160" w:lineRule="atLeast"/>
    </w:pPr>
    <w:rPr>
      <w:rFonts w:ascii="LucidaSans" w:hAnsi="LucidaSans"/>
      <w:kern w:val="0"/>
      <w:sz w:val="12"/>
      <w:szCs w:val="12"/>
      <w:lang w:val="en-GB"/>
    </w:rPr>
  </w:style>
  <w:style w:type="paragraph" w:customStyle="1" w:styleId="BulletCoverpage">
    <w:name w:val="Bullet Cover page"/>
    <w:basedOn w:val="Normal"/>
    <w:uiPriority w:val="99"/>
    <w:rsid w:val="00875DC2"/>
    <w:pPr>
      <w:widowControl/>
      <w:numPr>
        <w:numId w:val="4"/>
      </w:numPr>
      <w:suppressAutoHyphens/>
      <w:spacing w:after="200" w:line="240" w:lineRule="atLeast"/>
    </w:pPr>
    <w:rPr>
      <w:rFonts w:ascii="Arial" w:eastAsia="楷体_GB2312" w:hAnsi="Arial"/>
      <w:kern w:val="0"/>
      <w:sz w:val="18"/>
      <w:szCs w:val="20"/>
      <w:lang w:val="en-GB"/>
    </w:rPr>
  </w:style>
  <w:style w:type="character" w:styleId="Hyperlink">
    <w:name w:val="Hyperlink"/>
    <w:basedOn w:val="DefaultParagraphFont"/>
    <w:uiPriority w:val="99"/>
    <w:semiHidden/>
    <w:rsid w:val="008A7FEE"/>
    <w:rPr>
      <w:rFonts w:cs="Times New Roman"/>
      <w:color w:val="000000"/>
      <w:u w:val="none"/>
      <w:effect w:val="none"/>
    </w:rPr>
  </w:style>
  <w:style w:type="paragraph" w:styleId="NormalWeb">
    <w:name w:val="Normal (Web)"/>
    <w:basedOn w:val="Normal"/>
    <w:uiPriority w:val="99"/>
    <w:semiHidden/>
    <w:rsid w:val="008A7FEE"/>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655888121">
      <w:marLeft w:val="0"/>
      <w:marRight w:val="0"/>
      <w:marTop w:val="0"/>
      <w:marBottom w:val="0"/>
      <w:divBdr>
        <w:top w:val="none" w:sz="0" w:space="0" w:color="auto"/>
        <w:left w:val="none" w:sz="0" w:space="0" w:color="auto"/>
        <w:bottom w:val="none" w:sz="0" w:space="0" w:color="auto"/>
        <w:right w:val="none" w:sz="0" w:space="0" w:color="auto"/>
      </w:divBdr>
      <w:divsChild>
        <w:div w:id="655888125">
          <w:marLeft w:val="0"/>
          <w:marRight w:val="0"/>
          <w:marTop w:val="0"/>
          <w:marBottom w:val="0"/>
          <w:divBdr>
            <w:top w:val="none" w:sz="0" w:space="0" w:color="auto"/>
            <w:left w:val="none" w:sz="0" w:space="0" w:color="auto"/>
            <w:bottom w:val="none" w:sz="0" w:space="0" w:color="auto"/>
            <w:right w:val="none" w:sz="0" w:space="0" w:color="auto"/>
          </w:divBdr>
          <w:divsChild>
            <w:div w:id="655888217">
              <w:marLeft w:val="0"/>
              <w:marRight w:val="0"/>
              <w:marTop w:val="0"/>
              <w:marBottom w:val="0"/>
              <w:divBdr>
                <w:top w:val="none" w:sz="0" w:space="0" w:color="auto"/>
                <w:left w:val="none" w:sz="0" w:space="0" w:color="auto"/>
                <w:bottom w:val="none" w:sz="0" w:space="0" w:color="auto"/>
                <w:right w:val="none" w:sz="0" w:space="0" w:color="auto"/>
              </w:divBdr>
              <w:divsChild>
                <w:div w:id="655888281">
                  <w:marLeft w:val="0"/>
                  <w:marRight w:val="0"/>
                  <w:marTop w:val="0"/>
                  <w:marBottom w:val="0"/>
                  <w:divBdr>
                    <w:top w:val="single" w:sz="18" w:space="0" w:color="08237A"/>
                    <w:left w:val="none" w:sz="0" w:space="0" w:color="auto"/>
                    <w:bottom w:val="none" w:sz="0" w:space="0" w:color="auto"/>
                    <w:right w:val="none" w:sz="0" w:space="0" w:color="auto"/>
                  </w:divBdr>
                  <w:divsChild>
                    <w:div w:id="655888284">
                      <w:marLeft w:val="0"/>
                      <w:marRight w:val="0"/>
                      <w:marTop w:val="0"/>
                      <w:marBottom w:val="0"/>
                      <w:divBdr>
                        <w:top w:val="single" w:sz="2" w:space="8" w:color="BBBBBB"/>
                        <w:left w:val="single" w:sz="6" w:space="0" w:color="BBBBBB"/>
                        <w:bottom w:val="single" w:sz="6" w:space="0" w:color="BBBBBB"/>
                        <w:right w:val="single" w:sz="6" w:space="0" w:color="BBBBBB"/>
                      </w:divBdr>
                      <w:divsChild>
                        <w:div w:id="655888241">
                          <w:marLeft w:val="0"/>
                          <w:marRight w:val="0"/>
                          <w:marTop w:val="0"/>
                          <w:marBottom w:val="0"/>
                          <w:divBdr>
                            <w:top w:val="none" w:sz="0" w:space="0" w:color="auto"/>
                            <w:left w:val="none" w:sz="0" w:space="0" w:color="auto"/>
                            <w:bottom w:val="none" w:sz="0" w:space="0" w:color="auto"/>
                            <w:right w:val="none" w:sz="0" w:space="0" w:color="auto"/>
                          </w:divBdr>
                          <w:divsChild>
                            <w:div w:id="655888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5888124">
      <w:marLeft w:val="0"/>
      <w:marRight w:val="0"/>
      <w:marTop w:val="0"/>
      <w:marBottom w:val="0"/>
      <w:divBdr>
        <w:top w:val="none" w:sz="0" w:space="0" w:color="auto"/>
        <w:left w:val="none" w:sz="0" w:space="0" w:color="auto"/>
        <w:bottom w:val="none" w:sz="0" w:space="0" w:color="auto"/>
        <w:right w:val="none" w:sz="0" w:space="0" w:color="auto"/>
      </w:divBdr>
      <w:divsChild>
        <w:div w:id="655888116">
          <w:marLeft w:val="0"/>
          <w:marRight w:val="0"/>
          <w:marTop w:val="0"/>
          <w:marBottom w:val="0"/>
          <w:divBdr>
            <w:top w:val="none" w:sz="0" w:space="0" w:color="auto"/>
            <w:left w:val="none" w:sz="0" w:space="0" w:color="auto"/>
            <w:bottom w:val="none" w:sz="0" w:space="0" w:color="auto"/>
            <w:right w:val="none" w:sz="0" w:space="0" w:color="auto"/>
          </w:divBdr>
          <w:divsChild>
            <w:div w:id="655888289">
              <w:marLeft w:val="0"/>
              <w:marRight w:val="0"/>
              <w:marTop w:val="0"/>
              <w:marBottom w:val="0"/>
              <w:divBdr>
                <w:top w:val="none" w:sz="0" w:space="0" w:color="auto"/>
                <w:left w:val="none" w:sz="0" w:space="0" w:color="auto"/>
                <w:bottom w:val="none" w:sz="0" w:space="0" w:color="auto"/>
                <w:right w:val="none" w:sz="0" w:space="0" w:color="auto"/>
              </w:divBdr>
              <w:divsChild>
                <w:div w:id="655888146">
                  <w:marLeft w:val="0"/>
                  <w:marRight w:val="0"/>
                  <w:marTop w:val="0"/>
                  <w:marBottom w:val="0"/>
                  <w:divBdr>
                    <w:top w:val="none" w:sz="0" w:space="0" w:color="auto"/>
                    <w:left w:val="none" w:sz="0" w:space="0" w:color="auto"/>
                    <w:bottom w:val="none" w:sz="0" w:space="0" w:color="auto"/>
                    <w:right w:val="none" w:sz="0" w:space="0" w:color="auto"/>
                  </w:divBdr>
                  <w:divsChild>
                    <w:div w:id="65588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5888132">
      <w:marLeft w:val="0"/>
      <w:marRight w:val="0"/>
      <w:marTop w:val="0"/>
      <w:marBottom w:val="0"/>
      <w:divBdr>
        <w:top w:val="none" w:sz="0" w:space="0" w:color="auto"/>
        <w:left w:val="none" w:sz="0" w:space="0" w:color="auto"/>
        <w:bottom w:val="none" w:sz="0" w:space="0" w:color="auto"/>
        <w:right w:val="none" w:sz="0" w:space="0" w:color="auto"/>
      </w:divBdr>
      <w:divsChild>
        <w:div w:id="655888120">
          <w:marLeft w:val="0"/>
          <w:marRight w:val="0"/>
          <w:marTop w:val="0"/>
          <w:marBottom w:val="0"/>
          <w:divBdr>
            <w:top w:val="none" w:sz="0" w:space="0" w:color="auto"/>
            <w:left w:val="none" w:sz="0" w:space="0" w:color="auto"/>
            <w:bottom w:val="none" w:sz="0" w:space="0" w:color="auto"/>
            <w:right w:val="none" w:sz="0" w:space="0" w:color="auto"/>
          </w:divBdr>
        </w:div>
      </w:divsChild>
    </w:div>
    <w:div w:id="655888135">
      <w:marLeft w:val="0"/>
      <w:marRight w:val="0"/>
      <w:marTop w:val="0"/>
      <w:marBottom w:val="0"/>
      <w:divBdr>
        <w:top w:val="none" w:sz="0" w:space="0" w:color="auto"/>
        <w:left w:val="none" w:sz="0" w:space="0" w:color="auto"/>
        <w:bottom w:val="none" w:sz="0" w:space="0" w:color="auto"/>
        <w:right w:val="none" w:sz="0" w:space="0" w:color="auto"/>
      </w:divBdr>
      <w:divsChild>
        <w:div w:id="655888123">
          <w:marLeft w:val="0"/>
          <w:marRight w:val="0"/>
          <w:marTop w:val="0"/>
          <w:marBottom w:val="0"/>
          <w:divBdr>
            <w:top w:val="none" w:sz="0" w:space="0" w:color="auto"/>
            <w:left w:val="none" w:sz="0" w:space="0" w:color="auto"/>
            <w:bottom w:val="none" w:sz="0" w:space="0" w:color="auto"/>
            <w:right w:val="none" w:sz="0" w:space="0" w:color="auto"/>
          </w:divBdr>
          <w:divsChild>
            <w:div w:id="655888119">
              <w:marLeft w:val="0"/>
              <w:marRight w:val="0"/>
              <w:marTop w:val="0"/>
              <w:marBottom w:val="0"/>
              <w:divBdr>
                <w:top w:val="none" w:sz="0" w:space="0" w:color="auto"/>
                <w:left w:val="none" w:sz="0" w:space="0" w:color="auto"/>
                <w:bottom w:val="none" w:sz="0" w:space="0" w:color="auto"/>
                <w:right w:val="none" w:sz="0" w:space="0" w:color="auto"/>
              </w:divBdr>
              <w:divsChild>
                <w:div w:id="655888273">
                  <w:marLeft w:val="0"/>
                  <w:marRight w:val="0"/>
                  <w:marTop w:val="0"/>
                  <w:marBottom w:val="0"/>
                  <w:divBdr>
                    <w:top w:val="none" w:sz="0" w:space="0" w:color="auto"/>
                    <w:left w:val="none" w:sz="0" w:space="0" w:color="auto"/>
                    <w:bottom w:val="none" w:sz="0" w:space="0" w:color="auto"/>
                    <w:right w:val="none" w:sz="0" w:space="0" w:color="auto"/>
                  </w:divBdr>
                  <w:divsChild>
                    <w:div w:id="65588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5888136">
      <w:marLeft w:val="0"/>
      <w:marRight w:val="0"/>
      <w:marTop w:val="0"/>
      <w:marBottom w:val="0"/>
      <w:divBdr>
        <w:top w:val="none" w:sz="0" w:space="0" w:color="auto"/>
        <w:left w:val="none" w:sz="0" w:space="0" w:color="auto"/>
        <w:bottom w:val="none" w:sz="0" w:space="0" w:color="auto"/>
        <w:right w:val="none" w:sz="0" w:space="0" w:color="auto"/>
      </w:divBdr>
      <w:divsChild>
        <w:div w:id="655888151">
          <w:marLeft w:val="0"/>
          <w:marRight w:val="0"/>
          <w:marTop w:val="0"/>
          <w:marBottom w:val="0"/>
          <w:divBdr>
            <w:top w:val="none" w:sz="0" w:space="0" w:color="auto"/>
            <w:left w:val="none" w:sz="0" w:space="0" w:color="auto"/>
            <w:bottom w:val="none" w:sz="0" w:space="0" w:color="auto"/>
            <w:right w:val="none" w:sz="0" w:space="0" w:color="auto"/>
          </w:divBdr>
          <w:divsChild>
            <w:div w:id="655888262">
              <w:marLeft w:val="0"/>
              <w:marRight w:val="0"/>
              <w:marTop w:val="0"/>
              <w:marBottom w:val="0"/>
              <w:divBdr>
                <w:top w:val="none" w:sz="0" w:space="0" w:color="auto"/>
                <w:left w:val="none" w:sz="0" w:space="0" w:color="auto"/>
                <w:bottom w:val="none" w:sz="0" w:space="0" w:color="auto"/>
                <w:right w:val="none" w:sz="0" w:space="0" w:color="auto"/>
              </w:divBdr>
              <w:divsChild>
                <w:div w:id="655888113">
                  <w:marLeft w:val="0"/>
                  <w:marRight w:val="0"/>
                  <w:marTop w:val="0"/>
                  <w:marBottom w:val="0"/>
                  <w:divBdr>
                    <w:top w:val="none" w:sz="0" w:space="0" w:color="auto"/>
                    <w:left w:val="none" w:sz="0" w:space="0" w:color="auto"/>
                    <w:bottom w:val="none" w:sz="0" w:space="0" w:color="auto"/>
                    <w:right w:val="none" w:sz="0" w:space="0" w:color="auto"/>
                  </w:divBdr>
                  <w:divsChild>
                    <w:div w:id="65588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5888143">
      <w:marLeft w:val="0"/>
      <w:marRight w:val="0"/>
      <w:marTop w:val="0"/>
      <w:marBottom w:val="0"/>
      <w:divBdr>
        <w:top w:val="none" w:sz="0" w:space="0" w:color="auto"/>
        <w:left w:val="none" w:sz="0" w:space="0" w:color="auto"/>
        <w:bottom w:val="none" w:sz="0" w:space="0" w:color="auto"/>
        <w:right w:val="none" w:sz="0" w:space="0" w:color="auto"/>
      </w:divBdr>
      <w:divsChild>
        <w:div w:id="655888134">
          <w:marLeft w:val="0"/>
          <w:marRight w:val="0"/>
          <w:marTop w:val="0"/>
          <w:marBottom w:val="0"/>
          <w:divBdr>
            <w:top w:val="none" w:sz="0" w:space="0" w:color="auto"/>
            <w:left w:val="none" w:sz="0" w:space="0" w:color="auto"/>
            <w:bottom w:val="none" w:sz="0" w:space="0" w:color="auto"/>
            <w:right w:val="none" w:sz="0" w:space="0" w:color="auto"/>
          </w:divBdr>
          <w:divsChild>
            <w:div w:id="655888198">
              <w:marLeft w:val="0"/>
              <w:marRight w:val="0"/>
              <w:marTop w:val="0"/>
              <w:marBottom w:val="0"/>
              <w:divBdr>
                <w:top w:val="none" w:sz="0" w:space="0" w:color="auto"/>
                <w:left w:val="none" w:sz="0" w:space="0" w:color="auto"/>
                <w:bottom w:val="none" w:sz="0" w:space="0" w:color="auto"/>
                <w:right w:val="none" w:sz="0" w:space="0" w:color="auto"/>
              </w:divBdr>
              <w:divsChild>
                <w:div w:id="655888300">
                  <w:marLeft w:val="0"/>
                  <w:marRight w:val="0"/>
                  <w:marTop w:val="0"/>
                  <w:marBottom w:val="0"/>
                  <w:divBdr>
                    <w:top w:val="single" w:sz="18" w:space="0" w:color="08237A"/>
                    <w:left w:val="none" w:sz="0" w:space="0" w:color="auto"/>
                    <w:bottom w:val="none" w:sz="0" w:space="0" w:color="auto"/>
                    <w:right w:val="none" w:sz="0" w:space="0" w:color="auto"/>
                  </w:divBdr>
                  <w:divsChild>
                    <w:div w:id="655888260">
                      <w:marLeft w:val="0"/>
                      <w:marRight w:val="0"/>
                      <w:marTop w:val="0"/>
                      <w:marBottom w:val="0"/>
                      <w:divBdr>
                        <w:top w:val="single" w:sz="2" w:space="8" w:color="BBBBBB"/>
                        <w:left w:val="single" w:sz="6" w:space="0" w:color="BBBBBB"/>
                        <w:bottom w:val="single" w:sz="6" w:space="0" w:color="BBBBBB"/>
                        <w:right w:val="single" w:sz="6" w:space="0" w:color="BBBBBB"/>
                      </w:divBdr>
                      <w:divsChild>
                        <w:div w:id="655888293">
                          <w:marLeft w:val="0"/>
                          <w:marRight w:val="0"/>
                          <w:marTop w:val="0"/>
                          <w:marBottom w:val="0"/>
                          <w:divBdr>
                            <w:top w:val="none" w:sz="0" w:space="0" w:color="auto"/>
                            <w:left w:val="none" w:sz="0" w:space="0" w:color="auto"/>
                            <w:bottom w:val="none" w:sz="0" w:space="0" w:color="auto"/>
                            <w:right w:val="none" w:sz="0" w:space="0" w:color="auto"/>
                          </w:divBdr>
                          <w:divsChild>
                            <w:div w:id="65588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5888148">
      <w:marLeft w:val="0"/>
      <w:marRight w:val="0"/>
      <w:marTop w:val="0"/>
      <w:marBottom w:val="0"/>
      <w:divBdr>
        <w:top w:val="none" w:sz="0" w:space="0" w:color="auto"/>
        <w:left w:val="none" w:sz="0" w:space="0" w:color="auto"/>
        <w:bottom w:val="none" w:sz="0" w:space="0" w:color="auto"/>
        <w:right w:val="none" w:sz="0" w:space="0" w:color="auto"/>
      </w:divBdr>
      <w:divsChild>
        <w:div w:id="655888209">
          <w:marLeft w:val="0"/>
          <w:marRight w:val="0"/>
          <w:marTop w:val="0"/>
          <w:marBottom w:val="0"/>
          <w:divBdr>
            <w:top w:val="none" w:sz="0" w:space="0" w:color="auto"/>
            <w:left w:val="none" w:sz="0" w:space="0" w:color="auto"/>
            <w:bottom w:val="none" w:sz="0" w:space="0" w:color="auto"/>
            <w:right w:val="none" w:sz="0" w:space="0" w:color="auto"/>
          </w:divBdr>
          <w:divsChild>
            <w:div w:id="655888185">
              <w:marLeft w:val="0"/>
              <w:marRight w:val="0"/>
              <w:marTop w:val="0"/>
              <w:marBottom w:val="0"/>
              <w:divBdr>
                <w:top w:val="none" w:sz="0" w:space="0" w:color="auto"/>
                <w:left w:val="none" w:sz="0" w:space="0" w:color="auto"/>
                <w:bottom w:val="none" w:sz="0" w:space="0" w:color="auto"/>
                <w:right w:val="none" w:sz="0" w:space="0" w:color="auto"/>
              </w:divBdr>
              <w:divsChild>
                <w:div w:id="655888152">
                  <w:marLeft w:val="0"/>
                  <w:marRight w:val="0"/>
                  <w:marTop w:val="0"/>
                  <w:marBottom w:val="0"/>
                  <w:divBdr>
                    <w:top w:val="none" w:sz="0" w:space="0" w:color="auto"/>
                    <w:left w:val="none" w:sz="0" w:space="0" w:color="auto"/>
                    <w:bottom w:val="none" w:sz="0" w:space="0" w:color="auto"/>
                    <w:right w:val="none" w:sz="0" w:space="0" w:color="auto"/>
                  </w:divBdr>
                  <w:divsChild>
                    <w:div w:id="655888195">
                      <w:marLeft w:val="0"/>
                      <w:marRight w:val="0"/>
                      <w:marTop w:val="0"/>
                      <w:marBottom w:val="0"/>
                      <w:divBdr>
                        <w:top w:val="none" w:sz="0" w:space="0" w:color="auto"/>
                        <w:left w:val="none" w:sz="0" w:space="0" w:color="auto"/>
                        <w:bottom w:val="none" w:sz="0" w:space="0" w:color="auto"/>
                        <w:right w:val="none" w:sz="0" w:space="0" w:color="auto"/>
                      </w:divBdr>
                      <w:divsChild>
                        <w:div w:id="655888130">
                          <w:marLeft w:val="0"/>
                          <w:marRight w:val="0"/>
                          <w:marTop w:val="0"/>
                          <w:marBottom w:val="0"/>
                          <w:divBdr>
                            <w:top w:val="none" w:sz="0" w:space="0" w:color="auto"/>
                            <w:left w:val="none" w:sz="0" w:space="0" w:color="auto"/>
                            <w:bottom w:val="none" w:sz="0" w:space="0" w:color="auto"/>
                            <w:right w:val="single" w:sz="4" w:space="0" w:color="E9EAEE"/>
                          </w:divBdr>
                          <w:divsChild>
                            <w:div w:id="65588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5888160">
      <w:marLeft w:val="0"/>
      <w:marRight w:val="0"/>
      <w:marTop w:val="0"/>
      <w:marBottom w:val="0"/>
      <w:divBdr>
        <w:top w:val="none" w:sz="0" w:space="0" w:color="auto"/>
        <w:left w:val="none" w:sz="0" w:space="0" w:color="auto"/>
        <w:bottom w:val="none" w:sz="0" w:space="0" w:color="auto"/>
        <w:right w:val="none" w:sz="0" w:space="0" w:color="auto"/>
      </w:divBdr>
      <w:divsChild>
        <w:div w:id="655888203">
          <w:marLeft w:val="0"/>
          <w:marRight w:val="0"/>
          <w:marTop w:val="0"/>
          <w:marBottom w:val="0"/>
          <w:divBdr>
            <w:top w:val="none" w:sz="0" w:space="0" w:color="auto"/>
            <w:left w:val="none" w:sz="0" w:space="0" w:color="auto"/>
            <w:bottom w:val="none" w:sz="0" w:space="0" w:color="auto"/>
            <w:right w:val="none" w:sz="0" w:space="0" w:color="auto"/>
          </w:divBdr>
        </w:div>
      </w:divsChild>
    </w:div>
    <w:div w:id="655888163">
      <w:marLeft w:val="0"/>
      <w:marRight w:val="0"/>
      <w:marTop w:val="0"/>
      <w:marBottom w:val="0"/>
      <w:divBdr>
        <w:top w:val="none" w:sz="0" w:space="0" w:color="auto"/>
        <w:left w:val="none" w:sz="0" w:space="0" w:color="auto"/>
        <w:bottom w:val="none" w:sz="0" w:space="0" w:color="auto"/>
        <w:right w:val="none" w:sz="0" w:space="0" w:color="auto"/>
      </w:divBdr>
      <w:divsChild>
        <w:div w:id="655888254">
          <w:marLeft w:val="0"/>
          <w:marRight w:val="0"/>
          <w:marTop w:val="0"/>
          <w:marBottom w:val="0"/>
          <w:divBdr>
            <w:top w:val="none" w:sz="0" w:space="0" w:color="auto"/>
            <w:left w:val="none" w:sz="0" w:space="0" w:color="auto"/>
            <w:bottom w:val="none" w:sz="0" w:space="0" w:color="auto"/>
            <w:right w:val="none" w:sz="0" w:space="0" w:color="auto"/>
          </w:divBdr>
          <w:divsChild>
            <w:div w:id="655888138">
              <w:marLeft w:val="0"/>
              <w:marRight w:val="0"/>
              <w:marTop w:val="0"/>
              <w:marBottom w:val="0"/>
              <w:divBdr>
                <w:top w:val="none" w:sz="0" w:space="0" w:color="auto"/>
                <w:left w:val="none" w:sz="0" w:space="0" w:color="auto"/>
                <w:bottom w:val="none" w:sz="0" w:space="0" w:color="auto"/>
                <w:right w:val="none" w:sz="0" w:space="0" w:color="auto"/>
              </w:divBdr>
              <w:divsChild>
                <w:div w:id="655888169">
                  <w:marLeft w:val="0"/>
                  <w:marRight w:val="0"/>
                  <w:marTop w:val="0"/>
                  <w:marBottom w:val="0"/>
                  <w:divBdr>
                    <w:top w:val="none" w:sz="0" w:space="0" w:color="auto"/>
                    <w:left w:val="none" w:sz="0" w:space="0" w:color="auto"/>
                    <w:bottom w:val="none" w:sz="0" w:space="0" w:color="auto"/>
                    <w:right w:val="none" w:sz="0" w:space="0" w:color="auto"/>
                  </w:divBdr>
                  <w:divsChild>
                    <w:div w:id="655888156">
                      <w:marLeft w:val="0"/>
                      <w:marRight w:val="0"/>
                      <w:marTop w:val="0"/>
                      <w:marBottom w:val="0"/>
                      <w:divBdr>
                        <w:top w:val="none" w:sz="0" w:space="0" w:color="auto"/>
                        <w:left w:val="none" w:sz="0" w:space="0" w:color="auto"/>
                        <w:bottom w:val="none" w:sz="0" w:space="0" w:color="auto"/>
                        <w:right w:val="none" w:sz="0" w:space="0" w:color="auto"/>
                      </w:divBdr>
                      <w:divsChild>
                        <w:div w:id="655888173">
                          <w:marLeft w:val="0"/>
                          <w:marRight w:val="0"/>
                          <w:marTop w:val="0"/>
                          <w:marBottom w:val="0"/>
                          <w:divBdr>
                            <w:top w:val="none" w:sz="0" w:space="0" w:color="auto"/>
                            <w:left w:val="none" w:sz="0" w:space="0" w:color="auto"/>
                            <w:bottom w:val="none" w:sz="0" w:space="0" w:color="auto"/>
                            <w:right w:val="none" w:sz="0" w:space="0" w:color="auto"/>
                          </w:divBdr>
                          <w:divsChild>
                            <w:div w:id="655888117">
                              <w:marLeft w:val="0"/>
                              <w:marRight w:val="0"/>
                              <w:marTop w:val="0"/>
                              <w:marBottom w:val="0"/>
                              <w:divBdr>
                                <w:top w:val="none" w:sz="0" w:space="0" w:color="auto"/>
                                <w:left w:val="none" w:sz="0" w:space="0" w:color="auto"/>
                                <w:bottom w:val="none" w:sz="0" w:space="0" w:color="auto"/>
                                <w:right w:val="none" w:sz="0" w:space="0" w:color="auto"/>
                              </w:divBdr>
                              <w:divsChild>
                                <w:div w:id="655888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5888168">
      <w:marLeft w:val="0"/>
      <w:marRight w:val="0"/>
      <w:marTop w:val="0"/>
      <w:marBottom w:val="0"/>
      <w:divBdr>
        <w:top w:val="none" w:sz="0" w:space="0" w:color="auto"/>
        <w:left w:val="none" w:sz="0" w:space="0" w:color="auto"/>
        <w:bottom w:val="none" w:sz="0" w:space="0" w:color="auto"/>
        <w:right w:val="none" w:sz="0" w:space="0" w:color="auto"/>
      </w:divBdr>
      <w:divsChild>
        <w:div w:id="655888210">
          <w:marLeft w:val="0"/>
          <w:marRight w:val="0"/>
          <w:marTop w:val="0"/>
          <w:marBottom w:val="0"/>
          <w:divBdr>
            <w:top w:val="none" w:sz="0" w:space="0" w:color="auto"/>
            <w:left w:val="none" w:sz="0" w:space="0" w:color="auto"/>
            <w:bottom w:val="none" w:sz="0" w:space="0" w:color="auto"/>
            <w:right w:val="none" w:sz="0" w:space="0" w:color="auto"/>
          </w:divBdr>
        </w:div>
      </w:divsChild>
    </w:div>
    <w:div w:id="655888183">
      <w:marLeft w:val="0"/>
      <w:marRight w:val="0"/>
      <w:marTop w:val="0"/>
      <w:marBottom w:val="0"/>
      <w:divBdr>
        <w:top w:val="none" w:sz="0" w:space="0" w:color="auto"/>
        <w:left w:val="none" w:sz="0" w:space="0" w:color="auto"/>
        <w:bottom w:val="none" w:sz="0" w:space="0" w:color="auto"/>
        <w:right w:val="none" w:sz="0" w:space="0" w:color="auto"/>
      </w:divBdr>
      <w:divsChild>
        <w:div w:id="655888239">
          <w:marLeft w:val="0"/>
          <w:marRight w:val="0"/>
          <w:marTop w:val="0"/>
          <w:marBottom w:val="0"/>
          <w:divBdr>
            <w:top w:val="none" w:sz="0" w:space="0" w:color="auto"/>
            <w:left w:val="none" w:sz="0" w:space="0" w:color="auto"/>
            <w:bottom w:val="none" w:sz="0" w:space="0" w:color="auto"/>
            <w:right w:val="none" w:sz="0" w:space="0" w:color="auto"/>
          </w:divBdr>
          <w:divsChild>
            <w:div w:id="655888127">
              <w:marLeft w:val="0"/>
              <w:marRight w:val="0"/>
              <w:marTop w:val="0"/>
              <w:marBottom w:val="0"/>
              <w:divBdr>
                <w:top w:val="none" w:sz="0" w:space="0" w:color="auto"/>
                <w:left w:val="none" w:sz="0" w:space="0" w:color="auto"/>
                <w:bottom w:val="none" w:sz="0" w:space="0" w:color="auto"/>
                <w:right w:val="none" w:sz="0" w:space="0" w:color="auto"/>
              </w:divBdr>
              <w:divsChild>
                <w:div w:id="655888265">
                  <w:marLeft w:val="0"/>
                  <w:marRight w:val="0"/>
                  <w:marTop w:val="0"/>
                  <w:marBottom w:val="0"/>
                  <w:divBdr>
                    <w:top w:val="none" w:sz="0" w:space="0" w:color="auto"/>
                    <w:left w:val="none" w:sz="0" w:space="0" w:color="auto"/>
                    <w:bottom w:val="none" w:sz="0" w:space="0" w:color="auto"/>
                    <w:right w:val="none" w:sz="0" w:space="0" w:color="auto"/>
                  </w:divBdr>
                  <w:divsChild>
                    <w:div w:id="65588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5888199">
      <w:marLeft w:val="0"/>
      <w:marRight w:val="0"/>
      <w:marTop w:val="0"/>
      <w:marBottom w:val="0"/>
      <w:divBdr>
        <w:top w:val="none" w:sz="0" w:space="0" w:color="auto"/>
        <w:left w:val="none" w:sz="0" w:space="0" w:color="auto"/>
        <w:bottom w:val="none" w:sz="0" w:space="0" w:color="auto"/>
        <w:right w:val="none" w:sz="0" w:space="0" w:color="auto"/>
      </w:divBdr>
      <w:divsChild>
        <w:div w:id="655888280">
          <w:marLeft w:val="0"/>
          <w:marRight w:val="0"/>
          <w:marTop w:val="0"/>
          <w:marBottom w:val="0"/>
          <w:divBdr>
            <w:top w:val="none" w:sz="0" w:space="0" w:color="auto"/>
            <w:left w:val="none" w:sz="0" w:space="0" w:color="auto"/>
            <w:bottom w:val="none" w:sz="0" w:space="0" w:color="auto"/>
            <w:right w:val="none" w:sz="0" w:space="0" w:color="auto"/>
          </w:divBdr>
          <w:divsChild>
            <w:div w:id="655888236">
              <w:marLeft w:val="0"/>
              <w:marRight w:val="0"/>
              <w:marTop w:val="0"/>
              <w:marBottom w:val="0"/>
              <w:divBdr>
                <w:top w:val="none" w:sz="0" w:space="0" w:color="auto"/>
                <w:left w:val="none" w:sz="0" w:space="0" w:color="auto"/>
                <w:bottom w:val="none" w:sz="0" w:space="0" w:color="auto"/>
                <w:right w:val="none" w:sz="0" w:space="0" w:color="auto"/>
              </w:divBdr>
              <w:divsChild>
                <w:div w:id="655888153">
                  <w:marLeft w:val="0"/>
                  <w:marRight w:val="0"/>
                  <w:marTop w:val="0"/>
                  <w:marBottom w:val="0"/>
                  <w:divBdr>
                    <w:top w:val="single" w:sz="18" w:space="0" w:color="08237A"/>
                    <w:left w:val="none" w:sz="0" w:space="0" w:color="auto"/>
                    <w:bottom w:val="none" w:sz="0" w:space="0" w:color="auto"/>
                    <w:right w:val="none" w:sz="0" w:space="0" w:color="auto"/>
                  </w:divBdr>
                  <w:divsChild>
                    <w:div w:id="655888186">
                      <w:marLeft w:val="0"/>
                      <w:marRight w:val="0"/>
                      <w:marTop w:val="0"/>
                      <w:marBottom w:val="0"/>
                      <w:divBdr>
                        <w:top w:val="single" w:sz="2" w:space="8" w:color="BBBBBB"/>
                        <w:left w:val="single" w:sz="6" w:space="0" w:color="BBBBBB"/>
                        <w:bottom w:val="single" w:sz="6" w:space="0" w:color="BBBBBB"/>
                        <w:right w:val="single" w:sz="6" w:space="0" w:color="BBBBBB"/>
                      </w:divBdr>
                      <w:divsChild>
                        <w:div w:id="655888256">
                          <w:marLeft w:val="0"/>
                          <w:marRight w:val="0"/>
                          <w:marTop w:val="0"/>
                          <w:marBottom w:val="0"/>
                          <w:divBdr>
                            <w:top w:val="none" w:sz="0" w:space="0" w:color="auto"/>
                            <w:left w:val="none" w:sz="0" w:space="0" w:color="auto"/>
                            <w:bottom w:val="none" w:sz="0" w:space="0" w:color="auto"/>
                            <w:right w:val="none" w:sz="0" w:space="0" w:color="auto"/>
                          </w:divBdr>
                          <w:divsChild>
                            <w:div w:id="655888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5888205">
      <w:marLeft w:val="0"/>
      <w:marRight w:val="0"/>
      <w:marTop w:val="0"/>
      <w:marBottom w:val="0"/>
      <w:divBdr>
        <w:top w:val="none" w:sz="0" w:space="0" w:color="auto"/>
        <w:left w:val="none" w:sz="0" w:space="0" w:color="auto"/>
        <w:bottom w:val="none" w:sz="0" w:space="0" w:color="auto"/>
        <w:right w:val="none" w:sz="0" w:space="0" w:color="auto"/>
      </w:divBdr>
      <w:divsChild>
        <w:div w:id="655888129">
          <w:marLeft w:val="0"/>
          <w:marRight w:val="0"/>
          <w:marTop w:val="0"/>
          <w:marBottom w:val="0"/>
          <w:divBdr>
            <w:top w:val="none" w:sz="0" w:space="0" w:color="auto"/>
            <w:left w:val="none" w:sz="0" w:space="0" w:color="auto"/>
            <w:bottom w:val="none" w:sz="0" w:space="0" w:color="auto"/>
            <w:right w:val="none" w:sz="0" w:space="0" w:color="auto"/>
          </w:divBdr>
          <w:divsChild>
            <w:div w:id="655888207">
              <w:marLeft w:val="0"/>
              <w:marRight w:val="0"/>
              <w:marTop w:val="0"/>
              <w:marBottom w:val="0"/>
              <w:divBdr>
                <w:top w:val="none" w:sz="0" w:space="0" w:color="auto"/>
                <w:left w:val="none" w:sz="0" w:space="0" w:color="auto"/>
                <w:bottom w:val="none" w:sz="0" w:space="0" w:color="auto"/>
                <w:right w:val="none" w:sz="0" w:space="0" w:color="auto"/>
              </w:divBdr>
              <w:divsChild>
                <w:div w:id="655888267">
                  <w:marLeft w:val="0"/>
                  <w:marRight w:val="0"/>
                  <w:marTop w:val="0"/>
                  <w:marBottom w:val="0"/>
                  <w:divBdr>
                    <w:top w:val="none" w:sz="0" w:space="0" w:color="auto"/>
                    <w:left w:val="none" w:sz="0" w:space="0" w:color="auto"/>
                    <w:bottom w:val="none" w:sz="0" w:space="0" w:color="auto"/>
                    <w:right w:val="none" w:sz="0" w:space="0" w:color="auto"/>
                  </w:divBdr>
                  <w:divsChild>
                    <w:div w:id="655888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5888213">
      <w:marLeft w:val="0"/>
      <w:marRight w:val="0"/>
      <w:marTop w:val="0"/>
      <w:marBottom w:val="0"/>
      <w:divBdr>
        <w:top w:val="none" w:sz="0" w:space="0" w:color="auto"/>
        <w:left w:val="none" w:sz="0" w:space="0" w:color="auto"/>
        <w:bottom w:val="none" w:sz="0" w:space="0" w:color="auto"/>
        <w:right w:val="none" w:sz="0" w:space="0" w:color="auto"/>
      </w:divBdr>
      <w:divsChild>
        <w:div w:id="655888181">
          <w:marLeft w:val="0"/>
          <w:marRight w:val="0"/>
          <w:marTop w:val="0"/>
          <w:marBottom w:val="0"/>
          <w:divBdr>
            <w:top w:val="none" w:sz="0" w:space="0" w:color="auto"/>
            <w:left w:val="none" w:sz="0" w:space="0" w:color="auto"/>
            <w:bottom w:val="none" w:sz="0" w:space="0" w:color="auto"/>
            <w:right w:val="none" w:sz="0" w:space="0" w:color="auto"/>
          </w:divBdr>
          <w:divsChild>
            <w:div w:id="655888286">
              <w:marLeft w:val="0"/>
              <w:marRight w:val="0"/>
              <w:marTop w:val="0"/>
              <w:marBottom w:val="0"/>
              <w:divBdr>
                <w:top w:val="none" w:sz="0" w:space="0" w:color="auto"/>
                <w:left w:val="none" w:sz="0" w:space="0" w:color="auto"/>
                <w:bottom w:val="none" w:sz="0" w:space="0" w:color="auto"/>
                <w:right w:val="none" w:sz="0" w:space="0" w:color="auto"/>
              </w:divBdr>
              <w:divsChild>
                <w:div w:id="655888174">
                  <w:marLeft w:val="0"/>
                  <w:marRight w:val="0"/>
                  <w:marTop w:val="0"/>
                  <w:marBottom w:val="0"/>
                  <w:divBdr>
                    <w:top w:val="single" w:sz="18" w:space="0" w:color="08237A"/>
                    <w:left w:val="none" w:sz="0" w:space="0" w:color="auto"/>
                    <w:bottom w:val="none" w:sz="0" w:space="0" w:color="auto"/>
                    <w:right w:val="none" w:sz="0" w:space="0" w:color="auto"/>
                  </w:divBdr>
                  <w:divsChild>
                    <w:div w:id="655888237">
                      <w:marLeft w:val="0"/>
                      <w:marRight w:val="0"/>
                      <w:marTop w:val="0"/>
                      <w:marBottom w:val="0"/>
                      <w:divBdr>
                        <w:top w:val="single" w:sz="2" w:space="8" w:color="BBBBBB"/>
                        <w:left w:val="single" w:sz="6" w:space="0" w:color="BBBBBB"/>
                        <w:bottom w:val="single" w:sz="6" w:space="0" w:color="BBBBBB"/>
                        <w:right w:val="single" w:sz="6" w:space="0" w:color="BBBBBB"/>
                      </w:divBdr>
                      <w:divsChild>
                        <w:div w:id="655888270">
                          <w:marLeft w:val="0"/>
                          <w:marRight w:val="0"/>
                          <w:marTop w:val="0"/>
                          <w:marBottom w:val="0"/>
                          <w:divBdr>
                            <w:top w:val="none" w:sz="0" w:space="0" w:color="auto"/>
                            <w:left w:val="none" w:sz="0" w:space="0" w:color="auto"/>
                            <w:bottom w:val="none" w:sz="0" w:space="0" w:color="auto"/>
                            <w:right w:val="none" w:sz="0" w:space="0" w:color="auto"/>
                          </w:divBdr>
                          <w:divsChild>
                            <w:div w:id="65588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5888214">
      <w:marLeft w:val="0"/>
      <w:marRight w:val="0"/>
      <w:marTop w:val="0"/>
      <w:marBottom w:val="0"/>
      <w:divBdr>
        <w:top w:val="none" w:sz="0" w:space="0" w:color="auto"/>
        <w:left w:val="none" w:sz="0" w:space="0" w:color="auto"/>
        <w:bottom w:val="none" w:sz="0" w:space="0" w:color="auto"/>
        <w:right w:val="none" w:sz="0" w:space="0" w:color="auto"/>
      </w:divBdr>
      <w:divsChild>
        <w:div w:id="655888142">
          <w:marLeft w:val="0"/>
          <w:marRight w:val="0"/>
          <w:marTop w:val="0"/>
          <w:marBottom w:val="0"/>
          <w:divBdr>
            <w:top w:val="none" w:sz="0" w:space="0" w:color="auto"/>
            <w:left w:val="none" w:sz="0" w:space="0" w:color="auto"/>
            <w:bottom w:val="none" w:sz="0" w:space="0" w:color="auto"/>
            <w:right w:val="none" w:sz="0" w:space="0" w:color="auto"/>
          </w:divBdr>
          <w:divsChild>
            <w:div w:id="655888296">
              <w:marLeft w:val="0"/>
              <w:marRight w:val="0"/>
              <w:marTop w:val="0"/>
              <w:marBottom w:val="0"/>
              <w:divBdr>
                <w:top w:val="none" w:sz="0" w:space="0" w:color="auto"/>
                <w:left w:val="none" w:sz="0" w:space="0" w:color="auto"/>
                <w:bottom w:val="none" w:sz="0" w:space="0" w:color="auto"/>
                <w:right w:val="none" w:sz="0" w:space="0" w:color="auto"/>
              </w:divBdr>
              <w:divsChild>
                <w:div w:id="655888251">
                  <w:marLeft w:val="0"/>
                  <w:marRight w:val="0"/>
                  <w:marTop w:val="0"/>
                  <w:marBottom w:val="0"/>
                  <w:divBdr>
                    <w:top w:val="none" w:sz="0" w:space="0" w:color="auto"/>
                    <w:left w:val="none" w:sz="0" w:space="0" w:color="auto"/>
                    <w:bottom w:val="none" w:sz="0" w:space="0" w:color="auto"/>
                    <w:right w:val="none" w:sz="0" w:space="0" w:color="auto"/>
                  </w:divBdr>
                  <w:divsChild>
                    <w:div w:id="65588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5888219">
      <w:marLeft w:val="0"/>
      <w:marRight w:val="0"/>
      <w:marTop w:val="0"/>
      <w:marBottom w:val="0"/>
      <w:divBdr>
        <w:top w:val="none" w:sz="0" w:space="0" w:color="auto"/>
        <w:left w:val="none" w:sz="0" w:space="0" w:color="auto"/>
        <w:bottom w:val="none" w:sz="0" w:space="0" w:color="auto"/>
        <w:right w:val="none" w:sz="0" w:space="0" w:color="auto"/>
      </w:divBdr>
      <w:divsChild>
        <w:div w:id="655888126">
          <w:marLeft w:val="0"/>
          <w:marRight w:val="0"/>
          <w:marTop w:val="0"/>
          <w:marBottom w:val="0"/>
          <w:divBdr>
            <w:top w:val="none" w:sz="0" w:space="0" w:color="auto"/>
            <w:left w:val="none" w:sz="0" w:space="0" w:color="auto"/>
            <w:bottom w:val="none" w:sz="0" w:space="0" w:color="auto"/>
            <w:right w:val="none" w:sz="0" w:space="0" w:color="auto"/>
          </w:divBdr>
          <w:divsChild>
            <w:div w:id="655888133">
              <w:marLeft w:val="0"/>
              <w:marRight w:val="0"/>
              <w:marTop w:val="0"/>
              <w:marBottom w:val="0"/>
              <w:divBdr>
                <w:top w:val="none" w:sz="0" w:space="0" w:color="auto"/>
                <w:left w:val="none" w:sz="0" w:space="0" w:color="auto"/>
                <w:bottom w:val="none" w:sz="0" w:space="0" w:color="auto"/>
                <w:right w:val="none" w:sz="0" w:space="0" w:color="auto"/>
              </w:divBdr>
              <w:divsChild>
                <w:div w:id="655888111">
                  <w:marLeft w:val="0"/>
                  <w:marRight w:val="0"/>
                  <w:marTop w:val="0"/>
                  <w:marBottom w:val="0"/>
                  <w:divBdr>
                    <w:top w:val="single" w:sz="18" w:space="0" w:color="08237A"/>
                    <w:left w:val="none" w:sz="0" w:space="0" w:color="auto"/>
                    <w:bottom w:val="none" w:sz="0" w:space="0" w:color="auto"/>
                    <w:right w:val="none" w:sz="0" w:space="0" w:color="auto"/>
                  </w:divBdr>
                  <w:divsChild>
                    <w:div w:id="655888196">
                      <w:marLeft w:val="0"/>
                      <w:marRight w:val="0"/>
                      <w:marTop w:val="0"/>
                      <w:marBottom w:val="0"/>
                      <w:divBdr>
                        <w:top w:val="single" w:sz="2" w:space="8" w:color="BBBBBB"/>
                        <w:left w:val="single" w:sz="6" w:space="0" w:color="BBBBBB"/>
                        <w:bottom w:val="single" w:sz="6" w:space="0" w:color="BBBBBB"/>
                        <w:right w:val="single" w:sz="6" w:space="0" w:color="BBBBBB"/>
                      </w:divBdr>
                      <w:divsChild>
                        <w:div w:id="655888188">
                          <w:marLeft w:val="0"/>
                          <w:marRight w:val="0"/>
                          <w:marTop w:val="0"/>
                          <w:marBottom w:val="0"/>
                          <w:divBdr>
                            <w:top w:val="none" w:sz="0" w:space="0" w:color="auto"/>
                            <w:left w:val="none" w:sz="0" w:space="0" w:color="auto"/>
                            <w:bottom w:val="none" w:sz="0" w:space="0" w:color="auto"/>
                            <w:right w:val="none" w:sz="0" w:space="0" w:color="auto"/>
                          </w:divBdr>
                          <w:divsChild>
                            <w:div w:id="65588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5888220">
      <w:marLeft w:val="0"/>
      <w:marRight w:val="0"/>
      <w:marTop w:val="0"/>
      <w:marBottom w:val="0"/>
      <w:divBdr>
        <w:top w:val="none" w:sz="0" w:space="0" w:color="auto"/>
        <w:left w:val="none" w:sz="0" w:space="0" w:color="auto"/>
        <w:bottom w:val="none" w:sz="0" w:space="0" w:color="auto"/>
        <w:right w:val="none" w:sz="0" w:space="0" w:color="auto"/>
      </w:divBdr>
      <w:divsChild>
        <w:div w:id="655888128">
          <w:marLeft w:val="0"/>
          <w:marRight w:val="0"/>
          <w:marTop w:val="0"/>
          <w:marBottom w:val="0"/>
          <w:divBdr>
            <w:top w:val="none" w:sz="0" w:space="0" w:color="auto"/>
            <w:left w:val="none" w:sz="0" w:space="0" w:color="auto"/>
            <w:bottom w:val="none" w:sz="0" w:space="0" w:color="auto"/>
            <w:right w:val="none" w:sz="0" w:space="0" w:color="auto"/>
          </w:divBdr>
          <w:divsChild>
            <w:div w:id="655888177">
              <w:marLeft w:val="0"/>
              <w:marRight w:val="0"/>
              <w:marTop w:val="0"/>
              <w:marBottom w:val="0"/>
              <w:divBdr>
                <w:top w:val="none" w:sz="0" w:space="0" w:color="auto"/>
                <w:left w:val="none" w:sz="0" w:space="0" w:color="auto"/>
                <w:bottom w:val="none" w:sz="0" w:space="0" w:color="auto"/>
                <w:right w:val="none" w:sz="0" w:space="0" w:color="auto"/>
              </w:divBdr>
              <w:divsChild>
                <w:div w:id="655888184">
                  <w:marLeft w:val="0"/>
                  <w:marRight w:val="0"/>
                  <w:marTop w:val="0"/>
                  <w:marBottom w:val="0"/>
                  <w:divBdr>
                    <w:top w:val="single" w:sz="18" w:space="0" w:color="08237A"/>
                    <w:left w:val="none" w:sz="0" w:space="0" w:color="auto"/>
                    <w:bottom w:val="none" w:sz="0" w:space="0" w:color="auto"/>
                    <w:right w:val="none" w:sz="0" w:space="0" w:color="auto"/>
                  </w:divBdr>
                  <w:divsChild>
                    <w:div w:id="655888222">
                      <w:marLeft w:val="0"/>
                      <w:marRight w:val="0"/>
                      <w:marTop w:val="0"/>
                      <w:marBottom w:val="0"/>
                      <w:divBdr>
                        <w:top w:val="single" w:sz="2" w:space="8" w:color="BBBBBB"/>
                        <w:left w:val="single" w:sz="6" w:space="0" w:color="BBBBBB"/>
                        <w:bottom w:val="single" w:sz="6" w:space="0" w:color="BBBBBB"/>
                        <w:right w:val="single" w:sz="6" w:space="0" w:color="BBBBBB"/>
                      </w:divBdr>
                      <w:divsChild>
                        <w:div w:id="655888275">
                          <w:marLeft w:val="0"/>
                          <w:marRight w:val="0"/>
                          <w:marTop w:val="0"/>
                          <w:marBottom w:val="0"/>
                          <w:divBdr>
                            <w:top w:val="none" w:sz="0" w:space="0" w:color="auto"/>
                            <w:left w:val="none" w:sz="0" w:space="0" w:color="auto"/>
                            <w:bottom w:val="none" w:sz="0" w:space="0" w:color="auto"/>
                            <w:right w:val="none" w:sz="0" w:space="0" w:color="auto"/>
                          </w:divBdr>
                          <w:divsChild>
                            <w:div w:id="655888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5888225">
      <w:marLeft w:val="0"/>
      <w:marRight w:val="0"/>
      <w:marTop w:val="0"/>
      <w:marBottom w:val="0"/>
      <w:divBdr>
        <w:top w:val="none" w:sz="0" w:space="0" w:color="auto"/>
        <w:left w:val="none" w:sz="0" w:space="0" w:color="auto"/>
        <w:bottom w:val="none" w:sz="0" w:space="0" w:color="auto"/>
        <w:right w:val="none" w:sz="0" w:space="0" w:color="auto"/>
      </w:divBdr>
      <w:divsChild>
        <w:div w:id="655888193">
          <w:marLeft w:val="0"/>
          <w:marRight w:val="0"/>
          <w:marTop w:val="0"/>
          <w:marBottom w:val="0"/>
          <w:divBdr>
            <w:top w:val="none" w:sz="0" w:space="0" w:color="auto"/>
            <w:left w:val="none" w:sz="0" w:space="0" w:color="auto"/>
            <w:bottom w:val="none" w:sz="0" w:space="0" w:color="auto"/>
            <w:right w:val="none" w:sz="0" w:space="0" w:color="auto"/>
          </w:divBdr>
          <w:divsChild>
            <w:div w:id="655888161">
              <w:marLeft w:val="0"/>
              <w:marRight w:val="0"/>
              <w:marTop w:val="0"/>
              <w:marBottom w:val="0"/>
              <w:divBdr>
                <w:top w:val="none" w:sz="0" w:space="0" w:color="auto"/>
                <w:left w:val="none" w:sz="0" w:space="0" w:color="auto"/>
                <w:bottom w:val="none" w:sz="0" w:space="0" w:color="auto"/>
                <w:right w:val="none" w:sz="0" w:space="0" w:color="auto"/>
              </w:divBdr>
              <w:divsChild>
                <w:div w:id="655888141">
                  <w:marLeft w:val="0"/>
                  <w:marRight w:val="0"/>
                  <w:marTop w:val="0"/>
                  <w:marBottom w:val="0"/>
                  <w:divBdr>
                    <w:top w:val="none" w:sz="0" w:space="0" w:color="auto"/>
                    <w:left w:val="none" w:sz="0" w:space="0" w:color="auto"/>
                    <w:bottom w:val="none" w:sz="0" w:space="0" w:color="auto"/>
                    <w:right w:val="none" w:sz="0" w:space="0" w:color="auto"/>
                  </w:divBdr>
                  <w:divsChild>
                    <w:div w:id="655888218">
                      <w:marLeft w:val="0"/>
                      <w:marRight w:val="0"/>
                      <w:marTop w:val="0"/>
                      <w:marBottom w:val="0"/>
                      <w:divBdr>
                        <w:top w:val="none" w:sz="0" w:space="0" w:color="auto"/>
                        <w:left w:val="none" w:sz="0" w:space="0" w:color="auto"/>
                        <w:bottom w:val="none" w:sz="0" w:space="0" w:color="auto"/>
                        <w:right w:val="none" w:sz="0" w:space="0" w:color="auto"/>
                      </w:divBdr>
                      <w:divsChild>
                        <w:div w:id="655888182">
                          <w:marLeft w:val="0"/>
                          <w:marRight w:val="0"/>
                          <w:marTop w:val="0"/>
                          <w:marBottom w:val="0"/>
                          <w:divBdr>
                            <w:top w:val="none" w:sz="0" w:space="0" w:color="auto"/>
                            <w:left w:val="none" w:sz="0" w:space="0" w:color="auto"/>
                            <w:bottom w:val="none" w:sz="0" w:space="0" w:color="auto"/>
                            <w:right w:val="none" w:sz="0" w:space="0" w:color="auto"/>
                          </w:divBdr>
                          <w:divsChild>
                            <w:div w:id="655888118">
                              <w:marLeft w:val="0"/>
                              <w:marRight w:val="0"/>
                              <w:marTop w:val="0"/>
                              <w:marBottom w:val="0"/>
                              <w:divBdr>
                                <w:top w:val="none" w:sz="0" w:space="0" w:color="auto"/>
                                <w:left w:val="none" w:sz="0" w:space="0" w:color="auto"/>
                                <w:bottom w:val="none" w:sz="0" w:space="0" w:color="auto"/>
                                <w:right w:val="none" w:sz="0" w:space="0" w:color="auto"/>
                              </w:divBdr>
                              <w:divsChild>
                                <w:div w:id="65588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5888231">
      <w:marLeft w:val="0"/>
      <w:marRight w:val="0"/>
      <w:marTop w:val="0"/>
      <w:marBottom w:val="0"/>
      <w:divBdr>
        <w:top w:val="none" w:sz="0" w:space="0" w:color="auto"/>
        <w:left w:val="none" w:sz="0" w:space="0" w:color="auto"/>
        <w:bottom w:val="none" w:sz="0" w:space="0" w:color="auto"/>
        <w:right w:val="none" w:sz="0" w:space="0" w:color="auto"/>
      </w:divBdr>
      <w:divsChild>
        <w:div w:id="655888178">
          <w:marLeft w:val="0"/>
          <w:marRight w:val="0"/>
          <w:marTop w:val="0"/>
          <w:marBottom w:val="0"/>
          <w:divBdr>
            <w:top w:val="none" w:sz="0" w:space="0" w:color="auto"/>
            <w:left w:val="none" w:sz="0" w:space="0" w:color="auto"/>
            <w:bottom w:val="none" w:sz="0" w:space="0" w:color="auto"/>
            <w:right w:val="none" w:sz="0" w:space="0" w:color="auto"/>
          </w:divBdr>
        </w:div>
      </w:divsChild>
    </w:div>
    <w:div w:id="655888235">
      <w:marLeft w:val="0"/>
      <w:marRight w:val="0"/>
      <w:marTop w:val="0"/>
      <w:marBottom w:val="0"/>
      <w:divBdr>
        <w:top w:val="none" w:sz="0" w:space="0" w:color="auto"/>
        <w:left w:val="none" w:sz="0" w:space="0" w:color="auto"/>
        <w:bottom w:val="none" w:sz="0" w:space="0" w:color="auto"/>
        <w:right w:val="none" w:sz="0" w:space="0" w:color="auto"/>
      </w:divBdr>
      <w:divsChild>
        <w:div w:id="655888215">
          <w:marLeft w:val="0"/>
          <w:marRight w:val="0"/>
          <w:marTop w:val="0"/>
          <w:marBottom w:val="0"/>
          <w:divBdr>
            <w:top w:val="none" w:sz="0" w:space="0" w:color="auto"/>
            <w:left w:val="none" w:sz="0" w:space="0" w:color="auto"/>
            <w:bottom w:val="none" w:sz="0" w:space="0" w:color="auto"/>
            <w:right w:val="none" w:sz="0" w:space="0" w:color="auto"/>
          </w:divBdr>
          <w:divsChild>
            <w:div w:id="655888278">
              <w:marLeft w:val="0"/>
              <w:marRight w:val="0"/>
              <w:marTop w:val="0"/>
              <w:marBottom w:val="0"/>
              <w:divBdr>
                <w:top w:val="none" w:sz="0" w:space="0" w:color="auto"/>
                <w:left w:val="none" w:sz="0" w:space="0" w:color="auto"/>
                <w:bottom w:val="none" w:sz="0" w:space="0" w:color="auto"/>
                <w:right w:val="none" w:sz="0" w:space="0" w:color="auto"/>
              </w:divBdr>
              <w:divsChild>
                <w:div w:id="655888287">
                  <w:marLeft w:val="0"/>
                  <w:marRight w:val="0"/>
                  <w:marTop w:val="0"/>
                  <w:marBottom w:val="0"/>
                  <w:divBdr>
                    <w:top w:val="none" w:sz="0" w:space="0" w:color="auto"/>
                    <w:left w:val="none" w:sz="0" w:space="0" w:color="auto"/>
                    <w:bottom w:val="none" w:sz="0" w:space="0" w:color="auto"/>
                    <w:right w:val="none" w:sz="0" w:space="0" w:color="auto"/>
                  </w:divBdr>
                  <w:divsChild>
                    <w:div w:id="655888253">
                      <w:marLeft w:val="0"/>
                      <w:marRight w:val="0"/>
                      <w:marTop w:val="0"/>
                      <w:marBottom w:val="0"/>
                      <w:divBdr>
                        <w:top w:val="none" w:sz="0" w:space="0" w:color="auto"/>
                        <w:left w:val="none" w:sz="0" w:space="0" w:color="auto"/>
                        <w:bottom w:val="none" w:sz="0" w:space="0" w:color="auto"/>
                        <w:right w:val="none" w:sz="0" w:space="0" w:color="auto"/>
                      </w:divBdr>
                      <w:divsChild>
                        <w:div w:id="65588819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5888238">
      <w:marLeft w:val="0"/>
      <w:marRight w:val="0"/>
      <w:marTop w:val="0"/>
      <w:marBottom w:val="0"/>
      <w:divBdr>
        <w:top w:val="none" w:sz="0" w:space="0" w:color="auto"/>
        <w:left w:val="none" w:sz="0" w:space="0" w:color="auto"/>
        <w:bottom w:val="none" w:sz="0" w:space="0" w:color="auto"/>
        <w:right w:val="none" w:sz="0" w:space="0" w:color="auto"/>
      </w:divBdr>
      <w:divsChild>
        <w:div w:id="655888259">
          <w:marLeft w:val="0"/>
          <w:marRight w:val="0"/>
          <w:marTop w:val="0"/>
          <w:marBottom w:val="0"/>
          <w:divBdr>
            <w:top w:val="none" w:sz="0" w:space="0" w:color="auto"/>
            <w:left w:val="none" w:sz="0" w:space="0" w:color="auto"/>
            <w:bottom w:val="none" w:sz="0" w:space="0" w:color="auto"/>
            <w:right w:val="none" w:sz="0" w:space="0" w:color="auto"/>
          </w:divBdr>
        </w:div>
      </w:divsChild>
    </w:div>
    <w:div w:id="655888240">
      <w:marLeft w:val="0"/>
      <w:marRight w:val="0"/>
      <w:marTop w:val="0"/>
      <w:marBottom w:val="0"/>
      <w:divBdr>
        <w:top w:val="none" w:sz="0" w:space="0" w:color="auto"/>
        <w:left w:val="none" w:sz="0" w:space="0" w:color="auto"/>
        <w:bottom w:val="none" w:sz="0" w:space="0" w:color="auto"/>
        <w:right w:val="none" w:sz="0" w:space="0" w:color="auto"/>
      </w:divBdr>
      <w:divsChild>
        <w:div w:id="655888228">
          <w:marLeft w:val="0"/>
          <w:marRight w:val="0"/>
          <w:marTop w:val="63"/>
          <w:marBottom w:val="63"/>
          <w:divBdr>
            <w:top w:val="none" w:sz="0" w:space="0" w:color="auto"/>
            <w:left w:val="none" w:sz="0" w:space="0" w:color="auto"/>
            <w:bottom w:val="none" w:sz="0" w:space="0" w:color="auto"/>
            <w:right w:val="none" w:sz="0" w:space="0" w:color="auto"/>
          </w:divBdr>
          <w:divsChild>
            <w:div w:id="655888202">
              <w:marLeft w:val="0"/>
              <w:marRight w:val="0"/>
              <w:marTop w:val="0"/>
              <w:marBottom w:val="0"/>
              <w:divBdr>
                <w:top w:val="single" w:sz="4" w:space="0" w:color="BEBEBE"/>
                <w:left w:val="single" w:sz="4" w:space="0" w:color="BEBEBE"/>
                <w:bottom w:val="single" w:sz="4" w:space="0" w:color="BEBEBE"/>
                <w:right w:val="single" w:sz="4" w:space="0" w:color="BEBEBE"/>
              </w:divBdr>
              <w:divsChild>
                <w:div w:id="655888292">
                  <w:marLeft w:val="0"/>
                  <w:marRight w:val="0"/>
                  <w:marTop w:val="0"/>
                  <w:marBottom w:val="0"/>
                  <w:divBdr>
                    <w:top w:val="none" w:sz="0" w:space="0" w:color="auto"/>
                    <w:left w:val="none" w:sz="0" w:space="0" w:color="auto"/>
                    <w:bottom w:val="none" w:sz="0" w:space="0" w:color="auto"/>
                    <w:right w:val="none" w:sz="0" w:space="0" w:color="auto"/>
                  </w:divBdr>
                  <w:divsChild>
                    <w:div w:id="655888204">
                      <w:marLeft w:val="0"/>
                      <w:marRight w:val="0"/>
                      <w:marTop w:val="0"/>
                      <w:marBottom w:val="0"/>
                      <w:divBdr>
                        <w:top w:val="none" w:sz="0" w:space="0" w:color="auto"/>
                        <w:left w:val="none" w:sz="0" w:space="0" w:color="auto"/>
                        <w:bottom w:val="none" w:sz="0" w:space="0" w:color="auto"/>
                        <w:right w:val="none" w:sz="0" w:space="0" w:color="auto"/>
                      </w:divBdr>
                      <w:divsChild>
                        <w:div w:id="65588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5888247">
      <w:marLeft w:val="0"/>
      <w:marRight w:val="0"/>
      <w:marTop w:val="0"/>
      <w:marBottom w:val="0"/>
      <w:divBdr>
        <w:top w:val="none" w:sz="0" w:space="0" w:color="auto"/>
        <w:left w:val="none" w:sz="0" w:space="0" w:color="auto"/>
        <w:bottom w:val="none" w:sz="0" w:space="0" w:color="auto"/>
        <w:right w:val="none" w:sz="0" w:space="0" w:color="auto"/>
      </w:divBdr>
      <w:divsChild>
        <w:div w:id="655888144">
          <w:marLeft w:val="0"/>
          <w:marRight w:val="0"/>
          <w:marTop w:val="0"/>
          <w:marBottom w:val="0"/>
          <w:divBdr>
            <w:top w:val="none" w:sz="0" w:space="0" w:color="auto"/>
            <w:left w:val="none" w:sz="0" w:space="0" w:color="auto"/>
            <w:bottom w:val="none" w:sz="0" w:space="0" w:color="auto"/>
            <w:right w:val="none" w:sz="0" w:space="0" w:color="auto"/>
          </w:divBdr>
          <w:divsChild>
            <w:div w:id="655888208">
              <w:marLeft w:val="0"/>
              <w:marRight w:val="0"/>
              <w:marTop w:val="0"/>
              <w:marBottom w:val="0"/>
              <w:divBdr>
                <w:top w:val="none" w:sz="0" w:space="0" w:color="auto"/>
                <w:left w:val="none" w:sz="0" w:space="0" w:color="auto"/>
                <w:bottom w:val="none" w:sz="0" w:space="0" w:color="auto"/>
                <w:right w:val="none" w:sz="0" w:space="0" w:color="auto"/>
              </w:divBdr>
              <w:divsChild>
                <w:div w:id="655888242">
                  <w:marLeft w:val="0"/>
                  <w:marRight w:val="0"/>
                  <w:marTop w:val="0"/>
                  <w:marBottom w:val="0"/>
                  <w:divBdr>
                    <w:top w:val="single" w:sz="18" w:space="0" w:color="08237A"/>
                    <w:left w:val="none" w:sz="0" w:space="0" w:color="auto"/>
                    <w:bottom w:val="none" w:sz="0" w:space="0" w:color="auto"/>
                    <w:right w:val="none" w:sz="0" w:space="0" w:color="auto"/>
                  </w:divBdr>
                  <w:divsChild>
                    <w:div w:id="655888216">
                      <w:marLeft w:val="0"/>
                      <w:marRight w:val="0"/>
                      <w:marTop w:val="0"/>
                      <w:marBottom w:val="0"/>
                      <w:divBdr>
                        <w:top w:val="single" w:sz="2" w:space="8" w:color="BBBBBB"/>
                        <w:left w:val="single" w:sz="6" w:space="0" w:color="BBBBBB"/>
                        <w:bottom w:val="single" w:sz="6" w:space="0" w:color="BBBBBB"/>
                        <w:right w:val="single" w:sz="6" w:space="0" w:color="BBBBBB"/>
                      </w:divBdr>
                      <w:divsChild>
                        <w:div w:id="655888298">
                          <w:marLeft w:val="0"/>
                          <w:marRight w:val="0"/>
                          <w:marTop w:val="0"/>
                          <w:marBottom w:val="0"/>
                          <w:divBdr>
                            <w:top w:val="none" w:sz="0" w:space="0" w:color="auto"/>
                            <w:left w:val="none" w:sz="0" w:space="0" w:color="auto"/>
                            <w:bottom w:val="none" w:sz="0" w:space="0" w:color="auto"/>
                            <w:right w:val="none" w:sz="0" w:space="0" w:color="auto"/>
                          </w:divBdr>
                          <w:divsChild>
                            <w:div w:id="655888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5888250">
      <w:marLeft w:val="0"/>
      <w:marRight w:val="0"/>
      <w:marTop w:val="0"/>
      <w:marBottom w:val="0"/>
      <w:divBdr>
        <w:top w:val="none" w:sz="0" w:space="0" w:color="auto"/>
        <w:left w:val="none" w:sz="0" w:space="0" w:color="auto"/>
        <w:bottom w:val="none" w:sz="0" w:space="0" w:color="auto"/>
        <w:right w:val="none" w:sz="0" w:space="0" w:color="auto"/>
      </w:divBdr>
      <w:divsChild>
        <w:div w:id="655888234">
          <w:marLeft w:val="0"/>
          <w:marRight w:val="0"/>
          <w:marTop w:val="0"/>
          <w:marBottom w:val="0"/>
          <w:divBdr>
            <w:top w:val="none" w:sz="0" w:space="0" w:color="auto"/>
            <w:left w:val="none" w:sz="0" w:space="0" w:color="auto"/>
            <w:bottom w:val="none" w:sz="0" w:space="0" w:color="auto"/>
            <w:right w:val="none" w:sz="0" w:space="0" w:color="auto"/>
          </w:divBdr>
        </w:div>
      </w:divsChild>
    </w:div>
    <w:div w:id="655888257">
      <w:marLeft w:val="0"/>
      <w:marRight w:val="0"/>
      <w:marTop w:val="0"/>
      <w:marBottom w:val="0"/>
      <w:divBdr>
        <w:top w:val="none" w:sz="0" w:space="0" w:color="auto"/>
        <w:left w:val="none" w:sz="0" w:space="0" w:color="auto"/>
        <w:bottom w:val="none" w:sz="0" w:space="0" w:color="auto"/>
        <w:right w:val="none" w:sz="0" w:space="0" w:color="auto"/>
      </w:divBdr>
      <w:divsChild>
        <w:div w:id="655888155">
          <w:marLeft w:val="0"/>
          <w:marRight w:val="0"/>
          <w:marTop w:val="0"/>
          <w:marBottom w:val="0"/>
          <w:divBdr>
            <w:top w:val="none" w:sz="0" w:space="0" w:color="auto"/>
            <w:left w:val="none" w:sz="0" w:space="0" w:color="auto"/>
            <w:bottom w:val="none" w:sz="0" w:space="0" w:color="auto"/>
            <w:right w:val="none" w:sz="0" w:space="0" w:color="auto"/>
          </w:divBdr>
          <w:divsChild>
            <w:div w:id="655888172">
              <w:marLeft w:val="0"/>
              <w:marRight w:val="0"/>
              <w:marTop w:val="0"/>
              <w:marBottom w:val="0"/>
              <w:divBdr>
                <w:top w:val="none" w:sz="0" w:space="0" w:color="auto"/>
                <w:left w:val="none" w:sz="0" w:space="0" w:color="auto"/>
                <w:bottom w:val="none" w:sz="0" w:space="0" w:color="auto"/>
                <w:right w:val="none" w:sz="0" w:space="0" w:color="auto"/>
              </w:divBdr>
              <w:divsChild>
                <w:div w:id="655888115">
                  <w:marLeft w:val="0"/>
                  <w:marRight w:val="0"/>
                  <w:marTop w:val="0"/>
                  <w:marBottom w:val="0"/>
                  <w:divBdr>
                    <w:top w:val="single" w:sz="12" w:space="0" w:color="08237A"/>
                    <w:left w:val="none" w:sz="0" w:space="0" w:color="auto"/>
                    <w:bottom w:val="none" w:sz="0" w:space="0" w:color="auto"/>
                    <w:right w:val="none" w:sz="0" w:space="0" w:color="auto"/>
                  </w:divBdr>
                  <w:divsChild>
                    <w:div w:id="655888274">
                      <w:marLeft w:val="0"/>
                      <w:marRight w:val="0"/>
                      <w:marTop w:val="0"/>
                      <w:marBottom w:val="0"/>
                      <w:divBdr>
                        <w:top w:val="single" w:sz="2" w:space="7" w:color="BBBBBB"/>
                        <w:left w:val="single" w:sz="4" w:space="0" w:color="BBBBBB"/>
                        <w:bottom w:val="single" w:sz="4" w:space="0" w:color="BBBBBB"/>
                        <w:right w:val="single" w:sz="4" w:space="0" w:color="BBBBBB"/>
                      </w:divBdr>
                      <w:divsChild>
                        <w:div w:id="655888171">
                          <w:marLeft w:val="0"/>
                          <w:marRight w:val="0"/>
                          <w:marTop w:val="0"/>
                          <w:marBottom w:val="0"/>
                          <w:divBdr>
                            <w:top w:val="none" w:sz="0" w:space="0" w:color="auto"/>
                            <w:left w:val="none" w:sz="0" w:space="0" w:color="auto"/>
                            <w:bottom w:val="none" w:sz="0" w:space="0" w:color="auto"/>
                            <w:right w:val="none" w:sz="0" w:space="0" w:color="auto"/>
                          </w:divBdr>
                          <w:divsChild>
                            <w:div w:id="655888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5888258">
      <w:marLeft w:val="0"/>
      <w:marRight w:val="0"/>
      <w:marTop w:val="0"/>
      <w:marBottom w:val="0"/>
      <w:divBdr>
        <w:top w:val="none" w:sz="0" w:space="0" w:color="auto"/>
        <w:left w:val="none" w:sz="0" w:space="0" w:color="auto"/>
        <w:bottom w:val="none" w:sz="0" w:space="0" w:color="auto"/>
        <w:right w:val="none" w:sz="0" w:space="0" w:color="auto"/>
      </w:divBdr>
      <w:divsChild>
        <w:div w:id="655888170">
          <w:marLeft w:val="0"/>
          <w:marRight w:val="0"/>
          <w:marTop w:val="0"/>
          <w:marBottom w:val="0"/>
          <w:divBdr>
            <w:top w:val="none" w:sz="0" w:space="0" w:color="auto"/>
            <w:left w:val="none" w:sz="0" w:space="0" w:color="auto"/>
            <w:bottom w:val="none" w:sz="0" w:space="0" w:color="auto"/>
            <w:right w:val="none" w:sz="0" w:space="0" w:color="auto"/>
          </w:divBdr>
          <w:divsChild>
            <w:div w:id="655888137">
              <w:marLeft w:val="0"/>
              <w:marRight w:val="0"/>
              <w:marTop w:val="0"/>
              <w:marBottom w:val="0"/>
              <w:divBdr>
                <w:top w:val="none" w:sz="0" w:space="0" w:color="auto"/>
                <w:left w:val="none" w:sz="0" w:space="0" w:color="auto"/>
                <w:bottom w:val="none" w:sz="0" w:space="0" w:color="auto"/>
                <w:right w:val="none" w:sz="0" w:space="0" w:color="auto"/>
              </w:divBdr>
              <w:divsChild>
                <w:div w:id="655888206">
                  <w:marLeft w:val="0"/>
                  <w:marRight w:val="0"/>
                  <w:marTop w:val="0"/>
                  <w:marBottom w:val="0"/>
                  <w:divBdr>
                    <w:top w:val="none" w:sz="0" w:space="0" w:color="auto"/>
                    <w:left w:val="none" w:sz="0" w:space="0" w:color="auto"/>
                    <w:bottom w:val="none" w:sz="0" w:space="0" w:color="auto"/>
                    <w:right w:val="none" w:sz="0" w:space="0" w:color="auto"/>
                  </w:divBdr>
                  <w:divsChild>
                    <w:div w:id="655888212">
                      <w:marLeft w:val="0"/>
                      <w:marRight w:val="0"/>
                      <w:marTop w:val="0"/>
                      <w:marBottom w:val="0"/>
                      <w:divBdr>
                        <w:top w:val="single" w:sz="6" w:space="15" w:color="C0D8F2"/>
                        <w:left w:val="single" w:sz="6" w:space="18" w:color="C0D8F2"/>
                        <w:bottom w:val="single" w:sz="6" w:space="11" w:color="C0D8F2"/>
                        <w:right w:val="single" w:sz="6" w:space="18" w:color="C0D8F2"/>
                      </w:divBdr>
                      <w:divsChild>
                        <w:div w:id="655888288">
                          <w:marLeft w:val="0"/>
                          <w:marRight w:val="0"/>
                          <w:marTop w:val="0"/>
                          <w:marBottom w:val="0"/>
                          <w:divBdr>
                            <w:top w:val="none" w:sz="0" w:space="0" w:color="auto"/>
                            <w:left w:val="none" w:sz="0" w:space="0" w:color="auto"/>
                            <w:bottom w:val="none" w:sz="0" w:space="0" w:color="auto"/>
                            <w:right w:val="none" w:sz="0" w:space="0" w:color="auto"/>
                          </w:divBdr>
                          <w:divsChild>
                            <w:div w:id="655888299">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5888261">
      <w:marLeft w:val="0"/>
      <w:marRight w:val="0"/>
      <w:marTop w:val="0"/>
      <w:marBottom w:val="0"/>
      <w:divBdr>
        <w:top w:val="none" w:sz="0" w:space="0" w:color="auto"/>
        <w:left w:val="none" w:sz="0" w:space="0" w:color="auto"/>
        <w:bottom w:val="none" w:sz="0" w:space="0" w:color="auto"/>
        <w:right w:val="none" w:sz="0" w:space="0" w:color="auto"/>
      </w:divBdr>
      <w:divsChild>
        <w:div w:id="655888269">
          <w:marLeft w:val="0"/>
          <w:marRight w:val="0"/>
          <w:marTop w:val="75"/>
          <w:marBottom w:val="75"/>
          <w:divBdr>
            <w:top w:val="none" w:sz="0" w:space="0" w:color="auto"/>
            <w:left w:val="none" w:sz="0" w:space="0" w:color="auto"/>
            <w:bottom w:val="none" w:sz="0" w:space="0" w:color="auto"/>
            <w:right w:val="none" w:sz="0" w:space="0" w:color="auto"/>
          </w:divBdr>
          <w:divsChild>
            <w:div w:id="655888226">
              <w:marLeft w:val="0"/>
              <w:marRight w:val="0"/>
              <w:marTop w:val="0"/>
              <w:marBottom w:val="0"/>
              <w:divBdr>
                <w:top w:val="single" w:sz="6" w:space="0" w:color="BEBEBE"/>
                <w:left w:val="single" w:sz="6" w:space="0" w:color="BEBEBE"/>
                <w:bottom w:val="single" w:sz="6" w:space="0" w:color="BEBEBE"/>
                <w:right w:val="single" w:sz="6" w:space="0" w:color="BEBEBE"/>
              </w:divBdr>
              <w:divsChild>
                <w:div w:id="655888192">
                  <w:marLeft w:val="0"/>
                  <w:marRight w:val="0"/>
                  <w:marTop w:val="0"/>
                  <w:marBottom w:val="0"/>
                  <w:divBdr>
                    <w:top w:val="none" w:sz="0" w:space="0" w:color="auto"/>
                    <w:left w:val="none" w:sz="0" w:space="0" w:color="auto"/>
                    <w:bottom w:val="none" w:sz="0" w:space="0" w:color="auto"/>
                    <w:right w:val="none" w:sz="0" w:space="0" w:color="auto"/>
                  </w:divBdr>
                  <w:divsChild>
                    <w:div w:id="655888201">
                      <w:marLeft w:val="0"/>
                      <w:marRight w:val="0"/>
                      <w:marTop w:val="0"/>
                      <w:marBottom w:val="0"/>
                      <w:divBdr>
                        <w:top w:val="none" w:sz="0" w:space="0" w:color="auto"/>
                        <w:left w:val="none" w:sz="0" w:space="0" w:color="auto"/>
                        <w:bottom w:val="none" w:sz="0" w:space="0" w:color="auto"/>
                        <w:right w:val="none" w:sz="0" w:space="0" w:color="auto"/>
                      </w:divBdr>
                      <w:divsChild>
                        <w:div w:id="655888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5888263">
      <w:marLeft w:val="0"/>
      <w:marRight w:val="0"/>
      <w:marTop w:val="0"/>
      <w:marBottom w:val="0"/>
      <w:divBdr>
        <w:top w:val="none" w:sz="0" w:space="0" w:color="auto"/>
        <w:left w:val="none" w:sz="0" w:space="0" w:color="auto"/>
        <w:bottom w:val="none" w:sz="0" w:space="0" w:color="auto"/>
        <w:right w:val="none" w:sz="0" w:space="0" w:color="auto"/>
      </w:divBdr>
      <w:divsChild>
        <w:div w:id="655888166">
          <w:marLeft w:val="0"/>
          <w:marRight w:val="0"/>
          <w:marTop w:val="0"/>
          <w:marBottom w:val="0"/>
          <w:divBdr>
            <w:top w:val="none" w:sz="0" w:space="0" w:color="auto"/>
            <w:left w:val="none" w:sz="0" w:space="0" w:color="auto"/>
            <w:bottom w:val="none" w:sz="0" w:space="0" w:color="auto"/>
            <w:right w:val="none" w:sz="0" w:space="0" w:color="auto"/>
          </w:divBdr>
        </w:div>
      </w:divsChild>
    </w:div>
    <w:div w:id="655888266">
      <w:marLeft w:val="0"/>
      <w:marRight w:val="0"/>
      <w:marTop w:val="0"/>
      <w:marBottom w:val="0"/>
      <w:divBdr>
        <w:top w:val="none" w:sz="0" w:space="0" w:color="auto"/>
        <w:left w:val="none" w:sz="0" w:space="0" w:color="auto"/>
        <w:bottom w:val="none" w:sz="0" w:space="0" w:color="auto"/>
        <w:right w:val="none" w:sz="0" w:space="0" w:color="auto"/>
      </w:divBdr>
      <w:divsChild>
        <w:div w:id="655888248">
          <w:marLeft w:val="0"/>
          <w:marRight w:val="0"/>
          <w:marTop w:val="0"/>
          <w:marBottom w:val="0"/>
          <w:divBdr>
            <w:top w:val="none" w:sz="0" w:space="0" w:color="auto"/>
            <w:left w:val="none" w:sz="0" w:space="0" w:color="auto"/>
            <w:bottom w:val="none" w:sz="0" w:space="0" w:color="auto"/>
            <w:right w:val="none" w:sz="0" w:space="0" w:color="auto"/>
          </w:divBdr>
          <w:divsChild>
            <w:div w:id="655888249">
              <w:marLeft w:val="0"/>
              <w:marRight w:val="0"/>
              <w:marTop w:val="300"/>
              <w:marBottom w:val="0"/>
              <w:divBdr>
                <w:top w:val="none" w:sz="0" w:space="0" w:color="auto"/>
                <w:left w:val="none" w:sz="0" w:space="0" w:color="auto"/>
                <w:bottom w:val="none" w:sz="0" w:space="0" w:color="auto"/>
                <w:right w:val="none" w:sz="0" w:space="0" w:color="auto"/>
              </w:divBdr>
              <w:divsChild>
                <w:div w:id="655888244">
                  <w:marLeft w:val="0"/>
                  <w:marRight w:val="0"/>
                  <w:marTop w:val="0"/>
                  <w:marBottom w:val="0"/>
                  <w:divBdr>
                    <w:top w:val="none" w:sz="0" w:space="0" w:color="auto"/>
                    <w:left w:val="none" w:sz="0" w:space="0" w:color="auto"/>
                    <w:bottom w:val="none" w:sz="0" w:space="0" w:color="auto"/>
                    <w:right w:val="none" w:sz="0" w:space="0" w:color="auto"/>
                  </w:divBdr>
                  <w:divsChild>
                    <w:div w:id="655888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5888268">
      <w:marLeft w:val="0"/>
      <w:marRight w:val="0"/>
      <w:marTop w:val="0"/>
      <w:marBottom w:val="0"/>
      <w:divBdr>
        <w:top w:val="none" w:sz="0" w:space="0" w:color="auto"/>
        <w:left w:val="none" w:sz="0" w:space="0" w:color="auto"/>
        <w:bottom w:val="none" w:sz="0" w:space="0" w:color="auto"/>
        <w:right w:val="none" w:sz="0" w:space="0" w:color="auto"/>
      </w:divBdr>
      <w:divsChild>
        <w:div w:id="655888294">
          <w:marLeft w:val="0"/>
          <w:marRight w:val="0"/>
          <w:marTop w:val="0"/>
          <w:marBottom w:val="0"/>
          <w:divBdr>
            <w:top w:val="none" w:sz="0" w:space="0" w:color="auto"/>
            <w:left w:val="none" w:sz="0" w:space="0" w:color="auto"/>
            <w:bottom w:val="none" w:sz="0" w:space="0" w:color="auto"/>
            <w:right w:val="none" w:sz="0" w:space="0" w:color="auto"/>
          </w:divBdr>
          <w:divsChild>
            <w:div w:id="655888176">
              <w:marLeft w:val="0"/>
              <w:marRight w:val="0"/>
              <w:marTop w:val="0"/>
              <w:marBottom w:val="0"/>
              <w:divBdr>
                <w:top w:val="none" w:sz="0" w:space="0" w:color="auto"/>
                <w:left w:val="none" w:sz="0" w:space="0" w:color="auto"/>
                <w:bottom w:val="none" w:sz="0" w:space="0" w:color="auto"/>
                <w:right w:val="none" w:sz="0" w:space="0" w:color="auto"/>
              </w:divBdr>
              <w:divsChild>
                <w:div w:id="655888157">
                  <w:marLeft w:val="0"/>
                  <w:marRight w:val="0"/>
                  <w:marTop w:val="0"/>
                  <w:marBottom w:val="0"/>
                  <w:divBdr>
                    <w:top w:val="single" w:sz="18" w:space="0" w:color="08237A"/>
                    <w:left w:val="none" w:sz="0" w:space="0" w:color="auto"/>
                    <w:bottom w:val="none" w:sz="0" w:space="0" w:color="auto"/>
                    <w:right w:val="none" w:sz="0" w:space="0" w:color="auto"/>
                  </w:divBdr>
                  <w:divsChild>
                    <w:div w:id="655888221">
                      <w:marLeft w:val="0"/>
                      <w:marRight w:val="0"/>
                      <w:marTop w:val="0"/>
                      <w:marBottom w:val="0"/>
                      <w:divBdr>
                        <w:top w:val="single" w:sz="2" w:space="8" w:color="BBBBBB"/>
                        <w:left w:val="single" w:sz="6" w:space="0" w:color="BBBBBB"/>
                        <w:bottom w:val="single" w:sz="6" w:space="0" w:color="BBBBBB"/>
                        <w:right w:val="single" w:sz="6" w:space="0" w:color="BBBBBB"/>
                      </w:divBdr>
                      <w:divsChild>
                        <w:div w:id="655888165">
                          <w:marLeft w:val="0"/>
                          <w:marRight w:val="0"/>
                          <w:marTop w:val="0"/>
                          <w:marBottom w:val="0"/>
                          <w:divBdr>
                            <w:top w:val="none" w:sz="0" w:space="0" w:color="auto"/>
                            <w:left w:val="none" w:sz="0" w:space="0" w:color="auto"/>
                            <w:bottom w:val="none" w:sz="0" w:space="0" w:color="auto"/>
                            <w:right w:val="none" w:sz="0" w:space="0" w:color="auto"/>
                          </w:divBdr>
                          <w:divsChild>
                            <w:div w:id="65588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5888279">
      <w:marLeft w:val="0"/>
      <w:marRight w:val="0"/>
      <w:marTop w:val="0"/>
      <w:marBottom w:val="0"/>
      <w:divBdr>
        <w:top w:val="none" w:sz="0" w:space="0" w:color="auto"/>
        <w:left w:val="none" w:sz="0" w:space="0" w:color="auto"/>
        <w:bottom w:val="none" w:sz="0" w:space="0" w:color="auto"/>
        <w:right w:val="none" w:sz="0" w:space="0" w:color="auto"/>
      </w:divBdr>
      <w:divsChild>
        <w:div w:id="655888233">
          <w:marLeft w:val="0"/>
          <w:marRight w:val="0"/>
          <w:marTop w:val="0"/>
          <w:marBottom w:val="0"/>
          <w:divBdr>
            <w:top w:val="none" w:sz="0" w:space="0" w:color="auto"/>
            <w:left w:val="none" w:sz="0" w:space="0" w:color="auto"/>
            <w:bottom w:val="none" w:sz="0" w:space="0" w:color="auto"/>
            <w:right w:val="none" w:sz="0" w:space="0" w:color="auto"/>
          </w:divBdr>
        </w:div>
      </w:divsChild>
    </w:div>
    <w:div w:id="655888282">
      <w:marLeft w:val="0"/>
      <w:marRight w:val="0"/>
      <w:marTop w:val="0"/>
      <w:marBottom w:val="0"/>
      <w:divBdr>
        <w:top w:val="none" w:sz="0" w:space="0" w:color="auto"/>
        <w:left w:val="none" w:sz="0" w:space="0" w:color="auto"/>
        <w:bottom w:val="none" w:sz="0" w:space="0" w:color="auto"/>
        <w:right w:val="none" w:sz="0" w:space="0" w:color="auto"/>
      </w:divBdr>
      <w:divsChild>
        <w:div w:id="655888167">
          <w:marLeft w:val="0"/>
          <w:marRight w:val="0"/>
          <w:marTop w:val="75"/>
          <w:marBottom w:val="75"/>
          <w:divBdr>
            <w:top w:val="none" w:sz="0" w:space="0" w:color="auto"/>
            <w:left w:val="none" w:sz="0" w:space="0" w:color="auto"/>
            <w:bottom w:val="none" w:sz="0" w:space="0" w:color="auto"/>
            <w:right w:val="none" w:sz="0" w:space="0" w:color="auto"/>
          </w:divBdr>
          <w:divsChild>
            <w:div w:id="655888150">
              <w:marLeft w:val="0"/>
              <w:marRight w:val="0"/>
              <w:marTop w:val="0"/>
              <w:marBottom w:val="0"/>
              <w:divBdr>
                <w:top w:val="single" w:sz="6" w:space="0" w:color="BEBEBE"/>
                <w:left w:val="single" w:sz="6" w:space="0" w:color="BEBEBE"/>
                <w:bottom w:val="single" w:sz="6" w:space="0" w:color="BEBEBE"/>
                <w:right w:val="single" w:sz="6" w:space="0" w:color="BEBEBE"/>
              </w:divBdr>
              <w:divsChild>
                <w:div w:id="655888149">
                  <w:marLeft w:val="0"/>
                  <w:marRight w:val="0"/>
                  <w:marTop w:val="0"/>
                  <w:marBottom w:val="0"/>
                  <w:divBdr>
                    <w:top w:val="none" w:sz="0" w:space="0" w:color="auto"/>
                    <w:left w:val="none" w:sz="0" w:space="0" w:color="auto"/>
                    <w:bottom w:val="none" w:sz="0" w:space="0" w:color="auto"/>
                    <w:right w:val="none" w:sz="0" w:space="0" w:color="auto"/>
                  </w:divBdr>
                  <w:divsChild>
                    <w:div w:id="655888112">
                      <w:marLeft w:val="0"/>
                      <w:marRight w:val="0"/>
                      <w:marTop w:val="0"/>
                      <w:marBottom w:val="0"/>
                      <w:divBdr>
                        <w:top w:val="none" w:sz="0" w:space="0" w:color="auto"/>
                        <w:left w:val="none" w:sz="0" w:space="0" w:color="auto"/>
                        <w:bottom w:val="none" w:sz="0" w:space="0" w:color="auto"/>
                        <w:right w:val="none" w:sz="0" w:space="0" w:color="auto"/>
                      </w:divBdr>
                      <w:divsChild>
                        <w:div w:id="65588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5888285">
      <w:marLeft w:val="0"/>
      <w:marRight w:val="0"/>
      <w:marTop w:val="0"/>
      <w:marBottom w:val="0"/>
      <w:divBdr>
        <w:top w:val="none" w:sz="0" w:space="0" w:color="auto"/>
        <w:left w:val="none" w:sz="0" w:space="0" w:color="auto"/>
        <w:bottom w:val="none" w:sz="0" w:space="0" w:color="auto"/>
        <w:right w:val="none" w:sz="0" w:space="0" w:color="auto"/>
      </w:divBdr>
      <w:divsChild>
        <w:div w:id="655888277">
          <w:marLeft w:val="0"/>
          <w:marRight w:val="0"/>
          <w:marTop w:val="0"/>
          <w:marBottom w:val="0"/>
          <w:divBdr>
            <w:top w:val="none" w:sz="0" w:space="0" w:color="auto"/>
            <w:left w:val="none" w:sz="0" w:space="0" w:color="auto"/>
            <w:bottom w:val="none" w:sz="0" w:space="0" w:color="auto"/>
            <w:right w:val="none" w:sz="0" w:space="0" w:color="auto"/>
          </w:divBdr>
          <w:divsChild>
            <w:div w:id="655888264">
              <w:marLeft w:val="0"/>
              <w:marRight w:val="0"/>
              <w:marTop w:val="0"/>
              <w:marBottom w:val="0"/>
              <w:divBdr>
                <w:top w:val="none" w:sz="0" w:space="0" w:color="auto"/>
                <w:left w:val="none" w:sz="0" w:space="0" w:color="auto"/>
                <w:bottom w:val="none" w:sz="0" w:space="0" w:color="auto"/>
                <w:right w:val="none" w:sz="0" w:space="0" w:color="auto"/>
              </w:divBdr>
              <w:divsChild>
                <w:div w:id="655888175">
                  <w:marLeft w:val="0"/>
                  <w:marRight w:val="0"/>
                  <w:marTop w:val="0"/>
                  <w:marBottom w:val="0"/>
                  <w:divBdr>
                    <w:top w:val="none" w:sz="0" w:space="0" w:color="auto"/>
                    <w:left w:val="none" w:sz="0" w:space="0" w:color="auto"/>
                    <w:bottom w:val="none" w:sz="0" w:space="0" w:color="auto"/>
                    <w:right w:val="none" w:sz="0" w:space="0" w:color="auto"/>
                  </w:divBdr>
                  <w:divsChild>
                    <w:div w:id="655888291">
                      <w:marLeft w:val="0"/>
                      <w:marRight w:val="0"/>
                      <w:marTop w:val="0"/>
                      <w:marBottom w:val="0"/>
                      <w:divBdr>
                        <w:top w:val="none" w:sz="0" w:space="0" w:color="auto"/>
                        <w:left w:val="none" w:sz="0" w:space="0" w:color="auto"/>
                        <w:bottom w:val="none" w:sz="0" w:space="0" w:color="auto"/>
                        <w:right w:val="none" w:sz="0" w:space="0" w:color="auto"/>
                      </w:divBdr>
                      <w:divsChild>
                        <w:div w:id="655888190">
                          <w:marLeft w:val="0"/>
                          <w:marRight w:val="0"/>
                          <w:marTop w:val="0"/>
                          <w:marBottom w:val="0"/>
                          <w:divBdr>
                            <w:top w:val="none" w:sz="0" w:space="0" w:color="auto"/>
                            <w:left w:val="none" w:sz="0" w:space="0" w:color="auto"/>
                            <w:bottom w:val="none" w:sz="0" w:space="0" w:color="auto"/>
                            <w:right w:val="none" w:sz="0" w:space="0" w:color="auto"/>
                          </w:divBdr>
                          <w:divsChild>
                            <w:div w:id="655888232">
                              <w:marLeft w:val="0"/>
                              <w:marRight w:val="0"/>
                              <w:marTop w:val="0"/>
                              <w:marBottom w:val="0"/>
                              <w:divBdr>
                                <w:top w:val="none" w:sz="0" w:space="0" w:color="auto"/>
                                <w:left w:val="none" w:sz="0" w:space="0" w:color="auto"/>
                                <w:bottom w:val="none" w:sz="0" w:space="0" w:color="auto"/>
                                <w:right w:val="none" w:sz="0" w:space="0" w:color="auto"/>
                              </w:divBdr>
                              <w:divsChild>
                                <w:div w:id="65588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5888290">
      <w:marLeft w:val="0"/>
      <w:marRight w:val="0"/>
      <w:marTop w:val="0"/>
      <w:marBottom w:val="0"/>
      <w:divBdr>
        <w:top w:val="none" w:sz="0" w:space="0" w:color="auto"/>
        <w:left w:val="none" w:sz="0" w:space="0" w:color="auto"/>
        <w:bottom w:val="none" w:sz="0" w:space="0" w:color="auto"/>
        <w:right w:val="none" w:sz="0" w:space="0" w:color="auto"/>
      </w:divBdr>
      <w:divsChild>
        <w:div w:id="655888114">
          <w:marLeft w:val="0"/>
          <w:marRight w:val="0"/>
          <w:marTop w:val="0"/>
          <w:marBottom w:val="0"/>
          <w:divBdr>
            <w:top w:val="none" w:sz="0" w:space="0" w:color="auto"/>
            <w:left w:val="none" w:sz="0" w:space="0" w:color="auto"/>
            <w:bottom w:val="none" w:sz="0" w:space="0" w:color="auto"/>
            <w:right w:val="none" w:sz="0" w:space="0" w:color="auto"/>
          </w:divBdr>
          <w:divsChild>
            <w:div w:id="655888194">
              <w:marLeft w:val="0"/>
              <w:marRight w:val="0"/>
              <w:marTop w:val="0"/>
              <w:marBottom w:val="0"/>
              <w:divBdr>
                <w:top w:val="none" w:sz="0" w:space="0" w:color="auto"/>
                <w:left w:val="none" w:sz="0" w:space="0" w:color="auto"/>
                <w:bottom w:val="none" w:sz="0" w:space="0" w:color="auto"/>
                <w:right w:val="none" w:sz="0" w:space="0" w:color="auto"/>
              </w:divBdr>
              <w:divsChild>
                <w:div w:id="655888180">
                  <w:marLeft w:val="0"/>
                  <w:marRight w:val="0"/>
                  <w:marTop w:val="0"/>
                  <w:marBottom w:val="0"/>
                  <w:divBdr>
                    <w:top w:val="single" w:sz="18" w:space="0" w:color="08237A"/>
                    <w:left w:val="none" w:sz="0" w:space="0" w:color="auto"/>
                    <w:bottom w:val="none" w:sz="0" w:space="0" w:color="auto"/>
                    <w:right w:val="none" w:sz="0" w:space="0" w:color="auto"/>
                  </w:divBdr>
                  <w:divsChild>
                    <w:div w:id="655888122">
                      <w:marLeft w:val="0"/>
                      <w:marRight w:val="0"/>
                      <w:marTop w:val="0"/>
                      <w:marBottom w:val="0"/>
                      <w:divBdr>
                        <w:top w:val="single" w:sz="2" w:space="8" w:color="BBBBBB"/>
                        <w:left w:val="single" w:sz="6" w:space="0" w:color="BBBBBB"/>
                        <w:bottom w:val="single" w:sz="6" w:space="0" w:color="BBBBBB"/>
                        <w:right w:val="single" w:sz="6" w:space="0" w:color="BBBBBB"/>
                      </w:divBdr>
                      <w:divsChild>
                        <w:div w:id="655888158">
                          <w:marLeft w:val="0"/>
                          <w:marRight w:val="0"/>
                          <w:marTop w:val="0"/>
                          <w:marBottom w:val="0"/>
                          <w:divBdr>
                            <w:top w:val="none" w:sz="0" w:space="0" w:color="auto"/>
                            <w:left w:val="none" w:sz="0" w:space="0" w:color="auto"/>
                            <w:bottom w:val="none" w:sz="0" w:space="0" w:color="auto"/>
                            <w:right w:val="none" w:sz="0" w:space="0" w:color="auto"/>
                          </w:divBdr>
                          <w:divsChild>
                            <w:div w:id="65588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5888295">
      <w:marLeft w:val="0"/>
      <w:marRight w:val="0"/>
      <w:marTop w:val="0"/>
      <w:marBottom w:val="0"/>
      <w:divBdr>
        <w:top w:val="none" w:sz="0" w:space="0" w:color="auto"/>
        <w:left w:val="none" w:sz="0" w:space="0" w:color="auto"/>
        <w:bottom w:val="none" w:sz="0" w:space="0" w:color="auto"/>
        <w:right w:val="none" w:sz="0" w:space="0" w:color="auto"/>
      </w:divBdr>
      <w:divsChild>
        <w:div w:id="655888200">
          <w:marLeft w:val="0"/>
          <w:marRight w:val="0"/>
          <w:marTop w:val="0"/>
          <w:marBottom w:val="0"/>
          <w:divBdr>
            <w:top w:val="none" w:sz="0" w:space="0" w:color="auto"/>
            <w:left w:val="none" w:sz="0" w:space="0" w:color="auto"/>
            <w:bottom w:val="none" w:sz="0" w:space="0" w:color="auto"/>
            <w:right w:val="none" w:sz="0" w:space="0" w:color="auto"/>
          </w:divBdr>
          <w:divsChild>
            <w:div w:id="655888179">
              <w:marLeft w:val="0"/>
              <w:marRight w:val="0"/>
              <w:marTop w:val="0"/>
              <w:marBottom w:val="0"/>
              <w:divBdr>
                <w:top w:val="none" w:sz="0" w:space="0" w:color="auto"/>
                <w:left w:val="none" w:sz="0" w:space="0" w:color="auto"/>
                <w:bottom w:val="none" w:sz="0" w:space="0" w:color="auto"/>
                <w:right w:val="none" w:sz="0" w:space="0" w:color="auto"/>
              </w:divBdr>
              <w:divsChild>
                <w:div w:id="655888223">
                  <w:marLeft w:val="0"/>
                  <w:marRight w:val="0"/>
                  <w:marTop w:val="0"/>
                  <w:marBottom w:val="0"/>
                  <w:divBdr>
                    <w:top w:val="none" w:sz="0" w:space="0" w:color="auto"/>
                    <w:left w:val="none" w:sz="0" w:space="0" w:color="auto"/>
                    <w:bottom w:val="none" w:sz="0" w:space="0" w:color="auto"/>
                    <w:right w:val="none" w:sz="0" w:space="0" w:color="auto"/>
                  </w:divBdr>
                  <w:divsChild>
                    <w:div w:id="655888283">
                      <w:marLeft w:val="0"/>
                      <w:marRight w:val="0"/>
                      <w:marTop w:val="0"/>
                      <w:marBottom w:val="0"/>
                      <w:divBdr>
                        <w:top w:val="none" w:sz="0" w:space="0" w:color="auto"/>
                        <w:left w:val="none" w:sz="0" w:space="0" w:color="auto"/>
                        <w:bottom w:val="none" w:sz="0" w:space="0" w:color="auto"/>
                        <w:right w:val="none" w:sz="0" w:space="0" w:color="auto"/>
                      </w:divBdr>
                      <w:divsChild>
                        <w:div w:id="655888252">
                          <w:marLeft w:val="0"/>
                          <w:marRight w:val="0"/>
                          <w:marTop w:val="0"/>
                          <w:marBottom w:val="0"/>
                          <w:divBdr>
                            <w:top w:val="none" w:sz="0" w:space="0" w:color="auto"/>
                            <w:left w:val="none" w:sz="0" w:space="0" w:color="auto"/>
                            <w:bottom w:val="none" w:sz="0" w:space="0" w:color="auto"/>
                            <w:right w:val="none" w:sz="0" w:space="0" w:color="auto"/>
                          </w:divBdr>
                          <w:divsChild>
                            <w:div w:id="65588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jpeg"/><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fontTable" Target="fontTable.xml"/><Relationship Id="rId10" Type="http://schemas.openxmlformats.org/officeDocument/2006/relationships/image" Target="media/image4.jpe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3.jpeg"/></Relationships>
</file>

<file path=word/_rels/header2.xml.rels><?xml version="1.0" encoding="UTF-8" standalone="yes"?>
<Relationships xmlns="http://schemas.openxmlformats.org/package/2006/relationships"><Relationship Id="rId1" Type="http://schemas.openxmlformats.org/officeDocument/2006/relationships/image" Target="media/image1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7</Pages>
  <Words>1021</Words>
  <Characters>5824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导语</dc:title>
  <dc:subject/>
  <dc:creator>shanghai vstone</dc:creator>
  <cp:keywords/>
  <dc:description/>
  <cp:lastModifiedBy>User</cp:lastModifiedBy>
  <cp:revision>2</cp:revision>
  <dcterms:created xsi:type="dcterms:W3CDTF">2014-12-01T06:44:00Z</dcterms:created>
  <dcterms:modified xsi:type="dcterms:W3CDTF">2014-12-01T06:44:00Z</dcterms:modified>
</cp:coreProperties>
</file>