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BC3" w:rsidRDefault="00E96BC3" w:rsidP="006A5488">
      <w:pPr>
        <w:widowControl/>
        <w:spacing w:after="120"/>
        <w:ind w:left="3430"/>
        <w:rPr>
          <w:rFonts w:ascii="楷体" w:eastAsia="楷体" w:hAnsi="楷体"/>
          <w:b/>
          <w:bCs/>
          <w:color w:val="0070C0"/>
          <w:kern w:val="0"/>
          <w:sz w:val="24"/>
          <w:szCs w:val="20"/>
          <w:lang w:val="en-GB"/>
        </w:rPr>
      </w:pPr>
      <w:r>
        <w:rPr>
          <w:noProof/>
        </w:rPr>
        <w:pict>
          <v:shapetype id="_x0000_t202" coordsize="21600,21600" o:spt="202" path="m,l,21600r21600,l21600,xe">
            <v:stroke joinstyle="miter"/>
            <v:path gradientshapeok="t" o:connecttype="rect"/>
          </v:shapetype>
          <v:shape id="_x0000_s1035" type="#_x0000_t202" style="position:absolute;left:0;text-align:left;margin-left:1.5pt;margin-top:279.2pt;width:148.5pt;height:275.6pt;z-index:251658240" strokecolor="white" strokeweight="0">
            <v:stroke dashstyle="1 1" endcap="round"/>
            <v:textbox style="mso-next-textbox:#_x0000_s1035">
              <w:txbxContent>
                <w:p w:rsidR="00E96BC3" w:rsidRPr="00635482" w:rsidRDefault="00E96BC3" w:rsidP="005B0E69">
                  <w:pPr>
                    <w:rPr>
                      <w:rFonts w:ascii="楷体" w:eastAsia="楷体" w:hAnsi="楷体"/>
                      <w:b/>
                      <w:lang w:val="en-GB"/>
                    </w:rPr>
                  </w:pPr>
                  <w:r w:rsidRPr="00635482">
                    <w:rPr>
                      <w:rFonts w:ascii="楷体" w:eastAsia="楷体" w:hAnsi="楷体" w:hint="eastAsia"/>
                      <w:b/>
                      <w:lang w:val="en-GB"/>
                    </w:rPr>
                    <w:t>凯石工场移动平台：</w:t>
                  </w:r>
                </w:p>
                <w:p w:rsidR="00E96BC3" w:rsidRPr="00635482" w:rsidRDefault="00E96BC3" w:rsidP="005B0E69">
                  <w:pPr>
                    <w:rPr>
                      <w:rFonts w:ascii="楷体" w:eastAsia="楷体" w:hAnsi="楷体"/>
                      <w:lang w:val="en-GB"/>
                    </w:rPr>
                  </w:pPr>
                </w:p>
                <w:p w:rsidR="00E96BC3" w:rsidRPr="00635482" w:rsidRDefault="00E96BC3" w:rsidP="005B0E69">
                  <w:r w:rsidRPr="00635482">
                    <w:rPr>
                      <w:rFonts w:ascii="楷体" w:eastAsia="楷体" w:hAnsi="楷体" w:hint="eastAsia"/>
                      <w:lang w:val="en-GB"/>
                    </w:rPr>
                    <w:t>官方微博：</w:t>
                  </w:r>
                </w:p>
                <w:p w:rsidR="00E96BC3" w:rsidRPr="00635482" w:rsidRDefault="00E96BC3" w:rsidP="005B0E69">
                  <w:pPr>
                    <w:rPr>
                      <w:rFonts w:ascii="楷体" w:eastAsia="楷体" w:hAnsi="楷体"/>
                      <w:lang w:val="en-GB"/>
                    </w:rPr>
                  </w:pPr>
                  <w:r w:rsidRPr="00635482">
                    <w:rPr>
                      <w:rFonts w:ascii="楷体" w:eastAsia="楷体" w:hAnsi="楷体" w:hint="eastAsia"/>
                      <w:lang w:val="en-GB"/>
                    </w:rPr>
                    <w:t>凯石财富工场</w:t>
                  </w:r>
                </w:p>
                <w:p w:rsidR="00E96BC3" w:rsidRDefault="00E96BC3" w:rsidP="005B0E69">
                  <w:r w:rsidRPr="000E2CA5">
                    <w:rPr>
                      <w:noProof/>
                    </w:rPr>
                    <w:pict>
                      <v:shape id="图片 5" o:spid="_x0000_i1044" type="#_x0000_t75" alt="66.jpg" style="width:73.5pt;height:73.5pt;visibility:visible">
                        <v:imagedata r:id="rId7" o:title=""/>
                      </v:shape>
                    </w:pict>
                  </w:r>
                </w:p>
                <w:p w:rsidR="00E96BC3" w:rsidRDefault="00E96BC3" w:rsidP="005B0E69">
                  <w:pPr>
                    <w:rPr>
                      <w:rFonts w:ascii="楷体" w:eastAsia="楷体" w:hAnsi="楷体"/>
                      <w:b/>
                      <w:lang w:val="en-GB"/>
                    </w:rPr>
                  </w:pPr>
                </w:p>
                <w:p w:rsidR="00E96BC3" w:rsidRPr="00635482" w:rsidRDefault="00E96BC3" w:rsidP="005B0E69">
                  <w:pPr>
                    <w:rPr>
                      <w:rFonts w:ascii="楷体" w:eastAsia="楷体" w:hAnsi="楷体"/>
                      <w:lang w:val="en-GB"/>
                    </w:rPr>
                  </w:pPr>
                  <w:r w:rsidRPr="00635482">
                    <w:rPr>
                      <w:rFonts w:ascii="楷体" w:eastAsia="楷体" w:hAnsi="楷体" w:hint="eastAsia"/>
                      <w:lang w:val="en-GB"/>
                    </w:rPr>
                    <w:t>官方微信：</w:t>
                  </w:r>
                </w:p>
                <w:p w:rsidR="00E96BC3" w:rsidRPr="00635482" w:rsidRDefault="00E96BC3" w:rsidP="005B0E69">
                  <w:pPr>
                    <w:rPr>
                      <w:rFonts w:ascii="楷体" w:eastAsia="楷体" w:hAnsi="楷体"/>
                      <w:lang w:val="en-GB"/>
                    </w:rPr>
                  </w:pPr>
                  <w:r w:rsidRPr="00635482">
                    <w:rPr>
                      <w:rFonts w:ascii="楷体" w:eastAsia="楷体" w:hAnsi="楷体" w:hint="eastAsia"/>
                      <w:lang w:val="en-GB"/>
                    </w:rPr>
                    <w:t>凯石财富知音订阅号</w:t>
                  </w:r>
                </w:p>
                <w:p w:rsidR="00E96BC3" w:rsidRDefault="00E96BC3" w:rsidP="005B0E69">
                  <w:r w:rsidRPr="00F605BC">
                    <w:rPr>
                      <w:rFonts w:ascii="楷体" w:eastAsia="楷体" w:hAnsi="楷体"/>
                      <w:b/>
                      <w:noProof/>
                    </w:rPr>
                    <w:pict>
                      <v:shape id="图片 7" o:spid="_x0000_i1045" type="#_x0000_t75" alt="凯石财富知音订阅号3.jpg" style="width:75pt;height:75pt;visibility:visible">
                        <v:imagedata r:id="rId8" o:title=""/>
                      </v:shape>
                    </w:pict>
                  </w:r>
                </w:p>
              </w:txbxContent>
            </v:textbox>
          </v:shape>
        </w:pict>
      </w:r>
      <w:r w:rsidRPr="005B7CDB">
        <w:rPr>
          <w:rFonts w:ascii="楷体" w:eastAsia="楷体" w:hAnsi="楷体" w:hint="eastAsia"/>
          <w:b/>
          <w:bCs/>
          <w:color w:val="0070C0"/>
          <w:kern w:val="0"/>
          <w:sz w:val="24"/>
          <w:szCs w:val="20"/>
          <w:lang w:val="en-GB"/>
        </w:rPr>
        <w:t>导语</w:t>
      </w:r>
    </w:p>
    <w:p w:rsidR="00E96BC3" w:rsidRDefault="00E96BC3" w:rsidP="00F0283A">
      <w:pPr>
        <w:pStyle w:val="BodyText"/>
        <w:spacing w:after="163"/>
        <w:ind w:firstLineChars="200" w:firstLine="31680"/>
        <w:rPr>
          <w:rFonts w:ascii="楷体" w:eastAsia="楷体" w:hAnsi="楷体"/>
          <w:szCs w:val="21"/>
        </w:rPr>
      </w:pPr>
      <w:r w:rsidRPr="004C3182">
        <w:rPr>
          <w:rFonts w:ascii="楷体" w:eastAsia="楷体" w:hAnsi="楷体" w:hint="eastAsia"/>
          <w:szCs w:val="21"/>
        </w:rPr>
        <w:t>上周（</w:t>
      </w:r>
      <w:r w:rsidRPr="004C3182">
        <w:rPr>
          <w:rFonts w:ascii="楷体" w:eastAsia="楷体" w:hAnsi="楷体"/>
          <w:szCs w:val="21"/>
        </w:rPr>
        <w:t>2014.11.17~11.21</w:t>
      </w:r>
      <w:r w:rsidRPr="004C3182">
        <w:rPr>
          <w:rFonts w:ascii="楷体" w:eastAsia="楷体" w:hAnsi="楷体" w:hint="eastAsia"/>
          <w:szCs w:val="21"/>
        </w:rPr>
        <w:t>），</w:t>
      </w:r>
      <w:r w:rsidRPr="004C3182">
        <w:rPr>
          <w:rFonts w:ascii="楷体" w:eastAsia="楷体" w:hAnsi="楷体"/>
          <w:szCs w:val="21"/>
        </w:rPr>
        <w:t>A</w:t>
      </w:r>
      <w:r w:rsidRPr="004C3182">
        <w:rPr>
          <w:rFonts w:ascii="楷体" w:eastAsia="楷体" w:hAnsi="楷体" w:hint="eastAsia"/>
          <w:szCs w:val="21"/>
        </w:rPr>
        <w:t>股市场震荡回调，创业板反弹较大。整周上证指数和沪深</w:t>
      </w:r>
      <w:r w:rsidRPr="004C3182">
        <w:rPr>
          <w:rFonts w:ascii="楷体" w:eastAsia="楷体" w:hAnsi="楷体"/>
          <w:szCs w:val="21"/>
        </w:rPr>
        <w:t>300</w:t>
      </w:r>
      <w:r w:rsidRPr="004C3182">
        <w:rPr>
          <w:rFonts w:ascii="楷体" w:eastAsia="楷体" w:hAnsi="楷体" w:hint="eastAsia"/>
          <w:szCs w:val="21"/>
        </w:rPr>
        <w:t>分别上涨</w:t>
      </w:r>
      <w:r w:rsidRPr="004C3182">
        <w:rPr>
          <w:rFonts w:ascii="楷体" w:eastAsia="楷体" w:hAnsi="楷体"/>
          <w:szCs w:val="21"/>
        </w:rPr>
        <w:t>0.32%</w:t>
      </w:r>
      <w:r w:rsidRPr="004C3182">
        <w:rPr>
          <w:rFonts w:ascii="楷体" w:eastAsia="楷体" w:hAnsi="楷体" w:hint="eastAsia"/>
          <w:szCs w:val="21"/>
        </w:rPr>
        <w:t>和</w:t>
      </w:r>
      <w:r w:rsidRPr="004C3182">
        <w:rPr>
          <w:rFonts w:ascii="楷体" w:eastAsia="楷体" w:hAnsi="楷体"/>
          <w:szCs w:val="21"/>
        </w:rPr>
        <w:t>0.09%</w:t>
      </w:r>
      <w:r w:rsidRPr="004C3182">
        <w:rPr>
          <w:rFonts w:ascii="楷体" w:eastAsia="楷体" w:hAnsi="楷体" w:hint="eastAsia"/>
          <w:szCs w:val="21"/>
        </w:rPr>
        <w:t>，中小板指上涨</w:t>
      </w:r>
      <w:r w:rsidRPr="004C3182">
        <w:rPr>
          <w:rFonts w:ascii="楷体" w:eastAsia="楷体" w:hAnsi="楷体"/>
          <w:szCs w:val="21"/>
        </w:rPr>
        <w:t>1.90%</w:t>
      </w:r>
      <w:r w:rsidRPr="004C3182">
        <w:rPr>
          <w:rFonts w:ascii="楷体" w:eastAsia="楷体" w:hAnsi="楷体" w:hint="eastAsia"/>
          <w:szCs w:val="21"/>
        </w:rPr>
        <w:t>，创业板指上涨</w:t>
      </w:r>
      <w:r w:rsidRPr="004C3182">
        <w:rPr>
          <w:rFonts w:ascii="楷体" w:eastAsia="楷体" w:hAnsi="楷体"/>
          <w:szCs w:val="21"/>
        </w:rPr>
        <w:t>4.41%</w:t>
      </w:r>
      <w:r w:rsidRPr="004C3182">
        <w:rPr>
          <w:rFonts w:ascii="楷体" w:eastAsia="楷体" w:hAnsi="楷体" w:hint="eastAsia"/>
          <w:szCs w:val="21"/>
        </w:rPr>
        <w:t>。</w:t>
      </w:r>
      <w:r w:rsidRPr="004C3182">
        <w:rPr>
          <w:rFonts w:ascii="楷体" w:eastAsia="楷体" w:hAnsi="楷体"/>
          <w:szCs w:val="21"/>
        </w:rPr>
        <w:t>29</w:t>
      </w:r>
      <w:r w:rsidRPr="004C3182">
        <w:rPr>
          <w:rFonts w:ascii="楷体" w:eastAsia="楷体" w:hAnsi="楷体" w:hint="eastAsia"/>
          <w:szCs w:val="21"/>
        </w:rPr>
        <w:t>个中信一级行业</w:t>
      </w:r>
      <w:r w:rsidRPr="004C3182">
        <w:rPr>
          <w:rFonts w:ascii="楷体" w:eastAsia="楷体" w:hAnsi="楷体"/>
          <w:szCs w:val="21"/>
        </w:rPr>
        <w:t>26</w:t>
      </w:r>
      <w:r w:rsidRPr="004C3182">
        <w:rPr>
          <w:rFonts w:ascii="楷体" w:eastAsia="楷体" w:hAnsi="楷体" w:hint="eastAsia"/>
          <w:szCs w:val="21"/>
        </w:rPr>
        <w:t>个上涨，食品饮料（</w:t>
      </w:r>
      <w:r w:rsidRPr="004C3182">
        <w:rPr>
          <w:rFonts w:ascii="楷体" w:eastAsia="楷体" w:hAnsi="楷体"/>
          <w:szCs w:val="21"/>
        </w:rPr>
        <w:t>-0.83%</w:t>
      </w:r>
      <w:r w:rsidRPr="004C3182">
        <w:rPr>
          <w:rFonts w:ascii="楷体" w:eastAsia="楷体" w:hAnsi="楷体" w:hint="eastAsia"/>
          <w:szCs w:val="21"/>
        </w:rPr>
        <w:t>），银行（</w:t>
      </w:r>
      <w:r w:rsidRPr="004C3182">
        <w:rPr>
          <w:rFonts w:ascii="楷体" w:eastAsia="楷体" w:hAnsi="楷体"/>
          <w:szCs w:val="21"/>
        </w:rPr>
        <w:t>-2.02%</w:t>
      </w:r>
      <w:r w:rsidRPr="004C3182">
        <w:rPr>
          <w:rFonts w:ascii="楷体" w:eastAsia="楷体" w:hAnsi="楷体" w:hint="eastAsia"/>
          <w:szCs w:val="21"/>
        </w:rPr>
        <w:t>）和煤炭（</w:t>
      </w:r>
      <w:r w:rsidRPr="004C3182">
        <w:rPr>
          <w:rFonts w:ascii="楷体" w:eastAsia="楷体" w:hAnsi="楷体"/>
          <w:szCs w:val="21"/>
        </w:rPr>
        <w:t>-2.52%</w:t>
      </w:r>
      <w:r w:rsidRPr="004C3182">
        <w:rPr>
          <w:rFonts w:ascii="楷体" w:eastAsia="楷体" w:hAnsi="楷体" w:hint="eastAsia"/>
          <w:szCs w:val="21"/>
        </w:rPr>
        <w:t>）三个行业下跌，传媒（</w:t>
      </w:r>
      <w:r w:rsidRPr="004C3182">
        <w:rPr>
          <w:rFonts w:ascii="楷体" w:eastAsia="楷体" w:hAnsi="楷体"/>
          <w:szCs w:val="21"/>
        </w:rPr>
        <w:t>8.01%</w:t>
      </w:r>
      <w:r w:rsidRPr="004C3182">
        <w:rPr>
          <w:rFonts w:ascii="楷体" w:eastAsia="楷体" w:hAnsi="楷体" w:hint="eastAsia"/>
          <w:szCs w:val="21"/>
        </w:rPr>
        <w:t>）和计算机（</w:t>
      </w:r>
      <w:r w:rsidRPr="004C3182">
        <w:rPr>
          <w:rFonts w:ascii="楷体" w:eastAsia="楷体" w:hAnsi="楷体"/>
          <w:szCs w:val="21"/>
        </w:rPr>
        <w:t>6.13%</w:t>
      </w:r>
      <w:r w:rsidRPr="004C3182">
        <w:rPr>
          <w:rFonts w:ascii="楷体" w:eastAsia="楷体" w:hAnsi="楷体" w:hint="eastAsia"/>
          <w:szCs w:val="21"/>
        </w:rPr>
        <w:t>）涨幅较大。经济数据方面，</w:t>
      </w:r>
      <w:r w:rsidRPr="004C3182">
        <w:rPr>
          <w:rFonts w:ascii="楷体" w:eastAsia="楷体" w:hAnsi="楷体"/>
          <w:szCs w:val="21"/>
        </w:rPr>
        <w:t>11</w:t>
      </w:r>
      <w:r w:rsidRPr="004C3182">
        <w:rPr>
          <w:rFonts w:ascii="楷体" w:eastAsia="楷体" w:hAnsi="楷体" w:hint="eastAsia"/>
          <w:szCs w:val="21"/>
        </w:rPr>
        <w:t>月汇丰</w:t>
      </w:r>
      <w:r w:rsidRPr="004C3182">
        <w:rPr>
          <w:rFonts w:ascii="楷体" w:eastAsia="楷体" w:hAnsi="楷体"/>
          <w:szCs w:val="21"/>
        </w:rPr>
        <w:t>PMI</w:t>
      </w:r>
      <w:r w:rsidRPr="004C3182">
        <w:rPr>
          <w:rFonts w:ascii="楷体" w:eastAsia="楷体" w:hAnsi="楷体" w:hint="eastAsia"/>
          <w:szCs w:val="21"/>
        </w:rPr>
        <w:t>初值为</w:t>
      </w:r>
      <w:r w:rsidRPr="004C3182">
        <w:rPr>
          <w:rFonts w:ascii="楷体" w:eastAsia="楷体" w:hAnsi="楷体"/>
          <w:szCs w:val="21"/>
        </w:rPr>
        <w:t>50.0</w:t>
      </w:r>
      <w:r w:rsidRPr="004C3182">
        <w:rPr>
          <w:rFonts w:ascii="楷体" w:eastAsia="楷体" w:hAnsi="楷体" w:hint="eastAsia"/>
          <w:szCs w:val="21"/>
        </w:rPr>
        <w:t>，低于预期的</w:t>
      </w:r>
      <w:r w:rsidRPr="004C3182">
        <w:rPr>
          <w:rFonts w:ascii="楷体" w:eastAsia="楷体" w:hAnsi="楷体"/>
          <w:szCs w:val="21"/>
        </w:rPr>
        <w:t>50.2</w:t>
      </w:r>
      <w:r w:rsidRPr="004C3182">
        <w:rPr>
          <w:rFonts w:ascii="楷体" w:eastAsia="楷体" w:hAnsi="楷体" w:hint="eastAsia"/>
          <w:szCs w:val="21"/>
        </w:rPr>
        <w:t>，为</w:t>
      </w:r>
      <w:r w:rsidRPr="004C3182">
        <w:rPr>
          <w:rFonts w:ascii="楷体" w:eastAsia="楷体" w:hAnsi="楷体"/>
          <w:szCs w:val="21"/>
        </w:rPr>
        <w:t>6</w:t>
      </w:r>
      <w:r>
        <w:rPr>
          <w:rFonts w:ascii="楷体" w:eastAsia="楷体" w:hAnsi="楷体" w:hint="eastAsia"/>
          <w:szCs w:val="21"/>
        </w:rPr>
        <w:t>个月以来新低；</w:t>
      </w:r>
      <w:r w:rsidRPr="004C3182">
        <w:rPr>
          <w:rFonts w:ascii="楷体" w:eastAsia="楷体" w:hAnsi="楷体" w:hint="eastAsia"/>
          <w:szCs w:val="21"/>
        </w:rPr>
        <w:t>分项来看，就业指数从</w:t>
      </w:r>
      <w:r w:rsidRPr="004C3182">
        <w:rPr>
          <w:rFonts w:ascii="楷体" w:eastAsia="楷体" w:hAnsi="楷体"/>
          <w:szCs w:val="21"/>
        </w:rPr>
        <w:t>48.9</w:t>
      </w:r>
      <w:r w:rsidRPr="004C3182">
        <w:rPr>
          <w:rFonts w:ascii="楷体" w:eastAsia="楷体" w:hAnsi="楷体" w:hint="eastAsia"/>
          <w:szCs w:val="21"/>
        </w:rPr>
        <w:t>降至</w:t>
      </w:r>
      <w:r w:rsidRPr="004C3182">
        <w:rPr>
          <w:rFonts w:ascii="楷体" w:eastAsia="楷体" w:hAnsi="楷体"/>
          <w:szCs w:val="21"/>
        </w:rPr>
        <w:t>48.4</w:t>
      </w:r>
      <w:r w:rsidRPr="004C3182">
        <w:rPr>
          <w:rFonts w:ascii="楷体" w:eastAsia="楷体" w:hAnsi="楷体" w:hint="eastAsia"/>
          <w:szCs w:val="21"/>
        </w:rPr>
        <w:t>，连续</w:t>
      </w:r>
      <w:r w:rsidRPr="004C3182">
        <w:rPr>
          <w:rFonts w:ascii="楷体" w:eastAsia="楷体" w:hAnsi="楷体"/>
          <w:szCs w:val="21"/>
        </w:rPr>
        <w:t>13</w:t>
      </w:r>
      <w:r w:rsidRPr="004C3182">
        <w:rPr>
          <w:rFonts w:ascii="楷体" w:eastAsia="楷体" w:hAnsi="楷体" w:hint="eastAsia"/>
          <w:szCs w:val="21"/>
        </w:rPr>
        <w:t>个月处在收缩区</w:t>
      </w:r>
      <w:r>
        <w:rPr>
          <w:rFonts w:ascii="楷体" w:eastAsia="楷体" w:hAnsi="楷体" w:hint="eastAsia"/>
          <w:szCs w:val="21"/>
        </w:rPr>
        <w:t>间，劳动力市场不景气，加之</w:t>
      </w:r>
      <w:r w:rsidRPr="004C3182">
        <w:rPr>
          <w:rFonts w:ascii="楷体" w:eastAsia="楷体" w:hAnsi="楷体" w:hint="eastAsia"/>
          <w:szCs w:val="21"/>
        </w:rPr>
        <w:t>出口回落和房地产衰退，经济的下行压力非常明显。海外方面，美国上周度首次申领失业救济人数已经连续十周低于</w:t>
      </w:r>
      <w:r w:rsidRPr="004C3182">
        <w:rPr>
          <w:rFonts w:ascii="楷体" w:eastAsia="楷体" w:hAnsi="楷体"/>
          <w:szCs w:val="21"/>
        </w:rPr>
        <w:t>30</w:t>
      </w:r>
      <w:r w:rsidRPr="004C3182">
        <w:rPr>
          <w:rFonts w:ascii="楷体" w:eastAsia="楷体" w:hAnsi="楷体" w:hint="eastAsia"/>
          <w:szCs w:val="21"/>
        </w:rPr>
        <w:t>万人，美国今年新增就业数量有望创十五年来新高，然而中国和欧洲地区的经济数据不理想使得美股涨幅受限，纳斯达克</w:t>
      </w:r>
      <w:r w:rsidRPr="004C3182">
        <w:rPr>
          <w:rFonts w:ascii="楷体" w:eastAsia="楷体" w:hAnsi="楷体"/>
          <w:szCs w:val="21"/>
        </w:rPr>
        <w:t>100</w:t>
      </w:r>
      <w:r w:rsidRPr="004C3182">
        <w:rPr>
          <w:rFonts w:ascii="楷体" w:eastAsia="楷体" w:hAnsi="楷体" w:hint="eastAsia"/>
          <w:szCs w:val="21"/>
        </w:rPr>
        <w:t>周涨</w:t>
      </w:r>
      <w:r w:rsidRPr="004C3182">
        <w:rPr>
          <w:rFonts w:ascii="楷体" w:eastAsia="楷体" w:hAnsi="楷体"/>
          <w:szCs w:val="21"/>
        </w:rPr>
        <w:t>0.46%</w:t>
      </w:r>
      <w:r w:rsidRPr="004C3182">
        <w:rPr>
          <w:rFonts w:ascii="楷体" w:eastAsia="楷体" w:hAnsi="楷体" w:hint="eastAsia"/>
          <w:szCs w:val="21"/>
        </w:rPr>
        <w:t>，标普</w:t>
      </w:r>
      <w:r w:rsidRPr="004C3182">
        <w:rPr>
          <w:rFonts w:ascii="楷体" w:eastAsia="楷体" w:hAnsi="楷体"/>
          <w:szCs w:val="21"/>
        </w:rPr>
        <w:t>500</w:t>
      </w:r>
      <w:r w:rsidRPr="004C3182">
        <w:rPr>
          <w:rFonts w:ascii="楷体" w:eastAsia="楷体" w:hAnsi="楷体" w:hint="eastAsia"/>
          <w:szCs w:val="21"/>
        </w:rPr>
        <w:t>周涨</w:t>
      </w:r>
      <w:r w:rsidRPr="004C3182">
        <w:rPr>
          <w:rFonts w:ascii="楷体" w:eastAsia="楷体" w:hAnsi="楷体"/>
          <w:szCs w:val="21"/>
        </w:rPr>
        <w:t>0.29%</w:t>
      </w:r>
      <w:r w:rsidRPr="004C3182">
        <w:rPr>
          <w:rFonts w:ascii="楷体" w:eastAsia="楷体" w:hAnsi="楷体" w:hint="eastAsia"/>
          <w:szCs w:val="21"/>
        </w:rPr>
        <w:t>，道琼斯工业指数周涨</w:t>
      </w:r>
      <w:r w:rsidRPr="004C3182">
        <w:rPr>
          <w:rFonts w:ascii="楷体" w:eastAsia="楷体" w:hAnsi="楷体"/>
          <w:szCs w:val="21"/>
        </w:rPr>
        <w:t>0.38%</w:t>
      </w:r>
      <w:r>
        <w:rPr>
          <w:rFonts w:ascii="楷体" w:eastAsia="楷体" w:hAnsi="楷体" w:hint="eastAsia"/>
          <w:szCs w:val="21"/>
        </w:rPr>
        <w:t>。香港市场方面，沪港通使用额度不及预期，恒指连跌，周跌幅</w:t>
      </w:r>
      <w:r w:rsidRPr="004C3182">
        <w:rPr>
          <w:rFonts w:ascii="楷体" w:eastAsia="楷体" w:hAnsi="楷体"/>
          <w:szCs w:val="21"/>
        </w:rPr>
        <w:t>0.1%</w:t>
      </w:r>
      <w:r w:rsidRPr="004C3182">
        <w:rPr>
          <w:rFonts w:ascii="楷体" w:eastAsia="楷体" w:hAnsi="楷体" w:hint="eastAsia"/>
          <w:szCs w:val="21"/>
        </w:rPr>
        <w:t>。</w:t>
      </w:r>
    </w:p>
    <w:p w:rsidR="00E96BC3" w:rsidRPr="005306B6" w:rsidRDefault="00E96BC3" w:rsidP="00F0283A">
      <w:pPr>
        <w:pStyle w:val="BodyText"/>
        <w:spacing w:after="163"/>
        <w:ind w:firstLineChars="200" w:firstLine="31680"/>
        <w:rPr>
          <w:rFonts w:ascii="楷体" w:eastAsia="楷体" w:hAnsi="楷体"/>
          <w:szCs w:val="21"/>
        </w:rPr>
      </w:pPr>
      <w:r w:rsidRPr="004C3182">
        <w:rPr>
          <w:rFonts w:ascii="楷体" w:eastAsia="楷体" w:hAnsi="楷体" w:hint="eastAsia"/>
          <w:szCs w:val="21"/>
        </w:rPr>
        <w:t>凯石工场统计的各</w:t>
      </w:r>
      <w:r>
        <w:rPr>
          <w:rFonts w:ascii="楷体" w:eastAsia="楷体" w:hAnsi="楷体" w:hint="eastAsia"/>
          <w:szCs w:val="21"/>
        </w:rPr>
        <w:t>类公募基金中，股票型基金整体上涨，主动型表现好于指数型；混合型</w:t>
      </w:r>
      <w:r w:rsidRPr="004C3182">
        <w:rPr>
          <w:rFonts w:ascii="楷体" w:eastAsia="楷体" w:hAnsi="楷体" w:hint="eastAsia"/>
          <w:szCs w:val="21"/>
        </w:rPr>
        <w:t>止跌反弹，灵活型平均涨幅大于偏股型</w:t>
      </w:r>
      <w:r>
        <w:rPr>
          <w:rFonts w:ascii="楷体" w:eastAsia="楷体" w:hAnsi="楷体" w:hint="eastAsia"/>
          <w:szCs w:val="21"/>
        </w:rPr>
        <w:t>、</w:t>
      </w:r>
      <w:r w:rsidRPr="004C3182">
        <w:rPr>
          <w:rFonts w:ascii="楷体" w:eastAsia="楷体" w:hAnsi="楷体" w:hint="eastAsia"/>
          <w:szCs w:val="21"/>
        </w:rPr>
        <w:t>偏债型；债基收益集体回调，指数债基跌幅相对较大，二级债基跌幅较小，理财债基涨幅收缩；</w:t>
      </w:r>
      <w:r w:rsidRPr="004C3182">
        <w:rPr>
          <w:rFonts w:ascii="楷体" w:eastAsia="楷体" w:hAnsi="楷体"/>
          <w:szCs w:val="21"/>
        </w:rPr>
        <w:t>QDII</w:t>
      </w:r>
      <w:r w:rsidRPr="004C3182">
        <w:rPr>
          <w:rFonts w:ascii="楷体" w:eastAsia="楷体" w:hAnsi="楷体" w:hint="eastAsia"/>
          <w:szCs w:val="21"/>
        </w:rPr>
        <w:t>平均收益率为负，风格扭转，部分商品基金上行领涨，美股基金和行业基金业绩排名居前，新兴市场基金和亚太（除日本）业绩排名居后。产品方面，农银汇理策略精选，汇丰晋信科技先锋，兴全有机增长，银华永益分级，富国创业板</w:t>
      </w:r>
      <w:r w:rsidRPr="004C3182">
        <w:rPr>
          <w:rFonts w:ascii="楷体" w:eastAsia="楷体" w:hAnsi="楷体"/>
          <w:szCs w:val="21"/>
        </w:rPr>
        <w:t>B</w:t>
      </w:r>
      <w:r w:rsidRPr="004C3182">
        <w:rPr>
          <w:rFonts w:ascii="楷体" w:eastAsia="楷体" w:hAnsi="楷体" w:hint="eastAsia"/>
          <w:szCs w:val="21"/>
        </w:rPr>
        <w:t>等基金业绩居前。</w:t>
      </w:r>
    </w:p>
    <w:p w:rsidR="00E96BC3" w:rsidRPr="005B7CDB" w:rsidRDefault="00E96BC3" w:rsidP="002D7B70">
      <w:pPr>
        <w:widowControl/>
        <w:spacing w:after="120"/>
        <w:ind w:left="3402"/>
        <w:rPr>
          <w:rFonts w:ascii="楷体" w:eastAsia="楷体" w:hAnsi="楷体"/>
          <w:b/>
          <w:bCs/>
          <w:color w:val="0070C0"/>
          <w:kern w:val="0"/>
          <w:sz w:val="24"/>
          <w:szCs w:val="20"/>
          <w:lang w:val="en-GB"/>
        </w:rPr>
      </w:pPr>
      <w:r w:rsidRPr="005B7CDB">
        <w:rPr>
          <w:rFonts w:ascii="楷体" w:eastAsia="楷体" w:hAnsi="楷体" w:hint="eastAsia"/>
          <w:b/>
          <w:bCs/>
          <w:color w:val="0070C0"/>
          <w:kern w:val="0"/>
          <w:sz w:val="24"/>
          <w:szCs w:val="20"/>
          <w:lang w:val="en-GB"/>
        </w:rPr>
        <w:t>凯石工场本周基金投资策略：</w:t>
      </w:r>
    </w:p>
    <w:p w:rsidR="00E96BC3" w:rsidRPr="007838F3" w:rsidRDefault="00E96BC3" w:rsidP="004B58D7">
      <w:pPr>
        <w:pStyle w:val="BodyText"/>
        <w:numPr>
          <w:ilvl w:val="4"/>
          <w:numId w:val="1"/>
        </w:numPr>
        <w:spacing w:after="163"/>
        <w:rPr>
          <w:rFonts w:ascii="楷体" w:eastAsia="楷体" w:hAnsi="楷体" w:cs="Arial"/>
          <w:szCs w:val="21"/>
        </w:rPr>
      </w:pPr>
      <w:r w:rsidRPr="007838F3">
        <w:rPr>
          <w:rFonts w:ascii="楷体" w:eastAsia="楷体" w:hAnsi="楷体" w:cs="Arial" w:hint="eastAsia"/>
          <w:szCs w:val="21"/>
        </w:rPr>
        <w:t>权益类基金</w:t>
      </w:r>
      <w:r>
        <w:rPr>
          <w:rFonts w:ascii="楷体" w:eastAsia="楷体" w:hAnsi="楷体" w:cs="Arial" w:hint="eastAsia"/>
          <w:szCs w:val="21"/>
        </w:rPr>
        <w:t>：</w:t>
      </w:r>
      <w:r w:rsidRPr="00AF21A6">
        <w:rPr>
          <w:rFonts w:ascii="楷体" w:eastAsia="楷体" w:hAnsi="楷体" w:cs="Arial" w:hint="eastAsia"/>
          <w:szCs w:val="21"/>
        </w:rPr>
        <w:t>上周五央行意外宣布非对称降息，早于市场预期，相对于此前的出台的定向调控举措，本次降息在力度及影响范围上均超越前者。基准利率的下调将继续压低无风险利率，有利于市场风险偏好的进一步提升；与此同时，降息使得企业融资成本下降、有助于实体经济企稳及企业盈利状况的改善；此外对于调整中的地产行业而言，降息将与前期宽松政策形成叠加效应，有助于楼市供求状况改善，防止地产销售、投资出现较快下滑，释放出较强的稳增长信号。就市场层面而言，非对称降息带来的流动性及政策预期利好效应明显，方向上非银行金融、地产行业首先获益，此外机械、电力、建筑建材、交运等蓝筹股也将迎来利好。对于基金投资而言，建议在原有消费为主的结构上适当增配部分价值型品种，以提升组合整体收益性，此外可利用交易型指数产品在透明度、交易成本以及投资灵活性方面的优势把握波段性机会，短期建议关注非银金融、地产等行业指数产品以及沪深</w:t>
      </w:r>
      <w:r w:rsidRPr="00AF21A6">
        <w:rPr>
          <w:rFonts w:ascii="楷体" w:eastAsia="楷体" w:hAnsi="楷体" w:cs="Arial"/>
          <w:szCs w:val="21"/>
        </w:rPr>
        <w:t>300</w:t>
      </w:r>
      <w:r w:rsidRPr="00AF21A6">
        <w:rPr>
          <w:rFonts w:ascii="楷体" w:eastAsia="楷体" w:hAnsi="楷体" w:cs="Arial" w:hint="eastAsia"/>
          <w:szCs w:val="21"/>
        </w:rPr>
        <w:t>等价值风格突出的规模指数产品</w:t>
      </w:r>
      <w:r w:rsidRPr="00B2019E">
        <w:rPr>
          <w:rFonts w:ascii="楷体" w:eastAsia="楷体" w:hAnsi="楷体" w:cs="Arial" w:hint="eastAsia"/>
          <w:szCs w:val="21"/>
        </w:rPr>
        <w:t>。</w:t>
      </w:r>
    </w:p>
    <w:p w:rsidR="00E96BC3" w:rsidRPr="00F95C99" w:rsidRDefault="00E96BC3" w:rsidP="004B58D7">
      <w:pPr>
        <w:pStyle w:val="BodyText"/>
        <w:numPr>
          <w:ilvl w:val="4"/>
          <w:numId w:val="1"/>
        </w:numPr>
        <w:spacing w:after="163"/>
        <w:rPr>
          <w:rFonts w:ascii="楷体" w:eastAsia="楷体" w:hAnsi="楷体" w:cs="Arial"/>
          <w:szCs w:val="21"/>
        </w:rPr>
      </w:pPr>
      <w:r w:rsidRPr="00F95C99">
        <w:rPr>
          <w:rFonts w:ascii="楷体" w:eastAsia="楷体" w:hAnsi="楷体" w:cs="Arial" w:hint="eastAsia"/>
          <w:szCs w:val="21"/>
        </w:rPr>
        <w:t>固定收益类基金</w:t>
      </w:r>
      <w:r>
        <w:rPr>
          <w:rFonts w:ascii="楷体" w:eastAsia="楷体" w:hAnsi="楷体" w:cs="Arial" w:hint="eastAsia"/>
          <w:szCs w:val="21"/>
        </w:rPr>
        <w:t>：</w:t>
      </w:r>
      <w:r w:rsidRPr="005F4076">
        <w:rPr>
          <w:rFonts w:ascii="楷体" w:eastAsia="楷体" w:hAnsi="楷体" w:cs="Arial" w:hint="eastAsia"/>
          <w:szCs w:val="21"/>
        </w:rPr>
        <w:t>上周末央行意外宣布降息，在一定程度上可以看做是新一轮货币政策放松的起点，未来降息、降准等政策将值得期待。此次降息在引导市场利率方面有积极意义，将有利于社会融资成本的下降，对于整个债券市场而言，构成正向刺激。就固定收益基金的投资来看，本次降息明显表明了央行降低资金利率的态度，而货币市场基金收益率与资金利率有着非常密切的关系，因此，影响或将偏负面。但对于债券型基金而言，降息所引发的流动性宽松将有利于债市收益率短期形成下行趋势，尤其是所表露出的降低实体经济融资成本的意图，也将对信用债构成一定的利好，因此，我们建议在债基投资方面，积极策略可以继续延续，关注中长久期基金品种，具体类</w:t>
      </w:r>
      <w:r>
        <w:rPr>
          <w:rFonts w:ascii="楷体" w:eastAsia="楷体" w:hAnsi="楷体" w:cs="Arial" w:hint="eastAsia"/>
          <w:szCs w:val="21"/>
        </w:rPr>
        <w:t>别上，对信用债中安全性相对较高的券种投资偏好明显的基金</w:t>
      </w:r>
      <w:r w:rsidRPr="005F4076">
        <w:rPr>
          <w:rFonts w:ascii="楷体" w:eastAsia="楷体" w:hAnsi="楷体" w:cs="Arial" w:hint="eastAsia"/>
          <w:szCs w:val="21"/>
        </w:rPr>
        <w:t>可给予关注。</w:t>
      </w:r>
    </w:p>
    <w:p w:rsidR="00E96BC3" w:rsidRPr="00B90320" w:rsidRDefault="00E96BC3" w:rsidP="00C052D5">
      <w:pPr>
        <w:pStyle w:val="BodyText"/>
        <w:numPr>
          <w:ilvl w:val="4"/>
          <w:numId w:val="1"/>
        </w:numPr>
        <w:spacing w:after="163"/>
        <w:rPr>
          <w:rFonts w:ascii="楷体" w:eastAsia="楷体" w:hAnsi="楷体" w:cs="Arial"/>
          <w:szCs w:val="21"/>
        </w:rPr>
      </w:pPr>
      <w:r w:rsidRPr="00F95C99">
        <w:rPr>
          <w:rFonts w:ascii="楷体" w:eastAsia="楷体" w:hAnsi="楷体" w:cs="Arial"/>
          <w:szCs w:val="21"/>
        </w:rPr>
        <w:t>QDII</w:t>
      </w:r>
      <w:r w:rsidRPr="00F95C99">
        <w:rPr>
          <w:rFonts w:ascii="楷体" w:eastAsia="楷体" w:hAnsi="楷体" w:cs="Arial" w:hint="eastAsia"/>
          <w:szCs w:val="21"/>
        </w:rPr>
        <w:t>基金</w:t>
      </w:r>
      <w:r>
        <w:rPr>
          <w:rFonts w:ascii="楷体" w:eastAsia="楷体" w:hAnsi="楷体" w:cs="Arial" w:hint="eastAsia"/>
          <w:szCs w:val="21"/>
        </w:rPr>
        <w:t>：</w:t>
      </w:r>
      <w:r w:rsidRPr="00660BAD">
        <w:rPr>
          <w:rFonts w:ascii="楷体" w:eastAsia="楷体" w:hAnsi="楷体" w:cs="Arial" w:hint="eastAsia"/>
          <w:szCs w:val="21"/>
        </w:rPr>
        <w:t>美国</w:t>
      </w:r>
      <w:r w:rsidRPr="00660BAD">
        <w:rPr>
          <w:rFonts w:ascii="楷体" w:eastAsia="楷体" w:hAnsi="楷体" w:cs="Arial"/>
          <w:szCs w:val="21"/>
        </w:rPr>
        <w:t>10</w:t>
      </w:r>
      <w:r w:rsidRPr="00660BAD">
        <w:rPr>
          <w:rFonts w:ascii="楷体" w:eastAsia="楷体" w:hAnsi="楷体" w:cs="Arial" w:hint="eastAsia"/>
          <w:szCs w:val="21"/>
        </w:rPr>
        <w:t>月各方面经济数据向好，支持了美联储对经济复苏的偏乐观判断，鉴于经济基本面和流动性均支持美股行情持续表现，凯石工场建议保持“美股</w:t>
      </w:r>
      <w:r w:rsidRPr="00660BAD">
        <w:rPr>
          <w:rFonts w:ascii="楷体" w:eastAsia="楷体" w:hAnsi="楷体" w:cs="Arial"/>
          <w:szCs w:val="21"/>
        </w:rPr>
        <w:t>+</w:t>
      </w:r>
      <w:r w:rsidRPr="00660BAD">
        <w:rPr>
          <w:rFonts w:ascii="楷体" w:eastAsia="楷体" w:hAnsi="楷体" w:cs="Arial" w:hint="eastAsia"/>
          <w:szCs w:val="21"/>
        </w:rPr>
        <w:t>美房”的重点投资。沪港通推出第一周，由于内地设置</w:t>
      </w:r>
      <w:r w:rsidRPr="00660BAD">
        <w:rPr>
          <w:rFonts w:ascii="楷体" w:eastAsia="楷体" w:hAnsi="楷体" w:cs="Arial"/>
          <w:szCs w:val="21"/>
        </w:rPr>
        <w:t>50</w:t>
      </w:r>
      <w:r w:rsidRPr="00660BAD">
        <w:rPr>
          <w:rFonts w:ascii="楷体" w:eastAsia="楷体" w:hAnsi="楷体" w:cs="Arial" w:hint="eastAsia"/>
          <w:szCs w:val="21"/>
        </w:rPr>
        <w:t>万人民币的投资门槛</w:t>
      </w:r>
      <w:r>
        <w:rPr>
          <w:rFonts w:ascii="楷体" w:eastAsia="楷体" w:hAnsi="楷体" w:cs="Arial" w:hint="eastAsia"/>
          <w:szCs w:val="21"/>
        </w:rPr>
        <w:t>，</w:t>
      </w:r>
      <w:r w:rsidRPr="00660BAD">
        <w:rPr>
          <w:rFonts w:ascii="楷体" w:eastAsia="楷体" w:hAnsi="楷体" w:cs="Arial" w:hint="eastAsia"/>
          <w:szCs w:val="21"/>
        </w:rPr>
        <w:t>而参与者</w:t>
      </w:r>
      <w:r>
        <w:rPr>
          <w:rFonts w:ascii="楷体" w:eastAsia="楷体" w:hAnsi="楷体" w:cs="Arial" w:hint="eastAsia"/>
          <w:szCs w:val="21"/>
        </w:rPr>
        <w:t>又多为散户，使得“南下”资金额度使用情况与香港投资者的心理预期出现</w:t>
      </w:r>
      <w:r w:rsidRPr="00660BAD">
        <w:rPr>
          <w:rFonts w:ascii="楷体" w:eastAsia="楷体" w:hAnsi="楷体" w:cs="Arial" w:hint="eastAsia"/>
          <w:szCs w:val="21"/>
        </w:rPr>
        <w:t>较大落差，导致周内港股出现较大调整。不过，央行降息有助降低融资成本、催生增量资金入市，利于</w:t>
      </w:r>
      <w:r w:rsidRPr="00660BAD">
        <w:rPr>
          <w:rFonts w:ascii="楷体" w:eastAsia="楷体" w:hAnsi="楷体" w:cs="Arial"/>
          <w:szCs w:val="21"/>
        </w:rPr>
        <w:t>A</w:t>
      </w:r>
      <w:r w:rsidRPr="00660BAD">
        <w:rPr>
          <w:rFonts w:ascii="楷体" w:eastAsia="楷体" w:hAnsi="楷体" w:cs="Arial" w:hint="eastAsia"/>
          <w:szCs w:val="21"/>
        </w:rPr>
        <w:t>、</w:t>
      </w:r>
      <w:r w:rsidRPr="00660BAD">
        <w:rPr>
          <w:rFonts w:ascii="楷体" w:eastAsia="楷体" w:hAnsi="楷体" w:cs="Arial"/>
          <w:szCs w:val="21"/>
        </w:rPr>
        <w:t>H</w:t>
      </w:r>
      <w:r w:rsidRPr="00660BAD">
        <w:rPr>
          <w:rFonts w:ascii="楷体" w:eastAsia="楷体" w:hAnsi="楷体" w:cs="Arial" w:hint="eastAsia"/>
          <w:szCs w:val="21"/>
        </w:rPr>
        <w:t>股市场表现，</w:t>
      </w:r>
      <w:r>
        <w:rPr>
          <w:rFonts w:ascii="楷体" w:eastAsia="楷体" w:hAnsi="楷体" w:cs="Arial" w:hint="eastAsia"/>
          <w:szCs w:val="21"/>
        </w:rPr>
        <w:t>从而</w:t>
      </w:r>
      <w:r w:rsidRPr="00660BAD">
        <w:rPr>
          <w:rFonts w:ascii="楷体" w:eastAsia="楷体" w:hAnsi="楷体" w:cs="Arial" w:hint="eastAsia"/>
          <w:szCs w:val="21"/>
        </w:rPr>
        <w:t>有望利好沪港通的推行。从基金投资角度看，与港股相关的</w:t>
      </w:r>
      <w:r w:rsidRPr="00660BAD">
        <w:rPr>
          <w:rFonts w:ascii="楷体" w:eastAsia="楷体" w:hAnsi="楷体" w:cs="Arial"/>
          <w:szCs w:val="21"/>
        </w:rPr>
        <w:t>QDII</w:t>
      </w:r>
      <w:r w:rsidRPr="00660BAD">
        <w:rPr>
          <w:rFonts w:ascii="楷体" w:eastAsia="楷体" w:hAnsi="楷体" w:cs="Arial" w:hint="eastAsia"/>
          <w:szCs w:val="21"/>
        </w:rPr>
        <w:t>业绩有望受到提振</w:t>
      </w:r>
      <w:r>
        <w:rPr>
          <w:rFonts w:ascii="楷体" w:eastAsia="楷体" w:hAnsi="楷体" w:cs="Arial" w:hint="eastAsia"/>
          <w:szCs w:val="21"/>
        </w:rPr>
        <w:t>。维持对“美股港股双核心”的配置建议</w:t>
      </w:r>
      <w:r>
        <w:rPr>
          <w:rFonts w:hint="eastAsia"/>
        </w:rPr>
        <w:t>。</w:t>
      </w:r>
    </w:p>
    <w:p w:rsidR="00E96BC3" w:rsidRDefault="00E96BC3" w:rsidP="003C0101">
      <w:pPr>
        <w:pStyle w:val="BodyText"/>
        <w:spacing w:after="163"/>
        <w:ind w:left="3430"/>
        <w:rPr>
          <w:rFonts w:ascii="楷体" w:eastAsia="楷体" w:hAnsi="楷体"/>
          <w:b/>
          <w:bCs/>
          <w:color w:val="0070C0"/>
          <w:sz w:val="24"/>
        </w:rPr>
      </w:pPr>
      <w:r w:rsidRPr="005B7CDB">
        <w:rPr>
          <w:rFonts w:ascii="楷体" w:eastAsia="楷体" w:hAnsi="楷体" w:hint="eastAsia"/>
          <w:b/>
          <w:bCs/>
          <w:color w:val="0070C0"/>
          <w:sz w:val="24"/>
        </w:rPr>
        <w:t>凯石每周微点评</w:t>
      </w:r>
      <w:r>
        <w:rPr>
          <w:rFonts w:ascii="楷体" w:eastAsia="楷体" w:hAnsi="楷体" w:hint="eastAsia"/>
          <w:b/>
          <w:bCs/>
          <w:color w:val="0070C0"/>
          <w:sz w:val="24"/>
        </w:rPr>
        <w:t>：</w:t>
      </w:r>
    </w:p>
    <w:tbl>
      <w:tblPr>
        <w:tblW w:w="0" w:type="auto"/>
        <w:tblInd w:w="-142" w:type="dxa"/>
        <w:tblBorders>
          <w:top w:val="single" w:sz="6" w:space="0" w:color="FF6600"/>
          <w:bottom w:val="single" w:sz="6" w:space="0" w:color="FF6600"/>
          <w:insideH w:val="single" w:sz="6" w:space="0" w:color="FF6600"/>
        </w:tblBorders>
        <w:tblCellMar>
          <w:left w:w="0" w:type="dxa"/>
          <w:right w:w="0" w:type="dxa"/>
        </w:tblCellMar>
        <w:tblLook w:val="0000"/>
      </w:tblPr>
      <w:tblGrid>
        <w:gridCol w:w="5812"/>
        <w:gridCol w:w="4988"/>
      </w:tblGrid>
      <w:tr w:rsidR="00E96BC3" w:rsidRPr="00F605BC" w:rsidTr="00706D5E">
        <w:trPr>
          <w:cantSplit/>
          <w:trHeight w:val="335"/>
        </w:trPr>
        <w:tc>
          <w:tcPr>
            <w:tcW w:w="0" w:type="auto"/>
            <w:gridSpan w:val="2"/>
            <w:vAlign w:val="center"/>
          </w:tcPr>
          <w:p w:rsidR="00E96BC3" w:rsidRPr="00F95C99" w:rsidRDefault="00E96BC3" w:rsidP="004E0B0C">
            <w:pPr>
              <w:pStyle w:val="SubTitleLargeTable"/>
              <w:pBdr>
                <w:top w:val="none" w:sz="0" w:space="0" w:color="auto"/>
              </w:pBdr>
              <w:rPr>
                <w:rFonts w:ascii="楷体" w:eastAsia="楷体" w:hAnsi="楷体"/>
                <w:color w:val="FF6600"/>
              </w:rPr>
            </w:pPr>
            <w:r w:rsidRPr="005B7CDB">
              <w:rPr>
                <w:rFonts w:ascii="楷体" w:eastAsia="楷体" w:hAnsi="楷体" w:hint="eastAsia"/>
                <w:color w:val="FF6600"/>
              </w:rPr>
              <w:t>图表</w:t>
            </w:r>
            <w:r w:rsidRPr="005B7CDB">
              <w:rPr>
                <w:rFonts w:ascii="楷体" w:eastAsia="楷体" w:hAnsi="楷体"/>
                <w:color w:val="FF6600"/>
              </w:rPr>
              <w:t>1</w:t>
            </w:r>
            <w:r w:rsidRPr="005B7CDB">
              <w:rPr>
                <w:rFonts w:ascii="楷体" w:eastAsia="楷体" w:hAnsi="楷体" w:hint="eastAsia"/>
                <w:color w:val="FF6600"/>
              </w:rPr>
              <w:t>：基金行业近期动态及点评</w:t>
            </w:r>
          </w:p>
        </w:tc>
      </w:tr>
      <w:tr w:rsidR="00E96BC3" w:rsidRPr="00F605BC" w:rsidTr="00B9333A">
        <w:trPr>
          <w:cantSplit/>
          <w:trHeight w:val="284"/>
        </w:trPr>
        <w:tc>
          <w:tcPr>
            <w:tcW w:w="5812" w:type="dxa"/>
            <w:tcBorders>
              <w:right w:val="single" w:sz="6" w:space="0" w:color="FF6600"/>
            </w:tcBorders>
            <w:shd w:val="clear" w:color="auto" w:fill="FDE9D9"/>
            <w:vAlign w:val="center"/>
          </w:tcPr>
          <w:p w:rsidR="00E96BC3" w:rsidRPr="002656A6" w:rsidRDefault="00E96BC3" w:rsidP="00946BF2">
            <w:pPr>
              <w:snapToGrid w:val="0"/>
              <w:jc w:val="center"/>
              <w:rPr>
                <w:rFonts w:ascii="楷体" w:eastAsia="楷体" w:hAnsi="楷体" w:cs="Arial"/>
                <w:color w:val="000000"/>
                <w:sz w:val="18"/>
                <w:szCs w:val="18"/>
              </w:rPr>
            </w:pPr>
            <w:r w:rsidRPr="00F605BC">
              <w:rPr>
                <w:rFonts w:ascii="楷体" w:eastAsia="楷体" w:hAnsi="楷体" w:hint="eastAsia"/>
                <w:b/>
                <w:sz w:val="18"/>
                <w:szCs w:val="18"/>
              </w:rPr>
              <w:t>微新闻</w:t>
            </w:r>
          </w:p>
        </w:tc>
        <w:tc>
          <w:tcPr>
            <w:tcW w:w="4988" w:type="dxa"/>
            <w:tcBorders>
              <w:left w:val="single" w:sz="6" w:space="0" w:color="FF6600"/>
            </w:tcBorders>
            <w:shd w:val="clear" w:color="auto" w:fill="FDE9D9"/>
            <w:vAlign w:val="center"/>
          </w:tcPr>
          <w:p w:rsidR="00E96BC3" w:rsidRPr="00F605BC" w:rsidRDefault="00E96BC3" w:rsidP="004E0B0C">
            <w:pPr>
              <w:snapToGrid w:val="0"/>
              <w:jc w:val="center"/>
              <w:rPr>
                <w:rFonts w:ascii="楷体" w:eastAsia="楷体" w:hAnsi="楷体"/>
                <w:b/>
                <w:sz w:val="18"/>
                <w:szCs w:val="18"/>
              </w:rPr>
            </w:pPr>
            <w:r w:rsidRPr="00F605BC">
              <w:rPr>
                <w:rFonts w:ascii="楷体" w:eastAsia="楷体" w:hAnsi="楷体" w:hint="eastAsia"/>
                <w:b/>
                <w:sz w:val="18"/>
                <w:szCs w:val="18"/>
              </w:rPr>
              <w:t>微点评</w:t>
            </w:r>
          </w:p>
        </w:tc>
      </w:tr>
      <w:tr w:rsidR="00E96BC3" w:rsidRPr="00F605BC" w:rsidTr="0046411E">
        <w:trPr>
          <w:cantSplit/>
          <w:trHeight w:val="719"/>
        </w:trPr>
        <w:tc>
          <w:tcPr>
            <w:tcW w:w="5812" w:type="dxa"/>
            <w:tcBorders>
              <w:right w:val="single" w:sz="6" w:space="0" w:color="FF6600"/>
            </w:tcBorders>
            <w:vAlign w:val="center"/>
          </w:tcPr>
          <w:p w:rsidR="00E96BC3" w:rsidRPr="002656A6" w:rsidRDefault="00E96BC3" w:rsidP="002656A6">
            <w:pPr>
              <w:pStyle w:val="NormalWeb"/>
              <w:snapToGrid w:val="0"/>
              <w:rPr>
                <w:rFonts w:ascii="楷体" w:eastAsia="楷体" w:hAnsi="楷体" w:cs="Arial"/>
                <w:color w:val="000000"/>
                <w:sz w:val="18"/>
                <w:szCs w:val="18"/>
              </w:rPr>
            </w:pPr>
            <w:r w:rsidRPr="002656A6">
              <w:rPr>
                <w:rFonts w:ascii="楷体" w:eastAsia="楷体" w:hAnsi="楷体" w:cs="Arial" w:hint="eastAsia"/>
                <w:color w:val="000000"/>
                <w:sz w:val="18"/>
                <w:szCs w:val="18"/>
              </w:rPr>
              <w:t>美国纽约</w:t>
            </w:r>
            <w:r w:rsidRPr="002656A6">
              <w:rPr>
                <w:rFonts w:ascii="楷体" w:eastAsia="楷体" w:hAnsi="楷体" w:cs="Arial"/>
                <w:color w:val="000000"/>
                <w:sz w:val="18"/>
                <w:szCs w:val="18"/>
              </w:rPr>
              <w:t>ETF</w:t>
            </w:r>
            <w:r w:rsidRPr="002656A6">
              <w:rPr>
                <w:rFonts w:ascii="楷体" w:eastAsia="楷体" w:hAnsi="楷体" w:cs="Arial" w:hint="eastAsia"/>
                <w:color w:val="000000"/>
                <w:sz w:val="18"/>
                <w:szCs w:val="18"/>
              </w:rPr>
              <w:t>资产管理公司</w:t>
            </w:r>
            <w:r w:rsidRPr="002656A6">
              <w:rPr>
                <w:rFonts w:ascii="楷体" w:eastAsia="楷体" w:hAnsi="楷体" w:cs="Arial"/>
                <w:color w:val="000000"/>
                <w:sz w:val="18"/>
                <w:szCs w:val="18"/>
              </w:rPr>
              <w:t>Global X</w:t>
            </w:r>
            <w:r w:rsidRPr="002656A6">
              <w:rPr>
                <w:rFonts w:ascii="楷体" w:eastAsia="楷体" w:hAnsi="楷体" w:cs="Arial" w:hint="eastAsia"/>
                <w:color w:val="000000"/>
                <w:sz w:val="18"/>
                <w:szCs w:val="18"/>
              </w:rPr>
              <w:t>与广发国际资产管理公司推出一只中国境内债券</w:t>
            </w:r>
            <w:r w:rsidRPr="002656A6">
              <w:rPr>
                <w:rFonts w:ascii="楷体" w:eastAsia="楷体" w:hAnsi="楷体" w:cs="Arial"/>
                <w:color w:val="000000"/>
                <w:sz w:val="18"/>
                <w:szCs w:val="18"/>
              </w:rPr>
              <w:t>ETF</w:t>
            </w:r>
            <w:r w:rsidRPr="002656A6">
              <w:rPr>
                <w:rFonts w:ascii="楷体" w:eastAsia="楷体" w:hAnsi="楷体" w:cs="Arial" w:hint="eastAsia"/>
                <w:color w:val="000000"/>
                <w:sz w:val="18"/>
                <w:szCs w:val="18"/>
              </w:rPr>
              <w:t>，产品将跟踪由标普指数公司和广发国际共同研发的标普中国全债精选指数，该指数预期投资政府债券比重为</w:t>
            </w:r>
            <w:r w:rsidRPr="002656A6">
              <w:rPr>
                <w:rFonts w:ascii="楷体" w:eastAsia="楷体" w:hAnsi="楷体" w:cs="Arial"/>
                <w:color w:val="000000"/>
                <w:sz w:val="18"/>
                <w:szCs w:val="18"/>
              </w:rPr>
              <w:t>23%</w:t>
            </w:r>
            <w:r w:rsidRPr="002656A6">
              <w:rPr>
                <w:rFonts w:ascii="楷体" w:eastAsia="楷体" w:hAnsi="楷体" w:cs="Arial" w:hint="eastAsia"/>
                <w:color w:val="000000"/>
                <w:sz w:val="18"/>
                <w:szCs w:val="18"/>
              </w:rPr>
              <w:t>，政策性银行债券比重为</w:t>
            </w:r>
            <w:r w:rsidRPr="002656A6">
              <w:rPr>
                <w:rFonts w:ascii="楷体" w:eastAsia="楷体" w:hAnsi="楷体" w:cs="Arial"/>
                <w:color w:val="000000"/>
                <w:sz w:val="18"/>
                <w:szCs w:val="18"/>
              </w:rPr>
              <w:t>32%</w:t>
            </w:r>
            <w:r w:rsidRPr="002656A6">
              <w:rPr>
                <w:rFonts w:ascii="楷体" w:eastAsia="楷体" w:hAnsi="楷体" w:cs="Arial" w:hint="eastAsia"/>
                <w:color w:val="000000"/>
                <w:sz w:val="18"/>
                <w:szCs w:val="18"/>
              </w:rPr>
              <w:t>，中央直属企业债券比重为</w:t>
            </w:r>
            <w:r w:rsidRPr="002656A6">
              <w:rPr>
                <w:rFonts w:ascii="楷体" w:eastAsia="楷体" w:hAnsi="楷体" w:cs="Arial"/>
                <w:color w:val="000000"/>
                <w:sz w:val="18"/>
                <w:szCs w:val="18"/>
              </w:rPr>
              <w:t>45%</w:t>
            </w:r>
            <w:r w:rsidRPr="002656A6">
              <w:rPr>
                <w:rFonts w:ascii="楷体" w:eastAsia="楷体" w:hAnsi="楷体" w:cs="Arial" w:hint="eastAsia"/>
                <w:color w:val="000000"/>
                <w:sz w:val="18"/>
                <w:szCs w:val="18"/>
              </w:rPr>
              <w:t>。</w:t>
            </w:r>
          </w:p>
        </w:tc>
        <w:tc>
          <w:tcPr>
            <w:tcW w:w="4988" w:type="dxa"/>
            <w:tcBorders>
              <w:left w:val="single" w:sz="6" w:space="0" w:color="FF6600"/>
            </w:tcBorders>
            <w:vAlign w:val="center"/>
          </w:tcPr>
          <w:p w:rsidR="00E96BC3" w:rsidRPr="002656A6" w:rsidRDefault="00E96BC3" w:rsidP="002656A6">
            <w:pPr>
              <w:pStyle w:val="NormalWeb"/>
              <w:snapToGrid w:val="0"/>
              <w:rPr>
                <w:rFonts w:ascii="楷体" w:eastAsia="楷体" w:hAnsi="楷体" w:cs="Arial"/>
                <w:color w:val="000000"/>
                <w:sz w:val="18"/>
                <w:szCs w:val="18"/>
              </w:rPr>
            </w:pPr>
            <w:r w:rsidRPr="002656A6">
              <w:rPr>
                <w:rFonts w:ascii="楷体" w:eastAsia="楷体" w:hAnsi="楷体" w:cs="Arial" w:hint="eastAsia"/>
                <w:color w:val="000000"/>
                <w:sz w:val="18"/>
                <w:szCs w:val="18"/>
              </w:rPr>
              <w:t>该产品的诞生丰富了</w:t>
            </w:r>
            <w:r w:rsidRPr="002656A6">
              <w:rPr>
                <w:rFonts w:ascii="楷体" w:eastAsia="楷体" w:hAnsi="楷体" w:cs="Arial"/>
                <w:color w:val="000000"/>
                <w:sz w:val="18"/>
                <w:szCs w:val="18"/>
              </w:rPr>
              <w:t>RQFII</w:t>
            </w:r>
            <w:r w:rsidRPr="002656A6">
              <w:rPr>
                <w:rFonts w:ascii="楷体" w:eastAsia="楷体" w:hAnsi="楷体" w:cs="Arial" w:hint="eastAsia"/>
                <w:color w:val="000000"/>
                <w:sz w:val="18"/>
                <w:szCs w:val="18"/>
              </w:rPr>
              <w:t>产品类型，为美国投资者投资境内债券市场提供选择，推动了人民币债券市场国际化，</w:t>
            </w:r>
            <w:r>
              <w:rPr>
                <w:rFonts w:ascii="楷体" w:eastAsia="楷体" w:hAnsi="楷体" w:cs="Arial" w:hint="eastAsia"/>
                <w:color w:val="000000"/>
                <w:sz w:val="18"/>
                <w:szCs w:val="18"/>
              </w:rPr>
              <w:t>也</w:t>
            </w:r>
            <w:r w:rsidRPr="002656A6">
              <w:rPr>
                <w:rFonts w:ascii="楷体" w:eastAsia="楷体" w:hAnsi="楷体" w:cs="Arial" w:hint="eastAsia"/>
                <w:color w:val="000000"/>
                <w:sz w:val="18"/>
                <w:szCs w:val="18"/>
              </w:rPr>
              <w:t>表明国际资本市场对中国评级机构和评级标准的认可。</w:t>
            </w:r>
          </w:p>
        </w:tc>
      </w:tr>
      <w:tr w:rsidR="00E96BC3" w:rsidRPr="00F605BC" w:rsidTr="004125BB">
        <w:trPr>
          <w:cantSplit/>
          <w:trHeight w:val="863"/>
        </w:trPr>
        <w:tc>
          <w:tcPr>
            <w:tcW w:w="5812" w:type="dxa"/>
            <w:tcBorders>
              <w:right w:val="single" w:sz="6" w:space="0" w:color="FF6600"/>
            </w:tcBorders>
            <w:vAlign w:val="center"/>
          </w:tcPr>
          <w:p w:rsidR="00E96BC3" w:rsidRPr="002656A6" w:rsidRDefault="00E96BC3" w:rsidP="002656A6">
            <w:pPr>
              <w:pStyle w:val="NormalWeb"/>
              <w:snapToGrid w:val="0"/>
              <w:rPr>
                <w:rFonts w:ascii="楷体" w:eastAsia="楷体" w:hAnsi="楷体" w:cs="Arial"/>
                <w:color w:val="000000"/>
                <w:sz w:val="18"/>
                <w:szCs w:val="18"/>
              </w:rPr>
            </w:pPr>
            <w:r w:rsidRPr="002656A6">
              <w:rPr>
                <w:rFonts w:ascii="楷体" w:eastAsia="楷体" w:hAnsi="楷体" w:cs="Arial"/>
                <w:color w:val="000000"/>
                <w:sz w:val="18"/>
                <w:szCs w:val="18"/>
              </w:rPr>
              <w:t>11</w:t>
            </w:r>
            <w:r w:rsidRPr="002656A6">
              <w:rPr>
                <w:rFonts w:ascii="楷体" w:eastAsia="楷体" w:hAnsi="楷体" w:cs="Arial" w:hint="eastAsia"/>
                <w:color w:val="000000"/>
                <w:sz w:val="18"/>
                <w:szCs w:val="18"/>
              </w:rPr>
              <w:t>月</w:t>
            </w:r>
            <w:r w:rsidRPr="002656A6">
              <w:rPr>
                <w:rFonts w:ascii="楷体" w:eastAsia="楷体" w:hAnsi="楷体" w:cs="Arial"/>
                <w:color w:val="000000"/>
                <w:sz w:val="18"/>
                <w:szCs w:val="18"/>
              </w:rPr>
              <w:t>21</w:t>
            </w:r>
            <w:r w:rsidRPr="002656A6">
              <w:rPr>
                <w:rFonts w:ascii="楷体" w:eastAsia="楷体" w:hAnsi="楷体" w:cs="Arial" w:hint="eastAsia"/>
                <w:color w:val="000000"/>
                <w:sz w:val="18"/>
                <w:szCs w:val="18"/>
              </w:rPr>
              <w:t>日晚，央行发布消息称自</w:t>
            </w:r>
            <w:r w:rsidRPr="002656A6">
              <w:rPr>
                <w:rFonts w:ascii="楷体" w:eastAsia="楷体" w:hAnsi="楷体" w:cs="Arial"/>
                <w:color w:val="000000"/>
                <w:sz w:val="18"/>
                <w:szCs w:val="18"/>
              </w:rPr>
              <w:t>2014</w:t>
            </w:r>
            <w:r w:rsidRPr="002656A6">
              <w:rPr>
                <w:rFonts w:ascii="楷体" w:eastAsia="楷体" w:hAnsi="楷体" w:cs="Arial" w:hint="eastAsia"/>
                <w:color w:val="000000"/>
                <w:sz w:val="18"/>
                <w:szCs w:val="18"/>
              </w:rPr>
              <w:t>年</w:t>
            </w:r>
            <w:r w:rsidRPr="002656A6">
              <w:rPr>
                <w:rFonts w:ascii="楷体" w:eastAsia="楷体" w:hAnsi="楷体" w:cs="Arial"/>
                <w:color w:val="000000"/>
                <w:sz w:val="18"/>
                <w:szCs w:val="18"/>
              </w:rPr>
              <w:t>11</w:t>
            </w:r>
            <w:r w:rsidRPr="002656A6">
              <w:rPr>
                <w:rFonts w:ascii="楷体" w:eastAsia="楷体" w:hAnsi="楷体" w:cs="Arial" w:hint="eastAsia"/>
                <w:color w:val="000000"/>
                <w:sz w:val="18"/>
                <w:szCs w:val="18"/>
              </w:rPr>
              <w:t>月</w:t>
            </w:r>
            <w:r w:rsidRPr="002656A6">
              <w:rPr>
                <w:rFonts w:ascii="楷体" w:eastAsia="楷体" w:hAnsi="楷体" w:cs="Arial"/>
                <w:color w:val="000000"/>
                <w:sz w:val="18"/>
                <w:szCs w:val="18"/>
              </w:rPr>
              <w:t>22</w:t>
            </w:r>
            <w:r w:rsidRPr="002656A6">
              <w:rPr>
                <w:rFonts w:ascii="楷体" w:eastAsia="楷体" w:hAnsi="楷体" w:cs="Arial" w:hint="eastAsia"/>
                <w:color w:val="000000"/>
                <w:sz w:val="18"/>
                <w:szCs w:val="18"/>
              </w:rPr>
              <w:t>日起，一年期贷款基准</w:t>
            </w:r>
            <w:hyperlink r:id="rId9" w:tgtFrame="_blank" w:history="1">
              <w:r w:rsidRPr="002656A6">
                <w:rPr>
                  <w:rFonts w:ascii="楷体" w:eastAsia="楷体" w:hAnsi="楷体" w:cs="Arial" w:hint="eastAsia"/>
                  <w:color w:val="000000"/>
                  <w:sz w:val="18"/>
                  <w:szCs w:val="18"/>
                </w:rPr>
                <w:t>利率</w:t>
              </w:r>
            </w:hyperlink>
            <w:r w:rsidRPr="002656A6">
              <w:rPr>
                <w:rFonts w:ascii="楷体" w:eastAsia="楷体" w:hAnsi="楷体" w:cs="Arial" w:hint="eastAsia"/>
                <w:color w:val="000000"/>
                <w:sz w:val="18"/>
                <w:szCs w:val="18"/>
              </w:rPr>
              <w:t>下调</w:t>
            </w:r>
            <w:r w:rsidRPr="002656A6">
              <w:rPr>
                <w:rFonts w:ascii="楷体" w:eastAsia="楷体" w:hAnsi="楷体" w:cs="Arial"/>
                <w:color w:val="000000"/>
                <w:sz w:val="18"/>
                <w:szCs w:val="18"/>
              </w:rPr>
              <w:t>0.4</w:t>
            </w:r>
            <w:r w:rsidRPr="002656A6">
              <w:rPr>
                <w:rFonts w:ascii="楷体" w:eastAsia="楷体" w:hAnsi="楷体" w:cs="Arial" w:hint="eastAsia"/>
                <w:color w:val="000000"/>
                <w:sz w:val="18"/>
                <w:szCs w:val="18"/>
              </w:rPr>
              <w:t>个百分点至</w:t>
            </w:r>
            <w:r w:rsidRPr="002656A6">
              <w:rPr>
                <w:rFonts w:ascii="楷体" w:eastAsia="楷体" w:hAnsi="楷体" w:cs="Arial"/>
                <w:color w:val="000000"/>
                <w:sz w:val="18"/>
                <w:szCs w:val="18"/>
              </w:rPr>
              <w:t>5.6%</w:t>
            </w:r>
            <w:r>
              <w:rPr>
                <w:rFonts w:ascii="楷体" w:eastAsia="楷体" w:hAnsi="楷体" w:cs="Arial" w:hint="eastAsia"/>
                <w:color w:val="000000"/>
                <w:sz w:val="18"/>
                <w:szCs w:val="18"/>
              </w:rPr>
              <w:t>，</w:t>
            </w:r>
            <w:r w:rsidRPr="002656A6">
              <w:rPr>
                <w:rFonts w:ascii="楷体" w:eastAsia="楷体" w:hAnsi="楷体" w:cs="Arial" w:hint="eastAsia"/>
                <w:color w:val="000000"/>
                <w:sz w:val="18"/>
                <w:szCs w:val="18"/>
              </w:rPr>
              <w:t>一年期存款基准利率下调</w:t>
            </w:r>
            <w:r w:rsidRPr="002656A6">
              <w:rPr>
                <w:rFonts w:ascii="楷体" w:eastAsia="楷体" w:hAnsi="楷体" w:cs="Arial"/>
                <w:color w:val="000000"/>
                <w:sz w:val="18"/>
                <w:szCs w:val="18"/>
              </w:rPr>
              <w:t>0.25</w:t>
            </w:r>
            <w:r w:rsidRPr="002656A6">
              <w:rPr>
                <w:rFonts w:ascii="楷体" w:eastAsia="楷体" w:hAnsi="楷体" w:cs="Arial" w:hint="eastAsia"/>
                <w:color w:val="000000"/>
                <w:sz w:val="18"/>
                <w:szCs w:val="18"/>
              </w:rPr>
              <w:t>个百分点至</w:t>
            </w:r>
            <w:r w:rsidRPr="002656A6">
              <w:rPr>
                <w:rFonts w:ascii="楷体" w:eastAsia="楷体" w:hAnsi="楷体" w:cs="Arial"/>
                <w:color w:val="000000"/>
                <w:sz w:val="18"/>
                <w:szCs w:val="18"/>
              </w:rPr>
              <w:t>2.75%</w:t>
            </w:r>
            <w:r w:rsidRPr="002656A6">
              <w:rPr>
                <w:rFonts w:ascii="楷体" w:eastAsia="楷体" w:hAnsi="楷体" w:cs="Arial" w:hint="eastAsia"/>
                <w:color w:val="000000"/>
                <w:sz w:val="18"/>
                <w:szCs w:val="18"/>
              </w:rPr>
              <w:t>，同时将金融机构存款利率浮动区间的上限由存款基准利率的</w:t>
            </w:r>
            <w:r w:rsidRPr="002656A6">
              <w:rPr>
                <w:rFonts w:ascii="楷体" w:eastAsia="楷体" w:hAnsi="楷体" w:cs="Arial"/>
                <w:color w:val="000000"/>
                <w:sz w:val="18"/>
                <w:szCs w:val="18"/>
              </w:rPr>
              <w:t>1.1</w:t>
            </w:r>
            <w:r w:rsidRPr="002656A6">
              <w:rPr>
                <w:rFonts w:ascii="楷体" w:eastAsia="楷体" w:hAnsi="楷体" w:cs="Arial" w:hint="eastAsia"/>
                <w:color w:val="000000"/>
                <w:sz w:val="18"/>
                <w:szCs w:val="18"/>
              </w:rPr>
              <w:t>倍调整为</w:t>
            </w:r>
            <w:r w:rsidRPr="002656A6">
              <w:rPr>
                <w:rFonts w:ascii="楷体" w:eastAsia="楷体" w:hAnsi="楷体" w:cs="Arial"/>
                <w:color w:val="000000"/>
                <w:sz w:val="18"/>
                <w:szCs w:val="18"/>
              </w:rPr>
              <w:t>1.2</w:t>
            </w:r>
            <w:r>
              <w:rPr>
                <w:rFonts w:ascii="楷体" w:eastAsia="楷体" w:hAnsi="楷体" w:cs="Arial" w:hint="eastAsia"/>
                <w:color w:val="000000"/>
                <w:sz w:val="18"/>
                <w:szCs w:val="18"/>
              </w:rPr>
              <w:t>倍，</w:t>
            </w:r>
            <w:r w:rsidRPr="002656A6">
              <w:rPr>
                <w:rFonts w:ascii="楷体" w:eastAsia="楷体" w:hAnsi="楷体" w:cs="Arial" w:hint="eastAsia"/>
                <w:color w:val="000000"/>
                <w:sz w:val="18"/>
                <w:szCs w:val="18"/>
              </w:rPr>
              <w:t>其他各档次贷款和存款基准利率相应调整</w:t>
            </w:r>
            <w:r>
              <w:rPr>
                <w:rFonts w:ascii="楷体" w:eastAsia="楷体" w:hAnsi="楷体" w:cs="Arial" w:hint="eastAsia"/>
                <w:color w:val="000000"/>
                <w:sz w:val="18"/>
                <w:szCs w:val="18"/>
              </w:rPr>
              <w:t>。</w:t>
            </w:r>
          </w:p>
        </w:tc>
        <w:tc>
          <w:tcPr>
            <w:tcW w:w="4988" w:type="dxa"/>
            <w:tcBorders>
              <w:left w:val="single" w:sz="6" w:space="0" w:color="FF6600"/>
            </w:tcBorders>
            <w:vAlign w:val="center"/>
          </w:tcPr>
          <w:p w:rsidR="00E96BC3" w:rsidRPr="002656A6" w:rsidRDefault="00E96BC3" w:rsidP="002656A6">
            <w:pPr>
              <w:pStyle w:val="NormalWeb"/>
              <w:snapToGrid w:val="0"/>
              <w:rPr>
                <w:rFonts w:ascii="楷体" w:eastAsia="楷体" w:hAnsi="楷体" w:cs="Arial"/>
                <w:color w:val="000000"/>
                <w:sz w:val="18"/>
                <w:szCs w:val="18"/>
              </w:rPr>
            </w:pPr>
            <w:r w:rsidRPr="002656A6">
              <w:rPr>
                <w:rFonts w:ascii="楷体" w:eastAsia="楷体" w:hAnsi="楷体" w:cs="Arial" w:hint="eastAsia"/>
                <w:color w:val="000000"/>
                <w:sz w:val="18"/>
                <w:szCs w:val="18"/>
              </w:rPr>
              <w:t>本次降息幅度为六年以来最大的一次，符合降低社会融资成本的政策方向</w:t>
            </w:r>
            <w:r>
              <w:rPr>
                <w:rFonts w:ascii="楷体" w:eastAsia="楷体" w:hAnsi="楷体" w:cs="Arial" w:hint="eastAsia"/>
                <w:color w:val="000000"/>
                <w:sz w:val="18"/>
                <w:szCs w:val="18"/>
              </w:rPr>
              <w:t>，因为</w:t>
            </w:r>
            <w:r w:rsidRPr="002656A6">
              <w:rPr>
                <w:rFonts w:ascii="楷体" w:eastAsia="楷体" w:hAnsi="楷体" w:cs="Arial" w:hint="eastAsia"/>
                <w:color w:val="000000"/>
                <w:sz w:val="18"/>
                <w:szCs w:val="18"/>
              </w:rPr>
              <w:t>消息早于市场预期，因此对</w:t>
            </w:r>
            <w:r w:rsidRPr="002656A6">
              <w:rPr>
                <w:rFonts w:ascii="楷体" w:eastAsia="楷体" w:hAnsi="楷体" w:cs="Arial"/>
                <w:color w:val="000000"/>
                <w:sz w:val="18"/>
                <w:szCs w:val="18"/>
              </w:rPr>
              <w:t>A</w:t>
            </w:r>
            <w:r w:rsidRPr="002656A6">
              <w:rPr>
                <w:rFonts w:ascii="楷体" w:eastAsia="楷体" w:hAnsi="楷体" w:cs="Arial" w:hint="eastAsia"/>
                <w:color w:val="000000"/>
                <w:sz w:val="18"/>
                <w:szCs w:val="18"/>
              </w:rPr>
              <w:t>股有积极的影响，非银金融和地产等利率敏感型领域将受益较多</w:t>
            </w:r>
            <w:r>
              <w:rPr>
                <w:rFonts w:ascii="楷体" w:eastAsia="楷体" w:hAnsi="楷体" w:cs="Arial" w:hint="eastAsia"/>
                <w:color w:val="000000"/>
                <w:sz w:val="18"/>
                <w:szCs w:val="18"/>
              </w:rPr>
              <w:t>。</w:t>
            </w:r>
          </w:p>
        </w:tc>
      </w:tr>
    </w:tbl>
    <w:p w:rsidR="00E96BC3" w:rsidRPr="002656A6" w:rsidRDefault="00E96BC3" w:rsidP="002656A6">
      <w:pPr>
        <w:pStyle w:val="FootnoteNoline"/>
        <w:ind w:left="0"/>
        <w:rPr>
          <w:rFonts w:ascii="楷体" w:eastAsia="楷体" w:hAnsi="楷体"/>
          <w:color w:val="FF6600"/>
          <w:lang w:val="en-US"/>
        </w:rPr>
      </w:pPr>
      <w:r w:rsidRPr="005B7CDB">
        <w:rPr>
          <w:rFonts w:ascii="楷体" w:eastAsia="楷体" w:hAnsi="楷体" w:hint="eastAsia"/>
          <w:color w:val="FF6600"/>
          <w:lang w:val="en-US"/>
        </w:rPr>
        <w:t>来源：凯石财富工场</w:t>
      </w:r>
    </w:p>
    <w:p w:rsidR="00E96BC3" w:rsidRPr="005B7CDB" w:rsidRDefault="00E96BC3" w:rsidP="006A5488">
      <w:pPr>
        <w:widowControl/>
        <w:spacing w:after="120"/>
        <w:ind w:left="3430"/>
        <w:rPr>
          <w:rFonts w:ascii="楷体" w:eastAsia="楷体" w:hAnsi="楷体"/>
          <w:b/>
          <w:bCs/>
          <w:color w:val="0070C0"/>
          <w:kern w:val="0"/>
          <w:sz w:val="24"/>
          <w:szCs w:val="20"/>
          <w:lang w:val="en-GB"/>
        </w:rPr>
      </w:pPr>
      <w:r w:rsidRPr="005B7CDB">
        <w:rPr>
          <w:rFonts w:ascii="楷体" w:eastAsia="楷体" w:hAnsi="楷体" w:hint="eastAsia"/>
          <w:b/>
          <w:bCs/>
          <w:color w:val="0070C0"/>
          <w:kern w:val="0"/>
          <w:sz w:val="24"/>
          <w:szCs w:val="20"/>
          <w:lang w:val="en-GB"/>
        </w:rPr>
        <w:t>公募基金一周业绩：</w:t>
      </w:r>
    </w:p>
    <w:p w:rsidR="00E96BC3" w:rsidRPr="00CD04CF" w:rsidRDefault="00E96BC3" w:rsidP="00CD04CF">
      <w:pPr>
        <w:widowControl/>
        <w:spacing w:after="120"/>
        <w:ind w:left="3430"/>
        <w:rPr>
          <w:rFonts w:ascii="楷体" w:eastAsia="楷体" w:hAnsi="楷体"/>
          <w:b/>
          <w:bCs/>
          <w:color w:val="0070C0"/>
          <w:kern w:val="0"/>
          <w:szCs w:val="21"/>
          <w:lang w:val="en-GB"/>
        </w:rPr>
      </w:pPr>
      <w:r w:rsidRPr="005B7CDB">
        <w:rPr>
          <w:rFonts w:ascii="楷体" w:eastAsia="楷体" w:hAnsi="楷体" w:hint="eastAsia"/>
          <w:b/>
          <w:bCs/>
          <w:color w:val="0070C0"/>
          <w:kern w:val="0"/>
          <w:szCs w:val="21"/>
          <w:lang w:val="en-GB"/>
        </w:rPr>
        <w:t>国内外股市一周表现：</w:t>
      </w:r>
      <w:r>
        <w:rPr>
          <w:rFonts w:ascii="楷体" w:eastAsia="楷体" w:hAnsi="楷体" w:hint="eastAsia"/>
          <w:b/>
          <w:bCs/>
          <w:color w:val="0070C0"/>
          <w:kern w:val="0"/>
          <w:szCs w:val="21"/>
          <w:lang w:val="en-GB"/>
        </w:rPr>
        <w:t>国内</w:t>
      </w:r>
      <w:r>
        <w:rPr>
          <w:rFonts w:ascii="楷体" w:eastAsia="楷体" w:hAnsi="楷体"/>
          <w:b/>
          <w:bCs/>
          <w:color w:val="0070C0"/>
          <w:kern w:val="0"/>
          <w:szCs w:val="21"/>
          <w:lang w:val="en-GB"/>
        </w:rPr>
        <w:t>A</w:t>
      </w:r>
      <w:r>
        <w:rPr>
          <w:rFonts w:ascii="楷体" w:eastAsia="楷体" w:hAnsi="楷体" w:hint="eastAsia"/>
          <w:b/>
          <w:bCs/>
          <w:color w:val="0070C0"/>
          <w:kern w:val="0"/>
          <w:szCs w:val="21"/>
          <w:lang w:val="en-GB"/>
        </w:rPr>
        <w:t>股震荡调整，美股微涨港股微跌</w:t>
      </w:r>
    </w:p>
    <w:p w:rsidR="00E96BC3" w:rsidRPr="007610A6" w:rsidRDefault="00E96BC3" w:rsidP="007610A6">
      <w:pPr>
        <w:pStyle w:val="BodyText"/>
        <w:numPr>
          <w:ilvl w:val="4"/>
          <w:numId w:val="1"/>
        </w:numPr>
        <w:spacing w:after="163"/>
        <w:rPr>
          <w:rFonts w:ascii="楷体" w:eastAsia="楷体" w:hAnsi="楷体"/>
          <w:szCs w:val="21"/>
        </w:rPr>
      </w:pPr>
      <w:r w:rsidRPr="004C3182">
        <w:rPr>
          <w:rFonts w:ascii="楷体" w:eastAsia="楷体" w:hAnsi="楷体" w:hint="eastAsia"/>
          <w:szCs w:val="21"/>
        </w:rPr>
        <w:t>截至</w:t>
      </w:r>
      <w:r w:rsidRPr="004C3182">
        <w:rPr>
          <w:rFonts w:ascii="楷体" w:eastAsia="楷体" w:hAnsi="楷体"/>
          <w:szCs w:val="21"/>
        </w:rPr>
        <w:t>11</w:t>
      </w:r>
      <w:r w:rsidRPr="004C3182">
        <w:rPr>
          <w:rFonts w:ascii="楷体" w:eastAsia="楷体" w:hAnsi="楷体" w:hint="eastAsia"/>
          <w:szCs w:val="21"/>
        </w:rPr>
        <w:t>月</w:t>
      </w:r>
      <w:r w:rsidRPr="004C3182">
        <w:rPr>
          <w:rFonts w:ascii="楷体" w:eastAsia="楷体" w:hAnsi="楷体"/>
          <w:szCs w:val="21"/>
        </w:rPr>
        <w:t>21</w:t>
      </w:r>
      <w:r w:rsidRPr="004C3182">
        <w:rPr>
          <w:rFonts w:ascii="楷体" w:eastAsia="楷体" w:hAnsi="楷体" w:hint="eastAsia"/>
          <w:szCs w:val="21"/>
        </w:rPr>
        <w:t>日的一周，</w:t>
      </w:r>
      <w:r w:rsidRPr="004C3182">
        <w:rPr>
          <w:rFonts w:ascii="楷体" w:eastAsia="楷体" w:hAnsi="楷体"/>
          <w:szCs w:val="21"/>
        </w:rPr>
        <w:t>A</w:t>
      </w:r>
      <w:r w:rsidRPr="004C3182">
        <w:rPr>
          <w:rFonts w:ascii="楷体" w:eastAsia="楷体" w:hAnsi="楷体" w:hint="eastAsia"/>
          <w:szCs w:val="21"/>
        </w:rPr>
        <w:t>股市场震荡回调，指数阶段性休整，创业板反弹较大。整周来看，上证指数和沪深</w:t>
      </w:r>
      <w:r w:rsidRPr="004C3182">
        <w:rPr>
          <w:rFonts w:ascii="楷体" w:eastAsia="楷体" w:hAnsi="楷体"/>
          <w:szCs w:val="21"/>
        </w:rPr>
        <w:t>300</w:t>
      </w:r>
      <w:r w:rsidRPr="004C3182">
        <w:rPr>
          <w:rFonts w:ascii="楷体" w:eastAsia="楷体" w:hAnsi="楷体" w:hint="eastAsia"/>
          <w:szCs w:val="21"/>
        </w:rPr>
        <w:t>分别上涨</w:t>
      </w:r>
      <w:r w:rsidRPr="004C3182">
        <w:rPr>
          <w:rFonts w:ascii="楷体" w:eastAsia="楷体" w:hAnsi="楷体"/>
          <w:szCs w:val="21"/>
        </w:rPr>
        <w:t>0.32%</w:t>
      </w:r>
      <w:r w:rsidRPr="004C3182">
        <w:rPr>
          <w:rFonts w:ascii="楷体" w:eastAsia="楷体" w:hAnsi="楷体" w:hint="eastAsia"/>
          <w:szCs w:val="21"/>
        </w:rPr>
        <w:t>和</w:t>
      </w:r>
      <w:r w:rsidRPr="004C3182">
        <w:rPr>
          <w:rFonts w:ascii="楷体" w:eastAsia="楷体" w:hAnsi="楷体"/>
          <w:szCs w:val="21"/>
        </w:rPr>
        <w:t>0.09%</w:t>
      </w:r>
      <w:r w:rsidRPr="004C3182">
        <w:rPr>
          <w:rFonts w:ascii="楷体" w:eastAsia="楷体" w:hAnsi="楷体" w:hint="eastAsia"/>
          <w:szCs w:val="21"/>
        </w:rPr>
        <w:t>，中小板指上涨</w:t>
      </w:r>
      <w:r w:rsidRPr="004C3182">
        <w:rPr>
          <w:rFonts w:ascii="楷体" w:eastAsia="楷体" w:hAnsi="楷体"/>
          <w:szCs w:val="21"/>
        </w:rPr>
        <w:t>1.90%</w:t>
      </w:r>
      <w:r w:rsidRPr="004C3182">
        <w:rPr>
          <w:rFonts w:ascii="楷体" w:eastAsia="楷体" w:hAnsi="楷体" w:hint="eastAsia"/>
          <w:szCs w:val="21"/>
        </w:rPr>
        <w:t>，创业板指上涨</w:t>
      </w:r>
      <w:r w:rsidRPr="004C3182">
        <w:rPr>
          <w:rFonts w:ascii="楷体" w:eastAsia="楷体" w:hAnsi="楷体"/>
          <w:szCs w:val="21"/>
        </w:rPr>
        <w:t>4.41%</w:t>
      </w:r>
      <w:r w:rsidRPr="004C3182">
        <w:rPr>
          <w:rFonts w:ascii="楷体" w:eastAsia="楷体" w:hAnsi="楷体" w:hint="eastAsia"/>
          <w:szCs w:val="21"/>
        </w:rPr>
        <w:t>。</w:t>
      </w:r>
      <w:r w:rsidRPr="004C3182">
        <w:rPr>
          <w:rFonts w:ascii="楷体" w:eastAsia="楷体" w:hAnsi="楷体"/>
          <w:szCs w:val="21"/>
        </w:rPr>
        <w:t>29</w:t>
      </w:r>
      <w:r w:rsidRPr="004C3182">
        <w:rPr>
          <w:rFonts w:ascii="楷体" w:eastAsia="楷体" w:hAnsi="楷体" w:hint="eastAsia"/>
          <w:szCs w:val="21"/>
        </w:rPr>
        <w:t>个中信一级行业</w:t>
      </w:r>
      <w:r w:rsidRPr="004C3182">
        <w:rPr>
          <w:rFonts w:ascii="楷体" w:eastAsia="楷体" w:hAnsi="楷体"/>
          <w:szCs w:val="21"/>
        </w:rPr>
        <w:t>26</w:t>
      </w:r>
      <w:r w:rsidRPr="004C3182">
        <w:rPr>
          <w:rFonts w:ascii="楷体" w:eastAsia="楷体" w:hAnsi="楷体" w:hint="eastAsia"/>
          <w:szCs w:val="21"/>
        </w:rPr>
        <w:t>个上涨，食品饮料（</w:t>
      </w:r>
      <w:r w:rsidRPr="004C3182">
        <w:rPr>
          <w:rFonts w:ascii="楷体" w:eastAsia="楷体" w:hAnsi="楷体"/>
          <w:szCs w:val="21"/>
        </w:rPr>
        <w:t>-0.83%</w:t>
      </w:r>
      <w:r w:rsidRPr="004C3182">
        <w:rPr>
          <w:rFonts w:ascii="楷体" w:eastAsia="楷体" w:hAnsi="楷体" w:hint="eastAsia"/>
          <w:szCs w:val="21"/>
        </w:rPr>
        <w:t>），银行（</w:t>
      </w:r>
      <w:r w:rsidRPr="004C3182">
        <w:rPr>
          <w:rFonts w:ascii="楷体" w:eastAsia="楷体" w:hAnsi="楷体"/>
          <w:szCs w:val="21"/>
        </w:rPr>
        <w:t>-2.02%</w:t>
      </w:r>
      <w:r w:rsidRPr="004C3182">
        <w:rPr>
          <w:rFonts w:ascii="楷体" w:eastAsia="楷体" w:hAnsi="楷体" w:hint="eastAsia"/>
          <w:szCs w:val="21"/>
        </w:rPr>
        <w:t>）和煤炭（</w:t>
      </w:r>
      <w:r w:rsidRPr="004C3182">
        <w:rPr>
          <w:rFonts w:ascii="楷体" w:eastAsia="楷体" w:hAnsi="楷体"/>
          <w:szCs w:val="21"/>
        </w:rPr>
        <w:t>-2.52%</w:t>
      </w:r>
      <w:r w:rsidRPr="004C3182">
        <w:rPr>
          <w:rFonts w:ascii="楷体" w:eastAsia="楷体" w:hAnsi="楷体" w:hint="eastAsia"/>
          <w:szCs w:val="21"/>
        </w:rPr>
        <w:t>）三个行业下跌，传媒（</w:t>
      </w:r>
      <w:r w:rsidRPr="004C3182">
        <w:rPr>
          <w:rFonts w:ascii="楷体" w:eastAsia="楷体" w:hAnsi="楷体"/>
          <w:szCs w:val="21"/>
        </w:rPr>
        <w:t>8.01%</w:t>
      </w:r>
      <w:r w:rsidRPr="004C3182">
        <w:rPr>
          <w:rFonts w:ascii="楷体" w:eastAsia="楷体" w:hAnsi="楷体" w:hint="eastAsia"/>
          <w:szCs w:val="21"/>
        </w:rPr>
        <w:t>）和计算机（</w:t>
      </w:r>
      <w:r w:rsidRPr="004C3182">
        <w:rPr>
          <w:rFonts w:ascii="楷体" w:eastAsia="楷体" w:hAnsi="楷体"/>
          <w:szCs w:val="21"/>
        </w:rPr>
        <w:t>6.13%</w:t>
      </w:r>
      <w:r w:rsidRPr="004C3182">
        <w:rPr>
          <w:rFonts w:ascii="楷体" w:eastAsia="楷体" w:hAnsi="楷体" w:hint="eastAsia"/>
          <w:szCs w:val="21"/>
        </w:rPr>
        <w:t>）涨幅较大。经济数据方面，</w:t>
      </w:r>
      <w:r w:rsidRPr="004C3182">
        <w:rPr>
          <w:rFonts w:ascii="楷体" w:eastAsia="楷体" w:hAnsi="楷体"/>
          <w:szCs w:val="21"/>
        </w:rPr>
        <w:t>11</w:t>
      </w:r>
      <w:r w:rsidRPr="004C3182">
        <w:rPr>
          <w:rFonts w:ascii="楷体" w:eastAsia="楷体" w:hAnsi="楷体" w:hint="eastAsia"/>
          <w:szCs w:val="21"/>
        </w:rPr>
        <w:t>月汇丰</w:t>
      </w:r>
      <w:r w:rsidRPr="004C3182">
        <w:rPr>
          <w:rFonts w:ascii="楷体" w:eastAsia="楷体" w:hAnsi="楷体"/>
          <w:szCs w:val="21"/>
        </w:rPr>
        <w:t>PMI</w:t>
      </w:r>
      <w:r w:rsidRPr="004C3182">
        <w:rPr>
          <w:rFonts w:ascii="楷体" w:eastAsia="楷体" w:hAnsi="楷体" w:hint="eastAsia"/>
          <w:szCs w:val="21"/>
        </w:rPr>
        <w:t>初值为</w:t>
      </w:r>
      <w:r w:rsidRPr="004C3182">
        <w:rPr>
          <w:rFonts w:ascii="楷体" w:eastAsia="楷体" w:hAnsi="楷体"/>
          <w:szCs w:val="21"/>
        </w:rPr>
        <w:t>50.0</w:t>
      </w:r>
      <w:r w:rsidRPr="004C3182">
        <w:rPr>
          <w:rFonts w:ascii="楷体" w:eastAsia="楷体" w:hAnsi="楷体" w:hint="eastAsia"/>
          <w:szCs w:val="21"/>
        </w:rPr>
        <w:t>，低于预期的</w:t>
      </w:r>
      <w:r w:rsidRPr="004C3182">
        <w:rPr>
          <w:rFonts w:ascii="楷体" w:eastAsia="楷体" w:hAnsi="楷体"/>
          <w:szCs w:val="21"/>
        </w:rPr>
        <w:t>50.2</w:t>
      </w:r>
      <w:r w:rsidRPr="004C3182">
        <w:rPr>
          <w:rFonts w:ascii="楷体" w:eastAsia="楷体" w:hAnsi="楷体" w:hint="eastAsia"/>
          <w:szCs w:val="21"/>
        </w:rPr>
        <w:t>，为</w:t>
      </w:r>
      <w:r w:rsidRPr="004C3182">
        <w:rPr>
          <w:rFonts w:ascii="楷体" w:eastAsia="楷体" w:hAnsi="楷体"/>
          <w:szCs w:val="21"/>
        </w:rPr>
        <w:t>6</w:t>
      </w:r>
      <w:r w:rsidRPr="004C3182">
        <w:rPr>
          <w:rFonts w:ascii="楷体" w:eastAsia="楷体" w:hAnsi="楷体" w:hint="eastAsia"/>
          <w:szCs w:val="21"/>
        </w:rPr>
        <w:t>个月以来新低，分项来看，新订单指数从</w:t>
      </w:r>
      <w:r w:rsidRPr="004C3182">
        <w:rPr>
          <w:rFonts w:ascii="楷体" w:eastAsia="楷体" w:hAnsi="楷体"/>
          <w:szCs w:val="21"/>
        </w:rPr>
        <w:t>51.2</w:t>
      </w:r>
      <w:r w:rsidRPr="004C3182">
        <w:rPr>
          <w:rFonts w:ascii="楷体" w:eastAsia="楷体" w:hAnsi="楷体" w:hint="eastAsia"/>
          <w:szCs w:val="21"/>
        </w:rPr>
        <w:t>升至</w:t>
      </w:r>
      <w:r w:rsidRPr="004C3182">
        <w:rPr>
          <w:rFonts w:ascii="楷体" w:eastAsia="楷体" w:hAnsi="楷体"/>
          <w:szCs w:val="21"/>
        </w:rPr>
        <w:t>51.4</w:t>
      </w:r>
      <w:r w:rsidRPr="004C3182">
        <w:rPr>
          <w:rFonts w:ascii="楷体" w:eastAsia="楷体" w:hAnsi="楷体" w:hint="eastAsia"/>
          <w:szCs w:val="21"/>
        </w:rPr>
        <w:t>，生产指数从</w:t>
      </w:r>
      <w:r w:rsidRPr="004C3182">
        <w:rPr>
          <w:rFonts w:ascii="楷体" w:eastAsia="楷体" w:hAnsi="楷体"/>
          <w:szCs w:val="21"/>
        </w:rPr>
        <w:t xml:space="preserve"> 50.7</w:t>
      </w:r>
      <w:r w:rsidRPr="004C3182">
        <w:rPr>
          <w:rFonts w:ascii="楷体" w:eastAsia="楷体" w:hAnsi="楷体" w:hint="eastAsia"/>
          <w:szCs w:val="21"/>
        </w:rPr>
        <w:t>降至</w:t>
      </w:r>
      <w:r w:rsidRPr="004C3182">
        <w:rPr>
          <w:rFonts w:ascii="楷体" w:eastAsia="楷体" w:hAnsi="楷体"/>
          <w:szCs w:val="21"/>
        </w:rPr>
        <w:t>49.5</w:t>
      </w:r>
      <w:r w:rsidRPr="004C3182">
        <w:rPr>
          <w:rFonts w:ascii="楷体" w:eastAsia="楷体" w:hAnsi="楷体" w:hint="eastAsia"/>
          <w:szCs w:val="21"/>
        </w:rPr>
        <w:t>，就业指数从</w:t>
      </w:r>
      <w:r w:rsidRPr="004C3182">
        <w:rPr>
          <w:rFonts w:ascii="楷体" w:eastAsia="楷体" w:hAnsi="楷体"/>
          <w:szCs w:val="21"/>
        </w:rPr>
        <w:t>48.9</w:t>
      </w:r>
      <w:r w:rsidRPr="004C3182">
        <w:rPr>
          <w:rFonts w:ascii="楷体" w:eastAsia="楷体" w:hAnsi="楷体" w:hint="eastAsia"/>
          <w:szCs w:val="21"/>
        </w:rPr>
        <w:t>降至</w:t>
      </w:r>
      <w:r w:rsidRPr="004C3182">
        <w:rPr>
          <w:rFonts w:ascii="楷体" w:eastAsia="楷体" w:hAnsi="楷体"/>
          <w:szCs w:val="21"/>
        </w:rPr>
        <w:t>48.4</w:t>
      </w:r>
      <w:r w:rsidRPr="004C3182">
        <w:rPr>
          <w:rFonts w:ascii="楷体" w:eastAsia="楷体" w:hAnsi="楷体" w:hint="eastAsia"/>
          <w:szCs w:val="21"/>
        </w:rPr>
        <w:t>，连续</w:t>
      </w:r>
      <w:r w:rsidRPr="004C3182">
        <w:rPr>
          <w:rFonts w:ascii="楷体" w:eastAsia="楷体" w:hAnsi="楷体"/>
          <w:szCs w:val="21"/>
        </w:rPr>
        <w:t>13</w:t>
      </w:r>
      <w:r>
        <w:rPr>
          <w:rFonts w:ascii="楷体" w:eastAsia="楷体" w:hAnsi="楷体" w:hint="eastAsia"/>
          <w:szCs w:val="21"/>
        </w:rPr>
        <w:t>个月处在收缩区间，劳动力市场不景气，加之</w:t>
      </w:r>
      <w:r w:rsidRPr="004C3182">
        <w:rPr>
          <w:rFonts w:ascii="楷体" w:eastAsia="楷体" w:hAnsi="楷体" w:hint="eastAsia"/>
          <w:szCs w:val="21"/>
        </w:rPr>
        <w:t>出口回落和房地产衰退，我国经济的下行压力非常明显</w:t>
      </w:r>
      <w:r>
        <w:rPr>
          <w:rFonts w:ascii="楷体" w:eastAsia="楷体" w:hAnsi="楷体" w:hint="eastAsia"/>
          <w:szCs w:val="21"/>
        </w:rPr>
        <w:t>。</w:t>
      </w:r>
    </w:p>
    <w:p w:rsidR="00E96BC3" w:rsidRPr="007610A6" w:rsidRDefault="00E96BC3" w:rsidP="005A3FE7">
      <w:pPr>
        <w:pStyle w:val="BodyText"/>
        <w:numPr>
          <w:ilvl w:val="4"/>
          <w:numId w:val="1"/>
        </w:numPr>
        <w:spacing w:after="163"/>
        <w:rPr>
          <w:rFonts w:ascii="楷体" w:eastAsia="楷体" w:hAnsi="楷体"/>
          <w:szCs w:val="21"/>
        </w:rPr>
      </w:pPr>
      <w:r w:rsidRPr="004C3182">
        <w:rPr>
          <w:rFonts w:ascii="楷体" w:eastAsia="楷体" w:hAnsi="楷体" w:hint="eastAsia"/>
          <w:szCs w:val="21"/>
        </w:rPr>
        <w:t>海外市场（</w:t>
      </w:r>
      <w:r w:rsidRPr="004C3182">
        <w:rPr>
          <w:rFonts w:ascii="楷体" w:eastAsia="楷体" w:hAnsi="楷体"/>
          <w:szCs w:val="21"/>
        </w:rPr>
        <w:t>2014.11.14~2014.11.20</w:t>
      </w:r>
      <w:r w:rsidRPr="004C3182">
        <w:rPr>
          <w:rFonts w:ascii="楷体" w:eastAsia="楷体" w:hAnsi="楷体" w:hint="eastAsia"/>
          <w:szCs w:val="21"/>
        </w:rPr>
        <w:t>），美国上周度首次申领失业救济人数已经连续十周低于</w:t>
      </w:r>
      <w:r w:rsidRPr="004C3182">
        <w:rPr>
          <w:rFonts w:ascii="楷体" w:eastAsia="楷体" w:hAnsi="楷体"/>
          <w:szCs w:val="21"/>
        </w:rPr>
        <w:t>30</w:t>
      </w:r>
      <w:r w:rsidRPr="004C3182">
        <w:rPr>
          <w:rFonts w:ascii="楷体" w:eastAsia="楷体" w:hAnsi="楷体" w:hint="eastAsia"/>
          <w:szCs w:val="21"/>
        </w:rPr>
        <w:t>万人，美国今年新增就业数量有望创十五年来新高，该数据为美股市场提供了动力，然而中国和欧洲地区的经济数据不理想使得美股涨幅受限，纳斯达克</w:t>
      </w:r>
      <w:r w:rsidRPr="004C3182">
        <w:rPr>
          <w:rFonts w:ascii="楷体" w:eastAsia="楷体" w:hAnsi="楷体"/>
          <w:szCs w:val="21"/>
        </w:rPr>
        <w:t>100</w:t>
      </w:r>
      <w:r w:rsidRPr="004C3182">
        <w:rPr>
          <w:rFonts w:ascii="楷体" w:eastAsia="楷体" w:hAnsi="楷体" w:hint="eastAsia"/>
          <w:szCs w:val="21"/>
        </w:rPr>
        <w:t>周涨</w:t>
      </w:r>
      <w:r w:rsidRPr="004C3182">
        <w:rPr>
          <w:rFonts w:ascii="楷体" w:eastAsia="楷体" w:hAnsi="楷体"/>
          <w:szCs w:val="21"/>
        </w:rPr>
        <w:t>0.46%</w:t>
      </w:r>
      <w:r w:rsidRPr="004C3182">
        <w:rPr>
          <w:rFonts w:ascii="楷体" w:eastAsia="楷体" w:hAnsi="楷体" w:hint="eastAsia"/>
          <w:szCs w:val="21"/>
        </w:rPr>
        <w:t>，标普</w:t>
      </w:r>
      <w:r w:rsidRPr="004C3182">
        <w:rPr>
          <w:rFonts w:ascii="楷体" w:eastAsia="楷体" w:hAnsi="楷体"/>
          <w:szCs w:val="21"/>
        </w:rPr>
        <w:t>500</w:t>
      </w:r>
      <w:r w:rsidRPr="004C3182">
        <w:rPr>
          <w:rFonts w:ascii="楷体" w:eastAsia="楷体" w:hAnsi="楷体" w:hint="eastAsia"/>
          <w:szCs w:val="21"/>
        </w:rPr>
        <w:t>周涨</w:t>
      </w:r>
      <w:r w:rsidRPr="004C3182">
        <w:rPr>
          <w:rFonts w:ascii="楷体" w:eastAsia="楷体" w:hAnsi="楷体"/>
          <w:szCs w:val="21"/>
        </w:rPr>
        <w:t>0.29%</w:t>
      </w:r>
      <w:r w:rsidRPr="004C3182">
        <w:rPr>
          <w:rFonts w:ascii="楷体" w:eastAsia="楷体" w:hAnsi="楷体" w:hint="eastAsia"/>
          <w:szCs w:val="21"/>
        </w:rPr>
        <w:t>，道琼斯工业指数周涨</w:t>
      </w:r>
      <w:r w:rsidRPr="004C3182">
        <w:rPr>
          <w:rFonts w:ascii="楷体" w:eastAsia="楷体" w:hAnsi="楷体"/>
          <w:szCs w:val="21"/>
        </w:rPr>
        <w:t>0.38%</w:t>
      </w:r>
      <w:r w:rsidRPr="004C3182">
        <w:rPr>
          <w:rFonts w:ascii="楷体" w:eastAsia="楷体" w:hAnsi="楷体" w:hint="eastAsia"/>
          <w:szCs w:val="21"/>
        </w:rPr>
        <w:t>。香港市场方面，</w:t>
      </w:r>
      <w:r>
        <w:rPr>
          <w:rFonts w:ascii="楷体" w:eastAsia="楷体" w:hAnsi="楷体" w:hint="eastAsia"/>
          <w:szCs w:val="21"/>
        </w:rPr>
        <w:t>由于沪港通使用额度不及预期，恒指连跌，周跌幅</w:t>
      </w:r>
      <w:r w:rsidRPr="004C3182">
        <w:rPr>
          <w:rFonts w:ascii="楷体" w:eastAsia="楷体" w:hAnsi="楷体"/>
          <w:szCs w:val="21"/>
        </w:rPr>
        <w:t>0.1%</w:t>
      </w:r>
      <w:r w:rsidRPr="007610A6">
        <w:rPr>
          <w:rFonts w:ascii="楷体" w:eastAsia="楷体" w:hAnsi="楷体" w:hint="eastAsia"/>
          <w:szCs w:val="21"/>
        </w:rPr>
        <w:t>。</w:t>
      </w:r>
    </w:p>
    <w:tbl>
      <w:tblPr>
        <w:tblW w:w="10773" w:type="dxa"/>
        <w:tblLayout w:type="fixed"/>
        <w:tblCellMar>
          <w:left w:w="0" w:type="dxa"/>
          <w:right w:w="0" w:type="dxa"/>
        </w:tblCellMar>
        <w:tblLook w:val="0000"/>
      </w:tblPr>
      <w:tblGrid>
        <w:gridCol w:w="5509"/>
        <w:gridCol w:w="161"/>
        <w:gridCol w:w="5103"/>
      </w:tblGrid>
      <w:tr w:rsidR="00E96BC3" w:rsidRPr="00F605BC" w:rsidTr="0046411E">
        <w:trPr>
          <w:cantSplit/>
          <w:trHeight w:val="124"/>
        </w:trPr>
        <w:tc>
          <w:tcPr>
            <w:tcW w:w="5509" w:type="dxa"/>
            <w:tcBorders>
              <w:top w:val="single" w:sz="6" w:space="0" w:color="FF6600"/>
              <w:bottom w:val="single" w:sz="6" w:space="0" w:color="FF6600"/>
            </w:tcBorders>
            <w:vAlign w:val="center"/>
          </w:tcPr>
          <w:p w:rsidR="00E96BC3" w:rsidRPr="00057142" w:rsidRDefault="00E96BC3" w:rsidP="00D7627F">
            <w:pPr>
              <w:pStyle w:val="SubTitleLargeTable"/>
              <w:pBdr>
                <w:top w:val="none" w:sz="0" w:space="0" w:color="auto"/>
              </w:pBdr>
              <w:rPr>
                <w:rFonts w:ascii="楷体" w:eastAsia="楷体" w:hAnsi="楷体"/>
                <w:color w:val="FF6600"/>
              </w:rPr>
            </w:pPr>
            <w:r w:rsidRPr="005B7CDB">
              <w:rPr>
                <w:rFonts w:ascii="楷体" w:eastAsia="楷体" w:hAnsi="楷体" w:hint="eastAsia"/>
                <w:color w:val="FF6600"/>
              </w:rPr>
              <w:t>图表</w:t>
            </w:r>
            <w:r w:rsidRPr="005B7CDB">
              <w:rPr>
                <w:rFonts w:ascii="楷体" w:eastAsia="楷体" w:hAnsi="楷体"/>
                <w:color w:val="FF6600"/>
              </w:rPr>
              <w:t>2</w:t>
            </w:r>
            <w:r w:rsidRPr="005B7CDB">
              <w:rPr>
                <w:rFonts w:ascii="楷体" w:eastAsia="楷体" w:hAnsi="楷体" w:hint="eastAsia"/>
                <w:color w:val="FF6600"/>
              </w:rPr>
              <w:t>：各类指数周涨跌</w:t>
            </w:r>
            <w:r>
              <w:rPr>
                <w:rFonts w:ascii="楷体" w:eastAsia="楷体" w:hAnsi="楷体"/>
                <w:color w:val="FF6600"/>
              </w:rPr>
              <w:t>(11.17~21</w:t>
            </w:r>
            <w:r w:rsidRPr="00057142">
              <w:rPr>
                <w:rFonts w:ascii="楷体" w:eastAsia="楷体" w:hAnsi="楷体" w:hint="eastAsia"/>
                <w:color w:val="FF6600"/>
              </w:rPr>
              <w:t>，海外指数</w:t>
            </w:r>
            <w:r>
              <w:rPr>
                <w:rFonts w:ascii="楷体" w:eastAsia="楷体" w:hAnsi="楷体"/>
                <w:color w:val="FF6600"/>
              </w:rPr>
              <w:t>11.14</w:t>
            </w:r>
            <w:r w:rsidRPr="00057142">
              <w:rPr>
                <w:rFonts w:ascii="楷体" w:eastAsia="楷体" w:hAnsi="楷体"/>
                <w:color w:val="FF6600"/>
              </w:rPr>
              <w:t>~</w:t>
            </w:r>
            <w:r>
              <w:rPr>
                <w:rFonts w:ascii="楷体" w:eastAsia="楷体" w:hAnsi="楷体"/>
                <w:color w:val="FF6600"/>
              </w:rPr>
              <w:t>11.20)</w:t>
            </w:r>
          </w:p>
        </w:tc>
        <w:tc>
          <w:tcPr>
            <w:tcW w:w="161" w:type="dxa"/>
            <w:vAlign w:val="center"/>
          </w:tcPr>
          <w:p w:rsidR="00E96BC3" w:rsidRPr="00F605BC" w:rsidRDefault="00E96BC3" w:rsidP="003B1409">
            <w:pPr>
              <w:jc w:val="center"/>
              <w:rPr>
                <w:rFonts w:ascii="楷体" w:eastAsia="楷体" w:hAnsi="楷体"/>
              </w:rPr>
            </w:pPr>
          </w:p>
        </w:tc>
        <w:tc>
          <w:tcPr>
            <w:tcW w:w="5103" w:type="dxa"/>
            <w:tcBorders>
              <w:top w:val="single" w:sz="6" w:space="0" w:color="FF6600"/>
              <w:bottom w:val="single" w:sz="6" w:space="0" w:color="FF6600"/>
            </w:tcBorders>
            <w:vAlign w:val="center"/>
          </w:tcPr>
          <w:p w:rsidR="00E96BC3" w:rsidRPr="005B7CDB" w:rsidRDefault="00E96BC3" w:rsidP="007B1899">
            <w:pPr>
              <w:pStyle w:val="SubTitleLargeTable"/>
              <w:pBdr>
                <w:top w:val="none" w:sz="0" w:space="0" w:color="auto"/>
              </w:pBdr>
              <w:rPr>
                <w:rFonts w:ascii="楷体" w:eastAsia="楷体" w:hAnsi="楷体"/>
              </w:rPr>
            </w:pPr>
            <w:r w:rsidRPr="005B7CDB">
              <w:rPr>
                <w:rFonts w:ascii="楷体" w:eastAsia="楷体" w:hAnsi="楷体" w:hint="eastAsia"/>
                <w:color w:val="FF6600"/>
              </w:rPr>
              <w:t>图表</w:t>
            </w:r>
            <w:r w:rsidRPr="005B7CDB">
              <w:rPr>
                <w:rFonts w:ascii="楷体" w:eastAsia="楷体" w:hAnsi="楷体"/>
                <w:color w:val="FF6600"/>
              </w:rPr>
              <w:t>3</w:t>
            </w:r>
            <w:r w:rsidRPr="005B7CDB">
              <w:rPr>
                <w:rFonts w:ascii="楷体" w:eastAsia="楷体" w:hAnsi="楷体" w:hint="eastAsia"/>
                <w:color w:val="FF6600"/>
              </w:rPr>
              <w:t>：中信一级行业板块周涨跌（</w:t>
            </w:r>
            <w:r>
              <w:rPr>
                <w:rFonts w:ascii="楷体" w:eastAsia="楷体" w:hAnsi="楷体"/>
                <w:color w:val="FF6600"/>
              </w:rPr>
              <w:t>11.17~21</w:t>
            </w:r>
            <w:r w:rsidRPr="005B7CDB">
              <w:rPr>
                <w:rFonts w:ascii="楷体" w:eastAsia="楷体" w:hAnsi="楷体" w:hint="eastAsia"/>
                <w:color w:val="FF6600"/>
              </w:rPr>
              <w:t>）</w:t>
            </w:r>
          </w:p>
        </w:tc>
      </w:tr>
      <w:tr w:rsidR="00E96BC3" w:rsidRPr="00F605BC" w:rsidTr="0046411E">
        <w:trPr>
          <w:cantSplit/>
          <w:trHeight w:val="2146"/>
        </w:trPr>
        <w:tc>
          <w:tcPr>
            <w:tcW w:w="5509" w:type="dxa"/>
            <w:tcBorders>
              <w:top w:val="single" w:sz="6" w:space="0" w:color="FF6600"/>
              <w:bottom w:val="single" w:sz="6" w:space="0" w:color="FF6600"/>
            </w:tcBorders>
            <w:vAlign w:val="center"/>
          </w:tcPr>
          <w:p w:rsidR="00E96BC3" w:rsidRPr="00F605BC" w:rsidRDefault="00E96BC3" w:rsidP="003B1409">
            <w:pPr>
              <w:jc w:val="center"/>
              <w:rPr>
                <w:rFonts w:ascii="楷体" w:eastAsia="楷体" w:hAnsi="楷体"/>
              </w:rPr>
            </w:pPr>
            <w:r w:rsidRPr="00F605BC">
              <w:rPr>
                <w:rFonts w:ascii="楷体" w:eastAsia="楷体" w:hAnsi="楷体"/>
                <w:noProof/>
              </w:rPr>
              <w:pict>
                <v:shape id="图片 1" o:spid="_x0000_i1046" type="#_x0000_t75" style="width:252.75pt;height:132pt;visibility:visible">
                  <v:imagedata r:id="rId10" o:title=""/>
                </v:shape>
              </w:pict>
            </w:r>
          </w:p>
        </w:tc>
        <w:tc>
          <w:tcPr>
            <w:tcW w:w="161" w:type="dxa"/>
            <w:vAlign w:val="center"/>
          </w:tcPr>
          <w:p w:rsidR="00E96BC3" w:rsidRPr="00F605BC" w:rsidRDefault="00E96BC3" w:rsidP="003B1409">
            <w:pPr>
              <w:jc w:val="center"/>
              <w:rPr>
                <w:rFonts w:ascii="楷体" w:eastAsia="楷体" w:hAnsi="楷体"/>
              </w:rPr>
            </w:pPr>
          </w:p>
        </w:tc>
        <w:tc>
          <w:tcPr>
            <w:tcW w:w="5103" w:type="dxa"/>
            <w:tcBorders>
              <w:top w:val="single" w:sz="6" w:space="0" w:color="FF6600"/>
              <w:bottom w:val="single" w:sz="6" w:space="0" w:color="FF6600"/>
            </w:tcBorders>
            <w:vAlign w:val="center"/>
          </w:tcPr>
          <w:p w:rsidR="00E96BC3" w:rsidRPr="00F605BC" w:rsidRDefault="00E96BC3" w:rsidP="003B1409">
            <w:pPr>
              <w:jc w:val="center"/>
              <w:rPr>
                <w:rFonts w:ascii="楷体" w:eastAsia="楷体" w:hAnsi="楷体"/>
              </w:rPr>
            </w:pPr>
            <w:r w:rsidRPr="00F605BC">
              <w:rPr>
                <w:rFonts w:ascii="楷体" w:eastAsia="楷体" w:hAnsi="楷体"/>
                <w:noProof/>
              </w:rPr>
              <w:pict>
                <v:shape id="_x0000_i1047" type="#_x0000_t75" style="width:248.25pt;height:129.75pt;visibility:visible">
                  <v:imagedata r:id="rId11" o:title=""/>
                </v:shape>
              </w:pict>
            </w:r>
          </w:p>
        </w:tc>
      </w:tr>
    </w:tbl>
    <w:p w:rsidR="00E96BC3" w:rsidRPr="005B7CDB" w:rsidRDefault="00E96BC3" w:rsidP="00BD0930">
      <w:pPr>
        <w:pStyle w:val="FootnoteNoline"/>
        <w:ind w:left="0"/>
        <w:jc w:val="left"/>
        <w:rPr>
          <w:rFonts w:ascii="楷体" w:eastAsia="楷体" w:hAnsi="楷体"/>
        </w:rPr>
      </w:pPr>
      <w:r w:rsidRPr="005B7CDB">
        <w:rPr>
          <w:rFonts w:ascii="楷体" w:eastAsia="楷体" w:hAnsi="楷体" w:hint="eastAsia"/>
          <w:color w:val="FF6600"/>
        </w:rPr>
        <w:t>来源：凯石财富工场</w:t>
      </w:r>
      <w:r w:rsidRPr="005B7CDB">
        <w:rPr>
          <w:rFonts w:ascii="楷体" w:eastAsia="楷体" w:hAnsi="楷体"/>
        </w:rPr>
        <w:t xml:space="preserve"> </w:t>
      </w:r>
    </w:p>
    <w:p w:rsidR="00E96BC3" w:rsidRPr="002F6B09" w:rsidRDefault="00E96BC3" w:rsidP="002F6B09">
      <w:pPr>
        <w:widowControl/>
        <w:spacing w:after="120"/>
        <w:ind w:left="3430"/>
        <w:rPr>
          <w:rFonts w:ascii="Arial" w:eastAsia="楷体" w:hAnsi="Arial" w:cs="Arial"/>
          <w:b/>
          <w:bCs/>
          <w:color w:val="0070C0"/>
          <w:kern w:val="0"/>
          <w:szCs w:val="21"/>
          <w:lang w:val="en-GB"/>
        </w:rPr>
      </w:pPr>
      <w:r w:rsidRPr="00E15464">
        <w:rPr>
          <w:rFonts w:ascii="Arial" w:eastAsia="楷体" w:hAnsi="楷体" w:cs="Arial" w:hint="eastAsia"/>
          <w:b/>
          <w:bCs/>
          <w:color w:val="0070C0"/>
          <w:kern w:val="0"/>
          <w:szCs w:val="21"/>
          <w:lang w:val="en-GB"/>
        </w:rPr>
        <w:t>各类型公募基金一周业绩：</w:t>
      </w:r>
      <w:r>
        <w:rPr>
          <w:rFonts w:ascii="Arial" w:eastAsia="楷体" w:hAnsi="楷体" w:cs="Arial" w:hint="eastAsia"/>
          <w:b/>
          <w:bCs/>
          <w:color w:val="0070C0"/>
          <w:kern w:val="0"/>
          <w:szCs w:val="21"/>
          <w:lang w:val="en-GB"/>
        </w:rPr>
        <w:t>权益类多数上涨，固定收益类业绩调整</w:t>
      </w:r>
    </w:p>
    <w:p w:rsidR="00E96BC3" w:rsidRPr="00E51D5F" w:rsidRDefault="00E96BC3" w:rsidP="00120197">
      <w:pPr>
        <w:pStyle w:val="BodyText"/>
        <w:numPr>
          <w:ilvl w:val="4"/>
          <w:numId w:val="1"/>
        </w:numPr>
        <w:spacing w:after="163"/>
        <w:rPr>
          <w:rFonts w:ascii="楷体" w:eastAsia="楷体" w:hAnsi="楷体" w:cs="Arial"/>
          <w:szCs w:val="21"/>
        </w:rPr>
      </w:pPr>
      <w:r>
        <w:rPr>
          <w:rFonts w:ascii="楷体" w:eastAsia="楷体" w:hAnsi="楷体" w:cs="Arial" w:hint="eastAsia"/>
          <w:szCs w:val="21"/>
        </w:rPr>
        <w:t>上周（</w:t>
      </w:r>
      <w:r>
        <w:rPr>
          <w:rFonts w:ascii="楷体" w:eastAsia="楷体" w:hAnsi="楷体" w:cs="Arial"/>
          <w:szCs w:val="21"/>
        </w:rPr>
        <w:t>2014.11.17~2014.11.21</w:t>
      </w:r>
      <w:r>
        <w:rPr>
          <w:rFonts w:ascii="楷体" w:eastAsia="楷体" w:hAnsi="楷体" w:cs="Arial" w:hint="eastAsia"/>
          <w:szCs w:val="21"/>
        </w:rPr>
        <w:t>），</w:t>
      </w:r>
      <w:r w:rsidRPr="00946BF2">
        <w:rPr>
          <w:rFonts w:ascii="楷体" w:eastAsia="楷体" w:hAnsi="楷体" w:cs="Arial" w:hint="eastAsia"/>
          <w:szCs w:val="21"/>
        </w:rPr>
        <w:t>大盘股和中小市值个股业绩分化，美股微涨，港股微跌。</w:t>
      </w:r>
      <w:r>
        <w:rPr>
          <w:rFonts w:ascii="楷体" w:eastAsia="楷体" w:hAnsi="楷体" w:cs="Arial" w:hint="eastAsia"/>
          <w:szCs w:val="21"/>
        </w:rPr>
        <w:t>股票型基金整体上涨，主动型表现好于指数型；混合基金止跌反弹，灵活型平均涨幅大于偏股型、偏债型；债基收益集体回调，指数债基跌幅相对较大，二级债基跌幅较小，理财债基涨幅收缩；</w:t>
      </w:r>
      <w:r>
        <w:rPr>
          <w:rFonts w:ascii="楷体" w:eastAsia="楷体" w:hAnsi="楷体" w:cs="Arial"/>
          <w:szCs w:val="21"/>
        </w:rPr>
        <w:t>QDII</w:t>
      </w:r>
      <w:r>
        <w:rPr>
          <w:rFonts w:ascii="楷体" w:eastAsia="楷体" w:hAnsi="楷体" w:cs="Arial" w:hint="eastAsia"/>
          <w:szCs w:val="21"/>
        </w:rPr>
        <w:t>平均收益率为负，风格扭转，部分商品基金上行领涨，美股基金和行业基金业绩排名居前，新兴市场基金和亚太（除日本）业绩排名居后。</w:t>
      </w:r>
    </w:p>
    <w:tbl>
      <w:tblPr>
        <w:tblW w:w="10772"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993"/>
        <w:gridCol w:w="1400"/>
        <w:gridCol w:w="1197"/>
        <w:gridCol w:w="946"/>
        <w:gridCol w:w="1448"/>
        <w:gridCol w:w="1197"/>
        <w:gridCol w:w="1041"/>
        <w:gridCol w:w="1353"/>
        <w:gridCol w:w="1197"/>
      </w:tblGrid>
      <w:tr w:rsidR="00E96BC3" w:rsidRPr="00F605BC" w:rsidTr="00D7627F">
        <w:trPr>
          <w:trHeight w:val="335"/>
          <w:tblHeader/>
        </w:trPr>
        <w:tc>
          <w:tcPr>
            <w:tcW w:w="10772" w:type="dxa"/>
            <w:gridSpan w:val="9"/>
            <w:vAlign w:val="center"/>
          </w:tcPr>
          <w:p w:rsidR="00E96BC3" w:rsidRPr="005B7CDB" w:rsidRDefault="00E96BC3" w:rsidP="00894F78">
            <w:pPr>
              <w:pStyle w:val="SubTitleLargeTable"/>
              <w:pBdr>
                <w:top w:val="none" w:sz="0" w:space="0" w:color="auto"/>
              </w:pBdr>
              <w:rPr>
                <w:rFonts w:ascii="楷体" w:eastAsia="楷体" w:hAnsi="楷体"/>
                <w:b w:val="0"/>
              </w:rPr>
            </w:pPr>
            <w:r w:rsidRPr="005B7CDB">
              <w:rPr>
                <w:rFonts w:ascii="楷体" w:eastAsia="楷体" w:hAnsi="楷体" w:cs="宋体" w:hint="eastAsia"/>
                <w:color w:val="FF6600"/>
              </w:rPr>
              <w:t>图表</w:t>
            </w:r>
            <w:r w:rsidRPr="005B7CDB">
              <w:rPr>
                <w:rFonts w:ascii="楷体" w:eastAsia="楷体" w:hAnsi="楷体"/>
                <w:color w:val="FF6600"/>
              </w:rPr>
              <w:t>4</w:t>
            </w:r>
            <w:r w:rsidRPr="005B7CDB">
              <w:rPr>
                <w:rFonts w:ascii="楷体" w:eastAsia="楷体" w:hAnsi="楷体" w:cs="宋体" w:hint="eastAsia"/>
                <w:color w:val="FF6600"/>
              </w:rPr>
              <w:t>：各类型公募基金（含封闭式）周平均收益率（</w:t>
            </w:r>
            <w:r>
              <w:rPr>
                <w:rFonts w:ascii="楷体" w:eastAsia="楷体" w:hAnsi="楷体"/>
                <w:color w:val="FF6600"/>
              </w:rPr>
              <w:t>11.17~21</w:t>
            </w:r>
            <w:r w:rsidRPr="005B7CDB">
              <w:rPr>
                <w:rFonts w:ascii="楷体" w:eastAsia="楷体" w:hAnsi="楷体" w:cs="宋体" w:hint="eastAsia"/>
                <w:color w:val="FF6600"/>
              </w:rPr>
              <w:t>，</w:t>
            </w:r>
            <w:r w:rsidRPr="005B7CDB">
              <w:rPr>
                <w:rFonts w:ascii="楷体" w:eastAsia="楷体" w:hAnsi="楷体"/>
                <w:color w:val="FF6600"/>
              </w:rPr>
              <w:t>QDII</w:t>
            </w:r>
            <w:r w:rsidRPr="005B7CDB">
              <w:rPr>
                <w:rFonts w:ascii="楷体" w:eastAsia="楷体" w:hAnsi="楷体" w:hint="eastAsia"/>
                <w:color w:val="FF6600"/>
              </w:rPr>
              <w:t>为</w:t>
            </w:r>
            <w:r>
              <w:rPr>
                <w:rFonts w:ascii="楷体" w:eastAsia="楷体" w:hAnsi="楷体"/>
                <w:color w:val="FF6600"/>
              </w:rPr>
              <w:t>11.14</w:t>
            </w:r>
            <w:r w:rsidRPr="00057142">
              <w:rPr>
                <w:rFonts w:ascii="楷体" w:eastAsia="楷体" w:hAnsi="楷体"/>
                <w:color w:val="FF6600"/>
              </w:rPr>
              <w:t>~</w:t>
            </w:r>
            <w:r>
              <w:rPr>
                <w:rFonts w:ascii="楷体" w:eastAsia="楷体" w:hAnsi="楷体"/>
                <w:color w:val="FF6600"/>
              </w:rPr>
              <w:t>11.20</w:t>
            </w:r>
            <w:r>
              <w:rPr>
                <w:rFonts w:ascii="楷体" w:eastAsia="楷体" w:hAnsi="楷体" w:hint="eastAsia"/>
                <w:color w:val="FF6600"/>
              </w:rPr>
              <w:t>，</w:t>
            </w:r>
            <w:r w:rsidRPr="005B7CDB">
              <w:rPr>
                <w:rFonts w:ascii="楷体" w:eastAsia="楷体" w:hAnsi="楷体" w:hint="eastAsia"/>
                <w:color w:val="FF6600"/>
              </w:rPr>
              <w:t>货币基金为</w:t>
            </w:r>
            <w:r w:rsidRPr="005B7CDB">
              <w:rPr>
                <w:rFonts w:ascii="楷体" w:eastAsia="楷体" w:hAnsi="楷体"/>
                <w:color w:val="FF6600"/>
              </w:rPr>
              <w:t>7</w:t>
            </w:r>
            <w:r w:rsidRPr="005B7CDB">
              <w:rPr>
                <w:rFonts w:ascii="楷体" w:eastAsia="楷体" w:hAnsi="楷体" w:hint="eastAsia"/>
                <w:color w:val="FF6600"/>
              </w:rPr>
              <w:t>日年化收益</w:t>
            </w:r>
            <w:r>
              <w:rPr>
                <w:rFonts w:ascii="楷体" w:eastAsia="楷体" w:hAnsi="楷体" w:hint="eastAsia"/>
                <w:color w:val="FF6600"/>
              </w:rPr>
              <w:t>率</w:t>
            </w:r>
            <w:r w:rsidRPr="005B7CDB">
              <w:rPr>
                <w:rFonts w:ascii="楷体" w:eastAsia="楷体" w:hAnsi="楷体" w:cs="宋体" w:hint="eastAsia"/>
                <w:color w:val="FF6600"/>
              </w:rPr>
              <w:t>）</w:t>
            </w:r>
          </w:p>
        </w:tc>
      </w:tr>
      <w:tr w:rsidR="00E96BC3" w:rsidRPr="00F605BC" w:rsidTr="00D7627F">
        <w:trPr>
          <w:trHeight w:val="284"/>
          <w:tblHeader/>
        </w:trPr>
        <w:tc>
          <w:tcPr>
            <w:tcW w:w="2393" w:type="dxa"/>
            <w:gridSpan w:val="2"/>
            <w:tcBorders>
              <w:right w:val="single" w:sz="6" w:space="0" w:color="FF6600"/>
            </w:tcBorders>
            <w:shd w:val="clear" w:color="auto" w:fill="FDE9D9"/>
            <w:vAlign w:val="center"/>
          </w:tcPr>
          <w:p w:rsidR="00E96BC3" w:rsidRPr="00F605BC" w:rsidRDefault="00E96BC3" w:rsidP="009D6B40">
            <w:pPr>
              <w:snapToGrid w:val="0"/>
              <w:jc w:val="center"/>
              <w:rPr>
                <w:rFonts w:ascii="楷体" w:eastAsia="楷体" w:hAnsi="楷体"/>
                <w:b/>
                <w:sz w:val="18"/>
                <w:szCs w:val="18"/>
              </w:rPr>
            </w:pPr>
            <w:r w:rsidRPr="00F605BC">
              <w:rPr>
                <w:rFonts w:ascii="楷体" w:eastAsia="楷体" w:hAnsi="楷体" w:hint="eastAsia"/>
                <w:b/>
                <w:sz w:val="18"/>
                <w:szCs w:val="18"/>
              </w:rPr>
              <w:t>凯石分类</w:t>
            </w:r>
          </w:p>
        </w:tc>
        <w:tc>
          <w:tcPr>
            <w:tcW w:w="1197" w:type="dxa"/>
            <w:tcBorders>
              <w:left w:val="single" w:sz="6" w:space="0" w:color="FF6600"/>
              <w:right w:val="single" w:sz="6" w:space="0" w:color="FF6600"/>
            </w:tcBorders>
            <w:shd w:val="clear" w:color="auto" w:fill="FDE9D9"/>
            <w:vAlign w:val="center"/>
          </w:tcPr>
          <w:p w:rsidR="00E96BC3" w:rsidRPr="00F605BC" w:rsidRDefault="00E96BC3" w:rsidP="009D6B40">
            <w:pPr>
              <w:snapToGrid w:val="0"/>
              <w:jc w:val="center"/>
              <w:rPr>
                <w:rFonts w:ascii="楷体" w:eastAsia="楷体" w:hAnsi="楷体"/>
                <w:b/>
                <w:sz w:val="18"/>
                <w:szCs w:val="18"/>
              </w:rPr>
            </w:pPr>
            <w:r w:rsidRPr="00F605BC">
              <w:rPr>
                <w:rFonts w:ascii="楷体" w:eastAsia="楷体" w:hAnsi="楷体" w:hint="eastAsia"/>
                <w:b/>
                <w:sz w:val="18"/>
                <w:szCs w:val="18"/>
              </w:rPr>
              <w:t>周收益率</w:t>
            </w:r>
            <w:r w:rsidRPr="00F605BC">
              <w:rPr>
                <w:rFonts w:ascii="楷体" w:eastAsia="楷体" w:hAnsi="楷体"/>
                <w:b/>
                <w:sz w:val="18"/>
                <w:szCs w:val="18"/>
              </w:rPr>
              <w:t>%</w:t>
            </w:r>
          </w:p>
        </w:tc>
        <w:tc>
          <w:tcPr>
            <w:tcW w:w="2394" w:type="dxa"/>
            <w:gridSpan w:val="2"/>
            <w:tcBorders>
              <w:left w:val="single" w:sz="6" w:space="0" w:color="FF6600"/>
              <w:right w:val="single" w:sz="6" w:space="0" w:color="FF6600"/>
            </w:tcBorders>
            <w:shd w:val="clear" w:color="auto" w:fill="FDE9D9"/>
            <w:vAlign w:val="center"/>
          </w:tcPr>
          <w:p w:rsidR="00E96BC3" w:rsidRPr="00F605BC" w:rsidRDefault="00E96BC3" w:rsidP="009D6B40">
            <w:pPr>
              <w:snapToGrid w:val="0"/>
              <w:jc w:val="center"/>
              <w:rPr>
                <w:rFonts w:ascii="楷体" w:eastAsia="楷体" w:hAnsi="楷体"/>
                <w:b/>
                <w:sz w:val="18"/>
                <w:szCs w:val="18"/>
              </w:rPr>
            </w:pPr>
            <w:r w:rsidRPr="00F605BC">
              <w:rPr>
                <w:rFonts w:ascii="楷体" w:eastAsia="楷体" w:hAnsi="楷体" w:hint="eastAsia"/>
                <w:b/>
                <w:sz w:val="18"/>
                <w:szCs w:val="18"/>
              </w:rPr>
              <w:t>凯石分类</w:t>
            </w:r>
          </w:p>
        </w:tc>
        <w:tc>
          <w:tcPr>
            <w:tcW w:w="1197" w:type="dxa"/>
            <w:tcBorders>
              <w:left w:val="single" w:sz="6" w:space="0" w:color="FF6600"/>
              <w:right w:val="single" w:sz="6" w:space="0" w:color="FF6600"/>
            </w:tcBorders>
            <w:shd w:val="clear" w:color="auto" w:fill="FDE9D9"/>
            <w:vAlign w:val="center"/>
          </w:tcPr>
          <w:p w:rsidR="00E96BC3" w:rsidRPr="00F605BC" w:rsidRDefault="00E96BC3" w:rsidP="009D6B40">
            <w:pPr>
              <w:snapToGrid w:val="0"/>
              <w:jc w:val="center"/>
              <w:rPr>
                <w:rFonts w:ascii="楷体" w:eastAsia="楷体" w:hAnsi="楷体"/>
                <w:b/>
                <w:sz w:val="18"/>
                <w:szCs w:val="18"/>
              </w:rPr>
            </w:pPr>
            <w:r w:rsidRPr="00F605BC">
              <w:rPr>
                <w:rFonts w:ascii="楷体" w:eastAsia="楷体" w:hAnsi="楷体" w:hint="eastAsia"/>
                <w:b/>
                <w:sz w:val="18"/>
                <w:szCs w:val="18"/>
              </w:rPr>
              <w:t>周收益率</w:t>
            </w:r>
            <w:r w:rsidRPr="00F605BC">
              <w:rPr>
                <w:rFonts w:ascii="楷体" w:eastAsia="楷体" w:hAnsi="楷体"/>
                <w:b/>
                <w:sz w:val="18"/>
                <w:szCs w:val="18"/>
              </w:rPr>
              <w:t>%</w:t>
            </w:r>
          </w:p>
        </w:tc>
        <w:tc>
          <w:tcPr>
            <w:tcW w:w="2394" w:type="dxa"/>
            <w:gridSpan w:val="2"/>
            <w:tcBorders>
              <w:left w:val="single" w:sz="6" w:space="0" w:color="FF6600"/>
              <w:right w:val="single" w:sz="6" w:space="0" w:color="FF6600"/>
            </w:tcBorders>
            <w:shd w:val="clear" w:color="auto" w:fill="FDE9D9"/>
            <w:vAlign w:val="center"/>
          </w:tcPr>
          <w:p w:rsidR="00E96BC3" w:rsidRPr="00F605BC" w:rsidRDefault="00E96BC3" w:rsidP="009D6B40">
            <w:pPr>
              <w:snapToGrid w:val="0"/>
              <w:jc w:val="center"/>
              <w:rPr>
                <w:rFonts w:ascii="楷体" w:eastAsia="楷体" w:hAnsi="楷体"/>
                <w:b/>
                <w:sz w:val="18"/>
                <w:szCs w:val="18"/>
              </w:rPr>
            </w:pPr>
            <w:r w:rsidRPr="00F605BC">
              <w:rPr>
                <w:rFonts w:ascii="楷体" w:eastAsia="楷体" w:hAnsi="楷体" w:hint="eastAsia"/>
                <w:b/>
                <w:sz w:val="18"/>
                <w:szCs w:val="18"/>
              </w:rPr>
              <w:t>凯石分类</w:t>
            </w:r>
          </w:p>
        </w:tc>
        <w:tc>
          <w:tcPr>
            <w:tcW w:w="1197" w:type="dxa"/>
            <w:tcBorders>
              <w:left w:val="single" w:sz="6" w:space="0" w:color="FF6600"/>
            </w:tcBorders>
            <w:shd w:val="clear" w:color="auto" w:fill="FDE9D9"/>
            <w:vAlign w:val="center"/>
          </w:tcPr>
          <w:p w:rsidR="00E96BC3" w:rsidRPr="00F605BC" w:rsidRDefault="00E96BC3" w:rsidP="009D6B40">
            <w:pPr>
              <w:snapToGrid w:val="0"/>
              <w:jc w:val="center"/>
              <w:rPr>
                <w:rFonts w:ascii="楷体" w:eastAsia="楷体" w:hAnsi="楷体"/>
                <w:b/>
                <w:sz w:val="18"/>
                <w:szCs w:val="18"/>
              </w:rPr>
            </w:pPr>
            <w:r w:rsidRPr="00F605BC">
              <w:rPr>
                <w:rFonts w:ascii="楷体" w:eastAsia="楷体" w:hAnsi="楷体" w:hint="eastAsia"/>
                <w:b/>
                <w:sz w:val="18"/>
                <w:szCs w:val="18"/>
              </w:rPr>
              <w:t>周收益率</w:t>
            </w:r>
            <w:r w:rsidRPr="00F605BC">
              <w:rPr>
                <w:rFonts w:ascii="楷体" w:eastAsia="楷体" w:hAnsi="楷体"/>
                <w:b/>
                <w:sz w:val="18"/>
                <w:szCs w:val="18"/>
              </w:rPr>
              <w:t>%</w:t>
            </w:r>
          </w:p>
        </w:tc>
      </w:tr>
      <w:tr w:rsidR="00E96BC3" w:rsidRPr="00F605BC" w:rsidTr="009D6B40">
        <w:trPr>
          <w:cantSplit/>
          <w:trHeight w:val="284"/>
        </w:trPr>
        <w:tc>
          <w:tcPr>
            <w:tcW w:w="993" w:type="dxa"/>
            <w:vMerge w:val="restart"/>
            <w:tcBorders>
              <w:right w:val="single" w:sz="6" w:space="0" w:color="FF6600"/>
            </w:tcBorders>
            <w:shd w:val="clear" w:color="auto" w:fill="FDE9D9"/>
            <w:vAlign w:val="center"/>
          </w:tcPr>
          <w:p w:rsidR="00E96BC3" w:rsidRPr="00F605BC" w:rsidRDefault="00E96BC3" w:rsidP="009D6B40">
            <w:pPr>
              <w:snapToGrid w:val="0"/>
              <w:jc w:val="center"/>
              <w:rPr>
                <w:rFonts w:ascii="楷体" w:eastAsia="楷体" w:hAnsi="楷体"/>
                <w:b/>
                <w:sz w:val="18"/>
                <w:szCs w:val="18"/>
              </w:rPr>
            </w:pPr>
            <w:r w:rsidRPr="00F605BC">
              <w:rPr>
                <w:rFonts w:ascii="楷体" w:eastAsia="楷体" w:hAnsi="楷体" w:hint="eastAsia"/>
                <w:b/>
                <w:sz w:val="18"/>
                <w:szCs w:val="18"/>
              </w:rPr>
              <w:t>股票型</w:t>
            </w:r>
          </w:p>
        </w:tc>
        <w:tc>
          <w:tcPr>
            <w:tcW w:w="1400" w:type="dxa"/>
            <w:tcBorders>
              <w:left w:val="single" w:sz="6" w:space="0" w:color="FF6600"/>
              <w:right w:val="single" w:sz="6" w:space="0" w:color="FF6600"/>
            </w:tcBorders>
            <w:shd w:val="clear" w:color="auto" w:fill="FDE9D9"/>
            <w:vAlign w:val="center"/>
          </w:tcPr>
          <w:p w:rsidR="00E96BC3" w:rsidRPr="00F605BC" w:rsidRDefault="00E96BC3" w:rsidP="009D6B40">
            <w:pPr>
              <w:snapToGrid w:val="0"/>
              <w:jc w:val="center"/>
              <w:rPr>
                <w:rFonts w:ascii="楷体" w:eastAsia="楷体" w:hAnsi="楷体"/>
                <w:b/>
                <w:sz w:val="18"/>
                <w:szCs w:val="18"/>
              </w:rPr>
            </w:pPr>
            <w:r w:rsidRPr="00F605BC">
              <w:rPr>
                <w:rFonts w:ascii="楷体" w:eastAsia="楷体" w:hAnsi="楷体" w:hint="eastAsia"/>
                <w:b/>
                <w:sz w:val="18"/>
                <w:szCs w:val="18"/>
              </w:rPr>
              <w:t>股票</w:t>
            </w:r>
            <w:r w:rsidRPr="00F605BC">
              <w:rPr>
                <w:rFonts w:ascii="楷体" w:eastAsia="楷体" w:hAnsi="楷体"/>
                <w:b/>
                <w:sz w:val="18"/>
                <w:szCs w:val="18"/>
              </w:rPr>
              <w:t>-</w:t>
            </w:r>
            <w:r w:rsidRPr="00F605BC">
              <w:rPr>
                <w:rFonts w:ascii="楷体" w:eastAsia="楷体" w:hAnsi="楷体" w:hint="eastAsia"/>
                <w:b/>
                <w:sz w:val="18"/>
                <w:szCs w:val="18"/>
              </w:rPr>
              <w:t>主动型</w:t>
            </w:r>
          </w:p>
        </w:tc>
        <w:tc>
          <w:tcPr>
            <w:tcW w:w="1197" w:type="dxa"/>
            <w:tcBorders>
              <w:left w:val="single" w:sz="6" w:space="0" w:color="FF6600"/>
              <w:right w:val="single" w:sz="6" w:space="0" w:color="FF6600"/>
            </w:tcBorders>
            <w:vAlign w:val="center"/>
          </w:tcPr>
          <w:p w:rsidR="00E96BC3" w:rsidRPr="00F605BC" w:rsidRDefault="00E96BC3" w:rsidP="009D6B40">
            <w:pPr>
              <w:snapToGrid w:val="0"/>
              <w:jc w:val="center"/>
              <w:rPr>
                <w:rFonts w:ascii="楷体" w:eastAsia="楷体" w:hAnsi="楷体"/>
                <w:color w:val="000000"/>
                <w:sz w:val="18"/>
                <w:szCs w:val="18"/>
              </w:rPr>
            </w:pPr>
            <w:r w:rsidRPr="00F605BC">
              <w:rPr>
                <w:rFonts w:ascii="楷体" w:eastAsia="楷体" w:hAnsi="楷体"/>
                <w:color w:val="000000"/>
                <w:sz w:val="18"/>
                <w:szCs w:val="18"/>
              </w:rPr>
              <w:t>2.29</w:t>
            </w:r>
          </w:p>
        </w:tc>
        <w:tc>
          <w:tcPr>
            <w:tcW w:w="946" w:type="dxa"/>
            <w:vMerge w:val="restart"/>
            <w:tcBorders>
              <w:left w:val="single" w:sz="6" w:space="0" w:color="FF6600"/>
              <w:right w:val="single" w:sz="6" w:space="0" w:color="FF6600"/>
            </w:tcBorders>
            <w:shd w:val="clear" w:color="auto" w:fill="FDE9D9"/>
            <w:vAlign w:val="center"/>
          </w:tcPr>
          <w:p w:rsidR="00E96BC3" w:rsidRPr="00F605BC" w:rsidRDefault="00E96BC3" w:rsidP="009D6B40">
            <w:pPr>
              <w:snapToGrid w:val="0"/>
              <w:jc w:val="center"/>
              <w:rPr>
                <w:rFonts w:ascii="楷体" w:eastAsia="楷体" w:hAnsi="楷体"/>
                <w:b/>
                <w:sz w:val="18"/>
                <w:szCs w:val="18"/>
              </w:rPr>
            </w:pPr>
            <w:r w:rsidRPr="00F605BC">
              <w:rPr>
                <w:rFonts w:ascii="楷体" w:eastAsia="楷体" w:hAnsi="楷体" w:hint="eastAsia"/>
                <w:b/>
                <w:sz w:val="18"/>
                <w:szCs w:val="18"/>
              </w:rPr>
              <w:t>债券型</w:t>
            </w:r>
          </w:p>
        </w:tc>
        <w:tc>
          <w:tcPr>
            <w:tcW w:w="1448" w:type="dxa"/>
            <w:tcBorders>
              <w:left w:val="single" w:sz="6" w:space="0" w:color="FF6600"/>
              <w:right w:val="single" w:sz="6" w:space="0" w:color="FF6600"/>
            </w:tcBorders>
            <w:shd w:val="clear" w:color="auto" w:fill="FDE9D9"/>
            <w:vAlign w:val="center"/>
          </w:tcPr>
          <w:p w:rsidR="00E96BC3" w:rsidRPr="007E0CA0" w:rsidRDefault="00E96BC3" w:rsidP="009D6B40">
            <w:pPr>
              <w:snapToGrid w:val="0"/>
              <w:jc w:val="center"/>
              <w:rPr>
                <w:rFonts w:ascii="楷体" w:eastAsia="楷体" w:hAnsi="楷体" w:cs="宋体"/>
                <w:b/>
                <w:bCs/>
                <w:sz w:val="18"/>
                <w:szCs w:val="18"/>
              </w:rPr>
            </w:pPr>
            <w:r w:rsidRPr="00F605BC">
              <w:rPr>
                <w:rFonts w:ascii="楷体" w:eastAsia="楷体" w:hAnsi="楷体" w:hint="eastAsia"/>
                <w:b/>
                <w:bCs/>
                <w:sz w:val="18"/>
                <w:szCs w:val="18"/>
              </w:rPr>
              <w:t>债券</w:t>
            </w:r>
            <w:r w:rsidRPr="00F605BC">
              <w:rPr>
                <w:rFonts w:ascii="楷体" w:eastAsia="楷体" w:hAnsi="楷体"/>
                <w:b/>
                <w:bCs/>
                <w:sz w:val="18"/>
                <w:szCs w:val="18"/>
              </w:rPr>
              <w:t>-</w:t>
            </w:r>
            <w:r w:rsidRPr="00F605BC">
              <w:rPr>
                <w:rFonts w:ascii="楷体" w:eastAsia="楷体" w:hAnsi="楷体" w:hint="eastAsia"/>
                <w:b/>
                <w:bCs/>
                <w:sz w:val="18"/>
                <w:szCs w:val="18"/>
              </w:rPr>
              <w:t>纯债基金</w:t>
            </w:r>
          </w:p>
        </w:tc>
        <w:tc>
          <w:tcPr>
            <w:tcW w:w="1197" w:type="dxa"/>
            <w:tcBorders>
              <w:left w:val="single" w:sz="6" w:space="0" w:color="FF6600"/>
              <w:right w:val="single" w:sz="6" w:space="0" w:color="FF6600"/>
            </w:tcBorders>
            <w:vAlign w:val="center"/>
          </w:tcPr>
          <w:p w:rsidR="00E96BC3" w:rsidRPr="00F605BC" w:rsidRDefault="00E96BC3" w:rsidP="00A7544D">
            <w:pPr>
              <w:snapToGrid w:val="0"/>
              <w:jc w:val="center"/>
              <w:rPr>
                <w:rFonts w:ascii="楷体" w:eastAsia="楷体" w:hAnsi="楷体"/>
                <w:color w:val="FF0000"/>
                <w:sz w:val="18"/>
                <w:szCs w:val="18"/>
              </w:rPr>
            </w:pPr>
            <w:r w:rsidRPr="00F605BC">
              <w:rPr>
                <w:rFonts w:ascii="楷体" w:eastAsia="楷体" w:hAnsi="楷体"/>
                <w:color w:val="FF0000"/>
                <w:sz w:val="18"/>
                <w:szCs w:val="18"/>
              </w:rPr>
              <w:t>-0.17</w:t>
            </w:r>
          </w:p>
        </w:tc>
        <w:tc>
          <w:tcPr>
            <w:tcW w:w="2394" w:type="dxa"/>
            <w:gridSpan w:val="2"/>
            <w:tcBorders>
              <w:left w:val="single" w:sz="6" w:space="0" w:color="FF6600"/>
              <w:right w:val="single" w:sz="6" w:space="0" w:color="FF6600"/>
            </w:tcBorders>
            <w:shd w:val="clear" w:color="auto" w:fill="FDE9D9"/>
            <w:vAlign w:val="center"/>
          </w:tcPr>
          <w:p w:rsidR="00E96BC3" w:rsidRPr="00F605BC" w:rsidRDefault="00E96BC3" w:rsidP="00884478">
            <w:pPr>
              <w:snapToGrid w:val="0"/>
              <w:jc w:val="center"/>
              <w:rPr>
                <w:rFonts w:ascii="楷体" w:eastAsia="楷体" w:hAnsi="楷体"/>
                <w:b/>
                <w:sz w:val="18"/>
                <w:szCs w:val="18"/>
              </w:rPr>
            </w:pPr>
            <w:r w:rsidRPr="00F605BC">
              <w:rPr>
                <w:rFonts w:ascii="楷体" w:eastAsia="楷体" w:hAnsi="楷体" w:hint="eastAsia"/>
                <w:b/>
                <w:sz w:val="18"/>
                <w:szCs w:val="18"/>
              </w:rPr>
              <w:t>货币市场基金</w:t>
            </w:r>
            <w:r w:rsidRPr="00F605BC">
              <w:rPr>
                <w:rFonts w:ascii="楷体" w:eastAsia="楷体" w:hAnsi="楷体"/>
                <w:b/>
                <w:sz w:val="18"/>
                <w:szCs w:val="18"/>
              </w:rPr>
              <w:t>7</w:t>
            </w:r>
            <w:r w:rsidRPr="00F605BC">
              <w:rPr>
                <w:rFonts w:ascii="楷体" w:eastAsia="楷体" w:hAnsi="楷体" w:hint="eastAsia"/>
                <w:b/>
                <w:sz w:val="18"/>
                <w:szCs w:val="18"/>
              </w:rPr>
              <w:t>日年化收益率</w:t>
            </w:r>
          </w:p>
        </w:tc>
        <w:tc>
          <w:tcPr>
            <w:tcW w:w="1197" w:type="dxa"/>
            <w:tcBorders>
              <w:left w:val="single" w:sz="6" w:space="0" w:color="FF6600"/>
            </w:tcBorders>
            <w:vAlign w:val="center"/>
          </w:tcPr>
          <w:p w:rsidR="00E96BC3" w:rsidRPr="00F605BC" w:rsidRDefault="00E96BC3" w:rsidP="007416C4">
            <w:pPr>
              <w:snapToGrid w:val="0"/>
              <w:jc w:val="center"/>
              <w:rPr>
                <w:rFonts w:ascii="楷体" w:eastAsia="楷体" w:hAnsi="楷体"/>
                <w:color w:val="000000"/>
                <w:sz w:val="18"/>
                <w:szCs w:val="18"/>
              </w:rPr>
            </w:pPr>
            <w:r w:rsidRPr="00F605BC">
              <w:rPr>
                <w:rFonts w:ascii="楷体" w:eastAsia="楷体" w:hAnsi="楷体"/>
                <w:color w:val="000000"/>
                <w:sz w:val="18"/>
                <w:szCs w:val="18"/>
              </w:rPr>
              <w:t>4.24</w:t>
            </w:r>
          </w:p>
        </w:tc>
      </w:tr>
      <w:tr w:rsidR="00E96BC3" w:rsidRPr="00F605BC" w:rsidTr="009D6B40">
        <w:trPr>
          <w:cantSplit/>
          <w:trHeight w:val="284"/>
        </w:trPr>
        <w:tc>
          <w:tcPr>
            <w:tcW w:w="993" w:type="dxa"/>
            <w:vMerge/>
            <w:tcBorders>
              <w:right w:val="single" w:sz="6" w:space="0" w:color="FF6600"/>
            </w:tcBorders>
            <w:shd w:val="clear" w:color="auto" w:fill="FDE9D9"/>
            <w:vAlign w:val="center"/>
          </w:tcPr>
          <w:p w:rsidR="00E96BC3" w:rsidRPr="00F605BC" w:rsidRDefault="00E96BC3" w:rsidP="009D6B40">
            <w:pPr>
              <w:snapToGrid w:val="0"/>
              <w:jc w:val="center"/>
              <w:rPr>
                <w:rFonts w:ascii="楷体" w:eastAsia="楷体" w:hAnsi="楷体"/>
                <w:b/>
                <w:sz w:val="18"/>
                <w:szCs w:val="18"/>
              </w:rPr>
            </w:pPr>
          </w:p>
        </w:tc>
        <w:tc>
          <w:tcPr>
            <w:tcW w:w="1400" w:type="dxa"/>
            <w:tcBorders>
              <w:left w:val="single" w:sz="6" w:space="0" w:color="FF6600"/>
              <w:right w:val="single" w:sz="6" w:space="0" w:color="FF6600"/>
            </w:tcBorders>
            <w:shd w:val="clear" w:color="auto" w:fill="FDE9D9"/>
            <w:vAlign w:val="center"/>
          </w:tcPr>
          <w:p w:rsidR="00E96BC3" w:rsidRPr="00F605BC" w:rsidRDefault="00E96BC3" w:rsidP="009D6B40">
            <w:pPr>
              <w:snapToGrid w:val="0"/>
              <w:jc w:val="center"/>
              <w:rPr>
                <w:rFonts w:ascii="楷体" w:eastAsia="楷体" w:hAnsi="楷体"/>
                <w:b/>
                <w:sz w:val="18"/>
                <w:szCs w:val="18"/>
              </w:rPr>
            </w:pPr>
            <w:r w:rsidRPr="00F605BC">
              <w:rPr>
                <w:rFonts w:ascii="楷体" w:eastAsia="楷体" w:hAnsi="楷体" w:hint="eastAsia"/>
                <w:b/>
                <w:sz w:val="18"/>
                <w:szCs w:val="18"/>
              </w:rPr>
              <w:t>股票</w:t>
            </w:r>
            <w:r w:rsidRPr="00F605BC">
              <w:rPr>
                <w:rFonts w:ascii="楷体" w:eastAsia="楷体" w:hAnsi="楷体"/>
                <w:b/>
                <w:sz w:val="18"/>
                <w:szCs w:val="18"/>
              </w:rPr>
              <w:t>-</w:t>
            </w:r>
            <w:r w:rsidRPr="00F605BC">
              <w:rPr>
                <w:rFonts w:ascii="楷体" w:eastAsia="楷体" w:hAnsi="楷体" w:hint="eastAsia"/>
                <w:b/>
                <w:sz w:val="18"/>
                <w:szCs w:val="18"/>
              </w:rPr>
              <w:t>指数型</w:t>
            </w:r>
          </w:p>
        </w:tc>
        <w:tc>
          <w:tcPr>
            <w:tcW w:w="1197" w:type="dxa"/>
            <w:tcBorders>
              <w:left w:val="single" w:sz="6" w:space="0" w:color="FF6600"/>
              <w:right w:val="single" w:sz="6" w:space="0" w:color="FF6600"/>
            </w:tcBorders>
            <w:vAlign w:val="center"/>
          </w:tcPr>
          <w:p w:rsidR="00E96BC3" w:rsidRPr="00F605BC" w:rsidRDefault="00E96BC3" w:rsidP="009D6B40">
            <w:pPr>
              <w:snapToGrid w:val="0"/>
              <w:jc w:val="center"/>
              <w:rPr>
                <w:rFonts w:ascii="楷体" w:eastAsia="楷体" w:hAnsi="楷体"/>
                <w:color w:val="000000"/>
                <w:sz w:val="18"/>
                <w:szCs w:val="18"/>
              </w:rPr>
            </w:pPr>
            <w:r w:rsidRPr="00F605BC">
              <w:rPr>
                <w:rFonts w:ascii="楷体" w:eastAsia="楷体" w:hAnsi="楷体"/>
                <w:color w:val="000000"/>
                <w:sz w:val="18"/>
                <w:szCs w:val="18"/>
              </w:rPr>
              <w:t>0.66</w:t>
            </w:r>
          </w:p>
        </w:tc>
        <w:tc>
          <w:tcPr>
            <w:tcW w:w="946" w:type="dxa"/>
            <w:vMerge/>
            <w:tcBorders>
              <w:left w:val="single" w:sz="6" w:space="0" w:color="FF6600"/>
              <w:right w:val="single" w:sz="6" w:space="0" w:color="FF6600"/>
            </w:tcBorders>
            <w:shd w:val="clear" w:color="auto" w:fill="FDE9D9"/>
            <w:vAlign w:val="center"/>
          </w:tcPr>
          <w:p w:rsidR="00E96BC3" w:rsidRPr="00F605BC" w:rsidRDefault="00E96BC3" w:rsidP="009D6B40">
            <w:pPr>
              <w:snapToGrid w:val="0"/>
              <w:jc w:val="center"/>
              <w:rPr>
                <w:rFonts w:ascii="楷体" w:eastAsia="楷体" w:hAnsi="楷体"/>
                <w:b/>
                <w:sz w:val="18"/>
                <w:szCs w:val="18"/>
              </w:rPr>
            </w:pPr>
          </w:p>
        </w:tc>
        <w:tc>
          <w:tcPr>
            <w:tcW w:w="1448" w:type="dxa"/>
            <w:tcBorders>
              <w:left w:val="single" w:sz="6" w:space="0" w:color="FF6600"/>
              <w:right w:val="single" w:sz="6" w:space="0" w:color="FF6600"/>
            </w:tcBorders>
            <w:shd w:val="clear" w:color="auto" w:fill="FDE9D9"/>
            <w:vAlign w:val="center"/>
          </w:tcPr>
          <w:p w:rsidR="00E96BC3" w:rsidRPr="007E0CA0" w:rsidRDefault="00E96BC3" w:rsidP="009D6B40">
            <w:pPr>
              <w:snapToGrid w:val="0"/>
              <w:jc w:val="center"/>
              <w:rPr>
                <w:rFonts w:ascii="楷体" w:eastAsia="楷体" w:hAnsi="楷体" w:cs="宋体"/>
                <w:b/>
                <w:bCs/>
                <w:sz w:val="18"/>
                <w:szCs w:val="18"/>
              </w:rPr>
            </w:pPr>
            <w:r w:rsidRPr="00F605BC">
              <w:rPr>
                <w:rFonts w:ascii="楷体" w:eastAsia="楷体" w:hAnsi="楷体" w:hint="eastAsia"/>
                <w:b/>
                <w:bCs/>
                <w:sz w:val="18"/>
                <w:szCs w:val="18"/>
              </w:rPr>
              <w:t>债券</w:t>
            </w:r>
            <w:r w:rsidRPr="00F605BC">
              <w:rPr>
                <w:rFonts w:ascii="楷体" w:eastAsia="楷体" w:hAnsi="楷体"/>
                <w:b/>
                <w:bCs/>
                <w:sz w:val="18"/>
                <w:szCs w:val="18"/>
              </w:rPr>
              <w:t>-</w:t>
            </w:r>
            <w:r w:rsidRPr="00F605BC">
              <w:rPr>
                <w:rFonts w:ascii="楷体" w:eastAsia="楷体" w:hAnsi="楷体" w:hint="eastAsia"/>
                <w:b/>
                <w:bCs/>
                <w:sz w:val="18"/>
                <w:szCs w:val="18"/>
              </w:rPr>
              <w:t>一级债基</w:t>
            </w:r>
          </w:p>
        </w:tc>
        <w:tc>
          <w:tcPr>
            <w:tcW w:w="1197" w:type="dxa"/>
            <w:tcBorders>
              <w:left w:val="single" w:sz="6" w:space="0" w:color="FF6600"/>
              <w:right w:val="single" w:sz="6" w:space="0" w:color="FF6600"/>
            </w:tcBorders>
            <w:vAlign w:val="center"/>
          </w:tcPr>
          <w:p w:rsidR="00E96BC3" w:rsidRPr="00F605BC" w:rsidRDefault="00E96BC3" w:rsidP="005B32AB">
            <w:pPr>
              <w:snapToGrid w:val="0"/>
              <w:jc w:val="center"/>
              <w:rPr>
                <w:rFonts w:ascii="楷体" w:eastAsia="楷体" w:hAnsi="楷体"/>
                <w:color w:val="FF0000"/>
                <w:sz w:val="18"/>
                <w:szCs w:val="18"/>
              </w:rPr>
            </w:pPr>
            <w:r w:rsidRPr="00F605BC">
              <w:rPr>
                <w:rFonts w:ascii="楷体" w:eastAsia="楷体" w:hAnsi="楷体"/>
                <w:color w:val="FF0000"/>
                <w:sz w:val="18"/>
                <w:szCs w:val="18"/>
              </w:rPr>
              <w:t>-0.21</w:t>
            </w:r>
          </w:p>
        </w:tc>
        <w:tc>
          <w:tcPr>
            <w:tcW w:w="1041" w:type="dxa"/>
            <w:vMerge w:val="restart"/>
            <w:tcBorders>
              <w:left w:val="single" w:sz="6" w:space="0" w:color="FF6600"/>
              <w:right w:val="single" w:sz="6" w:space="0" w:color="FF6600"/>
            </w:tcBorders>
            <w:shd w:val="clear" w:color="auto" w:fill="FDE9D9"/>
            <w:vAlign w:val="center"/>
          </w:tcPr>
          <w:p w:rsidR="00E96BC3" w:rsidRPr="00F605BC" w:rsidRDefault="00E96BC3" w:rsidP="009D6B40">
            <w:pPr>
              <w:snapToGrid w:val="0"/>
              <w:jc w:val="center"/>
              <w:rPr>
                <w:rFonts w:ascii="楷体" w:eastAsia="楷体" w:hAnsi="楷体"/>
                <w:b/>
                <w:sz w:val="18"/>
                <w:szCs w:val="18"/>
              </w:rPr>
            </w:pPr>
            <w:r w:rsidRPr="00F605BC">
              <w:rPr>
                <w:rFonts w:ascii="楷体" w:eastAsia="楷体" w:hAnsi="楷体" w:hint="eastAsia"/>
                <w:b/>
                <w:sz w:val="18"/>
                <w:szCs w:val="18"/>
              </w:rPr>
              <w:t>分级基金</w:t>
            </w:r>
          </w:p>
          <w:p w:rsidR="00E96BC3" w:rsidRPr="00F605BC" w:rsidRDefault="00E96BC3" w:rsidP="009D6B40">
            <w:pPr>
              <w:snapToGrid w:val="0"/>
              <w:jc w:val="center"/>
              <w:rPr>
                <w:rFonts w:ascii="楷体" w:eastAsia="楷体" w:hAnsi="楷体"/>
                <w:b/>
                <w:sz w:val="18"/>
                <w:szCs w:val="18"/>
              </w:rPr>
            </w:pPr>
            <w:r w:rsidRPr="00F605BC">
              <w:rPr>
                <w:rFonts w:ascii="楷体" w:eastAsia="楷体" w:hAnsi="楷体" w:hint="eastAsia"/>
                <w:b/>
                <w:sz w:val="18"/>
                <w:szCs w:val="18"/>
              </w:rPr>
              <w:t>子份额</w:t>
            </w:r>
          </w:p>
        </w:tc>
        <w:tc>
          <w:tcPr>
            <w:tcW w:w="1353" w:type="dxa"/>
            <w:tcBorders>
              <w:left w:val="single" w:sz="6" w:space="0" w:color="FF6600"/>
              <w:right w:val="single" w:sz="6" w:space="0" w:color="FF6600"/>
            </w:tcBorders>
            <w:shd w:val="clear" w:color="auto" w:fill="FDE9D9"/>
            <w:vAlign w:val="center"/>
          </w:tcPr>
          <w:p w:rsidR="00E96BC3" w:rsidRPr="00F605BC" w:rsidRDefault="00E96BC3" w:rsidP="009D6B40">
            <w:pPr>
              <w:snapToGrid w:val="0"/>
              <w:jc w:val="center"/>
              <w:rPr>
                <w:rFonts w:ascii="楷体" w:eastAsia="楷体" w:hAnsi="楷体"/>
                <w:b/>
                <w:sz w:val="18"/>
                <w:szCs w:val="18"/>
              </w:rPr>
            </w:pPr>
            <w:r w:rsidRPr="00F605BC">
              <w:rPr>
                <w:rFonts w:ascii="楷体" w:eastAsia="楷体" w:hAnsi="楷体" w:hint="eastAsia"/>
                <w:b/>
                <w:sz w:val="18"/>
                <w:szCs w:val="18"/>
              </w:rPr>
              <w:t>股票稳健</w:t>
            </w:r>
          </w:p>
        </w:tc>
        <w:tc>
          <w:tcPr>
            <w:tcW w:w="1197" w:type="dxa"/>
            <w:tcBorders>
              <w:left w:val="single" w:sz="6" w:space="0" w:color="FF6600"/>
            </w:tcBorders>
            <w:vAlign w:val="center"/>
          </w:tcPr>
          <w:p w:rsidR="00E96BC3" w:rsidRPr="00F605BC" w:rsidRDefault="00E96BC3" w:rsidP="005B32AB">
            <w:pPr>
              <w:snapToGrid w:val="0"/>
              <w:jc w:val="center"/>
              <w:rPr>
                <w:rFonts w:ascii="楷体" w:eastAsia="楷体" w:hAnsi="楷体"/>
                <w:color w:val="000000"/>
                <w:sz w:val="18"/>
                <w:szCs w:val="18"/>
              </w:rPr>
            </w:pPr>
            <w:r w:rsidRPr="00F605BC">
              <w:rPr>
                <w:rFonts w:ascii="楷体" w:eastAsia="楷体" w:hAnsi="楷体"/>
                <w:color w:val="000000"/>
                <w:sz w:val="18"/>
                <w:szCs w:val="18"/>
              </w:rPr>
              <w:t>0.12</w:t>
            </w:r>
          </w:p>
        </w:tc>
      </w:tr>
      <w:tr w:rsidR="00E96BC3" w:rsidRPr="00F605BC" w:rsidTr="009D6B40">
        <w:trPr>
          <w:cantSplit/>
          <w:trHeight w:val="284"/>
        </w:trPr>
        <w:tc>
          <w:tcPr>
            <w:tcW w:w="993" w:type="dxa"/>
            <w:vMerge w:val="restart"/>
            <w:tcBorders>
              <w:right w:val="single" w:sz="6" w:space="0" w:color="FF6600"/>
            </w:tcBorders>
            <w:shd w:val="clear" w:color="auto" w:fill="FDE9D9"/>
            <w:vAlign w:val="center"/>
          </w:tcPr>
          <w:p w:rsidR="00E96BC3" w:rsidRPr="00F605BC" w:rsidRDefault="00E96BC3" w:rsidP="009D6B40">
            <w:pPr>
              <w:snapToGrid w:val="0"/>
              <w:jc w:val="center"/>
              <w:rPr>
                <w:rFonts w:ascii="楷体" w:eastAsia="楷体" w:hAnsi="楷体"/>
                <w:b/>
                <w:sz w:val="18"/>
                <w:szCs w:val="18"/>
              </w:rPr>
            </w:pPr>
            <w:r w:rsidRPr="00F605BC">
              <w:rPr>
                <w:rFonts w:ascii="楷体" w:eastAsia="楷体" w:hAnsi="楷体" w:hint="eastAsia"/>
                <w:b/>
                <w:sz w:val="18"/>
                <w:szCs w:val="18"/>
              </w:rPr>
              <w:t>混合型</w:t>
            </w:r>
          </w:p>
        </w:tc>
        <w:tc>
          <w:tcPr>
            <w:tcW w:w="1400" w:type="dxa"/>
            <w:tcBorders>
              <w:left w:val="single" w:sz="6" w:space="0" w:color="FF6600"/>
              <w:right w:val="single" w:sz="6" w:space="0" w:color="FF6600"/>
            </w:tcBorders>
            <w:shd w:val="clear" w:color="auto" w:fill="FDE9D9"/>
            <w:vAlign w:val="center"/>
          </w:tcPr>
          <w:p w:rsidR="00E96BC3" w:rsidRPr="007E0CA0" w:rsidRDefault="00E96BC3" w:rsidP="009D6B40">
            <w:pPr>
              <w:snapToGrid w:val="0"/>
              <w:jc w:val="center"/>
              <w:rPr>
                <w:rFonts w:ascii="楷体" w:eastAsia="楷体" w:hAnsi="楷体" w:cs="宋体"/>
                <w:b/>
                <w:bCs/>
                <w:sz w:val="18"/>
                <w:szCs w:val="18"/>
              </w:rPr>
            </w:pPr>
            <w:r w:rsidRPr="00F605BC">
              <w:rPr>
                <w:rFonts w:ascii="楷体" w:eastAsia="楷体" w:hAnsi="楷体" w:hint="eastAsia"/>
                <w:b/>
                <w:bCs/>
                <w:sz w:val="18"/>
                <w:szCs w:val="18"/>
              </w:rPr>
              <w:t>混合</w:t>
            </w:r>
            <w:r w:rsidRPr="00F605BC">
              <w:rPr>
                <w:rFonts w:ascii="楷体" w:eastAsia="楷体" w:hAnsi="楷体"/>
                <w:b/>
                <w:bCs/>
                <w:sz w:val="18"/>
                <w:szCs w:val="18"/>
              </w:rPr>
              <w:t>-</w:t>
            </w:r>
            <w:r w:rsidRPr="00F605BC">
              <w:rPr>
                <w:rFonts w:ascii="楷体" w:eastAsia="楷体" w:hAnsi="楷体" w:hint="eastAsia"/>
                <w:b/>
                <w:bCs/>
                <w:sz w:val="18"/>
                <w:szCs w:val="18"/>
              </w:rPr>
              <w:t>偏股型</w:t>
            </w:r>
          </w:p>
        </w:tc>
        <w:tc>
          <w:tcPr>
            <w:tcW w:w="1197" w:type="dxa"/>
            <w:tcBorders>
              <w:left w:val="single" w:sz="6" w:space="0" w:color="FF6600"/>
              <w:right w:val="single" w:sz="6" w:space="0" w:color="FF6600"/>
            </w:tcBorders>
            <w:vAlign w:val="center"/>
          </w:tcPr>
          <w:p w:rsidR="00E96BC3" w:rsidRPr="00F605BC" w:rsidRDefault="00E96BC3" w:rsidP="009D6B40">
            <w:pPr>
              <w:snapToGrid w:val="0"/>
              <w:jc w:val="center"/>
              <w:rPr>
                <w:rFonts w:ascii="楷体" w:eastAsia="楷体" w:hAnsi="楷体"/>
                <w:color w:val="000000"/>
                <w:sz w:val="18"/>
                <w:szCs w:val="18"/>
              </w:rPr>
            </w:pPr>
            <w:r w:rsidRPr="00F605BC">
              <w:rPr>
                <w:rFonts w:ascii="楷体" w:eastAsia="楷体" w:hAnsi="楷体"/>
                <w:color w:val="000000"/>
                <w:sz w:val="18"/>
                <w:szCs w:val="18"/>
              </w:rPr>
              <w:t>1.70</w:t>
            </w:r>
          </w:p>
        </w:tc>
        <w:tc>
          <w:tcPr>
            <w:tcW w:w="946" w:type="dxa"/>
            <w:vMerge/>
            <w:tcBorders>
              <w:left w:val="single" w:sz="6" w:space="0" w:color="FF6600"/>
              <w:right w:val="single" w:sz="6" w:space="0" w:color="FF6600"/>
            </w:tcBorders>
            <w:shd w:val="clear" w:color="auto" w:fill="FDE9D9"/>
            <w:vAlign w:val="center"/>
          </w:tcPr>
          <w:p w:rsidR="00E96BC3" w:rsidRPr="00F605BC" w:rsidRDefault="00E96BC3" w:rsidP="009D6B40">
            <w:pPr>
              <w:snapToGrid w:val="0"/>
              <w:jc w:val="center"/>
              <w:rPr>
                <w:rFonts w:ascii="楷体" w:eastAsia="楷体" w:hAnsi="楷体"/>
                <w:b/>
                <w:sz w:val="18"/>
                <w:szCs w:val="18"/>
              </w:rPr>
            </w:pPr>
          </w:p>
        </w:tc>
        <w:tc>
          <w:tcPr>
            <w:tcW w:w="1448" w:type="dxa"/>
            <w:tcBorders>
              <w:left w:val="single" w:sz="6" w:space="0" w:color="FF6600"/>
              <w:right w:val="single" w:sz="6" w:space="0" w:color="FF6600"/>
            </w:tcBorders>
            <w:shd w:val="clear" w:color="auto" w:fill="FDE9D9"/>
            <w:vAlign w:val="center"/>
          </w:tcPr>
          <w:p w:rsidR="00E96BC3" w:rsidRPr="007E0CA0" w:rsidRDefault="00E96BC3" w:rsidP="009D6B40">
            <w:pPr>
              <w:snapToGrid w:val="0"/>
              <w:jc w:val="center"/>
              <w:rPr>
                <w:rFonts w:ascii="楷体" w:eastAsia="楷体" w:hAnsi="楷体" w:cs="宋体"/>
                <w:b/>
                <w:bCs/>
                <w:sz w:val="18"/>
                <w:szCs w:val="18"/>
              </w:rPr>
            </w:pPr>
            <w:r w:rsidRPr="00F605BC">
              <w:rPr>
                <w:rFonts w:ascii="楷体" w:eastAsia="楷体" w:hAnsi="楷体" w:hint="eastAsia"/>
                <w:b/>
                <w:bCs/>
                <w:sz w:val="18"/>
                <w:szCs w:val="18"/>
              </w:rPr>
              <w:t>债券</w:t>
            </w:r>
            <w:r w:rsidRPr="00F605BC">
              <w:rPr>
                <w:rFonts w:ascii="楷体" w:eastAsia="楷体" w:hAnsi="楷体"/>
                <w:b/>
                <w:bCs/>
                <w:sz w:val="18"/>
                <w:szCs w:val="18"/>
              </w:rPr>
              <w:t>-</w:t>
            </w:r>
            <w:r w:rsidRPr="00F605BC">
              <w:rPr>
                <w:rFonts w:ascii="楷体" w:eastAsia="楷体" w:hAnsi="楷体" w:hint="eastAsia"/>
                <w:b/>
                <w:bCs/>
                <w:sz w:val="18"/>
                <w:szCs w:val="18"/>
              </w:rPr>
              <w:t>二级债基</w:t>
            </w:r>
          </w:p>
        </w:tc>
        <w:tc>
          <w:tcPr>
            <w:tcW w:w="1197" w:type="dxa"/>
            <w:tcBorders>
              <w:left w:val="single" w:sz="6" w:space="0" w:color="FF6600"/>
              <w:right w:val="single" w:sz="6" w:space="0" w:color="FF6600"/>
            </w:tcBorders>
            <w:vAlign w:val="center"/>
          </w:tcPr>
          <w:p w:rsidR="00E96BC3" w:rsidRPr="00F605BC" w:rsidRDefault="00E96BC3" w:rsidP="009D6B40">
            <w:pPr>
              <w:snapToGrid w:val="0"/>
              <w:jc w:val="center"/>
              <w:rPr>
                <w:rFonts w:ascii="楷体" w:eastAsia="楷体" w:hAnsi="楷体"/>
                <w:color w:val="FF0000"/>
                <w:sz w:val="18"/>
                <w:szCs w:val="18"/>
              </w:rPr>
            </w:pPr>
            <w:r w:rsidRPr="00F605BC">
              <w:rPr>
                <w:rFonts w:ascii="楷体" w:eastAsia="楷体" w:hAnsi="楷体"/>
                <w:color w:val="FF0000"/>
                <w:sz w:val="18"/>
                <w:szCs w:val="18"/>
              </w:rPr>
              <w:t>-0.08</w:t>
            </w:r>
          </w:p>
        </w:tc>
        <w:tc>
          <w:tcPr>
            <w:tcW w:w="1041" w:type="dxa"/>
            <w:vMerge/>
            <w:tcBorders>
              <w:left w:val="single" w:sz="6" w:space="0" w:color="FF6600"/>
              <w:right w:val="single" w:sz="6" w:space="0" w:color="FF6600"/>
            </w:tcBorders>
            <w:shd w:val="clear" w:color="auto" w:fill="FDE9D9"/>
            <w:vAlign w:val="center"/>
          </w:tcPr>
          <w:p w:rsidR="00E96BC3" w:rsidRPr="00F605BC" w:rsidRDefault="00E96BC3" w:rsidP="009D6B40">
            <w:pPr>
              <w:snapToGrid w:val="0"/>
              <w:jc w:val="center"/>
              <w:rPr>
                <w:rFonts w:ascii="楷体" w:eastAsia="楷体" w:hAnsi="楷体"/>
                <w:b/>
                <w:sz w:val="18"/>
                <w:szCs w:val="18"/>
              </w:rPr>
            </w:pPr>
          </w:p>
        </w:tc>
        <w:tc>
          <w:tcPr>
            <w:tcW w:w="1353" w:type="dxa"/>
            <w:tcBorders>
              <w:left w:val="single" w:sz="6" w:space="0" w:color="FF6600"/>
              <w:right w:val="single" w:sz="6" w:space="0" w:color="FF6600"/>
            </w:tcBorders>
            <w:shd w:val="clear" w:color="auto" w:fill="FDE9D9"/>
            <w:vAlign w:val="center"/>
          </w:tcPr>
          <w:p w:rsidR="00E96BC3" w:rsidRPr="00F605BC" w:rsidRDefault="00E96BC3" w:rsidP="009D6B40">
            <w:pPr>
              <w:snapToGrid w:val="0"/>
              <w:jc w:val="center"/>
              <w:rPr>
                <w:rFonts w:ascii="楷体" w:eastAsia="楷体" w:hAnsi="楷体"/>
                <w:b/>
                <w:sz w:val="18"/>
                <w:szCs w:val="18"/>
              </w:rPr>
            </w:pPr>
            <w:r w:rsidRPr="00F605BC">
              <w:rPr>
                <w:rFonts w:ascii="楷体" w:eastAsia="楷体" w:hAnsi="楷体" w:hint="eastAsia"/>
                <w:b/>
                <w:sz w:val="18"/>
                <w:szCs w:val="18"/>
              </w:rPr>
              <w:t>股票积极</w:t>
            </w:r>
          </w:p>
        </w:tc>
        <w:tc>
          <w:tcPr>
            <w:tcW w:w="1197" w:type="dxa"/>
            <w:tcBorders>
              <w:left w:val="single" w:sz="6" w:space="0" w:color="FF6600"/>
            </w:tcBorders>
            <w:vAlign w:val="center"/>
          </w:tcPr>
          <w:p w:rsidR="00E96BC3" w:rsidRPr="00F605BC" w:rsidRDefault="00E96BC3" w:rsidP="009D6B40">
            <w:pPr>
              <w:snapToGrid w:val="0"/>
              <w:jc w:val="center"/>
              <w:rPr>
                <w:rFonts w:ascii="楷体" w:eastAsia="楷体" w:hAnsi="楷体"/>
                <w:color w:val="000000"/>
                <w:sz w:val="18"/>
                <w:szCs w:val="18"/>
              </w:rPr>
            </w:pPr>
            <w:r w:rsidRPr="00F605BC">
              <w:rPr>
                <w:rFonts w:ascii="楷体" w:eastAsia="楷体" w:hAnsi="楷体"/>
                <w:color w:val="000000"/>
                <w:sz w:val="18"/>
                <w:szCs w:val="18"/>
              </w:rPr>
              <w:t>2.15</w:t>
            </w:r>
          </w:p>
        </w:tc>
      </w:tr>
      <w:tr w:rsidR="00E96BC3" w:rsidRPr="00F605BC" w:rsidTr="009D6B40">
        <w:trPr>
          <w:cantSplit/>
          <w:trHeight w:val="284"/>
        </w:trPr>
        <w:tc>
          <w:tcPr>
            <w:tcW w:w="993" w:type="dxa"/>
            <w:vMerge/>
            <w:tcBorders>
              <w:right w:val="single" w:sz="6" w:space="0" w:color="FF6600"/>
            </w:tcBorders>
            <w:shd w:val="clear" w:color="auto" w:fill="FDE9D9"/>
            <w:vAlign w:val="center"/>
          </w:tcPr>
          <w:p w:rsidR="00E96BC3" w:rsidRPr="00F605BC" w:rsidRDefault="00E96BC3" w:rsidP="009D6B40">
            <w:pPr>
              <w:snapToGrid w:val="0"/>
              <w:jc w:val="center"/>
              <w:rPr>
                <w:rFonts w:ascii="楷体" w:eastAsia="楷体" w:hAnsi="楷体"/>
                <w:b/>
                <w:sz w:val="18"/>
                <w:szCs w:val="18"/>
              </w:rPr>
            </w:pPr>
          </w:p>
        </w:tc>
        <w:tc>
          <w:tcPr>
            <w:tcW w:w="1400" w:type="dxa"/>
            <w:tcBorders>
              <w:left w:val="single" w:sz="6" w:space="0" w:color="FF6600"/>
              <w:right w:val="single" w:sz="6" w:space="0" w:color="FF6600"/>
            </w:tcBorders>
            <w:shd w:val="clear" w:color="auto" w:fill="FDE9D9"/>
            <w:vAlign w:val="center"/>
          </w:tcPr>
          <w:p w:rsidR="00E96BC3" w:rsidRPr="007E0CA0" w:rsidRDefault="00E96BC3" w:rsidP="009D6B40">
            <w:pPr>
              <w:snapToGrid w:val="0"/>
              <w:jc w:val="center"/>
              <w:rPr>
                <w:rFonts w:ascii="楷体" w:eastAsia="楷体" w:hAnsi="楷体" w:cs="宋体"/>
                <w:b/>
                <w:bCs/>
                <w:sz w:val="18"/>
                <w:szCs w:val="18"/>
              </w:rPr>
            </w:pPr>
            <w:r w:rsidRPr="00F605BC">
              <w:rPr>
                <w:rFonts w:ascii="楷体" w:eastAsia="楷体" w:hAnsi="楷体" w:hint="eastAsia"/>
                <w:b/>
                <w:bCs/>
                <w:sz w:val="18"/>
                <w:szCs w:val="18"/>
              </w:rPr>
              <w:t>混合</w:t>
            </w:r>
            <w:r w:rsidRPr="00F605BC">
              <w:rPr>
                <w:rFonts w:ascii="楷体" w:eastAsia="楷体" w:hAnsi="楷体"/>
                <w:b/>
                <w:bCs/>
                <w:sz w:val="18"/>
                <w:szCs w:val="18"/>
              </w:rPr>
              <w:t>-</w:t>
            </w:r>
            <w:r w:rsidRPr="00F605BC">
              <w:rPr>
                <w:rFonts w:ascii="楷体" w:eastAsia="楷体" w:hAnsi="楷体" w:hint="eastAsia"/>
                <w:b/>
                <w:bCs/>
                <w:sz w:val="18"/>
                <w:szCs w:val="18"/>
              </w:rPr>
              <w:t>偏债型</w:t>
            </w:r>
          </w:p>
        </w:tc>
        <w:tc>
          <w:tcPr>
            <w:tcW w:w="1197" w:type="dxa"/>
            <w:tcBorders>
              <w:left w:val="single" w:sz="6" w:space="0" w:color="FF6600"/>
              <w:right w:val="single" w:sz="6" w:space="0" w:color="FF6600"/>
            </w:tcBorders>
            <w:vAlign w:val="center"/>
          </w:tcPr>
          <w:p w:rsidR="00E96BC3" w:rsidRPr="00F605BC" w:rsidRDefault="00E96BC3" w:rsidP="00F40C1B">
            <w:pPr>
              <w:snapToGrid w:val="0"/>
              <w:jc w:val="center"/>
              <w:rPr>
                <w:rFonts w:ascii="楷体" w:eastAsia="楷体" w:hAnsi="楷体"/>
                <w:color w:val="000000"/>
                <w:sz w:val="18"/>
                <w:szCs w:val="18"/>
              </w:rPr>
            </w:pPr>
            <w:r w:rsidRPr="00F605BC">
              <w:rPr>
                <w:rFonts w:ascii="楷体" w:eastAsia="楷体" w:hAnsi="楷体"/>
                <w:color w:val="000000"/>
                <w:sz w:val="18"/>
                <w:szCs w:val="18"/>
              </w:rPr>
              <w:t>0.54</w:t>
            </w:r>
          </w:p>
        </w:tc>
        <w:tc>
          <w:tcPr>
            <w:tcW w:w="946" w:type="dxa"/>
            <w:vMerge/>
            <w:tcBorders>
              <w:left w:val="single" w:sz="6" w:space="0" w:color="FF6600"/>
              <w:right w:val="single" w:sz="6" w:space="0" w:color="FF6600"/>
            </w:tcBorders>
            <w:shd w:val="clear" w:color="auto" w:fill="FDE9D9"/>
            <w:vAlign w:val="center"/>
          </w:tcPr>
          <w:p w:rsidR="00E96BC3" w:rsidRPr="00F605BC" w:rsidRDefault="00E96BC3" w:rsidP="009D6B40">
            <w:pPr>
              <w:snapToGrid w:val="0"/>
              <w:jc w:val="center"/>
              <w:rPr>
                <w:rFonts w:ascii="楷体" w:eastAsia="楷体" w:hAnsi="楷体"/>
                <w:b/>
                <w:sz w:val="18"/>
                <w:szCs w:val="18"/>
              </w:rPr>
            </w:pPr>
          </w:p>
        </w:tc>
        <w:tc>
          <w:tcPr>
            <w:tcW w:w="1448" w:type="dxa"/>
            <w:tcBorders>
              <w:left w:val="single" w:sz="6" w:space="0" w:color="FF6600"/>
              <w:right w:val="single" w:sz="6" w:space="0" w:color="FF6600"/>
            </w:tcBorders>
            <w:shd w:val="clear" w:color="auto" w:fill="FDE9D9"/>
            <w:vAlign w:val="center"/>
          </w:tcPr>
          <w:p w:rsidR="00E96BC3" w:rsidRPr="007E0CA0" w:rsidRDefault="00E96BC3" w:rsidP="009D6B40">
            <w:pPr>
              <w:snapToGrid w:val="0"/>
              <w:jc w:val="center"/>
              <w:rPr>
                <w:rFonts w:ascii="楷体" w:eastAsia="楷体" w:hAnsi="楷体" w:cs="宋体"/>
                <w:b/>
                <w:bCs/>
                <w:sz w:val="18"/>
                <w:szCs w:val="18"/>
              </w:rPr>
            </w:pPr>
            <w:r w:rsidRPr="00F605BC">
              <w:rPr>
                <w:rFonts w:ascii="楷体" w:eastAsia="楷体" w:hAnsi="楷体" w:hint="eastAsia"/>
                <w:b/>
                <w:bCs/>
                <w:sz w:val="18"/>
                <w:szCs w:val="18"/>
              </w:rPr>
              <w:t>债券</w:t>
            </w:r>
            <w:r w:rsidRPr="00F605BC">
              <w:rPr>
                <w:rFonts w:ascii="楷体" w:eastAsia="楷体" w:hAnsi="楷体"/>
                <w:b/>
                <w:bCs/>
                <w:sz w:val="18"/>
                <w:szCs w:val="18"/>
              </w:rPr>
              <w:t>-</w:t>
            </w:r>
            <w:r w:rsidRPr="00F605BC">
              <w:rPr>
                <w:rFonts w:ascii="楷体" w:eastAsia="楷体" w:hAnsi="楷体" w:hint="eastAsia"/>
                <w:b/>
                <w:bCs/>
                <w:sz w:val="18"/>
                <w:szCs w:val="18"/>
              </w:rPr>
              <w:t>指数债基</w:t>
            </w:r>
          </w:p>
        </w:tc>
        <w:tc>
          <w:tcPr>
            <w:tcW w:w="1197" w:type="dxa"/>
            <w:tcBorders>
              <w:left w:val="single" w:sz="6" w:space="0" w:color="FF6600"/>
              <w:right w:val="single" w:sz="6" w:space="0" w:color="FF6600"/>
            </w:tcBorders>
            <w:vAlign w:val="center"/>
          </w:tcPr>
          <w:p w:rsidR="00E96BC3" w:rsidRPr="00F605BC" w:rsidRDefault="00E96BC3" w:rsidP="009D6B40">
            <w:pPr>
              <w:snapToGrid w:val="0"/>
              <w:jc w:val="center"/>
              <w:rPr>
                <w:rFonts w:ascii="楷体" w:eastAsia="楷体" w:hAnsi="楷体"/>
                <w:color w:val="FF0000"/>
                <w:sz w:val="18"/>
                <w:szCs w:val="18"/>
              </w:rPr>
            </w:pPr>
            <w:r w:rsidRPr="00F605BC">
              <w:rPr>
                <w:rFonts w:ascii="楷体" w:eastAsia="楷体" w:hAnsi="楷体"/>
                <w:color w:val="FF0000"/>
                <w:sz w:val="18"/>
                <w:szCs w:val="18"/>
              </w:rPr>
              <w:t>-0.38</w:t>
            </w:r>
          </w:p>
        </w:tc>
        <w:tc>
          <w:tcPr>
            <w:tcW w:w="1041" w:type="dxa"/>
            <w:vMerge/>
            <w:tcBorders>
              <w:left w:val="single" w:sz="6" w:space="0" w:color="FF6600"/>
              <w:right w:val="single" w:sz="6" w:space="0" w:color="FF6600"/>
            </w:tcBorders>
            <w:shd w:val="clear" w:color="auto" w:fill="FDE9D9"/>
            <w:vAlign w:val="center"/>
          </w:tcPr>
          <w:p w:rsidR="00E96BC3" w:rsidRPr="00F605BC" w:rsidRDefault="00E96BC3" w:rsidP="009D6B40">
            <w:pPr>
              <w:snapToGrid w:val="0"/>
              <w:jc w:val="center"/>
              <w:rPr>
                <w:rFonts w:ascii="楷体" w:eastAsia="楷体" w:hAnsi="楷体"/>
                <w:b/>
                <w:sz w:val="18"/>
                <w:szCs w:val="18"/>
              </w:rPr>
            </w:pPr>
          </w:p>
        </w:tc>
        <w:tc>
          <w:tcPr>
            <w:tcW w:w="1353" w:type="dxa"/>
            <w:tcBorders>
              <w:left w:val="single" w:sz="6" w:space="0" w:color="FF6600"/>
              <w:right w:val="single" w:sz="6" w:space="0" w:color="FF6600"/>
            </w:tcBorders>
            <w:shd w:val="clear" w:color="auto" w:fill="FDE9D9"/>
            <w:vAlign w:val="center"/>
          </w:tcPr>
          <w:p w:rsidR="00E96BC3" w:rsidRPr="00F605BC" w:rsidRDefault="00E96BC3" w:rsidP="009D6B40">
            <w:pPr>
              <w:snapToGrid w:val="0"/>
              <w:jc w:val="center"/>
              <w:rPr>
                <w:rFonts w:ascii="楷体" w:eastAsia="楷体" w:hAnsi="楷体"/>
                <w:b/>
                <w:sz w:val="18"/>
                <w:szCs w:val="18"/>
              </w:rPr>
            </w:pPr>
            <w:r w:rsidRPr="00F605BC">
              <w:rPr>
                <w:rFonts w:ascii="楷体" w:eastAsia="楷体" w:hAnsi="楷体" w:hint="eastAsia"/>
                <w:b/>
                <w:sz w:val="18"/>
                <w:szCs w:val="18"/>
              </w:rPr>
              <w:t>债券稳健</w:t>
            </w:r>
          </w:p>
        </w:tc>
        <w:tc>
          <w:tcPr>
            <w:tcW w:w="1197" w:type="dxa"/>
            <w:tcBorders>
              <w:left w:val="single" w:sz="6" w:space="0" w:color="FF6600"/>
            </w:tcBorders>
            <w:vAlign w:val="center"/>
          </w:tcPr>
          <w:p w:rsidR="00E96BC3" w:rsidRPr="00F605BC" w:rsidRDefault="00E96BC3" w:rsidP="00B04D8C">
            <w:pPr>
              <w:snapToGrid w:val="0"/>
              <w:jc w:val="center"/>
              <w:rPr>
                <w:rFonts w:ascii="楷体" w:eastAsia="楷体" w:hAnsi="楷体"/>
                <w:color w:val="000000"/>
                <w:sz w:val="18"/>
                <w:szCs w:val="18"/>
              </w:rPr>
            </w:pPr>
            <w:r w:rsidRPr="00F605BC">
              <w:rPr>
                <w:rFonts w:ascii="楷体" w:eastAsia="楷体" w:hAnsi="楷体"/>
                <w:color w:val="000000"/>
                <w:sz w:val="18"/>
                <w:szCs w:val="18"/>
              </w:rPr>
              <w:t>0.09</w:t>
            </w:r>
          </w:p>
        </w:tc>
      </w:tr>
      <w:tr w:rsidR="00E96BC3" w:rsidRPr="00F605BC" w:rsidTr="009D6B40">
        <w:trPr>
          <w:cantSplit/>
          <w:trHeight w:val="284"/>
        </w:trPr>
        <w:tc>
          <w:tcPr>
            <w:tcW w:w="993" w:type="dxa"/>
            <w:vMerge/>
            <w:tcBorders>
              <w:right w:val="single" w:sz="6" w:space="0" w:color="FF6600"/>
            </w:tcBorders>
            <w:shd w:val="clear" w:color="auto" w:fill="FDE9D9"/>
            <w:vAlign w:val="center"/>
          </w:tcPr>
          <w:p w:rsidR="00E96BC3" w:rsidRPr="00F605BC" w:rsidRDefault="00E96BC3" w:rsidP="009D6B40">
            <w:pPr>
              <w:snapToGrid w:val="0"/>
              <w:jc w:val="center"/>
              <w:rPr>
                <w:rFonts w:ascii="楷体" w:eastAsia="楷体" w:hAnsi="楷体"/>
                <w:b/>
                <w:sz w:val="18"/>
                <w:szCs w:val="18"/>
              </w:rPr>
            </w:pPr>
          </w:p>
        </w:tc>
        <w:tc>
          <w:tcPr>
            <w:tcW w:w="1400" w:type="dxa"/>
            <w:tcBorders>
              <w:left w:val="single" w:sz="6" w:space="0" w:color="FF6600"/>
              <w:right w:val="single" w:sz="6" w:space="0" w:color="FF6600"/>
            </w:tcBorders>
            <w:shd w:val="clear" w:color="auto" w:fill="FDE9D9"/>
            <w:vAlign w:val="center"/>
          </w:tcPr>
          <w:p w:rsidR="00E96BC3" w:rsidRPr="007E0CA0" w:rsidRDefault="00E96BC3" w:rsidP="00884478">
            <w:pPr>
              <w:snapToGrid w:val="0"/>
              <w:jc w:val="center"/>
              <w:rPr>
                <w:rFonts w:ascii="楷体" w:eastAsia="楷体" w:hAnsi="楷体" w:cs="宋体"/>
                <w:b/>
                <w:bCs/>
                <w:sz w:val="18"/>
                <w:szCs w:val="18"/>
              </w:rPr>
            </w:pPr>
            <w:r w:rsidRPr="00F605BC">
              <w:rPr>
                <w:rFonts w:ascii="楷体" w:eastAsia="楷体" w:hAnsi="楷体" w:hint="eastAsia"/>
                <w:b/>
                <w:bCs/>
                <w:sz w:val="18"/>
                <w:szCs w:val="18"/>
              </w:rPr>
              <w:t>混合</w:t>
            </w:r>
            <w:r w:rsidRPr="00F605BC">
              <w:rPr>
                <w:rFonts w:ascii="楷体" w:eastAsia="楷体" w:hAnsi="楷体"/>
                <w:b/>
                <w:bCs/>
                <w:sz w:val="18"/>
                <w:szCs w:val="18"/>
              </w:rPr>
              <w:t>-</w:t>
            </w:r>
            <w:r w:rsidRPr="00F605BC">
              <w:rPr>
                <w:rFonts w:ascii="楷体" w:eastAsia="楷体" w:hAnsi="楷体" w:hint="eastAsia"/>
                <w:b/>
                <w:bCs/>
                <w:sz w:val="18"/>
                <w:szCs w:val="18"/>
              </w:rPr>
              <w:t>灵活型</w:t>
            </w:r>
          </w:p>
        </w:tc>
        <w:tc>
          <w:tcPr>
            <w:tcW w:w="1197" w:type="dxa"/>
            <w:tcBorders>
              <w:left w:val="single" w:sz="6" w:space="0" w:color="FF6600"/>
              <w:right w:val="single" w:sz="6" w:space="0" w:color="FF6600"/>
            </w:tcBorders>
            <w:vAlign w:val="center"/>
          </w:tcPr>
          <w:p w:rsidR="00E96BC3" w:rsidRPr="00F605BC" w:rsidRDefault="00E96BC3" w:rsidP="006766DE">
            <w:pPr>
              <w:snapToGrid w:val="0"/>
              <w:jc w:val="center"/>
              <w:rPr>
                <w:rFonts w:ascii="楷体" w:eastAsia="楷体" w:hAnsi="楷体"/>
                <w:color w:val="000000"/>
                <w:sz w:val="18"/>
                <w:szCs w:val="18"/>
              </w:rPr>
            </w:pPr>
            <w:r w:rsidRPr="00F605BC">
              <w:rPr>
                <w:rFonts w:ascii="楷体" w:eastAsia="楷体" w:hAnsi="楷体"/>
                <w:color w:val="000000"/>
                <w:sz w:val="18"/>
                <w:szCs w:val="18"/>
              </w:rPr>
              <w:t>1.96</w:t>
            </w:r>
          </w:p>
        </w:tc>
        <w:tc>
          <w:tcPr>
            <w:tcW w:w="946" w:type="dxa"/>
            <w:vMerge/>
            <w:tcBorders>
              <w:left w:val="single" w:sz="6" w:space="0" w:color="FF6600"/>
              <w:right w:val="single" w:sz="6" w:space="0" w:color="FF6600"/>
            </w:tcBorders>
            <w:shd w:val="clear" w:color="auto" w:fill="FDE9D9"/>
            <w:vAlign w:val="center"/>
          </w:tcPr>
          <w:p w:rsidR="00E96BC3" w:rsidRPr="00F605BC" w:rsidRDefault="00E96BC3" w:rsidP="009D6B40">
            <w:pPr>
              <w:snapToGrid w:val="0"/>
              <w:jc w:val="center"/>
              <w:rPr>
                <w:rFonts w:ascii="楷体" w:eastAsia="楷体" w:hAnsi="楷体"/>
                <w:b/>
                <w:sz w:val="18"/>
                <w:szCs w:val="18"/>
              </w:rPr>
            </w:pPr>
          </w:p>
        </w:tc>
        <w:tc>
          <w:tcPr>
            <w:tcW w:w="1448" w:type="dxa"/>
            <w:tcBorders>
              <w:left w:val="single" w:sz="6" w:space="0" w:color="FF6600"/>
              <w:right w:val="single" w:sz="6" w:space="0" w:color="FF6600"/>
            </w:tcBorders>
            <w:shd w:val="clear" w:color="auto" w:fill="FDE9D9"/>
            <w:vAlign w:val="center"/>
          </w:tcPr>
          <w:p w:rsidR="00E96BC3" w:rsidRPr="007E0CA0" w:rsidRDefault="00E96BC3" w:rsidP="009D6B40">
            <w:pPr>
              <w:snapToGrid w:val="0"/>
              <w:jc w:val="center"/>
              <w:rPr>
                <w:rFonts w:ascii="楷体" w:eastAsia="楷体" w:hAnsi="楷体" w:cs="宋体"/>
                <w:b/>
                <w:bCs/>
                <w:sz w:val="18"/>
                <w:szCs w:val="18"/>
              </w:rPr>
            </w:pPr>
            <w:r w:rsidRPr="00F605BC">
              <w:rPr>
                <w:rFonts w:ascii="楷体" w:eastAsia="楷体" w:hAnsi="楷体" w:hint="eastAsia"/>
                <w:b/>
                <w:bCs/>
                <w:sz w:val="18"/>
                <w:szCs w:val="18"/>
              </w:rPr>
              <w:t>债券</w:t>
            </w:r>
            <w:r w:rsidRPr="00F605BC">
              <w:rPr>
                <w:rFonts w:ascii="楷体" w:eastAsia="楷体" w:hAnsi="楷体"/>
                <w:b/>
                <w:bCs/>
                <w:sz w:val="18"/>
                <w:szCs w:val="18"/>
              </w:rPr>
              <w:t>-</w:t>
            </w:r>
            <w:r w:rsidRPr="00F605BC">
              <w:rPr>
                <w:rFonts w:ascii="楷体" w:eastAsia="楷体" w:hAnsi="楷体" w:hint="eastAsia"/>
                <w:b/>
                <w:bCs/>
                <w:sz w:val="18"/>
                <w:szCs w:val="18"/>
              </w:rPr>
              <w:t>可转债基</w:t>
            </w:r>
          </w:p>
        </w:tc>
        <w:tc>
          <w:tcPr>
            <w:tcW w:w="1197" w:type="dxa"/>
            <w:tcBorders>
              <w:left w:val="single" w:sz="6" w:space="0" w:color="FF6600"/>
              <w:right w:val="single" w:sz="6" w:space="0" w:color="FF6600"/>
            </w:tcBorders>
            <w:vAlign w:val="center"/>
          </w:tcPr>
          <w:p w:rsidR="00E96BC3" w:rsidRPr="00F605BC" w:rsidRDefault="00E96BC3" w:rsidP="00100CB5">
            <w:pPr>
              <w:snapToGrid w:val="0"/>
              <w:jc w:val="center"/>
              <w:rPr>
                <w:rFonts w:ascii="楷体" w:eastAsia="楷体" w:hAnsi="楷体"/>
                <w:color w:val="FF0000"/>
                <w:sz w:val="18"/>
                <w:szCs w:val="18"/>
              </w:rPr>
            </w:pPr>
            <w:r w:rsidRPr="00F605BC">
              <w:rPr>
                <w:rFonts w:ascii="楷体" w:eastAsia="楷体" w:hAnsi="楷体"/>
                <w:color w:val="FF0000"/>
                <w:sz w:val="18"/>
                <w:szCs w:val="18"/>
              </w:rPr>
              <w:t>-0.23</w:t>
            </w:r>
          </w:p>
        </w:tc>
        <w:tc>
          <w:tcPr>
            <w:tcW w:w="1041" w:type="dxa"/>
            <w:vMerge/>
            <w:tcBorders>
              <w:left w:val="single" w:sz="6" w:space="0" w:color="FF6600"/>
              <w:right w:val="single" w:sz="6" w:space="0" w:color="FF6600"/>
            </w:tcBorders>
            <w:shd w:val="clear" w:color="auto" w:fill="FDE9D9"/>
            <w:vAlign w:val="center"/>
          </w:tcPr>
          <w:p w:rsidR="00E96BC3" w:rsidRPr="00F605BC" w:rsidRDefault="00E96BC3" w:rsidP="009D6B40">
            <w:pPr>
              <w:snapToGrid w:val="0"/>
              <w:jc w:val="center"/>
              <w:rPr>
                <w:rFonts w:ascii="楷体" w:eastAsia="楷体" w:hAnsi="楷体"/>
                <w:b/>
                <w:sz w:val="18"/>
                <w:szCs w:val="18"/>
              </w:rPr>
            </w:pPr>
          </w:p>
        </w:tc>
        <w:tc>
          <w:tcPr>
            <w:tcW w:w="1353" w:type="dxa"/>
            <w:tcBorders>
              <w:left w:val="single" w:sz="6" w:space="0" w:color="FF6600"/>
              <w:right w:val="single" w:sz="6" w:space="0" w:color="FF6600"/>
            </w:tcBorders>
            <w:shd w:val="clear" w:color="auto" w:fill="FDE9D9"/>
            <w:vAlign w:val="center"/>
          </w:tcPr>
          <w:p w:rsidR="00E96BC3" w:rsidRPr="00F605BC" w:rsidRDefault="00E96BC3" w:rsidP="009D6B40">
            <w:pPr>
              <w:snapToGrid w:val="0"/>
              <w:jc w:val="center"/>
              <w:rPr>
                <w:rFonts w:ascii="楷体" w:eastAsia="楷体" w:hAnsi="楷体"/>
                <w:b/>
                <w:sz w:val="18"/>
                <w:szCs w:val="18"/>
              </w:rPr>
            </w:pPr>
            <w:r w:rsidRPr="00F605BC">
              <w:rPr>
                <w:rFonts w:ascii="楷体" w:eastAsia="楷体" w:hAnsi="楷体" w:hint="eastAsia"/>
                <w:b/>
                <w:sz w:val="18"/>
                <w:szCs w:val="18"/>
              </w:rPr>
              <w:t>债券积极</w:t>
            </w:r>
          </w:p>
        </w:tc>
        <w:tc>
          <w:tcPr>
            <w:tcW w:w="1197" w:type="dxa"/>
            <w:tcBorders>
              <w:left w:val="single" w:sz="6" w:space="0" w:color="FF6600"/>
            </w:tcBorders>
            <w:vAlign w:val="center"/>
          </w:tcPr>
          <w:p w:rsidR="00E96BC3" w:rsidRPr="00F605BC" w:rsidRDefault="00E96BC3" w:rsidP="009D6B40">
            <w:pPr>
              <w:snapToGrid w:val="0"/>
              <w:jc w:val="center"/>
              <w:rPr>
                <w:rFonts w:ascii="楷体" w:eastAsia="楷体" w:hAnsi="楷体"/>
                <w:color w:val="FF0000"/>
                <w:sz w:val="18"/>
                <w:szCs w:val="18"/>
              </w:rPr>
            </w:pPr>
            <w:r w:rsidRPr="00F605BC">
              <w:rPr>
                <w:rFonts w:ascii="楷体" w:eastAsia="楷体" w:hAnsi="楷体"/>
                <w:color w:val="FF0000"/>
                <w:sz w:val="18"/>
                <w:szCs w:val="18"/>
              </w:rPr>
              <w:t>-0.42</w:t>
            </w:r>
          </w:p>
        </w:tc>
      </w:tr>
      <w:tr w:rsidR="00E96BC3" w:rsidRPr="00F605BC" w:rsidTr="00884478">
        <w:trPr>
          <w:cantSplit/>
          <w:trHeight w:val="284"/>
        </w:trPr>
        <w:tc>
          <w:tcPr>
            <w:tcW w:w="2393" w:type="dxa"/>
            <w:gridSpan w:val="2"/>
            <w:tcBorders>
              <w:right w:val="single" w:sz="6" w:space="0" w:color="FF6600"/>
            </w:tcBorders>
            <w:shd w:val="clear" w:color="auto" w:fill="FDE9D9"/>
            <w:vAlign w:val="center"/>
          </w:tcPr>
          <w:p w:rsidR="00E96BC3" w:rsidRPr="00F605BC" w:rsidRDefault="00E96BC3" w:rsidP="00884478">
            <w:pPr>
              <w:snapToGrid w:val="0"/>
              <w:jc w:val="center"/>
              <w:rPr>
                <w:rFonts w:ascii="楷体" w:eastAsia="楷体" w:hAnsi="楷体"/>
                <w:b/>
                <w:sz w:val="18"/>
                <w:szCs w:val="18"/>
              </w:rPr>
            </w:pPr>
            <w:r w:rsidRPr="00F605BC">
              <w:rPr>
                <w:rFonts w:ascii="楷体" w:eastAsia="楷体" w:hAnsi="楷体"/>
                <w:b/>
                <w:sz w:val="18"/>
                <w:szCs w:val="18"/>
              </w:rPr>
              <w:t>QDII</w:t>
            </w:r>
          </w:p>
        </w:tc>
        <w:tc>
          <w:tcPr>
            <w:tcW w:w="1197" w:type="dxa"/>
            <w:tcBorders>
              <w:left w:val="single" w:sz="6" w:space="0" w:color="FF6600"/>
              <w:right w:val="single" w:sz="6" w:space="0" w:color="FF6600"/>
            </w:tcBorders>
            <w:vAlign w:val="center"/>
          </w:tcPr>
          <w:p w:rsidR="00E96BC3" w:rsidRPr="00F605BC" w:rsidRDefault="00E96BC3" w:rsidP="00B236A5">
            <w:pPr>
              <w:snapToGrid w:val="0"/>
              <w:jc w:val="center"/>
              <w:rPr>
                <w:rFonts w:ascii="楷体" w:eastAsia="楷体" w:hAnsi="楷体"/>
                <w:color w:val="FF0000"/>
                <w:sz w:val="18"/>
                <w:szCs w:val="18"/>
              </w:rPr>
            </w:pPr>
            <w:r w:rsidRPr="00F605BC">
              <w:rPr>
                <w:rFonts w:ascii="楷体" w:eastAsia="楷体" w:hAnsi="楷体"/>
                <w:color w:val="FF0000"/>
                <w:sz w:val="18"/>
                <w:szCs w:val="18"/>
              </w:rPr>
              <w:t>-0.50</w:t>
            </w:r>
          </w:p>
        </w:tc>
        <w:tc>
          <w:tcPr>
            <w:tcW w:w="946" w:type="dxa"/>
            <w:vMerge/>
            <w:tcBorders>
              <w:left w:val="single" w:sz="6" w:space="0" w:color="FF6600"/>
              <w:right w:val="single" w:sz="6" w:space="0" w:color="FF6600"/>
            </w:tcBorders>
            <w:shd w:val="clear" w:color="auto" w:fill="FDE9D9"/>
            <w:vAlign w:val="center"/>
          </w:tcPr>
          <w:p w:rsidR="00E96BC3" w:rsidRPr="00F605BC" w:rsidRDefault="00E96BC3" w:rsidP="009D6B40">
            <w:pPr>
              <w:snapToGrid w:val="0"/>
              <w:jc w:val="center"/>
              <w:rPr>
                <w:rFonts w:ascii="楷体" w:eastAsia="楷体" w:hAnsi="楷体"/>
                <w:b/>
                <w:sz w:val="18"/>
                <w:szCs w:val="18"/>
              </w:rPr>
            </w:pPr>
          </w:p>
        </w:tc>
        <w:tc>
          <w:tcPr>
            <w:tcW w:w="1448" w:type="dxa"/>
            <w:tcBorders>
              <w:left w:val="single" w:sz="6" w:space="0" w:color="FF6600"/>
              <w:right w:val="single" w:sz="6" w:space="0" w:color="FF6600"/>
            </w:tcBorders>
            <w:shd w:val="clear" w:color="auto" w:fill="FDE9D9"/>
            <w:vAlign w:val="center"/>
          </w:tcPr>
          <w:p w:rsidR="00E96BC3" w:rsidRPr="007E0CA0" w:rsidRDefault="00E96BC3" w:rsidP="009D6B40">
            <w:pPr>
              <w:snapToGrid w:val="0"/>
              <w:jc w:val="center"/>
              <w:rPr>
                <w:rFonts w:ascii="楷体" w:eastAsia="楷体" w:hAnsi="楷体" w:cs="宋体"/>
                <w:b/>
                <w:bCs/>
                <w:sz w:val="18"/>
                <w:szCs w:val="18"/>
              </w:rPr>
            </w:pPr>
            <w:r w:rsidRPr="00F605BC">
              <w:rPr>
                <w:rFonts w:ascii="楷体" w:eastAsia="楷体" w:hAnsi="楷体" w:hint="eastAsia"/>
                <w:b/>
                <w:bCs/>
                <w:sz w:val="18"/>
                <w:szCs w:val="18"/>
              </w:rPr>
              <w:t>债券</w:t>
            </w:r>
            <w:r w:rsidRPr="00F605BC">
              <w:rPr>
                <w:rFonts w:ascii="楷体" w:eastAsia="楷体" w:hAnsi="楷体"/>
                <w:b/>
                <w:bCs/>
                <w:sz w:val="18"/>
                <w:szCs w:val="18"/>
              </w:rPr>
              <w:t>-</w:t>
            </w:r>
            <w:r w:rsidRPr="00F605BC">
              <w:rPr>
                <w:rFonts w:ascii="楷体" w:eastAsia="楷体" w:hAnsi="楷体" w:hint="eastAsia"/>
                <w:b/>
                <w:bCs/>
                <w:sz w:val="18"/>
                <w:szCs w:val="18"/>
              </w:rPr>
              <w:t>理财债基</w:t>
            </w:r>
          </w:p>
        </w:tc>
        <w:tc>
          <w:tcPr>
            <w:tcW w:w="1197" w:type="dxa"/>
            <w:tcBorders>
              <w:left w:val="single" w:sz="6" w:space="0" w:color="FF6600"/>
              <w:right w:val="single" w:sz="6" w:space="0" w:color="FF6600"/>
            </w:tcBorders>
            <w:vAlign w:val="center"/>
          </w:tcPr>
          <w:p w:rsidR="00E96BC3" w:rsidRPr="00F605BC" w:rsidRDefault="00E96BC3" w:rsidP="005B32AB">
            <w:pPr>
              <w:snapToGrid w:val="0"/>
              <w:jc w:val="center"/>
              <w:rPr>
                <w:rFonts w:ascii="楷体" w:eastAsia="楷体" w:hAnsi="楷体"/>
                <w:color w:val="000000"/>
                <w:sz w:val="18"/>
                <w:szCs w:val="18"/>
              </w:rPr>
            </w:pPr>
            <w:r w:rsidRPr="00F605BC">
              <w:rPr>
                <w:rFonts w:ascii="楷体" w:eastAsia="楷体" w:hAnsi="楷体"/>
                <w:color w:val="000000"/>
                <w:sz w:val="18"/>
                <w:szCs w:val="18"/>
              </w:rPr>
              <w:t>0.07</w:t>
            </w:r>
          </w:p>
        </w:tc>
        <w:tc>
          <w:tcPr>
            <w:tcW w:w="2394" w:type="dxa"/>
            <w:gridSpan w:val="2"/>
            <w:tcBorders>
              <w:left w:val="single" w:sz="6" w:space="0" w:color="FF6600"/>
              <w:right w:val="single" w:sz="6" w:space="0" w:color="FF6600"/>
            </w:tcBorders>
            <w:shd w:val="clear" w:color="auto" w:fill="FDE9D9"/>
            <w:vAlign w:val="center"/>
          </w:tcPr>
          <w:p w:rsidR="00E96BC3" w:rsidRPr="00F605BC" w:rsidRDefault="00E96BC3" w:rsidP="009D6B40">
            <w:pPr>
              <w:snapToGrid w:val="0"/>
              <w:jc w:val="center"/>
              <w:rPr>
                <w:rFonts w:ascii="楷体" w:eastAsia="楷体" w:hAnsi="楷体"/>
                <w:b/>
                <w:sz w:val="18"/>
                <w:szCs w:val="18"/>
              </w:rPr>
            </w:pPr>
            <w:r w:rsidRPr="00F605BC">
              <w:rPr>
                <w:rFonts w:ascii="楷体" w:eastAsia="楷体" w:hAnsi="楷体" w:hint="eastAsia"/>
                <w:b/>
                <w:sz w:val="18"/>
                <w:szCs w:val="18"/>
              </w:rPr>
              <w:t>商品基金</w:t>
            </w:r>
          </w:p>
        </w:tc>
        <w:tc>
          <w:tcPr>
            <w:tcW w:w="1197" w:type="dxa"/>
            <w:tcBorders>
              <w:left w:val="single" w:sz="6" w:space="0" w:color="FF6600"/>
            </w:tcBorders>
            <w:vAlign w:val="center"/>
          </w:tcPr>
          <w:p w:rsidR="00E96BC3" w:rsidRPr="00F605BC" w:rsidRDefault="00E96BC3" w:rsidP="00100CB5">
            <w:pPr>
              <w:snapToGrid w:val="0"/>
              <w:jc w:val="center"/>
              <w:rPr>
                <w:rFonts w:ascii="楷体" w:eastAsia="楷体" w:hAnsi="楷体"/>
                <w:color w:val="000000"/>
                <w:sz w:val="18"/>
                <w:szCs w:val="18"/>
              </w:rPr>
            </w:pPr>
            <w:r w:rsidRPr="00F605BC">
              <w:rPr>
                <w:rFonts w:ascii="楷体" w:eastAsia="楷体" w:hAnsi="楷体"/>
                <w:color w:val="000000"/>
                <w:sz w:val="18"/>
                <w:szCs w:val="18"/>
              </w:rPr>
              <w:t>3.53</w:t>
            </w:r>
          </w:p>
        </w:tc>
      </w:tr>
    </w:tbl>
    <w:p w:rsidR="00E96BC3" w:rsidRPr="005B7CDB" w:rsidRDefault="00E96BC3" w:rsidP="000D4A66">
      <w:pPr>
        <w:pStyle w:val="FootnoteNoline"/>
        <w:ind w:left="0"/>
        <w:rPr>
          <w:rFonts w:ascii="楷体" w:eastAsia="楷体" w:hAnsi="楷体"/>
          <w:color w:val="FF6600"/>
          <w:lang w:val="en-US"/>
        </w:rPr>
      </w:pPr>
      <w:r w:rsidRPr="005B7CDB">
        <w:rPr>
          <w:rFonts w:ascii="楷体" w:eastAsia="楷体" w:hAnsi="楷体" w:cs="宋体" w:hint="eastAsia"/>
          <w:color w:val="FF6600"/>
          <w:lang w:val="en-US"/>
        </w:rPr>
        <w:t>来源：凯石财富工场</w:t>
      </w:r>
    </w:p>
    <w:p w:rsidR="00E96BC3" w:rsidRPr="007F0AC5" w:rsidRDefault="00E96BC3" w:rsidP="007F0AC5">
      <w:pPr>
        <w:widowControl/>
        <w:spacing w:after="120"/>
        <w:ind w:left="3430"/>
        <w:rPr>
          <w:rFonts w:ascii="楷体" w:eastAsia="楷体" w:hAnsi="楷体"/>
          <w:b/>
          <w:bCs/>
          <w:color w:val="0070C0"/>
          <w:kern w:val="0"/>
          <w:szCs w:val="21"/>
          <w:lang w:val="en-GB"/>
        </w:rPr>
      </w:pPr>
      <w:r w:rsidRPr="005B7CDB">
        <w:rPr>
          <w:rFonts w:ascii="楷体" w:eastAsia="楷体" w:hAnsi="楷体" w:hint="eastAsia"/>
          <w:b/>
          <w:bCs/>
          <w:color w:val="0070C0"/>
          <w:kern w:val="0"/>
          <w:szCs w:val="21"/>
          <w:lang w:val="en-GB"/>
        </w:rPr>
        <w:t>权益类基金一周业绩：</w:t>
      </w:r>
      <w:r>
        <w:rPr>
          <w:rFonts w:ascii="楷体" w:eastAsia="楷体" w:hAnsi="楷体" w:hint="eastAsia"/>
          <w:b/>
          <w:bCs/>
          <w:color w:val="0070C0"/>
          <w:kern w:val="0"/>
          <w:szCs w:val="21"/>
          <w:lang w:val="en-GB"/>
        </w:rPr>
        <w:t>股基混合上涨，</w:t>
      </w:r>
      <w:r>
        <w:rPr>
          <w:rFonts w:ascii="楷体" w:eastAsia="楷体" w:hAnsi="楷体"/>
          <w:b/>
          <w:bCs/>
          <w:color w:val="0070C0"/>
          <w:kern w:val="0"/>
          <w:szCs w:val="21"/>
          <w:lang w:val="en-GB"/>
        </w:rPr>
        <w:tab/>
        <w:t>QDII</w:t>
      </w:r>
      <w:r>
        <w:rPr>
          <w:rFonts w:ascii="楷体" w:eastAsia="楷体" w:hAnsi="楷体" w:hint="eastAsia"/>
          <w:b/>
          <w:bCs/>
          <w:color w:val="0070C0"/>
          <w:kern w:val="0"/>
          <w:szCs w:val="21"/>
          <w:lang w:val="en-GB"/>
        </w:rPr>
        <w:t>收益回调</w:t>
      </w:r>
    </w:p>
    <w:p w:rsidR="00E96BC3" w:rsidRPr="004C6C4D" w:rsidRDefault="00E96BC3" w:rsidP="004C6C4D">
      <w:pPr>
        <w:pStyle w:val="BodyText"/>
        <w:numPr>
          <w:ilvl w:val="4"/>
          <w:numId w:val="1"/>
        </w:numPr>
        <w:spacing w:after="163"/>
        <w:rPr>
          <w:rFonts w:ascii="楷体" w:eastAsia="楷体" w:hAnsi="楷体" w:cs="Arial"/>
          <w:szCs w:val="21"/>
        </w:rPr>
      </w:pPr>
      <w:r>
        <w:rPr>
          <w:rFonts w:ascii="楷体" w:eastAsia="楷体" w:hAnsi="楷体" w:cs="Arial" w:hint="eastAsia"/>
          <w:szCs w:val="21"/>
        </w:rPr>
        <w:t>上周，</w:t>
      </w:r>
      <w:r>
        <w:rPr>
          <w:rFonts w:ascii="楷体" w:eastAsia="楷体" w:hAnsi="楷体" w:cs="Arial"/>
          <w:szCs w:val="21"/>
        </w:rPr>
        <w:t>A</w:t>
      </w:r>
      <w:r>
        <w:rPr>
          <w:rFonts w:ascii="楷体" w:eastAsia="楷体" w:hAnsi="楷体" w:cs="Arial" w:hint="eastAsia"/>
          <w:szCs w:val="21"/>
        </w:rPr>
        <w:t>股震荡，权益类基金整体上涨，股指休整，股票</w:t>
      </w:r>
      <w:r>
        <w:rPr>
          <w:rFonts w:ascii="楷体" w:eastAsia="楷体" w:hAnsi="楷体" w:cs="Arial"/>
          <w:szCs w:val="21"/>
        </w:rPr>
        <w:t>-</w:t>
      </w:r>
      <w:r>
        <w:rPr>
          <w:rFonts w:ascii="楷体" w:eastAsia="楷体" w:hAnsi="楷体" w:cs="Arial" w:hint="eastAsia"/>
          <w:szCs w:val="21"/>
        </w:rPr>
        <w:t>指数型基金涨幅小于股票</w:t>
      </w:r>
      <w:r>
        <w:rPr>
          <w:rFonts w:ascii="楷体" w:eastAsia="楷体" w:hAnsi="楷体" w:cs="Arial"/>
          <w:szCs w:val="21"/>
        </w:rPr>
        <w:t>-</w:t>
      </w:r>
      <w:r>
        <w:rPr>
          <w:rFonts w:ascii="楷体" w:eastAsia="楷体" w:hAnsi="楷体" w:cs="Arial" w:hint="eastAsia"/>
          <w:szCs w:val="21"/>
        </w:rPr>
        <w:t>主动型。混合型基金在前周涨少跌多后，上周止跌反弹，灵活型基金和偏股型基金涨幅大于偏债型基金。</w:t>
      </w:r>
      <w:r>
        <w:rPr>
          <w:rFonts w:ascii="楷体" w:eastAsia="楷体" w:hAnsi="楷体" w:cs="Arial"/>
          <w:szCs w:val="21"/>
        </w:rPr>
        <w:t>QDII</w:t>
      </w:r>
      <w:r>
        <w:rPr>
          <w:rFonts w:ascii="楷体" w:eastAsia="楷体" w:hAnsi="楷体" w:cs="Arial" w:hint="eastAsia"/>
          <w:szCs w:val="21"/>
        </w:rPr>
        <w:t>平均涨幅为负，前期领涨的新兴市场基金和亚太（除日本）基金领跌，美股基金和行业基金业绩排名集中且靠前，商品基金涨跌互现。</w:t>
      </w:r>
    </w:p>
    <w:p w:rsidR="00E96BC3" w:rsidRPr="00C13B9B" w:rsidRDefault="00E96BC3" w:rsidP="0098340A">
      <w:pPr>
        <w:pStyle w:val="BodyText"/>
        <w:numPr>
          <w:ilvl w:val="5"/>
          <w:numId w:val="2"/>
        </w:numPr>
        <w:spacing w:after="163"/>
        <w:ind w:left="4140" w:hanging="369"/>
        <w:rPr>
          <w:rFonts w:ascii="楷体" w:eastAsia="楷体" w:hAnsi="楷体" w:cs="Arial"/>
          <w:szCs w:val="21"/>
        </w:rPr>
      </w:pPr>
      <w:r w:rsidRPr="00C13B9B">
        <w:rPr>
          <w:rFonts w:ascii="楷体" w:eastAsia="楷体" w:hAnsi="楷体" w:cs="Arial"/>
          <w:szCs w:val="21"/>
        </w:rPr>
        <w:t>405</w:t>
      </w:r>
      <w:r w:rsidRPr="00C13B9B">
        <w:rPr>
          <w:rFonts w:ascii="楷体" w:eastAsia="楷体" w:hAnsi="楷体" w:cs="Arial" w:hint="eastAsia"/>
          <w:szCs w:val="21"/>
        </w:rPr>
        <w:t>只股票</w:t>
      </w:r>
      <w:r w:rsidRPr="00C13B9B">
        <w:rPr>
          <w:rFonts w:ascii="楷体" w:eastAsia="楷体" w:hAnsi="楷体" w:cs="Arial"/>
          <w:szCs w:val="21"/>
        </w:rPr>
        <w:t>-</w:t>
      </w:r>
      <w:r w:rsidRPr="00C13B9B">
        <w:rPr>
          <w:rFonts w:ascii="楷体" w:eastAsia="楷体" w:hAnsi="楷体" w:cs="Arial" w:hint="eastAsia"/>
          <w:szCs w:val="21"/>
        </w:rPr>
        <w:t>主动型基金平均周收益率为</w:t>
      </w:r>
      <w:r w:rsidRPr="00C13B9B">
        <w:rPr>
          <w:rFonts w:ascii="楷体" w:eastAsia="楷体" w:hAnsi="楷体" w:cs="Arial"/>
          <w:szCs w:val="21"/>
        </w:rPr>
        <w:t>2.29%</w:t>
      </w:r>
      <w:r w:rsidRPr="00C13B9B">
        <w:rPr>
          <w:rFonts w:ascii="楷体" w:eastAsia="楷体" w:hAnsi="楷体" w:cs="Arial" w:hint="eastAsia"/>
          <w:szCs w:val="21"/>
        </w:rPr>
        <w:t>，约</w:t>
      </w:r>
      <w:r w:rsidRPr="00C13B9B">
        <w:rPr>
          <w:rFonts w:ascii="楷体" w:eastAsia="楷体" w:hAnsi="楷体" w:cs="Arial"/>
          <w:szCs w:val="21"/>
        </w:rPr>
        <w:t>92%</w:t>
      </w:r>
      <w:r w:rsidRPr="00C13B9B">
        <w:rPr>
          <w:rFonts w:ascii="楷体" w:eastAsia="楷体" w:hAnsi="楷体" w:cs="Arial" w:hint="eastAsia"/>
          <w:szCs w:val="21"/>
        </w:rPr>
        <w:t>的产品周收益率收正，收益居前者为</w:t>
      </w:r>
      <w:r w:rsidRPr="00C13B9B">
        <w:rPr>
          <w:rFonts w:ascii="楷体" w:eastAsia="楷体" w:hAnsi="楷体" w:hint="eastAsia"/>
          <w:szCs w:val="21"/>
        </w:rPr>
        <w:t>农银汇理策略精选（</w:t>
      </w:r>
      <w:r w:rsidRPr="00C13B9B">
        <w:rPr>
          <w:rFonts w:ascii="楷体" w:eastAsia="楷体" w:hAnsi="楷体"/>
          <w:szCs w:val="21"/>
        </w:rPr>
        <w:t>8.36%</w:t>
      </w:r>
      <w:r w:rsidRPr="00C13B9B">
        <w:rPr>
          <w:rFonts w:ascii="楷体" w:eastAsia="楷体" w:hAnsi="楷体" w:hint="eastAsia"/>
          <w:szCs w:val="21"/>
        </w:rPr>
        <w:t>）和汇丰晋信科技先锋（</w:t>
      </w:r>
      <w:r w:rsidRPr="00C13B9B">
        <w:rPr>
          <w:rFonts w:ascii="楷体" w:eastAsia="楷体" w:hAnsi="楷体"/>
          <w:szCs w:val="21"/>
        </w:rPr>
        <w:t>8.27%</w:t>
      </w:r>
      <w:r>
        <w:rPr>
          <w:rFonts w:ascii="楷体" w:eastAsia="楷体" w:hAnsi="楷体" w:hint="eastAsia"/>
          <w:szCs w:val="21"/>
        </w:rPr>
        <w:t>），</w:t>
      </w:r>
      <w:r w:rsidRPr="00C13B9B">
        <w:rPr>
          <w:rFonts w:ascii="楷体" w:eastAsia="楷体" w:hAnsi="楷体" w:cs="Arial" w:hint="eastAsia"/>
          <w:szCs w:val="21"/>
        </w:rPr>
        <w:t>最低收益为</w:t>
      </w:r>
      <w:r w:rsidRPr="00C13B9B">
        <w:rPr>
          <w:rFonts w:ascii="楷体" w:eastAsia="楷体" w:hAnsi="楷体" w:cs="Arial"/>
          <w:szCs w:val="21"/>
        </w:rPr>
        <w:t>-1.66%</w:t>
      </w:r>
      <w:r w:rsidRPr="00C13B9B">
        <w:rPr>
          <w:rFonts w:ascii="楷体" w:eastAsia="楷体" w:hAnsi="楷体" w:cs="Arial" w:hint="eastAsia"/>
          <w:szCs w:val="21"/>
        </w:rPr>
        <w:t>。</w:t>
      </w:r>
      <w:r w:rsidRPr="00C13B9B">
        <w:rPr>
          <w:rFonts w:ascii="楷体" w:eastAsia="楷体" w:hAnsi="楷体" w:cs="Arial"/>
          <w:szCs w:val="21"/>
        </w:rPr>
        <w:t>257</w:t>
      </w:r>
      <w:r w:rsidRPr="00C13B9B">
        <w:rPr>
          <w:rFonts w:ascii="楷体" w:eastAsia="楷体" w:hAnsi="楷体" w:cs="Arial" w:hint="eastAsia"/>
          <w:szCs w:val="21"/>
        </w:rPr>
        <w:t>只股票</w:t>
      </w:r>
      <w:r w:rsidRPr="00C13B9B">
        <w:rPr>
          <w:rFonts w:ascii="楷体" w:eastAsia="楷体" w:hAnsi="楷体" w:cs="Arial"/>
          <w:szCs w:val="21"/>
        </w:rPr>
        <w:t>-</w:t>
      </w:r>
      <w:r w:rsidRPr="00C13B9B">
        <w:rPr>
          <w:rFonts w:ascii="楷体" w:eastAsia="楷体" w:hAnsi="楷体" w:cs="Arial" w:hint="eastAsia"/>
          <w:szCs w:val="21"/>
        </w:rPr>
        <w:t>指数型基金平均周收益率为</w:t>
      </w:r>
      <w:r w:rsidRPr="00C13B9B">
        <w:rPr>
          <w:rFonts w:ascii="楷体" w:eastAsia="楷体" w:hAnsi="楷体" w:cs="Arial"/>
          <w:szCs w:val="21"/>
        </w:rPr>
        <w:t>0.66%</w:t>
      </w:r>
      <w:r w:rsidRPr="00C13B9B">
        <w:rPr>
          <w:rFonts w:ascii="楷体" w:eastAsia="楷体" w:hAnsi="楷体" w:cs="Arial" w:hint="eastAsia"/>
          <w:szCs w:val="21"/>
        </w:rPr>
        <w:t>，约</w:t>
      </w:r>
      <w:r w:rsidRPr="00C13B9B">
        <w:rPr>
          <w:rFonts w:ascii="楷体" w:eastAsia="楷体" w:hAnsi="楷体" w:cs="Arial"/>
          <w:szCs w:val="21"/>
        </w:rPr>
        <w:t>69%</w:t>
      </w:r>
      <w:r w:rsidRPr="00C13B9B">
        <w:rPr>
          <w:rFonts w:ascii="楷体" w:eastAsia="楷体" w:hAnsi="楷体" w:cs="Arial" w:hint="eastAsia"/>
          <w:szCs w:val="21"/>
        </w:rPr>
        <w:t>的产品周收益率收正，收益居前者仍然是</w:t>
      </w:r>
      <w:r w:rsidRPr="00C13B9B">
        <w:rPr>
          <w:rFonts w:ascii="楷体" w:eastAsia="楷体" w:hAnsi="楷体" w:hint="eastAsia"/>
          <w:szCs w:val="21"/>
        </w:rPr>
        <w:t>申万菱信申万证券行业分级（</w:t>
      </w:r>
      <w:r w:rsidRPr="00C13B9B">
        <w:rPr>
          <w:rFonts w:ascii="楷体" w:eastAsia="楷体" w:hAnsi="楷体"/>
          <w:szCs w:val="21"/>
        </w:rPr>
        <w:t>4.29%</w:t>
      </w:r>
      <w:r>
        <w:rPr>
          <w:rFonts w:ascii="楷体" w:eastAsia="楷体" w:hAnsi="楷体" w:hint="eastAsia"/>
          <w:szCs w:val="21"/>
        </w:rPr>
        <w:t>），</w:t>
      </w:r>
      <w:r w:rsidRPr="00C13B9B">
        <w:rPr>
          <w:rFonts w:ascii="楷体" w:eastAsia="楷体" w:hAnsi="楷体" w:cs="Arial" w:hint="eastAsia"/>
          <w:szCs w:val="21"/>
        </w:rPr>
        <w:t>最低收益为</w:t>
      </w:r>
      <w:r w:rsidRPr="00C13B9B">
        <w:rPr>
          <w:rFonts w:ascii="楷体" w:eastAsia="楷体" w:hAnsi="楷体" w:cs="Arial"/>
          <w:szCs w:val="21"/>
        </w:rPr>
        <w:t>-1.71%</w:t>
      </w:r>
      <w:r w:rsidRPr="00C13B9B">
        <w:rPr>
          <w:rFonts w:ascii="楷体" w:eastAsia="楷体" w:hAnsi="楷体" w:hint="eastAsia"/>
          <w:szCs w:val="21"/>
        </w:rPr>
        <w:t>。</w:t>
      </w:r>
    </w:p>
    <w:p w:rsidR="00E96BC3" w:rsidRPr="00C13B9B" w:rsidRDefault="00E96BC3" w:rsidP="006608E2">
      <w:pPr>
        <w:pStyle w:val="BodyText"/>
        <w:numPr>
          <w:ilvl w:val="5"/>
          <w:numId w:val="2"/>
        </w:numPr>
        <w:spacing w:after="163"/>
        <w:ind w:left="4140" w:hanging="369"/>
        <w:rPr>
          <w:rFonts w:ascii="楷体" w:eastAsia="楷体" w:hAnsi="楷体" w:cs="Arial"/>
          <w:szCs w:val="21"/>
        </w:rPr>
      </w:pPr>
      <w:r w:rsidRPr="00C13B9B">
        <w:rPr>
          <w:rFonts w:ascii="楷体" w:eastAsia="楷体" w:hAnsi="楷体" w:cs="Arial" w:hint="eastAsia"/>
          <w:szCs w:val="21"/>
        </w:rPr>
        <w:t>混合</w:t>
      </w:r>
      <w:r w:rsidRPr="00C13B9B">
        <w:rPr>
          <w:rFonts w:ascii="楷体" w:eastAsia="楷体" w:hAnsi="楷体" w:cs="Arial"/>
          <w:szCs w:val="21"/>
        </w:rPr>
        <w:t>-</w:t>
      </w:r>
      <w:r w:rsidRPr="00C13B9B">
        <w:rPr>
          <w:rFonts w:ascii="楷体" w:eastAsia="楷体" w:hAnsi="楷体" w:cs="Arial" w:hint="eastAsia"/>
          <w:szCs w:val="21"/>
        </w:rPr>
        <w:t>灵活型，混合</w:t>
      </w:r>
      <w:r w:rsidRPr="00C13B9B">
        <w:rPr>
          <w:rFonts w:ascii="楷体" w:eastAsia="楷体" w:hAnsi="楷体" w:cs="Arial"/>
          <w:szCs w:val="21"/>
        </w:rPr>
        <w:t>-</w:t>
      </w:r>
      <w:r w:rsidRPr="00C13B9B">
        <w:rPr>
          <w:rFonts w:ascii="楷体" w:eastAsia="楷体" w:hAnsi="楷体" w:cs="Arial" w:hint="eastAsia"/>
          <w:szCs w:val="21"/>
        </w:rPr>
        <w:t>偏股型和混合</w:t>
      </w:r>
      <w:r w:rsidRPr="00C13B9B">
        <w:rPr>
          <w:rFonts w:ascii="楷体" w:eastAsia="楷体" w:hAnsi="楷体" w:cs="Arial"/>
          <w:szCs w:val="21"/>
        </w:rPr>
        <w:t>-</w:t>
      </w:r>
      <w:r w:rsidRPr="00C13B9B">
        <w:rPr>
          <w:rFonts w:ascii="楷体" w:eastAsia="楷体" w:hAnsi="楷体" w:cs="Arial" w:hint="eastAsia"/>
          <w:szCs w:val="21"/>
        </w:rPr>
        <w:t>偏债型</w:t>
      </w:r>
      <w:r>
        <w:rPr>
          <w:rFonts w:ascii="楷体" w:eastAsia="楷体" w:hAnsi="楷体" w:cs="Arial" w:hint="eastAsia"/>
          <w:szCs w:val="21"/>
        </w:rPr>
        <w:t>基金的</w:t>
      </w:r>
      <w:r w:rsidRPr="00C13B9B">
        <w:rPr>
          <w:rFonts w:ascii="楷体" w:eastAsia="楷体" w:hAnsi="楷体" w:cs="Arial" w:hint="eastAsia"/>
          <w:szCs w:val="21"/>
        </w:rPr>
        <w:t>周收益率均值</w:t>
      </w:r>
      <w:r>
        <w:rPr>
          <w:rFonts w:ascii="楷体" w:eastAsia="楷体" w:hAnsi="楷体" w:cs="Arial" w:hint="eastAsia"/>
          <w:szCs w:val="21"/>
        </w:rPr>
        <w:t>依次</w:t>
      </w:r>
      <w:r w:rsidRPr="00C13B9B">
        <w:rPr>
          <w:rFonts w:ascii="楷体" w:eastAsia="楷体" w:hAnsi="楷体" w:cs="Arial" w:hint="eastAsia"/>
          <w:szCs w:val="21"/>
        </w:rPr>
        <w:t>为</w:t>
      </w:r>
      <w:r w:rsidRPr="00C13B9B">
        <w:rPr>
          <w:rFonts w:ascii="楷体" w:eastAsia="楷体" w:hAnsi="楷体" w:cs="Arial"/>
          <w:szCs w:val="21"/>
        </w:rPr>
        <w:t>1.96%</w:t>
      </w:r>
      <w:r w:rsidRPr="00C13B9B">
        <w:rPr>
          <w:rFonts w:ascii="楷体" w:eastAsia="楷体" w:hAnsi="楷体" w:cs="Arial" w:hint="eastAsia"/>
          <w:szCs w:val="21"/>
        </w:rPr>
        <w:t>，</w:t>
      </w:r>
      <w:r w:rsidRPr="00C13B9B">
        <w:rPr>
          <w:rFonts w:ascii="楷体" w:eastAsia="楷体" w:hAnsi="楷体" w:cs="Arial"/>
          <w:szCs w:val="21"/>
        </w:rPr>
        <w:t>1.70%</w:t>
      </w:r>
      <w:r w:rsidRPr="00C13B9B">
        <w:rPr>
          <w:rFonts w:ascii="楷体" w:eastAsia="楷体" w:hAnsi="楷体" w:cs="Arial" w:hint="eastAsia"/>
          <w:szCs w:val="21"/>
        </w:rPr>
        <w:t>和</w:t>
      </w:r>
      <w:r w:rsidRPr="00C13B9B">
        <w:rPr>
          <w:rFonts w:ascii="楷体" w:eastAsia="楷体" w:hAnsi="楷体" w:cs="Arial"/>
          <w:szCs w:val="21"/>
        </w:rPr>
        <w:t>0.54%</w:t>
      </w:r>
      <w:r w:rsidRPr="00C13B9B">
        <w:rPr>
          <w:rFonts w:ascii="楷体" w:eastAsia="楷体" w:hAnsi="楷体" w:cs="Arial" w:hint="eastAsia"/>
          <w:szCs w:val="21"/>
        </w:rPr>
        <w:t>。</w:t>
      </w:r>
      <w:r w:rsidRPr="00C13B9B">
        <w:rPr>
          <w:rFonts w:ascii="楷体" w:eastAsia="楷体" w:hAnsi="楷体" w:cs="Arial"/>
          <w:szCs w:val="21"/>
        </w:rPr>
        <w:t>234</w:t>
      </w:r>
      <w:r w:rsidRPr="00C13B9B">
        <w:rPr>
          <w:rFonts w:ascii="楷体" w:eastAsia="楷体" w:hAnsi="楷体" w:cs="Arial" w:hint="eastAsia"/>
          <w:szCs w:val="21"/>
        </w:rPr>
        <w:t>只灵活型基金</w:t>
      </w:r>
      <w:r w:rsidRPr="00C13B9B">
        <w:rPr>
          <w:rFonts w:ascii="楷体" w:eastAsia="楷体" w:hAnsi="楷体" w:cs="Arial"/>
          <w:szCs w:val="21"/>
        </w:rPr>
        <w:t>216</w:t>
      </w:r>
      <w:r w:rsidRPr="00C13B9B">
        <w:rPr>
          <w:rFonts w:ascii="楷体" w:eastAsia="楷体" w:hAnsi="楷体" w:cs="Arial" w:hint="eastAsia"/>
          <w:szCs w:val="21"/>
        </w:rPr>
        <w:t>只周收益率为正，最高收益是兴全有机增长的</w:t>
      </w:r>
      <w:r w:rsidRPr="00C13B9B">
        <w:rPr>
          <w:rFonts w:ascii="楷体" w:eastAsia="楷体" w:hAnsi="楷体" w:cs="Arial"/>
          <w:szCs w:val="21"/>
        </w:rPr>
        <w:t>6.59%</w:t>
      </w:r>
      <w:r>
        <w:rPr>
          <w:rFonts w:ascii="楷体" w:eastAsia="楷体" w:hAnsi="楷体" w:cs="Arial" w:hint="eastAsia"/>
          <w:szCs w:val="21"/>
        </w:rPr>
        <w:t>，</w:t>
      </w:r>
      <w:r w:rsidRPr="00C13B9B">
        <w:rPr>
          <w:rFonts w:ascii="楷体" w:eastAsia="楷体" w:hAnsi="楷体" w:cs="Arial"/>
          <w:szCs w:val="21"/>
        </w:rPr>
        <w:t>35</w:t>
      </w:r>
      <w:r w:rsidRPr="00C13B9B">
        <w:rPr>
          <w:rFonts w:ascii="楷体" w:eastAsia="楷体" w:hAnsi="楷体" w:cs="Arial" w:hint="eastAsia"/>
          <w:szCs w:val="21"/>
        </w:rPr>
        <w:t>只偏股型基金</w:t>
      </w:r>
      <w:r w:rsidRPr="00C13B9B">
        <w:rPr>
          <w:rFonts w:ascii="楷体" w:eastAsia="楷体" w:hAnsi="楷体" w:cs="Arial"/>
          <w:szCs w:val="21"/>
        </w:rPr>
        <w:t>33</w:t>
      </w:r>
      <w:r w:rsidRPr="00C13B9B">
        <w:rPr>
          <w:rFonts w:ascii="楷体" w:eastAsia="楷体" w:hAnsi="楷体" w:cs="Arial" w:hint="eastAsia"/>
          <w:szCs w:val="21"/>
        </w:rPr>
        <w:t>只周收益率为正，最高收益是汇丰晋信</w:t>
      </w:r>
      <w:r w:rsidRPr="00C13B9B">
        <w:rPr>
          <w:rFonts w:ascii="楷体" w:eastAsia="楷体" w:hAnsi="楷体" w:cs="Arial"/>
          <w:szCs w:val="21"/>
        </w:rPr>
        <w:t>2026</w:t>
      </w:r>
      <w:r w:rsidRPr="00C13B9B">
        <w:rPr>
          <w:rFonts w:ascii="楷体" w:eastAsia="楷体" w:hAnsi="楷体" w:cs="Arial" w:hint="eastAsia"/>
          <w:szCs w:val="21"/>
        </w:rPr>
        <w:t>的</w:t>
      </w:r>
      <w:r w:rsidRPr="00C13B9B">
        <w:rPr>
          <w:rFonts w:ascii="楷体" w:eastAsia="楷体" w:hAnsi="楷体" w:cs="Arial"/>
          <w:szCs w:val="21"/>
        </w:rPr>
        <w:t>3.47%</w:t>
      </w:r>
      <w:r w:rsidRPr="00C13B9B">
        <w:rPr>
          <w:rFonts w:ascii="楷体" w:eastAsia="楷体" w:hAnsi="楷体" w:cs="Arial" w:hint="eastAsia"/>
          <w:szCs w:val="21"/>
        </w:rPr>
        <w:t>，</w:t>
      </w:r>
      <w:r w:rsidRPr="00C13B9B">
        <w:rPr>
          <w:rFonts w:ascii="楷体" w:eastAsia="楷体" w:hAnsi="楷体" w:cs="Arial"/>
          <w:szCs w:val="21"/>
        </w:rPr>
        <w:t>20</w:t>
      </w:r>
      <w:r w:rsidRPr="00C13B9B">
        <w:rPr>
          <w:rFonts w:ascii="楷体" w:eastAsia="楷体" w:hAnsi="楷体" w:cs="Arial" w:hint="eastAsia"/>
          <w:szCs w:val="21"/>
        </w:rPr>
        <w:t>只偏债型基金</w:t>
      </w:r>
      <w:r w:rsidRPr="00C13B9B">
        <w:rPr>
          <w:rFonts w:ascii="楷体" w:eastAsia="楷体" w:hAnsi="楷体" w:cs="Arial"/>
          <w:szCs w:val="21"/>
        </w:rPr>
        <w:t>15</w:t>
      </w:r>
      <w:r w:rsidRPr="00C13B9B">
        <w:rPr>
          <w:rFonts w:ascii="楷体" w:eastAsia="楷体" w:hAnsi="楷体" w:cs="Arial" w:hint="eastAsia"/>
          <w:szCs w:val="21"/>
        </w:rPr>
        <w:t>只周收益率为正，最高收益是易方达平稳增长的</w:t>
      </w:r>
      <w:r w:rsidRPr="00C13B9B">
        <w:rPr>
          <w:rFonts w:ascii="楷体" w:eastAsia="楷体" w:hAnsi="楷体" w:cs="Arial"/>
          <w:szCs w:val="21"/>
        </w:rPr>
        <w:t>3.00%</w:t>
      </w:r>
      <w:r w:rsidRPr="00C13B9B">
        <w:rPr>
          <w:rFonts w:ascii="楷体" w:eastAsia="楷体" w:hAnsi="楷体" w:cs="Arial" w:hint="eastAsia"/>
          <w:szCs w:val="21"/>
        </w:rPr>
        <w:t>。</w:t>
      </w:r>
    </w:p>
    <w:p w:rsidR="00E96BC3" w:rsidRPr="00C13B9B" w:rsidRDefault="00E96BC3" w:rsidP="00C403EB">
      <w:pPr>
        <w:pStyle w:val="BodyText"/>
        <w:numPr>
          <w:ilvl w:val="4"/>
          <w:numId w:val="1"/>
        </w:numPr>
        <w:spacing w:after="163"/>
        <w:rPr>
          <w:rFonts w:ascii="楷体" w:eastAsia="楷体" w:hAnsi="楷体" w:cs="Arial"/>
          <w:szCs w:val="21"/>
        </w:rPr>
      </w:pPr>
      <w:r w:rsidRPr="00C13B9B">
        <w:rPr>
          <w:rFonts w:ascii="楷体" w:eastAsia="楷体" w:hAnsi="楷体" w:cs="Arial"/>
          <w:szCs w:val="21"/>
        </w:rPr>
        <w:t>91</w:t>
      </w:r>
      <w:r w:rsidRPr="00C13B9B">
        <w:rPr>
          <w:rFonts w:ascii="楷体" w:eastAsia="楷体" w:hAnsi="楷体" w:cs="Arial" w:hint="eastAsia"/>
          <w:szCs w:val="21"/>
        </w:rPr>
        <w:t>只</w:t>
      </w:r>
      <w:r w:rsidRPr="00C13B9B">
        <w:rPr>
          <w:rFonts w:ascii="楷体" w:eastAsia="楷体" w:hAnsi="楷体" w:cs="Arial"/>
          <w:szCs w:val="21"/>
        </w:rPr>
        <w:t>QDII</w:t>
      </w:r>
      <w:r w:rsidRPr="00C13B9B">
        <w:rPr>
          <w:rFonts w:ascii="楷体" w:eastAsia="楷体" w:hAnsi="楷体" w:cs="Arial" w:hint="eastAsia"/>
          <w:szCs w:val="21"/>
        </w:rPr>
        <w:t>平均下跌</w:t>
      </w:r>
      <w:r w:rsidRPr="00C13B9B">
        <w:rPr>
          <w:rFonts w:ascii="楷体" w:eastAsia="楷体" w:hAnsi="楷体" w:cs="Arial"/>
          <w:szCs w:val="21"/>
        </w:rPr>
        <w:t>0.50%</w:t>
      </w:r>
      <w:r w:rsidRPr="00C13B9B">
        <w:rPr>
          <w:rFonts w:ascii="楷体" w:eastAsia="楷体" w:hAnsi="楷体" w:cs="Arial" w:hint="eastAsia"/>
          <w:szCs w:val="21"/>
        </w:rPr>
        <w:t>，</w:t>
      </w:r>
      <w:r>
        <w:rPr>
          <w:rFonts w:ascii="楷体" w:eastAsia="楷体" w:hAnsi="楷体" w:cs="Arial" w:hint="eastAsia"/>
          <w:szCs w:val="21"/>
        </w:rPr>
        <w:t>主要原因是</w:t>
      </w:r>
      <w:r w:rsidRPr="00C13B9B">
        <w:rPr>
          <w:rFonts w:ascii="楷体" w:eastAsia="楷体" w:hAnsi="楷体" w:cs="Arial" w:hint="eastAsia"/>
          <w:szCs w:val="21"/>
        </w:rPr>
        <w:t>新兴市场基金和亚太（除日本）基金普跌，行业基金和美股基金虽然排名靠前，但行业基金</w:t>
      </w:r>
      <w:r>
        <w:rPr>
          <w:rFonts w:ascii="楷体" w:eastAsia="楷体" w:hAnsi="楷体" w:cs="Arial" w:hint="eastAsia"/>
          <w:szCs w:val="21"/>
        </w:rPr>
        <w:t>收益率并无明显增长</w:t>
      </w:r>
      <w:r w:rsidRPr="00C13B9B">
        <w:rPr>
          <w:rFonts w:ascii="楷体" w:eastAsia="楷体" w:hAnsi="楷体" w:cs="Arial" w:hint="eastAsia"/>
          <w:szCs w:val="21"/>
        </w:rPr>
        <w:t>，美股基金</w:t>
      </w:r>
      <w:r>
        <w:rPr>
          <w:rFonts w:ascii="楷体" w:eastAsia="楷体" w:hAnsi="楷体" w:cs="Arial" w:hint="eastAsia"/>
          <w:szCs w:val="21"/>
        </w:rPr>
        <w:t>仅仅个别产品涨幅扩张。</w:t>
      </w:r>
      <w:r w:rsidRPr="00C13B9B">
        <w:rPr>
          <w:rFonts w:ascii="楷体" w:eastAsia="楷体" w:hAnsi="楷体" w:cs="Arial"/>
          <w:szCs w:val="21"/>
        </w:rPr>
        <w:t>8</w:t>
      </w:r>
      <w:r>
        <w:rPr>
          <w:rFonts w:ascii="楷体" w:eastAsia="楷体" w:hAnsi="楷体" w:cs="Arial" w:hint="eastAsia"/>
          <w:szCs w:val="21"/>
        </w:rPr>
        <w:t>只</w:t>
      </w:r>
      <w:r w:rsidRPr="00C13B9B">
        <w:rPr>
          <w:rFonts w:ascii="楷体" w:eastAsia="楷体" w:hAnsi="楷体" w:cs="Arial"/>
          <w:szCs w:val="21"/>
        </w:rPr>
        <w:t>QDII-</w:t>
      </w:r>
      <w:r w:rsidRPr="00C13B9B">
        <w:rPr>
          <w:rFonts w:ascii="楷体" w:eastAsia="楷体" w:hAnsi="楷体" w:cs="Arial" w:hint="eastAsia"/>
          <w:szCs w:val="21"/>
        </w:rPr>
        <w:t>商品</w:t>
      </w:r>
      <w:r>
        <w:rPr>
          <w:rFonts w:ascii="楷体" w:eastAsia="楷体" w:hAnsi="楷体" w:cs="Arial" w:hint="eastAsia"/>
          <w:szCs w:val="21"/>
        </w:rPr>
        <w:t>中</w:t>
      </w:r>
      <w:r w:rsidRPr="00C13B9B">
        <w:rPr>
          <w:rFonts w:ascii="楷体" w:eastAsia="楷体" w:hAnsi="楷体" w:cs="Arial"/>
          <w:szCs w:val="21"/>
        </w:rPr>
        <w:t>6</w:t>
      </w:r>
      <w:r w:rsidRPr="00C13B9B">
        <w:rPr>
          <w:rFonts w:ascii="楷体" w:eastAsia="楷体" w:hAnsi="楷体" w:cs="Arial" w:hint="eastAsia"/>
          <w:szCs w:val="21"/>
        </w:rPr>
        <w:t>只上涨</w:t>
      </w:r>
      <w:r>
        <w:rPr>
          <w:rFonts w:ascii="楷体" w:eastAsia="楷体" w:hAnsi="楷体" w:cs="Arial" w:hint="eastAsia"/>
          <w:szCs w:val="21"/>
        </w:rPr>
        <w:t>，</w:t>
      </w:r>
      <w:r w:rsidRPr="00C13B9B">
        <w:rPr>
          <w:rFonts w:ascii="楷体" w:eastAsia="楷体" w:hAnsi="楷体" w:cs="Arial"/>
          <w:szCs w:val="21"/>
        </w:rPr>
        <w:t>4</w:t>
      </w:r>
      <w:r w:rsidRPr="00C13B9B">
        <w:rPr>
          <w:rFonts w:ascii="楷体" w:eastAsia="楷体" w:hAnsi="楷体" w:cs="Arial" w:hint="eastAsia"/>
          <w:szCs w:val="21"/>
        </w:rPr>
        <w:t>只业绩位于前十。</w:t>
      </w:r>
      <w:r w:rsidRPr="00C13B9B">
        <w:rPr>
          <w:rFonts w:ascii="楷体" w:eastAsia="楷体" w:hAnsi="楷体" w:cs="Arial"/>
          <w:szCs w:val="21"/>
        </w:rPr>
        <w:t xml:space="preserve"> </w:t>
      </w:r>
    </w:p>
    <w:p w:rsidR="00E96BC3" w:rsidRPr="005A27A5" w:rsidRDefault="00E96BC3" w:rsidP="005A27A5">
      <w:pPr>
        <w:widowControl/>
        <w:spacing w:after="120"/>
        <w:ind w:left="3430"/>
        <w:rPr>
          <w:rFonts w:ascii="楷体" w:eastAsia="楷体" w:hAnsi="楷体"/>
          <w:b/>
          <w:bCs/>
          <w:color w:val="0070C0"/>
          <w:kern w:val="0"/>
          <w:szCs w:val="21"/>
          <w:lang w:val="en-GB"/>
        </w:rPr>
      </w:pPr>
      <w:r w:rsidRPr="005B7CDB">
        <w:rPr>
          <w:rFonts w:ascii="楷体" w:eastAsia="楷体" w:hAnsi="楷体" w:hint="eastAsia"/>
          <w:b/>
          <w:bCs/>
          <w:color w:val="0070C0"/>
          <w:kern w:val="0"/>
          <w:szCs w:val="21"/>
          <w:lang w:val="en-GB"/>
        </w:rPr>
        <w:t>固定</w:t>
      </w:r>
      <w:r w:rsidRPr="003B6A6A">
        <w:rPr>
          <w:rFonts w:ascii="楷体" w:eastAsia="楷体" w:hAnsi="楷体" w:hint="eastAsia"/>
          <w:b/>
          <w:bCs/>
          <w:color w:val="0070C0"/>
          <w:kern w:val="0"/>
          <w:szCs w:val="21"/>
          <w:lang w:val="en-GB"/>
        </w:rPr>
        <w:t>收</w:t>
      </w:r>
      <w:r w:rsidRPr="005B7CDB">
        <w:rPr>
          <w:rFonts w:ascii="楷体" w:eastAsia="楷体" w:hAnsi="楷体" w:hint="eastAsia"/>
          <w:b/>
          <w:bCs/>
          <w:color w:val="0070C0"/>
          <w:kern w:val="0"/>
          <w:szCs w:val="21"/>
          <w:lang w:val="en-GB"/>
        </w:rPr>
        <w:t>益类基金一周业绩：</w:t>
      </w:r>
      <w:r w:rsidRPr="00EB505F">
        <w:rPr>
          <w:rFonts w:ascii="楷体" w:eastAsia="楷体" w:hAnsi="楷体"/>
          <w:b/>
          <w:bCs/>
          <w:color w:val="0070C0"/>
          <w:kern w:val="0"/>
          <w:szCs w:val="21"/>
          <w:lang w:val="en-GB"/>
        </w:rPr>
        <w:t xml:space="preserve"> </w:t>
      </w:r>
      <w:r>
        <w:rPr>
          <w:rFonts w:ascii="楷体" w:eastAsia="楷体" w:hAnsi="楷体" w:hint="eastAsia"/>
          <w:b/>
          <w:bCs/>
          <w:color w:val="0070C0"/>
          <w:kern w:val="0"/>
          <w:szCs w:val="21"/>
          <w:lang w:val="en-GB"/>
        </w:rPr>
        <w:t>债基业绩调整，货基涨幅缩水</w:t>
      </w:r>
    </w:p>
    <w:p w:rsidR="00E96BC3" w:rsidRPr="00F21BCF" w:rsidRDefault="00E96BC3" w:rsidP="00A03150">
      <w:pPr>
        <w:pStyle w:val="BodyText"/>
        <w:numPr>
          <w:ilvl w:val="4"/>
          <w:numId w:val="1"/>
        </w:numPr>
        <w:spacing w:after="163"/>
        <w:rPr>
          <w:rFonts w:ascii="楷体" w:eastAsia="楷体" w:hAnsi="楷体" w:cs="Arial"/>
          <w:szCs w:val="21"/>
        </w:rPr>
      </w:pPr>
      <w:r w:rsidRPr="004C3182">
        <w:rPr>
          <w:rFonts w:ascii="楷体" w:eastAsia="楷体" w:hAnsi="楷体" w:cs="Arial" w:hint="eastAsia"/>
          <w:szCs w:val="21"/>
        </w:rPr>
        <w:t>上周，央行在公开市场净投放</w:t>
      </w:r>
      <w:r w:rsidRPr="004C3182">
        <w:rPr>
          <w:rFonts w:ascii="楷体" w:eastAsia="楷体" w:hAnsi="楷体" w:cs="Arial"/>
          <w:szCs w:val="21"/>
        </w:rPr>
        <w:t>100</w:t>
      </w:r>
      <w:r w:rsidRPr="004C3182">
        <w:rPr>
          <w:rFonts w:ascii="楷体" w:eastAsia="楷体" w:hAnsi="楷体" w:cs="Arial" w:hint="eastAsia"/>
          <w:szCs w:val="21"/>
        </w:rPr>
        <w:t>亿元，结束了连续五周的持平格局。本周第六批</w:t>
      </w:r>
      <w:r w:rsidRPr="004C3182">
        <w:rPr>
          <w:rFonts w:ascii="楷体" w:eastAsia="楷体" w:hAnsi="楷体" w:cs="Arial"/>
          <w:szCs w:val="21"/>
        </w:rPr>
        <w:t>IPO</w:t>
      </w:r>
      <w:r w:rsidRPr="004C3182">
        <w:rPr>
          <w:rFonts w:ascii="楷体" w:eastAsia="楷体" w:hAnsi="楷体" w:cs="Arial" w:hint="eastAsia"/>
          <w:szCs w:val="21"/>
        </w:rPr>
        <w:t>开闸，预计冻结资金</w:t>
      </w:r>
      <w:r w:rsidRPr="004C3182">
        <w:rPr>
          <w:rFonts w:ascii="楷体" w:eastAsia="楷体" w:hAnsi="楷体" w:cs="Arial"/>
          <w:szCs w:val="21"/>
        </w:rPr>
        <w:t>1.6</w:t>
      </w:r>
      <w:r w:rsidRPr="004C3182">
        <w:rPr>
          <w:rFonts w:ascii="楷体" w:eastAsia="楷体" w:hAnsi="楷体" w:cs="Arial" w:hint="eastAsia"/>
          <w:szCs w:val="21"/>
        </w:rPr>
        <w:t>亿元，为</w:t>
      </w:r>
      <w:r w:rsidRPr="004C3182">
        <w:rPr>
          <w:rFonts w:ascii="楷体" w:eastAsia="楷体" w:hAnsi="楷体" w:cs="Arial"/>
          <w:szCs w:val="21"/>
        </w:rPr>
        <w:t>6</w:t>
      </w:r>
      <w:r w:rsidRPr="004C3182">
        <w:rPr>
          <w:rFonts w:ascii="楷体" w:eastAsia="楷体" w:hAnsi="楷体" w:cs="Arial" w:hint="eastAsia"/>
          <w:szCs w:val="21"/>
        </w:rPr>
        <w:t>月发行启动以来峰值。上周五，央行宣布自</w:t>
      </w:r>
      <w:r w:rsidRPr="004C3182">
        <w:rPr>
          <w:rFonts w:ascii="楷体" w:eastAsia="楷体" w:hAnsi="楷体" w:cs="Arial"/>
          <w:szCs w:val="21"/>
        </w:rPr>
        <w:t>2014</w:t>
      </w:r>
      <w:r w:rsidRPr="004C3182">
        <w:rPr>
          <w:rFonts w:ascii="楷体" w:eastAsia="楷体" w:hAnsi="楷体" w:cs="Arial" w:hint="eastAsia"/>
          <w:szCs w:val="21"/>
        </w:rPr>
        <w:t>年</w:t>
      </w:r>
      <w:r w:rsidRPr="004C3182">
        <w:rPr>
          <w:rFonts w:ascii="楷体" w:eastAsia="楷体" w:hAnsi="楷体" w:cs="Arial"/>
          <w:szCs w:val="21"/>
        </w:rPr>
        <w:t>11</w:t>
      </w:r>
      <w:r w:rsidRPr="004C3182">
        <w:rPr>
          <w:rFonts w:ascii="楷体" w:eastAsia="楷体" w:hAnsi="楷体" w:cs="Arial" w:hint="eastAsia"/>
          <w:szCs w:val="21"/>
        </w:rPr>
        <w:t>月</w:t>
      </w:r>
      <w:r w:rsidRPr="004C3182">
        <w:rPr>
          <w:rFonts w:ascii="楷体" w:eastAsia="楷体" w:hAnsi="楷体" w:cs="Arial"/>
          <w:szCs w:val="21"/>
        </w:rPr>
        <w:t>22</w:t>
      </w:r>
      <w:r w:rsidRPr="004C3182">
        <w:rPr>
          <w:rFonts w:ascii="楷体" w:eastAsia="楷体" w:hAnsi="楷体" w:cs="Arial" w:hint="eastAsia"/>
          <w:szCs w:val="21"/>
        </w:rPr>
        <w:t>日起下调贷款基准利率</w:t>
      </w:r>
      <w:r w:rsidRPr="004C3182">
        <w:rPr>
          <w:rFonts w:ascii="楷体" w:eastAsia="楷体" w:hAnsi="楷体" w:cs="Arial"/>
          <w:szCs w:val="21"/>
        </w:rPr>
        <w:t>0.4</w:t>
      </w:r>
      <w:r w:rsidRPr="004C3182">
        <w:rPr>
          <w:rFonts w:ascii="楷体" w:eastAsia="楷体" w:hAnsi="楷体" w:cs="Arial" w:hint="eastAsia"/>
          <w:szCs w:val="21"/>
        </w:rPr>
        <w:t>个百分点，为六年来最大一次降幅</w:t>
      </w:r>
      <w:r w:rsidRPr="00F21BCF">
        <w:rPr>
          <w:rFonts w:ascii="楷体" w:eastAsia="楷体" w:hAnsi="楷体" w:cs="Arial" w:hint="eastAsia"/>
          <w:szCs w:val="21"/>
        </w:rPr>
        <w:t>。</w:t>
      </w:r>
    </w:p>
    <w:p w:rsidR="00E96BC3" w:rsidRPr="00F21BCF" w:rsidRDefault="00E96BC3" w:rsidP="008545EE">
      <w:pPr>
        <w:pStyle w:val="BodyText"/>
        <w:numPr>
          <w:ilvl w:val="4"/>
          <w:numId w:val="1"/>
        </w:numPr>
        <w:spacing w:after="163"/>
        <w:rPr>
          <w:rFonts w:ascii="楷体" w:eastAsia="楷体" w:hAnsi="楷体" w:cs="Arial"/>
          <w:szCs w:val="21"/>
        </w:rPr>
      </w:pPr>
      <w:r w:rsidRPr="00F21BCF">
        <w:rPr>
          <w:rFonts w:ascii="楷体" w:eastAsia="楷体" w:hAnsi="楷体" w:cs="Arial" w:hint="eastAsia"/>
          <w:szCs w:val="21"/>
        </w:rPr>
        <w:t>继前周涨幅</w:t>
      </w:r>
      <w:r>
        <w:rPr>
          <w:rFonts w:ascii="楷体" w:eastAsia="楷体" w:hAnsi="楷体" w:cs="Arial" w:hint="eastAsia"/>
          <w:szCs w:val="21"/>
        </w:rPr>
        <w:t>收窄</w:t>
      </w:r>
      <w:r w:rsidRPr="00F21BCF">
        <w:rPr>
          <w:rFonts w:ascii="楷体" w:eastAsia="楷体" w:hAnsi="楷体" w:cs="Arial" w:hint="eastAsia"/>
          <w:szCs w:val="21"/>
        </w:rPr>
        <w:t>后，</w:t>
      </w:r>
      <w:r>
        <w:rPr>
          <w:rFonts w:ascii="楷体" w:eastAsia="楷体" w:hAnsi="楷体" w:cs="Arial" w:hint="eastAsia"/>
          <w:szCs w:val="21"/>
        </w:rPr>
        <w:t>上周</w:t>
      </w:r>
      <w:r w:rsidRPr="00F21BCF">
        <w:rPr>
          <w:rFonts w:ascii="楷体" w:eastAsia="楷体" w:hAnsi="楷体" w:cs="Arial" w:hint="eastAsia"/>
          <w:szCs w:val="21"/>
        </w:rPr>
        <w:t>各类债基业绩均出现回调，除理财债基平均收益</w:t>
      </w:r>
      <w:r>
        <w:rPr>
          <w:rFonts w:ascii="楷体" w:eastAsia="楷体" w:hAnsi="楷体" w:cs="Arial" w:hint="eastAsia"/>
          <w:szCs w:val="21"/>
        </w:rPr>
        <w:t>为</w:t>
      </w:r>
      <w:r w:rsidRPr="00F21BCF">
        <w:rPr>
          <w:rFonts w:ascii="楷体" w:eastAsia="楷体" w:hAnsi="楷体" w:cs="Arial" w:hint="eastAsia"/>
          <w:szCs w:val="21"/>
        </w:rPr>
        <w:t>正，其他债基平均收益均为负。指数债基下跌</w:t>
      </w:r>
      <w:r w:rsidRPr="00F21BCF">
        <w:rPr>
          <w:rFonts w:ascii="楷体" w:eastAsia="楷体" w:hAnsi="楷体" w:cs="Arial"/>
          <w:szCs w:val="21"/>
        </w:rPr>
        <w:t>0.38%</w:t>
      </w:r>
      <w:r w:rsidRPr="00F21BCF">
        <w:rPr>
          <w:rFonts w:ascii="楷体" w:eastAsia="楷体" w:hAnsi="楷体" w:cs="Arial" w:hint="eastAsia"/>
          <w:szCs w:val="21"/>
        </w:rPr>
        <w:t>，跌幅较大，可转债基下跌</w:t>
      </w:r>
      <w:r w:rsidRPr="00F21BCF">
        <w:rPr>
          <w:rFonts w:ascii="楷体" w:eastAsia="楷体" w:hAnsi="楷体" w:cs="Arial"/>
          <w:szCs w:val="21"/>
        </w:rPr>
        <w:t>0.23%</w:t>
      </w:r>
      <w:r w:rsidRPr="00F21BCF">
        <w:rPr>
          <w:rFonts w:ascii="楷体" w:eastAsia="楷体" w:hAnsi="楷体" w:cs="Arial" w:hint="eastAsia"/>
          <w:szCs w:val="21"/>
        </w:rPr>
        <w:t>，一级债基下跌</w:t>
      </w:r>
      <w:r w:rsidRPr="00F21BCF">
        <w:rPr>
          <w:rFonts w:ascii="楷体" w:eastAsia="楷体" w:hAnsi="楷体" w:cs="Arial"/>
          <w:szCs w:val="21"/>
        </w:rPr>
        <w:t>0.21%</w:t>
      </w:r>
      <w:r w:rsidRPr="00F21BCF">
        <w:rPr>
          <w:rFonts w:ascii="楷体" w:eastAsia="楷体" w:hAnsi="楷体" w:cs="Arial" w:hint="eastAsia"/>
          <w:szCs w:val="21"/>
        </w:rPr>
        <w:t>，纯债基金下跌</w:t>
      </w:r>
      <w:r w:rsidRPr="00F21BCF">
        <w:rPr>
          <w:rFonts w:ascii="楷体" w:eastAsia="楷体" w:hAnsi="楷体" w:cs="Arial"/>
          <w:szCs w:val="21"/>
        </w:rPr>
        <w:t>0.17%</w:t>
      </w:r>
      <w:r w:rsidRPr="00F21BCF">
        <w:rPr>
          <w:rFonts w:ascii="楷体" w:eastAsia="楷体" w:hAnsi="楷体" w:cs="Arial" w:hint="eastAsia"/>
          <w:szCs w:val="21"/>
        </w:rPr>
        <w:t>，二级债基跌幅较小，为</w:t>
      </w:r>
      <w:r w:rsidRPr="00F21BCF">
        <w:rPr>
          <w:rFonts w:ascii="楷体" w:eastAsia="楷体" w:hAnsi="楷体" w:cs="Arial"/>
          <w:szCs w:val="21"/>
        </w:rPr>
        <w:t>0.08%</w:t>
      </w:r>
      <w:r w:rsidRPr="00F21BCF">
        <w:rPr>
          <w:rFonts w:ascii="楷体" w:eastAsia="楷体" w:hAnsi="楷体" w:cs="Arial" w:hint="eastAsia"/>
          <w:szCs w:val="21"/>
        </w:rPr>
        <w:t>。银华永益分级（</w:t>
      </w:r>
      <w:r w:rsidRPr="00F21BCF">
        <w:rPr>
          <w:rFonts w:ascii="楷体" w:eastAsia="楷体" w:hAnsi="楷体" w:cs="Arial"/>
          <w:szCs w:val="21"/>
        </w:rPr>
        <w:t>3.57%</w:t>
      </w:r>
      <w:r w:rsidRPr="00F21BCF">
        <w:rPr>
          <w:rFonts w:ascii="楷体" w:eastAsia="楷体" w:hAnsi="楷体" w:cs="Arial" w:hint="eastAsia"/>
          <w:szCs w:val="21"/>
        </w:rPr>
        <w:t>）</w:t>
      </w:r>
      <w:r>
        <w:rPr>
          <w:rFonts w:ascii="楷体" w:eastAsia="楷体" w:hAnsi="楷体" w:cs="Arial" w:hint="eastAsia"/>
          <w:szCs w:val="21"/>
        </w:rPr>
        <w:t>，</w:t>
      </w:r>
      <w:r w:rsidRPr="00F21BCF">
        <w:rPr>
          <w:rFonts w:ascii="楷体" w:eastAsia="楷体" w:hAnsi="楷体" w:cs="Arial" w:hint="eastAsia"/>
          <w:szCs w:val="21"/>
        </w:rPr>
        <w:t>易方达双债增强</w:t>
      </w:r>
      <w:r w:rsidRPr="00F21BCF">
        <w:rPr>
          <w:rFonts w:ascii="楷体" w:eastAsia="楷体" w:hAnsi="楷体" w:cs="Arial"/>
          <w:szCs w:val="21"/>
        </w:rPr>
        <w:t>A</w:t>
      </w:r>
      <w:r w:rsidRPr="00F21BCF">
        <w:rPr>
          <w:rFonts w:ascii="楷体" w:eastAsia="楷体" w:hAnsi="楷体" w:cs="Arial" w:hint="eastAsia"/>
          <w:szCs w:val="21"/>
        </w:rPr>
        <w:t>（</w:t>
      </w:r>
      <w:r w:rsidRPr="00F21BCF">
        <w:rPr>
          <w:rFonts w:ascii="楷体" w:eastAsia="楷体" w:hAnsi="楷体" w:cs="Arial"/>
          <w:szCs w:val="21"/>
        </w:rPr>
        <w:t>2.36%</w:t>
      </w:r>
      <w:r w:rsidRPr="00F21BCF">
        <w:rPr>
          <w:rFonts w:ascii="楷体" w:eastAsia="楷体" w:hAnsi="楷体" w:cs="Arial" w:hint="eastAsia"/>
          <w:szCs w:val="21"/>
        </w:rPr>
        <w:t>）</w:t>
      </w:r>
      <w:r>
        <w:rPr>
          <w:rFonts w:ascii="楷体" w:eastAsia="楷体" w:hAnsi="楷体" w:cs="Arial" w:hint="eastAsia"/>
          <w:szCs w:val="21"/>
        </w:rPr>
        <w:t>和</w:t>
      </w:r>
      <w:r w:rsidRPr="00F21BCF">
        <w:rPr>
          <w:rFonts w:ascii="楷体" w:eastAsia="楷体" w:hAnsi="楷体" w:cs="Arial" w:hint="eastAsia"/>
          <w:szCs w:val="21"/>
        </w:rPr>
        <w:t>易方达双债增强</w:t>
      </w:r>
      <w:r w:rsidRPr="00F21BCF">
        <w:rPr>
          <w:rFonts w:ascii="楷体" w:eastAsia="楷体" w:hAnsi="楷体" w:cs="Arial"/>
          <w:szCs w:val="21"/>
        </w:rPr>
        <w:t>C</w:t>
      </w:r>
      <w:r w:rsidRPr="00F21BCF">
        <w:rPr>
          <w:rFonts w:ascii="楷体" w:eastAsia="楷体" w:hAnsi="楷体" w:cs="Arial" w:hint="eastAsia"/>
          <w:szCs w:val="21"/>
        </w:rPr>
        <w:t>（</w:t>
      </w:r>
      <w:r w:rsidRPr="00F21BCF">
        <w:rPr>
          <w:rFonts w:ascii="楷体" w:eastAsia="楷体" w:hAnsi="楷体" w:cs="Arial"/>
          <w:szCs w:val="21"/>
        </w:rPr>
        <w:t>2.03%</w:t>
      </w:r>
      <w:r w:rsidRPr="00F21BCF">
        <w:rPr>
          <w:rFonts w:ascii="楷体" w:eastAsia="楷体" w:hAnsi="楷体" w:cs="Arial" w:hint="eastAsia"/>
          <w:szCs w:val="21"/>
        </w:rPr>
        <w:t>）</w:t>
      </w:r>
      <w:r>
        <w:rPr>
          <w:rFonts w:ascii="楷体" w:eastAsia="楷体" w:hAnsi="楷体" w:cs="Arial" w:hint="eastAsia"/>
          <w:szCs w:val="21"/>
        </w:rPr>
        <w:t>等产品</w:t>
      </w:r>
      <w:r w:rsidRPr="00F21BCF">
        <w:rPr>
          <w:rFonts w:ascii="楷体" w:eastAsia="楷体" w:hAnsi="楷体" w:cs="Arial" w:hint="eastAsia"/>
          <w:szCs w:val="21"/>
        </w:rPr>
        <w:t>业绩较好。</w:t>
      </w:r>
    </w:p>
    <w:p w:rsidR="00E96BC3" w:rsidRPr="00F21BCF" w:rsidRDefault="00E96BC3" w:rsidP="00701B7A">
      <w:pPr>
        <w:pStyle w:val="BodyText"/>
        <w:numPr>
          <w:ilvl w:val="4"/>
          <w:numId w:val="1"/>
        </w:numPr>
        <w:spacing w:after="163"/>
        <w:rPr>
          <w:rFonts w:ascii="楷体" w:eastAsia="楷体" w:hAnsi="楷体" w:cs="Arial"/>
          <w:szCs w:val="21"/>
        </w:rPr>
      </w:pPr>
      <w:r w:rsidRPr="00F21BCF">
        <w:rPr>
          <w:rFonts w:ascii="楷体" w:eastAsia="楷体" w:hAnsi="楷体" w:cs="Arial"/>
          <w:szCs w:val="21"/>
        </w:rPr>
        <w:t>228</w:t>
      </w:r>
      <w:r w:rsidRPr="00F21BCF">
        <w:rPr>
          <w:rFonts w:ascii="楷体" w:eastAsia="楷体" w:hAnsi="楷体" w:cs="Arial" w:hint="eastAsia"/>
          <w:szCs w:val="21"/>
        </w:rPr>
        <w:t>只只货币</w:t>
      </w:r>
      <w:r>
        <w:rPr>
          <w:rFonts w:ascii="楷体" w:eastAsia="楷体" w:hAnsi="楷体" w:cs="Arial" w:hint="eastAsia"/>
          <w:szCs w:val="21"/>
        </w:rPr>
        <w:t>市场</w:t>
      </w:r>
      <w:r w:rsidRPr="00F21BCF">
        <w:rPr>
          <w:rFonts w:ascii="楷体" w:eastAsia="楷体" w:hAnsi="楷体" w:cs="Arial" w:hint="eastAsia"/>
          <w:szCs w:val="21"/>
        </w:rPr>
        <w:t>基金平均七日年化收益率为</w:t>
      </w:r>
      <w:r w:rsidRPr="00F21BCF">
        <w:rPr>
          <w:rFonts w:ascii="楷体" w:eastAsia="楷体" w:hAnsi="楷体" w:cs="Arial"/>
          <w:szCs w:val="21"/>
        </w:rPr>
        <w:t>4.24%</w:t>
      </w:r>
      <w:r w:rsidRPr="00F21BCF">
        <w:rPr>
          <w:rFonts w:ascii="楷体" w:eastAsia="楷体" w:hAnsi="楷体" w:cs="Arial" w:hint="eastAsia"/>
          <w:szCs w:val="21"/>
        </w:rPr>
        <w:t>，涨幅</w:t>
      </w:r>
      <w:r>
        <w:rPr>
          <w:rFonts w:ascii="楷体" w:eastAsia="楷体" w:hAnsi="楷体" w:cs="Arial" w:hint="eastAsia"/>
          <w:szCs w:val="21"/>
        </w:rPr>
        <w:t>较前周进一步</w:t>
      </w:r>
      <w:r w:rsidRPr="00F21BCF">
        <w:rPr>
          <w:rFonts w:ascii="楷体" w:eastAsia="楷体" w:hAnsi="楷体" w:cs="Arial" w:hint="eastAsia"/>
          <w:szCs w:val="21"/>
        </w:rPr>
        <w:t>收窄。</w:t>
      </w:r>
      <w:r w:rsidRPr="00F21BCF">
        <w:rPr>
          <w:rFonts w:ascii="楷体" w:eastAsia="楷体" w:hAnsi="楷体" w:cs="Arial"/>
          <w:szCs w:val="21"/>
        </w:rPr>
        <w:t>17%</w:t>
      </w:r>
      <w:r w:rsidRPr="00F21BCF">
        <w:rPr>
          <w:rFonts w:ascii="楷体" w:eastAsia="楷体" w:hAnsi="楷体" w:cs="Arial" w:hint="eastAsia"/>
          <w:szCs w:val="21"/>
        </w:rPr>
        <w:t>的产品七日年化收益率高于</w:t>
      </w:r>
      <w:r w:rsidRPr="00F21BCF">
        <w:rPr>
          <w:rFonts w:ascii="楷体" w:eastAsia="楷体" w:hAnsi="楷体" w:cs="Arial"/>
          <w:szCs w:val="21"/>
        </w:rPr>
        <w:t>5%</w:t>
      </w:r>
      <w:r>
        <w:rPr>
          <w:rFonts w:ascii="楷体" w:eastAsia="楷体" w:hAnsi="楷体" w:cs="Arial" w:hint="eastAsia"/>
          <w:szCs w:val="21"/>
        </w:rPr>
        <w:t>，</w:t>
      </w:r>
      <w:r w:rsidRPr="00F21BCF">
        <w:rPr>
          <w:rFonts w:ascii="楷体" w:eastAsia="楷体" w:hAnsi="楷体" w:cs="Arial"/>
          <w:szCs w:val="21"/>
        </w:rPr>
        <w:t>43%</w:t>
      </w:r>
      <w:r w:rsidRPr="00F21BCF">
        <w:rPr>
          <w:rFonts w:ascii="楷体" w:eastAsia="楷体" w:hAnsi="楷体" w:cs="Arial" w:hint="eastAsia"/>
          <w:szCs w:val="21"/>
        </w:rPr>
        <w:t>的产品在</w:t>
      </w:r>
      <w:r w:rsidRPr="00F21BCF">
        <w:rPr>
          <w:rFonts w:ascii="楷体" w:eastAsia="楷体" w:hAnsi="楷体" w:cs="Arial"/>
          <w:szCs w:val="21"/>
        </w:rPr>
        <w:t>4%-5%</w:t>
      </w:r>
      <w:r w:rsidRPr="00F21BCF">
        <w:rPr>
          <w:rFonts w:ascii="楷体" w:eastAsia="楷体" w:hAnsi="楷体" w:cs="Arial" w:hint="eastAsia"/>
          <w:szCs w:val="21"/>
        </w:rPr>
        <w:t>之间，</w:t>
      </w:r>
      <w:r w:rsidRPr="00F21BCF">
        <w:rPr>
          <w:rFonts w:ascii="楷体" w:eastAsia="楷体" w:hAnsi="楷体" w:cs="Arial"/>
          <w:szCs w:val="21"/>
        </w:rPr>
        <w:t>36%</w:t>
      </w:r>
      <w:r w:rsidRPr="00F21BCF">
        <w:rPr>
          <w:rFonts w:ascii="楷体" w:eastAsia="楷体" w:hAnsi="楷体" w:cs="Arial" w:hint="eastAsia"/>
          <w:szCs w:val="21"/>
        </w:rPr>
        <w:t>的产品在</w:t>
      </w:r>
      <w:r w:rsidRPr="00F21BCF">
        <w:rPr>
          <w:rFonts w:ascii="楷体" w:eastAsia="楷体" w:hAnsi="楷体" w:cs="Arial"/>
          <w:szCs w:val="21"/>
        </w:rPr>
        <w:t>3%-4%</w:t>
      </w:r>
      <w:r w:rsidRPr="00F21BCF">
        <w:rPr>
          <w:rFonts w:ascii="楷体" w:eastAsia="楷体" w:hAnsi="楷体" w:cs="Arial" w:hint="eastAsia"/>
          <w:szCs w:val="21"/>
        </w:rPr>
        <w:t>之间。最高收益为安信现金管理货币</w:t>
      </w:r>
      <w:r w:rsidRPr="00F21BCF">
        <w:rPr>
          <w:rFonts w:ascii="楷体" w:eastAsia="楷体" w:hAnsi="楷体" w:cs="Arial"/>
          <w:szCs w:val="21"/>
        </w:rPr>
        <w:t>B</w:t>
      </w:r>
      <w:r w:rsidRPr="00F21BCF">
        <w:rPr>
          <w:rFonts w:ascii="楷体" w:eastAsia="楷体" w:hAnsi="楷体" w:cs="Arial" w:hint="eastAsia"/>
          <w:szCs w:val="21"/>
        </w:rPr>
        <w:t>的</w:t>
      </w:r>
      <w:r w:rsidRPr="00F21BCF">
        <w:rPr>
          <w:rFonts w:ascii="楷体" w:eastAsia="楷体" w:hAnsi="楷体" w:cs="Arial"/>
          <w:szCs w:val="21"/>
        </w:rPr>
        <w:t>7.16%</w:t>
      </w:r>
      <w:r w:rsidRPr="00F21BCF">
        <w:rPr>
          <w:rFonts w:ascii="楷体" w:eastAsia="楷体" w:hAnsi="楷体" w:cs="Arial" w:hint="eastAsia"/>
          <w:szCs w:val="21"/>
        </w:rPr>
        <w:t>，其次为长安货币</w:t>
      </w:r>
      <w:r w:rsidRPr="00F21BCF">
        <w:rPr>
          <w:rFonts w:ascii="楷体" w:eastAsia="楷体" w:hAnsi="楷体" w:cs="Arial"/>
          <w:szCs w:val="21"/>
        </w:rPr>
        <w:t>B</w:t>
      </w:r>
      <w:r w:rsidRPr="00F21BCF">
        <w:rPr>
          <w:rFonts w:ascii="楷体" w:eastAsia="楷体" w:hAnsi="楷体" w:cs="Arial" w:hint="eastAsia"/>
          <w:szCs w:val="21"/>
        </w:rPr>
        <w:t>的</w:t>
      </w:r>
      <w:r w:rsidRPr="00F21BCF">
        <w:rPr>
          <w:rFonts w:ascii="楷体" w:eastAsia="楷体" w:hAnsi="楷体" w:cs="Arial"/>
          <w:szCs w:val="21"/>
        </w:rPr>
        <w:t>7.01%</w:t>
      </w:r>
      <w:r w:rsidRPr="00F21BCF">
        <w:rPr>
          <w:rFonts w:ascii="楷体" w:eastAsia="楷体" w:hAnsi="楷体" w:cs="Arial" w:hint="eastAsia"/>
          <w:szCs w:val="21"/>
        </w:rPr>
        <w:t>。</w:t>
      </w:r>
      <w:r>
        <w:rPr>
          <w:rFonts w:ascii="楷体" w:eastAsia="楷体" w:hAnsi="楷体" w:cs="Arial" w:hint="eastAsia"/>
          <w:szCs w:val="21"/>
        </w:rPr>
        <w:t>此次央行降息</w:t>
      </w:r>
      <w:r w:rsidRPr="005F4076">
        <w:rPr>
          <w:rFonts w:ascii="楷体" w:eastAsia="楷体" w:hAnsi="楷体" w:cs="Arial" w:hint="eastAsia"/>
          <w:szCs w:val="21"/>
        </w:rPr>
        <w:t>表明了降低资金利率的态度</w:t>
      </w:r>
      <w:r>
        <w:rPr>
          <w:rFonts w:ascii="楷体" w:eastAsia="楷体" w:hAnsi="楷体" w:cs="Arial" w:hint="eastAsia"/>
          <w:szCs w:val="21"/>
        </w:rPr>
        <w:t>，对货币基金影响或</w:t>
      </w:r>
      <w:r w:rsidRPr="005F4076">
        <w:rPr>
          <w:rFonts w:ascii="楷体" w:eastAsia="楷体" w:hAnsi="楷体" w:cs="Arial" w:hint="eastAsia"/>
          <w:szCs w:val="21"/>
        </w:rPr>
        <w:t>偏负面</w:t>
      </w:r>
      <w:r>
        <w:rPr>
          <w:rFonts w:ascii="楷体" w:eastAsia="楷体" w:hAnsi="楷体" w:cs="Arial" w:hint="eastAsia"/>
          <w:szCs w:val="21"/>
        </w:rPr>
        <w:t>。</w:t>
      </w:r>
    </w:p>
    <w:p w:rsidR="00E96BC3" w:rsidRPr="00BB3463" w:rsidRDefault="00E96BC3" w:rsidP="00BB3463">
      <w:pPr>
        <w:widowControl/>
        <w:spacing w:after="120"/>
        <w:ind w:left="3430"/>
        <w:rPr>
          <w:rFonts w:ascii="楷体" w:eastAsia="楷体" w:hAnsi="楷体"/>
          <w:b/>
          <w:bCs/>
          <w:color w:val="0070C0"/>
          <w:kern w:val="0"/>
          <w:szCs w:val="21"/>
          <w:lang w:val="en-GB"/>
        </w:rPr>
      </w:pPr>
      <w:r w:rsidRPr="00EB505F">
        <w:rPr>
          <w:rFonts w:ascii="楷体" w:eastAsia="楷体" w:hAnsi="楷体" w:hint="eastAsia"/>
          <w:b/>
          <w:bCs/>
          <w:color w:val="0070C0"/>
          <w:kern w:val="0"/>
          <w:szCs w:val="21"/>
          <w:lang w:val="en-GB"/>
        </w:rPr>
        <w:t>分级基金子份额一周业绩：</w:t>
      </w:r>
      <w:r w:rsidRPr="00BB3463">
        <w:rPr>
          <w:rFonts w:ascii="楷体" w:eastAsia="楷体" w:hAnsi="楷体"/>
          <w:b/>
          <w:bCs/>
          <w:color w:val="0070C0"/>
          <w:kern w:val="0"/>
          <w:szCs w:val="21"/>
          <w:lang w:val="en-GB"/>
        </w:rPr>
        <w:t xml:space="preserve"> </w:t>
      </w:r>
      <w:r>
        <w:rPr>
          <w:rFonts w:ascii="楷体" w:eastAsia="楷体" w:hAnsi="楷体" w:hint="eastAsia"/>
          <w:b/>
          <w:bCs/>
          <w:color w:val="0070C0"/>
          <w:kern w:val="0"/>
          <w:szCs w:val="21"/>
          <w:lang w:val="en-GB"/>
        </w:rPr>
        <w:t>股基积极涨幅扩大，债基积极下跌</w:t>
      </w:r>
    </w:p>
    <w:p w:rsidR="00E96BC3" w:rsidRPr="00BB3463" w:rsidRDefault="00E96BC3" w:rsidP="004049E1">
      <w:pPr>
        <w:pStyle w:val="BodyText"/>
        <w:numPr>
          <w:ilvl w:val="4"/>
          <w:numId w:val="1"/>
        </w:numPr>
        <w:spacing w:after="163"/>
        <w:rPr>
          <w:rFonts w:ascii="楷体" w:eastAsia="楷体" w:hAnsi="楷体" w:cs="Arial"/>
          <w:szCs w:val="21"/>
        </w:rPr>
      </w:pPr>
      <w:r>
        <w:rPr>
          <w:rFonts w:ascii="楷体" w:eastAsia="楷体" w:hAnsi="楷体" w:cs="Arial" w:hint="eastAsia"/>
          <w:szCs w:val="21"/>
        </w:rPr>
        <w:t>上周，</w:t>
      </w:r>
      <w:r w:rsidRPr="00BB3463">
        <w:rPr>
          <w:rFonts w:ascii="楷体" w:eastAsia="楷体" w:hAnsi="楷体" w:cs="Arial" w:hint="eastAsia"/>
          <w:szCs w:val="21"/>
        </w:rPr>
        <w:t>股票分级基金稳健份额平均上涨</w:t>
      </w:r>
      <w:r>
        <w:rPr>
          <w:rFonts w:ascii="楷体" w:eastAsia="楷体" w:hAnsi="楷体" w:cs="Arial"/>
          <w:szCs w:val="21"/>
        </w:rPr>
        <w:t>0.12%</w:t>
      </w:r>
      <w:r>
        <w:rPr>
          <w:rFonts w:ascii="楷体" w:eastAsia="楷体" w:hAnsi="楷体" w:cs="Arial" w:hint="eastAsia"/>
          <w:szCs w:val="21"/>
        </w:rPr>
        <w:t>，</w:t>
      </w:r>
      <w:r w:rsidRPr="00BB3463">
        <w:rPr>
          <w:rFonts w:ascii="楷体" w:eastAsia="楷体" w:hAnsi="楷体" w:cs="Arial" w:hint="eastAsia"/>
          <w:szCs w:val="21"/>
        </w:rPr>
        <w:t>涨幅</w:t>
      </w:r>
      <w:r>
        <w:rPr>
          <w:rFonts w:ascii="楷体" w:eastAsia="楷体" w:hAnsi="楷体" w:cs="Arial" w:hint="eastAsia"/>
          <w:szCs w:val="21"/>
        </w:rPr>
        <w:t>收缩，最高收益为</w:t>
      </w:r>
      <w:r>
        <w:rPr>
          <w:rFonts w:ascii="楷体" w:eastAsia="楷体" w:hAnsi="楷体" w:cs="Arial"/>
          <w:szCs w:val="21"/>
        </w:rPr>
        <w:t>0.51%</w:t>
      </w:r>
      <w:r>
        <w:rPr>
          <w:rFonts w:ascii="楷体" w:eastAsia="楷体" w:hAnsi="楷体" w:cs="Arial" w:hint="eastAsia"/>
          <w:szCs w:val="21"/>
        </w:rPr>
        <w:t>，最低收益持平。股基积极份额平均上涨</w:t>
      </w:r>
      <w:r>
        <w:rPr>
          <w:rFonts w:ascii="楷体" w:eastAsia="楷体" w:hAnsi="楷体" w:cs="Arial"/>
          <w:szCs w:val="21"/>
        </w:rPr>
        <w:t>2.15%</w:t>
      </w:r>
      <w:r>
        <w:rPr>
          <w:rFonts w:ascii="楷体" w:eastAsia="楷体" w:hAnsi="楷体" w:cs="Arial" w:hint="eastAsia"/>
          <w:szCs w:val="21"/>
        </w:rPr>
        <w:t>，较前周涨幅（</w:t>
      </w:r>
      <w:r>
        <w:rPr>
          <w:rFonts w:ascii="楷体" w:eastAsia="楷体" w:hAnsi="楷体" w:cs="Arial"/>
          <w:szCs w:val="21"/>
        </w:rPr>
        <w:t>0.37%</w:t>
      </w:r>
      <w:r>
        <w:rPr>
          <w:rFonts w:ascii="楷体" w:eastAsia="楷体" w:hAnsi="楷体" w:cs="Arial" w:hint="eastAsia"/>
          <w:szCs w:val="21"/>
        </w:rPr>
        <w:t>）明显扩大，最高收益为</w:t>
      </w:r>
      <w:r w:rsidRPr="008777DB">
        <w:rPr>
          <w:rFonts w:ascii="楷体" w:eastAsia="楷体" w:hAnsi="楷体" w:cs="Arial" w:hint="eastAsia"/>
          <w:szCs w:val="21"/>
        </w:rPr>
        <w:t>富国创业板</w:t>
      </w:r>
      <w:r w:rsidRPr="008777DB">
        <w:rPr>
          <w:rFonts w:ascii="楷体" w:eastAsia="楷体" w:hAnsi="楷体" w:cs="Arial"/>
          <w:szCs w:val="21"/>
        </w:rPr>
        <w:t>B</w:t>
      </w:r>
      <w:r w:rsidRPr="008777DB">
        <w:rPr>
          <w:rFonts w:ascii="楷体" w:eastAsia="楷体" w:hAnsi="楷体" w:cs="Arial" w:hint="eastAsia"/>
          <w:szCs w:val="21"/>
        </w:rPr>
        <w:t>的</w:t>
      </w:r>
      <w:r w:rsidRPr="008777DB">
        <w:rPr>
          <w:rFonts w:ascii="楷体" w:eastAsia="楷体" w:hAnsi="楷体" w:cs="Arial"/>
          <w:szCs w:val="21"/>
        </w:rPr>
        <w:t>8.38%</w:t>
      </w:r>
      <w:r>
        <w:rPr>
          <w:rFonts w:ascii="楷体" w:eastAsia="楷体" w:hAnsi="楷体" w:cs="Arial" w:hint="eastAsia"/>
          <w:szCs w:val="21"/>
        </w:rPr>
        <w:t>。</w:t>
      </w:r>
    </w:p>
    <w:p w:rsidR="00E96BC3" w:rsidRPr="003073E4" w:rsidRDefault="00E96BC3" w:rsidP="004049E1">
      <w:pPr>
        <w:pStyle w:val="BodyText"/>
        <w:numPr>
          <w:ilvl w:val="4"/>
          <w:numId w:val="1"/>
        </w:numPr>
        <w:spacing w:after="163"/>
        <w:rPr>
          <w:rFonts w:ascii="楷体" w:eastAsia="楷体" w:hAnsi="楷体" w:cs="Arial"/>
          <w:szCs w:val="21"/>
        </w:rPr>
      </w:pPr>
      <w:r w:rsidRPr="003073E4">
        <w:rPr>
          <w:rFonts w:ascii="楷体" w:eastAsia="楷体" w:hAnsi="楷体" w:cs="Arial" w:hint="eastAsia"/>
          <w:szCs w:val="21"/>
        </w:rPr>
        <w:t>债基稳健</w:t>
      </w:r>
      <w:r>
        <w:rPr>
          <w:rFonts w:ascii="楷体" w:eastAsia="楷体" w:hAnsi="楷体" w:cs="Arial" w:hint="eastAsia"/>
          <w:szCs w:val="21"/>
        </w:rPr>
        <w:t>份额平均涨幅为</w:t>
      </w:r>
      <w:r>
        <w:rPr>
          <w:rFonts w:ascii="楷体" w:eastAsia="楷体" w:hAnsi="楷体" w:cs="Arial"/>
          <w:szCs w:val="21"/>
        </w:rPr>
        <w:t>0.09</w:t>
      </w:r>
      <w:r w:rsidRPr="003073E4">
        <w:rPr>
          <w:rFonts w:ascii="楷体" w:eastAsia="楷体" w:hAnsi="楷体" w:cs="Arial"/>
          <w:szCs w:val="21"/>
        </w:rPr>
        <w:t>%</w:t>
      </w:r>
      <w:r>
        <w:rPr>
          <w:rFonts w:ascii="楷体" w:eastAsia="楷体" w:hAnsi="楷体" w:cs="Arial" w:hint="eastAsia"/>
          <w:szCs w:val="21"/>
        </w:rPr>
        <w:t>，最高收益为</w:t>
      </w:r>
      <w:r>
        <w:rPr>
          <w:rFonts w:ascii="楷体" w:eastAsia="楷体" w:hAnsi="楷体" w:cs="Arial"/>
          <w:szCs w:val="21"/>
        </w:rPr>
        <w:t>0.2%</w:t>
      </w:r>
      <w:r>
        <w:rPr>
          <w:rFonts w:ascii="楷体" w:eastAsia="楷体" w:hAnsi="楷体" w:cs="Arial" w:hint="eastAsia"/>
          <w:szCs w:val="21"/>
        </w:rPr>
        <w:t>。</w:t>
      </w:r>
      <w:r w:rsidRPr="003073E4">
        <w:rPr>
          <w:rFonts w:ascii="楷体" w:eastAsia="楷体" w:hAnsi="楷体" w:cs="Arial" w:hint="eastAsia"/>
          <w:szCs w:val="21"/>
        </w:rPr>
        <w:t>债基积极份额</w:t>
      </w:r>
      <w:r>
        <w:rPr>
          <w:rFonts w:ascii="楷体" w:eastAsia="楷体" w:hAnsi="楷体" w:cs="Arial" w:hint="eastAsia"/>
          <w:szCs w:val="21"/>
        </w:rPr>
        <w:t>平均下跌</w:t>
      </w:r>
      <w:r>
        <w:rPr>
          <w:rFonts w:ascii="楷体" w:eastAsia="楷体" w:hAnsi="楷体" w:cs="Arial"/>
          <w:szCs w:val="21"/>
        </w:rPr>
        <w:t>0.42%</w:t>
      </w:r>
      <w:r>
        <w:rPr>
          <w:rFonts w:ascii="楷体" w:eastAsia="楷体" w:hAnsi="楷体" w:cs="Arial" w:hint="eastAsia"/>
          <w:szCs w:val="21"/>
        </w:rPr>
        <w:t>，</w:t>
      </w:r>
      <w:r>
        <w:rPr>
          <w:rFonts w:ascii="楷体" w:eastAsia="楷体" w:hAnsi="楷体" w:cs="Arial"/>
          <w:szCs w:val="21"/>
        </w:rPr>
        <w:t>73%</w:t>
      </w:r>
      <w:r>
        <w:rPr>
          <w:rFonts w:ascii="楷体" w:eastAsia="楷体" w:hAnsi="楷体" w:cs="Arial" w:hint="eastAsia"/>
          <w:szCs w:val="21"/>
        </w:rPr>
        <w:t>的该类份额周收益率为负</w:t>
      </w:r>
      <w:r w:rsidRPr="003073E4">
        <w:rPr>
          <w:rFonts w:ascii="楷体" w:eastAsia="楷体" w:hAnsi="楷体" w:cs="Arial" w:hint="eastAsia"/>
          <w:szCs w:val="21"/>
        </w:rPr>
        <w:t>，</w:t>
      </w:r>
      <w:r w:rsidRPr="0086193A">
        <w:rPr>
          <w:rFonts w:ascii="楷体" w:eastAsia="楷体" w:hAnsi="楷体" w:cs="Arial" w:hint="eastAsia"/>
          <w:szCs w:val="21"/>
        </w:rPr>
        <w:t>鹏华丰信分级</w:t>
      </w:r>
      <w:r w:rsidRPr="0086193A">
        <w:rPr>
          <w:rFonts w:ascii="楷体" w:eastAsia="楷体" w:hAnsi="楷体" w:cs="Arial"/>
          <w:szCs w:val="21"/>
        </w:rPr>
        <w:t>B</w:t>
      </w:r>
      <w:r w:rsidRPr="0086193A">
        <w:rPr>
          <w:rFonts w:ascii="楷体" w:eastAsia="楷体" w:hAnsi="楷体" w:cs="Arial" w:hint="eastAsia"/>
          <w:szCs w:val="21"/>
        </w:rPr>
        <w:t>（</w:t>
      </w:r>
      <w:r w:rsidRPr="0086193A">
        <w:rPr>
          <w:rFonts w:ascii="楷体" w:eastAsia="楷体" w:hAnsi="楷体" w:cs="Arial"/>
          <w:szCs w:val="21"/>
        </w:rPr>
        <w:t>0.66%</w:t>
      </w:r>
      <w:r w:rsidRPr="0086193A">
        <w:rPr>
          <w:rFonts w:ascii="楷体" w:eastAsia="楷体" w:hAnsi="楷体" w:cs="Arial" w:hint="eastAsia"/>
          <w:szCs w:val="21"/>
        </w:rPr>
        <w:t>）</w:t>
      </w:r>
      <w:r>
        <w:rPr>
          <w:rFonts w:ascii="楷体" w:eastAsia="楷体" w:hAnsi="楷体" w:cs="Arial" w:hint="eastAsia"/>
          <w:szCs w:val="21"/>
        </w:rPr>
        <w:t>和</w:t>
      </w:r>
      <w:r w:rsidRPr="0086193A">
        <w:rPr>
          <w:rFonts w:ascii="楷体" w:eastAsia="楷体" w:hAnsi="楷体" w:cs="Arial" w:hint="eastAsia"/>
          <w:szCs w:val="21"/>
        </w:rPr>
        <w:t>信诚岁岁添金（</w:t>
      </w:r>
      <w:r w:rsidRPr="0086193A">
        <w:rPr>
          <w:rFonts w:ascii="楷体" w:eastAsia="楷体" w:hAnsi="楷体" w:cs="Arial"/>
          <w:szCs w:val="21"/>
        </w:rPr>
        <w:t>0.64%</w:t>
      </w:r>
      <w:r w:rsidRPr="0086193A">
        <w:rPr>
          <w:rFonts w:ascii="楷体" w:eastAsia="楷体" w:hAnsi="楷体" w:cs="Arial" w:hint="eastAsia"/>
          <w:szCs w:val="21"/>
        </w:rPr>
        <w:t>）业绩相对较好。</w:t>
      </w:r>
    </w:p>
    <w:tbl>
      <w:tblPr>
        <w:tblW w:w="11057" w:type="dxa"/>
        <w:tblInd w:w="-142"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851"/>
        <w:gridCol w:w="851"/>
        <w:gridCol w:w="2268"/>
        <w:gridCol w:w="850"/>
        <w:gridCol w:w="851"/>
        <w:gridCol w:w="992"/>
        <w:gridCol w:w="850"/>
        <w:gridCol w:w="1985"/>
        <w:gridCol w:w="709"/>
        <w:gridCol w:w="850"/>
      </w:tblGrid>
      <w:tr w:rsidR="00E96BC3" w:rsidRPr="00F605BC" w:rsidTr="00CE01AE">
        <w:trPr>
          <w:cantSplit/>
          <w:trHeight w:val="335"/>
        </w:trPr>
        <w:tc>
          <w:tcPr>
            <w:tcW w:w="11057" w:type="dxa"/>
            <w:gridSpan w:val="10"/>
            <w:vAlign w:val="center"/>
          </w:tcPr>
          <w:p w:rsidR="00E96BC3" w:rsidRPr="005B7CDB" w:rsidRDefault="00E96BC3" w:rsidP="00796BF9">
            <w:pPr>
              <w:pStyle w:val="SubTitleLargeTable"/>
              <w:pBdr>
                <w:top w:val="none" w:sz="0" w:space="0" w:color="auto"/>
              </w:pBdr>
              <w:rPr>
                <w:rFonts w:ascii="楷体" w:eastAsia="楷体" w:hAnsi="楷体"/>
                <w:b w:val="0"/>
              </w:rPr>
            </w:pPr>
            <w:r w:rsidRPr="005B7CDB">
              <w:rPr>
                <w:rFonts w:ascii="楷体" w:eastAsia="楷体" w:hAnsi="楷体" w:cs="宋体" w:hint="eastAsia"/>
                <w:color w:val="FF6600"/>
              </w:rPr>
              <w:t>图表</w:t>
            </w:r>
            <w:r w:rsidRPr="005B7CDB">
              <w:rPr>
                <w:rFonts w:ascii="楷体" w:eastAsia="楷体" w:hAnsi="楷体"/>
                <w:color w:val="FF6600"/>
              </w:rPr>
              <w:t>5</w:t>
            </w:r>
            <w:r w:rsidRPr="005B7CDB">
              <w:rPr>
                <w:rFonts w:ascii="楷体" w:eastAsia="楷体" w:hAnsi="楷体" w:cs="宋体" w:hint="eastAsia"/>
                <w:color w:val="FF6600"/>
              </w:rPr>
              <w:t>：各类型公募基金（含封闭式）周收益率前</w:t>
            </w:r>
            <w:r w:rsidRPr="005B7CDB">
              <w:rPr>
                <w:rFonts w:ascii="楷体" w:eastAsia="楷体" w:hAnsi="楷体"/>
                <w:color w:val="FF6600"/>
              </w:rPr>
              <w:t>3</w:t>
            </w:r>
            <w:r w:rsidRPr="005B7CDB">
              <w:rPr>
                <w:rFonts w:ascii="楷体" w:eastAsia="楷体" w:hAnsi="楷体" w:cs="宋体" w:hint="eastAsia"/>
                <w:color w:val="FF6600"/>
              </w:rPr>
              <w:t>（</w:t>
            </w:r>
            <w:r>
              <w:rPr>
                <w:rFonts w:ascii="楷体" w:eastAsia="楷体" w:hAnsi="楷体"/>
                <w:color w:val="FF6600"/>
              </w:rPr>
              <w:t>11.10~14</w:t>
            </w:r>
            <w:r w:rsidRPr="005B7CDB">
              <w:rPr>
                <w:rFonts w:ascii="楷体" w:eastAsia="楷体" w:hAnsi="楷体" w:cs="宋体" w:hint="eastAsia"/>
                <w:color w:val="FF6600"/>
              </w:rPr>
              <w:t>，</w:t>
            </w:r>
            <w:r w:rsidRPr="005B7CDB">
              <w:rPr>
                <w:rFonts w:ascii="楷体" w:eastAsia="楷体" w:hAnsi="楷体"/>
                <w:color w:val="FF6600"/>
              </w:rPr>
              <w:t>QDII</w:t>
            </w:r>
            <w:r w:rsidRPr="005B7CDB">
              <w:rPr>
                <w:rFonts w:ascii="楷体" w:eastAsia="楷体" w:hAnsi="楷体" w:hint="eastAsia"/>
                <w:color w:val="FF6600"/>
              </w:rPr>
              <w:t>为</w:t>
            </w:r>
            <w:r>
              <w:rPr>
                <w:rFonts w:ascii="楷体" w:eastAsia="楷体" w:hAnsi="楷体"/>
                <w:color w:val="FF6600"/>
              </w:rPr>
              <w:t>11.7</w:t>
            </w:r>
            <w:r w:rsidRPr="00057142">
              <w:rPr>
                <w:rFonts w:ascii="楷体" w:eastAsia="楷体" w:hAnsi="楷体"/>
                <w:color w:val="FF6600"/>
              </w:rPr>
              <w:t>~</w:t>
            </w:r>
            <w:r>
              <w:rPr>
                <w:rFonts w:ascii="楷体" w:eastAsia="楷体" w:hAnsi="楷体"/>
                <w:color w:val="FF6600"/>
              </w:rPr>
              <w:t>11.13</w:t>
            </w:r>
            <w:r w:rsidRPr="005B7CDB">
              <w:rPr>
                <w:rFonts w:ascii="楷体" w:eastAsia="楷体" w:hAnsi="楷体" w:hint="eastAsia"/>
                <w:color w:val="FF6600"/>
              </w:rPr>
              <w:t>，货币基金为</w:t>
            </w:r>
            <w:r w:rsidRPr="005B7CDB">
              <w:rPr>
                <w:rFonts w:ascii="楷体" w:eastAsia="楷体" w:hAnsi="楷体"/>
                <w:color w:val="FF6600"/>
              </w:rPr>
              <w:t>7</w:t>
            </w:r>
            <w:r w:rsidRPr="005B7CDB">
              <w:rPr>
                <w:rFonts w:ascii="楷体" w:eastAsia="楷体" w:hAnsi="楷体" w:hint="eastAsia"/>
                <w:color w:val="FF6600"/>
              </w:rPr>
              <w:t>日年化收益</w:t>
            </w:r>
            <w:r>
              <w:rPr>
                <w:rFonts w:ascii="楷体" w:eastAsia="楷体" w:hAnsi="楷体" w:hint="eastAsia"/>
                <w:color w:val="FF6600"/>
              </w:rPr>
              <w:t>率</w:t>
            </w:r>
            <w:r w:rsidRPr="005B7CDB">
              <w:rPr>
                <w:rFonts w:ascii="楷体" w:eastAsia="楷体" w:hAnsi="楷体" w:cs="宋体" w:hint="eastAsia"/>
                <w:color w:val="FF6600"/>
              </w:rPr>
              <w:t>）</w:t>
            </w:r>
          </w:p>
        </w:tc>
      </w:tr>
      <w:tr w:rsidR="00E96BC3" w:rsidRPr="00F605BC" w:rsidTr="00F2772B">
        <w:trPr>
          <w:cantSplit/>
          <w:trHeight w:val="227"/>
        </w:trPr>
        <w:tc>
          <w:tcPr>
            <w:tcW w:w="851" w:type="dxa"/>
            <w:tcBorders>
              <w:right w:val="single" w:sz="6" w:space="0" w:color="FF6600"/>
            </w:tcBorders>
            <w:shd w:val="clear" w:color="auto" w:fill="FDE9D9"/>
            <w:vAlign w:val="center"/>
          </w:tcPr>
          <w:p w:rsidR="00E96BC3" w:rsidRPr="00F605BC" w:rsidRDefault="00E96BC3" w:rsidP="000D1136">
            <w:pPr>
              <w:snapToGrid w:val="0"/>
              <w:jc w:val="center"/>
              <w:rPr>
                <w:rFonts w:ascii="楷体" w:eastAsia="楷体" w:hAnsi="楷体"/>
                <w:b/>
                <w:sz w:val="18"/>
                <w:szCs w:val="18"/>
              </w:rPr>
            </w:pPr>
            <w:r w:rsidRPr="00F605BC">
              <w:rPr>
                <w:rFonts w:ascii="楷体" w:eastAsia="楷体" w:hAnsi="楷体" w:hint="eastAsia"/>
                <w:b/>
                <w:sz w:val="18"/>
                <w:szCs w:val="18"/>
              </w:rPr>
              <w:t>凯石分类</w:t>
            </w:r>
          </w:p>
        </w:tc>
        <w:tc>
          <w:tcPr>
            <w:tcW w:w="851" w:type="dxa"/>
            <w:tcBorders>
              <w:left w:val="single" w:sz="6" w:space="0" w:color="FF6600"/>
              <w:right w:val="single" w:sz="6" w:space="0" w:color="FF6600"/>
            </w:tcBorders>
            <w:shd w:val="clear" w:color="auto" w:fill="FDE9D9"/>
            <w:vAlign w:val="center"/>
          </w:tcPr>
          <w:p w:rsidR="00E96BC3" w:rsidRPr="00F605BC" w:rsidRDefault="00E96BC3" w:rsidP="000D1136">
            <w:pPr>
              <w:snapToGrid w:val="0"/>
              <w:jc w:val="center"/>
              <w:rPr>
                <w:rFonts w:ascii="楷体" w:eastAsia="楷体" w:hAnsi="楷体"/>
                <w:b/>
                <w:sz w:val="18"/>
                <w:szCs w:val="18"/>
              </w:rPr>
            </w:pPr>
            <w:r w:rsidRPr="00F605BC">
              <w:rPr>
                <w:rFonts w:ascii="楷体" w:eastAsia="楷体" w:hAnsi="楷体" w:hint="eastAsia"/>
                <w:b/>
                <w:sz w:val="18"/>
                <w:szCs w:val="18"/>
              </w:rPr>
              <w:t>基金代码</w:t>
            </w:r>
          </w:p>
        </w:tc>
        <w:tc>
          <w:tcPr>
            <w:tcW w:w="2268" w:type="dxa"/>
            <w:tcBorders>
              <w:left w:val="single" w:sz="6" w:space="0" w:color="FF6600"/>
              <w:right w:val="single" w:sz="6" w:space="0" w:color="FF6600"/>
            </w:tcBorders>
            <w:shd w:val="clear" w:color="auto" w:fill="FDE9D9"/>
            <w:vAlign w:val="center"/>
          </w:tcPr>
          <w:p w:rsidR="00E96BC3" w:rsidRPr="00F605BC" w:rsidRDefault="00E96BC3" w:rsidP="000D1136">
            <w:pPr>
              <w:snapToGrid w:val="0"/>
              <w:jc w:val="center"/>
              <w:rPr>
                <w:rFonts w:ascii="楷体" w:eastAsia="楷体" w:hAnsi="楷体"/>
                <w:b/>
                <w:sz w:val="18"/>
                <w:szCs w:val="18"/>
              </w:rPr>
            </w:pPr>
            <w:r w:rsidRPr="00F605BC">
              <w:rPr>
                <w:rFonts w:ascii="楷体" w:eastAsia="楷体" w:hAnsi="楷体" w:hint="eastAsia"/>
                <w:b/>
                <w:sz w:val="18"/>
                <w:szCs w:val="18"/>
              </w:rPr>
              <w:t>基金名称</w:t>
            </w:r>
          </w:p>
        </w:tc>
        <w:tc>
          <w:tcPr>
            <w:tcW w:w="850" w:type="dxa"/>
            <w:tcBorders>
              <w:left w:val="single" w:sz="6" w:space="0" w:color="FF6600"/>
              <w:right w:val="single" w:sz="6" w:space="0" w:color="FF6600"/>
            </w:tcBorders>
            <w:shd w:val="clear" w:color="auto" w:fill="FDE9D9"/>
            <w:vAlign w:val="center"/>
          </w:tcPr>
          <w:p w:rsidR="00E96BC3" w:rsidRPr="00F605BC" w:rsidRDefault="00E96BC3" w:rsidP="000D1136">
            <w:pPr>
              <w:snapToGrid w:val="0"/>
              <w:jc w:val="center"/>
              <w:rPr>
                <w:rFonts w:ascii="楷体" w:eastAsia="楷体" w:hAnsi="楷体"/>
                <w:b/>
                <w:sz w:val="18"/>
                <w:szCs w:val="18"/>
              </w:rPr>
            </w:pPr>
            <w:r w:rsidRPr="00F605BC">
              <w:rPr>
                <w:rFonts w:ascii="楷体" w:eastAsia="楷体" w:hAnsi="楷体" w:hint="eastAsia"/>
                <w:b/>
                <w:sz w:val="18"/>
                <w:szCs w:val="18"/>
              </w:rPr>
              <w:t>类型</w:t>
            </w:r>
          </w:p>
        </w:tc>
        <w:tc>
          <w:tcPr>
            <w:tcW w:w="851" w:type="dxa"/>
            <w:tcBorders>
              <w:left w:val="single" w:sz="6" w:space="0" w:color="FF6600"/>
              <w:right w:val="single" w:sz="6" w:space="0" w:color="FF6600"/>
            </w:tcBorders>
            <w:shd w:val="clear" w:color="auto" w:fill="FDE9D9"/>
            <w:vAlign w:val="center"/>
          </w:tcPr>
          <w:p w:rsidR="00E96BC3" w:rsidRPr="00F605BC" w:rsidRDefault="00E96BC3" w:rsidP="000D1136">
            <w:pPr>
              <w:snapToGrid w:val="0"/>
              <w:jc w:val="center"/>
              <w:rPr>
                <w:rFonts w:ascii="楷体" w:eastAsia="楷体" w:hAnsi="楷体"/>
                <w:b/>
                <w:sz w:val="18"/>
                <w:szCs w:val="18"/>
              </w:rPr>
            </w:pPr>
            <w:r w:rsidRPr="00F605BC">
              <w:rPr>
                <w:rFonts w:ascii="楷体" w:eastAsia="楷体" w:hAnsi="楷体" w:hint="eastAsia"/>
                <w:b/>
                <w:sz w:val="18"/>
                <w:szCs w:val="18"/>
              </w:rPr>
              <w:t>周收益率</w:t>
            </w:r>
            <w:r w:rsidRPr="00F605BC">
              <w:rPr>
                <w:rFonts w:ascii="楷体" w:eastAsia="楷体" w:hAnsi="楷体"/>
                <w:b/>
                <w:sz w:val="18"/>
                <w:szCs w:val="18"/>
              </w:rPr>
              <w:t>%</w:t>
            </w:r>
          </w:p>
        </w:tc>
        <w:tc>
          <w:tcPr>
            <w:tcW w:w="992" w:type="dxa"/>
            <w:tcBorders>
              <w:left w:val="single" w:sz="6" w:space="0" w:color="FF6600"/>
              <w:right w:val="single" w:sz="6" w:space="0" w:color="FF6600"/>
            </w:tcBorders>
            <w:shd w:val="clear" w:color="auto" w:fill="FDE9D9"/>
            <w:vAlign w:val="center"/>
          </w:tcPr>
          <w:p w:rsidR="00E96BC3" w:rsidRPr="00F605BC" w:rsidRDefault="00E96BC3" w:rsidP="000D1136">
            <w:pPr>
              <w:snapToGrid w:val="0"/>
              <w:jc w:val="center"/>
              <w:rPr>
                <w:rFonts w:ascii="楷体" w:eastAsia="楷体" w:hAnsi="楷体"/>
                <w:b/>
                <w:sz w:val="18"/>
                <w:szCs w:val="18"/>
              </w:rPr>
            </w:pPr>
            <w:r w:rsidRPr="00F605BC">
              <w:rPr>
                <w:rFonts w:ascii="楷体" w:eastAsia="楷体" w:hAnsi="楷体" w:hint="eastAsia"/>
                <w:b/>
                <w:sz w:val="18"/>
                <w:szCs w:val="18"/>
              </w:rPr>
              <w:t>凯石分类</w:t>
            </w:r>
          </w:p>
        </w:tc>
        <w:tc>
          <w:tcPr>
            <w:tcW w:w="850" w:type="dxa"/>
            <w:tcBorders>
              <w:left w:val="single" w:sz="6" w:space="0" w:color="FF6600"/>
              <w:right w:val="single" w:sz="6" w:space="0" w:color="FF6600"/>
            </w:tcBorders>
            <w:shd w:val="clear" w:color="auto" w:fill="FDE9D9"/>
            <w:vAlign w:val="center"/>
          </w:tcPr>
          <w:p w:rsidR="00E96BC3" w:rsidRPr="00F605BC" w:rsidRDefault="00E96BC3" w:rsidP="000D1136">
            <w:pPr>
              <w:snapToGrid w:val="0"/>
              <w:jc w:val="center"/>
              <w:rPr>
                <w:rFonts w:ascii="楷体" w:eastAsia="楷体" w:hAnsi="楷体"/>
                <w:b/>
                <w:sz w:val="18"/>
                <w:szCs w:val="18"/>
              </w:rPr>
            </w:pPr>
            <w:r w:rsidRPr="00F605BC">
              <w:rPr>
                <w:rFonts w:ascii="楷体" w:eastAsia="楷体" w:hAnsi="楷体" w:hint="eastAsia"/>
                <w:b/>
                <w:sz w:val="18"/>
                <w:szCs w:val="18"/>
              </w:rPr>
              <w:t>基金代码</w:t>
            </w:r>
          </w:p>
        </w:tc>
        <w:tc>
          <w:tcPr>
            <w:tcW w:w="1985" w:type="dxa"/>
            <w:tcBorders>
              <w:left w:val="single" w:sz="6" w:space="0" w:color="FF6600"/>
              <w:right w:val="single" w:sz="6" w:space="0" w:color="FF6600"/>
            </w:tcBorders>
            <w:shd w:val="clear" w:color="auto" w:fill="FDE9D9"/>
            <w:vAlign w:val="center"/>
          </w:tcPr>
          <w:p w:rsidR="00E96BC3" w:rsidRPr="00F605BC" w:rsidRDefault="00E96BC3" w:rsidP="000D1136">
            <w:pPr>
              <w:snapToGrid w:val="0"/>
              <w:jc w:val="center"/>
              <w:rPr>
                <w:rFonts w:ascii="楷体" w:eastAsia="楷体" w:hAnsi="楷体"/>
                <w:b/>
                <w:sz w:val="18"/>
                <w:szCs w:val="18"/>
              </w:rPr>
            </w:pPr>
            <w:r w:rsidRPr="00F605BC">
              <w:rPr>
                <w:rFonts w:ascii="楷体" w:eastAsia="楷体" w:hAnsi="楷体" w:hint="eastAsia"/>
                <w:b/>
                <w:sz w:val="18"/>
                <w:szCs w:val="18"/>
              </w:rPr>
              <w:t>基金名称</w:t>
            </w:r>
          </w:p>
        </w:tc>
        <w:tc>
          <w:tcPr>
            <w:tcW w:w="709" w:type="dxa"/>
            <w:tcBorders>
              <w:left w:val="single" w:sz="6" w:space="0" w:color="FF6600"/>
              <w:right w:val="single" w:sz="6" w:space="0" w:color="FF6600"/>
            </w:tcBorders>
            <w:shd w:val="clear" w:color="auto" w:fill="FDE9D9"/>
            <w:vAlign w:val="center"/>
          </w:tcPr>
          <w:p w:rsidR="00E96BC3" w:rsidRPr="00F605BC" w:rsidRDefault="00E96BC3" w:rsidP="000D1136">
            <w:pPr>
              <w:snapToGrid w:val="0"/>
              <w:jc w:val="center"/>
              <w:rPr>
                <w:rFonts w:ascii="楷体" w:eastAsia="楷体" w:hAnsi="楷体"/>
                <w:b/>
                <w:sz w:val="18"/>
                <w:szCs w:val="18"/>
              </w:rPr>
            </w:pPr>
            <w:r w:rsidRPr="00F605BC">
              <w:rPr>
                <w:rFonts w:ascii="楷体" w:eastAsia="楷体" w:hAnsi="楷体" w:hint="eastAsia"/>
                <w:b/>
                <w:sz w:val="18"/>
                <w:szCs w:val="18"/>
              </w:rPr>
              <w:t>类型</w:t>
            </w:r>
          </w:p>
        </w:tc>
        <w:tc>
          <w:tcPr>
            <w:tcW w:w="850" w:type="dxa"/>
            <w:tcBorders>
              <w:left w:val="single" w:sz="6" w:space="0" w:color="FF6600"/>
            </w:tcBorders>
            <w:shd w:val="clear" w:color="auto" w:fill="FDE9D9"/>
            <w:vAlign w:val="center"/>
          </w:tcPr>
          <w:p w:rsidR="00E96BC3" w:rsidRPr="00F605BC" w:rsidRDefault="00E96BC3" w:rsidP="000D1136">
            <w:pPr>
              <w:snapToGrid w:val="0"/>
              <w:jc w:val="center"/>
              <w:rPr>
                <w:rFonts w:ascii="楷体" w:eastAsia="楷体" w:hAnsi="楷体"/>
                <w:b/>
                <w:sz w:val="18"/>
                <w:szCs w:val="18"/>
              </w:rPr>
            </w:pPr>
            <w:r w:rsidRPr="00F605BC">
              <w:rPr>
                <w:rFonts w:ascii="楷体" w:eastAsia="楷体" w:hAnsi="楷体" w:hint="eastAsia"/>
                <w:b/>
                <w:sz w:val="18"/>
                <w:szCs w:val="18"/>
              </w:rPr>
              <w:t>周收益率</w:t>
            </w:r>
            <w:r w:rsidRPr="00F605BC">
              <w:rPr>
                <w:rFonts w:ascii="楷体" w:eastAsia="楷体" w:hAnsi="楷体"/>
                <w:b/>
                <w:sz w:val="18"/>
                <w:szCs w:val="18"/>
              </w:rPr>
              <w:t>%</w:t>
            </w:r>
          </w:p>
        </w:tc>
      </w:tr>
      <w:tr w:rsidR="00E96BC3" w:rsidRPr="00F605BC" w:rsidTr="00F2772B">
        <w:trPr>
          <w:cantSplit/>
          <w:trHeight w:val="227"/>
        </w:trPr>
        <w:tc>
          <w:tcPr>
            <w:tcW w:w="851" w:type="dxa"/>
            <w:vMerge w:val="restart"/>
            <w:tcBorders>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b/>
                <w:sz w:val="18"/>
                <w:szCs w:val="18"/>
              </w:rPr>
            </w:pPr>
            <w:r w:rsidRPr="00F605BC">
              <w:rPr>
                <w:rFonts w:ascii="楷体" w:eastAsia="楷体" w:hAnsi="楷体" w:hint="eastAsia"/>
                <w:b/>
                <w:sz w:val="18"/>
                <w:szCs w:val="18"/>
              </w:rPr>
              <w:t>股票</w:t>
            </w:r>
            <w:r w:rsidRPr="00F605BC">
              <w:rPr>
                <w:rFonts w:ascii="楷体" w:eastAsia="楷体" w:hAnsi="楷体"/>
                <w:b/>
                <w:sz w:val="18"/>
                <w:szCs w:val="18"/>
              </w:rPr>
              <w:t>-</w:t>
            </w:r>
          </w:p>
          <w:p w:rsidR="00E96BC3" w:rsidRPr="00F605BC" w:rsidRDefault="00E96BC3" w:rsidP="006E677E">
            <w:pPr>
              <w:snapToGrid w:val="0"/>
              <w:jc w:val="center"/>
              <w:rPr>
                <w:rFonts w:ascii="楷体" w:eastAsia="楷体" w:hAnsi="楷体"/>
                <w:b/>
                <w:sz w:val="18"/>
                <w:szCs w:val="18"/>
              </w:rPr>
            </w:pPr>
            <w:r w:rsidRPr="00F605BC">
              <w:rPr>
                <w:rFonts w:ascii="楷体" w:eastAsia="楷体" w:hAnsi="楷体" w:hint="eastAsia"/>
                <w:b/>
                <w:sz w:val="18"/>
                <w:szCs w:val="18"/>
              </w:rPr>
              <w:t>主动型</w:t>
            </w: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660010</w:t>
            </w:r>
          </w:p>
        </w:tc>
        <w:tc>
          <w:tcPr>
            <w:tcW w:w="2268"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农银汇理策略精选</w:t>
            </w:r>
          </w:p>
        </w:tc>
        <w:tc>
          <w:tcPr>
            <w:tcW w:w="850" w:type="dxa"/>
            <w:tcBorders>
              <w:left w:val="single" w:sz="6" w:space="0" w:color="FF6600"/>
              <w:right w:val="single" w:sz="6" w:space="0" w:color="FF6600"/>
            </w:tcBorders>
            <w:vAlign w:val="center"/>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8.36</w:t>
            </w:r>
          </w:p>
        </w:tc>
        <w:tc>
          <w:tcPr>
            <w:tcW w:w="992" w:type="dxa"/>
            <w:vMerge w:val="restart"/>
            <w:tcBorders>
              <w:left w:val="single" w:sz="6" w:space="0" w:color="FF6600"/>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b/>
                <w:sz w:val="18"/>
                <w:szCs w:val="18"/>
              </w:rPr>
            </w:pPr>
            <w:r w:rsidRPr="00F605BC">
              <w:rPr>
                <w:rFonts w:ascii="楷体" w:eastAsia="楷体" w:hAnsi="楷体" w:hint="eastAsia"/>
                <w:b/>
                <w:sz w:val="18"/>
                <w:szCs w:val="18"/>
              </w:rPr>
              <w:t>债券</w:t>
            </w:r>
            <w:r w:rsidRPr="00F605BC">
              <w:rPr>
                <w:rFonts w:ascii="楷体" w:eastAsia="楷体" w:hAnsi="楷体"/>
                <w:b/>
                <w:sz w:val="18"/>
                <w:szCs w:val="18"/>
              </w:rPr>
              <w:t>-</w:t>
            </w:r>
          </w:p>
          <w:p w:rsidR="00E96BC3" w:rsidRPr="00F605BC" w:rsidRDefault="00E96BC3" w:rsidP="006E677E">
            <w:pPr>
              <w:snapToGrid w:val="0"/>
              <w:jc w:val="center"/>
              <w:rPr>
                <w:rFonts w:ascii="楷体" w:eastAsia="楷体" w:hAnsi="楷体"/>
                <w:b/>
                <w:sz w:val="18"/>
                <w:szCs w:val="18"/>
              </w:rPr>
            </w:pPr>
            <w:r w:rsidRPr="00F605BC">
              <w:rPr>
                <w:rFonts w:ascii="楷体" w:eastAsia="楷体" w:hAnsi="楷体" w:hint="eastAsia"/>
                <w:b/>
                <w:sz w:val="18"/>
                <w:szCs w:val="18"/>
              </w:rPr>
              <w:t>纯债基金</w:t>
            </w:r>
          </w:p>
        </w:tc>
        <w:tc>
          <w:tcPr>
            <w:tcW w:w="850"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161827</w:t>
            </w:r>
          </w:p>
        </w:tc>
        <w:tc>
          <w:tcPr>
            <w:tcW w:w="1985"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银华永益分级</w:t>
            </w:r>
          </w:p>
        </w:tc>
        <w:tc>
          <w:tcPr>
            <w:tcW w:w="709" w:type="dxa"/>
            <w:tcBorders>
              <w:left w:val="single" w:sz="6" w:space="0" w:color="FF6600"/>
              <w:right w:val="single" w:sz="6" w:space="0" w:color="FF6600"/>
            </w:tcBorders>
            <w:vAlign w:val="center"/>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开放式</w:t>
            </w:r>
          </w:p>
        </w:tc>
        <w:tc>
          <w:tcPr>
            <w:tcW w:w="850" w:type="dxa"/>
            <w:tcBorders>
              <w:lef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3.57</w:t>
            </w:r>
          </w:p>
        </w:tc>
      </w:tr>
      <w:tr w:rsidR="00E96BC3" w:rsidRPr="00F605BC" w:rsidTr="00F2772B">
        <w:trPr>
          <w:cantSplit/>
          <w:trHeight w:val="227"/>
        </w:trPr>
        <w:tc>
          <w:tcPr>
            <w:tcW w:w="851" w:type="dxa"/>
            <w:vMerge/>
            <w:tcBorders>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540010</w:t>
            </w:r>
          </w:p>
        </w:tc>
        <w:tc>
          <w:tcPr>
            <w:tcW w:w="2268"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汇丰晋信科技先锋</w:t>
            </w:r>
          </w:p>
        </w:tc>
        <w:tc>
          <w:tcPr>
            <w:tcW w:w="850" w:type="dxa"/>
            <w:tcBorders>
              <w:left w:val="single" w:sz="6" w:space="0" w:color="FF6600"/>
              <w:right w:val="single" w:sz="6" w:space="0" w:color="FF6600"/>
            </w:tcBorders>
            <w:vAlign w:val="center"/>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8.27</w:t>
            </w:r>
          </w:p>
        </w:tc>
        <w:tc>
          <w:tcPr>
            <w:tcW w:w="992" w:type="dxa"/>
            <w:vMerge/>
            <w:tcBorders>
              <w:left w:val="single" w:sz="6" w:space="0" w:color="FF6600"/>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000284</w:t>
            </w:r>
          </w:p>
        </w:tc>
        <w:tc>
          <w:tcPr>
            <w:tcW w:w="1985"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富安达信用主题轮动</w:t>
            </w:r>
            <w:r w:rsidRPr="00F605BC">
              <w:rPr>
                <w:rFonts w:ascii="楷体" w:eastAsia="楷体" w:hAnsi="楷体"/>
                <w:color w:val="000000"/>
                <w:sz w:val="18"/>
                <w:szCs w:val="18"/>
              </w:rPr>
              <w:t>A</w:t>
            </w:r>
          </w:p>
        </w:tc>
        <w:tc>
          <w:tcPr>
            <w:tcW w:w="709" w:type="dxa"/>
            <w:tcBorders>
              <w:left w:val="single" w:sz="6" w:space="0" w:color="FF6600"/>
              <w:right w:val="single" w:sz="6" w:space="0" w:color="FF6600"/>
            </w:tcBorders>
            <w:vAlign w:val="center"/>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开放式</w:t>
            </w:r>
          </w:p>
        </w:tc>
        <w:tc>
          <w:tcPr>
            <w:tcW w:w="850" w:type="dxa"/>
            <w:tcBorders>
              <w:lef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1.28</w:t>
            </w:r>
          </w:p>
        </w:tc>
      </w:tr>
      <w:tr w:rsidR="00E96BC3" w:rsidRPr="00F605BC" w:rsidTr="00F2772B">
        <w:trPr>
          <w:cantSplit/>
          <w:trHeight w:val="227"/>
        </w:trPr>
        <w:tc>
          <w:tcPr>
            <w:tcW w:w="851" w:type="dxa"/>
            <w:vMerge/>
            <w:tcBorders>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163412</w:t>
            </w:r>
          </w:p>
        </w:tc>
        <w:tc>
          <w:tcPr>
            <w:tcW w:w="2268"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兴全轻资产</w:t>
            </w:r>
          </w:p>
        </w:tc>
        <w:tc>
          <w:tcPr>
            <w:tcW w:w="850" w:type="dxa"/>
            <w:tcBorders>
              <w:left w:val="single" w:sz="6" w:space="0" w:color="FF6600"/>
              <w:right w:val="single" w:sz="6" w:space="0" w:color="FF6600"/>
            </w:tcBorders>
            <w:vAlign w:val="center"/>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8.23</w:t>
            </w:r>
          </w:p>
        </w:tc>
        <w:tc>
          <w:tcPr>
            <w:tcW w:w="992" w:type="dxa"/>
            <w:vMerge/>
            <w:tcBorders>
              <w:left w:val="single" w:sz="6" w:space="0" w:color="FF6600"/>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000285</w:t>
            </w:r>
          </w:p>
        </w:tc>
        <w:tc>
          <w:tcPr>
            <w:tcW w:w="1985"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富安达信用主题轮动</w:t>
            </w:r>
            <w:r w:rsidRPr="00F605BC">
              <w:rPr>
                <w:rFonts w:ascii="楷体" w:eastAsia="楷体" w:hAnsi="楷体"/>
                <w:color w:val="000000"/>
                <w:sz w:val="18"/>
                <w:szCs w:val="18"/>
              </w:rPr>
              <w:t>B</w:t>
            </w:r>
          </w:p>
        </w:tc>
        <w:tc>
          <w:tcPr>
            <w:tcW w:w="709" w:type="dxa"/>
            <w:tcBorders>
              <w:left w:val="single" w:sz="6" w:space="0" w:color="FF6600"/>
              <w:right w:val="single" w:sz="6" w:space="0" w:color="FF6600"/>
            </w:tcBorders>
            <w:vAlign w:val="center"/>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开放式</w:t>
            </w:r>
          </w:p>
        </w:tc>
        <w:tc>
          <w:tcPr>
            <w:tcW w:w="850" w:type="dxa"/>
            <w:tcBorders>
              <w:lef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1.28</w:t>
            </w:r>
          </w:p>
        </w:tc>
      </w:tr>
      <w:tr w:rsidR="00E96BC3" w:rsidRPr="00F605BC" w:rsidTr="00F2772B">
        <w:trPr>
          <w:cantSplit/>
          <w:trHeight w:val="227"/>
        </w:trPr>
        <w:tc>
          <w:tcPr>
            <w:tcW w:w="851" w:type="dxa"/>
            <w:vMerge w:val="restart"/>
            <w:tcBorders>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b/>
                <w:sz w:val="18"/>
                <w:szCs w:val="18"/>
              </w:rPr>
            </w:pPr>
            <w:r w:rsidRPr="00F605BC">
              <w:rPr>
                <w:rFonts w:ascii="楷体" w:eastAsia="楷体" w:hAnsi="楷体" w:hint="eastAsia"/>
                <w:b/>
                <w:sz w:val="18"/>
                <w:szCs w:val="18"/>
              </w:rPr>
              <w:t>股票</w:t>
            </w:r>
            <w:r w:rsidRPr="00F605BC">
              <w:rPr>
                <w:rFonts w:ascii="楷体" w:eastAsia="楷体" w:hAnsi="楷体"/>
                <w:b/>
                <w:sz w:val="18"/>
                <w:szCs w:val="18"/>
              </w:rPr>
              <w:t>-</w:t>
            </w:r>
          </w:p>
          <w:p w:rsidR="00E96BC3" w:rsidRPr="00F605BC" w:rsidRDefault="00E96BC3" w:rsidP="006E677E">
            <w:pPr>
              <w:snapToGrid w:val="0"/>
              <w:jc w:val="center"/>
              <w:rPr>
                <w:rFonts w:ascii="楷体" w:eastAsia="楷体" w:hAnsi="楷体"/>
                <w:b/>
                <w:sz w:val="18"/>
                <w:szCs w:val="18"/>
              </w:rPr>
            </w:pPr>
            <w:r w:rsidRPr="00F605BC">
              <w:rPr>
                <w:rFonts w:ascii="楷体" w:eastAsia="楷体" w:hAnsi="楷体" w:hint="eastAsia"/>
                <w:b/>
                <w:sz w:val="18"/>
                <w:szCs w:val="18"/>
              </w:rPr>
              <w:t>指数型</w:t>
            </w: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163113</w:t>
            </w:r>
          </w:p>
        </w:tc>
        <w:tc>
          <w:tcPr>
            <w:tcW w:w="2268"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申万菱信申万证券行业分级</w:t>
            </w:r>
          </w:p>
        </w:tc>
        <w:tc>
          <w:tcPr>
            <w:tcW w:w="850" w:type="dxa"/>
            <w:tcBorders>
              <w:left w:val="single" w:sz="6" w:space="0" w:color="FF6600"/>
              <w:right w:val="single" w:sz="6" w:space="0" w:color="FF6600"/>
            </w:tcBorders>
            <w:vAlign w:val="center"/>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4.29</w:t>
            </w:r>
          </w:p>
        </w:tc>
        <w:tc>
          <w:tcPr>
            <w:tcW w:w="992" w:type="dxa"/>
            <w:vMerge w:val="restart"/>
            <w:tcBorders>
              <w:left w:val="single" w:sz="6" w:space="0" w:color="FF6600"/>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b/>
                <w:bCs/>
                <w:color w:val="000000"/>
                <w:sz w:val="18"/>
                <w:szCs w:val="18"/>
              </w:rPr>
            </w:pPr>
            <w:r w:rsidRPr="00F605BC">
              <w:rPr>
                <w:rFonts w:ascii="楷体" w:eastAsia="楷体" w:hAnsi="楷体" w:hint="eastAsia"/>
                <w:b/>
                <w:bCs/>
                <w:color w:val="000000"/>
                <w:sz w:val="18"/>
                <w:szCs w:val="18"/>
              </w:rPr>
              <w:t>债券</w:t>
            </w:r>
            <w:r w:rsidRPr="00F605BC">
              <w:rPr>
                <w:rFonts w:ascii="楷体" w:eastAsia="楷体" w:hAnsi="楷体"/>
                <w:b/>
                <w:bCs/>
                <w:color w:val="000000"/>
                <w:sz w:val="18"/>
                <w:szCs w:val="18"/>
              </w:rPr>
              <w:t>-</w:t>
            </w:r>
          </w:p>
          <w:p w:rsidR="00E96BC3" w:rsidRPr="005B7CDB" w:rsidRDefault="00E96BC3" w:rsidP="006E677E">
            <w:pPr>
              <w:snapToGrid w:val="0"/>
              <w:jc w:val="center"/>
              <w:rPr>
                <w:rFonts w:ascii="楷体" w:eastAsia="楷体" w:hAnsi="楷体" w:cs="宋体"/>
                <w:b/>
                <w:bCs/>
                <w:color w:val="000000"/>
                <w:sz w:val="18"/>
                <w:szCs w:val="18"/>
              </w:rPr>
            </w:pPr>
            <w:r w:rsidRPr="00F605BC">
              <w:rPr>
                <w:rFonts w:ascii="楷体" w:eastAsia="楷体" w:hAnsi="楷体" w:hint="eastAsia"/>
                <w:b/>
                <w:bCs/>
                <w:color w:val="000000"/>
                <w:sz w:val="18"/>
                <w:szCs w:val="18"/>
              </w:rPr>
              <w:t>一级债基</w:t>
            </w:r>
          </w:p>
        </w:tc>
        <w:tc>
          <w:tcPr>
            <w:tcW w:w="850"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110035</w:t>
            </w:r>
          </w:p>
        </w:tc>
        <w:tc>
          <w:tcPr>
            <w:tcW w:w="1985"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易方达双债增强</w:t>
            </w:r>
            <w:r w:rsidRPr="00F605BC">
              <w:rPr>
                <w:rFonts w:ascii="楷体" w:eastAsia="楷体" w:hAnsi="楷体"/>
                <w:color w:val="000000"/>
                <w:sz w:val="18"/>
                <w:szCs w:val="18"/>
              </w:rPr>
              <w:t>A</w:t>
            </w:r>
          </w:p>
        </w:tc>
        <w:tc>
          <w:tcPr>
            <w:tcW w:w="709" w:type="dxa"/>
            <w:tcBorders>
              <w:left w:val="single" w:sz="6" w:space="0" w:color="FF6600"/>
              <w:right w:val="single" w:sz="6" w:space="0" w:color="FF6600"/>
            </w:tcBorders>
            <w:vAlign w:val="center"/>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开放式</w:t>
            </w:r>
          </w:p>
        </w:tc>
        <w:tc>
          <w:tcPr>
            <w:tcW w:w="850" w:type="dxa"/>
            <w:tcBorders>
              <w:lef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2.36</w:t>
            </w:r>
          </w:p>
        </w:tc>
      </w:tr>
      <w:tr w:rsidR="00E96BC3" w:rsidRPr="00F605BC" w:rsidTr="00F2772B">
        <w:trPr>
          <w:cantSplit/>
          <w:trHeight w:val="227"/>
        </w:trPr>
        <w:tc>
          <w:tcPr>
            <w:tcW w:w="851" w:type="dxa"/>
            <w:vMerge/>
            <w:tcBorders>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161022</w:t>
            </w:r>
          </w:p>
        </w:tc>
        <w:tc>
          <w:tcPr>
            <w:tcW w:w="2268"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富国创业板指数分级</w:t>
            </w:r>
          </w:p>
        </w:tc>
        <w:tc>
          <w:tcPr>
            <w:tcW w:w="850" w:type="dxa"/>
            <w:tcBorders>
              <w:left w:val="single" w:sz="6" w:space="0" w:color="FF6600"/>
              <w:right w:val="single" w:sz="6" w:space="0" w:color="FF6600"/>
            </w:tcBorders>
            <w:vAlign w:val="center"/>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4.18</w:t>
            </w:r>
          </w:p>
        </w:tc>
        <w:tc>
          <w:tcPr>
            <w:tcW w:w="992" w:type="dxa"/>
            <w:vMerge/>
            <w:tcBorders>
              <w:left w:val="single" w:sz="6" w:space="0" w:color="FF6600"/>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110036</w:t>
            </w:r>
          </w:p>
        </w:tc>
        <w:tc>
          <w:tcPr>
            <w:tcW w:w="1985"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易方达双债增强</w:t>
            </w:r>
            <w:r w:rsidRPr="00F605BC">
              <w:rPr>
                <w:rFonts w:ascii="楷体" w:eastAsia="楷体" w:hAnsi="楷体"/>
                <w:color w:val="000000"/>
                <w:sz w:val="18"/>
                <w:szCs w:val="18"/>
              </w:rPr>
              <w:t>C</w:t>
            </w:r>
          </w:p>
        </w:tc>
        <w:tc>
          <w:tcPr>
            <w:tcW w:w="709" w:type="dxa"/>
            <w:tcBorders>
              <w:left w:val="single" w:sz="6" w:space="0" w:color="FF6600"/>
              <w:right w:val="single" w:sz="6" w:space="0" w:color="FF6600"/>
            </w:tcBorders>
            <w:vAlign w:val="center"/>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开放式</w:t>
            </w:r>
          </w:p>
        </w:tc>
        <w:tc>
          <w:tcPr>
            <w:tcW w:w="850" w:type="dxa"/>
            <w:tcBorders>
              <w:lef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2.03</w:t>
            </w:r>
          </w:p>
        </w:tc>
      </w:tr>
      <w:tr w:rsidR="00E96BC3" w:rsidRPr="00F605BC" w:rsidTr="00F2772B">
        <w:trPr>
          <w:cantSplit/>
          <w:trHeight w:val="227"/>
        </w:trPr>
        <w:tc>
          <w:tcPr>
            <w:tcW w:w="851" w:type="dxa"/>
            <w:vMerge/>
            <w:tcBorders>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159915</w:t>
            </w:r>
          </w:p>
        </w:tc>
        <w:tc>
          <w:tcPr>
            <w:tcW w:w="2268"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易方达创业板</w:t>
            </w:r>
            <w:r w:rsidRPr="00F605BC">
              <w:rPr>
                <w:rFonts w:ascii="楷体" w:eastAsia="楷体" w:hAnsi="楷体"/>
                <w:color w:val="000000"/>
                <w:sz w:val="18"/>
                <w:szCs w:val="18"/>
              </w:rPr>
              <w:t>ETF</w:t>
            </w:r>
          </w:p>
        </w:tc>
        <w:tc>
          <w:tcPr>
            <w:tcW w:w="850" w:type="dxa"/>
            <w:tcBorders>
              <w:left w:val="single" w:sz="6" w:space="0" w:color="FF6600"/>
              <w:right w:val="single" w:sz="6" w:space="0" w:color="FF6600"/>
            </w:tcBorders>
            <w:vAlign w:val="center"/>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4.06</w:t>
            </w:r>
          </w:p>
        </w:tc>
        <w:tc>
          <w:tcPr>
            <w:tcW w:w="992" w:type="dxa"/>
            <w:vMerge/>
            <w:tcBorders>
              <w:left w:val="single" w:sz="6" w:space="0" w:color="FF6600"/>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161115</w:t>
            </w:r>
          </w:p>
        </w:tc>
        <w:tc>
          <w:tcPr>
            <w:tcW w:w="1985"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易方达岁丰添利</w:t>
            </w:r>
          </w:p>
        </w:tc>
        <w:tc>
          <w:tcPr>
            <w:tcW w:w="709" w:type="dxa"/>
            <w:tcBorders>
              <w:left w:val="single" w:sz="6" w:space="0" w:color="FF6600"/>
              <w:right w:val="single" w:sz="6" w:space="0" w:color="FF6600"/>
            </w:tcBorders>
            <w:vAlign w:val="center"/>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封闭式</w:t>
            </w:r>
          </w:p>
        </w:tc>
        <w:tc>
          <w:tcPr>
            <w:tcW w:w="850" w:type="dxa"/>
            <w:tcBorders>
              <w:lef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1.12</w:t>
            </w:r>
          </w:p>
        </w:tc>
      </w:tr>
      <w:tr w:rsidR="00E96BC3" w:rsidRPr="00F605BC" w:rsidTr="00F2772B">
        <w:trPr>
          <w:cantSplit/>
          <w:trHeight w:val="227"/>
        </w:trPr>
        <w:tc>
          <w:tcPr>
            <w:tcW w:w="851" w:type="dxa"/>
            <w:vMerge w:val="restart"/>
            <w:tcBorders>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b/>
                <w:bCs/>
                <w:color w:val="000000"/>
                <w:sz w:val="18"/>
                <w:szCs w:val="18"/>
              </w:rPr>
            </w:pPr>
            <w:r w:rsidRPr="00F605BC">
              <w:rPr>
                <w:rFonts w:ascii="楷体" w:eastAsia="楷体" w:hAnsi="楷体" w:hint="eastAsia"/>
                <w:b/>
                <w:bCs/>
                <w:color w:val="000000"/>
                <w:sz w:val="18"/>
                <w:szCs w:val="18"/>
              </w:rPr>
              <w:t>混合</w:t>
            </w:r>
            <w:r w:rsidRPr="00F605BC">
              <w:rPr>
                <w:rFonts w:ascii="楷体" w:eastAsia="楷体" w:hAnsi="楷体"/>
                <w:b/>
                <w:bCs/>
                <w:color w:val="000000"/>
                <w:sz w:val="18"/>
                <w:szCs w:val="18"/>
              </w:rPr>
              <w:t>-</w:t>
            </w:r>
          </w:p>
          <w:p w:rsidR="00E96BC3" w:rsidRPr="00F605BC" w:rsidRDefault="00E96BC3" w:rsidP="006E677E">
            <w:pPr>
              <w:snapToGrid w:val="0"/>
              <w:jc w:val="center"/>
              <w:rPr>
                <w:rFonts w:ascii="楷体" w:eastAsia="楷体" w:hAnsi="楷体"/>
                <w:b/>
                <w:sz w:val="18"/>
                <w:szCs w:val="18"/>
              </w:rPr>
            </w:pPr>
            <w:r w:rsidRPr="00F605BC">
              <w:rPr>
                <w:rFonts w:ascii="楷体" w:eastAsia="楷体" w:hAnsi="楷体" w:hint="eastAsia"/>
                <w:b/>
                <w:bCs/>
                <w:color w:val="000000"/>
                <w:sz w:val="18"/>
                <w:szCs w:val="18"/>
              </w:rPr>
              <w:t>偏股型</w:t>
            </w: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540004</w:t>
            </w:r>
          </w:p>
        </w:tc>
        <w:tc>
          <w:tcPr>
            <w:tcW w:w="2268"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汇丰晋信</w:t>
            </w:r>
            <w:r w:rsidRPr="00F605BC">
              <w:rPr>
                <w:rFonts w:ascii="楷体" w:eastAsia="楷体" w:hAnsi="楷体"/>
                <w:color w:val="000000"/>
                <w:sz w:val="18"/>
                <w:szCs w:val="18"/>
              </w:rPr>
              <w:t>2026</w:t>
            </w:r>
          </w:p>
        </w:tc>
        <w:tc>
          <w:tcPr>
            <w:tcW w:w="850" w:type="dxa"/>
            <w:tcBorders>
              <w:left w:val="single" w:sz="6" w:space="0" w:color="FF6600"/>
              <w:right w:val="single" w:sz="6" w:space="0" w:color="FF6600"/>
            </w:tcBorders>
            <w:vAlign w:val="center"/>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3.47</w:t>
            </w:r>
          </w:p>
        </w:tc>
        <w:tc>
          <w:tcPr>
            <w:tcW w:w="992" w:type="dxa"/>
            <w:vMerge w:val="restart"/>
            <w:tcBorders>
              <w:left w:val="single" w:sz="6" w:space="0" w:color="FF6600"/>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b/>
                <w:bCs/>
                <w:color w:val="000000"/>
                <w:sz w:val="18"/>
                <w:szCs w:val="18"/>
              </w:rPr>
            </w:pPr>
            <w:r w:rsidRPr="00F605BC">
              <w:rPr>
                <w:rFonts w:ascii="楷体" w:eastAsia="楷体" w:hAnsi="楷体" w:hint="eastAsia"/>
                <w:b/>
                <w:bCs/>
                <w:color w:val="000000"/>
                <w:sz w:val="18"/>
                <w:szCs w:val="18"/>
              </w:rPr>
              <w:t>债券</w:t>
            </w:r>
            <w:r w:rsidRPr="00F605BC">
              <w:rPr>
                <w:rFonts w:ascii="楷体" w:eastAsia="楷体" w:hAnsi="楷体"/>
                <w:b/>
                <w:bCs/>
                <w:color w:val="000000"/>
                <w:sz w:val="18"/>
                <w:szCs w:val="18"/>
              </w:rPr>
              <w:t>-</w:t>
            </w:r>
          </w:p>
          <w:p w:rsidR="00E96BC3" w:rsidRPr="005B7CDB" w:rsidRDefault="00E96BC3" w:rsidP="006E677E">
            <w:pPr>
              <w:snapToGrid w:val="0"/>
              <w:jc w:val="center"/>
              <w:rPr>
                <w:rFonts w:ascii="楷体" w:eastAsia="楷体" w:hAnsi="楷体" w:cs="宋体"/>
                <w:b/>
                <w:bCs/>
                <w:color w:val="000000"/>
                <w:sz w:val="18"/>
                <w:szCs w:val="18"/>
              </w:rPr>
            </w:pPr>
            <w:r w:rsidRPr="00F605BC">
              <w:rPr>
                <w:rFonts w:ascii="楷体" w:eastAsia="楷体" w:hAnsi="楷体" w:hint="eastAsia"/>
                <w:b/>
                <w:bCs/>
                <w:color w:val="000000"/>
                <w:sz w:val="18"/>
                <w:szCs w:val="18"/>
              </w:rPr>
              <w:t>二级债基</w:t>
            </w:r>
          </w:p>
        </w:tc>
        <w:tc>
          <w:tcPr>
            <w:tcW w:w="850"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320021</w:t>
            </w:r>
          </w:p>
        </w:tc>
        <w:tc>
          <w:tcPr>
            <w:tcW w:w="1985"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诺安双利</w:t>
            </w:r>
          </w:p>
        </w:tc>
        <w:tc>
          <w:tcPr>
            <w:tcW w:w="709" w:type="dxa"/>
            <w:tcBorders>
              <w:left w:val="single" w:sz="6" w:space="0" w:color="FF6600"/>
              <w:right w:val="single" w:sz="6" w:space="0" w:color="FF6600"/>
            </w:tcBorders>
            <w:vAlign w:val="center"/>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开放式</w:t>
            </w:r>
          </w:p>
        </w:tc>
        <w:tc>
          <w:tcPr>
            <w:tcW w:w="850" w:type="dxa"/>
            <w:tcBorders>
              <w:lef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1.57</w:t>
            </w:r>
          </w:p>
        </w:tc>
      </w:tr>
      <w:tr w:rsidR="00E96BC3" w:rsidRPr="00F605BC" w:rsidTr="00F2772B">
        <w:trPr>
          <w:cantSplit/>
          <w:trHeight w:val="227"/>
        </w:trPr>
        <w:tc>
          <w:tcPr>
            <w:tcW w:w="851" w:type="dxa"/>
            <w:vMerge/>
            <w:tcBorders>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161601</w:t>
            </w:r>
          </w:p>
        </w:tc>
        <w:tc>
          <w:tcPr>
            <w:tcW w:w="2268"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融通新蓝筹</w:t>
            </w:r>
          </w:p>
        </w:tc>
        <w:tc>
          <w:tcPr>
            <w:tcW w:w="850" w:type="dxa"/>
            <w:tcBorders>
              <w:left w:val="single" w:sz="6" w:space="0" w:color="FF6600"/>
              <w:right w:val="single" w:sz="6" w:space="0" w:color="FF6600"/>
            </w:tcBorders>
            <w:vAlign w:val="center"/>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3.26</w:t>
            </w:r>
          </w:p>
        </w:tc>
        <w:tc>
          <w:tcPr>
            <w:tcW w:w="992" w:type="dxa"/>
            <w:vMerge/>
            <w:tcBorders>
              <w:left w:val="single" w:sz="6" w:space="0" w:color="FF6600"/>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202101</w:t>
            </w:r>
          </w:p>
        </w:tc>
        <w:tc>
          <w:tcPr>
            <w:tcW w:w="1985"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南方宝元债券</w:t>
            </w:r>
          </w:p>
        </w:tc>
        <w:tc>
          <w:tcPr>
            <w:tcW w:w="709" w:type="dxa"/>
            <w:tcBorders>
              <w:left w:val="single" w:sz="6" w:space="0" w:color="FF6600"/>
              <w:right w:val="single" w:sz="6" w:space="0" w:color="FF6600"/>
            </w:tcBorders>
            <w:vAlign w:val="center"/>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开放式</w:t>
            </w:r>
          </w:p>
        </w:tc>
        <w:tc>
          <w:tcPr>
            <w:tcW w:w="850" w:type="dxa"/>
            <w:tcBorders>
              <w:lef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1.38</w:t>
            </w:r>
          </w:p>
        </w:tc>
      </w:tr>
      <w:tr w:rsidR="00E96BC3" w:rsidRPr="00F605BC" w:rsidTr="00F2772B">
        <w:trPr>
          <w:cantSplit/>
          <w:trHeight w:val="227"/>
        </w:trPr>
        <w:tc>
          <w:tcPr>
            <w:tcW w:w="851" w:type="dxa"/>
            <w:vMerge/>
            <w:tcBorders>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560002</w:t>
            </w:r>
          </w:p>
        </w:tc>
        <w:tc>
          <w:tcPr>
            <w:tcW w:w="2268"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益民红利成长</w:t>
            </w:r>
          </w:p>
        </w:tc>
        <w:tc>
          <w:tcPr>
            <w:tcW w:w="850" w:type="dxa"/>
            <w:tcBorders>
              <w:left w:val="single" w:sz="6" w:space="0" w:color="FF6600"/>
              <w:right w:val="single" w:sz="6" w:space="0" w:color="FF6600"/>
            </w:tcBorders>
            <w:vAlign w:val="center"/>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3.05</w:t>
            </w:r>
          </w:p>
        </w:tc>
        <w:tc>
          <w:tcPr>
            <w:tcW w:w="992" w:type="dxa"/>
            <w:vMerge/>
            <w:tcBorders>
              <w:left w:val="single" w:sz="6" w:space="0" w:color="FF6600"/>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000007</w:t>
            </w:r>
          </w:p>
        </w:tc>
        <w:tc>
          <w:tcPr>
            <w:tcW w:w="1985"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鹏华国有企业债</w:t>
            </w:r>
          </w:p>
        </w:tc>
        <w:tc>
          <w:tcPr>
            <w:tcW w:w="709" w:type="dxa"/>
            <w:tcBorders>
              <w:left w:val="single" w:sz="6" w:space="0" w:color="FF6600"/>
              <w:right w:val="single" w:sz="6" w:space="0" w:color="FF6600"/>
            </w:tcBorders>
            <w:vAlign w:val="center"/>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开放式</w:t>
            </w:r>
          </w:p>
        </w:tc>
        <w:tc>
          <w:tcPr>
            <w:tcW w:w="850" w:type="dxa"/>
            <w:tcBorders>
              <w:lef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1.36</w:t>
            </w:r>
          </w:p>
        </w:tc>
      </w:tr>
      <w:tr w:rsidR="00E96BC3" w:rsidRPr="00F605BC" w:rsidTr="00F2772B">
        <w:trPr>
          <w:cantSplit/>
          <w:trHeight w:val="227"/>
        </w:trPr>
        <w:tc>
          <w:tcPr>
            <w:tcW w:w="851" w:type="dxa"/>
            <w:vMerge w:val="restart"/>
            <w:tcBorders>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b/>
                <w:bCs/>
                <w:color w:val="000000"/>
                <w:sz w:val="18"/>
                <w:szCs w:val="18"/>
              </w:rPr>
            </w:pPr>
            <w:r w:rsidRPr="00F605BC">
              <w:rPr>
                <w:rFonts w:ascii="楷体" w:eastAsia="楷体" w:hAnsi="楷体" w:hint="eastAsia"/>
                <w:b/>
                <w:bCs/>
                <w:color w:val="000000"/>
                <w:sz w:val="18"/>
                <w:szCs w:val="18"/>
              </w:rPr>
              <w:t>混合</w:t>
            </w:r>
            <w:r w:rsidRPr="00F605BC">
              <w:rPr>
                <w:rFonts w:ascii="楷体" w:eastAsia="楷体" w:hAnsi="楷体"/>
                <w:b/>
                <w:bCs/>
                <w:color w:val="000000"/>
                <w:sz w:val="18"/>
                <w:szCs w:val="18"/>
              </w:rPr>
              <w:t>-</w:t>
            </w:r>
          </w:p>
          <w:p w:rsidR="00E96BC3" w:rsidRPr="00F605BC" w:rsidRDefault="00E96BC3" w:rsidP="006E677E">
            <w:pPr>
              <w:snapToGrid w:val="0"/>
              <w:jc w:val="center"/>
              <w:rPr>
                <w:rFonts w:ascii="楷体" w:eastAsia="楷体" w:hAnsi="楷体"/>
                <w:b/>
                <w:sz w:val="18"/>
                <w:szCs w:val="18"/>
              </w:rPr>
            </w:pPr>
            <w:r w:rsidRPr="00F605BC">
              <w:rPr>
                <w:rFonts w:ascii="楷体" w:eastAsia="楷体" w:hAnsi="楷体" w:hint="eastAsia"/>
                <w:b/>
                <w:bCs/>
                <w:color w:val="000000"/>
                <w:sz w:val="18"/>
                <w:szCs w:val="18"/>
              </w:rPr>
              <w:t>偏债型</w:t>
            </w: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110001</w:t>
            </w:r>
          </w:p>
        </w:tc>
        <w:tc>
          <w:tcPr>
            <w:tcW w:w="2268"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易方达平稳增长</w:t>
            </w:r>
          </w:p>
        </w:tc>
        <w:tc>
          <w:tcPr>
            <w:tcW w:w="850" w:type="dxa"/>
            <w:tcBorders>
              <w:left w:val="single" w:sz="6" w:space="0" w:color="FF6600"/>
              <w:right w:val="single" w:sz="6" w:space="0" w:color="FF6600"/>
            </w:tcBorders>
            <w:vAlign w:val="center"/>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3.00</w:t>
            </w:r>
          </w:p>
        </w:tc>
        <w:tc>
          <w:tcPr>
            <w:tcW w:w="992" w:type="dxa"/>
            <w:vMerge w:val="restart"/>
            <w:tcBorders>
              <w:left w:val="single" w:sz="6" w:space="0" w:color="FF6600"/>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b/>
                <w:bCs/>
                <w:color w:val="000000"/>
                <w:sz w:val="18"/>
                <w:szCs w:val="18"/>
              </w:rPr>
            </w:pPr>
            <w:r w:rsidRPr="00F605BC">
              <w:rPr>
                <w:rFonts w:ascii="楷体" w:eastAsia="楷体" w:hAnsi="楷体" w:hint="eastAsia"/>
                <w:b/>
                <w:bCs/>
                <w:color w:val="000000"/>
                <w:sz w:val="18"/>
                <w:szCs w:val="18"/>
              </w:rPr>
              <w:t>债券</w:t>
            </w:r>
            <w:r w:rsidRPr="00F605BC">
              <w:rPr>
                <w:rFonts w:ascii="楷体" w:eastAsia="楷体" w:hAnsi="楷体"/>
                <w:b/>
                <w:bCs/>
                <w:color w:val="000000"/>
                <w:sz w:val="18"/>
                <w:szCs w:val="18"/>
              </w:rPr>
              <w:t>-</w:t>
            </w:r>
          </w:p>
          <w:p w:rsidR="00E96BC3" w:rsidRPr="005B7CDB" w:rsidRDefault="00E96BC3" w:rsidP="006E677E">
            <w:pPr>
              <w:snapToGrid w:val="0"/>
              <w:jc w:val="center"/>
              <w:rPr>
                <w:rFonts w:ascii="楷体" w:eastAsia="楷体" w:hAnsi="楷体" w:cs="宋体"/>
                <w:b/>
                <w:bCs/>
                <w:color w:val="000000"/>
                <w:sz w:val="18"/>
                <w:szCs w:val="18"/>
              </w:rPr>
            </w:pPr>
            <w:r w:rsidRPr="00F605BC">
              <w:rPr>
                <w:rFonts w:ascii="楷体" w:eastAsia="楷体" w:hAnsi="楷体" w:hint="eastAsia"/>
                <w:b/>
                <w:bCs/>
                <w:color w:val="000000"/>
                <w:sz w:val="18"/>
                <w:szCs w:val="18"/>
              </w:rPr>
              <w:t>理财债基</w:t>
            </w:r>
          </w:p>
        </w:tc>
        <w:tc>
          <w:tcPr>
            <w:tcW w:w="850"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200017</w:t>
            </w:r>
          </w:p>
        </w:tc>
        <w:tc>
          <w:tcPr>
            <w:tcW w:w="1985"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长城岁岁金理财</w:t>
            </w:r>
          </w:p>
        </w:tc>
        <w:tc>
          <w:tcPr>
            <w:tcW w:w="709" w:type="dxa"/>
            <w:tcBorders>
              <w:left w:val="single" w:sz="6" w:space="0" w:color="FF6600"/>
              <w:right w:val="single" w:sz="6" w:space="0" w:color="FF6600"/>
            </w:tcBorders>
            <w:vAlign w:val="center"/>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开放式</w:t>
            </w:r>
          </w:p>
        </w:tc>
        <w:tc>
          <w:tcPr>
            <w:tcW w:w="850" w:type="dxa"/>
            <w:tcBorders>
              <w:lef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0.19</w:t>
            </w:r>
          </w:p>
        </w:tc>
      </w:tr>
      <w:tr w:rsidR="00E96BC3" w:rsidRPr="00F605BC" w:rsidTr="00F2772B">
        <w:trPr>
          <w:cantSplit/>
          <w:trHeight w:val="227"/>
        </w:trPr>
        <w:tc>
          <w:tcPr>
            <w:tcW w:w="851" w:type="dxa"/>
            <w:vMerge/>
            <w:tcBorders>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000571</w:t>
            </w:r>
          </w:p>
        </w:tc>
        <w:tc>
          <w:tcPr>
            <w:tcW w:w="2268"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中邮双动力</w:t>
            </w:r>
          </w:p>
        </w:tc>
        <w:tc>
          <w:tcPr>
            <w:tcW w:w="850" w:type="dxa"/>
            <w:tcBorders>
              <w:left w:val="single" w:sz="6" w:space="0" w:color="FF6600"/>
              <w:right w:val="single" w:sz="6" w:space="0" w:color="FF6600"/>
            </w:tcBorders>
            <w:vAlign w:val="center"/>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1.76</w:t>
            </w:r>
          </w:p>
        </w:tc>
        <w:tc>
          <w:tcPr>
            <w:tcW w:w="992" w:type="dxa"/>
            <w:vMerge/>
            <w:tcBorders>
              <w:left w:val="single" w:sz="6" w:space="0" w:color="FF6600"/>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000611</w:t>
            </w:r>
          </w:p>
        </w:tc>
        <w:tc>
          <w:tcPr>
            <w:tcW w:w="1985"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长城淘金一年期理财</w:t>
            </w:r>
          </w:p>
        </w:tc>
        <w:tc>
          <w:tcPr>
            <w:tcW w:w="709" w:type="dxa"/>
            <w:tcBorders>
              <w:left w:val="single" w:sz="6" w:space="0" w:color="FF6600"/>
              <w:right w:val="single" w:sz="6" w:space="0" w:color="FF6600"/>
            </w:tcBorders>
            <w:vAlign w:val="center"/>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开放式</w:t>
            </w:r>
          </w:p>
        </w:tc>
        <w:tc>
          <w:tcPr>
            <w:tcW w:w="850" w:type="dxa"/>
            <w:tcBorders>
              <w:lef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0.19</w:t>
            </w:r>
          </w:p>
        </w:tc>
      </w:tr>
      <w:tr w:rsidR="00E96BC3" w:rsidRPr="00F605BC" w:rsidTr="00F2772B">
        <w:trPr>
          <w:cantSplit/>
          <w:trHeight w:val="227"/>
        </w:trPr>
        <w:tc>
          <w:tcPr>
            <w:tcW w:w="851" w:type="dxa"/>
            <w:vMerge/>
            <w:tcBorders>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450001</w:t>
            </w:r>
          </w:p>
        </w:tc>
        <w:tc>
          <w:tcPr>
            <w:tcW w:w="2268"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国富中国收益</w:t>
            </w:r>
          </w:p>
        </w:tc>
        <w:tc>
          <w:tcPr>
            <w:tcW w:w="850" w:type="dxa"/>
            <w:tcBorders>
              <w:left w:val="single" w:sz="6" w:space="0" w:color="FF6600"/>
              <w:right w:val="single" w:sz="6" w:space="0" w:color="FF6600"/>
            </w:tcBorders>
            <w:vAlign w:val="center"/>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1.49</w:t>
            </w:r>
          </w:p>
        </w:tc>
        <w:tc>
          <w:tcPr>
            <w:tcW w:w="992" w:type="dxa"/>
            <w:vMerge/>
            <w:tcBorders>
              <w:left w:val="single" w:sz="6" w:space="0" w:color="FF6600"/>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471014</w:t>
            </w:r>
          </w:p>
        </w:tc>
        <w:tc>
          <w:tcPr>
            <w:tcW w:w="1985"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汇添富理财</w:t>
            </w:r>
            <w:r w:rsidRPr="00F605BC">
              <w:rPr>
                <w:rFonts w:ascii="楷体" w:eastAsia="楷体" w:hAnsi="楷体"/>
                <w:color w:val="000000"/>
                <w:sz w:val="18"/>
                <w:szCs w:val="18"/>
              </w:rPr>
              <w:t>14</w:t>
            </w:r>
            <w:r w:rsidRPr="00F605BC">
              <w:rPr>
                <w:rFonts w:ascii="楷体" w:eastAsia="楷体" w:hAnsi="楷体" w:hint="eastAsia"/>
                <w:color w:val="000000"/>
                <w:sz w:val="18"/>
                <w:szCs w:val="18"/>
              </w:rPr>
              <w:t>天</w:t>
            </w:r>
            <w:r w:rsidRPr="00F605BC">
              <w:rPr>
                <w:rFonts w:ascii="楷体" w:eastAsia="楷体" w:hAnsi="楷体"/>
                <w:color w:val="000000"/>
                <w:sz w:val="18"/>
                <w:szCs w:val="18"/>
              </w:rPr>
              <w:t>B</w:t>
            </w:r>
          </w:p>
        </w:tc>
        <w:tc>
          <w:tcPr>
            <w:tcW w:w="709" w:type="dxa"/>
            <w:tcBorders>
              <w:left w:val="single" w:sz="6" w:space="0" w:color="FF6600"/>
              <w:right w:val="single" w:sz="6" w:space="0" w:color="FF6600"/>
            </w:tcBorders>
            <w:vAlign w:val="center"/>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开放式</w:t>
            </w:r>
          </w:p>
        </w:tc>
        <w:tc>
          <w:tcPr>
            <w:tcW w:w="850" w:type="dxa"/>
            <w:tcBorders>
              <w:lef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0.14</w:t>
            </w:r>
          </w:p>
        </w:tc>
      </w:tr>
      <w:tr w:rsidR="00E96BC3" w:rsidRPr="00F605BC" w:rsidTr="00F2772B">
        <w:trPr>
          <w:cantSplit/>
          <w:trHeight w:val="227"/>
        </w:trPr>
        <w:tc>
          <w:tcPr>
            <w:tcW w:w="851" w:type="dxa"/>
            <w:vMerge w:val="restart"/>
            <w:tcBorders>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b/>
                <w:bCs/>
                <w:color w:val="000000"/>
                <w:sz w:val="18"/>
                <w:szCs w:val="18"/>
              </w:rPr>
            </w:pPr>
            <w:r w:rsidRPr="00F605BC">
              <w:rPr>
                <w:rFonts w:ascii="楷体" w:eastAsia="楷体" w:hAnsi="楷体" w:hint="eastAsia"/>
                <w:b/>
                <w:bCs/>
                <w:color w:val="000000"/>
                <w:sz w:val="18"/>
                <w:szCs w:val="18"/>
              </w:rPr>
              <w:t>混合</w:t>
            </w:r>
            <w:r w:rsidRPr="00F605BC">
              <w:rPr>
                <w:rFonts w:ascii="楷体" w:eastAsia="楷体" w:hAnsi="楷体"/>
                <w:b/>
                <w:bCs/>
                <w:color w:val="000000"/>
                <w:sz w:val="18"/>
                <w:szCs w:val="18"/>
              </w:rPr>
              <w:t>-</w:t>
            </w:r>
          </w:p>
          <w:p w:rsidR="00E96BC3" w:rsidRPr="00F605BC" w:rsidRDefault="00E96BC3" w:rsidP="006E677E">
            <w:pPr>
              <w:snapToGrid w:val="0"/>
              <w:jc w:val="center"/>
              <w:rPr>
                <w:rFonts w:ascii="楷体" w:eastAsia="楷体" w:hAnsi="楷体"/>
                <w:b/>
                <w:sz w:val="18"/>
                <w:szCs w:val="18"/>
              </w:rPr>
            </w:pPr>
            <w:r w:rsidRPr="00F605BC">
              <w:rPr>
                <w:rFonts w:ascii="楷体" w:eastAsia="楷体" w:hAnsi="楷体" w:hint="eastAsia"/>
                <w:b/>
                <w:bCs/>
                <w:color w:val="000000"/>
                <w:sz w:val="18"/>
                <w:szCs w:val="18"/>
              </w:rPr>
              <w:t>灵活型</w:t>
            </w: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340008</w:t>
            </w:r>
          </w:p>
        </w:tc>
        <w:tc>
          <w:tcPr>
            <w:tcW w:w="2268"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兴全有机增长</w:t>
            </w:r>
          </w:p>
        </w:tc>
        <w:tc>
          <w:tcPr>
            <w:tcW w:w="850" w:type="dxa"/>
            <w:tcBorders>
              <w:left w:val="single" w:sz="6" w:space="0" w:color="FF6600"/>
              <w:right w:val="single" w:sz="6" w:space="0" w:color="FF6600"/>
            </w:tcBorders>
            <w:vAlign w:val="center"/>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6.59</w:t>
            </w:r>
          </w:p>
        </w:tc>
        <w:tc>
          <w:tcPr>
            <w:tcW w:w="992" w:type="dxa"/>
            <w:vMerge w:val="restart"/>
            <w:tcBorders>
              <w:left w:val="single" w:sz="6" w:space="0" w:color="FF6600"/>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b/>
                <w:bCs/>
                <w:color w:val="000000"/>
                <w:sz w:val="18"/>
                <w:szCs w:val="18"/>
              </w:rPr>
            </w:pPr>
            <w:r w:rsidRPr="00F605BC">
              <w:rPr>
                <w:rFonts w:ascii="楷体" w:eastAsia="楷体" w:hAnsi="楷体" w:hint="eastAsia"/>
                <w:b/>
                <w:bCs/>
                <w:color w:val="000000"/>
                <w:sz w:val="18"/>
                <w:szCs w:val="18"/>
              </w:rPr>
              <w:t>债券</w:t>
            </w:r>
            <w:r w:rsidRPr="00F605BC">
              <w:rPr>
                <w:rFonts w:ascii="楷体" w:eastAsia="楷体" w:hAnsi="楷体"/>
                <w:b/>
                <w:bCs/>
                <w:color w:val="000000"/>
                <w:sz w:val="18"/>
                <w:szCs w:val="18"/>
              </w:rPr>
              <w:t>-</w:t>
            </w:r>
          </w:p>
          <w:p w:rsidR="00E96BC3" w:rsidRPr="005B7CDB" w:rsidRDefault="00E96BC3" w:rsidP="006E677E">
            <w:pPr>
              <w:snapToGrid w:val="0"/>
              <w:jc w:val="center"/>
              <w:rPr>
                <w:rFonts w:ascii="楷体" w:eastAsia="楷体" w:hAnsi="楷体" w:cs="宋体"/>
                <w:b/>
                <w:bCs/>
                <w:color w:val="000000"/>
                <w:sz w:val="18"/>
                <w:szCs w:val="18"/>
              </w:rPr>
            </w:pPr>
            <w:r w:rsidRPr="00F605BC">
              <w:rPr>
                <w:rFonts w:ascii="楷体" w:eastAsia="楷体" w:hAnsi="楷体" w:hint="eastAsia"/>
                <w:b/>
                <w:bCs/>
                <w:color w:val="000000"/>
                <w:sz w:val="18"/>
                <w:szCs w:val="18"/>
              </w:rPr>
              <w:t>指数债基</w:t>
            </w:r>
          </w:p>
        </w:tc>
        <w:tc>
          <w:tcPr>
            <w:tcW w:w="850"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510080</w:t>
            </w:r>
          </w:p>
        </w:tc>
        <w:tc>
          <w:tcPr>
            <w:tcW w:w="1985"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长盛中信全债</w:t>
            </w:r>
          </w:p>
        </w:tc>
        <w:tc>
          <w:tcPr>
            <w:tcW w:w="709" w:type="dxa"/>
            <w:tcBorders>
              <w:left w:val="single" w:sz="6" w:space="0" w:color="FF6600"/>
              <w:right w:val="single" w:sz="6" w:space="0" w:color="FF6600"/>
            </w:tcBorders>
            <w:vAlign w:val="center"/>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开放式</w:t>
            </w:r>
          </w:p>
        </w:tc>
        <w:tc>
          <w:tcPr>
            <w:tcW w:w="850" w:type="dxa"/>
            <w:tcBorders>
              <w:lef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0.26</w:t>
            </w:r>
          </w:p>
        </w:tc>
      </w:tr>
      <w:tr w:rsidR="00E96BC3" w:rsidRPr="00F605BC" w:rsidTr="00F2772B">
        <w:trPr>
          <w:cantSplit/>
          <w:trHeight w:val="227"/>
        </w:trPr>
        <w:tc>
          <w:tcPr>
            <w:tcW w:w="851" w:type="dxa"/>
            <w:vMerge/>
            <w:tcBorders>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180020</w:t>
            </w:r>
          </w:p>
        </w:tc>
        <w:tc>
          <w:tcPr>
            <w:tcW w:w="2268"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银华成长先锋</w:t>
            </w:r>
          </w:p>
        </w:tc>
        <w:tc>
          <w:tcPr>
            <w:tcW w:w="850" w:type="dxa"/>
            <w:tcBorders>
              <w:left w:val="single" w:sz="6" w:space="0" w:color="FF6600"/>
              <w:right w:val="single" w:sz="6" w:space="0" w:color="FF6600"/>
            </w:tcBorders>
            <w:vAlign w:val="center"/>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5.91</w:t>
            </w:r>
          </w:p>
        </w:tc>
        <w:tc>
          <w:tcPr>
            <w:tcW w:w="992" w:type="dxa"/>
            <w:vMerge/>
            <w:tcBorders>
              <w:left w:val="single" w:sz="6" w:space="0" w:color="FF6600"/>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161120</w:t>
            </w:r>
          </w:p>
        </w:tc>
        <w:tc>
          <w:tcPr>
            <w:tcW w:w="1985"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易方达中债新综合</w:t>
            </w:r>
            <w:r w:rsidRPr="00F605BC">
              <w:rPr>
                <w:rFonts w:ascii="楷体" w:eastAsia="楷体" w:hAnsi="楷体"/>
                <w:color w:val="000000"/>
                <w:sz w:val="18"/>
                <w:szCs w:val="18"/>
              </w:rPr>
              <w:t>C</w:t>
            </w:r>
          </w:p>
        </w:tc>
        <w:tc>
          <w:tcPr>
            <w:tcW w:w="709" w:type="dxa"/>
            <w:tcBorders>
              <w:left w:val="single" w:sz="6" w:space="0" w:color="FF6600"/>
              <w:right w:val="single" w:sz="6" w:space="0" w:color="FF6600"/>
            </w:tcBorders>
            <w:vAlign w:val="center"/>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开放式</w:t>
            </w:r>
          </w:p>
        </w:tc>
        <w:tc>
          <w:tcPr>
            <w:tcW w:w="850" w:type="dxa"/>
            <w:tcBorders>
              <w:lef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0.01</w:t>
            </w:r>
          </w:p>
        </w:tc>
      </w:tr>
      <w:tr w:rsidR="00E96BC3" w:rsidRPr="00F605BC" w:rsidTr="00F2772B">
        <w:trPr>
          <w:cantSplit/>
          <w:trHeight w:val="227"/>
        </w:trPr>
        <w:tc>
          <w:tcPr>
            <w:tcW w:w="851" w:type="dxa"/>
            <w:vMerge/>
            <w:tcBorders>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233008</w:t>
            </w:r>
          </w:p>
        </w:tc>
        <w:tc>
          <w:tcPr>
            <w:tcW w:w="2268"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大摩消费领航</w:t>
            </w:r>
          </w:p>
        </w:tc>
        <w:tc>
          <w:tcPr>
            <w:tcW w:w="850" w:type="dxa"/>
            <w:tcBorders>
              <w:left w:val="single" w:sz="6" w:space="0" w:color="FF6600"/>
              <w:right w:val="single" w:sz="6" w:space="0" w:color="FF6600"/>
            </w:tcBorders>
            <w:vAlign w:val="center"/>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5.86</w:t>
            </w:r>
          </w:p>
        </w:tc>
        <w:tc>
          <w:tcPr>
            <w:tcW w:w="992" w:type="dxa"/>
            <w:vMerge/>
            <w:tcBorders>
              <w:left w:val="single" w:sz="6" w:space="0" w:color="FF6600"/>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161119</w:t>
            </w:r>
          </w:p>
        </w:tc>
        <w:tc>
          <w:tcPr>
            <w:tcW w:w="1985"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易方达中债新综合</w:t>
            </w:r>
            <w:r w:rsidRPr="00F605BC">
              <w:rPr>
                <w:rFonts w:ascii="楷体" w:eastAsia="楷体" w:hAnsi="楷体"/>
                <w:color w:val="000000"/>
                <w:sz w:val="18"/>
                <w:szCs w:val="18"/>
              </w:rPr>
              <w:t>A</w:t>
            </w:r>
          </w:p>
        </w:tc>
        <w:tc>
          <w:tcPr>
            <w:tcW w:w="709" w:type="dxa"/>
            <w:tcBorders>
              <w:left w:val="single" w:sz="6" w:space="0" w:color="FF6600"/>
              <w:right w:val="single" w:sz="6" w:space="0" w:color="FF6600"/>
            </w:tcBorders>
            <w:vAlign w:val="center"/>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开放式</w:t>
            </w:r>
          </w:p>
        </w:tc>
        <w:tc>
          <w:tcPr>
            <w:tcW w:w="850" w:type="dxa"/>
            <w:tcBorders>
              <w:lef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0.00</w:t>
            </w:r>
          </w:p>
        </w:tc>
      </w:tr>
      <w:tr w:rsidR="00E96BC3" w:rsidRPr="00F605BC" w:rsidTr="00F2772B">
        <w:trPr>
          <w:cantSplit/>
          <w:trHeight w:val="227"/>
        </w:trPr>
        <w:tc>
          <w:tcPr>
            <w:tcW w:w="851" w:type="dxa"/>
            <w:vMerge w:val="restart"/>
            <w:tcBorders>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b/>
                <w:sz w:val="18"/>
                <w:szCs w:val="18"/>
              </w:rPr>
            </w:pPr>
            <w:r w:rsidRPr="00F605BC">
              <w:rPr>
                <w:rFonts w:ascii="楷体" w:eastAsia="楷体" w:hAnsi="楷体"/>
                <w:b/>
                <w:sz w:val="18"/>
                <w:szCs w:val="18"/>
              </w:rPr>
              <w:t>QDII</w:t>
            </w: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162411</w:t>
            </w:r>
          </w:p>
        </w:tc>
        <w:tc>
          <w:tcPr>
            <w:tcW w:w="2268"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华宝兴业标普油气</w:t>
            </w:r>
          </w:p>
        </w:tc>
        <w:tc>
          <w:tcPr>
            <w:tcW w:w="850" w:type="dxa"/>
            <w:tcBorders>
              <w:left w:val="single" w:sz="6" w:space="0" w:color="FF6600"/>
              <w:right w:val="single" w:sz="6" w:space="0" w:color="FF6600"/>
            </w:tcBorders>
            <w:vAlign w:val="center"/>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3.39</w:t>
            </w:r>
          </w:p>
        </w:tc>
        <w:tc>
          <w:tcPr>
            <w:tcW w:w="992" w:type="dxa"/>
            <w:vMerge w:val="restart"/>
            <w:tcBorders>
              <w:left w:val="single" w:sz="6" w:space="0" w:color="FF6600"/>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b/>
                <w:bCs/>
                <w:color w:val="000000"/>
                <w:sz w:val="18"/>
                <w:szCs w:val="18"/>
              </w:rPr>
            </w:pPr>
            <w:r w:rsidRPr="00F605BC">
              <w:rPr>
                <w:rFonts w:ascii="楷体" w:eastAsia="楷体" w:hAnsi="楷体" w:hint="eastAsia"/>
                <w:b/>
                <w:bCs/>
                <w:color w:val="000000"/>
                <w:sz w:val="18"/>
                <w:szCs w:val="18"/>
              </w:rPr>
              <w:t>债券</w:t>
            </w:r>
            <w:r w:rsidRPr="00F605BC">
              <w:rPr>
                <w:rFonts w:ascii="楷体" w:eastAsia="楷体" w:hAnsi="楷体"/>
                <w:b/>
                <w:bCs/>
                <w:color w:val="000000"/>
                <w:sz w:val="18"/>
                <w:szCs w:val="18"/>
              </w:rPr>
              <w:t>-</w:t>
            </w:r>
          </w:p>
          <w:p w:rsidR="00E96BC3" w:rsidRPr="005B7CDB" w:rsidRDefault="00E96BC3" w:rsidP="006E677E">
            <w:pPr>
              <w:snapToGrid w:val="0"/>
              <w:jc w:val="center"/>
              <w:rPr>
                <w:rFonts w:ascii="楷体" w:eastAsia="楷体" w:hAnsi="楷体" w:cs="宋体"/>
                <w:b/>
                <w:bCs/>
                <w:color w:val="000000"/>
                <w:sz w:val="18"/>
                <w:szCs w:val="18"/>
              </w:rPr>
            </w:pPr>
            <w:r w:rsidRPr="00F605BC">
              <w:rPr>
                <w:rFonts w:ascii="楷体" w:eastAsia="楷体" w:hAnsi="楷体" w:hint="eastAsia"/>
                <w:b/>
                <w:bCs/>
                <w:color w:val="000000"/>
                <w:sz w:val="18"/>
                <w:szCs w:val="18"/>
              </w:rPr>
              <w:t>可转债基</w:t>
            </w:r>
          </w:p>
        </w:tc>
        <w:tc>
          <w:tcPr>
            <w:tcW w:w="850"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470059</w:t>
            </w:r>
          </w:p>
        </w:tc>
        <w:tc>
          <w:tcPr>
            <w:tcW w:w="1985"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汇添富可转债</w:t>
            </w:r>
            <w:r w:rsidRPr="00F605BC">
              <w:rPr>
                <w:rFonts w:ascii="楷体" w:eastAsia="楷体" w:hAnsi="楷体"/>
                <w:color w:val="000000"/>
                <w:sz w:val="18"/>
                <w:szCs w:val="18"/>
              </w:rPr>
              <w:t>C</w:t>
            </w:r>
          </w:p>
        </w:tc>
        <w:tc>
          <w:tcPr>
            <w:tcW w:w="709" w:type="dxa"/>
            <w:tcBorders>
              <w:left w:val="single" w:sz="6" w:space="0" w:color="FF6600"/>
              <w:right w:val="single" w:sz="6" w:space="0" w:color="FF6600"/>
            </w:tcBorders>
            <w:vAlign w:val="center"/>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开放式</w:t>
            </w:r>
          </w:p>
        </w:tc>
        <w:tc>
          <w:tcPr>
            <w:tcW w:w="850" w:type="dxa"/>
            <w:tcBorders>
              <w:lef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1.00</w:t>
            </w:r>
          </w:p>
        </w:tc>
      </w:tr>
      <w:tr w:rsidR="00E96BC3" w:rsidRPr="00F605BC" w:rsidTr="00F2772B">
        <w:trPr>
          <w:cantSplit/>
          <w:trHeight w:val="227"/>
        </w:trPr>
        <w:tc>
          <w:tcPr>
            <w:tcW w:w="851" w:type="dxa"/>
            <w:vMerge/>
            <w:tcBorders>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b/>
                <w:color w:val="FF0000"/>
                <w:sz w:val="18"/>
                <w:szCs w:val="18"/>
              </w:rPr>
            </w:pP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164701</w:t>
            </w:r>
          </w:p>
        </w:tc>
        <w:tc>
          <w:tcPr>
            <w:tcW w:w="2268"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汇添富黄金及贵金属</w:t>
            </w:r>
          </w:p>
        </w:tc>
        <w:tc>
          <w:tcPr>
            <w:tcW w:w="850" w:type="dxa"/>
            <w:tcBorders>
              <w:left w:val="single" w:sz="6" w:space="0" w:color="FF6600"/>
              <w:right w:val="single" w:sz="6" w:space="0" w:color="FF6600"/>
            </w:tcBorders>
            <w:vAlign w:val="center"/>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2.62</w:t>
            </w:r>
          </w:p>
        </w:tc>
        <w:tc>
          <w:tcPr>
            <w:tcW w:w="992" w:type="dxa"/>
            <w:vMerge/>
            <w:tcBorders>
              <w:left w:val="single" w:sz="6" w:space="0" w:color="FF6600"/>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470058</w:t>
            </w:r>
          </w:p>
        </w:tc>
        <w:tc>
          <w:tcPr>
            <w:tcW w:w="1985"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汇添富可转债</w:t>
            </w:r>
            <w:r w:rsidRPr="00F605BC">
              <w:rPr>
                <w:rFonts w:ascii="楷体" w:eastAsia="楷体" w:hAnsi="楷体"/>
                <w:color w:val="000000"/>
                <w:sz w:val="18"/>
                <w:szCs w:val="18"/>
              </w:rPr>
              <w:t>A</w:t>
            </w:r>
          </w:p>
        </w:tc>
        <w:tc>
          <w:tcPr>
            <w:tcW w:w="709" w:type="dxa"/>
            <w:tcBorders>
              <w:left w:val="single" w:sz="6" w:space="0" w:color="FF6600"/>
              <w:right w:val="single" w:sz="6" w:space="0" w:color="FF6600"/>
            </w:tcBorders>
            <w:vAlign w:val="center"/>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开放式</w:t>
            </w:r>
          </w:p>
        </w:tc>
        <w:tc>
          <w:tcPr>
            <w:tcW w:w="850" w:type="dxa"/>
            <w:tcBorders>
              <w:lef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0.98</w:t>
            </w:r>
          </w:p>
        </w:tc>
      </w:tr>
      <w:tr w:rsidR="00E96BC3" w:rsidRPr="00F605BC" w:rsidTr="00F2772B">
        <w:trPr>
          <w:cantSplit/>
          <w:trHeight w:val="227"/>
        </w:trPr>
        <w:tc>
          <w:tcPr>
            <w:tcW w:w="851" w:type="dxa"/>
            <w:vMerge/>
            <w:tcBorders>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b/>
                <w:color w:val="FF0000"/>
                <w:sz w:val="18"/>
                <w:szCs w:val="18"/>
              </w:rPr>
            </w:pP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000193</w:t>
            </w:r>
          </w:p>
        </w:tc>
        <w:tc>
          <w:tcPr>
            <w:tcW w:w="2268"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国泰美国房地产开发</w:t>
            </w:r>
          </w:p>
        </w:tc>
        <w:tc>
          <w:tcPr>
            <w:tcW w:w="850" w:type="dxa"/>
            <w:tcBorders>
              <w:left w:val="single" w:sz="6" w:space="0" w:color="FF6600"/>
              <w:right w:val="single" w:sz="6" w:space="0" w:color="FF6600"/>
            </w:tcBorders>
            <w:vAlign w:val="center"/>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2.49</w:t>
            </w:r>
          </w:p>
        </w:tc>
        <w:tc>
          <w:tcPr>
            <w:tcW w:w="992" w:type="dxa"/>
            <w:vMerge/>
            <w:tcBorders>
              <w:left w:val="single" w:sz="6" w:space="0" w:color="FF6600"/>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000004</w:t>
            </w:r>
          </w:p>
        </w:tc>
        <w:tc>
          <w:tcPr>
            <w:tcW w:w="1985"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中海可转换债券</w:t>
            </w:r>
            <w:r w:rsidRPr="00F605BC">
              <w:rPr>
                <w:rFonts w:ascii="楷体" w:eastAsia="楷体" w:hAnsi="楷体"/>
                <w:color w:val="000000"/>
                <w:sz w:val="18"/>
                <w:szCs w:val="18"/>
              </w:rPr>
              <w:t>C</w:t>
            </w:r>
          </w:p>
        </w:tc>
        <w:tc>
          <w:tcPr>
            <w:tcW w:w="709" w:type="dxa"/>
            <w:tcBorders>
              <w:left w:val="single" w:sz="6" w:space="0" w:color="FF6600"/>
              <w:right w:val="single" w:sz="6" w:space="0" w:color="FF6600"/>
            </w:tcBorders>
            <w:vAlign w:val="center"/>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开放式</w:t>
            </w:r>
          </w:p>
        </w:tc>
        <w:tc>
          <w:tcPr>
            <w:tcW w:w="850" w:type="dxa"/>
            <w:tcBorders>
              <w:lef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0.79</w:t>
            </w:r>
          </w:p>
        </w:tc>
      </w:tr>
      <w:tr w:rsidR="00E96BC3" w:rsidRPr="00F605BC" w:rsidTr="00F2772B">
        <w:trPr>
          <w:cantSplit/>
          <w:trHeight w:val="227"/>
        </w:trPr>
        <w:tc>
          <w:tcPr>
            <w:tcW w:w="851" w:type="dxa"/>
            <w:vMerge w:val="restart"/>
            <w:tcBorders>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b/>
                <w:sz w:val="18"/>
                <w:szCs w:val="18"/>
              </w:rPr>
            </w:pPr>
            <w:r w:rsidRPr="00F605BC">
              <w:rPr>
                <w:rFonts w:ascii="楷体" w:eastAsia="楷体" w:hAnsi="楷体" w:hint="eastAsia"/>
                <w:b/>
                <w:sz w:val="18"/>
                <w:szCs w:val="18"/>
              </w:rPr>
              <w:t>分级基金子份额</w:t>
            </w:r>
            <w:r w:rsidRPr="00F605BC">
              <w:rPr>
                <w:rFonts w:ascii="楷体" w:eastAsia="楷体" w:hAnsi="楷体"/>
                <w:b/>
                <w:sz w:val="18"/>
                <w:szCs w:val="18"/>
              </w:rPr>
              <w:t>-</w:t>
            </w:r>
          </w:p>
          <w:p w:rsidR="00E96BC3" w:rsidRPr="00F605BC" w:rsidRDefault="00E96BC3" w:rsidP="006E677E">
            <w:pPr>
              <w:snapToGrid w:val="0"/>
              <w:jc w:val="center"/>
              <w:rPr>
                <w:rFonts w:ascii="楷体" w:eastAsia="楷体" w:hAnsi="楷体"/>
                <w:b/>
                <w:sz w:val="18"/>
                <w:szCs w:val="18"/>
              </w:rPr>
            </w:pPr>
            <w:r w:rsidRPr="00F605BC">
              <w:rPr>
                <w:rFonts w:ascii="楷体" w:eastAsia="楷体" w:hAnsi="楷体" w:hint="eastAsia"/>
                <w:b/>
                <w:sz w:val="18"/>
                <w:szCs w:val="18"/>
              </w:rPr>
              <w:t>股票稳健</w:t>
            </w: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150016</w:t>
            </w:r>
          </w:p>
        </w:tc>
        <w:tc>
          <w:tcPr>
            <w:tcW w:w="2268"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兴全合润分级</w:t>
            </w:r>
            <w:r w:rsidRPr="00F605BC">
              <w:rPr>
                <w:rFonts w:ascii="楷体" w:eastAsia="楷体" w:hAnsi="楷体"/>
                <w:color w:val="000000"/>
                <w:sz w:val="18"/>
                <w:szCs w:val="18"/>
              </w:rPr>
              <w:t>A</w:t>
            </w:r>
          </w:p>
        </w:tc>
        <w:tc>
          <w:tcPr>
            <w:tcW w:w="850" w:type="dxa"/>
            <w:tcBorders>
              <w:left w:val="single" w:sz="6" w:space="0" w:color="FF6600"/>
              <w:right w:val="single" w:sz="6" w:space="0" w:color="FF6600"/>
            </w:tcBorders>
            <w:vAlign w:val="center"/>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0.51</w:t>
            </w:r>
          </w:p>
        </w:tc>
        <w:tc>
          <w:tcPr>
            <w:tcW w:w="992" w:type="dxa"/>
            <w:vMerge w:val="restart"/>
            <w:tcBorders>
              <w:left w:val="single" w:sz="6" w:space="0" w:color="FF6600"/>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b/>
                <w:color w:val="000000"/>
                <w:sz w:val="18"/>
                <w:szCs w:val="18"/>
              </w:rPr>
            </w:pPr>
            <w:r w:rsidRPr="00F605BC">
              <w:rPr>
                <w:rFonts w:ascii="楷体" w:eastAsia="楷体" w:hAnsi="楷体" w:hint="eastAsia"/>
                <w:b/>
                <w:color w:val="000000"/>
                <w:sz w:val="18"/>
                <w:szCs w:val="18"/>
              </w:rPr>
              <w:t>分级基金子份额</w:t>
            </w:r>
            <w:r w:rsidRPr="00F605BC">
              <w:rPr>
                <w:rFonts w:ascii="楷体" w:eastAsia="楷体" w:hAnsi="楷体"/>
                <w:b/>
                <w:color w:val="000000"/>
                <w:sz w:val="18"/>
                <w:szCs w:val="18"/>
              </w:rPr>
              <w:t>-</w:t>
            </w:r>
          </w:p>
          <w:p w:rsidR="00E96BC3" w:rsidRPr="00F605BC" w:rsidRDefault="00E96BC3" w:rsidP="006E677E">
            <w:pPr>
              <w:snapToGrid w:val="0"/>
              <w:jc w:val="center"/>
              <w:rPr>
                <w:rFonts w:ascii="楷体" w:eastAsia="楷体" w:hAnsi="楷体"/>
                <w:b/>
                <w:color w:val="000000"/>
                <w:sz w:val="18"/>
                <w:szCs w:val="18"/>
              </w:rPr>
            </w:pPr>
            <w:r w:rsidRPr="00F605BC">
              <w:rPr>
                <w:rFonts w:ascii="楷体" w:eastAsia="楷体" w:hAnsi="楷体" w:hint="eastAsia"/>
                <w:b/>
                <w:color w:val="000000"/>
                <w:sz w:val="18"/>
                <w:szCs w:val="18"/>
              </w:rPr>
              <w:t>股票积极</w:t>
            </w:r>
          </w:p>
        </w:tc>
        <w:tc>
          <w:tcPr>
            <w:tcW w:w="850"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150153</w:t>
            </w:r>
          </w:p>
        </w:tc>
        <w:tc>
          <w:tcPr>
            <w:tcW w:w="1985"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富国创业板</w:t>
            </w:r>
            <w:r w:rsidRPr="00F605BC">
              <w:rPr>
                <w:rFonts w:ascii="楷体" w:eastAsia="楷体" w:hAnsi="楷体"/>
                <w:color w:val="000000"/>
                <w:sz w:val="18"/>
                <w:szCs w:val="18"/>
              </w:rPr>
              <w:t>B</w:t>
            </w:r>
          </w:p>
        </w:tc>
        <w:tc>
          <w:tcPr>
            <w:tcW w:w="709" w:type="dxa"/>
            <w:tcBorders>
              <w:left w:val="single" w:sz="6" w:space="0" w:color="FF6600"/>
              <w:right w:val="single" w:sz="6" w:space="0" w:color="FF6600"/>
            </w:tcBorders>
            <w:vAlign w:val="center"/>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开放式</w:t>
            </w:r>
          </w:p>
        </w:tc>
        <w:tc>
          <w:tcPr>
            <w:tcW w:w="850" w:type="dxa"/>
            <w:tcBorders>
              <w:lef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8.38</w:t>
            </w:r>
          </w:p>
        </w:tc>
      </w:tr>
      <w:tr w:rsidR="00E96BC3" w:rsidRPr="00F605BC" w:rsidTr="00F2772B">
        <w:trPr>
          <w:cantSplit/>
          <w:trHeight w:val="227"/>
        </w:trPr>
        <w:tc>
          <w:tcPr>
            <w:tcW w:w="851" w:type="dxa"/>
            <w:vMerge/>
            <w:tcBorders>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150069</w:t>
            </w:r>
          </w:p>
        </w:tc>
        <w:tc>
          <w:tcPr>
            <w:tcW w:w="2268"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国联安双力中小板</w:t>
            </w:r>
            <w:r w:rsidRPr="00F605BC">
              <w:rPr>
                <w:rFonts w:ascii="楷体" w:eastAsia="楷体" w:hAnsi="楷体"/>
                <w:color w:val="000000"/>
                <w:sz w:val="18"/>
                <w:szCs w:val="18"/>
              </w:rPr>
              <w:t>A</w:t>
            </w:r>
          </w:p>
        </w:tc>
        <w:tc>
          <w:tcPr>
            <w:tcW w:w="850" w:type="dxa"/>
            <w:tcBorders>
              <w:left w:val="single" w:sz="6" w:space="0" w:color="FF6600"/>
              <w:right w:val="single" w:sz="6" w:space="0" w:color="FF6600"/>
            </w:tcBorders>
            <w:vAlign w:val="center"/>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0.19</w:t>
            </w:r>
          </w:p>
        </w:tc>
        <w:tc>
          <w:tcPr>
            <w:tcW w:w="992" w:type="dxa"/>
            <w:vMerge/>
            <w:tcBorders>
              <w:left w:val="single" w:sz="6" w:space="0" w:color="FF6600"/>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b/>
                <w:color w:val="000000"/>
                <w:sz w:val="18"/>
                <w:szCs w:val="18"/>
              </w:rPr>
            </w:pPr>
          </w:p>
        </w:tc>
        <w:tc>
          <w:tcPr>
            <w:tcW w:w="850"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150172</w:t>
            </w:r>
          </w:p>
        </w:tc>
        <w:tc>
          <w:tcPr>
            <w:tcW w:w="1985"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申万菱信申万证券行业</w:t>
            </w:r>
            <w:r w:rsidRPr="00F605BC">
              <w:rPr>
                <w:rFonts w:ascii="楷体" w:eastAsia="楷体" w:hAnsi="楷体"/>
                <w:color w:val="000000"/>
                <w:sz w:val="18"/>
                <w:szCs w:val="18"/>
              </w:rPr>
              <w:t>B</w:t>
            </w:r>
          </w:p>
        </w:tc>
        <w:tc>
          <w:tcPr>
            <w:tcW w:w="709" w:type="dxa"/>
            <w:tcBorders>
              <w:left w:val="single" w:sz="6" w:space="0" w:color="FF6600"/>
              <w:right w:val="single" w:sz="6" w:space="0" w:color="FF6600"/>
            </w:tcBorders>
            <w:vAlign w:val="center"/>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开放式</w:t>
            </w:r>
          </w:p>
        </w:tc>
        <w:tc>
          <w:tcPr>
            <w:tcW w:w="850" w:type="dxa"/>
            <w:tcBorders>
              <w:lef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6.76</w:t>
            </w:r>
          </w:p>
        </w:tc>
      </w:tr>
      <w:tr w:rsidR="00E96BC3" w:rsidRPr="00F605BC" w:rsidTr="00F2772B">
        <w:trPr>
          <w:cantSplit/>
          <w:trHeight w:val="227"/>
        </w:trPr>
        <w:tc>
          <w:tcPr>
            <w:tcW w:w="851" w:type="dxa"/>
            <w:vMerge/>
            <w:tcBorders>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150167</w:t>
            </w:r>
          </w:p>
        </w:tc>
        <w:tc>
          <w:tcPr>
            <w:tcW w:w="2268"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银华沪深</w:t>
            </w:r>
            <w:r w:rsidRPr="00F605BC">
              <w:rPr>
                <w:rFonts w:ascii="楷体" w:eastAsia="楷体" w:hAnsi="楷体"/>
                <w:color w:val="000000"/>
                <w:sz w:val="18"/>
                <w:szCs w:val="18"/>
              </w:rPr>
              <w:t>300A</w:t>
            </w:r>
          </w:p>
        </w:tc>
        <w:tc>
          <w:tcPr>
            <w:tcW w:w="850" w:type="dxa"/>
            <w:tcBorders>
              <w:left w:val="single" w:sz="6" w:space="0" w:color="FF6600"/>
              <w:right w:val="single" w:sz="6" w:space="0" w:color="FF6600"/>
            </w:tcBorders>
            <w:vAlign w:val="center"/>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0.19</w:t>
            </w:r>
          </w:p>
        </w:tc>
        <w:tc>
          <w:tcPr>
            <w:tcW w:w="992" w:type="dxa"/>
            <w:vMerge/>
            <w:tcBorders>
              <w:left w:val="single" w:sz="6" w:space="0" w:color="FF6600"/>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b/>
                <w:color w:val="000000"/>
                <w:sz w:val="18"/>
                <w:szCs w:val="18"/>
              </w:rPr>
            </w:pPr>
          </w:p>
        </w:tc>
        <w:tc>
          <w:tcPr>
            <w:tcW w:w="850"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150048</w:t>
            </w:r>
          </w:p>
        </w:tc>
        <w:tc>
          <w:tcPr>
            <w:tcW w:w="1985"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银华瑞祥</w:t>
            </w:r>
          </w:p>
        </w:tc>
        <w:tc>
          <w:tcPr>
            <w:tcW w:w="709" w:type="dxa"/>
            <w:tcBorders>
              <w:left w:val="single" w:sz="6" w:space="0" w:color="FF6600"/>
              <w:right w:val="single" w:sz="6" w:space="0" w:color="FF6600"/>
            </w:tcBorders>
            <w:vAlign w:val="center"/>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开放式</w:t>
            </w:r>
          </w:p>
        </w:tc>
        <w:tc>
          <w:tcPr>
            <w:tcW w:w="850" w:type="dxa"/>
            <w:tcBorders>
              <w:lef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5.34</w:t>
            </w:r>
          </w:p>
        </w:tc>
      </w:tr>
      <w:tr w:rsidR="00E96BC3" w:rsidRPr="00F605BC" w:rsidTr="00F2772B">
        <w:trPr>
          <w:cantSplit/>
          <w:trHeight w:val="227"/>
        </w:trPr>
        <w:tc>
          <w:tcPr>
            <w:tcW w:w="851" w:type="dxa"/>
            <w:vMerge w:val="restart"/>
            <w:tcBorders>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b/>
                <w:sz w:val="18"/>
                <w:szCs w:val="18"/>
              </w:rPr>
            </w:pPr>
            <w:r w:rsidRPr="00F605BC">
              <w:rPr>
                <w:rFonts w:ascii="楷体" w:eastAsia="楷体" w:hAnsi="楷体" w:hint="eastAsia"/>
                <w:b/>
                <w:sz w:val="18"/>
                <w:szCs w:val="18"/>
              </w:rPr>
              <w:t>分级基金子份额</w:t>
            </w:r>
            <w:r w:rsidRPr="00F605BC">
              <w:rPr>
                <w:rFonts w:ascii="楷体" w:eastAsia="楷体" w:hAnsi="楷体"/>
                <w:b/>
                <w:sz w:val="18"/>
                <w:szCs w:val="18"/>
              </w:rPr>
              <w:t>-</w:t>
            </w:r>
          </w:p>
          <w:p w:rsidR="00E96BC3" w:rsidRPr="00F605BC" w:rsidRDefault="00E96BC3" w:rsidP="006E677E">
            <w:pPr>
              <w:snapToGrid w:val="0"/>
              <w:jc w:val="center"/>
              <w:rPr>
                <w:rFonts w:ascii="楷体" w:eastAsia="楷体" w:hAnsi="楷体"/>
                <w:b/>
                <w:sz w:val="18"/>
                <w:szCs w:val="18"/>
              </w:rPr>
            </w:pPr>
            <w:r w:rsidRPr="00F605BC">
              <w:rPr>
                <w:rFonts w:ascii="楷体" w:eastAsia="楷体" w:hAnsi="楷体" w:hint="eastAsia"/>
                <w:b/>
                <w:sz w:val="18"/>
                <w:szCs w:val="18"/>
              </w:rPr>
              <w:t>债券稳健</w:t>
            </w: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000623</w:t>
            </w:r>
          </w:p>
        </w:tc>
        <w:tc>
          <w:tcPr>
            <w:tcW w:w="2268"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华富恒财分级</w:t>
            </w:r>
            <w:r w:rsidRPr="00F605BC">
              <w:rPr>
                <w:rFonts w:ascii="楷体" w:eastAsia="楷体" w:hAnsi="楷体"/>
                <w:color w:val="000000"/>
                <w:sz w:val="18"/>
                <w:szCs w:val="18"/>
              </w:rPr>
              <w:t>A</w:t>
            </w:r>
          </w:p>
        </w:tc>
        <w:tc>
          <w:tcPr>
            <w:tcW w:w="850" w:type="dxa"/>
            <w:tcBorders>
              <w:left w:val="single" w:sz="6" w:space="0" w:color="FF6600"/>
              <w:right w:val="single" w:sz="6" w:space="0" w:color="FF6600"/>
            </w:tcBorders>
            <w:vAlign w:val="center"/>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0.20</w:t>
            </w:r>
          </w:p>
        </w:tc>
        <w:tc>
          <w:tcPr>
            <w:tcW w:w="992" w:type="dxa"/>
            <w:vMerge w:val="restart"/>
            <w:tcBorders>
              <w:left w:val="single" w:sz="6" w:space="0" w:color="FF6600"/>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b/>
                <w:color w:val="000000"/>
                <w:sz w:val="18"/>
                <w:szCs w:val="18"/>
              </w:rPr>
            </w:pPr>
            <w:r w:rsidRPr="00F605BC">
              <w:rPr>
                <w:rFonts w:ascii="楷体" w:eastAsia="楷体" w:hAnsi="楷体" w:hint="eastAsia"/>
                <w:b/>
                <w:color w:val="000000"/>
                <w:sz w:val="18"/>
                <w:szCs w:val="18"/>
              </w:rPr>
              <w:t>分级基金子份额</w:t>
            </w:r>
            <w:r w:rsidRPr="00F605BC">
              <w:rPr>
                <w:rFonts w:ascii="楷体" w:eastAsia="楷体" w:hAnsi="楷体"/>
                <w:b/>
                <w:color w:val="000000"/>
                <w:sz w:val="18"/>
                <w:szCs w:val="18"/>
              </w:rPr>
              <w:t>-</w:t>
            </w:r>
          </w:p>
          <w:p w:rsidR="00E96BC3" w:rsidRPr="00F605BC" w:rsidRDefault="00E96BC3" w:rsidP="006E677E">
            <w:pPr>
              <w:snapToGrid w:val="0"/>
              <w:jc w:val="center"/>
              <w:rPr>
                <w:rFonts w:ascii="楷体" w:eastAsia="楷体" w:hAnsi="楷体"/>
                <w:b/>
                <w:color w:val="000000"/>
                <w:sz w:val="18"/>
                <w:szCs w:val="18"/>
              </w:rPr>
            </w:pPr>
            <w:r w:rsidRPr="00F605BC">
              <w:rPr>
                <w:rFonts w:ascii="楷体" w:eastAsia="楷体" w:hAnsi="楷体" w:hint="eastAsia"/>
                <w:b/>
                <w:color w:val="000000"/>
                <w:sz w:val="18"/>
                <w:szCs w:val="18"/>
              </w:rPr>
              <w:t>债券积极</w:t>
            </w:r>
          </w:p>
        </w:tc>
        <w:tc>
          <w:tcPr>
            <w:tcW w:w="850"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000293</w:t>
            </w:r>
          </w:p>
        </w:tc>
        <w:tc>
          <w:tcPr>
            <w:tcW w:w="1985"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鹏华丰信分级</w:t>
            </w:r>
            <w:r w:rsidRPr="00F605BC">
              <w:rPr>
                <w:rFonts w:ascii="楷体" w:eastAsia="楷体" w:hAnsi="楷体"/>
                <w:color w:val="000000"/>
                <w:sz w:val="18"/>
                <w:szCs w:val="18"/>
              </w:rPr>
              <w:t>B</w:t>
            </w:r>
          </w:p>
        </w:tc>
        <w:tc>
          <w:tcPr>
            <w:tcW w:w="709" w:type="dxa"/>
            <w:tcBorders>
              <w:left w:val="single" w:sz="6" w:space="0" w:color="FF6600"/>
              <w:right w:val="single" w:sz="6" w:space="0" w:color="FF6600"/>
            </w:tcBorders>
            <w:vAlign w:val="center"/>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开放式</w:t>
            </w:r>
          </w:p>
        </w:tc>
        <w:tc>
          <w:tcPr>
            <w:tcW w:w="850" w:type="dxa"/>
            <w:tcBorders>
              <w:lef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0.66</w:t>
            </w:r>
          </w:p>
        </w:tc>
      </w:tr>
      <w:tr w:rsidR="00E96BC3" w:rsidRPr="00F605BC" w:rsidTr="00F2772B">
        <w:trPr>
          <w:cantSplit/>
          <w:trHeight w:val="227"/>
        </w:trPr>
        <w:tc>
          <w:tcPr>
            <w:tcW w:w="851" w:type="dxa"/>
            <w:vMerge/>
            <w:tcBorders>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000429</w:t>
            </w:r>
          </w:p>
        </w:tc>
        <w:tc>
          <w:tcPr>
            <w:tcW w:w="2268"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易方达聚盈</w:t>
            </w:r>
            <w:r w:rsidRPr="00F605BC">
              <w:rPr>
                <w:rFonts w:ascii="楷体" w:eastAsia="楷体" w:hAnsi="楷体"/>
                <w:color w:val="000000"/>
                <w:sz w:val="18"/>
                <w:szCs w:val="18"/>
              </w:rPr>
              <w:t>A</w:t>
            </w:r>
          </w:p>
        </w:tc>
        <w:tc>
          <w:tcPr>
            <w:tcW w:w="850" w:type="dxa"/>
            <w:tcBorders>
              <w:left w:val="single" w:sz="6" w:space="0" w:color="FF6600"/>
              <w:right w:val="single" w:sz="6" w:space="0" w:color="FF6600"/>
            </w:tcBorders>
            <w:vAlign w:val="center"/>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0.11</w:t>
            </w:r>
          </w:p>
        </w:tc>
        <w:tc>
          <w:tcPr>
            <w:tcW w:w="992" w:type="dxa"/>
            <w:vMerge/>
            <w:tcBorders>
              <w:left w:val="single" w:sz="6" w:space="0" w:color="FF6600"/>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color w:val="000000"/>
                <w:sz w:val="18"/>
                <w:szCs w:val="18"/>
              </w:rPr>
            </w:pPr>
          </w:p>
        </w:tc>
        <w:tc>
          <w:tcPr>
            <w:tcW w:w="850"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550016</w:t>
            </w:r>
          </w:p>
        </w:tc>
        <w:tc>
          <w:tcPr>
            <w:tcW w:w="1985"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信诚岁岁添金</w:t>
            </w:r>
          </w:p>
        </w:tc>
        <w:tc>
          <w:tcPr>
            <w:tcW w:w="709" w:type="dxa"/>
            <w:tcBorders>
              <w:left w:val="single" w:sz="6" w:space="0" w:color="FF6600"/>
              <w:right w:val="single" w:sz="6" w:space="0" w:color="FF6600"/>
            </w:tcBorders>
            <w:vAlign w:val="center"/>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开放式</w:t>
            </w:r>
          </w:p>
        </w:tc>
        <w:tc>
          <w:tcPr>
            <w:tcW w:w="850" w:type="dxa"/>
            <w:tcBorders>
              <w:lef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0.64</w:t>
            </w:r>
          </w:p>
        </w:tc>
      </w:tr>
      <w:tr w:rsidR="00E96BC3" w:rsidRPr="00F605BC" w:rsidTr="00F2772B">
        <w:trPr>
          <w:cantSplit/>
          <w:trHeight w:val="227"/>
        </w:trPr>
        <w:tc>
          <w:tcPr>
            <w:tcW w:w="851" w:type="dxa"/>
            <w:vMerge/>
            <w:tcBorders>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000387</w:t>
            </w:r>
          </w:p>
        </w:tc>
        <w:tc>
          <w:tcPr>
            <w:tcW w:w="2268"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泰达宏利瑞利</w:t>
            </w:r>
            <w:r w:rsidRPr="00F605BC">
              <w:rPr>
                <w:rFonts w:ascii="楷体" w:eastAsia="楷体" w:hAnsi="楷体"/>
                <w:color w:val="000000"/>
                <w:sz w:val="18"/>
                <w:szCs w:val="18"/>
              </w:rPr>
              <w:t>A</w:t>
            </w:r>
          </w:p>
        </w:tc>
        <w:tc>
          <w:tcPr>
            <w:tcW w:w="850" w:type="dxa"/>
            <w:tcBorders>
              <w:left w:val="single" w:sz="6" w:space="0" w:color="FF6600"/>
              <w:right w:val="single" w:sz="6" w:space="0" w:color="FF6600"/>
            </w:tcBorders>
            <w:vAlign w:val="center"/>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0.10</w:t>
            </w:r>
          </w:p>
        </w:tc>
        <w:tc>
          <w:tcPr>
            <w:tcW w:w="992" w:type="dxa"/>
            <w:vMerge/>
            <w:tcBorders>
              <w:left w:val="single" w:sz="6" w:space="0" w:color="FF6600"/>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color w:val="000000"/>
                <w:sz w:val="18"/>
                <w:szCs w:val="18"/>
              </w:rPr>
            </w:pPr>
          </w:p>
        </w:tc>
        <w:tc>
          <w:tcPr>
            <w:tcW w:w="850"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150129</w:t>
            </w:r>
          </w:p>
        </w:tc>
        <w:tc>
          <w:tcPr>
            <w:tcW w:w="1985"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鹏华丰利</w:t>
            </w:r>
            <w:r w:rsidRPr="00F605BC">
              <w:rPr>
                <w:rFonts w:ascii="楷体" w:eastAsia="楷体" w:hAnsi="楷体"/>
                <w:color w:val="000000"/>
                <w:sz w:val="18"/>
                <w:szCs w:val="18"/>
              </w:rPr>
              <w:t>B</w:t>
            </w:r>
          </w:p>
        </w:tc>
        <w:tc>
          <w:tcPr>
            <w:tcW w:w="709" w:type="dxa"/>
            <w:tcBorders>
              <w:left w:val="single" w:sz="6" w:space="0" w:color="FF6600"/>
              <w:right w:val="single" w:sz="6" w:space="0" w:color="FF6600"/>
            </w:tcBorders>
            <w:vAlign w:val="center"/>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封闭式</w:t>
            </w:r>
          </w:p>
        </w:tc>
        <w:tc>
          <w:tcPr>
            <w:tcW w:w="850" w:type="dxa"/>
            <w:tcBorders>
              <w:lef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0.39</w:t>
            </w:r>
          </w:p>
        </w:tc>
      </w:tr>
      <w:tr w:rsidR="00E96BC3" w:rsidRPr="00F605BC" w:rsidTr="00F2772B">
        <w:trPr>
          <w:cantSplit/>
          <w:trHeight w:val="227"/>
        </w:trPr>
        <w:tc>
          <w:tcPr>
            <w:tcW w:w="851" w:type="dxa"/>
            <w:vMerge w:val="restart"/>
            <w:tcBorders>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b/>
                <w:sz w:val="18"/>
                <w:szCs w:val="18"/>
              </w:rPr>
            </w:pPr>
            <w:r w:rsidRPr="00F605BC">
              <w:rPr>
                <w:rFonts w:ascii="楷体" w:eastAsia="楷体" w:hAnsi="楷体" w:hint="eastAsia"/>
                <w:b/>
                <w:sz w:val="18"/>
                <w:szCs w:val="18"/>
              </w:rPr>
              <w:t>货币市场</w:t>
            </w:r>
          </w:p>
          <w:p w:rsidR="00E96BC3" w:rsidRPr="00F605BC" w:rsidRDefault="00E96BC3" w:rsidP="006E677E">
            <w:pPr>
              <w:snapToGrid w:val="0"/>
              <w:jc w:val="center"/>
              <w:rPr>
                <w:rFonts w:ascii="楷体" w:eastAsia="楷体" w:hAnsi="楷体"/>
                <w:b/>
                <w:color w:val="FF0000"/>
                <w:sz w:val="18"/>
                <w:szCs w:val="18"/>
              </w:rPr>
            </w:pPr>
            <w:r w:rsidRPr="00F605BC">
              <w:rPr>
                <w:rFonts w:ascii="楷体" w:eastAsia="楷体" w:hAnsi="楷体" w:hint="eastAsia"/>
                <w:b/>
                <w:sz w:val="18"/>
                <w:szCs w:val="18"/>
              </w:rPr>
              <w:t>基金</w:t>
            </w: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750007</w:t>
            </w:r>
          </w:p>
        </w:tc>
        <w:tc>
          <w:tcPr>
            <w:tcW w:w="2268"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安信现金管理货币</w:t>
            </w:r>
            <w:r w:rsidRPr="00F605BC">
              <w:rPr>
                <w:rFonts w:ascii="楷体" w:eastAsia="楷体" w:hAnsi="楷体"/>
                <w:color w:val="000000"/>
                <w:sz w:val="18"/>
                <w:szCs w:val="18"/>
              </w:rPr>
              <w:t>B</w:t>
            </w:r>
          </w:p>
        </w:tc>
        <w:tc>
          <w:tcPr>
            <w:tcW w:w="850" w:type="dxa"/>
            <w:tcBorders>
              <w:left w:val="single" w:sz="6" w:space="0" w:color="FF6600"/>
              <w:right w:val="single" w:sz="6" w:space="0" w:color="FF6600"/>
            </w:tcBorders>
            <w:vAlign w:val="center"/>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7.16</w:t>
            </w:r>
          </w:p>
        </w:tc>
        <w:tc>
          <w:tcPr>
            <w:tcW w:w="992" w:type="dxa"/>
            <w:vMerge w:val="restart"/>
            <w:tcBorders>
              <w:left w:val="single" w:sz="6" w:space="0" w:color="FF6600"/>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b/>
                <w:bCs/>
                <w:color w:val="000000"/>
                <w:sz w:val="18"/>
                <w:szCs w:val="18"/>
              </w:rPr>
            </w:pPr>
          </w:p>
        </w:tc>
        <w:tc>
          <w:tcPr>
            <w:tcW w:w="850" w:type="dxa"/>
            <w:tcBorders>
              <w:left w:val="single" w:sz="6" w:space="0" w:color="FF6600"/>
              <w:right w:val="single" w:sz="6" w:space="0" w:color="FF6600"/>
            </w:tcBorders>
            <w:vAlign w:val="center"/>
          </w:tcPr>
          <w:p w:rsidR="00E96BC3" w:rsidRPr="00514715" w:rsidRDefault="00E96BC3" w:rsidP="00514715">
            <w:pPr>
              <w:snapToGrid w:val="0"/>
              <w:jc w:val="center"/>
              <w:rPr>
                <w:rFonts w:ascii="楷体" w:eastAsia="楷体" w:hAnsi="楷体" w:cs="宋体"/>
                <w:color w:val="FF0000"/>
                <w:sz w:val="18"/>
                <w:szCs w:val="18"/>
              </w:rPr>
            </w:pPr>
          </w:p>
        </w:tc>
        <w:tc>
          <w:tcPr>
            <w:tcW w:w="1985" w:type="dxa"/>
            <w:tcBorders>
              <w:left w:val="single" w:sz="6" w:space="0" w:color="FF6600"/>
              <w:right w:val="single" w:sz="6" w:space="0" w:color="FF6600"/>
            </w:tcBorders>
            <w:vAlign w:val="center"/>
          </w:tcPr>
          <w:p w:rsidR="00E96BC3" w:rsidRPr="00514715" w:rsidRDefault="00E96BC3" w:rsidP="00514715">
            <w:pPr>
              <w:snapToGrid w:val="0"/>
              <w:jc w:val="center"/>
              <w:rPr>
                <w:rFonts w:ascii="楷体" w:eastAsia="楷体" w:hAnsi="楷体" w:cs="宋体"/>
                <w:color w:val="FF0000"/>
                <w:sz w:val="18"/>
                <w:szCs w:val="18"/>
              </w:rPr>
            </w:pPr>
          </w:p>
        </w:tc>
        <w:tc>
          <w:tcPr>
            <w:tcW w:w="709" w:type="dxa"/>
            <w:tcBorders>
              <w:left w:val="single" w:sz="6" w:space="0" w:color="FF6600"/>
              <w:right w:val="single" w:sz="6" w:space="0" w:color="FF6600"/>
            </w:tcBorders>
            <w:vAlign w:val="center"/>
          </w:tcPr>
          <w:p w:rsidR="00E96BC3" w:rsidRPr="00514715" w:rsidRDefault="00E96BC3" w:rsidP="00514715">
            <w:pPr>
              <w:snapToGrid w:val="0"/>
              <w:jc w:val="center"/>
              <w:rPr>
                <w:rFonts w:ascii="楷体" w:eastAsia="楷体" w:hAnsi="楷体" w:cs="宋体"/>
                <w:color w:val="FF0000"/>
                <w:sz w:val="18"/>
                <w:szCs w:val="18"/>
              </w:rPr>
            </w:pPr>
          </w:p>
        </w:tc>
        <w:tc>
          <w:tcPr>
            <w:tcW w:w="850" w:type="dxa"/>
            <w:tcBorders>
              <w:left w:val="single" w:sz="6" w:space="0" w:color="FF6600"/>
            </w:tcBorders>
            <w:vAlign w:val="center"/>
          </w:tcPr>
          <w:p w:rsidR="00E96BC3" w:rsidRPr="00514715" w:rsidRDefault="00E96BC3" w:rsidP="00514715">
            <w:pPr>
              <w:snapToGrid w:val="0"/>
              <w:jc w:val="center"/>
              <w:rPr>
                <w:rFonts w:ascii="楷体" w:eastAsia="楷体" w:hAnsi="楷体" w:cs="宋体"/>
                <w:color w:val="FF0000"/>
                <w:sz w:val="18"/>
                <w:szCs w:val="18"/>
              </w:rPr>
            </w:pPr>
          </w:p>
        </w:tc>
      </w:tr>
      <w:tr w:rsidR="00E96BC3" w:rsidRPr="00F605BC" w:rsidTr="00F2772B">
        <w:trPr>
          <w:cantSplit/>
          <w:trHeight w:val="227"/>
        </w:trPr>
        <w:tc>
          <w:tcPr>
            <w:tcW w:w="851" w:type="dxa"/>
            <w:vMerge/>
            <w:tcBorders>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b/>
                <w:color w:val="FF0000"/>
                <w:sz w:val="18"/>
                <w:szCs w:val="18"/>
              </w:rPr>
            </w:pP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740602</w:t>
            </w:r>
          </w:p>
        </w:tc>
        <w:tc>
          <w:tcPr>
            <w:tcW w:w="2268"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长安货币</w:t>
            </w:r>
            <w:r w:rsidRPr="00F605BC">
              <w:rPr>
                <w:rFonts w:ascii="楷体" w:eastAsia="楷体" w:hAnsi="楷体"/>
                <w:color w:val="000000"/>
                <w:sz w:val="18"/>
                <w:szCs w:val="18"/>
              </w:rPr>
              <w:t>B</w:t>
            </w:r>
          </w:p>
        </w:tc>
        <w:tc>
          <w:tcPr>
            <w:tcW w:w="850" w:type="dxa"/>
            <w:tcBorders>
              <w:left w:val="single" w:sz="6" w:space="0" w:color="FF6600"/>
              <w:right w:val="single" w:sz="6" w:space="0" w:color="FF6600"/>
            </w:tcBorders>
            <w:vAlign w:val="center"/>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7.01</w:t>
            </w:r>
          </w:p>
        </w:tc>
        <w:tc>
          <w:tcPr>
            <w:tcW w:w="992" w:type="dxa"/>
            <w:vMerge/>
            <w:tcBorders>
              <w:left w:val="single" w:sz="6" w:space="0" w:color="FF6600"/>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vAlign w:val="center"/>
          </w:tcPr>
          <w:p w:rsidR="00E96BC3" w:rsidRPr="00F605BC" w:rsidRDefault="00E96BC3" w:rsidP="00514715">
            <w:pPr>
              <w:snapToGrid w:val="0"/>
              <w:jc w:val="center"/>
              <w:rPr>
                <w:rFonts w:ascii="楷体" w:eastAsia="楷体" w:hAnsi="楷体"/>
                <w:color w:val="FF0000"/>
                <w:sz w:val="18"/>
                <w:szCs w:val="18"/>
              </w:rPr>
            </w:pPr>
          </w:p>
        </w:tc>
        <w:tc>
          <w:tcPr>
            <w:tcW w:w="1985" w:type="dxa"/>
            <w:tcBorders>
              <w:left w:val="single" w:sz="6" w:space="0" w:color="FF6600"/>
              <w:right w:val="single" w:sz="6" w:space="0" w:color="FF6600"/>
            </w:tcBorders>
            <w:vAlign w:val="center"/>
          </w:tcPr>
          <w:p w:rsidR="00E96BC3" w:rsidRPr="00F605BC" w:rsidRDefault="00E96BC3" w:rsidP="00514715">
            <w:pPr>
              <w:snapToGrid w:val="0"/>
              <w:jc w:val="center"/>
              <w:rPr>
                <w:rFonts w:ascii="楷体" w:eastAsia="楷体" w:hAnsi="楷体"/>
                <w:color w:val="FF0000"/>
                <w:sz w:val="18"/>
                <w:szCs w:val="18"/>
              </w:rPr>
            </w:pPr>
          </w:p>
        </w:tc>
        <w:tc>
          <w:tcPr>
            <w:tcW w:w="709" w:type="dxa"/>
            <w:tcBorders>
              <w:left w:val="single" w:sz="6" w:space="0" w:color="FF6600"/>
              <w:right w:val="single" w:sz="6" w:space="0" w:color="FF6600"/>
            </w:tcBorders>
            <w:vAlign w:val="center"/>
          </w:tcPr>
          <w:p w:rsidR="00E96BC3" w:rsidRPr="00F605BC" w:rsidRDefault="00E96BC3" w:rsidP="00514715">
            <w:pPr>
              <w:snapToGrid w:val="0"/>
              <w:jc w:val="center"/>
              <w:rPr>
                <w:rFonts w:ascii="楷体" w:eastAsia="楷体" w:hAnsi="楷体"/>
                <w:color w:val="FF0000"/>
                <w:sz w:val="18"/>
                <w:szCs w:val="18"/>
              </w:rPr>
            </w:pPr>
          </w:p>
        </w:tc>
        <w:tc>
          <w:tcPr>
            <w:tcW w:w="850" w:type="dxa"/>
            <w:tcBorders>
              <w:left w:val="single" w:sz="6" w:space="0" w:color="FF6600"/>
            </w:tcBorders>
            <w:vAlign w:val="center"/>
          </w:tcPr>
          <w:p w:rsidR="00E96BC3" w:rsidRPr="00F605BC" w:rsidRDefault="00E96BC3" w:rsidP="00514715">
            <w:pPr>
              <w:snapToGrid w:val="0"/>
              <w:jc w:val="center"/>
              <w:rPr>
                <w:rFonts w:ascii="楷体" w:eastAsia="楷体" w:hAnsi="楷体"/>
                <w:color w:val="FF0000"/>
                <w:sz w:val="18"/>
                <w:szCs w:val="18"/>
              </w:rPr>
            </w:pPr>
          </w:p>
        </w:tc>
      </w:tr>
      <w:tr w:rsidR="00E96BC3" w:rsidRPr="00F605BC" w:rsidTr="00F2772B">
        <w:trPr>
          <w:cantSplit/>
          <w:trHeight w:val="227"/>
        </w:trPr>
        <w:tc>
          <w:tcPr>
            <w:tcW w:w="851" w:type="dxa"/>
            <w:vMerge/>
            <w:tcBorders>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b/>
                <w:color w:val="FF0000"/>
                <w:sz w:val="18"/>
                <w:szCs w:val="18"/>
              </w:rPr>
            </w:pP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750006</w:t>
            </w:r>
          </w:p>
        </w:tc>
        <w:tc>
          <w:tcPr>
            <w:tcW w:w="2268"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安信现金管理货币</w:t>
            </w:r>
            <w:r w:rsidRPr="00F605BC">
              <w:rPr>
                <w:rFonts w:ascii="楷体" w:eastAsia="楷体" w:hAnsi="楷体"/>
                <w:color w:val="000000"/>
                <w:sz w:val="18"/>
                <w:szCs w:val="18"/>
              </w:rPr>
              <w:t>A</w:t>
            </w:r>
          </w:p>
        </w:tc>
        <w:tc>
          <w:tcPr>
            <w:tcW w:w="850" w:type="dxa"/>
            <w:tcBorders>
              <w:left w:val="single" w:sz="6" w:space="0" w:color="FF6600"/>
              <w:right w:val="single" w:sz="6" w:space="0" w:color="FF6600"/>
            </w:tcBorders>
            <w:vAlign w:val="center"/>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E96BC3" w:rsidRPr="00514715" w:rsidRDefault="00E96BC3" w:rsidP="00514715">
            <w:pPr>
              <w:jc w:val="center"/>
              <w:rPr>
                <w:rFonts w:ascii="楷体" w:eastAsia="楷体" w:hAnsi="楷体" w:cs="宋体"/>
                <w:color w:val="000000"/>
                <w:sz w:val="18"/>
                <w:szCs w:val="18"/>
              </w:rPr>
            </w:pPr>
            <w:r w:rsidRPr="00F605BC">
              <w:rPr>
                <w:rFonts w:ascii="楷体" w:eastAsia="楷体" w:hAnsi="楷体"/>
                <w:color w:val="000000"/>
                <w:sz w:val="18"/>
                <w:szCs w:val="18"/>
              </w:rPr>
              <w:t>6.90</w:t>
            </w:r>
          </w:p>
        </w:tc>
        <w:tc>
          <w:tcPr>
            <w:tcW w:w="992" w:type="dxa"/>
            <w:vMerge/>
            <w:tcBorders>
              <w:left w:val="single" w:sz="6" w:space="0" w:color="FF6600"/>
              <w:right w:val="single" w:sz="6" w:space="0" w:color="FF6600"/>
            </w:tcBorders>
            <w:shd w:val="clear" w:color="auto" w:fill="FDE9D9"/>
            <w:vAlign w:val="center"/>
          </w:tcPr>
          <w:p w:rsidR="00E96BC3" w:rsidRPr="00F605BC" w:rsidRDefault="00E96BC3"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vAlign w:val="center"/>
          </w:tcPr>
          <w:p w:rsidR="00E96BC3" w:rsidRPr="00F605BC" w:rsidRDefault="00E96BC3" w:rsidP="00514715">
            <w:pPr>
              <w:snapToGrid w:val="0"/>
              <w:jc w:val="center"/>
              <w:rPr>
                <w:rFonts w:ascii="楷体" w:eastAsia="楷体" w:hAnsi="楷体"/>
                <w:color w:val="FF0000"/>
                <w:sz w:val="18"/>
                <w:szCs w:val="18"/>
              </w:rPr>
            </w:pPr>
          </w:p>
        </w:tc>
        <w:tc>
          <w:tcPr>
            <w:tcW w:w="1985" w:type="dxa"/>
            <w:tcBorders>
              <w:left w:val="single" w:sz="6" w:space="0" w:color="FF6600"/>
              <w:right w:val="single" w:sz="6" w:space="0" w:color="FF6600"/>
            </w:tcBorders>
            <w:vAlign w:val="center"/>
          </w:tcPr>
          <w:p w:rsidR="00E96BC3" w:rsidRPr="00F605BC" w:rsidRDefault="00E96BC3" w:rsidP="00514715">
            <w:pPr>
              <w:snapToGrid w:val="0"/>
              <w:jc w:val="center"/>
              <w:rPr>
                <w:rFonts w:ascii="楷体" w:eastAsia="楷体" w:hAnsi="楷体"/>
                <w:color w:val="FF0000"/>
                <w:sz w:val="18"/>
                <w:szCs w:val="18"/>
              </w:rPr>
            </w:pPr>
          </w:p>
        </w:tc>
        <w:tc>
          <w:tcPr>
            <w:tcW w:w="709" w:type="dxa"/>
            <w:tcBorders>
              <w:left w:val="single" w:sz="6" w:space="0" w:color="FF6600"/>
              <w:right w:val="single" w:sz="6" w:space="0" w:color="FF6600"/>
            </w:tcBorders>
            <w:vAlign w:val="center"/>
          </w:tcPr>
          <w:p w:rsidR="00E96BC3" w:rsidRPr="00F605BC" w:rsidRDefault="00E96BC3" w:rsidP="00514715">
            <w:pPr>
              <w:snapToGrid w:val="0"/>
              <w:jc w:val="center"/>
              <w:rPr>
                <w:rFonts w:ascii="楷体" w:eastAsia="楷体" w:hAnsi="楷体"/>
                <w:color w:val="FF0000"/>
                <w:sz w:val="18"/>
                <w:szCs w:val="18"/>
              </w:rPr>
            </w:pPr>
          </w:p>
        </w:tc>
        <w:tc>
          <w:tcPr>
            <w:tcW w:w="850" w:type="dxa"/>
            <w:tcBorders>
              <w:left w:val="single" w:sz="6" w:space="0" w:color="FF6600"/>
            </w:tcBorders>
            <w:vAlign w:val="center"/>
          </w:tcPr>
          <w:p w:rsidR="00E96BC3" w:rsidRPr="00F605BC" w:rsidRDefault="00E96BC3" w:rsidP="00514715">
            <w:pPr>
              <w:snapToGrid w:val="0"/>
              <w:jc w:val="center"/>
              <w:rPr>
                <w:rFonts w:ascii="楷体" w:eastAsia="楷体" w:hAnsi="楷体"/>
                <w:color w:val="FF0000"/>
                <w:sz w:val="18"/>
                <w:szCs w:val="18"/>
              </w:rPr>
            </w:pPr>
          </w:p>
        </w:tc>
      </w:tr>
    </w:tbl>
    <w:p w:rsidR="00E96BC3" w:rsidRPr="005B7CDB" w:rsidRDefault="00E96BC3" w:rsidP="008177CF">
      <w:pPr>
        <w:pStyle w:val="FootnoteNoline"/>
        <w:ind w:left="0"/>
        <w:rPr>
          <w:rFonts w:ascii="楷体" w:eastAsia="楷体" w:hAnsi="楷体"/>
          <w:color w:val="FF6600"/>
          <w:lang w:val="en-US"/>
        </w:rPr>
      </w:pPr>
      <w:r w:rsidRPr="005B7CDB">
        <w:rPr>
          <w:rFonts w:ascii="楷体" w:eastAsia="楷体" w:hAnsi="楷体" w:hint="eastAsia"/>
          <w:color w:val="FF6600"/>
          <w:lang w:val="en-US"/>
        </w:rPr>
        <w:t>来源：凯石财富工场</w:t>
      </w:r>
    </w:p>
    <w:p w:rsidR="00E96BC3" w:rsidRPr="005B7CDB" w:rsidRDefault="00E96BC3" w:rsidP="009F0008">
      <w:pPr>
        <w:widowControl/>
        <w:jc w:val="left"/>
        <w:rPr>
          <w:rFonts w:ascii="楷体" w:eastAsia="楷体" w:hAnsi="楷体"/>
          <w:b/>
          <w:szCs w:val="21"/>
        </w:rPr>
      </w:pPr>
      <w:r w:rsidRPr="005B7CDB">
        <w:rPr>
          <w:rFonts w:ascii="楷体" w:eastAsia="楷体" w:hAnsi="楷体"/>
          <w:b/>
          <w:kern w:val="0"/>
          <w:szCs w:val="20"/>
          <w:lang w:val="en-GB"/>
        </w:rPr>
        <w:br w:type="page"/>
      </w:r>
      <w:r w:rsidRPr="005B7CDB">
        <w:rPr>
          <w:rFonts w:ascii="楷体" w:eastAsia="楷体" w:hAnsi="楷体" w:cs="宋体" w:hint="eastAsia"/>
          <w:b/>
          <w:kern w:val="0"/>
          <w:szCs w:val="20"/>
          <w:lang w:val="en-GB"/>
        </w:rPr>
        <w:t>特别声明：</w:t>
      </w:r>
    </w:p>
    <w:p w:rsidR="00E96BC3" w:rsidRPr="005B7CDB" w:rsidRDefault="00E96BC3" w:rsidP="00F605BC">
      <w:pPr>
        <w:pStyle w:val="a4"/>
        <w:spacing w:beforeLines="50" w:after="312"/>
        <w:rPr>
          <w:rFonts w:ascii="楷体" w:eastAsia="楷体" w:hAnsi="楷体"/>
          <w:kern w:val="0"/>
          <w:sz w:val="21"/>
          <w:szCs w:val="20"/>
          <w:lang w:val="en-GB"/>
        </w:rPr>
      </w:pPr>
      <w:r w:rsidRPr="005B7CDB">
        <w:rPr>
          <w:rFonts w:ascii="楷体" w:eastAsia="楷体" w:hAnsi="楷体" w:hint="eastAsia"/>
          <w:kern w:val="0"/>
          <w:sz w:val="21"/>
          <w:szCs w:val="20"/>
          <w:lang w:val="en-GB"/>
        </w:rPr>
        <w:t>本报告中的所有内容版权均属上海凯石财富投资管理有限公司（以下简称“本公司”），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凯石财富投资有限公司研究中心，且不得对本文进行任何有悖原意的引用和删改。</w:t>
      </w:r>
    </w:p>
    <w:p w:rsidR="00E96BC3" w:rsidRPr="005B7CDB" w:rsidRDefault="00E96BC3" w:rsidP="00F605BC">
      <w:pPr>
        <w:pStyle w:val="a4"/>
        <w:spacing w:beforeLines="50" w:after="312"/>
        <w:rPr>
          <w:rFonts w:ascii="楷体" w:eastAsia="楷体" w:hAnsi="楷体"/>
          <w:kern w:val="0"/>
          <w:sz w:val="21"/>
          <w:szCs w:val="20"/>
          <w:lang w:val="en-GB"/>
        </w:rPr>
      </w:pPr>
      <w:r w:rsidRPr="005B7CDB">
        <w:rPr>
          <w:rFonts w:ascii="楷体" w:eastAsia="楷体" w:hAnsi="楷体" w:hint="eastAsia"/>
          <w:kern w:val="0"/>
          <w:sz w:val="21"/>
          <w:szCs w:val="20"/>
          <w:lang w:val="en-GB"/>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E96BC3" w:rsidRPr="005B7CDB" w:rsidRDefault="00E96BC3" w:rsidP="00F605BC">
      <w:pPr>
        <w:pStyle w:val="a4"/>
        <w:spacing w:beforeLines="50" w:after="312"/>
        <w:rPr>
          <w:rFonts w:ascii="楷体" w:eastAsia="楷体" w:hAnsi="楷体"/>
          <w:kern w:val="0"/>
          <w:sz w:val="21"/>
          <w:szCs w:val="20"/>
          <w:lang w:val="en-GB"/>
        </w:rPr>
      </w:pPr>
      <w:r w:rsidRPr="005B7CDB">
        <w:rPr>
          <w:rFonts w:ascii="楷体" w:eastAsia="楷体" w:hAnsi="楷体" w:hint="eastAsia"/>
          <w:kern w:val="0"/>
          <w:sz w:val="21"/>
          <w:szCs w:val="20"/>
          <w:lang w:val="en-GB"/>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E96BC3" w:rsidRPr="005B7CDB" w:rsidRDefault="00E96BC3">
      <w:pPr>
        <w:rPr>
          <w:rFonts w:ascii="楷体" w:eastAsia="楷体" w:hAnsi="楷体"/>
          <w:lang w:val="en-GB"/>
        </w:rPr>
      </w:pPr>
    </w:p>
    <w:sectPr w:rsidR="00E96BC3" w:rsidRPr="005B7CDB" w:rsidSect="00D4319D">
      <w:headerReference w:type="default" r:id="rId12"/>
      <w:footerReference w:type="default" r:id="rId13"/>
      <w:headerReference w:type="first" r:id="rId14"/>
      <w:footerReference w:type="first" r:id="rId15"/>
      <w:pgSz w:w="11906" w:h="16838"/>
      <w:pgMar w:top="1440" w:right="624" w:bottom="1440" w:left="624" w:header="850" w:footer="283"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BC3" w:rsidRDefault="00E96BC3" w:rsidP="00B10000">
      <w:r>
        <w:separator/>
      </w:r>
    </w:p>
  </w:endnote>
  <w:endnote w:type="continuationSeparator" w:id="0">
    <w:p w:rsidR="00E96BC3" w:rsidRDefault="00E96BC3" w:rsidP="00B1000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KaiTi_GB2312">
    <w:panose1 w:val="02010609060101010101"/>
    <w:charset w:val="86"/>
    <w:family w:val="modern"/>
    <w:pitch w:val="fixed"/>
    <w:sig w:usb0="00000003" w:usb1="080E0000" w:usb2="0000001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onotype Sorts">
    <w:altName w:val="Courier New"/>
    <w:panose1 w:val="00000000000000000000"/>
    <w:charset w:val="02"/>
    <w:family w:val="auto"/>
    <w:notTrueType/>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华文楷体">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LucidaSans">
    <w:altName w:val="Times New Roman"/>
    <w:panose1 w:val="00000000000000000000"/>
    <w:charset w:val="00"/>
    <w:family w:val="auto"/>
    <w:notTrueType/>
    <w:pitch w:val="variable"/>
    <w:sig w:usb0="00000003" w:usb1="00000000" w:usb2="00000000" w:usb3="00000000" w:csb0="00000001" w:csb1="00000000"/>
  </w:font>
  <w:font w:name="KaiTi_GB2312">
    <w:altName w:val="MS Gothic"/>
    <w:panose1 w:val="02010609060101010101"/>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BC3" w:rsidRDefault="00E96BC3">
    <w:pPr>
      <w:pStyle w:val="Footer"/>
      <w:jc w:val="center"/>
    </w:pPr>
    <w:r>
      <w:pict>
        <v:rect id="_x0000_i1032" style="width:571.2pt;height:2pt" o:hralign="center" o:hrstd="t" o:hrnoshade="t" o:hr="t" fillcolor="#e7a631" stroked="f"/>
      </w:pict>
    </w:r>
    <w:r>
      <w:rPr>
        <w:lang w:val="zh-CN"/>
      </w:rPr>
      <w:t xml:space="preserve"> </w:t>
    </w:r>
    <w:r>
      <w:rPr>
        <w:b/>
      </w:rPr>
      <w:fldChar w:fldCharType="begin"/>
    </w:r>
    <w:r>
      <w:rPr>
        <w:b/>
      </w:rPr>
      <w:instrText>PAGE</w:instrText>
    </w:r>
    <w:r>
      <w:rPr>
        <w:b/>
      </w:rPr>
      <w:fldChar w:fldCharType="separate"/>
    </w:r>
    <w:r>
      <w:rPr>
        <w:b/>
        <w:noProof/>
      </w:rPr>
      <w:t>2</w:t>
    </w:r>
    <w:r>
      <w:rPr>
        <w:b/>
      </w:rPr>
      <w:fldChar w:fldCharType="end"/>
    </w:r>
    <w:r>
      <w:rPr>
        <w:lang w:val="zh-CN"/>
      </w:rPr>
      <w:t xml:space="preserve"> / </w:t>
    </w:r>
    <w:r>
      <w:rPr>
        <w:b/>
      </w:rPr>
      <w:fldChar w:fldCharType="begin"/>
    </w:r>
    <w:r>
      <w:rPr>
        <w:b/>
      </w:rPr>
      <w:instrText>NUMPAGES</w:instrText>
    </w:r>
    <w:r>
      <w:rPr>
        <w:b/>
      </w:rPr>
      <w:fldChar w:fldCharType="separate"/>
    </w:r>
    <w:r>
      <w:rPr>
        <w:b/>
        <w:noProof/>
      </w:rPr>
      <w:t>5</w:t>
    </w:r>
    <w:r>
      <w:rPr>
        <w:b/>
      </w:rPr>
      <w:fldChar w:fldCharType="end"/>
    </w:r>
  </w:p>
  <w:p w:rsidR="00E96BC3" w:rsidRDefault="00E96B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BC3" w:rsidRDefault="00E96BC3">
    <w:pPr>
      <w:pStyle w:val="Footer"/>
      <w:jc w:val="center"/>
    </w:pPr>
    <w:r>
      <w:pict>
        <v:rect id="_x0000_i1041" style="width:571.2pt;height:2pt" o:hralign="center" o:hrstd="t" o:hrnoshade="t" o:hr="t" fillcolor="#e7a631" stroked="f"/>
      </w:pict>
    </w:r>
    <w:r>
      <w:rPr>
        <w:lang w:val="zh-CN"/>
      </w:rPr>
      <w:t xml:space="preserve"> </w:t>
    </w:r>
    <w:r>
      <w:rPr>
        <w:b/>
      </w:rPr>
      <w:fldChar w:fldCharType="begin"/>
    </w:r>
    <w:r>
      <w:rPr>
        <w:b/>
      </w:rPr>
      <w:instrText>PAGE</w:instrText>
    </w:r>
    <w:r>
      <w:rPr>
        <w:b/>
      </w:rPr>
      <w:fldChar w:fldCharType="separate"/>
    </w:r>
    <w:r>
      <w:rPr>
        <w:b/>
        <w:noProof/>
      </w:rPr>
      <w:t>1</w:t>
    </w:r>
    <w:r>
      <w:rPr>
        <w:b/>
      </w:rPr>
      <w:fldChar w:fldCharType="end"/>
    </w:r>
    <w:r>
      <w:rPr>
        <w:lang w:val="zh-CN"/>
      </w:rPr>
      <w:t xml:space="preserve"> / </w:t>
    </w:r>
    <w:r>
      <w:rPr>
        <w:b/>
      </w:rPr>
      <w:fldChar w:fldCharType="begin"/>
    </w:r>
    <w:r>
      <w:rPr>
        <w:b/>
      </w:rPr>
      <w:instrText>NUMPAGES</w:instrText>
    </w:r>
    <w:r>
      <w:rPr>
        <w:b/>
      </w:rPr>
      <w:fldChar w:fldCharType="separate"/>
    </w:r>
    <w:r>
      <w:rPr>
        <w:b/>
        <w:noProof/>
      </w:rPr>
      <w:t>5</w:t>
    </w:r>
    <w:r>
      <w:rPr>
        <w:b/>
      </w:rPr>
      <w:fldChar w:fldCharType="end"/>
    </w:r>
  </w:p>
  <w:p w:rsidR="00E96BC3" w:rsidRDefault="00E96B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BC3" w:rsidRDefault="00E96BC3" w:rsidP="00B10000">
      <w:r>
        <w:separator/>
      </w:r>
    </w:p>
  </w:footnote>
  <w:footnote w:type="continuationSeparator" w:id="0">
    <w:p w:rsidR="00E96BC3" w:rsidRDefault="00E96BC3" w:rsidP="00B100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BC3" w:rsidRDefault="00E96BC3" w:rsidP="00B10000">
    <w:pPr>
      <w:pStyle w:val="Header"/>
      <w:pBdr>
        <w:bottom w:val="none" w:sz="0" w:space="0" w:color="auto"/>
      </w:pBdr>
    </w:pPr>
    <w:r>
      <w:rPr>
        <w:noProof/>
      </w:rPr>
      <w:pict>
        <v:group id="_x0000_s2049" style="position:absolute;left:0;text-align:left;margin-left:5.2pt;margin-top:-32.25pt;width:531.2pt;height:37.5pt;z-index:251660288" coordorigin="728,206" coordsize="10624,750">
          <v:shapetype id="_x0000_t202" coordsize="21600,21600" o:spt="202" path="m,l,21600r21600,l21600,xe">
            <v:stroke joinstyle="miter"/>
            <v:path gradientshapeok="t" o:connecttype="rect"/>
          </v:shapetype>
          <v:shape id="_x0000_s2050" type="#_x0000_t202" style="position:absolute;left:728;top:206;width:1336;height:724" strokecolor="white">
            <v:textbox style="mso-next-textbox:#_x0000_s2050">
              <w:txbxContent>
                <w:p w:rsidR="00E96BC3" w:rsidRDefault="00E96BC3" w:rsidP="00B10000">
                  <w:pPr>
                    <w:pStyle w:val="12"/>
                  </w:pPr>
                  <w:r w:rsidRPr="0002130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凯石工2.jpg" style="width:42pt;height:29.25pt;visibility:visible">
                        <v:imagedata r:id="rId1" o:title=""/>
                      </v:shape>
                    </w:pict>
                  </w:r>
                </w:p>
              </w:txbxContent>
            </v:textbox>
          </v:shape>
          <v:shape id="_x0000_s2051" type="#_x0000_t202" style="position:absolute;left:5999;top:542;width:5353;height:414" strokecolor="white">
            <v:textbox style="mso-next-textbox:#_x0000_s2051">
              <w:txbxContent>
                <w:p w:rsidR="00E96BC3" w:rsidRPr="006E0F3C" w:rsidRDefault="00E96BC3" w:rsidP="00B10000">
                  <w:pPr>
                    <w:pStyle w:val="2"/>
                  </w:pPr>
                  <w:r>
                    <w:rPr>
                      <w:rFonts w:hint="eastAsia"/>
                    </w:rPr>
                    <w:t>公募基金周报（</w:t>
                  </w:r>
                  <w:r>
                    <w:t>2014.11.17~2014.11.21</w:t>
                  </w:r>
                  <w:r>
                    <w:rPr>
                      <w:rFonts w:hint="eastAsia"/>
                    </w:rPr>
                    <w:t>）</w:t>
                  </w:r>
                </w:p>
              </w:txbxContent>
            </v:textbox>
          </v:shape>
        </v:group>
      </w:pict>
    </w:r>
    <w:r>
      <w:pict>
        <v:rect id="_x0000_i1029" style="width:571.2pt;height:2pt" o:hralign="center" o:hrstd="t" o:hrnoshade="t" o:hr="t" fillcolor="#e7a631"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BC3" w:rsidRDefault="00E96BC3" w:rsidP="00F0283A">
    <w:pPr>
      <w:pStyle w:val="Header"/>
      <w:pBdr>
        <w:bottom w:val="none" w:sz="0" w:space="0" w:color="auto"/>
      </w:pBdr>
      <w:spacing w:afterLines="100"/>
    </w:pPr>
    <w:r>
      <w:rPr>
        <w:noProof/>
      </w:rPr>
    </w:r>
    <w:r>
      <w:pict>
        <v:group id="_x0000_s2052" style="width:532.6pt;height:143.7pt;mso-position-horizontal-relative:char;mso-position-vertical-relative:line" coordorigin="652,331" coordsize="10652,2874">
          <v:shapetype id="_x0000_t202" coordsize="21600,21600" o:spt="202" path="m,l,21600r21600,l21600,xe">
            <v:stroke joinstyle="miter"/>
            <v:path gradientshapeok="t" o:connecttype="rect"/>
          </v:shapetype>
          <v:shape id="_x0000_s2053" type="#_x0000_t202" style="position:absolute;left:652;top:331;width:3664;height:2430" strokecolor="white">
            <v:textbox style="mso-next-textbox:#_x0000_s2053">
              <w:txbxContent>
                <w:p w:rsidR="00E96BC3" w:rsidRDefault="00E96BC3" w:rsidP="00B10000">
                  <w:pPr>
                    <w:pStyle w:val="a0"/>
                  </w:pPr>
                  <w:r w:rsidRPr="0002130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i1039" type="#_x0000_t75" alt="凯石工2.jpg" style="width:123pt;height:115.5pt;visibility:visible">
                        <v:imagedata r:id="rId1" o:title=""/>
                      </v:shape>
                    </w:pict>
                  </w:r>
                </w:p>
              </w:txbxContent>
            </v:textbox>
          </v:shape>
          <v:shape id="_x0000_s2054" type="#_x0000_t202" style="position:absolute;left:881;top:2578;width:2325;height:390" strokecolor="white">
            <v:textbox style="mso-next-textbox:#_x0000_s2054">
              <w:txbxContent>
                <w:p w:rsidR="00E96BC3" w:rsidRPr="006E0F3C" w:rsidRDefault="00E96BC3" w:rsidP="008840A4">
                  <w:pPr>
                    <w:pStyle w:val="a"/>
                    <w:spacing w:after="240"/>
                  </w:pPr>
                  <w:r w:rsidRPr="006E0F3C">
                    <w:rPr>
                      <w:rFonts w:hint="eastAsia"/>
                    </w:rPr>
                    <w:t>凯石工场研究报告</w:t>
                  </w:r>
                </w:p>
              </w:txbxContent>
            </v:textbox>
          </v:shape>
          <v:shape id="_x0000_s2055" type="#_x0000_t202" style="position:absolute;left:8740;top:609;width:2441;height:475" strokecolor="white">
            <v:textbox style="mso-next-textbox:#_x0000_s2055;mso-fit-shape-to-text:t">
              <w:txbxContent>
                <w:p w:rsidR="00E96BC3" w:rsidRPr="006E0F3C" w:rsidRDefault="00E96BC3" w:rsidP="00B10000">
                  <w:pPr>
                    <w:pStyle w:val="a1"/>
                    <w:jc w:val="right"/>
                  </w:pPr>
                  <w:r>
                    <w:t>2014</w:t>
                  </w:r>
                  <w:r w:rsidRPr="006E0F3C">
                    <w:rPr>
                      <w:rFonts w:hint="eastAsia"/>
                    </w:rPr>
                    <w:t>年</w:t>
                  </w:r>
                  <w:r>
                    <w:t>11</w:t>
                  </w:r>
                  <w:r w:rsidRPr="006E0F3C">
                    <w:rPr>
                      <w:rFonts w:hint="eastAsia"/>
                    </w:rPr>
                    <w:t>月</w:t>
                  </w:r>
                  <w:r>
                    <w:t>24</w:t>
                  </w:r>
                  <w:r w:rsidRPr="006E0F3C">
                    <w:rPr>
                      <w:rFonts w:hint="eastAsia"/>
                    </w:rPr>
                    <w:t>日</w:t>
                  </w:r>
                </w:p>
              </w:txbxContent>
            </v:textbox>
          </v:shape>
          <v:shape id="_x0000_s2056" type="#_x0000_t202" style="position:absolute;left:3214;top:1377;width:8090;height:1001" strokecolor="white">
            <v:textbox style="mso-next-textbox:#_x0000_s2056;mso-fit-shape-to-text:t">
              <w:txbxContent>
                <w:p w:rsidR="00E96BC3" w:rsidRPr="00667F84" w:rsidRDefault="00E96BC3" w:rsidP="00073ED8">
                  <w:pPr>
                    <w:pStyle w:val="a2"/>
                    <w:ind w:right="180"/>
                    <w:jc w:val="right"/>
                  </w:pPr>
                  <w:r>
                    <w:rPr>
                      <w:rFonts w:hint="eastAsia"/>
                    </w:rPr>
                    <w:t>股基混合普涨，债基业绩回调</w:t>
                  </w:r>
                </w:p>
                <w:p w:rsidR="00E96BC3" w:rsidRPr="00624366" w:rsidRDefault="00E96BC3" w:rsidP="00B10000">
                  <w:pPr>
                    <w:pStyle w:val="a2"/>
                    <w:jc w:val="right"/>
                    <w:rPr>
                      <w:sz w:val="28"/>
                      <w:szCs w:val="28"/>
                    </w:rPr>
                  </w:pPr>
                  <w:r w:rsidRPr="0095202C">
                    <w:rPr>
                      <w:rFonts w:hint="eastAsia"/>
                      <w:sz w:val="28"/>
                      <w:szCs w:val="28"/>
                    </w:rPr>
                    <w:t>公募基金周报（</w:t>
                  </w:r>
                  <w:r>
                    <w:rPr>
                      <w:sz w:val="28"/>
                      <w:szCs w:val="28"/>
                    </w:rPr>
                    <w:t>2014.11.17</w:t>
                  </w:r>
                  <w:r w:rsidRPr="0095202C">
                    <w:rPr>
                      <w:sz w:val="28"/>
                      <w:szCs w:val="28"/>
                    </w:rPr>
                    <w:t>~</w:t>
                  </w:r>
                  <w:r>
                    <w:rPr>
                      <w:sz w:val="28"/>
                      <w:szCs w:val="28"/>
                    </w:rPr>
                    <w:t>2014.11.21</w:t>
                  </w:r>
                  <w:r w:rsidRPr="0095202C">
                    <w:rPr>
                      <w:rFonts w:hint="eastAsia"/>
                      <w:sz w:val="28"/>
                      <w:szCs w:val="28"/>
                    </w:rPr>
                    <w:t>）</w:t>
                  </w:r>
                </w:p>
              </w:txbxContent>
            </v:textbox>
          </v:shape>
          <v:shape id="_x0000_s2057" type="#_x0000_t202" style="position:absolute;left:3246;top:2578;width:7993;height:627" strokecolor="white">
            <v:textbox style="mso-next-textbox:#_x0000_s2057">
              <w:txbxContent>
                <w:p w:rsidR="00E96BC3" w:rsidRDefault="00E96BC3" w:rsidP="005E42B1">
                  <w:pPr>
                    <w:pStyle w:val="a3"/>
                    <w:wordWrap w:val="0"/>
                    <w:ind w:right="420"/>
                  </w:pPr>
                  <w:r>
                    <w:rPr>
                      <w:rFonts w:hint="eastAsia"/>
                    </w:rPr>
                    <w:t>万晓微</w:t>
                  </w:r>
                  <w:r>
                    <w:t xml:space="preserve">  </w:t>
                  </w:r>
                  <w:r>
                    <w:rPr>
                      <w:rFonts w:hint="eastAsia"/>
                    </w:rPr>
                    <w:t>联系人</w:t>
                  </w:r>
                </w:p>
                <w:p w:rsidR="00E96BC3" w:rsidRPr="006E0F3C" w:rsidRDefault="00E96BC3" w:rsidP="005E42B1">
                  <w:pPr>
                    <w:pStyle w:val="a3"/>
                  </w:pPr>
                  <w:r>
                    <w:rPr>
                      <w:rFonts w:hint="eastAsia"/>
                    </w:rPr>
                    <w:t>杨</w:t>
                  </w:r>
                  <w:r>
                    <w:t xml:space="preserve">  </w:t>
                  </w:r>
                  <w:r>
                    <w:rPr>
                      <w:rFonts w:hint="eastAsia"/>
                    </w:rPr>
                    <w:t>舒</w:t>
                  </w:r>
                  <w:r w:rsidRPr="006E0F3C">
                    <w:t xml:space="preserve"> </w:t>
                  </w:r>
                  <w:r>
                    <w:t xml:space="preserve"> </w:t>
                  </w:r>
                  <w:r>
                    <w:rPr>
                      <w:rFonts w:hint="eastAsia"/>
                    </w:rPr>
                    <w:t>高级</w:t>
                  </w:r>
                  <w:r w:rsidRPr="006E0F3C">
                    <w:rPr>
                      <w:rFonts w:hint="eastAsia"/>
                    </w:rPr>
                    <w:t>分析师</w:t>
                  </w:r>
                  <w:r w:rsidRPr="006E0F3C">
                    <w:t xml:space="preserve"> </w:t>
                  </w:r>
                </w:p>
              </w:txbxContent>
            </v:textbox>
          </v:shape>
          <w10:anchorlock/>
        </v:group>
      </w:pict>
    </w:r>
    <w:r>
      <w:pict>
        <v:rect id="_x0000_i1038" style="width:571.2pt;height:2pt" o:hralign="center" o:hrstd="t" o:hrnoshade="t" o:hr="t" fillcolor="#e7a631"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
      </v:shape>
    </w:pict>
  </w:numPicBullet>
  <w:abstractNum w:abstractNumId="0">
    <w:nsid w:val="08014C42"/>
    <w:multiLevelType w:val="singleLevel"/>
    <w:tmpl w:val="B4861D4C"/>
    <w:lvl w:ilvl="0">
      <w:start w:val="1"/>
      <w:numFmt w:val="bullet"/>
      <w:pStyle w:val="CoverBullet"/>
      <w:lvlText w:val=""/>
      <w:lvlJc w:val="left"/>
      <w:pPr>
        <w:tabs>
          <w:tab w:val="num" w:pos="360"/>
        </w:tabs>
        <w:ind w:left="360" w:hanging="360"/>
      </w:pPr>
      <w:rPr>
        <w:rFonts w:ascii="Wingdings" w:hAnsi="Wingdings" w:hint="default"/>
        <w:color w:val="FF0000"/>
        <w:sz w:val="20"/>
      </w:rPr>
    </w:lvl>
  </w:abstractNum>
  <w:abstractNum w:abstractNumId="1">
    <w:nsid w:val="10E71F9D"/>
    <w:multiLevelType w:val="hybridMultilevel"/>
    <w:tmpl w:val="FF3C5942"/>
    <w:lvl w:ilvl="0" w:tplc="0409000B">
      <w:start w:val="1"/>
      <w:numFmt w:val="bullet"/>
      <w:lvlText w:val=""/>
      <w:lvlJc w:val="left"/>
      <w:pPr>
        <w:ind w:left="4248" w:hanging="420"/>
      </w:pPr>
      <w:rPr>
        <w:rFonts w:ascii="Wingdings" w:hAnsi="Wingdings" w:hint="default"/>
      </w:rPr>
    </w:lvl>
    <w:lvl w:ilvl="1" w:tplc="04090003" w:tentative="1">
      <w:start w:val="1"/>
      <w:numFmt w:val="bullet"/>
      <w:lvlText w:val=""/>
      <w:lvlJc w:val="left"/>
      <w:pPr>
        <w:ind w:left="4668" w:hanging="420"/>
      </w:pPr>
      <w:rPr>
        <w:rFonts w:ascii="Wingdings" w:hAnsi="Wingdings" w:hint="default"/>
      </w:rPr>
    </w:lvl>
    <w:lvl w:ilvl="2" w:tplc="04090005" w:tentative="1">
      <w:start w:val="1"/>
      <w:numFmt w:val="bullet"/>
      <w:lvlText w:val=""/>
      <w:lvlJc w:val="left"/>
      <w:pPr>
        <w:ind w:left="5088" w:hanging="420"/>
      </w:pPr>
      <w:rPr>
        <w:rFonts w:ascii="Wingdings" w:hAnsi="Wingdings" w:hint="default"/>
      </w:rPr>
    </w:lvl>
    <w:lvl w:ilvl="3" w:tplc="04090001" w:tentative="1">
      <w:start w:val="1"/>
      <w:numFmt w:val="bullet"/>
      <w:lvlText w:val=""/>
      <w:lvlJc w:val="left"/>
      <w:pPr>
        <w:ind w:left="5508" w:hanging="420"/>
      </w:pPr>
      <w:rPr>
        <w:rFonts w:ascii="Wingdings" w:hAnsi="Wingdings" w:hint="default"/>
      </w:rPr>
    </w:lvl>
    <w:lvl w:ilvl="4" w:tplc="04090003" w:tentative="1">
      <w:start w:val="1"/>
      <w:numFmt w:val="bullet"/>
      <w:lvlText w:val=""/>
      <w:lvlJc w:val="left"/>
      <w:pPr>
        <w:ind w:left="5928" w:hanging="420"/>
      </w:pPr>
      <w:rPr>
        <w:rFonts w:ascii="Wingdings" w:hAnsi="Wingdings" w:hint="default"/>
      </w:rPr>
    </w:lvl>
    <w:lvl w:ilvl="5" w:tplc="04090005" w:tentative="1">
      <w:start w:val="1"/>
      <w:numFmt w:val="bullet"/>
      <w:lvlText w:val=""/>
      <w:lvlJc w:val="left"/>
      <w:pPr>
        <w:ind w:left="6348" w:hanging="420"/>
      </w:pPr>
      <w:rPr>
        <w:rFonts w:ascii="Wingdings" w:hAnsi="Wingdings" w:hint="default"/>
      </w:rPr>
    </w:lvl>
    <w:lvl w:ilvl="6" w:tplc="04090001" w:tentative="1">
      <w:start w:val="1"/>
      <w:numFmt w:val="bullet"/>
      <w:lvlText w:val=""/>
      <w:lvlJc w:val="left"/>
      <w:pPr>
        <w:ind w:left="6768" w:hanging="420"/>
      </w:pPr>
      <w:rPr>
        <w:rFonts w:ascii="Wingdings" w:hAnsi="Wingdings" w:hint="default"/>
      </w:rPr>
    </w:lvl>
    <w:lvl w:ilvl="7" w:tplc="04090003" w:tentative="1">
      <w:start w:val="1"/>
      <w:numFmt w:val="bullet"/>
      <w:lvlText w:val=""/>
      <w:lvlJc w:val="left"/>
      <w:pPr>
        <w:ind w:left="7188" w:hanging="420"/>
      </w:pPr>
      <w:rPr>
        <w:rFonts w:ascii="Wingdings" w:hAnsi="Wingdings" w:hint="default"/>
      </w:rPr>
    </w:lvl>
    <w:lvl w:ilvl="8" w:tplc="04090005" w:tentative="1">
      <w:start w:val="1"/>
      <w:numFmt w:val="bullet"/>
      <w:lvlText w:val=""/>
      <w:lvlJc w:val="left"/>
      <w:pPr>
        <w:ind w:left="7608" w:hanging="420"/>
      </w:pPr>
      <w:rPr>
        <w:rFonts w:ascii="Wingdings" w:hAnsi="Wingdings" w:hint="default"/>
      </w:rPr>
    </w:lvl>
  </w:abstractNum>
  <w:abstractNum w:abstractNumId="2">
    <w:nsid w:val="492C6DD3"/>
    <w:multiLevelType w:val="hybridMultilevel"/>
    <w:tmpl w:val="6EAE99B8"/>
    <w:lvl w:ilvl="0" w:tplc="A1E68908">
      <w:start w:val="1"/>
      <w:numFmt w:val="bullet"/>
      <w:lvlText w:val=""/>
      <w:lvlJc w:val="left"/>
      <w:pPr>
        <w:tabs>
          <w:tab w:val="num" w:pos="4329"/>
        </w:tabs>
        <w:ind w:left="3969"/>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B0CACDC8">
      <w:start w:val="1"/>
      <w:numFmt w:val="bullet"/>
      <w:lvlText w:val=""/>
      <w:lvlJc w:val="left"/>
      <w:pPr>
        <w:tabs>
          <w:tab w:val="num" w:pos="4106"/>
        </w:tabs>
        <w:ind w:left="4106" w:hanging="420"/>
      </w:pPr>
      <w:rPr>
        <w:rFonts w:ascii="Wingdings" w:hAnsi="Wingdings" w:hint="default"/>
        <w:sz w:val="15"/>
      </w:rPr>
    </w:lvl>
    <w:lvl w:ilvl="3" w:tplc="04090001">
      <w:start w:val="1"/>
      <w:numFmt w:val="bullet"/>
      <w:lvlText w:val=""/>
      <w:lvlJc w:val="left"/>
      <w:pPr>
        <w:tabs>
          <w:tab w:val="num" w:pos="5082"/>
        </w:tabs>
        <w:ind w:left="5082" w:hanging="420"/>
      </w:pPr>
      <w:rPr>
        <w:rFonts w:ascii="Wingdings" w:hAnsi="Wingdings" w:hint="default"/>
      </w:rPr>
    </w:lvl>
    <w:lvl w:ilvl="4" w:tplc="AC7CA5DC">
      <w:start w:val="1"/>
      <w:numFmt w:val="bullet"/>
      <w:lvlText w:val=""/>
      <w:lvlJc w:val="left"/>
      <w:pPr>
        <w:tabs>
          <w:tab w:val="num" w:pos="3799"/>
        </w:tabs>
        <w:ind w:left="3799" w:hanging="369"/>
      </w:pPr>
      <w:rPr>
        <w:rFonts w:ascii="Wingdings" w:eastAsia="KaiTi_GB2312" w:hAnsi="Wingdings" w:hint="default"/>
        <w:b w:val="0"/>
        <w:i w:val="0"/>
        <w:color w:val="auto"/>
        <w:sz w:val="18"/>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3">
    <w:nsid w:val="49A16DB4"/>
    <w:multiLevelType w:val="hybridMultilevel"/>
    <w:tmpl w:val="4E9C4D18"/>
    <w:lvl w:ilvl="0" w:tplc="A1E68908">
      <w:start w:val="1"/>
      <w:numFmt w:val="bullet"/>
      <w:lvlText w:val=""/>
      <w:lvlJc w:val="left"/>
      <w:pPr>
        <w:tabs>
          <w:tab w:val="num" w:pos="4329"/>
        </w:tabs>
        <w:ind w:left="3969"/>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15407DAC">
      <w:start w:val="1"/>
      <w:numFmt w:val="bullet"/>
      <w:lvlText w:val=""/>
      <w:lvlJc w:val="left"/>
      <w:pPr>
        <w:tabs>
          <w:tab w:val="num" w:pos="3799"/>
        </w:tabs>
        <w:ind w:left="3799" w:hanging="369"/>
      </w:pPr>
      <w:rPr>
        <w:rFonts w:ascii="Wingdings" w:hAnsi="Wingdings" w:hint="default"/>
        <w:b w:val="0"/>
        <w:i w:val="0"/>
        <w:color w:val="auto"/>
        <w:sz w:val="18"/>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4">
    <w:nsid w:val="5E8271C1"/>
    <w:multiLevelType w:val="hybridMultilevel"/>
    <w:tmpl w:val="6B68E90C"/>
    <w:lvl w:ilvl="0" w:tplc="A1E68908">
      <w:start w:val="1"/>
      <w:numFmt w:val="bullet"/>
      <w:lvlText w:val=""/>
      <w:lvlJc w:val="left"/>
      <w:pPr>
        <w:tabs>
          <w:tab w:val="num" w:pos="4329"/>
        </w:tabs>
        <w:ind w:left="3969"/>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31DAFFE0">
      <w:start w:val="1"/>
      <w:numFmt w:val="bullet"/>
      <w:lvlText w:val=""/>
      <w:lvlJc w:val="left"/>
      <w:pPr>
        <w:tabs>
          <w:tab w:val="num" w:pos="3649"/>
        </w:tabs>
        <w:ind w:left="3289"/>
      </w:pPr>
      <w:rPr>
        <w:rFonts w:ascii="Wingdings" w:eastAsia="宋体" w:hAnsi="Wingdings" w:hint="default"/>
        <w:b w:val="0"/>
        <w:i w:val="0"/>
        <w:color w:val="000565"/>
        <w:sz w:val="18"/>
      </w:rPr>
    </w:lvl>
    <w:lvl w:ilvl="5" w:tplc="DDC8F30C">
      <w:start w:val="1"/>
      <w:numFmt w:val="bullet"/>
      <w:lvlText w:val=""/>
      <w:lvlJc w:val="left"/>
      <w:pPr>
        <w:tabs>
          <w:tab w:val="num" w:pos="4139"/>
        </w:tabs>
        <w:ind w:left="4139" w:hanging="368"/>
      </w:pPr>
      <w:rPr>
        <w:rFonts w:ascii="Wingdings 2" w:eastAsia="KaiTi_GB2312" w:hAnsi="Wingdings 2" w:hint="default"/>
        <w:b w:val="0"/>
        <w:i w:val="0"/>
        <w:sz w:val="18"/>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5">
    <w:nsid w:val="66145FDE"/>
    <w:multiLevelType w:val="singleLevel"/>
    <w:tmpl w:val="918C41C0"/>
    <w:lvl w:ilvl="0">
      <w:start w:val="1"/>
      <w:numFmt w:val="bullet"/>
      <w:pStyle w:val="BulletCoverpage"/>
      <w:lvlText w:val=""/>
      <w:lvlJc w:val="left"/>
      <w:pPr>
        <w:tabs>
          <w:tab w:val="num" w:pos="0"/>
        </w:tabs>
        <w:ind w:left="227" w:hanging="227"/>
      </w:pPr>
      <w:rPr>
        <w:rFonts w:ascii="Monotype Sorts" w:hAnsi="Monotype Sorts" w:hint="default"/>
        <w:color w:val="FF0000"/>
        <w:sz w:val="16"/>
      </w:rPr>
    </w:lvl>
  </w:abstractNum>
  <w:abstractNum w:abstractNumId="6">
    <w:nsid w:val="7DB2660F"/>
    <w:multiLevelType w:val="hybridMultilevel"/>
    <w:tmpl w:val="20BAD2A2"/>
    <w:lvl w:ilvl="0" w:tplc="74927076">
      <w:start w:val="1"/>
      <w:numFmt w:val="bullet"/>
      <w:pStyle w:val="Heading1"/>
      <w:lvlText w:val=""/>
      <w:lvlPicBulletId w:val="0"/>
      <w:lvlJc w:val="left"/>
      <w:pPr>
        <w:ind w:left="1620" w:hanging="420"/>
      </w:pPr>
      <w:rPr>
        <w:rFonts w:ascii="Symbol" w:hAnsi="Symbol" w:hint="default"/>
        <w:color w:val="auto"/>
      </w:rPr>
    </w:lvl>
    <w:lvl w:ilvl="1" w:tplc="04090003" w:tentative="1">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num w:numId="1">
    <w:abstractNumId w:val="2"/>
  </w:num>
  <w:num w:numId="2">
    <w:abstractNumId w:val="4"/>
  </w:num>
  <w:num w:numId="3">
    <w:abstractNumId w:val="0"/>
  </w:num>
  <w:num w:numId="4">
    <w:abstractNumId w:val="5"/>
  </w:num>
  <w:num w:numId="5">
    <w:abstractNumId w:val="3"/>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0000"/>
    <w:rsid w:val="00000141"/>
    <w:rsid w:val="00000D21"/>
    <w:rsid w:val="00000FDF"/>
    <w:rsid w:val="0000120D"/>
    <w:rsid w:val="00001D3E"/>
    <w:rsid w:val="00003645"/>
    <w:rsid w:val="00003664"/>
    <w:rsid w:val="00004B2E"/>
    <w:rsid w:val="00006269"/>
    <w:rsid w:val="00006540"/>
    <w:rsid w:val="000067F9"/>
    <w:rsid w:val="000067FB"/>
    <w:rsid w:val="00007D8C"/>
    <w:rsid w:val="00011851"/>
    <w:rsid w:val="000119BE"/>
    <w:rsid w:val="000126C4"/>
    <w:rsid w:val="00012FFF"/>
    <w:rsid w:val="0001365A"/>
    <w:rsid w:val="00013790"/>
    <w:rsid w:val="000143E6"/>
    <w:rsid w:val="00015E23"/>
    <w:rsid w:val="0001604D"/>
    <w:rsid w:val="000162FF"/>
    <w:rsid w:val="000204F2"/>
    <w:rsid w:val="000212A0"/>
    <w:rsid w:val="00021301"/>
    <w:rsid w:val="000215CD"/>
    <w:rsid w:val="0002164B"/>
    <w:rsid w:val="000219A1"/>
    <w:rsid w:val="000225B4"/>
    <w:rsid w:val="00024188"/>
    <w:rsid w:val="00024C7D"/>
    <w:rsid w:val="00026FF9"/>
    <w:rsid w:val="000305DC"/>
    <w:rsid w:val="00031276"/>
    <w:rsid w:val="000341C3"/>
    <w:rsid w:val="00034C20"/>
    <w:rsid w:val="00036038"/>
    <w:rsid w:val="00036353"/>
    <w:rsid w:val="00036AB5"/>
    <w:rsid w:val="00036BCD"/>
    <w:rsid w:val="00037343"/>
    <w:rsid w:val="000374FE"/>
    <w:rsid w:val="00037BAF"/>
    <w:rsid w:val="00042A77"/>
    <w:rsid w:val="000461F6"/>
    <w:rsid w:val="0004751A"/>
    <w:rsid w:val="00047523"/>
    <w:rsid w:val="00047EDC"/>
    <w:rsid w:val="000507E5"/>
    <w:rsid w:val="0005101C"/>
    <w:rsid w:val="000522ED"/>
    <w:rsid w:val="0005299A"/>
    <w:rsid w:val="00053854"/>
    <w:rsid w:val="00056D77"/>
    <w:rsid w:val="00057142"/>
    <w:rsid w:val="00060829"/>
    <w:rsid w:val="000621C7"/>
    <w:rsid w:val="0006243F"/>
    <w:rsid w:val="00062830"/>
    <w:rsid w:val="00062965"/>
    <w:rsid w:val="00064DAE"/>
    <w:rsid w:val="00064E08"/>
    <w:rsid w:val="00066D5E"/>
    <w:rsid w:val="000677D5"/>
    <w:rsid w:val="00070093"/>
    <w:rsid w:val="00070307"/>
    <w:rsid w:val="00072445"/>
    <w:rsid w:val="00073843"/>
    <w:rsid w:val="00073BEE"/>
    <w:rsid w:val="00073ED8"/>
    <w:rsid w:val="0007448E"/>
    <w:rsid w:val="00074E24"/>
    <w:rsid w:val="00075931"/>
    <w:rsid w:val="00080386"/>
    <w:rsid w:val="000803A7"/>
    <w:rsid w:val="00081D63"/>
    <w:rsid w:val="00081EA9"/>
    <w:rsid w:val="000822B8"/>
    <w:rsid w:val="00082331"/>
    <w:rsid w:val="00082805"/>
    <w:rsid w:val="000856DF"/>
    <w:rsid w:val="0009128D"/>
    <w:rsid w:val="000913FB"/>
    <w:rsid w:val="00091649"/>
    <w:rsid w:val="00091971"/>
    <w:rsid w:val="00091E0E"/>
    <w:rsid w:val="000929C7"/>
    <w:rsid w:val="00092C5E"/>
    <w:rsid w:val="000941BB"/>
    <w:rsid w:val="00094650"/>
    <w:rsid w:val="00097363"/>
    <w:rsid w:val="00097FE0"/>
    <w:rsid w:val="000A22A7"/>
    <w:rsid w:val="000A284C"/>
    <w:rsid w:val="000A2DCE"/>
    <w:rsid w:val="000A2FAE"/>
    <w:rsid w:val="000A384C"/>
    <w:rsid w:val="000B0D20"/>
    <w:rsid w:val="000B21FF"/>
    <w:rsid w:val="000B31B2"/>
    <w:rsid w:val="000B3641"/>
    <w:rsid w:val="000B5823"/>
    <w:rsid w:val="000B6F19"/>
    <w:rsid w:val="000B6F70"/>
    <w:rsid w:val="000B712C"/>
    <w:rsid w:val="000B716A"/>
    <w:rsid w:val="000B7203"/>
    <w:rsid w:val="000B7303"/>
    <w:rsid w:val="000B7C3D"/>
    <w:rsid w:val="000C023E"/>
    <w:rsid w:val="000C0348"/>
    <w:rsid w:val="000C088F"/>
    <w:rsid w:val="000C08C5"/>
    <w:rsid w:val="000C15DC"/>
    <w:rsid w:val="000C18B7"/>
    <w:rsid w:val="000C32D5"/>
    <w:rsid w:val="000C32DA"/>
    <w:rsid w:val="000C3A57"/>
    <w:rsid w:val="000C4D6A"/>
    <w:rsid w:val="000C4EBD"/>
    <w:rsid w:val="000C51A4"/>
    <w:rsid w:val="000C6B9E"/>
    <w:rsid w:val="000C6E03"/>
    <w:rsid w:val="000C7DF2"/>
    <w:rsid w:val="000D01F8"/>
    <w:rsid w:val="000D1136"/>
    <w:rsid w:val="000D27F8"/>
    <w:rsid w:val="000D4A66"/>
    <w:rsid w:val="000D6FC5"/>
    <w:rsid w:val="000D73AB"/>
    <w:rsid w:val="000E05DC"/>
    <w:rsid w:val="000E14C2"/>
    <w:rsid w:val="000E17E0"/>
    <w:rsid w:val="000E1E84"/>
    <w:rsid w:val="000E1F81"/>
    <w:rsid w:val="000E217B"/>
    <w:rsid w:val="000E2CA5"/>
    <w:rsid w:val="000E371E"/>
    <w:rsid w:val="000E37D5"/>
    <w:rsid w:val="000E39C2"/>
    <w:rsid w:val="000E5E16"/>
    <w:rsid w:val="000E62CE"/>
    <w:rsid w:val="000E6D9A"/>
    <w:rsid w:val="000E713F"/>
    <w:rsid w:val="000F0312"/>
    <w:rsid w:val="000F10CB"/>
    <w:rsid w:val="000F325C"/>
    <w:rsid w:val="001003DE"/>
    <w:rsid w:val="00100572"/>
    <w:rsid w:val="00100CB5"/>
    <w:rsid w:val="00102234"/>
    <w:rsid w:val="001024F4"/>
    <w:rsid w:val="001029D0"/>
    <w:rsid w:val="00103C41"/>
    <w:rsid w:val="00104265"/>
    <w:rsid w:val="001063EA"/>
    <w:rsid w:val="001064E7"/>
    <w:rsid w:val="00106D18"/>
    <w:rsid w:val="001073F0"/>
    <w:rsid w:val="0010775F"/>
    <w:rsid w:val="001106F0"/>
    <w:rsid w:val="00111BEB"/>
    <w:rsid w:val="00111D39"/>
    <w:rsid w:val="001123BE"/>
    <w:rsid w:val="001130D2"/>
    <w:rsid w:val="00113E7A"/>
    <w:rsid w:val="00114389"/>
    <w:rsid w:val="00115337"/>
    <w:rsid w:val="001169B2"/>
    <w:rsid w:val="00120197"/>
    <w:rsid w:val="00120F16"/>
    <w:rsid w:val="00121295"/>
    <w:rsid w:val="001230AE"/>
    <w:rsid w:val="00123A20"/>
    <w:rsid w:val="00123F2B"/>
    <w:rsid w:val="0012463A"/>
    <w:rsid w:val="00125825"/>
    <w:rsid w:val="00126B45"/>
    <w:rsid w:val="00127385"/>
    <w:rsid w:val="00130016"/>
    <w:rsid w:val="00130213"/>
    <w:rsid w:val="00130DAF"/>
    <w:rsid w:val="001312C8"/>
    <w:rsid w:val="0013161E"/>
    <w:rsid w:val="0013294D"/>
    <w:rsid w:val="0013351F"/>
    <w:rsid w:val="00133AAB"/>
    <w:rsid w:val="00136BFE"/>
    <w:rsid w:val="00137C4A"/>
    <w:rsid w:val="001403F1"/>
    <w:rsid w:val="001458C0"/>
    <w:rsid w:val="00146452"/>
    <w:rsid w:val="00147EA7"/>
    <w:rsid w:val="001506C6"/>
    <w:rsid w:val="00150FC3"/>
    <w:rsid w:val="001522E7"/>
    <w:rsid w:val="00152902"/>
    <w:rsid w:val="001531C5"/>
    <w:rsid w:val="001533D0"/>
    <w:rsid w:val="001538BD"/>
    <w:rsid w:val="00154684"/>
    <w:rsid w:val="00154896"/>
    <w:rsid w:val="00154C4E"/>
    <w:rsid w:val="0015518D"/>
    <w:rsid w:val="00155E7B"/>
    <w:rsid w:val="0015777B"/>
    <w:rsid w:val="00160A00"/>
    <w:rsid w:val="00160B05"/>
    <w:rsid w:val="0016637B"/>
    <w:rsid w:val="00166B27"/>
    <w:rsid w:val="0016750A"/>
    <w:rsid w:val="0017058D"/>
    <w:rsid w:val="001707EB"/>
    <w:rsid w:val="001709A2"/>
    <w:rsid w:val="00170E5D"/>
    <w:rsid w:val="00171E16"/>
    <w:rsid w:val="00172C7D"/>
    <w:rsid w:val="0017320D"/>
    <w:rsid w:val="001732F3"/>
    <w:rsid w:val="001735B0"/>
    <w:rsid w:val="001736DF"/>
    <w:rsid w:val="00174454"/>
    <w:rsid w:val="001757C6"/>
    <w:rsid w:val="001757D1"/>
    <w:rsid w:val="001757EC"/>
    <w:rsid w:val="001765DA"/>
    <w:rsid w:val="00176FFB"/>
    <w:rsid w:val="00181DC4"/>
    <w:rsid w:val="00181DE3"/>
    <w:rsid w:val="00181FF9"/>
    <w:rsid w:val="001824C1"/>
    <w:rsid w:val="00183A83"/>
    <w:rsid w:val="00185298"/>
    <w:rsid w:val="00185397"/>
    <w:rsid w:val="001866D5"/>
    <w:rsid w:val="00187DBC"/>
    <w:rsid w:val="00190A08"/>
    <w:rsid w:val="001913B3"/>
    <w:rsid w:val="00192281"/>
    <w:rsid w:val="001929EF"/>
    <w:rsid w:val="00193191"/>
    <w:rsid w:val="00194A20"/>
    <w:rsid w:val="00196AEC"/>
    <w:rsid w:val="00196BC9"/>
    <w:rsid w:val="001A04CB"/>
    <w:rsid w:val="001A20EF"/>
    <w:rsid w:val="001A357D"/>
    <w:rsid w:val="001A4657"/>
    <w:rsid w:val="001A7013"/>
    <w:rsid w:val="001A74F7"/>
    <w:rsid w:val="001B0FB5"/>
    <w:rsid w:val="001B197C"/>
    <w:rsid w:val="001B1A86"/>
    <w:rsid w:val="001B1E97"/>
    <w:rsid w:val="001B3B5C"/>
    <w:rsid w:val="001B3B9B"/>
    <w:rsid w:val="001B3E3A"/>
    <w:rsid w:val="001B4102"/>
    <w:rsid w:val="001B472A"/>
    <w:rsid w:val="001B4F00"/>
    <w:rsid w:val="001B4F35"/>
    <w:rsid w:val="001B5C91"/>
    <w:rsid w:val="001B6D17"/>
    <w:rsid w:val="001B6D2E"/>
    <w:rsid w:val="001B7AA9"/>
    <w:rsid w:val="001C0504"/>
    <w:rsid w:val="001C1C98"/>
    <w:rsid w:val="001C2E66"/>
    <w:rsid w:val="001C3226"/>
    <w:rsid w:val="001C343E"/>
    <w:rsid w:val="001D0941"/>
    <w:rsid w:val="001D0ED6"/>
    <w:rsid w:val="001D10EA"/>
    <w:rsid w:val="001D15BF"/>
    <w:rsid w:val="001D1F68"/>
    <w:rsid w:val="001D293B"/>
    <w:rsid w:val="001D33CC"/>
    <w:rsid w:val="001D45B3"/>
    <w:rsid w:val="001D4758"/>
    <w:rsid w:val="001D5DD8"/>
    <w:rsid w:val="001D6224"/>
    <w:rsid w:val="001D6DEE"/>
    <w:rsid w:val="001D75AA"/>
    <w:rsid w:val="001E182A"/>
    <w:rsid w:val="001E1D7C"/>
    <w:rsid w:val="001E2223"/>
    <w:rsid w:val="001E2509"/>
    <w:rsid w:val="001E3E6D"/>
    <w:rsid w:val="001E3FEC"/>
    <w:rsid w:val="001E5298"/>
    <w:rsid w:val="001E571E"/>
    <w:rsid w:val="001E5E74"/>
    <w:rsid w:val="001E6FE6"/>
    <w:rsid w:val="001E7012"/>
    <w:rsid w:val="001F1187"/>
    <w:rsid w:val="001F13E5"/>
    <w:rsid w:val="001F2B31"/>
    <w:rsid w:val="001F3F91"/>
    <w:rsid w:val="001F4217"/>
    <w:rsid w:val="001F5143"/>
    <w:rsid w:val="001F5653"/>
    <w:rsid w:val="001F602C"/>
    <w:rsid w:val="00200F65"/>
    <w:rsid w:val="0020555F"/>
    <w:rsid w:val="0021175A"/>
    <w:rsid w:val="002123E6"/>
    <w:rsid w:val="00212517"/>
    <w:rsid w:val="00212819"/>
    <w:rsid w:val="002134BF"/>
    <w:rsid w:val="0021355A"/>
    <w:rsid w:val="00215FD6"/>
    <w:rsid w:val="0021658D"/>
    <w:rsid w:val="00217126"/>
    <w:rsid w:val="00217252"/>
    <w:rsid w:val="00221A18"/>
    <w:rsid w:val="00223AC5"/>
    <w:rsid w:val="00224D0D"/>
    <w:rsid w:val="00225508"/>
    <w:rsid w:val="0022551E"/>
    <w:rsid w:val="00225E44"/>
    <w:rsid w:val="00226D20"/>
    <w:rsid w:val="00227C4D"/>
    <w:rsid w:val="00230CEA"/>
    <w:rsid w:val="00231AF8"/>
    <w:rsid w:val="002327F6"/>
    <w:rsid w:val="00233317"/>
    <w:rsid w:val="002338C0"/>
    <w:rsid w:val="00233AC4"/>
    <w:rsid w:val="002344A5"/>
    <w:rsid w:val="00235525"/>
    <w:rsid w:val="002370DC"/>
    <w:rsid w:val="002379F3"/>
    <w:rsid w:val="002413CF"/>
    <w:rsid w:val="00241CE2"/>
    <w:rsid w:val="002423F7"/>
    <w:rsid w:val="0024271D"/>
    <w:rsid w:val="00242D53"/>
    <w:rsid w:val="00242D8D"/>
    <w:rsid w:val="00243980"/>
    <w:rsid w:val="00245068"/>
    <w:rsid w:val="002451DB"/>
    <w:rsid w:val="00245B98"/>
    <w:rsid w:val="00246A3D"/>
    <w:rsid w:val="002479FC"/>
    <w:rsid w:val="00247B9F"/>
    <w:rsid w:val="0025038E"/>
    <w:rsid w:val="0025117A"/>
    <w:rsid w:val="0025195E"/>
    <w:rsid w:val="00252878"/>
    <w:rsid w:val="00253953"/>
    <w:rsid w:val="00253B42"/>
    <w:rsid w:val="00256FE2"/>
    <w:rsid w:val="0025748F"/>
    <w:rsid w:val="00257525"/>
    <w:rsid w:val="00257B4B"/>
    <w:rsid w:val="00257D31"/>
    <w:rsid w:val="0026029B"/>
    <w:rsid w:val="00261ADB"/>
    <w:rsid w:val="00261BE7"/>
    <w:rsid w:val="002637EF"/>
    <w:rsid w:val="0026413E"/>
    <w:rsid w:val="002643C4"/>
    <w:rsid w:val="002645D0"/>
    <w:rsid w:val="00264C5C"/>
    <w:rsid w:val="002656A6"/>
    <w:rsid w:val="002659DF"/>
    <w:rsid w:val="00265B6D"/>
    <w:rsid w:val="00265D17"/>
    <w:rsid w:val="0027079A"/>
    <w:rsid w:val="00272F28"/>
    <w:rsid w:val="00273C1B"/>
    <w:rsid w:val="00275EC5"/>
    <w:rsid w:val="00276D8F"/>
    <w:rsid w:val="0027722C"/>
    <w:rsid w:val="00281145"/>
    <w:rsid w:val="00281F38"/>
    <w:rsid w:val="00281FF8"/>
    <w:rsid w:val="002840F1"/>
    <w:rsid w:val="00284688"/>
    <w:rsid w:val="00284CD1"/>
    <w:rsid w:val="00286F58"/>
    <w:rsid w:val="00290143"/>
    <w:rsid w:val="00290712"/>
    <w:rsid w:val="0029089C"/>
    <w:rsid w:val="00290EC1"/>
    <w:rsid w:val="002919F1"/>
    <w:rsid w:val="00291B5F"/>
    <w:rsid w:val="00292E2D"/>
    <w:rsid w:val="00293321"/>
    <w:rsid w:val="00293928"/>
    <w:rsid w:val="00293A8D"/>
    <w:rsid w:val="00294614"/>
    <w:rsid w:val="0029599D"/>
    <w:rsid w:val="00296C0E"/>
    <w:rsid w:val="00297532"/>
    <w:rsid w:val="00297F35"/>
    <w:rsid w:val="002A1208"/>
    <w:rsid w:val="002A190B"/>
    <w:rsid w:val="002A3099"/>
    <w:rsid w:val="002A34F9"/>
    <w:rsid w:val="002A37A1"/>
    <w:rsid w:val="002A3FBB"/>
    <w:rsid w:val="002A45E7"/>
    <w:rsid w:val="002A5630"/>
    <w:rsid w:val="002A6AB8"/>
    <w:rsid w:val="002A7560"/>
    <w:rsid w:val="002A79C3"/>
    <w:rsid w:val="002B0922"/>
    <w:rsid w:val="002B0F8E"/>
    <w:rsid w:val="002B114E"/>
    <w:rsid w:val="002B128A"/>
    <w:rsid w:val="002B1A4F"/>
    <w:rsid w:val="002B3374"/>
    <w:rsid w:val="002B3515"/>
    <w:rsid w:val="002B3544"/>
    <w:rsid w:val="002B368B"/>
    <w:rsid w:val="002B4921"/>
    <w:rsid w:val="002B5A7F"/>
    <w:rsid w:val="002B615B"/>
    <w:rsid w:val="002B7B9F"/>
    <w:rsid w:val="002C0245"/>
    <w:rsid w:val="002C095D"/>
    <w:rsid w:val="002C0C0A"/>
    <w:rsid w:val="002C1257"/>
    <w:rsid w:val="002C2F59"/>
    <w:rsid w:val="002C337A"/>
    <w:rsid w:val="002C5323"/>
    <w:rsid w:val="002C5822"/>
    <w:rsid w:val="002C6DA1"/>
    <w:rsid w:val="002C75C8"/>
    <w:rsid w:val="002C777A"/>
    <w:rsid w:val="002D013F"/>
    <w:rsid w:val="002D0968"/>
    <w:rsid w:val="002D1F64"/>
    <w:rsid w:val="002D26EA"/>
    <w:rsid w:val="002D2967"/>
    <w:rsid w:val="002D33C7"/>
    <w:rsid w:val="002D361E"/>
    <w:rsid w:val="002D3F9A"/>
    <w:rsid w:val="002D47FE"/>
    <w:rsid w:val="002D7B70"/>
    <w:rsid w:val="002D7BF5"/>
    <w:rsid w:val="002E0C37"/>
    <w:rsid w:val="002E12A4"/>
    <w:rsid w:val="002E1DB4"/>
    <w:rsid w:val="002E21CD"/>
    <w:rsid w:val="002E5B19"/>
    <w:rsid w:val="002E6183"/>
    <w:rsid w:val="002E772B"/>
    <w:rsid w:val="002E77AD"/>
    <w:rsid w:val="002E7B53"/>
    <w:rsid w:val="002F185F"/>
    <w:rsid w:val="002F1C35"/>
    <w:rsid w:val="002F1D00"/>
    <w:rsid w:val="002F2866"/>
    <w:rsid w:val="002F3B45"/>
    <w:rsid w:val="002F45A3"/>
    <w:rsid w:val="002F4660"/>
    <w:rsid w:val="002F504E"/>
    <w:rsid w:val="002F55EC"/>
    <w:rsid w:val="002F5B82"/>
    <w:rsid w:val="002F5E62"/>
    <w:rsid w:val="002F6B09"/>
    <w:rsid w:val="00300242"/>
    <w:rsid w:val="00300A5A"/>
    <w:rsid w:val="00302EDB"/>
    <w:rsid w:val="00303164"/>
    <w:rsid w:val="00304661"/>
    <w:rsid w:val="00305313"/>
    <w:rsid w:val="003069F4"/>
    <w:rsid w:val="003072D1"/>
    <w:rsid w:val="003073E4"/>
    <w:rsid w:val="00310E88"/>
    <w:rsid w:val="00310FA9"/>
    <w:rsid w:val="00311935"/>
    <w:rsid w:val="00313F33"/>
    <w:rsid w:val="00314942"/>
    <w:rsid w:val="00315ECA"/>
    <w:rsid w:val="003162DE"/>
    <w:rsid w:val="003163A1"/>
    <w:rsid w:val="003168D1"/>
    <w:rsid w:val="003173B8"/>
    <w:rsid w:val="00322227"/>
    <w:rsid w:val="00323F6F"/>
    <w:rsid w:val="00324CBF"/>
    <w:rsid w:val="003253E4"/>
    <w:rsid w:val="003258CF"/>
    <w:rsid w:val="00325916"/>
    <w:rsid w:val="00326DD8"/>
    <w:rsid w:val="00327C6B"/>
    <w:rsid w:val="00330C9D"/>
    <w:rsid w:val="0033170F"/>
    <w:rsid w:val="00331CA2"/>
    <w:rsid w:val="00334383"/>
    <w:rsid w:val="00335140"/>
    <w:rsid w:val="003362A1"/>
    <w:rsid w:val="00336F80"/>
    <w:rsid w:val="003373AC"/>
    <w:rsid w:val="003406CE"/>
    <w:rsid w:val="003417B7"/>
    <w:rsid w:val="00341CB3"/>
    <w:rsid w:val="00343429"/>
    <w:rsid w:val="0034351F"/>
    <w:rsid w:val="00343694"/>
    <w:rsid w:val="00343D07"/>
    <w:rsid w:val="003440C8"/>
    <w:rsid w:val="00344812"/>
    <w:rsid w:val="00344B0F"/>
    <w:rsid w:val="003462B6"/>
    <w:rsid w:val="003471C6"/>
    <w:rsid w:val="0035051D"/>
    <w:rsid w:val="0035107C"/>
    <w:rsid w:val="00351538"/>
    <w:rsid w:val="00354855"/>
    <w:rsid w:val="00354C5A"/>
    <w:rsid w:val="00354CB8"/>
    <w:rsid w:val="00355317"/>
    <w:rsid w:val="00355CC6"/>
    <w:rsid w:val="00356092"/>
    <w:rsid w:val="00357725"/>
    <w:rsid w:val="00357A68"/>
    <w:rsid w:val="0036098B"/>
    <w:rsid w:val="00360B1F"/>
    <w:rsid w:val="003629A1"/>
    <w:rsid w:val="00362BDF"/>
    <w:rsid w:val="003630D1"/>
    <w:rsid w:val="00363312"/>
    <w:rsid w:val="0036352A"/>
    <w:rsid w:val="003637FA"/>
    <w:rsid w:val="00363986"/>
    <w:rsid w:val="00364108"/>
    <w:rsid w:val="00364CD1"/>
    <w:rsid w:val="00365F1B"/>
    <w:rsid w:val="00366189"/>
    <w:rsid w:val="00366935"/>
    <w:rsid w:val="00366E94"/>
    <w:rsid w:val="0036766C"/>
    <w:rsid w:val="00370701"/>
    <w:rsid w:val="00370A76"/>
    <w:rsid w:val="00370B61"/>
    <w:rsid w:val="00371002"/>
    <w:rsid w:val="00371BA7"/>
    <w:rsid w:val="003723DE"/>
    <w:rsid w:val="00372756"/>
    <w:rsid w:val="00372CE0"/>
    <w:rsid w:val="003737C6"/>
    <w:rsid w:val="00373948"/>
    <w:rsid w:val="00373A37"/>
    <w:rsid w:val="0037412F"/>
    <w:rsid w:val="00374506"/>
    <w:rsid w:val="003746B1"/>
    <w:rsid w:val="0037492D"/>
    <w:rsid w:val="00374BA5"/>
    <w:rsid w:val="00375B9D"/>
    <w:rsid w:val="003771E7"/>
    <w:rsid w:val="003778C1"/>
    <w:rsid w:val="00377F18"/>
    <w:rsid w:val="0038003D"/>
    <w:rsid w:val="00380361"/>
    <w:rsid w:val="00380EEB"/>
    <w:rsid w:val="00381AC5"/>
    <w:rsid w:val="00382364"/>
    <w:rsid w:val="0038273D"/>
    <w:rsid w:val="00382C66"/>
    <w:rsid w:val="00382CDF"/>
    <w:rsid w:val="0038350E"/>
    <w:rsid w:val="00384718"/>
    <w:rsid w:val="00384812"/>
    <w:rsid w:val="003868A6"/>
    <w:rsid w:val="00386B54"/>
    <w:rsid w:val="00387780"/>
    <w:rsid w:val="003901F3"/>
    <w:rsid w:val="003903DA"/>
    <w:rsid w:val="00390A0F"/>
    <w:rsid w:val="003919B4"/>
    <w:rsid w:val="003920E5"/>
    <w:rsid w:val="0039344D"/>
    <w:rsid w:val="003936BE"/>
    <w:rsid w:val="003940C0"/>
    <w:rsid w:val="0039511A"/>
    <w:rsid w:val="00395B1F"/>
    <w:rsid w:val="003960A9"/>
    <w:rsid w:val="00396ECB"/>
    <w:rsid w:val="00397178"/>
    <w:rsid w:val="003A036D"/>
    <w:rsid w:val="003A0E58"/>
    <w:rsid w:val="003A2FAE"/>
    <w:rsid w:val="003A5083"/>
    <w:rsid w:val="003A50E7"/>
    <w:rsid w:val="003A5519"/>
    <w:rsid w:val="003A5C5F"/>
    <w:rsid w:val="003A6147"/>
    <w:rsid w:val="003B10CC"/>
    <w:rsid w:val="003B126E"/>
    <w:rsid w:val="003B1409"/>
    <w:rsid w:val="003B174B"/>
    <w:rsid w:val="003B2635"/>
    <w:rsid w:val="003B2637"/>
    <w:rsid w:val="003B35FC"/>
    <w:rsid w:val="003B3C9C"/>
    <w:rsid w:val="003B45D3"/>
    <w:rsid w:val="003B550A"/>
    <w:rsid w:val="003B5D7E"/>
    <w:rsid w:val="003B5E85"/>
    <w:rsid w:val="003B6A6A"/>
    <w:rsid w:val="003B6C66"/>
    <w:rsid w:val="003C0101"/>
    <w:rsid w:val="003C08A1"/>
    <w:rsid w:val="003C12B7"/>
    <w:rsid w:val="003C1392"/>
    <w:rsid w:val="003C13DB"/>
    <w:rsid w:val="003C24D0"/>
    <w:rsid w:val="003C2907"/>
    <w:rsid w:val="003C2CC0"/>
    <w:rsid w:val="003C5C90"/>
    <w:rsid w:val="003C77A2"/>
    <w:rsid w:val="003C7C60"/>
    <w:rsid w:val="003D3780"/>
    <w:rsid w:val="003D3C89"/>
    <w:rsid w:val="003D445A"/>
    <w:rsid w:val="003D4C21"/>
    <w:rsid w:val="003D4E0C"/>
    <w:rsid w:val="003E0FE3"/>
    <w:rsid w:val="003E104D"/>
    <w:rsid w:val="003E2C89"/>
    <w:rsid w:val="003E3E40"/>
    <w:rsid w:val="003E3F7D"/>
    <w:rsid w:val="003E597D"/>
    <w:rsid w:val="003E6742"/>
    <w:rsid w:val="003F0C5A"/>
    <w:rsid w:val="003F0F93"/>
    <w:rsid w:val="003F158A"/>
    <w:rsid w:val="003F15EB"/>
    <w:rsid w:val="003F18DA"/>
    <w:rsid w:val="003F2B05"/>
    <w:rsid w:val="003F3DCE"/>
    <w:rsid w:val="003F4C66"/>
    <w:rsid w:val="003F4C8D"/>
    <w:rsid w:val="003F501F"/>
    <w:rsid w:val="003F562A"/>
    <w:rsid w:val="003F647D"/>
    <w:rsid w:val="003F6D13"/>
    <w:rsid w:val="003F7490"/>
    <w:rsid w:val="003F7591"/>
    <w:rsid w:val="003F765F"/>
    <w:rsid w:val="004010BD"/>
    <w:rsid w:val="0040136A"/>
    <w:rsid w:val="00402243"/>
    <w:rsid w:val="00402302"/>
    <w:rsid w:val="004025B1"/>
    <w:rsid w:val="00403762"/>
    <w:rsid w:val="00403CD9"/>
    <w:rsid w:val="004041B3"/>
    <w:rsid w:val="004049E1"/>
    <w:rsid w:val="00404A3A"/>
    <w:rsid w:val="0040548E"/>
    <w:rsid w:val="00405C38"/>
    <w:rsid w:val="00406576"/>
    <w:rsid w:val="0040695C"/>
    <w:rsid w:val="0040729F"/>
    <w:rsid w:val="00407E0E"/>
    <w:rsid w:val="00410E46"/>
    <w:rsid w:val="00410F2F"/>
    <w:rsid w:val="004120F5"/>
    <w:rsid w:val="004125BB"/>
    <w:rsid w:val="004130AB"/>
    <w:rsid w:val="0041361B"/>
    <w:rsid w:val="00413A93"/>
    <w:rsid w:val="00414F28"/>
    <w:rsid w:val="00415080"/>
    <w:rsid w:val="00415B85"/>
    <w:rsid w:val="0041702F"/>
    <w:rsid w:val="00417258"/>
    <w:rsid w:val="00422D18"/>
    <w:rsid w:val="00423456"/>
    <w:rsid w:val="00423975"/>
    <w:rsid w:val="00424629"/>
    <w:rsid w:val="004251A4"/>
    <w:rsid w:val="004261CB"/>
    <w:rsid w:val="00426624"/>
    <w:rsid w:val="00426652"/>
    <w:rsid w:val="00427EB4"/>
    <w:rsid w:val="004305E5"/>
    <w:rsid w:val="00430B20"/>
    <w:rsid w:val="00431A05"/>
    <w:rsid w:val="00432BCA"/>
    <w:rsid w:val="00433C4A"/>
    <w:rsid w:val="00434CD4"/>
    <w:rsid w:val="00435858"/>
    <w:rsid w:val="00435E54"/>
    <w:rsid w:val="0043757C"/>
    <w:rsid w:val="00437894"/>
    <w:rsid w:val="004400BA"/>
    <w:rsid w:val="004402A1"/>
    <w:rsid w:val="0044069B"/>
    <w:rsid w:val="00441AD6"/>
    <w:rsid w:val="00442AF1"/>
    <w:rsid w:val="004431EC"/>
    <w:rsid w:val="00443354"/>
    <w:rsid w:val="00444107"/>
    <w:rsid w:val="00444B15"/>
    <w:rsid w:val="00444C11"/>
    <w:rsid w:val="00446E1B"/>
    <w:rsid w:val="00447E47"/>
    <w:rsid w:val="00450B25"/>
    <w:rsid w:val="00450EF2"/>
    <w:rsid w:val="004516BD"/>
    <w:rsid w:val="00451967"/>
    <w:rsid w:val="004520F9"/>
    <w:rsid w:val="004534F9"/>
    <w:rsid w:val="004564B0"/>
    <w:rsid w:val="00461B47"/>
    <w:rsid w:val="0046411E"/>
    <w:rsid w:val="00464A8B"/>
    <w:rsid w:val="0046524C"/>
    <w:rsid w:val="00465341"/>
    <w:rsid w:val="004654CC"/>
    <w:rsid w:val="0046596D"/>
    <w:rsid w:val="00465C63"/>
    <w:rsid w:val="004666BC"/>
    <w:rsid w:val="00466D12"/>
    <w:rsid w:val="00471251"/>
    <w:rsid w:val="004714B2"/>
    <w:rsid w:val="00471AC7"/>
    <w:rsid w:val="0047299E"/>
    <w:rsid w:val="0047414F"/>
    <w:rsid w:val="004757D9"/>
    <w:rsid w:val="00475DD9"/>
    <w:rsid w:val="004764E4"/>
    <w:rsid w:val="00476FE4"/>
    <w:rsid w:val="004803FA"/>
    <w:rsid w:val="00481C0D"/>
    <w:rsid w:val="004855C1"/>
    <w:rsid w:val="00486443"/>
    <w:rsid w:val="00486C57"/>
    <w:rsid w:val="00487536"/>
    <w:rsid w:val="004876B1"/>
    <w:rsid w:val="0049212C"/>
    <w:rsid w:val="00492A13"/>
    <w:rsid w:val="00493237"/>
    <w:rsid w:val="00493C77"/>
    <w:rsid w:val="00495D2B"/>
    <w:rsid w:val="00497B8E"/>
    <w:rsid w:val="00497E95"/>
    <w:rsid w:val="004A3541"/>
    <w:rsid w:val="004A3F1C"/>
    <w:rsid w:val="004A4503"/>
    <w:rsid w:val="004A56E2"/>
    <w:rsid w:val="004A6C01"/>
    <w:rsid w:val="004B07FF"/>
    <w:rsid w:val="004B087F"/>
    <w:rsid w:val="004B18C9"/>
    <w:rsid w:val="004B23AB"/>
    <w:rsid w:val="004B3290"/>
    <w:rsid w:val="004B3751"/>
    <w:rsid w:val="004B376F"/>
    <w:rsid w:val="004B48A2"/>
    <w:rsid w:val="004B58D7"/>
    <w:rsid w:val="004B640C"/>
    <w:rsid w:val="004B6C69"/>
    <w:rsid w:val="004B75E0"/>
    <w:rsid w:val="004B7E7F"/>
    <w:rsid w:val="004C0B80"/>
    <w:rsid w:val="004C18BB"/>
    <w:rsid w:val="004C1F81"/>
    <w:rsid w:val="004C3182"/>
    <w:rsid w:val="004C40C1"/>
    <w:rsid w:val="004C4741"/>
    <w:rsid w:val="004C486F"/>
    <w:rsid w:val="004C4F0B"/>
    <w:rsid w:val="004C50B6"/>
    <w:rsid w:val="004C6C4D"/>
    <w:rsid w:val="004C7698"/>
    <w:rsid w:val="004D0721"/>
    <w:rsid w:val="004D0D56"/>
    <w:rsid w:val="004D14D4"/>
    <w:rsid w:val="004D1863"/>
    <w:rsid w:val="004D1B93"/>
    <w:rsid w:val="004D20D9"/>
    <w:rsid w:val="004D3189"/>
    <w:rsid w:val="004D53BB"/>
    <w:rsid w:val="004D58DC"/>
    <w:rsid w:val="004D71B5"/>
    <w:rsid w:val="004D7B6D"/>
    <w:rsid w:val="004D7ECB"/>
    <w:rsid w:val="004E0323"/>
    <w:rsid w:val="004E068A"/>
    <w:rsid w:val="004E0B0C"/>
    <w:rsid w:val="004E0FEE"/>
    <w:rsid w:val="004E2A6D"/>
    <w:rsid w:val="004E354F"/>
    <w:rsid w:val="004E3622"/>
    <w:rsid w:val="004E462D"/>
    <w:rsid w:val="004E53AC"/>
    <w:rsid w:val="004E5C87"/>
    <w:rsid w:val="004E7938"/>
    <w:rsid w:val="004F12DC"/>
    <w:rsid w:val="004F348F"/>
    <w:rsid w:val="004F47F8"/>
    <w:rsid w:val="004F58DF"/>
    <w:rsid w:val="0050034A"/>
    <w:rsid w:val="00502D84"/>
    <w:rsid w:val="00503057"/>
    <w:rsid w:val="0050406F"/>
    <w:rsid w:val="0050501E"/>
    <w:rsid w:val="00505FA0"/>
    <w:rsid w:val="005062CE"/>
    <w:rsid w:val="005067E5"/>
    <w:rsid w:val="00511ABF"/>
    <w:rsid w:val="005127F0"/>
    <w:rsid w:val="005136FB"/>
    <w:rsid w:val="00514715"/>
    <w:rsid w:val="00514A29"/>
    <w:rsid w:val="00515278"/>
    <w:rsid w:val="00517D66"/>
    <w:rsid w:val="0052191D"/>
    <w:rsid w:val="005220A2"/>
    <w:rsid w:val="00522D48"/>
    <w:rsid w:val="00522FD3"/>
    <w:rsid w:val="00524732"/>
    <w:rsid w:val="00524C90"/>
    <w:rsid w:val="00524D1D"/>
    <w:rsid w:val="00525658"/>
    <w:rsid w:val="00526196"/>
    <w:rsid w:val="005306B6"/>
    <w:rsid w:val="00530B7B"/>
    <w:rsid w:val="00532D30"/>
    <w:rsid w:val="00533327"/>
    <w:rsid w:val="00533C19"/>
    <w:rsid w:val="00534947"/>
    <w:rsid w:val="0053587E"/>
    <w:rsid w:val="005375C2"/>
    <w:rsid w:val="00537D72"/>
    <w:rsid w:val="00540875"/>
    <w:rsid w:val="0054107C"/>
    <w:rsid w:val="005411DC"/>
    <w:rsid w:val="00542F05"/>
    <w:rsid w:val="005435DE"/>
    <w:rsid w:val="00544683"/>
    <w:rsid w:val="00546067"/>
    <w:rsid w:val="00547F6D"/>
    <w:rsid w:val="005502D0"/>
    <w:rsid w:val="00550466"/>
    <w:rsid w:val="0055078E"/>
    <w:rsid w:val="0055098D"/>
    <w:rsid w:val="00552527"/>
    <w:rsid w:val="005543EB"/>
    <w:rsid w:val="00554855"/>
    <w:rsid w:val="00555583"/>
    <w:rsid w:val="00556701"/>
    <w:rsid w:val="00560A9E"/>
    <w:rsid w:val="00560B59"/>
    <w:rsid w:val="00561462"/>
    <w:rsid w:val="0056453D"/>
    <w:rsid w:val="0056666F"/>
    <w:rsid w:val="00567A0C"/>
    <w:rsid w:val="00570A48"/>
    <w:rsid w:val="00570CE9"/>
    <w:rsid w:val="00570CFF"/>
    <w:rsid w:val="00571013"/>
    <w:rsid w:val="00571FE3"/>
    <w:rsid w:val="0057207D"/>
    <w:rsid w:val="00572677"/>
    <w:rsid w:val="00572915"/>
    <w:rsid w:val="005734D4"/>
    <w:rsid w:val="00575212"/>
    <w:rsid w:val="005756FF"/>
    <w:rsid w:val="00576706"/>
    <w:rsid w:val="00580651"/>
    <w:rsid w:val="00580A22"/>
    <w:rsid w:val="00581C8E"/>
    <w:rsid w:val="00582735"/>
    <w:rsid w:val="0058328A"/>
    <w:rsid w:val="00584BA1"/>
    <w:rsid w:val="00585180"/>
    <w:rsid w:val="00585416"/>
    <w:rsid w:val="0058556E"/>
    <w:rsid w:val="00586BF4"/>
    <w:rsid w:val="00592D62"/>
    <w:rsid w:val="00593A28"/>
    <w:rsid w:val="00593C20"/>
    <w:rsid w:val="00594596"/>
    <w:rsid w:val="00595F3E"/>
    <w:rsid w:val="00596573"/>
    <w:rsid w:val="00596BB8"/>
    <w:rsid w:val="00597250"/>
    <w:rsid w:val="005A0162"/>
    <w:rsid w:val="005A12B3"/>
    <w:rsid w:val="005A2616"/>
    <w:rsid w:val="005A27A5"/>
    <w:rsid w:val="005A3AA6"/>
    <w:rsid w:val="005A3FE7"/>
    <w:rsid w:val="005A518A"/>
    <w:rsid w:val="005A5F0C"/>
    <w:rsid w:val="005A67E3"/>
    <w:rsid w:val="005A78C3"/>
    <w:rsid w:val="005B020A"/>
    <w:rsid w:val="005B07A8"/>
    <w:rsid w:val="005B0C3F"/>
    <w:rsid w:val="005B0E69"/>
    <w:rsid w:val="005B0FFC"/>
    <w:rsid w:val="005B169A"/>
    <w:rsid w:val="005B1B65"/>
    <w:rsid w:val="005B24B5"/>
    <w:rsid w:val="005B2AF8"/>
    <w:rsid w:val="005B2B03"/>
    <w:rsid w:val="005B2B7A"/>
    <w:rsid w:val="005B3039"/>
    <w:rsid w:val="005B30C8"/>
    <w:rsid w:val="005B32AB"/>
    <w:rsid w:val="005B4397"/>
    <w:rsid w:val="005B49EB"/>
    <w:rsid w:val="005B4F0D"/>
    <w:rsid w:val="005B5344"/>
    <w:rsid w:val="005B6077"/>
    <w:rsid w:val="005B66D4"/>
    <w:rsid w:val="005B697D"/>
    <w:rsid w:val="005B7144"/>
    <w:rsid w:val="005B7CDB"/>
    <w:rsid w:val="005C0F32"/>
    <w:rsid w:val="005C3660"/>
    <w:rsid w:val="005C3964"/>
    <w:rsid w:val="005C3FCE"/>
    <w:rsid w:val="005C43D1"/>
    <w:rsid w:val="005C4913"/>
    <w:rsid w:val="005C4AF6"/>
    <w:rsid w:val="005C62E8"/>
    <w:rsid w:val="005C6505"/>
    <w:rsid w:val="005C7939"/>
    <w:rsid w:val="005D012A"/>
    <w:rsid w:val="005D0786"/>
    <w:rsid w:val="005D098E"/>
    <w:rsid w:val="005D11C2"/>
    <w:rsid w:val="005D176B"/>
    <w:rsid w:val="005D1C90"/>
    <w:rsid w:val="005D29B8"/>
    <w:rsid w:val="005D2AB5"/>
    <w:rsid w:val="005D2F08"/>
    <w:rsid w:val="005D3303"/>
    <w:rsid w:val="005D3C44"/>
    <w:rsid w:val="005D4346"/>
    <w:rsid w:val="005D4493"/>
    <w:rsid w:val="005D5D07"/>
    <w:rsid w:val="005D6112"/>
    <w:rsid w:val="005D7D5E"/>
    <w:rsid w:val="005E0144"/>
    <w:rsid w:val="005E11DF"/>
    <w:rsid w:val="005E38DE"/>
    <w:rsid w:val="005E42B1"/>
    <w:rsid w:val="005E4315"/>
    <w:rsid w:val="005E5835"/>
    <w:rsid w:val="005E6375"/>
    <w:rsid w:val="005E6A6C"/>
    <w:rsid w:val="005F1E04"/>
    <w:rsid w:val="005F2086"/>
    <w:rsid w:val="005F3112"/>
    <w:rsid w:val="005F394F"/>
    <w:rsid w:val="005F4076"/>
    <w:rsid w:val="005F570A"/>
    <w:rsid w:val="005F5EE6"/>
    <w:rsid w:val="005F73AE"/>
    <w:rsid w:val="005F7414"/>
    <w:rsid w:val="00600831"/>
    <w:rsid w:val="0060087D"/>
    <w:rsid w:val="00601790"/>
    <w:rsid w:val="00602AD2"/>
    <w:rsid w:val="00602E3A"/>
    <w:rsid w:val="006031DE"/>
    <w:rsid w:val="00603CFF"/>
    <w:rsid w:val="0060639A"/>
    <w:rsid w:val="00607AF3"/>
    <w:rsid w:val="00607D01"/>
    <w:rsid w:val="00610709"/>
    <w:rsid w:val="006115CD"/>
    <w:rsid w:val="00611ADA"/>
    <w:rsid w:val="00611FAE"/>
    <w:rsid w:val="00612B6F"/>
    <w:rsid w:val="00612D93"/>
    <w:rsid w:val="006147F0"/>
    <w:rsid w:val="00615FCF"/>
    <w:rsid w:val="006170FF"/>
    <w:rsid w:val="006175E2"/>
    <w:rsid w:val="00617863"/>
    <w:rsid w:val="00620E33"/>
    <w:rsid w:val="00620FF8"/>
    <w:rsid w:val="0062314B"/>
    <w:rsid w:val="00623C62"/>
    <w:rsid w:val="00624366"/>
    <w:rsid w:val="006245AB"/>
    <w:rsid w:val="00624A77"/>
    <w:rsid w:val="0062591B"/>
    <w:rsid w:val="00625EA6"/>
    <w:rsid w:val="006270CD"/>
    <w:rsid w:val="00632F6E"/>
    <w:rsid w:val="00635482"/>
    <w:rsid w:val="006358FE"/>
    <w:rsid w:val="00635B70"/>
    <w:rsid w:val="00637714"/>
    <w:rsid w:val="0064097F"/>
    <w:rsid w:val="00644709"/>
    <w:rsid w:val="006456A9"/>
    <w:rsid w:val="006500CF"/>
    <w:rsid w:val="00651FA2"/>
    <w:rsid w:val="00653FCD"/>
    <w:rsid w:val="00654A8F"/>
    <w:rsid w:val="006551AF"/>
    <w:rsid w:val="006559C0"/>
    <w:rsid w:val="00656031"/>
    <w:rsid w:val="0065672E"/>
    <w:rsid w:val="00656D3E"/>
    <w:rsid w:val="006578A3"/>
    <w:rsid w:val="006579F2"/>
    <w:rsid w:val="00657BD7"/>
    <w:rsid w:val="006600AA"/>
    <w:rsid w:val="00660666"/>
    <w:rsid w:val="0066070E"/>
    <w:rsid w:val="006608E2"/>
    <w:rsid w:val="00660BAD"/>
    <w:rsid w:val="0066276F"/>
    <w:rsid w:val="00663B8A"/>
    <w:rsid w:val="006645C6"/>
    <w:rsid w:val="00664661"/>
    <w:rsid w:val="0066540E"/>
    <w:rsid w:val="00665C78"/>
    <w:rsid w:val="006670F3"/>
    <w:rsid w:val="006675F9"/>
    <w:rsid w:val="00667F84"/>
    <w:rsid w:val="006708B3"/>
    <w:rsid w:val="00671515"/>
    <w:rsid w:val="00672A44"/>
    <w:rsid w:val="00673B36"/>
    <w:rsid w:val="00674776"/>
    <w:rsid w:val="00676537"/>
    <w:rsid w:val="0067662C"/>
    <w:rsid w:val="006766DE"/>
    <w:rsid w:val="006772EB"/>
    <w:rsid w:val="006827AD"/>
    <w:rsid w:val="00682B36"/>
    <w:rsid w:val="006833F8"/>
    <w:rsid w:val="00683DCB"/>
    <w:rsid w:val="00683F7F"/>
    <w:rsid w:val="0068600F"/>
    <w:rsid w:val="00686383"/>
    <w:rsid w:val="00686607"/>
    <w:rsid w:val="00686D48"/>
    <w:rsid w:val="00687228"/>
    <w:rsid w:val="006906E5"/>
    <w:rsid w:val="00690FF3"/>
    <w:rsid w:val="0069248F"/>
    <w:rsid w:val="0069249C"/>
    <w:rsid w:val="00692594"/>
    <w:rsid w:val="006941F9"/>
    <w:rsid w:val="00694456"/>
    <w:rsid w:val="00694B86"/>
    <w:rsid w:val="0069543D"/>
    <w:rsid w:val="00695936"/>
    <w:rsid w:val="00696125"/>
    <w:rsid w:val="006962B2"/>
    <w:rsid w:val="006A028F"/>
    <w:rsid w:val="006A089A"/>
    <w:rsid w:val="006A0EF2"/>
    <w:rsid w:val="006A3423"/>
    <w:rsid w:val="006A3AA5"/>
    <w:rsid w:val="006A3CD2"/>
    <w:rsid w:val="006A3DE8"/>
    <w:rsid w:val="006A3F7F"/>
    <w:rsid w:val="006A4318"/>
    <w:rsid w:val="006A4AA1"/>
    <w:rsid w:val="006A5215"/>
    <w:rsid w:val="006A53C2"/>
    <w:rsid w:val="006A5488"/>
    <w:rsid w:val="006A56CE"/>
    <w:rsid w:val="006A6E20"/>
    <w:rsid w:val="006A6E27"/>
    <w:rsid w:val="006A7368"/>
    <w:rsid w:val="006B2623"/>
    <w:rsid w:val="006B48F2"/>
    <w:rsid w:val="006B5727"/>
    <w:rsid w:val="006B7C89"/>
    <w:rsid w:val="006C1F99"/>
    <w:rsid w:val="006C2CA2"/>
    <w:rsid w:val="006C32DB"/>
    <w:rsid w:val="006C4437"/>
    <w:rsid w:val="006C6227"/>
    <w:rsid w:val="006C7B1B"/>
    <w:rsid w:val="006C7C4A"/>
    <w:rsid w:val="006C7FEC"/>
    <w:rsid w:val="006D23D8"/>
    <w:rsid w:val="006D3A2D"/>
    <w:rsid w:val="006D4173"/>
    <w:rsid w:val="006D654F"/>
    <w:rsid w:val="006D6C35"/>
    <w:rsid w:val="006D7158"/>
    <w:rsid w:val="006D7641"/>
    <w:rsid w:val="006E0F3C"/>
    <w:rsid w:val="006E1BFA"/>
    <w:rsid w:val="006E1C73"/>
    <w:rsid w:val="006E2215"/>
    <w:rsid w:val="006E256B"/>
    <w:rsid w:val="006E4347"/>
    <w:rsid w:val="006E46AE"/>
    <w:rsid w:val="006E4FB6"/>
    <w:rsid w:val="006E55A6"/>
    <w:rsid w:val="006E5C99"/>
    <w:rsid w:val="006E5DF5"/>
    <w:rsid w:val="006E677E"/>
    <w:rsid w:val="006E695C"/>
    <w:rsid w:val="006E6961"/>
    <w:rsid w:val="006F12DA"/>
    <w:rsid w:val="006F17A9"/>
    <w:rsid w:val="006F1DAC"/>
    <w:rsid w:val="006F20D6"/>
    <w:rsid w:val="006F2538"/>
    <w:rsid w:val="006F2909"/>
    <w:rsid w:val="006F2C3A"/>
    <w:rsid w:val="006F3555"/>
    <w:rsid w:val="006F495F"/>
    <w:rsid w:val="006F4A62"/>
    <w:rsid w:val="006F5466"/>
    <w:rsid w:val="006F55B1"/>
    <w:rsid w:val="006F5EEB"/>
    <w:rsid w:val="006F6DBD"/>
    <w:rsid w:val="006F6EAC"/>
    <w:rsid w:val="006F7446"/>
    <w:rsid w:val="006F7EC3"/>
    <w:rsid w:val="0070040A"/>
    <w:rsid w:val="00700F29"/>
    <w:rsid w:val="00701B7A"/>
    <w:rsid w:val="0070332C"/>
    <w:rsid w:val="00703A45"/>
    <w:rsid w:val="00703A64"/>
    <w:rsid w:val="00704A54"/>
    <w:rsid w:val="00706C09"/>
    <w:rsid w:val="00706D5E"/>
    <w:rsid w:val="00707474"/>
    <w:rsid w:val="00707904"/>
    <w:rsid w:val="007135E0"/>
    <w:rsid w:val="00713CF6"/>
    <w:rsid w:val="0071416B"/>
    <w:rsid w:val="007145D7"/>
    <w:rsid w:val="00714E55"/>
    <w:rsid w:val="00720238"/>
    <w:rsid w:val="00721A6E"/>
    <w:rsid w:val="00721BD8"/>
    <w:rsid w:val="00721E16"/>
    <w:rsid w:val="00722312"/>
    <w:rsid w:val="00722631"/>
    <w:rsid w:val="0072299D"/>
    <w:rsid w:val="00722A23"/>
    <w:rsid w:val="00722BF7"/>
    <w:rsid w:val="007233A7"/>
    <w:rsid w:val="00723620"/>
    <w:rsid w:val="007242C3"/>
    <w:rsid w:val="0072583A"/>
    <w:rsid w:val="0072603A"/>
    <w:rsid w:val="007264CC"/>
    <w:rsid w:val="00727017"/>
    <w:rsid w:val="007314DC"/>
    <w:rsid w:val="007316AC"/>
    <w:rsid w:val="007317F3"/>
    <w:rsid w:val="00732522"/>
    <w:rsid w:val="0073260D"/>
    <w:rsid w:val="0073278C"/>
    <w:rsid w:val="007330B5"/>
    <w:rsid w:val="00733A3E"/>
    <w:rsid w:val="0073500F"/>
    <w:rsid w:val="007353B5"/>
    <w:rsid w:val="0073551D"/>
    <w:rsid w:val="00735A44"/>
    <w:rsid w:val="00737A6C"/>
    <w:rsid w:val="00740DEA"/>
    <w:rsid w:val="00741197"/>
    <w:rsid w:val="00741443"/>
    <w:rsid w:val="007416C4"/>
    <w:rsid w:val="00741891"/>
    <w:rsid w:val="00741BB3"/>
    <w:rsid w:val="007421CF"/>
    <w:rsid w:val="00745353"/>
    <w:rsid w:val="007459DC"/>
    <w:rsid w:val="007474D9"/>
    <w:rsid w:val="00750388"/>
    <w:rsid w:val="0075060C"/>
    <w:rsid w:val="00750B3F"/>
    <w:rsid w:val="00751098"/>
    <w:rsid w:val="007513AA"/>
    <w:rsid w:val="00751B67"/>
    <w:rsid w:val="00752B2A"/>
    <w:rsid w:val="0075324D"/>
    <w:rsid w:val="0075480C"/>
    <w:rsid w:val="00754DEE"/>
    <w:rsid w:val="007559A0"/>
    <w:rsid w:val="00755C81"/>
    <w:rsid w:val="00755F5C"/>
    <w:rsid w:val="00755F60"/>
    <w:rsid w:val="00757211"/>
    <w:rsid w:val="0075762B"/>
    <w:rsid w:val="0076044A"/>
    <w:rsid w:val="00760A91"/>
    <w:rsid w:val="00761036"/>
    <w:rsid w:val="007610A6"/>
    <w:rsid w:val="007632B6"/>
    <w:rsid w:val="00763E9C"/>
    <w:rsid w:val="00763F25"/>
    <w:rsid w:val="00766349"/>
    <w:rsid w:val="007672A3"/>
    <w:rsid w:val="00770FEF"/>
    <w:rsid w:val="0077163F"/>
    <w:rsid w:val="00771B4A"/>
    <w:rsid w:val="00771B5F"/>
    <w:rsid w:val="00774279"/>
    <w:rsid w:val="0077477F"/>
    <w:rsid w:val="007752E7"/>
    <w:rsid w:val="00775789"/>
    <w:rsid w:val="00775DEE"/>
    <w:rsid w:val="00776979"/>
    <w:rsid w:val="00777FBF"/>
    <w:rsid w:val="007801B0"/>
    <w:rsid w:val="0078077F"/>
    <w:rsid w:val="00782014"/>
    <w:rsid w:val="007838F3"/>
    <w:rsid w:val="00784E7E"/>
    <w:rsid w:val="007853FB"/>
    <w:rsid w:val="00785B6F"/>
    <w:rsid w:val="00786188"/>
    <w:rsid w:val="0078665A"/>
    <w:rsid w:val="00786FCC"/>
    <w:rsid w:val="0078700C"/>
    <w:rsid w:val="00787D30"/>
    <w:rsid w:val="007931BD"/>
    <w:rsid w:val="007949FB"/>
    <w:rsid w:val="00794CD7"/>
    <w:rsid w:val="00795050"/>
    <w:rsid w:val="00796BF9"/>
    <w:rsid w:val="00797357"/>
    <w:rsid w:val="007A0089"/>
    <w:rsid w:val="007A1ADA"/>
    <w:rsid w:val="007A2638"/>
    <w:rsid w:val="007A3E07"/>
    <w:rsid w:val="007A6AF9"/>
    <w:rsid w:val="007A75A8"/>
    <w:rsid w:val="007A7CB8"/>
    <w:rsid w:val="007B0526"/>
    <w:rsid w:val="007B1899"/>
    <w:rsid w:val="007B1955"/>
    <w:rsid w:val="007B269A"/>
    <w:rsid w:val="007B2BA9"/>
    <w:rsid w:val="007B2C79"/>
    <w:rsid w:val="007B48A8"/>
    <w:rsid w:val="007B4C9A"/>
    <w:rsid w:val="007B762C"/>
    <w:rsid w:val="007B7916"/>
    <w:rsid w:val="007B7F71"/>
    <w:rsid w:val="007C0B7D"/>
    <w:rsid w:val="007C1ABB"/>
    <w:rsid w:val="007C2031"/>
    <w:rsid w:val="007C2061"/>
    <w:rsid w:val="007C224E"/>
    <w:rsid w:val="007C23DF"/>
    <w:rsid w:val="007C2628"/>
    <w:rsid w:val="007C315B"/>
    <w:rsid w:val="007C40BC"/>
    <w:rsid w:val="007C424E"/>
    <w:rsid w:val="007C4612"/>
    <w:rsid w:val="007C4FAF"/>
    <w:rsid w:val="007C531C"/>
    <w:rsid w:val="007C552E"/>
    <w:rsid w:val="007C6776"/>
    <w:rsid w:val="007C707B"/>
    <w:rsid w:val="007D11AE"/>
    <w:rsid w:val="007D402F"/>
    <w:rsid w:val="007D47C3"/>
    <w:rsid w:val="007D556D"/>
    <w:rsid w:val="007D601B"/>
    <w:rsid w:val="007D6313"/>
    <w:rsid w:val="007D6CD7"/>
    <w:rsid w:val="007D6D1A"/>
    <w:rsid w:val="007D7A71"/>
    <w:rsid w:val="007E03D3"/>
    <w:rsid w:val="007E0517"/>
    <w:rsid w:val="007E0CA0"/>
    <w:rsid w:val="007E16CF"/>
    <w:rsid w:val="007E1E1B"/>
    <w:rsid w:val="007E2DC5"/>
    <w:rsid w:val="007E30E7"/>
    <w:rsid w:val="007E346B"/>
    <w:rsid w:val="007E3800"/>
    <w:rsid w:val="007E3ADE"/>
    <w:rsid w:val="007E4D13"/>
    <w:rsid w:val="007E5507"/>
    <w:rsid w:val="007E56A7"/>
    <w:rsid w:val="007E607C"/>
    <w:rsid w:val="007E6984"/>
    <w:rsid w:val="007F0AC5"/>
    <w:rsid w:val="007F0F86"/>
    <w:rsid w:val="007F2D7F"/>
    <w:rsid w:val="007F3DB1"/>
    <w:rsid w:val="007F4290"/>
    <w:rsid w:val="007F777F"/>
    <w:rsid w:val="008003B6"/>
    <w:rsid w:val="00800AD4"/>
    <w:rsid w:val="0080291E"/>
    <w:rsid w:val="0080311B"/>
    <w:rsid w:val="00803B5B"/>
    <w:rsid w:val="00805125"/>
    <w:rsid w:val="00805258"/>
    <w:rsid w:val="0080574A"/>
    <w:rsid w:val="008062DE"/>
    <w:rsid w:val="00807261"/>
    <w:rsid w:val="008107BE"/>
    <w:rsid w:val="00810C9F"/>
    <w:rsid w:val="00810D63"/>
    <w:rsid w:val="00811725"/>
    <w:rsid w:val="00813536"/>
    <w:rsid w:val="0081385D"/>
    <w:rsid w:val="008148DF"/>
    <w:rsid w:val="00814CC4"/>
    <w:rsid w:val="00814D27"/>
    <w:rsid w:val="008155EE"/>
    <w:rsid w:val="00816256"/>
    <w:rsid w:val="008177CF"/>
    <w:rsid w:val="00820200"/>
    <w:rsid w:val="00821C99"/>
    <w:rsid w:val="0082387F"/>
    <w:rsid w:val="00823B57"/>
    <w:rsid w:val="00823EA9"/>
    <w:rsid w:val="0082551F"/>
    <w:rsid w:val="008255AB"/>
    <w:rsid w:val="008263D3"/>
    <w:rsid w:val="0082719B"/>
    <w:rsid w:val="008276EA"/>
    <w:rsid w:val="008300F3"/>
    <w:rsid w:val="008327E4"/>
    <w:rsid w:val="008332A3"/>
    <w:rsid w:val="008342BA"/>
    <w:rsid w:val="00834484"/>
    <w:rsid w:val="00834BFB"/>
    <w:rsid w:val="00834CE1"/>
    <w:rsid w:val="0083619A"/>
    <w:rsid w:val="00836D09"/>
    <w:rsid w:val="0083796B"/>
    <w:rsid w:val="0084032D"/>
    <w:rsid w:val="008412B5"/>
    <w:rsid w:val="00842096"/>
    <w:rsid w:val="00842CD8"/>
    <w:rsid w:val="0084560C"/>
    <w:rsid w:val="00846399"/>
    <w:rsid w:val="008466B0"/>
    <w:rsid w:val="00847F07"/>
    <w:rsid w:val="008504B5"/>
    <w:rsid w:val="00851F70"/>
    <w:rsid w:val="0085256A"/>
    <w:rsid w:val="00852978"/>
    <w:rsid w:val="008545EE"/>
    <w:rsid w:val="008549D1"/>
    <w:rsid w:val="00854C8A"/>
    <w:rsid w:val="00855FEC"/>
    <w:rsid w:val="00856939"/>
    <w:rsid w:val="00856C8D"/>
    <w:rsid w:val="0086042C"/>
    <w:rsid w:val="00860492"/>
    <w:rsid w:val="0086193A"/>
    <w:rsid w:val="00862010"/>
    <w:rsid w:val="00862696"/>
    <w:rsid w:val="008633F3"/>
    <w:rsid w:val="00863E99"/>
    <w:rsid w:val="00864612"/>
    <w:rsid w:val="0086465F"/>
    <w:rsid w:val="0087284F"/>
    <w:rsid w:val="008734AF"/>
    <w:rsid w:val="00873890"/>
    <w:rsid w:val="00874638"/>
    <w:rsid w:val="00875578"/>
    <w:rsid w:val="00875B3C"/>
    <w:rsid w:val="008766A1"/>
    <w:rsid w:val="00876BB7"/>
    <w:rsid w:val="00877138"/>
    <w:rsid w:val="008777DB"/>
    <w:rsid w:val="00877D02"/>
    <w:rsid w:val="00880F80"/>
    <w:rsid w:val="00883BBE"/>
    <w:rsid w:val="00883F80"/>
    <w:rsid w:val="008840A4"/>
    <w:rsid w:val="00884478"/>
    <w:rsid w:val="0088568C"/>
    <w:rsid w:val="00886021"/>
    <w:rsid w:val="008863D8"/>
    <w:rsid w:val="008901EE"/>
    <w:rsid w:val="008911FE"/>
    <w:rsid w:val="0089245E"/>
    <w:rsid w:val="00892FB2"/>
    <w:rsid w:val="00893898"/>
    <w:rsid w:val="0089448F"/>
    <w:rsid w:val="00894914"/>
    <w:rsid w:val="00894F78"/>
    <w:rsid w:val="00895DFA"/>
    <w:rsid w:val="00896183"/>
    <w:rsid w:val="0089688C"/>
    <w:rsid w:val="008A095A"/>
    <w:rsid w:val="008A0CD1"/>
    <w:rsid w:val="008A1560"/>
    <w:rsid w:val="008A156F"/>
    <w:rsid w:val="008A23AC"/>
    <w:rsid w:val="008A2429"/>
    <w:rsid w:val="008A2C49"/>
    <w:rsid w:val="008A2CED"/>
    <w:rsid w:val="008A3B7A"/>
    <w:rsid w:val="008A3D75"/>
    <w:rsid w:val="008A5CDA"/>
    <w:rsid w:val="008A6F33"/>
    <w:rsid w:val="008A75F7"/>
    <w:rsid w:val="008B1084"/>
    <w:rsid w:val="008B1985"/>
    <w:rsid w:val="008B1BC9"/>
    <w:rsid w:val="008B1F39"/>
    <w:rsid w:val="008B3409"/>
    <w:rsid w:val="008B397C"/>
    <w:rsid w:val="008B567C"/>
    <w:rsid w:val="008B587B"/>
    <w:rsid w:val="008B626E"/>
    <w:rsid w:val="008B6ABC"/>
    <w:rsid w:val="008B7182"/>
    <w:rsid w:val="008B74AF"/>
    <w:rsid w:val="008B7D87"/>
    <w:rsid w:val="008C02E1"/>
    <w:rsid w:val="008C0317"/>
    <w:rsid w:val="008C0EB2"/>
    <w:rsid w:val="008C23D1"/>
    <w:rsid w:val="008C34A1"/>
    <w:rsid w:val="008C3FC0"/>
    <w:rsid w:val="008C5115"/>
    <w:rsid w:val="008C7FAA"/>
    <w:rsid w:val="008D0CA2"/>
    <w:rsid w:val="008D109A"/>
    <w:rsid w:val="008D1104"/>
    <w:rsid w:val="008D26BB"/>
    <w:rsid w:val="008D2B6C"/>
    <w:rsid w:val="008D2BB5"/>
    <w:rsid w:val="008D2D88"/>
    <w:rsid w:val="008D3C68"/>
    <w:rsid w:val="008D4966"/>
    <w:rsid w:val="008D4CD4"/>
    <w:rsid w:val="008D7188"/>
    <w:rsid w:val="008D73C0"/>
    <w:rsid w:val="008D77B6"/>
    <w:rsid w:val="008E0997"/>
    <w:rsid w:val="008E10DB"/>
    <w:rsid w:val="008E11AB"/>
    <w:rsid w:val="008E29BE"/>
    <w:rsid w:val="008E3038"/>
    <w:rsid w:val="008E401C"/>
    <w:rsid w:val="008E40D0"/>
    <w:rsid w:val="008E41E5"/>
    <w:rsid w:val="008E5755"/>
    <w:rsid w:val="008E5ADF"/>
    <w:rsid w:val="008E6864"/>
    <w:rsid w:val="008E76AA"/>
    <w:rsid w:val="008F0180"/>
    <w:rsid w:val="008F0B78"/>
    <w:rsid w:val="008F0FDF"/>
    <w:rsid w:val="008F2961"/>
    <w:rsid w:val="008F2C15"/>
    <w:rsid w:val="008F39C1"/>
    <w:rsid w:val="008F4E4A"/>
    <w:rsid w:val="008F52CD"/>
    <w:rsid w:val="008F6195"/>
    <w:rsid w:val="008F622D"/>
    <w:rsid w:val="008F7A1B"/>
    <w:rsid w:val="008F7DFD"/>
    <w:rsid w:val="00901DFE"/>
    <w:rsid w:val="0090205F"/>
    <w:rsid w:val="009032B3"/>
    <w:rsid w:val="009048EC"/>
    <w:rsid w:val="00905090"/>
    <w:rsid w:val="009056CA"/>
    <w:rsid w:val="00905DE8"/>
    <w:rsid w:val="00906113"/>
    <w:rsid w:val="00906E29"/>
    <w:rsid w:val="0091123B"/>
    <w:rsid w:val="009112D7"/>
    <w:rsid w:val="009115A4"/>
    <w:rsid w:val="009118F6"/>
    <w:rsid w:val="00912172"/>
    <w:rsid w:val="00912A29"/>
    <w:rsid w:val="00912FF1"/>
    <w:rsid w:val="0091372A"/>
    <w:rsid w:val="00913F9C"/>
    <w:rsid w:val="009147AF"/>
    <w:rsid w:val="00915428"/>
    <w:rsid w:val="0091600C"/>
    <w:rsid w:val="00916BB3"/>
    <w:rsid w:val="00917E42"/>
    <w:rsid w:val="00920C92"/>
    <w:rsid w:val="00921282"/>
    <w:rsid w:val="009216DB"/>
    <w:rsid w:val="0092172F"/>
    <w:rsid w:val="00921C24"/>
    <w:rsid w:val="0092324C"/>
    <w:rsid w:val="00927479"/>
    <w:rsid w:val="00927B30"/>
    <w:rsid w:val="00930A75"/>
    <w:rsid w:val="00931F14"/>
    <w:rsid w:val="00932028"/>
    <w:rsid w:val="009335FE"/>
    <w:rsid w:val="009349C8"/>
    <w:rsid w:val="009355BA"/>
    <w:rsid w:val="009363AE"/>
    <w:rsid w:val="009363D0"/>
    <w:rsid w:val="00937F1A"/>
    <w:rsid w:val="009401E9"/>
    <w:rsid w:val="0094174F"/>
    <w:rsid w:val="00941C0C"/>
    <w:rsid w:val="00942DB5"/>
    <w:rsid w:val="00943D50"/>
    <w:rsid w:val="009442D5"/>
    <w:rsid w:val="00944F17"/>
    <w:rsid w:val="0094581C"/>
    <w:rsid w:val="00945D34"/>
    <w:rsid w:val="00946BF2"/>
    <w:rsid w:val="00946D8F"/>
    <w:rsid w:val="00951647"/>
    <w:rsid w:val="0095202C"/>
    <w:rsid w:val="00952906"/>
    <w:rsid w:val="009541E9"/>
    <w:rsid w:val="00954338"/>
    <w:rsid w:val="00954FC4"/>
    <w:rsid w:val="009552F5"/>
    <w:rsid w:val="00955A6B"/>
    <w:rsid w:val="00956190"/>
    <w:rsid w:val="009572CD"/>
    <w:rsid w:val="0095741E"/>
    <w:rsid w:val="009574C2"/>
    <w:rsid w:val="0096159D"/>
    <w:rsid w:val="009628FA"/>
    <w:rsid w:val="00963262"/>
    <w:rsid w:val="00963D09"/>
    <w:rsid w:val="00965612"/>
    <w:rsid w:val="00967606"/>
    <w:rsid w:val="00967CDF"/>
    <w:rsid w:val="00967DBF"/>
    <w:rsid w:val="00970AE1"/>
    <w:rsid w:val="00971C66"/>
    <w:rsid w:val="00972965"/>
    <w:rsid w:val="00973267"/>
    <w:rsid w:val="009734A2"/>
    <w:rsid w:val="009740BC"/>
    <w:rsid w:val="009748A1"/>
    <w:rsid w:val="00974B28"/>
    <w:rsid w:val="00980F3B"/>
    <w:rsid w:val="009822F9"/>
    <w:rsid w:val="00983211"/>
    <w:rsid w:val="0098340A"/>
    <w:rsid w:val="00983990"/>
    <w:rsid w:val="00992912"/>
    <w:rsid w:val="00993136"/>
    <w:rsid w:val="00994233"/>
    <w:rsid w:val="00997712"/>
    <w:rsid w:val="00997C59"/>
    <w:rsid w:val="009A0733"/>
    <w:rsid w:val="009A0F37"/>
    <w:rsid w:val="009A20F6"/>
    <w:rsid w:val="009A24FC"/>
    <w:rsid w:val="009A2E0F"/>
    <w:rsid w:val="009A3617"/>
    <w:rsid w:val="009A40AF"/>
    <w:rsid w:val="009A6261"/>
    <w:rsid w:val="009A65E4"/>
    <w:rsid w:val="009B0647"/>
    <w:rsid w:val="009B08CA"/>
    <w:rsid w:val="009B0E3B"/>
    <w:rsid w:val="009B1613"/>
    <w:rsid w:val="009B18AE"/>
    <w:rsid w:val="009B19DA"/>
    <w:rsid w:val="009B2883"/>
    <w:rsid w:val="009B2A0C"/>
    <w:rsid w:val="009B2B6E"/>
    <w:rsid w:val="009B3707"/>
    <w:rsid w:val="009B46ED"/>
    <w:rsid w:val="009B4973"/>
    <w:rsid w:val="009B507B"/>
    <w:rsid w:val="009B5511"/>
    <w:rsid w:val="009B56D3"/>
    <w:rsid w:val="009B57C7"/>
    <w:rsid w:val="009B5F70"/>
    <w:rsid w:val="009C0443"/>
    <w:rsid w:val="009C0A9C"/>
    <w:rsid w:val="009C11D0"/>
    <w:rsid w:val="009C32FE"/>
    <w:rsid w:val="009C3818"/>
    <w:rsid w:val="009C40BE"/>
    <w:rsid w:val="009C4677"/>
    <w:rsid w:val="009C4FD8"/>
    <w:rsid w:val="009C6312"/>
    <w:rsid w:val="009C67BD"/>
    <w:rsid w:val="009D2327"/>
    <w:rsid w:val="009D3AFE"/>
    <w:rsid w:val="009D46A4"/>
    <w:rsid w:val="009D4929"/>
    <w:rsid w:val="009D4BC2"/>
    <w:rsid w:val="009D60CC"/>
    <w:rsid w:val="009D6B40"/>
    <w:rsid w:val="009D78EE"/>
    <w:rsid w:val="009D7B6F"/>
    <w:rsid w:val="009E1AFC"/>
    <w:rsid w:val="009E3A78"/>
    <w:rsid w:val="009E3A7B"/>
    <w:rsid w:val="009E3DDA"/>
    <w:rsid w:val="009E4B64"/>
    <w:rsid w:val="009E4EEF"/>
    <w:rsid w:val="009E629A"/>
    <w:rsid w:val="009E73DF"/>
    <w:rsid w:val="009E78BA"/>
    <w:rsid w:val="009F0008"/>
    <w:rsid w:val="009F04D0"/>
    <w:rsid w:val="009F0AB3"/>
    <w:rsid w:val="009F3343"/>
    <w:rsid w:val="009F4234"/>
    <w:rsid w:val="009F5523"/>
    <w:rsid w:val="009F59C0"/>
    <w:rsid w:val="009F5BC1"/>
    <w:rsid w:val="009F63EA"/>
    <w:rsid w:val="009F6F2C"/>
    <w:rsid w:val="00A00224"/>
    <w:rsid w:val="00A024E2"/>
    <w:rsid w:val="00A02B94"/>
    <w:rsid w:val="00A02C75"/>
    <w:rsid w:val="00A03150"/>
    <w:rsid w:val="00A03CBA"/>
    <w:rsid w:val="00A044B3"/>
    <w:rsid w:val="00A056CA"/>
    <w:rsid w:val="00A06D7E"/>
    <w:rsid w:val="00A11221"/>
    <w:rsid w:val="00A1127D"/>
    <w:rsid w:val="00A13B06"/>
    <w:rsid w:val="00A14BF6"/>
    <w:rsid w:val="00A154A2"/>
    <w:rsid w:val="00A15715"/>
    <w:rsid w:val="00A161CD"/>
    <w:rsid w:val="00A162FE"/>
    <w:rsid w:val="00A166DD"/>
    <w:rsid w:val="00A203CA"/>
    <w:rsid w:val="00A20E51"/>
    <w:rsid w:val="00A212C7"/>
    <w:rsid w:val="00A21A5A"/>
    <w:rsid w:val="00A22077"/>
    <w:rsid w:val="00A23A7C"/>
    <w:rsid w:val="00A24EB1"/>
    <w:rsid w:val="00A254F9"/>
    <w:rsid w:val="00A262EF"/>
    <w:rsid w:val="00A2679B"/>
    <w:rsid w:val="00A31D24"/>
    <w:rsid w:val="00A32AF3"/>
    <w:rsid w:val="00A334B6"/>
    <w:rsid w:val="00A33B3E"/>
    <w:rsid w:val="00A35D18"/>
    <w:rsid w:val="00A35D8A"/>
    <w:rsid w:val="00A36363"/>
    <w:rsid w:val="00A3657C"/>
    <w:rsid w:val="00A36E0B"/>
    <w:rsid w:val="00A37C07"/>
    <w:rsid w:val="00A41664"/>
    <w:rsid w:val="00A41994"/>
    <w:rsid w:val="00A42A8A"/>
    <w:rsid w:val="00A4307B"/>
    <w:rsid w:val="00A43D4F"/>
    <w:rsid w:val="00A43E37"/>
    <w:rsid w:val="00A444FF"/>
    <w:rsid w:val="00A44EA0"/>
    <w:rsid w:val="00A44FB7"/>
    <w:rsid w:val="00A45828"/>
    <w:rsid w:val="00A45E8C"/>
    <w:rsid w:val="00A46059"/>
    <w:rsid w:val="00A47FE3"/>
    <w:rsid w:val="00A505D2"/>
    <w:rsid w:val="00A50C9A"/>
    <w:rsid w:val="00A51762"/>
    <w:rsid w:val="00A52726"/>
    <w:rsid w:val="00A53C99"/>
    <w:rsid w:val="00A54683"/>
    <w:rsid w:val="00A547F4"/>
    <w:rsid w:val="00A556F8"/>
    <w:rsid w:val="00A56121"/>
    <w:rsid w:val="00A562C9"/>
    <w:rsid w:val="00A57616"/>
    <w:rsid w:val="00A60808"/>
    <w:rsid w:val="00A62135"/>
    <w:rsid w:val="00A6545F"/>
    <w:rsid w:val="00A65A46"/>
    <w:rsid w:val="00A6686B"/>
    <w:rsid w:val="00A66E5F"/>
    <w:rsid w:val="00A677CB"/>
    <w:rsid w:val="00A67DA6"/>
    <w:rsid w:val="00A72EC2"/>
    <w:rsid w:val="00A742A7"/>
    <w:rsid w:val="00A7435D"/>
    <w:rsid w:val="00A74E93"/>
    <w:rsid w:val="00A7544D"/>
    <w:rsid w:val="00A7626C"/>
    <w:rsid w:val="00A76E72"/>
    <w:rsid w:val="00A77805"/>
    <w:rsid w:val="00A80F70"/>
    <w:rsid w:val="00A83266"/>
    <w:rsid w:val="00A834FC"/>
    <w:rsid w:val="00A83880"/>
    <w:rsid w:val="00A845DE"/>
    <w:rsid w:val="00A84F52"/>
    <w:rsid w:val="00A8664B"/>
    <w:rsid w:val="00A86CAD"/>
    <w:rsid w:val="00A873A5"/>
    <w:rsid w:val="00A87530"/>
    <w:rsid w:val="00A87FA6"/>
    <w:rsid w:val="00A924E4"/>
    <w:rsid w:val="00A94D81"/>
    <w:rsid w:val="00A97055"/>
    <w:rsid w:val="00A9749F"/>
    <w:rsid w:val="00AA1296"/>
    <w:rsid w:val="00AA1561"/>
    <w:rsid w:val="00AA383A"/>
    <w:rsid w:val="00AA421E"/>
    <w:rsid w:val="00AA427E"/>
    <w:rsid w:val="00AA42FC"/>
    <w:rsid w:val="00AA5077"/>
    <w:rsid w:val="00AA5550"/>
    <w:rsid w:val="00AA5A1C"/>
    <w:rsid w:val="00AA735C"/>
    <w:rsid w:val="00AA7CE9"/>
    <w:rsid w:val="00AB0549"/>
    <w:rsid w:val="00AB21E0"/>
    <w:rsid w:val="00AB32F4"/>
    <w:rsid w:val="00AB43D5"/>
    <w:rsid w:val="00AB5F12"/>
    <w:rsid w:val="00AB627D"/>
    <w:rsid w:val="00AB716B"/>
    <w:rsid w:val="00AB7AF2"/>
    <w:rsid w:val="00AC0B94"/>
    <w:rsid w:val="00AC1745"/>
    <w:rsid w:val="00AC3F8D"/>
    <w:rsid w:val="00AC3FC5"/>
    <w:rsid w:val="00AC42AC"/>
    <w:rsid w:val="00AC4F22"/>
    <w:rsid w:val="00AC5743"/>
    <w:rsid w:val="00AC5A10"/>
    <w:rsid w:val="00AC5A53"/>
    <w:rsid w:val="00AC5E37"/>
    <w:rsid w:val="00AD18CF"/>
    <w:rsid w:val="00AD3504"/>
    <w:rsid w:val="00AD3B62"/>
    <w:rsid w:val="00AE1697"/>
    <w:rsid w:val="00AE209A"/>
    <w:rsid w:val="00AE27F7"/>
    <w:rsid w:val="00AE4171"/>
    <w:rsid w:val="00AE4A17"/>
    <w:rsid w:val="00AE6ABD"/>
    <w:rsid w:val="00AE6DBE"/>
    <w:rsid w:val="00AE73BE"/>
    <w:rsid w:val="00AE75DA"/>
    <w:rsid w:val="00AE77EC"/>
    <w:rsid w:val="00AF21A6"/>
    <w:rsid w:val="00AF6733"/>
    <w:rsid w:val="00AF73D1"/>
    <w:rsid w:val="00AF7784"/>
    <w:rsid w:val="00B00AD0"/>
    <w:rsid w:val="00B00AF3"/>
    <w:rsid w:val="00B00F85"/>
    <w:rsid w:val="00B01410"/>
    <w:rsid w:val="00B026C4"/>
    <w:rsid w:val="00B02C22"/>
    <w:rsid w:val="00B037AF"/>
    <w:rsid w:val="00B0398D"/>
    <w:rsid w:val="00B04D8C"/>
    <w:rsid w:val="00B06585"/>
    <w:rsid w:val="00B079D5"/>
    <w:rsid w:val="00B10000"/>
    <w:rsid w:val="00B10D9C"/>
    <w:rsid w:val="00B120AC"/>
    <w:rsid w:val="00B12855"/>
    <w:rsid w:val="00B140AE"/>
    <w:rsid w:val="00B14F37"/>
    <w:rsid w:val="00B15689"/>
    <w:rsid w:val="00B167E7"/>
    <w:rsid w:val="00B16860"/>
    <w:rsid w:val="00B1762A"/>
    <w:rsid w:val="00B2019E"/>
    <w:rsid w:val="00B20B2A"/>
    <w:rsid w:val="00B214EE"/>
    <w:rsid w:val="00B21AE6"/>
    <w:rsid w:val="00B21FBC"/>
    <w:rsid w:val="00B22486"/>
    <w:rsid w:val="00B236A5"/>
    <w:rsid w:val="00B24C73"/>
    <w:rsid w:val="00B24D62"/>
    <w:rsid w:val="00B24E7E"/>
    <w:rsid w:val="00B26173"/>
    <w:rsid w:val="00B27394"/>
    <w:rsid w:val="00B27A21"/>
    <w:rsid w:val="00B30F0A"/>
    <w:rsid w:val="00B3180C"/>
    <w:rsid w:val="00B32570"/>
    <w:rsid w:val="00B3322C"/>
    <w:rsid w:val="00B33A56"/>
    <w:rsid w:val="00B33A94"/>
    <w:rsid w:val="00B33B4E"/>
    <w:rsid w:val="00B3471E"/>
    <w:rsid w:val="00B35046"/>
    <w:rsid w:val="00B35CE4"/>
    <w:rsid w:val="00B36136"/>
    <w:rsid w:val="00B36302"/>
    <w:rsid w:val="00B36F04"/>
    <w:rsid w:val="00B37489"/>
    <w:rsid w:val="00B43BA8"/>
    <w:rsid w:val="00B45512"/>
    <w:rsid w:val="00B465C2"/>
    <w:rsid w:val="00B47874"/>
    <w:rsid w:val="00B5085F"/>
    <w:rsid w:val="00B518D5"/>
    <w:rsid w:val="00B53586"/>
    <w:rsid w:val="00B54726"/>
    <w:rsid w:val="00B55987"/>
    <w:rsid w:val="00B60B81"/>
    <w:rsid w:val="00B620CE"/>
    <w:rsid w:val="00B62632"/>
    <w:rsid w:val="00B62B2E"/>
    <w:rsid w:val="00B6368B"/>
    <w:rsid w:val="00B63AC6"/>
    <w:rsid w:val="00B64F26"/>
    <w:rsid w:val="00B65645"/>
    <w:rsid w:val="00B6694F"/>
    <w:rsid w:val="00B673B6"/>
    <w:rsid w:val="00B67691"/>
    <w:rsid w:val="00B70A6C"/>
    <w:rsid w:val="00B71196"/>
    <w:rsid w:val="00B7120A"/>
    <w:rsid w:val="00B71AB2"/>
    <w:rsid w:val="00B72925"/>
    <w:rsid w:val="00B72D4F"/>
    <w:rsid w:val="00B740F5"/>
    <w:rsid w:val="00B74816"/>
    <w:rsid w:val="00B774CB"/>
    <w:rsid w:val="00B802A9"/>
    <w:rsid w:val="00B80409"/>
    <w:rsid w:val="00B80E2E"/>
    <w:rsid w:val="00B81719"/>
    <w:rsid w:val="00B821A9"/>
    <w:rsid w:val="00B82AC0"/>
    <w:rsid w:val="00B834DB"/>
    <w:rsid w:val="00B859CA"/>
    <w:rsid w:val="00B85CE9"/>
    <w:rsid w:val="00B863BD"/>
    <w:rsid w:val="00B864EF"/>
    <w:rsid w:val="00B86943"/>
    <w:rsid w:val="00B901CC"/>
    <w:rsid w:val="00B90320"/>
    <w:rsid w:val="00B92831"/>
    <w:rsid w:val="00B931EE"/>
    <w:rsid w:val="00B9333A"/>
    <w:rsid w:val="00B93424"/>
    <w:rsid w:val="00B9464F"/>
    <w:rsid w:val="00B954B9"/>
    <w:rsid w:val="00B95A6C"/>
    <w:rsid w:val="00B95D31"/>
    <w:rsid w:val="00B95DE0"/>
    <w:rsid w:val="00B960AC"/>
    <w:rsid w:val="00B964C7"/>
    <w:rsid w:val="00B96B05"/>
    <w:rsid w:val="00B97A7E"/>
    <w:rsid w:val="00BA01FF"/>
    <w:rsid w:val="00BA0B9A"/>
    <w:rsid w:val="00BA1A04"/>
    <w:rsid w:val="00BA1A37"/>
    <w:rsid w:val="00BA1ADF"/>
    <w:rsid w:val="00BA2BAD"/>
    <w:rsid w:val="00BA2D5C"/>
    <w:rsid w:val="00BA3253"/>
    <w:rsid w:val="00BA4465"/>
    <w:rsid w:val="00BA67CE"/>
    <w:rsid w:val="00BA6A91"/>
    <w:rsid w:val="00BB193D"/>
    <w:rsid w:val="00BB1CE3"/>
    <w:rsid w:val="00BB3463"/>
    <w:rsid w:val="00BB38E2"/>
    <w:rsid w:val="00BB450E"/>
    <w:rsid w:val="00BB461D"/>
    <w:rsid w:val="00BB5C28"/>
    <w:rsid w:val="00BB5CA0"/>
    <w:rsid w:val="00BB5CDC"/>
    <w:rsid w:val="00BB5D53"/>
    <w:rsid w:val="00BB67AE"/>
    <w:rsid w:val="00BB6C33"/>
    <w:rsid w:val="00BB7555"/>
    <w:rsid w:val="00BC0685"/>
    <w:rsid w:val="00BC4600"/>
    <w:rsid w:val="00BC4B17"/>
    <w:rsid w:val="00BC62A9"/>
    <w:rsid w:val="00BC6BDA"/>
    <w:rsid w:val="00BC6F9C"/>
    <w:rsid w:val="00BC7664"/>
    <w:rsid w:val="00BD0930"/>
    <w:rsid w:val="00BD0A65"/>
    <w:rsid w:val="00BD10D8"/>
    <w:rsid w:val="00BD16DC"/>
    <w:rsid w:val="00BD2309"/>
    <w:rsid w:val="00BD3002"/>
    <w:rsid w:val="00BD391E"/>
    <w:rsid w:val="00BD577A"/>
    <w:rsid w:val="00BD5871"/>
    <w:rsid w:val="00BD607C"/>
    <w:rsid w:val="00BD72B6"/>
    <w:rsid w:val="00BD76B6"/>
    <w:rsid w:val="00BD7C90"/>
    <w:rsid w:val="00BD7E19"/>
    <w:rsid w:val="00BE087A"/>
    <w:rsid w:val="00BE1561"/>
    <w:rsid w:val="00BE2166"/>
    <w:rsid w:val="00BE2C01"/>
    <w:rsid w:val="00BE2D15"/>
    <w:rsid w:val="00BE3214"/>
    <w:rsid w:val="00BE34ED"/>
    <w:rsid w:val="00BE4124"/>
    <w:rsid w:val="00BE4D64"/>
    <w:rsid w:val="00BE5477"/>
    <w:rsid w:val="00BE6460"/>
    <w:rsid w:val="00BE6F0C"/>
    <w:rsid w:val="00BF07C1"/>
    <w:rsid w:val="00BF0C28"/>
    <w:rsid w:val="00BF0CA2"/>
    <w:rsid w:val="00BF0E3A"/>
    <w:rsid w:val="00BF20D2"/>
    <w:rsid w:val="00BF3987"/>
    <w:rsid w:val="00BF4167"/>
    <w:rsid w:val="00BF49D1"/>
    <w:rsid w:val="00BF63F7"/>
    <w:rsid w:val="00C006B4"/>
    <w:rsid w:val="00C009C5"/>
    <w:rsid w:val="00C00D8D"/>
    <w:rsid w:val="00C026C5"/>
    <w:rsid w:val="00C02FF7"/>
    <w:rsid w:val="00C0390E"/>
    <w:rsid w:val="00C04483"/>
    <w:rsid w:val="00C048C2"/>
    <w:rsid w:val="00C04D07"/>
    <w:rsid w:val="00C052D5"/>
    <w:rsid w:val="00C13400"/>
    <w:rsid w:val="00C13B9B"/>
    <w:rsid w:val="00C14528"/>
    <w:rsid w:val="00C163AE"/>
    <w:rsid w:val="00C167DD"/>
    <w:rsid w:val="00C1727C"/>
    <w:rsid w:val="00C20296"/>
    <w:rsid w:val="00C202CD"/>
    <w:rsid w:val="00C209B8"/>
    <w:rsid w:val="00C20A70"/>
    <w:rsid w:val="00C20C59"/>
    <w:rsid w:val="00C22C7C"/>
    <w:rsid w:val="00C23887"/>
    <w:rsid w:val="00C238E8"/>
    <w:rsid w:val="00C23EBA"/>
    <w:rsid w:val="00C24B8C"/>
    <w:rsid w:val="00C26311"/>
    <w:rsid w:val="00C30031"/>
    <w:rsid w:val="00C31934"/>
    <w:rsid w:val="00C342FD"/>
    <w:rsid w:val="00C3467D"/>
    <w:rsid w:val="00C349A4"/>
    <w:rsid w:val="00C35CAE"/>
    <w:rsid w:val="00C35D71"/>
    <w:rsid w:val="00C35DE8"/>
    <w:rsid w:val="00C36DFE"/>
    <w:rsid w:val="00C37169"/>
    <w:rsid w:val="00C374F2"/>
    <w:rsid w:val="00C37F7B"/>
    <w:rsid w:val="00C403EB"/>
    <w:rsid w:val="00C40B7E"/>
    <w:rsid w:val="00C40E58"/>
    <w:rsid w:val="00C40E9C"/>
    <w:rsid w:val="00C411E5"/>
    <w:rsid w:val="00C41806"/>
    <w:rsid w:val="00C41ED1"/>
    <w:rsid w:val="00C426D8"/>
    <w:rsid w:val="00C42C76"/>
    <w:rsid w:val="00C42CE9"/>
    <w:rsid w:val="00C44502"/>
    <w:rsid w:val="00C449F6"/>
    <w:rsid w:val="00C45585"/>
    <w:rsid w:val="00C45F3C"/>
    <w:rsid w:val="00C470EA"/>
    <w:rsid w:val="00C4714D"/>
    <w:rsid w:val="00C47A55"/>
    <w:rsid w:val="00C47A8C"/>
    <w:rsid w:val="00C47FF4"/>
    <w:rsid w:val="00C50AB2"/>
    <w:rsid w:val="00C52B69"/>
    <w:rsid w:val="00C53626"/>
    <w:rsid w:val="00C53A46"/>
    <w:rsid w:val="00C53D7F"/>
    <w:rsid w:val="00C5471A"/>
    <w:rsid w:val="00C55441"/>
    <w:rsid w:val="00C55DE1"/>
    <w:rsid w:val="00C572E9"/>
    <w:rsid w:val="00C60145"/>
    <w:rsid w:val="00C60F63"/>
    <w:rsid w:val="00C60F6F"/>
    <w:rsid w:val="00C62291"/>
    <w:rsid w:val="00C624A1"/>
    <w:rsid w:val="00C627EE"/>
    <w:rsid w:val="00C62ABC"/>
    <w:rsid w:val="00C6467D"/>
    <w:rsid w:val="00C64E57"/>
    <w:rsid w:val="00C67B16"/>
    <w:rsid w:val="00C70388"/>
    <w:rsid w:val="00C707C0"/>
    <w:rsid w:val="00C70D32"/>
    <w:rsid w:val="00C71FF4"/>
    <w:rsid w:val="00C7205C"/>
    <w:rsid w:val="00C73200"/>
    <w:rsid w:val="00C735F9"/>
    <w:rsid w:val="00C738F4"/>
    <w:rsid w:val="00C74087"/>
    <w:rsid w:val="00C74860"/>
    <w:rsid w:val="00C74913"/>
    <w:rsid w:val="00C75D4F"/>
    <w:rsid w:val="00C80363"/>
    <w:rsid w:val="00C806CE"/>
    <w:rsid w:val="00C81BA9"/>
    <w:rsid w:val="00C81F24"/>
    <w:rsid w:val="00C82E16"/>
    <w:rsid w:val="00C84C37"/>
    <w:rsid w:val="00C85C66"/>
    <w:rsid w:val="00C86862"/>
    <w:rsid w:val="00C86AC8"/>
    <w:rsid w:val="00C874F7"/>
    <w:rsid w:val="00C87510"/>
    <w:rsid w:val="00C8768D"/>
    <w:rsid w:val="00C879EB"/>
    <w:rsid w:val="00C87C03"/>
    <w:rsid w:val="00C90F36"/>
    <w:rsid w:val="00C923B0"/>
    <w:rsid w:val="00C92568"/>
    <w:rsid w:val="00C9300E"/>
    <w:rsid w:val="00C933AA"/>
    <w:rsid w:val="00C9364E"/>
    <w:rsid w:val="00C94C01"/>
    <w:rsid w:val="00C9545B"/>
    <w:rsid w:val="00C95E13"/>
    <w:rsid w:val="00C9629F"/>
    <w:rsid w:val="00C973F4"/>
    <w:rsid w:val="00C97CE8"/>
    <w:rsid w:val="00CA0180"/>
    <w:rsid w:val="00CA080F"/>
    <w:rsid w:val="00CA0BC4"/>
    <w:rsid w:val="00CA16B2"/>
    <w:rsid w:val="00CA1DE9"/>
    <w:rsid w:val="00CA2D09"/>
    <w:rsid w:val="00CA35BA"/>
    <w:rsid w:val="00CA44B3"/>
    <w:rsid w:val="00CA4C94"/>
    <w:rsid w:val="00CA6F9B"/>
    <w:rsid w:val="00CA7B06"/>
    <w:rsid w:val="00CB1148"/>
    <w:rsid w:val="00CB122D"/>
    <w:rsid w:val="00CB16EB"/>
    <w:rsid w:val="00CB16ED"/>
    <w:rsid w:val="00CB1BC1"/>
    <w:rsid w:val="00CB222E"/>
    <w:rsid w:val="00CB31AB"/>
    <w:rsid w:val="00CB335B"/>
    <w:rsid w:val="00CB34E2"/>
    <w:rsid w:val="00CB4014"/>
    <w:rsid w:val="00CB45F2"/>
    <w:rsid w:val="00CB4A78"/>
    <w:rsid w:val="00CB55F5"/>
    <w:rsid w:val="00CB63E7"/>
    <w:rsid w:val="00CC01E9"/>
    <w:rsid w:val="00CC0557"/>
    <w:rsid w:val="00CC0D11"/>
    <w:rsid w:val="00CC2902"/>
    <w:rsid w:val="00CC3F9C"/>
    <w:rsid w:val="00CC406D"/>
    <w:rsid w:val="00CC47E8"/>
    <w:rsid w:val="00CC4FE1"/>
    <w:rsid w:val="00CC6379"/>
    <w:rsid w:val="00CD04CF"/>
    <w:rsid w:val="00CD2731"/>
    <w:rsid w:val="00CD30CB"/>
    <w:rsid w:val="00CD43C1"/>
    <w:rsid w:val="00CD5187"/>
    <w:rsid w:val="00CD51F7"/>
    <w:rsid w:val="00CD5B1F"/>
    <w:rsid w:val="00CD61CA"/>
    <w:rsid w:val="00CD7C89"/>
    <w:rsid w:val="00CE01AE"/>
    <w:rsid w:val="00CE0DC1"/>
    <w:rsid w:val="00CE3A4A"/>
    <w:rsid w:val="00CE4857"/>
    <w:rsid w:val="00CE7095"/>
    <w:rsid w:val="00CE765E"/>
    <w:rsid w:val="00CF0B4F"/>
    <w:rsid w:val="00CF1497"/>
    <w:rsid w:val="00CF1731"/>
    <w:rsid w:val="00CF2615"/>
    <w:rsid w:val="00CF2DF0"/>
    <w:rsid w:val="00CF5989"/>
    <w:rsid w:val="00CF6D4B"/>
    <w:rsid w:val="00CF76E8"/>
    <w:rsid w:val="00D000F8"/>
    <w:rsid w:val="00D052E9"/>
    <w:rsid w:val="00D0541C"/>
    <w:rsid w:val="00D054C6"/>
    <w:rsid w:val="00D05CB1"/>
    <w:rsid w:val="00D06160"/>
    <w:rsid w:val="00D06820"/>
    <w:rsid w:val="00D06827"/>
    <w:rsid w:val="00D06EBE"/>
    <w:rsid w:val="00D079A5"/>
    <w:rsid w:val="00D108B0"/>
    <w:rsid w:val="00D110F3"/>
    <w:rsid w:val="00D1127D"/>
    <w:rsid w:val="00D11C06"/>
    <w:rsid w:val="00D13D14"/>
    <w:rsid w:val="00D15231"/>
    <w:rsid w:val="00D16CD1"/>
    <w:rsid w:val="00D16FC0"/>
    <w:rsid w:val="00D17A47"/>
    <w:rsid w:val="00D17DA9"/>
    <w:rsid w:val="00D202CC"/>
    <w:rsid w:val="00D20515"/>
    <w:rsid w:val="00D20DD2"/>
    <w:rsid w:val="00D22DF0"/>
    <w:rsid w:val="00D22DF3"/>
    <w:rsid w:val="00D24882"/>
    <w:rsid w:val="00D24F02"/>
    <w:rsid w:val="00D2589E"/>
    <w:rsid w:val="00D267E9"/>
    <w:rsid w:val="00D26C84"/>
    <w:rsid w:val="00D27F16"/>
    <w:rsid w:val="00D27F88"/>
    <w:rsid w:val="00D30390"/>
    <w:rsid w:val="00D3068D"/>
    <w:rsid w:val="00D311FD"/>
    <w:rsid w:val="00D3352A"/>
    <w:rsid w:val="00D34F1B"/>
    <w:rsid w:val="00D35EC9"/>
    <w:rsid w:val="00D3632C"/>
    <w:rsid w:val="00D4015B"/>
    <w:rsid w:val="00D40281"/>
    <w:rsid w:val="00D40EBA"/>
    <w:rsid w:val="00D428E9"/>
    <w:rsid w:val="00D42D8C"/>
    <w:rsid w:val="00D4319D"/>
    <w:rsid w:val="00D43478"/>
    <w:rsid w:val="00D4454C"/>
    <w:rsid w:val="00D459A1"/>
    <w:rsid w:val="00D46574"/>
    <w:rsid w:val="00D4777D"/>
    <w:rsid w:val="00D47B0A"/>
    <w:rsid w:val="00D50513"/>
    <w:rsid w:val="00D506B1"/>
    <w:rsid w:val="00D50998"/>
    <w:rsid w:val="00D511F2"/>
    <w:rsid w:val="00D541DF"/>
    <w:rsid w:val="00D547B9"/>
    <w:rsid w:val="00D551E3"/>
    <w:rsid w:val="00D555E5"/>
    <w:rsid w:val="00D555FB"/>
    <w:rsid w:val="00D55BCB"/>
    <w:rsid w:val="00D61221"/>
    <w:rsid w:val="00D6173C"/>
    <w:rsid w:val="00D617F2"/>
    <w:rsid w:val="00D61D43"/>
    <w:rsid w:val="00D62785"/>
    <w:rsid w:val="00D64055"/>
    <w:rsid w:val="00D65590"/>
    <w:rsid w:val="00D6561D"/>
    <w:rsid w:val="00D6583D"/>
    <w:rsid w:val="00D65C5B"/>
    <w:rsid w:val="00D65CFA"/>
    <w:rsid w:val="00D66104"/>
    <w:rsid w:val="00D66F57"/>
    <w:rsid w:val="00D671D5"/>
    <w:rsid w:val="00D70DC7"/>
    <w:rsid w:val="00D718F8"/>
    <w:rsid w:val="00D71A28"/>
    <w:rsid w:val="00D72A21"/>
    <w:rsid w:val="00D734FD"/>
    <w:rsid w:val="00D74AA8"/>
    <w:rsid w:val="00D74EB1"/>
    <w:rsid w:val="00D75936"/>
    <w:rsid w:val="00D7627F"/>
    <w:rsid w:val="00D76AF7"/>
    <w:rsid w:val="00D7709A"/>
    <w:rsid w:val="00D80E0E"/>
    <w:rsid w:val="00D81854"/>
    <w:rsid w:val="00D82286"/>
    <w:rsid w:val="00D825A2"/>
    <w:rsid w:val="00D82AB2"/>
    <w:rsid w:val="00D834CD"/>
    <w:rsid w:val="00D84A7B"/>
    <w:rsid w:val="00D84ABD"/>
    <w:rsid w:val="00D84D48"/>
    <w:rsid w:val="00D85186"/>
    <w:rsid w:val="00D857B1"/>
    <w:rsid w:val="00D86F02"/>
    <w:rsid w:val="00D87385"/>
    <w:rsid w:val="00D90AE4"/>
    <w:rsid w:val="00D92320"/>
    <w:rsid w:val="00D936E2"/>
    <w:rsid w:val="00D936EB"/>
    <w:rsid w:val="00D94753"/>
    <w:rsid w:val="00D94B8F"/>
    <w:rsid w:val="00D95EC8"/>
    <w:rsid w:val="00D96888"/>
    <w:rsid w:val="00DA0029"/>
    <w:rsid w:val="00DA0B41"/>
    <w:rsid w:val="00DA0D0C"/>
    <w:rsid w:val="00DA18FF"/>
    <w:rsid w:val="00DA2762"/>
    <w:rsid w:val="00DA286B"/>
    <w:rsid w:val="00DA547F"/>
    <w:rsid w:val="00DA56E0"/>
    <w:rsid w:val="00DB0CF0"/>
    <w:rsid w:val="00DB0D85"/>
    <w:rsid w:val="00DB0F86"/>
    <w:rsid w:val="00DB12EE"/>
    <w:rsid w:val="00DB13C7"/>
    <w:rsid w:val="00DB1F62"/>
    <w:rsid w:val="00DB2018"/>
    <w:rsid w:val="00DB25CF"/>
    <w:rsid w:val="00DB2757"/>
    <w:rsid w:val="00DB39BD"/>
    <w:rsid w:val="00DB496D"/>
    <w:rsid w:val="00DB4C05"/>
    <w:rsid w:val="00DB5ED8"/>
    <w:rsid w:val="00DB69CC"/>
    <w:rsid w:val="00DB7D1B"/>
    <w:rsid w:val="00DC0D32"/>
    <w:rsid w:val="00DC30F4"/>
    <w:rsid w:val="00DC36A1"/>
    <w:rsid w:val="00DC4FE5"/>
    <w:rsid w:val="00DC64F5"/>
    <w:rsid w:val="00DC6F52"/>
    <w:rsid w:val="00DD0781"/>
    <w:rsid w:val="00DD0E5B"/>
    <w:rsid w:val="00DD17DA"/>
    <w:rsid w:val="00DD4E34"/>
    <w:rsid w:val="00DD5E87"/>
    <w:rsid w:val="00DD65C9"/>
    <w:rsid w:val="00DD6CD9"/>
    <w:rsid w:val="00DD71F9"/>
    <w:rsid w:val="00DE45DC"/>
    <w:rsid w:val="00DE4932"/>
    <w:rsid w:val="00DE5267"/>
    <w:rsid w:val="00DE55C4"/>
    <w:rsid w:val="00DE67B2"/>
    <w:rsid w:val="00DE6AA0"/>
    <w:rsid w:val="00DE7145"/>
    <w:rsid w:val="00DE7565"/>
    <w:rsid w:val="00DF07EE"/>
    <w:rsid w:val="00DF0896"/>
    <w:rsid w:val="00DF0CB3"/>
    <w:rsid w:val="00DF122A"/>
    <w:rsid w:val="00DF15AC"/>
    <w:rsid w:val="00DF2210"/>
    <w:rsid w:val="00DF2E95"/>
    <w:rsid w:val="00DF3CDE"/>
    <w:rsid w:val="00DF3DE3"/>
    <w:rsid w:val="00DF58E9"/>
    <w:rsid w:val="00DF59A3"/>
    <w:rsid w:val="00DF5F7B"/>
    <w:rsid w:val="00DF73D4"/>
    <w:rsid w:val="00E000D3"/>
    <w:rsid w:val="00E00DD3"/>
    <w:rsid w:val="00E00EFE"/>
    <w:rsid w:val="00E01D70"/>
    <w:rsid w:val="00E02692"/>
    <w:rsid w:val="00E027FB"/>
    <w:rsid w:val="00E02B7C"/>
    <w:rsid w:val="00E03A94"/>
    <w:rsid w:val="00E0408E"/>
    <w:rsid w:val="00E063DA"/>
    <w:rsid w:val="00E066F2"/>
    <w:rsid w:val="00E07D25"/>
    <w:rsid w:val="00E101EA"/>
    <w:rsid w:val="00E108A9"/>
    <w:rsid w:val="00E1126A"/>
    <w:rsid w:val="00E12FA2"/>
    <w:rsid w:val="00E13C75"/>
    <w:rsid w:val="00E14038"/>
    <w:rsid w:val="00E15464"/>
    <w:rsid w:val="00E179BB"/>
    <w:rsid w:val="00E204CD"/>
    <w:rsid w:val="00E21164"/>
    <w:rsid w:val="00E2143C"/>
    <w:rsid w:val="00E2246A"/>
    <w:rsid w:val="00E22863"/>
    <w:rsid w:val="00E22D2D"/>
    <w:rsid w:val="00E22E9F"/>
    <w:rsid w:val="00E23F34"/>
    <w:rsid w:val="00E24567"/>
    <w:rsid w:val="00E2543B"/>
    <w:rsid w:val="00E266FF"/>
    <w:rsid w:val="00E26D04"/>
    <w:rsid w:val="00E26F2A"/>
    <w:rsid w:val="00E27112"/>
    <w:rsid w:val="00E273AE"/>
    <w:rsid w:val="00E31D94"/>
    <w:rsid w:val="00E32F50"/>
    <w:rsid w:val="00E33FDF"/>
    <w:rsid w:val="00E34731"/>
    <w:rsid w:val="00E35D2B"/>
    <w:rsid w:val="00E367B7"/>
    <w:rsid w:val="00E36993"/>
    <w:rsid w:val="00E40189"/>
    <w:rsid w:val="00E4064A"/>
    <w:rsid w:val="00E40CA3"/>
    <w:rsid w:val="00E43103"/>
    <w:rsid w:val="00E43E25"/>
    <w:rsid w:val="00E440CB"/>
    <w:rsid w:val="00E44E6D"/>
    <w:rsid w:val="00E4503C"/>
    <w:rsid w:val="00E45E70"/>
    <w:rsid w:val="00E507C4"/>
    <w:rsid w:val="00E5085C"/>
    <w:rsid w:val="00E5101E"/>
    <w:rsid w:val="00E51533"/>
    <w:rsid w:val="00E5188F"/>
    <w:rsid w:val="00E51C7C"/>
    <w:rsid w:val="00E51CAB"/>
    <w:rsid w:val="00E51D5F"/>
    <w:rsid w:val="00E52315"/>
    <w:rsid w:val="00E52764"/>
    <w:rsid w:val="00E52908"/>
    <w:rsid w:val="00E53375"/>
    <w:rsid w:val="00E534CE"/>
    <w:rsid w:val="00E535EA"/>
    <w:rsid w:val="00E53776"/>
    <w:rsid w:val="00E53FD1"/>
    <w:rsid w:val="00E54300"/>
    <w:rsid w:val="00E5440B"/>
    <w:rsid w:val="00E55457"/>
    <w:rsid w:val="00E55D6F"/>
    <w:rsid w:val="00E560F3"/>
    <w:rsid w:val="00E56225"/>
    <w:rsid w:val="00E57C13"/>
    <w:rsid w:val="00E603DA"/>
    <w:rsid w:val="00E60CEB"/>
    <w:rsid w:val="00E61406"/>
    <w:rsid w:val="00E618DE"/>
    <w:rsid w:val="00E61DC7"/>
    <w:rsid w:val="00E61E14"/>
    <w:rsid w:val="00E62088"/>
    <w:rsid w:val="00E622CC"/>
    <w:rsid w:val="00E626CE"/>
    <w:rsid w:val="00E635A9"/>
    <w:rsid w:val="00E6416C"/>
    <w:rsid w:val="00E6473D"/>
    <w:rsid w:val="00E64E19"/>
    <w:rsid w:val="00E64F61"/>
    <w:rsid w:val="00E65392"/>
    <w:rsid w:val="00E6636A"/>
    <w:rsid w:val="00E675D6"/>
    <w:rsid w:val="00E6768C"/>
    <w:rsid w:val="00E70864"/>
    <w:rsid w:val="00E7088E"/>
    <w:rsid w:val="00E71C16"/>
    <w:rsid w:val="00E71CAE"/>
    <w:rsid w:val="00E72898"/>
    <w:rsid w:val="00E7350C"/>
    <w:rsid w:val="00E74790"/>
    <w:rsid w:val="00E74C6B"/>
    <w:rsid w:val="00E7606D"/>
    <w:rsid w:val="00E81D40"/>
    <w:rsid w:val="00E82C4A"/>
    <w:rsid w:val="00E84629"/>
    <w:rsid w:val="00E84CA9"/>
    <w:rsid w:val="00E86700"/>
    <w:rsid w:val="00E86859"/>
    <w:rsid w:val="00E86F9C"/>
    <w:rsid w:val="00E92171"/>
    <w:rsid w:val="00E9276D"/>
    <w:rsid w:val="00E92947"/>
    <w:rsid w:val="00E95CC1"/>
    <w:rsid w:val="00E95CCC"/>
    <w:rsid w:val="00E96BC3"/>
    <w:rsid w:val="00E978CD"/>
    <w:rsid w:val="00E97FCC"/>
    <w:rsid w:val="00EA0BAA"/>
    <w:rsid w:val="00EA23E8"/>
    <w:rsid w:val="00EA434E"/>
    <w:rsid w:val="00EA5560"/>
    <w:rsid w:val="00EA594B"/>
    <w:rsid w:val="00EA68E0"/>
    <w:rsid w:val="00EA71FE"/>
    <w:rsid w:val="00EA74CF"/>
    <w:rsid w:val="00EA7C7B"/>
    <w:rsid w:val="00EB2CA3"/>
    <w:rsid w:val="00EB3516"/>
    <w:rsid w:val="00EB4B8E"/>
    <w:rsid w:val="00EB505F"/>
    <w:rsid w:val="00EB55B9"/>
    <w:rsid w:val="00EB6C71"/>
    <w:rsid w:val="00EB77A9"/>
    <w:rsid w:val="00EC1948"/>
    <w:rsid w:val="00EC3F72"/>
    <w:rsid w:val="00EC528D"/>
    <w:rsid w:val="00EC5325"/>
    <w:rsid w:val="00EC5A59"/>
    <w:rsid w:val="00EC65B4"/>
    <w:rsid w:val="00EC7745"/>
    <w:rsid w:val="00ED2B76"/>
    <w:rsid w:val="00ED2C45"/>
    <w:rsid w:val="00ED343C"/>
    <w:rsid w:val="00ED36DC"/>
    <w:rsid w:val="00ED3A7C"/>
    <w:rsid w:val="00ED5130"/>
    <w:rsid w:val="00ED5785"/>
    <w:rsid w:val="00ED6277"/>
    <w:rsid w:val="00ED6A57"/>
    <w:rsid w:val="00ED792D"/>
    <w:rsid w:val="00ED7FCF"/>
    <w:rsid w:val="00EE0058"/>
    <w:rsid w:val="00EE0074"/>
    <w:rsid w:val="00EE0093"/>
    <w:rsid w:val="00EE0682"/>
    <w:rsid w:val="00EE0B93"/>
    <w:rsid w:val="00EE1612"/>
    <w:rsid w:val="00EE25DB"/>
    <w:rsid w:val="00EE366B"/>
    <w:rsid w:val="00EE51E7"/>
    <w:rsid w:val="00EE545E"/>
    <w:rsid w:val="00EE5DEC"/>
    <w:rsid w:val="00EE6A79"/>
    <w:rsid w:val="00EE70D1"/>
    <w:rsid w:val="00EF0C15"/>
    <w:rsid w:val="00EF0D70"/>
    <w:rsid w:val="00EF140E"/>
    <w:rsid w:val="00EF171E"/>
    <w:rsid w:val="00EF1D6F"/>
    <w:rsid w:val="00EF1F23"/>
    <w:rsid w:val="00EF2F69"/>
    <w:rsid w:val="00EF3207"/>
    <w:rsid w:val="00EF4FFB"/>
    <w:rsid w:val="00EF6E5C"/>
    <w:rsid w:val="00EF7E46"/>
    <w:rsid w:val="00F00011"/>
    <w:rsid w:val="00F002AB"/>
    <w:rsid w:val="00F00ED7"/>
    <w:rsid w:val="00F02192"/>
    <w:rsid w:val="00F02693"/>
    <w:rsid w:val="00F0283A"/>
    <w:rsid w:val="00F02910"/>
    <w:rsid w:val="00F02AAE"/>
    <w:rsid w:val="00F0312B"/>
    <w:rsid w:val="00F0397F"/>
    <w:rsid w:val="00F03CFE"/>
    <w:rsid w:val="00F04368"/>
    <w:rsid w:val="00F0490B"/>
    <w:rsid w:val="00F05498"/>
    <w:rsid w:val="00F05961"/>
    <w:rsid w:val="00F07D8D"/>
    <w:rsid w:val="00F07E40"/>
    <w:rsid w:val="00F10BBD"/>
    <w:rsid w:val="00F110A0"/>
    <w:rsid w:val="00F11123"/>
    <w:rsid w:val="00F11364"/>
    <w:rsid w:val="00F12107"/>
    <w:rsid w:val="00F13ED7"/>
    <w:rsid w:val="00F153D5"/>
    <w:rsid w:val="00F16449"/>
    <w:rsid w:val="00F20928"/>
    <w:rsid w:val="00F218DD"/>
    <w:rsid w:val="00F21BCF"/>
    <w:rsid w:val="00F22759"/>
    <w:rsid w:val="00F24F8F"/>
    <w:rsid w:val="00F2533C"/>
    <w:rsid w:val="00F25F2E"/>
    <w:rsid w:val="00F270EE"/>
    <w:rsid w:val="00F2772B"/>
    <w:rsid w:val="00F279A6"/>
    <w:rsid w:val="00F30632"/>
    <w:rsid w:val="00F30E8D"/>
    <w:rsid w:val="00F31624"/>
    <w:rsid w:val="00F32966"/>
    <w:rsid w:val="00F346E3"/>
    <w:rsid w:val="00F357D6"/>
    <w:rsid w:val="00F35D40"/>
    <w:rsid w:val="00F3606A"/>
    <w:rsid w:val="00F361BE"/>
    <w:rsid w:val="00F36638"/>
    <w:rsid w:val="00F36E3A"/>
    <w:rsid w:val="00F40C1B"/>
    <w:rsid w:val="00F42AF0"/>
    <w:rsid w:val="00F42E9D"/>
    <w:rsid w:val="00F43C59"/>
    <w:rsid w:val="00F44EBE"/>
    <w:rsid w:val="00F46227"/>
    <w:rsid w:val="00F4631A"/>
    <w:rsid w:val="00F5045F"/>
    <w:rsid w:val="00F51754"/>
    <w:rsid w:val="00F51FF0"/>
    <w:rsid w:val="00F52578"/>
    <w:rsid w:val="00F536A4"/>
    <w:rsid w:val="00F53BFA"/>
    <w:rsid w:val="00F54873"/>
    <w:rsid w:val="00F54FA6"/>
    <w:rsid w:val="00F55033"/>
    <w:rsid w:val="00F559B1"/>
    <w:rsid w:val="00F5717F"/>
    <w:rsid w:val="00F57D4F"/>
    <w:rsid w:val="00F60041"/>
    <w:rsid w:val="00F60130"/>
    <w:rsid w:val="00F605BC"/>
    <w:rsid w:val="00F6581A"/>
    <w:rsid w:val="00F65CEC"/>
    <w:rsid w:val="00F66A4F"/>
    <w:rsid w:val="00F66F82"/>
    <w:rsid w:val="00F67E5B"/>
    <w:rsid w:val="00F67F4E"/>
    <w:rsid w:val="00F7142B"/>
    <w:rsid w:val="00F719CC"/>
    <w:rsid w:val="00F71A0A"/>
    <w:rsid w:val="00F72759"/>
    <w:rsid w:val="00F7391D"/>
    <w:rsid w:val="00F73B44"/>
    <w:rsid w:val="00F75323"/>
    <w:rsid w:val="00F76814"/>
    <w:rsid w:val="00F76BDD"/>
    <w:rsid w:val="00F77874"/>
    <w:rsid w:val="00F7788B"/>
    <w:rsid w:val="00F77B17"/>
    <w:rsid w:val="00F81D92"/>
    <w:rsid w:val="00F82FDB"/>
    <w:rsid w:val="00F831EA"/>
    <w:rsid w:val="00F8346A"/>
    <w:rsid w:val="00F845F0"/>
    <w:rsid w:val="00F8589C"/>
    <w:rsid w:val="00F911E9"/>
    <w:rsid w:val="00F9290D"/>
    <w:rsid w:val="00F92EBE"/>
    <w:rsid w:val="00F93A2D"/>
    <w:rsid w:val="00F93A65"/>
    <w:rsid w:val="00F93FBA"/>
    <w:rsid w:val="00F94A1B"/>
    <w:rsid w:val="00F95297"/>
    <w:rsid w:val="00F95C99"/>
    <w:rsid w:val="00F9677C"/>
    <w:rsid w:val="00F96854"/>
    <w:rsid w:val="00F96919"/>
    <w:rsid w:val="00F96CBE"/>
    <w:rsid w:val="00F978E8"/>
    <w:rsid w:val="00F97B7D"/>
    <w:rsid w:val="00F97FCA"/>
    <w:rsid w:val="00FA1002"/>
    <w:rsid w:val="00FA1054"/>
    <w:rsid w:val="00FA1E05"/>
    <w:rsid w:val="00FA1EFB"/>
    <w:rsid w:val="00FA260D"/>
    <w:rsid w:val="00FA27FA"/>
    <w:rsid w:val="00FA2CD8"/>
    <w:rsid w:val="00FA5600"/>
    <w:rsid w:val="00FA79B5"/>
    <w:rsid w:val="00FB0667"/>
    <w:rsid w:val="00FB39E5"/>
    <w:rsid w:val="00FB3D99"/>
    <w:rsid w:val="00FB4D48"/>
    <w:rsid w:val="00FB5B00"/>
    <w:rsid w:val="00FB5F69"/>
    <w:rsid w:val="00FB5FA2"/>
    <w:rsid w:val="00FB6619"/>
    <w:rsid w:val="00FC0FA2"/>
    <w:rsid w:val="00FC199A"/>
    <w:rsid w:val="00FC23A0"/>
    <w:rsid w:val="00FC2404"/>
    <w:rsid w:val="00FC2845"/>
    <w:rsid w:val="00FC33F0"/>
    <w:rsid w:val="00FC4753"/>
    <w:rsid w:val="00FC4B8D"/>
    <w:rsid w:val="00FC5668"/>
    <w:rsid w:val="00FC5C93"/>
    <w:rsid w:val="00FC5D84"/>
    <w:rsid w:val="00FC6E5F"/>
    <w:rsid w:val="00FC71C9"/>
    <w:rsid w:val="00FD030A"/>
    <w:rsid w:val="00FD295A"/>
    <w:rsid w:val="00FD528C"/>
    <w:rsid w:val="00FD597D"/>
    <w:rsid w:val="00FD5C1F"/>
    <w:rsid w:val="00FD696E"/>
    <w:rsid w:val="00FD78E5"/>
    <w:rsid w:val="00FE0672"/>
    <w:rsid w:val="00FE20C8"/>
    <w:rsid w:val="00FE4237"/>
    <w:rsid w:val="00FE4D52"/>
    <w:rsid w:val="00FE51C4"/>
    <w:rsid w:val="00FE6AAC"/>
    <w:rsid w:val="00FE74DD"/>
    <w:rsid w:val="00FE7F87"/>
    <w:rsid w:val="00FF042E"/>
    <w:rsid w:val="00FF04BE"/>
    <w:rsid w:val="00FF074C"/>
    <w:rsid w:val="00FF14C9"/>
    <w:rsid w:val="00FF170B"/>
    <w:rsid w:val="00FF1B2A"/>
    <w:rsid w:val="00FF1DF9"/>
    <w:rsid w:val="00FF1F58"/>
    <w:rsid w:val="00FF2A99"/>
    <w:rsid w:val="00FF2ADD"/>
    <w:rsid w:val="00FF3582"/>
    <w:rsid w:val="00FF40FC"/>
    <w:rsid w:val="00FF4DA5"/>
    <w:rsid w:val="00FF4FB8"/>
    <w:rsid w:val="00FF50B9"/>
    <w:rsid w:val="00FF65AC"/>
    <w:rsid w:val="00FF6609"/>
    <w:rsid w:val="00FF6917"/>
    <w:rsid w:val="00FF7334"/>
    <w:rsid w:val="00FF77E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147"/>
    <w:pPr>
      <w:widowControl w:val="0"/>
      <w:jc w:val="both"/>
    </w:pPr>
  </w:style>
  <w:style w:type="paragraph" w:styleId="Heading1">
    <w:name w:val="heading 1"/>
    <w:aliases w:val="小标题"/>
    <w:basedOn w:val="Normal"/>
    <w:next w:val="Normal"/>
    <w:link w:val="Heading1Char"/>
    <w:autoRedefine/>
    <w:uiPriority w:val="99"/>
    <w:qFormat/>
    <w:rsid w:val="00A21A5A"/>
    <w:pPr>
      <w:keepNext/>
      <w:keepLines/>
      <w:widowControl/>
      <w:numPr>
        <w:numId w:val="6"/>
      </w:numPr>
      <w:spacing w:before="100" w:beforeAutospacing="1" w:afterLines="50"/>
      <w:ind w:leftChars="1200" w:left="1200"/>
      <w:outlineLvl w:val="0"/>
    </w:pPr>
    <w:rPr>
      <w:rFonts w:eastAsia="华文楷体"/>
      <w:b/>
      <w:bCs/>
      <w:kern w:val="44"/>
      <w:sz w:val="28"/>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小标题 Char"/>
    <w:basedOn w:val="DefaultParagraphFont"/>
    <w:link w:val="Heading1"/>
    <w:uiPriority w:val="99"/>
    <w:locked/>
    <w:rsid w:val="00A21A5A"/>
    <w:rPr>
      <w:rFonts w:ascii="Calibri" w:eastAsia="华文楷体" w:hAnsi="Calibri" w:cs="Times New Roman"/>
      <w:b/>
      <w:bCs/>
      <w:kern w:val="44"/>
      <w:sz w:val="44"/>
      <w:szCs w:val="44"/>
    </w:rPr>
  </w:style>
  <w:style w:type="paragraph" w:styleId="Header">
    <w:name w:val="header"/>
    <w:basedOn w:val="Normal"/>
    <w:link w:val="HeaderChar"/>
    <w:uiPriority w:val="99"/>
    <w:semiHidden/>
    <w:rsid w:val="00B1000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B10000"/>
    <w:rPr>
      <w:rFonts w:cs="Times New Roman"/>
      <w:sz w:val="18"/>
      <w:szCs w:val="18"/>
    </w:rPr>
  </w:style>
  <w:style w:type="paragraph" w:styleId="Footer">
    <w:name w:val="footer"/>
    <w:basedOn w:val="Normal"/>
    <w:link w:val="FooterChar"/>
    <w:uiPriority w:val="99"/>
    <w:rsid w:val="00B1000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10000"/>
    <w:rPr>
      <w:rFonts w:cs="Times New Roman"/>
      <w:sz w:val="18"/>
      <w:szCs w:val="18"/>
    </w:rPr>
  </w:style>
  <w:style w:type="paragraph" w:customStyle="1" w:styleId="a">
    <w:name w:val="页眉报告名称"/>
    <w:link w:val="Char"/>
    <w:autoRedefine/>
    <w:uiPriority w:val="99"/>
    <w:rsid w:val="00B10000"/>
    <w:pPr>
      <w:spacing w:afterLines="100" w:line="240" w:lineRule="exact"/>
      <w:jc w:val="both"/>
    </w:pPr>
    <w:rPr>
      <w:rFonts w:eastAsia="华文新魏"/>
      <w:sz w:val="24"/>
    </w:rPr>
  </w:style>
  <w:style w:type="character" w:customStyle="1" w:styleId="Char">
    <w:name w:val="页眉报告名称 Char"/>
    <w:basedOn w:val="DefaultParagraphFont"/>
    <w:link w:val="a"/>
    <w:uiPriority w:val="99"/>
    <w:locked/>
    <w:rsid w:val="00B10000"/>
    <w:rPr>
      <w:rFonts w:ascii="Calibri" w:eastAsia="华文新魏" w:hAnsi="Calibri" w:cs="Times New Roman"/>
      <w:kern w:val="2"/>
      <w:sz w:val="22"/>
      <w:szCs w:val="22"/>
      <w:lang w:val="en-US" w:eastAsia="zh-CN" w:bidi="ar-SA"/>
    </w:rPr>
  </w:style>
  <w:style w:type="paragraph" w:customStyle="1" w:styleId="a0">
    <w:name w:val="页眉图片"/>
    <w:basedOn w:val="Header"/>
    <w:link w:val="Char0"/>
    <w:uiPriority w:val="99"/>
    <w:rsid w:val="00B10000"/>
    <w:pPr>
      <w:pBdr>
        <w:bottom w:val="none" w:sz="0" w:space="0" w:color="auto"/>
      </w:pBdr>
      <w:tabs>
        <w:tab w:val="clear" w:pos="4153"/>
        <w:tab w:val="clear" w:pos="8306"/>
        <w:tab w:val="right" w:pos="11424"/>
      </w:tabs>
      <w:jc w:val="left"/>
    </w:pPr>
    <w:rPr>
      <w:noProof/>
    </w:rPr>
  </w:style>
  <w:style w:type="character" w:customStyle="1" w:styleId="Char0">
    <w:name w:val="页眉图片 Char"/>
    <w:basedOn w:val="HeaderChar"/>
    <w:link w:val="a0"/>
    <w:uiPriority w:val="99"/>
    <w:locked/>
    <w:rsid w:val="00B10000"/>
    <w:rPr>
      <w:rFonts w:ascii="Calibri" w:eastAsia="宋体" w:hAnsi="Calibri"/>
      <w:noProof/>
    </w:rPr>
  </w:style>
  <w:style w:type="paragraph" w:customStyle="1" w:styleId="a1">
    <w:name w:val="页眉处日期"/>
    <w:basedOn w:val="Normal"/>
    <w:link w:val="Char1"/>
    <w:uiPriority w:val="99"/>
    <w:rsid w:val="00B10000"/>
    <w:pPr>
      <w:tabs>
        <w:tab w:val="right" w:pos="11424"/>
      </w:tabs>
      <w:snapToGrid w:val="0"/>
      <w:jc w:val="left"/>
    </w:pPr>
    <w:rPr>
      <w:rFonts w:ascii="华文隶书" w:eastAsia="华文隶书"/>
      <w:b/>
      <w:sz w:val="24"/>
      <w:szCs w:val="24"/>
    </w:rPr>
  </w:style>
  <w:style w:type="paragraph" w:customStyle="1" w:styleId="a2">
    <w:name w:val="页眉副标题"/>
    <w:basedOn w:val="Normal"/>
    <w:link w:val="Char2"/>
    <w:uiPriority w:val="99"/>
    <w:rsid w:val="00B10000"/>
    <w:pPr>
      <w:tabs>
        <w:tab w:val="right" w:pos="11424"/>
      </w:tabs>
      <w:snapToGrid w:val="0"/>
      <w:jc w:val="left"/>
    </w:pPr>
    <w:rPr>
      <w:rFonts w:ascii="华文隶书" w:eastAsia="华文隶书"/>
      <w:sz w:val="36"/>
      <w:szCs w:val="36"/>
    </w:rPr>
  </w:style>
  <w:style w:type="character" w:customStyle="1" w:styleId="Char1">
    <w:name w:val="页眉处日期 Char"/>
    <w:basedOn w:val="DefaultParagraphFont"/>
    <w:link w:val="a1"/>
    <w:uiPriority w:val="99"/>
    <w:locked/>
    <w:rsid w:val="00B10000"/>
    <w:rPr>
      <w:rFonts w:ascii="华文隶书" w:eastAsia="华文隶书" w:hAnsi="Calibri" w:cs="Times New Roman"/>
      <w:b/>
      <w:sz w:val="24"/>
      <w:szCs w:val="24"/>
    </w:rPr>
  </w:style>
  <w:style w:type="character" w:customStyle="1" w:styleId="Char2">
    <w:name w:val="页眉副标题 Char"/>
    <w:basedOn w:val="DefaultParagraphFont"/>
    <w:link w:val="a2"/>
    <w:uiPriority w:val="99"/>
    <w:locked/>
    <w:rsid w:val="00B10000"/>
    <w:rPr>
      <w:rFonts w:ascii="华文隶书" w:eastAsia="华文隶书" w:hAnsi="Calibri" w:cs="Times New Roman"/>
      <w:sz w:val="36"/>
      <w:szCs w:val="36"/>
    </w:rPr>
  </w:style>
  <w:style w:type="paragraph" w:customStyle="1" w:styleId="a3">
    <w:name w:val="页眉的分析师"/>
    <w:basedOn w:val="Normal"/>
    <w:link w:val="Char3"/>
    <w:uiPriority w:val="99"/>
    <w:rsid w:val="00B10000"/>
    <w:pPr>
      <w:tabs>
        <w:tab w:val="right" w:pos="11424"/>
      </w:tabs>
      <w:snapToGrid w:val="0"/>
      <w:spacing w:line="240" w:lineRule="exact"/>
      <w:jc w:val="right"/>
    </w:pPr>
    <w:rPr>
      <w:rFonts w:ascii="华文新魏" w:eastAsia="华文新魏"/>
      <w:szCs w:val="21"/>
    </w:rPr>
  </w:style>
  <w:style w:type="character" w:customStyle="1" w:styleId="Char3">
    <w:name w:val="页眉的分析师 Char"/>
    <w:basedOn w:val="DefaultParagraphFont"/>
    <w:link w:val="a3"/>
    <w:uiPriority w:val="99"/>
    <w:locked/>
    <w:rsid w:val="00B10000"/>
    <w:rPr>
      <w:rFonts w:ascii="华文新魏" w:eastAsia="华文新魏" w:hAnsi="Calibri" w:cs="Times New Roman"/>
      <w:sz w:val="21"/>
      <w:szCs w:val="21"/>
    </w:rPr>
  </w:style>
  <w:style w:type="paragraph" w:customStyle="1" w:styleId="12">
    <w:name w:val="页眉12"/>
    <w:basedOn w:val="Header"/>
    <w:link w:val="12Char"/>
    <w:uiPriority w:val="99"/>
    <w:rsid w:val="00B10000"/>
    <w:pPr>
      <w:pBdr>
        <w:bottom w:val="none" w:sz="0" w:space="0" w:color="auto"/>
      </w:pBdr>
      <w:tabs>
        <w:tab w:val="clear" w:pos="4153"/>
        <w:tab w:val="clear" w:pos="8306"/>
        <w:tab w:val="right" w:pos="11424"/>
      </w:tabs>
      <w:jc w:val="left"/>
    </w:pPr>
  </w:style>
  <w:style w:type="character" w:customStyle="1" w:styleId="12Char">
    <w:name w:val="页眉12 Char"/>
    <w:basedOn w:val="HeaderChar"/>
    <w:link w:val="12"/>
    <w:uiPriority w:val="99"/>
    <w:locked/>
    <w:rsid w:val="00B10000"/>
    <w:rPr>
      <w:rFonts w:ascii="Calibri" w:eastAsia="宋体" w:hAnsi="Calibri"/>
    </w:rPr>
  </w:style>
  <w:style w:type="paragraph" w:customStyle="1" w:styleId="2">
    <w:name w:val="页眉副标题2"/>
    <w:basedOn w:val="12"/>
    <w:link w:val="2Char"/>
    <w:uiPriority w:val="99"/>
    <w:rsid w:val="00B10000"/>
    <w:pPr>
      <w:jc w:val="right"/>
    </w:pPr>
    <w:rPr>
      <w:rFonts w:ascii="华文隶书" w:eastAsia="华文隶书"/>
      <w:sz w:val="21"/>
      <w:szCs w:val="21"/>
    </w:rPr>
  </w:style>
  <w:style w:type="character" w:customStyle="1" w:styleId="2Char">
    <w:name w:val="页眉副标题2 Char"/>
    <w:basedOn w:val="12Char"/>
    <w:link w:val="2"/>
    <w:uiPriority w:val="99"/>
    <w:locked/>
    <w:rsid w:val="00B10000"/>
    <w:rPr>
      <w:rFonts w:ascii="华文隶书" w:eastAsia="华文隶书"/>
      <w:sz w:val="21"/>
      <w:szCs w:val="21"/>
    </w:rPr>
  </w:style>
  <w:style w:type="paragraph" w:customStyle="1" w:styleId="a4">
    <w:name w:val="特别声明格式"/>
    <w:basedOn w:val="Normal"/>
    <w:link w:val="Char4"/>
    <w:uiPriority w:val="99"/>
    <w:rsid w:val="00B10000"/>
    <w:pPr>
      <w:spacing w:afterLines="100" w:line="240" w:lineRule="exact"/>
    </w:pPr>
    <w:rPr>
      <w:rFonts w:ascii="华文隶书" w:eastAsia="华文隶书"/>
      <w:sz w:val="28"/>
    </w:rPr>
  </w:style>
  <w:style w:type="character" w:customStyle="1" w:styleId="Char4">
    <w:name w:val="特别声明格式 Char"/>
    <w:basedOn w:val="DefaultParagraphFont"/>
    <w:link w:val="a4"/>
    <w:uiPriority w:val="99"/>
    <w:locked/>
    <w:rsid w:val="00B10000"/>
    <w:rPr>
      <w:rFonts w:ascii="华文隶书" w:eastAsia="华文隶书" w:hAnsi="Calibri" w:cs="Times New Roman"/>
      <w:sz w:val="28"/>
    </w:rPr>
  </w:style>
  <w:style w:type="paragraph" w:styleId="BodyText">
    <w:name w:val="Body Text"/>
    <w:basedOn w:val="Normal"/>
    <w:link w:val="BodyTextChar"/>
    <w:uiPriority w:val="99"/>
    <w:rsid w:val="00B10000"/>
    <w:pPr>
      <w:widowControl/>
      <w:spacing w:after="120" w:line="240" w:lineRule="exact"/>
      <w:ind w:left="3402"/>
    </w:pPr>
    <w:rPr>
      <w:rFonts w:ascii="Arial" w:eastAsia="KaiTi_GB2312" w:hAnsi="Arial"/>
      <w:color w:val="000000"/>
      <w:kern w:val="0"/>
      <w:szCs w:val="20"/>
      <w:lang w:val="en-GB"/>
    </w:rPr>
  </w:style>
  <w:style w:type="character" w:customStyle="1" w:styleId="BodyTextChar">
    <w:name w:val="Body Text Char"/>
    <w:basedOn w:val="DefaultParagraphFont"/>
    <w:link w:val="BodyText"/>
    <w:uiPriority w:val="99"/>
    <w:locked/>
    <w:rsid w:val="00B10000"/>
    <w:rPr>
      <w:rFonts w:ascii="Arial" w:eastAsia="KaiTi_GB2312" w:hAnsi="Arial" w:cs="Times New Roman"/>
      <w:color w:val="000000"/>
      <w:kern w:val="0"/>
      <w:sz w:val="20"/>
      <w:szCs w:val="20"/>
      <w:lang w:val="en-GB"/>
    </w:rPr>
  </w:style>
  <w:style w:type="paragraph" w:customStyle="1" w:styleId="FootnoteNoline">
    <w:name w:val="FootnoteNoline"/>
    <w:basedOn w:val="Normal"/>
    <w:next w:val="BodyText"/>
    <w:uiPriority w:val="99"/>
    <w:rsid w:val="008840A4"/>
    <w:pPr>
      <w:widowControl/>
      <w:tabs>
        <w:tab w:val="right" w:pos="10065"/>
      </w:tabs>
      <w:spacing w:before="40" w:after="160"/>
      <w:ind w:left="3402"/>
    </w:pPr>
    <w:rPr>
      <w:rFonts w:ascii="Arial" w:eastAsia="KaiTi_GB2312" w:hAnsi="Arial" w:cs="Arial"/>
      <w:color w:val="003765"/>
      <w:kern w:val="0"/>
      <w:sz w:val="15"/>
      <w:szCs w:val="14"/>
      <w:lang w:val="en-GB"/>
    </w:rPr>
  </w:style>
  <w:style w:type="paragraph" w:customStyle="1" w:styleId="SubTitleLargeTable">
    <w:name w:val="SubTitleLargeTable"/>
    <w:uiPriority w:val="99"/>
    <w:rsid w:val="008840A4"/>
    <w:pPr>
      <w:keepNext/>
      <w:pBdr>
        <w:top w:val="single" w:sz="6" w:space="1" w:color="666699"/>
      </w:pBdr>
      <w:suppressAutoHyphens/>
      <w:spacing w:after="40" w:line="240" w:lineRule="atLeast"/>
    </w:pPr>
    <w:rPr>
      <w:rFonts w:ascii="Arial" w:eastAsia="KaiTi_GB2312" w:hAnsi="Arial" w:cs="Arial"/>
      <w:b/>
      <w:bCs/>
      <w:i/>
      <w:iCs/>
      <w:color w:val="003765"/>
      <w:kern w:val="0"/>
      <w:szCs w:val="21"/>
      <w:lang w:val="en-GB"/>
    </w:rPr>
  </w:style>
  <w:style w:type="paragraph" w:styleId="BalloonText">
    <w:name w:val="Balloon Text"/>
    <w:basedOn w:val="Normal"/>
    <w:link w:val="BalloonTextChar"/>
    <w:uiPriority w:val="99"/>
    <w:semiHidden/>
    <w:rsid w:val="008840A4"/>
    <w:rPr>
      <w:sz w:val="18"/>
      <w:szCs w:val="18"/>
    </w:rPr>
  </w:style>
  <w:style w:type="character" w:customStyle="1" w:styleId="BalloonTextChar">
    <w:name w:val="Balloon Text Char"/>
    <w:basedOn w:val="DefaultParagraphFont"/>
    <w:link w:val="BalloonText"/>
    <w:uiPriority w:val="99"/>
    <w:semiHidden/>
    <w:locked/>
    <w:rsid w:val="008840A4"/>
    <w:rPr>
      <w:rFonts w:cs="Times New Roman"/>
      <w:sz w:val="18"/>
      <w:szCs w:val="18"/>
    </w:rPr>
  </w:style>
  <w:style w:type="paragraph" w:customStyle="1" w:styleId="CoverBullet">
    <w:name w:val="Cover Bullet"/>
    <w:uiPriority w:val="99"/>
    <w:rsid w:val="008840A4"/>
    <w:pPr>
      <w:numPr>
        <w:numId w:val="3"/>
      </w:numPr>
      <w:spacing w:before="120" w:after="120"/>
      <w:ind w:left="357" w:hanging="357"/>
    </w:pPr>
    <w:rPr>
      <w:rFonts w:ascii="LucidaSans" w:hAnsi="LucidaSans"/>
      <w:b/>
      <w:bCs/>
      <w:kern w:val="0"/>
      <w:sz w:val="20"/>
      <w:szCs w:val="20"/>
      <w:lang w:val="en-GB"/>
    </w:rPr>
  </w:style>
  <w:style w:type="paragraph" w:styleId="ListParagraph">
    <w:name w:val="List Paragraph"/>
    <w:basedOn w:val="Normal"/>
    <w:uiPriority w:val="99"/>
    <w:qFormat/>
    <w:rsid w:val="00026FF9"/>
    <w:pPr>
      <w:ind w:firstLineChars="200" w:firstLine="420"/>
    </w:pPr>
  </w:style>
  <w:style w:type="paragraph" w:customStyle="1" w:styleId="SourceLarge">
    <w:name w:val="SourceLarge"/>
    <w:uiPriority w:val="99"/>
    <w:rsid w:val="00611ADA"/>
    <w:pPr>
      <w:tabs>
        <w:tab w:val="left" w:pos="5216"/>
        <w:tab w:val="right" w:pos="9866"/>
      </w:tabs>
      <w:suppressAutoHyphens/>
      <w:spacing w:line="160" w:lineRule="atLeast"/>
    </w:pPr>
    <w:rPr>
      <w:rFonts w:ascii="LucidaSans" w:hAnsi="LucidaSans"/>
      <w:kern w:val="0"/>
      <w:sz w:val="12"/>
      <w:szCs w:val="12"/>
      <w:lang w:val="en-GB"/>
    </w:rPr>
  </w:style>
  <w:style w:type="paragraph" w:customStyle="1" w:styleId="BulletCoverpage">
    <w:name w:val="Bullet Cover page"/>
    <w:basedOn w:val="Normal"/>
    <w:uiPriority w:val="99"/>
    <w:rsid w:val="00611ADA"/>
    <w:pPr>
      <w:widowControl/>
      <w:numPr>
        <w:numId w:val="4"/>
      </w:numPr>
      <w:suppressAutoHyphens/>
      <w:spacing w:after="200" w:line="240" w:lineRule="atLeast"/>
    </w:pPr>
    <w:rPr>
      <w:rFonts w:ascii="Arial" w:eastAsia="KaiTi_GB2312" w:hAnsi="Arial"/>
      <w:kern w:val="0"/>
      <w:sz w:val="18"/>
      <w:szCs w:val="20"/>
      <w:lang w:val="en-GB"/>
    </w:rPr>
  </w:style>
  <w:style w:type="paragraph" w:customStyle="1" w:styleId="1">
    <w:name w:val="模板标题1"/>
    <w:basedOn w:val="Normal"/>
    <w:next w:val="BodyText"/>
    <w:uiPriority w:val="99"/>
    <w:rsid w:val="00611ADA"/>
    <w:pPr>
      <w:widowControl/>
      <w:spacing w:after="240" w:line="300" w:lineRule="exact"/>
      <w:ind w:left="3402"/>
      <w:outlineLvl w:val="0"/>
    </w:pPr>
    <w:rPr>
      <w:rFonts w:ascii="Arial" w:eastAsia="KaiTi_GB2312" w:hAnsi="Arial"/>
      <w:b/>
      <w:bCs/>
      <w:color w:val="01659D"/>
      <w:kern w:val="0"/>
      <w:sz w:val="24"/>
      <w:szCs w:val="20"/>
      <w:lang w:val="en-GB"/>
    </w:rPr>
  </w:style>
  <w:style w:type="paragraph" w:customStyle="1" w:styleId="a5">
    <w:name w:val="正文内容"/>
    <w:basedOn w:val="BodyText"/>
    <w:link w:val="Char5"/>
    <w:uiPriority w:val="99"/>
    <w:rsid w:val="00A21A5A"/>
    <w:pPr>
      <w:tabs>
        <w:tab w:val="num" w:pos="3799"/>
      </w:tabs>
      <w:spacing w:after="163"/>
      <w:ind w:left="3799" w:hanging="369"/>
    </w:pPr>
    <w:rPr>
      <w:rFonts w:ascii="KaiTi_GB2312" w:eastAsia="宋体" w:hAnsi="KaiTi_GB2312"/>
      <w:color w:val="auto"/>
    </w:rPr>
  </w:style>
  <w:style w:type="character" w:customStyle="1" w:styleId="Char5">
    <w:name w:val="正文内容 Char"/>
    <w:basedOn w:val="BodyTextChar"/>
    <w:link w:val="a5"/>
    <w:uiPriority w:val="99"/>
    <w:locked/>
    <w:rsid w:val="00A21A5A"/>
    <w:rPr>
      <w:rFonts w:ascii="KaiTi_GB2312" w:eastAsia="Times New Roman" w:hAnsi="KaiTi_GB2312"/>
    </w:rPr>
  </w:style>
  <w:style w:type="paragraph" w:customStyle="1" w:styleId="a6">
    <w:name w:val="正文小标题"/>
    <w:basedOn w:val="BodyText"/>
    <w:link w:val="Char6"/>
    <w:uiPriority w:val="99"/>
    <w:rsid w:val="00A21A5A"/>
    <w:pPr>
      <w:spacing w:after="0"/>
    </w:pPr>
    <w:rPr>
      <w:rFonts w:ascii="KaiTi_GB2312" w:eastAsia="宋体" w:hAnsi="KaiTi_GB2312"/>
      <w:b/>
      <w:bCs/>
      <w:color w:val="0070C0"/>
      <w:szCs w:val="21"/>
      <w:lang w:val="en-US"/>
    </w:rPr>
  </w:style>
  <w:style w:type="character" w:customStyle="1" w:styleId="Char6">
    <w:name w:val="正文小标题 Char"/>
    <w:basedOn w:val="BodyTextChar"/>
    <w:link w:val="a6"/>
    <w:uiPriority w:val="99"/>
    <w:locked/>
    <w:rsid w:val="00A21A5A"/>
    <w:rPr>
      <w:rFonts w:ascii="KaiTi_GB2312" w:eastAsia="Times New Roman" w:hAnsi="KaiTi_GB2312"/>
      <w:b/>
      <w:bCs/>
      <w:color w:val="0070C0"/>
      <w:sz w:val="21"/>
      <w:szCs w:val="21"/>
    </w:rPr>
  </w:style>
  <w:style w:type="character" w:styleId="Hyperlink">
    <w:name w:val="Hyperlink"/>
    <w:basedOn w:val="DefaultParagraphFont"/>
    <w:uiPriority w:val="99"/>
    <w:semiHidden/>
    <w:rsid w:val="006F4A62"/>
    <w:rPr>
      <w:rFonts w:cs="Times New Roman"/>
      <w:color w:val="072885"/>
      <w:u w:val="none"/>
      <w:effect w:val="none"/>
    </w:rPr>
  </w:style>
  <w:style w:type="paragraph" w:styleId="NormalWeb">
    <w:name w:val="Normal (Web)"/>
    <w:basedOn w:val="Normal"/>
    <w:uiPriority w:val="99"/>
    <w:rsid w:val="00413A93"/>
    <w:pPr>
      <w:widowControl/>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33729636">
      <w:marLeft w:val="0"/>
      <w:marRight w:val="0"/>
      <w:marTop w:val="0"/>
      <w:marBottom w:val="0"/>
      <w:divBdr>
        <w:top w:val="none" w:sz="0" w:space="0" w:color="auto"/>
        <w:left w:val="none" w:sz="0" w:space="0" w:color="auto"/>
        <w:bottom w:val="none" w:sz="0" w:space="0" w:color="auto"/>
        <w:right w:val="none" w:sz="0" w:space="0" w:color="auto"/>
      </w:divBdr>
    </w:div>
    <w:div w:id="1033729637">
      <w:marLeft w:val="0"/>
      <w:marRight w:val="0"/>
      <w:marTop w:val="0"/>
      <w:marBottom w:val="0"/>
      <w:divBdr>
        <w:top w:val="none" w:sz="0" w:space="0" w:color="auto"/>
        <w:left w:val="none" w:sz="0" w:space="0" w:color="auto"/>
        <w:bottom w:val="none" w:sz="0" w:space="0" w:color="auto"/>
        <w:right w:val="none" w:sz="0" w:space="0" w:color="auto"/>
      </w:divBdr>
    </w:div>
    <w:div w:id="1033729638">
      <w:marLeft w:val="0"/>
      <w:marRight w:val="0"/>
      <w:marTop w:val="0"/>
      <w:marBottom w:val="0"/>
      <w:divBdr>
        <w:top w:val="none" w:sz="0" w:space="0" w:color="auto"/>
        <w:left w:val="none" w:sz="0" w:space="0" w:color="auto"/>
        <w:bottom w:val="none" w:sz="0" w:space="0" w:color="auto"/>
        <w:right w:val="none" w:sz="0" w:space="0" w:color="auto"/>
      </w:divBdr>
    </w:div>
    <w:div w:id="1033729639">
      <w:marLeft w:val="0"/>
      <w:marRight w:val="0"/>
      <w:marTop w:val="0"/>
      <w:marBottom w:val="0"/>
      <w:divBdr>
        <w:top w:val="none" w:sz="0" w:space="0" w:color="auto"/>
        <w:left w:val="none" w:sz="0" w:space="0" w:color="auto"/>
        <w:bottom w:val="none" w:sz="0" w:space="0" w:color="auto"/>
        <w:right w:val="none" w:sz="0" w:space="0" w:color="auto"/>
      </w:divBdr>
    </w:div>
    <w:div w:id="1033729640">
      <w:marLeft w:val="0"/>
      <w:marRight w:val="0"/>
      <w:marTop w:val="0"/>
      <w:marBottom w:val="0"/>
      <w:divBdr>
        <w:top w:val="none" w:sz="0" w:space="0" w:color="auto"/>
        <w:left w:val="none" w:sz="0" w:space="0" w:color="auto"/>
        <w:bottom w:val="none" w:sz="0" w:space="0" w:color="auto"/>
        <w:right w:val="none" w:sz="0" w:space="0" w:color="auto"/>
      </w:divBdr>
    </w:div>
    <w:div w:id="1033729641">
      <w:marLeft w:val="0"/>
      <w:marRight w:val="0"/>
      <w:marTop w:val="0"/>
      <w:marBottom w:val="0"/>
      <w:divBdr>
        <w:top w:val="none" w:sz="0" w:space="0" w:color="auto"/>
        <w:left w:val="none" w:sz="0" w:space="0" w:color="auto"/>
        <w:bottom w:val="none" w:sz="0" w:space="0" w:color="auto"/>
        <w:right w:val="none" w:sz="0" w:space="0" w:color="auto"/>
      </w:divBdr>
    </w:div>
    <w:div w:id="1033729642">
      <w:marLeft w:val="0"/>
      <w:marRight w:val="0"/>
      <w:marTop w:val="0"/>
      <w:marBottom w:val="0"/>
      <w:divBdr>
        <w:top w:val="none" w:sz="0" w:space="0" w:color="auto"/>
        <w:left w:val="none" w:sz="0" w:space="0" w:color="auto"/>
        <w:bottom w:val="none" w:sz="0" w:space="0" w:color="auto"/>
        <w:right w:val="none" w:sz="0" w:space="0" w:color="auto"/>
      </w:divBdr>
    </w:div>
    <w:div w:id="1033729643">
      <w:marLeft w:val="0"/>
      <w:marRight w:val="0"/>
      <w:marTop w:val="0"/>
      <w:marBottom w:val="0"/>
      <w:divBdr>
        <w:top w:val="none" w:sz="0" w:space="0" w:color="auto"/>
        <w:left w:val="none" w:sz="0" w:space="0" w:color="auto"/>
        <w:bottom w:val="none" w:sz="0" w:space="0" w:color="auto"/>
        <w:right w:val="none" w:sz="0" w:space="0" w:color="auto"/>
      </w:divBdr>
    </w:div>
    <w:div w:id="1033729645">
      <w:marLeft w:val="0"/>
      <w:marRight w:val="0"/>
      <w:marTop w:val="0"/>
      <w:marBottom w:val="0"/>
      <w:divBdr>
        <w:top w:val="none" w:sz="0" w:space="0" w:color="auto"/>
        <w:left w:val="none" w:sz="0" w:space="0" w:color="auto"/>
        <w:bottom w:val="none" w:sz="0" w:space="0" w:color="auto"/>
        <w:right w:val="none" w:sz="0" w:space="0" w:color="auto"/>
      </w:divBdr>
      <w:divsChild>
        <w:div w:id="1033729686">
          <w:marLeft w:val="0"/>
          <w:marRight w:val="0"/>
          <w:marTop w:val="0"/>
          <w:marBottom w:val="0"/>
          <w:divBdr>
            <w:top w:val="none" w:sz="0" w:space="0" w:color="auto"/>
            <w:left w:val="none" w:sz="0" w:space="0" w:color="auto"/>
            <w:bottom w:val="none" w:sz="0" w:space="0" w:color="auto"/>
            <w:right w:val="none" w:sz="0" w:space="0" w:color="auto"/>
          </w:divBdr>
        </w:div>
      </w:divsChild>
    </w:div>
    <w:div w:id="1033729646">
      <w:marLeft w:val="0"/>
      <w:marRight w:val="0"/>
      <w:marTop w:val="0"/>
      <w:marBottom w:val="0"/>
      <w:divBdr>
        <w:top w:val="none" w:sz="0" w:space="0" w:color="auto"/>
        <w:left w:val="none" w:sz="0" w:space="0" w:color="auto"/>
        <w:bottom w:val="none" w:sz="0" w:space="0" w:color="auto"/>
        <w:right w:val="none" w:sz="0" w:space="0" w:color="auto"/>
      </w:divBdr>
      <w:divsChild>
        <w:div w:id="1033729724">
          <w:marLeft w:val="0"/>
          <w:marRight w:val="0"/>
          <w:marTop w:val="0"/>
          <w:marBottom w:val="0"/>
          <w:divBdr>
            <w:top w:val="none" w:sz="0" w:space="0" w:color="auto"/>
            <w:left w:val="none" w:sz="0" w:space="0" w:color="auto"/>
            <w:bottom w:val="none" w:sz="0" w:space="0" w:color="auto"/>
            <w:right w:val="none" w:sz="0" w:space="0" w:color="auto"/>
          </w:divBdr>
          <w:divsChild>
            <w:div w:id="1033729681">
              <w:marLeft w:val="0"/>
              <w:marRight w:val="0"/>
              <w:marTop w:val="0"/>
              <w:marBottom w:val="0"/>
              <w:divBdr>
                <w:top w:val="none" w:sz="0" w:space="0" w:color="auto"/>
                <w:left w:val="none" w:sz="0" w:space="0" w:color="auto"/>
                <w:bottom w:val="none" w:sz="0" w:space="0" w:color="auto"/>
                <w:right w:val="none" w:sz="0" w:space="0" w:color="auto"/>
              </w:divBdr>
              <w:divsChild>
                <w:div w:id="1033729695">
                  <w:marLeft w:val="0"/>
                  <w:marRight w:val="0"/>
                  <w:marTop w:val="0"/>
                  <w:marBottom w:val="0"/>
                  <w:divBdr>
                    <w:top w:val="none" w:sz="0" w:space="0" w:color="auto"/>
                    <w:left w:val="none" w:sz="0" w:space="0" w:color="auto"/>
                    <w:bottom w:val="none" w:sz="0" w:space="0" w:color="auto"/>
                    <w:right w:val="none" w:sz="0" w:space="0" w:color="auto"/>
                  </w:divBdr>
                  <w:divsChild>
                    <w:div w:id="1033729737">
                      <w:marLeft w:val="0"/>
                      <w:marRight w:val="0"/>
                      <w:marTop w:val="0"/>
                      <w:marBottom w:val="0"/>
                      <w:divBdr>
                        <w:top w:val="single" w:sz="6" w:space="15" w:color="C0D8F2"/>
                        <w:left w:val="single" w:sz="6" w:space="18" w:color="C0D8F2"/>
                        <w:bottom w:val="single" w:sz="6" w:space="11" w:color="C0D8F2"/>
                        <w:right w:val="single" w:sz="6" w:space="18" w:color="C0D8F2"/>
                      </w:divBdr>
                      <w:divsChild>
                        <w:div w:id="1033729733">
                          <w:marLeft w:val="0"/>
                          <w:marRight w:val="0"/>
                          <w:marTop w:val="0"/>
                          <w:marBottom w:val="0"/>
                          <w:divBdr>
                            <w:top w:val="none" w:sz="0" w:space="0" w:color="auto"/>
                            <w:left w:val="none" w:sz="0" w:space="0" w:color="auto"/>
                            <w:bottom w:val="none" w:sz="0" w:space="0" w:color="auto"/>
                            <w:right w:val="none" w:sz="0" w:space="0" w:color="auto"/>
                          </w:divBdr>
                          <w:divsChild>
                            <w:div w:id="103372967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729647">
      <w:marLeft w:val="0"/>
      <w:marRight w:val="0"/>
      <w:marTop w:val="0"/>
      <w:marBottom w:val="0"/>
      <w:divBdr>
        <w:top w:val="none" w:sz="0" w:space="0" w:color="auto"/>
        <w:left w:val="none" w:sz="0" w:space="0" w:color="auto"/>
        <w:bottom w:val="none" w:sz="0" w:space="0" w:color="auto"/>
        <w:right w:val="none" w:sz="0" w:space="0" w:color="auto"/>
      </w:divBdr>
    </w:div>
    <w:div w:id="1033729651">
      <w:marLeft w:val="0"/>
      <w:marRight w:val="0"/>
      <w:marTop w:val="0"/>
      <w:marBottom w:val="0"/>
      <w:divBdr>
        <w:top w:val="none" w:sz="0" w:space="0" w:color="auto"/>
        <w:left w:val="none" w:sz="0" w:space="0" w:color="auto"/>
        <w:bottom w:val="none" w:sz="0" w:space="0" w:color="auto"/>
        <w:right w:val="none" w:sz="0" w:space="0" w:color="auto"/>
      </w:divBdr>
    </w:div>
    <w:div w:id="1033729652">
      <w:marLeft w:val="0"/>
      <w:marRight w:val="0"/>
      <w:marTop w:val="0"/>
      <w:marBottom w:val="0"/>
      <w:divBdr>
        <w:top w:val="none" w:sz="0" w:space="0" w:color="auto"/>
        <w:left w:val="none" w:sz="0" w:space="0" w:color="auto"/>
        <w:bottom w:val="none" w:sz="0" w:space="0" w:color="auto"/>
        <w:right w:val="none" w:sz="0" w:space="0" w:color="auto"/>
      </w:divBdr>
    </w:div>
    <w:div w:id="1033729653">
      <w:marLeft w:val="180"/>
      <w:marRight w:val="180"/>
      <w:marTop w:val="180"/>
      <w:marBottom w:val="180"/>
      <w:divBdr>
        <w:top w:val="none" w:sz="0" w:space="0" w:color="auto"/>
        <w:left w:val="none" w:sz="0" w:space="0" w:color="auto"/>
        <w:bottom w:val="none" w:sz="0" w:space="0" w:color="auto"/>
        <w:right w:val="none" w:sz="0" w:space="0" w:color="auto"/>
      </w:divBdr>
      <w:divsChild>
        <w:div w:id="1033729719">
          <w:marLeft w:val="0"/>
          <w:marRight w:val="0"/>
          <w:marTop w:val="0"/>
          <w:marBottom w:val="0"/>
          <w:divBdr>
            <w:top w:val="none" w:sz="0" w:space="0" w:color="auto"/>
            <w:left w:val="none" w:sz="0" w:space="0" w:color="auto"/>
            <w:bottom w:val="none" w:sz="0" w:space="0" w:color="auto"/>
            <w:right w:val="none" w:sz="0" w:space="0" w:color="auto"/>
          </w:divBdr>
        </w:div>
      </w:divsChild>
    </w:div>
    <w:div w:id="1033729655">
      <w:marLeft w:val="0"/>
      <w:marRight w:val="0"/>
      <w:marTop w:val="0"/>
      <w:marBottom w:val="0"/>
      <w:divBdr>
        <w:top w:val="none" w:sz="0" w:space="0" w:color="auto"/>
        <w:left w:val="none" w:sz="0" w:space="0" w:color="auto"/>
        <w:bottom w:val="none" w:sz="0" w:space="0" w:color="auto"/>
        <w:right w:val="none" w:sz="0" w:space="0" w:color="auto"/>
      </w:divBdr>
    </w:div>
    <w:div w:id="1033729656">
      <w:marLeft w:val="0"/>
      <w:marRight w:val="0"/>
      <w:marTop w:val="0"/>
      <w:marBottom w:val="0"/>
      <w:divBdr>
        <w:top w:val="none" w:sz="0" w:space="0" w:color="auto"/>
        <w:left w:val="none" w:sz="0" w:space="0" w:color="auto"/>
        <w:bottom w:val="none" w:sz="0" w:space="0" w:color="auto"/>
        <w:right w:val="none" w:sz="0" w:space="0" w:color="auto"/>
      </w:divBdr>
    </w:div>
    <w:div w:id="1033729657">
      <w:marLeft w:val="0"/>
      <w:marRight w:val="0"/>
      <w:marTop w:val="0"/>
      <w:marBottom w:val="0"/>
      <w:divBdr>
        <w:top w:val="none" w:sz="0" w:space="0" w:color="auto"/>
        <w:left w:val="none" w:sz="0" w:space="0" w:color="auto"/>
        <w:bottom w:val="none" w:sz="0" w:space="0" w:color="auto"/>
        <w:right w:val="none" w:sz="0" w:space="0" w:color="auto"/>
      </w:divBdr>
      <w:divsChild>
        <w:div w:id="1033729648">
          <w:marLeft w:val="0"/>
          <w:marRight w:val="0"/>
          <w:marTop w:val="0"/>
          <w:marBottom w:val="0"/>
          <w:divBdr>
            <w:top w:val="none" w:sz="0" w:space="0" w:color="auto"/>
            <w:left w:val="none" w:sz="0" w:space="0" w:color="auto"/>
            <w:bottom w:val="none" w:sz="0" w:space="0" w:color="auto"/>
            <w:right w:val="none" w:sz="0" w:space="0" w:color="auto"/>
          </w:divBdr>
        </w:div>
      </w:divsChild>
    </w:div>
    <w:div w:id="1033729658">
      <w:marLeft w:val="0"/>
      <w:marRight w:val="0"/>
      <w:marTop w:val="0"/>
      <w:marBottom w:val="0"/>
      <w:divBdr>
        <w:top w:val="none" w:sz="0" w:space="0" w:color="auto"/>
        <w:left w:val="none" w:sz="0" w:space="0" w:color="auto"/>
        <w:bottom w:val="none" w:sz="0" w:space="0" w:color="auto"/>
        <w:right w:val="none" w:sz="0" w:space="0" w:color="auto"/>
      </w:divBdr>
    </w:div>
    <w:div w:id="1033729660">
      <w:marLeft w:val="0"/>
      <w:marRight w:val="0"/>
      <w:marTop w:val="0"/>
      <w:marBottom w:val="0"/>
      <w:divBdr>
        <w:top w:val="none" w:sz="0" w:space="0" w:color="auto"/>
        <w:left w:val="none" w:sz="0" w:space="0" w:color="auto"/>
        <w:bottom w:val="none" w:sz="0" w:space="0" w:color="auto"/>
        <w:right w:val="none" w:sz="0" w:space="0" w:color="auto"/>
      </w:divBdr>
    </w:div>
    <w:div w:id="1033729661">
      <w:marLeft w:val="0"/>
      <w:marRight w:val="0"/>
      <w:marTop w:val="0"/>
      <w:marBottom w:val="0"/>
      <w:divBdr>
        <w:top w:val="none" w:sz="0" w:space="0" w:color="auto"/>
        <w:left w:val="none" w:sz="0" w:space="0" w:color="auto"/>
        <w:bottom w:val="none" w:sz="0" w:space="0" w:color="auto"/>
        <w:right w:val="none" w:sz="0" w:space="0" w:color="auto"/>
      </w:divBdr>
    </w:div>
    <w:div w:id="1033729662">
      <w:marLeft w:val="0"/>
      <w:marRight w:val="0"/>
      <w:marTop w:val="0"/>
      <w:marBottom w:val="0"/>
      <w:divBdr>
        <w:top w:val="none" w:sz="0" w:space="0" w:color="auto"/>
        <w:left w:val="none" w:sz="0" w:space="0" w:color="auto"/>
        <w:bottom w:val="none" w:sz="0" w:space="0" w:color="auto"/>
        <w:right w:val="none" w:sz="0" w:space="0" w:color="auto"/>
      </w:divBdr>
      <w:divsChild>
        <w:div w:id="1033729704">
          <w:marLeft w:val="0"/>
          <w:marRight w:val="0"/>
          <w:marTop w:val="0"/>
          <w:marBottom w:val="0"/>
          <w:divBdr>
            <w:top w:val="none" w:sz="0" w:space="0" w:color="auto"/>
            <w:left w:val="none" w:sz="0" w:space="0" w:color="auto"/>
            <w:bottom w:val="none" w:sz="0" w:space="0" w:color="auto"/>
            <w:right w:val="none" w:sz="0" w:space="0" w:color="auto"/>
          </w:divBdr>
        </w:div>
      </w:divsChild>
    </w:div>
    <w:div w:id="1033729663">
      <w:marLeft w:val="0"/>
      <w:marRight w:val="0"/>
      <w:marTop w:val="0"/>
      <w:marBottom w:val="0"/>
      <w:divBdr>
        <w:top w:val="none" w:sz="0" w:space="0" w:color="auto"/>
        <w:left w:val="none" w:sz="0" w:space="0" w:color="auto"/>
        <w:bottom w:val="none" w:sz="0" w:space="0" w:color="auto"/>
        <w:right w:val="none" w:sz="0" w:space="0" w:color="auto"/>
      </w:divBdr>
      <w:divsChild>
        <w:div w:id="1033729736">
          <w:marLeft w:val="0"/>
          <w:marRight w:val="0"/>
          <w:marTop w:val="0"/>
          <w:marBottom w:val="0"/>
          <w:divBdr>
            <w:top w:val="none" w:sz="0" w:space="0" w:color="auto"/>
            <w:left w:val="none" w:sz="0" w:space="0" w:color="auto"/>
            <w:bottom w:val="none" w:sz="0" w:space="0" w:color="auto"/>
            <w:right w:val="none" w:sz="0" w:space="0" w:color="auto"/>
          </w:divBdr>
          <w:divsChild>
            <w:div w:id="1033729644">
              <w:marLeft w:val="0"/>
              <w:marRight w:val="0"/>
              <w:marTop w:val="0"/>
              <w:marBottom w:val="0"/>
              <w:divBdr>
                <w:top w:val="none" w:sz="0" w:space="0" w:color="auto"/>
                <w:left w:val="none" w:sz="0" w:space="0" w:color="auto"/>
                <w:bottom w:val="none" w:sz="0" w:space="0" w:color="auto"/>
                <w:right w:val="none" w:sz="0" w:space="0" w:color="auto"/>
              </w:divBdr>
              <w:divsChild>
                <w:div w:id="1033729685">
                  <w:marLeft w:val="0"/>
                  <w:marRight w:val="0"/>
                  <w:marTop w:val="0"/>
                  <w:marBottom w:val="0"/>
                  <w:divBdr>
                    <w:top w:val="none" w:sz="0" w:space="0" w:color="auto"/>
                    <w:left w:val="none" w:sz="0" w:space="0" w:color="auto"/>
                    <w:bottom w:val="none" w:sz="0" w:space="0" w:color="auto"/>
                    <w:right w:val="none" w:sz="0" w:space="0" w:color="auto"/>
                  </w:divBdr>
                  <w:divsChild>
                    <w:div w:id="1033729699">
                      <w:marLeft w:val="0"/>
                      <w:marRight w:val="0"/>
                      <w:marTop w:val="0"/>
                      <w:marBottom w:val="0"/>
                      <w:divBdr>
                        <w:top w:val="single" w:sz="6" w:space="15" w:color="C0D8F2"/>
                        <w:left w:val="single" w:sz="6" w:space="18" w:color="C0D8F2"/>
                        <w:bottom w:val="single" w:sz="6" w:space="11" w:color="C0D8F2"/>
                        <w:right w:val="single" w:sz="6" w:space="18" w:color="C0D8F2"/>
                      </w:divBdr>
                      <w:divsChild>
                        <w:div w:id="1033729698">
                          <w:marLeft w:val="0"/>
                          <w:marRight w:val="0"/>
                          <w:marTop w:val="0"/>
                          <w:marBottom w:val="0"/>
                          <w:divBdr>
                            <w:top w:val="none" w:sz="0" w:space="0" w:color="auto"/>
                            <w:left w:val="none" w:sz="0" w:space="0" w:color="auto"/>
                            <w:bottom w:val="none" w:sz="0" w:space="0" w:color="auto"/>
                            <w:right w:val="none" w:sz="0" w:space="0" w:color="auto"/>
                          </w:divBdr>
                          <w:divsChild>
                            <w:div w:id="103372973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729664">
      <w:marLeft w:val="0"/>
      <w:marRight w:val="0"/>
      <w:marTop w:val="0"/>
      <w:marBottom w:val="0"/>
      <w:divBdr>
        <w:top w:val="none" w:sz="0" w:space="0" w:color="auto"/>
        <w:left w:val="none" w:sz="0" w:space="0" w:color="auto"/>
        <w:bottom w:val="none" w:sz="0" w:space="0" w:color="auto"/>
        <w:right w:val="none" w:sz="0" w:space="0" w:color="auto"/>
      </w:divBdr>
    </w:div>
    <w:div w:id="1033729666">
      <w:marLeft w:val="0"/>
      <w:marRight w:val="0"/>
      <w:marTop w:val="0"/>
      <w:marBottom w:val="0"/>
      <w:divBdr>
        <w:top w:val="none" w:sz="0" w:space="0" w:color="auto"/>
        <w:left w:val="none" w:sz="0" w:space="0" w:color="auto"/>
        <w:bottom w:val="none" w:sz="0" w:space="0" w:color="auto"/>
        <w:right w:val="none" w:sz="0" w:space="0" w:color="auto"/>
      </w:divBdr>
    </w:div>
    <w:div w:id="1033729668">
      <w:marLeft w:val="0"/>
      <w:marRight w:val="0"/>
      <w:marTop w:val="0"/>
      <w:marBottom w:val="0"/>
      <w:divBdr>
        <w:top w:val="none" w:sz="0" w:space="0" w:color="auto"/>
        <w:left w:val="none" w:sz="0" w:space="0" w:color="auto"/>
        <w:bottom w:val="none" w:sz="0" w:space="0" w:color="auto"/>
        <w:right w:val="none" w:sz="0" w:space="0" w:color="auto"/>
      </w:divBdr>
      <w:divsChild>
        <w:div w:id="1033729654">
          <w:marLeft w:val="0"/>
          <w:marRight w:val="0"/>
          <w:marTop w:val="0"/>
          <w:marBottom w:val="0"/>
          <w:divBdr>
            <w:top w:val="none" w:sz="0" w:space="0" w:color="auto"/>
            <w:left w:val="none" w:sz="0" w:space="0" w:color="auto"/>
            <w:bottom w:val="none" w:sz="0" w:space="0" w:color="auto"/>
            <w:right w:val="none" w:sz="0" w:space="0" w:color="auto"/>
          </w:divBdr>
        </w:div>
      </w:divsChild>
    </w:div>
    <w:div w:id="1033729669">
      <w:marLeft w:val="0"/>
      <w:marRight w:val="0"/>
      <w:marTop w:val="0"/>
      <w:marBottom w:val="0"/>
      <w:divBdr>
        <w:top w:val="none" w:sz="0" w:space="0" w:color="auto"/>
        <w:left w:val="none" w:sz="0" w:space="0" w:color="auto"/>
        <w:bottom w:val="none" w:sz="0" w:space="0" w:color="auto"/>
        <w:right w:val="none" w:sz="0" w:space="0" w:color="auto"/>
      </w:divBdr>
    </w:div>
    <w:div w:id="1033729671">
      <w:marLeft w:val="0"/>
      <w:marRight w:val="0"/>
      <w:marTop w:val="0"/>
      <w:marBottom w:val="0"/>
      <w:divBdr>
        <w:top w:val="none" w:sz="0" w:space="0" w:color="auto"/>
        <w:left w:val="none" w:sz="0" w:space="0" w:color="auto"/>
        <w:bottom w:val="none" w:sz="0" w:space="0" w:color="auto"/>
        <w:right w:val="none" w:sz="0" w:space="0" w:color="auto"/>
      </w:divBdr>
    </w:div>
    <w:div w:id="1033729672">
      <w:marLeft w:val="0"/>
      <w:marRight w:val="0"/>
      <w:marTop w:val="0"/>
      <w:marBottom w:val="0"/>
      <w:divBdr>
        <w:top w:val="none" w:sz="0" w:space="0" w:color="auto"/>
        <w:left w:val="none" w:sz="0" w:space="0" w:color="auto"/>
        <w:bottom w:val="none" w:sz="0" w:space="0" w:color="auto"/>
        <w:right w:val="none" w:sz="0" w:space="0" w:color="auto"/>
      </w:divBdr>
    </w:div>
    <w:div w:id="1033729674">
      <w:marLeft w:val="0"/>
      <w:marRight w:val="0"/>
      <w:marTop w:val="0"/>
      <w:marBottom w:val="0"/>
      <w:divBdr>
        <w:top w:val="none" w:sz="0" w:space="0" w:color="auto"/>
        <w:left w:val="none" w:sz="0" w:space="0" w:color="auto"/>
        <w:bottom w:val="none" w:sz="0" w:space="0" w:color="auto"/>
        <w:right w:val="none" w:sz="0" w:space="0" w:color="auto"/>
      </w:divBdr>
    </w:div>
    <w:div w:id="1033729676">
      <w:marLeft w:val="0"/>
      <w:marRight w:val="0"/>
      <w:marTop w:val="0"/>
      <w:marBottom w:val="0"/>
      <w:divBdr>
        <w:top w:val="none" w:sz="0" w:space="0" w:color="auto"/>
        <w:left w:val="none" w:sz="0" w:space="0" w:color="auto"/>
        <w:bottom w:val="none" w:sz="0" w:space="0" w:color="auto"/>
        <w:right w:val="none" w:sz="0" w:space="0" w:color="auto"/>
      </w:divBdr>
      <w:divsChild>
        <w:div w:id="1033729708">
          <w:marLeft w:val="0"/>
          <w:marRight w:val="0"/>
          <w:marTop w:val="0"/>
          <w:marBottom w:val="0"/>
          <w:divBdr>
            <w:top w:val="none" w:sz="0" w:space="0" w:color="auto"/>
            <w:left w:val="none" w:sz="0" w:space="0" w:color="auto"/>
            <w:bottom w:val="none" w:sz="0" w:space="0" w:color="auto"/>
            <w:right w:val="none" w:sz="0" w:space="0" w:color="auto"/>
          </w:divBdr>
          <w:divsChild>
            <w:div w:id="1033729697">
              <w:marLeft w:val="0"/>
              <w:marRight w:val="0"/>
              <w:marTop w:val="0"/>
              <w:marBottom w:val="0"/>
              <w:divBdr>
                <w:top w:val="none" w:sz="0" w:space="0" w:color="auto"/>
                <w:left w:val="none" w:sz="0" w:space="0" w:color="auto"/>
                <w:bottom w:val="none" w:sz="0" w:space="0" w:color="auto"/>
                <w:right w:val="none" w:sz="0" w:space="0" w:color="auto"/>
              </w:divBdr>
              <w:divsChild>
                <w:div w:id="1033729711">
                  <w:marLeft w:val="0"/>
                  <w:marRight w:val="0"/>
                  <w:marTop w:val="0"/>
                  <w:marBottom w:val="0"/>
                  <w:divBdr>
                    <w:top w:val="none" w:sz="0" w:space="0" w:color="auto"/>
                    <w:left w:val="none" w:sz="0" w:space="0" w:color="auto"/>
                    <w:bottom w:val="none" w:sz="0" w:space="0" w:color="auto"/>
                    <w:right w:val="none" w:sz="0" w:space="0" w:color="auto"/>
                  </w:divBdr>
                  <w:divsChild>
                    <w:div w:id="1033729734">
                      <w:marLeft w:val="0"/>
                      <w:marRight w:val="0"/>
                      <w:marTop w:val="0"/>
                      <w:marBottom w:val="0"/>
                      <w:divBdr>
                        <w:top w:val="single" w:sz="6" w:space="15" w:color="C0D8F2"/>
                        <w:left w:val="single" w:sz="6" w:space="18" w:color="C0D8F2"/>
                        <w:bottom w:val="single" w:sz="6" w:space="11" w:color="C0D8F2"/>
                        <w:right w:val="single" w:sz="6" w:space="18" w:color="C0D8F2"/>
                      </w:divBdr>
                      <w:divsChild>
                        <w:div w:id="1033729725">
                          <w:marLeft w:val="0"/>
                          <w:marRight w:val="0"/>
                          <w:marTop w:val="0"/>
                          <w:marBottom w:val="0"/>
                          <w:divBdr>
                            <w:top w:val="none" w:sz="0" w:space="0" w:color="auto"/>
                            <w:left w:val="none" w:sz="0" w:space="0" w:color="auto"/>
                            <w:bottom w:val="none" w:sz="0" w:space="0" w:color="auto"/>
                            <w:right w:val="none" w:sz="0" w:space="0" w:color="auto"/>
                          </w:divBdr>
                          <w:divsChild>
                            <w:div w:id="103372973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729677">
      <w:marLeft w:val="0"/>
      <w:marRight w:val="0"/>
      <w:marTop w:val="0"/>
      <w:marBottom w:val="0"/>
      <w:divBdr>
        <w:top w:val="none" w:sz="0" w:space="0" w:color="auto"/>
        <w:left w:val="none" w:sz="0" w:space="0" w:color="auto"/>
        <w:bottom w:val="none" w:sz="0" w:space="0" w:color="auto"/>
        <w:right w:val="none" w:sz="0" w:space="0" w:color="auto"/>
      </w:divBdr>
    </w:div>
    <w:div w:id="1033729678">
      <w:marLeft w:val="0"/>
      <w:marRight w:val="0"/>
      <w:marTop w:val="0"/>
      <w:marBottom w:val="0"/>
      <w:divBdr>
        <w:top w:val="none" w:sz="0" w:space="0" w:color="auto"/>
        <w:left w:val="none" w:sz="0" w:space="0" w:color="auto"/>
        <w:bottom w:val="none" w:sz="0" w:space="0" w:color="auto"/>
        <w:right w:val="none" w:sz="0" w:space="0" w:color="auto"/>
      </w:divBdr>
    </w:div>
    <w:div w:id="1033729679">
      <w:marLeft w:val="0"/>
      <w:marRight w:val="0"/>
      <w:marTop w:val="0"/>
      <w:marBottom w:val="0"/>
      <w:divBdr>
        <w:top w:val="none" w:sz="0" w:space="0" w:color="auto"/>
        <w:left w:val="none" w:sz="0" w:space="0" w:color="auto"/>
        <w:bottom w:val="none" w:sz="0" w:space="0" w:color="auto"/>
        <w:right w:val="none" w:sz="0" w:space="0" w:color="auto"/>
      </w:divBdr>
      <w:divsChild>
        <w:div w:id="1033729706">
          <w:marLeft w:val="0"/>
          <w:marRight w:val="0"/>
          <w:marTop w:val="0"/>
          <w:marBottom w:val="0"/>
          <w:divBdr>
            <w:top w:val="none" w:sz="0" w:space="0" w:color="auto"/>
            <w:left w:val="none" w:sz="0" w:space="0" w:color="auto"/>
            <w:bottom w:val="none" w:sz="0" w:space="0" w:color="auto"/>
            <w:right w:val="none" w:sz="0" w:space="0" w:color="auto"/>
          </w:divBdr>
        </w:div>
      </w:divsChild>
    </w:div>
    <w:div w:id="1033729683">
      <w:marLeft w:val="0"/>
      <w:marRight w:val="0"/>
      <w:marTop w:val="0"/>
      <w:marBottom w:val="0"/>
      <w:divBdr>
        <w:top w:val="none" w:sz="0" w:space="0" w:color="auto"/>
        <w:left w:val="none" w:sz="0" w:space="0" w:color="auto"/>
        <w:bottom w:val="none" w:sz="0" w:space="0" w:color="auto"/>
        <w:right w:val="none" w:sz="0" w:space="0" w:color="auto"/>
      </w:divBdr>
    </w:div>
    <w:div w:id="1033729684">
      <w:marLeft w:val="0"/>
      <w:marRight w:val="0"/>
      <w:marTop w:val="0"/>
      <w:marBottom w:val="0"/>
      <w:divBdr>
        <w:top w:val="none" w:sz="0" w:space="0" w:color="auto"/>
        <w:left w:val="none" w:sz="0" w:space="0" w:color="auto"/>
        <w:bottom w:val="none" w:sz="0" w:space="0" w:color="auto"/>
        <w:right w:val="none" w:sz="0" w:space="0" w:color="auto"/>
      </w:divBdr>
    </w:div>
    <w:div w:id="1033729687">
      <w:marLeft w:val="0"/>
      <w:marRight w:val="0"/>
      <w:marTop w:val="0"/>
      <w:marBottom w:val="0"/>
      <w:divBdr>
        <w:top w:val="none" w:sz="0" w:space="0" w:color="auto"/>
        <w:left w:val="none" w:sz="0" w:space="0" w:color="auto"/>
        <w:bottom w:val="none" w:sz="0" w:space="0" w:color="auto"/>
        <w:right w:val="none" w:sz="0" w:space="0" w:color="auto"/>
      </w:divBdr>
      <w:divsChild>
        <w:div w:id="1033729680">
          <w:marLeft w:val="0"/>
          <w:marRight w:val="0"/>
          <w:marTop w:val="0"/>
          <w:marBottom w:val="0"/>
          <w:divBdr>
            <w:top w:val="none" w:sz="0" w:space="0" w:color="auto"/>
            <w:left w:val="none" w:sz="0" w:space="0" w:color="auto"/>
            <w:bottom w:val="none" w:sz="0" w:space="0" w:color="auto"/>
            <w:right w:val="none" w:sz="0" w:space="0" w:color="auto"/>
          </w:divBdr>
        </w:div>
      </w:divsChild>
    </w:div>
    <w:div w:id="1033729688">
      <w:marLeft w:val="0"/>
      <w:marRight w:val="0"/>
      <w:marTop w:val="0"/>
      <w:marBottom w:val="0"/>
      <w:divBdr>
        <w:top w:val="none" w:sz="0" w:space="0" w:color="auto"/>
        <w:left w:val="none" w:sz="0" w:space="0" w:color="auto"/>
        <w:bottom w:val="none" w:sz="0" w:space="0" w:color="auto"/>
        <w:right w:val="none" w:sz="0" w:space="0" w:color="auto"/>
      </w:divBdr>
    </w:div>
    <w:div w:id="1033729689">
      <w:marLeft w:val="0"/>
      <w:marRight w:val="0"/>
      <w:marTop w:val="0"/>
      <w:marBottom w:val="0"/>
      <w:divBdr>
        <w:top w:val="none" w:sz="0" w:space="0" w:color="auto"/>
        <w:left w:val="none" w:sz="0" w:space="0" w:color="auto"/>
        <w:bottom w:val="none" w:sz="0" w:space="0" w:color="auto"/>
        <w:right w:val="none" w:sz="0" w:space="0" w:color="auto"/>
      </w:divBdr>
      <w:divsChild>
        <w:div w:id="1033729675">
          <w:marLeft w:val="0"/>
          <w:marRight w:val="0"/>
          <w:marTop w:val="0"/>
          <w:marBottom w:val="0"/>
          <w:divBdr>
            <w:top w:val="none" w:sz="0" w:space="0" w:color="auto"/>
            <w:left w:val="none" w:sz="0" w:space="0" w:color="auto"/>
            <w:bottom w:val="none" w:sz="0" w:space="0" w:color="auto"/>
            <w:right w:val="none" w:sz="0" w:space="0" w:color="auto"/>
          </w:divBdr>
          <w:divsChild>
            <w:div w:id="1033729710">
              <w:marLeft w:val="0"/>
              <w:marRight w:val="0"/>
              <w:marTop w:val="0"/>
              <w:marBottom w:val="0"/>
              <w:divBdr>
                <w:top w:val="none" w:sz="0" w:space="0" w:color="auto"/>
                <w:left w:val="none" w:sz="0" w:space="0" w:color="auto"/>
                <w:bottom w:val="none" w:sz="0" w:space="0" w:color="auto"/>
                <w:right w:val="none" w:sz="0" w:space="0" w:color="auto"/>
              </w:divBdr>
              <w:divsChild>
                <w:div w:id="1033729665">
                  <w:marLeft w:val="0"/>
                  <w:marRight w:val="0"/>
                  <w:marTop w:val="0"/>
                  <w:marBottom w:val="0"/>
                  <w:divBdr>
                    <w:top w:val="none" w:sz="0" w:space="0" w:color="auto"/>
                    <w:left w:val="none" w:sz="0" w:space="0" w:color="auto"/>
                    <w:bottom w:val="none" w:sz="0" w:space="0" w:color="auto"/>
                    <w:right w:val="none" w:sz="0" w:space="0" w:color="auto"/>
                  </w:divBdr>
                  <w:divsChild>
                    <w:div w:id="103372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29690">
      <w:marLeft w:val="0"/>
      <w:marRight w:val="0"/>
      <w:marTop w:val="0"/>
      <w:marBottom w:val="0"/>
      <w:divBdr>
        <w:top w:val="none" w:sz="0" w:space="0" w:color="auto"/>
        <w:left w:val="none" w:sz="0" w:space="0" w:color="auto"/>
        <w:bottom w:val="none" w:sz="0" w:space="0" w:color="auto"/>
        <w:right w:val="none" w:sz="0" w:space="0" w:color="auto"/>
      </w:divBdr>
    </w:div>
    <w:div w:id="1033729692">
      <w:marLeft w:val="0"/>
      <w:marRight w:val="0"/>
      <w:marTop w:val="0"/>
      <w:marBottom w:val="0"/>
      <w:divBdr>
        <w:top w:val="none" w:sz="0" w:space="0" w:color="auto"/>
        <w:left w:val="none" w:sz="0" w:space="0" w:color="auto"/>
        <w:bottom w:val="none" w:sz="0" w:space="0" w:color="auto"/>
        <w:right w:val="none" w:sz="0" w:space="0" w:color="auto"/>
      </w:divBdr>
    </w:div>
    <w:div w:id="1033729693">
      <w:marLeft w:val="0"/>
      <w:marRight w:val="0"/>
      <w:marTop w:val="0"/>
      <w:marBottom w:val="0"/>
      <w:divBdr>
        <w:top w:val="none" w:sz="0" w:space="0" w:color="auto"/>
        <w:left w:val="none" w:sz="0" w:space="0" w:color="auto"/>
        <w:bottom w:val="none" w:sz="0" w:space="0" w:color="auto"/>
        <w:right w:val="none" w:sz="0" w:space="0" w:color="auto"/>
      </w:divBdr>
    </w:div>
    <w:div w:id="1033729694">
      <w:marLeft w:val="180"/>
      <w:marRight w:val="180"/>
      <w:marTop w:val="180"/>
      <w:marBottom w:val="180"/>
      <w:divBdr>
        <w:top w:val="none" w:sz="0" w:space="0" w:color="auto"/>
        <w:left w:val="none" w:sz="0" w:space="0" w:color="auto"/>
        <w:bottom w:val="none" w:sz="0" w:space="0" w:color="auto"/>
        <w:right w:val="none" w:sz="0" w:space="0" w:color="auto"/>
      </w:divBdr>
      <w:divsChild>
        <w:div w:id="1033729739">
          <w:marLeft w:val="0"/>
          <w:marRight w:val="0"/>
          <w:marTop w:val="0"/>
          <w:marBottom w:val="0"/>
          <w:divBdr>
            <w:top w:val="none" w:sz="0" w:space="0" w:color="auto"/>
            <w:left w:val="none" w:sz="0" w:space="0" w:color="auto"/>
            <w:bottom w:val="none" w:sz="0" w:space="0" w:color="auto"/>
            <w:right w:val="none" w:sz="0" w:space="0" w:color="auto"/>
          </w:divBdr>
        </w:div>
      </w:divsChild>
    </w:div>
    <w:div w:id="1033729696">
      <w:marLeft w:val="0"/>
      <w:marRight w:val="0"/>
      <w:marTop w:val="0"/>
      <w:marBottom w:val="0"/>
      <w:divBdr>
        <w:top w:val="none" w:sz="0" w:space="0" w:color="auto"/>
        <w:left w:val="none" w:sz="0" w:space="0" w:color="auto"/>
        <w:bottom w:val="none" w:sz="0" w:space="0" w:color="auto"/>
        <w:right w:val="none" w:sz="0" w:space="0" w:color="auto"/>
      </w:divBdr>
    </w:div>
    <w:div w:id="1033729701">
      <w:marLeft w:val="0"/>
      <w:marRight w:val="0"/>
      <w:marTop w:val="0"/>
      <w:marBottom w:val="0"/>
      <w:divBdr>
        <w:top w:val="none" w:sz="0" w:space="0" w:color="auto"/>
        <w:left w:val="none" w:sz="0" w:space="0" w:color="auto"/>
        <w:bottom w:val="none" w:sz="0" w:space="0" w:color="auto"/>
        <w:right w:val="none" w:sz="0" w:space="0" w:color="auto"/>
      </w:divBdr>
    </w:div>
    <w:div w:id="1033729702">
      <w:marLeft w:val="0"/>
      <w:marRight w:val="0"/>
      <w:marTop w:val="0"/>
      <w:marBottom w:val="0"/>
      <w:divBdr>
        <w:top w:val="none" w:sz="0" w:space="0" w:color="auto"/>
        <w:left w:val="none" w:sz="0" w:space="0" w:color="auto"/>
        <w:bottom w:val="none" w:sz="0" w:space="0" w:color="auto"/>
        <w:right w:val="none" w:sz="0" w:space="0" w:color="auto"/>
      </w:divBdr>
    </w:div>
    <w:div w:id="1033729703">
      <w:marLeft w:val="0"/>
      <w:marRight w:val="0"/>
      <w:marTop w:val="0"/>
      <w:marBottom w:val="0"/>
      <w:divBdr>
        <w:top w:val="none" w:sz="0" w:space="0" w:color="auto"/>
        <w:left w:val="none" w:sz="0" w:space="0" w:color="auto"/>
        <w:bottom w:val="none" w:sz="0" w:space="0" w:color="auto"/>
        <w:right w:val="none" w:sz="0" w:space="0" w:color="auto"/>
      </w:divBdr>
      <w:divsChild>
        <w:div w:id="1033729667">
          <w:marLeft w:val="0"/>
          <w:marRight w:val="0"/>
          <w:marTop w:val="0"/>
          <w:marBottom w:val="0"/>
          <w:divBdr>
            <w:top w:val="none" w:sz="0" w:space="0" w:color="auto"/>
            <w:left w:val="none" w:sz="0" w:space="0" w:color="auto"/>
            <w:bottom w:val="none" w:sz="0" w:space="0" w:color="auto"/>
            <w:right w:val="none" w:sz="0" w:space="0" w:color="auto"/>
          </w:divBdr>
        </w:div>
      </w:divsChild>
    </w:div>
    <w:div w:id="1033729705">
      <w:marLeft w:val="0"/>
      <w:marRight w:val="0"/>
      <w:marTop w:val="0"/>
      <w:marBottom w:val="0"/>
      <w:divBdr>
        <w:top w:val="none" w:sz="0" w:space="0" w:color="auto"/>
        <w:left w:val="none" w:sz="0" w:space="0" w:color="auto"/>
        <w:bottom w:val="none" w:sz="0" w:space="0" w:color="auto"/>
        <w:right w:val="none" w:sz="0" w:space="0" w:color="auto"/>
      </w:divBdr>
    </w:div>
    <w:div w:id="1033729707">
      <w:marLeft w:val="0"/>
      <w:marRight w:val="0"/>
      <w:marTop w:val="0"/>
      <w:marBottom w:val="0"/>
      <w:divBdr>
        <w:top w:val="none" w:sz="0" w:space="0" w:color="auto"/>
        <w:left w:val="none" w:sz="0" w:space="0" w:color="auto"/>
        <w:bottom w:val="none" w:sz="0" w:space="0" w:color="auto"/>
        <w:right w:val="none" w:sz="0" w:space="0" w:color="auto"/>
      </w:divBdr>
    </w:div>
    <w:div w:id="1033729709">
      <w:marLeft w:val="0"/>
      <w:marRight w:val="0"/>
      <w:marTop w:val="0"/>
      <w:marBottom w:val="0"/>
      <w:divBdr>
        <w:top w:val="none" w:sz="0" w:space="0" w:color="auto"/>
        <w:left w:val="none" w:sz="0" w:space="0" w:color="auto"/>
        <w:bottom w:val="none" w:sz="0" w:space="0" w:color="auto"/>
        <w:right w:val="none" w:sz="0" w:space="0" w:color="auto"/>
      </w:divBdr>
    </w:div>
    <w:div w:id="1033729712">
      <w:marLeft w:val="0"/>
      <w:marRight w:val="0"/>
      <w:marTop w:val="0"/>
      <w:marBottom w:val="0"/>
      <w:divBdr>
        <w:top w:val="none" w:sz="0" w:space="0" w:color="auto"/>
        <w:left w:val="none" w:sz="0" w:space="0" w:color="auto"/>
        <w:bottom w:val="none" w:sz="0" w:space="0" w:color="auto"/>
        <w:right w:val="none" w:sz="0" w:space="0" w:color="auto"/>
      </w:divBdr>
    </w:div>
    <w:div w:id="1033729713">
      <w:marLeft w:val="180"/>
      <w:marRight w:val="180"/>
      <w:marTop w:val="180"/>
      <w:marBottom w:val="180"/>
      <w:divBdr>
        <w:top w:val="none" w:sz="0" w:space="0" w:color="auto"/>
        <w:left w:val="none" w:sz="0" w:space="0" w:color="auto"/>
        <w:bottom w:val="none" w:sz="0" w:space="0" w:color="auto"/>
        <w:right w:val="none" w:sz="0" w:space="0" w:color="auto"/>
      </w:divBdr>
      <w:divsChild>
        <w:div w:id="1033729691">
          <w:marLeft w:val="0"/>
          <w:marRight w:val="0"/>
          <w:marTop w:val="0"/>
          <w:marBottom w:val="0"/>
          <w:divBdr>
            <w:top w:val="none" w:sz="0" w:space="0" w:color="auto"/>
            <w:left w:val="none" w:sz="0" w:space="0" w:color="auto"/>
            <w:bottom w:val="none" w:sz="0" w:space="0" w:color="auto"/>
            <w:right w:val="none" w:sz="0" w:space="0" w:color="auto"/>
          </w:divBdr>
        </w:div>
      </w:divsChild>
    </w:div>
    <w:div w:id="1033729714">
      <w:marLeft w:val="0"/>
      <w:marRight w:val="0"/>
      <w:marTop w:val="0"/>
      <w:marBottom w:val="0"/>
      <w:divBdr>
        <w:top w:val="none" w:sz="0" w:space="0" w:color="auto"/>
        <w:left w:val="none" w:sz="0" w:space="0" w:color="auto"/>
        <w:bottom w:val="none" w:sz="0" w:space="0" w:color="auto"/>
        <w:right w:val="none" w:sz="0" w:space="0" w:color="auto"/>
      </w:divBdr>
    </w:div>
    <w:div w:id="1033729715">
      <w:marLeft w:val="0"/>
      <w:marRight w:val="0"/>
      <w:marTop w:val="0"/>
      <w:marBottom w:val="0"/>
      <w:divBdr>
        <w:top w:val="none" w:sz="0" w:space="0" w:color="auto"/>
        <w:left w:val="none" w:sz="0" w:space="0" w:color="auto"/>
        <w:bottom w:val="none" w:sz="0" w:space="0" w:color="auto"/>
        <w:right w:val="none" w:sz="0" w:space="0" w:color="auto"/>
      </w:divBdr>
      <w:divsChild>
        <w:div w:id="1033729682">
          <w:marLeft w:val="0"/>
          <w:marRight w:val="0"/>
          <w:marTop w:val="0"/>
          <w:marBottom w:val="0"/>
          <w:divBdr>
            <w:top w:val="none" w:sz="0" w:space="0" w:color="auto"/>
            <w:left w:val="none" w:sz="0" w:space="0" w:color="auto"/>
            <w:bottom w:val="none" w:sz="0" w:space="0" w:color="auto"/>
            <w:right w:val="none" w:sz="0" w:space="0" w:color="auto"/>
          </w:divBdr>
        </w:div>
      </w:divsChild>
    </w:div>
    <w:div w:id="1033729716">
      <w:marLeft w:val="0"/>
      <w:marRight w:val="0"/>
      <w:marTop w:val="0"/>
      <w:marBottom w:val="0"/>
      <w:divBdr>
        <w:top w:val="none" w:sz="0" w:space="0" w:color="auto"/>
        <w:left w:val="none" w:sz="0" w:space="0" w:color="auto"/>
        <w:bottom w:val="none" w:sz="0" w:space="0" w:color="auto"/>
        <w:right w:val="none" w:sz="0" w:space="0" w:color="auto"/>
      </w:divBdr>
    </w:div>
    <w:div w:id="1033729717">
      <w:marLeft w:val="0"/>
      <w:marRight w:val="0"/>
      <w:marTop w:val="0"/>
      <w:marBottom w:val="0"/>
      <w:divBdr>
        <w:top w:val="none" w:sz="0" w:space="0" w:color="auto"/>
        <w:left w:val="none" w:sz="0" w:space="0" w:color="auto"/>
        <w:bottom w:val="none" w:sz="0" w:space="0" w:color="auto"/>
        <w:right w:val="none" w:sz="0" w:space="0" w:color="auto"/>
      </w:divBdr>
      <w:divsChild>
        <w:div w:id="1033729700">
          <w:marLeft w:val="0"/>
          <w:marRight w:val="0"/>
          <w:marTop w:val="0"/>
          <w:marBottom w:val="0"/>
          <w:divBdr>
            <w:top w:val="none" w:sz="0" w:space="0" w:color="auto"/>
            <w:left w:val="none" w:sz="0" w:space="0" w:color="auto"/>
            <w:bottom w:val="none" w:sz="0" w:space="0" w:color="auto"/>
            <w:right w:val="none" w:sz="0" w:space="0" w:color="auto"/>
          </w:divBdr>
          <w:divsChild>
            <w:div w:id="1033729729">
              <w:marLeft w:val="0"/>
              <w:marRight w:val="0"/>
              <w:marTop w:val="0"/>
              <w:marBottom w:val="0"/>
              <w:divBdr>
                <w:top w:val="none" w:sz="0" w:space="0" w:color="auto"/>
                <w:left w:val="none" w:sz="0" w:space="0" w:color="auto"/>
                <w:bottom w:val="none" w:sz="0" w:space="0" w:color="auto"/>
                <w:right w:val="none" w:sz="0" w:space="0" w:color="auto"/>
              </w:divBdr>
              <w:divsChild>
                <w:div w:id="1033729650">
                  <w:marLeft w:val="0"/>
                  <w:marRight w:val="0"/>
                  <w:marTop w:val="0"/>
                  <w:marBottom w:val="0"/>
                  <w:divBdr>
                    <w:top w:val="none" w:sz="0" w:space="0" w:color="auto"/>
                    <w:left w:val="none" w:sz="0" w:space="0" w:color="auto"/>
                    <w:bottom w:val="none" w:sz="0" w:space="0" w:color="auto"/>
                    <w:right w:val="none" w:sz="0" w:space="0" w:color="auto"/>
                  </w:divBdr>
                  <w:divsChild>
                    <w:div w:id="1033729726">
                      <w:marLeft w:val="0"/>
                      <w:marRight w:val="0"/>
                      <w:marTop w:val="0"/>
                      <w:marBottom w:val="0"/>
                      <w:divBdr>
                        <w:top w:val="single" w:sz="6" w:space="15" w:color="C0D8F2"/>
                        <w:left w:val="single" w:sz="6" w:space="18" w:color="C0D8F2"/>
                        <w:bottom w:val="single" w:sz="6" w:space="11" w:color="C0D8F2"/>
                        <w:right w:val="single" w:sz="6" w:space="18" w:color="C0D8F2"/>
                      </w:divBdr>
                      <w:divsChild>
                        <w:div w:id="1033729649">
                          <w:marLeft w:val="0"/>
                          <w:marRight w:val="0"/>
                          <w:marTop w:val="0"/>
                          <w:marBottom w:val="0"/>
                          <w:divBdr>
                            <w:top w:val="none" w:sz="0" w:space="0" w:color="auto"/>
                            <w:left w:val="none" w:sz="0" w:space="0" w:color="auto"/>
                            <w:bottom w:val="none" w:sz="0" w:space="0" w:color="auto"/>
                            <w:right w:val="none" w:sz="0" w:space="0" w:color="auto"/>
                          </w:divBdr>
                          <w:divsChild>
                            <w:div w:id="103372965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729718">
      <w:marLeft w:val="0"/>
      <w:marRight w:val="0"/>
      <w:marTop w:val="0"/>
      <w:marBottom w:val="0"/>
      <w:divBdr>
        <w:top w:val="none" w:sz="0" w:space="0" w:color="auto"/>
        <w:left w:val="none" w:sz="0" w:space="0" w:color="auto"/>
        <w:bottom w:val="none" w:sz="0" w:space="0" w:color="auto"/>
        <w:right w:val="none" w:sz="0" w:space="0" w:color="auto"/>
      </w:divBdr>
    </w:div>
    <w:div w:id="1033729720">
      <w:marLeft w:val="0"/>
      <w:marRight w:val="0"/>
      <w:marTop w:val="0"/>
      <w:marBottom w:val="0"/>
      <w:divBdr>
        <w:top w:val="none" w:sz="0" w:space="0" w:color="auto"/>
        <w:left w:val="none" w:sz="0" w:space="0" w:color="auto"/>
        <w:bottom w:val="none" w:sz="0" w:space="0" w:color="auto"/>
        <w:right w:val="none" w:sz="0" w:space="0" w:color="auto"/>
      </w:divBdr>
    </w:div>
    <w:div w:id="1033729721">
      <w:marLeft w:val="0"/>
      <w:marRight w:val="0"/>
      <w:marTop w:val="0"/>
      <w:marBottom w:val="0"/>
      <w:divBdr>
        <w:top w:val="none" w:sz="0" w:space="0" w:color="auto"/>
        <w:left w:val="none" w:sz="0" w:space="0" w:color="auto"/>
        <w:bottom w:val="none" w:sz="0" w:space="0" w:color="auto"/>
        <w:right w:val="none" w:sz="0" w:space="0" w:color="auto"/>
      </w:divBdr>
    </w:div>
    <w:div w:id="1033729722">
      <w:marLeft w:val="0"/>
      <w:marRight w:val="0"/>
      <w:marTop w:val="0"/>
      <w:marBottom w:val="0"/>
      <w:divBdr>
        <w:top w:val="none" w:sz="0" w:space="0" w:color="auto"/>
        <w:left w:val="none" w:sz="0" w:space="0" w:color="auto"/>
        <w:bottom w:val="none" w:sz="0" w:space="0" w:color="auto"/>
        <w:right w:val="none" w:sz="0" w:space="0" w:color="auto"/>
      </w:divBdr>
    </w:div>
    <w:div w:id="1033729723">
      <w:marLeft w:val="0"/>
      <w:marRight w:val="0"/>
      <w:marTop w:val="0"/>
      <w:marBottom w:val="0"/>
      <w:divBdr>
        <w:top w:val="none" w:sz="0" w:space="0" w:color="auto"/>
        <w:left w:val="none" w:sz="0" w:space="0" w:color="auto"/>
        <w:bottom w:val="none" w:sz="0" w:space="0" w:color="auto"/>
        <w:right w:val="none" w:sz="0" w:space="0" w:color="auto"/>
      </w:divBdr>
    </w:div>
    <w:div w:id="1033729727">
      <w:marLeft w:val="0"/>
      <w:marRight w:val="0"/>
      <w:marTop w:val="0"/>
      <w:marBottom w:val="0"/>
      <w:divBdr>
        <w:top w:val="none" w:sz="0" w:space="0" w:color="auto"/>
        <w:left w:val="none" w:sz="0" w:space="0" w:color="auto"/>
        <w:bottom w:val="none" w:sz="0" w:space="0" w:color="auto"/>
        <w:right w:val="none" w:sz="0" w:space="0" w:color="auto"/>
      </w:divBdr>
    </w:div>
    <w:div w:id="1033729728">
      <w:marLeft w:val="0"/>
      <w:marRight w:val="0"/>
      <w:marTop w:val="0"/>
      <w:marBottom w:val="0"/>
      <w:divBdr>
        <w:top w:val="none" w:sz="0" w:space="0" w:color="auto"/>
        <w:left w:val="none" w:sz="0" w:space="0" w:color="auto"/>
        <w:bottom w:val="none" w:sz="0" w:space="0" w:color="auto"/>
        <w:right w:val="none" w:sz="0" w:space="0" w:color="auto"/>
      </w:divBdr>
    </w:div>
    <w:div w:id="1033729730">
      <w:marLeft w:val="0"/>
      <w:marRight w:val="0"/>
      <w:marTop w:val="0"/>
      <w:marBottom w:val="0"/>
      <w:divBdr>
        <w:top w:val="none" w:sz="0" w:space="0" w:color="auto"/>
        <w:left w:val="none" w:sz="0" w:space="0" w:color="auto"/>
        <w:bottom w:val="none" w:sz="0" w:space="0" w:color="auto"/>
        <w:right w:val="none" w:sz="0" w:space="0" w:color="auto"/>
      </w:divBdr>
    </w:div>
    <w:div w:id="1033729731">
      <w:marLeft w:val="0"/>
      <w:marRight w:val="0"/>
      <w:marTop w:val="0"/>
      <w:marBottom w:val="0"/>
      <w:divBdr>
        <w:top w:val="none" w:sz="0" w:space="0" w:color="auto"/>
        <w:left w:val="none" w:sz="0" w:space="0" w:color="auto"/>
        <w:bottom w:val="none" w:sz="0" w:space="0" w:color="auto"/>
        <w:right w:val="none" w:sz="0" w:space="0" w:color="auto"/>
      </w:divBdr>
    </w:div>
    <w:div w:id="1033729738">
      <w:marLeft w:val="0"/>
      <w:marRight w:val="0"/>
      <w:marTop w:val="0"/>
      <w:marBottom w:val="0"/>
      <w:divBdr>
        <w:top w:val="none" w:sz="0" w:space="0" w:color="auto"/>
        <w:left w:val="none" w:sz="0" w:space="0" w:color="auto"/>
        <w:bottom w:val="none" w:sz="0" w:space="0" w:color="auto"/>
        <w:right w:val="none" w:sz="0" w:space="0" w:color="auto"/>
      </w:divBdr>
      <w:divsChild>
        <w:div w:id="1033729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data.eastmoney.com/cjsj/yhll.htm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1024</Words>
  <Characters>5839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导语</dc:title>
  <dc:subject/>
  <dc:creator>shanghai vstone</dc:creator>
  <cp:keywords/>
  <dc:description/>
  <cp:lastModifiedBy>User</cp:lastModifiedBy>
  <cp:revision>2</cp:revision>
  <dcterms:created xsi:type="dcterms:W3CDTF">2014-11-25T07:59:00Z</dcterms:created>
  <dcterms:modified xsi:type="dcterms:W3CDTF">2014-11-25T07:59:00Z</dcterms:modified>
</cp:coreProperties>
</file>