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86" w:rsidRDefault="003E2486">
      <w:pPr>
        <w:spacing w:before="180" w:line="360" w:lineRule="auto"/>
        <w:jc w:val="center"/>
        <w:rPr>
          <w:rFonts w:ascii="微软雅黑" w:eastAsia="微软雅黑" w:hAnsi="微软雅黑" w:cs="微软雅黑"/>
          <w:b/>
          <w:sz w:val="28"/>
        </w:rPr>
      </w:pPr>
      <w:r>
        <w:rPr>
          <w:rFonts w:ascii="微软雅黑" w:eastAsia="微软雅黑" w:hAnsi="微软雅黑" w:cs="微软雅黑" w:hint="eastAsia"/>
          <w:b/>
          <w:sz w:val="28"/>
        </w:rPr>
        <w:t>众禄基金周报</w:t>
      </w:r>
      <w:r>
        <w:rPr>
          <w:rFonts w:ascii="微软雅黑" w:eastAsia="微软雅黑" w:hAnsi="微软雅黑" w:cs="微软雅黑"/>
          <w:b/>
          <w:sz w:val="28"/>
        </w:rPr>
        <w:t xml:space="preserve">: </w:t>
      </w:r>
      <w:r>
        <w:rPr>
          <w:rFonts w:ascii="微软雅黑" w:eastAsia="微软雅黑" w:hAnsi="微软雅黑" w:cs="微软雅黑" w:hint="eastAsia"/>
          <w:b/>
          <w:sz w:val="28"/>
        </w:rPr>
        <w:t>蓝筹指基继续发力</w:t>
      </w:r>
      <w:r>
        <w:rPr>
          <w:rFonts w:ascii="微软雅黑" w:eastAsia="微软雅黑" w:hAnsi="微软雅黑" w:cs="微软雅黑"/>
          <w:b/>
          <w:sz w:val="28"/>
        </w:rPr>
        <w:t xml:space="preserve"> </w:t>
      </w:r>
      <w:r>
        <w:rPr>
          <w:rFonts w:ascii="微软雅黑" w:eastAsia="微软雅黑" w:hAnsi="微软雅黑" w:cs="微软雅黑" w:hint="eastAsia"/>
          <w:b/>
          <w:sz w:val="28"/>
        </w:rPr>
        <w:t>最高涨幅超</w:t>
      </w:r>
      <w:r>
        <w:rPr>
          <w:rFonts w:ascii="微软雅黑" w:eastAsia="微软雅黑" w:hAnsi="微软雅黑" w:cs="微软雅黑"/>
          <w:b/>
          <w:sz w:val="28"/>
        </w:rPr>
        <w:t>11%</w:t>
      </w:r>
    </w:p>
    <w:p w:rsidR="003E2486" w:rsidRDefault="003E2486">
      <w:pPr>
        <w:spacing w:before="180" w:line="360" w:lineRule="auto"/>
        <w:jc w:val="righ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众禄基金研究中心</w:t>
      </w:r>
    </w:p>
    <w:p w:rsidR="003E2486" w:rsidRDefault="003E2486">
      <w:pPr>
        <w:spacing w:before="180" w:line="360" w:lineRule="auto"/>
        <w:jc w:val="left"/>
        <w:rPr>
          <w:rFonts w:ascii="微软雅黑" w:eastAsia="微软雅黑" w:hAnsi="微软雅黑" w:cs="微软雅黑"/>
          <w:b/>
        </w:rPr>
      </w:pPr>
      <w:r>
        <w:rPr>
          <w:rFonts w:ascii="微软雅黑" w:eastAsia="微软雅黑" w:hAnsi="微软雅黑" w:cs="微软雅黑" w:hint="eastAsia"/>
          <w:b/>
        </w:rPr>
        <w:t>一、基础市场综述</w:t>
      </w:r>
    </w:p>
    <w:p w:rsidR="003E2486" w:rsidRDefault="003E2486">
      <w:pPr>
        <w:spacing w:before="180" w:line="360" w:lineRule="auto"/>
        <w:ind w:firstLine="420"/>
        <w:jc w:val="left"/>
        <w:rPr>
          <w:rFonts w:ascii="微软雅黑" w:eastAsia="微软雅黑" w:hAnsi="微软雅黑" w:cs="微软雅黑"/>
          <w:color w:val="00CCFF"/>
        </w:rPr>
      </w:pPr>
      <w:r>
        <w:rPr>
          <w:rFonts w:ascii="微软雅黑" w:eastAsia="微软雅黑" w:hAnsi="微软雅黑" w:cs="微软雅黑"/>
        </w:rPr>
        <w:t>2014.11.07</w:t>
      </w:r>
      <w:r>
        <w:rPr>
          <w:rFonts w:ascii="微软雅黑" w:eastAsia="微软雅黑" w:hAnsi="微软雅黑" w:cs="微软雅黑" w:hint="eastAsia"/>
        </w:rPr>
        <w:t>至</w:t>
      </w:r>
      <w:r>
        <w:rPr>
          <w:rFonts w:ascii="微软雅黑" w:eastAsia="微软雅黑" w:hAnsi="微软雅黑" w:cs="微软雅黑"/>
        </w:rPr>
        <w:t>2014.11.13</w:t>
      </w:r>
      <w:r>
        <w:rPr>
          <w:rFonts w:ascii="微软雅黑" w:eastAsia="微软雅黑" w:hAnsi="微软雅黑" w:cs="微软雅黑" w:hint="eastAsia"/>
        </w:rPr>
        <w:t>，市场继续走高。指数上看，上证综指上涨</w:t>
      </w:r>
      <w:r>
        <w:rPr>
          <w:rFonts w:ascii="微软雅黑" w:eastAsia="微软雅黑" w:hAnsi="微软雅黑" w:cs="微软雅黑"/>
        </w:rPr>
        <w:t>2.46%</w:t>
      </w:r>
      <w:r>
        <w:rPr>
          <w:rFonts w:ascii="微软雅黑" w:eastAsia="微软雅黑" w:hAnsi="微软雅黑" w:cs="微软雅黑" w:hint="eastAsia"/>
        </w:rPr>
        <w:t>、深成指上涨</w:t>
      </w:r>
      <w:r>
        <w:rPr>
          <w:rFonts w:ascii="微软雅黑" w:eastAsia="微软雅黑" w:hAnsi="微软雅黑" w:cs="微软雅黑"/>
        </w:rPr>
        <w:t>1.13%</w:t>
      </w:r>
      <w:r>
        <w:rPr>
          <w:rFonts w:ascii="微软雅黑" w:eastAsia="微软雅黑" w:hAnsi="微软雅黑" w:cs="微软雅黑" w:hint="eastAsia"/>
        </w:rPr>
        <w:t>、沪深</w:t>
      </w:r>
      <w:r>
        <w:rPr>
          <w:rFonts w:ascii="微软雅黑" w:eastAsia="微软雅黑" w:hAnsi="微软雅黑" w:cs="微软雅黑"/>
        </w:rPr>
        <w:t>300</w:t>
      </w:r>
      <w:r>
        <w:rPr>
          <w:rFonts w:ascii="微软雅黑" w:eastAsia="微软雅黑" w:hAnsi="微软雅黑" w:cs="微软雅黑" w:hint="eastAsia"/>
        </w:rPr>
        <w:t>上涨</w:t>
      </w:r>
      <w:r>
        <w:rPr>
          <w:rFonts w:ascii="微软雅黑" w:eastAsia="微软雅黑" w:hAnsi="微软雅黑" w:cs="微软雅黑"/>
        </w:rPr>
        <w:t>2.94%</w:t>
      </w:r>
      <w:r>
        <w:rPr>
          <w:rFonts w:ascii="微软雅黑" w:eastAsia="微软雅黑" w:hAnsi="微软雅黑" w:cs="微软雅黑" w:hint="eastAsia"/>
        </w:rPr>
        <w:t>、中小板指下跌</w:t>
      </w:r>
      <w:r>
        <w:rPr>
          <w:rFonts w:ascii="微软雅黑" w:eastAsia="微软雅黑" w:hAnsi="微软雅黑" w:cs="微软雅黑"/>
        </w:rPr>
        <w:t>4.23%</w:t>
      </w:r>
      <w:r>
        <w:rPr>
          <w:rFonts w:ascii="微软雅黑" w:eastAsia="微软雅黑" w:hAnsi="微软雅黑" w:cs="微软雅黑" w:hint="eastAsia"/>
        </w:rPr>
        <w:t>、创业板指下跌</w:t>
      </w:r>
      <w:r>
        <w:rPr>
          <w:rFonts w:ascii="微软雅黑" w:eastAsia="微软雅黑" w:hAnsi="微软雅黑" w:cs="微软雅黑"/>
        </w:rPr>
        <w:t>5.82%</w:t>
      </w:r>
      <w:r>
        <w:rPr>
          <w:rFonts w:ascii="微软雅黑" w:eastAsia="微软雅黑" w:hAnsi="微软雅黑" w:cs="微软雅黑" w:hint="eastAsia"/>
        </w:rPr>
        <w:t>；行业上看，</w:t>
      </w:r>
      <w:r>
        <w:rPr>
          <w:rFonts w:ascii="微软雅黑" w:eastAsia="微软雅黑" w:hAnsi="微软雅黑" w:cs="微软雅黑"/>
        </w:rPr>
        <w:t>28</w:t>
      </w:r>
      <w:r>
        <w:rPr>
          <w:rFonts w:ascii="微软雅黑" w:eastAsia="微软雅黑" w:hAnsi="微软雅黑" w:cs="微软雅黑" w:hint="eastAsia"/>
        </w:rPr>
        <w:t>个申万一级行业跌多涨少，其中，非银金融（</w:t>
      </w:r>
      <w:r>
        <w:rPr>
          <w:rFonts w:ascii="微软雅黑" w:eastAsia="微软雅黑" w:hAnsi="微软雅黑" w:cs="微软雅黑"/>
        </w:rPr>
        <w:t>+9.21%</w:t>
      </w:r>
      <w:r>
        <w:rPr>
          <w:rFonts w:ascii="微软雅黑" w:eastAsia="微软雅黑" w:hAnsi="微软雅黑" w:cs="微软雅黑" w:hint="eastAsia"/>
        </w:rPr>
        <w:t>）、银行（</w:t>
      </w:r>
      <w:r>
        <w:rPr>
          <w:rFonts w:ascii="微软雅黑" w:eastAsia="微软雅黑" w:hAnsi="微软雅黑" w:cs="微软雅黑"/>
        </w:rPr>
        <w:t>+5.93%</w:t>
      </w:r>
      <w:r>
        <w:rPr>
          <w:rFonts w:ascii="微软雅黑" w:eastAsia="微软雅黑" w:hAnsi="微软雅黑" w:cs="微软雅黑" w:hint="eastAsia"/>
        </w:rPr>
        <w:t>）、钢铁（</w:t>
      </w:r>
      <w:r>
        <w:rPr>
          <w:rFonts w:ascii="微软雅黑" w:eastAsia="微软雅黑" w:hAnsi="微软雅黑" w:cs="微软雅黑"/>
        </w:rPr>
        <w:t>+4.22%</w:t>
      </w:r>
      <w:r>
        <w:rPr>
          <w:rFonts w:ascii="微软雅黑" w:eastAsia="微软雅黑" w:hAnsi="微软雅黑" w:cs="微软雅黑" w:hint="eastAsia"/>
        </w:rPr>
        <w:t>）涨幅居前，国防军工（</w:t>
      </w:r>
      <w:r>
        <w:rPr>
          <w:rFonts w:ascii="微软雅黑" w:eastAsia="微软雅黑" w:hAnsi="微软雅黑" w:cs="微软雅黑"/>
        </w:rPr>
        <w:t>-8.44%</w:t>
      </w:r>
      <w:r>
        <w:rPr>
          <w:rFonts w:ascii="微软雅黑" w:eastAsia="微软雅黑" w:hAnsi="微软雅黑" w:cs="微软雅黑" w:hint="eastAsia"/>
        </w:rPr>
        <w:t>）、电子（</w:t>
      </w:r>
      <w:r>
        <w:rPr>
          <w:rFonts w:ascii="微软雅黑" w:eastAsia="微软雅黑" w:hAnsi="微软雅黑" w:cs="微软雅黑"/>
        </w:rPr>
        <w:t>-5.29%</w:t>
      </w:r>
      <w:r>
        <w:rPr>
          <w:rFonts w:ascii="微软雅黑" w:eastAsia="微软雅黑" w:hAnsi="微软雅黑" w:cs="微软雅黑" w:hint="eastAsia"/>
        </w:rPr>
        <w:t>）、电子（</w:t>
      </w:r>
      <w:r>
        <w:rPr>
          <w:rFonts w:ascii="微软雅黑" w:eastAsia="微软雅黑" w:hAnsi="微软雅黑" w:cs="微软雅黑"/>
        </w:rPr>
        <w:t>-4.54%</w:t>
      </w:r>
      <w:r>
        <w:rPr>
          <w:rFonts w:ascii="微软雅黑" w:eastAsia="微软雅黑" w:hAnsi="微软雅黑" w:cs="微软雅黑" w:hint="eastAsia"/>
        </w:rPr>
        <w:t>）跌幅较大。债市方面，债券市场继续上行，中证全债指数上涨</w:t>
      </w:r>
      <w:r>
        <w:rPr>
          <w:rFonts w:ascii="微软雅黑" w:eastAsia="微软雅黑" w:hAnsi="微软雅黑" w:cs="微软雅黑"/>
        </w:rPr>
        <w:t>0.64%</w:t>
      </w:r>
      <w:r>
        <w:rPr>
          <w:rFonts w:ascii="微软雅黑" w:eastAsia="微软雅黑" w:hAnsi="微软雅黑" w:cs="微软雅黑" w:hint="eastAsia"/>
        </w:rPr>
        <w:t>，其中，受益于股市反弹的转债涨幅领先。海外市场方面，美国股市、香港股市均收涨，道琼斯工业指数上涨</w:t>
      </w:r>
      <w:r>
        <w:rPr>
          <w:rFonts w:ascii="微软雅黑" w:eastAsia="微软雅黑" w:hAnsi="微软雅黑" w:cs="微软雅黑"/>
        </w:rPr>
        <w:t>0.56%</w:t>
      </w:r>
      <w:r>
        <w:rPr>
          <w:rFonts w:ascii="微软雅黑" w:eastAsia="微软雅黑" w:hAnsi="微软雅黑" w:cs="微软雅黑" w:hint="eastAsia"/>
        </w:rPr>
        <w:t>、纳斯达克指数上涨</w:t>
      </w:r>
      <w:r>
        <w:rPr>
          <w:rFonts w:ascii="微软雅黑" w:eastAsia="微软雅黑" w:hAnsi="微软雅黑" w:cs="微软雅黑"/>
        </w:rPr>
        <w:t>0.90%</w:t>
      </w:r>
      <w:r>
        <w:rPr>
          <w:rFonts w:ascii="微软雅黑" w:eastAsia="微软雅黑" w:hAnsi="微软雅黑" w:cs="微软雅黑" w:hint="eastAsia"/>
        </w:rPr>
        <w:t>、标普</w:t>
      </w:r>
      <w:r>
        <w:rPr>
          <w:rFonts w:ascii="微软雅黑" w:eastAsia="微软雅黑" w:hAnsi="微软雅黑" w:cs="微软雅黑"/>
        </w:rPr>
        <w:t>500</w:t>
      </w:r>
      <w:r>
        <w:rPr>
          <w:rFonts w:ascii="微软雅黑" w:eastAsia="微软雅黑" w:hAnsi="微软雅黑" w:cs="微软雅黑" w:hint="eastAsia"/>
        </w:rPr>
        <w:t>上涨</w:t>
      </w:r>
      <w:r>
        <w:rPr>
          <w:rFonts w:ascii="微软雅黑" w:eastAsia="微软雅黑" w:hAnsi="微软雅黑" w:cs="微软雅黑"/>
        </w:rPr>
        <w:t>0.40%</w:t>
      </w:r>
      <w:r>
        <w:rPr>
          <w:rFonts w:ascii="微软雅黑" w:eastAsia="微软雅黑" w:hAnsi="微软雅黑" w:cs="微软雅黑" w:hint="eastAsia"/>
        </w:rPr>
        <w:t>，恒生指数上涨</w:t>
      </w:r>
      <w:r>
        <w:rPr>
          <w:rFonts w:ascii="微软雅黑" w:eastAsia="微软雅黑" w:hAnsi="微软雅黑" w:cs="微软雅黑"/>
        </w:rPr>
        <w:t>1.57%</w:t>
      </w:r>
      <w:r>
        <w:rPr>
          <w:rFonts w:ascii="微软雅黑" w:eastAsia="微软雅黑" w:hAnsi="微软雅黑" w:cs="微软雅黑" w:hint="eastAsia"/>
        </w:rPr>
        <w:t>。</w:t>
      </w:r>
    </w:p>
    <w:p w:rsidR="003E2486" w:rsidRDefault="003E2486">
      <w:pPr>
        <w:spacing w:before="180" w:line="360" w:lineRule="auto"/>
        <w:jc w:val="left"/>
        <w:rPr>
          <w:rFonts w:ascii="微软雅黑" w:eastAsia="微软雅黑" w:hAnsi="微软雅黑" w:cs="微软雅黑"/>
          <w:b/>
        </w:rPr>
      </w:pPr>
      <w:r>
        <w:rPr>
          <w:rFonts w:ascii="微软雅黑" w:eastAsia="微软雅黑" w:hAnsi="微软雅黑" w:cs="微软雅黑" w:hint="eastAsia"/>
          <w:b/>
        </w:rPr>
        <w:t>二、本期各类基金表现</w:t>
      </w:r>
    </w:p>
    <w:p w:rsidR="003E2486" w:rsidRDefault="003E2486">
      <w:pPr>
        <w:spacing w:before="180" w:line="360" w:lineRule="auto"/>
        <w:ind w:firstLine="420"/>
        <w:jc w:val="left"/>
        <w:rPr>
          <w:rFonts w:ascii="微软雅黑" w:eastAsia="微软雅黑" w:hAnsi="微软雅黑" w:cs="微软雅黑"/>
          <w:color w:val="00CCFF"/>
        </w:rPr>
      </w:pPr>
      <w:r>
        <w:rPr>
          <w:rFonts w:ascii="微软雅黑" w:eastAsia="微软雅黑" w:hAnsi="微软雅黑" w:cs="微软雅黑" w:hint="eastAsia"/>
        </w:rPr>
        <w:t>本期，各类型基金以收涨为主。债券型领涨，涨幅为</w:t>
      </w:r>
      <w:r>
        <w:rPr>
          <w:rFonts w:ascii="微软雅黑" w:eastAsia="微软雅黑" w:hAnsi="微软雅黑" w:cs="微软雅黑"/>
        </w:rPr>
        <w:t>1.02%</w:t>
      </w:r>
      <w:r>
        <w:rPr>
          <w:rFonts w:ascii="微软雅黑" w:eastAsia="微软雅黑" w:hAnsi="微软雅黑" w:cs="微软雅黑" w:hint="eastAsia"/>
        </w:rPr>
        <w:t>，其次，指数型上涨</w:t>
      </w:r>
      <w:r>
        <w:rPr>
          <w:rFonts w:ascii="微软雅黑" w:eastAsia="微软雅黑" w:hAnsi="微软雅黑" w:cs="微软雅黑"/>
        </w:rPr>
        <w:t>0.85%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/>
        </w:rPr>
        <w:t>QDII</w:t>
      </w:r>
      <w:r>
        <w:rPr>
          <w:rFonts w:ascii="微软雅黑" w:eastAsia="微软雅黑" w:hAnsi="微软雅黑" w:cs="微软雅黑" w:hint="eastAsia"/>
        </w:rPr>
        <w:t>基金上涨</w:t>
      </w:r>
      <w:r>
        <w:rPr>
          <w:rFonts w:ascii="微软雅黑" w:eastAsia="微软雅黑" w:hAnsi="微软雅黑" w:cs="微软雅黑"/>
        </w:rPr>
        <w:t>0.66%</w:t>
      </w:r>
      <w:r>
        <w:rPr>
          <w:rFonts w:ascii="微软雅黑" w:eastAsia="微软雅黑" w:hAnsi="微软雅黑" w:cs="微软雅黑" w:hint="eastAsia"/>
        </w:rPr>
        <w:t>、保本型上涨</w:t>
      </w:r>
      <w:r>
        <w:rPr>
          <w:rFonts w:ascii="微软雅黑" w:eastAsia="微软雅黑" w:hAnsi="微软雅黑" w:cs="微软雅黑"/>
        </w:rPr>
        <w:t>0.42%</w:t>
      </w:r>
      <w:r>
        <w:rPr>
          <w:rFonts w:ascii="微软雅黑" w:eastAsia="微软雅黑" w:hAnsi="微软雅黑" w:cs="微软雅黑" w:hint="eastAsia"/>
        </w:rPr>
        <w:t>、短期理财基金上涨</w:t>
      </w:r>
      <w:r>
        <w:rPr>
          <w:rFonts w:ascii="微软雅黑" w:eastAsia="微软雅黑" w:hAnsi="微软雅黑" w:cs="微软雅黑"/>
        </w:rPr>
        <w:t>0.09%</w:t>
      </w:r>
      <w:r>
        <w:rPr>
          <w:rFonts w:ascii="微软雅黑" w:eastAsia="微软雅黑" w:hAnsi="微软雅黑" w:cs="微软雅黑" w:hint="eastAsia"/>
        </w:rPr>
        <w:t>、货币型上涨</w:t>
      </w:r>
      <w:r>
        <w:rPr>
          <w:rFonts w:ascii="微软雅黑" w:eastAsia="微软雅黑" w:hAnsi="微软雅黑" w:cs="微软雅黑"/>
        </w:rPr>
        <w:t>0.08%</w:t>
      </w:r>
      <w:r>
        <w:rPr>
          <w:rFonts w:ascii="微软雅黑" w:eastAsia="微软雅黑" w:hAnsi="微软雅黑" w:cs="微软雅黑" w:hint="eastAsia"/>
        </w:rPr>
        <w:t>，混合型下跌</w:t>
      </w:r>
      <w:r>
        <w:rPr>
          <w:rFonts w:ascii="微软雅黑" w:eastAsia="微软雅黑" w:hAnsi="微软雅黑" w:cs="微软雅黑"/>
        </w:rPr>
        <w:t>1.24%</w:t>
      </w:r>
      <w:r>
        <w:rPr>
          <w:rFonts w:ascii="微软雅黑" w:eastAsia="微软雅黑" w:hAnsi="微软雅黑" w:cs="微软雅黑" w:hint="eastAsia"/>
        </w:rPr>
        <w:t>，股票型下跌</w:t>
      </w:r>
      <w:r>
        <w:rPr>
          <w:rFonts w:ascii="微软雅黑" w:eastAsia="微软雅黑" w:hAnsi="微软雅黑" w:cs="微软雅黑"/>
        </w:rPr>
        <w:t>1.76%</w:t>
      </w:r>
      <w:r>
        <w:rPr>
          <w:rFonts w:ascii="微软雅黑" w:eastAsia="微软雅黑" w:hAnsi="微软雅黑" w:cs="微软雅黑" w:hint="eastAsia"/>
        </w:rPr>
        <w:t>。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8530"/>
      </w:tblGrid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left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图</w:t>
            </w:r>
            <w:r>
              <w:rPr>
                <w:rFonts w:ascii="微软雅黑" w:eastAsia="微软雅黑" w:hAnsi="微软雅黑" w:cs="微软雅黑"/>
                <w:sz w:val="18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：各类型基金本期收益率（单位：</w:t>
            </w:r>
            <w:r>
              <w:rPr>
                <w:rFonts w:ascii="微软雅黑" w:eastAsia="微软雅黑" w:hAnsi="微软雅黑" w:cs="微软雅黑"/>
                <w:sz w:val="18"/>
              </w:rPr>
              <w:t>%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）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Default="003E2486">
            <w:pPr>
              <w:jc w:val="left"/>
              <w:rPr>
                <w:rFonts w:ascii="宋体" w:cs="宋体"/>
                <w:sz w:val="22"/>
              </w:rPr>
            </w:pPr>
            <w:r w:rsidRPr="00FD0864">
              <w:object w:dxaOrig="8402" w:dyaOrig="5000">
                <v:rect id="rectole0000000000" o:spid="_x0000_i1025" style="width:420pt;height:249.75pt" o:ole="" o:preferrelative="t" stroked="f">
                  <v:imagedata r:id="rId4" o:title=""/>
                </v:rect>
                <o:OLEObject Type="Embed" ProgID="StaticMetafile" ShapeID="rectole0000000000" DrawAspect="Content" ObjectID="_1477739527" r:id="rId5"/>
              </w:objec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Default="003E2486">
            <w:pPr>
              <w:jc w:val="left"/>
              <w:rPr>
                <w:rFonts w:ascii="微软雅黑" w:eastAsia="微软雅黑" w:hAnsi="微软雅黑" w:cs="微软雅黑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</w:rPr>
              <w:t>数据来源：众禄基金研究中心</w:t>
            </w:r>
          </w:p>
          <w:p w:rsidR="003E2486" w:rsidRPr="00FD0864" w:rsidRDefault="003E2486">
            <w:pPr>
              <w:jc w:val="left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统计区间：</w:t>
            </w:r>
            <w:r>
              <w:rPr>
                <w:rFonts w:ascii="微软雅黑" w:eastAsia="微软雅黑" w:hAnsi="微软雅黑" w:cs="微软雅黑"/>
                <w:sz w:val="18"/>
              </w:rPr>
              <w:t>2014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>11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月</w:t>
            </w:r>
            <w:r>
              <w:rPr>
                <w:rFonts w:ascii="微软雅黑" w:eastAsia="微软雅黑" w:hAnsi="微软雅黑" w:cs="微软雅黑"/>
                <w:sz w:val="18"/>
              </w:rPr>
              <w:t>07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日</w:t>
            </w:r>
            <w:r>
              <w:rPr>
                <w:rFonts w:ascii="微软雅黑" w:eastAsia="微软雅黑" w:hAnsi="微软雅黑" w:cs="微软雅黑"/>
                <w:sz w:val="18"/>
              </w:rPr>
              <w:t>-2014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>11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月</w:t>
            </w:r>
            <w:r>
              <w:rPr>
                <w:rFonts w:ascii="微软雅黑" w:eastAsia="微软雅黑" w:hAnsi="微软雅黑" w:cs="微软雅黑"/>
                <w:sz w:val="18"/>
              </w:rPr>
              <w:t>13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日</w:t>
            </w:r>
          </w:p>
        </w:tc>
      </w:tr>
    </w:tbl>
    <w:p w:rsidR="003E2486" w:rsidRDefault="003E2486">
      <w:pPr>
        <w:spacing w:before="180" w:line="360" w:lineRule="auto"/>
        <w:ind w:firstLine="42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众禄基金研究中心数据显示，本期主动偏股型基金跌多涨少，其中，持有较多证券、银行、地产等行业股票的基金，期间业绩居前；而重仓信心技术、军工等行业的个基业绩落后。</w:t>
      </w:r>
    </w:p>
    <w:p w:rsidR="003E2486" w:rsidRDefault="003E2486">
      <w:pPr>
        <w:spacing w:before="180" w:line="360" w:lineRule="auto"/>
        <w:ind w:firstLine="42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指数型基金涨多跌少，其中，证券、金融等行业主题指基，以及跟踪上证</w:t>
      </w:r>
      <w:r>
        <w:rPr>
          <w:rFonts w:ascii="微软雅黑" w:eastAsia="微软雅黑" w:hAnsi="微软雅黑" w:cs="微软雅黑"/>
        </w:rPr>
        <w:t>50</w:t>
      </w:r>
      <w:r>
        <w:rPr>
          <w:rFonts w:ascii="微软雅黑" w:eastAsia="微软雅黑" w:hAnsi="微软雅黑" w:cs="微软雅黑" w:hint="eastAsia"/>
        </w:rPr>
        <w:t>、上证</w:t>
      </w:r>
      <w:r>
        <w:rPr>
          <w:rFonts w:ascii="微软雅黑" w:eastAsia="微软雅黑" w:hAnsi="微软雅黑" w:cs="微软雅黑"/>
        </w:rPr>
        <w:t>180</w:t>
      </w:r>
      <w:r>
        <w:rPr>
          <w:rFonts w:ascii="微软雅黑" w:eastAsia="微软雅黑" w:hAnsi="微软雅黑" w:cs="微软雅黑" w:hint="eastAsia"/>
        </w:rPr>
        <w:t>等指数的蓝筹指基涨幅居前；而跟踪中证军工、创业板指的指基业绩垫底。</w:t>
      </w:r>
    </w:p>
    <w:p w:rsidR="003E2486" w:rsidRDefault="003E2486">
      <w:pPr>
        <w:spacing w:before="180" w:line="360" w:lineRule="auto"/>
        <w:ind w:firstLine="42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债券型基金多数录得正收益，其中，受股市继续上行带动，转债基金业绩大幅领先。</w:t>
      </w:r>
    </w:p>
    <w:p w:rsidR="003E2486" w:rsidRDefault="003E2486">
      <w:pPr>
        <w:spacing w:before="180" w:line="360" w:lineRule="auto"/>
        <w:ind w:firstLine="42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</w:rPr>
        <w:t>QDII</w:t>
      </w:r>
      <w:r>
        <w:rPr>
          <w:rFonts w:ascii="微软雅黑" w:eastAsia="微软雅黑" w:hAnsi="微软雅黑" w:cs="微软雅黑" w:hint="eastAsia"/>
        </w:rPr>
        <w:t>基金涨多跌少，其中，侧重港股投资的个基涨幅领先；而商品主题基金、房地产信托主题基金业绩落后。</w:t>
      </w:r>
    </w:p>
    <w:p w:rsidR="003E2486" w:rsidRDefault="003E2486">
      <w:pPr>
        <w:spacing w:before="180" w:line="360" w:lineRule="auto"/>
        <w:ind w:firstLine="42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货币基金、短期理财基金收益率依然保持在历史高位，其期间</w:t>
      </w:r>
      <w:r>
        <w:rPr>
          <w:rFonts w:ascii="微软雅黑" w:eastAsia="微软雅黑" w:hAnsi="微软雅黑" w:cs="微软雅黑"/>
        </w:rPr>
        <w:t>7</w:t>
      </w:r>
      <w:r>
        <w:rPr>
          <w:rFonts w:ascii="微软雅黑" w:eastAsia="微软雅黑" w:hAnsi="微软雅黑" w:cs="微软雅黑" w:hint="eastAsia"/>
        </w:rPr>
        <w:t>日年化收益率均值分别为</w:t>
      </w:r>
      <w:r>
        <w:rPr>
          <w:rFonts w:ascii="微软雅黑" w:eastAsia="微软雅黑" w:hAnsi="微软雅黑" w:cs="微软雅黑"/>
        </w:rPr>
        <w:t>4.43%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/>
        </w:rPr>
        <w:t>5.25%</w:t>
      </w:r>
      <w:r>
        <w:rPr>
          <w:rFonts w:ascii="微软雅黑" w:eastAsia="微软雅黑" w:hAnsi="微软雅黑" w:cs="微软雅黑" w:hint="eastAsia"/>
        </w:rPr>
        <w:t>。</w:t>
      </w:r>
    </w:p>
    <w:tbl>
      <w:tblPr>
        <w:tblW w:w="0" w:type="auto"/>
        <w:tblInd w:w="97" w:type="dxa"/>
        <w:tblCellMar>
          <w:left w:w="10" w:type="dxa"/>
          <w:right w:w="10" w:type="dxa"/>
        </w:tblCellMar>
        <w:tblLook w:val="0000"/>
      </w:tblPr>
      <w:tblGrid>
        <w:gridCol w:w="1071"/>
        <w:gridCol w:w="2210"/>
        <w:gridCol w:w="890"/>
        <w:gridCol w:w="1009"/>
        <w:gridCol w:w="2303"/>
        <w:gridCol w:w="942"/>
      </w:tblGrid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0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left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表</w:t>
            </w:r>
            <w:r>
              <w:rPr>
                <w:rFonts w:ascii="微软雅黑" w:eastAsia="微软雅黑" w:hAnsi="微软雅黑" w:cs="微软雅黑"/>
                <w:sz w:val="18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：各类基金收益率</w:t>
            </w:r>
            <w:r>
              <w:rPr>
                <w:rFonts w:ascii="微软雅黑" w:eastAsia="微软雅黑" w:hAnsi="微软雅黑" w:cs="微软雅黑"/>
                <w:sz w:val="18"/>
              </w:rPr>
              <w:t>TOP3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b/>
                <w:sz w:val="18"/>
              </w:rPr>
              <w:t>基金类型</w:t>
            </w:r>
          </w:p>
        </w:tc>
        <w:tc>
          <w:tcPr>
            <w:tcW w:w="2237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b/>
                <w:sz w:val="18"/>
              </w:rPr>
              <w:t>基金名称</w:t>
            </w:r>
          </w:p>
        </w:tc>
        <w:tc>
          <w:tcPr>
            <w:tcW w:w="892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b/>
                <w:sz w:val="18"/>
              </w:rPr>
              <w:t>收益率（</w:t>
            </w:r>
            <w:r>
              <w:rPr>
                <w:rFonts w:ascii="微软雅黑" w:eastAsia="微软雅黑" w:hAnsi="微软雅黑" w:cs="微软雅黑"/>
                <w:b/>
                <w:sz w:val="18"/>
              </w:rPr>
              <w:t>%</w:t>
            </w:r>
            <w:r>
              <w:rPr>
                <w:rFonts w:ascii="微软雅黑" w:eastAsia="微软雅黑" w:hAnsi="微软雅黑" w:cs="微软雅黑" w:hint="eastAsia"/>
                <w:b/>
                <w:sz w:val="18"/>
              </w:rPr>
              <w:t>）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b/>
                <w:sz w:val="18"/>
              </w:rPr>
              <w:t>基金类型</w:t>
            </w:r>
          </w:p>
        </w:tc>
        <w:tc>
          <w:tcPr>
            <w:tcW w:w="2335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b/>
                <w:sz w:val="18"/>
              </w:rPr>
              <w:t>基金名称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b/>
                <w:sz w:val="18"/>
              </w:rPr>
              <w:t>收益率（</w:t>
            </w:r>
            <w:r>
              <w:rPr>
                <w:rFonts w:ascii="微软雅黑" w:eastAsia="微软雅黑" w:hAnsi="微软雅黑" w:cs="微软雅黑"/>
                <w:b/>
                <w:sz w:val="18"/>
              </w:rPr>
              <w:t>%</w:t>
            </w:r>
            <w:r>
              <w:rPr>
                <w:rFonts w:ascii="微软雅黑" w:eastAsia="微软雅黑" w:hAnsi="微软雅黑" w:cs="微软雅黑" w:hint="eastAsia"/>
                <w:b/>
                <w:sz w:val="18"/>
              </w:rPr>
              <w:t>）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8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股票型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工银金融地产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5.73 </w:t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混合型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交银主题优选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4.23 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83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Default="003E2486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金元惠理价值增长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5.46 </w:t>
            </w:r>
          </w:p>
        </w:tc>
        <w:tc>
          <w:tcPr>
            <w:tcW w:w="101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Default="003E2486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诺安优势行业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3.46 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83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Default="003E2486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金元惠理核心动力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5.28 </w:t>
            </w:r>
          </w:p>
        </w:tc>
        <w:tc>
          <w:tcPr>
            <w:tcW w:w="101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Default="003E2486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兴全可转债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3.26 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8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指数型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申万证券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11.56 </w:t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</w:rPr>
              <w:t>QDII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基金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易方达亚洲精选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2.57 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83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Default="003E2486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易方达沪深</w:t>
            </w:r>
            <w:r>
              <w:rPr>
                <w:rFonts w:ascii="微软雅黑" w:eastAsia="微软雅黑" w:hAnsi="微软雅黑" w:cs="微软雅黑"/>
                <w:sz w:val="18"/>
                <w:u w:val="single"/>
              </w:rPr>
              <w:t>300</w:t>
            </w: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非银</w:t>
            </w:r>
            <w:r>
              <w:rPr>
                <w:rFonts w:ascii="微软雅黑" w:eastAsia="微软雅黑" w:hAnsi="微软雅黑" w:cs="微软雅黑"/>
                <w:sz w:val="18"/>
                <w:u w:val="single"/>
              </w:rPr>
              <w:t>ETF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9.38 </w:t>
            </w:r>
          </w:p>
        </w:tc>
        <w:tc>
          <w:tcPr>
            <w:tcW w:w="101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Default="003E2486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交银全球资源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2.54 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83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Default="003E2486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鹏华非银行分级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9.29 </w:t>
            </w:r>
          </w:p>
        </w:tc>
        <w:tc>
          <w:tcPr>
            <w:tcW w:w="101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Default="003E2486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上投全球天然资源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2.37 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8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债券型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博时转债增强</w:t>
            </w:r>
            <w:r>
              <w:rPr>
                <w:rFonts w:ascii="微软雅黑" w:eastAsia="微软雅黑" w:hAnsi="微软雅黑" w:cs="微软雅黑"/>
                <w:sz w:val="18"/>
                <w:u w:val="single"/>
              </w:rPr>
              <w:t>A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11.21 </w:t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保本型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国投瑞银瑞源保本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3.56 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83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Default="003E2486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博时转债增强</w:t>
            </w:r>
            <w:r>
              <w:rPr>
                <w:rFonts w:ascii="微软雅黑" w:eastAsia="微软雅黑" w:hAnsi="微软雅黑" w:cs="微软雅黑"/>
                <w:sz w:val="18"/>
                <w:u w:val="single"/>
              </w:rPr>
              <w:t>C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11.04 </w:t>
            </w:r>
          </w:p>
        </w:tc>
        <w:tc>
          <w:tcPr>
            <w:tcW w:w="101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Default="003E2486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华安保本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1.86 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83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Default="003E2486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博时信用债券</w:t>
            </w:r>
            <w:r>
              <w:rPr>
                <w:rFonts w:ascii="微软雅黑" w:eastAsia="微软雅黑" w:hAnsi="微软雅黑" w:cs="微软雅黑"/>
                <w:sz w:val="18"/>
                <w:u w:val="single"/>
              </w:rPr>
              <w:t>C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10.52 </w:t>
            </w:r>
          </w:p>
        </w:tc>
        <w:tc>
          <w:tcPr>
            <w:tcW w:w="101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Default="003E2486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新华阿里一号保本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1.34 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8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Default="003E2486">
            <w:pPr>
              <w:jc w:val="center"/>
              <w:rPr>
                <w:rFonts w:ascii="微软雅黑" w:eastAsia="微软雅黑" w:hAnsi="微软雅黑" w:cs="微软雅黑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</w:rPr>
              <w:t>短期</w:t>
            </w:r>
          </w:p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理财型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广发理财</w:t>
            </w:r>
            <w:r>
              <w:rPr>
                <w:rFonts w:ascii="微软雅黑" w:eastAsia="微软雅黑" w:hAnsi="微软雅黑" w:cs="微软雅黑"/>
                <w:sz w:val="18"/>
                <w:u w:val="single"/>
              </w:rPr>
              <w:t>7</w:t>
            </w: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天</w:t>
            </w:r>
            <w:r>
              <w:rPr>
                <w:rFonts w:ascii="微软雅黑" w:eastAsia="微软雅黑" w:hAnsi="微软雅黑" w:cs="微软雅黑"/>
                <w:sz w:val="18"/>
                <w:u w:val="single"/>
              </w:rPr>
              <w:t>B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0.19 </w:t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货币型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中银活期宝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0.17 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83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Default="003E2486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广发理财</w:t>
            </w:r>
            <w:r>
              <w:rPr>
                <w:rFonts w:ascii="微软雅黑" w:eastAsia="微软雅黑" w:hAnsi="微软雅黑" w:cs="微软雅黑"/>
                <w:sz w:val="18"/>
                <w:u w:val="single"/>
              </w:rPr>
              <w:t>30</w:t>
            </w: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天</w:t>
            </w:r>
            <w:r>
              <w:rPr>
                <w:rFonts w:ascii="微软雅黑" w:eastAsia="微软雅黑" w:hAnsi="微软雅黑" w:cs="微软雅黑"/>
                <w:sz w:val="18"/>
                <w:u w:val="single"/>
              </w:rPr>
              <w:t>B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0.18 </w:t>
            </w:r>
          </w:p>
        </w:tc>
        <w:tc>
          <w:tcPr>
            <w:tcW w:w="101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Default="003E2486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新华壹诺宝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0.17 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8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Default="003E2486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广发理财</w:t>
            </w:r>
            <w:r>
              <w:rPr>
                <w:rFonts w:ascii="微软雅黑" w:eastAsia="微软雅黑" w:hAnsi="微软雅黑" w:cs="微软雅黑"/>
                <w:sz w:val="18"/>
                <w:u w:val="single"/>
              </w:rPr>
              <w:t>7</w:t>
            </w: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天</w:t>
            </w:r>
            <w:r>
              <w:rPr>
                <w:rFonts w:ascii="微软雅黑" w:eastAsia="微软雅黑" w:hAnsi="微软雅黑" w:cs="微软雅黑"/>
                <w:sz w:val="18"/>
                <w:u w:val="single"/>
              </w:rPr>
              <w:t>A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0.18 </w:t>
            </w:r>
          </w:p>
        </w:tc>
        <w:tc>
          <w:tcPr>
            <w:tcW w:w="1016" w:type="dxa"/>
            <w:vMerge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Default="003E2486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u w:val="single"/>
              </w:rPr>
              <w:t>泰达宏利货币</w:t>
            </w:r>
            <w:r>
              <w:rPr>
                <w:rFonts w:ascii="微软雅黑" w:eastAsia="微软雅黑" w:hAnsi="微软雅黑" w:cs="微软雅黑"/>
                <w:sz w:val="18"/>
                <w:u w:val="single"/>
              </w:rPr>
              <w:t>B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center"/>
            </w:pPr>
            <w:r>
              <w:rPr>
                <w:rFonts w:ascii="微软雅黑" w:eastAsia="微软雅黑" w:hAnsi="微软雅黑" w:cs="微软雅黑"/>
                <w:sz w:val="18"/>
                <w:u w:val="single"/>
              </w:rPr>
              <w:t xml:space="preserve">0.17 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50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Default="003E2486">
            <w:pPr>
              <w:jc w:val="left"/>
              <w:rPr>
                <w:rFonts w:ascii="微软雅黑" w:eastAsia="微软雅黑" w:hAnsi="微软雅黑" w:cs="微软雅黑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</w:rPr>
              <w:t>数据来源：众禄基金研究中心</w:t>
            </w:r>
          </w:p>
          <w:p w:rsidR="003E2486" w:rsidRPr="00FD0864" w:rsidRDefault="003E2486">
            <w:pPr>
              <w:jc w:val="left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统计区间：</w:t>
            </w:r>
            <w:r>
              <w:rPr>
                <w:rFonts w:ascii="微软雅黑" w:eastAsia="微软雅黑" w:hAnsi="微软雅黑" w:cs="微软雅黑"/>
                <w:sz w:val="18"/>
              </w:rPr>
              <w:t>2014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>11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月</w:t>
            </w:r>
            <w:r>
              <w:rPr>
                <w:rFonts w:ascii="微软雅黑" w:eastAsia="微软雅黑" w:hAnsi="微软雅黑" w:cs="微软雅黑"/>
                <w:sz w:val="18"/>
              </w:rPr>
              <w:t>07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日</w:t>
            </w:r>
            <w:r>
              <w:rPr>
                <w:rFonts w:ascii="微软雅黑" w:eastAsia="微软雅黑" w:hAnsi="微软雅黑" w:cs="微软雅黑"/>
                <w:sz w:val="18"/>
              </w:rPr>
              <w:t>-2014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>11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月</w:t>
            </w:r>
            <w:r>
              <w:rPr>
                <w:rFonts w:ascii="微软雅黑" w:eastAsia="微软雅黑" w:hAnsi="微软雅黑" w:cs="微软雅黑"/>
                <w:sz w:val="18"/>
              </w:rPr>
              <w:t>13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日</w:t>
            </w:r>
          </w:p>
        </w:tc>
      </w:tr>
    </w:tbl>
    <w:p w:rsidR="003E2486" w:rsidRDefault="003E2486">
      <w:pPr>
        <w:spacing w:before="180" w:line="360" w:lineRule="auto"/>
        <w:jc w:val="left"/>
        <w:rPr>
          <w:rFonts w:ascii="微软雅黑" w:eastAsia="微软雅黑" w:hAnsi="微软雅黑" w:cs="微软雅黑"/>
          <w:b/>
        </w:rPr>
      </w:pPr>
      <w:r>
        <w:rPr>
          <w:rFonts w:ascii="微软雅黑" w:eastAsia="微软雅黑" w:hAnsi="微软雅黑" w:cs="微软雅黑" w:hint="eastAsia"/>
          <w:b/>
        </w:rPr>
        <w:t>三、众禄投资策略</w:t>
      </w:r>
    </w:p>
    <w:p w:rsidR="003E2486" w:rsidRDefault="003E2486">
      <w:pPr>
        <w:ind w:firstLine="420"/>
        <w:rPr>
          <w:rFonts w:ascii="Arial" w:eastAsia="Times New Roman" w:hAnsi="Arial" w:cs="Arial"/>
        </w:rPr>
      </w:pPr>
      <w:r>
        <w:rPr>
          <w:rFonts w:ascii="宋体" w:hAnsi="宋体" w:cs="宋体" w:hint="eastAsia"/>
        </w:rPr>
        <w:t>偏股型基金方面，市场上行基础依然牢固，强势格局保持良好，股指有望继续在上行通道中刷新高点，但干扰市场上行的负面因素亦会浮现，多空博弈背景下的市场运行将以震荡盘升的方式进行，权益类产品的投资价值继续凸显。基于此，建议投资者继续增加对偏股型基金的配置，选股能力较强的主动管理型偏股基金和指数基金可重点关注。</w:t>
      </w:r>
    </w:p>
    <w:p w:rsidR="003E2486" w:rsidRDefault="003E2486">
      <w:pPr>
        <w:ind w:firstLine="420"/>
        <w:rPr>
          <w:rFonts w:ascii="Arial" w:eastAsia="Times New Roman" w:hAnsi="Arial" w:cs="Arial"/>
        </w:rPr>
      </w:pPr>
      <w:r>
        <w:rPr>
          <w:rFonts w:ascii="宋体" w:hAnsi="宋体" w:cs="宋体" w:hint="eastAsia"/>
        </w:rPr>
        <w:t>债券型基金方面，目前来看，纯债类债基仍是较为安全的投资品种，而可转债类与二级债基在股指上涨阶段，也能够取得不错的收益。</w:t>
      </w:r>
    </w:p>
    <w:p w:rsidR="003E2486" w:rsidRDefault="003E2486">
      <w:pPr>
        <w:ind w:firstLine="4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QDII</w:t>
      </w:r>
      <w:r>
        <w:rPr>
          <w:rFonts w:ascii="宋体" w:hAnsi="宋体" w:cs="宋体" w:hint="eastAsia"/>
        </w:rPr>
        <w:t>基金方面，美联储这次完全退出</w:t>
      </w:r>
      <w:r>
        <w:rPr>
          <w:rFonts w:ascii="Arial" w:eastAsia="Times New Roman" w:hAnsi="Arial" w:cs="Arial"/>
        </w:rPr>
        <w:t>QE</w:t>
      </w:r>
      <w:r>
        <w:rPr>
          <w:rFonts w:ascii="宋体" w:hAnsi="宋体" w:cs="宋体" w:hint="eastAsia"/>
        </w:rPr>
        <w:t>，更多的是市场预期的兑现，对市场的影响相对有限。考虑到美国成熟的资本市场制度以及稳定的经济和证券市场结构，以及美国近期超预期的经济数据表明美国经济复苏状况良好，为美股继续震荡上行提供了坚实的基本面支撑，美股</w:t>
      </w:r>
      <w:r>
        <w:rPr>
          <w:rFonts w:ascii="Arial" w:eastAsia="Times New Roman" w:hAnsi="Arial" w:cs="Arial"/>
        </w:rPr>
        <w:t>QDII</w:t>
      </w:r>
      <w:r>
        <w:rPr>
          <w:rFonts w:ascii="宋体" w:hAnsi="宋体" w:cs="宋体" w:hint="eastAsia"/>
        </w:rPr>
        <w:t>是中长期资产配置的重要工具。黄金、石油等大宗商品主题缺乏趋势性机会：在全球经济温和复苏、</w:t>
      </w:r>
      <w:r>
        <w:rPr>
          <w:rFonts w:ascii="Arial" w:eastAsia="Times New Roman" w:hAnsi="Arial" w:cs="Arial"/>
        </w:rPr>
        <w:t>QE</w:t>
      </w:r>
      <w:r>
        <w:rPr>
          <w:rFonts w:ascii="宋体" w:hAnsi="宋体" w:cs="宋体" w:hint="eastAsia"/>
        </w:rPr>
        <w:t>退出以及通胀水平基本可控的情况下，支撑价格的长期动力不足，这类产品难有趋势性机会。</w:t>
      </w:r>
    </w:p>
    <w:p w:rsidR="003E2486" w:rsidRDefault="003E2486">
      <w:pPr>
        <w:ind w:firstLine="42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货币基金、短期理财基金预计仍将保持较高收益率水平，投资者可以积极关注。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101"/>
        <w:gridCol w:w="1959"/>
        <w:gridCol w:w="1017"/>
        <w:gridCol w:w="1030"/>
        <w:gridCol w:w="2064"/>
        <w:gridCol w:w="1017"/>
      </w:tblGrid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818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left"/>
            </w:pPr>
            <w:r>
              <w:rPr>
                <w:rFonts w:ascii="微软雅黑" w:eastAsia="微软雅黑" w:hAnsi="微软雅黑" w:cs="微软雅黑" w:hint="eastAsia"/>
                <w:b/>
                <w:sz w:val="18"/>
              </w:rPr>
              <w:t>表</w:t>
            </w:r>
            <w:r>
              <w:rPr>
                <w:rFonts w:ascii="微软雅黑" w:eastAsia="微软雅黑" w:hAnsi="微软雅黑" w:cs="微软雅黑"/>
                <w:b/>
                <w:sz w:val="18"/>
              </w:rPr>
              <w:t>2</w:t>
            </w:r>
            <w:r>
              <w:rPr>
                <w:rFonts w:ascii="微软雅黑" w:eastAsia="微软雅黑" w:hAnsi="微软雅黑" w:cs="微软雅黑" w:hint="eastAsia"/>
                <w:b/>
                <w:sz w:val="18"/>
              </w:rPr>
              <w:t>：众禄基金推荐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基金代码</w:t>
            </w:r>
          </w:p>
        </w:tc>
        <w:tc>
          <w:tcPr>
            <w:tcW w:w="19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基金简称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类型</w:t>
            </w:r>
          </w:p>
        </w:tc>
        <w:tc>
          <w:tcPr>
            <w:tcW w:w="10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基金代码</w:t>
            </w:r>
          </w:p>
        </w:tc>
        <w:tc>
          <w:tcPr>
            <w:tcW w:w="20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基金简称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类型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/>
                <w:sz w:val="18"/>
              </w:rPr>
              <w:t>519087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新华优选分红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混合型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/>
                <w:sz w:val="18"/>
              </w:rPr>
              <w:t>050025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博时标普</w:t>
            </w:r>
            <w:r>
              <w:rPr>
                <w:rFonts w:ascii="微软雅黑" w:eastAsia="微软雅黑" w:hAnsi="微软雅黑" w:cs="微软雅黑"/>
                <w:sz w:val="18"/>
              </w:rPr>
              <w:t>500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/>
                <w:sz w:val="18"/>
              </w:rPr>
              <w:t>QDII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基金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/>
                <w:sz w:val="18"/>
              </w:rPr>
              <w:t>213008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宝盈资源优选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股票型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/>
                <w:sz w:val="18"/>
              </w:rPr>
              <w:t>000172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华泰柏瑞量化指数增强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指数型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/>
                <w:sz w:val="18"/>
              </w:rPr>
              <w:t>630003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华商收益增强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债券型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/>
                <w:sz w:val="18"/>
              </w:rPr>
              <w:t>485111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工银瑞信双利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债券型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/>
                <w:sz w:val="18"/>
              </w:rPr>
              <w:t>485118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工银瑞信</w:t>
            </w:r>
            <w:r>
              <w:rPr>
                <w:rFonts w:ascii="微软雅黑" w:eastAsia="微软雅黑" w:hAnsi="微软雅黑" w:cs="微软雅黑"/>
                <w:sz w:val="18"/>
              </w:rPr>
              <w:t>7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天理财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短期理财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/>
                <w:sz w:val="18"/>
              </w:rPr>
              <w:t>202301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南方现金增利</w:t>
            </w:r>
            <w:r>
              <w:rPr>
                <w:rFonts w:ascii="微软雅黑" w:eastAsia="微软雅黑" w:hAnsi="微软雅黑" w:cs="微软雅黑"/>
                <w:sz w:val="18"/>
              </w:rPr>
              <w:t>A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spacing w:before="180"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货币型</w:t>
            </w:r>
          </w:p>
        </w:tc>
      </w:tr>
      <w:tr w:rsidR="003E2486" w:rsidRPr="00FD0864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818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2486" w:rsidRPr="00FD0864" w:rsidRDefault="003E2486">
            <w:pPr>
              <w:jc w:val="left"/>
            </w:pPr>
            <w:r>
              <w:rPr>
                <w:rFonts w:ascii="微软雅黑" w:eastAsia="微软雅黑" w:hAnsi="微软雅黑" w:cs="微软雅黑" w:hint="eastAsia"/>
                <w:sz w:val="18"/>
              </w:rPr>
              <w:t>资料来源：众禄基金研究中心</w:t>
            </w:r>
          </w:p>
        </w:tc>
      </w:tr>
    </w:tbl>
    <w:p w:rsidR="003E2486" w:rsidRDefault="003E2486">
      <w:pPr>
        <w:spacing w:after="100" w:line="360" w:lineRule="auto"/>
        <w:jc w:val="left"/>
        <w:rPr>
          <w:rFonts w:ascii="微软雅黑" w:eastAsia="微软雅黑" w:hAnsi="微软雅黑" w:cs="微软雅黑"/>
          <w:color w:val="00CCFF"/>
          <w:shd w:val="clear" w:color="auto" w:fill="FFFFFF"/>
        </w:rPr>
      </w:pPr>
    </w:p>
    <w:p w:rsidR="003E2486" w:rsidRDefault="003E2486">
      <w:pPr>
        <w:spacing w:after="100" w:line="360" w:lineRule="auto"/>
        <w:jc w:val="left"/>
        <w:rPr>
          <w:rFonts w:ascii="微软雅黑" w:eastAsia="微软雅黑" w:hAnsi="微软雅黑" w:cs="微软雅黑"/>
          <w:color w:val="00CCFF"/>
          <w:shd w:val="clear" w:color="auto" w:fill="FFFFFF"/>
        </w:rPr>
      </w:pPr>
    </w:p>
    <w:sectPr w:rsidR="003E2486" w:rsidSect="003E5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05E2"/>
    <w:rsid w:val="003E2486"/>
    <w:rsid w:val="003E532B"/>
    <w:rsid w:val="006F05E2"/>
    <w:rsid w:val="0098707E"/>
    <w:rsid w:val="00FD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306</Words>
  <Characters>1750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众禄基金周报: 蓝筹指基继续发力 最高涨幅超11%</dc:title>
  <dc:subject/>
  <dc:creator/>
  <cp:keywords/>
  <dc:description/>
  <cp:lastModifiedBy>User</cp:lastModifiedBy>
  <cp:revision>2</cp:revision>
  <dcterms:created xsi:type="dcterms:W3CDTF">2014-11-17T06:26:00Z</dcterms:created>
  <dcterms:modified xsi:type="dcterms:W3CDTF">2014-11-17T06:26:00Z</dcterms:modified>
</cp:coreProperties>
</file>