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00" w:rsidRPr="00FC54FE" w:rsidRDefault="005329DA" w:rsidP="00B10000">
      <w:pPr>
        <w:widowControl/>
        <w:spacing w:after="120" w:line="240" w:lineRule="exact"/>
        <w:ind w:left="3430"/>
        <w:rPr>
          <w:rFonts w:ascii="楷体" w:eastAsia="楷体" w:hAnsi="楷体" w:cs="Times New Roman"/>
          <w:b/>
          <w:bCs/>
          <w:color w:val="0070C0"/>
          <w:kern w:val="0"/>
          <w:sz w:val="24"/>
          <w:szCs w:val="20"/>
          <w:lang w:val="en-GB"/>
        </w:rPr>
      </w:pPr>
      <w:r>
        <w:rPr>
          <w:rFonts w:ascii="楷体" w:eastAsia="楷体" w:hAnsi="楷体" w:cs="Times New Roman"/>
          <w:b/>
          <w:bCs/>
          <w:noProof/>
          <w:color w:val="0070C0"/>
          <w:kern w:val="0"/>
          <w:sz w:val="24"/>
          <w:szCs w:val="20"/>
        </w:rPr>
        <w:pict>
          <v:shapetype id="_x0000_t202" coordsize="21600,21600" o:spt="202" path="m,l,21600r21600,l21600,xe">
            <v:stroke joinstyle="miter"/>
            <v:path gradientshapeok="t" o:connecttype="rect"/>
          </v:shapetype>
          <v:shape id="_x0000_s1026" type="#_x0000_t202" style="position:absolute;left:0;text-align:left;margin-left:1.5pt;margin-top:284.2pt;width:148.5pt;height:275.6pt;z-index:251658240;mso-width-relative:margin;mso-height-relative:margin" strokecolor="white [3212]" strokeweight="0">
            <v:stroke dashstyle="1 1" endcap="round"/>
            <v:textbox style="mso-next-textbox:#_x0000_s1026">
              <w:txbxContent>
                <w:p w:rsidR="00906A8D" w:rsidRPr="00635482" w:rsidRDefault="00906A8D" w:rsidP="00DE2D65">
                  <w:pPr>
                    <w:rPr>
                      <w:rFonts w:ascii="楷体" w:eastAsia="楷体" w:hAnsi="楷体"/>
                      <w:b/>
                      <w:lang w:val="en-GB"/>
                    </w:rPr>
                  </w:pPr>
                  <w:proofErr w:type="gramStart"/>
                  <w:r w:rsidRPr="00635482">
                    <w:rPr>
                      <w:rFonts w:ascii="楷体" w:eastAsia="楷体" w:hAnsi="楷体"/>
                      <w:b/>
                      <w:lang w:val="en-GB"/>
                    </w:rPr>
                    <w:t>凯石工场</w:t>
                  </w:r>
                  <w:proofErr w:type="gramEnd"/>
                  <w:r w:rsidRPr="00635482">
                    <w:rPr>
                      <w:rFonts w:ascii="楷体" w:eastAsia="楷体" w:hAnsi="楷体"/>
                      <w:b/>
                      <w:lang w:val="en-GB"/>
                    </w:rPr>
                    <w:t>移动平台</w:t>
                  </w:r>
                  <w:r w:rsidRPr="00635482">
                    <w:rPr>
                      <w:rFonts w:ascii="楷体" w:eastAsia="楷体" w:hAnsi="楷体" w:hint="eastAsia"/>
                      <w:b/>
                      <w:lang w:val="en-GB"/>
                    </w:rPr>
                    <w:t>：</w:t>
                  </w:r>
                </w:p>
                <w:p w:rsidR="00906A8D" w:rsidRPr="00635482" w:rsidRDefault="00906A8D" w:rsidP="00DE2D65">
                  <w:pPr>
                    <w:rPr>
                      <w:rFonts w:ascii="楷体" w:eastAsia="楷体" w:hAnsi="楷体"/>
                      <w:lang w:val="en-GB"/>
                    </w:rPr>
                  </w:pPr>
                </w:p>
                <w:p w:rsidR="00906A8D" w:rsidRPr="00635482" w:rsidRDefault="00906A8D" w:rsidP="00DE2D65">
                  <w:r w:rsidRPr="00635482">
                    <w:rPr>
                      <w:rFonts w:ascii="楷体" w:eastAsia="楷体" w:hAnsi="楷体" w:hint="eastAsia"/>
                      <w:lang w:val="en-GB"/>
                    </w:rPr>
                    <w:t>官方微博：</w:t>
                  </w:r>
                </w:p>
                <w:p w:rsidR="00906A8D" w:rsidRPr="00635482" w:rsidRDefault="00906A8D" w:rsidP="00DE2D65">
                  <w:pPr>
                    <w:rPr>
                      <w:rFonts w:ascii="楷体" w:eastAsia="楷体" w:hAnsi="楷体"/>
                      <w:lang w:val="en-GB"/>
                    </w:rPr>
                  </w:pPr>
                  <w:proofErr w:type="gramStart"/>
                  <w:r w:rsidRPr="00635482">
                    <w:rPr>
                      <w:rFonts w:ascii="楷体" w:eastAsia="楷体" w:hAnsi="楷体" w:hint="eastAsia"/>
                      <w:lang w:val="en-GB"/>
                    </w:rPr>
                    <w:t>凯</w:t>
                  </w:r>
                  <w:proofErr w:type="gramEnd"/>
                  <w:r w:rsidRPr="00635482">
                    <w:rPr>
                      <w:rFonts w:ascii="楷体" w:eastAsia="楷体" w:hAnsi="楷体" w:hint="eastAsia"/>
                      <w:lang w:val="en-GB"/>
                    </w:rPr>
                    <w:t>石财富工场</w:t>
                  </w:r>
                </w:p>
                <w:p w:rsidR="00906A8D" w:rsidRDefault="00906A8D" w:rsidP="00DE2D65">
                  <w:r>
                    <w:rPr>
                      <w:rFonts w:hint="eastAsia"/>
                      <w:noProof/>
                    </w:rPr>
                    <w:drawing>
                      <wp:inline distT="0" distB="0" distL="0" distR="0">
                        <wp:extent cx="933450" cy="933450"/>
                        <wp:effectExtent l="19050" t="0" r="0" b="0"/>
                        <wp:docPr id="4" name="图片 5" descr="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jpg"/>
                                <pic:cNvPicPr/>
                              </pic:nvPicPr>
                              <pic:blipFill>
                                <a:blip r:embed="rId8"/>
                                <a:stretch>
                                  <a:fillRect/>
                                </a:stretch>
                              </pic:blipFill>
                              <pic:spPr>
                                <a:xfrm>
                                  <a:off x="0" y="0"/>
                                  <a:ext cx="933450" cy="933450"/>
                                </a:xfrm>
                                <a:prstGeom prst="rect">
                                  <a:avLst/>
                                </a:prstGeom>
                              </pic:spPr>
                            </pic:pic>
                          </a:graphicData>
                        </a:graphic>
                      </wp:inline>
                    </w:drawing>
                  </w:r>
                </w:p>
                <w:p w:rsidR="00906A8D" w:rsidRDefault="00906A8D" w:rsidP="00DE2D65">
                  <w:pPr>
                    <w:rPr>
                      <w:rFonts w:ascii="楷体" w:eastAsia="楷体" w:hAnsi="楷体"/>
                      <w:b/>
                      <w:lang w:val="en-GB"/>
                    </w:rPr>
                  </w:pPr>
                </w:p>
                <w:p w:rsidR="00906A8D" w:rsidRPr="00635482" w:rsidRDefault="00906A8D" w:rsidP="00DE2D65">
                  <w:pPr>
                    <w:rPr>
                      <w:rFonts w:ascii="楷体" w:eastAsia="楷体" w:hAnsi="楷体"/>
                      <w:lang w:val="en-GB"/>
                    </w:rPr>
                  </w:pPr>
                  <w:r w:rsidRPr="00635482">
                    <w:rPr>
                      <w:rFonts w:ascii="楷体" w:eastAsia="楷体" w:hAnsi="楷体" w:hint="eastAsia"/>
                      <w:lang w:val="en-GB"/>
                    </w:rPr>
                    <w:t>官方微信：</w:t>
                  </w:r>
                </w:p>
                <w:p w:rsidR="00906A8D" w:rsidRPr="00635482" w:rsidRDefault="00906A8D" w:rsidP="00DE2D65">
                  <w:pPr>
                    <w:rPr>
                      <w:rFonts w:ascii="楷体" w:eastAsia="楷体" w:hAnsi="楷体"/>
                      <w:lang w:val="en-GB"/>
                    </w:rPr>
                  </w:pPr>
                  <w:proofErr w:type="gramStart"/>
                  <w:r w:rsidRPr="00635482">
                    <w:rPr>
                      <w:rFonts w:ascii="楷体" w:eastAsia="楷体" w:hAnsi="楷体" w:hint="eastAsia"/>
                      <w:lang w:val="en-GB"/>
                    </w:rPr>
                    <w:t>凯</w:t>
                  </w:r>
                  <w:proofErr w:type="gramEnd"/>
                  <w:r w:rsidRPr="00635482">
                    <w:rPr>
                      <w:rFonts w:ascii="楷体" w:eastAsia="楷体" w:hAnsi="楷体" w:hint="eastAsia"/>
                      <w:lang w:val="en-GB"/>
                    </w:rPr>
                    <w:t>石财富知音订阅号</w:t>
                  </w:r>
                </w:p>
                <w:p w:rsidR="00906A8D" w:rsidRDefault="00906A8D" w:rsidP="00DE2D65">
                  <w:r w:rsidRPr="00635482">
                    <w:rPr>
                      <w:rFonts w:ascii="楷体" w:eastAsia="楷体" w:hAnsi="楷体"/>
                      <w:b/>
                      <w:noProof/>
                    </w:rPr>
                    <w:drawing>
                      <wp:inline distT="0" distB="0" distL="0" distR="0">
                        <wp:extent cx="952500" cy="952500"/>
                        <wp:effectExtent l="19050" t="0" r="0" b="0"/>
                        <wp:docPr id="6" name="图片 7" descr="凯石财富知音订阅号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凯石财富知音订阅号3.jpg"/>
                                <pic:cNvPicPr/>
                              </pic:nvPicPr>
                              <pic:blipFill>
                                <a:blip r:embed="rId9" cstate="print"/>
                                <a:stretch>
                                  <a:fillRect/>
                                </a:stretch>
                              </pic:blipFill>
                              <pic:spPr>
                                <a:xfrm>
                                  <a:off x="0" y="0"/>
                                  <a:ext cx="952500" cy="952500"/>
                                </a:xfrm>
                                <a:prstGeom prst="rect">
                                  <a:avLst/>
                                </a:prstGeom>
                              </pic:spPr>
                            </pic:pic>
                          </a:graphicData>
                        </a:graphic>
                      </wp:inline>
                    </w:drawing>
                  </w:r>
                </w:p>
              </w:txbxContent>
            </v:textbox>
          </v:shape>
        </w:pict>
      </w:r>
      <w:r w:rsidR="00A70401" w:rsidRPr="00FC54FE">
        <w:rPr>
          <w:rFonts w:ascii="楷体" w:eastAsia="楷体" w:hAnsi="楷体" w:cs="Times New Roman" w:hint="eastAsia"/>
          <w:b/>
          <w:bCs/>
          <w:color w:val="0070C0"/>
          <w:kern w:val="0"/>
          <w:sz w:val="24"/>
          <w:szCs w:val="20"/>
          <w:lang w:val="en-GB"/>
        </w:rPr>
        <w:t>导语</w:t>
      </w:r>
    </w:p>
    <w:p w:rsidR="005D3072" w:rsidRPr="005D3072" w:rsidRDefault="00082426" w:rsidP="005D3072">
      <w:pPr>
        <w:widowControl/>
        <w:spacing w:after="120" w:line="240" w:lineRule="exact"/>
        <w:ind w:left="3430"/>
        <w:rPr>
          <w:rFonts w:ascii="Arial" w:eastAsia="楷体" w:hAnsi="楷体" w:cs="Arial"/>
          <w:color w:val="000000"/>
          <w:kern w:val="0"/>
          <w:szCs w:val="20"/>
          <w:lang w:val="en-GB"/>
        </w:rPr>
      </w:pPr>
      <w:r w:rsidRPr="00082426">
        <w:rPr>
          <w:rFonts w:ascii="Arial" w:eastAsia="楷体" w:hAnsi="楷体" w:cs="Arial"/>
          <w:color w:val="000000"/>
          <w:kern w:val="0"/>
          <w:szCs w:val="20"/>
          <w:lang w:val="en-GB"/>
        </w:rPr>
        <w:t></w:t>
      </w:r>
      <w:r w:rsidRPr="00082426">
        <w:rPr>
          <w:rFonts w:ascii="Arial" w:eastAsia="楷体" w:hAnsi="楷体" w:cs="Arial"/>
          <w:color w:val="000000"/>
          <w:kern w:val="0"/>
          <w:szCs w:val="20"/>
          <w:lang w:val="en-GB"/>
        </w:rPr>
        <w:tab/>
      </w:r>
      <w:proofErr w:type="gramStart"/>
      <w:r w:rsidR="005D3072" w:rsidRPr="005D3072">
        <w:rPr>
          <w:rFonts w:ascii="Arial" w:eastAsia="楷体" w:hAnsi="楷体" w:cs="Arial" w:hint="eastAsia"/>
          <w:color w:val="000000"/>
          <w:kern w:val="0"/>
          <w:szCs w:val="20"/>
          <w:lang w:val="en-GB"/>
        </w:rPr>
        <w:t>凯石工场</w:t>
      </w:r>
      <w:proofErr w:type="gramEnd"/>
      <w:r w:rsidR="005D3072" w:rsidRPr="005D3072">
        <w:rPr>
          <w:rFonts w:ascii="Arial" w:eastAsia="楷体" w:hAnsi="楷体" w:cs="Arial" w:hint="eastAsia"/>
          <w:color w:val="000000"/>
          <w:kern w:val="0"/>
          <w:szCs w:val="20"/>
          <w:lang w:val="en-GB"/>
        </w:rPr>
        <w:t>认为，美国有望在近一两年持续成为全球资金配置的优先地区。美联储于</w:t>
      </w:r>
      <w:r w:rsidR="005D3072" w:rsidRPr="005D3072">
        <w:rPr>
          <w:rFonts w:ascii="Arial" w:eastAsia="楷体" w:hAnsi="楷体" w:cs="Arial"/>
          <w:color w:val="000000"/>
          <w:kern w:val="0"/>
          <w:szCs w:val="20"/>
          <w:lang w:val="en-GB"/>
        </w:rPr>
        <w:t>10</w:t>
      </w:r>
      <w:r w:rsidR="005D3072" w:rsidRPr="005D3072">
        <w:rPr>
          <w:rFonts w:ascii="Arial" w:eastAsia="楷体" w:hAnsi="楷体" w:cs="Arial" w:hint="eastAsia"/>
          <w:color w:val="000000"/>
          <w:kern w:val="0"/>
          <w:szCs w:val="20"/>
          <w:lang w:val="en-GB"/>
        </w:rPr>
        <w:t>月底如期结束</w:t>
      </w:r>
      <w:r w:rsidR="005D3072" w:rsidRPr="005D3072">
        <w:rPr>
          <w:rFonts w:ascii="Arial" w:eastAsia="楷体" w:hAnsi="楷体" w:cs="Arial"/>
          <w:color w:val="000000"/>
          <w:kern w:val="0"/>
          <w:szCs w:val="20"/>
          <w:lang w:val="en-GB"/>
        </w:rPr>
        <w:t>QE3</w:t>
      </w:r>
      <w:r w:rsidR="005D3072" w:rsidRPr="005D3072">
        <w:rPr>
          <w:rFonts w:ascii="Arial" w:eastAsia="楷体" w:hAnsi="楷体" w:cs="Arial" w:hint="eastAsia"/>
          <w:color w:val="000000"/>
          <w:kern w:val="0"/>
          <w:szCs w:val="20"/>
          <w:lang w:val="en-GB"/>
        </w:rPr>
        <w:t>，并继续维持</w:t>
      </w:r>
      <w:r w:rsidR="005D3072" w:rsidRPr="005D3072">
        <w:rPr>
          <w:rFonts w:ascii="Arial" w:eastAsia="楷体" w:hAnsi="楷体" w:cs="Arial"/>
          <w:color w:val="000000"/>
          <w:kern w:val="0"/>
          <w:szCs w:val="20"/>
          <w:lang w:val="en-GB"/>
        </w:rPr>
        <w:t>0~0.25%</w:t>
      </w:r>
      <w:r w:rsidR="005D3072" w:rsidRPr="005D3072">
        <w:rPr>
          <w:rFonts w:ascii="Arial" w:eastAsia="楷体" w:hAnsi="楷体" w:cs="Arial" w:hint="eastAsia"/>
          <w:color w:val="000000"/>
          <w:kern w:val="0"/>
          <w:szCs w:val="20"/>
          <w:lang w:val="en-GB"/>
        </w:rPr>
        <w:t>的超低政策利率“相当长时间内保持不变”，进一步降低了明年春季加息的可能性。</w:t>
      </w:r>
      <w:r w:rsidR="005D3072" w:rsidRPr="005D3072">
        <w:rPr>
          <w:rFonts w:ascii="Arial" w:eastAsia="楷体" w:hAnsi="楷体" w:cs="Arial"/>
          <w:color w:val="000000"/>
          <w:kern w:val="0"/>
          <w:szCs w:val="20"/>
          <w:lang w:val="en-GB"/>
        </w:rPr>
        <w:t>10</w:t>
      </w:r>
      <w:r w:rsidR="005D3072" w:rsidRPr="005D3072">
        <w:rPr>
          <w:rFonts w:ascii="Arial" w:eastAsia="楷体" w:hAnsi="楷体" w:cs="Arial" w:hint="eastAsia"/>
          <w:color w:val="000000"/>
          <w:kern w:val="0"/>
          <w:szCs w:val="20"/>
          <w:lang w:val="en-GB"/>
        </w:rPr>
        <w:t>月份的房地产、消费、就业等各项数据则有力支持了美联储的判断。鉴于经济基本面和流动性两方面均支持美股行情的持续表现，</w:t>
      </w:r>
      <w:proofErr w:type="gramStart"/>
      <w:r w:rsidR="005D3072" w:rsidRPr="005D3072">
        <w:rPr>
          <w:rFonts w:ascii="Arial" w:eastAsia="楷体" w:hAnsi="楷体" w:cs="Arial" w:hint="eastAsia"/>
          <w:color w:val="000000"/>
          <w:kern w:val="0"/>
          <w:szCs w:val="20"/>
          <w:lang w:val="en-GB"/>
        </w:rPr>
        <w:t>凯石工场</w:t>
      </w:r>
      <w:proofErr w:type="gramEnd"/>
      <w:r w:rsidR="005D3072" w:rsidRPr="005D3072">
        <w:rPr>
          <w:rFonts w:ascii="Arial" w:eastAsia="楷体" w:hAnsi="楷体" w:cs="Arial"/>
          <w:color w:val="000000"/>
          <w:kern w:val="0"/>
          <w:szCs w:val="20"/>
          <w:lang w:val="en-GB"/>
        </w:rPr>
        <w:t>11</w:t>
      </w:r>
      <w:r w:rsidR="005D3072" w:rsidRPr="005D3072">
        <w:rPr>
          <w:rFonts w:ascii="Arial" w:eastAsia="楷体" w:hAnsi="楷体" w:cs="Arial" w:hint="eastAsia"/>
          <w:color w:val="000000"/>
          <w:kern w:val="0"/>
          <w:szCs w:val="20"/>
          <w:lang w:val="en-GB"/>
        </w:rPr>
        <w:t>月份</w:t>
      </w:r>
      <w:r w:rsidR="005D3072" w:rsidRPr="005D3072">
        <w:rPr>
          <w:rFonts w:ascii="Arial" w:eastAsia="楷体" w:hAnsi="楷体" w:cs="Arial"/>
          <w:color w:val="000000"/>
          <w:kern w:val="0"/>
          <w:szCs w:val="20"/>
          <w:lang w:val="en-GB"/>
        </w:rPr>
        <w:t>QDII</w:t>
      </w:r>
      <w:r w:rsidR="005D3072" w:rsidRPr="005D3072">
        <w:rPr>
          <w:rFonts w:ascii="Arial" w:eastAsia="楷体" w:hAnsi="楷体" w:cs="Arial" w:hint="eastAsia"/>
          <w:color w:val="000000"/>
          <w:kern w:val="0"/>
          <w:szCs w:val="20"/>
          <w:lang w:val="en-GB"/>
        </w:rPr>
        <w:t>投资策略中，建议</w:t>
      </w:r>
      <w:r w:rsidR="00906028">
        <w:rPr>
          <w:rFonts w:ascii="Arial" w:eastAsia="楷体" w:hAnsi="楷体" w:cs="Arial" w:hint="eastAsia"/>
          <w:color w:val="000000"/>
          <w:kern w:val="0"/>
          <w:szCs w:val="20"/>
          <w:lang w:val="en-GB"/>
        </w:rPr>
        <w:t>相比</w:t>
      </w:r>
      <w:r w:rsidR="00906028">
        <w:rPr>
          <w:rFonts w:ascii="Arial" w:eastAsia="楷体" w:hAnsi="楷体" w:cs="Arial" w:hint="eastAsia"/>
          <w:color w:val="000000"/>
          <w:kern w:val="0"/>
          <w:szCs w:val="20"/>
          <w:lang w:val="en-GB"/>
        </w:rPr>
        <w:t>10</w:t>
      </w:r>
      <w:r w:rsidR="00906028">
        <w:rPr>
          <w:rFonts w:ascii="Arial" w:eastAsia="楷体" w:hAnsi="楷体" w:cs="Arial" w:hint="eastAsia"/>
          <w:color w:val="000000"/>
          <w:kern w:val="0"/>
          <w:szCs w:val="20"/>
          <w:lang w:val="en-GB"/>
        </w:rPr>
        <w:t>月</w:t>
      </w:r>
      <w:r w:rsidR="005D3072" w:rsidRPr="005D3072">
        <w:rPr>
          <w:rFonts w:ascii="Arial" w:eastAsia="楷体" w:hAnsi="楷体" w:cs="Arial" w:hint="eastAsia"/>
          <w:color w:val="000000"/>
          <w:kern w:val="0"/>
          <w:szCs w:val="20"/>
          <w:lang w:val="en-GB"/>
        </w:rPr>
        <w:t>上调美国市场“美股</w:t>
      </w:r>
      <w:r w:rsidR="005D3072" w:rsidRPr="005D3072">
        <w:rPr>
          <w:rFonts w:ascii="Arial" w:eastAsia="楷体" w:hAnsi="楷体" w:cs="Arial"/>
          <w:color w:val="000000"/>
          <w:kern w:val="0"/>
          <w:szCs w:val="20"/>
          <w:lang w:val="en-GB"/>
        </w:rPr>
        <w:t>+</w:t>
      </w:r>
      <w:r w:rsidR="005D3072" w:rsidRPr="005D3072">
        <w:rPr>
          <w:rFonts w:ascii="Arial" w:eastAsia="楷体" w:hAnsi="楷体" w:cs="Arial" w:hint="eastAsia"/>
          <w:color w:val="000000"/>
          <w:kern w:val="0"/>
          <w:szCs w:val="20"/>
          <w:lang w:val="en-GB"/>
        </w:rPr>
        <w:t>美房”的投资比例。</w:t>
      </w:r>
    </w:p>
    <w:p w:rsidR="005D3072" w:rsidRPr="005D3072" w:rsidRDefault="005D3072" w:rsidP="005D3072">
      <w:pPr>
        <w:widowControl/>
        <w:spacing w:after="120" w:line="240" w:lineRule="exact"/>
        <w:ind w:left="3430"/>
        <w:rPr>
          <w:rFonts w:ascii="Arial" w:eastAsia="楷体" w:hAnsi="楷体" w:cs="Arial"/>
          <w:color w:val="000000"/>
          <w:kern w:val="0"/>
          <w:szCs w:val="20"/>
          <w:lang w:val="en-GB"/>
        </w:rPr>
      </w:pPr>
      <w:r w:rsidRPr="005D3072">
        <w:rPr>
          <w:rFonts w:ascii="Arial" w:eastAsia="楷体" w:hAnsi="楷体" w:cs="Arial"/>
          <w:color w:val="000000"/>
          <w:kern w:val="0"/>
          <w:szCs w:val="20"/>
          <w:lang w:val="en-GB"/>
        </w:rPr>
        <w:t></w:t>
      </w:r>
      <w:r w:rsidRPr="005D3072">
        <w:rPr>
          <w:rFonts w:ascii="Arial" w:eastAsia="楷体" w:hAnsi="楷体" w:cs="Arial"/>
          <w:color w:val="000000"/>
          <w:kern w:val="0"/>
          <w:szCs w:val="20"/>
          <w:lang w:val="en-GB"/>
        </w:rPr>
        <w:tab/>
      </w:r>
      <w:r w:rsidRPr="005D3072">
        <w:rPr>
          <w:rFonts w:ascii="Arial" w:eastAsia="楷体" w:hAnsi="楷体" w:cs="Arial" w:hint="eastAsia"/>
          <w:color w:val="000000"/>
          <w:kern w:val="0"/>
          <w:szCs w:val="20"/>
          <w:lang w:val="en-GB"/>
        </w:rPr>
        <w:t>同时，我们继续看好港股在未来的表现。随着国内四中全会的到来，港股市场受益于政策活力，有望释放增长潜力。另外尽管“港股通”箭在弦上迟迟未发，但</w:t>
      </w:r>
      <w:proofErr w:type="gramStart"/>
      <w:r w:rsidRPr="005D3072">
        <w:rPr>
          <w:rFonts w:ascii="Arial" w:eastAsia="楷体" w:hAnsi="楷体" w:cs="Arial" w:hint="eastAsia"/>
          <w:color w:val="000000"/>
          <w:kern w:val="0"/>
          <w:szCs w:val="20"/>
          <w:lang w:val="en-GB"/>
        </w:rPr>
        <w:t>终归将</w:t>
      </w:r>
      <w:proofErr w:type="gramEnd"/>
      <w:r w:rsidRPr="005D3072">
        <w:rPr>
          <w:rFonts w:ascii="Arial" w:eastAsia="楷体" w:hAnsi="楷体" w:cs="Arial" w:hint="eastAsia"/>
          <w:color w:val="000000"/>
          <w:kern w:val="0"/>
          <w:szCs w:val="20"/>
          <w:lang w:val="en-GB"/>
        </w:rPr>
        <w:t>在年内某个时点启动，引发的利好效应值得期待。因此我们建议投资者在</w:t>
      </w:r>
      <w:r w:rsidRPr="005D3072">
        <w:rPr>
          <w:rFonts w:ascii="Arial" w:eastAsia="楷体" w:hAnsi="楷体" w:cs="Arial"/>
          <w:color w:val="000000"/>
          <w:kern w:val="0"/>
          <w:szCs w:val="20"/>
          <w:lang w:val="en-GB"/>
        </w:rPr>
        <w:t>11</w:t>
      </w:r>
      <w:r w:rsidRPr="005D3072">
        <w:rPr>
          <w:rFonts w:ascii="Arial" w:eastAsia="楷体" w:hAnsi="楷体" w:cs="Arial" w:hint="eastAsia"/>
          <w:color w:val="000000"/>
          <w:kern w:val="0"/>
          <w:szCs w:val="20"/>
          <w:lang w:val="en-GB"/>
        </w:rPr>
        <w:t>月份的</w:t>
      </w:r>
      <w:r w:rsidRPr="005D3072">
        <w:rPr>
          <w:rFonts w:ascii="Arial" w:eastAsia="楷体" w:hAnsi="楷体" w:cs="Arial"/>
          <w:color w:val="000000"/>
          <w:kern w:val="0"/>
          <w:szCs w:val="20"/>
          <w:lang w:val="en-GB"/>
        </w:rPr>
        <w:t>QDII</w:t>
      </w:r>
      <w:r w:rsidRPr="005D3072">
        <w:rPr>
          <w:rFonts w:ascii="Arial" w:eastAsia="楷体" w:hAnsi="楷体" w:cs="Arial" w:hint="eastAsia"/>
          <w:color w:val="000000"/>
          <w:kern w:val="0"/>
          <w:szCs w:val="20"/>
          <w:lang w:val="en-GB"/>
        </w:rPr>
        <w:t>基金组合中，采取“美股港股双核心”的均衡配置。</w:t>
      </w:r>
    </w:p>
    <w:p w:rsidR="005D3072" w:rsidRPr="005D3072" w:rsidRDefault="005D3072" w:rsidP="005D3072">
      <w:pPr>
        <w:widowControl/>
        <w:spacing w:after="120" w:line="240" w:lineRule="exact"/>
        <w:ind w:left="3430"/>
        <w:rPr>
          <w:rFonts w:ascii="Arial" w:eastAsia="楷体" w:hAnsi="楷体" w:cs="Arial"/>
          <w:color w:val="000000"/>
          <w:kern w:val="0"/>
          <w:szCs w:val="20"/>
          <w:lang w:val="en-GB"/>
        </w:rPr>
      </w:pPr>
      <w:r w:rsidRPr="005D3072">
        <w:rPr>
          <w:rFonts w:ascii="Arial" w:eastAsia="楷体" w:hAnsi="楷体" w:cs="Arial"/>
          <w:color w:val="000000"/>
          <w:kern w:val="0"/>
          <w:szCs w:val="20"/>
          <w:lang w:val="en-GB"/>
        </w:rPr>
        <w:t></w:t>
      </w:r>
      <w:r w:rsidRPr="005D3072">
        <w:rPr>
          <w:rFonts w:ascii="Arial" w:eastAsia="楷体" w:hAnsi="楷体" w:cs="Arial"/>
          <w:color w:val="000000"/>
          <w:kern w:val="0"/>
          <w:szCs w:val="20"/>
          <w:lang w:val="en-GB"/>
        </w:rPr>
        <w:tab/>
      </w:r>
      <w:r w:rsidRPr="005D3072">
        <w:rPr>
          <w:rFonts w:ascii="Arial" w:eastAsia="楷体" w:hAnsi="楷体" w:cs="Arial" w:hint="eastAsia"/>
          <w:color w:val="000000"/>
          <w:kern w:val="0"/>
          <w:szCs w:val="20"/>
          <w:lang w:val="en-GB"/>
        </w:rPr>
        <w:t>值得注意的是，</w:t>
      </w:r>
      <w:r w:rsidRPr="005D3072">
        <w:rPr>
          <w:rFonts w:ascii="Arial" w:eastAsia="楷体" w:hAnsi="楷体" w:cs="Arial"/>
          <w:color w:val="000000"/>
          <w:kern w:val="0"/>
          <w:szCs w:val="20"/>
          <w:lang w:val="en-GB"/>
        </w:rPr>
        <w:t>QE</w:t>
      </w:r>
      <w:r w:rsidRPr="005D3072">
        <w:rPr>
          <w:rFonts w:ascii="Arial" w:eastAsia="楷体" w:hAnsi="楷体" w:cs="Arial" w:hint="eastAsia"/>
          <w:color w:val="000000"/>
          <w:kern w:val="0"/>
          <w:szCs w:val="20"/>
          <w:lang w:val="en-GB"/>
        </w:rPr>
        <w:t>结束对美国资产价格、金融环境仍有潜在冲击的可能性，同时香港市场尚存“占中”等政治扰动因素，“沪港通”开闸尚未明确。因此建议投资者在</w:t>
      </w:r>
      <w:r w:rsidRPr="005D3072">
        <w:rPr>
          <w:rFonts w:ascii="Arial" w:eastAsia="楷体" w:hAnsi="楷体" w:cs="Arial"/>
          <w:color w:val="000000"/>
          <w:kern w:val="0"/>
          <w:szCs w:val="20"/>
          <w:lang w:val="en-GB"/>
        </w:rPr>
        <w:t>11</w:t>
      </w:r>
      <w:r w:rsidRPr="005D3072">
        <w:rPr>
          <w:rFonts w:ascii="Arial" w:eastAsia="楷体" w:hAnsi="楷体" w:cs="Arial" w:hint="eastAsia"/>
          <w:color w:val="000000"/>
          <w:kern w:val="0"/>
          <w:szCs w:val="20"/>
          <w:lang w:val="en-GB"/>
        </w:rPr>
        <w:t>月份保持严密关注美、港两大市场最新动向，以便及时相机抉择，调整组合锁定收益。</w:t>
      </w:r>
    </w:p>
    <w:p w:rsidR="005D3072" w:rsidRDefault="005D3072" w:rsidP="005D3072">
      <w:pPr>
        <w:widowControl/>
        <w:spacing w:after="120" w:line="240" w:lineRule="exact"/>
        <w:ind w:left="3430"/>
        <w:rPr>
          <w:rFonts w:ascii="Arial" w:eastAsia="楷体" w:hAnsi="楷体" w:cs="Arial"/>
          <w:color w:val="000000"/>
          <w:kern w:val="0"/>
          <w:szCs w:val="20"/>
          <w:lang w:val="en-GB"/>
        </w:rPr>
      </w:pPr>
      <w:r w:rsidRPr="005D3072">
        <w:rPr>
          <w:rFonts w:ascii="Arial" w:eastAsia="楷体" w:hAnsi="楷体" w:cs="Arial"/>
          <w:color w:val="000000"/>
          <w:kern w:val="0"/>
          <w:szCs w:val="20"/>
          <w:lang w:val="en-GB"/>
        </w:rPr>
        <w:t></w:t>
      </w:r>
      <w:r w:rsidRPr="005D3072">
        <w:rPr>
          <w:rFonts w:ascii="Arial" w:eastAsia="楷体" w:hAnsi="楷体" w:cs="Arial"/>
          <w:color w:val="000000"/>
          <w:kern w:val="0"/>
          <w:szCs w:val="20"/>
          <w:lang w:val="en-GB"/>
        </w:rPr>
        <w:tab/>
      </w:r>
      <w:r w:rsidRPr="005D3072">
        <w:rPr>
          <w:rFonts w:ascii="Arial" w:eastAsia="楷体" w:hAnsi="楷体" w:cs="Arial" w:hint="eastAsia"/>
          <w:color w:val="000000"/>
          <w:kern w:val="0"/>
          <w:szCs w:val="20"/>
          <w:lang w:val="en-GB"/>
        </w:rPr>
        <w:t>综上，</w:t>
      </w:r>
      <w:proofErr w:type="gramStart"/>
      <w:r w:rsidRPr="005D3072">
        <w:rPr>
          <w:rFonts w:ascii="Arial" w:eastAsia="楷体" w:hAnsi="楷体" w:cs="Arial" w:hint="eastAsia"/>
          <w:color w:val="000000"/>
          <w:kern w:val="0"/>
          <w:szCs w:val="20"/>
          <w:lang w:val="en-GB"/>
        </w:rPr>
        <w:t>凯石工场</w:t>
      </w:r>
      <w:proofErr w:type="gramEnd"/>
      <w:r w:rsidRPr="005D3072">
        <w:rPr>
          <w:rFonts w:ascii="Arial" w:eastAsia="楷体" w:hAnsi="楷体" w:cs="Arial"/>
          <w:color w:val="000000"/>
          <w:kern w:val="0"/>
          <w:szCs w:val="20"/>
          <w:lang w:val="en-GB"/>
        </w:rPr>
        <w:t>11</w:t>
      </w:r>
      <w:r w:rsidRPr="005D3072">
        <w:rPr>
          <w:rFonts w:ascii="Arial" w:eastAsia="楷体" w:hAnsi="楷体" w:cs="Arial" w:hint="eastAsia"/>
          <w:color w:val="000000"/>
          <w:kern w:val="0"/>
          <w:szCs w:val="20"/>
          <w:lang w:val="en-GB"/>
        </w:rPr>
        <w:t>月份</w:t>
      </w:r>
      <w:r w:rsidRPr="005D3072">
        <w:rPr>
          <w:rFonts w:ascii="Arial" w:eastAsia="楷体" w:hAnsi="楷体" w:cs="Arial"/>
          <w:color w:val="000000"/>
          <w:kern w:val="0"/>
          <w:szCs w:val="20"/>
          <w:lang w:val="en-GB"/>
        </w:rPr>
        <w:t>QDII</w:t>
      </w:r>
      <w:r w:rsidRPr="005D3072">
        <w:rPr>
          <w:rFonts w:ascii="Arial" w:eastAsia="楷体" w:hAnsi="楷体" w:cs="Arial" w:hint="eastAsia"/>
          <w:color w:val="000000"/>
          <w:kern w:val="0"/>
          <w:szCs w:val="20"/>
          <w:lang w:val="en-GB"/>
        </w:rPr>
        <w:t>投资策略为“美股港股双核心”，基金组合包括美股指数基金、投资美国房地产行业股票及</w:t>
      </w:r>
      <w:r w:rsidRPr="005D3072">
        <w:rPr>
          <w:rFonts w:ascii="Arial" w:eastAsia="楷体" w:hAnsi="楷体" w:cs="Arial"/>
          <w:color w:val="000000"/>
          <w:kern w:val="0"/>
          <w:szCs w:val="20"/>
          <w:lang w:val="en-GB"/>
        </w:rPr>
        <w:t>REITs</w:t>
      </w:r>
      <w:r w:rsidRPr="005D3072">
        <w:rPr>
          <w:rFonts w:ascii="Arial" w:eastAsia="楷体" w:hAnsi="楷体" w:cs="Arial" w:hint="eastAsia"/>
          <w:color w:val="000000"/>
          <w:kern w:val="0"/>
          <w:szCs w:val="20"/>
          <w:lang w:val="en-GB"/>
        </w:rPr>
        <w:t>基金、以港股为代表的新兴市场基金，从而在分散区域风险的同时</w:t>
      </w:r>
      <w:proofErr w:type="gramStart"/>
      <w:r w:rsidRPr="005D3072">
        <w:rPr>
          <w:rFonts w:ascii="Arial" w:eastAsia="楷体" w:hAnsi="楷体" w:cs="Arial" w:hint="eastAsia"/>
          <w:color w:val="000000"/>
          <w:kern w:val="0"/>
          <w:szCs w:val="20"/>
          <w:lang w:val="en-GB"/>
        </w:rPr>
        <w:t>有效把</w:t>
      </w:r>
      <w:proofErr w:type="gramEnd"/>
      <w:r w:rsidRPr="005D3072">
        <w:rPr>
          <w:rFonts w:ascii="Arial" w:eastAsia="楷体" w:hAnsi="楷体" w:cs="Arial" w:hint="eastAsia"/>
          <w:color w:val="000000"/>
          <w:kern w:val="0"/>
          <w:szCs w:val="20"/>
          <w:lang w:val="en-GB"/>
        </w:rPr>
        <w:t>握住阶段行情。具体产品推荐富国中国中小盘、华夏恒生</w:t>
      </w:r>
      <w:r w:rsidRPr="005D3072">
        <w:rPr>
          <w:rFonts w:ascii="Arial" w:eastAsia="楷体" w:hAnsi="楷体" w:cs="Arial"/>
          <w:color w:val="000000"/>
          <w:kern w:val="0"/>
          <w:szCs w:val="20"/>
          <w:lang w:val="en-GB"/>
        </w:rPr>
        <w:t>ETF</w:t>
      </w:r>
      <w:r w:rsidRPr="005D3072">
        <w:rPr>
          <w:rFonts w:ascii="Arial" w:eastAsia="楷体" w:hAnsi="楷体" w:cs="Arial" w:hint="eastAsia"/>
          <w:color w:val="000000"/>
          <w:kern w:val="0"/>
          <w:szCs w:val="20"/>
          <w:lang w:val="en-GB"/>
        </w:rPr>
        <w:t>基金、嘉实恒生中国企业基金、博时大中华亚太精选基金、国泰纳斯达克</w:t>
      </w:r>
      <w:r w:rsidRPr="005D3072">
        <w:rPr>
          <w:rFonts w:ascii="Arial" w:eastAsia="楷体" w:hAnsi="楷体" w:cs="Arial"/>
          <w:color w:val="000000"/>
          <w:kern w:val="0"/>
          <w:szCs w:val="20"/>
          <w:lang w:val="en-GB"/>
        </w:rPr>
        <w:t>100</w:t>
      </w:r>
      <w:r w:rsidRPr="005D3072">
        <w:rPr>
          <w:rFonts w:ascii="Arial" w:eastAsia="楷体" w:hAnsi="楷体" w:cs="Arial" w:hint="eastAsia"/>
          <w:color w:val="000000"/>
          <w:kern w:val="0"/>
          <w:szCs w:val="20"/>
          <w:lang w:val="en-GB"/>
        </w:rPr>
        <w:t>指数基金、</w:t>
      </w:r>
      <w:proofErr w:type="gramStart"/>
      <w:r w:rsidRPr="005D3072">
        <w:rPr>
          <w:rFonts w:ascii="Arial" w:eastAsia="楷体" w:hAnsi="楷体" w:cs="Arial" w:hint="eastAsia"/>
          <w:color w:val="000000"/>
          <w:kern w:val="0"/>
          <w:szCs w:val="20"/>
          <w:lang w:val="en-GB"/>
        </w:rPr>
        <w:t>大成标普</w:t>
      </w:r>
      <w:r w:rsidRPr="005D3072">
        <w:rPr>
          <w:rFonts w:ascii="Arial" w:eastAsia="楷体" w:hAnsi="楷体" w:cs="Arial"/>
          <w:color w:val="000000"/>
          <w:kern w:val="0"/>
          <w:szCs w:val="20"/>
          <w:lang w:val="en-GB"/>
        </w:rPr>
        <w:t>500</w:t>
      </w:r>
      <w:r w:rsidRPr="005D3072">
        <w:rPr>
          <w:rFonts w:ascii="Arial" w:eastAsia="楷体" w:hAnsi="楷体" w:cs="Arial" w:hint="eastAsia"/>
          <w:color w:val="000000"/>
          <w:kern w:val="0"/>
          <w:szCs w:val="20"/>
          <w:lang w:val="en-GB"/>
        </w:rPr>
        <w:t>等</w:t>
      </w:r>
      <w:proofErr w:type="gramEnd"/>
      <w:r w:rsidRPr="005D3072">
        <w:rPr>
          <w:rFonts w:ascii="Arial" w:eastAsia="楷体" w:hAnsi="楷体" w:cs="Arial" w:hint="eastAsia"/>
          <w:color w:val="000000"/>
          <w:kern w:val="0"/>
          <w:szCs w:val="20"/>
          <w:lang w:val="en-GB"/>
        </w:rPr>
        <w:t>权重指数基金、鹏华美国房地产基金。</w:t>
      </w:r>
    </w:p>
    <w:p w:rsidR="00330DE1" w:rsidRDefault="00330DE1" w:rsidP="005D3072">
      <w:pPr>
        <w:widowControl/>
        <w:spacing w:after="120" w:line="240" w:lineRule="exact"/>
        <w:ind w:left="3430"/>
        <w:rPr>
          <w:rFonts w:ascii="楷体" w:eastAsia="楷体" w:hAnsi="楷体" w:cs="Times New Roman"/>
          <w:b/>
          <w:bCs/>
          <w:color w:val="0070C0"/>
          <w:kern w:val="0"/>
          <w:sz w:val="24"/>
          <w:szCs w:val="20"/>
          <w:lang w:val="en-GB"/>
        </w:rPr>
      </w:pPr>
      <w:r>
        <w:rPr>
          <w:rFonts w:ascii="楷体" w:eastAsia="楷体" w:hAnsi="楷体" w:cs="Times New Roman" w:hint="eastAsia"/>
          <w:b/>
          <w:bCs/>
          <w:color w:val="0070C0"/>
          <w:kern w:val="0"/>
          <w:sz w:val="24"/>
          <w:szCs w:val="20"/>
          <w:lang w:val="en-GB"/>
        </w:rPr>
        <w:t>一、QDII基金</w:t>
      </w:r>
      <w:r w:rsidR="00807390">
        <w:rPr>
          <w:rFonts w:ascii="楷体" w:eastAsia="楷体" w:hAnsi="楷体" w:cs="Times New Roman" w:hint="eastAsia"/>
          <w:b/>
          <w:bCs/>
          <w:color w:val="0070C0"/>
          <w:kern w:val="0"/>
          <w:sz w:val="24"/>
          <w:szCs w:val="20"/>
          <w:lang w:val="en-GB"/>
        </w:rPr>
        <w:t>10月份</w:t>
      </w:r>
      <w:r>
        <w:rPr>
          <w:rFonts w:ascii="楷体" w:eastAsia="楷体" w:hAnsi="楷体" w:cs="Times New Roman" w:hint="eastAsia"/>
          <w:b/>
          <w:bCs/>
          <w:color w:val="0070C0"/>
          <w:kern w:val="0"/>
          <w:sz w:val="24"/>
          <w:szCs w:val="20"/>
          <w:lang w:val="en-GB"/>
        </w:rPr>
        <w:t>收益情况</w:t>
      </w:r>
    </w:p>
    <w:p w:rsidR="00330DE1" w:rsidRDefault="002B20ED" w:rsidP="00330DE1">
      <w:pPr>
        <w:pStyle w:val="ab"/>
        <w:spacing w:after="163"/>
        <w:rPr>
          <w:rFonts w:ascii="楷体" w:eastAsia="楷体" w:hAnsi="楷体"/>
        </w:rPr>
      </w:pPr>
      <w:r>
        <w:rPr>
          <w:rFonts w:ascii="楷体" w:eastAsia="楷体" w:hAnsi="楷体" w:hint="eastAsia"/>
          <w:b/>
          <w:bCs/>
          <w:color w:val="0070C0"/>
          <w:szCs w:val="21"/>
        </w:rPr>
        <w:t>全球股市止跌反弹，</w:t>
      </w:r>
      <w:r w:rsidR="003273A2">
        <w:rPr>
          <w:rFonts w:ascii="楷体" w:eastAsia="楷体" w:hAnsi="楷体" w:hint="eastAsia"/>
          <w:b/>
          <w:bCs/>
          <w:color w:val="0070C0"/>
          <w:szCs w:val="21"/>
        </w:rPr>
        <w:t>“美房”基金强势领跑</w:t>
      </w:r>
    </w:p>
    <w:p w:rsidR="00AE6C1F" w:rsidRPr="00AE6C1F" w:rsidRDefault="00B90A31" w:rsidP="00330DE1">
      <w:pPr>
        <w:pStyle w:val="ab"/>
        <w:numPr>
          <w:ilvl w:val="4"/>
          <w:numId w:val="1"/>
        </w:numPr>
        <w:spacing w:after="163"/>
        <w:rPr>
          <w:rFonts w:eastAsia="楷体" w:cs="Arial"/>
        </w:rPr>
      </w:pPr>
      <w:r>
        <w:rPr>
          <w:rFonts w:eastAsia="楷体" w:cs="Arial" w:hint="eastAsia"/>
        </w:rPr>
        <w:t>10</w:t>
      </w:r>
      <w:r>
        <w:rPr>
          <w:rFonts w:eastAsia="楷体" w:cs="Arial" w:hint="eastAsia"/>
        </w:rPr>
        <w:t>月份</w:t>
      </w:r>
      <w:r w:rsidR="00675A71">
        <w:rPr>
          <w:rFonts w:eastAsia="楷体" w:cs="Arial" w:hint="eastAsia"/>
        </w:rPr>
        <w:t>的全球股票市场</w:t>
      </w:r>
      <w:r w:rsidR="00AE6C1F">
        <w:rPr>
          <w:rFonts w:eastAsia="楷体" w:cs="Arial" w:hint="eastAsia"/>
        </w:rPr>
        <w:t>总体</w:t>
      </w:r>
      <w:r w:rsidR="00675A71">
        <w:rPr>
          <w:rFonts w:eastAsia="楷体" w:cs="Arial" w:hint="eastAsia"/>
        </w:rPr>
        <w:t>呈“</w:t>
      </w:r>
      <w:r w:rsidR="00675A71">
        <w:rPr>
          <w:rFonts w:eastAsia="楷体" w:cs="Arial" w:hint="eastAsia"/>
        </w:rPr>
        <w:t>V</w:t>
      </w:r>
      <w:r w:rsidR="00675A71">
        <w:rPr>
          <w:rFonts w:eastAsia="楷体" w:cs="Arial" w:hint="eastAsia"/>
        </w:rPr>
        <w:t>”型走势，上半月延续</w:t>
      </w:r>
      <w:r w:rsidR="00675A71">
        <w:rPr>
          <w:rFonts w:eastAsia="楷体" w:cs="Arial" w:hint="eastAsia"/>
        </w:rPr>
        <w:t>9</w:t>
      </w:r>
      <w:r w:rsidR="00675A71">
        <w:rPr>
          <w:rFonts w:eastAsia="楷体" w:cs="Arial" w:hint="eastAsia"/>
        </w:rPr>
        <w:t>月以来的跌势，月中下旬掀起反弹，尤以美股反弹力度最大</w:t>
      </w:r>
      <w:r w:rsidR="00AE6C1F">
        <w:rPr>
          <w:rFonts w:eastAsia="楷体" w:cs="Arial" w:hint="eastAsia"/>
        </w:rPr>
        <w:t>，</w:t>
      </w:r>
      <w:r w:rsidR="00AE6C1F" w:rsidRPr="00864263">
        <w:rPr>
          <w:rFonts w:eastAsia="楷体" w:cs="Arial" w:hint="eastAsia"/>
        </w:rPr>
        <w:t>道琼斯工业、</w:t>
      </w:r>
      <w:proofErr w:type="gramStart"/>
      <w:r w:rsidR="00AE6C1F" w:rsidRPr="00864263">
        <w:rPr>
          <w:rFonts w:eastAsia="楷体" w:cs="Arial" w:hint="eastAsia"/>
        </w:rPr>
        <w:t>标普</w:t>
      </w:r>
      <w:proofErr w:type="gramEnd"/>
      <w:r w:rsidR="00AE6C1F" w:rsidRPr="00864263">
        <w:rPr>
          <w:rFonts w:eastAsia="楷体" w:cs="Arial" w:hint="eastAsia"/>
        </w:rPr>
        <w:t>500</w:t>
      </w:r>
      <w:r w:rsidR="00AE6C1F" w:rsidRPr="00864263">
        <w:rPr>
          <w:rFonts w:eastAsia="楷体" w:cs="Arial" w:hint="eastAsia"/>
        </w:rPr>
        <w:t>和纳斯达克</w:t>
      </w:r>
      <w:r w:rsidR="00AE6C1F" w:rsidRPr="00864263">
        <w:rPr>
          <w:rFonts w:eastAsia="楷体" w:cs="Arial" w:hint="eastAsia"/>
        </w:rPr>
        <w:t>100</w:t>
      </w:r>
      <w:r w:rsidR="00AE6C1F" w:rsidRPr="00864263">
        <w:rPr>
          <w:rFonts w:eastAsia="楷体" w:cs="Arial" w:hint="eastAsia"/>
        </w:rPr>
        <w:t>指数分别上涨了</w:t>
      </w:r>
      <w:r w:rsidR="00AE6C1F" w:rsidRPr="00864263">
        <w:rPr>
          <w:rFonts w:eastAsia="楷体" w:cs="Arial" w:hint="eastAsia"/>
        </w:rPr>
        <w:t>2.04%</w:t>
      </w:r>
      <w:r w:rsidR="00AE6C1F" w:rsidRPr="00864263">
        <w:rPr>
          <w:rFonts w:eastAsia="楷体" w:cs="Arial" w:hint="eastAsia"/>
        </w:rPr>
        <w:t>、</w:t>
      </w:r>
      <w:r w:rsidR="00AE6C1F" w:rsidRPr="00864263">
        <w:rPr>
          <w:rFonts w:eastAsia="楷体" w:cs="Arial" w:hint="eastAsia"/>
        </w:rPr>
        <w:t>2.32%</w:t>
      </w:r>
      <w:r w:rsidR="00AE6C1F" w:rsidRPr="00864263">
        <w:rPr>
          <w:rFonts w:eastAsia="楷体" w:cs="Arial" w:hint="eastAsia"/>
        </w:rPr>
        <w:t>、</w:t>
      </w:r>
      <w:r w:rsidR="00AE6C1F" w:rsidRPr="00864263">
        <w:rPr>
          <w:rFonts w:eastAsia="楷体" w:cs="Arial" w:hint="eastAsia"/>
        </w:rPr>
        <w:t>2.69%</w:t>
      </w:r>
      <w:r w:rsidR="00675A71">
        <w:rPr>
          <w:rFonts w:eastAsia="楷体" w:cs="Arial" w:hint="eastAsia"/>
        </w:rPr>
        <w:t>。</w:t>
      </w:r>
      <w:r w:rsidR="00AE6C1F" w:rsidRPr="00864263">
        <w:rPr>
          <w:rFonts w:eastAsia="楷体" w:cs="Arial" w:hint="eastAsia"/>
        </w:rPr>
        <w:t>欧洲市场受制于通缩和经济压力继续小幅下跌。亚太及新兴市场基本企稳反弹，日经</w:t>
      </w:r>
      <w:r w:rsidR="00AE6C1F" w:rsidRPr="00864263">
        <w:rPr>
          <w:rFonts w:eastAsia="楷体" w:cs="Arial" w:hint="eastAsia"/>
        </w:rPr>
        <w:t>225</w:t>
      </w:r>
      <w:r w:rsidR="00AE6C1F" w:rsidRPr="00864263">
        <w:rPr>
          <w:rFonts w:eastAsia="楷体" w:cs="Arial" w:hint="eastAsia"/>
        </w:rPr>
        <w:t>指数涨</w:t>
      </w:r>
      <w:r w:rsidR="00AE6C1F" w:rsidRPr="00864263">
        <w:rPr>
          <w:rFonts w:eastAsia="楷体" w:cs="Arial" w:hint="eastAsia"/>
        </w:rPr>
        <w:t>1.49%</w:t>
      </w:r>
      <w:r w:rsidR="00AE6C1F" w:rsidRPr="00864263">
        <w:rPr>
          <w:rFonts w:eastAsia="楷体" w:cs="Arial" w:hint="eastAsia"/>
        </w:rPr>
        <w:t>，恒生指数反弹</w:t>
      </w:r>
      <w:r w:rsidR="00AE6C1F" w:rsidRPr="00864263">
        <w:rPr>
          <w:rFonts w:eastAsia="楷体" w:cs="Arial" w:hint="eastAsia"/>
        </w:rPr>
        <w:t>4.64%</w:t>
      </w:r>
      <w:r w:rsidR="00AE6C1F" w:rsidRPr="00864263">
        <w:rPr>
          <w:rFonts w:eastAsia="楷体" w:cs="Arial" w:hint="eastAsia"/>
        </w:rPr>
        <w:t>，印度股指涨</w:t>
      </w:r>
      <w:r w:rsidR="00AE6C1F" w:rsidRPr="00864263">
        <w:rPr>
          <w:rFonts w:eastAsia="楷体" w:cs="Arial" w:hint="eastAsia"/>
        </w:rPr>
        <w:t>4.64%</w:t>
      </w:r>
      <w:r w:rsidR="00AE6C1F" w:rsidRPr="00864263">
        <w:rPr>
          <w:rFonts w:eastAsia="楷体" w:cs="Arial" w:hint="eastAsia"/>
        </w:rPr>
        <w:t>，巴西股指微涨</w:t>
      </w:r>
      <w:r w:rsidR="00AE6C1F" w:rsidRPr="00864263">
        <w:rPr>
          <w:rFonts w:eastAsia="楷体" w:cs="Arial" w:hint="eastAsia"/>
        </w:rPr>
        <w:t>0.95%</w:t>
      </w:r>
      <w:r w:rsidR="00AE6C1F" w:rsidRPr="00864263">
        <w:rPr>
          <w:rFonts w:eastAsia="楷体" w:cs="Arial" w:hint="eastAsia"/>
        </w:rPr>
        <w:t>。大宗商品方面，</w:t>
      </w:r>
      <w:r w:rsidR="00D06A97">
        <w:rPr>
          <w:rFonts w:eastAsia="楷体" w:cs="Arial" w:hint="eastAsia"/>
        </w:rPr>
        <w:t>美经济基本面向好、</w:t>
      </w:r>
      <w:r w:rsidR="00AE6C1F" w:rsidRPr="00864263">
        <w:rPr>
          <w:rFonts w:eastAsia="楷体" w:cs="Arial" w:hint="eastAsia"/>
        </w:rPr>
        <w:t>美元强势导致黄金等贵金属价格下跌，沙特原油增长则令能源、油气等资源品价格出现较大跌幅。</w:t>
      </w:r>
    </w:p>
    <w:p w:rsidR="00330DE1" w:rsidRDefault="00AE6C1F" w:rsidP="00330DE1">
      <w:pPr>
        <w:pStyle w:val="ab"/>
        <w:numPr>
          <w:ilvl w:val="4"/>
          <w:numId w:val="1"/>
        </w:numPr>
        <w:spacing w:after="163"/>
        <w:rPr>
          <w:rFonts w:eastAsia="楷体" w:cs="Arial"/>
        </w:rPr>
      </w:pPr>
      <w:proofErr w:type="gramStart"/>
      <w:r w:rsidRPr="00864263">
        <w:rPr>
          <w:rFonts w:eastAsia="楷体" w:cs="Arial" w:hint="eastAsia"/>
        </w:rPr>
        <w:t>凯石工场研究</w:t>
      </w:r>
      <w:proofErr w:type="gramEnd"/>
      <w:r w:rsidRPr="00864263">
        <w:rPr>
          <w:rFonts w:eastAsia="楷体" w:cs="Arial" w:hint="eastAsia"/>
        </w:rPr>
        <w:t>覆盖的</w:t>
      </w:r>
      <w:r w:rsidRPr="00864263">
        <w:rPr>
          <w:rFonts w:eastAsia="楷体" w:cs="Arial" w:hint="eastAsia"/>
        </w:rPr>
        <w:t>91</w:t>
      </w:r>
      <w:r w:rsidRPr="00864263">
        <w:rPr>
          <w:rFonts w:eastAsia="楷体" w:cs="Arial" w:hint="eastAsia"/>
        </w:rPr>
        <w:t>只</w:t>
      </w:r>
      <w:r w:rsidRPr="00864263">
        <w:rPr>
          <w:rFonts w:eastAsia="楷体" w:cs="Arial" w:hint="eastAsia"/>
        </w:rPr>
        <w:t>QDII</w:t>
      </w:r>
      <w:r w:rsidRPr="00864263">
        <w:rPr>
          <w:rFonts w:eastAsia="楷体" w:cs="Arial" w:hint="eastAsia"/>
        </w:rPr>
        <w:t>基金在</w:t>
      </w:r>
      <w:r w:rsidRPr="00864263">
        <w:rPr>
          <w:rFonts w:eastAsia="楷体" w:cs="Arial" w:hint="eastAsia"/>
        </w:rPr>
        <w:t>10</w:t>
      </w:r>
      <w:r w:rsidRPr="00864263">
        <w:rPr>
          <w:rFonts w:eastAsia="楷体" w:cs="Arial" w:hint="eastAsia"/>
        </w:rPr>
        <w:t>月份大部分</w:t>
      </w:r>
      <w:r w:rsidR="002B20ED" w:rsidRPr="00864263">
        <w:rPr>
          <w:rFonts w:eastAsia="楷体" w:cs="Arial" w:hint="eastAsia"/>
        </w:rPr>
        <w:t>随市</w:t>
      </w:r>
      <w:r w:rsidRPr="00864263">
        <w:rPr>
          <w:rFonts w:eastAsia="楷体" w:cs="Arial" w:hint="eastAsia"/>
        </w:rPr>
        <w:t>收涨，</w:t>
      </w:r>
      <w:r w:rsidR="00B90A31">
        <w:rPr>
          <w:rFonts w:eastAsia="楷体" w:cs="Arial" w:hint="eastAsia"/>
        </w:rPr>
        <w:t>平均</w:t>
      </w:r>
      <w:r>
        <w:rPr>
          <w:rFonts w:eastAsia="楷体" w:cs="Arial" w:hint="eastAsia"/>
        </w:rPr>
        <w:t>收益</w:t>
      </w:r>
      <w:r w:rsidR="00B90A31">
        <w:rPr>
          <w:rFonts w:eastAsia="楷体" w:cs="Arial" w:hint="eastAsia"/>
        </w:rPr>
        <w:t>1.21%</w:t>
      </w:r>
      <w:r>
        <w:rPr>
          <w:rFonts w:eastAsia="楷体" w:cs="Arial" w:hint="eastAsia"/>
        </w:rPr>
        <w:t>。</w:t>
      </w:r>
      <w:r w:rsidR="002B20ED">
        <w:rPr>
          <w:rFonts w:eastAsia="楷体" w:cs="Arial" w:hint="eastAsia"/>
        </w:rPr>
        <w:t>涨幅居前的依然</w:t>
      </w:r>
      <w:proofErr w:type="gramStart"/>
      <w:r w:rsidR="002B20ED">
        <w:rPr>
          <w:rFonts w:eastAsia="楷体" w:cs="Arial" w:hint="eastAsia"/>
        </w:rPr>
        <w:t>是</w:t>
      </w:r>
      <w:r w:rsidR="00FA6D6F">
        <w:rPr>
          <w:rFonts w:eastAsia="楷体" w:cs="Arial" w:hint="eastAsia"/>
        </w:rPr>
        <w:t>主投美国</w:t>
      </w:r>
      <w:proofErr w:type="gramEnd"/>
      <w:r w:rsidR="00FA6D6F">
        <w:rPr>
          <w:rFonts w:eastAsia="楷体" w:cs="Arial" w:hint="eastAsia"/>
        </w:rPr>
        <w:t>房地产行业的品种，业绩前</w:t>
      </w:r>
      <w:r w:rsidR="00FA6D6F">
        <w:rPr>
          <w:rFonts w:eastAsia="楷体" w:cs="Arial" w:hint="eastAsia"/>
        </w:rPr>
        <w:t>5</w:t>
      </w:r>
      <w:r w:rsidR="00FA6D6F">
        <w:rPr>
          <w:rFonts w:eastAsia="楷体" w:cs="Arial" w:hint="eastAsia"/>
        </w:rPr>
        <w:t>中有</w:t>
      </w:r>
      <w:r w:rsidR="00FA6D6F">
        <w:rPr>
          <w:rFonts w:eastAsia="楷体" w:cs="Arial" w:hint="eastAsia"/>
        </w:rPr>
        <w:t>4</w:t>
      </w:r>
      <w:r w:rsidR="00FA6D6F">
        <w:rPr>
          <w:rFonts w:eastAsia="楷体" w:cs="Arial" w:hint="eastAsia"/>
        </w:rPr>
        <w:t>只“美房”，领先的</w:t>
      </w:r>
      <w:proofErr w:type="gramStart"/>
      <w:r w:rsidR="00FA6D6F" w:rsidRPr="00FA6D6F">
        <w:rPr>
          <w:rFonts w:eastAsia="楷体" w:cs="Arial" w:hint="eastAsia"/>
        </w:rPr>
        <w:t>诺安全球收益</w:t>
      </w:r>
      <w:proofErr w:type="gramEnd"/>
      <w:r w:rsidR="00FA6D6F" w:rsidRPr="00FA6D6F">
        <w:rPr>
          <w:rFonts w:eastAsia="楷体" w:cs="Arial" w:hint="eastAsia"/>
        </w:rPr>
        <w:t>不动产</w:t>
      </w:r>
      <w:r w:rsidR="00FA6D6F">
        <w:rPr>
          <w:rFonts w:eastAsia="楷体" w:cs="Arial" w:hint="eastAsia"/>
        </w:rPr>
        <w:t>月度涨幅达</w:t>
      </w:r>
      <w:r w:rsidR="00FA6D6F">
        <w:rPr>
          <w:rFonts w:eastAsia="楷体" w:cs="Arial" w:hint="eastAsia"/>
        </w:rPr>
        <w:t>10.24%</w:t>
      </w:r>
      <w:r w:rsidR="00FA6D6F">
        <w:rPr>
          <w:rFonts w:eastAsia="楷体" w:cs="Arial" w:hint="eastAsia"/>
        </w:rPr>
        <w:t>。</w:t>
      </w:r>
      <w:r w:rsidR="00FA6D6F">
        <w:rPr>
          <w:rFonts w:eastAsia="楷体" w:cs="Arial"/>
        </w:rPr>
        <w:t>按投资领域</w:t>
      </w:r>
      <w:r>
        <w:rPr>
          <w:rFonts w:eastAsia="楷体" w:cs="Arial"/>
        </w:rPr>
        <w:t>来看，</w:t>
      </w:r>
      <w:r w:rsidR="002B20ED">
        <w:rPr>
          <w:rFonts w:eastAsia="楷体" w:cs="Arial" w:hint="eastAsia"/>
        </w:rPr>
        <w:t>13</w:t>
      </w:r>
      <w:r w:rsidR="002B20ED">
        <w:rPr>
          <w:rFonts w:eastAsia="楷体" w:cs="Arial" w:hint="eastAsia"/>
        </w:rPr>
        <w:t>只美股基金均涨</w:t>
      </w:r>
      <w:r w:rsidR="002B20ED">
        <w:rPr>
          <w:rFonts w:eastAsia="楷体" w:cs="Arial" w:hint="eastAsia"/>
        </w:rPr>
        <w:t>2.07%</w:t>
      </w:r>
      <w:r w:rsidR="002B20ED">
        <w:rPr>
          <w:rFonts w:eastAsia="楷体" w:cs="Arial" w:hint="eastAsia"/>
        </w:rPr>
        <w:t>，除</w:t>
      </w:r>
      <w:r w:rsidR="002B20ED">
        <w:rPr>
          <w:rFonts w:eastAsia="楷体" w:cs="Arial" w:hint="eastAsia"/>
        </w:rPr>
        <w:t>1</w:t>
      </w:r>
      <w:r w:rsidR="002B20ED">
        <w:rPr>
          <w:rFonts w:eastAsia="楷体" w:cs="Arial" w:hint="eastAsia"/>
        </w:rPr>
        <w:t>只投资油气导致</w:t>
      </w:r>
      <w:proofErr w:type="gramStart"/>
      <w:r w:rsidR="002B20ED">
        <w:rPr>
          <w:rFonts w:eastAsia="楷体" w:cs="Arial" w:hint="eastAsia"/>
        </w:rPr>
        <w:t>跌幅超</w:t>
      </w:r>
      <w:proofErr w:type="gramEnd"/>
      <w:r w:rsidR="002B20ED">
        <w:rPr>
          <w:rFonts w:eastAsia="楷体" w:cs="Arial" w:hint="eastAsia"/>
        </w:rPr>
        <w:t>10%</w:t>
      </w:r>
      <w:r w:rsidR="002B20ED">
        <w:rPr>
          <w:rFonts w:eastAsia="楷体" w:cs="Arial" w:hint="eastAsia"/>
        </w:rPr>
        <w:t>外，其余均取得正收益；</w:t>
      </w:r>
      <w:r w:rsidR="002B20ED">
        <w:rPr>
          <w:rFonts w:eastAsia="楷体" w:cs="Arial" w:hint="eastAsia"/>
        </w:rPr>
        <w:t>28</w:t>
      </w:r>
      <w:r w:rsidR="002B20ED">
        <w:rPr>
          <w:rFonts w:eastAsia="楷体" w:cs="Arial" w:hint="eastAsia"/>
        </w:rPr>
        <w:t>只亚太与新兴市场基金平均收益</w:t>
      </w:r>
      <w:r w:rsidR="002B20ED">
        <w:rPr>
          <w:rFonts w:eastAsia="楷体" w:cs="Arial" w:hint="eastAsia"/>
        </w:rPr>
        <w:t>2.61%</w:t>
      </w:r>
      <w:r w:rsidR="002B20ED">
        <w:rPr>
          <w:rFonts w:eastAsia="楷体" w:cs="Arial" w:hint="eastAsia"/>
        </w:rPr>
        <w:t>，仅</w:t>
      </w:r>
      <w:r w:rsidR="002B20ED">
        <w:rPr>
          <w:rFonts w:eastAsia="楷体" w:cs="Arial" w:hint="eastAsia"/>
        </w:rPr>
        <w:t>1</w:t>
      </w:r>
      <w:r w:rsidR="002B20ED">
        <w:rPr>
          <w:rFonts w:eastAsia="楷体" w:cs="Arial" w:hint="eastAsia"/>
        </w:rPr>
        <w:t>只小幅下跌</w:t>
      </w:r>
      <w:r w:rsidR="002B20ED">
        <w:rPr>
          <w:rFonts w:eastAsia="楷体" w:cs="Arial" w:hint="eastAsia"/>
        </w:rPr>
        <w:t>1</w:t>
      </w:r>
      <w:r w:rsidR="002B20ED">
        <w:rPr>
          <w:rFonts w:eastAsia="楷体" w:cs="Arial" w:hint="eastAsia"/>
        </w:rPr>
        <w:t>个点，其余皆收正；而商品基金下跌明显，仅有</w:t>
      </w:r>
      <w:proofErr w:type="gramStart"/>
      <w:r w:rsidR="002B20ED" w:rsidRPr="002B20ED">
        <w:rPr>
          <w:rFonts w:eastAsia="楷体" w:cs="Arial" w:hint="eastAsia"/>
        </w:rPr>
        <w:t>博时抗通胀</w:t>
      </w:r>
      <w:proofErr w:type="gramEnd"/>
      <w:r w:rsidR="002B20ED">
        <w:rPr>
          <w:rFonts w:eastAsia="楷体" w:cs="Arial" w:hint="eastAsia"/>
        </w:rPr>
        <w:t>取得了</w:t>
      </w:r>
      <w:r w:rsidR="002B20ED">
        <w:rPr>
          <w:rFonts w:eastAsia="楷体" w:cs="Arial" w:hint="eastAsia"/>
        </w:rPr>
        <w:t>0.45%</w:t>
      </w:r>
      <w:r w:rsidR="002B20ED">
        <w:rPr>
          <w:rFonts w:eastAsia="楷体" w:cs="Arial" w:hint="eastAsia"/>
        </w:rPr>
        <w:t>的正收益。</w:t>
      </w:r>
    </w:p>
    <w:tbl>
      <w:tblPr>
        <w:tblW w:w="7442" w:type="dxa"/>
        <w:tblInd w:w="340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7442"/>
      </w:tblGrid>
      <w:tr w:rsidR="00330DE1" w:rsidRPr="00FC54FE" w:rsidTr="0093179F">
        <w:trPr>
          <w:cantSplit/>
          <w:trHeight w:val="65"/>
        </w:trPr>
        <w:tc>
          <w:tcPr>
            <w:tcW w:w="7442" w:type="dxa"/>
            <w:shd w:val="clear" w:color="auto" w:fill="auto"/>
            <w:vAlign w:val="center"/>
          </w:tcPr>
          <w:p w:rsidR="00330DE1" w:rsidRPr="00FC54FE" w:rsidRDefault="00330DE1" w:rsidP="004B4236">
            <w:pPr>
              <w:pStyle w:val="SubTitleLargeTable"/>
              <w:pBdr>
                <w:top w:val="none" w:sz="0" w:space="0" w:color="auto"/>
              </w:pBdr>
              <w:rPr>
                <w:rFonts w:ascii="楷体" w:eastAsia="楷体" w:hAnsi="楷体"/>
                <w:b w:val="0"/>
                <w:color w:val="FF6600"/>
              </w:rPr>
            </w:pPr>
            <w:r w:rsidRPr="00FC54FE">
              <w:rPr>
                <w:rFonts w:ascii="楷体" w:eastAsia="楷体" w:hAnsi="楷体"/>
                <w:color w:val="FF6600"/>
              </w:rPr>
              <w:lastRenderedPageBreak/>
              <w:t>图表</w:t>
            </w:r>
            <w:r w:rsidRPr="00FC54FE">
              <w:rPr>
                <w:rFonts w:ascii="楷体" w:eastAsia="楷体" w:hAnsi="楷体" w:hint="eastAsia"/>
                <w:color w:val="FF6600"/>
              </w:rPr>
              <w:t>1：</w:t>
            </w:r>
            <w:r w:rsidRPr="00FC54FE">
              <w:rPr>
                <w:rFonts w:ascii="楷体" w:eastAsia="楷体" w:hAnsi="楷体"/>
                <w:b w:val="0"/>
                <w:color w:val="FF6600"/>
              </w:rPr>
              <w:t xml:space="preserve"> </w:t>
            </w:r>
            <w:r w:rsidR="004B4236">
              <w:rPr>
                <w:rFonts w:ascii="楷体" w:eastAsia="楷体" w:hAnsi="楷体" w:hint="eastAsia"/>
                <w:color w:val="FF6600"/>
              </w:rPr>
              <w:t>10月份</w:t>
            </w:r>
            <w:r>
              <w:rPr>
                <w:rFonts w:ascii="楷体" w:eastAsia="楷体" w:hAnsi="楷体"/>
                <w:color w:val="FF6600"/>
              </w:rPr>
              <w:t>各</w:t>
            </w:r>
            <w:r w:rsidRPr="007F54BB">
              <w:rPr>
                <w:rFonts w:ascii="楷体" w:eastAsia="楷体" w:hAnsi="楷体"/>
                <w:color w:val="FF6600"/>
              </w:rPr>
              <w:t>类</w:t>
            </w:r>
            <w:r w:rsidR="004B4236">
              <w:rPr>
                <w:rFonts w:ascii="楷体" w:eastAsia="楷体" w:hAnsi="楷体"/>
                <w:color w:val="FF6600"/>
              </w:rPr>
              <w:t>型</w:t>
            </w:r>
            <w:r w:rsidRPr="007F54BB">
              <w:rPr>
                <w:rFonts w:ascii="楷体" w:eastAsia="楷体" w:hAnsi="楷体" w:hint="eastAsia"/>
                <w:color w:val="FF6600"/>
              </w:rPr>
              <w:t>QDII基金</w:t>
            </w:r>
            <w:r>
              <w:rPr>
                <w:rFonts w:ascii="楷体" w:eastAsia="楷体" w:hAnsi="楷体" w:hint="eastAsia"/>
                <w:color w:val="FF6600"/>
              </w:rPr>
              <w:t>业绩表现</w:t>
            </w:r>
          </w:p>
        </w:tc>
      </w:tr>
      <w:tr w:rsidR="00330DE1" w:rsidRPr="00FC54FE" w:rsidTr="0093179F">
        <w:trPr>
          <w:cantSplit/>
          <w:trHeight w:val="2599"/>
        </w:trPr>
        <w:tc>
          <w:tcPr>
            <w:tcW w:w="7442" w:type="dxa"/>
            <w:shd w:val="clear" w:color="auto" w:fill="auto"/>
            <w:vAlign w:val="center"/>
          </w:tcPr>
          <w:p w:rsidR="00330DE1" w:rsidRPr="00FC54FE" w:rsidRDefault="002B20ED" w:rsidP="005D6771">
            <w:pPr>
              <w:snapToGrid w:val="0"/>
              <w:spacing w:line="10" w:lineRule="atLeast"/>
              <w:jc w:val="center"/>
              <w:rPr>
                <w:rFonts w:ascii="楷体" w:eastAsia="楷体" w:hAnsi="楷体"/>
                <w:b/>
              </w:rPr>
            </w:pPr>
            <w:r>
              <w:rPr>
                <w:rFonts w:ascii="楷体" w:eastAsia="楷体" w:hAnsi="楷体"/>
                <w:b/>
                <w:noProof/>
              </w:rPr>
              <w:drawing>
                <wp:inline distT="0" distB="0" distL="0" distR="0">
                  <wp:extent cx="3333750" cy="1807756"/>
                  <wp:effectExtent l="19050" t="0" r="0" b="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3337656" cy="1809874"/>
                          </a:xfrm>
                          <a:prstGeom prst="rect">
                            <a:avLst/>
                          </a:prstGeom>
                          <a:noFill/>
                        </pic:spPr>
                      </pic:pic>
                    </a:graphicData>
                  </a:graphic>
                </wp:inline>
              </w:drawing>
            </w:r>
          </w:p>
        </w:tc>
      </w:tr>
    </w:tbl>
    <w:p w:rsidR="00330DE1" w:rsidRPr="007F54BB" w:rsidRDefault="00330DE1" w:rsidP="00330DE1">
      <w:pPr>
        <w:pStyle w:val="FootnoteNoline"/>
        <w:rPr>
          <w:rFonts w:ascii="楷体" w:eastAsia="楷体" w:hAnsi="楷体"/>
          <w:color w:val="FF6600"/>
        </w:rPr>
      </w:pPr>
      <w:r w:rsidRPr="00FC54FE">
        <w:rPr>
          <w:rFonts w:ascii="楷体" w:eastAsia="楷体" w:hAnsi="楷体" w:hint="eastAsia"/>
          <w:color w:val="FF6600"/>
        </w:rPr>
        <w:t xml:space="preserve">来源：凯石财富工场 </w:t>
      </w:r>
      <w:r>
        <w:rPr>
          <w:rFonts w:ascii="楷体" w:eastAsia="楷体" w:hAnsi="楷体" w:hint="eastAsia"/>
          <w:color w:val="FF6600"/>
        </w:rPr>
        <w:t>Wind</w:t>
      </w:r>
      <w:r w:rsidRPr="00FC54FE">
        <w:rPr>
          <w:rFonts w:ascii="楷体" w:eastAsia="楷体" w:hAnsi="楷体" w:hint="eastAsia"/>
          <w:color w:val="FF6600"/>
        </w:rPr>
        <w:t>数据</w:t>
      </w:r>
    </w:p>
    <w:p w:rsidR="00017BB7" w:rsidRDefault="00330DE1" w:rsidP="00A70401">
      <w:pPr>
        <w:widowControl/>
        <w:spacing w:after="120" w:line="240" w:lineRule="exact"/>
        <w:ind w:left="3430"/>
        <w:rPr>
          <w:rFonts w:ascii="楷体" w:eastAsia="楷体" w:hAnsi="楷体" w:cs="Times New Roman"/>
          <w:b/>
          <w:bCs/>
          <w:color w:val="0070C0"/>
          <w:kern w:val="0"/>
          <w:sz w:val="24"/>
          <w:szCs w:val="20"/>
          <w:lang w:val="en-GB"/>
        </w:rPr>
      </w:pPr>
      <w:r>
        <w:rPr>
          <w:rFonts w:ascii="楷体" w:eastAsia="楷体" w:hAnsi="楷体" w:cs="Times New Roman" w:hint="eastAsia"/>
          <w:b/>
          <w:bCs/>
          <w:color w:val="0070C0"/>
          <w:kern w:val="0"/>
          <w:sz w:val="24"/>
          <w:szCs w:val="20"/>
          <w:lang w:val="en-GB"/>
        </w:rPr>
        <w:t>二</w:t>
      </w:r>
      <w:r w:rsidR="00017BB7">
        <w:rPr>
          <w:rFonts w:ascii="楷体" w:eastAsia="楷体" w:hAnsi="楷体" w:cs="Times New Roman" w:hint="eastAsia"/>
          <w:b/>
          <w:bCs/>
          <w:color w:val="0070C0"/>
          <w:kern w:val="0"/>
          <w:sz w:val="24"/>
          <w:szCs w:val="20"/>
          <w:lang w:val="en-GB"/>
        </w:rPr>
        <w:t>、QDII</w:t>
      </w:r>
      <w:r w:rsidR="0064533A">
        <w:rPr>
          <w:rFonts w:ascii="楷体" w:eastAsia="楷体" w:hAnsi="楷体" w:cs="Times New Roman" w:hint="eastAsia"/>
          <w:b/>
          <w:bCs/>
          <w:color w:val="0070C0"/>
          <w:kern w:val="0"/>
          <w:sz w:val="24"/>
          <w:szCs w:val="20"/>
          <w:lang w:val="en-GB"/>
        </w:rPr>
        <w:t>基金</w:t>
      </w:r>
      <w:r w:rsidR="00D1436B">
        <w:rPr>
          <w:rFonts w:ascii="楷体" w:eastAsia="楷体" w:hAnsi="楷体" w:cs="Times New Roman" w:hint="eastAsia"/>
          <w:b/>
          <w:bCs/>
          <w:color w:val="0070C0"/>
          <w:kern w:val="0"/>
          <w:sz w:val="24"/>
          <w:szCs w:val="20"/>
          <w:lang w:val="en-GB"/>
        </w:rPr>
        <w:t>11月</w:t>
      </w:r>
      <w:r w:rsidR="00017BB7">
        <w:rPr>
          <w:rFonts w:ascii="楷体" w:eastAsia="楷体" w:hAnsi="楷体" w:cs="Times New Roman" w:hint="eastAsia"/>
          <w:b/>
          <w:bCs/>
          <w:color w:val="0070C0"/>
          <w:kern w:val="0"/>
          <w:sz w:val="24"/>
          <w:szCs w:val="20"/>
          <w:lang w:val="en-GB"/>
        </w:rPr>
        <w:t>投资策略</w:t>
      </w:r>
    </w:p>
    <w:p w:rsidR="00A70401" w:rsidRPr="00FC54FE" w:rsidRDefault="00405F92" w:rsidP="00A70401">
      <w:pPr>
        <w:widowControl/>
        <w:spacing w:after="120" w:line="240" w:lineRule="exact"/>
        <w:ind w:left="3430"/>
        <w:rPr>
          <w:rFonts w:ascii="楷体" w:eastAsia="楷体" w:hAnsi="楷体" w:cs="Times New Roman"/>
          <w:b/>
          <w:bCs/>
          <w:color w:val="0070C0"/>
          <w:kern w:val="0"/>
          <w:sz w:val="24"/>
          <w:szCs w:val="20"/>
          <w:lang w:val="en-GB"/>
        </w:rPr>
      </w:pPr>
      <w:r>
        <w:rPr>
          <w:rFonts w:ascii="楷体" w:eastAsia="楷体" w:hAnsi="楷体" w:cs="Times New Roman" w:hint="eastAsia"/>
          <w:b/>
          <w:bCs/>
          <w:color w:val="0070C0"/>
          <w:kern w:val="0"/>
          <w:sz w:val="24"/>
          <w:szCs w:val="20"/>
          <w:lang w:val="en-GB"/>
        </w:rPr>
        <w:t>美股港股“</w:t>
      </w:r>
      <w:r w:rsidR="00FC3C0E">
        <w:rPr>
          <w:rFonts w:ascii="楷体" w:eastAsia="楷体" w:hAnsi="楷体" w:cs="Times New Roman" w:hint="eastAsia"/>
          <w:b/>
          <w:bCs/>
          <w:color w:val="0070C0"/>
          <w:kern w:val="0"/>
          <w:sz w:val="24"/>
          <w:szCs w:val="20"/>
          <w:lang w:val="en-GB"/>
        </w:rPr>
        <w:t>双核心</w:t>
      </w:r>
      <w:r>
        <w:rPr>
          <w:rFonts w:ascii="楷体" w:eastAsia="楷体" w:hAnsi="楷体" w:cs="Times New Roman" w:hint="eastAsia"/>
          <w:b/>
          <w:bCs/>
          <w:color w:val="0070C0"/>
          <w:kern w:val="0"/>
          <w:sz w:val="24"/>
          <w:szCs w:val="20"/>
          <w:lang w:val="en-GB"/>
        </w:rPr>
        <w:t>”，</w:t>
      </w:r>
      <w:r w:rsidR="008A214C">
        <w:rPr>
          <w:rFonts w:ascii="楷体" w:eastAsia="楷体" w:hAnsi="楷体" w:cs="Times New Roman" w:hint="eastAsia"/>
          <w:b/>
          <w:bCs/>
          <w:color w:val="0070C0"/>
          <w:kern w:val="0"/>
          <w:sz w:val="24"/>
          <w:szCs w:val="20"/>
          <w:lang w:val="en-GB"/>
        </w:rPr>
        <w:t>关注事态锁定收益</w:t>
      </w:r>
    </w:p>
    <w:p w:rsidR="00405F92" w:rsidRDefault="00405F92" w:rsidP="00F40A16">
      <w:pPr>
        <w:pStyle w:val="ab"/>
        <w:numPr>
          <w:ilvl w:val="4"/>
          <w:numId w:val="1"/>
        </w:numPr>
        <w:spacing w:after="163"/>
        <w:rPr>
          <w:rFonts w:eastAsia="楷体" w:cs="Arial"/>
        </w:rPr>
      </w:pPr>
      <w:r w:rsidRPr="00864263">
        <w:rPr>
          <w:rFonts w:eastAsia="楷体" w:cs="Arial" w:hint="eastAsia"/>
        </w:rPr>
        <w:t>美联储于</w:t>
      </w:r>
      <w:r w:rsidRPr="00864263">
        <w:rPr>
          <w:rFonts w:eastAsia="楷体" w:cs="Arial" w:hint="eastAsia"/>
        </w:rPr>
        <w:t>10</w:t>
      </w:r>
      <w:r w:rsidRPr="00864263">
        <w:rPr>
          <w:rFonts w:eastAsia="楷体" w:cs="Arial" w:hint="eastAsia"/>
        </w:rPr>
        <w:t>月底如期结束</w:t>
      </w:r>
      <w:r w:rsidRPr="00864263">
        <w:rPr>
          <w:rFonts w:eastAsia="楷体" w:cs="Arial" w:hint="eastAsia"/>
        </w:rPr>
        <w:t>QE3</w:t>
      </w:r>
      <w:r w:rsidRPr="00864263">
        <w:rPr>
          <w:rFonts w:eastAsia="楷体" w:cs="Arial" w:hint="eastAsia"/>
        </w:rPr>
        <w:t>，</w:t>
      </w:r>
      <w:r w:rsidR="00FC3C0E" w:rsidRPr="00864263">
        <w:rPr>
          <w:rFonts w:eastAsia="楷体" w:cs="Arial" w:hint="eastAsia"/>
        </w:rPr>
        <w:t>显示出对美国经济复苏的信心，</w:t>
      </w:r>
      <w:r w:rsidRPr="00864263">
        <w:rPr>
          <w:rFonts w:eastAsia="楷体" w:cs="Arial" w:hint="eastAsia"/>
        </w:rPr>
        <w:t>并继续维持</w:t>
      </w:r>
      <w:r w:rsidRPr="00864263">
        <w:rPr>
          <w:rFonts w:eastAsia="楷体" w:cs="Arial" w:hint="eastAsia"/>
        </w:rPr>
        <w:t>0~0.25%</w:t>
      </w:r>
      <w:r w:rsidRPr="00864263">
        <w:rPr>
          <w:rFonts w:eastAsia="楷体" w:cs="Arial" w:hint="eastAsia"/>
        </w:rPr>
        <w:t>的超低政策利率“相当长时间内保持不变”，</w:t>
      </w:r>
      <w:r w:rsidR="00FC3C0E">
        <w:rPr>
          <w:rFonts w:eastAsia="楷体" w:cs="Arial" w:hint="eastAsia"/>
        </w:rPr>
        <w:t>进一步降低了明年春季加息的可能性</w:t>
      </w:r>
      <w:r w:rsidR="00FC3C0E" w:rsidRPr="00864263">
        <w:rPr>
          <w:rFonts w:eastAsia="楷体" w:cs="Arial" w:hint="eastAsia"/>
        </w:rPr>
        <w:t>。</w:t>
      </w:r>
      <w:r w:rsidR="00FC3C0E">
        <w:rPr>
          <w:rFonts w:eastAsia="楷体" w:cs="Arial" w:hint="eastAsia"/>
        </w:rPr>
        <w:t>同时，美联储</w:t>
      </w:r>
      <w:r w:rsidR="00914A2F">
        <w:rPr>
          <w:rFonts w:eastAsia="楷体" w:cs="Arial" w:hint="eastAsia"/>
        </w:rPr>
        <w:t>对于劳动力市场的预期</w:t>
      </w:r>
      <w:r w:rsidR="00FC3C0E">
        <w:rPr>
          <w:rFonts w:eastAsia="楷体" w:cs="Arial" w:hint="eastAsia"/>
        </w:rPr>
        <w:t>更为</w:t>
      </w:r>
      <w:r w:rsidRPr="00864263">
        <w:rPr>
          <w:rFonts w:eastAsia="楷体" w:cs="Arial" w:hint="eastAsia"/>
        </w:rPr>
        <w:t>乐观。</w:t>
      </w:r>
      <w:r w:rsidR="00C96346" w:rsidRPr="00864263">
        <w:rPr>
          <w:rFonts w:eastAsia="楷体" w:cs="Arial" w:hint="eastAsia"/>
        </w:rPr>
        <w:t>10</w:t>
      </w:r>
      <w:r w:rsidR="00C96346" w:rsidRPr="00864263">
        <w:rPr>
          <w:rFonts w:eastAsia="楷体" w:cs="Arial" w:hint="eastAsia"/>
        </w:rPr>
        <w:t>月份新出炉的</w:t>
      </w:r>
      <w:r w:rsidR="00914A2F">
        <w:rPr>
          <w:rFonts w:eastAsia="楷体" w:cs="Arial" w:hint="eastAsia"/>
        </w:rPr>
        <w:t>房地产、</w:t>
      </w:r>
      <w:r w:rsidR="004322FC">
        <w:rPr>
          <w:rFonts w:eastAsia="楷体" w:cs="Arial" w:hint="eastAsia"/>
        </w:rPr>
        <w:t>消费</w:t>
      </w:r>
      <w:r w:rsidR="00FC3C0E">
        <w:rPr>
          <w:rFonts w:eastAsia="楷体" w:cs="Arial" w:hint="eastAsia"/>
        </w:rPr>
        <w:t>、就业</w:t>
      </w:r>
      <w:r w:rsidR="004322FC">
        <w:rPr>
          <w:rFonts w:eastAsia="楷体" w:cs="Arial" w:hint="eastAsia"/>
        </w:rPr>
        <w:t>等</w:t>
      </w:r>
      <w:r w:rsidR="00FC3C0E">
        <w:rPr>
          <w:rFonts w:eastAsia="楷体" w:cs="Arial" w:hint="eastAsia"/>
        </w:rPr>
        <w:t>各项数据则有力</w:t>
      </w:r>
      <w:r w:rsidR="00C96346" w:rsidRPr="00864263">
        <w:rPr>
          <w:rFonts w:eastAsia="楷体" w:cs="Arial" w:hint="eastAsia"/>
        </w:rPr>
        <w:t>支持了美联储的判断。</w:t>
      </w:r>
      <w:r w:rsidR="007765F1">
        <w:rPr>
          <w:rFonts w:eastAsia="楷体" w:cs="Arial" w:hint="eastAsia"/>
        </w:rPr>
        <w:t>鉴于</w:t>
      </w:r>
      <w:r w:rsidR="00EF6AC8">
        <w:rPr>
          <w:rFonts w:eastAsia="楷体" w:cs="Arial" w:hint="eastAsia"/>
        </w:rPr>
        <w:t>经济基本面和流动性两方面</w:t>
      </w:r>
      <w:r w:rsidR="00EF6AC8" w:rsidRPr="00EF6AC8">
        <w:rPr>
          <w:rFonts w:eastAsia="楷体" w:cs="Arial" w:hint="eastAsia"/>
        </w:rPr>
        <w:t>均支持美股行情的持续表现</w:t>
      </w:r>
      <w:r w:rsidR="00EF6AC8">
        <w:rPr>
          <w:rFonts w:eastAsia="楷体" w:cs="Arial" w:hint="eastAsia"/>
        </w:rPr>
        <w:t>，</w:t>
      </w:r>
      <w:proofErr w:type="gramStart"/>
      <w:r w:rsidR="00FC3C0E" w:rsidRPr="00864263">
        <w:rPr>
          <w:rFonts w:eastAsia="楷体" w:cs="Arial" w:hint="eastAsia"/>
        </w:rPr>
        <w:t>凯石工场</w:t>
      </w:r>
      <w:proofErr w:type="gramEnd"/>
      <w:r w:rsidR="00FC3C0E">
        <w:rPr>
          <w:rFonts w:eastAsia="楷体" w:cs="Arial" w:hint="eastAsia"/>
        </w:rPr>
        <w:t>11</w:t>
      </w:r>
      <w:r w:rsidR="00FC3C0E">
        <w:rPr>
          <w:rFonts w:eastAsia="楷体" w:cs="Arial" w:hint="eastAsia"/>
        </w:rPr>
        <w:t>月</w:t>
      </w:r>
      <w:r w:rsidR="00FC3C0E" w:rsidRPr="00864263">
        <w:rPr>
          <w:rFonts w:eastAsia="楷体" w:cs="Arial" w:hint="eastAsia"/>
        </w:rPr>
        <w:t>依旧维持对美国市场</w:t>
      </w:r>
      <w:r w:rsidR="00FC3C0E" w:rsidRPr="00864263">
        <w:rPr>
          <w:rFonts w:eastAsia="楷体" w:cs="Arial" w:hint="eastAsia"/>
        </w:rPr>
        <w:t>QDII</w:t>
      </w:r>
      <w:r w:rsidR="00FC3C0E" w:rsidRPr="00864263">
        <w:rPr>
          <w:rFonts w:eastAsia="楷体" w:cs="Arial" w:hint="eastAsia"/>
        </w:rPr>
        <w:t>的推荐</w:t>
      </w:r>
      <w:r w:rsidR="00FC3C0E">
        <w:rPr>
          <w:rFonts w:eastAsia="楷体" w:cs="Arial" w:hint="eastAsia"/>
        </w:rPr>
        <w:t>。同时，</w:t>
      </w:r>
      <w:r w:rsidR="00EF6AC8">
        <w:rPr>
          <w:rFonts w:eastAsia="楷体" w:cs="Arial" w:hint="eastAsia"/>
        </w:rPr>
        <w:t>我们继续看好</w:t>
      </w:r>
      <w:r w:rsidR="00FC3C0E">
        <w:rPr>
          <w:rFonts w:eastAsia="楷体" w:cs="Arial" w:hint="eastAsia"/>
        </w:rPr>
        <w:t>港股</w:t>
      </w:r>
      <w:r w:rsidR="00EF6AC8">
        <w:rPr>
          <w:rFonts w:eastAsia="楷体" w:cs="Arial" w:hint="eastAsia"/>
        </w:rPr>
        <w:t>在未来的表现</w:t>
      </w:r>
      <w:r w:rsidR="00FC3C0E">
        <w:rPr>
          <w:rFonts w:eastAsia="楷体" w:cs="Arial" w:hint="eastAsia"/>
        </w:rPr>
        <w:t>，</w:t>
      </w:r>
      <w:r w:rsidR="00EF6AC8">
        <w:rPr>
          <w:rFonts w:eastAsia="楷体" w:cs="Arial" w:hint="eastAsia"/>
        </w:rPr>
        <w:t>尽管</w:t>
      </w:r>
      <w:r w:rsidR="00EF6AC8" w:rsidRPr="00EF6AC8">
        <w:rPr>
          <w:rFonts w:eastAsia="楷体" w:cs="Arial" w:hint="eastAsia"/>
        </w:rPr>
        <w:t>“港股通”</w:t>
      </w:r>
      <w:r w:rsidR="00EF6AC8">
        <w:rPr>
          <w:rFonts w:eastAsia="楷体" w:cs="Arial" w:hint="eastAsia"/>
        </w:rPr>
        <w:t>箭在弦上迟迟未发，但</w:t>
      </w:r>
      <w:proofErr w:type="gramStart"/>
      <w:r w:rsidR="00EF6AC8">
        <w:rPr>
          <w:rFonts w:eastAsia="楷体" w:cs="Arial" w:hint="eastAsia"/>
        </w:rPr>
        <w:t>终归将</w:t>
      </w:r>
      <w:proofErr w:type="gramEnd"/>
      <w:r w:rsidR="00EF6AC8">
        <w:rPr>
          <w:rFonts w:eastAsia="楷体" w:cs="Arial" w:hint="eastAsia"/>
        </w:rPr>
        <w:t>在</w:t>
      </w:r>
      <w:r w:rsidR="00EF6AC8" w:rsidRPr="00EF6AC8">
        <w:rPr>
          <w:rFonts w:eastAsia="楷体" w:cs="Arial" w:hint="eastAsia"/>
        </w:rPr>
        <w:t>未来</w:t>
      </w:r>
      <w:r w:rsidR="00EF6AC8">
        <w:rPr>
          <w:rFonts w:eastAsia="楷体" w:cs="Arial" w:hint="eastAsia"/>
        </w:rPr>
        <w:t>某个时点启动。综上，我们</w:t>
      </w:r>
      <w:r w:rsidR="00FC3C0E">
        <w:rPr>
          <w:rFonts w:eastAsia="楷体" w:cs="Arial" w:hint="eastAsia"/>
        </w:rPr>
        <w:t>建议</w:t>
      </w:r>
      <w:r w:rsidR="00EF6AC8">
        <w:rPr>
          <w:rFonts w:eastAsia="楷体" w:cs="Arial" w:hint="eastAsia"/>
        </w:rPr>
        <w:t>投资者相比</w:t>
      </w:r>
      <w:r w:rsidR="00FC3C0E">
        <w:rPr>
          <w:rFonts w:eastAsia="楷体" w:cs="Arial" w:hint="eastAsia"/>
        </w:rPr>
        <w:t>10</w:t>
      </w:r>
      <w:r w:rsidR="00FC3C0E">
        <w:rPr>
          <w:rFonts w:eastAsia="楷体" w:cs="Arial" w:hint="eastAsia"/>
        </w:rPr>
        <w:t>月份进一步提高“美股美房”的投资比例，实现基金组合中</w:t>
      </w:r>
      <w:r w:rsidR="00EF6AC8">
        <w:rPr>
          <w:rFonts w:eastAsia="楷体" w:cs="Arial" w:hint="eastAsia"/>
        </w:rPr>
        <w:t>“</w:t>
      </w:r>
      <w:r w:rsidR="00FC3C0E">
        <w:rPr>
          <w:rFonts w:eastAsia="楷体" w:cs="Arial" w:hint="eastAsia"/>
        </w:rPr>
        <w:t>美股港股双核心”的均衡配置。</w:t>
      </w:r>
    </w:p>
    <w:p w:rsidR="00DC1929" w:rsidRDefault="00DC1929" w:rsidP="00F40A16">
      <w:pPr>
        <w:pStyle w:val="ab"/>
        <w:numPr>
          <w:ilvl w:val="4"/>
          <w:numId w:val="1"/>
        </w:numPr>
        <w:spacing w:after="163"/>
        <w:rPr>
          <w:rFonts w:eastAsia="楷体" w:cs="Arial"/>
        </w:rPr>
      </w:pPr>
      <w:r>
        <w:rPr>
          <w:rFonts w:eastAsia="楷体" w:cs="Arial" w:hint="eastAsia"/>
        </w:rPr>
        <w:t>值得注意的是，</w:t>
      </w:r>
      <w:r w:rsidRPr="00864263">
        <w:rPr>
          <w:rFonts w:eastAsia="楷体" w:cs="Arial" w:hint="eastAsia"/>
        </w:rPr>
        <w:t>QE</w:t>
      </w:r>
      <w:r w:rsidRPr="00864263">
        <w:rPr>
          <w:rFonts w:eastAsia="楷体" w:cs="Arial" w:hint="eastAsia"/>
        </w:rPr>
        <w:t>结束对美国资产价格、金融环境</w:t>
      </w:r>
      <w:r w:rsidR="008E0380">
        <w:rPr>
          <w:rFonts w:eastAsia="楷体" w:cs="Arial" w:hint="eastAsia"/>
        </w:rPr>
        <w:t>仍有</w:t>
      </w:r>
      <w:r w:rsidRPr="00864263">
        <w:rPr>
          <w:rFonts w:eastAsia="楷体" w:cs="Arial" w:hint="eastAsia"/>
        </w:rPr>
        <w:t>潜在冲击</w:t>
      </w:r>
      <w:r w:rsidR="008E0380">
        <w:rPr>
          <w:rFonts w:eastAsia="楷体" w:cs="Arial" w:hint="eastAsia"/>
        </w:rPr>
        <w:t>的可能性</w:t>
      </w:r>
      <w:r>
        <w:rPr>
          <w:rFonts w:eastAsia="楷体" w:cs="Arial" w:hint="eastAsia"/>
        </w:rPr>
        <w:t>，同时香港市场尚存“占中”等政治扰动因素，“沪港通”开闸尚未明确。因此，</w:t>
      </w:r>
      <w:proofErr w:type="gramStart"/>
      <w:r>
        <w:rPr>
          <w:rFonts w:eastAsia="楷体" w:cs="Arial" w:hint="eastAsia"/>
        </w:rPr>
        <w:t>凯石工场建议</w:t>
      </w:r>
      <w:proofErr w:type="gramEnd"/>
      <w:r>
        <w:rPr>
          <w:rFonts w:eastAsia="楷体" w:cs="Arial" w:hint="eastAsia"/>
        </w:rPr>
        <w:t>投资者在</w:t>
      </w:r>
      <w:r>
        <w:rPr>
          <w:rFonts w:eastAsia="楷体" w:cs="Arial" w:hint="eastAsia"/>
        </w:rPr>
        <w:t>11</w:t>
      </w:r>
      <w:r>
        <w:rPr>
          <w:rFonts w:eastAsia="楷体" w:cs="Arial" w:hint="eastAsia"/>
        </w:rPr>
        <w:t>月份保持严密关注美、港两大市场最新动向，以便及时相机抉择，调整组合锁定收益。</w:t>
      </w:r>
    </w:p>
    <w:p w:rsidR="00256A3A" w:rsidRPr="00FC54FE" w:rsidRDefault="00256A3A" w:rsidP="00256A3A">
      <w:pPr>
        <w:widowControl/>
        <w:spacing w:after="120"/>
        <w:ind w:left="3430"/>
        <w:rPr>
          <w:rFonts w:ascii="楷体" w:eastAsia="楷体" w:hAnsi="楷体"/>
          <w:b/>
          <w:bCs/>
          <w:color w:val="0070C0"/>
          <w:kern w:val="0"/>
          <w:szCs w:val="21"/>
          <w:lang w:val="en-GB"/>
        </w:rPr>
      </w:pPr>
      <w:r w:rsidRPr="00FC54FE">
        <w:rPr>
          <w:rFonts w:ascii="楷体" w:eastAsia="楷体" w:hAnsi="楷体" w:hint="eastAsia"/>
          <w:b/>
          <w:bCs/>
          <w:color w:val="0070C0"/>
          <w:kern w:val="0"/>
          <w:szCs w:val="21"/>
          <w:lang w:val="en-GB"/>
        </w:rPr>
        <w:t>美国</w:t>
      </w:r>
      <w:r w:rsidR="001E40D5" w:rsidRPr="00FC54FE">
        <w:rPr>
          <w:rFonts w:ascii="楷体" w:eastAsia="楷体" w:hAnsi="楷体" w:hint="eastAsia"/>
          <w:b/>
          <w:bCs/>
          <w:color w:val="0070C0"/>
          <w:kern w:val="0"/>
          <w:szCs w:val="21"/>
          <w:lang w:val="en-GB"/>
        </w:rPr>
        <w:t>：</w:t>
      </w:r>
      <w:r w:rsidR="00996C0B">
        <w:rPr>
          <w:rFonts w:ascii="楷体" w:eastAsia="楷体" w:hAnsi="楷体" w:hint="eastAsia"/>
          <w:b/>
          <w:bCs/>
          <w:color w:val="0070C0"/>
          <w:kern w:val="0"/>
          <w:szCs w:val="21"/>
          <w:lang w:val="en-GB"/>
        </w:rPr>
        <w:t>美</w:t>
      </w:r>
      <w:proofErr w:type="gramStart"/>
      <w:r w:rsidR="00996C0B">
        <w:rPr>
          <w:rFonts w:ascii="楷体" w:eastAsia="楷体" w:hAnsi="楷体" w:hint="eastAsia"/>
          <w:b/>
          <w:bCs/>
          <w:color w:val="0070C0"/>
          <w:kern w:val="0"/>
          <w:szCs w:val="21"/>
          <w:lang w:val="en-GB"/>
        </w:rPr>
        <w:t>股资产</w:t>
      </w:r>
      <w:proofErr w:type="gramEnd"/>
      <w:r w:rsidR="00996C0B">
        <w:rPr>
          <w:rFonts w:ascii="楷体" w:eastAsia="楷体" w:hAnsi="楷体" w:hint="eastAsia"/>
          <w:b/>
          <w:bCs/>
          <w:color w:val="0070C0"/>
          <w:kern w:val="0"/>
          <w:szCs w:val="21"/>
          <w:lang w:val="en-GB"/>
        </w:rPr>
        <w:t>优势明显，</w:t>
      </w:r>
      <w:r w:rsidR="00CE1DEC">
        <w:rPr>
          <w:rFonts w:ascii="楷体" w:eastAsia="楷体" w:hAnsi="楷体" w:hint="eastAsia"/>
          <w:b/>
          <w:bCs/>
          <w:color w:val="0070C0"/>
          <w:kern w:val="0"/>
          <w:szCs w:val="21"/>
          <w:lang w:val="en-GB"/>
        </w:rPr>
        <w:t>关注</w:t>
      </w:r>
      <w:r w:rsidR="00E4410C">
        <w:rPr>
          <w:rFonts w:ascii="楷体" w:eastAsia="楷体" w:hAnsi="楷体" w:hint="eastAsia"/>
          <w:b/>
          <w:bCs/>
          <w:color w:val="0070C0"/>
          <w:kern w:val="0"/>
          <w:szCs w:val="21"/>
          <w:lang w:val="en-GB"/>
        </w:rPr>
        <w:t>QE加息</w:t>
      </w:r>
      <w:r w:rsidR="00CE1DEC">
        <w:rPr>
          <w:rFonts w:ascii="楷体" w:eastAsia="楷体" w:hAnsi="楷体" w:hint="eastAsia"/>
          <w:b/>
          <w:bCs/>
          <w:color w:val="0070C0"/>
          <w:kern w:val="0"/>
          <w:szCs w:val="21"/>
          <w:lang w:val="en-GB"/>
        </w:rPr>
        <w:t>最新动态</w:t>
      </w:r>
    </w:p>
    <w:p w:rsidR="00465A4A" w:rsidRPr="00D06A97" w:rsidRDefault="00465A4A" w:rsidP="00D06A97">
      <w:pPr>
        <w:pStyle w:val="ab"/>
        <w:numPr>
          <w:ilvl w:val="4"/>
          <w:numId w:val="1"/>
        </w:numPr>
        <w:spacing w:after="163"/>
        <w:rPr>
          <w:rFonts w:eastAsia="楷体" w:cs="Arial"/>
        </w:rPr>
      </w:pPr>
      <w:r w:rsidRPr="00864263">
        <w:rPr>
          <w:rFonts w:eastAsia="楷体" w:cs="Arial" w:hint="eastAsia"/>
        </w:rPr>
        <w:t>正如市场预期，</w:t>
      </w:r>
      <w:r w:rsidRPr="00864263">
        <w:rPr>
          <w:rFonts w:eastAsia="楷体" w:cs="Arial" w:hint="eastAsia"/>
        </w:rPr>
        <w:t>10</w:t>
      </w:r>
      <w:r w:rsidRPr="00864263">
        <w:rPr>
          <w:rFonts w:eastAsia="楷体" w:cs="Arial" w:hint="eastAsia"/>
        </w:rPr>
        <w:t>月</w:t>
      </w:r>
      <w:r w:rsidRPr="00864263">
        <w:rPr>
          <w:rFonts w:eastAsia="楷体" w:cs="Arial" w:hint="eastAsia"/>
        </w:rPr>
        <w:t>30</w:t>
      </w:r>
      <w:r w:rsidRPr="00864263">
        <w:rPr>
          <w:rFonts w:eastAsia="楷体" w:cs="Arial" w:hint="eastAsia"/>
        </w:rPr>
        <w:t>日美联储结束</w:t>
      </w:r>
      <w:r w:rsidRPr="00864263">
        <w:rPr>
          <w:rFonts w:eastAsia="楷体" w:cs="Arial" w:hint="eastAsia"/>
        </w:rPr>
        <w:t>QE3</w:t>
      </w:r>
      <w:r w:rsidRPr="00864263">
        <w:rPr>
          <w:rFonts w:eastAsia="楷体" w:cs="Arial" w:hint="eastAsia"/>
        </w:rPr>
        <w:t>，并在货币政策前瞻指引部分保留“相当长时间内将联邦基金利率维持在当前区间”的措辞。不过此</w:t>
      </w:r>
      <w:r w:rsidR="00BE7F05">
        <w:rPr>
          <w:rFonts w:eastAsia="楷体" w:cs="Arial" w:hint="eastAsia"/>
        </w:rPr>
        <w:t>次</w:t>
      </w:r>
      <w:r w:rsidRPr="00864263">
        <w:rPr>
          <w:rFonts w:eastAsia="楷体" w:cs="Arial" w:hint="eastAsia"/>
        </w:rPr>
        <w:t>声明意外释放鹰派信号：首先，美联储不但承认就业强劲增长，还将此前对劳动力市场资源存在“严重利用不足”的表述改为“利用不足的情况在逐渐消退”。第二，对通胀的评估并未像市场预期那样大幅下调，而是继续表示“委员会认为年初以来通胀持续低于</w:t>
      </w:r>
      <w:r w:rsidRPr="00864263">
        <w:rPr>
          <w:rFonts w:eastAsia="楷体" w:cs="Arial" w:hint="eastAsia"/>
        </w:rPr>
        <w:t>2%</w:t>
      </w:r>
      <w:r w:rsidRPr="00864263">
        <w:rPr>
          <w:rFonts w:eastAsia="楷体" w:cs="Arial" w:hint="eastAsia"/>
        </w:rPr>
        <w:t>的可能性有所下降”。第三，宣布结束</w:t>
      </w:r>
      <w:r w:rsidRPr="00864263">
        <w:rPr>
          <w:rFonts w:eastAsia="楷体" w:cs="Arial" w:hint="eastAsia"/>
        </w:rPr>
        <w:t>QE</w:t>
      </w:r>
      <w:r w:rsidRPr="00864263">
        <w:rPr>
          <w:rFonts w:eastAsia="楷体" w:cs="Arial" w:hint="eastAsia"/>
        </w:rPr>
        <w:t>，但并没有提到如果经济恶化可能重启</w:t>
      </w:r>
      <w:r w:rsidRPr="00864263">
        <w:rPr>
          <w:rFonts w:eastAsia="楷体" w:cs="Arial" w:hint="eastAsia"/>
        </w:rPr>
        <w:t>QE</w:t>
      </w:r>
      <w:r w:rsidRPr="00864263">
        <w:rPr>
          <w:rFonts w:eastAsia="楷体" w:cs="Arial" w:hint="eastAsia"/>
        </w:rPr>
        <w:t>；相反只是重申“如果经济表现不及预期，可能推迟加息；反之，则提早加息”。</w:t>
      </w:r>
      <w:r w:rsidR="00512FDB" w:rsidRPr="00864263">
        <w:rPr>
          <w:rFonts w:eastAsia="楷体" w:cs="Arial" w:hint="eastAsia"/>
        </w:rPr>
        <w:t>尽管</w:t>
      </w:r>
      <w:r w:rsidR="00591F92" w:rsidRPr="00864263">
        <w:rPr>
          <w:rFonts w:eastAsia="楷体" w:cs="Arial" w:hint="eastAsia"/>
        </w:rPr>
        <w:t>声明措辞偏鹰派</w:t>
      </w:r>
      <w:r w:rsidR="00512FDB" w:rsidRPr="00864263">
        <w:rPr>
          <w:rFonts w:eastAsia="楷体" w:cs="Arial" w:hint="eastAsia"/>
        </w:rPr>
        <w:t>，投资者仍持怀疑态度，市场普遍预测加息将在</w:t>
      </w:r>
      <w:r w:rsidR="00591F92" w:rsidRPr="00864263">
        <w:rPr>
          <w:rFonts w:eastAsia="楷体" w:cs="Arial" w:hint="eastAsia"/>
        </w:rPr>
        <w:t>明年</w:t>
      </w:r>
      <w:r w:rsidR="00591F92" w:rsidRPr="00864263">
        <w:rPr>
          <w:rFonts w:eastAsia="楷体" w:cs="Arial" w:hint="eastAsia"/>
        </w:rPr>
        <w:t>10~11</w:t>
      </w:r>
      <w:r w:rsidR="00512FDB" w:rsidRPr="00864263">
        <w:rPr>
          <w:rFonts w:eastAsia="楷体" w:cs="Arial" w:hint="eastAsia"/>
        </w:rPr>
        <w:t>月</w:t>
      </w:r>
      <w:r w:rsidR="00591F92" w:rsidRPr="00864263">
        <w:rPr>
          <w:rFonts w:eastAsia="楷体" w:cs="Arial" w:hint="eastAsia"/>
        </w:rPr>
        <w:t>，而春季加息的可能性几乎不存在。</w:t>
      </w:r>
    </w:p>
    <w:p w:rsidR="00292232" w:rsidRPr="00864263" w:rsidRDefault="00CC46ED" w:rsidP="00603D57">
      <w:pPr>
        <w:pStyle w:val="ab"/>
        <w:numPr>
          <w:ilvl w:val="4"/>
          <w:numId w:val="1"/>
        </w:numPr>
        <w:spacing w:after="163"/>
        <w:rPr>
          <w:rFonts w:eastAsia="楷体" w:cs="Arial"/>
        </w:rPr>
      </w:pPr>
      <w:r>
        <w:rPr>
          <w:rFonts w:eastAsia="楷体" w:cs="Arial" w:hint="eastAsia"/>
        </w:rPr>
        <w:t>经济数据方面，</w:t>
      </w:r>
      <w:r>
        <w:rPr>
          <w:rFonts w:eastAsia="楷体" w:cs="Arial" w:hint="eastAsia"/>
        </w:rPr>
        <w:t>10</w:t>
      </w:r>
      <w:r w:rsidR="008F31AE" w:rsidRPr="00864263">
        <w:rPr>
          <w:rFonts w:eastAsia="楷体" w:cs="Arial" w:hint="eastAsia"/>
        </w:rPr>
        <w:t>月份</w:t>
      </w:r>
      <w:r w:rsidR="00292232" w:rsidRPr="00864263">
        <w:rPr>
          <w:rFonts w:eastAsia="楷体" w:cs="Arial" w:hint="eastAsia"/>
        </w:rPr>
        <w:t>公布的</w:t>
      </w:r>
      <w:r>
        <w:rPr>
          <w:rFonts w:eastAsia="楷体" w:cs="Arial" w:hint="eastAsia"/>
        </w:rPr>
        <w:t>一系列宏观指标</w:t>
      </w:r>
      <w:r w:rsidR="00D06A97">
        <w:rPr>
          <w:rFonts w:eastAsia="楷体" w:cs="Arial" w:hint="eastAsia"/>
        </w:rPr>
        <w:t>多</w:t>
      </w:r>
      <w:r>
        <w:rPr>
          <w:rFonts w:eastAsia="楷体" w:cs="Arial" w:hint="eastAsia"/>
        </w:rPr>
        <w:t>有改观，提</w:t>
      </w:r>
      <w:proofErr w:type="gramStart"/>
      <w:r>
        <w:rPr>
          <w:rFonts w:eastAsia="楷体" w:cs="Arial" w:hint="eastAsia"/>
        </w:rPr>
        <w:t>振市场</w:t>
      </w:r>
      <w:proofErr w:type="gramEnd"/>
      <w:r>
        <w:rPr>
          <w:rFonts w:eastAsia="楷体" w:cs="Arial" w:hint="eastAsia"/>
        </w:rPr>
        <w:t>情绪</w:t>
      </w:r>
      <w:r w:rsidR="002B5A4A" w:rsidRPr="00864263">
        <w:rPr>
          <w:rFonts w:eastAsia="楷体" w:cs="Arial" w:hint="eastAsia"/>
        </w:rPr>
        <w:t>，</w:t>
      </w:r>
      <w:r>
        <w:rPr>
          <w:rFonts w:eastAsia="楷体" w:cs="Arial" w:hint="eastAsia"/>
        </w:rPr>
        <w:t>利于美股市场</w:t>
      </w:r>
      <w:r w:rsidR="00292232" w:rsidRPr="00864263">
        <w:rPr>
          <w:rFonts w:eastAsia="楷体" w:cs="Arial" w:hint="eastAsia"/>
        </w:rPr>
        <w:t>的继续上攻。</w:t>
      </w:r>
      <w:r w:rsidR="003F0277" w:rsidRPr="00864263">
        <w:rPr>
          <w:rFonts w:eastAsia="楷体" w:cs="Arial" w:hint="eastAsia"/>
        </w:rPr>
        <w:t>美</w:t>
      </w:r>
      <w:proofErr w:type="gramStart"/>
      <w:r w:rsidR="003F0277" w:rsidRPr="00864263">
        <w:rPr>
          <w:rFonts w:eastAsia="楷体" w:cs="Arial" w:hint="eastAsia"/>
        </w:rPr>
        <w:t>股资产</w:t>
      </w:r>
      <w:proofErr w:type="gramEnd"/>
      <w:r w:rsidR="003F0277" w:rsidRPr="00864263">
        <w:rPr>
          <w:rFonts w:eastAsia="楷体" w:cs="Arial" w:hint="eastAsia"/>
        </w:rPr>
        <w:t>的显著优势以及美元升值等因素均有力增强美国市场对资金的吸引力。</w:t>
      </w:r>
    </w:p>
    <w:p w:rsidR="00D06A97" w:rsidRPr="006F6D50" w:rsidRDefault="00D06A97" w:rsidP="00D06A97">
      <w:pPr>
        <w:pStyle w:val="ab"/>
        <w:numPr>
          <w:ilvl w:val="5"/>
          <w:numId w:val="2"/>
        </w:numPr>
        <w:spacing w:after="163"/>
        <w:ind w:left="4140" w:hanging="369"/>
        <w:rPr>
          <w:rFonts w:eastAsia="楷体" w:cs="Arial"/>
        </w:rPr>
      </w:pPr>
      <w:r w:rsidRPr="00864263">
        <w:rPr>
          <w:rFonts w:eastAsia="楷体" w:cs="Arial" w:hint="eastAsia"/>
        </w:rPr>
        <w:t>第三季度美国实际</w:t>
      </w:r>
      <w:r w:rsidRPr="00864263">
        <w:rPr>
          <w:rFonts w:eastAsia="楷体" w:cs="Arial" w:hint="eastAsia"/>
        </w:rPr>
        <w:t>GDP</w:t>
      </w:r>
      <w:r w:rsidRPr="00864263">
        <w:rPr>
          <w:rFonts w:eastAsia="楷体" w:cs="Arial" w:hint="eastAsia"/>
        </w:rPr>
        <w:t>年率增长</w:t>
      </w:r>
      <w:r w:rsidRPr="00864263">
        <w:rPr>
          <w:rFonts w:eastAsia="楷体" w:cs="Arial" w:hint="eastAsia"/>
        </w:rPr>
        <w:t>3.5%</w:t>
      </w:r>
      <w:r w:rsidRPr="00864263">
        <w:rPr>
          <w:rFonts w:eastAsia="楷体" w:cs="Arial" w:hint="eastAsia"/>
        </w:rPr>
        <w:t>，较二季度</w:t>
      </w:r>
      <w:r w:rsidRPr="00864263">
        <w:rPr>
          <w:rFonts w:eastAsia="楷体" w:cs="Arial" w:hint="eastAsia"/>
        </w:rPr>
        <w:t>4.6%</w:t>
      </w:r>
      <w:r w:rsidRPr="00864263">
        <w:rPr>
          <w:rFonts w:eastAsia="楷体" w:cs="Arial" w:hint="eastAsia"/>
        </w:rPr>
        <w:t>的增速有所放缓，但符合市场预期。个人消费开支、出口、非住宅固定投资、联邦和地方政府支出推动了三季度经济增长，但其中部分指标增速有所放缓。私人库存投资的衰退则拖累了经济增长。</w:t>
      </w:r>
    </w:p>
    <w:p w:rsidR="008A214C" w:rsidRDefault="00850B44" w:rsidP="008A214C">
      <w:pPr>
        <w:pStyle w:val="ab"/>
        <w:numPr>
          <w:ilvl w:val="5"/>
          <w:numId w:val="2"/>
        </w:numPr>
        <w:spacing w:after="163"/>
        <w:ind w:left="4140" w:hanging="369"/>
        <w:rPr>
          <w:rFonts w:eastAsia="楷体" w:cs="Arial"/>
          <w:lang w:val="en-US"/>
        </w:rPr>
      </w:pPr>
      <w:r w:rsidRPr="00850B44">
        <w:rPr>
          <w:rFonts w:eastAsia="楷体" w:cs="Arial" w:hint="eastAsia"/>
          <w:lang w:val="en-US"/>
        </w:rPr>
        <w:t>美国</w:t>
      </w:r>
      <w:r>
        <w:rPr>
          <w:rFonts w:eastAsia="楷体" w:cs="Arial" w:hint="eastAsia"/>
          <w:lang w:val="en-US"/>
        </w:rPr>
        <w:t>1</w:t>
      </w:r>
      <w:r w:rsidRPr="00850B44">
        <w:rPr>
          <w:rFonts w:eastAsia="楷体" w:cs="Arial" w:hint="eastAsia"/>
          <w:lang w:val="en-US"/>
        </w:rPr>
        <w:t>0</w:t>
      </w:r>
      <w:r w:rsidRPr="00850B44">
        <w:rPr>
          <w:rFonts w:eastAsia="楷体" w:cs="Arial" w:hint="eastAsia"/>
          <w:lang w:val="en-US"/>
        </w:rPr>
        <w:t>月份</w:t>
      </w:r>
      <w:r>
        <w:rPr>
          <w:rFonts w:eastAsia="楷体" w:cs="Arial" w:hint="eastAsia"/>
          <w:lang w:val="en-US"/>
        </w:rPr>
        <w:t>ISM</w:t>
      </w:r>
      <w:r w:rsidRPr="00850B44">
        <w:rPr>
          <w:rFonts w:eastAsia="楷体" w:cs="Arial" w:hint="eastAsia"/>
          <w:lang w:val="en-US"/>
        </w:rPr>
        <w:t>制造业</w:t>
      </w:r>
      <w:r>
        <w:rPr>
          <w:rFonts w:eastAsia="楷体" w:cs="Arial" w:hint="eastAsia"/>
          <w:lang w:val="en-US"/>
        </w:rPr>
        <w:t>PMI</w:t>
      </w:r>
      <w:r w:rsidRPr="00850B44">
        <w:rPr>
          <w:rFonts w:eastAsia="楷体" w:cs="Arial" w:hint="eastAsia"/>
          <w:lang w:val="en-US"/>
        </w:rPr>
        <w:t>大幅增至</w:t>
      </w:r>
      <w:r w:rsidRPr="00850B44">
        <w:rPr>
          <w:rFonts w:eastAsia="楷体" w:cs="Arial" w:hint="eastAsia"/>
          <w:lang w:val="en-US"/>
        </w:rPr>
        <w:t>59</w:t>
      </w:r>
      <w:r>
        <w:rPr>
          <w:rFonts w:eastAsia="楷体" w:cs="Arial" w:hint="eastAsia"/>
          <w:lang w:val="en-US"/>
        </w:rPr>
        <w:t>，</w:t>
      </w:r>
      <w:r w:rsidRPr="00850B44">
        <w:rPr>
          <w:rFonts w:eastAsia="楷体" w:cs="Arial" w:hint="eastAsia"/>
          <w:lang w:val="en-US"/>
        </w:rPr>
        <w:t>创下</w:t>
      </w:r>
      <w:r w:rsidRPr="00850B44">
        <w:rPr>
          <w:rFonts w:eastAsia="楷体" w:cs="Arial" w:hint="eastAsia"/>
          <w:lang w:val="en-US"/>
        </w:rPr>
        <w:t>2011</w:t>
      </w:r>
      <w:r w:rsidRPr="00850B44">
        <w:rPr>
          <w:rFonts w:eastAsia="楷体" w:cs="Arial" w:hint="eastAsia"/>
          <w:lang w:val="en-US"/>
        </w:rPr>
        <w:t>年</w:t>
      </w:r>
      <w:r w:rsidRPr="00850B44">
        <w:rPr>
          <w:rFonts w:eastAsia="楷体" w:cs="Arial" w:hint="eastAsia"/>
          <w:lang w:val="en-US"/>
        </w:rPr>
        <w:t>3</w:t>
      </w:r>
      <w:r>
        <w:rPr>
          <w:rFonts w:eastAsia="楷体" w:cs="Arial" w:hint="eastAsia"/>
          <w:lang w:val="en-US"/>
        </w:rPr>
        <w:t>月份来的最高值；</w:t>
      </w:r>
      <w:r w:rsidRPr="00850B44">
        <w:rPr>
          <w:rFonts w:eastAsia="楷体" w:cs="Arial" w:hint="eastAsia"/>
          <w:lang w:val="en-US"/>
        </w:rPr>
        <w:t>预期为</w:t>
      </w:r>
      <w:r w:rsidRPr="00850B44">
        <w:rPr>
          <w:rFonts w:eastAsia="楷体" w:cs="Arial" w:hint="eastAsia"/>
          <w:lang w:val="en-US"/>
        </w:rPr>
        <w:t>56.2</w:t>
      </w:r>
      <w:r w:rsidRPr="00850B44">
        <w:rPr>
          <w:rFonts w:eastAsia="楷体" w:cs="Arial" w:hint="eastAsia"/>
          <w:lang w:val="en-US"/>
        </w:rPr>
        <w:t>，</w:t>
      </w:r>
      <w:r w:rsidRPr="00850B44">
        <w:rPr>
          <w:rFonts w:eastAsia="楷体" w:cs="Arial" w:hint="eastAsia"/>
          <w:lang w:val="en-US"/>
        </w:rPr>
        <w:t>9</w:t>
      </w:r>
      <w:r w:rsidRPr="00850B44">
        <w:rPr>
          <w:rFonts w:eastAsia="楷体" w:cs="Arial" w:hint="eastAsia"/>
          <w:lang w:val="en-US"/>
        </w:rPr>
        <w:t>月份</w:t>
      </w:r>
      <w:r w:rsidRPr="00850B44">
        <w:rPr>
          <w:rFonts w:eastAsia="楷体" w:cs="Arial" w:hint="eastAsia"/>
          <w:lang w:val="en-US"/>
        </w:rPr>
        <w:t>56.6</w:t>
      </w:r>
      <w:r w:rsidRPr="00850B44">
        <w:rPr>
          <w:rFonts w:eastAsia="楷体" w:cs="Arial" w:hint="eastAsia"/>
          <w:lang w:val="en-US"/>
        </w:rPr>
        <w:t>。</w:t>
      </w:r>
      <w:proofErr w:type="gramStart"/>
      <w:r>
        <w:rPr>
          <w:rFonts w:eastAsia="楷体" w:cs="Arial" w:hint="eastAsia"/>
          <w:lang w:val="en-US"/>
        </w:rPr>
        <w:t>增速超</w:t>
      </w:r>
      <w:proofErr w:type="gramEnd"/>
      <w:r>
        <w:rPr>
          <w:rFonts w:eastAsia="楷体" w:cs="Arial" w:hint="eastAsia"/>
          <w:lang w:val="en-US"/>
        </w:rPr>
        <w:t>预期</w:t>
      </w:r>
      <w:r w:rsidRPr="00850B44">
        <w:rPr>
          <w:rFonts w:eastAsia="楷体" w:cs="Arial" w:hint="eastAsia"/>
          <w:lang w:val="en-US"/>
        </w:rPr>
        <w:t>显示出全球最大经济体工业表现仍然非常强劲。分项指数中</w:t>
      </w:r>
      <w:r>
        <w:rPr>
          <w:rFonts w:eastAsia="楷体" w:cs="Arial" w:hint="eastAsia"/>
          <w:lang w:val="en-US"/>
        </w:rPr>
        <w:t>，</w:t>
      </w:r>
      <w:r w:rsidRPr="00850B44">
        <w:rPr>
          <w:rFonts w:eastAsia="楷体" w:cs="Arial" w:hint="eastAsia"/>
          <w:lang w:val="en-US"/>
        </w:rPr>
        <w:t>就业指数从</w:t>
      </w:r>
      <w:r w:rsidRPr="00850B44">
        <w:rPr>
          <w:rFonts w:eastAsia="楷体" w:cs="Arial" w:hint="eastAsia"/>
          <w:lang w:val="en-US"/>
        </w:rPr>
        <w:t>9</w:t>
      </w:r>
      <w:r>
        <w:rPr>
          <w:rFonts w:eastAsia="楷体" w:cs="Arial" w:hint="eastAsia"/>
          <w:lang w:val="en-US"/>
        </w:rPr>
        <w:t>月</w:t>
      </w:r>
      <w:r w:rsidRPr="00850B44">
        <w:rPr>
          <w:rFonts w:eastAsia="楷体" w:cs="Arial" w:hint="eastAsia"/>
          <w:lang w:val="en-US"/>
        </w:rPr>
        <w:t>的</w:t>
      </w:r>
      <w:r w:rsidRPr="00850B44">
        <w:rPr>
          <w:rFonts w:eastAsia="楷体" w:cs="Arial" w:hint="eastAsia"/>
          <w:lang w:val="en-US"/>
        </w:rPr>
        <w:t>54.6</w:t>
      </w:r>
      <w:r w:rsidRPr="00850B44">
        <w:rPr>
          <w:rFonts w:eastAsia="楷体" w:cs="Arial" w:hint="eastAsia"/>
          <w:lang w:val="en-US"/>
        </w:rPr>
        <w:t>升至</w:t>
      </w:r>
      <w:r w:rsidRPr="00850B44">
        <w:rPr>
          <w:rFonts w:eastAsia="楷体" w:cs="Arial" w:hint="eastAsia"/>
          <w:lang w:val="en-US"/>
        </w:rPr>
        <w:t>55.5</w:t>
      </w:r>
      <w:r>
        <w:rPr>
          <w:rFonts w:eastAsia="楷体" w:cs="Arial" w:hint="eastAsia"/>
          <w:lang w:val="en-US"/>
        </w:rPr>
        <w:t>；</w:t>
      </w:r>
      <w:r w:rsidRPr="00850B44">
        <w:rPr>
          <w:rFonts w:eastAsia="楷体" w:cs="Arial" w:hint="eastAsia"/>
          <w:lang w:val="en-US"/>
        </w:rPr>
        <w:lastRenderedPageBreak/>
        <w:t>物价支付指数降至</w:t>
      </w:r>
      <w:r w:rsidRPr="00850B44">
        <w:rPr>
          <w:rFonts w:eastAsia="楷体" w:cs="Arial" w:hint="eastAsia"/>
          <w:lang w:val="en-US"/>
        </w:rPr>
        <w:t>53.5</w:t>
      </w:r>
      <w:r>
        <w:rPr>
          <w:rFonts w:eastAsia="楷体" w:cs="Arial" w:hint="eastAsia"/>
          <w:lang w:val="en-US"/>
        </w:rPr>
        <w:t>的</w:t>
      </w:r>
      <w:r w:rsidRPr="00850B44">
        <w:rPr>
          <w:rFonts w:eastAsia="楷体" w:cs="Arial" w:hint="eastAsia"/>
          <w:lang w:val="en-US"/>
        </w:rPr>
        <w:t>年内最低值，主要是因为较低的成本和原材料价格。</w:t>
      </w:r>
      <w:r>
        <w:rPr>
          <w:rFonts w:eastAsia="楷体" w:cs="Arial" w:hint="eastAsia"/>
          <w:lang w:val="en-US"/>
        </w:rPr>
        <w:t>各项</w:t>
      </w:r>
      <w:r w:rsidR="00C46C61">
        <w:rPr>
          <w:rFonts w:eastAsia="楷体" w:cs="Arial" w:hint="eastAsia"/>
          <w:lang w:val="en-US"/>
        </w:rPr>
        <w:t>均处于</w:t>
      </w:r>
      <w:r w:rsidR="00C46C61">
        <w:rPr>
          <w:rFonts w:eastAsia="楷体" w:cs="Arial" w:hint="eastAsia"/>
          <w:lang w:val="en-US"/>
        </w:rPr>
        <w:t>50</w:t>
      </w:r>
      <w:r w:rsidR="00C46C61">
        <w:rPr>
          <w:rFonts w:eastAsia="楷体" w:cs="Arial" w:hint="eastAsia"/>
          <w:lang w:val="en-US"/>
        </w:rPr>
        <w:t>以上的</w:t>
      </w:r>
      <w:r w:rsidRPr="00850B44">
        <w:rPr>
          <w:rFonts w:eastAsia="楷体" w:cs="Arial" w:hint="eastAsia"/>
          <w:lang w:val="en-US"/>
        </w:rPr>
        <w:t>扩张区域。</w:t>
      </w:r>
    </w:p>
    <w:p w:rsidR="00914A2F" w:rsidRDefault="00EB244C" w:rsidP="00E00D0A">
      <w:pPr>
        <w:pStyle w:val="ab"/>
        <w:numPr>
          <w:ilvl w:val="5"/>
          <w:numId w:val="2"/>
        </w:numPr>
        <w:spacing w:after="163"/>
        <w:ind w:left="4140" w:hanging="369"/>
        <w:rPr>
          <w:rFonts w:eastAsia="楷体" w:cs="Arial"/>
        </w:rPr>
      </w:pPr>
      <w:r>
        <w:rPr>
          <w:rFonts w:eastAsia="楷体" w:cs="Arial" w:hint="eastAsia"/>
        </w:rPr>
        <w:t>埃博拉疫情让</w:t>
      </w:r>
      <w:r w:rsidR="00D06A97">
        <w:rPr>
          <w:rFonts w:eastAsia="楷体" w:cs="Arial" w:hint="eastAsia"/>
        </w:rPr>
        <w:t>美国忧心忡忡，但并未导致美国人对消费支出的谨慎态度。</w:t>
      </w:r>
      <w:r>
        <w:rPr>
          <w:rFonts w:eastAsia="楷体" w:cs="Arial" w:hint="eastAsia"/>
        </w:rPr>
        <w:t>美</w:t>
      </w:r>
      <w:r w:rsidR="006F6D50" w:rsidRPr="00864263">
        <w:rPr>
          <w:rFonts w:eastAsia="楷体" w:cs="Arial" w:hint="eastAsia"/>
        </w:rPr>
        <w:t>10</w:t>
      </w:r>
      <w:r>
        <w:rPr>
          <w:rFonts w:eastAsia="楷体" w:cs="Arial" w:hint="eastAsia"/>
        </w:rPr>
        <w:t>月密歇根大学消费者信心指数初值</w:t>
      </w:r>
      <w:r w:rsidR="006F6D50" w:rsidRPr="00864263">
        <w:rPr>
          <w:rFonts w:eastAsia="楷体" w:cs="Arial" w:hint="eastAsia"/>
        </w:rPr>
        <w:t>86.4</w:t>
      </w:r>
      <w:r>
        <w:rPr>
          <w:rFonts w:eastAsia="楷体" w:cs="Arial" w:hint="eastAsia"/>
        </w:rPr>
        <w:t>，</w:t>
      </w:r>
      <w:r w:rsidR="006F6D50" w:rsidRPr="00864263">
        <w:rPr>
          <w:rFonts w:eastAsia="楷体" w:cs="Arial" w:hint="eastAsia"/>
        </w:rPr>
        <w:t>升至</w:t>
      </w:r>
      <w:r w:rsidR="006F6D50" w:rsidRPr="00864263">
        <w:rPr>
          <w:rFonts w:eastAsia="楷体" w:cs="Arial" w:hint="eastAsia"/>
        </w:rPr>
        <w:t>2007</w:t>
      </w:r>
      <w:r w:rsidR="006F6D50" w:rsidRPr="00864263">
        <w:rPr>
          <w:rFonts w:eastAsia="楷体" w:cs="Arial" w:hint="eastAsia"/>
        </w:rPr>
        <w:t>年</w:t>
      </w:r>
      <w:r w:rsidR="006F6D50" w:rsidRPr="00864263">
        <w:rPr>
          <w:rFonts w:eastAsia="楷体" w:cs="Arial" w:hint="eastAsia"/>
        </w:rPr>
        <w:t>7</w:t>
      </w:r>
      <w:r>
        <w:rPr>
          <w:rFonts w:eastAsia="楷体" w:cs="Arial" w:hint="eastAsia"/>
        </w:rPr>
        <w:t>月份以来新高</w:t>
      </w:r>
      <w:r w:rsidR="006F6D50" w:rsidRPr="00864263">
        <w:rPr>
          <w:rFonts w:eastAsia="楷体" w:cs="Arial" w:hint="eastAsia"/>
        </w:rPr>
        <w:t>，且创下</w:t>
      </w:r>
      <w:r w:rsidR="006F6D50" w:rsidRPr="00864263">
        <w:rPr>
          <w:rFonts w:eastAsia="楷体" w:cs="Arial" w:hint="eastAsia"/>
        </w:rPr>
        <w:t>2013</w:t>
      </w:r>
      <w:r w:rsidR="006F6D50" w:rsidRPr="00864263">
        <w:rPr>
          <w:rFonts w:eastAsia="楷体" w:cs="Arial" w:hint="eastAsia"/>
        </w:rPr>
        <w:t>年</w:t>
      </w:r>
      <w:r w:rsidR="006F6D50" w:rsidRPr="00864263">
        <w:rPr>
          <w:rFonts w:eastAsia="楷体" w:cs="Arial" w:hint="eastAsia"/>
        </w:rPr>
        <w:t>4</w:t>
      </w:r>
      <w:r>
        <w:rPr>
          <w:rFonts w:eastAsia="楷体" w:cs="Arial" w:hint="eastAsia"/>
        </w:rPr>
        <w:t>月份以来较预期水平升幅最高的一次，</w:t>
      </w:r>
      <w:r w:rsidR="00914A2F" w:rsidRPr="00864263">
        <w:rPr>
          <w:rFonts w:eastAsia="楷体" w:cs="Arial" w:hint="eastAsia"/>
        </w:rPr>
        <w:t>表明美国民众对于经济前景的看法持续乐观。</w:t>
      </w:r>
    </w:p>
    <w:p w:rsidR="006F6D50" w:rsidRDefault="00EB244C" w:rsidP="00E00D0A">
      <w:pPr>
        <w:pStyle w:val="ab"/>
        <w:numPr>
          <w:ilvl w:val="5"/>
          <w:numId w:val="2"/>
        </w:numPr>
        <w:spacing w:after="163"/>
        <w:ind w:left="4140" w:hanging="369"/>
        <w:rPr>
          <w:rFonts w:eastAsia="楷体" w:cs="Arial"/>
        </w:rPr>
      </w:pPr>
      <w:r w:rsidRPr="00864263">
        <w:rPr>
          <w:rFonts w:eastAsia="楷体" w:cs="Arial" w:hint="eastAsia"/>
        </w:rPr>
        <w:t>9</w:t>
      </w:r>
      <w:r w:rsidRPr="00864263">
        <w:rPr>
          <w:rFonts w:eastAsia="楷体" w:cs="Arial" w:hint="eastAsia"/>
        </w:rPr>
        <w:t>月</w:t>
      </w:r>
      <w:r>
        <w:rPr>
          <w:rFonts w:eastAsia="楷体" w:cs="Arial" w:hint="eastAsia"/>
        </w:rPr>
        <w:t>美</w:t>
      </w:r>
      <w:r w:rsidRPr="00864263">
        <w:rPr>
          <w:rFonts w:eastAsia="楷体" w:cs="Arial" w:hint="eastAsia"/>
        </w:rPr>
        <w:t>楼市复苏加速</w:t>
      </w:r>
      <w:r w:rsidR="00D06A97">
        <w:rPr>
          <w:rFonts w:eastAsia="楷体" w:cs="Arial" w:hint="eastAsia"/>
        </w:rPr>
        <w:t>。</w:t>
      </w:r>
      <w:r>
        <w:rPr>
          <w:rFonts w:eastAsia="楷体" w:cs="Arial" w:hint="eastAsia"/>
        </w:rPr>
        <w:t>美商务部数据显示，</w:t>
      </w:r>
      <w:r>
        <w:rPr>
          <w:rFonts w:eastAsia="楷体" w:cs="Arial" w:hint="eastAsia"/>
        </w:rPr>
        <w:t>9</w:t>
      </w:r>
      <w:r>
        <w:rPr>
          <w:rFonts w:eastAsia="楷体" w:cs="Arial" w:hint="eastAsia"/>
        </w:rPr>
        <w:t>月</w:t>
      </w:r>
      <w:r w:rsidR="006F6D50" w:rsidRPr="00864263">
        <w:rPr>
          <w:rFonts w:eastAsia="楷体" w:cs="Arial" w:hint="eastAsia"/>
        </w:rPr>
        <w:t>房屋开工增加</w:t>
      </w:r>
      <w:r w:rsidR="006F6D50" w:rsidRPr="00864263">
        <w:rPr>
          <w:rFonts w:eastAsia="楷体" w:cs="Arial" w:hint="eastAsia"/>
        </w:rPr>
        <w:t>6.3%</w:t>
      </w:r>
      <w:r>
        <w:rPr>
          <w:rFonts w:eastAsia="楷体" w:cs="Arial" w:hint="eastAsia"/>
        </w:rPr>
        <w:t>，年率</w:t>
      </w:r>
      <w:r w:rsidR="006F6D50" w:rsidRPr="00864263">
        <w:rPr>
          <w:rFonts w:eastAsia="楷体" w:cs="Arial" w:hint="eastAsia"/>
        </w:rPr>
        <w:t>102</w:t>
      </w:r>
      <w:r w:rsidR="006F6D50" w:rsidRPr="00864263">
        <w:rPr>
          <w:rFonts w:eastAsia="楷体" w:cs="Arial" w:hint="eastAsia"/>
        </w:rPr>
        <w:t>万户，升幅超过预期；建筑许可亦有上升。</w:t>
      </w:r>
      <w:r w:rsidR="00914A2F" w:rsidRPr="00914A2F">
        <w:rPr>
          <w:rFonts w:eastAsia="楷体" w:cs="Arial" w:hint="eastAsia"/>
        </w:rPr>
        <w:t>这意味着稳定的新增就业和下降的利率有望在今年底</w:t>
      </w:r>
      <w:r>
        <w:rPr>
          <w:rFonts w:eastAsia="楷体" w:cs="Arial" w:hint="eastAsia"/>
        </w:rPr>
        <w:t>进一步推动</w:t>
      </w:r>
      <w:r w:rsidR="00914A2F" w:rsidRPr="00914A2F">
        <w:rPr>
          <w:rFonts w:eastAsia="楷体" w:cs="Arial" w:hint="eastAsia"/>
        </w:rPr>
        <w:t>建筑行业</w:t>
      </w:r>
      <w:r w:rsidR="00897DE4">
        <w:rPr>
          <w:rFonts w:eastAsia="楷体" w:cs="Arial" w:hint="eastAsia"/>
        </w:rPr>
        <w:t>复苏</w:t>
      </w:r>
      <w:r w:rsidR="00914A2F" w:rsidRPr="00914A2F">
        <w:rPr>
          <w:rFonts w:eastAsia="楷体" w:cs="Arial" w:hint="eastAsia"/>
        </w:rPr>
        <w:t>。</w:t>
      </w:r>
    </w:p>
    <w:p w:rsidR="00914A2F" w:rsidRPr="00914A2F" w:rsidRDefault="00914A2F" w:rsidP="00914A2F">
      <w:pPr>
        <w:pStyle w:val="ab"/>
        <w:numPr>
          <w:ilvl w:val="5"/>
          <w:numId w:val="2"/>
        </w:numPr>
        <w:spacing w:after="163"/>
        <w:ind w:left="4140" w:hanging="369"/>
        <w:rPr>
          <w:rFonts w:eastAsia="楷体" w:cs="Arial"/>
        </w:rPr>
      </w:pPr>
      <w:r w:rsidRPr="00914A2F">
        <w:rPr>
          <w:rFonts w:eastAsia="楷体" w:cs="Arial" w:hint="eastAsia"/>
        </w:rPr>
        <w:t>在截至</w:t>
      </w:r>
      <w:r w:rsidRPr="00914A2F">
        <w:rPr>
          <w:rFonts w:eastAsia="楷体" w:cs="Arial" w:hint="eastAsia"/>
        </w:rPr>
        <w:t>11</w:t>
      </w:r>
      <w:r w:rsidRPr="00914A2F">
        <w:rPr>
          <w:rFonts w:eastAsia="楷体" w:cs="Arial" w:hint="eastAsia"/>
        </w:rPr>
        <w:t>月</w:t>
      </w:r>
      <w:r w:rsidRPr="00914A2F">
        <w:rPr>
          <w:rFonts w:eastAsia="楷体" w:cs="Arial" w:hint="eastAsia"/>
        </w:rPr>
        <w:t>1</w:t>
      </w:r>
      <w:r w:rsidRPr="00914A2F">
        <w:rPr>
          <w:rFonts w:eastAsia="楷体" w:cs="Arial" w:hint="eastAsia"/>
        </w:rPr>
        <w:t>日的一周，美国首次申请失业救济人数为</w:t>
      </w:r>
      <w:r w:rsidRPr="00914A2F">
        <w:rPr>
          <w:rFonts w:eastAsia="楷体" w:cs="Arial" w:hint="eastAsia"/>
        </w:rPr>
        <w:t>27.8</w:t>
      </w:r>
      <w:r w:rsidRPr="00914A2F">
        <w:rPr>
          <w:rFonts w:eastAsia="楷体" w:cs="Arial" w:hint="eastAsia"/>
        </w:rPr>
        <w:t>万，比前一周修正后的数字下降</w:t>
      </w:r>
      <w:r w:rsidRPr="00914A2F">
        <w:rPr>
          <w:rFonts w:eastAsia="楷体" w:cs="Arial" w:hint="eastAsia"/>
        </w:rPr>
        <w:t>1</w:t>
      </w:r>
      <w:r w:rsidRPr="00914A2F">
        <w:rPr>
          <w:rFonts w:eastAsia="楷体" w:cs="Arial" w:hint="eastAsia"/>
        </w:rPr>
        <w:t>万人。</w:t>
      </w:r>
      <w:r w:rsidR="00BE7F05">
        <w:rPr>
          <w:rFonts w:eastAsia="楷体" w:cs="Arial" w:hint="eastAsia"/>
        </w:rPr>
        <w:t>同期，</w:t>
      </w:r>
      <w:r w:rsidR="00D06A97">
        <w:rPr>
          <w:rFonts w:eastAsia="楷体" w:cs="Arial" w:hint="eastAsia"/>
        </w:rPr>
        <w:t>波动性较小的首次申请失业救济人数四周移动平均值</w:t>
      </w:r>
      <w:r w:rsidRPr="00914A2F">
        <w:rPr>
          <w:rFonts w:eastAsia="楷体" w:cs="Arial" w:hint="eastAsia"/>
        </w:rPr>
        <w:t>27.9</w:t>
      </w:r>
      <w:r w:rsidRPr="00914A2F">
        <w:rPr>
          <w:rFonts w:eastAsia="楷体" w:cs="Arial" w:hint="eastAsia"/>
        </w:rPr>
        <w:t>万，较前一周下降</w:t>
      </w:r>
      <w:r w:rsidRPr="00914A2F">
        <w:rPr>
          <w:rFonts w:eastAsia="楷体" w:cs="Arial" w:hint="eastAsia"/>
        </w:rPr>
        <w:t>2250</w:t>
      </w:r>
      <w:r w:rsidRPr="00914A2F">
        <w:rPr>
          <w:rFonts w:eastAsia="楷体" w:cs="Arial" w:hint="eastAsia"/>
        </w:rPr>
        <w:t>人，为</w:t>
      </w:r>
      <w:r w:rsidRPr="00914A2F">
        <w:rPr>
          <w:rFonts w:eastAsia="楷体" w:cs="Arial" w:hint="eastAsia"/>
        </w:rPr>
        <w:t>2000</w:t>
      </w:r>
      <w:r w:rsidRPr="00914A2F">
        <w:rPr>
          <w:rFonts w:eastAsia="楷体" w:cs="Arial" w:hint="eastAsia"/>
        </w:rPr>
        <w:t>年</w:t>
      </w:r>
      <w:r w:rsidRPr="00914A2F">
        <w:rPr>
          <w:rFonts w:eastAsia="楷体" w:cs="Arial" w:hint="eastAsia"/>
        </w:rPr>
        <w:t>4</w:t>
      </w:r>
      <w:r w:rsidRPr="00914A2F">
        <w:rPr>
          <w:rFonts w:eastAsia="楷体" w:cs="Arial" w:hint="eastAsia"/>
        </w:rPr>
        <w:t>月以来最低值。</w:t>
      </w:r>
      <w:r w:rsidR="00D06A97">
        <w:rPr>
          <w:rFonts w:eastAsia="楷体" w:cs="Arial" w:hint="eastAsia"/>
        </w:rPr>
        <w:t>美国就业市场保持复苏态势，印证美国经济基本面向好，利好资本市场的同时，</w:t>
      </w:r>
      <w:r w:rsidRPr="00914A2F">
        <w:rPr>
          <w:rFonts w:eastAsia="楷体" w:cs="Arial" w:hint="eastAsia"/>
        </w:rPr>
        <w:t>对具避险功能的黄金期价形成打压。</w:t>
      </w:r>
    </w:p>
    <w:p w:rsidR="008A214C" w:rsidRDefault="008A214C" w:rsidP="008A214C">
      <w:pPr>
        <w:pStyle w:val="ab"/>
        <w:numPr>
          <w:ilvl w:val="5"/>
          <w:numId w:val="2"/>
        </w:numPr>
        <w:spacing w:after="163"/>
        <w:ind w:left="4140" w:hanging="369"/>
        <w:rPr>
          <w:rFonts w:eastAsia="楷体" w:cs="Arial"/>
        </w:rPr>
      </w:pPr>
      <w:r w:rsidRPr="00864263">
        <w:rPr>
          <w:rFonts w:eastAsia="楷体" w:cs="Arial" w:hint="eastAsia"/>
        </w:rPr>
        <w:t>在国际原油价格持续走低的压力</w:t>
      </w:r>
      <w:r w:rsidR="00BE7F05">
        <w:rPr>
          <w:rFonts w:eastAsia="楷体" w:cs="Arial" w:hint="eastAsia"/>
        </w:rPr>
        <w:t>下，美</w:t>
      </w:r>
      <w:r w:rsidRPr="00864263">
        <w:rPr>
          <w:rFonts w:eastAsia="楷体" w:cs="Arial" w:hint="eastAsia"/>
        </w:rPr>
        <w:t>CPI</w:t>
      </w:r>
      <w:r w:rsidR="00BE7F05">
        <w:rPr>
          <w:rFonts w:eastAsia="楷体" w:cs="Arial" w:hint="eastAsia"/>
        </w:rPr>
        <w:t>却意外略高于</w:t>
      </w:r>
      <w:r w:rsidRPr="00864263">
        <w:rPr>
          <w:rFonts w:eastAsia="楷体" w:cs="Arial" w:hint="eastAsia"/>
        </w:rPr>
        <w:t>预期。美</w:t>
      </w:r>
      <w:r w:rsidRPr="00864263">
        <w:rPr>
          <w:rFonts w:eastAsia="楷体" w:cs="Arial" w:hint="eastAsia"/>
        </w:rPr>
        <w:t>9</w:t>
      </w:r>
      <w:r w:rsidRPr="00864263">
        <w:rPr>
          <w:rFonts w:eastAsia="楷体" w:cs="Arial" w:hint="eastAsia"/>
        </w:rPr>
        <w:t>月季调后</w:t>
      </w:r>
      <w:r w:rsidRPr="00864263">
        <w:rPr>
          <w:rFonts w:eastAsia="楷体" w:cs="Arial" w:hint="eastAsia"/>
        </w:rPr>
        <w:t>CPI</w:t>
      </w:r>
      <w:r w:rsidRPr="00864263">
        <w:rPr>
          <w:rFonts w:eastAsia="楷体" w:cs="Arial" w:hint="eastAsia"/>
        </w:rPr>
        <w:t>月率增长</w:t>
      </w:r>
      <w:r w:rsidRPr="00864263">
        <w:rPr>
          <w:rFonts w:eastAsia="楷体" w:cs="Arial" w:hint="eastAsia"/>
        </w:rPr>
        <w:t>0.1%</w:t>
      </w:r>
      <w:r w:rsidRPr="00864263">
        <w:rPr>
          <w:rFonts w:eastAsia="楷体" w:cs="Arial" w:hint="eastAsia"/>
        </w:rPr>
        <w:t>，与预期持平，前值下滑</w:t>
      </w:r>
      <w:r w:rsidRPr="00864263">
        <w:rPr>
          <w:rFonts w:eastAsia="楷体" w:cs="Arial" w:hint="eastAsia"/>
        </w:rPr>
        <w:t>0.2%</w:t>
      </w:r>
      <w:r w:rsidRPr="00864263">
        <w:rPr>
          <w:rFonts w:eastAsia="楷体" w:cs="Arial" w:hint="eastAsia"/>
        </w:rPr>
        <w:t>；实际收入月率增长</w:t>
      </w:r>
      <w:r w:rsidRPr="00864263">
        <w:rPr>
          <w:rFonts w:eastAsia="楷体" w:cs="Arial" w:hint="eastAsia"/>
        </w:rPr>
        <w:t>0.2%</w:t>
      </w:r>
      <w:r w:rsidRPr="00864263">
        <w:rPr>
          <w:rFonts w:eastAsia="楷体" w:cs="Arial" w:hint="eastAsia"/>
        </w:rPr>
        <w:t>，略不及预期的增长</w:t>
      </w:r>
      <w:r w:rsidRPr="00864263">
        <w:rPr>
          <w:rFonts w:eastAsia="楷体" w:cs="Arial" w:hint="eastAsia"/>
        </w:rPr>
        <w:t>0.3%</w:t>
      </w:r>
      <w:r w:rsidRPr="00864263">
        <w:rPr>
          <w:rFonts w:eastAsia="楷体" w:cs="Arial" w:hint="eastAsia"/>
        </w:rPr>
        <w:t>，前值增长</w:t>
      </w:r>
      <w:r w:rsidRPr="00864263">
        <w:rPr>
          <w:rFonts w:eastAsia="楷体" w:cs="Arial" w:hint="eastAsia"/>
        </w:rPr>
        <w:t>0.5%</w:t>
      </w:r>
      <w:r w:rsidRPr="00864263">
        <w:rPr>
          <w:rFonts w:eastAsia="楷体" w:cs="Arial" w:hint="eastAsia"/>
        </w:rPr>
        <w:t>。主要</w:t>
      </w:r>
      <w:proofErr w:type="gramStart"/>
      <w:r w:rsidRPr="00864263">
        <w:rPr>
          <w:rFonts w:eastAsia="楷体" w:cs="Arial" w:hint="eastAsia"/>
        </w:rPr>
        <w:t>受食品</w:t>
      </w:r>
      <w:proofErr w:type="gramEnd"/>
      <w:r w:rsidRPr="00864263">
        <w:rPr>
          <w:rFonts w:eastAsia="楷体" w:cs="Arial" w:hint="eastAsia"/>
        </w:rPr>
        <w:t>价格上涨拉动。</w:t>
      </w:r>
      <w:r w:rsidR="00BE7F05" w:rsidRPr="00864263">
        <w:rPr>
          <w:rFonts w:eastAsia="楷体" w:cs="Arial" w:hint="eastAsia"/>
        </w:rPr>
        <w:t>欧洲、中国经济增速放缓</w:t>
      </w:r>
      <w:r w:rsidRPr="00864263">
        <w:rPr>
          <w:rFonts w:eastAsia="楷体" w:cs="Arial" w:hint="eastAsia"/>
        </w:rPr>
        <w:t>、油价和大宗商品价格下跌、工资增长依然疲软</w:t>
      </w:r>
      <w:r w:rsidR="00BE7F05">
        <w:rPr>
          <w:rFonts w:eastAsia="楷体" w:cs="Arial" w:hint="eastAsia"/>
        </w:rPr>
        <w:t>等因素</w:t>
      </w:r>
      <w:r w:rsidRPr="00864263">
        <w:rPr>
          <w:rFonts w:eastAsia="楷体" w:cs="Arial" w:hint="eastAsia"/>
        </w:rPr>
        <w:t>，抑制了</w:t>
      </w:r>
      <w:r w:rsidRPr="00864263">
        <w:rPr>
          <w:rFonts w:eastAsia="楷体" w:cs="Arial" w:hint="eastAsia"/>
        </w:rPr>
        <w:t>9</w:t>
      </w:r>
      <w:r w:rsidR="00BE7F05">
        <w:rPr>
          <w:rFonts w:eastAsia="楷体" w:cs="Arial" w:hint="eastAsia"/>
        </w:rPr>
        <w:t>月的总体价格压力，利好消费开支；而低迷的通胀将给美联储</w:t>
      </w:r>
      <w:r w:rsidR="00BE7F05" w:rsidRPr="00864263">
        <w:rPr>
          <w:rFonts w:eastAsia="楷体" w:cs="Arial" w:hint="eastAsia"/>
        </w:rPr>
        <w:t>充分理由不必急于加息</w:t>
      </w:r>
      <w:r w:rsidRPr="00864263">
        <w:rPr>
          <w:rFonts w:eastAsia="楷体" w:cs="Arial" w:hint="eastAsia"/>
        </w:rPr>
        <w:t>。</w:t>
      </w:r>
    </w:p>
    <w:tbl>
      <w:tblPr>
        <w:tblW w:w="10771" w:type="dxa"/>
        <w:tblLayout w:type="fixed"/>
        <w:tblCellMar>
          <w:left w:w="0" w:type="dxa"/>
          <w:right w:w="0" w:type="dxa"/>
        </w:tblCellMar>
        <w:tblLook w:val="0000"/>
      </w:tblPr>
      <w:tblGrid>
        <w:gridCol w:w="5272"/>
        <w:gridCol w:w="227"/>
        <w:gridCol w:w="5272"/>
      </w:tblGrid>
      <w:tr w:rsidR="002C111A" w:rsidRPr="00FC54FE" w:rsidTr="001C47CA">
        <w:trPr>
          <w:cantSplit/>
          <w:trHeight w:val="368"/>
        </w:trPr>
        <w:tc>
          <w:tcPr>
            <w:tcW w:w="5272" w:type="dxa"/>
            <w:tcBorders>
              <w:top w:val="single" w:sz="6" w:space="0" w:color="FF6600"/>
              <w:bottom w:val="single" w:sz="6" w:space="0" w:color="FF6600"/>
            </w:tcBorders>
            <w:shd w:val="clear" w:color="auto" w:fill="auto"/>
            <w:vAlign w:val="center"/>
          </w:tcPr>
          <w:p w:rsidR="002C111A" w:rsidRPr="00FC54FE" w:rsidRDefault="002C111A" w:rsidP="001C47CA">
            <w:pPr>
              <w:pStyle w:val="SubTitleLargeTable"/>
              <w:pBdr>
                <w:top w:val="none" w:sz="0" w:space="0" w:color="auto"/>
              </w:pBdr>
              <w:rPr>
                <w:rFonts w:ascii="楷体" w:eastAsia="楷体" w:hAnsi="楷体"/>
                <w:color w:val="FF6600"/>
              </w:rPr>
            </w:pPr>
            <w:r w:rsidRPr="00FC54FE">
              <w:rPr>
                <w:rFonts w:ascii="楷体" w:eastAsia="楷体" w:hAnsi="楷体"/>
                <w:color w:val="FF6600"/>
              </w:rPr>
              <w:t>图表</w:t>
            </w:r>
            <w:r>
              <w:rPr>
                <w:rFonts w:ascii="楷体" w:eastAsia="楷体" w:hAnsi="楷体" w:hint="eastAsia"/>
                <w:color w:val="FF6600"/>
              </w:rPr>
              <w:t>2</w:t>
            </w:r>
            <w:r w:rsidRPr="00FC54FE">
              <w:rPr>
                <w:rFonts w:ascii="楷体" w:eastAsia="楷体" w:hAnsi="楷体" w:hint="eastAsia"/>
                <w:color w:val="FF6600"/>
              </w:rPr>
              <w:t>：</w:t>
            </w:r>
            <w:r w:rsidRPr="00A3282F">
              <w:rPr>
                <w:rFonts w:ascii="楷体" w:eastAsia="楷体" w:hAnsi="楷体" w:hint="eastAsia"/>
                <w:color w:val="FF6600"/>
              </w:rPr>
              <w:t>美国</w:t>
            </w:r>
            <w:r>
              <w:rPr>
                <w:rFonts w:ascii="楷体" w:eastAsia="楷体" w:hAnsi="楷体" w:hint="eastAsia"/>
                <w:color w:val="FF6600"/>
              </w:rPr>
              <w:t>ISM</w:t>
            </w:r>
            <w:r w:rsidRPr="00A3282F">
              <w:rPr>
                <w:rFonts w:ascii="楷体" w:eastAsia="楷体" w:hAnsi="楷体" w:hint="eastAsia"/>
                <w:color w:val="FF6600"/>
              </w:rPr>
              <w:t>制造业PMI指数</w:t>
            </w:r>
          </w:p>
        </w:tc>
        <w:tc>
          <w:tcPr>
            <w:tcW w:w="227" w:type="dxa"/>
            <w:vAlign w:val="center"/>
          </w:tcPr>
          <w:p w:rsidR="002C111A" w:rsidRPr="00FC54FE" w:rsidRDefault="002C111A" w:rsidP="001C47CA">
            <w:pPr>
              <w:jc w:val="center"/>
              <w:rPr>
                <w:rFonts w:ascii="楷体" w:eastAsia="楷体" w:hAnsi="楷体" w:cs="Arial"/>
                <w:b/>
                <w:bCs/>
                <w:i/>
                <w:iCs/>
                <w:color w:val="FF6600"/>
                <w:kern w:val="0"/>
                <w:szCs w:val="21"/>
                <w:lang w:val="en-GB"/>
              </w:rPr>
            </w:pPr>
          </w:p>
        </w:tc>
        <w:tc>
          <w:tcPr>
            <w:tcW w:w="5272" w:type="dxa"/>
            <w:tcBorders>
              <w:top w:val="single" w:sz="6" w:space="0" w:color="FF6600"/>
              <w:bottom w:val="single" w:sz="6" w:space="0" w:color="FF6600"/>
            </w:tcBorders>
            <w:shd w:val="clear" w:color="auto" w:fill="auto"/>
            <w:vAlign w:val="center"/>
          </w:tcPr>
          <w:p w:rsidR="002C111A" w:rsidRPr="00FC54FE" w:rsidRDefault="002C111A" w:rsidP="001C47CA">
            <w:pPr>
              <w:pStyle w:val="SubTitleLargeTable"/>
              <w:pBdr>
                <w:top w:val="none" w:sz="0" w:space="0" w:color="auto"/>
              </w:pBdr>
              <w:rPr>
                <w:rFonts w:ascii="楷体" w:eastAsia="楷体" w:hAnsi="楷体"/>
                <w:color w:val="FF6600"/>
              </w:rPr>
            </w:pPr>
            <w:r w:rsidRPr="00FC54FE">
              <w:rPr>
                <w:rFonts w:ascii="楷体" w:eastAsia="楷体" w:hAnsi="楷体"/>
                <w:color w:val="FF6600"/>
              </w:rPr>
              <w:t>图表</w:t>
            </w:r>
            <w:r>
              <w:rPr>
                <w:rFonts w:ascii="楷体" w:eastAsia="楷体" w:hAnsi="楷体" w:hint="eastAsia"/>
                <w:color w:val="FF6600"/>
              </w:rPr>
              <w:t>3</w:t>
            </w:r>
            <w:r w:rsidRPr="00FC54FE">
              <w:rPr>
                <w:rFonts w:ascii="楷体" w:eastAsia="楷体" w:hAnsi="楷体" w:hint="eastAsia"/>
                <w:color w:val="FF6600"/>
              </w:rPr>
              <w:t>：</w:t>
            </w:r>
            <w:r w:rsidRPr="00053B64">
              <w:rPr>
                <w:rFonts w:ascii="楷体" w:eastAsia="楷体" w:hAnsi="楷体" w:hint="eastAsia"/>
                <w:color w:val="FF6600"/>
              </w:rPr>
              <w:t>美</w:t>
            </w:r>
            <w:r>
              <w:rPr>
                <w:rFonts w:ascii="楷体" w:eastAsia="楷体" w:hAnsi="楷体" w:hint="eastAsia"/>
                <w:color w:val="FF6600"/>
              </w:rPr>
              <w:t>国</w:t>
            </w:r>
            <w:r w:rsidRPr="00053B64">
              <w:rPr>
                <w:rFonts w:ascii="楷体" w:eastAsia="楷体" w:hAnsi="楷体" w:hint="eastAsia"/>
                <w:color w:val="FF6600"/>
              </w:rPr>
              <w:t>成屋销售</w:t>
            </w:r>
            <w:r>
              <w:rPr>
                <w:rFonts w:ascii="楷体" w:eastAsia="楷体" w:hAnsi="楷体" w:hint="eastAsia"/>
                <w:color w:val="FF6600"/>
              </w:rPr>
              <w:t>月率</w:t>
            </w:r>
          </w:p>
        </w:tc>
      </w:tr>
      <w:tr w:rsidR="002C111A" w:rsidRPr="00FC54FE" w:rsidTr="001C47CA">
        <w:trPr>
          <w:cantSplit/>
          <w:trHeight w:val="2793"/>
        </w:trPr>
        <w:tc>
          <w:tcPr>
            <w:tcW w:w="5272" w:type="dxa"/>
            <w:tcBorders>
              <w:top w:val="single" w:sz="6" w:space="0" w:color="FF6600"/>
              <w:bottom w:val="single" w:sz="6" w:space="0" w:color="FF6600"/>
            </w:tcBorders>
            <w:shd w:val="clear" w:color="auto" w:fill="auto"/>
            <w:vAlign w:val="center"/>
          </w:tcPr>
          <w:p w:rsidR="002C111A" w:rsidRPr="00FC54FE" w:rsidRDefault="002C111A" w:rsidP="001C47CA">
            <w:pPr>
              <w:jc w:val="center"/>
              <w:rPr>
                <w:rFonts w:ascii="楷体" w:eastAsia="楷体" w:hAnsi="楷体"/>
              </w:rPr>
            </w:pPr>
            <w:r>
              <w:rPr>
                <w:rFonts w:ascii="楷体" w:eastAsia="楷体" w:hAnsi="楷体"/>
                <w:noProof/>
              </w:rPr>
              <w:drawing>
                <wp:inline distT="0" distB="0" distL="0" distR="0">
                  <wp:extent cx="3295650" cy="1914525"/>
                  <wp:effectExtent l="19050" t="0" r="0" b="0"/>
                  <wp:docPr id="18" name="图片 10" descr="C:\Users\shanghai\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hanghai\Desktop\1.jpg"/>
                          <pic:cNvPicPr>
                            <a:picLocks noChangeAspect="1" noChangeArrowheads="1"/>
                          </pic:cNvPicPr>
                        </pic:nvPicPr>
                        <pic:blipFill>
                          <a:blip r:embed="rId11" cstate="print"/>
                          <a:srcRect/>
                          <a:stretch>
                            <a:fillRect/>
                          </a:stretch>
                        </pic:blipFill>
                        <pic:spPr bwMode="auto">
                          <a:xfrm>
                            <a:off x="0" y="0"/>
                            <a:ext cx="3296792" cy="1915189"/>
                          </a:xfrm>
                          <a:prstGeom prst="rect">
                            <a:avLst/>
                          </a:prstGeom>
                          <a:noFill/>
                          <a:ln w="9525">
                            <a:noFill/>
                            <a:miter lim="800000"/>
                            <a:headEnd/>
                            <a:tailEnd/>
                          </a:ln>
                        </pic:spPr>
                      </pic:pic>
                    </a:graphicData>
                  </a:graphic>
                </wp:inline>
              </w:drawing>
            </w:r>
          </w:p>
        </w:tc>
        <w:tc>
          <w:tcPr>
            <w:tcW w:w="227" w:type="dxa"/>
            <w:vAlign w:val="center"/>
          </w:tcPr>
          <w:p w:rsidR="002C111A" w:rsidRPr="00FC54FE" w:rsidRDefault="002C111A" w:rsidP="001C47CA">
            <w:pPr>
              <w:jc w:val="center"/>
              <w:rPr>
                <w:rFonts w:ascii="楷体" w:eastAsia="楷体" w:hAnsi="楷体"/>
              </w:rPr>
            </w:pPr>
          </w:p>
        </w:tc>
        <w:tc>
          <w:tcPr>
            <w:tcW w:w="5272" w:type="dxa"/>
            <w:tcBorders>
              <w:top w:val="single" w:sz="6" w:space="0" w:color="FF6600"/>
              <w:bottom w:val="single" w:sz="6" w:space="0" w:color="FF6600"/>
            </w:tcBorders>
            <w:shd w:val="clear" w:color="auto" w:fill="auto"/>
            <w:vAlign w:val="center"/>
          </w:tcPr>
          <w:p w:rsidR="002C111A" w:rsidRPr="00FC54FE" w:rsidRDefault="002C111A" w:rsidP="001C47CA">
            <w:pPr>
              <w:jc w:val="center"/>
              <w:rPr>
                <w:rFonts w:ascii="楷体" w:eastAsia="楷体" w:hAnsi="楷体"/>
              </w:rPr>
            </w:pPr>
            <w:r>
              <w:rPr>
                <w:rFonts w:ascii="楷体" w:eastAsia="楷体" w:hAnsi="楷体"/>
                <w:noProof/>
              </w:rPr>
              <w:drawing>
                <wp:inline distT="0" distB="0" distL="0" distR="0">
                  <wp:extent cx="3322730" cy="1952625"/>
                  <wp:effectExtent l="19050" t="0" r="0" b="0"/>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326288" cy="1954716"/>
                          </a:xfrm>
                          <a:prstGeom prst="rect">
                            <a:avLst/>
                          </a:prstGeom>
                          <a:noFill/>
                        </pic:spPr>
                      </pic:pic>
                    </a:graphicData>
                  </a:graphic>
                </wp:inline>
              </w:drawing>
            </w:r>
          </w:p>
        </w:tc>
      </w:tr>
    </w:tbl>
    <w:p w:rsidR="002C111A" w:rsidRPr="002C111A" w:rsidRDefault="002C111A" w:rsidP="002C111A">
      <w:pPr>
        <w:pStyle w:val="FootnoteNoline"/>
        <w:ind w:left="0"/>
        <w:rPr>
          <w:rFonts w:ascii="楷体" w:eastAsia="楷体" w:hAnsi="楷体"/>
          <w:color w:val="FF6600"/>
        </w:rPr>
      </w:pPr>
      <w:r w:rsidRPr="00FC54FE">
        <w:rPr>
          <w:rFonts w:ascii="楷体" w:eastAsia="楷体" w:hAnsi="楷体" w:hint="eastAsia"/>
          <w:color w:val="FF6600"/>
        </w:rPr>
        <w:t>来源：</w:t>
      </w:r>
      <w:proofErr w:type="gramStart"/>
      <w:r w:rsidRPr="00FC54FE">
        <w:rPr>
          <w:rFonts w:ascii="楷体" w:eastAsia="楷体" w:hAnsi="楷体" w:hint="eastAsia"/>
          <w:color w:val="FF6600"/>
        </w:rPr>
        <w:t>凯</w:t>
      </w:r>
      <w:proofErr w:type="gramEnd"/>
      <w:r w:rsidRPr="00FC54FE">
        <w:rPr>
          <w:rFonts w:ascii="楷体" w:eastAsia="楷体" w:hAnsi="楷体" w:hint="eastAsia"/>
          <w:color w:val="FF6600"/>
        </w:rPr>
        <w:t xml:space="preserve">石财富工场 wind </w:t>
      </w:r>
    </w:p>
    <w:p w:rsidR="008B4DB7" w:rsidRPr="00864263" w:rsidRDefault="007C3E23" w:rsidP="006A7504">
      <w:pPr>
        <w:pStyle w:val="ab"/>
        <w:numPr>
          <w:ilvl w:val="4"/>
          <w:numId w:val="1"/>
        </w:numPr>
        <w:spacing w:after="163"/>
        <w:rPr>
          <w:rFonts w:eastAsia="楷体" w:cs="Arial"/>
        </w:rPr>
      </w:pPr>
      <w:r w:rsidRPr="00864263">
        <w:rPr>
          <w:rFonts w:eastAsia="楷体" w:cs="Arial" w:hint="eastAsia"/>
        </w:rPr>
        <w:t>QE</w:t>
      </w:r>
      <w:r w:rsidRPr="00864263">
        <w:rPr>
          <w:rFonts w:eastAsia="楷体" w:cs="Arial" w:hint="eastAsia"/>
        </w:rPr>
        <w:t>于</w:t>
      </w:r>
      <w:r w:rsidR="006412FD" w:rsidRPr="00864263">
        <w:rPr>
          <w:rFonts w:eastAsia="楷体" w:cs="Arial" w:hint="eastAsia"/>
        </w:rPr>
        <w:t>10</w:t>
      </w:r>
      <w:r w:rsidR="002C111A">
        <w:rPr>
          <w:rFonts w:eastAsia="楷体" w:cs="Arial" w:hint="eastAsia"/>
        </w:rPr>
        <w:t>月</w:t>
      </w:r>
      <w:r w:rsidRPr="00864263">
        <w:rPr>
          <w:rFonts w:eastAsia="楷体" w:cs="Arial" w:hint="eastAsia"/>
        </w:rPr>
        <w:t>结束，</w:t>
      </w:r>
      <w:r w:rsidR="006412FD" w:rsidRPr="00864263">
        <w:rPr>
          <w:rFonts w:eastAsia="楷体" w:cs="Arial" w:hint="eastAsia"/>
        </w:rPr>
        <w:t>意味着</w:t>
      </w:r>
      <w:r w:rsidRPr="00864263">
        <w:rPr>
          <w:rFonts w:eastAsia="楷体" w:cs="Arial" w:hint="eastAsia"/>
        </w:rPr>
        <w:t>美联储</w:t>
      </w:r>
      <w:r w:rsidR="00B57495" w:rsidRPr="00864263">
        <w:rPr>
          <w:rFonts w:eastAsia="楷体" w:cs="Arial" w:hint="eastAsia"/>
        </w:rPr>
        <w:t>减少购买资产</w:t>
      </w:r>
      <w:r w:rsidR="00B57495" w:rsidRPr="00864263">
        <w:rPr>
          <w:rFonts w:eastAsia="楷体" w:cs="Arial" w:hint="eastAsia"/>
        </w:rPr>
        <w:t>150</w:t>
      </w:r>
      <w:r w:rsidR="00B57495" w:rsidRPr="00864263">
        <w:rPr>
          <w:rFonts w:eastAsia="楷体" w:cs="Arial" w:hint="eastAsia"/>
        </w:rPr>
        <w:t>亿，</w:t>
      </w:r>
      <w:r w:rsidR="009D1808" w:rsidRPr="00864263">
        <w:rPr>
          <w:rFonts w:eastAsia="楷体" w:cs="Arial" w:hint="eastAsia"/>
        </w:rPr>
        <w:t>较</w:t>
      </w:r>
      <w:r w:rsidR="00B57495" w:rsidRPr="00864263">
        <w:rPr>
          <w:rFonts w:eastAsia="楷体" w:cs="Arial" w:hint="eastAsia"/>
        </w:rPr>
        <w:t>之前每月减少</w:t>
      </w:r>
      <w:r w:rsidR="00B57495" w:rsidRPr="00864263">
        <w:rPr>
          <w:rFonts w:eastAsia="楷体" w:cs="Arial" w:hint="eastAsia"/>
        </w:rPr>
        <w:t>100</w:t>
      </w:r>
      <w:r w:rsidR="00B57495" w:rsidRPr="00864263">
        <w:rPr>
          <w:rFonts w:eastAsia="楷体" w:cs="Arial" w:hint="eastAsia"/>
        </w:rPr>
        <w:t>亿</w:t>
      </w:r>
      <w:r w:rsidR="006412FD" w:rsidRPr="00864263">
        <w:rPr>
          <w:rFonts w:eastAsia="楷体" w:cs="Arial" w:hint="eastAsia"/>
        </w:rPr>
        <w:t>的额度</w:t>
      </w:r>
      <w:r w:rsidR="009D1808" w:rsidRPr="00864263">
        <w:rPr>
          <w:rFonts w:eastAsia="楷体" w:cs="Arial" w:hint="eastAsia"/>
        </w:rPr>
        <w:t>略多</w:t>
      </w:r>
      <w:r w:rsidR="00B57495" w:rsidRPr="00864263">
        <w:rPr>
          <w:rFonts w:eastAsia="楷体" w:cs="Arial" w:hint="eastAsia"/>
        </w:rPr>
        <w:t>。</w:t>
      </w:r>
      <w:r w:rsidR="009D1808" w:rsidRPr="00864263">
        <w:rPr>
          <w:rFonts w:eastAsia="楷体" w:cs="Arial" w:hint="eastAsia"/>
        </w:rPr>
        <w:t>鉴于</w:t>
      </w:r>
      <w:r w:rsidR="00B57495" w:rsidRPr="00864263">
        <w:rPr>
          <w:rFonts w:eastAsia="楷体" w:cs="Arial" w:hint="eastAsia"/>
        </w:rPr>
        <w:t>美央行资产负债表</w:t>
      </w:r>
      <w:r w:rsidR="00B57495" w:rsidRPr="00864263">
        <w:rPr>
          <w:rFonts w:eastAsia="楷体" w:cs="Arial" w:hint="eastAsia"/>
        </w:rPr>
        <w:t>4.37</w:t>
      </w:r>
      <w:proofErr w:type="gramStart"/>
      <w:r w:rsidR="00B57495" w:rsidRPr="00864263">
        <w:rPr>
          <w:rFonts w:eastAsia="楷体" w:cs="Arial" w:hint="eastAsia"/>
        </w:rPr>
        <w:t>万亿</w:t>
      </w:r>
      <w:proofErr w:type="gramEnd"/>
      <w:r w:rsidR="00B57495" w:rsidRPr="00864263">
        <w:rPr>
          <w:rFonts w:eastAsia="楷体" w:cs="Arial" w:hint="eastAsia"/>
        </w:rPr>
        <w:t>美元的规模，这对真实流动性产生冲击的可能性</w:t>
      </w:r>
      <w:r w:rsidR="007C480A" w:rsidRPr="00864263">
        <w:rPr>
          <w:rFonts w:eastAsia="楷体" w:cs="Arial" w:hint="eastAsia"/>
        </w:rPr>
        <w:t>不大</w:t>
      </w:r>
      <w:r w:rsidR="009D1808" w:rsidRPr="00864263">
        <w:rPr>
          <w:rFonts w:eastAsia="楷体" w:cs="Arial" w:hint="eastAsia"/>
        </w:rPr>
        <w:t>，</w:t>
      </w:r>
      <w:r w:rsidR="008B4DB7" w:rsidRPr="00864263">
        <w:rPr>
          <w:rFonts w:eastAsia="楷体" w:cs="Arial" w:hint="eastAsia"/>
        </w:rPr>
        <w:t>预期层面</w:t>
      </w:r>
      <w:r w:rsidR="007C480A" w:rsidRPr="00864263">
        <w:rPr>
          <w:rFonts w:eastAsia="楷体" w:cs="Arial" w:hint="eastAsia"/>
        </w:rPr>
        <w:t>也</w:t>
      </w:r>
      <w:r w:rsidR="008B4DB7" w:rsidRPr="00864263">
        <w:rPr>
          <w:rFonts w:eastAsia="楷体" w:cs="Arial" w:hint="eastAsia"/>
        </w:rPr>
        <w:t>已有充分准备。但考虑到</w:t>
      </w:r>
      <w:proofErr w:type="gramStart"/>
      <w:r w:rsidR="008B4DB7" w:rsidRPr="00864263">
        <w:rPr>
          <w:rFonts w:eastAsia="楷体" w:cs="Arial" w:hint="eastAsia"/>
        </w:rPr>
        <w:t>次贷</w:t>
      </w:r>
      <w:proofErr w:type="gramEnd"/>
      <w:r w:rsidR="008B4DB7" w:rsidRPr="00864263">
        <w:rPr>
          <w:rFonts w:eastAsia="楷体" w:cs="Arial" w:hint="eastAsia"/>
        </w:rPr>
        <w:t>危机以来的三次</w:t>
      </w:r>
      <w:r w:rsidR="008B4DB7" w:rsidRPr="00864263">
        <w:rPr>
          <w:rFonts w:eastAsia="楷体" w:cs="Arial" w:hint="eastAsia"/>
        </w:rPr>
        <w:t>QE</w:t>
      </w:r>
      <w:r w:rsidR="00E4609D" w:rsidRPr="00864263">
        <w:rPr>
          <w:rFonts w:eastAsia="楷体" w:cs="Arial" w:hint="eastAsia"/>
        </w:rPr>
        <w:t>对美国股市、利率较</w:t>
      </w:r>
      <w:r w:rsidRPr="00864263">
        <w:rPr>
          <w:rFonts w:eastAsia="楷体" w:cs="Arial" w:hint="eastAsia"/>
        </w:rPr>
        <w:t>明显的</w:t>
      </w:r>
      <w:r w:rsidR="008B4DB7" w:rsidRPr="00864263">
        <w:rPr>
          <w:rFonts w:eastAsia="楷体" w:cs="Arial" w:hint="eastAsia"/>
        </w:rPr>
        <w:t>影响，此次</w:t>
      </w:r>
      <w:r w:rsidR="008B4DB7" w:rsidRPr="00864263">
        <w:rPr>
          <w:rFonts w:eastAsia="楷体" w:cs="Arial" w:hint="eastAsia"/>
        </w:rPr>
        <w:t>QE</w:t>
      </w:r>
      <w:r w:rsidRPr="00864263">
        <w:rPr>
          <w:rFonts w:eastAsia="楷体" w:cs="Arial" w:hint="eastAsia"/>
        </w:rPr>
        <w:t>结束对美国资产价格、金融环境的潜在冲击</w:t>
      </w:r>
      <w:r w:rsidR="008B4DB7" w:rsidRPr="00864263">
        <w:rPr>
          <w:rFonts w:eastAsia="楷体" w:cs="Arial" w:hint="eastAsia"/>
        </w:rPr>
        <w:t>不容忽视。</w:t>
      </w:r>
    </w:p>
    <w:p w:rsidR="00470BD2" w:rsidRPr="00C84B76" w:rsidRDefault="005F5E5D" w:rsidP="00C84B76">
      <w:pPr>
        <w:widowControl/>
        <w:spacing w:after="120"/>
        <w:ind w:left="3430"/>
        <w:rPr>
          <w:rFonts w:ascii="楷体" w:eastAsia="楷体" w:hAnsi="楷体"/>
          <w:b/>
          <w:bCs/>
          <w:color w:val="0070C0"/>
          <w:kern w:val="0"/>
          <w:szCs w:val="21"/>
          <w:lang w:val="en-GB"/>
        </w:rPr>
      </w:pPr>
      <w:r w:rsidRPr="00FC54FE">
        <w:rPr>
          <w:rFonts w:ascii="楷体" w:eastAsia="楷体" w:hAnsi="楷体" w:hint="eastAsia"/>
          <w:b/>
          <w:bCs/>
          <w:color w:val="0070C0"/>
          <w:kern w:val="0"/>
          <w:szCs w:val="21"/>
          <w:lang w:val="en-GB"/>
        </w:rPr>
        <w:t>欧洲</w:t>
      </w:r>
      <w:r w:rsidR="007E7D79" w:rsidRPr="00FC54FE">
        <w:rPr>
          <w:rFonts w:ascii="楷体" w:eastAsia="楷体" w:hAnsi="楷体" w:hint="eastAsia"/>
          <w:b/>
          <w:bCs/>
          <w:color w:val="0070C0"/>
          <w:kern w:val="0"/>
          <w:szCs w:val="21"/>
          <w:lang w:val="en-GB"/>
        </w:rPr>
        <w:t>：</w:t>
      </w:r>
      <w:bookmarkStart w:id="0" w:name="_GoBack"/>
      <w:bookmarkEnd w:id="0"/>
      <w:r w:rsidR="00F2335B">
        <w:rPr>
          <w:rFonts w:ascii="楷体" w:eastAsia="楷体" w:hAnsi="楷体" w:hint="eastAsia"/>
          <w:b/>
          <w:bCs/>
          <w:color w:val="0070C0"/>
          <w:kern w:val="0"/>
          <w:szCs w:val="21"/>
          <w:lang w:val="en-GB"/>
        </w:rPr>
        <w:t>经济陷入停滞，</w:t>
      </w:r>
      <w:r w:rsidR="005B6312">
        <w:rPr>
          <w:rFonts w:ascii="楷体" w:eastAsia="楷体" w:hAnsi="楷体" w:hint="eastAsia"/>
          <w:b/>
          <w:bCs/>
          <w:color w:val="0070C0"/>
          <w:kern w:val="0"/>
          <w:szCs w:val="21"/>
          <w:lang w:val="en-GB"/>
        </w:rPr>
        <w:t>量化宽松在即</w:t>
      </w:r>
    </w:p>
    <w:p w:rsidR="00F2335B" w:rsidRDefault="00F2335B" w:rsidP="00591F92">
      <w:pPr>
        <w:pStyle w:val="ab"/>
        <w:numPr>
          <w:ilvl w:val="4"/>
          <w:numId w:val="1"/>
        </w:numPr>
        <w:spacing w:after="163"/>
        <w:rPr>
          <w:rFonts w:eastAsia="楷体" w:cs="Arial"/>
        </w:rPr>
      </w:pPr>
      <w:r w:rsidRPr="00A3282F">
        <w:rPr>
          <w:rFonts w:eastAsia="楷体" w:cs="Arial" w:hint="eastAsia"/>
        </w:rPr>
        <w:t>欧元区经济</w:t>
      </w:r>
      <w:r>
        <w:rPr>
          <w:rFonts w:eastAsia="楷体" w:cs="Arial" w:hint="eastAsia"/>
        </w:rPr>
        <w:t>的</w:t>
      </w:r>
      <w:r w:rsidRPr="00A3282F">
        <w:rPr>
          <w:rFonts w:eastAsia="楷体" w:cs="Arial" w:hint="eastAsia"/>
        </w:rPr>
        <w:t>下行风险</w:t>
      </w:r>
      <w:r>
        <w:rPr>
          <w:rFonts w:eastAsia="楷体" w:cs="Arial" w:hint="eastAsia"/>
        </w:rPr>
        <w:t>则逐步加大，</w:t>
      </w:r>
      <w:r w:rsidRPr="00864263">
        <w:rPr>
          <w:rFonts w:eastAsia="楷体" w:cs="Arial" w:hint="eastAsia"/>
        </w:rPr>
        <w:t>6</w:t>
      </w:r>
      <w:r w:rsidR="008C0916">
        <w:rPr>
          <w:rFonts w:eastAsia="楷体" w:cs="Arial" w:hint="eastAsia"/>
        </w:rPr>
        <w:t>月施行</w:t>
      </w:r>
      <w:r w:rsidRPr="00864263">
        <w:rPr>
          <w:rFonts w:eastAsia="楷体" w:cs="Arial" w:hint="eastAsia"/>
        </w:rPr>
        <w:t>的货币政策宽松并未对经济带来明显支撑，反而导致</w:t>
      </w:r>
      <w:proofErr w:type="gramStart"/>
      <w:r w:rsidRPr="00864263">
        <w:rPr>
          <w:rFonts w:eastAsia="楷体" w:cs="Arial" w:hint="eastAsia"/>
        </w:rPr>
        <w:t>欧元走</w:t>
      </w:r>
      <w:proofErr w:type="gramEnd"/>
      <w:r w:rsidRPr="00864263">
        <w:rPr>
          <w:rFonts w:eastAsia="楷体" w:cs="Arial" w:hint="eastAsia"/>
        </w:rPr>
        <w:t>弱、降低对资金吸引力，</w:t>
      </w:r>
      <w:r>
        <w:rPr>
          <w:rFonts w:eastAsia="楷体" w:cs="Arial" w:hint="eastAsia"/>
        </w:rPr>
        <w:t>复苏前景</w:t>
      </w:r>
      <w:r w:rsidRPr="00A3282F">
        <w:rPr>
          <w:rFonts w:eastAsia="楷体" w:cs="Arial" w:hint="eastAsia"/>
        </w:rPr>
        <w:t>堪忧。</w:t>
      </w:r>
      <w:r w:rsidR="000C65D7">
        <w:rPr>
          <w:rFonts w:eastAsia="楷体" w:cs="Arial" w:hint="eastAsia"/>
        </w:rPr>
        <w:t>目前</w:t>
      </w:r>
      <w:r w:rsidR="008C0916">
        <w:rPr>
          <w:rFonts w:eastAsia="楷体" w:cs="Arial" w:hint="eastAsia"/>
        </w:rPr>
        <w:t>欧</w:t>
      </w:r>
      <w:r w:rsidR="000C65D7">
        <w:rPr>
          <w:rFonts w:eastAsia="楷体" w:cs="Arial" w:hint="eastAsia"/>
        </w:rPr>
        <w:t>央行已采取了降息、资产购买、向银行提供廉价融资等一系列措施来促进经济增长并避免通缩，但目前看来效果尚未显现</w:t>
      </w:r>
      <w:r w:rsidR="008C0916" w:rsidRPr="00591F92">
        <w:rPr>
          <w:rFonts w:eastAsia="楷体" w:cs="Arial" w:hint="eastAsia"/>
        </w:rPr>
        <w:t>。</w:t>
      </w:r>
      <w:r w:rsidRPr="00864263">
        <w:rPr>
          <w:rFonts w:eastAsia="楷体" w:cs="Arial" w:hint="eastAsia"/>
        </w:rPr>
        <w:t>此外，乌克兰冲突隐患</w:t>
      </w:r>
      <w:r w:rsidR="008C0916">
        <w:rPr>
          <w:rFonts w:eastAsia="楷体" w:cs="Arial" w:hint="eastAsia"/>
        </w:rPr>
        <w:t>迟迟未解，</w:t>
      </w:r>
      <w:r w:rsidRPr="00864263">
        <w:rPr>
          <w:rFonts w:eastAsia="楷体" w:cs="Arial" w:hint="eastAsia"/>
        </w:rPr>
        <w:t>也</w:t>
      </w:r>
      <w:r w:rsidRPr="00A3282F">
        <w:rPr>
          <w:rFonts w:eastAsia="楷体" w:cs="Arial" w:hint="eastAsia"/>
        </w:rPr>
        <w:t>为</w:t>
      </w:r>
      <w:r>
        <w:rPr>
          <w:rFonts w:eastAsia="楷体" w:cs="Arial" w:hint="eastAsia"/>
        </w:rPr>
        <w:t>欧洲</w:t>
      </w:r>
      <w:r w:rsidR="008C0916">
        <w:rPr>
          <w:rFonts w:eastAsia="楷体" w:cs="Arial" w:hint="eastAsia"/>
        </w:rPr>
        <w:t>四季度以来</w:t>
      </w:r>
      <w:r>
        <w:rPr>
          <w:rFonts w:eastAsia="楷体" w:cs="Arial" w:hint="eastAsia"/>
        </w:rPr>
        <w:t>的发展</w:t>
      </w:r>
      <w:r w:rsidRPr="00A3282F">
        <w:rPr>
          <w:rFonts w:eastAsia="楷体" w:cs="Arial" w:hint="eastAsia"/>
        </w:rPr>
        <w:t>蒙上</w:t>
      </w:r>
      <w:r>
        <w:rPr>
          <w:rFonts w:eastAsia="楷体" w:cs="Arial" w:hint="eastAsia"/>
        </w:rPr>
        <w:t>了</w:t>
      </w:r>
      <w:r w:rsidRPr="00A3282F">
        <w:rPr>
          <w:rFonts w:eastAsia="楷体" w:cs="Arial" w:hint="eastAsia"/>
        </w:rPr>
        <w:t>阴影</w:t>
      </w:r>
      <w:r w:rsidRPr="00864263">
        <w:rPr>
          <w:rFonts w:eastAsia="楷体" w:cs="Arial" w:hint="eastAsia"/>
        </w:rPr>
        <w:t>。</w:t>
      </w:r>
      <w:r w:rsidR="00ED75AD">
        <w:rPr>
          <w:rFonts w:eastAsia="楷体" w:cs="Arial" w:hint="eastAsia"/>
        </w:rPr>
        <w:t>基于此</w:t>
      </w:r>
      <w:r w:rsidR="00ED75AD" w:rsidRPr="00864263">
        <w:rPr>
          <w:rFonts w:eastAsia="楷体" w:cs="Arial" w:hint="eastAsia"/>
        </w:rPr>
        <w:t>，</w:t>
      </w:r>
      <w:proofErr w:type="gramStart"/>
      <w:r w:rsidR="00ED75AD" w:rsidRPr="00864263">
        <w:rPr>
          <w:rFonts w:eastAsia="楷体" w:cs="Arial" w:hint="eastAsia"/>
        </w:rPr>
        <w:t>凯石工场建议</w:t>
      </w:r>
      <w:proofErr w:type="gramEnd"/>
      <w:r w:rsidR="00ED75AD">
        <w:rPr>
          <w:rFonts w:eastAsia="楷体" w:cs="Arial" w:hint="eastAsia"/>
        </w:rPr>
        <w:t>11</w:t>
      </w:r>
      <w:r w:rsidR="00ED75AD">
        <w:rPr>
          <w:rFonts w:eastAsia="楷体" w:cs="Arial" w:hint="eastAsia"/>
        </w:rPr>
        <w:t>月</w:t>
      </w:r>
      <w:r w:rsidR="00ED75AD" w:rsidRPr="00864263">
        <w:rPr>
          <w:rFonts w:eastAsia="楷体" w:cs="Arial" w:hint="eastAsia"/>
        </w:rPr>
        <w:t>QDII</w:t>
      </w:r>
      <w:r w:rsidR="00ED75AD" w:rsidRPr="00864263">
        <w:rPr>
          <w:rFonts w:eastAsia="楷体" w:cs="Arial" w:hint="eastAsia"/>
        </w:rPr>
        <w:t>投资继续回避欧洲市场。</w:t>
      </w:r>
    </w:p>
    <w:p w:rsidR="00C31A8B" w:rsidRDefault="00FB2F3B" w:rsidP="00FB2F3B">
      <w:pPr>
        <w:pStyle w:val="ab"/>
        <w:numPr>
          <w:ilvl w:val="5"/>
          <w:numId w:val="2"/>
        </w:numPr>
        <w:spacing w:after="163"/>
        <w:rPr>
          <w:rFonts w:eastAsia="楷体" w:cs="Arial"/>
        </w:rPr>
      </w:pPr>
      <w:r w:rsidRPr="00864263">
        <w:rPr>
          <w:rFonts w:eastAsia="楷体" w:cs="Arial" w:hint="eastAsia"/>
        </w:rPr>
        <w:t>疲弱的需求持续对欧元区制造业产出、就业及整体经济增长构成压力。</w:t>
      </w:r>
      <w:proofErr w:type="spellStart"/>
      <w:r w:rsidR="00591F92" w:rsidRPr="00864263">
        <w:rPr>
          <w:rFonts w:eastAsia="楷体" w:cs="Arial" w:hint="eastAsia"/>
        </w:rPr>
        <w:t>Markit</w:t>
      </w:r>
      <w:proofErr w:type="spellEnd"/>
      <w:r w:rsidR="00591F92" w:rsidRPr="00864263">
        <w:rPr>
          <w:rFonts w:eastAsia="楷体" w:cs="Arial" w:hint="eastAsia"/>
        </w:rPr>
        <w:t>数据显示，欧元区</w:t>
      </w:r>
      <w:proofErr w:type="gramStart"/>
      <w:r w:rsidR="00591F92" w:rsidRPr="00864263">
        <w:rPr>
          <w:rFonts w:eastAsia="楷体" w:cs="Arial" w:hint="eastAsia"/>
        </w:rPr>
        <w:t>10</w:t>
      </w:r>
      <w:r w:rsidR="00591F92" w:rsidRPr="00864263">
        <w:rPr>
          <w:rFonts w:eastAsia="楷体" w:cs="Arial" w:hint="eastAsia"/>
        </w:rPr>
        <w:t>月份季调后</w:t>
      </w:r>
      <w:proofErr w:type="gramEnd"/>
      <w:r w:rsidR="00591F92" w:rsidRPr="00864263">
        <w:rPr>
          <w:rFonts w:eastAsia="楷体" w:cs="Arial" w:hint="eastAsia"/>
        </w:rPr>
        <w:t>制造业</w:t>
      </w:r>
      <w:r w:rsidR="00591F92" w:rsidRPr="00864263">
        <w:rPr>
          <w:rFonts w:eastAsia="楷体" w:cs="Arial" w:hint="eastAsia"/>
        </w:rPr>
        <w:t>PMI</w:t>
      </w:r>
      <w:r w:rsidR="000C65D7">
        <w:rPr>
          <w:rFonts w:eastAsia="楷体" w:cs="Arial" w:hint="eastAsia"/>
        </w:rPr>
        <w:t>终值</w:t>
      </w:r>
      <w:r w:rsidR="00591F92" w:rsidRPr="00864263">
        <w:rPr>
          <w:rFonts w:eastAsia="楷体" w:cs="Arial" w:hint="eastAsia"/>
        </w:rPr>
        <w:t>50.6</w:t>
      </w:r>
      <w:r w:rsidR="008C0916">
        <w:rPr>
          <w:rFonts w:eastAsia="楷体" w:cs="Arial" w:hint="eastAsia"/>
        </w:rPr>
        <w:t>，略低于预期</w:t>
      </w:r>
      <w:r w:rsidR="000C65D7">
        <w:rPr>
          <w:rFonts w:eastAsia="楷体" w:cs="Arial" w:hint="eastAsia"/>
        </w:rPr>
        <w:t>的</w:t>
      </w:r>
      <w:r w:rsidR="00591F92" w:rsidRPr="00864263">
        <w:rPr>
          <w:rFonts w:eastAsia="楷体" w:cs="Arial" w:hint="eastAsia"/>
        </w:rPr>
        <w:t>50.7</w:t>
      </w:r>
      <w:r w:rsidR="008C0916">
        <w:rPr>
          <w:rFonts w:eastAsia="楷体" w:cs="Arial" w:hint="eastAsia"/>
        </w:rPr>
        <w:t>。虽略</w:t>
      </w:r>
      <w:r w:rsidR="00591F92" w:rsidRPr="00864263">
        <w:rPr>
          <w:rFonts w:eastAsia="楷体" w:cs="Arial" w:hint="eastAsia"/>
        </w:rPr>
        <w:t>高于</w:t>
      </w:r>
      <w:r w:rsidR="00591F92" w:rsidRPr="00864263">
        <w:rPr>
          <w:rFonts w:eastAsia="楷体" w:cs="Arial" w:hint="eastAsia"/>
        </w:rPr>
        <w:t>50</w:t>
      </w:r>
      <w:r>
        <w:rPr>
          <w:rFonts w:eastAsia="楷体" w:cs="Arial" w:hint="eastAsia"/>
        </w:rPr>
        <w:t>荣枯线，但欧元区制造业已</w:t>
      </w:r>
      <w:r w:rsidR="000C65D7">
        <w:rPr>
          <w:rFonts w:eastAsia="楷体" w:cs="Arial" w:hint="eastAsia"/>
        </w:rPr>
        <w:t>在这一低迷水平</w:t>
      </w:r>
      <w:r w:rsidR="000C65D7">
        <w:rPr>
          <w:rFonts w:eastAsia="楷体" w:cs="Arial" w:hint="eastAsia"/>
        </w:rPr>
        <w:lastRenderedPageBreak/>
        <w:t>上</w:t>
      </w:r>
      <w:r w:rsidR="00591F92" w:rsidRPr="00864263">
        <w:rPr>
          <w:rFonts w:eastAsia="楷体" w:cs="Arial" w:hint="eastAsia"/>
        </w:rPr>
        <w:t>徘徊了</w:t>
      </w:r>
      <w:r w:rsidR="00591F92" w:rsidRPr="00864263">
        <w:rPr>
          <w:rFonts w:eastAsia="楷体" w:cs="Arial" w:hint="eastAsia"/>
        </w:rPr>
        <w:t>16</w:t>
      </w:r>
      <w:r w:rsidR="00591F92" w:rsidRPr="00864263">
        <w:rPr>
          <w:rFonts w:eastAsia="楷体" w:cs="Arial" w:hint="eastAsia"/>
        </w:rPr>
        <w:t>个月之久。</w:t>
      </w:r>
      <w:r>
        <w:rPr>
          <w:rFonts w:eastAsia="楷体" w:cs="Arial" w:hint="eastAsia"/>
        </w:rPr>
        <w:t>分项来看，</w:t>
      </w:r>
      <w:r w:rsidR="00591F92" w:rsidRPr="00864263">
        <w:rPr>
          <w:rFonts w:eastAsia="楷体" w:cs="Arial" w:hint="eastAsia"/>
        </w:rPr>
        <w:t>制造业企业新订单水平连续第二个月下滑，尽管程度比</w:t>
      </w:r>
      <w:r w:rsidR="00591F92" w:rsidRPr="00864263">
        <w:rPr>
          <w:rFonts w:eastAsia="楷体" w:cs="Arial" w:hint="eastAsia"/>
        </w:rPr>
        <w:t>9</w:t>
      </w:r>
      <w:r w:rsidR="00591F92" w:rsidRPr="00864263">
        <w:rPr>
          <w:rFonts w:eastAsia="楷体" w:cs="Arial" w:hint="eastAsia"/>
        </w:rPr>
        <w:t>个月轻微</w:t>
      </w:r>
      <w:r>
        <w:rPr>
          <w:rFonts w:eastAsia="楷体" w:cs="Arial" w:hint="eastAsia"/>
        </w:rPr>
        <w:t>；</w:t>
      </w:r>
      <w:r w:rsidRPr="00591F92">
        <w:rPr>
          <w:rFonts w:eastAsia="楷体" w:cs="Arial" w:hint="eastAsia"/>
        </w:rPr>
        <w:t>企业连续第</w:t>
      </w:r>
      <w:r w:rsidRPr="00591F92">
        <w:rPr>
          <w:rFonts w:eastAsia="楷体" w:cs="Arial" w:hint="eastAsia"/>
        </w:rPr>
        <w:t>31</w:t>
      </w:r>
      <w:r w:rsidRPr="00591F92">
        <w:rPr>
          <w:rFonts w:eastAsia="楷体" w:cs="Arial" w:hint="eastAsia"/>
        </w:rPr>
        <w:t>个月下调产品价格，且降速为近五年来最快</w:t>
      </w:r>
      <w:r>
        <w:rPr>
          <w:rFonts w:eastAsia="楷体" w:cs="Arial" w:hint="eastAsia"/>
        </w:rPr>
        <w:t>；</w:t>
      </w:r>
      <w:r w:rsidRPr="00591F92">
        <w:rPr>
          <w:rFonts w:eastAsia="楷体" w:cs="Arial" w:hint="eastAsia"/>
        </w:rPr>
        <w:t>服务业商业预期指数则从</w:t>
      </w:r>
      <w:r w:rsidRPr="00591F92">
        <w:rPr>
          <w:rFonts w:eastAsia="楷体" w:cs="Arial" w:hint="eastAsia"/>
        </w:rPr>
        <w:t>9</w:t>
      </w:r>
      <w:r w:rsidRPr="00591F92">
        <w:rPr>
          <w:rFonts w:eastAsia="楷体" w:cs="Arial" w:hint="eastAsia"/>
        </w:rPr>
        <w:t>月的</w:t>
      </w:r>
      <w:r w:rsidRPr="00591F92">
        <w:rPr>
          <w:rFonts w:eastAsia="楷体" w:cs="Arial" w:hint="eastAsia"/>
        </w:rPr>
        <w:t>59.3</w:t>
      </w:r>
      <w:r w:rsidRPr="00591F92">
        <w:rPr>
          <w:rFonts w:eastAsia="楷体" w:cs="Arial" w:hint="eastAsia"/>
        </w:rPr>
        <w:t>降至</w:t>
      </w:r>
      <w:r w:rsidRPr="00591F92">
        <w:rPr>
          <w:rFonts w:eastAsia="楷体" w:cs="Arial" w:hint="eastAsia"/>
        </w:rPr>
        <w:t>56.2</w:t>
      </w:r>
      <w:r w:rsidRPr="00591F92">
        <w:rPr>
          <w:rFonts w:eastAsia="楷体" w:cs="Arial" w:hint="eastAsia"/>
        </w:rPr>
        <w:t>，创</w:t>
      </w:r>
      <w:r w:rsidRPr="00591F92">
        <w:rPr>
          <w:rFonts w:eastAsia="楷体" w:cs="Arial" w:hint="eastAsia"/>
        </w:rPr>
        <w:t>2013</w:t>
      </w:r>
      <w:r w:rsidRPr="00591F92">
        <w:rPr>
          <w:rFonts w:eastAsia="楷体" w:cs="Arial" w:hint="eastAsia"/>
        </w:rPr>
        <w:t>年</w:t>
      </w:r>
      <w:r w:rsidRPr="00591F92">
        <w:rPr>
          <w:rFonts w:eastAsia="楷体" w:cs="Arial" w:hint="eastAsia"/>
        </w:rPr>
        <w:t>6</w:t>
      </w:r>
      <w:r w:rsidRPr="00591F92">
        <w:rPr>
          <w:rFonts w:eastAsia="楷体" w:cs="Arial" w:hint="eastAsia"/>
        </w:rPr>
        <w:t>月以来最低。</w:t>
      </w:r>
      <w:r>
        <w:rPr>
          <w:rFonts w:eastAsia="楷体" w:cs="Arial" w:hint="eastAsia"/>
        </w:rPr>
        <w:t>此外各</w:t>
      </w:r>
      <w:r w:rsidRPr="00864263">
        <w:rPr>
          <w:rFonts w:eastAsia="楷体" w:cs="Arial" w:hint="eastAsia"/>
        </w:rPr>
        <w:t>成员国制造业活动差异明显</w:t>
      </w:r>
      <w:r>
        <w:rPr>
          <w:rFonts w:eastAsia="楷体" w:cs="Arial" w:hint="eastAsia"/>
        </w:rPr>
        <w:t>，</w:t>
      </w:r>
      <w:r w:rsidR="00591F92" w:rsidRPr="00864263">
        <w:rPr>
          <w:rFonts w:eastAsia="楷体" w:cs="Arial" w:hint="eastAsia"/>
        </w:rPr>
        <w:t>德国、法国、意大利、奥地利和希腊的新订单均出现下跌，而西班牙、荷兰和爱尔兰</w:t>
      </w:r>
      <w:r>
        <w:rPr>
          <w:rFonts w:eastAsia="楷体" w:cs="Arial" w:hint="eastAsia"/>
        </w:rPr>
        <w:t>则出现回升</w:t>
      </w:r>
      <w:r w:rsidR="00591F92" w:rsidRPr="00864263">
        <w:rPr>
          <w:rFonts w:eastAsia="楷体" w:cs="Arial" w:hint="eastAsia"/>
        </w:rPr>
        <w:t>。</w:t>
      </w:r>
    </w:p>
    <w:p w:rsidR="00A15D35" w:rsidRDefault="00A15D35" w:rsidP="00A15D35">
      <w:pPr>
        <w:pStyle w:val="ab"/>
        <w:numPr>
          <w:ilvl w:val="4"/>
          <w:numId w:val="1"/>
        </w:numPr>
        <w:spacing w:after="163"/>
        <w:rPr>
          <w:rFonts w:eastAsia="楷体" w:cs="Arial"/>
        </w:rPr>
      </w:pPr>
      <w:r>
        <w:rPr>
          <w:rFonts w:eastAsia="楷体" w:cs="Arial" w:hint="eastAsia"/>
        </w:rPr>
        <w:t>欧央</w:t>
      </w:r>
      <w:r w:rsidRPr="00A15D35">
        <w:rPr>
          <w:rFonts w:eastAsia="楷体" w:cs="Arial" w:hint="eastAsia"/>
        </w:rPr>
        <w:t>行</w:t>
      </w:r>
      <w:r>
        <w:rPr>
          <w:rFonts w:eastAsia="楷体" w:cs="Arial" w:hint="eastAsia"/>
        </w:rPr>
        <w:t>11</w:t>
      </w:r>
      <w:r>
        <w:rPr>
          <w:rFonts w:eastAsia="楷体" w:cs="Arial" w:hint="eastAsia"/>
        </w:rPr>
        <w:t>月</w:t>
      </w:r>
      <w:r w:rsidRPr="00A15D35">
        <w:rPr>
          <w:rFonts w:eastAsia="楷体" w:cs="Arial" w:hint="eastAsia"/>
        </w:rPr>
        <w:t>6</w:t>
      </w:r>
      <w:r>
        <w:rPr>
          <w:rFonts w:eastAsia="楷体" w:cs="Arial" w:hint="eastAsia"/>
        </w:rPr>
        <w:t>日在货币政策会议后宣布，维持欧元区三大主导利率不变（</w:t>
      </w:r>
      <w:r w:rsidRPr="00A15D35">
        <w:rPr>
          <w:rFonts w:eastAsia="楷体" w:cs="Arial" w:hint="eastAsia"/>
        </w:rPr>
        <w:t>主要再融资利率</w:t>
      </w:r>
      <w:r w:rsidRPr="00A15D35">
        <w:rPr>
          <w:rFonts w:eastAsia="楷体" w:cs="Arial" w:hint="eastAsia"/>
        </w:rPr>
        <w:t>0.05%</w:t>
      </w:r>
      <w:r>
        <w:rPr>
          <w:rFonts w:eastAsia="楷体" w:cs="Arial" w:hint="eastAsia"/>
        </w:rPr>
        <w:t>，</w:t>
      </w:r>
      <w:r w:rsidRPr="00A15D35">
        <w:rPr>
          <w:rFonts w:eastAsia="楷体" w:cs="Arial" w:hint="eastAsia"/>
        </w:rPr>
        <w:t>隔夜存款利率</w:t>
      </w:r>
      <w:r w:rsidRPr="00A15D35">
        <w:rPr>
          <w:rFonts w:eastAsia="楷体" w:cs="Arial" w:hint="eastAsia"/>
        </w:rPr>
        <w:t>-0.2%</w:t>
      </w:r>
      <w:r w:rsidRPr="00A15D35">
        <w:rPr>
          <w:rFonts w:eastAsia="楷体" w:cs="Arial" w:hint="eastAsia"/>
        </w:rPr>
        <w:t>，边际贷款利率</w:t>
      </w:r>
      <w:r w:rsidRPr="00A15D35">
        <w:rPr>
          <w:rFonts w:eastAsia="楷体" w:cs="Arial" w:hint="eastAsia"/>
        </w:rPr>
        <w:t>0.30%</w:t>
      </w:r>
      <w:r w:rsidRPr="00A15D35">
        <w:rPr>
          <w:rFonts w:eastAsia="楷体" w:cs="Arial" w:hint="eastAsia"/>
        </w:rPr>
        <w:t>）</w:t>
      </w:r>
      <w:r>
        <w:rPr>
          <w:rFonts w:eastAsia="楷体" w:cs="Arial" w:hint="eastAsia"/>
        </w:rPr>
        <w:t>，</w:t>
      </w:r>
      <w:r w:rsidRPr="00A15D35">
        <w:rPr>
          <w:rFonts w:eastAsia="楷体" w:cs="Arial" w:hint="eastAsia"/>
        </w:rPr>
        <w:t>同时将很快开始资产支持证券（</w:t>
      </w:r>
      <w:r w:rsidRPr="00A15D35">
        <w:rPr>
          <w:rFonts w:eastAsia="楷体" w:cs="Arial" w:hint="eastAsia"/>
        </w:rPr>
        <w:t>ABS</w:t>
      </w:r>
      <w:r>
        <w:rPr>
          <w:rFonts w:eastAsia="楷体" w:cs="Arial" w:hint="eastAsia"/>
        </w:rPr>
        <w:t>）购买计划。</w:t>
      </w:r>
      <w:r w:rsidRPr="00A15D35">
        <w:rPr>
          <w:rFonts w:eastAsia="楷体" w:cs="Arial" w:hint="eastAsia"/>
        </w:rPr>
        <w:t>行长德拉吉</w:t>
      </w:r>
      <w:r>
        <w:rPr>
          <w:rFonts w:eastAsia="楷体" w:cs="Arial" w:hint="eastAsia"/>
        </w:rPr>
        <w:t>表示</w:t>
      </w:r>
      <w:r w:rsidRPr="00A15D35">
        <w:rPr>
          <w:rFonts w:eastAsia="楷体" w:cs="Arial" w:hint="eastAsia"/>
        </w:rPr>
        <w:t>ABS</w:t>
      </w:r>
      <w:r>
        <w:rPr>
          <w:rFonts w:eastAsia="楷体" w:cs="Arial" w:hint="eastAsia"/>
        </w:rPr>
        <w:t>购买项目将持续至少两年，欧</w:t>
      </w:r>
      <w:r w:rsidRPr="00A15D35">
        <w:rPr>
          <w:rFonts w:eastAsia="楷体" w:cs="Arial" w:hint="eastAsia"/>
        </w:rPr>
        <w:t>央行资产负债规模将在未来一段时间内保持扩张，并回到</w:t>
      </w:r>
      <w:r w:rsidRPr="00A15D35">
        <w:rPr>
          <w:rFonts w:eastAsia="楷体" w:cs="Arial" w:hint="eastAsia"/>
        </w:rPr>
        <w:t>2012</w:t>
      </w:r>
      <w:r w:rsidRPr="00A15D35">
        <w:rPr>
          <w:rFonts w:eastAsia="楷体" w:cs="Arial" w:hint="eastAsia"/>
        </w:rPr>
        <w:t>年初的水平。但他同时表示，欧洲央行购买的规模不会超过</w:t>
      </w:r>
      <w:r w:rsidRPr="00A15D35">
        <w:rPr>
          <w:rFonts w:eastAsia="楷体" w:cs="Arial" w:hint="eastAsia"/>
        </w:rPr>
        <w:t>1</w:t>
      </w:r>
      <w:proofErr w:type="gramStart"/>
      <w:r w:rsidRPr="00A15D35">
        <w:rPr>
          <w:rFonts w:eastAsia="楷体" w:cs="Arial" w:hint="eastAsia"/>
        </w:rPr>
        <w:t>万亿</w:t>
      </w:r>
      <w:proofErr w:type="gramEnd"/>
      <w:r w:rsidRPr="00A15D35">
        <w:rPr>
          <w:rFonts w:eastAsia="楷体" w:cs="Arial" w:hint="eastAsia"/>
        </w:rPr>
        <w:t>欧元。</w:t>
      </w:r>
      <w:r>
        <w:rPr>
          <w:rFonts w:eastAsia="楷体" w:cs="Arial" w:hint="eastAsia"/>
        </w:rPr>
        <w:t>目前欧央行的措施或仍难提振欧元区信贷及经济，预计</w:t>
      </w:r>
      <w:r w:rsidRPr="00A15D35">
        <w:rPr>
          <w:rFonts w:eastAsia="楷体" w:cs="Arial" w:hint="eastAsia"/>
        </w:rPr>
        <w:t>将于明年开始购买企业债券。</w:t>
      </w:r>
    </w:p>
    <w:p w:rsidR="00A15D35" w:rsidRDefault="00A15D35" w:rsidP="00A15D35">
      <w:pPr>
        <w:pStyle w:val="ab"/>
        <w:numPr>
          <w:ilvl w:val="5"/>
          <w:numId w:val="2"/>
        </w:numPr>
        <w:spacing w:after="163"/>
        <w:rPr>
          <w:rFonts w:eastAsia="楷体" w:cs="Arial"/>
        </w:rPr>
      </w:pPr>
      <w:r w:rsidRPr="00B01140">
        <w:rPr>
          <w:rFonts w:eastAsia="楷体" w:cs="Arial" w:hint="eastAsia"/>
        </w:rPr>
        <w:t>欧元区第二季度</w:t>
      </w:r>
      <w:proofErr w:type="gramStart"/>
      <w:r w:rsidRPr="00B01140">
        <w:rPr>
          <w:rFonts w:eastAsia="楷体" w:cs="Arial" w:hint="eastAsia"/>
        </w:rPr>
        <w:t>经济环</w:t>
      </w:r>
      <w:proofErr w:type="gramEnd"/>
      <w:r w:rsidRPr="00B01140">
        <w:rPr>
          <w:rFonts w:eastAsia="楷体" w:cs="Arial" w:hint="eastAsia"/>
        </w:rPr>
        <w:t>比仅增长</w:t>
      </w:r>
      <w:r w:rsidRPr="00B01140">
        <w:rPr>
          <w:rFonts w:eastAsia="楷体" w:cs="Arial" w:hint="eastAsia"/>
        </w:rPr>
        <w:t>0.1%</w:t>
      </w:r>
      <w:r>
        <w:rPr>
          <w:rFonts w:eastAsia="楷体" w:cs="Arial" w:hint="eastAsia"/>
        </w:rPr>
        <w:t>；</w:t>
      </w:r>
      <w:r w:rsidRPr="00B01140">
        <w:rPr>
          <w:rFonts w:eastAsia="楷体" w:cs="Arial" w:hint="eastAsia"/>
        </w:rPr>
        <w:t>10</w:t>
      </w:r>
      <w:r w:rsidRPr="00B01140">
        <w:rPr>
          <w:rFonts w:eastAsia="楷体" w:cs="Arial" w:hint="eastAsia"/>
        </w:rPr>
        <w:t>月份按年率计算的通货膨胀率为</w:t>
      </w:r>
      <w:r w:rsidRPr="00B01140">
        <w:rPr>
          <w:rFonts w:eastAsia="楷体" w:cs="Arial" w:hint="eastAsia"/>
        </w:rPr>
        <w:t>0.4</w:t>
      </w:r>
      <w:r>
        <w:rPr>
          <w:rFonts w:eastAsia="楷体" w:cs="Arial" w:hint="eastAsia"/>
        </w:rPr>
        <w:t>％。自</w:t>
      </w:r>
      <w:r w:rsidRPr="00B01140">
        <w:rPr>
          <w:rFonts w:eastAsia="楷体" w:cs="Arial" w:hint="eastAsia"/>
        </w:rPr>
        <w:t>6</w:t>
      </w:r>
      <w:r>
        <w:rPr>
          <w:rFonts w:eastAsia="楷体" w:cs="Arial" w:hint="eastAsia"/>
        </w:rPr>
        <w:t>月以来欧</w:t>
      </w:r>
      <w:r w:rsidRPr="00B01140">
        <w:rPr>
          <w:rFonts w:eastAsia="楷体" w:cs="Arial" w:hint="eastAsia"/>
        </w:rPr>
        <w:t>央行已多次采取宽松措施以提振通胀和经济</w:t>
      </w:r>
      <w:r>
        <w:rPr>
          <w:rFonts w:eastAsia="楷体" w:cs="Arial" w:hint="eastAsia"/>
        </w:rPr>
        <w:t>，</w:t>
      </w:r>
      <w:r w:rsidRPr="00B01140">
        <w:rPr>
          <w:rFonts w:eastAsia="楷体" w:cs="Arial" w:hint="eastAsia"/>
        </w:rPr>
        <w:t>目前欧元区主要再融资利率、隔夜存款利率和隔夜贷款利率分别维持在</w:t>
      </w:r>
      <w:r w:rsidRPr="00B01140">
        <w:rPr>
          <w:rFonts w:eastAsia="楷体" w:cs="Arial" w:hint="eastAsia"/>
        </w:rPr>
        <w:t>0.05</w:t>
      </w:r>
      <w:r w:rsidRPr="00B01140">
        <w:rPr>
          <w:rFonts w:eastAsia="楷体" w:cs="Arial" w:hint="eastAsia"/>
        </w:rPr>
        <w:t>％、</w:t>
      </w:r>
      <w:r w:rsidRPr="00B01140">
        <w:rPr>
          <w:rFonts w:eastAsia="楷体" w:cs="Arial" w:hint="eastAsia"/>
        </w:rPr>
        <w:t>-0.20</w:t>
      </w:r>
      <w:r w:rsidRPr="00B01140">
        <w:rPr>
          <w:rFonts w:eastAsia="楷体" w:cs="Arial" w:hint="eastAsia"/>
        </w:rPr>
        <w:t>％和</w:t>
      </w:r>
      <w:r w:rsidRPr="00B01140">
        <w:rPr>
          <w:rFonts w:eastAsia="楷体" w:cs="Arial" w:hint="eastAsia"/>
        </w:rPr>
        <w:t>0.30</w:t>
      </w:r>
      <w:r w:rsidRPr="00B01140">
        <w:rPr>
          <w:rFonts w:eastAsia="楷体" w:cs="Arial" w:hint="eastAsia"/>
        </w:rPr>
        <w:t>％的历史低位。</w:t>
      </w:r>
    </w:p>
    <w:p w:rsidR="00A15D35" w:rsidRPr="00A15D35" w:rsidRDefault="00A15D35" w:rsidP="00A15D35">
      <w:pPr>
        <w:pStyle w:val="ab"/>
        <w:numPr>
          <w:ilvl w:val="5"/>
          <w:numId w:val="2"/>
        </w:numPr>
        <w:spacing w:after="163"/>
        <w:rPr>
          <w:rFonts w:eastAsia="楷体" w:cs="Arial"/>
        </w:rPr>
      </w:pPr>
      <w:r>
        <w:rPr>
          <w:rFonts w:eastAsia="楷体" w:cs="Arial" w:hint="eastAsia"/>
        </w:rPr>
        <w:t>到目前为止，数据方面没有看到负利率及量化宽松对于欧洲金融有显著影响</w:t>
      </w:r>
      <w:r w:rsidRPr="00A15D35">
        <w:rPr>
          <w:rFonts w:eastAsia="楷体" w:cs="Arial" w:hint="eastAsia"/>
        </w:rPr>
        <w:t>。与首次宣布负利率的</w:t>
      </w:r>
      <w:r w:rsidRPr="00A15D35">
        <w:rPr>
          <w:rFonts w:eastAsia="楷体" w:cs="Arial" w:hint="eastAsia"/>
        </w:rPr>
        <w:t>6</w:t>
      </w:r>
      <w:r w:rsidRPr="00A15D35">
        <w:rPr>
          <w:rFonts w:eastAsia="楷体" w:cs="Arial" w:hint="eastAsia"/>
        </w:rPr>
        <w:t>月金融数据相比，</w:t>
      </w:r>
      <w:r>
        <w:rPr>
          <w:rFonts w:eastAsia="楷体" w:cs="Arial" w:hint="eastAsia"/>
        </w:rPr>
        <w:t>非金融部门和家庭</w:t>
      </w:r>
      <w:proofErr w:type="gramStart"/>
      <w:r>
        <w:rPr>
          <w:rFonts w:eastAsia="楷体" w:cs="Arial" w:hint="eastAsia"/>
        </w:rPr>
        <w:t>信贷</w:t>
      </w:r>
      <w:r w:rsidRPr="00A15D35">
        <w:rPr>
          <w:rFonts w:eastAsia="楷体" w:cs="Arial" w:hint="eastAsia"/>
        </w:rPr>
        <w:t>环</w:t>
      </w:r>
      <w:proofErr w:type="gramEnd"/>
      <w:r w:rsidRPr="00A15D35">
        <w:rPr>
          <w:rFonts w:eastAsia="楷体" w:cs="Arial" w:hint="eastAsia"/>
        </w:rPr>
        <w:t>比和同比</w:t>
      </w:r>
      <w:r>
        <w:rPr>
          <w:rFonts w:eastAsia="楷体" w:cs="Arial" w:hint="eastAsia"/>
        </w:rPr>
        <w:t>都没有增长：</w:t>
      </w:r>
      <w:r w:rsidRPr="00A15D35">
        <w:rPr>
          <w:rFonts w:eastAsia="楷体" w:cs="Arial" w:hint="eastAsia"/>
        </w:rPr>
        <w:t>对非金融部门信贷同比降低</w:t>
      </w:r>
      <w:r w:rsidRPr="00A15D35">
        <w:rPr>
          <w:rFonts w:eastAsia="楷体" w:cs="Arial" w:hint="eastAsia"/>
        </w:rPr>
        <w:t>2.36%</w:t>
      </w:r>
      <w:r w:rsidRPr="00A15D35">
        <w:rPr>
          <w:rFonts w:eastAsia="楷体" w:cs="Arial" w:hint="eastAsia"/>
        </w:rPr>
        <w:t>，环比降低</w:t>
      </w:r>
      <w:r w:rsidRPr="00A15D35">
        <w:rPr>
          <w:rFonts w:eastAsia="楷体" w:cs="Arial" w:hint="eastAsia"/>
        </w:rPr>
        <w:t>27.63</w:t>
      </w:r>
      <w:r w:rsidRPr="00A15D35">
        <w:rPr>
          <w:rFonts w:eastAsia="楷体" w:cs="Arial" w:hint="eastAsia"/>
        </w:rPr>
        <w:t>亿欧元；对家庭消费信贷同比降低</w:t>
      </w:r>
      <w:r w:rsidRPr="00A15D35">
        <w:rPr>
          <w:rFonts w:eastAsia="楷体" w:cs="Arial" w:hint="eastAsia"/>
        </w:rPr>
        <w:t>3%</w:t>
      </w:r>
      <w:r w:rsidRPr="00A15D35">
        <w:rPr>
          <w:rFonts w:eastAsia="楷体" w:cs="Arial" w:hint="eastAsia"/>
        </w:rPr>
        <w:t>，环比绝对值减少</w:t>
      </w:r>
      <w:r w:rsidRPr="00A15D35">
        <w:rPr>
          <w:rFonts w:eastAsia="楷体" w:cs="Arial" w:hint="eastAsia"/>
        </w:rPr>
        <w:t>8.32</w:t>
      </w:r>
      <w:r w:rsidRPr="00A15D35">
        <w:rPr>
          <w:rFonts w:eastAsia="楷体" w:cs="Arial" w:hint="eastAsia"/>
        </w:rPr>
        <w:t>亿欧元。从货币总量指标看，</w:t>
      </w:r>
      <w:r w:rsidRPr="00A15D35">
        <w:rPr>
          <w:rFonts w:eastAsia="楷体" w:cs="Arial" w:hint="eastAsia"/>
        </w:rPr>
        <w:t>M2</w:t>
      </w:r>
      <w:r>
        <w:rPr>
          <w:rFonts w:eastAsia="楷体" w:cs="Arial" w:hint="eastAsia"/>
        </w:rPr>
        <w:t>、</w:t>
      </w:r>
      <w:r w:rsidRPr="00A15D35">
        <w:rPr>
          <w:rFonts w:eastAsia="楷体" w:cs="Arial" w:hint="eastAsia"/>
        </w:rPr>
        <w:t>M3</w:t>
      </w:r>
      <w:r w:rsidRPr="00A15D35">
        <w:rPr>
          <w:rFonts w:eastAsia="楷体" w:cs="Arial" w:hint="eastAsia"/>
        </w:rPr>
        <w:t>同比只有微弱增长。</w:t>
      </w:r>
    </w:p>
    <w:tbl>
      <w:tblPr>
        <w:tblW w:w="7442" w:type="dxa"/>
        <w:tblInd w:w="340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7442"/>
      </w:tblGrid>
      <w:tr w:rsidR="00360B5A" w:rsidRPr="00FC54FE" w:rsidTr="00906A8D">
        <w:trPr>
          <w:cantSplit/>
          <w:trHeight w:val="65"/>
        </w:trPr>
        <w:tc>
          <w:tcPr>
            <w:tcW w:w="7442" w:type="dxa"/>
            <w:shd w:val="clear" w:color="auto" w:fill="auto"/>
            <w:vAlign w:val="center"/>
          </w:tcPr>
          <w:p w:rsidR="00360B5A" w:rsidRPr="00FC54FE" w:rsidRDefault="00360B5A" w:rsidP="00906A8D">
            <w:pPr>
              <w:pStyle w:val="SubTitleLargeTable"/>
              <w:pBdr>
                <w:top w:val="none" w:sz="0" w:space="0" w:color="auto"/>
              </w:pBdr>
              <w:rPr>
                <w:rFonts w:ascii="楷体" w:eastAsia="楷体" w:hAnsi="楷体"/>
                <w:b w:val="0"/>
                <w:color w:val="FF6600"/>
              </w:rPr>
            </w:pPr>
            <w:r w:rsidRPr="00FC54FE">
              <w:rPr>
                <w:rFonts w:ascii="楷体" w:eastAsia="楷体" w:hAnsi="楷体"/>
                <w:color w:val="FF6600"/>
              </w:rPr>
              <w:t>图表</w:t>
            </w:r>
            <w:r w:rsidR="00903CA2">
              <w:rPr>
                <w:rFonts w:ascii="楷体" w:eastAsia="楷体" w:hAnsi="楷体" w:hint="eastAsia"/>
                <w:color w:val="FF6600"/>
              </w:rPr>
              <w:t>4</w:t>
            </w:r>
            <w:r w:rsidRPr="00FC54FE">
              <w:rPr>
                <w:rFonts w:ascii="楷体" w:eastAsia="楷体" w:hAnsi="楷体" w:hint="eastAsia"/>
                <w:color w:val="FF6600"/>
              </w:rPr>
              <w:t>：</w:t>
            </w:r>
            <w:r w:rsidR="00B01140" w:rsidRPr="00B01140">
              <w:rPr>
                <w:rFonts w:ascii="楷体" w:eastAsia="楷体" w:hAnsi="楷体" w:hint="eastAsia"/>
                <w:color w:val="FF6600"/>
              </w:rPr>
              <w:t>欧元区制造业、服务业PMI指数</w:t>
            </w:r>
          </w:p>
        </w:tc>
      </w:tr>
      <w:tr w:rsidR="00360B5A" w:rsidRPr="00FC54FE" w:rsidTr="00906A8D">
        <w:trPr>
          <w:cantSplit/>
          <w:trHeight w:val="2599"/>
        </w:trPr>
        <w:tc>
          <w:tcPr>
            <w:tcW w:w="7442" w:type="dxa"/>
            <w:shd w:val="clear" w:color="auto" w:fill="auto"/>
            <w:vAlign w:val="center"/>
          </w:tcPr>
          <w:p w:rsidR="00360B5A" w:rsidRPr="00FC54FE" w:rsidRDefault="00B01140" w:rsidP="00906A8D">
            <w:pPr>
              <w:snapToGrid w:val="0"/>
              <w:spacing w:line="10" w:lineRule="atLeast"/>
              <w:jc w:val="center"/>
              <w:rPr>
                <w:rFonts w:ascii="楷体" w:eastAsia="楷体" w:hAnsi="楷体"/>
                <w:b/>
              </w:rPr>
            </w:pPr>
            <w:r>
              <w:rPr>
                <w:rFonts w:hint="eastAsia"/>
                <w:noProof/>
              </w:rPr>
              <w:drawing>
                <wp:inline distT="0" distB="0" distL="0" distR="0">
                  <wp:extent cx="4638675" cy="2171700"/>
                  <wp:effectExtent l="19050" t="0" r="9525" b="0"/>
                  <wp:docPr id="2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4638675" cy="2171700"/>
                          </a:xfrm>
                          <a:prstGeom prst="rect">
                            <a:avLst/>
                          </a:prstGeom>
                          <a:noFill/>
                          <a:ln w="9525">
                            <a:noFill/>
                            <a:miter lim="800000"/>
                            <a:headEnd/>
                            <a:tailEnd/>
                          </a:ln>
                        </pic:spPr>
                      </pic:pic>
                    </a:graphicData>
                  </a:graphic>
                </wp:inline>
              </w:drawing>
            </w:r>
          </w:p>
        </w:tc>
      </w:tr>
    </w:tbl>
    <w:p w:rsidR="00360B5A" w:rsidRPr="007F54BB" w:rsidRDefault="00360B5A" w:rsidP="00360B5A">
      <w:pPr>
        <w:pStyle w:val="FootnoteNoline"/>
        <w:rPr>
          <w:rFonts w:ascii="楷体" w:eastAsia="楷体" w:hAnsi="楷体"/>
          <w:color w:val="FF6600"/>
        </w:rPr>
      </w:pPr>
      <w:r w:rsidRPr="00FC54FE">
        <w:rPr>
          <w:rFonts w:ascii="楷体" w:eastAsia="楷体" w:hAnsi="楷体" w:hint="eastAsia"/>
          <w:color w:val="FF6600"/>
        </w:rPr>
        <w:t>来源：</w:t>
      </w:r>
      <w:proofErr w:type="gramStart"/>
      <w:r w:rsidRPr="00FC54FE">
        <w:rPr>
          <w:rFonts w:ascii="楷体" w:eastAsia="楷体" w:hAnsi="楷体" w:hint="eastAsia"/>
          <w:color w:val="FF6600"/>
        </w:rPr>
        <w:t>凯</w:t>
      </w:r>
      <w:proofErr w:type="gramEnd"/>
      <w:r w:rsidRPr="00FC54FE">
        <w:rPr>
          <w:rFonts w:ascii="楷体" w:eastAsia="楷体" w:hAnsi="楷体" w:hint="eastAsia"/>
          <w:color w:val="FF6600"/>
        </w:rPr>
        <w:t xml:space="preserve">石财富工场 </w:t>
      </w:r>
      <w:r>
        <w:rPr>
          <w:rFonts w:ascii="楷体" w:eastAsia="楷体" w:hAnsi="楷体" w:hint="eastAsia"/>
          <w:color w:val="FF6600"/>
        </w:rPr>
        <w:t>Wind</w:t>
      </w:r>
      <w:r w:rsidRPr="00FC54FE">
        <w:rPr>
          <w:rFonts w:ascii="楷体" w:eastAsia="楷体" w:hAnsi="楷体" w:hint="eastAsia"/>
          <w:color w:val="FF6600"/>
        </w:rPr>
        <w:t>数据</w:t>
      </w:r>
    </w:p>
    <w:p w:rsidR="00A70401" w:rsidRPr="000A2A98" w:rsidRDefault="00A70401" w:rsidP="000A2A98">
      <w:pPr>
        <w:widowControl/>
        <w:spacing w:after="120"/>
        <w:ind w:left="3430"/>
        <w:rPr>
          <w:rFonts w:ascii="楷体" w:eastAsia="楷体" w:hAnsi="楷体"/>
          <w:b/>
          <w:bCs/>
          <w:color w:val="0070C0"/>
          <w:kern w:val="0"/>
          <w:szCs w:val="21"/>
          <w:lang w:val="en-GB"/>
        </w:rPr>
      </w:pPr>
      <w:r w:rsidRPr="000A2A98">
        <w:rPr>
          <w:rFonts w:ascii="楷体" w:eastAsia="楷体" w:hAnsi="楷体" w:hint="eastAsia"/>
          <w:b/>
          <w:bCs/>
          <w:color w:val="0070C0"/>
          <w:kern w:val="0"/>
          <w:szCs w:val="21"/>
          <w:lang w:val="en-GB"/>
        </w:rPr>
        <w:t>新兴市场：</w:t>
      </w:r>
      <w:r w:rsidR="00E4410C">
        <w:rPr>
          <w:rFonts w:ascii="楷体" w:eastAsia="楷体" w:hAnsi="楷体" w:hint="eastAsia"/>
          <w:b/>
          <w:bCs/>
          <w:color w:val="0070C0"/>
          <w:kern w:val="0"/>
          <w:szCs w:val="21"/>
          <w:lang w:val="en-GB"/>
        </w:rPr>
        <w:t>“沪港通”</w:t>
      </w:r>
      <w:r w:rsidR="004407C3">
        <w:rPr>
          <w:rFonts w:ascii="楷体" w:eastAsia="楷体" w:hAnsi="楷体" w:hint="eastAsia"/>
          <w:b/>
          <w:bCs/>
          <w:color w:val="0070C0"/>
          <w:kern w:val="0"/>
          <w:szCs w:val="21"/>
          <w:lang w:val="en-GB"/>
        </w:rPr>
        <w:t>箭在弦上，继续看好港股</w:t>
      </w:r>
    </w:p>
    <w:p w:rsidR="004A120D" w:rsidRDefault="002110BC" w:rsidP="004A120D">
      <w:pPr>
        <w:pStyle w:val="ab"/>
        <w:numPr>
          <w:ilvl w:val="4"/>
          <w:numId w:val="1"/>
        </w:numPr>
        <w:spacing w:after="163"/>
        <w:rPr>
          <w:rFonts w:eastAsia="楷体" w:cs="Arial"/>
        </w:rPr>
      </w:pPr>
      <w:r>
        <w:rPr>
          <w:rFonts w:eastAsia="楷体" w:cs="Arial" w:hint="eastAsia"/>
        </w:rPr>
        <w:t>在新兴经济体中，我们仍旧看好与中国市场关联紧密的港股市场。目前</w:t>
      </w:r>
      <w:r w:rsidR="004A120D" w:rsidRPr="004A120D">
        <w:rPr>
          <w:rFonts w:eastAsia="楷体" w:cs="Arial" w:hint="eastAsia"/>
        </w:rPr>
        <w:t>新兴经济体经济增速</w:t>
      </w:r>
      <w:r>
        <w:rPr>
          <w:rFonts w:eastAsia="楷体" w:cs="Arial" w:hint="eastAsia"/>
        </w:rPr>
        <w:t>多</w:t>
      </w:r>
      <w:r w:rsidR="001C0CF7">
        <w:rPr>
          <w:rFonts w:eastAsia="楷体" w:cs="Arial" w:hint="eastAsia"/>
        </w:rPr>
        <w:t>有</w:t>
      </w:r>
      <w:r>
        <w:rPr>
          <w:rFonts w:eastAsia="楷体" w:cs="Arial" w:hint="eastAsia"/>
        </w:rPr>
        <w:t>放缓，</w:t>
      </w:r>
      <w:r w:rsidR="004A120D" w:rsidRPr="004A120D">
        <w:rPr>
          <w:rFonts w:eastAsia="楷体" w:cs="Arial" w:hint="eastAsia"/>
        </w:rPr>
        <w:t>墨西哥、俄罗斯、印度、巴西、南非和印尼</w:t>
      </w:r>
      <w:r w:rsidR="00497958">
        <w:rPr>
          <w:rFonts w:eastAsia="楷体" w:cs="Arial" w:hint="eastAsia"/>
        </w:rPr>
        <w:t>二季度</w:t>
      </w:r>
      <w:r w:rsidR="004A120D" w:rsidRPr="004A120D">
        <w:rPr>
          <w:rFonts w:eastAsia="楷体" w:cs="Arial" w:hint="eastAsia"/>
        </w:rPr>
        <w:t>GDP</w:t>
      </w:r>
      <w:r w:rsidR="004A120D" w:rsidRPr="004A120D">
        <w:rPr>
          <w:rFonts w:eastAsia="楷体" w:cs="Arial" w:hint="eastAsia"/>
        </w:rPr>
        <w:t>同比增速分别从上季度的</w:t>
      </w:r>
      <w:r w:rsidR="004A120D" w:rsidRPr="004A120D">
        <w:rPr>
          <w:rFonts w:eastAsia="楷体" w:cs="Arial" w:hint="eastAsia"/>
        </w:rPr>
        <w:t>1.88%</w:t>
      </w:r>
      <w:r w:rsidR="004A120D" w:rsidRPr="004A120D">
        <w:rPr>
          <w:rFonts w:eastAsia="楷体" w:cs="Arial" w:hint="eastAsia"/>
        </w:rPr>
        <w:t>、</w:t>
      </w:r>
      <w:r w:rsidR="004A120D" w:rsidRPr="004A120D">
        <w:rPr>
          <w:rFonts w:eastAsia="楷体" w:cs="Arial" w:hint="eastAsia"/>
        </w:rPr>
        <w:t>0.90%</w:t>
      </w:r>
      <w:r w:rsidR="004A120D" w:rsidRPr="004A120D">
        <w:rPr>
          <w:rFonts w:eastAsia="楷体" w:cs="Arial" w:hint="eastAsia"/>
        </w:rPr>
        <w:t>、</w:t>
      </w:r>
      <w:r w:rsidR="004A120D" w:rsidRPr="004A120D">
        <w:rPr>
          <w:rFonts w:eastAsia="楷体" w:cs="Arial" w:hint="eastAsia"/>
        </w:rPr>
        <w:t xml:space="preserve"> 6.14%</w:t>
      </w:r>
      <w:r w:rsidR="004A120D" w:rsidRPr="004A120D">
        <w:rPr>
          <w:rFonts w:eastAsia="楷体" w:cs="Arial" w:hint="eastAsia"/>
        </w:rPr>
        <w:t>、</w:t>
      </w:r>
      <w:r w:rsidR="004A120D" w:rsidRPr="004A120D">
        <w:rPr>
          <w:rFonts w:eastAsia="楷体" w:cs="Arial" w:hint="eastAsia"/>
        </w:rPr>
        <w:t>1.92%</w:t>
      </w:r>
      <w:r w:rsidR="004A120D" w:rsidRPr="004A120D">
        <w:rPr>
          <w:rFonts w:eastAsia="楷体" w:cs="Arial" w:hint="eastAsia"/>
        </w:rPr>
        <w:t>、</w:t>
      </w:r>
      <w:r w:rsidR="004A120D" w:rsidRPr="004A120D">
        <w:rPr>
          <w:rFonts w:eastAsia="楷体" w:cs="Arial" w:hint="eastAsia"/>
        </w:rPr>
        <w:t xml:space="preserve"> 1.65%</w:t>
      </w:r>
      <w:r w:rsidR="004A120D" w:rsidRPr="004A120D">
        <w:rPr>
          <w:rFonts w:eastAsia="楷体" w:cs="Arial" w:hint="eastAsia"/>
        </w:rPr>
        <w:t>放缓至</w:t>
      </w:r>
      <w:r w:rsidR="004A120D" w:rsidRPr="004A120D">
        <w:rPr>
          <w:rFonts w:eastAsia="楷体" w:cs="Arial" w:hint="eastAsia"/>
        </w:rPr>
        <w:t>1.56%</w:t>
      </w:r>
      <w:r w:rsidR="004A120D" w:rsidRPr="004A120D">
        <w:rPr>
          <w:rFonts w:eastAsia="楷体" w:cs="Arial" w:hint="eastAsia"/>
        </w:rPr>
        <w:t>、</w:t>
      </w:r>
      <w:r w:rsidR="004A120D" w:rsidRPr="004A120D">
        <w:rPr>
          <w:rFonts w:eastAsia="楷体" w:cs="Arial" w:hint="eastAsia"/>
        </w:rPr>
        <w:t>0.80%</w:t>
      </w:r>
      <w:r w:rsidR="004A120D" w:rsidRPr="004A120D">
        <w:rPr>
          <w:rFonts w:eastAsia="楷体" w:cs="Arial" w:hint="eastAsia"/>
        </w:rPr>
        <w:t>、</w:t>
      </w:r>
      <w:r w:rsidR="004A120D" w:rsidRPr="004A120D">
        <w:rPr>
          <w:rFonts w:eastAsia="楷体" w:cs="Arial" w:hint="eastAsia"/>
        </w:rPr>
        <w:t>5.85%</w:t>
      </w:r>
      <w:r w:rsidR="004A120D" w:rsidRPr="004A120D">
        <w:rPr>
          <w:rFonts w:eastAsia="楷体" w:cs="Arial" w:hint="eastAsia"/>
        </w:rPr>
        <w:t>、</w:t>
      </w:r>
      <w:r w:rsidR="004A120D" w:rsidRPr="004A120D">
        <w:rPr>
          <w:rFonts w:eastAsia="楷体" w:cs="Arial" w:hint="eastAsia"/>
        </w:rPr>
        <w:t>-0.87%</w:t>
      </w:r>
      <w:r w:rsidR="004A120D" w:rsidRPr="004A120D">
        <w:rPr>
          <w:rFonts w:eastAsia="楷体" w:cs="Arial" w:hint="eastAsia"/>
        </w:rPr>
        <w:t>、</w:t>
      </w:r>
      <w:r>
        <w:rPr>
          <w:rFonts w:eastAsia="楷体" w:cs="Arial" w:hint="eastAsia"/>
        </w:rPr>
        <w:t>1.00%</w:t>
      </w:r>
      <w:r>
        <w:rPr>
          <w:rFonts w:eastAsia="楷体" w:cs="Arial" w:hint="eastAsia"/>
        </w:rPr>
        <w:t>，</w:t>
      </w:r>
      <w:r w:rsidR="004A120D" w:rsidRPr="004A120D">
        <w:rPr>
          <w:rFonts w:eastAsia="楷体" w:cs="Arial" w:hint="eastAsia"/>
        </w:rPr>
        <w:t>只有中国从上季度的</w:t>
      </w:r>
      <w:r w:rsidR="004A120D" w:rsidRPr="004A120D">
        <w:rPr>
          <w:rFonts w:eastAsia="楷体" w:cs="Arial" w:hint="eastAsia"/>
        </w:rPr>
        <w:t>7.4%</w:t>
      </w:r>
      <w:r w:rsidR="004A120D" w:rsidRPr="004A120D">
        <w:rPr>
          <w:rFonts w:eastAsia="楷体" w:cs="Arial" w:hint="eastAsia"/>
        </w:rPr>
        <w:t>加快至</w:t>
      </w:r>
      <w:r w:rsidR="004A120D" w:rsidRPr="004A120D">
        <w:rPr>
          <w:rFonts w:eastAsia="楷体" w:cs="Arial" w:hint="eastAsia"/>
        </w:rPr>
        <w:t>7.5%</w:t>
      </w:r>
      <w:r w:rsidR="004A120D" w:rsidRPr="004A120D">
        <w:rPr>
          <w:rFonts w:eastAsia="楷体" w:cs="Arial" w:hint="eastAsia"/>
        </w:rPr>
        <w:t>。</w:t>
      </w:r>
      <w:r w:rsidR="005B3C1B">
        <w:rPr>
          <w:rFonts w:eastAsia="楷体" w:cs="Arial" w:hint="eastAsia"/>
        </w:rPr>
        <w:t>此外，</w:t>
      </w:r>
      <w:r w:rsidR="0041069E">
        <w:rPr>
          <w:rFonts w:eastAsia="楷体" w:cs="Arial" w:hint="eastAsia"/>
        </w:rPr>
        <w:t>尽管在</w:t>
      </w:r>
      <w:r w:rsidR="0041069E" w:rsidRPr="004A120D">
        <w:rPr>
          <w:rFonts w:eastAsia="楷体" w:cs="Arial" w:hint="eastAsia"/>
        </w:rPr>
        <w:t>全球需求低迷、美元强势</w:t>
      </w:r>
      <w:r w:rsidR="0041069E">
        <w:rPr>
          <w:rFonts w:eastAsia="楷体" w:cs="Arial" w:hint="eastAsia"/>
        </w:rPr>
        <w:t>的</w:t>
      </w:r>
      <w:r w:rsidR="0041069E" w:rsidRPr="004A120D">
        <w:rPr>
          <w:rFonts w:eastAsia="楷体" w:cs="Arial" w:hint="eastAsia"/>
        </w:rPr>
        <w:t>背景下</w:t>
      </w:r>
      <w:r w:rsidR="0041069E">
        <w:rPr>
          <w:rFonts w:eastAsia="楷体" w:cs="Arial" w:hint="eastAsia"/>
        </w:rPr>
        <w:t>中国经济同样存在下行压力，但</w:t>
      </w:r>
      <w:r w:rsidR="0041069E" w:rsidRPr="004A120D">
        <w:rPr>
          <w:rFonts w:eastAsia="楷体" w:cs="Arial" w:hint="eastAsia"/>
        </w:rPr>
        <w:t>A</w:t>
      </w:r>
      <w:r w:rsidR="0041069E" w:rsidRPr="004A120D">
        <w:rPr>
          <w:rFonts w:eastAsia="楷体" w:cs="Arial" w:hint="eastAsia"/>
        </w:rPr>
        <w:t>股</w:t>
      </w:r>
      <w:r w:rsidR="0041069E">
        <w:rPr>
          <w:rFonts w:eastAsia="楷体" w:cs="Arial" w:hint="eastAsia"/>
        </w:rPr>
        <w:t>在政策红利预期下摆脱宏观经济影响，</w:t>
      </w:r>
      <w:r w:rsidR="005B3C1B">
        <w:rPr>
          <w:rFonts w:eastAsia="楷体" w:cs="Arial" w:hint="eastAsia"/>
        </w:rPr>
        <w:t>自</w:t>
      </w:r>
      <w:r w:rsidR="005B3C1B">
        <w:rPr>
          <w:rFonts w:eastAsia="楷体" w:cs="Arial" w:hint="eastAsia"/>
        </w:rPr>
        <w:t>7</w:t>
      </w:r>
      <w:r w:rsidR="005B3C1B">
        <w:rPr>
          <w:rFonts w:eastAsia="楷体" w:cs="Arial" w:hint="eastAsia"/>
        </w:rPr>
        <w:t>月以来</w:t>
      </w:r>
      <w:r w:rsidR="0041069E">
        <w:rPr>
          <w:rFonts w:eastAsia="楷体" w:cs="Arial" w:hint="eastAsia"/>
        </w:rPr>
        <w:t>演绎</w:t>
      </w:r>
      <w:r w:rsidR="005B3C1B">
        <w:rPr>
          <w:rFonts w:eastAsia="楷体" w:cs="Arial" w:hint="eastAsia"/>
        </w:rPr>
        <w:t>了</w:t>
      </w:r>
      <w:r w:rsidR="0041069E">
        <w:rPr>
          <w:rFonts w:eastAsia="楷体" w:cs="Arial" w:hint="eastAsia"/>
        </w:rPr>
        <w:t>“独立”</w:t>
      </w:r>
      <w:r w:rsidR="0041069E" w:rsidRPr="004A120D">
        <w:rPr>
          <w:rFonts w:eastAsia="楷体" w:cs="Arial" w:hint="eastAsia"/>
        </w:rPr>
        <w:t>上扬行情，</w:t>
      </w:r>
      <w:r w:rsidR="005B3C1B" w:rsidRPr="005B3C1B">
        <w:rPr>
          <w:rFonts w:eastAsia="楷体" w:cs="Arial" w:hint="eastAsia"/>
        </w:rPr>
        <w:t>且有增量资金持续进入的态势。</w:t>
      </w:r>
    </w:p>
    <w:p w:rsidR="005450EC" w:rsidRDefault="005450EC" w:rsidP="005450EC">
      <w:pPr>
        <w:pStyle w:val="ab"/>
        <w:numPr>
          <w:ilvl w:val="4"/>
          <w:numId w:val="1"/>
        </w:numPr>
        <w:spacing w:after="163"/>
        <w:rPr>
          <w:rFonts w:eastAsia="楷体" w:cs="Arial"/>
        </w:rPr>
      </w:pPr>
      <w:r w:rsidRPr="00864263">
        <w:rPr>
          <w:rFonts w:eastAsia="楷体" w:cs="Arial" w:hint="eastAsia"/>
        </w:rPr>
        <w:t>随着</w:t>
      </w:r>
      <w:r>
        <w:rPr>
          <w:rFonts w:eastAsia="楷体" w:cs="Arial" w:hint="eastAsia"/>
        </w:rPr>
        <w:t>国内</w:t>
      </w:r>
      <w:r w:rsidRPr="00864263">
        <w:rPr>
          <w:rFonts w:eastAsia="楷体" w:cs="Arial" w:hint="eastAsia"/>
        </w:rPr>
        <w:t>四中全会的到来，政策重心将转向改革，预计后期会有较多推进改革执行的措施出台，或将创造主题性机会</w:t>
      </w:r>
      <w:r>
        <w:rPr>
          <w:rFonts w:eastAsia="楷体" w:cs="Arial" w:hint="eastAsia"/>
        </w:rPr>
        <w:t>从而带动相应板块走强</w:t>
      </w:r>
      <w:r w:rsidRPr="00864263">
        <w:rPr>
          <w:rFonts w:eastAsia="楷体" w:cs="Arial" w:hint="eastAsia"/>
        </w:rPr>
        <w:t>。</w:t>
      </w:r>
      <w:r w:rsidR="001C0CF7" w:rsidRPr="005450EC">
        <w:rPr>
          <w:rFonts w:eastAsia="楷体" w:cs="Arial" w:hint="eastAsia"/>
        </w:rPr>
        <w:t>港股市场受益于政策活力，有望释放增长潜力。</w:t>
      </w:r>
    </w:p>
    <w:p w:rsidR="007765F1" w:rsidRPr="005450EC" w:rsidRDefault="005450EC" w:rsidP="005450EC">
      <w:pPr>
        <w:pStyle w:val="ab"/>
        <w:numPr>
          <w:ilvl w:val="4"/>
          <w:numId w:val="1"/>
        </w:numPr>
        <w:spacing w:after="163"/>
        <w:rPr>
          <w:rFonts w:eastAsia="楷体" w:cs="Arial"/>
        </w:rPr>
      </w:pPr>
      <w:r>
        <w:rPr>
          <w:rFonts w:eastAsia="楷体" w:cs="Arial" w:hint="eastAsia"/>
        </w:rPr>
        <w:t>“</w:t>
      </w:r>
      <w:r w:rsidR="001C0CF7" w:rsidRPr="005450EC">
        <w:rPr>
          <w:rFonts w:eastAsia="楷体" w:cs="Arial" w:hint="eastAsia"/>
        </w:rPr>
        <w:t>沪港通</w:t>
      </w:r>
      <w:r>
        <w:rPr>
          <w:rFonts w:eastAsia="楷体" w:cs="Arial" w:hint="eastAsia"/>
        </w:rPr>
        <w:t>”</w:t>
      </w:r>
      <w:r w:rsidRPr="00864263">
        <w:rPr>
          <w:rFonts w:eastAsia="楷体" w:cs="Arial" w:hint="eastAsia"/>
        </w:rPr>
        <w:t>引发的利好效应</w:t>
      </w:r>
      <w:r>
        <w:rPr>
          <w:rFonts w:eastAsia="楷体" w:cs="Arial" w:hint="eastAsia"/>
        </w:rPr>
        <w:t>使得港股未来表现值得期待。</w:t>
      </w:r>
      <w:r w:rsidRPr="00864263">
        <w:rPr>
          <w:rFonts w:eastAsia="楷体" w:cs="Arial" w:hint="eastAsia"/>
        </w:rPr>
        <w:t>不仅在流动性方面对于港股市场起到催化剂作用，更能开启港股与</w:t>
      </w:r>
      <w:r w:rsidRPr="00864263">
        <w:rPr>
          <w:rFonts w:eastAsia="楷体" w:cs="Arial"/>
        </w:rPr>
        <w:t>A</w:t>
      </w:r>
      <w:r w:rsidRPr="00864263">
        <w:rPr>
          <w:rFonts w:eastAsia="楷体" w:cs="Arial" w:hint="eastAsia"/>
        </w:rPr>
        <w:t>股两个巨大市场间的“直</w:t>
      </w:r>
      <w:r w:rsidRPr="00864263">
        <w:rPr>
          <w:rFonts w:eastAsia="楷体" w:cs="Arial" w:hint="eastAsia"/>
        </w:rPr>
        <w:lastRenderedPageBreak/>
        <w:t>通车”，将大陆与香港及海外资金进行有效关联</w:t>
      </w:r>
      <w:r>
        <w:rPr>
          <w:rFonts w:eastAsia="楷体" w:cs="Arial" w:hint="eastAsia"/>
        </w:rPr>
        <w:t>，届时</w:t>
      </w:r>
      <w:r w:rsidRPr="00864263">
        <w:rPr>
          <w:rFonts w:eastAsia="楷体" w:cs="Arial" w:hint="eastAsia"/>
        </w:rPr>
        <w:t>香港市场有望吸引更多合格投资者涌入，中资蓝筹股以及受惠沪港通的个股将有一定的表现空间。</w:t>
      </w:r>
      <w:r w:rsidR="00EB256D" w:rsidRPr="005450EC">
        <w:rPr>
          <w:rFonts w:eastAsia="楷体" w:cs="Arial" w:hint="eastAsia"/>
        </w:rPr>
        <w:t>目前</w:t>
      </w:r>
      <w:r>
        <w:rPr>
          <w:rFonts w:eastAsia="楷体" w:cs="Arial" w:hint="eastAsia"/>
        </w:rPr>
        <w:t>，</w:t>
      </w:r>
      <w:r w:rsidR="00EB256D" w:rsidRPr="005450EC">
        <w:rPr>
          <w:rFonts w:eastAsia="楷体" w:cs="Arial" w:hint="eastAsia"/>
        </w:rPr>
        <w:t>“港股通”虽然暂停，但并不影响其在未来某个时点的启动。因此，在</w:t>
      </w:r>
      <w:r w:rsidR="00EB256D" w:rsidRPr="005450EC">
        <w:rPr>
          <w:rFonts w:eastAsia="楷体" w:cs="Arial"/>
        </w:rPr>
        <w:t>11</w:t>
      </w:r>
      <w:r w:rsidR="00EB256D" w:rsidRPr="005450EC">
        <w:rPr>
          <w:rFonts w:eastAsia="楷体" w:cs="Arial" w:hint="eastAsia"/>
        </w:rPr>
        <w:t>月份的</w:t>
      </w:r>
      <w:r w:rsidR="00EB256D" w:rsidRPr="005450EC">
        <w:rPr>
          <w:rFonts w:eastAsia="楷体" w:cs="Arial"/>
        </w:rPr>
        <w:t>QDII</w:t>
      </w:r>
      <w:r w:rsidR="00EB256D" w:rsidRPr="005450EC">
        <w:rPr>
          <w:rFonts w:eastAsia="楷体" w:cs="Arial" w:hint="eastAsia"/>
        </w:rPr>
        <w:t>配置上，我们</w:t>
      </w:r>
      <w:r w:rsidR="005F36BE" w:rsidRPr="005450EC">
        <w:rPr>
          <w:rFonts w:eastAsia="楷体" w:cs="Arial" w:hint="eastAsia"/>
        </w:rPr>
        <w:t>依旧</w:t>
      </w:r>
      <w:r w:rsidR="00EB256D" w:rsidRPr="005450EC">
        <w:rPr>
          <w:rFonts w:eastAsia="楷体" w:cs="Arial" w:hint="eastAsia"/>
        </w:rPr>
        <w:t>建议投资者重点关注</w:t>
      </w:r>
      <w:r>
        <w:rPr>
          <w:rFonts w:eastAsia="楷体" w:cs="Arial" w:hint="eastAsia"/>
        </w:rPr>
        <w:t>港股</w:t>
      </w:r>
      <w:r w:rsidR="00EB256D" w:rsidRPr="005450EC">
        <w:rPr>
          <w:rFonts w:eastAsia="楷体" w:cs="Arial" w:hint="eastAsia"/>
        </w:rPr>
        <w:t>市场。</w:t>
      </w:r>
    </w:p>
    <w:p w:rsidR="003B7602" w:rsidRPr="00864263" w:rsidRDefault="002110BC" w:rsidP="005F36BE">
      <w:pPr>
        <w:pStyle w:val="ab"/>
        <w:numPr>
          <w:ilvl w:val="5"/>
          <w:numId w:val="2"/>
        </w:numPr>
        <w:spacing w:after="163"/>
        <w:rPr>
          <w:rFonts w:eastAsia="楷体" w:cs="Arial"/>
        </w:rPr>
      </w:pPr>
      <w:r w:rsidRPr="002110BC">
        <w:rPr>
          <w:rFonts w:eastAsia="楷体" w:cs="Arial" w:hint="eastAsia"/>
        </w:rPr>
        <w:t>中国证监会新闻发言人邓舸近日在例行发布会上回应媒体询问时表示，目前沪港</w:t>
      </w:r>
      <w:proofErr w:type="gramStart"/>
      <w:r w:rsidRPr="002110BC">
        <w:rPr>
          <w:rFonts w:eastAsia="楷体" w:cs="Arial" w:hint="eastAsia"/>
        </w:rPr>
        <w:t>通试点</w:t>
      </w:r>
      <w:proofErr w:type="gramEnd"/>
      <w:r w:rsidRPr="002110BC">
        <w:rPr>
          <w:rFonts w:eastAsia="楷体" w:cs="Arial" w:hint="eastAsia"/>
        </w:rPr>
        <w:t>的各项准备工作已经到了最后阶段。言论引起港股投资者关注，</w:t>
      </w:r>
      <w:proofErr w:type="gramStart"/>
      <w:r w:rsidRPr="002110BC">
        <w:rPr>
          <w:rFonts w:eastAsia="楷体" w:cs="Arial" w:hint="eastAsia"/>
        </w:rPr>
        <w:t>港交所</w:t>
      </w:r>
      <w:r w:rsidR="005F36BE">
        <w:rPr>
          <w:rFonts w:eastAsia="楷体" w:cs="Arial" w:hint="eastAsia"/>
        </w:rPr>
        <w:t>在</w:t>
      </w:r>
      <w:proofErr w:type="gramEnd"/>
      <w:r w:rsidR="00E14AB7">
        <w:rPr>
          <w:rFonts w:eastAsia="楷体" w:cs="Arial" w:hint="eastAsia"/>
        </w:rPr>
        <w:t>11</w:t>
      </w:r>
      <w:r w:rsidR="00E14AB7">
        <w:rPr>
          <w:rFonts w:eastAsia="楷体" w:cs="Arial" w:hint="eastAsia"/>
        </w:rPr>
        <w:t>月</w:t>
      </w:r>
      <w:r w:rsidR="005F36BE">
        <w:rPr>
          <w:rFonts w:eastAsia="楷体" w:cs="Arial" w:hint="eastAsia"/>
        </w:rPr>
        <w:t>6</w:t>
      </w:r>
      <w:r w:rsidRPr="002110BC">
        <w:rPr>
          <w:rFonts w:eastAsia="楷体" w:cs="Arial" w:hint="eastAsia"/>
        </w:rPr>
        <w:t>日</w:t>
      </w:r>
      <w:r w:rsidRPr="002110BC">
        <w:rPr>
          <w:rFonts w:eastAsia="楷体" w:cs="Arial" w:hint="eastAsia"/>
        </w:rPr>
        <w:t>A</w:t>
      </w:r>
      <w:r w:rsidRPr="002110BC">
        <w:rPr>
          <w:rFonts w:eastAsia="楷体" w:cs="Arial" w:hint="eastAsia"/>
        </w:rPr>
        <w:t>股早盘收市后突然炒高，一度大涨</w:t>
      </w:r>
      <w:r w:rsidRPr="002110BC">
        <w:rPr>
          <w:rFonts w:eastAsia="楷体" w:cs="Arial" w:hint="eastAsia"/>
        </w:rPr>
        <w:t>4%</w:t>
      </w:r>
      <w:r w:rsidR="005F36BE">
        <w:rPr>
          <w:rFonts w:eastAsia="楷体" w:cs="Arial" w:hint="eastAsia"/>
        </w:rPr>
        <w:t>。</w:t>
      </w:r>
      <w:r w:rsidR="00E14AB7">
        <w:rPr>
          <w:rFonts w:eastAsia="楷体" w:cs="Arial" w:hint="eastAsia"/>
        </w:rPr>
        <w:t>我们认为，“沪港通”没有官方开通日期，只表明</w:t>
      </w:r>
      <w:r w:rsidR="00170096">
        <w:rPr>
          <w:rFonts w:eastAsia="楷体" w:cs="Arial" w:hint="eastAsia"/>
        </w:rPr>
        <w:t>推出时间较市场预期迟。目前两个市场仍不断在测试，监管机构亦继续推进工作</w:t>
      </w:r>
      <w:r w:rsidR="00E14AB7" w:rsidRPr="00E14AB7">
        <w:rPr>
          <w:rFonts w:eastAsia="楷体" w:cs="Arial" w:hint="eastAsia"/>
        </w:rPr>
        <w:t>，</w:t>
      </w:r>
      <w:r w:rsidR="00170096">
        <w:rPr>
          <w:rFonts w:eastAsia="楷体" w:cs="Arial" w:hint="eastAsia"/>
        </w:rPr>
        <w:t>因此“沪港通”不会取消，有望</w:t>
      </w:r>
      <w:r w:rsidR="00E14AB7" w:rsidRPr="00E14AB7">
        <w:rPr>
          <w:rFonts w:eastAsia="楷体" w:cs="Arial" w:hint="eastAsia"/>
        </w:rPr>
        <w:t>在今年内开通</w:t>
      </w:r>
      <w:r w:rsidR="006B555B">
        <w:rPr>
          <w:rFonts w:eastAsia="楷体" w:cs="Arial" w:hint="eastAsia"/>
        </w:rPr>
        <w:t>，最新动态需投资者密切追踪</w:t>
      </w:r>
      <w:r w:rsidR="00E14AB7" w:rsidRPr="00E14AB7">
        <w:rPr>
          <w:rFonts w:eastAsia="楷体" w:cs="Arial" w:hint="eastAsia"/>
        </w:rPr>
        <w:t>。</w:t>
      </w:r>
    </w:p>
    <w:p w:rsidR="00B6662B" w:rsidRPr="00B6662B" w:rsidRDefault="002D51F9" w:rsidP="00B6662B">
      <w:pPr>
        <w:pStyle w:val="ab"/>
        <w:numPr>
          <w:ilvl w:val="4"/>
          <w:numId w:val="1"/>
        </w:numPr>
        <w:spacing w:after="163"/>
        <w:rPr>
          <w:rFonts w:eastAsia="楷体" w:cs="Arial"/>
        </w:rPr>
      </w:pPr>
      <w:r>
        <w:rPr>
          <w:rFonts w:eastAsia="楷体" w:cs="Arial" w:hint="eastAsia"/>
        </w:rPr>
        <w:t>而</w:t>
      </w:r>
      <w:r w:rsidR="00B6662B">
        <w:rPr>
          <w:rFonts w:eastAsia="楷体" w:cs="Arial" w:hint="eastAsia"/>
        </w:rPr>
        <w:t>另一方面，</w:t>
      </w:r>
      <w:r w:rsidR="00B6662B" w:rsidRPr="00864263">
        <w:rPr>
          <w:rFonts w:eastAsia="楷体" w:cs="Arial" w:hint="eastAsia"/>
        </w:rPr>
        <w:t>在美国经济持续复苏及美联储加息预期支撑下，美元资产对投资者的吸引力逐步增强，美元指数呈稳步上扬态势，恐将在流动性方面对新兴市场形成一定冲击。</w:t>
      </w:r>
      <w:r w:rsidR="00B6662B">
        <w:rPr>
          <w:rFonts w:eastAsia="楷体" w:cs="Arial" w:hint="eastAsia"/>
        </w:rPr>
        <w:t>在美联储</w:t>
      </w:r>
      <w:r w:rsidR="00B6662B" w:rsidRPr="00864263">
        <w:rPr>
          <w:rFonts w:eastAsia="楷体" w:cs="Arial" w:hint="eastAsia"/>
        </w:rPr>
        <w:t>结束</w:t>
      </w:r>
      <w:r w:rsidR="00B6662B" w:rsidRPr="00864263">
        <w:rPr>
          <w:rFonts w:eastAsia="楷体" w:cs="Arial"/>
        </w:rPr>
        <w:t>QE</w:t>
      </w:r>
      <w:r w:rsidR="00B6662B">
        <w:rPr>
          <w:rFonts w:eastAsia="楷体" w:cs="Arial"/>
        </w:rPr>
        <w:t>、</w:t>
      </w:r>
      <w:r w:rsidR="00B6662B" w:rsidRPr="00864263">
        <w:rPr>
          <w:rFonts w:eastAsia="楷体" w:cs="Arial"/>
        </w:rPr>
        <w:t>走上</w:t>
      </w:r>
      <w:r w:rsidR="00B6662B">
        <w:rPr>
          <w:rFonts w:eastAsia="楷体" w:cs="Arial" w:hint="eastAsia"/>
        </w:rPr>
        <w:t>货币正常化</w:t>
      </w:r>
      <w:r w:rsidR="00B6662B" w:rsidRPr="00864263">
        <w:rPr>
          <w:rFonts w:eastAsia="楷体" w:cs="Arial" w:hint="eastAsia"/>
        </w:rPr>
        <w:t>道路</w:t>
      </w:r>
      <w:r w:rsidR="00B6662B">
        <w:rPr>
          <w:rFonts w:eastAsia="楷体" w:cs="Arial" w:hint="eastAsia"/>
        </w:rPr>
        <w:t>之际</w:t>
      </w:r>
      <w:r w:rsidR="00B6662B" w:rsidRPr="00864263">
        <w:rPr>
          <w:rFonts w:eastAsia="楷体" w:cs="Arial" w:hint="eastAsia"/>
        </w:rPr>
        <w:t>，投资者应警惕美元升值对于新兴市场风险溢价的不利影响。</w:t>
      </w:r>
    </w:p>
    <w:p w:rsidR="00A70401" w:rsidRPr="00FC54FE" w:rsidRDefault="005D3072" w:rsidP="00A70401">
      <w:pPr>
        <w:widowControl/>
        <w:spacing w:after="120" w:line="240" w:lineRule="exact"/>
        <w:ind w:left="3430"/>
        <w:rPr>
          <w:rFonts w:ascii="楷体" w:eastAsia="楷体" w:hAnsi="楷体" w:cs="Times New Roman"/>
          <w:b/>
          <w:bCs/>
          <w:color w:val="0070C0"/>
          <w:kern w:val="0"/>
          <w:sz w:val="24"/>
          <w:szCs w:val="20"/>
          <w:lang w:val="en-GB"/>
        </w:rPr>
      </w:pPr>
      <w:r>
        <w:rPr>
          <w:rFonts w:ascii="楷体" w:eastAsia="楷体" w:hAnsi="楷体" w:cs="Times New Roman" w:hint="eastAsia"/>
          <w:b/>
          <w:bCs/>
          <w:color w:val="0070C0"/>
          <w:kern w:val="0"/>
          <w:sz w:val="24"/>
          <w:szCs w:val="20"/>
          <w:lang w:val="en-GB"/>
        </w:rPr>
        <w:t>11月</w:t>
      </w:r>
      <w:r w:rsidR="00A70401" w:rsidRPr="00FC54FE">
        <w:rPr>
          <w:rFonts w:ascii="楷体" w:eastAsia="楷体" w:hAnsi="楷体" w:cs="Times New Roman" w:hint="eastAsia"/>
          <w:b/>
          <w:bCs/>
          <w:color w:val="0070C0"/>
          <w:kern w:val="0"/>
          <w:sz w:val="24"/>
          <w:szCs w:val="20"/>
          <w:lang w:val="en-GB"/>
        </w:rPr>
        <w:t>QDII投资</w:t>
      </w:r>
      <w:r w:rsidR="00C95A13">
        <w:rPr>
          <w:rFonts w:ascii="楷体" w:eastAsia="楷体" w:hAnsi="楷体" w:cs="Times New Roman" w:hint="eastAsia"/>
          <w:b/>
          <w:bCs/>
          <w:color w:val="0070C0"/>
          <w:kern w:val="0"/>
          <w:sz w:val="24"/>
          <w:szCs w:val="20"/>
          <w:lang w:val="en-GB"/>
        </w:rPr>
        <w:t>策略</w:t>
      </w:r>
      <w:r w:rsidR="00A70401" w:rsidRPr="00FC54FE">
        <w:rPr>
          <w:rFonts w:ascii="楷体" w:eastAsia="楷体" w:hAnsi="楷体" w:cs="Times New Roman" w:hint="eastAsia"/>
          <w:b/>
          <w:bCs/>
          <w:color w:val="0070C0"/>
          <w:kern w:val="0"/>
          <w:sz w:val="24"/>
          <w:szCs w:val="20"/>
          <w:lang w:val="en-GB"/>
        </w:rPr>
        <w:t>：</w:t>
      </w:r>
      <w:r w:rsidR="00253DAE">
        <w:rPr>
          <w:rFonts w:ascii="楷体" w:eastAsia="楷体" w:hAnsi="楷体" w:cs="Times New Roman" w:hint="eastAsia"/>
          <w:b/>
          <w:bCs/>
          <w:color w:val="0070C0"/>
          <w:kern w:val="0"/>
          <w:sz w:val="24"/>
          <w:szCs w:val="20"/>
          <w:lang w:val="en-GB"/>
        </w:rPr>
        <w:t>美股港股“双核心”</w:t>
      </w:r>
    </w:p>
    <w:p w:rsidR="00253DAE" w:rsidRDefault="00253DAE" w:rsidP="00253DAE">
      <w:pPr>
        <w:pStyle w:val="ab"/>
        <w:numPr>
          <w:ilvl w:val="4"/>
          <w:numId w:val="1"/>
        </w:numPr>
        <w:spacing w:after="163"/>
        <w:rPr>
          <w:rFonts w:eastAsia="楷体" w:cs="Arial"/>
        </w:rPr>
      </w:pPr>
      <w:proofErr w:type="gramStart"/>
      <w:r>
        <w:rPr>
          <w:rFonts w:eastAsia="楷体" w:cs="Arial" w:hint="eastAsia"/>
        </w:rPr>
        <w:t>凯石工场</w:t>
      </w:r>
      <w:proofErr w:type="gramEnd"/>
      <w:r>
        <w:rPr>
          <w:rFonts w:eastAsia="楷体" w:cs="Arial" w:hint="eastAsia"/>
        </w:rPr>
        <w:t>认为，</w:t>
      </w:r>
      <w:r w:rsidRPr="00253DAE">
        <w:rPr>
          <w:rFonts w:eastAsia="楷体" w:cs="Arial" w:hint="eastAsia"/>
        </w:rPr>
        <w:t>美国有望在近一两年持续成为全球资金配置的优先地区。</w:t>
      </w:r>
      <w:r w:rsidRPr="00864263">
        <w:rPr>
          <w:rFonts w:eastAsia="楷体" w:cs="Arial" w:hint="eastAsia"/>
        </w:rPr>
        <w:t>美联储于</w:t>
      </w:r>
      <w:r w:rsidRPr="00864263">
        <w:rPr>
          <w:rFonts w:eastAsia="楷体" w:cs="Arial" w:hint="eastAsia"/>
        </w:rPr>
        <w:t>10</w:t>
      </w:r>
      <w:r w:rsidRPr="00864263">
        <w:rPr>
          <w:rFonts w:eastAsia="楷体" w:cs="Arial" w:hint="eastAsia"/>
        </w:rPr>
        <w:t>月底如期结束</w:t>
      </w:r>
      <w:r w:rsidRPr="00864263">
        <w:rPr>
          <w:rFonts w:eastAsia="楷体" w:cs="Arial" w:hint="eastAsia"/>
        </w:rPr>
        <w:t>QE3</w:t>
      </w:r>
      <w:r w:rsidRPr="00864263">
        <w:rPr>
          <w:rFonts w:eastAsia="楷体" w:cs="Arial" w:hint="eastAsia"/>
        </w:rPr>
        <w:t>，并继续维持</w:t>
      </w:r>
      <w:r w:rsidRPr="00864263">
        <w:rPr>
          <w:rFonts w:eastAsia="楷体" w:cs="Arial" w:hint="eastAsia"/>
        </w:rPr>
        <w:t>0~0.25%</w:t>
      </w:r>
      <w:r w:rsidRPr="00864263">
        <w:rPr>
          <w:rFonts w:eastAsia="楷体" w:cs="Arial" w:hint="eastAsia"/>
        </w:rPr>
        <w:t>的超低政策利率“相当长时间内保持不变”，</w:t>
      </w:r>
      <w:r>
        <w:rPr>
          <w:rFonts w:eastAsia="楷体" w:cs="Arial" w:hint="eastAsia"/>
        </w:rPr>
        <w:t>进一步降低了明年春季加息的可能性</w:t>
      </w:r>
      <w:r w:rsidRPr="00864263">
        <w:rPr>
          <w:rFonts w:eastAsia="楷体" w:cs="Arial" w:hint="eastAsia"/>
        </w:rPr>
        <w:t>。</w:t>
      </w:r>
      <w:r w:rsidRPr="00864263">
        <w:rPr>
          <w:rFonts w:eastAsia="楷体" w:cs="Arial" w:hint="eastAsia"/>
        </w:rPr>
        <w:t>10</w:t>
      </w:r>
      <w:r>
        <w:rPr>
          <w:rFonts w:eastAsia="楷体" w:cs="Arial" w:hint="eastAsia"/>
        </w:rPr>
        <w:t>月份</w:t>
      </w:r>
      <w:r w:rsidRPr="00864263">
        <w:rPr>
          <w:rFonts w:eastAsia="楷体" w:cs="Arial" w:hint="eastAsia"/>
        </w:rPr>
        <w:t>的</w:t>
      </w:r>
      <w:r>
        <w:rPr>
          <w:rFonts w:eastAsia="楷体" w:cs="Arial" w:hint="eastAsia"/>
        </w:rPr>
        <w:t>房地产、消费、就业等各项数据则有力</w:t>
      </w:r>
      <w:r w:rsidRPr="00864263">
        <w:rPr>
          <w:rFonts w:eastAsia="楷体" w:cs="Arial" w:hint="eastAsia"/>
        </w:rPr>
        <w:t>支持了美联储的判断。</w:t>
      </w:r>
      <w:r>
        <w:rPr>
          <w:rFonts w:eastAsia="楷体" w:cs="Arial" w:hint="eastAsia"/>
        </w:rPr>
        <w:t>鉴于经济基本面和流动性两方面</w:t>
      </w:r>
      <w:r w:rsidRPr="00EF6AC8">
        <w:rPr>
          <w:rFonts w:eastAsia="楷体" w:cs="Arial" w:hint="eastAsia"/>
        </w:rPr>
        <w:t>均支持美股行情的持续表现</w:t>
      </w:r>
      <w:r>
        <w:rPr>
          <w:rFonts w:eastAsia="楷体" w:cs="Arial" w:hint="eastAsia"/>
        </w:rPr>
        <w:t>，</w:t>
      </w:r>
      <w:proofErr w:type="gramStart"/>
      <w:r w:rsidRPr="00864263">
        <w:rPr>
          <w:rFonts w:eastAsia="楷体" w:cs="Arial" w:hint="eastAsia"/>
        </w:rPr>
        <w:t>凯石工场</w:t>
      </w:r>
      <w:proofErr w:type="gramEnd"/>
      <w:r>
        <w:rPr>
          <w:rFonts w:eastAsia="楷体" w:cs="Arial" w:hint="eastAsia"/>
        </w:rPr>
        <w:t>11</w:t>
      </w:r>
      <w:r>
        <w:rPr>
          <w:rFonts w:eastAsia="楷体" w:cs="Arial" w:hint="eastAsia"/>
        </w:rPr>
        <w:t>月</w:t>
      </w:r>
      <w:r w:rsidR="00C771E1">
        <w:rPr>
          <w:rFonts w:eastAsia="楷体" w:cs="Arial" w:hint="eastAsia"/>
        </w:rPr>
        <w:t>份</w:t>
      </w:r>
      <w:r w:rsidR="00C771E1">
        <w:rPr>
          <w:rFonts w:eastAsia="楷体" w:cs="Arial" w:hint="eastAsia"/>
        </w:rPr>
        <w:t>QDII</w:t>
      </w:r>
      <w:r w:rsidR="00C771E1">
        <w:rPr>
          <w:rFonts w:eastAsia="楷体" w:cs="Arial" w:hint="eastAsia"/>
        </w:rPr>
        <w:t>投资策略中，建议</w:t>
      </w:r>
      <w:r w:rsidR="0087670A">
        <w:rPr>
          <w:rFonts w:eastAsia="楷体" w:cs="Arial" w:hint="eastAsia"/>
        </w:rPr>
        <w:t>相比</w:t>
      </w:r>
      <w:r w:rsidR="0087670A">
        <w:rPr>
          <w:rFonts w:eastAsia="楷体" w:cs="Arial" w:hint="eastAsia"/>
        </w:rPr>
        <w:t>10</w:t>
      </w:r>
      <w:r w:rsidR="0087670A">
        <w:rPr>
          <w:rFonts w:eastAsia="楷体" w:cs="Arial" w:hint="eastAsia"/>
        </w:rPr>
        <w:t>月</w:t>
      </w:r>
      <w:r w:rsidR="00C771E1">
        <w:rPr>
          <w:rFonts w:eastAsia="楷体" w:cs="Arial" w:hint="eastAsia"/>
        </w:rPr>
        <w:t>上调美国市场“美股</w:t>
      </w:r>
      <w:r w:rsidR="00C771E1">
        <w:rPr>
          <w:rFonts w:eastAsia="楷体" w:cs="Arial" w:hint="eastAsia"/>
        </w:rPr>
        <w:t>+</w:t>
      </w:r>
      <w:r w:rsidR="00C771E1">
        <w:rPr>
          <w:rFonts w:eastAsia="楷体" w:cs="Arial" w:hint="eastAsia"/>
        </w:rPr>
        <w:t>美房”的投资比例</w:t>
      </w:r>
      <w:r w:rsidRPr="00864263">
        <w:rPr>
          <w:rFonts w:eastAsia="楷体" w:cs="Arial" w:hint="eastAsia"/>
        </w:rPr>
        <w:t>。</w:t>
      </w:r>
    </w:p>
    <w:p w:rsidR="00253DAE" w:rsidRDefault="00253DAE" w:rsidP="00253DAE">
      <w:pPr>
        <w:pStyle w:val="ab"/>
        <w:numPr>
          <w:ilvl w:val="4"/>
          <w:numId w:val="1"/>
        </w:numPr>
        <w:spacing w:after="163"/>
        <w:rPr>
          <w:rFonts w:eastAsia="楷体" w:cs="Arial"/>
        </w:rPr>
      </w:pPr>
      <w:r>
        <w:rPr>
          <w:rFonts w:eastAsia="楷体" w:cs="Arial" w:hint="eastAsia"/>
        </w:rPr>
        <w:t>同时，我们继续看好港股在未来的表现。</w:t>
      </w:r>
      <w:r w:rsidRPr="00864263">
        <w:rPr>
          <w:rFonts w:eastAsia="楷体" w:cs="Arial" w:hint="eastAsia"/>
        </w:rPr>
        <w:t>随着</w:t>
      </w:r>
      <w:r>
        <w:rPr>
          <w:rFonts w:eastAsia="楷体" w:cs="Arial" w:hint="eastAsia"/>
        </w:rPr>
        <w:t>国内</w:t>
      </w:r>
      <w:r w:rsidRPr="00864263">
        <w:rPr>
          <w:rFonts w:eastAsia="楷体" w:cs="Arial" w:hint="eastAsia"/>
        </w:rPr>
        <w:t>四中全会的到来</w:t>
      </w:r>
      <w:r>
        <w:rPr>
          <w:rFonts w:eastAsia="楷体" w:cs="Arial" w:hint="eastAsia"/>
        </w:rPr>
        <w:t>，</w:t>
      </w:r>
      <w:r w:rsidRPr="005450EC">
        <w:rPr>
          <w:rFonts w:eastAsia="楷体" w:cs="Arial" w:hint="eastAsia"/>
        </w:rPr>
        <w:t>港股市场受益于政策活力，有望释放增长潜力。</w:t>
      </w:r>
      <w:r w:rsidR="00685C4C">
        <w:rPr>
          <w:rFonts w:eastAsia="楷体" w:cs="Arial" w:hint="eastAsia"/>
        </w:rPr>
        <w:t>另外</w:t>
      </w:r>
      <w:r>
        <w:rPr>
          <w:rFonts w:eastAsia="楷体" w:cs="Arial" w:hint="eastAsia"/>
        </w:rPr>
        <w:t>尽管</w:t>
      </w:r>
      <w:r w:rsidRPr="00EF6AC8">
        <w:rPr>
          <w:rFonts w:eastAsia="楷体" w:cs="Arial" w:hint="eastAsia"/>
        </w:rPr>
        <w:t>“港股通”</w:t>
      </w:r>
      <w:r>
        <w:rPr>
          <w:rFonts w:eastAsia="楷体" w:cs="Arial" w:hint="eastAsia"/>
        </w:rPr>
        <w:t>箭在弦上迟迟未发，但</w:t>
      </w:r>
      <w:proofErr w:type="gramStart"/>
      <w:r>
        <w:rPr>
          <w:rFonts w:eastAsia="楷体" w:cs="Arial" w:hint="eastAsia"/>
        </w:rPr>
        <w:t>终归将</w:t>
      </w:r>
      <w:proofErr w:type="gramEnd"/>
      <w:r>
        <w:rPr>
          <w:rFonts w:eastAsia="楷体" w:cs="Arial" w:hint="eastAsia"/>
        </w:rPr>
        <w:t>在年内某个时点启动</w:t>
      </w:r>
      <w:r w:rsidR="0012463C">
        <w:rPr>
          <w:rFonts w:eastAsia="楷体" w:cs="Arial" w:hint="eastAsia"/>
        </w:rPr>
        <w:t>，引发的利好效应值得期待</w:t>
      </w:r>
      <w:r>
        <w:rPr>
          <w:rFonts w:eastAsia="楷体" w:cs="Arial" w:hint="eastAsia"/>
        </w:rPr>
        <w:t>。</w:t>
      </w:r>
      <w:r w:rsidR="00C771E1">
        <w:rPr>
          <w:rFonts w:eastAsia="楷体" w:cs="Arial" w:hint="eastAsia"/>
        </w:rPr>
        <w:t>因此</w:t>
      </w:r>
      <w:r>
        <w:rPr>
          <w:rFonts w:eastAsia="楷体" w:cs="Arial" w:hint="eastAsia"/>
        </w:rPr>
        <w:t>我们建议投资者</w:t>
      </w:r>
      <w:r w:rsidR="00685C4C">
        <w:rPr>
          <w:rFonts w:eastAsia="楷体" w:cs="Arial" w:hint="eastAsia"/>
        </w:rPr>
        <w:t>在</w:t>
      </w:r>
      <w:r w:rsidR="00685C4C">
        <w:rPr>
          <w:rFonts w:eastAsia="楷体" w:cs="Arial" w:hint="eastAsia"/>
        </w:rPr>
        <w:t>11</w:t>
      </w:r>
      <w:r w:rsidR="00685C4C">
        <w:rPr>
          <w:rFonts w:eastAsia="楷体" w:cs="Arial" w:hint="eastAsia"/>
        </w:rPr>
        <w:t>月份的</w:t>
      </w:r>
      <w:r w:rsidR="00685C4C">
        <w:rPr>
          <w:rFonts w:eastAsia="楷体" w:cs="Arial" w:hint="eastAsia"/>
        </w:rPr>
        <w:t>QDII</w:t>
      </w:r>
      <w:r>
        <w:rPr>
          <w:rFonts w:eastAsia="楷体" w:cs="Arial" w:hint="eastAsia"/>
        </w:rPr>
        <w:t>基金组合中</w:t>
      </w:r>
      <w:r w:rsidR="00685C4C">
        <w:rPr>
          <w:rFonts w:eastAsia="楷体" w:cs="Arial" w:hint="eastAsia"/>
        </w:rPr>
        <w:t>，采取</w:t>
      </w:r>
      <w:r>
        <w:rPr>
          <w:rFonts w:eastAsia="楷体" w:cs="Arial" w:hint="eastAsia"/>
        </w:rPr>
        <w:t>“美股港股双核心”的均衡配置。</w:t>
      </w:r>
    </w:p>
    <w:p w:rsidR="00253DAE" w:rsidRDefault="00253DAE" w:rsidP="00253DAE">
      <w:pPr>
        <w:pStyle w:val="ab"/>
        <w:numPr>
          <w:ilvl w:val="4"/>
          <w:numId w:val="1"/>
        </w:numPr>
        <w:spacing w:after="163"/>
        <w:rPr>
          <w:rFonts w:eastAsia="楷体" w:cs="Arial"/>
        </w:rPr>
      </w:pPr>
      <w:r>
        <w:rPr>
          <w:rFonts w:eastAsia="楷体" w:cs="Arial" w:hint="eastAsia"/>
        </w:rPr>
        <w:t>值得注意的是，</w:t>
      </w:r>
      <w:r w:rsidRPr="00864263">
        <w:rPr>
          <w:rFonts w:eastAsia="楷体" w:cs="Arial" w:hint="eastAsia"/>
        </w:rPr>
        <w:t>QE</w:t>
      </w:r>
      <w:r w:rsidRPr="00864263">
        <w:rPr>
          <w:rFonts w:eastAsia="楷体" w:cs="Arial" w:hint="eastAsia"/>
        </w:rPr>
        <w:t>结束对美国资产价格、金融环境</w:t>
      </w:r>
      <w:r>
        <w:rPr>
          <w:rFonts w:eastAsia="楷体" w:cs="Arial" w:hint="eastAsia"/>
        </w:rPr>
        <w:t>仍有</w:t>
      </w:r>
      <w:r w:rsidRPr="00864263">
        <w:rPr>
          <w:rFonts w:eastAsia="楷体" w:cs="Arial" w:hint="eastAsia"/>
        </w:rPr>
        <w:t>潜在冲击</w:t>
      </w:r>
      <w:r>
        <w:rPr>
          <w:rFonts w:eastAsia="楷体" w:cs="Arial" w:hint="eastAsia"/>
        </w:rPr>
        <w:t>的可能性，同时香港市场尚存“占中”等政治扰动因素，“沪港通”开闸尚未明确。因此建议投资者在</w:t>
      </w:r>
      <w:r>
        <w:rPr>
          <w:rFonts w:eastAsia="楷体" w:cs="Arial" w:hint="eastAsia"/>
        </w:rPr>
        <w:t>11</w:t>
      </w:r>
      <w:r>
        <w:rPr>
          <w:rFonts w:eastAsia="楷体" w:cs="Arial" w:hint="eastAsia"/>
        </w:rPr>
        <w:t>月份保持严密关注美、港两大市场最新动向，以便及时相机抉择，调整组合锁定收益。</w:t>
      </w:r>
    </w:p>
    <w:p w:rsidR="00AB7E08" w:rsidRPr="00636233" w:rsidRDefault="00C42975" w:rsidP="00636233">
      <w:pPr>
        <w:pStyle w:val="ab"/>
        <w:numPr>
          <w:ilvl w:val="4"/>
          <w:numId w:val="1"/>
        </w:numPr>
        <w:spacing w:after="163"/>
        <w:rPr>
          <w:rFonts w:eastAsia="楷体" w:hAnsi="楷体" w:cs="Arial"/>
        </w:rPr>
      </w:pPr>
      <w:r w:rsidRPr="00636233">
        <w:rPr>
          <w:rFonts w:eastAsia="楷体" w:hAnsi="楷体" w:cs="Arial" w:hint="eastAsia"/>
        </w:rPr>
        <w:t>综上，</w:t>
      </w:r>
      <w:proofErr w:type="gramStart"/>
      <w:r w:rsidR="00AD025A">
        <w:rPr>
          <w:rFonts w:eastAsia="楷体" w:hAnsi="楷体" w:cs="Arial" w:hint="eastAsia"/>
        </w:rPr>
        <w:t>凯石工场</w:t>
      </w:r>
      <w:proofErr w:type="gramEnd"/>
      <w:r w:rsidR="0012463C">
        <w:rPr>
          <w:rFonts w:eastAsia="楷体" w:hAnsi="楷体" w:cs="Arial" w:hint="eastAsia"/>
        </w:rPr>
        <w:t>11</w:t>
      </w:r>
      <w:r w:rsidR="0012463C">
        <w:rPr>
          <w:rFonts w:eastAsia="楷体" w:hAnsi="楷体" w:cs="Arial" w:hint="eastAsia"/>
        </w:rPr>
        <w:t>月份</w:t>
      </w:r>
      <w:r w:rsidRPr="00636233">
        <w:rPr>
          <w:rFonts w:eastAsia="楷体" w:hAnsi="楷体" w:cs="Arial" w:hint="eastAsia"/>
        </w:rPr>
        <w:t>QDII</w:t>
      </w:r>
      <w:r w:rsidR="000D1663">
        <w:rPr>
          <w:rFonts w:eastAsia="楷体" w:hAnsi="楷体" w:cs="Arial" w:hint="eastAsia"/>
        </w:rPr>
        <w:t>投资策略为“</w:t>
      </w:r>
      <w:r w:rsidR="0012463C">
        <w:rPr>
          <w:rFonts w:eastAsia="楷体" w:hAnsi="楷体" w:cs="Arial" w:hint="eastAsia"/>
        </w:rPr>
        <w:t>美股港股双核心</w:t>
      </w:r>
      <w:r w:rsidR="00AD025A">
        <w:rPr>
          <w:rFonts w:eastAsia="楷体" w:hAnsi="楷体" w:cs="Arial" w:hint="eastAsia"/>
        </w:rPr>
        <w:t>”，基金组合包括</w:t>
      </w:r>
      <w:r w:rsidR="00082426" w:rsidRPr="00636233">
        <w:rPr>
          <w:rFonts w:eastAsia="楷体" w:hAnsi="楷体" w:cs="Arial" w:hint="eastAsia"/>
        </w:rPr>
        <w:t>美股指数基金、投资美国房地产行业股票及</w:t>
      </w:r>
      <w:r w:rsidR="00082426" w:rsidRPr="00636233">
        <w:rPr>
          <w:rFonts w:eastAsia="楷体" w:hAnsi="楷体" w:cs="Arial" w:hint="eastAsia"/>
        </w:rPr>
        <w:t>REITs</w:t>
      </w:r>
      <w:r w:rsidR="00082426">
        <w:rPr>
          <w:rFonts w:eastAsia="楷体" w:hAnsi="楷体" w:cs="Arial" w:hint="eastAsia"/>
        </w:rPr>
        <w:t>基金</w:t>
      </w:r>
      <w:r w:rsidR="0012463C">
        <w:rPr>
          <w:rFonts w:eastAsia="楷体" w:hAnsi="楷体" w:cs="Arial" w:hint="eastAsia"/>
        </w:rPr>
        <w:t>、以港股为代表的新兴市场基金</w:t>
      </w:r>
      <w:r w:rsidRPr="00636233">
        <w:rPr>
          <w:rFonts w:eastAsia="楷体" w:hAnsi="楷体" w:cs="Arial" w:hint="eastAsia"/>
        </w:rPr>
        <w:t>，从而</w:t>
      </w:r>
      <w:r w:rsidR="00AD025A">
        <w:rPr>
          <w:rFonts w:eastAsia="楷体" w:hAnsi="楷体" w:cs="Arial" w:hint="eastAsia"/>
        </w:rPr>
        <w:t>在分散区域</w:t>
      </w:r>
      <w:r w:rsidRPr="00636233">
        <w:rPr>
          <w:rFonts w:eastAsia="楷体" w:hAnsi="楷体" w:cs="Arial" w:hint="eastAsia"/>
        </w:rPr>
        <w:t>风险</w:t>
      </w:r>
      <w:r w:rsidR="00AD025A">
        <w:rPr>
          <w:rFonts w:eastAsia="楷体" w:hAnsi="楷体" w:cs="Arial" w:hint="eastAsia"/>
        </w:rPr>
        <w:t>的同时</w:t>
      </w:r>
      <w:proofErr w:type="gramStart"/>
      <w:r w:rsidR="00AD025A">
        <w:rPr>
          <w:rFonts w:eastAsia="楷体" w:cs="Arial" w:hint="eastAsia"/>
        </w:rPr>
        <w:t>有效把</w:t>
      </w:r>
      <w:proofErr w:type="gramEnd"/>
      <w:r w:rsidR="00AD025A">
        <w:rPr>
          <w:rFonts w:eastAsia="楷体" w:cs="Arial" w:hint="eastAsia"/>
        </w:rPr>
        <w:t>握住阶段行情。</w:t>
      </w:r>
      <w:r w:rsidRPr="00636233">
        <w:rPr>
          <w:rFonts w:eastAsia="楷体" w:hAnsi="楷体" w:cs="Arial" w:hint="eastAsia"/>
        </w:rPr>
        <w:t>具体产品推荐</w:t>
      </w:r>
      <w:r w:rsidR="00F45C7D">
        <w:rPr>
          <w:rFonts w:eastAsia="楷体" w:hAnsi="楷体" w:cs="Arial" w:hint="eastAsia"/>
        </w:rPr>
        <w:t>富国中国中小盘、</w:t>
      </w:r>
      <w:r w:rsidR="00082426" w:rsidRPr="005F5997">
        <w:rPr>
          <w:rFonts w:eastAsia="楷体" w:hAnsi="楷体" w:cs="Arial" w:hint="eastAsia"/>
        </w:rPr>
        <w:t>华夏恒生</w:t>
      </w:r>
      <w:r w:rsidR="00082426" w:rsidRPr="005F5997">
        <w:rPr>
          <w:rFonts w:eastAsia="楷体" w:hAnsi="楷体" w:cs="Arial" w:hint="eastAsia"/>
        </w:rPr>
        <w:t>ETF</w:t>
      </w:r>
      <w:r w:rsidR="00082426">
        <w:rPr>
          <w:rFonts w:eastAsia="楷体" w:hAnsi="楷体" w:cs="Arial" w:hint="eastAsia"/>
        </w:rPr>
        <w:t>基金、嘉实恒生中国企业基金、博时大中华亚太精选基金、</w:t>
      </w:r>
      <w:r w:rsidRPr="00636233">
        <w:rPr>
          <w:rFonts w:eastAsia="楷体" w:hAnsi="楷体" w:cs="Arial" w:hint="eastAsia"/>
        </w:rPr>
        <w:t>国泰纳斯达克</w:t>
      </w:r>
      <w:r w:rsidRPr="00636233">
        <w:rPr>
          <w:rFonts w:eastAsia="楷体" w:hAnsi="楷体" w:cs="Arial" w:hint="eastAsia"/>
        </w:rPr>
        <w:t>100</w:t>
      </w:r>
      <w:r w:rsidR="005F5997">
        <w:rPr>
          <w:rFonts w:eastAsia="楷体" w:hAnsi="楷体" w:cs="Arial" w:hint="eastAsia"/>
        </w:rPr>
        <w:t>指数基金</w:t>
      </w:r>
      <w:r w:rsidRPr="00636233">
        <w:rPr>
          <w:rFonts w:eastAsia="楷体" w:hAnsi="楷体" w:cs="Arial" w:hint="eastAsia"/>
        </w:rPr>
        <w:t>、</w:t>
      </w:r>
      <w:proofErr w:type="gramStart"/>
      <w:r w:rsidRPr="00636233">
        <w:rPr>
          <w:rFonts w:eastAsia="楷体" w:hAnsi="楷体" w:cs="Arial" w:hint="eastAsia"/>
        </w:rPr>
        <w:t>大成标普</w:t>
      </w:r>
      <w:r w:rsidRPr="00636233">
        <w:rPr>
          <w:rFonts w:eastAsia="楷体" w:hAnsi="楷体" w:cs="Arial" w:hint="eastAsia"/>
        </w:rPr>
        <w:t>500</w:t>
      </w:r>
      <w:r w:rsidRPr="00636233">
        <w:rPr>
          <w:rFonts w:eastAsia="楷体" w:hAnsi="楷体" w:cs="Arial" w:hint="eastAsia"/>
        </w:rPr>
        <w:t>等</w:t>
      </w:r>
      <w:proofErr w:type="gramEnd"/>
      <w:r w:rsidRPr="00636233">
        <w:rPr>
          <w:rFonts w:eastAsia="楷体" w:hAnsi="楷体" w:cs="Arial" w:hint="eastAsia"/>
        </w:rPr>
        <w:t>权重指数基金、鹏华</w:t>
      </w:r>
      <w:r w:rsidR="005F5997">
        <w:rPr>
          <w:rFonts w:eastAsia="楷体" w:hAnsi="楷体" w:cs="Arial" w:hint="eastAsia"/>
        </w:rPr>
        <w:t>美国</w:t>
      </w:r>
      <w:r w:rsidR="00082426">
        <w:rPr>
          <w:rFonts w:eastAsia="楷体" w:hAnsi="楷体" w:cs="Arial" w:hint="eastAsia"/>
        </w:rPr>
        <w:t>房地产基金</w:t>
      </w:r>
      <w:r w:rsidRPr="00636233">
        <w:rPr>
          <w:rFonts w:eastAsia="楷体" w:hAnsi="楷体" w:cs="Arial" w:hint="eastAsia"/>
        </w:rPr>
        <w:t>。</w:t>
      </w:r>
    </w:p>
    <w:p w:rsidR="00A70401" w:rsidRPr="00FC54FE" w:rsidRDefault="00A70401" w:rsidP="00A70401">
      <w:pPr>
        <w:widowControl/>
        <w:spacing w:after="120" w:line="240" w:lineRule="exact"/>
        <w:ind w:left="3430"/>
        <w:rPr>
          <w:rFonts w:ascii="楷体" w:eastAsia="楷体" w:hAnsi="楷体" w:cs="Times New Roman"/>
          <w:b/>
          <w:bCs/>
          <w:color w:val="0070C0"/>
          <w:kern w:val="0"/>
          <w:sz w:val="24"/>
          <w:szCs w:val="20"/>
          <w:lang w:val="en-GB"/>
        </w:rPr>
      </w:pPr>
      <w:proofErr w:type="gramStart"/>
      <w:r w:rsidRPr="00FC54FE">
        <w:rPr>
          <w:rFonts w:ascii="楷体" w:eastAsia="楷体" w:hAnsi="楷体" w:cs="Times New Roman" w:hint="eastAsia"/>
          <w:b/>
          <w:bCs/>
          <w:color w:val="0070C0"/>
          <w:kern w:val="0"/>
          <w:sz w:val="24"/>
          <w:szCs w:val="20"/>
          <w:lang w:val="en-GB"/>
        </w:rPr>
        <w:t>牛基推荐</w:t>
      </w:r>
      <w:proofErr w:type="gramEnd"/>
      <w:r w:rsidRPr="00FC54FE">
        <w:rPr>
          <w:rFonts w:ascii="楷体" w:eastAsia="楷体" w:hAnsi="楷体" w:cs="Times New Roman" w:hint="eastAsia"/>
          <w:b/>
          <w:bCs/>
          <w:color w:val="0070C0"/>
          <w:kern w:val="0"/>
          <w:sz w:val="24"/>
          <w:szCs w:val="20"/>
          <w:lang w:val="en-GB"/>
        </w:rPr>
        <w:t>：</w:t>
      </w:r>
      <w:r w:rsidR="005D3072" w:rsidRPr="00FC54FE">
        <w:rPr>
          <w:rFonts w:ascii="楷体" w:eastAsia="楷体" w:hAnsi="楷体" w:cs="Times New Roman" w:hint="eastAsia"/>
          <w:b/>
          <w:bCs/>
          <w:color w:val="0070C0"/>
          <w:kern w:val="0"/>
          <w:sz w:val="24"/>
          <w:szCs w:val="20"/>
          <w:lang w:val="en-GB"/>
        </w:rPr>
        <w:t>国泰纳斯达克100</w:t>
      </w:r>
      <w:r w:rsidR="005D3072">
        <w:rPr>
          <w:rFonts w:ascii="楷体" w:eastAsia="楷体" w:hAnsi="楷体" w:cs="Times New Roman" w:hint="eastAsia"/>
          <w:b/>
          <w:bCs/>
          <w:color w:val="0070C0"/>
          <w:kern w:val="0"/>
          <w:sz w:val="24"/>
          <w:szCs w:val="20"/>
          <w:lang w:val="en-GB"/>
        </w:rPr>
        <w:t>指数基金</w:t>
      </w:r>
      <w:r w:rsidR="005D3072" w:rsidRPr="00FC54FE">
        <w:rPr>
          <w:rFonts w:ascii="楷体" w:eastAsia="楷体" w:hAnsi="楷体" w:cs="Times New Roman" w:hint="eastAsia"/>
          <w:b/>
          <w:bCs/>
          <w:color w:val="0070C0"/>
          <w:kern w:val="0"/>
          <w:sz w:val="24"/>
          <w:szCs w:val="20"/>
          <w:lang w:val="en-GB"/>
        </w:rPr>
        <w:t>、</w:t>
      </w:r>
      <w:proofErr w:type="gramStart"/>
      <w:r w:rsidR="005D3072" w:rsidRPr="00B16D31">
        <w:rPr>
          <w:rFonts w:ascii="楷体" w:eastAsia="楷体" w:hAnsi="楷体" w:cs="Times New Roman" w:hint="eastAsia"/>
          <w:b/>
          <w:bCs/>
          <w:color w:val="0070C0"/>
          <w:kern w:val="0"/>
          <w:sz w:val="24"/>
          <w:szCs w:val="20"/>
          <w:lang w:val="en-GB"/>
        </w:rPr>
        <w:t>大成标普500等</w:t>
      </w:r>
      <w:proofErr w:type="gramEnd"/>
      <w:r w:rsidR="005D3072" w:rsidRPr="00B16D31">
        <w:rPr>
          <w:rFonts w:ascii="楷体" w:eastAsia="楷体" w:hAnsi="楷体" w:cs="Times New Roman" w:hint="eastAsia"/>
          <w:b/>
          <w:bCs/>
          <w:color w:val="0070C0"/>
          <w:kern w:val="0"/>
          <w:sz w:val="24"/>
          <w:szCs w:val="20"/>
          <w:lang w:val="en-GB"/>
        </w:rPr>
        <w:t>权重指数基金</w:t>
      </w:r>
      <w:r w:rsidR="005D3072">
        <w:rPr>
          <w:rFonts w:ascii="楷体" w:eastAsia="楷体" w:hAnsi="楷体" w:cs="Times New Roman" w:hint="eastAsia"/>
          <w:b/>
          <w:bCs/>
          <w:color w:val="0070C0"/>
          <w:kern w:val="0"/>
          <w:sz w:val="24"/>
          <w:szCs w:val="20"/>
          <w:lang w:val="en-GB"/>
        </w:rPr>
        <w:t>、</w:t>
      </w:r>
      <w:r w:rsidR="005D3072" w:rsidRPr="00680A06">
        <w:rPr>
          <w:rFonts w:ascii="楷体" w:eastAsia="楷体" w:hAnsi="楷体" w:cs="Times New Roman" w:hint="eastAsia"/>
          <w:b/>
          <w:bCs/>
          <w:color w:val="0070C0"/>
          <w:kern w:val="0"/>
          <w:sz w:val="24"/>
          <w:szCs w:val="20"/>
          <w:lang w:val="en-GB"/>
        </w:rPr>
        <w:t>鹏华</w:t>
      </w:r>
      <w:r w:rsidR="005D3072">
        <w:rPr>
          <w:rFonts w:ascii="楷体" w:eastAsia="楷体" w:hAnsi="楷体" w:cs="Times New Roman" w:hint="eastAsia"/>
          <w:b/>
          <w:bCs/>
          <w:color w:val="0070C0"/>
          <w:kern w:val="0"/>
          <w:sz w:val="24"/>
          <w:szCs w:val="20"/>
          <w:lang w:val="en-GB"/>
        </w:rPr>
        <w:t>美国</w:t>
      </w:r>
      <w:r w:rsidR="005D3072" w:rsidRPr="00680A06">
        <w:rPr>
          <w:rFonts w:ascii="楷体" w:eastAsia="楷体" w:hAnsi="楷体" w:cs="Times New Roman" w:hint="eastAsia"/>
          <w:b/>
          <w:bCs/>
          <w:color w:val="0070C0"/>
          <w:kern w:val="0"/>
          <w:sz w:val="24"/>
          <w:szCs w:val="20"/>
          <w:lang w:val="en-GB"/>
        </w:rPr>
        <w:t>房地产基金</w:t>
      </w:r>
      <w:r w:rsidR="005D3072">
        <w:rPr>
          <w:rFonts w:ascii="楷体" w:eastAsia="楷体" w:hAnsi="楷体" w:cs="Times New Roman" w:hint="eastAsia"/>
          <w:b/>
          <w:bCs/>
          <w:color w:val="0070C0"/>
          <w:kern w:val="0"/>
          <w:sz w:val="24"/>
          <w:szCs w:val="20"/>
          <w:lang w:val="en-GB"/>
        </w:rPr>
        <w:t>、</w:t>
      </w:r>
      <w:r w:rsidR="00F45C7D">
        <w:rPr>
          <w:rFonts w:ascii="楷体" w:eastAsia="楷体" w:hAnsi="楷体" w:cs="Times New Roman" w:hint="eastAsia"/>
          <w:b/>
          <w:bCs/>
          <w:color w:val="0070C0"/>
          <w:kern w:val="0"/>
          <w:sz w:val="24"/>
          <w:szCs w:val="20"/>
          <w:lang w:val="en-GB"/>
        </w:rPr>
        <w:t>富国中国中小盘基金、</w:t>
      </w:r>
      <w:r w:rsidR="006866C5" w:rsidRPr="006866C5">
        <w:rPr>
          <w:rFonts w:ascii="楷体" w:eastAsia="楷体" w:hAnsi="楷体" w:cs="Times New Roman" w:hint="eastAsia"/>
          <w:b/>
          <w:bCs/>
          <w:color w:val="0070C0"/>
          <w:kern w:val="0"/>
          <w:sz w:val="24"/>
          <w:szCs w:val="20"/>
          <w:lang w:val="en-GB"/>
        </w:rPr>
        <w:t>华夏恒生ETF基金、嘉实恒生中国企业基金、</w:t>
      </w:r>
      <w:r w:rsidR="00812A58" w:rsidRPr="00812A58">
        <w:rPr>
          <w:rFonts w:ascii="楷体" w:eastAsia="楷体" w:hAnsi="楷体" w:cs="Times New Roman" w:hint="eastAsia"/>
          <w:b/>
          <w:bCs/>
          <w:color w:val="0070C0"/>
          <w:kern w:val="0"/>
          <w:sz w:val="24"/>
          <w:szCs w:val="20"/>
          <w:lang w:val="en-GB"/>
        </w:rPr>
        <w:t>博时大中华亚太精选</w:t>
      </w:r>
      <w:r w:rsidR="00852880">
        <w:rPr>
          <w:rFonts w:ascii="楷体" w:eastAsia="楷体" w:hAnsi="楷体" w:cs="Times New Roman" w:hint="eastAsia"/>
          <w:b/>
          <w:bCs/>
          <w:color w:val="0070C0"/>
          <w:kern w:val="0"/>
          <w:sz w:val="24"/>
          <w:szCs w:val="20"/>
          <w:lang w:val="en-GB"/>
        </w:rPr>
        <w:t>基金</w:t>
      </w:r>
    </w:p>
    <w:p w:rsidR="005D3072" w:rsidRPr="0034660C" w:rsidRDefault="005D3072" w:rsidP="005D3072">
      <w:pPr>
        <w:pStyle w:val="ab"/>
        <w:numPr>
          <w:ilvl w:val="4"/>
          <w:numId w:val="1"/>
        </w:numPr>
        <w:spacing w:after="163"/>
        <w:rPr>
          <w:rFonts w:eastAsia="楷体" w:cs="Arial"/>
        </w:rPr>
      </w:pPr>
      <w:r w:rsidRPr="00CB0983">
        <w:rPr>
          <w:rFonts w:eastAsia="楷体" w:cs="Arial" w:hint="eastAsia"/>
          <w:b/>
        </w:rPr>
        <w:t>国泰纳斯达克</w:t>
      </w:r>
      <w:r w:rsidRPr="00CB0983">
        <w:rPr>
          <w:rFonts w:eastAsia="楷体" w:cs="Arial" w:hint="eastAsia"/>
          <w:b/>
        </w:rPr>
        <w:t>100(</w:t>
      </w:r>
      <w:r w:rsidRPr="00CB0983">
        <w:rPr>
          <w:rFonts w:eastAsia="楷体" w:cs="Arial"/>
          <w:b/>
        </w:rPr>
        <w:t>160213</w:t>
      </w:r>
      <w:r w:rsidRPr="00CB0983">
        <w:rPr>
          <w:rFonts w:eastAsia="楷体" w:cs="Arial" w:hint="eastAsia"/>
          <w:b/>
        </w:rPr>
        <w:t>)</w:t>
      </w:r>
      <w:r w:rsidRPr="00CB0983">
        <w:rPr>
          <w:rFonts w:eastAsia="楷体" w:cs="Arial" w:hint="eastAsia"/>
          <w:b/>
        </w:rPr>
        <w:t>：</w:t>
      </w:r>
      <w:r w:rsidRPr="0034660C">
        <w:rPr>
          <w:rFonts w:eastAsia="楷体" w:cs="Arial" w:hint="eastAsia"/>
        </w:rPr>
        <w:t>跟踪美国纳斯达克</w:t>
      </w:r>
      <w:r w:rsidRPr="0034660C">
        <w:rPr>
          <w:rFonts w:eastAsia="楷体" w:cs="Arial" w:hint="eastAsia"/>
        </w:rPr>
        <w:t>100</w:t>
      </w:r>
      <w:r>
        <w:rPr>
          <w:rFonts w:eastAsia="楷体" w:cs="Arial" w:hint="eastAsia"/>
        </w:rPr>
        <w:t>指数，股票资产主要采取完全复制法，</w:t>
      </w:r>
      <w:r w:rsidRPr="0034660C">
        <w:rPr>
          <w:rFonts w:eastAsia="楷体" w:cs="Arial" w:hint="eastAsia"/>
        </w:rPr>
        <w:t>追求跟踪误差最小化。纳斯达克</w:t>
      </w:r>
      <w:r w:rsidRPr="0034660C">
        <w:rPr>
          <w:rFonts w:eastAsia="楷体" w:cs="Arial" w:hint="eastAsia"/>
        </w:rPr>
        <w:t>100</w:t>
      </w:r>
      <w:r w:rsidRPr="0034660C">
        <w:rPr>
          <w:rFonts w:eastAsia="楷体" w:cs="Arial" w:hint="eastAsia"/>
        </w:rPr>
        <w:t>指数成</w:t>
      </w:r>
      <w:proofErr w:type="gramStart"/>
      <w:r w:rsidRPr="0034660C">
        <w:rPr>
          <w:rFonts w:eastAsia="楷体" w:cs="Arial" w:hint="eastAsia"/>
        </w:rPr>
        <w:t>分股均</w:t>
      </w:r>
      <w:proofErr w:type="gramEnd"/>
      <w:r w:rsidRPr="0034660C">
        <w:rPr>
          <w:rFonts w:eastAsia="楷体" w:cs="Arial" w:hint="eastAsia"/>
        </w:rPr>
        <w:t>具有高科技、高成长和非金融的特点，是美国科技股的代表，权重最大为苹果电脑，</w:t>
      </w:r>
      <w:proofErr w:type="gramStart"/>
      <w:r w:rsidRPr="0034660C">
        <w:rPr>
          <w:rFonts w:eastAsia="楷体" w:cs="Arial" w:hint="eastAsia"/>
        </w:rPr>
        <w:t>另包括</w:t>
      </w:r>
      <w:r>
        <w:rPr>
          <w:rFonts w:eastAsia="楷体" w:cs="Arial" w:hint="eastAsia"/>
        </w:rPr>
        <w:t>脸</w:t>
      </w:r>
      <w:proofErr w:type="gramEnd"/>
      <w:r>
        <w:rPr>
          <w:rFonts w:eastAsia="楷体" w:cs="Arial" w:hint="eastAsia"/>
        </w:rPr>
        <w:t>书、</w:t>
      </w:r>
      <w:r w:rsidRPr="0034660C">
        <w:rPr>
          <w:rFonts w:eastAsia="楷体" w:cs="Arial" w:hint="eastAsia"/>
        </w:rPr>
        <w:t>微软、谷歌、英特尔等。</w:t>
      </w:r>
    </w:p>
    <w:p w:rsidR="005D3072" w:rsidRDefault="005D3072" w:rsidP="005D3072">
      <w:pPr>
        <w:pStyle w:val="ab"/>
        <w:numPr>
          <w:ilvl w:val="4"/>
          <w:numId w:val="1"/>
        </w:numPr>
        <w:spacing w:after="163"/>
        <w:rPr>
          <w:rFonts w:eastAsia="楷体" w:cs="Arial"/>
        </w:rPr>
      </w:pPr>
      <w:proofErr w:type="gramStart"/>
      <w:r w:rsidRPr="00CB0983">
        <w:rPr>
          <w:rFonts w:eastAsia="楷体" w:cs="Arial" w:hint="eastAsia"/>
          <w:b/>
        </w:rPr>
        <w:t>大成标普</w:t>
      </w:r>
      <w:r w:rsidRPr="00CB0983">
        <w:rPr>
          <w:rFonts w:eastAsia="楷体" w:cs="Arial" w:hint="eastAsia"/>
          <w:b/>
        </w:rPr>
        <w:t>500</w:t>
      </w:r>
      <w:r w:rsidRPr="00CB0983">
        <w:rPr>
          <w:rFonts w:eastAsia="楷体" w:cs="Arial" w:hint="eastAsia"/>
          <w:b/>
        </w:rPr>
        <w:t>等</w:t>
      </w:r>
      <w:proofErr w:type="gramEnd"/>
      <w:r w:rsidRPr="00CB0983">
        <w:rPr>
          <w:rFonts w:eastAsia="楷体" w:cs="Arial" w:hint="eastAsia"/>
          <w:b/>
        </w:rPr>
        <w:t>权重</w:t>
      </w:r>
      <w:r w:rsidRPr="00CB0983">
        <w:rPr>
          <w:rFonts w:eastAsia="楷体" w:cs="Arial" w:hint="eastAsia"/>
          <w:b/>
        </w:rPr>
        <w:t>(0</w:t>
      </w:r>
      <w:r w:rsidRPr="00CB0983">
        <w:rPr>
          <w:rFonts w:eastAsia="楷体" w:cs="Arial"/>
          <w:b/>
        </w:rPr>
        <w:t>96001</w:t>
      </w:r>
      <w:r w:rsidRPr="00CB0983">
        <w:rPr>
          <w:rFonts w:eastAsia="楷体" w:cs="Arial" w:hint="eastAsia"/>
          <w:b/>
        </w:rPr>
        <w:t>)</w:t>
      </w:r>
      <w:r w:rsidRPr="00CB0983">
        <w:rPr>
          <w:rFonts w:eastAsia="楷体" w:cs="Arial" w:hint="eastAsia"/>
          <w:b/>
        </w:rPr>
        <w:t>：</w:t>
      </w:r>
      <w:r w:rsidRPr="0034660C">
        <w:rPr>
          <w:rFonts w:eastAsia="楷体" w:cs="Arial" w:hint="eastAsia"/>
        </w:rPr>
        <w:t>基金投资组合</w:t>
      </w:r>
      <w:r>
        <w:rPr>
          <w:rFonts w:eastAsia="楷体" w:cs="Arial" w:hint="eastAsia"/>
        </w:rPr>
        <w:t>有效</w:t>
      </w:r>
      <w:proofErr w:type="gramStart"/>
      <w:r>
        <w:rPr>
          <w:rFonts w:eastAsia="楷体" w:cs="Arial" w:hint="eastAsia"/>
        </w:rPr>
        <w:t>跟踪</w:t>
      </w:r>
      <w:r w:rsidRPr="0034660C">
        <w:rPr>
          <w:rFonts w:eastAsia="楷体" w:cs="Arial" w:hint="eastAsia"/>
        </w:rPr>
        <w:t>标普</w:t>
      </w:r>
      <w:r w:rsidRPr="0034660C">
        <w:rPr>
          <w:rFonts w:eastAsia="楷体" w:cs="Arial" w:hint="eastAsia"/>
        </w:rPr>
        <w:t>500</w:t>
      </w:r>
      <w:r w:rsidRPr="0034660C">
        <w:rPr>
          <w:rFonts w:eastAsia="楷体" w:cs="Arial" w:hint="eastAsia"/>
        </w:rPr>
        <w:t>等</w:t>
      </w:r>
      <w:proofErr w:type="gramEnd"/>
      <w:r w:rsidRPr="0034660C">
        <w:rPr>
          <w:rFonts w:eastAsia="楷体" w:cs="Arial" w:hint="eastAsia"/>
        </w:rPr>
        <w:t>权重指数</w:t>
      </w:r>
      <w:r>
        <w:rPr>
          <w:rFonts w:eastAsia="楷体" w:cs="Arial" w:hint="eastAsia"/>
        </w:rPr>
        <w:t>，还可能将一定比例的</w:t>
      </w:r>
      <w:r w:rsidRPr="0034660C">
        <w:rPr>
          <w:rFonts w:eastAsia="楷体" w:cs="Arial" w:hint="eastAsia"/>
        </w:rPr>
        <w:t>资产投资于</w:t>
      </w:r>
      <w:proofErr w:type="gramStart"/>
      <w:r w:rsidRPr="0034660C">
        <w:rPr>
          <w:rFonts w:eastAsia="楷体" w:cs="Arial" w:hint="eastAsia"/>
        </w:rPr>
        <w:t>与标普</w:t>
      </w:r>
      <w:r w:rsidRPr="0034660C">
        <w:rPr>
          <w:rFonts w:eastAsia="楷体" w:cs="Arial" w:hint="eastAsia"/>
        </w:rPr>
        <w:t>500</w:t>
      </w:r>
      <w:r w:rsidRPr="0034660C">
        <w:rPr>
          <w:rFonts w:eastAsia="楷体" w:cs="Arial" w:hint="eastAsia"/>
        </w:rPr>
        <w:t>等</w:t>
      </w:r>
      <w:proofErr w:type="gramEnd"/>
      <w:r w:rsidRPr="0034660C">
        <w:rPr>
          <w:rFonts w:eastAsia="楷体" w:cs="Arial" w:hint="eastAsia"/>
        </w:rPr>
        <w:t>权重指数相关的公募基金、上市交易型基金，以优化投资组合的建立，达到节约交易成本和有效追踪标的指数表现的目的。标准普尔</w:t>
      </w:r>
      <w:r w:rsidRPr="0034660C">
        <w:rPr>
          <w:rFonts w:eastAsia="楷体" w:cs="Arial" w:hint="eastAsia"/>
        </w:rPr>
        <w:t>500</w:t>
      </w:r>
      <w:r w:rsidRPr="0034660C">
        <w:rPr>
          <w:rFonts w:eastAsia="楷体" w:cs="Arial" w:hint="eastAsia"/>
        </w:rPr>
        <w:t>系列指数具有采样面广、代表性强、精确度高、连续性好等特点，全面反映美国市场变化。</w:t>
      </w:r>
    </w:p>
    <w:p w:rsidR="005D3072" w:rsidRDefault="005D3072" w:rsidP="005D3072">
      <w:pPr>
        <w:pStyle w:val="ab"/>
        <w:numPr>
          <w:ilvl w:val="4"/>
          <w:numId w:val="1"/>
        </w:numPr>
        <w:spacing w:after="163"/>
        <w:rPr>
          <w:rFonts w:eastAsia="楷体" w:cs="Arial"/>
        </w:rPr>
      </w:pPr>
      <w:r w:rsidRPr="00CB0983">
        <w:rPr>
          <w:rFonts w:eastAsia="楷体" w:cs="Arial" w:hint="eastAsia"/>
          <w:b/>
        </w:rPr>
        <w:t>鹏华美国房地产</w:t>
      </w:r>
      <w:r w:rsidRPr="00CB0983">
        <w:rPr>
          <w:rFonts w:eastAsia="楷体" w:cs="Arial" w:hint="eastAsia"/>
          <w:b/>
        </w:rPr>
        <w:t>(</w:t>
      </w:r>
      <w:r w:rsidRPr="00CB0983">
        <w:rPr>
          <w:rFonts w:eastAsia="楷体" w:cs="Arial"/>
          <w:b/>
        </w:rPr>
        <w:t>206011</w:t>
      </w:r>
      <w:r w:rsidRPr="00CB0983">
        <w:rPr>
          <w:rFonts w:eastAsia="楷体" w:cs="Arial" w:hint="eastAsia"/>
          <w:b/>
        </w:rPr>
        <w:t>)</w:t>
      </w:r>
      <w:r w:rsidRPr="00CB0983">
        <w:rPr>
          <w:rFonts w:eastAsia="楷体" w:cs="Arial" w:hint="eastAsia"/>
          <w:b/>
        </w:rPr>
        <w:t>：</w:t>
      </w:r>
      <w:r>
        <w:rPr>
          <w:rFonts w:eastAsia="楷体" w:cs="Arial" w:hint="eastAsia"/>
        </w:rPr>
        <w:t>投资对象以美国房地产信托投资基金</w:t>
      </w:r>
      <w:r>
        <w:rPr>
          <w:rFonts w:eastAsia="楷体" w:cs="Arial" w:hint="eastAsia"/>
        </w:rPr>
        <w:t>(</w:t>
      </w:r>
      <w:r w:rsidRPr="00680A06">
        <w:rPr>
          <w:rFonts w:eastAsia="楷体" w:cs="Arial" w:hint="eastAsia"/>
        </w:rPr>
        <w:t>REITs</w:t>
      </w:r>
      <w:r>
        <w:rPr>
          <w:rFonts w:eastAsia="楷体" w:cs="Arial" w:hint="eastAsia"/>
        </w:rPr>
        <w:t>)</w:t>
      </w:r>
      <w:r w:rsidRPr="00680A06">
        <w:rPr>
          <w:rFonts w:eastAsia="楷体" w:cs="Arial" w:hint="eastAsia"/>
        </w:rPr>
        <w:t>、房地产行业股票和在美国市场上市交易的</w:t>
      </w:r>
      <w:r w:rsidRPr="00680A06">
        <w:rPr>
          <w:rFonts w:eastAsia="楷体" w:cs="Arial" w:hint="eastAsia"/>
        </w:rPr>
        <w:t>REIT ETF</w:t>
      </w:r>
      <w:r w:rsidRPr="00680A06">
        <w:rPr>
          <w:rFonts w:eastAsia="楷体" w:cs="Arial" w:hint="eastAsia"/>
        </w:rPr>
        <w:t>基金为主。</w:t>
      </w:r>
      <w:r>
        <w:rPr>
          <w:rFonts w:eastAsia="楷体" w:cs="Arial" w:hint="eastAsia"/>
        </w:rPr>
        <w:t>选择投资对象主要参考投资标的资产质量、现金流稳定性</w:t>
      </w:r>
      <w:r w:rsidRPr="00680A06">
        <w:rPr>
          <w:rFonts w:eastAsia="楷体" w:cs="Arial" w:hint="eastAsia"/>
        </w:rPr>
        <w:t>及管理</w:t>
      </w:r>
      <w:proofErr w:type="gramStart"/>
      <w:r w:rsidRPr="00680A06">
        <w:rPr>
          <w:rFonts w:eastAsia="楷体" w:cs="Arial" w:hint="eastAsia"/>
        </w:rPr>
        <w:t>层能力</w:t>
      </w:r>
      <w:proofErr w:type="gramEnd"/>
      <w:r w:rsidRPr="00680A06">
        <w:rPr>
          <w:rFonts w:eastAsia="楷体" w:cs="Arial" w:hint="eastAsia"/>
        </w:rPr>
        <w:t>等指标。组合中</w:t>
      </w:r>
      <w:r w:rsidRPr="00680A06">
        <w:rPr>
          <w:rFonts w:eastAsia="楷体" w:cs="Arial" w:hint="eastAsia"/>
        </w:rPr>
        <w:lastRenderedPageBreak/>
        <w:t>也少量投资房地产行业股票，目的是把握阶段性机会，对</w:t>
      </w:r>
      <w:r w:rsidRPr="00680A06">
        <w:rPr>
          <w:rFonts w:eastAsia="楷体" w:cs="Arial"/>
        </w:rPr>
        <w:t>REITs</w:t>
      </w:r>
      <w:r w:rsidRPr="00680A06">
        <w:rPr>
          <w:rFonts w:eastAsia="楷体" w:cs="Arial" w:hint="eastAsia"/>
        </w:rPr>
        <w:t>投资作有益补充，并降低组合整体波动性。</w:t>
      </w:r>
    </w:p>
    <w:p w:rsidR="00F45C7D" w:rsidRPr="002011BF" w:rsidRDefault="00F45C7D" w:rsidP="00082426">
      <w:pPr>
        <w:pStyle w:val="ab"/>
        <w:numPr>
          <w:ilvl w:val="4"/>
          <w:numId w:val="1"/>
        </w:numPr>
        <w:spacing w:after="163"/>
        <w:rPr>
          <w:rFonts w:eastAsia="楷体" w:hAnsi="楷体" w:cs="Arial"/>
        </w:rPr>
      </w:pPr>
      <w:r w:rsidRPr="00F45C7D">
        <w:rPr>
          <w:rFonts w:eastAsia="楷体" w:hAnsi="楷体" w:cs="Arial" w:hint="eastAsia"/>
          <w:b/>
        </w:rPr>
        <w:t>富国中国中小盘</w:t>
      </w:r>
      <w:r>
        <w:rPr>
          <w:rFonts w:eastAsia="楷体" w:hAnsi="楷体" w:cs="Arial" w:hint="eastAsia"/>
          <w:b/>
        </w:rPr>
        <w:t>(100061)</w:t>
      </w:r>
      <w:r>
        <w:rPr>
          <w:rFonts w:eastAsia="楷体" w:hAnsi="楷体" w:cs="Arial" w:hint="eastAsia"/>
          <w:b/>
        </w:rPr>
        <w:t>：</w:t>
      </w:r>
      <w:r w:rsidR="001E3EEC" w:rsidRPr="001E3EEC">
        <w:rPr>
          <w:rFonts w:eastAsia="楷体" w:hAnsi="楷体" w:cs="Arial" w:hint="eastAsia"/>
        </w:rPr>
        <w:t>采用主动管理模式，重点投资香港市场中具有中国</w:t>
      </w:r>
      <w:r w:rsidR="001E3EEC">
        <w:rPr>
          <w:rFonts w:eastAsia="楷体" w:hAnsi="楷体" w:cs="Arial" w:hint="eastAsia"/>
        </w:rPr>
        <w:t>概念的优质中小盘股票进行投资。中小盘股票成长空间大，且在香港市场</w:t>
      </w:r>
      <w:r w:rsidR="001E3EEC" w:rsidRPr="001E3EEC">
        <w:rPr>
          <w:rFonts w:eastAsia="楷体" w:hAnsi="楷体" w:cs="Arial" w:hint="eastAsia"/>
        </w:rPr>
        <w:t>往往存在估值洼地，因此往往能为长期投资者带来超额收益。基金经理自下而上选</w:t>
      </w:r>
      <w:proofErr w:type="gramStart"/>
      <w:r w:rsidR="001E3EEC" w:rsidRPr="001E3EEC">
        <w:rPr>
          <w:rFonts w:eastAsia="楷体" w:hAnsi="楷体" w:cs="Arial" w:hint="eastAsia"/>
        </w:rPr>
        <w:t>股能力</w:t>
      </w:r>
      <w:proofErr w:type="gramEnd"/>
      <w:r w:rsidR="001E3EEC" w:rsidRPr="001E3EEC">
        <w:rPr>
          <w:rFonts w:eastAsia="楷体" w:hAnsi="楷体" w:cs="Arial" w:hint="eastAsia"/>
        </w:rPr>
        <w:t>表现出色，重点投资标的符合中国经济转型和改革方向。</w:t>
      </w:r>
      <w:r w:rsidR="001E3EEC">
        <w:rPr>
          <w:rFonts w:eastAsia="楷体" w:hAnsi="楷体" w:cs="Arial" w:hint="eastAsia"/>
        </w:rPr>
        <w:t>该基金今年前三季度</w:t>
      </w:r>
      <w:r w:rsidR="001E3EEC">
        <w:rPr>
          <w:rFonts w:eastAsia="楷体" w:hAnsi="楷体" w:cs="Arial" w:hint="eastAsia"/>
        </w:rPr>
        <w:t>(</w:t>
      </w:r>
      <w:r w:rsidR="001E3EEC">
        <w:rPr>
          <w:rFonts w:eastAsia="楷体" w:hAnsi="楷体" w:cs="Arial" w:hint="eastAsia"/>
        </w:rPr>
        <w:t>截至</w:t>
      </w:r>
      <w:r w:rsidR="001E3EEC">
        <w:rPr>
          <w:rFonts w:eastAsia="楷体" w:hAnsi="楷体" w:cs="Arial" w:hint="eastAsia"/>
        </w:rPr>
        <w:t>9</w:t>
      </w:r>
      <w:r w:rsidR="001E3EEC">
        <w:rPr>
          <w:rFonts w:eastAsia="楷体" w:hAnsi="楷体" w:cs="Arial" w:hint="eastAsia"/>
        </w:rPr>
        <w:t>月</w:t>
      </w:r>
      <w:proofErr w:type="gramStart"/>
      <w:r w:rsidR="001E3EEC">
        <w:rPr>
          <w:rFonts w:eastAsia="楷体" w:hAnsi="楷体" w:cs="Arial" w:hint="eastAsia"/>
        </w:rPr>
        <w:t>娥</w:t>
      </w:r>
      <w:proofErr w:type="gramEnd"/>
      <w:r w:rsidR="001E3EEC">
        <w:rPr>
          <w:rFonts w:eastAsia="楷体" w:hAnsi="楷体" w:cs="Arial" w:hint="eastAsia"/>
        </w:rPr>
        <w:t>26</w:t>
      </w:r>
      <w:r w:rsidR="001E3EEC">
        <w:rPr>
          <w:rFonts w:eastAsia="楷体" w:hAnsi="楷体" w:cs="Arial" w:hint="eastAsia"/>
        </w:rPr>
        <w:t>日</w:t>
      </w:r>
      <w:r w:rsidR="001E3EEC">
        <w:rPr>
          <w:rFonts w:eastAsia="楷体" w:hAnsi="楷体" w:cs="Arial" w:hint="eastAsia"/>
        </w:rPr>
        <w:t>)</w:t>
      </w:r>
      <w:r w:rsidR="001E3EEC">
        <w:rPr>
          <w:rFonts w:eastAsia="楷体" w:hAnsi="楷体" w:cs="Arial" w:hint="eastAsia"/>
        </w:rPr>
        <w:t>涨幅</w:t>
      </w:r>
      <w:r w:rsidR="001E3EEC">
        <w:rPr>
          <w:rFonts w:eastAsia="楷体" w:hAnsi="楷体" w:cs="Arial" w:hint="eastAsia"/>
        </w:rPr>
        <w:t>13.1%</w:t>
      </w:r>
      <w:r w:rsidR="001E3EEC">
        <w:rPr>
          <w:rFonts w:eastAsia="楷体" w:hAnsi="楷体" w:cs="Arial" w:hint="eastAsia"/>
        </w:rPr>
        <w:t>，居</w:t>
      </w:r>
      <w:r w:rsidR="001E3EEC" w:rsidRPr="001E3EEC">
        <w:rPr>
          <w:rFonts w:eastAsia="楷体" w:hAnsi="楷体" w:cs="Arial" w:hint="eastAsia"/>
        </w:rPr>
        <w:t>QDII-</w:t>
      </w:r>
      <w:r w:rsidR="001E3EEC" w:rsidRPr="001E3EEC">
        <w:rPr>
          <w:rFonts w:eastAsia="楷体" w:hAnsi="楷体" w:cs="Arial" w:hint="eastAsia"/>
        </w:rPr>
        <w:t>股票</w:t>
      </w:r>
      <w:r w:rsidR="001E3EEC" w:rsidRPr="001E3EEC">
        <w:rPr>
          <w:rFonts w:eastAsia="楷体" w:hAnsi="楷体" w:cs="Arial" w:hint="eastAsia"/>
        </w:rPr>
        <w:t>-</w:t>
      </w:r>
      <w:r w:rsidR="001E3EEC" w:rsidRPr="001E3EEC">
        <w:rPr>
          <w:rFonts w:eastAsia="楷体" w:hAnsi="楷体" w:cs="Arial" w:hint="eastAsia"/>
        </w:rPr>
        <w:t>新兴市场</w:t>
      </w:r>
      <w:r w:rsidR="001E3EEC">
        <w:rPr>
          <w:rFonts w:eastAsia="楷体" w:hAnsi="楷体" w:cs="Arial" w:hint="eastAsia"/>
        </w:rPr>
        <w:t>类别之首，跻身全体</w:t>
      </w:r>
      <w:r w:rsidR="001E3EEC">
        <w:rPr>
          <w:rFonts w:eastAsia="楷体" w:hAnsi="楷体" w:cs="Arial" w:hint="eastAsia"/>
        </w:rPr>
        <w:t>QDII</w:t>
      </w:r>
      <w:r w:rsidR="001E3EEC">
        <w:rPr>
          <w:rFonts w:eastAsia="楷体" w:hAnsi="楷体" w:cs="Arial" w:hint="eastAsia"/>
        </w:rPr>
        <w:t>第</w:t>
      </w:r>
      <w:r w:rsidR="001E3EEC">
        <w:rPr>
          <w:rFonts w:eastAsia="楷体" w:hAnsi="楷体" w:cs="Arial" w:hint="eastAsia"/>
        </w:rPr>
        <w:t>6</w:t>
      </w:r>
      <w:r w:rsidR="001E3EEC">
        <w:rPr>
          <w:rFonts w:eastAsia="楷体" w:hAnsi="楷体" w:cs="Arial" w:hint="eastAsia"/>
        </w:rPr>
        <w:t>。</w:t>
      </w:r>
    </w:p>
    <w:p w:rsidR="00082426" w:rsidRPr="00172285" w:rsidRDefault="00082426" w:rsidP="00082426">
      <w:pPr>
        <w:pStyle w:val="ab"/>
        <w:numPr>
          <w:ilvl w:val="4"/>
          <w:numId w:val="1"/>
        </w:numPr>
        <w:spacing w:after="163"/>
        <w:rPr>
          <w:rFonts w:eastAsia="楷体" w:hAnsi="楷体" w:cs="Arial"/>
        </w:rPr>
      </w:pPr>
      <w:r w:rsidRPr="00CB0983">
        <w:rPr>
          <w:rFonts w:eastAsia="楷体" w:hAnsi="楷体" w:cs="Arial" w:hint="eastAsia"/>
          <w:b/>
        </w:rPr>
        <w:t>华夏恒生</w:t>
      </w:r>
      <w:r w:rsidRPr="00CB0983">
        <w:rPr>
          <w:rFonts w:eastAsia="楷体" w:hAnsi="楷体" w:cs="Arial" w:hint="eastAsia"/>
          <w:b/>
        </w:rPr>
        <w:t>ETF(</w:t>
      </w:r>
      <w:r w:rsidRPr="00CB0983">
        <w:rPr>
          <w:rFonts w:eastAsia="楷体" w:hAnsi="楷体" w:cs="Arial"/>
          <w:b/>
        </w:rPr>
        <w:t>159920</w:t>
      </w:r>
      <w:r w:rsidRPr="00CB0983">
        <w:rPr>
          <w:rFonts w:eastAsia="楷体" w:hAnsi="楷体" w:cs="Arial" w:hint="eastAsia"/>
          <w:b/>
        </w:rPr>
        <w:t>)</w:t>
      </w:r>
      <w:r w:rsidRPr="00CB0983">
        <w:rPr>
          <w:rFonts w:eastAsia="楷体" w:hAnsi="楷体" w:cs="Arial" w:hint="eastAsia"/>
          <w:b/>
        </w:rPr>
        <w:t>：</w:t>
      </w:r>
      <w:r w:rsidRPr="00172285">
        <w:rPr>
          <w:rFonts w:eastAsia="楷体" w:hAnsi="楷体" w:cs="Arial" w:hint="eastAsia"/>
        </w:rPr>
        <w:t>华夏基金旗下首只跨境</w:t>
      </w:r>
      <w:r w:rsidRPr="00172285">
        <w:rPr>
          <w:rFonts w:eastAsia="楷体" w:hAnsi="楷体" w:cs="Arial" w:hint="eastAsia"/>
        </w:rPr>
        <w:t>ETF</w:t>
      </w:r>
      <w:r>
        <w:rPr>
          <w:rFonts w:eastAsia="楷体" w:hAnsi="楷体" w:cs="Arial" w:hint="eastAsia"/>
        </w:rPr>
        <w:t>基金，</w:t>
      </w:r>
      <w:r w:rsidRPr="00172285">
        <w:rPr>
          <w:rFonts w:eastAsia="楷体" w:hAnsi="楷体" w:cs="Arial" w:hint="eastAsia"/>
        </w:rPr>
        <w:t>采用组合复制策略及适当的替代性策略，紧密跟踪香港恒生指数。标的指数汇集了香港本地、中国内地以及海外众多的龙头公司。</w:t>
      </w:r>
      <w:r>
        <w:rPr>
          <w:rFonts w:eastAsia="楷体" w:hAnsi="楷体" w:cs="Arial" w:hint="eastAsia"/>
        </w:rPr>
        <w:t>在</w:t>
      </w:r>
      <w:r w:rsidRPr="00172285">
        <w:rPr>
          <w:rFonts w:eastAsia="楷体" w:hAnsi="楷体" w:cs="Arial" w:hint="eastAsia"/>
        </w:rPr>
        <w:t>金融、能源占比相对较高</w:t>
      </w:r>
      <w:r>
        <w:rPr>
          <w:rFonts w:eastAsia="楷体" w:hAnsi="楷体" w:cs="Arial" w:hint="eastAsia"/>
        </w:rPr>
        <w:t>，</w:t>
      </w:r>
      <w:r w:rsidRPr="00172285">
        <w:rPr>
          <w:rFonts w:eastAsia="楷体" w:hAnsi="楷体" w:cs="Arial" w:hint="eastAsia"/>
        </w:rPr>
        <w:t>服务业、原材料业占比相对较少</w:t>
      </w:r>
      <w:r>
        <w:rPr>
          <w:rFonts w:eastAsia="楷体" w:hAnsi="楷体" w:cs="Arial" w:hint="eastAsia"/>
        </w:rPr>
        <w:t>，成份股共</w:t>
      </w:r>
      <w:r w:rsidRPr="00172285">
        <w:rPr>
          <w:rFonts w:eastAsia="楷体" w:hAnsi="楷体" w:cs="Arial" w:hint="eastAsia"/>
        </w:rPr>
        <w:t>48</w:t>
      </w:r>
      <w:r>
        <w:rPr>
          <w:rFonts w:eastAsia="楷体" w:hAnsi="楷体" w:cs="Arial" w:hint="eastAsia"/>
        </w:rPr>
        <w:t>只，含</w:t>
      </w:r>
      <w:r>
        <w:rPr>
          <w:rFonts w:eastAsia="楷体" w:hAnsi="楷体" w:cs="Arial" w:hint="eastAsia"/>
        </w:rPr>
        <w:t>8</w:t>
      </w:r>
      <w:r>
        <w:rPr>
          <w:rFonts w:eastAsia="楷体" w:hAnsi="楷体" w:cs="Arial" w:hint="eastAsia"/>
        </w:rPr>
        <w:t>家</w:t>
      </w:r>
      <w:r w:rsidRPr="00172285">
        <w:rPr>
          <w:rFonts w:eastAsia="楷体" w:hAnsi="楷体" w:cs="Arial" w:hint="eastAsia"/>
        </w:rPr>
        <w:t>“重量级”蓝筹股</w:t>
      </w:r>
      <w:r>
        <w:rPr>
          <w:rFonts w:eastAsia="楷体" w:hAnsi="楷体" w:cs="Arial" w:hint="eastAsia"/>
        </w:rPr>
        <w:t>（</w:t>
      </w:r>
      <w:r w:rsidRPr="00172285">
        <w:rPr>
          <w:rFonts w:eastAsia="楷体" w:hAnsi="楷体" w:cs="Arial" w:hint="eastAsia"/>
        </w:rPr>
        <w:t>三大银行</w:t>
      </w:r>
      <w:r w:rsidRPr="00172285">
        <w:rPr>
          <w:rFonts w:eastAsia="楷体" w:hAnsi="楷体" w:cs="Arial" w:hint="eastAsia"/>
        </w:rPr>
        <w:t>+</w:t>
      </w:r>
      <w:r w:rsidRPr="00172285">
        <w:rPr>
          <w:rFonts w:eastAsia="楷体" w:hAnsi="楷体" w:cs="Arial" w:hint="eastAsia"/>
        </w:rPr>
        <w:t>三桶油</w:t>
      </w:r>
      <w:r w:rsidRPr="00172285">
        <w:rPr>
          <w:rFonts w:eastAsia="楷体" w:hAnsi="楷体" w:cs="Arial" w:hint="eastAsia"/>
        </w:rPr>
        <w:t>+</w:t>
      </w:r>
      <w:r w:rsidRPr="00172285">
        <w:rPr>
          <w:rFonts w:eastAsia="楷体" w:hAnsi="楷体" w:cs="Arial" w:hint="eastAsia"/>
        </w:rPr>
        <w:t>中国移动</w:t>
      </w:r>
      <w:r w:rsidRPr="00172285">
        <w:rPr>
          <w:rFonts w:eastAsia="楷体" w:hAnsi="楷体" w:cs="Arial" w:hint="eastAsia"/>
        </w:rPr>
        <w:t>+</w:t>
      </w:r>
      <w:r w:rsidRPr="00172285">
        <w:rPr>
          <w:rFonts w:eastAsia="楷体" w:hAnsi="楷体" w:cs="Arial" w:hint="eastAsia"/>
        </w:rPr>
        <w:t>汇丰银行占比合计</w:t>
      </w:r>
      <w:r w:rsidRPr="00172285">
        <w:rPr>
          <w:rFonts w:eastAsia="楷体" w:hAnsi="楷体" w:cs="Arial" w:hint="eastAsia"/>
        </w:rPr>
        <w:t>51.71%</w:t>
      </w:r>
      <w:r>
        <w:rPr>
          <w:rFonts w:eastAsia="楷体" w:hAnsi="楷体" w:cs="Arial" w:hint="eastAsia"/>
        </w:rPr>
        <w:t>）及</w:t>
      </w:r>
      <w:r w:rsidRPr="00172285">
        <w:rPr>
          <w:rFonts w:eastAsia="楷体" w:hAnsi="楷体" w:cs="Arial" w:hint="eastAsia"/>
        </w:rPr>
        <w:t>香港本地龙头企业，如长江实业、和记黄埔等；也包括</w:t>
      </w:r>
      <w:r>
        <w:rPr>
          <w:rFonts w:eastAsia="楷体" w:hAnsi="楷体" w:cs="Arial" w:hint="eastAsia"/>
        </w:rPr>
        <w:t>中国内地“新贵”</w:t>
      </w:r>
      <w:proofErr w:type="gramStart"/>
      <w:r w:rsidRPr="00172285">
        <w:rPr>
          <w:rFonts w:eastAsia="楷体" w:hAnsi="楷体" w:cs="Arial" w:hint="eastAsia"/>
        </w:rPr>
        <w:t>如腾讯控股</w:t>
      </w:r>
      <w:proofErr w:type="gramEnd"/>
      <w:r w:rsidRPr="00172285">
        <w:rPr>
          <w:rFonts w:eastAsia="楷体" w:hAnsi="楷体" w:cs="Arial" w:hint="eastAsia"/>
        </w:rPr>
        <w:t>。</w:t>
      </w:r>
    </w:p>
    <w:p w:rsidR="00082426" w:rsidRDefault="00082426" w:rsidP="00082426">
      <w:pPr>
        <w:pStyle w:val="ab"/>
        <w:numPr>
          <w:ilvl w:val="4"/>
          <w:numId w:val="1"/>
        </w:numPr>
        <w:spacing w:after="163"/>
        <w:rPr>
          <w:rFonts w:eastAsia="楷体" w:cs="Arial"/>
        </w:rPr>
      </w:pPr>
      <w:r w:rsidRPr="00CB0983">
        <w:rPr>
          <w:rFonts w:eastAsia="楷体" w:cs="Arial" w:hint="eastAsia"/>
          <w:b/>
        </w:rPr>
        <w:t>嘉实恒生中国企业</w:t>
      </w:r>
      <w:r w:rsidRPr="00CB0983">
        <w:rPr>
          <w:rFonts w:eastAsia="楷体" w:cs="Arial" w:hint="eastAsia"/>
          <w:b/>
        </w:rPr>
        <w:t>(</w:t>
      </w:r>
      <w:r w:rsidRPr="00CB0983">
        <w:rPr>
          <w:rFonts w:eastAsia="楷体" w:cs="Arial"/>
          <w:b/>
        </w:rPr>
        <w:t>160717</w:t>
      </w:r>
      <w:r w:rsidRPr="00CB0983">
        <w:rPr>
          <w:rFonts w:eastAsia="楷体" w:cs="Arial" w:hint="eastAsia"/>
          <w:b/>
        </w:rPr>
        <w:t>)</w:t>
      </w:r>
      <w:r w:rsidRPr="00CB0983">
        <w:rPr>
          <w:rFonts w:eastAsia="楷体" w:cs="Arial" w:hint="eastAsia"/>
          <w:b/>
        </w:rPr>
        <w:t>：</w:t>
      </w:r>
      <w:r>
        <w:rPr>
          <w:rFonts w:eastAsia="楷体" w:cs="Arial" w:hint="eastAsia"/>
        </w:rPr>
        <w:t>标的指数为</w:t>
      </w:r>
      <w:r w:rsidRPr="00FE105F">
        <w:rPr>
          <w:rFonts w:eastAsia="楷体" w:cs="Arial" w:hint="eastAsia"/>
        </w:rPr>
        <w:t>恒生中国企业指数</w:t>
      </w:r>
      <w:r>
        <w:rPr>
          <w:rFonts w:eastAsia="楷体" w:cs="Arial" w:hint="eastAsia"/>
        </w:rPr>
        <w:t>，该基金以拟合、跟踪标的</w:t>
      </w:r>
      <w:r w:rsidRPr="00FE105F">
        <w:rPr>
          <w:rFonts w:eastAsia="楷体" w:cs="Arial" w:hint="eastAsia"/>
        </w:rPr>
        <w:t>指数为原则</w:t>
      </w:r>
      <w:r>
        <w:rPr>
          <w:rFonts w:eastAsia="楷体" w:cs="Arial" w:hint="eastAsia"/>
        </w:rPr>
        <w:t>，</w:t>
      </w:r>
      <w:r w:rsidRPr="00FE105F">
        <w:rPr>
          <w:rFonts w:eastAsia="楷体" w:cs="Arial" w:hint="eastAsia"/>
        </w:rPr>
        <w:t>进行被动式指数化投资</w:t>
      </w:r>
      <w:r>
        <w:rPr>
          <w:rFonts w:eastAsia="楷体" w:cs="Arial" w:hint="eastAsia"/>
        </w:rPr>
        <w:t>。该基金在今年</w:t>
      </w:r>
      <w:r>
        <w:rPr>
          <w:rFonts w:eastAsia="楷体" w:cs="Arial" w:hint="eastAsia"/>
        </w:rPr>
        <w:t>7</w:t>
      </w:r>
      <w:r>
        <w:rPr>
          <w:rFonts w:eastAsia="楷体" w:cs="Arial" w:hint="eastAsia"/>
        </w:rPr>
        <w:t>月份以</w:t>
      </w:r>
      <w:r>
        <w:rPr>
          <w:rFonts w:eastAsia="楷体" w:cs="Arial" w:hint="eastAsia"/>
        </w:rPr>
        <w:t>8.81%</w:t>
      </w:r>
      <w:r>
        <w:rPr>
          <w:rFonts w:eastAsia="楷体" w:cs="Arial" w:hint="eastAsia"/>
        </w:rPr>
        <w:t>的收益率获得</w:t>
      </w:r>
      <w:r>
        <w:rPr>
          <w:rFonts w:eastAsia="楷体" w:cs="Arial" w:hint="eastAsia"/>
        </w:rPr>
        <w:t>QDII-</w:t>
      </w:r>
      <w:r>
        <w:rPr>
          <w:rFonts w:eastAsia="楷体" w:cs="Arial" w:hint="eastAsia"/>
        </w:rPr>
        <w:t>亚太及新兴市场类别之首，今年内共计涨幅</w:t>
      </w:r>
      <w:r>
        <w:rPr>
          <w:rFonts w:eastAsia="楷体" w:cs="Arial" w:hint="eastAsia"/>
        </w:rPr>
        <w:t>7.13%</w:t>
      </w:r>
      <w:r>
        <w:rPr>
          <w:rFonts w:eastAsia="楷体" w:cs="Arial" w:hint="eastAsia"/>
        </w:rPr>
        <w:t>，在同类基金中名列前茅。</w:t>
      </w:r>
    </w:p>
    <w:p w:rsidR="00082426" w:rsidRDefault="00082426" w:rsidP="00082426">
      <w:pPr>
        <w:pStyle w:val="ab"/>
        <w:numPr>
          <w:ilvl w:val="4"/>
          <w:numId w:val="1"/>
        </w:numPr>
        <w:spacing w:after="163"/>
        <w:rPr>
          <w:rFonts w:eastAsia="楷体" w:cs="Arial"/>
        </w:rPr>
      </w:pPr>
      <w:r w:rsidRPr="00CB0983">
        <w:rPr>
          <w:rFonts w:eastAsia="楷体" w:cs="Arial" w:hint="eastAsia"/>
          <w:b/>
        </w:rPr>
        <w:t>博时大中华亚太精选</w:t>
      </w:r>
      <w:r w:rsidRPr="00CB0983">
        <w:rPr>
          <w:rFonts w:eastAsia="楷体" w:cs="Arial" w:hint="eastAsia"/>
          <w:b/>
        </w:rPr>
        <w:t>(0</w:t>
      </w:r>
      <w:r w:rsidRPr="00CB0983">
        <w:rPr>
          <w:rFonts w:eastAsia="楷体" w:cs="Arial"/>
          <w:b/>
        </w:rPr>
        <w:t>50015</w:t>
      </w:r>
      <w:r w:rsidRPr="00CB0983">
        <w:rPr>
          <w:rFonts w:eastAsia="楷体" w:cs="Arial" w:hint="eastAsia"/>
          <w:b/>
        </w:rPr>
        <w:t>)</w:t>
      </w:r>
      <w:r w:rsidRPr="00CB0983">
        <w:rPr>
          <w:rFonts w:eastAsia="楷体" w:cs="Arial" w:hint="eastAsia"/>
          <w:b/>
        </w:rPr>
        <w:t>：</w:t>
      </w:r>
      <w:r w:rsidRPr="00B4378D">
        <w:rPr>
          <w:rFonts w:eastAsia="楷体" w:cs="Arial" w:hint="eastAsia"/>
        </w:rPr>
        <w:t>采用“核心</w:t>
      </w:r>
      <w:r w:rsidRPr="00B4378D">
        <w:rPr>
          <w:rFonts w:eastAsia="楷体" w:cs="Arial" w:hint="eastAsia"/>
        </w:rPr>
        <w:t>-</w:t>
      </w:r>
      <w:r w:rsidRPr="00B4378D">
        <w:rPr>
          <w:rFonts w:eastAsia="楷体" w:cs="Arial" w:hint="eastAsia"/>
        </w:rPr>
        <w:t>卫星”配置策略，“核心”指基金资产的</w:t>
      </w:r>
      <w:r w:rsidRPr="00B4378D">
        <w:rPr>
          <w:rFonts w:eastAsia="楷体" w:cs="Arial" w:hint="eastAsia"/>
        </w:rPr>
        <w:t>40%~75%</w:t>
      </w:r>
      <w:r>
        <w:rPr>
          <w:rFonts w:eastAsia="楷体" w:cs="Arial" w:hint="eastAsia"/>
        </w:rPr>
        <w:t>投资于大中华地区企业，包括中国大陆、港、澳、台地区企业在境外发行的股票</w:t>
      </w:r>
      <w:r w:rsidRPr="00B4378D">
        <w:rPr>
          <w:rFonts w:eastAsia="楷体" w:cs="Arial" w:hint="eastAsia"/>
        </w:rPr>
        <w:t>及其他衍生产品。“卫星”指基金资产的</w:t>
      </w:r>
      <w:r w:rsidRPr="00B4378D">
        <w:rPr>
          <w:rFonts w:eastAsia="楷体" w:cs="Arial" w:hint="eastAsia"/>
        </w:rPr>
        <w:t>20%~55%</w:t>
      </w:r>
      <w:r w:rsidRPr="00B4378D">
        <w:rPr>
          <w:rFonts w:eastAsia="楷体" w:cs="Arial" w:hint="eastAsia"/>
        </w:rPr>
        <w:t>投资于日本、韩国、澳大利亚、新加坡、印度等众多亚太国家或地区企业在亚太区证券市场发行的普通股、优先股及其他衍生产品等。主要采取“自下而上精选个股”和“价值策略为主，成长策略为辅</w:t>
      </w:r>
      <w:r>
        <w:rPr>
          <w:rFonts w:eastAsia="楷体" w:cs="Arial" w:hint="eastAsia"/>
        </w:rPr>
        <w:t>”的股票投资策略，辅以金融衍生</w:t>
      </w:r>
      <w:proofErr w:type="gramStart"/>
      <w:r>
        <w:rPr>
          <w:rFonts w:eastAsia="楷体" w:cs="Arial" w:hint="eastAsia"/>
        </w:rPr>
        <w:t>品投资</w:t>
      </w:r>
      <w:proofErr w:type="gramEnd"/>
      <w:r>
        <w:rPr>
          <w:rFonts w:eastAsia="楷体" w:cs="Arial" w:hint="eastAsia"/>
        </w:rPr>
        <w:t>进行套期保值和汇率风险规避</w:t>
      </w:r>
      <w:r w:rsidRPr="00B97AD7">
        <w:rPr>
          <w:rFonts w:eastAsia="楷体" w:cs="Arial" w:hint="eastAsia"/>
        </w:rPr>
        <w:t>。</w:t>
      </w:r>
    </w:p>
    <w:tbl>
      <w:tblPr>
        <w:tblW w:w="10771" w:type="dxa"/>
        <w:tblLayout w:type="fixed"/>
        <w:tblCellMar>
          <w:left w:w="0" w:type="dxa"/>
          <w:right w:w="0" w:type="dxa"/>
        </w:tblCellMar>
        <w:tblLook w:val="0000"/>
      </w:tblPr>
      <w:tblGrid>
        <w:gridCol w:w="5272"/>
        <w:gridCol w:w="227"/>
        <w:gridCol w:w="5272"/>
      </w:tblGrid>
      <w:tr w:rsidR="005D3072" w:rsidRPr="00FC54FE" w:rsidTr="001C47CA">
        <w:trPr>
          <w:cantSplit/>
          <w:trHeight w:val="368"/>
        </w:trPr>
        <w:tc>
          <w:tcPr>
            <w:tcW w:w="5272" w:type="dxa"/>
            <w:tcBorders>
              <w:top w:val="single" w:sz="6" w:space="0" w:color="FF6600"/>
              <w:bottom w:val="single" w:sz="6" w:space="0" w:color="FF6600"/>
            </w:tcBorders>
            <w:shd w:val="clear" w:color="auto" w:fill="auto"/>
            <w:vAlign w:val="center"/>
          </w:tcPr>
          <w:p w:rsidR="005D3072" w:rsidRPr="00FC54FE" w:rsidRDefault="005D3072" w:rsidP="001C47CA">
            <w:pPr>
              <w:pStyle w:val="SubTitleLargeTable"/>
              <w:pBdr>
                <w:top w:val="none" w:sz="0" w:space="0" w:color="auto"/>
              </w:pBdr>
              <w:rPr>
                <w:rFonts w:ascii="楷体" w:eastAsia="楷体" w:hAnsi="楷体"/>
                <w:color w:val="FF6600"/>
              </w:rPr>
            </w:pPr>
            <w:r w:rsidRPr="00FC54FE">
              <w:rPr>
                <w:rFonts w:ascii="楷体" w:eastAsia="楷体" w:hAnsi="楷体"/>
                <w:color w:val="FF6600"/>
              </w:rPr>
              <w:t>图表</w:t>
            </w:r>
            <w:r>
              <w:rPr>
                <w:rFonts w:ascii="楷体" w:eastAsia="楷体" w:hAnsi="楷体" w:hint="eastAsia"/>
                <w:color w:val="FF6600"/>
              </w:rPr>
              <w:t>5</w:t>
            </w:r>
            <w:r w:rsidRPr="00FC54FE">
              <w:rPr>
                <w:rFonts w:ascii="楷体" w:eastAsia="楷体" w:hAnsi="楷体" w:hint="eastAsia"/>
                <w:color w:val="FF6600"/>
              </w:rPr>
              <w:t>：国泰纳斯达克100指数基金</w:t>
            </w:r>
            <w:r w:rsidRPr="007D4B9D">
              <w:rPr>
                <w:rFonts w:ascii="楷体" w:eastAsia="楷体" w:hAnsi="楷体"/>
                <w:color w:val="FF6600"/>
              </w:rPr>
              <w:t>(160213)</w:t>
            </w:r>
          </w:p>
        </w:tc>
        <w:tc>
          <w:tcPr>
            <w:tcW w:w="227" w:type="dxa"/>
            <w:vAlign w:val="center"/>
          </w:tcPr>
          <w:p w:rsidR="005D3072" w:rsidRPr="00FC54FE" w:rsidRDefault="005D3072" w:rsidP="001C47CA">
            <w:pPr>
              <w:jc w:val="center"/>
              <w:rPr>
                <w:rFonts w:ascii="楷体" w:eastAsia="楷体" w:hAnsi="楷体" w:cs="Arial"/>
                <w:b/>
                <w:bCs/>
                <w:i/>
                <w:iCs/>
                <w:color w:val="FF6600"/>
                <w:kern w:val="0"/>
                <w:szCs w:val="21"/>
                <w:lang w:val="en-GB"/>
              </w:rPr>
            </w:pPr>
          </w:p>
        </w:tc>
        <w:tc>
          <w:tcPr>
            <w:tcW w:w="5272" w:type="dxa"/>
            <w:tcBorders>
              <w:top w:val="single" w:sz="6" w:space="0" w:color="FF6600"/>
              <w:bottom w:val="single" w:sz="6" w:space="0" w:color="FF6600"/>
            </w:tcBorders>
            <w:shd w:val="clear" w:color="auto" w:fill="auto"/>
            <w:vAlign w:val="center"/>
          </w:tcPr>
          <w:p w:rsidR="005D3072" w:rsidRPr="00FC54FE" w:rsidRDefault="005D3072" w:rsidP="001C47CA">
            <w:pPr>
              <w:pStyle w:val="SubTitleLargeTable"/>
              <w:pBdr>
                <w:top w:val="none" w:sz="0" w:space="0" w:color="auto"/>
              </w:pBdr>
              <w:rPr>
                <w:rFonts w:ascii="楷体" w:eastAsia="楷体" w:hAnsi="楷体"/>
                <w:color w:val="FF6600"/>
              </w:rPr>
            </w:pPr>
            <w:r w:rsidRPr="00FC54FE">
              <w:rPr>
                <w:rFonts w:ascii="楷体" w:eastAsia="楷体" w:hAnsi="楷体"/>
                <w:color w:val="FF6600"/>
              </w:rPr>
              <w:t>图表</w:t>
            </w:r>
            <w:r>
              <w:rPr>
                <w:rFonts w:ascii="楷体" w:eastAsia="楷体" w:hAnsi="楷体" w:hint="eastAsia"/>
                <w:color w:val="FF6600"/>
              </w:rPr>
              <w:t>6</w:t>
            </w:r>
            <w:r w:rsidRPr="00FC54FE">
              <w:rPr>
                <w:rFonts w:ascii="楷体" w:eastAsia="楷体" w:hAnsi="楷体" w:hint="eastAsia"/>
                <w:color w:val="FF6600"/>
              </w:rPr>
              <w:t>：</w:t>
            </w:r>
            <w:proofErr w:type="gramStart"/>
            <w:r>
              <w:rPr>
                <w:rFonts w:ascii="楷体" w:eastAsia="楷体" w:hAnsi="楷体" w:hint="eastAsia"/>
                <w:color w:val="FF6600"/>
              </w:rPr>
              <w:t>大成</w:t>
            </w:r>
            <w:r w:rsidRPr="00FC54FE">
              <w:rPr>
                <w:rFonts w:ascii="楷体" w:eastAsia="楷体" w:hAnsi="楷体"/>
                <w:color w:val="FF6600"/>
              </w:rPr>
              <w:t>标普</w:t>
            </w:r>
            <w:r w:rsidRPr="00FC54FE">
              <w:rPr>
                <w:rFonts w:ascii="楷体" w:eastAsia="楷体" w:hAnsi="楷体" w:hint="eastAsia"/>
                <w:color w:val="FF6600"/>
              </w:rPr>
              <w:t>500</w:t>
            </w:r>
            <w:r>
              <w:rPr>
                <w:rFonts w:ascii="楷体" w:eastAsia="楷体" w:hAnsi="楷体" w:hint="eastAsia"/>
                <w:color w:val="FF6600"/>
              </w:rPr>
              <w:t>等</w:t>
            </w:r>
            <w:proofErr w:type="gramEnd"/>
            <w:r>
              <w:rPr>
                <w:rFonts w:ascii="楷体" w:eastAsia="楷体" w:hAnsi="楷体" w:hint="eastAsia"/>
                <w:color w:val="FF6600"/>
              </w:rPr>
              <w:t>权重指数</w:t>
            </w:r>
            <w:r w:rsidRPr="00FC54FE">
              <w:rPr>
                <w:rFonts w:ascii="楷体" w:eastAsia="楷体" w:hAnsi="楷体" w:hint="eastAsia"/>
                <w:color w:val="FF6600"/>
              </w:rPr>
              <w:t>基金</w:t>
            </w:r>
            <w:r w:rsidRPr="007D4B9D">
              <w:rPr>
                <w:rFonts w:ascii="楷体" w:eastAsia="楷体" w:hAnsi="楷体"/>
                <w:color w:val="FF6600"/>
              </w:rPr>
              <w:t>(096001)</w:t>
            </w:r>
          </w:p>
        </w:tc>
      </w:tr>
      <w:tr w:rsidR="005D3072" w:rsidRPr="00FC54FE" w:rsidTr="005D3072">
        <w:trPr>
          <w:cantSplit/>
          <w:trHeight w:val="2928"/>
        </w:trPr>
        <w:tc>
          <w:tcPr>
            <w:tcW w:w="5272" w:type="dxa"/>
            <w:tcBorders>
              <w:top w:val="single" w:sz="6" w:space="0" w:color="FF6600"/>
              <w:bottom w:val="single" w:sz="6" w:space="0" w:color="FF6600"/>
            </w:tcBorders>
            <w:shd w:val="clear" w:color="auto" w:fill="auto"/>
            <w:vAlign w:val="center"/>
          </w:tcPr>
          <w:p w:rsidR="005D3072" w:rsidRPr="00FC54FE" w:rsidRDefault="005D3072" w:rsidP="001C47CA">
            <w:pPr>
              <w:jc w:val="center"/>
              <w:rPr>
                <w:rFonts w:ascii="楷体" w:eastAsia="楷体" w:hAnsi="楷体"/>
              </w:rPr>
            </w:pPr>
            <w:r w:rsidRPr="001E3EEC">
              <w:rPr>
                <w:rFonts w:ascii="楷体" w:eastAsia="楷体" w:hAnsi="楷体"/>
                <w:noProof/>
              </w:rPr>
              <w:drawing>
                <wp:inline distT="0" distB="0" distL="0" distR="0">
                  <wp:extent cx="3333750" cy="1704975"/>
                  <wp:effectExtent l="19050" t="0" r="0" b="0"/>
                  <wp:docPr id="25" name="图片 10" descr="C:\Users\shanghai\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hanghai\Desktop\1.jpg"/>
                          <pic:cNvPicPr>
                            <a:picLocks noChangeAspect="1" noChangeArrowheads="1"/>
                          </pic:cNvPicPr>
                        </pic:nvPicPr>
                        <pic:blipFill>
                          <a:blip r:embed="rId14" cstate="print"/>
                          <a:srcRect/>
                          <a:stretch>
                            <a:fillRect/>
                          </a:stretch>
                        </pic:blipFill>
                        <pic:spPr bwMode="auto">
                          <a:xfrm>
                            <a:off x="0" y="0"/>
                            <a:ext cx="3333750" cy="1704975"/>
                          </a:xfrm>
                          <a:prstGeom prst="rect">
                            <a:avLst/>
                          </a:prstGeom>
                          <a:noFill/>
                          <a:ln w="9525">
                            <a:noFill/>
                            <a:miter lim="800000"/>
                            <a:headEnd/>
                            <a:tailEnd/>
                          </a:ln>
                        </pic:spPr>
                      </pic:pic>
                    </a:graphicData>
                  </a:graphic>
                </wp:inline>
              </w:drawing>
            </w:r>
          </w:p>
        </w:tc>
        <w:tc>
          <w:tcPr>
            <w:tcW w:w="227" w:type="dxa"/>
            <w:vAlign w:val="center"/>
          </w:tcPr>
          <w:p w:rsidR="005D3072" w:rsidRPr="00FC54FE" w:rsidRDefault="005D3072" w:rsidP="001C47CA">
            <w:pPr>
              <w:jc w:val="center"/>
              <w:rPr>
                <w:rFonts w:ascii="楷体" w:eastAsia="楷体" w:hAnsi="楷体"/>
              </w:rPr>
            </w:pPr>
          </w:p>
        </w:tc>
        <w:tc>
          <w:tcPr>
            <w:tcW w:w="5272" w:type="dxa"/>
            <w:tcBorders>
              <w:top w:val="single" w:sz="6" w:space="0" w:color="FF6600"/>
              <w:bottom w:val="single" w:sz="6" w:space="0" w:color="FF6600"/>
            </w:tcBorders>
            <w:shd w:val="clear" w:color="auto" w:fill="auto"/>
            <w:vAlign w:val="center"/>
          </w:tcPr>
          <w:p w:rsidR="005D3072" w:rsidRPr="00FC54FE" w:rsidRDefault="005D3072" w:rsidP="001C47CA">
            <w:pPr>
              <w:jc w:val="center"/>
              <w:rPr>
                <w:rFonts w:ascii="楷体" w:eastAsia="楷体" w:hAnsi="楷体"/>
              </w:rPr>
            </w:pPr>
            <w:r w:rsidRPr="001E3EEC">
              <w:rPr>
                <w:rFonts w:ascii="楷体" w:eastAsia="楷体" w:hAnsi="楷体"/>
                <w:noProof/>
              </w:rPr>
              <w:drawing>
                <wp:inline distT="0" distB="0" distL="0" distR="0">
                  <wp:extent cx="3305175" cy="1752600"/>
                  <wp:effectExtent l="19050" t="0" r="9525" b="0"/>
                  <wp:docPr id="26" name="图片 11" descr="C:\Users\shanghai\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hanghai\Desktop\2.jpg"/>
                          <pic:cNvPicPr>
                            <a:picLocks noChangeAspect="1" noChangeArrowheads="1"/>
                          </pic:cNvPicPr>
                        </pic:nvPicPr>
                        <pic:blipFill>
                          <a:blip r:embed="rId15" cstate="print"/>
                          <a:srcRect/>
                          <a:stretch>
                            <a:fillRect/>
                          </a:stretch>
                        </pic:blipFill>
                        <pic:spPr bwMode="auto">
                          <a:xfrm>
                            <a:off x="0" y="0"/>
                            <a:ext cx="3305175" cy="1752600"/>
                          </a:xfrm>
                          <a:prstGeom prst="rect">
                            <a:avLst/>
                          </a:prstGeom>
                          <a:noFill/>
                          <a:ln w="9525">
                            <a:noFill/>
                            <a:miter lim="800000"/>
                            <a:headEnd/>
                            <a:tailEnd/>
                          </a:ln>
                        </pic:spPr>
                      </pic:pic>
                    </a:graphicData>
                  </a:graphic>
                </wp:inline>
              </w:drawing>
            </w:r>
          </w:p>
        </w:tc>
      </w:tr>
    </w:tbl>
    <w:p w:rsidR="005D3072" w:rsidRDefault="005D3072" w:rsidP="005D3072">
      <w:pPr>
        <w:pStyle w:val="FootnoteNoline"/>
        <w:ind w:left="0"/>
        <w:rPr>
          <w:rFonts w:ascii="楷体" w:eastAsia="楷体" w:hAnsi="楷体"/>
          <w:color w:val="FF6600"/>
        </w:rPr>
      </w:pPr>
      <w:r w:rsidRPr="00FC54FE">
        <w:rPr>
          <w:rFonts w:ascii="楷体" w:eastAsia="楷体" w:hAnsi="楷体" w:hint="eastAsia"/>
          <w:color w:val="FF6600"/>
        </w:rPr>
        <w:t>来源：</w:t>
      </w:r>
      <w:proofErr w:type="gramStart"/>
      <w:r w:rsidRPr="00FC54FE">
        <w:rPr>
          <w:rFonts w:ascii="楷体" w:eastAsia="楷体" w:hAnsi="楷体" w:hint="eastAsia"/>
          <w:color w:val="FF6600"/>
        </w:rPr>
        <w:t>凯</w:t>
      </w:r>
      <w:proofErr w:type="gramEnd"/>
      <w:r w:rsidRPr="00FC54FE">
        <w:rPr>
          <w:rFonts w:ascii="楷体" w:eastAsia="楷体" w:hAnsi="楷体" w:hint="eastAsia"/>
          <w:color w:val="FF6600"/>
        </w:rPr>
        <w:t xml:space="preserve">石财富工场 wind </w:t>
      </w:r>
    </w:p>
    <w:tbl>
      <w:tblPr>
        <w:tblW w:w="10771" w:type="dxa"/>
        <w:tblLayout w:type="fixed"/>
        <w:tblCellMar>
          <w:left w:w="0" w:type="dxa"/>
          <w:right w:w="0" w:type="dxa"/>
        </w:tblCellMar>
        <w:tblLook w:val="0000"/>
      </w:tblPr>
      <w:tblGrid>
        <w:gridCol w:w="5272"/>
        <w:gridCol w:w="227"/>
        <w:gridCol w:w="5272"/>
      </w:tblGrid>
      <w:tr w:rsidR="005D3072" w:rsidRPr="00FC54FE" w:rsidTr="001C47CA">
        <w:trPr>
          <w:cantSplit/>
          <w:trHeight w:val="368"/>
        </w:trPr>
        <w:tc>
          <w:tcPr>
            <w:tcW w:w="5272" w:type="dxa"/>
            <w:tcBorders>
              <w:top w:val="single" w:sz="6" w:space="0" w:color="FF6600"/>
              <w:bottom w:val="single" w:sz="6" w:space="0" w:color="FF6600"/>
            </w:tcBorders>
            <w:shd w:val="clear" w:color="auto" w:fill="auto"/>
            <w:vAlign w:val="center"/>
          </w:tcPr>
          <w:p w:rsidR="005D3072" w:rsidRPr="00FC54FE" w:rsidRDefault="005D3072" w:rsidP="001C47CA">
            <w:pPr>
              <w:pStyle w:val="SubTitleLargeTable"/>
              <w:pBdr>
                <w:top w:val="none" w:sz="0" w:space="0" w:color="auto"/>
              </w:pBdr>
              <w:rPr>
                <w:rFonts w:ascii="楷体" w:eastAsia="楷体" w:hAnsi="楷体"/>
                <w:color w:val="FF6600"/>
              </w:rPr>
            </w:pPr>
            <w:r w:rsidRPr="00FC54FE">
              <w:rPr>
                <w:rFonts w:ascii="楷体" w:eastAsia="楷体" w:hAnsi="楷体"/>
                <w:color w:val="FF6600"/>
              </w:rPr>
              <w:lastRenderedPageBreak/>
              <w:t>图表</w:t>
            </w:r>
            <w:r>
              <w:rPr>
                <w:rFonts w:ascii="楷体" w:eastAsia="楷体" w:hAnsi="楷体" w:hint="eastAsia"/>
                <w:color w:val="FF6600"/>
              </w:rPr>
              <w:t>7</w:t>
            </w:r>
            <w:r w:rsidRPr="00FC54FE">
              <w:rPr>
                <w:rFonts w:ascii="楷体" w:eastAsia="楷体" w:hAnsi="楷体" w:hint="eastAsia"/>
                <w:color w:val="FF6600"/>
              </w:rPr>
              <w:t>：</w:t>
            </w:r>
            <w:r w:rsidRPr="00680A06">
              <w:rPr>
                <w:rFonts w:ascii="楷体" w:eastAsia="楷体" w:hAnsi="楷体" w:hint="eastAsia"/>
                <w:color w:val="FF6600"/>
              </w:rPr>
              <w:t>鹏华</w:t>
            </w:r>
            <w:r>
              <w:rPr>
                <w:rFonts w:ascii="楷体" w:eastAsia="楷体" w:hAnsi="楷体" w:hint="eastAsia"/>
                <w:color w:val="FF6600"/>
              </w:rPr>
              <w:t>美国</w:t>
            </w:r>
            <w:r w:rsidRPr="00680A06">
              <w:rPr>
                <w:rFonts w:ascii="楷体" w:eastAsia="楷体" w:hAnsi="楷体" w:hint="eastAsia"/>
                <w:color w:val="FF6600"/>
              </w:rPr>
              <w:t>房地产基金</w:t>
            </w:r>
            <w:r w:rsidRPr="007D4B9D">
              <w:rPr>
                <w:rFonts w:ascii="楷体" w:eastAsia="楷体" w:hAnsi="楷体"/>
                <w:color w:val="FF6600"/>
              </w:rPr>
              <w:t>(206011)</w:t>
            </w:r>
          </w:p>
        </w:tc>
        <w:tc>
          <w:tcPr>
            <w:tcW w:w="227" w:type="dxa"/>
            <w:vAlign w:val="center"/>
          </w:tcPr>
          <w:p w:rsidR="005D3072" w:rsidRPr="00FC54FE" w:rsidRDefault="005D3072" w:rsidP="001C47CA">
            <w:pPr>
              <w:jc w:val="center"/>
              <w:rPr>
                <w:rFonts w:ascii="楷体" w:eastAsia="楷体" w:hAnsi="楷体" w:cs="Arial"/>
                <w:b/>
                <w:bCs/>
                <w:i/>
                <w:iCs/>
                <w:color w:val="FF6600"/>
                <w:kern w:val="0"/>
                <w:szCs w:val="21"/>
                <w:lang w:val="en-GB"/>
              </w:rPr>
            </w:pPr>
          </w:p>
        </w:tc>
        <w:tc>
          <w:tcPr>
            <w:tcW w:w="5272" w:type="dxa"/>
            <w:tcBorders>
              <w:top w:val="single" w:sz="6" w:space="0" w:color="FF6600"/>
              <w:bottom w:val="single" w:sz="6" w:space="0" w:color="FF6600"/>
            </w:tcBorders>
            <w:shd w:val="clear" w:color="auto" w:fill="auto"/>
            <w:vAlign w:val="center"/>
          </w:tcPr>
          <w:p w:rsidR="005D3072" w:rsidRPr="00FC54FE" w:rsidRDefault="005D3072" w:rsidP="001C47CA">
            <w:pPr>
              <w:pStyle w:val="SubTitleLargeTable"/>
              <w:pBdr>
                <w:top w:val="none" w:sz="0" w:space="0" w:color="auto"/>
              </w:pBdr>
              <w:rPr>
                <w:rFonts w:ascii="楷体" w:eastAsia="楷体" w:hAnsi="楷体"/>
                <w:color w:val="FF6600"/>
              </w:rPr>
            </w:pPr>
          </w:p>
        </w:tc>
      </w:tr>
      <w:tr w:rsidR="005D3072" w:rsidRPr="00FC54FE" w:rsidTr="001C47CA">
        <w:trPr>
          <w:cantSplit/>
          <w:trHeight w:val="3016"/>
        </w:trPr>
        <w:tc>
          <w:tcPr>
            <w:tcW w:w="5272" w:type="dxa"/>
            <w:tcBorders>
              <w:top w:val="single" w:sz="6" w:space="0" w:color="FF6600"/>
              <w:bottom w:val="single" w:sz="6" w:space="0" w:color="FF6600"/>
            </w:tcBorders>
            <w:shd w:val="clear" w:color="auto" w:fill="auto"/>
            <w:vAlign w:val="center"/>
          </w:tcPr>
          <w:p w:rsidR="005D3072" w:rsidRPr="00FC54FE" w:rsidRDefault="005D3072" w:rsidP="001C47CA">
            <w:pPr>
              <w:jc w:val="center"/>
              <w:rPr>
                <w:rFonts w:ascii="楷体" w:eastAsia="楷体" w:hAnsi="楷体"/>
              </w:rPr>
            </w:pPr>
            <w:r w:rsidRPr="001E3EEC">
              <w:rPr>
                <w:rFonts w:ascii="楷体" w:eastAsia="楷体" w:hAnsi="楷体"/>
                <w:noProof/>
              </w:rPr>
              <w:drawing>
                <wp:inline distT="0" distB="0" distL="0" distR="0">
                  <wp:extent cx="3333750" cy="1952625"/>
                  <wp:effectExtent l="19050" t="0" r="0" b="0"/>
                  <wp:docPr id="27" name="图片 12" descr="C:\Users\shanghai\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hanghai\Desktop\3.jpg"/>
                          <pic:cNvPicPr>
                            <a:picLocks noChangeAspect="1" noChangeArrowheads="1"/>
                          </pic:cNvPicPr>
                        </pic:nvPicPr>
                        <pic:blipFill>
                          <a:blip r:embed="rId16" cstate="print"/>
                          <a:srcRect/>
                          <a:stretch>
                            <a:fillRect/>
                          </a:stretch>
                        </pic:blipFill>
                        <pic:spPr bwMode="auto">
                          <a:xfrm>
                            <a:off x="0" y="0"/>
                            <a:ext cx="3333750" cy="1952625"/>
                          </a:xfrm>
                          <a:prstGeom prst="rect">
                            <a:avLst/>
                          </a:prstGeom>
                          <a:noFill/>
                          <a:ln w="9525">
                            <a:noFill/>
                            <a:miter lim="800000"/>
                            <a:headEnd/>
                            <a:tailEnd/>
                          </a:ln>
                        </pic:spPr>
                      </pic:pic>
                    </a:graphicData>
                  </a:graphic>
                </wp:inline>
              </w:drawing>
            </w:r>
          </w:p>
        </w:tc>
        <w:tc>
          <w:tcPr>
            <w:tcW w:w="227" w:type="dxa"/>
            <w:vAlign w:val="center"/>
          </w:tcPr>
          <w:p w:rsidR="005D3072" w:rsidRPr="00FC54FE" w:rsidRDefault="005D3072" w:rsidP="001C47CA">
            <w:pPr>
              <w:jc w:val="center"/>
              <w:rPr>
                <w:rFonts w:ascii="楷体" w:eastAsia="楷体" w:hAnsi="楷体"/>
              </w:rPr>
            </w:pPr>
          </w:p>
        </w:tc>
        <w:tc>
          <w:tcPr>
            <w:tcW w:w="5272" w:type="dxa"/>
            <w:tcBorders>
              <w:top w:val="single" w:sz="6" w:space="0" w:color="FF6600"/>
              <w:bottom w:val="single" w:sz="6" w:space="0" w:color="FF6600"/>
            </w:tcBorders>
            <w:shd w:val="clear" w:color="auto" w:fill="auto"/>
            <w:vAlign w:val="center"/>
          </w:tcPr>
          <w:p w:rsidR="005D3072" w:rsidRPr="00FC54FE" w:rsidRDefault="005D3072" w:rsidP="001C47CA">
            <w:pPr>
              <w:jc w:val="center"/>
              <w:rPr>
                <w:rFonts w:ascii="楷体" w:eastAsia="楷体" w:hAnsi="楷体"/>
              </w:rPr>
            </w:pPr>
          </w:p>
        </w:tc>
      </w:tr>
    </w:tbl>
    <w:p w:rsidR="005D3072" w:rsidRPr="005D3072" w:rsidRDefault="005D3072" w:rsidP="005D3072">
      <w:pPr>
        <w:pStyle w:val="FootnoteNoline"/>
        <w:ind w:left="0"/>
        <w:rPr>
          <w:rFonts w:ascii="楷体" w:eastAsia="楷体" w:hAnsi="楷体"/>
          <w:color w:val="FF6600"/>
        </w:rPr>
      </w:pPr>
      <w:r w:rsidRPr="00FC54FE">
        <w:rPr>
          <w:rFonts w:ascii="楷体" w:eastAsia="楷体" w:hAnsi="楷体" w:hint="eastAsia"/>
          <w:color w:val="FF6600"/>
        </w:rPr>
        <w:t>来源：</w:t>
      </w:r>
      <w:proofErr w:type="gramStart"/>
      <w:r w:rsidRPr="00FC54FE">
        <w:rPr>
          <w:rFonts w:ascii="楷体" w:eastAsia="楷体" w:hAnsi="楷体" w:hint="eastAsia"/>
          <w:color w:val="FF6600"/>
        </w:rPr>
        <w:t>凯</w:t>
      </w:r>
      <w:proofErr w:type="gramEnd"/>
      <w:r w:rsidRPr="00FC54FE">
        <w:rPr>
          <w:rFonts w:ascii="楷体" w:eastAsia="楷体" w:hAnsi="楷体" w:hint="eastAsia"/>
          <w:color w:val="FF6600"/>
        </w:rPr>
        <w:t xml:space="preserve">石财富工场 wind </w:t>
      </w:r>
    </w:p>
    <w:tbl>
      <w:tblPr>
        <w:tblW w:w="10771" w:type="dxa"/>
        <w:tblLayout w:type="fixed"/>
        <w:tblCellMar>
          <w:left w:w="0" w:type="dxa"/>
          <w:right w:w="0" w:type="dxa"/>
        </w:tblCellMar>
        <w:tblLook w:val="0000"/>
      </w:tblPr>
      <w:tblGrid>
        <w:gridCol w:w="5272"/>
        <w:gridCol w:w="227"/>
        <w:gridCol w:w="5272"/>
      </w:tblGrid>
      <w:tr w:rsidR="001E3EEC" w:rsidRPr="00FC54FE" w:rsidTr="00CF492F">
        <w:trPr>
          <w:cantSplit/>
          <w:trHeight w:val="368"/>
        </w:trPr>
        <w:tc>
          <w:tcPr>
            <w:tcW w:w="5272" w:type="dxa"/>
            <w:tcBorders>
              <w:top w:val="single" w:sz="6" w:space="0" w:color="FF6600"/>
              <w:bottom w:val="single" w:sz="6" w:space="0" w:color="FF6600"/>
            </w:tcBorders>
            <w:shd w:val="clear" w:color="auto" w:fill="auto"/>
            <w:vAlign w:val="center"/>
          </w:tcPr>
          <w:p w:rsidR="001E3EEC" w:rsidRPr="00FC54FE" w:rsidRDefault="001E3EEC" w:rsidP="00CF492F">
            <w:pPr>
              <w:pStyle w:val="SubTitleLargeTable"/>
              <w:pBdr>
                <w:top w:val="none" w:sz="0" w:space="0" w:color="auto"/>
              </w:pBdr>
              <w:rPr>
                <w:rFonts w:ascii="楷体" w:eastAsia="楷体" w:hAnsi="楷体"/>
                <w:color w:val="FF6600"/>
              </w:rPr>
            </w:pPr>
            <w:r w:rsidRPr="00FC54FE">
              <w:rPr>
                <w:rFonts w:ascii="楷体" w:eastAsia="楷体" w:hAnsi="楷体"/>
                <w:color w:val="FF6600"/>
              </w:rPr>
              <w:t>图表</w:t>
            </w:r>
            <w:r w:rsidR="005D3072">
              <w:rPr>
                <w:rFonts w:ascii="楷体" w:eastAsia="楷体" w:hAnsi="楷体" w:hint="eastAsia"/>
                <w:color w:val="FF6600"/>
              </w:rPr>
              <w:t>8</w:t>
            </w:r>
            <w:r>
              <w:rPr>
                <w:rFonts w:ascii="楷体" w:eastAsia="楷体" w:hAnsi="楷体" w:hint="eastAsia"/>
                <w:color w:val="FF6600"/>
              </w:rPr>
              <w:t>：</w:t>
            </w:r>
            <w:r w:rsidRPr="001E3EEC">
              <w:rPr>
                <w:rFonts w:ascii="楷体" w:eastAsia="楷体" w:hAnsi="楷体" w:hint="eastAsia"/>
                <w:color w:val="FF6600"/>
              </w:rPr>
              <w:t>富国中国中小盘</w:t>
            </w:r>
            <w:r>
              <w:rPr>
                <w:rFonts w:ascii="楷体" w:eastAsia="楷体" w:hAnsi="楷体" w:hint="eastAsia"/>
                <w:color w:val="FF6600"/>
              </w:rPr>
              <w:t>基金</w:t>
            </w:r>
            <w:r w:rsidRPr="001E3EEC">
              <w:rPr>
                <w:rFonts w:ascii="楷体" w:eastAsia="楷体" w:hAnsi="楷体"/>
                <w:color w:val="FF6600"/>
              </w:rPr>
              <w:t>(100061)</w:t>
            </w:r>
          </w:p>
        </w:tc>
        <w:tc>
          <w:tcPr>
            <w:tcW w:w="227" w:type="dxa"/>
            <w:vAlign w:val="center"/>
          </w:tcPr>
          <w:p w:rsidR="001E3EEC" w:rsidRPr="00FC54FE" w:rsidRDefault="001E3EEC" w:rsidP="00CF492F">
            <w:pPr>
              <w:jc w:val="center"/>
              <w:rPr>
                <w:rFonts w:ascii="楷体" w:eastAsia="楷体" w:hAnsi="楷体" w:cs="Arial"/>
                <w:b/>
                <w:bCs/>
                <w:i/>
                <w:iCs/>
                <w:color w:val="FF6600"/>
                <w:kern w:val="0"/>
                <w:szCs w:val="21"/>
                <w:lang w:val="en-GB"/>
              </w:rPr>
            </w:pPr>
          </w:p>
        </w:tc>
        <w:tc>
          <w:tcPr>
            <w:tcW w:w="5272" w:type="dxa"/>
            <w:tcBorders>
              <w:top w:val="single" w:sz="6" w:space="0" w:color="FF6600"/>
              <w:bottom w:val="single" w:sz="6" w:space="0" w:color="FF6600"/>
            </w:tcBorders>
            <w:shd w:val="clear" w:color="auto" w:fill="auto"/>
            <w:vAlign w:val="center"/>
          </w:tcPr>
          <w:p w:rsidR="001E3EEC" w:rsidRPr="00FC54FE" w:rsidRDefault="001E3EEC" w:rsidP="00CF492F">
            <w:pPr>
              <w:pStyle w:val="SubTitleLargeTable"/>
              <w:pBdr>
                <w:top w:val="none" w:sz="0" w:space="0" w:color="auto"/>
              </w:pBdr>
              <w:rPr>
                <w:rFonts w:ascii="楷体" w:eastAsia="楷体" w:hAnsi="楷体"/>
                <w:color w:val="FF6600"/>
              </w:rPr>
            </w:pPr>
            <w:r w:rsidRPr="00FC54FE">
              <w:rPr>
                <w:rFonts w:ascii="楷体" w:eastAsia="楷体" w:hAnsi="楷体"/>
                <w:color w:val="FF6600"/>
              </w:rPr>
              <w:t>图表</w:t>
            </w:r>
            <w:r w:rsidR="005D3072">
              <w:rPr>
                <w:rFonts w:ascii="楷体" w:eastAsia="楷体" w:hAnsi="楷体" w:hint="eastAsia"/>
                <w:color w:val="FF6600"/>
              </w:rPr>
              <w:t>9</w:t>
            </w:r>
            <w:r w:rsidRPr="00FC54FE">
              <w:rPr>
                <w:rFonts w:ascii="楷体" w:eastAsia="楷体" w:hAnsi="楷体" w:hint="eastAsia"/>
                <w:color w:val="FF6600"/>
              </w:rPr>
              <w:t>：</w:t>
            </w:r>
            <w:r w:rsidRPr="007D4B9D">
              <w:rPr>
                <w:rFonts w:ascii="楷体" w:eastAsia="楷体" w:hAnsi="楷体" w:hint="eastAsia"/>
                <w:color w:val="FF6600"/>
              </w:rPr>
              <w:t>华夏恒生ETF基金</w:t>
            </w:r>
            <w:r w:rsidRPr="007D4B9D">
              <w:rPr>
                <w:rFonts w:ascii="楷体" w:eastAsia="楷体" w:hAnsi="楷体"/>
                <w:color w:val="FF6600"/>
              </w:rPr>
              <w:t>(159920)</w:t>
            </w:r>
          </w:p>
        </w:tc>
      </w:tr>
      <w:tr w:rsidR="001E3EEC" w:rsidRPr="00FC54FE" w:rsidTr="00CF492F">
        <w:trPr>
          <w:cantSplit/>
          <w:trHeight w:val="3016"/>
        </w:trPr>
        <w:tc>
          <w:tcPr>
            <w:tcW w:w="5272" w:type="dxa"/>
            <w:tcBorders>
              <w:top w:val="single" w:sz="6" w:space="0" w:color="FF6600"/>
              <w:bottom w:val="single" w:sz="6" w:space="0" w:color="FF6600"/>
            </w:tcBorders>
            <w:shd w:val="clear" w:color="auto" w:fill="auto"/>
            <w:vAlign w:val="center"/>
          </w:tcPr>
          <w:p w:rsidR="001E3EEC" w:rsidRPr="00FC54FE" w:rsidRDefault="001E3EEC" w:rsidP="00CF492F">
            <w:pPr>
              <w:jc w:val="center"/>
              <w:rPr>
                <w:rFonts w:ascii="楷体" w:eastAsia="楷体" w:hAnsi="楷体"/>
              </w:rPr>
            </w:pPr>
            <w:r>
              <w:rPr>
                <w:rFonts w:ascii="楷体" w:eastAsia="楷体" w:hAnsi="楷体"/>
                <w:noProof/>
              </w:rPr>
              <w:drawing>
                <wp:inline distT="0" distB="0" distL="0" distR="0">
                  <wp:extent cx="3263232" cy="1933575"/>
                  <wp:effectExtent l="19050" t="0" r="0" b="0"/>
                  <wp:docPr id="20" name="图片 10" descr="C:\Users\shanghai\Desktop\富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hanghai\Desktop\富国.jpg"/>
                          <pic:cNvPicPr>
                            <a:picLocks noChangeAspect="1" noChangeArrowheads="1"/>
                          </pic:cNvPicPr>
                        </pic:nvPicPr>
                        <pic:blipFill>
                          <a:blip r:embed="rId17" cstate="print"/>
                          <a:srcRect/>
                          <a:stretch>
                            <a:fillRect/>
                          </a:stretch>
                        </pic:blipFill>
                        <pic:spPr bwMode="auto">
                          <a:xfrm>
                            <a:off x="0" y="0"/>
                            <a:ext cx="3263232" cy="1933575"/>
                          </a:xfrm>
                          <a:prstGeom prst="rect">
                            <a:avLst/>
                          </a:prstGeom>
                          <a:noFill/>
                          <a:ln w="9525">
                            <a:noFill/>
                            <a:miter lim="800000"/>
                            <a:headEnd/>
                            <a:tailEnd/>
                          </a:ln>
                        </pic:spPr>
                      </pic:pic>
                    </a:graphicData>
                  </a:graphic>
                </wp:inline>
              </w:drawing>
            </w:r>
          </w:p>
        </w:tc>
        <w:tc>
          <w:tcPr>
            <w:tcW w:w="227" w:type="dxa"/>
            <w:vAlign w:val="center"/>
          </w:tcPr>
          <w:p w:rsidR="001E3EEC" w:rsidRPr="00FC54FE" w:rsidRDefault="001E3EEC" w:rsidP="00CF492F">
            <w:pPr>
              <w:jc w:val="center"/>
              <w:rPr>
                <w:rFonts w:ascii="楷体" w:eastAsia="楷体" w:hAnsi="楷体"/>
              </w:rPr>
            </w:pPr>
          </w:p>
        </w:tc>
        <w:tc>
          <w:tcPr>
            <w:tcW w:w="5272" w:type="dxa"/>
            <w:tcBorders>
              <w:top w:val="single" w:sz="6" w:space="0" w:color="FF6600"/>
              <w:bottom w:val="single" w:sz="6" w:space="0" w:color="FF6600"/>
            </w:tcBorders>
            <w:shd w:val="clear" w:color="auto" w:fill="auto"/>
            <w:vAlign w:val="center"/>
          </w:tcPr>
          <w:p w:rsidR="001E3EEC" w:rsidRPr="00FC54FE" w:rsidRDefault="001E3EEC" w:rsidP="00CF492F">
            <w:pPr>
              <w:jc w:val="center"/>
              <w:rPr>
                <w:rFonts w:ascii="楷体" w:eastAsia="楷体" w:hAnsi="楷体"/>
              </w:rPr>
            </w:pPr>
            <w:r w:rsidRPr="001E3EEC">
              <w:rPr>
                <w:rFonts w:ascii="楷体" w:eastAsia="楷体" w:hAnsi="楷体"/>
                <w:noProof/>
              </w:rPr>
              <w:drawing>
                <wp:inline distT="0" distB="0" distL="0" distR="0">
                  <wp:extent cx="3314700" cy="1971675"/>
                  <wp:effectExtent l="19050" t="0" r="0" b="0"/>
                  <wp:docPr id="8" name="图片 14" descr="C:\Users\shanghai\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hanghai\Desktop\4.jpg"/>
                          <pic:cNvPicPr>
                            <a:picLocks noChangeAspect="1" noChangeArrowheads="1"/>
                          </pic:cNvPicPr>
                        </pic:nvPicPr>
                        <pic:blipFill>
                          <a:blip r:embed="rId18" cstate="print"/>
                          <a:srcRect/>
                          <a:stretch>
                            <a:fillRect/>
                          </a:stretch>
                        </pic:blipFill>
                        <pic:spPr bwMode="auto">
                          <a:xfrm>
                            <a:off x="0" y="0"/>
                            <a:ext cx="3314700" cy="1971675"/>
                          </a:xfrm>
                          <a:prstGeom prst="rect">
                            <a:avLst/>
                          </a:prstGeom>
                          <a:noFill/>
                          <a:ln w="9525">
                            <a:noFill/>
                            <a:miter lim="800000"/>
                            <a:headEnd/>
                            <a:tailEnd/>
                          </a:ln>
                        </pic:spPr>
                      </pic:pic>
                    </a:graphicData>
                  </a:graphic>
                </wp:inline>
              </w:drawing>
            </w:r>
          </w:p>
        </w:tc>
      </w:tr>
    </w:tbl>
    <w:p w:rsidR="001E3EEC" w:rsidRPr="001E3EEC" w:rsidRDefault="001E3EEC" w:rsidP="001E3EEC">
      <w:pPr>
        <w:pStyle w:val="FootnoteNoline"/>
        <w:ind w:left="0"/>
        <w:rPr>
          <w:rFonts w:ascii="楷体" w:eastAsia="楷体" w:hAnsi="楷体"/>
          <w:color w:val="FF6600"/>
        </w:rPr>
      </w:pPr>
      <w:r w:rsidRPr="00FC54FE">
        <w:rPr>
          <w:rFonts w:ascii="楷体" w:eastAsia="楷体" w:hAnsi="楷体" w:hint="eastAsia"/>
          <w:color w:val="FF6600"/>
        </w:rPr>
        <w:t>来源：</w:t>
      </w:r>
      <w:proofErr w:type="gramStart"/>
      <w:r w:rsidRPr="00FC54FE">
        <w:rPr>
          <w:rFonts w:ascii="楷体" w:eastAsia="楷体" w:hAnsi="楷体" w:hint="eastAsia"/>
          <w:color w:val="FF6600"/>
        </w:rPr>
        <w:t>凯</w:t>
      </w:r>
      <w:proofErr w:type="gramEnd"/>
      <w:r w:rsidRPr="00FC54FE">
        <w:rPr>
          <w:rFonts w:ascii="楷体" w:eastAsia="楷体" w:hAnsi="楷体" w:hint="eastAsia"/>
          <w:color w:val="FF6600"/>
        </w:rPr>
        <w:t xml:space="preserve">石财富工场 wind </w:t>
      </w:r>
    </w:p>
    <w:tbl>
      <w:tblPr>
        <w:tblW w:w="10771" w:type="dxa"/>
        <w:tblLayout w:type="fixed"/>
        <w:tblCellMar>
          <w:left w:w="0" w:type="dxa"/>
          <w:right w:w="0" w:type="dxa"/>
        </w:tblCellMar>
        <w:tblLook w:val="0000"/>
      </w:tblPr>
      <w:tblGrid>
        <w:gridCol w:w="5272"/>
        <w:gridCol w:w="227"/>
        <w:gridCol w:w="5272"/>
      </w:tblGrid>
      <w:tr w:rsidR="00082426" w:rsidRPr="00FC54FE" w:rsidTr="00906A8D">
        <w:trPr>
          <w:cantSplit/>
          <w:trHeight w:val="368"/>
        </w:trPr>
        <w:tc>
          <w:tcPr>
            <w:tcW w:w="5272" w:type="dxa"/>
            <w:tcBorders>
              <w:top w:val="single" w:sz="6" w:space="0" w:color="FF6600"/>
              <w:bottom w:val="single" w:sz="6" w:space="0" w:color="FF6600"/>
            </w:tcBorders>
            <w:shd w:val="clear" w:color="auto" w:fill="auto"/>
            <w:vAlign w:val="center"/>
          </w:tcPr>
          <w:p w:rsidR="00082426" w:rsidRPr="00FC54FE" w:rsidRDefault="00082426" w:rsidP="00906A8D">
            <w:pPr>
              <w:pStyle w:val="SubTitleLargeTable"/>
              <w:pBdr>
                <w:top w:val="none" w:sz="0" w:space="0" w:color="auto"/>
              </w:pBdr>
              <w:rPr>
                <w:rFonts w:ascii="楷体" w:eastAsia="楷体" w:hAnsi="楷体"/>
                <w:color w:val="FF6600"/>
              </w:rPr>
            </w:pPr>
            <w:r w:rsidRPr="00FC54FE">
              <w:rPr>
                <w:rFonts w:ascii="楷体" w:eastAsia="楷体" w:hAnsi="楷体"/>
                <w:color w:val="FF6600"/>
              </w:rPr>
              <w:t>图表</w:t>
            </w:r>
            <w:r w:rsidR="005D3072">
              <w:rPr>
                <w:rFonts w:ascii="楷体" w:eastAsia="楷体" w:hAnsi="楷体" w:hint="eastAsia"/>
                <w:color w:val="FF6600"/>
              </w:rPr>
              <w:t>10</w:t>
            </w:r>
            <w:r w:rsidRPr="00FC54FE">
              <w:rPr>
                <w:rFonts w:ascii="楷体" w:eastAsia="楷体" w:hAnsi="楷体" w:hint="eastAsia"/>
                <w:color w:val="FF6600"/>
              </w:rPr>
              <w:t>：</w:t>
            </w:r>
            <w:r w:rsidR="001E3EEC" w:rsidRPr="007D4B9D">
              <w:rPr>
                <w:rFonts w:ascii="楷体" w:eastAsia="楷体" w:hAnsi="楷体" w:hint="eastAsia"/>
                <w:color w:val="FF6600"/>
              </w:rPr>
              <w:t>嘉实恒生中国企业基金</w:t>
            </w:r>
            <w:r w:rsidR="001E3EEC" w:rsidRPr="007D4B9D">
              <w:rPr>
                <w:rFonts w:ascii="楷体" w:eastAsia="楷体" w:hAnsi="楷体"/>
                <w:color w:val="FF6600"/>
              </w:rPr>
              <w:t>(160717)</w:t>
            </w:r>
          </w:p>
        </w:tc>
        <w:tc>
          <w:tcPr>
            <w:tcW w:w="227" w:type="dxa"/>
            <w:vAlign w:val="center"/>
          </w:tcPr>
          <w:p w:rsidR="00082426" w:rsidRPr="00FC54FE" w:rsidRDefault="00082426" w:rsidP="00906A8D">
            <w:pPr>
              <w:jc w:val="center"/>
              <w:rPr>
                <w:rFonts w:ascii="楷体" w:eastAsia="楷体" w:hAnsi="楷体" w:cs="Arial"/>
                <w:b/>
                <w:bCs/>
                <w:i/>
                <w:iCs/>
                <w:color w:val="FF6600"/>
                <w:kern w:val="0"/>
                <w:szCs w:val="21"/>
                <w:lang w:val="en-GB"/>
              </w:rPr>
            </w:pPr>
          </w:p>
        </w:tc>
        <w:tc>
          <w:tcPr>
            <w:tcW w:w="5272" w:type="dxa"/>
            <w:tcBorders>
              <w:top w:val="single" w:sz="6" w:space="0" w:color="FF6600"/>
              <w:bottom w:val="single" w:sz="6" w:space="0" w:color="FF6600"/>
            </w:tcBorders>
            <w:shd w:val="clear" w:color="auto" w:fill="auto"/>
            <w:vAlign w:val="center"/>
          </w:tcPr>
          <w:p w:rsidR="00082426" w:rsidRPr="00FC54FE" w:rsidRDefault="00082426" w:rsidP="00906A8D">
            <w:pPr>
              <w:pStyle w:val="SubTitleLargeTable"/>
              <w:pBdr>
                <w:top w:val="none" w:sz="0" w:space="0" w:color="auto"/>
              </w:pBdr>
              <w:rPr>
                <w:rFonts w:ascii="楷体" w:eastAsia="楷体" w:hAnsi="楷体"/>
                <w:color w:val="FF6600"/>
              </w:rPr>
            </w:pPr>
            <w:r w:rsidRPr="00FC54FE">
              <w:rPr>
                <w:rFonts w:ascii="楷体" w:eastAsia="楷体" w:hAnsi="楷体"/>
                <w:color w:val="FF6600"/>
              </w:rPr>
              <w:t>图表</w:t>
            </w:r>
            <w:r w:rsidR="005D3072">
              <w:rPr>
                <w:rFonts w:ascii="楷体" w:eastAsia="楷体" w:hAnsi="楷体" w:hint="eastAsia"/>
                <w:color w:val="FF6600"/>
              </w:rPr>
              <w:t>11</w:t>
            </w:r>
            <w:r w:rsidRPr="00FC54FE">
              <w:rPr>
                <w:rFonts w:ascii="楷体" w:eastAsia="楷体" w:hAnsi="楷体" w:hint="eastAsia"/>
                <w:color w:val="FF6600"/>
              </w:rPr>
              <w:t>：</w:t>
            </w:r>
            <w:r w:rsidR="001E3EEC" w:rsidRPr="00E3353D">
              <w:rPr>
                <w:rFonts w:ascii="楷体" w:eastAsia="楷体" w:hAnsi="楷体" w:hint="eastAsia"/>
                <w:color w:val="FF6600"/>
              </w:rPr>
              <w:t>博时大中华亚太精选基金</w:t>
            </w:r>
            <w:r w:rsidR="001E3EEC" w:rsidRPr="007D4B9D">
              <w:rPr>
                <w:rFonts w:ascii="楷体" w:eastAsia="楷体" w:hAnsi="楷体"/>
                <w:color w:val="FF6600"/>
              </w:rPr>
              <w:t>(050015)</w:t>
            </w:r>
          </w:p>
        </w:tc>
      </w:tr>
      <w:tr w:rsidR="00082426" w:rsidRPr="00FC54FE" w:rsidTr="00906A8D">
        <w:trPr>
          <w:cantSplit/>
          <w:trHeight w:val="3016"/>
        </w:trPr>
        <w:tc>
          <w:tcPr>
            <w:tcW w:w="5272" w:type="dxa"/>
            <w:tcBorders>
              <w:top w:val="single" w:sz="6" w:space="0" w:color="FF6600"/>
              <w:bottom w:val="single" w:sz="6" w:space="0" w:color="FF6600"/>
            </w:tcBorders>
            <w:shd w:val="clear" w:color="auto" w:fill="auto"/>
            <w:vAlign w:val="center"/>
          </w:tcPr>
          <w:p w:rsidR="00082426" w:rsidRPr="00FC54FE" w:rsidRDefault="001E3EEC" w:rsidP="00906A8D">
            <w:pPr>
              <w:jc w:val="center"/>
              <w:rPr>
                <w:rFonts w:ascii="楷体" w:eastAsia="楷体" w:hAnsi="楷体"/>
              </w:rPr>
            </w:pPr>
            <w:r w:rsidRPr="001E3EEC">
              <w:rPr>
                <w:rFonts w:ascii="楷体" w:eastAsia="楷体" w:hAnsi="楷体"/>
                <w:noProof/>
              </w:rPr>
              <w:drawing>
                <wp:inline distT="0" distB="0" distL="0" distR="0">
                  <wp:extent cx="3333750" cy="1914525"/>
                  <wp:effectExtent l="19050" t="0" r="0" b="0"/>
                  <wp:docPr id="9" name="图片 15" descr="C:\Users\shanghai\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hanghai\Desktop\5.jpg"/>
                          <pic:cNvPicPr>
                            <a:picLocks noChangeAspect="1" noChangeArrowheads="1"/>
                          </pic:cNvPicPr>
                        </pic:nvPicPr>
                        <pic:blipFill>
                          <a:blip r:embed="rId19" cstate="print"/>
                          <a:srcRect/>
                          <a:stretch>
                            <a:fillRect/>
                          </a:stretch>
                        </pic:blipFill>
                        <pic:spPr bwMode="auto">
                          <a:xfrm>
                            <a:off x="0" y="0"/>
                            <a:ext cx="3333750" cy="1914525"/>
                          </a:xfrm>
                          <a:prstGeom prst="rect">
                            <a:avLst/>
                          </a:prstGeom>
                          <a:noFill/>
                          <a:ln w="9525">
                            <a:noFill/>
                            <a:miter lim="800000"/>
                            <a:headEnd/>
                            <a:tailEnd/>
                          </a:ln>
                        </pic:spPr>
                      </pic:pic>
                    </a:graphicData>
                  </a:graphic>
                </wp:inline>
              </w:drawing>
            </w:r>
          </w:p>
        </w:tc>
        <w:tc>
          <w:tcPr>
            <w:tcW w:w="227" w:type="dxa"/>
            <w:vAlign w:val="center"/>
          </w:tcPr>
          <w:p w:rsidR="00082426" w:rsidRPr="00FC54FE" w:rsidRDefault="00082426" w:rsidP="00906A8D">
            <w:pPr>
              <w:jc w:val="center"/>
              <w:rPr>
                <w:rFonts w:ascii="楷体" w:eastAsia="楷体" w:hAnsi="楷体"/>
              </w:rPr>
            </w:pPr>
          </w:p>
        </w:tc>
        <w:tc>
          <w:tcPr>
            <w:tcW w:w="5272" w:type="dxa"/>
            <w:tcBorders>
              <w:top w:val="single" w:sz="6" w:space="0" w:color="FF6600"/>
              <w:bottom w:val="single" w:sz="6" w:space="0" w:color="FF6600"/>
            </w:tcBorders>
            <w:shd w:val="clear" w:color="auto" w:fill="auto"/>
            <w:vAlign w:val="center"/>
          </w:tcPr>
          <w:p w:rsidR="00082426" w:rsidRPr="00FC54FE" w:rsidRDefault="001E3EEC" w:rsidP="00906A8D">
            <w:pPr>
              <w:jc w:val="center"/>
              <w:rPr>
                <w:rFonts w:ascii="楷体" w:eastAsia="楷体" w:hAnsi="楷体"/>
              </w:rPr>
            </w:pPr>
            <w:r w:rsidRPr="001E3EEC">
              <w:rPr>
                <w:rFonts w:ascii="楷体" w:eastAsia="楷体" w:hAnsi="楷体"/>
                <w:noProof/>
              </w:rPr>
              <w:drawing>
                <wp:inline distT="0" distB="0" distL="0" distR="0">
                  <wp:extent cx="3314700" cy="1905000"/>
                  <wp:effectExtent l="19050" t="0" r="0" b="0"/>
                  <wp:docPr id="12" name="图片 16" descr="C:\Users\shanghai\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hanghai\Desktop\6.jpg"/>
                          <pic:cNvPicPr>
                            <a:picLocks noChangeAspect="1" noChangeArrowheads="1"/>
                          </pic:cNvPicPr>
                        </pic:nvPicPr>
                        <pic:blipFill>
                          <a:blip r:embed="rId20" cstate="print"/>
                          <a:srcRect/>
                          <a:stretch>
                            <a:fillRect/>
                          </a:stretch>
                        </pic:blipFill>
                        <pic:spPr bwMode="auto">
                          <a:xfrm>
                            <a:off x="0" y="0"/>
                            <a:ext cx="3314700" cy="1905000"/>
                          </a:xfrm>
                          <a:prstGeom prst="rect">
                            <a:avLst/>
                          </a:prstGeom>
                          <a:noFill/>
                          <a:ln w="9525">
                            <a:noFill/>
                            <a:miter lim="800000"/>
                            <a:headEnd/>
                            <a:tailEnd/>
                          </a:ln>
                        </pic:spPr>
                      </pic:pic>
                    </a:graphicData>
                  </a:graphic>
                </wp:inline>
              </w:drawing>
            </w:r>
          </w:p>
        </w:tc>
      </w:tr>
    </w:tbl>
    <w:p w:rsidR="00082426" w:rsidRPr="00082426" w:rsidRDefault="00082426" w:rsidP="00082426">
      <w:pPr>
        <w:pStyle w:val="FootnoteNoline"/>
        <w:ind w:left="0"/>
        <w:rPr>
          <w:rFonts w:ascii="楷体" w:eastAsia="楷体" w:hAnsi="楷体"/>
          <w:color w:val="FF6600"/>
        </w:rPr>
      </w:pPr>
      <w:r w:rsidRPr="00FC54FE">
        <w:rPr>
          <w:rFonts w:ascii="楷体" w:eastAsia="楷体" w:hAnsi="楷体" w:hint="eastAsia"/>
          <w:color w:val="FF6600"/>
        </w:rPr>
        <w:t>来源：</w:t>
      </w:r>
      <w:proofErr w:type="gramStart"/>
      <w:r w:rsidRPr="00FC54FE">
        <w:rPr>
          <w:rFonts w:ascii="楷体" w:eastAsia="楷体" w:hAnsi="楷体" w:hint="eastAsia"/>
          <w:color w:val="FF6600"/>
        </w:rPr>
        <w:t>凯</w:t>
      </w:r>
      <w:proofErr w:type="gramEnd"/>
      <w:r w:rsidRPr="00FC54FE">
        <w:rPr>
          <w:rFonts w:ascii="楷体" w:eastAsia="楷体" w:hAnsi="楷体" w:hint="eastAsia"/>
          <w:color w:val="FF6600"/>
        </w:rPr>
        <w:t xml:space="preserve">石财富工场 wind </w:t>
      </w:r>
    </w:p>
    <w:p w:rsidR="00B10000" w:rsidRPr="00FC54FE" w:rsidRDefault="00B10000">
      <w:pPr>
        <w:widowControl/>
        <w:jc w:val="left"/>
        <w:rPr>
          <w:rFonts w:ascii="楷体" w:eastAsia="楷体" w:hAnsi="楷体" w:cs="Times New Roman"/>
          <w:b/>
          <w:kern w:val="0"/>
          <w:szCs w:val="20"/>
          <w:lang w:val="en-GB"/>
        </w:rPr>
      </w:pPr>
      <w:r w:rsidRPr="00FC54FE">
        <w:rPr>
          <w:rFonts w:ascii="楷体" w:eastAsia="楷体" w:hAnsi="楷体"/>
          <w:b/>
          <w:kern w:val="0"/>
          <w:szCs w:val="20"/>
          <w:lang w:val="en-GB"/>
        </w:rPr>
        <w:br w:type="page"/>
      </w:r>
    </w:p>
    <w:p w:rsidR="00593E61" w:rsidRPr="00FC54FE" w:rsidRDefault="00593E61" w:rsidP="00593E61">
      <w:pPr>
        <w:pStyle w:val="aa"/>
        <w:spacing w:after="312"/>
        <w:rPr>
          <w:rFonts w:ascii="楷体" w:eastAsia="楷体" w:hAnsi="楷体"/>
          <w:b/>
          <w:sz w:val="21"/>
          <w:szCs w:val="21"/>
        </w:rPr>
      </w:pPr>
      <w:r w:rsidRPr="00FC54FE">
        <w:rPr>
          <w:rFonts w:ascii="楷体" w:eastAsia="楷体" w:hAnsi="楷体" w:hint="eastAsia"/>
          <w:b/>
          <w:kern w:val="0"/>
          <w:sz w:val="21"/>
          <w:szCs w:val="20"/>
          <w:lang w:val="en-GB"/>
        </w:rPr>
        <w:lastRenderedPageBreak/>
        <w:t>特别声明：</w:t>
      </w:r>
    </w:p>
    <w:p w:rsidR="00593E61" w:rsidRPr="00FC54FE" w:rsidRDefault="00593E61" w:rsidP="00906028">
      <w:pPr>
        <w:pStyle w:val="aa"/>
        <w:spacing w:beforeLines="50" w:after="312"/>
        <w:rPr>
          <w:rFonts w:ascii="楷体" w:eastAsia="楷体" w:hAnsi="楷体"/>
          <w:kern w:val="0"/>
          <w:sz w:val="21"/>
          <w:szCs w:val="20"/>
          <w:lang w:val="en-GB"/>
        </w:rPr>
      </w:pPr>
      <w:r w:rsidRPr="00FC54FE">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593E61" w:rsidRPr="00FC54FE" w:rsidRDefault="00593E61" w:rsidP="00906028">
      <w:pPr>
        <w:pStyle w:val="aa"/>
        <w:spacing w:beforeLines="50" w:after="312"/>
        <w:rPr>
          <w:rFonts w:ascii="楷体" w:eastAsia="楷体" w:hAnsi="楷体"/>
          <w:kern w:val="0"/>
          <w:sz w:val="21"/>
          <w:szCs w:val="20"/>
          <w:lang w:val="en-GB"/>
        </w:rPr>
      </w:pPr>
      <w:r w:rsidRPr="00FC54FE">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10000" w:rsidRPr="00FC54FE" w:rsidRDefault="00593E61" w:rsidP="00906028">
      <w:pPr>
        <w:pStyle w:val="aa"/>
        <w:spacing w:beforeLines="50" w:after="312"/>
        <w:rPr>
          <w:rFonts w:ascii="楷体" w:eastAsia="楷体" w:hAnsi="楷体"/>
          <w:kern w:val="0"/>
          <w:sz w:val="21"/>
          <w:szCs w:val="20"/>
          <w:lang w:val="en-GB"/>
        </w:rPr>
      </w:pPr>
      <w:r w:rsidRPr="00FC54FE">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B10000" w:rsidRPr="00FC54FE" w:rsidRDefault="00B10000">
      <w:pPr>
        <w:rPr>
          <w:rFonts w:ascii="楷体" w:eastAsia="楷体" w:hAnsi="楷体"/>
          <w:lang w:val="en-GB"/>
        </w:rPr>
      </w:pPr>
    </w:p>
    <w:sectPr w:rsidR="00B10000" w:rsidRPr="00FC54FE" w:rsidSect="00656031">
      <w:headerReference w:type="default" r:id="rId21"/>
      <w:footerReference w:type="default" r:id="rId22"/>
      <w:headerReference w:type="first" r:id="rId23"/>
      <w:footerReference w:type="first" r:id="rId24"/>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EBA" w:rsidRDefault="00392EBA" w:rsidP="00B10000">
      <w:r>
        <w:separator/>
      </w:r>
    </w:p>
  </w:endnote>
  <w:endnote w:type="continuationSeparator" w:id="0">
    <w:p w:rsidR="00392EBA" w:rsidRDefault="00392EBA"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A8D" w:rsidRDefault="005329DA">
    <w:pPr>
      <w:pStyle w:val="a4"/>
      <w:jc w:val="center"/>
    </w:pPr>
    <w:r>
      <w:pict>
        <v:rect id="_x0000_i1027" style="width:571.2pt;height:2pt" o:hralign="center" o:hrstd="t" o:hrnoshade="t" o:hr="t" fillcolor="#e7a631" stroked="f"/>
      </w:pict>
    </w:r>
    <w:sdt>
      <w:sdtPr>
        <w:id w:val="31118581"/>
        <w:docPartObj>
          <w:docPartGallery w:val="Page Numbers (Bottom of Page)"/>
          <w:docPartUnique/>
        </w:docPartObj>
      </w:sdtPr>
      <w:sdtContent>
        <w:sdt>
          <w:sdtPr>
            <w:id w:val="31118580"/>
            <w:docPartObj>
              <w:docPartGallery w:val="Page Numbers (Top of Page)"/>
              <w:docPartUnique/>
            </w:docPartObj>
          </w:sdtPr>
          <w:sdtContent>
            <w:r w:rsidR="00906A8D">
              <w:rPr>
                <w:lang w:val="zh-CN"/>
              </w:rPr>
              <w:t xml:space="preserve"> </w:t>
            </w:r>
            <w:r>
              <w:rPr>
                <w:b/>
                <w:sz w:val="24"/>
                <w:szCs w:val="24"/>
              </w:rPr>
              <w:fldChar w:fldCharType="begin"/>
            </w:r>
            <w:r w:rsidR="00906A8D">
              <w:rPr>
                <w:b/>
              </w:rPr>
              <w:instrText>PAGE</w:instrText>
            </w:r>
            <w:r>
              <w:rPr>
                <w:b/>
                <w:sz w:val="24"/>
                <w:szCs w:val="24"/>
              </w:rPr>
              <w:fldChar w:fldCharType="separate"/>
            </w:r>
            <w:r w:rsidR="006B555B">
              <w:rPr>
                <w:b/>
                <w:noProof/>
              </w:rPr>
              <w:t>5</w:t>
            </w:r>
            <w:r>
              <w:rPr>
                <w:b/>
                <w:sz w:val="24"/>
                <w:szCs w:val="24"/>
              </w:rPr>
              <w:fldChar w:fldCharType="end"/>
            </w:r>
            <w:r w:rsidR="00906A8D">
              <w:rPr>
                <w:lang w:val="zh-CN"/>
              </w:rPr>
              <w:t xml:space="preserve"> / </w:t>
            </w:r>
            <w:r>
              <w:rPr>
                <w:b/>
                <w:sz w:val="24"/>
                <w:szCs w:val="24"/>
              </w:rPr>
              <w:fldChar w:fldCharType="begin"/>
            </w:r>
            <w:r w:rsidR="00906A8D">
              <w:rPr>
                <w:b/>
              </w:rPr>
              <w:instrText>NUMPAGES</w:instrText>
            </w:r>
            <w:r>
              <w:rPr>
                <w:b/>
                <w:sz w:val="24"/>
                <w:szCs w:val="24"/>
              </w:rPr>
              <w:fldChar w:fldCharType="separate"/>
            </w:r>
            <w:r w:rsidR="006B555B">
              <w:rPr>
                <w:b/>
                <w:noProof/>
              </w:rPr>
              <w:t>8</w:t>
            </w:r>
            <w:r>
              <w:rPr>
                <w:b/>
                <w:sz w:val="24"/>
                <w:szCs w:val="24"/>
              </w:rPr>
              <w:fldChar w:fldCharType="end"/>
            </w:r>
          </w:sdtContent>
        </w:sdt>
      </w:sdtContent>
    </w:sdt>
  </w:p>
  <w:p w:rsidR="00906A8D" w:rsidRDefault="00906A8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8579"/>
      <w:docPartObj>
        <w:docPartGallery w:val="Page Numbers (Bottom of Page)"/>
        <w:docPartUnique/>
      </w:docPartObj>
    </w:sdtPr>
    <w:sdtContent>
      <w:sdt>
        <w:sdtPr>
          <w:id w:val="171357217"/>
          <w:docPartObj>
            <w:docPartGallery w:val="Page Numbers (Top of Page)"/>
            <w:docPartUnique/>
          </w:docPartObj>
        </w:sdtPr>
        <w:sdtContent>
          <w:p w:rsidR="00906A8D" w:rsidRDefault="005329DA">
            <w:pPr>
              <w:pStyle w:val="a4"/>
              <w:jc w:val="center"/>
            </w:pPr>
            <w:r>
              <w:pict>
                <v:rect id="_x0000_i1029" style="width:571.2pt;height:2pt" o:hralign="center" o:hrstd="t" o:hrnoshade="t" o:hr="t" fillcolor="#e7a631" stroked="f"/>
              </w:pict>
            </w:r>
            <w:r w:rsidR="00906A8D">
              <w:rPr>
                <w:lang w:val="zh-CN"/>
              </w:rPr>
              <w:t xml:space="preserve"> </w:t>
            </w:r>
            <w:r>
              <w:rPr>
                <w:b/>
                <w:sz w:val="24"/>
                <w:szCs w:val="24"/>
              </w:rPr>
              <w:fldChar w:fldCharType="begin"/>
            </w:r>
            <w:r w:rsidR="00906A8D">
              <w:rPr>
                <w:b/>
              </w:rPr>
              <w:instrText>PAGE</w:instrText>
            </w:r>
            <w:r>
              <w:rPr>
                <w:b/>
                <w:sz w:val="24"/>
                <w:szCs w:val="24"/>
              </w:rPr>
              <w:fldChar w:fldCharType="separate"/>
            </w:r>
            <w:r w:rsidR="00E14AB7">
              <w:rPr>
                <w:b/>
                <w:noProof/>
              </w:rPr>
              <w:t>1</w:t>
            </w:r>
            <w:r>
              <w:rPr>
                <w:b/>
                <w:sz w:val="24"/>
                <w:szCs w:val="24"/>
              </w:rPr>
              <w:fldChar w:fldCharType="end"/>
            </w:r>
            <w:r w:rsidR="00906A8D">
              <w:rPr>
                <w:lang w:val="zh-CN"/>
              </w:rPr>
              <w:t xml:space="preserve"> / </w:t>
            </w:r>
            <w:r>
              <w:rPr>
                <w:b/>
                <w:sz w:val="24"/>
                <w:szCs w:val="24"/>
              </w:rPr>
              <w:fldChar w:fldCharType="begin"/>
            </w:r>
            <w:r w:rsidR="00906A8D">
              <w:rPr>
                <w:b/>
              </w:rPr>
              <w:instrText>NUMPAGES</w:instrText>
            </w:r>
            <w:r>
              <w:rPr>
                <w:b/>
                <w:sz w:val="24"/>
                <w:szCs w:val="24"/>
              </w:rPr>
              <w:fldChar w:fldCharType="separate"/>
            </w:r>
            <w:r w:rsidR="00E14AB7">
              <w:rPr>
                <w:b/>
                <w:noProof/>
              </w:rPr>
              <w:t>8</w:t>
            </w:r>
            <w:r>
              <w:rPr>
                <w:b/>
                <w:sz w:val="24"/>
                <w:szCs w:val="24"/>
              </w:rPr>
              <w:fldChar w:fldCharType="end"/>
            </w:r>
          </w:p>
        </w:sdtContent>
      </w:sdt>
    </w:sdtContent>
  </w:sdt>
  <w:p w:rsidR="00906A8D" w:rsidRDefault="00906A8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EBA" w:rsidRDefault="00392EBA" w:rsidP="00B10000">
      <w:r>
        <w:separator/>
      </w:r>
    </w:p>
  </w:footnote>
  <w:footnote w:type="continuationSeparator" w:id="0">
    <w:p w:rsidR="00392EBA" w:rsidRDefault="00392EBA"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A8D" w:rsidRDefault="005329DA" w:rsidP="00B10000">
    <w:pPr>
      <w:pStyle w:val="a3"/>
      <w:pBdr>
        <w:bottom w:val="none" w:sz="0" w:space="0" w:color="auto"/>
      </w:pBdr>
    </w:pPr>
    <w:r>
      <w:rPr>
        <w:noProof/>
      </w:rPr>
      <w:pict>
        <v:group id="_x0000_s2058" style="position:absolute;left:0;text-align:left;margin-left:5.2pt;margin-top:-32.25pt;width:531.2pt;height:37.5pt;z-index:251658240" coordorigin="728,206" coordsize="10624,750">
          <v:shapetype id="_x0000_t202" coordsize="21600,21600" o:spt="202" path="m,l,21600r21600,l21600,xe">
            <v:stroke joinstyle="miter"/>
            <v:path gradientshapeok="t" o:connecttype="rect"/>
          </v:shapetype>
          <v:shape id="_x0000_s2059" type="#_x0000_t202" style="position:absolute;left:728;top:206;width:1336;height:724;mso-width-relative:margin;mso-height-relative:margin" strokecolor="white">
            <v:textbox style="mso-next-textbox:#_x0000_s2059">
              <w:txbxContent>
                <w:p w:rsidR="00906A8D" w:rsidRDefault="005329DA" w:rsidP="00B10000">
                  <w:pPr>
                    <w:pStyle w:val="12"/>
                  </w:pPr>
                  <w:r w:rsidRPr="005329D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5.75pt;height:32.25pt;visibility:visible">
                        <v:imagedata r:id="rId1" o:title="凯石工2"/>
                      </v:shape>
                    </w:pict>
                  </w:r>
                </w:p>
              </w:txbxContent>
            </v:textbox>
          </v:shape>
          <v:shape id="_x0000_s2060" type="#_x0000_t202" style="position:absolute;left:5999;top:542;width:5353;height:414;mso-width-relative:margin;mso-height-relative:margin" strokecolor="white">
            <v:textbox style="mso-next-textbox:#_x0000_s2060">
              <w:txbxContent>
                <w:p w:rsidR="00906A8D" w:rsidRPr="006E0F3C" w:rsidRDefault="00906A8D" w:rsidP="00B10000">
                  <w:pPr>
                    <w:pStyle w:val="2"/>
                  </w:pPr>
                  <w:r w:rsidRPr="006E0F3C">
                    <w:rPr>
                      <w:rFonts w:hint="eastAsia"/>
                    </w:rPr>
                    <w:t>201</w:t>
                  </w:r>
                  <w:r>
                    <w:rPr>
                      <w:rFonts w:hint="eastAsia"/>
                    </w:rPr>
                    <w:t>4</w:t>
                  </w:r>
                  <w:r w:rsidRPr="006E0F3C">
                    <w:rPr>
                      <w:rFonts w:hint="eastAsia"/>
                    </w:rPr>
                    <w:t>年</w:t>
                  </w:r>
                  <w:r w:rsidR="005D3072">
                    <w:rPr>
                      <w:rFonts w:hint="eastAsia"/>
                    </w:rPr>
                    <w:t>11月</w:t>
                  </w:r>
                  <w:r>
                    <w:rPr>
                      <w:rFonts w:hint="eastAsia"/>
                    </w:rPr>
                    <w:t>QDII</w:t>
                  </w:r>
                  <w:r w:rsidRPr="006E0F3C">
                    <w:rPr>
                      <w:rFonts w:hint="eastAsia"/>
                    </w:rPr>
                    <w:t>基金投资策略</w:t>
                  </w:r>
                </w:p>
              </w:txbxContent>
            </v:textbox>
          </v:shape>
        </v:group>
      </w:pict>
    </w:r>
    <w:r>
      <w:pict>
        <v:rect id="_x0000_i1026"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A8D" w:rsidRDefault="005329DA" w:rsidP="00906028">
    <w:pPr>
      <w:pStyle w:val="a3"/>
      <w:pBdr>
        <w:bottom w:val="none" w:sz="0" w:space="0" w:color="auto"/>
      </w:pBdr>
      <w:spacing w:afterLines="100"/>
    </w:pPr>
    <w:r>
      <w:pict>
        <v:group id="_x0000_s2049"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2050" type="#_x0000_t202" style="position:absolute;left:652;top:331;width:3664;height:2430;mso-width-relative:margin;mso-height-relative:margin" strokecolor="white">
            <v:textbox style="mso-next-textbox:#_x0000_s2050">
              <w:txbxContent>
                <w:p w:rsidR="00906A8D" w:rsidRDefault="005329DA" w:rsidP="00B10000">
                  <w:pPr>
                    <w:pStyle w:val="a6"/>
                  </w:pPr>
                  <w:r w:rsidRPr="005329D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1" type="#_x0000_t75" alt="凯石工2.jpg" style="width:125.25pt;height:117.75pt;visibility:visible">
                        <v:imagedata r:id="rId1" o:title="凯石工2"/>
                      </v:shape>
                    </w:pict>
                  </w:r>
                </w:p>
              </w:txbxContent>
            </v:textbox>
          </v:shape>
          <v:shape id="_x0000_s2051" type="#_x0000_t202" style="position:absolute;left:881;top:2578;width:2325;height:390" strokecolor="white">
            <v:textbox style="mso-next-textbox:#_x0000_s2051">
              <w:txbxContent>
                <w:p w:rsidR="00906A8D" w:rsidRPr="006E0F3C" w:rsidRDefault="00906A8D" w:rsidP="008840A4">
                  <w:pPr>
                    <w:pStyle w:val="a5"/>
                    <w:spacing w:after="240"/>
                  </w:pPr>
                  <w:proofErr w:type="gramStart"/>
                  <w:r w:rsidRPr="006E0F3C">
                    <w:rPr>
                      <w:rFonts w:hint="eastAsia"/>
                    </w:rPr>
                    <w:t>凯石工场研究</w:t>
                  </w:r>
                  <w:proofErr w:type="gramEnd"/>
                  <w:r w:rsidRPr="006E0F3C">
                    <w:rPr>
                      <w:rFonts w:hint="eastAsia"/>
                    </w:rPr>
                    <w:t>报告</w:t>
                  </w:r>
                </w:p>
              </w:txbxContent>
            </v:textbox>
          </v:shape>
          <v:shape id="_x0000_s2052" type="#_x0000_t202" style="position:absolute;left:8740;top:609;width:2441;height:475;mso-height-percent:200;mso-height-percent:200;mso-width-relative:margin;mso-height-relative:margin" strokecolor="white">
            <v:textbox style="mso-next-textbox:#_x0000_s2052;mso-fit-shape-to-text:t">
              <w:txbxContent>
                <w:p w:rsidR="00906A8D" w:rsidRPr="006E0F3C" w:rsidRDefault="00906A8D" w:rsidP="00B10000">
                  <w:pPr>
                    <w:pStyle w:val="a7"/>
                    <w:jc w:val="right"/>
                  </w:pPr>
                  <w:r w:rsidRPr="006E0F3C">
                    <w:rPr>
                      <w:rFonts w:hint="eastAsia"/>
                    </w:rPr>
                    <w:t>201</w:t>
                  </w:r>
                  <w:r>
                    <w:rPr>
                      <w:rFonts w:hint="eastAsia"/>
                    </w:rPr>
                    <w:t>4</w:t>
                  </w:r>
                  <w:r w:rsidRPr="006E0F3C">
                    <w:rPr>
                      <w:rFonts w:hint="eastAsia"/>
                    </w:rPr>
                    <w:t>年</w:t>
                  </w:r>
                  <w:r w:rsidR="00807390">
                    <w:rPr>
                      <w:rFonts w:hint="eastAsia"/>
                    </w:rPr>
                    <w:t>10</w:t>
                  </w:r>
                  <w:r w:rsidRPr="006E0F3C">
                    <w:rPr>
                      <w:rFonts w:hint="eastAsia"/>
                    </w:rPr>
                    <w:t>月</w:t>
                  </w:r>
                  <w:r>
                    <w:rPr>
                      <w:rFonts w:hint="eastAsia"/>
                    </w:rPr>
                    <w:t>26</w:t>
                  </w:r>
                  <w:r w:rsidRPr="006E0F3C">
                    <w:rPr>
                      <w:rFonts w:hint="eastAsia"/>
                    </w:rPr>
                    <w:t>日</w:t>
                  </w:r>
                </w:p>
              </w:txbxContent>
            </v:textbox>
          </v:shape>
          <v:shape id="_x0000_s2053" type="#_x0000_t202" style="position:absolute;left:3214;top:1377;width:8090;height:1001;mso-height-percent:200;mso-height-percent:200;mso-width-relative:margin;mso-height-relative:margin" strokecolor="white">
            <v:textbox style="mso-next-textbox:#_x0000_s2053;mso-fit-shape-to-text:t">
              <w:txbxContent>
                <w:p w:rsidR="00906A8D" w:rsidRDefault="005D3072" w:rsidP="00B10000">
                  <w:pPr>
                    <w:pStyle w:val="a8"/>
                    <w:jc w:val="right"/>
                  </w:pPr>
                  <w:r>
                    <w:rPr>
                      <w:rFonts w:hint="eastAsia"/>
                    </w:rPr>
                    <w:t>美股港股“双核心”，关注事态锁定收益</w:t>
                  </w:r>
                </w:p>
                <w:p w:rsidR="00906A8D" w:rsidRPr="00624366" w:rsidRDefault="00906A8D" w:rsidP="00B10000">
                  <w:pPr>
                    <w:pStyle w:val="a8"/>
                    <w:jc w:val="right"/>
                    <w:rPr>
                      <w:sz w:val="28"/>
                      <w:szCs w:val="28"/>
                    </w:rPr>
                  </w:pPr>
                  <w:r w:rsidRPr="0024360F">
                    <w:rPr>
                      <w:rFonts w:hint="eastAsia"/>
                      <w:sz w:val="28"/>
                      <w:szCs w:val="28"/>
                    </w:rPr>
                    <w:t>2014年</w:t>
                  </w:r>
                  <w:r w:rsidR="00807390">
                    <w:rPr>
                      <w:rFonts w:hint="eastAsia"/>
                      <w:sz w:val="28"/>
                      <w:szCs w:val="28"/>
                    </w:rPr>
                    <w:t>11月</w:t>
                  </w:r>
                  <w:r w:rsidRPr="0024360F">
                    <w:rPr>
                      <w:rFonts w:hint="eastAsia"/>
                      <w:sz w:val="28"/>
                      <w:szCs w:val="28"/>
                    </w:rPr>
                    <w:t>QDII基金投资策略</w:t>
                  </w:r>
                </w:p>
              </w:txbxContent>
            </v:textbox>
          </v:shape>
          <v:shape id="_x0000_s2054" type="#_x0000_t202" style="position:absolute;left:3246;top:2578;width:7993;height:627" strokecolor="white">
            <v:textbox style="mso-next-textbox:#_x0000_s2054">
              <w:txbxContent>
                <w:p w:rsidR="00906A8D" w:rsidRPr="006E0F3C" w:rsidRDefault="00906A8D" w:rsidP="00923EFC">
                  <w:pPr>
                    <w:pStyle w:val="a9"/>
                  </w:pPr>
                  <w:proofErr w:type="gramStart"/>
                  <w:r>
                    <w:rPr>
                      <w:rFonts w:hint="eastAsia"/>
                    </w:rPr>
                    <w:t>杨舒</w:t>
                  </w:r>
                  <w:proofErr w:type="gramEnd"/>
                  <w:r w:rsidRPr="006E0F3C">
                    <w:rPr>
                      <w:rFonts w:hint="eastAsia"/>
                    </w:rPr>
                    <w:t xml:space="preserve"> </w:t>
                  </w:r>
                  <w:r>
                    <w:rPr>
                      <w:rFonts w:hint="eastAsia"/>
                    </w:rPr>
                    <w:t>高级</w:t>
                  </w:r>
                  <w:r w:rsidRPr="006E0F3C">
                    <w:rPr>
                      <w:rFonts w:hint="eastAsia"/>
                    </w:rPr>
                    <w:t>分析师</w:t>
                  </w:r>
                </w:p>
              </w:txbxContent>
            </v:textbox>
          </v:shape>
          <w10:wrap type="none"/>
          <w10:anchorlock/>
        </v:group>
      </w:pict>
    </w:r>
    <w:r>
      <w:pict>
        <v:rect id="_x0000_i102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1">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3">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cs="Times New Roman" w:hint="default"/>
        <w:color w:val="FF0000"/>
        <w:sz w:val="16"/>
        <w:szCs w:val="16"/>
      </w:rPr>
    </w:lvl>
  </w:abstractNum>
  <w:num w:numId="1">
    <w:abstractNumId w:val="1"/>
  </w:num>
  <w:num w:numId="2">
    <w:abstractNumId w:val="2"/>
  </w:num>
  <w:num w:numId="3">
    <w:abstractNumId w:val="0"/>
  </w:num>
  <w:num w:numId="4">
    <w:abstractNumId w:val="3"/>
  </w:num>
  <w:num w:numId="5">
    <w:abstractNumId w:val="1"/>
  </w:num>
  <w:num w:numId="6">
    <w:abstractNumId w:val="1"/>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7">
    <w:abstractNumId w:val="1"/>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782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0000"/>
    <w:rsid w:val="00001113"/>
    <w:rsid w:val="00001134"/>
    <w:rsid w:val="00001D5C"/>
    <w:rsid w:val="00002264"/>
    <w:rsid w:val="0000342C"/>
    <w:rsid w:val="00004C89"/>
    <w:rsid w:val="00004C9F"/>
    <w:rsid w:val="000054B5"/>
    <w:rsid w:val="00007092"/>
    <w:rsid w:val="00007DF1"/>
    <w:rsid w:val="000106BD"/>
    <w:rsid w:val="0001250E"/>
    <w:rsid w:val="000151D6"/>
    <w:rsid w:val="00016238"/>
    <w:rsid w:val="00016E71"/>
    <w:rsid w:val="00017BB7"/>
    <w:rsid w:val="00023796"/>
    <w:rsid w:val="00024678"/>
    <w:rsid w:val="0002559B"/>
    <w:rsid w:val="00026E09"/>
    <w:rsid w:val="000275D4"/>
    <w:rsid w:val="000278A3"/>
    <w:rsid w:val="0003001E"/>
    <w:rsid w:val="000305E0"/>
    <w:rsid w:val="00030C1A"/>
    <w:rsid w:val="0003225B"/>
    <w:rsid w:val="00032C05"/>
    <w:rsid w:val="00032FF0"/>
    <w:rsid w:val="000333AF"/>
    <w:rsid w:val="00034C20"/>
    <w:rsid w:val="00037334"/>
    <w:rsid w:val="00040949"/>
    <w:rsid w:val="000411B5"/>
    <w:rsid w:val="000413E7"/>
    <w:rsid w:val="00042188"/>
    <w:rsid w:val="000432C9"/>
    <w:rsid w:val="000438EE"/>
    <w:rsid w:val="00044F19"/>
    <w:rsid w:val="0004511C"/>
    <w:rsid w:val="00045244"/>
    <w:rsid w:val="0004630C"/>
    <w:rsid w:val="00050D29"/>
    <w:rsid w:val="0005207E"/>
    <w:rsid w:val="000523A8"/>
    <w:rsid w:val="000525A1"/>
    <w:rsid w:val="00052FAC"/>
    <w:rsid w:val="00053302"/>
    <w:rsid w:val="00053B0E"/>
    <w:rsid w:val="00053B64"/>
    <w:rsid w:val="000548FB"/>
    <w:rsid w:val="00054B0F"/>
    <w:rsid w:val="000577B1"/>
    <w:rsid w:val="00057A76"/>
    <w:rsid w:val="000602EC"/>
    <w:rsid w:val="0006107F"/>
    <w:rsid w:val="000612DF"/>
    <w:rsid w:val="00061495"/>
    <w:rsid w:val="00061CAE"/>
    <w:rsid w:val="0006213B"/>
    <w:rsid w:val="000660CC"/>
    <w:rsid w:val="000701D9"/>
    <w:rsid w:val="00071544"/>
    <w:rsid w:val="00071838"/>
    <w:rsid w:val="00071EEE"/>
    <w:rsid w:val="000723B5"/>
    <w:rsid w:val="0007378F"/>
    <w:rsid w:val="00075461"/>
    <w:rsid w:val="00077CD2"/>
    <w:rsid w:val="0008017C"/>
    <w:rsid w:val="00080A45"/>
    <w:rsid w:val="00081329"/>
    <w:rsid w:val="00082426"/>
    <w:rsid w:val="00083342"/>
    <w:rsid w:val="00084963"/>
    <w:rsid w:val="00084F1F"/>
    <w:rsid w:val="000851DA"/>
    <w:rsid w:val="000855DD"/>
    <w:rsid w:val="00085CC2"/>
    <w:rsid w:val="00085D22"/>
    <w:rsid w:val="00086CA1"/>
    <w:rsid w:val="0008709B"/>
    <w:rsid w:val="00087BA6"/>
    <w:rsid w:val="00092843"/>
    <w:rsid w:val="00092A2F"/>
    <w:rsid w:val="00093196"/>
    <w:rsid w:val="00093CC4"/>
    <w:rsid w:val="00094002"/>
    <w:rsid w:val="00094A05"/>
    <w:rsid w:val="00095FCF"/>
    <w:rsid w:val="0009792D"/>
    <w:rsid w:val="000A1EF9"/>
    <w:rsid w:val="000A2A98"/>
    <w:rsid w:val="000A3446"/>
    <w:rsid w:val="000A3F69"/>
    <w:rsid w:val="000A4368"/>
    <w:rsid w:val="000A49C0"/>
    <w:rsid w:val="000A70F6"/>
    <w:rsid w:val="000A7210"/>
    <w:rsid w:val="000B0CA4"/>
    <w:rsid w:val="000B0DE7"/>
    <w:rsid w:val="000B48DA"/>
    <w:rsid w:val="000B48EC"/>
    <w:rsid w:val="000B4F6C"/>
    <w:rsid w:val="000B53E7"/>
    <w:rsid w:val="000B5ED0"/>
    <w:rsid w:val="000B66DD"/>
    <w:rsid w:val="000B6C23"/>
    <w:rsid w:val="000C00E7"/>
    <w:rsid w:val="000C101D"/>
    <w:rsid w:val="000C1661"/>
    <w:rsid w:val="000C188B"/>
    <w:rsid w:val="000C1903"/>
    <w:rsid w:val="000C1B4D"/>
    <w:rsid w:val="000C2AFE"/>
    <w:rsid w:val="000C2BF6"/>
    <w:rsid w:val="000C2D96"/>
    <w:rsid w:val="000C6264"/>
    <w:rsid w:val="000C65D7"/>
    <w:rsid w:val="000D1663"/>
    <w:rsid w:val="000D255F"/>
    <w:rsid w:val="000D4D06"/>
    <w:rsid w:val="000D54AA"/>
    <w:rsid w:val="000D6608"/>
    <w:rsid w:val="000D7555"/>
    <w:rsid w:val="000E39A7"/>
    <w:rsid w:val="000E3E62"/>
    <w:rsid w:val="000E4347"/>
    <w:rsid w:val="000E43E1"/>
    <w:rsid w:val="000E4F92"/>
    <w:rsid w:val="000E57CE"/>
    <w:rsid w:val="000E60B0"/>
    <w:rsid w:val="000E63CE"/>
    <w:rsid w:val="000E654D"/>
    <w:rsid w:val="000E6595"/>
    <w:rsid w:val="000E6676"/>
    <w:rsid w:val="000F0909"/>
    <w:rsid w:val="000F0E85"/>
    <w:rsid w:val="000F1B1F"/>
    <w:rsid w:val="000F2323"/>
    <w:rsid w:val="000F56DC"/>
    <w:rsid w:val="000F5835"/>
    <w:rsid w:val="000F61AF"/>
    <w:rsid w:val="000F6AC7"/>
    <w:rsid w:val="000F6F13"/>
    <w:rsid w:val="000F7944"/>
    <w:rsid w:val="000F7AB0"/>
    <w:rsid w:val="000F7C30"/>
    <w:rsid w:val="001004C6"/>
    <w:rsid w:val="00101225"/>
    <w:rsid w:val="00101AC8"/>
    <w:rsid w:val="00101B41"/>
    <w:rsid w:val="0010356F"/>
    <w:rsid w:val="00103DC8"/>
    <w:rsid w:val="00103F83"/>
    <w:rsid w:val="001048EB"/>
    <w:rsid w:val="00105074"/>
    <w:rsid w:val="00105AEF"/>
    <w:rsid w:val="00105DEB"/>
    <w:rsid w:val="00106473"/>
    <w:rsid w:val="001102C7"/>
    <w:rsid w:val="0011084D"/>
    <w:rsid w:val="00111800"/>
    <w:rsid w:val="00111A39"/>
    <w:rsid w:val="001122C1"/>
    <w:rsid w:val="001129A7"/>
    <w:rsid w:val="00112A22"/>
    <w:rsid w:val="00113573"/>
    <w:rsid w:val="00114518"/>
    <w:rsid w:val="00115DD5"/>
    <w:rsid w:val="001160EB"/>
    <w:rsid w:val="0011699E"/>
    <w:rsid w:val="00116CE6"/>
    <w:rsid w:val="00117EC2"/>
    <w:rsid w:val="001213BD"/>
    <w:rsid w:val="0012167F"/>
    <w:rsid w:val="0012463C"/>
    <w:rsid w:val="00124F07"/>
    <w:rsid w:val="001259C8"/>
    <w:rsid w:val="00125F8E"/>
    <w:rsid w:val="00126DDF"/>
    <w:rsid w:val="001312F5"/>
    <w:rsid w:val="00131ACF"/>
    <w:rsid w:val="00132468"/>
    <w:rsid w:val="00133243"/>
    <w:rsid w:val="00133CA1"/>
    <w:rsid w:val="00135124"/>
    <w:rsid w:val="00136012"/>
    <w:rsid w:val="001365A6"/>
    <w:rsid w:val="001375D6"/>
    <w:rsid w:val="00137B3F"/>
    <w:rsid w:val="001410E9"/>
    <w:rsid w:val="00144127"/>
    <w:rsid w:val="0014424F"/>
    <w:rsid w:val="001452B9"/>
    <w:rsid w:val="0014766F"/>
    <w:rsid w:val="0015030D"/>
    <w:rsid w:val="001507E1"/>
    <w:rsid w:val="001547D4"/>
    <w:rsid w:val="00155001"/>
    <w:rsid w:val="001558A1"/>
    <w:rsid w:val="00155C41"/>
    <w:rsid w:val="00157B31"/>
    <w:rsid w:val="001602CB"/>
    <w:rsid w:val="001604FB"/>
    <w:rsid w:val="0016073A"/>
    <w:rsid w:val="001607D5"/>
    <w:rsid w:val="00161EF2"/>
    <w:rsid w:val="0016231C"/>
    <w:rsid w:val="00166B49"/>
    <w:rsid w:val="00170096"/>
    <w:rsid w:val="001710A3"/>
    <w:rsid w:val="00171E7C"/>
    <w:rsid w:val="00172285"/>
    <w:rsid w:val="00173423"/>
    <w:rsid w:val="00175064"/>
    <w:rsid w:val="001771A2"/>
    <w:rsid w:val="00181C17"/>
    <w:rsid w:val="00181F3E"/>
    <w:rsid w:val="00182DB8"/>
    <w:rsid w:val="00182FC7"/>
    <w:rsid w:val="0018379B"/>
    <w:rsid w:val="00183EE1"/>
    <w:rsid w:val="00185269"/>
    <w:rsid w:val="001854D5"/>
    <w:rsid w:val="001861F2"/>
    <w:rsid w:val="0018765E"/>
    <w:rsid w:val="00187AEB"/>
    <w:rsid w:val="00191C07"/>
    <w:rsid w:val="00192ECE"/>
    <w:rsid w:val="00193C25"/>
    <w:rsid w:val="00194054"/>
    <w:rsid w:val="001940C0"/>
    <w:rsid w:val="00196353"/>
    <w:rsid w:val="001967DF"/>
    <w:rsid w:val="001A09F5"/>
    <w:rsid w:val="001A1BFB"/>
    <w:rsid w:val="001A389A"/>
    <w:rsid w:val="001A5408"/>
    <w:rsid w:val="001A5D15"/>
    <w:rsid w:val="001A674F"/>
    <w:rsid w:val="001A6932"/>
    <w:rsid w:val="001A69EA"/>
    <w:rsid w:val="001A7688"/>
    <w:rsid w:val="001A7AA3"/>
    <w:rsid w:val="001B0246"/>
    <w:rsid w:val="001B1609"/>
    <w:rsid w:val="001B3F49"/>
    <w:rsid w:val="001B40F7"/>
    <w:rsid w:val="001B43FA"/>
    <w:rsid w:val="001B538F"/>
    <w:rsid w:val="001B57EE"/>
    <w:rsid w:val="001B6F74"/>
    <w:rsid w:val="001B7CE9"/>
    <w:rsid w:val="001C0CF7"/>
    <w:rsid w:val="001C3544"/>
    <w:rsid w:val="001C3E93"/>
    <w:rsid w:val="001C44EB"/>
    <w:rsid w:val="001C4BEA"/>
    <w:rsid w:val="001C57D8"/>
    <w:rsid w:val="001C5CFB"/>
    <w:rsid w:val="001C5DBE"/>
    <w:rsid w:val="001C6281"/>
    <w:rsid w:val="001C675B"/>
    <w:rsid w:val="001C6E8C"/>
    <w:rsid w:val="001C73E7"/>
    <w:rsid w:val="001C7B3E"/>
    <w:rsid w:val="001C7FE8"/>
    <w:rsid w:val="001D000D"/>
    <w:rsid w:val="001D00D7"/>
    <w:rsid w:val="001D0A21"/>
    <w:rsid w:val="001D109E"/>
    <w:rsid w:val="001D25E4"/>
    <w:rsid w:val="001D36B6"/>
    <w:rsid w:val="001D3C19"/>
    <w:rsid w:val="001D504E"/>
    <w:rsid w:val="001D5D6A"/>
    <w:rsid w:val="001D7EE7"/>
    <w:rsid w:val="001D7F5D"/>
    <w:rsid w:val="001E3EEC"/>
    <w:rsid w:val="001E40D5"/>
    <w:rsid w:val="001E4787"/>
    <w:rsid w:val="001E60C8"/>
    <w:rsid w:val="001E61F8"/>
    <w:rsid w:val="001E7636"/>
    <w:rsid w:val="001E7A80"/>
    <w:rsid w:val="001E7DDC"/>
    <w:rsid w:val="001F0B14"/>
    <w:rsid w:val="001F0E37"/>
    <w:rsid w:val="001F1796"/>
    <w:rsid w:val="001F42E5"/>
    <w:rsid w:val="001F4858"/>
    <w:rsid w:val="001F5E3D"/>
    <w:rsid w:val="001F643C"/>
    <w:rsid w:val="001F6E9C"/>
    <w:rsid w:val="001F7132"/>
    <w:rsid w:val="001F730C"/>
    <w:rsid w:val="00200004"/>
    <w:rsid w:val="002011BF"/>
    <w:rsid w:val="00202496"/>
    <w:rsid w:val="00202C2B"/>
    <w:rsid w:val="00202D6B"/>
    <w:rsid w:val="002033B2"/>
    <w:rsid w:val="00204069"/>
    <w:rsid w:val="002040AE"/>
    <w:rsid w:val="00204D26"/>
    <w:rsid w:val="00205B2F"/>
    <w:rsid w:val="00206284"/>
    <w:rsid w:val="002077C9"/>
    <w:rsid w:val="00210515"/>
    <w:rsid w:val="002110BC"/>
    <w:rsid w:val="00214281"/>
    <w:rsid w:val="0021476C"/>
    <w:rsid w:val="00215001"/>
    <w:rsid w:val="0021759F"/>
    <w:rsid w:val="00220991"/>
    <w:rsid w:val="00222885"/>
    <w:rsid w:val="002231FF"/>
    <w:rsid w:val="00223CE2"/>
    <w:rsid w:val="00226E48"/>
    <w:rsid w:val="0022712C"/>
    <w:rsid w:val="002303BD"/>
    <w:rsid w:val="00231106"/>
    <w:rsid w:val="00231667"/>
    <w:rsid w:val="00231F40"/>
    <w:rsid w:val="00231FBD"/>
    <w:rsid w:val="002322C7"/>
    <w:rsid w:val="002336A7"/>
    <w:rsid w:val="00234872"/>
    <w:rsid w:val="002364F4"/>
    <w:rsid w:val="002409A7"/>
    <w:rsid w:val="0024326E"/>
    <w:rsid w:val="0024360F"/>
    <w:rsid w:val="00243A02"/>
    <w:rsid w:val="00245441"/>
    <w:rsid w:val="00246EDF"/>
    <w:rsid w:val="00247B48"/>
    <w:rsid w:val="002512B4"/>
    <w:rsid w:val="002523D0"/>
    <w:rsid w:val="002531ED"/>
    <w:rsid w:val="00253DAE"/>
    <w:rsid w:val="002547C3"/>
    <w:rsid w:val="002549CE"/>
    <w:rsid w:val="0025635B"/>
    <w:rsid w:val="00256A3A"/>
    <w:rsid w:val="00257E61"/>
    <w:rsid w:val="0026039C"/>
    <w:rsid w:val="00260BFA"/>
    <w:rsid w:val="002630FB"/>
    <w:rsid w:val="002654B1"/>
    <w:rsid w:val="0027132E"/>
    <w:rsid w:val="00271636"/>
    <w:rsid w:val="00271F08"/>
    <w:rsid w:val="00272102"/>
    <w:rsid w:val="002740EF"/>
    <w:rsid w:val="00274876"/>
    <w:rsid w:val="002755D5"/>
    <w:rsid w:val="00276646"/>
    <w:rsid w:val="00276873"/>
    <w:rsid w:val="0028002E"/>
    <w:rsid w:val="0028096C"/>
    <w:rsid w:val="00281FBC"/>
    <w:rsid w:val="00282A44"/>
    <w:rsid w:val="002836D2"/>
    <w:rsid w:val="002845EC"/>
    <w:rsid w:val="00286C91"/>
    <w:rsid w:val="00290484"/>
    <w:rsid w:val="00291DCF"/>
    <w:rsid w:val="00292232"/>
    <w:rsid w:val="00292889"/>
    <w:rsid w:val="00293537"/>
    <w:rsid w:val="002938AC"/>
    <w:rsid w:val="00293941"/>
    <w:rsid w:val="00294162"/>
    <w:rsid w:val="0029560B"/>
    <w:rsid w:val="00296A12"/>
    <w:rsid w:val="00297C75"/>
    <w:rsid w:val="002A178C"/>
    <w:rsid w:val="002A1D0B"/>
    <w:rsid w:val="002A1D90"/>
    <w:rsid w:val="002A28B4"/>
    <w:rsid w:val="002A48EC"/>
    <w:rsid w:val="002A592E"/>
    <w:rsid w:val="002A68F9"/>
    <w:rsid w:val="002A7947"/>
    <w:rsid w:val="002B0B15"/>
    <w:rsid w:val="002B0CF5"/>
    <w:rsid w:val="002B0E9C"/>
    <w:rsid w:val="002B12A9"/>
    <w:rsid w:val="002B1402"/>
    <w:rsid w:val="002B20ED"/>
    <w:rsid w:val="002B5A4A"/>
    <w:rsid w:val="002B600C"/>
    <w:rsid w:val="002B62C9"/>
    <w:rsid w:val="002B6E31"/>
    <w:rsid w:val="002B74C1"/>
    <w:rsid w:val="002B7F29"/>
    <w:rsid w:val="002C111A"/>
    <w:rsid w:val="002C1EAE"/>
    <w:rsid w:val="002C376F"/>
    <w:rsid w:val="002C3C7E"/>
    <w:rsid w:val="002C4258"/>
    <w:rsid w:val="002C5411"/>
    <w:rsid w:val="002C627D"/>
    <w:rsid w:val="002C6474"/>
    <w:rsid w:val="002C7FF5"/>
    <w:rsid w:val="002D0407"/>
    <w:rsid w:val="002D0519"/>
    <w:rsid w:val="002D303F"/>
    <w:rsid w:val="002D3525"/>
    <w:rsid w:val="002D3E44"/>
    <w:rsid w:val="002D51F9"/>
    <w:rsid w:val="002E0474"/>
    <w:rsid w:val="002E0AE5"/>
    <w:rsid w:val="002E3746"/>
    <w:rsid w:val="002E56DB"/>
    <w:rsid w:val="002E60F9"/>
    <w:rsid w:val="002E6539"/>
    <w:rsid w:val="002E7217"/>
    <w:rsid w:val="002E794A"/>
    <w:rsid w:val="002F2229"/>
    <w:rsid w:val="002F258E"/>
    <w:rsid w:val="002F2BEE"/>
    <w:rsid w:val="002F3BD4"/>
    <w:rsid w:val="002F3C81"/>
    <w:rsid w:val="002F5431"/>
    <w:rsid w:val="002F60C2"/>
    <w:rsid w:val="002F7B2B"/>
    <w:rsid w:val="002F7C37"/>
    <w:rsid w:val="00300798"/>
    <w:rsid w:val="00300BA1"/>
    <w:rsid w:val="00302431"/>
    <w:rsid w:val="003031CC"/>
    <w:rsid w:val="003036EF"/>
    <w:rsid w:val="003039BE"/>
    <w:rsid w:val="00304156"/>
    <w:rsid w:val="00304166"/>
    <w:rsid w:val="00304A10"/>
    <w:rsid w:val="003059FD"/>
    <w:rsid w:val="00305C2C"/>
    <w:rsid w:val="00305FAE"/>
    <w:rsid w:val="00306DF5"/>
    <w:rsid w:val="00307A22"/>
    <w:rsid w:val="00310654"/>
    <w:rsid w:val="00313CFF"/>
    <w:rsid w:val="00313D2F"/>
    <w:rsid w:val="00313E06"/>
    <w:rsid w:val="003141DC"/>
    <w:rsid w:val="00314423"/>
    <w:rsid w:val="0031652C"/>
    <w:rsid w:val="00317EB6"/>
    <w:rsid w:val="003209D1"/>
    <w:rsid w:val="00320CA6"/>
    <w:rsid w:val="00320F16"/>
    <w:rsid w:val="0032164A"/>
    <w:rsid w:val="003229FF"/>
    <w:rsid w:val="00322B96"/>
    <w:rsid w:val="003238E9"/>
    <w:rsid w:val="00324B6F"/>
    <w:rsid w:val="0032573F"/>
    <w:rsid w:val="00326376"/>
    <w:rsid w:val="003273A2"/>
    <w:rsid w:val="00327CE3"/>
    <w:rsid w:val="003302C8"/>
    <w:rsid w:val="00330D03"/>
    <w:rsid w:val="00330DE1"/>
    <w:rsid w:val="00333038"/>
    <w:rsid w:val="00333E93"/>
    <w:rsid w:val="00333EE2"/>
    <w:rsid w:val="00333EF1"/>
    <w:rsid w:val="003349E5"/>
    <w:rsid w:val="00335FA5"/>
    <w:rsid w:val="0033611E"/>
    <w:rsid w:val="0033663A"/>
    <w:rsid w:val="003366CA"/>
    <w:rsid w:val="003371B6"/>
    <w:rsid w:val="00337304"/>
    <w:rsid w:val="00337589"/>
    <w:rsid w:val="003377DE"/>
    <w:rsid w:val="00337C7C"/>
    <w:rsid w:val="00340D1E"/>
    <w:rsid w:val="00340F68"/>
    <w:rsid w:val="0034163A"/>
    <w:rsid w:val="00343F99"/>
    <w:rsid w:val="003444E9"/>
    <w:rsid w:val="0034660C"/>
    <w:rsid w:val="003504AB"/>
    <w:rsid w:val="00350615"/>
    <w:rsid w:val="003507D2"/>
    <w:rsid w:val="003511EC"/>
    <w:rsid w:val="003512B1"/>
    <w:rsid w:val="00351343"/>
    <w:rsid w:val="00351CE5"/>
    <w:rsid w:val="0035209B"/>
    <w:rsid w:val="003523C0"/>
    <w:rsid w:val="00354BF2"/>
    <w:rsid w:val="00354F6B"/>
    <w:rsid w:val="00356B09"/>
    <w:rsid w:val="003601D7"/>
    <w:rsid w:val="00360B5A"/>
    <w:rsid w:val="00361E36"/>
    <w:rsid w:val="003629A1"/>
    <w:rsid w:val="00363DD9"/>
    <w:rsid w:val="003663C7"/>
    <w:rsid w:val="00367156"/>
    <w:rsid w:val="00367B88"/>
    <w:rsid w:val="00370865"/>
    <w:rsid w:val="003719D4"/>
    <w:rsid w:val="0037339B"/>
    <w:rsid w:val="00373A5C"/>
    <w:rsid w:val="003777DA"/>
    <w:rsid w:val="00377B94"/>
    <w:rsid w:val="00377EF0"/>
    <w:rsid w:val="0038093F"/>
    <w:rsid w:val="0038252C"/>
    <w:rsid w:val="00383546"/>
    <w:rsid w:val="003842FA"/>
    <w:rsid w:val="00385B91"/>
    <w:rsid w:val="00386167"/>
    <w:rsid w:val="00386A79"/>
    <w:rsid w:val="00386EAC"/>
    <w:rsid w:val="00391A99"/>
    <w:rsid w:val="00391D1E"/>
    <w:rsid w:val="0039237C"/>
    <w:rsid w:val="00392AE5"/>
    <w:rsid w:val="00392EBA"/>
    <w:rsid w:val="00396141"/>
    <w:rsid w:val="00396479"/>
    <w:rsid w:val="00396EA8"/>
    <w:rsid w:val="003A0409"/>
    <w:rsid w:val="003A5FC7"/>
    <w:rsid w:val="003A6147"/>
    <w:rsid w:val="003A6B50"/>
    <w:rsid w:val="003B45D3"/>
    <w:rsid w:val="003B4EDA"/>
    <w:rsid w:val="003B6E18"/>
    <w:rsid w:val="003B7474"/>
    <w:rsid w:val="003B7602"/>
    <w:rsid w:val="003C0326"/>
    <w:rsid w:val="003C1E43"/>
    <w:rsid w:val="003C206D"/>
    <w:rsid w:val="003C6111"/>
    <w:rsid w:val="003C71BA"/>
    <w:rsid w:val="003D250A"/>
    <w:rsid w:val="003D516C"/>
    <w:rsid w:val="003D58B0"/>
    <w:rsid w:val="003D5C36"/>
    <w:rsid w:val="003D5D16"/>
    <w:rsid w:val="003E2F42"/>
    <w:rsid w:val="003E32B6"/>
    <w:rsid w:val="003E4988"/>
    <w:rsid w:val="003E595A"/>
    <w:rsid w:val="003E5A5B"/>
    <w:rsid w:val="003F0277"/>
    <w:rsid w:val="003F3A79"/>
    <w:rsid w:val="003F4D5D"/>
    <w:rsid w:val="003F591F"/>
    <w:rsid w:val="003F6CBD"/>
    <w:rsid w:val="003F7523"/>
    <w:rsid w:val="003F7539"/>
    <w:rsid w:val="003F784D"/>
    <w:rsid w:val="0040088A"/>
    <w:rsid w:val="0040281B"/>
    <w:rsid w:val="00402AD8"/>
    <w:rsid w:val="0040556B"/>
    <w:rsid w:val="0040586C"/>
    <w:rsid w:val="00405F92"/>
    <w:rsid w:val="004063EB"/>
    <w:rsid w:val="0041069E"/>
    <w:rsid w:val="004106BF"/>
    <w:rsid w:val="00410B47"/>
    <w:rsid w:val="0041171D"/>
    <w:rsid w:val="00411A1A"/>
    <w:rsid w:val="00411CAE"/>
    <w:rsid w:val="004126F6"/>
    <w:rsid w:val="004144AF"/>
    <w:rsid w:val="004149CA"/>
    <w:rsid w:val="0041626F"/>
    <w:rsid w:val="00417B80"/>
    <w:rsid w:val="0042139F"/>
    <w:rsid w:val="00423564"/>
    <w:rsid w:val="00424479"/>
    <w:rsid w:val="004246A7"/>
    <w:rsid w:val="00424971"/>
    <w:rsid w:val="00425540"/>
    <w:rsid w:val="004273E5"/>
    <w:rsid w:val="00431666"/>
    <w:rsid w:val="004322FC"/>
    <w:rsid w:val="00432DB1"/>
    <w:rsid w:val="00432EE0"/>
    <w:rsid w:val="0043361C"/>
    <w:rsid w:val="0043613D"/>
    <w:rsid w:val="004374E7"/>
    <w:rsid w:val="004403FF"/>
    <w:rsid w:val="004407C3"/>
    <w:rsid w:val="004417AE"/>
    <w:rsid w:val="004422AC"/>
    <w:rsid w:val="00442D74"/>
    <w:rsid w:val="004432DC"/>
    <w:rsid w:val="00443A55"/>
    <w:rsid w:val="00443BC8"/>
    <w:rsid w:val="0044427B"/>
    <w:rsid w:val="00444F64"/>
    <w:rsid w:val="00445DD5"/>
    <w:rsid w:val="0044602F"/>
    <w:rsid w:val="004465BB"/>
    <w:rsid w:val="00447935"/>
    <w:rsid w:val="00447CB6"/>
    <w:rsid w:val="004523F0"/>
    <w:rsid w:val="00454576"/>
    <w:rsid w:val="00454EB4"/>
    <w:rsid w:val="00457391"/>
    <w:rsid w:val="0045777C"/>
    <w:rsid w:val="00457CD4"/>
    <w:rsid w:val="00460787"/>
    <w:rsid w:val="00460EBB"/>
    <w:rsid w:val="00461106"/>
    <w:rsid w:val="00461431"/>
    <w:rsid w:val="00461D50"/>
    <w:rsid w:val="0046257E"/>
    <w:rsid w:val="004625B9"/>
    <w:rsid w:val="00462B33"/>
    <w:rsid w:val="0046397E"/>
    <w:rsid w:val="00464AC0"/>
    <w:rsid w:val="00465A4A"/>
    <w:rsid w:val="00466214"/>
    <w:rsid w:val="004705E4"/>
    <w:rsid w:val="004709C6"/>
    <w:rsid w:val="00470B7F"/>
    <w:rsid w:val="00470BD2"/>
    <w:rsid w:val="00470E05"/>
    <w:rsid w:val="00471193"/>
    <w:rsid w:val="00471778"/>
    <w:rsid w:val="00471F2C"/>
    <w:rsid w:val="00473690"/>
    <w:rsid w:val="00473F0A"/>
    <w:rsid w:val="00474B84"/>
    <w:rsid w:val="0047514A"/>
    <w:rsid w:val="00475632"/>
    <w:rsid w:val="00476223"/>
    <w:rsid w:val="004766E1"/>
    <w:rsid w:val="00480A22"/>
    <w:rsid w:val="00480A95"/>
    <w:rsid w:val="0048171D"/>
    <w:rsid w:val="00483AF9"/>
    <w:rsid w:val="00484324"/>
    <w:rsid w:val="004846AD"/>
    <w:rsid w:val="00484937"/>
    <w:rsid w:val="00485950"/>
    <w:rsid w:val="00485F74"/>
    <w:rsid w:val="00486443"/>
    <w:rsid w:val="00486A4A"/>
    <w:rsid w:val="0048718C"/>
    <w:rsid w:val="00490A8E"/>
    <w:rsid w:val="004922AA"/>
    <w:rsid w:val="0049296B"/>
    <w:rsid w:val="00495689"/>
    <w:rsid w:val="004963A8"/>
    <w:rsid w:val="004965CC"/>
    <w:rsid w:val="00497958"/>
    <w:rsid w:val="004A042D"/>
    <w:rsid w:val="004A120D"/>
    <w:rsid w:val="004A15D7"/>
    <w:rsid w:val="004A239F"/>
    <w:rsid w:val="004A2ACB"/>
    <w:rsid w:val="004A399B"/>
    <w:rsid w:val="004A3A81"/>
    <w:rsid w:val="004A61EA"/>
    <w:rsid w:val="004A6604"/>
    <w:rsid w:val="004A6FDD"/>
    <w:rsid w:val="004A71D6"/>
    <w:rsid w:val="004A725C"/>
    <w:rsid w:val="004B09AF"/>
    <w:rsid w:val="004B1398"/>
    <w:rsid w:val="004B4236"/>
    <w:rsid w:val="004B4281"/>
    <w:rsid w:val="004B62C0"/>
    <w:rsid w:val="004B6450"/>
    <w:rsid w:val="004B7A2A"/>
    <w:rsid w:val="004B7FB6"/>
    <w:rsid w:val="004C08D8"/>
    <w:rsid w:val="004C10B7"/>
    <w:rsid w:val="004C12DA"/>
    <w:rsid w:val="004C29B9"/>
    <w:rsid w:val="004C397F"/>
    <w:rsid w:val="004C4B2E"/>
    <w:rsid w:val="004C5E76"/>
    <w:rsid w:val="004C6F72"/>
    <w:rsid w:val="004C722B"/>
    <w:rsid w:val="004C745A"/>
    <w:rsid w:val="004C7DD1"/>
    <w:rsid w:val="004D26AD"/>
    <w:rsid w:val="004D2EB7"/>
    <w:rsid w:val="004D5065"/>
    <w:rsid w:val="004D511C"/>
    <w:rsid w:val="004D59A9"/>
    <w:rsid w:val="004D6918"/>
    <w:rsid w:val="004D78C4"/>
    <w:rsid w:val="004E0475"/>
    <w:rsid w:val="004E08DD"/>
    <w:rsid w:val="004E1201"/>
    <w:rsid w:val="004E13A6"/>
    <w:rsid w:val="004E43BE"/>
    <w:rsid w:val="004E5A60"/>
    <w:rsid w:val="004E7283"/>
    <w:rsid w:val="004E7CD3"/>
    <w:rsid w:val="004F00E9"/>
    <w:rsid w:val="004F089F"/>
    <w:rsid w:val="004F2215"/>
    <w:rsid w:val="004F3768"/>
    <w:rsid w:val="004F4040"/>
    <w:rsid w:val="004F5DA2"/>
    <w:rsid w:val="004F5F12"/>
    <w:rsid w:val="004F609C"/>
    <w:rsid w:val="004F7FEC"/>
    <w:rsid w:val="005011F5"/>
    <w:rsid w:val="0050169D"/>
    <w:rsid w:val="0050238B"/>
    <w:rsid w:val="00502C9B"/>
    <w:rsid w:val="00503D01"/>
    <w:rsid w:val="00504684"/>
    <w:rsid w:val="005046E1"/>
    <w:rsid w:val="00505499"/>
    <w:rsid w:val="00507DE8"/>
    <w:rsid w:val="00511AD7"/>
    <w:rsid w:val="00511FB9"/>
    <w:rsid w:val="005125F9"/>
    <w:rsid w:val="00512FDB"/>
    <w:rsid w:val="00514135"/>
    <w:rsid w:val="00516030"/>
    <w:rsid w:val="00516843"/>
    <w:rsid w:val="00516F46"/>
    <w:rsid w:val="005177F0"/>
    <w:rsid w:val="00517E93"/>
    <w:rsid w:val="00521693"/>
    <w:rsid w:val="00523F23"/>
    <w:rsid w:val="00524229"/>
    <w:rsid w:val="00524B1D"/>
    <w:rsid w:val="005258AD"/>
    <w:rsid w:val="005258BD"/>
    <w:rsid w:val="00525D9A"/>
    <w:rsid w:val="00525FCF"/>
    <w:rsid w:val="0052728C"/>
    <w:rsid w:val="00527682"/>
    <w:rsid w:val="00527E0E"/>
    <w:rsid w:val="00530381"/>
    <w:rsid w:val="0053086C"/>
    <w:rsid w:val="0053146C"/>
    <w:rsid w:val="0053289C"/>
    <w:rsid w:val="005329DA"/>
    <w:rsid w:val="00532D5E"/>
    <w:rsid w:val="005335FB"/>
    <w:rsid w:val="0053468E"/>
    <w:rsid w:val="00534DB0"/>
    <w:rsid w:val="005363FB"/>
    <w:rsid w:val="005369F2"/>
    <w:rsid w:val="00537FF5"/>
    <w:rsid w:val="00540C5F"/>
    <w:rsid w:val="00540ECB"/>
    <w:rsid w:val="00541147"/>
    <w:rsid w:val="00541C85"/>
    <w:rsid w:val="00541D5F"/>
    <w:rsid w:val="00542085"/>
    <w:rsid w:val="00542A23"/>
    <w:rsid w:val="00543FC7"/>
    <w:rsid w:val="005441FC"/>
    <w:rsid w:val="00544244"/>
    <w:rsid w:val="005450EC"/>
    <w:rsid w:val="005457C5"/>
    <w:rsid w:val="005458DD"/>
    <w:rsid w:val="0054605E"/>
    <w:rsid w:val="005464D1"/>
    <w:rsid w:val="005468F3"/>
    <w:rsid w:val="00547B4F"/>
    <w:rsid w:val="00552230"/>
    <w:rsid w:val="00553335"/>
    <w:rsid w:val="0055394A"/>
    <w:rsid w:val="005547AF"/>
    <w:rsid w:val="0055503A"/>
    <w:rsid w:val="005550F6"/>
    <w:rsid w:val="00561462"/>
    <w:rsid w:val="00561EA3"/>
    <w:rsid w:val="00561FD7"/>
    <w:rsid w:val="00562256"/>
    <w:rsid w:val="00562AA0"/>
    <w:rsid w:val="005631C9"/>
    <w:rsid w:val="0056561D"/>
    <w:rsid w:val="00567D67"/>
    <w:rsid w:val="0057223F"/>
    <w:rsid w:val="00572623"/>
    <w:rsid w:val="005726C2"/>
    <w:rsid w:val="0057429F"/>
    <w:rsid w:val="00574C9B"/>
    <w:rsid w:val="005769A3"/>
    <w:rsid w:val="00576BF7"/>
    <w:rsid w:val="005775C2"/>
    <w:rsid w:val="00577F2A"/>
    <w:rsid w:val="00580617"/>
    <w:rsid w:val="00580FA7"/>
    <w:rsid w:val="005853D6"/>
    <w:rsid w:val="00585B31"/>
    <w:rsid w:val="005873FA"/>
    <w:rsid w:val="005915EE"/>
    <w:rsid w:val="00591F92"/>
    <w:rsid w:val="00592FF5"/>
    <w:rsid w:val="005931A6"/>
    <w:rsid w:val="00593904"/>
    <w:rsid w:val="00593E61"/>
    <w:rsid w:val="00593EBD"/>
    <w:rsid w:val="00596031"/>
    <w:rsid w:val="00596E40"/>
    <w:rsid w:val="00597FD6"/>
    <w:rsid w:val="00597FFD"/>
    <w:rsid w:val="005A144D"/>
    <w:rsid w:val="005A1B11"/>
    <w:rsid w:val="005A341F"/>
    <w:rsid w:val="005A3F10"/>
    <w:rsid w:val="005A3FD6"/>
    <w:rsid w:val="005A516C"/>
    <w:rsid w:val="005A540D"/>
    <w:rsid w:val="005A5965"/>
    <w:rsid w:val="005A5DE2"/>
    <w:rsid w:val="005A5F7A"/>
    <w:rsid w:val="005B28B3"/>
    <w:rsid w:val="005B39E8"/>
    <w:rsid w:val="005B39F0"/>
    <w:rsid w:val="005B3C1B"/>
    <w:rsid w:val="005B6312"/>
    <w:rsid w:val="005B714C"/>
    <w:rsid w:val="005C04C9"/>
    <w:rsid w:val="005C0D02"/>
    <w:rsid w:val="005C4A2D"/>
    <w:rsid w:val="005C4FC7"/>
    <w:rsid w:val="005C5532"/>
    <w:rsid w:val="005C7C19"/>
    <w:rsid w:val="005D1897"/>
    <w:rsid w:val="005D3072"/>
    <w:rsid w:val="005D46B4"/>
    <w:rsid w:val="005D4780"/>
    <w:rsid w:val="005D485D"/>
    <w:rsid w:val="005D6771"/>
    <w:rsid w:val="005D766F"/>
    <w:rsid w:val="005D79D8"/>
    <w:rsid w:val="005E1C52"/>
    <w:rsid w:val="005E2323"/>
    <w:rsid w:val="005E26B9"/>
    <w:rsid w:val="005E319C"/>
    <w:rsid w:val="005E37D0"/>
    <w:rsid w:val="005E4D6F"/>
    <w:rsid w:val="005E7EDB"/>
    <w:rsid w:val="005F237F"/>
    <w:rsid w:val="005F2537"/>
    <w:rsid w:val="005F36BE"/>
    <w:rsid w:val="005F50B8"/>
    <w:rsid w:val="005F5479"/>
    <w:rsid w:val="005F583C"/>
    <w:rsid w:val="005F58E3"/>
    <w:rsid w:val="005F5997"/>
    <w:rsid w:val="005F5E5D"/>
    <w:rsid w:val="005F68FB"/>
    <w:rsid w:val="005F6A97"/>
    <w:rsid w:val="005F6BD4"/>
    <w:rsid w:val="005F6E6B"/>
    <w:rsid w:val="006001D3"/>
    <w:rsid w:val="0060046D"/>
    <w:rsid w:val="00602D41"/>
    <w:rsid w:val="00603D57"/>
    <w:rsid w:val="00607330"/>
    <w:rsid w:val="0060777C"/>
    <w:rsid w:val="0061150E"/>
    <w:rsid w:val="00611AF7"/>
    <w:rsid w:val="00612B80"/>
    <w:rsid w:val="00612F71"/>
    <w:rsid w:val="00613AFC"/>
    <w:rsid w:val="00614E0D"/>
    <w:rsid w:val="00615A49"/>
    <w:rsid w:val="00615D0A"/>
    <w:rsid w:val="006160C8"/>
    <w:rsid w:val="00616AE6"/>
    <w:rsid w:val="00620D5E"/>
    <w:rsid w:val="00621C1F"/>
    <w:rsid w:val="00621E3B"/>
    <w:rsid w:val="006220F7"/>
    <w:rsid w:val="00622EF3"/>
    <w:rsid w:val="00623C62"/>
    <w:rsid w:val="00623CC0"/>
    <w:rsid w:val="00623CD9"/>
    <w:rsid w:val="00624255"/>
    <w:rsid w:val="00624902"/>
    <w:rsid w:val="00625426"/>
    <w:rsid w:val="00630885"/>
    <w:rsid w:val="0063114B"/>
    <w:rsid w:val="0063189A"/>
    <w:rsid w:val="00631D42"/>
    <w:rsid w:val="006322BE"/>
    <w:rsid w:val="00634F30"/>
    <w:rsid w:val="00635E4C"/>
    <w:rsid w:val="00636233"/>
    <w:rsid w:val="006372EB"/>
    <w:rsid w:val="00640063"/>
    <w:rsid w:val="00640F6F"/>
    <w:rsid w:val="006412FD"/>
    <w:rsid w:val="00641A96"/>
    <w:rsid w:val="00643C13"/>
    <w:rsid w:val="00644949"/>
    <w:rsid w:val="0064512C"/>
    <w:rsid w:val="00645267"/>
    <w:rsid w:val="0064533A"/>
    <w:rsid w:val="00645452"/>
    <w:rsid w:val="006459A3"/>
    <w:rsid w:val="006462D5"/>
    <w:rsid w:val="0064682D"/>
    <w:rsid w:val="006504A4"/>
    <w:rsid w:val="006519E7"/>
    <w:rsid w:val="006533D7"/>
    <w:rsid w:val="0065483E"/>
    <w:rsid w:val="00656031"/>
    <w:rsid w:val="00656F8E"/>
    <w:rsid w:val="00657E45"/>
    <w:rsid w:val="0066194A"/>
    <w:rsid w:val="00661C93"/>
    <w:rsid w:val="00663446"/>
    <w:rsid w:val="0066346C"/>
    <w:rsid w:val="00663907"/>
    <w:rsid w:val="0066419F"/>
    <w:rsid w:val="00664B3A"/>
    <w:rsid w:val="00665317"/>
    <w:rsid w:val="006656D3"/>
    <w:rsid w:val="00665F02"/>
    <w:rsid w:val="0066770A"/>
    <w:rsid w:val="00667D03"/>
    <w:rsid w:val="0067045E"/>
    <w:rsid w:val="00670E59"/>
    <w:rsid w:val="00671545"/>
    <w:rsid w:val="00672209"/>
    <w:rsid w:val="006728D5"/>
    <w:rsid w:val="00672FFE"/>
    <w:rsid w:val="006749B7"/>
    <w:rsid w:val="00675A71"/>
    <w:rsid w:val="00680A06"/>
    <w:rsid w:val="0068284E"/>
    <w:rsid w:val="00683039"/>
    <w:rsid w:val="00683842"/>
    <w:rsid w:val="006840AC"/>
    <w:rsid w:val="006845E1"/>
    <w:rsid w:val="00685C11"/>
    <w:rsid w:val="00685C4C"/>
    <w:rsid w:val="006866C5"/>
    <w:rsid w:val="006868AC"/>
    <w:rsid w:val="00686EEB"/>
    <w:rsid w:val="0068772B"/>
    <w:rsid w:val="00690040"/>
    <w:rsid w:val="00690887"/>
    <w:rsid w:val="00691F97"/>
    <w:rsid w:val="00695146"/>
    <w:rsid w:val="00695441"/>
    <w:rsid w:val="006968B9"/>
    <w:rsid w:val="00696E0C"/>
    <w:rsid w:val="00697A97"/>
    <w:rsid w:val="00697B37"/>
    <w:rsid w:val="006A044C"/>
    <w:rsid w:val="006A069E"/>
    <w:rsid w:val="006A20FA"/>
    <w:rsid w:val="006A3F05"/>
    <w:rsid w:val="006A43BF"/>
    <w:rsid w:val="006A47BF"/>
    <w:rsid w:val="006A5C33"/>
    <w:rsid w:val="006A7504"/>
    <w:rsid w:val="006B01C7"/>
    <w:rsid w:val="006B0CD3"/>
    <w:rsid w:val="006B2138"/>
    <w:rsid w:val="006B29B2"/>
    <w:rsid w:val="006B2CD2"/>
    <w:rsid w:val="006B3615"/>
    <w:rsid w:val="006B5100"/>
    <w:rsid w:val="006B5153"/>
    <w:rsid w:val="006B555B"/>
    <w:rsid w:val="006B57C8"/>
    <w:rsid w:val="006C0A93"/>
    <w:rsid w:val="006C1184"/>
    <w:rsid w:val="006C184A"/>
    <w:rsid w:val="006C2A7A"/>
    <w:rsid w:val="006C3DC1"/>
    <w:rsid w:val="006C4947"/>
    <w:rsid w:val="006C4E3A"/>
    <w:rsid w:val="006C5D09"/>
    <w:rsid w:val="006C619C"/>
    <w:rsid w:val="006C7774"/>
    <w:rsid w:val="006D223D"/>
    <w:rsid w:val="006D2714"/>
    <w:rsid w:val="006D6C90"/>
    <w:rsid w:val="006D7395"/>
    <w:rsid w:val="006E0C49"/>
    <w:rsid w:val="006E0DF5"/>
    <w:rsid w:val="006E18E9"/>
    <w:rsid w:val="006E2421"/>
    <w:rsid w:val="006E4998"/>
    <w:rsid w:val="006E4B5D"/>
    <w:rsid w:val="006E568B"/>
    <w:rsid w:val="006E5BF7"/>
    <w:rsid w:val="006E5F58"/>
    <w:rsid w:val="006E7871"/>
    <w:rsid w:val="006F0431"/>
    <w:rsid w:val="006F09E1"/>
    <w:rsid w:val="006F10A3"/>
    <w:rsid w:val="006F6C09"/>
    <w:rsid w:val="006F6D50"/>
    <w:rsid w:val="00701EDE"/>
    <w:rsid w:val="007029E7"/>
    <w:rsid w:val="00702C64"/>
    <w:rsid w:val="00704EB2"/>
    <w:rsid w:val="00705104"/>
    <w:rsid w:val="00707920"/>
    <w:rsid w:val="0071124A"/>
    <w:rsid w:val="007122B9"/>
    <w:rsid w:val="00714187"/>
    <w:rsid w:val="00714F74"/>
    <w:rsid w:val="007159AB"/>
    <w:rsid w:val="00720622"/>
    <w:rsid w:val="00720691"/>
    <w:rsid w:val="007206C9"/>
    <w:rsid w:val="00721493"/>
    <w:rsid w:val="007221D0"/>
    <w:rsid w:val="007258CB"/>
    <w:rsid w:val="00725D17"/>
    <w:rsid w:val="0072608C"/>
    <w:rsid w:val="00726CC9"/>
    <w:rsid w:val="00727661"/>
    <w:rsid w:val="00727788"/>
    <w:rsid w:val="00730093"/>
    <w:rsid w:val="0073073C"/>
    <w:rsid w:val="007317FA"/>
    <w:rsid w:val="00732C19"/>
    <w:rsid w:val="00733854"/>
    <w:rsid w:val="00733A6E"/>
    <w:rsid w:val="00736E5E"/>
    <w:rsid w:val="0073702E"/>
    <w:rsid w:val="007379A8"/>
    <w:rsid w:val="00740203"/>
    <w:rsid w:val="00740F0E"/>
    <w:rsid w:val="00741A77"/>
    <w:rsid w:val="00741D9C"/>
    <w:rsid w:val="007436D0"/>
    <w:rsid w:val="0074453A"/>
    <w:rsid w:val="00744760"/>
    <w:rsid w:val="00744C0C"/>
    <w:rsid w:val="0074574D"/>
    <w:rsid w:val="00746D3D"/>
    <w:rsid w:val="00746DC1"/>
    <w:rsid w:val="0074705F"/>
    <w:rsid w:val="00750303"/>
    <w:rsid w:val="007504CC"/>
    <w:rsid w:val="00752973"/>
    <w:rsid w:val="00752A4A"/>
    <w:rsid w:val="00752BF9"/>
    <w:rsid w:val="0075587B"/>
    <w:rsid w:val="0075590E"/>
    <w:rsid w:val="007560E1"/>
    <w:rsid w:val="007627D6"/>
    <w:rsid w:val="007633D2"/>
    <w:rsid w:val="007652C4"/>
    <w:rsid w:val="00765836"/>
    <w:rsid w:val="007659A0"/>
    <w:rsid w:val="007661FF"/>
    <w:rsid w:val="007664D4"/>
    <w:rsid w:val="00766D34"/>
    <w:rsid w:val="00766FBF"/>
    <w:rsid w:val="0076742E"/>
    <w:rsid w:val="00770AE1"/>
    <w:rsid w:val="00770C89"/>
    <w:rsid w:val="00771C36"/>
    <w:rsid w:val="00773E0B"/>
    <w:rsid w:val="0077499A"/>
    <w:rsid w:val="007760BE"/>
    <w:rsid w:val="007765F1"/>
    <w:rsid w:val="00777F44"/>
    <w:rsid w:val="00780D95"/>
    <w:rsid w:val="00781486"/>
    <w:rsid w:val="00781702"/>
    <w:rsid w:val="00782BF4"/>
    <w:rsid w:val="0078623E"/>
    <w:rsid w:val="007863EC"/>
    <w:rsid w:val="00787C48"/>
    <w:rsid w:val="007910D2"/>
    <w:rsid w:val="00793162"/>
    <w:rsid w:val="00793969"/>
    <w:rsid w:val="007951DF"/>
    <w:rsid w:val="007A06AE"/>
    <w:rsid w:val="007A0D5C"/>
    <w:rsid w:val="007A258C"/>
    <w:rsid w:val="007A391F"/>
    <w:rsid w:val="007A3D70"/>
    <w:rsid w:val="007A4147"/>
    <w:rsid w:val="007A7488"/>
    <w:rsid w:val="007B0108"/>
    <w:rsid w:val="007B0627"/>
    <w:rsid w:val="007B14FA"/>
    <w:rsid w:val="007B1600"/>
    <w:rsid w:val="007B17FB"/>
    <w:rsid w:val="007B1D00"/>
    <w:rsid w:val="007B1E91"/>
    <w:rsid w:val="007B3754"/>
    <w:rsid w:val="007B4609"/>
    <w:rsid w:val="007B4618"/>
    <w:rsid w:val="007B4997"/>
    <w:rsid w:val="007B56B3"/>
    <w:rsid w:val="007B5C89"/>
    <w:rsid w:val="007C0FD9"/>
    <w:rsid w:val="007C0FFD"/>
    <w:rsid w:val="007C1E9F"/>
    <w:rsid w:val="007C2AAD"/>
    <w:rsid w:val="007C2F05"/>
    <w:rsid w:val="007C3807"/>
    <w:rsid w:val="007C3BC4"/>
    <w:rsid w:val="007C3E23"/>
    <w:rsid w:val="007C4530"/>
    <w:rsid w:val="007C47B9"/>
    <w:rsid w:val="007C480A"/>
    <w:rsid w:val="007C608C"/>
    <w:rsid w:val="007C78CE"/>
    <w:rsid w:val="007D0E44"/>
    <w:rsid w:val="007D1ACC"/>
    <w:rsid w:val="007D1F59"/>
    <w:rsid w:val="007D20E6"/>
    <w:rsid w:val="007D43ED"/>
    <w:rsid w:val="007D4AC3"/>
    <w:rsid w:val="007D4B16"/>
    <w:rsid w:val="007D4B9D"/>
    <w:rsid w:val="007D5086"/>
    <w:rsid w:val="007D553A"/>
    <w:rsid w:val="007D720C"/>
    <w:rsid w:val="007E0A2D"/>
    <w:rsid w:val="007E1652"/>
    <w:rsid w:val="007E1905"/>
    <w:rsid w:val="007E2655"/>
    <w:rsid w:val="007E3C06"/>
    <w:rsid w:val="007E4CCC"/>
    <w:rsid w:val="007E4E35"/>
    <w:rsid w:val="007E5659"/>
    <w:rsid w:val="007E5697"/>
    <w:rsid w:val="007E5B5C"/>
    <w:rsid w:val="007E5ECF"/>
    <w:rsid w:val="007E5FDD"/>
    <w:rsid w:val="007E6489"/>
    <w:rsid w:val="007E66A9"/>
    <w:rsid w:val="007E7875"/>
    <w:rsid w:val="007E7D79"/>
    <w:rsid w:val="007F105F"/>
    <w:rsid w:val="007F191B"/>
    <w:rsid w:val="007F37C8"/>
    <w:rsid w:val="007F5299"/>
    <w:rsid w:val="007F54BB"/>
    <w:rsid w:val="008016D9"/>
    <w:rsid w:val="00801E95"/>
    <w:rsid w:val="008027A7"/>
    <w:rsid w:val="00802B2F"/>
    <w:rsid w:val="0080308B"/>
    <w:rsid w:val="008039EC"/>
    <w:rsid w:val="00803CB5"/>
    <w:rsid w:val="00803F0B"/>
    <w:rsid w:val="00804226"/>
    <w:rsid w:val="008055B6"/>
    <w:rsid w:val="00807390"/>
    <w:rsid w:val="008106B1"/>
    <w:rsid w:val="00810CA1"/>
    <w:rsid w:val="008120C3"/>
    <w:rsid w:val="00812A58"/>
    <w:rsid w:val="0081385D"/>
    <w:rsid w:val="008139E8"/>
    <w:rsid w:val="00814C51"/>
    <w:rsid w:val="00815138"/>
    <w:rsid w:val="00820277"/>
    <w:rsid w:val="00826326"/>
    <w:rsid w:val="00826D44"/>
    <w:rsid w:val="008306ED"/>
    <w:rsid w:val="00830C12"/>
    <w:rsid w:val="00833959"/>
    <w:rsid w:val="00835C5B"/>
    <w:rsid w:val="00837392"/>
    <w:rsid w:val="008378C8"/>
    <w:rsid w:val="008405EC"/>
    <w:rsid w:val="00840A70"/>
    <w:rsid w:val="00840AC5"/>
    <w:rsid w:val="00840DBB"/>
    <w:rsid w:val="00841E4D"/>
    <w:rsid w:val="00843AB2"/>
    <w:rsid w:val="00845CF9"/>
    <w:rsid w:val="008460D8"/>
    <w:rsid w:val="00846394"/>
    <w:rsid w:val="00850617"/>
    <w:rsid w:val="00850B44"/>
    <w:rsid w:val="00850F7D"/>
    <w:rsid w:val="00851567"/>
    <w:rsid w:val="00852880"/>
    <w:rsid w:val="00854662"/>
    <w:rsid w:val="008548EB"/>
    <w:rsid w:val="0085538C"/>
    <w:rsid w:val="00855FB6"/>
    <w:rsid w:val="00856A06"/>
    <w:rsid w:val="00857E41"/>
    <w:rsid w:val="00860220"/>
    <w:rsid w:val="00861180"/>
    <w:rsid w:val="00863FE6"/>
    <w:rsid w:val="00864263"/>
    <w:rsid w:val="00864ED2"/>
    <w:rsid w:val="00865EA7"/>
    <w:rsid w:val="0087120B"/>
    <w:rsid w:val="008721A1"/>
    <w:rsid w:val="00872C08"/>
    <w:rsid w:val="00873E6C"/>
    <w:rsid w:val="0087442E"/>
    <w:rsid w:val="00875027"/>
    <w:rsid w:val="00875DC2"/>
    <w:rsid w:val="00876401"/>
    <w:rsid w:val="0087670A"/>
    <w:rsid w:val="00876B3D"/>
    <w:rsid w:val="00876F2A"/>
    <w:rsid w:val="008775BA"/>
    <w:rsid w:val="00880CE4"/>
    <w:rsid w:val="008810DC"/>
    <w:rsid w:val="008840A4"/>
    <w:rsid w:val="008868A5"/>
    <w:rsid w:val="00887724"/>
    <w:rsid w:val="008878A5"/>
    <w:rsid w:val="00891377"/>
    <w:rsid w:val="00891B0F"/>
    <w:rsid w:val="00891C80"/>
    <w:rsid w:val="00892677"/>
    <w:rsid w:val="00894899"/>
    <w:rsid w:val="008962C5"/>
    <w:rsid w:val="008964D0"/>
    <w:rsid w:val="00897DE4"/>
    <w:rsid w:val="008A0D5C"/>
    <w:rsid w:val="008A1809"/>
    <w:rsid w:val="008A210E"/>
    <w:rsid w:val="008A214C"/>
    <w:rsid w:val="008A2526"/>
    <w:rsid w:val="008A28BB"/>
    <w:rsid w:val="008A2BBA"/>
    <w:rsid w:val="008A3AC5"/>
    <w:rsid w:val="008A4CEA"/>
    <w:rsid w:val="008A5057"/>
    <w:rsid w:val="008A67F4"/>
    <w:rsid w:val="008A7FEE"/>
    <w:rsid w:val="008B173E"/>
    <w:rsid w:val="008B1BA4"/>
    <w:rsid w:val="008B2304"/>
    <w:rsid w:val="008B23F8"/>
    <w:rsid w:val="008B3214"/>
    <w:rsid w:val="008B4DB2"/>
    <w:rsid w:val="008B4DB7"/>
    <w:rsid w:val="008B514F"/>
    <w:rsid w:val="008B6C8E"/>
    <w:rsid w:val="008B7490"/>
    <w:rsid w:val="008B7FC8"/>
    <w:rsid w:val="008C0916"/>
    <w:rsid w:val="008C321D"/>
    <w:rsid w:val="008C3E7B"/>
    <w:rsid w:val="008C5E6B"/>
    <w:rsid w:val="008C7AB6"/>
    <w:rsid w:val="008D337E"/>
    <w:rsid w:val="008D4414"/>
    <w:rsid w:val="008D671F"/>
    <w:rsid w:val="008D7481"/>
    <w:rsid w:val="008E0380"/>
    <w:rsid w:val="008E1ACF"/>
    <w:rsid w:val="008E2054"/>
    <w:rsid w:val="008E2240"/>
    <w:rsid w:val="008E2ED3"/>
    <w:rsid w:val="008E2F84"/>
    <w:rsid w:val="008E4074"/>
    <w:rsid w:val="008E40EF"/>
    <w:rsid w:val="008E470F"/>
    <w:rsid w:val="008E5A85"/>
    <w:rsid w:val="008E60B7"/>
    <w:rsid w:val="008E60D9"/>
    <w:rsid w:val="008E706F"/>
    <w:rsid w:val="008E7F39"/>
    <w:rsid w:val="008F001B"/>
    <w:rsid w:val="008F014B"/>
    <w:rsid w:val="008F0E10"/>
    <w:rsid w:val="008F2245"/>
    <w:rsid w:val="008F2278"/>
    <w:rsid w:val="008F31AE"/>
    <w:rsid w:val="008F4F80"/>
    <w:rsid w:val="008F5F9F"/>
    <w:rsid w:val="008F6D22"/>
    <w:rsid w:val="008F6E8D"/>
    <w:rsid w:val="0090115E"/>
    <w:rsid w:val="00901AE0"/>
    <w:rsid w:val="00901F00"/>
    <w:rsid w:val="00903830"/>
    <w:rsid w:val="00903CA2"/>
    <w:rsid w:val="00906028"/>
    <w:rsid w:val="00906A8D"/>
    <w:rsid w:val="009071EA"/>
    <w:rsid w:val="00907C33"/>
    <w:rsid w:val="00907D58"/>
    <w:rsid w:val="00907F57"/>
    <w:rsid w:val="00910F47"/>
    <w:rsid w:val="009110CF"/>
    <w:rsid w:val="00913283"/>
    <w:rsid w:val="00914A2F"/>
    <w:rsid w:val="00914D74"/>
    <w:rsid w:val="009214D9"/>
    <w:rsid w:val="00921738"/>
    <w:rsid w:val="0092193D"/>
    <w:rsid w:val="00921F89"/>
    <w:rsid w:val="009229FA"/>
    <w:rsid w:val="00922E9A"/>
    <w:rsid w:val="00923C8C"/>
    <w:rsid w:val="00923EC0"/>
    <w:rsid w:val="00923EFC"/>
    <w:rsid w:val="00924064"/>
    <w:rsid w:val="00924EBC"/>
    <w:rsid w:val="009262D1"/>
    <w:rsid w:val="0093179F"/>
    <w:rsid w:val="0093202A"/>
    <w:rsid w:val="00933CBE"/>
    <w:rsid w:val="00934164"/>
    <w:rsid w:val="009343DF"/>
    <w:rsid w:val="00934833"/>
    <w:rsid w:val="00934D5B"/>
    <w:rsid w:val="00935522"/>
    <w:rsid w:val="00935742"/>
    <w:rsid w:val="00936007"/>
    <w:rsid w:val="009360A3"/>
    <w:rsid w:val="009361D6"/>
    <w:rsid w:val="009374B1"/>
    <w:rsid w:val="0094068B"/>
    <w:rsid w:val="0094228B"/>
    <w:rsid w:val="00942E17"/>
    <w:rsid w:val="00943124"/>
    <w:rsid w:val="0094404A"/>
    <w:rsid w:val="00946315"/>
    <w:rsid w:val="00946C22"/>
    <w:rsid w:val="00947D64"/>
    <w:rsid w:val="009512DF"/>
    <w:rsid w:val="00951776"/>
    <w:rsid w:val="00951CEC"/>
    <w:rsid w:val="009528DB"/>
    <w:rsid w:val="009528F8"/>
    <w:rsid w:val="00955C45"/>
    <w:rsid w:val="00956509"/>
    <w:rsid w:val="009575AD"/>
    <w:rsid w:val="00957E2F"/>
    <w:rsid w:val="00957EFB"/>
    <w:rsid w:val="00960120"/>
    <w:rsid w:val="00962240"/>
    <w:rsid w:val="00963E55"/>
    <w:rsid w:val="0096423B"/>
    <w:rsid w:val="00965642"/>
    <w:rsid w:val="00965945"/>
    <w:rsid w:val="009670D1"/>
    <w:rsid w:val="0097020C"/>
    <w:rsid w:val="00973D66"/>
    <w:rsid w:val="00974561"/>
    <w:rsid w:val="00974E34"/>
    <w:rsid w:val="00976D8A"/>
    <w:rsid w:val="00980D8D"/>
    <w:rsid w:val="00981E0A"/>
    <w:rsid w:val="00982132"/>
    <w:rsid w:val="00984471"/>
    <w:rsid w:val="00986C1B"/>
    <w:rsid w:val="0099356F"/>
    <w:rsid w:val="009964F2"/>
    <w:rsid w:val="00996C0B"/>
    <w:rsid w:val="009A0A94"/>
    <w:rsid w:val="009A1060"/>
    <w:rsid w:val="009A1BD1"/>
    <w:rsid w:val="009A2160"/>
    <w:rsid w:val="009A2569"/>
    <w:rsid w:val="009A50A0"/>
    <w:rsid w:val="009A6216"/>
    <w:rsid w:val="009A64BF"/>
    <w:rsid w:val="009B070B"/>
    <w:rsid w:val="009B1CE3"/>
    <w:rsid w:val="009B1DAF"/>
    <w:rsid w:val="009B2A92"/>
    <w:rsid w:val="009B426A"/>
    <w:rsid w:val="009B4856"/>
    <w:rsid w:val="009B4D2E"/>
    <w:rsid w:val="009C0706"/>
    <w:rsid w:val="009C095F"/>
    <w:rsid w:val="009C15AC"/>
    <w:rsid w:val="009C254A"/>
    <w:rsid w:val="009C395F"/>
    <w:rsid w:val="009C424F"/>
    <w:rsid w:val="009C429B"/>
    <w:rsid w:val="009C4479"/>
    <w:rsid w:val="009C5305"/>
    <w:rsid w:val="009C559F"/>
    <w:rsid w:val="009D0D44"/>
    <w:rsid w:val="009D169B"/>
    <w:rsid w:val="009D1808"/>
    <w:rsid w:val="009D49A8"/>
    <w:rsid w:val="009D4E68"/>
    <w:rsid w:val="009D5A2C"/>
    <w:rsid w:val="009D7171"/>
    <w:rsid w:val="009D763E"/>
    <w:rsid w:val="009E1A26"/>
    <w:rsid w:val="009E2581"/>
    <w:rsid w:val="009E5644"/>
    <w:rsid w:val="009E6FA3"/>
    <w:rsid w:val="009F0358"/>
    <w:rsid w:val="009F0641"/>
    <w:rsid w:val="009F10A3"/>
    <w:rsid w:val="009F1523"/>
    <w:rsid w:val="009F1D39"/>
    <w:rsid w:val="009F4A38"/>
    <w:rsid w:val="009F56F6"/>
    <w:rsid w:val="009F691F"/>
    <w:rsid w:val="009F6B92"/>
    <w:rsid w:val="00A00194"/>
    <w:rsid w:val="00A00F34"/>
    <w:rsid w:val="00A0126A"/>
    <w:rsid w:val="00A02785"/>
    <w:rsid w:val="00A02CC3"/>
    <w:rsid w:val="00A02E6A"/>
    <w:rsid w:val="00A02F34"/>
    <w:rsid w:val="00A04437"/>
    <w:rsid w:val="00A044A6"/>
    <w:rsid w:val="00A04A73"/>
    <w:rsid w:val="00A04CB2"/>
    <w:rsid w:val="00A06948"/>
    <w:rsid w:val="00A06A81"/>
    <w:rsid w:val="00A06BBF"/>
    <w:rsid w:val="00A1057B"/>
    <w:rsid w:val="00A1182D"/>
    <w:rsid w:val="00A124F7"/>
    <w:rsid w:val="00A13124"/>
    <w:rsid w:val="00A13206"/>
    <w:rsid w:val="00A141D7"/>
    <w:rsid w:val="00A15769"/>
    <w:rsid w:val="00A15D35"/>
    <w:rsid w:val="00A169F8"/>
    <w:rsid w:val="00A16B03"/>
    <w:rsid w:val="00A16D9A"/>
    <w:rsid w:val="00A17F80"/>
    <w:rsid w:val="00A216FF"/>
    <w:rsid w:val="00A21F3C"/>
    <w:rsid w:val="00A21F62"/>
    <w:rsid w:val="00A248D4"/>
    <w:rsid w:val="00A24A04"/>
    <w:rsid w:val="00A2565B"/>
    <w:rsid w:val="00A256BD"/>
    <w:rsid w:val="00A30E14"/>
    <w:rsid w:val="00A31235"/>
    <w:rsid w:val="00A31DA6"/>
    <w:rsid w:val="00A3282F"/>
    <w:rsid w:val="00A33A60"/>
    <w:rsid w:val="00A33C93"/>
    <w:rsid w:val="00A35D2C"/>
    <w:rsid w:val="00A37681"/>
    <w:rsid w:val="00A379FC"/>
    <w:rsid w:val="00A40571"/>
    <w:rsid w:val="00A40842"/>
    <w:rsid w:val="00A41D52"/>
    <w:rsid w:val="00A422EE"/>
    <w:rsid w:val="00A4329A"/>
    <w:rsid w:val="00A44562"/>
    <w:rsid w:val="00A44F81"/>
    <w:rsid w:val="00A45684"/>
    <w:rsid w:val="00A45C5C"/>
    <w:rsid w:val="00A46719"/>
    <w:rsid w:val="00A46847"/>
    <w:rsid w:val="00A46FF5"/>
    <w:rsid w:val="00A473E5"/>
    <w:rsid w:val="00A47E4B"/>
    <w:rsid w:val="00A50422"/>
    <w:rsid w:val="00A50F31"/>
    <w:rsid w:val="00A51C2B"/>
    <w:rsid w:val="00A521DA"/>
    <w:rsid w:val="00A5326A"/>
    <w:rsid w:val="00A60B7B"/>
    <w:rsid w:val="00A613A7"/>
    <w:rsid w:val="00A61C0F"/>
    <w:rsid w:val="00A622A9"/>
    <w:rsid w:val="00A636B0"/>
    <w:rsid w:val="00A64B1C"/>
    <w:rsid w:val="00A64CD0"/>
    <w:rsid w:val="00A66248"/>
    <w:rsid w:val="00A6645F"/>
    <w:rsid w:val="00A66891"/>
    <w:rsid w:val="00A669F6"/>
    <w:rsid w:val="00A67BC4"/>
    <w:rsid w:val="00A67FBE"/>
    <w:rsid w:val="00A70401"/>
    <w:rsid w:val="00A71F90"/>
    <w:rsid w:val="00A729CD"/>
    <w:rsid w:val="00A73514"/>
    <w:rsid w:val="00A758E8"/>
    <w:rsid w:val="00A75EDE"/>
    <w:rsid w:val="00A7616E"/>
    <w:rsid w:val="00A76BC2"/>
    <w:rsid w:val="00A774B3"/>
    <w:rsid w:val="00A77A1A"/>
    <w:rsid w:val="00A77AB0"/>
    <w:rsid w:val="00A80498"/>
    <w:rsid w:val="00A80EC1"/>
    <w:rsid w:val="00A81A33"/>
    <w:rsid w:val="00A81A8B"/>
    <w:rsid w:val="00A83B06"/>
    <w:rsid w:val="00A83E8D"/>
    <w:rsid w:val="00A85E72"/>
    <w:rsid w:val="00A864DD"/>
    <w:rsid w:val="00A86FEF"/>
    <w:rsid w:val="00A87DAA"/>
    <w:rsid w:val="00A91CB8"/>
    <w:rsid w:val="00A928B4"/>
    <w:rsid w:val="00A93200"/>
    <w:rsid w:val="00A94DF5"/>
    <w:rsid w:val="00A96330"/>
    <w:rsid w:val="00A964E5"/>
    <w:rsid w:val="00AA01BF"/>
    <w:rsid w:val="00AA145C"/>
    <w:rsid w:val="00AA478C"/>
    <w:rsid w:val="00AA6415"/>
    <w:rsid w:val="00AA687E"/>
    <w:rsid w:val="00AA6F30"/>
    <w:rsid w:val="00AB09D7"/>
    <w:rsid w:val="00AB1CA0"/>
    <w:rsid w:val="00AB2D13"/>
    <w:rsid w:val="00AB37A6"/>
    <w:rsid w:val="00AB3F5F"/>
    <w:rsid w:val="00AB4954"/>
    <w:rsid w:val="00AB7E08"/>
    <w:rsid w:val="00AC1AF6"/>
    <w:rsid w:val="00AC1E75"/>
    <w:rsid w:val="00AC29A5"/>
    <w:rsid w:val="00AC42AA"/>
    <w:rsid w:val="00AC4B01"/>
    <w:rsid w:val="00AC7668"/>
    <w:rsid w:val="00AC7961"/>
    <w:rsid w:val="00AD00FE"/>
    <w:rsid w:val="00AD025A"/>
    <w:rsid w:val="00AD3172"/>
    <w:rsid w:val="00AD3C64"/>
    <w:rsid w:val="00AD5B17"/>
    <w:rsid w:val="00AD6976"/>
    <w:rsid w:val="00AE0219"/>
    <w:rsid w:val="00AE0444"/>
    <w:rsid w:val="00AE3FED"/>
    <w:rsid w:val="00AE4171"/>
    <w:rsid w:val="00AE4D15"/>
    <w:rsid w:val="00AE4E4A"/>
    <w:rsid w:val="00AE6C1F"/>
    <w:rsid w:val="00AE6CFB"/>
    <w:rsid w:val="00AE7232"/>
    <w:rsid w:val="00AF2E00"/>
    <w:rsid w:val="00AF2F54"/>
    <w:rsid w:val="00AF3280"/>
    <w:rsid w:val="00AF4667"/>
    <w:rsid w:val="00AF6D20"/>
    <w:rsid w:val="00AF7817"/>
    <w:rsid w:val="00B002DE"/>
    <w:rsid w:val="00B008AF"/>
    <w:rsid w:val="00B008C3"/>
    <w:rsid w:val="00B01140"/>
    <w:rsid w:val="00B0600A"/>
    <w:rsid w:val="00B06599"/>
    <w:rsid w:val="00B073E2"/>
    <w:rsid w:val="00B10000"/>
    <w:rsid w:val="00B13CF9"/>
    <w:rsid w:val="00B16D31"/>
    <w:rsid w:val="00B17EB2"/>
    <w:rsid w:val="00B17F2A"/>
    <w:rsid w:val="00B20B03"/>
    <w:rsid w:val="00B222C6"/>
    <w:rsid w:val="00B22506"/>
    <w:rsid w:val="00B227AD"/>
    <w:rsid w:val="00B22D4F"/>
    <w:rsid w:val="00B23238"/>
    <w:rsid w:val="00B24747"/>
    <w:rsid w:val="00B24B73"/>
    <w:rsid w:val="00B26078"/>
    <w:rsid w:val="00B2647D"/>
    <w:rsid w:val="00B31607"/>
    <w:rsid w:val="00B32DD5"/>
    <w:rsid w:val="00B3338A"/>
    <w:rsid w:val="00B333AA"/>
    <w:rsid w:val="00B33DA7"/>
    <w:rsid w:val="00B340D8"/>
    <w:rsid w:val="00B36105"/>
    <w:rsid w:val="00B37420"/>
    <w:rsid w:val="00B37524"/>
    <w:rsid w:val="00B375CF"/>
    <w:rsid w:val="00B3792B"/>
    <w:rsid w:val="00B421EB"/>
    <w:rsid w:val="00B431D9"/>
    <w:rsid w:val="00B4378D"/>
    <w:rsid w:val="00B45276"/>
    <w:rsid w:val="00B46E42"/>
    <w:rsid w:val="00B4752F"/>
    <w:rsid w:val="00B50DE8"/>
    <w:rsid w:val="00B52ECE"/>
    <w:rsid w:val="00B537BA"/>
    <w:rsid w:val="00B549B9"/>
    <w:rsid w:val="00B5515A"/>
    <w:rsid w:val="00B55E8D"/>
    <w:rsid w:val="00B56205"/>
    <w:rsid w:val="00B56C26"/>
    <w:rsid w:val="00B57192"/>
    <w:rsid w:val="00B57495"/>
    <w:rsid w:val="00B57DB0"/>
    <w:rsid w:val="00B60A2B"/>
    <w:rsid w:val="00B610A3"/>
    <w:rsid w:val="00B61337"/>
    <w:rsid w:val="00B625EB"/>
    <w:rsid w:val="00B64010"/>
    <w:rsid w:val="00B6426D"/>
    <w:rsid w:val="00B645E8"/>
    <w:rsid w:val="00B64FE7"/>
    <w:rsid w:val="00B6539F"/>
    <w:rsid w:val="00B66062"/>
    <w:rsid w:val="00B6654D"/>
    <w:rsid w:val="00B6662B"/>
    <w:rsid w:val="00B70F8F"/>
    <w:rsid w:val="00B712D0"/>
    <w:rsid w:val="00B71D3C"/>
    <w:rsid w:val="00B73036"/>
    <w:rsid w:val="00B73B6E"/>
    <w:rsid w:val="00B7431B"/>
    <w:rsid w:val="00B7491C"/>
    <w:rsid w:val="00B75AA1"/>
    <w:rsid w:val="00B76629"/>
    <w:rsid w:val="00B77137"/>
    <w:rsid w:val="00B77278"/>
    <w:rsid w:val="00B82D14"/>
    <w:rsid w:val="00B84D2D"/>
    <w:rsid w:val="00B85404"/>
    <w:rsid w:val="00B8580D"/>
    <w:rsid w:val="00B867AD"/>
    <w:rsid w:val="00B872DF"/>
    <w:rsid w:val="00B90A31"/>
    <w:rsid w:val="00B91175"/>
    <w:rsid w:val="00B917E2"/>
    <w:rsid w:val="00B91DE7"/>
    <w:rsid w:val="00B9423C"/>
    <w:rsid w:val="00B945AE"/>
    <w:rsid w:val="00B94EF2"/>
    <w:rsid w:val="00B9628C"/>
    <w:rsid w:val="00B97218"/>
    <w:rsid w:val="00B97AD7"/>
    <w:rsid w:val="00B97D6E"/>
    <w:rsid w:val="00BA0149"/>
    <w:rsid w:val="00BA05C4"/>
    <w:rsid w:val="00BA1523"/>
    <w:rsid w:val="00BA2B02"/>
    <w:rsid w:val="00BA3202"/>
    <w:rsid w:val="00BA3D47"/>
    <w:rsid w:val="00BA556F"/>
    <w:rsid w:val="00BA65C4"/>
    <w:rsid w:val="00BA7445"/>
    <w:rsid w:val="00BB060F"/>
    <w:rsid w:val="00BB08DF"/>
    <w:rsid w:val="00BB10C0"/>
    <w:rsid w:val="00BB15D8"/>
    <w:rsid w:val="00BB283F"/>
    <w:rsid w:val="00BB32DB"/>
    <w:rsid w:val="00BB49A9"/>
    <w:rsid w:val="00BB5803"/>
    <w:rsid w:val="00BB5A09"/>
    <w:rsid w:val="00BC0D84"/>
    <w:rsid w:val="00BC16B3"/>
    <w:rsid w:val="00BC1CEC"/>
    <w:rsid w:val="00BC2435"/>
    <w:rsid w:val="00BC3109"/>
    <w:rsid w:val="00BC3829"/>
    <w:rsid w:val="00BC4FC2"/>
    <w:rsid w:val="00BC5434"/>
    <w:rsid w:val="00BC6100"/>
    <w:rsid w:val="00BC7E1A"/>
    <w:rsid w:val="00BD0EDC"/>
    <w:rsid w:val="00BD11C2"/>
    <w:rsid w:val="00BD2938"/>
    <w:rsid w:val="00BD2988"/>
    <w:rsid w:val="00BD3165"/>
    <w:rsid w:val="00BD4099"/>
    <w:rsid w:val="00BD60C5"/>
    <w:rsid w:val="00BD7D2A"/>
    <w:rsid w:val="00BE01E4"/>
    <w:rsid w:val="00BE07C0"/>
    <w:rsid w:val="00BE1299"/>
    <w:rsid w:val="00BE21E0"/>
    <w:rsid w:val="00BE25E3"/>
    <w:rsid w:val="00BE2692"/>
    <w:rsid w:val="00BE27A1"/>
    <w:rsid w:val="00BE30B8"/>
    <w:rsid w:val="00BE31B7"/>
    <w:rsid w:val="00BE4E1B"/>
    <w:rsid w:val="00BE7059"/>
    <w:rsid w:val="00BE7324"/>
    <w:rsid w:val="00BE7869"/>
    <w:rsid w:val="00BE7F05"/>
    <w:rsid w:val="00BF0607"/>
    <w:rsid w:val="00BF07C6"/>
    <w:rsid w:val="00BF0AB0"/>
    <w:rsid w:val="00BF1202"/>
    <w:rsid w:val="00BF1509"/>
    <w:rsid w:val="00BF1CEA"/>
    <w:rsid w:val="00BF31EC"/>
    <w:rsid w:val="00BF6510"/>
    <w:rsid w:val="00BF6680"/>
    <w:rsid w:val="00BF7249"/>
    <w:rsid w:val="00C007C3"/>
    <w:rsid w:val="00C018D9"/>
    <w:rsid w:val="00C02323"/>
    <w:rsid w:val="00C02538"/>
    <w:rsid w:val="00C04F5E"/>
    <w:rsid w:val="00C05A73"/>
    <w:rsid w:val="00C07CFB"/>
    <w:rsid w:val="00C07FD2"/>
    <w:rsid w:val="00C120F7"/>
    <w:rsid w:val="00C123F4"/>
    <w:rsid w:val="00C12DBF"/>
    <w:rsid w:val="00C140D7"/>
    <w:rsid w:val="00C15136"/>
    <w:rsid w:val="00C151C5"/>
    <w:rsid w:val="00C16315"/>
    <w:rsid w:val="00C1746C"/>
    <w:rsid w:val="00C17C90"/>
    <w:rsid w:val="00C17ED4"/>
    <w:rsid w:val="00C220C2"/>
    <w:rsid w:val="00C22A4D"/>
    <w:rsid w:val="00C2354A"/>
    <w:rsid w:val="00C23CB2"/>
    <w:rsid w:val="00C25E16"/>
    <w:rsid w:val="00C27FA7"/>
    <w:rsid w:val="00C31A8B"/>
    <w:rsid w:val="00C32457"/>
    <w:rsid w:val="00C326DD"/>
    <w:rsid w:val="00C353C3"/>
    <w:rsid w:val="00C36108"/>
    <w:rsid w:val="00C425AA"/>
    <w:rsid w:val="00C42672"/>
    <w:rsid w:val="00C42975"/>
    <w:rsid w:val="00C434A4"/>
    <w:rsid w:val="00C45E89"/>
    <w:rsid w:val="00C46BE9"/>
    <w:rsid w:val="00C46C61"/>
    <w:rsid w:val="00C50B06"/>
    <w:rsid w:val="00C521F2"/>
    <w:rsid w:val="00C535FB"/>
    <w:rsid w:val="00C540D5"/>
    <w:rsid w:val="00C579D0"/>
    <w:rsid w:val="00C62B60"/>
    <w:rsid w:val="00C6448F"/>
    <w:rsid w:val="00C6485B"/>
    <w:rsid w:val="00C65423"/>
    <w:rsid w:val="00C66789"/>
    <w:rsid w:val="00C66CEE"/>
    <w:rsid w:val="00C66E26"/>
    <w:rsid w:val="00C6757F"/>
    <w:rsid w:val="00C67CBB"/>
    <w:rsid w:val="00C70E8B"/>
    <w:rsid w:val="00C71665"/>
    <w:rsid w:val="00C7552E"/>
    <w:rsid w:val="00C75CB7"/>
    <w:rsid w:val="00C75DE3"/>
    <w:rsid w:val="00C771E1"/>
    <w:rsid w:val="00C77634"/>
    <w:rsid w:val="00C7775D"/>
    <w:rsid w:val="00C806CE"/>
    <w:rsid w:val="00C824CD"/>
    <w:rsid w:val="00C84B76"/>
    <w:rsid w:val="00C85931"/>
    <w:rsid w:val="00C87BE7"/>
    <w:rsid w:val="00C90048"/>
    <w:rsid w:val="00C908C8"/>
    <w:rsid w:val="00C924EF"/>
    <w:rsid w:val="00C938FC"/>
    <w:rsid w:val="00C94899"/>
    <w:rsid w:val="00C94AB7"/>
    <w:rsid w:val="00C95A13"/>
    <w:rsid w:val="00C95E51"/>
    <w:rsid w:val="00C96346"/>
    <w:rsid w:val="00C975CA"/>
    <w:rsid w:val="00C97C44"/>
    <w:rsid w:val="00CA011E"/>
    <w:rsid w:val="00CA0A9A"/>
    <w:rsid w:val="00CA23D8"/>
    <w:rsid w:val="00CA39A7"/>
    <w:rsid w:val="00CA451A"/>
    <w:rsid w:val="00CA5245"/>
    <w:rsid w:val="00CA68A6"/>
    <w:rsid w:val="00CA6B88"/>
    <w:rsid w:val="00CB076C"/>
    <w:rsid w:val="00CB0983"/>
    <w:rsid w:val="00CB24BA"/>
    <w:rsid w:val="00CB29EC"/>
    <w:rsid w:val="00CB5092"/>
    <w:rsid w:val="00CB5551"/>
    <w:rsid w:val="00CB6AAC"/>
    <w:rsid w:val="00CB7844"/>
    <w:rsid w:val="00CC0753"/>
    <w:rsid w:val="00CC1C9F"/>
    <w:rsid w:val="00CC46ED"/>
    <w:rsid w:val="00CC7449"/>
    <w:rsid w:val="00CC7C10"/>
    <w:rsid w:val="00CD0B70"/>
    <w:rsid w:val="00CD2A3E"/>
    <w:rsid w:val="00CD577C"/>
    <w:rsid w:val="00CE00D9"/>
    <w:rsid w:val="00CE1778"/>
    <w:rsid w:val="00CE1DEC"/>
    <w:rsid w:val="00CE3302"/>
    <w:rsid w:val="00CE3E89"/>
    <w:rsid w:val="00CE4DF1"/>
    <w:rsid w:val="00CE60B5"/>
    <w:rsid w:val="00CE6AD4"/>
    <w:rsid w:val="00CE6C81"/>
    <w:rsid w:val="00CE77E0"/>
    <w:rsid w:val="00CE7E7B"/>
    <w:rsid w:val="00CE7EC5"/>
    <w:rsid w:val="00CF0E66"/>
    <w:rsid w:val="00CF29CB"/>
    <w:rsid w:val="00CF5196"/>
    <w:rsid w:val="00CF615E"/>
    <w:rsid w:val="00CF6F99"/>
    <w:rsid w:val="00CF7AC0"/>
    <w:rsid w:val="00D01063"/>
    <w:rsid w:val="00D01921"/>
    <w:rsid w:val="00D019E8"/>
    <w:rsid w:val="00D02A2F"/>
    <w:rsid w:val="00D0334F"/>
    <w:rsid w:val="00D05F54"/>
    <w:rsid w:val="00D06A97"/>
    <w:rsid w:val="00D10160"/>
    <w:rsid w:val="00D1045D"/>
    <w:rsid w:val="00D111C1"/>
    <w:rsid w:val="00D116AA"/>
    <w:rsid w:val="00D11DAF"/>
    <w:rsid w:val="00D12B79"/>
    <w:rsid w:val="00D13C37"/>
    <w:rsid w:val="00D1424C"/>
    <w:rsid w:val="00D1436B"/>
    <w:rsid w:val="00D1477F"/>
    <w:rsid w:val="00D150CD"/>
    <w:rsid w:val="00D15292"/>
    <w:rsid w:val="00D157AF"/>
    <w:rsid w:val="00D15803"/>
    <w:rsid w:val="00D17601"/>
    <w:rsid w:val="00D201D5"/>
    <w:rsid w:val="00D22EE6"/>
    <w:rsid w:val="00D237A0"/>
    <w:rsid w:val="00D245FD"/>
    <w:rsid w:val="00D263C0"/>
    <w:rsid w:val="00D27A67"/>
    <w:rsid w:val="00D27B4C"/>
    <w:rsid w:val="00D30553"/>
    <w:rsid w:val="00D31088"/>
    <w:rsid w:val="00D35734"/>
    <w:rsid w:val="00D37223"/>
    <w:rsid w:val="00D405C4"/>
    <w:rsid w:val="00D40869"/>
    <w:rsid w:val="00D40D4C"/>
    <w:rsid w:val="00D421E8"/>
    <w:rsid w:val="00D4257F"/>
    <w:rsid w:val="00D42DA3"/>
    <w:rsid w:val="00D437FB"/>
    <w:rsid w:val="00D44222"/>
    <w:rsid w:val="00D4444A"/>
    <w:rsid w:val="00D44A82"/>
    <w:rsid w:val="00D44AB1"/>
    <w:rsid w:val="00D462D3"/>
    <w:rsid w:val="00D463C3"/>
    <w:rsid w:val="00D469D9"/>
    <w:rsid w:val="00D47A61"/>
    <w:rsid w:val="00D5116A"/>
    <w:rsid w:val="00D51341"/>
    <w:rsid w:val="00D52696"/>
    <w:rsid w:val="00D52978"/>
    <w:rsid w:val="00D53201"/>
    <w:rsid w:val="00D54CA3"/>
    <w:rsid w:val="00D57F4A"/>
    <w:rsid w:val="00D61D69"/>
    <w:rsid w:val="00D6250A"/>
    <w:rsid w:val="00D63237"/>
    <w:rsid w:val="00D64AB1"/>
    <w:rsid w:val="00D65940"/>
    <w:rsid w:val="00D66488"/>
    <w:rsid w:val="00D712CB"/>
    <w:rsid w:val="00D728C0"/>
    <w:rsid w:val="00D750F9"/>
    <w:rsid w:val="00D7704F"/>
    <w:rsid w:val="00D77EC7"/>
    <w:rsid w:val="00D80A24"/>
    <w:rsid w:val="00D81BBF"/>
    <w:rsid w:val="00D8225E"/>
    <w:rsid w:val="00D82D2F"/>
    <w:rsid w:val="00D83F4B"/>
    <w:rsid w:val="00D84F90"/>
    <w:rsid w:val="00D8530D"/>
    <w:rsid w:val="00D8559B"/>
    <w:rsid w:val="00D858D3"/>
    <w:rsid w:val="00D90343"/>
    <w:rsid w:val="00D94957"/>
    <w:rsid w:val="00D95396"/>
    <w:rsid w:val="00D96FBC"/>
    <w:rsid w:val="00DA0752"/>
    <w:rsid w:val="00DA1288"/>
    <w:rsid w:val="00DA12D2"/>
    <w:rsid w:val="00DA170F"/>
    <w:rsid w:val="00DA19DC"/>
    <w:rsid w:val="00DA29C6"/>
    <w:rsid w:val="00DA3537"/>
    <w:rsid w:val="00DA3621"/>
    <w:rsid w:val="00DA5D2D"/>
    <w:rsid w:val="00DA63D8"/>
    <w:rsid w:val="00DA707C"/>
    <w:rsid w:val="00DA7460"/>
    <w:rsid w:val="00DB02C4"/>
    <w:rsid w:val="00DB0A0D"/>
    <w:rsid w:val="00DB14AF"/>
    <w:rsid w:val="00DB23AC"/>
    <w:rsid w:val="00DB2E0E"/>
    <w:rsid w:val="00DB3411"/>
    <w:rsid w:val="00DB4CC1"/>
    <w:rsid w:val="00DB51E1"/>
    <w:rsid w:val="00DB6183"/>
    <w:rsid w:val="00DB718D"/>
    <w:rsid w:val="00DC1653"/>
    <w:rsid w:val="00DC1929"/>
    <w:rsid w:val="00DC3486"/>
    <w:rsid w:val="00DC5088"/>
    <w:rsid w:val="00DC560E"/>
    <w:rsid w:val="00DC5BF2"/>
    <w:rsid w:val="00DC5C6D"/>
    <w:rsid w:val="00DC638A"/>
    <w:rsid w:val="00DC7249"/>
    <w:rsid w:val="00DC7A4D"/>
    <w:rsid w:val="00DD319A"/>
    <w:rsid w:val="00DD4BDC"/>
    <w:rsid w:val="00DD5F65"/>
    <w:rsid w:val="00DD61D6"/>
    <w:rsid w:val="00DD65E5"/>
    <w:rsid w:val="00DD660E"/>
    <w:rsid w:val="00DD7B3A"/>
    <w:rsid w:val="00DD7F46"/>
    <w:rsid w:val="00DD7FE7"/>
    <w:rsid w:val="00DE1FAF"/>
    <w:rsid w:val="00DE2B5C"/>
    <w:rsid w:val="00DE2CC7"/>
    <w:rsid w:val="00DE2D65"/>
    <w:rsid w:val="00DE3EAF"/>
    <w:rsid w:val="00DE436A"/>
    <w:rsid w:val="00DE5153"/>
    <w:rsid w:val="00DE5D5A"/>
    <w:rsid w:val="00DE6559"/>
    <w:rsid w:val="00DE6F1D"/>
    <w:rsid w:val="00DF1609"/>
    <w:rsid w:val="00DF21AC"/>
    <w:rsid w:val="00DF3250"/>
    <w:rsid w:val="00DF5E5A"/>
    <w:rsid w:val="00DF7FE0"/>
    <w:rsid w:val="00E00D0A"/>
    <w:rsid w:val="00E011FF"/>
    <w:rsid w:val="00E02B15"/>
    <w:rsid w:val="00E03289"/>
    <w:rsid w:val="00E05282"/>
    <w:rsid w:val="00E072D7"/>
    <w:rsid w:val="00E07B79"/>
    <w:rsid w:val="00E07C2C"/>
    <w:rsid w:val="00E111AA"/>
    <w:rsid w:val="00E121B1"/>
    <w:rsid w:val="00E13961"/>
    <w:rsid w:val="00E14AB7"/>
    <w:rsid w:val="00E1641F"/>
    <w:rsid w:val="00E16BAC"/>
    <w:rsid w:val="00E16BE9"/>
    <w:rsid w:val="00E17500"/>
    <w:rsid w:val="00E20029"/>
    <w:rsid w:val="00E21F9D"/>
    <w:rsid w:val="00E22802"/>
    <w:rsid w:val="00E237B8"/>
    <w:rsid w:val="00E243C6"/>
    <w:rsid w:val="00E24A88"/>
    <w:rsid w:val="00E268F4"/>
    <w:rsid w:val="00E30544"/>
    <w:rsid w:val="00E32DE1"/>
    <w:rsid w:val="00E3353D"/>
    <w:rsid w:val="00E339DA"/>
    <w:rsid w:val="00E35BB7"/>
    <w:rsid w:val="00E36306"/>
    <w:rsid w:val="00E41ECF"/>
    <w:rsid w:val="00E420BF"/>
    <w:rsid w:val="00E42372"/>
    <w:rsid w:val="00E4410C"/>
    <w:rsid w:val="00E4609D"/>
    <w:rsid w:val="00E4641B"/>
    <w:rsid w:val="00E46B0C"/>
    <w:rsid w:val="00E479EA"/>
    <w:rsid w:val="00E50322"/>
    <w:rsid w:val="00E5052F"/>
    <w:rsid w:val="00E51000"/>
    <w:rsid w:val="00E51357"/>
    <w:rsid w:val="00E5176E"/>
    <w:rsid w:val="00E532FC"/>
    <w:rsid w:val="00E54DAD"/>
    <w:rsid w:val="00E55CEA"/>
    <w:rsid w:val="00E57258"/>
    <w:rsid w:val="00E6124A"/>
    <w:rsid w:val="00E632CC"/>
    <w:rsid w:val="00E63322"/>
    <w:rsid w:val="00E6349C"/>
    <w:rsid w:val="00E66609"/>
    <w:rsid w:val="00E66CF5"/>
    <w:rsid w:val="00E67350"/>
    <w:rsid w:val="00E67A4B"/>
    <w:rsid w:val="00E706BC"/>
    <w:rsid w:val="00E71445"/>
    <w:rsid w:val="00E7175E"/>
    <w:rsid w:val="00E71FB8"/>
    <w:rsid w:val="00E729C1"/>
    <w:rsid w:val="00E73117"/>
    <w:rsid w:val="00E73A63"/>
    <w:rsid w:val="00E73CA5"/>
    <w:rsid w:val="00E74394"/>
    <w:rsid w:val="00E748E9"/>
    <w:rsid w:val="00E74BDF"/>
    <w:rsid w:val="00E7509A"/>
    <w:rsid w:val="00E753DA"/>
    <w:rsid w:val="00E75537"/>
    <w:rsid w:val="00E769E9"/>
    <w:rsid w:val="00E776AC"/>
    <w:rsid w:val="00E8045D"/>
    <w:rsid w:val="00E8084C"/>
    <w:rsid w:val="00E80D52"/>
    <w:rsid w:val="00E812B4"/>
    <w:rsid w:val="00E82185"/>
    <w:rsid w:val="00E82D21"/>
    <w:rsid w:val="00E82DB4"/>
    <w:rsid w:val="00E835BF"/>
    <w:rsid w:val="00E83AF2"/>
    <w:rsid w:val="00E84B15"/>
    <w:rsid w:val="00E85884"/>
    <w:rsid w:val="00E87090"/>
    <w:rsid w:val="00E91B7B"/>
    <w:rsid w:val="00E951CB"/>
    <w:rsid w:val="00E9544C"/>
    <w:rsid w:val="00E9545E"/>
    <w:rsid w:val="00E963B0"/>
    <w:rsid w:val="00E97D63"/>
    <w:rsid w:val="00EA05A7"/>
    <w:rsid w:val="00EA06BA"/>
    <w:rsid w:val="00EA0BE1"/>
    <w:rsid w:val="00EA2FA4"/>
    <w:rsid w:val="00EA3057"/>
    <w:rsid w:val="00EA3B53"/>
    <w:rsid w:val="00EA5426"/>
    <w:rsid w:val="00EA5889"/>
    <w:rsid w:val="00EA5F6D"/>
    <w:rsid w:val="00EB09FE"/>
    <w:rsid w:val="00EB0C5C"/>
    <w:rsid w:val="00EB0CC0"/>
    <w:rsid w:val="00EB244C"/>
    <w:rsid w:val="00EB256D"/>
    <w:rsid w:val="00EB2D4B"/>
    <w:rsid w:val="00EB3A12"/>
    <w:rsid w:val="00EB3A43"/>
    <w:rsid w:val="00EB4137"/>
    <w:rsid w:val="00EB43A2"/>
    <w:rsid w:val="00EB569A"/>
    <w:rsid w:val="00EB6E72"/>
    <w:rsid w:val="00EB72EC"/>
    <w:rsid w:val="00EB7707"/>
    <w:rsid w:val="00EC129E"/>
    <w:rsid w:val="00EC391E"/>
    <w:rsid w:val="00EC48BE"/>
    <w:rsid w:val="00EC4DC1"/>
    <w:rsid w:val="00EC504A"/>
    <w:rsid w:val="00EC6CCB"/>
    <w:rsid w:val="00EC70ED"/>
    <w:rsid w:val="00EC7232"/>
    <w:rsid w:val="00ED2895"/>
    <w:rsid w:val="00ED4796"/>
    <w:rsid w:val="00ED5E9A"/>
    <w:rsid w:val="00ED613B"/>
    <w:rsid w:val="00ED734B"/>
    <w:rsid w:val="00ED73CF"/>
    <w:rsid w:val="00ED7563"/>
    <w:rsid w:val="00ED75AD"/>
    <w:rsid w:val="00ED7E97"/>
    <w:rsid w:val="00EE1734"/>
    <w:rsid w:val="00EE1879"/>
    <w:rsid w:val="00EE27C8"/>
    <w:rsid w:val="00EE3125"/>
    <w:rsid w:val="00EE42C0"/>
    <w:rsid w:val="00EE53F9"/>
    <w:rsid w:val="00EE5C13"/>
    <w:rsid w:val="00EE663C"/>
    <w:rsid w:val="00EE6A8A"/>
    <w:rsid w:val="00EF05CE"/>
    <w:rsid w:val="00EF07D8"/>
    <w:rsid w:val="00EF11B0"/>
    <w:rsid w:val="00EF3244"/>
    <w:rsid w:val="00EF4AC5"/>
    <w:rsid w:val="00EF6AC8"/>
    <w:rsid w:val="00F003C6"/>
    <w:rsid w:val="00F01B0B"/>
    <w:rsid w:val="00F01B9A"/>
    <w:rsid w:val="00F02E99"/>
    <w:rsid w:val="00F032B8"/>
    <w:rsid w:val="00F03705"/>
    <w:rsid w:val="00F04D4D"/>
    <w:rsid w:val="00F04DDB"/>
    <w:rsid w:val="00F05850"/>
    <w:rsid w:val="00F063A4"/>
    <w:rsid w:val="00F071E0"/>
    <w:rsid w:val="00F0749E"/>
    <w:rsid w:val="00F10555"/>
    <w:rsid w:val="00F10CBF"/>
    <w:rsid w:val="00F11AFB"/>
    <w:rsid w:val="00F13965"/>
    <w:rsid w:val="00F14836"/>
    <w:rsid w:val="00F149CA"/>
    <w:rsid w:val="00F14A5D"/>
    <w:rsid w:val="00F1597E"/>
    <w:rsid w:val="00F15CCE"/>
    <w:rsid w:val="00F16CEC"/>
    <w:rsid w:val="00F172C8"/>
    <w:rsid w:val="00F2015A"/>
    <w:rsid w:val="00F20305"/>
    <w:rsid w:val="00F20823"/>
    <w:rsid w:val="00F208AF"/>
    <w:rsid w:val="00F215E0"/>
    <w:rsid w:val="00F21A77"/>
    <w:rsid w:val="00F21C98"/>
    <w:rsid w:val="00F2335B"/>
    <w:rsid w:val="00F24E24"/>
    <w:rsid w:val="00F25274"/>
    <w:rsid w:val="00F25534"/>
    <w:rsid w:val="00F26F69"/>
    <w:rsid w:val="00F3150E"/>
    <w:rsid w:val="00F31BCB"/>
    <w:rsid w:val="00F32193"/>
    <w:rsid w:val="00F323CE"/>
    <w:rsid w:val="00F33571"/>
    <w:rsid w:val="00F35042"/>
    <w:rsid w:val="00F35CF6"/>
    <w:rsid w:val="00F37178"/>
    <w:rsid w:val="00F40A16"/>
    <w:rsid w:val="00F412F9"/>
    <w:rsid w:val="00F42D80"/>
    <w:rsid w:val="00F45C7D"/>
    <w:rsid w:val="00F5458F"/>
    <w:rsid w:val="00F56A7C"/>
    <w:rsid w:val="00F56C57"/>
    <w:rsid w:val="00F573A2"/>
    <w:rsid w:val="00F60F2E"/>
    <w:rsid w:val="00F6212A"/>
    <w:rsid w:val="00F621EF"/>
    <w:rsid w:val="00F65AE1"/>
    <w:rsid w:val="00F65C0B"/>
    <w:rsid w:val="00F66662"/>
    <w:rsid w:val="00F67321"/>
    <w:rsid w:val="00F7010B"/>
    <w:rsid w:val="00F70BC8"/>
    <w:rsid w:val="00F720C0"/>
    <w:rsid w:val="00F73FFC"/>
    <w:rsid w:val="00F74277"/>
    <w:rsid w:val="00F74436"/>
    <w:rsid w:val="00F76361"/>
    <w:rsid w:val="00F80AD3"/>
    <w:rsid w:val="00F83227"/>
    <w:rsid w:val="00F83474"/>
    <w:rsid w:val="00F8399E"/>
    <w:rsid w:val="00F83B58"/>
    <w:rsid w:val="00F8439B"/>
    <w:rsid w:val="00F85659"/>
    <w:rsid w:val="00F92291"/>
    <w:rsid w:val="00F92296"/>
    <w:rsid w:val="00F9255C"/>
    <w:rsid w:val="00F93C8C"/>
    <w:rsid w:val="00F95130"/>
    <w:rsid w:val="00F95890"/>
    <w:rsid w:val="00F97CE6"/>
    <w:rsid w:val="00FA12F5"/>
    <w:rsid w:val="00FA12F8"/>
    <w:rsid w:val="00FA2082"/>
    <w:rsid w:val="00FA25D1"/>
    <w:rsid w:val="00FA5ACB"/>
    <w:rsid w:val="00FA5FD1"/>
    <w:rsid w:val="00FA6005"/>
    <w:rsid w:val="00FA6C88"/>
    <w:rsid w:val="00FA6D6F"/>
    <w:rsid w:val="00FA6F33"/>
    <w:rsid w:val="00FB003D"/>
    <w:rsid w:val="00FB26C4"/>
    <w:rsid w:val="00FB2F3B"/>
    <w:rsid w:val="00FB3102"/>
    <w:rsid w:val="00FB311B"/>
    <w:rsid w:val="00FB3A61"/>
    <w:rsid w:val="00FB41D2"/>
    <w:rsid w:val="00FB4998"/>
    <w:rsid w:val="00FB544C"/>
    <w:rsid w:val="00FB5E3E"/>
    <w:rsid w:val="00FB7592"/>
    <w:rsid w:val="00FC140A"/>
    <w:rsid w:val="00FC19AB"/>
    <w:rsid w:val="00FC1B07"/>
    <w:rsid w:val="00FC263C"/>
    <w:rsid w:val="00FC3C0E"/>
    <w:rsid w:val="00FC524D"/>
    <w:rsid w:val="00FC54FE"/>
    <w:rsid w:val="00FC6912"/>
    <w:rsid w:val="00FC7209"/>
    <w:rsid w:val="00FD14F0"/>
    <w:rsid w:val="00FD29B5"/>
    <w:rsid w:val="00FD5274"/>
    <w:rsid w:val="00FD60CC"/>
    <w:rsid w:val="00FD6975"/>
    <w:rsid w:val="00FD6A3F"/>
    <w:rsid w:val="00FD76DB"/>
    <w:rsid w:val="00FD7EC8"/>
    <w:rsid w:val="00FE09F8"/>
    <w:rsid w:val="00FE0B59"/>
    <w:rsid w:val="00FE105F"/>
    <w:rsid w:val="00FE2482"/>
    <w:rsid w:val="00FE2A61"/>
    <w:rsid w:val="00FE3C56"/>
    <w:rsid w:val="00FE5A51"/>
    <w:rsid w:val="00FE6E83"/>
    <w:rsid w:val="00FE6E8C"/>
    <w:rsid w:val="00FF08F2"/>
    <w:rsid w:val="00FF5F5B"/>
    <w:rsid w:val="00FF68FA"/>
    <w:rsid w:val="00FF6F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000"/>
    <w:rPr>
      <w:sz w:val="18"/>
      <w:szCs w:val="18"/>
    </w:rPr>
  </w:style>
  <w:style w:type="paragraph" w:styleId="a4">
    <w:name w:val="footer"/>
    <w:basedOn w:val="a"/>
    <w:link w:val="Char0"/>
    <w:uiPriority w:val="99"/>
    <w:unhideWhenUsed/>
    <w:rsid w:val="00B10000"/>
    <w:pPr>
      <w:tabs>
        <w:tab w:val="center" w:pos="4153"/>
        <w:tab w:val="right" w:pos="8306"/>
      </w:tabs>
      <w:snapToGrid w:val="0"/>
      <w:jc w:val="left"/>
    </w:pPr>
    <w:rPr>
      <w:sz w:val="18"/>
      <w:szCs w:val="18"/>
    </w:rPr>
  </w:style>
  <w:style w:type="character" w:customStyle="1" w:styleId="Char0">
    <w:name w:val="页脚 Char"/>
    <w:basedOn w:val="a0"/>
    <w:link w:val="a4"/>
    <w:uiPriority w:val="99"/>
    <w:rsid w:val="00B10000"/>
    <w:rPr>
      <w:sz w:val="18"/>
      <w:szCs w:val="18"/>
    </w:rPr>
  </w:style>
  <w:style w:type="paragraph" w:customStyle="1" w:styleId="a5">
    <w:name w:val="页眉报告名称"/>
    <w:link w:val="Char1"/>
    <w:autoRedefine/>
    <w:qFormat/>
    <w:rsid w:val="00B10000"/>
    <w:pPr>
      <w:spacing w:afterLines="100" w:line="240" w:lineRule="exact"/>
      <w:jc w:val="both"/>
    </w:pPr>
    <w:rPr>
      <w:rFonts w:ascii="Calibri" w:eastAsia="华文新魏" w:hAnsi="Calibri" w:cs="Times New Roman"/>
      <w:sz w:val="24"/>
    </w:rPr>
  </w:style>
  <w:style w:type="character" w:customStyle="1" w:styleId="Char1">
    <w:name w:val="页眉报告名称 Char"/>
    <w:basedOn w:val="a0"/>
    <w:link w:val="a5"/>
    <w:rsid w:val="00B10000"/>
    <w:rPr>
      <w:rFonts w:ascii="Calibri" w:eastAsia="华文新魏" w:hAnsi="Calibri" w:cs="Times New Roman"/>
      <w:sz w:val="24"/>
    </w:rPr>
  </w:style>
  <w:style w:type="paragraph" w:customStyle="1" w:styleId="a6">
    <w:name w:val="页眉图片"/>
    <w:basedOn w:val="a3"/>
    <w:link w:val="Char2"/>
    <w:qFormat/>
    <w:rsid w:val="00B10000"/>
    <w:pPr>
      <w:pBdr>
        <w:bottom w:val="none" w:sz="0" w:space="0" w:color="auto"/>
      </w:pBdr>
      <w:tabs>
        <w:tab w:val="clear" w:pos="4153"/>
        <w:tab w:val="clear" w:pos="8306"/>
        <w:tab w:val="right" w:pos="11424"/>
      </w:tabs>
      <w:jc w:val="left"/>
    </w:pPr>
    <w:rPr>
      <w:rFonts w:ascii="Calibri" w:eastAsia="宋体" w:hAnsi="Calibri" w:cs="Times New Roman"/>
      <w:noProof/>
    </w:rPr>
  </w:style>
  <w:style w:type="character" w:customStyle="1" w:styleId="Char2">
    <w:name w:val="页眉图片 Char"/>
    <w:basedOn w:val="Char"/>
    <w:link w:val="a6"/>
    <w:rsid w:val="00B10000"/>
    <w:rPr>
      <w:rFonts w:ascii="Calibri" w:eastAsia="宋体" w:hAnsi="Calibri" w:cs="Times New Roman"/>
      <w:noProof/>
      <w:sz w:val="18"/>
      <w:szCs w:val="18"/>
    </w:rPr>
  </w:style>
  <w:style w:type="paragraph" w:customStyle="1" w:styleId="a7">
    <w:name w:val="页眉处日期"/>
    <w:basedOn w:val="a"/>
    <w:link w:val="Char3"/>
    <w:qFormat/>
    <w:rsid w:val="00B10000"/>
    <w:pPr>
      <w:tabs>
        <w:tab w:val="right" w:pos="11424"/>
      </w:tabs>
      <w:snapToGrid w:val="0"/>
      <w:jc w:val="left"/>
    </w:pPr>
    <w:rPr>
      <w:rFonts w:ascii="华文隶书" w:eastAsia="华文隶书" w:hAnsi="Calibri" w:cs="Times New Roman"/>
      <w:b/>
      <w:sz w:val="24"/>
      <w:szCs w:val="24"/>
    </w:rPr>
  </w:style>
  <w:style w:type="paragraph" w:customStyle="1" w:styleId="a8">
    <w:name w:val="页眉副标题"/>
    <w:basedOn w:val="a"/>
    <w:link w:val="Char4"/>
    <w:qFormat/>
    <w:rsid w:val="00B10000"/>
    <w:pPr>
      <w:tabs>
        <w:tab w:val="right" w:pos="11424"/>
      </w:tabs>
      <w:snapToGrid w:val="0"/>
      <w:jc w:val="left"/>
    </w:pPr>
    <w:rPr>
      <w:rFonts w:ascii="华文隶书" w:eastAsia="华文隶书" w:hAnsi="Calibri" w:cs="Times New Roman"/>
      <w:sz w:val="36"/>
      <w:szCs w:val="36"/>
    </w:rPr>
  </w:style>
  <w:style w:type="character" w:customStyle="1" w:styleId="Char3">
    <w:name w:val="页眉处日期 Char"/>
    <w:basedOn w:val="a0"/>
    <w:link w:val="a7"/>
    <w:rsid w:val="00B10000"/>
    <w:rPr>
      <w:rFonts w:ascii="华文隶书" w:eastAsia="华文隶书" w:hAnsi="Calibri" w:cs="Times New Roman"/>
      <w:b/>
      <w:sz w:val="24"/>
      <w:szCs w:val="24"/>
    </w:rPr>
  </w:style>
  <w:style w:type="character" w:customStyle="1" w:styleId="Char4">
    <w:name w:val="页眉副标题 Char"/>
    <w:basedOn w:val="a0"/>
    <w:link w:val="a8"/>
    <w:rsid w:val="00B10000"/>
    <w:rPr>
      <w:rFonts w:ascii="华文隶书" w:eastAsia="华文隶书" w:hAnsi="Calibri" w:cs="Times New Roman"/>
      <w:sz w:val="36"/>
      <w:szCs w:val="36"/>
    </w:rPr>
  </w:style>
  <w:style w:type="paragraph" w:customStyle="1" w:styleId="a9">
    <w:name w:val="页眉的分析师"/>
    <w:basedOn w:val="a"/>
    <w:link w:val="Char5"/>
    <w:qFormat/>
    <w:rsid w:val="00B10000"/>
    <w:pPr>
      <w:tabs>
        <w:tab w:val="right" w:pos="11424"/>
      </w:tabs>
      <w:snapToGrid w:val="0"/>
      <w:spacing w:line="240" w:lineRule="exact"/>
      <w:jc w:val="right"/>
    </w:pPr>
    <w:rPr>
      <w:rFonts w:ascii="华文新魏" w:eastAsia="华文新魏" w:hAnsi="Calibri" w:cs="Times New Roman"/>
      <w:szCs w:val="21"/>
    </w:rPr>
  </w:style>
  <w:style w:type="character" w:customStyle="1" w:styleId="Char5">
    <w:name w:val="页眉的分析师 Char"/>
    <w:basedOn w:val="a0"/>
    <w:link w:val="a9"/>
    <w:rsid w:val="00B10000"/>
    <w:rPr>
      <w:rFonts w:ascii="华文新魏" w:eastAsia="华文新魏" w:hAnsi="Calibri" w:cs="Times New Roman"/>
      <w:szCs w:val="21"/>
    </w:rPr>
  </w:style>
  <w:style w:type="paragraph" w:customStyle="1" w:styleId="12">
    <w:name w:val="页眉12"/>
    <w:basedOn w:val="a3"/>
    <w:link w:val="12Char"/>
    <w:qFormat/>
    <w:rsid w:val="00B10000"/>
    <w:pPr>
      <w:pBdr>
        <w:bottom w:val="none" w:sz="0" w:space="0" w:color="auto"/>
      </w:pBdr>
      <w:tabs>
        <w:tab w:val="clear" w:pos="4153"/>
        <w:tab w:val="clear" w:pos="8306"/>
        <w:tab w:val="right" w:pos="11424"/>
      </w:tabs>
      <w:jc w:val="left"/>
    </w:pPr>
    <w:rPr>
      <w:rFonts w:ascii="Calibri" w:eastAsia="宋体" w:hAnsi="Calibri" w:cs="Times New Roman"/>
    </w:rPr>
  </w:style>
  <w:style w:type="character" w:customStyle="1" w:styleId="12Char">
    <w:name w:val="页眉12 Char"/>
    <w:basedOn w:val="Char"/>
    <w:link w:val="12"/>
    <w:rsid w:val="00B10000"/>
    <w:rPr>
      <w:rFonts w:ascii="Calibri" w:eastAsia="宋体" w:hAnsi="Calibri" w:cs="Times New Roman"/>
      <w:sz w:val="18"/>
      <w:szCs w:val="18"/>
    </w:rPr>
  </w:style>
  <w:style w:type="paragraph" w:customStyle="1" w:styleId="2">
    <w:name w:val="页眉副标题2"/>
    <w:basedOn w:val="12"/>
    <w:link w:val="2Char"/>
    <w:qFormat/>
    <w:rsid w:val="00B10000"/>
    <w:pPr>
      <w:jc w:val="right"/>
    </w:pPr>
    <w:rPr>
      <w:rFonts w:ascii="华文隶书" w:eastAsia="华文隶书"/>
      <w:sz w:val="21"/>
      <w:szCs w:val="21"/>
    </w:rPr>
  </w:style>
  <w:style w:type="character" w:customStyle="1" w:styleId="2Char">
    <w:name w:val="页眉副标题2 Char"/>
    <w:basedOn w:val="12Char"/>
    <w:link w:val="2"/>
    <w:rsid w:val="00B10000"/>
    <w:rPr>
      <w:rFonts w:ascii="华文隶书" w:eastAsia="华文隶书" w:hAnsi="Calibri" w:cs="Times New Roman"/>
      <w:sz w:val="18"/>
      <w:szCs w:val="21"/>
    </w:rPr>
  </w:style>
  <w:style w:type="paragraph" w:customStyle="1" w:styleId="aa">
    <w:name w:val="特别声明格式"/>
    <w:basedOn w:val="a"/>
    <w:link w:val="Char6"/>
    <w:qFormat/>
    <w:rsid w:val="00B10000"/>
    <w:pPr>
      <w:spacing w:afterLines="100" w:line="240" w:lineRule="exact"/>
    </w:pPr>
    <w:rPr>
      <w:rFonts w:ascii="华文隶书" w:eastAsia="华文隶书" w:hAnsi="Calibri" w:cs="Times New Roman"/>
      <w:sz w:val="28"/>
    </w:rPr>
  </w:style>
  <w:style w:type="character" w:customStyle="1" w:styleId="Char6">
    <w:name w:val="特别声明格式 Char"/>
    <w:basedOn w:val="a0"/>
    <w:link w:val="aa"/>
    <w:rsid w:val="00B10000"/>
    <w:rPr>
      <w:rFonts w:ascii="华文隶书" w:eastAsia="华文隶书" w:hAnsi="Calibri" w:cs="Times New Roman"/>
      <w:sz w:val="28"/>
    </w:rPr>
  </w:style>
  <w:style w:type="paragraph" w:styleId="ab">
    <w:name w:val="Body Text"/>
    <w:basedOn w:val="a"/>
    <w:link w:val="Char7"/>
    <w:rsid w:val="00B10000"/>
    <w:pPr>
      <w:widowControl/>
      <w:spacing w:after="120" w:line="240" w:lineRule="exact"/>
      <w:ind w:left="3402"/>
    </w:pPr>
    <w:rPr>
      <w:rFonts w:ascii="Arial" w:eastAsia="楷体_GB2312" w:hAnsi="Arial" w:cs="Times New Roman"/>
      <w:color w:val="000000"/>
      <w:kern w:val="0"/>
      <w:szCs w:val="20"/>
      <w:lang w:val="en-GB"/>
    </w:rPr>
  </w:style>
  <w:style w:type="character" w:customStyle="1" w:styleId="Char7">
    <w:name w:val="正文文本 Char"/>
    <w:basedOn w:val="a0"/>
    <w:link w:val="ab"/>
    <w:rsid w:val="00B10000"/>
    <w:rPr>
      <w:rFonts w:ascii="Arial" w:eastAsia="楷体_GB2312" w:hAnsi="Arial" w:cs="Times New Roman"/>
      <w:color w:val="000000"/>
      <w:kern w:val="0"/>
      <w:szCs w:val="20"/>
      <w:lang w:val="en-GB"/>
    </w:rPr>
  </w:style>
  <w:style w:type="paragraph" w:customStyle="1" w:styleId="FootnoteNoline">
    <w:name w:val="FootnoteNoline"/>
    <w:basedOn w:val="a"/>
    <w:next w:val="ab"/>
    <w:rsid w:val="008840A4"/>
    <w:pPr>
      <w:widowControl/>
      <w:tabs>
        <w:tab w:val="right" w:pos="10065"/>
      </w:tabs>
      <w:spacing w:before="40" w:after="160"/>
      <w:ind w:left="3402"/>
    </w:pPr>
    <w:rPr>
      <w:rFonts w:ascii="Arial" w:eastAsia="楷体_GB2312" w:hAnsi="Arial" w:cs="Arial"/>
      <w:color w:val="003765"/>
      <w:kern w:val="0"/>
      <w:sz w:val="15"/>
      <w:szCs w:val="14"/>
      <w:lang w:val="en-GB"/>
    </w:rPr>
  </w:style>
  <w:style w:type="paragraph" w:customStyle="1" w:styleId="SubTitleLargeTable">
    <w:name w:val="SubTitleLargeTable"/>
    <w:rsid w:val="008840A4"/>
    <w:pPr>
      <w:keepNext/>
      <w:pBdr>
        <w:top w:val="single" w:sz="6" w:space="1" w:color="666699"/>
      </w:pBdr>
      <w:suppressAutoHyphens/>
      <w:spacing w:after="40" w:line="240" w:lineRule="atLeast"/>
    </w:pPr>
    <w:rPr>
      <w:rFonts w:ascii="Arial" w:eastAsia="楷体_GB2312" w:hAnsi="Arial" w:cs="Arial"/>
      <w:b/>
      <w:bCs/>
      <w:i/>
      <w:iCs/>
      <w:color w:val="003765"/>
      <w:kern w:val="0"/>
      <w:szCs w:val="21"/>
      <w:lang w:val="en-GB"/>
    </w:rPr>
  </w:style>
  <w:style w:type="paragraph" w:styleId="ac">
    <w:name w:val="Balloon Text"/>
    <w:basedOn w:val="a"/>
    <w:link w:val="Char8"/>
    <w:uiPriority w:val="99"/>
    <w:semiHidden/>
    <w:unhideWhenUsed/>
    <w:rsid w:val="008840A4"/>
    <w:rPr>
      <w:sz w:val="18"/>
      <w:szCs w:val="18"/>
    </w:rPr>
  </w:style>
  <w:style w:type="character" w:customStyle="1" w:styleId="Char8">
    <w:name w:val="批注框文本 Char"/>
    <w:basedOn w:val="a0"/>
    <w:link w:val="ac"/>
    <w:uiPriority w:val="99"/>
    <w:semiHidden/>
    <w:rsid w:val="008840A4"/>
    <w:rPr>
      <w:sz w:val="18"/>
      <w:szCs w:val="18"/>
    </w:rPr>
  </w:style>
  <w:style w:type="paragraph" w:customStyle="1" w:styleId="CoverBullet">
    <w:name w:val="Cover Bullet"/>
    <w:rsid w:val="008840A4"/>
    <w:pPr>
      <w:numPr>
        <w:numId w:val="3"/>
      </w:numPr>
      <w:spacing w:before="120" w:after="120"/>
      <w:ind w:left="357" w:hanging="357"/>
    </w:pPr>
    <w:rPr>
      <w:rFonts w:ascii="LucidaSans" w:eastAsia="宋体" w:hAnsi="LucidaSans" w:cs="Times New Roman"/>
      <w:b/>
      <w:bCs/>
      <w:kern w:val="0"/>
      <w:sz w:val="20"/>
      <w:szCs w:val="20"/>
      <w:lang w:val="en-GB"/>
    </w:rPr>
  </w:style>
  <w:style w:type="paragraph" w:styleId="ad">
    <w:name w:val="List Paragraph"/>
    <w:basedOn w:val="a"/>
    <w:uiPriority w:val="34"/>
    <w:qFormat/>
    <w:rsid w:val="002630FB"/>
    <w:pPr>
      <w:ind w:firstLineChars="200" w:firstLine="420"/>
    </w:pPr>
  </w:style>
  <w:style w:type="paragraph" w:customStyle="1" w:styleId="SourceLarge">
    <w:name w:val="SourceLarge"/>
    <w:rsid w:val="00875DC2"/>
    <w:pPr>
      <w:tabs>
        <w:tab w:val="left" w:pos="5216"/>
        <w:tab w:val="right" w:pos="9866"/>
      </w:tabs>
      <w:suppressAutoHyphens/>
      <w:spacing w:line="160" w:lineRule="atLeast"/>
    </w:pPr>
    <w:rPr>
      <w:rFonts w:ascii="LucidaSans" w:eastAsia="宋体" w:hAnsi="LucidaSans" w:cs="Times New Roman"/>
      <w:kern w:val="0"/>
      <w:sz w:val="12"/>
      <w:szCs w:val="12"/>
      <w:lang w:val="en-GB"/>
    </w:rPr>
  </w:style>
  <w:style w:type="paragraph" w:customStyle="1" w:styleId="BulletCoverpage">
    <w:name w:val="Bullet Cover page"/>
    <w:basedOn w:val="a"/>
    <w:rsid w:val="00875DC2"/>
    <w:pPr>
      <w:widowControl/>
      <w:numPr>
        <w:numId w:val="4"/>
      </w:numPr>
      <w:suppressAutoHyphens/>
      <w:spacing w:after="200" w:line="240" w:lineRule="atLeast"/>
    </w:pPr>
    <w:rPr>
      <w:rFonts w:ascii="Arial" w:eastAsia="楷体_GB2312" w:hAnsi="Arial" w:cs="Times New Roman"/>
      <w:kern w:val="0"/>
      <w:sz w:val="18"/>
      <w:szCs w:val="20"/>
      <w:lang w:val="en-GB"/>
    </w:rPr>
  </w:style>
  <w:style w:type="character" w:styleId="ae">
    <w:name w:val="Hyperlink"/>
    <w:basedOn w:val="a0"/>
    <w:uiPriority w:val="99"/>
    <w:semiHidden/>
    <w:unhideWhenUsed/>
    <w:rsid w:val="008A7FEE"/>
    <w:rPr>
      <w:strike w:val="0"/>
      <w:dstrike w:val="0"/>
      <w:color w:val="000000"/>
      <w:u w:val="none"/>
      <w:effect w:val="none"/>
    </w:rPr>
  </w:style>
  <w:style w:type="paragraph" w:styleId="af">
    <w:name w:val="Normal (Web)"/>
    <w:basedOn w:val="a"/>
    <w:uiPriority w:val="99"/>
    <w:semiHidden/>
    <w:unhideWhenUsed/>
    <w:rsid w:val="008A7FE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081549">
      <w:bodyDiv w:val="1"/>
      <w:marLeft w:val="0"/>
      <w:marRight w:val="0"/>
      <w:marTop w:val="0"/>
      <w:marBottom w:val="0"/>
      <w:divBdr>
        <w:top w:val="none" w:sz="0" w:space="0" w:color="auto"/>
        <w:left w:val="none" w:sz="0" w:space="0" w:color="auto"/>
        <w:bottom w:val="none" w:sz="0" w:space="0" w:color="auto"/>
        <w:right w:val="none" w:sz="0" w:space="0" w:color="auto"/>
      </w:divBdr>
      <w:divsChild>
        <w:div w:id="136071357">
          <w:marLeft w:val="0"/>
          <w:marRight w:val="0"/>
          <w:marTop w:val="0"/>
          <w:marBottom w:val="0"/>
          <w:divBdr>
            <w:top w:val="none" w:sz="0" w:space="0" w:color="auto"/>
            <w:left w:val="none" w:sz="0" w:space="0" w:color="auto"/>
            <w:bottom w:val="none" w:sz="0" w:space="0" w:color="auto"/>
            <w:right w:val="none" w:sz="0" w:space="0" w:color="auto"/>
          </w:divBdr>
          <w:divsChild>
            <w:div w:id="139816654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0"/>
                  <w:marBottom w:val="0"/>
                  <w:divBdr>
                    <w:top w:val="single" w:sz="18" w:space="0" w:color="08237A"/>
                    <w:left w:val="none" w:sz="0" w:space="0" w:color="auto"/>
                    <w:bottom w:val="none" w:sz="0" w:space="0" w:color="auto"/>
                    <w:right w:val="none" w:sz="0" w:space="0" w:color="auto"/>
                  </w:divBdr>
                  <w:divsChild>
                    <w:div w:id="2000113312">
                      <w:marLeft w:val="0"/>
                      <w:marRight w:val="0"/>
                      <w:marTop w:val="0"/>
                      <w:marBottom w:val="0"/>
                      <w:divBdr>
                        <w:top w:val="single" w:sz="2" w:space="8" w:color="BBBBBB"/>
                        <w:left w:val="single" w:sz="6" w:space="0" w:color="BBBBBB"/>
                        <w:bottom w:val="single" w:sz="6" w:space="0" w:color="BBBBBB"/>
                        <w:right w:val="single" w:sz="6" w:space="0" w:color="BBBBBB"/>
                      </w:divBdr>
                      <w:divsChild>
                        <w:div w:id="1573543398">
                          <w:marLeft w:val="0"/>
                          <w:marRight w:val="0"/>
                          <w:marTop w:val="0"/>
                          <w:marBottom w:val="0"/>
                          <w:divBdr>
                            <w:top w:val="none" w:sz="0" w:space="0" w:color="auto"/>
                            <w:left w:val="none" w:sz="0" w:space="0" w:color="auto"/>
                            <w:bottom w:val="none" w:sz="0" w:space="0" w:color="auto"/>
                            <w:right w:val="none" w:sz="0" w:space="0" w:color="auto"/>
                          </w:divBdr>
                          <w:divsChild>
                            <w:div w:id="191643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77277">
      <w:bodyDiv w:val="1"/>
      <w:marLeft w:val="0"/>
      <w:marRight w:val="0"/>
      <w:marTop w:val="0"/>
      <w:marBottom w:val="0"/>
      <w:divBdr>
        <w:top w:val="none" w:sz="0" w:space="0" w:color="auto"/>
        <w:left w:val="none" w:sz="0" w:space="0" w:color="auto"/>
        <w:bottom w:val="none" w:sz="0" w:space="0" w:color="auto"/>
        <w:right w:val="none" w:sz="0" w:space="0" w:color="auto"/>
      </w:divBdr>
      <w:divsChild>
        <w:div w:id="82528568">
          <w:marLeft w:val="0"/>
          <w:marRight w:val="0"/>
          <w:marTop w:val="0"/>
          <w:marBottom w:val="0"/>
          <w:divBdr>
            <w:top w:val="none" w:sz="0" w:space="0" w:color="auto"/>
            <w:left w:val="none" w:sz="0" w:space="0" w:color="auto"/>
            <w:bottom w:val="none" w:sz="0" w:space="0" w:color="auto"/>
            <w:right w:val="none" w:sz="0" w:space="0" w:color="auto"/>
          </w:divBdr>
          <w:divsChild>
            <w:div w:id="2039119017">
              <w:marLeft w:val="0"/>
              <w:marRight w:val="0"/>
              <w:marTop w:val="0"/>
              <w:marBottom w:val="0"/>
              <w:divBdr>
                <w:top w:val="none" w:sz="0" w:space="0" w:color="auto"/>
                <w:left w:val="none" w:sz="0" w:space="0" w:color="auto"/>
                <w:bottom w:val="none" w:sz="0" w:space="0" w:color="auto"/>
                <w:right w:val="none" w:sz="0" w:space="0" w:color="auto"/>
              </w:divBdr>
              <w:divsChild>
                <w:div w:id="485781892">
                  <w:marLeft w:val="0"/>
                  <w:marRight w:val="0"/>
                  <w:marTop w:val="0"/>
                  <w:marBottom w:val="0"/>
                  <w:divBdr>
                    <w:top w:val="none" w:sz="0" w:space="0" w:color="auto"/>
                    <w:left w:val="none" w:sz="0" w:space="0" w:color="auto"/>
                    <w:bottom w:val="none" w:sz="0" w:space="0" w:color="auto"/>
                    <w:right w:val="none" w:sz="0" w:space="0" w:color="auto"/>
                  </w:divBdr>
                  <w:divsChild>
                    <w:div w:id="48466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80817">
      <w:bodyDiv w:val="1"/>
      <w:marLeft w:val="0"/>
      <w:marRight w:val="0"/>
      <w:marTop w:val="0"/>
      <w:marBottom w:val="0"/>
      <w:divBdr>
        <w:top w:val="none" w:sz="0" w:space="0" w:color="auto"/>
        <w:left w:val="none" w:sz="0" w:space="0" w:color="auto"/>
        <w:bottom w:val="none" w:sz="0" w:space="0" w:color="auto"/>
        <w:right w:val="none" w:sz="0" w:space="0" w:color="auto"/>
      </w:divBdr>
      <w:divsChild>
        <w:div w:id="97019511">
          <w:marLeft w:val="0"/>
          <w:marRight w:val="0"/>
          <w:marTop w:val="0"/>
          <w:marBottom w:val="0"/>
          <w:divBdr>
            <w:top w:val="none" w:sz="0" w:space="0" w:color="auto"/>
            <w:left w:val="none" w:sz="0" w:space="0" w:color="auto"/>
            <w:bottom w:val="none" w:sz="0" w:space="0" w:color="auto"/>
            <w:right w:val="none" w:sz="0" w:space="0" w:color="auto"/>
          </w:divBdr>
        </w:div>
      </w:divsChild>
    </w:div>
    <w:div w:id="352002897">
      <w:bodyDiv w:val="1"/>
      <w:marLeft w:val="0"/>
      <w:marRight w:val="0"/>
      <w:marTop w:val="0"/>
      <w:marBottom w:val="0"/>
      <w:divBdr>
        <w:top w:val="none" w:sz="0" w:space="0" w:color="auto"/>
        <w:left w:val="none" w:sz="0" w:space="0" w:color="auto"/>
        <w:bottom w:val="none" w:sz="0" w:space="0" w:color="auto"/>
        <w:right w:val="none" w:sz="0" w:space="0" w:color="auto"/>
      </w:divBdr>
      <w:divsChild>
        <w:div w:id="115175382">
          <w:marLeft w:val="0"/>
          <w:marRight w:val="0"/>
          <w:marTop w:val="0"/>
          <w:marBottom w:val="0"/>
          <w:divBdr>
            <w:top w:val="none" w:sz="0" w:space="0" w:color="auto"/>
            <w:left w:val="none" w:sz="0" w:space="0" w:color="auto"/>
            <w:bottom w:val="none" w:sz="0" w:space="0" w:color="auto"/>
            <w:right w:val="none" w:sz="0" w:space="0" w:color="auto"/>
          </w:divBdr>
          <w:divsChild>
            <w:div w:id="92822488">
              <w:marLeft w:val="0"/>
              <w:marRight w:val="0"/>
              <w:marTop w:val="0"/>
              <w:marBottom w:val="0"/>
              <w:divBdr>
                <w:top w:val="none" w:sz="0" w:space="0" w:color="auto"/>
                <w:left w:val="none" w:sz="0" w:space="0" w:color="auto"/>
                <w:bottom w:val="none" w:sz="0" w:space="0" w:color="auto"/>
                <w:right w:val="none" w:sz="0" w:space="0" w:color="auto"/>
              </w:divBdr>
              <w:divsChild>
                <w:div w:id="1875843377">
                  <w:marLeft w:val="0"/>
                  <w:marRight w:val="0"/>
                  <w:marTop w:val="0"/>
                  <w:marBottom w:val="0"/>
                  <w:divBdr>
                    <w:top w:val="none" w:sz="0" w:space="0" w:color="auto"/>
                    <w:left w:val="none" w:sz="0" w:space="0" w:color="auto"/>
                    <w:bottom w:val="none" w:sz="0" w:space="0" w:color="auto"/>
                    <w:right w:val="none" w:sz="0" w:space="0" w:color="auto"/>
                  </w:divBdr>
                  <w:divsChild>
                    <w:div w:id="7438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151">
      <w:bodyDiv w:val="1"/>
      <w:marLeft w:val="0"/>
      <w:marRight w:val="0"/>
      <w:marTop w:val="0"/>
      <w:marBottom w:val="0"/>
      <w:divBdr>
        <w:top w:val="none" w:sz="0" w:space="0" w:color="auto"/>
        <w:left w:val="none" w:sz="0" w:space="0" w:color="auto"/>
        <w:bottom w:val="none" w:sz="0" w:space="0" w:color="auto"/>
        <w:right w:val="none" w:sz="0" w:space="0" w:color="auto"/>
      </w:divBdr>
      <w:divsChild>
        <w:div w:id="574821741">
          <w:marLeft w:val="0"/>
          <w:marRight w:val="0"/>
          <w:marTop w:val="0"/>
          <w:marBottom w:val="0"/>
          <w:divBdr>
            <w:top w:val="none" w:sz="0" w:space="0" w:color="auto"/>
            <w:left w:val="none" w:sz="0" w:space="0" w:color="auto"/>
            <w:bottom w:val="none" w:sz="0" w:space="0" w:color="auto"/>
            <w:right w:val="none" w:sz="0" w:space="0" w:color="auto"/>
          </w:divBdr>
          <w:divsChild>
            <w:div w:id="1773016196">
              <w:marLeft w:val="0"/>
              <w:marRight w:val="0"/>
              <w:marTop w:val="0"/>
              <w:marBottom w:val="0"/>
              <w:divBdr>
                <w:top w:val="none" w:sz="0" w:space="0" w:color="auto"/>
                <w:left w:val="none" w:sz="0" w:space="0" w:color="auto"/>
                <w:bottom w:val="none" w:sz="0" w:space="0" w:color="auto"/>
                <w:right w:val="none" w:sz="0" w:space="0" w:color="auto"/>
              </w:divBdr>
              <w:divsChild>
                <w:div w:id="23751824">
                  <w:marLeft w:val="0"/>
                  <w:marRight w:val="0"/>
                  <w:marTop w:val="0"/>
                  <w:marBottom w:val="0"/>
                  <w:divBdr>
                    <w:top w:val="none" w:sz="0" w:space="0" w:color="auto"/>
                    <w:left w:val="none" w:sz="0" w:space="0" w:color="auto"/>
                    <w:bottom w:val="none" w:sz="0" w:space="0" w:color="auto"/>
                    <w:right w:val="none" w:sz="0" w:space="0" w:color="auto"/>
                  </w:divBdr>
                  <w:divsChild>
                    <w:div w:id="146107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204059">
      <w:bodyDiv w:val="1"/>
      <w:marLeft w:val="0"/>
      <w:marRight w:val="0"/>
      <w:marTop w:val="0"/>
      <w:marBottom w:val="0"/>
      <w:divBdr>
        <w:top w:val="none" w:sz="0" w:space="0" w:color="auto"/>
        <w:left w:val="none" w:sz="0" w:space="0" w:color="auto"/>
        <w:bottom w:val="none" w:sz="0" w:space="0" w:color="auto"/>
        <w:right w:val="none" w:sz="0" w:space="0" w:color="auto"/>
      </w:divBdr>
      <w:divsChild>
        <w:div w:id="273291827">
          <w:marLeft w:val="0"/>
          <w:marRight w:val="0"/>
          <w:marTop w:val="0"/>
          <w:marBottom w:val="0"/>
          <w:divBdr>
            <w:top w:val="none" w:sz="0" w:space="0" w:color="auto"/>
            <w:left w:val="none" w:sz="0" w:space="0" w:color="auto"/>
            <w:bottom w:val="none" w:sz="0" w:space="0" w:color="auto"/>
            <w:right w:val="none" w:sz="0" w:space="0" w:color="auto"/>
          </w:divBdr>
          <w:divsChild>
            <w:div w:id="1133326677">
              <w:marLeft w:val="0"/>
              <w:marRight w:val="0"/>
              <w:marTop w:val="0"/>
              <w:marBottom w:val="0"/>
              <w:divBdr>
                <w:top w:val="none" w:sz="0" w:space="0" w:color="auto"/>
                <w:left w:val="none" w:sz="0" w:space="0" w:color="auto"/>
                <w:bottom w:val="none" w:sz="0" w:space="0" w:color="auto"/>
                <w:right w:val="none" w:sz="0" w:space="0" w:color="auto"/>
              </w:divBdr>
              <w:divsChild>
                <w:div w:id="2124878114">
                  <w:marLeft w:val="0"/>
                  <w:marRight w:val="0"/>
                  <w:marTop w:val="0"/>
                  <w:marBottom w:val="0"/>
                  <w:divBdr>
                    <w:top w:val="single" w:sz="18" w:space="0" w:color="08237A"/>
                    <w:left w:val="none" w:sz="0" w:space="0" w:color="auto"/>
                    <w:bottom w:val="none" w:sz="0" w:space="0" w:color="auto"/>
                    <w:right w:val="none" w:sz="0" w:space="0" w:color="auto"/>
                  </w:divBdr>
                  <w:divsChild>
                    <w:div w:id="1762414594">
                      <w:marLeft w:val="0"/>
                      <w:marRight w:val="0"/>
                      <w:marTop w:val="0"/>
                      <w:marBottom w:val="0"/>
                      <w:divBdr>
                        <w:top w:val="single" w:sz="2" w:space="8" w:color="BBBBBB"/>
                        <w:left w:val="single" w:sz="6" w:space="0" w:color="BBBBBB"/>
                        <w:bottom w:val="single" w:sz="6" w:space="0" w:color="BBBBBB"/>
                        <w:right w:val="single" w:sz="6" w:space="0" w:color="BBBBBB"/>
                      </w:divBdr>
                      <w:divsChild>
                        <w:div w:id="2055032517">
                          <w:marLeft w:val="0"/>
                          <w:marRight w:val="0"/>
                          <w:marTop w:val="0"/>
                          <w:marBottom w:val="0"/>
                          <w:divBdr>
                            <w:top w:val="none" w:sz="0" w:space="0" w:color="auto"/>
                            <w:left w:val="none" w:sz="0" w:space="0" w:color="auto"/>
                            <w:bottom w:val="none" w:sz="0" w:space="0" w:color="auto"/>
                            <w:right w:val="none" w:sz="0" w:space="0" w:color="auto"/>
                          </w:divBdr>
                          <w:divsChild>
                            <w:div w:id="159620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05056">
      <w:bodyDiv w:val="1"/>
      <w:marLeft w:val="0"/>
      <w:marRight w:val="0"/>
      <w:marTop w:val="0"/>
      <w:marBottom w:val="0"/>
      <w:divBdr>
        <w:top w:val="none" w:sz="0" w:space="0" w:color="auto"/>
        <w:left w:val="none" w:sz="0" w:space="0" w:color="auto"/>
        <w:bottom w:val="none" w:sz="0" w:space="0" w:color="auto"/>
        <w:right w:val="none" w:sz="0" w:space="0" w:color="auto"/>
      </w:divBdr>
      <w:divsChild>
        <w:div w:id="1250387762">
          <w:marLeft w:val="0"/>
          <w:marRight w:val="0"/>
          <w:marTop w:val="0"/>
          <w:marBottom w:val="0"/>
          <w:divBdr>
            <w:top w:val="none" w:sz="0" w:space="0" w:color="auto"/>
            <w:left w:val="none" w:sz="0" w:space="0" w:color="auto"/>
            <w:bottom w:val="none" w:sz="0" w:space="0" w:color="auto"/>
            <w:right w:val="none" w:sz="0" w:space="0" w:color="auto"/>
          </w:divBdr>
          <w:divsChild>
            <w:div w:id="982194837">
              <w:marLeft w:val="0"/>
              <w:marRight w:val="0"/>
              <w:marTop w:val="0"/>
              <w:marBottom w:val="0"/>
              <w:divBdr>
                <w:top w:val="none" w:sz="0" w:space="0" w:color="auto"/>
                <w:left w:val="none" w:sz="0" w:space="0" w:color="auto"/>
                <w:bottom w:val="none" w:sz="0" w:space="0" w:color="auto"/>
                <w:right w:val="none" w:sz="0" w:space="0" w:color="auto"/>
              </w:divBdr>
              <w:divsChild>
                <w:div w:id="575407800">
                  <w:marLeft w:val="0"/>
                  <w:marRight w:val="0"/>
                  <w:marTop w:val="0"/>
                  <w:marBottom w:val="0"/>
                  <w:divBdr>
                    <w:top w:val="none" w:sz="0" w:space="0" w:color="auto"/>
                    <w:left w:val="none" w:sz="0" w:space="0" w:color="auto"/>
                    <w:bottom w:val="none" w:sz="0" w:space="0" w:color="auto"/>
                    <w:right w:val="none" w:sz="0" w:space="0" w:color="auto"/>
                  </w:divBdr>
                  <w:divsChild>
                    <w:div w:id="1091851938">
                      <w:marLeft w:val="0"/>
                      <w:marRight w:val="0"/>
                      <w:marTop w:val="0"/>
                      <w:marBottom w:val="0"/>
                      <w:divBdr>
                        <w:top w:val="none" w:sz="0" w:space="0" w:color="auto"/>
                        <w:left w:val="none" w:sz="0" w:space="0" w:color="auto"/>
                        <w:bottom w:val="none" w:sz="0" w:space="0" w:color="auto"/>
                        <w:right w:val="none" w:sz="0" w:space="0" w:color="auto"/>
                      </w:divBdr>
                      <w:divsChild>
                        <w:div w:id="181869858">
                          <w:marLeft w:val="0"/>
                          <w:marRight w:val="0"/>
                          <w:marTop w:val="0"/>
                          <w:marBottom w:val="0"/>
                          <w:divBdr>
                            <w:top w:val="none" w:sz="0" w:space="0" w:color="auto"/>
                            <w:left w:val="none" w:sz="0" w:space="0" w:color="auto"/>
                            <w:bottom w:val="none" w:sz="0" w:space="0" w:color="auto"/>
                            <w:right w:val="single" w:sz="4" w:space="0" w:color="E9EAEE"/>
                          </w:divBdr>
                          <w:divsChild>
                            <w:div w:id="11075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509072">
      <w:bodyDiv w:val="1"/>
      <w:marLeft w:val="0"/>
      <w:marRight w:val="0"/>
      <w:marTop w:val="0"/>
      <w:marBottom w:val="0"/>
      <w:divBdr>
        <w:top w:val="none" w:sz="0" w:space="0" w:color="auto"/>
        <w:left w:val="none" w:sz="0" w:space="0" w:color="auto"/>
        <w:bottom w:val="none" w:sz="0" w:space="0" w:color="auto"/>
        <w:right w:val="none" w:sz="0" w:space="0" w:color="auto"/>
      </w:divBdr>
      <w:divsChild>
        <w:div w:id="1181237964">
          <w:marLeft w:val="0"/>
          <w:marRight w:val="0"/>
          <w:marTop w:val="0"/>
          <w:marBottom w:val="0"/>
          <w:divBdr>
            <w:top w:val="none" w:sz="0" w:space="0" w:color="auto"/>
            <w:left w:val="none" w:sz="0" w:space="0" w:color="auto"/>
            <w:bottom w:val="none" w:sz="0" w:space="0" w:color="auto"/>
            <w:right w:val="none" w:sz="0" w:space="0" w:color="auto"/>
          </w:divBdr>
        </w:div>
      </w:divsChild>
    </w:div>
    <w:div w:id="741759024">
      <w:bodyDiv w:val="1"/>
      <w:marLeft w:val="0"/>
      <w:marRight w:val="0"/>
      <w:marTop w:val="0"/>
      <w:marBottom w:val="0"/>
      <w:divBdr>
        <w:top w:val="none" w:sz="0" w:space="0" w:color="auto"/>
        <w:left w:val="none" w:sz="0" w:space="0" w:color="auto"/>
        <w:bottom w:val="none" w:sz="0" w:space="0" w:color="auto"/>
        <w:right w:val="none" w:sz="0" w:space="0" w:color="auto"/>
      </w:divBdr>
      <w:divsChild>
        <w:div w:id="1699817129">
          <w:marLeft w:val="0"/>
          <w:marRight w:val="0"/>
          <w:marTop w:val="0"/>
          <w:marBottom w:val="0"/>
          <w:divBdr>
            <w:top w:val="none" w:sz="0" w:space="0" w:color="auto"/>
            <w:left w:val="none" w:sz="0" w:space="0" w:color="auto"/>
            <w:bottom w:val="none" w:sz="0" w:space="0" w:color="auto"/>
            <w:right w:val="none" w:sz="0" w:space="0" w:color="auto"/>
          </w:divBdr>
          <w:divsChild>
            <w:div w:id="374549359">
              <w:marLeft w:val="0"/>
              <w:marRight w:val="0"/>
              <w:marTop w:val="0"/>
              <w:marBottom w:val="0"/>
              <w:divBdr>
                <w:top w:val="none" w:sz="0" w:space="0" w:color="auto"/>
                <w:left w:val="none" w:sz="0" w:space="0" w:color="auto"/>
                <w:bottom w:val="none" w:sz="0" w:space="0" w:color="auto"/>
                <w:right w:val="none" w:sz="0" w:space="0" w:color="auto"/>
              </w:divBdr>
              <w:divsChild>
                <w:div w:id="814374876">
                  <w:marLeft w:val="0"/>
                  <w:marRight w:val="0"/>
                  <w:marTop w:val="0"/>
                  <w:marBottom w:val="0"/>
                  <w:divBdr>
                    <w:top w:val="none" w:sz="0" w:space="0" w:color="auto"/>
                    <w:left w:val="none" w:sz="0" w:space="0" w:color="auto"/>
                    <w:bottom w:val="none" w:sz="0" w:space="0" w:color="auto"/>
                    <w:right w:val="none" w:sz="0" w:space="0" w:color="auto"/>
                  </w:divBdr>
                  <w:divsChild>
                    <w:div w:id="626201149">
                      <w:marLeft w:val="0"/>
                      <w:marRight w:val="0"/>
                      <w:marTop w:val="0"/>
                      <w:marBottom w:val="0"/>
                      <w:divBdr>
                        <w:top w:val="none" w:sz="0" w:space="0" w:color="auto"/>
                        <w:left w:val="none" w:sz="0" w:space="0" w:color="auto"/>
                        <w:bottom w:val="none" w:sz="0" w:space="0" w:color="auto"/>
                        <w:right w:val="none" w:sz="0" w:space="0" w:color="auto"/>
                      </w:divBdr>
                      <w:divsChild>
                        <w:div w:id="850026300">
                          <w:marLeft w:val="0"/>
                          <w:marRight w:val="0"/>
                          <w:marTop w:val="0"/>
                          <w:marBottom w:val="0"/>
                          <w:divBdr>
                            <w:top w:val="none" w:sz="0" w:space="0" w:color="auto"/>
                            <w:left w:val="none" w:sz="0" w:space="0" w:color="auto"/>
                            <w:bottom w:val="none" w:sz="0" w:space="0" w:color="auto"/>
                            <w:right w:val="none" w:sz="0" w:space="0" w:color="auto"/>
                          </w:divBdr>
                          <w:divsChild>
                            <w:div w:id="87233315">
                              <w:marLeft w:val="0"/>
                              <w:marRight w:val="0"/>
                              <w:marTop w:val="0"/>
                              <w:marBottom w:val="0"/>
                              <w:divBdr>
                                <w:top w:val="none" w:sz="0" w:space="0" w:color="auto"/>
                                <w:left w:val="none" w:sz="0" w:space="0" w:color="auto"/>
                                <w:bottom w:val="none" w:sz="0" w:space="0" w:color="auto"/>
                                <w:right w:val="none" w:sz="0" w:space="0" w:color="auto"/>
                              </w:divBdr>
                              <w:divsChild>
                                <w:div w:id="209454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965335">
      <w:bodyDiv w:val="1"/>
      <w:marLeft w:val="0"/>
      <w:marRight w:val="0"/>
      <w:marTop w:val="0"/>
      <w:marBottom w:val="0"/>
      <w:divBdr>
        <w:top w:val="none" w:sz="0" w:space="0" w:color="auto"/>
        <w:left w:val="none" w:sz="0" w:space="0" w:color="auto"/>
        <w:bottom w:val="none" w:sz="0" w:space="0" w:color="auto"/>
        <w:right w:val="none" w:sz="0" w:space="0" w:color="auto"/>
      </w:divBdr>
      <w:divsChild>
        <w:div w:id="1259943150">
          <w:marLeft w:val="0"/>
          <w:marRight w:val="0"/>
          <w:marTop w:val="0"/>
          <w:marBottom w:val="0"/>
          <w:divBdr>
            <w:top w:val="none" w:sz="0" w:space="0" w:color="auto"/>
            <w:left w:val="none" w:sz="0" w:space="0" w:color="auto"/>
            <w:bottom w:val="none" w:sz="0" w:space="0" w:color="auto"/>
            <w:right w:val="none" w:sz="0" w:space="0" w:color="auto"/>
          </w:divBdr>
        </w:div>
      </w:divsChild>
    </w:div>
    <w:div w:id="1150832191">
      <w:bodyDiv w:val="1"/>
      <w:marLeft w:val="0"/>
      <w:marRight w:val="0"/>
      <w:marTop w:val="0"/>
      <w:marBottom w:val="0"/>
      <w:divBdr>
        <w:top w:val="none" w:sz="0" w:space="0" w:color="auto"/>
        <w:left w:val="none" w:sz="0" w:space="0" w:color="auto"/>
        <w:bottom w:val="none" w:sz="0" w:space="0" w:color="auto"/>
        <w:right w:val="none" w:sz="0" w:space="0" w:color="auto"/>
      </w:divBdr>
      <w:divsChild>
        <w:div w:id="1961497309">
          <w:marLeft w:val="0"/>
          <w:marRight w:val="0"/>
          <w:marTop w:val="0"/>
          <w:marBottom w:val="0"/>
          <w:divBdr>
            <w:top w:val="none" w:sz="0" w:space="0" w:color="auto"/>
            <w:left w:val="none" w:sz="0" w:space="0" w:color="auto"/>
            <w:bottom w:val="none" w:sz="0" w:space="0" w:color="auto"/>
            <w:right w:val="none" w:sz="0" w:space="0" w:color="auto"/>
          </w:divBdr>
          <w:divsChild>
            <w:div w:id="1515994863">
              <w:marLeft w:val="0"/>
              <w:marRight w:val="0"/>
              <w:marTop w:val="0"/>
              <w:marBottom w:val="0"/>
              <w:divBdr>
                <w:top w:val="none" w:sz="0" w:space="0" w:color="auto"/>
                <w:left w:val="none" w:sz="0" w:space="0" w:color="auto"/>
                <w:bottom w:val="none" w:sz="0" w:space="0" w:color="auto"/>
                <w:right w:val="none" w:sz="0" w:space="0" w:color="auto"/>
              </w:divBdr>
              <w:divsChild>
                <w:div w:id="578246007">
                  <w:marLeft w:val="0"/>
                  <w:marRight w:val="0"/>
                  <w:marTop w:val="0"/>
                  <w:marBottom w:val="0"/>
                  <w:divBdr>
                    <w:top w:val="single" w:sz="18" w:space="0" w:color="08237A"/>
                    <w:left w:val="none" w:sz="0" w:space="0" w:color="auto"/>
                    <w:bottom w:val="none" w:sz="0" w:space="0" w:color="auto"/>
                    <w:right w:val="none" w:sz="0" w:space="0" w:color="auto"/>
                  </w:divBdr>
                  <w:divsChild>
                    <w:div w:id="1013847593">
                      <w:marLeft w:val="0"/>
                      <w:marRight w:val="0"/>
                      <w:marTop w:val="0"/>
                      <w:marBottom w:val="0"/>
                      <w:divBdr>
                        <w:top w:val="single" w:sz="2" w:space="8" w:color="BBBBBB"/>
                        <w:left w:val="single" w:sz="6" w:space="0" w:color="BBBBBB"/>
                        <w:bottom w:val="single" w:sz="6" w:space="0" w:color="BBBBBB"/>
                        <w:right w:val="single" w:sz="6" w:space="0" w:color="BBBBBB"/>
                      </w:divBdr>
                      <w:divsChild>
                        <w:div w:id="1712993986">
                          <w:marLeft w:val="0"/>
                          <w:marRight w:val="0"/>
                          <w:marTop w:val="0"/>
                          <w:marBottom w:val="0"/>
                          <w:divBdr>
                            <w:top w:val="none" w:sz="0" w:space="0" w:color="auto"/>
                            <w:left w:val="none" w:sz="0" w:space="0" w:color="auto"/>
                            <w:bottom w:val="none" w:sz="0" w:space="0" w:color="auto"/>
                            <w:right w:val="none" w:sz="0" w:space="0" w:color="auto"/>
                          </w:divBdr>
                          <w:divsChild>
                            <w:div w:id="57936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086377">
      <w:bodyDiv w:val="1"/>
      <w:marLeft w:val="0"/>
      <w:marRight w:val="0"/>
      <w:marTop w:val="0"/>
      <w:marBottom w:val="0"/>
      <w:divBdr>
        <w:top w:val="none" w:sz="0" w:space="0" w:color="auto"/>
        <w:left w:val="none" w:sz="0" w:space="0" w:color="auto"/>
        <w:bottom w:val="none" w:sz="0" w:space="0" w:color="auto"/>
        <w:right w:val="none" w:sz="0" w:space="0" w:color="auto"/>
      </w:divBdr>
      <w:divsChild>
        <w:div w:id="936602070">
          <w:marLeft w:val="0"/>
          <w:marRight w:val="0"/>
          <w:marTop w:val="0"/>
          <w:marBottom w:val="0"/>
          <w:divBdr>
            <w:top w:val="none" w:sz="0" w:space="0" w:color="auto"/>
            <w:left w:val="none" w:sz="0" w:space="0" w:color="auto"/>
            <w:bottom w:val="none" w:sz="0" w:space="0" w:color="auto"/>
            <w:right w:val="none" w:sz="0" w:space="0" w:color="auto"/>
          </w:divBdr>
          <w:divsChild>
            <w:div w:id="2009671451">
              <w:marLeft w:val="0"/>
              <w:marRight w:val="0"/>
              <w:marTop w:val="0"/>
              <w:marBottom w:val="0"/>
              <w:divBdr>
                <w:top w:val="none" w:sz="0" w:space="0" w:color="auto"/>
                <w:left w:val="none" w:sz="0" w:space="0" w:color="auto"/>
                <w:bottom w:val="none" w:sz="0" w:space="0" w:color="auto"/>
                <w:right w:val="none" w:sz="0" w:space="0" w:color="auto"/>
              </w:divBdr>
              <w:divsChild>
                <w:div w:id="879319576">
                  <w:marLeft w:val="0"/>
                  <w:marRight w:val="0"/>
                  <w:marTop w:val="0"/>
                  <w:marBottom w:val="0"/>
                  <w:divBdr>
                    <w:top w:val="single" w:sz="18" w:space="0" w:color="08237A"/>
                    <w:left w:val="none" w:sz="0" w:space="0" w:color="auto"/>
                    <w:bottom w:val="none" w:sz="0" w:space="0" w:color="auto"/>
                    <w:right w:val="none" w:sz="0" w:space="0" w:color="auto"/>
                  </w:divBdr>
                  <w:divsChild>
                    <w:div w:id="1522426394">
                      <w:marLeft w:val="0"/>
                      <w:marRight w:val="0"/>
                      <w:marTop w:val="0"/>
                      <w:marBottom w:val="0"/>
                      <w:divBdr>
                        <w:top w:val="single" w:sz="2" w:space="8" w:color="BBBBBB"/>
                        <w:left w:val="single" w:sz="6" w:space="0" w:color="BBBBBB"/>
                        <w:bottom w:val="single" w:sz="6" w:space="0" w:color="BBBBBB"/>
                        <w:right w:val="single" w:sz="6" w:space="0" w:color="BBBBBB"/>
                      </w:divBdr>
                      <w:divsChild>
                        <w:div w:id="1847207687">
                          <w:marLeft w:val="0"/>
                          <w:marRight w:val="0"/>
                          <w:marTop w:val="0"/>
                          <w:marBottom w:val="0"/>
                          <w:divBdr>
                            <w:top w:val="none" w:sz="0" w:space="0" w:color="auto"/>
                            <w:left w:val="none" w:sz="0" w:space="0" w:color="auto"/>
                            <w:bottom w:val="none" w:sz="0" w:space="0" w:color="auto"/>
                            <w:right w:val="none" w:sz="0" w:space="0" w:color="auto"/>
                          </w:divBdr>
                          <w:divsChild>
                            <w:div w:id="10528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476660">
      <w:bodyDiv w:val="1"/>
      <w:marLeft w:val="0"/>
      <w:marRight w:val="0"/>
      <w:marTop w:val="0"/>
      <w:marBottom w:val="0"/>
      <w:divBdr>
        <w:top w:val="none" w:sz="0" w:space="0" w:color="auto"/>
        <w:left w:val="none" w:sz="0" w:space="0" w:color="auto"/>
        <w:bottom w:val="none" w:sz="0" w:space="0" w:color="auto"/>
        <w:right w:val="none" w:sz="0" w:space="0" w:color="auto"/>
      </w:divBdr>
      <w:divsChild>
        <w:div w:id="463042640">
          <w:marLeft w:val="0"/>
          <w:marRight w:val="0"/>
          <w:marTop w:val="0"/>
          <w:marBottom w:val="0"/>
          <w:divBdr>
            <w:top w:val="none" w:sz="0" w:space="0" w:color="auto"/>
            <w:left w:val="none" w:sz="0" w:space="0" w:color="auto"/>
            <w:bottom w:val="none" w:sz="0" w:space="0" w:color="auto"/>
            <w:right w:val="none" w:sz="0" w:space="0" w:color="auto"/>
          </w:divBdr>
          <w:divsChild>
            <w:div w:id="2090729516">
              <w:marLeft w:val="0"/>
              <w:marRight w:val="0"/>
              <w:marTop w:val="0"/>
              <w:marBottom w:val="0"/>
              <w:divBdr>
                <w:top w:val="none" w:sz="0" w:space="0" w:color="auto"/>
                <w:left w:val="none" w:sz="0" w:space="0" w:color="auto"/>
                <w:bottom w:val="none" w:sz="0" w:space="0" w:color="auto"/>
                <w:right w:val="none" w:sz="0" w:space="0" w:color="auto"/>
              </w:divBdr>
              <w:divsChild>
                <w:div w:id="1669794550">
                  <w:marLeft w:val="0"/>
                  <w:marRight w:val="0"/>
                  <w:marTop w:val="0"/>
                  <w:marBottom w:val="0"/>
                  <w:divBdr>
                    <w:top w:val="none" w:sz="0" w:space="0" w:color="auto"/>
                    <w:left w:val="none" w:sz="0" w:space="0" w:color="auto"/>
                    <w:bottom w:val="none" w:sz="0" w:space="0" w:color="auto"/>
                    <w:right w:val="none" w:sz="0" w:space="0" w:color="auto"/>
                  </w:divBdr>
                  <w:divsChild>
                    <w:div w:id="2029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4428">
      <w:bodyDiv w:val="1"/>
      <w:marLeft w:val="0"/>
      <w:marRight w:val="0"/>
      <w:marTop w:val="0"/>
      <w:marBottom w:val="0"/>
      <w:divBdr>
        <w:top w:val="none" w:sz="0" w:space="0" w:color="auto"/>
        <w:left w:val="none" w:sz="0" w:space="0" w:color="auto"/>
        <w:bottom w:val="none" w:sz="0" w:space="0" w:color="auto"/>
        <w:right w:val="none" w:sz="0" w:space="0" w:color="auto"/>
      </w:divBdr>
      <w:divsChild>
        <w:div w:id="148181686">
          <w:marLeft w:val="0"/>
          <w:marRight w:val="0"/>
          <w:marTop w:val="0"/>
          <w:marBottom w:val="0"/>
          <w:divBdr>
            <w:top w:val="none" w:sz="0" w:space="0" w:color="auto"/>
            <w:left w:val="none" w:sz="0" w:space="0" w:color="auto"/>
            <w:bottom w:val="none" w:sz="0" w:space="0" w:color="auto"/>
            <w:right w:val="none" w:sz="0" w:space="0" w:color="auto"/>
          </w:divBdr>
          <w:divsChild>
            <w:div w:id="256594456">
              <w:marLeft w:val="0"/>
              <w:marRight w:val="0"/>
              <w:marTop w:val="0"/>
              <w:marBottom w:val="0"/>
              <w:divBdr>
                <w:top w:val="none" w:sz="0" w:space="0" w:color="auto"/>
                <w:left w:val="none" w:sz="0" w:space="0" w:color="auto"/>
                <w:bottom w:val="none" w:sz="0" w:space="0" w:color="auto"/>
                <w:right w:val="none" w:sz="0" w:space="0" w:color="auto"/>
              </w:divBdr>
              <w:divsChild>
                <w:div w:id="14693377">
                  <w:marLeft w:val="0"/>
                  <w:marRight w:val="0"/>
                  <w:marTop w:val="0"/>
                  <w:marBottom w:val="0"/>
                  <w:divBdr>
                    <w:top w:val="single" w:sz="18" w:space="0" w:color="08237A"/>
                    <w:left w:val="none" w:sz="0" w:space="0" w:color="auto"/>
                    <w:bottom w:val="none" w:sz="0" w:space="0" w:color="auto"/>
                    <w:right w:val="none" w:sz="0" w:space="0" w:color="auto"/>
                  </w:divBdr>
                  <w:divsChild>
                    <w:div w:id="1105689208">
                      <w:marLeft w:val="0"/>
                      <w:marRight w:val="0"/>
                      <w:marTop w:val="0"/>
                      <w:marBottom w:val="0"/>
                      <w:divBdr>
                        <w:top w:val="single" w:sz="2" w:space="8" w:color="BBBBBB"/>
                        <w:left w:val="single" w:sz="6" w:space="0" w:color="BBBBBB"/>
                        <w:bottom w:val="single" w:sz="6" w:space="0" w:color="BBBBBB"/>
                        <w:right w:val="single" w:sz="6" w:space="0" w:color="BBBBBB"/>
                      </w:divBdr>
                      <w:divsChild>
                        <w:div w:id="1034619026">
                          <w:marLeft w:val="0"/>
                          <w:marRight w:val="0"/>
                          <w:marTop w:val="0"/>
                          <w:marBottom w:val="0"/>
                          <w:divBdr>
                            <w:top w:val="none" w:sz="0" w:space="0" w:color="auto"/>
                            <w:left w:val="none" w:sz="0" w:space="0" w:color="auto"/>
                            <w:bottom w:val="none" w:sz="0" w:space="0" w:color="auto"/>
                            <w:right w:val="none" w:sz="0" w:space="0" w:color="auto"/>
                          </w:divBdr>
                          <w:divsChild>
                            <w:div w:id="17049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229908">
      <w:bodyDiv w:val="1"/>
      <w:marLeft w:val="0"/>
      <w:marRight w:val="0"/>
      <w:marTop w:val="0"/>
      <w:marBottom w:val="0"/>
      <w:divBdr>
        <w:top w:val="none" w:sz="0" w:space="0" w:color="auto"/>
        <w:left w:val="none" w:sz="0" w:space="0" w:color="auto"/>
        <w:bottom w:val="none" w:sz="0" w:space="0" w:color="auto"/>
        <w:right w:val="none" w:sz="0" w:space="0" w:color="auto"/>
      </w:divBdr>
      <w:divsChild>
        <w:div w:id="174417702">
          <w:marLeft w:val="0"/>
          <w:marRight w:val="0"/>
          <w:marTop w:val="0"/>
          <w:marBottom w:val="0"/>
          <w:divBdr>
            <w:top w:val="none" w:sz="0" w:space="0" w:color="auto"/>
            <w:left w:val="none" w:sz="0" w:space="0" w:color="auto"/>
            <w:bottom w:val="none" w:sz="0" w:space="0" w:color="auto"/>
            <w:right w:val="none" w:sz="0" w:space="0" w:color="auto"/>
          </w:divBdr>
          <w:divsChild>
            <w:div w:id="905262691">
              <w:marLeft w:val="0"/>
              <w:marRight w:val="0"/>
              <w:marTop w:val="0"/>
              <w:marBottom w:val="0"/>
              <w:divBdr>
                <w:top w:val="none" w:sz="0" w:space="0" w:color="auto"/>
                <w:left w:val="none" w:sz="0" w:space="0" w:color="auto"/>
                <w:bottom w:val="none" w:sz="0" w:space="0" w:color="auto"/>
                <w:right w:val="none" w:sz="0" w:space="0" w:color="auto"/>
              </w:divBdr>
              <w:divsChild>
                <w:div w:id="970355565">
                  <w:marLeft w:val="0"/>
                  <w:marRight w:val="0"/>
                  <w:marTop w:val="0"/>
                  <w:marBottom w:val="0"/>
                  <w:divBdr>
                    <w:top w:val="single" w:sz="18" w:space="0" w:color="08237A"/>
                    <w:left w:val="none" w:sz="0" w:space="0" w:color="auto"/>
                    <w:bottom w:val="none" w:sz="0" w:space="0" w:color="auto"/>
                    <w:right w:val="none" w:sz="0" w:space="0" w:color="auto"/>
                  </w:divBdr>
                  <w:divsChild>
                    <w:div w:id="1428112911">
                      <w:marLeft w:val="0"/>
                      <w:marRight w:val="0"/>
                      <w:marTop w:val="0"/>
                      <w:marBottom w:val="0"/>
                      <w:divBdr>
                        <w:top w:val="single" w:sz="2" w:space="8" w:color="BBBBBB"/>
                        <w:left w:val="single" w:sz="6" w:space="0" w:color="BBBBBB"/>
                        <w:bottom w:val="single" w:sz="6" w:space="0" w:color="BBBBBB"/>
                        <w:right w:val="single" w:sz="6" w:space="0" w:color="BBBBBB"/>
                      </w:divBdr>
                      <w:divsChild>
                        <w:div w:id="1912889333">
                          <w:marLeft w:val="0"/>
                          <w:marRight w:val="0"/>
                          <w:marTop w:val="0"/>
                          <w:marBottom w:val="0"/>
                          <w:divBdr>
                            <w:top w:val="none" w:sz="0" w:space="0" w:color="auto"/>
                            <w:left w:val="none" w:sz="0" w:space="0" w:color="auto"/>
                            <w:bottom w:val="none" w:sz="0" w:space="0" w:color="auto"/>
                            <w:right w:val="none" w:sz="0" w:space="0" w:color="auto"/>
                          </w:divBdr>
                          <w:divsChild>
                            <w:div w:id="49453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576242">
      <w:bodyDiv w:val="1"/>
      <w:marLeft w:val="0"/>
      <w:marRight w:val="0"/>
      <w:marTop w:val="0"/>
      <w:marBottom w:val="0"/>
      <w:divBdr>
        <w:top w:val="none" w:sz="0" w:space="0" w:color="auto"/>
        <w:left w:val="none" w:sz="0" w:space="0" w:color="auto"/>
        <w:bottom w:val="none" w:sz="0" w:space="0" w:color="auto"/>
        <w:right w:val="none" w:sz="0" w:space="0" w:color="auto"/>
      </w:divBdr>
      <w:divsChild>
        <w:div w:id="1082095316">
          <w:marLeft w:val="0"/>
          <w:marRight w:val="0"/>
          <w:marTop w:val="0"/>
          <w:marBottom w:val="0"/>
          <w:divBdr>
            <w:top w:val="none" w:sz="0" w:space="0" w:color="auto"/>
            <w:left w:val="none" w:sz="0" w:space="0" w:color="auto"/>
            <w:bottom w:val="none" w:sz="0" w:space="0" w:color="auto"/>
            <w:right w:val="none" w:sz="0" w:space="0" w:color="auto"/>
          </w:divBdr>
          <w:divsChild>
            <w:div w:id="707291642">
              <w:marLeft w:val="0"/>
              <w:marRight w:val="0"/>
              <w:marTop w:val="0"/>
              <w:marBottom w:val="0"/>
              <w:divBdr>
                <w:top w:val="none" w:sz="0" w:space="0" w:color="auto"/>
                <w:left w:val="none" w:sz="0" w:space="0" w:color="auto"/>
                <w:bottom w:val="none" w:sz="0" w:space="0" w:color="auto"/>
                <w:right w:val="none" w:sz="0" w:space="0" w:color="auto"/>
              </w:divBdr>
              <w:divsChild>
                <w:div w:id="446588015">
                  <w:marLeft w:val="0"/>
                  <w:marRight w:val="0"/>
                  <w:marTop w:val="0"/>
                  <w:marBottom w:val="0"/>
                  <w:divBdr>
                    <w:top w:val="none" w:sz="0" w:space="0" w:color="auto"/>
                    <w:left w:val="none" w:sz="0" w:space="0" w:color="auto"/>
                    <w:bottom w:val="none" w:sz="0" w:space="0" w:color="auto"/>
                    <w:right w:val="none" w:sz="0" w:space="0" w:color="auto"/>
                  </w:divBdr>
                  <w:divsChild>
                    <w:div w:id="1399203967">
                      <w:marLeft w:val="0"/>
                      <w:marRight w:val="0"/>
                      <w:marTop w:val="0"/>
                      <w:marBottom w:val="0"/>
                      <w:divBdr>
                        <w:top w:val="none" w:sz="0" w:space="0" w:color="auto"/>
                        <w:left w:val="none" w:sz="0" w:space="0" w:color="auto"/>
                        <w:bottom w:val="none" w:sz="0" w:space="0" w:color="auto"/>
                        <w:right w:val="none" w:sz="0" w:space="0" w:color="auto"/>
                      </w:divBdr>
                      <w:divsChild>
                        <w:div w:id="941300450">
                          <w:marLeft w:val="0"/>
                          <w:marRight w:val="0"/>
                          <w:marTop w:val="0"/>
                          <w:marBottom w:val="0"/>
                          <w:divBdr>
                            <w:top w:val="none" w:sz="0" w:space="0" w:color="auto"/>
                            <w:left w:val="none" w:sz="0" w:space="0" w:color="auto"/>
                            <w:bottom w:val="none" w:sz="0" w:space="0" w:color="auto"/>
                            <w:right w:val="none" w:sz="0" w:space="0" w:color="auto"/>
                          </w:divBdr>
                          <w:divsChild>
                            <w:div w:id="91055509">
                              <w:marLeft w:val="0"/>
                              <w:marRight w:val="0"/>
                              <w:marTop w:val="0"/>
                              <w:marBottom w:val="0"/>
                              <w:divBdr>
                                <w:top w:val="none" w:sz="0" w:space="0" w:color="auto"/>
                                <w:left w:val="none" w:sz="0" w:space="0" w:color="auto"/>
                                <w:bottom w:val="none" w:sz="0" w:space="0" w:color="auto"/>
                                <w:right w:val="none" w:sz="0" w:space="0" w:color="auto"/>
                              </w:divBdr>
                              <w:divsChild>
                                <w:div w:id="6874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048526">
      <w:bodyDiv w:val="1"/>
      <w:marLeft w:val="0"/>
      <w:marRight w:val="0"/>
      <w:marTop w:val="0"/>
      <w:marBottom w:val="0"/>
      <w:divBdr>
        <w:top w:val="none" w:sz="0" w:space="0" w:color="auto"/>
        <w:left w:val="none" w:sz="0" w:space="0" w:color="auto"/>
        <w:bottom w:val="none" w:sz="0" w:space="0" w:color="auto"/>
        <w:right w:val="none" w:sz="0" w:space="0" w:color="auto"/>
      </w:divBdr>
      <w:divsChild>
        <w:div w:id="911162431">
          <w:marLeft w:val="0"/>
          <w:marRight w:val="0"/>
          <w:marTop w:val="0"/>
          <w:marBottom w:val="0"/>
          <w:divBdr>
            <w:top w:val="none" w:sz="0" w:space="0" w:color="auto"/>
            <w:left w:val="none" w:sz="0" w:space="0" w:color="auto"/>
            <w:bottom w:val="none" w:sz="0" w:space="0" w:color="auto"/>
            <w:right w:val="none" w:sz="0" w:space="0" w:color="auto"/>
          </w:divBdr>
        </w:div>
      </w:divsChild>
    </w:div>
    <w:div w:id="1514563594">
      <w:bodyDiv w:val="1"/>
      <w:marLeft w:val="0"/>
      <w:marRight w:val="0"/>
      <w:marTop w:val="0"/>
      <w:marBottom w:val="0"/>
      <w:divBdr>
        <w:top w:val="none" w:sz="0" w:space="0" w:color="auto"/>
        <w:left w:val="none" w:sz="0" w:space="0" w:color="auto"/>
        <w:bottom w:val="none" w:sz="0" w:space="0" w:color="auto"/>
        <w:right w:val="none" w:sz="0" w:space="0" w:color="auto"/>
      </w:divBdr>
      <w:divsChild>
        <w:div w:id="1370303226">
          <w:marLeft w:val="0"/>
          <w:marRight w:val="0"/>
          <w:marTop w:val="0"/>
          <w:marBottom w:val="0"/>
          <w:divBdr>
            <w:top w:val="none" w:sz="0" w:space="0" w:color="auto"/>
            <w:left w:val="none" w:sz="0" w:space="0" w:color="auto"/>
            <w:bottom w:val="none" w:sz="0" w:space="0" w:color="auto"/>
            <w:right w:val="none" w:sz="0" w:space="0" w:color="auto"/>
          </w:divBdr>
          <w:divsChild>
            <w:div w:id="1925797466">
              <w:marLeft w:val="0"/>
              <w:marRight w:val="0"/>
              <w:marTop w:val="0"/>
              <w:marBottom w:val="0"/>
              <w:divBdr>
                <w:top w:val="none" w:sz="0" w:space="0" w:color="auto"/>
                <w:left w:val="none" w:sz="0" w:space="0" w:color="auto"/>
                <w:bottom w:val="none" w:sz="0" w:space="0" w:color="auto"/>
                <w:right w:val="none" w:sz="0" w:space="0" w:color="auto"/>
              </w:divBdr>
              <w:divsChild>
                <w:div w:id="2018846686">
                  <w:marLeft w:val="0"/>
                  <w:marRight w:val="0"/>
                  <w:marTop w:val="0"/>
                  <w:marBottom w:val="0"/>
                  <w:divBdr>
                    <w:top w:val="none" w:sz="0" w:space="0" w:color="auto"/>
                    <w:left w:val="none" w:sz="0" w:space="0" w:color="auto"/>
                    <w:bottom w:val="none" w:sz="0" w:space="0" w:color="auto"/>
                    <w:right w:val="none" w:sz="0" w:space="0" w:color="auto"/>
                  </w:divBdr>
                  <w:divsChild>
                    <w:div w:id="1685471763">
                      <w:marLeft w:val="0"/>
                      <w:marRight w:val="0"/>
                      <w:marTop w:val="0"/>
                      <w:marBottom w:val="0"/>
                      <w:divBdr>
                        <w:top w:val="none" w:sz="0" w:space="0" w:color="auto"/>
                        <w:left w:val="none" w:sz="0" w:space="0" w:color="auto"/>
                        <w:bottom w:val="none" w:sz="0" w:space="0" w:color="auto"/>
                        <w:right w:val="none" w:sz="0" w:space="0" w:color="auto"/>
                      </w:divBdr>
                      <w:divsChild>
                        <w:div w:id="10660270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955523">
      <w:bodyDiv w:val="1"/>
      <w:marLeft w:val="0"/>
      <w:marRight w:val="0"/>
      <w:marTop w:val="0"/>
      <w:marBottom w:val="0"/>
      <w:divBdr>
        <w:top w:val="none" w:sz="0" w:space="0" w:color="auto"/>
        <w:left w:val="none" w:sz="0" w:space="0" w:color="auto"/>
        <w:bottom w:val="none" w:sz="0" w:space="0" w:color="auto"/>
        <w:right w:val="none" w:sz="0" w:space="0" w:color="auto"/>
      </w:divBdr>
      <w:divsChild>
        <w:div w:id="1745372100">
          <w:marLeft w:val="0"/>
          <w:marRight w:val="0"/>
          <w:marTop w:val="0"/>
          <w:marBottom w:val="0"/>
          <w:divBdr>
            <w:top w:val="none" w:sz="0" w:space="0" w:color="auto"/>
            <w:left w:val="none" w:sz="0" w:space="0" w:color="auto"/>
            <w:bottom w:val="none" w:sz="0" w:space="0" w:color="auto"/>
            <w:right w:val="none" w:sz="0" w:space="0" w:color="auto"/>
          </w:divBdr>
        </w:div>
      </w:divsChild>
    </w:div>
    <w:div w:id="1540583365">
      <w:bodyDiv w:val="1"/>
      <w:marLeft w:val="0"/>
      <w:marRight w:val="0"/>
      <w:marTop w:val="0"/>
      <w:marBottom w:val="0"/>
      <w:divBdr>
        <w:top w:val="none" w:sz="0" w:space="0" w:color="auto"/>
        <w:left w:val="none" w:sz="0" w:space="0" w:color="auto"/>
        <w:bottom w:val="none" w:sz="0" w:space="0" w:color="auto"/>
        <w:right w:val="none" w:sz="0" w:space="0" w:color="auto"/>
      </w:divBdr>
      <w:divsChild>
        <w:div w:id="1460689842">
          <w:marLeft w:val="0"/>
          <w:marRight w:val="0"/>
          <w:marTop w:val="63"/>
          <w:marBottom w:val="63"/>
          <w:divBdr>
            <w:top w:val="none" w:sz="0" w:space="0" w:color="auto"/>
            <w:left w:val="none" w:sz="0" w:space="0" w:color="auto"/>
            <w:bottom w:val="none" w:sz="0" w:space="0" w:color="auto"/>
            <w:right w:val="none" w:sz="0" w:space="0" w:color="auto"/>
          </w:divBdr>
          <w:divsChild>
            <w:div w:id="1173185362">
              <w:marLeft w:val="0"/>
              <w:marRight w:val="0"/>
              <w:marTop w:val="0"/>
              <w:marBottom w:val="0"/>
              <w:divBdr>
                <w:top w:val="single" w:sz="4" w:space="0" w:color="BEBEBE"/>
                <w:left w:val="single" w:sz="4" w:space="0" w:color="BEBEBE"/>
                <w:bottom w:val="single" w:sz="4" w:space="0" w:color="BEBEBE"/>
                <w:right w:val="single" w:sz="4" w:space="0" w:color="BEBEBE"/>
              </w:divBdr>
              <w:divsChild>
                <w:div w:id="2051147812">
                  <w:marLeft w:val="0"/>
                  <w:marRight w:val="0"/>
                  <w:marTop w:val="0"/>
                  <w:marBottom w:val="0"/>
                  <w:divBdr>
                    <w:top w:val="none" w:sz="0" w:space="0" w:color="auto"/>
                    <w:left w:val="none" w:sz="0" w:space="0" w:color="auto"/>
                    <w:bottom w:val="none" w:sz="0" w:space="0" w:color="auto"/>
                    <w:right w:val="none" w:sz="0" w:space="0" w:color="auto"/>
                  </w:divBdr>
                  <w:divsChild>
                    <w:div w:id="1182208104">
                      <w:marLeft w:val="0"/>
                      <w:marRight w:val="0"/>
                      <w:marTop w:val="0"/>
                      <w:marBottom w:val="0"/>
                      <w:divBdr>
                        <w:top w:val="none" w:sz="0" w:space="0" w:color="auto"/>
                        <w:left w:val="none" w:sz="0" w:space="0" w:color="auto"/>
                        <w:bottom w:val="none" w:sz="0" w:space="0" w:color="auto"/>
                        <w:right w:val="none" w:sz="0" w:space="0" w:color="auto"/>
                      </w:divBdr>
                      <w:divsChild>
                        <w:div w:id="143165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881270">
      <w:bodyDiv w:val="1"/>
      <w:marLeft w:val="0"/>
      <w:marRight w:val="0"/>
      <w:marTop w:val="0"/>
      <w:marBottom w:val="0"/>
      <w:divBdr>
        <w:top w:val="none" w:sz="0" w:space="0" w:color="auto"/>
        <w:left w:val="none" w:sz="0" w:space="0" w:color="auto"/>
        <w:bottom w:val="none" w:sz="0" w:space="0" w:color="auto"/>
        <w:right w:val="none" w:sz="0" w:space="0" w:color="auto"/>
      </w:divBdr>
      <w:divsChild>
        <w:div w:id="466509606">
          <w:marLeft w:val="0"/>
          <w:marRight w:val="0"/>
          <w:marTop w:val="0"/>
          <w:marBottom w:val="0"/>
          <w:divBdr>
            <w:top w:val="none" w:sz="0" w:space="0" w:color="auto"/>
            <w:left w:val="none" w:sz="0" w:space="0" w:color="auto"/>
            <w:bottom w:val="none" w:sz="0" w:space="0" w:color="auto"/>
            <w:right w:val="none" w:sz="0" w:space="0" w:color="auto"/>
          </w:divBdr>
          <w:divsChild>
            <w:div w:id="1236167108">
              <w:marLeft w:val="0"/>
              <w:marRight w:val="0"/>
              <w:marTop w:val="0"/>
              <w:marBottom w:val="0"/>
              <w:divBdr>
                <w:top w:val="none" w:sz="0" w:space="0" w:color="auto"/>
                <w:left w:val="none" w:sz="0" w:space="0" w:color="auto"/>
                <w:bottom w:val="none" w:sz="0" w:space="0" w:color="auto"/>
                <w:right w:val="none" w:sz="0" w:space="0" w:color="auto"/>
              </w:divBdr>
              <w:divsChild>
                <w:div w:id="1576088925">
                  <w:marLeft w:val="0"/>
                  <w:marRight w:val="0"/>
                  <w:marTop w:val="0"/>
                  <w:marBottom w:val="0"/>
                  <w:divBdr>
                    <w:top w:val="single" w:sz="18" w:space="0" w:color="08237A"/>
                    <w:left w:val="none" w:sz="0" w:space="0" w:color="auto"/>
                    <w:bottom w:val="none" w:sz="0" w:space="0" w:color="auto"/>
                    <w:right w:val="none" w:sz="0" w:space="0" w:color="auto"/>
                  </w:divBdr>
                  <w:divsChild>
                    <w:div w:id="1383091334">
                      <w:marLeft w:val="0"/>
                      <w:marRight w:val="0"/>
                      <w:marTop w:val="0"/>
                      <w:marBottom w:val="0"/>
                      <w:divBdr>
                        <w:top w:val="single" w:sz="2" w:space="8" w:color="BBBBBB"/>
                        <w:left w:val="single" w:sz="6" w:space="0" w:color="BBBBBB"/>
                        <w:bottom w:val="single" w:sz="6" w:space="0" w:color="BBBBBB"/>
                        <w:right w:val="single" w:sz="6" w:space="0" w:color="BBBBBB"/>
                      </w:divBdr>
                      <w:divsChild>
                        <w:div w:id="2113625060">
                          <w:marLeft w:val="0"/>
                          <w:marRight w:val="0"/>
                          <w:marTop w:val="0"/>
                          <w:marBottom w:val="0"/>
                          <w:divBdr>
                            <w:top w:val="none" w:sz="0" w:space="0" w:color="auto"/>
                            <w:left w:val="none" w:sz="0" w:space="0" w:color="auto"/>
                            <w:bottom w:val="none" w:sz="0" w:space="0" w:color="auto"/>
                            <w:right w:val="none" w:sz="0" w:space="0" w:color="auto"/>
                          </w:divBdr>
                          <w:divsChild>
                            <w:div w:id="73408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277556">
      <w:bodyDiv w:val="1"/>
      <w:marLeft w:val="0"/>
      <w:marRight w:val="0"/>
      <w:marTop w:val="0"/>
      <w:marBottom w:val="0"/>
      <w:divBdr>
        <w:top w:val="none" w:sz="0" w:space="0" w:color="auto"/>
        <w:left w:val="none" w:sz="0" w:space="0" w:color="auto"/>
        <w:bottom w:val="none" w:sz="0" w:space="0" w:color="auto"/>
        <w:right w:val="none" w:sz="0" w:space="0" w:color="auto"/>
      </w:divBdr>
      <w:divsChild>
        <w:div w:id="1514106116">
          <w:marLeft w:val="0"/>
          <w:marRight w:val="0"/>
          <w:marTop w:val="0"/>
          <w:marBottom w:val="0"/>
          <w:divBdr>
            <w:top w:val="none" w:sz="0" w:space="0" w:color="auto"/>
            <w:left w:val="none" w:sz="0" w:space="0" w:color="auto"/>
            <w:bottom w:val="none" w:sz="0" w:space="0" w:color="auto"/>
            <w:right w:val="none" w:sz="0" w:space="0" w:color="auto"/>
          </w:divBdr>
        </w:div>
      </w:divsChild>
    </w:div>
    <w:div w:id="1724870279">
      <w:bodyDiv w:val="1"/>
      <w:marLeft w:val="0"/>
      <w:marRight w:val="0"/>
      <w:marTop w:val="0"/>
      <w:marBottom w:val="0"/>
      <w:divBdr>
        <w:top w:val="none" w:sz="0" w:space="0" w:color="auto"/>
        <w:left w:val="none" w:sz="0" w:space="0" w:color="auto"/>
        <w:bottom w:val="none" w:sz="0" w:space="0" w:color="auto"/>
        <w:right w:val="none" w:sz="0" w:space="0" w:color="auto"/>
      </w:divBdr>
      <w:divsChild>
        <w:div w:id="621039247">
          <w:marLeft w:val="0"/>
          <w:marRight w:val="0"/>
          <w:marTop w:val="0"/>
          <w:marBottom w:val="0"/>
          <w:divBdr>
            <w:top w:val="none" w:sz="0" w:space="0" w:color="auto"/>
            <w:left w:val="none" w:sz="0" w:space="0" w:color="auto"/>
            <w:bottom w:val="none" w:sz="0" w:space="0" w:color="auto"/>
            <w:right w:val="none" w:sz="0" w:space="0" w:color="auto"/>
          </w:divBdr>
          <w:divsChild>
            <w:div w:id="839924714">
              <w:marLeft w:val="0"/>
              <w:marRight w:val="0"/>
              <w:marTop w:val="0"/>
              <w:marBottom w:val="0"/>
              <w:divBdr>
                <w:top w:val="none" w:sz="0" w:space="0" w:color="auto"/>
                <w:left w:val="none" w:sz="0" w:space="0" w:color="auto"/>
                <w:bottom w:val="none" w:sz="0" w:space="0" w:color="auto"/>
                <w:right w:val="none" w:sz="0" w:space="0" w:color="auto"/>
              </w:divBdr>
              <w:divsChild>
                <w:div w:id="81803956">
                  <w:marLeft w:val="0"/>
                  <w:marRight w:val="0"/>
                  <w:marTop w:val="0"/>
                  <w:marBottom w:val="0"/>
                  <w:divBdr>
                    <w:top w:val="single" w:sz="12" w:space="0" w:color="08237A"/>
                    <w:left w:val="none" w:sz="0" w:space="0" w:color="auto"/>
                    <w:bottom w:val="none" w:sz="0" w:space="0" w:color="auto"/>
                    <w:right w:val="none" w:sz="0" w:space="0" w:color="auto"/>
                  </w:divBdr>
                  <w:divsChild>
                    <w:div w:id="1879122116">
                      <w:marLeft w:val="0"/>
                      <w:marRight w:val="0"/>
                      <w:marTop w:val="0"/>
                      <w:marBottom w:val="0"/>
                      <w:divBdr>
                        <w:top w:val="single" w:sz="2" w:space="7" w:color="BBBBBB"/>
                        <w:left w:val="single" w:sz="4" w:space="0" w:color="BBBBBB"/>
                        <w:bottom w:val="single" w:sz="4" w:space="0" w:color="BBBBBB"/>
                        <w:right w:val="single" w:sz="4" w:space="0" w:color="BBBBBB"/>
                      </w:divBdr>
                      <w:divsChild>
                        <w:div w:id="831335673">
                          <w:marLeft w:val="0"/>
                          <w:marRight w:val="0"/>
                          <w:marTop w:val="0"/>
                          <w:marBottom w:val="0"/>
                          <w:divBdr>
                            <w:top w:val="none" w:sz="0" w:space="0" w:color="auto"/>
                            <w:left w:val="none" w:sz="0" w:space="0" w:color="auto"/>
                            <w:bottom w:val="none" w:sz="0" w:space="0" w:color="auto"/>
                            <w:right w:val="none" w:sz="0" w:space="0" w:color="auto"/>
                          </w:divBdr>
                          <w:divsChild>
                            <w:div w:id="14678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83196">
      <w:bodyDiv w:val="1"/>
      <w:marLeft w:val="0"/>
      <w:marRight w:val="0"/>
      <w:marTop w:val="0"/>
      <w:marBottom w:val="0"/>
      <w:divBdr>
        <w:top w:val="none" w:sz="0" w:space="0" w:color="auto"/>
        <w:left w:val="none" w:sz="0" w:space="0" w:color="auto"/>
        <w:bottom w:val="none" w:sz="0" w:space="0" w:color="auto"/>
        <w:right w:val="none" w:sz="0" w:space="0" w:color="auto"/>
      </w:divBdr>
      <w:divsChild>
        <w:div w:id="825165517">
          <w:marLeft w:val="0"/>
          <w:marRight w:val="0"/>
          <w:marTop w:val="0"/>
          <w:marBottom w:val="0"/>
          <w:divBdr>
            <w:top w:val="none" w:sz="0" w:space="0" w:color="auto"/>
            <w:left w:val="none" w:sz="0" w:space="0" w:color="auto"/>
            <w:bottom w:val="none" w:sz="0" w:space="0" w:color="auto"/>
            <w:right w:val="none" w:sz="0" w:space="0" w:color="auto"/>
          </w:divBdr>
          <w:divsChild>
            <w:div w:id="370689297">
              <w:marLeft w:val="0"/>
              <w:marRight w:val="0"/>
              <w:marTop w:val="0"/>
              <w:marBottom w:val="0"/>
              <w:divBdr>
                <w:top w:val="none" w:sz="0" w:space="0" w:color="auto"/>
                <w:left w:val="none" w:sz="0" w:space="0" w:color="auto"/>
                <w:bottom w:val="none" w:sz="0" w:space="0" w:color="auto"/>
                <w:right w:val="none" w:sz="0" w:space="0" w:color="auto"/>
              </w:divBdr>
              <w:divsChild>
                <w:div w:id="1188252631">
                  <w:marLeft w:val="0"/>
                  <w:marRight w:val="0"/>
                  <w:marTop w:val="0"/>
                  <w:marBottom w:val="0"/>
                  <w:divBdr>
                    <w:top w:val="none" w:sz="0" w:space="0" w:color="auto"/>
                    <w:left w:val="none" w:sz="0" w:space="0" w:color="auto"/>
                    <w:bottom w:val="none" w:sz="0" w:space="0" w:color="auto"/>
                    <w:right w:val="none" w:sz="0" w:space="0" w:color="auto"/>
                  </w:divBdr>
                  <w:divsChild>
                    <w:div w:id="1326931086">
                      <w:marLeft w:val="0"/>
                      <w:marRight w:val="0"/>
                      <w:marTop w:val="0"/>
                      <w:marBottom w:val="0"/>
                      <w:divBdr>
                        <w:top w:val="single" w:sz="6" w:space="15" w:color="C0D8F2"/>
                        <w:left w:val="single" w:sz="6" w:space="18" w:color="C0D8F2"/>
                        <w:bottom w:val="single" w:sz="6" w:space="11" w:color="C0D8F2"/>
                        <w:right w:val="single" w:sz="6" w:space="18" w:color="C0D8F2"/>
                      </w:divBdr>
                      <w:divsChild>
                        <w:div w:id="2019388215">
                          <w:marLeft w:val="0"/>
                          <w:marRight w:val="0"/>
                          <w:marTop w:val="0"/>
                          <w:marBottom w:val="0"/>
                          <w:divBdr>
                            <w:top w:val="none" w:sz="0" w:space="0" w:color="auto"/>
                            <w:left w:val="none" w:sz="0" w:space="0" w:color="auto"/>
                            <w:bottom w:val="none" w:sz="0" w:space="0" w:color="auto"/>
                            <w:right w:val="none" w:sz="0" w:space="0" w:color="auto"/>
                          </w:divBdr>
                          <w:divsChild>
                            <w:div w:id="211886874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587549">
      <w:bodyDiv w:val="1"/>
      <w:marLeft w:val="0"/>
      <w:marRight w:val="0"/>
      <w:marTop w:val="0"/>
      <w:marBottom w:val="0"/>
      <w:divBdr>
        <w:top w:val="none" w:sz="0" w:space="0" w:color="auto"/>
        <w:left w:val="none" w:sz="0" w:space="0" w:color="auto"/>
        <w:bottom w:val="none" w:sz="0" w:space="0" w:color="auto"/>
        <w:right w:val="none" w:sz="0" w:space="0" w:color="auto"/>
      </w:divBdr>
      <w:divsChild>
        <w:div w:id="1839229278">
          <w:marLeft w:val="0"/>
          <w:marRight w:val="0"/>
          <w:marTop w:val="75"/>
          <w:marBottom w:val="75"/>
          <w:divBdr>
            <w:top w:val="none" w:sz="0" w:space="0" w:color="auto"/>
            <w:left w:val="none" w:sz="0" w:space="0" w:color="auto"/>
            <w:bottom w:val="none" w:sz="0" w:space="0" w:color="auto"/>
            <w:right w:val="none" w:sz="0" w:space="0" w:color="auto"/>
          </w:divBdr>
          <w:divsChild>
            <w:div w:id="1451434269">
              <w:marLeft w:val="0"/>
              <w:marRight w:val="0"/>
              <w:marTop w:val="0"/>
              <w:marBottom w:val="0"/>
              <w:divBdr>
                <w:top w:val="single" w:sz="6" w:space="0" w:color="BEBEBE"/>
                <w:left w:val="single" w:sz="6" w:space="0" w:color="BEBEBE"/>
                <w:bottom w:val="single" w:sz="6" w:space="0" w:color="BEBEBE"/>
                <w:right w:val="single" w:sz="6" w:space="0" w:color="BEBEBE"/>
              </w:divBdr>
              <w:divsChild>
                <w:div w:id="1076971831">
                  <w:marLeft w:val="0"/>
                  <w:marRight w:val="0"/>
                  <w:marTop w:val="0"/>
                  <w:marBottom w:val="0"/>
                  <w:divBdr>
                    <w:top w:val="none" w:sz="0" w:space="0" w:color="auto"/>
                    <w:left w:val="none" w:sz="0" w:space="0" w:color="auto"/>
                    <w:bottom w:val="none" w:sz="0" w:space="0" w:color="auto"/>
                    <w:right w:val="none" w:sz="0" w:space="0" w:color="auto"/>
                  </w:divBdr>
                  <w:divsChild>
                    <w:div w:id="1161772802">
                      <w:marLeft w:val="0"/>
                      <w:marRight w:val="0"/>
                      <w:marTop w:val="0"/>
                      <w:marBottom w:val="0"/>
                      <w:divBdr>
                        <w:top w:val="none" w:sz="0" w:space="0" w:color="auto"/>
                        <w:left w:val="none" w:sz="0" w:space="0" w:color="auto"/>
                        <w:bottom w:val="none" w:sz="0" w:space="0" w:color="auto"/>
                        <w:right w:val="none" w:sz="0" w:space="0" w:color="auto"/>
                      </w:divBdr>
                      <w:divsChild>
                        <w:div w:id="160237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776544">
      <w:bodyDiv w:val="1"/>
      <w:marLeft w:val="0"/>
      <w:marRight w:val="0"/>
      <w:marTop w:val="0"/>
      <w:marBottom w:val="0"/>
      <w:divBdr>
        <w:top w:val="none" w:sz="0" w:space="0" w:color="auto"/>
        <w:left w:val="none" w:sz="0" w:space="0" w:color="auto"/>
        <w:bottom w:val="none" w:sz="0" w:space="0" w:color="auto"/>
        <w:right w:val="none" w:sz="0" w:space="0" w:color="auto"/>
      </w:divBdr>
      <w:divsChild>
        <w:div w:id="758796820">
          <w:marLeft w:val="0"/>
          <w:marRight w:val="0"/>
          <w:marTop w:val="0"/>
          <w:marBottom w:val="0"/>
          <w:divBdr>
            <w:top w:val="none" w:sz="0" w:space="0" w:color="auto"/>
            <w:left w:val="none" w:sz="0" w:space="0" w:color="auto"/>
            <w:bottom w:val="none" w:sz="0" w:space="0" w:color="auto"/>
            <w:right w:val="none" w:sz="0" w:space="0" w:color="auto"/>
          </w:divBdr>
        </w:div>
      </w:divsChild>
    </w:div>
    <w:div w:id="1805198414">
      <w:bodyDiv w:val="1"/>
      <w:marLeft w:val="0"/>
      <w:marRight w:val="0"/>
      <w:marTop w:val="0"/>
      <w:marBottom w:val="0"/>
      <w:divBdr>
        <w:top w:val="none" w:sz="0" w:space="0" w:color="auto"/>
        <w:left w:val="none" w:sz="0" w:space="0" w:color="auto"/>
        <w:bottom w:val="none" w:sz="0" w:space="0" w:color="auto"/>
        <w:right w:val="none" w:sz="0" w:space="0" w:color="auto"/>
      </w:divBdr>
      <w:divsChild>
        <w:div w:id="1629702622">
          <w:marLeft w:val="0"/>
          <w:marRight w:val="0"/>
          <w:marTop w:val="0"/>
          <w:marBottom w:val="0"/>
          <w:divBdr>
            <w:top w:val="none" w:sz="0" w:space="0" w:color="auto"/>
            <w:left w:val="none" w:sz="0" w:space="0" w:color="auto"/>
            <w:bottom w:val="none" w:sz="0" w:space="0" w:color="auto"/>
            <w:right w:val="none" w:sz="0" w:space="0" w:color="auto"/>
          </w:divBdr>
          <w:divsChild>
            <w:div w:id="1657806506">
              <w:marLeft w:val="0"/>
              <w:marRight w:val="0"/>
              <w:marTop w:val="300"/>
              <w:marBottom w:val="0"/>
              <w:divBdr>
                <w:top w:val="none" w:sz="0" w:space="0" w:color="auto"/>
                <w:left w:val="none" w:sz="0" w:space="0" w:color="auto"/>
                <w:bottom w:val="none" w:sz="0" w:space="0" w:color="auto"/>
                <w:right w:val="none" w:sz="0" w:space="0" w:color="auto"/>
              </w:divBdr>
              <w:divsChild>
                <w:div w:id="1587420601">
                  <w:marLeft w:val="0"/>
                  <w:marRight w:val="0"/>
                  <w:marTop w:val="0"/>
                  <w:marBottom w:val="0"/>
                  <w:divBdr>
                    <w:top w:val="none" w:sz="0" w:space="0" w:color="auto"/>
                    <w:left w:val="none" w:sz="0" w:space="0" w:color="auto"/>
                    <w:bottom w:val="none" w:sz="0" w:space="0" w:color="auto"/>
                    <w:right w:val="none" w:sz="0" w:space="0" w:color="auto"/>
                  </w:divBdr>
                  <w:divsChild>
                    <w:div w:id="103222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085112">
      <w:bodyDiv w:val="1"/>
      <w:marLeft w:val="0"/>
      <w:marRight w:val="0"/>
      <w:marTop w:val="0"/>
      <w:marBottom w:val="0"/>
      <w:divBdr>
        <w:top w:val="none" w:sz="0" w:space="0" w:color="auto"/>
        <w:left w:val="none" w:sz="0" w:space="0" w:color="auto"/>
        <w:bottom w:val="none" w:sz="0" w:space="0" w:color="auto"/>
        <w:right w:val="none" w:sz="0" w:space="0" w:color="auto"/>
      </w:divBdr>
      <w:divsChild>
        <w:div w:id="2065636930">
          <w:marLeft w:val="0"/>
          <w:marRight w:val="0"/>
          <w:marTop w:val="0"/>
          <w:marBottom w:val="0"/>
          <w:divBdr>
            <w:top w:val="none" w:sz="0" w:space="0" w:color="auto"/>
            <w:left w:val="none" w:sz="0" w:space="0" w:color="auto"/>
            <w:bottom w:val="none" w:sz="0" w:space="0" w:color="auto"/>
            <w:right w:val="none" w:sz="0" w:space="0" w:color="auto"/>
          </w:divBdr>
          <w:divsChild>
            <w:div w:id="898394236">
              <w:marLeft w:val="0"/>
              <w:marRight w:val="0"/>
              <w:marTop w:val="0"/>
              <w:marBottom w:val="0"/>
              <w:divBdr>
                <w:top w:val="none" w:sz="0" w:space="0" w:color="auto"/>
                <w:left w:val="none" w:sz="0" w:space="0" w:color="auto"/>
                <w:bottom w:val="none" w:sz="0" w:space="0" w:color="auto"/>
                <w:right w:val="none" w:sz="0" w:space="0" w:color="auto"/>
              </w:divBdr>
              <w:divsChild>
                <w:div w:id="669481674">
                  <w:marLeft w:val="0"/>
                  <w:marRight w:val="0"/>
                  <w:marTop w:val="0"/>
                  <w:marBottom w:val="0"/>
                  <w:divBdr>
                    <w:top w:val="single" w:sz="18" w:space="0" w:color="08237A"/>
                    <w:left w:val="none" w:sz="0" w:space="0" w:color="auto"/>
                    <w:bottom w:val="none" w:sz="0" w:space="0" w:color="auto"/>
                    <w:right w:val="none" w:sz="0" w:space="0" w:color="auto"/>
                  </w:divBdr>
                  <w:divsChild>
                    <w:div w:id="1428111132">
                      <w:marLeft w:val="0"/>
                      <w:marRight w:val="0"/>
                      <w:marTop w:val="0"/>
                      <w:marBottom w:val="0"/>
                      <w:divBdr>
                        <w:top w:val="single" w:sz="2" w:space="8" w:color="BBBBBB"/>
                        <w:left w:val="single" w:sz="6" w:space="0" w:color="BBBBBB"/>
                        <w:bottom w:val="single" w:sz="6" w:space="0" w:color="BBBBBB"/>
                        <w:right w:val="single" w:sz="6" w:space="0" w:color="BBBBBB"/>
                      </w:divBdr>
                      <w:divsChild>
                        <w:div w:id="747965269">
                          <w:marLeft w:val="0"/>
                          <w:marRight w:val="0"/>
                          <w:marTop w:val="0"/>
                          <w:marBottom w:val="0"/>
                          <w:divBdr>
                            <w:top w:val="none" w:sz="0" w:space="0" w:color="auto"/>
                            <w:left w:val="none" w:sz="0" w:space="0" w:color="auto"/>
                            <w:bottom w:val="none" w:sz="0" w:space="0" w:color="auto"/>
                            <w:right w:val="none" w:sz="0" w:space="0" w:color="auto"/>
                          </w:divBdr>
                          <w:divsChild>
                            <w:div w:id="130489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952535">
      <w:bodyDiv w:val="1"/>
      <w:marLeft w:val="0"/>
      <w:marRight w:val="0"/>
      <w:marTop w:val="0"/>
      <w:marBottom w:val="0"/>
      <w:divBdr>
        <w:top w:val="none" w:sz="0" w:space="0" w:color="auto"/>
        <w:left w:val="none" w:sz="0" w:space="0" w:color="auto"/>
        <w:bottom w:val="none" w:sz="0" w:space="0" w:color="auto"/>
        <w:right w:val="none" w:sz="0" w:space="0" w:color="auto"/>
      </w:divBdr>
      <w:divsChild>
        <w:div w:id="1502424464">
          <w:marLeft w:val="0"/>
          <w:marRight w:val="0"/>
          <w:marTop w:val="0"/>
          <w:marBottom w:val="0"/>
          <w:divBdr>
            <w:top w:val="none" w:sz="0" w:space="0" w:color="auto"/>
            <w:left w:val="none" w:sz="0" w:space="0" w:color="auto"/>
            <w:bottom w:val="none" w:sz="0" w:space="0" w:color="auto"/>
            <w:right w:val="none" w:sz="0" w:space="0" w:color="auto"/>
          </w:divBdr>
        </w:div>
      </w:divsChild>
    </w:div>
    <w:div w:id="1986470375">
      <w:bodyDiv w:val="1"/>
      <w:marLeft w:val="0"/>
      <w:marRight w:val="0"/>
      <w:marTop w:val="0"/>
      <w:marBottom w:val="0"/>
      <w:divBdr>
        <w:top w:val="none" w:sz="0" w:space="0" w:color="auto"/>
        <w:left w:val="none" w:sz="0" w:space="0" w:color="auto"/>
        <w:bottom w:val="none" w:sz="0" w:space="0" w:color="auto"/>
        <w:right w:val="none" w:sz="0" w:space="0" w:color="auto"/>
      </w:divBdr>
      <w:divsChild>
        <w:div w:id="780951138">
          <w:marLeft w:val="0"/>
          <w:marRight w:val="0"/>
          <w:marTop w:val="75"/>
          <w:marBottom w:val="75"/>
          <w:divBdr>
            <w:top w:val="none" w:sz="0" w:space="0" w:color="auto"/>
            <w:left w:val="none" w:sz="0" w:space="0" w:color="auto"/>
            <w:bottom w:val="none" w:sz="0" w:space="0" w:color="auto"/>
            <w:right w:val="none" w:sz="0" w:space="0" w:color="auto"/>
          </w:divBdr>
          <w:divsChild>
            <w:div w:id="573316406">
              <w:marLeft w:val="0"/>
              <w:marRight w:val="0"/>
              <w:marTop w:val="0"/>
              <w:marBottom w:val="0"/>
              <w:divBdr>
                <w:top w:val="single" w:sz="6" w:space="0" w:color="BEBEBE"/>
                <w:left w:val="single" w:sz="6" w:space="0" w:color="BEBEBE"/>
                <w:bottom w:val="single" w:sz="6" w:space="0" w:color="BEBEBE"/>
                <w:right w:val="single" w:sz="6" w:space="0" w:color="BEBEBE"/>
              </w:divBdr>
              <w:divsChild>
                <w:div w:id="536625204">
                  <w:marLeft w:val="0"/>
                  <w:marRight w:val="0"/>
                  <w:marTop w:val="0"/>
                  <w:marBottom w:val="0"/>
                  <w:divBdr>
                    <w:top w:val="none" w:sz="0" w:space="0" w:color="auto"/>
                    <w:left w:val="none" w:sz="0" w:space="0" w:color="auto"/>
                    <w:bottom w:val="none" w:sz="0" w:space="0" w:color="auto"/>
                    <w:right w:val="none" w:sz="0" w:space="0" w:color="auto"/>
                  </w:divBdr>
                  <w:divsChild>
                    <w:div w:id="17702768">
                      <w:marLeft w:val="0"/>
                      <w:marRight w:val="0"/>
                      <w:marTop w:val="0"/>
                      <w:marBottom w:val="0"/>
                      <w:divBdr>
                        <w:top w:val="none" w:sz="0" w:space="0" w:color="auto"/>
                        <w:left w:val="none" w:sz="0" w:space="0" w:color="auto"/>
                        <w:bottom w:val="none" w:sz="0" w:space="0" w:color="auto"/>
                        <w:right w:val="none" w:sz="0" w:space="0" w:color="auto"/>
                      </w:divBdr>
                      <w:divsChild>
                        <w:div w:id="14562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091140">
      <w:bodyDiv w:val="1"/>
      <w:marLeft w:val="0"/>
      <w:marRight w:val="0"/>
      <w:marTop w:val="0"/>
      <w:marBottom w:val="0"/>
      <w:divBdr>
        <w:top w:val="none" w:sz="0" w:space="0" w:color="auto"/>
        <w:left w:val="none" w:sz="0" w:space="0" w:color="auto"/>
        <w:bottom w:val="none" w:sz="0" w:space="0" w:color="auto"/>
        <w:right w:val="none" w:sz="0" w:space="0" w:color="auto"/>
      </w:divBdr>
      <w:divsChild>
        <w:div w:id="1917208100">
          <w:marLeft w:val="0"/>
          <w:marRight w:val="0"/>
          <w:marTop w:val="0"/>
          <w:marBottom w:val="0"/>
          <w:divBdr>
            <w:top w:val="none" w:sz="0" w:space="0" w:color="auto"/>
            <w:left w:val="none" w:sz="0" w:space="0" w:color="auto"/>
            <w:bottom w:val="none" w:sz="0" w:space="0" w:color="auto"/>
            <w:right w:val="none" w:sz="0" w:space="0" w:color="auto"/>
          </w:divBdr>
          <w:divsChild>
            <w:div w:id="1793130769">
              <w:marLeft w:val="0"/>
              <w:marRight w:val="0"/>
              <w:marTop w:val="0"/>
              <w:marBottom w:val="0"/>
              <w:divBdr>
                <w:top w:val="none" w:sz="0" w:space="0" w:color="auto"/>
                <w:left w:val="none" w:sz="0" w:space="0" w:color="auto"/>
                <w:bottom w:val="none" w:sz="0" w:space="0" w:color="auto"/>
                <w:right w:val="none" w:sz="0" w:space="0" w:color="auto"/>
              </w:divBdr>
              <w:divsChild>
                <w:div w:id="897743760">
                  <w:marLeft w:val="0"/>
                  <w:marRight w:val="0"/>
                  <w:marTop w:val="0"/>
                  <w:marBottom w:val="0"/>
                  <w:divBdr>
                    <w:top w:val="none" w:sz="0" w:space="0" w:color="auto"/>
                    <w:left w:val="none" w:sz="0" w:space="0" w:color="auto"/>
                    <w:bottom w:val="none" w:sz="0" w:space="0" w:color="auto"/>
                    <w:right w:val="none" w:sz="0" w:space="0" w:color="auto"/>
                  </w:divBdr>
                  <w:divsChild>
                    <w:div w:id="2047949249">
                      <w:marLeft w:val="0"/>
                      <w:marRight w:val="0"/>
                      <w:marTop w:val="0"/>
                      <w:marBottom w:val="0"/>
                      <w:divBdr>
                        <w:top w:val="none" w:sz="0" w:space="0" w:color="auto"/>
                        <w:left w:val="none" w:sz="0" w:space="0" w:color="auto"/>
                        <w:bottom w:val="none" w:sz="0" w:space="0" w:color="auto"/>
                        <w:right w:val="none" w:sz="0" w:space="0" w:color="auto"/>
                      </w:divBdr>
                      <w:divsChild>
                        <w:div w:id="1065759027">
                          <w:marLeft w:val="0"/>
                          <w:marRight w:val="0"/>
                          <w:marTop w:val="0"/>
                          <w:marBottom w:val="0"/>
                          <w:divBdr>
                            <w:top w:val="none" w:sz="0" w:space="0" w:color="auto"/>
                            <w:left w:val="none" w:sz="0" w:space="0" w:color="auto"/>
                            <w:bottom w:val="none" w:sz="0" w:space="0" w:color="auto"/>
                            <w:right w:val="none" w:sz="0" w:space="0" w:color="auto"/>
                          </w:divBdr>
                          <w:divsChild>
                            <w:div w:id="1480343388">
                              <w:marLeft w:val="0"/>
                              <w:marRight w:val="0"/>
                              <w:marTop w:val="0"/>
                              <w:marBottom w:val="0"/>
                              <w:divBdr>
                                <w:top w:val="none" w:sz="0" w:space="0" w:color="auto"/>
                                <w:left w:val="none" w:sz="0" w:space="0" w:color="auto"/>
                                <w:bottom w:val="none" w:sz="0" w:space="0" w:color="auto"/>
                                <w:right w:val="none" w:sz="0" w:space="0" w:color="auto"/>
                              </w:divBdr>
                              <w:divsChild>
                                <w:div w:id="42507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661824">
      <w:bodyDiv w:val="1"/>
      <w:marLeft w:val="0"/>
      <w:marRight w:val="0"/>
      <w:marTop w:val="0"/>
      <w:marBottom w:val="0"/>
      <w:divBdr>
        <w:top w:val="none" w:sz="0" w:space="0" w:color="auto"/>
        <w:left w:val="none" w:sz="0" w:space="0" w:color="auto"/>
        <w:bottom w:val="none" w:sz="0" w:space="0" w:color="auto"/>
        <w:right w:val="none" w:sz="0" w:space="0" w:color="auto"/>
      </w:divBdr>
      <w:divsChild>
        <w:div w:id="43675856">
          <w:marLeft w:val="0"/>
          <w:marRight w:val="0"/>
          <w:marTop w:val="0"/>
          <w:marBottom w:val="0"/>
          <w:divBdr>
            <w:top w:val="none" w:sz="0" w:space="0" w:color="auto"/>
            <w:left w:val="none" w:sz="0" w:space="0" w:color="auto"/>
            <w:bottom w:val="none" w:sz="0" w:space="0" w:color="auto"/>
            <w:right w:val="none" w:sz="0" w:space="0" w:color="auto"/>
          </w:divBdr>
          <w:divsChild>
            <w:div w:id="1090271823">
              <w:marLeft w:val="0"/>
              <w:marRight w:val="0"/>
              <w:marTop w:val="0"/>
              <w:marBottom w:val="0"/>
              <w:divBdr>
                <w:top w:val="none" w:sz="0" w:space="0" w:color="auto"/>
                <w:left w:val="none" w:sz="0" w:space="0" w:color="auto"/>
                <w:bottom w:val="none" w:sz="0" w:space="0" w:color="auto"/>
                <w:right w:val="none" w:sz="0" w:space="0" w:color="auto"/>
              </w:divBdr>
              <w:divsChild>
                <w:div w:id="931669677">
                  <w:marLeft w:val="0"/>
                  <w:marRight w:val="0"/>
                  <w:marTop w:val="0"/>
                  <w:marBottom w:val="0"/>
                  <w:divBdr>
                    <w:top w:val="single" w:sz="18" w:space="0" w:color="08237A"/>
                    <w:left w:val="none" w:sz="0" w:space="0" w:color="auto"/>
                    <w:bottom w:val="none" w:sz="0" w:space="0" w:color="auto"/>
                    <w:right w:val="none" w:sz="0" w:space="0" w:color="auto"/>
                  </w:divBdr>
                  <w:divsChild>
                    <w:div w:id="113519217">
                      <w:marLeft w:val="0"/>
                      <w:marRight w:val="0"/>
                      <w:marTop w:val="0"/>
                      <w:marBottom w:val="0"/>
                      <w:divBdr>
                        <w:top w:val="single" w:sz="2" w:space="8" w:color="BBBBBB"/>
                        <w:left w:val="single" w:sz="6" w:space="0" w:color="BBBBBB"/>
                        <w:bottom w:val="single" w:sz="6" w:space="0" w:color="BBBBBB"/>
                        <w:right w:val="single" w:sz="6" w:space="0" w:color="BBBBBB"/>
                      </w:divBdr>
                      <w:divsChild>
                        <w:div w:id="672681419">
                          <w:marLeft w:val="0"/>
                          <w:marRight w:val="0"/>
                          <w:marTop w:val="0"/>
                          <w:marBottom w:val="0"/>
                          <w:divBdr>
                            <w:top w:val="none" w:sz="0" w:space="0" w:color="auto"/>
                            <w:left w:val="none" w:sz="0" w:space="0" w:color="auto"/>
                            <w:bottom w:val="none" w:sz="0" w:space="0" w:color="auto"/>
                            <w:right w:val="none" w:sz="0" w:space="0" w:color="auto"/>
                          </w:divBdr>
                          <w:divsChild>
                            <w:div w:id="15762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306685">
      <w:bodyDiv w:val="1"/>
      <w:marLeft w:val="0"/>
      <w:marRight w:val="0"/>
      <w:marTop w:val="0"/>
      <w:marBottom w:val="0"/>
      <w:divBdr>
        <w:top w:val="none" w:sz="0" w:space="0" w:color="auto"/>
        <w:left w:val="none" w:sz="0" w:space="0" w:color="auto"/>
        <w:bottom w:val="none" w:sz="0" w:space="0" w:color="auto"/>
        <w:right w:val="none" w:sz="0" w:space="0" w:color="auto"/>
      </w:divBdr>
      <w:divsChild>
        <w:div w:id="1155074922">
          <w:marLeft w:val="0"/>
          <w:marRight w:val="0"/>
          <w:marTop w:val="0"/>
          <w:marBottom w:val="0"/>
          <w:divBdr>
            <w:top w:val="none" w:sz="0" w:space="0" w:color="auto"/>
            <w:left w:val="none" w:sz="0" w:space="0" w:color="auto"/>
            <w:bottom w:val="none" w:sz="0" w:space="0" w:color="auto"/>
            <w:right w:val="none" w:sz="0" w:space="0" w:color="auto"/>
          </w:divBdr>
          <w:divsChild>
            <w:div w:id="915434118">
              <w:marLeft w:val="0"/>
              <w:marRight w:val="0"/>
              <w:marTop w:val="0"/>
              <w:marBottom w:val="0"/>
              <w:divBdr>
                <w:top w:val="none" w:sz="0" w:space="0" w:color="auto"/>
                <w:left w:val="none" w:sz="0" w:space="0" w:color="auto"/>
                <w:bottom w:val="none" w:sz="0" w:space="0" w:color="auto"/>
                <w:right w:val="none" w:sz="0" w:space="0" w:color="auto"/>
              </w:divBdr>
              <w:divsChild>
                <w:div w:id="1431316614">
                  <w:marLeft w:val="0"/>
                  <w:marRight w:val="0"/>
                  <w:marTop w:val="0"/>
                  <w:marBottom w:val="0"/>
                  <w:divBdr>
                    <w:top w:val="none" w:sz="0" w:space="0" w:color="auto"/>
                    <w:left w:val="none" w:sz="0" w:space="0" w:color="auto"/>
                    <w:bottom w:val="none" w:sz="0" w:space="0" w:color="auto"/>
                    <w:right w:val="none" w:sz="0" w:space="0" w:color="auto"/>
                  </w:divBdr>
                  <w:divsChild>
                    <w:div w:id="1991864210">
                      <w:marLeft w:val="0"/>
                      <w:marRight w:val="0"/>
                      <w:marTop w:val="0"/>
                      <w:marBottom w:val="0"/>
                      <w:divBdr>
                        <w:top w:val="none" w:sz="0" w:space="0" w:color="auto"/>
                        <w:left w:val="none" w:sz="0" w:space="0" w:color="auto"/>
                        <w:bottom w:val="none" w:sz="0" w:space="0" w:color="auto"/>
                        <w:right w:val="none" w:sz="0" w:space="0" w:color="auto"/>
                      </w:divBdr>
                      <w:divsChild>
                        <w:div w:id="1672760889">
                          <w:marLeft w:val="0"/>
                          <w:marRight w:val="0"/>
                          <w:marTop w:val="0"/>
                          <w:marBottom w:val="0"/>
                          <w:divBdr>
                            <w:top w:val="none" w:sz="0" w:space="0" w:color="auto"/>
                            <w:left w:val="none" w:sz="0" w:space="0" w:color="auto"/>
                            <w:bottom w:val="none" w:sz="0" w:space="0" w:color="auto"/>
                            <w:right w:val="none" w:sz="0" w:space="0" w:color="auto"/>
                          </w:divBdr>
                          <w:divsChild>
                            <w:div w:id="186085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36"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4FDEC-6AFC-4431-B8D6-0A684145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8019</TotalTime>
  <Pages>8</Pages>
  <Words>1145</Words>
  <Characters>6533</Characters>
  <Application>Microsoft Office Word</Application>
  <DocSecurity>0</DocSecurity>
  <Lines>54</Lines>
  <Paragraphs>15</Paragraphs>
  <ScaleCrop>false</ScaleCrop>
  <Company/>
  <LinksUpToDate>false</LinksUpToDate>
  <CharactersWithSpaces>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shanghai vstone</dc:creator>
  <cp:lastModifiedBy>shanghai vstone</cp:lastModifiedBy>
  <cp:revision>2025</cp:revision>
  <dcterms:created xsi:type="dcterms:W3CDTF">2013-11-22T08:48:00Z</dcterms:created>
  <dcterms:modified xsi:type="dcterms:W3CDTF">2014-11-07T07:37:00Z</dcterms:modified>
</cp:coreProperties>
</file>