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32" w:rsidRDefault="00D41032" w:rsidP="006A5488">
      <w:pPr>
        <w:widowControl/>
        <w:spacing w:after="120"/>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79.2pt;width:148.5pt;height:275.6pt;z-index:251658240" strokecolor="white" strokeweight="0">
            <v:stroke dashstyle="1 1" endcap="round"/>
            <v:textbox style="mso-next-textbox:#_x0000_s1035">
              <w:txbxContent>
                <w:p w:rsidR="00D41032" w:rsidRPr="00635482" w:rsidRDefault="00D41032" w:rsidP="005B0E69">
                  <w:pPr>
                    <w:rPr>
                      <w:rFonts w:ascii="楷体" w:eastAsia="楷体" w:hAnsi="楷体"/>
                      <w:b/>
                      <w:lang w:val="en-GB"/>
                    </w:rPr>
                  </w:pPr>
                  <w:r w:rsidRPr="00635482">
                    <w:rPr>
                      <w:rFonts w:ascii="楷体" w:eastAsia="楷体" w:hAnsi="楷体" w:hint="eastAsia"/>
                      <w:b/>
                      <w:lang w:val="en-GB"/>
                    </w:rPr>
                    <w:t>凯石工场移动平台：</w:t>
                  </w:r>
                </w:p>
                <w:p w:rsidR="00D41032" w:rsidRPr="00635482" w:rsidRDefault="00D41032" w:rsidP="005B0E69">
                  <w:pPr>
                    <w:rPr>
                      <w:rFonts w:ascii="楷体" w:eastAsia="楷体" w:hAnsi="楷体"/>
                      <w:lang w:val="en-GB"/>
                    </w:rPr>
                  </w:pPr>
                </w:p>
                <w:p w:rsidR="00D41032" w:rsidRPr="00635482" w:rsidRDefault="00D41032" w:rsidP="005B0E69">
                  <w:r w:rsidRPr="00635482">
                    <w:rPr>
                      <w:rFonts w:ascii="楷体" w:eastAsia="楷体" w:hAnsi="楷体" w:hint="eastAsia"/>
                      <w:lang w:val="en-GB"/>
                    </w:rPr>
                    <w:t>官方微博：</w:t>
                  </w:r>
                </w:p>
                <w:p w:rsidR="00D41032" w:rsidRPr="00635482" w:rsidRDefault="00D41032" w:rsidP="005B0E69">
                  <w:pPr>
                    <w:rPr>
                      <w:rFonts w:ascii="楷体" w:eastAsia="楷体" w:hAnsi="楷体"/>
                      <w:lang w:val="en-GB"/>
                    </w:rPr>
                  </w:pPr>
                  <w:r w:rsidRPr="00635482">
                    <w:rPr>
                      <w:rFonts w:ascii="楷体" w:eastAsia="楷体" w:hAnsi="楷体" w:hint="eastAsia"/>
                      <w:lang w:val="en-GB"/>
                    </w:rPr>
                    <w:t>凯石财富工场</w:t>
                  </w:r>
                </w:p>
                <w:p w:rsidR="00D41032" w:rsidRDefault="00D41032" w:rsidP="005B0E69">
                  <w:r w:rsidRPr="000454A8">
                    <w:rPr>
                      <w:noProof/>
                    </w:rPr>
                    <w:pict>
                      <v:shape id="图片 5" o:spid="_x0000_i1044" type="#_x0000_t75" alt="66.jpg" style="width:73.5pt;height:73.5pt;visibility:visible">
                        <v:imagedata r:id="rId7" o:title=""/>
                      </v:shape>
                    </w:pict>
                  </w:r>
                </w:p>
                <w:p w:rsidR="00D41032" w:rsidRDefault="00D41032" w:rsidP="005B0E69">
                  <w:pPr>
                    <w:rPr>
                      <w:rFonts w:ascii="楷体" w:eastAsia="楷体" w:hAnsi="楷体"/>
                      <w:b/>
                      <w:lang w:val="en-GB"/>
                    </w:rPr>
                  </w:pPr>
                </w:p>
                <w:p w:rsidR="00D41032" w:rsidRPr="00635482" w:rsidRDefault="00D41032" w:rsidP="005B0E69">
                  <w:pPr>
                    <w:rPr>
                      <w:rFonts w:ascii="楷体" w:eastAsia="楷体" w:hAnsi="楷体"/>
                      <w:lang w:val="en-GB"/>
                    </w:rPr>
                  </w:pPr>
                  <w:r w:rsidRPr="00635482">
                    <w:rPr>
                      <w:rFonts w:ascii="楷体" w:eastAsia="楷体" w:hAnsi="楷体" w:hint="eastAsia"/>
                      <w:lang w:val="en-GB"/>
                    </w:rPr>
                    <w:t>官方微信：</w:t>
                  </w:r>
                </w:p>
                <w:p w:rsidR="00D41032" w:rsidRPr="00635482" w:rsidRDefault="00D41032" w:rsidP="005B0E69">
                  <w:pPr>
                    <w:rPr>
                      <w:rFonts w:ascii="楷体" w:eastAsia="楷体" w:hAnsi="楷体"/>
                      <w:lang w:val="en-GB"/>
                    </w:rPr>
                  </w:pPr>
                  <w:r w:rsidRPr="00635482">
                    <w:rPr>
                      <w:rFonts w:ascii="楷体" w:eastAsia="楷体" w:hAnsi="楷体" w:hint="eastAsia"/>
                      <w:lang w:val="en-GB"/>
                    </w:rPr>
                    <w:t>凯石财富知音订阅号</w:t>
                  </w:r>
                </w:p>
                <w:p w:rsidR="00D41032" w:rsidRDefault="00D41032" w:rsidP="005B0E69">
                  <w:r w:rsidRPr="00635B60">
                    <w:rPr>
                      <w:rFonts w:ascii="楷体" w:eastAsia="楷体" w:hAnsi="楷体"/>
                      <w:b/>
                      <w:noProof/>
                    </w:rPr>
                    <w:pict>
                      <v:shape id="图片 7" o:spid="_x0000_i1045" type="#_x0000_t75" alt="凯石财富知音订阅号3.jpg" style="width:75pt;height:75pt;visibility:visible">
                        <v:imagedata r:id="rId8" o:title=""/>
                      </v:shape>
                    </w:pict>
                  </w:r>
                </w:p>
              </w:txbxContent>
            </v:textbox>
          </v:shape>
        </w:pict>
      </w:r>
      <w:r w:rsidRPr="005B7CDB">
        <w:rPr>
          <w:rFonts w:ascii="楷体" w:eastAsia="楷体" w:hAnsi="楷体" w:hint="eastAsia"/>
          <w:b/>
          <w:bCs/>
          <w:color w:val="0070C0"/>
          <w:kern w:val="0"/>
          <w:sz w:val="24"/>
          <w:szCs w:val="20"/>
          <w:lang w:val="en-GB"/>
        </w:rPr>
        <w:t>导语</w:t>
      </w:r>
    </w:p>
    <w:p w:rsidR="00D41032" w:rsidRPr="00C052D5" w:rsidRDefault="00D41032" w:rsidP="008B028E">
      <w:pPr>
        <w:pStyle w:val="BodyText"/>
        <w:spacing w:after="163"/>
        <w:ind w:firstLineChars="200" w:firstLine="31680"/>
        <w:rPr>
          <w:rFonts w:ascii="楷体" w:eastAsia="楷体" w:hAnsi="楷体" w:cs="Arial"/>
          <w:szCs w:val="21"/>
        </w:rPr>
      </w:pPr>
      <w:r w:rsidRPr="00C052D5">
        <w:rPr>
          <w:rFonts w:ascii="楷体" w:eastAsia="楷体" w:hAnsi="楷体" w:cs="Arial" w:hint="eastAsia"/>
          <w:szCs w:val="21"/>
        </w:rPr>
        <w:t>上周（</w:t>
      </w:r>
      <w:r>
        <w:rPr>
          <w:rFonts w:ascii="楷体" w:eastAsia="楷体" w:hAnsi="楷体" w:cs="Arial"/>
          <w:szCs w:val="21"/>
        </w:rPr>
        <w:t>2014.10.27~10.31</w:t>
      </w:r>
      <w:r>
        <w:rPr>
          <w:rFonts w:ascii="楷体" w:eastAsia="楷体" w:hAnsi="楷体" w:cs="Arial" w:hint="eastAsia"/>
          <w:szCs w:val="21"/>
        </w:rPr>
        <w:t>）市场</w:t>
      </w:r>
      <w:r w:rsidRPr="00E51533">
        <w:rPr>
          <w:rFonts w:ascii="楷体" w:eastAsia="楷体" w:hAnsi="楷体" w:cs="Arial" w:hint="eastAsia"/>
          <w:szCs w:val="21"/>
        </w:rPr>
        <w:t>反弹幅度较大，上证指数和沪深</w:t>
      </w:r>
      <w:r w:rsidRPr="00E51533">
        <w:rPr>
          <w:rFonts w:ascii="楷体" w:eastAsia="楷体" w:hAnsi="楷体" w:cs="Arial"/>
          <w:szCs w:val="21"/>
        </w:rPr>
        <w:t>300</w:t>
      </w:r>
      <w:r w:rsidRPr="00E51533">
        <w:rPr>
          <w:rFonts w:ascii="楷体" w:eastAsia="楷体" w:hAnsi="楷体" w:cs="Arial" w:hint="eastAsia"/>
          <w:szCs w:val="21"/>
        </w:rPr>
        <w:t>分别周涨</w:t>
      </w:r>
      <w:r w:rsidRPr="00E51533">
        <w:rPr>
          <w:rFonts w:ascii="楷体" w:eastAsia="楷体" w:hAnsi="楷体" w:cs="Arial"/>
          <w:szCs w:val="21"/>
        </w:rPr>
        <w:t>5.12%</w:t>
      </w:r>
      <w:r w:rsidRPr="00E51533">
        <w:rPr>
          <w:rFonts w:ascii="楷体" w:eastAsia="楷体" w:hAnsi="楷体" w:cs="Arial" w:hint="eastAsia"/>
          <w:szCs w:val="21"/>
        </w:rPr>
        <w:t>和</w:t>
      </w:r>
      <w:r w:rsidRPr="00E51533">
        <w:rPr>
          <w:rFonts w:ascii="楷体" w:eastAsia="楷体" w:hAnsi="楷体" w:cs="Arial"/>
          <w:szCs w:val="21"/>
        </w:rPr>
        <w:t>4.92%</w:t>
      </w:r>
      <w:r>
        <w:rPr>
          <w:rFonts w:ascii="楷体" w:eastAsia="楷体" w:hAnsi="楷体" w:cs="Arial" w:hint="eastAsia"/>
          <w:szCs w:val="21"/>
        </w:rPr>
        <w:t>，创业板指和中小板指分别</w:t>
      </w:r>
      <w:r w:rsidRPr="00E51533">
        <w:rPr>
          <w:rFonts w:ascii="楷体" w:eastAsia="楷体" w:hAnsi="楷体" w:cs="Arial" w:hint="eastAsia"/>
          <w:szCs w:val="21"/>
        </w:rPr>
        <w:t>涨</w:t>
      </w:r>
      <w:r w:rsidRPr="00E51533">
        <w:rPr>
          <w:rFonts w:ascii="楷体" w:eastAsia="楷体" w:hAnsi="楷体" w:cs="Arial"/>
          <w:szCs w:val="21"/>
        </w:rPr>
        <w:t>2.41%</w:t>
      </w:r>
      <w:r w:rsidRPr="00E51533">
        <w:rPr>
          <w:rFonts w:ascii="楷体" w:eastAsia="楷体" w:hAnsi="楷体" w:cs="Arial" w:hint="eastAsia"/>
          <w:szCs w:val="21"/>
        </w:rPr>
        <w:t>和</w:t>
      </w:r>
      <w:r w:rsidRPr="00E51533">
        <w:rPr>
          <w:rFonts w:ascii="楷体" w:eastAsia="楷体" w:hAnsi="楷体" w:cs="Arial"/>
          <w:szCs w:val="21"/>
        </w:rPr>
        <w:t>2.71%</w:t>
      </w:r>
      <w:r w:rsidRPr="00E51533">
        <w:rPr>
          <w:rFonts w:ascii="楷体" w:eastAsia="楷体" w:hAnsi="楷体" w:cs="Arial" w:hint="eastAsia"/>
          <w:szCs w:val="21"/>
        </w:rPr>
        <w:t>。</w:t>
      </w:r>
      <w:r w:rsidRPr="00E51533">
        <w:rPr>
          <w:rFonts w:ascii="楷体" w:eastAsia="楷体" w:hAnsi="楷体" w:cs="Arial"/>
          <w:szCs w:val="21"/>
        </w:rPr>
        <w:t>29</w:t>
      </w:r>
      <w:r>
        <w:rPr>
          <w:rFonts w:ascii="楷体" w:eastAsia="楷体" w:hAnsi="楷体" w:cs="Arial" w:hint="eastAsia"/>
          <w:szCs w:val="21"/>
        </w:rPr>
        <w:t>个中信一级行业全数上涨，交运</w:t>
      </w:r>
      <w:r w:rsidRPr="00E51533">
        <w:rPr>
          <w:rFonts w:ascii="楷体" w:eastAsia="楷体" w:hAnsi="楷体" w:cs="Arial" w:hint="eastAsia"/>
          <w:szCs w:val="21"/>
        </w:rPr>
        <w:t>涨幅最大（</w:t>
      </w:r>
      <w:r w:rsidRPr="00E51533">
        <w:rPr>
          <w:rFonts w:ascii="楷体" w:eastAsia="楷体" w:hAnsi="楷体" w:cs="Arial"/>
          <w:szCs w:val="21"/>
        </w:rPr>
        <w:t>10.32%</w:t>
      </w:r>
      <w:r w:rsidRPr="00E51533">
        <w:rPr>
          <w:rFonts w:ascii="楷体" w:eastAsia="楷体" w:hAnsi="楷体" w:cs="Arial" w:hint="eastAsia"/>
          <w:szCs w:val="21"/>
        </w:rPr>
        <w:t>），其次为钢铁（</w:t>
      </w:r>
      <w:r w:rsidRPr="00E51533">
        <w:rPr>
          <w:rFonts w:ascii="楷体" w:eastAsia="楷体" w:hAnsi="楷体" w:cs="Arial"/>
          <w:szCs w:val="21"/>
        </w:rPr>
        <w:t>8.67%</w:t>
      </w:r>
      <w:r>
        <w:rPr>
          <w:rFonts w:ascii="楷体" w:eastAsia="楷体" w:hAnsi="楷体" w:cs="Arial" w:hint="eastAsia"/>
          <w:szCs w:val="21"/>
        </w:rPr>
        <w:t>）、</w:t>
      </w:r>
      <w:r w:rsidRPr="00E51533">
        <w:rPr>
          <w:rFonts w:ascii="楷体" w:eastAsia="楷体" w:hAnsi="楷体" w:cs="Arial" w:hint="eastAsia"/>
          <w:szCs w:val="21"/>
        </w:rPr>
        <w:t>建筑（</w:t>
      </w:r>
      <w:r w:rsidRPr="00E51533">
        <w:rPr>
          <w:rFonts w:ascii="楷体" w:eastAsia="楷体" w:hAnsi="楷体" w:cs="Arial"/>
          <w:szCs w:val="21"/>
        </w:rPr>
        <w:t>8.01%</w:t>
      </w:r>
      <w:r>
        <w:rPr>
          <w:rFonts w:ascii="楷体" w:eastAsia="楷体" w:hAnsi="楷体" w:cs="Arial" w:hint="eastAsia"/>
          <w:szCs w:val="21"/>
        </w:rPr>
        <w:t>），</w:t>
      </w:r>
      <w:r w:rsidRPr="00E51533">
        <w:rPr>
          <w:rFonts w:ascii="楷体" w:eastAsia="楷体" w:hAnsi="楷体" w:cs="Arial" w:hint="eastAsia"/>
          <w:szCs w:val="21"/>
        </w:rPr>
        <w:t>食品饮料涨幅最小（</w:t>
      </w:r>
      <w:r w:rsidRPr="00E51533">
        <w:rPr>
          <w:rFonts w:ascii="楷体" w:eastAsia="楷体" w:hAnsi="楷体" w:cs="Arial"/>
          <w:szCs w:val="21"/>
        </w:rPr>
        <w:t>1.77%</w:t>
      </w:r>
      <w:r w:rsidRPr="00E51533">
        <w:rPr>
          <w:rFonts w:ascii="楷体" w:eastAsia="楷体" w:hAnsi="楷体" w:cs="Arial" w:hint="eastAsia"/>
          <w:szCs w:val="21"/>
        </w:rPr>
        <w:t>）。</w:t>
      </w:r>
      <w:r w:rsidRPr="00E51533">
        <w:rPr>
          <w:rFonts w:ascii="楷体" w:eastAsia="楷体" w:hAnsi="楷体" w:cs="Arial"/>
          <w:szCs w:val="21"/>
        </w:rPr>
        <w:t>10</w:t>
      </w:r>
      <w:r w:rsidRPr="00E51533">
        <w:rPr>
          <w:rFonts w:ascii="楷体" w:eastAsia="楷体" w:hAnsi="楷体" w:cs="Arial" w:hint="eastAsia"/>
          <w:szCs w:val="21"/>
        </w:rPr>
        <w:t>月</w:t>
      </w:r>
      <w:r>
        <w:rPr>
          <w:rFonts w:ascii="楷体" w:eastAsia="楷体" w:hAnsi="楷体" w:cs="Arial" w:hint="eastAsia"/>
          <w:szCs w:val="21"/>
        </w:rPr>
        <w:t>份国内</w:t>
      </w:r>
      <w:r w:rsidRPr="00E51533">
        <w:rPr>
          <w:rFonts w:ascii="楷体" w:eastAsia="楷体" w:hAnsi="楷体" w:cs="Arial" w:hint="eastAsia"/>
          <w:szCs w:val="21"/>
        </w:rPr>
        <w:t>制造业</w:t>
      </w:r>
      <w:r w:rsidRPr="00E51533">
        <w:rPr>
          <w:rFonts w:ascii="楷体" w:eastAsia="楷体" w:hAnsi="楷体" w:cs="Arial"/>
          <w:szCs w:val="21"/>
        </w:rPr>
        <w:t>PMI</w:t>
      </w:r>
      <w:r w:rsidRPr="00E51533">
        <w:rPr>
          <w:rFonts w:ascii="楷体" w:eastAsia="楷体" w:hAnsi="楷体" w:cs="Arial" w:hint="eastAsia"/>
          <w:szCs w:val="21"/>
        </w:rPr>
        <w:t>为</w:t>
      </w:r>
      <w:r w:rsidRPr="00E51533">
        <w:rPr>
          <w:rFonts w:ascii="楷体" w:eastAsia="楷体" w:hAnsi="楷体" w:cs="Arial"/>
          <w:szCs w:val="21"/>
        </w:rPr>
        <w:t>50.8%</w:t>
      </w:r>
      <w:r>
        <w:rPr>
          <w:rFonts w:ascii="楷体" w:eastAsia="楷体" w:hAnsi="楷体" w:cs="Arial" w:hint="eastAsia"/>
          <w:szCs w:val="21"/>
        </w:rPr>
        <w:t>，比</w:t>
      </w:r>
      <w:r w:rsidRPr="00E51533">
        <w:rPr>
          <w:rFonts w:ascii="楷体" w:eastAsia="楷体" w:hAnsi="楷体" w:cs="Arial"/>
          <w:szCs w:val="21"/>
        </w:rPr>
        <w:t>9</w:t>
      </w:r>
      <w:r>
        <w:rPr>
          <w:rFonts w:ascii="楷体" w:eastAsia="楷体" w:hAnsi="楷体" w:cs="Arial" w:hint="eastAsia"/>
          <w:szCs w:val="21"/>
        </w:rPr>
        <w:t>月份下降</w:t>
      </w:r>
      <w:r w:rsidRPr="00E51533">
        <w:rPr>
          <w:rFonts w:ascii="楷体" w:eastAsia="楷体" w:hAnsi="楷体" w:cs="Arial"/>
          <w:szCs w:val="21"/>
        </w:rPr>
        <w:t>0.3</w:t>
      </w:r>
      <w:r>
        <w:rPr>
          <w:rFonts w:ascii="楷体" w:eastAsia="楷体" w:hAnsi="楷体" w:cs="Arial"/>
          <w:szCs w:val="21"/>
        </w:rPr>
        <w:t>%</w:t>
      </w:r>
      <w:r w:rsidRPr="00E51533">
        <w:rPr>
          <w:rFonts w:ascii="楷体" w:eastAsia="楷体" w:hAnsi="楷体" w:cs="Arial" w:hint="eastAsia"/>
          <w:szCs w:val="21"/>
        </w:rPr>
        <w:t>。其中，生产指数</w:t>
      </w:r>
      <w:r>
        <w:rPr>
          <w:rFonts w:ascii="楷体" w:eastAsia="楷体" w:hAnsi="楷体" w:cs="Arial" w:hint="eastAsia"/>
          <w:szCs w:val="21"/>
        </w:rPr>
        <w:t>比上月下降</w:t>
      </w:r>
      <w:r w:rsidRPr="00E51533">
        <w:rPr>
          <w:rFonts w:ascii="楷体" w:eastAsia="楷体" w:hAnsi="楷体" w:cs="Arial"/>
          <w:szCs w:val="21"/>
        </w:rPr>
        <w:t>0.5</w:t>
      </w:r>
      <w:r>
        <w:rPr>
          <w:rFonts w:ascii="楷体" w:eastAsia="楷体" w:hAnsi="楷体" w:cs="Arial"/>
          <w:szCs w:val="21"/>
        </w:rPr>
        <w:t>%</w:t>
      </w:r>
      <w:r>
        <w:rPr>
          <w:rFonts w:ascii="楷体" w:eastAsia="楷体" w:hAnsi="楷体" w:cs="Arial" w:hint="eastAsia"/>
          <w:szCs w:val="21"/>
        </w:rPr>
        <w:t>，</w:t>
      </w:r>
      <w:r w:rsidRPr="00E51533">
        <w:rPr>
          <w:rFonts w:ascii="楷体" w:eastAsia="楷体" w:hAnsi="楷体" w:cs="Arial" w:hint="eastAsia"/>
          <w:szCs w:val="21"/>
        </w:rPr>
        <w:t>新订单指数</w:t>
      </w:r>
      <w:r>
        <w:rPr>
          <w:rFonts w:ascii="楷体" w:eastAsia="楷体" w:hAnsi="楷体" w:cs="Arial" w:hint="eastAsia"/>
          <w:szCs w:val="21"/>
        </w:rPr>
        <w:t>降</w:t>
      </w:r>
      <w:r>
        <w:rPr>
          <w:rFonts w:ascii="楷体" w:eastAsia="楷体" w:hAnsi="楷体" w:cs="Arial"/>
          <w:szCs w:val="21"/>
        </w:rPr>
        <w:t>0.6%</w:t>
      </w:r>
      <w:r>
        <w:rPr>
          <w:rFonts w:ascii="楷体" w:eastAsia="楷体" w:hAnsi="楷体" w:cs="Arial" w:hint="eastAsia"/>
          <w:szCs w:val="21"/>
        </w:rPr>
        <w:t>，再次印证了国内经济当前的下行压力，但</w:t>
      </w:r>
      <w:r w:rsidRPr="00E51533">
        <w:rPr>
          <w:rFonts w:ascii="楷体" w:eastAsia="楷体" w:hAnsi="楷体" w:cs="Arial"/>
          <w:szCs w:val="21"/>
        </w:rPr>
        <w:t>10</w:t>
      </w:r>
      <w:r>
        <w:rPr>
          <w:rFonts w:ascii="楷体" w:eastAsia="楷体" w:hAnsi="楷体" w:cs="Arial" w:hint="eastAsia"/>
          <w:szCs w:val="21"/>
        </w:rPr>
        <w:t>月份政府对于基建投资增加</w:t>
      </w:r>
      <w:r w:rsidRPr="00E51533">
        <w:rPr>
          <w:rFonts w:ascii="楷体" w:eastAsia="楷体" w:hAnsi="楷体" w:cs="Arial" w:hint="eastAsia"/>
          <w:szCs w:val="21"/>
        </w:rPr>
        <w:t>，</w:t>
      </w:r>
      <w:r>
        <w:rPr>
          <w:rFonts w:ascii="楷体" w:eastAsia="楷体" w:hAnsi="楷体" w:cs="Arial" w:hint="eastAsia"/>
          <w:szCs w:val="21"/>
        </w:rPr>
        <w:t>因此</w:t>
      </w:r>
      <w:r w:rsidRPr="00E51533">
        <w:rPr>
          <w:rFonts w:ascii="楷体" w:eastAsia="楷体" w:hAnsi="楷体" w:cs="Arial" w:hint="eastAsia"/>
          <w:szCs w:val="21"/>
        </w:rPr>
        <w:t>年</w:t>
      </w:r>
      <w:r>
        <w:rPr>
          <w:rFonts w:ascii="楷体" w:eastAsia="楷体" w:hAnsi="楷体" w:cs="Arial" w:hint="eastAsia"/>
          <w:szCs w:val="21"/>
        </w:rPr>
        <w:t>前经济走势如何还需继续观望。海外市场方面，</w:t>
      </w:r>
      <w:r w:rsidRPr="00CD51F7">
        <w:rPr>
          <w:rFonts w:ascii="楷体" w:eastAsia="楷体" w:hAnsi="楷体" w:cs="Arial" w:hint="eastAsia"/>
          <w:szCs w:val="21"/>
        </w:rPr>
        <w:t>美国商务部</w:t>
      </w:r>
      <w:r>
        <w:rPr>
          <w:rFonts w:ascii="楷体" w:eastAsia="楷体" w:hAnsi="楷体" w:cs="Arial" w:hint="eastAsia"/>
          <w:szCs w:val="21"/>
        </w:rPr>
        <w:t>公布</w:t>
      </w:r>
      <w:r w:rsidRPr="00CD51F7">
        <w:rPr>
          <w:rFonts w:ascii="楷体" w:eastAsia="楷体" w:hAnsi="楷体" w:cs="Arial" w:hint="eastAsia"/>
          <w:szCs w:val="21"/>
        </w:rPr>
        <w:t>三季度</w:t>
      </w:r>
      <w:r w:rsidRPr="00CD51F7">
        <w:rPr>
          <w:rFonts w:ascii="楷体" w:eastAsia="楷体" w:hAnsi="楷体" w:cs="Arial"/>
          <w:szCs w:val="21"/>
        </w:rPr>
        <w:t>GDP</w:t>
      </w:r>
      <w:r w:rsidRPr="00CD51F7">
        <w:rPr>
          <w:rFonts w:ascii="楷体" w:eastAsia="楷体" w:hAnsi="楷体" w:cs="Arial" w:hint="eastAsia"/>
          <w:szCs w:val="21"/>
        </w:rPr>
        <w:t>年率增长</w:t>
      </w:r>
      <w:r w:rsidRPr="00CD51F7">
        <w:rPr>
          <w:rFonts w:ascii="楷体" w:eastAsia="楷体" w:hAnsi="楷体" w:cs="Arial"/>
          <w:szCs w:val="21"/>
        </w:rPr>
        <w:t>3.5%</w:t>
      </w:r>
      <w:r w:rsidRPr="00CD51F7">
        <w:rPr>
          <w:rFonts w:ascii="楷体" w:eastAsia="楷体" w:hAnsi="楷体" w:cs="Arial" w:hint="eastAsia"/>
          <w:szCs w:val="21"/>
        </w:rPr>
        <w:t>，符合市场预期</w:t>
      </w:r>
      <w:r>
        <w:rPr>
          <w:rFonts w:ascii="楷体" w:eastAsia="楷体" w:hAnsi="楷体" w:cs="Arial" w:hint="eastAsia"/>
          <w:szCs w:val="21"/>
        </w:rPr>
        <w:t>，</w:t>
      </w:r>
      <w:r>
        <w:rPr>
          <w:rFonts w:ascii="??" w:hAnsi="??" w:hint="eastAsia"/>
          <w:szCs w:val="21"/>
        </w:rPr>
        <w:t>美联储议息会议后宣布</w:t>
      </w:r>
      <w:r>
        <w:rPr>
          <w:rFonts w:ascii="??" w:hAnsi="??"/>
          <w:szCs w:val="21"/>
        </w:rPr>
        <w:t>QE</w:t>
      </w:r>
      <w:r>
        <w:rPr>
          <w:rFonts w:ascii="??" w:hAnsi="??" w:hint="eastAsia"/>
          <w:szCs w:val="21"/>
        </w:rPr>
        <w:t>操作正式终结，美元重启升势。</w:t>
      </w:r>
      <w:r>
        <w:rPr>
          <w:rFonts w:ascii="楷体" w:eastAsia="楷体" w:hAnsi="楷体" w:cs="Arial" w:hint="eastAsia"/>
          <w:szCs w:val="21"/>
        </w:rPr>
        <w:t>股市方面，美股三大股指涨幅略微收窄。港股涨幅仍受限，恒生指数和恒生国企指数分别周涨</w:t>
      </w:r>
      <w:r>
        <w:rPr>
          <w:rFonts w:ascii="楷体" w:eastAsia="楷体" w:hAnsi="楷体" w:cs="Arial"/>
          <w:szCs w:val="21"/>
        </w:rPr>
        <w:t>1.58%</w:t>
      </w:r>
      <w:r>
        <w:rPr>
          <w:rFonts w:ascii="楷体" w:eastAsia="楷体" w:hAnsi="楷体" w:cs="Arial" w:hint="eastAsia"/>
          <w:szCs w:val="21"/>
        </w:rPr>
        <w:t>和</w:t>
      </w:r>
      <w:r>
        <w:rPr>
          <w:rFonts w:ascii="楷体" w:eastAsia="楷体" w:hAnsi="楷体" w:cs="Arial"/>
          <w:szCs w:val="21"/>
        </w:rPr>
        <w:t>1.82%</w:t>
      </w:r>
      <w:r>
        <w:rPr>
          <w:rFonts w:ascii="楷体" w:eastAsia="楷体" w:hAnsi="楷体" w:cs="Arial" w:hint="eastAsia"/>
          <w:szCs w:val="21"/>
        </w:rPr>
        <w:t>。</w:t>
      </w:r>
    </w:p>
    <w:p w:rsidR="00D41032" w:rsidRPr="002423F7" w:rsidRDefault="00D41032" w:rsidP="008B028E">
      <w:pPr>
        <w:pStyle w:val="BodyText"/>
        <w:spacing w:after="163"/>
        <w:ind w:firstLineChars="200" w:firstLine="31680"/>
        <w:rPr>
          <w:rFonts w:ascii="楷体" w:eastAsia="楷体" w:hAnsi="楷体" w:cs="Arial"/>
          <w:szCs w:val="21"/>
        </w:rPr>
      </w:pPr>
      <w:r w:rsidRPr="002423F7">
        <w:rPr>
          <w:rFonts w:ascii="楷体" w:eastAsia="楷体" w:hAnsi="楷体" w:cs="Arial" w:hint="eastAsia"/>
          <w:szCs w:val="21"/>
        </w:rPr>
        <w:t>凯石工场统计的各类公募基金（除商品基金）普遍上涨。分类来看，股票基金涨幅最大，被动</w:t>
      </w:r>
      <w:r>
        <w:rPr>
          <w:rFonts w:ascii="楷体" w:eastAsia="楷体" w:hAnsi="楷体" w:cs="Arial" w:hint="eastAsia"/>
          <w:szCs w:val="21"/>
        </w:rPr>
        <w:t>风格表现好于主动风格；混合基金中，灵活型产品平均收益高于偏股型</w:t>
      </w:r>
      <w:r w:rsidRPr="002423F7">
        <w:rPr>
          <w:rFonts w:ascii="楷体" w:eastAsia="楷体" w:hAnsi="楷体" w:cs="Arial" w:hint="eastAsia"/>
          <w:szCs w:val="21"/>
        </w:rPr>
        <w:t>；除理财债基外，其他</w:t>
      </w:r>
      <w:r>
        <w:rPr>
          <w:rFonts w:ascii="楷体" w:eastAsia="楷体" w:hAnsi="楷体" w:cs="Arial" w:hint="eastAsia"/>
          <w:szCs w:val="21"/>
        </w:rPr>
        <w:t>债基涨幅均扩大</w:t>
      </w:r>
      <w:r w:rsidRPr="002423F7">
        <w:rPr>
          <w:rFonts w:ascii="楷体" w:eastAsia="楷体" w:hAnsi="楷体" w:cs="Arial" w:hint="eastAsia"/>
          <w:szCs w:val="21"/>
        </w:rPr>
        <w:t>；货币基金七日年化收益率升至</w:t>
      </w:r>
      <w:r w:rsidRPr="002423F7">
        <w:rPr>
          <w:rFonts w:ascii="楷体" w:eastAsia="楷体" w:hAnsi="楷体" w:cs="Arial"/>
          <w:szCs w:val="21"/>
        </w:rPr>
        <w:t>4.65%</w:t>
      </w:r>
      <w:r w:rsidRPr="002423F7">
        <w:rPr>
          <w:rFonts w:ascii="楷体" w:eastAsia="楷体" w:hAnsi="楷体" w:cs="Arial" w:hint="eastAsia"/>
          <w:szCs w:val="21"/>
        </w:rPr>
        <w:t>；</w:t>
      </w:r>
      <w:r w:rsidRPr="002423F7">
        <w:rPr>
          <w:rFonts w:ascii="楷体" w:eastAsia="楷体" w:hAnsi="楷体" w:cs="Arial"/>
          <w:szCs w:val="21"/>
        </w:rPr>
        <w:t>QDII</w:t>
      </w:r>
      <w:r w:rsidRPr="002423F7">
        <w:rPr>
          <w:rFonts w:ascii="楷体" w:eastAsia="楷体" w:hAnsi="楷体" w:cs="Arial" w:hint="eastAsia"/>
          <w:szCs w:val="21"/>
        </w:rPr>
        <w:t>涨幅收</w:t>
      </w:r>
      <w:r>
        <w:rPr>
          <w:rFonts w:ascii="楷体" w:eastAsia="楷体" w:hAnsi="楷体" w:cs="Arial" w:hint="eastAsia"/>
          <w:szCs w:val="21"/>
        </w:rPr>
        <w:t>窄，新兴市场基金业绩排名较前周靠前，商品基金继续下跌，美股基金、</w:t>
      </w:r>
      <w:r w:rsidRPr="002423F7">
        <w:rPr>
          <w:rFonts w:ascii="楷体" w:eastAsia="楷体" w:hAnsi="楷体" w:cs="Arial" w:hint="eastAsia"/>
          <w:szCs w:val="21"/>
        </w:rPr>
        <w:t>行业基金和</w:t>
      </w:r>
      <w:r>
        <w:rPr>
          <w:rFonts w:ascii="楷体" w:eastAsia="楷体" w:hAnsi="楷体" w:cs="Arial"/>
          <w:szCs w:val="21"/>
        </w:rPr>
        <w:t>QDII</w:t>
      </w:r>
      <w:r w:rsidRPr="002423F7">
        <w:rPr>
          <w:rFonts w:ascii="楷体" w:eastAsia="楷体" w:hAnsi="楷体" w:cs="Arial" w:hint="eastAsia"/>
          <w:szCs w:val="21"/>
        </w:rPr>
        <w:t>债券</w:t>
      </w:r>
      <w:r>
        <w:rPr>
          <w:rFonts w:ascii="楷体" w:eastAsia="楷体" w:hAnsi="楷体" w:cs="Arial" w:hint="eastAsia"/>
          <w:szCs w:val="21"/>
        </w:rPr>
        <w:t>类</w:t>
      </w:r>
      <w:r w:rsidRPr="002423F7">
        <w:rPr>
          <w:rFonts w:ascii="楷体" w:eastAsia="楷体" w:hAnsi="楷体" w:cs="Arial" w:hint="eastAsia"/>
          <w:szCs w:val="21"/>
        </w:rPr>
        <w:t>涨幅收缩。产品方面，</w:t>
      </w:r>
      <w:r w:rsidRPr="002423F7">
        <w:rPr>
          <w:rFonts w:ascii="楷体" w:eastAsia="楷体" w:hAnsi="楷体" w:hint="eastAsia"/>
          <w:szCs w:val="21"/>
        </w:rPr>
        <w:t>富国医疗保健行业，南方小康产业</w:t>
      </w:r>
      <w:r w:rsidRPr="002423F7">
        <w:rPr>
          <w:rFonts w:ascii="楷体" w:eastAsia="楷体" w:hAnsi="楷体"/>
          <w:szCs w:val="21"/>
        </w:rPr>
        <w:t>ETF</w:t>
      </w:r>
      <w:r w:rsidRPr="002423F7">
        <w:rPr>
          <w:rFonts w:ascii="楷体" w:eastAsia="楷体" w:hAnsi="楷体" w:hint="eastAsia"/>
          <w:szCs w:val="21"/>
        </w:rPr>
        <w:t>，泰达宏利效率优选，民生加银转债优选</w:t>
      </w:r>
      <w:r w:rsidRPr="002423F7">
        <w:rPr>
          <w:rFonts w:ascii="楷体" w:eastAsia="楷体" w:hAnsi="楷体"/>
          <w:szCs w:val="21"/>
        </w:rPr>
        <w:t>C</w:t>
      </w:r>
      <w:r w:rsidRPr="002423F7">
        <w:rPr>
          <w:rFonts w:ascii="楷体" w:eastAsia="楷体" w:hAnsi="楷体" w:hint="eastAsia"/>
          <w:szCs w:val="21"/>
        </w:rPr>
        <w:t>，银华锐进和银华中证转债</w:t>
      </w:r>
      <w:r w:rsidRPr="002423F7">
        <w:rPr>
          <w:rFonts w:ascii="楷体" w:eastAsia="楷体" w:hAnsi="楷体"/>
          <w:szCs w:val="21"/>
        </w:rPr>
        <w:t>B</w:t>
      </w:r>
      <w:r w:rsidRPr="002423F7">
        <w:rPr>
          <w:rFonts w:ascii="楷体" w:eastAsia="楷体" w:hAnsi="楷体" w:hint="eastAsia"/>
          <w:szCs w:val="21"/>
        </w:rPr>
        <w:t>等</w:t>
      </w:r>
      <w:r w:rsidRPr="002423F7">
        <w:rPr>
          <w:rFonts w:ascii="楷体" w:eastAsia="楷体" w:hAnsi="楷体" w:cs="Arial" w:hint="eastAsia"/>
          <w:szCs w:val="21"/>
        </w:rPr>
        <w:t>业绩居前。</w:t>
      </w:r>
    </w:p>
    <w:p w:rsidR="00D41032" w:rsidRPr="005B7CDB" w:rsidRDefault="00D41032" w:rsidP="002D7B70">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p>
    <w:p w:rsidR="00D41032" w:rsidRPr="007838F3" w:rsidRDefault="00D41032" w:rsidP="004B58D7">
      <w:pPr>
        <w:pStyle w:val="BodyText"/>
        <w:numPr>
          <w:ilvl w:val="4"/>
          <w:numId w:val="1"/>
        </w:numPr>
        <w:spacing w:after="163"/>
        <w:rPr>
          <w:rFonts w:ascii="楷体" w:eastAsia="楷体" w:hAnsi="楷体" w:cs="Arial"/>
          <w:szCs w:val="21"/>
        </w:rPr>
      </w:pPr>
      <w:r w:rsidRPr="007838F3">
        <w:rPr>
          <w:rFonts w:ascii="楷体" w:eastAsia="楷体" w:hAnsi="楷体" w:cs="Arial" w:hint="eastAsia"/>
          <w:szCs w:val="21"/>
        </w:rPr>
        <w:t>权益类基金：</w:t>
      </w:r>
      <w:r w:rsidRPr="008F4E4A">
        <w:rPr>
          <w:rFonts w:ascii="楷体" w:eastAsia="楷体" w:hAnsi="楷体" w:cs="Arial"/>
          <w:szCs w:val="21"/>
        </w:rPr>
        <w:t>10</w:t>
      </w:r>
      <w:r w:rsidRPr="008F4E4A">
        <w:rPr>
          <w:rFonts w:ascii="楷体" w:eastAsia="楷体" w:hAnsi="楷体" w:cs="Arial" w:hint="eastAsia"/>
          <w:szCs w:val="21"/>
        </w:rPr>
        <w:t>月官方制造业</w:t>
      </w:r>
      <w:r w:rsidRPr="008F4E4A">
        <w:rPr>
          <w:rFonts w:ascii="楷体" w:eastAsia="楷体" w:hAnsi="楷体" w:cs="Arial"/>
          <w:szCs w:val="21"/>
        </w:rPr>
        <w:t>PMI</w:t>
      </w:r>
      <w:r w:rsidRPr="008F4E4A">
        <w:rPr>
          <w:rFonts w:ascii="楷体" w:eastAsia="楷体" w:hAnsi="楷体" w:cs="Arial" w:hint="eastAsia"/>
          <w:szCs w:val="21"/>
        </w:rPr>
        <w:t>下滑至</w:t>
      </w:r>
      <w:r w:rsidRPr="008F4E4A">
        <w:rPr>
          <w:rFonts w:ascii="楷体" w:eastAsia="楷体" w:hAnsi="楷体" w:cs="Arial"/>
          <w:szCs w:val="21"/>
        </w:rPr>
        <w:t>50.8%</w:t>
      </w:r>
      <w:r w:rsidRPr="008F4E4A">
        <w:rPr>
          <w:rFonts w:ascii="楷体" w:eastAsia="楷体" w:hAnsi="楷体" w:cs="Arial" w:hint="eastAsia"/>
          <w:szCs w:val="21"/>
        </w:rPr>
        <w:t>，较</w:t>
      </w:r>
      <w:r w:rsidRPr="008F4E4A">
        <w:rPr>
          <w:rFonts w:ascii="楷体" w:eastAsia="楷体" w:hAnsi="楷体" w:cs="Arial"/>
          <w:szCs w:val="21"/>
        </w:rPr>
        <w:t>9</w:t>
      </w:r>
      <w:r w:rsidRPr="008F4E4A">
        <w:rPr>
          <w:rFonts w:ascii="楷体" w:eastAsia="楷体" w:hAnsi="楷体" w:cs="Arial" w:hint="eastAsia"/>
          <w:szCs w:val="21"/>
        </w:rPr>
        <w:t>月回落</w:t>
      </w:r>
      <w:r w:rsidRPr="008F4E4A">
        <w:rPr>
          <w:rFonts w:ascii="楷体" w:eastAsia="楷体" w:hAnsi="楷体" w:cs="Arial"/>
          <w:szCs w:val="21"/>
        </w:rPr>
        <w:t>0.3</w:t>
      </w:r>
      <w:r w:rsidRPr="008F4E4A">
        <w:rPr>
          <w:rFonts w:ascii="楷体" w:eastAsia="楷体" w:hAnsi="楷体" w:cs="Arial" w:hint="eastAsia"/>
          <w:szCs w:val="21"/>
        </w:rPr>
        <w:t>个百分点，其中生产指数、新订单指数和库存指数均有所下滑，暗示经济运行隐忧未消。与此同时逆周期政策措施围绕促消费和加强基建两方面展开，旨在改善需求偏弱格局，缓解经济下行压力。海外市场方面，美国</w:t>
      </w:r>
      <w:r w:rsidRPr="008F4E4A">
        <w:rPr>
          <w:rFonts w:ascii="楷体" w:eastAsia="楷体" w:hAnsi="楷体" w:cs="Arial"/>
          <w:szCs w:val="21"/>
        </w:rPr>
        <w:t>QE</w:t>
      </w:r>
      <w:r w:rsidRPr="008F4E4A">
        <w:rPr>
          <w:rFonts w:ascii="楷体" w:eastAsia="楷体" w:hAnsi="楷体" w:cs="Arial" w:hint="eastAsia"/>
          <w:szCs w:val="21"/>
        </w:rPr>
        <w:t>退出之际日央行宣布扩大宽松规模，有利于风险资产偏好的提升。</w:t>
      </w:r>
      <w:r w:rsidRPr="008F4E4A">
        <w:rPr>
          <w:rFonts w:ascii="楷体" w:eastAsia="楷体" w:hAnsi="楷体" w:cs="Arial"/>
          <w:szCs w:val="21"/>
        </w:rPr>
        <w:t>A</w:t>
      </w:r>
      <w:r w:rsidRPr="008F4E4A">
        <w:rPr>
          <w:rFonts w:ascii="楷体" w:eastAsia="楷体" w:hAnsi="楷体" w:cs="Arial" w:hint="eastAsia"/>
          <w:szCs w:val="21"/>
        </w:rPr>
        <w:t>股经历了半月的调整后，上周迎来强势反弹，偏股基金再现普涨格局。对于下阶段配置，我们依然看好符合转型升级方向、受益政策扶持的消费行业以及新兴成长领域的中长期投资价值，建议投资者优选选股能力突出、历史业绩优异的相关成长风格产品予以重点关注；与此同时精选稳健品种兼顾组合整体抗风险能力。</w:t>
      </w:r>
    </w:p>
    <w:p w:rsidR="00D41032" w:rsidRPr="004B58D7" w:rsidRDefault="00D41032" w:rsidP="004B58D7">
      <w:pPr>
        <w:pStyle w:val="BodyText"/>
        <w:numPr>
          <w:ilvl w:val="4"/>
          <w:numId w:val="1"/>
        </w:numPr>
        <w:spacing w:after="163"/>
        <w:rPr>
          <w:rFonts w:ascii="楷体" w:eastAsia="楷体" w:hAnsi="楷体" w:cs="Arial"/>
          <w:color w:val="auto"/>
          <w:szCs w:val="21"/>
        </w:rPr>
      </w:pPr>
      <w:r w:rsidRPr="00A24EB1">
        <w:rPr>
          <w:rFonts w:ascii="楷体" w:eastAsia="楷体" w:hAnsi="楷体" w:cs="Arial" w:hint="eastAsia"/>
          <w:color w:val="auto"/>
          <w:szCs w:val="21"/>
        </w:rPr>
        <w:t>固定收益类基金：</w:t>
      </w:r>
      <w:r>
        <w:rPr>
          <w:rFonts w:hint="eastAsia"/>
        </w:rPr>
        <w:t>虽然考虑到政府在</w:t>
      </w:r>
      <w:r w:rsidRPr="004D04C9">
        <w:rPr>
          <w:rFonts w:hint="eastAsia"/>
        </w:rPr>
        <w:t>基建</w:t>
      </w:r>
      <w:r>
        <w:rPr>
          <w:rFonts w:hint="eastAsia"/>
        </w:rPr>
        <w:t>投资、消费刺激等方面的政策连续</w:t>
      </w:r>
      <w:r w:rsidRPr="004D04C9">
        <w:rPr>
          <w:rFonts w:hint="eastAsia"/>
        </w:rPr>
        <w:t>加码，</w:t>
      </w:r>
      <w:r w:rsidRPr="00207198">
        <w:rPr>
          <w:rFonts w:hint="eastAsia"/>
        </w:rPr>
        <w:t>经济</w:t>
      </w:r>
      <w:r>
        <w:rPr>
          <w:rFonts w:hint="eastAsia"/>
        </w:rPr>
        <w:t>总体</w:t>
      </w:r>
      <w:r w:rsidRPr="00207198">
        <w:rPr>
          <w:rFonts w:hint="eastAsia"/>
        </w:rPr>
        <w:t>应当不会形成趋势下行</w:t>
      </w:r>
      <w:r>
        <w:rPr>
          <w:rFonts w:hint="eastAsia"/>
        </w:rPr>
        <w:t>，但周末</w:t>
      </w:r>
      <w:r w:rsidRPr="00207198">
        <w:rPr>
          <w:rFonts w:hint="eastAsia"/>
        </w:rPr>
        <w:t>公布的</w:t>
      </w:r>
      <w:r>
        <w:t>10</w:t>
      </w:r>
      <w:r>
        <w:rPr>
          <w:rFonts w:hint="eastAsia"/>
        </w:rPr>
        <w:t>月中采</w:t>
      </w:r>
      <w:r>
        <w:t>PMI</w:t>
      </w:r>
      <w:r>
        <w:rPr>
          <w:rFonts w:hint="eastAsia"/>
        </w:rPr>
        <w:t>数据还是再次印证了市场对于当前经济偏弱</w:t>
      </w:r>
      <w:r w:rsidRPr="00207198">
        <w:rPr>
          <w:rFonts w:hint="eastAsia"/>
        </w:rPr>
        <w:t>的预期，</w:t>
      </w:r>
      <w:r>
        <w:rPr>
          <w:rFonts w:hint="eastAsia"/>
        </w:rPr>
        <w:t>反应内外需的新订单和新出口订单指数均出现回落，相对疲弱的经济基本面短期来讲对于债市还是能够构成一定的利好作用</w:t>
      </w:r>
      <w:r w:rsidRPr="00207198">
        <w:rPr>
          <w:rFonts w:hint="eastAsia"/>
        </w:rPr>
        <w:t>。</w:t>
      </w:r>
      <w:r>
        <w:rPr>
          <w:rFonts w:hint="eastAsia"/>
        </w:rPr>
        <w:t>加上适度宽松的货币环境大概率会继续延续，因此总体来看，本周债市仍有一定的投资机会。在固定收益类基金的投资上，我们建议，</w:t>
      </w:r>
      <w:r w:rsidRPr="00B9768F">
        <w:rPr>
          <w:rFonts w:hint="eastAsia"/>
        </w:rPr>
        <w:t>仍以债券型基金作为核心配置，</w:t>
      </w:r>
      <w:r>
        <w:rPr>
          <w:rFonts w:hint="eastAsia"/>
        </w:rPr>
        <w:t>搭配</w:t>
      </w:r>
      <w:r w:rsidRPr="00B9768F">
        <w:rPr>
          <w:rFonts w:hint="eastAsia"/>
        </w:rPr>
        <w:t>货币市场基金</w:t>
      </w:r>
      <w:r>
        <w:rPr>
          <w:rFonts w:hint="eastAsia"/>
        </w:rPr>
        <w:t>进行</w:t>
      </w:r>
      <w:r w:rsidRPr="00B9768F">
        <w:rPr>
          <w:rFonts w:hint="eastAsia"/>
        </w:rPr>
        <w:t>风险对冲。在债券型基金的选择上，延续适度积极策略，</w:t>
      </w:r>
      <w:r>
        <w:rPr>
          <w:rFonts w:hint="eastAsia"/>
        </w:rPr>
        <w:t>投资</w:t>
      </w:r>
      <w:r w:rsidRPr="00B9768F">
        <w:rPr>
          <w:rFonts w:hint="eastAsia"/>
        </w:rPr>
        <w:t>中长久期</w:t>
      </w:r>
      <w:r>
        <w:rPr>
          <w:rFonts w:hint="eastAsia"/>
        </w:rPr>
        <w:t>品种，增加获益弹性；</w:t>
      </w:r>
      <w:r w:rsidRPr="00B9768F">
        <w:rPr>
          <w:rFonts w:hint="eastAsia"/>
        </w:rPr>
        <w:t>重点关注信用债特别是城投债投资比例较高的基金产品，而对于利率债投资比例较高的基金则继续保持观望，等待时机</w:t>
      </w:r>
      <w:r>
        <w:rPr>
          <w:rFonts w:hint="eastAsia"/>
        </w:rPr>
        <w:t>。</w:t>
      </w:r>
    </w:p>
    <w:p w:rsidR="00D41032" w:rsidRPr="00C052D5" w:rsidRDefault="00D41032" w:rsidP="00C052D5">
      <w:pPr>
        <w:pStyle w:val="BodyText"/>
        <w:numPr>
          <w:ilvl w:val="4"/>
          <w:numId w:val="1"/>
        </w:numPr>
        <w:spacing w:after="163"/>
        <w:rPr>
          <w:rFonts w:ascii="楷体" w:eastAsia="楷体" w:hAnsi="楷体" w:cs="Arial"/>
          <w:color w:val="auto"/>
          <w:szCs w:val="21"/>
        </w:rPr>
      </w:pPr>
      <w:r w:rsidRPr="00B72925">
        <w:rPr>
          <w:rFonts w:ascii="楷体" w:eastAsia="楷体" w:hAnsi="楷体" w:cs="Arial"/>
          <w:color w:val="auto"/>
          <w:szCs w:val="21"/>
        </w:rPr>
        <w:t>QDII</w:t>
      </w:r>
      <w:r w:rsidRPr="00B72925">
        <w:rPr>
          <w:rFonts w:ascii="楷体" w:eastAsia="楷体" w:hAnsi="楷体" w:cs="Arial" w:hint="eastAsia"/>
          <w:color w:val="auto"/>
          <w:szCs w:val="21"/>
        </w:rPr>
        <w:t>基金</w:t>
      </w:r>
      <w:r>
        <w:rPr>
          <w:rFonts w:ascii="楷体" w:eastAsia="楷体" w:hAnsi="楷体" w:cs="Arial" w:hint="eastAsia"/>
          <w:color w:val="auto"/>
          <w:szCs w:val="21"/>
        </w:rPr>
        <w:t>：</w:t>
      </w:r>
      <w:r w:rsidRPr="008F4E4A">
        <w:rPr>
          <w:rFonts w:ascii="楷体" w:eastAsia="楷体" w:hAnsi="楷体" w:cs="Arial"/>
          <w:color w:val="auto"/>
          <w:szCs w:val="21"/>
        </w:rPr>
        <w:t>10</w:t>
      </w:r>
      <w:r w:rsidRPr="008F4E4A">
        <w:rPr>
          <w:rFonts w:ascii="楷体" w:eastAsia="楷体" w:hAnsi="楷体" w:cs="Arial" w:hint="eastAsia"/>
          <w:color w:val="auto"/>
          <w:szCs w:val="21"/>
        </w:rPr>
        <w:t>月</w:t>
      </w:r>
      <w:r w:rsidRPr="008F4E4A">
        <w:rPr>
          <w:rFonts w:ascii="楷体" w:eastAsia="楷体" w:hAnsi="楷体" w:cs="Arial"/>
          <w:color w:val="auto"/>
          <w:szCs w:val="21"/>
        </w:rPr>
        <w:t>30</w:t>
      </w:r>
      <w:r w:rsidRPr="008F4E4A">
        <w:rPr>
          <w:rFonts w:ascii="楷体" w:eastAsia="楷体" w:hAnsi="楷体" w:cs="Arial" w:hint="eastAsia"/>
          <w:color w:val="auto"/>
          <w:szCs w:val="21"/>
        </w:rPr>
        <w:t>日美联储</w:t>
      </w:r>
      <w:r>
        <w:rPr>
          <w:rFonts w:ascii="楷体" w:eastAsia="楷体" w:hAnsi="楷体" w:cs="Arial" w:hint="eastAsia"/>
          <w:color w:val="auto"/>
          <w:szCs w:val="21"/>
        </w:rPr>
        <w:t>如期</w:t>
      </w:r>
      <w:r w:rsidRPr="008F4E4A">
        <w:rPr>
          <w:rFonts w:ascii="楷体" w:eastAsia="楷体" w:hAnsi="楷体" w:cs="Arial" w:hint="eastAsia"/>
          <w:color w:val="auto"/>
          <w:szCs w:val="21"/>
        </w:rPr>
        <w:t>结束</w:t>
      </w:r>
      <w:r w:rsidRPr="008F4E4A">
        <w:rPr>
          <w:rFonts w:ascii="楷体" w:eastAsia="楷体" w:hAnsi="楷体" w:cs="Arial"/>
          <w:color w:val="auto"/>
          <w:szCs w:val="21"/>
        </w:rPr>
        <w:t>QE3</w:t>
      </w:r>
      <w:r w:rsidRPr="008F4E4A">
        <w:rPr>
          <w:rFonts w:ascii="楷体" w:eastAsia="楷体" w:hAnsi="楷体" w:cs="Arial" w:hint="eastAsia"/>
          <w:color w:val="auto"/>
          <w:szCs w:val="21"/>
        </w:rPr>
        <w:t>，并保留“相</w:t>
      </w:r>
      <w:r>
        <w:rPr>
          <w:rFonts w:ascii="楷体" w:eastAsia="楷体" w:hAnsi="楷体" w:cs="Arial" w:hint="eastAsia"/>
          <w:color w:val="auto"/>
          <w:szCs w:val="21"/>
        </w:rPr>
        <w:t>当长时间内将联邦基金利率维持在当前区间”的措辞。不过此声明意外</w:t>
      </w:r>
      <w:r w:rsidRPr="008F4E4A">
        <w:rPr>
          <w:rFonts w:ascii="楷体" w:eastAsia="楷体" w:hAnsi="楷体" w:cs="Arial" w:hint="eastAsia"/>
          <w:color w:val="auto"/>
          <w:szCs w:val="21"/>
        </w:rPr>
        <w:t>释放了鹰派信号：不但承认就业强劲增长，还将此前对劳动力市场</w:t>
      </w:r>
      <w:r>
        <w:rPr>
          <w:rFonts w:ascii="楷体" w:eastAsia="楷体" w:hAnsi="楷体" w:cs="Arial" w:hint="eastAsia"/>
          <w:color w:val="auto"/>
          <w:szCs w:val="21"/>
        </w:rPr>
        <w:t>资源存在“严重利用不足”的表述改为“利用不足的情况在逐渐消退”；对通胀的评估并未像市场预期</w:t>
      </w:r>
      <w:r w:rsidRPr="008F4E4A">
        <w:rPr>
          <w:rFonts w:ascii="楷体" w:eastAsia="楷体" w:hAnsi="楷体" w:cs="Arial" w:hint="eastAsia"/>
          <w:color w:val="auto"/>
          <w:szCs w:val="21"/>
        </w:rPr>
        <w:t>大幅下调，而是继续表示“委员会认为年初以来通胀持续低于</w:t>
      </w:r>
      <w:r w:rsidRPr="008F4E4A">
        <w:rPr>
          <w:rFonts w:ascii="楷体" w:eastAsia="楷体" w:hAnsi="楷体" w:cs="Arial"/>
          <w:color w:val="auto"/>
          <w:szCs w:val="21"/>
        </w:rPr>
        <w:t>2%</w:t>
      </w:r>
      <w:r>
        <w:rPr>
          <w:rFonts w:ascii="楷体" w:eastAsia="楷体" w:hAnsi="楷体" w:cs="Arial" w:hint="eastAsia"/>
          <w:color w:val="auto"/>
          <w:szCs w:val="21"/>
        </w:rPr>
        <w:t>的可能性有所下降”；</w:t>
      </w:r>
      <w:r w:rsidRPr="008F4E4A">
        <w:rPr>
          <w:rFonts w:ascii="楷体" w:eastAsia="楷体" w:hAnsi="楷体" w:cs="Arial" w:hint="eastAsia"/>
          <w:color w:val="auto"/>
          <w:szCs w:val="21"/>
        </w:rPr>
        <w:t>宣布结束</w:t>
      </w:r>
      <w:r w:rsidRPr="008F4E4A">
        <w:rPr>
          <w:rFonts w:ascii="楷体" w:eastAsia="楷体" w:hAnsi="楷体" w:cs="Arial"/>
          <w:color w:val="auto"/>
          <w:szCs w:val="21"/>
        </w:rPr>
        <w:t>QE</w:t>
      </w:r>
      <w:r w:rsidRPr="008F4E4A">
        <w:rPr>
          <w:rFonts w:ascii="楷体" w:eastAsia="楷体" w:hAnsi="楷体" w:cs="Arial" w:hint="eastAsia"/>
          <w:color w:val="auto"/>
          <w:szCs w:val="21"/>
        </w:rPr>
        <w:t>，但并没有提到如果经济恶化可能重启</w:t>
      </w:r>
      <w:r w:rsidRPr="008F4E4A">
        <w:rPr>
          <w:rFonts w:ascii="楷体" w:eastAsia="楷体" w:hAnsi="楷体" w:cs="Arial"/>
          <w:color w:val="auto"/>
          <w:szCs w:val="21"/>
        </w:rPr>
        <w:t>QE</w:t>
      </w:r>
      <w:r>
        <w:rPr>
          <w:rFonts w:ascii="楷体" w:eastAsia="楷体" w:hAnsi="楷体" w:cs="Arial" w:hint="eastAsia"/>
          <w:color w:val="auto"/>
          <w:szCs w:val="21"/>
        </w:rPr>
        <w:t>，相反只是重申“如果经济表现不及预期，可能推迟加息，反之，</w:t>
      </w:r>
      <w:r w:rsidRPr="008F4E4A">
        <w:rPr>
          <w:rFonts w:ascii="楷体" w:eastAsia="楷体" w:hAnsi="楷体" w:cs="Arial" w:hint="eastAsia"/>
          <w:color w:val="auto"/>
          <w:szCs w:val="21"/>
        </w:rPr>
        <w:t>则提早加息”。</w:t>
      </w:r>
      <w:r>
        <w:rPr>
          <w:rFonts w:ascii="楷体" w:eastAsia="楷体" w:hAnsi="楷体" w:cs="Arial" w:hint="eastAsia"/>
          <w:color w:val="auto"/>
          <w:szCs w:val="21"/>
        </w:rPr>
        <w:t>尽管</w:t>
      </w:r>
      <w:r w:rsidRPr="008F4E4A">
        <w:rPr>
          <w:rFonts w:ascii="楷体" w:eastAsia="楷体" w:hAnsi="楷体" w:cs="Arial" w:hint="eastAsia"/>
          <w:color w:val="auto"/>
          <w:szCs w:val="21"/>
        </w:rPr>
        <w:t>声明措辞偏鹰派超</w:t>
      </w:r>
      <w:r>
        <w:rPr>
          <w:rFonts w:ascii="楷体" w:eastAsia="楷体" w:hAnsi="楷体" w:cs="Arial" w:hint="eastAsia"/>
          <w:color w:val="auto"/>
          <w:szCs w:val="21"/>
        </w:rPr>
        <w:t>出市场预期，但市场仍持怀疑态度，</w:t>
      </w:r>
      <w:r w:rsidRPr="008F4E4A">
        <w:rPr>
          <w:rFonts w:ascii="楷体" w:eastAsia="楷体" w:hAnsi="楷体" w:cs="Arial" w:hint="eastAsia"/>
          <w:color w:val="auto"/>
          <w:szCs w:val="21"/>
        </w:rPr>
        <w:t>预测将在明年</w:t>
      </w:r>
      <w:r w:rsidRPr="008F4E4A">
        <w:rPr>
          <w:rFonts w:ascii="楷体" w:eastAsia="楷体" w:hAnsi="楷体" w:cs="Arial"/>
          <w:color w:val="auto"/>
          <w:szCs w:val="21"/>
        </w:rPr>
        <w:t>10~11</w:t>
      </w:r>
      <w:r>
        <w:rPr>
          <w:rFonts w:ascii="楷体" w:eastAsia="楷体" w:hAnsi="楷体" w:cs="Arial" w:hint="eastAsia"/>
          <w:color w:val="auto"/>
          <w:szCs w:val="21"/>
        </w:rPr>
        <w:t>月左右加息，</w:t>
      </w:r>
      <w:r w:rsidRPr="008F4E4A">
        <w:rPr>
          <w:rFonts w:ascii="楷体" w:eastAsia="楷体" w:hAnsi="楷体" w:cs="Arial" w:hint="eastAsia"/>
          <w:color w:val="auto"/>
          <w:szCs w:val="21"/>
        </w:rPr>
        <w:t>春季加息的可能性几乎不存在。另外，第三季度美国</w:t>
      </w:r>
      <w:r w:rsidRPr="008F4E4A">
        <w:rPr>
          <w:rFonts w:ascii="楷体" w:eastAsia="楷体" w:hAnsi="楷体" w:cs="Arial"/>
          <w:color w:val="auto"/>
          <w:szCs w:val="21"/>
        </w:rPr>
        <w:t>GDP</w:t>
      </w:r>
      <w:r w:rsidRPr="008F4E4A">
        <w:rPr>
          <w:rFonts w:ascii="楷体" w:eastAsia="楷体" w:hAnsi="楷体" w:cs="Arial" w:hint="eastAsia"/>
          <w:color w:val="auto"/>
          <w:szCs w:val="21"/>
        </w:rPr>
        <w:t>年率增长</w:t>
      </w:r>
      <w:r w:rsidRPr="008F4E4A">
        <w:rPr>
          <w:rFonts w:ascii="楷体" w:eastAsia="楷体" w:hAnsi="楷体" w:cs="Arial"/>
          <w:color w:val="auto"/>
          <w:szCs w:val="21"/>
        </w:rPr>
        <w:t>3.5%</w:t>
      </w:r>
      <w:r w:rsidRPr="008F4E4A">
        <w:rPr>
          <w:rFonts w:ascii="楷体" w:eastAsia="楷体" w:hAnsi="楷体" w:cs="Arial" w:hint="eastAsia"/>
          <w:color w:val="auto"/>
          <w:szCs w:val="21"/>
        </w:rPr>
        <w:t>，较二季度的</w:t>
      </w:r>
      <w:r w:rsidRPr="008F4E4A">
        <w:rPr>
          <w:rFonts w:ascii="楷体" w:eastAsia="楷体" w:hAnsi="楷体" w:cs="Arial"/>
          <w:color w:val="auto"/>
          <w:szCs w:val="21"/>
        </w:rPr>
        <w:t>4.6%</w:t>
      </w:r>
      <w:r w:rsidRPr="008F4E4A">
        <w:rPr>
          <w:rFonts w:ascii="楷体" w:eastAsia="楷体" w:hAnsi="楷体" w:cs="Arial" w:hint="eastAsia"/>
          <w:color w:val="auto"/>
          <w:szCs w:val="21"/>
        </w:rPr>
        <w:t>有所放缓，但符合市场预期。综上，凯石工场依旧维持对美国市场的看好</w:t>
      </w:r>
      <w:r>
        <w:rPr>
          <w:rFonts w:ascii="楷体" w:eastAsia="楷体" w:hAnsi="楷体" w:cs="Arial" w:hint="eastAsia"/>
          <w:color w:val="auto"/>
          <w:szCs w:val="21"/>
        </w:rPr>
        <w:t>，同时严密关注“沪港通”启动的相关动向。</w:t>
      </w:r>
    </w:p>
    <w:p w:rsidR="00D41032" w:rsidRPr="005B7CDB" w:rsidRDefault="00D41032" w:rsidP="003C0101">
      <w:pPr>
        <w:pStyle w:val="BodyText"/>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Pr>
          <w:rFonts w:ascii="楷体" w:eastAsia="楷体" w:hAnsi="楷体" w:hint="eastAsia"/>
          <w:b/>
          <w:bCs/>
          <w:color w:val="0070C0"/>
          <w:sz w:val="24"/>
        </w:rPr>
        <w:t>：</w:t>
      </w:r>
    </w:p>
    <w:tbl>
      <w:tblPr>
        <w:tblW w:w="11199"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387"/>
        <w:gridCol w:w="5812"/>
      </w:tblGrid>
      <w:tr w:rsidR="00D41032" w:rsidRPr="00635B60" w:rsidTr="001506C6">
        <w:trPr>
          <w:cantSplit/>
          <w:trHeight w:val="335"/>
        </w:trPr>
        <w:tc>
          <w:tcPr>
            <w:tcW w:w="11199" w:type="dxa"/>
            <w:gridSpan w:val="2"/>
            <w:vAlign w:val="center"/>
          </w:tcPr>
          <w:p w:rsidR="00D41032" w:rsidRPr="005B7CDB" w:rsidRDefault="00D41032" w:rsidP="00517D66">
            <w:pPr>
              <w:pStyle w:val="SubTitleLargeTable"/>
              <w:pBdr>
                <w:top w:val="none" w:sz="0" w:space="0" w:color="auto"/>
              </w:pBdr>
              <w:rPr>
                <w:rFonts w:ascii="楷体" w:eastAsia="楷体" w:hAnsi="楷体"/>
                <w:b w:val="0"/>
              </w:rPr>
            </w:pPr>
            <w:r w:rsidRPr="005B7CDB">
              <w:rPr>
                <w:rFonts w:ascii="楷体" w:eastAsia="楷体" w:hAnsi="楷体" w:hint="eastAsia"/>
                <w:color w:val="FF6600"/>
              </w:rPr>
              <w:t>图表</w:t>
            </w:r>
            <w:r w:rsidRPr="005B7CDB">
              <w:rPr>
                <w:rFonts w:ascii="楷体" w:eastAsia="楷体" w:hAnsi="楷体"/>
                <w:color w:val="FF6600"/>
              </w:rPr>
              <w:t>1</w:t>
            </w:r>
            <w:r w:rsidRPr="005B7CDB">
              <w:rPr>
                <w:rFonts w:ascii="楷体" w:eastAsia="楷体" w:hAnsi="楷体" w:hint="eastAsia"/>
                <w:color w:val="FF6600"/>
              </w:rPr>
              <w:t>：基金行业近期动态及点评</w:t>
            </w:r>
          </w:p>
        </w:tc>
      </w:tr>
      <w:tr w:rsidR="00D41032" w:rsidRPr="00635B60" w:rsidTr="003868A6">
        <w:trPr>
          <w:cantSplit/>
          <w:trHeight w:val="284"/>
        </w:trPr>
        <w:tc>
          <w:tcPr>
            <w:tcW w:w="5387" w:type="dxa"/>
            <w:tcBorders>
              <w:right w:val="single" w:sz="6" w:space="0" w:color="FF6600"/>
            </w:tcBorders>
            <w:shd w:val="clear" w:color="auto" w:fill="FDE9D9"/>
            <w:vAlign w:val="center"/>
          </w:tcPr>
          <w:p w:rsidR="00D41032" w:rsidRPr="00635B60" w:rsidRDefault="00D41032" w:rsidP="00517D66">
            <w:pPr>
              <w:snapToGrid w:val="0"/>
              <w:jc w:val="center"/>
              <w:rPr>
                <w:rFonts w:ascii="楷体" w:eastAsia="楷体" w:hAnsi="楷体"/>
                <w:b/>
                <w:sz w:val="18"/>
                <w:szCs w:val="18"/>
              </w:rPr>
            </w:pPr>
            <w:r w:rsidRPr="00635B60">
              <w:rPr>
                <w:rFonts w:ascii="楷体" w:eastAsia="楷体" w:hAnsi="楷体" w:hint="eastAsia"/>
                <w:b/>
                <w:sz w:val="18"/>
                <w:szCs w:val="18"/>
              </w:rPr>
              <w:t>微新闻</w:t>
            </w:r>
          </w:p>
        </w:tc>
        <w:tc>
          <w:tcPr>
            <w:tcW w:w="5812" w:type="dxa"/>
            <w:tcBorders>
              <w:left w:val="single" w:sz="6" w:space="0" w:color="FF6600"/>
            </w:tcBorders>
            <w:shd w:val="clear" w:color="auto" w:fill="FDE9D9"/>
            <w:vAlign w:val="center"/>
          </w:tcPr>
          <w:p w:rsidR="00D41032" w:rsidRPr="00635B60" w:rsidRDefault="00D41032" w:rsidP="00517D66">
            <w:pPr>
              <w:snapToGrid w:val="0"/>
              <w:jc w:val="center"/>
              <w:rPr>
                <w:rFonts w:ascii="楷体" w:eastAsia="楷体" w:hAnsi="楷体"/>
                <w:b/>
                <w:sz w:val="18"/>
                <w:szCs w:val="18"/>
              </w:rPr>
            </w:pPr>
            <w:r w:rsidRPr="00635B60">
              <w:rPr>
                <w:rFonts w:ascii="楷体" w:eastAsia="楷体" w:hAnsi="楷体" w:hint="eastAsia"/>
                <w:b/>
                <w:sz w:val="18"/>
                <w:szCs w:val="18"/>
              </w:rPr>
              <w:t>微点评</w:t>
            </w:r>
          </w:p>
        </w:tc>
      </w:tr>
      <w:tr w:rsidR="00D41032" w:rsidRPr="00635B60" w:rsidTr="009B51E8">
        <w:trPr>
          <w:cantSplit/>
          <w:trHeight w:val="763"/>
        </w:trPr>
        <w:tc>
          <w:tcPr>
            <w:tcW w:w="5387" w:type="dxa"/>
            <w:tcBorders>
              <w:right w:val="single" w:sz="6" w:space="0" w:color="FF6600"/>
            </w:tcBorders>
            <w:vAlign w:val="center"/>
          </w:tcPr>
          <w:p w:rsidR="00D41032" w:rsidRPr="00253B42" w:rsidRDefault="00D41032" w:rsidP="00F20928">
            <w:pPr>
              <w:pStyle w:val="BodyText"/>
              <w:spacing w:after="163"/>
              <w:ind w:left="0"/>
              <w:rPr>
                <w:rFonts w:ascii="楷体" w:eastAsia="楷体" w:hAnsi="楷体" w:cs="Arial"/>
                <w:sz w:val="18"/>
                <w:szCs w:val="18"/>
              </w:rPr>
            </w:pPr>
            <w:r w:rsidRPr="00253B42">
              <w:rPr>
                <w:rFonts w:ascii="楷体" w:eastAsia="楷体" w:hAnsi="楷体" w:cs="Arial" w:hint="eastAsia"/>
                <w:sz w:val="18"/>
                <w:szCs w:val="18"/>
              </w:rPr>
              <w:t>截至三季度</w:t>
            </w:r>
            <w:r>
              <w:rPr>
                <w:rFonts w:ascii="楷体" w:eastAsia="楷体" w:hAnsi="楷体" w:cs="Arial" w:hint="eastAsia"/>
                <w:sz w:val="18"/>
                <w:szCs w:val="18"/>
              </w:rPr>
              <w:t>，公募基金行业中</w:t>
            </w:r>
            <w:r w:rsidRPr="00253B42">
              <w:rPr>
                <w:rFonts w:ascii="楷体" w:eastAsia="楷体" w:hAnsi="楷体" w:cs="Arial" w:hint="eastAsia"/>
                <w:sz w:val="18"/>
                <w:szCs w:val="18"/>
              </w:rPr>
              <w:t>低于</w:t>
            </w:r>
            <w:r w:rsidRPr="00253B42">
              <w:rPr>
                <w:rFonts w:ascii="楷体" w:eastAsia="楷体" w:hAnsi="楷体" w:cs="Arial"/>
                <w:sz w:val="18"/>
                <w:szCs w:val="18"/>
              </w:rPr>
              <w:t>5000</w:t>
            </w:r>
            <w:r>
              <w:rPr>
                <w:rFonts w:ascii="楷体" w:eastAsia="楷体" w:hAnsi="楷体" w:cs="Arial" w:hint="eastAsia"/>
                <w:sz w:val="18"/>
                <w:szCs w:val="18"/>
              </w:rPr>
              <w:t>万元规模的迷你基金</w:t>
            </w:r>
            <w:r w:rsidRPr="00253B42">
              <w:rPr>
                <w:rFonts w:ascii="楷体" w:eastAsia="楷体" w:hAnsi="楷体" w:cs="Arial" w:hint="eastAsia"/>
                <w:sz w:val="18"/>
                <w:szCs w:val="18"/>
              </w:rPr>
              <w:t>共计</w:t>
            </w:r>
            <w:r w:rsidRPr="00253B42">
              <w:rPr>
                <w:rFonts w:ascii="楷体" w:eastAsia="楷体" w:hAnsi="楷体" w:cs="Arial"/>
                <w:sz w:val="18"/>
                <w:szCs w:val="18"/>
              </w:rPr>
              <w:t>166</w:t>
            </w:r>
            <w:r w:rsidRPr="00253B42">
              <w:rPr>
                <w:rFonts w:ascii="楷体" w:eastAsia="楷体" w:hAnsi="楷体" w:cs="Arial" w:hint="eastAsia"/>
                <w:sz w:val="18"/>
                <w:szCs w:val="18"/>
              </w:rPr>
              <w:t>只，其中工银瑞信安心增利场内</w:t>
            </w:r>
            <w:hyperlink r:id="rId9" w:tgtFrame="_blank" w:history="1">
              <w:r w:rsidRPr="00253B42">
                <w:rPr>
                  <w:rFonts w:ascii="楷体" w:eastAsia="楷体" w:hAnsi="楷体" w:cs="Arial" w:hint="eastAsia"/>
                  <w:sz w:val="18"/>
                  <w:szCs w:val="18"/>
                </w:rPr>
                <w:t>货币基金</w:t>
              </w:r>
            </w:hyperlink>
            <w:r w:rsidRPr="00253B42">
              <w:rPr>
                <w:rFonts w:ascii="楷体" w:eastAsia="楷体" w:hAnsi="楷体" w:cs="Arial" w:hint="eastAsia"/>
                <w:sz w:val="18"/>
                <w:szCs w:val="18"/>
              </w:rPr>
              <w:t>三季度规模为</w:t>
            </w:r>
            <w:r w:rsidRPr="00253B42">
              <w:rPr>
                <w:rFonts w:ascii="楷体" w:eastAsia="楷体" w:hAnsi="楷体" w:cs="Arial"/>
                <w:sz w:val="18"/>
                <w:szCs w:val="18"/>
              </w:rPr>
              <w:t>201</w:t>
            </w:r>
            <w:r w:rsidRPr="00253B42">
              <w:rPr>
                <w:rFonts w:ascii="楷体" w:eastAsia="楷体" w:hAnsi="楷体" w:cs="Arial" w:hint="eastAsia"/>
                <w:sz w:val="18"/>
                <w:szCs w:val="18"/>
              </w:rPr>
              <w:t>万元，并宣布将主动清盘，为第二只主动清盘的公募基金。</w:t>
            </w:r>
          </w:p>
        </w:tc>
        <w:tc>
          <w:tcPr>
            <w:tcW w:w="5812" w:type="dxa"/>
            <w:tcBorders>
              <w:left w:val="single" w:sz="6" w:space="0" w:color="FF6600"/>
            </w:tcBorders>
            <w:vAlign w:val="center"/>
          </w:tcPr>
          <w:p w:rsidR="00D41032" w:rsidRPr="00253B42" w:rsidRDefault="00D41032" w:rsidP="00253B42">
            <w:pPr>
              <w:pStyle w:val="BodyText"/>
              <w:spacing w:after="163"/>
              <w:ind w:left="0"/>
              <w:rPr>
                <w:rFonts w:ascii="楷体" w:eastAsia="楷体" w:hAnsi="楷体" w:cs="宋体"/>
                <w:sz w:val="18"/>
                <w:szCs w:val="18"/>
                <w:lang w:val="en-US"/>
              </w:rPr>
            </w:pPr>
            <w:r w:rsidRPr="00253B42">
              <w:rPr>
                <w:rFonts w:ascii="楷体" w:eastAsia="楷体" w:hAnsi="楷体" w:hint="eastAsia"/>
                <w:sz w:val="18"/>
                <w:szCs w:val="18"/>
              </w:rPr>
              <w:t>基金规模持续较低会影响</w:t>
            </w:r>
            <w:r>
              <w:rPr>
                <w:rFonts w:ascii="楷体" w:eastAsia="楷体" w:hAnsi="楷体" w:hint="eastAsia"/>
                <w:sz w:val="18"/>
                <w:szCs w:val="18"/>
              </w:rPr>
              <w:t>其</w:t>
            </w:r>
            <w:r w:rsidRPr="00253B42">
              <w:rPr>
                <w:rFonts w:ascii="楷体" w:eastAsia="楷体" w:hAnsi="楷体" w:hint="eastAsia"/>
                <w:sz w:val="18"/>
                <w:szCs w:val="18"/>
              </w:rPr>
              <w:t>日常运作，</w:t>
            </w:r>
            <w:r>
              <w:rPr>
                <w:rFonts w:ascii="楷体" w:eastAsia="楷体" w:hAnsi="楷体" w:hint="eastAsia"/>
                <w:sz w:val="18"/>
                <w:szCs w:val="18"/>
              </w:rPr>
              <w:t>同时</w:t>
            </w:r>
            <w:r w:rsidRPr="00253B42">
              <w:rPr>
                <w:rFonts w:ascii="楷体" w:eastAsia="楷体" w:hAnsi="楷体" w:hint="eastAsia"/>
                <w:sz w:val="18"/>
                <w:szCs w:val="18"/>
              </w:rPr>
              <w:t>投资者</w:t>
            </w:r>
            <w:r>
              <w:rPr>
                <w:rFonts w:ascii="楷体" w:eastAsia="楷体" w:hAnsi="楷体" w:hint="eastAsia"/>
                <w:sz w:val="18"/>
                <w:szCs w:val="18"/>
              </w:rPr>
              <w:t>仍</w:t>
            </w:r>
            <w:r w:rsidRPr="00253B42">
              <w:rPr>
                <w:rFonts w:ascii="楷体" w:eastAsia="楷体" w:hAnsi="楷体" w:hint="eastAsia"/>
                <w:sz w:val="18"/>
                <w:szCs w:val="18"/>
              </w:rPr>
              <w:t>需承担较高的固定费用和营运成本，</w:t>
            </w:r>
            <w:r>
              <w:rPr>
                <w:rFonts w:ascii="楷体" w:eastAsia="楷体" w:hAnsi="楷体" w:cs="Arial" w:hint="eastAsia"/>
                <w:sz w:val="18"/>
                <w:szCs w:val="18"/>
              </w:rPr>
              <w:t>因此，</w:t>
            </w:r>
            <w:r w:rsidRPr="00253B42">
              <w:rPr>
                <w:rFonts w:ascii="楷体" w:eastAsia="楷体" w:hAnsi="楷体" w:cs="Arial" w:hint="eastAsia"/>
                <w:sz w:val="18"/>
                <w:szCs w:val="18"/>
              </w:rPr>
              <w:t>迷你基金主动清盘为</w:t>
            </w:r>
            <w:r>
              <w:rPr>
                <w:rFonts w:ascii="楷体" w:eastAsia="楷体" w:hAnsi="楷体" w:cs="Arial" w:hint="eastAsia"/>
                <w:sz w:val="18"/>
                <w:szCs w:val="18"/>
              </w:rPr>
              <w:t>理顺基金</w:t>
            </w:r>
            <w:r w:rsidRPr="00253B42">
              <w:rPr>
                <w:rFonts w:ascii="楷体" w:eastAsia="楷体" w:hAnsi="楷体" w:cs="Arial" w:hint="eastAsia"/>
                <w:sz w:val="18"/>
                <w:szCs w:val="18"/>
              </w:rPr>
              <w:t>退出机制增添</w:t>
            </w:r>
            <w:r>
              <w:rPr>
                <w:rFonts w:ascii="楷体" w:eastAsia="楷体" w:hAnsi="楷体" w:cs="Arial" w:hint="eastAsia"/>
                <w:sz w:val="18"/>
                <w:szCs w:val="18"/>
              </w:rPr>
              <w:t>了</w:t>
            </w:r>
            <w:r w:rsidRPr="00253B42">
              <w:rPr>
                <w:rFonts w:ascii="楷体" w:eastAsia="楷体" w:hAnsi="楷体" w:cs="Arial" w:hint="eastAsia"/>
                <w:sz w:val="18"/>
                <w:szCs w:val="18"/>
              </w:rPr>
              <w:t>正能量</w:t>
            </w:r>
            <w:r>
              <w:rPr>
                <w:rFonts w:ascii="楷体" w:eastAsia="楷体" w:hAnsi="楷体" w:cs="Arial" w:hint="eastAsia"/>
                <w:sz w:val="18"/>
                <w:szCs w:val="18"/>
              </w:rPr>
              <w:t>，也将为基金行业营造更好的环境。</w:t>
            </w:r>
          </w:p>
        </w:tc>
      </w:tr>
    </w:tbl>
    <w:p w:rsidR="00D41032" w:rsidRPr="005B7CDB" w:rsidRDefault="00D41032" w:rsidP="0069249C">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D41032" w:rsidRPr="005B7CDB" w:rsidRDefault="00D41032" w:rsidP="006A5488">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公募基金一周业绩：</w:t>
      </w:r>
    </w:p>
    <w:p w:rsidR="00D41032" w:rsidRPr="00B74816" w:rsidRDefault="00D41032" w:rsidP="00B74816">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国内外股市一周表现：</w:t>
      </w:r>
      <w:r w:rsidRPr="005B7CDB">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全球股市整体向好，沪深大盘反弹较大</w:t>
      </w:r>
    </w:p>
    <w:p w:rsidR="00D41032" w:rsidRPr="00E4503C" w:rsidRDefault="00D41032" w:rsidP="005A3FE7">
      <w:pPr>
        <w:pStyle w:val="BodyText"/>
        <w:numPr>
          <w:ilvl w:val="4"/>
          <w:numId w:val="1"/>
        </w:numPr>
        <w:spacing w:after="163"/>
        <w:rPr>
          <w:rFonts w:ascii="楷体" w:eastAsia="楷体" w:hAnsi="楷体" w:cs="Arial"/>
          <w:szCs w:val="21"/>
        </w:rPr>
      </w:pPr>
      <w:r w:rsidRPr="00E4503C">
        <w:rPr>
          <w:rFonts w:ascii="楷体" w:eastAsia="楷体" w:hAnsi="楷体" w:cs="Arial" w:hint="eastAsia"/>
          <w:szCs w:val="21"/>
        </w:rPr>
        <w:t>截至</w:t>
      </w:r>
      <w:r w:rsidRPr="00E4503C">
        <w:rPr>
          <w:rFonts w:ascii="楷体" w:eastAsia="楷体" w:hAnsi="楷体" w:cs="Arial"/>
          <w:szCs w:val="21"/>
        </w:rPr>
        <w:t>10</w:t>
      </w:r>
      <w:r w:rsidRPr="00E4503C">
        <w:rPr>
          <w:rFonts w:ascii="楷体" w:eastAsia="楷体" w:hAnsi="楷体" w:cs="Arial" w:hint="eastAsia"/>
          <w:szCs w:val="21"/>
        </w:rPr>
        <w:t>月</w:t>
      </w:r>
      <w:r w:rsidRPr="00E4503C">
        <w:rPr>
          <w:rFonts w:ascii="楷体" w:eastAsia="楷体" w:hAnsi="楷体" w:cs="Arial"/>
          <w:szCs w:val="21"/>
        </w:rPr>
        <w:t>31</w:t>
      </w:r>
      <w:r>
        <w:rPr>
          <w:rFonts w:ascii="楷体" w:eastAsia="楷体" w:hAnsi="楷体" w:cs="Arial" w:hint="eastAsia"/>
          <w:szCs w:val="21"/>
        </w:rPr>
        <w:t>日的一周，大盘结束调整、</w:t>
      </w:r>
      <w:r w:rsidRPr="00E51533">
        <w:rPr>
          <w:rFonts w:ascii="楷体" w:eastAsia="楷体" w:hAnsi="楷体" w:cs="Arial" w:hint="eastAsia"/>
          <w:szCs w:val="21"/>
        </w:rPr>
        <w:t>反弹幅度较大，上证指数和沪深</w:t>
      </w:r>
      <w:r w:rsidRPr="00E51533">
        <w:rPr>
          <w:rFonts w:ascii="楷体" w:eastAsia="楷体" w:hAnsi="楷体" w:cs="Arial"/>
          <w:szCs w:val="21"/>
        </w:rPr>
        <w:t>300</w:t>
      </w:r>
      <w:r>
        <w:rPr>
          <w:rFonts w:ascii="楷体" w:eastAsia="楷体" w:hAnsi="楷体" w:cs="Arial" w:hint="eastAsia"/>
          <w:szCs w:val="21"/>
        </w:rPr>
        <w:t>指数</w:t>
      </w:r>
      <w:r w:rsidRPr="00E51533">
        <w:rPr>
          <w:rFonts w:ascii="楷体" w:eastAsia="楷体" w:hAnsi="楷体" w:cs="Arial" w:hint="eastAsia"/>
          <w:szCs w:val="21"/>
        </w:rPr>
        <w:t>分别周涨</w:t>
      </w:r>
      <w:r w:rsidRPr="00E51533">
        <w:rPr>
          <w:rFonts w:ascii="楷体" w:eastAsia="楷体" w:hAnsi="楷体" w:cs="Arial"/>
          <w:szCs w:val="21"/>
        </w:rPr>
        <w:t>5.12%</w:t>
      </w:r>
      <w:r w:rsidRPr="00E51533">
        <w:rPr>
          <w:rFonts w:ascii="楷体" w:eastAsia="楷体" w:hAnsi="楷体" w:cs="Arial" w:hint="eastAsia"/>
          <w:szCs w:val="21"/>
        </w:rPr>
        <w:t>和</w:t>
      </w:r>
      <w:r w:rsidRPr="00E51533">
        <w:rPr>
          <w:rFonts w:ascii="楷体" w:eastAsia="楷体" w:hAnsi="楷体" w:cs="Arial"/>
          <w:szCs w:val="21"/>
        </w:rPr>
        <w:t>4.92%</w:t>
      </w:r>
      <w:r w:rsidRPr="00E51533">
        <w:rPr>
          <w:rFonts w:ascii="楷体" w:eastAsia="楷体" w:hAnsi="楷体" w:cs="Arial" w:hint="eastAsia"/>
          <w:szCs w:val="21"/>
        </w:rPr>
        <w:t>，创业板指和中小板指分别涨</w:t>
      </w:r>
      <w:r w:rsidRPr="00E51533">
        <w:rPr>
          <w:rFonts w:ascii="楷体" w:eastAsia="楷体" w:hAnsi="楷体" w:cs="Arial"/>
          <w:szCs w:val="21"/>
        </w:rPr>
        <w:t>2.41%</w:t>
      </w:r>
      <w:r w:rsidRPr="00E51533">
        <w:rPr>
          <w:rFonts w:ascii="楷体" w:eastAsia="楷体" w:hAnsi="楷体" w:cs="Arial" w:hint="eastAsia"/>
          <w:szCs w:val="21"/>
        </w:rPr>
        <w:t>和</w:t>
      </w:r>
      <w:r w:rsidRPr="00E51533">
        <w:rPr>
          <w:rFonts w:ascii="楷体" w:eastAsia="楷体" w:hAnsi="楷体" w:cs="Arial"/>
          <w:szCs w:val="21"/>
        </w:rPr>
        <w:t>2.71%</w:t>
      </w:r>
      <w:r w:rsidRPr="00E51533">
        <w:rPr>
          <w:rFonts w:ascii="楷体" w:eastAsia="楷体" w:hAnsi="楷体" w:cs="Arial" w:hint="eastAsia"/>
          <w:szCs w:val="21"/>
        </w:rPr>
        <w:t>。</w:t>
      </w:r>
      <w:r w:rsidRPr="00E51533">
        <w:rPr>
          <w:rFonts w:ascii="楷体" w:eastAsia="楷体" w:hAnsi="楷体" w:cs="Arial"/>
          <w:szCs w:val="21"/>
        </w:rPr>
        <w:t>29</w:t>
      </w:r>
      <w:r w:rsidRPr="00E51533">
        <w:rPr>
          <w:rFonts w:ascii="楷体" w:eastAsia="楷体" w:hAnsi="楷体" w:cs="Arial" w:hint="eastAsia"/>
          <w:szCs w:val="21"/>
        </w:rPr>
        <w:t>个中信一级行业全数上涨，交通运输涨幅最大（</w:t>
      </w:r>
      <w:r w:rsidRPr="00E51533">
        <w:rPr>
          <w:rFonts w:ascii="楷体" w:eastAsia="楷体" w:hAnsi="楷体" w:cs="Arial"/>
          <w:szCs w:val="21"/>
        </w:rPr>
        <w:t>10.32%</w:t>
      </w:r>
      <w:r w:rsidRPr="00E51533">
        <w:rPr>
          <w:rFonts w:ascii="楷体" w:eastAsia="楷体" w:hAnsi="楷体" w:cs="Arial" w:hint="eastAsia"/>
          <w:szCs w:val="21"/>
        </w:rPr>
        <w:t>），其次为钢铁（</w:t>
      </w:r>
      <w:r w:rsidRPr="00E51533">
        <w:rPr>
          <w:rFonts w:ascii="楷体" w:eastAsia="楷体" w:hAnsi="楷体" w:cs="Arial"/>
          <w:szCs w:val="21"/>
        </w:rPr>
        <w:t>8.67%</w:t>
      </w:r>
      <w:r w:rsidRPr="00E51533">
        <w:rPr>
          <w:rFonts w:ascii="楷体" w:eastAsia="楷体" w:hAnsi="楷体" w:cs="Arial" w:hint="eastAsia"/>
          <w:szCs w:val="21"/>
        </w:rPr>
        <w:t>）和建筑（</w:t>
      </w:r>
      <w:r w:rsidRPr="00E51533">
        <w:rPr>
          <w:rFonts w:ascii="楷体" w:eastAsia="楷体" w:hAnsi="楷体" w:cs="Arial"/>
          <w:szCs w:val="21"/>
        </w:rPr>
        <w:t>8.01%</w:t>
      </w:r>
      <w:r w:rsidRPr="00E51533">
        <w:rPr>
          <w:rFonts w:ascii="楷体" w:eastAsia="楷体" w:hAnsi="楷体" w:cs="Arial" w:hint="eastAsia"/>
          <w:szCs w:val="21"/>
        </w:rPr>
        <w:t>），食品饮料涨幅最小（</w:t>
      </w:r>
      <w:r w:rsidRPr="00E51533">
        <w:rPr>
          <w:rFonts w:ascii="楷体" w:eastAsia="楷体" w:hAnsi="楷体" w:cs="Arial"/>
          <w:szCs w:val="21"/>
        </w:rPr>
        <w:t>1.77%</w:t>
      </w:r>
      <w:r w:rsidRPr="00E51533">
        <w:rPr>
          <w:rFonts w:ascii="楷体" w:eastAsia="楷体" w:hAnsi="楷体" w:cs="Arial" w:hint="eastAsia"/>
          <w:szCs w:val="21"/>
        </w:rPr>
        <w:t>）。</w:t>
      </w:r>
      <w:r>
        <w:rPr>
          <w:rFonts w:ascii="楷体" w:eastAsia="楷体" w:hAnsi="楷体" w:cs="Arial" w:hint="eastAsia"/>
          <w:szCs w:val="21"/>
        </w:rPr>
        <w:t>经济数据方面，</w:t>
      </w:r>
      <w:r w:rsidRPr="00E51533">
        <w:rPr>
          <w:rFonts w:ascii="楷体" w:eastAsia="楷体" w:hAnsi="楷体" w:cs="Arial"/>
          <w:szCs w:val="21"/>
        </w:rPr>
        <w:t>10</w:t>
      </w:r>
      <w:r w:rsidRPr="00E51533">
        <w:rPr>
          <w:rFonts w:ascii="楷体" w:eastAsia="楷体" w:hAnsi="楷体" w:cs="Arial" w:hint="eastAsia"/>
          <w:szCs w:val="21"/>
        </w:rPr>
        <w:t>月</w:t>
      </w:r>
      <w:r>
        <w:rPr>
          <w:rFonts w:ascii="楷体" w:eastAsia="楷体" w:hAnsi="楷体" w:cs="Arial" w:hint="eastAsia"/>
          <w:szCs w:val="21"/>
        </w:rPr>
        <w:t>份国内</w:t>
      </w:r>
      <w:r w:rsidRPr="00E51533">
        <w:rPr>
          <w:rFonts w:ascii="楷体" w:eastAsia="楷体" w:hAnsi="楷体" w:cs="Arial" w:hint="eastAsia"/>
          <w:szCs w:val="21"/>
        </w:rPr>
        <w:t>制造业</w:t>
      </w:r>
      <w:r w:rsidRPr="00E51533">
        <w:rPr>
          <w:rFonts w:ascii="楷体" w:eastAsia="楷体" w:hAnsi="楷体" w:cs="Arial"/>
          <w:szCs w:val="21"/>
        </w:rPr>
        <w:t>PMI</w:t>
      </w:r>
      <w:r w:rsidRPr="00E51533">
        <w:rPr>
          <w:rFonts w:ascii="楷体" w:eastAsia="楷体" w:hAnsi="楷体" w:cs="Arial" w:hint="eastAsia"/>
          <w:szCs w:val="21"/>
        </w:rPr>
        <w:t>为</w:t>
      </w:r>
      <w:r w:rsidRPr="00E51533">
        <w:rPr>
          <w:rFonts w:ascii="楷体" w:eastAsia="楷体" w:hAnsi="楷体" w:cs="Arial"/>
          <w:szCs w:val="21"/>
        </w:rPr>
        <w:t>50.8%</w:t>
      </w:r>
      <w:r>
        <w:rPr>
          <w:rFonts w:ascii="楷体" w:eastAsia="楷体" w:hAnsi="楷体" w:cs="Arial" w:hint="eastAsia"/>
          <w:szCs w:val="21"/>
        </w:rPr>
        <w:t>，比</w:t>
      </w:r>
      <w:r w:rsidRPr="00E51533">
        <w:rPr>
          <w:rFonts w:ascii="楷体" w:eastAsia="楷体" w:hAnsi="楷体" w:cs="Arial"/>
          <w:szCs w:val="21"/>
        </w:rPr>
        <w:t>9</w:t>
      </w:r>
      <w:r>
        <w:rPr>
          <w:rFonts w:ascii="楷体" w:eastAsia="楷体" w:hAnsi="楷体" w:cs="Arial" w:hint="eastAsia"/>
          <w:szCs w:val="21"/>
        </w:rPr>
        <w:t>月份下降</w:t>
      </w:r>
      <w:r w:rsidRPr="00E51533">
        <w:rPr>
          <w:rFonts w:ascii="楷体" w:eastAsia="楷体" w:hAnsi="楷体" w:cs="Arial"/>
          <w:szCs w:val="21"/>
        </w:rPr>
        <w:t>0.3</w:t>
      </w:r>
      <w:r>
        <w:rPr>
          <w:rFonts w:ascii="楷体" w:eastAsia="楷体" w:hAnsi="楷体" w:cs="Arial"/>
          <w:szCs w:val="21"/>
        </w:rPr>
        <w:t>%</w:t>
      </w:r>
      <w:r w:rsidRPr="00E51533">
        <w:rPr>
          <w:rFonts w:ascii="楷体" w:eastAsia="楷体" w:hAnsi="楷体" w:cs="Arial" w:hint="eastAsia"/>
          <w:szCs w:val="21"/>
        </w:rPr>
        <w:t>。其中，生产指数为</w:t>
      </w:r>
      <w:r w:rsidRPr="00E51533">
        <w:rPr>
          <w:rFonts w:ascii="楷体" w:eastAsia="楷体" w:hAnsi="楷体" w:cs="Arial"/>
          <w:szCs w:val="21"/>
        </w:rPr>
        <w:t>53.1%</w:t>
      </w:r>
      <w:r>
        <w:rPr>
          <w:rFonts w:ascii="楷体" w:eastAsia="楷体" w:hAnsi="楷体" w:cs="Arial" w:hint="eastAsia"/>
          <w:szCs w:val="21"/>
        </w:rPr>
        <w:t>，比上月下降</w:t>
      </w:r>
      <w:r w:rsidRPr="00E51533">
        <w:rPr>
          <w:rFonts w:ascii="楷体" w:eastAsia="楷体" w:hAnsi="楷体" w:cs="Arial"/>
          <w:szCs w:val="21"/>
        </w:rPr>
        <w:t>0.5</w:t>
      </w:r>
      <w:r>
        <w:rPr>
          <w:rFonts w:ascii="楷体" w:eastAsia="楷体" w:hAnsi="楷体" w:cs="Arial"/>
          <w:szCs w:val="21"/>
        </w:rPr>
        <w:t>%</w:t>
      </w:r>
      <w:r>
        <w:rPr>
          <w:rFonts w:ascii="楷体" w:eastAsia="楷体" w:hAnsi="楷体" w:cs="Arial" w:hint="eastAsia"/>
          <w:szCs w:val="21"/>
        </w:rPr>
        <w:t>，</w:t>
      </w:r>
      <w:r w:rsidRPr="00E51533">
        <w:rPr>
          <w:rFonts w:ascii="楷体" w:eastAsia="楷体" w:hAnsi="楷体" w:cs="Arial" w:hint="eastAsia"/>
          <w:szCs w:val="21"/>
        </w:rPr>
        <w:t>新订单指数为</w:t>
      </w:r>
      <w:r w:rsidRPr="00E51533">
        <w:rPr>
          <w:rFonts w:ascii="楷体" w:eastAsia="楷体" w:hAnsi="楷体" w:cs="Arial"/>
          <w:szCs w:val="21"/>
        </w:rPr>
        <w:t>51.6%</w:t>
      </w:r>
      <w:r>
        <w:rPr>
          <w:rFonts w:ascii="楷体" w:eastAsia="楷体" w:hAnsi="楷体" w:cs="Arial" w:hint="eastAsia"/>
          <w:szCs w:val="21"/>
        </w:rPr>
        <w:t>，比上月下降</w:t>
      </w:r>
      <w:r>
        <w:rPr>
          <w:rFonts w:ascii="楷体" w:eastAsia="楷体" w:hAnsi="楷体" w:cs="Arial"/>
          <w:szCs w:val="21"/>
        </w:rPr>
        <w:t>0.6%</w:t>
      </w:r>
      <w:r>
        <w:rPr>
          <w:rFonts w:ascii="楷体" w:eastAsia="楷体" w:hAnsi="楷体" w:cs="Arial" w:hint="eastAsia"/>
          <w:szCs w:val="21"/>
        </w:rPr>
        <w:t>，再次印证了国内经济当前的下行压力，</w:t>
      </w:r>
      <w:r w:rsidRPr="00E51533">
        <w:rPr>
          <w:rFonts w:ascii="楷体" w:eastAsia="楷体" w:hAnsi="楷体" w:cs="Arial" w:hint="eastAsia"/>
          <w:szCs w:val="21"/>
        </w:rPr>
        <w:t>但是</w:t>
      </w:r>
      <w:r w:rsidRPr="00E51533">
        <w:rPr>
          <w:rFonts w:ascii="楷体" w:eastAsia="楷体" w:hAnsi="楷体" w:cs="Arial"/>
          <w:szCs w:val="21"/>
        </w:rPr>
        <w:t>10</w:t>
      </w:r>
      <w:r>
        <w:rPr>
          <w:rFonts w:ascii="楷体" w:eastAsia="楷体" w:hAnsi="楷体" w:cs="Arial" w:hint="eastAsia"/>
          <w:szCs w:val="21"/>
        </w:rPr>
        <w:t>月份政府对于基建投资增加</w:t>
      </w:r>
      <w:r w:rsidRPr="00E51533">
        <w:rPr>
          <w:rFonts w:ascii="楷体" w:eastAsia="楷体" w:hAnsi="楷体" w:cs="Arial" w:hint="eastAsia"/>
          <w:szCs w:val="21"/>
        </w:rPr>
        <w:t>，</w:t>
      </w:r>
      <w:r>
        <w:rPr>
          <w:rFonts w:ascii="楷体" w:eastAsia="楷体" w:hAnsi="楷体" w:cs="Arial" w:hint="eastAsia"/>
          <w:szCs w:val="21"/>
        </w:rPr>
        <w:t>因此</w:t>
      </w:r>
      <w:r w:rsidRPr="00E51533">
        <w:rPr>
          <w:rFonts w:ascii="楷体" w:eastAsia="楷体" w:hAnsi="楷体" w:cs="Arial" w:hint="eastAsia"/>
          <w:szCs w:val="21"/>
        </w:rPr>
        <w:t>年</w:t>
      </w:r>
      <w:r>
        <w:rPr>
          <w:rFonts w:ascii="楷体" w:eastAsia="楷体" w:hAnsi="楷体" w:cs="Arial" w:hint="eastAsia"/>
          <w:szCs w:val="21"/>
        </w:rPr>
        <w:t>前经济走势如何还需继续观望。</w:t>
      </w:r>
    </w:p>
    <w:p w:rsidR="00D41032" w:rsidRPr="00D24882" w:rsidRDefault="00D41032" w:rsidP="005A3FE7">
      <w:pPr>
        <w:pStyle w:val="BodyText"/>
        <w:numPr>
          <w:ilvl w:val="4"/>
          <w:numId w:val="1"/>
        </w:numPr>
        <w:spacing w:after="163"/>
        <w:rPr>
          <w:rFonts w:ascii="楷体" w:eastAsia="楷体" w:hAnsi="楷体" w:cs="Arial"/>
          <w:szCs w:val="21"/>
        </w:rPr>
      </w:pPr>
      <w:r w:rsidRPr="00E4503C">
        <w:rPr>
          <w:rFonts w:ascii="楷体" w:eastAsia="楷体" w:hAnsi="楷体" w:cs="Arial" w:hint="eastAsia"/>
          <w:szCs w:val="21"/>
        </w:rPr>
        <w:t>海外市场（</w:t>
      </w:r>
      <w:r>
        <w:rPr>
          <w:rFonts w:ascii="楷体" w:eastAsia="楷体" w:hAnsi="楷体" w:cs="Arial"/>
          <w:szCs w:val="21"/>
        </w:rPr>
        <w:t>2014.10.24~2014.10.30</w:t>
      </w:r>
      <w:r>
        <w:rPr>
          <w:rFonts w:ascii="楷体" w:eastAsia="楷体" w:hAnsi="楷体" w:cs="Arial" w:hint="eastAsia"/>
          <w:szCs w:val="21"/>
        </w:rPr>
        <w:t>），</w:t>
      </w:r>
      <w:r w:rsidRPr="00CD51F7">
        <w:rPr>
          <w:rFonts w:ascii="楷体" w:eastAsia="楷体" w:hAnsi="楷体" w:cs="Arial" w:hint="eastAsia"/>
          <w:szCs w:val="21"/>
        </w:rPr>
        <w:t>美国商务部</w:t>
      </w:r>
      <w:r w:rsidRPr="00CD51F7">
        <w:rPr>
          <w:rFonts w:ascii="楷体" w:eastAsia="楷体" w:hAnsi="楷体" w:cs="Arial"/>
          <w:szCs w:val="21"/>
        </w:rPr>
        <w:t>30</w:t>
      </w:r>
      <w:r>
        <w:rPr>
          <w:rFonts w:ascii="楷体" w:eastAsia="楷体" w:hAnsi="楷体" w:cs="Arial" w:hint="eastAsia"/>
          <w:szCs w:val="21"/>
        </w:rPr>
        <w:t>日公布</w:t>
      </w:r>
      <w:r w:rsidRPr="00CD51F7">
        <w:rPr>
          <w:rFonts w:ascii="楷体" w:eastAsia="楷体" w:hAnsi="楷体" w:cs="Arial" w:hint="eastAsia"/>
          <w:szCs w:val="21"/>
        </w:rPr>
        <w:t>三季度</w:t>
      </w:r>
      <w:r w:rsidRPr="00CD51F7">
        <w:rPr>
          <w:rFonts w:ascii="楷体" w:eastAsia="楷体" w:hAnsi="楷体" w:cs="Arial"/>
          <w:szCs w:val="21"/>
        </w:rPr>
        <w:t>GDP</w:t>
      </w:r>
      <w:r w:rsidRPr="00CD51F7">
        <w:rPr>
          <w:rFonts w:ascii="楷体" w:eastAsia="楷体" w:hAnsi="楷体" w:cs="Arial" w:hint="eastAsia"/>
          <w:szCs w:val="21"/>
        </w:rPr>
        <w:t>年率增长</w:t>
      </w:r>
      <w:r w:rsidRPr="00CD51F7">
        <w:rPr>
          <w:rFonts w:ascii="楷体" w:eastAsia="楷体" w:hAnsi="楷体" w:cs="Arial"/>
          <w:szCs w:val="21"/>
        </w:rPr>
        <w:t>3.5%</w:t>
      </w:r>
      <w:r w:rsidRPr="00CD51F7">
        <w:rPr>
          <w:rFonts w:ascii="楷体" w:eastAsia="楷体" w:hAnsi="楷体" w:cs="Arial" w:hint="eastAsia"/>
          <w:szCs w:val="21"/>
        </w:rPr>
        <w:t>，符合市场预期</w:t>
      </w:r>
      <w:r>
        <w:rPr>
          <w:rFonts w:ascii="楷体" w:eastAsia="楷体" w:hAnsi="楷体" w:cs="Arial" w:hint="eastAsia"/>
          <w:szCs w:val="21"/>
        </w:rPr>
        <w:t>，但</w:t>
      </w:r>
      <w:r w:rsidRPr="00CD51F7">
        <w:rPr>
          <w:rFonts w:ascii="楷体" w:eastAsia="楷体" w:hAnsi="楷体" w:cs="Arial" w:hint="eastAsia"/>
          <w:szCs w:val="21"/>
        </w:rPr>
        <w:t>较二季度（</w:t>
      </w:r>
      <w:r w:rsidRPr="00CD51F7">
        <w:rPr>
          <w:rFonts w:ascii="楷体" w:eastAsia="楷体" w:hAnsi="楷体" w:cs="Arial"/>
          <w:szCs w:val="21"/>
        </w:rPr>
        <w:t>4.6%</w:t>
      </w:r>
      <w:r w:rsidRPr="00CD51F7">
        <w:rPr>
          <w:rFonts w:ascii="楷体" w:eastAsia="楷体" w:hAnsi="楷体" w:cs="Arial" w:hint="eastAsia"/>
          <w:szCs w:val="21"/>
        </w:rPr>
        <w:t>）放缓</w:t>
      </w:r>
      <w:r>
        <w:rPr>
          <w:rFonts w:ascii="楷体" w:eastAsia="楷体" w:hAnsi="楷体" w:cs="Arial" w:hint="eastAsia"/>
          <w:szCs w:val="21"/>
        </w:rPr>
        <w:t>，</w:t>
      </w:r>
      <w:r>
        <w:rPr>
          <w:rFonts w:ascii="??" w:hAnsi="??" w:hint="eastAsia"/>
          <w:szCs w:val="21"/>
        </w:rPr>
        <w:t>美联储议息会议宣布</w:t>
      </w:r>
      <w:r>
        <w:rPr>
          <w:rFonts w:ascii="??" w:hAnsi="??"/>
          <w:szCs w:val="21"/>
        </w:rPr>
        <w:t>QE</w:t>
      </w:r>
      <w:r>
        <w:rPr>
          <w:rFonts w:ascii="??" w:hAnsi="??" w:hint="eastAsia"/>
          <w:szCs w:val="21"/>
        </w:rPr>
        <w:t>操作正式终结，美元重启升势。</w:t>
      </w:r>
      <w:r>
        <w:rPr>
          <w:rFonts w:ascii="楷体" w:eastAsia="楷体" w:hAnsi="楷体" w:cs="Arial" w:hint="eastAsia"/>
          <w:szCs w:val="21"/>
        </w:rPr>
        <w:t>股市方面，美股三大股指涨幅略微收窄，</w:t>
      </w:r>
      <w:r w:rsidRPr="00E4503C">
        <w:rPr>
          <w:rFonts w:ascii="楷体" w:eastAsia="楷体" w:hAnsi="楷体" w:cs="Arial" w:hint="eastAsia"/>
          <w:szCs w:val="21"/>
        </w:rPr>
        <w:t>标普</w:t>
      </w:r>
      <w:r w:rsidRPr="00E4503C">
        <w:rPr>
          <w:rFonts w:ascii="楷体" w:eastAsia="楷体" w:hAnsi="楷体" w:cs="Arial"/>
          <w:szCs w:val="21"/>
        </w:rPr>
        <w:t>500</w:t>
      </w:r>
      <w:r w:rsidRPr="00E4503C">
        <w:rPr>
          <w:rFonts w:ascii="楷体" w:eastAsia="楷体" w:hAnsi="楷体" w:cs="Arial" w:hint="eastAsia"/>
          <w:szCs w:val="21"/>
        </w:rPr>
        <w:t>周涨</w:t>
      </w:r>
      <w:r>
        <w:rPr>
          <w:rFonts w:ascii="楷体" w:eastAsia="楷体" w:hAnsi="楷体" w:cs="Arial"/>
          <w:szCs w:val="21"/>
        </w:rPr>
        <w:t>2.25</w:t>
      </w:r>
      <w:r w:rsidRPr="00E4503C">
        <w:rPr>
          <w:rFonts w:ascii="楷体" w:eastAsia="楷体" w:hAnsi="楷体" w:cs="Arial"/>
          <w:szCs w:val="21"/>
        </w:rPr>
        <w:t>%</w:t>
      </w:r>
      <w:r w:rsidRPr="00E4503C">
        <w:rPr>
          <w:rFonts w:ascii="楷体" w:eastAsia="楷体" w:hAnsi="楷体" w:cs="Arial" w:hint="eastAsia"/>
          <w:szCs w:val="21"/>
        </w:rPr>
        <w:t>，道琼斯工业指数周涨</w:t>
      </w:r>
      <w:r>
        <w:rPr>
          <w:rFonts w:ascii="楷体" w:eastAsia="楷体" w:hAnsi="楷体" w:cs="Arial"/>
          <w:szCs w:val="21"/>
        </w:rPr>
        <w:t>3.10</w:t>
      </w:r>
      <w:r w:rsidRPr="00E4503C">
        <w:rPr>
          <w:rFonts w:ascii="楷体" w:eastAsia="楷体" w:hAnsi="楷体" w:cs="Arial"/>
          <w:szCs w:val="21"/>
        </w:rPr>
        <w:t>%</w:t>
      </w:r>
      <w:r w:rsidRPr="00E4503C">
        <w:rPr>
          <w:rFonts w:ascii="楷体" w:eastAsia="楷体" w:hAnsi="楷体" w:cs="Arial" w:hint="eastAsia"/>
          <w:szCs w:val="21"/>
        </w:rPr>
        <w:t>，纳斯达克</w:t>
      </w:r>
      <w:r w:rsidRPr="00E4503C">
        <w:rPr>
          <w:rFonts w:ascii="楷体" w:eastAsia="楷体" w:hAnsi="楷体" w:cs="Arial"/>
          <w:szCs w:val="21"/>
        </w:rPr>
        <w:t>100</w:t>
      </w:r>
      <w:r>
        <w:rPr>
          <w:rFonts w:ascii="楷体" w:eastAsia="楷体" w:hAnsi="楷体" w:cs="Arial" w:hint="eastAsia"/>
          <w:szCs w:val="21"/>
        </w:rPr>
        <w:t>周涨</w:t>
      </w:r>
      <w:r>
        <w:rPr>
          <w:rFonts w:ascii="楷体" w:eastAsia="楷体" w:hAnsi="楷体" w:cs="Arial"/>
          <w:szCs w:val="21"/>
        </w:rPr>
        <w:t>2.20%</w:t>
      </w:r>
      <w:r>
        <w:rPr>
          <w:rFonts w:ascii="楷体" w:eastAsia="楷体" w:hAnsi="楷体" w:cs="Arial" w:hint="eastAsia"/>
          <w:szCs w:val="21"/>
        </w:rPr>
        <w:t>。</w:t>
      </w:r>
      <w:r>
        <w:rPr>
          <w:rFonts w:ascii="??" w:hAnsi="??" w:hint="eastAsia"/>
          <w:szCs w:val="21"/>
        </w:rPr>
        <w:t>德国经济不及预期，使得欧元区通胀加剧，然而，上周五日本央行决定再度强化宽松，推升了全球市场的流动性供给预期，也推动欧洲股市较大幅度上涨。</w:t>
      </w:r>
      <w:r>
        <w:rPr>
          <w:rFonts w:ascii="楷体" w:eastAsia="楷体" w:hAnsi="楷体" w:cs="Arial" w:hint="eastAsia"/>
          <w:szCs w:val="21"/>
        </w:rPr>
        <w:t>港股上周涨幅仍然受限，恒生指数和恒生国企指数分别周涨</w:t>
      </w:r>
      <w:r>
        <w:rPr>
          <w:rFonts w:ascii="楷体" w:eastAsia="楷体" w:hAnsi="楷体" w:cs="Arial"/>
          <w:szCs w:val="21"/>
        </w:rPr>
        <w:t>1.58%</w:t>
      </w:r>
      <w:r>
        <w:rPr>
          <w:rFonts w:ascii="楷体" w:eastAsia="楷体" w:hAnsi="楷体" w:cs="Arial" w:hint="eastAsia"/>
          <w:szCs w:val="21"/>
        </w:rPr>
        <w:t>和</w:t>
      </w:r>
      <w:r>
        <w:rPr>
          <w:rFonts w:ascii="楷体" w:eastAsia="楷体" w:hAnsi="楷体" w:cs="Arial"/>
          <w:szCs w:val="21"/>
        </w:rPr>
        <w:t>1.82%</w:t>
      </w:r>
      <w:r>
        <w:rPr>
          <w:rFonts w:ascii="楷体" w:eastAsia="楷体" w:hAnsi="楷体" w:cs="Arial" w:hint="eastAsia"/>
          <w:szCs w:val="21"/>
        </w:rPr>
        <w:t>。</w:t>
      </w:r>
    </w:p>
    <w:tbl>
      <w:tblPr>
        <w:tblW w:w="10773" w:type="dxa"/>
        <w:tblLayout w:type="fixed"/>
        <w:tblCellMar>
          <w:left w:w="0" w:type="dxa"/>
          <w:right w:w="0" w:type="dxa"/>
        </w:tblCellMar>
        <w:tblLook w:val="0000"/>
      </w:tblPr>
      <w:tblGrid>
        <w:gridCol w:w="5103"/>
        <w:gridCol w:w="284"/>
        <w:gridCol w:w="5386"/>
      </w:tblGrid>
      <w:tr w:rsidR="00D41032" w:rsidRPr="00635B60" w:rsidTr="005A3FE7">
        <w:trPr>
          <w:cantSplit/>
          <w:trHeight w:val="368"/>
        </w:trPr>
        <w:tc>
          <w:tcPr>
            <w:tcW w:w="5103" w:type="dxa"/>
            <w:tcBorders>
              <w:top w:val="single" w:sz="6" w:space="0" w:color="FF6600"/>
              <w:bottom w:val="single" w:sz="6" w:space="0" w:color="FF6600"/>
            </w:tcBorders>
            <w:vAlign w:val="center"/>
          </w:tcPr>
          <w:p w:rsidR="00D41032" w:rsidRPr="00057142" w:rsidRDefault="00D41032" w:rsidP="00D7627F">
            <w:pPr>
              <w:pStyle w:val="SubTitleLargeTable"/>
              <w:pBdr>
                <w:top w:val="none" w:sz="0" w:space="0" w:color="auto"/>
              </w:pBdr>
              <w:rPr>
                <w:rFonts w:ascii="楷体" w:eastAsia="楷体" w:hAnsi="楷体"/>
                <w:color w:val="FF6600"/>
              </w:rPr>
            </w:pPr>
            <w:r w:rsidRPr="005B7CDB">
              <w:rPr>
                <w:rFonts w:ascii="楷体" w:eastAsia="楷体" w:hAnsi="楷体" w:hint="eastAsia"/>
                <w:color w:val="FF6600"/>
              </w:rPr>
              <w:t>图表</w:t>
            </w:r>
            <w:r w:rsidRPr="005B7CDB">
              <w:rPr>
                <w:rFonts w:ascii="楷体" w:eastAsia="楷体" w:hAnsi="楷体"/>
                <w:color w:val="FF6600"/>
              </w:rPr>
              <w:t>2</w:t>
            </w:r>
            <w:r w:rsidRPr="005B7CDB">
              <w:rPr>
                <w:rFonts w:ascii="楷体" w:eastAsia="楷体" w:hAnsi="楷体" w:hint="eastAsia"/>
                <w:color w:val="FF6600"/>
              </w:rPr>
              <w:t>：各类指数周涨跌</w:t>
            </w:r>
            <w:r>
              <w:rPr>
                <w:rFonts w:ascii="楷体" w:eastAsia="楷体" w:hAnsi="楷体"/>
                <w:color w:val="FF6600"/>
              </w:rPr>
              <w:t>(10.27~31</w:t>
            </w:r>
            <w:r w:rsidRPr="00057142">
              <w:rPr>
                <w:rFonts w:ascii="楷体" w:eastAsia="楷体" w:hAnsi="楷体" w:hint="eastAsia"/>
                <w:color w:val="FF6600"/>
              </w:rPr>
              <w:t>，海外指数</w:t>
            </w:r>
            <w:r>
              <w:rPr>
                <w:rFonts w:ascii="楷体" w:eastAsia="楷体" w:hAnsi="楷体"/>
                <w:color w:val="FF6600"/>
              </w:rPr>
              <w:t>10.24</w:t>
            </w:r>
            <w:r w:rsidRPr="00057142">
              <w:rPr>
                <w:rFonts w:ascii="楷体" w:eastAsia="楷体" w:hAnsi="楷体"/>
                <w:color w:val="FF6600"/>
              </w:rPr>
              <w:t>~</w:t>
            </w:r>
            <w:r>
              <w:rPr>
                <w:rFonts w:ascii="楷体" w:eastAsia="楷体" w:hAnsi="楷体"/>
                <w:color w:val="FF6600"/>
              </w:rPr>
              <w:t>30)</w:t>
            </w:r>
          </w:p>
        </w:tc>
        <w:tc>
          <w:tcPr>
            <w:tcW w:w="284" w:type="dxa"/>
            <w:vAlign w:val="center"/>
          </w:tcPr>
          <w:p w:rsidR="00D41032" w:rsidRPr="00635B60" w:rsidRDefault="00D41032" w:rsidP="003B1409">
            <w:pPr>
              <w:jc w:val="center"/>
              <w:rPr>
                <w:rFonts w:ascii="楷体" w:eastAsia="楷体" w:hAnsi="楷体"/>
              </w:rPr>
            </w:pPr>
          </w:p>
        </w:tc>
        <w:tc>
          <w:tcPr>
            <w:tcW w:w="5386" w:type="dxa"/>
            <w:tcBorders>
              <w:top w:val="single" w:sz="6" w:space="0" w:color="FF6600"/>
              <w:bottom w:val="single" w:sz="6" w:space="0" w:color="FF6600"/>
            </w:tcBorders>
            <w:vAlign w:val="center"/>
          </w:tcPr>
          <w:p w:rsidR="00D41032" w:rsidRPr="005B7CDB" w:rsidRDefault="00D41032" w:rsidP="007B1899">
            <w:pPr>
              <w:pStyle w:val="SubTitleLargeTable"/>
              <w:pBdr>
                <w:top w:val="none" w:sz="0" w:space="0" w:color="auto"/>
              </w:pBdr>
              <w:rPr>
                <w:rFonts w:ascii="楷体" w:eastAsia="楷体" w:hAnsi="楷体"/>
              </w:rPr>
            </w:pPr>
            <w:r w:rsidRPr="005B7CDB">
              <w:rPr>
                <w:rFonts w:ascii="楷体" w:eastAsia="楷体" w:hAnsi="楷体" w:hint="eastAsia"/>
                <w:color w:val="FF6600"/>
              </w:rPr>
              <w:t>图表</w:t>
            </w:r>
            <w:r w:rsidRPr="005B7CDB">
              <w:rPr>
                <w:rFonts w:ascii="楷体" w:eastAsia="楷体" w:hAnsi="楷体"/>
                <w:color w:val="FF6600"/>
              </w:rPr>
              <w:t>3</w:t>
            </w:r>
            <w:r w:rsidRPr="005B7CDB">
              <w:rPr>
                <w:rFonts w:ascii="楷体" w:eastAsia="楷体" w:hAnsi="楷体" w:hint="eastAsia"/>
                <w:color w:val="FF6600"/>
              </w:rPr>
              <w:t>：中信一级行业板块周涨跌（</w:t>
            </w:r>
            <w:r>
              <w:rPr>
                <w:rFonts w:ascii="楷体" w:eastAsia="楷体" w:hAnsi="楷体"/>
                <w:color w:val="FF6600"/>
              </w:rPr>
              <w:t>10.27~31</w:t>
            </w:r>
            <w:r w:rsidRPr="005B7CDB">
              <w:rPr>
                <w:rFonts w:ascii="楷体" w:eastAsia="楷体" w:hAnsi="楷体" w:hint="eastAsia"/>
                <w:color w:val="FF6600"/>
              </w:rPr>
              <w:t>）</w:t>
            </w:r>
          </w:p>
        </w:tc>
      </w:tr>
      <w:tr w:rsidR="00D41032" w:rsidRPr="00635B60" w:rsidTr="00CC4FE1">
        <w:trPr>
          <w:cantSplit/>
          <w:trHeight w:val="2571"/>
        </w:trPr>
        <w:tc>
          <w:tcPr>
            <w:tcW w:w="5103" w:type="dxa"/>
            <w:tcBorders>
              <w:top w:val="single" w:sz="6" w:space="0" w:color="FF6600"/>
              <w:bottom w:val="single" w:sz="6" w:space="0" w:color="FF6600"/>
            </w:tcBorders>
            <w:vAlign w:val="center"/>
          </w:tcPr>
          <w:p w:rsidR="00D41032" w:rsidRPr="00635B60" w:rsidRDefault="00D41032" w:rsidP="003B1409">
            <w:pPr>
              <w:jc w:val="center"/>
              <w:rPr>
                <w:rFonts w:ascii="楷体" w:eastAsia="楷体" w:hAnsi="楷体"/>
              </w:rPr>
            </w:pPr>
            <w:r w:rsidRPr="00635B60">
              <w:rPr>
                <w:rFonts w:ascii="楷体" w:eastAsia="楷体" w:hAnsi="楷体"/>
                <w:noProof/>
              </w:rPr>
              <w:pict>
                <v:shape id="图片 2" o:spid="_x0000_i1046" type="#_x0000_t75" style="width:249.75pt;height:132.75pt;visibility:visible">
                  <v:imagedata r:id="rId10" o:title=""/>
                </v:shape>
              </w:pict>
            </w:r>
          </w:p>
        </w:tc>
        <w:tc>
          <w:tcPr>
            <w:tcW w:w="284" w:type="dxa"/>
            <w:vAlign w:val="center"/>
          </w:tcPr>
          <w:p w:rsidR="00D41032" w:rsidRPr="00635B60" w:rsidRDefault="00D41032" w:rsidP="003B1409">
            <w:pPr>
              <w:jc w:val="center"/>
              <w:rPr>
                <w:rFonts w:ascii="楷体" w:eastAsia="楷体" w:hAnsi="楷体"/>
              </w:rPr>
            </w:pPr>
          </w:p>
        </w:tc>
        <w:tc>
          <w:tcPr>
            <w:tcW w:w="5386" w:type="dxa"/>
            <w:tcBorders>
              <w:top w:val="single" w:sz="6" w:space="0" w:color="FF6600"/>
              <w:bottom w:val="single" w:sz="6" w:space="0" w:color="FF6600"/>
            </w:tcBorders>
            <w:vAlign w:val="center"/>
          </w:tcPr>
          <w:p w:rsidR="00D41032" w:rsidRPr="00635B60" w:rsidRDefault="00D41032" w:rsidP="003B1409">
            <w:pPr>
              <w:jc w:val="center"/>
              <w:rPr>
                <w:rFonts w:ascii="楷体" w:eastAsia="楷体" w:hAnsi="楷体"/>
              </w:rPr>
            </w:pPr>
            <w:r w:rsidRPr="00635B60">
              <w:rPr>
                <w:rFonts w:ascii="楷体" w:eastAsia="楷体" w:hAnsi="楷体"/>
                <w:noProof/>
              </w:rPr>
              <w:pict>
                <v:shape id="图片 3" o:spid="_x0000_i1047" type="#_x0000_t75" style="width:258.75pt;height:160.5pt;visibility:visible">
                  <v:imagedata r:id="rId11" o:title=""/>
                </v:shape>
              </w:pict>
            </w:r>
          </w:p>
        </w:tc>
      </w:tr>
    </w:tbl>
    <w:p w:rsidR="00D41032" w:rsidRPr="005B7CDB" w:rsidRDefault="00D41032"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rPr>
        <w:t xml:space="preserve"> </w:t>
      </w:r>
    </w:p>
    <w:p w:rsidR="00D41032" w:rsidRPr="00371002" w:rsidRDefault="00D41032" w:rsidP="00371002">
      <w:pPr>
        <w:widowControl/>
        <w:spacing w:after="120"/>
        <w:ind w:left="3430"/>
        <w:rPr>
          <w:rFonts w:ascii="Arial" w:eastAsia="楷体" w:hAnsi="Arial" w:cs="Arial"/>
          <w:b/>
          <w:bCs/>
          <w:color w:val="0070C0"/>
          <w:kern w:val="0"/>
          <w:szCs w:val="21"/>
          <w:lang w:val="en-GB"/>
        </w:rPr>
      </w:pPr>
      <w:r w:rsidRPr="00E15464">
        <w:rPr>
          <w:rFonts w:ascii="Arial" w:eastAsia="楷体" w:hAnsi="楷体" w:cs="Arial" w:hint="eastAsia"/>
          <w:b/>
          <w:bCs/>
          <w:color w:val="0070C0"/>
          <w:kern w:val="0"/>
          <w:szCs w:val="21"/>
          <w:lang w:val="en-GB"/>
        </w:rPr>
        <w:t>各类型公募基金一周业绩：</w:t>
      </w:r>
      <w:r w:rsidRPr="00371002">
        <w:rPr>
          <w:rFonts w:ascii="Arial" w:eastAsia="楷体" w:hAnsi="Arial" w:cs="Arial"/>
          <w:b/>
          <w:bCs/>
          <w:color w:val="0070C0"/>
          <w:kern w:val="0"/>
          <w:szCs w:val="21"/>
          <w:lang w:val="en-GB"/>
        </w:rPr>
        <w:t xml:space="preserve"> </w:t>
      </w:r>
      <w:r>
        <w:rPr>
          <w:rFonts w:ascii="Arial" w:eastAsia="楷体" w:hAnsi="Arial" w:cs="Arial" w:hint="eastAsia"/>
          <w:b/>
          <w:bCs/>
          <w:color w:val="0070C0"/>
          <w:kern w:val="0"/>
          <w:szCs w:val="21"/>
          <w:lang w:val="en-GB"/>
        </w:rPr>
        <w:t>权益类和固定收益类基金普涨</w:t>
      </w:r>
    </w:p>
    <w:p w:rsidR="00D41032" w:rsidRPr="00E51D5F" w:rsidRDefault="00D41032" w:rsidP="00120197">
      <w:pPr>
        <w:pStyle w:val="BodyText"/>
        <w:numPr>
          <w:ilvl w:val="4"/>
          <w:numId w:val="1"/>
        </w:numPr>
        <w:spacing w:after="163"/>
        <w:rPr>
          <w:rFonts w:ascii="楷体" w:eastAsia="楷体" w:hAnsi="楷体" w:cs="Arial"/>
          <w:szCs w:val="21"/>
        </w:rPr>
      </w:pPr>
      <w:r>
        <w:rPr>
          <w:rFonts w:ascii="楷体" w:eastAsia="楷体" w:hAnsi="楷体" w:cs="Arial" w:hint="eastAsia"/>
          <w:szCs w:val="21"/>
        </w:rPr>
        <w:t>上周</w:t>
      </w:r>
      <w:r w:rsidRPr="007C315B">
        <w:rPr>
          <w:rFonts w:ascii="楷体" w:eastAsia="楷体" w:hAnsi="楷体" w:cs="Arial" w:hint="eastAsia"/>
          <w:szCs w:val="21"/>
        </w:rPr>
        <w:t>（</w:t>
      </w:r>
      <w:r>
        <w:rPr>
          <w:rFonts w:ascii="楷体" w:eastAsia="楷体" w:hAnsi="楷体" w:cs="Arial"/>
          <w:szCs w:val="21"/>
        </w:rPr>
        <w:t>2014.10.27~2014.10.31</w:t>
      </w:r>
      <w:r>
        <w:rPr>
          <w:rFonts w:ascii="楷体" w:eastAsia="楷体" w:hAnsi="楷体" w:cs="Arial" w:hint="eastAsia"/>
          <w:szCs w:val="21"/>
        </w:rPr>
        <w:t>），在国内大盘反弹、各大股指走强、外围股市继续回暖的氛围中，公募基金（除商品基金）普遍上涨。分类来看，股票基金涨幅最大，被动风格表现好于主动风格；混合基金中，灵活型产品平均收益高于偏股型、偏债型；除理财债基外，其他类型债基涨幅均扩大，可转债基涨幅堪比股基积极份额涨幅；货币基金涨幅再度扩大，七日年化收益率升至</w:t>
      </w:r>
      <w:r>
        <w:rPr>
          <w:rFonts w:ascii="楷体" w:eastAsia="楷体" w:hAnsi="楷体" w:cs="Arial"/>
          <w:szCs w:val="21"/>
        </w:rPr>
        <w:t>4.65%</w:t>
      </w:r>
      <w:r>
        <w:rPr>
          <w:rFonts w:ascii="楷体" w:eastAsia="楷体" w:hAnsi="楷体" w:cs="Arial" w:hint="eastAsia"/>
          <w:szCs w:val="21"/>
        </w:rPr>
        <w:t>；</w:t>
      </w:r>
      <w:r>
        <w:rPr>
          <w:rFonts w:ascii="楷体" w:eastAsia="楷体" w:hAnsi="楷体" w:cs="Arial"/>
          <w:szCs w:val="21"/>
        </w:rPr>
        <w:t>QDII</w:t>
      </w:r>
      <w:r>
        <w:rPr>
          <w:rFonts w:ascii="楷体" w:eastAsia="楷体" w:hAnsi="楷体" w:cs="Arial" w:hint="eastAsia"/>
          <w:szCs w:val="21"/>
        </w:rPr>
        <w:t>涨幅收窄，新兴市场基金业绩排名较前周靠前，商品基金继续下跌，美股基金，行业基金和</w:t>
      </w:r>
      <w:r>
        <w:rPr>
          <w:rFonts w:ascii="楷体" w:eastAsia="楷体" w:hAnsi="楷体" w:cs="Arial"/>
          <w:szCs w:val="21"/>
        </w:rPr>
        <w:t>QDII-</w:t>
      </w:r>
      <w:r>
        <w:rPr>
          <w:rFonts w:ascii="楷体" w:eastAsia="楷体" w:hAnsi="楷体" w:cs="Arial" w:hint="eastAsia"/>
          <w:szCs w:val="21"/>
        </w:rPr>
        <w:t>债券涨幅收缩。</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D41032" w:rsidRPr="00635B60" w:rsidTr="00D7627F">
        <w:trPr>
          <w:trHeight w:val="335"/>
          <w:tblHeader/>
        </w:trPr>
        <w:tc>
          <w:tcPr>
            <w:tcW w:w="10772" w:type="dxa"/>
            <w:gridSpan w:val="9"/>
            <w:vAlign w:val="center"/>
          </w:tcPr>
          <w:p w:rsidR="00D41032" w:rsidRPr="005B7CDB" w:rsidRDefault="00D41032"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4</w:t>
            </w:r>
            <w:r w:rsidRPr="005B7CDB">
              <w:rPr>
                <w:rFonts w:ascii="楷体" w:eastAsia="楷体" w:hAnsi="楷体" w:cs="宋体" w:hint="eastAsia"/>
                <w:color w:val="FF6600"/>
              </w:rPr>
              <w:t>：各类型公募基金（含封闭式）周平均收益率（</w:t>
            </w:r>
            <w:r>
              <w:rPr>
                <w:rFonts w:ascii="楷体" w:eastAsia="楷体" w:hAnsi="楷体"/>
                <w:color w:val="FF6600"/>
              </w:rPr>
              <w:t>10.27~31</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10.24</w:t>
            </w:r>
            <w:r w:rsidRPr="00057142">
              <w:rPr>
                <w:rFonts w:ascii="楷体" w:eastAsia="楷体" w:hAnsi="楷体"/>
                <w:color w:val="FF6600"/>
              </w:rPr>
              <w:t>~</w:t>
            </w:r>
            <w:r>
              <w:rPr>
                <w:rFonts w:ascii="楷体" w:eastAsia="楷体" w:hAnsi="楷体"/>
                <w:color w:val="FF6600"/>
              </w:rPr>
              <w:t>30</w:t>
            </w:r>
            <w:r>
              <w:rPr>
                <w:rFonts w:ascii="楷体" w:eastAsia="楷体" w:hAnsi="楷体" w:hint="eastAsia"/>
                <w:color w:val="FF6600"/>
              </w:rPr>
              <w:t>，</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D41032" w:rsidRPr="00635B60" w:rsidTr="00D7627F">
        <w:trPr>
          <w:trHeight w:val="284"/>
          <w:tblHeader/>
        </w:trPr>
        <w:tc>
          <w:tcPr>
            <w:tcW w:w="2393" w:type="dxa"/>
            <w:gridSpan w:val="2"/>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周收益率</w:t>
            </w:r>
            <w:r w:rsidRPr="00635B6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凯石分类</w:t>
            </w:r>
          </w:p>
        </w:tc>
        <w:tc>
          <w:tcPr>
            <w:tcW w:w="1197"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周收益率</w:t>
            </w:r>
            <w:r w:rsidRPr="00635B6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凯石分类</w:t>
            </w:r>
          </w:p>
        </w:tc>
        <w:tc>
          <w:tcPr>
            <w:tcW w:w="1197" w:type="dxa"/>
            <w:tcBorders>
              <w:lef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周收益率</w:t>
            </w:r>
            <w:r w:rsidRPr="00635B60">
              <w:rPr>
                <w:rFonts w:ascii="楷体" w:eastAsia="楷体" w:hAnsi="楷体"/>
                <w:b/>
                <w:sz w:val="18"/>
                <w:szCs w:val="18"/>
              </w:rPr>
              <w:t>%</w:t>
            </w:r>
          </w:p>
        </w:tc>
      </w:tr>
      <w:tr w:rsidR="00D41032" w:rsidRPr="00635B60" w:rsidTr="009D6B40">
        <w:trPr>
          <w:cantSplit/>
          <w:trHeight w:val="284"/>
        </w:trPr>
        <w:tc>
          <w:tcPr>
            <w:tcW w:w="993" w:type="dxa"/>
            <w:vMerge w:val="restart"/>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股票型</w:t>
            </w:r>
          </w:p>
        </w:tc>
        <w:tc>
          <w:tcPr>
            <w:tcW w:w="1400"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股票</w:t>
            </w:r>
            <w:r w:rsidRPr="00635B60">
              <w:rPr>
                <w:rFonts w:ascii="楷体" w:eastAsia="楷体" w:hAnsi="楷体"/>
                <w:b/>
                <w:sz w:val="18"/>
                <w:szCs w:val="18"/>
              </w:rPr>
              <w:t>-</w:t>
            </w:r>
            <w:r w:rsidRPr="00635B60">
              <w:rPr>
                <w:rFonts w:ascii="楷体" w:eastAsia="楷体" w:hAnsi="楷体" w:hint="eastAsia"/>
                <w:b/>
                <w:sz w:val="18"/>
                <w:szCs w:val="18"/>
              </w:rPr>
              <w:t>主动型</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3.53</w:t>
            </w:r>
          </w:p>
        </w:tc>
        <w:tc>
          <w:tcPr>
            <w:tcW w:w="946" w:type="dxa"/>
            <w:vMerge w:val="restart"/>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债券型</w:t>
            </w: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纯债基金</w:t>
            </w:r>
          </w:p>
        </w:tc>
        <w:tc>
          <w:tcPr>
            <w:tcW w:w="1197" w:type="dxa"/>
            <w:tcBorders>
              <w:left w:val="single" w:sz="6" w:space="0" w:color="FF6600"/>
              <w:right w:val="single" w:sz="6" w:space="0" w:color="FF6600"/>
            </w:tcBorders>
            <w:vAlign w:val="center"/>
          </w:tcPr>
          <w:p w:rsidR="00D41032" w:rsidRPr="00635B60" w:rsidRDefault="00D41032" w:rsidP="00A7544D">
            <w:pPr>
              <w:snapToGrid w:val="0"/>
              <w:jc w:val="center"/>
              <w:rPr>
                <w:rFonts w:ascii="楷体" w:eastAsia="楷体" w:hAnsi="楷体"/>
                <w:color w:val="000000"/>
                <w:sz w:val="18"/>
                <w:szCs w:val="18"/>
              </w:rPr>
            </w:pPr>
            <w:r w:rsidRPr="00635B60">
              <w:rPr>
                <w:rFonts w:ascii="楷体" w:eastAsia="楷体" w:hAnsi="楷体"/>
                <w:color w:val="000000"/>
                <w:sz w:val="18"/>
                <w:szCs w:val="18"/>
              </w:rPr>
              <w:t>0.87</w:t>
            </w:r>
          </w:p>
        </w:tc>
        <w:tc>
          <w:tcPr>
            <w:tcW w:w="2394" w:type="dxa"/>
            <w:gridSpan w:val="2"/>
            <w:tcBorders>
              <w:left w:val="single" w:sz="6" w:space="0" w:color="FF6600"/>
              <w:right w:val="single" w:sz="6" w:space="0" w:color="FF6600"/>
            </w:tcBorders>
            <w:shd w:val="clear" w:color="auto" w:fill="FDE9D9"/>
            <w:vAlign w:val="center"/>
          </w:tcPr>
          <w:p w:rsidR="00D41032" w:rsidRPr="00635B60" w:rsidRDefault="00D41032" w:rsidP="00884478">
            <w:pPr>
              <w:snapToGrid w:val="0"/>
              <w:jc w:val="center"/>
              <w:rPr>
                <w:rFonts w:ascii="楷体" w:eastAsia="楷体" w:hAnsi="楷体"/>
                <w:b/>
                <w:sz w:val="18"/>
                <w:szCs w:val="18"/>
              </w:rPr>
            </w:pPr>
            <w:r w:rsidRPr="00635B60">
              <w:rPr>
                <w:rFonts w:ascii="楷体" w:eastAsia="楷体" w:hAnsi="楷体" w:hint="eastAsia"/>
                <w:b/>
                <w:sz w:val="18"/>
                <w:szCs w:val="18"/>
              </w:rPr>
              <w:t>货币市场基金</w:t>
            </w:r>
            <w:r w:rsidRPr="00635B60">
              <w:rPr>
                <w:rFonts w:ascii="楷体" w:eastAsia="楷体" w:hAnsi="楷体"/>
                <w:b/>
                <w:sz w:val="18"/>
                <w:szCs w:val="18"/>
              </w:rPr>
              <w:t>7</w:t>
            </w:r>
            <w:r w:rsidRPr="00635B60">
              <w:rPr>
                <w:rFonts w:ascii="楷体" w:eastAsia="楷体" w:hAnsi="楷体" w:hint="eastAsia"/>
                <w:b/>
                <w:sz w:val="18"/>
                <w:szCs w:val="18"/>
              </w:rPr>
              <w:t>日年化收益率</w:t>
            </w:r>
          </w:p>
        </w:tc>
        <w:tc>
          <w:tcPr>
            <w:tcW w:w="1197" w:type="dxa"/>
            <w:tcBorders>
              <w:left w:val="single" w:sz="6" w:space="0" w:color="FF6600"/>
            </w:tcBorders>
            <w:vAlign w:val="center"/>
          </w:tcPr>
          <w:p w:rsidR="00D41032" w:rsidRPr="00635B60" w:rsidRDefault="00D41032" w:rsidP="007416C4">
            <w:pPr>
              <w:snapToGrid w:val="0"/>
              <w:jc w:val="center"/>
              <w:rPr>
                <w:rFonts w:ascii="楷体" w:eastAsia="楷体" w:hAnsi="楷体"/>
                <w:color w:val="000000"/>
                <w:sz w:val="18"/>
                <w:szCs w:val="18"/>
              </w:rPr>
            </w:pPr>
            <w:r w:rsidRPr="00635B60">
              <w:rPr>
                <w:rFonts w:ascii="楷体" w:eastAsia="楷体" w:hAnsi="楷体"/>
                <w:color w:val="000000"/>
                <w:sz w:val="18"/>
                <w:szCs w:val="18"/>
              </w:rPr>
              <w:t>4.65</w:t>
            </w:r>
          </w:p>
        </w:tc>
      </w:tr>
      <w:tr w:rsidR="00D41032" w:rsidRPr="00635B60" w:rsidTr="009D6B40">
        <w:trPr>
          <w:cantSplit/>
          <w:trHeight w:val="284"/>
        </w:trPr>
        <w:tc>
          <w:tcPr>
            <w:tcW w:w="993" w:type="dxa"/>
            <w:vMerge/>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股票</w:t>
            </w:r>
            <w:r w:rsidRPr="00635B60">
              <w:rPr>
                <w:rFonts w:ascii="楷体" w:eastAsia="楷体" w:hAnsi="楷体"/>
                <w:b/>
                <w:sz w:val="18"/>
                <w:szCs w:val="18"/>
              </w:rPr>
              <w:t>-</w:t>
            </w:r>
            <w:r w:rsidRPr="00635B60">
              <w:rPr>
                <w:rFonts w:ascii="楷体" w:eastAsia="楷体" w:hAnsi="楷体" w:hint="eastAsia"/>
                <w:b/>
                <w:sz w:val="18"/>
                <w:szCs w:val="18"/>
              </w:rPr>
              <w:t>指数型</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4.24</w:t>
            </w:r>
          </w:p>
        </w:tc>
        <w:tc>
          <w:tcPr>
            <w:tcW w:w="946"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一级债基</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1.25</w:t>
            </w:r>
          </w:p>
        </w:tc>
        <w:tc>
          <w:tcPr>
            <w:tcW w:w="1041" w:type="dxa"/>
            <w:vMerge w:val="restart"/>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分级基金</w:t>
            </w:r>
          </w:p>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子份额</w:t>
            </w:r>
          </w:p>
        </w:tc>
        <w:tc>
          <w:tcPr>
            <w:tcW w:w="1353"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股票稳健</w:t>
            </w:r>
          </w:p>
        </w:tc>
        <w:tc>
          <w:tcPr>
            <w:tcW w:w="1197" w:type="dxa"/>
            <w:tcBorders>
              <w:lef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0.34</w:t>
            </w:r>
          </w:p>
        </w:tc>
      </w:tr>
      <w:tr w:rsidR="00D41032" w:rsidRPr="00635B60" w:rsidTr="009D6B40">
        <w:trPr>
          <w:cantSplit/>
          <w:trHeight w:val="284"/>
        </w:trPr>
        <w:tc>
          <w:tcPr>
            <w:tcW w:w="993" w:type="dxa"/>
            <w:vMerge w:val="restart"/>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混合型</w:t>
            </w:r>
          </w:p>
        </w:tc>
        <w:tc>
          <w:tcPr>
            <w:tcW w:w="1400"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混合</w:t>
            </w:r>
            <w:r w:rsidRPr="00635B60">
              <w:rPr>
                <w:rFonts w:ascii="楷体" w:eastAsia="楷体" w:hAnsi="楷体"/>
                <w:b/>
                <w:bCs/>
                <w:sz w:val="18"/>
                <w:szCs w:val="18"/>
              </w:rPr>
              <w:t>-</w:t>
            </w:r>
            <w:r w:rsidRPr="00635B60">
              <w:rPr>
                <w:rFonts w:ascii="楷体" w:eastAsia="楷体" w:hAnsi="楷体" w:hint="eastAsia"/>
                <w:b/>
                <w:bCs/>
                <w:sz w:val="18"/>
                <w:szCs w:val="18"/>
              </w:rPr>
              <w:t>偏股型</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2.67</w:t>
            </w:r>
          </w:p>
        </w:tc>
        <w:tc>
          <w:tcPr>
            <w:tcW w:w="946"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二级债基</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1.75</w:t>
            </w:r>
          </w:p>
        </w:tc>
        <w:tc>
          <w:tcPr>
            <w:tcW w:w="1041"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股票积极</w:t>
            </w:r>
          </w:p>
        </w:tc>
        <w:tc>
          <w:tcPr>
            <w:tcW w:w="1197" w:type="dxa"/>
            <w:tcBorders>
              <w:lef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7.49</w:t>
            </w:r>
          </w:p>
        </w:tc>
      </w:tr>
      <w:tr w:rsidR="00D41032" w:rsidRPr="00635B60" w:rsidTr="009D6B40">
        <w:trPr>
          <w:cantSplit/>
          <w:trHeight w:val="284"/>
        </w:trPr>
        <w:tc>
          <w:tcPr>
            <w:tcW w:w="993" w:type="dxa"/>
            <w:vMerge/>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混合</w:t>
            </w:r>
            <w:r w:rsidRPr="00635B60">
              <w:rPr>
                <w:rFonts w:ascii="楷体" w:eastAsia="楷体" w:hAnsi="楷体"/>
                <w:b/>
                <w:bCs/>
                <w:sz w:val="18"/>
                <w:szCs w:val="18"/>
              </w:rPr>
              <w:t>-</w:t>
            </w:r>
            <w:r w:rsidRPr="00635B60">
              <w:rPr>
                <w:rFonts w:ascii="楷体" w:eastAsia="楷体" w:hAnsi="楷体" w:hint="eastAsia"/>
                <w:b/>
                <w:bCs/>
                <w:sz w:val="18"/>
                <w:szCs w:val="18"/>
              </w:rPr>
              <w:t>偏债型</w:t>
            </w:r>
          </w:p>
        </w:tc>
        <w:tc>
          <w:tcPr>
            <w:tcW w:w="1197" w:type="dxa"/>
            <w:tcBorders>
              <w:left w:val="single" w:sz="6" w:space="0" w:color="FF6600"/>
              <w:right w:val="single" w:sz="6" w:space="0" w:color="FF6600"/>
            </w:tcBorders>
            <w:vAlign w:val="center"/>
          </w:tcPr>
          <w:p w:rsidR="00D41032" w:rsidRPr="00635B60" w:rsidRDefault="00D41032" w:rsidP="00F40C1B">
            <w:pPr>
              <w:snapToGrid w:val="0"/>
              <w:jc w:val="center"/>
              <w:rPr>
                <w:rFonts w:ascii="楷体" w:eastAsia="楷体" w:hAnsi="楷体"/>
                <w:color w:val="000000"/>
                <w:sz w:val="18"/>
                <w:szCs w:val="18"/>
              </w:rPr>
            </w:pPr>
            <w:r w:rsidRPr="00635B60">
              <w:rPr>
                <w:rFonts w:ascii="楷体" w:eastAsia="楷体" w:hAnsi="楷体"/>
                <w:color w:val="000000"/>
                <w:sz w:val="18"/>
                <w:szCs w:val="18"/>
              </w:rPr>
              <w:t>1.95</w:t>
            </w:r>
          </w:p>
        </w:tc>
        <w:tc>
          <w:tcPr>
            <w:tcW w:w="946"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指数债基</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1.04</w:t>
            </w:r>
          </w:p>
        </w:tc>
        <w:tc>
          <w:tcPr>
            <w:tcW w:w="1041"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债券稳健</w:t>
            </w:r>
          </w:p>
        </w:tc>
        <w:tc>
          <w:tcPr>
            <w:tcW w:w="1197" w:type="dxa"/>
            <w:tcBorders>
              <w:left w:val="single" w:sz="6" w:space="0" w:color="FF6600"/>
            </w:tcBorders>
            <w:vAlign w:val="center"/>
          </w:tcPr>
          <w:p w:rsidR="00D41032" w:rsidRPr="00635B60" w:rsidRDefault="00D41032" w:rsidP="007A1ADA">
            <w:pPr>
              <w:snapToGrid w:val="0"/>
              <w:jc w:val="center"/>
              <w:rPr>
                <w:rFonts w:ascii="楷体" w:eastAsia="楷体" w:hAnsi="楷体"/>
                <w:color w:val="000000"/>
                <w:sz w:val="18"/>
                <w:szCs w:val="18"/>
              </w:rPr>
            </w:pPr>
            <w:r w:rsidRPr="00635B60">
              <w:rPr>
                <w:rFonts w:ascii="楷体" w:eastAsia="楷体" w:hAnsi="楷体"/>
                <w:color w:val="000000"/>
                <w:sz w:val="18"/>
                <w:szCs w:val="18"/>
              </w:rPr>
              <w:t>0.09</w:t>
            </w:r>
          </w:p>
        </w:tc>
      </w:tr>
      <w:tr w:rsidR="00D41032" w:rsidRPr="00635B60" w:rsidTr="009D6B40">
        <w:trPr>
          <w:cantSplit/>
          <w:trHeight w:val="284"/>
        </w:trPr>
        <w:tc>
          <w:tcPr>
            <w:tcW w:w="993" w:type="dxa"/>
            <w:vMerge/>
            <w:tcBorders>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vAlign w:val="center"/>
          </w:tcPr>
          <w:p w:rsidR="00D41032" w:rsidRPr="007E0CA0" w:rsidRDefault="00D41032" w:rsidP="00884478">
            <w:pPr>
              <w:snapToGrid w:val="0"/>
              <w:jc w:val="center"/>
              <w:rPr>
                <w:rFonts w:ascii="楷体" w:eastAsia="楷体" w:hAnsi="楷体" w:cs="宋体"/>
                <w:b/>
                <w:bCs/>
                <w:sz w:val="18"/>
                <w:szCs w:val="18"/>
              </w:rPr>
            </w:pPr>
            <w:r w:rsidRPr="00635B60">
              <w:rPr>
                <w:rFonts w:ascii="楷体" w:eastAsia="楷体" w:hAnsi="楷体" w:hint="eastAsia"/>
                <w:b/>
                <w:bCs/>
                <w:sz w:val="18"/>
                <w:szCs w:val="18"/>
              </w:rPr>
              <w:t>混合</w:t>
            </w:r>
            <w:r w:rsidRPr="00635B60">
              <w:rPr>
                <w:rFonts w:ascii="楷体" w:eastAsia="楷体" w:hAnsi="楷体"/>
                <w:b/>
                <w:bCs/>
                <w:sz w:val="18"/>
                <w:szCs w:val="18"/>
              </w:rPr>
              <w:t>-</w:t>
            </w:r>
            <w:r w:rsidRPr="00635B60">
              <w:rPr>
                <w:rFonts w:ascii="楷体" w:eastAsia="楷体" w:hAnsi="楷体" w:hint="eastAsia"/>
                <w:b/>
                <w:bCs/>
                <w:sz w:val="18"/>
                <w:szCs w:val="18"/>
              </w:rPr>
              <w:t>灵活型</w:t>
            </w:r>
          </w:p>
        </w:tc>
        <w:tc>
          <w:tcPr>
            <w:tcW w:w="1197" w:type="dxa"/>
            <w:tcBorders>
              <w:left w:val="single" w:sz="6" w:space="0" w:color="FF6600"/>
              <w:right w:val="single" w:sz="6" w:space="0" w:color="FF6600"/>
            </w:tcBorders>
            <w:vAlign w:val="center"/>
          </w:tcPr>
          <w:p w:rsidR="00D41032" w:rsidRPr="00635B60" w:rsidRDefault="00D41032" w:rsidP="006766DE">
            <w:pPr>
              <w:snapToGrid w:val="0"/>
              <w:jc w:val="center"/>
              <w:rPr>
                <w:rFonts w:ascii="楷体" w:eastAsia="楷体" w:hAnsi="楷体"/>
                <w:color w:val="000000"/>
                <w:sz w:val="18"/>
                <w:szCs w:val="18"/>
              </w:rPr>
            </w:pPr>
            <w:r w:rsidRPr="00635B60">
              <w:rPr>
                <w:rFonts w:ascii="楷体" w:eastAsia="楷体" w:hAnsi="楷体"/>
                <w:color w:val="000000"/>
                <w:sz w:val="18"/>
                <w:szCs w:val="18"/>
              </w:rPr>
              <w:t>2.77</w:t>
            </w:r>
          </w:p>
        </w:tc>
        <w:tc>
          <w:tcPr>
            <w:tcW w:w="946"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可转债基</w:t>
            </w:r>
          </w:p>
        </w:tc>
        <w:tc>
          <w:tcPr>
            <w:tcW w:w="1197" w:type="dxa"/>
            <w:tcBorders>
              <w:left w:val="single" w:sz="6" w:space="0" w:color="FF6600"/>
              <w:right w:val="single" w:sz="6" w:space="0" w:color="FF6600"/>
            </w:tcBorders>
            <w:vAlign w:val="center"/>
          </w:tcPr>
          <w:p w:rsidR="00D41032" w:rsidRPr="00635B60" w:rsidRDefault="00D41032" w:rsidP="00100CB5">
            <w:pPr>
              <w:snapToGrid w:val="0"/>
              <w:jc w:val="center"/>
              <w:rPr>
                <w:rFonts w:ascii="楷体" w:eastAsia="楷体" w:hAnsi="楷体"/>
                <w:color w:val="000000"/>
                <w:sz w:val="18"/>
                <w:szCs w:val="18"/>
              </w:rPr>
            </w:pPr>
            <w:r w:rsidRPr="00635B60">
              <w:rPr>
                <w:rFonts w:ascii="楷体" w:eastAsia="楷体" w:hAnsi="楷体"/>
                <w:color w:val="000000"/>
                <w:sz w:val="18"/>
                <w:szCs w:val="18"/>
              </w:rPr>
              <w:t>7.35</w:t>
            </w:r>
          </w:p>
        </w:tc>
        <w:tc>
          <w:tcPr>
            <w:tcW w:w="1041"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债券积极</w:t>
            </w:r>
          </w:p>
        </w:tc>
        <w:tc>
          <w:tcPr>
            <w:tcW w:w="1197" w:type="dxa"/>
            <w:tcBorders>
              <w:lef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2.76</w:t>
            </w:r>
          </w:p>
        </w:tc>
      </w:tr>
      <w:tr w:rsidR="00D41032" w:rsidRPr="00635B60" w:rsidTr="00884478">
        <w:trPr>
          <w:cantSplit/>
          <w:trHeight w:val="284"/>
        </w:trPr>
        <w:tc>
          <w:tcPr>
            <w:tcW w:w="2393" w:type="dxa"/>
            <w:gridSpan w:val="2"/>
            <w:tcBorders>
              <w:right w:val="single" w:sz="6" w:space="0" w:color="FF6600"/>
            </w:tcBorders>
            <w:shd w:val="clear" w:color="auto" w:fill="FDE9D9"/>
            <w:vAlign w:val="center"/>
          </w:tcPr>
          <w:p w:rsidR="00D41032" w:rsidRPr="00635B60" w:rsidRDefault="00D41032" w:rsidP="00884478">
            <w:pPr>
              <w:snapToGrid w:val="0"/>
              <w:jc w:val="center"/>
              <w:rPr>
                <w:rFonts w:ascii="楷体" w:eastAsia="楷体" w:hAnsi="楷体"/>
                <w:b/>
                <w:sz w:val="18"/>
                <w:szCs w:val="18"/>
              </w:rPr>
            </w:pPr>
            <w:r w:rsidRPr="00635B60">
              <w:rPr>
                <w:rFonts w:ascii="楷体" w:eastAsia="楷体" w:hAnsi="楷体"/>
                <w:b/>
                <w:sz w:val="18"/>
                <w:szCs w:val="18"/>
              </w:rPr>
              <w:t>QDII</w:t>
            </w:r>
          </w:p>
        </w:tc>
        <w:tc>
          <w:tcPr>
            <w:tcW w:w="1197" w:type="dxa"/>
            <w:tcBorders>
              <w:left w:val="single" w:sz="6" w:space="0" w:color="FF6600"/>
              <w:right w:val="single" w:sz="6" w:space="0" w:color="FF6600"/>
            </w:tcBorders>
            <w:vAlign w:val="center"/>
          </w:tcPr>
          <w:p w:rsidR="00D41032" w:rsidRPr="00635B60" w:rsidRDefault="00D41032" w:rsidP="00B236A5">
            <w:pPr>
              <w:snapToGrid w:val="0"/>
              <w:jc w:val="center"/>
              <w:rPr>
                <w:rFonts w:ascii="楷体" w:eastAsia="楷体" w:hAnsi="楷体"/>
                <w:color w:val="000000"/>
                <w:sz w:val="18"/>
                <w:szCs w:val="18"/>
              </w:rPr>
            </w:pPr>
            <w:r w:rsidRPr="00635B60">
              <w:rPr>
                <w:rFonts w:ascii="楷体" w:eastAsia="楷体" w:hAnsi="楷体"/>
                <w:color w:val="000000"/>
                <w:sz w:val="18"/>
                <w:szCs w:val="18"/>
              </w:rPr>
              <w:t>0.99</w:t>
            </w:r>
          </w:p>
        </w:tc>
        <w:tc>
          <w:tcPr>
            <w:tcW w:w="946" w:type="dxa"/>
            <w:vMerge/>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vAlign w:val="center"/>
          </w:tcPr>
          <w:p w:rsidR="00D41032" w:rsidRPr="007E0CA0" w:rsidRDefault="00D41032" w:rsidP="009D6B40">
            <w:pPr>
              <w:snapToGrid w:val="0"/>
              <w:jc w:val="center"/>
              <w:rPr>
                <w:rFonts w:ascii="楷体" w:eastAsia="楷体" w:hAnsi="楷体" w:cs="宋体"/>
                <w:b/>
                <w:bCs/>
                <w:sz w:val="18"/>
                <w:szCs w:val="18"/>
              </w:rPr>
            </w:pPr>
            <w:r w:rsidRPr="00635B60">
              <w:rPr>
                <w:rFonts w:ascii="楷体" w:eastAsia="楷体" w:hAnsi="楷体" w:hint="eastAsia"/>
                <w:b/>
                <w:bCs/>
                <w:sz w:val="18"/>
                <w:szCs w:val="18"/>
              </w:rPr>
              <w:t>债券</w:t>
            </w:r>
            <w:r w:rsidRPr="00635B60">
              <w:rPr>
                <w:rFonts w:ascii="楷体" w:eastAsia="楷体" w:hAnsi="楷体"/>
                <w:b/>
                <w:bCs/>
                <w:sz w:val="18"/>
                <w:szCs w:val="18"/>
              </w:rPr>
              <w:t>-</w:t>
            </w:r>
            <w:r w:rsidRPr="00635B60">
              <w:rPr>
                <w:rFonts w:ascii="楷体" w:eastAsia="楷体" w:hAnsi="楷体" w:hint="eastAsia"/>
                <w:b/>
                <w:bCs/>
                <w:sz w:val="18"/>
                <w:szCs w:val="18"/>
              </w:rPr>
              <w:t>理财债基</w:t>
            </w:r>
          </w:p>
        </w:tc>
        <w:tc>
          <w:tcPr>
            <w:tcW w:w="1197" w:type="dxa"/>
            <w:tcBorders>
              <w:left w:val="single" w:sz="6" w:space="0" w:color="FF6600"/>
              <w:right w:val="single" w:sz="6" w:space="0" w:color="FF6600"/>
            </w:tcBorders>
            <w:vAlign w:val="center"/>
          </w:tcPr>
          <w:p w:rsidR="00D41032" w:rsidRPr="00635B60" w:rsidRDefault="00D41032" w:rsidP="009D6B40">
            <w:pPr>
              <w:snapToGrid w:val="0"/>
              <w:jc w:val="center"/>
              <w:rPr>
                <w:rFonts w:ascii="楷体" w:eastAsia="楷体" w:hAnsi="楷体"/>
                <w:color w:val="000000"/>
                <w:sz w:val="18"/>
                <w:szCs w:val="18"/>
              </w:rPr>
            </w:pPr>
            <w:r w:rsidRPr="00635B60">
              <w:rPr>
                <w:rFonts w:ascii="楷体" w:eastAsia="楷体" w:hAnsi="楷体"/>
                <w:color w:val="000000"/>
                <w:sz w:val="18"/>
                <w:szCs w:val="18"/>
              </w:rPr>
              <w:t>0.09</w:t>
            </w:r>
          </w:p>
        </w:tc>
        <w:tc>
          <w:tcPr>
            <w:tcW w:w="2394" w:type="dxa"/>
            <w:gridSpan w:val="2"/>
            <w:tcBorders>
              <w:left w:val="single" w:sz="6" w:space="0" w:color="FF6600"/>
              <w:right w:val="single" w:sz="6" w:space="0" w:color="FF6600"/>
            </w:tcBorders>
            <w:shd w:val="clear" w:color="auto" w:fill="FDE9D9"/>
            <w:vAlign w:val="center"/>
          </w:tcPr>
          <w:p w:rsidR="00D41032" w:rsidRPr="00635B60" w:rsidRDefault="00D41032" w:rsidP="009D6B40">
            <w:pPr>
              <w:snapToGrid w:val="0"/>
              <w:jc w:val="center"/>
              <w:rPr>
                <w:rFonts w:ascii="楷体" w:eastAsia="楷体" w:hAnsi="楷体"/>
                <w:b/>
                <w:sz w:val="18"/>
                <w:szCs w:val="18"/>
              </w:rPr>
            </w:pPr>
            <w:r w:rsidRPr="00635B60">
              <w:rPr>
                <w:rFonts w:ascii="楷体" w:eastAsia="楷体" w:hAnsi="楷体" w:hint="eastAsia"/>
                <w:b/>
                <w:sz w:val="18"/>
                <w:szCs w:val="18"/>
              </w:rPr>
              <w:t>商品基金</w:t>
            </w:r>
          </w:p>
        </w:tc>
        <w:tc>
          <w:tcPr>
            <w:tcW w:w="1197" w:type="dxa"/>
            <w:tcBorders>
              <w:left w:val="single" w:sz="6" w:space="0" w:color="FF6600"/>
            </w:tcBorders>
            <w:vAlign w:val="center"/>
          </w:tcPr>
          <w:p w:rsidR="00D41032" w:rsidRPr="00635B60" w:rsidRDefault="00D41032" w:rsidP="00100CB5">
            <w:pPr>
              <w:snapToGrid w:val="0"/>
              <w:jc w:val="center"/>
              <w:rPr>
                <w:rFonts w:ascii="楷体" w:eastAsia="楷体" w:hAnsi="楷体"/>
                <w:color w:val="FF0000"/>
                <w:sz w:val="18"/>
                <w:szCs w:val="18"/>
              </w:rPr>
            </w:pPr>
            <w:r w:rsidRPr="00635B60">
              <w:rPr>
                <w:rFonts w:ascii="楷体" w:eastAsia="楷体" w:hAnsi="楷体"/>
                <w:color w:val="FF0000"/>
                <w:sz w:val="18"/>
                <w:szCs w:val="18"/>
              </w:rPr>
              <w:t>-4.79</w:t>
            </w:r>
          </w:p>
        </w:tc>
      </w:tr>
    </w:tbl>
    <w:p w:rsidR="00D41032" w:rsidRPr="005B7CDB" w:rsidRDefault="00D41032"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来源：凯石财富工场</w:t>
      </w:r>
    </w:p>
    <w:p w:rsidR="00D41032" w:rsidRPr="007F0AC5" w:rsidRDefault="00D41032" w:rsidP="007F0AC5">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权益类基金一周业绩：</w:t>
      </w:r>
      <w:r>
        <w:rPr>
          <w:rFonts w:ascii="楷体" w:eastAsia="楷体" w:hAnsi="楷体" w:hint="eastAsia"/>
          <w:b/>
          <w:bCs/>
          <w:color w:val="0070C0"/>
          <w:kern w:val="0"/>
          <w:szCs w:val="21"/>
          <w:lang w:val="en-GB"/>
        </w:rPr>
        <w:t>股基混合涨幅扩大，</w:t>
      </w:r>
      <w:r>
        <w:rPr>
          <w:rFonts w:ascii="楷体" w:eastAsia="楷体" w:hAnsi="楷体"/>
          <w:b/>
          <w:bCs/>
          <w:color w:val="0070C0"/>
          <w:kern w:val="0"/>
          <w:szCs w:val="21"/>
          <w:lang w:val="en-GB"/>
        </w:rPr>
        <w:t>QDII</w:t>
      </w:r>
      <w:r>
        <w:rPr>
          <w:rFonts w:ascii="楷体" w:eastAsia="楷体" w:hAnsi="楷体" w:hint="eastAsia"/>
          <w:b/>
          <w:bCs/>
          <w:color w:val="0070C0"/>
          <w:kern w:val="0"/>
          <w:szCs w:val="21"/>
          <w:lang w:val="en-GB"/>
        </w:rPr>
        <w:t>涨幅收缩</w:t>
      </w:r>
    </w:p>
    <w:p w:rsidR="00D41032" w:rsidRPr="00BB67AE" w:rsidRDefault="00D41032" w:rsidP="00BB67AE">
      <w:pPr>
        <w:pStyle w:val="BodyText"/>
        <w:numPr>
          <w:ilvl w:val="4"/>
          <w:numId w:val="1"/>
        </w:numPr>
        <w:spacing w:after="163"/>
        <w:rPr>
          <w:rFonts w:ascii="楷体" w:eastAsia="楷体" w:hAnsi="楷体" w:cs="Arial"/>
          <w:szCs w:val="21"/>
        </w:rPr>
      </w:pPr>
      <w:r>
        <w:rPr>
          <w:rFonts w:ascii="楷体" w:eastAsia="楷体" w:hAnsi="楷体" w:cs="Arial" w:hint="eastAsia"/>
          <w:szCs w:val="21"/>
        </w:rPr>
        <w:t>上周，沪深两市反弹幅度较大，权益类基金表现较好，各大指数涨幅明显，股票</w:t>
      </w:r>
      <w:r>
        <w:rPr>
          <w:rFonts w:ascii="楷体" w:eastAsia="楷体" w:hAnsi="楷体" w:cs="Arial"/>
          <w:szCs w:val="21"/>
        </w:rPr>
        <w:t>-</w:t>
      </w:r>
      <w:r>
        <w:rPr>
          <w:rFonts w:ascii="楷体" w:eastAsia="楷体" w:hAnsi="楷体" w:cs="Arial" w:hint="eastAsia"/>
          <w:szCs w:val="21"/>
        </w:rPr>
        <w:t>指数型基金表现好于股票</w:t>
      </w:r>
      <w:r>
        <w:rPr>
          <w:rFonts w:ascii="楷体" w:eastAsia="楷体" w:hAnsi="楷体" w:cs="Arial"/>
          <w:szCs w:val="21"/>
        </w:rPr>
        <w:t>-</w:t>
      </w:r>
      <w:r>
        <w:rPr>
          <w:rFonts w:ascii="楷体" w:eastAsia="楷体" w:hAnsi="楷体" w:cs="Arial" w:hint="eastAsia"/>
          <w:szCs w:val="21"/>
        </w:rPr>
        <w:t>主动型基金。混合</w:t>
      </w:r>
      <w:r>
        <w:rPr>
          <w:rFonts w:ascii="楷体" w:eastAsia="楷体" w:hAnsi="楷体" w:cs="Arial"/>
          <w:szCs w:val="21"/>
        </w:rPr>
        <w:t>-</w:t>
      </w:r>
      <w:r>
        <w:rPr>
          <w:rFonts w:ascii="楷体" w:eastAsia="楷体" w:hAnsi="楷体" w:cs="Arial" w:hint="eastAsia"/>
          <w:szCs w:val="21"/>
        </w:rPr>
        <w:t>灵活型表现略好于混合</w:t>
      </w:r>
      <w:r>
        <w:rPr>
          <w:rFonts w:ascii="楷体" w:eastAsia="楷体" w:hAnsi="楷体" w:cs="Arial"/>
          <w:szCs w:val="21"/>
        </w:rPr>
        <w:t>-</w:t>
      </w:r>
      <w:r>
        <w:rPr>
          <w:rFonts w:ascii="楷体" w:eastAsia="楷体" w:hAnsi="楷体" w:cs="Arial" w:hint="eastAsia"/>
          <w:szCs w:val="21"/>
        </w:rPr>
        <w:t>偏股型、混合</w:t>
      </w:r>
      <w:r>
        <w:rPr>
          <w:rFonts w:ascii="楷体" w:eastAsia="楷体" w:hAnsi="楷体" w:cs="Arial"/>
          <w:szCs w:val="21"/>
        </w:rPr>
        <w:t>-</w:t>
      </w:r>
      <w:r>
        <w:rPr>
          <w:rFonts w:ascii="楷体" w:eastAsia="楷体" w:hAnsi="楷体" w:cs="Arial" w:hint="eastAsia"/>
          <w:szCs w:val="21"/>
        </w:rPr>
        <w:t>偏债型。</w:t>
      </w:r>
      <w:r>
        <w:rPr>
          <w:rFonts w:ascii="楷体" w:eastAsia="楷体" w:hAnsi="楷体" w:cs="Arial"/>
          <w:szCs w:val="21"/>
        </w:rPr>
        <w:t>QDII</w:t>
      </w:r>
      <w:r>
        <w:rPr>
          <w:rFonts w:ascii="楷体" w:eastAsia="楷体" w:hAnsi="楷体" w:cs="Arial" w:hint="eastAsia"/>
          <w:szCs w:val="21"/>
        </w:rPr>
        <w:t>产品平均涨幅收缩，领涨风格多样，</w:t>
      </w:r>
      <w:r>
        <w:rPr>
          <w:rFonts w:ascii="楷体" w:eastAsia="楷体" w:hAnsi="楷体" w:cs="Arial"/>
          <w:szCs w:val="21"/>
        </w:rPr>
        <w:t>QDII-</w:t>
      </w:r>
      <w:r>
        <w:rPr>
          <w:rFonts w:ascii="楷体" w:eastAsia="楷体" w:hAnsi="楷体" w:cs="Arial" w:hint="eastAsia"/>
          <w:szCs w:val="21"/>
        </w:rPr>
        <w:t>商品和</w:t>
      </w:r>
      <w:r>
        <w:rPr>
          <w:rFonts w:ascii="楷体" w:eastAsia="楷体" w:hAnsi="楷体" w:cs="Arial"/>
          <w:szCs w:val="21"/>
        </w:rPr>
        <w:t>QDII-</w:t>
      </w:r>
      <w:r>
        <w:rPr>
          <w:rFonts w:ascii="楷体" w:eastAsia="楷体" w:hAnsi="楷体" w:cs="Arial" w:hint="eastAsia"/>
          <w:szCs w:val="21"/>
        </w:rPr>
        <w:t>债券表现不佳。</w:t>
      </w:r>
    </w:p>
    <w:p w:rsidR="00D41032" w:rsidRPr="0098340A" w:rsidRDefault="00D41032" w:rsidP="0098340A">
      <w:pPr>
        <w:pStyle w:val="BodyText"/>
        <w:numPr>
          <w:ilvl w:val="5"/>
          <w:numId w:val="2"/>
        </w:numPr>
        <w:spacing w:after="163"/>
        <w:ind w:left="4140" w:hanging="369"/>
        <w:rPr>
          <w:rFonts w:ascii="楷体" w:eastAsia="楷体" w:hAnsi="楷体" w:cs="Arial"/>
          <w:szCs w:val="21"/>
        </w:rPr>
      </w:pPr>
      <w:r w:rsidRPr="00382C66">
        <w:rPr>
          <w:rFonts w:ascii="楷体" w:eastAsia="楷体" w:hAnsi="楷体" w:cs="Arial"/>
          <w:szCs w:val="21"/>
        </w:rPr>
        <w:t>406</w:t>
      </w:r>
      <w:r w:rsidRPr="00382C66">
        <w:rPr>
          <w:rFonts w:ascii="楷体" w:eastAsia="楷体" w:hAnsi="楷体" w:cs="Arial" w:hint="eastAsia"/>
          <w:szCs w:val="21"/>
        </w:rPr>
        <w:t>只股票</w:t>
      </w:r>
      <w:r w:rsidRPr="00382C66">
        <w:rPr>
          <w:rFonts w:ascii="楷体" w:eastAsia="楷体" w:hAnsi="楷体" w:cs="Arial"/>
          <w:szCs w:val="21"/>
        </w:rPr>
        <w:t>-</w:t>
      </w:r>
      <w:r w:rsidRPr="00382C66">
        <w:rPr>
          <w:rFonts w:ascii="楷体" w:eastAsia="楷体" w:hAnsi="楷体" w:cs="Arial" w:hint="eastAsia"/>
          <w:szCs w:val="21"/>
        </w:rPr>
        <w:t>主动型基金仅一只微跌，平均周收益率为</w:t>
      </w:r>
      <w:r w:rsidRPr="00382C66">
        <w:rPr>
          <w:rFonts w:ascii="楷体" w:eastAsia="楷体" w:hAnsi="楷体" w:cs="Arial"/>
          <w:szCs w:val="21"/>
        </w:rPr>
        <w:t>3.35%</w:t>
      </w:r>
      <w:r w:rsidRPr="00382C66">
        <w:rPr>
          <w:rFonts w:ascii="楷体" w:eastAsia="楷体" w:hAnsi="楷体" w:cs="Arial" w:hint="eastAsia"/>
          <w:szCs w:val="21"/>
        </w:rPr>
        <w:t>，</w:t>
      </w:r>
      <w:r>
        <w:rPr>
          <w:rFonts w:ascii="楷体" w:eastAsia="楷体" w:hAnsi="楷体" w:cs="Arial"/>
          <w:szCs w:val="21"/>
        </w:rPr>
        <w:t>24</w:t>
      </w:r>
      <w:r>
        <w:rPr>
          <w:rFonts w:ascii="楷体" w:eastAsia="楷体" w:hAnsi="楷体" w:cs="Arial" w:hint="eastAsia"/>
          <w:szCs w:val="21"/>
        </w:rPr>
        <w:t>只</w:t>
      </w:r>
      <w:r w:rsidRPr="00382C66">
        <w:rPr>
          <w:rFonts w:ascii="楷体" w:eastAsia="楷体" w:hAnsi="楷体" w:cs="Arial" w:hint="eastAsia"/>
          <w:szCs w:val="21"/>
        </w:rPr>
        <w:t>产品周回报率大于</w:t>
      </w:r>
      <w:r w:rsidRPr="00382C66">
        <w:rPr>
          <w:rFonts w:ascii="楷体" w:eastAsia="楷体" w:hAnsi="楷体" w:cs="Arial"/>
          <w:szCs w:val="21"/>
        </w:rPr>
        <w:t>5%</w:t>
      </w:r>
      <w:r w:rsidRPr="00382C66">
        <w:rPr>
          <w:rFonts w:ascii="楷体" w:eastAsia="楷体" w:hAnsi="楷体" w:cs="Arial" w:hint="eastAsia"/>
          <w:szCs w:val="21"/>
        </w:rPr>
        <w:t>，</w:t>
      </w:r>
      <w:r>
        <w:rPr>
          <w:rFonts w:ascii="楷体" w:eastAsia="楷体" w:hAnsi="楷体" w:cs="Arial" w:hint="eastAsia"/>
          <w:szCs w:val="21"/>
        </w:rPr>
        <w:t>占比</w:t>
      </w:r>
      <w:r w:rsidRPr="00382C66">
        <w:rPr>
          <w:rFonts w:ascii="楷体" w:eastAsia="楷体" w:hAnsi="楷体" w:cs="Arial"/>
          <w:szCs w:val="21"/>
        </w:rPr>
        <w:t>19%</w:t>
      </w:r>
      <w:r>
        <w:rPr>
          <w:rFonts w:ascii="楷体" w:eastAsia="楷体" w:hAnsi="楷体" w:cs="Arial" w:hint="eastAsia"/>
          <w:szCs w:val="21"/>
        </w:rPr>
        <w:t>的产品周收益率</w:t>
      </w:r>
      <w:r w:rsidRPr="00382C66">
        <w:rPr>
          <w:rFonts w:ascii="楷体" w:eastAsia="楷体" w:hAnsi="楷体" w:cs="Arial" w:hint="eastAsia"/>
          <w:szCs w:val="21"/>
        </w:rPr>
        <w:t>在</w:t>
      </w:r>
      <w:r w:rsidRPr="00382C66">
        <w:rPr>
          <w:rFonts w:ascii="楷体" w:eastAsia="楷体" w:hAnsi="楷体" w:cs="Arial"/>
          <w:szCs w:val="21"/>
        </w:rPr>
        <w:t>4%~5%</w:t>
      </w:r>
      <w:r w:rsidRPr="00382C66">
        <w:rPr>
          <w:rFonts w:ascii="楷体" w:eastAsia="楷体" w:hAnsi="楷体" w:cs="Arial" w:hint="eastAsia"/>
          <w:szCs w:val="21"/>
        </w:rPr>
        <w:t>之间，</w:t>
      </w:r>
      <w:r>
        <w:rPr>
          <w:rFonts w:ascii="楷体" w:eastAsia="楷体" w:hAnsi="楷体" w:cs="Arial" w:hint="eastAsia"/>
          <w:szCs w:val="21"/>
        </w:rPr>
        <w:t>约占</w:t>
      </w:r>
      <w:r w:rsidRPr="00382C66">
        <w:rPr>
          <w:rFonts w:ascii="楷体" w:eastAsia="楷体" w:hAnsi="楷体" w:cs="Arial"/>
          <w:szCs w:val="21"/>
        </w:rPr>
        <w:t>40%</w:t>
      </w:r>
      <w:r w:rsidRPr="00382C66">
        <w:rPr>
          <w:rFonts w:ascii="楷体" w:eastAsia="楷体" w:hAnsi="楷体" w:cs="Arial" w:hint="eastAsia"/>
          <w:szCs w:val="21"/>
        </w:rPr>
        <w:t>的产品在</w:t>
      </w:r>
      <w:r w:rsidRPr="00382C66">
        <w:rPr>
          <w:rFonts w:ascii="楷体" w:eastAsia="楷体" w:hAnsi="楷体" w:cs="Arial"/>
          <w:szCs w:val="21"/>
        </w:rPr>
        <w:t>3%~4%</w:t>
      </w:r>
      <w:r w:rsidRPr="00382C66">
        <w:rPr>
          <w:rFonts w:ascii="楷体" w:eastAsia="楷体" w:hAnsi="楷体" w:cs="Arial" w:hint="eastAsia"/>
          <w:szCs w:val="21"/>
        </w:rPr>
        <w:t>之间，</w:t>
      </w:r>
      <w:r>
        <w:rPr>
          <w:rFonts w:ascii="楷体" w:eastAsia="楷体" w:hAnsi="楷体" w:cs="Arial" w:hint="eastAsia"/>
          <w:szCs w:val="21"/>
        </w:rPr>
        <w:t>而占</w:t>
      </w:r>
      <w:r w:rsidRPr="00382C66">
        <w:rPr>
          <w:rFonts w:ascii="楷体" w:eastAsia="楷体" w:hAnsi="楷体" w:cs="Arial"/>
          <w:szCs w:val="21"/>
        </w:rPr>
        <w:t>25%</w:t>
      </w:r>
      <w:r w:rsidRPr="00382C66">
        <w:rPr>
          <w:rFonts w:ascii="楷体" w:eastAsia="楷体" w:hAnsi="楷体" w:cs="Arial" w:hint="eastAsia"/>
          <w:szCs w:val="21"/>
        </w:rPr>
        <w:t>的产品在</w:t>
      </w:r>
      <w:r w:rsidRPr="00382C66">
        <w:rPr>
          <w:rFonts w:ascii="楷体" w:eastAsia="楷体" w:hAnsi="楷体" w:cs="Arial"/>
          <w:szCs w:val="21"/>
        </w:rPr>
        <w:t>2%~3%</w:t>
      </w:r>
      <w:r w:rsidRPr="00382C66">
        <w:rPr>
          <w:rFonts w:ascii="楷体" w:eastAsia="楷体" w:hAnsi="楷体" w:cs="Arial" w:hint="eastAsia"/>
          <w:szCs w:val="21"/>
        </w:rPr>
        <w:t>之间。富国医疗保健行业</w:t>
      </w:r>
      <w:r>
        <w:rPr>
          <w:rFonts w:ascii="楷体" w:eastAsia="楷体" w:hAnsi="楷体" w:cs="Arial" w:hint="eastAsia"/>
          <w:szCs w:val="21"/>
        </w:rPr>
        <w:t>（</w:t>
      </w:r>
      <w:r w:rsidRPr="00382C66">
        <w:rPr>
          <w:rFonts w:ascii="楷体" w:eastAsia="楷体" w:hAnsi="楷体" w:cs="Arial"/>
          <w:szCs w:val="21"/>
        </w:rPr>
        <w:t>7.8%</w:t>
      </w:r>
      <w:r>
        <w:rPr>
          <w:rFonts w:ascii="楷体" w:eastAsia="楷体" w:hAnsi="楷体" w:cs="Arial" w:hint="eastAsia"/>
          <w:szCs w:val="21"/>
        </w:rPr>
        <w:t>）排名第一</w:t>
      </w:r>
      <w:r w:rsidRPr="00382C66">
        <w:rPr>
          <w:rFonts w:ascii="楷体" w:eastAsia="楷体" w:hAnsi="楷体" w:cs="Arial" w:hint="eastAsia"/>
          <w:szCs w:val="21"/>
        </w:rPr>
        <w:t>，</w:t>
      </w:r>
      <w:r>
        <w:rPr>
          <w:rFonts w:ascii="楷体" w:eastAsia="楷体" w:hAnsi="楷体" w:cs="Arial" w:hint="eastAsia"/>
          <w:szCs w:val="21"/>
        </w:rPr>
        <w:t>大摩主题优选（</w:t>
      </w:r>
      <w:r w:rsidRPr="00382C66">
        <w:rPr>
          <w:rFonts w:ascii="楷体" w:eastAsia="楷体" w:hAnsi="楷体" w:cs="Arial"/>
          <w:szCs w:val="21"/>
        </w:rPr>
        <w:t>6.83%</w:t>
      </w:r>
      <w:r>
        <w:rPr>
          <w:rFonts w:ascii="楷体" w:eastAsia="楷体" w:hAnsi="楷体" w:cs="Arial" w:hint="eastAsia"/>
          <w:szCs w:val="21"/>
        </w:rPr>
        <w:t>）随后</w:t>
      </w:r>
      <w:r w:rsidRPr="00382C66">
        <w:rPr>
          <w:rFonts w:ascii="楷体" w:eastAsia="楷体" w:hAnsi="楷体" w:cs="Arial" w:hint="eastAsia"/>
          <w:szCs w:val="21"/>
        </w:rPr>
        <w:t>。</w:t>
      </w:r>
      <w:r w:rsidRPr="00382C66">
        <w:rPr>
          <w:rFonts w:ascii="楷体" w:eastAsia="楷体" w:hAnsi="楷体" w:cs="Arial"/>
          <w:szCs w:val="21"/>
        </w:rPr>
        <w:t>257</w:t>
      </w:r>
      <w:r w:rsidRPr="00382C66">
        <w:rPr>
          <w:rFonts w:ascii="楷体" w:eastAsia="楷体" w:hAnsi="楷体" w:cs="Arial" w:hint="eastAsia"/>
          <w:szCs w:val="21"/>
        </w:rPr>
        <w:t>只股票</w:t>
      </w:r>
      <w:r w:rsidRPr="00382C66">
        <w:rPr>
          <w:rFonts w:ascii="楷体" w:eastAsia="楷体" w:hAnsi="楷体" w:cs="Arial"/>
          <w:szCs w:val="21"/>
        </w:rPr>
        <w:t>-</w:t>
      </w:r>
      <w:r w:rsidRPr="00382C66">
        <w:rPr>
          <w:rFonts w:ascii="楷体" w:eastAsia="楷体" w:hAnsi="楷体" w:cs="Arial" w:hint="eastAsia"/>
          <w:szCs w:val="21"/>
        </w:rPr>
        <w:t>指数型基金全数上涨，最小涨幅为</w:t>
      </w:r>
      <w:r w:rsidRPr="00382C66">
        <w:rPr>
          <w:rFonts w:ascii="楷体" w:eastAsia="楷体" w:hAnsi="楷体" w:cs="Arial"/>
          <w:szCs w:val="21"/>
        </w:rPr>
        <w:t>1.27%</w:t>
      </w:r>
      <w:r w:rsidRPr="00382C66">
        <w:rPr>
          <w:rFonts w:ascii="楷体" w:eastAsia="楷体" w:hAnsi="楷体" w:cs="Arial" w:hint="eastAsia"/>
          <w:szCs w:val="21"/>
        </w:rPr>
        <w:t>，最大涨幅为</w:t>
      </w:r>
      <w:r w:rsidRPr="00382C66">
        <w:rPr>
          <w:rFonts w:ascii="楷体" w:eastAsia="楷体" w:hAnsi="楷体" w:hint="eastAsia"/>
          <w:szCs w:val="21"/>
        </w:rPr>
        <w:t>南方小康产业</w:t>
      </w:r>
      <w:r w:rsidRPr="00382C66">
        <w:rPr>
          <w:rFonts w:ascii="楷体" w:eastAsia="楷体" w:hAnsi="楷体"/>
          <w:szCs w:val="21"/>
        </w:rPr>
        <w:t>ETF</w:t>
      </w:r>
      <w:r>
        <w:rPr>
          <w:rFonts w:ascii="楷体" w:eastAsia="楷体" w:hAnsi="楷体" w:hint="eastAsia"/>
          <w:szCs w:val="21"/>
        </w:rPr>
        <w:t>的</w:t>
      </w:r>
      <w:r w:rsidRPr="00382C66">
        <w:rPr>
          <w:rFonts w:ascii="楷体" w:eastAsia="楷体" w:hAnsi="楷体"/>
          <w:szCs w:val="21"/>
        </w:rPr>
        <w:t>6.70%</w:t>
      </w:r>
      <w:r w:rsidRPr="00382C66">
        <w:rPr>
          <w:rFonts w:ascii="楷体" w:eastAsia="楷体" w:hAnsi="楷体" w:hint="eastAsia"/>
          <w:szCs w:val="21"/>
        </w:rPr>
        <w:t>。</w:t>
      </w:r>
      <w:r>
        <w:rPr>
          <w:rFonts w:ascii="楷体" w:eastAsia="楷体" w:hAnsi="楷体" w:hint="eastAsia"/>
          <w:szCs w:val="21"/>
        </w:rPr>
        <w:t>其中，约占</w:t>
      </w:r>
      <w:r w:rsidRPr="00382C66">
        <w:rPr>
          <w:rFonts w:ascii="楷体" w:eastAsia="楷体" w:hAnsi="楷体" w:cs="Arial"/>
          <w:szCs w:val="21"/>
        </w:rPr>
        <w:t>23%</w:t>
      </w:r>
      <w:r w:rsidRPr="00382C66">
        <w:rPr>
          <w:rFonts w:ascii="楷体" w:eastAsia="楷体" w:hAnsi="楷体" w:cs="Arial" w:hint="eastAsia"/>
          <w:szCs w:val="21"/>
        </w:rPr>
        <w:t>的产品周回报率大于</w:t>
      </w:r>
      <w:r w:rsidRPr="00382C66">
        <w:rPr>
          <w:rFonts w:ascii="楷体" w:eastAsia="楷体" w:hAnsi="楷体" w:cs="Arial"/>
          <w:szCs w:val="21"/>
        </w:rPr>
        <w:t>5%</w:t>
      </w:r>
      <w:r w:rsidRPr="00382C66">
        <w:rPr>
          <w:rFonts w:ascii="楷体" w:eastAsia="楷体" w:hAnsi="楷体" w:cs="Arial" w:hint="eastAsia"/>
          <w:szCs w:val="21"/>
        </w:rPr>
        <w:t>，</w:t>
      </w:r>
      <w:r w:rsidRPr="00382C66">
        <w:rPr>
          <w:rFonts w:ascii="楷体" w:eastAsia="楷体" w:hAnsi="楷体" w:cs="Arial"/>
          <w:szCs w:val="21"/>
        </w:rPr>
        <w:t>43%</w:t>
      </w:r>
      <w:r w:rsidRPr="00382C66">
        <w:rPr>
          <w:rFonts w:ascii="楷体" w:eastAsia="楷体" w:hAnsi="楷体" w:cs="Arial" w:hint="eastAsia"/>
          <w:szCs w:val="21"/>
        </w:rPr>
        <w:t>的产品周回报率在</w:t>
      </w:r>
      <w:r w:rsidRPr="00382C66">
        <w:rPr>
          <w:rFonts w:ascii="楷体" w:eastAsia="楷体" w:hAnsi="楷体" w:cs="Arial"/>
          <w:szCs w:val="21"/>
        </w:rPr>
        <w:t>4%~5%</w:t>
      </w:r>
      <w:r w:rsidRPr="00382C66">
        <w:rPr>
          <w:rFonts w:ascii="楷体" w:eastAsia="楷体" w:hAnsi="楷体" w:cs="Arial" w:hint="eastAsia"/>
          <w:szCs w:val="21"/>
        </w:rPr>
        <w:t>之间，</w:t>
      </w:r>
      <w:r w:rsidRPr="00382C66">
        <w:rPr>
          <w:rFonts w:ascii="楷体" w:eastAsia="楷体" w:hAnsi="楷体" w:cs="Arial"/>
          <w:szCs w:val="21"/>
        </w:rPr>
        <w:t>20%</w:t>
      </w:r>
      <w:r w:rsidRPr="00382C66">
        <w:rPr>
          <w:rFonts w:ascii="楷体" w:eastAsia="楷体" w:hAnsi="楷体" w:cs="Arial" w:hint="eastAsia"/>
          <w:szCs w:val="21"/>
        </w:rPr>
        <w:t>的产品在</w:t>
      </w:r>
      <w:r w:rsidRPr="00382C66">
        <w:rPr>
          <w:rFonts w:ascii="楷体" w:eastAsia="楷体" w:hAnsi="楷体" w:cs="Arial"/>
          <w:szCs w:val="21"/>
        </w:rPr>
        <w:t>3%~4%</w:t>
      </w:r>
      <w:r w:rsidRPr="00382C66">
        <w:rPr>
          <w:rFonts w:ascii="楷体" w:eastAsia="楷体" w:hAnsi="楷体" w:cs="Arial" w:hint="eastAsia"/>
          <w:szCs w:val="21"/>
        </w:rPr>
        <w:t>之间</w:t>
      </w:r>
      <w:r>
        <w:rPr>
          <w:rFonts w:ascii="楷体" w:eastAsia="楷体" w:hAnsi="楷体" w:cs="Arial" w:hint="eastAsia"/>
          <w:szCs w:val="21"/>
        </w:rPr>
        <w:t>。</w:t>
      </w:r>
      <w:r w:rsidRPr="001D293B">
        <w:rPr>
          <w:rFonts w:ascii="楷体" w:eastAsia="楷体" w:hAnsi="楷体" w:cs="Arial"/>
          <w:szCs w:val="21"/>
        </w:rPr>
        <w:t xml:space="preserve"> </w:t>
      </w:r>
    </w:p>
    <w:p w:rsidR="00D41032" w:rsidRPr="00382C66" w:rsidRDefault="00D41032" w:rsidP="006608E2">
      <w:pPr>
        <w:pStyle w:val="BodyText"/>
        <w:numPr>
          <w:ilvl w:val="5"/>
          <w:numId w:val="2"/>
        </w:numPr>
        <w:spacing w:after="163"/>
        <w:ind w:left="4140" w:hanging="369"/>
        <w:rPr>
          <w:rFonts w:ascii="楷体" w:eastAsia="楷体" w:hAnsi="楷体" w:cs="Arial"/>
          <w:szCs w:val="21"/>
        </w:rPr>
      </w:pPr>
      <w:r w:rsidRPr="00382C66">
        <w:rPr>
          <w:rFonts w:ascii="楷体" w:eastAsia="楷体" w:hAnsi="楷体" w:cs="Arial"/>
          <w:szCs w:val="21"/>
        </w:rPr>
        <w:t>287</w:t>
      </w:r>
      <w:r>
        <w:rPr>
          <w:rFonts w:ascii="楷体" w:eastAsia="楷体" w:hAnsi="楷体" w:cs="Arial" w:hint="eastAsia"/>
          <w:szCs w:val="21"/>
        </w:rPr>
        <w:t>只混合型基金仅一只微跌，分类来看，</w:t>
      </w:r>
      <w:r w:rsidRPr="00382C66">
        <w:rPr>
          <w:rFonts w:ascii="楷体" w:eastAsia="楷体" w:hAnsi="楷体" w:cs="Arial" w:hint="eastAsia"/>
          <w:szCs w:val="21"/>
        </w:rPr>
        <w:t>混合</w:t>
      </w:r>
      <w:r w:rsidRPr="00382C66">
        <w:rPr>
          <w:rFonts w:ascii="楷体" w:eastAsia="楷体" w:hAnsi="楷体" w:cs="Arial"/>
          <w:szCs w:val="21"/>
        </w:rPr>
        <w:t>-</w:t>
      </w:r>
      <w:r w:rsidRPr="00382C66">
        <w:rPr>
          <w:rFonts w:ascii="楷体" w:eastAsia="楷体" w:hAnsi="楷体" w:cs="Arial" w:hint="eastAsia"/>
          <w:szCs w:val="21"/>
        </w:rPr>
        <w:t>灵活型平均周回报率为</w:t>
      </w:r>
      <w:r w:rsidRPr="00382C66">
        <w:rPr>
          <w:rFonts w:ascii="楷体" w:eastAsia="楷体" w:hAnsi="楷体" w:cs="Arial"/>
          <w:szCs w:val="21"/>
        </w:rPr>
        <w:t>2.77%</w:t>
      </w:r>
      <w:r w:rsidRPr="00382C66">
        <w:rPr>
          <w:rFonts w:ascii="楷体" w:eastAsia="楷体" w:hAnsi="楷体" w:cs="Arial" w:hint="eastAsia"/>
          <w:szCs w:val="21"/>
        </w:rPr>
        <w:t>，混合</w:t>
      </w:r>
      <w:r w:rsidRPr="00382C66">
        <w:rPr>
          <w:rFonts w:ascii="楷体" w:eastAsia="楷体" w:hAnsi="楷体" w:cs="Arial"/>
          <w:szCs w:val="21"/>
        </w:rPr>
        <w:t>-</w:t>
      </w:r>
      <w:r w:rsidRPr="00382C66">
        <w:rPr>
          <w:rFonts w:ascii="楷体" w:eastAsia="楷体" w:hAnsi="楷体" w:cs="Arial" w:hint="eastAsia"/>
          <w:szCs w:val="21"/>
        </w:rPr>
        <w:t>偏股型</w:t>
      </w:r>
      <w:r>
        <w:rPr>
          <w:rFonts w:ascii="楷体" w:eastAsia="楷体" w:hAnsi="楷体" w:cs="Arial" w:hint="eastAsia"/>
          <w:szCs w:val="21"/>
        </w:rPr>
        <w:t>为</w:t>
      </w:r>
      <w:r w:rsidRPr="00382C66">
        <w:rPr>
          <w:rFonts w:ascii="楷体" w:eastAsia="楷体" w:hAnsi="楷体" w:cs="Arial"/>
          <w:szCs w:val="21"/>
        </w:rPr>
        <w:t>2.67%</w:t>
      </w:r>
      <w:r w:rsidRPr="00382C66">
        <w:rPr>
          <w:rFonts w:ascii="楷体" w:eastAsia="楷体" w:hAnsi="楷体" w:cs="Arial" w:hint="eastAsia"/>
          <w:szCs w:val="21"/>
        </w:rPr>
        <w:t>，混合</w:t>
      </w:r>
      <w:r w:rsidRPr="00382C66">
        <w:rPr>
          <w:rFonts w:ascii="楷体" w:eastAsia="楷体" w:hAnsi="楷体" w:cs="Arial"/>
          <w:szCs w:val="21"/>
        </w:rPr>
        <w:t>-</w:t>
      </w:r>
      <w:r w:rsidRPr="00382C66">
        <w:rPr>
          <w:rFonts w:ascii="楷体" w:eastAsia="楷体" w:hAnsi="楷体" w:cs="Arial" w:hint="eastAsia"/>
          <w:szCs w:val="21"/>
        </w:rPr>
        <w:t>偏债型</w:t>
      </w:r>
      <w:r>
        <w:rPr>
          <w:rFonts w:ascii="楷体" w:eastAsia="楷体" w:hAnsi="楷体" w:cs="Arial" w:hint="eastAsia"/>
          <w:szCs w:val="21"/>
        </w:rPr>
        <w:t>为</w:t>
      </w:r>
      <w:r w:rsidRPr="00382C66">
        <w:rPr>
          <w:rFonts w:ascii="楷体" w:eastAsia="楷体" w:hAnsi="楷体" w:cs="Arial"/>
          <w:szCs w:val="21"/>
        </w:rPr>
        <w:t>1.95%</w:t>
      </w:r>
      <w:r w:rsidRPr="00382C66">
        <w:rPr>
          <w:rFonts w:ascii="楷体" w:eastAsia="楷体" w:hAnsi="楷体" w:cs="Arial" w:hint="eastAsia"/>
          <w:szCs w:val="21"/>
        </w:rPr>
        <w:t>。</w:t>
      </w:r>
      <w:r>
        <w:rPr>
          <w:rFonts w:ascii="楷体" w:eastAsia="楷体" w:hAnsi="楷体" w:cs="Arial" w:hint="eastAsia"/>
          <w:szCs w:val="21"/>
        </w:rPr>
        <w:t>然而，</w:t>
      </w:r>
      <w:r w:rsidRPr="00382C66">
        <w:rPr>
          <w:rFonts w:ascii="楷体" w:eastAsia="楷体" w:hAnsi="楷体" w:cs="Arial" w:hint="eastAsia"/>
          <w:szCs w:val="21"/>
        </w:rPr>
        <w:t>混合</w:t>
      </w:r>
      <w:r w:rsidRPr="00382C66">
        <w:rPr>
          <w:rFonts w:ascii="楷体" w:eastAsia="楷体" w:hAnsi="楷体" w:cs="Arial"/>
          <w:szCs w:val="21"/>
        </w:rPr>
        <w:t>-</w:t>
      </w:r>
      <w:r>
        <w:rPr>
          <w:rFonts w:ascii="楷体" w:eastAsia="楷体" w:hAnsi="楷体" w:cs="Arial" w:hint="eastAsia"/>
          <w:szCs w:val="21"/>
        </w:rPr>
        <w:t>偏股型</w:t>
      </w:r>
      <w:r w:rsidRPr="00382C66">
        <w:rPr>
          <w:rFonts w:ascii="楷体" w:eastAsia="楷体" w:hAnsi="楷体" w:cs="Arial" w:hint="eastAsia"/>
          <w:szCs w:val="21"/>
        </w:rPr>
        <w:t>与混合</w:t>
      </w:r>
      <w:r w:rsidRPr="00382C66">
        <w:rPr>
          <w:rFonts w:ascii="楷体" w:eastAsia="楷体" w:hAnsi="楷体" w:cs="Arial"/>
          <w:szCs w:val="21"/>
        </w:rPr>
        <w:t>-</w:t>
      </w:r>
      <w:r>
        <w:rPr>
          <w:rFonts w:ascii="楷体" w:eastAsia="楷体" w:hAnsi="楷体" w:cs="Arial" w:hint="eastAsia"/>
          <w:szCs w:val="21"/>
        </w:rPr>
        <w:t>偏债型产品业绩分化严重。</w:t>
      </w:r>
      <w:r w:rsidRPr="00382C66">
        <w:rPr>
          <w:rFonts w:ascii="楷体" w:eastAsia="楷体" w:hAnsi="楷体" w:cs="Arial"/>
          <w:szCs w:val="21"/>
        </w:rPr>
        <w:t>35</w:t>
      </w:r>
      <w:r w:rsidRPr="00382C66">
        <w:rPr>
          <w:rFonts w:ascii="楷体" w:eastAsia="楷体" w:hAnsi="楷体" w:cs="Arial" w:hint="eastAsia"/>
          <w:szCs w:val="21"/>
        </w:rPr>
        <w:t>只偏股型基金中最高收益为</w:t>
      </w:r>
      <w:r w:rsidRPr="00382C66">
        <w:rPr>
          <w:rFonts w:ascii="楷体" w:eastAsia="楷体" w:hAnsi="楷体" w:hint="eastAsia"/>
          <w:szCs w:val="21"/>
        </w:rPr>
        <w:t>泰达宏利效率优选的</w:t>
      </w:r>
      <w:r w:rsidRPr="00382C66">
        <w:rPr>
          <w:rFonts w:ascii="楷体" w:eastAsia="楷体" w:hAnsi="楷体"/>
          <w:szCs w:val="21"/>
        </w:rPr>
        <w:t>5.17%</w:t>
      </w:r>
      <w:r w:rsidRPr="00382C66">
        <w:rPr>
          <w:rFonts w:ascii="楷体" w:eastAsia="楷体" w:hAnsi="楷体" w:hint="eastAsia"/>
          <w:szCs w:val="21"/>
        </w:rPr>
        <w:t>，最低收益为</w:t>
      </w:r>
      <w:r w:rsidRPr="00382C66">
        <w:rPr>
          <w:rFonts w:ascii="楷体" w:eastAsia="楷体" w:hAnsi="楷体"/>
          <w:szCs w:val="21"/>
        </w:rPr>
        <w:t>0.78%</w:t>
      </w:r>
      <w:r>
        <w:rPr>
          <w:rFonts w:ascii="楷体" w:eastAsia="楷体" w:hAnsi="楷体" w:hint="eastAsia"/>
          <w:szCs w:val="21"/>
        </w:rPr>
        <w:t>。</w:t>
      </w:r>
      <w:r w:rsidRPr="00382C66">
        <w:rPr>
          <w:rFonts w:ascii="楷体" w:eastAsia="楷体" w:hAnsi="楷体" w:hint="eastAsia"/>
          <w:szCs w:val="21"/>
        </w:rPr>
        <w:t>偏债型基金中，最高收益为兴全可转债的</w:t>
      </w:r>
      <w:r w:rsidRPr="00382C66">
        <w:rPr>
          <w:rFonts w:ascii="楷体" w:eastAsia="楷体" w:hAnsi="楷体"/>
          <w:szCs w:val="21"/>
        </w:rPr>
        <w:t>5.26%</w:t>
      </w:r>
      <w:r w:rsidRPr="00382C66">
        <w:rPr>
          <w:rFonts w:ascii="楷体" w:eastAsia="楷体" w:hAnsi="楷体" w:hint="eastAsia"/>
          <w:szCs w:val="21"/>
        </w:rPr>
        <w:t>，最低收益为</w:t>
      </w:r>
      <w:r w:rsidRPr="00382C66">
        <w:rPr>
          <w:rFonts w:ascii="楷体" w:eastAsia="楷体" w:hAnsi="楷体"/>
          <w:szCs w:val="21"/>
        </w:rPr>
        <w:t>0.3%</w:t>
      </w:r>
      <w:r w:rsidRPr="00382C66">
        <w:rPr>
          <w:rFonts w:ascii="楷体" w:eastAsia="楷体" w:hAnsi="楷体" w:hint="eastAsia"/>
          <w:szCs w:val="21"/>
        </w:rPr>
        <w:t>。</w:t>
      </w:r>
    </w:p>
    <w:p w:rsidR="00D41032" w:rsidRPr="00DF0CB3" w:rsidRDefault="00D41032" w:rsidP="00DF0CB3">
      <w:pPr>
        <w:pStyle w:val="BodyText"/>
        <w:numPr>
          <w:ilvl w:val="4"/>
          <w:numId w:val="1"/>
        </w:numPr>
        <w:spacing w:after="163"/>
        <w:rPr>
          <w:rFonts w:ascii="楷体" w:eastAsia="楷体" w:hAnsi="楷体" w:cs="Arial"/>
          <w:szCs w:val="21"/>
        </w:rPr>
      </w:pPr>
      <w:r w:rsidRPr="0095741E">
        <w:rPr>
          <w:rFonts w:ascii="楷体" w:eastAsia="楷体" w:hAnsi="楷体" w:cs="Arial"/>
          <w:szCs w:val="21"/>
        </w:rPr>
        <w:t>91</w:t>
      </w:r>
      <w:r w:rsidRPr="0095741E">
        <w:rPr>
          <w:rFonts w:ascii="楷体" w:eastAsia="楷体" w:hAnsi="楷体" w:cs="Arial" w:hint="eastAsia"/>
          <w:szCs w:val="21"/>
        </w:rPr>
        <w:t>只</w:t>
      </w:r>
      <w:r w:rsidRPr="0095741E">
        <w:rPr>
          <w:rFonts w:ascii="楷体" w:eastAsia="楷体" w:hAnsi="楷体" w:cs="Arial"/>
          <w:szCs w:val="21"/>
        </w:rPr>
        <w:t>QDII</w:t>
      </w:r>
      <w:r w:rsidRPr="0095741E">
        <w:rPr>
          <w:rFonts w:ascii="楷体" w:eastAsia="楷体" w:hAnsi="楷体" w:cs="Arial" w:hint="eastAsia"/>
          <w:szCs w:val="21"/>
        </w:rPr>
        <w:t>基金平均周收益率为</w:t>
      </w:r>
      <w:r>
        <w:rPr>
          <w:rFonts w:ascii="楷体" w:eastAsia="楷体" w:hAnsi="楷体" w:cs="Arial"/>
          <w:szCs w:val="21"/>
        </w:rPr>
        <w:t>0.99</w:t>
      </w:r>
      <w:r w:rsidRPr="0095741E">
        <w:rPr>
          <w:rFonts w:ascii="楷体" w:eastAsia="楷体" w:hAnsi="楷体" w:cs="Arial"/>
          <w:szCs w:val="21"/>
        </w:rPr>
        <w:t>%</w:t>
      </w:r>
      <w:r>
        <w:rPr>
          <w:rFonts w:ascii="楷体" w:eastAsia="楷体" w:hAnsi="楷体" w:cs="Arial"/>
          <w:szCs w:val="21"/>
        </w:rPr>
        <w:t>,</w:t>
      </w:r>
      <w:r>
        <w:rPr>
          <w:rFonts w:ascii="楷体" w:eastAsia="楷体" w:hAnsi="楷体" w:cs="Arial" w:hint="eastAsia"/>
          <w:szCs w:val="21"/>
        </w:rPr>
        <w:t>较前周（</w:t>
      </w:r>
      <w:r>
        <w:rPr>
          <w:rFonts w:ascii="楷体" w:eastAsia="楷体" w:hAnsi="楷体" w:cs="Arial"/>
          <w:szCs w:val="21"/>
        </w:rPr>
        <w:t>2.41%</w:t>
      </w:r>
      <w:r>
        <w:rPr>
          <w:rFonts w:ascii="楷体" w:eastAsia="楷体" w:hAnsi="楷体" w:cs="Arial" w:hint="eastAsia"/>
          <w:szCs w:val="21"/>
        </w:rPr>
        <w:t>）收窄。领涨风格多样，业绩前十名包括</w:t>
      </w:r>
      <w:r>
        <w:rPr>
          <w:rFonts w:ascii="楷体" w:eastAsia="楷体" w:hAnsi="楷体" w:cs="Arial"/>
          <w:szCs w:val="21"/>
        </w:rPr>
        <w:t>3</w:t>
      </w:r>
      <w:r>
        <w:rPr>
          <w:rFonts w:ascii="楷体" w:eastAsia="楷体" w:hAnsi="楷体" w:cs="Arial" w:hint="eastAsia"/>
          <w:szCs w:val="21"/>
        </w:rPr>
        <w:t>只新兴市场基金，</w:t>
      </w:r>
      <w:r>
        <w:rPr>
          <w:rFonts w:ascii="楷体" w:eastAsia="楷体" w:hAnsi="楷体" w:cs="Arial"/>
          <w:szCs w:val="21"/>
        </w:rPr>
        <w:t>3</w:t>
      </w:r>
      <w:r>
        <w:rPr>
          <w:rFonts w:ascii="楷体" w:eastAsia="楷体" w:hAnsi="楷体" w:cs="Arial" w:hint="eastAsia"/>
          <w:szCs w:val="21"/>
        </w:rPr>
        <w:t>只美股基金，</w:t>
      </w:r>
      <w:r>
        <w:rPr>
          <w:rFonts w:ascii="楷体" w:eastAsia="楷体" w:hAnsi="楷体" w:cs="Arial"/>
          <w:szCs w:val="21"/>
        </w:rPr>
        <w:t>2</w:t>
      </w:r>
      <w:r>
        <w:rPr>
          <w:rFonts w:ascii="楷体" w:eastAsia="楷体" w:hAnsi="楷体" w:cs="Arial" w:hint="eastAsia"/>
          <w:szCs w:val="21"/>
        </w:rPr>
        <w:t>只行业基金，</w:t>
      </w:r>
      <w:r>
        <w:rPr>
          <w:rFonts w:ascii="楷体" w:eastAsia="楷体" w:hAnsi="楷体" w:cs="Arial"/>
          <w:szCs w:val="21"/>
        </w:rPr>
        <w:t>1</w:t>
      </w:r>
      <w:r>
        <w:rPr>
          <w:rFonts w:ascii="楷体" w:eastAsia="楷体" w:hAnsi="楷体" w:cs="Arial" w:hint="eastAsia"/>
          <w:szCs w:val="21"/>
        </w:rPr>
        <w:t>只全球行业基金和</w:t>
      </w:r>
      <w:r>
        <w:rPr>
          <w:rFonts w:ascii="楷体" w:eastAsia="楷体" w:hAnsi="楷体" w:cs="Arial"/>
          <w:szCs w:val="21"/>
        </w:rPr>
        <w:t>1</w:t>
      </w:r>
      <w:r>
        <w:rPr>
          <w:rFonts w:ascii="楷体" w:eastAsia="楷体" w:hAnsi="楷体" w:cs="Arial" w:hint="eastAsia"/>
          <w:szCs w:val="21"/>
        </w:rPr>
        <w:t>只</w:t>
      </w:r>
      <w:r w:rsidRPr="00DF0CB3">
        <w:rPr>
          <w:rFonts w:ascii="楷体" w:eastAsia="楷体" w:hAnsi="楷体" w:cs="Arial"/>
          <w:szCs w:val="21"/>
        </w:rPr>
        <w:t>QDII</w:t>
      </w:r>
      <w:r w:rsidRPr="00DF0CB3">
        <w:rPr>
          <w:rFonts w:ascii="楷体" w:eastAsia="楷体" w:hAnsi="楷体" w:cs="Arial" w:hint="eastAsia"/>
          <w:szCs w:val="21"/>
        </w:rPr>
        <w:t>指数分级</w:t>
      </w:r>
      <w:r w:rsidRPr="00DF0CB3">
        <w:rPr>
          <w:rFonts w:ascii="楷体" w:eastAsia="楷体" w:hAnsi="楷体" w:cs="Arial"/>
          <w:szCs w:val="21"/>
        </w:rPr>
        <w:t>-</w:t>
      </w:r>
      <w:r w:rsidRPr="00DF0CB3">
        <w:rPr>
          <w:rFonts w:ascii="楷体" w:eastAsia="楷体" w:hAnsi="楷体" w:cs="Arial" w:hint="eastAsia"/>
          <w:szCs w:val="21"/>
        </w:rPr>
        <w:t>积极</w:t>
      </w:r>
      <w:r>
        <w:rPr>
          <w:rFonts w:ascii="楷体" w:eastAsia="楷体" w:hAnsi="楷体" w:cs="Arial" w:hint="eastAsia"/>
          <w:szCs w:val="21"/>
        </w:rPr>
        <w:t>。新兴市场基金虽业绩排名靠前，但平均收益并无明显上涨，</w:t>
      </w:r>
      <w:r>
        <w:rPr>
          <w:rFonts w:ascii="楷体" w:eastAsia="楷体" w:hAnsi="楷体" w:cs="Arial"/>
          <w:szCs w:val="21"/>
        </w:rPr>
        <w:t>QDII</w:t>
      </w:r>
      <w:r>
        <w:rPr>
          <w:rFonts w:ascii="楷体" w:eastAsia="楷体" w:hAnsi="楷体" w:cs="Arial" w:hint="eastAsia"/>
          <w:szCs w:val="21"/>
        </w:rPr>
        <w:t>平均涨幅平平的主要原因是美股基金、行业基金、</w:t>
      </w:r>
      <w:r>
        <w:rPr>
          <w:rFonts w:ascii="楷体" w:eastAsia="楷体" w:hAnsi="楷体" w:cs="Arial"/>
          <w:szCs w:val="21"/>
        </w:rPr>
        <w:t>QDII-</w:t>
      </w:r>
      <w:r>
        <w:rPr>
          <w:rFonts w:ascii="楷体" w:eastAsia="楷体" w:hAnsi="楷体" w:cs="Arial" w:hint="eastAsia"/>
          <w:szCs w:val="21"/>
        </w:rPr>
        <w:t>债券基金的涨势平平，而</w:t>
      </w:r>
      <w:r>
        <w:rPr>
          <w:rFonts w:ascii="楷体" w:eastAsia="楷体" w:hAnsi="楷体" w:cs="Arial"/>
          <w:szCs w:val="21"/>
        </w:rPr>
        <w:t>QDII-</w:t>
      </w:r>
      <w:r>
        <w:rPr>
          <w:rFonts w:ascii="楷体" w:eastAsia="楷体" w:hAnsi="楷体" w:cs="Arial" w:hint="eastAsia"/>
          <w:szCs w:val="21"/>
        </w:rPr>
        <w:t>商品的跌幅较大。</w:t>
      </w:r>
    </w:p>
    <w:p w:rsidR="00D41032" w:rsidRPr="001A4657" w:rsidRDefault="00D41032" w:rsidP="00DD65C9">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w:t>
      </w:r>
      <w:r w:rsidRPr="003B6A6A">
        <w:rPr>
          <w:rFonts w:ascii="楷体" w:eastAsia="楷体" w:hAnsi="楷体" w:hint="eastAsia"/>
          <w:b/>
          <w:bCs/>
          <w:color w:val="0070C0"/>
          <w:kern w:val="0"/>
          <w:szCs w:val="21"/>
          <w:lang w:val="en-GB"/>
        </w:rPr>
        <w:t>收</w:t>
      </w:r>
      <w:r w:rsidRPr="005B7CDB">
        <w:rPr>
          <w:rFonts w:ascii="楷体" w:eastAsia="楷体" w:hAnsi="楷体" w:hint="eastAsia"/>
          <w:b/>
          <w:bCs/>
          <w:color w:val="0070C0"/>
          <w:kern w:val="0"/>
          <w:szCs w:val="21"/>
          <w:lang w:val="en-GB"/>
        </w:rPr>
        <w:t>益类基金一周业绩：</w:t>
      </w:r>
      <w:r w:rsidRPr="00EB505F">
        <w:rPr>
          <w:rFonts w:ascii="楷体" w:eastAsia="楷体" w:hAnsi="楷体"/>
          <w:b/>
          <w:bCs/>
          <w:color w:val="0070C0"/>
          <w:kern w:val="0"/>
          <w:szCs w:val="21"/>
          <w:lang w:val="en-GB"/>
        </w:rPr>
        <w:t xml:space="preserve"> </w:t>
      </w:r>
      <w:r>
        <w:rPr>
          <w:rFonts w:ascii="楷体" w:eastAsia="楷体" w:hAnsi="楷体" w:hint="eastAsia"/>
          <w:b/>
          <w:bCs/>
          <w:color w:val="0070C0"/>
          <w:kern w:val="0"/>
          <w:szCs w:val="21"/>
          <w:lang w:val="en-GB"/>
        </w:rPr>
        <w:t>债基持续向好，货基涨幅扩大</w:t>
      </w:r>
    </w:p>
    <w:p w:rsidR="00D41032" w:rsidRPr="007752E7" w:rsidRDefault="00D41032" w:rsidP="00816256">
      <w:pPr>
        <w:pStyle w:val="BodyText"/>
        <w:numPr>
          <w:ilvl w:val="4"/>
          <w:numId w:val="1"/>
        </w:numPr>
        <w:spacing w:after="163"/>
        <w:rPr>
          <w:rFonts w:ascii="楷体" w:eastAsia="楷体" w:hAnsi="楷体" w:cs="Arial"/>
          <w:szCs w:val="21"/>
        </w:rPr>
      </w:pPr>
      <w:r w:rsidRPr="007752E7">
        <w:rPr>
          <w:rFonts w:ascii="楷体" w:eastAsia="楷体" w:hAnsi="楷体" w:cs="Arial" w:hint="eastAsia"/>
          <w:szCs w:val="21"/>
        </w:rPr>
        <w:t>上周，央行在公开市场进行两期</w:t>
      </w:r>
      <w:r w:rsidRPr="007752E7">
        <w:rPr>
          <w:rFonts w:ascii="楷体" w:eastAsia="楷体" w:hAnsi="楷体" w:cs="Arial"/>
          <w:szCs w:val="21"/>
        </w:rPr>
        <w:t>14</w:t>
      </w:r>
      <w:r w:rsidRPr="007752E7">
        <w:rPr>
          <w:rFonts w:ascii="楷体" w:eastAsia="楷体" w:hAnsi="楷体" w:cs="Arial" w:hint="eastAsia"/>
          <w:szCs w:val="21"/>
        </w:rPr>
        <w:t>天</w:t>
      </w:r>
      <w:r w:rsidRPr="007752E7">
        <w:rPr>
          <w:rFonts w:ascii="楷体" w:eastAsia="楷体" w:hAnsi="楷体" w:cs="Arial"/>
          <w:szCs w:val="21"/>
        </w:rPr>
        <w:t>200</w:t>
      </w:r>
      <w:r w:rsidRPr="007752E7">
        <w:rPr>
          <w:rFonts w:ascii="楷体" w:eastAsia="楷体" w:hAnsi="楷体" w:cs="Arial" w:hint="eastAsia"/>
          <w:szCs w:val="21"/>
        </w:rPr>
        <w:t>亿正回购，中标利率皆为</w:t>
      </w:r>
      <w:r w:rsidRPr="007752E7">
        <w:rPr>
          <w:rFonts w:ascii="楷体" w:eastAsia="楷体" w:hAnsi="楷体" w:cs="Arial"/>
          <w:szCs w:val="21"/>
        </w:rPr>
        <w:t>3.4%</w:t>
      </w:r>
      <w:r w:rsidRPr="007752E7">
        <w:rPr>
          <w:rFonts w:ascii="楷体" w:eastAsia="楷体" w:hAnsi="楷体" w:cs="Arial" w:hint="eastAsia"/>
          <w:szCs w:val="21"/>
        </w:rPr>
        <w:t>，同时，合计有</w:t>
      </w:r>
      <w:r w:rsidRPr="007752E7">
        <w:rPr>
          <w:rFonts w:ascii="楷体" w:eastAsia="楷体" w:hAnsi="楷体" w:cs="Arial"/>
          <w:szCs w:val="21"/>
        </w:rPr>
        <w:t>36</w:t>
      </w:r>
      <w:r w:rsidRPr="007752E7">
        <w:rPr>
          <w:rFonts w:ascii="楷体" w:eastAsia="楷体" w:hAnsi="楷体" w:cs="Arial" w:hint="eastAsia"/>
          <w:szCs w:val="21"/>
        </w:rPr>
        <w:t>个月央票和</w:t>
      </w:r>
      <w:r w:rsidRPr="007752E7">
        <w:rPr>
          <w:rFonts w:ascii="楷体" w:eastAsia="楷体" w:hAnsi="楷体" w:cs="Arial"/>
          <w:szCs w:val="21"/>
        </w:rPr>
        <w:t>3</w:t>
      </w:r>
      <w:r w:rsidRPr="007752E7">
        <w:rPr>
          <w:rFonts w:ascii="楷体" w:eastAsia="楷体" w:hAnsi="楷体" w:cs="Arial" w:hint="eastAsia"/>
          <w:szCs w:val="21"/>
        </w:rPr>
        <w:t>个月国库现金定存到期，实际净回笼资金为</w:t>
      </w:r>
      <w:r w:rsidRPr="007752E7">
        <w:rPr>
          <w:rFonts w:ascii="楷体" w:eastAsia="楷体" w:hAnsi="楷体" w:cs="Arial"/>
          <w:szCs w:val="21"/>
        </w:rPr>
        <w:t>500</w:t>
      </w:r>
      <w:r w:rsidRPr="007752E7">
        <w:rPr>
          <w:rFonts w:ascii="楷体" w:eastAsia="楷体" w:hAnsi="楷体" w:cs="Arial" w:hint="eastAsia"/>
          <w:szCs w:val="21"/>
        </w:rPr>
        <w:t>亿。由于新股申购和缴税等原因，后期资金面较紧张。</w:t>
      </w:r>
      <w:r w:rsidRPr="007752E7">
        <w:rPr>
          <w:rFonts w:ascii="楷体" w:eastAsia="楷体" w:hAnsi="楷体" w:cs="Arial"/>
          <w:szCs w:val="21"/>
        </w:rPr>
        <w:t xml:space="preserve"> </w:t>
      </w:r>
    </w:p>
    <w:p w:rsidR="00D41032" w:rsidRPr="003960A9" w:rsidRDefault="00D41032" w:rsidP="00816256">
      <w:pPr>
        <w:pStyle w:val="BodyText"/>
        <w:numPr>
          <w:ilvl w:val="4"/>
          <w:numId w:val="1"/>
        </w:numPr>
        <w:spacing w:after="163"/>
        <w:rPr>
          <w:rFonts w:ascii="楷体" w:eastAsia="楷体" w:hAnsi="楷体" w:cs="Arial"/>
          <w:szCs w:val="21"/>
        </w:rPr>
      </w:pPr>
      <w:r w:rsidRPr="007752E7">
        <w:rPr>
          <w:rFonts w:ascii="楷体" w:eastAsia="楷体" w:hAnsi="楷体" w:cs="Arial" w:hint="eastAsia"/>
          <w:szCs w:val="21"/>
        </w:rPr>
        <w:t>上周，债基</w:t>
      </w:r>
      <w:r>
        <w:rPr>
          <w:rFonts w:ascii="楷体" w:eastAsia="楷体" w:hAnsi="楷体" w:cs="Arial" w:hint="eastAsia"/>
          <w:szCs w:val="21"/>
        </w:rPr>
        <w:t>涨势持续向</w:t>
      </w:r>
      <w:r w:rsidRPr="007752E7">
        <w:rPr>
          <w:rFonts w:ascii="楷体" w:eastAsia="楷体" w:hAnsi="楷体" w:cs="Arial" w:hint="eastAsia"/>
          <w:szCs w:val="21"/>
        </w:rPr>
        <w:t>好，除理财债基平均周收益率保持在</w:t>
      </w:r>
      <w:r w:rsidRPr="007752E7">
        <w:rPr>
          <w:rFonts w:ascii="楷体" w:eastAsia="楷体" w:hAnsi="楷体" w:cs="Arial"/>
          <w:szCs w:val="21"/>
        </w:rPr>
        <w:t>0.09%</w:t>
      </w:r>
      <w:r w:rsidRPr="007752E7">
        <w:rPr>
          <w:rFonts w:ascii="楷体" w:eastAsia="楷体" w:hAnsi="楷体" w:cs="Arial" w:hint="eastAsia"/>
          <w:szCs w:val="21"/>
        </w:rPr>
        <w:t>外，其他各类</w:t>
      </w:r>
      <w:r>
        <w:rPr>
          <w:rFonts w:ascii="楷体" w:eastAsia="楷体" w:hAnsi="楷体" w:cs="Arial" w:hint="eastAsia"/>
          <w:szCs w:val="21"/>
        </w:rPr>
        <w:t>型</w:t>
      </w:r>
      <w:r w:rsidRPr="007752E7">
        <w:rPr>
          <w:rFonts w:ascii="楷体" w:eastAsia="楷体" w:hAnsi="楷体" w:cs="Arial" w:hint="eastAsia"/>
          <w:szCs w:val="21"/>
        </w:rPr>
        <w:t>债基涨幅</w:t>
      </w:r>
      <w:r>
        <w:rPr>
          <w:rFonts w:ascii="楷体" w:eastAsia="楷体" w:hAnsi="楷体" w:cs="Arial" w:hint="eastAsia"/>
          <w:szCs w:val="21"/>
        </w:rPr>
        <w:t>较均前一周</w:t>
      </w:r>
      <w:r w:rsidRPr="007752E7">
        <w:rPr>
          <w:rFonts w:ascii="楷体" w:eastAsia="楷体" w:hAnsi="楷体" w:cs="Arial" w:hint="eastAsia"/>
          <w:szCs w:val="21"/>
        </w:rPr>
        <w:t>均再度扩大。分类开看，可转债基收益尤其突出，平均周收益率为</w:t>
      </w:r>
      <w:r w:rsidRPr="007752E7">
        <w:rPr>
          <w:rFonts w:ascii="楷体" w:eastAsia="楷体" w:hAnsi="楷体" w:cs="Arial"/>
          <w:szCs w:val="21"/>
        </w:rPr>
        <w:t>7.35%</w:t>
      </w:r>
      <w:r w:rsidRPr="007752E7">
        <w:rPr>
          <w:rFonts w:ascii="楷体" w:eastAsia="楷体" w:hAnsi="楷体" w:cs="Arial" w:hint="eastAsia"/>
          <w:szCs w:val="21"/>
        </w:rPr>
        <w:t>，逼近股基杠杆份额的</w:t>
      </w:r>
      <w:r w:rsidRPr="007752E7">
        <w:rPr>
          <w:rFonts w:ascii="楷体" w:eastAsia="楷体" w:hAnsi="楷体" w:cs="Arial"/>
          <w:szCs w:val="21"/>
        </w:rPr>
        <w:t>7.49%</w:t>
      </w:r>
      <w:r w:rsidRPr="007752E7">
        <w:rPr>
          <w:rFonts w:ascii="楷体" w:eastAsia="楷体" w:hAnsi="楷体" w:cs="Arial" w:hint="eastAsia"/>
          <w:szCs w:val="21"/>
        </w:rPr>
        <w:t>，其中，民生加银增强收益</w:t>
      </w:r>
      <w:r w:rsidRPr="007752E7">
        <w:rPr>
          <w:rFonts w:ascii="楷体" w:eastAsia="楷体" w:hAnsi="楷体" w:cs="Arial"/>
          <w:szCs w:val="21"/>
        </w:rPr>
        <w:t>C</w:t>
      </w:r>
      <w:r w:rsidRPr="007752E7">
        <w:rPr>
          <w:rFonts w:ascii="楷体" w:eastAsia="楷体" w:hAnsi="楷体" w:cs="Arial" w:hint="eastAsia"/>
          <w:szCs w:val="21"/>
        </w:rPr>
        <w:t>份额</w:t>
      </w:r>
      <w:r>
        <w:rPr>
          <w:rFonts w:ascii="楷体" w:eastAsia="楷体" w:hAnsi="楷体" w:cs="Arial" w:hint="eastAsia"/>
          <w:szCs w:val="21"/>
        </w:rPr>
        <w:t>（</w:t>
      </w:r>
      <w:r w:rsidRPr="007752E7">
        <w:rPr>
          <w:rFonts w:ascii="楷体" w:eastAsia="楷体" w:hAnsi="楷体" w:cs="Arial"/>
          <w:szCs w:val="21"/>
        </w:rPr>
        <w:t>11.08%</w:t>
      </w:r>
      <w:r>
        <w:rPr>
          <w:rFonts w:ascii="楷体" w:eastAsia="楷体" w:hAnsi="楷体" w:cs="Arial" w:hint="eastAsia"/>
          <w:szCs w:val="21"/>
        </w:rPr>
        <w:t>）</w:t>
      </w:r>
      <w:r w:rsidRPr="007752E7">
        <w:rPr>
          <w:rFonts w:ascii="楷体" w:eastAsia="楷体" w:hAnsi="楷体" w:cs="Arial" w:hint="eastAsia"/>
          <w:szCs w:val="21"/>
        </w:rPr>
        <w:t>和</w:t>
      </w:r>
      <w:r w:rsidRPr="007752E7">
        <w:rPr>
          <w:rFonts w:ascii="楷体" w:eastAsia="楷体" w:hAnsi="楷体" w:cs="Arial"/>
          <w:szCs w:val="21"/>
        </w:rPr>
        <w:t>A</w:t>
      </w:r>
      <w:r w:rsidRPr="007752E7">
        <w:rPr>
          <w:rFonts w:ascii="楷体" w:eastAsia="楷体" w:hAnsi="楷体" w:cs="Arial" w:hint="eastAsia"/>
          <w:szCs w:val="21"/>
        </w:rPr>
        <w:t>份额</w:t>
      </w:r>
      <w:r>
        <w:rPr>
          <w:rFonts w:ascii="楷体" w:eastAsia="楷体" w:hAnsi="楷体" w:cs="Arial" w:hint="eastAsia"/>
          <w:szCs w:val="21"/>
        </w:rPr>
        <w:t>（</w:t>
      </w:r>
      <w:r w:rsidRPr="007752E7">
        <w:rPr>
          <w:rFonts w:ascii="楷体" w:eastAsia="楷体" w:hAnsi="楷体" w:cs="Arial"/>
          <w:szCs w:val="21"/>
        </w:rPr>
        <w:t>11.01%</w:t>
      </w:r>
      <w:r>
        <w:rPr>
          <w:rFonts w:ascii="楷体" w:eastAsia="楷体" w:hAnsi="楷体" w:cs="Arial" w:hint="eastAsia"/>
          <w:szCs w:val="21"/>
        </w:rPr>
        <w:t>）业绩居前</w:t>
      </w:r>
      <w:r w:rsidRPr="007752E7">
        <w:rPr>
          <w:rFonts w:ascii="楷体" w:eastAsia="楷体" w:hAnsi="楷体" w:cs="Arial" w:hint="eastAsia"/>
          <w:szCs w:val="21"/>
        </w:rPr>
        <w:t>。二级债基，一级债基和指数债基</w:t>
      </w:r>
      <w:r>
        <w:rPr>
          <w:rFonts w:ascii="楷体" w:eastAsia="楷体" w:hAnsi="楷体" w:cs="Arial" w:hint="eastAsia"/>
          <w:szCs w:val="21"/>
        </w:rPr>
        <w:t>平均收益</w:t>
      </w:r>
      <w:r w:rsidRPr="007752E7">
        <w:rPr>
          <w:rFonts w:ascii="楷体" w:eastAsia="楷体" w:hAnsi="楷体" w:cs="Arial" w:hint="eastAsia"/>
          <w:szCs w:val="21"/>
        </w:rPr>
        <w:t>依次为</w:t>
      </w:r>
      <w:r w:rsidRPr="007752E7">
        <w:rPr>
          <w:rFonts w:ascii="楷体" w:eastAsia="楷体" w:hAnsi="楷体" w:cs="Arial"/>
          <w:szCs w:val="21"/>
        </w:rPr>
        <w:t>1.75%</w:t>
      </w:r>
      <w:r w:rsidRPr="007752E7">
        <w:rPr>
          <w:rFonts w:ascii="楷体" w:eastAsia="楷体" w:hAnsi="楷体" w:cs="Arial" w:hint="eastAsia"/>
          <w:szCs w:val="21"/>
        </w:rPr>
        <w:t>，</w:t>
      </w:r>
      <w:r w:rsidRPr="007752E7">
        <w:rPr>
          <w:rFonts w:ascii="楷体" w:eastAsia="楷体" w:hAnsi="楷体" w:cs="Arial"/>
          <w:szCs w:val="21"/>
        </w:rPr>
        <w:t>1.25%</w:t>
      </w:r>
      <w:r>
        <w:rPr>
          <w:rFonts w:ascii="楷体" w:eastAsia="楷体" w:hAnsi="楷体" w:cs="Arial" w:hint="eastAsia"/>
          <w:szCs w:val="21"/>
        </w:rPr>
        <w:t>、</w:t>
      </w:r>
      <w:r w:rsidRPr="007752E7">
        <w:rPr>
          <w:rFonts w:ascii="楷体" w:eastAsia="楷体" w:hAnsi="楷体" w:cs="Arial"/>
          <w:szCs w:val="21"/>
        </w:rPr>
        <w:t>1.04%</w:t>
      </w:r>
      <w:r>
        <w:rPr>
          <w:rFonts w:ascii="楷体" w:eastAsia="楷体" w:hAnsi="楷体" w:cs="Arial" w:hint="eastAsia"/>
          <w:szCs w:val="21"/>
        </w:rPr>
        <w:t>，纯债基金平均收益</w:t>
      </w:r>
      <w:r w:rsidRPr="007752E7">
        <w:rPr>
          <w:rFonts w:ascii="楷体" w:eastAsia="楷体" w:hAnsi="楷体" w:cs="Arial"/>
          <w:szCs w:val="21"/>
        </w:rPr>
        <w:t>0.87%</w:t>
      </w:r>
      <w:r>
        <w:rPr>
          <w:rFonts w:ascii="楷体" w:eastAsia="楷体" w:hAnsi="楷体" w:cs="Arial" w:hint="eastAsia"/>
          <w:szCs w:val="21"/>
        </w:rPr>
        <w:t>。</w:t>
      </w:r>
    </w:p>
    <w:p w:rsidR="00D41032" w:rsidRPr="003B6A6A" w:rsidRDefault="00D41032" w:rsidP="00AD3504">
      <w:pPr>
        <w:pStyle w:val="BodyText"/>
        <w:numPr>
          <w:ilvl w:val="4"/>
          <w:numId w:val="1"/>
        </w:numPr>
        <w:spacing w:after="163"/>
        <w:rPr>
          <w:rFonts w:ascii="楷体" w:eastAsia="楷体" w:hAnsi="楷体" w:cs="Arial"/>
          <w:szCs w:val="21"/>
        </w:rPr>
      </w:pPr>
      <w:r w:rsidRPr="003B6A6A">
        <w:rPr>
          <w:rFonts w:ascii="楷体" w:eastAsia="楷体" w:hAnsi="楷体" w:cs="Arial"/>
          <w:szCs w:val="21"/>
        </w:rPr>
        <w:t>270</w:t>
      </w:r>
      <w:r w:rsidRPr="003B6A6A">
        <w:rPr>
          <w:rFonts w:ascii="楷体" w:eastAsia="楷体" w:hAnsi="楷体" w:cs="Arial" w:hint="eastAsia"/>
          <w:szCs w:val="21"/>
        </w:rPr>
        <w:t>只货币市场基金平均七日年化收益率为</w:t>
      </w:r>
      <w:r w:rsidRPr="003B6A6A">
        <w:rPr>
          <w:rFonts w:ascii="楷体" w:eastAsia="楷体" w:hAnsi="楷体" w:cs="Arial"/>
          <w:szCs w:val="21"/>
        </w:rPr>
        <w:t>4.65%</w:t>
      </w:r>
      <w:r w:rsidRPr="003B6A6A">
        <w:rPr>
          <w:rFonts w:ascii="楷体" w:eastAsia="楷体" w:hAnsi="楷体" w:cs="Arial" w:hint="eastAsia"/>
          <w:szCs w:val="21"/>
        </w:rPr>
        <w:t>，涨幅较前周（</w:t>
      </w:r>
      <w:r w:rsidRPr="003B6A6A">
        <w:rPr>
          <w:rFonts w:ascii="楷体" w:eastAsia="楷体" w:hAnsi="楷体" w:cs="Arial"/>
          <w:szCs w:val="21"/>
        </w:rPr>
        <w:t>4.36%</w:t>
      </w:r>
      <w:r>
        <w:rPr>
          <w:rFonts w:ascii="楷体" w:eastAsia="楷体" w:hAnsi="楷体" w:cs="Arial" w:hint="eastAsia"/>
          <w:szCs w:val="21"/>
        </w:rPr>
        <w:t>）扩大。产品收益分布较为均衡，占比四分之一的产品七日年化收益率在</w:t>
      </w:r>
      <w:r w:rsidRPr="003B6A6A">
        <w:rPr>
          <w:rFonts w:ascii="楷体" w:eastAsia="楷体" w:hAnsi="楷体" w:cs="Arial"/>
          <w:szCs w:val="21"/>
        </w:rPr>
        <w:t>5%</w:t>
      </w:r>
      <w:r w:rsidRPr="003B6A6A">
        <w:rPr>
          <w:rFonts w:ascii="楷体" w:eastAsia="楷体" w:hAnsi="楷体" w:cs="Arial" w:hint="eastAsia"/>
          <w:szCs w:val="21"/>
        </w:rPr>
        <w:t>以上，</w:t>
      </w:r>
      <w:r w:rsidRPr="003B6A6A">
        <w:rPr>
          <w:rFonts w:ascii="楷体" w:eastAsia="楷体" w:hAnsi="楷体" w:cs="Arial"/>
          <w:szCs w:val="21"/>
        </w:rPr>
        <w:t>44%</w:t>
      </w:r>
      <w:r w:rsidRPr="003B6A6A">
        <w:rPr>
          <w:rFonts w:ascii="楷体" w:eastAsia="楷体" w:hAnsi="楷体" w:cs="Arial" w:hint="eastAsia"/>
          <w:szCs w:val="21"/>
        </w:rPr>
        <w:t>的产品在</w:t>
      </w:r>
      <w:r w:rsidRPr="003B6A6A">
        <w:rPr>
          <w:rFonts w:ascii="楷体" w:eastAsia="楷体" w:hAnsi="楷体" w:cs="Arial"/>
          <w:szCs w:val="21"/>
        </w:rPr>
        <w:t>4%~5%</w:t>
      </w:r>
      <w:r w:rsidRPr="003B6A6A">
        <w:rPr>
          <w:rFonts w:ascii="楷体" w:eastAsia="楷体" w:hAnsi="楷体" w:cs="Arial" w:hint="eastAsia"/>
          <w:szCs w:val="21"/>
        </w:rPr>
        <w:t>之间，</w:t>
      </w:r>
      <w:r w:rsidRPr="003B6A6A">
        <w:rPr>
          <w:rFonts w:ascii="楷体" w:eastAsia="楷体" w:hAnsi="楷体" w:cs="Arial"/>
          <w:szCs w:val="21"/>
        </w:rPr>
        <w:t>27%</w:t>
      </w:r>
      <w:r w:rsidRPr="003B6A6A">
        <w:rPr>
          <w:rFonts w:ascii="楷体" w:eastAsia="楷体" w:hAnsi="楷体" w:cs="Arial" w:hint="eastAsia"/>
          <w:szCs w:val="21"/>
        </w:rPr>
        <w:t>的产品收益在</w:t>
      </w:r>
      <w:r w:rsidRPr="003B6A6A">
        <w:rPr>
          <w:rFonts w:ascii="楷体" w:eastAsia="楷体" w:hAnsi="楷体" w:cs="Arial"/>
          <w:szCs w:val="21"/>
        </w:rPr>
        <w:t>3%~4%</w:t>
      </w:r>
      <w:r w:rsidRPr="003B6A6A">
        <w:rPr>
          <w:rFonts w:ascii="楷体" w:eastAsia="楷体" w:hAnsi="楷体" w:cs="Arial" w:hint="eastAsia"/>
          <w:szCs w:val="21"/>
        </w:rPr>
        <w:t>之间。</w:t>
      </w:r>
    </w:p>
    <w:p w:rsidR="00D41032" w:rsidRPr="00F2533C" w:rsidRDefault="00D41032" w:rsidP="00F2533C">
      <w:pPr>
        <w:widowControl/>
        <w:spacing w:after="120"/>
        <w:ind w:left="3430"/>
        <w:rPr>
          <w:rFonts w:ascii="楷体" w:eastAsia="楷体" w:hAnsi="楷体"/>
          <w:b/>
          <w:bCs/>
          <w:color w:val="0070C0"/>
          <w:kern w:val="0"/>
          <w:szCs w:val="21"/>
          <w:lang w:val="en-GB"/>
        </w:rPr>
      </w:pPr>
      <w:r w:rsidRPr="00EB505F">
        <w:rPr>
          <w:rFonts w:ascii="楷体" w:eastAsia="楷体" w:hAnsi="楷体" w:hint="eastAsia"/>
          <w:b/>
          <w:bCs/>
          <w:color w:val="0070C0"/>
          <w:kern w:val="0"/>
          <w:szCs w:val="21"/>
          <w:lang w:val="en-GB"/>
        </w:rPr>
        <w:t>分级基金子份额一周业绩：</w:t>
      </w:r>
      <w:r>
        <w:rPr>
          <w:rFonts w:ascii="楷体" w:eastAsia="楷体" w:hAnsi="楷体" w:hint="eastAsia"/>
          <w:b/>
          <w:bCs/>
          <w:color w:val="0070C0"/>
          <w:kern w:val="0"/>
          <w:szCs w:val="21"/>
          <w:lang w:val="en-GB"/>
        </w:rPr>
        <w:t>股基债基分级份额领涨</w:t>
      </w:r>
    </w:p>
    <w:p w:rsidR="00D41032" w:rsidRPr="007752E7" w:rsidRDefault="00D41032" w:rsidP="004049E1">
      <w:pPr>
        <w:pStyle w:val="BodyText"/>
        <w:numPr>
          <w:ilvl w:val="4"/>
          <w:numId w:val="1"/>
        </w:numPr>
        <w:spacing w:after="163"/>
        <w:rPr>
          <w:rFonts w:ascii="楷体" w:eastAsia="楷体" w:hAnsi="楷体" w:cs="Arial"/>
          <w:szCs w:val="21"/>
        </w:rPr>
      </w:pPr>
      <w:r w:rsidRPr="007752E7">
        <w:rPr>
          <w:rFonts w:ascii="楷体" w:eastAsia="楷体" w:hAnsi="楷体" w:cs="Arial" w:hint="eastAsia"/>
          <w:szCs w:val="21"/>
        </w:rPr>
        <w:t>上周，股票分级基金稳健份额平均上涨</w:t>
      </w:r>
      <w:r w:rsidRPr="007752E7">
        <w:rPr>
          <w:rFonts w:ascii="楷体" w:eastAsia="楷体" w:hAnsi="楷体" w:cs="Arial"/>
          <w:szCs w:val="21"/>
        </w:rPr>
        <w:t>0.34%</w:t>
      </w:r>
      <w:r w:rsidRPr="007752E7">
        <w:rPr>
          <w:rFonts w:ascii="楷体" w:eastAsia="楷体" w:hAnsi="楷体" w:cs="Arial" w:hint="eastAsia"/>
          <w:szCs w:val="21"/>
        </w:rPr>
        <w:t>，</w:t>
      </w:r>
      <w:r>
        <w:rPr>
          <w:rFonts w:ascii="楷体" w:eastAsia="楷体" w:hAnsi="楷体" w:hint="eastAsia"/>
          <w:szCs w:val="21"/>
        </w:rPr>
        <w:t>国投瑞银瑞和小康（</w:t>
      </w:r>
      <w:r w:rsidRPr="007752E7">
        <w:rPr>
          <w:rFonts w:ascii="楷体" w:eastAsia="楷体" w:hAnsi="楷体"/>
          <w:szCs w:val="21"/>
        </w:rPr>
        <w:t>5.85%</w:t>
      </w:r>
      <w:r>
        <w:rPr>
          <w:rFonts w:ascii="楷体" w:eastAsia="楷体" w:hAnsi="楷体" w:hint="eastAsia"/>
          <w:szCs w:val="21"/>
        </w:rPr>
        <w:t>）收益最高。股票分级</w:t>
      </w:r>
      <w:r w:rsidRPr="007752E7">
        <w:rPr>
          <w:rFonts w:ascii="楷体" w:eastAsia="楷体" w:hAnsi="楷体" w:cs="Arial" w:hint="eastAsia"/>
          <w:szCs w:val="21"/>
        </w:rPr>
        <w:t>积极份额平均上涨</w:t>
      </w:r>
      <w:r w:rsidRPr="007752E7">
        <w:rPr>
          <w:rFonts w:ascii="楷体" w:eastAsia="楷体" w:hAnsi="楷体" w:cs="Arial"/>
          <w:szCs w:val="21"/>
        </w:rPr>
        <w:t>7.49%</w:t>
      </w:r>
      <w:r w:rsidRPr="007752E7">
        <w:rPr>
          <w:rFonts w:ascii="楷体" w:eastAsia="楷体" w:hAnsi="楷体" w:cs="Arial" w:hint="eastAsia"/>
          <w:szCs w:val="21"/>
        </w:rPr>
        <w:t>，</w:t>
      </w:r>
      <w:r w:rsidRPr="007752E7">
        <w:rPr>
          <w:rFonts w:ascii="楷体" w:eastAsia="楷体" w:hAnsi="楷体" w:hint="eastAsia"/>
          <w:szCs w:val="21"/>
        </w:rPr>
        <w:t>银华锐进</w:t>
      </w:r>
      <w:r>
        <w:rPr>
          <w:rFonts w:ascii="楷体" w:eastAsia="楷体" w:hAnsi="楷体" w:hint="eastAsia"/>
          <w:szCs w:val="21"/>
        </w:rPr>
        <w:t>收益最高，为</w:t>
      </w:r>
      <w:r w:rsidRPr="007752E7">
        <w:rPr>
          <w:rFonts w:ascii="楷体" w:eastAsia="楷体" w:hAnsi="楷体"/>
          <w:szCs w:val="21"/>
        </w:rPr>
        <w:t>13.35%</w:t>
      </w:r>
      <w:r w:rsidRPr="007752E7">
        <w:rPr>
          <w:rFonts w:ascii="楷体" w:eastAsia="楷体" w:hAnsi="楷体" w:hint="eastAsia"/>
          <w:szCs w:val="21"/>
        </w:rPr>
        <w:t>，</w:t>
      </w:r>
      <w:r>
        <w:rPr>
          <w:rFonts w:ascii="楷体" w:eastAsia="楷体" w:hAnsi="楷体" w:hint="eastAsia"/>
          <w:szCs w:val="21"/>
        </w:rPr>
        <w:t>其次为</w:t>
      </w:r>
      <w:r w:rsidRPr="007752E7">
        <w:rPr>
          <w:rFonts w:ascii="楷体" w:eastAsia="楷体" w:hAnsi="楷体" w:hint="eastAsia"/>
          <w:szCs w:val="21"/>
        </w:rPr>
        <w:t>招商中证大宗商品</w:t>
      </w:r>
      <w:r w:rsidRPr="007752E7">
        <w:rPr>
          <w:rFonts w:ascii="楷体" w:eastAsia="楷体" w:hAnsi="楷体"/>
          <w:szCs w:val="21"/>
        </w:rPr>
        <w:t>B</w:t>
      </w:r>
      <w:r>
        <w:rPr>
          <w:rFonts w:ascii="楷体" w:eastAsia="楷体" w:hAnsi="楷体" w:hint="eastAsia"/>
          <w:szCs w:val="21"/>
        </w:rPr>
        <w:t>和</w:t>
      </w:r>
      <w:r w:rsidRPr="007752E7">
        <w:rPr>
          <w:rFonts w:ascii="楷体" w:eastAsia="楷体" w:hAnsi="楷体" w:hint="eastAsia"/>
          <w:szCs w:val="21"/>
        </w:rPr>
        <w:t>招商沪深</w:t>
      </w:r>
      <w:r w:rsidRPr="007752E7">
        <w:rPr>
          <w:rFonts w:ascii="楷体" w:eastAsia="楷体" w:hAnsi="楷体"/>
          <w:szCs w:val="21"/>
        </w:rPr>
        <w:t>300</w:t>
      </w:r>
      <w:r w:rsidRPr="007752E7">
        <w:rPr>
          <w:rFonts w:ascii="楷体" w:eastAsia="楷体" w:hAnsi="楷体" w:hint="eastAsia"/>
          <w:szCs w:val="21"/>
        </w:rPr>
        <w:t>高贝塔</w:t>
      </w:r>
      <w:r w:rsidRPr="007752E7">
        <w:rPr>
          <w:rFonts w:ascii="楷体" w:eastAsia="楷体" w:hAnsi="楷体"/>
          <w:szCs w:val="21"/>
        </w:rPr>
        <w:t>B</w:t>
      </w:r>
      <w:r>
        <w:rPr>
          <w:rFonts w:ascii="楷体" w:eastAsia="楷体" w:hAnsi="楷体" w:hint="eastAsia"/>
          <w:szCs w:val="21"/>
        </w:rPr>
        <w:t>，收益分别为</w:t>
      </w:r>
      <w:r w:rsidRPr="007752E7">
        <w:rPr>
          <w:rFonts w:ascii="楷体" w:eastAsia="楷体" w:hAnsi="楷体"/>
          <w:szCs w:val="21"/>
        </w:rPr>
        <w:t>13.06%</w:t>
      </w:r>
      <w:r w:rsidRPr="007752E7">
        <w:rPr>
          <w:rFonts w:ascii="楷体" w:eastAsia="楷体" w:hAnsi="楷体" w:hint="eastAsia"/>
          <w:szCs w:val="21"/>
        </w:rPr>
        <w:t>，</w:t>
      </w:r>
      <w:r w:rsidRPr="007752E7">
        <w:rPr>
          <w:rFonts w:ascii="楷体" w:eastAsia="楷体" w:hAnsi="楷体"/>
          <w:szCs w:val="21"/>
        </w:rPr>
        <w:t>11.4%</w:t>
      </w:r>
      <w:r>
        <w:rPr>
          <w:rFonts w:ascii="楷体" w:eastAsia="楷体" w:hAnsi="楷体" w:hint="eastAsia"/>
          <w:szCs w:val="21"/>
        </w:rPr>
        <w:t>。</w:t>
      </w:r>
    </w:p>
    <w:p w:rsidR="00D41032" w:rsidRPr="00823EA9" w:rsidRDefault="00D41032" w:rsidP="004049E1">
      <w:pPr>
        <w:pStyle w:val="BodyText"/>
        <w:numPr>
          <w:ilvl w:val="4"/>
          <w:numId w:val="1"/>
        </w:numPr>
        <w:spacing w:after="163"/>
        <w:rPr>
          <w:rFonts w:ascii="楷体" w:eastAsia="楷体" w:hAnsi="楷体" w:cs="Arial"/>
          <w:szCs w:val="21"/>
        </w:rPr>
      </w:pPr>
      <w:r>
        <w:rPr>
          <w:rFonts w:ascii="楷体" w:eastAsia="楷体" w:hAnsi="楷体" w:cs="Arial" w:hint="eastAsia"/>
          <w:szCs w:val="21"/>
        </w:rPr>
        <w:t>债基稳健份额平均涨幅仍为</w:t>
      </w:r>
      <w:r w:rsidRPr="00823EA9">
        <w:rPr>
          <w:rFonts w:ascii="楷体" w:eastAsia="楷体" w:hAnsi="楷体" w:cs="Arial"/>
          <w:szCs w:val="21"/>
        </w:rPr>
        <w:t>0.09%</w:t>
      </w:r>
      <w:r w:rsidRPr="00823EA9">
        <w:rPr>
          <w:rFonts w:ascii="楷体" w:eastAsia="楷体" w:hAnsi="楷体" w:cs="Arial" w:hint="eastAsia"/>
          <w:szCs w:val="21"/>
        </w:rPr>
        <w:t>，</w:t>
      </w:r>
      <w:r>
        <w:rPr>
          <w:rFonts w:ascii="楷体" w:eastAsia="楷体" w:hAnsi="楷体" w:cs="Arial" w:hint="eastAsia"/>
          <w:szCs w:val="21"/>
        </w:rPr>
        <w:t>收益率区间为</w:t>
      </w:r>
      <w:r>
        <w:rPr>
          <w:rFonts w:ascii="楷体" w:eastAsia="楷体" w:hAnsi="楷体" w:cs="Arial"/>
          <w:szCs w:val="21"/>
        </w:rPr>
        <w:t>0~0.11%</w:t>
      </w:r>
      <w:r>
        <w:rPr>
          <w:rFonts w:ascii="楷体" w:eastAsia="楷体" w:hAnsi="楷体" w:cs="Arial" w:hint="eastAsia"/>
          <w:szCs w:val="21"/>
        </w:rPr>
        <w:t>。债基积极份额</w:t>
      </w:r>
      <w:r w:rsidRPr="00823EA9">
        <w:rPr>
          <w:rFonts w:ascii="楷体" w:eastAsia="楷体" w:hAnsi="楷体" w:cs="Arial" w:hint="eastAsia"/>
          <w:szCs w:val="21"/>
        </w:rPr>
        <w:t>涨幅扩大，</w:t>
      </w:r>
      <w:r w:rsidRPr="00823EA9">
        <w:rPr>
          <w:rFonts w:ascii="楷体" w:eastAsia="楷体" w:hAnsi="楷体" w:hint="eastAsia"/>
          <w:szCs w:val="21"/>
        </w:rPr>
        <w:t>银华中证转债</w:t>
      </w:r>
      <w:r w:rsidRPr="00823EA9">
        <w:rPr>
          <w:rFonts w:ascii="楷体" w:eastAsia="楷体" w:hAnsi="楷体"/>
          <w:szCs w:val="21"/>
        </w:rPr>
        <w:t>B</w:t>
      </w:r>
      <w:r>
        <w:rPr>
          <w:rFonts w:ascii="楷体" w:eastAsia="楷体" w:hAnsi="楷体" w:hint="eastAsia"/>
          <w:szCs w:val="21"/>
        </w:rPr>
        <w:t>收益最高，为</w:t>
      </w:r>
      <w:r w:rsidRPr="00823EA9">
        <w:rPr>
          <w:rFonts w:ascii="楷体" w:eastAsia="楷体" w:hAnsi="楷体"/>
          <w:szCs w:val="21"/>
        </w:rPr>
        <w:t>18.2%</w:t>
      </w:r>
      <w:r w:rsidRPr="00823EA9">
        <w:rPr>
          <w:rFonts w:ascii="楷体" w:eastAsia="楷体" w:hAnsi="楷体" w:hint="eastAsia"/>
          <w:szCs w:val="21"/>
        </w:rPr>
        <w:t>，</w:t>
      </w:r>
      <w:r>
        <w:rPr>
          <w:rFonts w:ascii="楷体" w:eastAsia="楷体" w:hAnsi="楷体" w:hint="eastAsia"/>
          <w:szCs w:val="21"/>
        </w:rPr>
        <w:t>其次为</w:t>
      </w:r>
      <w:r w:rsidRPr="00823EA9">
        <w:rPr>
          <w:rFonts w:ascii="楷体" w:eastAsia="楷体" w:hAnsi="楷体" w:hint="eastAsia"/>
          <w:szCs w:val="21"/>
        </w:rPr>
        <w:t>东吴中证可转换债券</w:t>
      </w:r>
      <w:r w:rsidRPr="00823EA9">
        <w:rPr>
          <w:rFonts w:ascii="楷体" w:eastAsia="楷体" w:hAnsi="楷体"/>
          <w:szCs w:val="21"/>
        </w:rPr>
        <w:t>B</w:t>
      </w:r>
      <w:r>
        <w:rPr>
          <w:rFonts w:ascii="楷体" w:eastAsia="楷体" w:hAnsi="楷体" w:hint="eastAsia"/>
          <w:szCs w:val="21"/>
        </w:rPr>
        <w:t>和</w:t>
      </w:r>
      <w:r w:rsidRPr="00823EA9">
        <w:rPr>
          <w:rFonts w:ascii="楷体" w:eastAsia="楷体" w:hAnsi="楷体" w:hint="eastAsia"/>
          <w:szCs w:val="21"/>
        </w:rPr>
        <w:t>嘉实多利进取</w:t>
      </w:r>
      <w:r>
        <w:rPr>
          <w:rFonts w:ascii="楷体" w:eastAsia="楷体" w:hAnsi="楷体" w:hint="eastAsia"/>
          <w:szCs w:val="21"/>
        </w:rPr>
        <w:t>，收益分别为</w:t>
      </w:r>
      <w:r w:rsidRPr="00823EA9">
        <w:rPr>
          <w:rFonts w:ascii="楷体" w:eastAsia="楷体" w:hAnsi="楷体"/>
          <w:szCs w:val="21"/>
        </w:rPr>
        <w:t>14.39%</w:t>
      </w:r>
      <w:r>
        <w:rPr>
          <w:rFonts w:ascii="楷体" w:eastAsia="楷体" w:hAnsi="楷体" w:hint="eastAsia"/>
          <w:szCs w:val="21"/>
        </w:rPr>
        <w:t>和</w:t>
      </w:r>
      <w:r w:rsidRPr="00823EA9">
        <w:rPr>
          <w:rFonts w:ascii="楷体" w:eastAsia="楷体" w:hAnsi="楷体"/>
          <w:szCs w:val="21"/>
        </w:rPr>
        <w:t>11.99%</w:t>
      </w:r>
      <w:r w:rsidRPr="00823EA9">
        <w:rPr>
          <w:rFonts w:ascii="楷体" w:eastAsia="楷体" w:hAnsi="楷体" w:hint="eastAsia"/>
          <w:szCs w:val="21"/>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2268"/>
        <w:gridCol w:w="850"/>
        <w:gridCol w:w="851"/>
        <w:gridCol w:w="992"/>
        <w:gridCol w:w="992"/>
        <w:gridCol w:w="1843"/>
        <w:gridCol w:w="709"/>
        <w:gridCol w:w="850"/>
      </w:tblGrid>
      <w:tr w:rsidR="00D41032" w:rsidRPr="00635B60" w:rsidTr="00CE01AE">
        <w:trPr>
          <w:cantSplit/>
          <w:trHeight w:val="335"/>
        </w:trPr>
        <w:tc>
          <w:tcPr>
            <w:tcW w:w="11057" w:type="dxa"/>
            <w:gridSpan w:val="10"/>
            <w:vAlign w:val="center"/>
          </w:tcPr>
          <w:p w:rsidR="00D41032" w:rsidRPr="005B7CDB" w:rsidRDefault="00D41032"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Pr="005B7CDB">
              <w:rPr>
                <w:rFonts w:ascii="楷体" w:eastAsia="楷体" w:hAnsi="楷体"/>
                <w:color w:val="FF6600"/>
              </w:rPr>
              <w:t>5</w:t>
            </w:r>
            <w:r w:rsidRPr="005B7CDB">
              <w:rPr>
                <w:rFonts w:ascii="楷体" w:eastAsia="楷体" w:hAnsi="楷体" w:cs="宋体" w:hint="eastAsia"/>
                <w:color w:val="FF6600"/>
              </w:rPr>
              <w:t>：各类型公募基金（含封闭式）周收益率前</w:t>
            </w:r>
            <w:r w:rsidRPr="005B7CDB">
              <w:rPr>
                <w:rFonts w:ascii="楷体" w:eastAsia="楷体" w:hAnsi="楷体"/>
                <w:color w:val="FF6600"/>
              </w:rPr>
              <w:t>3</w:t>
            </w:r>
            <w:r w:rsidRPr="005B7CDB">
              <w:rPr>
                <w:rFonts w:ascii="楷体" w:eastAsia="楷体" w:hAnsi="楷体" w:cs="宋体" w:hint="eastAsia"/>
                <w:color w:val="FF6600"/>
              </w:rPr>
              <w:t>（</w:t>
            </w:r>
            <w:r>
              <w:rPr>
                <w:rFonts w:ascii="楷体" w:eastAsia="楷体" w:hAnsi="楷体"/>
                <w:color w:val="FF6600"/>
              </w:rPr>
              <w:t>10.27~31</w:t>
            </w:r>
            <w:r w:rsidRPr="005B7CDB">
              <w:rPr>
                <w:rFonts w:ascii="楷体" w:eastAsia="楷体" w:hAnsi="楷体" w:cs="宋体" w:hint="eastAsia"/>
                <w:color w:val="FF6600"/>
              </w:rPr>
              <w:t>，</w:t>
            </w:r>
            <w:r w:rsidRPr="005B7CDB">
              <w:rPr>
                <w:rFonts w:ascii="楷体" w:eastAsia="楷体" w:hAnsi="楷体"/>
                <w:color w:val="FF6600"/>
              </w:rPr>
              <w:t>QDII</w:t>
            </w:r>
            <w:r w:rsidRPr="005B7CDB">
              <w:rPr>
                <w:rFonts w:ascii="楷体" w:eastAsia="楷体" w:hAnsi="楷体" w:hint="eastAsia"/>
                <w:color w:val="FF6600"/>
              </w:rPr>
              <w:t>为</w:t>
            </w:r>
            <w:r>
              <w:rPr>
                <w:rFonts w:ascii="楷体" w:eastAsia="楷体" w:hAnsi="楷体"/>
                <w:color w:val="FF6600"/>
              </w:rPr>
              <w:t>10.24</w:t>
            </w:r>
            <w:r w:rsidRPr="00057142">
              <w:rPr>
                <w:rFonts w:ascii="楷体" w:eastAsia="楷体" w:hAnsi="楷体"/>
                <w:color w:val="FF6600"/>
              </w:rPr>
              <w:t>~</w:t>
            </w:r>
            <w:r>
              <w:rPr>
                <w:rFonts w:ascii="楷体" w:eastAsia="楷体" w:hAnsi="楷体"/>
                <w:color w:val="FF6600"/>
              </w:rPr>
              <w:t>30</w:t>
            </w:r>
            <w:r w:rsidRPr="005B7CDB">
              <w:rPr>
                <w:rFonts w:ascii="楷体" w:eastAsia="楷体" w:hAnsi="楷体" w:hint="eastAsia"/>
                <w:color w:val="FF6600"/>
              </w:rPr>
              <w:t>，货币基金为</w:t>
            </w:r>
            <w:r w:rsidRPr="005B7CDB">
              <w:rPr>
                <w:rFonts w:ascii="楷体" w:eastAsia="楷体" w:hAnsi="楷体"/>
                <w:color w:val="FF6600"/>
              </w:rPr>
              <w:t>7</w:t>
            </w:r>
            <w:r w:rsidRPr="005B7CDB">
              <w:rPr>
                <w:rFonts w:ascii="楷体" w:eastAsia="楷体" w:hAnsi="楷体" w:hint="eastAsia"/>
                <w:color w:val="FF6600"/>
              </w:rPr>
              <w:t>日年化收益</w:t>
            </w:r>
            <w:r>
              <w:rPr>
                <w:rFonts w:ascii="楷体" w:eastAsia="楷体" w:hAnsi="楷体" w:hint="eastAsia"/>
                <w:color w:val="FF6600"/>
              </w:rPr>
              <w:t>率</w:t>
            </w:r>
            <w:r w:rsidRPr="005B7CDB">
              <w:rPr>
                <w:rFonts w:ascii="楷体" w:eastAsia="楷体" w:hAnsi="楷体" w:cs="宋体" w:hint="eastAsia"/>
                <w:color w:val="FF6600"/>
              </w:rPr>
              <w:t>）</w:t>
            </w:r>
          </w:p>
        </w:tc>
      </w:tr>
      <w:tr w:rsidR="00D41032" w:rsidRPr="00635B60" w:rsidTr="007853FB">
        <w:trPr>
          <w:cantSplit/>
          <w:trHeight w:val="227"/>
        </w:trPr>
        <w:tc>
          <w:tcPr>
            <w:tcW w:w="851" w:type="dxa"/>
            <w:tcBorders>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凯石分类</w:t>
            </w:r>
          </w:p>
        </w:tc>
        <w:tc>
          <w:tcPr>
            <w:tcW w:w="851"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基金代码</w:t>
            </w:r>
          </w:p>
        </w:tc>
        <w:tc>
          <w:tcPr>
            <w:tcW w:w="2268"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基金名称</w:t>
            </w:r>
          </w:p>
        </w:tc>
        <w:tc>
          <w:tcPr>
            <w:tcW w:w="850"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类型</w:t>
            </w:r>
          </w:p>
        </w:tc>
        <w:tc>
          <w:tcPr>
            <w:tcW w:w="851"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周收益率</w:t>
            </w:r>
            <w:r w:rsidRPr="00635B60">
              <w:rPr>
                <w:rFonts w:ascii="楷体" w:eastAsia="楷体" w:hAnsi="楷体"/>
                <w:b/>
                <w:sz w:val="18"/>
                <w:szCs w:val="18"/>
              </w:rPr>
              <w:t>%</w:t>
            </w:r>
          </w:p>
        </w:tc>
        <w:tc>
          <w:tcPr>
            <w:tcW w:w="992"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凯石分类</w:t>
            </w:r>
          </w:p>
        </w:tc>
        <w:tc>
          <w:tcPr>
            <w:tcW w:w="992"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基金代码</w:t>
            </w:r>
          </w:p>
        </w:tc>
        <w:tc>
          <w:tcPr>
            <w:tcW w:w="1843"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基金名称</w:t>
            </w:r>
          </w:p>
        </w:tc>
        <w:tc>
          <w:tcPr>
            <w:tcW w:w="709" w:type="dxa"/>
            <w:tcBorders>
              <w:left w:val="single" w:sz="6" w:space="0" w:color="FF6600"/>
              <w:righ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类型</w:t>
            </w:r>
          </w:p>
        </w:tc>
        <w:tc>
          <w:tcPr>
            <w:tcW w:w="850" w:type="dxa"/>
            <w:tcBorders>
              <w:left w:val="single" w:sz="6" w:space="0" w:color="FF6600"/>
            </w:tcBorders>
            <w:shd w:val="clear" w:color="auto" w:fill="FDE9D9"/>
            <w:vAlign w:val="center"/>
          </w:tcPr>
          <w:p w:rsidR="00D41032" w:rsidRPr="00635B60" w:rsidRDefault="00D41032" w:rsidP="000D1136">
            <w:pPr>
              <w:snapToGrid w:val="0"/>
              <w:jc w:val="center"/>
              <w:rPr>
                <w:rFonts w:ascii="楷体" w:eastAsia="楷体" w:hAnsi="楷体"/>
                <w:b/>
                <w:sz w:val="18"/>
                <w:szCs w:val="18"/>
              </w:rPr>
            </w:pPr>
            <w:r w:rsidRPr="00635B60">
              <w:rPr>
                <w:rFonts w:ascii="楷体" w:eastAsia="楷体" w:hAnsi="楷体" w:hint="eastAsia"/>
                <w:b/>
                <w:sz w:val="18"/>
                <w:szCs w:val="18"/>
              </w:rPr>
              <w:t>周收益率</w:t>
            </w:r>
            <w:r w:rsidRPr="00635B60">
              <w:rPr>
                <w:rFonts w:ascii="楷体" w:eastAsia="楷体" w:hAnsi="楷体"/>
                <w:b/>
                <w:sz w:val="18"/>
                <w:szCs w:val="18"/>
              </w:rPr>
              <w:t>%</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股票</w:t>
            </w:r>
            <w:r w:rsidRPr="00635B60">
              <w:rPr>
                <w:rFonts w:ascii="楷体" w:eastAsia="楷体" w:hAnsi="楷体"/>
                <w:b/>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主动型</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000220</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富国医疗保健行业</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7.80</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债券</w:t>
            </w:r>
            <w:r w:rsidRPr="00635B60">
              <w:rPr>
                <w:rFonts w:ascii="楷体" w:eastAsia="楷体" w:hAnsi="楷体"/>
                <w:b/>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纯债基金</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519060</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海富通纯债</w:t>
            </w:r>
            <w:r w:rsidRPr="00635B60">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8.12</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233011</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大摩主题优选</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6.83</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519061</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海富通纯债</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8.08</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519093</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新华钻石品质企业</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6.38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000104</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华宸未来信用增利</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2.89</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股票</w:t>
            </w:r>
            <w:r w:rsidRPr="00635B60">
              <w:rPr>
                <w:rFonts w:ascii="楷体" w:eastAsia="楷体" w:hAnsi="楷体"/>
                <w:b/>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指数型</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510160</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南方小康产业</w:t>
            </w:r>
            <w:r w:rsidRPr="00635B60">
              <w:rPr>
                <w:rFonts w:ascii="楷体" w:eastAsia="楷体" w:hAnsi="楷体"/>
                <w:color w:val="000000"/>
                <w:sz w:val="18"/>
                <w:szCs w:val="18"/>
              </w:rPr>
              <w:t>ETF</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6.70</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债券</w:t>
            </w:r>
            <w:r w:rsidRPr="00635B60">
              <w:rPr>
                <w:rFonts w:ascii="楷体" w:eastAsia="楷体" w:hAnsi="楷体"/>
                <w:b/>
                <w:bCs/>
                <w:color w:val="000000"/>
                <w:sz w:val="18"/>
                <w:szCs w:val="18"/>
              </w:rPr>
              <w:t>-</w:t>
            </w:r>
          </w:p>
          <w:p w:rsidR="00D41032" w:rsidRPr="005B7CDB" w:rsidRDefault="00D41032" w:rsidP="006E677E">
            <w:pPr>
              <w:snapToGrid w:val="0"/>
              <w:jc w:val="center"/>
              <w:rPr>
                <w:rFonts w:ascii="楷体" w:eastAsia="楷体" w:hAnsi="楷体" w:cs="宋体"/>
                <w:b/>
                <w:bCs/>
                <w:color w:val="000000"/>
                <w:sz w:val="18"/>
                <w:szCs w:val="18"/>
              </w:rPr>
            </w:pPr>
            <w:r w:rsidRPr="00635B60">
              <w:rPr>
                <w:rFonts w:ascii="楷体" w:eastAsia="楷体" w:hAnsi="楷体" w:hint="eastAsia"/>
                <w:b/>
                <w:bCs/>
                <w:color w:val="000000"/>
                <w:sz w:val="18"/>
                <w:szCs w:val="18"/>
              </w:rPr>
              <w:t>一级债基</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161115</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易方达岁丰添利</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封闭式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4.28</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163113</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申万菱信申万证券行业分级</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6.33</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160514</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博时稳健回报</w:t>
            </w:r>
            <w:r w:rsidRPr="00635B60">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3.97</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202021</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南方小康产业</w:t>
            </w:r>
            <w:r w:rsidRPr="00635B60">
              <w:rPr>
                <w:rFonts w:ascii="楷体" w:eastAsia="楷体" w:hAnsi="楷体"/>
                <w:color w:val="000000"/>
                <w:sz w:val="18"/>
                <w:szCs w:val="18"/>
              </w:rPr>
              <w:t>ETF</w:t>
            </w:r>
            <w:r w:rsidRPr="00635B60">
              <w:rPr>
                <w:rFonts w:ascii="楷体" w:eastAsia="楷体" w:hAnsi="楷体" w:hint="eastAsia"/>
                <w:color w:val="000000"/>
                <w:sz w:val="18"/>
                <w:szCs w:val="18"/>
              </w:rPr>
              <w:t>联接</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6.31</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160513</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博时稳健回报</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3.89</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混合</w:t>
            </w:r>
            <w:r w:rsidRPr="00635B60">
              <w:rPr>
                <w:rFonts w:ascii="楷体" w:eastAsia="楷体" w:hAnsi="楷体"/>
                <w:b/>
                <w:bCs/>
                <w:color w:val="000000"/>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bCs/>
                <w:color w:val="000000"/>
                <w:sz w:val="18"/>
                <w:szCs w:val="18"/>
              </w:rPr>
              <w:t>偏股型</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162207</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泰达宏利效率优选</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5.17</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债券</w:t>
            </w:r>
            <w:r w:rsidRPr="00635B60">
              <w:rPr>
                <w:rFonts w:ascii="楷体" w:eastAsia="楷体" w:hAnsi="楷体"/>
                <w:b/>
                <w:bCs/>
                <w:color w:val="000000"/>
                <w:sz w:val="18"/>
                <w:szCs w:val="18"/>
              </w:rPr>
              <w:t>-</w:t>
            </w:r>
          </w:p>
          <w:p w:rsidR="00D41032" w:rsidRPr="005B7CDB" w:rsidRDefault="00D41032" w:rsidP="006E677E">
            <w:pPr>
              <w:snapToGrid w:val="0"/>
              <w:jc w:val="center"/>
              <w:rPr>
                <w:rFonts w:ascii="楷体" w:eastAsia="楷体" w:hAnsi="楷体" w:cs="宋体"/>
                <w:b/>
                <w:bCs/>
                <w:color w:val="000000"/>
                <w:sz w:val="18"/>
                <w:szCs w:val="18"/>
              </w:rPr>
            </w:pPr>
            <w:r w:rsidRPr="00635B60">
              <w:rPr>
                <w:rFonts w:ascii="楷体" w:eastAsia="楷体" w:hAnsi="楷体" w:hint="eastAsia"/>
                <w:b/>
                <w:bCs/>
                <w:color w:val="000000"/>
                <w:sz w:val="18"/>
                <w:szCs w:val="18"/>
              </w:rPr>
              <w:t>二级债基</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690202</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民生加银增强收益</w:t>
            </w:r>
            <w:r w:rsidRPr="00635B60">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8.72</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373020</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上投摩根双核平衡</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4.08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690002</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民生加银增强收益</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8.69</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161005</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富国天惠精选成长</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4.03</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050011</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博时信用债券</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7.98</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混合</w:t>
            </w:r>
            <w:r w:rsidRPr="00635B60">
              <w:rPr>
                <w:rFonts w:ascii="楷体" w:eastAsia="楷体" w:hAnsi="楷体"/>
                <w:b/>
                <w:bCs/>
                <w:color w:val="000000"/>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bCs/>
                <w:color w:val="000000"/>
                <w:sz w:val="18"/>
                <w:szCs w:val="18"/>
              </w:rPr>
              <w:t>偏债型</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340001</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兴全可转债</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5.26</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债券</w:t>
            </w:r>
            <w:r w:rsidRPr="00635B60">
              <w:rPr>
                <w:rFonts w:ascii="楷体" w:eastAsia="楷体" w:hAnsi="楷体"/>
                <w:b/>
                <w:bCs/>
                <w:color w:val="000000"/>
                <w:sz w:val="18"/>
                <w:szCs w:val="18"/>
              </w:rPr>
              <w:t>-</w:t>
            </w:r>
          </w:p>
          <w:p w:rsidR="00D41032" w:rsidRPr="005B7CDB" w:rsidRDefault="00D41032" w:rsidP="006E677E">
            <w:pPr>
              <w:snapToGrid w:val="0"/>
              <w:jc w:val="center"/>
              <w:rPr>
                <w:rFonts w:ascii="楷体" w:eastAsia="楷体" w:hAnsi="楷体" w:cs="宋体"/>
                <w:b/>
                <w:bCs/>
                <w:color w:val="000000"/>
                <w:sz w:val="18"/>
                <w:szCs w:val="18"/>
              </w:rPr>
            </w:pPr>
            <w:r w:rsidRPr="00635B60">
              <w:rPr>
                <w:rFonts w:ascii="楷体" w:eastAsia="楷体" w:hAnsi="楷体" w:hint="eastAsia"/>
                <w:b/>
                <w:bCs/>
                <w:color w:val="000000"/>
                <w:sz w:val="18"/>
                <w:szCs w:val="18"/>
              </w:rPr>
              <w:t>理财债基</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050129</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博时理财</w:t>
            </w:r>
            <w:r w:rsidRPr="00635B60">
              <w:rPr>
                <w:rFonts w:ascii="楷体" w:eastAsia="楷体" w:hAnsi="楷体"/>
                <w:color w:val="000000"/>
                <w:sz w:val="18"/>
                <w:szCs w:val="18"/>
              </w:rPr>
              <w:t>30</w:t>
            </w:r>
            <w:r w:rsidRPr="00635B60">
              <w:rPr>
                <w:rFonts w:ascii="楷体" w:eastAsia="楷体" w:hAnsi="楷体" w:hint="eastAsia"/>
                <w:color w:val="000000"/>
                <w:sz w:val="18"/>
                <w:szCs w:val="18"/>
              </w:rPr>
              <w:t>天</w:t>
            </w:r>
            <w:r w:rsidRPr="00635B60">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0.27</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000695</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大成景益平稳收益</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4.94</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050029</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博时理财</w:t>
            </w:r>
            <w:r w:rsidRPr="00635B60">
              <w:rPr>
                <w:rFonts w:ascii="楷体" w:eastAsia="楷体" w:hAnsi="楷体"/>
                <w:color w:val="000000"/>
                <w:sz w:val="18"/>
                <w:szCs w:val="18"/>
              </w:rPr>
              <w:t>30</w:t>
            </w:r>
            <w:r w:rsidRPr="00635B60">
              <w:rPr>
                <w:rFonts w:ascii="楷体" w:eastAsia="楷体" w:hAnsi="楷体" w:hint="eastAsia"/>
                <w:color w:val="000000"/>
                <w:sz w:val="18"/>
                <w:szCs w:val="18"/>
              </w:rPr>
              <w:t>天</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0.26</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040004</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华安宝利配置</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3.28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519721</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交银理财</w:t>
            </w:r>
            <w:r w:rsidRPr="00635B60">
              <w:rPr>
                <w:rFonts w:ascii="楷体" w:eastAsia="楷体" w:hAnsi="楷体"/>
                <w:color w:val="000000"/>
                <w:sz w:val="18"/>
                <w:szCs w:val="18"/>
              </w:rPr>
              <w:t>60</w:t>
            </w:r>
            <w:r w:rsidRPr="00635B60">
              <w:rPr>
                <w:rFonts w:ascii="楷体" w:eastAsia="楷体" w:hAnsi="楷体" w:hint="eastAsia"/>
                <w:color w:val="000000"/>
                <w:sz w:val="18"/>
                <w:szCs w:val="18"/>
              </w:rPr>
              <w:t>天</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0.19</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混合</w:t>
            </w:r>
            <w:r w:rsidRPr="00635B60">
              <w:rPr>
                <w:rFonts w:ascii="楷体" w:eastAsia="楷体" w:hAnsi="楷体"/>
                <w:b/>
                <w:bCs/>
                <w:color w:val="000000"/>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270022</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广发内需增长</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6.08</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债券</w:t>
            </w:r>
            <w:r w:rsidRPr="00635B60">
              <w:rPr>
                <w:rFonts w:ascii="楷体" w:eastAsia="楷体" w:hAnsi="楷体"/>
                <w:b/>
                <w:bCs/>
                <w:color w:val="000000"/>
                <w:sz w:val="18"/>
                <w:szCs w:val="18"/>
              </w:rPr>
              <w:t>-</w:t>
            </w:r>
          </w:p>
          <w:p w:rsidR="00D41032" w:rsidRPr="005B7CDB" w:rsidRDefault="00D41032" w:rsidP="006E677E">
            <w:pPr>
              <w:snapToGrid w:val="0"/>
              <w:jc w:val="center"/>
              <w:rPr>
                <w:rFonts w:ascii="楷体" w:eastAsia="楷体" w:hAnsi="楷体" w:cs="宋体"/>
                <w:b/>
                <w:bCs/>
                <w:color w:val="000000"/>
                <w:sz w:val="18"/>
                <w:szCs w:val="18"/>
              </w:rPr>
            </w:pPr>
            <w:r w:rsidRPr="00635B60">
              <w:rPr>
                <w:rFonts w:ascii="楷体" w:eastAsia="楷体" w:hAnsi="楷体" w:hint="eastAsia"/>
                <w:b/>
                <w:bCs/>
                <w:color w:val="000000"/>
                <w:sz w:val="18"/>
                <w:szCs w:val="18"/>
              </w:rPr>
              <w:t>指数债基</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161624</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融通标普中国可转债</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5.39</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519087</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新华优选分红</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6.05</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161826</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银华中证转债</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5.38</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519066</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汇添富蓝筹稳健</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5.87</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161625</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融通标普中国可转债</w:t>
            </w:r>
            <w:r w:rsidRPr="00635B60">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5.33</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b/>
                <w:sz w:val="18"/>
                <w:szCs w:val="18"/>
              </w:rPr>
              <w:t>QDII</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161714</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招商标普金砖四国</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4.23</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r w:rsidRPr="00635B60">
              <w:rPr>
                <w:rFonts w:ascii="楷体" w:eastAsia="楷体" w:hAnsi="楷体" w:hint="eastAsia"/>
                <w:b/>
                <w:bCs/>
                <w:color w:val="000000"/>
                <w:sz w:val="18"/>
                <w:szCs w:val="18"/>
              </w:rPr>
              <w:t>债券</w:t>
            </w:r>
            <w:r w:rsidRPr="00635B60">
              <w:rPr>
                <w:rFonts w:ascii="楷体" w:eastAsia="楷体" w:hAnsi="楷体"/>
                <w:b/>
                <w:bCs/>
                <w:color w:val="000000"/>
                <w:sz w:val="18"/>
                <w:szCs w:val="18"/>
              </w:rPr>
              <w:t>-</w:t>
            </w:r>
          </w:p>
          <w:p w:rsidR="00D41032" w:rsidRPr="005B7CDB" w:rsidRDefault="00D41032" w:rsidP="006E677E">
            <w:pPr>
              <w:snapToGrid w:val="0"/>
              <w:jc w:val="center"/>
              <w:rPr>
                <w:rFonts w:ascii="楷体" w:eastAsia="楷体" w:hAnsi="楷体" w:cs="宋体"/>
                <w:b/>
                <w:bCs/>
                <w:color w:val="000000"/>
                <w:sz w:val="18"/>
                <w:szCs w:val="18"/>
              </w:rPr>
            </w:pPr>
            <w:r w:rsidRPr="00635B60">
              <w:rPr>
                <w:rFonts w:ascii="楷体" w:eastAsia="楷体" w:hAnsi="楷体" w:hint="eastAsia"/>
                <w:b/>
                <w:bCs/>
                <w:color w:val="000000"/>
                <w:sz w:val="18"/>
                <w:szCs w:val="18"/>
              </w:rPr>
              <w:t>可转债基</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000068</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民生加银转债优选</w:t>
            </w:r>
            <w:r w:rsidRPr="00635B60">
              <w:rPr>
                <w:rFonts w:ascii="楷体" w:eastAsia="楷体" w:hAnsi="楷体"/>
                <w:color w:val="000000"/>
                <w:sz w:val="18"/>
                <w:szCs w:val="18"/>
              </w:rPr>
              <w:t>C</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11.08</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160121</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南方金砖四国</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3.57</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000067</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民生加银转债优选</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11.01</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150170</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汇添富恒生指数</w:t>
            </w:r>
            <w:r w:rsidRPr="00635B60">
              <w:rPr>
                <w:rFonts w:ascii="楷体" w:eastAsia="楷体" w:hAnsi="楷体"/>
                <w:color w:val="000000"/>
                <w:sz w:val="18"/>
                <w:szCs w:val="18"/>
              </w:rPr>
              <w:t>B</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3.09</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519977</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长信可转债</w:t>
            </w:r>
            <w:r w:rsidRPr="00635B60">
              <w:rPr>
                <w:rFonts w:ascii="楷体" w:eastAsia="楷体" w:hAnsi="楷体"/>
                <w:color w:val="000000"/>
                <w:sz w:val="18"/>
                <w:szCs w:val="18"/>
              </w:rPr>
              <w:t>A</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9.69</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分级基金子份额</w:t>
            </w:r>
            <w:r w:rsidRPr="00635B60">
              <w:rPr>
                <w:rFonts w:ascii="楷体" w:eastAsia="楷体" w:hAnsi="楷体"/>
                <w:b/>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股票稳健</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150008</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国投瑞银瑞和小康</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5.85</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000000"/>
                <w:sz w:val="18"/>
                <w:szCs w:val="18"/>
              </w:rPr>
            </w:pPr>
            <w:r w:rsidRPr="00635B60">
              <w:rPr>
                <w:rFonts w:ascii="楷体" w:eastAsia="楷体" w:hAnsi="楷体" w:hint="eastAsia"/>
                <w:b/>
                <w:color w:val="000000"/>
                <w:sz w:val="18"/>
                <w:szCs w:val="18"/>
              </w:rPr>
              <w:t>分级基金子份额</w:t>
            </w:r>
            <w:r w:rsidRPr="00635B60">
              <w:rPr>
                <w:rFonts w:ascii="楷体" w:eastAsia="楷体" w:hAnsi="楷体"/>
                <w:b/>
                <w:color w:val="000000"/>
                <w:sz w:val="18"/>
                <w:szCs w:val="18"/>
              </w:rPr>
              <w:t>-</w:t>
            </w:r>
          </w:p>
          <w:p w:rsidR="00D41032" w:rsidRPr="00635B60" w:rsidRDefault="00D41032" w:rsidP="006E677E">
            <w:pPr>
              <w:snapToGrid w:val="0"/>
              <w:jc w:val="center"/>
              <w:rPr>
                <w:rFonts w:ascii="楷体" w:eastAsia="楷体" w:hAnsi="楷体"/>
                <w:b/>
                <w:color w:val="000000"/>
                <w:sz w:val="18"/>
                <w:szCs w:val="18"/>
              </w:rPr>
            </w:pPr>
            <w:r w:rsidRPr="00635B60">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150019</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银华锐进</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13.35</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150022</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申万菱信深成收益</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3.59</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150097</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招商中证大宗商品</w:t>
            </w:r>
            <w:r w:rsidRPr="00635B60">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13.06</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150016</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兴全合润分级</w:t>
            </w:r>
            <w:r w:rsidRPr="00635B60">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2.48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150146</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招商沪深</w:t>
            </w:r>
            <w:r w:rsidRPr="00635B60">
              <w:rPr>
                <w:rFonts w:ascii="楷体" w:eastAsia="楷体" w:hAnsi="楷体"/>
                <w:color w:val="000000"/>
                <w:sz w:val="18"/>
                <w:szCs w:val="18"/>
              </w:rPr>
              <w:t>300</w:t>
            </w:r>
            <w:r w:rsidRPr="00635B60">
              <w:rPr>
                <w:rFonts w:ascii="楷体" w:eastAsia="楷体" w:hAnsi="楷体" w:hint="eastAsia"/>
                <w:color w:val="000000"/>
                <w:sz w:val="18"/>
                <w:szCs w:val="18"/>
              </w:rPr>
              <w:t>高贝塔</w:t>
            </w:r>
            <w:r w:rsidRPr="00635B60">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11.40</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分级基金子份额</w:t>
            </w:r>
            <w:r w:rsidRPr="00635B60">
              <w:rPr>
                <w:rFonts w:ascii="楷体" w:eastAsia="楷体" w:hAnsi="楷体"/>
                <w:b/>
                <w:sz w:val="18"/>
                <w:szCs w:val="18"/>
              </w:rPr>
              <w:t>-</w:t>
            </w:r>
          </w:p>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债券稳健</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000429</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易方达聚盈</w:t>
            </w:r>
            <w:r w:rsidRPr="00635B60">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0.11</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000000"/>
                <w:sz w:val="18"/>
                <w:szCs w:val="18"/>
              </w:rPr>
            </w:pPr>
            <w:r w:rsidRPr="00635B60">
              <w:rPr>
                <w:rFonts w:ascii="楷体" w:eastAsia="楷体" w:hAnsi="楷体" w:hint="eastAsia"/>
                <w:b/>
                <w:color w:val="000000"/>
                <w:sz w:val="18"/>
                <w:szCs w:val="18"/>
              </w:rPr>
              <w:t>分级基金子份额</w:t>
            </w:r>
            <w:r w:rsidRPr="00635B60">
              <w:rPr>
                <w:rFonts w:ascii="楷体" w:eastAsia="楷体" w:hAnsi="楷体"/>
                <w:b/>
                <w:color w:val="000000"/>
                <w:sz w:val="18"/>
                <w:szCs w:val="18"/>
              </w:rPr>
              <w:t>-</w:t>
            </w:r>
          </w:p>
          <w:p w:rsidR="00D41032" w:rsidRPr="00635B60" w:rsidRDefault="00D41032" w:rsidP="006E677E">
            <w:pPr>
              <w:snapToGrid w:val="0"/>
              <w:jc w:val="center"/>
              <w:rPr>
                <w:rFonts w:ascii="楷体" w:eastAsia="楷体" w:hAnsi="楷体"/>
                <w:b/>
                <w:color w:val="000000"/>
                <w:sz w:val="18"/>
                <w:szCs w:val="18"/>
              </w:rPr>
            </w:pPr>
            <w:r w:rsidRPr="00635B60">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150144</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银华中证转债</w:t>
            </w:r>
            <w:r w:rsidRPr="00635B60">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18.20</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165808</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东吴鼎利</w:t>
            </w:r>
            <w:r w:rsidRPr="00635B60">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0.10</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150165</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东吴中证可转换债券</w:t>
            </w:r>
            <w:r w:rsidRPr="00635B60">
              <w:rPr>
                <w:rFonts w:ascii="楷体" w:eastAsia="楷体" w:hAnsi="楷体"/>
                <w:color w:val="000000"/>
                <w:sz w:val="18"/>
                <w:szCs w:val="18"/>
              </w:rPr>
              <w:t>B</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14.39</w:t>
            </w: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160623</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鹏华丰利</w:t>
            </w:r>
            <w:r w:rsidRPr="00635B60">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0.10</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150033</w:t>
            </w:r>
          </w:p>
        </w:tc>
        <w:tc>
          <w:tcPr>
            <w:tcW w:w="1843"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嘉实多利进取</w:t>
            </w:r>
          </w:p>
        </w:tc>
        <w:tc>
          <w:tcPr>
            <w:tcW w:w="709"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0" w:type="dxa"/>
            <w:tcBorders>
              <w:lef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11.99</w:t>
            </w:r>
          </w:p>
        </w:tc>
      </w:tr>
      <w:tr w:rsidR="00D41032" w:rsidRPr="00635B60" w:rsidTr="007853FB">
        <w:trPr>
          <w:cantSplit/>
          <w:trHeight w:val="227"/>
        </w:trPr>
        <w:tc>
          <w:tcPr>
            <w:tcW w:w="851" w:type="dxa"/>
            <w:vMerge w:val="restart"/>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r w:rsidRPr="00635B60">
              <w:rPr>
                <w:rFonts w:ascii="楷体" w:eastAsia="楷体" w:hAnsi="楷体" w:hint="eastAsia"/>
                <w:b/>
                <w:sz w:val="18"/>
                <w:szCs w:val="18"/>
              </w:rPr>
              <w:t>货币市场</w:t>
            </w:r>
          </w:p>
          <w:p w:rsidR="00D41032" w:rsidRPr="00635B60" w:rsidRDefault="00D41032" w:rsidP="006E677E">
            <w:pPr>
              <w:snapToGrid w:val="0"/>
              <w:jc w:val="center"/>
              <w:rPr>
                <w:rFonts w:ascii="楷体" w:eastAsia="楷体" w:hAnsi="楷体"/>
                <w:b/>
                <w:color w:val="FF0000"/>
                <w:sz w:val="18"/>
                <w:szCs w:val="18"/>
              </w:rPr>
            </w:pPr>
            <w:r w:rsidRPr="00635B60">
              <w:rPr>
                <w:rFonts w:ascii="楷体" w:eastAsia="楷体" w:hAnsi="楷体" w:hint="eastAsia"/>
                <w:b/>
                <w:sz w:val="18"/>
                <w:szCs w:val="18"/>
              </w:rPr>
              <w:t>基金</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213909</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宝盈货币</w:t>
            </w:r>
            <w:r w:rsidRPr="00635B60">
              <w:rPr>
                <w:rFonts w:ascii="楷体" w:eastAsia="楷体" w:hAnsi="楷体"/>
                <w:color w:val="000000"/>
                <w:sz w:val="18"/>
                <w:szCs w:val="18"/>
              </w:rPr>
              <w:t>B</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10.23</w:t>
            </w:r>
          </w:p>
        </w:tc>
        <w:tc>
          <w:tcPr>
            <w:tcW w:w="992" w:type="dxa"/>
            <w:vMerge w:val="restart"/>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vAlign w:val="center"/>
          </w:tcPr>
          <w:p w:rsidR="00D41032" w:rsidRPr="007853FB" w:rsidRDefault="00D41032" w:rsidP="007853FB">
            <w:pPr>
              <w:snapToGrid w:val="0"/>
              <w:jc w:val="center"/>
              <w:rPr>
                <w:rFonts w:ascii="楷体" w:eastAsia="楷体" w:hAnsi="楷体" w:cs="宋体"/>
                <w:color w:val="FF0000"/>
                <w:sz w:val="18"/>
                <w:szCs w:val="18"/>
              </w:rPr>
            </w:pPr>
          </w:p>
        </w:tc>
        <w:tc>
          <w:tcPr>
            <w:tcW w:w="1843" w:type="dxa"/>
            <w:tcBorders>
              <w:left w:val="single" w:sz="6" w:space="0" w:color="FF6600"/>
              <w:right w:val="single" w:sz="6" w:space="0" w:color="FF6600"/>
            </w:tcBorders>
            <w:vAlign w:val="center"/>
          </w:tcPr>
          <w:p w:rsidR="00D41032" w:rsidRPr="007853FB" w:rsidRDefault="00D41032" w:rsidP="007853FB">
            <w:pPr>
              <w:snapToGrid w:val="0"/>
              <w:jc w:val="center"/>
              <w:rPr>
                <w:rFonts w:ascii="楷体" w:eastAsia="楷体" w:hAnsi="楷体" w:cs="宋体"/>
                <w:color w:val="FF0000"/>
                <w:sz w:val="18"/>
                <w:szCs w:val="18"/>
              </w:rPr>
            </w:pPr>
          </w:p>
        </w:tc>
        <w:tc>
          <w:tcPr>
            <w:tcW w:w="709" w:type="dxa"/>
            <w:tcBorders>
              <w:left w:val="single" w:sz="6" w:space="0" w:color="FF6600"/>
              <w:right w:val="single" w:sz="6" w:space="0" w:color="FF6600"/>
            </w:tcBorders>
            <w:vAlign w:val="center"/>
          </w:tcPr>
          <w:p w:rsidR="00D41032" w:rsidRPr="007853FB" w:rsidRDefault="00D41032" w:rsidP="007853FB">
            <w:pPr>
              <w:snapToGrid w:val="0"/>
              <w:jc w:val="center"/>
              <w:rPr>
                <w:rFonts w:ascii="楷体" w:eastAsia="楷体" w:hAnsi="楷体" w:cs="宋体"/>
                <w:color w:val="FF0000"/>
                <w:sz w:val="18"/>
                <w:szCs w:val="18"/>
              </w:rPr>
            </w:pPr>
          </w:p>
        </w:tc>
        <w:tc>
          <w:tcPr>
            <w:tcW w:w="850" w:type="dxa"/>
            <w:tcBorders>
              <w:left w:val="single" w:sz="6" w:space="0" w:color="FF6600"/>
            </w:tcBorders>
            <w:vAlign w:val="center"/>
          </w:tcPr>
          <w:p w:rsidR="00D41032" w:rsidRPr="007853FB" w:rsidRDefault="00D41032" w:rsidP="007853FB">
            <w:pPr>
              <w:snapToGrid w:val="0"/>
              <w:jc w:val="center"/>
              <w:rPr>
                <w:rFonts w:ascii="楷体" w:eastAsia="楷体" w:hAnsi="楷体" w:cs="宋体"/>
                <w:color w:val="FF0000"/>
                <w:sz w:val="18"/>
                <w:szCs w:val="18"/>
              </w:rPr>
            </w:pP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213009</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宝盈货币</w:t>
            </w:r>
            <w:r w:rsidRPr="00635B60">
              <w:rPr>
                <w:rFonts w:ascii="楷体" w:eastAsia="楷体" w:hAnsi="楷体"/>
                <w:color w:val="000000"/>
                <w:sz w:val="18"/>
                <w:szCs w:val="18"/>
              </w:rPr>
              <w:t>A</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9.98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1843"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r>
      <w:tr w:rsidR="00D41032" w:rsidRPr="00635B60" w:rsidTr="007853FB">
        <w:trPr>
          <w:cantSplit/>
          <w:trHeight w:val="227"/>
        </w:trPr>
        <w:tc>
          <w:tcPr>
            <w:tcW w:w="851" w:type="dxa"/>
            <w:vMerge/>
            <w:tcBorders>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000540</w:t>
            </w:r>
          </w:p>
        </w:tc>
        <w:tc>
          <w:tcPr>
            <w:tcW w:w="2268"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国金通用金腾通</w:t>
            </w:r>
          </w:p>
        </w:tc>
        <w:tc>
          <w:tcPr>
            <w:tcW w:w="850" w:type="dxa"/>
            <w:tcBorders>
              <w:left w:val="single" w:sz="6" w:space="0" w:color="FF6600"/>
              <w:right w:val="single" w:sz="6" w:space="0" w:color="FF6600"/>
            </w:tcBorders>
            <w:vAlign w:val="center"/>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hint="eastAsia"/>
                <w:color w:val="000000"/>
                <w:sz w:val="18"/>
                <w:szCs w:val="18"/>
              </w:rPr>
              <w:t>开放式</w:t>
            </w:r>
          </w:p>
        </w:tc>
        <w:tc>
          <w:tcPr>
            <w:tcW w:w="851" w:type="dxa"/>
            <w:tcBorders>
              <w:left w:val="single" w:sz="6" w:space="0" w:color="FF6600"/>
              <w:right w:val="single" w:sz="6" w:space="0" w:color="FF6600"/>
            </w:tcBorders>
          </w:tcPr>
          <w:p w:rsidR="00D41032" w:rsidRPr="007853FB" w:rsidRDefault="00D41032" w:rsidP="007853FB">
            <w:pPr>
              <w:jc w:val="center"/>
              <w:rPr>
                <w:rFonts w:ascii="楷体" w:eastAsia="楷体" w:hAnsi="楷体" w:cs="宋体"/>
                <w:color w:val="000000"/>
                <w:sz w:val="18"/>
                <w:szCs w:val="18"/>
              </w:rPr>
            </w:pPr>
            <w:r w:rsidRPr="00635B60">
              <w:rPr>
                <w:rFonts w:ascii="楷体" w:eastAsia="楷体" w:hAnsi="楷体"/>
                <w:color w:val="000000"/>
                <w:sz w:val="18"/>
                <w:szCs w:val="18"/>
              </w:rPr>
              <w:t>9.28</w:t>
            </w:r>
          </w:p>
        </w:tc>
        <w:tc>
          <w:tcPr>
            <w:tcW w:w="992" w:type="dxa"/>
            <w:vMerge/>
            <w:tcBorders>
              <w:left w:val="single" w:sz="6" w:space="0" w:color="FF6600"/>
              <w:right w:val="single" w:sz="6" w:space="0" w:color="FF6600"/>
            </w:tcBorders>
            <w:shd w:val="clear" w:color="auto" w:fill="FDE9D9"/>
            <w:vAlign w:val="center"/>
          </w:tcPr>
          <w:p w:rsidR="00D41032" w:rsidRPr="00635B60" w:rsidRDefault="00D41032"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1843"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709" w:type="dxa"/>
            <w:tcBorders>
              <w:left w:val="single" w:sz="6" w:space="0" w:color="FF6600"/>
              <w:righ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c>
          <w:tcPr>
            <w:tcW w:w="850" w:type="dxa"/>
            <w:tcBorders>
              <w:left w:val="single" w:sz="6" w:space="0" w:color="FF6600"/>
            </w:tcBorders>
            <w:vAlign w:val="center"/>
          </w:tcPr>
          <w:p w:rsidR="00D41032" w:rsidRPr="00635B60" w:rsidRDefault="00D41032" w:rsidP="007853FB">
            <w:pPr>
              <w:snapToGrid w:val="0"/>
              <w:jc w:val="center"/>
              <w:rPr>
                <w:rFonts w:ascii="楷体" w:eastAsia="楷体" w:hAnsi="楷体"/>
                <w:color w:val="FF0000"/>
                <w:sz w:val="18"/>
                <w:szCs w:val="18"/>
              </w:rPr>
            </w:pPr>
          </w:p>
        </w:tc>
      </w:tr>
    </w:tbl>
    <w:p w:rsidR="00D41032" w:rsidRPr="005B7CDB" w:rsidRDefault="00D41032"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D41032" w:rsidRPr="005B7CDB" w:rsidRDefault="00D41032"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t>特别声明：</w:t>
      </w:r>
    </w:p>
    <w:p w:rsidR="00D41032" w:rsidRPr="005B7CDB" w:rsidRDefault="00D41032" w:rsidP="00635B60">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D41032" w:rsidRPr="005B7CDB" w:rsidRDefault="00D41032" w:rsidP="00635B60">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41032" w:rsidRPr="005B7CDB" w:rsidRDefault="00D41032" w:rsidP="00635B60">
      <w:pPr>
        <w:pStyle w:val="a4"/>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D41032" w:rsidRPr="005B7CDB" w:rsidRDefault="00D41032">
      <w:pPr>
        <w:rPr>
          <w:rFonts w:ascii="楷体" w:eastAsia="楷体" w:hAnsi="楷体"/>
          <w:lang w:val="en-GB"/>
        </w:rPr>
      </w:pPr>
    </w:p>
    <w:sectPr w:rsidR="00D41032"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032" w:rsidRDefault="00D41032" w:rsidP="00B10000">
      <w:r>
        <w:separator/>
      </w:r>
    </w:p>
  </w:endnote>
  <w:endnote w:type="continuationSeparator" w:id="0">
    <w:p w:rsidR="00D41032" w:rsidRDefault="00D41032"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iTi_GB2312">
    <w:panose1 w:val="0201060906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2" w:rsidRDefault="00D41032">
    <w:pPr>
      <w:pStyle w:val="Footer"/>
      <w:jc w:val="center"/>
    </w:pPr>
    <w:r>
      <w:pict>
        <v:rect id="_x0000_i1032"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D41032" w:rsidRDefault="00D410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2" w:rsidRDefault="00D41032">
    <w:pPr>
      <w:pStyle w:val="Footer"/>
      <w:jc w:val="center"/>
    </w:pPr>
    <w:r>
      <w:pict>
        <v:rect id="_x0000_i104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D41032" w:rsidRDefault="00D41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032" w:rsidRDefault="00D41032" w:rsidP="00B10000">
      <w:r>
        <w:separator/>
      </w:r>
    </w:p>
  </w:footnote>
  <w:footnote w:type="continuationSeparator" w:id="0">
    <w:p w:rsidR="00D41032" w:rsidRDefault="00D41032"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2" w:rsidRDefault="00D41032"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D41032" w:rsidRDefault="00D41032" w:rsidP="00B10000">
                  <w:pPr>
                    <w:pStyle w:val="12"/>
                  </w:pPr>
                  <w:r w:rsidRPr="00852F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D41032" w:rsidRPr="006E0F3C" w:rsidRDefault="00D41032" w:rsidP="00B10000">
                  <w:pPr>
                    <w:pStyle w:val="2"/>
                  </w:pPr>
                  <w:r>
                    <w:rPr>
                      <w:rFonts w:hint="eastAsia"/>
                    </w:rPr>
                    <w:t>公募基金周报（</w:t>
                  </w:r>
                  <w:r>
                    <w:t>2014.10.27~2014.10.31</w:t>
                  </w:r>
                  <w:r>
                    <w:rPr>
                      <w:rFonts w:hint="eastAsia"/>
                    </w:rPr>
                    <w:t>）</w:t>
                  </w:r>
                </w:p>
              </w:txbxContent>
            </v:textbox>
          </v:shape>
        </v:group>
      </w:pict>
    </w:r>
    <w:r>
      <w:pict>
        <v:rect id="_x0000_i1029"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32" w:rsidRDefault="00D41032" w:rsidP="008B028E">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D41032" w:rsidRDefault="00D41032" w:rsidP="00B10000">
                  <w:pPr>
                    <w:pStyle w:val="a0"/>
                  </w:pPr>
                  <w:r w:rsidRPr="00852F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9"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D41032" w:rsidRPr="006E0F3C" w:rsidRDefault="00D41032"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D41032" w:rsidRPr="006E0F3C" w:rsidRDefault="00D41032" w:rsidP="00B10000">
                  <w:pPr>
                    <w:pStyle w:val="a1"/>
                    <w:jc w:val="right"/>
                  </w:pPr>
                  <w:r>
                    <w:t>2014</w:t>
                  </w:r>
                  <w:r w:rsidRPr="006E0F3C">
                    <w:rPr>
                      <w:rFonts w:hint="eastAsia"/>
                    </w:rPr>
                    <w:t>年</w:t>
                  </w:r>
                  <w:r>
                    <w:t>11</w:t>
                  </w:r>
                  <w:r w:rsidRPr="006E0F3C">
                    <w:rPr>
                      <w:rFonts w:hint="eastAsia"/>
                    </w:rPr>
                    <w:t>月</w:t>
                  </w:r>
                  <w:r>
                    <w:t>3</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D41032" w:rsidRPr="00667F84" w:rsidRDefault="00D41032" w:rsidP="00073ED8">
                  <w:pPr>
                    <w:pStyle w:val="a2"/>
                    <w:ind w:right="180"/>
                    <w:jc w:val="right"/>
                  </w:pPr>
                  <w:r>
                    <w:rPr>
                      <w:rFonts w:hint="eastAsia"/>
                    </w:rPr>
                    <w:t>大盘止跌反弹，各类公募普涨</w:t>
                  </w:r>
                </w:p>
                <w:p w:rsidR="00D41032" w:rsidRPr="00624366" w:rsidRDefault="00D41032" w:rsidP="00B10000">
                  <w:pPr>
                    <w:pStyle w:val="a2"/>
                    <w:jc w:val="right"/>
                    <w:rPr>
                      <w:sz w:val="28"/>
                      <w:szCs w:val="28"/>
                    </w:rPr>
                  </w:pPr>
                  <w:r w:rsidRPr="0095202C">
                    <w:rPr>
                      <w:rFonts w:hint="eastAsia"/>
                      <w:sz w:val="28"/>
                      <w:szCs w:val="28"/>
                    </w:rPr>
                    <w:t>公募基金周报（</w:t>
                  </w:r>
                  <w:r>
                    <w:rPr>
                      <w:sz w:val="28"/>
                      <w:szCs w:val="28"/>
                    </w:rPr>
                    <w:t>2014.10.27</w:t>
                  </w:r>
                  <w:r w:rsidRPr="0095202C">
                    <w:rPr>
                      <w:sz w:val="28"/>
                      <w:szCs w:val="28"/>
                    </w:rPr>
                    <w:t>~</w:t>
                  </w:r>
                  <w:r>
                    <w:rPr>
                      <w:sz w:val="28"/>
                      <w:szCs w:val="28"/>
                    </w:rPr>
                    <w:t>2014.10.31</w:t>
                  </w:r>
                  <w:r w:rsidRPr="0095202C">
                    <w:rPr>
                      <w:rFonts w:hint="eastAsia"/>
                      <w:sz w:val="28"/>
                      <w:szCs w:val="28"/>
                    </w:rPr>
                    <w:t>）</w:t>
                  </w:r>
                </w:p>
              </w:txbxContent>
            </v:textbox>
          </v:shape>
          <v:shape id="_x0000_s2057" type="#_x0000_t202" style="position:absolute;left:3246;top:2578;width:7993;height:627" strokecolor="white">
            <v:textbox style="mso-next-textbox:#_x0000_s2057">
              <w:txbxContent>
                <w:p w:rsidR="00D41032" w:rsidRDefault="00D41032" w:rsidP="005E42B1">
                  <w:pPr>
                    <w:pStyle w:val="a3"/>
                    <w:wordWrap w:val="0"/>
                    <w:ind w:right="420"/>
                  </w:pPr>
                  <w:r>
                    <w:rPr>
                      <w:rFonts w:hint="eastAsia"/>
                    </w:rPr>
                    <w:t>万晓微</w:t>
                  </w:r>
                  <w:r>
                    <w:t xml:space="preserve">  </w:t>
                  </w:r>
                  <w:r>
                    <w:rPr>
                      <w:rFonts w:hint="eastAsia"/>
                    </w:rPr>
                    <w:t>联系人</w:t>
                  </w:r>
                </w:p>
                <w:p w:rsidR="00D41032" w:rsidRPr="006E0F3C" w:rsidRDefault="00D41032" w:rsidP="005E42B1">
                  <w:pPr>
                    <w:pStyle w:val="a3"/>
                  </w:pPr>
                  <w:r>
                    <w:rPr>
                      <w:rFonts w:hint="eastAsia"/>
                    </w:rPr>
                    <w:t>杨</w:t>
                  </w:r>
                  <w:r>
                    <w:t xml:space="preserve">  </w:t>
                  </w:r>
                  <w:r>
                    <w:rPr>
                      <w:rFonts w:hint="eastAsia"/>
                    </w:rPr>
                    <w:t>舒</w:t>
                  </w:r>
                  <w:r w:rsidRPr="006E0F3C">
                    <w:t xml:space="preserve"> </w:t>
                  </w:r>
                  <w:r>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abstractNum w:abstractNumId="6">
    <w:nsid w:val="7DB2660F"/>
    <w:multiLevelType w:val="hybridMultilevel"/>
    <w:tmpl w:val="20BAD2A2"/>
    <w:lvl w:ilvl="0" w:tplc="74927076">
      <w:start w:val="1"/>
      <w:numFmt w:val="bullet"/>
      <w:pStyle w:val="Heading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141"/>
    <w:rsid w:val="00000FDF"/>
    <w:rsid w:val="0000120D"/>
    <w:rsid w:val="00001D3E"/>
    <w:rsid w:val="00003664"/>
    <w:rsid w:val="00004B2E"/>
    <w:rsid w:val="00006269"/>
    <w:rsid w:val="00006540"/>
    <w:rsid w:val="000067F9"/>
    <w:rsid w:val="000067FB"/>
    <w:rsid w:val="00007D8C"/>
    <w:rsid w:val="00011851"/>
    <w:rsid w:val="000119BE"/>
    <w:rsid w:val="000126C4"/>
    <w:rsid w:val="0001365A"/>
    <w:rsid w:val="00013790"/>
    <w:rsid w:val="00015E23"/>
    <w:rsid w:val="0001604D"/>
    <w:rsid w:val="000162FF"/>
    <w:rsid w:val="000204F2"/>
    <w:rsid w:val="000212A0"/>
    <w:rsid w:val="0002164B"/>
    <w:rsid w:val="000219A1"/>
    <w:rsid w:val="000225B4"/>
    <w:rsid w:val="00024188"/>
    <w:rsid w:val="00024C7D"/>
    <w:rsid w:val="00026FF9"/>
    <w:rsid w:val="000305DC"/>
    <w:rsid w:val="00031276"/>
    <w:rsid w:val="000341C3"/>
    <w:rsid w:val="00034C20"/>
    <w:rsid w:val="00036038"/>
    <w:rsid w:val="00036AB5"/>
    <w:rsid w:val="00036BCD"/>
    <w:rsid w:val="00037343"/>
    <w:rsid w:val="000374FE"/>
    <w:rsid w:val="00037BAF"/>
    <w:rsid w:val="00042A77"/>
    <w:rsid w:val="000454A8"/>
    <w:rsid w:val="0004751A"/>
    <w:rsid w:val="00047EDC"/>
    <w:rsid w:val="000507E5"/>
    <w:rsid w:val="0005101C"/>
    <w:rsid w:val="00053854"/>
    <w:rsid w:val="00056D77"/>
    <w:rsid w:val="00057142"/>
    <w:rsid w:val="00060829"/>
    <w:rsid w:val="000621C7"/>
    <w:rsid w:val="0006243F"/>
    <w:rsid w:val="00062965"/>
    <w:rsid w:val="00064DAE"/>
    <w:rsid w:val="00064E08"/>
    <w:rsid w:val="000677D5"/>
    <w:rsid w:val="00070307"/>
    <w:rsid w:val="00072445"/>
    <w:rsid w:val="00073843"/>
    <w:rsid w:val="00073BEE"/>
    <w:rsid w:val="00073ED8"/>
    <w:rsid w:val="0007448E"/>
    <w:rsid w:val="00074E24"/>
    <w:rsid w:val="00075931"/>
    <w:rsid w:val="00076641"/>
    <w:rsid w:val="00080386"/>
    <w:rsid w:val="00081D63"/>
    <w:rsid w:val="000822B8"/>
    <w:rsid w:val="000856DF"/>
    <w:rsid w:val="0009128D"/>
    <w:rsid w:val="000913FB"/>
    <w:rsid w:val="00091649"/>
    <w:rsid w:val="00091971"/>
    <w:rsid w:val="00091E0E"/>
    <w:rsid w:val="000929C7"/>
    <w:rsid w:val="00092C5E"/>
    <w:rsid w:val="000941BB"/>
    <w:rsid w:val="00094650"/>
    <w:rsid w:val="00097363"/>
    <w:rsid w:val="00097FE0"/>
    <w:rsid w:val="000A284C"/>
    <w:rsid w:val="000A2DCE"/>
    <w:rsid w:val="000A2FAE"/>
    <w:rsid w:val="000A384C"/>
    <w:rsid w:val="000B0D20"/>
    <w:rsid w:val="000B21FF"/>
    <w:rsid w:val="000B31B2"/>
    <w:rsid w:val="000B3641"/>
    <w:rsid w:val="000B5823"/>
    <w:rsid w:val="000B6F70"/>
    <w:rsid w:val="000B712C"/>
    <w:rsid w:val="000B716A"/>
    <w:rsid w:val="000B7203"/>
    <w:rsid w:val="000B7C3D"/>
    <w:rsid w:val="000C023E"/>
    <w:rsid w:val="000C0348"/>
    <w:rsid w:val="000C088F"/>
    <w:rsid w:val="000C08C5"/>
    <w:rsid w:val="000C32D5"/>
    <w:rsid w:val="000C3A57"/>
    <w:rsid w:val="000C4D6A"/>
    <w:rsid w:val="000C4EBD"/>
    <w:rsid w:val="000C51A4"/>
    <w:rsid w:val="000C6B9E"/>
    <w:rsid w:val="000C6E03"/>
    <w:rsid w:val="000C7DF2"/>
    <w:rsid w:val="000D01F8"/>
    <w:rsid w:val="000D1136"/>
    <w:rsid w:val="000D27F8"/>
    <w:rsid w:val="000D4A66"/>
    <w:rsid w:val="000D6FC5"/>
    <w:rsid w:val="000D73AB"/>
    <w:rsid w:val="000E14C2"/>
    <w:rsid w:val="000E17E0"/>
    <w:rsid w:val="000E217B"/>
    <w:rsid w:val="000E371E"/>
    <w:rsid w:val="000E37D5"/>
    <w:rsid w:val="000E39C2"/>
    <w:rsid w:val="000E5E16"/>
    <w:rsid w:val="000E62CE"/>
    <w:rsid w:val="000E6D9A"/>
    <w:rsid w:val="000E713F"/>
    <w:rsid w:val="000F0312"/>
    <w:rsid w:val="000F10CB"/>
    <w:rsid w:val="000F325C"/>
    <w:rsid w:val="001003DE"/>
    <w:rsid w:val="00100572"/>
    <w:rsid w:val="00100CB5"/>
    <w:rsid w:val="00102234"/>
    <w:rsid w:val="001024F4"/>
    <w:rsid w:val="00103C41"/>
    <w:rsid w:val="00104265"/>
    <w:rsid w:val="001063EA"/>
    <w:rsid w:val="001064E7"/>
    <w:rsid w:val="00106D18"/>
    <w:rsid w:val="001073F0"/>
    <w:rsid w:val="0010775F"/>
    <w:rsid w:val="001106F0"/>
    <w:rsid w:val="00111BEB"/>
    <w:rsid w:val="00111D39"/>
    <w:rsid w:val="001130D2"/>
    <w:rsid w:val="00113E7A"/>
    <w:rsid w:val="00114389"/>
    <w:rsid w:val="00115337"/>
    <w:rsid w:val="001169B2"/>
    <w:rsid w:val="00120197"/>
    <w:rsid w:val="00120F16"/>
    <w:rsid w:val="00121295"/>
    <w:rsid w:val="001230AE"/>
    <w:rsid w:val="00123F2B"/>
    <w:rsid w:val="00125825"/>
    <w:rsid w:val="00126B45"/>
    <w:rsid w:val="00127385"/>
    <w:rsid w:val="00130016"/>
    <w:rsid w:val="00130DAF"/>
    <w:rsid w:val="001312C8"/>
    <w:rsid w:val="0013161E"/>
    <w:rsid w:val="0013294D"/>
    <w:rsid w:val="00133AAB"/>
    <w:rsid w:val="00136BFE"/>
    <w:rsid w:val="00137C4A"/>
    <w:rsid w:val="001403F1"/>
    <w:rsid w:val="00147EA7"/>
    <w:rsid w:val="001506C6"/>
    <w:rsid w:val="00150FC3"/>
    <w:rsid w:val="001522E7"/>
    <w:rsid w:val="00152902"/>
    <w:rsid w:val="001531C5"/>
    <w:rsid w:val="001533D0"/>
    <w:rsid w:val="00154684"/>
    <w:rsid w:val="00154896"/>
    <w:rsid w:val="00154C4E"/>
    <w:rsid w:val="0015518D"/>
    <w:rsid w:val="00155E7B"/>
    <w:rsid w:val="0015777B"/>
    <w:rsid w:val="00160A00"/>
    <w:rsid w:val="00160B05"/>
    <w:rsid w:val="0016637B"/>
    <w:rsid w:val="0016750A"/>
    <w:rsid w:val="0017058D"/>
    <w:rsid w:val="001707EB"/>
    <w:rsid w:val="001709A2"/>
    <w:rsid w:val="00171E16"/>
    <w:rsid w:val="00172C7D"/>
    <w:rsid w:val="001732F3"/>
    <w:rsid w:val="001735B0"/>
    <w:rsid w:val="001736DF"/>
    <w:rsid w:val="001757C6"/>
    <w:rsid w:val="001757D1"/>
    <w:rsid w:val="001757EC"/>
    <w:rsid w:val="001765DA"/>
    <w:rsid w:val="00176FFB"/>
    <w:rsid w:val="00181DC4"/>
    <w:rsid w:val="00181DE3"/>
    <w:rsid w:val="001824C1"/>
    <w:rsid w:val="00183A83"/>
    <w:rsid w:val="00185298"/>
    <w:rsid w:val="00185397"/>
    <w:rsid w:val="001866D5"/>
    <w:rsid w:val="00187DBC"/>
    <w:rsid w:val="00190A08"/>
    <w:rsid w:val="001913B3"/>
    <w:rsid w:val="00192281"/>
    <w:rsid w:val="001929EF"/>
    <w:rsid w:val="00194A20"/>
    <w:rsid w:val="00196BC9"/>
    <w:rsid w:val="001A04CB"/>
    <w:rsid w:val="001A20EF"/>
    <w:rsid w:val="001A4657"/>
    <w:rsid w:val="001A7013"/>
    <w:rsid w:val="001A74F7"/>
    <w:rsid w:val="001B0FB5"/>
    <w:rsid w:val="001B197C"/>
    <w:rsid w:val="001B1A86"/>
    <w:rsid w:val="001B1E97"/>
    <w:rsid w:val="001B3B5C"/>
    <w:rsid w:val="001B3B9B"/>
    <w:rsid w:val="001B3E3A"/>
    <w:rsid w:val="001B4102"/>
    <w:rsid w:val="001B472A"/>
    <w:rsid w:val="001B6D17"/>
    <w:rsid w:val="001B6D2E"/>
    <w:rsid w:val="001B7AA9"/>
    <w:rsid w:val="001C0504"/>
    <w:rsid w:val="001C1C98"/>
    <w:rsid w:val="001C2E66"/>
    <w:rsid w:val="001C3226"/>
    <w:rsid w:val="001C343E"/>
    <w:rsid w:val="001C46F8"/>
    <w:rsid w:val="001D0941"/>
    <w:rsid w:val="001D0ED6"/>
    <w:rsid w:val="001D10EA"/>
    <w:rsid w:val="001D1F68"/>
    <w:rsid w:val="001D293B"/>
    <w:rsid w:val="001D33CC"/>
    <w:rsid w:val="001D45B3"/>
    <w:rsid w:val="001D4758"/>
    <w:rsid w:val="001D5DD8"/>
    <w:rsid w:val="001D6224"/>
    <w:rsid w:val="001D75AA"/>
    <w:rsid w:val="001E182A"/>
    <w:rsid w:val="001E2509"/>
    <w:rsid w:val="001E3E6D"/>
    <w:rsid w:val="001E3FEC"/>
    <w:rsid w:val="001E5298"/>
    <w:rsid w:val="001E5E74"/>
    <w:rsid w:val="001E6FE6"/>
    <w:rsid w:val="001E7012"/>
    <w:rsid w:val="001F13E5"/>
    <w:rsid w:val="001F2B31"/>
    <w:rsid w:val="001F4217"/>
    <w:rsid w:val="001F5143"/>
    <w:rsid w:val="001F602C"/>
    <w:rsid w:val="00200F65"/>
    <w:rsid w:val="0020555F"/>
    <w:rsid w:val="00207198"/>
    <w:rsid w:val="0021175A"/>
    <w:rsid w:val="002123E6"/>
    <w:rsid w:val="00212819"/>
    <w:rsid w:val="002134BF"/>
    <w:rsid w:val="0021355A"/>
    <w:rsid w:val="00215FD6"/>
    <w:rsid w:val="0021658D"/>
    <w:rsid w:val="00217126"/>
    <w:rsid w:val="00217252"/>
    <w:rsid w:val="00221A18"/>
    <w:rsid w:val="00223AC5"/>
    <w:rsid w:val="00224D0D"/>
    <w:rsid w:val="00225508"/>
    <w:rsid w:val="0022551E"/>
    <w:rsid w:val="00225E44"/>
    <w:rsid w:val="00226D20"/>
    <w:rsid w:val="00227C4D"/>
    <w:rsid w:val="00230CEA"/>
    <w:rsid w:val="002313E0"/>
    <w:rsid w:val="00231AF8"/>
    <w:rsid w:val="002321AB"/>
    <w:rsid w:val="002327F6"/>
    <w:rsid w:val="00233317"/>
    <w:rsid w:val="002338C0"/>
    <w:rsid w:val="00233AC4"/>
    <w:rsid w:val="002344A5"/>
    <w:rsid w:val="00235525"/>
    <w:rsid w:val="002379F3"/>
    <w:rsid w:val="002413CF"/>
    <w:rsid w:val="00241CE2"/>
    <w:rsid w:val="002423F7"/>
    <w:rsid w:val="0024271D"/>
    <w:rsid w:val="00242D53"/>
    <w:rsid w:val="00242D8D"/>
    <w:rsid w:val="00245068"/>
    <w:rsid w:val="002451DB"/>
    <w:rsid w:val="00245B98"/>
    <w:rsid w:val="00246A3D"/>
    <w:rsid w:val="002479FC"/>
    <w:rsid w:val="00247B9F"/>
    <w:rsid w:val="0025117A"/>
    <w:rsid w:val="0025195E"/>
    <w:rsid w:val="00252878"/>
    <w:rsid w:val="00253B42"/>
    <w:rsid w:val="00256FE2"/>
    <w:rsid w:val="0025748F"/>
    <w:rsid w:val="00257525"/>
    <w:rsid w:val="00257B4B"/>
    <w:rsid w:val="00257D31"/>
    <w:rsid w:val="0026029B"/>
    <w:rsid w:val="00261ADB"/>
    <w:rsid w:val="00261BE7"/>
    <w:rsid w:val="002637EF"/>
    <w:rsid w:val="0026413E"/>
    <w:rsid w:val="002643C4"/>
    <w:rsid w:val="002645D0"/>
    <w:rsid w:val="00264C5C"/>
    <w:rsid w:val="002659DF"/>
    <w:rsid w:val="00265B6D"/>
    <w:rsid w:val="00265D17"/>
    <w:rsid w:val="0027079A"/>
    <w:rsid w:val="00272F28"/>
    <w:rsid w:val="00273C1B"/>
    <w:rsid w:val="00275EC5"/>
    <w:rsid w:val="00276D8F"/>
    <w:rsid w:val="0027722C"/>
    <w:rsid w:val="00281145"/>
    <w:rsid w:val="00281F38"/>
    <w:rsid w:val="00281FF8"/>
    <w:rsid w:val="002840F1"/>
    <w:rsid w:val="00284688"/>
    <w:rsid w:val="00286F58"/>
    <w:rsid w:val="00290143"/>
    <w:rsid w:val="00290712"/>
    <w:rsid w:val="0029089C"/>
    <w:rsid w:val="00290EC1"/>
    <w:rsid w:val="002919F1"/>
    <w:rsid w:val="00291B5F"/>
    <w:rsid w:val="00292E2D"/>
    <w:rsid w:val="00293321"/>
    <w:rsid w:val="00293928"/>
    <w:rsid w:val="00294614"/>
    <w:rsid w:val="0029599D"/>
    <w:rsid w:val="00296C0E"/>
    <w:rsid w:val="00297532"/>
    <w:rsid w:val="00297F35"/>
    <w:rsid w:val="002A1208"/>
    <w:rsid w:val="002A190B"/>
    <w:rsid w:val="002A3099"/>
    <w:rsid w:val="002A34F9"/>
    <w:rsid w:val="002A37A1"/>
    <w:rsid w:val="002A3FBB"/>
    <w:rsid w:val="002A45E7"/>
    <w:rsid w:val="002A5630"/>
    <w:rsid w:val="002A6AB8"/>
    <w:rsid w:val="002A7560"/>
    <w:rsid w:val="002A79C3"/>
    <w:rsid w:val="002B0922"/>
    <w:rsid w:val="002B0F8E"/>
    <w:rsid w:val="002B114E"/>
    <w:rsid w:val="002B128A"/>
    <w:rsid w:val="002B1A4F"/>
    <w:rsid w:val="002B3374"/>
    <w:rsid w:val="002B3515"/>
    <w:rsid w:val="002B3544"/>
    <w:rsid w:val="002B368B"/>
    <w:rsid w:val="002B4921"/>
    <w:rsid w:val="002B5A7F"/>
    <w:rsid w:val="002B615B"/>
    <w:rsid w:val="002B7B9F"/>
    <w:rsid w:val="002C0245"/>
    <w:rsid w:val="002C095D"/>
    <w:rsid w:val="002C1257"/>
    <w:rsid w:val="002C2F59"/>
    <w:rsid w:val="002C337A"/>
    <w:rsid w:val="002C5323"/>
    <w:rsid w:val="002C5822"/>
    <w:rsid w:val="002C6DA1"/>
    <w:rsid w:val="002C75C8"/>
    <w:rsid w:val="002C777A"/>
    <w:rsid w:val="002D013F"/>
    <w:rsid w:val="002D0968"/>
    <w:rsid w:val="002D1F64"/>
    <w:rsid w:val="002D26EA"/>
    <w:rsid w:val="002D2967"/>
    <w:rsid w:val="002D33C7"/>
    <w:rsid w:val="002D361E"/>
    <w:rsid w:val="002D3F9A"/>
    <w:rsid w:val="002D47FE"/>
    <w:rsid w:val="002D7B70"/>
    <w:rsid w:val="002D7BF5"/>
    <w:rsid w:val="002E0C37"/>
    <w:rsid w:val="002E12A4"/>
    <w:rsid w:val="002E1DB4"/>
    <w:rsid w:val="002E5B19"/>
    <w:rsid w:val="002E6183"/>
    <w:rsid w:val="002E772B"/>
    <w:rsid w:val="002E7B53"/>
    <w:rsid w:val="002F1D00"/>
    <w:rsid w:val="002F2866"/>
    <w:rsid w:val="002F3B45"/>
    <w:rsid w:val="002F4660"/>
    <w:rsid w:val="002F504E"/>
    <w:rsid w:val="002F55EC"/>
    <w:rsid w:val="002F5B82"/>
    <w:rsid w:val="002F5E62"/>
    <w:rsid w:val="00300242"/>
    <w:rsid w:val="00300A5A"/>
    <w:rsid w:val="00302EDB"/>
    <w:rsid w:val="00303164"/>
    <w:rsid w:val="00304661"/>
    <w:rsid w:val="003069F4"/>
    <w:rsid w:val="003072D1"/>
    <w:rsid w:val="00311935"/>
    <w:rsid w:val="00314942"/>
    <w:rsid w:val="00315ECA"/>
    <w:rsid w:val="003162DE"/>
    <w:rsid w:val="003163A1"/>
    <w:rsid w:val="003168D1"/>
    <w:rsid w:val="003173B8"/>
    <w:rsid w:val="00322227"/>
    <w:rsid w:val="00323F6F"/>
    <w:rsid w:val="003253E4"/>
    <w:rsid w:val="003258CF"/>
    <w:rsid w:val="00325916"/>
    <w:rsid w:val="00326DD8"/>
    <w:rsid w:val="00327C6B"/>
    <w:rsid w:val="0033170F"/>
    <w:rsid w:val="00331CA2"/>
    <w:rsid w:val="00334383"/>
    <w:rsid w:val="003362A1"/>
    <w:rsid w:val="003373AC"/>
    <w:rsid w:val="003406CE"/>
    <w:rsid w:val="003417B7"/>
    <w:rsid w:val="00341CB3"/>
    <w:rsid w:val="00343429"/>
    <w:rsid w:val="0034351F"/>
    <w:rsid w:val="00343694"/>
    <w:rsid w:val="00343D07"/>
    <w:rsid w:val="003440C8"/>
    <w:rsid w:val="00344B0F"/>
    <w:rsid w:val="003462B6"/>
    <w:rsid w:val="0035051D"/>
    <w:rsid w:val="0035107C"/>
    <w:rsid w:val="00351538"/>
    <w:rsid w:val="00354855"/>
    <w:rsid w:val="00354C5A"/>
    <w:rsid w:val="00354CB8"/>
    <w:rsid w:val="00355317"/>
    <w:rsid w:val="00355CC6"/>
    <w:rsid w:val="00356092"/>
    <w:rsid w:val="00357725"/>
    <w:rsid w:val="00357A68"/>
    <w:rsid w:val="0036098B"/>
    <w:rsid w:val="00360B1F"/>
    <w:rsid w:val="003629A1"/>
    <w:rsid w:val="00362BDF"/>
    <w:rsid w:val="003630D1"/>
    <w:rsid w:val="00363312"/>
    <w:rsid w:val="0036352A"/>
    <w:rsid w:val="003637FA"/>
    <w:rsid w:val="00363986"/>
    <w:rsid w:val="00364108"/>
    <w:rsid w:val="00364CD1"/>
    <w:rsid w:val="00365F1B"/>
    <w:rsid w:val="00366189"/>
    <w:rsid w:val="00366935"/>
    <w:rsid w:val="00366E94"/>
    <w:rsid w:val="0036766C"/>
    <w:rsid w:val="00370701"/>
    <w:rsid w:val="00370A76"/>
    <w:rsid w:val="00370B61"/>
    <w:rsid w:val="00371002"/>
    <w:rsid w:val="00371BA7"/>
    <w:rsid w:val="00372756"/>
    <w:rsid w:val="003737C6"/>
    <w:rsid w:val="00373948"/>
    <w:rsid w:val="00373A37"/>
    <w:rsid w:val="00374506"/>
    <w:rsid w:val="003746B1"/>
    <w:rsid w:val="0037492D"/>
    <w:rsid w:val="00374BA5"/>
    <w:rsid w:val="00375B9D"/>
    <w:rsid w:val="003771E7"/>
    <w:rsid w:val="003778C1"/>
    <w:rsid w:val="00377F18"/>
    <w:rsid w:val="0038003D"/>
    <w:rsid w:val="00380361"/>
    <w:rsid w:val="00380EEB"/>
    <w:rsid w:val="0038273D"/>
    <w:rsid w:val="00382C66"/>
    <w:rsid w:val="0038350E"/>
    <w:rsid w:val="00384718"/>
    <w:rsid w:val="00384812"/>
    <w:rsid w:val="003868A6"/>
    <w:rsid w:val="00386B54"/>
    <w:rsid w:val="003901F3"/>
    <w:rsid w:val="003903DA"/>
    <w:rsid w:val="00390A0F"/>
    <w:rsid w:val="003919B4"/>
    <w:rsid w:val="003920E5"/>
    <w:rsid w:val="0039344D"/>
    <w:rsid w:val="003935BF"/>
    <w:rsid w:val="003936BE"/>
    <w:rsid w:val="003940C0"/>
    <w:rsid w:val="0039511A"/>
    <w:rsid w:val="00395B1F"/>
    <w:rsid w:val="003960A9"/>
    <w:rsid w:val="00396ECB"/>
    <w:rsid w:val="00397178"/>
    <w:rsid w:val="003A036D"/>
    <w:rsid w:val="003A0E58"/>
    <w:rsid w:val="003A2FAE"/>
    <w:rsid w:val="003A5083"/>
    <w:rsid w:val="003A50E7"/>
    <w:rsid w:val="003A5519"/>
    <w:rsid w:val="003A5C5F"/>
    <w:rsid w:val="003A6147"/>
    <w:rsid w:val="003B10CC"/>
    <w:rsid w:val="003B126E"/>
    <w:rsid w:val="003B1409"/>
    <w:rsid w:val="003B2635"/>
    <w:rsid w:val="003B2637"/>
    <w:rsid w:val="003B35FC"/>
    <w:rsid w:val="003B3C9C"/>
    <w:rsid w:val="003B45D3"/>
    <w:rsid w:val="003B5D7E"/>
    <w:rsid w:val="003B5E85"/>
    <w:rsid w:val="003B6A6A"/>
    <w:rsid w:val="003B6C66"/>
    <w:rsid w:val="003C0101"/>
    <w:rsid w:val="003C08A1"/>
    <w:rsid w:val="003C1392"/>
    <w:rsid w:val="003C13DB"/>
    <w:rsid w:val="003C2907"/>
    <w:rsid w:val="003C2CC0"/>
    <w:rsid w:val="003C5C90"/>
    <w:rsid w:val="003C77A2"/>
    <w:rsid w:val="003C7C60"/>
    <w:rsid w:val="003D3780"/>
    <w:rsid w:val="003D3C89"/>
    <w:rsid w:val="003D445A"/>
    <w:rsid w:val="003D4C21"/>
    <w:rsid w:val="003D4E0C"/>
    <w:rsid w:val="003E0FE3"/>
    <w:rsid w:val="003E104D"/>
    <w:rsid w:val="003E2C89"/>
    <w:rsid w:val="003E3E40"/>
    <w:rsid w:val="003E6742"/>
    <w:rsid w:val="003F0F93"/>
    <w:rsid w:val="003F158A"/>
    <w:rsid w:val="003F15EB"/>
    <w:rsid w:val="003F18DA"/>
    <w:rsid w:val="003F2B05"/>
    <w:rsid w:val="003F3DCE"/>
    <w:rsid w:val="003F4C66"/>
    <w:rsid w:val="003F4C8D"/>
    <w:rsid w:val="003F501F"/>
    <w:rsid w:val="003F562A"/>
    <w:rsid w:val="003F647D"/>
    <w:rsid w:val="003F6D13"/>
    <w:rsid w:val="003F7490"/>
    <w:rsid w:val="003F7591"/>
    <w:rsid w:val="003F765F"/>
    <w:rsid w:val="004010BD"/>
    <w:rsid w:val="00402243"/>
    <w:rsid w:val="00402302"/>
    <w:rsid w:val="004025B1"/>
    <w:rsid w:val="00403CD9"/>
    <w:rsid w:val="004041B3"/>
    <w:rsid w:val="004049E1"/>
    <w:rsid w:val="00404A3A"/>
    <w:rsid w:val="0040548E"/>
    <w:rsid w:val="00405C38"/>
    <w:rsid w:val="00406576"/>
    <w:rsid w:val="0040695C"/>
    <w:rsid w:val="0040729F"/>
    <w:rsid w:val="00407E0E"/>
    <w:rsid w:val="00410F2F"/>
    <w:rsid w:val="004120F5"/>
    <w:rsid w:val="004130AB"/>
    <w:rsid w:val="0041361B"/>
    <w:rsid w:val="00413A93"/>
    <w:rsid w:val="00415080"/>
    <w:rsid w:val="0041702F"/>
    <w:rsid w:val="00417258"/>
    <w:rsid w:val="00422D18"/>
    <w:rsid w:val="00423456"/>
    <w:rsid w:val="00423975"/>
    <w:rsid w:val="00424629"/>
    <w:rsid w:val="004251A4"/>
    <w:rsid w:val="004261CB"/>
    <w:rsid w:val="00426624"/>
    <w:rsid w:val="00426652"/>
    <w:rsid w:val="00427EB4"/>
    <w:rsid w:val="004305E5"/>
    <w:rsid w:val="00430B20"/>
    <w:rsid w:val="00431A05"/>
    <w:rsid w:val="00432BCA"/>
    <w:rsid w:val="00433C4A"/>
    <w:rsid w:val="00434CD4"/>
    <w:rsid w:val="00435858"/>
    <w:rsid w:val="00435E54"/>
    <w:rsid w:val="0043757C"/>
    <w:rsid w:val="004400BA"/>
    <w:rsid w:val="004402A1"/>
    <w:rsid w:val="0044069B"/>
    <w:rsid w:val="00441AD6"/>
    <w:rsid w:val="00442AF1"/>
    <w:rsid w:val="004431EC"/>
    <w:rsid w:val="00443354"/>
    <w:rsid w:val="00444107"/>
    <w:rsid w:val="00444B15"/>
    <w:rsid w:val="00444C11"/>
    <w:rsid w:val="00446E1B"/>
    <w:rsid w:val="00447E47"/>
    <w:rsid w:val="00450B25"/>
    <w:rsid w:val="00450EF2"/>
    <w:rsid w:val="004516BD"/>
    <w:rsid w:val="00451967"/>
    <w:rsid w:val="004520F9"/>
    <w:rsid w:val="004534F9"/>
    <w:rsid w:val="004564B0"/>
    <w:rsid w:val="00461B47"/>
    <w:rsid w:val="00464A8B"/>
    <w:rsid w:val="0046524C"/>
    <w:rsid w:val="004654CC"/>
    <w:rsid w:val="0046596D"/>
    <w:rsid w:val="00466D12"/>
    <w:rsid w:val="00471251"/>
    <w:rsid w:val="004714B2"/>
    <w:rsid w:val="00471AC7"/>
    <w:rsid w:val="0047299E"/>
    <w:rsid w:val="0047414F"/>
    <w:rsid w:val="004757D9"/>
    <w:rsid w:val="00475DD9"/>
    <w:rsid w:val="004764E4"/>
    <w:rsid w:val="004803FA"/>
    <w:rsid w:val="00481C0D"/>
    <w:rsid w:val="004855C1"/>
    <w:rsid w:val="00486443"/>
    <w:rsid w:val="00486C57"/>
    <w:rsid w:val="00487536"/>
    <w:rsid w:val="004876B1"/>
    <w:rsid w:val="0049212C"/>
    <w:rsid w:val="00492A13"/>
    <w:rsid w:val="00493237"/>
    <w:rsid w:val="00493C77"/>
    <w:rsid w:val="00495D2B"/>
    <w:rsid w:val="00497B8E"/>
    <w:rsid w:val="00497E95"/>
    <w:rsid w:val="004A3541"/>
    <w:rsid w:val="004A3F1C"/>
    <w:rsid w:val="004A4503"/>
    <w:rsid w:val="004A56E2"/>
    <w:rsid w:val="004A6C01"/>
    <w:rsid w:val="004B07FF"/>
    <w:rsid w:val="004B087F"/>
    <w:rsid w:val="004B18C9"/>
    <w:rsid w:val="004B23AB"/>
    <w:rsid w:val="004B3290"/>
    <w:rsid w:val="004B3751"/>
    <w:rsid w:val="004B48A2"/>
    <w:rsid w:val="004B58D7"/>
    <w:rsid w:val="004B640C"/>
    <w:rsid w:val="004B6C69"/>
    <w:rsid w:val="004B75E0"/>
    <w:rsid w:val="004B7E7F"/>
    <w:rsid w:val="004C0B80"/>
    <w:rsid w:val="004C18BB"/>
    <w:rsid w:val="004C1F81"/>
    <w:rsid w:val="004C40C1"/>
    <w:rsid w:val="004C4741"/>
    <w:rsid w:val="004C486F"/>
    <w:rsid w:val="004C4F0B"/>
    <w:rsid w:val="004C50B6"/>
    <w:rsid w:val="004C7698"/>
    <w:rsid w:val="004D04C9"/>
    <w:rsid w:val="004D0721"/>
    <w:rsid w:val="004D0D56"/>
    <w:rsid w:val="004D1863"/>
    <w:rsid w:val="004D1B93"/>
    <w:rsid w:val="004D20D9"/>
    <w:rsid w:val="004D3189"/>
    <w:rsid w:val="004D53BB"/>
    <w:rsid w:val="004D58DC"/>
    <w:rsid w:val="004D71B5"/>
    <w:rsid w:val="004D7B6D"/>
    <w:rsid w:val="004D7ECB"/>
    <w:rsid w:val="004E0323"/>
    <w:rsid w:val="004E068A"/>
    <w:rsid w:val="004E0FEE"/>
    <w:rsid w:val="004E2A6D"/>
    <w:rsid w:val="004E354F"/>
    <w:rsid w:val="004E462D"/>
    <w:rsid w:val="004E53AC"/>
    <w:rsid w:val="004E5C87"/>
    <w:rsid w:val="004E7938"/>
    <w:rsid w:val="004F12DC"/>
    <w:rsid w:val="004F47F8"/>
    <w:rsid w:val="004F58DF"/>
    <w:rsid w:val="00502D84"/>
    <w:rsid w:val="00503057"/>
    <w:rsid w:val="0050406F"/>
    <w:rsid w:val="0050501E"/>
    <w:rsid w:val="00505FA0"/>
    <w:rsid w:val="005062CE"/>
    <w:rsid w:val="005067E5"/>
    <w:rsid w:val="00511ABF"/>
    <w:rsid w:val="005127F0"/>
    <w:rsid w:val="005136FB"/>
    <w:rsid w:val="00514A29"/>
    <w:rsid w:val="00515278"/>
    <w:rsid w:val="00517D66"/>
    <w:rsid w:val="0052191D"/>
    <w:rsid w:val="005220A2"/>
    <w:rsid w:val="00522D48"/>
    <w:rsid w:val="00522FD3"/>
    <w:rsid w:val="00524732"/>
    <w:rsid w:val="00524C90"/>
    <w:rsid w:val="00524D1D"/>
    <w:rsid w:val="00525658"/>
    <w:rsid w:val="00526196"/>
    <w:rsid w:val="00530B7B"/>
    <w:rsid w:val="00532D30"/>
    <w:rsid w:val="00533327"/>
    <w:rsid w:val="00533C19"/>
    <w:rsid w:val="00534947"/>
    <w:rsid w:val="0053587E"/>
    <w:rsid w:val="00537D72"/>
    <w:rsid w:val="00540875"/>
    <w:rsid w:val="0054107C"/>
    <w:rsid w:val="005411DC"/>
    <w:rsid w:val="00542F05"/>
    <w:rsid w:val="00544683"/>
    <w:rsid w:val="00546067"/>
    <w:rsid w:val="005502D0"/>
    <w:rsid w:val="00550466"/>
    <w:rsid w:val="0055078E"/>
    <w:rsid w:val="00552527"/>
    <w:rsid w:val="005543EB"/>
    <w:rsid w:val="00554855"/>
    <w:rsid w:val="00555583"/>
    <w:rsid w:val="00556701"/>
    <w:rsid w:val="00560B59"/>
    <w:rsid w:val="00561462"/>
    <w:rsid w:val="0056453D"/>
    <w:rsid w:val="0056666F"/>
    <w:rsid w:val="00567A0C"/>
    <w:rsid w:val="00570A48"/>
    <w:rsid w:val="00570CE9"/>
    <w:rsid w:val="00570CFF"/>
    <w:rsid w:val="00571FE3"/>
    <w:rsid w:val="0057207D"/>
    <w:rsid w:val="00572677"/>
    <w:rsid w:val="00575212"/>
    <w:rsid w:val="005756FF"/>
    <w:rsid w:val="00576706"/>
    <w:rsid w:val="00580651"/>
    <w:rsid w:val="00580A22"/>
    <w:rsid w:val="00581C8E"/>
    <w:rsid w:val="00582735"/>
    <w:rsid w:val="0058328A"/>
    <w:rsid w:val="00584BA1"/>
    <w:rsid w:val="00585180"/>
    <w:rsid w:val="0058556E"/>
    <w:rsid w:val="00586BF4"/>
    <w:rsid w:val="00592D62"/>
    <w:rsid w:val="00593A28"/>
    <w:rsid w:val="00593C20"/>
    <w:rsid w:val="00594596"/>
    <w:rsid w:val="00595F3E"/>
    <w:rsid w:val="00596573"/>
    <w:rsid w:val="00596BB8"/>
    <w:rsid w:val="00597250"/>
    <w:rsid w:val="005A0162"/>
    <w:rsid w:val="005A12B3"/>
    <w:rsid w:val="005A2616"/>
    <w:rsid w:val="005A3AA6"/>
    <w:rsid w:val="005A3FE7"/>
    <w:rsid w:val="005A518A"/>
    <w:rsid w:val="005A67E3"/>
    <w:rsid w:val="005B020A"/>
    <w:rsid w:val="005B07A8"/>
    <w:rsid w:val="005B0C3F"/>
    <w:rsid w:val="005B0E69"/>
    <w:rsid w:val="005B0FFC"/>
    <w:rsid w:val="005B169A"/>
    <w:rsid w:val="005B1B65"/>
    <w:rsid w:val="005B24B5"/>
    <w:rsid w:val="005B2AF8"/>
    <w:rsid w:val="005B2B03"/>
    <w:rsid w:val="005B2B7A"/>
    <w:rsid w:val="005B3039"/>
    <w:rsid w:val="005B4397"/>
    <w:rsid w:val="005B49EB"/>
    <w:rsid w:val="005B4F0D"/>
    <w:rsid w:val="005B5344"/>
    <w:rsid w:val="005B57AC"/>
    <w:rsid w:val="005B6077"/>
    <w:rsid w:val="005B66D4"/>
    <w:rsid w:val="005B697D"/>
    <w:rsid w:val="005B7144"/>
    <w:rsid w:val="005B7CDB"/>
    <w:rsid w:val="005C0F32"/>
    <w:rsid w:val="005C3660"/>
    <w:rsid w:val="005C3964"/>
    <w:rsid w:val="005C3FCE"/>
    <w:rsid w:val="005C43D1"/>
    <w:rsid w:val="005C4913"/>
    <w:rsid w:val="005C4AF6"/>
    <w:rsid w:val="005C62E8"/>
    <w:rsid w:val="005C6505"/>
    <w:rsid w:val="005C7939"/>
    <w:rsid w:val="005D0786"/>
    <w:rsid w:val="005D098E"/>
    <w:rsid w:val="005D11C2"/>
    <w:rsid w:val="005D176B"/>
    <w:rsid w:val="005D1C90"/>
    <w:rsid w:val="005D29B8"/>
    <w:rsid w:val="005D2F08"/>
    <w:rsid w:val="005D3303"/>
    <w:rsid w:val="005D3C44"/>
    <w:rsid w:val="005D4346"/>
    <w:rsid w:val="005D4493"/>
    <w:rsid w:val="005D5D07"/>
    <w:rsid w:val="005D6112"/>
    <w:rsid w:val="005D7D5E"/>
    <w:rsid w:val="005E0144"/>
    <w:rsid w:val="005E11DF"/>
    <w:rsid w:val="005E38DE"/>
    <w:rsid w:val="005E42B1"/>
    <w:rsid w:val="005E4315"/>
    <w:rsid w:val="005E5835"/>
    <w:rsid w:val="005E6375"/>
    <w:rsid w:val="005E6A6C"/>
    <w:rsid w:val="005F1E04"/>
    <w:rsid w:val="005F2086"/>
    <w:rsid w:val="005F3112"/>
    <w:rsid w:val="005F394F"/>
    <w:rsid w:val="005F570A"/>
    <w:rsid w:val="005F5EE6"/>
    <w:rsid w:val="005F7414"/>
    <w:rsid w:val="00600831"/>
    <w:rsid w:val="0060087D"/>
    <w:rsid w:val="00601790"/>
    <w:rsid w:val="00602AD2"/>
    <w:rsid w:val="00602E3A"/>
    <w:rsid w:val="006031DE"/>
    <w:rsid w:val="00603CFF"/>
    <w:rsid w:val="0060639A"/>
    <w:rsid w:val="00607AF3"/>
    <w:rsid w:val="00607D01"/>
    <w:rsid w:val="00610709"/>
    <w:rsid w:val="006115CD"/>
    <w:rsid w:val="00611ADA"/>
    <w:rsid w:val="00612B6F"/>
    <w:rsid w:val="00612D93"/>
    <w:rsid w:val="006147F0"/>
    <w:rsid w:val="00615FCF"/>
    <w:rsid w:val="006175E2"/>
    <w:rsid w:val="00617863"/>
    <w:rsid w:val="00620E33"/>
    <w:rsid w:val="00620FF8"/>
    <w:rsid w:val="0062314B"/>
    <w:rsid w:val="00623C62"/>
    <w:rsid w:val="00624366"/>
    <w:rsid w:val="006245AB"/>
    <w:rsid w:val="00624A77"/>
    <w:rsid w:val="0062591B"/>
    <w:rsid w:val="00625EA6"/>
    <w:rsid w:val="006270CD"/>
    <w:rsid w:val="00632F6E"/>
    <w:rsid w:val="00635482"/>
    <w:rsid w:val="006358FE"/>
    <w:rsid w:val="00635B60"/>
    <w:rsid w:val="00635B70"/>
    <w:rsid w:val="00637714"/>
    <w:rsid w:val="0064097F"/>
    <w:rsid w:val="006456A9"/>
    <w:rsid w:val="00653FCD"/>
    <w:rsid w:val="00654A8F"/>
    <w:rsid w:val="006551AF"/>
    <w:rsid w:val="006559C0"/>
    <w:rsid w:val="00656031"/>
    <w:rsid w:val="0065672E"/>
    <w:rsid w:val="00656D3E"/>
    <w:rsid w:val="006578A3"/>
    <w:rsid w:val="00657BD7"/>
    <w:rsid w:val="00660666"/>
    <w:rsid w:val="0066070E"/>
    <w:rsid w:val="006608E2"/>
    <w:rsid w:val="006645C6"/>
    <w:rsid w:val="00664661"/>
    <w:rsid w:val="0066540E"/>
    <w:rsid w:val="00665C78"/>
    <w:rsid w:val="006670F3"/>
    <w:rsid w:val="006675F9"/>
    <w:rsid w:val="00667F84"/>
    <w:rsid w:val="00671515"/>
    <w:rsid w:val="00672A44"/>
    <w:rsid w:val="00673B36"/>
    <w:rsid w:val="00674776"/>
    <w:rsid w:val="00676537"/>
    <w:rsid w:val="0067662C"/>
    <w:rsid w:val="006766DE"/>
    <w:rsid w:val="006772EB"/>
    <w:rsid w:val="00682B36"/>
    <w:rsid w:val="006833F8"/>
    <w:rsid w:val="00683DCB"/>
    <w:rsid w:val="00683F7F"/>
    <w:rsid w:val="00686607"/>
    <w:rsid w:val="00686D48"/>
    <w:rsid w:val="00687228"/>
    <w:rsid w:val="006906E5"/>
    <w:rsid w:val="00690FF3"/>
    <w:rsid w:val="0069248F"/>
    <w:rsid w:val="0069249C"/>
    <w:rsid w:val="00692594"/>
    <w:rsid w:val="006941F9"/>
    <w:rsid w:val="00694456"/>
    <w:rsid w:val="00694B86"/>
    <w:rsid w:val="0069543D"/>
    <w:rsid w:val="00695936"/>
    <w:rsid w:val="00696125"/>
    <w:rsid w:val="006962B2"/>
    <w:rsid w:val="006A028F"/>
    <w:rsid w:val="006A089A"/>
    <w:rsid w:val="006A0EF2"/>
    <w:rsid w:val="006A3423"/>
    <w:rsid w:val="006A3AA5"/>
    <w:rsid w:val="006A3CD2"/>
    <w:rsid w:val="006A3DE8"/>
    <w:rsid w:val="006A4318"/>
    <w:rsid w:val="006A4AA1"/>
    <w:rsid w:val="006A53C2"/>
    <w:rsid w:val="006A5488"/>
    <w:rsid w:val="006A56CE"/>
    <w:rsid w:val="006A6E20"/>
    <w:rsid w:val="006A6E27"/>
    <w:rsid w:val="006A7368"/>
    <w:rsid w:val="006B48F2"/>
    <w:rsid w:val="006B5727"/>
    <w:rsid w:val="006B7C89"/>
    <w:rsid w:val="006C1F99"/>
    <w:rsid w:val="006C2CA2"/>
    <w:rsid w:val="006C32DB"/>
    <w:rsid w:val="006C4437"/>
    <w:rsid w:val="006C7B1B"/>
    <w:rsid w:val="006C7C4A"/>
    <w:rsid w:val="006C7FEC"/>
    <w:rsid w:val="006D3A2D"/>
    <w:rsid w:val="006D4173"/>
    <w:rsid w:val="006D654F"/>
    <w:rsid w:val="006D6C35"/>
    <w:rsid w:val="006D7158"/>
    <w:rsid w:val="006D7641"/>
    <w:rsid w:val="006E0F3C"/>
    <w:rsid w:val="006E1C73"/>
    <w:rsid w:val="006E2215"/>
    <w:rsid w:val="006E256B"/>
    <w:rsid w:val="006E4347"/>
    <w:rsid w:val="006E46AE"/>
    <w:rsid w:val="006E4FB6"/>
    <w:rsid w:val="006E55A6"/>
    <w:rsid w:val="006E5C99"/>
    <w:rsid w:val="006E5DF5"/>
    <w:rsid w:val="006E677E"/>
    <w:rsid w:val="006E6961"/>
    <w:rsid w:val="006F12DA"/>
    <w:rsid w:val="006F17A9"/>
    <w:rsid w:val="006F1DAC"/>
    <w:rsid w:val="006F20D6"/>
    <w:rsid w:val="006F2538"/>
    <w:rsid w:val="006F2C3A"/>
    <w:rsid w:val="006F3555"/>
    <w:rsid w:val="006F495F"/>
    <w:rsid w:val="006F4A62"/>
    <w:rsid w:val="006F55B1"/>
    <w:rsid w:val="006F5EEB"/>
    <w:rsid w:val="006F6EAC"/>
    <w:rsid w:val="006F7446"/>
    <w:rsid w:val="006F7EC3"/>
    <w:rsid w:val="00700F29"/>
    <w:rsid w:val="0070332C"/>
    <w:rsid w:val="00703A45"/>
    <w:rsid w:val="00703A64"/>
    <w:rsid w:val="00704A54"/>
    <w:rsid w:val="00706C09"/>
    <w:rsid w:val="00707474"/>
    <w:rsid w:val="007135E0"/>
    <w:rsid w:val="00713CF6"/>
    <w:rsid w:val="0071416B"/>
    <w:rsid w:val="007145D7"/>
    <w:rsid w:val="00720238"/>
    <w:rsid w:val="00721A6E"/>
    <w:rsid w:val="00721BD8"/>
    <w:rsid w:val="00721E16"/>
    <w:rsid w:val="00722312"/>
    <w:rsid w:val="00722631"/>
    <w:rsid w:val="0072299D"/>
    <w:rsid w:val="00722A23"/>
    <w:rsid w:val="00722BF7"/>
    <w:rsid w:val="00722E25"/>
    <w:rsid w:val="007233A7"/>
    <w:rsid w:val="00723620"/>
    <w:rsid w:val="007242C3"/>
    <w:rsid w:val="0072583A"/>
    <w:rsid w:val="0072603A"/>
    <w:rsid w:val="007264CC"/>
    <w:rsid w:val="007314DC"/>
    <w:rsid w:val="007316AC"/>
    <w:rsid w:val="00732522"/>
    <w:rsid w:val="0073260D"/>
    <w:rsid w:val="0073278C"/>
    <w:rsid w:val="007330B5"/>
    <w:rsid w:val="00733A3E"/>
    <w:rsid w:val="0073500F"/>
    <w:rsid w:val="007353B5"/>
    <w:rsid w:val="0073551D"/>
    <w:rsid w:val="00735A44"/>
    <w:rsid w:val="00737A6C"/>
    <w:rsid w:val="00740DEA"/>
    <w:rsid w:val="00741197"/>
    <w:rsid w:val="00741443"/>
    <w:rsid w:val="007416C4"/>
    <w:rsid w:val="00741BB3"/>
    <w:rsid w:val="007421CF"/>
    <w:rsid w:val="00745353"/>
    <w:rsid w:val="007459DC"/>
    <w:rsid w:val="007474D9"/>
    <w:rsid w:val="00750388"/>
    <w:rsid w:val="0075060C"/>
    <w:rsid w:val="00750B3F"/>
    <w:rsid w:val="00751098"/>
    <w:rsid w:val="007513AA"/>
    <w:rsid w:val="00751B67"/>
    <w:rsid w:val="0075324D"/>
    <w:rsid w:val="0075480C"/>
    <w:rsid w:val="00754DEE"/>
    <w:rsid w:val="007559A0"/>
    <w:rsid w:val="00755F5C"/>
    <w:rsid w:val="00755F60"/>
    <w:rsid w:val="0075762B"/>
    <w:rsid w:val="0076044A"/>
    <w:rsid w:val="00760A91"/>
    <w:rsid w:val="007632B6"/>
    <w:rsid w:val="00763E9C"/>
    <w:rsid w:val="00763F25"/>
    <w:rsid w:val="00771B4A"/>
    <w:rsid w:val="00771B5F"/>
    <w:rsid w:val="0077477F"/>
    <w:rsid w:val="007752E7"/>
    <w:rsid w:val="00775789"/>
    <w:rsid w:val="00775DEE"/>
    <w:rsid w:val="00776979"/>
    <w:rsid w:val="00777FBF"/>
    <w:rsid w:val="007801B0"/>
    <w:rsid w:val="0078077F"/>
    <w:rsid w:val="00782014"/>
    <w:rsid w:val="007838F3"/>
    <w:rsid w:val="00784E7E"/>
    <w:rsid w:val="007853FB"/>
    <w:rsid w:val="00785B6F"/>
    <w:rsid w:val="00786188"/>
    <w:rsid w:val="0078665A"/>
    <w:rsid w:val="00786FCC"/>
    <w:rsid w:val="0078700C"/>
    <w:rsid w:val="00787D30"/>
    <w:rsid w:val="007949FB"/>
    <w:rsid w:val="00794CD7"/>
    <w:rsid w:val="00797357"/>
    <w:rsid w:val="007A0089"/>
    <w:rsid w:val="007A1ADA"/>
    <w:rsid w:val="007A3E07"/>
    <w:rsid w:val="007A75A8"/>
    <w:rsid w:val="007B0526"/>
    <w:rsid w:val="007B1899"/>
    <w:rsid w:val="007B269A"/>
    <w:rsid w:val="007B2BA9"/>
    <w:rsid w:val="007B48A8"/>
    <w:rsid w:val="007B4C9A"/>
    <w:rsid w:val="007B762C"/>
    <w:rsid w:val="007B7916"/>
    <w:rsid w:val="007B7F71"/>
    <w:rsid w:val="007C0B7D"/>
    <w:rsid w:val="007C2031"/>
    <w:rsid w:val="007C2061"/>
    <w:rsid w:val="007C224E"/>
    <w:rsid w:val="007C23DF"/>
    <w:rsid w:val="007C315B"/>
    <w:rsid w:val="007C40BC"/>
    <w:rsid w:val="007C424E"/>
    <w:rsid w:val="007C4612"/>
    <w:rsid w:val="007C4FAF"/>
    <w:rsid w:val="007C531C"/>
    <w:rsid w:val="007C552E"/>
    <w:rsid w:val="007C6776"/>
    <w:rsid w:val="007C707B"/>
    <w:rsid w:val="007D11AE"/>
    <w:rsid w:val="007D402F"/>
    <w:rsid w:val="007D47C3"/>
    <w:rsid w:val="007D556D"/>
    <w:rsid w:val="007D601B"/>
    <w:rsid w:val="007D6313"/>
    <w:rsid w:val="007D6CD7"/>
    <w:rsid w:val="007D6D1A"/>
    <w:rsid w:val="007D7A71"/>
    <w:rsid w:val="007E03D3"/>
    <w:rsid w:val="007E0CA0"/>
    <w:rsid w:val="007E16CF"/>
    <w:rsid w:val="007E2DC5"/>
    <w:rsid w:val="007E30E7"/>
    <w:rsid w:val="007E346B"/>
    <w:rsid w:val="007E3800"/>
    <w:rsid w:val="007E3ADE"/>
    <w:rsid w:val="007E4D13"/>
    <w:rsid w:val="007E5507"/>
    <w:rsid w:val="007E56A7"/>
    <w:rsid w:val="007E607C"/>
    <w:rsid w:val="007E6984"/>
    <w:rsid w:val="007F0AC5"/>
    <w:rsid w:val="007F0F86"/>
    <w:rsid w:val="007F3DB1"/>
    <w:rsid w:val="007F4290"/>
    <w:rsid w:val="007F777F"/>
    <w:rsid w:val="008003B6"/>
    <w:rsid w:val="00800AD4"/>
    <w:rsid w:val="0080291E"/>
    <w:rsid w:val="0080311B"/>
    <w:rsid w:val="00805125"/>
    <w:rsid w:val="00805258"/>
    <w:rsid w:val="0080574A"/>
    <w:rsid w:val="008062DE"/>
    <w:rsid w:val="00807261"/>
    <w:rsid w:val="008107BE"/>
    <w:rsid w:val="00810C9F"/>
    <w:rsid w:val="00811725"/>
    <w:rsid w:val="00813536"/>
    <w:rsid w:val="0081385D"/>
    <w:rsid w:val="008148DF"/>
    <w:rsid w:val="00814CC4"/>
    <w:rsid w:val="00814D27"/>
    <w:rsid w:val="008155EE"/>
    <w:rsid w:val="00816256"/>
    <w:rsid w:val="008177CF"/>
    <w:rsid w:val="00821C99"/>
    <w:rsid w:val="00823626"/>
    <w:rsid w:val="0082387F"/>
    <w:rsid w:val="00823B57"/>
    <w:rsid w:val="00823EA9"/>
    <w:rsid w:val="0082551F"/>
    <w:rsid w:val="008255AB"/>
    <w:rsid w:val="008263D3"/>
    <w:rsid w:val="0082719B"/>
    <w:rsid w:val="008276EA"/>
    <w:rsid w:val="008327E4"/>
    <w:rsid w:val="008332A3"/>
    <w:rsid w:val="008342BA"/>
    <w:rsid w:val="00834484"/>
    <w:rsid w:val="00834BFB"/>
    <w:rsid w:val="00834CE1"/>
    <w:rsid w:val="0083619A"/>
    <w:rsid w:val="00836D09"/>
    <w:rsid w:val="0084032D"/>
    <w:rsid w:val="008412B5"/>
    <w:rsid w:val="00842CD8"/>
    <w:rsid w:val="00846399"/>
    <w:rsid w:val="008466B0"/>
    <w:rsid w:val="00847F07"/>
    <w:rsid w:val="008504B5"/>
    <w:rsid w:val="00851F70"/>
    <w:rsid w:val="0085256A"/>
    <w:rsid w:val="00852978"/>
    <w:rsid w:val="00852F2B"/>
    <w:rsid w:val="008549D1"/>
    <w:rsid w:val="00854C8A"/>
    <w:rsid w:val="00855FEC"/>
    <w:rsid w:val="00856939"/>
    <w:rsid w:val="00856C8D"/>
    <w:rsid w:val="0086042C"/>
    <w:rsid w:val="00860492"/>
    <w:rsid w:val="00862010"/>
    <w:rsid w:val="00862696"/>
    <w:rsid w:val="008633F3"/>
    <w:rsid w:val="00863E99"/>
    <w:rsid w:val="00864612"/>
    <w:rsid w:val="0086465F"/>
    <w:rsid w:val="008734AF"/>
    <w:rsid w:val="00873890"/>
    <w:rsid w:val="00875578"/>
    <w:rsid w:val="00875B3C"/>
    <w:rsid w:val="008766A1"/>
    <w:rsid w:val="00876BB7"/>
    <w:rsid w:val="00876FE6"/>
    <w:rsid w:val="00877138"/>
    <w:rsid w:val="00877D02"/>
    <w:rsid w:val="00880F80"/>
    <w:rsid w:val="00883BBE"/>
    <w:rsid w:val="00883F80"/>
    <w:rsid w:val="008840A4"/>
    <w:rsid w:val="00884478"/>
    <w:rsid w:val="0088568C"/>
    <w:rsid w:val="00886021"/>
    <w:rsid w:val="008863D8"/>
    <w:rsid w:val="008901EE"/>
    <w:rsid w:val="008911FE"/>
    <w:rsid w:val="0089218B"/>
    <w:rsid w:val="00892FB2"/>
    <w:rsid w:val="00893898"/>
    <w:rsid w:val="0089448F"/>
    <w:rsid w:val="00895DFA"/>
    <w:rsid w:val="00896183"/>
    <w:rsid w:val="0089688C"/>
    <w:rsid w:val="008A095A"/>
    <w:rsid w:val="008A0CD1"/>
    <w:rsid w:val="008A1560"/>
    <w:rsid w:val="008A156F"/>
    <w:rsid w:val="008A23AC"/>
    <w:rsid w:val="008A2429"/>
    <w:rsid w:val="008A2C49"/>
    <w:rsid w:val="008A2CED"/>
    <w:rsid w:val="008A3B7A"/>
    <w:rsid w:val="008A3D75"/>
    <w:rsid w:val="008A5CDA"/>
    <w:rsid w:val="008A6F33"/>
    <w:rsid w:val="008A75F7"/>
    <w:rsid w:val="008B028E"/>
    <w:rsid w:val="008B1084"/>
    <w:rsid w:val="008B1985"/>
    <w:rsid w:val="008B1BC9"/>
    <w:rsid w:val="008B3409"/>
    <w:rsid w:val="008B397C"/>
    <w:rsid w:val="008B567C"/>
    <w:rsid w:val="008B626E"/>
    <w:rsid w:val="008B6ABC"/>
    <w:rsid w:val="008B7182"/>
    <w:rsid w:val="008B74AF"/>
    <w:rsid w:val="008B7D87"/>
    <w:rsid w:val="008C02E1"/>
    <w:rsid w:val="008C23D1"/>
    <w:rsid w:val="008C34A1"/>
    <w:rsid w:val="008C3FC0"/>
    <w:rsid w:val="008C5115"/>
    <w:rsid w:val="008C7FAA"/>
    <w:rsid w:val="008D0CA2"/>
    <w:rsid w:val="008D109A"/>
    <w:rsid w:val="008D1104"/>
    <w:rsid w:val="008D26BB"/>
    <w:rsid w:val="008D2BB5"/>
    <w:rsid w:val="008D2D88"/>
    <w:rsid w:val="008D4966"/>
    <w:rsid w:val="008D4CD4"/>
    <w:rsid w:val="008D7188"/>
    <w:rsid w:val="008D73C0"/>
    <w:rsid w:val="008D77B6"/>
    <w:rsid w:val="008E0997"/>
    <w:rsid w:val="008E10DB"/>
    <w:rsid w:val="008E11AB"/>
    <w:rsid w:val="008E29BE"/>
    <w:rsid w:val="008E3038"/>
    <w:rsid w:val="008E401C"/>
    <w:rsid w:val="008E40D0"/>
    <w:rsid w:val="008E41E5"/>
    <w:rsid w:val="008E5755"/>
    <w:rsid w:val="008E6864"/>
    <w:rsid w:val="008E76AA"/>
    <w:rsid w:val="008F0180"/>
    <w:rsid w:val="008F0B78"/>
    <w:rsid w:val="008F0FDF"/>
    <w:rsid w:val="008F2961"/>
    <w:rsid w:val="008F2C15"/>
    <w:rsid w:val="008F39C1"/>
    <w:rsid w:val="008F4E4A"/>
    <w:rsid w:val="008F52CD"/>
    <w:rsid w:val="008F622D"/>
    <w:rsid w:val="008F7A1B"/>
    <w:rsid w:val="008F7DFD"/>
    <w:rsid w:val="00901DFE"/>
    <w:rsid w:val="0090205F"/>
    <w:rsid w:val="009032B3"/>
    <w:rsid w:val="009048EC"/>
    <w:rsid w:val="00905090"/>
    <w:rsid w:val="009056CA"/>
    <w:rsid w:val="00906113"/>
    <w:rsid w:val="00906E29"/>
    <w:rsid w:val="0091123B"/>
    <w:rsid w:val="009112D7"/>
    <w:rsid w:val="009115A4"/>
    <w:rsid w:val="009118F6"/>
    <w:rsid w:val="00912172"/>
    <w:rsid w:val="00912FF1"/>
    <w:rsid w:val="0091372A"/>
    <w:rsid w:val="00913F9C"/>
    <w:rsid w:val="009147AF"/>
    <w:rsid w:val="00915428"/>
    <w:rsid w:val="0091600C"/>
    <w:rsid w:val="00916BB3"/>
    <w:rsid w:val="00917E42"/>
    <w:rsid w:val="00920C92"/>
    <w:rsid w:val="00921282"/>
    <w:rsid w:val="009216DB"/>
    <w:rsid w:val="0092172F"/>
    <w:rsid w:val="00921C24"/>
    <w:rsid w:val="0092324C"/>
    <w:rsid w:val="00927B30"/>
    <w:rsid w:val="00930A75"/>
    <w:rsid w:val="00931F14"/>
    <w:rsid w:val="009335FE"/>
    <w:rsid w:val="009349C8"/>
    <w:rsid w:val="009355BA"/>
    <w:rsid w:val="009363AE"/>
    <w:rsid w:val="009363D0"/>
    <w:rsid w:val="00937F1A"/>
    <w:rsid w:val="009401E9"/>
    <w:rsid w:val="0094174F"/>
    <w:rsid w:val="00941C0C"/>
    <w:rsid w:val="00942DB5"/>
    <w:rsid w:val="00943D50"/>
    <w:rsid w:val="009442D5"/>
    <w:rsid w:val="00944F17"/>
    <w:rsid w:val="0094581C"/>
    <w:rsid w:val="00945D34"/>
    <w:rsid w:val="00951647"/>
    <w:rsid w:val="0095202C"/>
    <w:rsid w:val="00952906"/>
    <w:rsid w:val="009541E9"/>
    <w:rsid w:val="00954338"/>
    <w:rsid w:val="00954FC4"/>
    <w:rsid w:val="009552F5"/>
    <w:rsid w:val="00955A6B"/>
    <w:rsid w:val="00956190"/>
    <w:rsid w:val="009572CD"/>
    <w:rsid w:val="0095741E"/>
    <w:rsid w:val="009574C2"/>
    <w:rsid w:val="0096159D"/>
    <w:rsid w:val="00963262"/>
    <w:rsid w:val="00963D09"/>
    <w:rsid w:val="00965612"/>
    <w:rsid w:val="00967606"/>
    <w:rsid w:val="00967CDF"/>
    <w:rsid w:val="00967DBF"/>
    <w:rsid w:val="00970AE1"/>
    <w:rsid w:val="00972965"/>
    <w:rsid w:val="00973267"/>
    <w:rsid w:val="009740BC"/>
    <w:rsid w:val="009748A1"/>
    <w:rsid w:val="00974B28"/>
    <w:rsid w:val="00980F3B"/>
    <w:rsid w:val="00983211"/>
    <w:rsid w:val="0098340A"/>
    <w:rsid w:val="00983990"/>
    <w:rsid w:val="00993136"/>
    <w:rsid w:val="00994233"/>
    <w:rsid w:val="00997712"/>
    <w:rsid w:val="00997C59"/>
    <w:rsid w:val="009A0733"/>
    <w:rsid w:val="009A0F37"/>
    <w:rsid w:val="009A20F6"/>
    <w:rsid w:val="009A24FC"/>
    <w:rsid w:val="009A2E0F"/>
    <w:rsid w:val="009A3617"/>
    <w:rsid w:val="009A40AF"/>
    <w:rsid w:val="009A6261"/>
    <w:rsid w:val="009A65E4"/>
    <w:rsid w:val="009B0647"/>
    <w:rsid w:val="009B08CA"/>
    <w:rsid w:val="009B0E3B"/>
    <w:rsid w:val="009B1613"/>
    <w:rsid w:val="009B18AE"/>
    <w:rsid w:val="009B19DA"/>
    <w:rsid w:val="009B2883"/>
    <w:rsid w:val="009B2B6E"/>
    <w:rsid w:val="009B3707"/>
    <w:rsid w:val="009B46ED"/>
    <w:rsid w:val="009B4973"/>
    <w:rsid w:val="009B507B"/>
    <w:rsid w:val="009B51E8"/>
    <w:rsid w:val="009B5511"/>
    <w:rsid w:val="009B56D3"/>
    <w:rsid w:val="009B57C7"/>
    <w:rsid w:val="009B5F70"/>
    <w:rsid w:val="009C0443"/>
    <w:rsid w:val="009C0A9C"/>
    <w:rsid w:val="009C11D0"/>
    <w:rsid w:val="009C32FE"/>
    <w:rsid w:val="009C4677"/>
    <w:rsid w:val="009C6312"/>
    <w:rsid w:val="009C67BD"/>
    <w:rsid w:val="009D2327"/>
    <w:rsid w:val="009D3AFE"/>
    <w:rsid w:val="009D4929"/>
    <w:rsid w:val="009D4BC2"/>
    <w:rsid w:val="009D60CC"/>
    <w:rsid w:val="009D6B40"/>
    <w:rsid w:val="009D78EE"/>
    <w:rsid w:val="009D7B6F"/>
    <w:rsid w:val="009E1AFC"/>
    <w:rsid w:val="009E3A78"/>
    <w:rsid w:val="009E3A7B"/>
    <w:rsid w:val="009E4EEF"/>
    <w:rsid w:val="009E629A"/>
    <w:rsid w:val="009E73DF"/>
    <w:rsid w:val="009E78BA"/>
    <w:rsid w:val="009F0008"/>
    <w:rsid w:val="009F04D0"/>
    <w:rsid w:val="009F0AB3"/>
    <w:rsid w:val="009F3343"/>
    <w:rsid w:val="009F4234"/>
    <w:rsid w:val="009F5523"/>
    <w:rsid w:val="009F59C0"/>
    <w:rsid w:val="009F5BC1"/>
    <w:rsid w:val="009F63EA"/>
    <w:rsid w:val="009F6F2C"/>
    <w:rsid w:val="00A024E2"/>
    <w:rsid w:val="00A02B94"/>
    <w:rsid w:val="00A02C75"/>
    <w:rsid w:val="00A03CBA"/>
    <w:rsid w:val="00A044B3"/>
    <w:rsid w:val="00A056CA"/>
    <w:rsid w:val="00A06D7E"/>
    <w:rsid w:val="00A13B06"/>
    <w:rsid w:val="00A14BF6"/>
    <w:rsid w:val="00A154A2"/>
    <w:rsid w:val="00A15715"/>
    <w:rsid w:val="00A161CD"/>
    <w:rsid w:val="00A162FE"/>
    <w:rsid w:val="00A166DD"/>
    <w:rsid w:val="00A203CA"/>
    <w:rsid w:val="00A212C7"/>
    <w:rsid w:val="00A21A5A"/>
    <w:rsid w:val="00A22077"/>
    <w:rsid w:val="00A23A7C"/>
    <w:rsid w:val="00A241D5"/>
    <w:rsid w:val="00A24EB1"/>
    <w:rsid w:val="00A254F9"/>
    <w:rsid w:val="00A2679B"/>
    <w:rsid w:val="00A31D24"/>
    <w:rsid w:val="00A32AF3"/>
    <w:rsid w:val="00A32BD6"/>
    <w:rsid w:val="00A334B6"/>
    <w:rsid w:val="00A33B3E"/>
    <w:rsid w:val="00A35D18"/>
    <w:rsid w:val="00A35D8A"/>
    <w:rsid w:val="00A36363"/>
    <w:rsid w:val="00A3657C"/>
    <w:rsid w:val="00A36E0B"/>
    <w:rsid w:val="00A37C07"/>
    <w:rsid w:val="00A41664"/>
    <w:rsid w:val="00A41994"/>
    <w:rsid w:val="00A42A8A"/>
    <w:rsid w:val="00A4307B"/>
    <w:rsid w:val="00A43D4F"/>
    <w:rsid w:val="00A43E37"/>
    <w:rsid w:val="00A444FF"/>
    <w:rsid w:val="00A44EA0"/>
    <w:rsid w:val="00A44FB7"/>
    <w:rsid w:val="00A45828"/>
    <w:rsid w:val="00A45E8C"/>
    <w:rsid w:val="00A46059"/>
    <w:rsid w:val="00A505D2"/>
    <w:rsid w:val="00A50C9A"/>
    <w:rsid w:val="00A52726"/>
    <w:rsid w:val="00A53C99"/>
    <w:rsid w:val="00A54683"/>
    <w:rsid w:val="00A547F4"/>
    <w:rsid w:val="00A556F8"/>
    <w:rsid w:val="00A56121"/>
    <w:rsid w:val="00A562C9"/>
    <w:rsid w:val="00A57616"/>
    <w:rsid w:val="00A60808"/>
    <w:rsid w:val="00A62135"/>
    <w:rsid w:val="00A6545F"/>
    <w:rsid w:val="00A6686B"/>
    <w:rsid w:val="00A66E5F"/>
    <w:rsid w:val="00A677CB"/>
    <w:rsid w:val="00A67DA6"/>
    <w:rsid w:val="00A72EC2"/>
    <w:rsid w:val="00A742A7"/>
    <w:rsid w:val="00A7435D"/>
    <w:rsid w:val="00A74E93"/>
    <w:rsid w:val="00A7544D"/>
    <w:rsid w:val="00A7626C"/>
    <w:rsid w:val="00A76E72"/>
    <w:rsid w:val="00A77805"/>
    <w:rsid w:val="00A80F70"/>
    <w:rsid w:val="00A83266"/>
    <w:rsid w:val="00A834FC"/>
    <w:rsid w:val="00A845DE"/>
    <w:rsid w:val="00A84F52"/>
    <w:rsid w:val="00A8664B"/>
    <w:rsid w:val="00A86CAD"/>
    <w:rsid w:val="00A873A5"/>
    <w:rsid w:val="00A87530"/>
    <w:rsid w:val="00A924E4"/>
    <w:rsid w:val="00A94D81"/>
    <w:rsid w:val="00A97055"/>
    <w:rsid w:val="00AA1296"/>
    <w:rsid w:val="00AA1561"/>
    <w:rsid w:val="00AA383A"/>
    <w:rsid w:val="00AA421E"/>
    <w:rsid w:val="00AA427E"/>
    <w:rsid w:val="00AA42FC"/>
    <w:rsid w:val="00AA5077"/>
    <w:rsid w:val="00AA5550"/>
    <w:rsid w:val="00AA5A1C"/>
    <w:rsid w:val="00AA735C"/>
    <w:rsid w:val="00AA7CE9"/>
    <w:rsid w:val="00AB0549"/>
    <w:rsid w:val="00AB21E0"/>
    <w:rsid w:val="00AB32F4"/>
    <w:rsid w:val="00AB43D5"/>
    <w:rsid w:val="00AB5F12"/>
    <w:rsid w:val="00AB627D"/>
    <w:rsid w:val="00AB716B"/>
    <w:rsid w:val="00AB7AF2"/>
    <w:rsid w:val="00AC1745"/>
    <w:rsid w:val="00AC3FC5"/>
    <w:rsid w:val="00AC42AC"/>
    <w:rsid w:val="00AC4F22"/>
    <w:rsid w:val="00AC5743"/>
    <w:rsid w:val="00AC5A10"/>
    <w:rsid w:val="00AC5A53"/>
    <w:rsid w:val="00AC5E37"/>
    <w:rsid w:val="00AD18CF"/>
    <w:rsid w:val="00AD3504"/>
    <w:rsid w:val="00AD3B62"/>
    <w:rsid w:val="00AE1697"/>
    <w:rsid w:val="00AE209A"/>
    <w:rsid w:val="00AE27F7"/>
    <w:rsid w:val="00AE4171"/>
    <w:rsid w:val="00AE4A17"/>
    <w:rsid w:val="00AE6ABD"/>
    <w:rsid w:val="00AE6DBE"/>
    <w:rsid w:val="00AE73BE"/>
    <w:rsid w:val="00AE75DA"/>
    <w:rsid w:val="00AF6733"/>
    <w:rsid w:val="00AF73D1"/>
    <w:rsid w:val="00AF7784"/>
    <w:rsid w:val="00B00AD0"/>
    <w:rsid w:val="00B00F85"/>
    <w:rsid w:val="00B01410"/>
    <w:rsid w:val="00B026C4"/>
    <w:rsid w:val="00B02C22"/>
    <w:rsid w:val="00B037AF"/>
    <w:rsid w:val="00B0398D"/>
    <w:rsid w:val="00B06585"/>
    <w:rsid w:val="00B10000"/>
    <w:rsid w:val="00B120AC"/>
    <w:rsid w:val="00B140AE"/>
    <w:rsid w:val="00B15689"/>
    <w:rsid w:val="00B167E7"/>
    <w:rsid w:val="00B16860"/>
    <w:rsid w:val="00B1762A"/>
    <w:rsid w:val="00B20B2A"/>
    <w:rsid w:val="00B214EE"/>
    <w:rsid w:val="00B21FBC"/>
    <w:rsid w:val="00B22486"/>
    <w:rsid w:val="00B236A5"/>
    <w:rsid w:val="00B24C73"/>
    <w:rsid w:val="00B24D62"/>
    <w:rsid w:val="00B24E7E"/>
    <w:rsid w:val="00B26173"/>
    <w:rsid w:val="00B27394"/>
    <w:rsid w:val="00B27A21"/>
    <w:rsid w:val="00B30F0A"/>
    <w:rsid w:val="00B3180C"/>
    <w:rsid w:val="00B32570"/>
    <w:rsid w:val="00B3322C"/>
    <w:rsid w:val="00B33A56"/>
    <w:rsid w:val="00B33A94"/>
    <w:rsid w:val="00B33B4E"/>
    <w:rsid w:val="00B35046"/>
    <w:rsid w:val="00B35CE4"/>
    <w:rsid w:val="00B36136"/>
    <w:rsid w:val="00B36302"/>
    <w:rsid w:val="00B36F04"/>
    <w:rsid w:val="00B37489"/>
    <w:rsid w:val="00B43BA8"/>
    <w:rsid w:val="00B45512"/>
    <w:rsid w:val="00B465C2"/>
    <w:rsid w:val="00B47874"/>
    <w:rsid w:val="00B5085F"/>
    <w:rsid w:val="00B518D5"/>
    <w:rsid w:val="00B53586"/>
    <w:rsid w:val="00B53DA6"/>
    <w:rsid w:val="00B54726"/>
    <w:rsid w:val="00B55987"/>
    <w:rsid w:val="00B60B81"/>
    <w:rsid w:val="00B620CE"/>
    <w:rsid w:val="00B62632"/>
    <w:rsid w:val="00B62B2E"/>
    <w:rsid w:val="00B6368B"/>
    <w:rsid w:val="00B63AC6"/>
    <w:rsid w:val="00B64F26"/>
    <w:rsid w:val="00B65645"/>
    <w:rsid w:val="00B6694F"/>
    <w:rsid w:val="00B673B6"/>
    <w:rsid w:val="00B67691"/>
    <w:rsid w:val="00B70A6C"/>
    <w:rsid w:val="00B7120A"/>
    <w:rsid w:val="00B71AB2"/>
    <w:rsid w:val="00B72925"/>
    <w:rsid w:val="00B72D4F"/>
    <w:rsid w:val="00B740F5"/>
    <w:rsid w:val="00B74816"/>
    <w:rsid w:val="00B774CB"/>
    <w:rsid w:val="00B802A9"/>
    <w:rsid w:val="00B80409"/>
    <w:rsid w:val="00B80E2E"/>
    <w:rsid w:val="00B81719"/>
    <w:rsid w:val="00B821A9"/>
    <w:rsid w:val="00B82AC0"/>
    <w:rsid w:val="00B834DB"/>
    <w:rsid w:val="00B859CA"/>
    <w:rsid w:val="00B85CE9"/>
    <w:rsid w:val="00B863BD"/>
    <w:rsid w:val="00B864EF"/>
    <w:rsid w:val="00B86943"/>
    <w:rsid w:val="00B901CC"/>
    <w:rsid w:val="00B92831"/>
    <w:rsid w:val="00B93424"/>
    <w:rsid w:val="00B9464F"/>
    <w:rsid w:val="00B954B9"/>
    <w:rsid w:val="00B95A6C"/>
    <w:rsid w:val="00B95D31"/>
    <w:rsid w:val="00B960AC"/>
    <w:rsid w:val="00B964C7"/>
    <w:rsid w:val="00B96B05"/>
    <w:rsid w:val="00B9768F"/>
    <w:rsid w:val="00B97A7E"/>
    <w:rsid w:val="00BA01FF"/>
    <w:rsid w:val="00BA0B9A"/>
    <w:rsid w:val="00BA1A04"/>
    <w:rsid w:val="00BA1A37"/>
    <w:rsid w:val="00BA1ADF"/>
    <w:rsid w:val="00BA2BAD"/>
    <w:rsid w:val="00BA2D5C"/>
    <w:rsid w:val="00BA3253"/>
    <w:rsid w:val="00BA4465"/>
    <w:rsid w:val="00BA67CE"/>
    <w:rsid w:val="00BA6A91"/>
    <w:rsid w:val="00BB193D"/>
    <w:rsid w:val="00BB1CE3"/>
    <w:rsid w:val="00BB38E2"/>
    <w:rsid w:val="00BB450E"/>
    <w:rsid w:val="00BB461D"/>
    <w:rsid w:val="00BB5C28"/>
    <w:rsid w:val="00BB5CA0"/>
    <w:rsid w:val="00BB5CDC"/>
    <w:rsid w:val="00BB5D53"/>
    <w:rsid w:val="00BB67AE"/>
    <w:rsid w:val="00BB6C33"/>
    <w:rsid w:val="00BB7555"/>
    <w:rsid w:val="00BC0685"/>
    <w:rsid w:val="00BC4600"/>
    <w:rsid w:val="00BC4B17"/>
    <w:rsid w:val="00BC62A9"/>
    <w:rsid w:val="00BC6F9C"/>
    <w:rsid w:val="00BC7664"/>
    <w:rsid w:val="00BD0930"/>
    <w:rsid w:val="00BD0A65"/>
    <w:rsid w:val="00BD10D8"/>
    <w:rsid w:val="00BD16DC"/>
    <w:rsid w:val="00BD2309"/>
    <w:rsid w:val="00BD3002"/>
    <w:rsid w:val="00BD391E"/>
    <w:rsid w:val="00BD577A"/>
    <w:rsid w:val="00BD5871"/>
    <w:rsid w:val="00BD607C"/>
    <w:rsid w:val="00BD72B6"/>
    <w:rsid w:val="00BD76B6"/>
    <w:rsid w:val="00BD7C90"/>
    <w:rsid w:val="00BD7E19"/>
    <w:rsid w:val="00BE087A"/>
    <w:rsid w:val="00BE2166"/>
    <w:rsid w:val="00BE2C01"/>
    <w:rsid w:val="00BE2D15"/>
    <w:rsid w:val="00BE3214"/>
    <w:rsid w:val="00BE4124"/>
    <w:rsid w:val="00BE4D64"/>
    <w:rsid w:val="00BE5477"/>
    <w:rsid w:val="00BE6460"/>
    <w:rsid w:val="00BE6F0C"/>
    <w:rsid w:val="00BF07C1"/>
    <w:rsid w:val="00BF0C28"/>
    <w:rsid w:val="00BF0CA2"/>
    <w:rsid w:val="00BF0E3A"/>
    <w:rsid w:val="00BF0FF5"/>
    <w:rsid w:val="00BF20D2"/>
    <w:rsid w:val="00BF3987"/>
    <w:rsid w:val="00BF4167"/>
    <w:rsid w:val="00BF49D1"/>
    <w:rsid w:val="00C006B4"/>
    <w:rsid w:val="00C00D8D"/>
    <w:rsid w:val="00C02FF7"/>
    <w:rsid w:val="00C0390E"/>
    <w:rsid w:val="00C04483"/>
    <w:rsid w:val="00C048C2"/>
    <w:rsid w:val="00C04D07"/>
    <w:rsid w:val="00C052D5"/>
    <w:rsid w:val="00C13400"/>
    <w:rsid w:val="00C14528"/>
    <w:rsid w:val="00C163AE"/>
    <w:rsid w:val="00C167DD"/>
    <w:rsid w:val="00C1727C"/>
    <w:rsid w:val="00C20296"/>
    <w:rsid w:val="00C202CD"/>
    <w:rsid w:val="00C209B8"/>
    <w:rsid w:val="00C20A70"/>
    <w:rsid w:val="00C22C7C"/>
    <w:rsid w:val="00C23887"/>
    <w:rsid w:val="00C238E8"/>
    <w:rsid w:val="00C23EBA"/>
    <w:rsid w:val="00C24B8C"/>
    <w:rsid w:val="00C30031"/>
    <w:rsid w:val="00C31934"/>
    <w:rsid w:val="00C342FD"/>
    <w:rsid w:val="00C3467D"/>
    <w:rsid w:val="00C349A4"/>
    <w:rsid w:val="00C35CAE"/>
    <w:rsid w:val="00C35D71"/>
    <w:rsid w:val="00C35DE8"/>
    <w:rsid w:val="00C36DFE"/>
    <w:rsid w:val="00C37169"/>
    <w:rsid w:val="00C374F2"/>
    <w:rsid w:val="00C37F7B"/>
    <w:rsid w:val="00C40B7E"/>
    <w:rsid w:val="00C40E58"/>
    <w:rsid w:val="00C40E9C"/>
    <w:rsid w:val="00C411E5"/>
    <w:rsid w:val="00C41806"/>
    <w:rsid w:val="00C41ED1"/>
    <w:rsid w:val="00C42C76"/>
    <w:rsid w:val="00C42CE9"/>
    <w:rsid w:val="00C44502"/>
    <w:rsid w:val="00C449F6"/>
    <w:rsid w:val="00C45F3C"/>
    <w:rsid w:val="00C470EA"/>
    <w:rsid w:val="00C4714D"/>
    <w:rsid w:val="00C47A55"/>
    <w:rsid w:val="00C47A8C"/>
    <w:rsid w:val="00C47FF4"/>
    <w:rsid w:val="00C50AB2"/>
    <w:rsid w:val="00C52B69"/>
    <w:rsid w:val="00C53626"/>
    <w:rsid w:val="00C53A46"/>
    <w:rsid w:val="00C53D7F"/>
    <w:rsid w:val="00C5471A"/>
    <w:rsid w:val="00C55441"/>
    <w:rsid w:val="00C55DE1"/>
    <w:rsid w:val="00C572E9"/>
    <w:rsid w:val="00C60F63"/>
    <w:rsid w:val="00C60F6F"/>
    <w:rsid w:val="00C624A1"/>
    <w:rsid w:val="00C627EE"/>
    <w:rsid w:val="00C62ABC"/>
    <w:rsid w:val="00C6467D"/>
    <w:rsid w:val="00C64E57"/>
    <w:rsid w:val="00C67B16"/>
    <w:rsid w:val="00C70D32"/>
    <w:rsid w:val="00C71FF4"/>
    <w:rsid w:val="00C7205C"/>
    <w:rsid w:val="00C735F9"/>
    <w:rsid w:val="00C74913"/>
    <w:rsid w:val="00C75D4F"/>
    <w:rsid w:val="00C80363"/>
    <w:rsid w:val="00C806CE"/>
    <w:rsid w:val="00C81BA9"/>
    <w:rsid w:val="00C81F24"/>
    <w:rsid w:val="00C82E16"/>
    <w:rsid w:val="00C84C37"/>
    <w:rsid w:val="00C86862"/>
    <w:rsid w:val="00C86AC8"/>
    <w:rsid w:val="00C874F7"/>
    <w:rsid w:val="00C87510"/>
    <w:rsid w:val="00C8768D"/>
    <w:rsid w:val="00C879EB"/>
    <w:rsid w:val="00C87C03"/>
    <w:rsid w:val="00C90F36"/>
    <w:rsid w:val="00C91B5E"/>
    <w:rsid w:val="00C92568"/>
    <w:rsid w:val="00C933AA"/>
    <w:rsid w:val="00C9364E"/>
    <w:rsid w:val="00C94C01"/>
    <w:rsid w:val="00C9545B"/>
    <w:rsid w:val="00C95E13"/>
    <w:rsid w:val="00C9629F"/>
    <w:rsid w:val="00C973F4"/>
    <w:rsid w:val="00C97CE8"/>
    <w:rsid w:val="00CA0180"/>
    <w:rsid w:val="00CA080F"/>
    <w:rsid w:val="00CA0BC4"/>
    <w:rsid w:val="00CA16B2"/>
    <w:rsid w:val="00CA1DE9"/>
    <w:rsid w:val="00CA2D09"/>
    <w:rsid w:val="00CA35BA"/>
    <w:rsid w:val="00CA44B3"/>
    <w:rsid w:val="00CA4C94"/>
    <w:rsid w:val="00CA6F9B"/>
    <w:rsid w:val="00CA7B06"/>
    <w:rsid w:val="00CB1148"/>
    <w:rsid w:val="00CB122D"/>
    <w:rsid w:val="00CB16EB"/>
    <w:rsid w:val="00CB1BC1"/>
    <w:rsid w:val="00CB222E"/>
    <w:rsid w:val="00CB31AB"/>
    <w:rsid w:val="00CB335B"/>
    <w:rsid w:val="00CB34E2"/>
    <w:rsid w:val="00CB4014"/>
    <w:rsid w:val="00CB45F2"/>
    <w:rsid w:val="00CB4A78"/>
    <w:rsid w:val="00CB55F5"/>
    <w:rsid w:val="00CB63E7"/>
    <w:rsid w:val="00CC01E9"/>
    <w:rsid w:val="00CC0557"/>
    <w:rsid w:val="00CC2902"/>
    <w:rsid w:val="00CC3F9C"/>
    <w:rsid w:val="00CC47E8"/>
    <w:rsid w:val="00CC4FE1"/>
    <w:rsid w:val="00CC6379"/>
    <w:rsid w:val="00CD30CB"/>
    <w:rsid w:val="00CD43C1"/>
    <w:rsid w:val="00CD51F7"/>
    <w:rsid w:val="00CD5B1F"/>
    <w:rsid w:val="00CD61CA"/>
    <w:rsid w:val="00CD7C89"/>
    <w:rsid w:val="00CE01AE"/>
    <w:rsid w:val="00CE0DC1"/>
    <w:rsid w:val="00CE3A4A"/>
    <w:rsid w:val="00CE4857"/>
    <w:rsid w:val="00CE7095"/>
    <w:rsid w:val="00CE765E"/>
    <w:rsid w:val="00CF0B4F"/>
    <w:rsid w:val="00CF1497"/>
    <w:rsid w:val="00CF1731"/>
    <w:rsid w:val="00CF2615"/>
    <w:rsid w:val="00CF2DF0"/>
    <w:rsid w:val="00CF76E8"/>
    <w:rsid w:val="00D000F8"/>
    <w:rsid w:val="00D052E9"/>
    <w:rsid w:val="00D0541C"/>
    <w:rsid w:val="00D054C6"/>
    <w:rsid w:val="00D05CB1"/>
    <w:rsid w:val="00D06160"/>
    <w:rsid w:val="00D06820"/>
    <w:rsid w:val="00D06827"/>
    <w:rsid w:val="00D110F3"/>
    <w:rsid w:val="00D1127D"/>
    <w:rsid w:val="00D11C06"/>
    <w:rsid w:val="00D13D14"/>
    <w:rsid w:val="00D15231"/>
    <w:rsid w:val="00D16CD1"/>
    <w:rsid w:val="00D16FC0"/>
    <w:rsid w:val="00D17A47"/>
    <w:rsid w:val="00D17DA9"/>
    <w:rsid w:val="00D202CC"/>
    <w:rsid w:val="00D20515"/>
    <w:rsid w:val="00D22DF0"/>
    <w:rsid w:val="00D24882"/>
    <w:rsid w:val="00D24F02"/>
    <w:rsid w:val="00D2589E"/>
    <w:rsid w:val="00D267E9"/>
    <w:rsid w:val="00D27F16"/>
    <w:rsid w:val="00D27F88"/>
    <w:rsid w:val="00D30390"/>
    <w:rsid w:val="00D3068D"/>
    <w:rsid w:val="00D311FD"/>
    <w:rsid w:val="00D3352A"/>
    <w:rsid w:val="00D34F1B"/>
    <w:rsid w:val="00D35EC9"/>
    <w:rsid w:val="00D3632C"/>
    <w:rsid w:val="00D40281"/>
    <w:rsid w:val="00D40EBA"/>
    <w:rsid w:val="00D41032"/>
    <w:rsid w:val="00D428E9"/>
    <w:rsid w:val="00D42D8C"/>
    <w:rsid w:val="00D4319D"/>
    <w:rsid w:val="00D43478"/>
    <w:rsid w:val="00D46574"/>
    <w:rsid w:val="00D4777D"/>
    <w:rsid w:val="00D47B0A"/>
    <w:rsid w:val="00D50513"/>
    <w:rsid w:val="00D506B1"/>
    <w:rsid w:val="00D511F2"/>
    <w:rsid w:val="00D541DF"/>
    <w:rsid w:val="00D547B9"/>
    <w:rsid w:val="00D551E3"/>
    <w:rsid w:val="00D555E5"/>
    <w:rsid w:val="00D555FB"/>
    <w:rsid w:val="00D55BCB"/>
    <w:rsid w:val="00D61221"/>
    <w:rsid w:val="00D6173C"/>
    <w:rsid w:val="00D617F2"/>
    <w:rsid w:val="00D61D43"/>
    <w:rsid w:val="00D62785"/>
    <w:rsid w:val="00D64055"/>
    <w:rsid w:val="00D65590"/>
    <w:rsid w:val="00D6561D"/>
    <w:rsid w:val="00D6583D"/>
    <w:rsid w:val="00D65C5B"/>
    <w:rsid w:val="00D65CFA"/>
    <w:rsid w:val="00D66104"/>
    <w:rsid w:val="00D66F57"/>
    <w:rsid w:val="00D671D5"/>
    <w:rsid w:val="00D70DC7"/>
    <w:rsid w:val="00D718F8"/>
    <w:rsid w:val="00D71A28"/>
    <w:rsid w:val="00D72A21"/>
    <w:rsid w:val="00D734FD"/>
    <w:rsid w:val="00D744B6"/>
    <w:rsid w:val="00D74AA8"/>
    <w:rsid w:val="00D74EB1"/>
    <w:rsid w:val="00D7627F"/>
    <w:rsid w:val="00D76AF7"/>
    <w:rsid w:val="00D80E0E"/>
    <w:rsid w:val="00D81854"/>
    <w:rsid w:val="00D82286"/>
    <w:rsid w:val="00D825A2"/>
    <w:rsid w:val="00D834CD"/>
    <w:rsid w:val="00D84D48"/>
    <w:rsid w:val="00D85186"/>
    <w:rsid w:val="00D86F02"/>
    <w:rsid w:val="00D92320"/>
    <w:rsid w:val="00D936E2"/>
    <w:rsid w:val="00D936EB"/>
    <w:rsid w:val="00D94753"/>
    <w:rsid w:val="00D94B8F"/>
    <w:rsid w:val="00D95EC8"/>
    <w:rsid w:val="00DA0029"/>
    <w:rsid w:val="00DA0B41"/>
    <w:rsid w:val="00DA18FF"/>
    <w:rsid w:val="00DA2762"/>
    <w:rsid w:val="00DA286B"/>
    <w:rsid w:val="00DA547F"/>
    <w:rsid w:val="00DA56E0"/>
    <w:rsid w:val="00DB0CF0"/>
    <w:rsid w:val="00DB0D85"/>
    <w:rsid w:val="00DB0F86"/>
    <w:rsid w:val="00DB13C7"/>
    <w:rsid w:val="00DB25CF"/>
    <w:rsid w:val="00DB2757"/>
    <w:rsid w:val="00DB496D"/>
    <w:rsid w:val="00DB4C05"/>
    <w:rsid w:val="00DB5ED8"/>
    <w:rsid w:val="00DB69CC"/>
    <w:rsid w:val="00DB7D1B"/>
    <w:rsid w:val="00DC2628"/>
    <w:rsid w:val="00DC30F4"/>
    <w:rsid w:val="00DC36A1"/>
    <w:rsid w:val="00DC4FE5"/>
    <w:rsid w:val="00DC64F5"/>
    <w:rsid w:val="00DC6F52"/>
    <w:rsid w:val="00DD0781"/>
    <w:rsid w:val="00DD0E5B"/>
    <w:rsid w:val="00DD17DA"/>
    <w:rsid w:val="00DD4E34"/>
    <w:rsid w:val="00DD5E87"/>
    <w:rsid w:val="00DD65C9"/>
    <w:rsid w:val="00DD6CD9"/>
    <w:rsid w:val="00DD71F9"/>
    <w:rsid w:val="00DE45DC"/>
    <w:rsid w:val="00DE4932"/>
    <w:rsid w:val="00DE5267"/>
    <w:rsid w:val="00DE55C4"/>
    <w:rsid w:val="00DE67B2"/>
    <w:rsid w:val="00DE6AA0"/>
    <w:rsid w:val="00DE7145"/>
    <w:rsid w:val="00DE7565"/>
    <w:rsid w:val="00DF07EE"/>
    <w:rsid w:val="00DF0896"/>
    <w:rsid w:val="00DF0CB3"/>
    <w:rsid w:val="00DF122A"/>
    <w:rsid w:val="00DF2210"/>
    <w:rsid w:val="00DF2E95"/>
    <w:rsid w:val="00DF3CDE"/>
    <w:rsid w:val="00DF3DE3"/>
    <w:rsid w:val="00DF58E9"/>
    <w:rsid w:val="00DF59A3"/>
    <w:rsid w:val="00DF5F7B"/>
    <w:rsid w:val="00DF73D4"/>
    <w:rsid w:val="00E000D3"/>
    <w:rsid w:val="00E00DD3"/>
    <w:rsid w:val="00E00EFE"/>
    <w:rsid w:val="00E01D70"/>
    <w:rsid w:val="00E027FB"/>
    <w:rsid w:val="00E02B7C"/>
    <w:rsid w:val="00E03A94"/>
    <w:rsid w:val="00E0408E"/>
    <w:rsid w:val="00E063DA"/>
    <w:rsid w:val="00E066F2"/>
    <w:rsid w:val="00E07D25"/>
    <w:rsid w:val="00E101EA"/>
    <w:rsid w:val="00E1126A"/>
    <w:rsid w:val="00E12FA2"/>
    <w:rsid w:val="00E13C75"/>
    <w:rsid w:val="00E14038"/>
    <w:rsid w:val="00E15464"/>
    <w:rsid w:val="00E179BB"/>
    <w:rsid w:val="00E204CD"/>
    <w:rsid w:val="00E21164"/>
    <w:rsid w:val="00E2143C"/>
    <w:rsid w:val="00E2246A"/>
    <w:rsid w:val="00E22863"/>
    <w:rsid w:val="00E22D2D"/>
    <w:rsid w:val="00E22E9F"/>
    <w:rsid w:val="00E23F34"/>
    <w:rsid w:val="00E24567"/>
    <w:rsid w:val="00E2543B"/>
    <w:rsid w:val="00E266FF"/>
    <w:rsid w:val="00E26D04"/>
    <w:rsid w:val="00E26F2A"/>
    <w:rsid w:val="00E27112"/>
    <w:rsid w:val="00E31D94"/>
    <w:rsid w:val="00E32F50"/>
    <w:rsid w:val="00E33FDF"/>
    <w:rsid w:val="00E34731"/>
    <w:rsid w:val="00E35D2B"/>
    <w:rsid w:val="00E367B7"/>
    <w:rsid w:val="00E36993"/>
    <w:rsid w:val="00E40189"/>
    <w:rsid w:val="00E4064A"/>
    <w:rsid w:val="00E40CA3"/>
    <w:rsid w:val="00E43103"/>
    <w:rsid w:val="00E43E25"/>
    <w:rsid w:val="00E440CB"/>
    <w:rsid w:val="00E44E6D"/>
    <w:rsid w:val="00E4503C"/>
    <w:rsid w:val="00E507C4"/>
    <w:rsid w:val="00E5085C"/>
    <w:rsid w:val="00E51533"/>
    <w:rsid w:val="00E5188F"/>
    <w:rsid w:val="00E51C7C"/>
    <w:rsid w:val="00E51D5F"/>
    <w:rsid w:val="00E52315"/>
    <w:rsid w:val="00E52764"/>
    <w:rsid w:val="00E52908"/>
    <w:rsid w:val="00E53375"/>
    <w:rsid w:val="00E534CE"/>
    <w:rsid w:val="00E53776"/>
    <w:rsid w:val="00E53FD1"/>
    <w:rsid w:val="00E54300"/>
    <w:rsid w:val="00E55457"/>
    <w:rsid w:val="00E55D6F"/>
    <w:rsid w:val="00E560F3"/>
    <w:rsid w:val="00E56225"/>
    <w:rsid w:val="00E57C13"/>
    <w:rsid w:val="00E603DA"/>
    <w:rsid w:val="00E60CEB"/>
    <w:rsid w:val="00E61406"/>
    <w:rsid w:val="00E618DE"/>
    <w:rsid w:val="00E61DC7"/>
    <w:rsid w:val="00E61E14"/>
    <w:rsid w:val="00E62088"/>
    <w:rsid w:val="00E622CC"/>
    <w:rsid w:val="00E626CE"/>
    <w:rsid w:val="00E6416C"/>
    <w:rsid w:val="00E6473D"/>
    <w:rsid w:val="00E64E19"/>
    <w:rsid w:val="00E64F61"/>
    <w:rsid w:val="00E6636A"/>
    <w:rsid w:val="00E675D6"/>
    <w:rsid w:val="00E7088E"/>
    <w:rsid w:val="00E71C16"/>
    <w:rsid w:val="00E71CAE"/>
    <w:rsid w:val="00E72898"/>
    <w:rsid w:val="00E7350C"/>
    <w:rsid w:val="00E74790"/>
    <w:rsid w:val="00E74C6B"/>
    <w:rsid w:val="00E7606D"/>
    <w:rsid w:val="00E81D40"/>
    <w:rsid w:val="00E84629"/>
    <w:rsid w:val="00E84CA9"/>
    <w:rsid w:val="00E86700"/>
    <w:rsid w:val="00E86859"/>
    <w:rsid w:val="00E86F9C"/>
    <w:rsid w:val="00E9276D"/>
    <w:rsid w:val="00E92947"/>
    <w:rsid w:val="00E95CC1"/>
    <w:rsid w:val="00E95CCC"/>
    <w:rsid w:val="00E978CD"/>
    <w:rsid w:val="00E97FCC"/>
    <w:rsid w:val="00EA0BAA"/>
    <w:rsid w:val="00EA23E8"/>
    <w:rsid w:val="00EA434E"/>
    <w:rsid w:val="00EA5560"/>
    <w:rsid w:val="00EA594B"/>
    <w:rsid w:val="00EA68E0"/>
    <w:rsid w:val="00EA71FE"/>
    <w:rsid w:val="00EA74CF"/>
    <w:rsid w:val="00EB2CA3"/>
    <w:rsid w:val="00EB3516"/>
    <w:rsid w:val="00EB4B8E"/>
    <w:rsid w:val="00EB505F"/>
    <w:rsid w:val="00EB55B9"/>
    <w:rsid w:val="00EB6C71"/>
    <w:rsid w:val="00EB77A9"/>
    <w:rsid w:val="00EC1948"/>
    <w:rsid w:val="00EC3F72"/>
    <w:rsid w:val="00EC528D"/>
    <w:rsid w:val="00EC5325"/>
    <w:rsid w:val="00EC5A59"/>
    <w:rsid w:val="00EC65B4"/>
    <w:rsid w:val="00EC7745"/>
    <w:rsid w:val="00ED2B76"/>
    <w:rsid w:val="00ED2C45"/>
    <w:rsid w:val="00ED343C"/>
    <w:rsid w:val="00ED3A7C"/>
    <w:rsid w:val="00ED5130"/>
    <w:rsid w:val="00ED5785"/>
    <w:rsid w:val="00ED6277"/>
    <w:rsid w:val="00ED792D"/>
    <w:rsid w:val="00ED7FCF"/>
    <w:rsid w:val="00EE0058"/>
    <w:rsid w:val="00EE0074"/>
    <w:rsid w:val="00EE0093"/>
    <w:rsid w:val="00EE0682"/>
    <w:rsid w:val="00EE0B93"/>
    <w:rsid w:val="00EE25DB"/>
    <w:rsid w:val="00EE366B"/>
    <w:rsid w:val="00EE51E7"/>
    <w:rsid w:val="00EE545E"/>
    <w:rsid w:val="00EE5DEC"/>
    <w:rsid w:val="00EE6A79"/>
    <w:rsid w:val="00EE70D1"/>
    <w:rsid w:val="00EF0C15"/>
    <w:rsid w:val="00EF0D70"/>
    <w:rsid w:val="00EF140E"/>
    <w:rsid w:val="00EF171E"/>
    <w:rsid w:val="00EF1D6F"/>
    <w:rsid w:val="00EF1F23"/>
    <w:rsid w:val="00EF2F69"/>
    <w:rsid w:val="00EF3207"/>
    <w:rsid w:val="00EF4FFB"/>
    <w:rsid w:val="00EF6E5C"/>
    <w:rsid w:val="00EF7E46"/>
    <w:rsid w:val="00F00011"/>
    <w:rsid w:val="00F002AB"/>
    <w:rsid w:val="00F00ED7"/>
    <w:rsid w:val="00F02693"/>
    <w:rsid w:val="00F02AAE"/>
    <w:rsid w:val="00F0312B"/>
    <w:rsid w:val="00F0397F"/>
    <w:rsid w:val="00F04368"/>
    <w:rsid w:val="00F0490B"/>
    <w:rsid w:val="00F05498"/>
    <w:rsid w:val="00F05961"/>
    <w:rsid w:val="00F07D8D"/>
    <w:rsid w:val="00F07E40"/>
    <w:rsid w:val="00F10BBD"/>
    <w:rsid w:val="00F110A0"/>
    <w:rsid w:val="00F11123"/>
    <w:rsid w:val="00F13ED7"/>
    <w:rsid w:val="00F153D5"/>
    <w:rsid w:val="00F16449"/>
    <w:rsid w:val="00F20928"/>
    <w:rsid w:val="00F218DD"/>
    <w:rsid w:val="00F22759"/>
    <w:rsid w:val="00F24F8F"/>
    <w:rsid w:val="00F2533C"/>
    <w:rsid w:val="00F270EE"/>
    <w:rsid w:val="00F279A6"/>
    <w:rsid w:val="00F30632"/>
    <w:rsid w:val="00F30E8D"/>
    <w:rsid w:val="00F31624"/>
    <w:rsid w:val="00F32966"/>
    <w:rsid w:val="00F357D6"/>
    <w:rsid w:val="00F35D40"/>
    <w:rsid w:val="00F3606A"/>
    <w:rsid w:val="00F361BE"/>
    <w:rsid w:val="00F36638"/>
    <w:rsid w:val="00F36E3A"/>
    <w:rsid w:val="00F40C1B"/>
    <w:rsid w:val="00F42AF0"/>
    <w:rsid w:val="00F43C59"/>
    <w:rsid w:val="00F44EBE"/>
    <w:rsid w:val="00F46227"/>
    <w:rsid w:val="00F4631A"/>
    <w:rsid w:val="00F5045F"/>
    <w:rsid w:val="00F51754"/>
    <w:rsid w:val="00F51FF0"/>
    <w:rsid w:val="00F536A4"/>
    <w:rsid w:val="00F53BFA"/>
    <w:rsid w:val="00F54873"/>
    <w:rsid w:val="00F54FA6"/>
    <w:rsid w:val="00F55033"/>
    <w:rsid w:val="00F559B1"/>
    <w:rsid w:val="00F5717F"/>
    <w:rsid w:val="00F57D4F"/>
    <w:rsid w:val="00F60041"/>
    <w:rsid w:val="00F60130"/>
    <w:rsid w:val="00F65CEC"/>
    <w:rsid w:val="00F66A4F"/>
    <w:rsid w:val="00F66F82"/>
    <w:rsid w:val="00F67E5B"/>
    <w:rsid w:val="00F67F4E"/>
    <w:rsid w:val="00F7142B"/>
    <w:rsid w:val="00F719CC"/>
    <w:rsid w:val="00F71A0A"/>
    <w:rsid w:val="00F72759"/>
    <w:rsid w:val="00F7391D"/>
    <w:rsid w:val="00F73B44"/>
    <w:rsid w:val="00F75323"/>
    <w:rsid w:val="00F76814"/>
    <w:rsid w:val="00F76BDD"/>
    <w:rsid w:val="00F77874"/>
    <w:rsid w:val="00F7788B"/>
    <w:rsid w:val="00F77B17"/>
    <w:rsid w:val="00F82FDB"/>
    <w:rsid w:val="00F831EA"/>
    <w:rsid w:val="00F8346A"/>
    <w:rsid w:val="00F845F0"/>
    <w:rsid w:val="00F8589C"/>
    <w:rsid w:val="00F911E9"/>
    <w:rsid w:val="00F9290D"/>
    <w:rsid w:val="00F93A2D"/>
    <w:rsid w:val="00F93A65"/>
    <w:rsid w:val="00F93FBA"/>
    <w:rsid w:val="00F95297"/>
    <w:rsid w:val="00F9677C"/>
    <w:rsid w:val="00F96854"/>
    <w:rsid w:val="00F978E8"/>
    <w:rsid w:val="00F97B7D"/>
    <w:rsid w:val="00F97FCA"/>
    <w:rsid w:val="00FA1002"/>
    <w:rsid w:val="00FA1054"/>
    <w:rsid w:val="00FA1E05"/>
    <w:rsid w:val="00FA1EFB"/>
    <w:rsid w:val="00FA27FA"/>
    <w:rsid w:val="00FA2CD8"/>
    <w:rsid w:val="00FA5600"/>
    <w:rsid w:val="00FA79B5"/>
    <w:rsid w:val="00FB0667"/>
    <w:rsid w:val="00FB39E5"/>
    <w:rsid w:val="00FB3D99"/>
    <w:rsid w:val="00FB5B00"/>
    <w:rsid w:val="00FB5F69"/>
    <w:rsid w:val="00FB5FA2"/>
    <w:rsid w:val="00FB6619"/>
    <w:rsid w:val="00FC0FA2"/>
    <w:rsid w:val="00FC199A"/>
    <w:rsid w:val="00FC23A0"/>
    <w:rsid w:val="00FC2404"/>
    <w:rsid w:val="00FC2845"/>
    <w:rsid w:val="00FC33F0"/>
    <w:rsid w:val="00FC4753"/>
    <w:rsid w:val="00FC4B8D"/>
    <w:rsid w:val="00FC5668"/>
    <w:rsid w:val="00FC5C93"/>
    <w:rsid w:val="00FC5D84"/>
    <w:rsid w:val="00FC6E5F"/>
    <w:rsid w:val="00FC71C9"/>
    <w:rsid w:val="00FD030A"/>
    <w:rsid w:val="00FD295A"/>
    <w:rsid w:val="00FD528C"/>
    <w:rsid w:val="00FD597D"/>
    <w:rsid w:val="00FD696E"/>
    <w:rsid w:val="00FD78E5"/>
    <w:rsid w:val="00FE0672"/>
    <w:rsid w:val="00FE20C8"/>
    <w:rsid w:val="00FE4D52"/>
    <w:rsid w:val="00FE51C4"/>
    <w:rsid w:val="00FE74DD"/>
    <w:rsid w:val="00FE7F87"/>
    <w:rsid w:val="00FF042E"/>
    <w:rsid w:val="00FF04BE"/>
    <w:rsid w:val="00FF074C"/>
    <w:rsid w:val="00FF14C9"/>
    <w:rsid w:val="00FF170B"/>
    <w:rsid w:val="00FF1B2A"/>
    <w:rsid w:val="00FF1DF9"/>
    <w:rsid w:val="00FF1F58"/>
    <w:rsid w:val="00FF2A99"/>
    <w:rsid w:val="00FF2ADD"/>
    <w:rsid w:val="00FF3582"/>
    <w:rsid w:val="00FF40FC"/>
    <w:rsid w:val="00FF4DA5"/>
    <w:rsid w:val="00FF4FB8"/>
    <w:rsid w:val="00FF50B9"/>
    <w:rsid w:val="00FF65AC"/>
    <w:rsid w:val="00FF6609"/>
    <w:rsid w:val="00FF6917"/>
    <w:rsid w:val="00FF7334"/>
    <w:rsid w:val="00FF77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paragraph" w:styleId="Heading1">
    <w:name w:val="heading 1"/>
    <w:aliases w:val="小标题"/>
    <w:basedOn w:val="Normal"/>
    <w:next w:val="Normal"/>
    <w:link w:val="Heading1Char"/>
    <w:autoRedefine/>
    <w:uiPriority w:val="99"/>
    <w:qFormat/>
    <w:rsid w:val="00A21A5A"/>
    <w:pPr>
      <w:keepNext/>
      <w:keepLines/>
      <w:widowControl/>
      <w:numPr>
        <w:numId w:val="6"/>
      </w:numPr>
      <w:spacing w:before="100" w:beforeAutospacing="1" w:afterLines="50"/>
      <w:ind w:leftChars="1200" w:left="1200"/>
      <w:outlineLvl w:val="0"/>
    </w:pPr>
    <w:rPr>
      <w:rFonts w:eastAsia="华文楷体"/>
      <w:b/>
      <w:bCs/>
      <w:kern w:val="44"/>
      <w:sz w:val="28"/>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小标题 Char"/>
    <w:basedOn w:val="DefaultParagraphFont"/>
    <w:link w:val="Heading1"/>
    <w:uiPriority w:val="99"/>
    <w:locked/>
    <w:rsid w:val="00A21A5A"/>
    <w:rPr>
      <w:rFonts w:ascii="Calibri" w:eastAsia="华文楷体" w:hAnsi="Calibri" w:cs="Times New Roman"/>
      <w:b/>
      <w:bCs/>
      <w:kern w:val="44"/>
      <w:sz w:val="44"/>
      <w:szCs w:val="44"/>
    </w:rPr>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KaiTi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KaiTi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026FF9"/>
    <w:pPr>
      <w:ind w:firstLineChars="200" w:firstLine="420"/>
    </w:pPr>
  </w:style>
  <w:style w:type="paragraph" w:customStyle="1" w:styleId="SourceLarge">
    <w:name w:val="SourceLarge"/>
    <w:uiPriority w:val="99"/>
    <w:rsid w:val="00611ADA"/>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611ADA"/>
    <w:pPr>
      <w:widowControl/>
      <w:numPr>
        <w:numId w:val="4"/>
      </w:numPr>
      <w:suppressAutoHyphens/>
      <w:spacing w:after="200" w:line="240" w:lineRule="atLeast"/>
    </w:pPr>
    <w:rPr>
      <w:rFonts w:ascii="Arial" w:eastAsia="KaiTi_GB2312" w:hAnsi="Arial"/>
      <w:kern w:val="0"/>
      <w:sz w:val="18"/>
      <w:szCs w:val="20"/>
      <w:lang w:val="en-GB"/>
    </w:rPr>
  </w:style>
  <w:style w:type="paragraph" w:customStyle="1" w:styleId="1">
    <w:name w:val="模板标题1"/>
    <w:basedOn w:val="Normal"/>
    <w:next w:val="BodyText"/>
    <w:uiPriority w:val="99"/>
    <w:rsid w:val="00611ADA"/>
    <w:pPr>
      <w:widowControl/>
      <w:spacing w:after="240" w:line="300" w:lineRule="exact"/>
      <w:ind w:left="3402"/>
      <w:outlineLvl w:val="0"/>
    </w:pPr>
    <w:rPr>
      <w:rFonts w:ascii="Arial" w:eastAsia="KaiTi_GB2312" w:hAnsi="Arial"/>
      <w:b/>
      <w:bCs/>
      <w:color w:val="01659D"/>
      <w:kern w:val="0"/>
      <w:sz w:val="24"/>
      <w:szCs w:val="20"/>
      <w:lang w:val="en-GB"/>
    </w:rPr>
  </w:style>
  <w:style w:type="paragraph" w:customStyle="1" w:styleId="a5">
    <w:name w:val="正文内容"/>
    <w:basedOn w:val="BodyText"/>
    <w:link w:val="Char5"/>
    <w:uiPriority w:val="99"/>
    <w:rsid w:val="00A21A5A"/>
    <w:pPr>
      <w:tabs>
        <w:tab w:val="num" w:pos="3799"/>
      </w:tabs>
      <w:spacing w:after="163"/>
      <w:ind w:left="3799" w:hanging="369"/>
    </w:pPr>
    <w:rPr>
      <w:rFonts w:ascii="KaiTi_GB2312" w:eastAsia="宋体" w:hAnsi="KaiTi_GB2312"/>
      <w:color w:val="auto"/>
    </w:rPr>
  </w:style>
  <w:style w:type="character" w:customStyle="1" w:styleId="Char5">
    <w:name w:val="正文内容 Char"/>
    <w:basedOn w:val="BodyTextChar"/>
    <w:link w:val="a5"/>
    <w:uiPriority w:val="99"/>
    <w:locked/>
    <w:rsid w:val="00A21A5A"/>
    <w:rPr>
      <w:rFonts w:ascii="KaiTi_GB2312" w:eastAsia="Times New Roman" w:hAnsi="KaiTi_GB2312"/>
    </w:rPr>
  </w:style>
  <w:style w:type="paragraph" w:customStyle="1" w:styleId="a6">
    <w:name w:val="正文小标题"/>
    <w:basedOn w:val="BodyText"/>
    <w:link w:val="Char6"/>
    <w:uiPriority w:val="99"/>
    <w:rsid w:val="00A21A5A"/>
    <w:pPr>
      <w:spacing w:after="0"/>
    </w:pPr>
    <w:rPr>
      <w:rFonts w:ascii="KaiTi_GB2312" w:eastAsia="宋体" w:hAnsi="KaiTi_GB2312"/>
      <w:b/>
      <w:bCs/>
      <w:color w:val="0070C0"/>
      <w:szCs w:val="21"/>
      <w:lang w:val="en-US"/>
    </w:rPr>
  </w:style>
  <w:style w:type="character" w:customStyle="1" w:styleId="Char6">
    <w:name w:val="正文小标题 Char"/>
    <w:basedOn w:val="BodyTextChar"/>
    <w:link w:val="a6"/>
    <w:uiPriority w:val="99"/>
    <w:locked/>
    <w:rsid w:val="00A21A5A"/>
    <w:rPr>
      <w:rFonts w:ascii="KaiTi_GB2312" w:eastAsia="Times New Roman" w:hAnsi="KaiTi_GB2312"/>
      <w:b/>
      <w:bCs/>
      <w:color w:val="0070C0"/>
      <w:sz w:val="21"/>
      <w:szCs w:val="21"/>
    </w:rPr>
  </w:style>
  <w:style w:type="character" w:styleId="Hyperlink">
    <w:name w:val="Hyperlink"/>
    <w:basedOn w:val="DefaultParagraphFont"/>
    <w:uiPriority w:val="99"/>
    <w:semiHidden/>
    <w:rsid w:val="006F4A62"/>
    <w:rPr>
      <w:rFonts w:cs="Times New Roman"/>
      <w:color w:val="072885"/>
      <w:u w:val="none"/>
      <w:effect w:val="none"/>
    </w:rPr>
  </w:style>
  <w:style w:type="paragraph" w:styleId="NormalWeb">
    <w:name w:val="Normal (Web)"/>
    <w:basedOn w:val="Normal"/>
    <w:uiPriority w:val="99"/>
    <w:rsid w:val="00413A93"/>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59940539">
      <w:marLeft w:val="0"/>
      <w:marRight w:val="0"/>
      <w:marTop w:val="0"/>
      <w:marBottom w:val="0"/>
      <w:divBdr>
        <w:top w:val="none" w:sz="0" w:space="0" w:color="auto"/>
        <w:left w:val="none" w:sz="0" w:space="0" w:color="auto"/>
        <w:bottom w:val="none" w:sz="0" w:space="0" w:color="auto"/>
        <w:right w:val="none" w:sz="0" w:space="0" w:color="auto"/>
      </w:divBdr>
    </w:div>
    <w:div w:id="1059940540">
      <w:marLeft w:val="0"/>
      <w:marRight w:val="0"/>
      <w:marTop w:val="0"/>
      <w:marBottom w:val="0"/>
      <w:divBdr>
        <w:top w:val="none" w:sz="0" w:space="0" w:color="auto"/>
        <w:left w:val="none" w:sz="0" w:space="0" w:color="auto"/>
        <w:bottom w:val="none" w:sz="0" w:space="0" w:color="auto"/>
        <w:right w:val="none" w:sz="0" w:space="0" w:color="auto"/>
      </w:divBdr>
    </w:div>
    <w:div w:id="1059940541">
      <w:marLeft w:val="0"/>
      <w:marRight w:val="0"/>
      <w:marTop w:val="0"/>
      <w:marBottom w:val="0"/>
      <w:divBdr>
        <w:top w:val="none" w:sz="0" w:space="0" w:color="auto"/>
        <w:left w:val="none" w:sz="0" w:space="0" w:color="auto"/>
        <w:bottom w:val="none" w:sz="0" w:space="0" w:color="auto"/>
        <w:right w:val="none" w:sz="0" w:space="0" w:color="auto"/>
      </w:divBdr>
    </w:div>
    <w:div w:id="1059940542">
      <w:marLeft w:val="0"/>
      <w:marRight w:val="0"/>
      <w:marTop w:val="0"/>
      <w:marBottom w:val="0"/>
      <w:divBdr>
        <w:top w:val="none" w:sz="0" w:space="0" w:color="auto"/>
        <w:left w:val="none" w:sz="0" w:space="0" w:color="auto"/>
        <w:bottom w:val="none" w:sz="0" w:space="0" w:color="auto"/>
        <w:right w:val="none" w:sz="0" w:space="0" w:color="auto"/>
      </w:divBdr>
    </w:div>
    <w:div w:id="1059940543">
      <w:marLeft w:val="0"/>
      <w:marRight w:val="0"/>
      <w:marTop w:val="0"/>
      <w:marBottom w:val="0"/>
      <w:divBdr>
        <w:top w:val="none" w:sz="0" w:space="0" w:color="auto"/>
        <w:left w:val="none" w:sz="0" w:space="0" w:color="auto"/>
        <w:bottom w:val="none" w:sz="0" w:space="0" w:color="auto"/>
        <w:right w:val="none" w:sz="0" w:space="0" w:color="auto"/>
      </w:divBdr>
    </w:div>
    <w:div w:id="1059940544">
      <w:marLeft w:val="0"/>
      <w:marRight w:val="0"/>
      <w:marTop w:val="0"/>
      <w:marBottom w:val="0"/>
      <w:divBdr>
        <w:top w:val="none" w:sz="0" w:space="0" w:color="auto"/>
        <w:left w:val="none" w:sz="0" w:space="0" w:color="auto"/>
        <w:bottom w:val="none" w:sz="0" w:space="0" w:color="auto"/>
        <w:right w:val="none" w:sz="0" w:space="0" w:color="auto"/>
      </w:divBdr>
    </w:div>
    <w:div w:id="1059940546">
      <w:marLeft w:val="0"/>
      <w:marRight w:val="0"/>
      <w:marTop w:val="0"/>
      <w:marBottom w:val="0"/>
      <w:divBdr>
        <w:top w:val="none" w:sz="0" w:space="0" w:color="auto"/>
        <w:left w:val="none" w:sz="0" w:space="0" w:color="auto"/>
        <w:bottom w:val="none" w:sz="0" w:space="0" w:color="auto"/>
        <w:right w:val="none" w:sz="0" w:space="0" w:color="auto"/>
      </w:divBdr>
      <w:divsChild>
        <w:div w:id="1059940579">
          <w:marLeft w:val="0"/>
          <w:marRight w:val="0"/>
          <w:marTop w:val="0"/>
          <w:marBottom w:val="0"/>
          <w:divBdr>
            <w:top w:val="none" w:sz="0" w:space="0" w:color="auto"/>
            <w:left w:val="none" w:sz="0" w:space="0" w:color="auto"/>
            <w:bottom w:val="none" w:sz="0" w:space="0" w:color="auto"/>
            <w:right w:val="none" w:sz="0" w:space="0" w:color="auto"/>
          </w:divBdr>
        </w:div>
      </w:divsChild>
    </w:div>
    <w:div w:id="1059940547">
      <w:marLeft w:val="0"/>
      <w:marRight w:val="0"/>
      <w:marTop w:val="0"/>
      <w:marBottom w:val="0"/>
      <w:divBdr>
        <w:top w:val="none" w:sz="0" w:space="0" w:color="auto"/>
        <w:left w:val="none" w:sz="0" w:space="0" w:color="auto"/>
        <w:bottom w:val="none" w:sz="0" w:space="0" w:color="auto"/>
        <w:right w:val="none" w:sz="0" w:space="0" w:color="auto"/>
      </w:divBdr>
      <w:divsChild>
        <w:div w:id="1059940614">
          <w:marLeft w:val="0"/>
          <w:marRight w:val="0"/>
          <w:marTop w:val="0"/>
          <w:marBottom w:val="0"/>
          <w:divBdr>
            <w:top w:val="none" w:sz="0" w:space="0" w:color="auto"/>
            <w:left w:val="none" w:sz="0" w:space="0" w:color="auto"/>
            <w:bottom w:val="none" w:sz="0" w:space="0" w:color="auto"/>
            <w:right w:val="none" w:sz="0" w:space="0" w:color="auto"/>
          </w:divBdr>
          <w:divsChild>
            <w:div w:id="1059940574">
              <w:marLeft w:val="0"/>
              <w:marRight w:val="0"/>
              <w:marTop w:val="0"/>
              <w:marBottom w:val="0"/>
              <w:divBdr>
                <w:top w:val="none" w:sz="0" w:space="0" w:color="auto"/>
                <w:left w:val="none" w:sz="0" w:space="0" w:color="auto"/>
                <w:bottom w:val="none" w:sz="0" w:space="0" w:color="auto"/>
                <w:right w:val="none" w:sz="0" w:space="0" w:color="auto"/>
              </w:divBdr>
              <w:divsChild>
                <w:div w:id="1059940588">
                  <w:marLeft w:val="0"/>
                  <w:marRight w:val="0"/>
                  <w:marTop w:val="0"/>
                  <w:marBottom w:val="0"/>
                  <w:divBdr>
                    <w:top w:val="none" w:sz="0" w:space="0" w:color="auto"/>
                    <w:left w:val="none" w:sz="0" w:space="0" w:color="auto"/>
                    <w:bottom w:val="none" w:sz="0" w:space="0" w:color="auto"/>
                    <w:right w:val="none" w:sz="0" w:space="0" w:color="auto"/>
                  </w:divBdr>
                  <w:divsChild>
                    <w:div w:id="1059940627">
                      <w:marLeft w:val="0"/>
                      <w:marRight w:val="0"/>
                      <w:marTop w:val="0"/>
                      <w:marBottom w:val="0"/>
                      <w:divBdr>
                        <w:top w:val="single" w:sz="6" w:space="15" w:color="C0D8F2"/>
                        <w:left w:val="single" w:sz="6" w:space="18" w:color="C0D8F2"/>
                        <w:bottom w:val="single" w:sz="6" w:space="11" w:color="C0D8F2"/>
                        <w:right w:val="single" w:sz="6" w:space="18" w:color="C0D8F2"/>
                      </w:divBdr>
                      <w:divsChild>
                        <w:div w:id="1059940623">
                          <w:marLeft w:val="0"/>
                          <w:marRight w:val="0"/>
                          <w:marTop w:val="0"/>
                          <w:marBottom w:val="0"/>
                          <w:divBdr>
                            <w:top w:val="none" w:sz="0" w:space="0" w:color="auto"/>
                            <w:left w:val="none" w:sz="0" w:space="0" w:color="auto"/>
                            <w:bottom w:val="none" w:sz="0" w:space="0" w:color="auto"/>
                            <w:right w:val="none" w:sz="0" w:space="0" w:color="auto"/>
                          </w:divBdr>
                          <w:divsChild>
                            <w:div w:id="1059940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40548">
      <w:marLeft w:val="0"/>
      <w:marRight w:val="0"/>
      <w:marTop w:val="0"/>
      <w:marBottom w:val="0"/>
      <w:divBdr>
        <w:top w:val="none" w:sz="0" w:space="0" w:color="auto"/>
        <w:left w:val="none" w:sz="0" w:space="0" w:color="auto"/>
        <w:bottom w:val="none" w:sz="0" w:space="0" w:color="auto"/>
        <w:right w:val="none" w:sz="0" w:space="0" w:color="auto"/>
      </w:divBdr>
    </w:div>
    <w:div w:id="1059940552">
      <w:marLeft w:val="0"/>
      <w:marRight w:val="0"/>
      <w:marTop w:val="0"/>
      <w:marBottom w:val="0"/>
      <w:divBdr>
        <w:top w:val="none" w:sz="0" w:space="0" w:color="auto"/>
        <w:left w:val="none" w:sz="0" w:space="0" w:color="auto"/>
        <w:bottom w:val="none" w:sz="0" w:space="0" w:color="auto"/>
        <w:right w:val="none" w:sz="0" w:space="0" w:color="auto"/>
      </w:divBdr>
    </w:div>
    <w:div w:id="1059940553">
      <w:marLeft w:val="0"/>
      <w:marRight w:val="0"/>
      <w:marTop w:val="0"/>
      <w:marBottom w:val="0"/>
      <w:divBdr>
        <w:top w:val="none" w:sz="0" w:space="0" w:color="auto"/>
        <w:left w:val="none" w:sz="0" w:space="0" w:color="auto"/>
        <w:bottom w:val="none" w:sz="0" w:space="0" w:color="auto"/>
        <w:right w:val="none" w:sz="0" w:space="0" w:color="auto"/>
      </w:divBdr>
    </w:div>
    <w:div w:id="1059940554">
      <w:marLeft w:val="0"/>
      <w:marRight w:val="0"/>
      <w:marTop w:val="0"/>
      <w:marBottom w:val="0"/>
      <w:divBdr>
        <w:top w:val="none" w:sz="0" w:space="0" w:color="auto"/>
        <w:left w:val="none" w:sz="0" w:space="0" w:color="auto"/>
        <w:bottom w:val="none" w:sz="0" w:space="0" w:color="auto"/>
        <w:right w:val="none" w:sz="0" w:space="0" w:color="auto"/>
      </w:divBdr>
    </w:div>
    <w:div w:id="1059940555">
      <w:marLeft w:val="0"/>
      <w:marRight w:val="0"/>
      <w:marTop w:val="0"/>
      <w:marBottom w:val="0"/>
      <w:divBdr>
        <w:top w:val="none" w:sz="0" w:space="0" w:color="auto"/>
        <w:left w:val="none" w:sz="0" w:space="0" w:color="auto"/>
        <w:bottom w:val="none" w:sz="0" w:space="0" w:color="auto"/>
        <w:right w:val="none" w:sz="0" w:space="0" w:color="auto"/>
      </w:divBdr>
      <w:divsChild>
        <w:div w:id="1059940549">
          <w:marLeft w:val="0"/>
          <w:marRight w:val="0"/>
          <w:marTop w:val="0"/>
          <w:marBottom w:val="0"/>
          <w:divBdr>
            <w:top w:val="none" w:sz="0" w:space="0" w:color="auto"/>
            <w:left w:val="none" w:sz="0" w:space="0" w:color="auto"/>
            <w:bottom w:val="none" w:sz="0" w:space="0" w:color="auto"/>
            <w:right w:val="none" w:sz="0" w:space="0" w:color="auto"/>
          </w:divBdr>
        </w:div>
      </w:divsChild>
    </w:div>
    <w:div w:id="1059940556">
      <w:marLeft w:val="0"/>
      <w:marRight w:val="0"/>
      <w:marTop w:val="0"/>
      <w:marBottom w:val="0"/>
      <w:divBdr>
        <w:top w:val="none" w:sz="0" w:space="0" w:color="auto"/>
        <w:left w:val="none" w:sz="0" w:space="0" w:color="auto"/>
        <w:bottom w:val="none" w:sz="0" w:space="0" w:color="auto"/>
        <w:right w:val="none" w:sz="0" w:space="0" w:color="auto"/>
      </w:divBdr>
    </w:div>
    <w:div w:id="1059940558">
      <w:marLeft w:val="0"/>
      <w:marRight w:val="0"/>
      <w:marTop w:val="0"/>
      <w:marBottom w:val="0"/>
      <w:divBdr>
        <w:top w:val="none" w:sz="0" w:space="0" w:color="auto"/>
        <w:left w:val="none" w:sz="0" w:space="0" w:color="auto"/>
        <w:bottom w:val="none" w:sz="0" w:space="0" w:color="auto"/>
        <w:right w:val="none" w:sz="0" w:space="0" w:color="auto"/>
      </w:divBdr>
    </w:div>
    <w:div w:id="1059940559">
      <w:marLeft w:val="0"/>
      <w:marRight w:val="0"/>
      <w:marTop w:val="0"/>
      <w:marBottom w:val="0"/>
      <w:divBdr>
        <w:top w:val="none" w:sz="0" w:space="0" w:color="auto"/>
        <w:left w:val="none" w:sz="0" w:space="0" w:color="auto"/>
        <w:bottom w:val="none" w:sz="0" w:space="0" w:color="auto"/>
        <w:right w:val="none" w:sz="0" w:space="0" w:color="auto"/>
      </w:divBdr>
    </w:div>
    <w:div w:id="1059940560">
      <w:marLeft w:val="0"/>
      <w:marRight w:val="0"/>
      <w:marTop w:val="0"/>
      <w:marBottom w:val="0"/>
      <w:divBdr>
        <w:top w:val="none" w:sz="0" w:space="0" w:color="auto"/>
        <w:left w:val="none" w:sz="0" w:space="0" w:color="auto"/>
        <w:bottom w:val="none" w:sz="0" w:space="0" w:color="auto"/>
        <w:right w:val="none" w:sz="0" w:space="0" w:color="auto"/>
      </w:divBdr>
      <w:divsChild>
        <w:div w:id="1059940626">
          <w:marLeft w:val="0"/>
          <w:marRight w:val="0"/>
          <w:marTop w:val="0"/>
          <w:marBottom w:val="0"/>
          <w:divBdr>
            <w:top w:val="none" w:sz="0" w:space="0" w:color="auto"/>
            <w:left w:val="none" w:sz="0" w:space="0" w:color="auto"/>
            <w:bottom w:val="none" w:sz="0" w:space="0" w:color="auto"/>
            <w:right w:val="none" w:sz="0" w:space="0" w:color="auto"/>
          </w:divBdr>
          <w:divsChild>
            <w:div w:id="1059940545">
              <w:marLeft w:val="0"/>
              <w:marRight w:val="0"/>
              <w:marTop w:val="0"/>
              <w:marBottom w:val="0"/>
              <w:divBdr>
                <w:top w:val="none" w:sz="0" w:space="0" w:color="auto"/>
                <w:left w:val="none" w:sz="0" w:space="0" w:color="auto"/>
                <w:bottom w:val="none" w:sz="0" w:space="0" w:color="auto"/>
                <w:right w:val="none" w:sz="0" w:space="0" w:color="auto"/>
              </w:divBdr>
              <w:divsChild>
                <w:div w:id="1059940578">
                  <w:marLeft w:val="0"/>
                  <w:marRight w:val="0"/>
                  <w:marTop w:val="0"/>
                  <w:marBottom w:val="0"/>
                  <w:divBdr>
                    <w:top w:val="none" w:sz="0" w:space="0" w:color="auto"/>
                    <w:left w:val="none" w:sz="0" w:space="0" w:color="auto"/>
                    <w:bottom w:val="none" w:sz="0" w:space="0" w:color="auto"/>
                    <w:right w:val="none" w:sz="0" w:space="0" w:color="auto"/>
                  </w:divBdr>
                  <w:divsChild>
                    <w:div w:id="1059940592">
                      <w:marLeft w:val="0"/>
                      <w:marRight w:val="0"/>
                      <w:marTop w:val="0"/>
                      <w:marBottom w:val="0"/>
                      <w:divBdr>
                        <w:top w:val="single" w:sz="6" w:space="15" w:color="C0D8F2"/>
                        <w:left w:val="single" w:sz="6" w:space="18" w:color="C0D8F2"/>
                        <w:bottom w:val="single" w:sz="6" w:space="11" w:color="C0D8F2"/>
                        <w:right w:val="single" w:sz="6" w:space="18" w:color="C0D8F2"/>
                      </w:divBdr>
                      <w:divsChild>
                        <w:div w:id="1059940591">
                          <w:marLeft w:val="0"/>
                          <w:marRight w:val="0"/>
                          <w:marTop w:val="0"/>
                          <w:marBottom w:val="0"/>
                          <w:divBdr>
                            <w:top w:val="none" w:sz="0" w:space="0" w:color="auto"/>
                            <w:left w:val="none" w:sz="0" w:space="0" w:color="auto"/>
                            <w:bottom w:val="none" w:sz="0" w:space="0" w:color="auto"/>
                            <w:right w:val="none" w:sz="0" w:space="0" w:color="auto"/>
                          </w:divBdr>
                          <w:divsChild>
                            <w:div w:id="10599406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40561">
      <w:marLeft w:val="0"/>
      <w:marRight w:val="0"/>
      <w:marTop w:val="0"/>
      <w:marBottom w:val="0"/>
      <w:divBdr>
        <w:top w:val="none" w:sz="0" w:space="0" w:color="auto"/>
        <w:left w:val="none" w:sz="0" w:space="0" w:color="auto"/>
        <w:bottom w:val="none" w:sz="0" w:space="0" w:color="auto"/>
        <w:right w:val="none" w:sz="0" w:space="0" w:color="auto"/>
      </w:divBdr>
    </w:div>
    <w:div w:id="1059940564">
      <w:marLeft w:val="0"/>
      <w:marRight w:val="0"/>
      <w:marTop w:val="0"/>
      <w:marBottom w:val="0"/>
      <w:divBdr>
        <w:top w:val="none" w:sz="0" w:space="0" w:color="auto"/>
        <w:left w:val="none" w:sz="0" w:space="0" w:color="auto"/>
        <w:bottom w:val="none" w:sz="0" w:space="0" w:color="auto"/>
        <w:right w:val="none" w:sz="0" w:space="0" w:color="auto"/>
      </w:divBdr>
    </w:div>
    <w:div w:id="1059940566">
      <w:marLeft w:val="0"/>
      <w:marRight w:val="0"/>
      <w:marTop w:val="0"/>
      <w:marBottom w:val="0"/>
      <w:divBdr>
        <w:top w:val="none" w:sz="0" w:space="0" w:color="auto"/>
        <w:left w:val="none" w:sz="0" w:space="0" w:color="auto"/>
        <w:bottom w:val="none" w:sz="0" w:space="0" w:color="auto"/>
        <w:right w:val="none" w:sz="0" w:space="0" w:color="auto"/>
      </w:divBdr>
    </w:div>
    <w:div w:id="1059940567">
      <w:marLeft w:val="0"/>
      <w:marRight w:val="0"/>
      <w:marTop w:val="0"/>
      <w:marBottom w:val="0"/>
      <w:divBdr>
        <w:top w:val="none" w:sz="0" w:space="0" w:color="auto"/>
        <w:left w:val="none" w:sz="0" w:space="0" w:color="auto"/>
        <w:bottom w:val="none" w:sz="0" w:space="0" w:color="auto"/>
        <w:right w:val="none" w:sz="0" w:space="0" w:color="auto"/>
      </w:divBdr>
    </w:div>
    <w:div w:id="1059940570">
      <w:marLeft w:val="0"/>
      <w:marRight w:val="0"/>
      <w:marTop w:val="0"/>
      <w:marBottom w:val="0"/>
      <w:divBdr>
        <w:top w:val="none" w:sz="0" w:space="0" w:color="auto"/>
        <w:left w:val="none" w:sz="0" w:space="0" w:color="auto"/>
        <w:bottom w:val="none" w:sz="0" w:space="0" w:color="auto"/>
        <w:right w:val="none" w:sz="0" w:space="0" w:color="auto"/>
      </w:divBdr>
      <w:divsChild>
        <w:div w:id="1059940599">
          <w:marLeft w:val="0"/>
          <w:marRight w:val="0"/>
          <w:marTop w:val="0"/>
          <w:marBottom w:val="0"/>
          <w:divBdr>
            <w:top w:val="none" w:sz="0" w:space="0" w:color="auto"/>
            <w:left w:val="none" w:sz="0" w:space="0" w:color="auto"/>
            <w:bottom w:val="none" w:sz="0" w:space="0" w:color="auto"/>
            <w:right w:val="none" w:sz="0" w:space="0" w:color="auto"/>
          </w:divBdr>
          <w:divsChild>
            <w:div w:id="1059940590">
              <w:marLeft w:val="0"/>
              <w:marRight w:val="0"/>
              <w:marTop w:val="0"/>
              <w:marBottom w:val="0"/>
              <w:divBdr>
                <w:top w:val="none" w:sz="0" w:space="0" w:color="auto"/>
                <w:left w:val="none" w:sz="0" w:space="0" w:color="auto"/>
                <w:bottom w:val="none" w:sz="0" w:space="0" w:color="auto"/>
                <w:right w:val="none" w:sz="0" w:space="0" w:color="auto"/>
              </w:divBdr>
              <w:divsChild>
                <w:div w:id="1059940602">
                  <w:marLeft w:val="0"/>
                  <w:marRight w:val="0"/>
                  <w:marTop w:val="0"/>
                  <w:marBottom w:val="0"/>
                  <w:divBdr>
                    <w:top w:val="none" w:sz="0" w:space="0" w:color="auto"/>
                    <w:left w:val="none" w:sz="0" w:space="0" w:color="auto"/>
                    <w:bottom w:val="none" w:sz="0" w:space="0" w:color="auto"/>
                    <w:right w:val="none" w:sz="0" w:space="0" w:color="auto"/>
                  </w:divBdr>
                  <w:divsChild>
                    <w:div w:id="1059940624">
                      <w:marLeft w:val="0"/>
                      <w:marRight w:val="0"/>
                      <w:marTop w:val="0"/>
                      <w:marBottom w:val="0"/>
                      <w:divBdr>
                        <w:top w:val="single" w:sz="6" w:space="15" w:color="C0D8F2"/>
                        <w:left w:val="single" w:sz="6" w:space="18" w:color="C0D8F2"/>
                        <w:bottom w:val="single" w:sz="6" w:space="11" w:color="C0D8F2"/>
                        <w:right w:val="single" w:sz="6" w:space="18" w:color="C0D8F2"/>
                      </w:divBdr>
                      <w:divsChild>
                        <w:div w:id="1059940615">
                          <w:marLeft w:val="0"/>
                          <w:marRight w:val="0"/>
                          <w:marTop w:val="0"/>
                          <w:marBottom w:val="0"/>
                          <w:divBdr>
                            <w:top w:val="none" w:sz="0" w:space="0" w:color="auto"/>
                            <w:left w:val="none" w:sz="0" w:space="0" w:color="auto"/>
                            <w:bottom w:val="none" w:sz="0" w:space="0" w:color="auto"/>
                            <w:right w:val="none" w:sz="0" w:space="0" w:color="auto"/>
                          </w:divBdr>
                          <w:divsChild>
                            <w:div w:id="105994062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40571">
      <w:marLeft w:val="0"/>
      <w:marRight w:val="0"/>
      <w:marTop w:val="0"/>
      <w:marBottom w:val="0"/>
      <w:divBdr>
        <w:top w:val="none" w:sz="0" w:space="0" w:color="auto"/>
        <w:left w:val="none" w:sz="0" w:space="0" w:color="auto"/>
        <w:bottom w:val="none" w:sz="0" w:space="0" w:color="auto"/>
        <w:right w:val="none" w:sz="0" w:space="0" w:color="auto"/>
      </w:divBdr>
    </w:div>
    <w:div w:id="1059940572">
      <w:marLeft w:val="0"/>
      <w:marRight w:val="0"/>
      <w:marTop w:val="0"/>
      <w:marBottom w:val="0"/>
      <w:divBdr>
        <w:top w:val="none" w:sz="0" w:space="0" w:color="auto"/>
        <w:left w:val="none" w:sz="0" w:space="0" w:color="auto"/>
        <w:bottom w:val="none" w:sz="0" w:space="0" w:color="auto"/>
        <w:right w:val="none" w:sz="0" w:space="0" w:color="auto"/>
      </w:divBdr>
    </w:div>
    <w:div w:id="1059940576">
      <w:marLeft w:val="0"/>
      <w:marRight w:val="0"/>
      <w:marTop w:val="0"/>
      <w:marBottom w:val="0"/>
      <w:divBdr>
        <w:top w:val="none" w:sz="0" w:space="0" w:color="auto"/>
        <w:left w:val="none" w:sz="0" w:space="0" w:color="auto"/>
        <w:bottom w:val="none" w:sz="0" w:space="0" w:color="auto"/>
        <w:right w:val="none" w:sz="0" w:space="0" w:color="auto"/>
      </w:divBdr>
    </w:div>
    <w:div w:id="1059940577">
      <w:marLeft w:val="0"/>
      <w:marRight w:val="0"/>
      <w:marTop w:val="0"/>
      <w:marBottom w:val="0"/>
      <w:divBdr>
        <w:top w:val="none" w:sz="0" w:space="0" w:color="auto"/>
        <w:left w:val="none" w:sz="0" w:space="0" w:color="auto"/>
        <w:bottom w:val="none" w:sz="0" w:space="0" w:color="auto"/>
        <w:right w:val="none" w:sz="0" w:space="0" w:color="auto"/>
      </w:divBdr>
    </w:div>
    <w:div w:id="1059940580">
      <w:marLeft w:val="0"/>
      <w:marRight w:val="0"/>
      <w:marTop w:val="0"/>
      <w:marBottom w:val="0"/>
      <w:divBdr>
        <w:top w:val="none" w:sz="0" w:space="0" w:color="auto"/>
        <w:left w:val="none" w:sz="0" w:space="0" w:color="auto"/>
        <w:bottom w:val="none" w:sz="0" w:space="0" w:color="auto"/>
        <w:right w:val="none" w:sz="0" w:space="0" w:color="auto"/>
      </w:divBdr>
      <w:divsChild>
        <w:div w:id="1059940573">
          <w:marLeft w:val="0"/>
          <w:marRight w:val="0"/>
          <w:marTop w:val="0"/>
          <w:marBottom w:val="0"/>
          <w:divBdr>
            <w:top w:val="none" w:sz="0" w:space="0" w:color="auto"/>
            <w:left w:val="none" w:sz="0" w:space="0" w:color="auto"/>
            <w:bottom w:val="none" w:sz="0" w:space="0" w:color="auto"/>
            <w:right w:val="none" w:sz="0" w:space="0" w:color="auto"/>
          </w:divBdr>
        </w:div>
      </w:divsChild>
    </w:div>
    <w:div w:id="1059940581">
      <w:marLeft w:val="0"/>
      <w:marRight w:val="0"/>
      <w:marTop w:val="0"/>
      <w:marBottom w:val="0"/>
      <w:divBdr>
        <w:top w:val="none" w:sz="0" w:space="0" w:color="auto"/>
        <w:left w:val="none" w:sz="0" w:space="0" w:color="auto"/>
        <w:bottom w:val="none" w:sz="0" w:space="0" w:color="auto"/>
        <w:right w:val="none" w:sz="0" w:space="0" w:color="auto"/>
      </w:divBdr>
    </w:div>
    <w:div w:id="1059940582">
      <w:marLeft w:val="0"/>
      <w:marRight w:val="0"/>
      <w:marTop w:val="0"/>
      <w:marBottom w:val="0"/>
      <w:divBdr>
        <w:top w:val="none" w:sz="0" w:space="0" w:color="auto"/>
        <w:left w:val="none" w:sz="0" w:space="0" w:color="auto"/>
        <w:bottom w:val="none" w:sz="0" w:space="0" w:color="auto"/>
        <w:right w:val="none" w:sz="0" w:space="0" w:color="auto"/>
      </w:divBdr>
      <w:divsChild>
        <w:div w:id="1059940569">
          <w:marLeft w:val="0"/>
          <w:marRight w:val="0"/>
          <w:marTop w:val="0"/>
          <w:marBottom w:val="0"/>
          <w:divBdr>
            <w:top w:val="none" w:sz="0" w:space="0" w:color="auto"/>
            <w:left w:val="none" w:sz="0" w:space="0" w:color="auto"/>
            <w:bottom w:val="none" w:sz="0" w:space="0" w:color="auto"/>
            <w:right w:val="none" w:sz="0" w:space="0" w:color="auto"/>
          </w:divBdr>
          <w:divsChild>
            <w:div w:id="1059940601">
              <w:marLeft w:val="0"/>
              <w:marRight w:val="0"/>
              <w:marTop w:val="0"/>
              <w:marBottom w:val="0"/>
              <w:divBdr>
                <w:top w:val="none" w:sz="0" w:space="0" w:color="auto"/>
                <w:left w:val="none" w:sz="0" w:space="0" w:color="auto"/>
                <w:bottom w:val="none" w:sz="0" w:space="0" w:color="auto"/>
                <w:right w:val="none" w:sz="0" w:space="0" w:color="auto"/>
              </w:divBdr>
              <w:divsChild>
                <w:div w:id="1059940562">
                  <w:marLeft w:val="0"/>
                  <w:marRight w:val="0"/>
                  <w:marTop w:val="0"/>
                  <w:marBottom w:val="0"/>
                  <w:divBdr>
                    <w:top w:val="none" w:sz="0" w:space="0" w:color="auto"/>
                    <w:left w:val="none" w:sz="0" w:space="0" w:color="auto"/>
                    <w:bottom w:val="none" w:sz="0" w:space="0" w:color="auto"/>
                    <w:right w:val="none" w:sz="0" w:space="0" w:color="auto"/>
                  </w:divBdr>
                  <w:divsChild>
                    <w:div w:id="1059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40583">
      <w:marLeft w:val="0"/>
      <w:marRight w:val="0"/>
      <w:marTop w:val="0"/>
      <w:marBottom w:val="0"/>
      <w:divBdr>
        <w:top w:val="none" w:sz="0" w:space="0" w:color="auto"/>
        <w:left w:val="none" w:sz="0" w:space="0" w:color="auto"/>
        <w:bottom w:val="none" w:sz="0" w:space="0" w:color="auto"/>
        <w:right w:val="none" w:sz="0" w:space="0" w:color="auto"/>
      </w:divBdr>
    </w:div>
    <w:div w:id="1059940585">
      <w:marLeft w:val="0"/>
      <w:marRight w:val="0"/>
      <w:marTop w:val="0"/>
      <w:marBottom w:val="0"/>
      <w:divBdr>
        <w:top w:val="none" w:sz="0" w:space="0" w:color="auto"/>
        <w:left w:val="none" w:sz="0" w:space="0" w:color="auto"/>
        <w:bottom w:val="none" w:sz="0" w:space="0" w:color="auto"/>
        <w:right w:val="none" w:sz="0" w:space="0" w:color="auto"/>
      </w:divBdr>
    </w:div>
    <w:div w:id="1059940586">
      <w:marLeft w:val="0"/>
      <w:marRight w:val="0"/>
      <w:marTop w:val="0"/>
      <w:marBottom w:val="0"/>
      <w:divBdr>
        <w:top w:val="none" w:sz="0" w:space="0" w:color="auto"/>
        <w:left w:val="none" w:sz="0" w:space="0" w:color="auto"/>
        <w:bottom w:val="none" w:sz="0" w:space="0" w:color="auto"/>
        <w:right w:val="none" w:sz="0" w:space="0" w:color="auto"/>
      </w:divBdr>
    </w:div>
    <w:div w:id="1059940587">
      <w:marLeft w:val="180"/>
      <w:marRight w:val="180"/>
      <w:marTop w:val="180"/>
      <w:marBottom w:val="180"/>
      <w:divBdr>
        <w:top w:val="none" w:sz="0" w:space="0" w:color="auto"/>
        <w:left w:val="none" w:sz="0" w:space="0" w:color="auto"/>
        <w:bottom w:val="none" w:sz="0" w:space="0" w:color="auto"/>
        <w:right w:val="none" w:sz="0" w:space="0" w:color="auto"/>
      </w:divBdr>
      <w:divsChild>
        <w:div w:id="1059940629">
          <w:marLeft w:val="0"/>
          <w:marRight w:val="0"/>
          <w:marTop w:val="0"/>
          <w:marBottom w:val="0"/>
          <w:divBdr>
            <w:top w:val="none" w:sz="0" w:space="0" w:color="auto"/>
            <w:left w:val="none" w:sz="0" w:space="0" w:color="auto"/>
            <w:bottom w:val="none" w:sz="0" w:space="0" w:color="auto"/>
            <w:right w:val="none" w:sz="0" w:space="0" w:color="auto"/>
          </w:divBdr>
        </w:div>
      </w:divsChild>
    </w:div>
    <w:div w:id="1059940589">
      <w:marLeft w:val="0"/>
      <w:marRight w:val="0"/>
      <w:marTop w:val="0"/>
      <w:marBottom w:val="0"/>
      <w:divBdr>
        <w:top w:val="none" w:sz="0" w:space="0" w:color="auto"/>
        <w:left w:val="none" w:sz="0" w:space="0" w:color="auto"/>
        <w:bottom w:val="none" w:sz="0" w:space="0" w:color="auto"/>
        <w:right w:val="none" w:sz="0" w:space="0" w:color="auto"/>
      </w:divBdr>
    </w:div>
    <w:div w:id="1059940594">
      <w:marLeft w:val="0"/>
      <w:marRight w:val="0"/>
      <w:marTop w:val="0"/>
      <w:marBottom w:val="0"/>
      <w:divBdr>
        <w:top w:val="none" w:sz="0" w:space="0" w:color="auto"/>
        <w:left w:val="none" w:sz="0" w:space="0" w:color="auto"/>
        <w:bottom w:val="none" w:sz="0" w:space="0" w:color="auto"/>
        <w:right w:val="none" w:sz="0" w:space="0" w:color="auto"/>
      </w:divBdr>
    </w:div>
    <w:div w:id="1059940595">
      <w:marLeft w:val="0"/>
      <w:marRight w:val="0"/>
      <w:marTop w:val="0"/>
      <w:marBottom w:val="0"/>
      <w:divBdr>
        <w:top w:val="none" w:sz="0" w:space="0" w:color="auto"/>
        <w:left w:val="none" w:sz="0" w:space="0" w:color="auto"/>
        <w:bottom w:val="none" w:sz="0" w:space="0" w:color="auto"/>
        <w:right w:val="none" w:sz="0" w:space="0" w:color="auto"/>
      </w:divBdr>
    </w:div>
    <w:div w:id="1059940596">
      <w:marLeft w:val="0"/>
      <w:marRight w:val="0"/>
      <w:marTop w:val="0"/>
      <w:marBottom w:val="0"/>
      <w:divBdr>
        <w:top w:val="none" w:sz="0" w:space="0" w:color="auto"/>
        <w:left w:val="none" w:sz="0" w:space="0" w:color="auto"/>
        <w:bottom w:val="none" w:sz="0" w:space="0" w:color="auto"/>
        <w:right w:val="none" w:sz="0" w:space="0" w:color="auto"/>
      </w:divBdr>
      <w:divsChild>
        <w:div w:id="1059940563">
          <w:marLeft w:val="0"/>
          <w:marRight w:val="0"/>
          <w:marTop w:val="0"/>
          <w:marBottom w:val="0"/>
          <w:divBdr>
            <w:top w:val="none" w:sz="0" w:space="0" w:color="auto"/>
            <w:left w:val="none" w:sz="0" w:space="0" w:color="auto"/>
            <w:bottom w:val="none" w:sz="0" w:space="0" w:color="auto"/>
            <w:right w:val="none" w:sz="0" w:space="0" w:color="auto"/>
          </w:divBdr>
        </w:div>
      </w:divsChild>
    </w:div>
    <w:div w:id="1059940597">
      <w:marLeft w:val="0"/>
      <w:marRight w:val="0"/>
      <w:marTop w:val="0"/>
      <w:marBottom w:val="0"/>
      <w:divBdr>
        <w:top w:val="none" w:sz="0" w:space="0" w:color="auto"/>
        <w:left w:val="none" w:sz="0" w:space="0" w:color="auto"/>
        <w:bottom w:val="none" w:sz="0" w:space="0" w:color="auto"/>
        <w:right w:val="none" w:sz="0" w:space="0" w:color="auto"/>
      </w:divBdr>
    </w:div>
    <w:div w:id="1059940598">
      <w:marLeft w:val="0"/>
      <w:marRight w:val="0"/>
      <w:marTop w:val="0"/>
      <w:marBottom w:val="0"/>
      <w:divBdr>
        <w:top w:val="none" w:sz="0" w:space="0" w:color="auto"/>
        <w:left w:val="none" w:sz="0" w:space="0" w:color="auto"/>
        <w:bottom w:val="none" w:sz="0" w:space="0" w:color="auto"/>
        <w:right w:val="none" w:sz="0" w:space="0" w:color="auto"/>
      </w:divBdr>
    </w:div>
    <w:div w:id="1059940600">
      <w:marLeft w:val="0"/>
      <w:marRight w:val="0"/>
      <w:marTop w:val="0"/>
      <w:marBottom w:val="0"/>
      <w:divBdr>
        <w:top w:val="none" w:sz="0" w:space="0" w:color="auto"/>
        <w:left w:val="none" w:sz="0" w:space="0" w:color="auto"/>
        <w:bottom w:val="none" w:sz="0" w:space="0" w:color="auto"/>
        <w:right w:val="none" w:sz="0" w:space="0" w:color="auto"/>
      </w:divBdr>
    </w:div>
    <w:div w:id="1059940603">
      <w:marLeft w:val="0"/>
      <w:marRight w:val="0"/>
      <w:marTop w:val="0"/>
      <w:marBottom w:val="0"/>
      <w:divBdr>
        <w:top w:val="none" w:sz="0" w:space="0" w:color="auto"/>
        <w:left w:val="none" w:sz="0" w:space="0" w:color="auto"/>
        <w:bottom w:val="none" w:sz="0" w:space="0" w:color="auto"/>
        <w:right w:val="none" w:sz="0" w:space="0" w:color="auto"/>
      </w:divBdr>
    </w:div>
    <w:div w:id="1059940604">
      <w:marLeft w:val="180"/>
      <w:marRight w:val="180"/>
      <w:marTop w:val="180"/>
      <w:marBottom w:val="180"/>
      <w:divBdr>
        <w:top w:val="none" w:sz="0" w:space="0" w:color="auto"/>
        <w:left w:val="none" w:sz="0" w:space="0" w:color="auto"/>
        <w:bottom w:val="none" w:sz="0" w:space="0" w:color="auto"/>
        <w:right w:val="none" w:sz="0" w:space="0" w:color="auto"/>
      </w:divBdr>
      <w:divsChild>
        <w:div w:id="1059940584">
          <w:marLeft w:val="0"/>
          <w:marRight w:val="0"/>
          <w:marTop w:val="0"/>
          <w:marBottom w:val="0"/>
          <w:divBdr>
            <w:top w:val="none" w:sz="0" w:space="0" w:color="auto"/>
            <w:left w:val="none" w:sz="0" w:space="0" w:color="auto"/>
            <w:bottom w:val="none" w:sz="0" w:space="0" w:color="auto"/>
            <w:right w:val="none" w:sz="0" w:space="0" w:color="auto"/>
          </w:divBdr>
        </w:div>
      </w:divsChild>
    </w:div>
    <w:div w:id="1059940605">
      <w:marLeft w:val="0"/>
      <w:marRight w:val="0"/>
      <w:marTop w:val="0"/>
      <w:marBottom w:val="0"/>
      <w:divBdr>
        <w:top w:val="none" w:sz="0" w:space="0" w:color="auto"/>
        <w:left w:val="none" w:sz="0" w:space="0" w:color="auto"/>
        <w:bottom w:val="none" w:sz="0" w:space="0" w:color="auto"/>
        <w:right w:val="none" w:sz="0" w:space="0" w:color="auto"/>
      </w:divBdr>
    </w:div>
    <w:div w:id="1059940606">
      <w:marLeft w:val="0"/>
      <w:marRight w:val="0"/>
      <w:marTop w:val="0"/>
      <w:marBottom w:val="0"/>
      <w:divBdr>
        <w:top w:val="none" w:sz="0" w:space="0" w:color="auto"/>
        <w:left w:val="none" w:sz="0" w:space="0" w:color="auto"/>
        <w:bottom w:val="none" w:sz="0" w:space="0" w:color="auto"/>
        <w:right w:val="none" w:sz="0" w:space="0" w:color="auto"/>
      </w:divBdr>
      <w:divsChild>
        <w:div w:id="1059940575">
          <w:marLeft w:val="0"/>
          <w:marRight w:val="0"/>
          <w:marTop w:val="0"/>
          <w:marBottom w:val="0"/>
          <w:divBdr>
            <w:top w:val="none" w:sz="0" w:space="0" w:color="auto"/>
            <w:left w:val="none" w:sz="0" w:space="0" w:color="auto"/>
            <w:bottom w:val="none" w:sz="0" w:space="0" w:color="auto"/>
            <w:right w:val="none" w:sz="0" w:space="0" w:color="auto"/>
          </w:divBdr>
        </w:div>
      </w:divsChild>
    </w:div>
    <w:div w:id="1059940607">
      <w:marLeft w:val="0"/>
      <w:marRight w:val="0"/>
      <w:marTop w:val="0"/>
      <w:marBottom w:val="0"/>
      <w:divBdr>
        <w:top w:val="none" w:sz="0" w:space="0" w:color="auto"/>
        <w:left w:val="none" w:sz="0" w:space="0" w:color="auto"/>
        <w:bottom w:val="none" w:sz="0" w:space="0" w:color="auto"/>
        <w:right w:val="none" w:sz="0" w:space="0" w:color="auto"/>
      </w:divBdr>
    </w:div>
    <w:div w:id="1059940608">
      <w:marLeft w:val="0"/>
      <w:marRight w:val="0"/>
      <w:marTop w:val="0"/>
      <w:marBottom w:val="0"/>
      <w:divBdr>
        <w:top w:val="none" w:sz="0" w:space="0" w:color="auto"/>
        <w:left w:val="none" w:sz="0" w:space="0" w:color="auto"/>
        <w:bottom w:val="none" w:sz="0" w:space="0" w:color="auto"/>
        <w:right w:val="none" w:sz="0" w:space="0" w:color="auto"/>
      </w:divBdr>
      <w:divsChild>
        <w:div w:id="1059940593">
          <w:marLeft w:val="0"/>
          <w:marRight w:val="0"/>
          <w:marTop w:val="0"/>
          <w:marBottom w:val="0"/>
          <w:divBdr>
            <w:top w:val="none" w:sz="0" w:space="0" w:color="auto"/>
            <w:left w:val="none" w:sz="0" w:space="0" w:color="auto"/>
            <w:bottom w:val="none" w:sz="0" w:space="0" w:color="auto"/>
            <w:right w:val="none" w:sz="0" w:space="0" w:color="auto"/>
          </w:divBdr>
          <w:divsChild>
            <w:div w:id="1059940619">
              <w:marLeft w:val="0"/>
              <w:marRight w:val="0"/>
              <w:marTop w:val="0"/>
              <w:marBottom w:val="0"/>
              <w:divBdr>
                <w:top w:val="none" w:sz="0" w:space="0" w:color="auto"/>
                <w:left w:val="none" w:sz="0" w:space="0" w:color="auto"/>
                <w:bottom w:val="none" w:sz="0" w:space="0" w:color="auto"/>
                <w:right w:val="none" w:sz="0" w:space="0" w:color="auto"/>
              </w:divBdr>
              <w:divsChild>
                <w:div w:id="1059940551">
                  <w:marLeft w:val="0"/>
                  <w:marRight w:val="0"/>
                  <w:marTop w:val="0"/>
                  <w:marBottom w:val="0"/>
                  <w:divBdr>
                    <w:top w:val="none" w:sz="0" w:space="0" w:color="auto"/>
                    <w:left w:val="none" w:sz="0" w:space="0" w:color="auto"/>
                    <w:bottom w:val="none" w:sz="0" w:space="0" w:color="auto"/>
                    <w:right w:val="none" w:sz="0" w:space="0" w:color="auto"/>
                  </w:divBdr>
                  <w:divsChild>
                    <w:div w:id="1059940616">
                      <w:marLeft w:val="0"/>
                      <w:marRight w:val="0"/>
                      <w:marTop w:val="0"/>
                      <w:marBottom w:val="0"/>
                      <w:divBdr>
                        <w:top w:val="single" w:sz="6" w:space="15" w:color="C0D8F2"/>
                        <w:left w:val="single" w:sz="6" w:space="18" w:color="C0D8F2"/>
                        <w:bottom w:val="single" w:sz="6" w:space="11" w:color="C0D8F2"/>
                        <w:right w:val="single" w:sz="6" w:space="18" w:color="C0D8F2"/>
                      </w:divBdr>
                      <w:divsChild>
                        <w:div w:id="1059940550">
                          <w:marLeft w:val="0"/>
                          <w:marRight w:val="0"/>
                          <w:marTop w:val="0"/>
                          <w:marBottom w:val="0"/>
                          <w:divBdr>
                            <w:top w:val="none" w:sz="0" w:space="0" w:color="auto"/>
                            <w:left w:val="none" w:sz="0" w:space="0" w:color="auto"/>
                            <w:bottom w:val="none" w:sz="0" w:space="0" w:color="auto"/>
                            <w:right w:val="none" w:sz="0" w:space="0" w:color="auto"/>
                          </w:divBdr>
                          <w:divsChild>
                            <w:div w:id="1059940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40609">
      <w:marLeft w:val="0"/>
      <w:marRight w:val="0"/>
      <w:marTop w:val="0"/>
      <w:marBottom w:val="0"/>
      <w:divBdr>
        <w:top w:val="none" w:sz="0" w:space="0" w:color="auto"/>
        <w:left w:val="none" w:sz="0" w:space="0" w:color="auto"/>
        <w:bottom w:val="none" w:sz="0" w:space="0" w:color="auto"/>
        <w:right w:val="none" w:sz="0" w:space="0" w:color="auto"/>
      </w:divBdr>
    </w:div>
    <w:div w:id="1059940610">
      <w:marLeft w:val="0"/>
      <w:marRight w:val="0"/>
      <w:marTop w:val="0"/>
      <w:marBottom w:val="0"/>
      <w:divBdr>
        <w:top w:val="none" w:sz="0" w:space="0" w:color="auto"/>
        <w:left w:val="none" w:sz="0" w:space="0" w:color="auto"/>
        <w:bottom w:val="none" w:sz="0" w:space="0" w:color="auto"/>
        <w:right w:val="none" w:sz="0" w:space="0" w:color="auto"/>
      </w:divBdr>
    </w:div>
    <w:div w:id="1059940611">
      <w:marLeft w:val="0"/>
      <w:marRight w:val="0"/>
      <w:marTop w:val="0"/>
      <w:marBottom w:val="0"/>
      <w:divBdr>
        <w:top w:val="none" w:sz="0" w:space="0" w:color="auto"/>
        <w:left w:val="none" w:sz="0" w:space="0" w:color="auto"/>
        <w:bottom w:val="none" w:sz="0" w:space="0" w:color="auto"/>
        <w:right w:val="none" w:sz="0" w:space="0" w:color="auto"/>
      </w:divBdr>
    </w:div>
    <w:div w:id="1059940612">
      <w:marLeft w:val="0"/>
      <w:marRight w:val="0"/>
      <w:marTop w:val="0"/>
      <w:marBottom w:val="0"/>
      <w:divBdr>
        <w:top w:val="none" w:sz="0" w:space="0" w:color="auto"/>
        <w:left w:val="none" w:sz="0" w:space="0" w:color="auto"/>
        <w:bottom w:val="none" w:sz="0" w:space="0" w:color="auto"/>
        <w:right w:val="none" w:sz="0" w:space="0" w:color="auto"/>
      </w:divBdr>
    </w:div>
    <w:div w:id="1059940613">
      <w:marLeft w:val="0"/>
      <w:marRight w:val="0"/>
      <w:marTop w:val="0"/>
      <w:marBottom w:val="0"/>
      <w:divBdr>
        <w:top w:val="none" w:sz="0" w:space="0" w:color="auto"/>
        <w:left w:val="none" w:sz="0" w:space="0" w:color="auto"/>
        <w:bottom w:val="none" w:sz="0" w:space="0" w:color="auto"/>
        <w:right w:val="none" w:sz="0" w:space="0" w:color="auto"/>
      </w:divBdr>
    </w:div>
    <w:div w:id="1059940617">
      <w:marLeft w:val="0"/>
      <w:marRight w:val="0"/>
      <w:marTop w:val="0"/>
      <w:marBottom w:val="0"/>
      <w:divBdr>
        <w:top w:val="none" w:sz="0" w:space="0" w:color="auto"/>
        <w:left w:val="none" w:sz="0" w:space="0" w:color="auto"/>
        <w:bottom w:val="none" w:sz="0" w:space="0" w:color="auto"/>
        <w:right w:val="none" w:sz="0" w:space="0" w:color="auto"/>
      </w:divBdr>
    </w:div>
    <w:div w:id="1059940618">
      <w:marLeft w:val="0"/>
      <w:marRight w:val="0"/>
      <w:marTop w:val="0"/>
      <w:marBottom w:val="0"/>
      <w:divBdr>
        <w:top w:val="none" w:sz="0" w:space="0" w:color="auto"/>
        <w:left w:val="none" w:sz="0" w:space="0" w:color="auto"/>
        <w:bottom w:val="none" w:sz="0" w:space="0" w:color="auto"/>
        <w:right w:val="none" w:sz="0" w:space="0" w:color="auto"/>
      </w:divBdr>
    </w:div>
    <w:div w:id="1059940620">
      <w:marLeft w:val="0"/>
      <w:marRight w:val="0"/>
      <w:marTop w:val="0"/>
      <w:marBottom w:val="0"/>
      <w:divBdr>
        <w:top w:val="none" w:sz="0" w:space="0" w:color="auto"/>
        <w:left w:val="none" w:sz="0" w:space="0" w:color="auto"/>
        <w:bottom w:val="none" w:sz="0" w:space="0" w:color="auto"/>
        <w:right w:val="none" w:sz="0" w:space="0" w:color="auto"/>
      </w:divBdr>
    </w:div>
    <w:div w:id="1059940621">
      <w:marLeft w:val="0"/>
      <w:marRight w:val="0"/>
      <w:marTop w:val="0"/>
      <w:marBottom w:val="0"/>
      <w:divBdr>
        <w:top w:val="none" w:sz="0" w:space="0" w:color="auto"/>
        <w:left w:val="none" w:sz="0" w:space="0" w:color="auto"/>
        <w:bottom w:val="none" w:sz="0" w:space="0" w:color="auto"/>
        <w:right w:val="none" w:sz="0" w:space="0" w:color="auto"/>
      </w:divBdr>
    </w:div>
    <w:div w:id="1059940628">
      <w:marLeft w:val="0"/>
      <w:marRight w:val="0"/>
      <w:marTop w:val="0"/>
      <w:marBottom w:val="0"/>
      <w:divBdr>
        <w:top w:val="none" w:sz="0" w:space="0" w:color="auto"/>
        <w:left w:val="none" w:sz="0" w:space="0" w:color="auto"/>
        <w:bottom w:val="none" w:sz="0" w:space="0" w:color="auto"/>
        <w:right w:val="none" w:sz="0" w:space="0" w:color="auto"/>
      </w:divBdr>
      <w:divsChild>
        <w:div w:id="10599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fund.eastmoney.com/HBJJ_dwsy.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1002</Words>
  <Characters>5713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2014-11-04T06:12:00Z</dcterms:created>
  <dcterms:modified xsi:type="dcterms:W3CDTF">2014-11-04T06:12:00Z</dcterms:modified>
</cp:coreProperties>
</file>