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A34" w:rsidRDefault="00A14A34" w:rsidP="006A5488">
      <w:pPr>
        <w:widowControl/>
        <w:spacing w:after="120"/>
        <w:ind w:left="3430"/>
        <w:rPr>
          <w:rFonts w:ascii="楷体" w:eastAsia="楷体" w:hAnsi="楷体"/>
          <w:b/>
          <w:bCs/>
          <w:color w:val="0070C0"/>
          <w:kern w:val="0"/>
          <w:sz w:val="24"/>
          <w:szCs w:val="20"/>
          <w:lang w:val="en-GB"/>
        </w:rPr>
      </w:pPr>
      <w:r>
        <w:rPr>
          <w:noProof/>
        </w:rPr>
        <w:pict>
          <v:shapetype id="_x0000_t202" coordsize="21600,21600" o:spt="202" path="m,l,21600r21600,l21600,xe">
            <v:stroke joinstyle="miter"/>
            <v:path gradientshapeok="t" o:connecttype="rect"/>
          </v:shapetype>
          <v:shape id="_x0000_s1035" type="#_x0000_t202" style="position:absolute;left:0;text-align:left;margin-left:1.5pt;margin-top:279.2pt;width:148.5pt;height:275.6pt;z-index:251658240" strokecolor="white" strokeweight="0">
            <v:stroke dashstyle="1 1" endcap="round"/>
            <v:textbox style="mso-next-textbox:#_x0000_s1035">
              <w:txbxContent>
                <w:p w:rsidR="00A14A34" w:rsidRPr="00635482" w:rsidRDefault="00A14A34" w:rsidP="005B0E69">
                  <w:pPr>
                    <w:rPr>
                      <w:rFonts w:ascii="楷体" w:eastAsia="楷体" w:hAnsi="楷体"/>
                      <w:b/>
                      <w:lang w:val="en-GB"/>
                    </w:rPr>
                  </w:pPr>
                  <w:r w:rsidRPr="00635482">
                    <w:rPr>
                      <w:rFonts w:ascii="楷体" w:eastAsia="楷体" w:hAnsi="楷体" w:hint="eastAsia"/>
                      <w:b/>
                      <w:lang w:val="en-GB"/>
                    </w:rPr>
                    <w:t>凯石工场移动平台：</w:t>
                  </w:r>
                </w:p>
                <w:p w:rsidR="00A14A34" w:rsidRPr="00635482" w:rsidRDefault="00A14A34" w:rsidP="005B0E69">
                  <w:pPr>
                    <w:rPr>
                      <w:rFonts w:ascii="楷体" w:eastAsia="楷体" w:hAnsi="楷体"/>
                      <w:lang w:val="en-GB"/>
                    </w:rPr>
                  </w:pPr>
                </w:p>
                <w:p w:rsidR="00A14A34" w:rsidRPr="00635482" w:rsidRDefault="00A14A34" w:rsidP="005B0E69">
                  <w:r w:rsidRPr="00635482">
                    <w:rPr>
                      <w:rFonts w:ascii="楷体" w:eastAsia="楷体" w:hAnsi="楷体" w:hint="eastAsia"/>
                      <w:lang w:val="en-GB"/>
                    </w:rPr>
                    <w:t>官方微博：</w:t>
                  </w:r>
                </w:p>
                <w:p w:rsidR="00A14A34" w:rsidRPr="00635482" w:rsidRDefault="00A14A34" w:rsidP="005B0E69">
                  <w:pPr>
                    <w:rPr>
                      <w:rFonts w:ascii="楷体" w:eastAsia="楷体" w:hAnsi="楷体"/>
                      <w:lang w:val="en-GB"/>
                    </w:rPr>
                  </w:pPr>
                  <w:r w:rsidRPr="00635482">
                    <w:rPr>
                      <w:rFonts w:ascii="楷体" w:eastAsia="楷体" w:hAnsi="楷体" w:hint="eastAsia"/>
                      <w:lang w:val="en-GB"/>
                    </w:rPr>
                    <w:t>凯石财富工场</w:t>
                  </w:r>
                </w:p>
                <w:p w:rsidR="00A14A34" w:rsidRDefault="00A14A34" w:rsidP="005B0E69">
                  <w:r w:rsidRPr="00A47854">
                    <w:rPr>
                      <w:noProof/>
                    </w:rPr>
                    <w:pict>
                      <v:shape id="图片 5" o:spid="_x0000_i1044" type="#_x0000_t75" alt="66.jpg" style="width:73.5pt;height:73.5pt;visibility:visible">
                        <v:imagedata r:id="rId7" o:title=""/>
                      </v:shape>
                    </w:pict>
                  </w:r>
                </w:p>
                <w:p w:rsidR="00A14A34" w:rsidRDefault="00A14A34" w:rsidP="005B0E69">
                  <w:pPr>
                    <w:rPr>
                      <w:rFonts w:ascii="楷体" w:eastAsia="楷体" w:hAnsi="楷体"/>
                      <w:b/>
                      <w:lang w:val="en-GB"/>
                    </w:rPr>
                  </w:pPr>
                </w:p>
                <w:p w:rsidR="00A14A34" w:rsidRPr="00635482" w:rsidRDefault="00A14A34" w:rsidP="005B0E69">
                  <w:pPr>
                    <w:rPr>
                      <w:rFonts w:ascii="楷体" w:eastAsia="楷体" w:hAnsi="楷体"/>
                      <w:lang w:val="en-GB"/>
                    </w:rPr>
                  </w:pPr>
                  <w:r w:rsidRPr="00635482">
                    <w:rPr>
                      <w:rFonts w:ascii="楷体" w:eastAsia="楷体" w:hAnsi="楷体" w:hint="eastAsia"/>
                      <w:lang w:val="en-GB"/>
                    </w:rPr>
                    <w:t>官方微信：</w:t>
                  </w:r>
                </w:p>
                <w:p w:rsidR="00A14A34" w:rsidRPr="00635482" w:rsidRDefault="00A14A34" w:rsidP="005B0E69">
                  <w:pPr>
                    <w:rPr>
                      <w:rFonts w:ascii="楷体" w:eastAsia="楷体" w:hAnsi="楷体"/>
                      <w:lang w:val="en-GB"/>
                    </w:rPr>
                  </w:pPr>
                  <w:r w:rsidRPr="00635482">
                    <w:rPr>
                      <w:rFonts w:ascii="楷体" w:eastAsia="楷体" w:hAnsi="楷体" w:hint="eastAsia"/>
                      <w:lang w:val="en-GB"/>
                    </w:rPr>
                    <w:t>凯石财富知音订阅号</w:t>
                  </w:r>
                </w:p>
                <w:p w:rsidR="00A14A34" w:rsidRDefault="00A14A34" w:rsidP="005B0E69">
                  <w:r w:rsidRPr="00035682">
                    <w:rPr>
                      <w:rFonts w:ascii="楷体" w:eastAsia="楷体" w:hAnsi="楷体"/>
                      <w:b/>
                      <w:noProof/>
                    </w:rPr>
                    <w:pict>
                      <v:shape id="图片 7" o:spid="_x0000_i1045" type="#_x0000_t75" alt="凯石财富知音订阅号3.jpg" style="width:75pt;height:75pt;visibility:visible">
                        <v:imagedata r:id="rId8" o:title=""/>
                      </v:shape>
                    </w:pict>
                  </w:r>
                </w:p>
              </w:txbxContent>
            </v:textbox>
          </v:shape>
        </w:pict>
      </w:r>
      <w:r w:rsidRPr="005B7CDB">
        <w:rPr>
          <w:rFonts w:ascii="楷体" w:eastAsia="楷体" w:hAnsi="楷体" w:hint="eastAsia"/>
          <w:b/>
          <w:bCs/>
          <w:color w:val="0070C0"/>
          <w:kern w:val="0"/>
          <w:sz w:val="24"/>
          <w:szCs w:val="20"/>
          <w:lang w:val="en-GB"/>
        </w:rPr>
        <w:t>导语</w:t>
      </w:r>
    </w:p>
    <w:p w:rsidR="00A14A34" w:rsidRPr="00C052D5" w:rsidRDefault="00A14A34" w:rsidP="00585F05">
      <w:pPr>
        <w:pStyle w:val="BodyText"/>
        <w:spacing w:after="163"/>
        <w:ind w:firstLineChars="200" w:firstLine="31680"/>
        <w:rPr>
          <w:rFonts w:ascii="楷体" w:eastAsia="楷体" w:hAnsi="楷体" w:cs="Arial"/>
          <w:szCs w:val="21"/>
        </w:rPr>
      </w:pPr>
      <w:r w:rsidRPr="00C052D5">
        <w:rPr>
          <w:rFonts w:ascii="楷体" w:eastAsia="楷体" w:hAnsi="楷体" w:cs="Arial" w:hint="eastAsia"/>
          <w:szCs w:val="21"/>
        </w:rPr>
        <w:t>上周（</w:t>
      </w:r>
      <w:r w:rsidRPr="00C052D5">
        <w:rPr>
          <w:rFonts w:ascii="楷体" w:eastAsia="楷体" w:hAnsi="楷体" w:cs="Arial"/>
          <w:szCs w:val="21"/>
        </w:rPr>
        <w:t>2014.10.20~10.24</w:t>
      </w:r>
      <w:r w:rsidRPr="00C052D5">
        <w:rPr>
          <w:rFonts w:ascii="楷体" w:eastAsia="楷体" w:hAnsi="楷体" w:cs="Arial" w:hint="eastAsia"/>
          <w:szCs w:val="21"/>
        </w:rPr>
        <w:t>），</w:t>
      </w:r>
      <w:r w:rsidRPr="00C052D5">
        <w:rPr>
          <w:rFonts w:ascii="楷体" w:eastAsia="楷体" w:hAnsi="楷体" w:cs="Arial"/>
          <w:szCs w:val="21"/>
        </w:rPr>
        <w:t>A</w:t>
      </w:r>
      <w:r w:rsidRPr="00C052D5">
        <w:rPr>
          <w:rFonts w:ascii="楷体" w:eastAsia="楷体" w:hAnsi="楷体" w:cs="Arial" w:hint="eastAsia"/>
          <w:szCs w:val="21"/>
        </w:rPr>
        <w:t>股</w:t>
      </w:r>
      <w:r w:rsidRPr="00C052D5">
        <w:rPr>
          <w:rFonts w:ascii="楷体" w:eastAsia="楷体" w:hAnsi="楷体" w:hint="eastAsia"/>
          <w:szCs w:val="21"/>
        </w:rPr>
        <w:t>缩量探底，</w:t>
      </w:r>
      <w:r w:rsidRPr="00C052D5">
        <w:rPr>
          <w:rFonts w:ascii="楷体" w:eastAsia="楷体" w:hAnsi="楷体" w:cs="Arial" w:hint="eastAsia"/>
          <w:szCs w:val="21"/>
        </w:rPr>
        <w:t>震荡下行，上证指数和沪深</w:t>
      </w:r>
      <w:r w:rsidRPr="00C052D5">
        <w:rPr>
          <w:rFonts w:ascii="楷体" w:eastAsia="楷体" w:hAnsi="楷体" w:cs="Arial"/>
          <w:szCs w:val="21"/>
        </w:rPr>
        <w:t>300</w:t>
      </w:r>
      <w:r w:rsidRPr="00C052D5">
        <w:rPr>
          <w:rFonts w:ascii="楷体" w:eastAsia="楷体" w:hAnsi="楷体" w:cs="Arial" w:hint="eastAsia"/>
          <w:szCs w:val="21"/>
        </w:rPr>
        <w:t>分别周跌</w:t>
      </w:r>
      <w:r w:rsidRPr="00C052D5">
        <w:rPr>
          <w:rFonts w:ascii="楷体" w:eastAsia="楷体" w:hAnsi="楷体" w:cs="Arial"/>
          <w:szCs w:val="21"/>
        </w:rPr>
        <w:t>1.66%</w:t>
      </w:r>
      <w:r w:rsidRPr="00C052D5">
        <w:rPr>
          <w:rFonts w:ascii="楷体" w:eastAsia="楷体" w:hAnsi="楷体" w:cs="Arial" w:hint="eastAsia"/>
          <w:szCs w:val="21"/>
        </w:rPr>
        <w:t>和</w:t>
      </w:r>
      <w:r w:rsidRPr="00C052D5">
        <w:rPr>
          <w:rFonts w:ascii="楷体" w:eastAsia="楷体" w:hAnsi="楷体" w:cs="Arial"/>
          <w:szCs w:val="21"/>
        </w:rPr>
        <w:t>2.09%</w:t>
      </w:r>
      <w:r w:rsidRPr="00C052D5">
        <w:rPr>
          <w:rFonts w:ascii="楷体" w:eastAsia="楷体" w:hAnsi="楷体" w:cs="Arial" w:hint="eastAsia"/>
          <w:szCs w:val="21"/>
        </w:rPr>
        <w:t>，创业板指和中小板指分别周跌</w:t>
      </w:r>
      <w:r w:rsidRPr="00C052D5">
        <w:rPr>
          <w:rFonts w:ascii="楷体" w:eastAsia="楷体" w:hAnsi="楷体" w:cs="Arial"/>
          <w:szCs w:val="21"/>
        </w:rPr>
        <w:t>2.21%</w:t>
      </w:r>
      <w:r w:rsidRPr="00C052D5">
        <w:rPr>
          <w:rFonts w:ascii="楷体" w:eastAsia="楷体" w:hAnsi="楷体" w:cs="Arial" w:hint="eastAsia"/>
          <w:szCs w:val="21"/>
        </w:rPr>
        <w:t>和</w:t>
      </w:r>
      <w:r w:rsidRPr="00C052D5">
        <w:rPr>
          <w:rFonts w:ascii="楷体" w:eastAsia="楷体" w:hAnsi="楷体" w:cs="Arial"/>
          <w:szCs w:val="21"/>
        </w:rPr>
        <w:t>1.25%</w:t>
      </w:r>
      <w:r w:rsidRPr="00C052D5">
        <w:rPr>
          <w:rFonts w:ascii="楷体" w:eastAsia="楷体" w:hAnsi="楷体" w:cs="Arial" w:hint="eastAsia"/>
          <w:szCs w:val="21"/>
        </w:rPr>
        <w:t>。</w:t>
      </w:r>
      <w:r w:rsidRPr="00C052D5">
        <w:rPr>
          <w:rFonts w:ascii="楷体" w:eastAsia="楷体" w:hAnsi="楷体" w:cs="Arial"/>
          <w:szCs w:val="21"/>
        </w:rPr>
        <w:t>29</w:t>
      </w:r>
      <w:r>
        <w:rPr>
          <w:rFonts w:ascii="楷体" w:eastAsia="楷体" w:hAnsi="楷体" w:cs="Arial" w:hint="eastAsia"/>
          <w:szCs w:val="21"/>
        </w:rPr>
        <w:t>个中信一级行业全数下跌</w:t>
      </w:r>
      <w:r w:rsidRPr="00C052D5">
        <w:rPr>
          <w:rFonts w:ascii="楷体" w:eastAsia="楷体" w:hAnsi="楷体" w:cs="Arial" w:hint="eastAsia"/>
          <w:szCs w:val="21"/>
        </w:rPr>
        <w:t>，跌幅最小的是计算机（</w:t>
      </w:r>
      <w:r w:rsidRPr="00C052D5">
        <w:rPr>
          <w:rFonts w:ascii="楷体" w:eastAsia="楷体" w:hAnsi="楷体" w:cs="Arial"/>
          <w:szCs w:val="21"/>
        </w:rPr>
        <w:t>-0.39%</w:t>
      </w:r>
      <w:r w:rsidRPr="00C052D5">
        <w:rPr>
          <w:rFonts w:ascii="楷体" w:eastAsia="楷体" w:hAnsi="楷体" w:cs="Arial" w:hint="eastAsia"/>
          <w:szCs w:val="21"/>
        </w:rPr>
        <w:t>），跌幅最大的是钢铁（</w:t>
      </w:r>
      <w:r w:rsidRPr="00C052D5">
        <w:rPr>
          <w:rFonts w:ascii="楷体" w:eastAsia="楷体" w:hAnsi="楷体" w:cs="Arial"/>
          <w:szCs w:val="21"/>
        </w:rPr>
        <w:t>-5.36%</w:t>
      </w:r>
      <w:r w:rsidRPr="00C052D5">
        <w:rPr>
          <w:rFonts w:ascii="楷体" w:eastAsia="楷体" w:hAnsi="楷体" w:cs="Arial" w:hint="eastAsia"/>
          <w:szCs w:val="21"/>
        </w:rPr>
        <w:t>）。经济数据方面，我国</w:t>
      </w:r>
      <w:r w:rsidRPr="00C052D5">
        <w:rPr>
          <w:rFonts w:ascii="楷体" w:eastAsia="楷体" w:hAnsi="楷体" w:cs="宋体" w:hint="eastAsia"/>
          <w:szCs w:val="21"/>
        </w:rPr>
        <w:t>前三季度国内生产总值为</w:t>
      </w:r>
      <w:r w:rsidRPr="00C052D5">
        <w:rPr>
          <w:rFonts w:ascii="楷体" w:eastAsia="楷体" w:hAnsi="楷体" w:cs="宋体"/>
          <w:szCs w:val="21"/>
        </w:rPr>
        <w:t>419908</w:t>
      </w:r>
      <w:r w:rsidRPr="00C052D5">
        <w:rPr>
          <w:rFonts w:ascii="楷体" w:eastAsia="楷体" w:hAnsi="楷体" w:cs="宋体" w:hint="eastAsia"/>
          <w:szCs w:val="21"/>
        </w:rPr>
        <w:t>亿元，同比增长</w:t>
      </w:r>
      <w:r w:rsidRPr="00C052D5">
        <w:rPr>
          <w:rFonts w:ascii="楷体" w:eastAsia="楷体" w:hAnsi="楷体" w:cs="宋体"/>
          <w:szCs w:val="21"/>
        </w:rPr>
        <w:t>7.4%</w:t>
      </w:r>
      <w:r w:rsidRPr="00C052D5">
        <w:rPr>
          <w:rFonts w:ascii="楷体" w:eastAsia="楷体" w:hAnsi="楷体" w:cs="宋体" w:hint="eastAsia"/>
          <w:szCs w:val="21"/>
        </w:rPr>
        <w:t>，分季度来看，一季度同比增长</w:t>
      </w:r>
      <w:r w:rsidRPr="00C052D5">
        <w:rPr>
          <w:rFonts w:ascii="楷体" w:eastAsia="楷体" w:hAnsi="楷体" w:cs="宋体"/>
          <w:szCs w:val="21"/>
        </w:rPr>
        <w:t>7.4%</w:t>
      </w:r>
      <w:r w:rsidRPr="00C052D5">
        <w:rPr>
          <w:rFonts w:ascii="楷体" w:eastAsia="楷体" w:hAnsi="楷体" w:cs="宋体" w:hint="eastAsia"/>
          <w:szCs w:val="21"/>
        </w:rPr>
        <w:t>，二季度同比增长</w:t>
      </w:r>
      <w:r w:rsidRPr="00C052D5">
        <w:rPr>
          <w:rFonts w:ascii="楷体" w:eastAsia="楷体" w:hAnsi="楷体" w:cs="宋体"/>
          <w:szCs w:val="21"/>
        </w:rPr>
        <w:t>7.5%</w:t>
      </w:r>
      <w:r w:rsidRPr="00C052D5">
        <w:rPr>
          <w:rFonts w:ascii="楷体" w:eastAsia="楷体" w:hAnsi="楷体" w:cs="宋体" w:hint="eastAsia"/>
          <w:szCs w:val="21"/>
        </w:rPr>
        <w:t>，三季度同比增长</w:t>
      </w:r>
      <w:r w:rsidRPr="00C052D5">
        <w:rPr>
          <w:rFonts w:ascii="楷体" w:eastAsia="楷体" w:hAnsi="楷体" w:cs="宋体"/>
          <w:szCs w:val="21"/>
        </w:rPr>
        <w:t>7.3%</w:t>
      </w:r>
      <w:r w:rsidRPr="00C052D5">
        <w:rPr>
          <w:rFonts w:ascii="楷体" w:eastAsia="楷体" w:hAnsi="楷体" w:cs="宋体" w:hint="eastAsia"/>
          <w:szCs w:val="21"/>
        </w:rPr>
        <w:t>，表明我国当前内需依然乏力。</w:t>
      </w:r>
      <w:r w:rsidRPr="00C052D5">
        <w:rPr>
          <w:rFonts w:ascii="楷体" w:eastAsia="楷体" w:hAnsi="楷体" w:cs="Arial" w:hint="eastAsia"/>
          <w:szCs w:val="21"/>
        </w:rPr>
        <w:t>海外市场</w:t>
      </w:r>
      <w:r>
        <w:rPr>
          <w:rFonts w:ascii="楷体" w:eastAsia="楷体" w:hAnsi="楷体" w:cs="Arial" w:hint="eastAsia"/>
          <w:szCs w:val="21"/>
        </w:rPr>
        <w:t>方面</w:t>
      </w:r>
      <w:r>
        <w:rPr>
          <w:rFonts w:ascii="楷体" w:eastAsia="楷体" w:hAnsi="楷体" w:cs="宋体" w:hint="eastAsia"/>
          <w:szCs w:val="21"/>
        </w:rPr>
        <w:t>，</w:t>
      </w:r>
      <w:r w:rsidRPr="00C052D5">
        <w:rPr>
          <w:rFonts w:ascii="楷体" w:eastAsia="楷体" w:hAnsi="楷体" w:cs="宋体" w:hint="eastAsia"/>
          <w:szCs w:val="21"/>
        </w:rPr>
        <w:t>美国</w:t>
      </w:r>
      <w:r w:rsidRPr="00C052D5">
        <w:rPr>
          <w:rFonts w:ascii="楷体" w:eastAsia="楷体" w:hAnsi="楷体" w:cs="宋体"/>
          <w:szCs w:val="21"/>
        </w:rPr>
        <w:t>9</w:t>
      </w:r>
      <w:r w:rsidRPr="00C052D5">
        <w:rPr>
          <w:rFonts w:ascii="楷体" w:eastAsia="楷体" w:hAnsi="楷体" w:cs="宋体" w:hint="eastAsia"/>
          <w:szCs w:val="21"/>
        </w:rPr>
        <w:t>月未季调</w:t>
      </w:r>
      <w:r w:rsidRPr="00C052D5">
        <w:rPr>
          <w:rFonts w:ascii="楷体" w:eastAsia="楷体" w:hAnsi="楷体" w:cs="宋体"/>
          <w:szCs w:val="21"/>
        </w:rPr>
        <w:t>CPI</w:t>
      </w:r>
      <w:r w:rsidRPr="00C052D5">
        <w:rPr>
          <w:rFonts w:ascii="楷体" w:eastAsia="楷体" w:hAnsi="楷体" w:cs="宋体" w:hint="eastAsia"/>
          <w:szCs w:val="21"/>
        </w:rPr>
        <w:t>年率增长</w:t>
      </w:r>
      <w:r w:rsidRPr="00C052D5">
        <w:rPr>
          <w:rFonts w:ascii="楷体" w:eastAsia="楷体" w:hAnsi="楷体" w:cs="宋体"/>
          <w:szCs w:val="21"/>
        </w:rPr>
        <w:t>1.7%</w:t>
      </w:r>
      <w:r w:rsidRPr="00C052D5">
        <w:rPr>
          <w:rFonts w:ascii="楷体" w:eastAsia="楷体" w:hAnsi="楷体" w:cs="宋体" w:hint="eastAsia"/>
          <w:szCs w:val="21"/>
        </w:rPr>
        <w:t>，超过预期的</w:t>
      </w:r>
      <w:r w:rsidRPr="00C052D5">
        <w:rPr>
          <w:rFonts w:ascii="楷体" w:eastAsia="楷体" w:hAnsi="楷体" w:cs="宋体"/>
          <w:szCs w:val="21"/>
        </w:rPr>
        <w:t>1.6%</w:t>
      </w:r>
      <w:r w:rsidRPr="00C052D5">
        <w:rPr>
          <w:rFonts w:ascii="楷体" w:eastAsia="楷体" w:hAnsi="楷体" w:cs="宋体" w:hint="eastAsia"/>
          <w:szCs w:val="21"/>
        </w:rPr>
        <w:t>，季调后</w:t>
      </w:r>
      <w:r w:rsidRPr="00C052D5">
        <w:rPr>
          <w:rFonts w:ascii="楷体" w:eastAsia="楷体" w:hAnsi="楷体" w:cs="宋体"/>
          <w:szCs w:val="21"/>
        </w:rPr>
        <w:t>CPI</w:t>
      </w:r>
      <w:r w:rsidRPr="00C052D5">
        <w:rPr>
          <w:rFonts w:ascii="楷体" w:eastAsia="楷体" w:hAnsi="楷体" w:cs="宋体" w:hint="eastAsia"/>
          <w:szCs w:val="21"/>
        </w:rPr>
        <w:t>月率增长</w:t>
      </w:r>
      <w:r w:rsidRPr="00C052D5">
        <w:rPr>
          <w:rFonts w:ascii="楷体" w:eastAsia="楷体" w:hAnsi="楷体" w:cs="宋体"/>
          <w:szCs w:val="21"/>
        </w:rPr>
        <w:t>0.1%</w:t>
      </w:r>
      <w:r w:rsidRPr="00C052D5">
        <w:rPr>
          <w:rFonts w:ascii="楷体" w:eastAsia="楷体" w:hAnsi="楷体" w:cs="宋体" w:hint="eastAsia"/>
          <w:szCs w:val="21"/>
        </w:rPr>
        <w:t>，与预期持平。</w:t>
      </w:r>
      <w:r w:rsidRPr="00C052D5">
        <w:rPr>
          <w:rFonts w:ascii="楷体" w:eastAsia="楷体" w:hAnsi="楷体" w:hint="eastAsia"/>
          <w:szCs w:val="21"/>
        </w:rPr>
        <w:t>欧元区</w:t>
      </w:r>
      <w:r w:rsidRPr="00C052D5">
        <w:rPr>
          <w:rFonts w:ascii="楷体" w:eastAsia="楷体" w:hAnsi="楷体"/>
          <w:szCs w:val="21"/>
        </w:rPr>
        <w:t>10</w:t>
      </w:r>
      <w:r w:rsidRPr="00C052D5">
        <w:rPr>
          <w:rFonts w:ascii="楷体" w:eastAsia="楷体" w:hAnsi="楷体" w:hint="eastAsia"/>
          <w:szCs w:val="21"/>
        </w:rPr>
        <w:t>月制造业</w:t>
      </w:r>
      <w:r w:rsidRPr="00C052D5">
        <w:rPr>
          <w:rFonts w:ascii="楷体" w:eastAsia="楷体" w:hAnsi="楷体"/>
          <w:szCs w:val="21"/>
        </w:rPr>
        <w:t>PMI</w:t>
      </w:r>
      <w:r w:rsidRPr="00C052D5">
        <w:rPr>
          <w:rFonts w:ascii="楷体" w:eastAsia="楷体" w:hAnsi="楷体" w:hint="eastAsia"/>
          <w:szCs w:val="21"/>
        </w:rPr>
        <w:t>初值为</w:t>
      </w:r>
      <w:r w:rsidRPr="00C052D5">
        <w:rPr>
          <w:rFonts w:ascii="楷体" w:eastAsia="楷体" w:hAnsi="楷体"/>
          <w:szCs w:val="21"/>
        </w:rPr>
        <w:t>50.7</w:t>
      </w:r>
      <w:r w:rsidRPr="00C052D5">
        <w:rPr>
          <w:rFonts w:ascii="楷体" w:eastAsia="楷体" w:hAnsi="楷体" w:hint="eastAsia"/>
          <w:szCs w:val="21"/>
        </w:rPr>
        <w:t>，好于预期的</w:t>
      </w:r>
      <w:r w:rsidRPr="00C052D5">
        <w:rPr>
          <w:rFonts w:ascii="楷体" w:eastAsia="楷体" w:hAnsi="楷体"/>
          <w:szCs w:val="21"/>
        </w:rPr>
        <w:t>49.9</w:t>
      </w:r>
      <w:r w:rsidRPr="00C052D5">
        <w:rPr>
          <w:rFonts w:ascii="楷体" w:eastAsia="楷体" w:hAnsi="楷体" w:hint="eastAsia"/>
          <w:szCs w:val="21"/>
        </w:rPr>
        <w:t>，好于</w:t>
      </w:r>
      <w:r w:rsidRPr="00C052D5">
        <w:rPr>
          <w:rFonts w:ascii="楷体" w:eastAsia="楷体" w:hAnsi="楷体"/>
          <w:szCs w:val="21"/>
        </w:rPr>
        <w:t>9</w:t>
      </w:r>
      <w:r w:rsidRPr="00C052D5">
        <w:rPr>
          <w:rFonts w:ascii="楷体" w:eastAsia="楷体" w:hAnsi="楷体" w:hint="eastAsia"/>
          <w:szCs w:val="21"/>
        </w:rPr>
        <w:t>月终值</w:t>
      </w:r>
      <w:r w:rsidRPr="00C052D5">
        <w:rPr>
          <w:rFonts w:ascii="楷体" w:eastAsia="楷体" w:hAnsi="楷体"/>
          <w:szCs w:val="21"/>
        </w:rPr>
        <w:t>50.3</w:t>
      </w:r>
      <w:r w:rsidRPr="00C052D5">
        <w:rPr>
          <w:rFonts w:ascii="楷体" w:eastAsia="楷体" w:hAnsi="楷体" w:hint="eastAsia"/>
          <w:szCs w:val="21"/>
        </w:rPr>
        <w:t>，但欧元区经济下行风险依然存在。</w:t>
      </w:r>
      <w:r w:rsidRPr="00C052D5">
        <w:rPr>
          <w:rFonts w:ascii="楷体" w:eastAsia="楷体" w:hAnsi="楷体" w:cs="宋体" w:hint="eastAsia"/>
          <w:szCs w:val="21"/>
        </w:rPr>
        <w:t>股市方面，</w:t>
      </w:r>
      <w:r w:rsidRPr="00C052D5">
        <w:rPr>
          <w:rFonts w:ascii="楷体" w:eastAsia="楷体" w:hAnsi="楷体" w:cs="Arial" w:hint="eastAsia"/>
          <w:szCs w:val="21"/>
        </w:rPr>
        <w:t>美股</w:t>
      </w:r>
      <w:r w:rsidRPr="00C052D5">
        <w:rPr>
          <w:rFonts w:ascii="楷体" w:eastAsia="楷体" w:hAnsi="楷体" w:hint="eastAsia"/>
          <w:szCs w:val="21"/>
        </w:rPr>
        <w:t>三大股指在连续</w:t>
      </w:r>
      <w:r w:rsidRPr="00C052D5">
        <w:rPr>
          <w:rFonts w:ascii="楷体" w:eastAsia="楷体" w:hAnsi="楷体"/>
          <w:szCs w:val="21"/>
        </w:rPr>
        <w:t>4</w:t>
      </w:r>
      <w:r w:rsidRPr="00C052D5">
        <w:rPr>
          <w:rFonts w:ascii="楷体" w:eastAsia="楷体" w:hAnsi="楷体" w:hint="eastAsia"/>
          <w:szCs w:val="21"/>
        </w:rPr>
        <w:t>周调整之后迎来普涨，</w:t>
      </w:r>
      <w:r w:rsidRPr="00C052D5">
        <w:rPr>
          <w:rFonts w:ascii="楷体" w:eastAsia="楷体" w:hAnsi="楷体" w:cs="Arial" w:hint="eastAsia"/>
          <w:szCs w:val="21"/>
        </w:rPr>
        <w:t>标普</w:t>
      </w:r>
      <w:r w:rsidRPr="00C052D5">
        <w:rPr>
          <w:rFonts w:ascii="楷体" w:eastAsia="楷体" w:hAnsi="楷体" w:cs="Arial"/>
          <w:szCs w:val="21"/>
        </w:rPr>
        <w:t>500</w:t>
      </w:r>
      <w:r w:rsidRPr="00C052D5">
        <w:rPr>
          <w:rFonts w:ascii="楷体" w:eastAsia="楷体" w:hAnsi="楷体" w:cs="Arial" w:hint="eastAsia"/>
          <w:szCs w:val="21"/>
        </w:rPr>
        <w:t>周涨</w:t>
      </w:r>
      <w:r w:rsidRPr="00C052D5">
        <w:rPr>
          <w:rFonts w:ascii="楷体" w:eastAsia="楷体" w:hAnsi="楷体" w:cs="Arial"/>
          <w:szCs w:val="21"/>
        </w:rPr>
        <w:t>4.73%</w:t>
      </w:r>
      <w:r w:rsidRPr="00C052D5">
        <w:rPr>
          <w:rFonts w:ascii="楷体" w:eastAsia="楷体" w:hAnsi="楷体" w:cs="Arial" w:hint="eastAsia"/>
          <w:szCs w:val="21"/>
        </w:rPr>
        <w:t>，道琼斯工业指数周涨</w:t>
      </w:r>
      <w:r w:rsidRPr="00C052D5">
        <w:rPr>
          <w:rFonts w:ascii="楷体" w:eastAsia="楷体" w:hAnsi="楷体" w:cs="Arial"/>
          <w:szCs w:val="21"/>
        </w:rPr>
        <w:t>3.48%</w:t>
      </w:r>
      <w:r w:rsidRPr="00C052D5">
        <w:rPr>
          <w:rFonts w:ascii="楷体" w:eastAsia="楷体" w:hAnsi="楷体" w:cs="Arial" w:hint="eastAsia"/>
          <w:szCs w:val="21"/>
        </w:rPr>
        <w:t>，纳斯达克</w:t>
      </w:r>
      <w:r w:rsidRPr="00C052D5">
        <w:rPr>
          <w:rFonts w:ascii="楷体" w:eastAsia="楷体" w:hAnsi="楷体" w:cs="Arial"/>
          <w:szCs w:val="21"/>
        </w:rPr>
        <w:t>100</w:t>
      </w:r>
      <w:r w:rsidRPr="00C052D5">
        <w:rPr>
          <w:rFonts w:ascii="楷体" w:eastAsia="楷体" w:hAnsi="楷体" w:cs="Arial" w:hint="eastAsia"/>
          <w:szCs w:val="21"/>
        </w:rPr>
        <w:t>涨幅最大，为</w:t>
      </w:r>
      <w:r w:rsidRPr="00C052D5">
        <w:rPr>
          <w:rFonts w:ascii="楷体" w:eastAsia="楷体" w:hAnsi="楷体" w:cs="Arial"/>
          <w:szCs w:val="21"/>
        </w:rPr>
        <w:t>6.56%</w:t>
      </w:r>
      <w:r w:rsidRPr="00C052D5">
        <w:rPr>
          <w:rFonts w:ascii="楷体" w:eastAsia="楷体" w:hAnsi="楷体" w:cs="Arial" w:hint="eastAsia"/>
          <w:szCs w:val="21"/>
        </w:rPr>
        <w:t>。相比之下，港股涨幅受限，恒生指数和恒生国企指数周涨幅分别为</w:t>
      </w:r>
      <w:r w:rsidRPr="00C052D5">
        <w:rPr>
          <w:rFonts w:ascii="楷体" w:eastAsia="楷体" w:hAnsi="楷体" w:cs="Arial"/>
          <w:szCs w:val="21"/>
        </w:rPr>
        <w:t>1.89%</w:t>
      </w:r>
      <w:r w:rsidRPr="00C052D5">
        <w:rPr>
          <w:rFonts w:ascii="楷体" w:eastAsia="楷体" w:hAnsi="楷体" w:cs="Arial" w:hint="eastAsia"/>
          <w:szCs w:val="21"/>
        </w:rPr>
        <w:t>和</w:t>
      </w:r>
      <w:r w:rsidRPr="00C052D5">
        <w:rPr>
          <w:rFonts w:ascii="楷体" w:eastAsia="楷体" w:hAnsi="楷体" w:cs="Arial"/>
          <w:szCs w:val="21"/>
        </w:rPr>
        <w:t>2.49%</w:t>
      </w:r>
      <w:r w:rsidRPr="00C052D5">
        <w:rPr>
          <w:rFonts w:ascii="楷体" w:eastAsia="楷体" w:hAnsi="楷体" w:cs="Arial" w:hint="eastAsia"/>
          <w:szCs w:val="21"/>
        </w:rPr>
        <w:t>。</w:t>
      </w:r>
    </w:p>
    <w:p w:rsidR="00A14A34" w:rsidRPr="00C052D5" w:rsidRDefault="00A14A34" w:rsidP="00585F05">
      <w:pPr>
        <w:pStyle w:val="BodyText"/>
        <w:spacing w:after="163"/>
        <w:ind w:firstLineChars="200" w:firstLine="31680"/>
        <w:rPr>
          <w:rFonts w:ascii="楷体" w:eastAsia="楷体" w:hAnsi="楷体" w:cs="Arial"/>
          <w:szCs w:val="21"/>
        </w:rPr>
      </w:pPr>
      <w:r w:rsidRPr="00C052D5">
        <w:rPr>
          <w:rFonts w:ascii="楷体" w:eastAsia="楷体" w:hAnsi="楷体" w:cs="Arial" w:hint="eastAsia"/>
          <w:szCs w:val="21"/>
        </w:rPr>
        <w:t>凯石工场统计的各类公募基金中，股票型基金风格反转，主动型产品表现好于指数型产品；混合</w:t>
      </w:r>
      <w:r w:rsidRPr="00C052D5">
        <w:rPr>
          <w:rFonts w:ascii="楷体" w:eastAsia="楷体" w:hAnsi="楷体" w:cs="Arial"/>
          <w:szCs w:val="21"/>
        </w:rPr>
        <w:t>-</w:t>
      </w:r>
      <w:r w:rsidRPr="00C052D5">
        <w:rPr>
          <w:rFonts w:ascii="楷体" w:eastAsia="楷体" w:hAnsi="楷体" w:cs="Arial" w:hint="eastAsia"/>
          <w:szCs w:val="21"/>
        </w:rPr>
        <w:t>偏债型表现好于混合</w:t>
      </w:r>
      <w:r w:rsidRPr="00C052D5">
        <w:rPr>
          <w:rFonts w:ascii="楷体" w:eastAsia="楷体" w:hAnsi="楷体" w:cs="Arial"/>
          <w:szCs w:val="21"/>
        </w:rPr>
        <w:t>-</w:t>
      </w:r>
      <w:r w:rsidRPr="00C052D5">
        <w:rPr>
          <w:rFonts w:ascii="楷体" w:eastAsia="楷体" w:hAnsi="楷体" w:cs="Arial" w:hint="eastAsia"/>
          <w:szCs w:val="21"/>
        </w:rPr>
        <w:t>偏股型，好于混合</w:t>
      </w:r>
      <w:r w:rsidRPr="00C052D5">
        <w:rPr>
          <w:rFonts w:ascii="楷体" w:eastAsia="楷体" w:hAnsi="楷体" w:cs="Arial"/>
          <w:szCs w:val="21"/>
        </w:rPr>
        <w:t>-</w:t>
      </w:r>
      <w:r w:rsidRPr="00C052D5">
        <w:rPr>
          <w:rFonts w:ascii="楷体" w:eastAsia="楷体" w:hAnsi="楷体" w:cs="Arial" w:hint="eastAsia"/>
          <w:szCs w:val="21"/>
        </w:rPr>
        <w:t>灵活型；除理财债基外，其他各类债基涨幅均扩大，纯债基金和一级债基业绩居前；货币基金平均七日年化收益率涨至</w:t>
      </w:r>
      <w:r w:rsidRPr="00C052D5">
        <w:rPr>
          <w:rFonts w:ascii="楷体" w:eastAsia="楷体" w:hAnsi="楷体" w:cs="Arial"/>
          <w:szCs w:val="21"/>
        </w:rPr>
        <w:t>4.36%</w:t>
      </w:r>
      <w:r w:rsidRPr="00C052D5">
        <w:rPr>
          <w:rFonts w:ascii="楷体" w:eastAsia="楷体" w:hAnsi="楷体" w:cs="Arial" w:hint="eastAsia"/>
          <w:szCs w:val="21"/>
        </w:rPr>
        <w:t>；</w:t>
      </w:r>
      <w:r w:rsidRPr="00C052D5">
        <w:rPr>
          <w:rFonts w:ascii="楷体" w:eastAsia="楷体" w:hAnsi="楷体" w:cs="Arial"/>
          <w:szCs w:val="21"/>
        </w:rPr>
        <w:t>QDII</w:t>
      </w:r>
      <w:r w:rsidRPr="00C052D5">
        <w:rPr>
          <w:rFonts w:ascii="楷体" w:eastAsia="楷体" w:hAnsi="楷体" w:cs="Arial" w:hint="eastAsia"/>
          <w:szCs w:val="21"/>
        </w:rPr>
        <w:t>整体反弹明显，美股基金领涨，商品基金引跌。产品方面，</w:t>
      </w:r>
      <w:r w:rsidRPr="00C052D5">
        <w:rPr>
          <w:rFonts w:ascii="楷体" w:eastAsia="楷体" w:hAnsi="楷体" w:hint="eastAsia"/>
          <w:szCs w:val="21"/>
        </w:rPr>
        <w:t>中银主题策略，泰达宏利效率优选，新华安享惠金</w:t>
      </w:r>
      <w:r w:rsidRPr="00C052D5">
        <w:rPr>
          <w:rFonts w:ascii="楷体" w:eastAsia="楷体" w:hAnsi="楷体"/>
          <w:szCs w:val="21"/>
        </w:rPr>
        <w:t>C</w:t>
      </w:r>
      <w:r w:rsidRPr="00C052D5">
        <w:rPr>
          <w:rFonts w:ascii="楷体" w:eastAsia="楷体" w:hAnsi="楷体" w:hint="eastAsia"/>
          <w:szCs w:val="21"/>
        </w:rPr>
        <w:t>，兴全磐稳增利债券，新华惠鑫分级</w:t>
      </w:r>
      <w:r w:rsidRPr="00C052D5">
        <w:rPr>
          <w:rFonts w:ascii="楷体" w:eastAsia="楷体" w:hAnsi="楷体"/>
          <w:szCs w:val="21"/>
        </w:rPr>
        <w:t>B</w:t>
      </w:r>
      <w:r w:rsidRPr="00C052D5">
        <w:rPr>
          <w:rFonts w:ascii="楷体" w:eastAsia="楷体" w:hAnsi="楷体" w:hint="eastAsia"/>
          <w:szCs w:val="21"/>
        </w:rPr>
        <w:t>等</w:t>
      </w:r>
      <w:r w:rsidRPr="00C052D5">
        <w:rPr>
          <w:rFonts w:ascii="楷体" w:eastAsia="楷体" w:hAnsi="楷体" w:cs="Arial" w:hint="eastAsia"/>
          <w:szCs w:val="21"/>
        </w:rPr>
        <w:t>业绩居前。</w:t>
      </w:r>
    </w:p>
    <w:p w:rsidR="00A14A34" w:rsidRPr="005B7CDB" w:rsidRDefault="00A14A34" w:rsidP="002D7B70">
      <w:pPr>
        <w:widowControl/>
        <w:spacing w:after="120"/>
        <w:ind w:left="3402"/>
        <w:rPr>
          <w:rFonts w:ascii="楷体" w:eastAsia="楷体" w:hAnsi="楷体"/>
          <w:b/>
          <w:bCs/>
          <w:color w:val="0070C0"/>
          <w:kern w:val="0"/>
          <w:sz w:val="24"/>
          <w:szCs w:val="20"/>
          <w:lang w:val="en-GB"/>
        </w:rPr>
      </w:pPr>
      <w:r w:rsidRPr="005B7CDB">
        <w:rPr>
          <w:rFonts w:ascii="楷体" w:eastAsia="楷体" w:hAnsi="楷体" w:hint="eastAsia"/>
          <w:b/>
          <w:bCs/>
          <w:color w:val="0070C0"/>
          <w:kern w:val="0"/>
          <w:sz w:val="24"/>
          <w:szCs w:val="20"/>
          <w:lang w:val="en-GB"/>
        </w:rPr>
        <w:t>凯石工场本周基金投资策略：</w:t>
      </w:r>
    </w:p>
    <w:p w:rsidR="00A14A34" w:rsidRPr="007838F3" w:rsidRDefault="00A14A34" w:rsidP="004B58D7">
      <w:pPr>
        <w:pStyle w:val="BodyText"/>
        <w:numPr>
          <w:ilvl w:val="4"/>
          <w:numId w:val="1"/>
        </w:numPr>
        <w:spacing w:after="163"/>
        <w:rPr>
          <w:rFonts w:ascii="楷体" w:eastAsia="楷体" w:hAnsi="楷体" w:cs="Arial"/>
          <w:szCs w:val="21"/>
        </w:rPr>
      </w:pPr>
      <w:r w:rsidRPr="007838F3">
        <w:rPr>
          <w:rFonts w:ascii="楷体" w:eastAsia="楷体" w:hAnsi="楷体" w:cs="Arial" w:hint="eastAsia"/>
          <w:szCs w:val="21"/>
        </w:rPr>
        <w:t>权益类基金：</w:t>
      </w:r>
      <w:r w:rsidRPr="007838F3">
        <w:rPr>
          <w:rFonts w:ascii="楷体" w:eastAsia="楷体" w:hAnsi="楷体" w:cs="宋体" w:hint="eastAsia"/>
          <w:szCs w:val="21"/>
        </w:rPr>
        <w:t>三季度</w:t>
      </w:r>
      <w:r w:rsidRPr="007838F3">
        <w:rPr>
          <w:rFonts w:ascii="楷体" w:eastAsia="楷体" w:hAnsi="楷体" w:cs="宋体"/>
          <w:szCs w:val="21"/>
        </w:rPr>
        <w:t>GDP</w:t>
      </w:r>
      <w:r w:rsidRPr="007838F3">
        <w:rPr>
          <w:rFonts w:ascii="楷体" w:eastAsia="楷体" w:hAnsi="楷体" w:cs="宋体" w:hint="eastAsia"/>
          <w:szCs w:val="21"/>
        </w:rPr>
        <w:t>同比增长</w:t>
      </w:r>
      <w:r w:rsidRPr="007838F3">
        <w:rPr>
          <w:rFonts w:ascii="楷体" w:eastAsia="楷体" w:hAnsi="楷体" w:cs="宋体"/>
          <w:szCs w:val="21"/>
        </w:rPr>
        <w:t>7.3%</w:t>
      </w:r>
      <w:r w:rsidRPr="007838F3">
        <w:rPr>
          <w:rFonts w:ascii="楷体" w:eastAsia="楷体" w:hAnsi="楷体" w:cs="宋体" w:hint="eastAsia"/>
          <w:szCs w:val="21"/>
        </w:rPr>
        <w:t>，基本符合市场预期，经济运行压力不减；受沪港通延后推出影响，投资者情绪走低；十八届四中全会总体以依法治国、依宪执政为核心，总体符合预期，为改革的稳步推进树立信心。受关键事件的逐一兑现以及沪港通延期影响，近期市场可能仍将延续震荡调整走势，基金组合建议以风险防控为前提，精选稳健品种、巧搭债券基金，增强组合整体抵御风险能力；与此同时依然看好与经济转型升级联系密切、易受政策扶持的消费行业（如食品饮料、医药医疗、汽车、零售、交运、电力等）以及新兴成长领域（如电子信息、通讯、传媒、清洁能源、节能环保）中长期投资价值，建议投资者重点关注选股能力突出，历史业绩优异的相关成长风格产品，谨慎逢低逐步布局。</w:t>
      </w:r>
    </w:p>
    <w:p w:rsidR="00A14A34" w:rsidRPr="004B58D7" w:rsidRDefault="00A14A34" w:rsidP="004B58D7">
      <w:pPr>
        <w:pStyle w:val="BodyText"/>
        <w:numPr>
          <w:ilvl w:val="4"/>
          <w:numId w:val="1"/>
        </w:numPr>
        <w:spacing w:after="163"/>
        <w:rPr>
          <w:rFonts w:ascii="楷体" w:eastAsia="楷体" w:hAnsi="楷体" w:cs="Arial"/>
          <w:color w:val="auto"/>
          <w:szCs w:val="21"/>
        </w:rPr>
      </w:pPr>
      <w:r w:rsidRPr="00A24EB1">
        <w:rPr>
          <w:rFonts w:ascii="楷体" w:eastAsia="楷体" w:hAnsi="楷体" w:cs="Arial" w:hint="eastAsia"/>
          <w:color w:val="auto"/>
          <w:szCs w:val="21"/>
        </w:rPr>
        <w:t>固定收益类基金：</w:t>
      </w:r>
      <w:r>
        <w:rPr>
          <w:rFonts w:hint="eastAsia"/>
        </w:rPr>
        <w:t>三季度经济数据的公布，显示目前我国经济增长有所放缓，虽受益于外需的改善所带动的出口形势的好转，整体仍在合理稳定区间运行，但投资、消费增速均出现下滑，经济增长内在动力明显不足。流动性方面，当前市场总体宽松，上周上海银行间隔夜拆借利率较前期继续下行，在央行多次表示维持当前货币政策不变和政府全面深化改革的背景下，预计近期货币环境仍将稳定。总体来看，偏弱的经济基本面和相对宽松的货币环境，还将继续对债券市场构成利好，进而利好债券型基金。因此，我们建议在固定收益类基金的投资上，继续侧重关注债券型基金产品并保持积极主动的投资风格，加强中长久期以及高评级信用债投资比例较高的债券型基金的配置。</w:t>
      </w:r>
    </w:p>
    <w:p w:rsidR="00A14A34" w:rsidRPr="00C052D5" w:rsidRDefault="00A14A34" w:rsidP="00C052D5">
      <w:pPr>
        <w:pStyle w:val="BodyText"/>
        <w:numPr>
          <w:ilvl w:val="4"/>
          <w:numId w:val="1"/>
        </w:numPr>
        <w:spacing w:after="163"/>
        <w:rPr>
          <w:rFonts w:ascii="楷体" w:eastAsia="楷体" w:hAnsi="楷体" w:cs="Arial"/>
          <w:color w:val="auto"/>
          <w:szCs w:val="21"/>
        </w:rPr>
      </w:pPr>
      <w:r w:rsidRPr="00B72925">
        <w:rPr>
          <w:rFonts w:ascii="楷体" w:eastAsia="楷体" w:hAnsi="楷体" w:cs="Arial"/>
          <w:color w:val="auto"/>
          <w:szCs w:val="21"/>
        </w:rPr>
        <w:t>QDII</w:t>
      </w:r>
      <w:r w:rsidRPr="00B72925">
        <w:rPr>
          <w:rFonts w:ascii="楷体" w:eastAsia="楷体" w:hAnsi="楷体" w:cs="Arial" w:hint="eastAsia"/>
          <w:color w:val="auto"/>
          <w:szCs w:val="21"/>
        </w:rPr>
        <w:t>基金</w:t>
      </w:r>
      <w:r>
        <w:rPr>
          <w:rFonts w:ascii="楷体" w:eastAsia="楷体" w:hAnsi="楷体" w:cs="Arial" w:hint="eastAsia"/>
          <w:color w:val="auto"/>
          <w:szCs w:val="21"/>
        </w:rPr>
        <w:t>：</w:t>
      </w:r>
      <w:r w:rsidRPr="002D3F9A">
        <w:rPr>
          <w:rFonts w:ascii="楷体" w:eastAsia="楷体" w:hAnsi="楷体" w:cs="Arial" w:hint="eastAsia"/>
          <w:color w:val="auto"/>
          <w:szCs w:val="21"/>
        </w:rPr>
        <w:t>最新经济数据显示，美国近期依然保持良好的表现。消费者信心指数再创新高，表明美国民众对于经济前景的看法持续乐观。房屋开工升幅超过预期，反映出就业市场的改善推动</w:t>
      </w:r>
      <w:r w:rsidRPr="002D3F9A">
        <w:rPr>
          <w:rFonts w:ascii="楷体" w:eastAsia="楷体" w:hAnsi="楷体" w:cs="Arial"/>
          <w:color w:val="auto"/>
          <w:szCs w:val="21"/>
        </w:rPr>
        <w:t>9</w:t>
      </w:r>
      <w:r w:rsidRPr="002D3F9A">
        <w:rPr>
          <w:rFonts w:ascii="楷体" w:eastAsia="楷体" w:hAnsi="楷体" w:cs="Arial" w:hint="eastAsia"/>
          <w:color w:val="auto"/>
          <w:szCs w:val="21"/>
        </w:rPr>
        <w:t>月楼市复苏加速。而美联储部分官员出乎意料的“鸽派”言论</w:t>
      </w:r>
      <w:r>
        <w:rPr>
          <w:rFonts w:ascii="楷体" w:eastAsia="楷体" w:hAnsi="楷体" w:cs="Arial" w:hint="eastAsia"/>
          <w:color w:val="auto"/>
          <w:szCs w:val="21"/>
        </w:rPr>
        <w:t>则</w:t>
      </w:r>
      <w:r w:rsidRPr="002D3F9A">
        <w:rPr>
          <w:rFonts w:ascii="楷体" w:eastAsia="楷体" w:hAnsi="楷体" w:cs="Arial" w:hint="eastAsia"/>
          <w:color w:val="auto"/>
          <w:szCs w:val="21"/>
        </w:rPr>
        <w:t>搅动</w:t>
      </w:r>
      <w:r>
        <w:rPr>
          <w:rFonts w:ascii="楷体" w:eastAsia="楷体" w:hAnsi="楷体" w:cs="Arial" w:hint="eastAsia"/>
          <w:color w:val="auto"/>
          <w:szCs w:val="21"/>
        </w:rPr>
        <w:t>了</w:t>
      </w:r>
      <w:r w:rsidRPr="002D3F9A">
        <w:rPr>
          <w:rFonts w:ascii="楷体" w:eastAsia="楷体" w:hAnsi="楷体" w:cs="Arial" w:hint="eastAsia"/>
          <w:color w:val="auto"/>
          <w:szCs w:val="21"/>
        </w:rPr>
        <w:t>市场情绪，同时全球金融市场的急剧动荡也加剧了美联储可能不会急于加息的预期。预计经济基本面和流动性均为美资产价格特别是股市楼市提供支撑，但若美联储货币政策提前收紧的预期再起，恐将冲击股市楼市，故建议投资者密切关注</w:t>
      </w:r>
      <w:r w:rsidRPr="002D3F9A">
        <w:rPr>
          <w:rFonts w:ascii="楷体" w:eastAsia="楷体" w:hAnsi="楷体" w:cs="Arial"/>
          <w:color w:val="auto"/>
          <w:szCs w:val="21"/>
        </w:rPr>
        <w:t>QE</w:t>
      </w:r>
      <w:r w:rsidRPr="002D3F9A">
        <w:rPr>
          <w:rFonts w:ascii="楷体" w:eastAsia="楷体" w:hAnsi="楷体" w:cs="Arial" w:hint="eastAsia"/>
          <w:color w:val="auto"/>
          <w:szCs w:val="21"/>
        </w:rPr>
        <w:t>退出与货币政策的最新动向。“港股通”箭在弦上，其引发的利好效应是四季度关注重点，中资蓝筹股以及受惠沪港通的个股将有一定的表现空间。此外，四中全会</w:t>
      </w:r>
      <w:r w:rsidRPr="002D3F9A">
        <w:rPr>
          <w:rFonts w:ascii="楷体" w:eastAsia="楷体" w:hAnsi="楷体" w:cs="Arial"/>
          <w:color w:val="auto"/>
          <w:szCs w:val="21"/>
        </w:rPr>
        <w:t>10</w:t>
      </w:r>
      <w:r w:rsidRPr="002D3F9A">
        <w:rPr>
          <w:rFonts w:ascii="楷体" w:eastAsia="楷体" w:hAnsi="楷体" w:cs="Arial" w:hint="eastAsia"/>
          <w:color w:val="auto"/>
          <w:szCs w:val="21"/>
        </w:rPr>
        <w:t>月</w:t>
      </w:r>
      <w:r w:rsidRPr="002D3F9A">
        <w:rPr>
          <w:rFonts w:ascii="楷体" w:eastAsia="楷体" w:hAnsi="楷体" w:cs="Arial"/>
          <w:color w:val="auto"/>
          <w:szCs w:val="21"/>
        </w:rPr>
        <w:t>20</w:t>
      </w:r>
      <w:r w:rsidRPr="002D3F9A">
        <w:rPr>
          <w:rFonts w:ascii="楷体" w:eastAsia="楷体" w:hAnsi="楷体" w:cs="Arial" w:hint="eastAsia"/>
          <w:color w:val="auto"/>
          <w:szCs w:val="21"/>
        </w:rPr>
        <w:t>日开幕，中国政策重心将转向改革，预计会有较多措施出台，或将创造主题性机会从而带动关联港股走强</w:t>
      </w:r>
      <w:r>
        <w:rPr>
          <w:rFonts w:ascii="楷体" w:eastAsia="楷体" w:hAnsi="楷体" w:cs="Arial" w:hint="eastAsia"/>
          <w:color w:val="auto"/>
          <w:szCs w:val="21"/>
        </w:rPr>
        <w:t>。</w:t>
      </w:r>
    </w:p>
    <w:p w:rsidR="00A14A34" w:rsidRPr="005B7CDB" w:rsidRDefault="00A14A34" w:rsidP="003C0101">
      <w:pPr>
        <w:pStyle w:val="BodyText"/>
        <w:spacing w:after="163"/>
        <w:ind w:left="3430"/>
        <w:rPr>
          <w:rFonts w:ascii="楷体" w:eastAsia="楷体" w:hAnsi="楷体"/>
          <w:b/>
          <w:bCs/>
          <w:color w:val="0070C0"/>
          <w:sz w:val="24"/>
        </w:rPr>
      </w:pPr>
      <w:r w:rsidRPr="005B7CDB">
        <w:rPr>
          <w:rFonts w:ascii="楷体" w:eastAsia="楷体" w:hAnsi="楷体" w:hint="eastAsia"/>
          <w:b/>
          <w:bCs/>
          <w:color w:val="0070C0"/>
          <w:sz w:val="24"/>
        </w:rPr>
        <w:t>凯石每周微点评</w:t>
      </w:r>
      <w:r>
        <w:rPr>
          <w:rFonts w:ascii="楷体" w:eastAsia="楷体" w:hAnsi="楷体" w:hint="eastAsia"/>
          <w:b/>
          <w:bCs/>
          <w:color w:val="0070C0"/>
          <w:sz w:val="24"/>
        </w:rPr>
        <w:t>：</w:t>
      </w:r>
    </w:p>
    <w:tbl>
      <w:tblPr>
        <w:tblW w:w="11199" w:type="dxa"/>
        <w:tblInd w:w="-142" w:type="dxa"/>
        <w:tblBorders>
          <w:top w:val="single" w:sz="6" w:space="0" w:color="FF6600"/>
          <w:bottom w:val="single" w:sz="6" w:space="0" w:color="FF6600"/>
          <w:insideH w:val="single" w:sz="6" w:space="0" w:color="FF6600"/>
        </w:tblBorders>
        <w:tblLayout w:type="fixed"/>
        <w:tblCellMar>
          <w:left w:w="0" w:type="dxa"/>
          <w:right w:w="0" w:type="dxa"/>
        </w:tblCellMar>
        <w:tblLook w:val="0000"/>
      </w:tblPr>
      <w:tblGrid>
        <w:gridCol w:w="5387"/>
        <w:gridCol w:w="5812"/>
      </w:tblGrid>
      <w:tr w:rsidR="00A14A34" w:rsidRPr="00035682" w:rsidTr="001506C6">
        <w:trPr>
          <w:cantSplit/>
          <w:trHeight w:val="335"/>
        </w:trPr>
        <w:tc>
          <w:tcPr>
            <w:tcW w:w="11199" w:type="dxa"/>
            <w:gridSpan w:val="2"/>
            <w:vAlign w:val="center"/>
          </w:tcPr>
          <w:p w:rsidR="00A14A34" w:rsidRPr="005B7CDB" w:rsidRDefault="00A14A34" w:rsidP="00517D66">
            <w:pPr>
              <w:pStyle w:val="SubTitleLargeTable"/>
              <w:pBdr>
                <w:top w:val="none" w:sz="0" w:space="0" w:color="auto"/>
              </w:pBdr>
              <w:rPr>
                <w:rFonts w:ascii="楷体" w:eastAsia="楷体" w:hAnsi="楷体"/>
                <w:b w:val="0"/>
              </w:rPr>
            </w:pPr>
            <w:r w:rsidRPr="005B7CDB">
              <w:rPr>
                <w:rFonts w:ascii="楷体" w:eastAsia="楷体" w:hAnsi="楷体" w:hint="eastAsia"/>
                <w:color w:val="FF6600"/>
              </w:rPr>
              <w:t>图表</w:t>
            </w:r>
            <w:r w:rsidRPr="005B7CDB">
              <w:rPr>
                <w:rFonts w:ascii="楷体" w:eastAsia="楷体" w:hAnsi="楷体"/>
                <w:color w:val="FF6600"/>
              </w:rPr>
              <w:t>1</w:t>
            </w:r>
            <w:r w:rsidRPr="005B7CDB">
              <w:rPr>
                <w:rFonts w:ascii="楷体" w:eastAsia="楷体" w:hAnsi="楷体" w:hint="eastAsia"/>
                <w:color w:val="FF6600"/>
              </w:rPr>
              <w:t>：基金行业近期动态及点评</w:t>
            </w:r>
          </w:p>
        </w:tc>
      </w:tr>
      <w:tr w:rsidR="00A14A34" w:rsidRPr="00035682" w:rsidTr="003868A6">
        <w:trPr>
          <w:cantSplit/>
          <w:trHeight w:val="284"/>
        </w:trPr>
        <w:tc>
          <w:tcPr>
            <w:tcW w:w="5387" w:type="dxa"/>
            <w:tcBorders>
              <w:right w:val="single" w:sz="6" w:space="0" w:color="FF6600"/>
            </w:tcBorders>
            <w:shd w:val="clear" w:color="auto" w:fill="FDE9D9"/>
            <w:vAlign w:val="center"/>
          </w:tcPr>
          <w:p w:rsidR="00A14A34" w:rsidRPr="00035682" w:rsidRDefault="00A14A34" w:rsidP="00517D66">
            <w:pPr>
              <w:snapToGrid w:val="0"/>
              <w:jc w:val="center"/>
              <w:rPr>
                <w:rFonts w:ascii="楷体" w:eastAsia="楷体" w:hAnsi="楷体"/>
                <w:b/>
                <w:sz w:val="18"/>
                <w:szCs w:val="18"/>
              </w:rPr>
            </w:pPr>
            <w:r w:rsidRPr="00035682">
              <w:rPr>
                <w:rFonts w:ascii="楷体" w:eastAsia="楷体" w:hAnsi="楷体" w:hint="eastAsia"/>
                <w:b/>
                <w:sz w:val="18"/>
                <w:szCs w:val="18"/>
              </w:rPr>
              <w:t>微新闻</w:t>
            </w:r>
          </w:p>
        </w:tc>
        <w:tc>
          <w:tcPr>
            <w:tcW w:w="5812" w:type="dxa"/>
            <w:tcBorders>
              <w:left w:val="single" w:sz="6" w:space="0" w:color="FF6600"/>
            </w:tcBorders>
            <w:shd w:val="clear" w:color="auto" w:fill="FDE9D9"/>
            <w:vAlign w:val="center"/>
          </w:tcPr>
          <w:p w:rsidR="00A14A34" w:rsidRPr="00035682" w:rsidRDefault="00A14A34" w:rsidP="00517D66">
            <w:pPr>
              <w:snapToGrid w:val="0"/>
              <w:jc w:val="center"/>
              <w:rPr>
                <w:rFonts w:ascii="楷体" w:eastAsia="楷体" w:hAnsi="楷体"/>
                <w:b/>
                <w:sz w:val="18"/>
                <w:szCs w:val="18"/>
              </w:rPr>
            </w:pPr>
            <w:r w:rsidRPr="00035682">
              <w:rPr>
                <w:rFonts w:ascii="楷体" w:eastAsia="楷体" w:hAnsi="楷体" w:hint="eastAsia"/>
                <w:b/>
                <w:sz w:val="18"/>
                <w:szCs w:val="18"/>
              </w:rPr>
              <w:t>微点评</w:t>
            </w:r>
          </w:p>
        </w:tc>
      </w:tr>
      <w:tr w:rsidR="00A14A34" w:rsidRPr="00035682" w:rsidTr="003868A6">
        <w:trPr>
          <w:cantSplit/>
          <w:trHeight w:val="483"/>
        </w:trPr>
        <w:tc>
          <w:tcPr>
            <w:tcW w:w="5387" w:type="dxa"/>
            <w:tcBorders>
              <w:right w:val="single" w:sz="6" w:space="0" w:color="FF6600"/>
            </w:tcBorders>
            <w:vAlign w:val="center"/>
          </w:tcPr>
          <w:p w:rsidR="00A14A34" w:rsidRPr="003868A6" w:rsidRDefault="00A14A34" w:rsidP="003868A6">
            <w:pPr>
              <w:pStyle w:val="NormalWeb"/>
              <w:snapToGrid w:val="0"/>
              <w:rPr>
                <w:rFonts w:ascii="楷体" w:eastAsia="楷体" w:hAnsi="楷体" w:cs="Arial"/>
                <w:color w:val="000000"/>
                <w:sz w:val="18"/>
                <w:szCs w:val="18"/>
                <w:lang w:val="en-GB"/>
              </w:rPr>
            </w:pPr>
            <w:r w:rsidRPr="003868A6">
              <w:rPr>
                <w:rFonts w:ascii="楷体" w:eastAsia="楷体" w:hAnsi="楷体" w:cs="Arial" w:hint="eastAsia"/>
                <w:color w:val="000000"/>
                <w:sz w:val="18"/>
                <w:szCs w:val="18"/>
                <w:lang w:val="en-GB"/>
              </w:rPr>
              <w:t>近阶段，广东省登革热病例不断增加，埃博拉病毒持续蔓延，医药股更受市场追捧，医药基金增持医药股，非医药基金也借机更新股票池。</w:t>
            </w:r>
            <w:r w:rsidRPr="003868A6">
              <w:rPr>
                <w:rFonts w:ascii="楷体" w:eastAsia="楷体" w:hAnsi="楷体" w:cs="Arial"/>
                <w:color w:val="000000"/>
                <w:sz w:val="18"/>
                <w:szCs w:val="18"/>
                <w:lang w:val="en-GB"/>
              </w:rPr>
              <w:t xml:space="preserve"> </w:t>
            </w:r>
          </w:p>
        </w:tc>
        <w:tc>
          <w:tcPr>
            <w:tcW w:w="5812" w:type="dxa"/>
            <w:tcBorders>
              <w:left w:val="single" w:sz="6" w:space="0" w:color="FF6600"/>
            </w:tcBorders>
            <w:vAlign w:val="center"/>
          </w:tcPr>
          <w:p w:rsidR="00A14A34" w:rsidRPr="003868A6" w:rsidRDefault="00A14A34" w:rsidP="003868A6">
            <w:pPr>
              <w:pStyle w:val="NormalWeb"/>
              <w:snapToGrid w:val="0"/>
              <w:rPr>
                <w:rFonts w:ascii="楷体" w:eastAsia="楷体" w:hAnsi="楷体" w:cs="Arial"/>
                <w:color w:val="000000"/>
                <w:sz w:val="18"/>
                <w:szCs w:val="18"/>
                <w:lang w:val="en-GB"/>
              </w:rPr>
            </w:pPr>
            <w:r w:rsidRPr="003868A6">
              <w:rPr>
                <w:rFonts w:ascii="楷体" w:eastAsia="楷体" w:hAnsi="楷体" w:cs="Arial" w:hint="eastAsia"/>
                <w:color w:val="000000"/>
                <w:sz w:val="18"/>
                <w:szCs w:val="18"/>
                <w:lang w:val="en-GB"/>
              </w:rPr>
              <w:t>国内受益的医药公司主要为诊断试剂，抗病毒生物</w:t>
            </w:r>
            <w:r w:rsidRPr="003868A6">
              <w:rPr>
                <w:rFonts w:ascii="楷体" w:eastAsia="楷体" w:hAnsi="楷体" w:cs="Arial"/>
                <w:color w:val="000000"/>
                <w:sz w:val="18"/>
                <w:szCs w:val="18"/>
                <w:lang w:val="en-GB"/>
              </w:rPr>
              <w:t>/</w:t>
            </w:r>
            <w:r w:rsidRPr="003868A6">
              <w:rPr>
                <w:rFonts w:ascii="楷体" w:eastAsia="楷体" w:hAnsi="楷体" w:cs="Arial" w:hint="eastAsia"/>
                <w:color w:val="000000"/>
                <w:sz w:val="18"/>
                <w:szCs w:val="18"/>
                <w:lang w:val="en-GB"/>
              </w:rPr>
              <w:t>化药</w:t>
            </w:r>
            <w:r w:rsidRPr="003868A6">
              <w:rPr>
                <w:rFonts w:ascii="楷体" w:eastAsia="楷体" w:hAnsi="楷体" w:cs="Arial"/>
                <w:color w:val="000000"/>
                <w:sz w:val="18"/>
                <w:szCs w:val="18"/>
                <w:lang w:val="en-GB"/>
              </w:rPr>
              <w:t>/</w:t>
            </w:r>
            <w:r w:rsidRPr="003868A6">
              <w:rPr>
                <w:rFonts w:ascii="楷体" w:eastAsia="楷体" w:hAnsi="楷体" w:cs="Arial" w:hint="eastAsia"/>
                <w:color w:val="000000"/>
                <w:sz w:val="18"/>
                <w:szCs w:val="18"/>
                <w:lang w:val="en-GB"/>
              </w:rPr>
              <w:t>中成药等公司，领涨较大多为市值小且估值低的个股。投资者需注意在大幅上涨后，波动风险也加大，因此注重基本面良好且估值合理十分必要。</w:t>
            </w:r>
            <w:r w:rsidRPr="003868A6">
              <w:rPr>
                <w:rFonts w:ascii="楷体" w:eastAsia="楷体" w:hAnsi="楷体" w:cs="Arial"/>
                <w:color w:val="000000"/>
                <w:sz w:val="18"/>
                <w:szCs w:val="18"/>
                <w:lang w:val="en-GB"/>
              </w:rPr>
              <w:t xml:space="preserve"> </w:t>
            </w:r>
          </w:p>
        </w:tc>
      </w:tr>
      <w:tr w:rsidR="00A14A34" w:rsidRPr="00035682" w:rsidTr="003868A6">
        <w:trPr>
          <w:cantSplit/>
          <w:trHeight w:val="463"/>
        </w:trPr>
        <w:tc>
          <w:tcPr>
            <w:tcW w:w="5387" w:type="dxa"/>
            <w:tcBorders>
              <w:right w:val="single" w:sz="6" w:space="0" w:color="FF6600"/>
            </w:tcBorders>
            <w:vAlign w:val="center"/>
          </w:tcPr>
          <w:p w:rsidR="00A14A34" w:rsidRPr="003868A6" w:rsidRDefault="00A14A34" w:rsidP="003868A6">
            <w:pPr>
              <w:pStyle w:val="NormalWeb"/>
              <w:snapToGrid w:val="0"/>
              <w:rPr>
                <w:rFonts w:ascii="楷体" w:eastAsia="楷体" w:hAnsi="楷体" w:cs="Arial"/>
                <w:color w:val="000000"/>
                <w:sz w:val="18"/>
                <w:szCs w:val="18"/>
                <w:lang w:val="en-GB"/>
              </w:rPr>
            </w:pPr>
            <w:r w:rsidRPr="003868A6">
              <w:rPr>
                <w:rFonts w:ascii="楷体" w:eastAsia="楷体" w:hAnsi="楷体" w:cs="Arial" w:hint="eastAsia"/>
                <w:color w:val="000000"/>
                <w:sz w:val="18"/>
                <w:szCs w:val="18"/>
                <w:lang w:val="en-GB"/>
              </w:rPr>
              <w:t>港交所</w:t>
            </w:r>
            <w:r w:rsidRPr="003868A6">
              <w:rPr>
                <w:rFonts w:ascii="楷体" w:eastAsia="楷体" w:hAnsi="楷体" w:cs="Arial"/>
                <w:color w:val="000000"/>
                <w:sz w:val="18"/>
                <w:szCs w:val="18"/>
                <w:lang w:val="en-GB"/>
              </w:rPr>
              <w:t>10</w:t>
            </w:r>
            <w:r w:rsidRPr="003868A6">
              <w:rPr>
                <w:rFonts w:ascii="楷体" w:eastAsia="楷体" w:hAnsi="楷体" w:cs="Arial" w:hint="eastAsia"/>
                <w:color w:val="000000"/>
                <w:sz w:val="18"/>
                <w:szCs w:val="18"/>
                <w:lang w:val="en-GB"/>
              </w:rPr>
              <w:t>月</w:t>
            </w:r>
            <w:r w:rsidRPr="003868A6">
              <w:rPr>
                <w:rFonts w:ascii="楷体" w:eastAsia="楷体" w:hAnsi="楷体" w:cs="Arial"/>
                <w:color w:val="000000"/>
                <w:sz w:val="18"/>
                <w:szCs w:val="18"/>
                <w:lang w:val="en-GB"/>
              </w:rPr>
              <w:t>26</w:t>
            </w:r>
            <w:r w:rsidRPr="003868A6">
              <w:rPr>
                <w:rFonts w:ascii="楷体" w:eastAsia="楷体" w:hAnsi="楷体" w:cs="Arial" w:hint="eastAsia"/>
                <w:color w:val="000000"/>
                <w:sz w:val="18"/>
                <w:szCs w:val="18"/>
                <w:lang w:val="en-GB"/>
              </w:rPr>
              <w:t>日公告称尚未取得启动沪港通的相关批准，因此并无实施沪港通的确实日期。</w:t>
            </w:r>
          </w:p>
        </w:tc>
        <w:tc>
          <w:tcPr>
            <w:tcW w:w="5812" w:type="dxa"/>
            <w:tcBorders>
              <w:left w:val="single" w:sz="6" w:space="0" w:color="FF6600"/>
            </w:tcBorders>
            <w:vAlign w:val="center"/>
          </w:tcPr>
          <w:p w:rsidR="00A14A34" w:rsidRPr="003868A6" w:rsidRDefault="00A14A34" w:rsidP="003868A6">
            <w:pPr>
              <w:pStyle w:val="NormalWeb"/>
              <w:snapToGrid w:val="0"/>
              <w:rPr>
                <w:rFonts w:ascii="楷体" w:eastAsia="楷体" w:hAnsi="楷体" w:cs="Arial"/>
                <w:color w:val="000000"/>
                <w:sz w:val="18"/>
                <w:szCs w:val="18"/>
                <w:lang w:val="en-GB"/>
              </w:rPr>
            </w:pPr>
            <w:r w:rsidRPr="003868A6">
              <w:rPr>
                <w:rFonts w:ascii="楷体" w:eastAsia="楷体" w:hAnsi="楷体" w:cs="Arial" w:hint="eastAsia"/>
                <w:color w:val="000000"/>
                <w:sz w:val="18"/>
                <w:szCs w:val="18"/>
                <w:lang w:val="en-GB"/>
              </w:rPr>
              <w:t>沪港通延期可能利空</w:t>
            </w:r>
            <w:r w:rsidRPr="003868A6">
              <w:rPr>
                <w:rFonts w:ascii="楷体" w:eastAsia="楷体" w:hAnsi="楷体" w:cs="Arial"/>
                <w:color w:val="000000"/>
                <w:sz w:val="18"/>
                <w:szCs w:val="18"/>
                <w:lang w:val="en-GB"/>
              </w:rPr>
              <w:t>A</w:t>
            </w:r>
            <w:r w:rsidRPr="003868A6">
              <w:rPr>
                <w:rFonts w:ascii="楷体" w:eastAsia="楷体" w:hAnsi="楷体" w:cs="Arial" w:hint="eastAsia"/>
                <w:color w:val="000000"/>
                <w:sz w:val="18"/>
                <w:szCs w:val="18"/>
                <w:lang w:val="en-GB"/>
              </w:rPr>
              <w:t>股和</w:t>
            </w:r>
            <w:r w:rsidRPr="003868A6">
              <w:rPr>
                <w:rFonts w:ascii="楷体" w:eastAsia="楷体" w:hAnsi="楷体" w:cs="Arial"/>
                <w:color w:val="000000"/>
                <w:sz w:val="18"/>
                <w:szCs w:val="18"/>
                <w:lang w:val="en-GB"/>
              </w:rPr>
              <w:t>H</w:t>
            </w:r>
            <w:r w:rsidRPr="003868A6">
              <w:rPr>
                <w:rFonts w:ascii="楷体" w:eastAsia="楷体" w:hAnsi="楷体" w:cs="Arial" w:hint="eastAsia"/>
                <w:color w:val="000000"/>
                <w:sz w:val="18"/>
                <w:szCs w:val="18"/>
                <w:lang w:val="en-GB"/>
              </w:rPr>
              <w:t>股，但总体上对市场影响不大。由于前期炒作较久，其启动对于</w:t>
            </w:r>
            <w:r w:rsidRPr="003868A6">
              <w:rPr>
                <w:rFonts w:ascii="楷体" w:eastAsia="楷体" w:hAnsi="楷体" w:cs="Arial"/>
                <w:color w:val="000000"/>
                <w:sz w:val="18"/>
                <w:szCs w:val="18"/>
                <w:lang w:val="en-GB"/>
              </w:rPr>
              <w:t>A</w:t>
            </w:r>
            <w:r w:rsidRPr="003868A6">
              <w:rPr>
                <w:rFonts w:ascii="楷体" w:eastAsia="楷体" w:hAnsi="楷体" w:cs="Arial" w:hint="eastAsia"/>
                <w:color w:val="000000"/>
                <w:sz w:val="18"/>
                <w:szCs w:val="18"/>
                <w:lang w:val="en-GB"/>
              </w:rPr>
              <w:t>股不会有大激励，延期时间较长可能导致市场波动程度</w:t>
            </w:r>
            <w:r>
              <w:rPr>
                <w:rFonts w:ascii="楷体" w:eastAsia="楷体" w:hAnsi="楷体" w:cs="Arial" w:hint="eastAsia"/>
                <w:color w:val="000000"/>
                <w:sz w:val="18"/>
                <w:szCs w:val="18"/>
                <w:lang w:val="en-GB"/>
              </w:rPr>
              <w:t>较大，但</w:t>
            </w:r>
            <w:r w:rsidRPr="003868A6">
              <w:rPr>
                <w:rFonts w:ascii="楷体" w:eastAsia="楷体" w:hAnsi="楷体" w:cs="Arial" w:hint="eastAsia"/>
                <w:color w:val="000000"/>
                <w:sz w:val="18"/>
                <w:szCs w:val="18"/>
                <w:lang w:val="en-GB"/>
              </w:rPr>
              <w:t>作为一项国家政策，沪港通不会被无限延期。</w:t>
            </w:r>
          </w:p>
        </w:tc>
      </w:tr>
    </w:tbl>
    <w:p w:rsidR="00A14A34" w:rsidRPr="005B7CDB" w:rsidRDefault="00A14A34" w:rsidP="0069249C">
      <w:pPr>
        <w:pStyle w:val="FootnoteNoline"/>
        <w:ind w:left="0"/>
        <w:rPr>
          <w:rFonts w:ascii="楷体" w:eastAsia="楷体" w:hAnsi="楷体"/>
          <w:color w:val="FF6600"/>
          <w:lang w:val="en-US"/>
        </w:rPr>
      </w:pPr>
      <w:r w:rsidRPr="005B7CDB">
        <w:rPr>
          <w:rFonts w:ascii="楷体" w:eastAsia="楷体" w:hAnsi="楷体" w:hint="eastAsia"/>
          <w:color w:val="FF6600"/>
          <w:lang w:val="en-US"/>
        </w:rPr>
        <w:t>来源：凯石财富工场</w:t>
      </w:r>
    </w:p>
    <w:p w:rsidR="00A14A34" w:rsidRPr="005B7CDB" w:rsidRDefault="00A14A34" w:rsidP="006A5488">
      <w:pPr>
        <w:widowControl/>
        <w:spacing w:after="120"/>
        <w:ind w:left="3430"/>
        <w:rPr>
          <w:rFonts w:ascii="楷体" w:eastAsia="楷体" w:hAnsi="楷体"/>
          <w:b/>
          <w:bCs/>
          <w:color w:val="0070C0"/>
          <w:kern w:val="0"/>
          <w:sz w:val="24"/>
          <w:szCs w:val="20"/>
          <w:lang w:val="en-GB"/>
        </w:rPr>
      </w:pPr>
      <w:r w:rsidRPr="005B7CDB">
        <w:rPr>
          <w:rFonts w:ascii="楷体" w:eastAsia="楷体" w:hAnsi="楷体" w:hint="eastAsia"/>
          <w:b/>
          <w:bCs/>
          <w:color w:val="0070C0"/>
          <w:kern w:val="0"/>
          <w:sz w:val="24"/>
          <w:szCs w:val="20"/>
          <w:lang w:val="en-GB"/>
        </w:rPr>
        <w:t>公募基金一周业绩：</w:t>
      </w:r>
    </w:p>
    <w:p w:rsidR="00A14A34" w:rsidRPr="00EE366B" w:rsidRDefault="00A14A34" w:rsidP="00EE366B">
      <w:pPr>
        <w:widowControl/>
        <w:spacing w:after="120"/>
        <w:ind w:left="3430"/>
        <w:rPr>
          <w:rFonts w:ascii="楷体" w:eastAsia="楷体" w:hAnsi="楷体"/>
          <w:b/>
          <w:bCs/>
          <w:color w:val="0070C0"/>
          <w:kern w:val="0"/>
          <w:szCs w:val="21"/>
          <w:lang w:val="en-GB"/>
        </w:rPr>
      </w:pPr>
      <w:r w:rsidRPr="005B7CDB">
        <w:rPr>
          <w:rFonts w:ascii="楷体" w:eastAsia="楷体" w:hAnsi="楷体" w:hint="eastAsia"/>
          <w:b/>
          <w:bCs/>
          <w:color w:val="0070C0"/>
          <w:kern w:val="0"/>
          <w:szCs w:val="21"/>
          <w:lang w:val="en-GB"/>
        </w:rPr>
        <w:t>国内外股市一周表现：</w:t>
      </w:r>
      <w:r w:rsidRPr="005B7CDB">
        <w:rPr>
          <w:rFonts w:ascii="楷体" w:eastAsia="楷体" w:hAnsi="楷体"/>
          <w:b/>
          <w:bCs/>
          <w:color w:val="0070C0"/>
          <w:kern w:val="0"/>
          <w:szCs w:val="21"/>
          <w:lang w:val="en-GB"/>
        </w:rPr>
        <w:t xml:space="preserve"> </w:t>
      </w:r>
      <w:r>
        <w:rPr>
          <w:rFonts w:ascii="楷体" w:eastAsia="楷体" w:hAnsi="楷体"/>
          <w:b/>
          <w:bCs/>
          <w:color w:val="0070C0"/>
          <w:kern w:val="0"/>
          <w:szCs w:val="21"/>
          <w:lang w:val="en-GB"/>
        </w:rPr>
        <w:t>A</w:t>
      </w:r>
      <w:r>
        <w:rPr>
          <w:rFonts w:ascii="楷体" w:eastAsia="楷体" w:hAnsi="楷体" w:hint="eastAsia"/>
          <w:b/>
          <w:bCs/>
          <w:color w:val="0070C0"/>
          <w:kern w:val="0"/>
          <w:szCs w:val="21"/>
          <w:lang w:val="en-GB"/>
        </w:rPr>
        <w:t>股震荡下探，海外市场普涨</w:t>
      </w:r>
    </w:p>
    <w:p w:rsidR="00A14A34" w:rsidRPr="00D24882" w:rsidRDefault="00A14A34" w:rsidP="00D24882">
      <w:pPr>
        <w:pStyle w:val="BodyText"/>
        <w:numPr>
          <w:ilvl w:val="4"/>
          <w:numId w:val="1"/>
        </w:numPr>
        <w:spacing w:after="163"/>
        <w:rPr>
          <w:rFonts w:ascii="楷体" w:eastAsia="楷体" w:hAnsi="楷体" w:cs="Arial"/>
          <w:szCs w:val="21"/>
        </w:rPr>
      </w:pPr>
      <w:r w:rsidRPr="00C20A70">
        <w:rPr>
          <w:rFonts w:ascii="楷体" w:eastAsia="楷体" w:hAnsi="楷体" w:cs="Arial" w:hint="eastAsia"/>
          <w:szCs w:val="21"/>
        </w:rPr>
        <w:t>截至</w:t>
      </w:r>
      <w:r w:rsidRPr="00C20A70">
        <w:rPr>
          <w:rFonts w:ascii="楷体" w:eastAsia="楷体" w:hAnsi="楷体" w:cs="Arial"/>
          <w:szCs w:val="21"/>
        </w:rPr>
        <w:t>10</w:t>
      </w:r>
      <w:r w:rsidRPr="00C20A70">
        <w:rPr>
          <w:rFonts w:ascii="楷体" w:eastAsia="楷体" w:hAnsi="楷体" w:cs="Arial" w:hint="eastAsia"/>
          <w:szCs w:val="21"/>
        </w:rPr>
        <w:t>月</w:t>
      </w:r>
      <w:r w:rsidRPr="00C20A70">
        <w:rPr>
          <w:rFonts w:ascii="楷体" w:eastAsia="楷体" w:hAnsi="楷体" w:cs="Arial"/>
          <w:szCs w:val="21"/>
        </w:rPr>
        <w:t>24</w:t>
      </w:r>
      <w:r w:rsidRPr="00C20A70">
        <w:rPr>
          <w:rFonts w:ascii="楷体" w:eastAsia="楷体" w:hAnsi="楷体" w:cs="Arial" w:hint="eastAsia"/>
          <w:szCs w:val="21"/>
        </w:rPr>
        <w:t>日的一周，</w:t>
      </w:r>
      <w:r w:rsidRPr="00C20A70">
        <w:rPr>
          <w:rFonts w:ascii="楷体" w:eastAsia="楷体" w:hAnsi="楷体" w:cs="Arial"/>
          <w:szCs w:val="21"/>
        </w:rPr>
        <w:t>A</w:t>
      </w:r>
      <w:r w:rsidRPr="00C20A70">
        <w:rPr>
          <w:rFonts w:ascii="楷体" w:eastAsia="楷体" w:hAnsi="楷体" w:cs="Arial" w:hint="eastAsia"/>
          <w:szCs w:val="21"/>
        </w:rPr>
        <w:t>股</w:t>
      </w:r>
      <w:r w:rsidRPr="00C20A70">
        <w:rPr>
          <w:rFonts w:ascii="楷体" w:eastAsia="楷体" w:hAnsi="楷体" w:hint="eastAsia"/>
          <w:szCs w:val="21"/>
        </w:rPr>
        <w:t>缩量探底，</w:t>
      </w:r>
      <w:r w:rsidRPr="00C20A70">
        <w:rPr>
          <w:rFonts w:ascii="楷体" w:eastAsia="楷体" w:hAnsi="楷体" w:cs="Arial" w:hint="eastAsia"/>
          <w:szCs w:val="21"/>
        </w:rPr>
        <w:t>震荡下行，各大指数普遍下跌。上证指数和沪深</w:t>
      </w:r>
      <w:r w:rsidRPr="00C20A70">
        <w:rPr>
          <w:rFonts w:ascii="楷体" w:eastAsia="楷体" w:hAnsi="楷体" w:cs="Arial"/>
          <w:szCs w:val="21"/>
        </w:rPr>
        <w:t>300</w:t>
      </w:r>
      <w:r w:rsidRPr="00C20A70">
        <w:rPr>
          <w:rFonts w:ascii="楷体" w:eastAsia="楷体" w:hAnsi="楷体" w:cs="Arial" w:hint="eastAsia"/>
          <w:szCs w:val="21"/>
        </w:rPr>
        <w:t>分别周跌</w:t>
      </w:r>
      <w:r w:rsidRPr="00C20A70">
        <w:rPr>
          <w:rFonts w:ascii="楷体" w:eastAsia="楷体" w:hAnsi="楷体" w:cs="Arial"/>
          <w:szCs w:val="21"/>
        </w:rPr>
        <w:t>1.66%</w:t>
      </w:r>
      <w:r w:rsidRPr="00C20A70">
        <w:rPr>
          <w:rFonts w:ascii="楷体" w:eastAsia="楷体" w:hAnsi="楷体" w:cs="Arial" w:hint="eastAsia"/>
          <w:szCs w:val="21"/>
        </w:rPr>
        <w:t>和</w:t>
      </w:r>
      <w:r w:rsidRPr="00C20A70">
        <w:rPr>
          <w:rFonts w:ascii="楷体" w:eastAsia="楷体" w:hAnsi="楷体" w:cs="Arial"/>
          <w:szCs w:val="21"/>
        </w:rPr>
        <w:t>2.09%</w:t>
      </w:r>
      <w:r w:rsidRPr="00C20A70">
        <w:rPr>
          <w:rFonts w:ascii="楷体" w:eastAsia="楷体" w:hAnsi="楷体" w:cs="Arial" w:hint="eastAsia"/>
          <w:szCs w:val="21"/>
        </w:rPr>
        <w:t>，创业板指和中小板指分别</w:t>
      </w:r>
      <w:r>
        <w:rPr>
          <w:rFonts w:ascii="楷体" w:eastAsia="楷体" w:hAnsi="楷体" w:cs="Arial" w:hint="eastAsia"/>
          <w:szCs w:val="21"/>
        </w:rPr>
        <w:t>周</w:t>
      </w:r>
      <w:r w:rsidRPr="00C20A70">
        <w:rPr>
          <w:rFonts w:ascii="楷体" w:eastAsia="楷体" w:hAnsi="楷体" w:cs="Arial" w:hint="eastAsia"/>
          <w:szCs w:val="21"/>
        </w:rPr>
        <w:t>跌</w:t>
      </w:r>
      <w:r w:rsidRPr="00C20A70">
        <w:rPr>
          <w:rFonts w:ascii="楷体" w:eastAsia="楷体" w:hAnsi="楷体" w:cs="Arial"/>
          <w:szCs w:val="21"/>
        </w:rPr>
        <w:t>2.21%</w:t>
      </w:r>
      <w:r w:rsidRPr="00C20A70">
        <w:rPr>
          <w:rFonts w:ascii="楷体" w:eastAsia="楷体" w:hAnsi="楷体" w:cs="Arial" w:hint="eastAsia"/>
          <w:szCs w:val="21"/>
        </w:rPr>
        <w:t>和</w:t>
      </w:r>
      <w:r w:rsidRPr="00C20A70">
        <w:rPr>
          <w:rFonts w:ascii="楷体" w:eastAsia="楷体" w:hAnsi="楷体" w:cs="Arial"/>
          <w:szCs w:val="21"/>
        </w:rPr>
        <w:t>1.25%</w:t>
      </w:r>
      <w:r w:rsidRPr="00C20A70">
        <w:rPr>
          <w:rFonts w:ascii="楷体" w:eastAsia="楷体" w:hAnsi="楷体" w:cs="Arial" w:hint="eastAsia"/>
          <w:szCs w:val="21"/>
        </w:rPr>
        <w:t>。</w:t>
      </w:r>
      <w:r w:rsidRPr="00C20A70">
        <w:rPr>
          <w:rFonts w:ascii="楷体" w:eastAsia="楷体" w:hAnsi="楷体" w:cs="Arial"/>
          <w:szCs w:val="21"/>
        </w:rPr>
        <w:t>29</w:t>
      </w:r>
      <w:r w:rsidRPr="00C20A70">
        <w:rPr>
          <w:rFonts w:ascii="楷体" w:eastAsia="楷体" w:hAnsi="楷体" w:cs="Arial" w:hint="eastAsia"/>
          <w:szCs w:val="21"/>
        </w:rPr>
        <w:t>个中信一级行业全数下跌，超半数行业跌幅大于</w:t>
      </w:r>
      <w:r w:rsidRPr="00C20A70">
        <w:rPr>
          <w:rFonts w:ascii="楷体" w:eastAsia="楷体" w:hAnsi="楷体" w:cs="Arial"/>
          <w:szCs w:val="21"/>
        </w:rPr>
        <w:t>2%</w:t>
      </w:r>
      <w:r>
        <w:rPr>
          <w:rFonts w:ascii="楷体" w:eastAsia="楷体" w:hAnsi="楷体" w:cs="Arial" w:hint="eastAsia"/>
          <w:szCs w:val="21"/>
        </w:rPr>
        <w:t>，</w:t>
      </w:r>
      <w:r w:rsidRPr="00C20A70">
        <w:rPr>
          <w:rFonts w:ascii="楷体" w:eastAsia="楷体" w:hAnsi="楷体" w:cs="Arial" w:hint="eastAsia"/>
          <w:szCs w:val="21"/>
        </w:rPr>
        <w:t>跌幅最小的是计算机（</w:t>
      </w:r>
      <w:r w:rsidRPr="00C20A70">
        <w:rPr>
          <w:rFonts w:ascii="楷体" w:eastAsia="楷体" w:hAnsi="楷体" w:cs="Arial"/>
          <w:szCs w:val="21"/>
        </w:rPr>
        <w:t>-0.39%</w:t>
      </w:r>
      <w:r w:rsidRPr="00C20A70">
        <w:rPr>
          <w:rFonts w:ascii="楷体" w:eastAsia="楷体" w:hAnsi="楷体" w:cs="Arial" w:hint="eastAsia"/>
          <w:szCs w:val="21"/>
        </w:rPr>
        <w:t>），跌幅最大的是钢铁（</w:t>
      </w:r>
      <w:r w:rsidRPr="00C20A70">
        <w:rPr>
          <w:rFonts w:ascii="楷体" w:eastAsia="楷体" w:hAnsi="楷体" w:cs="Arial"/>
          <w:szCs w:val="21"/>
        </w:rPr>
        <w:t>-5.36%</w:t>
      </w:r>
      <w:r>
        <w:rPr>
          <w:rFonts w:ascii="楷体" w:eastAsia="楷体" w:hAnsi="楷体" w:cs="Arial" w:hint="eastAsia"/>
          <w:szCs w:val="21"/>
        </w:rPr>
        <w:t>）。</w:t>
      </w:r>
      <w:r w:rsidRPr="00C20A70">
        <w:rPr>
          <w:rFonts w:ascii="楷体" w:eastAsia="楷体" w:hAnsi="楷体" w:cs="Arial" w:hint="eastAsia"/>
          <w:szCs w:val="21"/>
        </w:rPr>
        <w:t>经济数据方面，</w:t>
      </w:r>
      <w:r>
        <w:rPr>
          <w:rFonts w:ascii="楷体" w:eastAsia="楷体" w:hAnsi="楷体" w:cs="Arial" w:hint="eastAsia"/>
          <w:szCs w:val="21"/>
        </w:rPr>
        <w:t>我国</w:t>
      </w:r>
      <w:r w:rsidRPr="00C20A70">
        <w:rPr>
          <w:rFonts w:ascii="楷体" w:eastAsia="楷体" w:hAnsi="楷体" w:cs="宋体" w:hint="eastAsia"/>
          <w:szCs w:val="21"/>
        </w:rPr>
        <w:t>前三季度国内生产总值</w:t>
      </w:r>
      <w:r>
        <w:rPr>
          <w:rFonts w:ascii="楷体" w:eastAsia="楷体" w:hAnsi="楷体" w:cs="宋体" w:hint="eastAsia"/>
          <w:szCs w:val="21"/>
        </w:rPr>
        <w:t>为</w:t>
      </w:r>
      <w:r w:rsidRPr="00C20A70">
        <w:rPr>
          <w:rFonts w:ascii="楷体" w:eastAsia="楷体" w:hAnsi="楷体" w:cs="宋体"/>
          <w:szCs w:val="21"/>
        </w:rPr>
        <w:t>419908</w:t>
      </w:r>
      <w:r>
        <w:rPr>
          <w:rFonts w:ascii="楷体" w:eastAsia="楷体" w:hAnsi="楷体" w:cs="宋体" w:hint="eastAsia"/>
          <w:szCs w:val="21"/>
        </w:rPr>
        <w:t>亿元</w:t>
      </w:r>
      <w:r w:rsidRPr="00C20A70">
        <w:rPr>
          <w:rFonts w:ascii="楷体" w:eastAsia="楷体" w:hAnsi="楷体" w:cs="宋体" w:hint="eastAsia"/>
          <w:szCs w:val="21"/>
        </w:rPr>
        <w:t>，同比增长</w:t>
      </w:r>
      <w:r w:rsidRPr="00C20A70">
        <w:rPr>
          <w:rFonts w:ascii="楷体" w:eastAsia="楷体" w:hAnsi="楷体" w:cs="宋体"/>
          <w:szCs w:val="21"/>
        </w:rPr>
        <w:t>7.4%</w:t>
      </w:r>
      <w:r w:rsidRPr="00C20A70">
        <w:rPr>
          <w:rFonts w:ascii="楷体" w:eastAsia="楷体" w:hAnsi="楷体" w:cs="宋体" w:hint="eastAsia"/>
          <w:szCs w:val="21"/>
        </w:rPr>
        <w:t>，分季度</w:t>
      </w:r>
      <w:r>
        <w:rPr>
          <w:rFonts w:ascii="楷体" w:eastAsia="楷体" w:hAnsi="楷体" w:cs="宋体" w:hint="eastAsia"/>
          <w:szCs w:val="21"/>
        </w:rPr>
        <w:t>来</w:t>
      </w:r>
      <w:r w:rsidRPr="00C20A70">
        <w:rPr>
          <w:rFonts w:ascii="楷体" w:eastAsia="楷体" w:hAnsi="楷体" w:cs="宋体" w:hint="eastAsia"/>
          <w:szCs w:val="21"/>
        </w:rPr>
        <w:t>看，一季度同比增长</w:t>
      </w:r>
      <w:r w:rsidRPr="00C20A70">
        <w:rPr>
          <w:rFonts w:ascii="楷体" w:eastAsia="楷体" w:hAnsi="楷体" w:cs="宋体"/>
          <w:szCs w:val="21"/>
        </w:rPr>
        <w:t>7.4%</w:t>
      </w:r>
      <w:r w:rsidRPr="00C20A70">
        <w:rPr>
          <w:rFonts w:ascii="楷体" w:eastAsia="楷体" w:hAnsi="楷体" w:cs="宋体" w:hint="eastAsia"/>
          <w:szCs w:val="21"/>
        </w:rPr>
        <w:t>，二季度</w:t>
      </w:r>
      <w:r>
        <w:rPr>
          <w:rFonts w:ascii="楷体" w:eastAsia="楷体" w:hAnsi="楷体" w:cs="宋体" w:hint="eastAsia"/>
          <w:szCs w:val="21"/>
        </w:rPr>
        <w:t>同比</w:t>
      </w:r>
      <w:r w:rsidRPr="00C20A70">
        <w:rPr>
          <w:rFonts w:ascii="楷体" w:eastAsia="楷体" w:hAnsi="楷体" w:cs="宋体" w:hint="eastAsia"/>
          <w:szCs w:val="21"/>
        </w:rPr>
        <w:t>增长</w:t>
      </w:r>
      <w:r w:rsidRPr="00C20A70">
        <w:rPr>
          <w:rFonts w:ascii="楷体" w:eastAsia="楷体" w:hAnsi="楷体" w:cs="宋体"/>
          <w:szCs w:val="21"/>
        </w:rPr>
        <w:t>7.5%</w:t>
      </w:r>
      <w:r w:rsidRPr="00C20A70">
        <w:rPr>
          <w:rFonts w:ascii="楷体" w:eastAsia="楷体" w:hAnsi="楷体" w:cs="宋体" w:hint="eastAsia"/>
          <w:szCs w:val="21"/>
        </w:rPr>
        <w:t>，三季度</w:t>
      </w:r>
      <w:r>
        <w:rPr>
          <w:rFonts w:ascii="楷体" w:eastAsia="楷体" w:hAnsi="楷体" w:cs="宋体" w:hint="eastAsia"/>
          <w:szCs w:val="21"/>
        </w:rPr>
        <w:t>同比</w:t>
      </w:r>
      <w:r w:rsidRPr="00C20A70">
        <w:rPr>
          <w:rFonts w:ascii="楷体" w:eastAsia="楷体" w:hAnsi="楷体" w:cs="宋体" w:hint="eastAsia"/>
          <w:szCs w:val="21"/>
        </w:rPr>
        <w:t>增长</w:t>
      </w:r>
      <w:r w:rsidRPr="00C20A70">
        <w:rPr>
          <w:rFonts w:ascii="楷体" w:eastAsia="楷体" w:hAnsi="楷体" w:cs="宋体"/>
          <w:szCs w:val="21"/>
        </w:rPr>
        <w:t>7.3%</w:t>
      </w:r>
      <w:r w:rsidRPr="00C20A70">
        <w:rPr>
          <w:rFonts w:ascii="楷体" w:eastAsia="楷体" w:hAnsi="楷体" w:cs="宋体" w:hint="eastAsia"/>
          <w:szCs w:val="21"/>
        </w:rPr>
        <w:t>，表明我国当前内需</w:t>
      </w:r>
      <w:r>
        <w:rPr>
          <w:rFonts w:ascii="楷体" w:eastAsia="楷体" w:hAnsi="楷体" w:cs="宋体" w:hint="eastAsia"/>
          <w:szCs w:val="21"/>
        </w:rPr>
        <w:t>依然</w:t>
      </w:r>
      <w:r w:rsidRPr="00C20A70">
        <w:rPr>
          <w:rFonts w:ascii="楷体" w:eastAsia="楷体" w:hAnsi="楷体" w:cs="宋体" w:hint="eastAsia"/>
          <w:szCs w:val="21"/>
        </w:rPr>
        <w:t>乏力。</w:t>
      </w:r>
    </w:p>
    <w:p w:rsidR="00A14A34" w:rsidRPr="00D24882" w:rsidRDefault="00A14A34" w:rsidP="005A3FE7">
      <w:pPr>
        <w:pStyle w:val="BodyText"/>
        <w:numPr>
          <w:ilvl w:val="4"/>
          <w:numId w:val="1"/>
        </w:numPr>
        <w:spacing w:after="163"/>
        <w:rPr>
          <w:rFonts w:ascii="楷体" w:eastAsia="楷体" w:hAnsi="楷体" w:cs="Arial"/>
          <w:szCs w:val="21"/>
        </w:rPr>
      </w:pPr>
      <w:r w:rsidRPr="00D24882">
        <w:rPr>
          <w:rFonts w:ascii="楷体" w:eastAsia="楷体" w:hAnsi="楷体" w:cs="Arial" w:hint="eastAsia"/>
          <w:szCs w:val="21"/>
        </w:rPr>
        <w:t>海外市场（</w:t>
      </w:r>
      <w:r>
        <w:rPr>
          <w:rFonts w:ascii="楷体" w:eastAsia="楷体" w:hAnsi="楷体" w:cs="Arial"/>
          <w:szCs w:val="21"/>
        </w:rPr>
        <w:t>2014.10.17~2014.10.23</w:t>
      </w:r>
      <w:r>
        <w:rPr>
          <w:rFonts w:ascii="楷体" w:eastAsia="楷体" w:hAnsi="楷体" w:cs="Arial" w:hint="eastAsia"/>
          <w:szCs w:val="21"/>
        </w:rPr>
        <w:t>），尽管</w:t>
      </w:r>
      <w:r w:rsidRPr="00D24882">
        <w:rPr>
          <w:rFonts w:ascii="楷体" w:eastAsia="楷体" w:hAnsi="楷体" w:cs="宋体" w:hint="eastAsia"/>
          <w:szCs w:val="21"/>
        </w:rPr>
        <w:t>美国</w:t>
      </w:r>
      <w:r w:rsidRPr="00D24882">
        <w:rPr>
          <w:rFonts w:ascii="楷体" w:eastAsia="楷体" w:hAnsi="楷体" w:cs="宋体"/>
          <w:szCs w:val="21"/>
        </w:rPr>
        <w:t>9</w:t>
      </w:r>
      <w:r w:rsidRPr="00D24882">
        <w:rPr>
          <w:rFonts w:ascii="楷体" w:eastAsia="楷体" w:hAnsi="楷体" w:cs="宋体" w:hint="eastAsia"/>
          <w:szCs w:val="21"/>
        </w:rPr>
        <w:t>月原油价格环比下降</w:t>
      </w:r>
      <w:r w:rsidRPr="00D24882">
        <w:rPr>
          <w:rFonts w:ascii="楷体" w:eastAsia="楷体" w:hAnsi="楷体" w:cs="宋体"/>
          <w:szCs w:val="21"/>
        </w:rPr>
        <w:t>1%</w:t>
      </w:r>
      <w:r>
        <w:rPr>
          <w:rFonts w:ascii="楷体" w:eastAsia="楷体" w:hAnsi="楷体" w:cs="宋体" w:hint="eastAsia"/>
          <w:szCs w:val="21"/>
        </w:rPr>
        <w:t>，但受食品价格拉动，美国</w:t>
      </w:r>
      <w:r w:rsidRPr="00D24882">
        <w:rPr>
          <w:rFonts w:ascii="楷体" w:eastAsia="楷体" w:hAnsi="楷体" w:cs="宋体"/>
          <w:szCs w:val="21"/>
        </w:rPr>
        <w:t>9</w:t>
      </w:r>
      <w:r w:rsidRPr="00D24882">
        <w:rPr>
          <w:rFonts w:ascii="楷体" w:eastAsia="楷体" w:hAnsi="楷体" w:cs="宋体" w:hint="eastAsia"/>
          <w:szCs w:val="21"/>
        </w:rPr>
        <w:t>月未季调</w:t>
      </w:r>
      <w:r w:rsidRPr="00D24882">
        <w:rPr>
          <w:rFonts w:ascii="楷体" w:eastAsia="楷体" w:hAnsi="楷体" w:cs="宋体"/>
          <w:szCs w:val="21"/>
        </w:rPr>
        <w:t>CPI</w:t>
      </w:r>
      <w:r w:rsidRPr="00D24882">
        <w:rPr>
          <w:rFonts w:ascii="楷体" w:eastAsia="楷体" w:hAnsi="楷体" w:cs="宋体" w:hint="eastAsia"/>
          <w:szCs w:val="21"/>
        </w:rPr>
        <w:t>年率增长</w:t>
      </w:r>
      <w:r w:rsidRPr="00D24882">
        <w:rPr>
          <w:rFonts w:ascii="楷体" w:eastAsia="楷体" w:hAnsi="楷体" w:cs="宋体"/>
          <w:szCs w:val="21"/>
        </w:rPr>
        <w:t>1.7%</w:t>
      </w:r>
      <w:r w:rsidRPr="00D24882">
        <w:rPr>
          <w:rFonts w:ascii="楷体" w:eastAsia="楷体" w:hAnsi="楷体" w:cs="宋体" w:hint="eastAsia"/>
          <w:szCs w:val="21"/>
        </w:rPr>
        <w:t>，超过预期的</w:t>
      </w:r>
      <w:r w:rsidRPr="00D24882">
        <w:rPr>
          <w:rFonts w:ascii="楷体" w:eastAsia="楷体" w:hAnsi="楷体" w:cs="宋体"/>
          <w:szCs w:val="21"/>
        </w:rPr>
        <w:t>1.6%</w:t>
      </w:r>
      <w:r w:rsidRPr="00D24882">
        <w:rPr>
          <w:rFonts w:ascii="楷体" w:eastAsia="楷体" w:hAnsi="楷体" w:cs="宋体" w:hint="eastAsia"/>
          <w:szCs w:val="21"/>
        </w:rPr>
        <w:t>，季调后</w:t>
      </w:r>
      <w:r w:rsidRPr="00D24882">
        <w:rPr>
          <w:rFonts w:ascii="楷体" w:eastAsia="楷体" w:hAnsi="楷体" w:cs="宋体"/>
          <w:szCs w:val="21"/>
        </w:rPr>
        <w:t>CPI</w:t>
      </w:r>
      <w:r w:rsidRPr="00D24882">
        <w:rPr>
          <w:rFonts w:ascii="楷体" w:eastAsia="楷体" w:hAnsi="楷体" w:cs="宋体" w:hint="eastAsia"/>
          <w:szCs w:val="21"/>
        </w:rPr>
        <w:t>月率增长</w:t>
      </w:r>
      <w:r w:rsidRPr="00D24882">
        <w:rPr>
          <w:rFonts w:ascii="楷体" w:eastAsia="楷体" w:hAnsi="楷体" w:cs="宋体"/>
          <w:szCs w:val="21"/>
        </w:rPr>
        <w:t>0.1%</w:t>
      </w:r>
      <w:r>
        <w:rPr>
          <w:rFonts w:ascii="楷体" w:eastAsia="楷体" w:hAnsi="楷体" w:cs="宋体" w:hint="eastAsia"/>
          <w:szCs w:val="21"/>
        </w:rPr>
        <w:t>，与预期持平。</w:t>
      </w:r>
      <w:r w:rsidRPr="00D24882">
        <w:rPr>
          <w:rFonts w:ascii="楷体" w:eastAsia="楷体" w:hAnsi="楷体" w:hint="eastAsia"/>
          <w:szCs w:val="21"/>
        </w:rPr>
        <w:t>欧元区</w:t>
      </w:r>
      <w:r w:rsidRPr="00D24882">
        <w:rPr>
          <w:rFonts w:ascii="楷体" w:eastAsia="楷体" w:hAnsi="楷体"/>
          <w:szCs w:val="21"/>
        </w:rPr>
        <w:t>10</w:t>
      </w:r>
      <w:r w:rsidRPr="00D24882">
        <w:rPr>
          <w:rFonts w:ascii="楷体" w:eastAsia="楷体" w:hAnsi="楷体" w:hint="eastAsia"/>
          <w:szCs w:val="21"/>
        </w:rPr>
        <w:t>月制造业</w:t>
      </w:r>
      <w:r w:rsidRPr="00D24882">
        <w:rPr>
          <w:rFonts w:ascii="楷体" w:eastAsia="楷体" w:hAnsi="楷体"/>
          <w:szCs w:val="21"/>
        </w:rPr>
        <w:t>PMI</w:t>
      </w:r>
      <w:r w:rsidRPr="00D24882">
        <w:rPr>
          <w:rFonts w:ascii="楷体" w:eastAsia="楷体" w:hAnsi="楷体" w:hint="eastAsia"/>
          <w:szCs w:val="21"/>
        </w:rPr>
        <w:t>初值</w:t>
      </w:r>
      <w:r>
        <w:rPr>
          <w:rFonts w:ascii="楷体" w:eastAsia="楷体" w:hAnsi="楷体" w:hint="eastAsia"/>
          <w:szCs w:val="21"/>
        </w:rPr>
        <w:t>为</w:t>
      </w:r>
      <w:r w:rsidRPr="00D24882">
        <w:rPr>
          <w:rFonts w:ascii="楷体" w:eastAsia="楷体" w:hAnsi="楷体"/>
          <w:szCs w:val="21"/>
        </w:rPr>
        <w:t>50.7</w:t>
      </w:r>
      <w:r w:rsidRPr="00D24882">
        <w:rPr>
          <w:rFonts w:ascii="楷体" w:eastAsia="楷体" w:hAnsi="楷体" w:hint="eastAsia"/>
          <w:szCs w:val="21"/>
        </w:rPr>
        <w:t>，好于预期的</w:t>
      </w:r>
      <w:r w:rsidRPr="00D24882">
        <w:rPr>
          <w:rFonts w:ascii="楷体" w:eastAsia="楷体" w:hAnsi="楷体"/>
          <w:szCs w:val="21"/>
        </w:rPr>
        <w:t>49.9</w:t>
      </w:r>
      <w:r w:rsidRPr="00D24882">
        <w:rPr>
          <w:rFonts w:ascii="楷体" w:eastAsia="楷体" w:hAnsi="楷体" w:hint="eastAsia"/>
          <w:szCs w:val="21"/>
        </w:rPr>
        <w:t>，</w:t>
      </w:r>
      <w:r>
        <w:rPr>
          <w:rFonts w:ascii="楷体" w:eastAsia="楷体" w:hAnsi="楷体" w:hint="eastAsia"/>
          <w:szCs w:val="21"/>
        </w:rPr>
        <w:t>好于</w:t>
      </w:r>
      <w:r w:rsidRPr="00D24882">
        <w:rPr>
          <w:rFonts w:ascii="楷体" w:eastAsia="楷体" w:hAnsi="楷体"/>
          <w:szCs w:val="21"/>
        </w:rPr>
        <w:t>9</w:t>
      </w:r>
      <w:r>
        <w:rPr>
          <w:rFonts w:ascii="楷体" w:eastAsia="楷体" w:hAnsi="楷体" w:hint="eastAsia"/>
          <w:szCs w:val="21"/>
        </w:rPr>
        <w:t>月终值</w:t>
      </w:r>
      <w:r w:rsidRPr="00D24882">
        <w:rPr>
          <w:rFonts w:ascii="楷体" w:eastAsia="楷体" w:hAnsi="楷体"/>
          <w:szCs w:val="21"/>
        </w:rPr>
        <w:t>50.3</w:t>
      </w:r>
      <w:r w:rsidRPr="00D24882">
        <w:rPr>
          <w:rFonts w:ascii="楷体" w:eastAsia="楷体" w:hAnsi="楷体" w:hint="eastAsia"/>
          <w:szCs w:val="21"/>
        </w:rPr>
        <w:t>，</w:t>
      </w:r>
      <w:r>
        <w:rPr>
          <w:rFonts w:ascii="楷体" w:eastAsia="楷体" w:hAnsi="楷体" w:hint="eastAsia"/>
          <w:szCs w:val="21"/>
        </w:rPr>
        <w:t>但欧元区</w:t>
      </w:r>
      <w:r w:rsidRPr="00D24882">
        <w:rPr>
          <w:rFonts w:ascii="楷体" w:eastAsia="楷体" w:hAnsi="楷体" w:hint="eastAsia"/>
          <w:szCs w:val="21"/>
        </w:rPr>
        <w:t>经济下行风险依然存在。</w:t>
      </w:r>
      <w:r>
        <w:rPr>
          <w:rFonts w:ascii="楷体" w:eastAsia="楷体" w:hAnsi="楷体" w:cs="宋体" w:hint="eastAsia"/>
          <w:szCs w:val="21"/>
        </w:rPr>
        <w:t>股市方面，</w:t>
      </w:r>
      <w:r w:rsidRPr="00D24882">
        <w:rPr>
          <w:rFonts w:ascii="楷体" w:eastAsia="楷体" w:hAnsi="楷体" w:cs="Arial" w:hint="eastAsia"/>
          <w:szCs w:val="21"/>
        </w:rPr>
        <w:t>美股</w:t>
      </w:r>
      <w:r w:rsidRPr="00D24882">
        <w:rPr>
          <w:rFonts w:ascii="楷体" w:eastAsia="楷体" w:hAnsi="楷体" w:hint="eastAsia"/>
          <w:szCs w:val="21"/>
        </w:rPr>
        <w:t>三大股指在连续</w:t>
      </w:r>
      <w:r w:rsidRPr="00D24882">
        <w:rPr>
          <w:rFonts w:ascii="楷体" w:eastAsia="楷体" w:hAnsi="楷体"/>
          <w:szCs w:val="21"/>
        </w:rPr>
        <w:t>4</w:t>
      </w:r>
      <w:r w:rsidRPr="00D24882">
        <w:rPr>
          <w:rFonts w:ascii="楷体" w:eastAsia="楷体" w:hAnsi="楷体" w:hint="eastAsia"/>
          <w:szCs w:val="21"/>
        </w:rPr>
        <w:t>周调整之后迎来普涨，</w:t>
      </w:r>
      <w:r w:rsidRPr="00D24882">
        <w:rPr>
          <w:rFonts w:ascii="楷体" w:eastAsia="楷体" w:hAnsi="楷体" w:cs="Arial" w:hint="eastAsia"/>
          <w:szCs w:val="21"/>
        </w:rPr>
        <w:t>标普</w:t>
      </w:r>
      <w:r w:rsidRPr="00D24882">
        <w:rPr>
          <w:rFonts w:ascii="楷体" w:eastAsia="楷体" w:hAnsi="楷体" w:cs="Arial"/>
          <w:szCs w:val="21"/>
        </w:rPr>
        <w:t>500</w:t>
      </w:r>
      <w:r w:rsidRPr="00D24882">
        <w:rPr>
          <w:rFonts w:ascii="楷体" w:eastAsia="楷体" w:hAnsi="楷体" w:cs="Arial" w:hint="eastAsia"/>
          <w:szCs w:val="21"/>
        </w:rPr>
        <w:t>周涨</w:t>
      </w:r>
      <w:r w:rsidRPr="00D24882">
        <w:rPr>
          <w:rFonts w:ascii="楷体" w:eastAsia="楷体" w:hAnsi="楷体" w:cs="Arial"/>
          <w:szCs w:val="21"/>
        </w:rPr>
        <w:t>4.73%</w:t>
      </w:r>
      <w:r>
        <w:rPr>
          <w:rFonts w:ascii="楷体" w:eastAsia="楷体" w:hAnsi="楷体" w:cs="Arial" w:hint="eastAsia"/>
          <w:szCs w:val="21"/>
        </w:rPr>
        <w:t>，道琼斯工业指数周涨</w:t>
      </w:r>
      <w:r w:rsidRPr="00D24882">
        <w:rPr>
          <w:rFonts w:ascii="楷体" w:eastAsia="楷体" w:hAnsi="楷体" w:cs="Arial"/>
          <w:szCs w:val="21"/>
        </w:rPr>
        <w:t>3.48%</w:t>
      </w:r>
      <w:r w:rsidRPr="00D24882">
        <w:rPr>
          <w:rFonts w:ascii="楷体" w:eastAsia="楷体" w:hAnsi="楷体" w:cs="Arial" w:hint="eastAsia"/>
          <w:szCs w:val="21"/>
        </w:rPr>
        <w:t>，纳斯达克</w:t>
      </w:r>
      <w:r w:rsidRPr="00D24882">
        <w:rPr>
          <w:rFonts w:ascii="楷体" w:eastAsia="楷体" w:hAnsi="楷体" w:cs="Arial"/>
          <w:szCs w:val="21"/>
        </w:rPr>
        <w:t>100</w:t>
      </w:r>
      <w:r w:rsidRPr="00D24882">
        <w:rPr>
          <w:rFonts w:ascii="楷体" w:eastAsia="楷体" w:hAnsi="楷体" w:cs="Arial" w:hint="eastAsia"/>
          <w:szCs w:val="21"/>
        </w:rPr>
        <w:t>涨幅最大，为</w:t>
      </w:r>
      <w:r w:rsidRPr="00D24882">
        <w:rPr>
          <w:rFonts w:ascii="楷体" w:eastAsia="楷体" w:hAnsi="楷体" w:cs="Arial"/>
          <w:szCs w:val="21"/>
        </w:rPr>
        <w:t>6.56%</w:t>
      </w:r>
      <w:r>
        <w:rPr>
          <w:rFonts w:ascii="楷体" w:eastAsia="楷体" w:hAnsi="楷体" w:cs="Arial" w:hint="eastAsia"/>
          <w:szCs w:val="21"/>
        </w:rPr>
        <w:t>。</w:t>
      </w:r>
      <w:r w:rsidRPr="00D24882">
        <w:rPr>
          <w:rFonts w:ascii="楷体" w:eastAsia="楷体" w:hAnsi="楷体" w:cs="Arial" w:hint="eastAsia"/>
          <w:szCs w:val="21"/>
        </w:rPr>
        <w:t>相比之下，港股涨幅受限，恒生指数和恒生国企指数周涨幅分别为</w:t>
      </w:r>
      <w:r w:rsidRPr="00D24882">
        <w:rPr>
          <w:rFonts w:ascii="楷体" w:eastAsia="楷体" w:hAnsi="楷体" w:cs="Arial"/>
          <w:szCs w:val="21"/>
        </w:rPr>
        <w:t>1.89%</w:t>
      </w:r>
      <w:r w:rsidRPr="00D24882">
        <w:rPr>
          <w:rFonts w:ascii="楷体" w:eastAsia="楷体" w:hAnsi="楷体" w:cs="Arial" w:hint="eastAsia"/>
          <w:szCs w:val="21"/>
        </w:rPr>
        <w:t>和</w:t>
      </w:r>
      <w:r w:rsidRPr="00D24882">
        <w:rPr>
          <w:rFonts w:ascii="楷体" w:eastAsia="楷体" w:hAnsi="楷体" w:cs="Arial"/>
          <w:szCs w:val="21"/>
        </w:rPr>
        <w:t>2.49%</w:t>
      </w:r>
      <w:r w:rsidRPr="00D24882">
        <w:rPr>
          <w:rFonts w:ascii="楷体" w:eastAsia="楷体" w:hAnsi="楷体" w:cs="Arial" w:hint="eastAsia"/>
          <w:szCs w:val="21"/>
        </w:rPr>
        <w:t>。</w:t>
      </w:r>
    </w:p>
    <w:tbl>
      <w:tblPr>
        <w:tblW w:w="10773" w:type="dxa"/>
        <w:tblLayout w:type="fixed"/>
        <w:tblCellMar>
          <w:left w:w="0" w:type="dxa"/>
          <w:right w:w="0" w:type="dxa"/>
        </w:tblCellMar>
        <w:tblLook w:val="0000"/>
      </w:tblPr>
      <w:tblGrid>
        <w:gridCol w:w="5103"/>
        <w:gridCol w:w="284"/>
        <w:gridCol w:w="5386"/>
      </w:tblGrid>
      <w:tr w:rsidR="00A14A34" w:rsidRPr="00035682" w:rsidTr="005A3FE7">
        <w:trPr>
          <w:cantSplit/>
          <w:trHeight w:val="368"/>
        </w:trPr>
        <w:tc>
          <w:tcPr>
            <w:tcW w:w="5103" w:type="dxa"/>
            <w:tcBorders>
              <w:top w:val="single" w:sz="6" w:space="0" w:color="FF6600"/>
              <w:bottom w:val="single" w:sz="6" w:space="0" w:color="FF6600"/>
            </w:tcBorders>
            <w:vAlign w:val="center"/>
          </w:tcPr>
          <w:p w:rsidR="00A14A34" w:rsidRPr="00057142" w:rsidRDefault="00A14A34" w:rsidP="00D7627F">
            <w:pPr>
              <w:pStyle w:val="SubTitleLargeTable"/>
              <w:pBdr>
                <w:top w:val="none" w:sz="0" w:space="0" w:color="auto"/>
              </w:pBdr>
              <w:rPr>
                <w:rFonts w:ascii="楷体" w:eastAsia="楷体" w:hAnsi="楷体"/>
                <w:color w:val="FF6600"/>
              </w:rPr>
            </w:pPr>
            <w:r w:rsidRPr="005B7CDB">
              <w:rPr>
                <w:rFonts w:ascii="楷体" w:eastAsia="楷体" w:hAnsi="楷体" w:hint="eastAsia"/>
                <w:color w:val="FF6600"/>
              </w:rPr>
              <w:t>图表</w:t>
            </w:r>
            <w:r w:rsidRPr="005B7CDB">
              <w:rPr>
                <w:rFonts w:ascii="楷体" w:eastAsia="楷体" w:hAnsi="楷体"/>
                <w:color w:val="FF6600"/>
              </w:rPr>
              <w:t>2</w:t>
            </w:r>
            <w:r w:rsidRPr="005B7CDB">
              <w:rPr>
                <w:rFonts w:ascii="楷体" w:eastAsia="楷体" w:hAnsi="楷体" w:hint="eastAsia"/>
                <w:color w:val="FF6600"/>
              </w:rPr>
              <w:t>：各类指数周涨跌</w:t>
            </w:r>
            <w:r>
              <w:rPr>
                <w:rFonts w:ascii="楷体" w:eastAsia="楷体" w:hAnsi="楷体"/>
                <w:color w:val="FF6600"/>
              </w:rPr>
              <w:t>(10.20~24</w:t>
            </w:r>
            <w:r w:rsidRPr="00057142">
              <w:rPr>
                <w:rFonts w:ascii="楷体" w:eastAsia="楷体" w:hAnsi="楷体" w:hint="eastAsia"/>
                <w:color w:val="FF6600"/>
              </w:rPr>
              <w:t>，海外指数</w:t>
            </w:r>
            <w:r>
              <w:rPr>
                <w:rFonts w:ascii="楷体" w:eastAsia="楷体" w:hAnsi="楷体"/>
                <w:color w:val="FF6600"/>
              </w:rPr>
              <w:t>10.17</w:t>
            </w:r>
            <w:r w:rsidRPr="00057142">
              <w:rPr>
                <w:rFonts w:ascii="楷体" w:eastAsia="楷体" w:hAnsi="楷体"/>
                <w:color w:val="FF6600"/>
              </w:rPr>
              <w:t>~</w:t>
            </w:r>
            <w:r>
              <w:rPr>
                <w:rFonts w:ascii="楷体" w:eastAsia="楷体" w:hAnsi="楷体"/>
                <w:color w:val="FF6600"/>
              </w:rPr>
              <w:t>23)</w:t>
            </w:r>
          </w:p>
        </w:tc>
        <w:tc>
          <w:tcPr>
            <w:tcW w:w="284" w:type="dxa"/>
            <w:vAlign w:val="center"/>
          </w:tcPr>
          <w:p w:rsidR="00A14A34" w:rsidRPr="00035682" w:rsidRDefault="00A14A34" w:rsidP="003B1409">
            <w:pPr>
              <w:jc w:val="center"/>
              <w:rPr>
                <w:rFonts w:ascii="楷体" w:eastAsia="楷体" w:hAnsi="楷体"/>
              </w:rPr>
            </w:pPr>
          </w:p>
        </w:tc>
        <w:tc>
          <w:tcPr>
            <w:tcW w:w="5386" w:type="dxa"/>
            <w:tcBorders>
              <w:top w:val="single" w:sz="6" w:space="0" w:color="FF6600"/>
              <w:bottom w:val="single" w:sz="6" w:space="0" w:color="FF6600"/>
            </w:tcBorders>
            <w:vAlign w:val="center"/>
          </w:tcPr>
          <w:p w:rsidR="00A14A34" w:rsidRPr="005B7CDB" w:rsidRDefault="00A14A34" w:rsidP="007B1899">
            <w:pPr>
              <w:pStyle w:val="SubTitleLargeTable"/>
              <w:pBdr>
                <w:top w:val="none" w:sz="0" w:space="0" w:color="auto"/>
              </w:pBdr>
              <w:rPr>
                <w:rFonts w:ascii="楷体" w:eastAsia="楷体" w:hAnsi="楷体"/>
              </w:rPr>
            </w:pPr>
            <w:r w:rsidRPr="005B7CDB">
              <w:rPr>
                <w:rFonts w:ascii="楷体" w:eastAsia="楷体" w:hAnsi="楷体" w:hint="eastAsia"/>
                <w:color w:val="FF6600"/>
              </w:rPr>
              <w:t>图表</w:t>
            </w:r>
            <w:r w:rsidRPr="005B7CDB">
              <w:rPr>
                <w:rFonts w:ascii="楷体" w:eastAsia="楷体" w:hAnsi="楷体"/>
                <w:color w:val="FF6600"/>
              </w:rPr>
              <w:t>3</w:t>
            </w:r>
            <w:r w:rsidRPr="005B7CDB">
              <w:rPr>
                <w:rFonts w:ascii="楷体" w:eastAsia="楷体" w:hAnsi="楷体" w:hint="eastAsia"/>
                <w:color w:val="FF6600"/>
              </w:rPr>
              <w:t>：中信一级行业板块周涨跌（</w:t>
            </w:r>
            <w:r>
              <w:rPr>
                <w:rFonts w:ascii="楷体" w:eastAsia="楷体" w:hAnsi="楷体"/>
                <w:color w:val="FF6600"/>
              </w:rPr>
              <w:t>10.20~24</w:t>
            </w:r>
            <w:r w:rsidRPr="005B7CDB">
              <w:rPr>
                <w:rFonts w:ascii="楷体" w:eastAsia="楷体" w:hAnsi="楷体" w:hint="eastAsia"/>
                <w:color w:val="FF6600"/>
              </w:rPr>
              <w:t>）</w:t>
            </w:r>
          </w:p>
        </w:tc>
      </w:tr>
      <w:tr w:rsidR="00A14A34" w:rsidRPr="00035682" w:rsidTr="005A3FE7">
        <w:trPr>
          <w:cantSplit/>
          <w:trHeight w:val="2937"/>
        </w:trPr>
        <w:tc>
          <w:tcPr>
            <w:tcW w:w="5103" w:type="dxa"/>
            <w:tcBorders>
              <w:top w:val="single" w:sz="6" w:space="0" w:color="FF6600"/>
              <w:bottom w:val="single" w:sz="6" w:space="0" w:color="FF6600"/>
            </w:tcBorders>
            <w:vAlign w:val="center"/>
          </w:tcPr>
          <w:p w:rsidR="00A14A34" w:rsidRPr="00035682" w:rsidRDefault="00A14A34" w:rsidP="003B1409">
            <w:pPr>
              <w:jc w:val="center"/>
              <w:rPr>
                <w:rFonts w:ascii="楷体" w:eastAsia="楷体" w:hAnsi="楷体"/>
              </w:rPr>
            </w:pPr>
            <w:r w:rsidRPr="00035682">
              <w:rPr>
                <w:rFonts w:ascii="楷体" w:eastAsia="楷体" w:hAnsi="楷体"/>
                <w:noProof/>
              </w:rPr>
              <w:pict>
                <v:shape id="图片 2" o:spid="_x0000_i1046" type="#_x0000_t75" style="width:238.5pt;height:152.25pt;visibility:visible">
                  <v:imagedata r:id="rId9" o:title=""/>
                </v:shape>
              </w:pict>
            </w:r>
          </w:p>
        </w:tc>
        <w:tc>
          <w:tcPr>
            <w:tcW w:w="284" w:type="dxa"/>
            <w:vAlign w:val="center"/>
          </w:tcPr>
          <w:p w:rsidR="00A14A34" w:rsidRPr="00035682" w:rsidRDefault="00A14A34" w:rsidP="003B1409">
            <w:pPr>
              <w:jc w:val="center"/>
              <w:rPr>
                <w:rFonts w:ascii="楷体" w:eastAsia="楷体" w:hAnsi="楷体"/>
              </w:rPr>
            </w:pPr>
          </w:p>
        </w:tc>
        <w:tc>
          <w:tcPr>
            <w:tcW w:w="5386" w:type="dxa"/>
            <w:tcBorders>
              <w:top w:val="single" w:sz="6" w:space="0" w:color="FF6600"/>
              <w:bottom w:val="single" w:sz="6" w:space="0" w:color="FF6600"/>
            </w:tcBorders>
            <w:vAlign w:val="center"/>
          </w:tcPr>
          <w:p w:rsidR="00A14A34" w:rsidRPr="00035682" w:rsidRDefault="00A14A34" w:rsidP="003B1409">
            <w:pPr>
              <w:jc w:val="center"/>
              <w:rPr>
                <w:rFonts w:ascii="楷体" w:eastAsia="楷体" w:hAnsi="楷体"/>
              </w:rPr>
            </w:pPr>
            <w:r w:rsidRPr="00035682">
              <w:rPr>
                <w:rFonts w:ascii="楷体" w:eastAsia="楷体" w:hAnsi="楷体"/>
                <w:noProof/>
              </w:rPr>
              <w:pict>
                <v:shape id="图片 3" o:spid="_x0000_i1047" type="#_x0000_t75" style="width:260.25pt;height:153pt;visibility:visible">
                  <v:imagedata r:id="rId10" o:title=""/>
                </v:shape>
              </w:pict>
            </w:r>
          </w:p>
        </w:tc>
      </w:tr>
    </w:tbl>
    <w:p w:rsidR="00A14A34" w:rsidRPr="005B7CDB" w:rsidRDefault="00A14A34" w:rsidP="00BD0930">
      <w:pPr>
        <w:pStyle w:val="FootnoteNoline"/>
        <w:ind w:left="0"/>
        <w:jc w:val="left"/>
        <w:rPr>
          <w:rFonts w:ascii="楷体" w:eastAsia="楷体" w:hAnsi="楷体"/>
        </w:rPr>
      </w:pPr>
      <w:r w:rsidRPr="005B7CDB">
        <w:rPr>
          <w:rFonts w:ascii="楷体" w:eastAsia="楷体" w:hAnsi="楷体" w:hint="eastAsia"/>
          <w:color w:val="FF6600"/>
        </w:rPr>
        <w:t>来源：凯石财富工场</w:t>
      </w:r>
      <w:r w:rsidRPr="005B7CDB">
        <w:rPr>
          <w:rFonts w:ascii="楷体" w:eastAsia="楷体" w:hAnsi="楷体"/>
        </w:rPr>
        <w:t xml:space="preserve"> </w:t>
      </w:r>
    </w:p>
    <w:p w:rsidR="00A14A34" w:rsidRPr="00371002" w:rsidRDefault="00A14A34" w:rsidP="00371002">
      <w:pPr>
        <w:widowControl/>
        <w:spacing w:after="120"/>
        <w:ind w:left="3430"/>
        <w:rPr>
          <w:rFonts w:ascii="Arial" w:eastAsia="楷体" w:hAnsi="Arial" w:cs="Arial"/>
          <w:b/>
          <w:bCs/>
          <w:color w:val="0070C0"/>
          <w:kern w:val="0"/>
          <w:szCs w:val="21"/>
          <w:lang w:val="en-GB"/>
        </w:rPr>
      </w:pPr>
      <w:r w:rsidRPr="00E15464">
        <w:rPr>
          <w:rFonts w:ascii="Arial" w:eastAsia="楷体" w:hAnsi="楷体" w:cs="Arial" w:hint="eastAsia"/>
          <w:b/>
          <w:bCs/>
          <w:color w:val="0070C0"/>
          <w:kern w:val="0"/>
          <w:szCs w:val="21"/>
          <w:lang w:val="en-GB"/>
        </w:rPr>
        <w:t>各类型公募基金一周业绩：</w:t>
      </w:r>
      <w:r>
        <w:rPr>
          <w:rFonts w:ascii="Arial" w:eastAsia="楷体" w:hAnsi="楷体" w:cs="Arial" w:hint="eastAsia"/>
          <w:b/>
          <w:bCs/>
          <w:color w:val="0070C0"/>
          <w:kern w:val="0"/>
          <w:szCs w:val="21"/>
          <w:lang w:val="en-GB"/>
        </w:rPr>
        <w:t>权益类基金业绩分化，固定收益类基金涨势良好</w:t>
      </w:r>
      <w:r w:rsidRPr="00371002">
        <w:rPr>
          <w:rFonts w:ascii="Arial" w:eastAsia="楷体" w:hAnsi="Arial" w:cs="Arial"/>
          <w:b/>
          <w:bCs/>
          <w:color w:val="0070C0"/>
          <w:kern w:val="0"/>
          <w:szCs w:val="21"/>
          <w:lang w:val="en-GB"/>
        </w:rPr>
        <w:t xml:space="preserve"> </w:t>
      </w:r>
    </w:p>
    <w:p w:rsidR="00A14A34" w:rsidRPr="00E51D5F" w:rsidRDefault="00A14A34" w:rsidP="00120197">
      <w:pPr>
        <w:pStyle w:val="BodyText"/>
        <w:numPr>
          <w:ilvl w:val="4"/>
          <w:numId w:val="1"/>
        </w:numPr>
        <w:spacing w:after="163"/>
        <w:rPr>
          <w:rFonts w:ascii="楷体" w:eastAsia="楷体" w:hAnsi="楷体" w:cs="Arial"/>
          <w:szCs w:val="21"/>
        </w:rPr>
      </w:pPr>
      <w:r>
        <w:rPr>
          <w:rFonts w:ascii="楷体" w:eastAsia="楷体" w:hAnsi="楷体" w:cs="Arial" w:hint="eastAsia"/>
          <w:szCs w:val="21"/>
        </w:rPr>
        <w:t>上周</w:t>
      </w:r>
      <w:r w:rsidRPr="007C315B">
        <w:rPr>
          <w:rFonts w:ascii="楷体" w:eastAsia="楷体" w:hAnsi="楷体" w:cs="Arial" w:hint="eastAsia"/>
          <w:szCs w:val="21"/>
        </w:rPr>
        <w:t>（</w:t>
      </w:r>
      <w:r>
        <w:rPr>
          <w:rFonts w:ascii="楷体" w:eastAsia="楷体" w:hAnsi="楷体" w:cs="Arial"/>
          <w:szCs w:val="21"/>
        </w:rPr>
        <w:t>2014.10.20~2014.10.24</w:t>
      </w:r>
      <w:r w:rsidRPr="007C315B">
        <w:rPr>
          <w:rFonts w:ascii="楷体" w:eastAsia="楷体" w:hAnsi="楷体" w:cs="Arial" w:hint="eastAsia"/>
          <w:szCs w:val="21"/>
        </w:rPr>
        <w:t>）</w:t>
      </w:r>
      <w:r>
        <w:rPr>
          <w:rFonts w:ascii="楷体" w:eastAsia="楷体" w:hAnsi="楷体" w:cs="Arial" w:hint="eastAsia"/>
          <w:szCs w:val="21"/>
        </w:rPr>
        <w:t>，外围股市回暖，</w:t>
      </w:r>
      <w:r>
        <w:rPr>
          <w:rFonts w:ascii="楷体" w:eastAsia="楷体" w:hAnsi="楷体" w:cs="Arial"/>
          <w:szCs w:val="21"/>
        </w:rPr>
        <w:t>A</w:t>
      </w:r>
      <w:r>
        <w:rPr>
          <w:rFonts w:ascii="楷体" w:eastAsia="楷体" w:hAnsi="楷体" w:cs="Arial" w:hint="eastAsia"/>
          <w:szCs w:val="21"/>
        </w:rPr>
        <w:t>股仍陷调整，权益类基金业绩分化，股基混合普跌，</w:t>
      </w:r>
      <w:r>
        <w:rPr>
          <w:rFonts w:ascii="楷体" w:eastAsia="楷体" w:hAnsi="楷体" w:cs="Arial"/>
          <w:szCs w:val="21"/>
        </w:rPr>
        <w:t>QDII</w:t>
      </w:r>
      <w:r>
        <w:rPr>
          <w:rFonts w:ascii="楷体" w:eastAsia="楷体" w:hAnsi="楷体" w:cs="Arial" w:hint="eastAsia"/>
          <w:szCs w:val="21"/>
        </w:rPr>
        <w:t>反弹，固定收益类基金涨幅较前一周扩大。股票型基金风格反转，主动型产品表现好于指数型产品；混合</w:t>
      </w:r>
      <w:r>
        <w:rPr>
          <w:rFonts w:ascii="楷体" w:eastAsia="楷体" w:hAnsi="楷体" w:cs="Arial"/>
          <w:szCs w:val="21"/>
        </w:rPr>
        <w:t>-</w:t>
      </w:r>
      <w:r>
        <w:rPr>
          <w:rFonts w:ascii="楷体" w:eastAsia="楷体" w:hAnsi="楷体" w:cs="Arial" w:hint="eastAsia"/>
          <w:szCs w:val="21"/>
        </w:rPr>
        <w:t>偏债型表现好于混合</w:t>
      </w:r>
      <w:r>
        <w:rPr>
          <w:rFonts w:ascii="楷体" w:eastAsia="楷体" w:hAnsi="楷体" w:cs="Arial"/>
          <w:szCs w:val="21"/>
        </w:rPr>
        <w:t>-</w:t>
      </w:r>
      <w:r>
        <w:rPr>
          <w:rFonts w:ascii="楷体" w:eastAsia="楷体" w:hAnsi="楷体" w:cs="Arial" w:hint="eastAsia"/>
          <w:szCs w:val="21"/>
        </w:rPr>
        <w:t>偏股型，好于混合</w:t>
      </w:r>
      <w:r>
        <w:rPr>
          <w:rFonts w:ascii="楷体" w:eastAsia="楷体" w:hAnsi="楷体" w:cs="Arial"/>
          <w:szCs w:val="21"/>
        </w:rPr>
        <w:t>-</w:t>
      </w:r>
      <w:r>
        <w:rPr>
          <w:rFonts w:ascii="楷体" w:eastAsia="楷体" w:hAnsi="楷体" w:cs="Arial" w:hint="eastAsia"/>
          <w:szCs w:val="21"/>
        </w:rPr>
        <w:t>灵活型；除理财债基外，其他各类债基涨幅均扩大，纯债基金和一级债基业绩居前；货币基金平均七日年化收益率涨至</w:t>
      </w:r>
      <w:r>
        <w:rPr>
          <w:rFonts w:ascii="楷体" w:eastAsia="楷体" w:hAnsi="楷体" w:cs="Arial"/>
          <w:szCs w:val="21"/>
        </w:rPr>
        <w:t>4.36%</w:t>
      </w:r>
      <w:r>
        <w:rPr>
          <w:rFonts w:ascii="楷体" w:eastAsia="楷体" w:hAnsi="楷体" w:cs="Arial" w:hint="eastAsia"/>
          <w:szCs w:val="21"/>
        </w:rPr>
        <w:t>；</w:t>
      </w:r>
      <w:r>
        <w:rPr>
          <w:rFonts w:ascii="楷体" w:eastAsia="楷体" w:hAnsi="楷体" w:cs="Arial"/>
          <w:szCs w:val="21"/>
        </w:rPr>
        <w:t>QDII</w:t>
      </w:r>
      <w:r>
        <w:rPr>
          <w:rFonts w:ascii="楷体" w:eastAsia="楷体" w:hAnsi="楷体" w:cs="Arial" w:hint="eastAsia"/>
          <w:szCs w:val="21"/>
        </w:rPr>
        <w:t>整体反弹明显，美股基金领涨，商品基金引跌。</w:t>
      </w:r>
    </w:p>
    <w:tbl>
      <w:tblPr>
        <w:tblW w:w="10772" w:type="dxa"/>
        <w:tblBorders>
          <w:top w:val="single" w:sz="6" w:space="0" w:color="FF6600"/>
          <w:bottom w:val="single" w:sz="6" w:space="0" w:color="FF6600"/>
          <w:insideH w:val="single" w:sz="6" w:space="0" w:color="FF6600"/>
        </w:tblBorders>
        <w:tblLayout w:type="fixed"/>
        <w:tblCellMar>
          <w:left w:w="0" w:type="dxa"/>
          <w:right w:w="0" w:type="dxa"/>
        </w:tblCellMar>
        <w:tblLook w:val="0000"/>
      </w:tblPr>
      <w:tblGrid>
        <w:gridCol w:w="993"/>
        <w:gridCol w:w="1400"/>
        <w:gridCol w:w="1197"/>
        <w:gridCol w:w="946"/>
        <w:gridCol w:w="1448"/>
        <w:gridCol w:w="1197"/>
        <w:gridCol w:w="1041"/>
        <w:gridCol w:w="1353"/>
        <w:gridCol w:w="1197"/>
      </w:tblGrid>
      <w:tr w:rsidR="00A14A34" w:rsidRPr="00035682" w:rsidTr="00D7627F">
        <w:trPr>
          <w:trHeight w:val="335"/>
          <w:tblHeader/>
        </w:trPr>
        <w:tc>
          <w:tcPr>
            <w:tcW w:w="10772" w:type="dxa"/>
            <w:gridSpan w:val="9"/>
            <w:vAlign w:val="center"/>
          </w:tcPr>
          <w:p w:rsidR="00A14A34" w:rsidRPr="005B7CDB" w:rsidRDefault="00A14A34" w:rsidP="001757D1">
            <w:pPr>
              <w:pStyle w:val="SubTitleLargeTable"/>
              <w:pBdr>
                <w:top w:val="none" w:sz="0" w:space="0" w:color="auto"/>
              </w:pBdr>
              <w:rPr>
                <w:rFonts w:ascii="楷体" w:eastAsia="楷体" w:hAnsi="楷体"/>
                <w:b w:val="0"/>
              </w:rPr>
            </w:pPr>
            <w:r w:rsidRPr="005B7CDB">
              <w:rPr>
                <w:rFonts w:ascii="楷体" w:eastAsia="楷体" w:hAnsi="楷体" w:cs="宋体" w:hint="eastAsia"/>
                <w:color w:val="FF6600"/>
              </w:rPr>
              <w:t>图表</w:t>
            </w:r>
            <w:r w:rsidRPr="005B7CDB">
              <w:rPr>
                <w:rFonts w:ascii="楷体" w:eastAsia="楷体" w:hAnsi="楷体"/>
                <w:color w:val="FF6600"/>
              </w:rPr>
              <w:t>4</w:t>
            </w:r>
            <w:r w:rsidRPr="005B7CDB">
              <w:rPr>
                <w:rFonts w:ascii="楷体" w:eastAsia="楷体" w:hAnsi="楷体" w:cs="宋体" w:hint="eastAsia"/>
                <w:color w:val="FF6600"/>
              </w:rPr>
              <w:t>：各类型公募基金（含封闭式）周平均收益率（</w:t>
            </w:r>
            <w:r>
              <w:rPr>
                <w:rFonts w:ascii="楷体" w:eastAsia="楷体" w:hAnsi="楷体"/>
                <w:color w:val="FF6600"/>
              </w:rPr>
              <w:t>10.20~24</w:t>
            </w:r>
            <w:r w:rsidRPr="005B7CDB">
              <w:rPr>
                <w:rFonts w:ascii="楷体" w:eastAsia="楷体" w:hAnsi="楷体" w:cs="宋体" w:hint="eastAsia"/>
                <w:color w:val="FF6600"/>
              </w:rPr>
              <w:t>，</w:t>
            </w:r>
            <w:r w:rsidRPr="005B7CDB">
              <w:rPr>
                <w:rFonts w:ascii="楷体" w:eastAsia="楷体" w:hAnsi="楷体"/>
                <w:color w:val="FF6600"/>
              </w:rPr>
              <w:t>QDII</w:t>
            </w:r>
            <w:r w:rsidRPr="005B7CDB">
              <w:rPr>
                <w:rFonts w:ascii="楷体" w:eastAsia="楷体" w:hAnsi="楷体" w:hint="eastAsia"/>
                <w:color w:val="FF6600"/>
              </w:rPr>
              <w:t>为</w:t>
            </w:r>
            <w:r>
              <w:rPr>
                <w:rFonts w:ascii="楷体" w:eastAsia="楷体" w:hAnsi="楷体"/>
                <w:color w:val="FF6600"/>
              </w:rPr>
              <w:t>10.17</w:t>
            </w:r>
            <w:r w:rsidRPr="00057142">
              <w:rPr>
                <w:rFonts w:ascii="楷体" w:eastAsia="楷体" w:hAnsi="楷体"/>
                <w:color w:val="FF6600"/>
              </w:rPr>
              <w:t>~</w:t>
            </w:r>
            <w:r>
              <w:rPr>
                <w:rFonts w:ascii="楷体" w:eastAsia="楷体" w:hAnsi="楷体"/>
                <w:color w:val="FF6600"/>
              </w:rPr>
              <w:t>23</w:t>
            </w:r>
            <w:r>
              <w:rPr>
                <w:rFonts w:ascii="楷体" w:eastAsia="楷体" w:hAnsi="楷体" w:hint="eastAsia"/>
                <w:color w:val="FF6600"/>
              </w:rPr>
              <w:t>，</w:t>
            </w:r>
            <w:r w:rsidRPr="005B7CDB">
              <w:rPr>
                <w:rFonts w:ascii="楷体" w:eastAsia="楷体" w:hAnsi="楷体" w:hint="eastAsia"/>
                <w:color w:val="FF6600"/>
              </w:rPr>
              <w:t>货币基金为</w:t>
            </w:r>
            <w:r w:rsidRPr="005B7CDB">
              <w:rPr>
                <w:rFonts w:ascii="楷体" w:eastAsia="楷体" w:hAnsi="楷体"/>
                <w:color w:val="FF6600"/>
              </w:rPr>
              <w:t>7</w:t>
            </w:r>
            <w:r w:rsidRPr="005B7CDB">
              <w:rPr>
                <w:rFonts w:ascii="楷体" w:eastAsia="楷体" w:hAnsi="楷体" w:hint="eastAsia"/>
                <w:color w:val="FF6600"/>
              </w:rPr>
              <w:t>日年化收益</w:t>
            </w:r>
            <w:r>
              <w:rPr>
                <w:rFonts w:ascii="楷体" w:eastAsia="楷体" w:hAnsi="楷体" w:hint="eastAsia"/>
                <w:color w:val="FF6600"/>
              </w:rPr>
              <w:t>率</w:t>
            </w:r>
            <w:r w:rsidRPr="005B7CDB">
              <w:rPr>
                <w:rFonts w:ascii="楷体" w:eastAsia="楷体" w:hAnsi="楷体" w:cs="宋体" w:hint="eastAsia"/>
                <w:color w:val="FF6600"/>
              </w:rPr>
              <w:t>）</w:t>
            </w:r>
          </w:p>
        </w:tc>
      </w:tr>
      <w:tr w:rsidR="00A14A34" w:rsidRPr="00035682" w:rsidTr="00D7627F">
        <w:trPr>
          <w:trHeight w:val="284"/>
          <w:tblHeader/>
        </w:trPr>
        <w:tc>
          <w:tcPr>
            <w:tcW w:w="2393" w:type="dxa"/>
            <w:gridSpan w:val="2"/>
            <w:tcBorders>
              <w:right w:val="single" w:sz="6" w:space="0" w:color="FF6600"/>
            </w:tcBorders>
            <w:shd w:val="clear" w:color="auto" w:fill="FDE9D9"/>
            <w:vAlign w:val="center"/>
          </w:tcPr>
          <w:p w:rsidR="00A14A34" w:rsidRPr="00035682" w:rsidRDefault="00A14A34" w:rsidP="009D6B40">
            <w:pPr>
              <w:snapToGrid w:val="0"/>
              <w:jc w:val="center"/>
              <w:rPr>
                <w:rFonts w:ascii="楷体" w:eastAsia="楷体" w:hAnsi="楷体"/>
                <w:b/>
                <w:sz w:val="18"/>
                <w:szCs w:val="18"/>
              </w:rPr>
            </w:pPr>
            <w:r w:rsidRPr="00035682">
              <w:rPr>
                <w:rFonts w:ascii="楷体" w:eastAsia="楷体" w:hAnsi="楷体" w:hint="eastAsia"/>
                <w:b/>
                <w:sz w:val="18"/>
                <w:szCs w:val="18"/>
              </w:rPr>
              <w:t>凯石分类</w:t>
            </w:r>
          </w:p>
        </w:tc>
        <w:tc>
          <w:tcPr>
            <w:tcW w:w="1197" w:type="dxa"/>
            <w:tcBorders>
              <w:left w:val="single" w:sz="6" w:space="0" w:color="FF6600"/>
              <w:right w:val="single" w:sz="6" w:space="0" w:color="FF6600"/>
            </w:tcBorders>
            <w:shd w:val="clear" w:color="auto" w:fill="FDE9D9"/>
            <w:vAlign w:val="center"/>
          </w:tcPr>
          <w:p w:rsidR="00A14A34" w:rsidRPr="00035682" w:rsidRDefault="00A14A34" w:rsidP="009D6B40">
            <w:pPr>
              <w:snapToGrid w:val="0"/>
              <w:jc w:val="center"/>
              <w:rPr>
                <w:rFonts w:ascii="楷体" w:eastAsia="楷体" w:hAnsi="楷体"/>
                <w:b/>
                <w:sz w:val="18"/>
                <w:szCs w:val="18"/>
              </w:rPr>
            </w:pPr>
            <w:r w:rsidRPr="00035682">
              <w:rPr>
                <w:rFonts w:ascii="楷体" w:eastAsia="楷体" w:hAnsi="楷体" w:hint="eastAsia"/>
                <w:b/>
                <w:sz w:val="18"/>
                <w:szCs w:val="18"/>
              </w:rPr>
              <w:t>周收益率</w:t>
            </w:r>
            <w:r w:rsidRPr="00035682">
              <w:rPr>
                <w:rFonts w:ascii="楷体" w:eastAsia="楷体" w:hAnsi="楷体"/>
                <w:b/>
                <w:sz w:val="18"/>
                <w:szCs w:val="18"/>
              </w:rPr>
              <w:t>%</w:t>
            </w:r>
          </w:p>
        </w:tc>
        <w:tc>
          <w:tcPr>
            <w:tcW w:w="2394" w:type="dxa"/>
            <w:gridSpan w:val="2"/>
            <w:tcBorders>
              <w:left w:val="single" w:sz="6" w:space="0" w:color="FF6600"/>
              <w:right w:val="single" w:sz="6" w:space="0" w:color="FF6600"/>
            </w:tcBorders>
            <w:shd w:val="clear" w:color="auto" w:fill="FDE9D9"/>
            <w:vAlign w:val="center"/>
          </w:tcPr>
          <w:p w:rsidR="00A14A34" w:rsidRPr="00035682" w:rsidRDefault="00A14A34" w:rsidP="009D6B40">
            <w:pPr>
              <w:snapToGrid w:val="0"/>
              <w:jc w:val="center"/>
              <w:rPr>
                <w:rFonts w:ascii="楷体" w:eastAsia="楷体" w:hAnsi="楷体"/>
                <w:b/>
                <w:sz w:val="18"/>
                <w:szCs w:val="18"/>
              </w:rPr>
            </w:pPr>
            <w:r w:rsidRPr="00035682">
              <w:rPr>
                <w:rFonts w:ascii="楷体" w:eastAsia="楷体" w:hAnsi="楷体" w:hint="eastAsia"/>
                <w:b/>
                <w:sz w:val="18"/>
                <w:szCs w:val="18"/>
              </w:rPr>
              <w:t>凯石分类</w:t>
            </w:r>
          </w:p>
        </w:tc>
        <w:tc>
          <w:tcPr>
            <w:tcW w:w="1197" w:type="dxa"/>
            <w:tcBorders>
              <w:left w:val="single" w:sz="6" w:space="0" w:color="FF6600"/>
              <w:right w:val="single" w:sz="6" w:space="0" w:color="FF6600"/>
            </w:tcBorders>
            <w:shd w:val="clear" w:color="auto" w:fill="FDE9D9"/>
            <w:vAlign w:val="center"/>
          </w:tcPr>
          <w:p w:rsidR="00A14A34" w:rsidRPr="00035682" w:rsidRDefault="00A14A34" w:rsidP="009D6B40">
            <w:pPr>
              <w:snapToGrid w:val="0"/>
              <w:jc w:val="center"/>
              <w:rPr>
                <w:rFonts w:ascii="楷体" w:eastAsia="楷体" w:hAnsi="楷体"/>
                <w:b/>
                <w:sz w:val="18"/>
                <w:szCs w:val="18"/>
              </w:rPr>
            </w:pPr>
            <w:r w:rsidRPr="00035682">
              <w:rPr>
                <w:rFonts w:ascii="楷体" w:eastAsia="楷体" w:hAnsi="楷体" w:hint="eastAsia"/>
                <w:b/>
                <w:sz w:val="18"/>
                <w:szCs w:val="18"/>
              </w:rPr>
              <w:t>周收益率</w:t>
            </w:r>
            <w:r w:rsidRPr="00035682">
              <w:rPr>
                <w:rFonts w:ascii="楷体" w:eastAsia="楷体" w:hAnsi="楷体"/>
                <w:b/>
                <w:sz w:val="18"/>
                <w:szCs w:val="18"/>
              </w:rPr>
              <w:t>%</w:t>
            </w:r>
          </w:p>
        </w:tc>
        <w:tc>
          <w:tcPr>
            <w:tcW w:w="2394" w:type="dxa"/>
            <w:gridSpan w:val="2"/>
            <w:tcBorders>
              <w:left w:val="single" w:sz="6" w:space="0" w:color="FF6600"/>
              <w:right w:val="single" w:sz="6" w:space="0" w:color="FF6600"/>
            </w:tcBorders>
            <w:shd w:val="clear" w:color="auto" w:fill="FDE9D9"/>
            <w:vAlign w:val="center"/>
          </w:tcPr>
          <w:p w:rsidR="00A14A34" w:rsidRPr="00035682" w:rsidRDefault="00A14A34" w:rsidP="009D6B40">
            <w:pPr>
              <w:snapToGrid w:val="0"/>
              <w:jc w:val="center"/>
              <w:rPr>
                <w:rFonts w:ascii="楷体" w:eastAsia="楷体" w:hAnsi="楷体"/>
                <w:b/>
                <w:sz w:val="18"/>
                <w:szCs w:val="18"/>
              </w:rPr>
            </w:pPr>
            <w:r w:rsidRPr="00035682">
              <w:rPr>
                <w:rFonts w:ascii="楷体" w:eastAsia="楷体" w:hAnsi="楷体" w:hint="eastAsia"/>
                <w:b/>
                <w:sz w:val="18"/>
                <w:szCs w:val="18"/>
              </w:rPr>
              <w:t>凯石分类</w:t>
            </w:r>
          </w:p>
        </w:tc>
        <w:tc>
          <w:tcPr>
            <w:tcW w:w="1197" w:type="dxa"/>
            <w:tcBorders>
              <w:left w:val="single" w:sz="6" w:space="0" w:color="FF6600"/>
            </w:tcBorders>
            <w:shd w:val="clear" w:color="auto" w:fill="FDE9D9"/>
            <w:vAlign w:val="center"/>
          </w:tcPr>
          <w:p w:rsidR="00A14A34" w:rsidRPr="00035682" w:rsidRDefault="00A14A34" w:rsidP="009D6B40">
            <w:pPr>
              <w:snapToGrid w:val="0"/>
              <w:jc w:val="center"/>
              <w:rPr>
                <w:rFonts w:ascii="楷体" w:eastAsia="楷体" w:hAnsi="楷体"/>
                <w:b/>
                <w:sz w:val="18"/>
                <w:szCs w:val="18"/>
              </w:rPr>
            </w:pPr>
            <w:r w:rsidRPr="00035682">
              <w:rPr>
                <w:rFonts w:ascii="楷体" w:eastAsia="楷体" w:hAnsi="楷体" w:hint="eastAsia"/>
                <w:b/>
                <w:sz w:val="18"/>
                <w:szCs w:val="18"/>
              </w:rPr>
              <w:t>周收益率</w:t>
            </w:r>
            <w:r w:rsidRPr="00035682">
              <w:rPr>
                <w:rFonts w:ascii="楷体" w:eastAsia="楷体" w:hAnsi="楷体"/>
                <w:b/>
                <w:sz w:val="18"/>
                <w:szCs w:val="18"/>
              </w:rPr>
              <w:t>%</w:t>
            </w:r>
          </w:p>
        </w:tc>
      </w:tr>
      <w:tr w:rsidR="00A14A34" w:rsidRPr="00035682" w:rsidTr="009D6B40">
        <w:trPr>
          <w:cantSplit/>
          <w:trHeight w:val="284"/>
        </w:trPr>
        <w:tc>
          <w:tcPr>
            <w:tcW w:w="993" w:type="dxa"/>
            <w:vMerge w:val="restart"/>
            <w:tcBorders>
              <w:right w:val="single" w:sz="6" w:space="0" w:color="FF6600"/>
            </w:tcBorders>
            <w:shd w:val="clear" w:color="auto" w:fill="FDE9D9"/>
            <w:vAlign w:val="center"/>
          </w:tcPr>
          <w:p w:rsidR="00A14A34" w:rsidRPr="00035682" w:rsidRDefault="00A14A34" w:rsidP="009D6B40">
            <w:pPr>
              <w:snapToGrid w:val="0"/>
              <w:jc w:val="center"/>
              <w:rPr>
                <w:rFonts w:ascii="楷体" w:eastAsia="楷体" w:hAnsi="楷体"/>
                <w:b/>
                <w:sz w:val="18"/>
                <w:szCs w:val="18"/>
              </w:rPr>
            </w:pPr>
            <w:r w:rsidRPr="00035682">
              <w:rPr>
                <w:rFonts w:ascii="楷体" w:eastAsia="楷体" w:hAnsi="楷体" w:hint="eastAsia"/>
                <w:b/>
                <w:sz w:val="18"/>
                <w:szCs w:val="18"/>
              </w:rPr>
              <w:t>股票型</w:t>
            </w:r>
          </w:p>
        </w:tc>
        <w:tc>
          <w:tcPr>
            <w:tcW w:w="1400" w:type="dxa"/>
            <w:tcBorders>
              <w:left w:val="single" w:sz="6" w:space="0" w:color="FF6600"/>
              <w:right w:val="single" w:sz="6" w:space="0" w:color="FF6600"/>
            </w:tcBorders>
            <w:shd w:val="clear" w:color="auto" w:fill="FDE9D9"/>
            <w:vAlign w:val="center"/>
          </w:tcPr>
          <w:p w:rsidR="00A14A34" w:rsidRPr="00035682" w:rsidRDefault="00A14A34" w:rsidP="009D6B40">
            <w:pPr>
              <w:snapToGrid w:val="0"/>
              <w:jc w:val="center"/>
              <w:rPr>
                <w:rFonts w:ascii="楷体" w:eastAsia="楷体" w:hAnsi="楷体"/>
                <w:b/>
                <w:sz w:val="18"/>
                <w:szCs w:val="18"/>
              </w:rPr>
            </w:pPr>
            <w:r w:rsidRPr="00035682">
              <w:rPr>
                <w:rFonts w:ascii="楷体" w:eastAsia="楷体" w:hAnsi="楷体" w:hint="eastAsia"/>
                <w:b/>
                <w:sz w:val="18"/>
                <w:szCs w:val="18"/>
              </w:rPr>
              <w:t>股票</w:t>
            </w:r>
            <w:r w:rsidRPr="00035682">
              <w:rPr>
                <w:rFonts w:ascii="楷体" w:eastAsia="楷体" w:hAnsi="楷体"/>
                <w:b/>
                <w:sz w:val="18"/>
                <w:szCs w:val="18"/>
              </w:rPr>
              <w:t>-</w:t>
            </w:r>
            <w:r w:rsidRPr="00035682">
              <w:rPr>
                <w:rFonts w:ascii="楷体" w:eastAsia="楷体" w:hAnsi="楷体" w:hint="eastAsia"/>
                <w:b/>
                <w:sz w:val="18"/>
                <w:szCs w:val="18"/>
              </w:rPr>
              <w:t>主动型</w:t>
            </w:r>
          </w:p>
        </w:tc>
        <w:tc>
          <w:tcPr>
            <w:tcW w:w="1197" w:type="dxa"/>
            <w:tcBorders>
              <w:left w:val="single" w:sz="6" w:space="0" w:color="FF6600"/>
              <w:right w:val="single" w:sz="6" w:space="0" w:color="FF6600"/>
            </w:tcBorders>
            <w:vAlign w:val="center"/>
          </w:tcPr>
          <w:p w:rsidR="00A14A34" w:rsidRPr="00035682" w:rsidRDefault="00A14A34" w:rsidP="009D6B40">
            <w:pPr>
              <w:snapToGrid w:val="0"/>
              <w:jc w:val="center"/>
              <w:rPr>
                <w:rFonts w:ascii="楷体" w:eastAsia="楷体" w:hAnsi="楷体"/>
                <w:color w:val="FF0000"/>
                <w:sz w:val="18"/>
                <w:szCs w:val="18"/>
              </w:rPr>
            </w:pPr>
            <w:r w:rsidRPr="00035682">
              <w:rPr>
                <w:rFonts w:ascii="楷体" w:eastAsia="楷体" w:hAnsi="楷体"/>
                <w:color w:val="FF0000"/>
                <w:sz w:val="18"/>
                <w:szCs w:val="18"/>
              </w:rPr>
              <w:t>-1.48</w:t>
            </w:r>
          </w:p>
        </w:tc>
        <w:tc>
          <w:tcPr>
            <w:tcW w:w="946" w:type="dxa"/>
            <w:vMerge w:val="restart"/>
            <w:tcBorders>
              <w:left w:val="single" w:sz="6" w:space="0" w:color="FF6600"/>
              <w:right w:val="single" w:sz="6" w:space="0" w:color="FF6600"/>
            </w:tcBorders>
            <w:shd w:val="clear" w:color="auto" w:fill="FDE9D9"/>
            <w:vAlign w:val="center"/>
          </w:tcPr>
          <w:p w:rsidR="00A14A34" w:rsidRPr="00035682" w:rsidRDefault="00A14A34" w:rsidP="009D6B40">
            <w:pPr>
              <w:snapToGrid w:val="0"/>
              <w:jc w:val="center"/>
              <w:rPr>
                <w:rFonts w:ascii="楷体" w:eastAsia="楷体" w:hAnsi="楷体"/>
                <w:b/>
                <w:sz w:val="18"/>
                <w:szCs w:val="18"/>
              </w:rPr>
            </w:pPr>
            <w:r w:rsidRPr="00035682">
              <w:rPr>
                <w:rFonts w:ascii="楷体" w:eastAsia="楷体" w:hAnsi="楷体" w:hint="eastAsia"/>
                <w:b/>
                <w:sz w:val="18"/>
                <w:szCs w:val="18"/>
              </w:rPr>
              <w:t>债券型</w:t>
            </w:r>
          </w:p>
        </w:tc>
        <w:tc>
          <w:tcPr>
            <w:tcW w:w="1448" w:type="dxa"/>
            <w:tcBorders>
              <w:left w:val="single" w:sz="6" w:space="0" w:color="FF6600"/>
              <w:right w:val="single" w:sz="6" w:space="0" w:color="FF6600"/>
            </w:tcBorders>
            <w:shd w:val="clear" w:color="auto" w:fill="FDE9D9"/>
            <w:vAlign w:val="center"/>
          </w:tcPr>
          <w:p w:rsidR="00A14A34" w:rsidRPr="007E0CA0" w:rsidRDefault="00A14A34" w:rsidP="009D6B40">
            <w:pPr>
              <w:snapToGrid w:val="0"/>
              <w:jc w:val="center"/>
              <w:rPr>
                <w:rFonts w:ascii="楷体" w:eastAsia="楷体" w:hAnsi="楷体" w:cs="宋体"/>
                <w:b/>
                <w:bCs/>
                <w:sz w:val="18"/>
                <w:szCs w:val="18"/>
              </w:rPr>
            </w:pPr>
            <w:r w:rsidRPr="00035682">
              <w:rPr>
                <w:rFonts w:ascii="楷体" w:eastAsia="楷体" w:hAnsi="楷体" w:hint="eastAsia"/>
                <w:b/>
                <w:bCs/>
                <w:sz w:val="18"/>
                <w:szCs w:val="18"/>
              </w:rPr>
              <w:t>债券</w:t>
            </w:r>
            <w:r w:rsidRPr="00035682">
              <w:rPr>
                <w:rFonts w:ascii="楷体" w:eastAsia="楷体" w:hAnsi="楷体"/>
                <w:b/>
                <w:bCs/>
                <w:sz w:val="18"/>
                <w:szCs w:val="18"/>
              </w:rPr>
              <w:t>-</w:t>
            </w:r>
            <w:r w:rsidRPr="00035682">
              <w:rPr>
                <w:rFonts w:ascii="楷体" w:eastAsia="楷体" w:hAnsi="楷体" w:hint="eastAsia"/>
                <w:b/>
                <w:bCs/>
                <w:sz w:val="18"/>
                <w:szCs w:val="18"/>
              </w:rPr>
              <w:t>纯债基金</w:t>
            </w:r>
          </w:p>
        </w:tc>
        <w:tc>
          <w:tcPr>
            <w:tcW w:w="1197" w:type="dxa"/>
            <w:tcBorders>
              <w:left w:val="single" w:sz="6" w:space="0" w:color="FF6600"/>
              <w:right w:val="single" w:sz="6" w:space="0" w:color="FF6600"/>
            </w:tcBorders>
            <w:vAlign w:val="center"/>
          </w:tcPr>
          <w:p w:rsidR="00A14A34" w:rsidRPr="00035682" w:rsidRDefault="00A14A34" w:rsidP="00A7544D">
            <w:pPr>
              <w:snapToGrid w:val="0"/>
              <w:jc w:val="center"/>
              <w:rPr>
                <w:rFonts w:ascii="楷体" w:eastAsia="楷体" w:hAnsi="楷体"/>
                <w:color w:val="000000"/>
                <w:sz w:val="18"/>
                <w:szCs w:val="18"/>
              </w:rPr>
            </w:pPr>
            <w:r w:rsidRPr="00035682">
              <w:rPr>
                <w:rFonts w:ascii="楷体" w:eastAsia="楷体" w:hAnsi="楷体"/>
                <w:color w:val="000000"/>
                <w:sz w:val="18"/>
                <w:szCs w:val="18"/>
              </w:rPr>
              <w:t>0.67</w:t>
            </w:r>
          </w:p>
        </w:tc>
        <w:tc>
          <w:tcPr>
            <w:tcW w:w="2394" w:type="dxa"/>
            <w:gridSpan w:val="2"/>
            <w:tcBorders>
              <w:left w:val="single" w:sz="6" w:space="0" w:color="FF6600"/>
              <w:right w:val="single" w:sz="6" w:space="0" w:color="FF6600"/>
            </w:tcBorders>
            <w:shd w:val="clear" w:color="auto" w:fill="FDE9D9"/>
            <w:vAlign w:val="center"/>
          </w:tcPr>
          <w:p w:rsidR="00A14A34" w:rsidRPr="00035682" w:rsidRDefault="00A14A34" w:rsidP="00884478">
            <w:pPr>
              <w:snapToGrid w:val="0"/>
              <w:jc w:val="center"/>
              <w:rPr>
                <w:rFonts w:ascii="楷体" w:eastAsia="楷体" w:hAnsi="楷体"/>
                <w:b/>
                <w:sz w:val="18"/>
                <w:szCs w:val="18"/>
              </w:rPr>
            </w:pPr>
            <w:r w:rsidRPr="00035682">
              <w:rPr>
                <w:rFonts w:ascii="楷体" w:eastAsia="楷体" w:hAnsi="楷体" w:hint="eastAsia"/>
                <w:b/>
                <w:sz w:val="18"/>
                <w:szCs w:val="18"/>
              </w:rPr>
              <w:t>货币市场基金</w:t>
            </w:r>
            <w:r w:rsidRPr="00035682">
              <w:rPr>
                <w:rFonts w:ascii="楷体" w:eastAsia="楷体" w:hAnsi="楷体"/>
                <w:b/>
                <w:sz w:val="18"/>
                <w:szCs w:val="18"/>
              </w:rPr>
              <w:t>7</w:t>
            </w:r>
            <w:r w:rsidRPr="00035682">
              <w:rPr>
                <w:rFonts w:ascii="楷体" w:eastAsia="楷体" w:hAnsi="楷体" w:hint="eastAsia"/>
                <w:b/>
                <w:sz w:val="18"/>
                <w:szCs w:val="18"/>
              </w:rPr>
              <w:t>日年化收益率</w:t>
            </w:r>
          </w:p>
        </w:tc>
        <w:tc>
          <w:tcPr>
            <w:tcW w:w="1197" w:type="dxa"/>
            <w:tcBorders>
              <w:left w:val="single" w:sz="6" w:space="0" w:color="FF6600"/>
            </w:tcBorders>
            <w:vAlign w:val="center"/>
          </w:tcPr>
          <w:p w:rsidR="00A14A34" w:rsidRPr="00035682" w:rsidRDefault="00A14A34" w:rsidP="007416C4">
            <w:pPr>
              <w:snapToGrid w:val="0"/>
              <w:jc w:val="center"/>
              <w:rPr>
                <w:rFonts w:ascii="楷体" w:eastAsia="楷体" w:hAnsi="楷体"/>
                <w:color w:val="000000"/>
                <w:sz w:val="18"/>
                <w:szCs w:val="18"/>
              </w:rPr>
            </w:pPr>
            <w:r w:rsidRPr="00035682">
              <w:rPr>
                <w:rFonts w:ascii="楷体" w:eastAsia="楷体" w:hAnsi="楷体"/>
                <w:color w:val="000000"/>
                <w:sz w:val="18"/>
                <w:szCs w:val="18"/>
              </w:rPr>
              <w:t>4.36</w:t>
            </w:r>
          </w:p>
        </w:tc>
      </w:tr>
      <w:tr w:rsidR="00A14A34" w:rsidRPr="00035682" w:rsidTr="009D6B40">
        <w:trPr>
          <w:cantSplit/>
          <w:trHeight w:val="284"/>
        </w:trPr>
        <w:tc>
          <w:tcPr>
            <w:tcW w:w="993" w:type="dxa"/>
            <w:vMerge/>
            <w:tcBorders>
              <w:right w:val="single" w:sz="6" w:space="0" w:color="FF6600"/>
            </w:tcBorders>
            <w:shd w:val="clear" w:color="auto" w:fill="FDE9D9"/>
            <w:vAlign w:val="center"/>
          </w:tcPr>
          <w:p w:rsidR="00A14A34" w:rsidRPr="00035682" w:rsidRDefault="00A14A34" w:rsidP="009D6B40">
            <w:pPr>
              <w:snapToGrid w:val="0"/>
              <w:jc w:val="center"/>
              <w:rPr>
                <w:rFonts w:ascii="楷体" w:eastAsia="楷体" w:hAnsi="楷体"/>
                <w:b/>
                <w:sz w:val="18"/>
                <w:szCs w:val="18"/>
              </w:rPr>
            </w:pPr>
          </w:p>
        </w:tc>
        <w:tc>
          <w:tcPr>
            <w:tcW w:w="1400" w:type="dxa"/>
            <w:tcBorders>
              <w:left w:val="single" w:sz="6" w:space="0" w:color="FF6600"/>
              <w:right w:val="single" w:sz="6" w:space="0" w:color="FF6600"/>
            </w:tcBorders>
            <w:shd w:val="clear" w:color="auto" w:fill="FDE9D9"/>
            <w:vAlign w:val="center"/>
          </w:tcPr>
          <w:p w:rsidR="00A14A34" w:rsidRPr="00035682" w:rsidRDefault="00A14A34" w:rsidP="009D6B40">
            <w:pPr>
              <w:snapToGrid w:val="0"/>
              <w:jc w:val="center"/>
              <w:rPr>
                <w:rFonts w:ascii="楷体" w:eastAsia="楷体" w:hAnsi="楷体"/>
                <w:b/>
                <w:sz w:val="18"/>
                <w:szCs w:val="18"/>
              </w:rPr>
            </w:pPr>
            <w:r w:rsidRPr="00035682">
              <w:rPr>
                <w:rFonts w:ascii="楷体" w:eastAsia="楷体" w:hAnsi="楷体" w:hint="eastAsia"/>
                <w:b/>
                <w:sz w:val="18"/>
                <w:szCs w:val="18"/>
              </w:rPr>
              <w:t>股票</w:t>
            </w:r>
            <w:r w:rsidRPr="00035682">
              <w:rPr>
                <w:rFonts w:ascii="楷体" w:eastAsia="楷体" w:hAnsi="楷体"/>
                <w:b/>
                <w:sz w:val="18"/>
                <w:szCs w:val="18"/>
              </w:rPr>
              <w:t>-</w:t>
            </w:r>
            <w:r w:rsidRPr="00035682">
              <w:rPr>
                <w:rFonts w:ascii="楷体" w:eastAsia="楷体" w:hAnsi="楷体" w:hint="eastAsia"/>
                <w:b/>
                <w:sz w:val="18"/>
                <w:szCs w:val="18"/>
              </w:rPr>
              <w:t>指数型</w:t>
            </w:r>
          </w:p>
        </w:tc>
        <w:tc>
          <w:tcPr>
            <w:tcW w:w="1197" w:type="dxa"/>
            <w:tcBorders>
              <w:left w:val="single" w:sz="6" w:space="0" w:color="FF6600"/>
              <w:right w:val="single" w:sz="6" w:space="0" w:color="FF6600"/>
            </w:tcBorders>
            <w:vAlign w:val="center"/>
          </w:tcPr>
          <w:p w:rsidR="00A14A34" w:rsidRPr="00035682" w:rsidRDefault="00A14A34" w:rsidP="009D6B40">
            <w:pPr>
              <w:snapToGrid w:val="0"/>
              <w:jc w:val="center"/>
              <w:rPr>
                <w:rFonts w:ascii="楷体" w:eastAsia="楷体" w:hAnsi="楷体"/>
                <w:color w:val="FF0000"/>
                <w:sz w:val="18"/>
                <w:szCs w:val="18"/>
              </w:rPr>
            </w:pPr>
            <w:r w:rsidRPr="00035682">
              <w:rPr>
                <w:rFonts w:ascii="楷体" w:eastAsia="楷体" w:hAnsi="楷体"/>
                <w:color w:val="FF0000"/>
                <w:sz w:val="18"/>
                <w:szCs w:val="18"/>
              </w:rPr>
              <w:t>-2.08</w:t>
            </w:r>
          </w:p>
        </w:tc>
        <w:tc>
          <w:tcPr>
            <w:tcW w:w="946" w:type="dxa"/>
            <w:vMerge/>
            <w:tcBorders>
              <w:left w:val="single" w:sz="6" w:space="0" w:color="FF6600"/>
              <w:right w:val="single" w:sz="6" w:space="0" w:color="FF6600"/>
            </w:tcBorders>
            <w:shd w:val="clear" w:color="auto" w:fill="FDE9D9"/>
            <w:vAlign w:val="center"/>
          </w:tcPr>
          <w:p w:rsidR="00A14A34" w:rsidRPr="00035682" w:rsidRDefault="00A14A34" w:rsidP="009D6B40">
            <w:pPr>
              <w:snapToGrid w:val="0"/>
              <w:jc w:val="center"/>
              <w:rPr>
                <w:rFonts w:ascii="楷体" w:eastAsia="楷体" w:hAnsi="楷体"/>
                <w:b/>
                <w:sz w:val="18"/>
                <w:szCs w:val="18"/>
              </w:rPr>
            </w:pPr>
          </w:p>
        </w:tc>
        <w:tc>
          <w:tcPr>
            <w:tcW w:w="1448" w:type="dxa"/>
            <w:tcBorders>
              <w:left w:val="single" w:sz="6" w:space="0" w:color="FF6600"/>
              <w:right w:val="single" w:sz="6" w:space="0" w:color="FF6600"/>
            </w:tcBorders>
            <w:shd w:val="clear" w:color="auto" w:fill="FDE9D9"/>
            <w:vAlign w:val="center"/>
          </w:tcPr>
          <w:p w:rsidR="00A14A34" w:rsidRPr="007E0CA0" w:rsidRDefault="00A14A34" w:rsidP="009D6B40">
            <w:pPr>
              <w:snapToGrid w:val="0"/>
              <w:jc w:val="center"/>
              <w:rPr>
                <w:rFonts w:ascii="楷体" w:eastAsia="楷体" w:hAnsi="楷体" w:cs="宋体"/>
                <w:b/>
                <w:bCs/>
                <w:sz w:val="18"/>
                <w:szCs w:val="18"/>
              </w:rPr>
            </w:pPr>
            <w:r w:rsidRPr="00035682">
              <w:rPr>
                <w:rFonts w:ascii="楷体" w:eastAsia="楷体" w:hAnsi="楷体" w:hint="eastAsia"/>
                <w:b/>
                <w:bCs/>
                <w:sz w:val="18"/>
                <w:szCs w:val="18"/>
              </w:rPr>
              <w:t>债券</w:t>
            </w:r>
            <w:r w:rsidRPr="00035682">
              <w:rPr>
                <w:rFonts w:ascii="楷体" w:eastAsia="楷体" w:hAnsi="楷体"/>
                <w:b/>
                <w:bCs/>
                <w:sz w:val="18"/>
                <w:szCs w:val="18"/>
              </w:rPr>
              <w:t>-</w:t>
            </w:r>
            <w:r w:rsidRPr="00035682">
              <w:rPr>
                <w:rFonts w:ascii="楷体" w:eastAsia="楷体" w:hAnsi="楷体" w:hint="eastAsia"/>
                <w:b/>
                <w:bCs/>
                <w:sz w:val="18"/>
                <w:szCs w:val="18"/>
              </w:rPr>
              <w:t>一级债基</w:t>
            </w:r>
          </w:p>
        </w:tc>
        <w:tc>
          <w:tcPr>
            <w:tcW w:w="1197" w:type="dxa"/>
            <w:tcBorders>
              <w:left w:val="single" w:sz="6" w:space="0" w:color="FF6600"/>
              <w:right w:val="single" w:sz="6" w:space="0" w:color="FF6600"/>
            </w:tcBorders>
            <w:vAlign w:val="center"/>
          </w:tcPr>
          <w:p w:rsidR="00A14A34" w:rsidRPr="00035682" w:rsidRDefault="00A14A34" w:rsidP="009D6B40">
            <w:pPr>
              <w:snapToGrid w:val="0"/>
              <w:jc w:val="center"/>
              <w:rPr>
                <w:rFonts w:ascii="楷体" w:eastAsia="楷体" w:hAnsi="楷体"/>
                <w:color w:val="000000"/>
                <w:sz w:val="18"/>
                <w:szCs w:val="18"/>
              </w:rPr>
            </w:pPr>
            <w:r w:rsidRPr="00035682">
              <w:rPr>
                <w:rFonts w:ascii="楷体" w:eastAsia="楷体" w:hAnsi="楷体"/>
                <w:color w:val="000000"/>
                <w:sz w:val="18"/>
                <w:szCs w:val="18"/>
              </w:rPr>
              <w:t>0.66</w:t>
            </w:r>
          </w:p>
        </w:tc>
        <w:tc>
          <w:tcPr>
            <w:tcW w:w="1041" w:type="dxa"/>
            <w:vMerge w:val="restart"/>
            <w:tcBorders>
              <w:left w:val="single" w:sz="6" w:space="0" w:color="FF6600"/>
              <w:right w:val="single" w:sz="6" w:space="0" w:color="FF6600"/>
            </w:tcBorders>
            <w:shd w:val="clear" w:color="auto" w:fill="FDE9D9"/>
            <w:vAlign w:val="center"/>
          </w:tcPr>
          <w:p w:rsidR="00A14A34" w:rsidRPr="00035682" w:rsidRDefault="00A14A34" w:rsidP="009D6B40">
            <w:pPr>
              <w:snapToGrid w:val="0"/>
              <w:jc w:val="center"/>
              <w:rPr>
                <w:rFonts w:ascii="楷体" w:eastAsia="楷体" w:hAnsi="楷体"/>
                <w:b/>
                <w:sz w:val="18"/>
                <w:szCs w:val="18"/>
              </w:rPr>
            </w:pPr>
            <w:r w:rsidRPr="00035682">
              <w:rPr>
                <w:rFonts w:ascii="楷体" w:eastAsia="楷体" w:hAnsi="楷体" w:hint="eastAsia"/>
                <w:b/>
                <w:sz w:val="18"/>
                <w:szCs w:val="18"/>
              </w:rPr>
              <w:t>分级基金</w:t>
            </w:r>
          </w:p>
          <w:p w:rsidR="00A14A34" w:rsidRPr="00035682" w:rsidRDefault="00A14A34" w:rsidP="009D6B40">
            <w:pPr>
              <w:snapToGrid w:val="0"/>
              <w:jc w:val="center"/>
              <w:rPr>
                <w:rFonts w:ascii="楷体" w:eastAsia="楷体" w:hAnsi="楷体"/>
                <w:b/>
                <w:sz w:val="18"/>
                <w:szCs w:val="18"/>
              </w:rPr>
            </w:pPr>
            <w:r w:rsidRPr="00035682">
              <w:rPr>
                <w:rFonts w:ascii="楷体" w:eastAsia="楷体" w:hAnsi="楷体" w:hint="eastAsia"/>
                <w:b/>
                <w:sz w:val="18"/>
                <w:szCs w:val="18"/>
              </w:rPr>
              <w:t>子份额</w:t>
            </w:r>
          </w:p>
        </w:tc>
        <w:tc>
          <w:tcPr>
            <w:tcW w:w="1353" w:type="dxa"/>
            <w:tcBorders>
              <w:left w:val="single" w:sz="6" w:space="0" w:color="FF6600"/>
              <w:right w:val="single" w:sz="6" w:space="0" w:color="FF6600"/>
            </w:tcBorders>
            <w:shd w:val="clear" w:color="auto" w:fill="FDE9D9"/>
            <w:vAlign w:val="center"/>
          </w:tcPr>
          <w:p w:rsidR="00A14A34" w:rsidRPr="00035682" w:rsidRDefault="00A14A34" w:rsidP="009D6B40">
            <w:pPr>
              <w:snapToGrid w:val="0"/>
              <w:jc w:val="center"/>
              <w:rPr>
                <w:rFonts w:ascii="楷体" w:eastAsia="楷体" w:hAnsi="楷体"/>
                <w:b/>
                <w:sz w:val="18"/>
                <w:szCs w:val="18"/>
              </w:rPr>
            </w:pPr>
            <w:r w:rsidRPr="00035682">
              <w:rPr>
                <w:rFonts w:ascii="楷体" w:eastAsia="楷体" w:hAnsi="楷体" w:hint="eastAsia"/>
                <w:b/>
                <w:sz w:val="18"/>
                <w:szCs w:val="18"/>
              </w:rPr>
              <w:t>股票稳健</w:t>
            </w:r>
          </w:p>
        </w:tc>
        <w:tc>
          <w:tcPr>
            <w:tcW w:w="1197" w:type="dxa"/>
            <w:tcBorders>
              <w:left w:val="single" w:sz="6" w:space="0" w:color="FF6600"/>
            </w:tcBorders>
            <w:vAlign w:val="center"/>
          </w:tcPr>
          <w:p w:rsidR="00A14A34" w:rsidRPr="00035682" w:rsidRDefault="00A14A34" w:rsidP="009D6B40">
            <w:pPr>
              <w:snapToGrid w:val="0"/>
              <w:jc w:val="center"/>
              <w:rPr>
                <w:rFonts w:ascii="楷体" w:eastAsia="楷体" w:hAnsi="楷体"/>
                <w:color w:val="FF0000"/>
                <w:sz w:val="18"/>
                <w:szCs w:val="18"/>
              </w:rPr>
            </w:pPr>
            <w:r w:rsidRPr="00035682">
              <w:rPr>
                <w:rFonts w:ascii="楷体" w:eastAsia="楷体" w:hAnsi="楷体"/>
                <w:color w:val="FF0000"/>
                <w:sz w:val="18"/>
                <w:szCs w:val="18"/>
              </w:rPr>
              <w:t>-0.01</w:t>
            </w:r>
          </w:p>
        </w:tc>
      </w:tr>
      <w:tr w:rsidR="00A14A34" w:rsidRPr="00035682" w:rsidTr="009D6B40">
        <w:trPr>
          <w:cantSplit/>
          <w:trHeight w:val="284"/>
        </w:trPr>
        <w:tc>
          <w:tcPr>
            <w:tcW w:w="993" w:type="dxa"/>
            <w:vMerge w:val="restart"/>
            <w:tcBorders>
              <w:right w:val="single" w:sz="6" w:space="0" w:color="FF6600"/>
            </w:tcBorders>
            <w:shd w:val="clear" w:color="auto" w:fill="FDE9D9"/>
            <w:vAlign w:val="center"/>
          </w:tcPr>
          <w:p w:rsidR="00A14A34" w:rsidRPr="00035682" w:rsidRDefault="00A14A34" w:rsidP="009D6B40">
            <w:pPr>
              <w:snapToGrid w:val="0"/>
              <w:jc w:val="center"/>
              <w:rPr>
                <w:rFonts w:ascii="楷体" w:eastAsia="楷体" w:hAnsi="楷体"/>
                <w:b/>
                <w:sz w:val="18"/>
                <w:szCs w:val="18"/>
              </w:rPr>
            </w:pPr>
            <w:r w:rsidRPr="00035682">
              <w:rPr>
                <w:rFonts w:ascii="楷体" w:eastAsia="楷体" w:hAnsi="楷体" w:hint="eastAsia"/>
                <w:b/>
                <w:sz w:val="18"/>
                <w:szCs w:val="18"/>
              </w:rPr>
              <w:t>混合型</w:t>
            </w:r>
          </w:p>
        </w:tc>
        <w:tc>
          <w:tcPr>
            <w:tcW w:w="1400" w:type="dxa"/>
            <w:tcBorders>
              <w:left w:val="single" w:sz="6" w:space="0" w:color="FF6600"/>
              <w:right w:val="single" w:sz="6" w:space="0" w:color="FF6600"/>
            </w:tcBorders>
            <w:shd w:val="clear" w:color="auto" w:fill="FDE9D9"/>
            <w:vAlign w:val="center"/>
          </w:tcPr>
          <w:p w:rsidR="00A14A34" w:rsidRPr="007E0CA0" w:rsidRDefault="00A14A34" w:rsidP="009D6B40">
            <w:pPr>
              <w:snapToGrid w:val="0"/>
              <w:jc w:val="center"/>
              <w:rPr>
                <w:rFonts w:ascii="楷体" w:eastAsia="楷体" w:hAnsi="楷体" w:cs="宋体"/>
                <w:b/>
                <w:bCs/>
                <w:sz w:val="18"/>
                <w:szCs w:val="18"/>
              </w:rPr>
            </w:pPr>
            <w:r w:rsidRPr="00035682">
              <w:rPr>
                <w:rFonts w:ascii="楷体" w:eastAsia="楷体" w:hAnsi="楷体" w:hint="eastAsia"/>
                <w:b/>
                <w:bCs/>
                <w:sz w:val="18"/>
                <w:szCs w:val="18"/>
              </w:rPr>
              <w:t>混合</w:t>
            </w:r>
            <w:r w:rsidRPr="00035682">
              <w:rPr>
                <w:rFonts w:ascii="楷体" w:eastAsia="楷体" w:hAnsi="楷体"/>
                <w:b/>
                <w:bCs/>
                <w:sz w:val="18"/>
                <w:szCs w:val="18"/>
              </w:rPr>
              <w:t>-</w:t>
            </w:r>
            <w:r w:rsidRPr="00035682">
              <w:rPr>
                <w:rFonts w:ascii="楷体" w:eastAsia="楷体" w:hAnsi="楷体" w:hint="eastAsia"/>
                <w:b/>
                <w:bCs/>
                <w:sz w:val="18"/>
                <w:szCs w:val="18"/>
              </w:rPr>
              <w:t>偏股型</w:t>
            </w:r>
          </w:p>
        </w:tc>
        <w:tc>
          <w:tcPr>
            <w:tcW w:w="1197" w:type="dxa"/>
            <w:tcBorders>
              <w:left w:val="single" w:sz="6" w:space="0" w:color="FF6600"/>
              <w:right w:val="single" w:sz="6" w:space="0" w:color="FF6600"/>
            </w:tcBorders>
            <w:vAlign w:val="center"/>
          </w:tcPr>
          <w:p w:rsidR="00A14A34" w:rsidRPr="00035682" w:rsidRDefault="00A14A34" w:rsidP="009D6B40">
            <w:pPr>
              <w:snapToGrid w:val="0"/>
              <w:jc w:val="center"/>
              <w:rPr>
                <w:rFonts w:ascii="楷体" w:eastAsia="楷体" w:hAnsi="楷体"/>
                <w:color w:val="FF0000"/>
                <w:sz w:val="18"/>
                <w:szCs w:val="18"/>
              </w:rPr>
            </w:pPr>
            <w:r w:rsidRPr="00035682">
              <w:rPr>
                <w:rFonts w:ascii="楷体" w:eastAsia="楷体" w:hAnsi="楷体"/>
                <w:color w:val="FF0000"/>
                <w:sz w:val="18"/>
                <w:szCs w:val="18"/>
              </w:rPr>
              <w:t>-0.99</w:t>
            </w:r>
          </w:p>
        </w:tc>
        <w:tc>
          <w:tcPr>
            <w:tcW w:w="946" w:type="dxa"/>
            <w:vMerge/>
            <w:tcBorders>
              <w:left w:val="single" w:sz="6" w:space="0" w:color="FF6600"/>
              <w:right w:val="single" w:sz="6" w:space="0" w:color="FF6600"/>
            </w:tcBorders>
            <w:shd w:val="clear" w:color="auto" w:fill="FDE9D9"/>
            <w:vAlign w:val="center"/>
          </w:tcPr>
          <w:p w:rsidR="00A14A34" w:rsidRPr="00035682" w:rsidRDefault="00A14A34" w:rsidP="009D6B40">
            <w:pPr>
              <w:snapToGrid w:val="0"/>
              <w:jc w:val="center"/>
              <w:rPr>
                <w:rFonts w:ascii="楷体" w:eastAsia="楷体" w:hAnsi="楷体"/>
                <w:b/>
                <w:sz w:val="18"/>
                <w:szCs w:val="18"/>
              </w:rPr>
            </w:pPr>
          </w:p>
        </w:tc>
        <w:tc>
          <w:tcPr>
            <w:tcW w:w="1448" w:type="dxa"/>
            <w:tcBorders>
              <w:left w:val="single" w:sz="6" w:space="0" w:color="FF6600"/>
              <w:right w:val="single" w:sz="6" w:space="0" w:color="FF6600"/>
            </w:tcBorders>
            <w:shd w:val="clear" w:color="auto" w:fill="FDE9D9"/>
            <w:vAlign w:val="center"/>
          </w:tcPr>
          <w:p w:rsidR="00A14A34" w:rsidRPr="007E0CA0" w:rsidRDefault="00A14A34" w:rsidP="009D6B40">
            <w:pPr>
              <w:snapToGrid w:val="0"/>
              <w:jc w:val="center"/>
              <w:rPr>
                <w:rFonts w:ascii="楷体" w:eastAsia="楷体" w:hAnsi="楷体" w:cs="宋体"/>
                <w:b/>
                <w:bCs/>
                <w:sz w:val="18"/>
                <w:szCs w:val="18"/>
              </w:rPr>
            </w:pPr>
            <w:r w:rsidRPr="00035682">
              <w:rPr>
                <w:rFonts w:ascii="楷体" w:eastAsia="楷体" w:hAnsi="楷体" w:hint="eastAsia"/>
                <w:b/>
                <w:bCs/>
                <w:sz w:val="18"/>
                <w:szCs w:val="18"/>
              </w:rPr>
              <w:t>债券</w:t>
            </w:r>
            <w:r w:rsidRPr="00035682">
              <w:rPr>
                <w:rFonts w:ascii="楷体" w:eastAsia="楷体" w:hAnsi="楷体"/>
                <w:b/>
                <w:bCs/>
                <w:sz w:val="18"/>
                <w:szCs w:val="18"/>
              </w:rPr>
              <w:t>-</w:t>
            </w:r>
            <w:r w:rsidRPr="00035682">
              <w:rPr>
                <w:rFonts w:ascii="楷体" w:eastAsia="楷体" w:hAnsi="楷体" w:hint="eastAsia"/>
                <w:b/>
                <w:bCs/>
                <w:sz w:val="18"/>
                <w:szCs w:val="18"/>
              </w:rPr>
              <w:t>二级债基</w:t>
            </w:r>
          </w:p>
        </w:tc>
        <w:tc>
          <w:tcPr>
            <w:tcW w:w="1197" w:type="dxa"/>
            <w:tcBorders>
              <w:left w:val="single" w:sz="6" w:space="0" w:color="FF6600"/>
              <w:right w:val="single" w:sz="6" w:space="0" w:color="FF6600"/>
            </w:tcBorders>
            <w:vAlign w:val="center"/>
          </w:tcPr>
          <w:p w:rsidR="00A14A34" w:rsidRPr="00035682" w:rsidRDefault="00A14A34" w:rsidP="009D6B40">
            <w:pPr>
              <w:snapToGrid w:val="0"/>
              <w:jc w:val="center"/>
              <w:rPr>
                <w:rFonts w:ascii="楷体" w:eastAsia="楷体" w:hAnsi="楷体"/>
                <w:color w:val="000000"/>
                <w:sz w:val="18"/>
                <w:szCs w:val="18"/>
              </w:rPr>
            </w:pPr>
            <w:r w:rsidRPr="00035682">
              <w:rPr>
                <w:rFonts w:ascii="楷体" w:eastAsia="楷体" w:hAnsi="楷体"/>
                <w:color w:val="000000"/>
                <w:sz w:val="18"/>
                <w:szCs w:val="18"/>
              </w:rPr>
              <w:t>0.57</w:t>
            </w:r>
          </w:p>
        </w:tc>
        <w:tc>
          <w:tcPr>
            <w:tcW w:w="1041" w:type="dxa"/>
            <w:vMerge/>
            <w:tcBorders>
              <w:left w:val="single" w:sz="6" w:space="0" w:color="FF6600"/>
              <w:right w:val="single" w:sz="6" w:space="0" w:color="FF6600"/>
            </w:tcBorders>
            <w:shd w:val="clear" w:color="auto" w:fill="FDE9D9"/>
            <w:vAlign w:val="center"/>
          </w:tcPr>
          <w:p w:rsidR="00A14A34" w:rsidRPr="00035682" w:rsidRDefault="00A14A34" w:rsidP="009D6B40">
            <w:pPr>
              <w:snapToGrid w:val="0"/>
              <w:jc w:val="center"/>
              <w:rPr>
                <w:rFonts w:ascii="楷体" w:eastAsia="楷体" w:hAnsi="楷体"/>
                <w:b/>
                <w:sz w:val="18"/>
                <w:szCs w:val="18"/>
              </w:rPr>
            </w:pPr>
          </w:p>
        </w:tc>
        <w:tc>
          <w:tcPr>
            <w:tcW w:w="1353" w:type="dxa"/>
            <w:tcBorders>
              <w:left w:val="single" w:sz="6" w:space="0" w:color="FF6600"/>
              <w:right w:val="single" w:sz="6" w:space="0" w:color="FF6600"/>
            </w:tcBorders>
            <w:shd w:val="clear" w:color="auto" w:fill="FDE9D9"/>
            <w:vAlign w:val="center"/>
          </w:tcPr>
          <w:p w:rsidR="00A14A34" w:rsidRPr="00035682" w:rsidRDefault="00A14A34" w:rsidP="009D6B40">
            <w:pPr>
              <w:snapToGrid w:val="0"/>
              <w:jc w:val="center"/>
              <w:rPr>
                <w:rFonts w:ascii="楷体" w:eastAsia="楷体" w:hAnsi="楷体"/>
                <w:b/>
                <w:sz w:val="18"/>
                <w:szCs w:val="18"/>
              </w:rPr>
            </w:pPr>
            <w:r w:rsidRPr="00035682">
              <w:rPr>
                <w:rFonts w:ascii="楷体" w:eastAsia="楷体" w:hAnsi="楷体" w:hint="eastAsia"/>
                <w:b/>
                <w:sz w:val="18"/>
                <w:szCs w:val="18"/>
              </w:rPr>
              <w:t>股票积极</w:t>
            </w:r>
          </w:p>
        </w:tc>
        <w:tc>
          <w:tcPr>
            <w:tcW w:w="1197" w:type="dxa"/>
            <w:tcBorders>
              <w:left w:val="single" w:sz="6" w:space="0" w:color="FF6600"/>
            </w:tcBorders>
            <w:vAlign w:val="center"/>
          </w:tcPr>
          <w:p w:rsidR="00A14A34" w:rsidRPr="00035682" w:rsidRDefault="00A14A34" w:rsidP="009D6B40">
            <w:pPr>
              <w:snapToGrid w:val="0"/>
              <w:jc w:val="center"/>
              <w:rPr>
                <w:rFonts w:ascii="楷体" w:eastAsia="楷体" w:hAnsi="楷体"/>
                <w:color w:val="FF0000"/>
                <w:sz w:val="18"/>
                <w:szCs w:val="18"/>
              </w:rPr>
            </w:pPr>
            <w:r w:rsidRPr="00035682">
              <w:rPr>
                <w:rFonts w:ascii="楷体" w:eastAsia="楷体" w:hAnsi="楷体"/>
                <w:color w:val="FF0000"/>
                <w:sz w:val="18"/>
                <w:szCs w:val="18"/>
              </w:rPr>
              <w:t>-4.16</w:t>
            </w:r>
          </w:p>
        </w:tc>
      </w:tr>
      <w:tr w:rsidR="00A14A34" w:rsidRPr="00035682" w:rsidTr="009D6B40">
        <w:trPr>
          <w:cantSplit/>
          <w:trHeight w:val="284"/>
        </w:trPr>
        <w:tc>
          <w:tcPr>
            <w:tcW w:w="993" w:type="dxa"/>
            <w:vMerge/>
            <w:tcBorders>
              <w:right w:val="single" w:sz="6" w:space="0" w:color="FF6600"/>
            </w:tcBorders>
            <w:shd w:val="clear" w:color="auto" w:fill="FDE9D9"/>
            <w:vAlign w:val="center"/>
          </w:tcPr>
          <w:p w:rsidR="00A14A34" w:rsidRPr="00035682" w:rsidRDefault="00A14A34" w:rsidP="009D6B40">
            <w:pPr>
              <w:snapToGrid w:val="0"/>
              <w:jc w:val="center"/>
              <w:rPr>
                <w:rFonts w:ascii="楷体" w:eastAsia="楷体" w:hAnsi="楷体"/>
                <w:b/>
                <w:sz w:val="18"/>
                <w:szCs w:val="18"/>
              </w:rPr>
            </w:pPr>
          </w:p>
        </w:tc>
        <w:tc>
          <w:tcPr>
            <w:tcW w:w="1400" w:type="dxa"/>
            <w:tcBorders>
              <w:left w:val="single" w:sz="6" w:space="0" w:color="FF6600"/>
              <w:right w:val="single" w:sz="6" w:space="0" w:color="FF6600"/>
            </w:tcBorders>
            <w:shd w:val="clear" w:color="auto" w:fill="FDE9D9"/>
            <w:vAlign w:val="center"/>
          </w:tcPr>
          <w:p w:rsidR="00A14A34" w:rsidRPr="007E0CA0" w:rsidRDefault="00A14A34" w:rsidP="009D6B40">
            <w:pPr>
              <w:snapToGrid w:val="0"/>
              <w:jc w:val="center"/>
              <w:rPr>
                <w:rFonts w:ascii="楷体" w:eastAsia="楷体" w:hAnsi="楷体" w:cs="宋体"/>
                <w:b/>
                <w:bCs/>
                <w:sz w:val="18"/>
                <w:szCs w:val="18"/>
              </w:rPr>
            </w:pPr>
            <w:r w:rsidRPr="00035682">
              <w:rPr>
                <w:rFonts w:ascii="楷体" w:eastAsia="楷体" w:hAnsi="楷体" w:hint="eastAsia"/>
                <w:b/>
                <w:bCs/>
                <w:sz w:val="18"/>
                <w:szCs w:val="18"/>
              </w:rPr>
              <w:t>混合</w:t>
            </w:r>
            <w:r w:rsidRPr="00035682">
              <w:rPr>
                <w:rFonts w:ascii="楷体" w:eastAsia="楷体" w:hAnsi="楷体"/>
                <w:b/>
                <w:bCs/>
                <w:sz w:val="18"/>
                <w:szCs w:val="18"/>
              </w:rPr>
              <w:t>-</w:t>
            </w:r>
            <w:r w:rsidRPr="00035682">
              <w:rPr>
                <w:rFonts w:ascii="楷体" w:eastAsia="楷体" w:hAnsi="楷体" w:hint="eastAsia"/>
                <w:b/>
                <w:bCs/>
                <w:sz w:val="18"/>
                <w:szCs w:val="18"/>
              </w:rPr>
              <w:t>偏债型</w:t>
            </w:r>
          </w:p>
        </w:tc>
        <w:tc>
          <w:tcPr>
            <w:tcW w:w="1197" w:type="dxa"/>
            <w:tcBorders>
              <w:left w:val="single" w:sz="6" w:space="0" w:color="FF6600"/>
              <w:right w:val="single" w:sz="6" w:space="0" w:color="FF6600"/>
            </w:tcBorders>
            <w:vAlign w:val="center"/>
          </w:tcPr>
          <w:p w:rsidR="00A14A34" w:rsidRPr="00035682" w:rsidRDefault="00A14A34" w:rsidP="00F40C1B">
            <w:pPr>
              <w:snapToGrid w:val="0"/>
              <w:jc w:val="center"/>
              <w:rPr>
                <w:rFonts w:ascii="楷体" w:eastAsia="楷体" w:hAnsi="楷体"/>
                <w:color w:val="FF0000"/>
                <w:sz w:val="18"/>
                <w:szCs w:val="18"/>
              </w:rPr>
            </w:pPr>
            <w:r w:rsidRPr="00035682">
              <w:rPr>
                <w:rFonts w:ascii="楷体" w:eastAsia="楷体" w:hAnsi="楷体"/>
                <w:color w:val="FF0000"/>
                <w:sz w:val="18"/>
                <w:szCs w:val="18"/>
              </w:rPr>
              <w:t>-0.18</w:t>
            </w:r>
          </w:p>
        </w:tc>
        <w:tc>
          <w:tcPr>
            <w:tcW w:w="946" w:type="dxa"/>
            <w:vMerge/>
            <w:tcBorders>
              <w:left w:val="single" w:sz="6" w:space="0" w:color="FF6600"/>
              <w:right w:val="single" w:sz="6" w:space="0" w:color="FF6600"/>
            </w:tcBorders>
            <w:shd w:val="clear" w:color="auto" w:fill="FDE9D9"/>
            <w:vAlign w:val="center"/>
          </w:tcPr>
          <w:p w:rsidR="00A14A34" w:rsidRPr="00035682" w:rsidRDefault="00A14A34" w:rsidP="009D6B40">
            <w:pPr>
              <w:snapToGrid w:val="0"/>
              <w:jc w:val="center"/>
              <w:rPr>
                <w:rFonts w:ascii="楷体" w:eastAsia="楷体" w:hAnsi="楷体"/>
                <w:b/>
                <w:sz w:val="18"/>
                <w:szCs w:val="18"/>
              </w:rPr>
            </w:pPr>
          </w:p>
        </w:tc>
        <w:tc>
          <w:tcPr>
            <w:tcW w:w="1448" w:type="dxa"/>
            <w:tcBorders>
              <w:left w:val="single" w:sz="6" w:space="0" w:color="FF6600"/>
              <w:right w:val="single" w:sz="6" w:space="0" w:color="FF6600"/>
            </w:tcBorders>
            <w:shd w:val="clear" w:color="auto" w:fill="FDE9D9"/>
            <w:vAlign w:val="center"/>
          </w:tcPr>
          <w:p w:rsidR="00A14A34" w:rsidRPr="007E0CA0" w:rsidRDefault="00A14A34" w:rsidP="009D6B40">
            <w:pPr>
              <w:snapToGrid w:val="0"/>
              <w:jc w:val="center"/>
              <w:rPr>
                <w:rFonts w:ascii="楷体" w:eastAsia="楷体" w:hAnsi="楷体" w:cs="宋体"/>
                <w:b/>
                <w:bCs/>
                <w:sz w:val="18"/>
                <w:szCs w:val="18"/>
              </w:rPr>
            </w:pPr>
            <w:r w:rsidRPr="00035682">
              <w:rPr>
                <w:rFonts w:ascii="楷体" w:eastAsia="楷体" w:hAnsi="楷体" w:hint="eastAsia"/>
                <w:b/>
                <w:bCs/>
                <w:sz w:val="18"/>
                <w:szCs w:val="18"/>
              </w:rPr>
              <w:t>债券</w:t>
            </w:r>
            <w:r w:rsidRPr="00035682">
              <w:rPr>
                <w:rFonts w:ascii="楷体" w:eastAsia="楷体" w:hAnsi="楷体"/>
                <w:b/>
                <w:bCs/>
                <w:sz w:val="18"/>
                <w:szCs w:val="18"/>
              </w:rPr>
              <w:t>-</w:t>
            </w:r>
            <w:r w:rsidRPr="00035682">
              <w:rPr>
                <w:rFonts w:ascii="楷体" w:eastAsia="楷体" w:hAnsi="楷体" w:hint="eastAsia"/>
                <w:b/>
                <w:bCs/>
                <w:sz w:val="18"/>
                <w:szCs w:val="18"/>
              </w:rPr>
              <w:t>指数债基</w:t>
            </w:r>
          </w:p>
        </w:tc>
        <w:tc>
          <w:tcPr>
            <w:tcW w:w="1197" w:type="dxa"/>
            <w:tcBorders>
              <w:left w:val="single" w:sz="6" w:space="0" w:color="FF6600"/>
              <w:right w:val="single" w:sz="6" w:space="0" w:color="FF6600"/>
            </w:tcBorders>
            <w:vAlign w:val="center"/>
          </w:tcPr>
          <w:p w:rsidR="00A14A34" w:rsidRPr="00035682" w:rsidRDefault="00A14A34" w:rsidP="009D6B40">
            <w:pPr>
              <w:snapToGrid w:val="0"/>
              <w:jc w:val="center"/>
              <w:rPr>
                <w:rFonts w:ascii="楷体" w:eastAsia="楷体" w:hAnsi="楷体"/>
                <w:color w:val="000000"/>
                <w:sz w:val="18"/>
                <w:szCs w:val="18"/>
              </w:rPr>
            </w:pPr>
            <w:r w:rsidRPr="00035682">
              <w:rPr>
                <w:rFonts w:ascii="楷体" w:eastAsia="楷体" w:hAnsi="楷体"/>
                <w:color w:val="000000"/>
                <w:sz w:val="18"/>
                <w:szCs w:val="18"/>
              </w:rPr>
              <w:t>0.48</w:t>
            </w:r>
          </w:p>
        </w:tc>
        <w:tc>
          <w:tcPr>
            <w:tcW w:w="1041" w:type="dxa"/>
            <w:vMerge/>
            <w:tcBorders>
              <w:left w:val="single" w:sz="6" w:space="0" w:color="FF6600"/>
              <w:right w:val="single" w:sz="6" w:space="0" w:color="FF6600"/>
            </w:tcBorders>
            <w:shd w:val="clear" w:color="auto" w:fill="FDE9D9"/>
            <w:vAlign w:val="center"/>
          </w:tcPr>
          <w:p w:rsidR="00A14A34" w:rsidRPr="00035682" w:rsidRDefault="00A14A34" w:rsidP="009D6B40">
            <w:pPr>
              <w:snapToGrid w:val="0"/>
              <w:jc w:val="center"/>
              <w:rPr>
                <w:rFonts w:ascii="楷体" w:eastAsia="楷体" w:hAnsi="楷体"/>
                <w:b/>
                <w:sz w:val="18"/>
                <w:szCs w:val="18"/>
              </w:rPr>
            </w:pPr>
          </w:p>
        </w:tc>
        <w:tc>
          <w:tcPr>
            <w:tcW w:w="1353" w:type="dxa"/>
            <w:tcBorders>
              <w:left w:val="single" w:sz="6" w:space="0" w:color="FF6600"/>
              <w:right w:val="single" w:sz="6" w:space="0" w:color="FF6600"/>
            </w:tcBorders>
            <w:shd w:val="clear" w:color="auto" w:fill="FDE9D9"/>
            <w:vAlign w:val="center"/>
          </w:tcPr>
          <w:p w:rsidR="00A14A34" w:rsidRPr="00035682" w:rsidRDefault="00A14A34" w:rsidP="009D6B40">
            <w:pPr>
              <w:snapToGrid w:val="0"/>
              <w:jc w:val="center"/>
              <w:rPr>
                <w:rFonts w:ascii="楷体" w:eastAsia="楷体" w:hAnsi="楷体"/>
                <w:b/>
                <w:sz w:val="18"/>
                <w:szCs w:val="18"/>
              </w:rPr>
            </w:pPr>
            <w:r w:rsidRPr="00035682">
              <w:rPr>
                <w:rFonts w:ascii="楷体" w:eastAsia="楷体" w:hAnsi="楷体" w:hint="eastAsia"/>
                <w:b/>
                <w:sz w:val="18"/>
                <w:szCs w:val="18"/>
              </w:rPr>
              <w:t>债券稳健</w:t>
            </w:r>
          </w:p>
        </w:tc>
        <w:tc>
          <w:tcPr>
            <w:tcW w:w="1197" w:type="dxa"/>
            <w:tcBorders>
              <w:left w:val="single" w:sz="6" w:space="0" w:color="FF6600"/>
            </w:tcBorders>
            <w:vAlign w:val="center"/>
          </w:tcPr>
          <w:p w:rsidR="00A14A34" w:rsidRPr="00035682" w:rsidRDefault="00A14A34" w:rsidP="007A1ADA">
            <w:pPr>
              <w:snapToGrid w:val="0"/>
              <w:jc w:val="center"/>
              <w:rPr>
                <w:rFonts w:ascii="楷体" w:eastAsia="楷体" w:hAnsi="楷体"/>
                <w:color w:val="000000"/>
                <w:sz w:val="18"/>
                <w:szCs w:val="18"/>
              </w:rPr>
            </w:pPr>
            <w:r w:rsidRPr="00035682">
              <w:rPr>
                <w:rFonts w:ascii="楷体" w:eastAsia="楷体" w:hAnsi="楷体"/>
                <w:color w:val="000000"/>
                <w:sz w:val="18"/>
                <w:szCs w:val="18"/>
              </w:rPr>
              <w:t>0.09</w:t>
            </w:r>
          </w:p>
        </w:tc>
      </w:tr>
      <w:tr w:rsidR="00A14A34" w:rsidRPr="00035682" w:rsidTr="009D6B40">
        <w:trPr>
          <w:cantSplit/>
          <w:trHeight w:val="284"/>
        </w:trPr>
        <w:tc>
          <w:tcPr>
            <w:tcW w:w="993" w:type="dxa"/>
            <w:vMerge/>
            <w:tcBorders>
              <w:right w:val="single" w:sz="6" w:space="0" w:color="FF6600"/>
            </w:tcBorders>
            <w:shd w:val="clear" w:color="auto" w:fill="FDE9D9"/>
            <w:vAlign w:val="center"/>
          </w:tcPr>
          <w:p w:rsidR="00A14A34" w:rsidRPr="00035682" w:rsidRDefault="00A14A34" w:rsidP="009D6B40">
            <w:pPr>
              <w:snapToGrid w:val="0"/>
              <w:jc w:val="center"/>
              <w:rPr>
                <w:rFonts w:ascii="楷体" w:eastAsia="楷体" w:hAnsi="楷体"/>
                <w:b/>
                <w:sz w:val="18"/>
                <w:szCs w:val="18"/>
              </w:rPr>
            </w:pPr>
          </w:p>
        </w:tc>
        <w:tc>
          <w:tcPr>
            <w:tcW w:w="1400" w:type="dxa"/>
            <w:tcBorders>
              <w:left w:val="single" w:sz="6" w:space="0" w:color="FF6600"/>
              <w:right w:val="single" w:sz="6" w:space="0" w:color="FF6600"/>
            </w:tcBorders>
            <w:shd w:val="clear" w:color="auto" w:fill="FDE9D9"/>
            <w:vAlign w:val="center"/>
          </w:tcPr>
          <w:p w:rsidR="00A14A34" w:rsidRPr="007E0CA0" w:rsidRDefault="00A14A34" w:rsidP="00884478">
            <w:pPr>
              <w:snapToGrid w:val="0"/>
              <w:jc w:val="center"/>
              <w:rPr>
                <w:rFonts w:ascii="楷体" w:eastAsia="楷体" w:hAnsi="楷体" w:cs="宋体"/>
                <w:b/>
                <w:bCs/>
                <w:sz w:val="18"/>
                <w:szCs w:val="18"/>
              </w:rPr>
            </w:pPr>
            <w:r w:rsidRPr="00035682">
              <w:rPr>
                <w:rFonts w:ascii="楷体" w:eastAsia="楷体" w:hAnsi="楷体" w:hint="eastAsia"/>
                <w:b/>
                <w:bCs/>
                <w:sz w:val="18"/>
                <w:szCs w:val="18"/>
              </w:rPr>
              <w:t>混合</w:t>
            </w:r>
            <w:r w:rsidRPr="00035682">
              <w:rPr>
                <w:rFonts w:ascii="楷体" w:eastAsia="楷体" w:hAnsi="楷体"/>
                <w:b/>
                <w:bCs/>
                <w:sz w:val="18"/>
                <w:szCs w:val="18"/>
              </w:rPr>
              <w:t>-</w:t>
            </w:r>
            <w:r w:rsidRPr="00035682">
              <w:rPr>
                <w:rFonts w:ascii="楷体" w:eastAsia="楷体" w:hAnsi="楷体" w:hint="eastAsia"/>
                <w:b/>
                <w:bCs/>
                <w:sz w:val="18"/>
                <w:szCs w:val="18"/>
              </w:rPr>
              <w:t>灵活型</w:t>
            </w:r>
          </w:p>
        </w:tc>
        <w:tc>
          <w:tcPr>
            <w:tcW w:w="1197" w:type="dxa"/>
            <w:tcBorders>
              <w:left w:val="single" w:sz="6" w:space="0" w:color="FF6600"/>
              <w:right w:val="single" w:sz="6" w:space="0" w:color="FF6600"/>
            </w:tcBorders>
            <w:vAlign w:val="center"/>
          </w:tcPr>
          <w:p w:rsidR="00A14A34" w:rsidRPr="00035682" w:rsidRDefault="00A14A34" w:rsidP="00884478">
            <w:pPr>
              <w:snapToGrid w:val="0"/>
              <w:jc w:val="center"/>
              <w:rPr>
                <w:rFonts w:ascii="楷体" w:eastAsia="楷体" w:hAnsi="楷体"/>
                <w:color w:val="FF0000"/>
                <w:sz w:val="18"/>
                <w:szCs w:val="18"/>
              </w:rPr>
            </w:pPr>
            <w:r w:rsidRPr="00035682">
              <w:rPr>
                <w:rFonts w:ascii="楷体" w:eastAsia="楷体" w:hAnsi="楷体"/>
                <w:color w:val="FF0000"/>
                <w:sz w:val="18"/>
                <w:szCs w:val="18"/>
              </w:rPr>
              <w:t>-1.16</w:t>
            </w:r>
          </w:p>
        </w:tc>
        <w:tc>
          <w:tcPr>
            <w:tcW w:w="946" w:type="dxa"/>
            <w:vMerge/>
            <w:tcBorders>
              <w:left w:val="single" w:sz="6" w:space="0" w:color="FF6600"/>
              <w:right w:val="single" w:sz="6" w:space="0" w:color="FF6600"/>
            </w:tcBorders>
            <w:shd w:val="clear" w:color="auto" w:fill="FDE9D9"/>
            <w:vAlign w:val="center"/>
          </w:tcPr>
          <w:p w:rsidR="00A14A34" w:rsidRPr="00035682" w:rsidRDefault="00A14A34" w:rsidP="009D6B40">
            <w:pPr>
              <w:snapToGrid w:val="0"/>
              <w:jc w:val="center"/>
              <w:rPr>
                <w:rFonts w:ascii="楷体" w:eastAsia="楷体" w:hAnsi="楷体"/>
                <w:b/>
                <w:sz w:val="18"/>
                <w:szCs w:val="18"/>
              </w:rPr>
            </w:pPr>
          </w:p>
        </w:tc>
        <w:tc>
          <w:tcPr>
            <w:tcW w:w="1448" w:type="dxa"/>
            <w:tcBorders>
              <w:left w:val="single" w:sz="6" w:space="0" w:color="FF6600"/>
              <w:right w:val="single" w:sz="6" w:space="0" w:color="FF6600"/>
            </w:tcBorders>
            <w:shd w:val="clear" w:color="auto" w:fill="FDE9D9"/>
            <w:vAlign w:val="center"/>
          </w:tcPr>
          <w:p w:rsidR="00A14A34" w:rsidRPr="007E0CA0" w:rsidRDefault="00A14A34" w:rsidP="009D6B40">
            <w:pPr>
              <w:snapToGrid w:val="0"/>
              <w:jc w:val="center"/>
              <w:rPr>
                <w:rFonts w:ascii="楷体" w:eastAsia="楷体" w:hAnsi="楷体" w:cs="宋体"/>
                <w:b/>
                <w:bCs/>
                <w:sz w:val="18"/>
                <w:szCs w:val="18"/>
              </w:rPr>
            </w:pPr>
            <w:r w:rsidRPr="00035682">
              <w:rPr>
                <w:rFonts w:ascii="楷体" w:eastAsia="楷体" w:hAnsi="楷体" w:hint="eastAsia"/>
                <w:b/>
                <w:bCs/>
                <w:sz w:val="18"/>
                <w:szCs w:val="18"/>
              </w:rPr>
              <w:t>债券</w:t>
            </w:r>
            <w:r w:rsidRPr="00035682">
              <w:rPr>
                <w:rFonts w:ascii="楷体" w:eastAsia="楷体" w:hAnsi="楷体"/>
                <w:b/>
                <w:bCs/>
                <w:sz w:val="18"/>
                <w:szCs w:val="18"/>
              </w:rPr>
              <w:t>-</w:t>
            </w:r>
            <w:r w:rsidRPr="00035682">
              <w:rPr>
                <w:rFonts w:ascii="楷体" w:eastAsia="楷体" w:hAnsi="楷体" w:hint="eastAsia"/>
                <w:b/>
                <w:bCs/>
                <w:sz w:val="18"/>
                <w:szCs w:val="18"/>
              </w:rPr>
              <w:t>可转债基</w:t>
            </w:r>
          </w:p>
        </w:tc>
        <w:tc>
          <w:tcPr>
            <w:tcW w:w="1197" w:type="dxa"/>
            <w:tcBorders>
              <w:left w:val="single" w:sz="6" w:space="0" w:color="FF6600"/>
              <w:right w:val="single" w:sz="6" w:space="0" w:color="FF6600"/>
            </w:tcBorders>
            <w:vAlign w:val="center"/>
          </w:tcPr>
          <w:p w:rsidR="00A14A34" w:rsidRPr="00035682" w:rsidRDefault="00A14A34" w:rsidP="00100CB5">
            <w:pPr>
              <w:snapToGrid w:val="0"/>
              <w:jc w:val="center"/>
              <w:rPr>
                <w:rFonts w:ascii="楷体" w:eastAsia="楷体" w:hAnsi="楷体"/>
                <w:color w:val="000000"/>
                <w:sz w:val="18"/>
                <w:szCs w:val="18"/>
              </w:rPr>
            </w:pPr>
            <w:r w:rsidRPr="00035682">
              <w:rPr>
                <w:rFonts w:ascii="楷体" w:eastAsia="楷体" w:hAnsi="楷体"/>
                <w:color w:val="000000"/>
                <w:sz w:val="18"/>
                <w:szCs w:val="18"/>
              </w:rPr>
              <w:t>0.53</w:t>
            </w:r>
          </w:p>
        </w:tc>
        <w:tc>
          <w:tcPr>
            <w:tcW w:w="1041" w:type="dxa"/>
            <w:vMerge/>
            <w:tcBorders>
              <w:left w:val="single" w:sz="6" w:space="0" w:color="FF6600"/>
              <w:right w:val="single" w:sz="6" w:space="0" w:color="FF6600"/>
            </w:tcBorders>
            <w:shd w:val="clear" w:color="auto" w:fill="FDE9D9"/>
            <w:vAlign w:val="center"/>
          </w:tcPr>
          <w:p w:rsidR="00A14A34" w:rsidRPr="00035682" w:rsidRDefault="00A14A34" w:rsidP="009D6B40">
            <w:pPr>
              <w:snapToGrid w:val="0"/>
              <w:jc w:val="center"/>
              <w:rPr>
                <w:rFonts w:ascii="楷体" w:eastAsia="楷体" w:hAnsi="楷体"/>
                <w:b/>
                <w:sz w:val="18"/>
                <w:szCs w:val="18"/>
              </w:rPr>
            </w:pPr>
          </w:p>
        </w:tc>
        <w:tc>
          <w:tcPr>
            <w:tcW w:w="1353" w:type="dxa"/>
            <w:tcBorders>
              <w:left w:val="single" w:sz="6" w:space="0" w:color="FF6600"/>
              <w:right w:val="single" w:sz="6" w:space="0" w:color="FF6600"/>
            </w:tcBorders>
            <w:shd w:val="clear" w:color="auto" w:fill="FDE9D9"/>
            <w:vAlign w:val="center"/>
          </w:tcPr>
          <w:p w:rsidR="00A14A34" w:rsidRPr="00035682" w:rsidRDefault="00A14A34" w:rsidP="009D6B40">
            <w:pPr>
              <w:snapToGrid w:val="0"/>
              <w:jc w:val="center"/>
              <w:rPr>
                <w:rFonts w:ascii="楷体" w:eastAsia="楷体" w:hAnsi="楷体"/>
                <w:b/>
                <w:sz w:val="18"/>
                <w:szCs w:val="18"/>
              </w:rPr>
            </w:pPr>
            <w:r w:rsidRPr="00035682">
              <w:rPr>
                <w:rFonts w:ascii="楷体" w:eastAsia="楷体" w:hAnsi="楷体" w:hint="eastAsia"/>
                <w:b/>
                <w:sz w:val="18"/>
                <w:szCs w:val="18"/>
              </w:rPr>
              <w:t>债券积极</w:t>
            </w:r>
          </w:p>
        </w:tc>
        <w:tc>
          <w:tcPr>
            <w:tcW w:w="1197" w:type="dxa"/>
            <w:tcBorders>
              <w:left w:val="single" w:sz="6" w:space="0" w:color="FF6600"/>
            </w:tcBorders>
            <w:vAlign w:val="center"/>
          </w:tcPr>
          <w:p w:rsidR="00A14A34" w:rsidRPr="00035682" w:rsidRDefault="00A14A34" w:rsidP="009D6B40">
            <w:pPr>
              <w:snapToGrid w:val="0"/>
              <w:jc w:val="center"/>
              <w:rPr>
                <w:rFonts w:ascii="楷体" w:eastAsia="楷体" w:hAnsi="楷体"/>
                <w:color w:val="000000"/>
                <w:sz w:val="18"/>
                <w:szCs w:val="18"/>
              </w:rPr>
            </w:pPr>
            <w:r w:rsidRPr="00035682">
              <w:rPr>
                <w:rFonts w:ascii="楷体" w:eastAsia="楷体" w:hAnsi="楷体"/>
                <w:color w:val="000000"/>
                <w:sz w:val="18"/>
                <w:szCs w:val="18"/>
              </w:rPr>
              <w:t>1.54</w:t>
            </w:r>
          </w:p>
        </w:tc>
      </w:tr>
      <w:tr w:rsidR="00A14A34" w:rsidRPr="00035682" w:rsidTr="00884478">
        <w:trPr>
          <w:cantSplit/>
          <w:trHeight w:val="284"/>
        </w:trPr>
        <w:tc>
          <w:tcPr>
            <w:tcW w:w="2393" w:type="dxa"/>
            <w:gridSpan w:val="2"/>
            <w:tcBorders>
              <w:right w:val="single" w:sz="6" w:space="0" w:color="FF6600"/>
            </w:tcBorders>
            <w:shd w:val="clear" w:color="auto" w:fill="FDE9D9"/>
            <w:vAlign w:val="center"/>
          </w:tcPr>
          <w:p w:rsidR="00A14A34" w:rsidRPr="00035682" w:rsidRDefault="00A14A34" w:rsidP="00884478">
            <w:pPr>
              <w:snapToGrid w:val="0"/>
              <w:jc w:val="center"/>
              <w:rPr>
                <w:rFonts w:ascii="楷体" w:eastAsia="楷体" w:hAnsi="楷体"/>
                <w:b/>
                <w:sz w:val="18"/>
                <w:szCs w:val="18"/>
              </w:rPr>
            </w:pPr>
            <w:r w:rsidRPr="00035682">
              <w:rPr>
                <w:rFonts w:ascii="楷体" w:eastAsia="楷体" w:hAnsi="楷体"/>
                <w:b/>
                <w:sz w:val="18"/>
                <w:szCs w:val="18"/>
              </w:rPr>
              <w:t>QDII</w:t>
            </w:r>
          </w:p>
        </w:tc>
        <w:tc>
          <w:tcPr>
            <w:tcW w:w="1197" w:type="dxa"/>
            <w:tcBorders>
              <w:left w:val="single" w:sz="6" w:space="0" w:color="FF6600"/>
              <w:right w:val="single" w:sz="6" w:space="0" w:color="FF6600"/>
            </w:tcBorders>
            <w:vAlign w:val="center"/>
          </w:tcPr>
          <w:p w:rsidR="00A14A34" w:rsidRPr="00035682" w:rsidRDefault="00A14A34" w:rsidP="00B236A5">
            <w:pPr>
              <w:snapToGrid w:val="0"/>
              <w:jc w:val="center"/>
              <w:rPr>
                <w:rFonts w:ascii="楷体" w:eastAsia="楷体" w:hAnsi="楷体"/>
                <w:color w:val="000000"/>
                <w:sz w:val="18"/>
                <w:szCs w:val="18"/>
              </w:rPr>
            </w:pPr>
            <w:r w:rsidRPr="00035682">
              <w:rPr>
                <w:rFonts w:ascii="楷体" w:eastAsia="楷体" w:hAnsi="楷体"/>
                <w:color w:val="000000"/>
                <w:sz w:val="18"/>
                <w:szCs w:val="18"/>
              </w:rPr>
              <w:t>2.41</w:t>
            </w:r>
          </w:p>
        </w:tc>
        <w:tc>
          <w:tcPr>
            <w:tcW w:w="946" w:type="dxa"/>
            <w:vMerge/>
            <w:tcBorders>
              <w:left w:val="single" w:sz="6" w:space="0" w:color="FF6600"/>
              <w:right w:val="single" w:sz="6" w:space="0" w:color="FF6600"/>
            </w:tcBorders>
            <w:shd w:val="clear" w:color="auto" w:fill="FDE9D9"/>
            <w:vAlign w:val="center"/>
          </w:tcPr>
          <w:p w:rsidR="00A14A34" w:rsidRPr="00035682" w:rsidRDefault="00A14A34" w:rsidP="009D6B40">
            <w:pPr>
              <w:snapToGrid w:val="0"/>
              <w:jc w:val="center"/>
              <w:rPr>
                <w:rFonts w:ascii="楷体" w:eastAsia="楷体" w:hAnsi="楷体"/>
                <w:b/>
                <w:sz w:val="18"/>
                <w:szCs w:val="18"/>
              </w:rPr>
            </w:pPr>
          </w:p>
        </w:tc>
        <w:tc>
          <w:tcPr>
            <w:tcW w:w="1448" w:type="dxa"/>
            <w:tcBorders>
              <w:left w:val="single" w:sz="6" w:space="0" w:color="FF6600"/>
              <w:right w:val="single" w:sz="6" w:space="0" w:color="FF6600"/>
            </w:tcBorders>
            <w:shd w:val="clear" w:color="auto" w:fill="FDE9D9"/>
            <w:vAlign w:val="center"/>
          </w:tcPr>
          <w:p w:rsidR="00A14A34" w:rsidRPr="007E0CA0" w:rsidRDefault="00A14A34" w:rsidP="009D6B40">
            <w:pPr>
              <w:snapToGrid w:val="0"/>
              <w:jc w:val="center"/>
              <w:rPr>
                <w:rFonts w:ascii="楷体" w:eastAsia="楷体" w:hAnsi="楷体" w:cs="宋体"/>
                <w:b/>
                <w:bCs/>
                <w:sz w:val="18"/>
                <w:szCs w:val="18"/>
              </w:rPr>
            </w:pPr>
            <w:r w:rsidRPr="00035682">
              <w:rPr>
                <w:rFonts w:ascii="楷体" w:eastAsia="楷体" w:hAnsi="楷体" w:hint="eastAsia"/>
                <w:b/>
                <w:bCs/>
                <w:sz w:val="18"/>
                <w:szCs w:val="18"/>
              </w:rPr>
              <w:t>债券</w:t>
            </w:r>
            <w:r w:rsidRPr="00035682">
              <w:rPr>
                <w:rFonts w:ascii="楷体" w:eastAsia="楷体" w:hAnsi="楷体"/>
                <w:b/>
                <w:bCs/>
                <w:sz w:val="18"/>
                <w:szCs w:val="18"/>
              </w:rPr>
              <w:t>-</w:t>
            </w:r>
            <w:r w:rsidRPr="00035682">
              <w:rPr>
                <w:rFonts w:ascii="楷体" w:eastAsia="楷体" w:hAnsi="楷体" w:hint="eastAsia"/>
                <w:b/>
                <w:bCs/>
                <w:sz w:val="18"/>
                <w:szCs w:val="18"/>
              </w:rPr>
              <w:t>理财债基</w:t>
            </w:r>
          </w:p>
        </w:tc>
        <w:tc>
          <w:tcPr>
            <w:tcW w:w="1197" w:type="dxa"/>
            <w:tcBorders>
              <w:left w:val="single" w:sz="6" w:space="0" w:color="FF6600"/>
              <w:right w:val="single" w:sz="6" w:space="0" w:color="FF6600"/>
            </w:tcBorders>
            <w:vAlign w:val="center"/>
          </w:tcPr>
          <w:p w:rsidR="00A14A34" w:rsidRPr="00035682" w:rsidRDefault="00A14A34" w:rsidP="009D6B40">
            <w:pPr>
              <w:snapToGrid w:val="0"/>
              <w:jc w:val="center"/>
              <w:rPr>
                <w:rFonts w:ascii="楷体" w:eastAsia="楷体" w:hAnsi="楷体"/>
                <w:color w:val="000000"/>
                <w:sz w:val="18"/>
                <w:szCs w:val="18"/>
              </w:rPr>
            </w:pPr>
            <w:r w:rsidRPr="00035682">
              <w:rPr>
                <w:rFonts w:ascii="楷体" w:eastAsia="楷体" w:hAnsi="楷体"/>
                <w:color w:val="000000"/>
                <w:sz w:val="18"/>
                <w:szCs w:val="18"/>
              </w:rPr>
              <w:t>0.09</w:t>
            </w:r>
          </w:p>
        </w:tc>
        <w:tc>
          <w:tcPr>
            <w:tcW w:w="2394" w:type="dxa"/>
            <w:gridSpan w:val="2"/>
            <w:tcBorders>
              <w:left w:val="single" w:sz="6" w:space="0" w:color="FF6600"/>
              <w:right w:val="single" w:sz="6" w:space="0" w:color="FF6600"/>
            </w:tcBorders>
            <w:shd w:val="clear" w:color="auto" w:fill="FDE9D9"/>
            <w:vAlign w:val="center"/>
          </w:tcPr>
          <w:p w:rsidR="00A14A34" w:rsidRPr="00035682" w:rsidRDefault="00A14A34" w:rsidP="009D6B40">
            <w:pPr>
              <w:snapToGrid w:val="0"/>
              <w:jc w:val="center"/>
              <w:rPr>
                <w:rFonts w:ascii="楷体" w:eastAsia="楷体" w:hAnsi="楷体"/>
                <w:b/>
                <w:sz w:val="18"/>
                <w:szCs w:val="18"/>
              </w:rPr>
            </w:pPr>
            <w:r w:rsidRPr="00035682">
              <w:rPr>
                <w:rFonts w:ascii="楷体" w:eastAsia="楷体" w:hAnsi="楷体" w:hint="eastAsia"/>
                <w:b/>
                <w:sz w:val="18"/>
                <w:szCs w:val="18"/>
              </w:rPr>
              <w:t>商品基金</w:t>
            </w:r>
          </w:p>
        </w:tc>
        <w:tc>
          <w:tcPr>
            <w:tcW w:w="1197" w:type="dxa"/>
            <w:tcBorders>
              <w:left w:val="single" w:sz="6" w:space="0" w:color="FF6600"/>
            </w:tcBorders>
            <w:vAlign w:val="center"/>
          </w:tcPr>
          <w:p w:rsidR="00A14A34" w:rsidRPr="00035682" w:rsidRDefault="00A14A34" w:rsidP="00100CB5">
            <w:pPr>
              <w:snapToGrid w:val="0"/>
              <w:jc w:val="center"/>
              <w:rPr>
                <w:rFonts w:ascii="楷体" w:eastAsia="楷体" w:hAnsi="楷体"/>
                <w:color w:val="FF0000"/>
                <w:sz w:val="18"/>
                <w:szCs w:val="18"/>
              </w:rPr>
            </w:pPr>
            <w:r w:rsidRPr="00035682">
              <w:rPr>
                <w:rFonts w:ascii="楷体" w:eastAsia="楷体" w:hAnsi="楷体"/>
                <w:color w:val="FF0000"/>
                <w:sz w:val="18"/>
                <w:szCs w:val="18"/>
              </w:rPr>
              <w:t>-1.02</w:t>
            </w:r>
          </w:p>
        </w:tc>
      </w:tr>
    </w:tbl>
    <w:p w:rsidR="00A14A34" w:rsidRPr="005B7CDB" w:rsidRDefault="00A14A34" w:rsidP="000D4A66">
      <w:pPr>
        <w:pStyle w:val="FootnoteNoline"/>
        <w:ind w:left="0"/>
        <w:rPr>
          <w:rFonts w:ascii="楷体" w:eastAsia="楷体" w:hAnsi="楷体"/>
          <w:color w:val="FF6600"/>
          <w:lang w:val="en-US"/>
        </w:rPr>
      </w:pPr>
      <w:r w:rsidRPr="005B7CDB">
        <w:rPr>
          <w:rFonts w:ascii="楷体" w:eastAsia="楷体" w:hAnsi="楷体" w:cs="宋体" w:hint="eastAsia"/>
          <w:color w:val="FF6600"/>
          <w:lang w:val="en-US"/>
        </w:rPr>
        <w:t>来源：凯石财富工场</w:t>
      </w:r>
    </w:p>
    <w:p w:rsidR="00A14A34" w:rsidRPr="00EB505F" w:rsidRDefault="00A14A34" w:rsidP="007E2DC5">
      <w:pPr>
        <w:widowControl/>
        <w:spacing w:after="120"/>
        <w:ind w:left="3430"/>
        <w:rPr>
          <w:rFonts w:ascii="楷体" w:eastAsia="楷体" w:hAnsi="楷体"/>
          <w:b/>
          <w:bCs/>
          <w:color w:val="0070C0"/>
          <w:kern w:val="0"/>
          <w:szCs w:val="21"/>
          <w:lang w:val="en-GB"/>
        </w:rPr>
      </w:pPr>
      <w:r w:rsidRPr="005B7CDB">
        <w:rPr>
          <w:rFonts w:ascii="楷体" w:eastAsia="楷体" w:hAnsi="楷体" w:hint="eastAsia"/>
          <w:b/>
          <w:bCs/>
          <w:color w:val="0070C0"/>
          <w:kern w:val="0"/>
          <w:szCs w:val="21"/>
          <w:lang w:val="en-GB"/>
        </w:rPr>
        <w:t>权益类基金一周业绩：</w:t>
      </w:r>
      <w:r>
        <w:rPr>
          <w:rFonts w:ascii="楷体" w:eastAsia="楷体" w:hAnsi="楷体" w:hint="eastAsia"/>
          <w:b/>
          <w:bCs/>
          <w:color w:val="0070C0"/>
          <w:kern w:val="0"/>
          <w:szCs w:val="21"/>
          <w:lang w:val="en-GB"/>
        </w:rPr>
        <w:t>股基混合涨少跌多，美股基金领涨</w:t>
      </w:r>
      <w:r>
        <w:rPr>
          <w:rFonts w:ascii="楷体" w:eastAsia="楷体" w:hAnsi="楷体"/>
          <w:b/>
          <w:bCs/>
          <w:color w:val="0070C0"/>
          <w:kern w:val="0"/>
          <w:szCs w:val="21"/>
          <w:lang w:val="en-GB"/>
        </w:rPr>
        <w:t>QDII</w:t>
      </w:r>
    </w:p>
    <w:p w:rsidR="00A14A34" w:rsidRPr="00B60B81" w:rsidRDefault="00A14A34" w:rsidP="003F158A">
      <w:pPr>
        <w:pStyle w:val="BodyText"/>
        <w:numPr>
          <w:ilvl w:val="4"/>
          <w:numId w:val="1"/>
        </w:numPr>
        <w:spacing w:after="163"/>
        <w:rPr>
          <w:rFonts w:ascii="楷体" w:eastAsia="楷体" w:hAnsi="楷体" w:cs="Arial"/>
          <w:szCs w:val="21"/>
        </w:rPr>
      </w:pPr>
      <w:r>
        <w:rPr>
          <w:rFonts w:ascii="楷体" w:eastAsia="楷体" w:hAnsi="楷体" w:cs="Arial" w:hint="eastAsia"/>
          <w:szCs w:val="21"/>
        </w:rPr>
        <w:t>上周，</w:t>
      </w:r>
      <w:r>
        <w:rPr>
          <w:rFonts w:ascii="楷体" w:eastAsia="楷体" w:hAnsi="楷体" w:cs="Arial"/>
          <w:szCs w:val="21"/>
        </w:rPr>
        <w:t>A</w:t>
      </w:r>
      <w:r>
        <w:rPr>
          <w:rFonts w:ascii="楷体" w:eastAsia="楷体" w:hAnsi="楷体" w:cs="Arial" w:hint="eastAsia"/>
          <w:szCs w:val="21"/>
        </w:rPr>
        <w:t>股继续震荡，权益类基金整体下跌，指数下探，被动风格表现较差。分类来看，股票基金跌幅大于混合基金，配置固定收益类工具的混合</w:t>
      </w:r>
      <w:r>
        <w:rPr>
          <w:rFonts w:ascii="楷体" w:eastAsia="楷体" w:hAnsi="楷体" w:cs="Arial"/>
          <w:szCs w:val="21"/>
        </w:rPr>
        <w:t>-</w:t>
      </w:r>
      <w:r>
        <w:rPr>
          <w:rFonts w:ascii="楷体" w:eastAsia="楷体" w:hAnsi="楷体" w:cs="Arial" w:hint="eastAsia"/>
          <w:szCs w:val="21"/>
        </w:rPr>
        <w:t>偏债型基金跌幅小于混合</w:t>
      </w:r>
      <w:r>
        <w:rPr>
          <w:rFonts w:ascii="楷体" w:eastAsia="楷体" w:hAnsi="楷体" w:cs="Arial"/>
          <w:szCs w:val="21"/>
        </w:rPr>
        <w:t>-</w:t>
      </w:r>
      <w:r>
        <w:rPr>
          <w:rFonts w:ascii="楷体" w:eastAsia="楷体" w:hAnsi="楷体" w:cs="Arial" w:hint="eastAsia"/>
          <w:szCs w:val="21"/>
        </w:rPr>
        <w:t>偏股型，混合</w:t>
      </w:r>
      <w:r>
        <w:rPr>
          <w:rFonts w:ascii="楷体" w:eastAsia="楷体" w:hAnsi="楷体" w:cs="Arial"/>
          <w:szCs w:val="21"/>
        </w:rPr>
        <w:t>-</w:t>
      </w:r>
      <w:r>
        <w:rPr>
          <w:rFonts w:ascii="楷体" w:eastAsia="楷体" w:hAnsi="楷体" w:cs="Arial" w:hint="eastAsia"/>
          <w:szCs w:val="21"/>
        </w:rPr>
        <w:t>灵活型跌幅最大。</w:t>
      </w:r>
      <w:r>
        <w:rPr>
          <w:rFonts w:ascii="楷体" w:eastAsia="楷体" w:hAnsi="楷体" w:cs="Arial"/>
          <w:szCs w:val="21"/>
        </w:rPr>
        <w:t>QDII</w:t>
      </w:r>
      <w:r>
        <w:rPr>
          <w:rFonts w:ascii="楷体" w:eastAsia="楷体" w:hAnsi="楷体" w:cs="Arial" w:hint="eastAsia"/>
          <w:szCs w:val="21"/>
        </w:rPr>
        <w:t>受外围股市回暖影响，平均收益率转负为正，美股基金回归领涨地位，商品基金业绩下降至垫底。</w:t>
      </w:r>
    </w:p>
    <w:p w:rsidR="00A14A34" w:rsidRPr="00EF2F69" w:rsidRDefault="00A14A34" w:rsidP="0069248F">
      <w:pPr>
        <w:pStyle w:val="BodyText"/>
        <w:numPr>
          <w:ilvl w:val="5"/>
          <w:numId w:val="2"/>
        </w:numPr>
        <w:spacing w:after="163"/>
        <w:ind w:left="4140" w:hanging="369"/>
        <w:rPr>
          <w:rFonts w:ascii="楷体" w:eastAsia="楷体" w:hAnsi="楷体" w:cs="Arial"/>
          <w:szCs w:val="21"/>
        </w:rPr>
      </w:pPr>
      <w:r w:rsidRPr="00EF2F69">
        <w:rPr>
          <w:rFonts w:ascii="楷体" w:eastAsia="楷体" w:hAnsi="楷体" w:cs="Arial"/>
          <w:szCs w:val="21"/>
        </w:rPr>
        <w:t>406</w:t>
      </w:r>
      <w:r w:rsidRPr="00EF2F69">
        <w:rPr>
          <w:rFonts w:ascii="楷体" w:eastAsia="楷体" w:hAnsi="楷体" w:cs="Arial" w:hint="eastAsia"/>
          <w:szCs w:val="21"/>
        </w:rPr>
        <w:t>只股票</w:t>
      </w:r>
      <w:r w:rsidRPr="00EF2F69">
        <w:rPr>
          <w:rFonts w:ascii="楷体" w:eastAsia="楷体" w:hAnsi="楷体" w:cs="Arial"/>
          <w:szCs w:val="21"/>
        </w:rPr>
        <w:t>-</w:t>
      </w:r>
      <w:r w:rsidRPr="00EF2F69">
        <w:rPr>
          <w:rFonts w:ascii="楷体" w:eastAsia="楷体" w:hAnsi="楷体" w:cs="Arial" w:hint="eastAsia"/>
          <w:szCs w:val="21"/>
        </w:rPr>
        <w:t>主动型基金平均周收益率为</w:t>
      </w:r>
      <w:r w:rsidRPr="00EF2F69">
        <w:rPr>
          <w:rFonts w:ascii="楷体" w:eastAsia="楷体" w:hAnsi="楷体" w:cs="Arial"/>
          <w:szCs w:val="21"/>
        </w:rPr>
        <w:t>-1.48%</w:t>
      </w:r>
      <w:r w:rsidRPr="00EF2F69">
        <w:rPr>
          <w:rFonts w:ascii="楷体" w:eastAsia="楷体" w:hAnsi="楷体" w:cs="Arial" w:hint="eastAsia"/>
          <w:szCs w:val="21"/>
        </w:rPr>
        <w:t>，仅</w:t>
      </w:r>
      <w:r w:rsidRPr="00EF2F69">
        <w:rPr>
          <w:rFonts w:ascii="楷体" w:eastAsia="楷体" w:hAnsi="楷体" w:cs="Arial"/>
          <w:szCs w:val="21"/>
        </w:rPr>
        <w:t>9</w:t>
      </w:r>
      <w:r w:rsidRPr="00EF2F69">
        <w:rPr>
          <w:rFonts w:ascii="楷体" w:eastAsia="楷体" w:hAnsi="楷体" w:cs="Arial" w:hint="eastAsia"/>
          <w:szCs w:val="21"/>
        </w:rPr>
        <w:t>只产品周收益率为正，约</w:t>
      </w:r>
      <w:r w:rsidRPr="00EF2F69">
        <w:rPr>
          <w:rFonts w:ascii="楷体" w:eastAsia="楷体" w:hAnsi="楷体" w:cs="Arial"/>
          <w:szCs w:val="21"/>
        </w:rPr>
        <w:t>97%</w:t>
      </w:r>
      <w:r w:rsidRPr="00EF2F69">
        <w:rPr>
          <w:rFonts w:ascii="楷体" w:eastAsia="楷体" w:hAnsi="楷体" w:cs="Arial" w:hint="eastAsia"/>
          <w:szCs w:val="21"/>
        </w:rPr>
        <w:t>的产品净值下跌</w:t>
      </w:r>
      <w:r>
        <w:rPr>
          <w:rFonts w:ascii="楷体" w:eastAsia="楷体" w:hAnsi="楷体" w:cs="Arial" w:hint="eastAsia"/>
          <w:szCs w:val="21"/>
        </w:rPr>
        <w:t>，</w:t>
      </w:r>
      <w:r w:rsidRPr="00EF2F69">
        <w:rPr>
          <w:rFonts w:ascii="楷体" w:eastAsia="楷体" w:hAnsi="楷体" w:cs="Arial" w:hint="eastAsia"/>
          <w:szCs w:val="21"/>
        </w:rPr>
        <w:t>最高</w:t>
      </w:r>
      <w:r>
        <w:rPr>
          <w:rFonts w:ascii="楷体" w:eastAsia="楷体" w:hAnsi="楷体" w:cs="Arial" w:hint="eastAsia"/>
          <w:szCs w:val="21"/>
        </w:rPr>
        <w:t>周</w:t>
      </w:r>
      <w:r w:rsidRPr="00EF2F69">
        <w:rPr>
          <w:rFonts w:ascii="楷体" w:eastAsia="楷体" w:hAnsi="楷体" w:cs="Arial" w:hint="eastAsia"/>
          <w:szCs w:val="21"/>
        </w:rPr>
        <w:t>收益率为</w:t>
      </w:r>
      <w:r w:rsidRPr="00EF2F69">
        <w:rPr>
          <w:rFonts w:ascii="楷体" w:eastAsia="楷体" w:hAnsi="楷体" w:hint="eastAsia"/>
          <w:szCs w:val="21"/>
        </w:rPr>
        <w:t>中银主题策略的</w:t>
      </w:r>
      <w:r w:rsidRPr="00EF2F69">
        <w:rPr>
          <w:rFonts w:ascii="楷体" w:eastAsia="楷体" w:hAnsi="楷体"/>
          <w:szCs w:val="21"/>
        </w:rPr>
        <w:t>1.18%</w:t>
      </w:r>
      <w:r w:rsidRPr="00EF2F69">
        <w:rPr>
          <w:rFonts w:ascii="楷体" w:eastAsia="楷体" w:hAnsi="楷体" w:hint="eastAsia"/>
          <w:szCs w:val="21"/>
        </w:rPr>
        <w:t>，最低为</w:t>
      </w:r>
      <w:r w:rsidRPr="00EF2F69">
        <w:rPr>
          <w:rFonts w:ascii="楷体" w:eastAsia="楷体" w:hAnsi="楷体"/>
          <w:szCs w:val="21"/>
        </w:rPr>
        <w:t>-3.29%</w:t>
      </w:r>
      <w:r w:rsidRPr="00EF2F69">
        <w:rPr>
          <w:rFonts w:ascii="楷体" w:eastAsia="楷体" w:hAnsi="楷体" w:hint="eastAsia"/>
          <w:szCs w:val="21"/>
        </w:rPr>
        <w:t>。</w:t>
      </w:r>
      <w:r w:rsidRPr="00EF2F69">
        <w:rPr>
          <w:rFonts w:ascii="楷体" w:eastAsia="楷体" w:hAnsi="楷体"/>
          <w:szCs w:val="21"/>
        </w:rPr>
        <w:t>257</w:t>
      </w:r>
      <w:r w:rsidRPr="00EF2F69">
        <w:rPr>
          <w:rFonts w:ascii="楷体" w:eastAsia="楷体" w:hAnsi="楷体" w:hint="eastAsia"/>
          <w:szCs w:val="21"/>
        </w:rPr>
        <w:t>只股票</w:t>
      </w:r>
      <w:r w:rsidRPr="00EF2F69">
        <w:rPr>
          <w:rFonts w:ascii="楷体" w:eastAsia="楷体" w:hAnsi="楷体"/>
          <w:szCs w:val="21"/>
        </w:rPr>
        <w:t>-</w:t>
      </w:r>
      <w:r w:rsidRPr="00EF2F69">
        <w:rPr>
          <w:rFonts w:ascii="楷体" w:eastAsia="楷体" w:hAnsi="楷体" w:hint="eastAsia"/>
          <w:szCs w:val="21"/>
        </w:rPr>
        <w:t>指数型基金全数下跌，</w:t>
      </w:r>
      <w:r>
        <w:rPr>
          <w:rFonts w:ascii="楷体" w:eastAsia="楷体" w:hAnsi="楷体" w:hint="eastAsia"/>
          <w:szCs w:val="21"/>
        </w:rPr>
        <w:t>近一半的</w:t>
      </w:r>
      <w:r w:rsidRPr="00EF2F69">
        <w:rPr>
          <w:rFonts w:ascii="楷体" w:eastAsia="楷体" w:hAnsi="楷体" w:hint="eastAsia"/>
          <w:szCs w:val="21"/>
        </w:rPr>
        <w:t>产品</w:t>
      </w:r>
      <w:r>
        <w:rPr>
          <w:rFonts w:ascii="楷体" w:eastAsia="楷体" w:hAnsi="楷体" w:hint="eastAsia"/>
          <w:szCs w:val="21"/>
        </w:rPr>
        <w:t>周</w:t>
      </w:r>
      <w:r w:rsidRPr="00EF2F69">
        <w:rPr>
          <w:rFonts w:ascii="楷体" w:eastAsia="楷体" w:hAnsi="楷体" w:hint="eastAsia"/>
          <w:szCs w:val="21"/>
        </w:rPr>
        <w:t>收益率在</w:t>
      </w:r>
      <w:r w:rsidRPr="00EF2F69">
        <w:rPr>
          <w:rFonts w:ascii="楷体" w:eastAsia="楷体" w:hAnsi="楷体"/>
          <w:szCs w:val="21"/>
        </w:rPr>
        <w:t>-2%</w:t>
      </w:r>
      <w:r w:rsidRPr="00EF2F69">
        <w:rPr>
          <w:rFonts w:ascii="楷体" w:eastAsia="楷体" w:hAnsi="楷体" w:hint="eastAsia"/>
          <w:szCs w:val="21"/>
        </w:rPr>
        <w:t>以下，最高</w:t>
      </w:r>
      <w:r>
        <w:rPr>
          <w:rFonts w:ascii="楷体" w:eastAsia="楷体" w:hAnsi="楷体" w:hint="eastAsia"/>
          <w:szCs w:val="21"/>
        </w:rPr>
        <w:t>周</w:t>
      </w:r>
      <w:r w:rsidRPr="00EF2F69">
        <w:rPr>
          <w:rFonts w:ascii="楷体" w:eastAsia="楷体" w:hAnsi="楷体" w:hint="eastAsia"/>
          <w:szCs w:val="21"/>
        </w:rPr>
        <w:t>收益率为鹏华中证信息技术的</w:t>
      </w:r>
      <w:r w:rsidRPr="00EF2F69">
        <w:rPr>
          <w:rFonts w:ascii="楷体" w:eastAsia="楷体" w:hAnsi="楷体"/>
          <w:szCs w:val="21"/>
        </w:rPr>
        <w:t>-0.58%</w:t>
      </w:r>
      <w:r w:rsidRPr="00EF2F69">
        <w:rPr>
          <w:rFonts w:ascii="楷体" w:eastAsia="楷体" w:hAnsi="楷体" w:hint="eastAsia"/>
          <w:szCs w:val="21"/>
        </w:rPr>
        <w:t>，最低为</w:t>
      </w:r>
      <w:r w:rsidRPr="00EF2F69">
        <w:rPr>
          <w:rFonts w:ascii="楷体" w:eastAsia="楷体" w:hAnsi="楷体"/>
          <w:szCs w:val="21"/>
        </w:rPr>
        <w:t>-3.59%</w:t>
      </w:r>
      <w:r>
        <w:rPr>
          <w:rFonts w:ascii="楷体" w:eastAsia="楷体" w:hAnsi="楷体" w:hint="eastAsia"/>
          <w:szCs w:val="21"/>
        </w:rPr>
        <w:t>。</w:t>
      </w:r>
    </w:p>
    <w:p w:rsidR="00A14A34" w:rsidRPr="00F54FA6" w:rsidRDefault="00A14A34" w:rsidP="006608E2">
      <w:pPr>
        <w:pStyle w:val="BodyText"/>
        <w:numPr>
          <w:ilvl w:val="5"/>
          <w:numId w:val="2"/>
        </w:numPr>
        <w:spacing w:after="163"/>
        <w:ind w:left="4140" w:hanging="369"/>
        <w:rPr>
          <w:rFonts w:ascii="楷体" w:eastAsia="楷体" w:hAnsi="楷体" w:cs="Arial"/>
          <w:szCs w:val="21"/>
        </w:rPr>
      </w:pPr>
      <w:r w:rsidRPr="00F54FA6">
        <w:rPr>
          <w:rFonts w:ascii="楷体" w:eastAsia="楷体" w:hAnsi="楷体" w:cs="Arial"/>
          <w:szCs w:val="21"/>
        </w:rPr>
        <w:t>20</w:t>
      </w:r>
      <w:r w:rsidRPr="00F54FA6">
        <w:rPr>
          <w:rFonts w:ascii="楷体" w:eastAsia="楷体" w:hAnsi="楷体" w:cs="Arial" w:hint="eastAsia"/>
          <w:szCs w:val="21"/>
        </w:rPr>
        <w:t>只混合</w:t>
      </w:r>
      <w:r w:rsidRPr="00F54FA6">
        <w:rPr>
          <w:rFonts w:ascii="楷体" w:eastAsia="楷体" w:hAnsi="楷体" w:cs="Arial"/>
          <w:szCs w:val="21"/>
        </w:rPr>
        <w:t>-</w:t>
      </w:r>
      <w:r w:rsidRPr="00F54FA6">
        <w:rPr>
          <w:rFonts w:ascii="楷体" w:eastAsia="楷体" w:hAnsi="楷体" w:cs="Arial" w:hint="eastAsia"/>
          <w:szCs w:val="21"/>
        </w:rPr>
        <w:t>偏债型基金平均周收益率为</w:t>
      </w:r>
      <w:r w:rsidRPr="00F54FA6">
        <w:rPr>
          <w:rFonts w:ascii="楷体" w:eastAsia="楷体" w:hAnsi="楷体" w:cs="Arial"/>
          <w:szCs w:val="21"/>
        </w:rPr>
        <w:t>-0.18%</w:t>
      </w:r>
      <w:r w:rsidRPr="00F54FA6">
        <w:rPr>
          <w:rFonts w:ascii="楷体" w:eastAsia="楷体" w:hAnsi="楷体" w:cs="Arial" w:hint="eastAsia"/>
          <w:szCs w:val="21"/>
        </w:rPr>
        <w:t>，</w:t>
      </w:r>
      <w:r w:rsidRPr="00F54FA6">
        <w:rPr>
          <w:rFonts w:ascii="楷体" w:eastAsia="楷体" w:hAnsi="楷体" w:cs="Arial"/>
          <w:szCs w:val="21"/>
        </w:rPr>
        <w:t>35</w:t>
      </w:r>
      <w:r w:rsidRPr="00F54FA6">
        <w:rPr>
          <w:rFonts w:ascii="楷体" w:eastAsia="楷体" w:hAnsi="楷体" w:cs="Arial" w:hint="eastAsia"/>
          <w:szCs w:val="21"/>
        </w:rPr>
        <w:t>只混合</w:t>
      </w:r>
      <w:r w:rsidRPr="00F54FA6">
        <w:rPr>
          <w:rFonts w:ascii="楷体" w:eastAsia="楷体" w:hAnsi="楷体" w:cs="Arial"/>
          <w:szCs w:val="21"/>
        </w:rPr>
        <w:t>-</w:t>
      </w:r>
      <w:r w:rsidRPr="00F54FA6">
        <w:rPr>
          <w:rFonts w:ascii="楷体" w:eastAsia="楷体" w:hAnsi="楷体" w:cs="Arial" w:hint="eastAsia"/>
          <w:szCs w:val="21"/>
        </w:rPr>
        <w:t>偏股型基金平均周收益率为</w:t>
      </w:r>
      <w:r w:rsidRPr="00F54FA6">
        <w:rPr>
          <w:rFonts w:ascii="楷体" w:eastAsia="楷体" w:hAnsi="楷体" w:cs="Arial"/>
          <w:szCs w:val="21"/>
        </w:rPr>
        <w:t>-0.99%</w:t>
      </w:r>
      <w:r>
        <w:rPr>
          <w:rFonts w:ascii="楷体" w:eastAsia="楷体" w:hAnsi="楷体" w:cs="Arial" w:hint="eastAsia"/>
          <w:szCs w:val="21"/>
        </w:rPr>
        <w:t>，</w:t>
      </w:r>
      <w:r w:rsidRPr="00F54FA6">
        <w:rPr>
          <w:rFonts w:ascii="楷体" w:eastAsia="楷体" w:hAnsi="楷体" w:cs="Arial"/>
          <w:szCs w:val="21"/>
        </w:rPr>
        <w:t>235</w:t>
      </w:r>
      <w:r w:rsidRPr="00F54FA6">
        <w:rPr>
          <w:rFonts w:ascii="楷体" w:eastAsia="楷体" w:hAnsi="楷体" w:cs="Arial" w:hint="eastAsia"/>
          <w:szCs w:val="21"/>
        </w:rPr>
        <w:t>只混合</w:t>
      </w:r>
      <w:r w:rsidRPr="00F54FA6">
        <w:rPr>
          <w:rFonts w:ascii="楷体" w:eastAsia="楷体" w:hAnsi="楷体" w:cs="Arial"/>
          <w:szCs w:val="21"/>
        </w:rPr>
        <w:t>-</w:t>
      </w:r>
      <w:r w:rsidRPr="00F54FA6">
        <w:rPr>
          <w:rFonts w:ascii="楷体" w:eastAsia="楷体" w:hAnsi="楷体" w:cs="Arial" w:hint="eastAsia"/>
          <w:szCs w:val="21"/>
        </w:rPr>
        <w:t>灵活型基金平均周收益率为</w:t>
      </w:r>
      <w:r w:rsidRPr="00F54FA6">
        <w:rPr>
          <w:rFonts w:ascii="楷体" w:eastAsia="楷体" w:hAnsi="楷体" w:cs="Arial"/>
          <w:szCs w:val="21"/>
        </w:rPr>
        <w:t>-1.16%</w:t>
      </w:r>
      <w:r w:rsidRPr="00F54FA6">
        <w:rPr>
          <w:rFonts w:ascii="楷体" w:eastAsia="楷体" w:hAnsi="楷体" w:cs="Arial" w:hint="eastAsia"/>
          <w:szCs w:val="21"/>
        </w:rPr>
        <w:t>，跌幅较前周均有收窄。</w:t>
      </w:r>
      <w:r>
        <w:rPr>
          <w:rFonts w:ascii="楷体" w:eastAsia="楷体" w:hAnsi="楷体" w:cs="Arial" w:hint="eastAsia"/>
          <w:szCs w:val="21"/>
        </w:rPr>
        <w:t>收益率最高者分别为</w:t>
      </w:r>
      <w:r w:rsidRPr="00F54FA6">
        <w:rPr>
          <w:rFonts w:ascii="楷体" w:eastAsia="楷体" w:hAnsi="楷体" w:hint="eastAsia"/>
          <w:szCs w:val="21"/>
        </w:rPr>
        <w:t>兴全可转债</w:t>
      </w:r>
      <w:r>
        <w:rPr>
          <w:rFonts w:ascii="楷体" w:eastAsia="楷体" w:hAnsi="楷体" w:hint="eastAsia"/>
          <w:szCs w:val="21"/>
        </w:rPr>
        <w:t>（</w:t>
      </w:r>
      <w:r w:rsidRPr="00F54FA6">
        <w:rPr>
          <w:rFonts w:ascii="楷体" w:eastAsia="楷体" w:hAnsi="楷体"/>
          <w:szCs w:val="21"/>
        </w:rPr>
        <w:t>0.49%</w:t>
      </w:r>
      <w:r>
        <w:rPr>
          <w:rFonts w:ascii="楷体" w:eastAsia="楷体" w:hAnsi="楷体" w:hint="eastAsia"/>
          <w:szCs w:val="21"/>
        </w:rPr>
        <w:t>）</w:t>
      </w:r>
      <w:r w:rsidRPr="00F54FA6">
        <w:rPr>
          <w:rFonts w:ascii="楷体" w:eastAsia="楷体" w:hAnsi="楷体"/>
          <w:szCs w:val="21"/>
        </w:rPr>
        <w:t>,</w:t>
      </w:r>
      <w:r w:rsidRPr="00F54FA6">
        <w:rPr>
          <w:rFonts w:ascii="楷体" w:eastAsia="楷体" w:hAnsi="楷体" w:hint="eastAsia"/>
          <w:szCs w:val="21"/>
        </w:rPr>
        <w:t>泰达宏利效率优选</w:t>
      </w:r>
      <w:r>
        <w:rPr>
          <w:rFonts w:ascii="楷体" w:eastAsia="楷体" w:hAnsi="楷体" w:hint="eastAsia"/>
          <w:szCs w:val="21"/>
        </w:rPr>
        <w:t>（</w:t>
      </w:r>
      <w:r w:rsidRPr="00F54FA6">
        <w:rPr>
          <w:rFonts w:ascii="楷体" w:eastAsia="楷体" w:hAnsi="楷体"/>
          <w:szCs w:val="21"/>
        </w:rPr>
        <w:t>2.08%</w:t>
      </w:r>
      <w:r>
        <w:rPr>
          <w:rFonts w:ascii="楷体" w:eastAsia="楷体" w:hAnsi="楷体" w:hint="eastAsia"/>
          <w:szCs w:val="21"/>
        </w:rPr>
        <w:t>）和</w:t>
      </w:r>
      <w:r w:rsidRPr="00F54FA6">
        <w:rPr>
          <w:rFonts w:ascii="楷体" w:eastAsia="楷体" w:hAnsi="楷体" w:hint="eastAsia"/>
          <w:szCs w:val="21"/>
        </w:rPr>
        <w:t>汇添富蓝筹稳健</w:t>
      </w:r>
      <w:r>
        <w:rPr>
          <w:rFonts w:ascii="楷体" w:eastAsia="楷体" w:hAnsi="楷体" w:hint="eastAsia"/>
          <w:szCs w:val="21"/>
        </w:rPr>
        <w:t>（</w:t>
      </w:r>
      <w:r w:rsidRPr="00F54FA6">
        <w:rPr>
          <w:rFonts w:ascii="楷体" w:eastAsia="楷体" w:hAnsi="楷体"/>
          <w:szCs w:val="21"/>
        </w:rPr>
        <w:t>0.93%</w:t>
      </w:r>
      <w:r>
        <w:rPr>
          <w:rFonts w:ascii="楷体" w:eastAsia="楷体" w:hAnsi="楷体" w:hint="eastAsia"/>
          <w:szCs w:val="21"/>
        </w:rPr>
        <w:t>）。</w:t>
      </w:r>
    </w:p>
    <w:p w:rsidR="00A14A34" w:rsidRPr="0095741E" w:rsidRDefault="00A14A34" w:rsidP="00DE67B2">
      <w:pPr>
        <w:pStyle w:val="BodyText"/>
        <w:numPr>
          <w:ilvl w:val="4"/>
          <w:numId w:val="1"/>
        </w:numPr>
        <w:spacing w:after="163"/>
        <w:rPr>
          <w:rFonts w:ascii="楷体" w:eastAsia="楷体" w:hAnsi="楷体" w:cs="Arial"/>
          <w:szCs w:val="21"/>
        </w:rPr>
      </w:pPr>
      <w:r w:rsidRPr="0095741E">
        <w:rPr>
          <w:rFonts w:ascii="楷体" w:eastAsia="楷体" w:hAnsi="楷体" w:cs="Arial"/>
          <w:szCs w:val="21"/>
        </w:rPr>
        <w:t>91</w:t>
      </w:r>
      <w:r w:rsidRPr="0095741E">
        <w:rPr>
          <w:rFonts w:ascii="楷体" w:eastAsia="楷体" w:hAnsi="楷体" w:cs="Arial" w:hint="eastAsia"/>
          <w:szCs w:val="21"/>
        </w:rPr>
        <w:t>只</w:t>
      </w:r>
      <w:r w:rsidRPr="0095741E">
        <w:rPr>
          <w:rFonts w:ascii="楷体" w:eastAsia="楷体" w:hAnsi="楷体" w:cs="Arial"/>
          <w:szCs w:val="21"/>
        </w:rPr>
        <w:t>QDII</w:t>
      </w:r>
      <w:r w:rsidRPr="0095741E">
        <w:rPr>
          <w:rFonts w:ascii="楷体" w:eastAsia="楷体" w:hAnsi="楷体" w:cs="Arial" w:hint="eastAsia"/>
          <w:szCs w:val="21"/>
        </w:rPr>
        <w:t>基金平均周收益率为</w:t>
      </w:r>
      <w:r w:rsidRPr="0095741E">
        <w:rPr>
          <w:rFonts w:ascii="楷体" w:eastAsia="楷体" w:hAnsi="楷体" w:cs="Arial"/>
          <w:szCs w:val="21"/>
        </w:rPr>
        <w:t>2.41%</w:t>
      </w:r>
      <w:r w:rsidRPr="0095741E">
        <w:rPr>
          <w:rFonts w:ascii="楷体" w:eastAsia="楷体" w:hAnsi="楷体" w:cs="Arial" w:hint="eastAsia"/>
          <w:szCs w:val="21"/>
        </w:rPr>
        <w:t>，</w:t>
      </w:r>
      <w:r w:rsidRPr="0095741E">
        <w:rPr>
          <w:rFonts w:ascii="楷体" w:eastAsia="楷体" w:hAnsi="楷体" w:cs="Arial"/>
          <w:szCs w:val="21"/>
        </w:rPr>
        <w:t>5</w:t>
      </w:r>
      <w:r w:rsidRPr="0095741E">
        <w:rPr>
          <w:rFonts w:ascii="楷体" w:eastAsia="楷体" w:hAnsi="楷体" w:cs="Arial" w:hint="eastAsia"/>
          <w:szCs w:val="21"/>
        </w:rPr>
        <w:t>只产品周收益率突破</w:t>
      </w:r>
      <w:r w:rsidRPr="0095741E">
        <w:rPr>
          <w:rFonts w:ascii="楷体" w:eastAsia="楷体" w:hAnsi="楷体" w:cs="Arial"/>
          <w:szCs w:val="21"/>
        </w:rPr>
        <w:t>6%</w:t>
      </w:r>
      <w:r w:rsidRPr="0095741E">
        <w:rPr>
          <w:rFonts w:ascii="楷体" w:eastAsia="楷体" w:hAnsi="楷体" w:cs="Arial" w:hint="eastAsia"/>
          <w:szCs w:val="21"/>
        </w:rPr>
        <w:t>，</w:t>
      </w:r>
      <w:r>
        <w:rPr>
          <w:rFonts w:ascii="楷体" w:eastAsia="楷体" w:hAnsi="楷体" w:cs="Arial" w:hint="eastAsia"/>
          <w:szCs w:val="21"/>
        </w:rPr>
        <w:t>收益</w:t>
      </w:r>
      <w:r w:rsidRPr="0095741E">
        <w:rPr>
          <w:rFonts w:ascii="楷体" w:eastAsia="楷体" w:hAnsi="楷体" w:cs="Arial" w:hint="eastAsia"/>
          <w:szCs w:val="21"/>
        </w:rPr>
        <w:t>最高者为</w:t>
      </w:r>
      <w:r w:rsidRPr="0095741E">
        <w:rPr>
          <w:rFonts w:ascii="楷体" w:eastAsia="楷体" w:hAnsi="楷体" w:hint="eastAsia"/>
          <w:szCs w:val="21"/>
        </w:rPr>
        <w:t>广发纳斯达克</w:t>
      </w:r>
      <w:r w:rsidRPr="0095741E">
        <w:rPr>
          <w:rFonts w:ascii="楷体" w:eastAsia="楷体" w:hAnsi="楷体"/>
          <w:szCs w:val="21"/>
        </w:rPr>
        <w:t>100</w:t>
      </w:r>
      <w:r w:rsidRPr="0095741E">
        <w:rPr>
          <w:rFonts w:ascii="楷体" w:eastAsia="楷体" w:hAnsi="楷体" w:hint="eastAsia"/>
          <w:szCs w:val="21"/>
        </w:rPr>
        <w:t>（</w:t>
      </w:r>
      <w:r w:rsidRPr="0095741E">
        <w:rPr>
          <w:rFonts w:ascii="楷体" w:eastAsia="楷体" w:hAnsi="楷体"/>
          <w:szCs w:val="21"/>
        </w:rPr>
        <w:t>6.60%</w:t>
      </w:r>
      <w:r>
        <w:rPr>
          <w:rFonts w:ascii="楷体" w:eastAsia="楷体" w:hAnsi="楷体" w:hint="eastAsia"/>
          <w:szCs w:val="21"/>
        </w:rPr>
        <w:t>）。</w:t>
      </w:r>
      <w:r w:rsidRPr="0095741E">
        <w:rPr>
          <w:rFonts w:ascii="楷体" w:eastAsia="楷体" w:hAnsi="楷体" w:cs="Arial" w:hint="eastAsia"/>
          <w:szCs w:val="21"/>
        </w:rPr>
        <w:t>行业基金排名分散</w:t>
      </w:r>
      <w:r>
        <w:rPr>
          <w:rFonts w:ascii="楷体" w:eastAsia="楷体" w:hAnsi="楷体" w:cs="Arial" w:hint="eastAsia"/>
          <w:szCs w:val="21"/>
        </w:rPr>
        <w:t>。美股基金全数上涨且涨幅居前，相反，商品基金业绩下滑至尾端；</w:t>
      </w:r>
      <w:r w:rsidRPr="0095741E">
        <w:rPr>
          <w:rFonts w:ascii="楷体" w:eastAsia="楷体" w:hAnsi="楷体" w:cs="Arial" w:hint="eastAsia"/>
          <w:szCs w:val="21"/>
        </w:rPr>
        <w:t>新兴市场基金业绩上涨但排名仍处于中下游，</w:t>
      </w:r>
      <w:r>
        <w:rPr>
          <w:rFonts w:ascii="楷体" w:eastAsia="楷体" w:hAnsi="楷体" w:cs="Arial" w:hint="eastAsia"/>
          <w:szCs w:val="21"/>
        </w:rPr>
        <w:t>涨幅较大的多为跟踪恒生指数的产品。</w:t>
      </w:r>
    </w:p>
    <w:p w:rsidR="00A14A34" w:rsidRPr="001A4657" w:rsidRDefault="00A14A34" w:rsidP="001A4657">
      <w:pPr>
        <w:widowControl/>
        <w:spacing w:after="120"/>
        <w:ind w:left="3430"/>
        <w:rPr>
          <w:rFonts w:ascii="楷体" w:eastAsia="楷体" w:hAnsi="楷体"/>
          <w:b/>
          <w:bCs/>
          <w:color w:val="0070C0"/>
          <w:kern w:val="0"/>
          <w:szCs w:val="21"/>
          <w:lang w:val="en-GB"/>
        </w:rPr>
      </w:pPr>
      <w:r w:rsidRPr="005B7CDB">
        <w:rPr>
          <w:rFonts w:ascii="楷体" w:eastAsia="楷体" w:hAnsi="楷体" w:hint="eastAsia"/>
          <w:b/>
          <w:bCs/>
          <w:color w:val="0070C0"/>
          <w:kern w:val="0"/>
          <w:szCs w:val="21"/>
          <w:lang w:val="en-GB"/>
        </w:rPr>
        <w:t>固定收益类基金一周业绩：</w:t>
      </w:r>
      <w:r w:rsidRPr="00EB505F">
        <w:rPr>
          <w:rFonts w:ascii="楷体" w:eastAsia="楷体" w:hAnsi="楷体"/>
          <w:b/>
          <w:bCs/>
          <w:color w:val="0070C0"/>
          <w:kern w:val="0"/>
          <w:szCs w:val="21"/>
          <w:lang w:val="en-GB"/>
        </w:rPr>
        <w:t xml:space="preserve"> </w:t>
      </w:r>
      <w:r>
        <w:rPr>
          <w:rFonts w:ascii="楷体" w:eastAsia="楷体" w:hAnsi="楷体" w:hint="eastAsia"/>
          <w:b/>
          <w:bCs/>
          <w:color w:val="0070C0"/>
          <w:kern w:val="0"/>
          <w:szCs w:val="21"/>
          <w:lang w:val="en-GB"/>
        </w:rPr>
        <w:t>债基和货基均涨幅明显</w:t>
      </w:r>
    </w:p>
    <w:p w:rsidR="00A14A34" w:rsidRPr="00A024E2" w:rsidRDefault="00A14A34" w:rsidP="00816256">
      <w:pPr>
        <w:pStyle w:val="BodyText"/>
        <w:numPr>
          <w:ilvl w:val="4"/>
          <w:numId w:val="1"/>
        </w:numPr>
        <w:spacing w:after="163"/>
        <w:rPr>
          <w:rFonts w:ascii="楷体" w:eastAsia="楷体" w:hAnsi="楷体" w:cs="Arial"/>
          <w:szCs w:val="21"/>
        </w:rPr>
      </w:pPr>
      <w:r w:rsidRPr="007233A7">
        <w:rPr>
          <w:rFonts w:ascii="楷体" w:eastAsia="楷体" w:hAnsi="楷体" w:cs="Arial" w:hint="eastAsia"/>
          <w:szCs w:val="21"/>
        </w:rPr>
        <w:t>上周，央行在公开市场上进行两期</w:t>
      </w:r>
      <w:r w:rsidRPr="007233A7">
        <w:rPr>
          <w:rFonts w:ascii="楷体" w:eastAsia="楷体" w:hAnsi="楷体" w:cs="Arial"/>
          <w:szCs w:val="21"/>
        </w:rPr>
        <w:t>14</w:t>
      </w:r>
      <w:r w:rsidRPr="007233A7">
        <w:rPr>
          <w:rFonts w:ascii="楷体" w:eastAsia="楷体" w:hAnsi="楷体" w:cs="Arial" w:hint="eastAsia"/>
          <w:szCs w:val="21"/>
        </w:rPr>
        <w:t>天期正回购操作，共计</w:t>
      </w:r>
      <w:r w:rsidRPr="007233A7">
        <w:rPr>
          <w:rFonts w:ascii="楷体" w:eastAsia="楷体" w:hAnsi="楷体" w:cs="Arial"/>
          <w:szCs w:val="21"/>
        </w:rPr>
        <w:t>400</w:t>
      </w:r>
      <w:r w:rsidRPr="007233A7">
        <w:rPr>
          <w:rFonts w:ascii="楷体" w:eastAsia="楷体" w:hAnsi="楷体" w:cs="Arial" w:hint="eastAsia"/>
          <w:szCs w:val="21"/>
        </w:rPr>
        <w:t>亿元，刚好对冲掉到期资金</w:t>
      </w:r>
      <w:r w:rsidRPr="007233A7">
        <w:rPr>
          <w:rFonts w:ascii="楷体" w:eastAsia="楷体" w:hAnsi="楷体" w:cs="Arial"/>
          <w:szCs w:val="21"/>
        </w:rPr>
        <w:t>400</w:t>
      </w:r>
      <w:r w:rsidRPr="007233A7">
        <w:rPr>
          <w:rFonts w:ascii="楷体" w:eastAsia="楷体" w:hAnsi="楷体" w:cs="Arial" w:hint="eastAsia"/>
          <w:szCs w:val="21"/>
        </w:rPr>
        <w:t>亿元，公开市场再现平衡状态。由于央行近期使用</w:t>
      </w:r>
      <w:r w:rsidRPr="007233A7">
        <w:rPr>
          <w:rFonts w:ascii="楷体" w:eastAsia="楷体" w:hAnsi="楷体" w:cs="Arial"/>
          <w:szCs w:val="21"/>
        </w:rPr>
        <w:t>SLF</w:t>
      </w:r>
      <w:r w:rsidRPr="007233A7">
        <w:rPr>
          <w:rFonts w:ascii="楷体" w:eastAsia="楷体" w:hAnsi="楷体" w:cs="Arial" w:hint="eastAsia"/>
          <w:szCs w:val="21"/>
        </w:rPr>
        <w:t>释放流动性，资金利率波动不大。但由于新股集中申购，市场资金需求大幅增大，</w:t>
      </w:r>
      <w:r w:rsidRPr="007233A7">
        <w:rPr>
          <w:rFonts w:ascii="楷体" w:eastAsia="楷体" w:hAnsi="楷体" w:cs="Arial"/>
          <w:szCs w:val="21"/>
        </w:rPr>
        <w:t>A</w:t>
      </w:r>
      <w:r w:rsidRPr="007233A7">
        <w:rPr>
          <w:rFonts w:ascii="楷体" w:eastAsia="楷体" w:hAnsi="楷体" w:cs="Arial" w:hint="eastAsia"/>
          <w:szCs w:val="21"/>
        </w:rPr>
        <w:t>股市场资金面仍然紧张。</w:t>
      </w:r>
    </w:p>
    <w:p w:rsidR="00A14A34" w:rsidRPr="003960A9" w:rsidRDefault="00A14A34" w:rsidP="00816256">
      <w:pPr>
        <w:pStyle w:val="BodyText"/>
        <w:numPr>
          <w:ilvl w:val="4"/>
          <w:numId w:val="1"/>
        </w:numPr>
        <w:spacing w:after="163"/>
        <w:rPr>
          <w:rFonts w:ascii="楷体" w:eastAsia="楷体" w:hAnsi="楷体" w:cs="Arial"/>
          <w:szCs w:val="21"/>
        </w:rPr>
      </w:pPr>
      <w:r w:rsidRPr="003960A9">
        <w:rPr>
          <w:rFonts w:ascii="楷体" w:eastAsia="楷体" w:hAnsi="楷体" w:cs="Arial" w:hint="eastAsia"/>
          <w:szCs w:val="21"/>
        </w:rPr>
        <w:t>上周，债基涨势良好</w:t>
      </w:r>
      <w:r w:rsidRPr="003960A9">
        <w:rPr>
          <w:rFonts w:ascii="楷体" w:eastAsia="楷体" w:hAnsi="楷体" w:cs="Arial"/>
          <w:szCs w:val="21"/>
        </w:rPr>
        <w:t>,</w:t>
      </w:r>
      <w:r w:rsidRPr="003960A9">
        <w:rPr>
          <w:rFonts w:ascii="楷体" w:eastAsia="楷体" w:hAnsi="楷体" w:cs="Arial" w:hint="eastAsia"/>
          <w:szCs w:val="21"/>
        </w:rPr>
        <w:t>除理财债基平均周收益率保持在</w:t>
      </w:r>
      <w:r w:rsidRPr="003960A9">
        <w:rPr>
          <w:rFonts w:ascii="楷体" w:eastAsia="楷体" w:hAnsi="楷体" w:cs="Arial"/>
          <w:szCs w:val="21"/>
        </w:rPr>
        <w:t>0.09%</w:t>
      </w:r>
      <w:r w:rsidRPr="003960A9">
        <w:rPr>
          <w:rFonts w:ascii="楷体" w:eastAsia="楷体" w:hAnsi="楷体" w:cs="Arial" w:hint="eastAsia"/>
          <w:szCs w:val="21"/>
        </w:rPr>
        <w:t>外，其他各类债基涨幅均有扩大。分类来看，纯债基金和一级债基表现不相上下，平均周收益率分别为</w:t>
      </w:r>
      <w:r w:rsidRPr="003960A9">
        <w:rPr>
          <w:rFonts w:ascii="楷体" w:eastAsia="楷体" w:hAnsi="楷体" w:cs="Arial"/>
          <w:szCs w:val="21"/>
        </w:rPr>
        <w:t>0.67%</w:t>
      </w:r>
      <w:r w:rsidRPr="003960A9">
        <w:rPr>
          <w:rFonts w:ascii="楷体" w:eastAsia="楷体" w:hAnsi="楷体" w:cs="Arial" w:hint="eastAsia"/>
          <w:szCs w:val="21"/>
        </w:rPr>
        <w:t>和</w:t>
      </w:r>
      <w:r w:rsidRPr="003960A9">
        <w:rPr>
          <w:rFonts w:ascii="楷体" w:eastAsia="楷体" w:hAnsi="楷体" w:cs="Arial"/>
          <w:szCs w:val="21"/>
        </w:rPr>
        <w:t>0.66%</w:t>
      </w:r>
      <w:r w:rsidRPr="003960A9">
        <w:rPr>
          <w:rFonts w:ascii="楷体" w:eastAsia="楷体" w:hAnsi="楷体" w:cs="Arial" w:hint="eastAsia"/>
          <w:szCs w:val="21"/>
        </w:rPr>
        <w:t>，可持有权益类头寸的二级债基和可转债基金平均周收益率分别为</w:t>
      </w:r>
      <w:r w:rsidRPr="003960A9">
        <w:rPr>
          <w:rFonts w:ascii="楷体" w:eastAsia="楷体" w:hAnsi="楷体" w:cs="Arial"/>
          <w:szCs w:val="21"/>
        </w:rPr>
        <w:t>0.57%</w:t>
      </w:r>
      <w:r w:rsidRPr="003960A9">
        <w:rPr>
          <w:rFonts w:ascii="楷体" w:eastAsia="楷体" w:hAnsi="楷体" w:cs="Arial" w:hint="eastAsia"/>
          <w:szCs w:val="21"/>
        </w:rPr>
        <w:t>和</w:t>
      </w:r>
      <w:r w:rsidRPr="003960A9">
        <w:rPr>
          <w:rFonts w:ascii="楷体" w:eastAsia="楷体" w:hAnsi="楷体" w:cs="Arial"/>
          <w:szCs w:val="21"/>
        </w:rPr>
        <w:t>0.53%</w:t>
      </w:r>
      <w:r w:rsidRPr="003960A9">
        <w:rPr>
          <w:rFonts w:ascii="楷体" w:eastAsia="楷体" w:hAnsi="楷体" w:cs="Arial" w:hint="eastAsia"/>
          <w:szCs w:val="21"/>
        </w:rPr>
        <w:t>，其中可转债基业绩较前周反弹较大。指数债基表现稍逊，平均周收益率为</w:t>
      </w:r>
      <w:r w:rsidRPr="003960A9">
        <w:rPr>
          <w:rFonts w:ascii="楷体" w:eastAsia="楷体" w:hAnsi="楷体" w:cs="Arial"/>
          <w:szCs w:val="21"/>
        </w:rPr>
        <w:t>0.48%</w:t>
      </w:r>
      <w:r w:rsidRPr="003960A9">
        <w:rPr>
          <w:rFonts w:ascii="楷体" w:eastAsia="楷体" w:hAnsi="楷体" w:cs="Arial" w:hint="eastAsia"/>
          <w:szCs w:val="21"/>
        </w:rPr>
        <w:t>。</w:t>
      </w:r>
    </w:p>
    <w:p w:rsidR="00A14A34" w:rsidRPr="003960A9" w:rsidRDefault="00A14A34" w:rsidP="00AD3504">
      <w:pPr>
        <w:pStyle w:val="BodyText"/>
        <w:numPr>
          <w:ilvl w:val="4"/>
          <w:numId w:val="1"/>
        </w:numPr>
        <w:spacing w:after="163"/>
        <w:rPr>
          <w:rFonts w:ascii="楷体" w:eastAsia="楷体" w:hAnsi="楷体" w:cs="Arial"/>
          <w:szCs w:val="21"/>
        </w:rPr>
      </w:pPr>
      <w:r w:rsidRPr="003960A9">
        <w:rPr>
          <w:rFonts w:ascii="楷体" w:eastAsia="楷体" w:hAnsi="楷体" w:cs="Arial"/>
          <w:szCs w:val="21"/>
        </w:rPr>
        <w:t>228</w:t>
      </w:r>
      <w:r w:rsidRPr="003960A9">
        <w:rPr>
          <w:rFonts w:ascii="楷体" w:eastAsia="楷体" w:hAnsi="楷体" w:cs="Arial" w:hint="eastAsia"/>
          <w:szCs w:val="21"/>
        </w:rPr>
        <w:t>只货币市场基金平均七日年化收益率由前周的</w:t>
      </w:r>
      <w:r w:rsidRPr="003960A9">
        <w:rPr>
          <w:rFonts w:ascii="楷体" w:eastAsia="楷体" w:hAnsi="楷体" w:cs="Arial"/>
          <w:szCs w:val="21"/>
        </w:rPr>
        <w:t>4.18%</w:t>
      </w:r>
      <w:r w:rsidRPr="003960A9">
        <w:rPr>
          <w:rFonts w:ascii="楷体" w:eastAsia="楷体" w:hAnsi="楷体" w:cs="Arial" w:hint="eastAsia"/>
          <w:szCs w:val="21"/>
        </w:rPr>
        <w:t>上升至</w:t>
      </w:r>
      <w:r w:rsidRPr="003960A9">
        <w:rPr>
          <w:rFonts w:ascii="楷体" w:eastAsia="楷体" w:hAnsi="楷体" w:cs="Arial"/>
          <w:szCs w:val="21"/>
        </w:rPr>
        <w:t>4.36%</w:t>
      </w:r>
      <w:r w:rsidRPr="003960A9">
        <w:rPr>
          <w:rFonts w:ascii="楷体" w:eastAsia="楷体" w:hAnsi="楷体" w:cs="Arial" w:hint="eastAsia"/>
          <w:szCs w:val="21"/>
        </w:rPr>
        <w:t>，约五分之一的产品七日年化收益率突破</w:t>
      </w:r>
      <w:r w:rsidRPr="003960A9">
        <w:rPr>
          <w:rFonts w:ascii="楷体" w:eastAsia="楷体" w:hAnsi="楷体" w:cs="Arial"/>
          <w:szCs w:val="21"/>
        </w:rPr>
        <w:t>5%</w:t>
      </w:r>
      <w:r w:rsidRPr="003960A9">
        <w:rPr>
          <w:rFonts w:ascii="楷体" w:eastAsia="楷体" w:hAnsi="楷体" w:cs="Arial" w:hint="eastAsia"/>
          <w:szCs w:val="21"/>
        </w:rPr>
        <w:t>。最高收益者为</w:t>
      </w:r>
      <w:r w:rsidRPr="003960A9">
        <w:rPr>
          <w:rFonts w:ascii="楷体" w:eastAsia="楷体" w:hAnsi="楷体" w:hint="eastAsia"/>
          <w:szCs w:val="21"/>
        </w:rPr>
        <w:t>长城工资宝（</w:t>
      </w:r>
      <w:r w:rsidRPr="003960A9">
        <w:rPr>
          <w:rFonts w:ascii="楷体" w:eastAsia="楷体" w:hAnsi="楷体"/>
          <w:szCs w:val="21"/>
        </w:rPr>
        <w:t>10.91%</w:t>
      </w:r>
      <w:r w:rsidRPr="003960A9">
        <w:rPr>
          <w:rFonts w:ascii="楷体" w:eastAsia="楷体" w:hAnsi="楷体" w:hint="eastAsia"/>
          <w:szCs w:val="21"/>
        </w:rPr>
        <w:t>），其次为南方现金通</w:t>
      </w:r>
      <w:r w:rsidRPr="003960A9">
        <w:rPr>
          <w:rFonts w:ascii="楷体" w:eastAsia="楷体" w:hAnsi="楷体"/>
          <w:szCs w:val="21"/>
        </w:rPr>
        <w:t>C</w:t>
      </w:r>
      <w:r w:rsidRPr="003960A9">
        <w:rPr>
          <w:rFonts w:ascii="楷体" w:eastAsia="楷体" w:hAnsi="楷体" w:hint="eastAsia"/>
          <w:szCs w:val="21"/>
        </w:rPr>
        <w:t>份额（</w:t>
      </w:r>
      <w:r w:rsidRPr="003960A9">
        <w:rPr>
          <w:rFonts w:ascii="楷体" w:eastAsia="楷体" w:hAnsi="楷体"/>
          <w:szCs w:val="21"/>
        </w:rPr>
        <w:t>8.59%</w:t>
      </w:r>
      <w:r w:rsidRPr="003960A9">
        <w:rPr>
          <w:rFonts w:ascii="楷体" w:eastAsia="楷体" w:hAnsi="楷体" w:hint="eastAsia"/>
          <w:szCs w:val="21"/>
        </w:rPr>
        <w:t>），</w:t>
      </w:r>
      <w:r w:rsidRPr="003960A9">
        <w:rPr>
          <w:rFonts w:ascii="楷体" w:eastAsia="楷体" w:hAnsi="楷体"/>
          <w:szCs w:val="21"/>
        </w:rPr>
        <w:t>B</w:t>
      </w:r>
      <w:r w:rsidRPr="003960A9">
        <w:rPr>
          <w:rFonts w:ascii="楷体" w:eastAsia="楷体" w:hAnsi="楷体" w:hint="eastAsia"/>
          <w:szCs w:val="21"/>
        </w:rPr>
        <w:t>份额（</w:t>
      </w:r>
      <w:r w:rsidRPr="003960A9">
        <w:rPr>
          <w:rFonts w:ascii="楷体" w:eastAsia="楷体" w:hAnsi="楷体"/>
          <w:szCs w:val="21"/>
        </w:rPr>
        <w:t>8.50%</w:t>
      </w:r>
      <w:r w:rsidRPr="003960A9">
        <w:rPr>
          <w:rFonts w:ascii="楷体" w:eastAsia="楷体" w:hAnsi="楷体" w:hint="eastAsia"/>
          <w:szCs w:val="21"/>
        </w:rPr>
        <w:t>）和</w:t>
      </w:r>
      <w:r w:rsidRPr="003960A9">
        <w:rPr>
          <w:rFonts w:ascii="楷体" w:eastAsia="楷体" w:hAnsi="楷体"/>
          <w:szCs w:val="21"/>
        </w:rPr>
        <w:t>A</w:t>
      </w:r>
      <w:r w:rsidRPr="003960A9">
        <w:rPr>
          <w:rFonts w:ascii="楷体" w:eastAsia="楷体" w:hAnsi="楷体" w:hint="eastAsia"/>
          <w:szCs w:val="21"/>
        </w:rPr>
        <w:t>份额（</w:t>
      </w:r>
      <w:r w:rsidRPr="003960A9">
        <w:rPr>
          <w:rFonts w:ascii="楷体" w:eastAsia="楷体" w:hAnsi="楷体"/>
          <w:szCs w:val="21"/>
        </w:rPr>
        <w:t>8.44%</w:t>
      </w:r>
      <w:r w:rsidRPr="003960A9">
        <w:rPr>
          <w:rFonts w:ascii="楷体" w:eastAsia="楷体" w:hAnsi="楷体" w:hint="eastAsia"/>
          <w:szCs w:val="21"/>
        </w:rPr>
        <w:t>）。</w:t>
      </w:r>
    </w:p>
    <w:p w:rsidR="00A14A34" w:rsidRPr="00F2533C" w:rsidRDefault="00A14A34" w:rsidP="00F2533C">
      <w:pPr>
        <w:widowControl/>
        <w:spacing w:after="120"/>
        <w:ind w:left="3430"/>
        <w:rPr>
          <w:rFonts w:ascii="楷体" w:eastAsia="楷体" w:hAnsi="楷体"/>
          <w:b/>
          <w:bCs/>
          <w:color w:val="0070C0"/>
          <w:kern w:val="0"/>
          <w:szCs w:val="21"/>
          <w:lang w:val="en-GB"/>
        </w:rPr>
      </w:pPr>
      <w:r w:rsidRPr="00EB505F">
        <w:rPr>
          <w:rFonts w:ascii="楷体" w:eastAsia="楷体" w:hAnsi="楷体" w:hint="eastAsia"/>
          <w:b/>
          <w:bCs/>
          <w:color w:val="0070C0"/>
          <w:kern w:val="0"/>
          <w:szCs w:val="21"/>
          <w:lang w:val="en-GB"/>
        </w:rPr>
        <w:t>分级基金子份额一周业绩：</w:t>
      </w:r>
      <w:r>
        <w:rPr>
          <w:rFonts w:ascii="楷体" w:eastAsia="楷体" w:hAnsi="楷体" w:hint="eastAsia"/>
          <w:b/>
          <w:bCs/>
          <w:color w:val="0070C0"/>
          <w:kern w:val="0"/>
          <w:szCs w:val="21"/>
          <w:lang w:val="en-GB"/>
        </w:rPr>
        <w:t>股基积极份额跌多，债基份额全数上涨</w:t>
      </w:r>
    </w:p>
    <w:p w:rsidR="00A14A34" w:rsidRPr="00F7788B" w:rsidRDefault="00A14A34" w:rsidP="004049E1">
      <w:pPr>
        <w:pStyle w:val="BodyText"/>
        <w:numPr>
          <w:ilvl w:val="4"/>
          <w:numId w:val="1"/>
        </w:numPr>
        <w:spacing w:after="163"/>
        <w:rPr>
          <w:rFonts w:ascii="楷体" w:eastAsia="楷体" w:hAnsi="楷体" w:cs="Arial"/>
          <w:szCs w:val="21"/>
        </w:rPr>
      </w:pPr>
      <w:r w:rsidRPr="00F7788B">
        <w:rPr>
          <w:rFonts w:ascii="楷体" w:eastAsia="楷体" w:hAnsi="楷体" w:cs="Arial" w:hint="eastAsia"/>
          <w:szCs w:val="21"/>
        </w:rPr>
        <w:t>上周，股票分级基金稳健份额和积极份额分别下跌</w:t>
      </w:r>
      <w:r w:rsidRPr="00F7788B">
        <w:rPr>
          <w:rFonts w:ascii="楷体" w:eastAsia="楷体" w:hAnsi="楷体" w:cs="Arial"/>
          <w:szCs w:val="21"/>
        </w:rPr>
        <w:t>0.01%</w:t>
      </w:r>
      <w:r w:rsidRPr="00F7788B">
        <w:rPr>
          <w:rFonts w:ascii="楷体" w:eastAsia="楷体" w:hAnsi="楷体" w:cs="Arial" w:hint="eastAsia"/>
          <w:szCs w:val="21"/>
        </w:rPr>
        <w:t>和</w:t>
      </w:r>
      <w:r w:rsidRPr="00F7788B">
        <w:rPr>
          <w:rFonts w:ascii="楷体" w:eastAsia="楷体" w:hAnsi="楷体" w:cs="Arial"/>
          <w:szCs w:val="21"/>
        </w:rPr>
        <w:t>4.16%</w:t>
      </w:r>
      <w:r w:rsidRPr="00F7788B">
        <w:rPr>
          <w:rFonts w:ascii="楷体" w:eastAsia="楷体" w:hAnsi="楷体" w:cs="Arial" w:hint="eastAsia"/>
          <w:szCs w:val="21"/>
        </w:rPr>
        <w:t>。股基稳健份额有</w:t>
      </w:r>
      <w:r w:rsidRPr="00F7788B">
        <w:rPr>
          <w:rFonts w:ascii="楷体" w:eastAsia="楷体" w:hAnsi="楷体" w:cs="Arial"/>
          <w:szCs w:val="21"/>
        </w:rPr>
        <w:t>3</w:t>
      </w:r>
      <w:r w:rsidRPr="00F7788B">
        <w:rPr>
          <w:rFonts w:ascii="楷体" w:eastAsia="楷体" w:hAnsi="楷体" w:cs="Arial" w:hint="eastAsia"/>
          <w:szCs w:val="21"/>
        </w:rPr>
        <w:t>只下跌，</w:t>
      </w:r>
      <w:r w:rsidRPr="00F7788B">
        <w:rPr>
          <w:rFonts w:ascii="楷体" w:eastAsia="楷体" w:hAnsi="楷体" w:cs="Arial"/>
          <w:szCs w:val="21"/>
        </w:rPr>
        <w:t>12</w:t>
      </w:r>
      <w:r w:rsidRPr="00F7788B">
        <w:rPr>
          <w:rFonts w:ascii="楷体" w:eastAsia="楷体" w:hAnsi="楷体" w:cs="Arial" w:hint="eastAsia"/>
          <w:szCs w:val="21"/>
        </w:rPr>
        <w:t>只产品的稳健份额收益率（</w:t>
      </w:r>
      <w:r w:rsidRPr="00F7788B">
        <w:rPr>
          <w:rFonts w:ascii="楷体" w:eastAsia="楷体" w:hAnsi="楷体" w:cs="Arial"/>
          <w:szCs w:val="21"/>
        </w:rPr>
        <w:t>0.19%</w:t>
      </w:r>
      <w:r>
        <w:rPr>
          <w:rFonts w:ascii="楷体" w:eastAsia="楷体" w:hAnsi="楷体" w:cs="Arial" w:hint="eastAsia"/>
          <w:szCs w:val="21"/>
        </w:rPr>
        <w:t>）齐列</w:t>
      </w:r>
      <w:r w:rsidRPr="00F7788B">
        <w:rPr>
          <w:rFonts w:ascii="楷体" w:eastAsia="楷体" w:hAnsi="楷体" w:cs="Arial" w:hint="eastAsia"/>
          <w:szCs w:val="21"/>
        </w:rPr>
        <w:t>第一。</w:t>
      </w:r>
      <w:r>
        <w:rPr>
          <w:rFonts w:ascii="楷体" w:eastAsia="楷体" w:hAnsi="楷体" w:cs="Arial" w:hint="eastAsia"/>
          <w:szCs w:val="21"/>
        </w:rPr>
        <w:t>股基积极份额全数下跌，最低收益</w:t>
      </w:r>
      <w:r w:rsidRPr="00F7788B">
        <w:rPr>
          <w:rFonts w:ascii="楷体" w:eastAsia="楷体" w:hAnsi="楷体" w:cs="Arial" w:hint="eastAsia"/>
          <w:szCs w:val="21"/>
        </w:rPr>
        <w:t>为</w:t>
      </w:r>
      <w:r>
        <w:rPr>
          <w:rFonts w:ascii="楷体" w:eastAsia="楷体" w:hAnsi="楷体" w:cs="Arial"/>
          <w:szCs w:val="21"/>
        </w:rPr>
        <w:t>-</w:t>
      </w:r>
      <w:r w:rsidRPr="00F7788B">
        <w:rPr>
          <w:rFonts w:ascii="楷体" w:eastAsia="楷体" w:hAnsi="楷体" w:cs="Arial"/>
          <w:szCs w:val="21"/>
        </w:rPr>
        <w:t>9.57%</w:t>
      </w:r>
      <w:r>
        <w:rPr>
          <w:rFonts w:ascii="楷体" w:eastAsia="楷体" w:hAnsi="楷体" w:cs="Arial" w:hint="eastAsia"/>
          <w:szCs w:val="21"/>
        </w:rPr>
        <w:t>，最高收益</w:t>
      </w:r>
      <w:r w:rsidRPr="00F7788B">
        <w:rPr>
          <w:rFonts w:ascii="楷体" w:eastAsia="楷体" w:hAnsi="楷体" w:cs="Arial" w:hint="eastAsia"/>
          <w:szCs w:val="21"/>
        </w:rPr>
        <w:t>为</w:t>
      </w:r>
      <w:r w:rsidRPr="00F7788B">
        <w:rPr>
          <w:rFonts w:ascii="楷体" w:eastAsia="楷体" w:hAnsi="楷体" w:hint="eastAsia"/>
          <w:szCs w:val="21"/>
        </w:rPr>
        <w:t>鹏华信息</w:t>
      </w:r>
      <w:r w:rsidRPr="00F7788B">
        <w:rPr>
          <w:rFonts w:ascii="楷体" w:eastAsia="楷体" w:hAnsi="楷体"/>
          <w:szCs w:val="21"/>
        </w:rPr>
        <w:t>B</w:t>
      </w:r>
      <w:r>
        <w:rPr>
          <w:rFonts w:ascii="楷体" w:eastAsia="楷体" w:hAnsi="楷体" w:hint="eastAsia"/>
          <w:szCs w:val="21"/>
        </w:rPr>
        <w:t>的</w:t>
      </w:r>
      <w:r w:rsidRPr="00F7788B">
        <w:rPr>
          <w:rFonts w:ascii="楷体" w:eastAsia="楷体" w:hAnsi="楷体"/>
          <w:szCs w:val="21"/>
        </w:rPr>
        <w:t>-1.08%</w:t>
      </w:r>
      <w:r w:rsidRPr="00F7788B">
        <w:rPr>
          <w:rFonts w:ascii="楷体" w:eastAsia="楷体" w:hAnsi="楷体" w:hint="eastAsia"/>
          <w:szCs w:val="21"/>
        </w:rPr>
        <w:t>。</w:t>
      </w:r>
    </w:p>
    <w:p w:rsidR="00A14A34" w:rsidRPr="00F7788B" w:rsidRDefault="00A14A34" w:rsidP="004049E1">
      <w:pPr>
        <w:pStyle w:val="BodyText"/>
        <w:numPr>
          <w:ilvl w:val="4"/>
          <w:numId w:val="1"/>
        </w:numPr>
        <w:spacing w:after="163"/>
        <w:rPr>
          <w:rFonts w:ascii="楷体" w:eastAsia="楷体" w:hAnsi="楷体" w:cs="Arial"/>
          <w:szCs w:val="21"/>
        </w:rPr>
      </w:pPr>
      <w:r w:rsidRPr="00F7788B">
        <w:rPr>
          <w:rFonts w:ascii="楷体" w:eastAsia="楷体" w:hAnsi="楷体" w:cs="Arial" w:hint="eastAsia"/>
          <w:szCs w:val="21"/>
        </w:rPr>
        <w:t>债基稳健份额和积极份额均全数上涨，平均收益率分别为</w:t>
      </w:r>
      <w:r w:rsidRPr="00F7788B">
        <w:rPr>
          <w:rFonts w:ascii="楷体" w:eastAsia="楷体" w:hAnsi="楷体" w:cs="Arial"/>
          <w:szCs w:val="21"/>
        </w:rPr>
        <w:t>0.09%</w:t>
      </w:r>
      <w:r w:rsidRPr="00F7788B">
        <w:rPr>
          <w:rFonts w:ascii="楷体" w:eastAsia="楷体" w:hAnsi="楷体" w:cs="Arial" w:hint="eastAsia"/>
          <w:szCs w:val="21"/>
        </w:rPr>
        <w:t>和</w:t>
      </w:r>
      <w:r w:rsidRPr="00F7788B">
        <w:rPr>
          <w:rFonts w:ascii="楷体" w:eastAsia="楷体" w:hAnsi="楷体" w:cs="Arial"/>
          <w:szCs w:val="21"/>
        </w:rPr>
        <w:t>1.54%</w:t>
      </w:r>
      <w:r w:rsidRPr="00F7788B">
        <w:rPr>
          <w:rFonts w:ascii="楷体" w:eastAsia="楷体" w:hAnsi="楷体" w:cs="Arial" w:hint="eastAsia"/>
          <w:szCs w:val="21"/>
        </w:rPr>
        <w:t>。稳健份额</w:t>
      </w:r>
      <w:r>
        <w:rPr>
          <w:rFonts w:ascii="楷体" w:eastAsia="楷体" w:hAnsi="楷体" w:cs="Arial" w:hint="eastAsia"/>
          <w:szCs w:val="21"/>
        </w:rPr>
        <w:t>周收益率波动区间为</w:t>
      </w:r>
      <w:r w:rsidRPr="00F7788B">
        <w:rPr>
          <w:rFonts w:ascii="楷体" w:eastAsia="楷体" w:hAnsi="楷体" w:cs="Arial"/>
          <w:szCs w:val="21"/>
        </w:rPr>
        <w:t>0~0.19%,</w:t>
      </w:r>
      <w:r>
        <w:rPr>
          <w:rFonts w:ascii="楷体" w:eastAsia="楷体" w:hAnsi="楷体" w:cs="Arial" w:hint="eastAsia"/>
          <w:szCs w:val="21"/>
        </w:rPr>
        <w:t>积极份额业绩差别较大，</w:t>
      </w:r>
      <w:r>
        <w:rPr>
          <w:rFonts w:ascii="楷体" w:eastAsia="楷体" w:hAnsi="楷体" w:hint="eastAsia"/>
          <w:szCs w:val="21"/>
        </w:rPr>
        <w:t>最低收益持平，</w:t>
      </w:r>
      <w:r w:rsidRPr="00F7788B">
        <w:rPr>
          <w:rFonts w:ascii="楷体" w:eastAsia="楷体" w:hAnsi="楷体" w:cs="Arial" w:hint="eastAsia"/>
          <w:szCs w:val="21"/>
        </w:rPr>
        <w:t>最高收益为</w:t>
      </w:r>
      <w:r w:rsidRPr="00F7788B">
        <w:rPr>
          <w:rFonts w:ascii="楷体" w:eastAsia="楷体" w:hAnsi="楷体" w:hint="eastAsia"/>
          <w:szCs w:val="21"/>
        </w:rPr>
        <w:t>新华惠鑫分级</w:t>
      </w:r>
      <w:r w:rsidRPr="00F7788B">
        <w:rPr>
          <w:rFonts w:ascii="楷体" w:eastAsia="楷体" w:hAnsi="楷体"/>
          <w:szCs w:val="21"/>
        </w:rPr>
        <w:t>B</w:t>
      </w:r>
      <w:r>
        <w:rPr>
          <w:rFonts w:ascii="楷体" w:eastAsia="楷体" w:hAnsi="楷体" w:hint="eastAsia"/>
          <w:szCs w:val="21"/>
        </w:rPr>
        <w:t>（封闭式）</w:t>
      </w:r>
      <w:r w:rsidRPr="00F7788B">
        <w:rPr>
          <w:rFonts w:ascii="楷体" w:eastAsia="楷体" w:hAnsi="楷体" w:hint="eastAsia"/>
          <w:szCs w:val="21"/>
        </w:rPr>
        <w:t>的</w:t>
      </w:r>
      <w:r w:rsidRPr="00F7788B">
        <w:rPr>
          <w:rFonts w:ascii="楷体" w:eastAsia="楷体" w:hAnsi="楷体"/>
          <w:szCs w:val="21"/>
        </w:rPr>
        <w:t>4.61%</w:t>
      </w:r>
      <w:r>
        <w:rPr>
          <w:rFonts w:ascii="楷体" w:eastAsia="楷体" w:hAnsi="楷体" w:hint="eastAsia"/>
          <w:szCs w:val="21"/>
        </w:rPr>
        <w:t>。</w:t>
      </w:r>
    </w:p>
    <w:tbl>
      <w:tblPr>
        <w:tblW w:w="11057" w:type="dxa"/>
        <w:tblInd w:w="-142" w:type="dxa"/>
        <w:tblBorders>
          <w:top w:val="single" w:sz="6" w:space="0" w:color="FF6600"/>
          <w:bottom w:val="single" w:sz="6" w:space="0" w:color="FF6600"/>
          <w:insideH w:val="single" w:sz="6" w:space="0" w:color="FF6600"/>
        </w:tblBorders>
        <w:tblLayout w:type="fixed"/>
        <w:tblCellMar>
          <w:left w:w="0" w:type="dxa"/>
          <w:right w:w="0" w:type="dxa"/>
        </w:tblCellMar>
        <w:tblLook w:val="0000"/>
      </w:tblPr>
      <w:tblGrid>
        <w:gridCol w:w="851"/>
        <w:gridCol w:w="851"/>
        <w:gridCol w:w="2551"/>
        <w:gridCol w:w="709"/>
        <w:gridCol w:w="850"/>
        <w:gridCol w:w="993"/>
        <w:gridCol w:w="850"/>
        <w:gridCol w:w="1843"/>
        <w:gridCol w:w="709"/>
        <w:gridCol w:w="850"/>
      </w:tblGrid>
      <w:tr w:rsidR="00A14A34" w:rsidRPr="00035682" w:rsidTr="00CE01AE">
        <w:trPr>
          <w:cantSplit/>
          <w:trHeight w:val="335"/>
        </w:trPr>
        <w:tc>
          <w:tcPr>
            <w:tcW w:w="11057" w:type="dxa"/>
            <w:gridSpan w:val="10"/>
            <w:vAlign w:val="center"/>
          </w:tcPr>
          <w:p w:rsidR="00A14A34" w:rsidRPr="005B7CDB" w:rsidRDefault="00A14A34" w:rsidP="002D2967">
            <w:pPr>
              <w:pStyle w:val="SubTitleLargeTable"/>
              <w:pBdr>
                <w:top w:val="none" w:sz="0" w:space="0" w:color="auto"/>
              </w:pBdr>
              <w:rPr>
                <w:rFonts w:ascii="楷体" w:eastAsia="楷体" w:hAnsi="楷体"/>
                <w:b w:val="0"/>
              </w:rPr>
            </w:pPr>
            <w:r w:rsidRPr="005B7CDB">
              <w:rPr>
                <w:rFonts w:ascii="楷体" w:eastAsia="楷体" w:hAnsi="楷体" w:cs="宋体" w:hint="eastAsia"/>
                <w:color w:val="FF6600"/>
              </w:rPr>
              <w:t>图表</w:t>
            </w:r>
            <w:r w:rsidRPr="005B7CDB">
              <w:rPr>
                <w:rFonts w:ascii="楷体" w:eastAsia="楷体" w:hAnsi="楷体"/>
                <w:color w:val="FF6600"/>
              </w:rPr>
              <w:t>5</w:t>
            </w:r>
            <w:r w:rsidRPr="005B7CDB">
              <w:rPr>
                <w:rFonts w:ascii="楷体" w:eastAsia="楷体" w:hAnsi="楷体" w:cs="宋体" w:hint="eastAsia"/>
                <w:color w:val="FF6600"/>
              </w:rPr>
              <w:t>：各类型公募基金（含封闭式）周收益率前</w:t>
            </w:r>
            <w:r w:rsidRPr="005B7CDB">
              <w:rPr>
                <w:rFonts w:ascii="楷体" w:eastAsia="楷体" w:hAnsi="楷体"/>
                <w:color w:val="FF6600"/>
              </w:rPr>
              <w:t>3</w:t>
            </w:r>
            <w:r w:rsidRPr="005B7CDB">
              <w:rPr>
                <w:rFonts w:ascii="楷体" w:eastAsia="楷体" w:hAnsi="楷体" w:cs="宋体" w:hint="eastAsia"/>
                <w:color w:val="FF6600"/>
              </w:rPr>
              <w:t>（</w:t>
            </w:r>
            <w:r>
              <w:rPr>
                <w:rFonts w:ascii="楷体" w:eastAsia="楷体" w:hAnsi="楷体"/>
                <w:color w:val="FF6600"/>
              </w:rPr>
              <w:t>10.20~24</w:t>
            </w:r>
            <w:r w:rsidRPr="005B7CDB">
              <w:rPr>
                <w:rFonts w:ascii="楷体" w:eastAsia="楷体" w:hAnsi="楷体" w:cs="宋体" w:hint="eastAsia"/>
                <w:color w:val="FF6600"/>
              </w:rPr>
              <w:t>，</w:t>
            </w:r>
            <w:r w:rsidRPr="005B7CDB">
              <w:rPr>
                <w:rFonts w:ascii="楷体" w:eastAsia="楷体" w:hAnsi="楷体"/>
                <w:color w:val="FF6600"/>
              </w:rPr>
              <w:t>QDII</w:t>
            </w:r>
            <w:r w:rsidRPr="005B7CDB">
              <w:rPr>
                <w:rFonts w:ascii="楷体" w:eastAsia="楷体" w:hAnsi="楷体" w:hint="eastAsia"/>
                <w:color w:val="FF6600"/>
              </w:rPr>
              <w:t>为</w:t>
            </w:r>
            <w:r>
              <w:rPr>
                <w:rFonts w:ascii="楷体" w:eastAsia="楷体" w:hAnsi="楷体"/>
                <w:color w:val="FF6600"/>
              </w:rPr>
              <w:t>10.17</w:t>
            </w:r>
            <w:r w:rsidRPr="00057142">
              <w:rPr>
                <w:rFonts w:ascii="楷体" w:eastAsia="楷体" w:hAnsi="楷体"/>
                <w:color w:val="FF6600"/>
              </w:rPr>
              <w:t>~</w:t>
            </w:r>
            <w:r>
              <w:rPr>
                <w:rFonts w:ascii="楷体" w:eastAsia="楷体" w:hAnsi="楷体"/>
                <w:color w:val="FF6600"/>
              </w:rPr>
              <w:t>23</w:t>
            </w:r>
            <w:r w:rsidRPr="005B7CDB">
              <w:rPr>
                <w:rFonts w:ascii="楷体" w:eastAsia="楷体" w:hAnsi="楷体" w:hint="eastAsia"/>
                <w:color w:val="FF6600"/>
              </w:rPr>
              <w:t>，货币基金为</w:t>
            </w:r>
            <w:r w:rsidRPr="005B7CDB">
              <w:rPr>
                <w:rFonts w:ascii="楷体" w:eastAsia="楷体" w:hAnsi="楷体"/>
                <w:color w:val="FF6600"/>
              </w:rPr>
              <w:t>7</w:t>
            </w:r>
            <w:r w:rsidRPr="005B7CDB">
              <w:rPr>
                <w:rFonts w:ascii="楷体" w:eastAsia="楷体" w:hAnsi="楷体" w:hint="eastAsia"/>
                <w:color w:val="FF6600"/>
              </w:rPr>
              <w:t>日年化收益</w:t>
            </w:r>
            <w:r>
              <w:rPr>
                <w:rFonts w:ascii="楷体" w:eastAsia="楷体" w:hAnsi="楷体" w:hint="eastAsia"/>
                <w:color w:val="FF6600"/>
              </w:rPr>
              <w:t>率</w:t>
            </w:r>
            <w:r w:rsidRPr="005B7CDB">
              <w:rPr>
                <w:rFonts w:ascii="楷体" w:eastAsia="楷体" w:hAnsi="楷体" w:cs="宋体" w:hint="eastAsia"/>
                <w:color w:val="FF6600"/>
              </w:rPr>
              <w:t>）</w:t>
            </w:r>
          </w:p>
        </w:tc>
      </w:tr>
      <w:tr w:rsidR="00A14A34" w:rsidRPr="00035682" w:rsidTr="001C1C98">
        <w:trPr>
          <w:cantSplit/>
          <w:trHeight w:val="227"/>
        </w:trPr>
        <w:tc>
          <w:tcPr>
            <w:tcW w:w="851" w:type="dxa"/>
            <w:tcBorders>
              <w:right w:val="single" w:sz="6" w:space="0" w:color="FF6600"/>
            </w:tcBorders>
            <w:shd w:val="clear" w:color="auto" w:fill="FDE9D9"/>
            <w:vAlign w:val="center"/>
          </w:tcPr>
          <w:p w:rsidR="00A14A34" w:rsidRPr="00035682" w:rsidRDefault="00A14A34" w:rsidP="000D1136">
            <w:pPr>
              <w:snapToGrid w:val="0"/>
              <w:jc w:val="center"/>
              <w:rPr>
                <w:rFonts w:ascii="楷体" w:eastAsia="楷体" w:hAnsi="楷体"/>
                <w:b/>
                <w:sz w:val="18"/>
                <w:szCs w:val="18"/>
              </w:rPr>
            </w:pPr>
            <w:r w:rsidRPr="00035682">
              <w:rPr>
                <w:rFonts w:ascii="楷体" w:eastAsia="楷体" w:hAnsi="楷体" w:hint="eastAsia"/>
                <w:b/>
                <w:sz w:val="18"/>
                <w:szCs w:val="18"/>
              </w:rPr>
              <w:t>凯石分类</w:t>
            </w:r>
          </w:p>
        </w:tc>
        <w:tc>
          <w:tcPr>
            <w:tcW w:w="851" w:type="dxa"/>
            <w:tcBorders>
              <w:left w:val="single" w:sz="6" w:space="0" w:color="FF6600"/>
              <w:right w:val="single" w:sz="6" w:space="0" w:color="FF6600"/>
            </w:tcBorders>
            <w:shd w:val="clear" w:color="auto" w:fill="FDE9D9"/>
            <w:vAlign w:val="center"/>
          </w:tcPr>
          <w:p w:rsidR="00A14A34" w:rsidRPr="00035682" w:rsidRDefault="00A14A34" w:rsidP="000D1136">
            <w:pPr>
              <w:snapToGrid w:val="0"/>
              <w:jc w:val="center"/>
              <w:rPr>
                <w:rFonts w:ascii="楷体" w:eastAsia="楷体" w:hAnsi="楷体"/>
                <w:b/>
                <w:sz w:val="18"/>
                <w:szCs w:val="18"/>
              </w:rPr>
            </w:pPr>
            <w:r w:rsidRPr="00035682">
              <w:rPr>
                <w:rFonts w:ascii="楷体" w:eastAsia="楷体" w:hAnsi="楷体" w:hint="eastAsia"/>
                <w:b/>
                <w:sz w:val="18"/>
                <w:szCs w:val="18"/>
              </w:rPr>
              <w:t>基金代码</w:t>
            </w:r>
          </w:p>
        </w:tc>
        <w:tc>
          <w:tcPr>
            <w:tcW w:w="2551" w:type="dxa"/>
            <w:tcBorders>
              <w:left w:val="single" w:sz="6" w:space="0" w:color="FF6600"/>
              <w:right w:val="single" w:sz="6" w:space="0" w:color="FF6600"/>
            </w:tcBorders>
            <w:shd w:val="clear" w:color="auto" w:fill="FDE9D9"/>
            <w:vAlign w:val="center"/>
          </w:tcPr>
          <w:p w:rsidR="00A14A34" w:rsidRPr="00035682" w:rsidRDefault="00A14A34" w:rsidP="000D1136">
            <w:pPr>
              <w:snapToGrid w:val="0"/>
              <w:jc w:val="center"/>
              <w:rPr>
                <w:rFonts w:ascii="楷体" w:eastAsia="楷体" w:hAnsi="楷体"/>
                <w:b/>
                <w:sz w:val="18"/>
                <w:szCs w:val="18"/>
              </w:rPr>
            </w:pPr>
            <w:r w:rsidRPr="00035682">
              <w:rPr>
                <w:rFonts w:ascii="楷体" w:eastAsia="楷体" w:hAnsi="楷体" w:hint="eastAsia"/>
                <w:b/>
                <w:sz w:val="18"/>
                <w:szCs w:val="18"/>
              </w:rPr>
              <w:t>基金名称</w:t>
            </w:r>
          </w:p>
        </w:tc>
        <w:tc>
          <w:tcPr>
            <w:tcW w:w="709" w:type="dxa"/>
            <w:tcBorders>
              <w:left w:val="single" w:sz="6" w:space="0" w:color="FF6600"/>
              <w:right w:val="single" w:sz="6" w:space="0" w:color="FF6600"/>
            </w:tcBorders>
            <w:shd w:val="clear" w:color="auto" w:fill="FDE9D9"/>
            <w:vAlign w:val="center"/>
          </w:tcPr>
          <w:p w:rsidR="00A14A34" w:rsidRPr="00035682" w:rsidRDefault="00A14A34" w:rsidP="000D1136">
            <w:pPr>
              <w:snapToGrid w:val="0"/>
              <w:jc w:val="center"/>
              <w:rPr>
                <w:rFonts w:ascii="楷体" w:eastAsia="楷体" w:hAnsi="楷体"/>
                <w:b/>
                <w:sz w:val="18"/>
                <w:szCs w:val="18"/>
              </w:rPr>
            </w:pPr>
            <w:r w:rsidRPr="00035682">
              <w:rPr>
                <w:rFonts w:ascii="楷体" w:eastAsia="楷体" w:hAnsi="楷体" w:hint="eastAsia"/>
                <w:b/>
                <w:sz w:val="18"/>
                <w:szCs w:val="18"/>
              </w:rPr>
              <w:t>类型</w:t>
            </w:r>
          </w:p>
        </w:tc>
        <w:tc>
          <w:tcPr>
            <w:tcW w:w="850" w:type="dxa"/>
            <w:tcBorders>
              <w:left w:val="single" w:sz="6" w:space="0" w:color="FF6600"/>
              <w:right w:val="single" w:sz="6" w:space="0" w:color="FF6600"/>
            </w:tcBorders>
            <w:shd w:val="clear" w:color="auto" w:fill="FDE9D9"/>
            <w:vAlign w:val="center"/>
          </w:tcPr>
          <w:p w:rsidR="00A14A34" w:rsidRPr="00035682" w:rsidRDefault="00A14A34" w:rsidP="000D1136">
            <w:pPr>
              <w:snapToGrid w:val="0"/>
              <w:jc w:val="center"/>
              <w:rPr>
                <w:rFonts w:ascii="楷体" w:eastAsia="楷体" w:hAnsi="楷体"/>
                <w:b/>
                <w:sz w:val="18"/>
                <w:szCs w:val="18"/>
              </w:rPr>
            </w:pPr>
            <w:r w:rsidRPr="00035682">
              <w:rPr>
                <w:rFonts w:ascii="楷体" w:eastAsia="楷体" w:hAnsi="楷体" w:hint="eastAsia"/>
                <w:b/>
                <w:sz w:val="18"/>
                <w:szCs w:val="18"/>
              </w:rPr>
              <w:t>周收益率</w:t>
            </w:r>
            <w:r w:rsidRPr="00035682">
              <w:rPr>
                <w:rFonts w:ascii="楷体" w:eastAsia="楷体" w:hAnsi="楷体"/>
                <w:b/>
                <w:sz w:val="18"/>
                <w:szCs w:val="18"/>
              </w:rPr>
              <w:t>%</w:t>
            </w:r>
          </w:p>
        </w:tc>
        <w:tc>
          <w:tcPr>
            <w:tcW w:w="993" w:type="dxa"/>
            <w:tcBorders>
              <w:left w:val="single" w:sz="6" w:space="0" w:color="FF6600"/>
              <w:right w:val="single" w:sz="6" w:space="0" w:color="FF6600"/>
            </w:tcBorders>
            <w:shd w:val="clear" w:color="auto" w:fill="FDE9D9"/>
            <w:vAlign w:val="center"/>
          </w:tcPr>
          <w:p w:rsidR="00A14A34" w:rsidRPr="00035682" w:rsidRDefault="00A14A34" w:rsidP="000D1136">
            <w:pPr>
              <w:snapToGrid w:val="0"/>
              <w:jc w:val="center"/>
              <w:rPr>
                <w:rFonts w:ascii="楷体" w:eastAsia="楷体" w:hAnsi="楷体"/>
                <w:b/>
                <w:sz w:val="18"/>
                <w:szCs w:val="18"/>
              </w:rPr>
            </w:pPr>
            <w:r w:rsidRPr="00035682">
              <w:rPr>
                <w:rFonts w:ascii="楷体" w:eastAsia="楷体" w:hAnsi="楷体" w:hint="eastAsia"/>
                <w:b/>
                <w:sz w:val="18"/>
                <w:szCs w:val="18"/>
              </w:rPr>
              <w:t>凯石分类</w:t>
            </w:r>
          </w:p>
        </w:tc>
        <w:tc>
          <w:tcPr>
            <w:tcW w:w="850" w:type="dxa"/>
            <w:tcBorders>
              <w:left w:val="single" w:sz="6" w:space="0" w:color="FF6600"/>
              <w:right w:val="single" w:sz="6" w:space="0" w:color="FF6600"/>
            </w:tcBorders>
            <w:shd w:val="clear" w:color="auto" w:fill="FDE9D9"/>
            <w:vAlign w:val="center"/>
          </w:tcPr>
          <w:p w:rsidR="00A14A34" w:rsidRPr="00035682" w:rsidRDefault="00A14A34" w:rsidP="000D1136">
            <w:pPr>
              <w:snapToGrid w:val="0"/>
              <w:jc w:val="center"/>
              <w:rPr>
                <w:rFonts w:ascii="楷体" w:eastAsia="楷体" w:hAnsi="楷体"/>
                <w:b/>
                <w:sz w:val="18"/>
                <w:szCs w:val="18"/>
              </w:rPr>
            </w:pPr>
            <w:r w:rsidRPr="00035682">
              <w:rPr>
                <w:rFonts w:ascii="楷体" w:eastAsia="楷体" w:hAnsi="楷体" w:hint="eastAsia"/>
                <w:b/>
                <w:sz w:val="18"/>
                <w:szCs w:val="18"/>
              </w:rPr>
              <w:t>基金代码</w:t>
            </w:r>
          </w:p>
        </w:tc>
        <w:tc>
          <w:tcPr>
            <w:tcW w:w="1843" w:type="dxa"/>
            <w:tcBorders>
              <w:left w:val="single" w:sz="6" w:space="0" w:color="FF6600"/>
              <w:right w:val="single" w:sz="6" w:space="0" w:color="FF6600"/>
            </w:tcBorders>
            <w:shd w:val="clear" w:color="auto" w:fill="FDE9D9"/>
            <w:vAlign w:val="center"/>
          </w:tcPr>
          <w:p w:rsidR="00A14A34" w:rsidRPr="00035682" w:rsidRDefault="00A14A34" w:rsidP="000D1136">
            <w:pPr>
              <w:snapToGrid w:val="0"/>
              <w:jc w:val="center"/>
              <w:rPr>
                <w:rFonts w:ascii="楷体" w:eastAsia="楷体" w:hAnsi="楷体"/>
                <w:b/>
                <w:sz w:val="18"/>
                <w:szCs w:val="18"/>
              </w:rPr>
            </w:pPr>
            <w:r w:rsidRPr="00035682">
              <w:rPr>
                <w:rFonts w:ascii="楷体" w:eastAsia="楷体" w:hAnsi="楷体" w:hint="eastAsia"/>
                <w:b/>
                <w:sz w:val="18"/>
                <w:szCs w:val="18"/>
              </w:rPr>
              <w:t>基金名称</w:t>
            </w:r>
          </w:p>
        </w:tc>
        <w:tc>
          <w:tcPr>
            <w:tcW w:w="709" w:type="dxa"/>
            <w:tcBorders>
              <w:left w:val="single" w:sz="6" w:space="0" w:color="FF6600"/>
              <w:right w:val="single" w:sz="6" w:space="0" w:color="FF6600"/>
            </w:tcBorders>
            <w:shd w:val="clear" w:color="auto" w:fill="FDE9D9"/>
            <w:vAlign w:val="center"/>
          </w:tcPr>
          <w:p w:rsidR="00A14A34" w:rsidRPr="00035682" w:rsidRDefault="00A14A34" w:rsidP="000D1136">
            <w:pPr>
              <w:snapToGrid w:val="0"/>
              <w:jc w:val="center"/>
              <w:rPr>
                <w:rFonts w:ascii="楷体" w:eastAsia="楷体" w:hAnsi="楷体"/>
                <w:b/>
                <w:sz w:val="18"/>
                <w:szCs w:val="18"/>
              </w:rPr>
            </w:pPr>
            <w:r w:rsidRPr="00035682">
              <w:rPr>
                <w:rFonts w:ascii="楷体" w:eastAsia="楷体" w:hAnsi="楷体" w:hint="eastAsia"/>
                <w:b/>
                <w:sz w:val="18"/>
                <w:szCs w:val="18"/>
              </w:rPr>
              <w:t>类型</w:t>
            </w:r>
          </w:p>
        </w:tc>
        <w:tc>
          <w:tcPr>
            <w:tcW w:w="850" w:type="dxa"/>
            <w:tcBorders>
              <w:left w:val="single" w:sz="6" w:space="0" w:color="FF6600"/>
            </w:tcBorders>
            <w:shd w:val="clear" w:color="auto" w:fill="FDE9D9"/>
            <w:vAlign w:val="center"/>
          </w:tcPr>
          <w:p w:rsidR="00A14A34" w:rsidRPr="00035682" w:rsidRDefault="00A14A34" w:rsidP="000D1136">
            <w:pPr>
              <w:snapToGrid w:val="0"/>
              <w:jc w:val="center"/>
              <w:rPr>
                <w:rFonts w:ascii="楷体" w:eastAsia="楷体" w:hAnsi="楷体"/>
                <w:b/>
                <w:sz w:val="18"/>
                <w:szCs w:val="18"/>
              </w:rPr>
            </w:pPr>
            <w:r w:rsidRPr="00035682">
              <w:rPr>
                <w:rFonts w:ascii="楷体" w:eastAsia="楷体" w:hAnsi="楷体" w:hint="eastAsia"/>
                <w:b/>
                <w:sz w:val="18"/>
                <w:szCs w:val="18"/>
              </w:rPr>
              <w:t>周收益率</w:t>
            </w:r>
            <w:r w:rsidRPr="00035682">
              <w:rPr>
                <w:rFonts w:ascii="楷体" w:eastAsia="楷体" w:hAnsi="楷体"/>
                <w:b/>
                <w:sz w:val="18"/>
                <w:szCs w:val="18"/>
              </w:rPr>
              <w:t>%</w:t>
            </w:r>
          </w:p>
        </w:tc>
      </w:tr>
      <w:tr w:rsidR="00A14A34" w:rsidRPr="00035682" w:rsidTr="001C1C98">
        <w:trPr>
          <w:cantSplit/>
          <w:trHeight w:val="227"/>
        </w:trPr>
        <w:tc>
          <w:tcPr>
            <w:tcW w:w="851" w:type="dxa"/>
            <w:vMerge w:val="restart"/>
            <w:tcBorders>
              <w:right w:val="single" w:sz="6" w:space="0" w:color="FF6600"/>
            </w:tcBorders>
            <w:shd w:val="clear" w:color="auto" w:fill="FDE9D9"/>
            <w:vAlign w:val="center"/>
          </w:tcPr>
          <w:p w:rsidR="00A14A34" w:rsidRPr="00035682" w:rsidRDefault="00A14A34" w:rsidP="006E677E">
            <w:pPr>
              <w:snapToGrid w:val="0"/>
              <w:jc w:val="center"/>
              <w:rPr>
                <w:rFonts w:ascii="楷体" w:eastAsia="楷体" w:hAnsi="楷体"/>
                <w:b/>
                <w:sz w:val="18"/>
                <w:szCs w:val="18"/>
              </w:rPr>
            </w:pPr>
            <w:r w:rsidRPr="00035682">
              <w:rPr>
                <w:rFonts w:ascii="楷体" w:eastAsia="楷体" w:hAnsi="楷体" w:hint="eastAsia"/>
                <w:b/>
                <w:sz w:val="18"/>
                <w:szCs w:val="18"/>
              </w:rPr>
              <w:t>股票</w:t>
            </w:r>
            <w:r w:rsidRPr="00035682">
              <w:rPr>
                <w:rFonts w:ascii="楷体" w:eastAsia="楷体" w:hAnsi="楷体"/>
                <w:b/>
                <w:sz w:val="18"/>
                <w:szCs w:val="18"/>
              </w:rPr>
              <w:t>-</w:t>
            </w:r>
          </w:p>
          <w:p w:rsidR="00A14A34" w:rsidRPr="00035682" w:rsidRDefault="00A14A34" w:rsidP="006E677E">
            <w:pPr>
              <w:snapToGrid w:val="0"/>
              <w:jc w:val="center"/>
              <w:rPr>
                <w:rFonts w:ascii="楷体" w:eastAsia="楷体" w:hAnsi="楷体"/>
                <w:b/>
                <w:sz w:val="18"/>
                <w:szCs w:val="18"/>
              </w:rPr>
            </w:pPr>
            <w:r w:rsidRPr="00035682">
              <w:rPr>
                <w:rFonts w:ascii="楷体" w:eastAsia="楷体" w:hAnsi="楷体" w:hint="eastAsia"/>
                <w:b/>
                <w:sz w:val="18"/>
                <w:szCs w:val="18"/>
              </w:rPr>
              <w:t>主动型</w:t>
            </w:r>
          </w:p>
        </w:tc>
        <w:tc>
          <w:tcPr>
            <w:tcW w:w="851"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163822</w:t>
            </w:r>
          </w:p>
        </w:tc>
        <w:tc>
          <w:tcPr>
            <w:tcW w:w="2551"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中银主题策略</w:t>
            </w:r>
          </w:p>
        </w:tc>
        <w:tc>
          <w:tcPr>
            <w:tcW w:w="709" w:type="dxa"/>
            <w:tcBorders>
              <w:left w:val="single" w:sz="6" w:space="0" w:color="FF6600"/>
              <w:right w:val="single" w:sz="6" w:space="0" w:color="FF6600"/>
            </w:tcBorders>
            <w:vAlign w:val="center"/>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1.18</w:t>
            </w:r>
          </w:p>
        </w:tc>
        <w:tc>
          <w:tcPr>
            <w:tcW w:w="993" w:type="dxa"/>
            <w:vMerge w:val="restart"/>
            <w:tcBorders>
              <w:left w:val="single" w:sz="6" w:space="0" w:color="FF6600"/>
              <w:right w:val="single" w:sz="6" w:space="0" w:color="FF6600"/>
            </w:tcBorders>
            <w:shd w:val="clear" w:color="auto" w:fill="FDE9D9"/>
            <w:vAlign w:val="center"/>
          </w:tcPr>
          <w:p w:rsidR="00A14A34" w:rsidRPr="00035682" w:rsidRDefault="00A14A34" w:rsidP="006E677E">
            <w:pPr>
              <w:snapToGrid w:val="0"/>
              <w:jc w:val="center"/>
              <w:rPr>
                <w:rFonts w:ascii="楷体" w:eastAsia="楷体" w:hAnsi="楷体"/>
                <w:b/>
                <w:sz w:val="18"/>
                <w:szCs w:val="18"/>
              </w:rPr>
            </w:pPr>
            <w:r w:rsidRPr="00035682">
              <w:rPr>
                <w:rFonts w:ascii="楷体" w:eastAsia="楷体" w:hAnsi="楷体" w:hint="eastAsia"/>
                <w:b/>
                <w:sz w:val="18"/>
                <w:szCs w:val="18"/>
              </w:rPr>
              <w:t>债券</w:t>
            </w:r>
            <w:r w:rsidRPr="00035682">
              <w:rPr>
                <w:rFonts w:ascii="楷体" w:eastAsia="楷体" w:hAnsi="楷体"/>
                <w:b/>
                <w:sz w:val="18"/>
                <w:szCs w:val="18"/>
              </w:rPr>
              <w:t>-</w:t>
            </w:r>
          </w:p>
          <w:p w:rsidR="00A14A34" w:rsidRPr="00035682" w:rsidRDefault="00A14A34" w:rsidP="006E677E">
            <w:pPr>
              <w:snapToGrid w:val="0"/>
              <w:jc w:val="center"/>
              <w:rPr>
                <w:rFonts w:ascii="楷体" w:eastAsia="楷体" w:hAnsi="楷体"/>
                <w:b/>
                <w:sz w:val="18"/>
                <w:szCs w:val="18"/>
              </w:rPr>
            </w:pPr>
            <w:r w:rsidRPr="00035682">
              <w:rPr>
                <w:rFonts w:ascii="楷体" w:eastAsia="楷体" w:hAnsi="楷体" w:hint="eastAsia"/>
                <w:b/>
                <w:sz w:val="18"/>
                <w:szCs w:val="18"/>
              </w:rPr>
              <w:t>纯债基金</w:t>
            </w:r>
          </w:p>
        </w:tc>
        <w:tc>
          <w:tcPr>
            <w:tcW w:w="850"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519161</w:t>
            </w:r>
          </w:p>
        </w:tc>
        <w:tc>
          <w:tcPr>
            <w:tcW w:w="1843"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新华安享惠金</w:t>
            </w:r>
            <w:r w:rsidRPr="00035682">
              <w:rPr>
                <w:rFonts w:ascii="楷体" w:eastAsia="楷体" w:hAnsi="楷体"/>
                <w:color w:val="000000"/>
                <w:sz w:val="18"/>
                <w:szCs w:val="18"/>
              </w:rPr>
              <w:t>C</w:t>
            </w:r>
          </w:p>
        </w:tc>
        <w:tc>
          <w:tcPr>
            <w:tcW w:w="709" w:type="dxa"/>
            <w:tcBorders>
              <w:left w:val="single" w:sz="6" w:space="0" w:color="FF6600"/>
              <w:right w:val="single" w:sz="6" w:space="0" w:color="FF6600"/>
            </w:tcBorders>
            <w:vAlign w:val="center"/>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开放式</w:t>
            </w:r>
          </w:p>
        </w:tc>
        <w:tc>
          <w:tcPr>
            <w:tcW w:w="850" w:type="dxa"/>
            <w:tcBorders>
              <w:lef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2.55</w:t>
            </w:r>
          </w:p>
        </w:tc>
      </w:tr>
      <w:tr w:rsidR="00A14A34" w:rsidRPr="00035682" w:rsidTr="001C1C98">
        <w:trPr>
          <w:cantSplit/>
          <w:trHeight w:val="227"/>
        </w:trPr>
        <w:tc>
          <w:tcPr>
            <w:tcW w:w="851" w:type="dxa"/>
            <w:vMerge/>
            <w:tcBorders>
              <w:right w:val="single" w:sz="6" w:space="0" w:color="FF6600"/>
            </w:tcBorders>
            <w:shd w:val="clear" w:color="auto" w:fill="FDE9D9"/>
            <w:vAlign w:val="center"/>
          </w:tcPr>
          <w:p w:rsidR="00A14A34" w:rsidRPr="00035682" w:rsidRDefault="00A14A34" w:rsidP="006E677E">
            <w:pPr>
              <w:snapToGrid w:val="0"/>
              <w:jc w:val="center"/>
              <w:rPr>
                <w:rFonts w:ascii="楷体" w:eastAsia="楷体" w:hAnsi="楷体"/>
                <w:b/>
                <w:sz w:val="18"/>
                <w:szCs w:val="18"/>
              </w:rPr>
            </w:pPr>
          </w:p>
        </w:tc>
        <w:tc>
          <w:tcPr>
            <w:tcW w:w="851"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519110</w:t>
            </w:r>
          </w:p>
        </w:tc>
        <w:tc>
          <w:tcPr>
            <w:tcW w:w="2551"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浦银安盛价值成长</w:t>
            </w:r>
          </w:p>
        </w:tc>
        <w:tc>
          <w:tcPr>
            <w:tcW w:w="709" w:type="dxa"/>
            <w:tcBorders>
              <w:left w:val="single" w:sz="6" w:space="0" w:color="FF6600"/>
              <w:right w:val="single" w:sz="6" w:space="0" w:color="FF6600"/>
            </w:tcBorders>
            <w:vAlign w:val="center"/>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0.68</w:t>
            </w:r>
          </w:p>
        </w:tc>
        <w:tc>
          <w:tcPr>
            <w:tcW w:w="993" w:type="dxa"/>
            <w:vMerge/>
            <w:tcBorders>
              <w:left w:val="single" w:sz="6" w:space="0" w:color="FF6600"/>
              <w:right w:val="single" w:sz="6" w:space="0" w:color="FF6600"/>
            </w:tcBorders>
            <w:shd w:val="clear" w:color="auto" w:fill="FDE9D9"/>
            <w:vAlign w:val="center"/>
          </w:tcPr>
          <w:p w:rsidR="00A14A34" w:rsidRPr="00035682" w:rsidRDefault="00A14A34" w:rsidP="006E677E">
            <w:pPr>
              <w:snapToGrid w:val="0"/>
              <w:jc w:val="center"/>
              <w:rPr>
                <w:rFonts w:ascii="楷体" w:eastAsia="楷体" w:hAnsi="楷体"/>
                <w:b/>
                <w:sz w:val="18"/>
                <w:szCs w:val="18"/>
              </w:rPr>
            </w:pPr>
          </w:p>
        </w:tc>
        <w:tc>
          <w:tcPr>
            <w:tcW w:w="850"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519160</w:t>
            </w:r>
          </w:p>
        </w:tc>
        <w:tc>
          <w:tcPr>
            <w:tcW w:w="1843"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新华安享惠金</w:t>
            </w:r>
            <w:r w:rsidRPr="00035682">
              <w:rPr>
                <w:rFonts w:ascii="楷体" w:eastAsia="楷体" w:hAnsi="楷体"/>
                <w:color w:val="000000"/>
                <w:sz w:val="18"/>
                <w:szCs w:val="18"/>
              </w:rPr>
              <w:t>A</w:t>
            </w:r>
          </w:p>
        </w:tc>
        <w:tc>
          <w:tcPr>
            <w:tcW w:w="709" w:type="dxa"/>
            <w:tcBorders>
              <w:left w:val="single" w:sz="6" w:space="0" w:color="FF6600"/>
              <w:right w:val="single" w:sz="6" w:space="0" w:color="FF6600"/>
            </w:tcBorders>
            <w:vAlign w:val="center"/>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开放式</w:t>
            </w:r>
          </w:p>
        </w:tc>
        <w:tc>
          <w:tcPr>
            <w:tcW w:w="850" w:type="dxa"/>
            <w:tcBorders>
              <w:lef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2.54</w:t>
            </w:r>
          </w:p>
        </w:tc>
      </w:tr>
      <w:tr w:rsidR="00A14A34" w:rsidRPr="00035682" w:rsidTr="001C1C98">
        <w:trPr>
          <w:cantSplit/>
          <w:trHeight w:val="227"/>
        </w:trPr>
        <w:tc>
          <w:tcPr>
            <w:tcW w:w="851" w:type="dxa"/>
            <w:vMerge/>
            <w:tcBorders>
              <w:right w:val="single" w:sz="6" w:space="0" w:color="FF6600"/>
            </w:tcBorders>
            <w:shd w:val="clear" w:color="auto" w:fill="FDE9D9"/>
            <w:vAlign w:val="center"/>
          </w:tcPr>
          <w:p w:rsidR="00A14A34" w:rsidRPr="00035682" w:rsidRDefault="00A14A34" w:rsidP="006E677E">
            <w:pPr>
              <w:snapToGrid w:val="0"/>
              <w:jc w:val="center"/>
              <w:rPr>
                <w:rFonts w:ascii="楷体" w:eastAsia="楷体" w:hAnsi="楷体"/>
                <w:b/>
                <w:sz w:val="18"/>
                <w:szCs w:val="18"/>
              </w:rPr>
            </w:pPr>
          </w:p>
        </w:tc>
        <w:tc>
          <w:tcPr>
            <w:tcW w:w="851"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710001</w:t>
            </w:r>
          </w:p>
        </w:tc>
        <w:tc>
          <w:tcPr>
            <w:tcW w:w="2551"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富安达优势成长</w:t>
            </w:r>
          </w:p>
        </w:tc>
        <w:tc>
          <w:tcPr>
            <w:tcW w:w="709" w:type="dxa"/>
            <w:tcBorders>
              <w:left w:val="single" w:sz="6" w:space="0" w:color="FF6600"/>
              <w:right w:val="single" w:sz="6" w:space="0" w:color="FF6600"/>
            </w:tcBorders>
            <w:vAlign w:val="center"/>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0.67</w:t>
            </w:r>
          </w:p>
        </w:tc>
        <w:tc>
          <w:tcPr>
            <w:tcW w:w="993" w:type="dxa"/>
            <w:vMerge/>
            <w:tcBorders>
              <w:left w:val="single" w:sz="6" w:space="0" w:color="FF6600"/>
              <w:right w:val="single" w:sz="6" w:space="0" w:color="FF6600"/>
            </w:tcBorders>
            <w:shd w:val="clear" w:color="auto" w:fill="FDE9D9"/>
            <w:vAlign w:val="center"/>
          </w:tcPr>
          <w:p w:rsidR="00A14A34" w:rsidRPr="00035682" w:rsidRDefault="00A14A34" w:rsidP="006E677E">
            <w:pPr>
              <w:snapToGrid w:val="0"/>
              <w:jc w:val="center"/>
              <w:rPr>
                <w:rFonts w:ascii="楷体" w:eastAsia="楷体" w:hAnsi="楷体"/>
                <w:b/>
                <w:sz w:val="18"/>
                <w:szCs w:val="18"/>
              </w:rPr>
            </w:pPr>
          </w:p>
        </w:tc>
        <w:tc>
          <w:tcPr>
            <w:tcW w:w="850"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000277</w:t>
            </w:r>
          </w:p>
        </w:tc>
        <w:tc>
          <w:tcPr>
            <w:tcW w:w="1843"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博时双月薪</w:t>
            </w:r>
          </w:p>
        </w:tc>
        <w:tc>
          <w:tcPr>
            <w:tcW w:w="709" w:type="dxa"/>
            <w:tcBorders>
              <w:left w:val="single" w:sz="6" w:space="0" w:color="FF6600"/>
              <w:right w:val="single" w:sz="6" w:space="0" w:color="FF6600"/>
            </w:tcBorders>
            <w:vAlign w:val="center"/>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开放式</w:t>
            </w:r>
          </w:p>
        </w:tc>
        <w:tc>
          <w:tcPr>
            <w:tcW w:w="850" w:type="dxa"/>
            <w:tcBorders>
              <w:lef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2.50</w:t>
            </w:r>
          </w:p>
        </w:tc>
      </w:tr>
      <w:tr w:rsidR="00A14A34" w:rsidRPr="00035682" w:rsidTr="001C1C98">
        <w:trPr>
          <w:cantSplit/>
          <w:trHeight w:val="227"/>
        </w:trPr>
        <w:tc>
          <w:tcPr>
            <w:tcW w:w="851" w:type="dxa"/>
            <w:vMerge w:val="restart"/>
            <w:tcBorders>
              <w:right w:val="single" w:sz="6" w:space="0" w:color="FF6600"/>
            </w:tcBorders>
            <w:shd w:val="clear" w:color="auto" w:fill="FDE9D9"/>
            <w:vAlign w:val="center"/>
          </w:tcPr>
          <w:p w:rsidR="00A14A34" w:rsidRPr="00035682" w:rsidRDefault="00A14A34" w:rsidP="006E677E">
            <w:pPr>
              <w:snapToGrid w:val="0"/>
              <w:jc w:val="center"/>
              <w:rPr>
                <w:rFonts w:ascii="楷体" w:eastAsia="楷体" w:hAnsi="楷体"/>
                <w:b/>
                <w:sz w:val="18"/>
                <w:szCs w:val="18"/>
              </w:rPr>
            </w:pPr>
            <w:r w:rsidRPr="00035682">
              <w:rPr>
                <w:rFonts w:ascii="楷体" w:eastAsia="楷体" w:hAnsi="楷体" w:hint="eastAsia"/>
                <w:b/>
                <w:sz w:val="18"/>
                <w:szCs w:val="18"/>
              </w:rPr>
              <w:t>股票</w:t>
            </w:r>
            <w:r w:rsidRPr="00035682">
              <w:rPr>
                <w:rFonts w:ascii="楷体" w:eastAsia="楷体" w:hAnsi="楷体"/>
                <w:b/>
                <w:sz w:val="18"/>
                <w:szCs w:val="18"/>
              </w:rPr>
              <w:t>-</w:t>
            </w:r>
          </w:p>
          <w:p w:rsidR="00A14A34" w:rsidRPr="00035682" w:rsidRDefault="00A14A34" w:rsidP="006E677E">
            <w:pPr>
              <w:snapToGrid w:val="0"/>
              <w:jc w:val="center"/>
              <w:rPr>
                <w:rFonts w:ascii="楷体" w:eastAsia="楷体" w:hAnsi="楷体"/>
                <w:b/>
                <w:sz w:val="18"/>
                <w:szCs w:val="18"/>
              </w:rPr>
            </w:pPr>
            <w:r w:rsidRPr="00035682">
              <w:rPr>
                <w:rFonts w:ascii="楷体" w:eastAsia="楷体" w:hAnsi="楷体" w:hint="eastAsia"/>
                <w:b/>
                <w:sz w:val="18"/>
                <w:szCs w:val="18"/>
              </w:rPr>
              <w:t>指数型</w:t>
            </w:r>
          </w:p>
        </w:tc>
        <w:tc>
          <w:tcPr>
            <w:tcW w:w="851"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160626</w:t>
            </w:r>
          </w:p>
        </w:tc>
        <w:tc>
          <w:tcPr>
            <w:tcW w:w="2551"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鹏华中证信息技术</w:t>
            </w:r>
          </w:p>
        </w:tc>
        <w:tc>
          <w:tcPr>
            <w:tcW w:w="709" w:type="dxa"/>
            <w:tcBorders>
              <w:left w:val="single" w:sz="6" w:space="0" w:color="FF6600"/>
              <w:right w:val="single" w:sz="6" w:space="0" w:color="FF6600"/>
            </w:tcBorders>
            <w:vAlign w:val="center"/>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-0.58</w:t>
            </w:r>
          </w:p>
        </w:tc>
        <w:tc>
          <w:tcPr>
            <w:tcW w:w="993" w:type="dxa"/>
            <w:vMerge w:val="restart"/>
            <w:tcBorders>
              <w:left w:val="single" w:sz="6" w:space="0" w:color="FF6600"/>
              <w:right w:val="single" w:sz="6" w:space="0" w:color="FF6600"/>
            </w:tcBorders>
            <w:shd w:val="clear" w:color="auto" w:fill="FDE9D9"/>
            <w:vAlign w:val="center"/>
          </w:tcPr>
          <w:p w:rsidR="00A14A34" w:rsidRPr="00035682" w:rsidRDefault="00A14A34" w:rsidP="006E677E">
            <w:pPr>
              <w:snapToGrid w:val="0"/>
              <w:jc w:val="center"/>
              <w:rPr>
                <w:rFonts w:ascii="楷体" w:eastAsia="楷体" w:hAnsi="楷体"/>
                <w:b/>
                <w:bCs/>
                <w:color w:val="000000"/>
                <w:sz w:val="18"/>
                <w:szCs w:val="18"/>
              </w:rPr>
            </w:pPr>
            <w:r w:rsidRPr="00035682">
              <w:rPr>
                <w:rFonts w:ascii="楷体" w:eastAsia="楷体" w:hAnsi="楷体" w:hint="eastAsia"/>
                <w:b/>
                <w:bCs/>
                <w:color w:val="000000"/>
                <w:sz w:val="18"/>
                <w:szCs w:val="18"/>
              </w:rPr>
              <w:t>债券</w:t>
            </w:r>
            <w:r w:rsidRPr="00035682">
              <w:rPr>
                <w:rFonts w:ascii="楷体" w:eastAsia="楷体" w:hAnsi="楷体"/>
                <w:b/>
                <w:bCs/>
                <w:color w:val="000000"/>
                <w:sz w:val="18"/>
                <w:szCs w:val="18"/>
              </w:rPr>
              <w:t>-</w:t>
            </w:r>
          </w:p>
          <w:p w:rsidR="00A14A34" w:rsidRPr="005B7CDB" w:rsidRDefault="00A14A34" w:rsidP="006E677E">
            <w:pPr>
              <w:snapToGrid w:val="0"/>
              <w:jc w:val="center"/>
              <w:rPr>
                <w:rFonts w:ascii="楷体" w:eastAsia="楷体" w:hAnsi="楷体" w:cs="宋体"/>
                <w:b/>
                <w:bCs/>
                <w:color w:val="000000"/>
                <w:sz w:val="18"/>
                <w:szCs w:val="18"/>
              </w:rPr>
            </w:pPr>
            <w:r w:rsidRPr="00035682">
              <w:rPr>
                <w:rFonts w:ascii="楷体" w:eastAsia="楷体" w:hAnsi="楷体" w:hint="eastAsia"/>
                <w:b/>
                <w:bCs/>
                <w:color w:val="000000"/>
                <w:sz w:val="18"/>
                <w:szCs w:val="18"/>
              </w:rPr>
              <w:t>一级债基</w:t>
            </w:r>
          </w:p>
        </w:tc>
        <w:tc>
          <w:tcPr>
            <w:tcW w:w="850"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340009</w:t>
            </w:r>
          </w:p>
        </w:tc>
        <w:tc>
          <w:tcPr>
            <w:tcW w:w="1843"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兴全磐稳增利债券</w:t>
            </w:r>
          </w:p>
        </w:tc>
        <w:tc>
          <w:tcPr>
            <w:tcW w:w="709" w:type="dxa"/>
            <w:tcBorders>
              <w:left w:val="single" w:sz="6" w:space="0" w:color="FF6600"/>
              <w:right w:val="single" w:sz="6" w:space="0" w:color="FF6600"/>
            </w:tcBorders>
            <w:vAlign w:val="center"/>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开放式</w:t>
            </w:r>
          </w:p>
        </w:tc>
        <w:tc>
          <w:tcPr>
            <w:tcW w:w="850" w:type="dxa"/>
            <w:tcBorders>
              <w:lef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2.09</w:t>
            </w:r>
          </w:p>
        </w:tc>
      </w:tr>
      <w:tr w:rsidR="00A14A34" w:rsidRPr="00035682" w:rsidTr="001C1C98">
        <w:trPr>
          <w:cantSplit/>
          <w:trHeight w:val="227"/>
        </w:trPr>
        <w:tc>
          <w:tcPr>
            <w:tcW w:w="851" w:type="dxa"/>
            <w:vMerge/>
            <w:tcBorders>
              <w:right w:val="single" w:sz="6" w:space="0" w:color="FF6600"/>
            </w:tcBorders>
            <w:shd w:val="clear" w:color="auto" w:fill="FDE9D9"/>
            <w:vAlign w:val="center"/>
          </w:tcPr>
          <w:p w:rsidR="00A14A34" w:rsidRPr="00035682" w:rsidRDefault="00A14A34" w:rsidP="006E677E">
            <w:pPr>
              <w:snapToGrid w:val="0"/>
              <w:jc w:val="center"/>
              <w:rPr>
                <w:rFonts w:ascii="楷体" w:eastAsia="楷体" w:hAnsi="楷体"/>
                <w:b/>
                <w:sz w:val="18"/>
                <w:szCs w:val="18"/>
              </w:rPr>
            </w:pPr>
          </w:p>
        </w:tc>
        <w:tc>
          <w:tcPr>
            <w:tcW w:w="851"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240016</w:t>
            </w:r>
          </w:p>
        </w:tc>
        <w:tc>
          <w:tcPr>
            <w:tcW w:w="2551"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华宝兴业上证</w:t>
            </w:r>
            <w:r w:rsidRPr="00035682">
              <w:rPr>
                <w:rFonts w:ascii="楷体" w:eastAsia="楷体" w:hAnsi="楷体"/>
                <w:color w:val="000000"/>
                <w:sz w:val="18"/>
                <w:szCs w:val="18"/>
              </w:rPr>
              <w:t>180</w:t>
            </w:r>
            <w:r w:rsidRPr="00035682">
              <w:rPr>
                <w:rFonts w:ascii="楷体" w:eastAsia="楷体" w:hAnsi="楷体" w:hint="eastAsia"/>
                <w:color w:val="000000"/>
                <w:sz w:val="18"/>
                <w:szCs w:val="18"/>
              </w:rPr>
              <w:t>价值</w:t>
            </w:r>
            <w:r w:rsidRPr="00035682">
              <w:rPr>
                <w:rFonts w:ascii="楷体" w:eastAsia="楷体" w:hAnsi="楷体"/>
                <w:color w:val="000000"/>
                <w:sz w:val="18"/>
                <w:szCs w:val="18"/>
              </w:rPr>
              <w:t>ETF</w:t>
            </w:r>
            <w:r w:rsidRPr="00035682">
              <w:rPr>
                <w:rFonts w:ascii="楷体" w:eastAsia="楷体" w:hAnsi="楷体" w:hint="eastAsia"/>
                <w:color w:val="000000"/>
                <w:sz w:val="18"/>
                <w:szCs w:val="18"/>
              </w:rPr>
              <w:t>联接</w:t>
            </w:r>
          </w:p>
        </w:tc>
        <w:tc>
          <w:tcPr>
            <w:tcW w:w="709" w:type="dxa"/>
            <w:tcBorders>
              <w:left w:val="single" w:sz="6" w:space="0" w:color="FF6600"/>
              <w:right w:val="single" w:sz="6" w:space="0" w:color="FF6600"/>
            </w:tcBorders>
            <w:vAlign w:val="center"/>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-0.87</w:t>
            </w:r>
          </w:p>
        </w:tc>
        <w:tc>
          <w:tcPr>
            <w:tcW w:w="993" w:type="dxa"/>
            <w:vMerge/>
            <w:tcBorders>
              <w:left w:val="single" w:sz="6" w:space="0" w:color="FF6600"/>
              <w:right w:val="single" w:sz="6" w:space="0" w:color="FF6600"/>
            </w:tcBorders>
            <w:shd w:val="clear" w:color="auto" w:fill="FDE9D9"/>
            <w:vAlign w:val="center"/>
          </w:tcPr>
          <w:p w:rsidR="00A14A34" w:rsidRPr="00035682" w:rsidRDefault="00A14A34" w:rsidP="006E677E">
            <w:pPr>
              <w:snapToGrid w:val="0"/>
              <w:jc w:val="center"/>
              <w:rPr>
                <w:rFonts w:ascii="楷体" w:eastAsia="楷体" w:hAnsi="楷体"/>
                <w:b/>
                <w:sz w:val="18"/>
                <w:szCs w:val="18"/>
              </w:rPr>
            </w:pPr>
          </w:p>
        </w:tc>
        <w:tc>
          <w:tcPr>
            <w:tcW w:w="850"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040019</w:t>
            </w:r>
          </w:p>
        </w:tc>
        <w:tc>
          <w:tcPr>
            <w:tcW w:w="1843"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华安稳固收益</w:t>
            </w:r>
          </w:p>
        </w:tc>
        <w:tc>
          <w:tcPr>
            <w:tcW w:w="709" w:type="dxa"/>
            <w:tcBorders>
              <w:left w:val="single" w:sz="6" w:space="0" w:color="FF6600"/>
              <w:right w:val="single" w:sz="6" w:space="0" w:color="FF6600"/>
            </w:tcBorders>
            <w:vAlign w:val="center"/>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开放式</w:t>
            </w:r>
          </w:p>
        </w:tc>
        <w:tc>
          <w:tcPr>
            <w:tcW w:w="850" w:type="dxa"/>
            <w:tcBorders>
              <w:lef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1.52</w:t>
            </w:r>
          </w:p>
        </w:tc>
      </w:tr>
      <w:tr w:rsidR="00A14A34" w:rsidRPr="00035682" w:rsidTr="001C1C98">
        <w:trPr>
          <w:cantSplit/>
          <w:trHeight w:val="227"/>
        </w:trPr>
        <w:tc>
          <w:tcPr>
            <w:tcW w:w="851" w:type="dxa"/>
            <w:vMerge/>
            <w:tcBorders>
              <w:right w:val="single" w:sz="6" w:space="0" w:color="FF6600"/>
            </w:tcBorders>
            <w:shd w:val="clear" w:color="auto" w:fill="FDE9D9"/>
            <w:vAlign w:val="center"/>
          </w:tcPr>
          <w:p w:rsidR="00A14A34" w:rsidRPr="00035682" w:rsidRDefault="00A14A34" w:rsidP="006E677E">
            <w:pPr>
              <w:snapToGrid w:val="0"/>
              <w:jc w:val="center"/>
              <w:rPr>
                <w:rFonts w:ascii="楷体" w:eastAsia="楷体" w:hAnsi="楷体"/>
                <w:b/>
                <w:sz w:val="18"/>
                <w:szCs w:val="18"/>
              </w:rPr>
            </w:pPr>
          </w:p>
        </w:tc>
        <w:tc>
          <w:tcPr>
            <w:tcW w:w="851"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20021</w:t>
            </w:r>
          </w:p>
        </w:tc>
        <w:tc>
          <w:tcPr>
            <w:tcW w:w="2551"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国泰上证</w:t>
            </w:r>
            <w:r w:rsidRPr="00035682">
              <w:rPr>
                <w:rFonts w:ascii="楷体" w:eastAsia="楷体" w:hAnsi="楷体"/>
                <w:color w:val="000000"/>
                <w:sz w:val="18"/>
                <w:szCs w:val="18"/>
              </w:rPr>
              <w:t>180</w:t>
            </w:r>
            <w:r w:rsidRPr="00035682">
              <w:rPr>
                <w:rFonts w:ascii="楷体" w:eastAsia="楷体" w:hAnsi="楷体" w:hint="eastAsia"/>
                <w:color w:val="000000"/>
                <w:sz w:val="18"/>
                <w:szCs w:val="18"/>
              </w:rPr>
              <w:t>金融</w:t>
            </w:r>
            <w:r w:rsidRPr="00035682">
              <w:rPr>
                <w:rFonts w:ascii="楷体" w:eastAsia="楷体" w:hAnsi="楷体"/>
                <w:color w:val="000000"/>
                <w:sz w:val="18"/>
                <w:szCs w:val="18"/>
              </w:rPr>
              <w:t>ETF</w:t>
            </w:r>
            <w:r w:rsidRPr="00035682">
              <w:rPr>
                <w:rFonts w:ascii="楷体" w:eastAsia="楷体" w:hAnsi="楷体" w:hint="eastAsia"/>
                <w:color w:val="000000"/>
                <w:sz w:val="18"/>
                <w:szCs w:val="18"/>
              </w:rPr>
              <w:t>联接</w:t>
            </w:r>
          </w:p>
        </w:tc>
        <w:tc>
          <w:tcPr>
            <w:tcW w:w="709" w:type="dxa"/>
            <w:tcBorders>
              <w:left w:val="single" w:sz="6" w:space="0" w:color="FF6600"/>
              <w:right w:val="single" w:sz="6" w:space="0" w:color="FF6600"/>
            </w:tcBorders>
            <w:vAlign w:val="center"/>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-0.89</w:t>
            </w:r>
          </w:p>
        </w:tc>
        <w:tc>
          <w:tcPr>
            <w:tcW w:w="993" w:type="dxa"/>
            <w:vMerge/>
            <w:tcBorders>
              <w:left w:val="single" w:sz="6" w:space="0" w:color="FF6600"/>
              <w:right w:val="single" w:sz="6" w:space="0" w:color="FF6600"/>
            </w:tcBorders>
            <w:shd w:val="clear" w:color="auto" w:fill="FDE9D9"/>
            <w:vAlign w:val="center"/>
          </w:tcPr>
          <w:p w:rsidR="00A14A34" w:rsidRPr="00035682" w:rsidRDefault="00A14A34" w:rsidP="006E677E">
            <w:pPr>
              <w:snapToGrid w:val="0"/>
              <w:jc w:val="center"/>
              <w:rPr>
                <w:rFonts w:ascii="楷体" w:eastAsia="楷体" w:hAnsi="楷体"/>
                <w:b/>
                <w:sz w:val="18"/>
                <w:szCs w:val="18"/>
              </w:rPr>
            </w:pPr>
          </w:p>
        </w:tc>
        <w:tc>
          <w:tcPr>
            <w:tcW w:w="850"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270029</w:t>
            </w:r>
          </w:p>
        </w:tc>
        <w:tc>
          <w:tcPr>
            <w:tcW w:w="1843"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广发聚财信用</w:t>
            </w:r>
            <w:r w:rsidRPr="00035682">
              <w:rPr>
                <w:rFonts w:ascii="楷体" w:eastAsia="楷体" w:hAnsi="楷体"/>
                <w:color w:val="000000"/>
                <w:sz w:val="18"/>
                <w:szCs w:val="18"/>
              </w:rPr>
              <w:t>A</w:t>
            </w:r>
          </w:p>
        </w:tc>
        <w:tc>
          <w:tcPr>
            <w:tcW w:w="709" w:type="dxa"/>
            <w:tcBorders>
              <w:left w:val="single" w:sz="6" w:space="0" w:color="FF6600"/>
              <w:right w:val="single" w:sz="6" w:space="0" w:color="FF6600"/>
            </w:tcBorders>
            <w:vAlign w:val="center"/>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开放式</w:t>
            </w:r>
          </w:p>
        </w:tc>
        <w:tc>
          <w:tcPr>
            <w:tcW w:w="850" w:type="dxa"/>
            <w:tcBorders>
              <w:lef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1.49</w:t>
            </w:r>
          </w:p>
        </w:tc>
      </w:tr>
      <w:tr w:rsidR="00A14A34" w:rsidRPr="00035682" w:rsidTr="001C1C98">
        <w:trPr>
          <w:cantSplit/>
          <w:trHeight w:val="227"/>
        </w:trPr>
        <w:tc>
          <w:tcPr>
            <w:tcW w:w="851" w:type="dxa"/>
            <w:vMerge w:val="restart"/>
            <w:tcBorders>
              <w:right w:val="single" w:sz="6" w:space="0" w:color="FF6600"/>
            </w:tcBorders>
            <w:shd w:val="clear" w:color="auto" w:fill="FDE9D9"/>
            <w:vAlign w:val="center"/>
          </w:tcPr>
          <w:p w:rsidR="00A14A34" w:rsidRPr="00035682" w:rsidRDefault="00A14A34" w:rsidP="006E677E">
            <w:pPr>
              <w:snapToGrid w:val="0"/>
              <w:jc w:val="center"/>
              <w:rPr>
                <w:rFonts w:ascii="楷体" w:eastAsia="楷体" w:hAnsi="楷体"/>
                <w:b/>
                <w:bCs/>
                <w:color w:val="000000"/>
                <w:sz w:val="18"/>
                <w:szCs w:val="18"/>
              </w:rPr>
            </w:pPr>
            <w:r w:rsidRPr="00035682">
              <w:rPr>
                <w:rFonts w:ascii="楷体" w:eastAsia="楷体" w:hAnsi="楷体" w:hint="eastAsia"/>
                <w:b/>
                <w:bCs/>
                <w:color w:val="000000"/>
                <w:sz w:val="18"/>
                <w:szCs w:val="18"/>
              </w:rPr>
              <w:t>混合</w:t>
            </w:r>
            <w:r w:rsidRPr="00035682">
              <w:rPr>
                <w:rFonts w:ascii="楷体" w:eastAsia="楷体" w:hAnsi="楷体"/>
                <w:b/>
                <w:bCs/>
                <w:color w:val="000000"/>
                <w:sz w:val="18"/>
                <w:szCs w:val="18"/>
              </w:rPr>
              <w:t>-</w:t>
            </w:r>
          </w:p>
          <w:p w:rsidR="00A14A34" w:rsidRPr="00035682" w:rsidRDefault="00A14A34" w:rsidP="006E677E">
            <w:pPr>
              <w:snapToGrid w:val="0"/>
              <w:jc w:val="center"/>
              <w:rPr>
                <w:rFonts w:ascii="楷体" w:eastAsia="楷体" w:hAnsi="楷体"/>
                <w:b/>
                <w:sz w:val="18"/>
                <w:szCs w:val="18"/>
              </w:rPr>
            </w:pPr>
            <w:r w:rsidRPr="00035682">
              <w:rPr>
                <w:rFonts w:ascii="楷体" w:eastAsia="楷体" w:hAnsi="楷体" w:hint="eastAsia"/>
                <w:b/>
                <w:bCs/>
                <w:color w:val="000000"/>
                <w:sz w:val="18"/>
                <w:szCs w:val="18"/>
              </w:rPr>
              <w:t>偏股型</w:t>
            </w:r>
          </w:p>
        </w:tc>
        <w:tc>
          <w:tcPr>
            <w:tcW w:w="851"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162207</w:t>
            </w:r>
          </w:p>
        </w:tc>
        <w:tc>
          <w:tcPr>
            <w:tcW w:w="2551"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泰达宏利效率优选</w:t>
            </w:r>
          </w:p>
        </w:tc>
        <w:tc>
          <w:tcPr>
            <w:tcW w:w="709" w:type="dxa"/>
            <w:tcBorders>
              <w:left w:val="single" w:sz="6" w:space="0" w:color="FF6600"/>
              <w:right w:val="single" w:sz="6" w:space="0" w:color="FF6600"/>
            </w:tcBorders>
            <w:vAlign w:val="center"/>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2.08</w:t>
            </w:r>
          </w:p>
        </w:tc>
        <w:tc>
          <w:tcPr>
            <w:tcW w:w="993" w:type="dxa"/>
            <w:vMerge w:val="restart"/>
            <w:tcBorders>
              <w:left w:val="single" w:sz="6" w:space="0" w:color="FF6600"/>
              <w:right w:val="single" w:sz="6" w:space="0" w:color="FF6600"/>
            </w:tcBorders>
            <w:shd w:val="clear" w:color="auto" w:fill="FDE9D9"/>
            <w:vAlign w:val="center"/>
          </w:tcPr>
          <w:p w:rsidR="00A14A34" w:rsidRPr="00035682" w:rsidRDefault="00A14A34" w:rsidP="006E677E">
            <w:pPr>
              <w:snapToGrid w:val="0"/>
              <w:jc w:val="center"/>
              <w:rPr>
                <w:rFonts w:ascii="楷体" w:eastAsia="楷体" w:hAnsi="楷体"/>
                <w:b/>
                <w:bCs/>
                <w:color w:val="000000"/>
                <w:sz w:val="18"/>
                <w:szCs w:val="18"/>
              </w:rPr>
            </w:pPr>
            <w:r w:rsidRPr="00035682">
              <w:rPr>
                <w:rFonts w:ascii="楷体" w:eastAsia="楷体" w:hAnsi="楷体" w:hint="eastAsia"/>
                <w:b/>
                <w:bCs/>
                <w:color w:val="000000"/>
                <w:sz w:val="18"/>
                <w:szCs w:val="18"/>
              </w:rPr>
              <w:t>债券</w:t>
            </w:r>
            <w:r w:rsidRPr="00035682">
              <w:rPr>
                <w:rFonts w:ascii="楷体" w:eastAsia="楷体" w:hAnsi="楷体"/>
                <w:b/>
                <w:bCs/>
                <w:color w:val="000000"/>
                <w:sz w:val="18"/>
                <w:szCs w:val="18"/>
              </w:rPr>
              <w:t>-</w:t>
            </w:r>
          </w:p>
          <w:p w:rsidR="00A14A34" w:rsidRPr="005B7CDB" w:rsidRDefault="00A14A34" w:rsidP="006E677E">
            <w:pPr>
              <w:snapToGrid w:val="0"/>
              <w:jc w:val="center"/>
              <w:rPr>
                <w:rFonts w:ascii="楷体" w:eastAsia="楷体" w:hAnsi="楷体" w:cs="宋体"/>
                <w:b/>
                <w:bCs/>
                <w:color w:val="000000"/>
                <w:sz w:val="18"/>
                <w:szCs w:val="18"/>
              </w:rPr>
            </w:pPr>
            <w:r w:rsidRPr="00035682">
              <w:rPr>
                <w:rFonts w:ascii="楷体" w:eastAsia="楷体" w:hAnsi="楷体" w:hint="eastAsia"/>
                <w:b/>
                <w:bCs/>
                <w:color w:val="000000"/>
                <w:sz w:val="18"/>
                <w:szCs w:val="18"/>
              </w:rPr>
              <w:t>二级债基</w:t>
            </w:r>
          </w:p>
        </w:tc>
        <w:tc>
          <w:tcPr>
            <w:tcW w:w="850"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50123</w:t>
            </w:r>
          </w:p>
        </w:tc>
        <w:tc>
          <w:tcPr>
            <w:tcW w:w="1843"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博时天颐</w:t>
            </w:r>
            <w:r w:rsidRPr="00035682">
              <w:rPr>
                <w:rFonts w:ascii="楷体" w:eastAsia="楷体" w:hAnsi="楷体"/>
                <w:color w:val="000000"/>
                <w:sz w:val="18"/>
                <w:szCs w:val="18"/>
              </w:rPr>
              <w:t>C</w:t>
            </w:r>
          </w:p>
        </w:tc>
        <w:tc>
          <w:tcPr>
            <w:tcW w:w="709" w:type="dxa"/>
            <w:tcBorders>
              <w:left w:val="single" w:sz="6" w:space="0" w:color="FF6600"/>
              <w:right w:val="single" w:sz="6" w:space="0" w:color="FF6600"/>
            </w:tcBorders>
            <w:vAlign w:val="center"/>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开放式</w:t>
            </w:r>
          </w:p>
        </w:tc>
        <w:tc>
          <w:tcPr>
            <w:tcW w:w="850" w:type="dxa"/>
            <w:tcBorders>
              <w:lef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1.90</w:t>
            </w:r>
          </w:p>
        </w:tc>
      </w:tr>
      <w:tr w:rsidR="00A14A34" w:rsidRPr="00035682" w:rsidTr="001C1C98">
        <w:trPr>
          <w:cantSplit/>
          <w:trHeight w:val="227"/>
        </w:trPr>
        <w:tc>
          <w:tcPr>
            <w:tcW w:w="851" w:type="dxa"/>
            <w:vMerge/>
            <w:tcBorders>
              <w:right w:val="single" w:sz="6" w:space="0" w:color="FF6600"/>
            </w:tcBorders>
            <w:shd w:val="clear" w:color="auto" w:fill="FDE9D9"/>
            <w:vAlign w:val="center"/>
          </w:tcPr>
          <w:p w:rsidR="00A14A34" w:rsidRPr="00035682" w:rsidRDefault="00A14A34" w:rsidP="006E677E">
            <w:pPr>
              <w:snapToGrid w:val="0"/>
              <w:jc w:val="center"/>
              <w:rPr>
                <w:rFonts w:ascii="楷体" w:eastAsia="楷体" w:hAnsi="楷体"/>
                <w:b/>
                <w:sz w:val="18"/>
                <w:szCs w:val="18"/>
              </w:rPr>
            </w:pPr>
          </w:p>
        </w:tc>
        <w:tc>
          <w:tcPr>
            <w:tcW w:w="851"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162102</w:t>
            </w:r>
          </w:p>
        </w:tc>
        <w:tc>
          <w:tcPr>
            <w:tcW w:w="2551"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金鹰中小盘精选</w:t>
            </w:r>
          </w:p>
        </w:tc>
        <w:tc>
          <w:tcPr>
            <w:tcW w:w="709" w:type="dxa"/>
            <w:tcBorders>
              <w:left w:val="single" w:sz="6" w:space="0" w:color="FF6600"/>
              <w:right w:val="single" w:sz="6" w:space="0" w:color="FF6600"/>
            </w:tcBorders>
            <w:vAlign w:val="center"/>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0.95</w:t>
            </w:r>
          </w:p>
        </w:tc>
        <w:tc>
          <w:tcPr>
            <w:tcW w:w="993" w:type="dxa"/>
            <w:vMerge/>
            <w:tcBorders>
              <w:left w:val="single" w:sz="6" w:space="0" w:color="FF6600"/>
              <w:right w:val="single" w:sz="6" w:space="0" w:color="FF6600"/>
            </w:tcBorders>
            <w:shd w:val="clear" w:color="auto" w:fill="FDE9D9"/>
            <w:vAlign w:val="center"/>
          </w:tcPr>
          <w:p w:rsidR="00A14A34" w:rsidRPr="00035682" w:rsidRDefault="00A14A34" w:rsidP="006E677E">
            <w:pPr>
              <w:snapToGrid w:val="0"/>
              <w:jc w:val="center"/>
              <w:rPr>
                <w:rFonts w:ascii="楷体" w:eastAsia="楷体" w:hAnsi="楷体"/>
                <w:b/>
                <w:sz w:val="18"/>
                <w:szCs w:val="18"/>
              </w:rPr>
            </w:pPr>
          </w:p>
        </w:tc>
        <w:tc>
          <w:tcPr>
            <w:tcW w:w="850"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50023</w:t>
            </w:r>
          </w:p>
        </w:tc>
        <w:tc>
          <w:tcPr>
            <w:tcW w:w="1843"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博时天颐</w:t>
            </w:r>
            <w:r w:rsidRPr="00035682">
              <w:rPr>
                <w:rFonts w:ascii="楷体" w:eastAsia="楷体" w:hAnsi="楷体"/>
                <w:color w:val="000000"/>
                <w:sz w:val="18"/>
                <w:szCs w:val="18"/>
              </w:rPr>
              <w:t>A</w:t>
            </w:r>
          </w:p>
        </w:tc>
        <w:tc>
          <w:tcPr>
            <w:tcW w:w="709" w:type="dxa"/>
            <w:tcBorders>
              <w:left w:val="single" w:sz="6" w:space="0" w:color="FF6600"/>
              <w:right w:val="single" w:sz="6" w:space="0" w:color="FF6600"/>
            </w:tcBorders>
            <w:vAlign w:val="center"/>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开放式</w:t>
            </w:r>
          </w:p>
        </w:tc>
        <w:tc>
          <w:tcPr>
            <w:tcW w:w="850" w:type="dxa"/>
            <w:tcBorders>
              <w:lef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1.88</w:t>
            </w:r>
          </w:p>
        </w:tc>
      </w:tr>
      <w:tr w:rsidR="00A14A34" w:rsidRPr="00035682" w:rsidTr="001C1C98">
        <w:trPr>
          <w:cantSplit/>
          <w:trHeight w:val="227"/>
        </w:trPr>
        <w:tc>
          <w:tcPr>
            <w:tcW w:w="851" w:type="dxa"/>
            <w:vMerge/>
            <w:tcBorders>
              <w:right w:val="single" w:sz="6" w:space="0" w:color="FF6600"/>
            </w:tcBorders>
            <w:shd w:val="clear" w:color="auto" w:fill="FDE9D9"/>
            <w:vAlign w:val="center"/>
          </w:tcPr>
          <w:p w:rsidR="00A14A34" w:rsidRPr="00035682" w:rsidRDefault="00A14A34" w:rsidP="006E677E">
            <w:pPr>
              <w:snapToGrid w:val="0"/>
              <w:jc w:val="center"/>
              <w:rPr>
                <w:rFonts w:ascii="楷体" w:eastAsia="楷体" w:hAnsi="楷体"/>
                <w:b/>
                <w:sz w:val="18"/>
                <w:szCs w:val="18"/>
              </w:rPr>
            </w:pPr>
          </w:p>
        </w:tc>
        <w:tc>
          <w:tcPr>
            <w:tcW w:w="851"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200001</w:t>
            </w:r>
          </w:p>
        </w:tc>
        <w:tc>
          <w:tcPr>
            <w:tcW w:w="2551"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长城久恒</w:t>
            </w:r>
          </w:p>
        </w:tc>
        <w:tc>
          <w:tcPr>
            <w:tcW w:w="709" w:type="dxa"/>
            <w:tcBorders>
              <w:left w:val="single" w:sz="6" w:space="0" w:color="FF6600"/>
              <w:right w:val="single" w:sz="6" w:space="0" w:color="FF6600"/>
            </w:tcBorders>
            <w:vAlign w:val="center"/>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0.00</w:t>
            </w:r>
          </w:p>
        </w:tc>
        <w:tc>
          <w:tcPr>
            <w:tcW w:w="993" w:type="dxa"/>
            <w:vMerge/>
            <w:tcBorders>
              <w:left w:val="single" w:sz="6" w:space="0" w:color="FF6600"/>
              <w:right w:val="single" w:sz="6" w:space="0" w:color="FF6600"/>
            </w:tcBorders>
            <w:shd w:val="clear" w:color="auto" w:fill="FDE9D9"/>
            <w:vAlign w:val="center"/>
          </w:tcPr>
          <w:p w:rsidR="00A14A34" w:rsidRPr="00035682" w:rsidRDefault="00A14A34" w:rsidP="006E677E">
            <w:pPr>
              <w:snapToGrid w:val="0"/>
              <w:jc w:val="center"/>
              <w:rPr>
                <w:rFonts w:ascii="楷体" w:eastAsia="楷体" w:hAnsi="楷体"/>
                <w:b/>
                <w:sz w:val="18"/>
                <w:szCs w:val="18"/>
              </w:rPr>
            </w:pPr>
          </w:p>
        </w:tc>
        <w:tc>
          <w:tcPr>
            <w:tcW w:w="850"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690002</w:t>
            </w:r>
          </w:p>
        </w:tc>
        <w:tc>
          <w:tcPr>
            <w:tcW w:w="1843"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民生加银增强收益</w:t>
            </w:r>
            <w:r w:rsidRPr="00035682">
              <w:rPr>
                <w:rFonts w:ascii="楷体" w:eastAsia="楷体" w:hAnsi="楷体"/>
                <w:color w:val="000000"/>
                <w:sz w:val="18"/>
                <w:szCs w:val="18"/>
              </w:rPr>
              <w:t>A</w:t>
            </w:r>
          </w:p>
        </w:tc>
        <w:tc>
          <w:tcPr>
            <w:tcW w:w="709" w:type="dxa"/>
            <w:tcBorders>
              <w:left w:val="single" w:sz="6" w:space="0" w:color="FF6600"/>
              <w:right w:val="single" w:sz="6" w:space="0" w:color="FF6600"/>
            </w:tcBorders>
            <w:vAlign w:val="center"/>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开放式</w:t>
            </w:r>
          </w:p>
        </w:tc>
        <w:tc>
          <w:tcPr>
            <w:tcW w:w="850" w:type="dxa"/>
            <w:tcBorders>
              <w:lef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1.84</w:t>
            </w:r>
          </w:p>
        </w:tc>
      </w:tr>
      <w:tr w:rsidR="00A14A34" w:rsidRPr="00035682" w:rsidTr="001C1C98">
        <w:trPr>
          <w:cantSplit/>
          <w:trHeight w:val="227"/>
        </w:trPr>
        <w:tc>
          <w:tcPr>
            <w:tcW w:w="851" w:type="dxa"/>
            <w:vMerge w:val="restart"/>
            <w:tcBorders>
              <w:right w:val="single" w:sz="6" w:space="0" w:color="FF6600"/>
            </w:tcBorders>
            <w:shd w:val="clear" w:color="auto" w:fill="FDE9D9"/>
            <w:vAlign w:val="center"/>
          </w:tcPr>
          <w:p w:rsidR="00A14A34" w:rsidRPr="00035682" w:rsidRDefault="00A14A34" w:rsidP="006E677E">
            <w:pPr>
              <w:snapToGrid w:val="0"/>
              <w:jc w:val="center"/>
              <w:rPr>
                <w:rFonts w:ascii="楷体" w:eastAsia="楷体" w:hAnsi="楷体"/>
                <w:b/>
                <w:bCs/>
                <w:color w:val="000000"/>
                <w:sz w:val="18"/>
                <w:szCs w:val="18"/>
              </w:rPr>
            </w:pPr>
            <w:r w:rsidRPr="00035682">
              <w:rPr>
                <w:rFonts w:ascii="楷体" w:eastAsia="楷体" w:hAnsi="楷体" w:hint="eastAsia"/>
                <w:b/>
                <w:bCs/>
                <w:color w:val="000000"/>
                <w:sz w:val="18"/>
                <w:szCs w:val="18"/>
              </w:rPr>
              <w:t>混合</w:t>
            </w:r>
            <w:r w:rsidRPr="00035682">
              <w:rPr>
                <w:rFonts w:ascii="楷体" w:eastAsia="楷体" w:hAnsi="楷体"/>
                <w:b/>
                <w:bCs/>
                <w:color w:val="000000"/>
                <w:sz w:val="18"/>
                <w:szCs w:val="18"/>
              </w:rPr>
              <w:t>-</w:t>
            </w:r>
          </w:p>
          <w:p w:rsidR="00A14A34" w:rsidRPr="00035682" w:rsidRDefault="00A14A34" w:rsidP="006E677E">
            <w:pPr>
              <w:snapToGrid w:val="0"/>
              <w:jc w:val="center"/>
              <w:rPr>
                <w:rFonts w:ascii="楷体" w:eastAsia="楷体" w:hAnsi="楷体"/>
                <w:b/>
                <w:sz w:val="18"/>
                <w:szCs w:val="18"/>
              </w:rPr>
            </w:pPr>
            <w:r w:rsidRPr="00035682">
              <w:rPr>
                <w:rFonts w:ascii="楷体" w:eastAsia="楷体" w:hAnsi="楷体" w:hint="eastAsia"/>
                <w:b/>
                <w:bCs/>
                <w:color w:val="000000"/>
                <w:sz w:val="18"/>
                <w:szCs w:val="18"/>
              </w:rPr>
              <w:t>偏债型</w:t>
            </w:r>
          </w:p>
        </w:tc>
        <w:tc>
          <w:tcPr>
            <w:tcW w:w="851"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340001</w:t>
            </w:r>
          </w:p>
        </w:tc>
        <w:tc>
          <w:tcPr>
            <w:tcW w:w="2551"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兴全可转债</w:t>
            </w:r>
          </w:p>
        </w:tc>
        <w:tc>
          <w:tcPr>
            <w:tcW w:w="709" w:type="dxa"/>
            <w:tcBorders>
              <w:left w:val="single" w:sz="6" w:space="0" w:color="FF6600"/>
              <w:right w:val="single" w:sz="6" w:space="0" w:color="FF6600"/>
            </w:tcBorders>
            <w:vAlign w:val="center"/>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0.49</w:t>
            </w:r>
          </w:p>
        </w:tc>
        <w:tc>
          <w:tcPr>
            <w:tcW w:w="993" w:type="dxa"/>
            <w:vMerge w:val="restart"/>
            <w:tcBorders>
              <w:left w:val="single" w:sz="6" w:space="0" w:color="FF6600"/>
              <w:right w:val="single" w:sz="6" w:space="0" w:color="FF6600"/>
            </w:tcBorders>
            <w:shd w:val="clear" w:color="auto" w:fill="FDE9D9"/>
            <w:vAlign w:val="center"/>
          </w:tcPr>
          <w:p w:rsidR="00A14A34" w:rsidRPr="00035682" w:rsidRDefault="00A14A34" w:rsidP="006E677E">
            <w:pPr>
              <w:snapToGrid w:val="0"/>
              <w:jc w:val="center"/>
              <w:rPr>
                <w:rFonts w:ascii="楷体" w:eastAsia="楷体" w:hAnsi="楷体"/>
                <w:b/>
                <w:bCs/>
                <w:color w:val="000000"/>
                <w:sz w:val="18"/>
                <w:szCs w:val="18"/>
              </w:rPr>
            </w:pPr>
            <w:r w:rsidRPr="00035682">
              <w:rPr>
                <w:rFonts w:ascii="楷体" w:eastAsia="楷体" w:hAnsi="楷体" w:hint="eastAsia"/>
                <w:b/>
                <w:bCs/>
                <w:color w:val="000000"/>
                <w:sz w:val="18"/>
                <w:szCs w:val="18"/>
              </w:rPr>
              <w:t>债券</w:t>
            </w:r>
            <w:r w:rsidRPr="00035682">
              <w:rPr>
                <w:rFonts w:ascii="楷体" w:eastAsia="楷体" w:hAnsi="楷体"/>
                <w:b/>
                <w:bCs/>
                <w:color w:val="000000"/>
                <w:sz w:val="18"/>
                <w:szCs w:val="18"/>
              </w:rPr>
              <w:t>-</w:t>
            </w:r>
          </w:p>
          <w:p w:rsidR="00A14A34" w:rsidRPr="005B7CDB" w:rsidRDefault="00A14A34" w:rsidP="006E677E">
            <w:pPr>
              <w:snapToGrid w:val="0"/>
              <w:jc w:val="center"/>
              <w:rPr>
                <w:rFonts w:ascii="楷体" w:eastAsia="楷体" w:hAnsi="楷体" w:cs="宋体"/>
                <w:b/>
                <w:bCs/>
                <w:color w:val="000000"/>
                <w:sz w:val="18"/>
                <w:szCs w:val="18"/>
              </w:rPr>
            </w:pPr>
            <w:r w:rsidRPr="00035682">
              <w:rPr>
                <w:rFonts w:ascii="楷体" w:eastAsia="楷体" w:hAnsi="楷体" w:hint="eastAsia"/>
                <w:b/>
                <w:bCs/>
                <w:color w:val="000000"/>
                <w:sz w:val="18"/>
                <w:szCs w:val="18"/>
              </w:rPr>
              <w:t>理财债基</w:t>
            </w:r>
          </w:p>
        </w:tc>
        <w:tc>
          <w:tcPr>
            <w:tcW w:w="850"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202306</w:t>
            </w:r>
          </w:p>
        </w:tc>
        <w:tc>
          <w:tcPr>
            <w:tcW w:w="1843"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南方理财</w:t>
            </w:r>
            <w:r w:rsidRPr="00035682">
              <w:rPr>
                <w:rFonts w:ascii="楷体" w:eastAsia="楷体" w:hAnsi="楷体"/>
                <w:color w:val="000000"/>
                <w:sz w:val="18"/>
                <w:szCs w:val="18"/>
              </w:rPr>
              <w:t>60</w:t>
            </w:r>
            <w:r w:rsidRPr="00035682">
              <w:rPr>
                <w:rFonts w:ascii="楷体" w:eastAsia="楷体" w:hAnsi="楷体" w:hint="eastAsia"/>
                <w:color w:val="000000"/>
                <w:sz w:val="18"/>
                <w:szCs w:val="18"/>
              </w:rPr>
              <w:t>天</w:t>
            </w:r>
            <w:r w:rsidRPr="00035682">
              <w:rPr>
                <w:rFonts w:ascii="楷体" w:eastAsia="楷体" w:hAnsi="楷体"/>
                <w:color w:val="000000"/>
                <w:sz w:val="18"/>
                <w:szCs w:val="18"/>
              </w:rPr>
              <w:t>B</w:t>
            </w:r>
          </w:p>
        </w:tc>
        <w:tc>
          <w:tcPr>
            <w:tcW w:w="709" w:type="dxa"/>
            <w:tcBorders>
              <w:left w:val="single" w:sz="6" w:space="0" w:color="FF6600"/>
              <w:right w:val="single" w:sz="6" w:space="0" w:color="FF6600"/>
            </w:tcBorders>
            <w:vAlign w:val="center"/>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开放式</w:t>
            </w:r>
          </w:p>
        </w:tc>
        <w:tc>
          <w:tcPr>
            <w:tcW w:w="850" w:type="dxa"/>
            <w:tcBorders>
              <w:lef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0.28</w:t>
            </w:r>
          </w:p>
        </w:tc>
      </w:tr>
      <w:tr w:rsidR="00A14A34" w:rsidRPr="00035682" w:rsidTr="001C1C98">
        <w:trPr>
          <w:cantSplit/>
          <w:trHeight w:val="227"/>
        </w:trPr>
        <w:tc>
          <w:tcPr>
            <w:tcW w:w="851" w:type="dxa"/>
            <w:vMerge/>
            <w:tcBorders>
              <w:right w:val="single" w:sz="6" w:space="0" w:color="FF6600"/>
            </w:tcBorders>
            <w:shd w:val="clear" w:color="auto" w:fill="FDE9D9"/>
            <w:vAlign w:val="center"/>
          </w:tcPr>
          <w:p w:rsidR="00A14A34" w:rsidRPr="00035682" w:rsidRDefault="00A14A34" w:rsidP="006E677E">
            <w:pPr>
              <w:snapToGrid w:val="0"/>
              <w:jc w:val="center"/>
              <w:rPr>
                <w:rFonts w:ascii="楷体" w:eastAsia="楷体" w:hAnsi="楷体"/>
                <w:b/>
                <w:sz w:val="18"/>
                <w:szCs w:val="18"/>
              </w:rPr>
            </w:pPr>
          </w:p>
        </w:tc>
        <w:tc>
          <w:tcPr>
            <w:tcW w:w="851"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420009</w:t>
            </w:r>
          </w:p>
        </w:tc>
        <w:tc>
          <w:tcPr>
            <w:tcW w:w="2551"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天弘安康养老</w:t>
            </w:r>
          </w:p>
        </w:tc>
        <w:tc>
          <w:tcPr>
            <w:tcW w:w="709" w:type="dxa"/>
            <w:tcBorders>
              <w:left w:val="single" w:sz="6" w:space="0" w:color="FF6600"/>
              <w:right w:val="single" w:sz="6" w:space="0" w:color="FF6600"/>
            </w:tcBorders>
            <w:vAlign w:val="center"/>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0.35</w:t>
            </w:r>
          </w:p>
        </w:tc>
        <w:tc>
          <w:tcPr>
            <w:tcW w:w="993" w:type="dxa"/>
            <w:vMerge/>
            <w:tcBorders>
              <w:left w:val="single" w:sz="6" w:space="0" w:color="FF6600"/>
              <w:right w:val="single" w:sz="6" w:space="0" w:color="FF6600"/>
            </w:tcBorders>
            <w:shd w:val="clear" w:color="auto" w:fill="FDE9D9"/>
            <w:vAlign w:val="center"/>
          </w:tcPr>
          <w:p w:rsidR="00A14A34" w:rsidRPr="00035682" w:rsidRDefault="00A14A34" w:rsidP="006E677E">
            <w:pPr>
              <w:snapToGrid w:val="0"/>
              <w:jc w:val="center"/>
              <w:rPr>
                <w:rFonts w:ascii="楷体" w:eastAsia="楷体" w:hAnsi="楷体"/>
                <w:b/>
                <w:sz w:val="18"/>
                <w:szCs w:val="18"/>
              </w:rPr>
            </w:pPr>
          </w:p>
        </w:tc>
        <w:tc>
          <w:tcPr>
            <w:tcW w:w="850"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202305</w:t>
            </w:r>
          </w:p>
        </w:tc>
        <w:tc>
          <w:tcPr>
            <w:tcW w:w="1843"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南方理财</w:t>
            </w:r>
            <w:r w:rsidRPr="00035682">
              <w:rPr>
                <w:rFonts w:ascii="楷体" w:eastAsia="楷体" w:hAnsi="楷体"/>
                <w:color w:val="000000"/>
                <w:sz w:val="18"/>
                <w:szCs w:val="18"/>
              </w:rPr>
              <w:t>60</w:t>
            </w:r>
            <w:r w:rsidRPr="00035682">
              <w:rPr>
                <w:rFonts w:ascii="楷体" w:eastAsia="楷体" w:hAnsi="楷体" w:hint="eastAsia"/>
                <w:color w:val="000000"/>
                <w:sz w:val="18"/>
                <w:szCs w:val="18"/>
              </w:rPr>
              <w:t>天</w:t>
            </w:r>
            <w:r w:rsidRPr="00035682">
              <w:rPr>
                <w:rFonts w:ascii="楷体" w:eastAsia="楷体" w:hAnsi="楷体"/>
                <w:color w:val="000000"/>
                <w:sz w:val="18"/>
                <w:szCs w:val="18"/>
              </w:rPr>
              <w:t>A</w:t>
            </w:r>
          </w:p>
        </w:tc>
        <w:tc>
          <w:tcPr>
            <w:tcW w:w="709" w:type="dxa"/>
            <w:tcBorders>
              <w:left w:val="single" w:sz="6" w:space="0" w:color="FF6600"/>
              <w:right w:val="single" w:sz="6" w:space="0" w:color="FF6600"/>
            </w:tcBorders>
            <w:vAlign w:val="center"/>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开放式</w:t>
            </w:r>
          </w:p>
        </w:tc>
        <w:tc>
          <w:tcPr>
            <w:tcW w:w="850" w:type="dxa"/>
            <w:tcBorders>
              <w:lef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0.27</w:t>
            </w:r>
          </w:p>
        </w:tc>
      </w:tr>
      <w:tr w:rsidR="00A14A34" w:rsidRPr="00035682" w:rsidTr="001C1C98">
        <w:trPr>
          <w:cantSplit/>
          <w:trHeight w:val="227"/>
        </w:trPr>
        <w:tc>
          <w:tcPr>
            <w:tcW w:w="851" w:type="dxa"/>
            <w:vMerge/>
            <w:tcBorders>
              <w:right w:val="single" w:sz="6" w:space="0" w:color="FF6600"/>
            </w:tcBorders>
            <w:shd w:val="clear" w:color="auto" w:fill="FDE9D9"/>
            <w:vAlign w:val="center"/>
          </w:tcPr>
          <w:p w:rsidR="00A14A34" w:rsidRPr="00035682" w:rsidRDefault="00A14A34" w:rsidP="006E677E">
            <w:pPr>
              <w:snapToGrid w:val="0"/>
              <w:jc w:val="center"/>
              <w:rPr>
                <w:rFonts w:ascii="楷体" w:eastAsia="楷体" w:hAnsi="楷体"/>
                <w:b/>
                <w:sz w:val="18"/>
                <w:szCs w:val="18"/>
              </w:rPr>
            </w:pPr>
          </w:p>
        </w:tc>
        <w:tc>
          <w:tcPr>
            <w:tcW w:w="851"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000125</w:t>
            </w:r>
          </w:p>
        </w:tc>
        <w:tc>
          <w:tcPr>
            <w:tcW w:w="2551"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上投摩根天颐年丰</w:t>
            </w:r>
          </w:p>
        </w:tc>
        <w:tc>
          <w:tcPr>
            <w:tcW w:w="709" w:type="dxa"/>
            <w:tcBorders>
              <w:left w:val="single" w:sz="6" w:space="0" w:color="FF6600"/>
              <w:right w:val="single" w:sz="6" w:space="0" w:color="FF6600"/>
            </w:tcBorders>
            <w:vAlign w:val="center"/>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0.29</w:t>
            </w:r>
          </w:p>
        </w:tc>
        <w:tc>
          <w:tcPr>
            <w:tcW w:w="993" w:type="dxa"/>
            <w:vMerge/>
            <w:tcBorders>
              <w:left w:val="single" w:sz="6" w:space="0" w:color="FF6600"/>
              <w:right w:val="single" w:sz="6" w:space="0" w:color="FF6600"/>
            </w:tcBorders>
            <w:shd w:val="clear" w:color="auto" w:fill="FDE9D9"/>
            <w:vAlign w:val="center"/>
          </w:tcPr>
          <w:p w:rsidR="00A14A34" w:rsidRPr="00035682" w:rsidRDefault="00A14A34" w:rsidP="006E677E">
            <w:pPr>
              <w:snapToGrid w:val="0"/>
              <w:jc w:val="center"/>
              <w:rPr>
                <w:rFonts w:ascii="楷体" w:eastAsia="楷体" w:hAnsi="楷体"/>
                <w:b/>
                <w:sz w:val="18"/>
                <w:szCs w:val="18"/>
              </w:rPr>
            </w:pPr>
          </w:p>
        </w:tc>
        <w:tc>
          <w:tcPr>
            <w:tcW w:w="850"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000038</w:t>
            </w:r>
          </w:p>
        </w:tc>
        <w:tc>
          <w:tcPr>
            <w:tcW w:w="1843"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广发理财</w:t>
            </w:r>
            <w:r w:rsidRPr="00035682">
              <w:rPr>
                <w:rFonts w:ascii="楷体" w:eastAsia="楷体" w:hAnsi="楷体"/>
                <w:color w:val="000000"/>
                <w:sz w:val="18"/>
                <w:szCs w:val="18"/>
              </w:rPr>
              <w:t>7</w:t>
            </w:r>
            <w:r w:rsidRPr="00035682">
              <w:rPr>
                <w:rFonts w:ascii="楷体" w:eastAsia="楷体" w:hAnsi="楷体" w:hint="eastAsia"/>
                <w:color w:val="000000"/>
                <w:sz w:val="18"/>
                <w:szCs w:val="18"/>
              </w:rPr>
              <w:t>天</w:t>
            </w:r>
            <w:r w:rsidRPr="00035682">
              <w:rPr>
                <w:rFonts w:ascii="楷体" w:eastAsia="楷体" w:hAnsi="楷体"/>
                <w:color w:val="000000"/>
                <w:sz w:val="18"/>
                <w:szCs w:val="18"/>
              </w:rPr>
              <w:t>B</w:t>
            </w:r>
          </w:p>
        </w:tc>
        <w:tc>
          <w:tcPr>
            <w:tcW w:w="709" w:type="dxa"/>
            <w:tcBorders>
              <w:left w:val="single" w:sz="6" w:space="0" w:color="FF6600"/>
              <w:right w:val="single" w:sz="6" w:space="0" w:color="FF6600"/>
            </w:tcBorders>
            <w:vAlign w:val="center"/>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开放式</w:t>
            </w:r>
          </w:p>
        </w:tc>
        <w:tc>
          <w:tcPr>
            <w:tcW w:w="850" w:type="dxa"/>
            <w:tcBorders>
              <w:lef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0.24</w:t>
            </w:r>
          </w:p>
        </w:tc>
      </w:tr>
      <w:tr w:rsidR="00A14A34" w:rsidRPr="00035682" w:rsidTr="001C1C98">
        <w:trPr>
          <w:cantSplit/>
          <w:trHeight w:val="227"/>
        </w:trPr>
        <w:tc>
          <w:tcPr>
            <w:tcW w:w="851" w:type="dxa"/>
            <w:vMerge w:val="restart"/>
            <w:tcBorders>
              <w:right w:val="single" w:sz="6" w:space="0" w:color="FF6600"/>
            </w:tcBorders>
            <w:shd w:val="clear" w:color="auto" w:fill="FDE9D9"/>
            <w:vAlign w:val="center"/>
          </w:tcPr>
          <w:p w:rsidR="00A14A34" w:rsidRPr="00035682" w:rsidRDefault="00A14A34" w:rsidP="006E677E">
            <w:pPr>
              <w:snapToGrid w:val="0"/>
              <w:jc w:val="center"/>
              <w:rPr>
                <w:rFonts w:ascii="楷体" w:eastAsia="楷体" w:hAnsi="楷体"/>
                <w:b/>
                <w:bCs/>
                <w:color w:val="000000"/>
                <w:sz w:val="18"/>
                <w:szCs w:val="18"/>
              </w:rPr>
            </w:pPr>
            <w:r w:rsidRPr="00035682">
              <w:rPr>
                <w:rFonts w:ascii="楷体" w:eastAsia="楷体" w:hAnsi="楷体" w:hint="eastAsia"/>
                <w:b/>
                <w:bCs/>
                <w:color w:val="000000"/>
                <w:sz w:val="18"/>
                <w:szCs w:val="18"/>
              </w:rPr>
              <w:t>混合</w:t>
            </w:r>
            <w:r w:rsidRPr="00035682">
              <w:rPr>
                <w:rFonts w:ascii="楷体" w:eastAsia="楷体" w:hAnsi="楷体"/>
                <w:b/>
                <w:bCs/>
                <w:color w:val="000000"/>
                <w:sz w:val="18"/>
                <w:szCs w:val="18"/>
              </w:rPr>
              <w:t>-</w:t>
            </w:r>
          </w:p>
          <w:p w:rsidR="00A14A34" w:rsidRPr="00035682" w:rsidRDefault="00A14A34" w:rsidP="006E677E">
            <w:pPr>
              <w:snapToGrid w:val="0"/>
              <w:jc w:val="center"/>
              <w:rPr>
                <w:rFonts w:ascii="楷体" w:eastAsia="楷体" w:hAnsi="楷体"/>
                <w:b/>
                <w:sz w:val="18"/>
                <w:szCs w:val="18"/>
              </w:rPr>
            </w:pPr>
            <w:r w:rsidRPr="00035682">
              <w:rPr>
                <w:rFonts w:ascii="楷体" w:eastAsia="楷体" w:hAnsi="楷体" w:hint="eastAsia"/>
                <w:b/>
                <w:bCs/>
                <w:color w:val="000000"/>
                <w:sz w:val="18"/>
                <w:szCs w:val="18"/>
              </w:rPr>
              <w:t>灵活型</w:t>
            </w:r>
          </w:p>
        </w:tc>
        <w:tc>
          <w:tcPr>
            <w:tcW w:w="851"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519066</w:t>
            </w:r>
          </w:p>
        </w:tc>
        <w:tc>
          <w:tcPr>
            <w:tcW w:w="2551"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汇添富蓝筹稳健</w:t>
            </w:r>
          </w:p>
        </w:tc>
        <w:tc>
          <w:tcPr>
            <w:tcW w:w="709" w:type="dxa"/>
            <w:tcBorders>
              <w:left w:val="single" w:sz="6" w:space="0" w:color="FF6600"/>
              <w:right w:val="single" w:sz="6" w:space="0" w:color="FF6600"/>
            </w:tcBorders>
            <w:vAlign w:val="center"/>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0.93</w:t>
            </w:r>
          </w:p>
        </w:tc>
        <w:tc>
          <w:tcPr>
            <w:tcW w:w="993" w:type="dxa"/>
            <w:vMerge w:val="restart"/>
            <w:tcBorders>
              <w:left w:val="single" w:sz="6" w:space="0" w:color="FF6600"/>
              <w:right w:val="single" w:sz="6" w:space="0" w:color="FF6600"/>
            </w:tcBorders>
            <w:shd w:val="clear" w:color="auto" w:fill="FDE9D9"/>
            <w:vAlign w:val="center"/>
          </w:tcPr>
          <w:p w:rsidR="00A14A34" w:rsidRPr="00035682" w:rsidRDefault="00A14A34" w:rsidP="006E677E">
            <w:pPr>
              <w:snapToGrid w:val="0"/>
              <w:jc w:val="center"/>
              <w:rPr>
                <w:rFonts w:ascii="楷体" w:eastAsia="楷体" w:hAnsi="楷体"/>
                <w:b/>
                <w:bCs/>
                <w:color w:val="000000"/>
                <w:sz w:val="18"/>
                <w:szCs w:val="18"/>
              </w:rPr>
            </w:pPr>
            <w:r w:rsidRPr="00035682">
              <w:rPr>
                <w:rFonts w:ascii="楷体" w:eastAsia="楷体" w:hAnsi="楷体" w:hint="eastAsia"/>
                <w:b/>
                <w:bCs/>
                <w:color w:val="000000"/>
                <w:sz w:val="18"/>
                <w:szCs w:val="18"/>
              </w:rPr>
              <w:t>债券</w:t>
            </w:r>
            <w:r w:rsidRPr="00035682">
              <w:rPr>
                <w:rFonts w:ascii="楷体" w:eastAsia="楷体" w:hAnsi="楷体"/>
                <w:b/>
                <w:bCs/>
                <w:color w:val="000000"/>
                <w:sz w:val="18"/>
                <w:szCs w:val="18"/>
              </w:rPr>
              <w:t>-</w:t>
            </w:r>
          </w:p>
          <w:p w:rsidR="00A14A34" w:rsidRPr="005B7CDB" w:rsidRDefault="00A14A34" w:rsidP="006E677E">
            <w:pPr>
              <w:snapToGrid w:val="0"/>
              <w:jc w:val="center"/>
              <w:rPr>
                <w:rFonts w:ascii="楷体" w:eastAsia="楷体" w:hAnsi="楷体" w:cs="宋体"/>
                <w:b/>
                <w:bCs/>
                <w:color w:val="000000"/>
                <w:sz w:val="18"/>
                <w:szCs w:val="18"/>
              </w:rPr>
            </w:pPr>
            <w:r w:rsidRPr="00035682">
              <w:rPr>
                <w:rFonts w:ascii="楷体" w:eastAsia="楷体" w:hAnsi="楷体" w:hint="eastAsia"/>
                <w:b/>
                <w:bCs/>
                <w:color w:val="000000"/>
                <w:sz w:val="18"/>
                <w:szCs w:val="18"/>
              </w:rPr>
              <w:t>指数债基</w:t>
            </w:r>
          </w:p>
        </w:tc>
        <w:tc>
          <w:tcPr>
            <w:tcW w:w="850"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161119</w:t>
            </w:r>
          </w:p>
        </w:tc>
        <w:tc>
          <w:tcPr>
            <w:tcW w:w="1843"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易方达中债新综合</w:t>
            </w:r>
            <w:r w:rsidRPr="00035682">
              <w:rPr>
                <w:rFonts w:ascii="楷体" w:eastAsia="楷体" w:hAnsi="楷体"/>
                <w:color w:val="000000"/>
                <w:sz w:val="18"/>
                <w:szCs w:val="18"/>
              </w:rPr>
              <w:t>A</w:t>
            </w:r>
          </w:p>
        </w:tc>
        <w:tc>
          <w:tcPr>
            <w:tcW w:w="709" w:type="dxa"/>
            <w:tcBorders>
              <w:left w:val="single" w:sz="6" w:space="0" w:color="FF6600"/>
              <w:right w:val="single" w:sz="6" w:space="0" w:color="FF6600"/>
            </w:tcBorders>
            <w:vAlign w:val="center"/>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开放式</w:t>
            </w:r>
          </w:p>
        </w:tc>
        <w:tc>
          <w:tcPr>
            <w:tcW w:w="850" w:type="dxa"/>
            <w:tcBorders>
              <w:lef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0.94</w:t>
            </w:r>
          </w:p>
        </w:tc>
      </w:tr>
      <w:tr w:rsidR="00A14A34" w:rsidRPr="00035682" w:rsidTr="001C1C98">
        <w:trPr>
          <w:cantSplit/>
          <w:trHeight w:val="227"/>
        </w:trPr>
        <w:tc>
          <w:tcPr>
            <w:tcW w:w="851" w:type="dxa"/>
            <w:vMerge/>
            <w:tcBorders>
              <w:right w:val="single" w:sz="6" w:space="0" w:color="FF6600"/>
            </w:tcBorders>
            <w:shd w:val="clear" w:color="auto" w:fill="FDE9D9"/>
            <w:vAlign w:val="center"/>
          </w:tcPr>
          <w:p w:rsidR="00A14A34" w:rsidRPr="00035682" w:rsidRDefault="00A14A34" w:rsidP="006E677E">
            <w:pPr>
              <w:snapToGrid w:val="0"/>
              <w:jc w:val="center"/>
              <w:rPr>
                <w:rFonts w:ascii="楷体" w:eastAsia="楷体" w:hAnsi="楷体"/>
                <w:b/>
                <w:sz w:val="18"/>
                <w:szCs w:val="18"/>
              </w:rPr>
            </w:pPr>
          </w:p>
        </w:tc>
        <w:tc>
          <w:tcPr>
            <w:tcW w:w="851"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000534</w:t>
            </w:r>
          </w:p>
        </w:tc>
        <w:tc>
          <w:tcPr>
            <w:tcW w:w="2551"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长盛高端装备制造</w:t>
            </w:r>
          </w:p>
        </w:tc>
        <w:tc>
          <w:tcPr>
            <w:tcW w:w="709" w:type="dxa"/>
            <w:tcBorders>
              <w:left w:val="single" w:sz="6" w:space="0" w:color="FF6600"/>
              <w:right w:val="single" w:sz="6" w:space="0" w:color="FF6600"/>
            </w:tcBorders>
            <w:vAlign w:val="center"/>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0.72</w:t>
            </w:r>
          </w:p>
        </w:tc>
        <w:tc>
          <w:tcPr>
            <w:tcW w:w="993" w:type="dxa"/>
            <w:vMerge/>
            <w:tcBorders>
              <w:left w:val="single" w:sz="6" w:space="0" w:color="FF6600"/>
              <w:right w:val="single" w:sz="6" w:space="0" w:color="FF6600"/>
            </w:tcBorders>
            <w:shd w:val="clear" w:color="auto" w:fill="FDE9D9"/>
            <w:vAlign w:val="center"/>
          </w:tcPr>
          <w:p w:rsidR="00A14A34" w:rsidRPr="00035682" w:rsidRDefault="00A14A34" w:rsidP="006E677E">
            <w:pPr>
              <w:snapToGrid w:val="0"/>
              <w:jc w:val="center"/>
              <w:rPr>
                <w:rFonts w:ascii="楷体" w:eastAsia="楷体" w:hAnsi="楷体"/>
                <w:b/>
                <w:sz w:val="18"/>
                <w:szCs w:val="18"/>
              </w:rPr>
            </w:pPr>
          </w:p>
        </w:tc>
        <w:tc>
          <w:tcPr>
            <w:tcW w:w="850"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161120</w:t>
            </w:r>
          </w:p>
        </w:tc>
        <w:tc>
          <w:tcPr>
            <w:tcW w:w="1843"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易方达中债新综合</w:t>
            </w:r>
            <w:r w:rsidRPr="00035682">
              <w:rPr>
                <w:rFonts w:ascii="楷体" w:eastAsia="楷体" w:hAnsi="楷体"/>
                <w:color w:val="000000"/>
                <w:sz w:val="18"/>
                <w:szCs w:val="18"/>
              </w:rPr>
              <w:t>C</w:t>
            </w:r>
          </w:p>
        </w:tc>
        <w:tc>
          <w:tcPr>
            <w:tcW w:w="709" w:type="dxa"/>
            <w:tcBorders>
              <w:left w:val="single" w:sz="6" w:space="0" w:color="FF6600"/>
              <w:right w:val="single" w:sz="6" w:space="0" w:color="FF6600"/>
            </w:tcBorders>
            <w:vAlign w:val="center"/>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开放式</w:t>
            </w:r>
          </w:p>
        </w:tc>
        <w:tc>
          <w:tcPr>
            <w:tcW w:w="850" w:type="dxa"/>
            <w:tcBorders>
              <w:lef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0.94</w:t>
            </w:r>
          </w:p>
        </w:tc>
      </w:tr>
      <w:tr w:rsidR="00A14A34" w:rsidRPr="00035682" w:rsidTr="001C1C98">
        <w:trPr>
          <w:cantSplit/>
          <w:trHeight w:val="227"/>
        </w:trPr>
        <w:tc>
          <w:tcPr>
            <w:tcW w:w="851" w:type="dxa"/>
            <w:vMerge/>
            <w:tcBorders>
              <w:right w:val="single" w:sz="6" w:space="0" w:color="FF6600"/>
            </w:tcBorders>
            <w:shd w:val="clear" w:color="auto" w:fill="FDE9D9"/>
            <w:vAlign w:val="center"/>
          </w:tcPr>
          <w:p w:rsidR="00A14A34" w:rsidRPr="00035682" w:rsidRDefault="00A14A34" w:rsidP="006E677E">
            <w:pPr>
              <w:snapToGrid w:val="0"/>
              <w:jc w:val="center"/>
              <w:rPr>
                <w:rFonts w:ascii="楷体" w:eastAsia="楷体" w:hAnsi="楷体"/>
                <w:b/>
                <w:sz w:val="18"/>
                <w:szCs w:val="18"/>
              </w:rPr>
            </w:pPr>
          </w:p>
        </w:tc>
        <w:tc>
          <w:tcPr>
            <w:tcW w:w="851"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400023</w:t>
            </w:r>
          </w:p>
        </w:tc>
        <w:tc>
          <w:tcPr>
            <w:tcW w:w="2551"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东方多策略</w:t>
            </w:r>
          </w:p>
        </w:tc>
        <w:tc>
          <w:tcPr>
            <w:tcW w:w="709" w:type="dxa"/>
            <w:tcBorders>
              <w:left w:val="single" w:sz="6" w:space="0" w:color="FF6600"/>
              <w:right w:val="single" w:sz="6" w:space="0" w:color="FF6600"/>
            </w:tcBorders>
            <w:vAlign w:val="center"/>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0.59</w:t>
            </w:r>
          </w:p>
        </w:tc>
        <w:tc>
          <w:tcPr>
            <w:tcW w:w="993" w:type="dxa"/>
            <w:vMerge/>
            <w:tcBorders>
              <w:left w:val="single" w:sz="6" w:space="0" w:color="FF6600"/>
              <w:right w:val="single" w:sz="6" w:space="0" w:color="FF6600"/>
            </w:tcBorders>
            <w:shd w:val="clear" w:color="auto" w:fill="FDE9D9"/>
            <w:vAlign w:val="center"/>
          </w:tcPr>
          <w:p w:rsidR="00A14A34" w:rsidRPr="00035682" w:rsidRDefault="00A14A34" w:rsidP="006E677E">
            <w:pPr>
              <w:snapToGrid w:val="0"/>
              <w:jc w:val="center"/>
              <w:rPr>
                <w:rFonts w:ascii="楷体" w:eastAsia="楷体" w:hAnsi="楷体"/>
                <w:b/>
                <w:sz w:val="18"/>
                <w:szCs w:val="18"/>
              </w:rPr>
            </w:pPr>
          </w:p>
        </w:tc>
        <w:tc>
          <w:tcPr>
            <w:tcW w:w="850"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161625</w:t>
            </w:r>
          </w:p>
        </w:tc>
        <w:tc>
          <w:tcPr>
            <w:tcW w:w="1843"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融通标普中国可转债</w:t>
            </w:r>
            <w:r w:rsidRPr="00035682">
              <w:rPr>
                <w:rFonts w:ascii="楷体" w:eastAsia="楷体" w:hAnsi="楷体"/>
                <w:color w:val="000000"/>
                <w:sz w:val="18"/>
                <w:szCs w:val="18"/>
              </w:rPr>
              <w:t>C</w:t>
            </w:r>
          </w:p>
        </w:tc>
        <w:tc>
          <w:tcPr>
            <w:tcW w:w="709" w:type="dxa"/>
            <w:tcBorders>
              <w:left w:val="single" w:sz="6" w:space="0" w:color="FF6600"/>
              <w:right w:val="single" w:sz="6" w:space="0" w:color="FF6600"/>
            </w:tcBorders>
            <w:vAlign w:val="center"/>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开放式</w:t>
            </w:r>
          </w:p>
        </w:tc>
        <w:tc>
          <w:tcPr>
            <w:tcW w:w="850" w:type="dxa"/>
            <w:tcBorders>
              <w:lef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0.91</w:t>
            </w:r>
          </w:p>
        </w:tc>
      </w:tr>
      <w:tr w:rsidR="00A14A34" w:rsidRPr="00035682" w:rsidTr="001C1C98">
        <w:trPr>
          <w:cantSplit/>
          <w:trHeight w:val="227"/>
        </w:trPr>
        <w:tc>
          <w:tcPr>
            <w:tcW w:w="851" w:type="dxa"/>
            <w:vMerge w:val="restart"/>
            <w:tcBorders>
              <w:right w:val="single" w:sz="6" w:space="0" w:color="FF6600"/>
            </w:tcBorders>
            <w:shd w:val="clear" w:color="auto" w:fill="FDE9D9"/>
            <w:vAlign w:val="center"/>
          </w:tcPr>
          <w:p w:rsidR="00A14A34" w:rsidRPr="00035682" w:rsidRDefault="00A14A34" w:rsidP="006E677E">
            <w:pPr>
              <w:snapToGrid w:val="0"/>
              <w:jc w:val="center"/>
              <w:rPr>
                <w:rFonts w:ascii="楷体" w:eastAsia="楷体" w:hAnsi="楷体"/>
                <w:b/>
                <w:sz w:val="18"/>
                <w:szCs w:val="18"/>
              </w:rPr>
            </w:pPr>
            <w:r w:rsidRPr="00035682">
              <w:rPr>
                <w:rFonts w:ascii="楷体" w:eastAsia="楷体" w:hAnsi="楷体"/>
                <w:b/>
                <w:sz w:val="18"/>
                <w:szCs w:val="18"/>
              </w:rPr>
              <w:t>QDII</w:t>
            </w:r>
          </w:p>
        </w:tc>
        <w:tc>
          <w:tcPr>
            <w:tcW w:w="851"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270042</w:t>
            </w:r>
          </w:p>
        </w:tc>
        <w:tc>
          <w:tcPr>
            <w:tcW w:w="2551"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广发纳斯达克</w:t>
            </w:r>
            <w:r w:rsidRPr="00035682">
              <w:rPr>
                <w:rFonts w:ascii="楷体" w:eastAsia="楷体" w:hAnsi="楷体"/>
                <w:color w:val="000000"/>
                <w:sz w:val="18"/>
                <w:szCs w:val="18"/>
              </w:rPr>
              <w:t>100</w:t>
            </w:r>
          </w:p>
        </w:tc>
        <w:tc>
          <w:tcPr>
            <w:tcW w:w="709" w:type="dxa"/>
            <w:tcBorders>
              <w:left w:val="single" w:sz="6" w:space="0" w:color="FF6600"/>
              <w:right w:val="single" w:sz="6" w:space="0" w:color="FF6600"/>
            </w:tcBorders>
            <w:vAlign w:val="center"/>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6.60</w:t>
            </w:r>
          </w:p>
        </w:tc>
        <w:tc>
          <w:tcPr>
            <w:tcW w:w="993" w:type="dxa"/>
            <w:vMerge w:val="restart"/>
            <w:tcBorders>
              <w:left w:val="single" w:sz="6" w:space="0" w:color="FF6600"/>
              <w:right w:val="single" w:sz="6" w:space="0" w:color="FF6600"/>
            </w:tcBorders>
            <w:shd w:val="clear" w:color="auto" w:fill="FDE9D9"/>
            <w:vAlign w:val="center"/>
          </w:tcPr>
          <w:p w:rsidR="00A14A34" w:rsidRPr="00035682" w:rsidRDefault="00A14A34" w:rsidP="006E677E">
            <w:pPr>
              <w:snapToGrid w:val="0"/>
              <w:jc w:val="center"/>
              <w:rPr>
                <w:rFonts w:ascii="楷体" w:eastAsia="楷体" w:hAnsi="楷体"/>
                <w:b/>
                <w:bCs/>
                <w:color w:val="000000"/>
                <w:sz w:val="18"/>
                <w:szCs w:val="18"/>
              </w:rPr>
            </w:pPr>
            <w:r w:rsidRPr="00035682">
              <w:rPr>
                <w:rFonts w:ascii="楷体" w:eastAsia="楷体" w:hAnsi="楷体" w:hint="eastAsia"/>
                <w:b/>
                <w:bCs/>
                <w:color w:val="000000"/>
                <w:sz w:val="18"/>
                <w:szCs w:val="18"/>
              </w:rPr>
              <w:t>债券</w:t>
            </w:r>
            <w:r w:rsidRPr="00035682">
              <w:rPr>
                <w:rFonts w:ascii="楷体" w:eastAsia="楷体" w:hAnsi="楷体"/>
                <w:b/>
                <w:bCs/>
                <w:color w:val="000000"/>
                <w:sz w:val="18"/>
                <w:szCs w:val="18"/>
              </w:rPr>
              <w:t>-</w:t>
            </w:r>
          </w:p>
          <w:p w:rsidR="00A14A34" w:rsidRPr="005B7CDB" w:rsidRDefault="00A14A34" w:rsidP="006E677E">
            <w:pPr>
              <w:snapToGrid w:val="0"/>
              <w:jc w:val="center"/>
              <w:rPr>
                <w:rFonts w:ascii="楷体" w:eastAsia="楷体" w:hAnsi="楷体" w:cs="宋体"/>
                <w:b/>
                <w:bCs/>
                <w:color w:val="000000"/>
                <w:sz w:val="18"/>
                <w:szCs w:val="18"/>
              </w:rPr>
            </w:pPr>
            <w:r w:rsidRPr="00035682">
              <w:rPr>
                <w:rFonts w:ascii="楷体" w:eastAsia="楷体" w:hAnsi="楷体" w:hint="eastAsia"/>
                <w:b/>
                <w:bCs/>
                <w:color w:val="000000"/>
                <w:sz w:val="18"/>
                <w:szCs w:val="18"/>
              </w:rPr>
              <w:t>可转债基</w:t>
            </w:r>
          </w:p>
        </w:tc>
        <w:tc>
          <w:tcPr>
            <w:tcW w:w="850"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000068</w:t>
            </w:r>
          </w:p>
        </w:tc>
        <w:tc>
          <w:tcPr>
            <w:tcW w:w="1843"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民生加银转债优选</w:t>
            </w:r>
            <w:r w:rsidRPr="00035682">
              <w:rPr>
                <w:rFonts w:ascii="楷体" w:eastAsia="楷体" w:hAnsi="楷体"/>
                <w:color w:val="000000"/>
                <w:sz w:val="18"/>
                <w:szCs w:val="18"/>
              </w:rPr>
              <w:t>C</w:t>
            </w:r>
          </w:p>
        </w:tc>
        <w:tc>
          <w:tcPr>
            <w:tcW w:w="709" w:type="dxa"/>
            <w:tcBorders>
              <w:left w:val="single" w:sz="6" w:space="0" w:color="FF6600"/>
              <w:right w:val="single" w:sz="6" w:space="0" w:color="FF6600"/>
            </w:tcBorders>
            <w:vAlign w:val="center"/>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开放式</w:t>
            </w:r>
          </w:p>
        </w:tc>
        <w:tc>
          <w:tcPr>
            <w:tcW w:w="850" w:type="dxa"/>
            <w:tcBorders>
              <w:lef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1.14</w:t>
            </w:r>
          </w:p>
        </w:tc>
      </w:tr>
      <w:tr w:rsidR="00A14A34" w:rsidRPr="00035682" w:rsidTr="001C1C98">
        <w:trPr>
          <w:cantSplit/>
          <w:trHeight w:val="227"/>
        </w:trPr>
        <w:tc>
          <w:tcPr>
            <w:tcW w:w="851" w:type="dxa"/>
            <w:vMerge/>
            <w:tcBorders>
              <w:right w:val="single" w:sz="6" w:space="0" w:color="FF6600"/>
            </w:tcBorders>
            <w:shd w:val="clear" w:color="auto" w:fill="FDE9D9"/>
            <w:vAlign w:val="center"/>
          </w:tcPr>
          <w:p w:rsidR="00A14A34" w:rsidRPr="00035682" w:rsidRDefault="00A14A34" w:rsidP="006E677E">
            <w:pPr>
              <w:snapToGrid w:val="0"/>
              <w:jc w:val="center"/>
              <w:rPr>
                <w:rFonts w:ascii="楷体" w:eastAsia="楷体" w:hAnsi="楷体"/>
                <w:b/>
                <w:color w:val="FF0000"/>
                <w:sz w:val="18"/>
                <w:szCs w:val="18"/>
              </w:rPr>
            </w:pPr>
          </w:p>
        </w:tc>
        <w:tc>
          <w:tcPr>
            <w:tcW w:w="851"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000193</w:t>
            </w:r>
          </w:p>
        </w:tc>
        <w:tc>
          <w:tcPr>
            <w:tcW w:w="2551"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国泰美国房地产开发</w:t>
            </w:r>
          </w:p>
        </w:tc>
        <w:tc>
          <w:tcPr>
            <w:tcW w:w="709" w:type="dxa"/>
            <w:tcBorders>
              <w:left w:val="single" w:sz="6" w:space="0" w:color="FF6600"/>
              <w:right w:val="single" w:sz="6" w:space="0" w:color="FF6600"/>
            </w:tcBorders>
            <w:vAlign w:val="center"/>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6.37</w:t>
            </w:r>
          </w:p>
        </w:tc>
        <w:tc>
          <w:tcPr>
            <w:tcW w:w="993" w:type="dxa"/>
            <w:vMerge/>
            <w:tcBorders>
              <w:left w:val="single" w:sz="6" w:space="0" w:color="FF6600"/>
              <w:right w:val="single" w:sz="6" w:space="0" w:color="FF6600"/>
            </w:tcBorders>
            <w:shd w:val="clear" w:color="auto" w:fill="FDE9D9"/>
            <w:vAlign w:val="center"/>
          </w:tcPr>
          <w:p w:rsidR="00A14A34" w:rsidRPr="00035682" w:rsidRDefault="00A14A34" w:rsidP="006E677E">
            <w:pPr>
              <w:snapToGrid w:val="0"/>
              <w:jc w:val="center"/>
              <w:rPr>
                <w:rFonts w:ascii="楷体" w:eastAsia="楷体" w:hAnsi="楷体"/>
                <w:b/>
                <w:sz w:val="18"/>
                <w:szCs w:val="18"/>
              </w:rPr>
            </w:pPr>
          </w:p>
        </w:tc>
        <w:tc>
          <w:tcPr>
            <w:tcW w:w="850"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000067</w:t>
            </w:r>
          </w:p>
        </w:tc>
        <w:tc>
          <w:tcPr>
            <w:tcW w:w="1843"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民生加银转债优选</w:t>
            </w:r>
            <w:r w:rsidRPr="00035682">
              <w:rPr>
                <w:rFonts w:ascii="楷体" w:eastAsia="楷体" w:hAnsi="楷体"/>
                <w:color w:val="000000"/>
                <w:sz w:val="18"/>
                <w:szCs w:val="18"/>
              </w:rPr>
              <w:t>A</w:t>
            </w:r>
          </w:p>
        </w:tc>
        <w:tc>
          <w:tcPr>
            <w:tcW w:w="709" w:type="dxa"/>
            <w:tcBorders>
              <w:left w:val="single" w:sz="6" w:space="0" w:color="FF6600"/>
              <w:right w:val="single" w:sz="6" w:space="0" w:color="FF6600"/>
            </w:tcBorders>
            <w:vAlign w:val="center"/>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开放式</w:t>
            </w:r>
          </w:p>
        </w:tc>
        <w:tc>
          <w:tcPr>
            <w:tcW w:w="850" w:type="dxa"/>
            <w:tcBorders>
              <w:lef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1.13</w:t>
            </w:r>
          </w:p>
        </w:tc>
      </w:tr>
      <w:tr w:rsidR="00A14A34" w:rsidRPr="00035682" w:rsidTr="001C1C98">
        <w:trPr>
          <w:cantSplit/>
          <w:trHeight w:val="227"/>
        </w:trPr>
        <w:tc>
          <w:tcPr>
            <w:tcW w:w="851" w:type="dxa"/>
            <w:vMerge/>
            <w:tcBorders>
              <w:right w:val="single" w:sz="6" w:space="0" w:color="FF6600"/>
            </w:tcBorders>
            <w:shd w:val="clear" w:color="auto" w:fill="FDE9D9"/>
            <w:vAlign w:val="center"/>
          </w:tcPr>
          <w:p w:rsidR="00A14A34" w:rsidRPr="00035682" w:rsidRDefault="00A14A34" w:rsidP="006E677E">
            <w:pPr>
              <w:snapToGrid w:val="0"/>
              <w:jc w:val="center"/>
              <w:rPr>
                <w:rFonts w:ascii="楷体" w:eastAsia="楷体" w:hAnsi="楷体"/>
                <w:b/>
                <w:color w:val="FF0000"/>
                <w:sz w:val="18"/>
                <w:szCs w:val="18"/>
              </w:rPr>
            </w:pPr>
          </w:p>
        </w:tc>
        <w:tc>
          <w:tcPr>
            <w:tcW w:w="851"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513100</w:t>
            </w:r>
          </w:p>
        </w:tc>
        <w:tc>
          <w:tcPr>
            <w:tcW w:w="2551"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国泰纳斯达克</w:t>
            </w:r>
            <w:r w:rsidRPr="00035682">
              <w:rPr>
                <w:rFonts w:ascii="楷体" w:eastAsia="楷体" w:hAnsi="楷体"/>
                <w:color w:val="000000"/>
                <w:sz w:val="18"/>
                <w:szCs w:val="18"/>
              </w:rPr>
              <w:t>100ETF</w:t>
            </w:r>
          </w:p>
        </w:tc>
        <w:tc>
          <w:tcPr>
            <w:tcW w:w="709" w:type="dxa"/>
            <w:tcBorders>
              <w:left w:val="single" w:sz="6" w:space="0" w:color="FF6600"/>
              <w:right w:val="single" w:sz="6" w:space="0" w:color="FF6600"/>
            </w:tcBorders>
            <w:vAlign w:val="center"/>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6.30</w:t>
            </w:r>
          </w:p>
        </w:tc>
        <w:tc>
          <w:tcPr>
            <w:tcW w:w="993" w:type="dxa"/>
            <w:vMerge/>
            <w:tcBorders>
              <w:left w:val="single" w:sz="6" w:space="0" w:color="FF6600"/>
              <w:right w:val="single" w:sz="6" w:space="0" w:color="FF6600"/>
            </w:tcBorders>
            <w:shd w:val="clear" w:color="auto" w:fill="FDE9D9"/>
            <w:vAlign w:val="center"/>
          </w:tcPr>
          <w:p w:rsidR="00A14A34" w:rsidRPr="00035682" w:rsidRDefault="00A14A34" w:rsidP="006E677E">
            <w:pPr>
              <w:snapToGrid w:val="0"/>
              <w:jc w:val="center"/>
              <w:rPr>
                <w:rFonts w:ascii="楷体" w:eastAsia="楷体" w:hAnsi="楷体"/>
                <w:b/>
                <w:sz w:val="18"/>
                <w:szCs w:val="18"/>
              </w:rPr>
            </w:pPr>
          </w:p>
        </w:tc>
        <w:tc>
          <w:tcPr>
            <w:tcW w:w="850"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090017</w:t>
            </w:r>
          </w:p>
        </w:tc>
        <w:tc>
          <w:tcPr>
            <w:tcW w:w="1843"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大成可转债</w:t>
            </w:r>
          </w:p>
        </w:tc>
        <w:tc>
          <w:tcPr>
            <w:tcW w:w="709" w:type="dxa"/>
            <w:tcBorders>
              <w:left w:val="single" w:sz="6" w:space="0" w:color="FF6600"/>
              <w:right w:val="single" w:sz="6" w:space="0" w:color="FF6600"/>
            </w:tcBorders>
            <w:vAlign w:val="center"/>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开放式</w:t>
            </w:r>
          </w:p>
        </w:tc>
        <w:tc>
          <w:tcPr>
            <w:tcW w:w="850" w:type="dxa"/>
            <w:tcBorders>
              <w:lef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1.08</w:t>
            </w:r>
          </w:p>
        </w:tc>
      </w:tr>
      <w:tr w:rsidR="00A14A34" w:rsidRPr="00035682" w:rsidTr="001C1C98">
        <w:trPr>
          <w:cantSplit/>
          <w:trHeight w:val="227"/>
        </w:trPr>
        <w:tc>
          <w:tcPr>
            <w:tcW w:w="851" w:type="dxa"/>
            <w:vMerge w:val="restart"/>
            <w:tcBorders>
              <w:right w:val="single" w:sz="6" w:space="0" w:color="FF6600"/>
            </w:tcBorders>
            <w:shd w:val="clear" w:color="auto" w:fill="FDE9D9"/>
            <w:vAlign w:val="center"/>
          </w:tcPr>
          <w:p w:rsidR="00A14A34" w:rsidRPr="00035682" w:rsidRDefault="00A14A34" w:rsidP="006E677E">
            <w:pPr>
              <w:snapToGrid w:val="0"/>
              <w:jc w:val="center"/>
              <w:rPr>
                <w:rFonts w:ascii="楷体" w:eastAsia="楷体" w:hAnsi="楷体"/>
                <w:b/>
                <w:sz w:val="18"/>
                <w:szCs w:val="18"/>
              </w:rPr>
            </w:pPr>
            <w:r w:rsidRPr="00035682">
              <w:rPr>
                <w:rFonts w:ascii="楷体" w:eastAsia="楷体" w:hAnsi="楷体" w:hint="eastAsia"/>
                <w:b/>
                <w:sz w:val="18"/>
                <w:szCs w:val="18"/>
              </w:rPr>
              <w:t>分级基金子份额</w:t>
            </w:r>
            <w:r w:rsidRPr="00035682">
              <w:rPr>
                <w:rFonts w:ascii="楷体" w:eastAsia="楷体" w:hAnsi="楷体"/>
                <w:b/>
                <w:sz w:val="18"/>
                <w:szCs w:val="18"/>
              </w:rPr>
              <w:t>-</w:t>
            </w:r>
          </w:p>
          <w:p w:rsidR="00A14A34" w:rsidRPr="00035682" w:rsidRDefault="00A14A34" w:rsidP="006E677E">
            <w:pPr>
              <w:snapToGrid w:val="0"/>
              <w:jc w:val="center"/>
              <w:rPr>
                <w:rFonts w:ascii="楷体" w:eastAsia="楷体" w:hAnsi="楷体"/>
                <w:b/>
                <w:sz w:val="18"/>
                <w:szCs w:val="18"/>
              </w:rPr>
            </w:pPr>
            <w:r w:rsidRPr="00035682">
              <w:rPr>
                <w:rFonts w:ascii="楷体" w:eastAsia="楷体" w:hAnsi="楷体" w:hint="eastAsia"/>
                <w:b/>
                <w:sz w:val="18"/>
                <w:szCs w:val="18"/>
              </w:rPr>
              <w:t>股票稳健</w:t>
            </w:r>
          </w:p>
        </w:tc>
        <w:tc>
          <w:tcPr>
            <w:tcW w:w="851"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150069</w:t>
            </w:r>
          </w:p>
        </w:tc>
        <w:tc>
          <w:tcPr>
            <w:tcW w:w="2551"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国联安双力中小板</w:t>
            </w:r>
            <w:r w:rsidRPr="00035682">
              <w:rPr>
                <w:rFonts w:ascii="楷体" w:eastAsia="楷体" w:hAnsi="楷体"/>
                <w:color w:val="000000"/>
                <w:sz w:val="18"/>
                <w:szCs w:val="18"/>
              </w:rPr>
              <w:t>A</w:t>
            </w:r>
          </w:p>
        </w:tc>
        <w:tc>
          <w:tcPr>
            <w:tcW w:w="709" w:type="dxa"/>
            <w:tcBorders>
              <w:left w:val="single" w:sz="6" w:space="0" w:color="FF6600"/>
              <w:right w:val="single" w:sz="6" w:space="0" w:color="FF6600"/>
            </w:tcBorders>
            <w:vAlign w:val="center"/>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0.19</w:t>
            </w:r>
          </w:p>
        </w:tc>
        <w:tc>
          <w:tcPr>
            <w:tcW w:w="993" w:type="dxa"/>
            <w:vMerge w:val="restart"/>
            <w:tcBorders>
              <w:left w:val="single" w:sz="6" w:space="0" w:color="FF6600"/>
              <w:right w:val="single" w:sz="6" w:space="0" w:color="FF6600"/>
            </w:tcBorders>
            <w:shd w:val="clear" w:color="auto" w:fill="FDE9D9"/>
            <w:vAlign w:val="center"/>
          </w:tcPr>
          <w:p w:rsidR="00A14A34" w:rsidRPr="00035682" w:rsidRDefault="00A14A34" w:rsidP="006E677E">
            <w:pPr>
              <w:snapToGrid w:val="0"/>
              <w:jc w:val="center"/>
              <w:rPr>
                <w:rFonts w:ascii="楷体" w:eastAsia="楷体" w:hAnsi="楷体"/>
                <w:b/>
                <w:color w:val="000000"/>
                <w:sz w:val="18"/>
                <w:szCs w:val="18"/>
              </w:rPr>
            </w:pPr>
            <w:r w:rsidRPr="00035682">
              <w:rPr>
                <w:rFonts w:ascii="楷体" w:eastAsia="楷体" w:hAnsi="楷体" w:hint="eastAsia"/>
                <w:b/>
                <w:color w:val="000000"/>
                <w:sz w:val="18"/>
                <w:szCs w:val="18"/>
              </w:rPr>
              <w:t>分级基金子份额</w:t>
            </w:r>
            <w:r w:rsidRPr="00035682">
              <w:rPr>
                <w:rFonts w:ascii="楷体" w:eastAsia="楷体" w:hAnsi="楷体"/>
                <w:b/>
                <w:color w:val="000000"/>
                <w:sz w:val="18"/>
                <w:szCs w:val="18"/>
              </w:rPr>
              <w:t>-</w:t>
            </w:r>
          </w:p>
          <w:p w:rsidR="00A14A34" w:rsidRPr="00035682" w:rsidRDefault="00A14A34" w:rsidP="006E677E">
            <w:pPr>
              <w:snapToGrid w:val="0"/>
              <w:jc w:val="center"/>
              <w:rPr>
                <w:rFonts w:ascii="楷体" w:eastAsia="楷体" w:hAnsi="楷体"/>
                <w:b/>
                <w:color w:val="000000"/>
                <w:sz w:val="18"/>
                <w:szCs w:val="18"/>
              </w:rPr>
            </w:pPr>
            <w:r w:rsidRPr="00035682">
              <w:rPr>
                <w:rFonts w:ascii="楷体" w:eastAsia="楷体" w:hAnsi="楷体" w:hint="eastAsia"/>
                <w:b/>
                <w:color w:val="000000"/>
                <w:sz w:val="18"/>
                <w:szCs w:val="18"/>
              </w:rPr>
              <w:t>股票积极</w:t>
            </w:r>
          </w:p>
        </w:tc>
        <w:tc>
          <w:tcPr>
            <w:tcW w:w="850"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150180</w:t>
            </w:r>
          </w:p>
        </w:tc>
        <w:tc>
          <w:tcPr>
            <w:tcW w:w="1843"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鹏华信息</w:t>
            </w:r>
            <w:r w:rsidRPr="00035682">
              <w:rPr>
                <w:rFonts w:ascii="楷体" w:eastAsia="楷体" w:hAnsi="楷体"/>
                <w:color w:val="000000"/>
                <w:sz w:val="18"/>
                <w:szCs w:val="18"/>
              </w:rPr>
              <w:t>B</w:t>
            </w:r>
          </w:p>
        </w:tc>
        <w:tc>
          <w:tcPr>
            <w:tcW w:w="709" w:type="dxa"/>
            <w:tcBorders>
              <w:left w:val="single" w:sz="6" w:space="0" w:color="FF6600"/>
              <w:right w:val="single" w:sz="6" w:space="0" w:color="FF6600"/>
            </w:tcBorders>
            <w:vAlign w:val="center"/>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开放式</w:t>
            </w:r>
          </w:p>
        </w:tc>
        <w:tc>
          <w:tcPr>
            <w:tcW w:w="850" w:type="dxa"/>
            <w:tcBorders>
              <w:lef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-1.08</w:t>
            </w:r>
          </w:p>
        </w:tc>
      </w:tr>
      <w:tr w:rsidR="00A14A34" w:rsidRPr="00035682" w:rsidTr="001C1C98">
        <w:trPr>
          <w:cantSplit/>
          <w:trHeight w:val="227"/>
        </w:trPr>
        <w:tc>
          <w:tcPr>
            <w:tcW w:w="851" w:type="dxa"/>
            <w:vMerge/>
            <w:tcBorders>
              <w:right w:val="single" w:sz="6" w:space="0" w:color="FF6600"/>
            </w:tcBorders>
            <w:shd w:val="clear" w:color="auto" w:fill="FDE9D9"/>
            <w:vAlign w:val="center"/>
          </w:tcPr>
          <w:p w:rsidR="00A14A34" w:rsidRPr="00035682" w:rsidRDefault="00A14A34" w:rsidP="006E677E">
            <w:pPr>
              <w:snapToGrid w:val="0"/>
              <w:jc w:val="center"/>
              <w:rPr>
                <w:rFonts w:ascii="楷体" w:eastAsia="楷体" w:hAnsi="楷体"/>
                <w:b/>
                <w:sz w:val="18"/>
                <w:szCs w:val="18"/>
              </w:rPr>
            </w:pPr>
          </w:p>
        </w:tc>
        <w:tc>
          <w:tcPr>
            <w:tcW w:w="851"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150057</w:t>
            </w:r>
          </w:p>
        </w:tc>
        <w:tc>
          <w:tcPr>
            <w:tcW w:w="2551"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长城久兆稳健</w:t>
            </w:r>
          </w:p>
        </w:tc>
        <w:tc>
          <w:tcPr>
            <w:tcW w:w="709" w:type="dxa"/>
            <w:tcBorders>
              <w:left w:val="single" w:sz="6" w:space="0" w:color="FF6600"/>
              <w:right w:val="single" w:sz="6" w:space="0" w:color="FF6600"/>
            </w:tcBorders>
            <w:vAlign w:val="center"/>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0.19</w:t>
            </w:r>
          </w:p>
        </w:tc>
        <w:tc>
          <w:tcPr>
            <w:tcW w:w="993" w:type="dxa"/>
            <w:vMerge/>
            <w:tcBorders>
              <w:left w:val="single" w:sz="6" w:space="0" w:color="FF6600"/>
              <w:right w:val="single" w:sz="6" w:space="0" w:color="FF6600"/>
            </w:tcBorders>
            <w:shd w:val="clear" w:color="auto" w:fill="FDE9D9"/>
            <w:vAlign w:val="center"/>
          </w:tcPr>
          <w:p w:rsidR="00A14A34" w:rsidRPr="00035682" w:rsidRDefault="00A14A34" w:rsidP="006E677E">
            <w:pPr>
              <w:snapToGrid w:val="0"/>
              <w:jc w:val="center"/>
              <w:rPr>
                <w:rFonts w:ascii="楷体" w:eastAsia="楷体" w:hAnsi="楷体"/>
                <w:b/>
                <w:color w:val="000000"/>
                <w:sz w:val="18"/>
                <w:szCs w:val="18"/>
              </w:rPr>
            </w:pPr>
          </w:p>
        </w:tc>
        <w:tc>
          <w:tcPr>
            <w:tcW w:w="850"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150139</w:t>
            </w:r>
          </w:p>
        </w:tc>
        <w:tc>
          <w:tcPr>
            <w:tcW w:w="1843"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银华中证</w:t>
            </w:r>
            <w:r w:rsidRPr="00035682">
              <w:rPr>
                <w:rFonts w:ascii="楷体" w:eastAsia="楷体" w:hAnsi="楷体"/>
                <w:color w:val="000000"/>
                <w:sz w:val="18"/>
                <w:szCs w:val="18"/>
              </w:rPr>
              <w:t>800B</w:t>
            </w:r>
          </w:p>
        </w:tc>
        <w:tc>
          <w:tcPr>
            <w:tcW w:w="709" w:type="dxa"/>
            <w:tcBorders>
              <w:left w:val="single" w:sz="6" w:space="0" w:color="FF6600"/>
              <w:right w:val="single" w:sz="6" w:space="0" w:color="FF6600"/>
            </w:tcBorders>
            <w:vAlign w:val="center"/>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开放式</w:t>
            </w:r>
          </w:p>
        </w:tc>
        <w:tc>
          <w:tcPr>
            <w:tcW w:w="850" w:type="dxa"/>
            <w:tcBorders>
              <w:lef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-1.73</w:t>
            </w:r>
          </w:p>
        </w:tc>
      </w:tr>
      <w:tr w:rsidR="00A14A34" w:rsidRPr="00035682" w:rsidTr="001C1C98">
        <w:trPr>
          <w:cantSplit/>
          <w:trHeight w:val="227"/>
        </w:trPr>
        <w:tc>
          <w:tcPr>
            <w:tcW w:w="851" w:type="dxa"/>
            <w:vMerge/>
            <w:tcBorders>
              <w:right w:val="single" w:sz="6" w:space="0" w:color="FF6600"/>
            </w:tcBorders>
            <w:shd w:val="clear" w:color="auto" w:fill="FDE9D9"/>
            <w:vAlign w:val="center"/>
          </w:tcPr>
          <w:p w:rsidR="00A14A34" w:rsidRPr="00035682" w:rsidRDefault="00A14A34" w:rsidP="006E677E">
            <w:pPr>
              <w:snapToGrid w:val="0"/>
              <w:jc w:val="center"/>
              <w:rPr>
                <w:rFonts w:ascii="楷体" w:eastAsia="楷体" w:hAnsi="楷体"/>
                <w:b/>
                <w:sz w:val="18"/>
                <w:szCs w:val="18"/>
              </w:rPr>
            </w:pPr>
          </w:p>
        </w:tc>
        <w:tc>
          <w:tcPr>
            <w:tcW w:w="851"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150018</w:t>
            </w:r>
          </w:p>
        </w:tc>
        <w:tc>
          <w:tcPr>
            <w:tcW w:w="2551"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银华稳进</w:t>
            </w:r>
          </w:p>
        </w:tc>
        <w:tc>
          <w:tcPr>
            <w:tcW w:w="709" w:type="dxa"/>
            <w:tcBorders>
              <w:left w:val="single" w:sz="6" w:space="0" w:color="FF6600"/>
              <w:right w:val="single" w:sz="6" w:space="0" w:color="FF6600"/>
            </w:tcBorders>
            <w:vAlign w:val="center"/>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0.19</w:t>
            </w:r>
          </w:p>
        </w:tc>
        <w:tc>
          <w:tcPr>
            <w:tcW w:w="993" w:type="dxa"/>
            <w:vMerge/>
            <w:tcBorders>
              <w:left w:val="single" w:sz="6" w:space="0" w:color="FF6600"/>
              <w:right w:val="single" w:sz="6" w:space="0" w:color="FF6600"/>
            </w:tcBorders>
            <w:shd w:val="clear" w:color="auto" w:fill="FDE9D9"/>
            <w:vAlign w:val="center"/>
          </w:tcPr>
          <w:p w:rsidR="00A14A34" w:rsidRPr="00035682" w:rsidRDefault="00A14A34" w:rsidP="006E677E">
            <w:pPr>
              <w:snapToGrid w:val="0"/>
              <w:jc w:val="center"/>
              <w:rPr>
                <w:rFonts w:ascii="楷体" w:eastAsia="楷体" w:hAnsi="楷体"/>
                <w:b/>
                <w:color w:val="000000"/>
                <w:sz w:val="18"/>
                <w:szCs w:val="18"/>
              </w:rPr>
            </w:pPr>
          </w:p>
        </w:tc>
        <w:tc>
          <w:tcPr>
            <w:tcW w:w="850"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150017</w:t>
            </w:r>
          </w:p>
        </w:tc>
        <w:tc>
          <w:tcPr>
            <w:tcW w:w="1843"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兴全合润分级</w:t>
            </w:r>
            <w:r w:rsidRPr="00035682">
              <w:rPr>
                <w:rFonts w:ascii="楷体" w:eastAsia="楷体" w:hAnsi="楷体"/>
                <w:color w:val="000000"/>
                <w:sz w:val="18"/>
                <w:szCs w:val="18"/>
              </w:rPr>
              <w:t>B</w:t>
            </w:r>
          </w:p>
        </w:tc>
        <w:tc>
          <w:tcPr>
            <w:tcW w:w="709" w:type="dxa"/>
            <w:tcBorders>
              <w:left w:val="single" w:sz="6" w:space="0" w:color="FF6600"/>
              <w:right w:val="single" w:sz="6" w:space="0" w:color="FF6600"/>
            </w:tcBorders>
            <w:vAlign w:val="center"/>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开放式</w:t>
            </w:r>
          </w:p>
        </w:tc>
        <w:tc>
          <w:tcPr>
            <w:tcW w:w="850" w:type="dxa"/>
            <w:tcBorders>
              <w:lef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-1.79</w:t>
            </w:r>
          </w:p>
        </w:tc>
      </w:tr>
      <w:tr w:rsidR="00A14A34" w:rsidRPr="00035682" w:rsidTr="001C1C98">
        <w:trPr>
          <w:cantSplit/>
          <w:trHeight w:val="227"/>
        </w:trPr>
        <w:tc>
          <w:tcPr>
            <w:tcW w:w="851" w:type="dxa"/>
            <w:vMerge w:val="restart"/>
            <w:tcBorders>
              <w:right w:val="single" w:sz="6" w:space="0" w:color="FF6600"/>
            </w:tcBorders>
            <w:shd w:val="clear" w:color="auto" w:fill="FDE9D9"/>
            <w:vAlign w:val="center"/>
          </w:tcPr>
          <w:p w:rsidR="00A14A34" w:rsidRPr="00035682" w:rsidRDefault="00A14A34" w:rsidP="006E677E">
            <w:pPr>
              <w:snapToGrid w:val="0"/>
              <w:jc w:val="center"/>
              <w:rPr>
                <w:rFonts w:ascii="楷体" w:eastAsia="楷体" w:hAnsi="楷体"/>
                <w:b/>
                <w:sz w:val="18"/>
                <w:szCs w:val="18"/>
              </w:rPr>
            </w:pPr>
            <w:r w:rsidRPr="00035682">
              <w:rPr>
                <w:rFonts w:ascii="楷体" w:eastAsia="楷体" w:hAnsi="楷体" w:hint="eastAsia"/>
                <w:b/>
                <w:sz w:val="18"/>
                <w:szCs w:val="18"/>
              </w:rPr>
              <w:t>分级基金子份额</w:t>
            </w:r>
            <w:r w:rsidRPr="00035682">
              <w:rPr>
                <w:rFonts w:ascii="楷体" w:eastAsia="楷体" w:hAnsi="楷体"/>
                <w:b/>
                <w:sz w:val="18"/>
                <w:szCs w:val="18"/>
              </w:rPr>
              <w:t>-</w:t>
            </w:r>
          </w:p>
          <w:p w:rsidR="00A14A34" w:rsidRPr="00035682" w:rsidRDefault="00A14A34" w:rsidP="006E677E">
            <w:pPr>
              <w:snapToGrid w:val="0"/>
              <w:jc w:val="center"/>
              <w:rPr>
                <w:rFonts w:ascii="楷体" w:eastAsia="楷体" w:hAnsi="楷体"/>
                <w:b/>
                <w:sz w:val="18"/>
                <w:szCs w:val="18"/>
              </w:rPr>
            </w:pPr>
            <w:r w:rsidRPr="00035682">
              <w:rPr>
                <w:rFonts w:ascii="楷体" w:eastAsia="楷体" w:hAnsi="楷体" w:hint="eastAsia"/>
                <w:b/>
                <w:sz w:val="18"/>
                <w:szCs w:val="18"/>
              </w:rPr>
              <w:t>债券稳健</w:t>
            </w:r>
          </w:p>
        </w:tc>
        <w:tc>
          <w:tcPr>
            <w:tcW w:w="851"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000623</w:t>
            </w:r>
          </w:p>
        </w:tc>
        <w:tc>
          <w:tcPr>
            <w:tcW w:w="2551"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华富恒财分级</w:t>
            </w:r>
            <w:r w:rsidRPr="00035682">
              <w:rPr>
                <w:rFonts w:ascii="楷体" w:eastAsia="楷体" w:hAnsi="楷体"/>
                <w:color w:val="000000"/>
                <w:sz w:val="18"/>
                <w:szCs w:val="18"/>
              </w:rPr>
              <w:t>A</w:t>
            </w:r>
          </w:p>
        </w:tc>
        <w:tc>
          <w:tcPr>
            <w:tcW w:w="709" w:type="dxa"/>
            <w:tcBorders>
              <w:left w:val="single" w:sz="6" w:space="0" w:color="FF6600"/>
              <w:right w:val="single" w:sz="6" w:space="0" w:color="FF6600"/>
            </w:tcBorders>
            <w:vAlign w:val="center"/>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0.19</w:t>
            </w:r>
          </w:p>
        </w:tc>
        <w:tc>
          <w:tcPr>
            <w:tcW w:w="993" w:type="dxa"/>
            <w:vMerge w:val="restart"/>
            <w:tcBorders>
              <w:left w:val="single" w:sz="6" w:space="0" w:color="FF6600"/>
              <w:right w:val="single" w:sz="6" w:space="0" w:color="FF6600"/>
            </w:tcBorders>
            <w:shd w:val="clear" w:color="auto" w:fill="FDE9D9"/>
            <w:vAlign w:val="center"/>
          </w:tcPr>
          <w:p w:rsidR="00A14A34" w:rsidRPr="00035682" w:rsidRDefault="00A14A34" w:rsidP="006E677E">
            <w:pPr>
              <w:snapToGrid w:val="0"/>
              <w:jc w:val="center"/>
              <w:rPr>
                <w:rFonts w:ascii="楷体" w:eastAsia="楷体" w:hAnsi="楷体"/>
                <w:b/>
                <w:color w:val="000000"/>
                <w:sz w:val="18"/>
                <w:szCs w:val="18"/>
              </w:rPr>
            </w:pPr>
            <w:r w:rsidRPr="00035682">
              <w:rPr>
                <w:rFonts w:ascii="楷体" w:eastAsia="楷体" w:hAnsi="楷体" w:hint="eastAsia"/>
                <w:b/>
                <w:color w:val="000000"/>
                <w:sz w:val="18"/>
                <w:szCs w:val="18"/>
              </w:rPr>
              <w:t>分级基金子份额</w:t>
            </w:r>
            <w:r w:rsidRPr="00035682">
              <w:rPr>
                <w:rFonts w:ascii="楷体" w:eastAsia="楷体" w:hAnsi="楷体"/>
                <w:b/>
                <w:color w:val="000000"/>
                <w:sz w:val="18"/>
                <w:szCs w:val="18"/>
              </w:rPr>
              <w:t>-</w:t>
            </w:r>
          </w:p>
          <w:p w:rsidR="00A14A34" w:rsidRPr="00035682" w:rsidRDefault="00A14A34" w:rsidP="006E677E">
            <w:pPr>
              <w:snapToGrid w:val="0"/>
              <w:jc w:val="center"/>
              <w:rPr>
                <w:rFonts w:ascii="楷体" w:eastAsia="楷体" w:hAnsi="楷体"/>
                <w:b/>
                <w:color w:val="000000"/>
                <w:sz w:val="18"/>
                <w:szCs w:val="18"/>
              </w:rPr>
            </w:pPr>
            <w:r w:rsidRPr="00035682">
              <w:rPr>
                <w:rFonts w:ascii="楷体" w:eastAsia="楷体" w:hAnsi="楷体" w:hint="eastAsia"/>
                <w:b/>
                <w:color w:val="000000"/>
                <w:sz w:val="18"/>
                <w:szCs w:val="18"/>
              </w:rPr>
              <w:t>债券积极</w:t>
            </w:r>
          </w:p>
        </w:tc>
        <w:tc>
          <w:tcPr>
            <w:tcW w:w="850"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150161</w:t>
            </w:r>
          </w:p>
        </w:tc>
        <w:tc>
          <w:tcPr>
            <w:tcW w:w="1843"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新华惠鑫分级</w:t>
            </w:r>
            <w:r w:rsidRPr="00035682">
              <w:rPr>
                <w:rFonts w:ascii="楷体" w:eastAsia="楷体" w:hAnsi="楷体"/>
                <w:color w:val="000000"/>
                <w:sz w:val="18"/>
                <w:szCs w:val="18"/>
              </w:rPr>
              <w:t>B</w:t>
            </w:r>
          </w:p>
        </w:tc>
        <w:tc>
          <w:tcPr>
            <w:tcW w:w="709" w:type="dxa"/>
            <w:tcBorders>
              <w:left w:val="single" w:sz="6" w:space="0" w:color="FF6600"/>
              <w:right w:val="single" w:sz="6" w:space="0" w:color="FF6600"/>
            </w:tcBorders>
            <w:vAlign w:val="center"/>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封闭式</w:t>
            </w:r>
          </w:p>
        </w:tc>
        <w:tc>
          <w:tcPr>
            <w:tcW w:w="850" w:type="dxa"/>
            <w:tcBorders>
              <w:lef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4.61</w:t>
            </w:r>
          </w:p>
        </w:tc>
      </w:tr>
      <w:tr w:rsidR="00A14A34" w:rsidRPr="00035682" w:rsidTr="001C1C98">
        <w:trPr>
          <w:cantSplit/>
          <w:trHeight w:val="227"/>
        </w:trPr>
        <w:tc>
          <w:tcPr>
            <w:tcW w:w="851" w:type="dxa"/>
            <w:vMerge/>
            <w:tcBorders>
              <w:right w:val="single" w:sz="6" w:space="0" w:color="FF6600"/>
            </w:tcBorders>
            <w:shd w:val="clear" w:color="auto" w:fill="FDE9D9"/>
            <w:vAlign w:val="center"/>
          </w:tcPr>
          <w:p w:rsidR="00A14A34" w:rsidRPr="00035682" w:rsidRDefault="00A14A34" w:rsidP="006E677E">
            <w:pPr>
              <w:snapToGrid w:val="0"/>
              <w:jc w:val="center"/>
              <w:rPr>
                <w:rFonts w:ascii="楷体" w:eastAsia="楷体" w:hAnsi="楷体"/>
                <w:b/>
                <w:sz w:val="18"/>
                <w:szCs w:val="18"/>
              </w:rPr>
            </w:pPr>
          </w:p>
        </w:tc>
        <w:tc>
          <w:tcPr>
            <w:tcW w:w="851"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000429</w:t>
            </w:r>
          </w:p>
        </w:tc>
        <w:tc>
          <w:tcPr>
            <w:tcW w:w="2551"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易方达聚盈</w:t>
            </w:r>
            <w:r w:rsidRPr="00035682">
              <w:rPr>
                <w:rFonts w:ascii="楷体" w:eastAsia="楷体" w:hAnsi="楷体"/>
                <w:color w:val="000000"/>
                <w:sz w:val="18"/>
                <w:szCs w:val="18"/>
              </w:rPr>
              <w:t>A</w:t>
            </w:r>
          </w:p>
        </w:tc>
        <w:tc>
          <w:tcPr>
            <w:tcW w:w="709" w:type="dxa"/>
            <w:tcBorders>
              <w:left w:val="single" w:sz="6" w:space="0" w:color="FF6600"/>
              <w:right w:val="single" w:sz="6" w:space="0" w:color="FF6600"/>
            </w:tcBorders>
            <w:vAlign w:val="center"/>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0.12</w:t>
            </w:r>
          </w:p>
        </w:tc>
        <w:tc>
          <w:tcPr>
            <w:tcW w:w="993" w:type="dxa"/>
            <w:vMerge/>
            <w:tcBorders>
              <w:left w:val="single" w:sz="6" w:space="0" w:color="FF6600"/>
              <w:right w:val="single" w:sz="6" w:space="0" w:color="FF6600"/>
            </w:tcBorders>
            <w:shd w:val="clear" w:color="auto" w:fill="FDE9D9"/>
            <w:vAlign w:val="center"/>
          </w:tcPr>
          <w:p w:rsidR="00A14A34" w:rsidRPr="00035682" w:rsidRDefault="00A14A34" w:rsidP="006E677E">
            <w:pPr>
              <w:snapToGrid w:val="0"/>
              <w:jc w:val="center"/>
              <w:rPr>
                <w:rFonts w:ascii="楷体" w:eastAsia="楷体" w:hAnsi="楷体"/>
                <w:color w:val="000000"/>
                <w:sz w:val="18"/>
                <w:szCs w:val="18"/>
              </w:rPr>
            </w:pPr>
          </w:p>
        </w:tc>
        <w:tc>
          <w:tcPr>
            <w:tcW w:w="850"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150033</w:t>
            </w:r>
          </w:p>
        </w:tc>
        <w:tc>
          <w:tcPr>
            <w:tcW w:w="1843"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嘉实多利进取</w:t>
            </w:r>
          </w:p>
        </w:tc>
        <w:tc>
          <w:tcPr>
            <w:tcW w:w="709" w:type="dxa"/>
            <w:tcBorders>
              <w:left w:val="single" w:sz="6" w:space="0" w:color="FF6600"/>
              <w:right w:val="single" w:sz="6" w:space="0" w:color="FF6600"/>
            </w:tcBorders>
            <w:vAlign w:val="center"/>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开放式</w:t>
            </w:r>
          </w:p>
        </w:tc>
        <w:tc>
          <w:tcPr>
            <w:tcW w:w="850" w:type="dxa"/>
            <w:tcBorders>
              <w:lef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3.38</w:t>
            </w:r>
          </w:p>
        </w:tc>
      </w:tr>
      <w:tr w:rsidR="00A14A34" w:rsidRPr="00035682" w:rsidTr="001C1C98">
        <w:trPr>
          <w:cantSplit/>
          <w:trHeight w:val="227"/>
        </w:trPr>
        <w:tc>
          <w:tcPr>
            <w:tcW w:w="851" w:type="dxa"/>
            <w:vMerge/>
            <w:tcBorders>
              <w:right w:val="single" w:sz="6" w:space="0" w:color="FF6600"/>
            </w:tcBorders>
            <w:shd w:val="clear" w:color="auto" w:fill="FDE9D9"/>
            <w:vAlign w:val="center"/>
          </w:tcPr>
          <w:p w:rsidR="00A14A34" w:rsidRPr="00035682" w:rsidRDefault="00A14A34" w:rsidP="006E677E">
            <w:pPr>
              <w:snapToGrid w:val="0"/>
              <w:jc w:val="center"/>
              <w:rPr>
                <w:rFonts w:ascii="楷体" w:eastAsia="楷体" w:hAnsi="楷体"/>
                <w:b/>
                <w:sz w:val="18"/>
                <w:szCs w:val="18"/>
              </w:rPr>
            </w:pPr>
          </w:p>
        </w:tc>
        <w:tc>
          <w:tcPr>
            <w:tcW w:w="851"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160623</w:t>
            </w:r>
          </w:p>
        </w:tc>
        <w:tc>
          <w:tcPr>
            <w:tcW w:w="2551"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鹏华丰利</w:t>
            </w:r>
            <w:r w:rsidRPr="00035682">
              <w:rPr>
                <w:rFonts w:ascii="楷体" w:eastAsia="楷体" w:hAnsi="楷体"/>
                <w:color w:val="000000"/>
                <w:sz w:val="18"/>
                <w:szCs w:val="18"/>
              </w:rPr>
              <w:t>A</w:t>
            </w:r>
          </w:p>
        </w:tc>
        <w:tc>
          <w:tcPr>
            <w:tcW w:w="709" w:type="dxa"/>
            <w:tcBorders>
              <w:left w:val="single" w:sz="6" w:space="0" w:color="FF6600"/>
              <w:right w:val="single" w:sz="6" w:space="0" w:color="FF6600"/>
            </w:tcBorders>
            <w:vAlign w:val="center"/>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0.10</w:t>
            </w:r>
          </w:p>
        </w:tc>
        <w:tc>
          <w:tcPr>
            <w:tcW w:w="993" w:type="dxa"/>
            <w:vMerge/>
            <w:tcBorders>
              <w:left w:val="single" w:sz="6" w:space="0" w:color="FF6600"/>
              <w:right w:val="single" w:sz="6" w:space="0" w:color="FF6600"/>
            </w:tcBorders>
            <w:shd w:val="clear" w:color="auto" w:fill="FDE9D9"/>
            <w:vAlign w:val="center"/>
          </w:tcPr>
          <w:p w:rsidR="00A14A34" w:rsidRPr="00035682" w:rsidRDefault="00A14A34" w:rsidP="006E677E">
            <w:pPr>
              <w:snapToGrid w:val="0"/>
              <w:jc w:val="center"/>
              <w:rPr>
                <w:rFonts w:ascii="楷体" w:eastAsia="楷体" w:hAnsi="楷体"/>
                <w:color w:val="000000"/>
                <w:sz w:val="18"/>
                <w:szCs w:val="18"/>
              </w:rPr>
            </w:pPr>
          </w:p>
        </w:tc>
        <w:tc>
          <w:tcPr>
            <w:tcW w:w="850"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150162</w:t>
            </w:r>
          </w:p>
        </w:tc>
        <w:tc>
          <w:tcPr>
            <w:tcW w:w="1843"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银华永益</w:t>
            </w:r>
            <w:r w:rsidRPr="00035682">
              <w:rPr>
                <w:rFonts w:ascii="楷体" w:eastAsia="楷体" w:hAnsi="楷体"/>
                <w:color w:val="000000"/>
                <w:sz w:val="18"/>
                <w:szCs w:val="18"/>
              </w:rPr>
              <w:t>B</w:t>
            </w:r>
          </w:p>
        </w:tc>
        <w:tc>
          <w:tcPr>
            <w:tcW w:w="709" w:type="dxa"/>
            <w:tcBorders>
              <w:left w:val="single" w:sz="6" w:space="0" w:color="FF6600"/>
              <w:right w:val="single" w:sz="6" w:space="0" w:color="FF6600"/>
            </w:tcBorders>
            <w:vAlign w:val="center"/>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封闭式</w:t>
            </w:r>
          </w:p>
        </w:tc>
        <w:tc>
          <w:tcPr>
            <w:tcW w:w="850" w:type="dxa"/>
            <w:tcBorders>
              <w:lef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3.32</w:t>
            </w:r>
          </w:p>
        </w:tc>
      </w:tr>
      <w:tr w:rsidR="00A14A34" w:rsidRPr="00035682" w:rsidTr="001C1C98">
        <w:trPr>
          <w:cantSplit/>
          <w:trHeight w:val="227"/>
        </w:trPr>
        <w:tc>
          <w:tcPr>
            <w:tcW w:w="851" w:type="dxa"/>
            <w:vMerge w:val="restart"/>
            <w:tcBorders>
              <w:right w:val="single" w:sz="6" w:space="0" w:color="FF6600"/>
            </w:tcBorders>
            <w:shd w:val="clear" w:color="auto" w:fill="FDE9D9"/>
            <w:vAlign w:val="center"/>
          </w:tcPr>
          <w:p w:rsidR="00A14A34" w:rsidRPr="00035682" w:rsidRDefault="00A14A34" w:rsidP="006E677E">
            <w:pPr>
              <w:snapToGrid w:val="0"/>
              <w:jc w:val="center"/>
              <w:rPr>
                <w:rFonts w:ascii="楷体" w:eastAsia="楷体" w:hAnsi="楷体"/>
                <w:b/>
                <w:sz w:val="18"/>
                <w:szCs w:val="18"/>
              </w:rPr>
            </w:pPr>
            <w:r w:rsidRPr="00035682">
              <w:rPr>
                <w:rFonts w:ascii="楷体" w:eastAsia="楷体" w:hAnsi="楷体" w:hint="eastAsia"/>
                <w:b/>
                <w:sz w:val="18"/>
                <w:szCs w:val="18"/>
              </w:rPr>
              <w:t>货币市场</w:t>
            </w:r>
          </w:p>
          <w:p w:rsidR="00A14A34" w:rsidRPr="00035682" w:rsidRDefault="00A14A34" w:rsidP="006E677E">
            <w:pPr>
              <w:snapToGrid w:val="0"/>
              <w:jc w:val="center"/>
              <w:rPr>
                <w:rFonts w:ascii="楷体" w:eastAsia="楷体" w:hAnsi="楷体"/>
                <w:b/>
                <w:color w:val="FF0000"/>
                <w:sz w:val="18"/>
                <w:szCs w:val="18"/>
              </w:rPr>
            </w:pPr>
            <w:r w:rsidRPr="00035682">
              <w:rPr>
                <w:rFonts w:ascii="楷体" w:eastAsia="楷体" w:hAnsi="楷体" w:hint="eastAsia"/>
                <w:b/>
                <w:sz w:val="18"/>
                <w:szCs w:val="18"/>
              </w:rPr>
              <w:t>基金</w:t>
            </w:r>
          </w:p>
        </w:tc>
        <w:tc>
          <w:tcPr>
            <w:tcW w:w="851"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000615</w:t>
            </w:r>
          </w:p>
        </w:tc>
        <w:tc>
          <w:tcPr>
            <w:tcW w:w="2551"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长城工资宝</w:t>
            </w:r>
          </w:p>
        </w:tc>
        <w:tc>
          <w:tcPr>
            <w:tcW w:w="709" w:type="dxa"/>
            <w:tcBorders>
              <w:left w:val="single" w:sz="6" w:space="0" w:color="FF6600"/>
              <w:right w:val="single" w:sz="6" w:space="0" w:color="FF6600"/>
            </w:tcBorders>
            <w:vAlign w:val="center"/>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10.91</w:t>
            </w:r>
          </w:p>
        </w:tc>
        <w:tc>
          <w:tcPr>
            <w:tcW w:w="993" w:type="dxa"/>
            <w:vMerge w:val="restart"/>
            <w:tcBorders>
              <w:left w:val="single" w:sz="6" w:space="0" w:color="FF6600"/>
              <w:right w:val="single" w:sz="6" w:space="0" w:color="FF6600"/>
            </w:tcBorders>
            <w:shd w:val="clear" w:color="auto" w:fill="FDE9D9"/>
            <w:vAlign w:val="center"/>
          </w:tcPr>
          <w:p w:rsidR="00A14A34" w:rsidRPr="00035682" w:rsidRDefault="00A14A34" w:rsidP="006E677E">
            <w:pPr>
              <w:snapToGrid w:val="0"/>
              <w:jc w:val="center"/>
              <w:rPr>
                <w:rFonts w:ascii="楷体" w:eastAsia="楷体" w:hAnsi="楷体"/>
                <w:b/>
                <w:bCs/>
                <w:color w:val="000000"/>
                <w:sz w:val="18"/>
                <w:szCs w:val="18"/>
              </w:rPr>
            </w:pPr>
          </w:p>
        </w:tc>
        <w:tc>
          <w:tcPr>
            <w:tcW w:w="850" w:type="dxa"/>
            <w:tcBorders>
              <w:left w:val="single" w:sz="6" w:space="0" w:color="FF6600"/>
              <w:right w:val="single" w:sz="6" w:space="0" w:color="FF6600"/>
            </w:tcBorders>
            <w:vAlign w:val="center"/>
          </w:tcPr>
          <w:p w:rsidR="00A14A34" w:rsidRPr="00E2246A" w:rsidRDefault="00A14A34" w:rsidP="00E2246A">
            <w:pPr>
              <w:snapToGrid w:val="0"/>
              <w:jc w:val="center"/>
              <w:rPr>
                <w:rFonts w:ascii="楷体" w:eastAsia="楷体" w:hAnsi="楷体" w:cs="宋体"/>
                <w:color w:val="FF0000"/>
                <w:sz w:val="18"/>
                <w:szCs w:val="18"/>
              </w:rPr>
            </w:pPr>
          </w:p>
        </w:tc>
        <w:tc>
          <w:tcPr>
            <w:tcW w:w="1843" w:type="dxa"/>
            <w:tcBorders>
              <w:left w:val="single" w:sz="6" w:space="0" w:color="FF6600"/>
              <w:right w:val="single" w:sz="6" w:space="0" w:color="FF6600"/>
            </w:tcBorders>
            <w:vAlign w:val="center"/>
          </w:tcPr>
          <w:p w:rsidR="00A14A34" w:rsidRPr="00E2246A" w:rsidRDefault="00A14A34" w:rsidP="00E2246A">
            <w:pPr>
              <w:snapToGrid w:val="0"/>
              <w:jc w:val="center"/>
              <w:rPr>
                <w:rFonts w:ascii="楷体" w:eastAsia="楷体" w:hAnsi="楷体" w:cs="宋体"/>
                <w:color w:val="FF0000"/>
                <w:sz w:val="18"/>
                <w:szCs w:val="18"/>
              </w:rPr>
            </w:pPr>
          </w:p>
        </w:tc>
        <w:tc>
          <w:tcPr>
            <w:tcW w:w="709" w:type="dxa"/>
            <w:tcBorders>
              <w:left w:val="single" w:sz="6" w:space="0" w:color="FF6600"/>
              <w:right w:val="single" w:sz="6" w:space="0" w:color="FF6600"/>
            </w:tcBorders>
            <w:vAlign w:val="center"/>
          </w:tcPr>
          <w:p w:rsidR="00A14A34" w:rsidRPr="00E2246A" w:rsidRDefault="00A14A34" w:rsidP="00E2246A">
            <w:pPr>
              <w:snapToGrid w:val="0"/>
              <w:jc w:val="center"/>
              <w:rPr>
                <w:rFonts w:ascii="楷体" w:eastAsia="楷体" w:hAnsi="楷体" w:cs="宋体"/>
                <w:color w:val="FF0000"/>
                <w:sz w:val="18"/>
                <w:szCs w:val="18"/>
              </w:rPr>
            </w:pPr>
          </w:p>
        </w:tc>
        <w:tc>
          <w:tcPr>
            <w:tcW w:w="850" w:type="dxa"/>
            <w:tcBorders>
              <w:left w:val="single" w:sz="6" w:space="0" w:color="FF6600"/>
            </w:tcBorders>
            <w:vAlign w:val="center"/>
          </w:tcPr>
          <w:p w:rsidR="00A14A34" w:rsidRPr="00E2246A" w:rsidRDefault="00A14A34" w:rsidP="00E2246A">
            <w:pPr>
              <w:snapToGrid w:val="0"/>
              <w:jc w:val="center"/>
              <w:rPr>
                <w:rFonts w:ascii="楷体" w:eastAsia="楷体" w:hAnsi="楷体" w:cs="宋体"/>
                <w:color w:val="FF0000"/>
                <w:sz w:val="18"/>
                <w:szCs w:val="18"/>
              </w:rPr>
            </w:pPr>
          </w:p>
        </w:tc>
      </w:tr>
      <w:tr w:rsidR="00A14A34" w:rsidRPr="00035682" w:rsidTr="001C1C98">
        <w:trPr>
          <w:cantSplit/>
          <w:trHeight w:val="227"/>
        </w:trPr>
        <w:tc>
          <w:tcPr>
            <w:tcW w:w="851" w:type="dxa"/>
            <w:vMerge/>
            <w:tcBorders>
              <w:right w:val="single" w:sz="6" w:space="0" w:color="FF6600"/>
            </w:tcBorders>
            <w:shd w:val="clear" w:color="auto" w:fill="FDE9D9"/>
            <w:vAlign w:val="center"/>
          </w:tcPr>
          <w:p w:rsidR="00A14A34" w:rsidRPr="00035682" w:rsidRDefault="00A14A34" w:rsidP="006E677E">
            <w:pPr>
              <w:snapToGrid w:val="0"/>
              <w:jc w:val="center"/>
              <w:rPr>
                <w:rFonts w:ascii="楷体" w:eastAsia="楷体" w:hAnsi="楷体"/>
                <w:b/>
                <w:color w:val="FF0000"/>
                <w:sz w:val="18"/>
                <w:szCs w:val="18"/>
              </w:rPr>
            </w:pPr>
          </w:p>
        </w:tc>
        <w:tc>
          <w:tcPr>
            <w:tcW w:w="851"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000495</w:t>
            </w:r>
          </w:p>
        </w:tc>
        <w:tc>
          <w:tcPr>
            <w:tcW w:w="2551"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南方现金通</w:t>
            </w:r>
            <w:r w:rsidRPr="00035682">
              <w:rPr>
                <w:rFonts w:ascii="楷体" w:eastAsia="楷体" w:hAnsi="楷体"/>
                <w:color w:val="000000"/>
                <w:sz w:val="18"/>
                <w:szCs w:val="18"/>
              </w:rPr>
              <w:t>C</w:t>
            </w:r>
          </w:p>
        </w:tc>
        <w:tc>
          <w:tcPr>
            <w:tcW w:w="709" w:type="dxa"/>
            <w:tcBorders>
              <w:left w:val="single" w:sz="6" w:space="0" w:color="FF6600"/>
              <w:right w:val="single" w:sz="6" w:space="0" w:color="FF6600"/>
            </w:tcBorders>
            <w:vAlign w:val="center"/>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8.59</w:t>
            </w:r>
          </w:p>
        </w:tc>
        <w:tc>
          <w:tcPr>
            <w:tcW w:w="993" w:type="dxa"/>
            <w:vMerge/>
            <w:tcBorders>
              <w:left w:val="single" w:sz="6" w:space="0" w:color="FF6600"/>
              <w:right w:val="single" w:sz="6" w:space="0" w:color="FF6600"/>
            </w:tcBorders>
            <w:shd w:val="clear" w:color="auto" w:fill="FDE9D9"/>
            <w:vAlign w:val="center"/>
          </w:tcPr>
          <w:p w:rsidR="00A14A34" w:rsidRPr="00035682" w:rsidRDefault="00A14A34" w:rsidP="006E677E">
            <w:pPr>
              <w:snapToGrid w:val="0"/>
              <w:jc w:val="center"/>
              <w:rPr>
                <w:rFonts w:ascii="楷体" w:eastAsia="楷体" w:hAnsi="楷体"/>
                <w:b/>
                <w:sz w:val="18"/>
                <w:szCs w:val="18"/>
              </w:rPr>
            </w:pPr>
          </w:p>
        </w:tc>
        <w:tc>
          <w:tcPr>
            <w:tcW w:w="850" w:type="dxa"/>
            <w:tcBorders>
              <w:left w:val="single" w:sz="6" w:space="0" w:color="FF6600"/>
              <w:right w:val="single" w:sz="6" w:space="0" w:color="FF6600"/>
            </w:tcBorders>
            <w:vAlign w:val="center"/>
          </w:tcPr>
          <w:p w:rsidR="00A14A34" w:rsidRPr="00035682" w:rsidRDefault="00A14A34" w:rsidP="00E2246A">
            <w:pPr>
              <w:snapToGrid w:val="0"/>
              <w:jc w:val="center"/>
              <w:rPr>
                <w:rFonts w:ascii="楷体" w:eastAsia="楷体" w:hAnsi="楷体"/>
                <w:color w:val="FF0000"/>
                <w:sz w:val="18"/>
                <w:szCs w:val="18"/>
              </w:rPr>
            </w:pPr>
          </w:p>
        </w:tc>
        <w:tc>
          <w:tcPr>
            <w:tcW w:w="1843" w:type="dxa"/>
            <w:tcBorders>
              <w:left w:val="single" w:sz="6" w:space="0" w:color="FF6600"/>
              <w:right w:val="single" w:sz="6" w:space="0" w:color="FF6600"/>
            </w:tcBorders>
            <w:vAlign w:val="center"/>
          </w:tcPr>
          <w:p w:rsidR="00A14A34" w:rsidRPr="00035682" w:rsidRDefault="00A14A34" w:rsidP="00E2246A">
            <w:pPr>
              <w:snapToGrid w:val="0"/>
              <w:jc w:val="center"/>
              <w:rPr>
                <w:rFonts w:ascii="楷体" w:eastAsia="楷体" w:hAnsi="楷体"/>
                <w:color w:val="FF0000"/>
                <w:sz w:val="18"/>
                <w:szCs w:val="18"/>
              </w:rPr>
            </w:pPr>
          </w:p>
        </w:tc>
        <w:tc>
          <w:tcPr>
            <w:tcW w:w="709" w:type="dxa"/>
            <w:tcBorders>
              <w:left w:val="single" w:sz="6" w:space="0" w:color="FF6600"/>
              <w:right w:val="single" w:sz="6" w:space="0" w:color="FF6600"/>
            </w:tcBorders>
            <w:vAlign w:val="center"/>
          </w:tcPr>
          <w:p w:rsidR="00A14A34" w:rsidRPr="00035682" w:rsidRDefault="00A14A34" w:rsidP="00E2246A">
            <w:pPr>
              <w:snapToGrid w:val="0"/>
              <w:jc w:val="center"/>
              <w:rPr>
                <w:rFonts w:ascii="楷体" w:eastAsia="楷体" w:hAnsi="楷体"/>
                <w:color w:val="FF0000"/>
                <w:sz w:val="18"/>
                <w:szCs w:val="18"/>
              </w:rPr>
            </w:pPr>
          </w:p>
        </w:tc>
        <w:tc>
          <w:tcPr>
            <w:tcW w:w="850" w:type="dxa"/>
            <w:tcBorders>
              <w:left w:val="single" w:sz="6" w:space="0" w:color="FF6600"/>
            </w:tcBorders>
            <w:vAlign w:val="center"/>
          </w:tcPr>
          <w:p w:rsidR="00A14A34" w:rsidRPr="00035682" w:rsidRDefault="00A14A34" w:rsidP="00E2246A">
            <w:pPr>
              <w:snapToGrid w:val="0"/>
              <w:jc w:val="center"/>
              <w:rPr>
                <w:rFonts w:ascii="楷体" w:eastAsia="楷体" w:hAnsi="楷体"/>
                <w:color w:val="FF0000"/>
                <w:sz w:val="18"/>
                <w:szCs w:val="18"/>
              </w:rPr>
            </w:pPr>
          </w:p>
        </w:tc>
      </w:tr>
      <w:tr w:rsidR="00A14A34" w:rsidRPr="00035682" w:rsidTr="001C1C98">
        <w:trPr>
          <w:cantSplit/>
          <w:trHeight w:val="227"/>
        </w:trPr>
        <w:tc>
          <w:tcPr>
            <w:tcW w:w="851" w:type="dxa"/>
            <w:vMerge/>
            <w:tcBorders>
              <w:right w:val="single" w:sz="6" w:space="0" w:color="FF6600"/>
            </w:tcBorders>
            <w:shd w:val="clear" w:color="auto" w:fill="FDE9D9"/>
            <w:vAlign w:val="center"/>
          </w:tcPr>
          <w:p w:rsidR="00A14A34" w:rsidRPr="00035682" w:rsidRDefault="00A14A34" w:rsidP="006E677E">
            <w:pPr>
              <w:snapToGrid w:val="0"/>
              <w:jc w:val="center"/>
              <w:rPr>
                <w:rFonts w:ascii="楷体" w:eastAsia="楷体" w:hAnsi="楷体"/>
                <w:b/>
                <w:color w:val="FF0000"/>
                <w:sz w:val="18"/>
                <w:szCs w:val="18"/>
              </w:rPr>
            </w:pPr>
          </w:p>
        </w:tc>
        <w:tc>
          <w:tcPr>
            <w:tcW w:w="851"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000494</w:t>
            </w:r>
          </w:p>
        </w:tc>
        <w:tc>
          <w:tcPr>
            <w:tcW w:w="2551"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南方现金通</w:t>
            </w:r>
            <w:r w:rsidRPr="00035682">
              <w:rPr>
                <w:rFonts w:ascii="楷体" w:eastAsia="楷体" w:hAnsi="楷体"/>
                <w:color w:val="000000"/>
                <w:sz w:val="18"/>
                <w:szCs w:val="18"/>
              </w:rPr>
              <w:t>B</w:t>
            </w:r>
          </w:p>
        </w:tc>
        <w:tc>
          <w:tcPr>
            <w:tcW w:w="709" w:type="dxa"/>
            <w:tcBorders>
              <w:left w:val="single" w:sz="6" w:space="0" w:color="FF6600"/>
              <w:right w:val="single" w:sz="6" w:space="0" w:color="FF6600"/>
            </w:tcBorders>
            <w:vAlign w:val="center"/>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tcPr>
          <w:p w:rsidR="00A14A34" w:rsidRPr="00E2246A" w:rsidRDefault="00A14A34" w:rsidP="00E2246A">
            <w:pPr>
              <w:jc w:val="center"/>
              <w:rPr>
                <w:rFonts w:ascii="楷体" w:eastAsia="楷体" w:hAnsi="楷体" w:cs="宋体"/>
                <w:color w:val="000000"/>
                <w:sz w:val="18"/>
                <w:szCs w:val="18"/>
              </w:rPr>
            </w:pPr>
            <w:r w:rsidRPr="00035682">
              <w:rPr>
                <w:rFonts w:ascii="楷体" w:eastAsia="楷体" w:hAnsi="楷体"/>
                <w:color w:val="000000"/>
                <w:sz w:val="18"/>
                <w:szCs w:val="18"/>
              </w:rPr>
              <w:t>8.50</w:t>
            </w:r>
          </w:p>
        </w:tc>
        <w:tc>
          <w:tcPr>
            <w:tcW w:w="993" w:type="dxa"/>
            <w:vMerge/>
            <w:tcBorders>
              <w:left w:val="single" w:sz="6" w:space="0" w:color="FF6600"/>
              <w:right w:val="single" w:sz="6" w:space="0" w:color="FF6600"/>
            </w:tcBorders>
            <w:shd w:val="clear" w:color="auto" w:fill="FDE9D9"/>
            <w:vAlign w:val="center"/>
          </w:tcPr>
          <w:p w:rsidR="00A14A34" w:rsidRPr="00035682" w:rsidRDefault="00A14A34" w:rsidP="006E677E">
            <w:pPr>
              <w:snapToGrid w:val="0"/>
              <w:jc w:val="center"/>
              <w:rPr>
                <w:rFonts w:ascii="楷体" w:eastAsia="楷体" w:hAnsi="楷体"/>
                <w:b/>
                <w:sz w:val="18"/>
                <w:szCs w:val="18"/>
              </w:rPr>
            </w:pPr>
          </w:p>
        </w:tc>
        <w:tc>
          <w:tcPr>
            <w:tcW w:w="850" w:type="dxa"/>
            <w:tcBorders>
              <w:left w:val="single" w:sz="6" w:space="0" w:color="FF6600"/>
              <w:right w:val="single" w:sz="6" w:space="0" w:color="FF6600"/>
            </w:tcBorders>
            <w:vAlign w:val="center"/>
          </w:tcPr>
          <w:p w:rsidR="00A14A34" w:rsidRPr="00035682" w:rsidRDefault="00A14A34" w:rsidP="00E2246A">
            <w:pPr>
              <w:snapToGrid w:val="0"/>
              <w:jc w:val="center"/>
              <w:rPr>
                <w:rFonts w:ascii="楷体" w:eastAsia="楷体" w:hAnsi="楷体"/>
                <w:color w:val="FF0000"/>
                <w:sz w:val="18"/>
                <w:szCs w:val="18"/>
              </w:rPr>
            </w:pPr>
          </w:p>
        </w:tc>
        <w:tc>
          <w:tcPr>
            <w:tcW w:w="1843" w:type="dxa"/>
            <w:tcBorders>
              <w:left w:val="single" w:sz="6" w:space="0" w:color="FF6600"/>
              <w:right w:val="single" w:sz="6" w:space="0" w:color="FF6600"/>
            </w:tcBorders>
            <w:vAlign w:val="center"/>
          </w:tcPr>
          <w:p w:rsidR="00A14A34" w:rsidRPr="00035682" w:rsidRDefault="00A14A34" w:rsidP="00E2246A">
            <w:pPr>
              <w:snapToGrid w:val="0"/>
              <w:jc w:val="center"/>
              <w:rPr>
                <w:rFonts w:ascii="楷体" w:eastAsia="楷体" w:hAnsi="楷体"/>
                <w:color w:val="FF0000"/>
                <w:sz w:val="18"/>
                <w:szCs w:val="18"/>
              </w:rPr>
            </w:pPr>
          </w:p>
        </w:tc>
        <w:tc>
          <w:tcPr>
            <w:tcW w:w="709" w:type="dxa"/>
            <w:tcBorders>
              <w:left w:val="single" w:sz="6" w:space="0" w:color="FF6600"/>
              <w:right w:val="single" w:sz="6" w:space="0" w:color="FF6600"/>
            </w:tcBorders>
            <w:vAlign w:val="center"/>
          </w:tcPr>
          <w:p w:rsidR="00A14A34" w:rsidRPr="00035682" w:rsidRDefault="00A14A34" w:rsidP="00E2246A">
            <w:pPr>
              <w:snapToGrid w:val="0"/>
              <w:jc w:val="center"/>
              <w:rPr>
                <w:rFonts w:ascii="楷体" w:eastAsia="楷体" w:hAnsi="楷体"/>
                <w:color w:val="FF0000"/>
                <w:sz w:val="18"/>
                <w:szCs w:val="18"/>
              </w:rPr>
            </w:pPr>
          </w:p>
        </w:tc>
        <w:tc>
          <w:tcPr>
            <w:tcW w:w="850" w:type="dxa"/>
            <w:tcBorders>
              <w:left w:val="single" w:sz="6" w:space="0" w:color="FF6600"/>
            </w:tcBorders>
            <w:vAlign w:val="center"/>
          </w:tcPr>
          <w:p w:rsidR="00A14A34" w:rsidRPr="00035682" w:rsidRDefault="00A14A34" w:rsidP="00E2246A">
            <w:pPr>
              <w:snapToGrid w:val="0"/>
              <w:jc w:val="center"/>
              <w:rPr>
                <w:rFonts w:ascii="楷体" w:eastAsia="楷体" w:hAnsi="楷体"/>
                <w:color w:val="FF0000"/>
                <w:sz w:val="18"/>
                <w:szCs w:val="18"/>
              </w:rPr>
            </w:pPr>
          </w:p>
        </w:tc>
      </w:tr>
    </w:tbl>
    <w:p w:rsidR="00A14A34" w:rsidRPr="005B7CDB" w:rsidRDefault="00A14A34" w:rsidP="008177CF">
      <w:pPr>
        <w:pStyle w:val="FootnoteNoline"/>
        <w:ind w:left="0"/>
        <w:rPr>
          <w:rFonts w:ascii="楷体" w:eastAsia="楷体" w:hAnsi="楷体"/>
          <w:color w:val="FF6600"/>
          <w:lang w:val="en-US"/>
        </w:rPr>
      </w:pPr>
      <w:r w:rsidRPr="005B7CDB">
        <w:rPr>
          <w:rFonts w:ascii="楷体" w:eastAsia="楷体" w:hAnsi="楷体" w:hint="eastAsia"/>
          <w:color w:val="FF6600"/>
          <w:lang w:val="en-US"/>
        </w:rPr>
        <w:t>来源：凯石财富工场</w:t>
      </w:r>
    </w:p>
    <w:p w:rsidR="00A14A34" w:rsidRPr="005B7CDB" w:rsidRDefault="00A14A34" w:rsidP="009F0008">
      <w:pPr>
        <w:widowControl/>
        <w:jc w:val="left"/>
        <w:rPr>
          <w:rFonts w:ascii="楷体" w:eastAsia="楷体" w:hAnsi="楷体"/>
          <w:b/>
          <w:szCs w:val="21"/>
        </w:rPr>
      </w:pPr>
      <w:r w:rsidRPr="005B7CDB">
        <w:rPr>
          <w:rFonts w:ascii="楷体" w:eastAsia="楷体" w:hAnsi="楷体"/>
          <w:b/>
          <w:kern w:val="0"/>
          <w:szCs w:val="20"/>
          <w:lang w:val="en-GB"/>
        </w:rPr>
        <w:br w:type="page"/>
      </w:r>
      <w:r w:rsidRPr="005B7CDB">
        <w:rPr>
          <w:rFonts w:ascii="楷体" w:eastAsia="楷体" w:hAnsi="楷体" w:cs="宋体" w:hint="eastAsia"/>
          <w:b/>
          <w:kern w:val="0"/>
          <w:szCs w:val="20"/>
          <w:lang w:val="en-GB"/>
        </w:rPr>
        <w:t>特别声明：</w:t>
      </w:r>
    </w:p>
    <w:p w:rsidR="00A14A34" w:rsidRPr="005B7CDB" w:rsidRDefault="00A14A34" w:rsidP="00035682">
      <w:pPr>
        <w:pStyle w:val="a4"/>
        <w:spacing w:beforeLines="50" w:after="312"/>
        <w:rPr>
          <w:rFonts w:ascii="楷体" w:eastAsia="楷体" w:hAnsi="楷体"/>
          <w:kern w:val="0"/>
          <w:sz w:val="21"/>
          <w:szCs w:val="20"/>
          <w:lang w:val="en-GB"/>
        </w:rPr>
      </w:pPr>
      <w:r w:rsidRPr="005B7CDB">
        <w:rPr>
          <w:rFonts w:ascii="楷体" w:eastAsia="楷体" w:hAnsi="楷体" w:hint="eastAsia"/>
          <w:kern w:val="0"/>
          <w:sz w:val="21"/>
          <w:szCs w:val="20"/>
          <w:lang w:val="en-GB"/>
        </w:rPr>
        <w:t>本报告中的所有内容版权均属上海凯石财富投资管理有限公司（以下简称“本公司”），未经本公司事先书面授权，不得以任何方式修改、发送或者复制本报告及其所包含的材料、内容。所有本报告中使用的商标、服务标记及标记均为本公司的商标、服务标记及标记。如欲引用或转载本文内容，务必联络本公司研究中心并获得许可，并需注明出处为上海凯石财富投资有限公司研究中心，且不得对本文进行任何有悖原意的引用和删改。</w:t>
      </w:r>
    </w:p>
    <w:p w:rsidR="00A14A34" w:rsidRPr="005B7CDB" w:rsidRDefault="00A14A34" w:rsidP="00035682">
      <w:pPr>
        <w:pStyle w:val="a4"/>
        <w:spacing w:beforeLines="50" w:after="312"/>
        <w:rPr>
          <w:rFonts w:ascii="楷体" w:eastAsia="楷体" w:hAnsi="楷体"/>
          <w:kern w:val="0"/>
          <w:sz w:val="21"/>
          <w:szCs w:val="20"/>
          <w:lang w:val="en-GB"/>
        </w:rPr>
      </w:pPr>
      <w:r w:rsidRPr="005B7CDB">
        <w:rPr>
          <w:rFonts w:ascii="楷体" w:eastAsia="楷体" w:hAnsi="楷体" w:hint="eastAsia"/>
          <w:kern w:val="0"/>
          <w:sz w:val="21"/>
          <w:szCs w:val="20"/>
          <w:lang w:val="en-GB"/>
        </w:rPr>
        <w:t>本报告是基于已公开信息撰写，其所载资料的来源及观点的出处均被本公司认为可靠，但本公司不保证其准确性或完整性。本报告所载的资料、意见及推测反映本公司于最初发布此报告日期当日的判断，其所指的基金或者其他理财产品的价格、价值及投资收入可能会波动，在不同时期，本公司可发出与本报告所载资料、意见及推测不一致的报告。</w:t>
      </w:r>
    </w:p>
    <w:p w:rsidR="00A14A34" w:rsidRPr="005B7CDB" w:rsidRDefault="00A14A34" w:rsidP="00035682">
      <w:pPr>
        <w:pStyle w:val="a4"/>
        <w:spacing w:beforeLines="50" w:after="312"/>
        <w:rPr>
          <w:rFonts w:ascii="楷体" w:eastAsia="楷体" w:hAnsi="楷体"/>
          <w:kern w:val="0"/>
          <w:sz w:val="21"/>
          <w:szCs w:val="20"/>
          <w:lang w:val="en-GB"/>
        </w:rPr>
      </w:pPr>
      <w:r w:rsidRPr="005B7CDB">
        <w:rPr>
          <w:rFonts w:ascii="楷体" w:eastAsia="楷体" w:hAnsi="楷体" w:hint="eastAsia"/>
          <w:kern w:val="0"/>
          <w:sz w:val="21"/>
          <w:szCs w:val="20"/>
          <w:lang w:val="en-GB"/>
        </w:rPr>
        <w:t>本报告所载的除法律或规则规定必须承担的责任外，本公司不对因使用此报告的材料而引致的损失负任何责任。本报告不构成私人咨询建议，也没有考虑到个别客户特殊的投资目标、财务状况或需要。本报告所载的资料、工具、意见及推测只提供给客户做参考之用，并未作为或被是为出售或购买其他投资标的邀请或向他人做出邀请。</w:t>
      </w:r>
    </w:p>
    <w:p w:rsidR="00A14A34" w:rsidRPr="005B7CDB" w:rsidRDefault="00A14A34">
      <w:pPr>
        <w:rPr>
          <w:rFonts w:ascii="楷体" w:eastAsia="楷体" w:hAnsi="楷体"/>
          <w:lang w:val="en-GB"/>
        </w:rPr>
      </w:pPr>
    </w:p>
    <w:sectPr w:rsidR="00A14A34" w:rsidRPr="005B7CDB" w:rsidSect="00D4319D">
      <w:headerReference w:type="default" r:id="rId11"/>
      <w:footerReference w:type="default" r:id="rId12"/>
      <w:headerReference w:type="first" r:id="rId13"/>
      <w:footerReference w:type="first" r:id="rId14"/>
      <w:pgSz w:w="11906" w:h="16838"/>
      <w:pgMar w:top="1440" w:right="624" w:bottom="1440" w:left="624" w:header="850" w:footer="283"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4A34" w:rsidRDefault="00A14A34" w:rsidP="00B10000">
      <w:r>
        <w:separator/>
      </w:r>
    </w:p>
  </w:endnote>
  <w:endnote w:type="continuationSeparator" w:id="0">
    <w:p w:rsidR="00A14A34" w:rsidRDefault="00A14A34" w:rsidP="00B1000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KaiTi_GB2312">
    <w:panose1 w:val="02010609060101010101"/>
    <w:charset w:val="86"/>
    <w:family w:val="modern"/>
    <w:pitch w:val="fixed"/>
    <w:sig w:usb0="00000003" w:usb1="080E0000" w:usb2="0000001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onotype Sorts">
    <w:altName w:val="Courier New"/>
    <w:panose1 w:val="00000000000000000000"/>
    <w:charset w:val="02"/>
    <w:family w:val="auto"/>
    <w:notTrueType/>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华文楷体">
    <w:panose1 w:val="02010600040101010101"/>
    <w:charset w:val="86"/>
    <w:family w:val="auto"/>
    <w:pitch w:val="variable"/>
    <w:sig w:usb0="00000287" w:usb1="080F0000" w:usb2="00000010" w:usb3="00000000" w:csb0="0004009F" w:csb1="00000000"/>
  </w:font>
  <w:font w:name="华文新魏">
    <w:panose1 w:val="02010800040101010101"/>
    <w:charset w:val="86"/>
    <w:family w:val="auto"/>
    <w:pitch w:val="variable"/>
    <w:sig w:usb0="00000001" w:usb1="080F0000" w:usb2="00000010" w:usb3="00000000" w:csb0="00040000" w:csb1="00000000"/>
  </w:font>
  <w:font w:name="华文隶书">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AFF" w:usb1="C0007843" w:usb2="00000009" w:usb3="00000000" w:csb0="000001FF" w:csb1="00000000"/>
  </w:font>
  <w:font w:name="LucidaSans">
    <w:altName w:val="Times New Roman"/>
    <w:panose1 w:val="00000000000000000000"/>
    <w:charset w:val="00"/>
    <w:family w:val="auto"/>
    <w:notTrueType/>
    <w:pitch w:val="variable"/>
    <w:sig w:usb0="00000003" w:usb1="00000000" w:usb2="00000000" w:usb3="00000000" w:csb0="00000001" w:csb1="00000000"/>
  </w:font>
  <w:font w:name="KaiTi_GB2312">
    <w:altName w:val="MS Gothic"/>
    <w:panose1 w:val="02010609060101010101"/>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A34" w:rsidRDefault="00A14A34">
    <w:pPr>
      <w:pStyle w:val="Footer"/>
      <w:jc w:val="center"/>
    </w:pPr>
    <w:r>
      <w:pict>
        <v:rect id="_x0000_i1032" style="width:571.2pt;height:2pt" o:hralign="center" o:hrstd="t" o:hrnoshade="t" o:hr="t" fillcolor="#e7a631" stroked="f"/>
      </w:pict>
    </w:r>
    <w:r>
      <w:rPr>
        <w:lang w:val="zh-CN"/>
      </w:rPr>
      <w:t xml:space="preserve"> </w:t>
    </w:r>
    <w:r>
      <w:rPr>
        <w:b/>
      </w:rPr>
      <w:fldChar w:fldCharType="begin"/>
    </w:r>
    <w:r>
      <w:rPr>
        <w:b/>
      </w:rPr>
      <w:instrText>PAGE</w:instrText>
    </w:r>
    <w:r>
      <w:rPr>
        <w:b/>
      </w:rPr>
      <w:fldChar w:fldCharType="separate"/>
    </w:r>
    <w:r>
      <w:rPr>
        <w:b/>
        <w:noProof/>
      </w:rPr>
      <w:t>5</w:t>
    </w:r>
    <w:r>
      <w:rPr>
        <w:b/>
      </w:rPr>
      <w:fldChar w:fldCharType="end"/>
    </w:r>
    <w:r>
      <w:rPr>
        <w:lang w:val="zh-CN"/>
      </w:rPr>
      <w:t xml:space="preserve"> / </w:t>
    </w:r>
    <w:r>
      <w:rPr>
        <w:b/>
      </w:rPr>
      <w:fldChar w:fldCharType="begin"/>
    </w:r>
    <w:r>
      <w:rPr>
        <w:b/>
      </w:rPr>
      <w:instrText>NUMPAGES</w:instrText>
    </w:r>
    <w:r>
      <w:rPr>
        <w:b/>
      </w:rPr>
      <w:fldChar w:fldCharType="separate"/>
    </w:r>
    <w:r>
      <w:rPr>
        <w:b/>
        <w:noProof/>
      </w:rPr>
      <w:t>5</w:t>
    </w:r>
    <w:r>
      <w:rPr>
        <w:b/>
      </w:rPr>
      <w:fldChar w:fldCharType="end"/>
    </w:r>
  </w:p>
  <w:p w:rsidR="00A14A34" w:rsidRDefault="00A14A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A34" w:rsidRDefault="00A14A34">
    <w:pPr>
      <w:pStyle w:val="Footer"/>
      <w:jc w:val="center"/>
    </w:pPr>
    <w:r>
      <w:pict>
        <v:rect id="_x0000_i1041" style="width:571.2pt;height:2pt" o:hralign="center" o:hrstd="t" o:hrnoshade="t" o:hr="t" fillcolor="#e7a631" stroked="f"/>
      </w:pict>
    </w:r>
    <w:r>
      <w:rPr>
        <w:lang w:val="zh-CN"/>
      </w:rPr>
      <w:t xml:space="preserve"> </w:t>
    </w:r>
    <w:r>
      <w:rPr>
        <w:b/>
      </w:rPr>
      <w:fldChar w:fldCharType="begin"/>
    </w:r>
    <w:r>
      <w:rPr>
        <w:b/>
      </w:rPr>
      <w:instrText>PAGE</w:instrText>
    </w:r>
    <w:r>
      <w:rPr>
        <w:b/>
      </w:rPr>
      <w:fldChar w:fldCharType="separate"/>
    </w:r>
    <w:r>
      <w:rPr>
        <w:b/>
        <w:noProof/>
      </w:rPr>
      <w:t>1</w:t>
    </w:r>
    <w:r>
      <w:rPr>
        <w:b/>
      </w:rPr>
      <w:fldChar w:fldCharType="end"/>
    </w:r>
    <w:r>
      <w:rPr>
        <w:lang w:val="zh-CN"/>
      </w:rPr>
      <w:t xml:space="preserve"> / </w:t>
    </w:r>
    <w:r>
      <w:rPr>
        <w:b/>
      </w:rPr>
      <w:fldChar w:fldCharType="begin"/>
    </w:r>
    <w:r>
      <w:rPr>
        <w:b/>
      </w:rPr>
      <w:instrText>NUMPAGES</w:instrText>
    </w:r>
    <w:r>
      <w:rPr>
        <w:b/>
      </w:rPr>
      <w:fldChar w:fldCharType="separate"/>
    </w:r>
    <w:r>
      <w:rPr>
        <w:b/>
        <w:noProof/>
      </w:rPr>
      <w:t>5</w:t>
    </w:r>
    <w:r>
      <w:rPr>
        <w:b/>
      </w:rPr>
      <w:fldChar w:fldCharType="end"/>
    </w:r>
  </w:p>
  <w:p w:rsidR="00A14A34" w:rsidRDefault="00A14A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4A34" w:rsidRDefault="00A14A34" w:rsidP="00B10000">
      <w:r>
        <w:separator/>
      </w:r>
    </w:p>
  </w:footnote>
  <w:footnote w:type="continuationSeparator" w:id="0">
    <w:p w:rsidR="00A14A34" w:rsidRDefault="00A14A34" w:rsidP="00B100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A34" w:rsidRDefault="00A14A34" w:rsidP="00B10000">
    <w:pPr>
      <w:pStyle w:val="Header"/>
      <w:pBdr>
        <w:bottom w:val="none" w:sz="0" w:space="0" w:color="auto"/>
      </w:pBdr>
    </w:pPr>
    <w:r>
      <w:rPr>
        <w:noProof/>
      </w:rPr>
      <w:pict>
        <v:group id="_x0000_s2049" style="position:absolute;left:0;text-align:left;margin-left:5.2pt;margin-top:-32.25pt;width:531.2pt;height:37.5pt;z-index:251660288" coordorigin="728,206" coordsize="10624,750">
          <v:shapetype id="_x0000_t202" coordsize="21600,21600" o:spt="202" path="m,l,21600r21600,l21600,xe">
            <v:stroke joinstyle="miter"/>
            <v:path gradientshapeok="t" o:connecttype="rect"/>
          </v:shapetype>
          <v:shape id="_x0000_s2050" type="#_x0000_t202" style="position:absolute;left:728;top:206;width:1336;height:724" strokecolor="white">
            <v:textbox style="mso-next-textbox:#_x0000_s2050">
              <w:txbxContent>
                <w:p w:rsidR="00A14A34" w:rsidRDefault="00A14A34" w:rsidP="00B10000">
                  <w:pPr>
                    <w:pStyle w:val="12"/>
                  </w:pPr>
                  <w:r w:rsidRPr="00B1117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凯石工2.jpg" style="width:42pt;height:29.25pt;visibility:visible">
                        <v:imagedata r:id="rId1" o:title=""/>
                      </v:shape>
                    </w:pict>
                  </w:r>
                </w:p>
              </w:txbxContent>
            </v:textbox>
          </v:shape>
          <v:shape id="_x0000_s2051" type="#_x0000_t202" style="position:absolute;left:5999;top:542;width:5353;height:414" strokecolor="white">
            <v:textbox style="mso-next-textbox:#_x0000_s2051">
              <w:txbxContent>
                <w:p w:rsidR="00A14A34" w:rsidRPr="006E0F3C" w:rsidRDefault="00A14A34" w:rsidP="00B10000">
                  <w:pPr>
                    <w:pStyle w:val="2"/>
                  </w:pPr>
                  <w:r>
                    <w:rPr>
                      <w:rFonts w:hint="eastAsia"/>
                    </w:rPr>
                    <w:t>公募基金周报（</w:t>
                  </w:r>
                  <w:r>
                    <w:t>2014.10.20~2014.10.24</w:t>
                  </w:r>
                  <w:r>
                    <w:rPr>
                      <w:rFonts w:hint="eastAsia"/>
                    </w:rPr>
                    <w:t>）</w:t>
                  </w:r>
                </w:p>
              </w:txbxContent>
            </v:textbox>
          </v:shape>
        </v:group>
      </w:pict>
    </w:r>
    <w:r>
      <w:pict>
        <v:rect id="_x0000_i1029" style="width:571.2pt;height:2pt" o:hralign="center" o:hrstd="t" o:hrnoshade="t" o:hr="t" fillcolor="#e7a631"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A34" w:rsidRDefault="00A14A34" w:rsidP="00585F05">
    <w:pPr>
      <w:pStyle w:val="Header"/>
      <w:pBdr>
        <w:bottom w:val="none" w:sz="0" w:space="0" w:color="auto"/>
      </w:pBdr>
      <w:spacing w:afterLines="100"/>
    </w:pPr>
    <w:r>
      <w:rPr>
        <w:noProof/>
      </w:rPr>
    </w:r>
    <w:r>
      <w:pict>
        <v:group id="_x0000_s2052" style="width:532.6pt;height:143.7pt;mso-position-horizontal-relative:char;mso-position-vertical-relative:line" coordorigin="652,331" coordsize="10652,2874">
          <v:shapetype id="_x0000_t202" coordsize="21600,21600" o:spt="202" path="m,l,21600r21600,l21600,xe">
            <v:stroke joinstyle="miter"/>
            <v:path gradientshapeok="t" o:connecttype="rect"/>
          </v:shapetype>
          <v:shape id="_x0000_s2053" type="#_x0000_t202" style="position:absolute;left:652;top:331;width:3664;height:2430" strokecolor="white">
            <v:textbox style="mso-next-textbox:#_x0000_s2053">
              <w:txbxContent>
                <w:p w:rsidR="00A14A34" w:rsidRDefault="00A14A34" w:rsidP="00B10000">
                  <w:pPr>
                    <w:pStyle w:val="a0"/>
                  </w:pPr>
                  <w:r w:rsidRPr="00B1117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i1039" type="#_x0000_t75" alt="凯石工2.jpg" style="width:123pt;height:115.5pt;visibility:visible">
                        <v:imagedata r:id="rId1" o:title=""/>
                      </v:shape>
                    </w:pict>
                  </w:r>
                </w:p>
              </w:txbxContent>
            </v:textbox>
          </v:shape>
          <v:shape id="_x0000_s2054" type="#_x0000_t202" style="position:absolute;left:881;top:2578;width:2325;height:390" strokecolor="white">
            <v:textbox style="mso-next-textbox:#_x0000_s2054">
              <w:txbxContent>
                <w:p w:rsidR="00A14A34" w:rsidRPr="006E0F3C" w:rsidRDefault="00A14A34" w:rsidP="008840A4">
                  <w:pPr>
                    <w:pStyle w:val="a"/>
                    <w:spacing w:after="240"/>
                  </w:pPr>
                  <w:r w:rsidRPr="006E0F3C">
                    <w:rPr>
                      <w:rFonts w:hint="eastAsia"/>
                    </w:rPr>
                    <w:t>凯石工场研究报告</w:t>
                  </w:r>
                </w:p>
              </w:txbxContent>
            </v:textbox>
          </v:shape>
          <v:shape id="_x0000_s2055" type="#_x0000_t202" style="position:absolute;left:8740;top:609;width:2441;height:475" strokecolor="white">
            <v:textbox style="mso-next-textbox:#_x0000_s2055;mso-fit-shape-to-text:t">
              <w:txbxContent>
                <w:p w:rsidR="00A14A34" w:rsidRPr="006E0F3C" w:rsidRDefault="00A14A34" w:rsidP="00B10000">
                  <w:pPr>
                    <w:pStyle w:val="a1"/>
                    <w:jc w:val="right"/>
                  </w:pPr>
                  <w:r>
                    <w:t>2014</w:t>
                  </w:r>
                  <w:r w:rsidRPr="006E0F3C">
                    <w:rPr>
                      <w:rFonts w:hint="eastAsia"/>
                    </w:rPr>
                    <w:t>年</w:t>
                  </w:r>
                  <w:r>
                    <w:t>10</w:t>
                  </w:r>
                  <w:r w:rsidRPr="006E0F3C">
                    <w:rPr>
                      <w:rFonts w:hint="eastAsia"/>
                    </w:rPr>
                    <w:t>月</w:t>
                  </w:r>
                  <w:r>
                    <w:t>27</w:t>
                  </w:r>
                  <w:r w:rsidRPr="006E0F3C">
                    <w:rPr>
                      <w:rFonts w:hint="eastAsia"/>
                    </w:rPr>
                    <w:t>日</w:t>
                  </w:r>
                </w:p>
              </w:txbxContent>
            </v:textbox>
          </v:shape>
          <v:shape id="_x0000_s2056" type="#_x0000_t202" style="position:absolute;left:3214;top:1377;width:8090;height:1001" strokecolor="white">
            <v:textbox style="mso-next-textbox:#_x0000_s2056;mso-fit-shape-to-text:t">
              <w:txbxContent>
                <w:p w:rsidR="00A14A34" w:rsidRPr="00667F84" w:rsidRDefault="00A14A34" w:rsidP="00073ED8">
                  <w:pPr>
                    <w:pStyle w:val="a2"/>
                    <w:ind w:right="180"/>
                    <w:jc w:val="right"/>
                  </w:pPr>
                  <w:r>
                    <w:rPr>
                      <w:rFonts w:hint="eastAsia"/>
                    </w:rPr>
                    <w:t>权益类基金业绩分化，债券基金涨幅较大</w:t>
                  </w:r>
                </w:p>
                <w:p w:rsidR="00A14A34" w:rsidRPr="00624366" w:rsidRDefault="00A14A34" w:rsidP="00B10000">
                  <w:pPr>
                    <w:pStyle w:val="a2"/>
                    <w:jc w:val="right"/>
                    <w:rPr>
                      <w:sz w:val="28"/>
                      <w:szCs w:val="28"/>
                    </w:rPr>
                  </w:pPr>
                  <w:r w:rsidRPr="0095202C">
                    <w:rPr>
                      <w:rFonts w:hint="eastAsia"/>
                      <w:sz w:val="28"/>
                      <w:szCs w:val="28"/>
                    </w:rPr>
                    <w:t>公募基金周报（</w:t>
                  </w:r>
                  <w:r>
                    <w:rPr>
                      <w:sz w:val="28"/>
                      <w:szCs w:val="28"/>
                    </w:rPr>
                    <w:t>2014.10.20</w:t>
                  </w:r>
                  <w:r w:rsidRPr="0095202C">
                    <w:rPr>
                      <w:sz w:val="28"/>
                      <w:szCs w:val="28"/>
                    </w:rPr>
                    <w:t>~</w:t>
                  </w:r>
                  <w:r>
                    <w:rPr>
                      <w:sz w:val="28"/>
                      <w:szCs w:val="28"/>
                    </w:rPr>
                    <w:t>2014.10.24</w:t>
                  </w:r>
                  <w:r w:rsidRPr="0095202C">
                    <w:rPr>
                      <w:rFonts w:hint="eastAsia"/>
                      <w:sz w:val="28"/>
                      <w:szCs w:val="28"/>
                    </w:rPr>
                    <w:t>）</w:t>
                  </w:r>
                </w:p>
              </w:txbxContent>
            </v:textbox>
          </v:shape>
          <v:shape id="_x0000_s2057" type="#_x0000_t202" style="position:absolute;left:3246;top:2578;width:7993;height:627" strokecolor="white">
            <v:textbox style="mso-next-textbox:#_x0000_s2057">
              <w:txbxContent>
                <w:p w:rsidR="00A14A34" w:rsidRDefault="00A14A34" w:rsidP="005E42B1">
                  <w:pPr>
                    <w:pStyle w:val="a3"/>
                    <w:wordWrap w:val="0"/>
                    <w:ind w:right="420"/>
                  </w:pPr>
                  <w:r>
                    <w:rPr>
                      <w:rFonts w:hint="eastAsia"/>
                    </w:rPr>
                    <w:t>万晓微</w:t>
                  </w:r>
                  <w:r>
                    <w:t xml:space="preserve">  </w:t>
                  </w:r>
                  <w:r>
                    <w:rPr>
                      <w:rFonts w:hint="eastAsia"/>
                    </w:rPr>
                    <w:t>联系人</w:t>
                  </w:r>
                </w:p>
                <w:p w:rsidR="00A14A34" w:rsidRPr="006E0F3C" w:rsidRDefault="00A14A34" w:rsidP="005E42B1">
                  <w:pPr>
                    <w:pStyle w:val="a3"/>
                  </w:pPr>
                  <w:r>
                    <w:rPr>
                      <w:rFonts w:hint="eastAsia"/>
                    </w:rPr>
                    <w:t>杨</w:t>
                  </w:r>
                  <w:r>
                    <w:t xml:space="preserve">  </w:t>
                  </w:r>
                  <w:r>
                    <w:rPr>
                      <w:rFonts w:hint="eastAsia"/>
                    </w:rPr>
                    <w:t>舒</w:t>
                  </w:r>
                  <w:r w:rsidRPr="006E0F3C">
                    <w:t xml:space="preserve"> </w:t>
                  </w:r>
                  <w:r>
                    <w:t xml:space="preserve"> </w:t>
                  </w:r>
                  <w:r>
                    <w:rPr>
                      <w:rFonts w:hint="eastAsia"/>
                    </w:rPr>
                    <w:t>高级</w:t>
                  </w:r>
                  <w:r w:rsidRPr="006E0F3C">
                    <w:rPr>
                      <w:rFonts w:hint="eastAsia"/>
                    </w:rPr>
                    <w:t>分析师</w:t>
                  </w:r>
                  <w:r w:rsidRPr="006E0F3C">
                    <w:t xml:space="preserve"> </w:t>
                  </w:r>
                </w:p>
              </w:txbxContent>
            </v:textbox>
          </v:shape>
          <w10:anchorlock/>
        </v:group>
      </w:pict>
    </w:r>
    <w:r>
      <w:pict>
        <v:rect id="_x0000_i1038" style="width:571.2pt;height:2pt" o:hralign="center" o:hrstd="t" o:hrnoshade="t" o:hr="t" fillcolor="#e7a631"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
      </v:shape>
    </w:pict>
  </w:numPicBullet>
  <w:abstractNum w:abstractNumId="0">
    <w:nsid w:val="08014C42"/>
    <w:multiLevelType w:val="singleLevel"/>
    <w:tmpl w:val="B4861D4C"/>
    <w:lvl w:ilvl="0">
      <w:start w:val="1"/>
      <w:numFmt w:val="bullet"/>
      <w:pStyle w:val="CoverBullet"/>
      <w:lvlText w:val=""/>
      <w:lvlJc w:val="left"/>
      <w:pPr>
        <w:tabs>
          <w:tab w:val="num" w:pos="360"/>
        </w:tabs>
        <w:ind w:left="360" w:hanging="360"/>
      </w:pPr>
      <w:rPr>
        <w:rFonts w:ascii="Wingdings" w:hAnsi="Wingdings" w:hint="default"/>
        <w:color w:val="FF0000"/>
        <w:sz w:val="20"/>
      </w:rPr>
    </w:lvl>
  </w:abstractNum>
  <w:abstractNum w:abstractNumId="1">
    <w:nsid w:val="10E71F9D"/>
    <w:multiLevelType w:val="hybridMultilevel"/>
    <w:tmpl w:val="FF3C5942"/>
    <w:lvl w:ilvl="0" w:tplc="0409000B">
      <w:start w:val="1"/>
      <w:numFmt w:val="bullet"/>
      <w:lvlText w:val=""/>
      <w:lvlJc w:val="left"/>
      <w:pPr>
        <w:ind w:left="4248" w:hanging="420"/>
      </w:pPr>
      <w:rPr>
        <w:rFonts w:ascii="Wingdings" w:hAnsi="Wingdings" w:hint="default"/>
      </w:rPr>
    </w:lvl>
    <w:lvl w:ilvl="1" w:tplc="04090003" w:tentative="1">
      <w:start w:val="1"/>
      <w:numFmt w:val="bullet"/>
      <w:lvlText w:val=""/>
      <w:lvlJc w:val="left"/>
      <w:pPr>
        <w:ind w:left="4668" w:hanging="420"/>
      </w:pPr>
      <w:rPr>
        <w:rFonts w:ascii="Wingdings" w:hAnsi="Wingdings" w:hint="default"/>
      </w:rPr>
    </w:lvl>
    <w:lvl w:ilvl="2" w:tplc="04090005" w:tentative="1">
      <w:start w:val="1"/>
      <w:numFmt w:val="bullet"/>
      <w:lvlText w:val=""/>
      <w:lvlJc w:val="left"/>
      <w:pPr>
        <w:ind w:left="5088" w:hanging="420"/>
      </w:pPr>
      <w:rPr>
        <w:rFonts w:ascii="Wingdings" w:hAnsi="Wingdings" w:hint="default"/>
      </w:rPr>
    </w:lvl>
    <w:lvl w:ilvl="3" w:tplc="04090001" w:tentative="1">
      <w:start w:val="1"/>
      <w:numFmt w:val="bullet"/>
      <w:lvlText w:val=""/>
      <w:lvlJc w:val="left"/>
      <w:pPr>
        <w:ind w:left="5508" w:hanging="420"/>
      </w:pPr>
      <w:rPr>
        <w:rFonts w:ascii="Wingdings" w:hAnsi="Wingdings" w:hint="default"/>
      </w:rPr>
    </w:lvl>
    <w:lvl w:ilvl="4" w:tplc="04090003" w:tentative="1">
      <w:start w:val="1"/>
      <w:numFmt w:val="bullet"/>
      <w:lvlText w:val=""/>
      <w:lvlJc w:val="left"/>
      <w:pPr>
        <w:ind w:left="5928" w:hanging="420"/>
      </w:pPr>
      <w:rPr>
        <w:rFonts w:ascii="Wingdings" w:hAnsi="Wingdings" w:hint="default"/>
      </w:rPr>
    </w:lvl>
    <w:lvl w:ilvl="5" w:tplc="04090005" w:tentative="1">
      <w:start w:val="1"/>
      <w:numFmt w:val="bullet"/>
      <w:lvlText w:val=""/>
      <w:lvlJc w:val="left"/>
      <w:pPr>
        <w:ind w:left="6348" w:hanging="420"/>
      </w:pPr>
      <w:rPr>
        <w:rFonts w:ascii="Wingdings" w:hAnsi="Wingdings" w:hint="default"/>
      </w:rPr>
    </w:lvl>
    <w:lvl w:ilvl="6" w:tplc="04090001" w:tentative="1">
      <w:start w:val="1"/>
      <w:numFmt w:val="bullet"/>
      <w:lvlText w:val=""/>
      <w:lvlJc w:val="left"/>
      <w:pPr>
        <w:ind w:left="6768" w:hanging="420"/>
      </w:pPr>
      <w:rPr>
        <w:rFonts w:ascii="Wingdings" w:hAnsi="Wingdings" w:hint="default"/>
      </w:rPr>
    </w:lvl>
    <w:lvl w:ilvl="7" w:tplc="04090003" w:tentative="1">
      <w:start w:val="1"/>
      <w:numFmt w:val="bullet"/>
      <w:lvlText w:val=""/>
      <w:lvlJc w:val="left"/>
      <w:pPr>
        <w:ind w:left="7188" w:hanging="420"/>
      </w:pPr>
      <w:rPr>
        <w:rFonts w:ascii="Wingdings" w:hAnsi="Wingdings" w:hint="default"/>
      </w:rPr>
    </w:lvl>
    <w:lvl w:ilvl="8" w:tplc="04090005" w:tentative="1">
      <w:start w:val="1"/>
      <w:numFmt w:val="bullet"/>
      <w:lvlText w:val=""/>
      <w:lvlJc w:val="left"/>
      <w:pPr>
        <w:ind w:left="7608" w:hanging="420"/>
      </w:pPr>
      <w:rPr>
        <w:rFonts w:ascii="Wingdings" w:hAnsi="Wingdings" w:hint="default"/>
      </w:rPr>
    </w:lvl>
  </w:abstractNum>
  <w:abstractNum w:abstractNumId="2">
    <w:nsid w:val="492C6DD3"/>
    <w:multiLevelType w:val="hybridMultilevel"/>
    <w:tmpl w:val="6EAE99B8"/>
    <w:lvl w:ilvl="0" w:tplc="A1E68908">
      <w:start w:val="1"/>
      <w:numFmt w:val="bullet"/>
      <w:lvlText w:val=""/>
      <w:lvlJc w:val="left"/>
      <w:pPr>
        <w:tabs>
          <w:tab w:val="num" w:pos="4329"/>
        </w:tabs>
        <w:ind w:left="3969"/>
      </w:pPr>
      <w:rPr>
        <w:rFonts w:hint="default"/>
        <w:b w:val="0"/>
        <w:i w:val="0"/>
        <w:color w:val="000565"/>
        <w:sz w:val="18"/>
      </w:rPr>
    </w:lvl>
    <w:lvl w:ilvl="1" w:tplc="04090003">
      <w:start w:val="1"/>
      <w:numFmt w:val="bullet"/>
      <w:lvlText w:val=""/>
      <w:lvlJc w:val="left"/>
      <w:pPr>
        <w:tabs>
          <w:tab w:val="num" w:pos="4242"/>
        </w:tabs>
        <w:ind w:left="4242" w:hanging="420"/>
      </w:pPr>
      <w:rPr>
        <w:rFonts w:ascii="Wingdings" w:hAnsi="Wingdings" w:hint="default"/>
      </w:rPr>
    </w:lvl>
    <w:lvl w:ilvl="2" w:tplc="B0CACDC8">
      <w:start w:val="1"/>
      <w:numFmt w:val="bullet"/>
      <w:lvlText w:val=""/>
      <w:lvlJc w:val="left"/>
      <w:pPr>
        <w:tabs>
          <w:tab w:val="num" w:pos="4106"/>
        </w:tabs>
        <w:ind w:left="4106" w:hanging="420"/>
      </w:pPr>
      <w:rPr>
        <w:rFonts w:ascii="Wingdings" w:hAnsi="Wingdings" w:hint="default"/>
        <w:sz w:val="15"/>
      </w:rPr>
    </w:lvl>
    <w:lvl w:ilvl="3" w:tplc="04090001">
      <w:start w:val="1"/>
      <w:numFmt w:val="bullet"/>
      <w:lvlText w:val=""/>
      <w:lvlJc w:val="left"/>
      <w:pPr>
        <w:tabs>
          <w:tab w:val="num" w:pos="5082"/>
        </w:tabs>
        <w:ind w:left="5082" w:hanging="420"/>
      </w:pPr>
      <w:rPr>
        <w:rFonts w:ascii="Wingdings" w:hAnsi="Wingdings" w:hint="default"/>
      </w:rPr>
    </w:lvl>
    <w:lvl w:ilvl="4" w:tplc="AC7CA5DC">
      <w:start w:val="1"/>
      <w:numFmt w:val="bullet"/>
      <w:lvlText w:val=""/>
      <w:lvlJc w:val="left"/>
      <w:pPr>
        <w:tabs>
          <w:tab w:val="num" w:pos="3799"/>
        </w:tabs>
        <w:ind w:left="3799" w:hanging="369"/>
      </w:pPr>
      <w:rPr>
        <w:rFonts w:ascii="Wingdings" w:eastAsia="KaiTi_GB2312" w:hAnsi="Wingdings" w:hint="default"/>
        <w:b w:val="0"/>
        <w:i w:val="0"/>
        <w:color w:val="auto"/>
        <w:sz w:val="18"/>
      </w:rPr>
    </w:lvl>
    <w:lvl w:ilvl="5" w:tplc="04090005">
      <w:start w:val="1"/>
      <w:numFmt w:val="bullet"/>
      <w:lvlText w:val=""/>
      <w:lvlJc w:val="left"/>
      <w:pPr>
        <w:tabs>
          <w:tab w:val="num" w:pos="5922"/>
        </w:tabs>
        <w:ind w:left="5922" w:hanging="420"/>
      </w:pPr>
      <w:rPr>
        <w:rFonts w:ascii="Wingdings" w:hAnsi="Wingdings" w:hint="default"/>
      </w:rPr>
    </w:lvl>
    <w:lvl w:ilvl="6" w:tplc="04090001" w:tentative="1">
      <w:start w:val="1"/>
      <w:numFmt w:val="bullet"/>
      <w:lvlText w:val=""/>
      <w:lvlJc w:val="left"/>
      <w:pPr>
        <w:tabs>
          <w:tab w:val="num" w:pos="6342"/>
        </w:tabs>
        <w:ind w:left="6342" w:hanging="420"/>
      </w:pPr>
      <w:rPr>
        <w:rFonts w:ascii="Wingdings" w:hAnsi="Wingdings" w:hint="default"/>
      </w:rPr>
    </w:lvl>
    <w:lvl w:ilvl="7" w:tplc="04090003">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3">
    <w:nsid w:val="49A16DB4"/>
    <w:multiLevelType w:val="hybridMultilevel"/>
    <w:tmpl w:val="4E9C4D18"/>
    <w:lvl w:ilvl="0" w:tplc="A1E68908">
      <w:start w:val="1"/>
      <w:numFmt w:val="bullet"/>
      <w:lvlText w:val=""/>
      <w:lvlJc w:val="left"/>
      <w:pPr>
        <w:tabs>
          <w:tab w:val="num" w:pos="4329"/>
        </w:tabs>
        <w:ind w:left="3969"/>
      </w:pPr>
      <w:rPr>
        <w:rFonts w:hint="default"/>
        <w:b w:val="0"/>
        <w:i w:val="0"/>
        <w:color w:val="000565"/>
        <w:sz w:val="18"/>
      </w:rPr>
    </w:lvl>
    <w:lvl w:ilvl="1" w:tplc="04090003">
      <w:start w:val="1"/>
      <w:numFmt w:val="bullet"/>
      <w:lvlText w:val=""/>
      <w:lvlJc w:val="left"/>
      <w:pPr>
        <w:tabs>
          <w:tab w:val="num" w:pos="4242"/>
        </w:tabs>
        <w:ind w:left="4242" w:hanging="420"/>
      </w:pPr>
      <w:rPr>
        <w:rFonts w:ascii="Wingdings" w:hAnsi="Wingdings" w:hint="default"/>
      </w:rPr>
    </w:lvl>
    <w:lvl w:ilvl="2" w:tplc="04090005">
      <w:start w:val="1"/>
      <w:numFmt w:val="bullet"/>
      <w:lvlText w:val=""/>
      <w:lvlJc w:val="left"/>
      <w:pPr>
        <w:tabs>
          <w:tab w:val="num" w:pos="4662"/>
        </w:tabs>
        <w:ind w:left="4662" w:hanging="420"/>
      </w:pPr>
      <w:rPr>
        <w:rFonts w:ascii="Wingdings" w:hAnsi="Wingdings" w:hint="default"/>
      </w:rPr>
    </w:lvl>
    <w:lvl w:ilvl="3" w:tplc="04090001">
      <w:start w:val="1"/>
      <w:numFmt w:val="bullet"/>
      <w:lvlText w:val=""/>
      <w:lvlJc w:val="left"/>
      <w:pPr>
        <w:tabs>
          <w:tab w:val="num" w:pos="5082"/>
        </w:tabs>
        <w:ind w:left="5082" w:hanging="420"/>
      </w:pPr>
      <w:rPr>
        <w:rFonts w:ascii="Wingdings" w:hAnsi="Wingdings" w:hint="default"/>
      </w:rPr>
    </w:lvl>
    <w:lvl w:ilvl="4" w:tplc="15407DAC">
      <w:start w:val="1"/>
      <w:numFmt w:val="bullet"/>
      <w:lvlText w:val=""/>
      <w:lvlJc w:val="left"/>
      <w:pPr>
        <w:tabs>
          <w:tab w:val="num" w:pos="3799"/>
        </w:tabs>
        <w:ind w:left="3799" w:hanging="369"/>
      </w:pPr>
      <w:rPr>
        <w:rFonts w:ascii="Wingdings" w:hAnsi="Wingdings" w:hint="default"/>
        <w:b w:val="0"/>
        <w:i w:val="0"/>
        <w:color w:val="auto"/>
        <w:sz w:val="18"/>
      </w:rPr>
    </w:lvl>
    <w:lvl w:ilvl="5" w:tplc="04090005">
      <w:start w:val="1"/>
      <w:numFmt w:val="bullet"/>
      <w:lvlText w:val=""/>
      <w:lvlJc w:val="left"/>
      <w:pPr>
        <w:tabs>
          <w:tab w:val="num" w:pos="5922"/>
        </w:tabs>
        <w:ind w:left="5922" w:hanging="420"/>
      </w:pPr>
      <w:rPr>
        <w:rFonts w:ascii="Wingdings" w:hAnsi="Wingdings" w:hint="default"/>
      </w:rPr>
    </w:lvl>
    <w:lvl w:ilvl="6" w:tplc="04090001" w:tentative="1">
      <w:start w:val="1"/>
      <w:numFmt w:val="bullet"/>
      <w:lvlText w:val=""/>
      <w:lvlJc w:val="left"/>
      <w:pPr>
        <w:tabs>
          <w:tab w:val="num" w:pos="6342"/>
        </w:tabs>
        <w:ind w:left="6342" w:hanging="420"/>
      </w:pPr>
      <w:rPr>
        <w:rFonts w:ascii="Wingdings" w:hAnsi="Wingdings" w:hint="default"/>
      </w:rPr>
    </w:lvl>
    <w:lvl w:ilvl="7" w:tplc="04090003" w:tentative="1">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4">
    <w:nsid w:val="5E8271C1"/>
    <w:multiLevelType w:val="hybridMultilevel"/>
    <w:tmpl w:val="6B68E90C"/>
    <w:lvl w:ilvl="0" w:tplc="A1E68908">
      <w:start w:val="1"/>
      <w:numFmt w:val="bullet"/>
      <w:lvlText w:val=""/>
      <w:lvlJc w:val="left"/>
      <w:pPr>
        <w:tabs>
          <w:tab w:val="num" w:pos="4329"/>
        </w:tabs>
        <w:ind w:left="3969"/>
      </w:pPr>
      <w:rPr>
        <w:rFonts w:hint="default"/>
        <w:b w:val="0"/>
        <w:i w:val="0"/>
        <w:color w:val="000565"/>
        <w:sz w:val="18"/>
      </w:rPr>
    </w:lvl>
    <w:lvl w:ilvl="1" w:tplc="04090003">
      <w:start w:val="1"/>
      <w:numFmt w:val="bullet"/>
      <w:lvlText w:val=""/>
      <w:lvlJc w:val="left"/>
      <w:pPr>
        <w:tabs>
          <w:tab w:val="num" w:pos="4242"/>
        </w:tabs>
        <w:ind w:left="4242" w:hanging="420"/>
      </w:pPr>
      <w:rPr>
        <w:rFonts w:ascii="Wingdings" w:hAnsi="Wingdings" w:hint="default"/>
      </w:rPr>
    </w:lvl>
    <w:lvl w:ilvl="2" w:tplc="04090005">
      <w:start w:val="1"/>
      <w:numFmt w:val="bullet"/>
      <w:lvlText w:val=""/>
      <w:lvlJc w:val="left"/>
      <w:pPr>
        <w:tabs>
          <w:tab w:val="num" w:pos="4662"/>
        </w:tabs>
        <w:ind w:left="4662" w:hanging="420"/>
      </w:pPr>
      <w:rPr>
        <w:rFonts w:ascii="Wingdings" w:hAnsi="Wingdings" w:hint="default"/>
      </w:rPr>
    </w:lvl>
    <w:lvl w:ilvl="3" w:tplc="04090001">
      <w:start w:val="1"/>
      <w:numFmt w:val="bullet"/>
      <w:lvlText w:val=""/>
      <w:lvlJc w:val="left"/>
      <w:pPr>
        <w:tabs>
          <w:tab w:val="num" w:pos="5082"/>
        </w:tabs>
        <w:ind w:left="5082" w:hanging="420"/>
      </w:pPr>
      <w:rPr>
        <w:rFonts w:ascii="Wingdings" w:hAnsi="Wingdings" w:hint="default"/>
      </w:rPr>
    </w:lvl>
    <w:lvl w:ilvl="4" w:tplc="31DAFFE0">
      <w:start w:val="1"/>
      <w:numFmt w:val="bullet"/>
      <w:lvlText w:val=""/>
      <w:lvlJc w:val="left"/>
      <w:pPr>
        <w:tabs>
          <w:tab w:val="num" w:pos="3649"/>
        </w:tabs>
        <w:ind w:left="3289"/>
      </w:pPr>
      <w:rPr>
        <w:rFonts w:ascii="Wingdings" w:eastAsia="宋体" w:hAnsi="Wingdings" w:hint="default"/>
        <w:b w:val="0"/>
        <w:i w:val="0"/>
        <w:color w:val="000565"/>
        <w:sz w:val="18"/>
      </w:rPr>
    </w:lvl>
    <w:lvl w:ilvl="5" w:tplc="DDC8F30C">
      <w:start w:val="1"/>
      <w:numFmt w:val="bullet"/>
      <w:lvlText w:val=""/>
      <w:lvlJc w:val="left"/>
      <w:pPr>
        <w:tabs>
          <w:tab w:val="num" w:pos="4139"/>
        </w:tabs>
        <w:ind w:left="4139" w:hanging="368"/>
      </w:pPr>
      <w:rPr>
        <w:rFonts w:ascii="Wingdings 2" w:eastAsia="KaiTi_GB2312" w:hAnsi="Wingdings 2" w:hint="default"/>
        <w:b w:val="0"/>
        <w:i w:val="0"/>
        <w:sz w:val="18"/>
      </w:rPr>
    </w:lvl>
    <w:lvl w:ilvl="6" w:tplc="04090001" w:tentative="1">
      <w:start w:val="1"/>
      <w:numFmt w:val="bullet"/>
      <w:lvlText w:val=""/>
      <w:lvlJc w:val="left"/>
      <w:pPr>
        <w:tabs>
          <w:tab w:val="num" w:pos="6342"/>
        </w:tabs>
        <w:ind w:left="6342" w:hanging="420"/>
      </w:pPr>
      <w:rPr>
        <w:rFonts w:ascii="Wingdings" w:hAnsi="Wingdings" w:hint="default"/>
      </w:rPr>
    </w:lvl>
    <w:lvl w:ilvl="7" w:tplc="04090003" w:tentative="1">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5">
    <w:nsid w:val="66145FDE"/>
    <w:multiLevelType w:val="singleLevel"/>
    <w:tmpl w:val="918C41C0"/>
    <w:lvl w:ilvl="0">
      <w:start w:val="1"/>
      <w:numFmt w:val="bullet"/>
      <w:pStyle w:val="BulletCoverpage"/>
      <w:lvlText w:val=""/>
      <w:lvlJc w:val="left"/>
      <w:pPr>
        <w:tabs>
          <w:tab w:val="num" w:pos="0"/>
        </w:tabs>
        <w:ind w:left="227" w:hanging="227"/>
      </w:pPr>
      <w:rPr>
        <w:rFonts w:ascii="Monotype Sorts" w:hAnsi="Monotype Sorts" w:hint="default"/>
        <w:color w:val="FF0000"/>
        <w:sz w:val="16"/>
      </w:rPr>
    </w:lvl>
  </w:abstractNum>
  <w:abstractNum w:abstractNumId="6">
    <w:nsid w:val="7DB2660F"/>
    <w:multiLevelType w:val="hybridMultilevel"/>
    <w:tmpl w:val="20BAD2A2"/>
    <w:lvl w:ilvl="0" w:tplc="74927076">
      <w:start w:val="1"/>
      <w:numFmt w:val="bullet"/>
      <w:pStyle w:val="Heading1"/>
      <w:lvlText w:val=""/>
      <w:lvlPicBulletId w:val="0"/>
      <w:lvlJc w:val="left"/>
      <w:pPr>
        <w:ind w:left="1620" w:hanging="420"/>
      </w:pPr>
      <w:rPr>
        <w:rFonts w:ascii="Symbol" w:hAnsi="Symbol" w:hint="default"/>
        <w:color w:val="auto"/>
      </w:rPr>
    </w:lvl>
    <w:lvl w:ilvl="1" w:tplc="04090003" w:tentative="1">
      <w:start w:val="1"/>
      <w:numFmt w:val="bullet"/>
      <w:lvlText w:val=""/>
      <w:lvlJc w:val="left"/>
      <w:pPr>
        <w:ind w:left="2040" w:hanging="420"/>
      </w:pPr>
      <w:rPr>
        <w:rFonts w:ascii="Wingdings" w:hAnsi="Wingdings" w:hint="default"/>
      </w:rPr>
    </w:lvl>
    <w:lvl w:ilvl="2" w:tplc="04090005"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3" w:tentative="1">
      <w:start w:val="1"/>
      <w:numFmt w:val="bullet"/>
      <w:lvlText w:val=""/>
      <w:lvlJc w:val="left"/>
      <w:pPr>
        <w:ind w:left="3300" w:hanging="420"/>
      </w:pPr>
      <w:rPr>
        <w:rFonts w:ascii="Wingdings" w:hAnsi="Wingdings" w:hint="default"/>
      </w:rPr>
    </w:lvl>
    <w:lvl w:ilvl="5" w:tplc="04090005"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3" w:tentative="1">
      <w:start w:val="1"/>
      <w:numFmt w:val="bullet"/>
      <w:lvlText w:val=""/>
      <w:lvlJc w:val="left"/>
      <w:pPr>
        <w:ind w:left="4560" w:hanging="420"/>
      </w:pPr>
      <w:rPr>
        <w:rFonts w:ascii="Wingdings" w:hAnsi="Wingdings" w:hint="default"/>
      </w:rPr>
    </w:lvl>
    <w:lvl w:ilvl="8" w:tplc="04090005" w:tentative="1">
      <w:start w:val="1"/>
      <w:numFmt w:val="bullet"/>
      <w:lvlText w:val=""/>
      <w:lvlJc w:val="left"/>
      <w:pPr>
        <w:ind w:left="4980" w:hanging="420"/>
      </w:pPr>
      <w:rPr>
        <w:rFonts w:ascii="Wingdings" w:hAnsi="Wingdings" w:hint="default"/>
      </w:rPr>
    </w:lvl>
  </w:abstractNum>
  <w:num w:numId="1">
    <w:abstractNumId w:val="2"/>
  </w:num>
  <w:num w:numId="2">
    <w:abstractNumId w:val="4"/>
  </w:num>
  <w:num w:numId="3">
    <w:abstractNumId w:val="0"/>
  </w:num>
  <w:num w:numId="4">
    <w:abstractNumId w:val="5"/>
  </w:num>
  <w:num w:numId="5">
    <w:abstractNumId w:val="3"/>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0000"/>
    <w:rsid w:val="00000141"/>
    <w:rsid w:val="00000FDF"/>
    <w:rsid w:val="0000120D"/>
    <w:rsid w:val="00001D3E"/>
    <w:rsid w:val="00003664"/>
    <w:rsid w:val="00004B2E"/>
    <w:rsid w:val="00006269"/>
    <w:rsid w:val="00006540"/>
    <w:rsid w:val="000067F9"/>
    <w:rsid w:val="000067FB"/>
    <w:rsid w:val="00007D8C"/>
    <w:rsid w:val="00011851"/>
    <w:rsid w:val="000119BE"/>
    <w:rsid w:val="000126C4"/>
    <w:rsid w:val="0001365A"/>
    <w:rsid w:val="00013790"/>
    <w:rsid w:val="00015E23"/>
    <w:rsid w:val="0001604D"/>
    <w:rsid w:val="000204F2"/>
    <w:rsid w:val="000212A0"/>
    <w:rsid w:val="0002164B"/>
    <w:rsid w:val="000219A1"/>
    <w:rsid w:val="000225B4"/>
    <w:rsid w:val="00024188"/>
    <w:rsid w:val="00024C7D"/>
    <w:rsid w:val="00026FF9"/>
    <w:rsid w:val="000305DC"/>
    <w:rsid w:val="00031276"/>
    <w:rsid w:val="000341C3"/>
    <w:rsid w:val="00034C20"/>
    <w:rsid w:val="00035682"/>
    <w:rsid w:val="00036038"/>
    <w:rsid w:val="00036AB5"/>
    <w:rsid w:val="00036BCD"/>
    <w:rsid w:val="00037343"/>
    <w:rsid w:val="000374FE"/>
    <w:rsid w:val="00037BAF"/>
    <w:rsid w:val="00042A77"/>
    <w:rsid w:val="0004751A"/>
    <w:rsid w:val="00047EDC"/>
    <w:rsid w:val="000507E5"/>
    <w:rsid w:val="0005101C"/>
    <w:rsid w:val="00053854"/>
    <w:rsid w:val="00056D77"/>
    <w:rsid w:val="00057142"/>
    <w:rsid w:val="00060829"/>
    <w:rsid w:val="000621C7"/>
    <w:rsid w:val="0006243F"/>
    <w:rsid w:val="00062965"/>
    <w:rsid w:val="00064DAE"/>
    <w:rsid w:val="00064E08"/>
    <w:rsid w:val="000677D5"/>
    <w:rsid w:val="00070307"/>
    <w:rsid w:val="00072445"/>
    <w:rsid w:val="00073843"/>
    <w:rsid w:val="00073BEE"/>
    <w:rsid w:val="00073ED8"/>
    <w:rsid w:val="0007448E"/>
    <w:rsid w:val="00074E24"/>
    <w:rsid w:val="00075931"/>
    <w:rsid w:val="00080386"/>
    <w:rsid w:val="00081D63"/>
    <w:rsid w:val="000822B8"/>
    <w:rsid w:val="000856DF"/>
    <w:rsid w:val="0009128D"/>
    <w:rsid w:val="000913FB"/>
    <w:rsid w:val="00091649"/>
    <w:rsid w:val="00091971"/>
    <w:rsid w:val="00091E0E"/>
    <w:rsid w:val="000929C7"/>
    <w:rsid w:val="00092C5E"/>
    <w:rsid w:val="000941BB"/>
    <w:rsid w:val="00094650"/>
    <w:rsid w:val="00097363"/>
    <w:rsid w:val="00097FE0"/>
    <w:rsid w:val="000A284C"/>
    <w:rsid w:val="000A2DCE"/>
    <w:rsid w:val="000A2FAE"/>
    <w:rsid w:val="000A384C"/>
    <w:rsid w:val="000B0D20"/>
    <w:rsid w:val="000B21FF"/>
    <w:rsid w:val="000B31B2"/>
    <w:rsid w:val="000B3641"/>
    <w:rsid w:val="000B5823"/>
    <w:rsid w:val="000B6F70"/>
    <w:rsid w:val="000B712C"/>
    <w:rsid w:val="000B716A"/>
    <w:rsid w:val="000B7203"/>
    <w:rsid w:val="000B7C3D"/>
    <w:rsid w:val="000C023E"/>
    <w:rsid w:val="000C0348"/>
    <w:rsid w:val="000C088F"/>
    <w:rsid w:val="000C08C5"/>
    <w:rsid w:val="000C32D5"/>
    <w:rsid w:val="000C3A57"/>
    <w:rsid w:val="000C4D6A"/>
    <w:rsid w:val="000C4EBD"/>
    <w:rsid w:val="000C51A4"/>
    <w:rsid w:val="000C6B9E"/>
    <w:rsid w:val="000C6E03"/>
    <w:rsid w:val="000C7DF2"/>
    <w:rsid w:val="000D01F8"/>
    <w:rsid w:val="000D1136"/>
    <w:rsid w:val="000D27F8"/>
    <w:rsid w:val="000D4A66"/>
    <w:rsid w:val="000D6FC5"/>
    <w:rsid w:val="000D73AB"/>
    <w:rsid w:val="000E14C2"/>
    <w:rsid w:val="000E17E0"/>
    <w:rsid w:val="000E217B"/>
    <w:rsid w:val="000E371E"/>
    <w:rsid w:val="000E37D5"/>
    <w:rsid w:val="000E39C2"/>
    <w:rsid w:val="000E62CE"/>
    <w:rsid w:val="000E6D9A"/>
    <w:rsid w:val="000E713F"/>
    <w:rsid w:val="000F0312"/>
    <w:rsid w:val="000F10CB"/>
    <w:rsid w:val="000F325C"/>
    <w:rsid w:val="001003DE"/>
    <w:rsid w:val="00100572"/>
    <w:rsid w:val="00100CB5"/>
    <w:rsid w:val="00102234"/>
    <w:rsid w:val="001024F4"/>
    <w:rsid w:val="00103C41"/>
    <w:rsid w:val="00104265"/>
    <w:rsid w:val="001063EA"/>
    <w:rsid w:val="001064E7"/>
    <w:rsid w:val="00106D18"/>
    <w:rsid w:val="001073F0"/>
    <w:rsid w:val="0010775F"/>
    <w:rsid w:val="001106F0"/>
    <w:rsid w:val="00111BEB"/>
    <w:rsid w:val="001130D2"/>
    <w:rsid w:val="00113E7A"/>
    <w:rsid w:val="00114389"/>
    <w:rsid w:val="00115337"/>
    <w:rsid w:val="001169B2"/>
    <w:rsid w:val="00120197"/>
    <w:rsid w:val="00120F16"/>
    <w:rsid w:val="00121295"/>
    <w:rsid w:val="001230AE"/>
    <w:rsid w:val="00123F2B"/>
    <w:rsid w:val="00126B45"/>
    <w:rsid w:val="00127385"/>
    <w:rsid w:val="00130016"/>
    <w:rsid w:val="00130DAF"/>
    <w:rsid w:val="001312C8"/>
    <w:rsid w:val="0013161E"/>
    <w:rsid w:val="0013294D"/>
    <w:rsid w:val="00133AAB"/>
    <w:rsid w:val="00136BFE"/>
    <w:rsid w:val="00137C4A"/>
    <w:rsid w:val="001403F1"/>
    <w:rsid w:val="00147EA7"/>
    <w:rsid w:val="001506C6"/>
    <w:rsid w:val="00150FC3"/>
    <w:rsid w:val="001522E7"/>
    <w:rsid w:val="00152902"/>
    <w:rsid w:val="001531C5"/>
    <w:rsid w:val="001533D0"/>
    <w:rsid w:val="00154684"/>
    <w:rsid w:val="00154896"/>
    <w:rsid w:val="00154C4E"/>
    <w:rsid w:val="0015518D"/>
    <w:rsid w:val="00155E7B"/>
    <w:rsid w:val="0015777B"/>
    <w:rsid w:val="00160A00"/>
    <w:rsid w:val="00160B05"/>
    <w:rsid w:val="0016637B"/>
    <w:rsid w:val="0016750A"/>
    <w:rsid w:val="0017058D"/>
    <w:rsid w:val="001707EB"/>
    <w:rsid w:val="001709A2"/>
    <w:rsid w:val="00171E16"/>
    <w:rsid w:val="00172C7D"/>
    <w:rsid w:val="001732F3"/>
    <w:rsid w:val="001735B0"/>
    <w:rsid w:val="001736DF"/>
    <w:rsid w:val="001757C6"/>
    <w:rsid w:val="001757D1"/>
    <w:rsid w:val="001757EC"/>
    <w:rsid w:val="00176FFB"/>
    <w:rsid w:val="00181DC4"/>
    <w:rsid w:val="00181DE3"/>
    <w:rsid w:val="001824C1"/>
    <w:rsid w:val="00183A83"/>
    <w:rsid w:val="00185298"/>
    <w:rsid w:val="00185397"/>
    <w:rsid w:val="001866D5"/>
    <w:rsid w:val="00187DBC"/>
    <w:rsid w:val="00190A08"/>
    <w:rsid w:val="001913B3"/>
    <w:rsid w:val="00192281"/>
    <w:rsid w:val="00194A20"/>
    <w:rsid w:val="00196BC9"/>
    <w:rsid w:val="001A04CB"/>
    <w:rsid w:val="001A20EF"/>
    <w:rsid w:val="001A4657"/>
    <w:rsid w:val="001A7013"/>
    <w:rsid w:val="001A74F7"/>
    <w:rsid w:val="001B0FB5"/>
    <w:rsid w:val="001B197C"/>
    <w:rsid w:val="001B1A86"/>
    <w:rsid w:val="001B1E97"/>
    <w:rsid w:val="001B3B5C"/>
    <w:rsid w:val="001B3B9B"/>
    <w:rsid w:val="001B3E3A"/>
    <w:rsid w:val="001B4102"/>
    <w:rsid w:val="001B472A"/>
    <w:rsid w:val="001B6D17"/>
    <w:rsid w:val="001B6D2E"/>
    <w:rsid w:val="001B7AA9"/>
    <w:rsid w:val="001C0504"/>
    <w:rsid w:val="001C1C98"/>
    <w:rsid w:val="001C2E66"/>
    <w:rsid w:val="001C3226"/>
    <w:rsid w:val="001C343E"/>
    <w:rsid w:val="001D0941"/>
    <w:rsid w:val="001D0ED6"/>
    <w:rsid w:val="001D10EA"/>
    <w:rsid w:val="001D1F68"/>
    <w:rsid w:val="001D33CC"/>
    <w:rsid w:val="001D45B3"/>
    <w:rsid w:val="001D4758"/>
    <w:rsid w:val="001D5DD8"/>
    <w:rsid w:val="001D6224"/>
    <w:rsid w:val="001D75AA"/>
    <w:rsid w:val="001E182A"/>
    <w:rsid w:val="001E2509"/>
    <w:rsid w:val="001E3E6D"/>
    <w:rsid w:val="001E3FEC"/>
    <w:rsid w:val="001E5298"/>
    <w:rsid w:val="001E5E74"/>
    <w:rsid w:val="001E6FE6"/>
    <w:rsid w:val="001E7012"/>
    <w:rsid w:val="001F13E5"/>
    <w:rsid w:val="001F2B31"/>
    <w:rsid w:val="001F4217"/>
    <w:rsid w:val="001F5143"/>
    <w:rsid w:val="001F602C"/>
    <w:rsid w:val="0020555F"/>
    <w:rsid w:val="0021175A"/>
    <w:rsid w:val="002123E6"/>
    <w:rsid w:val="00212819"/>
    <w:rsid w:val="002134BF"/>
    <w:rsid w:val="00215FD6"/>
    <w:rsid w:val="0021658D"/>
    <w:rsid w:val="00217126"/>
    <w:rsid w:val="00217252"/>
    <w:rsid w:val="00221A18"/>
    <w:rsid w:val="00223AC5"/>
    <w:rsid w:val="00224D0D"/>
    <w:rsid w:val="00225508"/>
    <w:rsid w:val="0022551E"/>
    <w:rsid w:val="00225E44"/>
    <w:rsid w:val="00226D20"/>
    <w:rsid w:val="00230CEA"/>
    <w:rsid w:val="00231AF8"/>
    <w:rsid w:val="002327F6"/>
    <w:rsid w:val="00233317"/>
    <w:rsid w:val="002338C0"/>
    <w:rsid w:val="00233AC4"/>
    <w:rsid w:val="002344A5"/>
    <w:rsid w:val="00235525"/>
    <w:rsid w:val="002379F3"/>
    <w:rsid w:val="002413CF"/>
    <w:rsid w:val="00241CE2"/>
    <w:rsid w:val="0024271D"/>
    <w:rsid w:val="00242D53"/>
    <w:rsid w:val="00242D8D"/>
    <w:rsid w:val="00245068"/>
    <w:rsid w:val="002451DB"/>
    <w:rsid w:val="00245B98"/>
    <w:rsid w:val="00246A3D"/>
    <w:rsid w:val="002479FC"/>
    <w:rsid w:val="00247B9F"/>
    <w:rsid w:val="0025117A"/>
    <w:rsid w:val="0025195E"/>
    <w:rsid w:val="00252878"/>
    <w:rsid w:val="00256FE2"/>
    <w:rsid w:val="00257525"/>
    <w:rsid w:val="00257B4B"/>
    <w:rsid w:val="00257D31"/>
    <w:rsid w:val="0026029B"/>
    <w:rsid w:val="00261ADB"/>
    <w:rsid w:val="00261BE7"/>
    <w:rsid w:val="002637EF"/>
    <w:rsid w:val="0026413E"/>
    <w:rsid w:val="002643C4"/>
    <w:rsid w:val="002645D0"/>
    <w:rsid w:val="00264C5C"/>
    <w:rsid w:val="002659DF"/>
    <w:rsid w:val="00265B6D"/>
    <w:rsid w:val="00265D17"/>
    <w:rsid w:val="0027079A"/>
    <w:rsid w:val="00272F28"/>
    <w:rsid w:val="00273C1B"/>
    <w:rsid w:val="00275EC5"/>
    <w:rsid w:val="00276D8F"/>
    <w:rsid w:val="0027722C"/>
    <w:rsid w:val="00281145"/>
    <w:rsid w:val="00281F38"/>
    <w:rsid w:val="00281FF8"/>
    <w:rsid w:val="002840F1"/>
    <w:rsid w:val="00284688"/>
    <w:rsid w:val="00286F58"/>
    <w:rsid w:val="00290143"/>
    <w:rsid w:val="00290712"/>
    <w:rsid w:val="0029089C"/>
    <w:rsid w:val="00290EC1"/>
    <w:rsid w:val="002919F1"/>
    <w:rsid w:val="00291B5F"/>
    <w:rsid w:val="00292E2D"/>
    <w:rsid w:val="00293321"/>
    <w:rsid w:val="00293928"/>
    <w:rsid w:val="00294614"/>
    <w:rsid w:val="0029599D"/>
    <w:rsid w:val="00296C0E"/>
    <w:rsid w:val="00297532"/>
    <w:rsid w:val="00297F35"/>
    <w:rsid w:val="002A1208"/>
    <w:rsid w:val="002A190B"/>
    <w:rsid w:val="002A3099"/>
    <w:rsid w:val="002A34F9"/>
    <w:rsid w:val="002A3FBB"/>
    <w:rsid w:val="002A45E7"/>
    <w:rsid w:val="002A5630"/>
    <w:rsid w:val="002A6AB8"/>
    <w:rsid w:val="002A7560"/>
    <w:rsid w:val="002A79C3"/>
    <w:rsid w:val="002B0922"/>
    <w:rsid w:val="002B0F8E"/>
    <w:rsid w:val="002B114E"/>
    <w:rsid w:val="002B1A4F"/>
    <w:rsid w:val="002B3374"/>
    <w:rsid w:val="002B3515"/>
    <w:rsid w:val="002B368B"/>
    <w:rsid w:val="002B4921"/>
    <w:rsid w:val="002B5A7F"/>
    <w:rsid w:val="002B615B"/>
    <w:rsid w:val="002B7B9F"/>
    <w:rsid w:val="002C0245"/>
    <w:rsid w:val="002C095D"/>
    <w:rsid w:val="002C1257"/>
    <w:rsid w:val="002C2F59"/>
    <w:rsid w:val="002C337A"/>
    <w:rsid w:val="002C5323"/>
    <w:rsid w:val="002C5822"/>
    <w:rsid w:val="002C6DA1"/>
    <w:rsid w:val="002C75C8"/>
    <w:rsid w:val="002C777A"/>
    <w:rsid w:val="002D013F"/>
    <w:rsid w:val="002D0968"/>
    <w:rsid w:val="002D26EA"/>
    <w:rsid w:val="002D2967"/>
    <w:rsid w:val="002D33C7"/>
    <w:rsid w:val="002D361E"/>
    <w:rsid w:val="002D3F9A"/>
    <w:rsid w:val="002D47FE"/>
    <w:rsid w:val="002D7B70"/>
    <w:rsid w:val="002D7BF5"/>
    <w:rsid w:val="002E0C37"/>
    <w:rsid w:val="002E12A4"/>
    <w:rsid w:val="002E1DB4"/>
    <w:rsid w:val="002E5B19"/>
    <w:rsid w:val="002E6183"/>
    <w:rsid w:val="002E772B"/>
    <w:rsid w:val="002E7B53"/>
    <w:rsid w:val="002F1D00"/>
    <w:rsid w:val="002F2866"/>
    <w:rsid w:val="002F3B45"/>
    <w:rsid w:val="002F4660"/>
    <w:rsid w:val="002F504E"/>
    <w:rsid w:val="002F55EC"/>
    <w:rsid w:val="002F5B82"/>
    <w:rsid w:val="002F5E62"/>
    <w:rsid w:val="00300A5A"/>
    <w:rsid w:val="00302EDB"/>
    <w:rsid w:val="00303164"/>
    <w:rsid w:val="00304661"/>
    <w:rsid w:val="003069F4"/>
    <w:rsid w:val="003072D1"/>
    <w:rsid w:val="00311935"/>
    <w:rsid w:val="00314942"/>
    <w:rsid w:val="00315ECA"/>
    <w:rsid w:val="003162DE"/>
    <w:rsid w:val="003163A1"/>
    <w:rsid w:val="003168D1"/>
    <w:rsid w:val="003173B8"/>
    <w:rsid w:val="00322227"/>
    <w:rsid w:val="00323F6F"/>
    <w:rsid w:val="003253E4"/>
    <w:rsid w:val="003258CF"/>
    <w:rsid w:val="00325916"/>
    <w:rsid w:val="00326DD8"/>
    <w:rsid w:val="00327C6B"/>
    <w:rsid w:val="0033170F"/>
    <w:rsid w:val="00331CA2"/>
    <w:rsid w:val="00334383"/>
    <w:rsid w:val="003362A1"/>
    <w:rsid w:val="003373AC"/>
    <w:rsid w:val="003406CE"/>
    <w:rsid w:val="003417B7"/>
    <w:rsid w:val="00341CB3"/>
    <w:rsid w:val="00343429"/>
    <w:rsid w:val="0034351F"/>
    <w:rsid w:val="00343694"/>
    <w:rsid w:val="00343D07"/>
    <w:rsid w:val="003440C8"/>
    <w:rsid w:val="00344B0F"/>
    <w:rsid w:val="003462B6"/>
    <w:rsid w:val="0035051D"/>
    <w:rsid w:val="0035107C"/>
    <w:rsid w:val="00351538"/>
    <w:rsid w:val="00354855"/>
    <w:rsid w:val="00354C5A"/>
    <w:rsid w:val="00354CB8"/>
    <w:rsid w:val="00355CC6"/>
    <w:rsid w:val="00356092"/>
    <w:rsid w:val="00357725"/>
    <w:rsid w:val="00357A68"/>
    <w:rsid w:val="0036098B"/>
    <w:rsid w:val="00360B1F"/>
    <w:rsid w:val="003629A1"/>
    <w:rsid w:val="00362BDF"/>
    <w:rsid w:val="003630D1"/>
    <w:rsid w:val="00363312"/>
    <w:rsid w:val="0036352A"/>
    <w:rsid w:val="003637FA"/>
    <w:rsid w:val="00363986"/>
    <w:rsid w:val="00364108"/>
    <w:rsid w:val="00364CD1"/>
    <w:rsid w:val="00365F1B"/>
    <w:rsid w:val="00366189"/>
    <w:rsid w:val="00366935"/>
    <w:rsid w:val="00366E94"/>
    <w:rsid w:val="0036766C"/>
    <w:rsid w:val="00370701"/>
    <w:rsid w:val="00370A76"/>
    <w:rsid w:val="00370B61"/>
    <w:rsid w:val="00371002"/>
    <w:rsid w:val="00371BA7"/>
    <w:rsid w:val="00372756"/>
    <w:rsid w:val="003737C6"/>
    <w:rsid w:val="00373948"/>
    <w:rsid w:val="00373A37"/>
    <w:rsid w:val="00374506"/>
    <w:rsid w:val="003746B1"/>
    <w:rsid w:val="0037492D"/>
    <w:rsid w:val="00374BA5"/>
    <w:rsid w:val="003771E7"/>
    <w:rsid w:val="003778C1"/>
    <w:rsid w:val="00377F18"/>
    <w:rsid w:val="0038003D"/>
    <w:rsid w:val="00380361"/>
    <w:rsid w:val="00380EEB"/>
    <w:rsid w:val="0038273D"/>
    <w:rsid w:val="0038350E"/>
    <w:rsid w:val="00384718"/>
    <w:rsid w:val="00384812"/>
    <w:rsid w:val="003868A6"/>
    <w:rsid w:val="00386B54"/>
    <w:rsid w:val="003901F3"/>
    <w:rsid w:val="003903DA"/>
    <w:rsid w:val="00390A0F"/>
    <w:rsid w:val="003920E5"/>
    <w:rsid w:val="003936BE"/>
    <w:rsid w:val="003940C0"/>
    <w:rsid w:val="0039511A"/>
    <w:rsid w:val="00395B1F"/>
    <w:rsid w:val="003960A9"/>
    <w:rsid w:val="00396ECB"/>
    <w:rsid w:val="00397178"/>
    <w:rsid w:val="003A036D"/>
    <w:rsid w:val="003A0E58"/>
    <w:rsid w:val="003A2FAE"/>
    <w:rsid w:val="003A50E7"/>
    <w:rsid w:val="003A5519"/>
    <w:rsid w:val="003A5C5F"/>
    <w:rsid w:val="003A6147"/>
    <w:rsid w:val="003B10CC"/>
    <w:rsid w:val="003B126E"/>
    <w:rsid w:val="003B1409"/>
    <w:rsid w:val="003B2635"/>
    <w:rsid w:val="003B2637"/>
    <w:rsid w:val="003B35FC"/>
    <w:rsid w:val="003B3C9C"/>
    <w:rsid w:val="003B5D7E"/>
    <w:rsid w:val="003B5E85"/>
    <w:rsid w:val="003B6C66"/>
    <w:rsid w:val="003C0101"/>
    <w:rsid w:val="003C08A1"/>
    <w:rsid w:val="003C1392"/>
    <w:rsid w:val="003C13DB"/>
    <w:rsid w:val="003C2907"/>
    <w:rsid w:val="003C2CC0"/>
    <w:rsid w:val="003C5C90"/>
    <w:rsid w:val="003C77A2"/>
    <w:rsid w:val="003C7C60"/>
    <w:rsid w:val="003D3780"/>
    <w:rsid w:val="003D3C89"/>
    <w:rsid w:val="003D445A"/>
    <w:rsid w:val="003D4C21"/>
    <w:rsid w:val="003D4E0C"/>
    <w:rsid w:val="003E0FE3"/>
    <w:rsid w:val="003E104D"/>
    <w:rsid w:val="003E2C89"/>
    <w:rsid w:val="003E3E40"/>
    <w:rsid w:val="003E6742"/>
    <w:rsid w:val="003F0F93"/>
    <w:rsid w:val="003F158A"/>
    <w:rsid w:val="003F15EB"/>
    <w:rsid w:val="003F18DA"/>
    <w:rsid w:val="003F2B05"/>
    <w:rsid w:val="003F3DCE"/>
    <w:rsid w:val="003F4C66"/>
    <w:rsid w:val="003F4C8D"/>
    <w:rsid w:val="003F501F"/>
    <w:rsid w:val="003F562A"/>
    <w:rsid w:val="003F647D"/>
    <w:rsid w:val="003F6D13"/>
    <w:rsid w:val="003F7490"/>
    <w:rsid w:val="003F7591"/>
    <w:rsid w:val="003F765F"/>
    <w:rsid w:val="004010BD"/>
    <w:rsid w:val="00402243"/>
    <w:rsid w:val="00402302"/>
    <w:rsid w:val="004025B1"/>
    <w:rsid w:val="00403CD9"/>
    <w:rsid w:val="004041B3"/>
    <w:rsid w:val="004049E1"/>
    <w:rsid w:val="00404A3A"/>
    <w:rsid w:val="0040548E"/>
    <w:rsid w:val="00405C38"/>
    <w:rsid w:val="00406576"/>
    <w:rsid w:val="0040695C"/>
    <w:rsid w:val="0040729F"/>
    <w:rsid w:val="00407E0E"/>
    <w:rsid w:val="00410F2F"/>
    <w:rsid w:val="004120F5"/>
    <w:rsid w:val="004130AB"/>
    <w:rsid w:val="0041361B"/>
    <w:rsid w:val="00413A93"/>
    <w:rsid w:val="00415080"/>
    <w:rsid w:val="0041702F"/>
    <w:rsid w:val="00417258"/>
    <w:rsid w:val="00422D18"/>
    <w:rsid w:val="00423456"/>
    <w:rsid w:val="00423975"/>
    <w:rsid w:val="00424629"/>
    <w:rsid w:val="004251A4"/>
    <w:rsid w:val="004261CB"/>
    <w:rsid w:val="00426624"/>
    <w:rsid w:val="00427EB4"/>
    <w:rsid w:val="004305E5"/>
    <w:rsid w:val="00430B20"/>
    <w:rsid w:val="00431A05"/>
    <w:rsid w:val="00432BCA"/>
    <w:rsid w:val="00433C4A"/>
    <w:rsid w:val="00434CD4"/>
    <w:rsid w:val="00435858"/>
    <w:rsid w:val="00435E54"/>
    <w:rsid w:val="0043757C"/>
    <w:rsid w:val="004400BA"/>
    <w:rsid w:val="004402A1"/>
    <w:rsid w:val="0044069B"/>
    <w:rsid w:val="00441AD6"/>
    <w:rsid w:val="00442AF1"/>
    <w:rsid w:val="004431EC"/>
    <w:rsid w:val="00443354"/>
    <w:rsid w:val="00444107"/>
    <w:rsid w:val="00444B15"/>
    <w:rsid w:val="00446E1B"/>
    <w:rsid w:val="00447E47"/>
    <w:rsid w:val="00450B25"/>
    <w:rsid w:val="00450EF2"/>
    <w:rsid w:val="004516BD"/>
    <w:rsid w:val="00451967"/>
    <w:rsid w:val="004520F9"/>
    <w:rsid w:val="004534F9"/>
    <w:rsid w:val="004564B0"/>
    <w:rsid w:val="00461B47"/>
    <w:rsid w:val="00464A8B"/>
    <w:rsid w:val="0046524C"/>
    <w:rsid w:val="004654CC"/>
    <w:rsid w:val="0046596D"/>
    <w:rsid w:val="00466D12"/>
    <w:rsid w:val="00471251"/>
    <w:rsid w:val="004714B2"/>
    <w:rsid w:val="00471AC7"/>
    <w:rsid w:val="0047414F"/>
    <w:rsid w:val="004757D9"/>
    <w:rsid w:val="00475DD9"/>
    <w:rsid w:val="004764E4"/>
    <w:rsid w:val="004803FA"/>
    <w:rsid w:val="00481C0D"/>
    <w:rsid w:val="004855C1"/>
    <w:rsid w:val="00486443"/>
    <w:rsid w:val="00486C57"/>
    <w:rsid w:val="00487536"/>
    <w:rsid w:val="004876B1"/>
    <w:rsid w:val="0049212C"/>
    <w:rsid w:val="00492A13"/>
    <w:rsid w:val="00493237"/>
    <w:rsid w:val="00493C77"/>
    <w:rsid w:val="00495D2B"/>
    <w:rsid w:val="00497B8E"/>
    <w:rsid w:val="00497E95"/>
    <w:rsid w:val="004A3541"/>
    <w:rsid w:val="004A3F1C"/>
    <w:rsid w:val="004A4503"/>
    <w:rsid w:val="004A56E2"/>
    <w:rsid w:val="004A6C01"/>
    <w:rsid w:val="004B07FF"/>
    <w:rsid w:val="004B087F"/>
    <w:rsid w:val="004B18C9"/>
    <w:rsid w:val="004B23AB"/>
    <w:rsid w:val="004B48A2"/>
    <w:rsid w:val="004B58D7"/>
    <w:rsid w:val="004B640C"/>
    <w:rsid w:val="004B6C69"/>
    <w:rsid w:val="004B75E0"/>
    <w:rsid w:val="004B7E7F"/>
    <w:rsid w:val="004C0B80"/>
    <w:rsid w:val="004C18BB"/>
    <w:rsid w:val="004C1F81"/>
    <w:rsid w:val="004C40C1"/>
    <w:rsid w:val="004C4741"/>
    <w:rsid w:val="004C486F"/>
    <w:rsid w:val="004C4F0B"/>
    <w:rsid w:val="004C50B6"/>
    <w:rsid w:val="004C7698"/>
    <w:rsid w:val="004D0721"/>
    <w:rsid w:val="004D0D56"/>
    <w:rsid w:val="004D1863"/>
    <w:rsid w:val="004D1B93"/>
    <w:rsid w:val="004D20D9"/>
    <w:rsid w:val="004D3189"/>
    <w:rsid w:val="004D53BB"/>
    <w:rsid w:val="004D58DC"/>
    <w:rsid w:val="004D71B5"/>
    <w:rsid w:val="004D7B6D"/>
    <w:rsid w:val="004D7ECB"/>
    <w:rsid w:val="004E0323"/>
    <w:rsid w:val="004E068A"/>
    <w:rsid w:val="004E0FEE"/>
    <w:rsid w:val="004E2A6D"/>
    <w:rsid w:val="004E354F"/>
    <w:rsid w:val="004E462D"/>
    <w:rsid w:val="004E53AC"/>
    <w:rsid w:val="004E5C87"/>
    <w:rsid w:val="004E7938"/>
    <w:rsid w:val="004F12DC"/>
    <w:rsid w:val="004F47F8"/>
    <w:rsid w:val="004F58DF"/>
    <w:rsid w:val="00502D84"/>
    <w:rsid w:val="00503057"/>
    <w:rsid w:val="0050406F"/>
    <w:rsid w:val="0050501E"/>
    <w:rsid w:val="00505FA0"/>
    <w:rsid w:val="005062CE"/>
    <w:rsid w:val="005067E5"/>
    <w:rsid w:val="00511ABF"/>
    <w:rsid w:val="005127F0"/>
    <w:rsid w:val="005136FB"/>
    <w:rsid w:val="00514A29"/>
    <w:rsid w:val="00515278"/>
    <w:rsid w:val="00517D66"/>
    <w:rsid w:val="0052191D"/>
    <w:rsid w:val="005220A2"/>
    <w:rsid w:val="00522D48"/>
    <w:rsid w:val="00522FD3"/>
    <w:rsid w:val="00524732"/>
    <w:rsid w:val="00524C90"/>
    <w:rsid w:val="00524D1D"/>
    <w:rsid w:val="00525658"/>
    <w:rsid w:val="00526196"/>
    <w:rsid w:val="00530B7B"/>
    <w:rsid w:val="00532D30"/>
    <w:rsid w:val="00533327"/>
    <w:rsid w:val="00533C19"/>
    <w:rsid w:val="00534322"/>
    <w:rsid w:val="00534947"/>
    <w:rsid w:val="0053587E"/>
    <w:rsid w:val="00537D72"/>
    <w:rsid w:val="00540875"/>
    <w:rsid w:val="0054107C"/>
    <w:rsid w:val="005411DC"/>
    <w:rsid w:val="00542F05"/>
    <w:rsid w:val="00544683"/>
    <w:rsid w:val="00546067"/>
    <w:rsid w:val="005502D0"/>
    <w:rsid w:val="00550466"/>
    <w:rsid w:val="0055078E"/>
    <w:rsid w:val="00552527"/>
    <w:rsid w:val="005543EB"/>
    <w:rsid w:val="00554855"/>
    <w:rsid w:val="00555583"/>
    <w:rsid w:val="00556701"/>
    <w:rsid w:val="00560B59"/>
    <w:rsid w:val="00561462"/>
    <w:rsid w:val="0056453D"/>
    <w:rsid w:val="0056666F"/>
    <w:rsid w:val="00567A0C"/>
    <w:rsid w:val="00570A48"/>
    <w:rsid w:val="00570CE9"/>
    <w:rsid w:val="00570CFF"/>
    <w:rsid w:val="00571FE3"/>
    <w:rsid w:val="0057207D"/>
    <w:rsid w:val="00572677"/>
    <w:rsid w:val="00575212"/>
    <w:rsid w:val="005756FF"/>
    <w:rsid w:val="00576706"/>
    <w:rsid w:val="00580651"/>
    <w:rsid w:val="00580A22"/>
    <w:rsid w:val="00581C8E"/>
    <w:rsid w:val="00582735"/>
    <w:rsid w:val="0058328A"/>
    <w:rsid w:val="00585180"/>
    <w:rsid w:val="0058556E"/>
    <w:rsid w:val="00585F05"/>
    <w:rsid w:val="00586BF4"/>
    <w:rsid w:val="00592D62"/>
    <w:rsid w:val="00593A28"/>
    <w:rsid w:val="00593C20"/>
    <w:rsid w:val="00594596"/>
    <w:rsid w:val="00595F3E"/>
    <w:rsid w:val="00596573"/>
    <w:rsid w:val="00596BB8"/>
    <w:rsid w:val="00597250"/>
    <w:rsid w:val="005A0162"/>
    <w:rsid w:val="005A12B3"/>
    <w:rsid w:val="005A2616"/>
    <w:rsid w:val="005A3AA6"/>
    <w:rsid w:val="005A3FE7"/>
    <w:rsid w:val="005A518A"/>
    <w:rsid w:val="005A67E3"/>
    <w:rsid w:val="005B020A"/>
    <w:rsid w:val="005B07A8"/>
    <w:rsid w:val="005B0C3F"/>
    <w:rsid w:val="005B0E69"/>
    <w:rsid w:val="005B0FFC"/>
    <w:rsid w:val="005B169A"/>
    <w:rsid w:val="005B1B65"/>
    <w:rsid w:val="005B24B5"/>
    <w:rsid w:val="005B2AF8"/>
    <w:rsid w:val="005B2B03"/>
    <w:rsid w:val="005B3039"/>
    <w:rsid w:val="005B4397"/>
    <w:rsid w:val="005B49EB"/>
    <w:rsid w:val="005B4F0D"/>
    <w:rsid w:val="005B5344"/>
    <w:rsid w:val="005B6077"/>
    <w:rsid w:val="005B66D4"/>
    <w:rsid w:val="005B697D"/>
    <w:rsid w:val="005B7144"/>
    <w:rsid w:val="005B7CDB"/>
    <w:rsid w:val="005C0F32"/>
    <w:rsid w:val="005C3660"/>
    <w:rsid w:val="005C3964"/>
    <w:rsid w:val="005C3FCE"/>
    <w:rsid w:val="005C43D1"/>
    <w:rsid w:val="005C4913"/>
    <w:rsid w:val="005C4AF6"/>
    <w:rsid w:val="005C62E8"/>
    <w:rsid w:val="005C6505"/>
    <w:rsid w:val="005C7939"/>
    <w:rsid w:val="005D0786"/>
    <w:rsid w:val="005D098E"/>
    <w:rsid w:val="005D11C2"/>
    <w:rsid w:val="005D176B"/>
    <w:rsid w:val="005D1C90"/>
    <w:rsid w:val="005D29B8"/>
    <w:rsid w:val="005D2F08"/>
    <w:rsid w:val="005D3303"/>
    <w:rsid w:val="005D3C44"/>
    <w:rsid w:val="005D4346"/>
    <w:rsid w:val="005D4493"/>
    <w:rsid w:val="005D5D07"/>
    <w:rsid w:val="005D6112"/>
    <w:rsid w:val="005D7D5E"/>
    <w:rsid w:val="005E0144"/>
    <w:rsid w:val="005E11DF"/>
    <w:rsid w:val="005E38DE"/>
    <w:rsid w:val="005E42B1"/>
    <w:rsid w:val="005E4315"/>
    <w:rsid w:val="005E5835"/>
    <w:rsid w:val="005E6375"/>
    <w:rsid w:val="005E6A6C"/>
    <w:rsid w:val="005F1E04"/>
    <w:rsid w:val="005F2086"/>
    <w:rsid w:val="005F3112"/>
    <w:rsid w:val="005F394F"/>
    <w:rsid w:val="005F570A"/>
    <w:rsid w:val="005F5EE6"/>
    <w:rsid w:val="005F7414"/>
    <w:rsid w:val="00600831"/>
    <w:rsid w:val="0060087D"/>
    <w:rsid w:val="00601790"/>
    <w:rsid w:val="00602AD2"/>
    <w:rsid w:val="00602E3A"/>
    <w:rsid w:val="006031DE"/>
    <w:rsid w:val="00603CFF"/>
    <w:rsid w:val="0060639A"/>
    <w:rsid w:val="00607AF3"/>
    <w:rsid w:val="00607D01"/>
    <w:rsid w:val="00610709"/>
    <w:rsid w:val="006115CD"/>
    <w:rsid w:val="00611ADA"/>
    <w:rsid w:val="00612B6F"/>
    <w:rsid w:val="00612D93"/>
    <w:rsid w:val="006147F0"/>
    <w:rsid w:val="00615FCF"/>
    <w:rsid w:val="006175E2"/>
    <w:rsid w:val="00617863"/>
    <w:rsid w:val="00620E33"/>
    <w:rsid w:val="00620FF8"/>
    <w:rsid w:val="0062314B"/>
    <w:rsid w:val="00623C62"/>
    <w:rsid w:val="00624366"/>
    <w:rsid w:val="006245AB"/>
    <w:rsid w:val="00624A77"/>
    <w:rsid w:val="0062591B"/>
    <w:rsid w:val="00625EA6"/>
    <w:rsid w:val="006270CD"/>
    <w:rsid w:val="00632F6E"/>
    <w:rsid w:val="00635482"/>
    <w:rsid w:val="006358FE"/>
    <w:rsid w:val="00635B70"/>
    <w:rsid w:val="00637714"/>
    <w:rsid w:val="0064097F"/>
    <w:rsid w:val="006456A9"/>
    <w:rsid w:val="00653FCD"/>
    <w:rsid w:val="00654A8F"/>
    <w:rsid w:val="006551AF"/>
    <w:rsid w:val="006559C0"/>
    <w:rsid w:val="00656031"/>
    <w:rsid w:val="0065672E"/>
    <w:rsid w:val="00656D3E"/>
    <w:rsid w:val="006578A3"/>
    <w:rsid w:val="00657BD7"/>
    <w:rsid w:val="00660666"/>
    <w:rsid w:val="0066070E"/>
    <w:rsid w:val="006608E2"/>
    <w:rsid w:val="006645C6"/>
    <w:rsid w:val="00664661"/>
    <w:rsid w:val="0066540E"/>
    <w:rsid w:val="00665C78"/>
    <w:rsid w:val="006670F3"/>
    <w:rsid w:val="006675F9"/>
    <w:rsid w:val="00667F84"/>
    <w:rsid w:val="00671515"/>
    <w:rsid w:val="00673B36"/>
    <w:rsid w:val="00674776"/>
    <w:rsid w:val="00676537"/>
    <w:rsid w:val="0067662C"/>
    <w:rsid w:val="006772EB"/>
    <w:rsid w:val="00682B36"/>
    <w:rsid w:val="006833F8"/>
    <w:rsid w:val="00683DCB"/>
    <w:rsid w:val="00683F7F"/>
    <w:rsid w:val="00686607"/>
    <w:rsid w:val="00686D48"/>
    <w:rsid w:val="00687228"/>
    <w:rsid w:val="006906E5"/>
    <w:rsid w:val="00690FF3"/>
    <w:rsid w:val="0069248F"/>
    <w:rsid w:val="0069249C"/>
    <w:rsid w:val="00692594"/>
    <w:rsid w:val="006941F9"/>
    <w:rsid w:val="00694456"/>
    <w:rsid w:val="0069543D"/>
    <w:rsid w:val="00696125"/>
    <w:rsid w:val="006962B2"/>
    <w:rsid w:val="006A028F"/>
    <w:rsid w:val="006A089A"/>
    <w:rsid w:val="006A0EF2"/>
    <w:rsid w:val="006A3423"/>
    <w:rsid w:val="006A3AA5"/>
    <w:rsid w:val="006A3CD2"/>
    <w:rsid w:val="006A3DE8"/>
    <w:rsid w:val="006A4318"/>
    <w:rsid w:val="006A4AA1"/>
    <w:rsid w:val="006A53C2"/>
    <w:rsid w:val="006A5488"/>
    <w:rsid w:val="006A56CE"/>
    <w:rsid w:val="006A6E20"/>
    <w:rsid w:val="006A6E27"/>
    <w:rsid w:val="006A7368"/>
    <w:rsid w:val="006B48F2"/>
    <w:rsid w:val="006B5727"/>
    <w:rsid w:val="006B7C89"/>
    <w:rsid w:val="006C1F99"/>
    <w:rsid w:val="006C2CA2"/>
    <w:rsid w:val="006C32DB"/>
    <w:rsid w:val="006C4437"/>
    <w:rsid w:val="006C7B1B"/>
    <w:rsid w:val="006C7C4A"/>
    <w:rsid w:val="006C7FEC"/>
    <w:rsid w:val="006D3A2D"/>
    <w:rsid w:val="006D4173"/>
    <w:rsid w:val="006D654F"/>
    <w:rsid w:val="006D6C35"/>
    <w:rsid w:val="006D7158"/>
    <w:rsid w:val="006D7641"/>
    <w:rsid w:val="006E0F3C"/>
    <w:rsid w:val="006E2215"/>
    <w:rsid w:val="006E256B"/>
    <w:rsid w:val="006E4347"/>
    <w:rsid w:val="006E46AE"/>
    <w:rsid w:val="006E4FB6"/>
    <w:rsid w:val="006E55A6"/>
    <w:rsid w:val="006E5C99"/>
    <w:rsid w:val="006E5DF5"/>
    <w:rsid w:val="006E677E"/>
    <w:rsid w:val="006E6961"/>
    <w:rsid w:val="006F12DA"/>
    <w:rsid w:val="006F17A9"/>
    <w:rsid w:val="006F1DAC"/>
    <w:rsid w:val="006F20D6"/>
    <w:rsid w:val="006F2538"/>
    <w:rsid w:val="006F2C3A"/>
    <w:rsid w:val="006F3555"/>
    <w:rsid w:val="006F495F"/>
    <w:rsid w:val="006F4A62"/>
    <w:rsid w:val="006F55B1"/>
    <w:rsid w:val="006F5EEB"/>
    <w:rsid w:val="006F6EAC"/>
    <w:rsid w:val="006F7446"/>
    <w:rsid w:val="006F7EC3"/>
    <w:rsid w:val="00700F29"/>
    <w:rsid w:val="0070332C"/>
    <w:rsid w:val="00703A45"/>
    <w:rsid w:val="00703A64"/>
    <w:rsid w:val="00704A54"/>
    <w:rsid w:val="00706C09"/>
    <w:rsid w:val="00707474"/>
    <w:rsid w:val="007135E0"/>
    <w:rsid w:val="00713CF6"/>
    <w:rsid w:val="0071416B"/>
    <w:rsid w:val="007145D7"/>
    <w:rsid w:val="00720238"/>
    <w:rsid w:val="00721A6E"/>
    <w:rsid w:val="00721BD8"/>
    <w:rsid w:val="00721E16"/>
    <w:rsid w:val="00722312"/>
    <w:rsid w:val="00722631"/>
    <w:rsid w:val="0072299D"/>
    <w:rsid w:val="00722BF7"/>
    <w:rsid w:val="007233A7"/>
    <w:rsid w:val="00723620"/>
    <w:rsid w:val="007242C3"/>
    <w:rsid w:val="0072583A"/>
    <w:rsid w:val="0072603A"/>
    <w:rsid w:val="007264CC"/>
    <w:rsid w:val="007314DC"/>
    <w:rsid w:val="007316AC"/>
    <w:rsid w:val="00732522"/>
    <w:rsid w:val="0073260D"/>
    <w:rsid w:val="0073278C"/>
    <w:rsid w:val="007330B5"/>
    <w:rsid w:val="00733A3E"/>
    <w:rsid w:val="0073500F"/>
    <w:rsid w:val="007353B5"/>
    <w:rsid w:val="0073551D"/>
    <w:rsid w:val="00735A44"/>
    <w:rsid w:val="00740DEA"/>
    <w:rsid w:val="00741197"/>
    <w:rsid w:val="00741443"/>
    <w:rsid w:val="007416C4"/>
    <w:rsid w:val="007421CF"/>
    <w:rsid w:val="00745353"/>
    <w:rsid w:val="007459DC"/>
    <w:rsid w:val="007474D9"/>
    <w:rsid w:val="0075060C"/>
    <w:rsid w:val="00750B3F"/>
    <w:rsid w:val="00751098"/>
    <w:rsid w:val="007513AA"/>
    <w:rsid w:val="00751B67"/>
    <w:rsid w:val="0075324D"/>
    <w:rsid w:val="0075480C"/>
    <w:rsid w:val="00754DEE"/>
    <w:rsid w:val="007559A0"/>
    <w:rsid w:val="00755F5C"/>
    <w:rsid w:val="00755F60"/>
    <w:rsid w:val="0075762B"/>
    <w:rsid w:val="0076044A"/>
    <w:rsid w:val="00760A91"/>
    <w:rsid w:val="007632B6"/>
    <w:rsid w:val="00763E9C"/>
    <w:rsid w:val="00763F25"/>
    <w:rsid w:val="00771B4A"/>
    <w:rsid w:val="00771B5F"/>
    <w:rsid w:val="0077477F"/>
    <w:rsid w:val="00775789"/>
    <w:rsid w:val="00775DEE"/>
    <w:rsid w:val="00776979"/>
    <w:rsid w:val="00777FBF"/>
    <w:rsid w:val="007801B0"/>
    <w:rsid w:val="0078077F"/>
    <w:rsid w:val="007838F3"/>
    <w:rsid w:val="00784E7E"/>
    <w:rsid w:val="00785B6F"/>
    <w:rsid w:val="00786188"/>
    <w:rsid w:val="0078665A"/>
    <w:rsid w:val="00786FCC"/>
    <w:rsid w:val="0078700C"/>
    <w:rsid w:val="00787D30"/>
    <w:rsid w:val="007949FB"/>
    <w:rsid w:val="00794CD7"/>
    <w:rsid w:val="00797357"/>
    <w:rsid w:val="007A0089"/>
    <w:rsid w:val="007A1ADA"/>
    <w:rsid w:val="007A3E07"/>
    <w:rsid w:val="007A75A8"/>
    <w:rsid w:val="007B0526"/>
    <w:rsid w:val="007B1899"/>
    <w:rsid w:val="007B269A"/>
    <w:rsid w:val="007B2BA9"/>
    <w:rsid w:val="007B48A8"/>
    <w:rsid w:val="007B4C9A"/>
    <w:rsid w:val="007B762C"/>
    <w:rsid w:val="007B7916"/>
    <w:rsid w:val="007B7F71"/>
    <w:rsid w:val="007C0B7D"/>
    <w:rsid w:val="007C2031"/>
    <w:rsid w:val="007C2061"/>
    <w:rsid w:val="007C224E"/>
    <w:rsid w:val="007C23DF"/>
    <w:rsid w:val="007C315B"/>
    <w:rsid w:val="007C40BC"/>
    <w:rsid w:val="007C424E"/>
    <w:rsid w:val="007C4612"/>
    <w:rsid w:val="007C4FAF"/>
    <w:rsid w:val="007C531C"/>
    <w:rsid w:val="007C552E"/>
    <w:rsid w:val="007C6776"/>
    <w:rsid w:val="007D11AE"/>
    <w:rsid w:val="007D402F"/>
    <w:rsid w:val="007D47C3"/>
    <w:rsid w:val="007D556D"/>
    <w:rsid w:val="007D601B"/>
    <w:rsid w:val="007D6313"/>
    <w:rsid w:val="007D6CD7"/>
    <w:rsid w:val="007D6D1A"/>
    <w:rsid w:val="007D7A71"/>
    <w:rsid w:val="007E03D3"/>
    <w:rsid w:val="007E0CA0"/>
    <w:rsid w:val="007E16CF"/>
    <w:rsid w:val="007E2DC5"/>
    <w:rsid w:val="007E30E7"/>
    <w:rsid w:val="007E346B"/>
    <w:rsid w:val="007E3800"/>
    <w:rsid w:val="007E3ADE"/>
    <w:rsid w:val="007E4D13"/>
    <w:rsid w:val="007E5507"/>
    <w:rsid w:val="007E56A7"/>
    <w:rsid w:val="007E607C"/>
    <w:rsid w:val="007E6984"/>
    <w:rsid w:val="007F0F86"/>
    <w:rsid w:val="007F3DB1"/>
    <w:rsid w:val="007F4290"/>
    <w:rsid w:val="007F777F"/>
    <w:rsid w:val="008003B6"/>
    <w:rsid w:val="00800AD4"/>
    <w:rsid w:val="0080291E"/>
    <w:rsid w:val="0080311B"/>
    <w:rsid w:val="00805125"/>
    <w:rsid w:val="00805258"/>
    <w:rsid w:val="0080574A"/>
    <w:rsid w:val="008062DE"/>
    <w:rsid w:val="00807261"/>
    <w:rsid w:val="008107BE"/>
    <w:rsid w:val="00810C9F"/>
    <w:rsid w:val="00811725"/>
    <w:rsid w:val="00813536"/>
    <w:rsid w:val="0081385D"/>
    <w:rsid w:val="008148DF"/>
    <w:rsid w:val="00814CC4"/>
    <w:rsid w:val="008155EE"/>
    <w:rsid w:val="00816256"/>
    <w:rsid w:val="008177CF"/>
    <w:rsid w:val="00821C99"/>
    <w:rsid w:val="0082387F"/>
    <w:rsid w:val="00823B57"/>
    <w:rsid w:val="0082551F"/>
    <w:rsid w:val="008255AB"/>
    <w:rsid w:val="008263D3"/>
    <w:rsid w:val="0082719B"/>
    <w:rsid w:val="008276EA"/>
    <w:rsid w:val="008327E4"/>
    <w:rsid w:val="008332A3"/>
    <w:rsid w:val="008342BA"/>
    <w:rsid w:val="00834484"/>
    <w:rsid w:val="00834BFB"/>
    <w:rsid w:val="00834CE1"/>
    <w:rsid w:val="0083619A"/>
    <w:rsid w:val="00836D09"/>
    <w:rsid w:val="0084032D"/>
    <w:rsid w:val="008412B5"/>
    <w:rsid w:val="00842CD8"/>
    <w:rsid w:val="00846399"/>
    <w:rsid w:val="008466B0"/>
    <w:rsid w:val="00847F07"/>
    <w:rsid w:val="008504B5"/>
    <w:rsid w:val="00851F70"/>
    <w:rsid w:val="0085256A"/>
    <w:rsid w:val="00852978"/>
    <w:rsid w:val="008549D1"/>
    <w:rsid w:val="00854C8A"/>
    <w:rsid w:val="00855FEC"/>
    <w:rsid w:val="00856939"/>
    <w:rsid w:val="00856C8D"/>
    <w:rsid w:val="0086042C"/>
    <w:rsid w:val="00860492"/>
    <w:rsid w:val="00862010"/>
    <w:rsid w:val="00862696"/>
    <w:rsid w:val="008633F3"/>
    <w:rsid w:val="00863E99"/>
    <w:rsid w:val="00864612"/>
    <w:rsid w:val="0086465F"/>
    <w:rsid w:val="008734AF"/>
    <w:rsid w:val="00873890"/>
    <w:rsid w:val="00875578"/>
    <w:rsid w:val="008766A1"/>
    <w:rsid w:val="00876BB7"/>
    <w:rsid w:val="00877138"/>
    <w:rsid w:val="00877D02"/>
    <w:rsid w:val="00880F80"/>
    <w:rsid w:val="00883BBE"/>
    <w:rsid w:val="00883F80"/>
    <w:rsid w:val="008840A4"/>
    <w:rsid w:val="00884478"/>
    <w:rsid w:val="0088568C"/>
    <w:rsid w:val="008863D8"/>
    <w:rsid w:val="008901EE"/>
    <w:rsid w:val="008911FE"/>
    <w:rsid w:val="00892FB2"/>
    <w:rsid w:val="00893898"/>
    <w:rsid w:val="0089448F"/>
    <w:rsid w:val="00895DFA"/>
    <w:rsid w:val="00896183"/>
    <w:rsid w:val="0089688C"/>
    <w:rsid w:val="008A095A"/>
    <w:rsid w:val="008A0CD1"/>
    <w:rsid w:val="008A1560"/>
    <w:rsid w:val="008A156F"/>
    <w:rsid w:val="008A23AC"/>
    <w:rsid w:val="008A2429"/>
    <w:rsid w:val="008A2C49"/>
    <w:rsid w:val="008A2CED"/>
    <w:rsid w:val="008A3B7A"/>
    <w:rsid w:val="008A3D75"/>
    <w:rsid w:val="008A5CDA"/>
    <w:rsid w:val="008A6F33"/>
    <w:rsid w:val="008A75F7"/>
    <w:rsid w:val="008B1084"/>
    <w:rsid w:val="008B1985"/>
    <w:rsid w:val="008B1BC9"/>
    <w:rsid w:val="008B3409"/>
    <w:rsid w:val="008B397C"/>
    <w:rsid w:val="008B567C"/>
    <w:rsid w:val="008B626E"/>
    <w:rsid w:val="008B6ABC"/>
    <w:rsid w:val="008B7182"/>
    <w:rsid w:val="008B74AF"/>
    <w:rsid w:val="008B7D87"/>
    <w:rsid w:val="008C02E1"/>
    <w:rsid w:val="008C23D1"/>
    <w:rsid w:val="008C34A1"/>
    <w:rsid w:val="008C3FC0"/>
    <w:rsid w:val="008C5115"/>
    <w:rsid w:val="008C7FAA"/>
    <w:rsid w:val="008D0CA2"/>
    <w:rsid w:val="008D109A"/>
    <w:rsid w:val="008D1104"/>
    <w:rsid w:val="008D26BB"/>
    <w:rsid w:val="008D2BB5"/>
    <w:rsid w:val="008D2D88"/>
    <w:rsid w:val="008D4966"/>
    <w:rsid w:val="008D4CD4"/>
    <w:rsid w:val="008D7188"/>
    <w:rsid w:val="008D73C0"/>
    <w:rsid w:val="008D77B6"/>
    <w:rsid w:val="008E0997"/>
    <w:rsid w:val="008E10DB"/>
    <w:rsid w:val="008E11AB"/>
    <w:rsid w:val="008E29BE"/>
    <w:rsid w:val="008E3038"/>
    <w:rsid w:val="008E401C"/>
    <w:rsid w:val="008E40D0"/>
    <w:rsid w:val="008E41E5"/>
    <w:rsid w:val="008E5755"/>
    <w:rsid w:val="008E6864"/>
    <w:rsid w:val="008E76AA"/>
    <w:rsid w:val="008F0180"/>
    <w:rsid w:val="008F0B78"/>
    <w:rsid w:val="008F0FDF"/>
    <w:rsid w:val="008F2961"/>
    <w:rsid w:val="008F2C15"/>
    <w:rsid w:val="008F39C1"/>
    <w:rsid w:val="008F52CD"/>
    <w:rsid w:val="008F622D"/>
    <w:rsid w:val="008F7A1B"/>
    <w:rsid w:val="008F7DFD"/>
    <w:rsid w:val="00901DFE"/>
    <w:rsid w:val="0090205F"/>
    <w:rsid w:val="009032B3"/>
    <w:rsid w:val="009048EC"/>
    <w:rsid w:val="00905090"/>
    <w:rsid w:val="009056CA"/>
    <w:rsid w:val="00906113"/>
    <w:rsid w:val="00906E29"/>
    <w:rsid w:val="0091123B"/>
    <w:rsid w:val="009112D7"/>
    <w:rsid w:val="009115A4"/>
    <w:rsid w:val="009118F6"/>
    <w:rsid w:val="00912172"/>
    <w:rsid w:val="00912FF1"/>
    <w:rsid w:val="0091372A"/>
    <w:rsid w:val="009147AF"/>
    <w:rsid w:val="00915428"/>
    <w:rsid w:val="0091600C"/>
    <w:rsid w:val="00916BB3"/>
    <w:rsid w:val="00917E42"/>
    <w:rsid w:val="00921282"/>
    <w:rsid w:val="009216DB"/>
    <w:rsid w:val="0092172F"/>
    <w:rsid w:val="00921C24"/>
    <w:rsid w:val="0092324C"/>
    <w:rsid w:val="00927B30"/>
    <w:rsid w:val="00930A75"/>
    <w:rsid w:val="00931F14"/>
    <w:rsid w:val="009335FE"/>
    <w:rsid w:val="009355BA"/>
    <w:rsid w:val="009363AE"/>
    <w:rsid w:val="009363D0"/>
    <w:rsid w:val="00937F1A"/>
    <w:rsid w:val="009401E9"/>
    <w:rsid w:val="0094174F"/>
    <w:rsid w:val="00941C0C"/>
    <w:rsid w:val="00942DB5"/>
    <w:rsid w:val="00943D50"/>
    <w:rsid w:val="009442D5"/>
    <w:rsid w:val="00944F17"/>
    <w:rsid w:val="0094581C"/>
    <w:rsid w:val="00945D34"/>
    <w:rsid w:val="00951647"/>
    <w:rsid w:val="0095202C"/>
    <w:rsid w:val="00952906"/>
    <w:rsid w:val="009541E9"/>
    <w:rsid w:val="00954338"/>
    <w:rsid w:val="00954FC4"/>
    <w:rsid w:val="009552F5"/>
    <w:rsid w:val="00955A6B"/>
    <w:rsid w:val="00956190"/>
    <w:rsid w:val="009572CD"/>
    <w:rsid w:val="0095741E"/>
    <w:rsid w:val="009574C2"/>
    <w:rsid w:val="0096159D"/>
    <w:rsid w:val="00963262"/>
    <w:rsid w:val="00963D09"/>
    <w:rsid w:val="00965612"/>
    <w:rsid w:val="00967606"/>
    <w:rsid w:val="00967CDF"/>
    <w:rsid w:val="00967DBF"/>
    <w:rsid w:val="00970AE1"/>
    <w:rsid w:val="00972965"/>
    <w:rsid w:val="00973267"/>
    <w:rsid w:val="009740BC"/>
    <w:rsid w:val="009748A1"/>
    <w:rsid w:val="00974B28"/>
    <w:rsid w:val="00980F3B"/>
    <w:rsid w:val="00983211"/>
    <w:rsid w:val="00983990"/>
    <w:rsid w:val="00993136"/>
    <w:rsid w:val="00994233"/>
    <w:rsid w:val="00997712"/>
    <w:rsid w:val="00997C59"/>
    <w:rsid w:val="009A0733"/>
    <w:rsid w:val="009A0F37"/>
    <w:rsid w:val="009A20F6"/>
    <w:rsid w:val="009A24FC"/>
    <w:rsid w:val="009A2E0F"/>
    <w:rsid w:val="009A3617"/>
    <w:rsid w:val="009A40AF"/>
    <w:rsid w:val="009A6261"/>
    <w:rsid w:val="009A65E4"/>
    <w:rsid w:val="009B0647"/>
    <w:rsid w:val="009B08CA"/>
    <w:rsid w:val="009B0E3B"/>
    <w:rsid w:val="009B1613"/>
    <w:rsid w:val="009B18AE"/>
    <w:rsid w:val="009B19DA"/>
    <w:rsid w:val="009B2883"/>
    <w:rsid w:val="009B2B6E"/>
    <w:rsid w:val="009B3707"/>
    <w:rsid w:val="009B46ED"/>
    <w:rsid w:val="009B4973"/>
    <w:rsid w:val="009B507B"/>
    <w:rsid w:val="009B5511"/>
    <w:rsid w:val="009B56D3"/>
    <w:rsid w:val="009B57C7"/>
    <w:rsid w:val="009B5F70"/>
    <w:rsid w:val="009C0443"/>
    <w:rsid w:val="009C0A9C"/>
    <w:rsid w:val="009C11D0"/>
    <w:rsid w:val="009C32FE"/>
    <w:rsid w:val="009C4677"/>
    <w:rsid w:val="009C6312"/>
    <w:rsid w:val="009C67BD"/>
    <w:rsid w:val="009D2327"/>
    <w:rsid w:val="009D3AFE"/>
    <w:rsid w:val="009D4929"/>
    <w:rsid w:val="009D4BC2"/>
    <w:rsid w:val="009D60CC"/>
    <w:rsid w:val="009D6B40"/>
    <w:rsid w:val="009D78EE"/>
    <w:rsid w:val="009D7B6F"/>
    <w:rsid w:val="009E1AFC"/>
    <w:rsid w:val="009E3A78"/>
    <w:rsid w:val="009E3A7B"/>
    <w:rsid w:val="009E4EEF"/>
    <w:rsid w:val="009E629A"/>
    <w:rsid w:val="009E73DF"/>
    <w:rsid w:val="009E78BA"/>
    <w:rsid w:val="009F0008"/>
    <w:rsid w:val="009F04D0"/>
    <w:rsid w:val="009F0AB3"/>
    <w:rsid w:val="009F3343"/>
    <w:rsid w:val="009F4234"/>
    <w:rsid w:val="009F5523"/>
    <w:rsid w:val="009F59C0"/>
    <w:rsid w:val="009F5BC1"/>
    <w:rsid w:val="009F63EA"/>
    <w:rsid w:val="009F6F2C"/>
    <w:rsid w:val="00A024E2"/>
    <w:rsid w:val="00A02B94"/>
    <w:rsid w:val="00A02C75"/>
    <w:rsid w:val="00A03CBA"/>
    <w:rsid w:val="00A044B3"/>
    <w:rsid w:val="00A056CA"/>
    <w:rsid w:val="00A06D7E"/>
    <w:rsid w:val="00A13B06"/>
    <w:rsid w:val="00A14A34"/>
    <w:rsid w:val="00A14BF6"/>
    <w:rsid w:val="00A154A2"/>
    <w:rsid w:val="00A15715"/>
    <w:rsid w:val="00A161CD"/>
    <w:rsid w:val="00A162FE"/>
    <w:rsid w:val="00A166DD"/>
    <w:rsid w:val="00A203CA"/>
    <w:rsid w:val="00A212C7"/>
    <w:rsid w:val="00A21A5A"/>
    <w:rsid w:val="00A22077"/>
    <w:rsid w:val="00A23A7C"/>
    <w:rsid w:val="00A24EB1"/>
    <w:rsid w:val="00A254F9"/>
    <w:rsid w:val="00A2679B"/>
    <w:rsid w:val="00A31D24"/>
    <w:rsid w:val="00A32AF3"/>
    <w:rsid w:val="00A334B6"/>
    <w:rsid w:val="00A33B3E"/>
    <w:rsid w:val="00A35D18"/>
    <w:rsid w:val="00A35D8A"/>
    <w:rsid w:val="00A36363"/>
    <w:rsid w:val="00A3657C"/>
    <w:rsid w:val="00A36E0B"/>
    <w:rsid w:val="00A37C07"/>
    <w:rsid w:val="00A41664"/>
    <w:rsid w:val="00A41994"/>
    <w:rsid w:val="00A42A8A"/>
    <w:rsid w:val="00A4307B"/>
    <w:rsid w:val="00A43D4F"/>
    <w:rsid w:val="00A43E37"/>
    <w:rsid w:val="00A444FF"/>
    <w:rsid w:val="00A44EA0"/>
    <w:rsid w:val="00A44FB7"/>
    <w:rsid w:val="00A45828"/>
    <w:rsid w:val="00A45E8C"/>
    <w:rsid w:val="00A46059"/>
    <w:rsid w:val="00A47854"/>
    <w:rsid w:val="00A505D2"/>
    <w:rsid w:val="00A50C9A"/>
    <w:rsid w:val="00A52726"/>
    <w:rsid w:val="00A53C99"/>
    <w:rsid w:val="00A54683"/>
    <w:rsid w:val="00A547F4"/>
    <w:rsid w:val="00A556F8"/>
    <w:rsid w:val="00A56121"/>
    <w:rsid w:val="00A562C9"/>
    <w:rsid w:val="00A57616"/>
    <w:rsid w:val="00A60808"/>
    <w:rsid w:val="00A62135"/>
    <w:rsid w:val="00A6545F"/>
    <w:rsid w:val="00A6686B"/>
    <w:rsid w:val="00A66E5F"/>
    <w:rsid w:val="00A677CB"/>
    <w:rsid w:val="00A67DA6"/>
    <w:rsid w:val="00A72EC2"/>
    <w:rsid w:val="00A742A7"/>
    <w:rsid w:val="00A7435D"/>
    <w:rsid w:val="00A74E93"/>
    <w:rsid w:val="00A7544D"/>
    <w:rsid w:val="00A7626C"/>
    <w:rsid w:val="00A76E72"/>
    <w:rsid w:val="00A77805"/>
    <w:rsid w:val="00A80F70"/>
    <w:rsid w:val="00A83266"/>
    <w:rsid w:val="00A834FC"/>
    <w:rsid w:val="00A845DE"/>
    <w:rsid w:val="00A84F52"/>
    <w:rsid w:val="00A8664B"/>
    <w:rsid w:val="00A86CAD"/>
    <w:rsid w:val="00A873A5"/>
    <w:rsid w:val="00A87530"/>
    <w:rsid w:val="00A924E4"/>
    <w:rsid w:val="00A94D81"/>
    <w:rsid w:val="00A97055"/>
    <w:rsid w:val="00AA1296"/>
    <w:rsid w:val="00AA1561"/>
    <w:rsid w:val="00AA383A"/>
    <w:rsid w:val="00AA421E"/>
    <w:rsid w:val="00AA427E"/>
    <w:rsid w:val="00AA5077"/>
    <w:rsid w:val="00AA5550"/>
    <w:rsid w:val="00AA5A1C"/>
    <w:rsid w:val="00AA735C"/>
    <w:rsid w:val="00AA7CE9"/>
    <w:rsid w:val="00AB0549"/>
    <w:rsid w:val="00AB21E0"/>
    <w:rsid w:val="00AB32F4"/>
    <w:rsid w:val="00AB43D5"/>
    <w:rsid w:val="00AB5F12"/>
    <w:rsid w:val="00AB627D"/>
    <w:rsid w:val="00AB716B"/>
    <w:rsid w:val="00AB7AF2"/>
    <w:rsid w:val="00AC1745"/>
    <w:rsid w:val="00AC3FC5"/>
    <w:rsid w:val="00AC42AC"/>
    <w:rsid w:val="00AC4F22"/>
    <w:rsid w:val="00AC5743"/>
    <w:rsid w:val="00AC5A10"/>
    <w:rsid w:val="00AC5A53"/>
    <w:rsid w:val="00AC5E37"/>
    <w:rsid w:val="00AD18CF"/>
    <w:rsid w:val="00AD3504"/>
    <w:rsid w:val="00AD3B62"/>
    <w:rsid w:val="00AE1697"/>
    <w:rsid w:val="00AE27F7"/>
    <w:rsid w:val="00AE4171"/>
    <w:rsid w:val="00AE4A17"/>
    <w:rsid w:val="00AE6ABD"/>
    <w:rsid w:val="00AE6DBE"/>
    <w:rsid w:val="00AE73BE"/>
    <w:rsid w:val="00AE75DA"/>
    <w:rsid w:val="00AF6733"/>
    <w:rsid w:val="00AF73D1"/>
    <w:rsid w:val="00AF7784"/>
    <w:rsid w:val="00B00AD0"/>
    <w:rsid w:val="00B00F85"/>
    <w:rsid w:val="00B01410"/>
    <w:rsid w:val="00B026C4"/>
    <w:rsid w:val="00B02C22"/>
    <w:rsid w:val="00B037AF"/>
    <w:rsid w:val="00B0398D"/>
    <w:rsid w:val="00B06585"/>
    <w:rsid w:val="00B10000"/>
    <w:rsid w:val="00B11179"/>
    <w:rsid w:val="00B120AC"/>
    <w:rsid w:val="00B140AE"/>
    <w:rsid w:val="00B15689"/>
    <w:rsid w:val="00B167E7"/>
    <w:rsid w:val="00B16860"/>
    <w:rsid w:val="00B1762A"/>
    <w:rsid w:val="00B214EE"/>
    <w:rsid w:val="00B21FBC"/>
    <w:rsid w:val="00B22486"/>
    <w:rsid w:val="00B236A5"/>
    <w:rsid w:val="00B24C73"/>
    <w:rsid w:val="00B24D62"/>
    <w:rsid w:val="00B24E7E"/>
    <w:rsid w:val="00B26173"/>
    <w:rsid w:val="00B27394"/>
    <w:rsid w:val="00B27A21"/>
    <w:rsid w:val="00B30F0A"/>
    <w:rsid w:val="00B3180C"/>
    <w:rsid w:val="00B32570"/>
    <w:rsid w:val="00B3322C"/>
    <w:rsid w:val="00B33A56"/>
    <w:rsid w:val="00B33A94"/>
    <w:rsid w:val="00B33B4E"/>
    <w:rsid w:val="00B35046"/>
    <w:rsid w:val="00B35CE4"/>
    <w:rsid w:val="00B36136"/>
    <w:rsid w:val="00B36302"/>
    <w:rsid w:val="00B36F04"/>
    <w:rsid w:val="00B37489"/>
    <w:rsid w:val="00B43BA8"/>
    <w:rsid w:val="00B45512"/>
    <w:rsid w:val="00B465C2"/>
    <w:rsid w:val="00B47874"/>
    <w:rsid w:val="00B5085F"/>
    <w:rsid w:val="00B518D5"/>
    <w:rsid w:val="00B53586"/>
    <w:rsid w:val="00B54726"/>
    <w:rsid w:val="00B55987"/>
    <w:rsid w:val="00B60B81"/>
    <w:rsid w:val="00B62632"/>
    <w:rsid w:val="00B62B2E"/>
    <w:rsid w:val="00B6368B"/>
    <w:rsid w:val="00B63AC6"/>
    <w:rsid w:val="00B65645"/>
    <w:rsid w:val="00B6694F"/>
    <w:rsid w:val="00B673B6"/>
    <w:rsid w:val="00B67691"/>
    <w:rsid w:val="00B7120A"/>
    <w:rsid w:val="00B71AB2"/>
    <w:rsid w:val="00B72925"/>
    <w:rsid w:val="00B740F5"/>
    <w:rsid w:val="00B774CB"/>
    <w:rsid w:val="00B802A9"/>
    <w:rsid w:val="00B80409"/>
    <w:rsid w:val="00B80E2E"/>
    <w:rsid w:val="00B81719"/>
    <w:rsid w:val="00B821A9"/>
    <w:rsid w:val="00B82AC0"/>
    <w:rsid w:val="00B834DB"/>
    <w:rsid w:val="00B859CA"/>
    <w:rsid w:val="00B85CE9"/>
    <w:rsid w:val="00B863BD"/>
    <w:rsid w:val="00B864EF"/>
    <w:rsid w:val="00B86943"/>
    <w:rsid w:val="00B901CC"/>
    <w:rsid w:val="00B92831"/>
    <w:rsid w:val="00B93424"/>
    <w:rsid w:val="00B9464F"/>
    <w:rsid w:val="00B954B9"/>
    <w:rsid w:val="00B95D31"/>
    <w:rsid w:val="00B960AC"/>
    <w:rsid w:val="00B964C7"/>
    <w:rsid w:val="00B96B05"/>
    <w:rsid w:val="00B97A7E"/>
    <w:rsid w:val="00BA01FF"/>
    <w:rsid w:val="00BA0B9A"/>
    <w:rsid w:val="00BA1A37"/>
    <w:rsid w:val="00BA1ADF"/>
    <w:rsid w:val="00BA2BAD"/>
    <w:rsid w:val="00BA2D5C"/>
    <w:rsid w:val="00BA3253"/>
    <w:rsid w:val="00BA4465"/>
    <w:rsid w:val="00BA67CE"/>
    <w:rsid w:val="00BA6A91"/>
    <w:rsid w:val="00BB193D"/>
    <w:rsid w:val="00BB1CE3"/>
    <w:rsid w:val="00BB38E2"/>
    <w:rsid w:val="00BB450E"/>
    <w:rsid w:val="00BB461D"/>
    <w:rsid w:val="00BB5C28"/>
    <w:rsid w:val="00BB5CDC"/>
    <w:rsid w:val="00BB5D53"/>
    <w:rsid w:val="00BB6C33"/>
    <w:rsid w:val="00BB7555"/>
    <w:rsid w:val="00BC0685"/>
    <w:rsid w:val="00BC4600"/>
    <w:rsid w:val="00BC4B17"/>
    <w:rsid w:val="00BC62A9"/>
    <w:rsid w:val="00BC6F9C"/>
    <w:rsid w:val="00BC7664"/>
    <w:rsid w:val="00BD0930"/>
    <w:rsid w:val="00BD0A65"/>
    <w:rsid w:val="00BD10D8"/>
    <w:rsid w:val="00BD16DC"/>
    <w:rsid w:val="00BD2309"/>
    <w:rsid w:val="00BD391E"/>
    <w:rsid w:val="00BD577A"/>
    <w:rsid w:val="00BD5871"/>
    <w:rsid w:val="00BD607C"/>
    <w:rsid w:val="00BD72B6"/>
    <w:rsid w:val="00BD76B6"/>
    <w:rsid w:val="00BD7C90"/>
    <w:rsid w:val="00BD7E19"/>
    <w:rsid w:val="00BE087A"/>
    <w:rsid w:val="00BE2166"/>
    <w:rsid w:val="00BE2C01"/>
    <w:rsid w:val="00BE2D15"/>
    <w:rsid w:val="00BE3214"/>
    <w:rsid w:val="00BE4124"/>
    <w:rsid w:val="00BE4D64"/>
    <w:rsid w:val="00BE5477"/>
    <w:rsid w:val="00BE6460"/>
    <w:rsid w:val="00BE6F0C"/>
    <w:rsid w:val="00BF07C1"/>
    <w:rsid w:val="00BF0C28"/>
    <w:rsid w:val="00BF0CA2"/>
    <w:rsid w:val="00BF0E3A"/>
    <w:rsid w:val="00BF20D2"/>
    <w:rsid w:val="00BF3987"/>
    <w:rsid w:val="00BF4167"/>
    <w:rsid w:val="00BF49D1"/>
    <w:rsid w:val="00C006B4"/>
    <w:rsid w:val="00C00D8D"/>
    <w:rsid w:val="00C02FF7"/>
    <w:rsid w:val="00C0390E"/>
    <w:rsid w:val="00C04483"/>
    <w:rsid w:val="00C048C2"/>
    <w:rsid w:val="00C04D07"/>
    <w:rsid w:val="00C052D5"/>
    <w:rsid w:val="00C13400"/>
    <w:rsid w:val="00C14528"/>
    <w:rsid w:val="00C163AE"/>
    <w:rsid w:val="00C167DD"/>
    <w:rsid w:val="00C1727C"/>
    <w:rsid w:val="00C202CD"/>
    <w:rsid w:val="00C209B8"/>
    <w:rsid w:val="00C20A70"/>
    <w:rsid w:val="00C22C7C"/>
    <w:rsid w:val="00C23887"/>
    <w:rsid w:val="00C238E8"/>
    <w:rsid w:val="00C23EBA"/>
    <w:rsid w:val="00C24B8C"/>
    <w:rsid w:val="00C30031"/>
    <w:rsid w:val="00C31934"/>
    <w:rsid w:val="00C342FD"/>
    <w:rsid w:val="00C3467D"/>
    <w:rsid w:val="00C349A4"/>
    <w:rsid w:val="00C35CAE"/>
    <w:rsid w:val="00C35D71"/>
    <w:rsid w:val="00C35DE8"/>
    <w:rsid w:val="00C36DFE"/>
    <w:rsid w:val="00C37169"/>
    <w:rsid w:val="00C374F2"/>
    <w:rsid w:val="00C37F7B"/>
    <w:rsid w:val="00C40B7E"/>
    <w:rsid w:val="00C40E58"/>
    <w:rsid w:val="00C40E9C"/>
    <w:rsid w:val="00C411E5"/>
    <w:rsid w:val="00C41806"/>
    <w:rsid w:val="00C41ED1"/>
    <w:rsid w:val="00C42C76"/>
    <w:rsid w:val="00C42CE9"/>
    <w:rsid w:val="00C44502"/>
    <w:rsid w:val="00C449F6"/>
    <w:rsid w:val="00C45F3C"/>
    <w:rsid w:val="00C470EA"/>
    <w:rsid w:val="00C4714D"/>
    <w:rsid w:val="00C47A55"/>
    <w:rsid w:val="00C47A8C"/>
    <w:rsid w:val="00C47FF4"/>
    <w:rsid w:val="00C50AB2"/>
    <w:rsid w:val="00C52B69"/>
    <w:rsid w:val="00C53626"/>
    <w:rsid w:val="00C53A46"/>
    <w:rsid w:val="00C53D7F"/>
    <w:rsid w:val="00C5471A"/>
    <w:rsid w:val="00C55441"/>
    <w:rsid w:val="00C55DE1"/>
    <w:rsid w:val="00C572E9"/>
    <w:rsid w:val="00C60F63"/>
    <w:rsid w:val="00C60F6F"/>
    <w:rsid w:val="00C624A1"/>
    <w:rsid w:val="00C627EE"/>
    <w:rsid w:val="00C62ABC"/>
    <w:rsid w:val="00C6467D"/>
    <w:rsid w:val="00C64E57"/>
    <w:rsid w:val="00C67B16"/>
    <w:rsid w:val="00C70D32"/>
    <w:rsid w:val="00C71FF4"/>
    <w:rsid w:val="00C7205C"/>
    <w:rsid w:val="00C735F9"/>
    <w:rsid w:val="00C74913"/>
    <w:rsid w:val="00C75D4F"/>
    <w:rsid w:val="00C80363"/>
    <w:rsid w:val="00C806CE"/>
    <w:rsid w:val="00C81BA9"/>
    <w:rsid w:val="00C81F24"/>
    <w:rsid w:val="00C82E16"/>
    <w:rsid w:val="00C84C37"/>
    <w:rsid w:val="00C86862"/>
    <w:rsid w:val="00C86AC8"/>
    <w:rsid w:val="00C874F7"/>
    <w:rsid w:val="00C87510"/>
    <w:rsid w:val="00C8768D"/>
    <w:rsid w:val="00C879EB"/>
    <w:rsid w:val="00C87C03"/>
    <w:rsid w:val="00C90F36"/>
    <w:rsid w:val="00C92568"/>
    <w:rsid w:val="00C933AA"/>
    <w:rsid w:val="00C9364E"/>
    <w:rsid w:val="00C94C01"/>
    <w:rsid w:val="00C9545B"/>
    <w:rsid w:val="00C95E13"/>
    <w:rsid w:val="00C9629F"/>
    <w:rsid w:val="00C973F4"/>
    <w:rsid w:val="00C97CE8"/>
    <w:rsid w:val="00CA0180"/>
    <w:rsid w:val="00CA080F"/>
    <w:rsid w:val="00CA0BC4"/>
    <w:rsid w:val="00CA16B2"/>
    <w:rsid w:val="00CA1DE9"/>
    <w:rsid w:val="00CA2D09"/>
    <w:rsid w:val="00CA44B3"/>
    <w:rsid w:val="00CA4C94"/>
    <w:rsid w:val="00CA6F9B"/>
    <w:rsid w:val="00CA7B06"/>
    <w:rsid w:val="00CB1148"/>
    <w:rsid w:val="00CB122D"/>
    <w:rsid w:val="00CB16EB"/>
    <w:rsid w:val="00CB1BC1"/>
    <w:rsid w:val="00CB222E"/>
    <w:rsid w:val="00CB31AB"/>
    <w:rsid w:val="00CB335B"/>
    <w:rsid w:val="00CB34E2"/>
    <w:rsid w:val="00CB4014"/>
    <w:rsid w:val="00CB45F2"/>
    <w:rsid w:val="00CB4A78"/>
    <w:rsid w:val="00CB63E7"/>
    <w:rsid w:val="00CC01E9"/>
    <w:rsid w:val="00CC0557"/>
    <w:rsid w:val="00CC2902"/>
    <w:rsid w:val="00CC3F9C"/>
    <w:rsid w:val="00CC47E8"/>
    <w:rsid w:val="00CC6379"/>
    <w:rsid w:val="00CD30CB"/>
    <w:rsid w:val="00CD43C1"/>
    <w:rsid w:val="00CD5B1F"/>
    <w:rsid w:val="00CD61CA"/>
    <w:rsid w:val="00CD7C89"/>
    <w:rsid w:val="00CE01AE"/>
    <w:rsid w:val="00CE0DC1"/>
    <w:rsid w:val="00CE3A4A"/>
    <w:rsid w:val="00CE4857"/>
    <w:rsid w:val="00CE7095"/>
    <w:rsid w:val="00CF0B4F"/>
    <w:rsid w:val="00CF1497"/>
    <w:rsid w:val="00CF1731"/>
    <w:rsid w:val="00CF2615"/>
    <w:rsid w:val="00CF2DF0"/>
    <w:rsid w:val="00CF76E8"/>
    <w:rsid w:val="00D000F8"/>
    <w:rsid w:val="00D052E9"/>
    <w:rsid w:val="00D0541C"/>
    <w:rsid w:val="00D054C6"/>
    <w:rsid w:val="00D05CB1"/>
    <w:rsid w:val="00D06160"/>
    <w:rsid w:val="00D06820"/>
    <w:rsid w:val="00D06827"/>
    <w:rsid w:val="00D110F3"/>
    <w:rsid w:val="00D1127D"/>
    <w:rsid w:val="00D11C06"/>
    <w:rsid w:val="00D13D14"/>
    <w:rsid w:val="00D15231"/>
    <w:rsid w:val="00D16CD1"/>
    <w:rsid w:val="00D16FC0"/>
    <w:rsid w:val="00D17A47"/>
    <w:rsid w:val="00D17DA9"/>
    <w:rsid w:val="00D202CC"/>
    <w:rsid w:val="00D20515"/>
    <w:rsid w:val="00D22DF0"/>
    <w:rsid w:val="00D24882"/>
    <w:rsid w:val="00D24F02"/>
    <w:rsid w:val="00D2589E"/>
    <w:rsid w:val="00D267E9"/>
    <w:rsid w:val="00D27F16"/>
    <w:rsid w:val="00D27F88"/>
    <w:rsid w:val="00D30390"/>
    <w:rsid w:val="00D3068D"/>
    <w:rsid w:val="00D311FD"/>
    <w:rsid w:val="00D3352A"/>
    <w:rsid w:val="00D34F1B"/>
    <w:rsid w:val="00D35EC9"/>
    <w:rsid w:val="00D3632C"/>
    <w:rsid w:val="00D40281"/>
    <w:rsid w:val="00D40EBA"/>
    <w:rsid w:val="00D428E9"/>
    <w:rsid w:val="00D42D8C"/>
    <w:rsid w:val="00D4319D"/>
    <w:rsid w:val="00D43478"/>
    <w:rsid w:val="00D46574"/>
    <w:rsid w:val="00D4777D"/>
    <w:rsid w:val="00D47B0A"/>
    <w:rsid w:val="00D50513"/>
    <w:rsid w:val="00D506B1"/>
    <w:rsid w:val="00D511F2"/>
    <w:rsid w:val="00D541DF"/>
    <w:rsid w:val="00D547B9"/>
    <w:rsid w:val="00D551E3"/>
    <w:rsid w:val="00D555E5"/>
    <w:rsid w:val="00D55BCB"/>
    <w:rsid w:val="00D61221"/>
    <w:rsid w:val="00D617F2"/>
    <w:rsid w:val="00D61D43"/>
    <w:rsid w:val="00D62785"/>
    <w:rsid w:val="00D64055"/>
    <w:rsid w:val="00D65590"/>
    <w:rsid w:val="00D6561D"/>
    <w:rsid w:val="00D6583D"/>
    <w:rsid w:val="00D65C5B"/>
    <w:rsid w:val="00D65CFA"/>
    <w:rsid w:val="00D66104"/>
    <w:rsid w:val="00D66F57"/>
    <w:rsid w:val="00D671D5"/>
    <w:rsid w:val="00D70DC7"/>
    <w:rsid w:val="00D718F8"/>
    <w:rsid w:val="00D71A28"/>
    <w:rsid w:val="00D72A21"/>
    <w:rsid w:val="00D734FD"/>
    <w:rsid w:val="00D74AA8"/>
    <w:rsid w:val="00D74EB1"/>
    <w:rsid w:val="00D7627F"/>
    <w:rsid w:val="00D76AF7"/>
    <w:rsid w:val="00D81854"/>
    <w:rsid w:val="00D82286"/>
    <w:rsid w:val="00D825A2"/>
    <w:rsid w:val="00D834CD"/>
    <w:rsid w:val="00D84D48"/>
    <w:rsid w:val="00D85186"/>
    <w:rsid w:val="00D86F02"/>
    <w:rsid w:val="00D92320"/>
    <w:rsid w:val="00D936E2"/>
    <w:rsid w:val="00D936EB"/>
    <w:rsid w:val="00D94753"/>
    <w:rsid w:val="00D94B8F"/>
    <w:rsid w:val="00D95EC8"/>
    <w:rsid w:val="00DA0029"/>
    <w:rsid w:val="00DA0B41"/>
    <w:rsid w:val="00DA18FF"/>
    <w:rsid w:val="00DA2762"/>
    <w:rsid w:val="00DA286B"/>
    <w:rsid w:val="00DA547F"/>
    <w:rsid w:val="00DA56E0"/>
    <w:rsid w:val="00DB0CF0"/>
    <w:rsid w:val="00DB0D85"/>
    <w:rsid w:val="00DB0F86"/>
    <w:rsid w:val="00DB13C7"/>
    <w:rsid w:val="00DB25CF"/>
    <w:rsid w:val="00DB2757"/>
    <w:rsid w:val="00DB496D"/>
    <w:rsid w:val="00DB4C05"/>
    <w:rsid w:val="00DB5ED8"/>
    <w:rsid w:val="00DB69CC"/>
    <w:rsid w:val="00DB7D1B"/>
    <w:rsid w:val="00DC30F4"/>
    <w:rsid w:val="00DC36A1"/>
    <w:rsid w:val="00DC4FE5"/>
    <w:rsid w:val="00DC64F5"/>
    <w:rsid w:val="00DC6F52"/>
    <w:rsid w:val="00DD0781"/>
    <w:rsid w:val="00DD0E5B"/>
    <w:rsid w:val="00DD17DA"/>
    <w:rsid w:val="00DD4E34"/>
    <w:rsid w:val="00DD5E87"/>
    <w:rsid w:val="00DD6CD9"/>
    <w:rsid w:val="00DD71F9"/>
    <w:rsid w:val="00DE45DC"/>
    <w:rsid w:val="00DE4932"/>
    <w:rsid w:val="00DE5267"/>
    <w:rsid w:val="00DE55C4"/>
    <w:rsid w:val="00DE67B2"/>
    <w:rsid w:val="00DE6AA0"/>
    <w:rsid w:val="00DE7145"/>
    <w:rsid w:val="00DE7565"/>
    <w:rsid w:val="00DF07EE"/>
    <w:rsid w:val="00DF0896"/>
    <w:rsid w:val="00DF122A"/>
    <w:rsid w:val="00DF2210"/>
    <w:rsid w:val="00DF2E95"/>
    <w:rsid w:val="00DF3CDE"/>
    <w:rsid w:val="00DF3DE3"/>
    <w:rsid w:val="00DF58E9"/>
    <w:rsid w:val="00DF59A3"/>
    <w:rsid w:val="00DF5F7B"/>
    <w:rsid w:val="00DF73D4"/>
    <w:rsid w:val="00E000D3"/>
    <w:rsid w:val="00E00DD3"/>
    <w:rsid w:val="00E00EFE"/>
    <w:rsid w:val="00E01D70"/>
    <w:rsid w:val="00E027FB"/>
    <w:rsid w:val="00E02B7C"/>
    <w:rsid w:val="00E03A94"/>
    <w:rsid w:val="00E0408E"/>
    <w:rsid w:val="00E063DA"/>
    <w:rsid w:val="00E066F2"/>
    <w:rsid w:val="00E07D25"/>
    <w:rsid w:val="00E101EA"/>
    <w:rsid w:val="00E1126A"/>
    <w:rsid w:val="00E12FA2"/>
    <w:rsid w:val="00E13C75"/>
    <w:rsid w:val="00E14038"/>
    <w:rsid w:val="00E15464"/>
    <w:rsid w:val="00E179BB"/>
    <w:rsid w:val="00E204CD"/>
    <w:rsid w:val="00E21164"/>
    <w:rsid w:val="00E2143C"/>
    <w:rsid w:val="00E2246A"/>
    <w:rsid w:val="00E22863"/>
    <w:rsid w:val="00E22D2D"/>
    <w:rsid w:val="00E22E9F"/>
    <w:rsid w:val="00E23F34"/>
    <w:rsid w:val="00E24567"/>
    <w:rsid w:val="00E2543B"/>
    <w:rsid w:val="00E266FF"/>
    <w:rsid w:val="00E26D04"/>
    <w:rsid w:val="00E26F2A"/>
    <w:rsid w:val="00E27112"/>
    <w:rsid w:val="00E31D94"/>
    <w:rsid w:val="00E32F50"/>
    <w:rsid w:val="00E34731"/>
    <w:rsid w:val="00E35D2B"/>
    <w:rsid w:val="00E367B7"/>
    <w:rsid w:val="00E36993"/>
    <w:rsid w:val="00E40189"/>
    <w:rsid w:val="00E4064A"/>
    <w:rsid w:val="00E40CA3"/>
    <w:rsid w:val="00E43103"/>
    <w:rsid w:val="00E43E25"/>
    <w:rsid w:val="00E440CB"/>
    <w:rsid w:val="00E44E6D"/>
    <w:rsid w:val="00E507C4"/>
    <w:rsid w:val="00E5085C"/>
    <w:rsid w:val="00E5188F"/>
    <w:rsid w:val="00E51C7C"/>
    <w:rsid w:val="00E51D5F"/>
    <w:rsid w:val="00E52315"/>
    <w:rsid w:val="00E52764"/>
    <w:rsid w:val="00E52908"/>
    <w:rsid w:val="00E53375"/>
    <w:rsid w:val="00E534CE"/>
    <w:rsid w:val="00E53776"/>
    <w:rsid w:val="00E53FD1"/>
    <w:rsid w:val="00E54300"/>
    <w:rsid w:val="00E55457"/>
    <w:rsid w:val="00E55D6F"/>
    <w:rsid w:val="00E560F3"/>
    <w:rsid w:val="00E56225"/>
    <w:rsid w:val="00E57C13"/>
    <w:rsid w:val="00E603DA"/>
    <w:rsid w:val="00E60CEB"/>
    <w:rsid w:val="00E61406"/>
    <w:rsid w:val="00E618DE"/>
    <w:rsid w:val="00E61DC7"/>
    <w:rsid w:val="00E61E14"/>
    <w:rsid w:val="00E62088"/>
    <w:rsid w:val="00E622CC"/>
    <w:rsid w:val="00E626CE"/>
    <w:rsid w:val="00E6416C"/>
    <w:rsid w:val="00E6473D"/>
    <w:rsid w:val="00E64E19"/>
    <w:rsid w:val="00E64F61"/>
    <w:rsid w:val="00E675D6"/>
    <w:rsid w:val="00E7088E"/>
    <w:rsid w:val="00E71C16"/>
    <w:rsid w:val="00E71CAE"/>
    <w:rsid w:val="00E72898"/>
    <w:rsid w:val="00E7350C"/>
    <w:rsid w:val="00E74790"/>
    <w:rsid w:val="00E74C6B"/>
    <w:rsid w:val="00E7606D"/>
    <w:rsid w:val="00E81D40"/>
    <w:rsid w:val="00E84629"/>
    <w:rsid w:val="00E84CA9"/>
    <w:rsid w:val="00E86700"/>
    <w:rsid w:val="00E86859"/>
    <w:rsid w:val="00E86F9C"/>
    <w:rsid w:val="00E9276D"/>
    <w:rsid w:val="00E92947"/>
    <w:rsid w:val="00E95CC1"/>
    <w:rsid w:val="00E95CCC"/>
    <w:rsid w:val="00E978CD"/>
    <w:rsid w:val="00E97FCC"/>
    <w:rsid w:val="00EA0BAA"/>
    <w:rsid w:val="00EA23E8"/>
    <w:rsid w:val="00EA434E"/>
    <w:rsid w:val="00EA5560"/>
    <w:rsid w:val="00EA594B"/>
    <w:rsid w:val="00EA68E0"/>
    <w:rsid w:val="00EA71FE"/>
    <w:rsid w:val="00EA74CF"/>
    <w:rsid w:val="00EB2CA3"/>
    <w:rsid w:val="00EB3516"/>
    <w:rsid w:val="00EB4B8E"/>
    <w:rsid w:val="00EB505F"/>
    <w:rsid w:val="00EB55B9"/>
    <w:rsid w:val="00EB6C71"/>
    <w:rsid w:val="00EB77A9"/>
    <w:rsid w:val="00EC1948"/>
    <w:rsid w:val="00EC3F72"/>
    <w:rsid w:val="00EC528D"/>
    <w:rsid w:val="00EC5325"/>
    <w:rsid w:val="00EC5A59"/>
    <w:rsid w:val="00EC65B4"/>
    <w:rsid w:val="00EC7745"/>
    <w:rsid w:val="00ED2B76"/>
    <w:rsid w:val="00ED2C45"/>
    <w:rsid w:val="00ED343C"/>
    <w:rsid w:val="00ED3A7C"/>
    <w:rsid w:val="00ED5130"/>
    <w:rsid w:val="00ED5785"/>
    <w:rsid w:val="00ED6277"/>
    <w:rsid w:val="00ED792D"/>
    <w:rsid w:val="00ED7FCF"/>
    <w:rsid w:val="00EE0058"/>
    <w:rsid w:val="00EE0074"/>
    <w:rsid w:val="00EE0093"/>
    <w:rsid w:val="00EE0682"/>
    <w:rsid w:val="00EE0B93"/>
    <w:rsid w:val="00EE25DB"/>
    <w:rsid w:val="00EE366B"/>
    <w:rsid w:val="00EE51E7"/>
    <w:rsid w:val="00EE545E"/>
    <w:rsid w:val="00EE5DEC"/>
    <w:rsid w:val="00EE6A79"/>
    <w:rsid w:val="00EE70D1"/>
    <w:rsid w:val="00EF0C15"/>
    <w:rsid w:val="00EF0D70"/>
    <w:rsid w:val="00EF140E"/>
    <w:rsid w:val="00EF171E"/>
    <w:rsid w:val="00EF1D6F"/>
    <w:rsid w:val="00EF1F23"/>
    <w:rsid w:val="00EF2F69"/>
    <w:rsid w:val="00EF3207"/>
    <w:rsid w:val="00EF4FFB"/>
    <w:rsid w:val="00EF6E5C"/>
    <w:rsid w:val="00EF7E46"/>
    <w:rsid w:val="00F00011"/>
    <w:rsid w:val="00F002AB"/>
    <w:rsid w:val="00F00ED7"/>
    <w:rsid w:val="00F02693"/>
    <w:rsid w:val="00F02AAE"/>
    <w:rsid w:val="00F0312B"/>
    <w:rsid w:val="00F0397F"/>
    <w:rsid w:val="00F04368"/>
    <w:rsid w:val="00F0490B"/>
    <w:rsid w:val="00F05498"/>
    <w:rsid w:val="00F07D8D"/>
    <w:rsid w:val="00F07E40"/>
    <w:rsid w:val="00F10BBD"/>
    <w:rsid w:val="00F110A0"/>
    <w:rsid w:val="00F11123"/>
    <w:rsid w:val="00F13ED7"/>
    <w:rsid w:val="00F153D5"/>
    <w:rsid w:val="00F16449"/>
    <w:rsid w:val="00F218DD"/>
    <w:rsid w:val="00F22759"/>
    <w:rsid w:val="00F24F8F"/>
    <w:rsid w:val="00F2533C"/>
    <w:rsid w:val="00F270EE"/>
    <w:rsid w:val="00F279A6"/>
    <w:rsid w:val="00F30632"/>
    <w:rsid w:val="00F30E8D"/>
    <w:rsid w:val="00F31624"/>
    <w:rsid w:val="00F32966"/>
    <w:rsid w:val="00F357D6"/>
    <w:rsid w:val="00F35D40"/>
    <w:rsid w:val="00F3606A"/>
    <w:rsid w:val="00F361BE"/>
    <w:rsid w:val="00F36638"/>
    <w:rsid w:val="00F36E3A"/>
    <w:rsid w:val="00F40C1B"/>
    <w:rsid w:val="00F42AF0"/>
    <w:rsid w:val="00F43C59"/>
    <w:rsid w:val="00F44EBE"/>
    <w:rsid w:val="00F46227"/>
    <w:rsid w:val="00F4631A"/>
    <w:rsid w:val="00F5045F"/>
    <w:rsid w:val="00F51754"/>
    <w:rsid w:val="00F51FF0"/>
    <w:rsid w:val="00F536A4"/>
    <w:rsid w:val="00F53BFA"/>
    <w:rsid w:val="00F54873"/>
    <w:rsid w:val="00F54FA6"/>
    <w:rsid w:val="00F55033"/>
    <w:rsid w:val="00F559B1"/>
    <w:rsid w:val="00F5717F"/>
    <w:rsid w:val="00F57D4F"/>
    <w:rsid w:val="00F60041"/>
    <w:rsid w:val="00F60130"/>
    <w:rsid w:val="00F66A4F"/>
    <w:rsid w:val="00F66F82"/>
    <w:rsid w:val="00F67E5B"/>
    <w:rsid w:val="00F67F4E"/>
    <w:rsid w:val="00F7142B"/>
    <w:rsid w:val="00F719CC"/>
    <w:rsid w:val="00F71A0A"/>
    <w:rsid w:val="00F72759"/>
    <w:rsid w:val="00F7391D"/>
    <w:rsid w:val="00F73B44"/>
    <w:rsid w:val="00F75323"/>
    <w:rsid w:val="00F76814"/>
    <w:rsid w:val="00F76BDD"/>
    <w:rsid w:val="00F7788B"/>
    <w:rsid w:val="00F77B17"/>
    <w:rsid w:val="00F82FDB"/>
    <w:rsid w:val="00F831EA"/>
    <w:rsid w:val="00F8346A"/>
    <w:rsid w:val="00F845F0"/>
    <w:rsid w:val="00F8589C"/>
    <w:rsid w:val="00F911E9"/>
    <w:rsid w:val="00F9290D"/>
    <w:rsid w:val="00F93A2D"/>
    <w:rsid w:val="00F93A65"/>
    <w:rsid w:val="00F93FBA"/>
    <w:rsid w:val="00F95297"/>
    <w:rsid w:val="00F9677C"/>
    <w:rsid w:val="00F96854"/>
    <w:rsid w:val="00F978E8"/>
    <w:rsid w:val="00F97B7D"/>
    <w:rsid w:val="00F97FCA"/>
    <w:rsid w:val="00FA1002"/>
    <w:rsid w:val="00FA1054"/>
    <w:rsid w:val="00FA1E05"/>
    <w:rsid w:val="00FA1EFB"/>
    <w:rsid w:val="00FA27FA"/>
    <w:rsid w:val="00FA2CD8"/>
    <w:rsid w:val="00FA5600"/>
    <w:rsid w:val="00FA79B5"/>
    <w:rsid w:val="00FB0667"/>
    <w:rsid w:val="00FB39E5"/>
    <w:rsid w:val="00FB3D99"/>
    <w:rsid w:val="00FB5B00"/>
    <w:rsid w:val="00FB5F69"/>
    <w:rsid w:val="00FB6619"/>
    <w:rsid w:val="00FC0FA2"/>
    <w:rsid w:val="00FC199A"/>
    <w:rsid w:val="00FC23A0"/>
    <w:rsid w:val="00FC2404"/>
    <w:rsid w:val="00FC2845"/>
    <w:rsid w:val="00FC33F0"/>
    <w:rsid w:val="00FC4753"/>
    <w:rsid w:val="00FC4B8D"/>
    <w:rsid w:val="00FC5668"/>
    <w:rsid w:val="00FC5C93"/>
    <w:rsid w:val="00FC5D84"/>
    <w:rsid w:val="00FC6E5F"/>
    <w:rsid w:val="00FC71C9"/>
    <w:rsid w:val="00FD030A"/>
    <w:rsid w:val="00FD295A"/>
    <w:rsid w:val="00FD528C"/>
    <w:rsid w:val="00FD597D"/>
    <w:rsid w:val="00FD696E"/>
    <w:rsid w:val="00FD78E5"/>
    <w:rsid w:val="00FE0672"/>
    <w:rsid w:val="00FE20C8"/>
    <w:rsid w:val="00FE4D52"/>
    <w:rsid w:val="00FE51C4"/>
    <w:rsid w:val="00FE74DD"/>
    <w:rsid w:val="00FE7F87"/>
    <w:rsid w:val="00FF042E"/>
    <w:rsid w:val="00FF04BE"/>
    <w:rsid w:val="00FF074C"/>
    <w:rsid w:val="00FF14C9"/>
    <w:rsid w:val="00FF170B"/>
    <w:rsid w:val="00FF1B2A"/>
    <w:rsid w:val="00FF1DF9"/>
    <w:rsid w:val="00FF1F58"/>
    <w:rsid w:val="00FF2A99"/>
    <w:rsid w:val="00FF2ADD"/>
    <w:rsid w:val="00FF3582"/>
    <w:rsid w:val="00FF40FC"/>
    <w:rsid w:val="00FF4DA5"/>
    <w:rsid w:val="00FF4FB8"/>
    <w:rsid w:val="00FF50B9"/>
    <w:rsid w:val="00FF65AC"/>
    <w:rsid w:val="00FF6609"/>
    <w:rsid w:val="00FF6917"/>
    <w:rsid w:val="00FF7334"/>
    <w:rsid w:val="00FF77E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147"/>
    <w:pPr>
      <w:widowControl w:val="0"/>
      <w:jc w:val="both"/>
    </w:pPr>
  </w:style>
  <w:style w:type="paragraph" w:styleId="Heading1">
    <w:name w:val="heading 1"/>
    <w:aliases w:val="小标题"/>
    <w:basedOn w:val="Normal"/>
    <w:next w:val="Normal"/>
    <w:link w:val="Heading1Char"/>
    <w:autoRedefine/>
    <w:uiPriority w:val="99"/>
    <w:qFormat/>
    <w:rsid w:val="00A21A5A"/>
    <w:pPr>
      <w:keepNext/>
      <w:keepLines/>
      <w:widowControl/>
      <w:numPr>
        <w:numId w:val="6"/>
      </w:numPr>
      <w:spacing w:before="100" w:beforeAutospacing="1" w:afterLines="50"/>
      <w:ind w:leftChars="1200" w:left="1200"/>
      <w:outlineLvl w:val="0"/>
    </w:pPr>
    <w:rPr>
      <w:rFonts w:eastAsia="华文楷体"/>
      <w:b/>
      <w:bCs/>
      <w:kern w:val="44"/>
      <w:sz w:val="28"/>
      <w:szCs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小标题 Char"/>
    <w:basedOn w:val="DefaultParagraphFont"/>
    <w:link w:val="Heading1"/>
    <w:uiPriority w:val="99"/>
    <w:locked/>
    <w:rsid w:val="00A21A5A"/>
    <w:rPr>
      <w:rFonts w:ascii="Calibri" w:eastAsia="华文楷体" w:hAnsi="Calibri" w:cs="Times New Roman"/>
      <w:b/>
      <w:bCs/>
      <w:kern w:val="44"/>
      <w:sz w:val="44"/>
      <w:szCs w:val="44"/>
    </w:rPr>
  </w:style>
  <w:style w:type="paragraph" w:styleId="Header">
    <w:name w:val="header"/>
    <w:basedOn w:val="Normal"/>
    <w:link w:val="HeaderChar"/>
    <w:uiPriority w:val="99"/>
    <w:semiHidden/>
    <w:rsid w:val="00B1000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B10000"/>
    <w:rPr>
      <w:rFonts w:cs="Times New Roman"/>
      <w:sz w:val="18"/>
      <w:szCs w:val="18"/>
    </w:rPr>
  </w:style>
  <w:style w:type="paragraph" w:styleId="Footer">
    <w:name w:val="footer"/>
    <w:basedOn w:val="Normal"/>
    <w:link w:val="FooterChar"/>
    <w:uiPriority w:val="99"/>
    <w:rsid w:val="00B1000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B10000"/>
    <w:rPr>
      <w:rFonts w:cs="Times New Roman"/>
      <w:sz w:val="18"/>
      <w:szCs w:val="18"/>
    </w:rPr>
  </w:style>
  <w:style w:type="paragraph" w:customStyle="1" w:styleId="a">
    <w:name w:val="页眉报告名称"/>
    <w:link w:val="Char"/>
    <w:autoRedefine/>
    <w:uiPriority w:val="99"/>
    <w:rsid w:val="00B10000"/>
    <w:pPr>
      <w:spacing w:afterLines="100" w:line="240" w:lineRule="exact"/>
      <w:jc w:val="both"/>
    </w:pPr>
    <w:rPr>
      <w:rFonts w:eastAsia="华文新魏"/>
      <w:sz w:val="24"/>
    </w:rPr>
  </w:style>
  <w:style w:type="character" w:customStyle="1" w:styleId="Char">
    <w:name w:val="页眉报告名称 Char"/>
    <w:basedOn w:val="DefaultParagraphFont"/>
    <w:link w:val="a"/>
    <w:uiPriority w:val="99"/>
    <w:locked/>
    <w:rsid w:val="00B10000"/>
    <w:rPr>
      <w:rFonts w:ascii="Calibri" w:eastAsia="华文新魏" w:hAnsi="Calibri" w:cs="Times New Roman"/>
      <w:kern w:val="2"/>
      <w:sz w:val="22"/>
      <w:szCs w:val="22"/>
      <w:lang w:val="en-US" w:eastAsia="zh-CN" w:bidi="ar-SA"/>
    </w:rPr>
  </w:style>
  <w:style w:type="paragraph" w:customStyle="1" w:styleId="a0">
    <w:name w:val="页眉图片"/>
    <w:basedOn w:val="Header"/>
    <w:link w:val="Char0"/>
    <w:uiPriority w:val="99"/>
    <w:rsid w:val="00B10000"/>
    <w:pPr>
      <w:pBdr>
        <w:bottom w:val="none" w:sz="0" w:space="0" w:color="auto"/>
      </w:pBdr>
      <w:tabs>
        <w:tab w:val="clear" w:pos="4153"/>
        <w:tab w:val="clear" w:pos="8306"/>
        <w:tab w:val="right" w:pos="11424"/>
      </w:tabs>
      <w:jc w:val="left"/>
    </w:pPr>
    <w:rPr>
      <w:noProof/>
    </w:rPr>
  </w:style>
  <w:style w:type="character" w:customStyle="1" w:styleId="Char0">
    <w:name w:val="页眉图片 Char"/>
    <w:basedOn w:val="HeaderChar"/>
    <w:link w:val="a0"/>
    <w:uiPriority w:val="99"/>
    <w:locked/>
    <w:rsid w:val="00B10000"/>
    <w:rPr>
      <w:rFonts w:ascii="Calibri" w:eastAsia="宋体" w:hAnsi="Calibri"/>
      <w:noProof/>
    </w:rPr>
  </w:style>
  <w:style w:type="paragraph" w:customStyle="1" w:styleId="a1">
    <w:name w:val="页眉处日期"/>
    <w:basedOn w:val="Normal"/>
    <w:link w:val="Char1"/>
    <w:uiPriority w:val="99"/>
    <w:rsid w:val="00B10000"/>
    <w:pPr>
      <w:tabs>
        <w:tab w:val="right" w:pos="11424"/>
      </w:tabs>
      <w:snapToGrid w:val="0"/>
      <w:jc w:val="left"/>
    </w:pPr>
    <w:rPr>
      <w:rFonts w:ascii="华文隶书" w:eastAsia="华文隶书"/>
      <w:b/>
      <w:sz w:val="24"/>
      <w:szCs w:val="24"/>
    </w:rPr>
  </w:style>
  <w:style w:type="paragraph" w:customStyle="1" w:styleId="a2">
    <w:name w:val="页眉副标题"/>
    <w:basedOn w:val="Normal"/>
    <w:link w:val="Char2"/>
    <w:uiPriority w:val="99"/>
    <w:rsid w:val="00B10000"/>
    <w:pPr>
      <w:tabs>
        <w:tab w:val="right" w:pos="11424"/>
      </w:tabs>
      <w:snapToGrid w:val="0"/>
      <w:jc w:val="left"/>
    </w:pPr>
    <w:rPr>
      <w:rFonts w:ascii="华文隶书" w:eastAsia="华文隶书"/>
      <w:sz w:val="36"/>
      <w:szCs w:val="36"/>
    </w:rPr>
  </w:style>
  <w:style w:type="character" w:customStyle="1" w:styleId="Char1">
    <w:name w:val="页眉处日期 Char"/>
    <w:basedOn w:val="DefaultParagraphFont"/>
    <w:link w:val="a1"/>
    <w:uiPriority w:val="99"/>
    <w:locked/>
    <w:rsid w:val="00B10000"/>
    <w:rPr>
      <w:rFonts w:ascii="华文隶书" w:eastAsia="华文隶书" w:hAnsi="Calibri" w:cs="Times New Roman"/>
      <w:b/>
      <w:sz w:val="24"/>
      <w:szCs w:val="24"/>
    </w:rPr>
  </w:style>
  <w:style w:type="character" w:customStyle="1" w:styleId="Char2">
    <w:name w:val="页眉副标题 Char"/>
    <w:basedOn w:val="DefaultParagraphFont"/>
    <w:link w:val="a2"/>
    <w:uiPriority w:val="99"/>
    <w:locked/>
    <w:rsid w:val="00B10000"/>
    <w:rPr>
      <w:rFonts w:ascii="华文隶书" w:eastAsia="华文隶书" w:hAnsi="Calibri" w:cs="Times New Roman"/>
      <w:sz w:val="36"/>
      <w:szCs w:val="36"/>
    </w:rPr>
  </w:style>
  <w:style w:type="paragraph" w:customStyle="1" w:styleId="a3">
    <w:name w:val="页眉的分析师"/>
    <w:basedOn w:val="Normal"/>
    <w:link w:val="Char3"/>
    <w:uiPriority w:val="99"/>
    <w:rsid w:val="00B10000"/>
    <w:pPr>
      <w:tabs>
        <w:tab w:val="right" w:pos="11424"/>
      </w:tabs>
      <w:snapToGrid w:val="0"/>
      <w:spacing w:line="240" w:lineRule="exact"/>
      <w:jc w:val="right"/>
    </w:pPr>
    <w:rPr>
      <w:rFonts w:ascii="华文新魏" w:eastAsia="华文新魏"/>
      <w:szCs w:val="21"/>
    </w:rPr>
  </w:style>
  <w:style w:type="character" w:customStyle="1" w:styleId="Char3">
    <w:name w:val="页眉的分析师 Char"/>
    <w:basedOn w:val="DefaultParagraphFont"/>
    <w:link w:val="a3"/>
    <w:uiPriority w:val="99"/>
    <w:locked/>
    <w:rsid w:val="00B10000"/>
    <w:rPr>
      <w:rFonts w:ascii="华文新魏" w:eastAsia="华文新魏" w:hAnsi="Calibri" w:cs="Times New Roman"/>
      <w:sz w:val="21"/>
      <w:szCs w:val="21"/>
    </w:rPr>
  </w:style>
  <w:style w:type="paragraph" w:customStyle="1" w:styleId="12">
    <w:name w:val="页眉12"/>
    <w:basedOn w:val="Header"/>
    <w:link w:val="12Char"/>
    <w:uiPriority w:val="99"/>
    <w:rsid w:val="00B10000"/>
    <w:pPr>
      <w:pBdr>
        <w:bottom w:val="none" w:sz="0" w:space="0" w:color="auto"/>
      </w:pBdr>
      <w:tabs>
        <w:tab w:val="clear" w:pos="4153"/>
        <w:tab w:val="clear" w:pos="8306"/>
        <w:tab w:val="right" w:pos="11424"/>
      </w:tabs>
      <w:jc w:val="left"/>
    </w:pPr>
  </w:style>
  <w:style w:type="character" w:customStyle="1" w:styleId="12Char">
    <w:name w:val="页眉12 Char"/>
    <w:basedOn w:val="HeaderChar"/>
    <w:link w:val="12"/>
    <w:uiPriority w:val="99"/>
    <w:locked/>
    <w:rsid w:val="00B10000"/>
    <w:rPr>
      <w:rFonts w:ascii="Calibri" w:eastAsia="宋体" w:hAnsi="Calibri"/>
    </w:rPr>
  </w:style>
  <w:style w:type="paragraph" w:customStyle="1" w:styleId="2">
    <w:name w:val="页眉副标题2"/>
    <w:basedOn w:val="12"/>
    <w:link w:val="2Char"/>
    <w:uiPriority w:val="99"/>
    <w:rsid w:val="00B10000"/>
    <w:pPr>
      <w:jc w:val="right"/>
    </w:pPr>
    <w:rPr>
      <w:rFonts w:ascii="华文隶书" w:eastAsia="华文隶书"/>
      <w:sz w:val="21"/>
      <w:szCs w:val="21"/>
    </w:rPr>
  </w:style>
  <w:style w:type="character" w:customStyle="1" w:styleId="2Char">
    <w:name w:val="页眉副标题2 Char"/>
    <w:basedOn w:val="12Char"/>
    <w:link w:val="2"/>
    <w:uiPriority w:val="99"/>
    <w:locked/>
    <w:rsid w:val="00B10000"/>
    <w:rPr>
      <w:rFonts w:ascii="华文隶书" w:eastAsia="华文隶书"/>
      <w:sz w:val="21"/>
      <w:szCs w:val="21"/>
    </w:rPr>
  </w:style>
  <w:style w:type="paragraph" w:customStyle="1" w:styleId="a4">
    <w:name w:val="特别声明格式"/>
    <w:basedOn w:val="Normal"/>
    <w:link w:val="Char4"/>
    <w:uiPriority w:val="99"/>
    <w:rsid w:val="00B10000"/>
    <w:pPr>
      <w:spacing w:afterLines="100" w:line="240" w:lineRule="exact"/>
    </w:pPr>
    <w:rPr>
      <w:rFonts w:ascii="华文隶书" w:eastAsia="华文隶书"/>
      <w:sz w:val="28"/>
    </w:rPr>
  </w:style>
  <w:style w:type="character" w:customStyle="1" w:styleId="Char4">
    <w:name w:val="特别声明格式 Char"/>
    <w:basedOn w:val="DefaultParagraphFont"/>
    <w:link w:val="a4"/>
    <w:uiPriority w:val="99"/>
    <w:locked/>
    <w:rsid w:val="00B10000"/>
    <w:rPr>
      <w:rFonts w:ascii="华文隶书" w:eastAsia="华文隶书" w:hAnsi="Calibri" w:cs="Times New Roman"/>
      <w:sz w:val="28"/>
    </w:rPr>
  </w:style>
  <w:style w:type="paragraph" w:styleId="BodyText">
    <w:name w:val="Body Text"/>
    <w:basedOn w:val="Normal"/>
    <w:link w:val="BodyTextChar"/>
    <w:uiPriority w:val="99"/>
    <w:rsid w:val="00B10000"/>
    <w:pPr>
      <w:widowControl/>
      <w:spacing w:after="120" w:line="240" w:lineRule="exact"/>
      <w:ind w:left="3402"/>
    </w:pPr>
    <w:rPr>
      <w:rFonts w:ascii="Arial" w:eastAsia="KaiTi_GB2312" w:hAnsi="Arial"/>
      <w:color w:val="000000"/>
      <w:kern w:val="0"/>
      <w:szCs w:val="20"/>
      <w:lang w:val="en-GB"/>
    </w:rPr>
  </w:style>
  <w:style w:type="character" w:customStyle="1" w:styleId="BodyTextChar">
    <w:name w:val="Body Text Char"/>
    <w:basedOn w:val="DefaultParagraphFont"/>
    <w:link w:val="BodyText"/>
    <w:uiPriority w:val="99"/>
    <w:locked/>
    <w:rsid w:val="00B10000"/>
    <w:rPr>
      <w:rFonts w:ascii="Arial" w:eastAsia="KaiTi_GB2312" w:hAnsi="Arial" w:cs="Times New Roman"/>
      <w:color w:val="000000"/>
      <w:kern w:val="0"/>
      <w:sz w:val="20"/>
      <w:szCs w:val="20"/>
      <w:lang w:val="en-GB"/>
    </w:rPr>
  </w:style>
  <w:style w:type="paragraph" w:customStyle="1" w:styleId="FootnoteNoline">
    <w:name w:val="FootnoteNoline"/>
    <w:basedOn w:val="Normal"/>
    <w:next w:val="BodyText"/>
    <w:uiPriority w:val="99"/>
    <w:rsid w:val="008840A4"/>
    <w:pPr>
      <w:widowControl/>
      <w:tabs>
        <w:tab w:val="right" w:pos="10065"/>
      </w:tabs>
      <w:spacing w:before="40" w:after="160"/>
      <w:ind w:left="3402"/>
    </w:pPr>
    <w:rPr>
      <w:rFonts w:ascii="Arial" w:eastAsia="KaiTi_GB2312" w:hAnsi="Arial" w:cs="Arial"/>
      <w:color w:val="003765"/>
      <w:kern w:val="0"/>
      <w:sz w:val="15"/>
      <w:szCs w:val="14"/>
      <w:lang w:val="en-GB"/>
    </w:rPr>
  </w:style>
  <w:style w:type="paragraph" w:customStyle="1" w:styleId="SubTitleLargeTable">
    <w:name w:val="SubTitleLargeTable"/>
    <w:uiPriority w:val="99"/>
    <w:rsid w:val="008840A4"/>
    <w:pPr>
      <w:keepNext/>
      <w:pBdr>
        <w:top w:val="single" w:sz="6" w:space="1" w:color="666699"/>
      </w:pBdr>
      <w:suppressAutoHyphens/>
      <w:spacing w:after="40" w:line="240" w:lineRule="atLeast"/>
    </w:pPr>
    <w:rPr>
      <w:rFonts w:ascii="Arial" w:eastAsia="KaiTi_GB2312" w:hAnsi="Arial" w:cs="Arial"/>
      <w:b/>
      <w:bCs/>
      <w:i/>
      <w:iCs/>
      <w:color w:val="003765"/>
      <w:kern w:val="0"/>
      <w:szCs w:val="21"/>
      <w:lang w:val="en-GB"/>
    </w:rPr>
  </w:style>
  <w:style w:type="paragraph" w:styleId="BalloonText">
    <w:name w:val="Balloon Text"/>
    <w:basedOn w:val="Normal"/>
    <w:link w:val="BalloonTextChar"/>
    <w:uiPriority w:val="99"/>
    <w:semiHidden/>
    <w:rsid w:val="008840A4"/>
    <w:rPr>
      <w:sz w:val="18"/>
      <w:szCs w:val="18"/>
    </w:rPr>
  </w:style>
  <w:style w:type="character" w:customStyle="1" w:styleId="BalloonTextChar">
    <w:name w:val="Balloon Text Char"/>
    <w:basedOn w:val="DefaultParagraphFont"/>
    <w:link w:val="BalloonText"/>
    <w:uiPriority w:val="99"/>
    <w:semiHidden/>
    <w:locked/>
    <w:rsid w:val="008840A4"/>
    <w:rPr>
      <w:rFonts w:cs="Times New Roman"/>
      <w:sz w:val="18"/>
      <w:szCs w:val="18"/>
    </w:rPr>
  </w:style>
  <w:style w:type="paragraph" w:customStyle="1" w:styleId="CoverBullet">
    <w:name w:val="Cover Bullet"/>
    <w:uiPriority w:val="99"/>
    <w:rsid w:val="008840A4"/>
    <w:pPr>
      <w:numPr>
        <w:numId w:val="3"/>
      </w:numPr>
      <w:spacing w:before="120" w:after="120"/>
      <w:ind w:left="357" w:hanging="357"/>
    </w:pPr>
    <w:rPr>
      <w:rFonts w:ascii="LucidaSans" w:hAnsi="LucidaSans"/>
      <w:b/>
      <w:bCs/>
      <w:kern w:val="0"/>
      <w:sz w:val="20"/>
      <w:szCs w:val="20"/>
      <w:lang w:val="en-GB"/>
    </w:rPr>
  </w:style>
  <w:style w:type="paragraph" w:styleId="ListParagraph">
    <w:name w:val="List Paragraph"/>
    <w:basedOn w:val="Normal"/>
    <w:uiPriority w:val="99"/>
    <w:qFormat/>
    <w:rsid w:val="00026FF9"/>
    <w:pPr>
      <w:ind w:firstLineChars="200" w:firstLine="420"/>
    </w:pPr>
  </w:style>
  <w:style w:type="paragraph" w:customStyle="1" w:styleId="SourceLarge">
    <w:name w:val="SourceLarge"/>
    <w:uiPriority w:val="99"/>
    <w:rsid w:val="00611ADA"/>
    <w:pPr>
      <w:tabs>
        <w:tab w:val="left" w:pos="5216"/>
        <w:tab w:val="right" w:pos="9866"/>
      </w:tabs>
      <w:suppressAutoHyphens/>
      <w:spacing w:line="160" w:lineRule="atLeast"/>
    </w:pPr>
    <w:rPr>
      <w:rFonts w:ascii="LucidaSans" w:hAnsi="LucidaSans"/>
      <w:kern w:val="0"/>
      <w:sz w:val="12"/>
      <w:szCs w:val="12"/>
      <w:lang w:val="en-GB"/>
    </w:rPr>
  </w:style>
  <w:style w:type="paragraph" w:customStyle="1" w:styleId="BulletCoverpage">
    <w:name w:val="Bullet Cover page"/>
    <w:basedOn w:val="Normal"/>
    <w:uiPriority w:val="99"/>
    <w:rsid w:val="00611ADA"/>
    <w:pPr>
      <w:widowControl/>
      <w:numPr>
        <w:numId w:val="4"/>
      </w:numPr>
      <w:suppressAutoHyphens/>
      <w:spacing w:after="200" w:line="240" w:lineRule="atLeast"/>
    </w:pPr>
    <w:rPr>
      <w:rFonts w:ascii="Arial" w:eastAsia="KaiTi_GB2312" w:hAnsi="Arial"/>
      <w:kern w:val="0"/>
      <w:sz w:val="18"/>
      <w:szCs w:val="20"/>
      <w:lang w:val="en-GB"/>
    </w:rPr>
  </w:style>
  <w:style w:type="paragraph" w:customStyle="1" w:styleId="1">
    <w:name w:val="模板标题1"/>
    <w:basedOn w:val="Normal"/>
    <w:next w:val="BodyText"/>
    <w:uiPriority w:val="99"/>
    <w:rsid w:val="00611ADA"/>
    <w:pPr>
      <w:widowControl/>
      <w:spacing w:after="240" w:line="300" w:lineRule="exact"/>
      <w:ind w:left="3402"/>
      <w:outlineLvl w:val="0"/>
    </w:pPr>
    <w:rPr>
      <w:rFonts w:ascii="Arial" w:eastAsia="KaiTi_GB2312" w:hAnsi="Arial"/>
      <w:b/>
      <w:bCs/>
      <w:color w:val="01659D"/>
      <w:kern w:val="0"/>
      <w:sz w:val="24"/>
      <w:szCs w:val="20"/>
      <w:lang w:val="en-GB"/>
    </w:rPr>
  </w:style>
  <w:style w:type="paragraph" w:customStyle="1" w:styleId="a5">
    <w:name w:val="正文内容"/>
    <w:basedOn w:val="BodyText"/>
    <w:link w:val="Char5"/>
    <w:uiPriority w:val="99"/>
    <w:rsid w:val="00A21A5A"/>
    <w:pPr>
      <w:tabs>
        <w:tab w:val="num" w:pos="3799"/>
      </w:tabs>
      <w:spacing w:after="163"/>
      <w:ind w:left="3799" w:hanging="369"/>
    </w:pPr>
    <w:rPr>
      <w:rFonts w:ascii="KaiTi_GB2312" w:eastAsia="宋体" w:hAnsi="KaiTi_GB2312"/>
      <w:color w:val="auto"/>
    </w:rPr>
  </w:style>
  <w:style w:type="character" w:customStyle="1" w:styleId="Char5">
    <w:name w:val="正文内容 Char"/>
    <w:basedOn w:val="BodyTextChar"/>
    <w:link w:val="a5"/>
    <w:uiPriority w:val="99"/>
    <w:locked/>
    <w:rsid w:val="00A21A5A"/>
    <w:rPr>
      <w:rFonts w:ascii="KaiTi_GB2312" w:eastAsia="Times New Roman" w:hAnsi="KaiTi_GB2312"/>
    </w:rPr>
  </w:style>
  <w:style w:type="paragraph" w:customStyle="1" w:styleId="a6">
    <w:name w:val="正文小标题"/>
    <w:basedOn w:val="BodyText"/>
    <w:link w:val="Char6"/>
    <w:uiPriority w:val="99"/>
    <w:rsid w:val="00A21A5A"/>
    <w:pPr>
      <w:spacing w:after="0"/>
    </w:pPr>
    <w:rPr>
      <w:rFonts w:ascii="KaiTi_GB2312" w:eastAsia="宋体" w:hAnsi="KaiTi_GB2312"/>
      <w:b/>
      <w:bCs/>
      <w:color w:val="0070C0"/>
      <w:szCs w:val="21"/>
      <w:lang w:val="en-US"/>
    </w:rPr>
  </w:style>
  <w:style w:type="character" w:customStyle="1" w:styleId="Char6">
    <w:name w:val="正文小标题 Char"/>
    <w:basedOn w:val="BodyTextChar"/>
    <w:link w:val="a6"/>
    <w:uiPriority w:val="99"/>
    <w:locked/>
    <w:rsid w:val="00A21A5A"/>
    <w:rPr>
      <w:rFonts w:ascii="KaiTi_GB2312" w:eastAsia="Times New Roman" w:hAnsi="KaiTi_GB2312"/>
      <w:b/>
      <w:bCs/>
      <w:color w:val="0070C0"/>
      <w:sz w:val="21"/>
      <w:szCs w:val="21"/>
    </w:rPr>
  </w:style>
  <w:style w:type="character" w:styleId="Hyperlink">
    <w:name w:val="Hyperlink"/>
    <w:basedOn w:val="DefaultParagraphFont"/>
    <w:uiPriority w:val="99"/>
    <w:semiHidden/>
    <w:rsid w:val="006F4A62"/>
    <w:rPr>
      <w:rFonts w:cs="Times New Roman"/>
      <w:color w:val="072885"/>
      <w:u w:val="none"/>
      <w:effect w:val="none"/>
    </w:rPr>
  </w:style>
  <w:style w:type="paragraph" w:styleId="NormalWeb">
    <w:name w:val="Normal (Web)"/>
    <w:basedOn w:val="Normal"/>
    <w:uiPriority w:val="99"/>
    <w:rsid w:val="00413A93"/>
    <w:pPr>
      <w:widowControl/>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79565346">
      <w:marLeft w:val="0"/>
      <w:marRight w:val="0"/>
      <w:marTop w:val="0"/>
      <w:marBottom w:val="0"/>
      <w:divBdr>
        <w:top w:val="none" w:sz="0" w:space="0" w:color="auto"/>
        <w:left w:val="none" w:sz="0" w:space="0" w:color="auto"/>
        <w:bottom w:val="none" w:sz="0" w:space="0" w:color="auto"/>
        <w:right w:val="none" w:sz="0" w:space="0" w:color="auto"/>
      </w:divBdr>
    </w:div>
    <w:div w:id="79565347">
      <w:marLeft w:val="0"/>
      <w:marRight w:val="0"/>
      <w:marTop w:val="0"/>
      <w:marBottom w:val="0"/>
      <w:divBdr>
        <w:top w:val="none" w:sz="0" w:space="0" w:color="auto"/>
        <w:left w:val="none" w:sz="0" w:space="0" w:color="auto"/>
        <w:bottom w:val="none" w:sz="0" w:space="0" w:color="auto"/>
        <w:right w:val="none" w:sz="0" w:space="0" w:color="auto"/>
      </w:divBdr>
    </w:div>
    <w:div w:id="79565348">
      <w:marLeft w:val="0"/>
      <w:marRight w:val="0"/>
      <w:marTop w:val="0"/>
      <w:marBottom w:val="0"/>
      <w:divBdr>
        <w:top w:val="none" w:sz="0" w:space="0" w:color="auto"/>
        <w:left w:val="none" w:sz="0" w:space="0" w:color="auto"/>
        <w:bottom w:val="none" w:sz="0" w:space="0" w:color="auto"/>
        <w:right w:val="none" w:sz="0" w:space="0" w:color="auto"/>
      </w:divBdr>
    </w:div>
    <w:div w:id="79565349">
      <w:marLeft w:val="0"/>
      <w:marRight w:val="0"/>
      <w:marTop w:val="0"/>
      <w:marBottom w:val="0"/>
      <w:divBdr>
        <w:top w:val="none" w:sz="0" w:space="0" w:color="auto"/>
        <w:left w:val="none" w:sz="0" w:space="0" w:color="auto"/>
        <w:bottom w:val="none" w:sz="0" w:space="0" w:color="auto"/>
        <w:right w:val="none" w:sz="0" w:space="0" w:color="auto"/>
      </w:divBdr>
    </w:div>
    <w:div w:id="79565350">
      <w:marLeft w:val="0"/>
      <w:marRight w:val="0"/>
      <w:marTop w:val="0"/>
      <w:marBottom w:val="0"/>
      <w:divBdr>
        <w:top w:val="none" w:sz="0" w:space="0" w:color="auto"/>
        <w:left w:val="none" w:sz="0" w:space="0" w:color="auto"/>
        <w:bottom w:val="none" w:sz="0" w:space="0" w:color="auto"/>
        <w:right w:val="none" w:sz="0" w:space="0" w:color="auto"/>
      </w:divBdr>
    </w:div>
    <w:div w:id="79565352">
      <w:marLeft w:val="0"/>
      <w:marRight w:val="0"/>
      <w:marTop w:val="0"/>
      <w:marBottom w:val="0"/>
      <w:divBdr>
        <w:top w:val="none" w:sz="0" w:space="0" w:color="auto"/>
        <w:left w:val="none" w:sz="0" w:space="0" w:color="auto"/>
        <w:bottom w:val="none" w:sz="0" w:space="0" w:color="auto"/>
        <w:right w:val="none" w:sz="0" w:space="0" w:color="auto"/>
      </w:divBdr>
      <w:divsChild>
        <w:div w:id="79565382">
          <w:marLeft w:val="0"/>
          <w:marRight w:val="0"/>
          <w:marTop w:val="0"/>
          <w:marBottom w:val="0"/>
          <w:divBdr>
            <w:top w:val="none" w:sz="0" w:space="0" w:color="auto"/>
            <w:left w:val="none" w:sz="0" w:space="0" w:color="auto"/>
            <w:bottom w:val="none" w:sz="0" w:space="0" w:color="auto"/>
            <w:right w:val="none" w:sz="0" w:space="0" w:color="auto"/>
          </w:divBdr>
        </w:div>
      </w:divsChild>
    </w:div>
    <w:div w:id="79565353">
      <w:marLeft w:val="0"/>
      <w:marRight w:val="0"/>
      <w:marTop w:val="0"/>
      <w:marBottom w:val="0"/>
      <w:divBdr>
        <w:top w:val="none" w:sz="0" w:space="0" w:color="auto"/>
        <w:left w:val="none" w:sz="0" w:space="0" w:color="auto"/>
        <w:bottom w:val="none" w:sz="0" w:space="0" w:color="auto"/>
        <w:right w:val="none" w:sz="0" w:space="0" w:color="auto"/>
      </w:divBdr>
      <w:divsChild>
        <w:div w:id="79565416">
          <w:marLeft w:val="0"/>
          <w:marRight w:val="0"/>
          <w:marTop w:val="0"/>
          <w:marBottom w:val="0"/>
          <w:divBdr>
            <w:top w:val="none" w:sz="0" w:space="0" w:color="auto"/>
            <w:left w:val="none" w:sz="0" w:space="0" w:color="auto"/>
            <w:bottom w:val="none" w:sz="0" w:space="0" w:color="auto"/>
            <w:right w:val="none" w:sz="0" w:space="0" w:color="auto"/>
          </w:divBdr>
          <w:divsChild>
            <w:div w:id="79565377">
              <w:marLeft w:val="0"/>
              <w:marRight w:val="0"/>
              <w:marTop w:val="0"/>
              <w:marBottom w:val="0"/>
              <w:divBdr>
                <w:top w:val="none" w:sz="0" w:space="0" w:color="auto"/>
                <w:left w:val="none" w:sz="0" w:space="0" w:color="auto"/>
                <w:bottom w:val="none" w:sz="0" w:space="0" w:color="auto"/>
                <w:right w:val="none" w:sz="0" w:space="0" w:color="auto"/>
              </w:divBdr>
              <w:divsChild>
                <w:div w:id="79565390">
                  <w:marLeft w:val="0"/>
                  <w:marRight w:val="0"/>
                  <w:marTop w:val="0"/>
                  <w:marBottom w:val="0"/>
                  <w:divBdr>
                    <w:top w:val="none" w:sz="0" w:space="0" w:color="auto"/>
                    <w:left w:val="none" w:sz="0" w:space="0" w:color="auto"/>
                    <w:bottom w:val="none" w:sz="0" w:space="0" w:color="auto"/>
                    <w:right w:val="none" w:sz="0" w:space="0" w:color="auto"/>
                  </w:divBdr>
                  <w:divsChild>
                    <w:div w:id="79565428">
                      <w:marLeft w:val="0"/>
                      <w:marRight w:val="0"/>
                      <w:marTop w:val="0"/>
                      <w:marBottom w:val="0"/>
                      <w:divBdr>
                        <w:top w:val="single" w:sz="6" w:space="15" w:color="C0D8F2"/>
                        <w:left w:val="single" w:sz="6" w:space="18" w:color="C0D8F2"/>
                        <w:bottom w:val="single" w:sz="6" w:space="11" w:color="C0D8F2"/>
                        <w:right w:val="single" w:sz="6" w:space="18" w:color="C0D8F2"/>
                      </w:divBdr>
                      <w:divsChild>
                        <w:div w:id="79565424">
                          <w:marLeft w:val="0"/>
                          <w:marRight w:val="0"/>
                          <w:marTop w:val="0"/>
                          <w:marBottom w:val="0"/>
                          <w:divBdr>
                            <w:top w:val="none" w:sz="0" w:space="0" w:color="auto"/>
                            <w:left w:val="none" w:sz="0" w:space="0" w:color="auto"/>
                            <w:bottom w:val="none" w:sz="0" w:space="0" w:color="auto"/>
                            <w:right w:val="none" w:sz="0" w:space="0" w:color="auto"/>
                          </w:divBdr>
                          <w:divsChild>
                            <w:div w:id="7956537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65354">
      <w:marLeft w:val="0"/>
      <w:marRight w:val="0"/>
      <w:marTop w:val="0"/>
      <w:marBottom w:val="0"/>
      <w:divBdr>
        <w:top w:val="none" w:sz="0" w:space="0" w:color="auto"/>
        <w:left w:val="none" w:sz="0" w:space="0" w:color="auto"/>
        <w:bottom w:val="none" w:sz="0" w:space="0" w:color="auto"/>
        <w:right w:val="none" w:sz="0" w:space="0" w:color="auto"/>
      </w:divBdr>
    </w:div>
    <w:div w:id="79565357">
      <w:marLeft w:val="0"/>
      <w:marRight w:val="0"/>
      <w:marTop w:val="0"/>
      <w:marBottom w:val="0"/>
      <w:divBdr>
        <w:top w:val="none" w:sz="0" w:space="0" w:color="auto"/>
        <w:left w:val="none" w:sz="0" w:space="0" w:color="auto"/>
        <w:bottom w:val="none" w:sz="0" w:space="0" w:color="auto"/>
        <w:right w:val="none" w:sz="0" w:space="0" w:color="auto"/>
      </w:divBdr>
    </w:div>
    <w:div w:id="79565358">
      <w:marLeft w:val="0"/>
      <w:marRight w:val="0"/>
      <w:marTop w:val="0"/>
      <w:marBottom w:val="0"/>
      <w:divBdr>
        <w:top w:val="none" w:sz="0" w:space="0" w:color="auto"/>
        <w:left w:val="none" w:sz="0" w:space="0" w:color="auto"/>
        <w:bottom w:val="none" w:sz="0" w:space="0" w:color="auto"/>
        <w:right w:val="none" w:sz="0" w:space="0" w:color="auto"/>
      </w:divBdr>
    </w:div>
    <w:div w:id="79565359">
      <w:marLeft w:val="0"/>
      <w:marRight w:val="0"/>
      <w:marTop w:val="0"/>
      <w:marBottom w:val="0"/>
      <w:divBdr>
        <w:top w:val="none" w:sz="0" w:space="0" w:color="auto"/>
        <w:left w:val="none" w:sz="0" w:space="0" w:color="auto"/>
        <w:bottom w:val="none" w:sz="0" w:space="0" w:color="auto"/>
        <w:right w:val="none" w:sz="0" w:space="0" w:color="auto"/>
      </w:divBdr>
    </w:div>
    <w:div w:id="79565361">
      <w:marLeft w:val="0"/>
      <w:marRight w:val="0"/>
      <w:marTop w:val="0"/>
      <w:marBottom w:val="0"/>
      <w:divBdr>
        <w:top w:val="none" w:sz="0" w:space="0" w:color="auto"/>
        <w:left w:val="none" w:sz="0" w:space="0" w:color="auto"/>
        <w:bottom w:val="none" w:sz="0" w:space="0" w:color="auto"/>
        <w:right w:val="none" w:sz="0" w:space="0" w:color="auto"/>
      </w:divBdr>
    </w:div>
    <w:div w:id="79565362">
      <w:marLeft w:val="0"/>
      <w:marRight w:val="0"/>
      <w:marTop w:val="0"/>
      <w:marBottom w:val="0"/>
      <w:divBdr>
        <w:top w:val="none" w:sz="0" w:space="0" w:color="auto"/>
        <w:left w:val="none" w:sz="0" w:space="0" w:color="auto"/>
        <w:bottom w:val="none" w:sz="0" w:space="0" w:color="auto"/>
        <w:right w:val="none" w:sz="0" w:space="0" w:color="auto"/>
      </w:divBdr>
    </w:div>
    <w:div w:id="79565363">
      <w:marLeft w:val="0"/>
      <w:marRight w:val="0"/>
      <w:marTop w:val="0"/>
      <w:marBottom w:val="0"/>
      <w:divBdr>
        <w:top w:val="none" w:sz="0" w:space="0" w:color="auto"/>
        <w:left w:val="none" w:sz="0" w:space="0" w:color="auto"/>
        <w:bottom w:val="none" w:sz="0" w:space="0" w:color="auto"/>
        <w:right w:val="none" w:sz="0" w:space="0" w:color="auto"/>
      </w:divBdr>
      <w:divsChild>
        <w:div w:id="79565427">
          <w:marLeft w:val="0"/>
          <w:marRight w:val="0"/>
          <w:marTop w:val="0"/>
          <w:marBottom w:val="0"/>
          <w:divBdr>
            <w:top w:val="none" w:sz="0" w:space="0" w:color="auto"/>
            <w:left w:val="none" w:sz="0" w:space="0" w:color="auto"/>
            <w:bottom w:val="none" w:sz="0" w:space="0" w:color="auto"/>
            <w:right w:val="none" w:sz="0" w:space="0" w:color="auto"/>
          </w:divBdr>
          <w:divsChild>
            <w:div w:id="79565351">
              <w:marLeft w:val="0"/>
              <w:marRight w:val="0"/>
              <w:marTop w:val="0"/>
              <w:marBottom w:val="0"/>
              <w:divBdr>
                <w:top w:val="none" w:sz="0" w:space="0" w:color="auto"/>
                <w:left w:val="none" w:sz="0" w:space="0" w:color="auto"/>
                <w:bottom w:val="none" w:sz="0" w:space="0" w:color="auto"/>
                <w:right w:val="none" w:sz="0" w:space="0" w:color="auto"/>
              </w:divBdr>
              <w:divsChild>
                <w:div w:id="79565381">
                  <w:marLeft w:val="0"/>
                  <w:marRight w:val="0"/>
                  <w:marTop w:val="0"/>
                  <w:marBottom w:val="0"/>
                  <w:divBdr>
                    <w:top w:val="none" w:sz="0" w:space="0" w:color="auto"/>
                    <w:left w:val="none" w:sz="0" w:space="0" w:color="auto"/>
                    <w:bottom w:val="none" w:sz="0" w:space="0" w:color="auto"/>
                    <w:right w:val="none" w:sz="0" w:space="0" w:color="auto"/>
                  </w:divBdr>
                  <w:divsChild>
                    <w:div w:id="79565394">
                      <w:marLeft w:val="0"/>
                      <w:marRight w:val="0"/>
                      <w:marTop w:val="0"/>
                      <w:marBottom w:val="0"/>
                      <w:divBdr>
                        <w:top w:val="single" w:sz="6" w:space="15" w:color="C0D8F2"/>
                        <w:left w:val="single" w:sz="6" w:space="18" w:color="C0D8F2"/>
                        <w:bottom w:val="single" w:sz="6" w:space="11" w:color="C0D8F2"/>
                        <w:right w:val="single" w:sz="6" w:space="18" w:color="C0D8F2"/>
                      </w:divBdr>
                      <w:divsChild>
                        <w:div w:id="79565393">
                          <w:marLeft w:val="0"/>
                          <w:marRight w:val="0"/>
                          <w:marTop w:val="0"/>
                          <w:marBottom w:val="0"/>
                          <w:divBdr>
                            <w:top w:val="none" w:sz="0" w:space="0" w:color="auto"/>
                            <w:left w:val="none" w:sz="0" w:space="0" w:color="auto"/>
                            <w:bottom w:val="none" w:sz="0" w:space="0" w:color="auto"/>
                            <w:right w:val="none" w:sz="0" w:space="0" w:color="auto"/>
                          </w:divBdr>
                          <w:divsChild>
                            <w:div w:id="7956542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65364">
      <w:marLeft w:val="0"/>
      <w:marRight w:val="0"/>
      <w:marTop w:val="0"/>
      <w:marBottom w:val="0"/>
      <w:divBdr>
        <w:top w:val="none" w:sz="0" w:space="0" w:color="auto"/>
        <w:left w:val="none" w:sz="0" w:space="0" w:color="auto"/>
        <w:bottom w:val="none" w:sz="0" w:space="0" w:color="auto"/>
        <w:right w:val="none" w:sz="0" w:space="0" w:color="auto"/>
      </w:divBdr>
    </w:div>
    <w:div w:id="79565367">
      <w:marLeft w:val="0"/>
      <w:marRight w:val="0"/>
      <w:marTop w:val="0"/>
      <w:marBottom w:val="0"/>
      <w:divBdr>
        <w:top w:val="none" w:sz="0" w:space="0" w:color="auto"/>
        <w:left w:val="none" w:sz="0" w:space="0" w:color="auto"/>
        <w:bottom w:val="none" w:sz="0" w:space="0" w:color="auto"/>
        <w:right w:val="none" w:sz="0" w:space="0" w:color="auto"/>
      </w:divBdr>
    </w:div>
    <w:div w:id="79565369">
      <w:marLeft w:val="0"/>
      <w:marRight w:val="0"/>
      <w:marTop w:val="0"/>
      <w:marBottom w:val="0"/>
      <w:divBdr>
        <w:top w:val="none" w:sz="0" w:space="0" w:color="auto"/>
        <w:left w:val="none" w:sz="0" w:space="0" w:color="auto"/>
        <w:bottom w:val="none" w:sz="0" w:space="0" w:color="auto"/>
        <w:right w:val="none" w:sz="0" w:space="0" w:color="auto"/>
      </w:divBdr>
    </w:div>
    <w:div w:id="79565370">
      <w:marLeft w:val="0"/>
      <w:marRight w:val="0"/>
      <w:marTop w:val="0"/>
      <w:marBottom w:val="0"/>
      <w:divBdr>
        <w:top w:val="none" w:sz="0" w:space="0" w:color="auto"/>
        <w:left w:val="none" w:sz="0" w:space="0" w:color="auto"/>
        <w:bottom w:val="none" w:sz="0" w:space="0" w:color="auto"/>
        <w:right w:val="none" w:sz="0" w:space="0" w:color="auto"/>
      </w:divBdr>
    </w:div>
    <w:div w:id="79565373">
      <w:marLeft w:val="0"/>
      <w:marRight w:val="0"/>
      <w:marTop w:val="0"/>
      <w:marBottom w:val="0"/>
      <w:divBdr>
        <w:top w:val="none" w:sz="0" w:space="0" w:color="auto"/>
        <w:left w:val="none" w:sz="0" w:space="0" w:color="auto"/>
        <w:bottom w:val="none" w:sz="0" w:space="0" w:color="auto"/>
        <w:right w:val="none" w:sz="0" w:space="0" w:color="auto"/>
      </w:divBdr>
      <w:divsChild>
        <w:div w:id="79565401">
          <w:marLeft w:val="0"/>
          <w:marRight w:val="0"/>
          <w:marTop w:val="0"/>
          <w:marBottom w:val="0"/>
          <w:divBdr>
            <w:top w:val="none" w:sz="0" w:space="0" w:color="auto"/>
            <w:left w:val="none" w:sz="0" w:space="0" w:color="auto"/>
            <w:bottom w:val="none" w:sz="0" w:space="0" w:color="auto"/>
            <w:right w:val="none" w:sz="0" w:space="0" w:color="auto"/>
          </w:divBdr>
          <w:divsChild>
            <w:div w:id="79565392">
              <w:marLeft w:val="0"/>
              <w:marRight w:val="0"/>
              <w:marTop w:val="0"/>
              <w:marBottom w:val="0"/>
              <w:divBdr>
                <w:top w:val="none" w:sz="0" w:space="0" w:color="auto"/>
                <w:left w:val="none" w:sz="0" w:space="0" w:color="auto"/>
                <w:bottom w:val="none" w:sz="0" w:space="0" w:color="auto"/>
                <w:right w:val="none" w:sz="0" w:space="0" w:color="auto"/>
              </w:divBdr>
              <w:divsChild>
                <w:div w:id="79565404">
                  <w:marLeft w:val="0"/>
                  <w:marRight w:val="0"/>
                  <w:marTop w:val="0"/>
                  <w:marBottom w:val="0"/>
                  <w:divBdr>
                    <w:top w:val="none" w:sz="0" w:space="0" w:color="auto"/>
                    <w:left w:val="none" w:sz="0" w:space="0" w:color="auto"/>
                    <w:bottom w:val="none" w:sz="0" w:space="0" w:color="auto"/>
                    <w:right w:val="none" w:sz="0" w:space="0" w:color="auto"/>
                  </w:divBdr>
                  <w:divsChild>
                    <w:div w:id="79565425">
                      <w:marLeft w:val="0"/>
                      <w:marRight w:val="0"/>
                      <w:marTop w:val="0"/>
                      <w:marBottom w:val="0"/>
                      <w:divBdr>
                        <w:top w:val="single" w:sz="6" w:space="15" w:color="C0D8F2"/>
                        <w:left w:val="single" w:sz="6" w:space="18" w:color="C0D8F2"/>
                        <w:bottom w:val="single" w:sz="6" w:space="11" w:color="C0D8F2"/>
                        <w:right w:val="single" w:sz="6" w:space="18" w:color="C0D8F2"/>
                      </w:divBdr>
                      <w:divsChild>
                        <w:div w:id="79565417">
                          <w:marLeft w:val="0"/>
                          <w:marRight w:val="0"/>
                          <w:marTop w:val="0"/>
                          <w:marBottom w:val="0"/>
                          <w:divBdr>
                            <w:top w:val="none" w:sz="0" w:space="0" w:color="auto"/>
                            <w:left w:val="none" w:sz="0" w:space="0" w:color="auto"/>
                            <w:bottom w:val="none" w:sz="0" w:space="0" w:color="auto"/>
                            <w:right w:val="none" w:sz="0" w:space="0" w:color="auto"/>
                          </w:divBdr>
                          <w:divsChild>
                            <w:div w:id="7956542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65374">
      <w:marLeft w:val="0"/>
      <w:marRight w:val="0"/>
      <w:marTop w:val="0"/>
      <w:marBottom w:val="0"/>
      <w:divBdr>
        <w:top w:val="none" w:sz="0" w:space="0" w:color="auto"/>
        <w:left w:val="none" w:sz="0" w:space="0" w:color="auto"/>
        <w:bottom w:val="none" w:sz="0" w:space="0" w:color="auto"/>
        <w:right w:val="none" w:sz="0" w:space="0" w:color="auto"/>
      </w:divBdr>
    </w:div>
    <w:div w:id="79565375">
      <w:marLeft w:val="0"/>
      <w:marRight w:val="0"/>
      <w:marTop w:val="0"/>
      <w:marBottom w:val="0"/>
      <w:divBdr>
        <w:top w:val="none" w:sz="0" w:space="0" w:color="auto"/>
        <w:left w:val="none" w:sz="0" w:space="0" w:color="auto"/>
        <w:bottom w:val="none" w:sz="0" w:space="0" w:color="auto"/>
        <w:right w:val="none" w:sz="0" w:space="0" w:color="auto"/>
      </w:divBdr>
    </w:div>
    <w:div w:id="79565379">
      <w:marLeft w:val="0"/>
      <w:marRight w:val="0"/>
      <w:marTop w:val="0"/>
      <w:marBottom w:val="0"/>
      <w:divBdr>
        <w:top w:val="none" w:sz="0" w:space="0" w:color="auto"/>
        <w:left w:val="none" w:sz="0" w:space="0" w:color="auto"/>
        <w:bottom w:val="none" w:sz="0" w:space="0" w:color="auto"/>
        <w:right w:val="none" w:sz="0" w:space="0" w:color="auto"/>
      </w:divBdr>
    </w:div>
    <w:div w:id="79565380">
      <w:marLeft w:val="0"/>
      <w:marRight w:val="0"/>
      <w:marTop w:val="0"/>
      <w:marBottom w:val="0"/>
      <w:divBdr>
        <w:top w:val="none" w:sz="0" w:space="0" w:color="auto"/>
        <w:left w:val="none" w:sz="0" w:space="0" w:color="auto"/>
        <w:bottom w:val="none" w:sz="0" w:space="0" w:color="auto"/>
        <w:right w:val="none" w:sz="0" w:space="0" w:color="auto"/>
      </w:divBdr>
    </w:div>
    <w:div w:id="79565383">
      <w:marLeft w:val="0"/>
      <w:marRight w:val="0"/>
      <w:marTop w:val="0"/>
      <w:marBottom w:val="0"/>
      <w:divBdr>
        <w:top w:val="none" w:sz="0" w:space="0" w:color="auto"/>
        <w:left w:val="none" w:sz="0" w:space="0" w:color="auto"/>
        <w:bottom w:val="none" w:sz="0" w:space="0" w:color="auto"/>
        <w:right w:val="none" w:sz="0" w:space="0" w:color="auto"/>
      </w:divBdr>
      <w:divsChild>
        <w:div w:id="79565376">
          <w:marLeft w:val="0"/>
          <w:marRight w:val="0"/>
          <w:marTop w:val="0"/>
          <w:marBottom w:val="0"/>
          <w:divBdr>
            <w:top w:val="none" w:sz="0" w:space="0" w:color="auto"/>
            <w:left w:val="none" w:sz="0" w:space="0" w:color="auto"/>
            <w:bottom w:val="none" w:sz="0" w:space="0" w:color="auto"/>
            <w:right w:val="none" w:sz="0" w:space="0" w:color="auto"/>
          </w:divBdr>
        </w:div>
      </w:divsChild>
    </w:div>
    <w:div w:id="79565384">
      <w:marLeft w:val="0"/>
      <w:marRight w:val="0"/>
      <w:marTop w:val="0"/>
      <w:marBottom w:val="0"/>
      <w:divBdr>
        <w:top w:val="none" w:sz="0" w:space="0" w:color="auto"/>
        <w:left w:val="none" w:sz="0" w:space="0" w:color="auto"/>
        <w:bottom w:val="none" w:sz="0" w:space="0" w:color="auto"/>
        <w:right w:val="none" w:sz="0" w:space="0" w:color="auto"/>
      </w:divBdr>
    </w:div>
    <w:div w:id="79565385">
      <w:marLeft w:val="0"/>
      <w:marRight w:val="0"/>
      <w:marTop w:val="0"/>
      <w:marBottom w:val="0"/>
      <w:divBdr>
        <w:top w:val="none" w:sz="0" w:space="0" w:color="auto"/>
        <w:left w:val="none" w:sz="0" w:space="0" w:color="auto"/>
        <w:bottom w:val="none" w:sz="0" w:space="0" w:color="auto"/>
        <w:right w:val="none" w:sz="0" w:space="0" w:color="auto"/>
      </w:divBdr>
      <w:divsChild>
        <w:div w:id="79565372">
          <w:marLeft w:val="0"/>
          <w:marRight w:val="0"/>
          <w:marTop w:val="0"/>
          <w:marBottom w:val="0"/>
          <w:divBdr>
            <w:top w:val="none" w:sz="0" w:space="0" w:color="auto"/>
            <w:left w:val="none" w:sz="0" w:space="0" w:color="auto"/>
            <w:bottom w:val="none" w:sz="0" w:space="0" w:color="auto"/>
            <w:right w:val="none" w:sz="0" w:space="0" w:color="auto"/>
          </w:divBdr>
          <w:divsChild>
            <w:div w:id="79565403">
              <w:marLeft w:val="0"/>
              <w:marRight w:val="0"/>
              <w:marTop w:val="0"/>
              <w:marBottom w:val="0"/>
              <w:divBdr>
                <w:top w:val="none" w:sz="0" w:space="0" w:color="auto"/>
                <w:left w:val="none" w:sz="0" w:space="0" w:color="auto"/>
                <w:bottom w:val="none" w:sz="0" w:space="0" w:color="auto"/>
                <w:right w:val="none" w:sz="0" w:space="0" w:color="auto"/>
              </w:divBdr>
              <w:divsChild>
                <w:div w:id="79565365">
                  <w:marLeft w:val="0"/>
                  <w:marRight w:val="0"/>
                  <w:marTop w:val="0"/>
                  <w:marBottom w:val="0"/>
                  <w:divBdr>
                    <w:top w:val="none" w:sz="0" w:space="0" w:color="auto"/>
                    <w:left w:val="none" w:sz="0" w:space="0" w:color="auto"/>
                    <w:bottom w:val="none" w:sz="0" w:space="0" w:color="auto"/>
                    <w:right w:val="none" w:sz="0" w:space="0" w:color="auto"/>
                  </w:divBdr>
                  <w:divsChild>
                    <w:div w:id="7956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65386">
      <w:marLeft w:val="0"/>
      <w:marRight w:val="0"/>
      <w:marTop w:val="0"/>
      <w:marBottom w:val="0"/>
      <w:divBdr>
        <w:top w:val="none" w:sz="0" w:space="0" w:color="auto"/>
        <w:left w:val="none" w:sz="0" w:space="0" w:color="auto"/>
        <w:bottom w:val="none" w:sz="0" w:space="0" w:color="auto"/>
        <w:right w:val="none" w:sz="0" w:space="0" w:color="auto"/>
      </w:divBdr>
    </w:div>
    <w:div w:id="79565388">
      <w:marLeft w:val="0"/>
      <w:marRight w:val="0"/>
      <w:marTop w:val="0"/>
      <w:marBottom w:val="0"/>
      <w:divBdr>
        <w:top w:val="none" w:sz="0" w:space="0" w:color="auto"/>
        <w:left w:val="none" w:sz="0" w:space="0" w:color="auto"/>
        <w:bottom w:val="none" w:sz="0" w:space="0" w:color="auto"/>
        <w:right w:val="none" w:sz="0" w:space="0" w:color="auto"/>
      </w:divBdr>
    </w:div>
    <w:div w:id="79565389">
      <w:marLeft w:val="0"/>
      <w:marRight w:val="0"/>
      <w:marTop w:val="0"/>
      <w:marBottom w:val="0"/>
      <w:divBdr>
        <w:top w:val="none" w:sz="0" w:space="0" w:color="auto"/>
        <w:left w:val="none" w:sz="0" w:space="0" w:color="auto"/>
        <w:bottom w:val="none" w:sz="0" w:space="0" w:color="auto"/>
        <w:right w:val="none" w:sz="0" w:space="0" w:color="auto"/>
      </w:divBdr>
    </w:div>
    <w:div w:id="79565391">
      <w:marLeft w:val="0"/>
      <w:marRight w:val="0"/>
      <w:marTop w:val="0"/>
      <w:marBottom w:val="0"/>
      <w:divBdr>
        <w:top w:val="none" w:sz="0" w:space="0" w:color="auto"/>
        <w:left w:val="none" w:sz="0" w:space="0" w:color="auto"/>
        <w:bottom w:val="none" w:sz="0" w:space="0" w:color="auto"/>
        <w:right w:val="none" w:sz="0" w:space="0" w:color="auto"/>
      </w:divBdr>
    </w:div>
    <w:div w:id="79565396">
      <w:marLeft w:val="0"/>
      <w:marRight w:val="0"/>
      <w:marTop w:val="0"/>
      <w:marBottom w:val="0"/>
      <w:divBdr>
        <w:top w:val="none" w:sz="0" w:space="0" w:color="auto"/>
        <w:left w:val="none" w:sz="0" w:space="0" w:color="auto"/>
        <w:bottom w:val="none" w:sz="0" w:space="0" w:color="auto"/>
        <w:right w:val="none" w:sz="0" w:space="0" w:color="auto"/>
      </w:divBdr>
    </w:div>
    <w:div w:id="79565397">
      <w:marLeft w:val="0"/>
      <w:marRight w:val="0"/>
      <w:marTop w:val="0"/>
      <w:marBottom w:val="0"/>
      <w:divBdr>
        <w:top w:val="none" w:sz="0" w:space="0" w:color="auto"/>
        <w:left w:val="none" w:sz="0" w:space="0" w:color="auto"/>
        <w:bottom w:val="none" w:sz="0" w:space="0" w:color="auto"/>
        <w:right w:val="none" w:sz="0" w:space="0" w:color="auto"/>
      </w:divBdr>
    </w:div>
    <w:div w:id="79565398">
      <w:marLeft w:val="0"/>
      <w:marRight w:val="0"/>
      <w:marTop w:val="0"/>
      <w:marBottom w:val="0"/>
      <w:divBdr>
        <w:top w:val="none" w:sz="0" w:space="0" w:color="auto"/>
        <w:left w:val="none" w:sz="0" w:space="0" w:color="auto"/>
        <w:bottom w:val="none" w:sz="0" w:space="0" w:color="auto"/>
        <w:right w:val="none" w:sz="0" w:space="0" w:color="auto"/>
      </w:divBdr>
      <w:divsChild>
        <w:div w:id="79565366">
          <w:marLeft w:val="0"/>
          <w:marRight w:val="0"/>
          <w:marTop w:val="0"/>
          <w:marBottom w:val="0"/>
          <w:divBdr>
            <w:top w:val="none" w:sz="0" w:space="0" w:color="auto"/>
            <w:left w:val="none" w:sz="0" w:space="0" w:color="auto"/>
            <w:bottom w:val="none" w:sz="0" w:space="0" w:color="auto"/>
            <w:right w:val="none" w:sz="0" w:space="0" w:color="auto"/>
          </w:divBdr>
        </w:div>
      </w:divsChild>
    </w:div>
    <w:div w:id="79565399">
      <w:marLeft w:val="0"/>
      <w:marRight w:val="0"/>
      <w:marTop w:val="0"/>
      <w:marBottom w:val="0"/>
      <w:divBdr>
        <w:top w:val="none" w:sz="0" w:space="0" w:color="auto"/>
        <w:left w:val="none" w:sz="0" w:space="0" w:color="auto"/>
        <w:bottom w:val="none" w:sz="0" w:space="0" w:color="auto"/>
        <w:right w:val="none" w:sz="0" w:space="0" w:color="auto"/>
      </w:divBdr>
    </w:div>
    <w:div w:id="79565400">
      <w:marLeft w:val="0"/>
      <w:marRight w:val="0"/>
      <w:marTop w:val="0"/>
      <w:marBottom w:val="0"/>
      <w:divBdr>
        <w:top w:val="none" w:sz="0" w:space="0" w:color="auto"/>
        <w:left w:val="none" w:sz="0" w:space="0" w:color="auto"/>
        <w:bottom w:val="none" w:sz="0" w:space="0" w:color="auto"/>
        <w:right w:val="none" w:sz="0" w:space="0" w:color="auto"/>
      </w:divBdr>
    </w:div>
    <w:div w:id="79565402">
      <w:marLeft w:val="0"/>
      <w:marRight w:val="0"/>
      <w:marTop w:val="0"/>
      <w:marBottom w:val="0"/>
      <w:divBdr>
        <w:top w:val="none" w:sz="0" w:space="0" w:color="auto"/>
        <w:left w:val="none" w:sz="0" w:space="0" w:color="auto"/>
        <w:bottom w:val="none" w:sz="0" w:space="0" w:color="auto"/>
        <w:right w:val="none" w:sz="0" w:space="0" w:color="auto"/>
      </w:divBdr>
    </w:div>
    <w:div w:id="79565405">
      <w:marLeft w:val="0"/>
      <w:marRight w:val="0"/>
      <w:marTop w:val="0"/>
      <w:marBottom w:val="0"/>
      <w:divBdr>
        <w:top w:val="none" w:sz="0" w:space="0" w:color="auto"/>
        <w:left w:val="none" w:sz="0" w:space="0" w:color="auto"/>
        <w:bottom w:val="none" w:sz="0" w:space="0" w:color="auto"/>
        <w:right w:val="none" w:sz="0" w:space="0" w:color="auto"/>
      </w:divBdr>
    </w:div>
    <w:div w:id="79565406">
      <w:marLeft w:val="180"/>
      <w:marRight w:val="180"/>
      <w:marTop w:val="180"/>
      <w:marBottom w:val="180"/>
      <w:divBdr>
        <w:top w:val="none" w:sz="0" w:space="0" w:color="auto"/>
        <w:left w:val="none" w:sz="0" w:space="0" w:color="auto"/>
        <w:bottom w:val="none" w:sz="0" w:space="0" w:color="auto"/>
        <w:right w:val="none" w:sz="0" w:space="0" w:color="auto"/>
      </w:divBdr>
      <w:divsChild>
        <w:div w:id="79565387">
          <w:marLeft w:val="0"/>
          <w:marRight w:val="0"/>
          <w:marTop w:val="0"/>
          <w:marBottom w:val="0"/>
          <w:divBdr>
            <w:top w:val="none" w:sz="0" w:space="0" w:color="auto"/>
            <w:left w:val="none" w:sz="0" w:space="0" w:color="auto"/>
            <w:bottom w:val="none" w:sz="0" w:space="0" w:color="auto"/>
            <w:right w:val="none" w:sz="0" w:space="0" w:color="auto"/>
          </w:divBdr>
        </w:div>
      </w:divsChild>
    </w:div>
    <w:div w:id="79565407">
      <w:marLeft w:val="0"/>
      <w:marRight w:val="0"/>
      <w:marTop w:val="0"/>
      <w:marBottom w:val="0"/>
      <w:divBdr>
        <w:top w:val="none" w:sz="0" w:space="0" w:color="auto"/>
        <w:left w:val="none" w:sz="0" w:space="0" w:color="auto"/>
        <w:bottom w:val="none" w:sz="0" w:space="0" w:color="auto"/>
        <w:right w:val="none" w:sz="0" w:space="0" w:color="auto"/>
      </w:divBdr>
    </w:div>
    <w:div w:id="79565408">
      <w:marLeft w:val="0"/>
      <w:marRight w:val="0"/>
      <w:marTop w:val="0"/>
      <w:marBottom w:val="0"/>
      <w:divBdr>
        <w:top w:val="none" w:sz="0" w:space="0" w:color="auto"/>
        <w:left w:val="none" w:sz="0" w:space="0" w:color="auto"/>
        <w:bottom w:val="none" w:sz="0" w:space="0" w:color="auto"/>
        <w:right w:val="none" w:sz="0" w:space="0" w:color="auto"/>
      </w:divBdr>
      <w:divsChild>
        <w:div w:id="79565378">
          <w:marLeft w:val="0"/>
          <w:marRight w:val="0"/>
          <w:marTop w:val="0"/>
          <w:marBottom w:val="0"/>
          <w:divBdr>
            <w:top w:val="none" w:sz="0" w:space="0" w:color="auto"/>
            <w:left w:val="none" w:sz="0" w:space="0" w:color="auto"/>
            <w:bottom w:val="none" w:sz="0" w:space="0" w:color="auto"/>
            <w:right w:val="none" w:sz="0" w:space="0" w:color="auto"/>
          </w:divBdr>
        </w:div>
      </w:divsChild>
    </w:div>
    <w:div w:id="79565409">
      <w:marLeft w:val="0"/>
      <w:marRight w:val="0"/>
      <w:marTop w:val="0"/>
      <w:marBottom w:val="0"/>
      <w:divBdr>
        <w:top w:val="none" w:sz="0" w:space="0" w:color="auto"/>
        <w:left w:val="none" w:sz="0" w:space="0" w:color="auto"/>
        <w:bottom w:val="none" w:sz="0" w:space="0" w:color="auto"/>
        <w:right w:val="none" w:sz="0" w:space="0" w:color="auto"/>
      </w:divBdr>
    </w:div>
    <w:div w:id="79565410">
      <w:marLeft w:val="0"/>
      <w:marRight w:val="0"/>
      <w:marTop w:val="0"/>
      <w:marBottom w:val="0"/>
      <w:divBdr>
        <w:top w:val="none" w:sz="0" w:space="0" w:color="auto"/>
        <w:left w:val="none" w:sz="0" w:space="0" w:color="auto"/>
        <w:bottom w:val="none" w:sz="0" w:space="0" w:color="auto"/>
        <w:right w:val="none" w:sz="0" w:space="0" w:color="auto"/>
      </w:divBdr>
      <w:divsChild>
        <w:div w:id="79565395">
          <w:marLeft w:val="0"/>
          <w:marRight w:val="0"/>
          <w:marTop w:val="0"/>
          <w:marBottom w:val="0"/>
          <w:divBdr>
            <w:top w:val="none" w:sz="0" w:space="0" w:color="auto"/>
            <w:left w:val="none" w:sz="0" w:space="0" w:color="auto"/>
            <w:bottom w:val="none" w:sz="0" w:space="0" w:color="auto"/>
            <w:right w:val="none" w:sz="0" w:space="0" w:color="auto"/>
          </w:divBdr>
          <w:divsChild>
            <w:div w:id="79565421">
              <w:marLeft w:val="0"/>
              <w:marRight w:val="0"/>
              <w:marTop w:val="0"/>
              <w:marBottom w:val="0"/>
              <w:divBdr>
                <w:top w:val="none" w:sz="0" w:space="0" w:color="auto"/>
                <w:left w:val="none" w:sz="0" w:space="0" w:color="auto"/>
                <w:bottom w:val="none" w:sz="0" w:space="0" w:color="auto"/>
                <w:right w:val="none" w:sz="0" w:space="0" w:color="auto"/>
              </w:divBdr>
              <w:divsChild>
                <w:div w:id="79565356">
                  <w:marLeft w:val="0"/>
                  <w:marRight w:val="0"/>
                  <w:marTop w:val="0"/>
                  <w:marBottom w:val="0"/>
                  <w:divBdr>
                    <w:top w:val="none" w:sz="0" w:space="0" w:color="auto"/>
                    <w:left w:val="none" w:sz="0" w:space="0" w:color="auto"/>
                    <w:bottom w:val="none" w:sz="0" w:space="0" w:color="auto"/>
                    <w:right w:val="none" w:sz="0" w:space="0" w:color="auto"/>
                  </w:divBdr>
                  <w:divsChild>
                    <w:div w:id="79565418">
                      <w:marLeft w:val="0"/>
                      <w:marRight w:val="0"/>
                      <w:marTop w:val="0"/>
                      <w:marBottom w:val="0"/>
                      <w:divBdr>
                        <w:top w:val="single" w:sz="6" w:space="15" w:color="C0D8F2"/>
                        <w:left w:val="single" w:sz="6" w:space="18" w:color="C0D8F2"/>
                        <w:bottom w:val="single" w:sz="6" w:space="11" w:color="C0D8F2"/>
                        <w:right w:val="single" w:sz="6" w:space="18" w:color="C0D8F2"/>
                      </w:divBdr>
                      <w:divsChild>
                        <w:div w:id="79565355">
                          <w:marLeft w:val="0"/>
                          <w:marRight w:val="0"/>
                          <w:marTop w:val="0"/>
                          <w:marBottom w:val="0"/>
                          <w:divBdr>
                            <w:top w:val="none" w:sz="0" w:space="0" w:color="auto"/>
                            <w:left w:val="none" w:sz="0" w:space="0" w:color="auto"/>
                            <w:bottom w:val="none" w:sz="0" w:space="0" w:color="auto"/>
                            <w:right w:val="none" w:sz="0" w:space="0" w:color="auto"/>
                          </w:divBdr>
                          <w:divsChild>
                            <w:div w:id="7956536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65411">
      <w:marLeft w:val="0"/>
      <w:marRight w:val="0"/>
      <w:marTop w:val="0"/>
      <w:marBottom w:val="0"/>
      <w:divBdr>
        <w:top w:val="none" w:sz="0" w:space="0" w:color="auto"/>
        <w:left w:val="none" w:sz="0" w:space="0" w:color="auto"/>
        <w:bottom w:val="none" w:sz="0" w:space="0" w:color="auto"/>
        <w:right w:val="none" w:sz="0" w:space="0" w:color="auto"/>
      </w:divBdr>
    </w:div>
    <w:div w:id="79565412">
      <w:marLeft w:val="0"/>
      <w:marRight w:val="0"/>
      <w:marTop w:val="0"/>
      <w:marBottom w:val="0"/>
      <w:divBdr>
        <w:top w:val="none" w:sz="0" w:space="0" w:color="auto"/>
        <w:left w:val="none" w:sz="0" w:space="0" w:color="auto"/>
        <w:bottom w:val="none" w:sz="0" w:space="0" w:color="auto"/>
        <w:right w:val="none" w:sz="0" w:space="0" w:color="auto"/>
      </w:divBdr>
    </w:div>
    <w:div w:id="79565413">
      <w:marLeft w:val="0"/>
      <w:marRight w:val="0"/>
      <w:marTop w:val="0"/>
      <w:marBottom w:val="0"/>
      <w:divBdr>
        <w:top w:val="none" w:sz="0" w:space="0" w:color="auto"/>
        <w:left w:val="none" w:sz="0" w:space="0" w:color="auto"/>
        <w:bottom w:val="none" w:sz="0" w:space="0" w:color="auto"/>
        <w:right w:val="none" w:sz="0" w:space="0" w:color="auto"/>
      </w:divBdr>
    </w:div>
    <w:div w:id="79565414">
      <w:marLeft w:val="0"/>
      <w:marRight w:val="0"/>
      <w:marTop w:val="0"/>
      <w:marBottom w:val="0"/>
      <w:divBdr>
        <w:top w:val="none" w:sz="0" w:space="0" w:color="auto"/>
        <w:left w:val="none" w:sz="0" w:space="0" w:color="auto"/>
        <w:bottom w:val="none" w:sz="0" w:space="0" w:color="auto"/>
        <w:right w:val="none" w:sz="0" w:space="0" w:color="auto"/>
      </w:divBdr>
    </w:div>
    <w:div w:id="79565415">
      <w:marLeft w:val="0"/>
      <w:marRight w:val="0"/>
      <w:marTop w:val="0"/>
      <w:marBottom w:val="0"/>
      <w:divBdr>
        <w:top w:val="none" w:sz="0" w:space="0" w:color="auto"/>
        <w:left w:val="none" w:sz="0" w:space="0" w:color="auto"/>
        <w:bottom w:val="none" w:sz="0" w:space="0" w:color="auto"/>
        <w:right w:val="none" w:sz="0" w:space="0" w:color="auto"/>
      </w:divBdr>
    </w:div>
    <w:div w:id="79565419">
      <w:marLeft w:val="0"/>
      <w:marRight w:val="0"/>
      <w:marTop w:val="0"/>
      <w:marBottom w:val="0"/>
      <w:divBdr>
        <w:top w:val="none" w:sz="0" w:space="0" w:color="auto"/>
        <w:left w:val="none" w:sz="0" w:space="0" w:color="auto"/>
        <w:bottom w:val="none" w:sz="0" w:space="0" w:color="auto"/>
        <w:right w:val="none" w:sz="0" w:space="0" w:color="auto"/>
      </w:divBdr>
    </w:div>
    <w:div w:id="79565420">
      <w:marLeft w:val="0"/>
      <w:marRight w:val="0"/>
      <w:marTop w:val="0"/>
      <w:marBottom w:val="0"/>
      <w:divBdr>
        <w:top w:val="none" w:sz="0" w:space="0" w:color="auto"/>
        <w:left w:val="none" w:sz="0" w:space="0" w:color="auto"/>
        <w:bottom w:val="none" w:sz="0" w:space="0" w:color="auto"/>
        <w:right w:val="none" w:sz="0" w:space="0" w:color="auto"/>
      </w:divBdr>
    </w:div>
    <w:div w:id="79565422">
      <w:marLeft w:val="0"/>
      <w:marRight w:val="0"/>
      <w:marTop w:val="0"/>
      <w:marBottom w:val="0"/>
      <w:divBdr>
        <w:top w:val="none" w:sz="0" w:space="0" w:color="auto"/>
        <w:left w:val="none" w:sz="0" w:space="0" w:color="auto"/>
        <w:bottom w:val="none" w:sz="0" w:space="0" w:color="auto"/>
        <w:right w:val="none" w:sz="0" w:space="0" w:color="auto"/>
      </w:divBdr>
    </w:div>
    <w:div w:id="79565429">
      <w:marLeft w:val="0"/>
      <w:marRight w:val="0"/>
      <w:marTop w:val="0"/>
      <w:marBottom w:val="0"/>
      <w:divBdr>
        <w:top w:val="none" w:sz="0" w:space="0" w:color="auto"/>
        <w:left w:val="none" w:sz="0" w:space="0" w:color="auto"/>
        <w:bottom w:val="none" w:sz="0" w:space="0" w:color="auto"/>
        <w:right w:val="none" w:sz="0" w:space="0" w:color="auto"/>
      </w:divBdr>
      <w:divsChild>
        <w:div w:id="79565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5</Pages>
  <Words>982</Words>
  <Characters>5600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导语</dc:title>
  <dc:subject/>
  <dc:creator>shanghai vstone</dc:creator>
  <cp:keywords/>
  <dc:description/>
  <cp:lastModifiedBy>User</cp:lastModifiedBy>
  <cp:revision>2</cp:revision>
  <dcterms:created xsi:type="dcterms:W3CDTF">2014-10-29T03:00:00Z</dcterms:created>
  <dcterms:modified xsi:type="dcterms:W3CDTF">2014-10-29T03:00:00Z</dcterms:modified>
</cp:coreProperties>
</file>