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E63DE0" w:rsidP="00BE3940">
            <w:pPr>
              <w:rPr>
                <w:rFonts w:eastAsia="楷体_GB2312"/>
                <w:b/>
                <w:color w:val="003366"/>
                <w:sz w:val="24"/>
              </w:rPr>
            </w:pPr>
            <w:r w:rsidRPr="00E63DE0">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B66B4F" w:rsidRPr="00FC770C" w:rsidRDefault="00B66B4F"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CD7632" w:rsidRDefault="006D7EFB" w:rsidP="00F90B91">
            <w:pPr>
              <w:spacing w:line="360" w:lineRule="auto"/>
              <w:ind w:left="-288" w:firstLineChars="150" w:firstLine="315"/>
              <w:jc w:val="left"/>
              <w:rPr>
                <w:rFonts w:eastAsia="楷体_GB2312"/>
                <w:color w:val="003366"/>
                <w:szCs w:val="21"/>
              </w:rPr>
            </w:pPr>
            <w:r w:rsidRPr="00CD7632">
              <w:rPr>
                <w:rFonts w:eastAsia="楷体_GB2312" w:hint="eastAsia"/>
                <w:color w:val="003366"/>
                <w:szCs w:val="21"/>
              </w:rPr>
              <w:t>2</w:t>
            </w:r>
            <w:r w:rsidRPr="00CD7632">
              <w:rPr>
                <w:rFonts w:eastAsia="黑体" w:hint="eastAsia"/>
                <w:b/>
                <w:color w:val="003366"/>
                <w:szCs w:val="21"/>
              </w:rPr>
              <w:t>01</w:t>
            </w:r>
            <w:r w:rsidR="007F5689">
              <w:rPr>
                <w:rFonts w:eastAsia="黑体" w:hint="eastAsia"/>
                <w:b/>
                <w:color w:val="003366"/>
                <w:szCs w:val="21"/>
              </w:rPr>
              <w:t>4</w:t>
            </w:r>
            <w:r w:rsidRPr="00CD7632">
              <w:rPr>
                <w:rFonts w:eastAsia="黑体" w:hint="eastAsia"/>
                <w:b/>
                <w:color w:val="003366"/>
                <w:szCs w:val="21"/>
              </w:rPr>
              <w:t>年</w:t>
            </w:r>
            <w:r w:rsidR="00F90B91">
              <w:rPr>
                <w:rFonts w:eastAsia="黑体" w:hint="eastAsia"/>
                <w:b/>
                <w:color w:val="003366"/>
                <w:szCs w:val="21"/>
              </w:rPr>
              <w:t>9</w:t>
            </w:r>
            <w:r w:rsidR="009B7304" w:rsidRPr="00CD7632">
              <w:rPr>
                <w:rFonts w:eastAsia="黑体" w:hint="eastAsia"/>
                <w:b/>
                <w:color w:val="003366"/>
                <w:szCs w:val="21"/>
              </w:rPr>
              <w:t>月基金业绩</w:t>
            </w:r>
            <w:r w:rsidR="00BE2BA3" w:rsidRPr="00CD7632">
              <w:rPr>
                <w:rFonts w:eastAsia="黑体" w:hint="eastAsia"/>
                <w:b/>
                <w:color w:val="003366"/>
                <w:szCs w:val="21"/>
              </w:rPr>
              <w:t>统计</w:t>
            </w:r>
            <w:r w:rsidR="009B7304" w:rsidRPr="00CD7632">
              <w:rPr>
                <w:rFonts w:eastAsia="黑体" w:hint="eastAsia"/>
                <w:b/>
                <w:color w:val="003366"/>
                <w:szCs w:val="21"/>
              </w:rPr>
              <w:t>分布</w:t>
            </w:r>
          </w:p>
        </w:tc>
      </w:tr>
      <w:tr w:rsidR="00BE3940" w:rsidRPr="00F57D27" w:rsidTr="00C65FB4">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C65FB4" w:rsidP="009F1D47">
            <w:pPr>
              <w:ind w:leftChars="-51" w:rightChars="34" w:right="71" w:hangingChars="51" w:hanging="107"/>
              <w:rPr>
                <w:noProof/>
              </w:rPr>
            </w:pPr>
            <w:r>
              <w:rPr>
                <w:noProof/>
              </w:rPr>
              <w:drawing>
                <wp:inline distT="0" distB="0" distL="0" distR="0">
                  <wp:extent cx="1992630" cy="1552575"/>
                  <wp:effectExtent l="19050" t="0" r="762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srcRect/>
                          <a:stretch>
                            <a:fillRect/>
                          </a:stretch>
                        </pic:blipFill>
                        <pic:spPr bwMode="auto">
                          <a:xfrm>
                            <a:off x="0" y="0"/>
                            <a:ext cx="1992630" cy="1552575"/>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120C9"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1A459A" w:rsidP="001A459A">
                  <w:pPr>
                    <w:pStyle w:val="a8"/>
                    <w:rPr>
                      <w:rFonts w:hAnsi="宋体" w:cs="宋体"/>
                    </w:rPr>
                  </w:pP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sidR="007C7F38">
                    <w:rPr>
                      <w:rFonts w:hAnsi="宋体" w:cs="宋体" w:hint="eastAsia"/>
                    </w:rPr>
                    <w:t>4</w:t>
                  </w:r>
                  <w:r w:rsidRPr="00B21A03">
                    <w:rPr>
                      <w:rFonts w:hAnsi="宋体" w:cs="宋体"/>
                    </w:rPr>
                    <w:t>年</w:t>
                  </w:r>
                  <w:r w:rsidR="00DA12BA">
                    <w:rPr>
                      <w:rFonts w:hAnsi="宋体" w:cs="宋体" w:hint="eastAsia"/>
                    </w:rPr>
                    <w:t>10</w:t>
                  </w:r>
                  <w:r w:rsidRPr="00B21A03">
                    <w:rPr>
                      <w:rFonts w:hAnsi="宋体" w:cs="宋体"/>
                    </w:rPr>
                    <w:t>月</w:t>
                  </w:r>
                  <w:r w:rsidR="00DA12BA">
                    <w:rPr>
                      <w:rFonts w:hAnsi="宋体" w:cs="宋体" w:hint="eastAsia"/>
                    </w:rPr>
                    <w:t>8</w:t>
                  </w:r>
                  <w:r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trHeight w:hRule="exact" w:val="284"/>
              </w:trPr>
              <w:tc>
                <w:tcPr>
                  <w:tcW w:w="3888" w:type="dxa"/>
                  <w:gridSpan w:val="2"/>
                </w:tcPr>
                <w:p w:rsidR="001A459A" w:rsidRPr="00F57D27" w:rsidRDefault="001A459A" w:rsidP="001A459A">
                  <w:pPr>
                    <w:rPr>
                      <w:rFonts w:eastAsia="黑体"/>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E6E73" w:rsidRDefault="006E6E73"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sidR="00E2470F">
                    <w:rPr>
                      <w:rFonts w:eastAsia="楷体_GB2312" w:hint="eastAsia"/>
                      <w:sz w:val="18"/>
                      <w:szCs w:val="18"/>
                    </w:rPr>
                    <w:t>9</w:t>
                  </w:r>
                  <w:r w:rsidRPr="00D46766">
                    <w:rPr>
                      <w:rFonts w:eastAsia="楷体_GB2312" w:hint="eastAsia"/>
                      <w:sz w:val="18"/>
                      <w:szCs w:val="18"/>
                    </w:rPr>
                    <w:t>月基金投资策略</w:t>
                  </w:r>
                  <w:r>
                    <w:rPr>
                      <w:rFonts w:eastAsia="楷体_GB2312" w:hint="eastAsia"/>
                      <w:sz w:val="18"/>
                      <w:szCs w:val="18"/>
                    </w:rPr>
                    <w:t>：</w:t>
                  </w:r>
                  <w:r w:rsidR="00E2470F" w:rsidRPr="00E2470F">
                    <w:rPr>
                      <w:rFonts w:eastAsia="楷体_GB2312" w:hint="eastAsia"/>
                      <w:sz w:val="18"/>
                      <w:szCs w:val="18"/>
                    </w:rPr>
                    <w:t>经济外暖内冷，市场面临压力，风格有利消费主题</w:t>
                  </w:r>
                </w:p>
                <w:p w:rsidR="000838AB" w:rsidRPr="005E7D57" w:rsidRDefault="004C083A"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sidR="00E2470F">
                    <w:rPr>
                      <w:rFonts w:eastAsia="楷体_GB2312" w:hint="eastAsia"/>
                      <w:sz w:val="18"/>
                      <w:szCs w:val="18"/>
                    </w:rPr>
                    <w:t>8</w:t>
                  </w:r>
                  <w:r w:rsidRPr="00D46766">
                    <w:rPr>
                      <w:rFonts w:eastAsia="楷体_GB2312" w:hint="eastAsia"/>
                      <w:sz w:val="18"/>
                      <w:szCs w:val="18"/>
                    </w:rPr>
                    <w:t>月基金投资策略</w:t>
                  </w:r>
                  <w:r>
                    <w:rPr>
                      <w:rFonts w:eastAsia="楷体_GB2312" w:hint="eastAsia"/>
                      <w:sz w:val="18"/>
                      <w:szCs w:val="18"/>
                    </w:rPr>
                    <w:t>：</w:t>
                  </w:r>
                  <w:r w:rsidR="00E2470F" w:rsidRPr="004C083A">
                    <w:rPr>
                      <w:rFonts w:eastAsia="楷体_GB2312" w:hint="eastAsia"/>
                      <w:sz w:val="18"/>
                      <w:szCs w:val="18"/>
                    </w:rPr>
                    <w:t>侧重配置蓝筹基金，适当配置消费主题基金</w:t>
                  </w: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E63DE0"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B66B4F" w:rsidRPr="00C2401C" w:rsidRDefault="00B66B4F" w:rsidP="00BE3940">
                  <w:pPr>
                    <w:rPr>
                      <w:rFonts w:ascii="宋体-18030" w:eastAsia="宋体-18030" w:hAnsi="宋体-18030" w:cs="宋体-18030"/>
                      <w:szCs w:val="21"/>
                    </w:rPr>
                  </w:pPr>
                </w:p>
                <w:p w:rsidR="00B66B4F" w:rsidRPr="00C2401C" w:rsidRDefault="00B66B4F" w:rsidP="00BE3940">
                  <w:pPr>
                    <w:jc w:val="right"/>
                    <w:rPr>
                      <w:rFonts w:ascii="宋体-18030" w:eastAsia="宋体-18030" w:hAnsi="宋体-18030" w:cs="宋体-18030"/>
                      <w:b/>
                      <w:szCs w:val="21"/>
                    </w:rPr>
                  </w:pPr>
                </w:p>
                <w:p w:rsidR="00B66B4F" w:rsidRPr="00C2401C" w:rsidRDefault="00B66B4F" w:rsidP="00BE3940">
                  <w:pPr>
                    <w:rPr>
                      <w:rFonts w:ascii="宋体-18030" w:eastAsia="宋体-18030" w:hAnsi="宋体-18030" w:cs="宋体-18030"/>
                      <w:szCs w:val="21"/>
                    </w:rPr>
                  </w:pPr>
                </w:p>
                <w:p w:rsidR="00B66B4F" w:rsidRPr="00C2401C" w:rsidRDefault="00B66B4F" w:rsidP="00BE3940">
                  <w:pPr>
                    <w:rPr>
                      <w:rFonts w:ascii="宋体-18030" w:eastAsia="宋体-18030" w:hAnsi="宋体-18030" w:cs="宋体-18030"/>
                      <w:szCs w:val="21"/>
                    </w:rPr>
                  </w:pPr>
                </w:p>
                <w:p w:rsidR="00B66B4F" w:rsidRDefault="00B66B4F" w:rsidP="00D76736">
                  <w:pPr>
                    <w:spacing w:beforeLines="150" w:afterLines="100"/>
                    <w:ind w:right="147"/>
                    <w:jc w:val="right"/>
                    <w:rPr>
                      <w:rFonts w:ascii="黑体" w:eastAsia="黑体" w:hAnsi="宋体" w:cs="宋体-18030"/>
                      <w:b/>
                      <w:color w:val="FFFFFF"/>
                      <w:sz w:val="30"/>
                      <w:szCs w:val="30"/>
                    </w:rPr>
                  </w:pPr>
                  <w:r w:rsidRPr="003744D3">
                    <w:rPr>
                      <w:rFonts w:ascii="黑体" w:eastAsia="黑体" w:hAnsi="宋体" w:cs="宋体-18030"/>
                      <w:b/>
                      <w:color w:val="FFFFFF"/>
                      <w:sz w:val="30"/>
                      <w:szCs w:val="30"/>
                    </w:rPr>
                    <w:t></w:t>
                  </w:r>
                  <w:r w:rsidR="00071740" w:rsidRPr="00071740">
                    <w:rPr>
                      <w:rFonts w:ascii="黑体" w:eastAsia="黑体" w:hAnsi="宋体" w:cs="宋体-18030" w:hint="eastAsia"/>
                      <w:b/>
                      <w:color w:val="FFFFFF"/>
                      <w:sz w:val="30"/>
                      <w:szCs w:val="30"/>
                    </w:rPr>
                    <w:t>四季度酝酿长期股票强市</w:t>
                  </w:r>
                  <w:r w:rsidRPr="00B93B14">
                    <w:rPr>
                      <w:rFonts w:ascii="黑体" w:eastAsia="黑体" w:hAnsi="宋体" w:cs="宋体-18030" w:hint="eastAsia"/>
                      <w:b/>
                      <w:color w:val="FFFFFF"/>
                      <w:sz w:val="30"/>
                      <w:szCs w:val="30"/>
                    </w:rPr>
                    <w:t>，</w:t>
                  </w:r>
                  <w:r w:rsidRPr="00910DCD">
                    <w:rPr>
                      <w:rFonts w:ascii="黑体" w:eastAsia="黑体" w:hAnsi="宋体" w:cs="宋体-18030" w:hint="eastAsia"/>
                      <w:b/>
                      <w:color w:val="FFFFFF"/>
                      <w:sz w:val="30"/>
                      <w:szCs w:val="30"/>
                    </w:rPr>
                    <w:t>风格</w:t>
                  </w:r>
                  <w:r w:rsidR="00F90B91">
                    <w:rPr>
                      <w:rFonts w:ascii="黑体" w:eastAsia="黑体" w:hAnsi="宋体" w:cs="宋体-18030" w:hint="eastAsia"/>
                      <w:b/>
                      <w:color w:val="FFFFFF"/>
                      <w:sz w:val="30"/>
                      <w:szCs w:val="30"/>
                    </w:rPr>
                    <w:t>继续</w:t>
                  </w:r>
                  <w:r w:rsidRPr="00910DCD">
                    <w:rPr>
                      <w:rFonts w:ascii="黑体" w:eastAsia="黑体" w:hAnsi="宋体" w:cs="宋体-18030" w:hint="eastAsia"/>
                      <w:b/>
                      <w:color w:val="FFFFFF"/>
                      <w:sz w:val="30"/>
                      <w:szCs w:val="30"/>
                    </w:rPr>
                    <w:t>有利消费主题</w:t>
                  </w:r>
                </w:p>
                <w:p w:rsidR="00B66B4F" w:rsidRPr="004E3270" w:rsidRDefault="00B66B4F"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2014</w:t>
                  </w:r>
                  <w:r w:rsidRPr="004E62DA">
                    <w:rPr>
                      <w:rFonts w:ascii="楷体_GB2312" w:eastAsia="楷体_GB2312" w:hint="eastAsia"/>
                      <w:b/>
                      <w:szCs w:val="21"/>
                    </w:rPr>
                    <w:t>年</w:t>
                  </w:r>
                  <w:r w:rsidR="00F90B91">
                    <w:rPr>
                      <w:rFonts w:ascii="楷体_GB2312" w:eastAsia="楷体_GB2312" w:hint="eastAsia"/>
                      <w:b/>
                      <w:szCs w:val="21"/>
                    </w:rPr>
                    <w:t>10</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B66B4F" w:rsidRPr="00AF7DC8" w:rsidRDefault="00B66B4F"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873FF3" w:rsidRPr="007A2D23" w:rsidRDefault="00873FF3" w:rsidP="00873FF3">
      <w:pPr>
        <w:numPr>
          <w:ilvl w:val="0"/>
          <w:numId w:val="2"/>
        </w:numPr>
        <w:spacing w:beforeLines="50" w:afterLines="50"/>
        <w:rPr>
          <w:rFonts w:ascii="黑体" w:eastAsia="黑体" w:hAnsi="宋体-18030" w:cs="宋体-18030"/>
          <w:b/>
          <w:bCs/>
          <w:color w:val="003366"/>
          <w:kern w:val="44"/>
          <w:szCs w:val="21"/>
        </w:rPr>
      </w:pPr>
      <w:r w:rsidRPr="00A85883">
        <w:rPr>
          <w:rFonts w:ascii="黑体" w:eastAsia="黑体" w:hAnsi="宋体-18030" w:cs="宋体-18030" w:hint="eastAsia"/>
          <w:b/>
          <w:bCs/>
          <w:color w:val="003366"/>
          <w:kern w:val="44"/>
          <w:szCs w:val="21"/>
        </w:rPr>
        <w:t>市场进入强市酝酿期，股指或将加剧震荡</w:t>
      </w:r>
    </w:p>
    <w:p w:rsidR="00873FF3" w:rsidRDefault="00873FF3" w:rsidP="00873FF3">
      <w:pPr>
        <w:ind w:firstLine="420"/>
        <w:rPr>
          <w:rFonts w:ascii="楷体_GB2312" w:eastAsia="楷体_GB2312" w:hAnsi="宋体" w:cs="宋体" w:hint="eastAsia"/>
          <w:kern w:val="0"/>
          <w:szCs w:val="21"/>
        </w:rPr>
      </w:pPr>
      <w:r>
        <w:rPr>
          <w:rFonts w:ascii="楷体_GB2312" w:eastAsia="楷体_GB2312" w:hAnsi="宋体" w:cs="宋体" w:hint="eastAsia"/>
          <w:kern w:val="0"/>
          <w:szCs w:val="21"/>
        </w:rPr>
        <w:t>欧元区启动QE意愿不断增强，美国</w:t>
      </w:r>
      <w:r w:rsidR="008857FB">
        <w:rPr>
          <w:rFonts w:ascii="楷体_GB2312" w:eastAsia="楷体_GB2312" w:hAnsi="宋体" w:cs="宋体" w:hint="eastAsia"/>
          <w:kern w:val="0"/>
          <w:szCs w:val="21"/>
        </w:rPr>
        <w:t>强劲</w:t>
      </w:r>
      <w:r>
        <w:rPr>
          <w:rFonts w:ascii="楷体_GB2312" w:eastAsia="楷体_GB2312" w:hAnsi="宋体" w:cs="宋体" w:hint="eastAsia"/>
          <w:kern w:val="0"/>
          <w:szCs w:val="21"/>
        </w:rPr>
        <w:t>经济</w:t>
      </w:r>
      <w:r w:rsidR="008857FB">
        <w:rPr>
          <w:rFonts w:ascii="楷体_GB2312" w:eastAsia="楷体_GB2312" w:hAnsi="宋体" w:cs="宋体" w:hint="eastAsia"/>
          <w:kern w:val="0"/>
          <w:szCs w:val="21"/>
        </w:rPr>
        <w:t>势头支撑</w:t>
      </w:r>
      <w:r w:rsidR="00DA12BA">
        <w:rPr>
          <w:rFonts w:ascii="楷体_GB2312" w:eastAsia="楷体_GB2312" w:hAnsi="宋体" w:cs="宋体" w:hint="eastAsia"/>
          <w:kern w:val="0"/>
          <w:szCs w:val="21"/>
        </w:rPr>
        <w:t>市场对其的加息预期</w:t>
      </w:r>
      <w:r w:rsidR="008857FB">
        <w:rPr>
          <w:rFonts w:ascii="楷体_GB2312" w:eastAsia="楷体_GB2312" w:hAnsi="宋体" w:cs="宋体" w:hint="eastAsia"/>
          <w:kern w:val="0"/>
          <w:szCs w:val="21"/>
        </w:rPr>
        <w:t>和美元走强</w:t>
      </w:r>
      <w:r>
        <w:rPr>
          <w:rFonts w:ascii="楷体_GB2312" w:eastAsia="楷体_GB2312" w:hAnsi="宋体" w:cs="宋体" w:hint="eastAsia"/>
          <w:kern w:val="0"/>
          <w:szCs w:val="21"/>
        </w:rPr>
        <w:t>，</w:t>
      </w:r>
      <w:r w:rsidR="00EF76E6">
        <w:rPr>
          <w:rFonts w:ascii="楷体_GB2312" w:eastAsia="楷体_GB2312" w:hAnsi="宋体" w:cs="宋体" w:hint="eastAsia"/>
          <w:kern w:val="0"/>
          <w:szCs w:val="21"/>
        </w:rPr>
        <w:t>全球市场随之震荡</w:t>
      </w:r>
      <w:r>
        <w:rPr>
          <w:rFonts w:ascii="楷体_GB2312" w:eastAsia="楷体_GB2312" w:hAnsi="宋体" w:cs="宋体" w:hint="eastAsia"/>
          <w:kern w:val="0"/>
          <w:szCs w:val="21"/>
        </w:rPr>
        <w:t>。</w:t>
      </w:r>
    </w:p>
    <w:p w:rsidR="00873FF3" w:rsidRDefault="004E14D9" w:rsidP="00873FF3">
      <w:pPr>
        <w:ind w:firstLine="420"/>
        <w:rPr>
          <w:rFonts w:ascii="楷体_GB2312" w:eastAsia="楷体_GB2312" w:hAnsi="宋体" w:cs="宋体" w:hint="eastAsia"/>
          <w:kern w:val="0"/>
          <w:szCs w:val="21"/>
        </w:rPr>
      </w:pPr>
      <w:r>
        <w:rPr>
          <w:rFonts w:ascii="楷体_GB2312" w:eastAsia="楷体_GB2312" w:hAnsi="宋体" w:cs="宋体" w:hint="eastAsia"/>
          <w:kern w:val="0"/>
          <w:szCs w:val="21"/>
        </w:rPr>
        <w:t>中国经济整体疲软，</w:t>
      </w:r>
      <w:r w:rsidR="00873FF3">
        <w:rPr>
          <w:rFonts w:ascii="楷体_GB2312" w:eastAsia="楷体_GB2312" w:hAnsi="宋体" w:cs="宋体" w:hint="eastAsia"/>
          <w:kern w:val="0"/>
          <w:szCs w:val="21"/>
        </w:rPr>
        <w:t>传统制造业和私营企业仍然面临融资困境，</w:t>
      </w:r>
      <w:r w:rsidR="00873FF3">
        <w:rPr>
          <w:rFonts w:ascii="楷体_GB2312" w:eastAsia="楷体_GB2312" w:hAnsi="宋体" w:cs="宋体" w:hint="eastAsia"/>
          <w:color w:val="000000"/>
          <w:kern w:val="0"/>
          <w:szCs w:val="21"/>
        </w:rPr>
        <w:t>当前</w:t>
      </w:r>
      <w:r w:rsidR="00873FF3" w:rsidRPr="00A12712">
        <w:rPr>
          <w:rFonts w:ascii="楷体_GB2312" w:eastAsia="楷体_GB2312" w:hAnsi="宋体" w:cs="宋体" w:hint="eastAsia"/>
          <w:color w:val="000000"/>
          <w:kern w:val="0"/>
          <w:szCs w:val="21"/>
        </w:rPr>
        <w:t>就业和通胀总体稳定的形势为政策制定者提供了“不</w:t>
      </w:r>
      <w:r w:rsidR="00087FB6">
        <w:rPr>
          <w:rFonts w:ascii="楷体_GB2312" w:eastAsia="楷体_GB2312" w:hAnsi="宋体" w:cs="宋体" w:hint="eastAsia"/>
          <w:color w:val="000000"/>
          <w:kern w:val="0"/>
          <w:szCs w:val="21"/>
        </w:rPr>
        <w:t>全面</w:t>
      </w:r>
      <w:r w:rsidR="00873FF3" w:rsidRPr="00A12712">
        <w:rPr>
          <w:rFonts w:ascii="楷体_GB2312" w:eastAsia="楷体_GB2312" w:hAnsi="宋体" w:cs="宋体" w:hint="eastAsia"/>
          <w:color w:val="000000"/>
          <w:kern w:val="0"/>
          <w:szCs w:val="21"/>
        </w:rPr>
        <w:t>刺激”的底气</w:t>
      </w:r>
      <w:r w:rsidR="00873FF3">
        <w:rPr>
          <w:rFonts w:ascii="楷体_GB2312" w:eastAsia="楷体_GB2312" w:hAnsi="宋体" w:cs="宋体" w:hint="eastAsia"/>
          <w:color w:val="000000"/>
          <w:kern w:val="0"/>
          <w:szCs w:val="21"/>
        </w:rPr>
        <w:t>。</w:t>
      </w:r>
      <w:r w:rsidR="004E6327" w:rsidRPr="00A12712">
        <w:rPr>
          <w:rFonts w:ascii="楷体_GB2312" w:eastAsia="楷体_GB2312" w:hAnsi="宋体" w:cs="宋体" w:hint="eastAsia"/>
          <w:color w:val="000000"/>
          <w:kern w:val="0"/>
          <w:szCs w:val="21"/>
        </w:rPr>
        <w:t>但乐观的情绪仍在积聚：经济结构转型的持续推进为短期市场提供了丰富主题投资机会</w:t>
      </w:r>
      <w:r w:rsidR="004E6327">
        <w:rPr>
          <w:rFonts w:ascii="楷体_GB2312" w:eastAsia="楷体_GB2312" w:hAnsi="宋体" w:cs="宋体" w:hint="eastAsia"/>
          <w:color w:val="000000"/>
          <w:kern w:val="0"/>
          <w:szCs w:val="21"/>
        </w:rPr>
        <w:t>，并与</w:t>
      </w:r>
      <w:r w:rsidR="004E6327" w:rsidRPr="00A12712">
        <w:rPr>
          <w:rFonts w:ascii="楷体_GB2312" w:eastAsia="楷体_GB2312" w:hAnsi="宋体" w:cs="宋体" w:hint="eastAsia"/>
          <w:color w:val="000000"/>
          <w:kern w:val="0"/>
          <w:szCs w:val="21"/>
        </w:rPr>
        <w:t>市场利率下行</w:t>
      </w:r>
      <w:r w:rsidR="004E6327">
        <w:rPr>
          <w:rFonts w:ascii="楷体_GB2312" w:eastAsia="楷体_GB2312" w:hAnsi="宋体" w:cs="宋体" w:hint="eastAsia"/>
          <w:color w:val="000000"/>
          <w:kern w:val="0"/>
          <w:szCs w:val="21"/>
        </w:rPr>
        <w:t>这一趋势一道</w:t>
      </w:r>
      <w:r w:rsidR="004E6327" w:rsidRPr="00A12712">
        <w:rPr>
          <w:rFonts w:ascii="楷体_GB2312" w:eastAsia="楷体_GB2312" w:hAnsi="宋体" w:cs="宋体" w:hint="eastAsia"/>
          <w:color w:val="000000"/>
          <w:kern w:val="0"/>
          <w:szCs w:val="21"/>
        </w:rPr>
        <w:t>为股债两市长期走好奠定了基础</w:t>
      </w:r>
      <w:r w:rsidR="004E6327">
        <w:rPr>
          <w:rFonts w:ascii="楷体_GB2312" w:eastAsia="楷体_GB2312" w:hAnsi="宋体" w:cs="宋体" w:hint="eastAsia"/>
          <w:color w:val="000000"/>
          <w:kern w:val="0"/>
          <w:szCs w:val="21"/>
        </w:rPr>
        <w:t>；当前股市根基不断夯实，</w:t>
      </w:r>
      <w:r w:rsidR="004E6327">
        <w:rPr>
          <w:rFonts w:ascii="楷体_GB2312" w:eastAsia="楷体_GB2312" w:hAnsi="宋体" w:cs="宋体" w:hint="eastAsia"/>
          <w:kern w:val="0"/>
          <w:szCs w:val="21"/>
        </w:rPr>
        <w:t>短期</w:t>
      </w:r>
      <w:r w:rsidR="004E6327">
        <w:rPr>
          <w:rFonts w:ascii="楷体_GB2312" w:eastAsia="楷体_GB2312" w:hAnsi="宋体" w:cs="宋体" w:hint="eastAsia"/>
          <w:color w:val="000000"/>
          <w:kern w:val="0"/>
          <w:szCs w:val="21"/>
        </w:rPr>
        <w:t>股指或将</w:t>
      </w:r>
      <w:r w:rsidR="004E6327">
        <w:rPr>
          <w:rFonts w:ascii="楷体_GB2312" w:eastAsia="楷体_GB2312" w:hAnsi="宋体" w:cs="宋体" w:hint="eastAsia"/>
          <w:kern w:val="0"/>
          <w:szCs w:val="21"/>
        </w:rPr>
        <w:t>经济走向企稳和政策频出中</w:t>
      </w:r>
      <w:r w:rsidR="004E6327">
        <w:rPr>
          <w:rFonts w:ascii="楷体_GB2312" w:eastAsia="楷体_GB2312" w:hAnsi="宋体" w:cs="宋体" w:hint="eastAsia"/>
          <w:color w:val="000000"/>
          <w:kern w:val="0"/>
          <w:szCs w:val="21"/>
        </w:rPr>
        <w:t>加剧震荡，但长期来看四季度股市已经进入强市前夕的酝酿期。</w:t>
      </w:r>
    </w:p>
    <w:p w:rsidR="00873FF3" w:rsidRPr="0050054F" w:rsidRDefault="00873FF3" w:rsidP="00873FF3">
      <w:pPr>
        <w:numPr>
          <w:ilvl w:val="0"/>
          <w:numId w:val="2"/>
        </w:numPr>
        <w:spacing w:beforeLines="50" w:afterLines="50"/>
        <w:rPr>
          <w:rFonts w:ascii="黑体" w:eastAsia="黑体" w:hAnsi="宋体-18030" w:cs="宋体-18030"/>
          <w:b/>
          <w:bCs/>
          <w:color w:val="003366"/>
          <w:kern w:val="44"/>
          <w:szCs w:val="21"/>
        </w:rPr>
      </w:pPr>
      <w:r w:rsidRPr="00C1375D">
        <w:rPr>
          <w:rFonts w:ascii="黑体" w:eastAsia="黑体" w:hAnsi="宋体-18030" w:cs="宋体-18030" w:hint="eastAsia"/>
          <w:b/>
          <w:bCs/>
          <w:color w:val="003366"/>
          <w:kern w:val="44"/>
          <w:szCs w:val="21"/>
        </w:rPr>
        <w:t>风格</w:t>
      </w:r>
      <w:r>
        <w:rPr>
          <w:rFonts w:ascii="黑体" w:eastAsia="黑体" w:hAnsi="宋体-18030" w:cs="宋体-18030" w:hint="eastAsia"/>
          <w:b/>
          <w:bCs/>
          <w:color w:val="003366"/>
          <w:kern w:val="44"/>
          <w:szCs w:val="21"/>
        </w:rPr>
        <w:t>继续</w:t>
      </w:r>
      <w:r w:rsidRPr="00C1375D">
        <w:rPr>
          <w:rFonts w:ascii="黑体" w:eastAsia="黑体" w:hAnsi="宋体-18030" w:cs="宋体-18030" w:hint="eastAsia"/>
          <w:b/>
          <w:bCs/>
          <w:color w:val="003366"/>
          <w:kern w:val="44"/>
          <w:szCs w:val="21"/>
        </w:rPr>
        <w:t>有利消费主题</w:t>
      </w:r>
    </w:p>
    <w:p w:rsidR="00873FF3" w:rsidRDefault="00873FF3" w:rsidP="00873FF3">
      <w:pPr>
        <w:ind w:firstLine="420"/>
        <w:rPr>
          <w:rFonts w:ascii="楷体_GB2312" w:eastAsia="楷体_GB2312" w:hAnsi="宋体" w:cs="宋体"/>
          <w:kern w:val="0"/>
          <w:szCs w:val="21"/>
        </w:rPr>
      </w:pPr>
      <w:r>
        <w:rPr>
          <w:rFonts w:ascii="楷体_GB2312" w:eastAsia="楷体_GB2312" w:hAnsi="宋体" w:cs="宋体" w:hint="eastAsia"/>
          <w:kern w:val="0"/>
          <w:szCs w:val="21"/>
        </w:rPr>
        <w:t>建议中短期投资者仍然维持谨慎适当防御，长期投资者可提高风险偏好，布局即将到来的股票强市，</w:t>
      </w:r>
      <w:r w:rsidRPr="00C17FBC">
        <w:rPr>
          <w:rFonts w:ascii="楷体_GB2312" w:eastAsia="楷体_GB2312" w:hAnsi="宋体" w:cs="宋体" w:hint="eastAsia"/>
          <w:kern w:val="0"/>
          <w:szCs w:val="21"/>
        </w:rPr>
        <w:t>高风险偏好的阶段性投资者</w:t>
      </w:r>
      <w:r>
        <w:rPr>
          <w:rFonts w:ascii="楷体_GB2312" w:eastAsia="楷体_GB2312" w:hAnsi="宋体" w:cs="宋体" w:hint="eastAsia"/>
          <w:kern w:val="0"/>
          <w:szCs w:val="21"/>
        </w:rPr>
        <w:t>继续关注由改革推动的事件驱动性主题投资机会和受益转型的结构性投资机会。</w:t>
      </w:r>
    </w:p>
    <w:p w:rsidR="00873FF3" w:rsidRDefault="00873FF3" w:rsidP="00873FF3">
      <w:pPr>
        <w:ind w:firstLine="420"/>
        <w:rPr>
          <w:rFonts w:ascii="楷体_GB2312" w:eastAsia="楷体_GB2312" w:hAnsi="宋体" w:cs="宋体"/>
          <w:kern w:val="0"/>
          <w:szCs w:val="21"/>
        </w:rPr>
      </w:pPr>
      <w:r w:rsidRPr="00A62EB3">
        <w:rPr>
          <w:rFonts w:ascii="楷体_GB2312" w:eastAsia="楷体_GB2312" w:hAnsi="宋体" w:cs="宋体" w:hint="eastAsia"/>
          <w:kern w:val="0"/>
          <w:szCs w:val="21"/>
        </w:rPr>
        <w:t>权益类基金方面，</w:t>
      </w:r>
      <w:r w:rsidR="00EF0A9A">
        <w:rPr>
          <w:rFonts w:ascii="楷体_GB2312" w:eastAsia="楷体_GB2312" w:hAnsi="宋体" w:cs="宋体" w:hint="eastAsia"/>
          <w:kern w:val="0"/>
          <w:szCs w:val="21"/>
        </w:rPr>
        <w:t>考虑到</w:t>
      </w:r>
      <w:r w:rsidR="003C5349">
        <w:rPr>
          <w:rFonts w:ascii="楷体_GB2312" w:eastAsia="楷体_GB2312" w:hAnsi="宋体" w:cs="宋体" w:hint="eastAsia"/>
          <w:kern w:val="0"/>
          <w:szCs w:val="21"/>
        </w:rPr>
        <w:t>中国经济结构转型趋势不变、沪港通对国内市场估值体系的冲击和重塑</w:t>
      </w:r>
      <w:r w:rsidR="003C5349" w:rsidRPr="008537AE">
        <w:rPr>
          <w:rFonts w:ascii="楷体_GB2312" w:eastAsia="楷体_GB2312" w:hAnsi="宋体" w:cs="宋体" w:hint="eastAsia"/>
          <w:kern w:val="0"/>
          <w:szCs w:val="21"/>
        </w:rPr>
        <w:t>、四季度</w:t>
      </w:r>
      <w:r w:rsidR="003C5349">
        <w:rPr>
          <w:rFonts w:ascii="楷体_GB2312" w:eastAsia="楷体_GB2312" w:hAnsi="宋体" w:cs="宋体" w:hint="eastAsia"/>
          <w:kern w:val="0"/>
          <w:szCs w:val="21"/>
        </w:rPr>
        <w:t>迎来阶段性消费旺季</w:t>
      </w:r>
      <w:r w:rsidR="003C5349" w:rsidRPr="008537AE">
        <w:rPr>
          <w:rFonts w:ascii="楷体_GB2312" w:eastAsia="楷体_GB2312" w:hAnsi="宋体" w:cs="宋体" w:hint="eastAsia"/>
          <w:kern w:val="0"/>
          <w:szCs w:val="21"/>
        </w:rPr>
        <w:t>等</w:t>
      </w:r>
      <w:r w:rsidR="003C5349">
        <w:rPr>
          <w:rFonts w:ascii="楷体_GB2312" w:eastAsia="楷体_GB2312" w:hAnsi="宋体" w:cs="宋体" w:hint="eastAsia"/>
          <w:kern w:val="0"/>
          <w:szCs w:val="21"/>
        </w:rPr>
        <w:t>三大</w:t>
      </w:r>
      <w:r w:rsidR="003C5349" w:rsidRPr="008537AE">
        <w:rPr>
          <w:rFonts w:ascii="楷体_GB2312" w:eastAsia="楷体_GB2312" w:hAnsi="宋体" w:cs="宋体" w:hint="eastAsia"/>
          <w:kern w:val="0"/>
          <w:szCs w:val="21"/>
        </w:rPr>
        <w:t>因素</w:t>
      </w:r>
      <w:r w:rsidR="003C5349">
        <w:rPr>
          <w:rFonts w:ascii="楷体_GB2312" w:eastAsia="楷体_GB2312" w:hAnsi="宋体" w:cs="宋体" w:hint="eastAsia"/>
          <w:kern w:val="0"/>
          <w:szCs w:val="21"/>
        </w:rPr>
        <w:t>对股市的影响</w:t>
      </w:r>
      <w:r w:rsidR="003C5349" w:rsidRPr="008537AE">
        <w:rPr>
          <w:rFonts w:ascii="楷体_GB2312" w:eastAsia="楷体_GB2312" w:hAnsi="宋体" w:cs="宋体" w:hint="eastAsia"/>
          <w:kern w:val="0"/>
          <w:szCs w:val="21"/>
        </w:rPr>
        <w:t>，建议长期战略性持有符合结构转型方向的新兴产业基金、短期逢低布局</w:t>
      </w:r>
      <w:r w:rsidR="003C5349">
        <w:rPr>
          <w:rFonts w:ascii="楷体_GB2312" w:eastAsia="楷体_GB2312" w:hAnsi="宋体" w:cs="宋体" w:hint="eastAsia"/>
          <w:kern w:val="0"/>
          <w:szCs w:val="21"/>
        </w:rPr>
        <w:t>受益市场风险偏好抬升和估值抬升的</w:t>
      </w:r>
      <w:r w:rsidR="003C5349" w:rsidRPr="008537AE">
        <w:rPr>
          <w:rFonts w:ascii="楷体_GB2312" w:eastAsia="楷体_GB2312" w:hAnsi="宋体" w:cs="宋体" w:hint="eastAsia"/>
          <w:kern w:val="0"/>
          <w:szCs w:val="21"/>
        </w:rPr>
        <w:t>蓝筹价值基金，阶段性把握</w:t>
      </w:r>
      <w:r w:rsidR="003C5349">
        <w:rPr>
          <w:rFonts w:ascii="楷体_GB2312" w:eastAsia="楷体_GB2312" w:hAnsi="宋体" w:cs="宋体" w:hint="eastAsia"/>
          <w:kern w:val="0"/>
          <w:szCs w:val="21"/>
        </w:rPr>
        <w:t>符合季节性投资节奏的</w:t>
      </w:r>
      <w:r w:rsidR="003C5349" w:rsidRPr="008537AE">
        <w:rPr>
          <w:rFonts w:ascii="楷体_GB2312" w:eastAsia="楷体_GB2312" w:hAnsi="宋体" w:cs="宋体" w:hint="eastAsia"/>
          <w:kern w:val="0"/>
          <w:szCs w:val="21"/>
        </w:rPr>
        <w:t>大消费主题基金</w:t>
      </w:r>
      <w:r>
        <w:rPr>
          <w:rFonts w:ascii="楷体_GB2312" w:eastAsia="楷体_GB2312" w:hAnsi="宋体" w:cs="宋体" w:hint="eastAsia"/>
          <w:kern w:val="0"/>
          <w:szCs w:val="21"/>
        </w:rPr>
        <w:t>。</w:t>
      </w:r>
    </w:p>
    <w:p w:rsidR="00873FF3" w:rsidRDefault="00873FF3" w:rsidP="00873FF3">
      <w:pPr>
        <w:ind w:firstLine="420"/>
        <w:rPr>
          <w:rFonts w:ascii="楷体_GB2312" w:eastAsia="楷体_GB2312" w:hAnsi="宋体" w:cs="宋体"/>
          <w:color w:val="000000"/>
          <w:kern w:val="0"/>
          <w:szCs w:val="21"/>
        </w:rPr>
      </w:pPr>
      <w:r w:rsidRPr="0087531E">
        <w:rPr>
          <w:rFonts w:ascii="楷体_GB2312" w:eastAsia="楷体_GB2312" w:hAnsi="宋体" w:cs="宋体" w:hint="eastAsia"/>
          <w:kern w:val="0"/>
          <w:szCs w:val="21"/>
        </w:rPr>
        <w:t>固定收益率基金方面，</w:t>
      </w:r>
      <w:r w:rsidRPr="00C17250">
        <w:rPr>
          <w:rFonts w:ascii="楷体_GB2312" w:eastAsia="楷体_GB2312" w:hAnsi="宋体" w:cs="宋体" w:hint="eastAsia"/>
          <w:color w:val="000000"/>
          <w:kern w:val="0"/>
          <w:szCs w:val="21"/>
        </w:rPr>
        <w:t>建议投资者短期适当防御，侧重关注重仓中长期</w:t>
      </w:r>
      <w:r>
        <w:rPr>
          <w:rFonts w:ascii="楷体_GB2312" w:eastAsia="楷体_GB2312" w:hAnsi="宋体" w:cs="宋体" w:hint="eastAsia"/>
          <w:color w:val="000000"/>
          <w:kern w:val="0"/>
          <w:szCs w:val="21"/>
        </w:rPr>
        <w:t>利率债和高</w:t>
      </w:r>
      <w:r w:rsidRPr="00C17250">
        <w:rPr>
          <w:rFonts w:ascii="楷体_GB2312" w:eastAsia="楷体_GB2312" w:hAnsi="宋体" w:cs="宋体" w:hint="eastAsia"/>
          <w:color w:val="000000"/>
          <w:kern w:val="0"/>
          <w:szCs w:val="21"/>
        </w:rPr>
        <w:t>等级信用债的债券型基金，低配重仓低等级信用债的债券型基金</w:t>
      </w:r>
      <w:r>
        <w:rPr>
          <w:rFonts w:ascii="楷体_GB2312" w:eastAsia="楷体_GB2312" w:hAnsi="宋体" w:cs="宋体" w:hint="eastAsia"/>
          <w:kern w:val="0"/>
          <w:szCs w:val="21"/>
        </w:rPr>
        <w:t>。</w:t>
      </w:r>
    </w:p>
    <w:p w:rsidR="00873FF3" w:rsidRPr="002E27C6" w:rsidRDefault="00873FF3" w:rsidP="00873FF3">
      <w:pPr>
        <w:ind w:firstLine="420"/>
        <w:rPr>
          <w:rFonts w:ascii="楷体_GB2312" w:eastAsia="楷体_GB2312" w:hAnsi="宋体" w:cs="宋体"/>
          <w:kern w:val="0"/>
          <w:szCs w:val="21"/>
        </w:rPr>
      </w:pPr>
      <w:r w:rsidRPr="001008C6">
        <w:rPr>
          <w:rFonts w:ascii="楷体_GB2312" w:eastAsia="楷体_GB2312" w:hAnsi="宋体" w:cs="宋体" w:hint="eastAsia"/>
          <w:kern w:val="0"/>
          <w:szCs w:val="21"/>
        </w:rPr>
        <w:t>QDII方面，</w:t>
      </w:r>
      <w:r>
        <w:rPr>
          <w:rFonts w:ascii="楷体_GB2312" w:eastAsia="楷体_GB2312" w:hAnsi="宋体" w:cs="宋体" w:hint="eastAsia"/>
          <w:color w:val="000000"/>
          <w:kern w:val="0"/>
          <w:szCs w:val="21"/>
        </w:rPr>
        <w:t>建议投资者继续重点关注重配美国市场Q</w:t>
      </w:r>
      <w:r w:rsidRPr="00E40536">
        <w:rPr>
          <w:rFonts w:ascii="楷体_GB2312" w:eastAsia="楷体_GB2312" w:hAnsi="宋体" w:cs="宋体" w:hint="eastAsia"/>
          <w:color w:val="000000"/>
          <w:kern w:val="0"/>
          <w:szCs w:val="21"/>
        </w:rPr>
        <w:t>DII，积极关注新兴市场的结构性投资机会，这又选择新兴市场QDII；另外，高风险偏好投资者可适当参与有望受益全球经济复苏的基本金属类资产的投资机会</w:t>
      </w:r>
      <w:r>
        <w:rPr>
          <w:rFonts w:ascii="楷体_GB2312" w:eastAsia="楷体_GB2312" w:hAnsi="宋体" w:cs="宋体" w:hint="eastAsia"/>
          <w:kern w:val="0"/>
          <w:szCs w:val="21"/>
        </w:rPr>
        <w:t>。</w:t>
      </w:r>
    </w:p>
    <w:p w:rsidR="00C1375D" w:rsidRPr="00C1375D" w:rsidRDefault="00C1375D" w:rsidP="00D76736">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w:t>
      </w:r>
      <w:r w:rsidR="008D08DD" w:rsidRPr="00C1375D">
        <w:rPr>
          <w:rFonts w:ascii="黑体" w:eastAsia="黑体" w:hAnsi="宋体-18030" w:cs="宋体-18030" w:hint="eastAsia"/>
          <w:b/>
          <w:bCs/>
          <w:color w:val="003366"/>
          <w:kern w:val="44"/>
          <w:szCs w:val="21"/>
        </w:rPr>
        <w:t>组合推荐</w:t>
      </w:r>
      <w:r w:rsidRPr="00C1375D">
        <w:rPr>
          <w:rFonts w:ascii="黑体" w:eastAsia="黑体" w:hAnsi="宋体-18030" w:cs="宋体-18030" w:hint="eastAsia"/>
          <w:b/>
          <w:bCs/>
          <w:color w:val="003366"/>
          <w:kern w:val="44"/>
          <w:szCs w:val="21"/>
        </w:rPr>
        <w:t>如下</w:t>
      </w:r>
    </w:p>
    <w:tbl>
      <w:tblPr>
        <w:tblW w:w="5000" w:type="pct"/>
        <w:jc w:val="center"/>
        <w:tblLook w:val="0000"/>
      </w:tblPr>
      <w:tblGrid>
        <w:gridCol w:w="1611"/>
        <w:gridCol w:w="578"/>
        <w:gridCol w:w="434"/>
        <w:gridCol w:w="1293"/>
        <w:gridCol w:w="581"/>
        <w:gridCol w:w="405"/>
        <w:gridCol w:w="1255"/>
        <w:gridCol w:w="578"/>
      </w:tblGrid>
      <w:tr w:rsidR="008D08DD" w:rsidRPr="005B5148" w:rsidTr="009A0C03">
        <w:trPr>
          <w:trHeight w:val="285"/>
          <w:jc w:val="center"/>
        </w:trPr>
        <w:tc>
          <w:tcPr>
            <w:tcW w:w="1625" w:type="pct"/>
            <w:gridSpan w:val="2"/>
            <w:tcBorders>
              <w:top w:val="single" w:sz="4" w:space="0" w:color="auto"/>
              <w:left w:val="single" w:sz="4" w:space="0" w:color="auto"/>
              <w:right w:val="single" w:sz="4" w:space="0" w:color="000000"/>
            </w:tcBorders>
            <w:shd w:val="clear" w:color="auto" w:fill="0000FF"/>
            <w:noWrap/>
            <w:vAlign w:val="bottom"/>
          </w:tcPr>
          <w:p w:rsidR="008D08DD" w:rsidRPr="00604445" w:rsidRDefault="00C1375D" w:rsidP="009A0C03">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008D08DD" w:rsidRPr="00604445">
              <w:rPr>
                <w:rFonts w:ascii="宋体" w:hAnsi="宋体" w:cs="宋体" w:hint="eastAsia"/>
                <w:b/>
                <w:color w:val="FFFFFF"/>
                <w:kern w:val="0"/>
                <w:sz w:val="18"/>
                <w:szCs w:val="18"/>
              </w:rPr>
              <w:t>积极型组合</w:t>
            </w:r>
          </w:p>
        </w:tc>
        <w:tc>
          <w:tcPr>
            <w:tcW w:w="3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8D08DD" w:rsidRPr="005B5148" w:rsidRDefault="008D08DD" w:rsidP="009A0C03">
            <w:pPr>
              <w:widowControl/>
              <w:jc w:val="center"/>
              <w:rPr>
                <w:rFonts w:ascii="宋体" w:hAnsi="宋体" w:cs="宋体"/>
                <w:kern w:val="0"/>
                <w:sz w:val="18"/>
                <w:szCs w:val="18"/>
              </w:rPr>
            </w:pPr>
          </w:p>
        </w:tc>
        <w:tc>
          <w:tcPr>
            <w:tcW w:w="1391" w:type="pct"/>
            <w:gridSpan w:val="2"/>
            <w:tcBorders>
              <w:top w:val="single" w:sz="4" w:space="0" w:color="auto"/>
              <w:left w:val="single" w:sz="4" w:space="0" w:color="auto"/>
              <w:right w:val="single" w:sz="4" w:space="0" w:color="000000"/>
            </w:tcBorders>
            <w:shd w:val="clear" w:color="auto" w:fill="0000FF"/>
            <w:noWrap/>
            <w:vAlign w:val="bottom"/>
          </w:tcPr>
          <w:p w:rsidR="008D08DD" w:rsidRPr="00604445" w:rsidRDefault="008D08DD" w:rsidP="009A0C0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301"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8D08DD" w:rsidRPr="005B5148" w:rsidRDefault="008D08DD" w:rsidP="009A0C03">
            <w:pPr>
              <w:widowControl/>
              <w:jc w:val="center"/>
              <w:rPr>
                <w:rFonts w:ascii="宋体" w:hAnsi="宋体" w:cs="宋体"/>
                <w:kern w:val="0"/>
                <w:sz w:val="18"/>
                <w:szCs w:val="18"/>
              </w:rPr>
            </w:pPr>
          </w:p>
        </w:tc>
        <w:tc>
          <w:tcPr>
            <w:tcW w:w="1361" w:type="pct"/>
            <w:gridSpan w:val="2"/>
            <w:tcBorders>
              <w:top w:val="single" w:sz="4" w:space="0" w:color="auto"/>
              <w:left w:val="single" w:sz="4" w:space="0" w:color="auto"/>
              <w:right w:val="single" w:sz="4" w:space="0" w:color="000000"/>
            </w:tcBorders>
            <w:shd w:val="clear" w:color="auto" w:fill="0000FF"/>
            <w:noWrap/>
            <w:vAlign w:val="bottom"/>
          </w:tcPr>
          <w:p w:rsidR="008D08DD" w:rsidRPr="00604445" w:rsidRDefault="008D08DD" w:rsidP="009A0C0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8D08DD" w:rsidRPr="005B5148" w:rsidTr="009A0C03">
        <w:trPr>
          <w:trHeight w:val="285"/>
          <w:jc w:val="center"/>
        </w:trPr>
        <w:tc>
          <w:tcPr>
            <w:tcW w:w="1196" w:type="pct"/>
            <w:tcBorders>
              <w:top w:val="nil"/>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22" w:type="pct"/>
            <w:vMerge/>
            <w:tcBorders>
              <w:top w:val="single" w:sz="4" w:space="0" w:color="auto"/>
              <w:left w:val="single" w:sz="8" w:space="0" w:color="auto"/>
              <w:bottom w:val="single" w:sz="4" w:space="0" w:color="000000"/>
            </w:tcBorders>
            <w:vAlign w:val="center"/>
          </w:tcPr>
          <w:p w:rsidR="008D08DD" w:rsidRPr="005B5148" w:rsidRDefault="008D08DD" w:rsidP="009A0C03">
            <w:pPr>
              <w:widowControl/>
              <w:jc w:val="left"/>
              <w:rPr>
                <w:rFonts w:ascii="宋体" w:hAnsi="宋体" w:cs="宋体"/>
                <w:kern w:val="0"/>
                <w:sz w:val="18"/>
                <w:szCs w:val="18"/>
              </w:rPr>
            </w:pPr>
          </w:p>
        </w:tc>
        <w:tc>
          <w:tcPr>
            <w:tcW w:w="960" w:type="pct"/>
            <w:tcBorders>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31" w:type="pct"/>
            <w:tcBorders>
              <w:left w:val="single" w:sz="8" w:space="0" w:color="auto"/>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01" w:type="pct"/>
            <w:vMerge/>
            <w:tcBorders>
              <w:top w:val="single" w:sz="4" w:space="0" w:color="auto"/>
              <w:left w:val="single" w:sz="8" w:space="0" w:color="auto"/>
              <w:bottom w:val="single" w:sz="4" w:space="0" w:color="000000"/>
            </w:tcBorders>
            <w:vAlign w:val="center"/>
          </w:tcPr>
          <w:p w:rsidR="008D08DD" w:rsidRPr="005B5148" w:rsidRDefault="008D08DD" w:rsidP="009A0C03">
            <w:pPr>
              <w:widowControl/>
              <w:jc w:val="left"/>
              <w:rPr>
                <w:rFonts w:ascii="宋体" w:hAnsi="宋体" w:cs="宋体"/>
                <w:kern w:val="0"/>
                <w:sz w:val="18"/>
                <w:szCs w:val="18"/>
              </w:rPr>
            </w:pPr>
          </w:p>
        </w:tc>
        <w:tc>
          <w:tcPr>
            <w:tcW w:w="932" w:type="pct"/>
            <w:tcBorders>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8D08DD" w:rsidRPr="005B5148" w:rsidRDefault="008D08DD" w:rsidP="009A0C0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8D08DD" w:rsidRPr="005B5148" w:rsidTr="009A0C03">
        <w:trPr>
          <w:trHeight w:val="285"/>
          <w:jc w:val="center"/>
        </w:trPr>
        <w:tc>
          <w:tcPr>
            <w:tcW w:w="1196" w:type="pct"/>
            <w:tcBorders>
              <w:top w:val="single" w:sz="8" w:space="0" w:color="auto"/>
              <w:left w:val="single" w:sz="4" w:space="0" w:color="auto"/>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大摩卓越成长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8D08DD" w:rsidRPr="00E921CB" w:rsidRDefault="00683602" w:rsidP="009A0C03">
            <w:pPr>
              <w:widowControl/>
              <w:jc w:val="center"/>
              <w:rPr>
                <w:rFonts w:ascii="宋体" w:hAnsi="宋体" w:cs="宋体"/>
                <w:kern w:val="0"/>
                <w:sz w:val="18"/>
                <w:szCs w:val="18"/>
              </w:rPr>
            </w:pPr>
            <w:r>
              <w:rPr>
                <w:rFonts w:ascii="宋体" w:hAnsi="宋体" w:cs="宋体" w:hint="eastAsia"/>
                <w:kern w:val="0"/>
                <w:sz w:val="18"/>
                <w:szCs w:val="18"/>
              </w:rPr>
              <w:t>45</w:t>
            </w:r>
            <w:r w:rsidR="008D08DD" w:rsidRPr="00E921CB">
              <w:rPr>
                <w:rFonts w:ascii="宋体" w:hAnsi="宋体" w:cs="宋体" w:hint="eastAsia"/>
                <w:kern w:val="0"/>
                <w:sz w:val="18"/>
                <w:szCs w:val="18"/>
              </w:rPr>
              <w:t>%</w:t>
            </w:r>
          </w:p>
        </w:tc>
        <w:tc>
          <w:tcPr>
            <w:tcW w:w="322" w:type="pct"/>
            <w:vMerge/>
            <w:tcBorders>
              <w:top w:val="single" w:sz="8"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60" w:type="pct"/>
            <w:tcBorders>
              <w:top w:val="single" w:sz="8" w:space="0" w:color="auto"/>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博时标普</w:t>
            </w:r>
            <w:r w:rsidRPr="00D07E97">
              <w:rPr>
                <w:rFonts w:hint="eastAsia"/>
                <w:sz w:val="18"/>
                <w:szCs w:val="18"/>
              </w:rPr>
              <w:t>500</w:t>
            </w:r>
          </w:p>
        </w:tc>
        <w:tc>
          <w:tcPr>
            <w:tcW w:w="431" w:type="pct"/>
            <w:tcBorders>
              <w:top w:val="single" w:sz="8" w:space="0" w:color="auto"/>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01" w:type="pct"/>
            <w:vMerge/>
            <w:tcBorders>
              <w:top w:val="single" w:sz="8"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32" w:type="pct"/>
            <w:tcBorders>
              <w:top w:val="single" w:sz="8" w:space="0" w:color="auto"/>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宝盈收益</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30%</w:t>
            </w:r>
          </w:p>
        </w:tc>
      </w:tr>
      <w:tr w:rsidR="008D08DD" w:rsidRPr="005B5148" w:rsidTr="009A0C03">
        <w:trPr>
          <w:trHeight w:val="285"/>
          <w:jc w:val="center"/>
        </w:trPr>
        <w:tc>
          <w:tcPr>
            <w:tcW w:w="1196" w:type="pct"/>
            <w:tcBorders>
              <w:top w:val="nil"/>
              <w:left w:val="single" w:sz="4" w:space="0" w:color="auto"/>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E921CB">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8D08DD" w:rsidRPr="00E921CB" w:rsidRDefault="00683602" w:rsidP="009A0C03">
            <w:pPr>
              <w:widowControl/>
              <w:jc w:val="center"/>
              <w:rPr>
                <w:rFonts w:ascii="宋体" w:hAnsi="宋体" w:cs="宋体"/>
                <w:kern w:val="0"/>
                <w:sz w:val="18"/>
                <w:szCs w:val="18"/>
              </w:rPr>
            </w:pPr>
            <w:r>
              <w:rPr>
                <w:rFonts w:ascii="宋体" w:hAnsi="宋体" w:cs="宋体" w:hint="eastAsia"/>
                <w:kern w:val="0"/>
                <w:sz w:val="18"/>
                <w:szCs w:val="18"/>
              </w:rPr>
              <w:t>25</w:t>
            </w:r>
            <w:r w:rsidR="008D08DD" w:rsidRPr="00E921CB">
              <w:rPr>
                <w:rFonts w:ascii="宋体" w:hAnsi="宋体" w:cs="宋体" w:hint="eastAsia"/>
                <w:kern w:val="0"/>
                <w:sz w:val="18"/>
                <w:szCs w:val="18"/>
              </w:rPr>
              <w:t>%</w:t>
            </w:r>
          </w:p>
        </w:tc>
        <w:tc>
          <w:tcPr>
            <w:tcW w:w="322" w:type="pct"/>
            <w:vMerge/>
            <w:tcBorders>
              <w:top w:val="single" w:sz="4"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60" w:type="pct"/>
            <w:tcBorders>
              <w:top w:val="nil"/>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添富价值</w:t>
            </w:r>
          </w:p>
        </w:tc>
        <w:tc>
          <w:tcPr>
            <w:tcW w:w="431" w:type="pct"/>
            <w:tcBorders>
              <w:top w:val="nil"/>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01" w:type="pct"/>
            <w:vMerge/>
            <w:tcBorders>
              <w:top w:val="single" w:sz="4"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32" w:type="pct"/>
            <w:tcBorders>
              <w:top w:val="nil"/>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35%</w:t>
            </w:r>
          </w:p>
        </w:tc>
      </w:tr>
      <w:tr w:rsidR="008D08DD" w:rsidRPr="005B5148" w:rsidTr="009A0C03">
        <w:trPr>
          <w:trHeight w:val="285"/>
          <w:jc w:val="center"/>
        </w:trPr>
        <w:tc>
          <w:tcPr>
            <w:tcW w:w="1196" w:type="pct"/>
            <w:tcBorders>
              <w:top w:val="nil"/>
              <w:left w:val="single" w:sz="4" w:space="0" w:color="auto"/>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E921CB">
              <w:rPr>
                <w:rFonts w:hint="eastAsia"/>
                <w:sz w:val="18"/>
                <w:szCs w:val="18"/>
              </w:rPr>
              <w:t>国泰纳斯达克</w:t>
            </w:r>
            <w:r w:rsidRPr="00E921CB">
              <w:rPr>
                <w:rFonts w:hint="eastAsia"/>
                <w:sz w:val="18"/>
                <w:szCs w:val="18"/>
              </w:rPr>
              <w:t>100</w:t>
            </w:r>
          </w:p>
        </w:tc>
        <w:tc>
          <w:tcPr>
            <w:tcW w:w="429" w:type="pct"/>
            <w:tcBorders>
              <w:top w:val="nil"/>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30%</w:t>
            </w:r>
          </w:p>
        </w:tc>
        <w:tc>
          <w:tcPr>
            <w:tcW w:w="322" w:type="pct"/>
            <w:vMerge/>
            <w:tcBorders>
              <w:top w:val="single" w:sz="4"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60" w:type="pct"/>
            <w:tcBorders>
              <w:top w:val="nil"/>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宝盈收益</w:t>
            </w:r>
          </w:p>
        </w:tc>
        <w:tc>
          <w:tcPr>
            <w:tcW w:w="431" w:type="pct"/>
            <w:tcBorders>
              <w:top w:val="nil"/>
              <w:left w:val="nil"/>
              <w:bottom w:val="single" w:sz="4" w:space="0" w:color="auto"/>
              <w:right w:val="single" w:sz="4" w:space="0" w:color="auto"/>
            </w:tcBorders>
            <w:shd w:val="clear" w:color="auto" w:fill="auto"/>
            <w:noWrap/>
            <w:vAlign w:val="bottom"/>
          </w:tcPr>
          <w:p w:rsidR="008D08DD" w:rsidRPr="00E921CB"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50%</w:t>
            </w:r>
          </w:p>
        </w:tc>
        <w:tc>
          <w:tcPr>
            <w:tcW w:w="301" w:type="pct"/>
            <w:vMerge/>
            <w:tcBorders>
              <w:top w:val="single" w:sz="4" w:space="0" w:color="auto"/>
              <w:left w:val="single" w:sz="4" w:space="0" w:color="auto"/>
              <w:bottom w:val="single" w:sz="4" w:space="0" w:color="000000"/>
              <w:right w:val="single" w:sz="4" w:space="0" w:color="auto"/>
            </w:tcBorders>
            <w:vAlign w:val="center"/>
          </w:tcPr>
          <w:p w:rsidR="008D08DD" w:rsidRPr="005B5148" w:rsidRDefault="008D08DD" w:rsidP="009A0C03">
            <w:pPr>
              <w:widowControl/>
              <w:jc w:val="left"/>
              <w:rPr>
                <w:rFonts w:ascii="宋体" w:hAnsi="宋体" w:cs="宋体"/>
                <w:kern w:val="0"/>
                <w:sz w:val="18"/>
                <w:szCs w:val="18"/>
              </w:rPr>
            </w:pPr>
          </w:p>
        </w:tc>
        <w:tc>
          <w:tcPr>
            <w:tcW w:w="932" w:type="pct"/>
            <w:tcBorders>
              <w:top w:val="nil"/>
              <w:left w:val="nil"/>
              <w:bottom w:val="single" w:sz="4" w:space="0" w:color="auto"/>
              <w:right w:val="single" w:sz="4" w:space="0" w:color="auto"/>
            </w:tcBorders>
            <w:shd w:val="clear" w:color="auto" w:fill="auto"/>
            <w:noWrap/>
            <w:vAlign w:val="bottom"/>
          </w:tcPr>
          <w:p w:rsidR="008D08DD" w:rsidRPr="00D07E97" w:rsidRDefault="008D08DD" w:rsidP="009A0C03">
            <w:pPr>
              <w:jc w:val="center"/>
              <w:rPr>
                <w:sz w:val="18"/>
                <w:szCs w:val="18"/>
              </w:rPr>
            </w:pPr>
            <w:r w:rsidRPr="00D07E97">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8D08DD" w:rsidRPr="005B5148" w:rsidRDefault="008D08DD" w:rsidP="009A0C03">
            <w:pPr>
              <w:widowControl/>
              <w:jc w:val="center"/>
              <w:rPr>
                <w:rFonts w:ascii="宋体" w:hAnsi="宋体" w:cs="宋体"/>
                <w:kern w:val="0"/>
                <w:sz w:val="18"/>
                <w:szCs w:val="18"/>
              </w:rPr>
            </w:pPr>
            <w:r w:rsidRPr="00E921CB">
              <w:rPr>
                <w:rFonts w:ascii="宋体" w:hAnsi="宋体" w:cs="宋体" w:hint="eastAsia"/>
                <w:kern w:val="0"/>
                <w:sz w:val="18"/>
                <w:szCs w:val="18"/>
              </w:rPr>
              <w:t>35%</w:t>
            </w:r>
          </w:p>
        </w:tc>
      </w:tr>
    </w:tbl>
    <w:p w:rsidR="008D08DD" w:rsidRPr="000B4882" w:rsidRDefault="008D08DD" w:rsidP="008D08DD">
      <w:pPr>
        <w:ind w:firstLine="420"/>
        <w:rPr>
          <w:rFonts w:ascii="楷体_GB2312" w:eastAsia="楷体_GB2312"/>
          <w:noProof/>
          <w:color w:val="000000"/>
        </w:rPr>
        <w:sectPr w:rsidR="008D08DD" w:rsidRPr="000B4882" w:rsidSect="009A0C03">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1E3B52" w:rsidRPr="007C1C3D" w:rsidRDefault="001E3B52" w:rsidP="00D76736">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1E3B52" w:rsidRPr="00C17FBC" w:rsidRDefault="001E3B52" w:rsidP="00D76736">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w:t>
      </w:r>
      <w:r w:rsidR="004938DD" w:rsidRPr="00C17FBC">
        <w:rPr>
          <w:rFonts w:ascii="黑体" w:eastAsia="黑体" w:hAnsi="宋体-18030" w:cs="宋体-18030" w:hint="eastAsia"/>
          <w:b/>
          <w:bCs/>
          <w:color w:val="003366"/>
          <w:kern w:val="44"/>
          <w:sz w:val="24"/>
        </w:rPr>
        <w:t>基础市场分析：</w:t>
      </w:r>
      <w:r w:rsidR="00897F27">
        <w:rPr>
          <w:rFonts w:ascii="黑体" w:eastAsia="黑体" w:hAnsi="宋体-18030" w:cs="宋体-18030" w:hint="eastAsia"/>
          <w:b/>
          <w:bCs/>
          <w:color w:val="003366"/>
          <w:kern w:val="44"/>
          <w:sz w:val="24"/>
        </w:rPr>
        <w:t>经济转型和利率下行有利两市走强，</w:t>
      </w:r>
      <w:r w:rsidR="008B3AA4">
        <w:rPr>
          <w:rFonts w:ascii="黑体" w:eastAsia="黑体" w:hAnsi="宋体-18030" w:cs="宋体-18030" w:hint="eastAsia"/>
          <w:b/>
          <w:bCs/>
          <w:color w:val="003366"/>
          <w:kern w:val="44"/>
          <w:sz w:val="24"/>
        </w:rPr>
        <w:t>四季度</w:t>
      </w:r>
      <w:r w:rsidR="00087FB6">
        <w:rPr>
          <w:rFonts w:ascii="黑体" w:eastAsia="黑体" w:hAnsi="宋体-18030" w:cs="宋体-18030" w:hint="eastAsia"/>
          <w:b/>
          <w:bCs/>
          <w:color w:val="003366"/>
          <w:kern w:val="44"/>
          <w:sz w:val="24"/>
        </w:rPr>
        <w:t>正</w:t>
      </w:r>
      <w:r w:rsidR="00071740">
        <w:rPr>
          <w:rFonts w:ascii="黑体" w:eastAsia="黑体" w:hAnsi="宋体-18030" w:cs="宋体-18030" w:hint="eastAsia"/>
          <w:b/>
          <w:bCs/>
          <w:color w:val="003366"/>
          <w:kern w:val="44"/>
          <w:sz w:val="24"/>
        </w:rPr>
        <w:t>酝酿长期股票强市</w:t>
      </w:r>
    </w:p>
    <w:p w:rsidR="00B143A9" w:rsidRDefault="00E201F0" w:rsidP="00A11911">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9月欧元区国家</w:t>
      </w:r>
      <w:r w:rsidR="00FA0539">
        <w:rPr>
          <w:rFonts w:ascii="楷体_GB2312" w:eastAsia="楷体_GB2312" w:hAnsi="宋体" w:cs="宋体" w:hint="eastAsia"/>
          <w:kern w:val="0"/>
          <w:szCs w:val="21"/>
        </w:rPr>
        <w:t>经济</w:t>
      </w:r>
      <w:r>
        <w:rPr>
          <w:rFonts w:ascii="楷体_GB2312" w:eastAsia="楷体_GB2312" w:hAnsi="宋体" w:cs="宋体" w:hint="eastAsia"/>
          <w:kern w:val="0"/>
          <w:szCs w:val="21"/>
        </w:rPr>
        <w:t>一如既往</w:t>
      </w:r>
      <w:r w:rsidR="001E231A" w:rsidRPr="0000791E">
        <w:rPr>
          <w:rFonts w:ascii="楷体_GB2312" w:eastAsia="楷体_GB2312" w:hAnsi="宋体" w:cs="宋体" w:hint="eastAsia"/>
          <w:kern w:val="0"/>
          <w:szCs w:val="21"/>
        </w:rPr>
        <w:t>在通缩的阴影下</w:t>
      </w:r>
      <w:r w:rsidR="008E679D">
        <w:rPr>
          <w:rFonts w:ascii="楷体_GB2312" w:eastAsia="楷体_GB2312" w:hAnsi="宋体" w:cs="宋体" w:hint="eastAsia"/>
          <w:kern w:val="0"/>
          <w:szCs w:val="21"/>
        </w:rPr>
        <w:t>持续下行</w:t>
      </w:r>
      <w:r w:rsidR="001E231A" w:rsidRPr="0000791E">
        <w:rPr>
          <w:rFonts w:ascii="楷体_GB2312" w:eastAsia="楷体_GB2312" w:hAnsi="宋体" w:cs="宋体" w:hint="eastAsia"/>
          <w:kern w:val="0"/>
          <w:szCs w:val="21"/>
        </w:rPr>
        <w:t>，</w:t>
      </w:r>
      <w:r w:rsidR="00FA0539">
        <w:rPr>
          <w:rFonts w:ascii="楷体_GB2312" w:eastAsia="楷体_GB2312" w:hAnsi="宋体" w:cs="宋体" w:hint="eastAsia"/>
          <w:kern w:val="0"/>
          <w:szCs w:val="21"/>
        </w:rPr>
        <w:t>受核心国家</w:t>
      </w:r>
      <w:r w:rsidR="004E6327">
        <w:rPr>
          <w:rFonts w:ascii="楷体_GB2312" w:eastAsia="楷体_GB2312" w:hAnsi="宋体" w:cs="宋体" w:hint="eastAsia"/>
          <w:kern w:val="0"/>
          <w:szCs w:val="21"/>
        </w:rPr>
        <w:t>——</w:t>
      </w:r>
      <w:r w:rsidR="00FA0539">
        <w:rPr>
          <w:rFonts w:ascii="楷体_GB2312" w:eastAsia="楷体_GB2312" w:hAnsi="宋体" w:cs="宋体" w:hint="eastAsia"/>
          <w:kern w:val="0"/>
          <w:szCs w:val="21"/>
        </w:rPr>
        <w:t>德国经济的持续回落影响，</w:t>
      </w:r>
      <w:r w:rsidR="008E679D">
        <w:rPr>
          <w:rFonts w:ascii="楷体_GB2312" w:eastAsia="楷体_GB2312" w:hAnsi="宋体" w:cs="宋体" w:hint="eastAsia"/>
          <w:kern w:val="0"/>
          <w:szCs w:val="21"/>
        </w:rPr>
        <w:t>欧元区</w:t>
      </w:r>
      <w:r w:rsidR="008E679D" w:rsidRPr="008E679D">
        <w:rPr>
          <w:rFonts w:ascii="楷体_GB2312" w:eastAsia="楷体_GB2312" w:hAnsi="宋体" w:cs="宋体" w:hint="eastAsia"/>
          <w:kern w:val="0"/>
          <w:szCs w:val="21"/>
        </w:rPr>
        <w:t>10月Sentix投资者信心指数</w:t>
      </w:r>
      <w:r w:rsidR="00FA0539">
        <w:rPr>
          <w:rFonts w:ascii="楷体_GB2312" w:eastAsia="楷体_GB2312" w:hAnsi="宋体" w:cs="宋体" w:hint="eastAsia"/>
          <w:kern w:val="0"/>
          <w:szCs w:val="21"/>
        </w:rPr>
        <w:t>甚至</w:t>
      </w:r>
      <w:r w:rsidR="008E679D" w:rsidRPr="008E679D">
        <w:rPr>
          <w:rFonts w:ascii="楷体_GB2312" w:eastAsia="楷体_GB2312" w:hAnsi="宋体" w:cs="宋体" w:hint="eastAsia"/>
          <w:kern w:val="0"/>
          <w:szCs w:val="21"/>
        </w:rPr>
        <w:t>创一年多来最低水平</w:t>
      </w:r>
      <w:r w:rsidR="00FA0539">
        <w:rPr>
          <w:rFonts w:ascii="楷体_GB2312" w:eastAsia="楷体_GB2312" w:hAnsi="宋体" w:cs="宋体" w:hint="eastAsia"/>
          <w:kern w:val="0"/>
          <w:szCs w:val="21"/>
        </w:rPr>
        <w:t>，</w:t>
      </w:r>
      <w:r w:rsidR="00E03055">
        <w:rPr>
          <w:rFonts w:ascii="楷体_GB2312" w:eastAsia="楷体_GB2312" w:hAnsi="宋体" w:cs="宋体" w:hint="eastAsia"/>
          <w:kern w:val="0"/>
          <w:szCs w:val="21"/>
        </w:rPr>
        <w:t>市场普遍预期</w:t>
      </w:r>
      <w:r w:rsidR="00A11911">
        <w:rPr>
          <w:rFonts w:ascii="楷体_GB2312" w:eastAsia="楷体_GB2312" w:hAnsi="宋体" w:cs="宋体" w:hint="eastAsia"/>
          <w:kern w:val="0"/>
          <w:szCs w:val="21"/>
        </w:rPr>
        <w:t>欧元区启动QE</w:t>
      </w:r>
      <w:r w:rsidR="00E03055">
        <w:rPr>
          <w:rFonts w:ascii="楷体_GB2312" w:eastAsia="楷体_GB2312" w:hAnsi="宋体" w:cs="宋体" w:hint="eastAsia"/>
          <w:kern w:val="0"/>
          <w:szCs w:val="21"/>
        </w:rPr>
        <w:t>的可能性大幅提升</w:t>
      </w:r>
      <w:r w:rsidR="001E231A" w:rsidRPr="0000791E">
        <w:rPr>
          <w:rFonts w:ascii="楷体_GB2312" w:eastAsia="楷体_GB2312" w:hAnsi="宋体" w:cs="宋体" w:hint="eastAsia"/>
          <w:kern w:val="0"/>
          <w:szCs w:val="21"/>
        </w:rPr>
        <w:t>。</w:t>
      </w:r>
      <w:r w:rsidR="00572C88">
        <w:rPr>
          <w:rFonts w:ascii="楷体_GB2312" w:eastAsia="楷体_GB2312" w:hAnsi="宋体" w:cs="宋体" w:hint="eastAsia"/>
          <w:kern w:val="0"/>
          <w:szCs w:val="21"/>
        </w:rPr>
        <w:t>美国房地产</w:t>
      </w:r>
      <w:r w:rsidR="00A11911">
        <w:rPr>
          <w:rFonts w:ascii="楷体_GB2312" w:eastAsia="楷体_GB2312" w:hAnsi="宋体" w:cs="宋体" w:hint="eastAsia"/>
          <w:kern w:val="0"/>
          <w:szCs w:val="21"/>
        </w:rPr>
        <w:t>市场和制造业出现回落，</w:t>
      </w:r>
      <w:r w:rsidR="00775ECE">
        <w:rPr>
          <w:rFonts w:ascii="楷体_GB2312" w:eastAsia="楷体_GB2312" w:hAnsi="宋体" w:cs="宋体" w:hint="eastAsia"/>
          <w:kern w:val="0"/>
          <w:szCs w:val="21"/>
        </w:rPr>
        <w:t>但</w:t>
      </w:r>
      <w:r w:rsidR="00E03055">
        <w:rPr>
          <w:rFonts w:ascii="楷体_GB2312" w:eastAsia="楷体_GB2312" w:hAnsi="宋体" w:cs="宋体" w:hint="eastAsia"/>
          <w:kern w:val="0"/>
          <w:szCs w:val="21"/>
        </w:rPr>
        <w:t>其</w:t>
      </w:r>
      <w:r w:rsidR="00775ECE">
        <w:rPr>
          <w:rFonts w:ascii="楷体_GB2312" w:eastAsia="楷体_GB2312" w:hAnsi="宋体" w:cs="宋体" w:hint="eastAsia"/>
          <w:kern w:val="0"/>
          <w:szCs w:val="21"/>
        </w:rPr>
        <w:t>个人部门和就业市场</w:t>
      </w:r>
      <w:r w:rsidR="00DA2ADA">
        <w:rPr>
          <w:rFonts w:ascii="楷体_GB2312" w:eastAsia="楷体_GB2312" w:hAnsi="宋体" w:cs="宋体" w:hint="eastAsia"/>
          <w:kern w:val="0"/>
          <w:szCs w:val="21"/>
        </w:rPr>
        <w:t>持续向好</w:t>
      </w:r>
      <w:r w:rsidR="00775ECE">
        <w:rPr>
          <w:rFonts w:ascii="楷体_GB2312" w:eastAsia="楷体_GB2312" w:hAnsi="宋体" w:cs="宋体" w:hint="eastAsia"/>
          <w:kern w:val="0"/>
          <w:szCs w:val="21"/>
        </w:rPr>
        <w:t>，</w:t>
      </w:r>
      <w:r w:rsidR="000A7344">
        <w:rPr>
          <w:rFonts w:ascii="楷体_GB2312" w:eastAsia="楷体_GB2312" w:hAnsi="宋体" w:cs="宋体" w:hint="eastAsia"/>
          <w:kern w:val="0"/>
          <w:szCs w:val="21"/>
        </w:rPr>
        <w:t>整体经济仍然强劲，</w:t>
      </w:r>
      <w:r w:rsidR="00E03055">
        <w:rPr>
          <w:rFonts w:ascii="楷体_GB2312" w:eastAsia="楷体_GB2312" w:hAnsi="宋体" w:cs="宋体" w:hint="eastAsia"/>
          <w:kern w:val="0"/>
          <w:szCs w:val="21"/>
        </w:rPr>
        <w:t>从而</w:t>
      </w:r>
      <w:r w:rsidR="000A7344">
        <w:rPr>
          <w:rFonts w:ascii="楷体_GB2312" w:eastAsia="楷体_GB2312" w:hAnsi="宋体" w:cs="宋体" w:hint="eastAsia"/>
          <w:kern w:val="0"/>
          <w:szCs w:val="21"/>
        </w:rPr>
        <w:t>支撑</w:t>
      </w:r>
      <w:r w:rsidR="00DA12BA">
        <w:rPr>
          <w:rFonts w:ascii="楷体_GB2312" w:eastAsia="楷体_GB2312" w:hAnsi="宋体" w:cs="宋体" w:hint="eastAsia"/>
          <w:kern w:val="0"/>
          <w:szCs w:val="21"/>
        </w:rPr>
        <w:t>市场对其的加息预期</w:t>
      </w:r>
      <w:r w:rsidR="00167D64">
        <w:rPr>
          <w:rFonts w:ascii="楷体_GB2312" w:eastAsia="楷体_GB2312" w:hAnsi="宋体" w:cs="宋体" w:hint="eastAsia"/>
          <w:kern w:val="0"/>
          <w:szCs w:val="21"/>
        </w:rPr>
        <w:t>和美元走</w:t>
      </w:r>
      <w:r w:rsidR="000A7344">
        <w:rPr>
          <w:rFonts w:ascii="楷体_GB2312" w:eastAsia="楷体_GB2312" w:hAnsi="宋体" w:cs="宋体" w:hint="eastAsia"/>
          <w:kern w:val="0"/>
          <w:szCs w:val="21"/>
        </w:rPr>
        <w:t>强</w:t>
      </w:r>
      <w:r w:rsidR="00167D64">
        <w:rPr>
          <w:rFonts w:ascii="楷体_GB2312" w:eastAsia="楷体_GB2312" w:hAnsi="宋体" w:cs="宋体" w:hint="eastAsia"/>
          <w:kern w:val="0"/>
          <w:szCs w:val="21"/>
        </w:rPr>
        <w:t>。</w:t>
      </w:r>
      <w:r w:rsidR="00EF76E6">
        <w:rPr>
          <w:rFonts w:ascii="楷体_GB2312" w:eastAsia="楷体_GB2312" w:hAnsi="宋体" w:cs="宋体" w:hint="eastAsia"/>
          <w:kern w:val="0"/>
          <w:szCs w:val="21"/>
        </w:rPr>
        <w:t>全球各主要市场受欧美市场的影响而随之震荡。</w:t>
      </w:r>
    </w:p>
    <w:p w:rsidR="00B66B4F" w:rsidRDefault="00732124" w:rsidP="00510CBC">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连续两个月</w:t>
      </w:r>
      <w:r w:rsidR="008748B7">
        <w:rPr>
          <w:rFonts w:ascii="楷体_GB2312" w:eastAsia="楷体_GB2312" w:hAnsi="宋体" w:cs="宋体" w:hint="eastAsia"/>
          <w:kern w:val="0"/>
          <w:szCs w:val="21"/>
        </w:rPr>
        <w:t>的经济</w:t>
      </w:r>
      <w:r>
        <w:rPr>
          <w:rFonts w:ascii="楷体_GB2312" w:eastAsia="楷体_GB2312" w:hAnsi="宋体" w:cs="宋体" w:hint="eastAsia"/>
          <w:kern w:val="0"/>
          <w:szCs w:val="21"/>
        </w:rPr>
        <w:t>数据</w:t>
      </w:r>
      <w:r w:rsidR="009874CB">
        <w:rPr>
          <w:rFonts w:ascii="楷体_GB2312" w:eastAsia="楷体_GB2312" w:hAnsi="宋体" w:cs="宋体" w:hint="eastAsia"/>
          <w:kern w:val="0"/>
          <w:szCs w:val="21"/>
        </w:rPr>
        <w:t>凸显</w:t>
      </w:r>
      <w:r>
        <w:rPr>
          <w:rFonts w:ascii="楷体_GB2312" w:eastAsia="楷体_GB2312" w:hAnsi="宋体" w:cs="宋体" w:hint="eastAsia"/>
          <w:kern w:val="0"/>
          <w:szCs w:val="21"/>
        </w:rPr>
        <w:t>中国经济</w:t>
      </w:r>
      <w:r w:rsidR="00F00F1D">
        <w:rPr>
          <w:rFonts w:ascii="楷体_GB2312" w:eastAsia="楷体_GB2312" w:hAnsi="宋体" w:cs="宋体" w:hint="eastAsia"/>
          <w:kern w:val="0"/>
          <w:szCs w:val="21"/>
        </w:rPr>
        <w:t>疲软</w:t>
      </w:r>
      <w:r>
        <w:rPr>
          <w:rFonts w:ascii="楷体_GB2312" w:eastAsia="楷体_GB2312" w:hAnsi="宋体" w:cs="宋体" w:hint="eastAsia"/>
          <w:kern w:val="0"/>
          <w:szCs w:val="21"/>
        </w:rPr>
        <w:t>，</w:t>
      </w:r>
      <w:r w:rsidR="00B66B4F">
        <w:rPr>
          <w:rFonts w:ascii="楷体_GB2312" w:eastAsia="楷体_GB2312" w:hAnsi="宋体" w:cs="宋体" w:hint="eastAsia"/>
          <w:kern w:val="0"/>
          <w:szCs w:val="21"/>
        </w:rPr>
        <w:t>以定向放松为主的“微刺激”政策</w:t>
      </w:r>
      <w:r w:rsidR="001F747E">
        <w:rPr>
          <w:rFonts w:ascii="楷体_GB2312" w:eastAsia="楷体_GB2312" w:hAnsi="宋体" w:cs="宋体" w:hint="eastAsia"/>
          <w:kern w:val="0"/>
          <w:szCs w:val="21"/>
        </w:rPr>
        <w:t>尽管</w:t>
      </w:r>
      <w:r w:rsidR="00B66B4F">
        <w:rPr>
          <w:rFonts w:ascii="楷体_GB2312" w:eastAsia="楷体_GB2312" w:hAnsi="宋体" w:cs="宋体" w:hint="eastAsia"/>
          <w:kern w:val="0"/>
          <w:szCs w:val="21"/>
        </w:rPr>
        <w:t>有效</w:t>
      </w:r>
      <w:r w:rsidR="001F747E">
        <w:rPr>
          <w:rFonts w:ascii="楷体_GB2312" w:eastAsia="楷体_GB2312" w:hAnsi="宋体" w:cs="宋体" w:hint="eastAsia"/>
          <w:kern w:val="0"/>
          <w:szCs w:val="21"/>
        </w:rPr>
        <w:t>降低了市场无风险收益率水平，</w:t>
      </w:r>
      <w:r w:rsidR="00DE0AF4">
        <w:rPr>
          <w:rFonts w:ascii="楷体_GB2312" w:eastAsia="楷体_GB2312" w:hAnsi="宋体" w:cs="宋体" w:hint="eastAsia"/>
          <w:kern w:val="0"/>
          <w:szCs w:val="21"/>
        </w:rPr>
        <w:t>但</w:t>
      </w:r>
      <w:r w:rsidR="001F747E">
        <w:rPr>
          <w:rFonts w:ascii="楷体_GB2312" w:eastAsia="楷体_GB2312" w:hAnsi="宋体" w:cs="宋体" w:hint="eastAsia"/>
          <w:kern w:val="0"/>
          <w:szCs w:val="21"/>
        </w:rPr>
        <w:t>无力改善市场信用</w:t>
      </w:r>
      <w:r w:rsidR="00757474">
        <w:rPr>
          <w:rFonts w:ascii="楷体_GB2312" w:eastAsia="楷体_GB2312" w:hAnsi="宋体" w:cs="宋体" w:hint="eastAsia"/>
          <w:kern w:val="0"/>
          <w:szCs w:val="21"/>
        </w:rPr>
        <w:t>风险溢价</w:t>
      </w:r>
      <w:r w:rsidR="00DE0AF4">
        <w:rPr>
          <w:rFonts w:ascii="楷体_GB2312" w:eastAsia="楷体_GB2312" w:hAnsi="宋体" w:cs="宋体" w:hint="eastAsia"/>
          <w:kern w:val="0"/>
          <w:szCs w:val="21"/>
        </w:rPr>
        <w:t>，也表明</w:t>
      </w:r>
      <w:r w:rsidR="00454D14">
        <w:rPr>
          <w:rFonts w:ascii="楷体_GB2312" w:eastAsia="楷体_GB2312" w:hAnsi="宋体" w:cs="宋体" w:hint="eastAsia"/>
          <w:kern w:val="0"/>
          <w:szCs w:val="21"/>
        </w:rPr>
        <w:t>整体货币</w:t>
      </w:r>
      <w:r w:rsidR="00DE0AF4">
        <w:rPr>
          <w:rFonts w:ascii="楷体_GB2312" w:eastAsia="楷体_GB2312" w:hAnsi="宋体" w:cs="宋体" w:hint="eastAsia"/>
          <w:kern w:val="0"/>
          <w:szCs w:val="21"/>
        </w:rPr>
        <w:t>宽松仍然遥遥无期</w:t>
      </w:r>
      <w:r w:rsidR="001777E8">
        <w:rPr>
          <w:rFonts w:ascii="楷体_GB2312" w:eastAsia="楷体_GB2312" w:hAnsi="宋体" w:cs="宋体" w:hint="eastAsia"/>
          <w:kern w:val="0"/>
          <w:szCs w:val="21"/>
        </w:rPr>
        <w:t>，</w:t>
      </w:r>
      <w:r w:rsidR="00454D14">
        <w:rPr>
          <w:rFonts w:ascii="楷体_GB2312" w:eastAsia="楷体_GB2312" w:hAnsi="宋体" w:cs="宋体" w:hint="eastAsia"/>
          <w:kern w:val="0"/>
          <w:szCs w:val="21"/>
        </w:rPr>
        <w:t>这使得</w:t>
      </w:r>
      <w:r w:rsidR="001777E8">
        <w:rPr>
          <w:rFonts w:ascii="楷体_GB2312" w:eastAsia="楷体_GB2312" w:hAnsi="宋体" w:cs="宋体" w:hint="eastAsia"/>
          <w:kern w:val="0"/>
          <w:szCs w:val="21"/>
        </w:rPr>
        <w:t>传统制造业</w:t>
      </w:r>
      <w:r w:rsidR="00454D14">
        <w:rPr>
          <w:rFonts w:ascii="楷体_GB2312" w:eastAsia="楷体_GB2312" w:hAnsi="宋体" w:cs="宋体" w:hint="eastAsia"/>
          <w:kern w:val="0"/>
          <w:szCs w:val="21"/>
        </w:rPr>
        <w:t>和私营企业仍然面临融资困境。</w:t>
      </w:r>
      <w:r w:rsidR="004C5D72">
        <w:rPr>
          <w:rFonts w:ascii="楷体_GB2312" w:eastAsia="楷体_GB2312" w:hAnsi="宋体" w:cs="宋体" w:hint="eastAsia"/>
          <w:color w:val="000000"/>
          <w:kern w:val="0"/>
          <w:szCs w:val="21"/>
        </w:rPr>
        <w:t>令市场</w:t>
      </w:r>
      <w:r w:rsidR="00012918">
        <w:rPr>
          <w:rFonts w:ascii="楷体_GB2312" w:eastAsia="楷体_GB2312" w:hAnsi="宋体" w:cs="宋体" w:hint="eastAsia"/>
          <w:color w:val="000000"/>
          <w:kern w:val="0"/>
          <w:szCs w:val="21"/>
        </w:rPr>
        <w:t>更为</w:t>
      </w:r>
      <w:r w:rsidR="004C5D72">
        <w:rPr>
          <w:rFonts w:ascii="楷体_GB2312" w:eastAsia="楷体_GB2312" w:hAnsi="宋体" w:cs="宋体" w:hint="eastAsia"/>
          <w:color w:val="000000"/>
          <w:kern w:val="0"/>
          <w:szCs w:val="21"/>
        </w:rPr>
        <w:t>担忧的是，当前</w:t>
      </w:r>
      <w:r w:rsidR="00454D14" w:rsidRPr="00A12712">
        <w:rPr>
          <w:rFonts w:ascii="楷体_GB2312" w:eastAsia="楷体_GB2312" w:hAnsi="宋体" w:cs="宋体" w:hint="eastAsia"/>
          <w:color w:val="000000"/>
          <w:kern w:val="0"/>
          <w:szCs w:val="21"/>
        </w:rPr>
        <w:t>就业和通胀总体稳定的形势为政策制定者提供了“不</w:t>
      </w:r>
      <w:r w:rsidR="00BA7A60">
        <w:rPr>
          <w:rFonts w:ascii="楷体_GB2312" w:eastAsia="楷体_GB2312" w:hAnsi="宋体" w:cs="宋体" w:hint="eastAsia"/>
          <w:color w:val="000000"/>
          <w:kern w:val="0"/>
          <w:szCs w:val="21"/>
        </w:rPr>
        <w:t>全面</w:t>
      </w:r>
      <w:r w:rsidR="00454D14" w:rsidRPr="00A12712">
        <w:rPr>
          <w:rFonts w:ascii="楷体_GB2312" w:eastAsia="楷体_GB2312" w:hAnsi="宋体" w:cs="宋体" w:hint="eastAsia"/>
          <w:color w:val="000000"/>
          <w:kern w:val="0"/>
          <w:szCs w:val="21"/>
        </w:rPr>
        <w:t>刺激”的底气。但乐观的情绪仍在积聚：经济结构转型的持续推进为短期市场提供了丰富主题投资机会</w:t>
      </w:r>
      <w:r w:rsidR="00251730">
        <w:rPr>
          <w:rFonts w:ascii="楷体_GB2312" w:eastAsia="楷体_GB2312" w:hAnsi="宋体" w:cs="宋体" w:hint="eastAsia"/>
          <w:color w:val="000000"/>
          <w:kern w:val="0"/>
          <w:szCs w:val="21"/>
        </w:rPr>
        <w:t>，</w:t>
      </w:r>
      <w:r w:rsidR="000111C0">
        <w:rPr>
          <w:rFonts w:ascii="楷体_GB2312" w:eastAsia="楷体_GB2312" w:hAnsi="宋体" w:cs="宋体" w:hint="eastAsia"/>
          <w:color w:val="000000"/>
          <w:kern w:val="0"/>
          <w:szCs w:val="21"/>
        </w:rPr>
        <w:t>并</w:t>
      </w:r>
      <w:r w:rsidR="0042642C">
        <w:rPr>
          <w:rFonts w:ascii="楷体_GB2312" w:eastAsia="楷体_GB2312" w:hAnsi="宋体" w:cs="宋体" w:hint="eastAsia"/>
          <w:color w:val="000000"/>
          <w:kern w:val="0"/>
          <w:szCs w:val="21"/>
        </w:rPr>
        <w:t>与</w:t>
      </w:r>
      <w:r w:rsidR="004E1B66" w:rsidRPr="00A12712">
        <w:rPr>
          <w:rFonts w:ascii="楷体_GB2312" w:eastAsia="楷体_GB2312" w:hAnsi="宋体" w:cs="宋体" w:hint="eastAsia"/>
          <w:color w:val="000000"/>
          <w:kern w:val="0"/>
          <w:szCs w:val="21"/>
        </w:rPr>
        <w:t>市场利率下行</w:t>
      </w:r>
      <w:r w:rsidR="0042642C">
        <w:rPr>
          <w:rFonts w:ascii="楷体_GB2312" w:eastAsia="楷体_GB2312" w:hAnsi="宋体" w:cs="宋体" w:hint="eastAsia"/>
          <w:color w:val="000000"/>
          <w:kern w:val="0"/>
          <w:szCs w:val="21"/>
        </w:rPr>
        <w:t>这一趋势</w:t>
      </w:r>
      <w:r w:rsidR="00012918">
        <w:rPr>
          <w:rFonts w:ascii="楷体_GB2312" w:eastAsia="楷体_GB2312" w:hAnsi="宋体" w:cs="宋体" w:hint="eastAsia"/>
          <w:color w:val="000000"/>
          <w:kern w:val="0"/>
          <w:szCs w:val="21"/>
        </w:rPr>
        <w:t>一起</w:t>
      </w:r>
      <w:r w:rsidR="004E1B66" w:rsidRPr="00A12712">
        <w:rPr>
          <w:rFonts w:ascii="楷体_GB2312" w:eastAsia="楷体_GB2312" w:hAnsi="宋体" w:cs="宋体" w:hint="eastAsia"/>
          <w:color w:val="000000"/>
          <w:kern w:val="0"/>
          <w:szCs w:val="21"/>
        </w:rPr>
        <w:t>为股债两市长期走好奠定了基础</w:t>
      </w:r>
      <w:r w:rsidR="0042642C">
        <w:rPr>
          <w:rFonts w:ascii="楷体_GB2312" w:eastAsia="楷体_GB2312" w:hAnsi="宋体" w:cs="宋体" w:hint="eastAsia"/>
          <w:color w:val="000000"/>
          <w:kern w:val="0"/>
          <w:szCs w:val="21"/>
        </w:rPr>
        <w:t>；</w:t>
      </w:r>
      <w:r w:rsidR="004E1B66">
        <w:rPr>
          <w:rFonts w:ascii="楷体_GB2312" w:eastAsia="楷体_GB2312" w:hAnsi="宋体" w:cs="宋体" w:hint="eastAsia"/>
          <w:color w:val="000000"/>
          <w:kern w:val="0"/>
          <w:szCs w:val="21"/>
        </w:rPr>
        <w:t>经过持续数年的调整</w:t>
      </w:r>
      <w:r w:rsidR="0033677D">
        <w:rPr>
          <w:rFonts w:ascii="楷体_GB2312" w:eastAsia="楷体_GB2312" w:hAnsi="宋体" w:cs="宋体" w:hint="eastAsia"/>
          <w:color w:val="000000"/>
          <w:kern w:val="0"/>
          <w:szCs w:val="21"/>
        </w:rPr>
        <w:t>之后</w:t>
      </w:r>
      <w:r w:rsidR="004E1B66">
        <w:rPr>
          <w:rFonts w:ascii="楷体_GB2312" w:eastAsia="楷体_GB2312" w:hAnsi="宋体" w:cs="宋体" w:hint="eastAsia"/>
          <w:color w:val="000000"/>
          <w:kern w:val="0"/>
          <w:szCs w:val="21"/>
        </w:rPr>
        <w:t>，</w:t>
      </w:r>
      <w:r w:rsidR="0033677D">
        <w:rPr>
          <w:rFonts w:ascii="楷体_GB2312" w:eastAsia="楷体_GB2312" w:hAnsi="宋体" w:cs="宋体" w:hint="eastAsia"/>
          <w:color w:val="000000"/>
          <w:kern w:val="0"/>
          <w:szCs w:val="21"/>
        </w:rPr>
        <w:t>市场已经开始接受经济增长减速，股市</w:t>
      </w:r>
      <w:r w:rsidR="0042642C">
        <w:rPr>
          <w:rFonts w:ascii="楷体_GB2312" w:eastAsia="楷体_GB2312" w:hAnsi="宋体" w:cs="宋体" w:hint="eastAsia"/>
          <w:color w:val="000000"/>
          <w:kern w:val="0"/>
          <w:szCs w:val="21"/>
        </w:rPr>
        <w:t>根基</w:t>
      </w:r>
      <w:r w:rsidR="0033677D">
        <w:rPr>
          <w:rFonts w:ascii="楷体_GB2312" w:eastAsia="楷体_GB2312" w:hAnsi="宋体" w:cs="宋体" w:hint="eastAsia"/>
          <w:color w:val="000000"/>
          <w:kern w:val="0"/>
          <w:szCs w:val="21"/>
        </w:rPr>
        <w:t>不断夯实，</w:t>
      </w:r>
      <w:r w:rsidR="00510CBC">
        <w:rPr>
          <w:rFonts w:ascii="楷体_GB2312" w:eastAsia="楷体_GB2312" w:hAnsi="宋体" w:cs="宋体" w:hint="eastAsia"/>
          <w:kern w:val="0"/>
          <w:szCs w:val="21"/>
        </w:rPr>
        <w:t>短期</w:t>
      </w:r>
      <w:r w:rsidR="0033677D">
        <w:rPr>
          <w:rFonts w:ascii="楷体_GB2312" w:eastAsia="楷体_GB2312" w:hAnsi="宋体" w:cs="宋体" w:hint="eastAsia"/>
          <w:color w:val="000000"/>
          <w:kern w:val="0"/>
          <w:szCs w:val="21"/>
        </w:rPr>
        <w:t>股指或将</w:t>
      </w:r>
      <w:r w:rsidR="0033677D">
        <w:rPr>
          <w:rFonts w:ascii="楷体_GB2312" w:eastAsia="楷体_GB2312" w:hAnsi="宋体" w:cs="宋体" w:hint="eastAsia"/>
          <w:kern w:val="0"/>
          <w:szCs w:val="21"/>
        </w:rPr>
        <w:t>经济走向企稳和政策频出中</w:t>
      </w:r>
      <w:r w:rsidR="0033677D">
        <w:rPr>
          <w:rFonts w:ascii="楷体_GB2312" w:eastAsia="楷体_GB2312" w:hAnsi="宋体" w:cs="宋体" w:hint="eastAsia"/>
          <w:color w:val="000000"/>
          <w:kern w:val="0"/>
          <w:szCs w:val="21"/>
        </w:rPr>
        <w:t>加剧震荡</w:t>
      </w:r>
      <w:r w:rsidR="00BA7A60">
        <w:rPr>
          <w:rFonts w:ascii="楷体_GB2312" w:eastAsia="楷体_GB2312" w:hAnsi="宋体" w:cs="宋体" w:hint="eastAsia"/>
          <w:color w:val="000000"/>
          <w:kern w:val="0"/>
          <w:szCs w:val="21"/>
        </w:rPr>
        <w:t>，</w:t>
      </w:r>
      <w:r w:rsidR="004151F7">
        <w:rPr>
          <w:rFonts w:ascii="楷体_GB2312" w:eastAsia="楷体_GB2312" w:hAnsi="宋体" w:cs="宋体" w:hint="eastAsia"/>
          <w:color w:val="000000"/>
          <w:kern w:val="0"/>
          <w:szCs w:val="21"/>
        </w:rPr>
        <w:t>但</w:t>
      </w:r>
      <w:r w:rsidR="001C0377">
        <w:rPr>
          <w:rFonts w:ascii="楷体_GB2312" w:eastAsia="楷体_GB2312" w:hAnsi="宋体" w:cs="宋体" w:hint="eastAsia"/>
          <w:color w:val="000000"/>
          <w:kern w:val="0"/>
          <w:szCs w:val="21"/>
        </w:rPr>
        <w:t>长期来看</w:t>
      </w:r>
      <w:r w:rsidR="00087FB6">
        <w:rPr>
          <w:rFonts w:ascii="楷体_GB2312" w:eastAsia="楷体_GB2312" w:hAnsi="宋体" w:cs="宋体" w:hint="eastAsia"/>
          <w:color w:val="000000"/>
          <w:kern w:val="0"/>
          <w:szCs w:val="21"/>
        </w:rPr>
        <w:t>四季度</w:t>
      </w:r>
      <w:r w:rsidR="001C0377">
        <w:rPr>
          <w:rFonts w:ascii="楷体_GB2312" w:eastAsia="楷体_GB2312" w:hAnsi="宋体" w:cs="宋体" w:hint="eastAsia"/>
          <w:color w:val="000000"/>
          <w:kern w:val="0"/>
          <w:szCs w:val="21"/>
        </w:rPr>
        <w:t>股市</w:t>
      </w:r>
      <w:r w:rsidR="004151F7">
        <w:rPr>
          <w:rFonts w:ascii="楷体_GB2312" w:eastAsia="楷体_GB2312" w:hAnsi="宋体" w:cs="宋体" w:hint="eastAsia"/>
          <w:color w:val="000000"/>
          <w:kern w:val="0"/>
          <w:szCs w:val="21"/>
        </w:rPr>
        <w:t>已经进入</w:t>
      </w:r>
      <w:r w:rsidR="00275E11">
        <w:rPr>
          <w:rFonts w:ascii="楷体_GB2312" w:eastAsia="楷体_GB2312" w:hAnsi="宋体" w:cs="宋体" w:hint="eastAsia"/>
          <w:color w:val="000000"/>
          <w:kern w:val="0"/>
          <w:szCs w:val="21"/>
        </w:rPr>
        <w:t>强市</w:t>
      </w:r>
      <w:r w:rsidR="001C0377">
        <w:rPr>
          <w:rFonts w:ascii="楷体_GB2312" w:eastAsia="楷体_GB2312" w:hAnsi="宋体" w:cs="宋体" w:hint="eastAsia"/>
          <w:color w:val="000000"/>
          <w:kern w:val="0"/>
          <w:szCs w:val="21"/>
        </w:rPr>
        <w:t>前夕</w:t>
      </w:r>
      <w:r w:rsidR="004151F7">
        <w:rPr>
          <w:rFonts w:ascii="楷体_GB2312" w:eastAsia="楷体_GB2312" w:hAnsi="宋体" w:cs="宋体" w:hint="eastAsia"/>
          <w:color w:val="000000"/>
          <w:kern w:val="0"/>
          <w:szCs w:val="21"/>
        </w:rPr>
        <w:t>的酝酿期</w:t>
      </w:r>
      <w:r w:rsidR="001C0377">
        <w:rPr>
          <w:rFonts w:ascii="楷体_GB2312" w:eastAsia="楷体_GB2312" w:hAnsi="宋体" w:cs="宋体" w:hint="eastAsia"/>
          <w:kern w:val="0"/>
          <w:szCs w:val="21"/>
        </w:rPr>
        <w:t>。</w:t>
      </w:r>
    </w:p>
    <w:p w:rsidR="001E3B52" w:rsidRPr="00C17FBC" w:rsidRDefault="001E3B52" w:rsidP="00D76736">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w:t>
      </w:r>
      <w:r w:rsidR="004938DD" w:rsidRPr="00C17FBC">
        <w:rPr>
          <w:rFonts w:ascii="黑体" w:eastAsia="黑体" w:hAnsi="宋体-18030" w:cs="宋体-18030" w:hint="eastAsia"/>
          <w:b/>
          <w:bCs/>
          <w:color w:val="003366"/>
          <w:kern w:val="44"/>
          <w:sz w:val="24"/>
        </w:rPr>
        <w:t>基金投资策略：</w:t>
      </w:r>
      <w:r w:rsidR="00071740">
        <w:rPr>
          <w:rFonts w:ascii="黑体" w:eastAsia="黑体" w:hAnsi="宋体-18030" w:cs="宋体-18030" w:hint="eastAsia"/>
          <w:b/>
          <w:bCs/>
          <w:color w:val="003366"/>
          <w:kern w:val="44"/>
          <w:sz w:val="24"/>
        </w:rPr>
        <w:t>短期股指或加剧震荡，</w:t>
      </w:r>
      <w:r w:rsidR="00E40536">
        <w:rPr>
          <w:rFonts w:ascii="黑体" w:eastAsia="黑体" w:hAnsi="宋体-18030" w:cs="宋体-18030" w:hint="eastAsia"/>
          <w:b/>
          <w:bCs/>
          <w:color w:val="003366"/>
          <w:kern w:val="44"/>
          <w:sz w:val="24"/>
        </w:rPr>
        <w:t>风格继续</w:t>
      </w:r>
      <w:r w:rsidR="00E061AE">
        <w:rPr>
          <w:rFonts w:ascii="黑体" w:eastAsia="黑体" w:hAnsi="宋体-18030" w:cs="宋体-18030" w:hint="eastAsia"/>
          <w:b/>
          <w:bCs/>
          <w:color w:val="003366"/>
          <w:kern w:val="44"/>
          <w:sz w:val="24"/>
        </w:rPr>
        <w:t>有利</w:t>
      </w:r>
      <w:r w:rsidR="00910DCD" w:rsidRPr="00910DCD">
        <w:rPr>
          <w:rFonts w:ascii="黑体" w:eastAsia="黑体" w:hAnsi="宋体-18030" w:cs="宋体-18030" w:hint="eastAsia"/>
          <w:b/>
          <w:bCs/>
          <w:color w:val="003366"/>
          <w:kern w:val="44"/>
          <w:sz w:val="24"/>
        </w:rPr>
        <w:t>消费</w:t>
      </w:r>
      <w:r w:rsidR="00910DCD">
        <w:rPr>
          <w:rFonts w:ascii="黑体" w:eastAsia="黑体" w:hAnsi="宋体-18030" w:cs="宋体-18030" w:hint="eastAsia"/>
          <w:b/>
          <w:bCs/>
          <w:color w:val="003366"/>
          <w:kern w:val="44"/>
          <w:sz w:val="24"/>
        </w:rPr>
        <w:t>主题</w:t>
      </w:r>
    </w:p>
    <w:p w:rsidR="00135751" w:rsidRPr="00135751" w:rsidRDefault="00C92206" w:rsidP="008B3AA4">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由于我们预期</w:t>
      </w:r>
      <w:r w:rsidR="00B07BB7">
        <w:rPr>
          <w:rFonts w:ascii="楷体_GB2312" w:eastAsia="楷体_GB2312" w:hAnsi="宋体" w:cs="宋体" w:hint="eastAsia"/>
          <w:kern w:val="0"/>
          <w:szCs w:val="21"/>
        </w:rPr>
        <w:t>“</w:t>
      </w:r>
      <w:r w:rsidR="001B451C">
        <w:rPr>
          <w:rFonts w:ascii="楷体_GB2312" w:eastAsia="楷体_GB2312" w:hAnsi="宋体" w:cs="宋体" w:hint="eastAsia"/>
          <w:kern w:val="0"/>
          <w:szCs w:val="21"/>
        </w:rPr>
        <w:t>短期</w:t>
      </w:r>
      <w:r w:rsidR="008B3AA4">
        <w:rPr>
          <w:rFonts w:ascii="楷体_GB2312" w:eastAsia="楷体_GB2312" w:hAnsi="宋体" w:cs="宋体" w:hint="eastAsia"/>
          <w:kern w:val="0"/>
          <w:szCs w:val="21"/>
        </w:rPr>
        <w:t>股市</w:t>
      </w:r>
      <w:r w:rsidR="00510CBC">
        <w:rPr>
          <w:rFonts w:ascii="楷体_GB2312" w:eastAsia="楷体_GB2312" w:hAnsi="宋体" w:cs="宋体" w:hint="eastAsia"/>
          <w:kern w:val="0"/>
          <w:szCs w:val="21"/>
        </w:rPr>
        <w:t>主题机会丰富，</w:t>
      </w:r>
      <w:r w:rsidR="00087FB6">
        <w:rPr>
          <w:rFonts w:ascii="楷体_GB2312" w:eastAsia="楷体_GB2312" w:hAnsi="宋体" w:cs="宋体" w:hint="eastAsia"/>
          <w:kern w:val="0"/>
          <w:szCs w:val="21"/>
        </w:rPr>
        <w:t>短期</w:t>
      </w:r>
      <w:r w:rsidR="00087FB6">
        <w:rPr>
          <w:rFonts w:ascii="楷体_GB2312" w:eastAsia="楷体_GB2312" w:hAnsi="宋体" w:cs="宋体" w:hint="eastAsia"/>
          <w:color w:val="000000"/>
          <w:kern w:val="0"/>
          <w:szCs w:val="21"/>
        </w:rPr>
        <w:t>股指加剧震荡，</w:t>
      </w:r>
      <w:r w:rsidR="001B451C">
        <w:rPr>
          <w:rFonts w:ascii="楷体_GB2312" w:eastAsia="楷体_GB2312" w:hAnsi="宋体" w:cs="宋体" w:hint="eastAsia"/>
          <w:kern w:val="0"/>
          <w:szCs w:val="21"/>
        </w:rPr>
        <w:t>四季度正酝酿长期</w:t>
      </w:r>
      <w:r w:rsidR="001B451C">
        <w:rPr>
          <w:rFonts w:ascii="楷体_GB2312" w:eastAsia="楷体_GB2312" w:hAnsi="宋体" w:cs="宋体" w:hint="eastAsia"/>
          <w:color w:val="000000"/>
          <w:kern w:val="0"/>
          <w:szCs w:val="21"/>
        </w:rPr>
        <w:t>股票强市</w:t>
      </w:r>
      <w:r w:rsidR="008B3AA4">
        <w:rPr>
          <w:rFonts w:ascii="楷体_GB2312" w:eastAsia="楷体_GB2312" w:hAnsi="宋体" w:cs="宋体" w:hint="eastAsia"/>
          <w:color w:val="000000"/>
          <w:kern w:val="0"/>
          <w:szCs w:val="21"/>
        </w:rPr>
        <w:t>”，</w:t>
      </w:r>
      <w:r w:rsidR="003426B7">
        <w:rPr>
          <w:rFonts w:ascii="楷体_GB2312" w:eastAsia="楷体_GB2312" w:hAnsi="宋体" w:cs="宋体" w:hint="eastAsia"/>
          <w:kern w:val="0"/>
          <w:szCs w:val="21"/>
        </w:rPr>
        <w:t>建议短期投资者仍然维持谨慎适当防御，</w:t>
      </w:r>
      <w:r w:rsidR="00012918">
        <w:rPr>
          <w:rFonts w:ascii="楷体_GB2312" w:eastAsia="楷体_GB2312" w:hAnsi="宋体" w:cs="宋体" w:hint="eastAsia"/>
          <w:kern w:val="0"/>
          <w:szCs w:val="21"/>
        </w:rPr>
        <w:t>中</w:t>
      </w:r>
      <w:r w:rsidR="003426B7">
        <w:rPr>
          <w:rFonts w:ascii="楷体_GB2312" w:eastAsia="楷体_GB2312" w:hAnsi="宋体" w:cs="宋体" w:hint="eastAsia"/>
          <w:kern w:val="0"/>
          <w:szCs w:val="21"/>
        </w:rPr>
        <w:t>长期投资者可提高</w:t>
      </w:r>
      <w:r w:rsidR="00916DFF">
        <w:rPr>
          <w:rFonts w:ascii="楷体_GB2312" w:eastAsia="楷体_GB2312" w:hAnsi="宋体" w:cs="宋体" w:hint="eastAsia"/>
          <w:kern w:val="0"/>
          <w:szCs w:val="21"/>
        </w:rPr>
        <w:t>风险偏好</w:t>
      </w:r>
      <w:r w:rsidR="003426B7">
        <w:rPr>
          <w:rFonts w:ascii="楷体_GB2312" w:eastAsia="楷体_GB2312" w:hAnsi="宋体" w:cs="宋体" w:hint="eastAsia"/>
          <w:kern w:val="0"/>
          <w:szCs w:val="21"/>
        </w:rPr>
        <w:t>，布局即将</w:t>
      </w:r>
      <w:r w:rsidR="00251730">
        <w:rPr>
          <w:rFonts w:ascii="楷体_GB2312" w:eastAsia="楷体_GB2312" w:hAnsi="宋体" w:cs="宋体" w:hint="eastAsia"/>
          <w:kern w:val="0"/>
          <w:szCs w:val="21"/>
        </w:rPr>
        <w:t>到来的股票强市</w:t>
      </w:r>
      <w:r w:rsidR="00916DFF">
        <w:rPr>
          <w:rFonts w:ascii="楷体_GB2312" w:eastAsia="楷体_GB2312" w:hAnsi="宋体" w:cs="宋体" w:hint="eastAsia"/>
          <w:kern w:val="0"/>
          <w:szCs w:val="21"/>
        </w:rPr>
        <w:t>，</w:t>
      </w:r>
      <w:r w:rsidR="00916DFF" w:rsidRPr="00C17FBC">
        <w:rPr>
          <w:rFonts w:ascii="楷体_GB2312" w:eastAsia="楷体_GB2312" w:hAnsi="宋体" w:cs="宋体" w:hint="eastAsia"/>
          <w:kern w:val="0"/>
          <w:szCs w:val="21"/>
        </w:rPr>
        <w:t>高风险偏好的阶段性投资者</w:t>
      </w:r>
      <w:r w:rsidR="00916DFF">
        <w:rPr>
          <w:rFonts w:ascii="楷体_GB2312" w:eastAsia="楷体_GB2312" w:hAnsi="宋体" w:cs="宋体" w:hint="eastAsia"/>
          <w:kern w:val="0"/>
          <w:szCs w:val="21"/>
        </w:rPr>
        <w:t>继续关注由改革推动的</w:t>
      </w:r>
      <w:r w:rsidR="00494055">
        <w:rPr>
          <w:rFonts w:ascii="楷体_GB2312" w:eastAsia="楷体_GB2312" w:hAnsi="宋体" w:cs="宋体" w:hint="eastAsia"/>
          <w:kern w:val="0"/>
          <w:szCs w:val="21"/>
        </w:rPr>
        <w:t>政策</w:t>
      </w:r>
      <w:r w:rsidR="00916DFF">
        <w:rPr>
          <w:rFonts w:ascii="楷体_GB2312" w:eastAsia="楷体_GB2312" w:hAnsi="宋体" w:cs="宋体" w:hint="eastAsia"/>
          <w:kern w:val="0"/>
          <w:szCs w:val="21"/>
        </w:rPr>
        <w:t>事件驱动性主题投资机会和受益转型的结构性投资机会</w:t>
      </w:r>
      <w:r w:rsidR="00500732">
        <w:rPr>
          <w:rFonts w:ascii="楷体_GB2312" w:eastAsia="楷体_GB2312" w:hAnsi="宋体" w:cs="宋体" w:hint="eastAsia"/>
          <w:kern w:val="0"/>
          <w:szCs w:val="21"/>
        </w:rPr>
        <w:t>。</w:t>
      </w:r>
    </w:p>
    <w:p w:rsidR="008537AE" w:rsidRPr="008537AE" w:rsidRDefault="00793E22" w:rsidP="00D76736">
      <w:pPr>
        <w:spacing w:beforeLines="50"/>
        <w:ind w:leftChars="1350" w:left="2835" w:firstLineChars="202" w:firstLine="424"/>
        <w:rPr>
          <w:rFonts w:ascii="楷体_GB2312" w:eastAsia="楷体_GB2312" w:hAnsi="宋体" w:cs="宋体" w:hint="eastAsia"/>
          <w:kern w:val="0"/>
          <w:szCs w:val="21"/>
        </w:rPr>
      </w:pPr>
      <w:r w:rsidRPr="00C556C4">
        <w:rPr>
          <w:rFonts w:ascii="楷体_GB2312" w:eastAsia="楷体_GB2312" w:hAnsi="宋体" w:cs="宋体" w:hint="eastAsia"/>
          <w:kern w:val="0"/>
          <w:szCs w:val="21"/>
        </w:rPr>
        <w:t>权益类基金方面，</w:t>
      </w:r>
      <w:r w:rsidR="00595E70">
        <w:rPr>
          <w:rFonts w:ascii="楷体_GB2312" w:eastAsia="楷体_GB2312" w:hAnsi="宋体" w:cs="宋体" w:hint="eastAsia"/>
          <w:kern w:val="0"/>
          <w:szCs w:val="21"/>
        </w:rPr>
        <w:t>维持</w:t>
      </w:r>
      <w:r w:rsidR="008537AE">
        <w:rPr>
          <w:rFonts w:ascii="楷体_GB2312" w:eastAsia="楷体_GB2312" w:hAnsi="宋体" w:cs="宋体" w:hint="eastAsia"/>
          <w:kern w:val="0"/>
          <w:szCs w:val="21"/>
        </w:rPr>
        <w:t>上月判断：</w:t>
      </w:r>
      <w:r w:rsidR="00956FB6">
        <w:rPr>
          <w:rFonts w:ascii="楷体_GB2312" w:eastAsia="楷体_GB2312" w:hAnsi="宋体" w:cs="宋体" w:hint="eastAsia"/>
          <w:kern w:val="0"/>
          <w:szCs w:val="21"/>
        </w:rPr>
        <w:t>弱势经济背景下</w:t>
      </w:r>
      <w:r w:rsidR="00956FB6" w:rsidRPr="00C556C4">
        <w:rPr>
          <w:rFonts w:ascii="楷体_GB2312" w:eastAsia="楷体_GB2312" w:hAnsi="宋体" w:cs="宋体" w:hint="eastAsia"/>
          <w:kern w:val="0"/>
          <w:szCs w:val="21"/>
        </w:rPr>
        <w:t>有色、采掘、钢铁等强周期行业缺乏长期上涨</w:t>
      </w:r>
      <w:r w:rsidR="00956FB6">
        <w:rPr>
          <w:rFonts w:ascii="楷体_GB2312" w:eastAsia="楷体_GB2312" w:hAnsi="宋体" w:cs="宋体" w:hint="eastAsia"/>
          <w:kern w:val="0"/>
          <w:szCs w:val="21"/>
        </w:rPr>
        <w:t>基础</w:t>
      </w:r>
      <w:r w:rsidR="008537AE">
        <w:rPr>
          <w:rFonts w:ascii="楷体_GB2312" w:eastAsia="楷体_GB2312" w:hAnsi="宋体" w:cs="宋体" w:hint="eastAsia"/>
          <w:kern w:val="0"/>
          <w:szCs w:val="21"/>
        </w:rPr>
        <w:t>，</w:t>
      </w:r>
      <w:r w:rsidR="008E2BC9">
        <w:rPr>
          <w:rFonts w:ascii="楷体_GB2312" w:eastAsia="楷体_GB2312" w:hAnsi="宋体" w:cs="宋体" w:hint="eastAsia"/>
          <w:kern w:val="0"/>
          <w:szCs w:val="21"/>
        </w:rPr>
        <w:t>同时考虑到</w:t>
      </w:r>
      <w:r w:rsidR="00C6268A">
        <w:rPr>
          <w:rFonts w:ascii="楷体_GB2312" w:eastAsia="楷体_GB2312" w:hAnsi="宋体" w:cs="宋体" w:hint="eastAsia"/>
          <w:kern w:val="0"/>
          <w:szCs w:val="21"/>
        </w:rPr>
        <w:t>中国经济结构转型趋势不变、沪港通对国内市场估值体系的冲击和重塑</w:t>
      </w:r>
      <w:r w:rsidR="008537AE" w:rsidRPr="008537AE">
        <w:rPr>
          <w:rFonts w:ascii="楷体_GB2312" w:eastAsia="楷体_GB2312" w:hAnsi="宋体" w:cs="宋体" w:hint="eastAsia"/>
          <w:kern w:val="0"/>
          <w:szCs w:val="21"/>
        </w:rPr>
        <w:t>、四季度</w:t>
      </w:r>
      <w:r w:rsidR="008E2BC9">
        <w:rPr>
          <w:rFonts w:ascii="楷体_GB2312" w:eastAsia="楷体_GB2312" w:hAnsi="宋体" w:cs="宋体" w:hint="eastAsia"/>
          <w:kern w:val="0"/>
          <w:szCs w:val="21"/>
        </w:rPr>
        <w:t>迎来阶段性消费旺季</w:t>
      </w:r>
      <w:r w:rsidR="008537AE" w:rsidRPr="008537AE">
        <w:rPr>
          <w:rFonts w:ascii="楷体_GB2312" w:eastAsia="楷体_GB2312" w:hAnsi="宋体" w:cs="宋体" w:hint="eastAsia"/>
          <w:kern w:val="0"/>
          <w:szCs w:val="21"/>
        </w:rPr>
        <w:t>等</w:t>
      </w:r>
      <w:r w:rsidR="008E2BC9">
        <w:rPr>
          <w:rFonts w:ascii="楷体_GB2312" w:eastAsia="楷体_GB2312" w:hAnsi="宋体" w:cs="宋体" w:hint="eastAsia"/>
          <w:kern w:val="0"/>
          <w:szCs w:val="21"/>
        </w:rPr>
        <w:t>三大</w:t>
      </w:r>
      <w:r w:rsidR="008537AE" w:rsidRPr="008537AE">
        <w:rPr>
          <w:rFonts w:ascii="楷体_GB2312" w:eastAsia="楷体_GB2312" w:hAnsi="宋体" w:cs="宋体" w:hint="eastAsia"/>
          <w:kern w:val="0"/>
          <w:szCs w:val="21"/>
        </w:rPr>
        <w:t>因素</w:t>
      </w:r>
      <w:r w:rsidR="008E2BC9">
        <w:rPr>
          <w:rFonts w:ascii="楷体_GB2312" w:eastAsia="楷体_GB2312" w:hAnsi="宋体" w:cs="宋体" w:hint="eastAsia"/>
          <w:kern w:val="0"/>
          <w:szCs w:val="21"/>
        </w:rPr>
        <w:t>对股市的影响</w:t>
      </w:r>
      <w:r w:rsidR="008537AE" w:rsidRPr="008537AE">
        <w:rPr>
          <w:rFonts w:ascii="楷体_GB2312" w:eastAsia="楷体_GB2312" w:hAnsi="宋体" w:cs="宋体" w:hint="eastAsia"/>
          <w:kern w:val="0"/>
          <w:szCs w:val="21"/>
        </w:rPr>
        <w:t>，建议长期战略性持有符合结构转型方向的新兴产业基金、短期逢低布局</w:t>
      </w:r>
      <w:r w:rsidR="00494055">
        <w:rPr>
          <w:rFonts w:ascii="楷体_GB2312" w:eastAsia="楷体_GB2312" w:hAnsi="宋体" w:cs="宋体" w:hint="eastAsia"/>
          <w:kern w:val="0"/>
          <w:szCs w:val="21"/>
        </w:rPr>
        <w:t>受益市场风险偏好抬升和估值抬升的</w:t>
      </w:r>
      <w:r w:rsidR="008537AE" w:rsidRPr="008537AE">
        <w:rPr>
          <w:rFonts w:ascii="楷体_GB2312" w:eastAsia="楷体_GB2312" w:hAnsi="宋体" w:cs="宋体" w:hint="eastAsia"/>
          <w:kern w:val="0"/>
          <w:szCs w:val="21"/>
        </w:rPr>
        <w:t>蓝筹价值基金，阶段性把握</w:t>
      </w:r>
      <w:r w:rsidR="003C5349">
        <w:rPr>
          <w:rFonts w:ascii="楷体_GB2312" w:eastAsia="楷体_GB2312" w:hAnsi="宋体" w:cs="宋体" w:hint="eastAsia"/>
          <w:kern w:val="0"/>
          <w:szCs w:val="21"/>
        </w:rPr>
        <w:t>符合季节性投资节奏的</w:t>
      </w:r>
      <w:r w:rsidR="008537AE" w:rsidRPr="008537AE">
        <w:rPr>
          <w:rFonts w:ascii="楷体_GB2312" w:eastAsia="楷体_GB2312" w:hAnsi="宋体" w:cs="宋体" w:hint="eastAsia"/>
          <w:kern w:val="0"/>
          <w:szCs w:val="21"/>
        </w:rPr>
        <w:t>大消费主题基金。</w:t>
      </w:r>
    </w:p>
    <w:p w:rsidR="006C5A03" w:rsidRDefault="00CB03D0" w:rsidP="00D76736">
      <w:pPr>
        <w:spacing w:beforeLines="50"/>
        <w:ind w:leftChars="1350" w:left="2835" w:firstLineChars="202" w:firstLine="424"/>
        <w:rPr>
          <w:rFonts w:ascii="楷体_GB2312" w:eastAsia="楷体_GB2312" w:hAnsi="宋体" w:cs="宋体"/>
          <w:kern w:val="0"/>
          <w:szCs w:val="21"/>
        </w:rPr>
      </w:pPr>
      <w:r w:rsidRPr="00C17FBC">
        <w:rPr>
          <w:rFonts w:ascii="楷体_GB2312" w:eastAsia="楷体_GB2312" w:hAnsi="宋体" w:cs="宋体" w:hint="eastAsia"/>
          <w:kern w:val="0"/>
          <w:szCs w:val="21"/>
        </w:rPr>
        <w:t>固定收益率基金方面，</w:t>
      </w:r>
      <w:r w:rsidR="008537AE" w:rsidRPr="00C17250">
        <w:rPr>
          <w:rFonts w:ascii="楷体_GB2312" w:eastAsia="楷体_GB2312" w:hAnsi="宋体" w:cs="宋体" w:hint="eastAsia"/>
          <w:color w:val="000000"/>
          <w:kern w:val="0"/>
          <w:szCs w:val="21"/>
        </w:rPr>
        <w:t>央行通过引导货币市场利率下行，逐步降低社会融资成本的政策意图正在逐步实现，在当前通胀形势的配合下，无风险利率下行将对债券市场，尤其是利率债市场带来良好的投资机会。但另一方面，无风险利率的下行并未改变弱经济周期背景下不断抬升的信用风险，信用利差仍有抬升压力。建议投资者短期适当防御，侧重关注重仓中长期</w:t>
      </w:r>
      <w:r w:rsidR="008537AE">
        <w:rPr>
          <w:rFonts w:ascii="楷体_GB2312" w:eastAsia="楷体_GB2312" w:hAnsi="宋体" w:cs="宋体" w:hint="eastAsia"/>
          <w:color w:val="000000"/>
          <w:kern w:val="0"/>
          <w:szCs w:val="21"/>
        </w:rPr>
        <w:t>利率债和高</w:t>
      </w:r>
      <w:r w:rsidR="008537AE" w:rsidRPr="00C17250">
        <w:rPr>
          <w:rFonts w:ascii="楷体_GB2312" w:eastAsia="楷体_GB2312" w:hAnsi="宋体" w:cs="宋体" w:hint="eastAsia"/>
          <w:color w:val="000000"/>
          <w:kern w:val="0"/>
          <w:szCs w:val="21"/>
        </w:rPr>
        <w:t>等级信用债的债券型基金，低配重仓低等级信</w:t>
      </w:r>
      <w:r w:rsidR="008537AE" w:rsidRPr="00C17250">
        <w:rPr>
          <w:rFonts w:ascii="楷体_GB2312" w:eastAsia="楷体_GB2312" w:hAnsi="宋体" w:cs="宋体" w:hint="eastAsia"/>
          <w:color w:val="000000"/>
          <w:kern w:val="0"/>
          <w:szCs w:val="21"/>
        </w:rPr>
        <w:lastRenderedPageBreak/>
        <w:t>用债的债券型基金</w:t>
      </w:r>
      <w:r w:rsidR="006C5A03">
        <w:rPr>
          <w:rFonts w:ascii="楷体_GB2312" w:eastAsia="楷体_GB2312" w:hAnsi="宋体" w:cs="宋体" w:hint="eastAsia"/>
          <w:kern w:val="0"/>
          <w:szCs w:val="21"/>
        </w:rPr>
        <w:t>。</w:t>
      </w:r>
    </w:p>
    <w:p w:rsidR="00EA2BCC" w:rsidRDefault="00CB03D0" w:rsidP="00EA2BCC">
      <w:pPr>
        <w:spacing w:beforeLines="50"/>
        <w:ind w:leftChars="1350" w:left="2835" w:firstLineChars="202" w:firstLine="424"/>
        <w:rPr>
          <w:rFonts w:ascii="楷体_GB2312" w:eastAsia="楷体_GB2312" w:hAnsi="宋体" w:cs="宋体" w:hint="eastAsia"/>
          <w:kern w:val="0"/>
          <w:szCs w:val="21"/>
        </w:rPr>
      </w:pPr>
      <w:r w:rsidRPr="001008C6">
        <w:rPr>
          <w:rFonts w:ascii="楷体_GB2312" w:eastAsia="楷体_GB2312" w:hAnsi="宋体" w:cs="宋体" w:hint="eastAsia"/>
          <w:kern w:val="0"/>
          <w:szCs w:val="21"/>
        </w:rPr>
        <w:t>QDII方面，</w:t>
      </w:r>
      <w:r w:rsidR="00E04E64">
        <w:rPr>
          <w:rFonts w:ascii="楷体_GB2312" w:eastAsia="楷体_GB2312" w:hAnsi="宋体" w:cs="宋体" w:hint="eastAsia"/>
          <w:kern w:val="0"/>
          <w:szCs w:val="21"/>
        </w:rPr>
        <w:t>预计</w:t>
      </w:r>
      <w:r w:rsidR="00AA382B" w:rsidRPr="00C17250">
        <w:rPr>
          <w:rFonts w:ascii="楷体_GB2312" w:eastAsia="楷体_GB2312" w:hAnsi="宋体" w:cs="宋体" w:hint="eastAsia"/>
          <w:color w:val="000000"/>
          <w:kern w:val="0"/>
          <w:szCs w:val="21"/>
        </w:rPr>
        <w:t>欧元区</w:t>
      </w:r>
      <w:r w:rsidR="006958FB">
        <w:rPr>
          <w:rFonts w:ascii="楷体_GB2312" w:eastAsia="楷体_GB2312" w:hAnsi="宋体" w:cs="宋体" w:hint="eastAsia"/>
          <w:color w:val="000000"/>
          <w:kern w:val="0"/>
          <w:szCs w:val="21"/>
        </w:rPr>
        <w:t>市场</w:t>
      </w:r>
      <w:r w:rsidR="00E04E64">
        <w:rPr>
          <w:rFonts w:ascii="楷体_GB2312" w:eastAsia="楷体_GB2312" w:hAnsi="宋体" w:cs="宋体" w:hint="eastAsia"/>
          <w:color w:val="000000"/>
          <w:kern w:val="0"/>
          <w:szCs w:val="21"/>
        </w:rPr>
        <w:t>将</w:t>
      </w:r>
      <w:r w:rsidR="00AA382B">
        <w:rPr>
          <w:rFonts w:ascii="楷体_GB2312" w:eastAsia="楷体_GB2312" w:hAnsi="宋体" w:cs="宋体" w:hint="eastAsia"/>
          <w:color w:val="000000"/>
          <w:kern w:val="0"/>
          <w:szCs w:val="21"/>
        </w:rPr>
        <w:t>受经济疲软影响</w:t>
      </w:r>
      <w:r w:rsidR="00E04E64">
        <w:rPr>
          <w:rFonts w:ascii="楷体_GB2312" w:eastAsia="楷体_GB2312" w:hAnsi="宋体" w:cs="宋体" w:hint="eastAsia"/>
          <w:color w:val="000000"/>
          <w:kern w:val="0"/>
          <w:szCs w:val="21"/>
        </w:rPr>
        <w:t>而出现震荡</w:t>
      </w:r>
      <w:r w:rsidR="00AA382B">
        <w:rPr>
          <w:rFonts w:ascii="楷体_GB2312" w:eastAsia="楷体_GB2312" w:hAnsi="宋体" w:cs="宋体" w:hint="eastAsia"/>
          <w:color w:val="000000"/>
          <w:kern w:val="0"/>
          <w:szCs w:val="21"/>
        </w:rPr>
        <w:t>，</w:t>
      </w:r>
      <w:r w:rsidR="00E04E64">
        <w:rPr>
          <w:rFonts w:ascii="楷体_GB2312" w:eastAsia="楷体_GB2312" w:hAnsi="宋体" w:cs="宋体" w:hint="eastAsia"/>
          <w:color w:val="000000"/>
          <w:kern w:val="0"/>
          <w:szCs w:val="21"/>
        </w:rPr>
        <w:t>但欧央行宽松量化规模或给各国市场带来阶段性投资</w:t>
      </w:r>
      <w:r w:rsidR="00EF0A9A">
        <w:rPr>
          <w:rFonts w:ascii="楷体_GB2312" w:eastAsia="楷体_GB2312" w:hAnsi="宋体" w:cs="宋体" w:hint="eastAsia"/>
          <w:color w:val="000000"/>
          <w:kern w:val="0"/>
          <w:szCs w:val="21"/>
        </w:rPr>
        <w:t>机会</w:t>
      </w:r>
      <w:r w:rsidR="00E04E64">
        <w:rPr>
          <w:rFonts w:ascii="楷体_GB2312" w:eastAsia="楷体_GB2312" w:hAnsi="宋体" w:cs="宋体" w:hint="eastAsia"/>
          <w:color w:val="000000"/>
          <w:kern w:val="0"/>
          <w:szCs w:val="21"/>
        </w:rPr>
        <w:t>。美国经济</w:t>
      </w:r>
      <w:r w:rsidR="00320FC7">
        <w:rPr>
          <w:rFonts w:ascii="楷体_GB2312" w:eastAsia="楷体_GB2312" w:hAnsi="宋体" w:cs="宋体" w:hint="eastAsia"/>
          <w:color w:val="000000"/>
          <w:kern w:val="0"/>
          <w:szCs w:val="21"/>
        </w:rPr>
        <w:t>维持强劲将继续助推美元走强，美国市场或受</w:t>
      </w:r>
      <w:r w:rsidR="00320FC7" w:rsidRPr="00C17250">
        <w:rPr>
          <w:rFonts w:ascii="楷体_GB2312" w:eastAsia="楷体_GB2312" w:hAnsi="宋体" w:cs="宋体" w:hint="eastAsia"/>
          <w:color w:val="000000"/>
          <w:kern w:val="0"/>
          <w:szCs w:val="21"/>
        </w:rPr>
        <w:t>欧元溢出和美元回流</w:t>
      </w:r>
      <w:r w:rsidR="00320FC7">
        <w:rPr>
          <w:rFonts w:ascii="楷体_GB2312" w:eastAsia="楷体_GB2312" w:hAnsi="宋体" w:cs="宋体" w:hint="eastAsia"/>
          <w:color w:val="000000"/>
          <w:kern w:val="0"/>
          <w:szCs w:val="21"/>
        </w:rPr>
        <w:t>而继续攀升。但美元走强将</w:t>
      </w:r>
      <w:r w:rsidR="00320FC7" w:rsidRPr="00C17250">
        <w:rPr>
          <w:rFonts w:ascii="楷体_GB2312" w:eastAsia="楷体_GB2312" w:hAnsi="宋体" w:cs="宋体" w:hint="eastAsia"/>
          <w:color w:val="000000"/>
          <w:kern w:val="0"/>
          <w:szCs w:val="21"/>
        </w:rPr>
        <w:t>持续抑制黄金、基本金属和原油价格走势</w:t>
      </w:r>
      <w:r w:rsidR="00320FC7">
        <w:rPr>
          <w:rFonts w:ascii="楷体_GB2312" w:eastAsia="楷体_GB2312" w:hAnsi="宋体" w:cs="宋体" w:hint="eastAsia"/>
          <w:color w:val="000000"/>
          <w:kern w:val="0"/>
          <w:szCs w:val="21"/>
        </w:rPr>
        <w:t>。</w:t>
      </w:r>
      <w:r w:rsidR="00FF6E52" w:rsidRPr="00C17250">
        <w:rPr>
          <w:rFonts w:ascii="楷体_GB2312" w:eastAsia="楷体_GB2312" w:hAnsi="宋体" w:cs="宋体" w:hint="eastAsia"/>
          <w:color w:val="000000"/>
          <w:kern w:val="0"/>
          <w:szCs w:val="21"/>
        </w:rPr>
        <w:t>新兴市场</w:t>
      </w:r>
      <w:r w:rsidR="00FF6E52">
        <w:rPr>
          <w:rFonts w:ascii="楷体_GB2312" w:eastAsia="楷体_GB2312" w:hAnsi="宋体" w:cs="宋体" w:hint="eastAsia"/>
          <w:color w:val="000000"/>
          <w:kern w:val="0"/>
          <w:szCs w:val="21"/>
        </w:rPr>
        <w:t>或将在复杂的国际环境中</w:t>
      </w:r>
      <w:r w:rsidR="00FF6E52" w:rsidRPr="00C17250">
        <w:rPr>
          <w:rFonts w:ascii="楷体_GB2312" w:eastAsia="楷体_GB2312" w:hAnsi="宋体" w:cs="宋体" w:hint="eastAsia"/>
          <w:color w:val="000000"/>
          <w:kern w:val="0"/>
          <w:szCs w:val="21"/>
        </w:rPr>
        <w:t>加剧震荡和分化</w:t>
      </w:r>
      <w:r w:rsidR="00FF6E52">
        <w:rPr>
          <w:rFonts w:ascii="楷体_GB2312" w:eastAsia="楷体_GB2312" w:hAnsi="宋体" w:cs="宋体" w:hint="eastAsia"/>
          <w:color w:val="000000"/>
          <w:kern w:val="0"/>
          <w:szCs w:val="21"/>
        </w:rPr>
        <w:t>，一些新兴市场或将受累资本流出而出现调整，</w:t>
      </w:r>
      <w:r w:rsidR="00670EA8">
        <w:rPr>
          <w:rFonts w:ascii="楷体_GB2312" w:eastAsia="楷体_GB2312" w:hAnsi="宋体" w:cs="宋体" w:hint="eastAsia"/>
          <w:color w:val="000000"/>
          <w:kern w:val="0"/>
          <w:szCs w:val="21"/>
        </w:rPr>
        <w:t>一些</w:t>
      </w:r>
      <w:r w:rsidR="00FF6E52">
        <w:rPr>
          <w:rFonts w:ascii="楷体_GB2312" w:eastAsia="楷体_GB2312" w:hAnsi="宋体" w:cs="宋体" w:hint="eastAsia"/>
          <w:color w:val="000000"/>
          <w:kern w:val="0"/>
          <w:szCs w:val="21"/>
        </w:rPr>
        <w:t>资源性新兴市场也将受累全球大宗商品价格</w:t>
      </w:r>
      <w:r w:rsidR="00670EA8">
        <w:rPr>
          <w:rFonts w:ascii="楷体_GB2312" w:eastAsia="楷体_GB2312" w:hAnsi="宋体" w:cs="宋体" w:hint="eastAsia"/>
          <w:color w:val="000000"/>
          <w:kern w:val="0"/>
          <w:szCs w:val="21"/>
        </w:rPr>
        <w:t>走势</w:t>
      </w:r>
      <w:r w:rsidR="00FF6E52">
        <w:rPr>
          <w:rFonts w:ascii="楷体_GB2312" w:eastAsia="楷体_GB2312" w:hAnsi="宋体" w:cs="宋体" w:hint="eastAsia"/>
          <w:color w:val="000000"/>
          <w:kern w:val="0"/>
          <w:szCs w:val="21"/>
        </w:rPr>
        <w:t>而表现不佳</w:t>
      </w:r>
      <w:r w:rsidR="00670EA8">
        <w:rPr>
          <w:rFonts w:ascii="楷体_GB2312" w:eastAsia="楷体_GB2312" w:hAnsi="宋体" w:cs="宋体" w:hint="eastAsia"/>
          <w:color w:val="000000"/>
          <w:kern w:val="0"/>
          <w:szCs w:val="21"/>
        </w:rPr>
        <w:t>，但大多数新兴市场有望在逐步复苏的国际贸易中获利</w:t>
      </w:r>
      <w:r w:rsidR="00FF6E52" w:rsidRPr="00C17250">
        <w:rPr>
          <w:rFonts w:ascii="楷体_GB2312" w:eastAsia="楷体_GB2312" w:hAnsi="宋体" w:cs="宋体" w:hint="eastAsia"/>
          <w:color w:val="000000"/>
          <w:kern w:val="0"/>
          <w:szCs w:val="21"/>
        </w:rPr>
        <w:t>。</w:t>
      </w:r>
      <w:r w:rsidR="00EA2BCC">
        <w:rPr>
          <w:rFonts w:ascii="楷体_GB2312" w:eastAsia="楷体_GB2312" w:hAnsi="宋体" w:cs="宋体" w:hint="eastAsia"/>
          <w:color w:val="000000"/>
          <w:kern w:val="0"/>
          <w:szCs w:val="21"/>
        </w:rPr>
        <w:t>建议投资者继续重点关注</w:t>
      </w:r>
      <w:r w:rsidR="00C14395">
        <w:rPr>
          <w:rFonts w:ascii="楷体_GB2312" w:eastAsia="楷体_GB2312" w:hAnsi="宋体" w:cs="宋体" w:hint="eastAsia"/>
          <w:color w:val="000000"/>
          <w:kern w:val="0"/>
          <w:szCs w:val="21"/>
        </w:rPr>
        <w:t>重配</w:t>
      </w:r>
      <w:r w:rsidR="00EA2BCC">
        <w:rPr>
          <w:rFonts w:ascii="楷体_GB2312" w:eastAsia="楷体_GB2312" w:hAnsi="宋体" w:cs="宋体" w:hint="eastAsia"/>
          <w:color w:val="000000"/>
          <w:kern w:val="0"/>
          <w:szCs w:val="21"/>
        </w:rPr>
        <w:t>美国市场</w:t>
      </w:r>
      <w:r w:rsidR="00C14395">
        <w:rPr>
          <w:rFonts w:ascii="楷体_GB2312" w:eastAsia="楷体_GB2312" w:hAnsi="宋体" w:cs="宋体" w:hint="eastAsia"/>
          <w:color w:val="000000"/>
          <w:kern w:val="0"/>
          <w:szCs w:val="21"/>
        </w:rPr>
        <w:t>Q</w:t>
      </w:r>
      <w:r w:rsidR="00C14395" w:rsidRPr="00E40536">
        <w:rPr>
          <w:rFonts w:ascii="楷体_GB2312" w:eastAsia="楷体_GB2312" w:hAnsi="宋体" w:cs="宋体" w:hint="eastAsia"/>
          <w:color w:val="000000"/>
          <w:kern w:val="0"/>
          <w:szCs w:val="21"/>
        </w:rPr>
        <w:t>DII</w:t>
      </w:r>
      <w:r w:rsidR="00EA2BCC" w:rsidRPr="00E40536">
        <w:rPr>
          <w:rFonts w:ascii="楷体_GB2312" w:eastAsia="楷体_GB2312" w:hAnsi="宋体" w:cs="宋体" w:hint="eastAsia"/>
          <w:color w:val="000000"/>
          <w:kern w:val="0"/>
          <w:szCs w:val="21"/>
        </w:rPr>
        <w:t>，积极关注新兴市场的结构性投资机会</w:t>
      </w:r>
      <w:r w:rsidR="00C14395" w:rsidRPr="00E40536">
        <w:rPr>
          <w:rFonts w:ascii="楷体_GB2312" w:eastAsia="楷体_GB2312" w:hAnsi="宋体" w:cs="宋体" w:hint="eastAsia"/>
          <w:color w:val="000000"/>
          <w:kern w:val="0"/>
          <w:szCs w:val="21"/>
        </w:rPr>
        <w:t>，这又选择新兴市场QDII</w:t>
      </w:r>
      <w:r w:rsidR="00EA2BCC" w:rsidRPr="00E40536">
        <w:rPr>
          <w:rFonts w:ascii="楷体_GB2312" w:eastAsia="楷体_GB2312" w:hAnsi="宋体" w:cs="宋体" w:hint="eastAsia"/>
          <w:color w:val="000000"/>
          <w:kern w:val="0"/>
          <w:szCs w:val="21"/>
        </w:rPr>
        <w:t>；另外，高风险偏好投资者可适当参与有望受益全球经济复苏的基本金属类资产</w:t>
      </w:r>
      <w:r w:rsidR="00E40536" w:rsidRPr="00E40536">
        <w:rPr>
          <w:rFonts w:ascii="楷体_GB2312" w:eastAsia="楷体_GB2312" w:hAnsi="宋体" w:cs="宋体" w:hint="eastAsia"/>
          <w:color w:val="000000"/>
          <w:kern w:val="0"/>
          <w:szCs w:val="21"/>
        </w:rPr>
        <w:t>的</w:t>
      </w:r>
      <w:r w:rsidR="00EA2BCC" w:rsidRPr="00E40536">
        <w:rPr>
          <w:rFonts w:ascii="楷体_GB2312" w:eastAsia="楷体_GB2312" w:hAnsi="宋体" w:cs="宋体" w:hint="eastAsia"/>
          <w:color w:val="000000"/>
          <w:kern w:val="0"/>
          <w:szCs w:val="21"/>
        </w:rPr>
        <w:t>投资</w:t>
      </w:r>
      <w:r w:rsidR="00E40536" w:rsidRPr="00E40536">
        <w:rPr>
          <w:rFonts w:ascii="楷体_GB2312" w:eastAsia="楷体_GB2312" w:hAnsi="宋体" w:cs="宋体" w:hint="eastAsia"/>
          <w:color w:val="000000"/>
          <w:kern w:val="0"/>
          <w:szCs w:val="21"/>
        </w:rPr>
        <w:t>机会</w:t>
      </w:r>
      <w:r w:rsidR="00EA2BCC" w:rsidRPr="00E40536">
        <w:rPr>
          <w:rFonts w:ascii="楷体_GB2312" w:eastAsia="楷体_GB2312" w:hAnsi="宋体" w:cs="宋体" w:hint="eastAsia"/>
          <w:color w:val="000000"/>
          <w:kern w:val="0"/>
          <w:szCs w:val="21"/>
        </w:rPr>
        <w:t>。</w:t>
      </w:r>
    </w:p>
    <w:p w:rsidR="001E3B52" w:rsidRPr="005E4592" w:rsidRDefault="004938DD" w:rsidP="00D76736">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E921CB" w:rsidRDefault="001E3B52" w:rsidP="00D76736">
      <w:pPr>
        <w:spacing w:beforeLines="50"/>
        <w:ind w:leftChars="1350" w:left="2835" w:firstLineChars="202" w:firstLine="424"/>
        <w:rPr>
          <w:rFonts w:ascii="楷体_GB2312" w:eastAsia="楷体_GB2312" w:hAnsi="宋体" w:cs="宋体"/>
          <w:kern w:val="0"/>
          <w:szCs w:val="21"/>
        </w:rPr>
      </w:pPr>
      <w:r w:rsidRPr="003A2393">
        <w:rPr>
          <w:rFonts w:ascii="楷体_GB2312" w:eastAsia="楷体_GB2312" w:hAnsi="宋体" w:cs="宋体" w:hint="eastAsia"/>
          <w:kern w:val="0"/>
          <w:szCs w:val="21"/>
        </w:rPr>
        <w:t>具体到组合构建上，我们</w:t>
      </w:r>
      <w:r w:rsidR="003D3829">
        <w:rPr>
          <w:rFonts w:ascii="楷体_GB2312" w:eastAsia="楷体_GB2312" w:hAnsi="宋体" w:cs="宋体" w:hint="eastAsia"/>
          <w:kern w:val="0"/>
          <w:szCs w:val="21"/>
        </w:rPr>
        <w:t>在上文</w:t>
      </w:r>
      <w:r w:rsidRPr="003A2393">
        <w:rPr>
          <w:rFonts w:ascii="楷体_GB2312" w:eastAsia="楷体_GB2312" w:hAnsi="宋体" w:cs="宋体" w:hint="eastAsia"/>
          <w:kern w:val="0"/>
          <w:szCs w:val="21"/>
        </w:rPr>
        <w:t>基金投资策略指引下，充分考虑资产配置、行业结构、投资风格分散化原则，构建投资组合以供投资参考</w:t>
      </w:r>
      <w:r w:rsidR="00CD64C4">
        <w:rPr>
          <w:rFonts w:ascii="楷体_GB2312" w:eastAsia="楷体_GB2312" w:hAnsi="宋体" w:cs="宋体" w:hint="eastAsia"/>
          <w:kern w:val="0"/>
          <w:szCs w:val="21"/>
        </w:rPr>
        <w:t>，本期组合不做调整</w:t>
      </w:r>
      <w:r w:rsidRPr="00E921CB">
        <w:rPr>
          <w:rFonts w:ascii="楷体_GB2312" w:eastAsia="楷体_GB2312" w:hAnsi="宋体" w:cs="宋体" w:hint="eastAsia"/>
          <w:kern w:val="0"/>
          <w:szCs w:val="21"/>
        </w:rPr>
        <w:t>。</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1790"/>
        <w:gridCol w:w="930"/>
        <w:gridCol w:w="731"/>
        <w:gridCol w:w="1790"/>
        <w:gridCol w:w="930"/>
        <w:gridCol w:w="680"/>
        <w:gridCol w:w="1887"/>
        <w:gridCol w:w="833"/>
      </w:tblGrid>
      <w:tr w:rsidR="001E3B52" w:rsidRPr="00E921CB" w:rsidTr="00A422E1">
        <w:trPr>
          <w:trHeight w:val="285"/>
          <w:jc w:val="center"/>
        </w:trPr>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82"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35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A422E1">
        <w:trPr>
          <w:trHeight w:val="285"/>
          <w:jc w:val="center"/>
        </w:trPr>
        <w:tc>
          <w:tcPr>
            <w:tcW w:w="935"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82"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55"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35"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1E3B52" w:rsidRPr="00E921CB" w:rsidTr="00A422E1">
        <w:trPr>
          <w:trHeight w:val="285"/>
          <w:jc w:val="center"/>
        </w:trPr>
        <w:tc>
          <w:tcPr>
            <w:tcW w:w="935" w:type="pct"/>
            <w:tcBorders>
              <w:top w:val="single" w:sz="8" w:space="0" w:color="auto"/>
              <w:left w:val="single" w:sz="4" w:space="0" w:color="auto"/>
              <w:bottom w:val="single" w:sz="4" w:space="0" w:color="auto"/>
              <w:right w:val="single" w:sz="4" w:space="0" w:color="auto"/>
            </w:tcBorders>
            <w:shd w:val="clear" w:color="auto" w:fill="auto"/>
            <w:noWrap/>
            <w:vAlign w:val="bottom"/>
          </w:tcPr>
          <w:p w:rsidR="001E3B52" w:rsidRPr="00D07E97" w:rsidRDefault="00D07E97" w:rsidP="00A422E1">
            <w:pPr>
              <w:jc w:val="center"/>
              <w:rPr>
                <w:sz w:val="18"/>
                <w:szCs w:val="18"/>
              </w:rPr>
            </w:pPr>
            <w:r w:rsidRPr="00D07E97">
              <w:rPr>
                <w:rFonts w:hint="eastAsia"/>
                <w:sz w:val="18"/>
                <w:szCs w:val="18"/>
              </w:rPr>
              <w:t>大摩卓越成长</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C95504" w:rsidP="00A422E1">
            <w:pPr>
              <w:widowControl/>
              <w:jc w:val="center"/>
              <w:rPr>
                <w:rFonts w:ascii="宋体" w:hAnsi="宋体" w:cs="宋体"/>
                <w:kern w:val="0"/>
                <w:sz w:val="18"/>
                <w:szCs w:val="18"/>
              </w:rPr>
            </w:pPr>
            <w:r>
              <w:rPr>
                <w:rFonts w:ascii="宋体" w:hAnsi="宋体" w:cs="宋体" w:hint="eastAsia"/>
                <w:kern w:val="0"/>
                <w:sz w:val="18"/>
                <w:szCs w:val="18"/>
              </w:rPr>
              <w:t>45</w:t>
            </w:r>
            <w:r w:rsidR="001E3B52" w:rsidRPr="00E921CB">
              <w:rPr>
                <w:rFonts w:ascii="宋体" w:hAnsi="宋体" w:cs="宋体" w:hint="eastAsia"/>
                <w:kern w:val="0"/>
                <w:sz w:val="18"/>
                <w:szCs w:val="18"/>
              </w:rPr>
              <w:t>%</w:t>
            </w:r>
          </w:p>
        </w:tc>
        <w:tc>
          <w:tcPr>
            <w:tcW w:w="382" w:type="pct"/>
            <w:vMerge/>
            <w:tcBorders>
              <w:top w:val="single" w:sz="8"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single" w:sz="8" w:space="0" w:color="auto"/>
              <w:left w:val="nil"/>
              <w:bottom w:val="single" w:sz="4" w:space="0" w:color="auto"/>
              <w:right w:val="single" w:sz="4" w:space="0" w:color="auto"/>
            </w:tcBorders>
            <w:shd w:val="clear" w:color="auto" w:fill="auto"/>
            <w:noWrap/>
            <w:vAlign w:val="bottom"/>
          </w:tcPr>
          <w:p w:rsidR="001E3B52" w:rsidRPr="00D07E97" w:rsidRDefault="001E3B52" w:rsidP="00D07E97">
            <w:pPr>
              <w:jc w:val="center"/>
              <w:rPr>
                <w:sz w:val="18"/>
                <w:szCs w:val="18"/>
              </w:rPr>
            </w:pPr>
            <w:r w:rsidRPr="00D07E97">
              <w:rPr>
                <w:rFonts w:hint="eastAsia"/>
                <w:sz w:val="18"/>
                <w:szCs w:val="18"/>
              </w:rPr>
              <w:t>博时标普</w:t>
            </w:r>
            <w:r w:rsidRPr="00D07E97">
              <w:rPr>
                <w:rFonts w:hint="eastAsia"/>
                <w:sz w:val="18"/>
                <w:szCs w:val="18"/>
              </w:rPr>
              <w:t>500</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55" w:type="pct"/>
            <w:vMerge/>
            <w:tcBorders>
              <w:top w:val="single" w:sz="8"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single" w:sz="8" w:space="0" w:color="auto"/>
              <w:left w:val="nil"/>
              <w:bottom w:val="single" w:sz="4" w:space="0" w:color="auto"/>
              <w:right w:val="single" w:sz="4" w:space="0" w:color="auto"/>
            </w:tcBorders>
            <w:shd w:val="clear" w:color="auto" w:fill="auto"/>
            <w:noWrap/>
            <w:vAlign w:val="bottom"/>
          </w:tcPr>
          <w:p w:rsidR="001E3B52" w:rsidRPr="00D07E97" w:rsidRDefault="00564376" w:rsidP="00D07E97">
            <w:pPr>
              <w:jc w:val="center"/>
              <w:rPr>
                <w:sz w:val="18"/>
                <w:szCs w:val="18"/>
              </w:rPr>
            </w:pPr>
            <w:r w:rsidRPr="00D07E97">
              <w:rPr>
                <w:rFonts w:hint="eastAsia"/>
                <w:sz w:val="18"/>
                <w:szCs w:val="18"/>
              </w:rPr>
              <w:t>宝盈收益</w:t>
            </w:r>
          </w:p>
        </w:tc>
        <w:tc>
          <w:tcPr>
            <w:tcW w:w="435"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30%</w:t>
            </w:r>
          </w:p>
        </w:tc>
      </w:tr>
      <w:tr w:rsidR="001E3B52" w:rsidRPr="00E921CB" w:rsidTr="00A422E1">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1E3B52" w:rsidRPr="00D07E97" w:rsidRDefault="001E3B52" w:rsidP="00A422E1">
            <w:pPr>
              <w:jc w:val="center"/>
              <w:rPr>
                <w:sz w:val="18"/>
                <w:szCs w:val="18"/>
              </w:rPr>
            </w:pPr>
            <w:r w:rsidRPr="00E921CB">
              <w:rPr>
                <w:rFonts w:hint="eastAsia"/>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C95504" w:rsidP="00A422E1">
            <w:pPr>
              <w:widowControl/>
              <w:jc w:val="center"/>
              <w:rPr>
                <w:rFonts w:ascii="宋体" w:hAnsi="宋体" w:cs="宋体"/>
                <w:kern w:val="0"/>
                <w:sz w:val="18"/>
                <w:szCs w:val="18"/>
              </w:rPr>
            </w:pPr>
            <w:r>
              <w:rPr>
                <w:rFonts w:ascii="宋体" w:hAnsi="宋体" w:cs="宋体" w:hint="eastAsia"/>
                <w:kern w:val="0"/>
                <w:sz w:val="18"/>
                <w:szCs w:val="18"/>
              </w:rPr>
              <w:t>25</w:t>
            </w:r>
            <w:r w:rsidR="001E3B52" w:rsidRPr="00E921CB">
              <w:rPr>
                <w:rFonts w:ascii="宋体" w:hAnsi="宋体" w:cs="宋体" w:hint="eastAsia"/>
                <w:kern w:val="0"/>
                <w:sz w:val="18"/>
                <w:szCs w:val="18"/>
              </w:rPr>
              <w:t>%</w:t>
            </w:r>
          </w:p>
        </w:tc>
        <w:tc>
          <w:tcPr>
            <w:tcW w:w="382"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1E3B52" w:rsidRPr="00D07E97" w:rsidRDefault="001E3B52" w:rsidP="00D07E97">
            <w:pPr>
              <w:jc w:val="center"/>
              <w:rPr>
                <w:sz w:val="18"/>
                <w:szCs w:val="18"/>
              </w:rPr>
            </w:pPr>
            <w:r w:rsidRPr="00D07E97">
              <w:rPr>
                <w:rFonts w:hint="eastAsia"/>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55"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1E3B52" w:rsidRPr="00D07E97" w:rsidRDefault="001E3B52" w:rsidP="00D07E97">
            <w:pPr>
              <w:jc w:val="center"/>
              <w:rPr>
                <w:sz w:val="18"/>
                <w:szCs w:val="18"/>
              </w:rPr>
            </w:pPr>
            <w:r w:rsidRPr="00D07E97">
              <w:rPr>
                <w:rFonts w:hint="eastAsia"/>
                <w:sz w:val="18"/>
                <w:szCs w:val="18"/>
              </w:rPr>
              <w:t>华夏现金</w:t>
            </w:r>
          </w:p>
        </w:tc>
        <w:tc>
          <w:tcPr>
            <w:tcW w:w="435"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35%</w:t>
            </w:r>
          </w:p>
        </w:tc>
      </w:tr>
      <w:tr w:rsidR="001E3B52" w:rsidRPr="005B5148" w:rsidTr="00A422E1">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1E3B52" w:rsidRPr="00D07E97" w:rsidRDefault="001E3B52" w:rsidP="00A422E1">
            <w:pPr>
              <w:jc w:val="center"/>
              <w:rPr>
                <w:sz w:val="18"/>
                <w:szCs w:val="18"/>
              </w:rPr>
            </w:pPr>
            <w:r w:rsidRPr="00E921CB">
              <w:rPr>
                <w:rFonts w:hint="eastAsia"/>
                <w:sz w:val="18"/>
                <w:szCs w:val="18"/>
              </w:rPr>
              <w:t>国泰纳斯达克</w:t>
            </w:r>
            <w:r w:rsidRPr="00E921CB">
              <w:rPr>
                <w:rFonts w:hint="eastAsia"/>
                <w:sz w:val="18"/>
                <w:szCs w:val="18"/>
              </w:rPr>
              <w:t>100</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30%</w:t>
            </w:r>
          </w:p>
        </w:tc>
        <w:tc>
          <w:tcPr>
            <w:tcW w:w="382"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1E3B52" w:rsidRPr="00D07E97" w:rsidRDefault="00564376" w:rsidP="00D07E97">
            <w:pPr>
              <w:jc w:val="center"/>
              <w:rPr>
                <w:sz w:val="18"/>
                <w:szCs w:val="18"/>
              </w:rPr>
            </w:pPr>
            <w:r w:rsidRPr="00D07E97">
              <w:rPr>
                <w:rFonts w:hint="eastAsia"/>
                <w:sz w:val="18"/>
                <w:szCs w:val="18"/>
              </w:rPr>
              <w:t>宝盈收益</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50%</w:t>
            </w:r>
          </w:p>
        </w:tc>
        <w:tc>
          <w:tcPr>
            <w:tcW w:w="355"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1E3B52" w:rsidRPr="00D07E97" w:rsidRDefault="001E3B52" w:rsidP="00D07E97">
            <w:pPr>
              <w:jc w:val="center"/>
              <w:rPr>
                <w:sz w:val="18"/>
                <w:szCs w:val="18"/>
              </w:rPr>
            </w:pPr>
            <w:r w:rsidRPr="00D07E97">
              <w:rPr>
                <w:rFonts w:hint="eastAsia"/>
                <w:sz w:val="18"/>
                <w:szCs w:val="18"/>
              </w:rPr>
              <w:t>广发货币</w:t>
            </w:r>
          </w:p>
        </w:tc>
        <w:tc>
          <w:tcPr>
            <w:tcW w:w="435" w:type="pct"/>
            <w:tcBorders>
              <w:top w:val="nil"/>
              <w:left w:val="nil"/>
              <w:bottom w:val="single" w:sz="4" w:space="0" w:color="auto"/>
              <w:right w:val="single" w:sz="4" w:space="0" w:color="auto"/>
            </w:tcBorders>
            <w:shd w:val="clear" w:color="auto" w:fill="auto"/>
            <w:noWrap/>
            <w:vAlign w:val="bottom"/>
          </w:tcPr>
          <w:p w:rsidR="001E3B52" w:rsidRPr="005B5148"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756"/>
        <w:gridCol w:w="936"/>
        <w:gridCol w:w="936"/>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050159" w:rsidRPr="002072D1" w:rsidTr="00B56956">
        <w:trPr>
          <w:trHeight w:val="397"/>
          <w:jc w:val="center"/>
        </w:trPr>
        <w:tc>
          <w:tcPr>
            <w:tcW w:w="0" w:type="auto"/>
            <w:shd w:val="clear" w:color="auto" w:fill="auto"/>
            <w:vAlign w:val="center"/>
          </w:tcPr>
          <w:p w:rsidR="00050159" w:rsidRPr="001941AC" w:rsidRDefault="00CC3EA0"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大摩卓越成长</w:t>
            </w:r>
          </w:p>
        </w:tc>
        <w:tc>
          <w:tcPr>
            <w:tcW w:w="0" w:type="auto"/>
            <w:shd w:val="clear" w:color="auto" w:fill="auto"/>
            <w:vAlign w:val="center"/>
          </w:tcPr>
          <w:p w:rsidR="00050159" w:rsidRPr="001941AC" w:rsidRDefault="00CC3EA0"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233007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050159" w:rsidRPr="001941AC" w:rsidRDefault="00E63DE0" w:rsidP="00A422E1">
            <w:pPr>
              <w:keepLines/>
              <w:adjustRightInd w:val="0"/>
              <w:snapToGrid w:val="0"/>
              <w:jc w:val="center"/>
              <w:rPr>
                <w:rFonts w:ascii="楷体_GB2312" w:eastAsia="楷体_GB2312" w:hAnsi="宋体" w:cs="宋体"/>
                <w:color w:val="0D0D0D"/>
                <w:kern w:val="0"/>
                <w:sz w:val="18"/>
                <w:szCs w:val="18"/>
              </w:rPr>
            </w:pPr>
            <w:hyperlink r:id="rId13" w:history="1">
              <w:r w:rsidR="00CC3EA0" w:rsidRPr="00CC3EA0">
                <w:rPr>
                  <w:rFonts w:ascii="楷体_GB2312" w:eastAsia="楷体_GB2312" w:hAnsi="宋体" w:cs="宋体" w:hint="eastAsia"/>
                  <w:color w:val="0D0D0D"/>
                  <w:kern w:val="0"/>
                  <w:sz w:val="18"/>
                  <w:szCs w:val="18"/>
                </w:rPr>
                <w:t>摩根华鑫</w:t>
              </w:r>
            </w:hyperlink>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519069</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56DE0" w:rsidRDefault="00050159" w:rsidP="00050159">
            <w:pPr>
              <w:keepLines/>
              <w:adjustRightInd w:val="0"/>
              <w:snapToGrid w:val="0"/>
              <w:jc w:val="center"/>
              <w:rPr>
                <w:rFonts w:ascii="楷体_GB2312" w:eastAsia="楷体_GB2312" w:hAnsi="宋体" w:cs="宋体"/>
                <w:b/>
                <w:bCs/>
                <w:color w:val="0D0D0D"/>
                <w:kern w:val="0"/>
                <w:sz w:val="18"/>
                <w:szCs w:val="18"/>
              </w:rPr>
            </w:pPr>
            <w:r w:rsidRPr="000E2698">
              <w:rPr>
                <w:rFonts w:ascii="楷体_GB2312" w:eastAsia="楷体_GB2312" w:hAnsi="宋体" w:cs="宋体" w:hint="eastAsia"/>
                <w:b/>
                <w:color w:val="000000" w:themeColor="text1"/>
                <w:kern w:val="0"/>
                <w:szCs w:val="21"/>
              </w:rPr>
              <w:t>国泰纳</w:t>
            </w:r>
            <w:r>
              <w:rPr>
                <w:rFonts w:ascii="楷体_GB2312" w:eastAsia="楷体_GB2312" w:hAnsi="宋体" w:cs="宋体" w:hint="eastAsia"/>
                <w:b/>
                <w:color w:val="000000" w:themeColor="text1"/>
                <w:kern w:val="0"/>
                <w:szCs w:val="21"/>
              </w:rPr>
              <w:t>指</w:t>
            </w:r>
            <w:r w:rsidRPr="000E2698">
              <w:rPr>
                <w:rFonts w:ascii="楷体_GB2312" w:eastAsia="楷体_GB2312" w:hAnsi="宋体" w:cs="宋体" w:hint="eastAsia"/>
                <w:b/>
                <w:color w:val="000000" w:themeColor="text1"/>
                <w:kern w:val="0"/>
                <w:szCs w:val="21"/>
              </w:rPr>
              <w:t>100</w:t>
            </w:r>
          </w:p>
        </w:tc>
        <w:tc>
          <w:tcPr>
            <w:tcW w:w="0" w:type="auto"/>
            <w:shd w:val="clear" w:color="auto" w:fill="auto"/>
            <w:vAlign w:val="center"/>
          </w:tcPr>
          <w:p w:rsidR="00050159" w:rsidRPr="008261FB" w:rsidRDefault="00050159" w:rsidP="00A422E1">
            <w:pPr>
              <w:keepLines/>
              <w:adjustRightInd w:val="0"/>
              <w:snapToGrid w:val="0"/>
              <w:jc w:val="center"/>
              <w:rPr>
                <w:rFonts w:ascii="楷体_GB2312" w:eastAsia="楷体_GB2312" w:hAnsi="宋体" w:cs="宋体"/>
                <w:color w:val="0D0D0D"/>
                <w:kern w:val="0"/>
                <w:sz w:val="18"/>
                <w:szCs w:val="18"/>
              </w:rPr>
            </w:pPr>
            <w:r w:rsidRPr="00050159">
              <w:rPr>
                <w:rFonts w:ascii="楷体_GB2312" w:eastAsia="楷体_GB2312" w:hAnsi="宋体" w:cs="宋体"/>
                <w:color w:val="0D0D0D"/>
                <w:kern w:val="0"/>
                <w:sz w:val="18"/>
                <w:szCs w:val="18"/>
              </w:rPr>
              <w:t>160213</w:t>
            </w:r>
          </w:p>
        </w:tc>
        <w:tc>
          <w:tcPr>
            <w:tcW w:w="0" w:type="auto"/>
            <w:vAlign w:val="center"/>
          </w:tcPr>
          <w:p w:rsidR="00050159"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QDII</w:t>
            </w:r>
          </w:p>
        </w:tc>
        <w:tc>
          <w:tcPr>
            <w:tcW w:w="0" w:type="auto"/>
            <w:vAlign w:val="center"/>
          </w:tcPr>
          <w:p w:rsidR="00050159"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国泰</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0E2698">
              <w:rPr>
                <w:rFonts w:ascii="楷体_GB2312" w:eastAsia="楷体_GB2312" w:hAnsi="宋体" w:cs="宋体" w:hint="eastAsia"/>
                <w:b/>
                <w:color w:val="000000" w:themeColor="text1"/>
                <w:kern w:val="0"/>
                <w:szCs w:val="21"/>
              </w:rPr>
              <w:t>博时标普500</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0</w:t>
            </w:r>
            <w:r w:rsidRPr="00050159">
              <w:rPr>
                <w:rFonts w:ascii="楷体_GB2312" w:eastAsia="楷体_GB2312" w:hAnsi="宋体" w:cs="宋体"/>
                <w:color w:val="0D0D0D"/>
                <w:kern w:val="0"/>
                <w:sz w:val="18"/>
                <w:szCs w:val="18"/>
              </w:rPr>
              <w:t>50025</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QDII</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博时</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宝盈收益</w:t>
            </w:r>
          </w:p>
        </w:tc>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050159" w:rsidRPr="000E2698" w:rsidRDefault="007708D3" w:rsidP="00D76736">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大摩卓越成长</w:t>
      </w:r>
      <w:r w:rsidR="00050159" w:rsidRPr="000E2698">
        <w:rPr>
          <w:rFonts w:ascii="楷体_GB2312" w:eastAsia="楷体_GB2312" w:hAnsi="宋体" w:cs="宋体" w:hint="eastAsia"/>
          <w:b/>
          <w:color w:val="000000" w:themeColor="text1"/>
          <w:kern w:val="0"/>
          <w:szCs w:val="21"/>
        </w:rPr>
        <w:t>：</w:t>
      </w:r>
      <w:r w:rsidR="00A05073" w:rsidRPr="00820607">
        <w:rPr>
          <w:rFonts w:ascii="楷体_GB2312" w:eastAsia="楷体_GB2312" w:hAnsi="宋体" w:cs="宋体" w:hint="eastAsia"/>
          <w:color w:val="000000" w:themeColor="text1"/>
          <w:kern w:val="0"/>
          <w:szCs w:val="21"/>
        </w:rPr>
        <w:t>该基金</w:t>
      </w:r>
      <w:r w:rsidR="00EA5A0A">
        <w:rPr>
          <w:rFonts w:ascii="楷体_GB2312" w:eastAsia="楷体_GB2312" w:hAnsi="宋体" w:cs="宋体" w:hint="eastAsia"/>
          <w:color w:val="000000" w:themeColor="text1"/>
          <w:kern w:val="0"/>
          <w:szCs w:val="21"/>
        </w:rPr>
        <w:t>侧重大中盘成长风格投资</w:t>
      </w:r>
      <w:r w:rsidR="00A05073" w:rsidRPr="00820607">
        <w:rPr>
          <w:rFonts w:ascii="楷体_GB2312" w:eastAsia="楷体_GB2312" w:hAnsi="宋体" w:cs="宋体" w:hint="eastAsia"/>
          <w:color w:val="000000" w:themeColor="text1"/>
          <w:kern w:val="0"/>
          <w:szCs w:val="21"/>
        </w:rPr>
        <w:t>，</w:t>
      </w:r>
      <w:r w:rsidR="00EA5A0A">
        <w:rPr>
          <w:rFonts w:ascii="楷体_GB2312" w:eastAsia="楷体_GB2312" w:hAnsi="宋体" w:cs="宋体" w:hint="eastAsia"/>
          <w:color w:val="000000" w:themeColor="text1"/>
          <w:kern w:val="0"/>
          <w:szCs w:val="21"/>
        </w:rPr>
        <w:t>操作较为积极</w:t>
      </w:r>
      <w:r w:rsidR="00A05073" w:rsidRPr="00820607">
        <w:rPr>
          <w:rFonts w:ascii="楷体_GB2312" w:eastAsia="楷体_GB2312" w:hAnsi="宋体" w:cs="宋体" w:hint="eastAsia"/>
          <w:color w:val="000000" w:themeColor="text1"/>
          <w:kern w:val="0"/>
          <w:szCs w:val="21"/>
        </w:rPr>
        <w:t>，</w:t>
      </w:r>
      <w:r w:rsidR="00EA5A0A">
        <w:rPr>
          <w:rFonts w:ascii="楷体_GB2312" w:eastAsia="楷体_GB2312" w:hAnsi="宋体" w:cs="宋体" w:hint="eastAsia"/>
          <w:color w:val="000000" w:themeColor="text1"/>
          <w:kern w:val="0"/>
          <w:szCs w:val="21"/>
        </w:rPr>
        <w:t>市场触觉灵敏，投资业绩出众，其</w:t>
      </w:r>
      <w:r w:rsidR="00820607">
        <w:rPr>
          <w:rFonts w:ascii="楷体_GB2312" w:eastAsia="楷体_GB2312" w:hAnsi="宋体" w:cs="宋体" w:hint="eastAsia"/>
          <w:color w:val="000000" w:themeColor="text1"/>
          <w:kern w:val="0"/>
          <w:szCs w:val="21"/>
        </w:rPr>
        <w:t>长期业绩优于短期。基金</w:t>
      </w:r>
      <w:r w:rsidR="00A05073" w:rsidRPr="00820607">
        <w:rPr>
          <w:rFonts w:ascii="楷体_GB2312" w:eastAsia="楷体_GB2312" w:hAnsi="宋体" w:cs="宋体" w:hint="eastAsia"/>
          <w:color w:val="000000" w:themeColor="text1"/>
          <w:kern w:val="0"/>
          <w:szCs w:val="21"/>
        </w:rPr>
        <w:t>选股能力</w:t>
      </w:r>
      <w:r w:rsidR="00EA5A0A">
        <w:rPr>
          <w:rFonts w:ascii="楷体_GB2312" w:eastAsia="楷体_GB2312" w:hAnsi="宋体" w:cs="宋体" w:hint="eastAsia"/>
          <w:color w:val="000000" w:themeColor="text1"/>
          <w:kern w:val="0"/>
          <w:szCs w:val="21"/>
        </w:rPr>
        <w:t>尤为</w:t>
      </w:r>
      <w:r w:rsidR="00820607" w:rsidRPr="00820607">
        <w:rPr>
          <w:rFonts w:ascii="楷体_GB2312" w:eastAsia="楷体_GB2312" w:hAnsi="宋体" w:cs="宋体" w:hint="eastAsia"/>
          <w:color w:val="000000" w:themeColor="text1"/>
          <w:kern w:val="0"/>
          <w:szCs w:val="21"/>
        </w:rPr>
        <w:t>出色</w:t>
      </w:r>
      <w:r w:rsidR="00A05073" w:rsidRPr="00820607">
        <w:rPr>
          <w:rFonts w:ascii="楷体_GB2312" w:eastAsia="楷体_GB2312" w:hAnsi="宋体" w:cs="宋体" w:hint="eastAsia"/>
          <w:color w:val="000000" w:themeColor="text1"/>
          <w:kern w:val="0"/>
          <w:szCs w:val="21"/>
        </w:rPr>
        <w:t>，</w:t>
      </w:r>
      <w:r w:rsidR="00820607">
        <w:rPr>
          <w:rFonts w:ascii="楷体_GB2312" w:eastAsia="楷体_GB2312" w:hAnsi="宋体" w:cs="宋体" w:hint="eastAsia"/>
          <w:color w:val="000000" w:themeColor="text1"/>
          <w:kern w:val="0"/>
          <w:szCs w:val="21"/>
        </w:rPr>
        <w:t>在当前市场中有望赢得优势</w:t>
      </w:r>
      <w:r w:rsidR="00050159" w:rsidRPr="000E2698">
        <w:rPr>
          <w:rFonts w:ascii="楷体_GB2312" w:eastAsia="楷体_GB2312" w:hAnsi="宋体" w:cs="宋体" w:hint="eastAsia"/>
          <w:color w:val="000000" w:themeColor="text1"/>
          <w:kern w:val="0"/>
          <w:szCs w:val="21"/>
        </w:rPr>
        <w:t>。</w:t>
      </w:r>
    </w:p>
    <w:p w:rsidR="00050159" w:rsidRPr="000E2698" w:rsidRDefault="00050159" w:rsidP="00D76736">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050159" w:rsidRPr="000E2698" w:rsidRDefault="00050159" w:rsidP="00D76736">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lastRenderedPageBreak/>
        <w:t>国泰纳斯达克100：</w:t>
      </w:r>
      <w:r w:rsidRPr="000E2698">
        <w:rPr>
          <w:rFonts w:ascii="楷体_GB2312" w:eastAsia="楷体_GB2312" w:hAnsi="宋体" w:cs="宋体" w:hint="eastAsia"/>
          <w:color w:val="000000" w:themeColor="text1"/>
          <w:kern w:val="0"/>
          <w:szCs w:val="21"/>
        </w:rPr>
        <w:t>该基金紧密跟踪美国纳斯达克100指数，该指数均具有高科技、高成长和非金融的特点，成分股包括苹果、微软等世界知名科技公司，可以说是美国科技股的代表。</w:t>
      </w:r>
    </w:p>
    <w:p w:rsidR="00050159" w:rsidRPr="000E2698" w:rsidRDefault="00050159" w:rsidP="00D76736">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博时标普500：</w:t>
      </w:r>
      <w:r w:rsidRPr="000E2698">
        <w:rPr>
          <w:rFonts w:ascii="楷体_GB2312" w:eastAsia="楷体_GB2312" w:hAnsi="宋体" w:cs="宋体" w:hint="eastAsia"/>
          <w:color w:val="000000" w:themeColor="text1"/>
          <w:kern w:val="0"/>
          <w:szCs w:val="21"/>
        </w:rPr>
        <w:t>该基金紧密跟踪美国标普500指数，是跟踪标普美国市场宽基指数中规模最大的一只基金。</w:t>
      </w:r>
      <w:r w:rsidR="005C7781">
        <w:rPr>
          <w:rFonts w:ascii="楷体_GB2312" w:eastAsia="楷体_GB2312" w:hAnsi="宋体" w:cs="宋体" w:hint="eastAsia"/>
          <w:color w:val="000000" w:themeColor="text1"/>
          <w:kern w:val="0"/>
          <w:szCs w:val="21"/>
        </w:rPr>
        <w:t>标的指数</w:t>
      </w:r>
      <w:r w:rsidRPr="000E2698">
        <w:rPr>
          <w:rFonts w:ascii="楷体_GB2312" w:eastAsia="楷体_GB2312" w:hAnsi="宋体" w:cs="宋体"/>
          <w:color w:val="000000" w:themeColor="text1"/>
          <w:kern w:val="0"/>
          <w:szCs w:val="21"/>
        </w:rPr>
        <w:t>成份股覆盖美国经济中主要行业的500家代表性公司，被广泛用来代表美国股票市场的发展动态，是全球资本市场上</w:t>
      </w:r>
      <w:r w:rsidRPr="000E2698">
        <w:rPr>
          <w:rFonts w:ascii="楷体_GB2312" w:eastAsia="楷体_GB2312" w:hAnsi="宋体" w:cs="宋体" w:hint="eastAsia"/>
          <w:color w:val="000000" w:themeColor="text1"/>
          <w:kern w:val="0"/>
          <w:szCs w:val="21"/>
        </w:rPr>
        <w:t>最</w:t>
      </w:r>
      <w:r w:rsidRPr="000E2698">
        <w:rPr>
          <w:rFonts w:ascii="楷体_GB2312" w:eastAsia="楷体_GB2312" w:hAnsi="宋体" w:cs="宋体"/>
          <w:color w:val="000000" w:themeColor="text1"/>
          <w:kern w:val="0"/>
          <w:szCs w:val="21"/>
        </w:rPr>
        <w:t>为知名的股票指数</w:t>
      </w:r>
      <w:r w:rsidRPr="000E2698">
        <w:rPr>
          <w:rFonts w:ascii="楷体_GB2312" w:eastAsia="楷体_GB2312" w:hAnsi="宋体" w:cs="宋体" w:hint="eastAsia"/>
          <w:color w:val="000000" w:themeColor="text1"/>
          <w:kern w:val="0"/>
          <w:szCs w:val="21"/>
        </w:rPr>
        <w:t>之一。</w:t>
      </w:r>
    </w:p>
    <w:p w:rsidR="00A46E4C" w:rsidRPr="00A46E4C" w:rsidRDefault="00962461" w:rsidP="00D76736">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宝盈收益</w:t>
      </w:r>
      <w:r w:rsidR="00050159"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w:t>
      </w:r>
      <w:r w:rsidR="00A46E4C">
        <w:rPr>
          <w:rFonts w:ascii="楷体_GB2312" w:eastAsia="楷体_GB2312" w:hAnsi="宋体" w:cs="宋体" w:hint="eastAsia"/>
          <w:color w:val="000000" w:themeColor="text1"/>
          <w:kern w:val="0"/>
          <w:szCs w:val="21"/>
        </w:rPr>
        <w:t>定位二级债基，但在超过5年的运作历史中体现出相对谨慎的投资风格，其风险管理水平较高，长期业绩出众，基金经理稳定，其良好获益能力有望得以</w:t>
      </w:r>
      <w:r w:rsidR="00F93E44">
        <w:rPr>
          <w:rFonts w:ascii="楷体_GB2312" w:eastAsia="楷体_GB2312" w:hAnsi="宋体" w:cs="宋体" w:hint="eastAsia"/>
          <w:color w:val="000000" w:themeColor="text1"/>
          <w:kern w:val="0"/>
          <w:szCs w:val="21"/>
        </w:rPr>
        <w:t>延续</w:t>
      </w:r>
      <w:r w:rsidR="00A46E4C">
        <w:rPr>
          <w:rFonts w:ascii="楷体_GB2312" w:eastAsia="楷体_GB2312" w:hAnsi="宋体" w:cs="宋体" w:hint="eastAsia"/>
          <w:color w:val="000000" w:themeColor="text1"/>
          <w:kern w:val="0"/>
          <w:szCs w:val="21"/>
        </w:rPr>
        <w:t>。</w:t>
      </w:r>
    </w:p>
    <w:p w:rsidR="00050159" w:rsidRPr="000E2698" w:rsidRDefault="00050159" w:rsidP="00D76736">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基金设立于04年4月，</w:t>
      </w:r>
      <w:r w:rsidR="004474F8" w:rsidRPr="004474F8">
        <w:rPr>
          <w:rFonts w:ascii="楷体_GB2312" w:eastAsia="楷体_GB2312" w:hAnsi="宋体" w:cs="宋体" w:hint="eastAsia"/>
          <w:color w:val="000000" w:themeColor="text1"/>
          <w:kern w:val="0"/>
          <w:szCs w:val="21"/>
        </w:rPr>
        <w:t>截至2014年二季度末基金A\E份额合计878亿份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，属于市场中规模最大的货币市场基金之一，流动性较好，历史管理业绩优秀。基金经理曲波管理该基金超过三年，经验丰富。</w:t>
      </w:r>
    </w:p>
    <w:p w:rsidR="00050159" w:rsidRPr="000E2698" w:rsidRDefault="00050159" w:rsidP="00D76736">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683602">
        <w:rPr>
          <w:rFonts w:ascii="楷体_GB2312" w:eastAsia="楷体_GB2312" w:hAnsi="宋体" w:cs="宋体" w:hint="eastAsia"/>
          <w:color w:val="000000" w:themeColor="text1"/>
          <w:kern w:val="0"/>
          <w:szCs w:val="21"/>
        </w:rPr>
        <w:t>二</w:t>
      </w:r>
      <w:r w:rsidR="00D74301">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4474F8" w:rsidRPr="004474F8">
        <w:rPr>
          <w:rFonts w:ascii="楷体_GB2312" w:eastAsia="楷体_GB2312" w:hAnsi="宋体" w:cs="宋体" w:hint="eastAsia"/>
          <w:color w:val="000000" w:themeColor="text1"/>
          <w:kern w:val="0"/>
          <w:szCs w:val="21"/>
        </w:rPr>
        <w:t>330亿份</w:t>
      </w:r>
      <w:r w:rsidR="006A523F">
        <w:rPr>
          <w:rFonts w:ascii="楷体_GB2312" w:eastAsia="楷体_GB2312" w:hAnsi="宋体" w:cs="宋体" w:hint="eastAsia"/>
          <w:color w:val="000000" w:themeColor="text1"/>
          <w:kern w:val="0"/>
          <w:szCs w:val="21"/>
        </w:rPr>
        <w:t>，</w:t>
      </w:r>
      <w:r w:rsidRPr="000E2698">
        <w:rPr>
          <w:rFonts w:ascii="楷体_GB2312" w:eastAsia="楷体_GB2312" w:hAnsi="宋体" w:cs="宋体" w:hint="eastAsia"/>
          <w:color w:val="000000" w:themeColor="text1"/>
          <w:kern w:val="0"/>
          <w:szCs w:val="21"/>
        </w:rPr>
        <w:t>流动性较好，历史管理业绩优秀，已连续三年超过一年定期存款和同期货币市场基金平均收益。</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D76736">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0D394E">
        <w:rPr>
          <w:rFonts w:ascii="黑体" w:eastAsia="黑体" w:hAnsi="宋体-18030" w:cs="宋体-18030" w:hint="eastAsia"/>
          <w:b/>
          <w:bCs/>
          <w:color w:val="003366"/>
          <w:kern w:val="44"/>
          <w:sz w:val="24"/>
        </w:rPr>
        <w:t>市场</w:t>
      </w:r>
      <w:r w:rsidR="00FB5967">
        <w:rPr>
          <w:rFonts w:ascii="黑体" w:eastAsia="黑体" w:hAnsi="宋体-18030" w:cs="宋体-18030" w:hint="eastAsia"/>
          <w:b/>
          <w:bCs/>
          <w:color w:val="003366"/>
          <w:kern w:val="44"/>
          <w:sz w:val="24"/>
        </w:rPr>
        <w:t>强劲攀升</w:t>
      </w:r>
      <w:r w:rsidR="000D394E">
        <w:rPr>
          <w:rFonts w:ascii="黑体" w:eastAsia="黑体" w:hAnsi="宋体-18030" w:cs="宋体-18030" w:hint="eastAsia"/>
          <w:b/>
          <w:bCs/>
          <w:color w:val="003366"/>
          <w:kern w:val="44"/>
          <w:sz w:val="24"/>
        </w:rPr>
        <w:t>，</w:t>
      </w:r>
      <w:r w:rsidR="00633214">
        <w:rPr>
          <w:rFonts w:ascii="黑体" w:eastAsia="黑体" w:hAnsi="宋体-18030" w:cs="宋体-18030" w:hint="eastAsia"/>
          <w:b/>
          <w:bCs/>
          <w:color w:val="003366"/>
          <w:kern w:val="44"/>
          <w:sz w:val="24"/>
        </w:rPr>
        <w:t>防御性</w:t>
      </w:r>
      <w:r w:rsidR="000D394E">
        <w:rPr>
          <w:rFonts w:ascii="黑体" w:eastAsia="黑体" w:hAnsi="宋体-18030" w:cs="宋体-18030" w:hint="eastAsia"/>
          <w:b/>
          <w:bCs/>
          <w:color w:val="003366"/>
          <w:kern w:val="44"/>
          <w:sz w:val="24"/>
        </w:rPr>
        <w:t>板块</w:t>
      </w:r>
      <w:r w:rsidR="00FB5967">
        <w:rPr>
          <w:rFonts w:ascii="黑体" w:eastAsia="黑体" w:hAnsi="宋体-18030" w:cs="宋体-18030" w:hint="eastAsia"/>
          <w:b/>
          <w:bCs/>
          <w:color w:val="003366"/>
          <w:kern w:val="44"/>
          <w:sz w:val="24"/>
        </w:rPr>
        <w:t>表现领先</w:t>
      </w:r>
    </w:p>
    <w:p w:rsidR="00485587" w:rsidRPr="003A2393" w:rsidRDefault="00D76736" w:rsidP="008D354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9</w:t>
      </w:r>
      <w:r w:rsidR="005C4BA9" w:rsidRPr="003A2393">
        <w:rPr>
          <w:rFonts w:ascii="楷体_GB2312" w:eastAsia="楷体_GB2312" w:hAnsi="宋体" w:cs="宋体" w:hint="eastAsia"/>
          <w:kern w:val="0"/>
          <w:szCs w:val="21"/>
        </w:rPr>
        <w:t>月</w:t>
      </w:r>
      <w:r w:rsidR="00C070D1">
        <w:rPr>
          <w:rFonts w:ascii="楷体_GB2312" w:eastAsia="楷体_GB2312" w:hAnsi="宋体" w:cs="宋体" w:hint="eastAsia"/>
          <w:kern w:val="0"/>
          <w:szCs w:val="21"/>
        </w:rPr>
        <w:t>市场</w:t>
      </w:r>
      <w:r w:rsidR="000150D4">
        <w:rPr>
          <w:rFonts w:ascii="楷体_GB2312" w:eastAsia="楷体_GB2312" w:hAnsi="宋体" w:cs="宋体" w:hint="eastAsia"/>
          <w:kern w:val="0"/>
          <w:szCs w:val="21"/>
        </w:rPr>
        <w:t>再度强劲攀升</w:t>
      </w:r>
      <w:r w:rsidR="00F34100">
        <w:rPr>
          <w:rFonts w:ascii="楷体_GB2312" w:eastAsia="楷体_GB2312" w:hAnsi="宋体" w:cs="宋体" w:hint="eastAsia"/>
          <w:kern w:val="0"/>
          <w:szCs w:val="21"/>
        </w:rPr>
        <w:t>，</w:t>
      </w:r>
      <w:r w:rsidR="000150D4">
        <w:rPr>
          <w:rFonts w:ascii="楷体_GB2312" w:eastAsia="楷体_GB2312" w:hAnsi="宋体" w:cs="宋体" w:hint="eastAsia"/>
          <w:kern w:val="0"/>
          <w:szCs w:val="21"/>
        </w:rPr>
        <w:t>整体市场呈现普涨格局，</w:t>
      </w:r>
      <w:r w:rsidR="00485587">
        <w:rPr>
          <w:rFonts w:ascii="楷体_GB2312" w:eastAsia="楷体_GB2312" w:hAnsi="宋体" w:cs="宋体" w:hint="eastAsia"/>
          <w:kern w:val="0"/>
          <w:szCs w:val="21"/>
        </w:rPr>
        <w:t>全月</w:t>
      </w:r>
      <w:r w:rsidR="00485587" w:rsidRPr="003A2393">
        <w:rPr>
          <w:rFonts w:ascii="楷体_GB2312" w:eastAsia="楷体_GB2312" w:hAnsi="宋体" w:cs="宋体" w:hint="eastAsia"/>
          <w:kern w:val="0"/>
          <w:szCs w:val="21"/>
        </w:rPr>
        <w:t>上证指数</w:t>
      </w:r>
      <w:r w:rsidR="00485587">
        <w:rPr>
          <w:rFonts w:ascii="楷体_GB2312" w:eastAsia="楷体_GB2312" w:hAnsi="宋体" w:cs="宋体" w:hint="eastAsia"/>
          <w:kern w:val="0"/>
          <w:szCs w:val="21"/>
        </w:rPr>
        <w:t>上涨</w:t>
      </w:r>
      <w:r w:rsidR="008D3543" w:rsidRPr="008D3543">
        <w:rPr>
          <w:rFonts w:ascii="楷体_GB2312" w:eastAsia="楷体_GB2312" w:hAnsi="宋体" w:cs="宋体"/>
          <w:kern w:val="0"/>
          <w:szCs w:val="21"/>
        </w:rPr>
        <w:t>6.62</w:t>
      </w:r>
      <w:r w:rsidR="00485587" w:rsidRPr="003A2393">
        <w:rPr>
          <w:rFonts w:ascii="楷体_GB2312" w:eastAsia="楷体_GB2312" w:hAnsi="宋体" w:cs="宋体" w:hint="eastAsia"/>
          <w:kern w:val="0"/>
          <w:szCs w:val="21"/>
        </w:rPr>
        <w:t>%</w:t>
      </w:r>
      <w:r w:rsidR="00485587">
        <w:rPr>
          <w:rFonts w:ascii="楷体_GB2312" w:eastAsia="楷体_GB2312" w:hAnsi="宋体" w:cs="宋体" w:hint="eastAsia"/>
          <w:kern w:val="0"/>
          <w:szCs w:val="21"/>
        </w:rPr>
        <w:t>，</w:t>
      </w:r>
      <w:r w:rsidR="008D3543">
        <w:rPr>
          <w:rFonts w:ascii="楷体_GB2312" w:eastAsia="楷体_GB2312" w:hAnsi="宋体" w:cs="宋体" w:hint="eastAsia"/>
          <w:kern w:val="0"/>
          <w:szCs w:val="21"/>
        </w:rPr>
        <w:t>涨幅在过去12个月中排名第二</w:t>
      </w:r>
      <w:r w:rsidR="00485587">
        <w:rPr>
          <w:rFonts w:ascii="楷体_GB2312" w:eastAsia="楷体_GB2312" w:hAnsi="宋体" w:cs="宋体" w:hint="eastAsia"/>
          <w:kern w:val="0"/>
          <w:szCs w:val="21"/>
        </w:rPr>
        <w:t>。同期深圳综指上涨</w:t>
      </w:r>
      <w:r w:rsidR="008D3543" w:rsidRPr="008D3543">
        <w:rPr>
          <w:rFonts w:ascii="楷体_GB2312" w:eastAsia="楷体_GB2312" w:hAnsi="宋体" w:cs="宋体"/>
          <w:kern w:val="0"/>
          <w:szCs w:val="21"/>
        </w:rPr>
        <w:t>10.00</w:t>
      </w:r>
      <w:r w:rsidR="00485587" w:rsidRPr="003A2393">
        <w:rPr>
          <w:rFonts w:ascii="楷体_GB2312" w:eastAsia="楷体_GB2312" w:hAnsi="宋体" w:cs="宋体" w:hint="eastAsia"/>
          <w:kern w:val="0"/>
          <w:szCs w:val="21"/>
        </w:rPr>
        <w:t>%</w:t>
      </w:r>
      <w:r w:rsidR="00485587">
        <w:rPr>
          <w:rFonts w:ascii="楷体_GB2312" w:eastAsia="楷体_GB2312" w:hAnsi="宋体" w:cs="宋体" w:hint="eastAsia"/>
          <w:kern w:val="0"/>
          <w:szCs w:val="21"/>
        </w:rPr>
        <w:t>，</w:t>
      </w:r>
      <w:r w:rsidR="008D3543">
        <w:rPr>
          <w:rFonts w:ascii="楷体_GB2312" w:eastAsia="楷体_GB2312" w:hAnsi="宋体" w:cs="宋体" w:hint="eastAsia"/>
          <w:kern w:val="0"/>
          <w:szCs w:val="21"/>
        </w:rPr>
        <w:t>创过去12个月最高涨幅</w:t>
      </w:r>
      <w:r w:rsidR="00485587" w:rsidRPr="003A2393">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6A2497" w:rsidRPr="00051DF8" w:rsidTr="001279AB">
        <w:tc>
          <w:tcPr>
            <w:tcW w:w="4962"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819"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D76736">
        <w:tc>
          <w:tcPr>
            <w:tcW w:w="4820" w:type="dxa"/>
            <w:tcBorders>
              <w:top w:val="single" w:sz="4" w:space="0" w:color="FF0000"/>
              <w:bottom w:val="single" w:sz="4" w:space="0" w:color="FF0000"/>
            </w:tcBorders>
          </w:tcPr>
          <w:p w:rsidR="006A2497" w:rsidRPr="00B22D95" w:rsidRDefault="00D76736"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213042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24175" cy="2130425"/>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6A2497" w:rsidRPr="00B22D95" w:rsidRDefault="00D76736" w:rsidP="001279AB">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8186" cy="2104846"/>
                  <wp:effectExtent l="19050" t="0" r="1714"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010535" cy="2106490"/>
                          </a:xfrm>
                          <a:prstGeom prst="rect">
                            <a:avLst/>
                          </a:prstGeom>
                          <a:noFill/>
                          <a:ln w="9525">
                            <a:noFill/>
                            <a:miter lim="800000"/>
                            <a:headEnd/>
                            <a:tailEnd/>
                          </a:ln>
                        </pic:spPr>
                      </pic:pic>
                    </a:graphicData>
                  </a:graphic>
                </wp:inline>
              </w:drawing>
            </w:r>
          </w:p>
        </w:tc>
      </w:tr>
    </w:tbl>
    <w:p w:rsidR="005578EC" w:rsidRPr="00156066"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2170E9" w:rsidRDefault="004F5E52" w:rsidP="008D7733">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前期</w:t>
      </w:r>
      <w:r w:rsidR="00DD3AAE">
        <w:rPr>
          <w:rFonts w:ascii="楷体_GB2312" w:eastAsia="楷体_GB2312" w:hAnsi="宋体" w:cs="宋体" w:hint="eastAsia"/>
          <w:kern w:val="0"/>
          <w:szCs w:val="21"/>
        </w:rPr>
        <w:t>休整为</w:t>
      </w:r>
      <w:r>
        <w:rPr>
          <w:rFonts w:ascii="楷体_GB2312" w:eastAsia="楷体_GB2312" w:hAnsi="宋体" w:cs="宋体" w:hint="eastAsia"/>
          <w:kern w:val="0"/>
          <w:szCs w:val="21"/>
        </w:rPr>
        <w:t>9月</w:t>
      </w:r>
      <w:r w:rsidR="00DD3AAE">
        <w:rPr>
          <w:rFonts w:ascii="楷体_GB2312" w:eastAsia="楷体_GB2312" w:hAnsi="宋体" w:cs="宋体" w:hint="eastAsia"/>
          <w:kern w:val="0"/>
          <w:szCs w:val="21"/>
        </w:rPr>
        <w:t>市场增添新的上涨动力，以</w:t>
      </w:r>
      <w:r w:rsidR="00DD3AAE" w:rsidRPr="00DD3AAE">
        <w:rPr>
          <w:rFonts w:ascii="楷体_GB2312" w:eastAsia="楷体_GB2312" w:hAnsi="宋体" w:cs="宋体" w:hint="eastAsia"/>
          <w:kern w:val="0"/>
          <w:szCs w:val="21"/>
        </w:rPr>
        <w:t>农林牧渔</w:t>
      </w:r>
      <w:r w:rsidR="00DD3AAE">
        <w:rPr>
          <w:rFonts w:ascii="楷体_GB2312" w:eastAsia="楷体_GB2312" w:hAnsi="宋体" w:cs="宋体" w:hint="eastAsia"/>
          <w:kern w:val="0"/>
          <w:szCs w:val="21"/>
        </w:rPr>
        <w:t>、</w:t>
      </w:r>
      <w:r w:rsidR="00DD3AAE" w:rsidRPr="00DD3AAE">
        <w:rPr>
          <w:rFonts w:ascii="楷体_GB2312" w:eastAsia="楷体_GB2312" w:hAnsi="宋体" w:cs="宋体" w:hint="eastAsia"/>
          <w:kern w:val="0"/>
          <w:szCs w:val="21"/>
        </w:rPr>
        <w:t>信息技术</w:t>
      </w:r>
      <w:r w:rsidR="00DD3AAE">
        <w:rPr>
          <w:rFonts w:ascii="楷体_GB2312" w:eastAsia="楷体_GB2312" w:hAnsi="宋体" w:cs="宋体" w:hint="eastAsia"/>
          <w:kern w:val="0"/>
          <w:szCs w:val="21"/>
        </w:rPr>
        <w:t>、</w:t>
      </w:r>
      <w:r w:rsidR="00DD3AAE" w:rsidRPr="00DD3AAE">
        <w:rPr>
          <w:rFonts w:ascii="楷体_GB2312" w:eastAsia="楷体_GB2312" w:hAnsi="宋体" w:cs="宋体" w:hint="eastAsia"/>
          <w:kern w:val="0"/>
          <w:szCs w:val="21"/>
        </w:rPr>
        <w:t>交运仓储</w:t>
      </w:r>
      <w:r w:rsidR="00DD3AAE">
        <w:rPr>
          <w:rFonts w:ascii="楷体_GB2312" w:eastAsia="楷体_GB2312" w:hAnsi="宋体" w:cs="宋体" w:hint="eastAsia"/>
          <w:kern w:val="0"/>
          <w:szCs w:val="21"/>
        </w:rPr>
        <w:t>、</w:t>
      </w:r>
      <w:r w:rsidR="00DD3AAE" w:rsidRPr="00DD3AAE">
        <w:rPr>
          <w:rFonts w:ascii="楷体_GB2312" w:eastAsia="楷体_GB2312" w:hAnsi="宋体" w:cs="宋体" w:hint="eastAsia"/>
          <w:kern w:val="0"/>
          <w:szCs w:val="21"/>
        </w:rPr>
        <w:t>纺织服装</w:t>
      </w:r>
      <w:r w:rsidR="00DD3AAE">
        <w:rPr>
          <w:rFonts w:ascii="楷体_GB2312" w:eastAsia="楷体_GB2312" w:hAnsi="宋体" w:cs="宋体" w:hint="eastAsia"/>
          <w:kern w:val="0"/>
          <w:szCs w:val="21"/>
        </w:rPr>
        <w:t>、</w:t>
      </w:r>
      <w:r w:rsidR="00DD3AAE" w:rsidRPr="00DD3AAE">
        <w:rPr>
          <w:rFonts w:ascii="楷体_GB2312" w:eastAsia="楷体_GB2312" w:hAnsi="宋体" w:cs="宋体" w:hint="eastAsia"/>
          <w:kern w:val="0"/>
          <w:szCs w:val="21"/>
        </w:rPr>
        <w:t>公用事业</w:t>
      </w:r>
      <w:r w:rsidR="008D7733">
        <w:rPr>
          <w:rFonts w:ascii="楷体_GB2312" w:eastAsia="楷体_GB2312" w:hAnsi="宋体" w:cs="宋体" w:hint="eastAsia"/>
          <w:kern w:val="0"/>
          <w:szCs w:val="21"/>
        </w:rPr>
        <w:t>为首的防御性板块强劲涨幅，单月涨幅分别高达</w:t>
      </w:r>
      <w:r w:rsidR="008D7733" w:rsidRPr="008D7733">
        <w:rPr>
          <w:rFonts w:ascii="楷体_GB2312" w:eastAsia="楷体_GB2312" w:hAnsi="宋体" w:cs="宋体"/>
          <w:kern w:val="0"/>
          <w:szCs w:val="21"/>
        </w:rPr>
        <w:t>20.10</w:t>
      </w:r>
      <w:r w:rsidR="008D7733">
        <w:rPr>
          <w:rFonts w:ascii="楷体_GB2312" w:eastAsia="楷体_GB2312" w:hAnsi="宋体" w:cs="宋体" w:hint="eastAsia"/>
          <w:kern w:val="0"/>
          <w:szCs w:val="21"/>
        </w:rPr>
        <w:t>%、</w:t>
      </w:r>
      <w:r w:rsidR="008D7733" w:rsidRPr="008D7733">
        <w:rPr>
          <w:rFonts w:ascii="楷体_GB2312" w:eastAsia="楷体_GB2312" w:hAnsi="宋体" w:cs="宋体"/>
          <w:kern w:val="0"/>
          <w:szCs w:val="21"/>
        </w:rPr>
        <w:t>16.49</w:t>
      </w:r>
      <w:r w:rsidR="008D7733">
        <w:rPr>
          <w:rFonts w:ascii="楷体_GB2312" w:eastAsia="楷体_GB2312" w:hAnsi="宋体" w:cs="宋体" w:hint="eastAsia"/>
          <w:kern w:val="0"/>
          <w:szCs w:val="21"/>
        </w:rPr>
        <w:t>%、</w:t>
      </w:r>
      <w:r w:rsidR="008D7733" w:rsidRPr="008D7733">
        <w:rPr>
          <w:rFonts w:ascii="楷体_GB2312" w:eastAsia="楷体_GB2312" w:hAnsi="宋体" w:cs="宋体"/>
          <w:kern w:val="0"/>
          <w:szCs w:val="21"/>
        </w:rPr>
        <w:t>15.44</w:t>
      </w:r>
      <w:r w:rsidR="008D7733">
        <w:rPr>
          <w:rFonts w:ascii="楷体_GB2312" w:eastAsia="楷体_GB2312" w:hAnsi="宋体" w:cs="宋体" w:hint="eastAsia"/>
          <w:kern w:val="0"/>
          <w:szCs w:val="21"/>
        </w:rPr>
        <w:t>%、</w:t>
      </w:r>
      <w:r w:rsidR="008D7733" w:rsidRPr="008D7733">
        <w:rPr>
          <w:rFonts w:ascii="楷体_GB2312" w:eastAsia="楷体_GB2312" w:hAnsi="宋体" w:cs="宋体"/>
          <w:kern w:val="0"/>
          <w:szCs w:val="21"/>
        </w:rPr>
        <w:t>14.35</w:t>
      </w:r>
      <w:r w:rsidR="008D7733">
        <w:rPr>
          <w:rFonts w:ascii="楷体_GB2312" w:eastAsia="楷体_GB2312" w:hAnsi="宋体" w:cs="宋体" w:hint="eastAsia"/>
          <w:kern w:val="0"/>
          <w:szCs w:val="21"/>
        </w:rPr>
        <w:t>%、</w:t>
      </w:r>
      <w:r w:rsidR="008D7733" w:rsidRPr="008D7733">
        <w:rPr>
          <w:rFonts w:ascii="楷体_GB2312" w:eastAsia="楷体_GB2312" w:hAnsi="宋体" w:cs="宋体"/>
          <w:kern w:val="0"/>
          <w:szCs w:val="21"/>
        </w:rPr>
        <w:t>14.27</w:t>
      </w:r>
      <w:r w:rsidR="008D7733">
        <w:rPr>
          <w:rFonts w:ascii="楷体_GB2312" w:eastAsia="楷体_GB2312" w:hAnsi="宋体" w:cs="宋体" w:hint="eastAsia"/>
          <w:kern w:val="0"/>
          <w:szCs w:val="21"/>
        </w:rPr>
        <w:t>%。</w:t>
      </w:r>
      <w:r w:rsidR="00543022" w:rsidRPr="000D394E">
        <w:rPr>
          <w:rFonts w:ascii="楷体_GB2312" w:eastAsia="楷体_GB2312" w:hAnsi="宋体" w:cs="宋体" w:hint="eastAsia"/>
          <w:kern w:val="0"/>
          <w:szCs w:val="21"/>
        </w:rPr>
        <w:t>金融服务</w:t>
      </w:r>
      <w:r w:rsidR="00247898">
        <w:rPr>
          <w:rFonts w:ascii="楷体_GB2312" w:eastAsia="楷体_GB2312" w:hAnsi="宋体" w:cs="宋体" w:hint="eastAsia"/>
          <w:kern w:val="0"/>
          <w:szCs w:val="21"/>
        </w:rPr>
        <w:t>、食品饮料和采掘业等前期市场关注较多板块在9月涨势相对逊色，涨幅排名靠后</w:t>
      </w:r>
      <w:r w:rsidR="006F5640" w:rsidRPr="000D394E">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51039B" w:rsidRPr="00051DF8" w:rsidTr="00A422E1">
        <w:tc>
          <w:tcPr>
            <w:tcW w:w="4820" w:type="dxa"/>
            <w:gridSpan w:val="2"/>
            <w:tcBorders>
              <w:bottom w:val="single" w:sz="4" w:space="0" w:color="FF0000"/>
            </w:tcBorders>
          </w:tcPr>
          <w:p w:rsidR="0051039B" w:rsidRPr="00144B03" w:rsidRDefault="0051039B"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本月申万市场风格指数涨跌幅</w:t>
            </w:r>
            <w:r w:rsidRPr="00144B03">
              <w:rPr>
                <w:rFonts w:ascii="楷体_GB2312" w:eastAsia="楷体_GB2312" w:hint="eastAsia"/>
                <w:b/>
                <w:color w:val="000000"/>
                <w:sz w:val="18"/>
                <w:szCs w:val="18"/>
              </w:rPr>
              <w:t>（%）</w:t>
            </w:r>
          </w:p>
        </w:tc>
        <w:tc>
          <w:tcPr>
            <w:tcW w:w="4536" w:type="dxa"/>
            <w:tcBorders>
              <w:bottom w:val="single" w:sz="4" w:space="0" w:color="FF0000"/>
            </w:tcBorders>
          </w:tcPr>
          <w:p w:rsidR="0051039B" w:rsidRPr="00144B03" w:rsidRDefault="0051039B"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w:t>
            </w:r>
            <w:r w:rsidR="004264FD" w:rsidRPr="00144B03">
              <w:rPr>
                <w:rFonts w:ascii="楷体_GB2312" w:eastAsia="楷体_GB2312" w:hint="eastAsia"/>
                <w:b/>
                <w:color w:val="000000"/>
                <w:sz w:val="18"/>
                <w:szCs w:val="18"/>
              </w:rPr>
              <w:t>一级</w:t>
            </w:r>
            <w:r w:rsidR="00B25033" w:rsidRPr="00144B03">
              <w:rPr>
                <w:rFonts w:ascii="楷体_GB2312" w:eastAsia="楷体_GB2312" w:hint="eastAsia"/>
                <w:b/>
                <w:color w:val="000000"/>
                <w:sz w:val="18"/>
                <w:szCs w:val="18"/>
              </w:rPr>
              <w:t>行业指数涨跌幅（</w:t>
            </w:r>
            <w:r w:rsidRPr="00144B03">
              <w:rPr>
                <w:rFonts w:ascii="楷体_GB2312" w:eastAsia="楷体_GB2312" w:hint="eastAsia"/>
                <w:b/>
                <w:color w:val="000000"/>
                <w:sz w:val="18"/>
                <w:szCs w:val="18"/>
              </w:rPr>
              <w:t>%）</w:t>
            </w:r>
          </w:p>
        </w:tc>
      </w:tr>
      <w:tr w:rsidR="0051039B" w:rsidRPr="00B22D95" w:rsidTr="00247898">
        <w:tc>
          <w:tcPr>
            <w:tcW w:w="4678" w:type="dxa"/>
            <w:tcBorders>
              <w:top w:val="single" w:sz="4" w:space="0" w:color="FF0000"/>
              <w:bottom w:val="single" w:sz="4" w:space="0" w:color="FF0000"/>
            </w:tcBorders>
          </w:tcPr>
          <w:p w:rsidR="0051039B" w:rsidRPr="00B22D95" w:rsidRDefault="00247898"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776730"/>
                  <wp:effectExtent l="19050" t="0" r="889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829560" cy="177673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B22D95" w:rsidRDefault="00247898" w:rsidP="0051039B">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768475"/>
                  <wp:effectExtent l="19050" t="0" r="889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829560" cy="1768475"/>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Pr>
          <w:rFonts w:ascii="楷体_GB2312" w:eastAsia="楷体_GB2312" w:hint="eastAsia"/>
          <w:noProof/>
          <w:color w:val="000000"/>
        </w:rPr>
        <w:t>来源：</w:t>
      </w:r>
      <w:r w:rsidR="0051039B" w:rsidRPr="00156066">
        <w:rPr>
          <w:rFonts w:ascii="楷体_GB2312" w:eastAsia="楷体_GB2312" w:hint="eastAsia"/>
          <w:noProof/>
          <w:color w:val="000000"/>
        </w:rPr>
        <w:t>wind</w:t>
      </w:r>
      <w:r w:rsidR="0051039B">
        <w:rPr>
          <w:rFonts w:ascii="楷体_GB2312" w:eastAsia="楷体_GB2312" w:hint="eastAsia"/>
          <w:noProof/>
          <w:color w:val="000000"/>
        </w:rPr>
        <w:t>，</w:t>
      </w:r>
      <w:r w:rsidR="0051039B" w:rsidRPr="00156066">
        <w:rPr>
          <w:rFonts w:ascii="楷体_GB2312" w:eastAsia="楷体_GB2312" w:hint="eastAsia"/>
          <w:noProof/>
          <w:color w:val="000000"/>
        </w:rPr>
        <w:t>上海证券基金评价研究中心</w:t>
      </w:r>
    </w:p>
    <w:p w:rsidR="00BE4259" w:rsidRDefault="004F5E52" w:rsidP="00D76736">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9月</w:t>
      </w:r>
      <w:r w:rsidR="008E2000">
        <w:rPr>
          <w:rFonts w:ascii="楷体_GB2312" w:eastAsia="楷体_GB2312" w:hAnsi="宋体" w:cs="宋体" w:hint="eastAsia"/>
          <w:kern w:val="0"/>
          <w:szCs w:val="21"/>
        </w:rPr>
        <w:t>市场资金面维持整体宽松，</w:t>
      </w:r>
      <w:r w:rsidR="00BE4259">
        <w:rPr>
          <w:rFonts w:ascii="楷体_GB2312" w:eastAsia="楷体_GB2312" w:hAnsi="宋体" w:cs="宋体" w:hint="eastAsia"/>
          <w:kern w:val="0"/>
          <w:szCs w:val="21"/>
        </w:rPr>
        <w:t>债市收益率曲线整体下移，其中在中旬央行宽松政策下长端利率债收益率明显下行，</w:t>
      </w:r>
      <w:r w:rsidR="00E41344">
        <w:rPr>
          <w:rFonts w:ascii="楷体_GB2312" w:eastAsia="楷体_GB2312" w:hAnsi="宋体" w:cs="宋体" w:hint="eastAsia"/>
          <w:kern w:val="0"/>
          <w:szCs w:val="21"/>
        </w:rPr>
        <w:t>信用债也在利率债的带动下收益率整体下行，但表现弱于利率债。</w:t>
      </w:r>
    </w:p>
    <w:p w:rsidR="00725825" w:rsidRDefault="00725825" w:rsidP="00D76736">
      <w:pPr>
        <w:spacing w:beforeLines="50"/>
        <w:ind w:leftChars="1350" w:left="2835" w:firstLineChars="202" w:firstLine="424"/>
        <w:rPr>
          <w:rFonts w:ascii="楷体_GB2312" w:eastAsia="楷体_GB2312" w:hAnsi="宋体" w:cs="宋体" w:hint="eastAsia"/>
          <w:kern w:val="0"/>
          <w:szCs w:val="21"/>
        </w:rPr>
      </w:pPr>
    </w:p>
    <w:tbl>
      <w:tblPr>
        <w:tblW w:w="9356" w:type="dxa"/>
        <w:tblInd w:w="-34" w:type="dxa"/>
        <w:tblLayout w:type="fixed"/>
        <w:tblLook w:val="04A0"/>
      </w:tblPr>
      <w:tblGrid>
        <w:gridCol w:w="4678"/>
        <w:gridCol w:w="142"/>
        <w:gridCol w:w="4536"/>
      </w:tblGrid>
      <w:tr w:rsidR="00D0395D" w:rsidRPr="00051DF8" w:rsidTr="00A422E1">
        <w:tc>
          <w:tcPr>
            <w:tcW w:w="4820" w:type="dxa"/>
            <w:gridSpan w:val="2"/>
            <w:tcBorders>
              <w:bottom w:val="single" w:sz="4" w:space="0" w:color="FF0000"/>
            </w:tcBorders>
          </w:tcPr>
          <w:p w:rsidR="00D0395D" w:rsidRPr="00144B03" w:rsidRDefault="00D0395D" w:rsidP="00975E77">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图5、</w:t>
            </w:r>
            <w:r w:rsidR="004254ED">
              <w:rPr>
                <w:rFonts w:ascii="楷体_GB2312" w:eastAsia="楷体_GB2312" w:hint="eastAsia"/>
                <w:b/>
                <w:color w:val="000000"/>
                <w:sz w:val="18"/>
                <w:szCs w:val="18"/>
              </w:rPr>
              <w:t>国债收益率曲线</w:t>
            </w:r>
            <w:r w:rsidR="00975E77">
              <w:rPr>
                <w:rFonts w:ascii="楷体_GB2312" w:eastAsia="楷体_GB2312" w:hint="eastAsia"/>
                <w:b/>
                <w:color w:val="000000"/>
                <w:sz w:val="18"/>
                <w:szCs w:val="18"/>
              </w:rPr>
              <w:t>小幅下行</w:t>
            </w:r>
          </w:p>
        </w:tc>
        <w:tc>
          <w:tcPr>
            <w:tcW w:w="4536" w:type="dxa"/>
            <w:tcBorders>
              <w:bottom w:val="single" w:sz="4" w:space="0" w:color="FF0000"/>
            </w:tcBorders>
          </w:tcPr>
          <w:p w:rsidR="00D0395D" w:rsidRPr="00144B03" w:rsidRDefault="00D0395D" w:rsidP="004254ED">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图6、</w:t>
            </w:r>
            <w:r w:rsidR="004254ED">
              <w:rPr>
                <w:rFonts w:ascii="楷体_GB2312" w:eastAsia="楷体_GB2312" w:hint="eastAsia"/>
                <w:b/>
                <w:color w:val="000000"/>
                <w:sz w:val="18"/>
                <w:szCs w:val="18"/>
              </w:rPr>
              <w:t>国债和企业债利差</w:t>
            </w:r>
            <w:r w:rsidR="00BF40B4">
              <w:rPr>
                <w:rFonts w:ascii="楷体_GB2312" w:eastAsia="楷体_GB2312" w:hint="eastAsia"/>
                <w:b/>
                <w:color w:val="000000"/>
                <w:sz w:val="18"/>
                <w:szCs w:val="18"/>
              </w:rPr>
              <w:t>保持高位</w:t>
            </w:r>
            <w:r w:rsidR="00975E77">
              <w:rPr>
                <w:rFonts w:ascii="楷体_GB2312" w:eastAsia="楷体_GB2312" w:hint="eastAsia"/>
                <w:b/>
                <w:color w:val="000000"/>
                <w:sz w:val="18"/>
                <w:szCs w:val="18"/>
              </w:rPr>
              <w:t>不变</w:t>
            </w:r>
          </w:p>
        </w:tc>
      </w:tr>
      <w:tr w:rsidR="00D0395D" w:rsidRPr="00B22D95" w:rsidTr="00A422E1">
        <w:tc>
          <w:tcPr>
            <w:tcW w:w="4678" w:type="dxa"/>
            <w:tcBorders>
              <w:top w:val="single" w:sz="4" w:space="0" w:color="FF0000"/>
              <w:bottom w:val="single" w:sz="4" w:space="0" w:color="FF0000"/>
            </w:tcBorders>
          </w:tcPr>
          <w:p w:rsidR="00D0395D" w:rsidRPr="00B22D95" w:rsidRDefault="000379D8"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51641" cy="2061713"/>
                  <wp:effectExtent l="19050" t="0" r="5859"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855595" cy="2064572"/>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D0395D" w:rsidRPr="00B22D95" w:rsidRDefault="00251DE2" w:rsidP="00A422E1">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2105025"/>
                  <wp:effectExtent l="19050" t="0" r="889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2829560" cy="2105025"/>
                          </a:xfrm>
                          <a:prstGeom prst="rect">
                            <a:avLst/>
                          </a:prstGeom>
                          <a:noFill/>
                          <a:ln w="9525">
                            <a:noFill/>
                            <a:miter lim="800000"/>
                            <a:headEnd/>
                            <a:tailEnd/>
                          </a:ln>
                        </pic:spPr>
                      </pic:pic>
                    </a:graphicData>
                  </a:graphic>
                </wp:inline>
              </w:drawing>
            </w:r>
          </w:p>
        </w:tc>
      </w:tr>
    </w:tbl>
    <w:p w:rsidR="00D0395D" w:rsidRPr="00156066" w:rsidRDefault="00564B59" w:rsidP="00D0395D">
      <w:pPr>
        <w:rPr>
          <w:rFonts w:ascii="楷体_GB2312" w:eastAsia="楷体_GB2312"/>
          <w:noProof/>
          <w:color w:val="000000"/>
        </w:rPr>
      </w:pPr>
      <w:r>
        <w:rPr>
          <w:rFonts w:ascii="楷体_GB2312" w:eastAsia="楷体_GB2312" w:hint="eastAsia"/>
          <w:noProof/>
          <w:color w:val="000000"/>
        </w:rPr>
        <w:t>来源：</w:t>
      </w:r>
      <w:r w:rsidR="00D0395D" w:rsidRPr="00156066">
        <w:rPr>
          <w:rFonts w:ascii="楷体_GB2312" w:eastAsia="楷体_GB2312" w:hint="eastAsia"/>
          <w:noProof/>
          <w:color w:val="000000"/>
        </w:rPr>
        <w:t>wind</w:t>
      </w:r>
      <w:r w:rsidR="00D0395D">
        <w:rPr>
          <w:rFonts w:ascii="楷体_GB2312" w:eastAsia="楷体_GB2312" w:hint="eastAsia"/>
          <w:noProof/>
          <w:color w:val="000000"/>
        </w:rPr>
        <w:t>，</w:t>
      </w:r>
      <w:r w:rsidR="00D0395D" w:rsidRPr="00156066">
        <w:rPr>
          <w:rFonts w:ascii="楷体_GB2312" w:eastAsia="楷体_GB2312" w:hint="eastAsia"/>
          <w:noProof/>
          <w:color w:val="000000"/>
        </w:rPr>
        <w:t>上海证券基金评价研究中心</w:t>
      </w:r>
    </w:p>
    <w:p w:rsidR="00B32EE1" w:rsidRPr="005E4592" w:rsidRDefault="00217C1F" w:rsidP="00D76736">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（二）基金市场回顾：</w:t>
      </w:r>
      <w:r w:rsidR="000D394E">
        <w:rPr>
          <w:rFonts w:ascii="黑体" w:eastAsia="黑体" w:hAnsi="宋体-18030" w:cs="宋体-18030" w:hint="eastAsia"/>
          <w:b/>
          <w:bCs/>
          <w:color w:val="003366"/>
          <w:kern w:val="44"/>
          <w:sz w:val="24"/>
        </w:rPr>
        <w:t>各类型</w:t>
      </w:r>
      <w:r w:rsidR="00FB5967">
        <w:rPr>
          <w:rFonts w:ascii="黑体" w:eastAsia="黑体" w:hAnsi="宋体-18030" w:cs="宋体-18030" w:hint="eastAsia"/>
          <w:b/>
          <w:bCs/>
          <w:color w:val="003366"/>
          <w:kern w:val="44"/>
          <w:sz w:val="24"/>
        </w:rPr>
        <w:t>基金收益扩大，权益基金领涨</w:t>
      </w:r>
    </w:p>
    <w:p w:rsidR="00266187" w:rsidRDefault="00725825" w:rsidP="00D76736">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9</w:t>
      </w:r>
      <w:r w:rsidR="001B622E">
        <w:rPr>
          <w:rFonts w:ascii="楷体_GB2312" w:eastAsia="楷体_GB2312" w:hAnsi="宋体" w:cs="宋体" w:hint="eastAsia"/>
          <w:kern w:val="0"/>
          <w:szCs w:val="21"/>
        </w:rPr>
        <w:t>在股债两市的推动下各类型基金</w:t>
      </w:r>
      <w:r w:rsidR="00633214">
        <w:rPr>
          <w:rFonts w:ascii="楷体_GB2312" w:eastAsia="楷体_GB2312" w:hAnsi="宋体" w:cs="宋体" w:hint="eastAsia"/>
          <w:kern w:val="0"/>
          <w:szCs w:val="21"/>
        </w:rPr>
        <w:t>整体表现较好</w:t>
      </w:r>
      <w:r w:rsidR="001767DE">
        <w:rPr>
          <w:rFonts w:ascii="楷体_GB2312" w:eastAsia="楷体_GB2312" w:hAnsi="宋体" w:cs="宋体" w:hint="eastAsia"/>
          <w:kern w:val="0"/>
          <w:szCs w:val="21"/>
        </w:rPr>
        <w:t>。</w:t>
      </w:r>
      <w:r w:rsidR="00266187">
        <w:rPr>
          <w:rFonts w:ascii="楷体_GB2312" w:eastAsia="楷体_GB2312" w:hAnsi="宋体" w:cs="宋体" w:hint="eastAsia"/>
          <w:kern w:val="0"/>
          <w:szCs w:val="21"/>
        </w:rPr>
        <w:t>权益类基金表现</w:t>
      </w:r>
      <w:r w:rsidR="00633214">
        <w:rPr>
          <w:rFonts w:ascii="楷体_GB2312" w:eastAsia="楷体_GB2312" w:hAnsi="宋体" w:cs="宋体" w:hint="eastAsia"/>
          <w:kern w:val="0"/>
          <w:szCs w:val="21"/>
        </w:rPr>
        <w:t>领先</w:t>
      </w:r>
      <w:r w:rsidR="001767DE">
        <w:rPr>
          <w:rFonts w:ascii="楷体_GB2312" w:eastAsia="楷体_GB2312" w:hAnsi="宋体" w:cs="宋体" w:hint="eastAsia"/>
          <w:kern w:val="0"/>
          <w:szCs w:val="21"/>
        </w:rPr>
        <w:t>，</w:t>
      </w:r>
      <w:r w:rsidR="00266187">
        <w:rPr>
          <w:rFonts w:ascii="楷体_GB2312" w:eastAsia="楷体_GB2312" w:hAnsi="宋体" w:cs="宋体" w:hint="eastAsia"/>
          <w:kern w:val="0"/>
          <w:szCs w:val="21"/>
        </w:rPr>
        <w:t>主动偏股型基金和股票指数型基金分别大涨6.69%、5.90%</w:t>
      </w:r>
      <w:r w:rsidR="001767DE">
        <w:rPr>
          <w:rFonts w:ascii="楷体_GB2312" w:eastAsia="楷体_GB2312" w:hAnsi="宋体" w:cs="宋体" w:hint="eastAsia"/>
          <w:kern w:val="0"/>
          <w:szCs w:val="21"/>
        </w:rPr>
        <w:t>。</w:t>
      </w:r>
      <w:r w:rsidR="00266187">
        <w:rPr>
          <w:rFonts w:ascii="楷体_GB2312" w:eastAsia="楷体_GB2312" w:hAnsi="宋体" w:cs="宋体" w:hint="eastAsia"/>
          <w:kern w:val="0"/>
          <w:szCs w:val="21"/>
        </w:rPr>
        <w:t>债券型基金收益率较上月有所扩大</w:t>
      </w:r>
      <w:r w:rsidR="001767DE">
        <w:rPr>
          <w:rFonts w:ascii="楷体_GB2312" w:eastAsia="楷体_GB2312" w:hAnsi="宋体" w:cs="宋体" w:hint="eastAsia"/>
          <w:kern w:val="0"/>
          <w:szCs w:val="21"/>
        </w:rPr>
        <w:t>。</w:t>
      </w:r>
      <w:r w:rsidR="00266187">
        <w:rPr>
          <w:rFonts w:ascii="楷体_GB2312" w:eastAsia="楷体_GB2312" w:hAnsi="宋体" w:cs="宋体" w:hint="eastAsia"/>
          <w:kern w:val="0"/>
          <w:szCs w:val="21"/>
        </w:rPr>
        <w:t>QDIII</w:t>
      </w:r>
      <w:r w:rsidR="00026DA0">
        <w:rPr>
          <w:rFonts w:ascii="楷体_GB2312" w:eastAsia="楷体_GB2312" w:hAnsi="宋体" w:cs="宋体" w:hint="eastAsia"/>
          <w:kern w:val="0"/>
          <w:szCs w:val="21"/>
        </w:rPr>
        <w:t>延续第五个月实现正收益，但涨幅不及国内权益类基金和债券型基金。</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026DA0">
        <w:trPr>
          <w:trHeight w:val="3588"/>
        </w:trPr>
        <w:tc>
          <w:tcPr>
            <w:tcW w:w="6521" w:type="dxa"/>
            <w:tcBorders>
              <w:top w:val="single" w:sz="4" w:space="0" w:color="FF0000"/>
              <w:bottom w:val="single" w:sz="4" w:space="0" w:color="FF0000"/>
            </w:tcBorders>
          </w:tcPr>
          <w:p w:rsidR="00D81F4D" w:rsidRPr="00F15A8A" w:rsidRDefault="00026DA0"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52215" cy="2389505"/>
                  <wp:effectExtent l="19050" t="0" r="635" b="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srcRect/>
                          <a:stretch>
                            <a:fillRect/>
                          </a:stretch>
                        </pic:blipFill>
                        <pic:spPr bwMode="auto">
                          <a:xfrm>
                            <a:off x="0" y="0"/>
                            <a:ext cx="3752215" cy="2389505"/>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C4683B" w:rsidRPr="005059AD" w:rsidRDefault="00564B59" w:rsidP="00055FBF">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p>
        </w:tc>
      </w:tr>
    </w:tbl>
    <w:p w:rsidR="00831030" w:rsidRPr="005E4592" w:rsidRDefault="00217C1F" w:rsidP="00D76736">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831030" w:rsidRPr="005E4592">
        <w:rPr>
          <w:rFonts w:ascii="黑体" w:eastAsia="黑体" w:hAnsi="宋体-18030" w:cs="宋体-18030" w:hint="eastAsia"/>
          <w:b/>
          <w:bCs/>
          <w:color w:val="003366"/>
          <w:kern w:val="44"/>
          <w:sz w:val="24"/>
        </w:rPr>
        <w:t>影响市场的信息</w:t>
      </w:r>
      <w:r w:rsidR="00873401" w:rsidRPr="005E4592">
        <w:rPr>
          <w:rFonts w:ascii="黑体" w:eastAsia="黑体" w:hAnsi="宋体-18030" w:cs="宋体-18030" w:hint="eastAsia"/>
          <w:b/>
          <w:bCs/>
          <w:color w:val="003366"/>
          <w:kern w:val="44"/>
          <w:sz w:val="24"/>
        </w:rPr>
        <w:t>和数据</w:t>
      </w:r>
    </w:p>
    <w:p w:rsidR="008F4A34" w:rsidRDefault="00026DA0" w:rsidP="00D76736">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9</w:t>
      </w:r>
      <w:r w:rsidR="008F4A34" w:rsidRPr="0000791E">
        <w:rPr>
          <w:rFonts w:ascii="楷体_GB2312" w:eastAsia="楷体_GB2312" w:hAnsi="宋体" w:cs="宋体" w:hint="eastAsia"/>
          <w:kern w:val="0"/>
          <w:szCs w:val="21"/>
        </w:rPr>
        <w:t>月</w:t>
      </w:r>
      <w:r w:rsidR="008F4A34">
        <w:rPr>
          <w:rFonts w:ascii="楷体_GB2312" w:eastAsia="楷体_GB2312" w:hAnsi="宋体" w:cs="宋体" w:hint="eastAsia"/>
          <w:kern w:val="0"/>
          <w:szCs w:val="21"/>
        </w:rPr>
        <w:t>欧元区</w:t>
      </w:r>
      <w:r w:rsidR="001767DE">
        <w:rPr>
          <w:rFonts w:ascii="楷体_GB2312" w:eastAsia="楷体_GB2312" w:hAnsi="宋体" w:cs="宋体" w:hint="eastAsia"/>
          <w:kern w:val="0"/>
          <w:szCs w:val="21"/>
        </w:rPr>
        <w:t>颓势不变</w:t>
      </w:r>
      <w:r w:rsidR="008F4A34">
        <w:rPr>
          <w:rFonts w:ascii="楷体_GB2312" w:eastAsia="楷体_GB2312" w:hAnsi="宋体" w:cs="宋体" w:hint="eastAsia"/>
          <w:kern w:val="0"/>
          <w:szCs w:val="21"/>
        </w:rPr>
        <w:t>，</w:t>
      </w:r>
      <w:r w:rsidR="005F4192">
        <w:rPr>
          <w:rFonts w:ascii="楷体_GB2312" w:eastAsia="楷体_GB2312" w:hAnsi="宋体" w:cs="宋体" w:hint="eastAsia"/>
          <w:kern w:val="0"/>
          <w:szCs w:val="21"/>
        </w:rPr>
        <w:t>经济继续受到通缩的威胁而持续低迷，</w:t>
      </w:r>
      <w:r w:rsidR="00D70BD0">
        <w:rPr>
          <w:rFonts w:ascii="楷体_GB2312" w:eastAsia="楷体_GB2312" w:hAnsi="宋体" w:cs="宋体" w:hint="eastAsia"/>
          <w:kern w:val="0"/>
          <w:szCs w:val="21"/>
        </w:rPr>
        <w:t>为确保经济增长</w:t>
      </w:r>
      <w:r w:rsidR="006958FB">
        <w:rPr>
          <w:rFonts w:ascii="楷体_GB2312" w:eastAsia="楷体_GB2312" w:hAnsi="宋体" w:cs="宋体" w:hint="eastAsia"/>
          <w:kern w:val="0"/>
          <w:szCs w:val="21"/>
        </w:rPr>
        <w:t>，欧洲央行维持</w:t>
      </w:r>
      <w:r w:rsidR="008F4A34">
        <w:rPr>
          <w:rFonts w:ascii="楷体_GB2312" w:eastAsia="楷体_GB2312" w:hAnsi="宋体" w:cs="宋体" w:hint="eastAsia"/>
          <w:kern w:val="0"/>
          <w:szCs w:val="21"/>
        </w:rPr>
        <w:t>货币扩张，</w:t>
      </w:r>
      <w:r w:rsidR="008F4A34" w:rsidRPr="0000791E">
        <w:rPr>
          <w:rFonts w:ascii="楷体_GB2312" w:eastAsia="楷体_GB2312" w:hAnsi="宋体" w:cs="宋体" w:hint="eastAsia"/>
          <w:kern w:val="0"/>
          <w:szCs w:val="21"/>
        </w:rPr>
        <w:t>M</w:t>
      </w:r>
      <w:r w:rsidR="008F4A34">
        <w:rPr>
          <w:rFonts w:ascii="楷体_GB2312" w:eastAsia="楷体_GB2312" w:hAnsi="宋体" w:cs="宋体" w:hint="eastAsia"/>
          <w:kern w:val="0"/>
          <w:szCs w:val="21"/>
        </w:rPr>
        <w:t>3持续攀升。</w:t>
      </w:r>
    </w:p>
    <w:p w:rsidR="00FB5967" w:rsidRDefault="00FB5967" w:rsidP="00D76736">
      <w:pPr>
        <w:spacing w:beforeLines="50"/>
        <w:ind w:leftChars="1350" w:left="2835" w:firstLineChars="202" w:firstLine="424"/>
        <w:rPr>
          <w:rFonts w:ascii="楷体_GB2312" w:eastAsia="楷体_GB2312" w:hAnsi="宋体" w:cs="宋体" w:hint="eastAsia"/>
          <w:kern w:val="0"/>
          <w:szCs w:val="21"/>
        </w:rPr>
      </w:pPr>
    </w:p>
    <w:p w:rsidR="00D70BD0" w:rsidRPr="00D70BD0" w:rsidRDefault="00D70BD0" w:rsidP="00D76736">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A67714" w:rsidRPr="00051DF8" w:rsidTr="00A422E1">
        <w:tc>
          <w:tcPr>
            <w:tcW w:w="4820" w:type="dxa"/>
            <w:gridSpan w:val="2"/>
            <w:tcBorders>
              <w:bottom w:val="single" w:sz="4" w:space="0" w:color="FF0000"/>
            </w:tcBorders>
          </w:tcPr>
          <w:p w:rsidR="00A67714" w:rsidRPr="00144B03" w:rsidRDefault="00A67714" w:rsidP="00531DE2">
            <w:pPr>
              <w:spacing w:line="360" w:lineRule="auto"/>
              <w:ind w:left="33" w:hangingChars="18" w:hanging="33"/>
              <w:jc w:val="left"/>
              <w:rPr>
                <w:rFonts w:ascii="楷体_GB2312" w:eastAsia="楷体_GB2312"/>
                <w:b/>
                <w:color w:val="000000"/>
                <w:sz w:val="18"/>
                <w:szCs w:val="18"/>
              </w:rPr>
            </w:pPr>
            <w:r w:rsidRPr="00A212A2">
              <w:rPr>
                <w:rFonts w:ascii="楷体_GB2312" w:eastAsia="楷体_GB2312" w:hint="eastAsia"/>
                <w:b/>
                <w:color w:val="000000"/>
                <w:sz w:val="18"/>
                <w:szCs w:val="18"/>
              </w:rPr>
              <w:lastRenderedPageBreak/>
              <w:t>图</w:t>
            </w:r>
            <w:r w:rsidR="005E24D9" w:rsidRPr="00A212A2">
              <w:rPr>
                <w:rFonts w:ascii="楷体_GB2312" w:eastAsia="楷体_GB2312" w:hint="eastAsia"/>
                <w:b/>
                <w:color w:val="000000"/>
                <w:sz w:val="18"/>
                <w:szCs w:val="18"/>
              </w:rPr>
              <w:t>8</w:t>
            </w:r>
            <w:r w:rsidRPr="00A212A2">
              <w:rPr>
                <w:rFonts w:ascii="楷体_GB2312" w:eastAsia="楷体_GB2312" w:hint="eastAsia"/>
                <w:b/>
                <w:color w:val="000000"/>
                <w:sz w:val="18"/>
                <w:szCs w:val="18"/>
              </w:rPr>
              <w:t>、</w:t>
            </w:r>
            <w:r w:rsidR="00B202A4" w:rsidRPr="00A212A2">
              <w:rPr>
                <w:rFonts w:ascii="楷体_GB2312" w:eastAsia="楷体_GB2312" w:hint="eastAsia"/>
                <w:b/>
                <w:color w:val="000000"/>
                <w:sz w:val="18"/>
                <w:szCs w:val="18"/>
              </w:rPr>
              <w:t>欧</w:t>
            </w:r>
            <w:r w:rsidR="00B202A4">
              <w:rPr>
                <w:rFonts w:ascii="楷体_GB2312" w:eastAsia="楷体_GB2312" w:hint="eastAsia"/>
                <w:b/>
                <w:color w:val="000000"/>
                <w:sz w:val="18"/>
                <w:szCs w:val="18"/>
              </w:rPr>
              <w:t>盟：</w:t>
            </w:r>
            <w:r w:rsidR="00531DE2">
              <w:rPr>
                <w:rFonts w:ascii="楷体_GB2312" w:eastAsia="楷体_GB2312" w:hint="eastAsia"/>
                <w:b/>
                <w:color w:val="000000"/>
                <w:sz w:val="18"/>
                <w:szCs w:val="18"/>
              </w:rPr>
              <w:t>欧元区</w:t>
            </w:r>
            <w:r w:rsidR="00B202A4">
              <w:rPr>
                <w:rFonts w:ascii="楷体_GB2312" w:eastAsia="楷体_GB2312" w:hint="eastAsia"/>
                <w:b/>
                <w:color w:val="000000"/>
                <w:sz w:val="18"/>
                <w:szCs w:val="18"/>
              </w:rPr>
              <w:t>：</w:t>
            </w:r>
            <w:r w:rsidR="00531DE2">
              <w:rPr>
                <w:rFonts w:ascii="楷体_GB2312" w:eastAsia="楷体_GB2312" w:hint="eastAsia"/>
                <w:b/>
                <w:color w:val="000000"/>
                <w:sz w:val="18"/>
                <w:szCs w:val="18"/>
              </w:rPr>
              <w:t>制造业PMI</w:t>
            </w:r>
          </w:p>
        </w:tc>
        <w:tc>
          <w:tcPr>
            <w:tcW w:w="4536" w:type="dxa"/>
            <w:tcBorders>
              <w:bottom w:val="single" w:sz="4" w:space="0" w:color="FF0000"/>
            </w:tcBorders>
          </w:tcPr>
          <w:p w:rsidR="00A67714" w:rsidRPr="00144B03" w:rsidRDefault="00404984" w:rsidP="005F4192">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9</w:t>
            </w:r>
            <w:r w:rsidRPr="00144B03">
              <w:rPr>
                <w:rFonts w:ascii="楷体_GB2312" w:eastAsia="楷体_GB2312" w:hint="eastAsia"/>
                <w:b/>
                <w:color w:val="000000"/>
                <w:sz w:val="18"/>
                <w:szCs w:val="18"/>
              </w:rPr>
              <w:t>、</w:t>
            </w:r>
            <w:r w:rsidR="00034722">
              <w:rPr>
                <w:rFonts w:ascii="楷体_GB2312" w:eastAsia="楷体_GB2312" w:hint="eastAsia"/>
                <w:b/>
                <w:color w:val="000000"/>
                <w:sz w:val="18"/>
                <w:szCs w:val="18"/>
              </w:rPr>
              <w:t>欧元区</w:t>
            </w:r>
            <w:r w:rsidR="00BF47FC">
              <w:rPr>
                <w:rFonts w:ascii="楷体_GB2312" w:eastAsia="楷体_GB2312" w:hint="eastAsia"/>
                <w:b/>
                <w:color w:val="000000"/>
                <w:sz w:val="18"/>
                <w:szCs w:val="18"/>
              </w:rPr>
              <w:t>：</w:t>
            </w:r>
            <w:r w:rsidR="005F4192">
              <w:rPr>
                <w:rFonts w:ascii="楷体_GB2312" w:eastAsia="楷体_GB2312" w:hint="eastAsia"/>
                <w:b/>
                <w:color w:val="000000"/>
                <w:sz w:val="18"/>
                <w:szCs w:val="18"/>
              </w:rPr>
              <w:t>CPI</w:t>
            </w:r>
            <w:r w:rsidR="00034722">
              <w:rPr>
                <w:rFonts w:ascii="楷体_GB2312" w:eastAsia="楷体_GB2312" w:hint="eastAsia"/>
                <w:b/>
                <w:color w:val="000000"/>
                <w:sz w:val="18"/>
                <w:szCs w:val="18"/>
              </w:rPr>
              <w:t>：同比</w:t>
            </w:r>
            <w:r w:rsidR="00B86B69">
              <w:rPr>
                <w:rFonts w:ascii="楷体_GB2312" w:eastAsia="楷体_GB2312" w:hint="eastAsia"/>
                <w:b/>
                <w:color w:val="000000"/>
                <w:sz w:val="18"/>
                <w:szCs w:val="18"/>
              </w:rPr>
              <w:t>（</w:t>
            </w:r>
            <w:r w:rsidR="00034722">
              <w:rPr>
                <w:rFonts w:ascii="楷体_GB2312" w:eastAsia="楷体_GB2312" w:hint="eastAsia"/>
                <w:b/>
                <w:color w:val="000000"/>
                <w:sz w:val="18"/>
                <w:szCs w:val="18"/>
              </w:rPr>
              <w:t>%</w:t>
            </w:r>
            <w:r w:rsidR="00B86B69">
              <w:rPr>
                <w:rFonts w:ascii="楷体_GB2312" w:eastAsia="楷体_GB2312" w:hint="eastAsia"/>
                <w:b/>
                <w:color w:val="000000"/>
                <w:sz w:val="18"/>
                <w:szCs w:val="18"/>
              </w:rPr>
              <w:t>）</w:t>
            </w:r>
          </w:p>
        </w:tc>
      </w:tr>
      <w:tr w:rsidR="00A67714" w:rsidRPr="00B22D95" w:rsidTr="00A422E1">
        <w:tc>
          <w:tcPr>
            <w:tcW w:w="4678" w:type="dxa"/>
            <w:tcBorders>
              <w:top w:val="single" w:sz="4" w:space="0" w:color="FF0000"/>
              <w:bottom w:val="single" w:sz="4" w:space="0" w:color="FF0000"/>
            </w:tcBorders>
          </w:tcPr>
          <w:p w:rsidR="00A67714" w:rsidRPr="00B22D95" w:rsidRDefault="00531DE2"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37310"/>
                  <wp:effectExtent l="19050" t="0" r="8890" b="0"/>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a:stretch>
                            <a:fillRect/>
                          </a:stretch>
                        </pic:blipFill>
                        <pic:spPr bwMode="auto">
                          <a:xfrm>
                            <a:off x="0" y="0"/>
                            <a:ext cx="2829560" cy="13373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A67714" w:rsidRPr="00B22D95" w:rsidRDefault="005F4192" w:rsidP="005F4192">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793162" cy="1354347"/>
                  <wp:effectExtent l="19050" t="0" r="7188" b="0"/>
                  <wp:docPr id="25"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800760" cy="1358031"/>
                          </a:xfrm>
                          <a:prstGeom prst="rect">
                            <a:avLst/>
                          </a:prstGeom>
                        </pic:spPr>
                      </pic:pic>
                    </a:graphicData>
                  </a:graphic>
                </wp:inline>
              </w:drawing>
            </w:r>
          </w:p>
        </w:tc>
      </w:tr>
    </w:tbl>
    <w:p w:rsidR="00A67714" w:rsidRPr="00156066" w:rsidRDefault="00A67714" w:rsidP="00A67714">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tbl>
      <w:tblPr>
        <w:tblW w:w="9356" w:type="dxa"/>
        <w:tblInd w:w="-34" w:type="dxa"/>
        <w:tblLayout w:type="fixed"/>
        <w:tblLook w:val="04A0"/>
      </w:tblPr>
      <w:tblGrid>
        <w:gridCol w:w="4678"/>
        <w:gridCol w:w="142"/>
        <w:gridCol w:w="4536"/>
      </w:tblGrid>
      <w:tr w:rsidR="005C2193" w:rsidRPr="00051DF8" w:rsidTr="00AB5F14">
        <w:tc>
          <w:tcPr>
            <w:tcW w:w="4820" w:type="dxa"/>
            <w:gridSpan w:val="2"/>
            <w:tcBorders>
              <w:bottom w:val="single" w:sz="4" w:space="0" w:color="FF0000"/>
            </w:tcBorders>
          </w:tcPr>
          <w:p w:rsidR="005C2193" w:rsidRPr="00B202A4" w:rsidRDefault="005C2193" w:rsidP="00531DE2">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10</w:t>
            </w:r>
            <w:r w:rsidRPr="00144B03">
              <w:rPr>
                <w:rFonts w:ascii="楷体_GB2312" w:eastAsia="楷体_GB2312" w:hint="eastAsia"/>
                <w:b/>
                <w:color w:val="000000"/>
                <w:sz w:val="18"/>
                <w:szCs w:val="18"/>
              </w:rPr>
              <w:t>、</w:t>
            </w:r>
            <w:r w:rsidR="00EB4C84">
              <w:rPr>
                <w:rFonts w:ascii="楷体_GB2312" w:eastAsia="楷体_GB2312" w:hint="eastAsia"/>
                <w:b/>
                <w:color w:val="000000"/>
                <w:sz w:val="18"/>
                <w:szCs w:val="18"/>
              </w:rPr>
              <w:t>欧盟：</w:t>
            </w:r>
            <w:r w:rsidR="00531DE2">
              <w:rPr>
                <w:rFonts w:ascii="楷体_GB2312" w:eastAsia="楷体_GB2312" w:hint="eastAsia"/>
                <w:b/>
                <w:color w:val="000000"/>
                <w:sz w:val="18"/>
                <w:szCs w:val="18"/>
              </w:rPr>
              <w:t>实际GDP</w:t>
            </w:r>
            <w:r w:rsidR="007729AE">
              <w:rPr>
                <w:rFonts w:ascii="楷体_GB2312" w:eastAsia="楷体_GB2312" w:hint="eastAsia"/>
                <w:b/>
                <w:color w:val="000000"/>
                <w:sz w:val="18"/>
                <w:szCs w:val="18"/>
              </w:rPr>
              <w:t>（修正）</w:t>
            </w:r>
            <w:r w:rsidR="00EB4C84">
              <w:rPr>
                <w:rFonts w:ascii="楷体_GB2312" w:eastAsia="楷体_GB2312" w:hint="eastAsia"/>
                <w:b/>
                <w:color w:val="000000"/>
                <w:sz w:val="18"/>
                <w:szCs w:val="18"/>
              </w:rPr>
              <w:t>：季调</w:t>
            </w:r>
            <w:r w:rsidR="007729AE">
              <w:rPr>
                <w:rFonts w:ascii="楷体_GB2312" w:eastAsia="楷体_GB2312" w:hint="eastAsia"/>
                <w:b/>
                <w:color w:val="000000"/>
                <w:sz w:val="18"/>
                <w:szCs w:val="18"/>
              </w:rPr>
              <w:t>（%）</w:t>
            </w:r>
          </w:p>
        </w:tc>
        <w:tc>
          <w:tcPr>
            <w:tcW w:w="4536" w:type="dxa"/>
            <w:tcBorders>
              <w:bottom w:val="single" w:sz="4" w:space="0" w:color="FF0000"/>
            </w:tcBorders>
          </w:tcPr>
          <w:p w:rsidR="005C2193" w:rsidRPr="00144B03" w:rsidRDefault="005C2193" w:rsidP="00181D01">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11</w:t>
            </w:r>
            <w:r w:rsidRPr="00144B03">
              <w:rPr>
                <w:rFonts w:ascii="楷体_GB2312" w:eastAsia="楷体_GB2312" w:hint="eastAsia"/>
                <w:b/>
                <w:color w:val="000000"/>
                <w:sz w:val="18"/>
                <w:szCs w:val="18"/>
              </w:rPr>
              <w:t>、</w:t>
            </w:r>
            <w:r w:rsidR="00E65952">
              <w:rPr>
                <w:rFonts w:ascii="楷体_GB2312" w:eastAsia="楷体_GB2312" w:hint="eastAsia"/>
                <w:b/>
                <w:color w:val="000000"/>
                <w:sz w:val="18"/>
                <w:szCs w:val="18"/>
              </w:rPr>
              <w:t>欧盟：欧元区：M3(百万欧元)</w:t>
            </w:r>
          </w:p>
        </w:tc>
      </w:tr>
      <w:tr w:rsidR="005C2193" w:rsidRPr="00B22D95" w:rsidTr="00AB5F14">
        <w:tc>
          <w:tcPr>
            <w:tcW w:w="4678" w:type="dxa"/>
            <w:tcBorders>
              <w:top w:val="single" w:sz="4" w:space="0" w:color="FF0000"/>
              <w:bottom w:val="single" w:sz="4" w:space="0" w:color="FF0000"/>
            </w:tcBorders>
          </w:tcPr>
          <w:p w:rsidR="005C2193" w:rsidRPr="00B22D95" w:rsidRDefault="007729AE" w:rsidP="00AB5F14">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45565"/>
                  <wp:effectExtent l="19050" t="0" r="8890" b="0"/>
                  <wp:docPr id="2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srcRect/>
                          <a:stretch>
                            <a:fillRect/>
                          </a:stretch>
                        </pic:blipFill>
                        <pic:spPr bwMode="auto">
                          <a:xfrm>
                            <a:off x="0" y="0"/>
                            <a:ext cx="2829560" cy="134556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C2193" w:rsidRPr="00B22D95" w:rsidRDefault="007729AE" w:rsidP="003524C1">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672391" cy="1276709"/>
                  <wp:effectExtent l="19050" t="0" r="0" b="0"/>
                  <wp:docPr id="24"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677881" cy="1279332"/>
                          </a:xfrm>
                          <a:prstGeom prst="rect">
                            <a:avLst/>
                          </a:prstGeom>
                        </pic:spPr>
                      </pic:pic>
                    </a:graphicData>
                  </a:graphic>
                </wp:inline>
              </w:drawing>
            </w:r>
          </w:p>
        </w:tc>
      </w:tr>
    </w:tbl>
    <w:p w:rsidR="005C2193" w:rsidRPr="00156066" w:rsidRDefault="005C2193" w:rsidP="005C2193">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7B783B" w:rsidRPr="007525D4" w:rsidRDefault="00472846" w:rsidP="00554859">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美国</w:t>
      </w:r>
      <w:r w:rsidR="00F103C4">
        <w:rPr>
          <w:rFonts w:ascii="楷体_GB2312" w:eastAsia="楷体_GB2312" w:hAnsi="宋体" w:cs="宋体" w:hint="eastAsia"/>
          <w:kern w:val="0"/>
          <w:szCs w:val="21"/>
        </w:rPr>
        <w:t>商务部数据显示在</w:t>
      </w:r>
      <w:r w:rsidR="00F103C4" w:rsidRPr="00F103C4">
        <w:rPr>
          <w:rFonts w:ascii="楷体_GB2312" w:eastAsia="楷体_GB2312" w:hAnsi="宋体" w:cs="宋体" w:hint="eastAsia"/>
          <w:kern w:val="0"/>
          <w:szCs w:val="21"/>
        </w:rPr>
        <w:t>企业加速投资、家庭增加开支</w:t>
      </w:r>
      <w:r w:rsidR="00F103C4">
        <w:rPr>
          <w:rFonts w:ascii="楷体_GB2312" w:eastAsia="楷体_GB2312" w:hAnsi="宋体" w:cs="宋体" w:hint="eastAsia"/>
          <w:kern w:val="0"/>
          <w:szCs w:val="21"/>
        </w:rPr>
        <w:t>的助推下</w:t>
      </w:r>
      <w:r w:rsidR="00F71EB7">
        <w:rPr>
          <w:rFonts w:ascii="楷体_GB2312" w:eastAsia="楷体_GB2312" w:hAnsi="宋体" w:cs="宋体" w:hint="eastAsia"/>
          <w:kern w:val="0"/>
          <w:szCs w:val="21"/>
        </w:rPr>
        <w:t>二季度美国经济加速复苏，GDO</w:t>
      </w:r>
      <w:r w:rsidR="00D36ACC">
        <w:rPr>
          <w:rFonts w:ascii="楷体_GB2312" w:eastAsia="楷体_GB2312" w:hAnsi="宋体" w:cs="宋体" w:hint="eastAsia"/>
          <w:kern w:val="0"/>
          <w:szCs w:val="21"/>
        </w:rPr>
        <w:t>年化</w:t>
      </w:r>
      <w:r w:rsidR="00F71EB7">
        <w:rPr>
          <w:rFonts w:ascii="楷体_GB2312" w:eastAsia="楷体_GB2312" w:hAnsi="宋体" w:cs="宋体" w:hint="eastAsia"/>
          <w:kern w:val="0"/>
          <w:szCs w:val="21"/>
        </w:rPr>
        <w:t>增速高达</w:t>
      </w:r>
      <w:r w:rsidR="00D36ACC">
        <w:rPr>
          <w:rFonts w:ascii="楷体_GB2312" w:eastAsia="楷体_GB2312" w:hAnsi="宋体" w:cs="宋体" w:hint="eastAsia"/>
          <w:kern w:val="0"/>
          <w:szCs w:val="21"/>
        </w:rPr>
        <w:t>4.6%，</w:t>
      </w:r>
      <w:r w:rsidR="00F71EB7">
        <w:rPr>
          <w:rFonts w:ascii="楷体_GB2312" w:eastAsia="楷体_GB2312" w:hAnsi="宋体" w:cs="宋体" w:hint="eastAsia"/>
          <w:kern w:val="0"/>
          <w:szCs w:val="21"/>
        </w:rPr>
        <w:t>增速创下</w:t>
      </w:r>
      <w:r w:rsidR="00F71EB7" w:rsidRPr="00F103C4">
        <w:rPr>
          <w:rFonts w:ascii="楷体_GB2312" w:eastAsia="楷体_GB2312" w:hAnsi="宋体" w:cs="宋体" w:hint="eastAsia"/>
          <w:kern w:val="0"/>
          <w:szCs w:val="21"/>
        </w:rPr>
        <w:t>两年半来最快水平</w:t>
      </w:r>
      <w:r w:rsidR="00B0370C" w:rsidRPr="00B0370C">
        <w:rPr>
          <w:rFonts w:ascii="楷体_GB2312" w:eastAsia="楷体_GB2312" w:hAnsi="宋体" w:cs="宋体" w:hint="eastAsia"/>
          <w:kern w:val="0"/>
          <w:szCs w:val="21"/>
        </w:rPr>
        <w:t>。</w:t>
      </w:r>
      <w:r w:rsidR="00554859">
        <w:rPr>
          <w:rFonts w:ascii="楷体_GB2312" w:eastAsia="楷体_GB2312" w:hAnsi="宋体" w:cs="宋体" w:hint="eastAsia"/>
          <w:kern w:val="0"/>
          <w:szCs w:val="21"/>
        </w:rPr>
        <w:t>但9月公布的美国服务业、制造业</w:t>
      </w:r>
      <w:r w:rsidR="008A17BE">
        <w:rPr>
          <w:rFonts w:ascii="楷体_GB2312" w:eastAsia="楷体_GB2312" w:hAnsi="宋体" w:cs="宋体" w:hint="eastAsia"/>
          <w:kern w:val="0"/>
          <w:szCs w:val="21"/>
        </w:rPr>
        <w:t>和成屋销售数</w:t>
      </w:r>
      <w:r w:rsidR="00554859">
        <w:rPr>
          <w:rFonts w:ascii="楷体_GB2312" w:eastAsia="楷体_GB2312" w:hAnsi="宋体" w:cs="宋体" w:hint="eastAsia"/>
          <w:kern w:val="0"/>
          <w:szCs w:val="21"/>
        </w:rPr>
        <w:t>据</w:t>
      </w:r>
      <w:r w:rsidR="008A17BE">
        <w:rPr>
          <w:rFonts w:ascii="楷体_GB2312" w:eastAsia="楷体_GB2312" w:hAnsi="宋体" w:cs="宋体" w:hint="eastAsia"/>
          <w:kern w:val="0"/>
          <w:szCs w:val="21"/>
        </w:rPr>
        <w:t>均出现回落。</w:t>
      </w:r>
    </w:p>
    <w:tbl>
      <w:tblPr>
        <w:tblW w:w="9356" w:type="dxa"/>
        <w:tblInd w:w="-34" w:type="dxa"/>
        <w:tblLayout w:type="fixed"/>
        <w:tblLook w:val="04A0"/>
      </w:tblPr>
      <w:tblGrid>
        <w:gridCol w:w="4678"/>
        <w:gridCol w:w="142"/>
        <w:gridCol w:w="4536"/>
      </w:tblGrid>
      <w:tr w:rsidR="00601217" w:rsidRPr="00051DF8" w:rsidTr="00A422E1">
        <w:tc>
          <w:tcPr>
            <w:tcW w:w="4820" w:type="dxa"/>
            <w:gridSpan w:val="2"/>
            <w:tcBorders>
              <w:bottom w:val="single" w:sz="4" w:space="0" w:color="FF0000"/>
            </w:tcBorders>
          </w:tcPr>
          <w:p w:rsidR="00601217" w:rsidRPr="00D373DD" w:rsidRDefault="00601217" w:rsidP="003431E6">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3431E6">
              <w:rPr>
                <w:rFonts w:ascii="楷体_GB2312" w:eastAsia="楷体_GB2312" w:hint="eastAsia"/>
                <w:b/>
                <w:color w:val="000000"/>
                <w:sz w:val="18"/>
                <w:szCs w:val="18"/>
              </w:rPr>
              <w:t>成屋签约销售指数（2001年=100）</w:t>
            </w:r>
          </w:p>
        </w:tc>
        <w:tc>
          <w:tcPr>
            <w:tcW w:w="4536" w:type="dxa"/>
            <w:tcBorders>
              <w:bottom w:val="single" w:sz="4" w:space="0" w:color="FF0000"/>
            </w:tcBorders>
          </w:tcPr>
          <w:p w:rsidR="00601217" w:rsidRPr="00144B03" w:rsidRDefault="00601217" w:rsidP="00086EB5">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w:t>
            </w:r>
            <w:r w:rsidR="00086EB5">
              <w:rPr>
                <w:rFonts w:ascii="楷体_GB2312" w:eastAsia="楷体_GB2312" w:hint="eastAsia"/>
                <w:b/>
                <w:color w:val="000000"/>
                <w:sz w:val="18"/>
                <w:szCs w:val="18"/>
              </w:rPr>
              <w:t>制造业PMI</w:t>
            </w:r>
          </w:p>
        </w:tc>
      </w:tr>
      <w:tr w:rsidR="00601217" w:rsidRPr="00B22D95" w:rsidTr="00A422E1">
        <w:tc>
          <w:tcPr>
            <w:tcW w:w="4678" w:type="dxa"/>
            <w:tcBorders>
              <w:top w:val="single" w:sz="4" w:space="0" w:color="FF0000"/>
              <w:bottom w:val="single" w:sz="4" w:space="0" w:color="FF0000"/>
            </w:tcBorders>
          </w:tcPr>
          <w:p w:rsidR="00601217" w:rsidRPr="00B22D95" w:rsidRDefault="00B14D51" w:rsidP="00A422E1">
            <w:pPr>
              <w:spacing w:line="360" w:lineRule="auto"/>
              <w:ind w:leftChars="16" w:left="34"/>
              <w:rPr>
                <w:rFonts w:ascii="楷体_GB2312" w:eastAsia="楷体_GB2312"/>
                <w:color w:val="000000"/>
                <w:sz w:val="18"/>
                <w:szCs w:val="18"/>
              </w:rPr>
            </w:pPr>
            <w:r>
              <w:rPr>
                <w:noProof/>
              </w:rPr>
              <w:drawing>
                <wp:inline distT="0" distB="0" distL="0" distR="0">
                  <wp:extent cx="2827404" cy="1423358"/>
                  <wp:effectExtent l="19050" t="0" r="0" b="0"/>
                  <wp:docPr id="28"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2829986" cy="1424658"/>
                          </a:xfrm>
                          <a:prstGeom prst="rect">
                            <a:avLst/>
                          </a:prstGeom>
                        </pic:spPr>
                      </pic:pic>
                    </a:graphicData>
                  </a:graphic>
                </wp:inline>
              </w:drawing>
            </w:r>
          </w:p>
        </w:tc>
        <w:tc>
          <w:tcPr>
            <w:tcW w:w="4678" w:type="dxa"/>
            <w:gridSpan w:val="2"/>
            <w:tcBorders>
              <w:top w:val="single" w:sz="4" w:space="0" w:color="FF0000"/>
              <w:bottom w:val="single" w:sz="4" w:space="0" w:color="FF0000"/>
            </w:tcBorders>
          </w:tcPr>
          <w:p w:rsidR="00601217" w:rsidRPr="00B22D95" w:rsidRDefault="00D70BD0" w:rsidP="00D70BD0">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2784534" cy="1440612"/>
                  <wp:effectExtent l="19050" t="0" r="0" b="0"/>
                  <wp:docPr id="27"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787245" cy="1442014"/>
                          </a:xfrm>
                          <a:prstGeom prst="rect">
                            <a:avLst/>
                          </a:prstGeom>
                        </pic:spPr>
                      </pic:pic>
                    </a:graphicData>
                  </a:graphic>
                </wp:inline>
              </w:drawing>
            </w:r>
          </w:p>
        </w:tc>
      </w:tr>
    </w:tbl>
    <w:p w:rsidR="00601217" w:rsidRPr="00156066" w:rsidRDefault="00601217" w:rsidP="00601217">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CA6DBF" w:rsidRDefault="00076B2A" w:rsidP="00D76736">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9月</w:t>
      </w:r>
      <w:r w:rsidR="006F5996">
        <w:rPr>
          <w:rFonts w:ascii="楷体_GB2312" w:eastAsia="楷体_GB2312" w:hAnsi="宋体" w:cs="宋体" w:hint="eastAsia"/>
          <w:kern w:val="0"/>
          <w:szCs w:val="21"/>
        </w:rPr>
        <w:t>中国</w:t>
      </w:r>
      <w:r w:rsidR="00904991">
        <w:rPr>
          <w:rFonts w:ascii="楷体_GB2312" w:eastAsia="楷体_GB2312" w:hAnsi="宋体" w:cs="宋体" w:hint="eastAsia"/>
          <w:kern w:val="0"/>
          <w:szCs w:val="21"/>
        </w:rPr>
        <w:t>官方PMI指数和汇丰PMI指数</w:t>
      </w:r>
      <w:r w:rsidR="003825A4">
        <w:rPr>
          <w:rFonts w:ascii="楷体_GB2312" w:eastAsia="楷体_GB2312" w:hAnsi="宋体" w:cs="宋体" w:hint="eastAsia"/>
          <w:kern w:val="0"/>
          <w:szCs w:val="21"/>
        </w:rPr>
        <w:t>维持疲软</w:t>
      </w:r>
      <w:r w:rsidR="00904991">
        <w:rPr>
          <w:rFonts w:ascii="楷体_GB2312" w:eastAsia="楷体_GB2312" w:hAnsi="宋体" w:cs="宋体" w:hint="eastAsia"/>
          <w:kern w:val="0"/>
          <w:szCs w:val="21"/>
        </w:rPr>
        <w:t>，</w:t>
      </w:r>
      <w:r w:rsidR="003825A4">
        <w:rPr>
          <w:rFonts w:ascii="楷体_GB2312" w:eastAsia="楷体_GB2312" w:hAnsi="宋体" w:cs="宋体" w:hint="eastAsia"/>
          <w:kern w:val="0"/>
          <w:szCs w:val="21"/>
        </w:rPr>
        <w:t>全社会用电量数据的回落表明传统制造业仍然较为担忧</w:t>
      </w:r>
      <w:r w:rsidR="00904991">
        <w:rPr>
          <w:rFonts w:ascii="楷体_GB2312" w:eastAsia="楷体_GB2312" w:hAnsi="宋体" w:cs="宋体" w:hint="eastAsia"/>
          <w:kern w:val="0"/>
          <w:szCs w:val="21"/>
        </w:rPr>
        <w:t>，</w:t>
      </w:r>
      <w:r w:rsidR="006F7E32">
        <w:rPr>
          <w:rFonts w:ascii="楷体_GB2312" w:eastAsia="楷体_GB2312" w:hAnsi="宋体" w:cs="宋体" w:hint="eastAsia"/>
          <w:kern w:val="0"/>
          <w:szCs w:val="21"/>
        </w:rPr>
        <w:t>工业利润也出现明显回落，</w:t>
      </w:r>
      <w:r w:rsidR="003825A4">
        <w:rPr>
          <w:rFonts w:ascii="楷体_GB2312" w:eastAsia="楷体_GB2312" w:hAnsi="宋体" w:cs="宋体" w:hint="eastAsia"/>
          <w:kern w:val="0"/>
          <w:szCs w:val="21"/>
        </w:rPr>
        <w:t>整体经济增长疲软</w:t>
      </w:r>
      <w:r w:rsidR="006F7E32">
        <w:rPr>
          <w:rFonts w:ascii="楷体_GB2312" w:eastAsia="楷体_GB2312" w:hAnsi="宋体" w:cs="宋体" w:hint="eastAsia"/>
          <w:kern w:val="0"/>
          <w:szCs w:val="21"/>
        </w:rPr>
        <w:t>。</w:t>
      </w:r>
      <w:r w:rsidR="00EA3304">
        <w:rPr>
          <w:rFonts w:ascii="楷体_GB2312" w:eastAsia="楷体_GB2312" w:hAnsi="宋体" w:cs="宋体" w:hint="eastAsia"/>
          <w:kern w:val="0"/>
          <w:szCs w:val="21"/>
        </w:rPr>
        <w:t>此外，</w:t>
      </w:r>
      <w:r w:rsidR="00ED35DA">
        <w:rPr>
          <w:rFonts w:ascii="楷体_GB2312" w:eastAsia="楷体_GB2312" w:hAnsi="宋体" w:cs="宋体" w:hint="eastAsia"/>
          <w:kern w:val="0"/>
          <w:szCs w:val="21"/>
        </w:rPr>
        <w:t>中国货币供应量增速连续两个月回调</w:t>
      </w:r>
      <w:r w:rsidR="00ED35DA" w:rsidRPr="007C0147">
        <w:rPr>
          <w:rFonts w:ascii="楷体_GB2312" w:eastAsia="楷体_GB2312" w:hAnsi="宋体" w:cs="宋体" w:hint="eastAsia"/>
          <w:kern w:val="0"/>
          <w:szCs w:val="21"/>
        </w:rPr>
        <w:t>。</w:t>
      </w:r>
    </w:p>
    <w:p w:rsidR="006F5996" w:rsidRDefault="006F5996" w:rsidP="00D76736">
      <w:pPr>
        <w:spacing w:beforeLines="50"/>
        <w:ind w:leftChars="1350" w:left="2835" w:firstLineChars="202" w:firstLine="424"/>
        <w:rPr>
          <w:rFonts w:ascii="楷体_GB2312" w:eastAsia="楷体_GB2312" w:hAnsi="宋体" w:cs="宋体" w:hint="eastAsia"/>
          <w:kern w:val="0"/>
          <w:szCs w:val="21"/>
        </w:rPr>
      </w:pPr>
    </w:p>
    <w:p w:rsidR="006F5996" w:rsidRDefault="006F5996" w:rsidP="00D76736">
      <w:pPr>
        <w:spacing w:beforeLines="50"/>
        <w:ind w:leftChars="1350" w:left="2835" w:firstLineChars="202" w:firstLine="424"/>
        <w:rPr>
          <w:rFonts w:ascii="楷体_GB2312" w:eastAsia="楷体_GB2312" w:hAnsi="宋体" w:cs="宋体" w:hint="eastAsia"/>
          <w:kern w:val="0"/>
          <w:szCs w:val="21"/>
        </w:rPr>
      </w:pPr>
    </w:p>
    <w:p w:rsidR="006F5996" w:rsidRDefault="006F5996" w:rsidP="00D76736">
      <w:pPr>
        <w:spacing w:beforeLines="50"/>
        <w:ind w:leftChars="1350" w:left="2835" w:firstLineChars="202" w:firstLine="424"/>
        <w:rPr>
          <w:rFonts w:ascii="楷体_GB2312" w:eastAsia="楷体_GB2312" w:hAnsi="宋体" w:cs="宋体" w:hint="eastAsia"/>
          <w:kern w:val="0"/>
          <w:szCs w:val="21"/>
        </w:rPr>
      </w:pPr>
    </w:p>
    <w:p w:rsidR="006F5996" w:rsidRDefault="006F5996" w:rsidP="00D76736">
      <w:pPr>
        <w:spacing w:beforeLines="50"/>
        <w:ind w:leftChars="1350" w:left="2835" w:firstLineChars="202" w:firstLine="424"/>
        <w:rPr>
          <w:rFonts w:ascii="楷体_GB2312" w:eastAsia="楷体_GB2312" w:hAnsi="宋体" w:cs="宋体" w:hint="eastAsia"/>
          <w:kern w:val="0"/>
          <w:szCs w:val="21"/>
        </w:rPr>
      </w:pPr>
    </w:p>
    <w:p w:rsidR="006F5996" w:rsidRDefault="006F5996" w:rsidP="00D76736">
      <w:pPr>
        <w:spacing w:beforeLines="50"/>
        <w:ind w:leftChars="1350" w:left="2835" w:firstLineChars="202" w:firstLine="424"/>
        <w:rPr>
          <w:rFonts w:ascii="楷体_GB2312" w:eastAsia="楷体_GB2312" w:hAnsi="宋体" w:cs="宋体" w:hint="eastAsia"/>
          <w:kern w:val="0"/>
          <w:szCs w:val="21"/>
        </w:rPr>
      </w:pPr>
    </w:p>
    <w:tbl>
      <w:tblPr>
        <w:tblW w:w="9356" w:type="dxa"/>
        <w:tblInd w:w="-34" w:type="dxa"/>
        <w:tblLayout w:type="fixed"/>
        <w:tblLook w:val="04A0"/>
      </w:tblPr>
      <w:tblGrid>
        <w:gridCol w:w="4678"/>
        <w:gridCol w:w="142"/>
        <w:gridCol w:w="4536"/>
      </w:tblGrid>
      <w:tr w:rsidR="006773F6" w:rsidRPr="00051DF8" w:rsidTr="00722604">
        <w:tc>
          <w:tcPr>
            <w:tcW w:w="4820" w:type="dxa"/>
            <w:gridSpan w:val="2"/>
            <w:tcBorders>
              <w:bottom w:val="single" w:sz="4" w:space="0" w:color="FF0000"/>
            </w:tcBorders>
          </w:tcPr>
          <w:p w:rsidR="006773F6" w:rsidRPr="00144B03" w:rsidRDefault="006773F6" w:rsidP="0040498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中国：汇丰PMI</w:t>
            </w:r>
          </w:p>
        </w:tc>
        <w:tc>
          <w:tcPr>
            <w:tcW w:w="4536" w:type="dxa"/>
            <w:tcBorders>
              <w:bottom w:val="single" w:sz="4" w:space="0" w:color="FF0000"/>
            </w:tcBorders>
          </w:tcPr>
          <w:p w:rsidR="006773F6" w:rsidRPr="00144B03" w:rsidRDefault="006773F6"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5</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中国：统计局PMI</w:t>
            </w:r>
          </w:p>
        </w:tc>
      </w:tr>
      <w:tr w:rsidR="006773F6" w:rsidRPr="00B22D95" w:rsidTr="00722604">
        <w:tc>
          <w:tcPr>
            <w:tcW w:w="4678" w:type="dxa"/>
            <w:tcBorders>
              <w:top w:val="single" w:sz="4" w:space="0" w:color="FF0000"/>
              <w:bottom w:val="single" w:sz="4" w:space="0" w:color="FF0000"/>
            </w:tcBorders>
          </w:tcPr>
          <w:p w:rsidR="006773F6" w:rsidRPr="00B22D95" w:rsidRDefault="00076B2A" w:rsidP="00722604">
            <w:pPr>
              <w:spacing w:line="360" w:lineRule="auto"/>
              <w:ind w:leftChars="16" w:left="34"/>
              <w:rPr>
                <w:rFonts w:ascii="楷体_GB2312" w:eastAsia="楷体_GB2312"/>
                <w:color w:val="000000"/>
                <w:sz w:val="18"/>
                <w:szCs w:val="18"/>
              </w:rPr>
            </w:pPr>
            <w:r>
              <w:rPr>
                <w:noProof/>
              </w:rPr>
              <w:drawing>
                <wp:inline distT="0" distB="0" distL="0" distR="0">
                  <wp:extent cx="2829560" cy="1362710"/>
                  <wp:effectExtent l="19050" t="0" r="8890" b="0"/>
                  <wp:docPr id="3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srcRect/>
                          <a:stretch>
                            <a:fillRect/>
                          </a:stretch>
                        </pic:blipFill>
                        <pic:spPr bwMode="auto">
                          <a:xfrm>
                            <a:off x="0" y="0"/>
                            <a:ext cx="2829560" cy="13627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773F6" w:rsidRPr="00B22D95" w:rsidRDefault="008A17BE" w:rsidP="00722604">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19530"/>
                  <wp:effectExtent l="19050" t="0" r="8890" b="0"/>
                  <wp:docPr id="3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2829560" cy="1319530"/>
                          </a:xfrm>
                          <a:prstGeom prst="rect">
                            <a:avLst/>
                          </a:prstGeom>
                          <a:noFill/>
                          <a:ln w="9525">
                            <a:noFill/>
                            <a:miter lim="800000"/>
                            <a:headEnd/>
                            <a:tailEnd/>
                          </a:ln>
                        </pic:spPr>
                      </pic:pic>
                    </a:graphicData>
                  </a:graphic>
                </wp:inline>
              </w:drawing>
            </w:r>
          </w:p>
        </w:tc>
      </w:tr>
      <w:tr w:rsidR="009B191B" w:rsidRPr="00051DF8" w:rsidTr="00DA569E">
        <w:tc>
          <w:tcPr>
            <w:tcW w:w="4820" w:type="dxa"/>
            <w:gridSpan w:val="2"/>
            <w:tcBorders>
              <w:bottom w:val="single" w:sz="4" w:space="0" w:color="FF0000"/>
            </w:tcBorders>
          </w:tcPr>
          <w:p w:rsidR="009B191B" w:rsidRPr="00144B03" w:rsidRDefault="009B191B" w:rsidP="00076B2A">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16</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w:t>
            </w:r>
            <w:r w:rsidR="00076B2A">
              <w:rPr>
                <w:rFonts w:ascii="楷体_GB2312" w:eastAsia="楷体_GB2312" w:hint="eastAsia"/>
                <w:b/>
                <w:color w:val="000000"/>
                <w:sz w:val="18"/>
                <w:szCs w:val="18"/>
              </w:rPr>
              <w:t>全社会用电量：累计同比（%</w:t>
            </w:r>
            <w:r w:rsidR="00627B15">
              <w:rPr>
                <w:rFonts w:ascii="楷体_GB2312" w:eastAsia="楷体_GB2312" w:hint="eastAsia"/>
                <w:b/>
                <w:color w:val="000000"/>
                <w:sz w:val="18"/>
                <w:szCs w:val="18"/>
              </w:rPr>
              <w:t>）</w:t>
            </w:r>
          </w:p>
        </w:tc>
        <w:tc>
          <w:tcPr>
            <w:tcW w:w="4536" w:type="dxa"/>
            <w:tcBorders>
              <w:bottom w:val="single" w:sz="4" w:space="0" w:color="FF0000"/>
            </w:tcBorders>
          </w:tcPr>
          <w:p w:rsidR="009B191B" w:rsidRPr="00144B03" w:rsidRDefault="009B191B" w:rsidP="007B2E90">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17</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中国：M2：同比（@）</w:t>
            </w:r>
          </w:p>
        </w:tc>
      </w:tr>
      <w:tr w:rsidR="009B191B" w:rsidRPr="00B22D95" w:rsidTr="00DA569E">
        <w:tc>
          <w:tcPr>
            <w:tcW w:w="4678" w:type="dxa"/>
            <w:tcBorders>
              <w:top w:val="single" w:sz="4" w:space="0" w:color="FF0000"/>
              <w:bottom w:val="single" w:sz="4" w:space="0" w:color="FF0000"/>
            </w:tcBorders>
          </w:tcPr>
          <w:p w:rsidR="009B191B" w:rsidRPr="00B22D95" w:rsidRDefault="00076B2A" w:rsidP="00DA569E">
            <w:pPr>
              <w:spacing w:line="360" w:lineRule="auto"/>
              <w:ind w:leftChars="16" w:left="34"/>
              <w:rPr>
                <w:rFonts w:ascii="楷体_GB2312" w:eastAsia="楷体_GB2312"/>
                <w:color w:val="000000"/>
                <w:sz w:val="18"/>
                <w:szCs w:val="18"/>
              </w:rPr>
            </w:pPr>
            <w:r>
              <w:rPr>
                <w:noProof/>
              </w:rPr>
              <w:drawing>
                <wp:inline distT="0" distB="0" distL="0" distR="0">
                  <wp:extent cx="2829560" cy="1328420"/>
                  <wp:effectExtent l="19050" t="0" r="8890" b="0"/>
                  <wp:docPr id="33"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cstate="print"/>
                          <a:srcRect/>
                          <a:stretch>
                            <a:fillRect/>
                          </a:stretch>
                        </pic:blipFill>
                        <pic:spPr bwMode="auto">
                          <a:xfrm>
                            <a:off x="0" y="0"/>
                            <a:ext cx="2829560" cy="132842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B191B" w:rsidRPr="00B22D95" w:rsidRDefault="00076B2A" w:rsidP="00DA569E">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345565"/>
                  <wp:effectExtent l="19050" t="0" r="8890" b="0"/>
                  <wp:docPr id="3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srcRect/>
                          <a:stretch>
                            <a:fillRect/>
                          </a:stretch>
                        </pic:blipFill>
                        <pic:spPr bwMode="auto">
                          <a:xfrm>
                            <a:off x="0" y="0"/>
                            <a:ext cx="2829560" cy="1345565"/>
                          </a:xfrm>
                          <a:prstGeom prst="rect">
                            <a:avLst/>
                          </a:prstGeom>
                          <a:noFill/>
                          <a:ln w="9525">
                            <a:noFill/>
                            <a:miter lim="800000"/>
                            <a:headEnd/>
                            <a:tailEnd/>
                          </a:ln>
                        </pic:spPr>
                      </pic:pic>
                    </a:graphicData>
                  </a:graphic>
                </wp:inline>
              </w:drawing>
            </w:r>
          </w:p>
        </w:tc>
      </w:tr>
    </w:tbl>
    <w:p w:rsidR="009B191B" w:rsidRDefault="009B191B" w:rsidP="009B191B">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9B191B" w:rsidRPr="009B191B" w:rsidRDefault="009B191B" w:rsidP="006773F6">
      <w:pPr>
        <w:rPr>
          <w:rFonts w:ascii="楷体_GB2312" w:eastAsia="楷体_GB2312"/>
          <w:noProof/>
          <w:color w:val="000000"/>
        </w:rPr>
      </w:pPr>
    </w:p>
    <w:p w:rsidR="00627B15" w:rsidRDefault="00627B15" w:rsidP="00D76736">
      <w:pPr>
        <w:spacing w:beforeLines="50"/>
        <w:ind w:leftChars="1350" w:left="2835" w:firstLineChars="202" w:firstLine="424"/>
        <w:rPr>
          <w:rFonts w:ascii="楷体_GB2312" w:eastAsia="楷体_GB2312" w:hAnsi="宋体" w:cs="宋体"/>
          <w:kern w:val="0"/>
          <w:szCs w:val="21"/>
        </w:rPr>
      </w:pPr>
    </w:p>
    <w:p w:rsidR="00AE0E62" w:rsidRPr="00816D44" w:rsidRDefault="00141178"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w:t>
      </w:r>
      <w:r w:rsidR="00AE0E62">
        <w:rPr>
          <w:rFonts w:ascii="黑体" w:eastAsia="黑体" w:hAnsi="宋体-18030" w:cs="宋体-18030" w:hint="eastAsia"/>
          <w:b/>
          <w:bCs/>
          <w:color w:val="000000"/>
          <w:kern w:val="44"/>
          <w:sz w:val="28"/>
          <w:szCs w:val="28"/>
        </w:rPr>
        <w:t>各期组合及业绩回顾</w:t>
      </w:r>
    </w:p>
    <w:p w:rsidR="00FA36C2" w:rsidRPr="00815599" w:rsidRDefault="008E0A57" w:rsidP="00815599">
      <w:pPr>
        <w:ind w:leftChars="1350" w:left="2835" w:firstLine="420"/>
        <w:rPr>
          <w:rFonts w:ascii="楷体_GB2312" w:eastAsia="楷体_GB2312"/>
          <w:b/>
          <w:noProof/>
          <w:color w:val="000000" w:themeColor="text1"/>
        </w:rPr>
      </w:pPr>
      <w:r w:rsidRPr="004141E0">
        <w:rPr>
          <w:rFonts w:ascii="楷体_GB2312" w:eastAsia="楷体_GB2312" w:hint="eastAsia"/>
          <w:noProof/>
          <w:color w:val="000000" w:themeColor="text1"/>
        </w:rPr>
        <w:t>自2011年2月以来，同期</w:t>
      </w:r>
      <w:r w:rsidR="00CF5001" w:rsidRPr="004141E0">
        <w:rPr>
          <w:rFonts w:ascii="楷体_GB2312" w:eastAsia="楷体_GB2312" w:hint="eastAsia"/>
          <w:noProof/>
          <w:color w:val="000000" w:themeColor="text1"/>
        </w:rPr>
        <w:t>基础市场表现低迷，</w:t>
      </w:r>
      <w:r w:rsidRPr="004141E0">
        <w:rPr>
          <w:rFonts w:ascii="楷体_GB2312" w:eastAsia="楷体_GB2312" w:hint="eastAsia"/>
          <w:noProof/>
          <w:color w:val="000000" w:themeColor="text1"/>
        </w:rPr>
        <w:t>上证指数</w:t>
      </w:r>
      <w:r w:rsidR="00E21593" w:rsidRPr="004141E0">
        <w:rPr>
          <w:rFonts w:ascii="楷体_GB2312" w:eastAsia="楷体_GB2312" w:hint="eastAsia"/>
          <w:noProof/>
          <w:color w:val="000000" w:themeColor="text1"/>
        </w:rPr>
        <w:t>下跌</w:t>
      </w:r>
      <w:r w:rsidR="00EA3304">
        <w:rPr>
          <w:rFonts w:ascii="楷体_GB2312" w:eastAsia="楷体_GB2312" w:hint="eastAsia"/>
          <w:noProof/>
          <w:color w:val="000000" w:themeColor="text1"/>
        </w:rPr>
        <w:t>15.29</w:t>
      </w:r>
      <w:r w:rsidRPr="004141E0">
        <w:rPr>
          <w:rFonts w:ascii="楷体_GB2312" w:eastAsia="楷体_GB2312" w:hint="eastAsia"/>
          <w:noProof/>
          <w:color w:val="000000" w:themeColor="text1"/>
        </w:rPr>
        <w:t>%，深圳综指</w:t>
      </w:r>
      <w:r w:rsidR="000F3DF3">
        <w:rPr>
          <w:rFonts w:ascii="楷体_GB2312" w:eastAsia="楷体_GB2312" w:hint="eastAsia"/>
          <w:noProof/>
          <w:color w:val="000000" w:themeColor="text1"/>
        </w:rPr>
        <w:t>上涨</w:t>
      </w:r>
      <w:r w:rsidR="00EA3304">
        <w:rPr>
          <w:rFonts w:ascii="楷体_GB2312" w:eastAsia="楷体_GB2312" w:hint="eastAsia"/>
          <w:noProof/>
          <w:color w:val="000000" w:themeColor="text1"/>
        </w:rPr>
        <w:t>11.34</w:t>
      </w:r>
      <w:r w:rsidRPr="004141E0">
        <w:rPr>
          <w:rFonts w:ascii="楷体_GB2312" w:eastAsia="楷体_GB2312" w:hint="eastAsia"/>
          <w:noProof/>
          <w:color w:val="000000" w:themeColor="text1"/>
        </w:rPr>
        <w:t>%。</w:t>
      </w:r>
      <w:r w:rsidR="00CF5001" w:rsidRPr="004141E0">
        <w:rPr>
          <w:rFonts w:ascii="楷体_GB2312" w:eastAsia="楷体_GB2312" w:hint="eastAsia"/>
          <w:noProof/>
          <w:color w:val="000000" w:themeColor="text1"/>
        </w:rPr>
        <w:t>上海证券三个风险等级组合</w:t>
      </w:r>
      <w:r w:rsidR="00974B66" w:rsidRPr="004141E0">
        <w:rPr>
          <w:rFonts w:ascii="楷体_GB2312" w:eastAsia="楷体_GB2312" w:hint="eastAsia"/>
          <w:noProof/>
          <w:color w:val="000000" w:themeColor="text1"/>
        </w:rPr>
        <w:t>实现正收益</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积极型、平衡型、稳健型</w:t>
      </w:r>
      <w:r w:rsidRPr="004141E0">
        <w:rPr>
          <w:rFonts w:ascii="楷体_GB2312" w:eastAsia="楷体_GB2312" w:hint="eastAsia"/>
          <w:noProof/>
          <w:color w:val="000000" w:themeColor="text1"/>
        </w:rPr>
        <w:t>累计</w:t>
      </w:r>
      <w:r w:rsidR="00B67ADD" w:rsidRPr="004141E0">
        <w:rPr>
          <w:rFonts w:ascii="楷体_GB2312" w:eastAsia="楷体_GB2312" w:hint="eastAsia"/>
          <w:noProof/>
          <w:color w:val="000000" w:themeColor="text1"/>
        </w:rPr>
        <w:t>分别上涨</w:t>
      </w:r>
      <w:r w:rsidR="00815599" w:rsidRPr="00815599">
        <w:rPr>
          <w:rFonts w:ascii="楷体_GB2312" w:eastAsia="楷体_GB2312"/>
          <w:b/>
          <w:noProof/>
          <w:color w:val="000000" w:themeColor="text1"/>
        </w:rPr>
        <w:t>37.21%</w:t>
      </w:r>
      <w:r w:rsidR="00815599">
        <w:rPr>
          <w:rFonts w:ascii="楷体_GB2312" w:eastAsia="楷体_GB2312" w:hint="eastAsia"/>
          <w:b/>
          <w:noProof/>
          <w:color w:val="000000" w:themeColor="text1"/>
        </w:rPr>
        <w:t>、</w:t>
      </w:r>
      <w:r w:rsidR="00815599" w:rsidRPr="00815599">
        <w:rPr>
          <w:rFonts w:ascii="楷体_GB2312" w:eastAsia="楷体_GB2312"/>
          <w:b/>
          <w:noProof/>
          <w:color w:val="000000" w:themeColor="text1"/>
        </w:rPr>
        <w:t>23.32%</w:t>
      </w:r>
      <w:r w:rsidR="00815599">
        <w:rPr>
          <w:rFonts w:ascii="楷体_GB2312" w:eastAsia="楷体_GB2312" w:hint="eastAsia"/>
          <w:b/>
          <w:noProof/>
          <w:color w:val="000000" w:themeColor="text1"/>
        </w:rPr>
        <w:t>、</w:t>
      </w:r>
      <w:r w:rsidR="00815599">
        <w:rPr>
          <w:rFonts w:ascii="楷体_GB2312" w:eastAsia="楷体_GB2312"/>
          <w:b/>
          <w:noProof/>
          <w:color w:val="000000" w:themeColor="text1"/>
        </w:rPr>
        <w:t>16.09</w:t>
      </w:r>
      <w:r w:rsidR="00034DC0" w:rsidRPr="005F68B1">
        <w:rPr>
          <w:rFonts w:ascii="楷体_GB2312" w:eastAsia="楷体_GB2312"/>
          <w:b/>
          <w:noProof/>
          <w:color w:val="000000" w:themeColor="text1"/>
        </w:rPr>
        <w:t>%</w:t>
      </w:r>
      <w:r w:rsidRPr="004141E0">
        <w:rPr>
          <w:rFonts w:ascii="楷体_GB2312" w:eastAsia="楷体_GB2312" w:hint="eastAsia"/>
          <w:noProof/>
          <w:color w:val="000000" w:themeColor="text1"/>
        </w:rPr>
        <w:t>，</w:t>
      </w:r>
      <w:r w:rsidR="00B67ADD" w:rsidRPr="004141E0">
        <w:rPr>
          <w:rFonts w:ascii="楷体_GB2312" w:eastAsia="楷体_GB2312" w:hint="eastAsia"/>
          <w:noProof/>
          <w:color w:val="000000" w:themeColor="text1"/>
        </w:rPr>
        <w:t>分别</w:t>
      </w:r>
      <w:r w:rsidRPr="004141E0">
        <w:rPr>
          <w:rFonts w:ascii="楷体_GB2312" w:eastAsia="楷体_GB2312" w:hint="eastAsia"/>
          <w:noProof/>
          <w:color w:val="000000" w:themeColor="text1"/>
        </w:rPr>
        <w:t>超越</w:t>
      </w:r>
      <w:r w:rsidR="00B67ADD" w:rsidRPr="004141E0">
        <w:rPr>
          <w:rFonts w:ascii="楷体_GB2312" w:eastAsia="楷体_GB2312" w:hint="eastAsia"/>
          <w:noProof/>
          <w:color w:val="000000" w:themeColor="text1"/>
        </w:rPr>
        <w:t>相应</w:t>
      </w:r>
      <w:r w:rsidRPr="004141E0">
        <w:rPr>
          <w:rFonts w:ascii="楷体_GB2312" w:eastAsia="楷体_GB2312" w:hint="eastAsia"/>
          <w:noProof/>
          <w:color w:val="000000" w:themeColor="text1"/>
        </w:rPr>
        <w:t>基准</w:t>
      </w:r>
      <w:r w:rsidR="00815599">
        <w:rPr>
          <w:rFonts w:ascii="楷体_GB2312" w:eastAsia="楷体_GB2312"/>
          <w:b/>
          <w:noProof/>
          <w:color w:val="000000" w:themeColor="text1"/>
        </w:rPr>
        <w:t>30.54</w:t>
      </w:r>
      <w:r w:rsidR="00815599">
        <w:rPr>
          <w:rFonts w:ascii="楷体_GB2312" w:eastAsia="楷体_GB2312" w:hint="eastAsia"/>
          <w:b/>
          <w:noProof/>
          <w:color w:val="000000" w:themeColor="text1"/>
        </w:rPr>
        <w:t>、</w:t>
      </w:r>
      <w:r w:rsidR="00815599">
        <w:rPr>
          <w:rFonts w:ascii="楷体_GB2312" w:eastAsia="楷体_GB2312"/>
          <w:b/>
          <w:noProof/>
          <w:color w:val="000000" w:themeColor="text1"/>
        </w:rPr>
        <w:t>10.16</w:t>
      </w:r>
      <w:r w:rsidR="00815599">
        <w:rPr>
          <w:rFonts w:ascii="楷体_GB2312" w:eastAsia="楷体_GB2312" w:hint="eastAsia"/>
          <w:b/>
          <w:noProof/>
          <w:color w:val="000000" w:themeColor="text1"/>
        </w:rPr>
        <w:t>、</w:t>
      </w:r>
      <w:r w:rsidR="00815599" w:rsidRPr="00815599">
        <w:rPr>
          <w:rFonts w:ascii="楷体_GB2312" w:eastAsia="楷体_GB2312"/>
          <w:b/>
          <w:noProof/>
          <w:color w:val="000000" w:themeColor="text1"/>
        </w:rPr>
        <w:t>3.99</w:t>
      </w:r>
      <w:r w:rsidR="0046610D" w:rsidRPr="004141E0">
        <w:rPr>
          <w:rFonts w:ascii="楷体_GB2312" w:eastAsia="楷体_GB2312" w:hint="eastAsia"/>
          <w:noProof/>
          <w:color w:val="000000" w:themeColor="text1"/>
        </w:rPr>
        <w:t>个</w:t>
      </w:r>
      <w:r w:rsidR="00B67ADD" w:rsidRPr="004141E0">
        <w:rPr>
          <w:rFonts w:ascii="楷体_GB2312" w:eastAsia="楷体_GB2312" w:hint="eastAsia"/>
          <w:noProof/>
          <w:color w:val="000000" w:themeColor="text1"/>
        </w:rPr>
        <w:t>百分点。</w:t>
      </w:r>
      <w:r w:rsidR="00FA36C2" w:rsidRPr="004141E0">
        <w:rPr>
          <w:rFonts w:ascii="楷体_GB2312" w:eastAsia="楷体_GB2312" w:hint="eastAsia"/>
          <w:noProof/>
          <w:color w:val="000000" w:themeColor="text1"/>
        </w:rPr>
        <w:t>201</w:t>
      </w:r>
      <w:r w:rsidR="00916D6D" w:rsidRPr="004141E0">
        <w:rPr>
          <w:rFonts w:ascii="楷体_GB2312" w:eastAsia="楷体_GB2312" w:hint="eastAsia"/>
          <w:noProof/>
          <w:color w:val="000000" w:themeColor="text1"/>
        </w:rPr>
        <w:t>4</w:t>
      </w:r>
      <w:r w:rsidR="00FA36C2" w:rsidRPr="004141E0">
        <w:rPr>
          <w:rFonts w:ascii="楷体_GB2312" w:eastAsia="楷体_GB2312" w:hint="eastAsia"/>
          <w:noProof/>
          <w:color w:val="000000" w:themeColor="text1"/>
        </w:rPr>
        <w:t>年</w:t>
      </w:r>
      <w:r w:rsidR="00815599">
        <w:rPr>
          <w:rFonts w:ascii="楷体_GB2312" w:eastAsia="楷体_GB2312" w:hint="eastAsia"/>
          <w:noProof/>
          <w:color w:val="000000" w:themeColor="text1"/>
        </w:rPr>
        <w:t>9</w:t>
      </w:r>
      <w:r w:rsidR="00FA36C2" w:rsidRPr="004141E0">
        <w:rPr>
          <w:rFonts w:ascii="楷体_GB2312" w:eastAsia="楷体_GB2312" w:hint="eastAsia"/>
          <w:noProof/>
          <w:color w:val="000000" w:themeColor="text1"/>
        </w:rPr>
        <w:t>月，上海证券</w:t>
      </w:r>
      <w:r w:rsidR="00815599" w:rsidRPr="004141E0">
        <w:rPr>
          <w:rFonts w:ascii="楷体_GB2312" w:eastAsia="楷体_GB2312" w:hint="eastAsia"/>
          <w:noProof/>
          <w:color w:val="000000" w:themeColor="text1"/>
        </w:rPr>
        <w:t>积极型</w:t>
      </w:r>
      <w:r w:rsidR="00815599">
        <w:rPr>
          <w:rFonts w:ascii="楷体_GB2312" w:eastAsia="楷体_GB2312" w:hint="eastAsia"/>
          <w:noProof/>
          <w:color w:val="000000" w:themeColor="text1"/>
        </w:rPr>
        <w:t>、稳健型组合</w:t>
      </w:r>
      <w:r w:rsidR="00CB4769">
        <w:rPr>
          <w:rFonts w:ascii="楷体_GB2312" w:eastAsia="楷体_GB2312" w:hint="eastAsia"/>
          <w:noProof/>
          <w:color w:val="000000" w:themeColor="text1"/>
        </w:rPr>
        <w:t>收益</w:t>
      </w:r>
      <w:r w:rsidR="00815599">
        <w:rPr>
          <w:rFonts w:ascii="楷体_GB2312" w:eastAsia="楷体_GB2312" w:hint="eastAsia"/>
          <w:noProof/>
          <w:color w:val="000000" w:themeColor="text1"/>
        </w:rPr>
        <w:t>均超越业绩比较基准，平衡性组合业绩不及</w:t>
      </w:r>
      <w:r w:rsidR="009635D8" w:rsidRPr="004141E0">
        <w:rPr>
          <w:rFonts w:ascii="楷体_GB2312" w:eastAsia="楷体_GB2312" w:hint="eastAsia"/>
          <w:noProof/>
          <w:color w:val="000000" w:themeColor="text1"/>
        </w:rPr>
        <w:t>业绩比较基准</w:t>
      </w:r>
      <w:r w:rsidR="00FA36C2" w:rsidRPr="004141E0">
        <w:rPr>
          <w:rFonts w:ascii="楷体_GB2312" w:eastAsia="楷体_GB2312" w:hint="eastAsia"/>
          <w:noProof/>
          <w:color w:val="000000" w:themeColor="text1"/>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815599">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146588">
              <w:rPr>
                <w:rFonts w:ascii="楷体_GB2312" w:eastAsia="楷体_GB2312" w:hAnsi="宋体" w:cs="宋体" w:hint="eastAsia"/>
                <w:b/>
                <w:bCs/>
                <w:color w:val="FFFFFF"/>
                <w:kern w:val="0"/>
                <w:szCs w:val="21"/>
              </w:rPr>
              <w:t>4</w:t>
            </w:r>
            <w:r w:rsidRPr="00BD1E88">
              <w:rPr>
                <w:rFonts w:ascii="楷体_GB2312" w:eastAsia="楷体_GB2312" w:hAnsi="宋体" w:cs="宋体" w:hint="eastAsia"/>
                <w:b/>
                <w:bCs/>
                <w:color w:val="FFFFFF"/>
                <w:kern w:val="0"/>
                <w:szCs w:val="21"/>
              </w:rPr>
              <w:t>年</w:t>
            </w:r>
            <w:r w:rsidR="00815599">
              <w:rPr>
                <w:rFonts w:ascii="楷体_GB2312" w:eastAsia="楷体_GB2312" w:hAnsi="宋体" w:cs="宋体" w:hint="eastAsia"/>
                <w:b/>
                <w:bCs/>
                <w:color w:val="FFFFFF"/>
                <w:kern w:val="0"/>
                <w:szCs w:val="21"/>
              </w:rPr>
              <w:t>9</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815599"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7.23%</w:t>
            </w:r>
          </w:p>
        </w:tc>
        <w:tc>
          <w:tcPr>
            <w:tcW w:w="714" w:type="pct"/>
            <w:tcBorders>
              <w:top w:val="nil"/>
              <w:left w:val="nil"/>
              <w:bottom w:val="single" w:sz="8" w:space="0" w:color="auto"/>
              <w:right w:val="single" w:sz="8" w:space="0" w:color="auto"/>
            </w:tcBorders>
            <w:shd w:val="clear" w:color="auto" w:fill="auto"/>
            <w:noWrap/>
            <w:vAlign w:val="center"/>
            <w:hideMark/>
          </w:tcPr>
          <w:p w:rsidR="00815599" w:rsidRPr="00815599" w:rsidRDefault="00815599" w:rsidP="00815599">
            <w:pPr>
              <w:jc w:val="center"/>
              <w:rPr>
                <w:i/>
                <w:color w:val="0D0D0D"/>
              </w:rPr>
            </w:pPr>
            <w:r w:rsidRPr="00815599">
              <w:rPr>
                <w:rFonts w:hint="eastAsia"/>
                <w:i/>
                <w:color w:val="0D0D0D"/>
              </w:rPr>
              <w:t>6.69%</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0D0D0D"/>
              </w:rPr>
            </w:pPr>
            <w:r w:rsidRPr="00815599">
              <w:rPr>
                <w:b/>
                <w:i/>
                <w:color w:val="0D0D0D"/>
              </w:rPr>
              <w:t>0.54%</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37.21%</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6.67%</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0D0D0D"/>
              </w:rPr>
            </w:pPr>
            <w:r w:rsidRPr="00815599">
              <w:rPr>
                <w:b/>
                <w:i/>
                <w:color w:val="0D0D0D"/>
              </w:rPr>
              <w:t>30.54%</w:t>
            </w:r>
          </w:p>
        </w:tc>
      </w:tr>
      <w:tr w:rsidR="00815599"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1.25%</w:t>
            </w:r>
          </w:p>
        </w:tc>
        <w:tc>
          <w:tcPr>
            <w:tcW w:w="714" w:type="pct"/>
            <w:tcBorders>
              <w:top w:val="nil"/>
              <w:left w:val="nil"/>
              <w:bottom w:val="single" w:sz="8" w:space="0" w:color="auto"/>
              <w:right w:val="single" w:sz="8" w:space="0" w:color="auto"/>
            </w:tcBorders>
            <w:shd w:val="clear" w:color="auto" w:fill="auto"/>
            <w:noWrap/>
            <w:vAlign w:val="center"/>
            <w:hideMark/>
          </w:tcPr>
          <w:p w:rsidR="00815599" w:rsidRPr="00815599" w:rsidRDefault="00815599" w:rsidP="00815599">
            <w:pPr>
              <w:jc w:val="center"/>
              <w:rPr>
                <w:i/>
                <w:color w:val="0D0D0D"/>
              </w:rPr>
            </w:pPr>
            <w:r w:rsidRPr="00815599">
              <w:rPr>
                <w:rFonts w:hint="eastAsia"/>
                <w:i/>
                <w:color w:val="0D0D0D"/>
              </w:rPr>
              <w:t>4.22%</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FF0000"/>
              </w:rPr>
            </w:pPr>
            <w:r w:rsidRPr="00815599">
              <w:rPr>
                <w:b/>
                <w:i/>
                <w:color w:val="FF0000"/>
              </w:rPr>
              <w:t>-2.96%</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23.32%</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13.16%</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0D0D0D"/>
              </w:rPr>
            </w:pPr>
            <w:r w:rsidRPr="00815599">
              <w:rPr>
                <w:b/>
                <w:i/>
                <w:color w:val="0D0D0D"/>
              </w:rPr>
              <w:t>10.16%</w:t>
            </w:r>
          </w:p>
        </w:tc>
      </w:tr>
      <w:tr w:rsidR="00815599"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0.58%</w:t>
            </w:r>
          </w:p>
        </w:tc>
        <w:tc>
          <w:tcPr>
            <w:tcW w:w="714" w:type="pct"/>
            <w:tcBorders>
              <w:top w:val="nil"/>
              <w:left w:val="nil"/>
              <w:bottom w:val="single" w:sz="8" w:space="0" w:color="auto"/>
              <w:right w:val="single" w:sz="8" w:space="0" w:color="auto"/>
            </w:tcBorders>
            <w:shd w:val="clear" w:color="auto" w:fill="auto"/>
            <w:noWrap/>
            <w:vAlign w:val="center"/>
            <w:hideMark/>
          </w:tcPr>
          <w:p w:rsidR="00815599" w:rsidRPr="00815599" w:rsidRDefault="00815599" w:rsidP="00815599">
            <w:pPr>
              <w:jc w:val="center"/>
              <w:rPr>
                <w:i/>
                <w:color w:val="0D0D0D"/>
              </w:rPr>
            </w:pPr>
            <w:r w:rsidRPr="00815599">
              <w:rPr>
                <w:rFonts w:hint="eastAsia"/>
                <w:i/>
                <w:color w:val="0D0D0D"/>
              </w:rPr>
              <w:t>0.25%</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0D0D0D"/>
              </w:rPr>
            </w:pPr>
            <w:r w:rsidRPr="00815599">
              <w:rPr>
                <w:b/>
                <w:i/>
                <w:color w:val="0D0D0D"/>
              </w:rPr>
              <w:t>0.33%</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16.09%</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12.09%</w:t>
            </w:r>
          </w:p>
        </w:tc>
        <w:tc>
          <w:tcPr>
            <w:tcW w:w="715" w:type="pct"/>
            <w:tcBorders>
              <w:top w:val="nil"/>
              <w:left w:val="nil"/>
              <w:bottom w:val="single" w:sz="8" w:space="0" w:color="auto"/>
              <w:right w:val="single" w:sz="8" w:space="0" w:color="auto"/>
            </w:tcBorders>
            <w:shd w:val="clear" w:color="auto" w:fill="auto"/>
            <w:noWrap/>
            <w:hideMark/>
          </w:tcPr>
          <w:p w:rsidR="00815599" w:rsidRPr="00815599" w:rsidRDefault="00815599" w:rsidP="00815599">
            <w:pPr>
              <w:jc w:val="center"/>
              <w:rPr>
                <w:b/>
                <w:i/>
                <w:color w:val="0D0D0D"/>
              </w:rPr>
            </w:pPr>
            <w:r w:rsidRPr="00815599">
              <w:rPr>
                <w:b/>
                <w:i/>
                <w:color w:val="0D0D0D"/>
              </w:rPr>
              <w:t>3.99%</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535E3C">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535E3C">
              <w:rPr>
                <w:rFonts w:ascii="楷体_GB2312" w:eastAsia="楷体_GB2312" w:hAnsi="宋体" w:cs="宋体" w:hint="eastAsia"/>
                <w:b/>
                <w:bCs/>
                <w:color w:val="FFFFFF"/>
                <w:kern w:val="0"/>
                <w:szCs w:val="21"/>
              </w:rPr>
              <w:t>以来</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254CD8">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815599"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15.19%</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11.40%</w:t>
            </w:r>
          </w:p>
        </w:tc>
        <w:tc>
          <w:tcPr>
            <w:tcW w:w="715"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b/>
                <w:i/>
                <w:color w:val="0D0D0D"/>
              </w:rPr>
            </w:pPr>
            <w:r w:rsidRPr="00815599">
              <w:rPr>
                <w:rFonts w:hint="eastAsia"/>
                <w:b/>
                <w:i/>
                <w:color w:val="0D0D0D"/>
              </w:rPr>
              <w:t>3.35%</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5A3EE9" w:rsidRDefault="00815599" w:rsidP="005A3EE9">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b/>
                <w:i/>
                <w:color w:val="0D0D0D"/>
                <w:sz w:val="24"/>
              </w:rPr>
            </w:pPr>
            <w:r w:rsidRPr="002D0839">
              <w:rPr>
                <w:rFonts w:hint="eastAsia"/>
                <w:b/>
                <w:i/>
                <w:color w:val="0D0D0D"/>
              </w:rPr>
              <w:t>15.93%</w:t>
            </w:r>
          </w:p>
        </w:tc>
      </w:tr>
      <w:tr w:rsidR="00815599"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7.19%</w:t>
            </w:r>
          </w:p>
        </w:tc>
        <w:tc>
          <w:tcPr>
            <w:tcW w:w="714" w:type="pct"/>
            <w:tcBorders>
              <w:top w:val="nil"/>
              <w:left w:val="nil"/>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10.44%</w:t>
            </w:r>
          </w:p>
        </w:tc>
        <w:tc>
          <w:tcPr>
            <w:tcW w:w="715"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b/>
                <w:i/>
                <w:color w:val="FF0000"/>
              </w:rPr>
            </w:pPr>
            <w:r w:rsidRPr="00815599">
              <w:rPr>
                <w:rFonts w:hint="eastAsia"/>
                <w:b/>
                <w:i/>
                <w:color w:val="FF0000"/>
              </w:rPr>
              <w:t>-3.19%</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5A3EE9" w:rsidRDefault="00815599" w:rsidP="005A3EE9">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b/>
                <w:i/>
                <w:color w:val="0D0D0D"/>
                <w:sz w:val="24"/>
              </w:rPr>
            </w:pPr>
            <w:r w:rsidRPr="002D0839">
              <w:rPr>
                <w:rFonts w:hint="eastAsia"/>
                <w:b/>
                <w:i/>
                <w:color w:val="0D0D0D"/>
              </w:rPr>
              <w:t>1.49%</w:t>
            </w:r>
          </w:p>
        </w:tc>
      </w:tr>
      <w:tr w:rsidR="00815599"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815599" w:rsidRPr="00BD1E88" w:rsidRDefault="00815599"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4.31%</w:t>
            </w:r>
          </w:p>
        </w:tc>
        <w:tc>
          <w:tcPr>
            <w:tcW w:w="714" w:type="pct"/>
            <w:tcBorders>
              <w:top w:val="nil"/>
              <w:left w:val="nil"/>
              <w:bottom w:val="single" w:sz="4" w:space="0" w:color="auto"/>
              <w:right w:val="single" w:sz="4" w:space="0" w:color="auto"/>
            </w:tcBorders>
            <w:shd w:val="clear" w:color="auto" w:fill="auto"/>
            <w:noWrap/>
            <w:vAlign w:val="bottom"/>
            <w:hideMark/>
          </w:tcPr>
          <w:p w:rsidR="00815599" w:rsidRPr="00815599" w:rsidRDefault="00815599" w:rsidP="00815599">
            <w:pPr>
              <w:jc w:val="center"/>
              <w:rPr>
                <w:i/>
                <w:color w:val="0D0D0D"/>
              </w:rPr>
            </w:pPr>
            <w:r w:rsidRPr="00815599">
              <w:rPr>
                <w:rFonts w:hint="eastAsia"/>
                <w:i/>
                <w:color w:val="0D0D0D"/>
              </w:rPr>
              <w:t>2.29%</w:t>
            </w:r>
          </w:p>
        </w:tc>
        <w:tc>
          <w:tcPr>
            <w:tcW w:w="715" w:type="pct"/>
            <w:tcBorders>
              <w:top w:val="nil"/>
              <w:left w:val="nil"/>
              <w:bottom w:val="single" w:sz="8" w:space="0" w:color="auto"/>
              <w:right w:val="single" w:sz="8" w:space="0" w:color="auto"/>
            </w:tcBorders>
            <w:shd w:val="clear" w:color="auto" w:fill="auto"/>
            <w:noWrap/>
            <w:vAlign w:val="bottom"/>
            <w:hideMark/>
          </w:tcPr>
          <w:p w:rsidR="00815599" w:rsidRPr="00815599" w:rsidRDefault="00815599" w:rsidP="00815599">
            <w:pPr>
              <w:jc w:val="center"/>
              <w:rPr>
                <w:b/>
                <w:i/>
                <w:color w:val="0D0D0D"/>
              </w:rPr>
            </w:pPr>
            <w:r w:rsidRPr="00815599">
              <w:rPr>
                <w:rFonts w:hint="eastAsia"/>
                <w:b/>
                <w:i/>
                <w:color w:val="0D0D0D"/>
              </w:rPr>
              <w:t>1.98%</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815599" w:rsidRPr="005A3EE9" w:rsidRDefault="00815599" w:rsidP="005A3EE9">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815599" w:rsidRPr="002D0839" w:rsidRDefault="00815599" w:rsidP="002D0839">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注：组合于2011年2月</w:t>
      </w:r>
      <w:r w:rsidR="002A6E97">
        <w:rPr>
          <w:rFonts w:ascii="楷体_GB2312" w:eastAsia="楷体_GB2312" w:hint="eastAsia"/>
          <w:noProof/>
        </w:rPr>
        <w:t>1日</w:t>
      </w:r>
      <w:r>
        <w:rPr>
          <w:rFonts w:ascii="楷体_GB2312" w:eastAsia="楷体_GB2312" w:hint="eastAsia"/>
          <w:noProof/>
        </w:rPr>
        <w:t>设立</w:t>
      </w:r>
      <w:r w:rsidR="005A3EE9">
        <w:rPr>
          <w:rFonts w:ascii="楷体_GB2312" w:eastAsia="楷体_GB2312" w:hint="eastAsia"/>
          <w:noProof/>
        </w:rPr>
        <w:t>，数据截至</w:t>
      </w:r>
      <w:r w:rsidR="005A3EE9" w:rsidRPr="00CD771C">
        <w:rPr>
          <w:rFonts w:ascii="楷体_GB2312" w:eastAsia="楷体_GB2312" w:hint="eastAsia"/>
          <w:noProof/>
        </w:rPr>
        <w:t>201</w:t>
      </w:r>
      <w:r w:rsidR="005A3EE9">
        <w:rPr>
          <w:rFonts w:ascii="楷体_GB2312" w:eastAsia="楷体_GB2312" w:hint="eastAsia"/>
          <w:noProof/>
        </w:rPr>
        <w:t>4</w:t>
      </w:r>
      <w:r w:rsidR="005A3EE9" w:rsidRPr="00CD771C">
        <w:rPr>
          <w:rFonts w:ascii="楷体_GB2312" w:eastAsia="楷体_GB2312" w:hint="eastAsia"/>
          <w:noProof/>
        </w:rPr>
        <w:t>年</w:t>
      </w:r>
      <w:r w:rsidR="00815599">
        <w:rPr>
          <w:rFonts w:ascii="楷体_GB2312" w:eastAsia="楷体_GB2312" w:hint="eastAsia"/>
          <w:noProof/>
        </w:rPr>
        <w:t>9</w:t>
      </w:r>
      <w:r w:rsidR="005A3EE9" w:rsidRPr="00CD771C">
        <w:rPr>
          <w:rFonts w:ascii="楷体_GB2312" w:eastAsia="楷体_GB2312" w:hint="eastAsia"/>
          <w:noProof/>
        </w:rPr>
        <w:t>月</w:t>
      </w:r>
      <w:r w:rsidR="005A3EE9">
        <w:rPr>
          <w:rFonts w:ascii="楷体_GB2312" w:eastAsia="楷体_GB2312" w:hint="eastAsia"/>
          <w:noProof/>
        </w:rPr>
        <w:t>3</w:t>
      </w:r>
      <w:r w:rsidR="00815599">
        <w:rPr>
          <w:rFonts w:ascii="楷体_GB2312" w:eastAsia="楷体_GB2312" w:hint="eastAsia"/>
          <w:noProof/>
        </w:rPr>
        <w:t>0</w:t>
      </w:r>
      <w:r w:rsidR="005A3EE9" w:rsidRPr="00CD771C">
        <w:rPr>
          <w:rFonts w:ascii="楷体_GB2312" w:eastAsia="楷体_GB2312" w:hint="eastAsia"/>
          <w:noProof/>
        </w:rPr>
        <w:t>日</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7B2E90">
        <w:rPr>
          <w:rFonts w:ascii="楷体_GB2312" w:eastAsia="楷体_GB2312" w:hint="eastAsia"/>
          <w:b/>
          <w:color w:val="000000"/>
          <w:sz w:val="18"/>
          <w:szCs w:val="18"/>
        </w:rPr>
        <w:t>18</w:t>
      </w:r>
      <w:r w:rsidRPr="00144B03">
        <w:rPr>
          <w:rFonts w:ascii="楷体_GB2312" w:eastAsia="楷体_GB2312" w:hint="eastAsia"/>
          <w:b/>
          <w:color w:val="000000"/>
          <w:sz w:val="18"/>
          <w:szCs w:val="18"/>
        </w:rPr>
        <w:t xml:space="preserve">  上海证券积极型基金组合累计</w:t>
      </w:r>
      <w:r w:rsidR="00DF138F"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752EFB" w:rsidP="0067696A">
      <w:pPr>
        <w:keepNext/>
        <w:keepLines/>
        <w:jc w:val="center"/>
      </w:pPr>
      <w:r w:rsidRPr="00752EFB">
        <w:drawing>
          <wp:inline distT="0" distB="0" distL="0" distR="0">
            <wp:extent cx="5123815" cy="2070100"/>
            <wp:effectExtent l="19050" t="0" r="635" b="0"/>
            <wp:docPr id="3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8E0A57" w:rsidRDefault="008E0A57"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19</w:t>
      </w:r>
      <w:r w:rsidRPr="00144B03">
        <w:rPr>
          <w:rFonts w:ascii="楷体_GB2312" w:eastAsia="楷体_GB2312" w:hint="eastAsia"/>
          <w:b/>
          <w:color w:val="000000"/>
          <w:sz w:val="18"/>
          <w:szCs w:val="18"/>
        </w:rPr>
        <w:t xml:space="preserve"> 上海证券平衡型基金组合累计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752EFB" w:rsidP="0067696A">
      <w:pPr>
        <w:keepNext/>
        <w:keepLines/>
        <w:jc w:val="center"/>
        <w:rPr>
          <w:rFonts w:hint="eastAsia"/>
          <w:noProof/>
        </w:rPr>
      </w:pPr>
      <w:r w:rsidRPr="00752EFB">
        <w:drawing>
          <wp:inline distT="0" distB="0" distL="0" distR="0">
            <wp:extent cx="5123815" cy="2070100"/>
            <wp:effectExtent l="19050" t="0" r="635" b="0"/>
            <wp:docPr id="3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752EFB" w:rsidRDefault="00752EFB" w:rsidP="0067696A">
      <w:pPr>
        <w:keepNext/>
        <w:keepLines/>
        <w:jc w:val="center"/>
        <w:rPr>
          <w:rFonts w:ascii="楷体_GB2312" w:eastAsia="楷体_GB2312"/>
          <w:noProof/>
        </w:rPr>
      </w:pPr>
    </w:p>
    <w:p w:rsidR="009908B0" w:rsidRDefault="009908B0"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7B2E90">
        <w:rPr>
          <w:rFonts w:ascii="楷体_GB2312" w:eastAsia="楷体_GB2312" w:hint="eastAsia"/>
          <w:b/>
          <w:color w:val="000000"/>
          <w:sz w:val="18"/>
          <w:szCs w:val="18"/>
        </w:rPr>
        <w:t>20</w:t>
      </w:r>
      <w:r w:rsidRPr="00144B03">
        <w:rPr>
          <w:rFonts w:ascii="楷体_GB2312" w:eastAsia="楷体_GB2312" w:hint="eastAsia"/>
          <w:b/>
          <w:color w:val="000000"/>
          <w:sz w:val="18"/>
          <w:szCs w:val="18"/>
        </w:rPr>
        <w:t xml:space="preserve">  上海证券稳健型基金组合累计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752EFB" w:rsidP="0067696A">
      <w:pPr>
        <w:keepNext/>
        <w:keepLines/>
        <w:jc w:val="center"/>
        <w:rPr>
          <w:rFonts w:ascii="楷体_GB2312" w:eastAsia="楷体_GB2312"/>
          <w:noProof/>
        </w:rPr>
      </w:pPr>
      <w:r w:rsidRPr="00752EFB">
        <w:drawing>
          <wp:inline distT="0" distB="0" distL="0" distR="0">
            <wp:extent cx="5123815" cy="2070100"/>
            <wp:effectExtent l="19050" t="0" r="635" b="0"/>
            <wp:docPr id="3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cstate="print"/>
                    <a:srcRect/>
                    <a:stretch>
                      <a:fillRect/>
                    </a:stretch>
                  </pic:blipFill>
                  <pic:spPr bwMode="auto">
                    <a:xfrm>
                      <a:off x="0" y="0"/>
                      <a:ext cx="5123815" cy="2070100"/>
                    </a:xfrm>
                    <a:prstGeom prst="rect">
                      <a:avLst/>
                    </a:prstGeom>
                    <a:noFill/>
                    <a:ln w="9525">
                      <a:noFill/>
                      <a:miter lim="800000"/>
                      <a:headEnd/>
                      <a:tailEnd/>
                    </a:ln>
                  </pic:spPr>
                </pic:pic>
              </a:graphicData>
            </a:graphic>
          </wp:inline>
        </w:drawing>
      </w:r>
    </w:p>
    <w:p w:rsidR="00175259" w:rsidRDefault="00175259" w:rsidP="00144B03">
      <w:pPr>
        <w:spacing w:line="360" w:lineRule="auto"/>
        <w:jc w:val="center"/>
        <w:rPr>
          <w:rFonts w:ascii="楷体_GB2312" w:eastAsia="楷体_GB2312"/>
          <w:b/>
          <w:color w:val="000000"/>
          <w:sz w:val="18"/>
          <w:szCs w:val="18"/>
        </w:rPr>
      </w:pPr>
    </w:p>
    <w:p w:rsidR="0056388A" w:rsidRDefault="0056388A" w:rsidP="00144B03">
      <w:pPr>
        <w:spacing w:line="360" w:lineRule="auto"/>
        <w:jc w:val="center"/>
        <w:rPr>
          <w:rFonts w:ascii="楷体_GB2312" w:eastAsia="楷体_GB2312"/>
          <w:b/>
          <w:color w:val="000000"/>
          <w:sz w:val="18"/>
          <w:szCs w:val="18"/>
        </w:rPr>
      </w:pPr>
    </w:p>
    <w:p w:rsidR="0056388A" w:rsidRDefault="0056388A" w:rsidP="00144B03">
      <w:pPr>
        <w:spacing w:line="360" w:lineRule="auto"/>
        <w:jc w:val="center"/>
        <w:rPr>
          <w:rFonts w:ascii="楷体_GB2312" w:eastAsia="楷体_GB2312"/>
          <w:b/>
          <w:color w:val="000000"/>
          <w:sz w:val="18"/>
          <w:szCs w:val="18"/>
        </w:rPr>
      </w:pPr>
    </w:p>
    <w:p w:rsidR="00E948C6" w:rsidRPr="00144B03" w:rsidRDefault="00A827A2"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表</w:t>
      </w:r>
      <w:r w:rsidR="00634E6C">
        <w:rPr>
          <w:rFonts w:ascii="楷体_GB2312" w:eastAsia="楷体_GB2312" w:hint="eastAsia"/>
          <w:b/>
          <w:color w:val="000000"/>
          <w:sz w:val="18"/>
          <w:szCs w:val="18"/>
        </w:rPr>
        <w:t>4</w:t>
      </w:r>
      <w:r w:rsidR="00080C6C" w:rsidRPr="00144B03">
        <w:rPr>
          <w:rFonts w:ascii="楷体_GB2312" w:eastAsia="楷体_GB2312" w:hint="eastAsia"/>
          <w:b/>
          <w:color w:val="000000"/>
          <w:sz w:val="18"/>
          <w:szCs w:val="18"/>
        </w:rPr>
        <w:t>、</w:t>
      </w:r>
      <w:r w:rsidR="00E948C6" w:rsidRPr="00144B03">
        <w:rPr>
          <w:rFonts w:ascii="楷体_GB2312" w:eastAsia="楷体_GB2312" w:hint="eastAsia"/>
          <w:b/>
          <w:color w:val="000000"/>
          <w:sz w:val="18"/>
          <w:szCs w:val="18"/>
        </w:rPr>
        <w:t>2011年2月以来各月份推荐组合</w:t>
      </w:r>
    </w:p>
    <w:tbl>
      <w:tblPr>
        <w:tblW w:w="8434" w:type="dxa"/>
        <w:jc w:val="center"/>
        <w:tblInd w:w="94" w:type="dxa"/>
        <w:tblLook w:val="04A0"/>
      </w:tblPr>
      <w:tblGrid>
        <w:gridCol w:w="2301"/>
        <w:gridCol w:w="630"/>
        <w:gridCol w:w="222"/>
        <w:gridCol w:w="2372"/>
        <w:gridCol w:w="630"/>
        <w:gridCol w:w="222"/>
        <w:gridCol w:w="1427"/>
        <w:gridCol w:w="630"/>
      </w:tblGrid>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2011年2-3月推荐组合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华商阿尔法</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2011年4-5月推荐组合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2011年12月推荐组合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广发标普全球农业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2012年2-4月推荐组合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2012年5-6月推荐组合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2012年7月推荐组合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2012年8-9月推荐组合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nil"/>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00"/>
          <w:jc w:val="center"/>
        </w:trPr>
        <w:tc>
          <w:tcPr>
            <w:tcW w:w="2301" w:type="dxa"/>
            <w:tcBorders>
              <w:top w:val="nil"/>
              <w:left w:val="single" w:sz="8" w:space="0" w:color="auto"/>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2012年12月-2013年5月推荐组合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0274E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2013年9-1</w:t>
            </w:r>
            <w:r w:rsidR="000274E7">
              <w:rPr>
                <w:rFonts w:ascii="宋体" w:hAnsi="宋体" w:cs="宋体" w:hint="eastAsia"/>
                <w:b/>
                <w:bCs/>
                <w:color w:val="FF0000"/>
                <w:kern w:val="0"/>
                <w:sz w:val="20"/>
                <w:szCs w:val="20"/>
              </w:rPr>
              <w:t>1</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2013年11</w:t>
            </w:r>
            <w:r w:rsidR="00CC2337">
              <w:rPr>
                <w:rFonts w:ascii="宋体" w:hAnsi="宋体" w:cs="宋体" w:hint="eastAsia"/>
                <w:b/>
                <w:bCs/>
                <w:color w:val="FF0000"/>
                <w:kern w:val="0"/>
                <w:sz w:val="20"/>
                <w:szCs w:val="20"/>
              </w:rPr>
              <w:t>-12</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CC2337" w:rsidRPr="00224A46" w:rsidRDefault="00CC2337" w:rsidP="00CC233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1</w:t>
            </w:r>
            <w:r w:rsidR="00CF5001">
              <w:rPr>
                <w:rFonts w:ascii="宋体" w:hAnsi="宋体" w:cs="宋体" w:hint="eastAsia"/>
                <w:b/>
                <w:bCs/>
                <w:color w:val="FF0000"/>
                <w:kern w:val="0"/>
                <w:sz w:val="20"/>
                <w:szCs w:val="20"/>
              </w:rPr>
              <w:t>-2</w:t>
            </w:r>
            <w:r w:rsidRPr="00224A46">
              <w:rPr>
                <w:rFonts w:ascii="宋体" w:hAnsi="宋体" w:cs="宋体" w:hint="eastAsia"/>
                <w:b/>
                <w:bCs/>
                <w:color w:val="FF0000"/>
                <w:kern w:val="0"/>
                <w:sz w:val="20"/>
                <w:szCs w:val="20"/>
              </w:rPr>
              <w:t>月推荐组合</w:t>
            </w:r>
          </w:p>
        </w:tc>
      </w:tr>
      <w:tr w:rsidR="00CC2337"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CC2337"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30%</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7F4193" w:rsidRPr="00224A46" w:rsidTr="00DC290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F4193" w:rsidRPr="00224A46" w:rsidRDefault="007F4193" w:rsidP="007F4193">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3</w:t>
            </w:r>
            <w:r w:rsidRPr="00224A46">
              <w:rPr>
                <w:rFonts w:ascii="宋体" w:hAnsi="宋体" w:cs="宋体" w:hint="eastAsia"/>
                <w:b/>
                <w:bCs/>
                <w:color w:val="FF0000"/>
                <w:kern w:val="0"/>
                <w:sz w:val="20"/>
                <w:szCs w:val="20"/>
              </w:rPr>
              <w:t>月推荐组合</w:t>
            </w:r>
          </w:p>
        </w:tc>
      </w:tr>
      <w:tr w:rsidR="007F4193" w:rsidRPr="00224A46" w:rsidTr="00DC290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F4193" w:rsidRPr="00224A46" w:rsidTr="00DC290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F4193"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40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AD4694" w:rsidRPr="00224A46" w:rsidTr="00AD4694">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AD4694" w:rsidRPr="00224A46" w:rsidRDefault="00AD4694" w:rsidP="00AD4694">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4</w:t>
            </w:r>
            <w:r w:rsidR="00EC59C8">
              <w:rPr>
                <w:rFonts w:ascii="宋体" w:hAnsi="宋体" w:cs="宋体" w:hint="eastAsia"/>
                <w:b/>
                <w:bCs/>
                <w:color w:val="FF0000"/>
                <w:kern w:val="0"/>
                <w:sz w:val="20"/>
                <w:szCs w:val="20"/>
              </w:rPr>
              <w:t>-5</w:t>
            </w:r>
            <w:r w:rsidRPr="00224A46">
              <w:rPr>
                <w:rFonts w:ascii="宋体" w:hAnsi="宋体" w:cs="宋体" w:hint="eastAsia"/>
                <w:b/>
                <w:bCs/>
                <w:color w:val="FF0000"/>
                <w:kern w:val="0"/>
                <w:sz w:val="20"/>
                <w:szCs w:val="20"/>
              </w:rPr>
              <w:t>月推荐组合</w:t>
            </w:r>
          </w:p>
        </w:tc>
      </w:tr>
      <w:tr w:rsidR="00AD4694" w:rsidRPr="00224A46" w:rsidTr="00AD4694">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AD4694" w:rsidRPr="00224A46" w:rsidTr="00AD4694">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AD4694"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2</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EC59C8" w:rsidP="00AD4694">
            <w:pPr>
              <w:widowControl/>
              <w:jc w:val="center"/>
              <w:rPr>
                <w:rFonts w:ascii="宋体" w:hAnsi="宋体" w:cs="宋体"/>
                <w:kern w:val="0"/>
                <w:sz w:val="18"/>
                <w:szCs w:val="18"/>
              </w:rPr>
            </w:pPr>
            <w:r>
              <w:rPr>
                <w:rFonts w:ascii="宋体" w:hAnsi="宋体" w:cs="宋体" w:hint="eastAsia"/>
                <w:kern w:val="0"/>
                <w:sz w:val="18"/>
                <w:szCs w:val="18"/>
              </w:rPr>
              <w:t>5</w:t>
            </w:r>
            <w:r w:rsidR="00AD4694">
              <w:rPr>
                <w:rFonts w:ascii="宋体" w:hAnsi="宋体" w:cs="宋体" w:hint="eastAsia"/>
                <w:kern w:val="0"/>
                <w:sz w:val="18"/>
                <w:szCs w:val="18"/>
              </w:rPr>
              <w:t>0</w:t>
            </w:r>
            <w:r w:rsidR="00AD4694"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252343" w:rsidRPr="00224A46" w:rsidTr="00252898">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52343" w:rsidRPr="00224A46" w:rsidRDefault="00252343" w:rsidP="0011000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6</w:t>
            </w:r>
            <w:r w:rsidR="002D1CDB">
              <w:rPr>
                <w:rFonts w:ascii="宋体" w:hAnsi="宋体" w:cs="宋体" w:hint="eastAsia"/>
                <w:b/>
                <w:bCs/>
                <w:color w:val="FF0000"/>
                <w:kern w:val="0"/>
                <w:sz w:val="20"/>
                <w:szCs w:val="20"/>
              </w:rPr>
              <w:t>-</w:t>
            </w:r>
            <w:r w:rsidR="0011000B">
              <w:rPr>
                <w:rFonts w:ascii="宋体" w:hAnsi="宋体" w:cs="宋体" w:hint="eastAsia"/>
                <w:b/>
                <w:bCs/>
                <w:color w:val="FF0000"/>
                <w:kern w:val="0"/>
                <w:sz w:val="20"/>
                <w:szCs w:val="20"/>
              </w:rPr>
              <w:t>8</w:t>
            </w:r>
            <w:r w:rsidRPr="00224A46">
              <w:rPr>
                <w:rFonts w:ascii="宋体" w:hAnsi="宋体" w:cs="宋体" w:hint="eastAsia"/>
                <w:b/>
                <w:bCs/>
                <w:color w:val="FF0000"/>
                <w:kern w:val="0"/>
                <w:sz w:val="20"/>
                <w:szCs w:val="20"/>
              </w:rPr>
              <w:t>月推荐组合</w:t>
            </w:r>
          </w:p>
        </w:tc>
      </w:tr>
      <w:tr w:rsidR="00252343" w:rsidRPr="00224A46" w:rsidTr="00252898">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52343" w:rsidRPr="00224A46" w:rsidRDefault="00252343" w:rsidP="00252898">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52343" w:rsidRPr="00224A46" w:rsidRDefault="00252343" w:rsidP="00252898">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52343" w:rsidRPr="00224A46" w:rsidTr="00252898">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52343" w:rsidRPr="00224A46" w:rsidRDefault="00252343" w:rsidP="00252898">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52343"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40%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252343" w:rsidRPr="00224A46" w:rsidTr="00252898">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252343" w:rsidRPr="00224A46" w:rsidRDefault="00252343" w:rsidP="00252898">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252343" w:rsidRPr="00224A46" w:rsidRDefault="00252343" w:rsidP="00252898">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52343" w:rsidRDefault="00252343">
            <w:pPr>
              <w:jc w:val="center"/>
              <w:rPr>
                <w:rFonts w:ascii="宋体" w:hAnsi="宋体" w:cs="宋体"/>
                <w:sz w:val="18"/>
                <w:szCs w:val="18"/>
              </w:rPr>
            </w:pPr>
            <w:r>
              <w:rPr>
                <w:rFonts w:hint="eastAsia"/>
                <w:sz w:val="18"/>
                <w:szCs w:val="18"/>
              </w:rPr>
              <w:t>35%</w:t>
            </w:r>
          </w:p>
        </w:tc>
      </w:tr>
      <w:tr w:rsidR="00752EFB" w:rsidRPr="00224A46" w:rsidTr="00B66B4F">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52EFB" w:rsidRPr="00224A46" w:rsidRDefault="00752EFB" w:rsidP="00752EFB">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9</w:t>
            </w:r>
            <w:r w:rsidRPr="00224A46">
              <w:rPr>
                <w:rFonts w:ascii="宋体" w:hAnsi="宋体" w:cs="宋体" w:hint="eastAsia"/>
                <w:b/>
                <w:bCs/>
                <w:color w:val="FF0000"/>
                <w:kern w:val="0"/>
                <w:sz w:val="20"/>
                <w:szCs w:val="20"/>
              </w:rPr>
              <w:t>月推荐组合</w:t>
            </w:r>
          </w:p>
        </w:tc>
      </w:tr>
      <w:tr w:rsidR="00752EFB" w:rsidRPr="00224A46" w:rsidTr="00B66B4F">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52EFB" w:rsidRPr="00224A46" w:rsidRDefault="00752EFB" w:rsidP="00B66B4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52EFB" w:rsidRPr="00224A46" w:rsidRDefault="00752EFB" w:rsidP="00B66B4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52EFB" w:rsidRPr="00224A46" w:rsidTr="00B66B4F">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lastRenderedPageBreak/>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52EFB" w:rsidRPr="00224A46" w:rsidRDefault="00752EFB" w:rsidP="00B66B4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大摩卓越成长</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45%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博时标普</w:t>
            </w:r>
            <w:r>
              <w:rPr>
                <w:rFonts w:hint="eastAsia"/>
                <w:sz w:val="18"/>
                <w:szCs w:val="18"/>
              </w:rPr>
              <w:t>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25%</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r w:rsidR="00752EFB" w:rsidTr="00B66B4F">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30%</w:t>
            </w:r>
          </w:p>
        </w:tc>
        <w:tc>
          <w:tcPr>
            <w:tcW w:w="222" w:type="dxa"/>
            <w:vMerge/>
            <w:tcBorders>
              <w:top w:val="nil"/>
              <w:left w:val="nil"/>
              <w:bottom w:val="single" w:sz="8" w:space="0" w:color="000000"/>
              <w:right w:val="single" w:sz="8" w:space="0" w:color="auto"/>
            </w:tcBorders>
            <w:vAlign w:val="center"/>
            <w:hideMark/>
          </w:tcPr>
          <w:p w:rsidR="00752EFB" w:rsidRPr="00224A46" w:rsidRDefault="00752EFB" w:rsidP="00B66B4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宝盈收益</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50%</w:t>
            </w:r>
          </w:p>
        </w:tc>
        <w:tc>
          <w:tcPr>
            <w:tcW w:w="222" w:type="dxa"/>
            <w:vMerge/>
            <w:tcBorders>
              <w:top w:val="nil"/>
              <w:left w:val="nil"/>
              <w:bottom w:val="single" w:sz="8" w:space="0" w:color="000000"/>
              <w:right w:val="nil"/>
            </w:tcBorders>
            <w:vAlign w:val="center"/>
            <w:hideMark/>
          </w:tcPr>
          <w:p w:rsidR="00752EFB" w:rsidRPr="00224A46" w:rsidRDefault="00752EFB" w:rsidP="00B66B4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广发货币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52EFB" w:rsidRDefault="00752EFB" w:rsidP="00B66B4F">
            <w:pPr>
              <w:jc w:val="center"/>
              <w:rPr>
                <w:rFonts w:ascii="宋体" w:hAnsi="宋体" w:cs="宋体"/>
                <w:sz w:val="18"/>
                <w:szCs w:val="18"/>
              </w:rPr>
            </w:pPr>
            <w:r>
              <w:rPr>
                <w:rFonts w:hint="eastAsia"/>
                <w:sz w:val="18"/>
                <w:szCs w:val="18"/>
              </w:rPr>
              <w:t>35%</w:t>
            </w:r>
          </w:p>
        </w:tc>
      </w:tr>
    </w:tbl>
    <w:p w:rsidR="00752EFB" w:rsidRDefault="00752EFB" w:rsidP="00752EFB">
      <w:pPr>
        <w:spacing w:line="400" w:lineRule="exact"/>
        <w:jc w:val="left"/>
        <w:rPr>
          <w:rFonts w:eastAsia="楷体_GB2312" w:hint="eastAsia"/>
          <w:b/>
          <w:bCs/>
          <w:color w:val="003366"/>
          <w:szCs w:val="21"/>
        </w:rPr>
      </w:pP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D76736">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34"/>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513" w:rsidRDefault="00742513">
      <w:r>
        <w:separator/>
      </w:r>
    </w:p>
  </w:endnote>
  <w:endnote w:type="continuationSeparator" w:id="0">
    <w:p w:rsidR="00742513" w:rsidRDefault="00742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B4F" w:rsidRDefault="00B66B4F" w:rsidP="009A0C03">
    <w:pPr>
      <w:pStyle w:val="a5"/>
      <w:framePr w:wrap="around" w:vAnchor="text" w:hAnchor="margin" w:xAlign="right" w:y="1"/>
      <w:rPr>
        <w:rStyle w:val="a7"/>
      </w:rPr>
    </w:pPr>
    <w:r>
      <w:rPr>
        <w:rStyle w:val="a7"/>
        <w:noProof/>
      </w:rPr>
      <w:t>1</w:t>
    </w:r>
  </w:p>
  <w:p w:rsidR="00B66B4F" w:rsidRDefault="00B66B4F"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B4F" w:rsidRDefault="00B66B4F" w:rsidP="009A0C03">
    <w:pPr>
      <w:pStyle w:val="a5"/>
      <w:ind w:right="360"/>
    </w:pPr>
    <w:r>
      <w:rPr>
        <w:noProof/>
      </w:rPr>
      <w:pict>
        <v:shapetype id="_x0000_t202" coordsize="21600,21600" o:spt="202" path="m,l,21600r21600,l21600,xe">
          <v:stroke joinstyle="miter"/>
          <v:path gradientshapeok="t" o:connecttype="rect"/>
        </v:shapetype>
        <v:shape id="_x0000_s2058" type="#_x0000_t202" style="position:absolute;margin-left:28.8pt;margin-top:772.9pt;width:513.45pt;height:18pt;z-index:251660800;mso-position-horizontal-relative:page;mso-position-vertical-relative:page" filled="f" stroked="f">
          <v:textbox style="mso-next-textbox:#_x0000_s2058" inset="0,0,0,0">
            <w:txbxContent>
              <w:p w:rsidR="00B66B4F" w:rsidRPr="00310D17" w:rsidRDefault="00B66B4F"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9B2AB9" w:rsidRPr="009B2AB9">
                  <w:rPr>
                    <w:rFonts w:ascii="楷体_GB2312" w:eastAsia="楷体_GB2312"/>
                    <w:noProof/>
                    <w:color w:val="003366"/>
                    <w:szCs w:val="21"/>
                    <w:lang w:val="zh-CN"/>
                  </w:rPr>
                  <w:t>1</w:t>
                </w:r>
                <w:r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513" w:rsidRDefault="00742513">
      <w:r>
        <w:separator/>
      </w:r>
    </w:p>
  </w:footnote>
  <w:footnote w:type="continuationSeparator" w:id="0">
    <w:p w:rsidR="00742513" w:rsidRDefault="00742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B4F" w:rsidRPr="0010121A" w:rsidRDefault="00B66B4F">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B4F" w:rsidRPr="00935FC9" w:rsidRDefault="00B66B4F" w:rsidP="00CE0CE6">
    <w:pPr>
      <w:pStyle w:val="a4"/>
      <w:jc w:val="left"/>
      <w:rPr>
        <w:rFonts w:ascii="楷体_GB2312" w:eastAsia="楷体_GB2312"/>
        <w:b/>
        <w:color w:val="333399"/>
        <w:sz w:val="24"/>
        <w:szCs w:val="24"/>
      </w:rPr>
    </w:pPr>
    <w:r w:rsidRPr="00E63DE0">
      <w:rPr>
        <w:rFonts w:ascii="楷体_GB2312" w:eastAsia="楷体_GB2312"/>
        <w:b/>
        <w:noProof/>
        <w:color w:val="003366"/>
        <w:sz w:val="21"/>
        <w:szCs w:val="21"/>
      </w:rPr>
      <w:pict>
        <v:line id="_x0000_s2054" style="position:absolute;z-index:25165875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E63DE0">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B66B4F" w:rsidRDefault="00B66B4F">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C8C"/>
    <w:rsid w:val="00000E9F"/>
    <w:rsid w:val="000029A7"/>
    <w:rsid w:val="000044F4"/>
    <w:rsid w:val="00005BE8"/>
    <w:rsid w:val="0000648E"/>
    <w:rsid w:val="0000791E"/>
    <w:rsid w:val="00007A3C"/>
    <w:rsid w:val="000106CA"/>
    <w:rsid w:val="0001113C"/>
    <w:rsid w:val="000111C0"/>
    <w:rsid w:val="0001127B"/>
    <w:rsid w:val="00012918"/>
    <w:rsid w:val="000129DA"/>
    <w:rsid w:val="000131EA"/>
    <w:rsid w:val="0001321E"/>
    <w:rsid w:val="0001469B"/>
    <w:rsid w:val="000150D4"/>
    <w:rsid w:val="000157C0"/>
    <w:rsid w:val="00016CEE"/>
    <w:rsid w:val="00016D23"/>
    <w:rsid w:val="000171B5"/>
    <w:rsid w:val="000174A7"/>
    <w:rsid w:val="000202BA"/>
    <w:rsid w:val="00021FBC"/>
    <w:rsid w:val="00022534"/>
    <w:rsid w:val="000238F6"/>
    <w:rsid w:val="00023DD5"/>
    <w:rsid w:val="000246CA"/>
    <w:rsid w:val="00024B12"/>
    <w:rsid w:val="000258AD"/>
    <w:rsid w:val="00025F5B"/>
    <w:rsid w:val="00026DA0"/>
    <w:rsid w:val="000274E7"/>
    <w:rsid w:val="00027789"/>
    <w:rsid w:val="00027E1E"/>
    <w:rsid w:val="0003081E"/>
    <w:rsid w:val="00030B24"/>
    <w:rsid w:val="00030BAB"/>
    <w:rsid w:val="00030D7F"/>
    <w:rsid w:val="00030F4D"/>
    <w:rsid w:val="000314BE"/>
    <w:rsid w:val="00031764"/>
    <w:rsid w:val="000322EF"/>
    <w:rsid w:val="000327E3"/>
    <w:rsid w:val="0003301C"/>
    <w:rsid w:val="000331E5"/>
    <w:rsid w:val="0003332D"/>
    <w:rsid w:val="00034722"/>
    <w:rsid w:val="00034BC1"/>
    <w:rsid w:val="00034DC0"/>
    <w:rsid w:val="00035714"/>
    <w:rsid w:val="00035A3C"/>
    <w:rsid w:val="00037269"/>
    <w:rsid w:val="000379D8"/>
    <w:rsid w:val="00040F4E"/>
    <w:rsid w:val="0004119D"/>
    <w:rsid w:val="00041A04"/>
    <w:rsid w:val="00042120"/>
    <w:rsid w:val="00042CAA"/>
    <w:rsid w:val="0004318E"/>
    <w:rsid w:val="00043955"/>
    <w:rsid w:val="000440AF"/>
    <w:rsid w:val="00046606"/>
    <w:rsid w:val="0004775B"/>
    <w:rsid w:val="00047AF8"/>
    <w:rsid w:val="00050159"/>
    <w:rsid w:val="0005024E"/>
    <w:rsid w:val="0005043F"/>
    <w:rsid w:val="00050E71"/>
    <w:rsid w:val="00050ED4"/>
    <w:rsid w:val="0005103B"/>
    <w:rsid w:val="00052F7F"/>
    <w:rsid w:val="00052FD4"/>
    <w:rsid w:val="00053075"/>
    <w:rsid w:val="000534E5"/>
    <w:rsid w:val="0005399B"/>
    <w:rsid w:val="00053B65"/>
    <w:rsid w:val="0005451D"/>
    <w:rsid w:val="00055F5A"/>
    <w:rsid w:val="00055FBF"/>
    <w:rsid w:val="000571C2"/>
    <w:rsid w:val="000574FE"/>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3D1"/>
    <w:rsid w:val="00064639"/>
    <w:rsid w:val="00065A74"/>
    <w:rsid w:val="00065D61"/>
    <w:rsid w:val="0006601F"/>
    <w:rsid w:val="000665F7"/>
    <w:rsid w:val="00067072"/>
    <w:rsid w:val="000679F2"/>
    <w:rsid w:val="00067A3A"/>
    <w:rsid w:val="00067EE7"/>
    <w:rsid w:val="0007081F"/>
    <w:rsid w:val="000709F3"/>
    <w:rsid w:val="0007102E"/>
    <w:rsid w:val="0007109A"/>
    <w:rsid w:val="00071740"/>
    <w:rsid w:val="00071BE6"/>
    <w:rsid w:val="00072ECB"/>
    <w:rsid w:val="000730BF"/>
    <w:rsid w:val="00073837"/>
    <w:rsid w:val="00073A20"/>
    <w:rsid w:val="00074C34"/>
    <w:rsid w:val="000753A8"/>
    <w:rsid w:val="00075727"/>
    <w:rsid w:val="00075A47"/>
    <w:rsid w:val="00075DEA"/>
    <w:rsid w:val="000765F3"/>
    <w:rsid w:val="00076B2A"/>
    <w:rsid w:val="000772BD"/>
    <w:rsid w:val="000773C7"/>
    <w:rsid w:val="000803E1"/>
    <w:rsid w:val="0008073B"/>
    <w:rsid w:val="00080C6C"/>
    <w:rsid w:val="000815A9"/>
    <w:rsid w:val="000823FE"/>
    <w:rsid w:val="00083230"/>
    <w:rsid w:val="00083340"/>
    <w:rsid w:val="000838AB"/>
    <w:rsid w:val="00083D28"/>
    <w:rsid w:val="000844AB"/>
    <w:rsid w:val="000844E3"/>
    <w:rsid w:val="00084813"/>
    <w:rsid w:val="00084F6B"/>
    <w:rsid w:val="000865D2"/>
    <w:rsid w:val="0008663F"/>
    <w:rsid w:val="00086EB5"/>
    <w:rsid w:val="00087C65"/>
    <w:rsid w:val="00087FB6"/>
    <w:rsid w:val="000903CC"/>
    <w:rsid w:val="00091B9B"/>
    <w:rsid w:val="00092408"/>
    <w:rsid w:val="00093188"/>
    <w:rsid w:val="00093F2D"/>
    <w:rsid w:val="00094B48"/>
    <w:rsid w:val="00095183"/>
    <w:rsid w:val="00095242"/>
    <w:rsid w:val="00095B04"/>
    <w:rsid w:val="00095C41"/>
    <w:rsid w:val="00096293"/>
    <w:rsid w:val="00096A58"/>
    <w:rsid w:val="00096FBA"/>
    <w:rsid w:val="000970EC"/>
    <w:rsid w:val="00097771"/>
    <w:rsid w:val="00097F4B"/>
    <w:rsid w:val="000A06A5"/>
    <w:rsid w:val="000A0CBC"/>
    <w:rsid w:val="000A0D9A"/>
    <w:rsid w:val="000A21DA"/>
    <w:rsid w:val="000A29F5"/>
    <w:rsid w:val="000A3362"/>
    <w:rsid w:val="000A390F"/>
    <w:rsid w:val="000A3FB9"/>
    <w:rsid w:val="000A5E65"/>
    <w:rsid w:val="000A6448"/>
    <w:rsid w:val="000A7344"/>
    <w:rsid w:val="000A7E5D"/>
    <w:rsid w:val="000B03C3"/>
    <w:rsid w:val="000B0503"/>
    <w:rsid w:val="000B0573"/>
    <w:rsid w:val="000B0C95"/>
    <w:rsid w:val="000B3575"/>
    <w:rsid w:val="000B37D0"/>
    <w:rsid w:val="000B3D93"/>
    <w:rsid w:val="000B40AB"/>
    <w:rsid w:val="000B4882"/>
    <w:rsid w:val="000B488B"/>
    <w:rsid w:val="000B50D6"/>
    <w:rsid w:val="000B5ABE"/>
    <w:rsid w:val="000B6726"/>
    <w:rsid w:val="000B69C4"/>
    <w:rsid w:val="000B6CA4"/>
    <w:rsid w:val="000B72A5"/>
    <w:rsid w:val="000B7497"/>
    <w:rsid w:val="000C0C63"/>
    <w:rsid w:val="000C103A"/>
    <w:rsid w:val="000C10D1"/>
    <w:rsid w:val="000C15E5"/>
    <w:rsid w:val="000C18A0"/>
    <w:rsid w:val="000C19E7"/>
    <w:rsid w:val="000C24D4"/>
    <w:rsid w:val="000C3C4B"/>
    <w:rsid w:val="000C50F4"/>
    <w:rsid w:val="000C5348"/>
    <w:rsid w:val="000C56F5"/>
    <w:rsid w:val="000C67A7"/>
    <w:rsid w:val="000C6D2E"/>
    <w:rsid w:val="000C791B"/>
    <w:rsid w:val="000D09B6"/>
    <w:rsid w:val="000D141F"/>
    <w:rsid w:val="000D17BD"/>
    <w:rsid w:val="000D1B25"/>
    <w:rsid w:val="000D2EC7"/>
    <w:rsid w:val="000D394E"/>
    <w:rsid w:val="000D3FB7"/>
    <w:rsid w:val="000D518A"/>
    <w:rsid w:val="000D5771"/>
    <w:rsid w:val="000D6382"/>
    <w:rsid w:val="000D6473"/>
    <w:rsid w:val="000D6B1E"/>
    <w:rsid w:val="000D7492"/>
    <w:rsid w:val="000D76CD"/>
    <w:rsid w:val="000D787B"/>
    <w:rsid w:val="000D7E85"/>
    <w:rsid w:val="000E0AE9"/>
    <w:rsid w:val="000E0E2E"/>
    <w:rsid w:val="000E1282"/>
    <w:rsid w:val="000E209A"/>
    <w:rsid w:val="000E2171"/>
    <w:rsid w:val="000E257F"/>
    <w:rsid w:val="000E2698"/>
    <w:rsid w:val="000E3681"/>
    <w:rsid w:val="000E3D2E"/>
    <w:rsid w:val="000E41B8"/>
    <w:rsid w:val="000E4FF1"/>
    <w:rsid w:val="000E640F"/>
    <w:rsid w:val="000E6F1C"/>
    <w:rsid w:val="000E7BF8"/>
    <w:rsid w:val="000F03E0"/>
    <w:rsid w:val="000F0B66"/>
    <w:rsid w:val="000F0DFF"/>
    <w:rsid w:val="000F0EAA"/>
    <w:rsid w:val="000F152D"/>
    <w:rsid w:val="000F264F"/>
    <w:rsid w:val="000F35EA"/>
    <w:rsid w:val="000F3B44"/>
    <w:rsid w:val="000F3DF3"/>
    <w:rsid w:val="000F4524"/>
    <w:rsid w:val="000F47BA"/>
    <w:rsid w:val="000F4D4B"/>
    <w:rsid w:val="000F6411"/>
    <w:rsid w:val="000F6EE1"/>
    <w:rsid w:val="000F7237"/>
    <w:rsid w:val="000F798B"/>
    <w:rsid w:val="000F7C7F"/>
    <w:rsid w:val="001008C6"/>
    <w:rsid w:val="00100C8A"/>
    <w:rsid w:val="00101E0B"/>
    <w:rsid w:val="00102310"/>
    <w:rsid w:val="00102450"/>
    <w:rsid w:val="001026DB"/>
    <w:rsid w:val="00102B74"/>
    <w:rsid w:val="00103313"/>
    <w:rsid w:val="00103390"/>
    <w:rsid w:val="00103762"/>
    <w:rsid w:val="00103A2B"/>
    <w:rsid w:val="00103F19"/>
    <w:rsid w:val="00104223"/>
    <w:rsid w:val="00105F08"/>
    <w:rsid w:val="0011000B"/>
    <w:rsid w:val="00110B48"/>
    <w:rsid w:val="001120C9"/>
    <w:rsid w:val="00112234"/>
    <w:rsid w:val="001129F3"/>
    <w:rsid w:val="00112BF0"/>
    <w:rsid w:val="00112EB3"/>
    <w:rsid w:val="001130A2"/>
    <w:rsid w:val="00113CD9"/>
    <w:rsid w:val="00113D19"/>
    <w:rsid w:val="00114C8D"/>
    <w:rsid w:val="00114D9D"/>
    <w:rsid w:val="00115273"/>
    <w:rsid w:val="001153EB"/>
    <w:rsid w:val="00115520"/>
    <w:rsid w:val="0011584C"/>
    <w:rsid w:val="00115CB5"/>
    <w:rsid w:val="00117050"/>
    <w:rsid w:val="001170FF"/>
    <w:rsid w:val="00117652"/>
    <w:rsid w:val="00121171"/>
    <w:rsid w:val="00121950"/>
    <w:rsid w:val="001224D9"/>
    <w:rsid w:val="0012296B"/>
    <w:rsid w:val="00122A4B"/>
    <w:rsid w:val="00122AC5"/>
    <w:rsid w:val="0012322E"/>
    <w:rsid w:val="001233B8"/>
    <w:rsid w:val="001236F7"/>
    <w:rsid w:val="00123C08"/>
    <w:rsid w:val="00123D36"/>
    <w:rsid w:val="00123D74"/>
    <w:rsid w:val="0012476C"/>
    <w:rsid w:val="001256F5"/>
    <w:rsid w:val="001257DF"/>
    <w:rsid w:val="001265A1"/>
    <w:rsid w:val="0012674B"/>
    <w:rsid w:val="001268D9"/>
    <w:rsid w:val="00126966"/>
    <w:rsid w:val="001275F8"/>
    <w:rsid w:val="001279AB"/>
    <w:rsid w:val="0013007A"/>
    <w:rsid w:val="00130869"/>
    <w:rsid w:val="00130E8B"/>
    <w:rsid w:val="001316D7"/>
    <w:rsid w:val="001316F6"/>
    <w:rsid w:val="0013271C"/>
    <w:rsid w:val="001329DD"/>
    <w:rsid w:val="00132F20"/>
    <w:rsid w:val="00132FB8"/>
    <w:rsid w:val="00133570"/>
    <w:rsid w:val="00134A4E"/>
    <w:rsid w:val="00134A97"/>
    <w:rsid w:val="00135751"/>
    <w:rsid w:val="00135E33"/>
    <w:rsid w:val="00135F63"/>
    <w:rsid w:val="001365B3"/>
    <w:rsid w:val="00136DAC"/>
    <w:rsid w:val="00137360"/>
    <w:rsid w:val="001407BA"/>
    <w:rsid w:val="00140CA2"/>
    <w:rsid w:val="00141178"/>
    <w:rsid w:val="001414CB"/>
    <w:rsid w:val="001417EA"/>
    <w:rsid w:val="00141AE8"/>
    <w:rsid w:val="00141C52"/>
    <w:rsid w:val="001430A8"/>
    <w:rsid w:val="00143200"/>
    <w:rsid w:val="001436D8"/>
    <w:rsid w:val="00143870"/>
    <w:rsid w:val="00143B16"/>
    <w:rsid w:val="00144B03"/>
    <w:rsid w:val="00144B28"/>
    <w:rsid w:val="00144B9D"/>
    <w:rsid w:val="001459B6"/>
    <w:rsid w:val="00145C28"/>
    <w:rsid w:val="00146029"/>
    <w:rsid w:val="001460BF"/>
    <w:rsid w:val="0014637E"/>
    <w:rsid w:val="00146588"/>
    <w:rsid w:val="00146EEF"/>
    <w:rsid w:val="0014719B"/>
    <w:rsid w:val="00147DFB"/>
    <w:rsid w:val="00151072"/>
    <w:rsid w:val="00151C0B"/>
    <w:rsid w:val="00151D25"/>
    <w:rsid w:val="00152623"/>
    <w:rsid w:val="00153698"/>
    <w:rsid w:val="00154A1D"/>
    <w:rsid w:val="00154B70"/>
    <w:rsid w:val="00154B82"/>
    <w:rsid w:val="00155200"/>
    <w:rsid w:val="00155B60"/>
    <w:rsid w:val="00155D60"/>
    <w:rsid w:val="00156066"/>
    <w:rsid w:val="00156DE0"/>
    <w:rsid w:val="001578AF"/>
    <w:rsid w:val="00157CE6"/>
    <w:rsid w:val="00157F9D"/>
    <w:rsid w:val="00160415"/>
    <w:rsid w:val="001615A4"/>
    <w:rsid w:val="0016164D"/>
    <w:rsid w:val="00161882"/>
    <w:rsid w:val="0016234D"/>
    <w:rsid w:val="00162C24"/>
    <w:rsid w:val="00164099"/>
    <w:rsid w:val="00164D19"/>
    <w:rsid w:val="0016597C"/>
    <w:rsid w:val="001666B3"/>
    <w:rsid w:val="00166883"/>
    <w:rsid w:val="00167BAA"/>
    <w:rsid w:val="00167D64"/>
    <w:rsid w:val="00167FA0"/>
    <w:rsid w:val="00170214"/>
    <w:rsid w:val="001703C2"/>
    <w:rsid w:val="0017080E"/>
    <w:rsid w:val="001708E7"/>
    <w:rsid w:val="00171343"/>
    <w:rsid w:val="001715AE"/>
    <w:rsid w:val="00171A0B"/>
    <w:rsid w:val="00171C4F"/>
    <w:rsid w:val="00172373"/>
    <w:rsid w:val="0017273B"/>
    <w:rsid w:val="001738B3"/>
    <w:rsid w:val="001746AF"/>
    <w:rsid w:val="001747A9"/>
    <w:rsid w:val="00174958"/>
    <w:rsid w:val="00175259"/>
    <w:rsid w:val="0017543C"/>
    <w:rsid w:val="0017553B"/>
    <w:rsid w:val="0017636C"/>
    <w:rsid w:val="001767DE"/>
    <w:rsid w:val="00176ED8"/>
    <w:rsid w:val="00176F9A"/>
    <w:rsid w:val="00177718"/>
    <w:rsid w:val="0017773A"/>
    <w:rsid w:val="001777E8"/>
    <w:rsid w:val="0018045B"/>
    <w:rsid w:val="00181228"/>
    <w:rsid w:val="00181D01"/>
    <w:rsid w:val="001821C3"/>
    <w:rsid w:val="0018246B"/>
    <w:rsid w:val="00183745"/>
    <w:rsid w:val="00183900"/>
    <w:rsid w:val="00184110"/>
    <w:rsid w:val="0018520D"/>
    <w:rsid w:val="00185A10"/>
    <w:rsid w:val="00185EC4"/>
    <w:rsid w:val="0018636B"/>
    <w:rsid w:val="0018691D"/>
    <w:rsid w:val="001876D9"/>
    <w:rsid w:val="001906A8"/>
    <w:rsid w:val="001909A7"/>
    <w:rsid w:val="00191141"/>
    <w:rsid w:val="0019149C"/>
    <w:rsid w:val="001914BE"/>
    <w:rsid w:val="00191FE7"/>
    <w:rsid w:val="00192465"/>
    <w:rsid w:val="001930E1"/>
    <w:rsid w:val="001932B8"/>
    <w:rsid w:val="00193442"/>
    <w:rsid w:val="00193900"/>
    <w:rsid w:val="00193CF9"/>
    <w:rsid w:val="001941AC"/>
    <w:rsid w:val="00194851"/>
    <w:rsid w:val="00194D59"/>
    <w:rsid w:val="00195F1F"/>
    <w:rsid w:val="001964B3"/>
    <w:rsid w:val="001965E6"/>
    <w:rsid w:val="0019689C"/>
    <w:rsid w:val="00196F5D"/>
    <w:rsid w:val="00197219"/>
    <w:rsid w:val="00197C10"/>
    <w:rsid w:val="00197E58"/>
    <w:rsid w:val="001A016D"/>
    <w:rsid w:val="001A059C"/>
    <w:rsid w:val="001A0F60"/>
    <w:rsid w:val="001A1808"/>
    <w:rsid w:val="001A35BB"/>
    <w:rsid w:val="001A39A9"/>
    <w:rsid w:val="001A459A"/>
    <w:rsid w:val="001A531F"/>
    <w:rsid w:val="001A5ED5"/>
    <w:rsid w:val="001A617C"/>
    <w:rsid w:val="001A6FFD"/>
    <w:rsid w:val="001A7A43"/>
    <w:rsid w:val="001A7ADF"/>
    <w:rsid w:val="001B06C6"/>
    <w:rsid w:val="001B0967"/>
    <w:rsid w:val="001B0B52"/>
    <w:rsid w:val="001B0C1B"/>
    <w:rsid w:val="001B0D70"/>
    <w:rsid w:val="001B1063"/>
    <w:rsid w:val="001B1274"/>
    <w:rsid w:val="001B1E36"/>
    <w:rsid w:val="001B2444"/>
    <w:rsid w:val="001B29C8"/>
    <w:rsid w:val="001B2BBD"/>
    <w:rsid w:val="001B2BF1"/>
    <w:rsid w:val="001B31CA"/>
    <w:rsid w:val="001B36C6"/>
    <w:rsid w:val="001B3C4A"/>
    <w:rsid w:val="001B448B"/>
    <w:rsid w:val="001B451C"/>
    <w:rsid w:val="001B4787"/>
    <w:rsid w:val="001B4A79"/>
    <w:rsid w:val="001B4DA7"/>
    <w:rsid w:val="001B5825"/>
    <w:rsid w:val="001B622E"/>
    <w:rsid w:val="001B6499"/>
    <w:rsid w:val="001B7054"/>
    <w:rsid w:val="001B7782"/>
    <w:rsid w:val="001B7C7E"/>
    <w:rsid w:val="001C0377"/>
    <w:rsid w:val="001C061E"/>
    <w:rsid w:val="001C0795"/>
    <w:rsid w:val="001C0B5C"/>
    <w:rsid w:val="001C0B73"/>
    <w:rsid w:val="001C0CF3"/>
    <w:rsid w:val="001C147C"/>
    <w:rsid w:val="001C1D65"/>
    <w:rsid w:val="001C2013"/>
    <w:rsid w:val="001C224D"/>
    <w:rsid w:val="001C24CD"/>
    <w:rsid w:val="001C28A8"/>
    <w:rsid w:val="001C2C6D"/>
    <w:rsid w:val="001C2F3D"/>
    <w:rsid w:val="001C326C"/>
    <w:rsid w:val="001C3ED6"/>
    <w:rsid w:val="001C3F10"/>
    <w:rsid w:val="001C469A"/>
    <w:rsid w:val="001C5526"/>
    <w:rsid w:val="001C612F"/>
    <w:rsid w:val="001C6F20"/>
    <w:rsid w:val="001C760A"/>
    <w:rsid w:val="001C7FC6"/>
    <w:rsid w:val="001D1AF2"/>
    <w:rsid w:val="001D20EC"/>
    <w:rsid w:val="001D2B7F"/>
    <w:rsid w:val="001D2C9C"/>
    <w:rsid w:val="001D2FBB"/>
    <w:rsid w:val="001D34AE"/>
    <w:rsid w:val="001D3C2B"/>
    <w:rsid w:val="001D4266"/>
    <w:rsid w:val="001D46E2"/>
    <w:rsid w:val="001D51CB"/>
    <w:rsid w:val="001D60FD"/>
    <w:rsid w:val="001D7989"/>
    <w:rsid w:val="001D7C41"/>
    <w:rsid w:val="001E02C6"/>
    <w:rsid w:val="001E13C5"/>
    <w:rsid w:val="001E1514"/>
    <w:rsid w:val="001E231A"/>
    <w:rsid w:val="001E2B99"/>
    <w:rsid w:val="001E2CE9"/>
    <w:rsid w:val="001E2D14"/>
    <w:rsid w:val="001E3B52"/>
    <w:rsid w:val="001E3C5A"/>
    <w:rsid w:val="001E3FB5"/>
    <w:rsid w:val="001E43A9"/>
    <w:rsid w:val="001E44B9"/>
    <w:rsid w:val="001E4F7C"/>
    <w:rsid w:val="001E4FCF"/>
    <w:rsid w:val="001E58E3"/>
    <w:rsid w:val="001E6F81"/>
    <w:rsid w:val="001E7B9E"/>
    <w:rsid w:val="001F0ADF"/>
    <w:rsid w:val="001F19EB"/>
    <w:rsid w:val="001F201E"/>
    <w:rsid w:val="001F3351"/>
    <w:rsid w:val="001F37F4"/>
    <w:rsid w:val="001F3A40"/>
    <w:rsid w:val="001F47C8"/>
    <w:rsid w:val="001F48A8"/>
    <w:rsid w:val="001F50E0"/>
    <w:rsid w:val="001F588F"/>
    <w:rsid w:val="001F5D08"/>
    <w:rsid w:val="001F6B11"/>
    <w:rsid w:val="001F747E"/>
    <w:rsid w:val="001F753A"/>
    <w:rsid w:val="00200135"/>
    <w:rsid w:val="00200FA2"/>
    <w:rsid w:val="00202BBF"/>
    <w:rsid w:val="00202DC8"/>
    <w:rsid w:val="00202E80"/>
    <w:rsid w:val="002034E5"/>
    <w:rsid w:val="00203A74"/>
    <w:rsid w:val="00203ACC"/>
    <w:rsid w:val="00203E5C"/>
    <w:rsid w:val="002043E4"/>
    <w:rsid w:val="00204E69"/>
    <w:rsid w:val="002054F9"/>
    <w:rsid w:val="00205C76"/>
    <w:rsid w:val="00205CA0"/>
    <w:rsid w:val="00205E93"/>
    <w:rsid w:val="002060BF"/>
    <w:rsid w:val="002061DB"/>
    <w:rsid w:val="00206AAE"/>
    <w:rsid w:val="00206EC0"/>
    <w:rsid w:val="0020740C"/>
    <w:rsid w:val="00207A34"/>
    <w:rsid w:val="00207F2E"/>
    <w:rsid w:val="00210BB8"/>
    <w:rsid w:val="00210C5D"/>
    <w:rsid w:val="00211265"/>
    <w:rsid w:val="002119BF"/>
    <w:rsid w:val="00211EF4"/>
    <w:rsid w:val="002123DB"/>
    <w:rsid w:val="00212B1B"/>
    <w:rsid w:val="00214740"/>
    <w:rsid w:val="0021478A"/>
    <w:rsid w:val="00214A1E"/>
    <w:rsid w:val="00214B3C"/>
    <w:rsid w:val="00214DD5"/>
    <w:rsid w:val="00216951"/>
    <w:rsid w:val="002170E9"/>
    <w:rsid w:val="00217C1F"/>
    <w:rsid w:val="00217F1C"/>
    <w:rsid w:val="002202BB"/>
    <w:rsid w:val="0022085F"/>
    <w:rsid w:val="00220FEB"/>
    <w:rsid w:val="00221988"/>
    <w:rsid w:val="00222784"/>
    <w:rsid w:val="00222B3B"/>
    <w:rsid w:val="00222F76"/>
    <w:rsid w:val="002241BD"/>
    <w:rsid w:val="0022495E"/>
    <w:rsid w:val="00224A46"/>
    <w:rsid w:val="00224D21"/>
    <w:rsid w:val="0022532D"/>
    <w:rsid w:val="00231F92"/>
    <w:rsid w:val="002325AC"/>
    <w:rsid w:val="00232C2C"/>
    <w:rsid w:val="002334E6"/>
    <w:rsid w:val="00233775"/>
    <w:rsid w:val="002347B3"/>
    <w:rsid w:val="00234DE6"/>
    <w:rsid w:val="0023524D"/>
    <w:rsid w:val="0023557C"/>
    <w:rsid w:val="00235F92"/>
    <w:rsid w:val="00236340"/>
    <w:rsid w:val="0023674B"/>
    <w:rsid w:val="00236E90"/>
    <w:rsid w:val="0023739B"/>
    <w:rsid w:val="00240FE5"/>
    <w:rsid w:val="0024105D"/>
    <w:rsid w:val="002411EE"/>
    <w:rsid w:val="00241290"/>
    <w:rsid w:val="00241C6D"/>
    <w:rsid w:val="00241DF7"/>
    <w:rsid w:val="00241F1F"/>
    <w:rsid w:val="0024346C"/>
    <w:rsid w:val="00243497"/>
    <w:rsid w:val="00243549"/>
    <w:rsid w:val="00244513"/>
    <w:rsid w:val="00244728"/>
    <w:rsid w:val="002448AB"/>
    <w:rsid w:val="00244CC4"/>
    <w:rsid w:val="002455A4"/>
    <w:rsid w:val="002465D1"/>
    <w:rsid w:val="002467A7"/>
    <w:rsid w:val="0024692D"/>
    <w:rsid w:val="0024709A"/>
    <w:rsid w:val="00247202"/>
    <w:rsid w:val="00247393"/>
    <w:rsid w:val="002474B9"/>
    <w:rsid w:val="00247898"/>
    <w:rsid w:val="002505FB"/>
    <w:rsid w:val="0025064E"/>
    <w:rsid w:val="00251730"/>
    <w:rsid w:val="00251DE2"/>
    <w:rsid w:val="00251ECD"/>
    <w:rsid w:val="00252343"/>
    <w:rsid w:val="002524E4"/>
    <w:rsid w:val="00252898"/>
    <w:rsid w:val="0025370E"/>
    <w:rsid w:val="00254235"/>
    <w:rsid w:val="00254A99"/>
    <w:rsid w:val="00254CD8"/>
    <w:rsid w:val="00254CF1"/>
    <w:rsid w:val="002553D3"/>
    <w:rsid w:val="00255EC9"/>
    <w:rsid w:val="00256C63"/>
    <w:rsid w:val="00256F73"/>
    <w:rsid w:val="002574A6"/>
    <w:rsid w:val="00257BBD"/>
    <w:rsid w:val="00260438"/>
    <w:rsid w:val="00260FCD"/>
    <w:rsid w:val="00261226"/>
    <w:rsid w:val="00262C4D"/>
    <w:rsid w:val="00263270"/>
    <w:rsid w:val="00263915"/>
    <w:rsid w:val="00263D04"/>
    <w:rsid w:val="00264916"/>
    <w:rsid w:val="00264E74"/>
    <w:rsid w:val="00265082"/>
    <w:rsid w:val="00265A72"/>
    <w:rsid w:val="00266187"/>
    <w:rsid w:val="002663EA"/>
    <w:rsid w:val="0026756C"/>
    <w:rsid w:val="002676E2"/>
    <w:rsid w:val="00267FA7"/>
    <w:rsid w:val="00270162"/>
    <w:rsid w:val="00270932"/>
    <w:rsid w:val="00270AFD"/>
    <w:rsid w:val="00270CB7"/>
    <w:rsid w:val="00271C01"/>
    <w:rsid w:val="00271D70"/>
    <w:rsid w:val="00273844"/>
    <w:rsid w:val="00273F63"/>
    <w:rsid w:val="0027415F"/>
    <w:rsid w:val="00274854"/>
    <w:rsid w:val="002749F7"/>
    <w:rsid w:val="00275121"/>
    <w:rsid w:val="002751DE"/>
    <w:rsid w:val="002753B5"/>
    <w:rsid w:val="00275E11"/>
    <w:rsid w:val="0027717C"/>
    <w:rsid w:val="0027751C"/>
    <w:rsid w:val="0028065C"/>
    <w:rsid w:val="002806D6"/>
    <w:rsid w:val="002809E8"/>
    <w:rsid w:val="00280C0A"/>
    <w:rsid w:val="00281F74"/>
    <w:rsid w:val="002821C8"/>
    <w:rsid w:val="00282778"/>
    <w:rsid w:val="0028289B"/>
    <w:rsid w:val="00282B35"/>
    <w:rsid w:val="002836AC"/>
    <w:rsid w:val="00285937"/>
    <w:rsid w:val="002867AA"/>
    <w:rsid w:val="002868D5"/>
    <w:rsid w:val="00286AEF"/>
    <w:rsid w:val="00286C20"/>
    <w:rsid w:val="00286C2F"/>
    <w:rsid w:val="0028775D"/>
    <w:rsid w:val="00290A0F"/>
    <w:rsid w:val="0029173D"/>
    <w:rsid w:val="00291B19"/>
    <w:rsid w:val="00292341"/>
    <w:rsid w:val="00292759"/>
    <w:rsid w:val="00292B58"/>
    <w:rsid w:val="00292C4B"/>
    <w:rsid w:val="00293BE3"/>
    <w:rsid w:val="002944F6"/>
    <w:rsid w:val="00294DE6"/>
    <w:rsid w:val="00295348"/>
    <w:rsid w:val="002962B7"/>
    <w:rsid w:val="00296FB9"/>
    <w:rsid w:val="00297330"/>
    <w:rsid w:val="002978C0"/>
    <w:rsid w:val="002A00D8"/>
    <w:rsid w:val="002A0BCE"/>
    <w:rsid w:val="002A17EB"/>
    <w:rsid w:val="002A1944"/>
    <w:rsid w:val="002A1BB9"/>
    <w:rsid w:val="002A1BF6"/>
    <w:rsid w:val="002A2925"/>
    <w:rsid w:val="002A3613"/>
    <w:rsid w:val="002A372B"/>
    <w:rsid w:val="002A400A"/>
    <w:rsid w:val="002A5A04"/>
    <w:rsid w:val="002A5DEB"/>
    <w:rsid w:val="002A5F4C"/>
    <w:rsid w:val="002A6044"/>
    <w:rsid w:val="002A6E25"/>
    <w:rsid w:val="002A6E97"/>
    <w:rsid w:val="002A73B2"/>
    <w:rsid w:val="002A762A"/>
    <w:rsid w:val="002B07A1"/>
    <w:rsid w:val="002B0C0F"/>
    <w:rsid w:val="002B0F26"/>
    <w:rsid w:val="002B10A2"/>
    <w:rsid w:val="002B1C8D"/>
    <w:rsid w:val="002B3004"/>
    <w:rsid w:val="002B3AB8"/>
    <w:rsid w:val="002B55C7"/>
    <w:rsid w:val="002B66F9"/>
    <w:rsid w:val="002B6803"/>
    <w:rsid w:val="002C046D"/>
    <w:rsid w:val="002C0C00"/>
    <w:rsid w:val="002C0CC2"/>
    <w:rsid w:val="002C106C"/>
    <w:rsid w:val="002C1BB3"/>
    <w:rsid w:val="002C1F66"/>
    <w:rsid w:val="002C22EC"/>
    <w:rsid w:val="002C5247"/>
    <w:rsid w:val="002C5ABE"/>
    <w:rsid w:val="002C7367"/>
    <w:rsid w:val="002C798C"/>
    <w:rsid w:val="002C7D69"/>
    <w:rsid w:val="002D0839"/>
    <w:rsid w:val="002D0E08"/>
    <w:rsid w:val="002D16FA"/>
    <w:rsid w:val="002D1CDB"/>
    <w:rsid w:val="002D337A"/>
    <w:rsid w:val="002D34CE"/>
    <w:rsid w:val="002D376D"/>
    <w:rsid w:val="002D46CB"/>
    <w:rsid w:val="002D564B"/>
    <w:rsid w:val="002D58E1"/>
    <w:rsid w:val="002D6A49"/>
    <w:rsid w:val="002D6A6C"/>
    <w:rsid w:val="002D6B9F"/>
    <w:rsid w:val="002D6C88"/>
    <w:rsid w:val="002D7097"/>
    <w:rsid w:val="002D769B"/>
    <w:rsid w:val="002D7925"/>
    <w:rsid w:val="002D7E9F"/>
    <w:rsid w:val="002E161D"/>
    <w:rsid w:val="002E1BA3"/>
    <w:rsid w:val="002E27C6"/>
    <w:rsid w:val="002E554F"/>
    <w:rsid w:val="002E6353"/>
    <w:rsid w:val="002F01D5"/>
    <w:rsid w:val="002F02D3"/>
    <w:rsid w:val="002F0403"/>
    <w:rsid w:val="002F0686"/>
    <w:rsid w:val="002F0E46"/>
    <w:rsid w:val="002F1241"/>
    <w:rsid w:val="002F14CD"/>
    <w:rsid w:val="002F203C"/>
    <w:rsid w:val="002F28B4"/>
    <w:rsid w:val="002F38AF"/>
    <w:rsid w:val="002F408F"/>
    <w:rsid w:val="002F4E9C"/>
    <w:rsid w:val="002F5AB6"/>
    <w:rsid w:val="002F5AD6"/>
    <w:rsid w:val="002F5BDE"/>
    <w:rsid w:val="002F6019"/>
    <w:rsid w:val="002F66AA"/>
    <w:rsid w:val="002F6EB6"/>
    <w:rsid w:val="002F7FE5"/>
    <w:rsid w:val="00301409"/>
    <w:rsid w:val="003014F5"/>
    <w:rsid w:val="003020A2"/>
    <w:rsid w:val="00302194"/>
    <w:rsid w:val="00302AFF"/>
    <w:rsid w:val="00302CA1"/>
    <w:rsid w:val="00302E15"/>
    <w:rsid w:val="00303430"/>
    <w:rsid w:val="00303F87"/>
    <w:rsid w:val="0030540B"/>
    <w:rsid w:val="0030702B"/>
    <w:rsid w:val="00307945"/>
    <w:rsid w:val="00307DE8"/>
    <w:rsid w:val="00310711"/>
    <w:rsid w:val="003109A0"/>
    <w:rsid w:val="00310D17"/>
    <w:rsid w:val="00312E28"/>
    <w:rsid w:val="00312FDC"/>
    <w:rsid w:val="00313499"/>
    <w:rsid w:val="003141B8"/>
    <w:rsid w:val="003143CE"/>
    <w:rsid w:val="00314BDE"/>
    <w:rsid w:val="0031586F"/>
    <w:rsid w:val="0031613C"/>
    <w:rsid w:val="00316364"/>
    <w:rsid w:val="003167B4"/>
    <w:rsid w:val="00316D63"/>
    <w:rsid w:val="0031747A"/>
    <w:rsid w:val="00317751"/>
    <w:rsid w:val="00317C19"/>
    <w:rsid w:val="00320FC7"/>
    <w:rsid w:val="0032138F"/>
    <w:rsid w:val="003216FE"/>
    <w:rsid w:val="00322AB5"/>
    <w:rsid w:val="00322B42"/>
    <w:rsid w:val="00322E35"/>
    <w:rsid w:val="00324C68"/>
    <w:rsid w:val="00325A9C"/>
    <w:rsid w:val="00325E7E"/>
    <w:rsid w:val="003269F0"/>
    <w:rsid w:val="003271B4"/>
    <w:rsid w:val="00327939"/>
    <w:rsid w:val="0032794A"/>
    <w:rsid w:val="00330937"/>
    <w:rsid w:val="00331B2C"/>
    <w:rsid w:val="00331B97"/>
    <w:rsid w:val="00331C1C"/>
    <w:rsid w:val="00331E2B"/>
    <w:rsid w:val="003327A0"/>
    <w:rsid w:val="00332814"/>
    <w:rsid w:val="0033288B"/>
    <w:rsid w:val="00332986"/>
    <w:rsid w:val="00332B9A"/>
    <w:rsid w:val="0033333C"/>
    <w:rsid w:val="00334900"/>
    <w:rsid w:val="0033497B"/>
    <w:rsid w:val="0033517E"/>
    <w:rsid w:val="0033677C"/>
    <w:rsid w:val="0033677D"/>
    <w:rsid w:val="00336810"/>
    <w:rsid w:val="00337E3C"/>
    <w:rsid w:val="00341B08"/>
    <w:rsid w:val="00341B6C"/>
    <w:rsid w:val="003426B7"/>
    <w:rsid w:val="003431E6"/>
    <w:rsid w:val="0034474F"/>
    <w:rsid w:val="0034479C"/>
    <w:rsid w:val="00344E75"/>
    <w:rsid w:val="003451CC"/>
    <w:rsid w:val="00345C07"/>
    <w:rsid w:val="00345C30"/>
    <w:rsid w:val="00345F80"/>
    <w:rsid w:val="00345FFE"/>
    <w:rsid w:val="00346B2B"/>
    <w:rsid w:val="00346F20"/>
    <w:rsid w:val="00347655"/>
    <w:rsid w:val="00350AA8"/>
    <w:rsid w:val="00350C0F"/>
    <w:rsid w:val="0035110C"/>
    <w:rsid w:val="003513D1"/>
    <w:rsid w:val="003513EC"/>
    <w:rsid w:val="00352243"/>
    <w:rsid w:val="00352426"/>
    <w:rsid w:val="003524C1"/>
    <w:rsid w:val="00352B48"/>
    <w:rsid w:val="00352CFC"/>
    <w:rsid w:val="00353041"/>
    <w:rsid w:val="0035475B"/>
    <w:rsid w:val="00355198"/>
    <w:rsid w:val="00355320"/>
    <w:rsid w:val="00355D42"/>
    <w:rsid w:val="00356211"/>
    <w:rsid w:val="003565B2"/>
    <w:rsid w:val="00356E05"/>
    <w:rsid w:val="003573AD"/>
    <w:rsid w:val="00360454"/>
    <w:rsid w:val="003606C4"/>
    <w:rsid w:val="00360AB9"/>
    <w:rsid w:val="00361E0C"/>
    <w:rsid w:val="00361FAC"/>
    <w:rsid w:val="003622FB"/>
    <w:rsid w:val="00362A1B"/>
    <w:rsid w:val="00363247"/>
    <w:rsid w:val="00364C92"/>
    <w:rsid w:val="003651FA"/>
    <w:rsid w:val="003654F4"/>
    <w:rsid w:val="00366027"/>
    <w:rsid w:val="0036675A"/>
    <w:rsid w:val="00367579"/>
    <w:rsid w:val="0037014B"/>
    <w:rsid w:val="00370889"/>
    <w:rsid w:val="00370E81"/>
    <w:rsid w:val="003714C6"/>
    <w:rsid w:val="00371987"/>
    <w:rsid w:val="00373108"/>
    <w:rsid w:val="003744D3"/>
    <w:rsid w:val="003746A0"/>
    <w:rsid w:val="00374EF7"/>
    <w:rsid w:val="00375A2A"/>
    <w:rsid w:val="00375D93"/>
    <w:rsid w:val="0037683F"/>
    <w:rsid w:val="003771BE"/>
    <w:rsid w:val="0037720F"/>
    <w:rsid w:val="00377D61"/>
    <w:rsid w:val="003825A4"/>
    <w:rsid w:val="00383B2B"/>
    <w:rsid w:val="00384430"/>
    <w:rsid w:val="00384A06"/>
    <w:rsid w:val="00384D29"/>
    <w:rsid w:val="00385168"/>
    <w:rsid w:val="0038537E"/>
    <w:rsid w:val="00385AC0"/>
    <w:rsid w:val="003861EE"/>
    <w:rsid w:val="0038629A"/>
    <w:rsid w:val="003866C5"/>
    <w:rsid w:val="003872F7"/>
    <w:rsid w:val="0038731D"/>
    <w:rsid w:val="003878AA"/>
    <w:rsid w:val="00392033"/>
    <w:rsid w:val="0039288C"/>
    <w:rsid w:val="00392B27"/>
    <w:rsid w:val="00392CB8"/>
    <w:rsid w:val="003938CE"/>
    <w:rsid w:val="00393A45"/>
    <w:rsid w:val="0039420E"/>
    <w:rsid w:val="00394563"/>
    <w:rsid w:val="00394899"/>
    <w:rsid w:val="00394A98"/>
    <w:rsid w:val="00394D75"/>
    <w:rsid w:val="00395169"/>
    <w:rsid w:val="003957E9"/>
    <w:rsid w:val="003A0202"/>
    <w:rsid w:val="003A028A"/>
    <w:rsid w:val="003A03A9"/>
    <w:rsid w:val="003A0BC3"/>
    <w:rsid w:val="003A0EF2"/>
    <w:rsid w:val="003A2393"/>
    <w:rsid w:val="003A2F26"/>
    <w:rsid w:val="003A30F0"/>
    <w:rsid w:val="003A378F"/>
    <w:rsid w:val="003A3B9D"/>
    <w:rsid w:val="003A46B9"/>
    <w:rsid w:val="003A4C1B"/>
    <w:rsid w:val="003A4FFC"/>
    <w:rsid w:val="003A500C"/>
    <w:rsid w:val="003B06C2"/>
    <w:rsid w:val="003B0BA7"/>
    <w:rsid w:val="003B12D1"/>
    <w:rsid w:val="003B15EA"/>
    <w:rsid w:val="003B1832"/>
    <w:rsid w:val="003B2326"/>
    <w:rsid w:val="003B23EC"/>
    <w:rsid w:val="003B2AE7"/>
    <w:rsid w:val="003B35B7"/>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2D87"/>
    <w:rsid w:val="003C3987"/>
    <w:rsid w:val="003C3F4C"/>
    <w:rsid w:val="003C427A"/>
    <w:rsid w:val="003C42D6"/>
    <w:rsid w:val="003C48CC"/>
    <w:rsid w:val="003C4FF2"/>
    <w:rsid w:val="003C51B1"/>
    <w:rsid w:val="003C5349"/>
    <w:rsid w:val="003C5D20"/>
    <w:rsid w:val="003C704D"/>
    <w:rsid w:val="003C725C"/>
    <w:rsid w:val="003C7A2D"/>
    <w:rsid w:val="003D02E5"/>
    <w:rsid w:val="003D06B4"/>
    <w:rsid w:val="003D07F2"/>
    <w:rsid w:val="003D118B"/>
    <w:rsid w:val="003D13C6"/>
    <w:rsid w:val="003D2709"/>
    <w:rsid w:val="003D3074"/>
    <w:rsid w:val="003D3829"/>
    <w:rsid w:val="003D45D2"/>
    <w:rsid w:val="003D489E"/>
    <w:rsid w:val="003D501E"/>
    <w:rsid w:val="003D58A2"/>
    <w:rsid w:val="003D6033"/>
    <w:rsid w:val="003D666D"/>
    <w:rsid w:val="003D6B9D"/>
    <w:rsid w:val="003D794D"/>
    <w:rsid w:val="003D7C91"/>
    <w:rsid w:val="003D7E5C"/>
    <w:rsid w:val="003E111F"/>
    <w:rsid w:val="003E1A6F"/>
    <w:rsid w:val="003E2C4C"/>
    <w:rsid w:val="003E37A3"/>
    <w:rsid w:val="003E400F"/>
    <w:rsid w:val="003E47AC"/>
    <w:rsid w:val="003E4DD6"/>
    <w:rsid w:val="003E561E"/>
    <w:rsid w:val="003E58A0"/>
    <w:rsid w:val="003E647F"/>
    <w:rsid w:val="003E6496"/>
    <w:rsid w:val="003E7459"/>
    <w:rsid w:val="003F0079"/>
    <w:rsid w:val="003F04A5"/>
    <w:rsid w:val="003F05C6"/>
    <w:rsid w:val="003F08C1"/>
    <w:rsid w:val="003F15B8"/>
    <w:rsid w:val="003F1766"/>
    <w:rsid w:val="003F17A2"/>
    <w:rsid w:val="003F266A"/>
    <w:rsid w:val="003F3857"/>
    <w:rsid w:val="003F4621"/>
    <w:rsid w:val="003F48B1"/>
    <w:rsid w:val="003F56DB"/>
    <w:rsid w:val="003F5ECB"/>
    <w:rsid w:val="003F6C3F"/>
    <w:rsid w:val="003F6E6F"/>
    <w:rsid w:val="00400401"/>
    <w:rsid w:val="00400DC8"/>
    <w:rsid w:val="00401948"/>
    <w:rsid w:val="00401D08"/>
    <w:rsid w:val="00401DAB"/>
    <w:rsid w:val="00401F23"/>
    <w:rsid w:val="00401F69"/>
    <w:rsid w:val="0040245A"/>
    <w:rsid w:val="00402500"/>
    <w:rsid w:val="00402545"/>
    <w:rsid w:val="00402728"/>
    <w:rsid w:val="004028FF"/>
    <w:rsid w:val="00402AE7"/>
    <w:rsid w:val="0040324B"/>
    <w:rsid w:val="00403479"/>
    <w:rsid w:val="00404984"/>
    <w:rsid w:val="00404B86"/>
    <w:rsid w:val="0040603F"/>
    <w:rsid w:val="00406215"/>
    <w:rsid w:val="00410BEB"/>
    <w:rsid w:val="00410D48"/>
    <w:rsid w:val="004112FF"/>
    <w:rsid w:val="004118F3"/>
    <w:rsid w:val="004119EE"/>
    <w:rsid w:val="00411CB3"/>
    <w:rsid w:val="00412AA3"/>
    <w:rsid w:val="00412D07"/>
    <w:rsid w:val="004137DF"/>
    <w:rsid w:val="0041405D"/>
    <w:rsid w:val="004141E0"/>
    <w:rsid w:val="0041510B"/>
    <w:rsid w:val="004151F7"/>
    <w:rsid w:val="004152AE"/>
    <w:rsid w:val="00416266"/>
    <w:rsid w:val="004201C3"/>
    <w:rsid w:val="00420A9B"/>
    <w:rsid w:val="00420EDB"/>
    <w:rsid w:val="00421041"/>
    <w:rsid w:val="004225CD"/>
    <w:rsid w:val="004228E6"/>
    <w:rsid w:val="00422ADC"/>
    <w:rsid w:val="00422F77"/>
    <w:rsid w:val="00423075"/>
    <w:rsid w:val="00423E3D"/>
    <w:rsid w:val="00423F40"/>
    <w:rsid w:val="004252F0"/>
    <w:rsid w:val="004254ED"/>
    <w:rsid w:val="00425550"/>
    <w:rsid w:val="0042642C"/>
    <w:rsid w:val="0042645F"/>
    <w:rsid w:val="004264FD"/>
    <w:rsid w:val="004272DE"/>
    <w:rsid w:val="004274CC"/>
    <w:rsid w:val="00430167"/>
    <w:rsid w:val="00430FB7"/>
    <w:rsid w:val="00431C1E"/>
    <w:rsid w:val="004327E5"/>
    <w:rsid w:val="004332FB"/>
    <w:rsid w:val="0043358D"/>
    <w:rsid w:val="00435214"/>
    <w:rsid w:val="0043599C"/>
    <w:rsid w:val="00435C00"/>
    <w:rsid w:val="0043659A"/>
    <w:rsid w:val="00436D85"/>
    <w:rsid w:val="00437B7A"/>
    <w:rsid w:val="00437DAE"/>
    <w:rsid w:val="0044016E"/>
    <w:rsid w:val="00440754"/>
    <w:rsid w:val="00440A19"/>
    <w:rsid w:val="00440C4B"/>
    <w:rsid w:val="004411FE"/>
    <w:rsid w:val="00442D05"/>
    <w:rsid w:val="00442FF2"/>
    <w:rsid w:val="00443CFE"/>
    <w:rsid w:val="004441B0"/>
    <w:rsid w:val="00444205"/>
    <w:rsid w:val="00444C56"/>
    <w:rsid w:val="00444FA9"/>
    <w:rsid w:val="00445554"/>
    <w:rsid w:val="0044568D"/>
    <w:rsid w:val="00445E4E"/>
    <w:rsid w:val="00446308"/>
    <w:rsid w:val="00446A98"/>
    <w:rsid w:val="00447186"/>
    <w:rsid w:val="004474F8"/>
    <w:rsid w:val="00447B2C"/>
    <w:rsid w:val="00451437"/>
    <w:rsid w:val="004521C5"/>
    <w:rsid w:val="004528C2"/>
    <w:rsid w:val="004531FB"/>
    <w:rsid w:val="004539A3"/>
    <w:rsid w:val="00453CFD"/>
    <w:rsid w:val="00453E03"/>
    <w:rsid w:val="004546CB"/>
    <w:rsid w:val="004548AB"/>
    <w:rsid w:val="00454D14"/>
    <w:rsid w:val="00454DED"/>
    <w:rsid w:val="00454EF0"/>
    <w:rsid w:val="00455758"/>
    <w:rsid w:val="00455952"/>
    <w:rsid w:val="004566D7"/>
    <w:rsid w:val="00457BB0"/>
    <w:rsid w:val="00457BEC"/>
    <w:rsid w:val="00460988"/>
    <w:rsid w:val="00460E2E"/>
    <w:rsid w:val="00461CEA"/>
    <w:rsid w:val="00462A9A"/>
    <w:rsid w:val="00463B3E"/>
    <w:rsid w:val="00463BF8"/>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23A4"/>
    <w:rsid w:val="00472846"/>
    <w:rsid w:val="00474106"/>
    <w:rsid w:val="00474C96"/>
    <w:rsid w:val="00475167"/>
    <w:rsid w:val="004773CE"/>
    <w:rsid w:val="00477B7D"/>
    <w:rsid w:val="00477D8F"/>
    <w:rsid w:val="00480005"/>
    <w:rsid w:val="004800B8"/>
    <w:rsid w:val="004801C8"/>
    <w:rsid w:val="004803AB"/>
    <w:rsid w:val="004808FB"/>
    <w:rsid w:val="004822B2"/>
    <w:rsid w:val="00482AEB"/>
    <w:rsid w:val="004831AB"/>
    <w:rsid w:val="004841E1"/>
    <w:rsid w:val="00484654"/>
    <w:rsid w:val="00484F1C"/>
    <w:rsid w:val="0048527D"/>
    <w:rsid w:val="00485587"/>
    <w:rsid w:val="00485B0C"/>
    <w:rsid w:val="00485E6F"/>
    <w:rsid w:val="004878B8"/>
    <w:rsid w:val="0049029B"/>
    <w:rsid w:val="004938DD"/>
    <w:rsid w:val="00493ABD"/>
    <w:rsid w:val="00494055"/>
    <w:rsid w:val="0049464C"/>
    <w:rsid w:val="00495098"/>
    <w:rsid w:val="0049553F"/>
    <w:rsid w:val="00495E95"/>
    <w:rsid w:val="00495ED9"/>
    <w:rsid w:val="00495FCE"/>
    <w:rsid w:val="0049658D"/>
    <w:rsid w:val="004975DB"/>
    <w:rsid w:val="00497A37"/>
    <w:rsid w:val="004A04AC"/>
    <w:rsid w:val="004A095A"/>
    <w:rsid w:val="004A12A8"/>
    <w:rsid w:val="004A186F"/>
    <w:rsid w:val="004A1B9A"/>
    <w:rsid w:val="004A1DDF"/>
    <w:rsid w:val="004A1FDA"/>
    <w:rsid w:val="004A23CB"/>
    <w:rsid w:val="004A2740"/>
    <w:rsid w:val="004A2C60"/>
    <w:rsid w:val="004A2EEA"/>
    <w:rsid w:val="004A47E2"/>
    <w:rsid w:val="004A4C9A"/>
    <w:rsid w:val="004A5675"/>
    <w:rsid w:val="004A57CE"/>
    <w:rsid w:val="004A59BC"/>
    <w:rsid w:val="004A5BF0"/>
    <w:rsid w:val="004A634E"/>
    <w:rsid w:val="004A7C9D"/>
    <w:rsid w:val="004B0218"/>
    <w:rsid w:val="004B0295"/>
    <w:rsid w:val="004B0A06"/>
    <w:rsid w:val="004B1569"/>
    <w:rsid w:val="004B1687"/>
    <w:rsid w:val="004B2D87"/>
    <w:rsid w:val="004B35C7"/>
    <w:rsid w:val="004B3929"/>
    <w:rsid w:val="004B49D3"/>
    <w:rsid w:val="004B4BDB"/>
    <w:rsid w:val="004B62C9"/>
    <w:rsid w:val="004B66EF"/>
    <w:rsid w:val="004B6EC1"/>
    <w:rsid w:val="004C083A"/>
    <w:rsid w:val="004C0D35"/>
    <w:rsid w:val="004C0DB0"/>
    <w:rsid w:val="004C1094"/>
    <w:rsid w:val="004C1825"/>
    <w:rsid w:val="004C288F"/>
    <w:rsid w:val="004C29EE"/>
    <w:rsid w:val="004C3DB1"/>
    <w:rsid w:val="004C453E"/>
    <w:rsid w:val="004C45DF"/>
    <w:rsid w:val="004C5156"/>
    <w:rsid w:val="004C517B"/>
    <w:rsid w:val="004C5733"/>
    <w:rsid w:val="004C5C46"/>
    <w:rsid w:val="004C5D72"/>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6FF5"/>
    <w:rsid w:val="004D7943"/>
    <w:rsid w:val="004E14D9"/>
    <w:rsid w:val="004E1B66"/>
    <w:rsid w:val="004E1F15"/>
    <w:rsid w:val="004E2FFA"/>
    <w:rsid w:val="004E3270"/>
    <w:rsid w:val="004E37D4"/>
    <w:rsid w:val="004E3A3F"/>
    <w:rsid w:val="004E3A52"/>
    <w:rsid w:val="004E3BC4"/>
    <w:rsid w:val="004E51BD"/>
    <w:rsid w:val="004E62DA"/>
    <w:rsid w:val="004E6327"/>
    <w:rsid w:val="004E6E1E"/>
    <w:rsid w:val="004E6F1D"/>
    <w:rsid w:val="004E6FB3"/>
    <w:rsid w:val="004E7646"/>
    <w:rsid w:val="004E7F60"/>
    <w:rsid w:val="004F0323"/>
    <w:rsid w:val="004F0559"/>
    <w:rsid w:val="004F1B1B"/>
    <w:rsid w:val="004F1DDE"/>
    <w:rsid w:val="004F2329"/>
    <w:rsid w:val="004F2789"/>
    <w:rsid w:val="004F2C97"/>
    <w:rsid w:val="004F310E"/>
    <w:rsid w:val="004F39C7"/>
    <w:rsid w:val="004F3B1D"/>
    <w:rsid w:val="004F4964"/>
    <w:rsid w:val="004F4B30"/>
    <w:rsid w:val="004F4C19"/>
    <w:rsid w:val="004F5E52"/>
    <w:rsid w:val="004F6111"/>
    <w:rsid w:val="004F6B74"/>
    <w:rsid w:val="004F756D"/>
    <w:rsid w:val="00500732"/>
    <w:rsid w:val="005011AC"/>
    <w:rsid w:val="00503E28"/>
    <w:rsid w:val="005043A4"/>
    <w:rsid w:val="00505F78"/>
    <w:rsid w:val="00506208"/>
    <w:rsid w:val="0050639B"/>
    <w:rsid w:val="0050679A"/>
    <w:rsid w:val="00507174"/>
    <w:rsid w:val="005079B0"/>
    <w:rsid w:val="0051039B"/>
    <w:rsid w:val="00510432"/>
    <w:rsid w:val="00510490"/>
    <w:rsid w:val="00510494"/>
    <w:rsid w:val="00510CBC"/>
    <w:rsid w:val="00510D42"/>
    <w:rsid w:val="00510F22"/>
    <w:rsid w:val="005114CE"/>
    <w:rsid w:val="00511987"/>
    <w:rsid w:val="0051288C"/>
    <w:rsid w:val="00513398"/>
    <w:rsid w:val="00513BA9"/>
    <w:rsid w:val="00513CE4"/>
    <w:rsid w:val="00513DED"/>
    <w:rsid w:val="00514118"/>
    <w:rsid w:val="00514478"/>
    <w:rsid w:val="00515162"/>
    <w:rsid w:val="00515301"/>
    <w:rsid w:val="00516A90"/>
    <w:rsid w:val="00516DFF"/>
    <w:rsid w:val="00517517"/>
    <w:rsid w:val="00517522"/>
    <w:rsid w:val="00517D38"/>
    <w:rsid w:val="00520327"/>
    <w:rsid w:val="00520B41"/>
    <w:rsid w:val="00521202"/>
    <w:rsid w:val="00521752"/>
    <w:rsid w:val="005238EB"/>
    <w:rsid w:val="005240DF"/>
    <w:rsid w:val="0052496A"/>
    <w:rsid w:val="00525D81"/>
    <w:rsid w:val="00526296"/>
    <w:rsid w:val="00526B70"/>
    <w:rsid w:val="005272AE"/>
    <w:rsid w:val="005277CA"/>
    <w:rsid w:val="005307B5"/>
    <w:rsid w:val="00530F5C"/>
    <w:rsid w:val="00530FF0"/>
    <w:rsid w:val="005317FB"/>
    <w:rsid w:val="00531DE2"/>
    <w:rsid w:val="0053265B"/>
    <w:rsid w:val="00532803"/>
    <w:rsid w:val="00533939"/>
    <w:rsid w:val="00534A78"/>
    <w:rsid w:val="00534FF3"/>
    <w:rsid w:val="00535C4B"/>
    <w:rsid w:val="00535E1C"/>
    <w:rsid w:val="00535E3C"/>
    <w:rsid w:val="0053627A"/>
    <w:rsid w:val="005365A7"/>
    <w:rsid w:val="00536ECF"/>
    <w:rsid w:val="005376AE"/>
    <w:rsid w:val="005379AD"/>
    <w:rsid w:val="00537BAE"/>
    <w:rsid w:val="00537E84"/>
    <w:rsid w:val="005400CC"/>
    <w:rsid w:val="0054017D"/>
    <w:rsid w:val="00540255"/>
    <w:rsid w:val="005403FA"/>
    <w:rsid w:val="00540A20"/>
    <w:rsid w:val="00540A5A"/>
    <w:rsid w:val="005425B0"/>
    <w:rsid w:val="00542D64"/>
    <w:rsid w:val="00543022"/>
    <w:rsid w:val="00543163"/>
    <w:rsid w:val="00544589"/>
    <w:rsid w:val="00547236"/>
    <w:rsid w:val="0054776F"/>
    <w:rsid w:val="00547B23"/>
    <w:rsid w:val="005505B7"/>
    <w:rsid w:val="00550B91"/>
    <w:rsid w:val="005519B4"/>
    <w:rsid w:val="00553024"/>
    <w:rsid w:val="00553A3F"/>
    <w:rsid w:val="00553F0A"/>
    <w:rsid w:val="00554134"/>
    <w:rsid w:val="00554859"/>
    <w:rsid w:val="00554911"/>
    <w:rsid w:val="00554D53"/>
    <w:rsid w:val="00554D58"/>
    <w:rsid w:val="00554F5D"/>
    <w:rsid w:val="005553C5"/>
    <w:rsid w:val="00556B80"/>
    <w:rsid w:val="00556E15"/>
    <w:rsid w:val="00556EEE"/>
    <w:rsid w:val="00556FDE"/>
    <w:rsid w:val="00557295"/>
    <w:rsid w:val="00557357"/>
    <w:rsid w:val="005578EC"/>
    <w:rsid w:val="005604AD"/>
    <w:rsid w:val="00560C9B"/>
    <w:rsid w:val="005621B9"/>
    <w:rsid w:val="00562CE0"/>
    <w:rsid w:val="00562D3C"/>
    <w:rsid w:val="0056388A"/>
    <w:rsid w:val="00564163"/>
    <w:rsid w:val="00564376"/>
    <w:rsid w:val="00564B59"/>
    <w:rsid w:val="00565260"/>
    <w:rsid w:val="00565610"/>
    <w:rsid w:val="005658C4"/>
    <w:rsid w:val="00566EFD"/>
    <w:rsid w:val="0056750B"/>
    <w:rsid w:val="0056789B"/>
    <w:rsid w:val="005679FE"/>
    <w:rsid w:val="005708E3"/>
    <w:rsid w:val="005714DE"/>
    <w:rsid w:val="00571D01"/>
    <w:rsid w:val="00572902"/>
    <w:rsid w:val="00572C88"/>
    <w:rsid w:val="005734FA"/>
    <w:rsid w:val="00574FE0"/>
    <w:rsid w:val="005760D4"/>
    <w:rsid w:val="005762BC"/>
    <w:rsid w:val="005773E7"/>
    <w:rsid w:val="00577BE2"/>
    <w:rsid w:val="00580BE7"/>
    <w:rsid w:val="00581A62"/>
    <w:rsid w:val="00581D17"/>
    <w:rsid w:val="00582A38"/>
    <w:rsid w:val="00582E42"/>
    <w:rsid w:val="00583B71"/>
    <w:rsid w:val="00583DAC"/>
    <w:rsid w:val="0058574F"/>
    <w:rsid w:val="0058593C"/>
    <w:rsid w:val="00587DC4"/>
    <w:rsid w:val="00590F9A"/>
    <w:rsid w:val="00592211"/>
    <w:rsid w:val="0059242C"/>
    <w:rsid w:val="00592872"/>
    <w:rsid w:val="00592B87"/>
    <w:rsid w:val="00592EFA"/>
    <w:rsid w:val="00592FD9"/>
    <w:rsid w:val="005934E1"/>
    <w:rsid w:val="00593804"/>
    <w:rsid w:val="0059498A"/>
    <w:rsid w:val="00594DE3"/>
    <w:rsid w:val="00594E3B"/>
    <w:rsid w:val="00595C0D"/>
    <w:rsid w:val="00595E70"/>
    <w:rsid w:val="00595EBF"/>
    <w:rsid w:val="00595EDE"/>
    <w:rsid w:val="005960D8"/>
    <w:rsid w:val="0059625A"/>
    <w:rsid w:val="005963D2"/>
    <w:rsid w:val="00596956"/>
    <w:rsid w:val="00596ECB"/>
    <w:rsid w:val="005A024A"/>
    <w:rsid w:val="005A0570"/>
    <w:rsid w:val="005A135D"/>
    <w:rsid w:val="005A1965"/>
    <w:rsid w:val="005A1D66"/>
    <w:rsid w:val="005A2477"/>
    <w:rsid w:val="005A26CA"/>
    <w:rsid w:val="005A2F57"/>
    <w:rsid w:val="005A336F"/>
    <w:rsid w:val="005A3EE9"/>
    <w:rsid w:val="005A4102"/>
    <w:rsid w:val="005A4414"/>
    <w:rsid w:val="005A461F"/>
    <w:rsid w:val="005A496F"/>
    <w:rsid w:val="005A4EA9"/>
    <w:rsid w:val="005A52FA"/>
    <w:rsid w:val="005A5843"/>
    <w:rsid w:val="005A5A97"/>
    <w:rsid w:val="005A6747"/>
    <w:rsid w:val="005A6E5D"/>
    <w:rsid w:val="005A7293"/>
    <w:rsid w:val="005A79D9"/>
    <w:rsid w:val="005A7AC1"/>
    <w:rsid w:val="005A7F1E"/>
    <w:rsid w:val="005B0559"/>
    <w:rsid w:val="005B0EB5"/>
    <w:rsid w:val="005B1335"/>
    <w:rsid w:val="005B197C"/>
    <w:rsid w:val="005B1B66"/>
    <w:rsid w:val="005B219D"/>
    <w:rsid w:val="005B2953"/>
    <w:rsid w:val="005B313D"/>
    <w:rsid w:val="005B31E7"/>
    <w:rsid w:val="005B3FA7"/>
    <w:rsid w:val="005B45AA"/>
    <w:rsid w:val="005B48AA"/>
    <w:rsid w:val="005B4F6E"/>
    <w:rsid w:val="005B5148"/>
    <w:rsid w:val="005B6093"/>
    <w:rsid w:val="005B6506"/>
    <w:rsid w:val="005B6B28"/>
    <w:rsid w:val="005B6EFF"/>
    <w:rsid w:val="005B6FA7"/>
    <w:rsid w:val="005B759C"/>
    <w:rsid w:val="005B78A9"/>
    <w:rsid w:val="005C02ED"/>
    <w:rsid w:val="005C0ED0"/>
    <w:rsid w:val="005C14D1"/>
    <w:rsid w:val="005C2193"/>
    <w:rsid w:val="005C24E2"/>
    <w:rsid w:val="005C27C3"/>
    <w:rsid w:val="005C28E5"/>
    <w:rsid w:val="005C2C69"/>
    <w:rsid w:val="005C2E50"/>
    <w:rsid w:val="005C4505"/>
    <w:rsid w:val="005C4BA9"/>
    <w:rsid w:val="005C503A"/>
    <w:rsid w:val="005C55A4"/>
    <w:rsid w:val="005C5CC6"/>
    <w:rsid w:val="005C6799"/>
    <w:rsid w:val="005C7781"/>
    <w:rsid w:val="005C7DFA"/>
    <w:rsid w:val="005D066D"/>
    <w:rsid w:val="005D07FA"/>
    <w:rsid w:val="005D1D63"/>
    <w:rsid w:val="005D237A"/>
    <w:rsid w:val="005D25E2"/>
    <w:rsid w:val="005D355A"/>
    <w:rsid w:val="005D3CCA"/>
    <w:rsid w:val="005D4DF5"/>
    <w:rsid w:val="005D5EB4"/>
    <w:rsid w:val="005D61D6"/>
    <w:rsid w:val="005D6271"/>
    <w:rsid w:val="005D7855"/>
    <w:rsid w:val="005D7D4E"/>
    <w:rsid w:val="005E032A"/>
    <w:rsid w:val="005E0C54"/>
    <w:rsid w:val="005E0FB6"/>
    <w:rsid w:val="005E1094"/>
    <w:rsid w:val="005E1141"/>
    <w:rsid w:val="005E24D9"/>
    <w:rsid w:val="005E284F"/>
    <w:rsid w:val="005E3DD8"/>
    <w:rsid w:val="005E4037"/>
    <w:rsid w:val="005E41BE"/>
    <w:rsid w:val="005E4592"/>
    <w:rsid w:val="005E4BD2"/>
    <w:rsid w:val="005E4E9C"/>
    <w:rsid w:val="005E5026"/>
    <w:rsid w:val="005E514A"/>
    <w:rsid w:val="005E7D57"/>
    <w:rsid w:val="005F0468"/>
    <w:rsid w:val="005F0884"/>
    <w:rsid w:val="005F1F07"/>
    <w:rsid w:val="005F1F68"/>
    <w:rsid w:val="005F27BD"/>
    <w:rsid w:val="005F2951"/>
    <w:rsid w:val="005F36DB"/>
    <w:rsid w:val="005F4192"/>
    <w:rsid w:val="005F4473"/>
    <w:rsid w:val="005F4DD2"/>
    <w:rsid w:val="005F54DC"/>
    <w:rsid w:val="005F556A"/>
    <w:rsid w:val="005F68B1"/>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1039F"/>
    <w:rsid w:val="006103B7"/>
    <w:rsid w:val="006111EC"/>
    <w:rsid w:val="006115DC"/>
    <w:rsid w:val="0061168B"/>
    <w:rsid w:val="006121B9"/>
    <w:rsid w:val="00612702"/>
    <w:rsid w:val="006128F7"/>
    <w:rsid w:val="00612927"/>
    <w:rsid w:val="00613E8E"/>
    <w:rsid w:val="00615FF1"/>
    <w:rsid w:val="00616789"/>
    <w:rsid w:val="00616ECB"/>
    <w:rsid w:val="00617CA6"/>
    <w:rsid w:val="0062092B"/>
    <w:rsid w:val="00620F29"/>
    <w:rsid w:val="006216FC"/>
    <w:rsid w:val="00621C6F"/>
    <w:rsid w:val="00621E8A"/>
    <w:rsid w:val="0062243E"/>
    <w:rsid w:val="006226EA"/>
    <w:rsid w:val="00622F7C"/>
    <w:rsid w:val="00623A81"/>
    <w:rsid w:val="00623F83"/>
    <w:rsid w:val="00624ACC"/>
    <w:rsid w:val="00624D66"/>
    <w:rsid w:val="00624FCB"/>
    <w:rsid w:val="0062526E"/>
    <w:rsid w:val="0062623C"/>
    <w:rsid w:val="006263A6"/>
    <w:rsid w:val="0062658D"/>
    <w:rsid w:val="006268E3"/>
    <w:rsid w:val="00626F82"/>
    <w:rsid w:val="00627B15"/>
    <w:rsid w:val="00630579"/>
    <w:rsid w:val="00632398"/>
    <w:rsid w:val="00632D04"/>
    <w:rsid w:val="006331A0"/>
    <w:rsid w:val="00633214"/>
    <w:rsid w:val="006335FF"/>
    <w:rsid w:val="00634137"/>
    <w:rsid w:val="00634558"/>
    <w:rsid w:val="00634627"/>
    <w:rsid w:val="00634E6C"/>
    <w:rsid w:val="00635CB5"/>
    <w:rsid w:val="00641429"/>
    <w:rsid w:val="00641F0E"/>
    <w:rsid w:val="00641FE3"/>
    <w:rsid w:val="00642622"/>
    <w:rsid w:val="00642968"/>
    <w:rsid w:val="00642B9D"/>
    <w:rsid w:val="006447B8"/>
    <w:rsid w:val="00644EC5"/>
    <w:rsid w:val="006453BE"/>
    <w:rsid w:val="006454E1"/>
    <w:rsid w:val="0064579A"/>
    <w:rsid w:val="00650105"/>
    <w:rsid w:val="00652DF2"/>
    <w:rsid w:val="00653334"/>
    <w:rsid w:val="00653AA8"/>
    <w:rsid w:val="00654017"/>
    <w:rsid w:val="0065501C"/>
    <w:rsid w:val="0065559E"/>
    <w:rsid w:val="006556FB"/>
    <w:rsid w:val="00660A4E"/>
    <w:rsid w:val="00660BF4"/>
    <w:rsid w:val="00661078"/>
    <w:rsid w:val="00661EDE"/>
    <w:rsid w:val="00661F1A"/>
    <w:rsid w:val="0066258C"/>
    <w:rsid w:val="00662DE0"/>
    <w:rsid w:val="00662F7F"/>
    <w:rsid w:val="00663435"/>
    <w:rsid w:val="0066355F"/>
    <w:rsid w:val="0066380D"/>
    <w:rsid w:val="00663EB0"/>
    <w:rsid w:val="00663FA4"/>
    <w:rsid w:val="0066492D"/>
    <w:rsid w:val="00664952"/>
    <w:rsid w:val="00665995"/>
    <w:rsid w:val="00665B43"/>
    <w:rsid w:val="006666D0"/>
    <w:rsid w:val="00667372"/>
    <w:rsid w:val="00667DAD"/>
    <w:rsid w:val="0067022C"/>
    <w:rsid w:val="00670EA8"/>
    <w:rsid w:val="0067227A"/>
    <w:rsid w:val="00672BC0"/>
    <w:rsid w:val="00672EA5"/>
    <w:rsid w:val="00672FA4"/>
    <w:rsid w:val="00672FA5"/>
    <w:rsid w:val="0067462E"/>
    <w:rsid w:val="00675C56"/>
    <w:rsid w:val="00675C65"/>
    <w:rsid w:val="00675EE3"/>
    <w:rsid w:val="0067696A"/>
    <w:rsid w:val="00676C35"/>
    <w:rsid w:val="00676E2C"/>
    <w:rsid w:val="006773F6"/>
    <w:rsid w:val="0067781E"/>
    <w:rsid w:val="00677994"/>
    <w:rsid w:val="00677B64"/>
    <w:rsid w:val="00677BD1"/>
    <w:rsid w:val="00677FDB"/>
    <w:rsid w:val="006803F3"/>
    <w:rsid w:val="0068041F"/>
    <w:rsid w:val="006805BB"/>
    <w:rsid w:val="006812DC"/>
    <w:rsid w:val="00681ECA"/>
    <w:rsid w:val="00682013"/>
    <w:rsid w:val="00683602"/>
    <w:rsid w:val="00685851"/>
    <w:rsid w:val="00686A41"/>
    <w:rsid w:val="0068769F"/>
    <w:rsid w:val="0069074F"/>
    <w:rsid w:val="006908EB"/>
    <w:rsid w:val="0069123A"/>
    <w:rsid w:val="00692877"/>
    <w:rsid w:val="00693425"/>
    <w:rsid w:val="00693B26"/>
    <w:rsid w:val="00694AB1"/>
    <w:rsid w:val="006958FB"/>
    <w:rsid w:val="006959FD"/>
    <w:rsid w:val="00696DA6"/>
    <w:rsid w:val="00697456"/>
    <w:rsid w:val="0069779F"/>
    <w:rsid w:val="00697B2F"/>
    <w:rsid w:val="006A008C"/>
    <w:rsid w:val="006A01CF"/>
    <w:rsid w:val="006A024A"/>
    <w:rsid w:val="006A0423"/>
    <w:rsid w:val="006A0D08"/>
    <w:rsid w:val="006A183D"/>
    <w:rsid w:val="006A1F85"/>
    <w:rsid w:val="006A2497"/>
    <w:rsid w:val="006A253D"/>
    <w:rsid w:val="006A2730"/>
    <w:rsid w:val="006A2A0C"/>
    <w:rsid w:val="006A2A31"/>
    <w:rsid w:val="006A2CC7"/>
    <w:rsid w:val="006A2CF9"/>
    <w:rsid w:val="006A3469"/>
    <w:rsid w:val="006A4002"/>
    <w:rsid w:val="006A5167"/>
    <w:rsid w:val="006A51B9"/>
    <w:rsid w:val="006A523F"/>
    <w:rsid w:val="006A589B"/>
    <w:rsid w:val="006A5FD1"/>
    <w:rsid w:val="006A6470"/>
    <w:rsid w:val="006A6B4B"/>
    <w:rsid w:val="006A6C4A"/>
    <w:rsid w:val="006A7747"/>
    <w:rsid w:val="006A783A"/>
    <w:rsid w:val="006B01C2"/>
    <w:rsid w:val="006B0508"/>
    <w:rsid w:val="006B0B07"/>
    <w:rsid w:val="006B10F4"/>
    <w:rsid w:val="006B1DB9"/>
    <w:rsid w:val="006B254F"/>
    <w:rsid w:val="006B25F8"/>
    <w:rsid w:val="006B28C2"/>
    <w:rsid w:val="006B2C42"/>
    <w:rsid w:val="006B3BD7"/>
    <w:rsid w:val="006B5549"/>
    <w:rsid w:val="006B57EE"/>
    <w:rsid w:val="006B5A1D"/>
    <w:rsid w:val="006B5FBC"/>
    <w:rsid w:val="006B6097"/>
    <w:rsid w:val="006B6972"/>
    <w:rsid w:val="006B69F7"/>
    <w:rsid w:val="006B7846"/>
    <w:rsid w:val="006B7D04"/>
    <w:rsid w:val="006C0A1C"/>
    <w:rsid w:val="006C1583"/>
    <w:rsid w:val="006C2505"/>
    <w:rsid w:val="006C2CBB"/>
    <w:rsid w:val="006C3313"/>
    <w:rsid w:val="006C336F"/>
    <w:rsid w:val="006C34D2"/>
    <w:rsid w:val="006C364B"/>
    <w:rsid w:val="006C3CA8"/>
    <w:rsid w:val="006C4956"/>
    <w:rsid w:val="006C4C58"/>
    <w:rsid w:val="006C5367"/>
    <w:rsid w:val="006C596B"/>
    <w:rsid w:val="006C59F4"/>
    <w:rsid w:val="006C5A03"/>
    <w:rsid w:val="006C66C1"/>
    <w:rsid w:val="006C6E1A"/>
    <w:rsid w:val="006C7923"/>
    <w:rsid w:val="006D042E"/>
    <w:rsid w:val="006D05BE"/>
    <w:rsid w:val="006D074A"/>
    <w:rsid w:val="006D139B"/>
    <w:rsid w:val="006D13E9"/>
    <w:rsid w:val="006D237B"/>
    <w:rsid w:val="006D350C"/>
    <w:rsid w:val="006D4A97"/>
    <w:rsid w:val="006D5202"/>
    <w:rsid w:val="006D52D9"/>
    <w:rsid w:val="006D5DC1"/>
    <w:rsid w:val="006D5F01"/>
    <w:rsid w:val="006D6106"/>
    <w:rsid w:val="006D630C"/>
    <w:rsid w:val="006D6429"/>
    <w:rsid w:val="006D6453"/>
    <w:rsid w:val="006D749C"/>
    <w:rsid w:val="006D7710"/>
    <w:rsid w:val="006D7EFB"/>
    <w:rsid w:val="006E18A6"/>
    <w:rsid w:val="006E29F5"/>
    <w:rsid w:val="006E308E"/>
    <w:rsid w:val="006E3428"/>
    <w:rsid w:val="006E3CFD"/>
    <w:rsid w:val="006E432A"/>
    <w:rsid w:val="006E5517"/>
    <w:rsid w:val="006E55F2"/>
    <w:rsid w:val="006E59C4"/>
    <w:rsid w:val="006E6E73"/>
    <w:rsid w:val="006E6FFC"/>
    <w:rsid w:val="006F02CA"/>
    <w:rsid w:val="006F0963"/>
    <w:rsid w:val="006F0F25"/>
    <w:rsid w:val="006F303B"/>
    <w:rsid w:val="006F355C"/>
    <w:rsid w:val="006F3C7C"/>
    <w:rsid w:val="006F4B43"/>
    <w:rsid w:val="006F51D7"/>
    <w:rsid w:val="006F5640"/>
    <w:rsid w:val="006F5996"/>
    <w:rsid w:val="006F6944"/>
    <w:rsid w:val="006F696C"/>
    <w:rsid w:val="006F7D97"/>
    <w:rsid w:val="006F7D9D"/>
    <w:rsid w:val="006F7E32"/>
    <w:rsid w:val="00700712"/>
    <w:rsid w:val="0070096B"/>
    <w:rsid w:val="00700D44"/>
    <w:rsid w:val="00700E94"/>
    <w:rsid w:val="00700EC9"/>
    <w:rsid w:val="00701E2C"/>
    <w:rsid w:val="00701EBF"/>
    <w:rsid w:val="007020E3"/>
    <w:rsid w:val="0070230B"/>
    <w:rsid w:val="00702706"/>
    <w:rsid w:val="0070400D"/>
    <w:rsid w:val="007041DA"/>
    <w:rsid w:val="00704288"/>
    <w:rsid w:val="0070490A"/>
    <w:rsid w:val="00704944"/>
    <w:rsid w:val="00704E7E"/>
    <w:rsid w:val="00705348"/>
    <w:rsid w:val="0070581D"/>
    <w:rsid w:val="007059BA"/>
    <w:rsid w:val="00705E5A"/>
    <w:rsid w:val="007070BF"/>
    <w:rsid w:val="00707217"/>
    <w:rsid w:val="00707D25"/>
    <w:rsid w:val="00710382"/>
    <w:rsid w:val="00710464"/>
    <w:rsid w:val="00712326"/>
    <w:rsid w:val="0071294A"/>
    <w:rsid w:val="00712BD0"/>
    <w:rsid w:val="00712CDE"/>
    <w:rsid w:val="00713755"/>
    <w:rsid w:val="00713ACA"/>
    <w:rsid w:val="00713D59"/>
    <w:rsid w:val="00714644"/>
    <w:rsid w:val="00715274"/>
    <w:rsid w:val="00715512"/>
    <w:rsid w:val="00715901"/>
    <w:rsid w:val="007170E3"/>
    <w:rsid w:val="007176F1"/>
    <w:rsid w:val="00717709"/>
    <w:rsid w:val="00717DD8"/>
    <w:rsid w:val="007201D8"/>
    <w:rsid w:val="00720A3E"/>
    <w:rsid w:val="0072135D"/>
    <w:rsid w:val="007213AE"/>
    <w:rsid w:val="00721618"/>
    <w:rsid w:val="00721955"/>
    <w:rsid w:val="00722122"/>
    <w:rsid w:val="00722604"/>
    <w:rsid w:val="00723AD7"/>
    <w:rsid w:val="00723F00"/>
    <w:rsid w:val="00724295"/>
    <w:rsid w:val="00725763"/>
    <w:rsid w:val="00725825"/>
    <w:rsid w:val="00726109"/>
    <w:rsid w:val="007269AA"/>
    <w:rsid w:val="00726BCC"/>
    <w:rsid w:val="00726CE2"/>
    <w:rsid w:val="00726EB2"/>
    <w:rsid w:val="007279F9"/>
    <w:rsid w:val="00727D3C"/>
    <w:rsid w:val="00730BFC"/>
    <w:rsid w:val="00730FC7"/>
    <w:rsid w:val="007312F9"/>
    <w:rsid w:val="00731448"/>
    <w:rsid w:val="00732119"/>
    <w:rsid w:val="00732124"/>
    <w:rsid w:val="00732343"/>
    <w:rsid w:val="00732372"/>
    <w:rsid w:val="00734602"/>
    <w:rsid w:val="00734701"/>
    <w:rsid w:val="00735366"/>
    <w:rsid w:val="007356B1"/>
    <w:rsid w:val="007362F7"/>
    <w:rsid w:val="00736AF2"/>
    <w:rsid w:val="007374A8"/>
    <w:rsid w:val="00737925"/>
    <w:rsid w:val="00737A32"/>
    <w:rsid w:val="007400AC"/>
    <w:rsid w:val="0074013E"/>
    <w:rsid w:val="00740667"/>
    <w:rsid w:val="007414A5"/>
    <w:rsid w:val="007414A9"/>
    <w:rsid w:val="00741CB4"/>
    <w:rsid w:val="00742513"/>
    <w:rsid w:val="00742D21"/>
    <w:rsid w:val="00742E0D"/>
    <w:rsid w:val="00743087"/>
    <w:rsid w:val="00743539"/>
    <w:rsid w:val="007435FF"/>
    <w:rsid w:val="007440DA"/>
    <w:rsid w:val="00744678"/>
    <w:rsid w:val="00744A6B"/>
    <w:rsid w:val="00744C33"/>
    <w:rsid w:val="007456F4"/>
    <w:rsid w:val="00746F59"/>
    <w:rsid w:val="0074753C"/>
    <w:rsid w:val="007475A5"/>
    <w:rsid w:val="0075002E"/>
    <w:rsid w:val="00750518"/>
    <w:rsid w:val="00752375"/>
    <w:rsid w:val="007525D4"/>
    <w:rsid w:val="00752EFB"/>
    <w:rsid w:val="00752F85"/>
    <w:rsid w:val="00753E2D"/>
    <w:rsid w:val="00754109"/>
    <w:rsid w:val="00754180"/>
    <w:rsid w:val="00754AB3"/>
    <w:rsid w:val="00755407"/>
    <w:rsid w:val="0075607E"/>
    <w:rsid w:val="007563FA"/>
    <w:rsid w:val="00756820"/>
    <w:rsid w:val="0075693C"/>
    <w:rsid w:val="00757118"/>
    <w:rsid w:val="0075714E"/>
    <w:rsid w:val="00757474"/>
    <w:rsid w:val="007579D3"/>
    <w:rsid w:val="007579F2"/>
    <w:rsid w:val="00760AC1"/>
    <w:rsid w:val="00760BE4"/>
    <w:rsid w:val="00760DE7"/>
    <w:rsid w:val="007610FE"/>
    <w:rsid w:val="00761260"/>
    <w:rsid w:val="0076138F"/>
    <w:rsid w:val="007615D3"/>
    <w:rsid w:val="00761B7D"/>
    <w:rsid w:val="007624D9"/>
    <w:rsid w:val="00763146"/>
    <w:rsid w:val="007644C3"/>
    <w:rsid w:val="00764792"/>
    <w:rsid w:val="00764C61"/>
    <w:rsid w:val="00764CFC"/>
    <w:rsid w:val="00765BEC"/>
    <w:rsid w:val="0076610D"/>
    <w:rsid w:val="00766F92"/>
    <w:rsid w:val="00767678"/>
    <w:rsid w:val="007677F3"/>
    <w:rsid w:val="007702D3"/>
    <w:rsid w:val="007708D3"/>
    <w:rsid w:val="00770BF8"/>
    <w:rsid w:val="007711BA"/>
    <w:rsid w:val="00771D42"/>
    <w:rsid w:val="00772264"/>
    <w:rsid w:val="007729AE"/>
    <w:rsid w:val="00773353"/>
    <w:rsid w:val="0077389B"/>
    <w:rsid w:val="007738B7"/>
    <w:rsid w:val="007738F4"/>
    <w:rsid w:val="00775108"/>
    <w:rsid w:val="0077534E"/>
    <w:rsid w:val="00775ECE"/>
    <w:rsid w:val="007765EC"/>
    <w:rsid w:val="00776ACE"/>
    <w:rsid w:val="0077785C"/>
    <w:rsid w:val="00777DC0"/>
    <w:rsid w:val="00777EA4"/>
    <w:rsid w:val="00780447"/>
    <w:rsid w:val="007805BD"/>
    <w:rsid w:val="007808AD"/>
    <w:rsid w:val="00780E11"/>
    <w:rsid w:val="0078156E"/>
    <w:rsid w:val="007818E8"/>
    <w:rsid w:val="0078243A"/>
    <w:rsid w:val="007830CA"/>
    <w:rsid w:val="007844A9"/>
    <w:rsid w:val="007844F6"/>
    <w:rsid w:val="00784F6A"/>
    <w:rsid w:val="0078584B"/>
    <w:rsid w:val="00786610"/>
    <w:rsid w:val="00786B2F"/>
    <w:rsid w:val="00787896"/>
    <w:rsid w:val="007878E7"/>
    <w:rsid w:val="007902DD"/>
    <w:rsid w:val="00790DF7"/>
    <w:rsid w:val="007912D2"/>
    <w:rsid w:val="00791990"/>
    <w:rsid w:val="00791CA9"/>
    <w:rsid w:val="00793E22"/>
    <w:rsid w:val="00794AE5"/>
    <w:rsid w:val="00794B52"/>
    <w:rsid w:val="00794D1C"/>
    <w:rsid w:val="00795168"/>
    <w:rsid w:val="007952BC"/>
    <w:rsid w:val="007960B0"/>
    <w:rsid w:val="00796387"/>
    <w:rsid w:val="007964BA"/>
    <w:rsid w:val="00796647"/>
    <w:rsid w:val="00797698"/>
    <w:rsid w:val="007A15C2"/>
    <w:rsid w:val="007A2D23"/>
    <w:rsid w:val="007A2EB7"/>
    <w:rsid w:val="007A324A"/>
    <w:rsid w:val="007A37F8"/>
    <w:rsid w:val="007A4B7B"/>
    <w:rsid w:val="007A4BCD"/>
    <w:rsid w:val="007A5083"/>
    <w:rsid w:val="007A57C4"/>
    <w:rsid w:val="007A5EE9"/>
    <w:rsid w:val="007A77CA"/>
    <w:rsid w:val="007B0BD6"/>
    <w:rsid w:val="007B0D99"/>
    <w:rsid w:val="007B11DB"/>
    <w:rsid w:val="007B13E5"/>
    <w:rsid w:val="007B2558"/>
    <w:rsid w:val="007B2E90"/>
    <w:rsid w:val="007B31B6"/>
    <w:rsid w:val="007B39D4"/>
    <w:rsid w:val="007B41D6"/>
    <w:rsid w:val="007B4BD1"/>
    <w:rsid w:val="007B4F87"/>
    <w:rsid w:val="007B51BD"/>
    <w:rsid w:val="007B5699"/>
    <w:rsid w:val="007B5A20"/>
    <w:rsid w:val="007B6BB7"/>
    <w:rsid w:val="007B783B"/>
    <w:rsid w:val="007B795E"/>
    <w:rsid w:val="007B7B65"/>
    <w:rsid w:val="007C0147"/>
    <w:rsid w:val="007C0837"/>
    <w:rsid w:val="007C0F99"/>
    <w:rsid w:val="007C178A"/>
    <w:rsid w:val="007C1C3D"/>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8BE"/>
    <w:rsid w:val="007D138E"/>
    <w:rsid w:val="007D1A3D"/>
    <w:rsid w:val="007D33F2"/>
    <w:rsid w:val="007D342A"/>
    <w:rsid w:val="007D3A00"/>
    <w:rsid w:val="007D60D0"/>
    <w:rsid w:val="007D70AB"/>
    <w:rsid w:val="007D7336"/>
    <w:rsid w:val="007E1665"/>
    <w:rsid w:val="007E2636"/>
    <w:rsid w:val="007E2908"/>
    <w:rsid w:val="007E3B40"/>
    <w:rsid w:val="007E42F9"/>
    <w:rsid w:val="007E467D"/>
    <w:rsid w:val="007E4F1C"/>
    <w:rsid w:val="007E51FE"/>
    <w:rsid w:val="007E5803"/>
    <w:rsid w:val="007E6BFF"/>
    <w:rsid w:val="007E7140"/>
    <w:rsid w:val="007E7E60"/>
    <w:rsid w:val="007F080A"/>
    <w:rsid w:val="007F0C35"/>
    <w:rsid w:val="007F1070"/>
    <w:rsid w:val="007F1274"/>
    <w:rsid w:val="007F1A50"/>
    <w:rsid w:val="007F1DEA"/>
    <w:rsid w:val="007F21C7"/>
    <w:rsid w:val="007F2A1A"/>
    <w:rsid w:val="007F2C0D"/>
    <w:rsid w:val="007F3262"/>
    <w:rsid w:val="007F33BE"/>
    <w:rsid w:val="007F37A2"/>
    <w:rsid w:val="007F4193"/>
    <w:rsid w:val="007F4A7E"/>
    <w:rsid w:val="007F4AB1"/>
    <w:rsid w:val="007F5689"/>
    <w:rsid w:val="007F5933"/>
    <w:rsid w:val="007F5F57"/>
    <w:rsid w:val="007F62A3"/>
    <w:rsid w:val="007F6739"/>
    <w:rsid w:val="007F694D"/>
    <w:rsid w:val="007F6D4E"/>
    <w:rsid w:val="007F7334"/>
    <w:rsid w:val="007F73EC"/>
    <w:rsid w:val="007F78DF"/>
    <w:rsid w:val="007F7987"/>
    <w:rsid w:val="007F7C2B"/>
    <w:rsid w:val="00800242"/>
    <w:rsid w:val="008016D4"/>
    <w:rsid w:val="0080220B"/>
    <w:rsid w:val="008028D3"/>
    <w:rsid w:val="00803033"/>
    <w:rsid w:val="008033F3"/>
    <w:rsid w:val="0080356E"/>
    <w:rsid w:val="008042E1"/>
    <w:rsid w:val="00804862"/>
    <w:rsid w:val="00804B1A"/>
    <w:rsid w:val="00804F8B"/>
    <w:rsid w:val="0080552B"/>
    <w:rsid w:val="00805922"/>
    <w:rsid w:val="008073EF"/>
    <w:rsid w:val="00812276"/>
    <w:rsid w:val="0081275E"/>
    <w:rsid w:val="00812FE3"/>
    <w:rsid w:val="00813094"/>
    <w:rsid w:val="00814551"/>
    <w:rsid w:val="00814FE5"/>
    <w:rsid w:val="00815599"/>
    <w:rsid w:val="00815D62"/>
    <w:rsid w:val="00815EB0"/>
    <w:rsid w:val="008160C9"/>
    <w:rsid w:val="00816D44"/>
    <w:rsid w:val="00820412"/>
    <w:rsid w:val="00820607"/>
    <w:rsid w:val="00820840"/>
    <w:rsid w:val="008215D6"/>
    <w:rsid w:val="0082176D"/>
    <w:rsid w:val="0082234F"/>
    <w:rsid w:val="00822411"/>
    <w:rsid w:val="00822A63"/>
    <w:rsid w:val="00823079"/>
    <w:rsid w:val="00823A16"/>
    <w:rsid w:val="00823A1E"/>
    <w:rsid w:val="00824128"/>
    <w:rsid w:val="0082559D"/>
    <w:rsid w:val="00825B04"/>
    <w:rsid w:val="00825BE2"/>
    <w:rsid w:val="00825DFE"/>
    <w:rsid w:val="008261FB"/>
    <w:rsid w:val="00826AA3"/>
    <w:rsid w:val="008271C8"/>
    <w:rsid w:val="00827215"/>
    <w:rsid w:val="00827583"/>
    <w:rsid w:val="00827688"/>
    <w:rsid w:val="00827BB2"/>
    <w:rsid w:val="00830730"/>
    <w:rsid w:val="0083077F"/>
    <w:rsid w:val="00830EA5"/>
    <w:rsid w:val="00831030"/>
    <w:rsid w:val="00831FE8"/>
    <w:rsid w:val="00832061"/>
    <w:rsid w:val="0083314E"/>
    <w:rsid w:val="00833DB9"/>
    <w:rsid w:val="00835548"/>
    <w:rsid w:val="008358A0"/>
    <w:rsid w:val="00836329"/>
    <w:rsid w:val="00837665"/>
    <w:rsid w:val="008376E2"/>
    <w:rsid w:val="00837F89"/>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51D6"/>
    <w:rsid w:val="008462A9"/>
    <w:rsid w:val="00846C36"/>
    <w:rsid w:val="00847531"/>
    <w:rsid w:val="008475D7"/>
    <w:rsid w:val="00847C07"/>
    <w:rsid w:val="00847F1B"/>
    <w:rsid w:val="00851081"/>
    <w:rsid w:val="0085159C"/>
    <w:rsid w:val="00851A78"/>
    <w:rsid w:val="00851E22"/>
    <w:rsid w:val="00852170"/>
    <w:rsid w:val="0085223E"/>
    <w:rsid w:val="00852B4F"/>
    <w:rsid w:val="00852C00"/>
    <w:rsid w:val="00852C79"/>
    <w:rsid w:val="0085325D"/>
    <w:rsid w:val="00853371"/>
    <w:rsid w:val="00853445"/>
    <w:rsid w:val="008535B4"/>
    <w:rsid w:val="00853619"/>
    <w:rsid w:val="00853718"/>
    <w:rsid w:val="008537AE"/>
    <w:rsid w:val="008544AD"/>
    <w:rsid w:val="0085450A"/>
    <w:rsid w:val="00854771"/>
    <w:rsid w:val="00854779"/>
    <w:rsid w:val="00855227"/>
    <w:rsid w:val="00855EAF"/>
    <w:rsid w:val="00856997"/>
    <w:rsid w:val="00856AA1"/>
    <w:rsid w:val="008572DB"/>
    <w:rsid w:val="00857A1C"/>
    <w:rsid w:val="00857E45"/>
    <w:rsid w:val="0086216C"/>
    <w:rsid w:val="0086228F"/>
    <w:rsid w:val="00862D68"/>
    <w:rsid w:val="0086368F"/>
    <w:rsid w:val="008638EF"/>
    <w:rsid w:val="0086392C"/>
    <w:rsid w:val="00863D6C"/>
    <w:rsid w:val="008659CC"/>
    <w:rsid w:val="00866A62"/>
    <w:rsid w:val="00866EEB"/>
    <w:rsid w:val="0086721E"/>
    <w:rsid w:val="00867EEA"/>
    <w:rsid w:val="0087125F"/>
    <w:rsid w:val="00871EEE"/>
    <w:rsid w:val="00872CEC"/>
    <w:rsid w:val="00873401"/>
    <w:rsid w:val="0087376E"/>
    <w:rsid w:val="00873F0D"/>
    <w:rsid w:val="00873FF3"/>
    <w:rsid w:val="00874105"/>
    <w:rsid w:val="008746CF"/>
    <w:rsid w:val="008748B7"/>
    <w:rsid w:val="0087531E"/>
    <w:rsid w:val="00875973"/>
    <w:rsid w:val="008774E3"/>
    <w:rsid w:val="00877553"/>
    <w:rsid w:val="0087787B"/>
    <w:rsid w:val="0088011B"/>
    <w:rsid w:val="008801F0"/>
    <w:rsid w:val="00882609"/>
    <w:rsid w:val="00882D19"/>
    <w:rsid w:val="00882DA0"/>
    <w:rsid w:val="0088431A"/>
    <w:rsid w:val="00884979"/>
    <w:rsid w:val="00885484"/>
    <w:rsid w:val="008857FB"/>
    <w:rsid w:val="008863A9"/>
    <w:rsid w:val="008873F1"/>
    <w:rsid w:val="00887749"/>
    <w:rsid w:val="00887987"/>
    <w:rsid w:val="008903B9"/>
    <w:rsid w:val="00890440"/>
    <w:rsid w:val="00890512"/>
    <w:rsid w:val="00890C0E"/>
    <w:rsid w:val="00890DBE"/>
    <w:rsid w:val="008911ED"/>
    <w:rsid w:val="00891458"/>
    <w:rsid w:val="00891524"/>
    <w:rsid w:val="00891EE8"/>
    <w:rsid w:val="008921B6"/>
    <w:rsid w:val="00892689"/>
    <w:rsid w:val="00892AC2"/>
    <w:rsid w:val="008937E3"/>
    <w:rsid w:val="008939AB"/>
    <w:rsid w:val="00893AA5"/>
    <w:rsid w:val="0089483D"/>
    <w:rsid w:val="0089514B"/>
    <w:rsid w:val="008953D5"/>
    <w:rsid w:val="00895812"/>
    <w:rsid w:val="00895838"/>
    <w:rsid w:val="00895F34"/>
    <w:rsid w:val="00896996"/>
    <w:rsid w:val="00896C4A"/>
    <w:rsid w:val="00897923"/>
    <w:rsid w:val="00897F27"/>
    <w:rsid w:val="008A03B4"/>
    <w:rsid w:val="008A03BF"/>
    <w:rsid w:val="008A17BE"/>
    <w:rsid w:val="008A22F5"/>
    <w:rsid w:val="008A2AEB"/>
    <w:rsid w:val="008A2E73"/>
    <w:rsid w:val="008A3635"/>
    <w:rsid w:val="008A3E69"/>
    <w:rsid w:val="008A485A"/>
    <w:rsid w:val="008A69C4"/>
    <w:rsid w:val="008A6C46"/>
    <w:rsid w:val="008A716E"/>
    <w:rsid w:val="008A79B3"/>
    <w:rsid w:val="008B07E5"/>
    <w:rsid w:val="008B094D"/>
    <w:rsid w:val="008B0FEC"/>
    <w:rsid w:val="008B1474"/>
    <w:rsid w:val="008B1629"/>
    <w:rsid w:val="008B1972"/>
    <w:rsid w:val="008B2BA6"/>
    <w:rsid w:val="008B3109"/>
    <w:rsid w:val="008B3433"/>
    <w:rsid w:val="008B3AA4"/>
    <w:rsid w:val="008B4752"/>
    <w:rsid w:val="008B4A47"/>
    <w:rsid w:val="008B581A"/>
    <w:rsid w:val="008B72A5"/>
    <w:rsid w:val="008B7429"/>
    <w:rsid w:val="008C0ECC"/>
    <w:rsid w:val="008C1389"/>
    <w:rsid w:val="008C15C5"/>
    <w:rsid w:val="008C2B87"/>
    <w:rsid w:val="008C2D72"/>
    <w:rsid w:val="008C3178"/>
    <w:rsid w:val="008C596A"/>
    <w:rsid w:val="008C60BB"/>
    <w:rsid w:val="008C6B3F"/>
    <w:rsid w:val="008D02B5"/>
    <w:rsid w:val="008D03FC"/>
    <w:rsid w:val="008D07E0"/>
    <w:rsid w:val="008D08DD"/>
    <w:rsid w:val="008D0E6E"/>
    <w:rsid w:val="008D1111"/>
    <w:rsid w:val="008D1576"/>
    <w:rsid w:val="008D1B8D"/>
    <w:rsid w:val="008D1D6A"/>
    <w:rsid w:val="008D2154"/>
    <w:rsid w:val="008D24A6"/>
    <w:rsid w:val="008D3543"/>
    <w:rsid w:val="008D474C"/>
    <w:rsid w:val="008D5175"/>
    <w:rsid w:val="008D6C09"/>
    <w:rsid w:val="008D7733"/>
    <w:rsid w:val="008D7DF4"/>
    <w:rsid w:val="008D7E87"/>
    <w:rsid w:val="008E06B9"/>
    <w:rsid w:val="008E0A57"/>
    <w:rsid w:val="008E14C7"/>
    <w:rsid w:val="008E1E94"/>
    <w:rsid w:val="008E2000"/>
    <w:rsid w:val="008E2183"/>
    <w:rsid w:val="008E25CC"/>
    <w:rsid w:val="008E27D0"/>
    <w:rsid w:val="008E2BC9"/>
    <w:rsid w:val="008E2C3A"/>
    <w:rsid w:val="008E2D21"/>
    <w:rsid w:val="008E2F30"/>
    <w:rsid w:val="008E3AFC"/>
    <w:rsid w:val="008E544A"/>
    <w:rsid w:val="008E679D"/>
    <w:rsid w:val="008E7C60"/>
    <w:rsid w:val="008F0703"/>
    <w:rsid w:val="008F1823"/>
    <w:rsid w:val="008F18C8"/>
    <w:rsid w:val="008F1924"/>
    <w:rsid w:val="008F2053"/>
    <w:rsid w:val="008F244E"/>
    <w:rsid w:val="008F29FD"/>
    <w:rsid w:val="008F348B"/>
    <w:rsid w:val="008F4661"/>
    <w:rsid w:val="008F4A34"/>
    <w:rsid w:val="008F4DC0"/>
    <w:rsid w:val="008F5C88"/>
    <w:rsid w:val="008F62AF"/>
    <w:rsid w:val="008F6447"/>
    <w:rsid w:val="008F6DD7"/>
    <w:rsid w:val="008F7664"/>
    <w:rsid w:val="008F785A"/>
    <w:rsid w:val="008F7ABD"/>
    <w:rsid w:val="008F7FAD"/>
    <w:rsid w:val="00900280"/>
    <w:rsid w:val="00903187"/>
    <w:rsid w:val="009041D0"/>
    <w:rsid w:val="0090451E"/>
    <w:rsid w:val="00904991"/>
    <w:rsid w:val="00905DA2"/>
    <w:rsid w:val="0090667C"/>
    <w:rsid w:val="00906C57"/>
    <w:rsid w:val="009071D3"/>
    <w:rsid w:val="0090786B"/>
    <w:rsid w:val="009078BE"/>
    <w:rsid w:val="00910D98"/>
    <w:rsid w:val="00910DCD"/>
    <w:rsid w:val="00910E4C"/>
    <w:rsid w:val="00910EB5"/>
    <w:rsid w:val="00911243"/>
    <w:rsid w:val="00911279"/>
    <w:rsid w:val="00911C4B"/>
    <w:rsid w:val="00911F58"/>
    <w:rsid w:val="00912EBC"/>
    <w:rsid w:val="0091409C"/>
    <w:rsid w:val="009143E9"/>
    <w:rsid w:val="00914549"/>
    <w:rsid w:val="0091526E"/>
    <w:rsid w:val="009153A4"/>
    <w:rsid w:val="009157F1"/>
    <w:rsid w:val="00915AA6"/>
    <w:rsid w:val="00915C22"/>
    <w:rsid w:val="00915D13"/>
    <w:rsid w:val="0091600A"/>
    <w:rsid w:val="009163FD"/>
    <w:rsid w:val="00916461"/>
    <w:rsid w:val="00916609"/>
    <w:rsid w:val="00916D6D"/>
    <w:rsid w:val="00916DD5"/>
    <w:rsid w:val="00916DFF"/>
    <w:rsid w:val="0091725B"/>
    <w:rsid w:val="00920344"/>
    <w:rsid w:val="00920C64"/>
    <w:rsid w:val="00920E4E"/>
    <w:rsid w:val="009211CA"/>
    <w:rsid w:val="009221C2"/>
    <w:rsid w:val="0092248F"/>
    <w:rsid w:val="00922EEE"/>
    <w:rsid w:val="0092324C"/>
    <w:rsid w:val="00923EE3"/>
    <w:rsid w:val="009243A2"/>
    <w:rsid w:val="00924F65"/>
    <w:rsid w:val="00925225"/>
    <w:rsid w:val="0092537F"/>
    <w:rsid w:val="0092748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1818"/>
    <w:rsid w:val="00942014"/>
    <w:rsid w:val="009439A1"/>
    <w:rsid w:val="00944B02"/>
    <w:rsid w:val="00945D03"/>
    <w:rsid w:val="00945D68"/>
    <w:rsid w:val="0094610E"/>
    <w:rsid w:val="0094648A"/>
    <w:rsid w:val="00946E31"/>
    <w:rsid w:val="00946E7E"/>
    <w:rsid w:val="009476E9"/>
    <w:rsid w:val="00947741"/>
    <w:rsid w:val="00947905"/>
    <w:rsid w:val="00947E9B"/>
    <w:rsid w:val="0095070F"/>
    <w:rsid w:val="00950CC6"/>
    <w:rsid w:val="0095156F"/>
    <w:rsid w:val="0095187A"/>
    <w:rsid w:val="00951967"/>
    <w:rsid w:val="00952669"/>
    <w:rsid w:val="009529F2"/>
    <w:rsid w:val="009541E7"/>
    <w:rsid w:val="00954C0A"/>
    <w:rsid w:val="00954E68"/>
    <w:rsid w:val="0095537F"/>
    <w:rsid w:val="00955683"/>
    <w:rsid w:val="00955C46"/>
    <w:rsid w:val="00956F75"/>
    <w:rsid w:val="00956FB6"/>
    <w:rsid w:val="00957CEE"/>
    <w:rsid w:val="00957E0E"/>
    <w:rsid w:val="00960590"/>
    <w:rsid w:val="00960A7F"/>
    <w:rsid w:val="00960AF7"/>
    <w:rsid w:val="00960E68"/>
    <w:rsid w:val="009611F9"/>
    <w:rsid w:val="009612FC"/>
    <w:rsid w:val="009623B9"/>
    <w:rsid w:val="00962461"/>
    <w:rsid w:val="00962536"/>
    <w:rsid w:val="00962654"/>
    <w:rsid w:val="0096291B"/>
    <w:rsid w:val="009635D8"/>
    <w:rsid w:val="00963C5E"/>
    <w:rsid w:val="00964419"/>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E77"/>
    <w:rsid w:val="00975FCF"/>
    <w:rsid w:val="009760D5"/>
    <w:rsid w:val="009768DB"/>
    <w:rsid w:val="00976BED"/>
    <w:rsid w:val="009771AA"/>
    <w:rsid w:val="00980391"/>
    <w:rsid w:val="0098067E"/>
    <w:rsid w:val="009808A4"/>
    <w:rsid w:val="00981035"/>
    <w:rsid w:val="0098168F"/>
    <w:rsid w:val="00981E97"/>
    <w:rsid w:val="00981F76"/>
    <w:rsid w:val="0098313C"/>
    <w:rsid w:val="009834F9"/>
    <w:rsid w:val="009848A4"/>
    <w:rsid w:val="00985115"/>
    <w:rsid w:val="00985133"/>
    <w:rsid w:val="009859B6"/>
    <w:rsid w:val="00985C1E"/>
    <w:rsid w:val="00985E0E"/>
    <w:rsid w:val="009860C3"/>
    <w:rsid w:val="009862DC"/>
    <w:rsid w:val="00986527"/>
    <w:rsid w:val="00986B53"/>
    <w:rsid w:val="00987250"/>
    <w:rsid w:val="009874CB"/>
    <w:rsid w:val="009908B0"/>
    <w:rsid w:val="00990C6A"/>
    <w:rsid w:val="00991167"/>
    <w:rsid w:val="009911DB"/>
    <w:rsid w:val="009918BC"/>
    <w:rsid w:val="009925F0"/>
    <w:rsid w:val="00992937"/>
    <w:rsid w:val="00992AA5"/>
    <w:rsid w:val="0099355D"/>
    <w:rsid w:val="00993AB9"/>
    <w:rsid w:val="00994757"/>
    <w:rsid w:val="00994865"/>
    <w:rsid w:val="0099503D"/>
    <w:rsid w:val="0099515A"/>
    <w:rsid w:val="00995900"/>
    <w:rsid w:val="00996278"/>
    <w:rsid w:val="009965A1"/>
    <w:rsid w:val="009973F4"/>
    <w:rsid w:val="00997404"/>
    <w:rsid w:val="009A05FD"/>
    <w:rsid w:val="009A0A69"/>
    <w:rsid w:val="009A0C03"/>
    <w:rsid w:val="009A11F1"/>
    <w:rsid w:val="009A190D"/>
    <w:rsid w:val="009A28E2"/>
    <w:rsid w:val="009A3502"/>
    <w:rsid w:val="009A38CE"/>
    <w:rsid w:val="009A4B6E"/>
    <w:rsid w:val="009A52CA"/>
    <w:rsid w:val="009A62F5"/>
    <w:rsid w:val="009A6FD1"/>
    <w:rsid w:val="009A70A3"/>
    <w:rsid w:val="009A736B"/>
    <w:rsid w:val="009A77DF"/>
    <w:rsid w:val="009A7B3D"/>
    <w:rsid w:val="009A7BD2"/>
    <w:rsid w:val="009B07A8"/>
    <w:rsid w:val="009B07B6"/>
    <w:rsid w:val="009B0FB0"/>
    <w:rsid w:val="009B191B"/>
    <w:rsid w:val="009B1986"/>
    <w:rsid w:val="009B1F35"/>
    <w:rsid w:val="009B289A"/>
    <w:rsid w:val="009B2AB9"/>
    <w:rsid w:val="009B3083"/>
    <w:rsid w:val="009B33CB"/>
    <w:rsid w:val="009B342A"/>
    <w:rsid w:val="009B44BB"/>
    <w:rsid w:val="009B44DF"/>
    <w:rsid w:val="009B504B"/>
    <w:rsid w:val="009B51F1"/>
    <w:rsid w:val="009B555E"/>
    <w:rsid w:val="009B55AE"/>
    <w:rsid w:val="009B5BB9"/>
    <w:rsid w:val="009B604F"/>
    <w:rsid w:val="009B6079"/>
    <w:rsid w:val="009B6C05"/>
    <w:rsid w:val="009B7304"/>
    <w:rsid w:val="009B783E"/>
    <w:rsid w:val="009B7B6D"/>
    <w:rsid w:val="009B7C2D"/>
    <w:rsid w:val="009C03D1"/>
    <w:rsid w:val="009C1719"/>
    <w:rsid w:val="009C4169"/>
    <w:rsid w:val="009C4C65"/>
    <w:rsid w:val="009C4CAD"/>
    <w:rsid w:val="009C59F2"/>
    <w:rsid w:val="009C7CCD"/>
    <w:rsid w:val="009D0CDB"/>
    <w:rsid w:val="009D0D87"/>
    <w:rsid w:val="009D0EC0"/>
    <w:rsid w:val="009D1454"/>
    <w:rsid w:val="009D23BB"/>
    <w:rsid w:val="009D2501"/>
    <w:rsid w:val="009D3119"/>
    <w:rsid w:val="009D3382"/>
    <w:rsid w:val="009D3F01"/>
    <w:rsid w:val="009D43C3"/>
    <w:rsid w:val="009D51C5"/>
    <w:rsid w:val="009D5EEE"/>
    <w:rsid w:val="009D623D"/>
    <w:rsid w:val="009D6F9A"/>
    <w:rsid w:val="009D7099"/>
    <w:rsid w:val="009E1264"/>
    <w:rsid w:val="009E142B"/>
    <w:rsid w:val="009E1C60"/>
    <w:rsid w:val="009E25A6"/>
    <w:rsid w:val="009E2C14"/>
    <w:rsid w:val="009E30F3"/>
    <w:rsid w:val="009E3324"/>
    <w:rsid w:val="009E377E"/>
    <w:rsid w:val="009E4517"/>
    <w:rsid w:val="009E46D1"/>
    <w:rsid w:val="009E4DB2"/>
    <w:rsid w:val="009E50D4"/>
    <w:rsid w:val="009E589D"/>
    <w:rsid w:val="009E5AE9"/>
    <w:rsid w:val="009E5D91"/>
    <w:rsid w:val="009E6052"/>
    <w:rsid w:val="009E6868"/>
    <w:rsid w:val="009E69B4"/>
    <w:rsid w:val="009E73D4"/>
    <w:rsid w:val="009E78C8"/>
    <w:rsid w:val="009F0F61"/>
    <w:rsid w:val="009F1D47"/>
    <w:rsid w:val="009F22A4"/>
    <w:rsid w:val="009F26DF"/>
    <w:rsid w:val="009F2922"/>
    <w:rsid w:val="009F32E8"/>
    <w:rsid w:val="009F36B6"/>
    <w:rsid w:val="009F3D2F"/>
    <w:rsid w:val="009F47BF"/>
    <w:rsid w:val="009F47E5"/>
    <w:rsid w:val="009F49C5"/>
    <w:rsid w:val="009F5105"/>
    <w:rsid w:val="009F530B"/>
    <w:rsid w:val="009F60D8"/>
    <w:rsid w:val="009F65FD"/>
    <w:rsid w:val="009F68F2"/>
    <w:rsid w:val="009F6A5B"/>
    <w:rsid w:val="009F754D"/>
    <w:rsid w:val="00A0231D"/>
    <w:rsid w:val="00A034D8"/>
    <w:rsid w:val="00A03933"/>
    <w:rsid w:val="00A03CE3"/>
    <w:rsid w:val="00A03ED6"/>
    <w:rsid w:val="00A05073"/>
    <w:rsid w:val="00A05CD1"/>
    <w:rsid w:val="00A064EF"/>
    <w:rsid w:val="00A076E5"/>
    <w:rsid w:val="00A07B8B"/>
    <w:rsid w:val="00A103CB"/>
    <w:rsid w:val="00A10619"/>
    <w:rsid w:val="00A10D2B"/>
    <w:rsid w:val="00A11911"/>
    <w:rsid w:val="00A12A06"/>
    <w:rsid w:val="00A13008"/>
    <w:rsid w:val="00A1356A"/>
    <w:rsid w:val="00A13EE8"/>
    <w:rsid w:val="00A14081"/>
    <w:rsid w:val="00A1423A"/>
    <w:rsid w:val="00A15554"/>
    <w:rsid w:val="00A15A28"/>
    <w:rsid w:val="00A15B9C"/>
    <w:rsid w:val="00A15C7A"/>
    <w:rsid w:val="00A168FF"/>
    <w:rsid w:val="00A17089"/>
    <w:rsid w:val="00A172C7"/>
    <w:rsid w:val="00A1752C"/>
    <w:rsid w:val="00A179BA"/>
    <w:rsid w:val="00A17D7C"/>
    <w:rsid w:val="00A20015"/>
    <w:rsid w:val="00A212A2"/>
    <w:rsid w:val="00A21372"/>
    <w:rsid w:val="00A21ED2"/>
    <w:rsid w:val="00A22F56"/>
    <w:rsid w:val="00A233E9"/>
    <w:rsid w:val="00A247C3"/>
    <w:rsid w:val="00A2508F"/>
    <w:rsid w:val="00A258A9"/>
    <w:rsid w:val="00A25A78"/>
    <w:rsid w:val="00A25AA2"/>
    <w:rsid w:val="00A27622"/>
    <w:rsid w:val="00A27E05"/>
    <w:rsid w:val="00A30731"/>
    <w:rsid w:val="00A30AF2"/>
    <w:rsid w:val="00A30DAA"/>
    <w:rsid w:val="00A31243"/>
    <w:rsid w:val="00A314A3"/>
    <w:rsid w:val="00A315CF"/>
    <w:rsid w:val="00A316E2"/>
    <w:rsid w:val="00A31890"/>
    <w:rsid w:val="00A32C7A"/>
    <w:rsid w:val="00A344AD"/>
    <w:rsid w:val="00A3457F"/>
    <w:rsid w:val="00A35BD8"/>
    <w:rsid w:val="00A35DF0"/>
    <w:rsid w:val="00A367A4"/>
    <w:rsid w:val="00A37304"/>
    <w:rsid w:val="00A379A7"/>
    <w:rsid w:val="00A40CD8"/>
    <w:rsid w:val="00A40FFC"/>
    <w:rsid w:val="00A41233"/>
    <w:rsid w:val="00A41CEA"/>
    <w:rsid w:val="00A41D89"/>
    <w:rsid w:val="00A422E1"/>
    <w:rsid w:val="00A42FDF"/>
    <w:rsid w:val="00A43AF9"/>
    <w:rsid w:val="00A43B19"/>
    <w:rsid w:val="00A44CFF"/>
    <w:rsid w:val="00A451AE"/>
    <w:rsid w:val="00A45A2E"/>
    <w:rsid w:val="00A45E66"/>
    <w:rsid w:val="00A4677E"/>
    <w:rsid w:val="00A46E4C"/>
    <w:rsid w:val="00A47B5C"/>
    <w:rsid w:val="00A51A12"/>
    <w:rsid w:val="00A52037"/>
    <w:rsid w:val="00A521E1"/>
    <w:rsid w:val="00A52B79"/>
    <w:rsid w:val="00A542A3"/>
    <w:rsid w:val="00A5537D"/>
    <w:rsid w:val="00A554A1"/>
    <w:rsid w:val="00A559BD"/>
    <w:rsid w:val="00A56406"/>
    <w:rsid w:val="00A56D15"/>
    <w:rsid w:val="00A57B5D"/>
    <w:rsid w:val="00A607DB"/>
    <w:rsid w:val="00A60E28"/>
    <w:rsid w:val="00A60FCC"/>
    <w:rsid w:val="00A61070"/>
    <w:rsid w:val="00A61316"/>
    <w:rsid w:val="00A61DAA"/>
    <w:rsid w:val="00A62715"/>
    <w:rsid w:val="00A62922"/>
    <w:rsid w:val="00A62EB3"/>
    <w:rsid w:val="00A63DA6"/>
    <w:rsid w:val="00A650F8"/>
    <w:rsid w:val="00A65CEF"/>
    <w:rsid w:val="00A65F33"/>
    <w:rsid w:val="00A666F0"/>
    <w:rsid w:val="00A67714"/>
    <w:rsid w:val="00A67871"/>
    <w:rsid w:val="00A678B9"/>
    <w:rsid w:val="00A700CC"/>
    <w:rsid w:val="00A70156"/>
    <w:rsid w:val="00A70186"/>
    <w:rsid w:val="00A70688"/>
    <w:rsid w:val="00A70E28"/>
    <w:rsid w:val="00A7126B"/>
    <w:rsid w:val="00A7161E"/>
    <w:rsid w:val="00A71B4D"/>
    <w:rsid w:val="00A72015"/>
    <w:rsid w:val="00A7282E"/>
    <w:rsid w:val="00A7319E"/>
    <w:rsid w:val="00A74993"/>
    <w:rsid w:val="00A75EAE"/>
    <w:rsid w:val="00A76826"/>
    <w:rsid w:val="00A774A5"/>
    <w:rsid w:val="00A7799B"/>
    <w:rsid w:val="00A77CA8"/>
    <w:rsid w:val="00A808D3"/>
    <w:rsid w:val="00A82272"/>
    <w:rsid w:val="00A827A2"/>
    <w:rsid w:val="00A8300D"/>
    <w:rsid w:val="00A837ED"/>
    <w:rsid w:val="00A83F0F"/>
    <w:rsid w:val="00A85A5B"/>
    <w:rsid w:val="00A85CD5"/>
    <w:rsid w:val="00A86147"/>
    <w:rsid w:val="00A86324"/>
    <w:rsid w:val="00A865BD"/>
    <w:rsid w:val="00A86EAC"/>
    <w:rsid w:val="00A870F8"/>
    <w:rsid w:val="00A90593"/>
    <w:rsid w:val="00A920DC"/>
    <w:rsid w:val="00A92AC4"/>
    <w:rsid w:val="00A93303"/>
    <w:rsid w:val="00A933BE"/>
    <w:rsid w:val="00A93615"/>
    <w:rsid w:val="00A93907"/>
    <w:rsid w:val="00A93B35"/>
    <w:rsid w:val="00A95492"/>
    <w:rsid w:val="00A95F20"/>
    <w:rsid w:val="00A95F55"/>
    <w:rsid w:val="00A961B0"/>
    <w:rsid w:val="00A962E3"/>
    <w:rsid w:val="00A964BF"/>
    <w:rsid w:val="00A97355"/>
    <w:rsid w:val="00A973F1"/>
    <w:rsid w:val="00A977F4"/>
    <w:rsid w:val="00AA0E32"/>
    <w:rsid w:val="00AA104F"/>
    <w:rsid w:val="00AA11D5"/>
    <w:rsid w:val="00AA18B9"/>
    <w:rsid w:val="00AA19C8"/>
    <w:rsid w:val="00AA1C59"/>
    <w:rsid w:val="00AA242D"/>
    <w:rsid w:val="00AA382B"/>
    <w:rsid w:val="00AA3ABC"/>
    <w:rsid w:val="00AA3B8E"/>
    <w:rsid w:val="00AA3E37"/>
    <w:rsid w:val="00AA3FAC"/>
    <w:rsid w:val="00AA4179"/>
    <w:rsid w:val="00AA5D1F"/>
    <w:rsid w:val="00AA6106"/>
    <w:rsid w:val="00AA6138"/>
    <w:rsid w:val="00AA61A4"/>
    <w:rsid w:val="00AA75D4"/>
    <w:rsid w:val="00AA7A52"/>
    <w:rsid w:val="00AB0546"/>
    <w:rsid w:val="00AB0632"/>
    <w:rsid w:val="00AB08B9"/>
    <w:rsid w:val="00AB0FD3"/>
    <w:rsid w:val="00AB2690"/>
    <w:rsid w:val="00AB2E96"/>
    <w:rsid w:val="00AB352A"/>
    <w:rsid w:val="00AB4E61"/>
    <w:rsid w:val="00AB5F14"/>
    <w:rsid w:val="00AB5F5D"/>
    <w:rsid w:val="00AB68B8"/>
    <w:rsid w:val="00AC088F"/>
    <w:rsid w:val="00AC1DE0"/>
    <w:rsid w:val="00AC1F74"/>
    <w:rsid w:val="00AC20A4"/>
    <w:rsid w:val="00AC4B03"/>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DEB"/>
    <w:rsid w:val="00AD5F0B"/>
    <w:rsid w:val="00AD5F17"/>
    <w:rsid w:val="00AD653B"/>
    <w:rsid w:val="00AD7C72"/>
    <w:rsid w:val="00AE03DD"/>
    <w:rsid w:val="00AE0E62"/>
    <w:rsid w:val="00AE11CA"/>
    <w:rsid w:val="00AE27D4"/>
    <w:rsid w:val="00AE2958"/>
    <w:rsid w:val="00AE4B4D"/>
    <w:rsid w:val="00AE79F7"/>
    <w:rsid w:val="00AE7DE7"/>
    <w:rsid w:val="00AF02CC"/>
    <w:rsid w:val="00AF074E"/>
    <w:rsid w:val="00AF07FB"/>
    <w:rsid w:val="00AF1AF7"/>
    <w:rsid w:val="00AF1F38"/>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70C"/>
    <w:rsid w:val="00B03F67"/>
    <w:rsid w:val="00B044DB"/>
    <w:rsid w:val="00B04DA1"/>
    <w:rsid w:val="00B06489"/>
    <w:rsid w:val="00B071C8"/>
    <w:rsid w:val="00B07BB7"/>
    <w:rsid w:val="00B10015"/>
    <w:rsid w:val="00B104D1"/>
    <w:rsid w:val="00B10923"/>
    <w:rsid w:val="00B11CA0"/>
    <w:rsid w:val="00B1290C"/>
    <w:rsid w:val="00B12964"/>
    <w:rsid w:val="00B143A9"/>
    <w:rsid w:val="00B149DD"/>
    <w:rsid w:val="00B14D51"/>
    <w:rsid w:val="00B15358"/>
    <w:rsid w:val="00B1550A"/>
    <w:rsid w:val="00B156F9"/>
    <w:rsid w:val="00B178A3"/>
    <w:rsid w:val="00B17AAE"/>
    <w:rsid w:val="00B17C92"/>
    <w:rsid w:val="00B17CDC"/>
    <w:rsid w:val="00B202A4"/>
    <w:rsid w:val="00B209C2"/>
    <w:rsid w:val="00B21AA6"/>
    <w:rsid w:val="00B21B57"/>
    <w:rsid w:val="00B2289B"/>
    <w:rsid w:val="00B22CFE"/>
    <w:rsid w:val="00B23014"/>
    <w:rsid w:val="00B241D0"/>
    <w:rsid w:val="00B24FDC"/>
    <w:rsid w:val="00B25033"/>
    <w:rsid w:val="00B25063"/>
    <w:rsid w:val="00B25664"/>
    <w:rsid w:val="00B25E41"/>
    <w:rsid w:val="00B269C0"/>
    <w:rsid w:val="00B2718D"/>
    <w:rsid w:val="00B3080A"/>
    <w:rsid w:val="00B30B90"/>
    <w:rsid w:val="00B318AD"/>
    <w:rsid w:val="00B32135"/>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737"/>
    <w:rsid w:val="00B37917"/>
    <w:rsid w:val="00B37D87"/>
    <w:rsid w:val="00B37EF1"/>
    <w:rsid w:val="00B40123"/>
    <w:rsid w:val="00B404CD"/>
    <w:rsid w:val="00B40D90"/>
    <w:rsid w:val="00B41BA4"/>
    <w:rsid w:val="00B42678"/>
    <w:rsid w:val="00B42C5B"/>
    <w:rsid w:val="00B432DF"/>
    <w:rsid w:val="00B434C2"/>
    <w:rsid w:val="00B44C7B"/>
    <w:rsid w:val="00B452C0"/>
    <w:rsid w:val="00B462E5"/>
    <w:rsid w:val="00B46637"/>
    <w:rsid w:val="00B46EC5"/>
    <w:rsid w:val="00B4735F"/>
    <w:rsid w:val="00B47FC4"/>
    <w:rsid w:val="00B5005D"/>
    <w:rsid w:val="00B50129"/>
    <w:rsid w:val="00B50150"/>
    <w:rsid w:val="00B51934"/>
    <w:rsid w:val="00B51CC6"/>
    <w:rsid w:val="00B51EB1"/>
    <w:rsid w:val="00B52613"/>
    <w:rsid w:val="00B532CF"/>
    <w:rsid w:val="00B535B1"/>
    <w:rsid w:val="00B53654"/>
    <w:rsid w:val="00B536D7"/>
    <w:rsid w:val="00B54160"/>
    <w:rsid w:val="00B54A74"/>
    <w:rsid w:val="00B54CFF"/>
    <w:rsid w:val="00B5524B"/>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93A"/>
    <w:rsid w:val="00B64A28"/>
    <w:rsid w:val="00B64E97"/>
    <w:rsid w:val="00B64ED9"/>
    <w:rsid w:val="00B66B4F"/>
    <w:rsid w:val="00B674A7"/>
    <w:rsid w:val="00B6781B"/>
    <w:rsid w:val="00B67ADD"/>
    <w:rsid w:val="00B70D0C"/>
    <w:rsid w:val="00B70F2C"/>
    <w:rsid w:val="00B72770"/>
    <w:rsid w:val="00B73C2D"/>
    <w:rsid w:val="00B74290"/>
    <w:rsid w:val="00B756B1"/>
    <w:rsid w:val="00B76BDD"/>
    <w:rsid w:val="00B7750A"/>
    <w:rsid w:val="00B80ADA"/>
    <w:rsid w:val="00B80CDE"/>
    <w:rsid w:val="00B8182E"/>
    <w:rsid w:val="00B81846"/>
    <w:rsid w:val="00B825E8"/>
    <w:rsid w:val="00B82CF1"/>
    <w:rsid w:val="00B84AFB"/>
    <w:rsid w:val="00B855B8"/>
    <w:rsid w:val="00B85A89"/>
    <w:rsid w:val="00B85EEA"/>
    <w:rsid w:val="00B863F8"/>
    <w:rsid w:val="00B86B69"/>
    <w:rsid w:val="00B87448"/>
    <w:rsid w:val="00B874E0"/>
    <w:rsid w:val="00B87A7A"/>
    <w:rsid w:val="00B87E88"/>
    <w:rsid w:val="00B87FF8"/>
    <w:rsid w:val="00B90233"/>
    <w:rsid w:val="00B902BE"/>
    <w:rsid w:val="00B903AC"/>
    <w:rsid w:val="00B911CA"/>
    <w:rsid w:val="00B91659"/>
    <w:rsid w:val="00B93398"/>
    <w:rsid w:val="00B93538"/>
    <w:rsid w:val="00B93B14"/>
    <w:rsid w:val="00B9443A"/>
    <w:rsid w:val="00B94AA0"/>
    <w:rsid w:val="00B94E36"/>
    <w:rsid w:val="00B95813"/>
    <w:rsid w:val="00B9591C"/>
    <w:rsid w:val="00B95BB2"/>
    <w:rsid w:val="00B95EA8"/>
    <w:rsid w:val="00BA00D6"/>
    <w:rsid w:val="00BA01BC"/>
    <w:rsid w:val="00BA0449"/>
    <w:rsid w:val="00BA1935"/>
    <w:rsid w:val="00BA19C1"/>
    <w:rsid w:val="00BA2033"/>
    <w:rsid w:val="00BA2563"/>
    <w:rsid w:val="00BA30A1"/>
    <w:rsid w:val="00BA3F9E"/>
    <w:rsid w:val="00BA4565"/>
    <w:rsid w:val="00BA4994"/>
    <w:rsid w:val="00BA4FEE"/>
    <w:rsid w:val="00BA5462"/>
    <w:rsid w:val="00BA5C78"/>
    <w:rsid w:val="00BA66E0"/>
    <w:rsid w:val="00BA67AD"/>
    <w:rsid w:val="00BA684C"/>
    <w:rsid w:val="00BA6851"/>
    <w:rsid w:val="00BA6A6A"/>
    <w:rsid w:val="00BA6F42"/>
    <w:rsid w:val="00BA7054"/>
    <w:rsid w:val="00BA780E"/>
    <w:rsid w:val="00BA7A5F"/>
    <w:rsid w:val="00BA7A60"/>
    <w:rsid w:val="00BB0408"/>
    <w:rsid w:val="00BB0C74"/>
    <w:rsid w:val="00BB0EE9"/>
    <w:rsid w:val="00BB1604"/>
    <w:rsid w:val="00BB1AEA"/>
    <w:rsid w:val="00BB2EB2"/>
    <w:rsid w:val="00BB334C"/>
    <w:rsid w:val="00BB3599"/>
    <w:rsid w:val="00BB35B7"/>
    <w:rsid w:val="00BB3D0A"/>
    <w:rsid w:val="00BB3F25"/>
    <w:rsid w:val="00BB4120"/>
    <w:rsid w:val="00BB41A5"/>
    <w:rsid w:val="00BB44B0"/>
    <w:rsid w:val="00BB46E5"/>
    <w:rsid w:val="00BB5FCD"/>
    <w:rsid w:val="00BB633C"/>
    <w:rsid w:val="00BB6A41"/>
    <w:rsid w:val="00BB6CBE"/>
    <w:rsid w:val="00BB6DB7"/>
    <w:rsid w:val="00BB7663"/>
    <w:rsid w:val="00BB77F0"/>
    <w:rsid w:val="00BC08AD"/>
    <w:rsid w:val="00BC0BDD"/>
    <w:rsid w:val="00BC450E"/>
    <w:rsid w:val="00BC4AD4"/>
    <w:rsid w:val="00BC4F7C"/>
    <w:rsid w:val="00BC5425"/>
    <w:rsid w:val="00BC6345"/>
    <w:rsid w:val="00BC6854"/>
    <w:rsid w:val="00BC7540"/>
    <w:rsid w:val="00BC7571"/>
    <w:rsid w:val="00BC7651"/>
    <w:rsid w:val="00BC7F05"/>
    <w:rsid w:val="00BD1E88"/>
    <w:rsid w:val="00BD240D"/>
    <w:rsid w:val="00BD2C25"/>
    <w:rsid w:val="00BD2C7E"/>
    <w:rsid w:val="00BD3BD5"/>
    <w:rsid w:val="00BD3FD9"/>
    <w:rsid w:val="00BD4558"/>
    <w:rsid w:val="00BD4C27"/>
    <w:rsid w:val="00BD4DCD"/>
    <w:rsid w:val="00BD562A"/>
    <w:rsid w:val="00BD5DC9"/>
    <w:rsid w:val="00BD61CD"/>
    <w:rsid w:val="00BD6D0D"/>
    <w:rsid w:val="00BD6FA4"/>
    <w:rsid w:val="00BD73AF"/>
    <w:rsid w:val="00BD76BC"/>
    <w:rsid w:val="00BE0ED3"/>
    <w:rsid w:val="00BE1752"/>
    <w:rsid w:val="00BE1F72"/>
    <w:rsid w:val="00BE238B"/>
    <w:rsid w:val="00BE2BA3"/>
    <w:rsid w:val="00BE33D2"/>
    <w:rsid w:val="00BE3940"/>
    <w:rsid w:val="00BE3ABC"/>
    <w:rsid w:val="00BE4259"/>
    <w:rsid w:val="00BE4891"/>
    <w:rsid w:val="00BE5306"/>
    <w:rsid w:val="00BE5321"/>
    <w:rsid w:val="00BE5720"/>
    <w:rsid w:val="00BE57DB"/>
    <w:rsid w:val="00BE5F5E"/>
    <w:rsid w:val="00BE795E"/>
    <w:rsid w:val="00BE79F8"/>
    <w:rsid w:val="00BE7B76"/>
    <w:rsid w:val="00BE7EBF"/>
    <w:rsid w:val="00BF0E3B"/>
    <w:rsid w:val="00BF0F56"/>
    <w:rsid w:val="00BF1198"/>
    <w:rsid w:val="00BF1A23"/>
    <w:rsid w:val="00BF29B7"/>
    <w:rsid w:val="00BF3052"/>
    <w:rsid w:val="00BF40B4"/>
    <w:rsid w:val="00BF47FC"/>
    <w:rsid w:val="00BF595A"/>
    <w:rsid w:val="00BF5DE4"/>
    <w:rsid w:val="00BF680A"/>
    <w:rsid w:val="00BF7513"/>
    <w:rsid w:val="00BF7C9E"/>
    <w:rsid w:val="00BF7FF4"/>
    <w:rsid w:val="00C00BF3"/>
    <w:rsid w:val="00C025B3"/>
    <w:rsid w:val="00C02CB4"/>
    <w:rsid w:val="00C03C19"/>
    <w:rsid w:val="00C04D25"/>
    <w:rsid w:val="00C059AB"/>
    <w:rsid w:val="00C06E19"/>
    <w:rsid w:val="00C070D1"/>
    <w:rsid w:val="00C10899"/>
    <w:rsid w:val="00C1099D"/>
    <w:rsid w:val="00C10B91"/>
    <w:rsid w:val="00C11A7F"/>
    <w:rsid w:val="00C12E91"/>
    <w:rsid w:val="00C1375D"/>
    <w:rsid w:val="00C1401C"/>
    <w:rsid w:val="00C14395"/>
    <w:rsid w:val="00C143EF"/>
    <w:rsid w:val="00C1523A"/>
    <w:rsid w:val="00C15781"/>
    <w:rsid w:val="00C15F35"/>
    <w:rsid w:val="00C16FCF"/>
    <w:rsid w:val="00C17FBC"/>
    <w:rsid w:val="00C20D96"/>
    <w:rsid w:val="00C2125F"/>
    <w:rsid w:val="00C2139E"/>
    <w:rsid w:val="00C2157C"/>
    <w:rsid w:val="00C2157D"/>
    <w:rsid w:val="00C21853"/>
    <w:rsid w:val="00C219D6"/>
    <w:rsid w:val="00C21F16"/>
    <w:rsid w:val="00C22318"/>
    <w:rsid w:val="00C228DD"/>
    <w:rsid w:val="00C23458"/>
    <w:rsid w:val="00C23DAD"/>
    <w:rsid w:val="00C24609"/>
    <w:rsid w:val="00C24DA2"/>
    <w:rsid w:val="00C24FD4"/>
    <w:rsid w:val="00C251C0"/>
    <w:rsid w:val="00C2752B"/>
    <w:rsid w:val="00C27A9C"/>
    <w:rsid w:val="00C27FE6"/>
    <w:rsid w:val="00C301A8"/>
    <w:rsid w:val="00C30373"/>
    <w:rsid w:val="00C30387"/>
    <w:rsid w:val="00C30829"/>
    <w:rsid w:val="00C30B4A"/>
    <w:rsid w:val="00C317B8"/>
    <w:rsid w:val="00C33886"/>
    <w:rsid w:val="00C3396C"/>
    <w:rsid w:val="00C33FBF"/>
    <w:rsid w:val="00C346BB"/>
    <w:rsid w:val="00C34A88"/>
    <w:rsid w:val="00C3514D"/>
    <w:rsid w:val="00C3572C"/>
    <w:rsid w:val="00C35793"/>
    <w:rsid w:val="00C35A8D"/>
    <w:rsid w:val="00C35C46"/>
    <w:rsid w:val="00C36589"/>
    <w:rsid w:val="00C36D55"/>
    <w:rsid w:val="00C36F88"/>
    <w:rsid w:val="00C3705C"/>
    <w:rsid w:val="00C371A5"/>
    <w:rsid w:val="00C404A9"/>
    <w:rsid w:val="00C40B19"/>
    <w:rsid w:val="00C40C17"/>
    <w:rsid w:val="00C41085"/>
    <w:rsid w:val="00C41959"/>
    <w:rsid w:val="00C41D39"/>
    <w:rsid w:val="00C43325"/>
    <w:rsid w:val="00C43B51"/>
    <w:rsid w:val="00C4485C"/>
    <w:rsid w:val="00C4683B"/>
    <w:rsid w:val="00C47790"/>
    <w:rsid w:val="00C47BF6"/>
    <w:rsid w:val="00C47F0E"/>
    <w:rsid w:val="00C50029"/>
    <w:rsid w:val="00C500CC"/>
    <w:rsid w:val="00C52877"/>
    <w:rsid w:val="00C52E75"/>
    <w:rsid w:val="00C5393D"/>
    <w:rsid w:val="00C5394E"/>
    <w:rsid w:val="00C541D6"/>
    <w:rsid w:val="00C54202"/>
    <w:rsid w:val="00C556C4"/>
    <w:rsid w:val="00C558EA"/>
    <w:rsid w:val="00C55B70"/>
    <w:rsid w:val="00C55CBF"/>
    <w:rsid w:val="00C5638A"/>
    <w:rsid w:val="00C56EB0"/>
    <w:rsid w:val="00C573AC"/>
    <w:rsid w:val="00C57D87"/>
    <w:rsid w:val="00C57F91"/>
    <w:rsid w:val="00C6009A"/>
    <w:rsid w:val="00C6268A"/>
    <w:rsid w:val="00C62CDF"/>
    <w:rsid w:val="00C62D06"/>
    <w:rsid w:val="00C6372F"/>
    <w:rsid w:val="00C63D05"/>
    <w:rsid w:val="00C646B9"/>
    <w:rsid w:val="00C64B20"/>
    <w:rsid w:val="00C64C69"/>
    <w:rsid w:val="00C656EE"/>
    <w:rsid w:val="00C65FB4"/>
    <w:rsid w:val="00C6617D"/>
    <w:rsid w:val="00C667E5"/>
    <w:rsid w:val="00C67012"/>
    <w:rsid w:val="00C67813"/>
    <w:rsid w:val="00C678FB"/>
    <w:rsid w:val="00C679CA"/>
    <w:rsid w:val="00C71869"/>
    <w:rsid w:val="00C7247C"/>
    <w:rsid w:val="00C72D2A"/>
    <w:rsid w:val="00C738D6"/>
    <w:rsid w:val="00C73A9F"/>
    <w:rsid w:val="00C73AD3"/>
    <w:rsid w:val="00C74302"/>
    <w:rsid w:val="00C749B2"/>
    <w:rsid w:val="00C75600"/>
    <w:rsid w:val="00C75613"/>
    <w:rsid w:val="00C75F34"/>
    <w:rsid w:val="00C76571"/>
    <w:rsid w:val="00C772FE"/>
    <w:rsid w:val="00C80683"/>
    <w:rsid w:val="00C807F9"/>
    <w:rsid w:val="00C80F02"/>
    <w:rsid w:val="00C811AD"/>
    <w:rsid w:val="00C816A5"/>
    <w:rsid w:val="00C8202F"/>
    <w:rsid w:val="00C8243E"/>
    <w:rsid w:val="00C8283A"/>
    <w:rsid w:val="00C82B93"/>
    <w:rsid w:val="00C83083"/>
    <w:rsid w:val="00C8316A"/>
    <w:rsid w:val="00C83572"/>
    <w:rsid w:val="00C8384E"/>
    <w:rsid w:val="00C84260"/>
    <w:rsid w:val="00C84564"/>
    <w:rsid w:val="00C845FC"/>
    <w:rsid w:val="00C85175"/>
    <w:rsid w:val="00C85420"/>
    <w:rsid w:val="00C87D20"/>
    <w:rsid w:val="00C87D9B"/>
    <w:rsid w:val="00C9026E"/>
    <w:rsid w:val="00C90678"/>
    <w:rsid w:val="00C9086D"/>
    <w:rsid w:val="00C908B1"/>
    <w:rsid w:val="00C911EC"/>
    <w:rsid w:val="00C9150F"/>
    <w:rsid w:val="00C91524"/>
    <w:rsid w:val="00C92206"/>
    <w:rsid w:val="00C92F10"/>
    <w:rsid w:val="00C9352A"/>
    <w:rsid w:val="00C95504"/>
    <w:rsid w:val="00C95B98"/>
    <w:rsid w:val="00C95CA2"/>
    <w:rsid w:val="00C961B2"/>
    <w:rsid w:val="00C97834"/>
    <w:rsid w:val="00C97F0F"/>
    <w:rsid w:val="00CA0047"/>
    <w:rsid w:val="00CA0317"/>
    <w:rsid w:val="00CA0664"/>
    <w:rsid w:val="00CA06F9"/>
    <w:rsid w:val="00CA1FD2"/>
    <w:rsid w:val="00CA345B"/>
    <w:rsid w:val="00CA37C7"/>
    <w:rsid w:val="00CA3A03"/>
    <w:rsid w:val="00CA3AAE"/>
    <w:rsid w:val="00CA3D87"/>
    <w:rsid w:val="00CA43DD"/>
    <w:rsid w:val="00CA4B91"/>
    <w:rsid w:val="00CA6DBF"/>
    <w:rsid w:val="00CA7032"/>
    <w:rsid w:val="00CA7350"/>
    <w:rsid w:val="00CA7D36"/>
    <w:rsid w:val="00CB03D0"/>
    <w:rsid w:val="00CB04B0"/>
    <w:rsid w:val="00CB0555"/>
    <w:rsid w:val="00CB0712"/>
    <w:rsid w:val="00CB0E20"/>
    <w:rsid w:val="00CB1609"/>
    <w:rsid w:val="00CB1AF5"/>
    <w:rsid w:val="00CB1BBC"/>
    <w:rsid w:val="00CB2475"/>
    <w:rsid w:val="00CB279A"/>
    <w:rsid w:val="00CB2C2C"/>
    <w:rsid w:val="00CB3684"/>
    <w:rsid w:val="00CB4614"/>
    <w:rsid w:val="00CB462C"/>
    <w:rsid w:val="00CB4769"/>
    <w:rsid w:val="00CB493D"/>
    <w:rsid w:val="00CB49C8"/>
    <w:rsid w:val="00CB5401"/>
    <w:rsid w:val="00CB5FF6"/>
    <w:rsid w:val="00CB66EC"/>
    <w:rsid w:val="00CB78D1"/>
    <w:rsid w:val="00CC1832"/>
    <w:rsid w:val="00CC197E"/>
    <w:rsid w:val="00CC2337"/>
    <w:rsid w:val="00CC3EA0"/>
    <w:rsid w:val="00CC4655"/>
    <w:rsid w:val="00CC52DB"/>
    <w:rsid w:val="00CC5A28"/>
    <w:rsid w:val="00CC63BC"/>
    <w:rsid w:val="00CC691F"/>
    <w:rsid w:val="00CC695F"/>
    <w:rsid w:val="00CC6D56"/>
    <w:rsid w:val="00CC756E"/>
    <w:rsid w:val="00CC7715"/>
    <w:rsid w:val="00CC7B25"/>
    <w:rsid w:val="00CD0677"/>
    <w:rsid w:val="00CD079B"/>
    <w:rsid w:val="00CD10E7"/>
    <w:rsid w:val="00CD1B13"/>
    <w:rsid w:val="00CD1C91"/>
    <w:rsid w:val="00CD241E"/>
    <w:rsid w:val="00CD292B"/>
    <w:rsid w:val="00CD2A1A"/>
    <w:rsid w:val="00CD49A1"/>
    <w:rsid w:val="00CD4A5F"/>
    <w:rsid w:val="00CD5982"/>
    <w:rsid w:val="00CD64C4"/>
    <w:rsid w:val="00CD7020"/>
    <w:rsid w:val="00CD7632"/>
    <w:rsid w:val="00CD771C"/>
    <w:rsid w:val="00CD7F4D"/>
    <w:rsid w:val="00CE014B"/>
    <w:rsid w:val="00CE0159"/>
    <w:rsid w:val="00CE04FE"/>
    <w:rsid w:val="00CE0CE6"/>
    <w:rsid w:val="00CE0F35"/>
    <w:rsid w:val="00CE1A25"/>
    <w:rsid w:val="00CE1D49"/>
    <w:rsid w:val="00CE2253"/>
    <w:rsid w:val="00CE2676"/>
    <w:rsid w:val="00CE37E7"/>
    <w:rsid w:val="00CE3CA4"/>
    <w:rsid w:val="00CE3CA5"/>
    <w:rsid w:val="00CE3FB5"/>
    <w:rsid w:val="00CE45A7"/>
    <w:rsid w:val="00CE4B5F"/>
    <w:rsid w:val="00CE5716"/>
    <w:rsid w:val="00CE57F8"/>
    <w:rsid w:val="00CE5E05"/>
    <w:rsid w:val="00CE6BE9"/>
    <w:rsid w:val="00CE6E28"/>
    <w:rsid w:val="00CE6FA0"/>
    <w:rsid w:val="00CE7C17"/>
    <w:rsid w:val="00CE7C69"/>
    <w:rsid w:val="00CF01C1"/>
    <w:rsid w:val="00CF0B54"/>
    <w:rsid w:val="00CF0DA6"/>
    <w:rsid w:val="00CF1B83"/>
    <w:rsid w:val="00CF2B5D"/>
    <w:rsid w:val="00CF2C99"/>
    <w:rsid w:val="00CF2DA3"/>
    <w:rsid w:val="00CF2FBA"/>
    <w:rsid w:val="00CF41A2"/>
    <w:rsid w:val="00CF4728"/>
    <w:rsid w:val="00CF5001"/>
    <w:rsid w:val="00CF5170"/>
    <w:rsid w:val="00CF51C0"/>
    <w:rsid w:val="00CF56D7"/>
    <w:rsid w:val="00CF588C"/>
    <w:rsid w:val="00CF5DA1"/>
    <w:rsid w:val="00CF5E9F"/>
    <w:rsid w:val="00CF621C"/>
    <w:rsid w:val="00CF6796"/>
    <w:rsid w:val="00CF7877"/>
    <w:rsid w:val="00CF7A32"/>
    <w:rsid w:val="00CF7B02"/>
    <w:rsid w:val="00CF7D6A"/>
    <w:rsid w:val="00CF7E84"/>
    <w:rsid w:val="00D003C6"/>
    <w:rsid w:val="00D0129E"/>
    <w:rsid w:val="00D01919"/>
    <w:rsid w:val="00D01B43"/>
    <w:rsid w:val="00D0210A"/>
    <w:rsid w:val="00D03190"/>
    <w:rsid w:val="00D03457"/>
    <w:rsid w:val="00D0395D"/>
    <w:rsid w:val="00D047D3"/>
    <w:rsid w:val="00D05579"/>
    <w:rsid w:val="00D05AD8"/>
    <w:rsid w:val="00D06757"/>
    <w:rsid w:val="00D0771E"/>
    <w:rsid w:val="00D07E97"/>
    <w:rsid w:val="00D1029F"/>
    <w:rsid w:val="00D103DE"/>
    <w:rsid w:val="00D112F3"/>
    <w:rsid w:val="00D11558"/>
    <w:rsid w:val="00D116A3"/>
    <w:rsid w:val="00D12023"/>
    <w:rsid w:val="00D124D3"/>
    <w:rsid w:val="00D1335D"/>
    <w:rsid w:val="00D137D8"/>
    <w:rsid w:val="00D13817"/>
    <w:rsid w:val="00D140B7"/>
    <w:rsid w:val="00D14D50"/>
    <w:rsid w:val="00D153B0"/>
    <w:rsid w:val="00D155B4"/>
    <w:rsid w:val="00D15B78"/>
    <w:rsid w:val="00D15C36"/>
    <w:rsid w:val="00D15CF8"/>
    <w:rsid w:val="00D16AB4"/>
    <w:rsid w:val="00D20BE0"/>
    <w:rsid w:val="00D22AE7"/>
    <w:rsid w:val="00D23092"/>
    <w:rsid w:val="00D25A99"/>
    <w:rsid w:val="00D262A6"/>
    <w:rsid w:val="00D2646E"/>
    <w:rsid w:val="00D26557"/>
    <w:rsid w:val="00D267A0"/>
    <w:rsid w:val="00D2787A"/>
    <w:rsid w:val="00D301AE"/>
    <w:rsid w:val="00D31283"/>
    <w:rsid w:val="00D317FD"/>
    <w:rsid w:val="00D31DB2"/>
    <w:rsid w:val="00D32E01"/>
    <w:rsid w:val="00D32E8A"/>
    <w:rsid w:val="00D331EF"/>
    <w:rsid w:val="00D33393"/>
    <w:rsid w:val="00D33536"/>
    <w:rsid w:val="00D33ACA"/>
    <w:rsid w:val="00D348CF"/>
    <w:rsid w:val="00D34B67"/>
    <w:rsid w:val="00D34EE8"/>
    <w:rsid w:val="00D3552B"/>
    <w:rsid w:val="00D35EB6"/>
    <w:rsid w:val="00D36218"/>
    <w:rsid w:val="00D36ACC"/>
    <w:rsid w:val="00D373DD"/>
    <w:rsid w:val="00D3744B"/>
    <w:rsid w:val="00D37CF3"/>
    <w:rsid w:val="00D40521"/>
    <w:rsid w:val="00D4071D"/>
    <w:rsid w:val="00D40750"/>
    <w:rsid w:val="00D417E1"/>
    <w:rsid w:val="00D42064"/>
    <w:rsid w:val="00D430DC"/>
    <w:rsid w:val="00D433F8"/>
    <w:rsid w:val="00D45106"/>
    <w:rsid w:val="00D45B42"/>
    <w:rsid w:val="00D462C1"/>
    <w:rsid w:val="00D4655B"/>
    <w:rsid w:val="00D46703"/>
    <w:rsid w:val="00D46766"/>
    <w:rsid w:val="00D4727F"/>
    <w:rsid w:val="00D47AF1"/>
    <w:rsid w:val="00D47FBE"/>
    <w:rsid w:val="00D50906"/>
    <w:rsid w:val="00D513A3"/>
    <w:rsid w:val="00D51F65"/>
    <w:rsid w:val="00D52A66"/>
    <w:rsid w:val="00D52F58"/>
    <w:rsid w:val="00D52F95"/>
    <w:rsid w:val="00D53057"/>
    <w:rsid w:val="00D5452D"/>
    <w:rsid w:val="00D5503E"/>
    <w:rsid w:val="00D551FC"/>
    <w:rsid w:val="00D5557B"/>
    <w:rsid w:val="00D55775"/>
    <w:rsid w:val="00D561D6"/>
    <w:rsid w:val="00D565C4"/>
    <w:rsid w:val="00D567B0"/>
    <w:rsid w:val="00D6006B"/>
    <w:rsid w:val="00D60CAD"/>
    <w:rsid w:val="00D60EF1"/>
    <w:rsid w:val="00D60F13"/>
    <w:rsid w:val="00D610DE"/>
    <w:rsid w:val="00D614C8"/>
    <w:rsid w:val="00D614D1"/>
    <w:rsid w:val="00D621E0"/>
    <w:rsid w:val="00D622FA"/>
    <w:rsid w:val="00D62466"/>
    <w:rsid w:val="00D63541"/>
    <w:rsid w:val="00D63B3F"/>
    <w:rsid w:val="00D6400F"/>
    <w:rsid w:val="00D640C3"/>
    <w:rsid w:val="00D70A45"/>
    <w:rsid w:val="00D70BD0"/>
    <w:rsid w:val="00D7212F"/>
    <w:rsid w:val="00D721BC"/>
    <w:rsid w:val="00D7229C"/>
    <w:rsid w:val="00D726C3"/>
    <w:rsid w:val="00D727CA"/>
    <w:rsid w:val="00D729B7"/>
    <w:rsid w:val="00D72E82"/>
    <w:rsid w:val="00D733BE"/>
    <w:rsid w:val="00D7381C"/>
    <w:rsid w:val="00D74301"/>
    <w:rsid w:val="00D743CA"/>
    <w:rsid w:val="00D753BD"/>
    <w:rsid w:val="00D76736"/>
    <w:rsid w:val="00D770D2"/>
    <w:rsid w:val="00D80C52"/>
    <w:rsid w:val="00D80D3B"/>
    <w:rsid w:val="00D81C8C"/>
    <w:rsid w:val="00D81F4D"/>
    <w:rsid w:val="00D82383"/>
    <w:rsid w:val="00D826D1"/>
    <w:rsid w:val="00D82A1C"/>
    <w:rsid w:val="00D82E82"/>
    <w:rsid w:val="00D8465B"/>
    <w:rsid w:val="00D85449"/>
    <w:rsid w:val="00D8561E"/>
    <w:rsid w:val="00D8583C"/>
    <w:rsid w:val="00D85A6F"/>
    <w:rsid w:val="00D85DC4"/>
    <w:rsid w:val="00D86955"/>
    <w:rsid w:val="00D869B5"/>
    <w:rsid w:val="00D873F0"/>
    <w:rsid w:val="00D907BA"/>
    <w:rsid w:val="00D90B5C"/>
    <w:rsid w:val="00D9105B"/>
    <w:rsid w:val="00D91109"/>
    <w:rsid w:val="00D91CEA"/>
    <w:rsid w:val="00D91DEA"/>
    <w:rsid w:val="00D93A31"/>
    <w:rsid w:val="00D93AE2"/>
    <w:rsid w:val="00D9544E"/>
    <w:rsid w:val="00D958F6"/>
    <w:rsid w:val="00D9653D"/>
    <w:rsid w:val="00D96BA1"/>
    <w:rsid w:val="00D97D07"/>
    <w:rsid w:val="00DA09E1"/>
    <w:rsid w:val="00DA0A4E"/>
    <w:rsid w:val="00DA0CBD"/>
    <w:rsid w:val="00DA0ED9"/>
    <w:rsid w:val="00DA1151"/>
    <w:rsid w:val="00DA12BA"/>
    <w:rsid w:val="00DA1D80"/>
    <w:rsid w:val="00DA22E8"/>
    <w:rsid w:val="00DA2403"/>
    <w:rsid w:val="00DA2ADA"/>
    <w:rsid w:val="00DA2B8D"/>
    <w:rsid w:val="00DA306A"/>
    <w:rsid w:val="00DA3087"/>
    <w:rsid w:val="00DA47A8"/>
    <w:rsid w:val="00DA4D32"/>
    <w:rsid w:val="00DA508A"/>
    <w:rsid w:val="00DA543E"/>
    <w:rsid w:val="00DA569E"/>
    <w:rsid w:val="00DA6266"/>
    <w:rsid w:val="00DB19F5"/>
    <w:rsid w:val="00DB1BFC"/>
    <w:rsid w:val="00DB1D7F"/>
    <w:rsid w:val="00DB2EDC"/>
    <w:rsid w:val="00DB40A5"/>
    <w:rsid w:val="00DB4387"/>
    <w:rsid w:val="00DB45C7"/>
    <w:rsid w:val="00DB50BF"/>
    <w:rsid w:val="00DB5379"/>
    <w:rsid w:val="00DB5F7E"/>
    <w:rsid w:val="00DB67FF"/>
    <w:rsid w:val="00DB77C9"/>
    <w:rsid w:val="00DB7A25"/>
    <w:rsid w:val="00DB7C2C"/>
    <w:rsid w:val="00DC1C15"/>
    <w:rsid w:val="00DC2903"/>
    <w:rsid w:val="00DC301D"/>
    <w:rsid w:val="00DC44BA"/>
    <w:rsid w:val="00DC6597"/>
    <w:rsid w:val="00DC6A1D"/>
    <w:rsid w:val="00DC728A"/>
    <w:rsid w:val="00DC7C1D"/>
    <w:rsid w:val="00DC7C3C"/>
    <w:rsid w:val="00DD06C9"/>
    <w:rsid w:val="00DD0A6E"/>
    <w:rsid w:val="00DD1FE2"/>
    <w:rsid w:val="00DD21D3"/>
    <w:rsid w:val="00DD2CD8"/>
    <w:rsid w:val="00DD2D02"/>
    <w:rsid w:val="00DD345E"/>
    <w:rsid w:val="00DD34CD"/>
    <w:rsid w:val="00DD351E"/>
    <w:rsid w:val="00DD3AAE"/>
    <w:rsid w:val="00DD3DA9"/>
    <w:rsid w:val="00DD3E02"/>
    <w:rsid w:val="00DD447E"/>
    <w:rsid w:val="00DD448C"/>
    <w:rsid w:val="00DD4B5C"/>
    <w:rsid w:val="00DD507E"/>
    <w:rsid w:val="00DD6CD4"/>
    <w:rsid w:val="00DD7B1F"/>
    <w:rsid w:val="00DE0AF4"/>
    <w:rsid w:val="00DE18DB"/>
    <w:rsid w:val="00DE1B3C"/>
    <w:rsid w:val="00DE5911"/>
    <w:rsid w:val="00DE5DCD"/>
    <w:rsid w:val="00DE5FF9"/>
    <w:rsid w:val="00DE6A34"/>
    <w:rsid w:val="00DE7213"/>
    <w:rsid w:val="00DE7E07"/>
    <w:rsid w:val="00DE7F37"/>
    <w:rsid w:val="00DE7F98"/>
    <w:rsid w:val="00DF0713"/>
    <w:rsid w:val="00DF138F"/>
    <w:rsid w:val="00DF3F0E"/>
    <w:rsid w:val="00DF4B3D"/>
    <w:rsid w:val="00DF581A"/>
    <w:rsid w:val="00DF5F3C"/>
    <w:rsid w:val="00DF65A0"/>
    <w:rsid w:val="00DF69CE"/>
    <w:rsid w:val="00DF6AED"/>
    <w:rsid w:val="00DF6E5A"/>
    <w:rsid w:val="00DF75FE"/>
    <w:rsid w:val="00E01502"/>
    <w:rsid w:val="00E0193F"/>
    <w:rsid w:val="00E02612"/>
    <w:rsid w:val="00E03055"/>
    <w:rsid w:val="00E043CC"/>
    <w:rsid w:val="00E04469"/>
    <w:rsid w:val="00E04C8D"/>
    <w:rsid w:val="00E04E64"/>
    <w:rsid w:val="00E05914"/>
    <w:rsid w:val="00E061AE"/>
    <w:rsid w:val="00E065F7"/>
    <w:rsid w:val="00E06D87"/>
    <w:rsid w:val="00E0702B"/>
    <w:rsid w:val="00E071BC"/>
    <w:rsid w:val="00E07E61"/>
    <w:rsid w:val="00E1001A"/>
    <w:rsid w:val="00E10037"/>
    <w:rsid w:val="00E102D3"/>
    <w:rsid w:val="00E10603"/>
    <w:rsid w:val="00E10C86"/>
    <w:rsid w:val="00E10CA6"/>
    <w:rsid w:val="00E10DC5"/>
    <w:rsid w:val="00E10E23"/>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1F0"/>
    <w:rsid w:val="00E20983"/>
    <w:rsid w:val="00E20B6B"/>
    <w:rsid w:val="00E21344"/>
    <w:rsid w:val="00E21469"/>
    <w:rsid w:val="00E21593"/>
    <w:rsid w:val="00E22B59"/>
    <w:rsid w:val="00E23DC0"/>
    <w:rsid w:val="00E23F4C"/>
    <w:rsid w:val="00E2470F"/>
    <w:rsid w:val="00E25070"/>
    <w:rsid w:val="00E25CA0"/>
    <w:rsid w:val="00E27248"/>
    <w:rsid w:val="00E275C8"/>
    <w:rsid w:val="00E277A6"/>
    <w:rsid w:val="00E30B53"/>
    <w:rsid w:val="00E31446"/>
    <w:rsid w:val="00E32279"/>
    <w:rsid w:val="00E32FC9"/>
    <w:rsid w:val="00E33720"/>
    <w:rsid w:val="00E338F0"/>
    <w:rsid w:val="00E33CCE"/>
    <w:rsid w:val="00E342AE"/>
    <w:rsid w:val="00E3456D"/>
    <w:rsid w:val="00E34BB4"/>
    <w:rsid w:val="00E34DDB"/>
    <w:rsid w:val="00E362C4"/>
    <w:rsid w:val="00E366AA"/>
    <w:rsid w:val="00E36AFD"/>
    <w:rsid w:val="00E36BCE"/>
    <w:rsid w:val="00E40192"/>
    <w:rsid w:val="00E40536"/>
    <w:rsid w:val="00E40D63"/>
    <w:rsid w:val="00E41344"/>
    <w:rsid w:val="00E42296"/>
    <w:rsid w:val="00E422CA"/>
    <w:rsid w:val="00E4288A"/>
    <w:rsid w:val="00E43573"/>
    <w:rsid w:val="00E44B3F"/>
    <w:rsid w:val="00E45CB4"/>
    <w:rsid w:val="00E46398"/>
    <w:rsid w:val="00E46EC5"/>
    <w:rsid w:val="00E47153"/>
    <w:rsid w:val="00E471A9"/>
    <w:rsid w:val="00E478D0"/>
    <w:rsid w:val="00E50199"/>
    <w:rsid w:val="00E5103D"/>
    <w:rsid w:val="00E512EF"/>
    <w:rsid w:val="00E51A1B"/>
    <w:rsid w:val="00E51C1F"/>
    <w:rsid w:val="00E51C5B"/>
    <w:rsid w:val="00E525D0"/>
    <w:rsid w:val="00E539C3"/>
    <w:rsid w:val="00E53C66"/>
    <w:rsid w:val="00E54806"/>
    <w:rsid w:val="00E54A5B"/>
    <w:rsid w:val="00E54B9A"/>
    <w:rsid w:val="00E60E35"/>
    <w:rsid w:val="00E611B0"/>
    <w:rsid w:val="00E6204C"/>
    <w:rsid w:val="00E62B33"/>
    <w:rsid w:val="00E63DE0"/>
    <w:rsid w:val="00E64B5B"/>
    <w:rsid w:val="00E64D55"/>
    <w:rsid w:val="00E64D63"/>
    <w:rsid w:val="00E64EF2"/>
    <w:rsid w:val="00E65597"/>
    <w:rsid w:val="00E6594A"/>
    <w:rsid w:val="00E65952"/>
    <w:rsid w:val="00E6667E"/>
    <w:rsid w:val="00E7011E"/>
    <w:rsid w:val="00E71077"/>
    <w:rsid w:val="00E713F5"/>
    <w:rsid w:val="00E714BB"/>
    <w:rsid w:val="00E71774"/>
    <w:rsid w:val="00E75DB3"/>
    <w:rsid w:val="00E76D47"/>
    <w:rsid w:val="00E77891"/>
    <w:rsid w:val="00E80209"/>
    <w:rsid w:val="00E8123A"/>
    <w:rsid w:val="00E81626"/>
    <w:rsid w:val="00E82671"/>
    <w:rsid w:val="00E828E1"/>
    <w:rsid w:val="00E833D4"/>
    <w:rsid w:val="00E836F4"/>
    <w:rsid w:val="00E84D97"/>
    <w:rsid w:val="00E85228"/>
    <w:rsid w:val="00E853C4"/>
    <w:rsid w:val="00E86A04"/>
    <w:rsid w:val="00E877E6"/>
    <w:rsid w:val="00E87998"/>
    <w:rsid w:val="00E87BA1"/>
    <w:rsid w:val="00E91042"/>
    <w:rsid w:val="00E9126A"/>
    <w:rsid w:val="00E91933"/>
    <w:rsid w:val="00E921CB"/>
    <w:rsid w:val="00E92294"/>
    <w:rsid w:val="00E92474"/>
    <w:rsid w:val="00E92AE1"/>
    <w:rsid w:val="00E93B6B"/>
    <w:rsid w:val="00E948C6"/>
    <w:rsid w:val="00E94A95"/>
    <w:rsid w:val="00E94ECB"/>
    <w:rsid w:val="00E954DB"/>
    <w:rsid w:val="00E95C73"/>
    <w:rsid w:val="00E96963"/>
    <w:rsid w:val="00E97387"/>
    <w:rsid w:val="00E973EC"/>
    <w:rsid w:val="00E976D5"/>
    <w:rsid w:val="00EA01B2"/>
    <w:rsid w:val="00EA1371"/>
    <w:rsid w:val="00EA25B7"/>
    <w:rsid w:val="00EA2BCC"/>
    <w:rsid w:val="00EA3304"/>
    <w:rsid w:val="00EA3356"/>
    <w:rsid w:val="00EA39CA"/>
    <w:rsid w:val="00EA3B93"/>
    <w:rsid w:val="00EA5032"/>
    <w:rsid w:val="00EA5145"/>
    <w:rsid w:val="00EA5183"/>
    <w:rsid w:val="00EA594E"/>
    <w:rsid w:val="00EA5A0A"/>
    <w:rsid w:val="00EA65AF"/>
    <w:rsid w:val="00EA786E"/>
    <w:rsid w:val="00EB1EDD"/>
    <w:rsid w:val="00EB230A"/>
    <w:rsid w:val="00EB26BC"/>
    <w:rsid w:val="00EB29FC"/>
    <w:rsid w:val="00EB2CCF"/>
    <w:rsid w:val="00EB4601"/>
    <w:rsid w:val="00EB4B06"/>
    <w:rsid w:val="00EB4C84"/>
    <w:rsid w:val="00EB544E"/>
    <w:rsid w:val="00EB5D3C"/>
    <w:rsid w:val="00EB5D89"/>
    <w:rsid w:val="00EB5DE0"/>
    <w:rsid w:val="00EB5FDD"/>
    <w:rsid w:val="00EB6192"/>
    <w:rsid w:val="00EB6CE0"/>
    <w:rsid w:val="00EC1577"/>
    <w:rsid w:val="00EC162B"/>
    <w:rsid w:val="00EC1665"/>
    <w:rsid w:val="00EC1981"/>
    <w:rsid w:val="00EC2AA4"/>
    <w:rsid w:val="00EC4546"/>
    <w:rsid w:val="00EC45C1"/>
    <w:rsid w:val="00EC514F"/>
    <w:rsid w:val="00EC534D"/>
    <w:rsid w:val="00EC55CB"/>
    <w:rsid w:val="00EC59C8"/>
    <w:rsid w:val="00EC5DA2"/>
    <w:rsid w:val="00EC5DCD"/>
    <w:rsid w:val="00EC6751"/>
    <w:rsid w:val="00EC698B"/>
    <w:rsid w:val="00EC7BC4"/>
    <w:rsid w:val="00ED0179"/>
    <w:rsid w:val="00ED02A8"/>
    <w:rsid w:val="00ED1660"/>
    <w:rsid w:val="00ED16AF"/>
    <w:rsid w:val="00ED2103"/>
    <w:rsid w:val="00ED2CAA"/>
    <w:rsid w:val="00ED2E19"/>
    <w:rsid w:val="00ED314A"/>
    <w:rsid w:val="00ED35DA"/>
    <w:rsid w:val="00ED39D1"/>
    <w:rsid w:val="00ED3DB9"/>
    <w:rsid w:val="00ED409E"/>
    <w:rsid w:val="00ED42A8"/>
    <w:rsid w:val="00ED45F7"/>
    <w:rsid w:val="00ED4A75"/>
    <w:rsid w:val="00ED4E1E"/>
    <w:rsid w:val="00ED57A2"/>
    <w:rsid w:val="00ED5E15"/>
    <w:rsid w:val="00ED5E16"/>
    <w:rsid w:val="00ED61D2"/>
    <w:rsid w:val="00ED6984"/>
    <w:rsid w:val="00ED74EA"/>
    <w:rsid w:val="00EE2073"/>
    <w:rsid w:val="00EE2A94"/>
    <w:rsid w:val="00EE37DB"/>
    <w:rsid w:val="00EE3FCA"/>
    <w:rsid w:val="00EE4AB6"/>
    <w:rsid w:val="00EE4DBE"/>
    <w:rsid w:val="00EE5A28"/>
    <w:rsid w:val="00EE5B37"/>
    <w:rsid w:val="00EE6095"/>
    <w:rsid w:val="00EE64DC"/>
    <w:rsid w:val="00EE6931"/>
    <w:rsid w:val="00EE6A66"/>
    <w:rsid w:val="00EE7DCB"/>
    <w:rsid w:val="00EF07F3"/>
    <w:rsid w:val="00EF0A9A"/>
    <w:rsid w:val="00EF0E1D"/>
    <w:rsid w:val="00EF132A"/>
    <w:rsid w:val="00EF207F"/>
    <w:rsid w:val="00EF283B"/>
    <w:rsid w:val="00EF49F8"/>
    <w:rsid w:val="00EF683F"/>
    <w:rsid w:val="00EF6D36"/>
    <w:rsid w:val="00EF6ED1"/>
    <w:rsid w:val="00EF7010"/>
    <w:rsid w:val="00EF76E6"/>
    <w:rsid w:val="00EF7D8D"/>
    <w:rsid w:val="00F00F1D"/>
    <w:rsid w:val="00F0151E"/>
    <w:rsid w:val="00F01652"/>
    <w:rsid w:val="00F01F44"/>
    <w:rsid w:val="00F02440"/>
    <w:rsid w:val="00F026A9"/>
    <w:rsid w:val="00F0271F"/>
    <w:rsid w:val="00F0294D"/>
    <w:rsid w:val="00F02A45"/>
    <w:rsid w:val="00F02D8C"/>
    <w:rsid w:val="00F0335F"/>
    <w:rsid w:val="00F044AC"/>
    <w:rsid w:val="00F045D8"/>
    <w:rsid w:val="00F04A01"/>
    <w:rsid w:val="00F04FBF"/>
    <w:rsid w:val="00F052F2"/>
    <w:rsid w:val="00F07319"/>
    <w:rsid w:val="00F07BDF"/>
    <w:rsid w:val="00F07C7B"/>
    <w:rsid w:val="00F103C4"/>
    <w:rsid w:val="00F10A16"/>
    <w:rsid w:val="00F118DB"/>
    <w:rsid w:val="00F11C7F"/>
    <w:rsid w:val="00F120F9"/>
    <w:rsid w:val="00F1222E"/>
    <w:rsid w:val="00F130A8"/>
    <w:rsid w:val="00F130BE"/>
    <w:rsid w:val="00F13772"/>
    <w:rsid w:val="00F1447A"/>
    <w:rsid w:val="00F146B8"/>
    <w:rsid w:val="00F14A68"/>
    <w:rsid w:val="00F150F2"/>
    <w:rsid w:val="00F153B6"/>
    <w:rsid w:val="00F15917"/>
    <w:rsid w:val="00F15A8A"/>
    <w:rsid w:val="00F15B5E"/>
    <w:rsid w:val="00F16833"/>
    <w:rsid w:val="00F20825"/>
    <w:rsid w:val="00F21293"/>
    <w:rsid w:val="00F21494"/>
    <w:rsid w:val="00F21758"/>
    <w:rsid w:val="00F21C44"/>
    <w:rsid w:val="00F2221A"/>
    <w:rsid w:val="00F22EC3"/>
    <w:rsid w:val="00F2422D"/>
    <w:rsid w:val="00F2443F"/>
    <w:rsid w:val="00F2623F"/>
    <w:rsid w:val="00F26DA8"/>
    <w:rsid w:val="00F27514"/>
    <w:rsid w:val="00F27F15"/>
    <w:rsid w:val="00F30556"/>
    <w:rsid w:val="00F30C05"/>
    <w:rsid w:val="00F30D84"/>
    <w:rsid w:val="00F30EED"/>
    <w:rsid w:val="00F32909"/>
    <w:rsid w:val="00F32AEF"/>
    <w:rsid w:val="00F32C9F"/>
    <w:rsid w:val="00F32DB6"/>
    <w:rsid w:val="00F33146"/>
    <w:rsid w:val="00F33AA6"/>
    <w:rsid w:val="00F34100"/>
    <w:rsid w:val="00F34FB7"/>
    <w:rsid w:val="00F358F0"/>
    <w:rsid w:val="00F3590B"/>
    <w:rsid w:val="00F35A1E"/>
    <w:rsid w:val="00F35C78"/>
    <w:rsid w:val="00F36051"/>
    <w:rsid w:val="00F36176"/>
    <w:rsid w:val="00F36D78"/>
    <w:rsid w:val="00F36E40"/>
    <w:rsid w:val="00F37780"/>
    <w:rsid w:val="00F37ED3"/>
    <w:rsid w:val="00F402B5"/>
    <w:rsid w:val="00F40BBF"/>
    <w:rsid w:val="00F40DCE"/>
    <w:rsid w:val="00F41607"/>
    <w:rsid w:val="00F41EAC"/>
    <w:rsid w:val="00F41ECC"/>
    <w:rsid w:val="00F42076"/>
    <w:rsid w:val="00F422C3"/>
    <w:rsid w:val="00F42393"/>
    <w:rsid w:val="00F42B1B"/>
    <w:rsid w:val="00F440DC"/>
    <w:rsid w:val="00F4422D"/>
    <w:rsid w:val="00F442B3"/>
    <w:rsid w:val="00F447B4"/>
    <w:rsid w:val="00F4512A"/>
    <w:rsid w:val="00F454B0"/>
    <w:rsid w:val="00F45CDF"/>
    <w:rsid w:val="00F46810"/>
    <w:rsid w:val="00F470A5"/>
    <w:rsid w:val="00F47A01"/>
    <w:rsid w:val="00F47C39"/>
    <w:rsid w:val="00F504F1"/>
    <w:rsid w:val="00F508FD"/>
    <w:rsid w:val="00F509C8"/>
    <w:rsid w:val="00F51007"/>
    <w:rsid w:val="00F51734"/>
    <w:rsid w:val="00F51AB8"/>
    <w:rsid w:val="00F526D5"/>
    <w:rsid w:val="00F547CD"/>
    <w:rsid w:val="00F54A52"/>
    <w:rsid w:val="00F54DFE"/>
    <w:rsid w:val="00F5581B"/>
    <w:rsid w:val="00F55AC3"/>
    <w:rsid w:val="00F55DDE"/>
    <w:rsid w:val="00F55F3E"/>
    <w:rsid w:val="00F56702"/>
    <w:rsid w:val="00F5671B"/>
    <w:rsid w:val="00F56836"/>
    <w:rsid w:val="00F56D7C"/>
    <w:rsid w:val="00F56E0D"/>
    <w:rsid w:val="00F607E5"/>
    <w:rsid w:val="00F609CF"/>
    <w:rsid w:val="00F61882"/>
    <w:rsid w:val="00F618C6"/>
    <w:rsid w:val="00F6227F"/>
    <w:rsid w:val="00F624FF"/>
    <w:rsid w:val="00F63857"/>
    <w:rsid w:val="00F63B9C"/>
    <w:rsid w:val="00F646B7"/>
    <w:rsid w:val="00F6494A"/>
    <w:rsid w:val="00F65586"/>
    <w:rsid w:val="00F65B0B"/>
    <w:rsid w:val="00F66035"/>
    <w:rsid w:val="00F6784B"/>
    <w:rsid w:val="00F70761"/>
    <w:rsid w:val="00F707C8"/>
    <w:rsid w:val="00F718A0"/>
    <w:rsid w:val="00F71BEB"/>
    <w:rsid w:val="00F71BF1"/>
    <w:rsid w:val="00F71EB7"/>
    <w:rsid w:val="00F728AB"/>
    <w:rsid w:val="00F737F0"/>
    <w:rsid w:val="00F73A5F"/>
    <w:rsid w:val="00F73FEF"/>
    <w:rsid w:val="00F7412F"/>
    <w:rsid w:val="00F766E6"/>
    <w:rsid w:val="00F80253"/>
    <w:rsid w:val="00F80D79"/>
    <w:rsid w:val="00F80EE4"/>
    <w:rsid w:val="00F8150A"/>
    <w:rsid w:val="00F81A04"/>
    <w:rsid w:val="00F8299B"/>
    <w:rsid w:val="00F83361"/>
    <w:rsid w:val="00F84017"/>
    <w:rsid w:val="00F84C0C"/>
    <w:rsid w:val="00F84D23"/>
    <w:rsid w:val="00F84FCD"/>
    <w:rsid w:val="00F8662A"/>
    <w:rsid w:val="00F8710A"/>
    <w:rsid w:val="00F8732F"/>
    <w:rsid w:val="00F90219"/>
    <w:rsid w:val="00F90B91"/>
    <w:rsid w:val="00F90F2C"/>
    <w:rsid w:val="00F9123B"/>
    <w:rsid w:val="00F91786"/>
    <w:rsid w:val="00F91F42"/>
    <w:rsid w:val="00F9241B"/>
    <w:rsid w:val="00F927FE"/>
    <w:rsid w:val="00F92826"/>
    <w:rsid w:val="00F92912"/>
    <w:rsid w:val="00F93E44"/>
    <w:rsid w:val="00F9496F"/>
    <w:rsid w:val="00F94F9E"/>
    <w:rsid w:val="00F95000"/>
    <w:rsid w:val="00F95DC4"/>
    <w:rsid w:val="00F9647F"/>
    <w:rsid w:val="00F96DD8"/>
    <w:rsid w:val="00F96F03"/>
    <w:rsid w:val="00F9789D"/>
    <w:rsid w:val="00F97AE2"/>
    <w:rsid w:val="00FA0539"/>
    <w:rsid w:val="00FA0EDE"/>
    <w:rsid w:val="00FA0F71"/>
    <w:rsid w:val="00FA1246"/>
    <w:rsid w:val="00FA15A6"/>
    <w:rsid w:val="00FA1862"/>
    <w:rsid w:val="00FA1B24"/>
    <w:rsid w:val="00FA1DE7"/>
    <w:rsid w:val="00FA1F6C"/>
    <w:rsid w:val="00FA1FD9"/>
    <w:rsid w:val="00FA230B"/>
    <w:rsid w:val="00FA2B00"/>
    <w:rsid w:val="00FA2B15"/>
    <w:rsid w:val="00FA3610"/>
    <w:rsid w:val="00FA36C2"/>
    <w:rsid w:val="00FA3758"/>
    <w:rsid w:val="00FA406C"/>
    <w:rsid w:val="00FA4530"/>
    <w:rsid w:val="00FA4D8D"/>
    <w:rsid w:val="00FA547B"/>
    <w:rsid w:val="00FA6C78"/>
    <w:rsid w:val="00FA758A"/>
    <w:rsid w:val="00FA7CB3"/>
    <w:rsid w:val="00FB02BB"/>
    <w:rsid w:val="00FB10B3"/>
    <w:rsid w:val="00FB198B"/>
    <w:rsid w:val="00FB1B24"/>
    <w:rsid w:val="00FB1C19"/>
    <w:rsid w:val="00FB1F02"/>
    <w:rsid w:val="00FB21D5"/>
    <w:rsid w:val="00FB271A"/>
    <w:rsid w:val="00FB2850"/>
    <w:rsid w:val="00FB2A9E"/>
    <w:rsid w:val="00FB3262"/>
    <w:rsid w:val="00FB37D4"/>
    <w:rsid w:val="00FB3CED"/>
    <w:rsid w:val="00FB4BB0"/>
    <w:rsid w:val="00FB547C"/>
    <w:rsid w:val="00FB5967"/>
    <w:rsid w:val="00FB68F0"/>
    <w:rsid w:val="00FB7190"/>
    <w:rsid w:val="00FB7673"/>
    <w:rsid w:val="00FC1300"/>
    <w:rsid w:val="00FC1C75"/>
    <w:rsid w:val="00FC2953"/>
    <w:rsid w:val="00FC3429"/>
    <w:rsid w:val="00FC35CE"/>
    <w:rsid w:val="00FC3C99"/>
    <w:rsid w:val="00FC4A01"/>
    <w:rsid w:val="00FC57F7"/>
    <w:rsid w:val="00FC74C2"/>
    <w:rsid w:val="00FC770C"/>
    <w:rsid w:val="00FC7778"/>
    <w:rsid w:val="00FC7856"/>
    <w:rsid w:val="00FC7E9B"/>
    <w:rsid w:val="00FC7FA8"/>
    <w:rsid w:val="00FD03F1"/>
    <w:rsid w:val="00FD0A33"/>
    <w:rsid w:val="00FD19D0"/>
    <w:rsid w:val="00FD24E0"/>
    <w:rsid w:val="00FD305E"/>
    <w:rsid w:val="00FD332D"/>
    <w:rsid w:val="00FD35A5"/>
    <w:rsid w:val="00FD3CD3"/>
    <w:rsid w:val="00FD3E54"/>
    <w:rsid w:val="00FD40CC"/>
    <w:rsid w:val="00FD4E74"/>
    <w:rsid w:val="00FD56C0"/>
    <w:rsid w:val="00FD5B7C"/>
    <w:rsid w:val="00FD5B98"/>
    <w:rsid w:val="00FD5C81"/>
    <w:rsid w:val="00FD5DC4"/>
    <w:rsid w:val="00FD62C7"/>
    <w:rsid w:val="00FD6473"/>
    <w:rsid w:val="00FD66D4"/>
    <w:rsid w:val="00FD6D99"/>
    <w:rsid w:val="00FE03DE"/>
    <w:rsid w:val="00FE08F7"/>
    <w:rsid w:val="00FE0A56"/>
    <w:rsid w:val="00FE1F23"/>
    <w:rsid w:val="00FE29C8"/>
    <w:rsid w:val="00FE3812"/>
    <w:rsid w:val="00FE5A6E"/>
    <w:rsid w:val="00FE615A"/>
    <w:rsid w:val="00FE656F"/>
    <w:rsid w:val="00FE7120"/>
    <w:rsid w:val="00FE77F3"/>
    <w:rsid w:val="00FF04D4"/>
    <w:rsid w:val="00FF14E0"/>
    <w:rsid w:val="00FF1574"/>
    <w:rsid w:val="00FF172C"/>
    <w:rsid w:val="00FF3733"/>
    <w:rsid w:val="00FF3F0F"/>
    <w:rsid w:val="00FF4260"/>
    <w:rsid w:val="00FF4B38"/>
    <w:rsid w:val="00FF5E4D"/>
    <w:rsid w:val="00FF6029"/>
    <w:rsid w:val="00FF60A6"/>
    <w:rsid w:val="00FF64DD"/>
    <w:rsid w:val="00FF68B2"/>
    <w:rsid w:val="00FF6E52"/>
    <w:rsid w:val="00FF7606"/>
    <w:rsid w:val="00FF77A2"/>
    <w:rsid w:val="00FF7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und.eastmoney.com/company/80036797.html"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9F7C-4B76-4589-89F5-2B135A44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1</Pages>
  <Words>1482</Words>
  <Characters>8448</Characters>
  <Application>Microsoft Office Word</Application>
  <DocSecurity>0</DocSecurity>
  <Lines>70</Lines>
  <Paragraphs>19</Paragraphs>
  <ScaleCrop>false</ScaleCrop>
  <Company>湖州163软件园</Company>
  <LinksUpToDate>false</LinksUpToDate>
  <CharactersWithSpaces>9911</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19</cp:revision>
  <cp:lastPrinted>2014-10-09T07:56:00Z</cp:lastPrinted>
  <dcterms:created xsi:type="dcterms:W3CDTF">2014-09-04T08:34:00Z</dcterms:created>
  <dcterms:modified xsi:type="dcterms:W3CDTF">2014-10-09T08:01:00Z</dcterms:modified>
</cp:coreProperties>
</file>