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212" w:rsidRPr="006B085A" w:rsidRDefault="00803212" w:rsidP="00B10000">
      <w:pPr>
        <w:widowControl/>
        <w:spacing w:after="120" w:line="240" w:lineRule="exact"/>
        <w:ind w:left="3430"/>
        <w:rPr>
          <w:rFonts w:ascii="Arial" w:eastAsia="楷体_GB2312" w:hAnsi="Arial"/>
          <w:b/>
          <w:bCs/>
          <w:color w:val="0070C0"/>
          <w:kern w:val="0"/>
          <w:sz w:val="24"/>
          <w:szCs w:val="20"/>
          <w:lang w:val="en-GB"/>
        </w:rPr>
      </w:pPr>
      <w:r>
        <w:rPr>
          <w:noProof/>
        </w:rPr>
        <w:pict>
          <v:shapetype id="_x0000_t202" coordsize="21600,21600" o:spt="202" path="m,l,21600r21600,l21600,xe">
            <v:stroke joinstyle="miter"/>
            <v:path gradientshapeok="t" o:connecttype="rect"/>
          </v:shapetype>
          <v:shape id="_x0000_s1035" type="#_x0000_t202" style="position:absolute;left:0;text-align:left;margin-left:1.5pt;margin-top:285.2pt;width:148.5pt;height:275.6pt;z-index:251656704" strokecolor="white" strokeweight="0">
            <v:stroke dashstyle="1 1" endcap="round"/>
            <v:textbox style="mso-next-textbox:#_x0000_s1035">
              <w:txbxContent>
                <w:p w:rsidR="00803212" w:rsidRPr="00635482" w:rsidRDefault="00803212" w:rsidP="002A2B89">
                  <w:pPr>
                    <w:rPr>
                      <w:rFonts w:ascii="楷体" w:eastAsia="楷体" w:hAnsi="楷体"/>
                      <w:b/>
                      <w:lang w:val="en-GB"/>
                    </w:rPr>
                  </w:pPr>
                  <w:r w:rsidRPr="00635482">
                    <w:rPr>
                      <w:rFonts w:ascii="楷体" w:eastAsia="楷体" w:hAnsi="楷体" w:hint="eastAsia"/>
                      <w:b/>
                      <w:lang w:val="en-GB"/>
                    </w:rPr>
                    <w:t>凯石工场移动平台：</w:t>
                  </w:r>
                </w:p>
                <w:p w:rsidR="00803212" w:rsidRPr="00635482" w:rsidRDefault="00803212" w:rsidP="002A2B89">
                  <w:pPr>
                    <w:rPr>
                      <w:rFonts w:ascii="楷体" w:eastAsia="楷体" w:hAnsi="楷体"/>
                      <w:lang w:val="en-GB"/>
                    </w:rPr>
                  </w:pPr>
                </w:p>
                <w:p w:rsidR="00803212" w:rsidRPr="00635482" w:rsidRDefault="00803212" w:rsidP="002A2B89">
                  <w:r w:rsidRPr="00635482">
                    <w:rPr>
                      <w:rFonts w:ascii="楷体" w:eastAsia="楷体" w:hAnsi="楷体" w:hint="eastAsia"/>
                      <w:lang w:val="en-GB"/>
                    </w:rPr>
                    <w:t>官方微博：</w:t>
                  </w:r>
                </w:p>
                <w:p w:rsidR="00803212" w:rsidRPr="00635482" w:rsidRDefault="00803212" w:rsidP="002A2B89">
                  <w:pPr>
                    <w:rPr>
                      <w:rFonts w:ascii="楷体" w:eastAsia="楷体" w:hAnsi="楷体"/>
                      <w:lang w:val="en-GB"/>
                    </w:rPr>
                  </w:pPr>
                  <w:r w:rsidRPr="00635482">
                    <w:rPr>
                      <w:rFonts w:ascii="楷体" w:eastAsia="楷体" w:hAnsi="楷体" w:hint="eastAsia"/>
                      <w:lang w:val="en-GB"/>
                    </w:rPr>
                    <w:t>凯石财富工场</w:t>
                  </w:r>
                </w:p>
                <w:p w:rsidR="00803212" w:rsidRDefault="00803212" w:rsidP="002A2B89">
                  <w:r w:rsidRPr="00CB6E6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i1043" type="#_x0000_t75" alt="66.jpg" style="width:73.5pt;height:73.5pt;visibility:visible">
                        <v:imagedata r:id="rId7" o:title=""/>
                      </v:shape>
                    </w:pict>
                  </w:r>
                </w:p>
                <w:p w:rsidR="00803212" w:rsidRDefault="00803212" w:rsidP="002A2B89">
                  <w:pPr>
                    <w:rPr>
                      <w:rFonts w:ascii="楷体" w:eastAsia="楷体" w:hAnsi="楷体"/>
                      <w:b/>
                      <w:lang w:val="en-GB"/>
                    </w:rPr>
                  </w:pPr>
                </w:p>
                <w:p w:rsidR="00803212" w:rsidRPr="00635482" w:rsidRDefault="00803212" w:rsidP="002A2B89">
                  <w:pPr>
                    <w:rPr>
                      <w:rFonts w:ascii="楷体" w:eastAsia="楷体" w:hAnsi="楷体"/>
                      <w:lang w:val="en-GB"/>
                    </w:rPr>
                  </w:pPr>
                  <w:r w:rsidRPr="00635482">
                    <w:rPr>
                      <w:rFonts w:ascii="楷体" w:eastAsia="楷体" w:hAnsi="楷体" w:hint="eastAsia"/>
                      <w:lang w:val="en-GB"/>
                    </w:rPr>
                    <w:t>官方微信：</w:t>
                  </w:r>
                </w:p>
                <w:p w:rsidR="00803212" w:rsidRPr="00635482" w:rsidRDefault="00803212" w:rsidP="002A2B89">
                  <w:pPr>
                    <w:rPr>
                      <w:rFonts w:ascii="楷体" w:eastAsia="楷体" w:hAnsi="楷体"/>
                      <w:lang w:val="en-GB"/>
                    </w:rPr>
                  </w:pPr>
                  <w:r w:rsidRPr="00635482">
                    <w:rPr>
                      <w:rFonts w:ascii="楷体" w:eastAsia="楷体" w:hAnsi="楷体" w:hint="eastAsia"/>
                      <w:lang w:val="en-GB"/>
                    </w:rPr>
                    <w:t>凯石财富知音订阅号</w:t>
                  </w:r>
                </w:p>
                <w:p w:rsidR="00803212" w:rsidRDefault="00803212" w:rsidP="002A2B89">
                  <w:r w:rsidRPr="00C41721">
                    <w:rPr>
                      <w:rFonts w:ascii="楷体" w:eastAsia="楷体" w:hAnsi="楷体"/>
                      <w:b/>
                      <w:noProof/>
                    </w:rPr>
                    <w:pict>
                      <v:shape id="图片 7" o:spid="_x0000_i1044" type="#_x0000_t75" alt="凯石财富知音订阅号3.jpg" style="width:75pt;height:75pt;visibility:visible">
                        <v:imagedata r:id="rId8" o:title=""/>
                      </v:shape>
                    </w:pict>
                  </w:r>
                </w:p>
              </w:txbxContent>
            </v:textbox>
          </v:shape>
        </w:pict>
      </w:r>
      <w:r w:rsidRPr="006B085A">
        <w:rPr>
          <w:rFonts w:ascii="Arial" w:eastAsia="楷体_GB2312" w:hAnsi="Arial" w:hint="eastAsia"/>
          <w:b/>
          <w:bCs/>
          <w:color w:val="0070C0"/>
          <w:kern w:val="0"/>
          <w:sz w:val="24"/>
          <w:szCs w:val="20"/>
          <w:lang w:val="en-GB"/>
        </w:rPr>
        <w:t>导语</w:t>
      </w:r>
    </w:p>
    <w:p w:rsidR="00803212" w:rsidRDefault="00803212" w:rsidP="000C7ABD">
      <w:pPr>
        <w:pStyle w:val="BodyText"/>
        <w:numPr>
          <w:ilvl w:val="4"/>
          <w:numId w:val="4"/>
        </w:numPr>
        <w:spacing w:after="163"/>
        <w:rPr>
          <w:rFonts w:eastAsia="楷体_GB2312"/>
          <w:b/>
          <w:color w:val="auto"/>
        </w:rPr>
      </w:pPr>
      <w:r w:rsidRPr="001D61B7">
        <w:rPr>
          <w:rFonts w:eastAsia="楷体_GB2312" w:cs="Arial" w:hint="eastAsia"/>
          <w:b/>
          <w:color w:val="auto"/>
        </w:rPr>
        <w:t>三季度实体经济再度走弱，宏观政策总体保持稳健，微刺激</w:t>
      </w:r>
      <w:r>
        <w:rPr>
          <w:rFonts w:eastAsia="楷体_GB2312" w:cs="Arial" w:hint="eastAsia"/>
          <w:b/>
          <w:color w:val="auto"/>
        </w:rPr>
        <w:t>加码、</w:t>
      </w:r>
      <w:r w:rsidRPr="001D61B7">
        <w:rPr>
          <w:rFonts w:eastAsia="楷体_GB2312" w:cs="Arial" w:hint="eastAsia"/>
          <w:b/>
          <w:color w:val="auto"/>
        </w:rPr>
        <w:t>托底意图较为明确，在改革预期与居民资产再配置的背景下，</w:t>
      </w:r>
      <w:r w:rsidRPr="001D61B7">
        <w:rPr>
          <w:rFonts w:eastAsia="楷体_GB2312" w:cs="Arial"/>
          <w:b/>
          <w:color w:val="auto"/>
        </w:rPr>
        <w:t>A</w:t>
      </w:r>
      <w:r w:rsidRPr="001D61B7">
        <w:rPr>
          <w:rFonts w:eastAsia="楷体_GB2312" w:cs="Arial" w:hint="eastAsia"/>
          <w:b/>
          <w:color w:val="auto"/>
        </w:rPr>
        <w:t>股市场震荡攀升，</w:t>
      </w:r>
      <w:r>
        <w:rPr>
          <w:rFonts w:eastAsia="楷体_GB2312" w:cs="Arial" w:hint="eastAsia"/>
          <w:b/>
          <w:color w:val="auto"/>
        </w:rPr>
        <w:t>偏股产品喜迎普涨，成长风格基金涨幅居前，量化产品、军工主题收益引人关注；商品基金受累金价走低，季度内净值全线下挫；债券基金业绩整体向好，可转债基表现强势，二级债基可圈可点</w:t>
      </w:r>
      <w:r>
        <w:rPr>
          <w:rFonts w:eastAsia="楷体_GB2312" w:hint="eastAsia"/>
          <w:b/>
          <w:color w:val="auto"/>
        </w:rPr>
        <w:t>。海外市场方面，美强欧弱、亚太分化；</w:t>
      </w:r>
      <w:r>
        <w:rPr>
          <w:rFonts w:eastAsia="楷体_GB2312"/>
          <w:b/>
          <w:color w:val="auto"/>
        </w:rPr>
        <w:t>QDII</w:t>
      </w:r>
      <w:r>
        <w:rPr>
          <w:rFonts w:eastAsia="楷体_GB2312" w:hint="eastAsia"/>
          <w:b/>
          <w:color w:val="auto"/>
        </w:rPr>
        <w:t>产品跌多涨少。</w:t>
      </w:r>
    </w:p>
    <w:p w:rsidR="00803212" w:rsidRDefault="00803212" w:rsidP="000C7ABD">
      <w:pPr>
        <w:pStyle w:val="BodyText"/>
        <w:numPr>
          <w:ilvl w:val="4"/>
          <w:numId w:val="4"/>
        </w:numPr>
        <w:spacing w:after="163"/>
        <w:rPr>
          <w:rFonts w:eastAsia="楷体_GB2312"/>
          <w:b/>
          <w:color w:val="auto"/>
        </w:rPr>
      </w:pPr>
      <w:r w:rsidRPr="00F41C5A">
        <w:rPr>
          <w:rFonts w:eastAsia="楷体_GB2312" w:cs="Arial" w:hint="eastAsia"/>
          <w:b/>
          <w:color w:val="auto"/>
        </w:rPr>
        <w:t>三季度，共有</w:t>
      </w:r>
      <w:r w:rsidRPr="00F41C5A">
        <w:rPr>
          <w:rFonts w:eastAsia="楷体_GB2312" w:cs="Arial"/>
          <w:b/>
          <w:color w:val="auto"/>
        </w:rPr>
        <w:t>91</w:t>
      </w:r>
      <w:r w:rsidRPr="00F41C5A">
        <w:rPr>
          <w:rFonts w:eastAsia="楷体_GB2312" w:cs="Arial" w:hint="eastAsia"/>
          <w:b/>
          <w:color w:val="auto"/>
        </w:rPr>
        <w:t>只新产品设立共募得</w:t>
      </w:r>
      <w:r w:rsidRPr="00F41C5A">
        <w:rPr>
          <w:rFonts w:eastAsia="楷体_GB2312" w:cs="Arial"/>
          <w:b/>
          <w:color w:val="auto"/>
        </w:rPr>
        <w:t>919.44</w:t>
      </w:r>
      <w:r w:rsidRPr="00F41C5A">
        <w:rPr>
          <w:rFonts w:eastAsia="楷体_GB2312" w:cs="Arial" w:hint="eastAsia"/>
          <w:b/>
          <w:color w:val="auto"/>
        </w:rPr>
        <w:t>亿元，平均募集规模</w:t>
      </w:r>
      <w:r w:rsidRPr="00F41C5A">
        <w:rPr>
          <w:rFonts w:eastAsia="楷体_GB2312" w:cs="Arial"/>
          <w:b/>
          <w:color w:val="auto"/>
        </w:rPr>
        <w:t>10.10</w:t>
      </w:r>
      <w:r w:rsidRPr="00F41C5A">
        <w:rPr>
          <w:rFonts w:eastAsia="楷体_GB2312" w:cs="Arial" w:hint="eastAsia"/>
          <w:b/>
          <w:color w:val="auto"/>
        </w:rPr>
        <w:t>亿元。从发行节奏上来看</w:t>
      </w:r>
      <w:r>
        <w:rPr>
          <w:rFonts w:eastAsia="楷体_GB2312" w:cs="Arial" w:hint="eastAsia"/>
          <w:b/>
          <w:color w:val="auto"/>
        </w:rPr>
        <w:t>，在业绩走高、赚钱效应显现的背景下，季度内各月发行数量、募集规模渐次回暖。在各类产品中，</w:t>
      </w:r>
      <w:r w:rsidRPr="00F41C5A">
        <w:rPr>
          <w:rFonts w:eastAsia="楷体_GB2312" w:cs="Arial" w:hint="eastAsia"/>
          <w:b/>
          <w:color w:val="auto"/>
        </w:rPr>
        <w:t>保本型、混合型产品</w:t>
      </w:r>
      <w:r>
        <w:rPr>
          <w:rFonts w:eastAsia="楷体_GB2312" w:cs="Arial" w:hint="eastAsia"/>
          <w:b/>
          <w:color w:val="auto"/>
        </w:rPr>
        <w:t>最受投资者青睐，</w:t>
      </w:r>
      <w:r w:rsidRPr="00F41C5A">
        <w:rPr>
          <w:rFonts w:eastAsia="楷体_GB2312" w:cs="Arial" w:hint="eastAsia"/>
          <w:b/>
          <w:color w:val="auto"/>
        </w:rPr>
        <w:t>平均募集规模分别为</w:t>
      </w:r>
      <w:r w:rsidRPr="00F41C5A">
        <w:rPr>
          <w:rFonts w:eastAsia="楷体_GB2312" w:cs="Arial"/>
          <w:b/>
          <w:color w:val="auto"/>
        </w:rPr>
        <w:t>13.59</w:t>
      </w:r>
      <w:r w:rsidRPr="00F41C5A">
        <w:rPr>
          <w:rFonts w:eastAsia="楷体_GB2312" w:cs="Arial" w:hint="eastAsia"/>
          <w:b/>
          <w:color w:val="auto"/>
        </w:rPr>
        <w:t>亿元、</w:t>
      </w:r>
      <w:r w:rsidRPr="00F41C5A">
        <w:rPr>
          <w:rFonts w:eastAsia="楷体_GB2312" w:cs="Arial"/>
          <w:b/>
          <w:color w:val="auto"/>
        </w:rPr>
        <w:t>12.92</w:t>
      </w:r>
      <w:r w:rsidRPr="00F41C5A">
        <w:rPr>
          <w:rFonts w:eastAsia="楷体_GB2312" w:cs="Arial" w:hint="eastAsia"/>
          <w:b/>
          <w:color w:val="auto"/>
        </w:rPr>
        <w:t>亿元</w:t>
      </w:r>
      <w:r>
        <w:rPr>
          <w:rFonts w:eastAsia="楷体_GB2312" w:cs="Arial" w:hint="eastAsia"/>
          <w:b/>
          <w:color w:val="auto"/>
        </w:rPr>
        <w:t>，位居前列。单只产品中</w:t>
      </w:r>
      <w:r w:rsidRPr="00F41C5A">
        <w:rPr>
          <w:rFonts w:eastAsia="楷体_GB2312" w:cs="Arial" w:hint="eastAsia"/>
          <w:b/>
          <w:color w:val="auto"/>
        </w:rPr>
        <w:t>广受市场关注的首只参与混合所有制改革的公募产品嘉实元和混合基金，面市</w:t>
      </w:r>
      <w:r>
        <w:rPr>
          <w:rFonts w:eastAsia="楷体_GB2312" w:cs="Arial" w:hint="eastAsia"/>
          <w:b/>
          <w:color w:val="auto"/>
        </w:rPr>
        <w:t>首日即</w:t>
      </w:r>
      <w:r w:rsidRPr="00F41C5A">
        <w:rPr>
          <w:rFonts w:eastAsia="楷体_GB2312" w:cs="Arial" w:hint="eastAsia"/>
          <w:b/>
          <w:color w:val="auto"/>
        </w:rPr>
        <w:t>售罄，募资规模高达</w:t>
      </w:r>
      <w:r w:rsidRPr="00F41C5A">
        <w:rPr>
          <w:rFonts w:eastAsia="楷体_GB2312" w:cs="Arial"/>
          <w:b/>
          <w:color w:val="auto"/>
        </w:rPr>
        <w:t>100</w:t>
      </w:r>
      <w:r w:rsidRPr="00F41C5A">
        <w:rPr>
          <w:rFonts w:eastAsia="楷体_GB2312" w:cs="Arial" w:hint="eastAsia"/>
          <w:b/>
          <w:color w:val="auto"/>
        </w:rPr>
        <w:t>亿元，</w:t>
      </w:r>
      <w:r>
        <w:rPr>
          <w:rFonts w:eastAsia="楷体_GB2312" w:cs="Arial" w:hint="eastAsia"/>
          <w:b/>
          <w:color w:val="auto"/>
        </w:rPr>
        <w:t>成为年内首募规模最高的权益类产品</w:t>
      </w:r>
      <w:r w:rsidRPr="00F41C5A">
        <w:rPr>
          <w:rFonts w:eastAsia="楷体_GB2312" w:cs="Arial" w:hint="eastAsia"/>
          <w:b/>
          <w:color w:val="auto"/>
        </w:rPr>
        <w:t>。</w:t>
      </w:r>
    </w:p>
    <w:p w:rsidR="00803212" w:rsidRPr="00D71B0C" w:rsidRDefault="00803212" w:rsidP="000C7ABD">
      <w:pPr>
        <w:pStyle w:val="BodyText"/>
        <w:numPr>
          <w:ilvl w:val="4"/>
          <w:numId w:val="4"/>
        </w:numPr>
        <w:spacing w:after="163"/>
        <w:rPr>
          <w:rFonts w:eastAsia="楷体_GB2312"/>
          <w:b/>
          <w:color w:val="auto"/>
        </w:rPr>
      </w:pPr>
      <w:r>
        <w:rPr>
          <w:rFonts w:eastAsia="楷体_GB2312" w:hint="eastAsia"/>
          <w:b/>
          <w:color w:val="auto"/>
        </w:rPr>
        <w:t>行业发展动态方面，制度监管层面，</w:t>
      </w:r>
      <w:r w:rsidRPr="000915F8">
        <w:rPr>
          <w:rFonts w:eastAsia="楷体_GB2312" w:hint="eastAsia"/>
          <w:b/>
          <w:color w:val="auto"/>
        </w:rPr>
        <w:t>新版公募基金运作管理办法正式颁布</w:t>
      </w:r>
      <w:r>
        <w:rPr>
          <w:rFonts w:eastAsia="楷体_GB2312" w:hint="eastAsia"/>
          <w:b/>
          <w:color w:val="auto"/>
        </w:rPr>
        <w:t>，公募注册制落地；</w:t>
      </w:r>
      <w:r w:rsidRPr="000915F8">
        <w:rPr>
          <w:rFonts w:eastAsia="楷体_GB2312" w:hint="eastAsia"/>
          <w:b/>
          <w:color w:val="auto"/>
        </w:rPr>
        <w:t>券基资管规范意见稿</w:t>
      </w:r>
      <w:r>
        <w:rPr>
          <w:rFonts w:eastAsia="楷体_GB2312" w:hint="eastAsia"/>
          <w:b/>
          <w:color w:val="auto"/>
        </w:rPr>
        <w:t>发布，倡导提升主动管理能力，一对多通道业务面临被禁；协会发文规范公募基金销售行为，</w:t>
      </w:r>
      <w:r w:rsidRPr="00EB551B">
        <w:rPr>
          <w:rFonts w:eastAsia="楷体_GB2312" w:hint="eastAsia"/>
          <w:b/>
          <w:color w:val="auto"/>
        </w:rPr>
        <w:t>营造公平竞争环境</w:t>
      </w:r>
      <w:r w:rsidRPr="00CF1618">
        <w:rPr>
          <w:rFonts w:eastAsia="楷体_GB2312" w:hint="eastAsia"/>
          <w:b/>
          <w:color w:val="auto"/>
        </w:rPr>
        <w:t>。</w:t>
      </w:r>
      <w:r>
        <w:rPr>
          <w:rFonts w:eastAsia="楷体_GB2312" w:hint="eastAsia"/>
          <w:b/>
          <w:color w:val="auto"/>
        </w:rPr>
        <w:t>产品及服务创新层面，</w:t>
      </w:r>
      <w:r w:rsidRPr="00EB551B">
        <w:rPr>
          <w:rFonts w:eastAsia="楷体_GB2312" w:hint="eastAsia"/>
          <w:b/>
          <w:color w:val="auto"/>
        </w:rPr>
        <w:t>携手互联网平台，基金创新瞄准大数据</w:t>
      </w:r>
      <w:r>
        <w:rPr>
          <w:rFonts w:eastAsia="楷体_GB2312" w:hint="eastAsia"/>
          <w:b/>
          <w:color w:val="auto"/>
        </w:rPr>
        <w:t>；</w:t>
      </w:r>
      <w:r w:rsidRPr="00CF1618">
        <w:rPr>
          <w:rFonts w:eastAsia="楷体_GB2312" w:hint="eastAsia"/>
          <w:b/>
          <w:color w:val="auto"/>
        </w:rPr>
        <w:t>沪市小额账户实时申赎货基限制放开</w:t>
      </w:r>
      <w:r>
        <w:rPr>
          <w:rFonts w:eastAsia="楷体_GB2312" w:hint="eastAsia"/>
          <w:b/>
          <w:color w:val="auto"/>
        </w:rPr>
        <w:t>，小额投资者</w:t>
      </w:r>
      <w:r w:rsidRPr="00CF1618">
        <w:rPr>
          <w:rFonts w:eastAsia="楷体_GB2312" w:hint="eastAsia"/>
          <w:b/>
          <w:color w:val="auto"/>
        </w:rPr>
        <w:t>账户</w:t>
      </w:r>
      <w:r>
        <w:rPr>
          <w:rFonts w:eastAsia="楷体_GB2312" w:hint="eastAsia"/>
          <w:b/>
          <w:color w:val="auto"/>
        </w:rPr>
        <w:t>可</w:t>
      </w:r>
      <w:r w:rsidRPr="00CF1618">
        <w:rPr>
          <w:rFonts w:eastAsia="楷体_GB2312" w:hint="eastAsia"/>
          <w:b/>
          <w:color w:val="auto"/>
        </w:rPr>
        <w:t>不受基金净赎回额度限制</w:t>
      </w:r>
      <w:r>
        <w:rPr>
          <w:rFonts w:eastAsia="楷体_GB2312" w:hint="eastAsia"/>
          <w:b/>
          <w:color w:val="auto"/>
        </w:rPr>
        <w:t>；</w:t>
      </w:r>
      <w:r w:rsidRPr="00EB551B">
        <w:rPr>
          <w:rFonts w:eastAsia="楷体_GB2312" w:hint="eastAsia"/>
          <w:b/>
          <w:color w:val="auto"/>
        </w:rPr>
        <w:t>首只混改公募产品</w:t>
      </w:r>
      <w:r>
        <w:rPr>
          <w:rFonts w:eastAsia="楷体_GB2312" w:hint="eastAsia"/>
          <w:b/>
          <w:color w:val="auto"/>
        </w:rPr>
        <w:t>嘉实元和面市，实现</w:t>
      </w:r>
      <w:r w:rsidRPr="00587045">
        <w:rPr>
          <w:rFonts w:eastAsia="楷体_GB2312" w:hint="eastAsia"/>
          <w:b/>
          <w:color w:val="auto"/>
        </w:rPr>
        <w:t>公募产品</w:t>
      </w:r>
      <w:r>
        <w:rPr>
          <w:rFonts w:eastAsia="楷体_GB2312" w:hint="eastAsia"/>
          <w:b/>
          <w:color w:val="auto"/>
        </w:rPr>
        <w:t>投资范围</w:t>
      </w:r>
      <w:r w:rsidRPr="00587045">
        <w:rPr>
          <w:rFonts w:eastAsia="楷体_GB2312" w:hint="eastAsia"/>
          <w:b/>
          <w:color w:val="auto"/>
        </w:rPr>
        <w:t>新突破</w:t>
      </w:r>
      <w:r>
        <w:rPr>
          <w:rFonts w:eastAsia="楷体_GB2312" w:hint="eastAsia"/>
          <w:b/>
          <w:color w:val="auto"/>
        </w:rPr>
        <w:t>；证监会发布《</w:t>
      </w:r>
      <w:r w:rsidRPr="00EB551B">
        <w:rPr>
          <w:rFonts w:eastAsia="楷体_GB2312" w:hint="eastAsia"/>
          <w:b/>
          <w:color w:val="auto"/>
        </w:rPr>
        <w:t>商品期货交易型开放式基金指引（征求意见稿）</w:t>
      </w:r>
      <w:r>
        <w:rPr>
          <w:rFonts w:eastAsia="楷体_GB2312" w:hint="eastAsia"/>
          <w:b/>
          <w:color w:val="auto"/>
        </w:rPr>
        <w:t>》，为商品期货</w:t>
      </w:r>
      <w:r>
        <w:rPr>
          <w:rFonts w:eastAsia="楷体_GB2312"/>
          <w:b/>
          <w:color w:val="auto"/>
        </w:rPr>
        <w:t>ETF</w:t>
      </w:r>
      <w:r>
        <w:rPr>
          <w:rFonts w:eastAsia="楷体_GB2312" w:hint="eastAsia"/>
          <w:b/>
          <w:color w:val="auto"/>
        </w:rPr>
        <w:t>酝酿筹备奠基</w:t>
      </w:r>
      <w:r w:rsidRPr="00CF1618">
        <w:rPr>
          <w:rFonts w:eastAsia="楷体_GB2312" w:hint="eastAsia"/>
          <w:b/>
          <w:color w:val="auto"/>
        </w:rPr>
        <w:t>。</w:t>
      </w:r>
    </w:p>
    <w:p w:rsidR="00803212" w:rsidRDefault="00803212" w:rsidP="006340AC">
      <w:pPr>
        <w:widowControl/>
        <w:spacing w:beforeLines="100" w:after="120" w:line="240" w:lineRule="exact"/>
        <w:ind w:left="3430"/>
        <w:rPr>
          <w:rFonts w:ascii="Arial" w:eastAsia="楷体_GB2312" w:hAnsi="Arial"/>
          <w:b/>
          <w:bCs/>
          <w:color w:val="0070C0"/>
          <w:kern w:val="0"/>
          <w:sz w:val="24"/>
          <w:szCs w:val="20"/>
          <w:lang w:val="en-GB"/>
        </w:rPr>
      </w:pPr>
      <w:r>
        <w:rPr>
          <w:rFonts w:ascii="Arial" w:eastAsia="楷体_GB2312" w:hAnsi="Arial" w:hint="eastAsia"/>
          <w:b/>
          <w:bCs/>
          <w:color w:val="0070C0"/>
          <w:kern w:val="0"/>
          <w:sz w:val="24"/>
          <w:szCs w:val="20"/>
          <w:lang w:val="en-GB"/>
        </w:rPr>
        <w:t>公募产品季度业绩回顾</w:t>
      </w:r>
    </w:p>
    <w:tbl>
      <w:tblPr>
        <w:tblW w:w="6831" w:type="dxa"/>
        <w:tblInd w:w="3561" w:type="dxa"/>
        <w:tblLook w:val="00A0"/>
      </w:tblPr>
      <w:tblGrid>
        <w:gridCol w:w="1761"/>
        <w:gridCol w:w="1276"/>
        <w:gridCol w:w="1139"/>
        <w:gridCol w:w="1277"/>
        <w:gridCol w:w="1378"/>
      </w:tblGrid>
      <w:tr w:rsidR="00803212" w:rsidRPr="00C41721" w:rsidTr="00EB5C43">
        <w:trPr>
          <w:trHeight w:val="346"/>
        </w:trPr>
        <w:tc>
          <w:tcPr>
            <w:tcW w:w="5453" w:type="dxa"/>
            <w:gridSpan w:val="4"/>
            <w:tcBorders>
              <w:top w:val="single" w:sz="8" w:space="0" w:color="F79646"/>
              <w:left w:val="nil"/>
              <w:bottom w:val="single" w:sz="8" w:space="0" w:color="F79646"/>
              <w:right w:val="nil"/>
            </w:tcBorders>
            <w:noWrap/>
            <w:vAlign w:val="center"/>
          </w:tcPr>
          <w:p w:rsidR="00803212" w:rsidRPr="00EB5C43" w:rsidRDefault="00803212" w:rsidP="00EB5C43">
            <w:pPr>
              <w:widowControl/>
              <w:jc w:val="left"/>
              <w:rPr>
                <w:rFonts w:ascii="宋体" w:cs="宋体"/>
                <w:b/>
                <w:bCs/>
                <w:i/>
                <w:iCs/>
                <w:color w:val="F79646"/>
                <w:kern w:val="0"/>
                <w:sz w:val="20"/>
                <w:szCs w:val="20"/>
              </w:rPr>
            </w:pPr>
            <w:r w:rsidRPr="00EB5C43">
              <w:rPr>
                <w:rFonts w:ascii="宋体" w:hAnsi="宋体" w:cs="宋体" w:hint="eastAsia"/>
                <w:b/>
                <w:bCs/>
                <w:i/>
                <w:iCs/>
                <w:color w:val="F79646"/>
                <w:kern w:val="0"/>
                <w:sz w:val="20"/>
                <w:szCs w:val="20"/>
              </w:rPr>
              <w:t>图表</w:t>
            </w:r>
            <w:r w:rsidRPr="00EB5C43">
              <w:rPr>
                <w:rFonts w:ascii="宋体" w:hAnsi="宋体" w:cs="宋体"/>
                <w:b/>
                <w:bCs/>
                <w:i/>
                <w:iCs/>
                <w:color w:val="F79646"/>
                <w:kern w:val="0"/>
                <w:sz w:val="20"/>
                <w:szCs w:val="20"/>
              </w:rPr>
              <w:t>1:2014</w:t>
            </w:r>
            <w:r w:rsidRPr="00EB5C43">
              <w:rPr>
                <w:rFonts w:ascii="宋体" w:hAnsi="宋体" w:cs="宋体" w:hint="eastAsia"/>
                <w:b/>
                <w:bCs/>
                <w:i/>
                <w:iCs/>
                <w:color w:val="F79646"/>
                <w:kern w:val="0"/>
                <w:sz w:val="20"/>
                <w:szCs w:val="20"/>
              </w:rPr>
              <w:t>年三季度各类型基金平均业绩</w:t>
            </w:r>
          </w:p>
        </w:tc>
        <w:tc>
          <w:tcPr>
            <w:tcW w:w="1378" w:type="dxa"/>
            <w:tcBorders>
              <w:top w:val="single" w:sz="8" w:space="0" w:color="F79646"/>
              <w:left w:val="nil"/>
              <w:bottom w:val="single" w:sz="8" w:space="0" w:color="F79646"/>
              <w:right w:val="nil"/>
            </w:tcBorders>
            <w:noWrap/>
            <w:vAlign w:val="center"/>
          </w:tcPr>
          <w:p w:rsidR="00803212" w:rsidRPr="00EB5C43" w:rsidRDefault="00803212" w:rsidP="00EB5C43">
            <w:pPr>
              <w:widowControl/>
              <w:jc w:val="left"/>
              <w:rPr>
                <w:rFonts w:ascii="宋体" w:cs="宋体"/>
                <w:color w:val="000000"/>
                <w:kern w:val="0"/>
                <w:sz w:val="22"/>
              </w:rPr>
            </w:pPr>
            <w:r w:rsidRPr="00EB5C43">
              <w:rPr>
                <w:rFonts w:ascii="宋体" w:hAnsi="宋体" w:cs="宋体" w:hint="eastAsia"/>
                <w:color w:val="000000"/>
                <w:kern w:val="0"/>
                <w:sz w:val="22"/>
              </w:rPr>
              <w:t xml:space="preserve">　</w:t>
            </w:r>
          </w:p>
        </w:tc>
      </w:tr>
      <w:tr w:rsidR="00803212" w:rsidRPr="00C41721" w:rsidTr="00EB5C43">
        <w:trPr>
          <w:trHeight w:val="646"/>
        </w:trPr>
        <w:tc>
          <w:tcPr>
            <w:tcW w:w="1761" w:type="dxa"/>
            <w:tcBorders>
              <w:top w:val="nil"/>
              <w:left w:val="nil"/>
              <w:bottom w:val="single" w:sz="8" w:space="0" w:color="F79646"/>
              <w:right w:val="nil"/>
            </w:tcBorders>
            <w:vAlign w:val="center"/>
          </w:tcPr>
          <w:p w:rsidR="00803212" w:rsidRPr="00EB5C43" w:rsidRDefault="00803212" w:rsidP="00EB5C43">
            <w:pPr>
              <w:widowControl/>
              <w:jc w:val="center"/>
              <w:rPr>
                <w:rFonts w:ascii="宋体" w:cs="宋体"/>
                <w:color w:val="000000"/>
                <w:kern w:val="0"/>
                <w:sz w:val="16"/>
                <w:szCs w:val="16"/>
              </w:rPr>
            </w:pPr>
            <w:r w:rsidRPr="00EB5C43">
              <w:rPr>
                <w:rFonts w:ascii="宋体" w:hAnsi="宋体" w:cs="宋体" w:hint="eastAsia"/>
                <w:color w:val="000000"/>
                <w:kern w:val="0"/>
                <w:sz w:val="16"/>
                <w:szCs w:val="16"/>
              </w:rPr>
              <w:t>基金类型</w:t>
            </w:r>
          </w:p>
        </w:tc>
        <w:tc>
          <w:tcPr>
            <w:tcW w:w="1276" w:type="dxa"/>
            <w:tcBorders>
              <w:top w:val="nil"/>
              <w:left w:val="nil"/>
              <w:bottom w:val="single" w:sz="8" w:space="0" w:color="F79646"/>
              <w:right w:val="nil"/>
            </w:tcBorders>
            <w:vAlign w:val="center"/>
          </w:tcPr>
          <w:p w:rsidR="00803212" w:rsidRPr="00EB5C43" w:rsidRDefault="00803212" w:rsidP="00EB5C43">
            <w:pPr>
              <w:widowControl/>
              <w:jc w:val="center"/>
              <w:rPr>
                <w:rFonts w:ascii="宋体" w:cs="宋体"/>
                <w:color w:val="000000"/>
                <w:kern w:val="0"/>
                <w:sz w:val="16"/>
                <w:szCs w:val="16"/>
              </w:rPr>
            </w:pPr>
            <w:r w:rsidRPr="00EB5C43">
              <w:rPr>
                <w:rFonts w:ascii="宋体" w:hAnsi="宋体" w:cs="宋体"/>
                <w:color w:val="000000"/>
                <w:kern w:val="0"/>
                <w:sz w:val="16"/>
                <w:szCs w:val="16"/>
              </w:rPr>
              <w:t>2014</w:t>
            </w:r>
            <w:r w:rsidRPr="00EB5C43">
              <w:rPr>
                <w:rFonts w:ascii="宋体" w:hAnsi="宋体" w:cs="宋体" w:hint="eastAsia"/>
                <w:color w:val="000000"/>
                <w:kern w:val="0"/>
                <w:sz w:val="16"/>
                <w:szCs w:val="16"/>
              </w:rPr>
              <w:t>年三季度平均业绩</w:t>
            </w:r>
            <w:r w:rsidRPr="00EB5C43">
              <w:rPr>
                <w:rFonts w:ascii="宋体" w:hAnsi="宋体" w:cs="宋体"/>
                <w:color w:val="000000"/>
                <w:kern w:val="0"/>
                <w:sz w:val="16"/>
                <w:szCs w:val="16"/>
              </w:rPr>
              <w:t>(%)</w:t>
            </w:r>
          </w:p>
        </w:tc>
        <w:tc>
          <w:tcPr>
            <w:tcW w:w="1139" w:type="dxa"/>
            <w:tcBorders>
              <w:top w:val="nil"/>
              <w:left w:val="nil"/>
              <w:bottom w:val="single" w:sz="8" w:space="0" w:color="F79646"/>
              <w:right w:val="nil"/>
            </w:tcBorders>
            <w:vAlign w:val="center"/>
          </w:tcPr>
          <w:p w:rsidR="00803212" w:rsidRPr="00EB5C43" w:rsidRDefault="00803212" w:rsidP="00EB5C43">
            <w:pPr>
              <w:widowControl/>
              <w:jc w:val="center"/>
              <w:rPr>
                <w:rFonts w:ascii="宋体" w:cs="宋体"/>
                <w:color w:val="000000"/>
                <w:kern w:val="0"/>
                <w:sz w:val="16"/>
                <w:szCs w:val="16"/>
              </w:rPr>
            </w:pPr>
            <w:r w:rsidRPr="00EB5C43">
              <w:rPr>
                <w:rFonts w:ascii="宋体" w:hAnsi="宋体" w:cs="宋体" w:hint="eastAsia"/>
                <w:color w:val="000000"/>
                <w:kern w:val="0"/>
                <w:sz w:val="16"/>
                <w:szCs w:val="16"/>
              </w:rPr>
              <w:t>样本数量</w:t>
            </w:r>
          </w:p>
        </w:tc>
        <w:tc>
          <w:tcPr>
            <w:tcW w:w="1276" w:type="dxa"/>
            <w:tcBorders>
              <w:top w:val="nil"/>
              <w:left w:val="nil"/>
              <w:bottom w:val="single" w:sz="8" w:space="0" w:color="F79646"/>
              <w:right w:val="nil"/>
            </w:tcBorders>
            <w:vAlign w:val="center"/>
          </w:tcPr>
          <w:p w:rsidR="00803212" w:rsidRPr="00EB5C43" w:rsidRDefault="00803212" w:rsidP="00EB5C43">
            <w:pPr>
              <w:widowControl/>
              <w:jc w:val="center"/>
              <w:rPr>
                <w:rFonts w:ascii="宋体" w:cs="宋体"/>
                <w:color w:val="000000"/>
                <w:kern w:val="0"/>
                <w:sz w:val="16"/>
                <w:szCs w:val="16"/>
              </w:rPr>
            </w:pPr>
            <w:r w:rsidRPr="00EB5C43">
              <w:rPr>
                <w:rFonts w:ascii="宋体" w:hAnsi="宋体" w:cs="宋体"/>
                <w:color w:val="000000"/>
                <w:kern w:val="0"/>
                <w:sz w:val="16"/>
                <w:szCs w:val="16"/>
              </w:rPr>
              <w:t>2014</w:t>
            </w:r>
            <w:r w:rsidRPr="00EB5C43">
              <w:rPr>
                <w:rFonts w:ascii="宋体" w:hAnsi="宋体" w:cs="宋体" w:hint="eastAsia"/>
                <w:color w:val="000000"/>
                <w:kern w:val="0"/>
                <w:sz w:val="16"/>
                <w:szCs w:val="16"/>
              </w:rPr>
              <w:t>年以来平均业绩</w:t>
            </w:r>
            <w:r w:rsidRPr="00EB5C43">
              <w:rPr>
                <w:rFonts w:ascii="宋体" w:hAnsi="宋体" w:cs="宋体"/>
                <w:color w:val="000000"/>
                <w:kern w:val="0"/>
                <w:sz w:val="16"/>
                <w:szCs w:val="16"/>
              </w:rPr>
              <w:t>(%)</w:t>
            </w:r>
          </w:p>
        </w:tc>
        <w:tc>
          <w:tcPr>
            <w:tcW w:w="1378" w:type="dxa"/>
            <w:tcBorders>
              <w:top w:val="nil"/>
              <w:left w:val="nil"/>
              <w:bottom w:val="single" w:sz="8" w:space="0" w:color="F79646"/>
              <w:right w:val="nil"/>
            </w:tcBorders>
            <w:vAlign w:val="center"/>
          </w:tcPr>
          <w:p w:rsidR="00803212" w:rsidRPr="00EB5C43" w:rsidRDefault="00803212" w:rsidP="00EB5C43">
            <w:pPr>
              <w:widowControl/>
              <w:jc w:val="center"/>
              <w:rPr>
                <w:rFonts w:ascii="宋体" w:cs="宋体"/>
                <w:color w:val="000000"/>
                <w:kern w:val="0"/>
                <w:sz w:val="16"/>
                <w:szCs w:val="16"/>
              </w:rPr>
            </w:pPr>
            <w:r w:rsidRPr="00EB5C43">
              <w:rPr>
                <w:rFonts w:ascii="宋体" w:hAnsi="宋体" w:cs="宋体" w:hint="eastAsia"/>
                <w:color w:val="000000"/>
                <w:kern w:val="0"/>
                <w:sz w:val="16"/>
                <w:szCs w:val="16"/>
              </w:rPr>
              <w:t>样本数量</w:t>
            </w:r>
          </w:p>
        </w:tc>
      </w:tr>
      <w:tr w:rsidR="00803212" w:rsidRPr="00C41721" w:rsidTr="00EB5C43">
        <w:trPr>
          <w:trHeight w:val="330"/>
        </w:trPr>
        <w:tc>
          <w:tcPr>
            <w:tcW w:w="1761" w:type="dxa"/>
            <w:tcBorders>
              <w:top w:val="nil"/>
              <w:left w:val="nil"/>
              <w:bottom w:val="nil"/>
              <w:right w:val="nil"/>
            </w:tcBorders>
            <w:noWrap/>
            <w:vAlign w:val="bottom"/>
          </w:tcPr>
          <w:p w:rsidR="00803212" w:rsidRPr="00EB5C43" w:rsidRDefault="00803212" w:rsidP="00EB5C43">
            <w:pPr>
              <w:widowControl/>
              <w:jc w:val="left"/>
              <w:rPr>
                <w:rFonts w:ascii="宋体" w:cs="宋体"/>
                <w:color w:val="000000"/>
                <w:kern w:val="0"/>
                <w:sz w:val="16"/>
                <w:szCs w:val="16"/>
              </w:rPr>
            </w:pPr>
            <w:r w:rsidRPr="00EB5C43">
              <w:rPr>
                <w:rFonts w:ascii="宋体" w:hAnsi="宋体" w:cs="宋体" w:hint="eastAsia"/>
                <w:color w:val="000000"/>
                <w:kern w:val="0"/>
                <w:sz w:val="16"/>
                <w:szCs w:val="16"/>
              </w:rPr>
              <w:t>传统封闭式</w:t>
            </w:r>
          </w:p>
        </w:tc>
        <w:tc>
          <w:tcPr>
            <w:tcW w:w="1276" w:type="dxa"/>
            <w:tcBorders>
              <w:top w:val="nil"/>
              <w:left w:val="nil"/>
              <w:bottom w:val="nil"/>
              <w:right w:val="nil"/>
            </w:tcBorders>
            <w:noWrap/>
            <w:vAlign w:val="bottom"/>
          </w:tcPr>
          <w:p w:rsidR="00803212" w:rsidRPr="00EB5C43" w:rsidRDefault="00803212" w:rsidP="00EB5C43">
            <w:pPr>
              <w:widowControl/>
              <w:jc w:val="center"/>
              <w:rPr>
                <w:rFonts w:ascii="宋体" w:cs="宋体"/>
                <w:color w:val="000000"/>
                <w:kern w:val="0"/>
                <w:sz w:val="16"/>
                <w:szCs w:val="16"/>
              </w:rPr>
            </w:pPr>
            <w:r w:rsidRPr="00EB5C43">
              <w:rPr>
                <w:rFonts w:ascii="宋体" w:hAnsi="宋体" w:cs="宋体"/>
                <w:color w:val="000000"/>
                <w:kern w:val="0"/>
                <w:sz w:val="16"/>
                <w:szCs w:val="16"/>
              </w:rPr>
              <w:t xml:space="preserve">11.78 </w:t>
            </w:r>
          </w:p>
        </w:tc>
        <w:tc>
          <w:tcPr>
            <w:tcW w:w="1139" w:type="dxa"/>
            <w:tcBorders>
              <w:top w:val="nil"/>
              <w:left w:val="nil"/>
              <w:bottom w:val="nil"/>
              <w:right w:val="nil"/>
            </w:tcBorders>
            <w:noWrap/>
            <w:vAlign w:val="bottom"/>
          </w:tcPr>
          <w:p w:rsidR="00803212" w:rsidRPr="00EB5C43" w:rsidRDefault="00803212" w:rsidP="00EB5C43">
            <w:pPr>
              <w:widowControl/>
              <w:jc w:val="center"/>
              <w:rPr>
                <w:rFonts w:ascii="宋体" w:cs="宋体"/>
                <w:color w:val="000000"/>
                <w:kern w:val="0"/>
                <w:sz w:val="16"/>
                <w:szCs w:val="16"/>
              </w:rPr>
            </w:pPr>
            <w:r w:rsidRPr="00EB5C43">
              <w:rPr>
                <w:rFonts w:ascii="宋体" w:hAnsi="宋体" w:cs="宋体"/>
                <w:color w:val="000000"/>
                <w:kern w:val="0"/>
                <w:sz w:val="16"/>
                <w:szCs w:val="16"/>
              </w:rPr>
              <w:t>9</w:t>
            </w:r>
          </w:p>
        </w:tc>
        <w:tc>
          <w:tcPr>
            <w:tcW w:w="1276" w:type="dxa"/>
            <w:tcBorders>
              <w:top w:val="nil"/>
              <w:left w:val="nil"/>
              <w:bottom w:val="nil"/>
              <w:right w:val="nil"/>
            </w:tcBorders>
            <w:noWrap/>
            <w:vAlign w:val="bottom"/>
          </w:tcPr>
          <w:p w:rsidR="00803212" w:rsidRPr="00EB5C43" w:rsidRDefault="00803212" w:rsidP="00EB5C43">
            <w:pPr>
              <w:widowControl/>
              <w:jc w:val="center"/>
              <w:rPr>
                <w:rFonts w:ascii="宋体" w:cs="宋体"/>
                <w:color w:val="000000"/>
                <w:kern w:val="0"/>
                <w:sz w:val="16"/>
                <w:szCs w:val="16"/>
              </w:rPr>
            </w:pPr>
            <w:r w:rsidRPr="00EB5C43">
              <w:rPr>
                <w:rFonts w:ascii="宋体" w:hAnsi="宋体" w:cs="宋体"/>
                <w:color w:val="000000"/>
                <w:kern w:val="0"/>
                <w:sz w:val="16"/>
                <w:szCs w:val="16"/>
              </w:rPr>
              <w:t xml:space="preserve">10.12 </w:t>
            </w:r>
          </w:p>
        </w:tc>
        <w:tc>
          <w:tcPr>
            <w:tcW w:w="1378" w:type="dxa"/>
            <w:tcBorders>
              <w:top w:val="nil"/>
              <w:left w:val="nil"/>
              <w:bottom w:val="nil"/>
              <w:right w:val="nil"/>
            </w:tcBorders>
            <w:noWrap/>
            <w:vAlign w:val="bottom"/>
          </w:tcPr>
          <w:p w:rsidR="00803212" w:rsidRPr="00EB5C43" w:rsidRDefault="00803212" w:rsidP="00EB5C43">
            <w:pPr>
              <w:widowControl/>
              <w:jc w:val="center"/>
              <w:rPr>
                <w:rFonts w:ascii="宋体" w:cs="宋体"/>
                <w:color w:val="000000"/>
                <w:kern w:val="0"/>
                <w:sz w:val="16"/>
                <w:szCs w:val="16"/>
              </w:rPr>
            </w:pPr>
            <w:r w:rsidRPr="00EB5C43">
              <w:rPr>
                <w:rFonts w:ascii="宋体" w:hAnsi="宋体" w:cs="宋体"/>
                <w:color w:val="000000"/>
                <w:kern w:val="0"/>
                <w:sz w:val="16"/>
                <w:szCs w:val="16"/>
              </w:rPr>
              <w:t>9</w:t>
            </w:r>
          </w:p>
        </w:tc>
      </w:tr>
      <w:tr w:rsidR="00803212" w:rsidRPr="00C41721" w:rsidTr="00EB5C43">
        <w:trPr>
          <w:trHeight w:val="330"/>
        </w:trPr>
        <w:tc>
          <w:tcPr>
            <w:tcW w:w="1761" w:type="dxa"/>
            <w:tcBorders>
              <w:top w:val="nil"/>
              <w:left w:val="nil"/>
              <w:bottom w:val="nil"/>
              <w:right w:val="nil"/>
            </w:tcBorders>
            <w:noWrap/>
            <w:vAlign w:val="bottom"/>
          </w:tcPr>
          <w:p w:rsidR="00803212" w:rsidRPr="00EB5C43" w:rsidRDefault="00803212" w:rsidP="00EB5C43">
            <w:pPr>
              <w:widowControl/>
              <w:jc w:val="left"/>
              <w:rPr>
                <w:rFonts w:ascii="宋体" w:cs="宋体"/>
                <w:color w:val="000000"/>
                <w:kern w:val="0"/>
                <w:sz w:val="16"/>
                <w:szCs w:val="16"/>
              </w:rPr>
            </w:pPr>
            <w:r w:rsidRPr="00EB5C43">
              <w:rPr>
                <w:rFonts w:ascii="宋体" w:hAnsi="宋体" w:cs="宋体" w:hint="eastAsia"/>
                <w:color w:val="000000"/>
                <w:kern w:val="0"/>
                <w:sz w:val="16"/>
                <w:szCs w:val="16"/>
              </w:rPr>
              <w:t>股票型</w:t>
            </w:r>
          </w:p>
        </w:tc>
        <w:tc>
          <w:tcPr>
            <w:tcW w:w="1276" w:type="dxa"/>
            <w:tcBorders>
              <w:top w:val="nil"/>
              <w:left w:val="nil"/>
              <w:bottom w:val="nil"/>
              <w:right w:val="nil"/>
            </w:tcBorders>
            <w:noWrap/>
            <w:vAlign w:val="bottom"/>
          </w:tcPr>
          <w:p w:rsidR="00803212" w:rsidRPr="00EB5C43" w:rsidRDefault="00803212" w:rsidP="00EB5C43">
            <w:pPr>
              <w:widowControl/>
              <w:jc w:val="center"/>
              <w:rPr>
                <w:rFonts w:ascii="宋体" w:cs="宋体"/>
                <w:color w:val="000000"/>
                <w:kern w:val="0"/>
                <w:sz w:val="16"/>
                <w:szCs w:val="16"/>
              </w:rPr>
            </w:pPr>
            <w:r w:rsidRPr="00EB5C43">
              <w:rPr>
                <w:rFonts w:ascii="宋体" w:hAnsi="宋体" w:cs="宋体"/>
                <w:color w:val="000000"/>
                <w:kern w:val="0"/>
                <w:sz w:val="16"/>
                <w:szCs w:val="16"/>
              </w:rPr>
              <w:t xml:space="preserve">14.25 </w:t>
            </w:r>
          </w:p>
        </w:tc>
        <w:tc>
          <w:tcPr>
            <w:tcW w:w="1139" w:type="dxa"/>
            <w:tcBorders>
              <w:top w:val="nil"/>
              <w:left w:val="nil"/>
              <w:bottom w:val="nil"/>
              <w:right w:val="nil"/>
            </w:tcBorders>
            <w:noWrap/>
            <w:vAlign w:val="bottom"/>
          </w:tcPr>
          <w:p w:rsidR="00803212" w:rsidRPr="00EB5C43" w:rsidRDefault="00803212" w:rsidP="00EB5C43">
            <w:pPr>
              <w:widowControl/>
              <w:jc w:val="center"/>
              <w:rPr>
                <w:rFonts w:ascii="宋体" w:cs="宋体"/>
                <w:color w:val="000000"/>
                <w:kern w:val="0"/>
                <w:sz w:val="16"/>
                <w:szCs w:val="16"/>
              </w:rPr>
            </w:pPr>
            <w:r w:rsidRPr="00EB5C43">
              <w:rPr>
                <w:rFonts w:ascii="宋体" w:hAnsi="宋体" w:cs="宋体"/>
                <w:color w:val="000000"/>
                <w:kern w:val="0"/>
                <w:sz w:val="16"/>
                <w:szCs w:val="16"/>
              </w:rPr>
              <w:t>652</w:t>
            </w:r>
          </w:p>
        </w:tc>
        <w:tc>
          <w:tcPr>
            <w:tcW w:w="1276" w:type="dxa"/>
            <w:tcBorders>
              <w:top w:val="nil"/>
              <w:left w:val="nil"/>
              <w:bottom w:val="nil"/>
              <w:right w:val="nil"/>
            </w:tcBorders>
            <w:noWrap/>
            <w:vAlign w:val="bottom"/>
          </w:tcPr>
          <w:p w:rsidR="00803212" w:rsidRPr="00EB5C43" w:rsidRDefault="00803212" w:rsidP="00EB5C43">
            <w:pPr>
              <w:widowControl/>
              <w:jc w:val="center"/>
              <w:rPr>
                <w:rFonts w:ascii="宋体" w:cs="宋体"/>
                <w:color w:val="000000"/>
                <w:kern w:val="0"/>
                <w:sz w:val="16"/>
                <w:szCs w:val="16"/>
              </w:rPr>
            </w:pPr>
            <w:r w:rsidRPr="00EB5C43">
              <w:rPr>
                <w:rFonts w:ascii="宋体" w:hAnsi="宋体" w:cs="宋体"/>
                <w:color w:val="000000"/>
                <w:kern w:val="0"/>
                <w:sz w:val="16"/>
                <w:szCs w:val="16"/>
              </w:rPr>
              <w:t xml:space="preserve">11.88 </w:t>
            </w:r>
          </w:p>
        </w:tc>
        <w:tc>
          <w:tcPr>
            <w:tcW w:w="1378" w:type="dxa"/>
            <w:tcBorders>
              <w:top w:val="nil"/>
              <w:left w:val="nil"/>
              <w:bottom w:val="nil"/>
              <w:right w:val="nil"/>
            </w:tcBorders>
            <w:noWrap/>
            <w:vAlign w:val="bottom"/>
          </w:tcPr>
          <w:p w:rsidR="00803212" w:rsidRPr="00EB5C43" w:rsidRDefault="00803212" w:rsidP="00EB5C43">
            <w:pPr>
              <w:widowControl/>
              <w:jc w:val="center"/>
              <w:rPr>
                <w:rFonts w:ascii="宋体" w:cs="宋体"/>
                <w:color w:val="000000"/>
                <w:kern w:val="0"/>
                <w:sz w:val="16"/>
                <w:szCs w:val="16"/>
              </w:rPr>
            </w:pPr>
            <w:r w:rsidRPr="00EB5C43">
              <w:rPr>
                <w:rFonts w:ascii="宋体" w:hAnsi="宋体" w:cs="宋体"/>
                <w:color w:val="000000"/>
                <w:kern w:val="0"/>
                <w:sz w:val="16"/>
                <w:szCs w:val="16"/>
              </w:rPr>
              <w:t>609</w:t>
            </w:r>
          </w:p>
        </w:tc>
      </w:tr>
      <w:tr w:rsidR="00803212" w:rsidRPr="00C41721" w:rsidTr="00EB5C43">
        <w:trPr>
          <w:trHeight w:val="330"/>
        </w:trPr>
        <w:tc>
          <w:tcPr>
            <w:tcW w:w="1761" w:type="dxa"/>
            <w:tcBorders>
              <w:top w:val="nil"/>
              <w:left w:val="nil"/>
              <w:bottom w:val="nil"/>
              <w:right w:val="nil"/>
            </w:tcBorders>
            <w:shd w:val="clear" w:color="000000" w:fill="FDE9D9"/>
            <w:noWrap/>
            <w:vAlign w:val="bottom"/>
          </w:tcPr>
          <w:p w:rsidR="00803212" w:rsidRPr="00EB5C43" w:rsidRDefault="00803212" w:rsidP="00EB5C43">
            <w:pPr>
              <w:widowControl/>
              <w:jc w:val="left"/>
              <w:rPr>
                <w:rFonts w:ascii="宋体" w:cs="宋体"/>
                <w:color w:val="000000"/>
                <w:kern w:val="0"/>
                <w:sz w:val="16"/>
                <w:szCs w:val="16"/>
              </w:rPr>
            </w:pPr>
            <w:r w:rsidRPr="00EB5C43">
              <w:rPr>
                <w:rFonts w:ascii="宋体" w:hAnsi="宋体" w:cs="宋体"/>
                <w:color w:val="000000"/>
                <w:kern w:val="0"/>
                <w:sz w:val="16"/>
                <w:szCs w:val="16"/>
              </w:rPr>
              <w:t xml:space="preserve">  </w:t>
            </w:r>
            <w:r w:rsidRPr="00EB5C43">
              <w:rPr>
                <w:rFonts w:ascii="宋体" w:hAnsi="宋体" w:cs="宋体" w:hint="eastAsia"/>
                <w:color w:val="000000"/>
                <w:kern w:val="0"/>
                <w:sz w:val="16"/>
                <w:szCs w:val="16"/>
              </w:rPr>
              <w:t>主动股票型</w:t>
            </w:r>
          </w:p>
        </w:tc>
        <w:tc>
          <w:tcPr>
            <w:tcW w:w="1276" w:type="dxa"/>
            <w:tcBorders>
              <w:top w:val="nil"/>
              <w:left w:val="nil"/>
              <w:bottom w:val="nil"/>
              <w:right w:val="nil"/>
            </w:tcBorders>
            <w:shd w:val="clear" w:color="000000" w:fill="FDE9D9"/>
            <w:noWrap/>
            <w:vAlign w:val="bottom"/>
          </w:tcPr>
          <w:p w:rsidR="00803212" w:rsidRPr="00EB5C43" w:rsidRDefault="00803212" w:rsidP="00EB5C43">
            <w:pPr>
              <w:widowControl/>
              <w:jc w:val="center"/>
              <w:rPr>
                <w:rFonts w:ascii="宋体" w:cs="宋体"/>
                <w:color w:val="000000"/>
                <w:kern w:val="0"/>
                <w:sz w:val="16"/>
                <w:szCs w:val="16"/>
              </w:rPr>
            </w:pPr>
            <w:r w:rsidRPr="00EB5C43">
              <w:rPr>
                <w:rFonts w:ascii="宋体" w:hAnsi="宋体" w:cs="宋体"/>
                <w:color w:val="000000"/>
                <w:kern w:val="0"/>
                <w:sz w:val="16"/>
                <w:szCs w:val="16"/>
              </w:rPr>
              <w:t xml:space="preserve">13.55 </w:t>
            </w:r>
          </w:p>
        </w:tc>
        <w:tc>
          <w:tcPr>
            <w:tcW w:w="1139" w:type="dxa"/>
            <w:tcBorders>
              <w:top w:val="nil"/>
              <w:left w:val="nil"/>
              <w:bottom w:val="nil"/>
              <w:right w:val="nil"/>
            </w:tcBorders>
            <w:shd w:val="clear" w:color="000000" w:fill="FDE9D9"/>
            <w:noWrap/>
            <w:vAlign w:val="bottom"/>
          </w:tcPr>
          <w:p w:rsidR="00803212" w:rsidRPr="00EB5C43" w:rsidRDefault="00803212" w:rsidP="00EB5C43">
            <w:pPr>
              <w:widowControl/>
              <w:jc w:val="center"/>
              <w:rPr>
                <w:rFonts w:ascii="宋体" w:cs="宋体"/>
                <w:color w:val="000000"/>
                <w:kern w:val="0"/>
                <w:sz w:val="16"/>
                <w:szCs w:val="16"/>
              </w:rPr>
            </w:pPr>
            <w:r w:rsidRPr="00EB5C43">
              <w:rPr>
                <w:rFonts w:ascii="宋体" w:hAnsi="宋体" w:cs="宋体"/>
                <w:color w:val="000000"/>
                <w:kern w:val="0"/>
                <w:sz w:val="16"/>
                <w:szCs w:val="16"/>
              </w:rPr>
              <w:t>394</w:t>
            </w:r>
          </w:p>
        </w:tc>
        <w:tc>
          <w:tcPr>
            <w:tcW w:w="1276" w:type="dxa"/>
            <w:tcBorders>
              <w:top w:val="nil"/>
              <w:left w:val="nil"/>
              <w:bottom w:val="nil"/>
              <w:right w:val="nil"/>
            </w:tcBorders>
            <w:shd w:val="clear" w:color="000000" w:fill="FDE9D9"/>
            <w:noWrap/>
            <w:vAlign w:val="bottom"/>
          </w:tcPr>
          <w:p w:rsidR="00803212" w:rsidRPr="00EB5C43" w:rsidRDefault="00803212" w:rsidP="00EB5C43">
            <w:pPr>
              <w:widowControl/>
              <w:jc w:val="center"/>
              <w:rPr>
                <w:rFonts w:ascii="宋体" w:cs="宋体"/>
                <w:color w:val="000000"/>
                <w:kern w:val="0"/>
                <w:sz w:val="16"/>
                <w:szCs w:val="16"/>
              </w:rPr>
            </w:pPr>
            <w:r w:rsidRPr="00EB5C43">
              <w:rPr>
                <w:rFonts w:ascii="宋体" w:hAnsi="宋体" w:cs="宋体"/>
                <w:color w:val="000000"/>
                <w:kern w:val="0"/>
                <w:sz w:val="16"/>
                <w:szCs w:val="16"/>
              </w:rPr>
              <w:t xml:space="preserve">12.80 </w:t>
            </w:r>
          </w:p>
        </w:tc>
        <w:tc>
          <w:tcPr>
            <w:tcW w:w="1378" w:type="dxa"/>
            <w:tcBorders>
              <w:top w:val="nil"/>
              <w:left w:val="nil"/>
              <w:bottom w:val="nil"/>
              <w:right w:val="nil"/>
            </w:tcBorders>
            <w:shd w:val="clear" w:color="000000" w:fill="FDE9D9"/>
            <w:noWrap/>
            <w:vAlign w:val="bottom"/>
          </w:tcPr>
          <w:p w:rsidR="00803212" w:rsidRPr="00EB5C43" w:rsidRDefault="00803212" w:rsidP="00EB5C43">
            <w:pPr>
              <w:widowControl/>
              <w:jc w:val="center"/>
              <w:rPr>
                <w:rFonts w:ascii="宋体" w:cs="宋体"/>
                <w:color w:val="000000"/>
                <w:kern w:val="0"/>
                <w:sz w:val="16"/>
                <w:szCs w:val="16"/>
              </w:rPr>
            </w:pPr>
            <w:r w:rsidRPr="00EB5C43">
              <w:rPr>
                <w:rFonts w:ascii="宋体" w:hAnsi="宋体" w:cs="宋体"/>
                <w:color w:val="000000"/>
                <w:kern w:val="0"/>
                <w:sz w:val="16"/>
                <w:szCs w:val="16"/>
              </w:rPr>
              <w:t>368</w:t>
            </w:r>
          </w:p>
        </w:tc>
      </w:tr>
      <w:tr w:rsidR="00803212" w:rsidRPr="00C41721" w:rsidTr="00EB5C43">
        <w:trPr>
          <w:trHeight w:val="330"/>
        </w:trPr>
        <w:tc>
          <w:tcPr>
            <w:tcW w:w="1761" w:type="dxa"/>
            <w:tcBorders>
              <w:top w:val="nil"/>
              <w:left w:val="nil"/>
              <w:bottom w:val="nil"/>
              <w:right w:val="nil"/>
            </w:tcBorders>
            <w:shd w:val="clear" w:color="000000" w:fill="FDE9D9"/>
            <w:noWrap/>
            <w:vAlign w:val="bottom"/>
          </w:tcPr>
          <w:p w:rsidR="00803212" w:rsidRPr="00EB5C43" w:rsidRDefault="00803212" w:rsidP="00EB5C43">
            <w:pPr>
              <w:widowControl/>
              <w:jc w:val="left"/>
              <w:rPr>
                <w:rFonts w:ascii="宋体" w:cs="宋体"/>
                <w:color w:val="000000"/>
                <w:kern w:val="0"/>
                <w:sz w:val="16"/>
                <w:szCs w:val="16"/>
              </w:rPr>
            </w:pPr>
            <w:r w:rsidRPr="00EB5C43">
              <w:rPr>
                <w:rFonts w:ascii="宋体" w:hAnsi="宋体" w:cs="宋体"/>
                <w:color w:val="000000"/>
                <w:kern w:val="0"/>
                <w:sz w:val="16"/>
                <w:szCs w:val="16"/>
              </w:rPr>
              <w:t xml:space="preserve">  </w:t>
            </w:r>
            <w:r w:rsidRPr="00EB5C43">
              <w:rPr>
                <w:rFonts w:ascii="宋体" w:hAnsi="宋体" w:cs="宋体" w:hint="eastAsia"/>
                <w:color w:val="000000"/>
                <w:kern w:val="0"/>
                <w:sz w:val="16"/>
                <w:szCs w:val="16"/>
              </w:rPr>
              <w:t>指数型</w:t>
            </w:r>
          </w:p>
        </w:tc>
        <w:tc>
          <w:tcPr>
            <w:tcW w:w="1276" w:type="dxa"/>
            <w:tcBorders>
              <w:top w:val="nil"/>
              <w:left w:val="nil"/>
              <w:bottom w:val="nil"/>
              <w:right w:val="nil"/>
            </w:tcBorders>
            <w:shd w:val="clear" w:color="000000" w:fill="FDE9D9"/>
            <w:noWrap/>
            <w:vAlign w:val="bottom"/>
          </w:tcPr>
          <w:p w:rsidR="00803212" w:rsidRPr="00EB5C43" w:rsidRDefault="00803212" w:rsidP="00EB5C43">
            <w:pPr>
              <w:widowControl/>
              <w:jc w:val="center"/>
              <w:rPr>
                <w:rFonts w:ascii="宋体" w:cs="宋体"/>
                <w:color w:val="000000"/>
                <w:kern w:val="0"/>
                <w:sz w:val="16"/>
                <w:szCs w:val="16"/>
              </w:rPr>
            </w:pPr>
            <w:r w:rsidRPr="00EB5C43">
              <w:rPr>
                <w:rFonts w:ascii="宋体" w:hAnsi="宋体" w:cs="宋体"/>
                <w:color w:val="000000"/>
                <w:kern w:val="0"/>
                <w:sz w:val="16"/>
                <w:szCs w:val="16"/>
              </w:rPr>
              <w:t xml:space="preserve">15.33 </w:t>
            </w:r>
          </w:p>
        </w:tc>
        <w:tc>
          <w:tcPr>
            <w:tcW w:w="1139" w:type="dxa"/>
            <w:tcBorders>
              <w:top w:val="nil"/>
              <w:left w:val="nil"/>
              <w:bottom w:val="nil"/>
              <w:right w:val="nil"/>
            </w:tcBorders>
            <w:shd w:val="clear" w:color="000000" w:fill="FDE9D9"/>
            <w:noWrap/>
            <w:vAlign w:val="bottom"/>
          </w:tcPr>
          <w:p w:rsidR="00803212" w:rsidRPr="00EB5C43" w:rsidRDefault="00803212" w:rsidP="00EB5C43">
            <w:pPr>
              <w:widowControl/>
              <w:jc w:val="center"/>
              <w:rPr>
                <w:rFonts w:ascii="宋体" w:cs="宋体"/>
                <w:color w:val="000000"/>
                <w:kern w:val="0"/>
                <w:sz w:val="16"/>
                <w:szCs w:val="16"/>
              </w:rPr>
            </w:pPr>
            <w:r w:rsidRPr="00EB5C43">
              <w:rPr>
                <w:rFonts w:ascii="宋体" w:hAnsi="宋体" w:cs="宋体"/>
                <w:color w:val="000000"/>
                <w:kern w:val="0"/>
                <w:sz w:val="16"/>
                <w:szCs w:val="16"/>
              </w:rPr>
              <w:t>258</w:t>
            </w:r>
          </w:p>
        </w:tc>
        <w:tc>
          <w:tcPr>
            <w:tcW w:w="1276" w:type="dxa"/>
            <w:tcBorders>
              <w:top w:val="nil"/>
              <w:left w:val="nil"/>
              <w:bottom w:val="nil"/>
              <w:right w:val="nil"/>
            </w:tcBorders>
            <w:shd w:val="clear" w:color="000000" w:fill="FDE9D9"/>
            <w:noWrap/>
            <w:vAlign w:val="bottom"/>
          </w:tcPr>
          <w:p w:rsidR="00803212" w:rsidRPr="00EB5C43" w:rsidRDefault="00803212" w:rsidP="00EB5C43">
            <w:pPr>
              <w:widowControl/>
              <w:jc w:val="center"/>
              <w:rPr>
                <w:rFonts w:ascii="宋体" w:cs="宋体"/>
                <w:color w:val="000000"/>
                <w:kern w:val="0"/>
                <w:sz w:val="16"/>
                <w:szCs w:val="16"/>
              </w:rPr>
            </w:pPr>
            <w:r w:rsidRPr="00EB5C43">
              <w:rPr>
                <w:rFonts w:ascii="宋体" w:hAnsi="宋体" w:cs="宋体"/>
                <w:color w:val="000000"/>
                <w:kern w:val="0"/>
                <w:sz w:val="16"/>
                <w:szCs w:val="16"/>
              </w:rPr>
              <w:t xml:space="preserve">10.48 </w:t>
            </w:r>
          </w:p>
        </w:tc>
        <w:tc>
          <w:tcPr>
            <w:tcW w:w="1378" w:type="dxa"/>
            <w:tcBorders>
              <w:top w:val="nil"/>
              <w:left w:val="nil"/>
              <w:bottom w:val="nil"/>
              <w:right w:val="nil"/>
            </w:tcBorders>
            <w:shd w:val="clear" w:color="000000" w:fill="FDE9D9"/>
            <w:noWrap/>
            <w:vAlign w:val="bottom"/>
          </w:tcPr>
          <w:p w:rsidR="00803212" w:rsidRPr="00EB5C43" w:rsidRDefault="00803212" w:rsidP="00EB5C43">
            <w:pPr>
              <w:widowControl/>
              <w:jc w:val="center"/>
              <w:rPr>
                <w:rFonts w:ascii="宋体" w:cs="宋体"/>
                <w:color w:val="000000"/>
                <w:kern w:val="0"/>
                <w:sz w:val="16"/>
                <w:szCs w:val="16"/>
              </w:rPr>
            </w:pPr>
            <w:r w:rsidRPr="00EB5C43">
              <w:rPr>
                <w:rFonts w:ascii="宋体" w:hAnsi="宋体" w:cs="宋体"/>
                <w:color w:val="000000"/>
                <w:kern w:val="0"/>
                <w:sz w:val="16"/>
                <w:szCs w:val="16"/>
              </w:rPr>
              <w:t>241</w:t>
            </w:r>
          </w:p>
        </w:tc>
      </w:tr>
      <w:tr w:rsidR="00803212" w:rsidRPr="00C41721" w:rsidTr="00EB5C43">
        <w:trPr>
          <w:trHeight w:val="330"/>
        </w:trPr>
        <w:tc>
          <w:tcPr>
            <w:tcW w:w="1761" w:type="dxa"/>
            <w:tcBorders>
              <w:top w:val="nil"/>
              <w:left w:val="nil"/>
              <w:bottom w:val="nil"/>
              <w:right w:val="nil"/>
            </w:tcBorders>
            <w:noWrap/>
            <w:vAlign w:val="bottom"/>
          </w:tcPr>
          <w:p w:rsidR="00803212" w:rsidRPr="00EB5C43" w:rsidRDefault="00803212" w:rsidP="00EB5C43">
            <w:pPr>
              <w:widowControl/>
              <w:jc w:val="left"/>
              <w:rPr>
                <w:rFonts w:ascii="宋体" w:cs="宋体"/>
                <w:color w:val="000000"/>
                <w:kern w:val="0"/>
                <w:sz w:val="16"/>
                <w:szCs w:val="16"/>
              </w:rPr>
            </w:pPr>
            <w:r w:rsidRPr="00EB5C43">
              <w:rPr>
                <w:rFonts w:ascii="宋体" w:hAnsi="宋体" w:cs="宋体" w:hint="eastAsia"/>
                <w:color w:val="000000"/>
                <w:kern w:val="0"/>
                <w:sz w:val="16"/>
                <w:szCs w:val="16"/>
              </w:rPr>
              <w:t>混合型</w:t>
            </w:r>
          </w:p>
        </w:tc>
        <w:tc>
          <w:tcPr>
            <w:tcW w:w="1276" w:type="dxa"/>
            <w:tcBorders>
              <w:top w:val="nil"/>
              <w:left w:val="nil"/>
              <w:bottom w:val="nil"/>
              <w:right w:val="nil"/>
            </w:tcBorders>
            <w:noWrap/>
            <w:vAlign w:val="bottom"/>
          </w:tcPr>
          <w:p w:rsidR="00803212" w:rsidRPr="00EB5C43" w:rsidRDefault="00803212" w:rsidP="00EB5C43">
            <w:pPr>
              <w:widowControl/>
              <w:jc w:val="center"/>
              <w:rPr>
                <w:rFonts w:ascii="宋体" w:cs="宋体"/>
                <w:color w:val="000000"/>
                <w:kern w:val="0"/>
                <w:sz w:val="16"/>
                <w:szCs w:val="16"/>
              </w:rPr>
            </w:pPr>
            <w:r w:rsidRPr="00EB5C43">
              <w:rPr>
                <w:rFonts w:ascii="宋体" w:hAnsi="宋体" w:cs="宋体"/>
                <w:color w:val="000000"/>
                <w:kern w:val="0"/>
                <w:sz w:val="16"/>
                <w:szCs w:val="16"/>
              </w:rPr>
              <w:t xml:space="preserve">10.41 </w:t>
            </w:r>
          </w:p>
        </w:tc>
        <w:tc>
          <w:tcPr>
            <w:tcW w:w="1139" w:type="dxa"/>
            <w:tcBorders>
              <w:top w:val="nil"/>
              <w:left w:val="nil"/>
              <w:bottom w:val="nil"/>
              <w:right w:val="nil"/>
            </w:tcBorders>
            <w:noWrap/>
            <w:vAlign w:val="bottom"/>
          </w:tcPr>
          <w:p w:rsidR="00803212" w:rsidRPr="00EB5C43" w:rsidRDefault="00803212" w:rsidP="00EB5C43">
            <w:pPr>
              <w:widowControl/>
              <w:jc w:val="center"/>
              <w:rPr>
                <w:rFonts w:ascii="宋体" w:cs="宋体"/>
                <w:color w:val="000000"/>
                <w:kern w:val="0"/>
                <w:sz w:val="16"/>
                <w:szCs w:val="16"/>
              </w:rPr>
            </w:pPr>
            <w:r w:rsidRPr="00EB5C43">
              <w:rPr>
                <w:rFonts w:ascii="宋体" w:hAnsi="宋体" w:cs="宋体"/>
                <w:color w:val="000000"/>
                <w:kern w:val="0"/>
                <w:sz w:val="16"/>
                <w:szCs w:val="16"/>
              </w:rPr>
              <w:t>297</w:t>
            </w:r>
          </w:p>
        </w:tc>
        <w:tc>
          <w:tcPr>
            <w:tcW w:w="1276" w:type="dxa"/>
            <w:tcBorders>
              <w:top w:val="nil"/>
              <w:left w:val="nil"/>
              <w:bottom w:val="nil"/>
              <w:right w:val="nil"/>
            </w:tcBorders>
            <w:noWrap/>
            <w:vAlign w:val="bottom"/>
          </w:tcPr>
          <w:p w:rsidR="00803212" w:rsidRPr="00EB5C43" w:rsidRDefault="00803212" w:rsidP="00EB5C43">
            <w:pPr>
              <w:widowControl/>
              <w:jc w:val="center"/>
              <w:rPr>
                <w:rFonts w:ascii="宋体" w:cs="宋体"/>
                <w:color w:val="000000"/>
                <w:kern w:val="0"/>
                <w:sz w:val="16"/>
                <w:szCs w:val="16"/>
              </w:rPr>
            </w:pPr>
            <w:r w:rsidRPr="00EB5C43">
              <w:rPr>
                <w:rFonts w:ascii="宋体" w:hAnsi="宋体" w:cs="宋体"/>
                <w:color w:val="000000"/>
                <w:kern w:val="0"/>
                <w:sz w:val="16"/>
                <w:szCs w:val="16"/>
              </w:rPr>
              <w:t xml:space="preserve">8.51 </w:t>
            </w:r>
          </w:p>
        </w:tc>
        <w:tc>
          <w:tcPr>
            <w:tcW w:w="1378" w:type="dxa"/>
            <w:tcBorders>
              <w:top w:val="nil"/>
              <w:left w:val="nil"/>
              <w:bottom w:val="nil"/>
              <w:right w:val="nil"/>
            </w:tcBorders>
            <w:noWrap/>
            <w:vAlign w:val="bottom"/>
          </w:tcPr>
          <w:p w:rsidR="00803212" w:rsidRPr="00EB5C43" w:rsidRDefault="00803212" w:rsidP="00EB5C43">
            <w:pPr>
              <w:widowControl/>
              <w:jc w:val="center"/>
              <w:rPr>
                <w:rFonts w:ascii="宋体" w:cs="宋体"/>
                <w:color w:val="000000"/>
                <w:kern w:val="0"/>
                <w:sz w:val="16"/>
                <w:szCs w:val="16"/>
              </w:rPr>
            </w:pPr>
            <w:r w:rsidRPr="00EB5C43">
              <w:rPr>
                <w:rFonts w:ascii="宋体" w:hAnsi="宋体" w:cs="宋体"/>
                <w:color w:val="000000"/>
                <w:kern w:val="0"/>
                <w:sz w:val="16"/>
                <w:szCs w:val="16"/>
              </w:rPr>
              <w:t>238</w:t>
            </w:r>
          </w:p>
        </w:tc>
      </w:tr>
      <w:tr w:rsidR="00803212" w:rsidRPr="00C41721" w:rsidTr="00EB5C43">
        <w:trPr>
          <w:trHeight w:val="270"/>
        </w:trPr>
        <w:tc>
          <w:tcPr>
            <w:tcW w:w="1761" w:type="dxa"/>
            <w:tcBorders>
              <w:top w:val="nil"/>
              <w:left w:val="nil"/>
              <w:bottom w:val="nil"/>
              <w:right w:val="nil"/>
            </w:tcBorders>
            <w:noWrap/>
            <w:vAlign w:val="bottom"/>
          </w:tcPr>
          <w:p w:rsidR="00803212" w:rsidRPr="00EB5C43" w:rsidRDefault="00803212" w:rsidP="00EB5C43">
            <w:pPr>
              <w:widowControl/>
              <w:jc w:val="left"/>
              <w:rPr>
                <w:rFonts w:ascii="宋体" w:cs="宋体"/>
                <w:color w:val="000000"/>
                <w:kern w:val="0"/>
                <w:sz w:val="16"/>
                <w:szCs w:val="16"/>
              </w:rPr>
            </w:pPr>
            <w:r w:rsidRPr="00EB5C43">
              <w:rPr>
                <w:rFonts w:ascii="宋体" w:hAnsi="宋体" w:cs="宋体" w:hint="eastAsia"/>
                <w:color w:val="000000"/>
                <w:kern w:val="0"/>
                <w:sz w:val="16"/>
                <w:szCs w:val="16"/>
              </w:rPr>
              <w:t>商品基金</w:t>
            </w:r>
          </w:p>
        </w:tc>
        <w:tc>
          <w:tcPr>
            <w:tcW w:w="1276" w:type="dxa"/>
            <w:tcBorders>
              <w:top w:val="nil"/>
              <w:left w:val="nil"/>
              <w:bottom w:val="nil"/>
              <w:right w:val="nil"/>
            </w:tcBorders>
            <w:noWrap/>
            <w:vAlign w:val="bottom"/>
          </w:tcPr>
          <w:p w:rsidR="00803212" w:rsidRPr="00EB5C43" w:rsidRDefault="00803212" w:rsidP="00EB5C43">
            <w:pPr>
              <w:widowControl/>
              <w:jc w:val="center"/>
              <w:rPr>
                <w:rFonts w:ascii="宋体" w:cs="宋体"/>
                <w:color w:val="000000"/>
                <w:kern w:val="0"/>
                <w:sz w:val="16"/>
                <w:szCs w:val="16"/>
              </w:rPr>
            </w:pPr>
            <w:r w:rsidRPr="00EB5C43">
              <w:rPr>
                <w:rFonts w:ascii="宋体" w:hAnsi="宋体" w:cs="宋体"/>
                <w:color w:val="000000"/>
                <w:kern w:val="0"/>
                <w:sz w:val="16"/>
                <w:szCs w:val="16"/>
              </w:rPr>
              <w:t xml:space="preserve">-7.61 </w:t>
            </w:r>
          </w:p>
        </w:tc>
        <w:tc>
          <w:tcPr>
            <w:tcW w:w="1139" w:type="dxa"/>
            <w:tcBorders>
              <w:top w:val="nil"/>
              <w:left w:val="nil"/>
              <w:bottom w:val="nil"/>
              <w:right w:val="nil"/>
            </w:tcBorders>
            <w:noWrap/>
            <w:vAlign w:val="bottom"/>
          </w:tcPr>
          <w:p w:rsidR="00803212" w:rsidRPr="00EB5C43" w:rsidRDefault="00803212" w:rsidP="00EB5C43">
            <w:pPr>
              <w:widowControl/>
              <w:jc w:val="center"/>
              <w:rPr>
                <w:rFonts w:ascii="宋体" w:cs="宋体"/>
                <w:color w:val="000000"/>
                <w:kern w:val="0"/>
                <w:sz w:val="16"/>
                <w:szCs w:val="16"/>
              </w:rPr>
            </w:pPr>
            <w:r w:rsidRPr="00EB5C43">
              <w:rPr>
                <w:rFonts w:ascii="宋体" w:hAnsi="宋体" w:cs="宋体"/>
                <w:color w:val="000000"/>
                <w:kern w:val="0"/>
                <w:sz w:val="16"/>
                <w:szCs w:val="16"/>
              </w:rPr>
              <w:t>5</w:t>
            </w:r>
          </w:p>
        </w:tc>
        <w:tc>
          <w:tcPr>
            <w:tcW w:w="1276" w:type="dxa"/>
            <w:tcBorders>
              <w:top w:val="nil"/>
              <w:left w:val="nil"/>
              <w:bottom w:val="nil"/>
              <w:right w:val="nil"/>
            </w:tcBorders>
            <w:noWrap/>
            <w:vAlign w:val="bottom"/>
          </w:tcPr>
          <w:p w:rsidR="00803212" w:rsidRPr="00EB5C43" w:rsidRDefault="00803212" w:rsidP="00EB5C43">
            <w:pPr>
              <w:widowControl/>
              <w:jc w:val="center"/>
              <w:rPr>
                <w:rFonts w:ascii="宋体" w:cs="宋体"/>
                <w:color w:val="000000"/>
                <w:kern w:val="0"/>
                <w:sz w:val="16"/>
                <w:szCs w:val="16"/>
              </w:rPr>
            </w:pPr>
            <w:r w:rsidRPr="00EB5C43">
              <w:rPr>
                <w:rFonts w:ascii="宋体" w:hAnsi="宋体" w:cs="宋体"/>
                <w:color w:val="000000"/>
                <w:kern w:val="0"/>
                <w:sz w:val="16"/>
                <w:szCs w:val="16"/>
              </w:rPr>
              <w:t xml:space="preserve">1.93 </w:t>
            </w:r>
          </w:p>
        </w:tc>
        <w:tc>
          <w:tcPr>
            <w:tcW w:w="1378" w:type="dxa"/>
            <w:tcBorders>
              <w:top w:val="nil"/>
              <w:left w:val="nil"/>
              <w:bottom w:val="nil"/>
              <w:right w:val="nil"/>
            </w:tcBorders>
            <w:noWrap/>
            <w:vAlign w:val="bottom"/>
          </w:tcPr>
          <w:p w:rsidR="00803212" w:rsidRPr="00EB5C43" w:rsidRDefault="00803212" w:rsidP="00EB5C43">
            <w:pPr>
              <w:widowControl/>
              <w:jc w:val="center"/>
              <w:rPr>
                <w:rFonts w:ascii="宋体" w:cs="宋体"/>
                <w:color w:val="000000"/>
                <w:kern w:val="0"/>
                <w:sz w:val="16"/>
                <w:szCs w:val="16"/>
              </w:rPr>
            </w:pPr>
            <w:r w:rsidRPr="00EB5C43">
              <w:rPr>
                <w:rFonts w:ascii="宋体" w:hAnsi="宋体" w:cs="宋体"/>
                <w:color w:val="000000"/>
                <w:kern w:val="0"/>
                <w:sz w:val="16"/>
                <w:szCs w:val="16"/>
              </w:rPr>
              <w:t>5</w:t>
            </w:r>
          </w:p>
        </w:tc>
      </w:tr>
      <w:tr w:rsidR="00803212" w:rsidRPr="00C41721" w:rsidTr="00EB5C43">
        <w:trPr>
          <w:trHeight w:val="270"/>
        </w:trPr>
        <w:tc>
          <w:tcPr>
            <w:tcW w:w="1761" w:type="dxa"/>
            <w:tcBorders>
              <w:top w:val="nil"/>
              <w:left w:val="nil"/>
              <w:bottom w:val="nil"/>
              <w:right w:val="nil"/>
            </w:tcBorders>
            <w:noWrap/>
            <w:vAlign w:val="bottom"/>
          </w:tcPr>
          <w:p w:rsidR="00803212" w:rsidRPr="00EB5C43" w:rsidRDefault="00803212" w:rsidP="00EB5C43">
            <w:pPr>
              <w:widowControl/>
              <w:jc w:val="left"/>
              <w:rPr>
                <w:rFonts w:ascii="宋体" w:cs="宋体"/>
                <w:color w:val="000000"/>
                <w:kern w:val="0"/>
                <w:sz w:val="16"/>
                <w:szCs w:val="16"/>
              </w:rPr>
            </w:pPr>
            <w:r w:rsidRPr="00EB5C43">
              <w:rPr>
                <w:rFonts w:ascii="宋体" w:hAnsi="宋体" w:cs="宋体" w:hint="eastAsia"/>
                <w:color w:val="000000"/>
                <w:kern w:val="0"/>
                <w:sz w:val="16"/>
                <w:szCs w:val="16"/>
              </w:rPr>
              <w:t>保本型</w:t>
            </w:r>
          </w:p>
        </w:tc>
        <w:tc>
          <w:tcPr>
            <w:tcW w:w="1276" w:type="dxa"/>
            <w:tcBorders>
              <w:top w:val="nil"/>
              <w:left w:val="nil"/>
              <w:bottom w:val="nil"/>
              <w:right w:val="nil"/>
            </w:tcBorders>
            <w:noWrap/>
            <w:vAlign w:val="bottom"/>
          </w:tcPr>
          <w:p w:rsidR="00803212" w:rsidRPr="00EB5C43" w:rsidRDefault="00803212" w:rsidP="00EB5C43">
            <w:pPr>
              <w:widowControl/>
              <w:jc w:val="center"/>
              <w:rPr>
                <w:rFonts w:ascii="宋体" w:cs="宋体"/>
                <w:color w:val="000000"/>
                <w:kern w:val="0"/>
                <w:sz w:val="16"/>
                <w:szCs w:val="16"/>
              </w:rPr>
            </w:pPr>
            <w:r w:rsidRPr="00EB5C43">
              <w:rPr>
                <w:rFonts w:ascii="宋体" w:hAnsi="宋体" w:cs="宋体"/>
                <w:color w:val="000000"/>
                <w:kern w:val="0"/>
                <w:sz w:val="16"/>
                <w:szCs w:val="16"/>
              </w:rPr>
              <w:t xml:space="preserve">3.90 </w:t>
            </w:r>
          </w:p>
        </w:tc>
        <w:tc>
          <w:tcPr>
            <w:tcW w:w="1139" w:type="dxa"/>
            <w:tcBorders>
              <w:top w:val="nil"/>
              <w:left w:val="nil"/>
              <w:bottom w:val="nil"/>
              <w:right w:val="nil"/>
            </w:tcBorders>
            <w:noWrap/>
            <w:vAlign w:val="bottom"/>
          </w:tcPr>
          <w:p w:rsidR="00803212" w:rsidRPr="00EB5C43" w:rsidRDefault="00803212" w:rsidP="00EB5C43">
            <w:pPr>
              <w:widowControl/>
              <w:jc w:val="center"/>
              <w:rPr>
                <w:rFonts w:ascii="宋体" w:cs="宋体"/>
                <w:color w:val="000000"/>
                <w:kern w:val="0"/>
                <w:sz w:val="16"/>
                <w:szCs w:val="16"/>
              </w:rPr>
            </w:pPr>
            <w:r w:rsidRPr="00EB5C43">
              <w:rPr>
                <w:rFonts w:ascii="宋体" w:hAnsi="宋体" w:cs="宋体"/>
                <w:color w:val="000000"/>
                <w:kern w:val="0"/>
                <w:sz w:val="16"/>
                <w:szCs w:val="16"/>
              </w:rPr>
              <w:t>51</w:t>
            </w:r>
          </w:p>
        </w:tc>
        <w:tc>
          <w:tcPr>
            <w:tcW w:w="1276" w:type="dxa"/>
            <w:tcBorders>
              <w:top w:val="nil"/>
              <w:left w:val="nil"/>
              <w:bottom w:val="nil"/>
              <w:right w:val="nil"/>
            </w:tcBorders>
            <w:noWrap/>
            <w:vAlign w:val="bottom"/>
          </w:tcPr>
          <w:p w:rsidR="00803212" w:rsidRPr="00EB5C43" w:rsidRDefault="00803212" w:rsidP="00EB5C43">
            <w:pPr>
              <w:widowControl/>
              <w:jc w:val="center"/>
              <w:rPr>
                <w:rFonts w:ascii="宋体" w:cs="宋体"/>
                <w:color w:val="000000"/>
                <w:kern w:val="0"/>
                <w:sz w:val="16"/>
                <w:szCs w:val="16"/>
              </w:rPr>
            </w:pPr>
            <w:r w:rsidRPr="00EB5C43">
              <w:rPr>
                <w:rFonts w:ascii="宋体" w:hAnsi="宋体" w:cs="宋体"/>
                <w:color w:val="000000"/>
                <w:kern w:val="0"/>
                <w:sz w:val="16"/>
                <w:szCs w:val="16"/>
              </w:rPr>
              <w:t xml:space="preserve">9.60 </w:t>
            </w:r>
          </w:p>
        </w:tc>
        <w:tc>
          <w:tcPr>
            <w:tcW w:w="1378" w:type="dxa"/>
            <w:tcBorders>
              <w:top w:val="nil"/>
              <w:left w:val="nil"/>
              <w:bottom w:val="nil"/>
              <w:right w:val="nil"/>
            </w:tcBorders>
            <w:noWrap/>
            <w:vAlign w:val="bottom"/>
          </w:tcPr>
          <w:p w:rsidR="00803212" w:rsidRPr="00EB5C43" w:rsidRDefault="00803212" w:rsidP="00EB5C43">
            <w:pPr>
              <w:widowControl/>
              <w:jc w:val="center"/>
              <w:rPr>
                <w:rFonts w:ascii="宋体" w:cs="宋体"/>
                <w:color w:val="000000"/>
                <w:kern w:val="0"/>
                <w:sz w:val="16"/>
                <w:szCs w:val="16"/>
              </w:rPr>
            </w:pPr>
            <w:r w:rsidRPr="00EB5C43">
              <w:rPr>
                <w:rFonts w:ascii="宋体" w:hAnsi="宋体" w:cs="宋体"/>
                <w:color w:val="000000"/>
                <w:kern w:val="0"/>
                <w:sz w:val="16"/>
                <w:szCs w:val="16"/>
              </w:rPr>
              <w:t>41</w:t>
            </w:r>
          </w:p>
        </w:tc>
      </w:tr>
      <w:tr w:rsidR="00803212" w:rsidRPr="00C41721" w:rsidTr="00EB5C43">
        <w:trPr>
          <w:trHeight w:val="270"/>
        </w:trPr>
        <w:tc>
          <w:tcPr>
            <w:tcW w:w="1761" w:type="dxa"/>
            <w:tcBorders>
              <w:top w:val="nil"/>
              <w:left w:val="nil"/>
              <w:bottom w:val="nil"/>
              <w:right w:val="nil"/>
            </w:tcBorders>
            <w:noWrap/>
            <w:vAlign w:val="bottom"/>
          </w:tcPr>
          <w:p w:rsidR="00803212" w:rsidRPr="00EB5C43" w:rsidRDefault="00803212" w:rsidP="00EB5C43">
            <w:pPr>
              <w:widowControl/>
              <w:jc w:val="left"/>
              <w:rPr>
                <w:rFonts w:ascii="宋体" w:cs="宋体"/>
                <w:color w:val="000000"/>
                <w:kern w:val="0"/>
                <w:sz w:val="16"/>
                <w:szCs w:val="16"/>
              </w:rPr>
            </w:pPr>
            <w:r w:rsidRPr="00EB5C43">
              <w:rPr>
                <w:rFonts w:ascii="宋体" w:hAnsi="宋体" w:cs="宋体" w:hint="eastAsia"/>
                <w:color w:val="000000"/>
                <w:kern w:val="0"/>
                <w:sz w:val="16"/>
                <w:szCs w:val="16"/>
              </w:rPr>
              <w:t>债券型</w:t>
            </w:r>
          </w:p>
        </w:tc>
        <w:tc>
          <w:tcPr>
            <w:tcW w:w="1276" w:type="dxa"/>
            <w:tcBorders>
              <w:top w:val="nil"/>
              <w:left w:val="nil"/>
              <w:bottom w:val="nil"/>
              <w:right w:val="nil"/>
            </w:tcBorders>
            <w:noWrap/>
            <w:vAlign w:val="bottom"/>
          </w:tcPr>
          <w:p w:rsidR="00803212" w:rsidRPr="00EB5C43" w:rsidRDefault="00803212" w:rsidP="00EB5C43">
            <w:pPr>
              <w:widowControl/>
              <w:jc w:val="center"/>
              <w:rPr>
                <w:rFonts w:ascii="宋体" w:cs="宋体"/>
                <w:color w:val="000000"/>
                <w:kern w:val="0"/>
                <w:sz w:val="16"/>
                <w:szCs w:val="16"/>
              </w:rPr>
            </w:pPr>
            <w:r w:rsidRPr="00EB5C43">
              <w:rPr>
                <w:rFonts w:ascii="宋体" w:hAnsi="宋体" w:cs="宋体"/>
                <w:color w:val="000000"/>
                <w:kern w:val="0"/>
                <w:sz w:val="16"/>
                <w:szCs w:val="16"/>
              </w:rPr>
              <w:t xml:space="preserve">3.92 </w:t>
            </w:r>
          </w:p>
        </w:tc>
        <w:tc>
          <w:tcPr>
            <w:tcW w:w="1139" w:type="dxa"/>
            <w:tcBorders>
              <w:top w:val="nil"/>
              <w:left w:val="nil"/>
              <w:bottom w:val="nil"/>
              <w:right w:val="nil"/>
            </w:tcBorders>
            <w:noWrap/>
            <w:vAlign w:val="bottom"/>
          </w:tcPr>
          <w:p w:rsidR="00803212" w:rsidRPr="00EB5C43" w:rsidRDefault="00803212" w:rsidP="00EB5C43">
            <w:pPr>
              <w:widowControl/>
              <w:jc w:val="center"/>
              <w:rPr>
                <w:rFonts w:ascii="宋体" w:cs="宋体"/>
                <w:color w:val="000000"/>
                <w:kern w:val="0"/>
                <w:sz w:val="16"/>
                <w:szCs w:val="16"/>
              </w:rPr>
            </w:pPr>
            <w:r w:rsidRPr="00EB5C43">
              <w:rPr>
                <w:rFonts w:ascii="宋体" w:hAnsi="宋体" w:cs="宋体"/>
                <w:color w:val="000000"/>
                <w:kern w:val="0"/>
                <w:sz w:val="16"/>
                <w:szCs w:val="16"/>
              </w:rPr>
              <w:t>615</w:t>
            </w:r>
          </w:p>
        </w:tc>
        <w:tc>
          <w:tcPr>
            <w:tcW w:w="1276" w:type="dxa"/>
            <w:tcBorders>
              <w:top w:val="nil"/>
              <w:left w:val="nil"/>
              <w:bottom w:val="nil"/>
              <w:right w:val="nil"/>
            </w:tcBorders>
            <w:noWrap/>
            <w:vAlign w:val="bottom"/>
          </w:tcPr>
          <w:p w:rsidR="00803212" w:rsidRPr="00EB5C43" w:rsidRDefault="00803212" w:rsidP="00EB5C43">
            <w:pPr>
              <w:widowControl/>
              <w:jc w:val="center"/>
              <w:rPr>
                <w:rFonts w:ascii="宋体" w:cs="宋体"/>
                <w:color w:val="000000"/>
                <w:kern w:val="0"/>
                <w:sz w:val="16"/>
                <w:szCs w:val="16"/>
              </w:rPr>
            </w:pPr>
            <w:r w:rsidRPr="00EB5C43">
              <w:rPr>
                <w:rFonts w:ascii="宋体" w:hAnsi="宋体" w:cs="宋体"/>
                <w:color w:val="000000"/>
                <w:kern w:val="0"/>
                <w:sz w:val="16"/>
                <w:szCs w:val="16"/>
              </w:rPr>
              <w:t xml:space="preserve">9.51 </w:t>
            </w:r>
          </w:p>
        </w:tc>
        <w:tc>
          <w:tcPr>
            <w:tcW w:w="1378" w:type="dxa"/>
            <w:tcBorders>
              <w:top w:val="nil"/>
              <w:left w:val="nil"/>
              <w:bottom w:val="nil"/>
              <w:right w:val="nil"/>
            </w:tcBorders>
            <w:noWrap/>
            <w:vAlign w:val="bottom"/>
          </w:tcPr>
          <w:p w:rsidR="00803212" w:rsidRPr="00EB5C43" w:rsidRDefault="00803212" w:rsidP="00EB5C43">
            <w:pPr>
              <w:widowControl/>
              <w:jc w:val="center"/>
              <w:rPr>
                <w:rFonts w:ascii="宋体" w:cs="宋体"/>
                <w:color w:val="000000"/>
                <w:kern w:val="0"/>
                <w:sz w:val="16"/>
                <w:szCs w:val="16"/>
              </w:rPr>
            </w:pPr>
            <w:r w:rsidRPr="00EB5C43">
              <w:rPr>
                <w:rFonts w:ascii="宋体" w:hAnsi="宋体" w:cs="宋体"/>
                <w:color w:val="000000"/>
                <w:kern w:val="0"/>
                <w:sz w:val="16"/>
                <w:szCs w:val="16"/>
              </w:rPr>
              <w:t>565</w:t>
            </w:r>
          </w:p>
        </w:tc>
      </w:tr>
      <w:tr w:rsidR="00803212" w:rsidRPr="00C41721" w:rsidTr="00EB5C43">
        <w:trPr>
          <w:trHeight w:val="270"/>
        </w:trPr>
        <w:tc>
          <w:tcPr>
            <w:tcW w:w="1761" w:type="dxa"/>
            <w:tcBorders>
              <w:top w:val="nil"/>
              <w:left w:val="nil"/>
              <w:bottom w:val="nil"/>
              <w:right w:val="nil"/>
            </w:tcBorders>
            <w:shd w:val="clear" w:color="000000" w:fill="FDE9D9"/>
            <w:noWrap/>
            <w:vAlign w:val="bottom"/>
          </w:tcPr>
          <w:p w:rsidR="00803212" w:rsidRPr="00EB5C43" w:rsidRDefault="00803212" w:rsidP="00EB5C43">
            <w:pPr>
              <w:widowControl/>
              <w:jc w:val="left"/>
              <w:rPr>
                <w:rFonts w:ascii="宋体" w:cs="宋体"/>
                <w:color w:val="000000"/>
                <w:kern w:val="0"/>
                <w:sz w:val="16"/>
                <w:szCs w:val="16"/>
              </w:rPr>
            </w:pPr>
            <w:r w:rsidRPr="00EB5C43">
              <w:rPr>
                <w:rFonts w:ascii="宋体" w:hAnsi="宋体" w:cs="宋体"/>
                <w:color w:val="000000"/>
                <w:kern w:val="0"/>
                <w:sz w:val="16"/>
                <w:szCs w:val="16"/>
              </w:rPr>
              <w:t xml:space="preserve">  </w:t>
            </w:r>
            <w:r w:rsidRPr="00EB5C43">
              <w:rPr>
                <w:rFonts w:ascii="宋体" w:hAnsi="宋体" w:cs="宋体" w:hint="eastAsia"/>
                <w:color w:val="000000"/>
                <w:kern w:val="0"/>
                <w:sz w:val="16"/>
                <w:szCs w:val="16"/>
              </w:rPr>
              <w:t>纯债型</w:t>
            </w:r>
          </w:p>
        </w:tc>
        <w:tc>
          <w:tcPr>
            <w:tcW w:w="1276" w:type="dxa"/>
            <w:tcBorders>
              <w:top w:val="nil"/>
              <w:left w:val="nil"/>
              <w:bottom w:val="nil"/>
              <w:right w:val="nil"/>
            </w:tcBorders>
            <w:shd w:val="clear" w:color="000000" w:fill="FDE9D9"/>
            <w:noWrap/>
            <w:vAlign w:val="bottom"/>
          </w:tcPr>
          <w:p w:rsidR="00803212" w:rsidRPr="00EB5C43" w:rsidRDefault="00803212" w:rsidP="00EB5C43">
            <w:pPr>
              <w:widowControl/>
              <w:jc w:val="center"/>
              <w:rPr>
                <w:rFonts w:ascii="宋体" w:cs="宋体"/>
                <w:color w:val="000000"/>
                <w:kern w:val="0"/>
                <w:sz w:val="16"/>
                <w:szCs w:val="16"/>
              </w:rPr>
            </w:pPr>
            <w:r w:rsidRPr="00EB5C43">
              <w:rPr>
                <w:rFonts w:ascii="宋体" w:hAnsi="宋体" w:cs="宋体"/>
                <w:color w:val="000000"/>
                <w:kern w:val="0"/>
                <w:sz w:val="16"/>
                <w:szCs w:val="16"/>
              </w:rPr>
              <w:t xml:space="preserve">3.17 </w:t>
            </w:r>
          </w:p>
        </w:tc>
        <w:tc>
          <w:tcPr>
            <w:tcW w:w="1139" w:type="dxa"/>
            <w:tcBorders>
              <w:top w:val="nil"/>
              <w:left w:val="nil"/>
              <w:bottom w:val="nil"/>
              <w:right w:val="nil"/>
            </w:tcBorders>
            <w:shd w:val="clear" w:color="000000" w:fill="FDE9D9"/>
            <w:noWrap/>
            <w:vAlign w:val="bottom"/>
          </w:tcPr>
          <w:p w:rsidR="00803212" w:rsidRPr="00EB5C43" w:rsidRDefault="00803212" w:rsidP="00EB5C43">
            <w:pPr>
              <w:widowControl/>
              <w:jc w:val="center"/>
              <w:rPr>
                <w:rFonts w:ascii="宋体" w:cs="宋体"/>
                <w:color w:val="000000"/>
                <w:kern w:val="0"/>
                <w:sz w:val="16"/>
                <w:szCs w:val="16"/>
              </w:rPr>
            </w:pPr>
            <w:r w:rsidRPr="00EB5C43">
              <w:rPr>
                <w:rFonts w:ascii="宋体" w:hAnsi="宋体" w:cs="宋体"/>
                <w:color w:val="000000"/>
                <w:kern w:val="0"/>
                <w:sz w:val="16"/>
                <w:szCs w:val="16"/>
              </w:rPr>
              <w:t>240</w:t>
            </w:r>
          </w:p>
        </w:tc>
        <w:tc>
          <w:tcPr>
            <w:tcW w:w="1276" w:type="dxa"/>
            <w:tcBorders>
              <w:top w:val="nil"/>
              <w:left w:val="nil"/>
              <w:bottom w:val="nil"/>
              <w:right w:val="nil"/>
            </w:tcBorders>
            <w:shd w:val="clear" w:color="000000" w:fill="FDE9D9"/>
            <w:noWrap/>
            <w:vAlign w:val="bottom"/>
          </w:tcPr>
          <w:p w:rsidR="00803212" w:rsidRPr="00EB5C43" w:rsidRDefault="00803212" w:rsidP="00EB5C43">
            <w:pPr>
              <w:widowControl/>
              <w:jc w:val="center"/>
              <w:rPr>
                <w:rFonts w:ascii="宋体" w:cs="宋体"/>
                <w:color w:val="000000"/>
                <w:kern w:val="0"/>
                <w:sz w:val="16"/>
                <w:szCs w:val="16"/>
              </w:rPr>
            </w:pPr>
            <w:r w:rsidRPr="00EB5C43">
              <w:rPr>
                <w:rFonts w:ascii="宋体" w:hAnsi="宋体" w:cs="宋体"/>
                <w:color w:val="000000"/>
                <w:kern w:val="0"/>
                <w:sz w:val="16"/>
                <w:szCs w:val="16"/>
              </w:rPr>
              <w:t xml:space="preserve">8.80 </w:t>
            </w:r>
          </w:p>
        </w:tc>
        <w:tc>
          <w:tcPr>
            <w:tcW w:w="1378" w:type="dxa"/>
            <w:tcBorders>
              <w:top w:val="nil"/>
              <w:left w:val="nil"/>
              <w:bottom w:val="nil"/>
              <w:right w:val="nil"/>
            </w:tcBorders>
            <w:shd w:val="clear" w:color="000000" w:fill="FDE9D9"/>
            <w:noWrap/>
            <w:vAlign w:val="bottom"/>
          </w:tcPr>
          <w:p w:rsidR="00803212" w:rsidRPr="00EB5C43" w:rsidRDefault="00803212" w:rsidP="00EB5C43">
            <w:pPr>
              <w:widowControl/>
              <w:jc w:val="center"/>
              <w:rPr>
                <w:rFonts w:ascii="宋体" w:cs="宋体"/>
                <w:color w:val="000000"/>
                <w:kern w:val="0"/>
                <w:sz w:val="16"/>
                <w:szCs w:val="16"/>
              </w:rPr>
            </w:pPr>
            <w:r w:rsidRPr="00EB5C43">
              <w:rPr>
                <w:rFonts w:ascii="宋体" w:hAnsi="宋体" w:cs="宋体"/>
                <w:color w:val="000000"/>
                <w:kern w:val="0"/>
                <w:sz w:val="16"/>
                <w:szCs w:val="16"/>
              </w:rPr>
              <w:t>240</w:t>
            </w:r>
          </w:p>
        </w:tc>
      </w:tr>
      <w:tr w:rsidR="00803212" w:rsidRPr="00C41721" w:rsidTr="00EB5C43">
        <w:trPr>
          <w:trHeight w:val="270"/>
        </w:trPr>
        <w:tc>
          <w:tcPr>
            <w:tcW w:w="1761" w:type="dxa"/>
            <w:tcBorders>
              <w:top w:val="nil"/>
              <w:left w:val="nil"/>
              <w:bottom w:val="nil"/>
              <w:right w:val="nil"/>
            </w:tcBorders>
            <w:shd w:val="clear" w:color="000000" w:fill="FDE9D9"/>
            <w:noWrap/>
            <w:vAlign w:val="bottom"/>
          </w:tcPr>
          <w:p w:rsidR="00803212" w:rsidRPr="00EB5C43" w:rsidRDefault="00803212" w:rsidP="00EB5C43">
            <w:pPr>
              <w:widowControl/>
              <w:jc w:val="left"/>
              <w:rPr>
                <w:rFonts w:ascii="宋体" w:cs="宋体"/>
                <w:color w:val="000000"/>
                <w:kern w:val="0"/>
                <w:sz w:val="16"/>
                <w:szCs w:val="16"/>
              </w:rPr>
            </w:pPr>
            <w:r w:rsidRPr="00EB5C43">
              <w:rPr>
                <w:rFonts w:ascii="宋体" w:hAnsi="宋体" w:cs="宋体"/>
                <w:color w:val="000000"/>
                <w:kern w:val="0"/>
                <w:sz w:val="16"/>
                <w:szCs w:val="16"/>
              </w:rPr>
              <w:t xml:space="preserve">  </w:t>
            </w:r>
            <w:r w:rsidRPr="00EB5C43">
              <w:rPr>
                <w:rFonts w:ascii="宋体" w:hAnsi="宋体" w:cs="宋体" w:hint="eastAsia"/>
                <w:color w:val="000000"/>
                <w:kern w:val="0"/>
                <w:sz w:val="16"/>
                <w:szCs w:val="16"/>
              </w:rPr>
              <w:t>一级债基</w:t>
            </w:r>
          </w:p>
        </w:tc>
        <w:tc>
          <w:tcPr>
            <w:tcW w:w="1276" w:type="dxa"/>
            <w:tcBorders>
              <w:top w:val="nil"/>
              <w:left w:val="nil"/>
              <w:bottom w:val="nil"/>
              <w:right w:val="nil"/>
            </w:tcBorders>
            <w:shd w:val="clear" w:color="000000" w:fill="FDE9D9"/>
            <w:noWrap/>
            <w:vAlign w:val="bottom"/>
          </w:tcPr>
          <w:p w:rsidR="00803212" w:rsidRPr="00EB5C43" w:rsidRDefault="00803212" w:rsidP="00EB5C43">
            <w:pPr>
              <w:widowControl/>
              <w:jc w:val="center"/>
              <w:rPr>
                <w:rFonts w:ascii="宋体" w:cs="宋体"/>
                <w:color w:val="000000"/>
                <w:kern w:val="0"/>
                <w:sz w:val="16"/>
                <w:szCs w:val="16"/>
              </w:rPr>
            </w:pPr>
            <w:r w:rsidRPr="00EB5C43">
              <w:rPr>
                <w:rFonts w:ascii="宋体" w:hAnsi="宋体" w:cs="宋体"/>
                <w:color w:val="000000"/>
                <w:kern w:val="0"/>
                <w:sz w:val="16"/>
                <w:szCs w:val="16"/>
              </w:rPr>
              <w:t xml:space="preserve">3.48 </w:t>
            </w:r>
          </w:p>
        </w:tc>
        <w:tc>
          <w:tcPr>
            <w:tcW w:w="1139" w:type="dxa"/>
            <w:tcBorders>
              <w:top w:val="nil"/>
              <w:left w:val="nil"/>
              <w:bottom w:val="nil"/>
              <w:right w:val="nil"/>
            </w:tcBorders>
            <w:shd w:val="clear" w:color="000000" w:fill="FDE9D9"/>
            <w:noWrap/>
            <w:vAlign w:val="bottom"/>
          </w:tcPr>
          <w:p w:rsidR="00803212" w:rsidRPr="00EB5C43" w:rsidRDefault="00803212" w:rsidP="00EB5C43">
            <w:pPr>
              <w:widowControl/>
              <w:jc w:val="center"/>
              <w:rPr>
                <w:rFonts w:ascii="宋体" w:cs="宋体"/>
                <w:color w:val="000000"/>
                <w:kern w:val="0"/>
                <w:sz w:val="16"/>
                <w:szCs w:val="16"/>
              </w:rPr>
            </w:pPr>
            <w:r w:rsidRPr="00EB5C43">
              <w:rPr>
                <w:rFonts w:ascii="宋体" w:hAnsi="宋体" w:cs="宋体"/>
                <w:color w:val="000000"/>
                <w:kern w:val="0"/>
                <w:sz w:val="16"/>
                <w:szCs w:val="16"/>
              </w:rPr>
              <w:t>142</w:t>
            </w:r>
          </w:p>
        </w:tc>
        <w:tc>
          <w:tcPr>
            <w:tcW w:w="1276" w:type="dxa"/>
            <w:tcBorders>
              <w:top w:val="nil"/>
              <w:left w:val="nil"/>
              <w:bottom w:val="nil"/>
              <w:right w:val="nil"/>
            </w:tcBorders>
            <w:shd w:val="clear" w:color="000000" w:fill="FDE9D9"/>
            <w:noWrap/>
            <w:vAlign w:val="bottom"/>
          </w:tcPr>
          <w:p w:rsidR="00803212" w:rsidRPr="00EB5C43" w:rsidRDefault="00803212" w:rsidP="00EB5C43">
            <w:pPr>
              <w:widowControl/>
              <w:jc w:val="center"/>
              <w:rPr>
                <w:rFonts w:ascii="宋体" w:cs="宋体"/>
                <w:color w:val="000000"/>
                <w:kern w:val="0"/>
                <w:sz w:val="16"/>
                <w:szCs w:val="16"/>
              </w:rPr>
            </w:pPr>
            <w:r w:rsidRPr="00EB5C43">
              <w:rPr>
                <w:rFonts w:ascii="宋体" w:hAnsi="宋体" w:cs="宋体"/>
                <w:color w:val="000000"/>
                <w:kern w:val="0"/>
                <w:sz w:val="16"/>
                <w:szCs w:val="16"/>
              </w:rPr>
              <w:t xml:space="preserve">9.07 </w:t>
            </w:r>
          </w:p>
        </w:tc>
        <w:tc>
          <w:tcPr>
            <w:tcW w:w="1378" w:type="dxa"/>
            <w:tcBorders>
              <w:top w:val="nil"/>
              <w:left w:val="nil"/>
              <w:bottom w:val="nil"/>
              <w:right w:val="nil"/>
            </w:tcBorders>
            <w:shd w:val="clear" w:color="000000" w:fill="FDE9D9"/>
            <w:noWrap/>
            <w:vAlign w:val="bottom"/>
          </w:tcPr>
          <w:p w:rsidR="00803212" w:rsidRPr="00EB5C43" w:rsidRDefault="00803212" w:rsidP="00EB5C43">
            <w:pPr>
              <w:widowControl/>
              <w:jc w:val="center"/>
              <w:rPr>
                <w:rFonts w:ascii="宋体" w:cs="宋体"/>
                <w:color w:val="000000"/>
                <w:kern w:val="0"/>
                <w:sz w:val="16"/>
                <w:szCs w:val="16"/>
              </w:rPr>
            </w:pPr>
            <w:r w:rsidRPr="00EB5C43">
              <w:rPr>
                <w:rFonts w:ascii="宋体" w:hAnsi="宋体" w:cs="宋体"/>
                <w:color w:val="000000"/>
                <w:kern w:val="0"/>
                <w:sz w:val="16"/>
                <w:szCs w:val="16"/>
              </w:rPr>
              <w:t>142</w:t>
            </w:r>
          </w:p>
        </w:tc>
      </w:tr>
      <w:tr w:rsidR="00803212" w:rsidRPr="00C41721" w:rsidTr="00EB5C43">
        <w:trPr>
          <w:trHeight w:val="270"/>
        </w:trPr>
        <w:tc>
          <w:tcPr>
            <w:tcW w:w="1761" w:type="dxa"/>
            <w:tcBorders>
              <w:top w:val="nil"/>
              <w:left w:val="nil"/>
              <w:bottom w:val="nil"/>
              <w:right w:val="nil"/>
            </w:tcBorders>
            <w:shd w:val="clear" w:color="000000" w:fill="FDE9D9"/>
            <w:noWrap/>
            <w:vAlign w:val="bottom"/>
          </w:tcPr>
          <w:p w:rsidR="00803212" w:rsidRPr="00EB5C43" w:rsidRDefault="00803212" w:rsidP="00EB5C43">
            <w:pPr>
              <w:widowControl/>
              <w:jc w:val="left"/>
              <w:rPr>
                <w:rFonts w:ascii="宋体" w:cs="宋体"/>
                <w:color w:val="000000"/>
                <w:kern w:val="0"/>
                <w:sz w:val="16"/>
                <w:szCs w:val="16"/>
              </w:rPr>
            </w:pPr>
            <w:r w:rsidRPr="00EB5C43">
              <w:rPr>
                <w:rFonts w:ascii="宋体" w:hAnsi="宋体" w:cs="宋体"/>
                <w:color w:val="000000"/>
                <w:kern w:val="0"/>
                <w:sz w:val="16"/>
                <w:szCs w:val="16"/>
              </w:rPr>
              <w:t xml:space="preserve">  </w:t>
            </w:r>
            <w:r w:rsidRPr="00EB5C43">
              <w:rPr>
                <w:rFonts w:ascii="宋体" w:hAnsi="宋体" w:cs="宋体" w:hint="eastAsia"/>
                <w:color w:val="000000"/>
                <w:kern w:val="0"/>
                <w:sz w:val="16"/>
                <w:szCs w:val="16"/>
              </w:rPr>
              <w:t>二级债基</w:t>
            </w:r>
          </w:p>
        </w:tc>
        <w:tc>
          <w:tcPr>
            <w:tcW w:w="1276" w:type="dxa"/>
            <w:tcBorders>
              <w:top w:val="nil"/>
              <w:left w:val="nil"/>
              <w:bottom w:val="nil"/>
              <w:right w:val="nil"/>
            </w:tcBorders>
            <w:shd w:val="clear" w:color="000000" w:fill="FDE9D9"/>
            <w:noWrap/>
            <w:vAlign w:val="bottom"/>
          </w:tcPr>
          <w:p w:rsidR="00803212" w:rsidRPr="00EB5C43" w:rsidRDefault="00803212" w:rsidP="00EB5C43">
            <w:pPr>
              <w:widowControl/>
              <w:jc w:val="center"/>
              <w:rPr>
                <w:rFonts w:ascii="宋体" w:cs="宋体"/>
                <w:color w:val="000000"/>
                <w:kern w:val="0"/>
                <w:sz w:val="16"/>
                <w:szCs w:val="16"/>
              </w:rPr>
            </w:pPr>
            <w:r w:rsidRPr="00EB5C43">
              <w:rPr>
                <w:rFonts w:ascii="宋体" w:hAnsi="宋体" w:cs="宋体"/>
                <w:color w:val="000000"/>
                <w:kern w:val="0"/>
                <w:sz w:val="16"/>
                <w:szCs w:val="16"/>
              </w:rPr>
              <w:t xml:space="preserve">4.62 </w:t>
            </w:r>
          </w:p>
        </w:tc>
        <w:tc>
          <w:tcPr>
            <w:tcW w:w="1139" w:type="dxa"/>
            <w:tcBorders>
              <w:top w:val="nil"/>
              <w:left w:val="nil"/>
              <w:bottom w:val="nil"/>
              <w:right w:val="nil"/>
            </w:tcBorders>
            <w:shd w:val="clear" w:color="000000" w:fill="FDE9D9"/>
            <w:noWrap/>
            <w:vAlign w:val="bottom"/>
          </w:tcPr>
          <w:p w:rsidR="00803212" w:rsidRPr="00EB5C43" w:rsidRDefault="00803212" w:rsidP="00EB5C43">
            <w:pPr>
              <w:widowControl/>
              <w:jc w:val="center"/>
              <w:rPr>
                <w:rFonts w:ascii="宋体" w:cs="宋体"/>
                <w:color w:val="000000"/>
                <w:kern w:val="0"/>
                <w:sz w:val="16"/>
                <w:szCs w:val="16"/>
              </w:rPr>
            </w:pPr>
            <w:r w:rsidRPr="00EB5C43">
              <w:rPr>
                <w:rFonts w:ascii="宋体" w:hAnsi="宋体" w:cs="宋体"/>
                <w:color w:val="000000"/>
                <w:kern w:val="0"/>
                <w:sz w:val="16"/>
                <w:szCs w:val="16"/>
              </w:rPr>
              <w:t>182</w:t>
            </w:r>
          </w:p>
        </w:tc>
        <w:tc>
          <w:tcPr>
            <w:tcW w:w="1276" w:type="dxa"/>
            <w:tcBorders>
              <w:top w:val="nil"/>
              <w:left w:val="nil"/>
              <w:bottom w:val="nil"/>
              <w:right w:val="nil"/>
            </w:tcBorders>
            <w:shd w:val="clear" w:color="000000" w:fill="FDE9D9"/>
            <w:noWrap/>
            <w:vAlign w:val="bottom"/>
          </w:tcPr>
          <w:p w:rsidR="00803212" w:rsidRPr="00EB5C43" w:rsidRDefault="00803212" w:rsidP="00EB5C43">
            <w:pPr>
              <w:widowControl/>
              <w:jc w:val="center"/>
              <w:rPr>
                <w:rFonts w:ascii="宋体" w:cs="宋体"/>
                <w:color w:val="000000"/>
                <w:kern w:val="0"/>
                <w:sz w:val="16"/>
                <w:szCs w:val="16"/>
              </w:rPr>
            </w:pPr>
            <w:r w:rsidRPr="00EB5C43">
              <w:rPr>
                <w:rFonts w:ascii="宋体" w:hAnsi="宋体" w:cs="宋体"/>
                <w:color w:val="000000"/>
                <w:kern w:val="0"/>
                <w:sz w:val="16"/>
                <w:szCs w:val="16"/>
              </w:rPr>
              <w:t xml:space="preserve">10.56 </w:t>
            </w:r>
          </w:p>
        </w:tc>
        <w:tc>
          <w:tcPr>
            <w:tcW w:w="1378" w:type="dxa"/>
            <w:tcBorders>
              <w:top w:val="nil"/>
              <w:left w:val="nil"/>
              <w:bottom w:val="nil"/>
              <w:right w:val="nil"/>
            </w:tcBorders>
            <w:shd w:val="clear" w:color="000000" w:fill="FDE9D9"/>
            <w:noWrap/>
            <w:vAlign w:val="bottom"/>
          </w:tcPr>
          <w:p w:rsidR="00803212" w:rsidRPr="00EB5C43" w:rsidRDefault="00803212" w:rsidP="00EB5C43">
            <w:pPr>
              <w:widowControl/>
              <w:jc w:val="center"/>
              <w:rPr>
                <w:rFonts w:ascii="宋体" w:cs="宋体"/>
                <w:color w:val="000000"/>
                <w:kern w:val="0"/>
                <w:sz w:val="16"/>
                <w:szCs w:val="16"/>
              </w:rPr>
            </w:pPr>
            <w:r w:rsidRPr="00EB5C43">
              <w:rPr>
                <w:rFonts w:ascii="宋体" w:hAnsi="宋体" w:cs="宋体"/>
                <w:color w:val="000000"/>
                <w:kern w:val="0"/>
                <w:sz w:val="16"/>
                <w:szCs w:val="16"/>
              </w:rPr>
              <w:t>182</w:t>
            </w:r>
          </w:p>
        </w:tc>
      </w:tr>
      <w:tr w:rsidR="00803212" w:rsidRPr="00C41721" w:rsidTr="00EB5C43">
        <w:trPr>
          <w:trHeight w:val="270"/>
        </w:trPr>
        <w:tc>
          <w:tcPr>
            <w:tcW w:w="1761" w:type="dxa"/>
            <w:tcBorders>
              <w:top w:val="nil"/>
              <w:left w:val="nil"/>
              <w:bottom w:val="nil"/>
              <w:right w:val="nil"/>
            </w:tcBorders>
            <w:shd w:val="clear" w:color="000000" w:fill="FDE9D9"/>
            <w:noWrap/>
            <w:vAlign w:val="bottom"/>
          </w:tcPr>
          <w:p w:rsidR="00803212" w:rsidRPr="00EB5C43" w:rsidRDefault="00803212" w:rsidP="00EB5C43">
            <w:pPr>
              <w:widowControl/>
              <w:jc w:val="left"/>
              <w:rPr>
                <w:rFonts w:ascii="宋体" w:cs="宋体"/>
                <w:color w:val="000000"/>
                <w:kern w:val="0"/>
                <w:sz w:val="16"/>
                <w:szCs w:val="16"/>
              </w:rPr>
            </w:pPr>
            <w:r w:rsidRPr="00EB5C43">
              <w:rPr>
                <w:rFonts w:ascii="宋体" w:hAnsi="宋体" w:cs="宋体"/>
                <w:color w:val="000000"/>
                <w:kern w:val="0"/>
                <w:sz w:val="16"/>
                <w:szCs w:val="16"/>
              </w:rPr>
              <w:t xml:space="preserve">  </w:t>
            </w:r>
            <w:r w:rsidRPr="00EB5C43">
              <w:rPr>
                <w:rFonts w:ascii="宋体" w:hAnsi="宋体" w:cs="宋体" w:hint="eastAsia"/>
                <w:color w:val="000000"/>
                <w:kern w:val="0"/>
                <w:sz w:val="16"/>
                <w:szCs w:val="16"/>
              </w:rPr>
              <w:t>可转债基</w:t>
            </w:r>
          </w:p>
        </w:tc>
        <w:tc>
          <w:tcPr>
            <w:tcW w:w="1276" w:type="dxa"/>
            <w:tcBorders>
              <w:top w:val="nil"/>
              <w:left w:val="nil"/>
              <w:bottom w:val="nil"/>
              <w:right w:val="nil"/>
            </w:tcBorders>
            <w:shd w:val="clear" w:color="000000" w:fill="FDE9D9"/>
            <w:noWrap/>
            <w:vAlign w:val="bottom"/>
          </w:tcPr>
          <w:p w:rsidR="00803212" w:rsidRPr="00EB5C43" w:rsidRDefault="00803212" w:rsidP="00EB5C43">
            <w:pPr>
              <w:widowControl/>
              <w:jc w:val="center"/>
              <w:rPr>
                <w:rFonts w:ascii="宋体" w:cs="宋体"/>
                <w:color w:val="000000"/>
                <w:kern w:val="0"/>
                <w:sz w:val="16"/>
                <w:szCs w:val="16"/>
              </w:rPr>
            </w:pPr>
            <w:r w:rsidRPr="00EB5C43">
              <w:rPr>
                <w:rFonts w:ascii="宋体" w:hAnsi="宋体" w:cs="宋体"/>
                <w:color w:val="000000"/>
                <w:kern w:val="0"/>
                <w:sz w:val="16"/>
                <w:szCs w:val="16"/>
              </w:rPr>
              <w:t xml:space="preserve">11.30 </w:t>
            </w:r>
          </w:p>
        </w:tc>
        <w:tc>
          <w:tcPr>
            <w:tcW w:w="1139" w:type="dxa"/>
            <w:tcBorders>
              <w:top w:val="nil"/>
              <w:left w:val="nil"/>
              <w:bottom w:val="nil"/>
              <w:right w:val="nil"/>
            </w:tcBorders>
            <w:shd w:val="clear" w:color="000000" w:fill="FDE9D9"/>
            <w:noWrap/>
            <w:vAlign w:val="bottom"/>
          </w:tcPr>
          <w:p w:rsidR="00803212" w:rsidRPr="00EB5C43" w:rsidRDefault="00803212" w:rsidP="00EB5C43">
            <w:pPr>
              <w:widowControl/>
              <w:jc w:val="center"/>
              <w:rPr>
                <w:rFonts w:ascii="宋体" w:cs="宋体"/>
                <w:color w:val="000000"/>
                <w:kern w:val="0"/>
                <w:sz w:val="16"/>
                <w:szCs w:val="16"/>
              </w:rPr>
            </w:pPr>
            <w:r w:rsidRPr="00EB5C43">
              <w:rPr>
                <w:rFonts w:ascii="宋体" w:hAnsi="宋体" w:cs="宋体"/>
                <w:color w:val="000000"/>
                <w:kern w:val="0"/>
                <w:sz w:val="16"/>
                <w:szCs w:val="16"/>
              </w:rPr>
              <w:t>23</w:t>
            </w:r>
          </w:p>
        </w:tc>
        <w:tc>
          <w:tcPr>
            <w:tcW w:w="1276" w:type="dxa"/>
            <w:tcBorders>
              <w:top w:val="nil"/>
              <w:left w:val="nil"/>
              <w:bottom w:val="nil"/>
              <w:right w:val="nil"/>
            </w:tcBorders>
            <w:shd w:val="clear" w:color="000000" w:fill="FDE9D9"/>
            <w:noWrap/>
            <w:vAlign w:val="bottom"/>
          </w:tcPr>
          <w:p w:rsidR="00803212" w:rsidRPr="00EB5C43" w:rsidRDefault="00803212" w:rsidP="00EB5C43">
            <w:pPr>
              <w:widowControl/>
              <w:jc w:val="center"/>
              <w:rPr>
                <w:rFonts w:ascii="宋体" w:cs="宋体"/>
                <w:color w:val="000000"/>
                <w:kern w:val="0"/>
                <w:sz w:val="16"/>
                <w:szCs w:val="16"/>
              </w:rPr>
            </w:pPr>
            <w:r w:rsidRPr="00EB5C43">
              <w:rPr>
                <w:rFonts w:ascii="宋体" w:hAnsi="宋体" w:cs="宋体"/>
                <w:color w:val="000000"/>
                <w:kern w:val="0"/>
                <w:sz w:val="16"/>
                <w:szCs w:val="16"/>
              </w:rPr>
              <w:t xml:space="preserve">14.64 </w:t>
            </w:r>
          </w:p>
        </w:tc>
        <w:tc>
          <w:tcPr>
            <w:tcW w:w="1378" w:type="dxa"/>
            <w:tcBorders>
              <w:top w:val="nil"/>
              <w:left w:val="nil"/>
              <w:bottom w:val="nil"/>
              <w:right w:val="nil"/>
            </w:tcBorders>
            <w:shd w:val="clear" w:color="000000" w:fill="FDE9D9"/>
            <w:noWrap/>
            <w:vAlign w:val="bottom"/>
          </w:tcPr>
          <w:p w:rsidR="00803212" w:rsidRPr="00EB5C43" w:rsidRDefault="00803212" w:rsidP="00EB5C43">
            <w:pPr>
              <w:widowControl/>
              <w:jc w:val="center"/>
              <w:rPr>
                <w:rFonts w:ascii="宋体" w:cs="宋体"/>
                <w:color w:val="000000"/>
                <w:kern w:val="0"/>
                <w:sz w:val="16"/>
                <w:szCs w:val="16"/>
              </w:rPr>
            </w:pPr>
            <w:r w:rsidRPr="00EB5C43">
              <w:rPr>
                <w:rFonts w:ascii="宋体" w:hAnsi="宋体" w:cs="宋体"/>
                <w:color w:val="000000"/>
                <w:kern w:val="0"/>
                <w:sz w:val="16"/>
                <w:szCs w:val="16"/>
              </w:rPr>
              <w:t>23</w:t>
            </w:r>
          </w:p>
        </w:tc>
      </w:tr>
      <w:tr w:rsidR="00803212" w:rsidRPr="00C41721" w:rsidTr="00EB5C43">
        <w:trPr>
          <w:trHeight w:val="270"/>
        </w:trPr>
        <w:tc>
          <w:tcPr>
            <w:tcW w:w="1761" w:type="dxa"/>
            <w:tcBorders>
              <w:top w:val="nil"/>
              <w:left w:val="nil"/>
              <w:bottom w:val="nil"/>
              <w:right w:val="nil"/>
            </w:tcBorders>
            <w:shd w:val="clear" w:color="000000" w:fill="FDE9D9"/>
            <w:noWrap/>
            <w:vAlign w:val="bottom"/>
          </w:tcPr>
          <w:p w:rsidR="00803212" w:rsidRPr="00EB5C43" w:rsidRDefault="00803212" w:rsidP="00EB5C43">
            <w:pPr>
              <w:widowControl/>
              <w:jc w:val="left"/>
              <w:rPr>
                <w:rFonts w:ascii="宋体" w:cs="宋体"/>
                <w:color w:val="000000"/>
                <w:kern w:val="0"/>
                <w:sz w:val="16"/>
                <w:szCs w:val="16"/>
              </w:rPr>
            </w:pPr>
            <w:r w:rsidRPr="00EB5C43">
              <w:rPr>
                <w:rFonts w:ascii="宋体" w:hAnsi="宋体" w:cs="宋体"/>
                <w:color w:val="000000"/>
                <w:kern w:val="0"/>
                <w:sz w:val="16"/>
                <w:szCs w:val="16"/>
              </w:rPr>
              <w:t xml:space="preserve">  </w:t>
            </w:r>
            <w:r w:rsidRPr="00EB5C43">
              <w:rPr>
                <w:rFonts w:ascii="宋体" w:hAnsi="宋体" w:cs="宋体" w:hint="eastAsia"/>
                <w:color w:val="000000"/>
                <w:kern w:val="0"/>
                <w:sz w:val="16"/>
                <w:szCs w:val="16"/>
              </w:rPr>
              <w:t>指数债基</w:t>
            </w:r>
          </w:p>
        </w:tc>
        <w:tc>
          <w:tcPr>
            <w:tcW w:w="1276" w:type="dxa"/>
            <w:tcBorders>
              <w:top w:val="nil"/>
              <w:left w:val="nil"/>
              <w:bottom w:val="nil"/>
              <w:right w:val="nil"/>
            </w:tcBorders>
            <w:shd w:val="clear" w:color="000000" w:fill="FDE9D9"/>
            <w:noWrap/>
            <w:vAlign w:val="bottom"/>
          </w:tcPr>
          <w:p w:rsidR="00803212" w:rsidRPr="00EB5C43" w:rsidRDefault="00803212" w:rsidP="00EB5C43">
            <w:pPr>
              <w:widowControl/>
              <w:jc w:val="center"/>
              <w:rPr>
                <w:rFonts w:ascii="宋体" w:cs="宋体"/>
                <w:color w:val="000000"/>
                <w:kern w:val="0"/>
                <w:sz w:val="16"/>
                <w:szCs w:val="16"/>
              </w:rPr>
            </w:pPr>
            <w:r w:rsidRPr="00EB5C43">
              <w:rPr>
                <w:rFonts w:ascii="宋体" w:hAnsi="宋体" w:cs="宋体"/>
                <w:color w:val="000000"/>
                <w:kern w:val="0"/>
                <w:sz w:val="16"/>
                <w:szCs w:val="16"/>
              </w:rPr>
              <w:t xml:space="preserve">2.03 </w:t>
            </w:r>
          </w:p>
        </w:tc>
        <w:tc>
          <w:tcPr>
            <w:tcW w:w="1139" w:type="dxa"/>
            <w:tcBorders>
              <w:top w:val="nil"/>
              <w:left w:val="nil"/>
              <w:bottom w:val="nil"/>
              <w:right w:val="nil"/>
            </w:tcBorders>
            <w:shd w:val="clear" w:color="000000" w:fill="FDE9D9"/>
            <w:noWrap/>
            <w:vAlign w:val="bottom"/>
          </w:tcPr>
          <w:p w:rsidR="00803212" w:rsidRPr="00EB5C43" w:rsidRDefault="00803212" w:rsidP="00EB5C43">
            <w:pPr>
              <w:widowControl/>
              <w:jc w:val="center"/>
              <w:rPr>
                <w:rFonts w:ascii="宋体" w:cs="宋体"/>
                <w:color w:val="000000"/>
                <w:kern w:val="0"/>
                <w:sz w:val="16"/>
                <w:szCs w:val="16"/>
              </w:rPr>
            </w:pPr>
            <w:r w:rsidRPr="00EB5C43">
              <w:rPr>
                <w:rFonts w:ascii="宋体" w:hAnsi="宋体" w:cs="宋体"/>
                <w:color w:val="000000"/>
                <w:kern w:val="0"/>
                <w:sz w:val="16"/>
                <w:szCs w:val="16"/>
              </w:rPr>
              <w:t>28</w:t>
            </w:r>
          </w:p>
        </w:tc>
        <w:tc>
          <w:tcPr>
            <w:tcW w:w="1276" w:type="dxa"/>
            <w:tcBorders>
              <w:top w:val="nil"/>
              <w:left w:val="nil"/>
              <w:bottom w:val="nil"/>
              <w:right w:val="nil"/>
            </w:tcBorders>
            <w:shd w:val="clear" w:color="000000" w:fill="FDE9D9"/>
            <w:noWrap/>
            <w:vAlign w:val="bottom"/>
          </w:tcPr>
          <w:p w:rsidR="00803212" w:rsidRPr="00EB5C43" w:rsidRDefault="00803212" w:rsidP="00EB5C43">
            <w:pPr>
              <w:widowControl/>
              <w:jc w:val="center"/>
              <w:rPr>
                <w:rFonts w:ascii="宋体" w:cs="宋体"/>
                <w:color w:val="000000"/>
                <w:kern w:val="0"/>
                <w:sz w:val="16"/>
                <w:szCs w:val="16"/>
              </w:rPr>
            </w:pPr>
            <w:r w:rsidRPr="00EB5C43">
              <w:rPr>
                <w:rFonts w:ascii="宋体" w:hAnsi="宋体" w:cs="宋体"/>
                <w:color w:val="000000"/>
                <w:kern w:val="0"/>
                <w:sz w:val="16"/>
                <w:szCs w:val="16"/>
              </w:rPr>
              <w:t xml:space="preserve">6.72 </w:t>
            </w:r>
          </w:p>
        </w:tc>
        <w:tc>
          <w:tcPr>
            <w:tcW w:w="1378" w:type="dxa"/>
            <w:tcBorders>
              <w:top w:val="nil"/>
              <w:left w:val="nil"/>
              <w:bottom w:val="nil"/>
              <w:right w:val="nil"/>
            </w:tcBorders>
            <w:shd w:val="clear" w:color="000000" w:fill="FDE9D9"/>
            <w:noWrap/>
            <w:vAlign w:val="bottom"/>
          </w:tcPr>
          <w:p w:rsidR="00803212" w:rsidRPr="00EB5C43" w:rsidRDefault="00803212" w:rsidP="00EB5C43">
            <w:pPr>
              <w:widowControl/>
              <w:jc w:val="center"/>
              <w:rPr>
                <w:rFonts w:ascii="宋体" w:cs="宋体"/>
                <w:color w:val="000000"/>
                <w:kern w:val="0"/>
                <w:sz w:val="16"/>
                <w:szCs w:val="16"/>
              </w:rPr>
            </w:pPr>
            <w:r w:rsidRPr="00EB5C43">
              <w:rPr>
                <w:rFonts w:ascii="宋体" w:hAnsi="宋体" w:cs="宋体"/>
                <w:color w:val="000000"/>
                <w:kern w:val="0"/>
                <w:sz w:val="16"/>
                <w:szCs w:val="16"/>
              </w:rPr>
              <w:t>28</w:t>
            </w:r>
          </w:p>
        </w:tc>
      </w:tr>
      <w:tr w:rsidR="00803212" w:rsidRPr="00C41721" w:rsidTr="00EB5C43">
        <w:trPr>
          <w:trHeight w:val="270"/>
        </w:trPr>
        <w:tc>
          <w:tcPr>
            <w:tcW w:w="1761" w:type="dxa"/>
            <w:tcBorders>
              <w:top w:val="nil"/>
              <w:left w:val="nil"/>
              <w:bottom w:val="nil"/>
              <w:right w:val="nil"/>
            </w:tcBorders>
            <w:noWrap/>
            <w:vAlign w:val="bottom"/>
          </w:tcPr>
          <w:p w:rsidR="00803212" w:rsidRPr="00EB5C43" w:rsidRDefault="00803212" w:rsidP="00EB5C43">
            <w:pPr>
              <w:widowControl/>
              <w:jc w:val="left"/>
              <w:rPr>
                <w:rFonts w:ascii="宋体" w:cs="宋体"/>
                <w:color w:val="000000"/>
                <w:kern w:val="0"/>
                <w:sz w:val="16"/>
                <w:szCs w:val="16"/>
              </w:rPr>
            </w:pPr>
            <w:r w:rsidRPr="00EB5C43">
              <w:rPr>
                <w:rFonts w:ascii="宋体" w:hAnsi="宋体" w:cs="宋体" w:hint="eastAsia"/>
                <w:color w:val="000000"/>
                <w:kern w:val="0"/>
                <w:sz w:val="16"/>
                <w:szCs w:val="16"/>
              </w:rPr>
              <w:t>理财债基</w:t>
            </w:r>
          </w:p>
        </w:tc>
        <w:tc>
          <w:tcPr>
            <w:tcW w:w="1276" w:type="dxa"/>
            <w:tcBorders>
              <w:top w:val="nil"/>
              <w:left w:val="nil"/>
              <w:bottom w:val="nil"/>
              <w:right w:val="nil"/>
            </w:tcBorders>
            <w:noWrap/>
            <w:vAlign w:val="bottom"/>
          </w:tcPr>
          <w:p w:rsidR="00803212" w:rsidRPr="00EB5C43" w:rsidRDefault="00803212" w:rsidP="00EB5C43">
            <w:pPr>
              <w:widowControl/>
              <w:jc w:val="center"/>
              <w:rPr>
                <w:rFonts w:ascii="宋体" w:cs="宋体"/>
                <w:color w:val="000000"/>
                <w:kern w:val="0"/>
                <w:sz w:val="16"/>
                <w:szCs w:val="16"/>
              </w:rPr>
            </w:pPr>
            <w:r w:rsidRPr="00EB5C43">
              <w:rPr>
                <w:rFonts w:ascii="宋体" w:hAnsi="宋体" w:cs="宋体"/>
                <w:color w:val="000000"/>
                <w:kern w:val="0"/>
                <w:sz w:val="16"/>
                <w:szCs w:val="16"/>
              </w:rPr>
              <w:t xml:space="preserve">1.15 </w:t>
            </w:r>
          </w:p>
        </w:tc>
        <w:tc>
          <w:tcPr>
            <w:tcW w:w="1139" w:type="dxa"/>
            <w:tcBorders>
              <w:top w:val="nil"/>
              <w:left w:val="nil"/>
              <w:bottom w:val="nil"/>
              <w:right w:val="nil"/>
            </w:tcBorders>
            <w:noWrap/>
            <w:vAlign w:val="bottom"/>
          </w:tcPr>
          <w:p w:rsidR="00803212" w:rsidRPr="00EB5C43" w:rsidRDefault="00803212" w:rsidP="00EB5C43">
            <w:pPr>
              <w:widowControl/>
              <w:jc w:val="center"/>
              <w:rPr>
                <w:rFonts w:ascii="宋体" w:cs="宋体"/>
                <w:color w:val="000000"/>
                <w:kern w:val="0"/>
                <w:sz w:val="16"/>
                <w:szCs w:val="16"/>
              </w:rPr>
            </w:pPr>
            <w:r w:rsidRPr="00EB5C43">
              <w:rPr>
                <w:rFonts w:ascii="宋体" w:hAnsi="宋体" w:cs="宋体"/>
                <w:color w:val="000000"/>
                <w:kern w:val="0"/>
                <w:sz w:val="16"/>
                <w:szCs w:val="16"/>
              </w:rPr>
              <w:t>107</w:t>
            </w:r>
          </w:p>
        </w:tc>
        <w:tc>
          <w:tcPr>
            <w:tcW w:w="1276" w:type="dxa"/>
            <w:tcBorders>
              <w:top w:val="nil"/>
              <w:left w:val="nil"/>
              <w:bottom w:val="nil"/>
              <w:right w:val="nil"/>
            </w:tcBorders>
            <w:noWrap/>
            <w:vAlign w:val="bottom"/>
          </w:tcPr>
          <w:p w:rsidR="00803212" w:rsidRPr="00EB5C43" w:rsidRDefault="00803212" w:rsidP="00EB5C43">
            <w:pPr>
              <w:widowControl/>
              <w:jc w:val="center"/>
              <w:rPr>
                <w:rFonts w:ascii="宋体" w:cs="宋体"/>
                <w:color w:val="000000"/>
                <w:kern w:val="0"/>
                <w:sz w:val="16"/>
                <w:szCs w:val="16"/>
              </w:rPr>
            </w:pPr>
            <w:r w:rsidRPr="00EB5C43">
              <w:rPr>
                <w:rFonts w:ascii="宋体" w:hAnsi="宋体" w:cs="宋体"/>
                <w:color w:val="000000"/>
                <w:kern w:val="0"/>
                <w:sz w:val="16"/>
                <w:szCs w:val="16"/>
              </w:rPr>
              <w:t xml:space="preserve">3.61 </w:t>
            </w:r>
          </w:p>
        </w:tc>
        <w:tc>
          <w:tcPr>
            <w:tcW w:w="1378" w:type="dxa"/>
            <w:tcBorders>
              <w:top w:val="nil"/>
              <w:left w:val="nil"/>
              <w:bottom w:val="nil"/>
              <w:right w:val="nil"/>
            </w:tcBorders>
            <w:noWrap/>
            <w:vAlign w:val="bottom"/>
          </w:tcPr>
          <w:p w:rsidR="00803212" w:rsidRPr="00EB5C43" w:rsidRDefault="00803212" w:rsidP="00EB5C43">
            <w:pPr>
              <w:widowControl/>
              <w:jc w:val="center"/>
              <w:rPr>
                <w:rFonts w:ascii="宋体" w:cs="宋体"/>
                <w:color w:val="000000"/>
                <w:kern w:val="0"/>
                <w:sz w:val="16"/>
                <w:szCs w:val="16"/>
              </w:rPr>
            </w:pPr>
            <w:r w:rsidRPr="00EB5C43">
              <w:rPr>
                <w:rFonts w:ascii="宋体" w:hAnsi="宋体" w:cs="宋体"/>
                <w:color w:val="000000"/>
                <w:kern w:val="0"/>
                <w:sz w:val="16"/>
                <w:szCs w:val="16"/>
              </w:rPr>
              <w:t>103</w:t>
            </w:r>
          </w:p>
        </w:tc>
      </w:tr>
      <w:tr w:rsidR="00803212" w:rsidRPr="00C41721" w:rsidTr="00EB5C43">
        <w:trPr>
          <w:trHeight w:val="270"/>
        </w:trPr>
        <w:tc>
          <w:tcPr>
            <w:tcW w:w="1761" w:type="dxa"/>
            <w:tcBorders>
              <w:top w:val="nil"/>
              <w:left w:val="nil"/>
              <w:bottom w:val="nil"/>
              <w:right w:val="nil"/>
            </w:tcBorders>
            <w:noWrap/>
            <w:vAlign w:val="bottom"/>
          </w:tcPr>
          <w:p w:rsidR="00803212" w:rsidRPr="00EB5C43" w:rsidRDefault="00803212" w:rsidP="00EB5C43">
            <w:pPr>
              <w:widowControl/>
              <w:jc w:val="left"/>
              <w:rPr>
                <w:rFonts w:ascii="宋体" w:cs="宋体"/>
                <w:color w:val="000000"/>
                <w:kern w:val="0"/>
                <w:sz w:val="16"/>
                <w:szCs w:val="16"/>
              </w:rPr>
            </w:pPr>
            <w:r w:rsidRPr="00EB5C43">
              <w:rPr>
                <w:rFonts w:ascii="宋体" w:hAnsi="宋体" w:cs="宋体" w:hint="eastAsia"/>
                <w:color w:val="000000"/>
                <w:kern w:val="0"/>
                <w:sz w:val="16"/>
                <w:szCs w:val="16"/>
              </w:rPr>
              <w:t>货币型</w:t>
            </w:r>
          </w:p>
        </w:tc>
        <w:tc>
          <w:tcPr>
            <w:tcW w:w="1276" w:type="dxa"/>
            <w:tcBorders>
              <w:top w:val="nil"/>
              <w:left w:val="nil"/>
              <w:bottom w:val="nil"/>
              <w:right w:val="nil"/>
            </w:tcBorders>
            <w:noWrap/>
            <w:vAlign w:val="bottom"/>
          </w:tcPr>
          <w:p w:rsidR="00803212" w:rsidRPr="00EB5C43" w:rsidRDefault="00803212" w:rsidP="00EB5C43">
            <w:pPr>
              <w:widowControl/>
              <w:jc w:val="center"/>
              <w:rPr>
                <w:rFonts w:ascii="宋体" w:cs="宋体"/>
                <w:color w:val="000000"/>
                <w:kern w:val="0"/>
                <w:sz w:val="16"/>
                <w:szCs w:val="16"/>
              </w:rPr>
            </w:pPr>
            <w:r w:rsidRPr="00EB5C43">
              <w:rPr>
                <w:rFonts w:ascii="宋体" w:hAnsi="宋体" w:cs="宋体"/>
                <w:color w:val="000000"/>
                <w:kern w:val="0"/>
                <w:sz w:val="16"/>
                <w:szCs w:val="16"/>
              </w:rPr>
              <w:t xml:space="preserve">1.06 </w:t>
            </w:r>
          </w:p>
        </w:tc>
        <w:tc>
          <w:tcPr>
            <w:tcW w:w="1139" w:type="dxa"/>
            <w:tcBorders>
              <w:top w:val="nil"/>
              <w:left w:val="nil"/>
              <w:bottom w:val="nil"/>
              <w:right w:val="nil"/>
            </w:tcBorders>
            <w:noWrap/>
            <w:vAlign w:val="bottom"/>
          </w:tcPr>
          <w:p w:rsidR="00803212" w:rsidRPr="00EB5C43" w:rsidRDefault="00803212" w:rsidP="00EB5C43">
            <w:pPr>
              <w:widowControl/>
              <w:jc w:val="center"/>
              <w:rPr>
                <w:rFonts w:ascii="宋体" w:cs="宋体"/>
                <w:color w:val="000000"/>
                <w:kern w:val="0"/>
                <w:sz w:val="16"/>
                <w:szCs w:val="16"/>
              </w:rPr>
            </w:pPr>
            <w:r w:rsidRPr="00EB5C43">
              <w:rPr>
                <w:rFonts w:ascii="宋体" w:hAnsi="宋体" w:cs="宋体"/>
                <w:color w:val="000000"/>
                <w:kern w:val="0"/>
                <w:sz w:val="16"/>
                <w:szCs w:val="16"/>
              </w:rPr>
              <w:t>226</w:t>
            </w:r>
          </w:p>
        </w:tc>
        <w:tc>
          <w:tcPr>
            <w:tcW w:w="1276" w:type="dxa"/>
            <w:tcBorders>
              <w:top w:val="nil"/>
              <w:left w:val="nil"/>
              <w:bottom w:val="nil"/>
              <w:right w:val="nil"/>
            </w:tcBorders>
            <w:noWrap/>
            <w:vAlign w:val="bottom"/>
          </w:tcPr>
          <w:p w:rsidR="00803212" w:rsidRPr="00EB5C43" w:rsidRDefault="00803212" w:rsidP="00EB5C43">
            <w:pPr>
              <w:widowControl/>
              <w:jc w:val="center"/>
              <w:rPr>
                <w:rFonts w:ascii="宋体" w:cs="宋体"/>
                <w:color w:val="000000"/>
                <w:kern w:val="0"/>
                <w:sz w:val="16"/>
                <w:szCs w:val="16"/>
              </w:rPr>
            </w:pPr>
            <w:r w:rsidRPr="00EB5C43">
              <w:rPr>
                <w:rFonts w:ascii="宋体" w:hAnsi="宋体" w:cs="宋体"/>
                <w:color w:val="000000"/>
                <w:kern w:val="0"/>
                <w:sz w:val="16"/>
                <w:szCs w:val="16"/>
              </w:rPr>
              <w:t xml:space="preserve">3.49 </w:t>
            </w:r>
          </w:p>
        </w:tc>
        <w:tc>
          <w:tcPr>
            <w:tcW w:w="1378" w:type="dxa"/>
            <w:tcBorders>
              <w:top w:val="nil"/>
              <w:left w:val="nil"/>
              <w:bottom w:val="nil"/>
              <w:right w:val="nil"/>
            </w:tcBorders>
            <w:noWrap/>
            <w:vAlign w:val="bottom"/>
          </w:tcPr>
          <w:p w:rsidR="00803212" w:rsidRPr="00EB5C43" w:rsidRDefault="00803212" w:rsidP="00EB5C43">
            <w:pPr>
              <w:widowControl/>
              <w:jc w:val="center"/>
              <w:rPr>
                <w:rFonts w:ascii="宋体" w:cs="宋体"/>
                <w:color w:val="000000"/>
                <w:kern w:val="0"/>
                <w:sz w:val="16"/>
                <w:szCs w:val="16"/>
              </w:rPr>
            </w:pPr>
            <w:r w:rsidRPr="00EB5C43">
              <w:rPr>
                <w:rFonts w:ascii="宋体" w:hAnsi="宋体" w:cs="宋体"/>
                <w:color w:val="000000"/>
                <w:kern w:val="0"/>
                <w:sz w:val="16"/>
                <w:szCs w:val="16"/>
              </w:rPr>
              <w:t>161</w:t>
            </w:r>
          </w:p>
        </w:tc>
      </w:tr>
      <w:tr w:rsidR="00803212" w:rsidRPr="00C41721" w:rsidTr="00EB5C43">
        <w:trPr>
          <w:trHeight w:val="285"/>
        </w:trPr>
        <w:tc>
          <w:tcPr>
            <w:tcW w:w="1761" w:type="dxa"/>
            <w:tcBorders>
              <w:top w:val="nil"/>
              <w:left w:val="nil"/>
              <w:bottom w:val="single" w:sz="8" w:space="0" w:color="F79646"/>
              <w:right w:val="nil"/>
            </w:tcBorders>
            <w:noWrap/>
            <w:vAlign w:val="bottom"/>
          </w:tcPr>
          <w:p w:rsidR="00803212" w:rsidRPr="00EB5C43" w:rsidRDefault="00803212" w:rsidP="00EB5C43">
            <w:pPr>
              <w:widowControl/>
              <w:jc w:val="left"/>
              <w:rPr>
                <w:rFonts w:ascii="宋体" w:cs="宋体"/>
                <w:color w:val="000000"/>
                <w:kern w:val="0"/>
                <w:sz w:val="16"/>
                <w:szCs w:val="16"/>
              </w:rPr>
            </w:pPr>
            <w:r w:rsidRPr="00EB5C43">
              <w:rPr>
                <w:rFonts w:ascii="宋体" w:hAnsi="宋体" w:cs="宋体"/>
                <w:color w:val="000000"/>
                <w:kern w:val="0"/>
                <w:sz w:val="16"/>
                <w:szCs w:val="16"/>
              </w:rPr>
              <w:t>QDII</w:t>
            </w:r>
          </w:p>
        </w:tc>
        <w:tc>
          <w:tcPr>
            <w:tcW w:w="1276" w:type="dxa"/>
            <w:tcBorders>
              <w:top w:val="nil"/>
              <w:left w:val="nil"/>
              <w:bottom w:val="single" w:sz="8" w:space="0" w:color="F79646"/>
              <w:right w:val="nil"/>
            </w:tcBorders>
            <w:noWrap/>
            <w:vAlign w:val="bottom"/>
          </w:tcPr>
          <w:p w:rsidR="00803212" w:rsidRPr="00EB5C43" w:rsidRDefault="00803212" w:rsidP="00EB5C43">
            <w:pPr>
              <w:widowControl/>
              <w:jc w:val="center"/>
              <w:rPr>
                <w:rFonts w:ascii="宋体" w:cs="宋体"/>
                <w:color w:val="000000"/>
                <w:kern w:val="0"/>
                <w:sz w:val="16"/>
                <w:szCs w:val="16"/>
              </w:rPr>
            </w:pPr>
            <w:r w:rsidRPr="00EB5C43">
              <w:rPr>
                <w:rFonts w:ascii="宋体" w:hAnsi="宋体" w:cs="宋体"/>
                <w:color w:val="000000"/>
                <w:kern w:val="0"/>
                <w:sz w:val="16"/>
                <w:szCs w:val="16"/>
              </w:rPr>
              <w:t xml:space="preserve">-2.48 </w:t>
            </w:r>
          </w:p>
        </w:tc>
        <w:tc>
          <w:tcPr>
            <w:tcW w:w="1139" w:type="dxa"/>
            <w:tcBorders>
              <w:top w:val="nil"/>
              <w:left w:val="nil"/>
              <w:bottom w:val="single" w:sz="8" w:space="0" w:color="F79646"/>
              <w:right w:val="nil"/>
            </w:tcBorders>
            <w:noWrap/>
            <w:vAlign w:val="bottom"/>
          </w:tcPr>
          <w:p w:rsidR="00803212" w:rsidRPr="00EB5C43" w:rsidRDefault="00803212" w:rsidP="00EB5C43">
            <w:pPr>
              <w:widowControl/>
              <w:jc w:val="center"/>
              <w:rPr>
                <w:rFonts w:ascii="宋体" w:cs="宋体"/>
                <w:color w:val="000000"/>
                <w:kern w:val="0"/>
                <w:sz w:val="16"/>
                <w:szCs w:val="16"/>
              </w:rPr>
            </w:pPr>
            <w:r w:rsidRPr="00EB5C43">
              <w:rPr>
                <w:rFonts w:ascii="宋体" w:hAnsi="宋体" w:cs="宋体"/>
                <w:color w:val="000000"/>
                <w:kern w:val="0"/>
                <w:sz w:val="16"/>
                <w:szCs w:val="16"/>
              </w:rPr>
              <w:t>85</w:t>
            </w:r>
          </w:p>
        </w:tc>
        <w:tc>
          <w:tcPr>
            <w:tcW w:w="1276" w:type="dxa"/>
            <w:tcBorders>
              <w:top w:val="nil"/>
              <w:left w:val="nil"/>
              <w:bottom w:val="single" w:sz="8" w:space="0" w:color="F79646"/>
              <w:right w:val="nil"/>
            </w:tcBorders>
            <w:noWrap/>
            <w:vAlign w:val="bottom"/>
          </w:tcPr>
          <w:p w:rsidR="00803212" w:rsidRPr="00EB5C43" w:rsidRDefault="00803212" w:rsidP="00EB5C43">
            <w:pPr>
              <w:widowControl/>
              <w:jc w:val="center"/>
              <w:rPr>
                <w:rFonts w:ascii="宋体" w:cs="宋体"/>
                <w:color w:val="000000"/>
                <w:kern w:val="0"/>
                <w:sz w:val="16"/>
                <w:szCs w:val="16"/>
              </w:rPr>
            </w:pPr>
            <w:r w:rsidRPr="00EB5C43">
              <w:rPr>
                <w:rFonts w:ascii="宋体" w:hAnsi="宋体" w:cs="宋体"/>
                <w:color w:val="000000"/>
                <w:kern w:val="0"/>
                <w:sz w:val="16"/>
                <w:szCs w:val="16"/>
              </w:rPr>
              <w:t xml:space="preserve">2.16 </w:t>
            </w:r>
          </w:p>
        </w:tc>
        <w:tc>
          <w:tcPr>
            <w:tcW w:w="1378" w:type="dxa"/>
            <w:tcBorders>
              <w:top w:val="nil"/>
              <w:left w:val="nil"/>
              <w:bottom w:val="single" w:sz="8" w:space="0" w:color="F79646"/>
              <w:right w:val="nil"/>
            </w:tcBorders>
            <w:noWrap/>
            <w:vAlign w:val="bottom"/>
          </w:tcPr>
          <w:p w:rsidR="00803212" w:rsidRPr="00EB5C43" w:rsidRDefault="00803212" w:rsidP="00EB5C43">
            <w:pPr>
              <w:widowControl/>
              <w:jc w:val="center"/>
              <w:rPr>
                <w:rFonts w:ascii="宋体" w:cs="宋体"/>
                <w:color w:val="000000"/>
                <w:kern w:val="0"/>
                <w:sz w:val="16"/>
                <w:szCs w:val="16"/>
              </w:rPr>
            </w:pPr>
            <w:r w:rsidRPr="00EB5C43">
              <w:rPr>
                <w:rFonts w:ascii="宋体" w:hAnsi="宋体" w:cs="宋体"/>
                <w:color w:val="000000"/>
                <w:kern w:val="0"/>
                <w:sz w:val="16"/>
                <w:szCs w:val="16"/>
              </w:rPr>
              <w:t>83</w:t>
            </w:r>
          </w:p>
        </w:tc>
      </w:tr>
      <w:tr w:rsidR="00803212" w:rsidRPr="00C41721" w:rsidTr="00EB5C43">
        <w:trPr>
          <w:trHeight w:val="270"/>
        </w:trPr>
        <w:tc>
          <w:tcPr>
            <w:tcW w:w="6831" w:type="dxa"/>
            <w:gridSpan w:val="5"/>
            <w:tcBorders>
              <w:top w:val="single" w:sz="8" w:space="0" w:color="F79646"/>
              <w:left w:val="nil"/>
              <w:bottom w:val="nil"/>
              <w:right w:val="nil"/>
            </w:tcBorders>
            <w:noWrap/>
            <w:vAlign w:val="bottom"/>
          </w:tcPr>
          <w:p w:rsidR="00803212" w:rsidRPr="00EB5C43" w:rsidRDefault="00803212" w:rsidP="00EB5C43">
            <w:pPr>
              <w:widowControl/>
              <w:jc w:val="left"/>
              <w:rPr>
                <w:rFonts w:ascii="宋体" w:cs="宋体"/>
                <w:color w:val="000000"/>
                <w:kern w:val="0"/>
                <w:sz w:val="16"/>
                <w:szCs w:val="16"/>
              </w:rPr>
            </w:pPr>
            <w:r w:rsidRPr="00EB5C43">
              <w:rPr>
                <w:rFonts w:ascii="宋体" w:hAnsi="宋体" w:cs="宋体" w:hint="eastAsia"/>
                <w:color w:val="000000"/>
                <w:kern w:val="0"/>
                <w:sz w:val="16"/>
                <w:szCs w:val="16"/>
              </w:rPr>
              <w:t>注：统计口径不含分级基金子份额；采用简单平均计算方式</w:t>
            </w:r>
          </w:p>
        </w:tc>
      </w:tr>
      <w:tr w:rsidR="00803212" w:rsidRPr="00C41721" w:rsidTr="00EB5C43">
        <w:trPr>
          <w:trHeight w:val="285"/>
        </w:trPr>
        <w:tc>
          <w:tcPr>
            <w:tcW w:w="6831" w:type="dxa"/>
            <w:gridSpan w:val="5"/>
            <w:tcBorders>
              <w:top w:val="nil"/>
              <w:left w:val="nil"/>
              <w:bottom w:val="single" w:sz="8" w:space="0" w:color="F79646"/>
              <w:right w:val="nil"/>
            </w:tcBorders>
            <w:noWrap/>
            <w:vAlign w:val="bottom"/>
          </w:tcPr>
          <w:p w:rsidR="00803212" w:rsidRPr="00EB5C43" w:rsidRDefault="00803212" w:rsidP="00EB5C43">
            <w:pPr>
              <w:widowControl/>
              <w:jc w:val="left"/>
              <w:rPr>
                <w:rFonts w:ascii="宋体" w:cs="宋体"/>
                <w:color w:val="000000"/>
                <w:kern w:val="0"/>
                <w:sz w:val="16"/>
                <w:szCs w:val="16"/>
              </w:rPr>
            </w:pPr>
            <w:r w:rsidRPr="00EB5C43">
              <w:rPr>
                <w:rFonts w:ascii="宋体" w:hAnsi="宋体" w:cs="宋体" w:hint="eastAsia"/>
                <w:color w:val="000000"/>
                <w:kern w:val="0"/>
                <w:sz w:val="16"/>
                <w:szCs w:val="16"/>
              </w:rPr>
              <w:t>来源：凯石财富工场</w:t>
            </w:r>
          </w:p>
        </w:tc>
      </w:tr>
    </w:tbl>
    <w:p w:rsidR="00803212" w:rsidRDefault="00803212" w:rsidP="00F74387">
      <w:pPr>
        <w:widowControl/>
        <w:spacing w:after="120" w:line="240" w:lineRule="exact"/>
        <w:ind w:left="3430"/>
        <w:rPr>
          <w:rFonts w:ascii="Arial" w:eastAsia="楷体_GB2312" w:hAnsi="Arial"/>
          <w:b/>
          <w:bCs/>
          <w:color w:val="0070C0"/>
          <w:kern w:val="0"/>
          <w:szCs w:val="21"/>
          <w:lang w:val="en-GB"/>
        </w:rPr>
      </w:pPr>
    </w:p>
    <w:p w:rsidR="00803212" w:rsidRPr="00DD7991" w:rsidRDefault="00803212" w:rsidP="00F74387">
      <w:pPr>
        <w:widowControl/>
        <w:spacing w:after="120" w:line="240" w:lineRule="exact"/>
        <w:ind w:left="3430"/>
        <w:rPr>
          <w:rFonts w:ascii="Arial" w:eastAsia="楷体_GB2312" w:hAnsi="Arial"/>
          <w:b/>
          <w:bCs/>
          <w:color w:val="0070C0"/>
          <w:kern w:val="0"/>
          <w:szCs w:val="21"/>
          <w:lang w:val="en-GB"/>
        </w:rPr>
      </w:pPr>
      <w:r w:rsidRPr="002B408E">
        <w:rPr>
          <w:rFonts w:ascii="Arial" w:eastAsia="楷体_GB2312" w:hAnsi="Arial" w:hint="eastAsia"/>
          <w:b/>
          <w:bCs/>
          <w:color w:val="0070C0"/>
          <w:kern w:val="0"/>
          <w:szCs w:val="21"/>
          <w:lang w:val="en-GB"/>
        </w:rPr>
        <w:t>权益类基金：偏股产品喜迎普涨，商品基金大幅下挫</w:t>
      </w:r>
    </w:p>
    <w:p w:rsidR="00803212" w:rsidRPr="00B77F74" w:rsidRDefault="00803212" w:rsidP="00F4743D">
      <w:pPr>
        <w:pStyle w:val="BodyText"/>
        <w:numPr>
          <w:ilvl w:val="4"/>
          <w:numId w:val="1"/>
        </w:numPr>
        <w:spacing w:after="163"/>
        <w:rPr>
          <w:rFonts w:eastAsia="楷体_GB2312"/>
          <w:color w:val="auto"/>
        </w:rPr>
      </w:pPr>
      <w:r w:rsidRPr="00D86461">
        <w:rPr>
          <w:rFonts w:eastAsia="楷体_GB2312" w:hint="eastAsia"/>
          <w:color w:val="auto"/>
        </w:rPr>
        <w:t>三季度实体经济再度走弱，宏观政策总体保持稳健，微刺激托底意图较为明确，在改革预期与居民资产再配置的背景下，</w:t>
      </w:r>
      <w:r w:rsidRPr="00D86461">
        <w:rPr>
          <w:rFonts w:eastAsia="楷体_GB2312"/>
          <w:color w:val="auto"/>
        </w:rPr>
        <w:t>A</w:t>
      </w:r>
      <w:r w:rsidRPr="00D86461">
        <w:rPr>
          <w:rFonts w:eastAsia="楷体_GB2312" w:hint="eastAsia"/>
          <w:color w:val="auto"/>
        </w:rPr>
        <w:t>股市场震荡攀升，并实现由大盘蓝筹向中小盘成长风格转换，最终</w:t>
      </w:r>
      <w:r>
        <w:rPr>
          <w:rFonts w:eastAsia="楷体_GB2312" w:hint="eastAsia"/>
          <w:color w:val="auto"/>
        </w:rPr>
        <w:t>上证</w:t>
      </w:r>
      <w:r w:rsidRPr="005B0A52">
        <w:rPr>
          <w:rFonts w:eastAsia="楷体_GB2312" w:hint="eastAsia"/>
          <w:color w:val="auto"/>
        </w:rPr>
        <w:t>指数</w:t>
      </w:r>
      <w:r>
        <w:rPr>
          <w:rFonts w:eastAsia="楷体_GB2312" w:hint="eastAsia"/>
          <w:color w:val="auto"/>
        </w:rPr>
        <w:t>季度内上涨</w:t>
      </w:r>
      <w:r>
        <w:rPr>
          <w:rFonts w:eastAsia="楷体_GB2312"/>
          <w:color w:val="auto"/>
        </w:rPr>
        <w:t>15.40%</w:t>
      </w:r>
      <w:r w:rsidRPr="005B0A52">
        <w:rPr>
          <w:rFonts w:eastAsia="楷体_GB2312" w:hint="eastAsia"/>
          <w:color w:val="auto"/>
        </w:rPr>
        <w:t>，深成指</w:t>
      </w:r>
      <w:r>
        <w:rPr>
          <w:rFonts w:eastAsia="楷体_GB2312" w:hint="eastAsia"/>
          <w:color w:val="auto"/>
        </w:rPr>
        <w:t>上涨</w:t>
      </w:r>
      <w:r>
        <w:rPr>
          <w:rFonts w:eastAsia="楷体_GB2312"/>
          <w:color w:val="auto"/>
        </w:rPr>
        <w:t>21.58</w:t>
      </w:r>
      <w:r w:rsidRPr="005B0A52">
        <w:rPr>
          <w:rFonts w:eastAsia="楷体_GB2312"/>
          <w:color w:val="auto"/>
        </w:rPr>
        <w:t>%</w:t>
      </w:r>
      <w:r w:rsidRPr="005B0A52">
        <w:rPr>
          <w:rFonts w:eastAsia="楷体_GB2312" w:hint="eastAsia"/>
          <w:color w:val="auto"/>
        </w:rPr>
        <w:t>，沪深</w:t>
      </w:r>
      <w:r w:rsidRPr="005B0A52">
        <w:rPr>
          <w:rFonts w:eastAsia="楷体_GB2312"/>
          <w:color w:val="auto"/>
        </w:rPr>
        <w:t>300</w:t>
      </w:r>
      <w:r>
        <w:rPr>
          <w:rFonts w:eastAsia="楷体_GB2312" w:hint="eastAsia"/>
          <w:color w:val="auto"/>
        </w:rPr>
        <w:t>上涨</w:t>
      </w:r>
      <w:r>
        <w:rPr>
          <w:rFonts w:eastAsia="楷体_GB2312"/>
          <w:color w:val="auto"/>
        </w:rPr>
        <w:t>13.20</w:t>
      </w:r>
      <w:r w:rsidRPr="005B0A52">
        <w:rPr>
          <w:rFonts w:eastAsia="楷体_GB2312"/>
          <w:color w:val="auto"/>
        </w:rPr>
        <w:t>%</w:t>
      </w:r>
      <w:r w:rsidRPr="005B0A52">
        <w:rPr>
          <w:rFonts w:eastAsia="楷体_GB2312" w:hint="eastAsia"/>
          <w:color w:val="auto"/>
        </w:rPr>
        <w:t>。</w:t>
      </w:r>
      <w:r>
        <w:rPr>
          <w:rFonts w:eastAsia="楷体_GB2312" w:hint="eastAsia"/>
          <w:color w:val="auto"/>
        </w:rPr>
        <w:t>从行业的角度上来看，农业、交运仓储、综合、公用事业板块涨幅居前。</w:t>
      </w:r>
    </w:p>
    <w:p w:rsidR="00803212" w:rsidRDefault="00803212" w:rsidP="00F4743D">
      <w:pPr>
        <w:pStyle w:val="BodyText"/>
        <w:numPr>
          <w:ilvl w:val="4"/>
          <w:numId w:val="1"/>
        </w:numPr>
        <w:spacing w:after="163"/>
        <w:rPr>
          <w:rFonts w:eastAsia="楷体_GB2312"/>
          <w:color w:val="auto"/>
        </w:rPr>
      </w:pPr>
      <w:r>
        <w:rPr>
          <w:rFonts w:eastAsia="楷体_GB2312" w:hint="eastAsia"/>
          <w:color w:val="auto"/>
        </w:rPr>
        <w:t>三季度</w:t>
      </w:r>
      <w:r w:rsidRPr="00F31B10">
        <w:rPr>
          <w:rFonts w:eastAsia="楷体_GB2312" w:hint="eastAsia"/>
          <w:color w:val="auto"/>
        </w:rPr>
        <w:t>开放式偏股型基金净值</w:t>
      </w:r>
      <w:r>
        <w:rPr>
          <w:rFonts w:eastAsia="楷体_GB2312" w:hint="eastAsia"/>
          <w:color w:val="auto"/>
        </w:rPr>
        <w:t>平均上涨</w:t>
      </w:r>
      <w:r>
        <w:rPr>
          <w:rFonts w:eastAsia="楷体_GB2312"/>
          <w:color w:val="auto"/>
        </w:rPr>
        <w:t>13.05%</w:t>
      </w:r>
      <w:r w:rsidRPr="00F31B10">
        <w:rPr>
          <w:rFonts w:eastAsia="楷体_GB2312" w:hint="eastAsia"/>
          <w:color w:val="auto"/>
        </w:rPr>
        <w:t>，</w:t>
      </w:r>
      <w:r>
        <w:rPr>
          <w:rFonts w:eastAsia="楷体_GB2312" w:hint="eastAsia"/>
          <w:color w:val="auto"/>
        </w:rPr>
        <w:t>其中主动股票</w:t>
      </w:r>
      <w:r w:rsidRPr="00F31B10">
        <w:rPr>
          <w:rFonts w:eastAsia="楷体_GB2312" w:hint="eastAsia"/>
          <w:color w:val="auto"/>
        </w:rPr>
        <w:t>基金平均上涨</w:t>
      </w:r>
      <w:r>
        <w:rPr>
          <w:rFonts w:eastAsia="楷体_GB2312"/>
          <w:color w:val="auto"/>
        </w:rPr>
        <w:t>14.25</w:t>
      </w:r>
      <w:r w:rsidRPr="00F31B10">
        <w:rPr>
          <w:rFonts w:eastAsia="楷体_GB2312"/>
          <w:color w:val="auto"/>
        </w:rPr>
        <w:t>%</w:t>
      </w:r>
      <w:r>
        <w:rPr>
          <w:rFonts w:eastAsia="楷体_GB2312" w:hint="eastAsia"/>
          <w:color w:val="auto"/>
        </w:rPr>
        <w:t>，被动投资的</w:t>
      </w:r>
      <w:r w:rsidRPr="00F31B10">
        <w:rPr>
          <w:rFonts w:eastAsia="楷体_GB2312" w:hint="eastAsia"/>
          <w:color w:val="auto"/>
        </w:rPr>
        <w:t>指数型产品平均</w:t>
      </w:r>
      <w:r>
        <w:rPr>
          <w:rFonts w:eastAsia="楷体_GB2312" w:hint="eastAsia"/>
          <w:color w:val="auto"/>
        </w:rPr>
        <w:t>收益上涨</w:t>
      </w:r>
      <w:r>
        <w:rPr>
          <w:rFonts w:eastAsia="楷体_GB2312"/>
          <w:color w:val="auto"/>
        </w:rPr>
        <w:t>15.33%</w:t>
      </w:r>
      <w:r w:rsidRPr="00F31B10">
        <w:rPr>
          <w:rFonts w:eastAsia="楷体_GB2312"/>
          <w:color w:val="auto"/>
        </w:rPr>
        <w:t>%</w:t>
      </w:r>
      <w:r w:rsidRPr="00F31B10">
        <w:rPr>
          <w:rFonts w:eastAsia="楷体_GB2312" w:hint="eastAsia"/>
          <w:color w:val="auto"/>
        </w:rPr>
        <w:t>，混合型基金平均</w:t>
      </w:r>
      <w:r>
        <w:rPr>
          <w:rFonts w:eastAsia="楷体_GB2312" w:hint="eastAsia"/>
          <w:color w:val="auto"/>
        </w:rPr>
        <w:t>上涨</w:t>
      </w:r>
      <w:r>
        <w:rPr>
          <w:rFonts w:eastAsia="楷体_GB2312"/>
          <w:color w:val="auto"/>
        </w:rPr>
        <w:t>10.41%</w:t>
      </w:r>
      <w:r>
        <w:rPr>
          <w:rFonts w:eastAsia="楷体_GB2312" w:hint="eastAsia"/>
          <w:color w:val="auto"/>
        </w:rPr>
        <w:t>，整体来看，仓位较高的股票型产品尤其是指数型基金表现更优</w:t>
      </w:r>
      <w:r w:rsidRPr="00F31B10">
        <w:rPr>
          <w:rFonts w:eastAsia="楷体_GB2312" w:hint="eastAsia"/>
          <w:color w:val="auto"/>
        </w:rPr>
        <w:t>。</w:t>
      </w:r>
    </w:p>
    <w:p w:rsidR="00803212" w:rsidRPr="003B33A2" w:rsidRDefault="00803212" w:rsidP="00F4743D">
      <w:pPr>
        <w:pStyle w:val="BodyText"/>
        <w:numPr>
          <w:ilvl w:val="4"/>
          <w:numId w:val="1"/>
        </w:numPr>
        <w:spacing w:after="163"/>
        <w:rPr>
          <w:rFonts w:eastAsia="楷体_GB2312"/>
          <w:color w:val="auto"/>
        </w:rPr>
      </w:pPr>
      <w:r w:rsidRPr="00F31B10">
        <w:rPr>
          <w:rFonts w:eastAsia="楷体_GB2312" w:hint="eastAsia"/>
          <w:color w:val="auto"/>
        </w:rPr>
        <w:t>对于开放式主动偏股产品（主动股票型、混合型）而言，</w:t>
      </w:r>
      <w:r>
        <w:rPr>
          <w:rFonts w:eastAsia="楷体_GB2312" w:hint="eastAsia"/>
          <w:color w:val="auto"/>
        </w:rPr>
        <w:t>受益股指攀升，整体呈现普涨格局，而伴随着风格轮动与热点的兴起，中小盘成长风格基金、部分量化产品位居涨幅榜前列，其中三款量化基金长信量化先锋、大摩多因子策略、华商量化精选季度净值涨幅均逾</w:t>
      </w:r>
      <w:r>
        <w:rPr>
          <w:rFonts w:eastAsia="楷体_GB2312"/>
          <w:color w:val="auto"/>
        </w:rPr>
        <w:t>30%</w:t>
      </w:r>
      <w:r>
        <w:rPr>
          <w:rFonts w:eastAsia="楷体_GB2312" w:hint="eastAsia"/>
          <w:color w:val="auto"/>
        </w:rPr>
        <w:t>，包揽阶段业绩前三甲；重配建筑业与信息技术的财通发展位列第四，而成长风格较为突出的中邮核心、招商行业领先、华商主题精选、大摩主题精选同样排名居前；此外行业主题基金长盛航天海工受益军工板块的强劲表现，季度涨幅达</w:t>
      </w:r>
      <w:r>
        <w:rPr>
          <w:rFonts w:eastAsia="楷体_GB2312"/>
          <w:color w:val="auto"/>
        </w:rPr>
        <w:t>28.44%</w:t>
      </w:r>
      <w:r>
        <w:rPr>
          <w:rFonts w:eastAsia="楷体_GB2312" w:hint="eastAsia"/>
          <w:color w:val="auto"/>
        </w:rPr>
        <w:t>，同样业绩亮眼。</w:t>
      </w:r>
      <w:r w:rsidRPr="003B33A2">
        <w:rPr>
          <w:rFonts w:eastAsia="楷体_GB2312" w:hint="eastAsia"/>
          <w:color w:val="auto"/>
        </w:rPr>
        <w:t>另一方面，</w:t>
      </w:r>
      <w:r>
        <w:rPr>
          <w:rFonts w:eastAsia="楷体_GB2312" w:hint="eastAsia"/>
          <w:color w:val="auto"/>
        </w:rPr>
        <w:t>部分追求绝对受益的混合基金品种，如嘉实绝对收益、嘉实对冲套利、新华一路财富、工银绝对收益同期涨幅则由于产品定位因素较为滞后。</w:t>
      </w:r>
    </w:p>
    <w:p w:rsidR="00803212" w:rsidRDefault="00803212" w:rsidP="00F4743D">
      <w:pPr>
        <w:pStyle w:val="BodyText"/>
        <w:numPr>
          <w:ilvl w:val="4"/>
          <w:numId w:val="1"/>
        </w:numPr>
        <w:spacing w:after="163"/>
        <w:rPr>
          <w:rFonts w:eastAsia="楷体_GB2312"/>
          <w:color w:val="auto"/>
        </w:rPr>
      </w:pPr>
      <w:r w:rsidRPr="00F31B10">
        <w:rPr>
          <w:rFonts w:eastAsia="楷体_GB2312" w:hint="eastAsia"/>
          <w:color w:val="auto"/>
        </w:rPr>
        <w:t>就指数型产品而言，</w:t>
      </w:r>
      <w:r>
        <w:rPr>
          <w:rFonts w:eastAsia="楷体_GB2312" w:hint="eastAsia"/>
          <w:color w:val="auto"/>
        </w:rPr>
        <w:t>全部可比</w:t>
      </w:r>
      <w:r>
        <w:rPr>
          <w:rFonts w:eastAsia="楷体_GB2312"/>
          <w:color w:val="auto"/>
        </w:rPr>
        <w:t>258</w:t>
      </w:r>
      <w:r>
        <w:rPr>
          <w:rFonts w:eastAsia="楷体_GB2312" w:hint="eastAsia"/>
          <w:color w:val="auto"/>
        </w:rPr>
        <w:t>只产品全部实现上涨，其中以中证军工为跟踪标的的主题型指数基金业绩喜人，富国军工、前海中证军工季度内分别上涨</w:t>
      </w:r>
      <w:r>
        <w:rPr>
          <w:rFonts w:eastAsia="楷体_GB2312"/>
          <w:color w:val="auto"/>
        </w:rPr>
        <w:t>33.45%</w:t>
      </w:r>
      <w:r>
        <w:rPr>
          <w:rFonts w:eastAsia="楷体_GB2312" w:hint="eastAsia"/>
          <w:color w:val="auto"/>
        </w:rPr>
        <w:t>、</w:t>
      </w:r>
      <w:r>
        <w:rPr>
          <w:rFonts w:eastAsia="楷体_GB2312"/>
          <w:color w:val="auto"/>
        </w:rPr>
        <w:t>32.96%</w:t>
      </w:r>
      <w:r>
        <w:rPr>
          <w:rFonts w:eastAsia="楷体_GB2312" w:hint="eastAsia"/>
          <w:color w:val="auto"/>
        </w:rPr>
        <w:t>，排名前两位。此外跟踪中小盘成长风格突出，行业分布相对均衡的中证</w:t>
      </w:r>
      <w:r>
        <w:rPr>
          <w:rFonts w:eastAsia="楷体_GB2312"/>
          <w:color w:val="auto"/>
        </w:rPr>
        <w:t>500</w:t>
      </w:r>
      <w:r>
        <w:rPr>
          <w:rFonts w:eastAsia="楷体_GB2312" w:hint="eastAsia"/>
          <w:color w:val="auto"/>
        </w:rPr>
        <w:t>指数的产品同样表现优异，如建信中证</w:t>
      </w:r>
      <w:r>
        <w:rPr>
          <w:rFonts w:eastAsia="楷体_GB2312"/>
          <w:color w:val="auto"/>
        </w:rPr>
        <w:t>500</w:t>
      </w:r>
      <w:r>
        <w:rPr>
          <w:rFonts w:eastAsia="楷体_GB2312" w:hint="eastAsia"/>
          <w:color w:val="auto"/>
        </w:rPr>
        <w:t>、诺安</w:t>
      </w:r>
      <w:r>
        <w:rPr>
          <w:rFonts w:eastAsia="楷体_GB2312"/>
          <w:color w:val="auto"/>
        </w:rPr>
        <w:t>500</w:t>
      </w:r>
      <w:r>
        <w:rPr>
          <w:rFonts w:eastAsia="楷体_GB2312" w:hint="eastAsia"/>
          <w:color w:val="auto"/>
        </w:rPr>
        <w:t>、南方</w:t>
      </w:r>
      <w:r>
        <w:rPr>
          <w:rFonts w:eastAsia="楷体_GB2312"/>
          <w:color w:val="auto"/>
        </w:rPr>
        <w:t>500ETF</w:t>
      </w:r>
      <w:r>
        <w:rPr>
          <w:rFonts w:eastAsia="楷体_GB2312" w:hint="eastAsia"/>
          <w:color w:val="auto"/>
        </w:rPr>
        <w:t>、广发</w:t>
      </w:r>
      <w:r>
        <w:rPr>
          <w:rFonts w:eastAsia="楷体_GB2312"/>
          <w:color w:val="auto"/>
        </w:rPr>
        <w:t>500ETF</w:t>
      </w:r>
      <w:r>
        <w:rPr>
          <w:rFonts w:eastAsia="楷体_GB2312" w:hint="eastAsia"/>
          <w:color w:val="auto"/>
        </w:rPr>
        <w:t>等。</w:t>
      </w:r>
    </w:p>
    <w:p w:rsidR="00803212" w:rsidRDefault="00803212" w:rsidP="00E969EA">
      <w:pPr>
        <w:pStyle w:val="BodyText"/>
        <w:spacing w:after="163"/>
        <w:ind w:left="0"/>
        <w:rPr>
          <w:rFonts w:eastAsia="楷体_GB2312"/>
          <w:color w:val="auto"/>
        </w:rPr>
      </w:pPr>
      <w:r>
        <w:rPr>
          <w:noProof/>
          <w:lang w:val="en-US"/>
        </w:rPr>
        <w:pict>
          <v:shape id="_x0000_s1036" type="#_x0000_t202" style="position:absolute;left:0;text-align:left;margin-left:284.55pt;margin-top:1.1pt;width:273.75pt;height:249pt;z-index:251658752" stroked="f">
            <v:textbox>
              <w:txbxContent>
                <w:tbl>
                  <w:tblPr>
                    <w:tblW w:w="5235" w:type="dxa"/>
                    <w:tblInd w:w="93" w:type="dxa"/>
                    <w:tblLook w:val="00A0"/>
                  </w:tblPr>
                  <w:tblGrid>
                    <w:gridCol w:w="958"/>
                    <w:gridCol w:w="2559"/>
                    <w:gridCol w:w="1022"/>
                    <w:gridCol w:w="696"/>
                  </w:tblGrid>
                  <w:tr w:rsidR="00803212" w:rsidRPr="00C41721" w:rsidTr="00F4563C">
                    <w:trPr>
                      <w:trHeight w:val="284"/>
                    </w:trPr>
                    <w:tc>
                      <w:tcPr>
                        <w:tcW w:w="4539" w:type="dxa"/>
                        <w:gridSpan w:val="3"/>
                        <w:tcBorders>
                          <w:top w:val="single" w:sz="8" w:space="0" w:color="E46D0A"/>
                          <w:left w:val="nil"/>
                          <w:bottom w:val="single" w:sz="8" w:space="0" w:color="E46D0A"/>
                          <w:right w:val="nil"/>
                        </w:tcBorders>
                        <w:noWrap/>
                        <w:vAlign w:val="center"/>
                      </w:tcPr>
                      <w:p w:rsidR="00803212" w:rsidRPr="00240D95" w:rsidRDefault="00803212" w:rsidP="00240D95">
                        <w:pPr>
                          <w:jc w:val="left"/>
                          <w:rPr>
                            <w:rFonts w:ascii="宋体" w:cs="宋体"/>
                            <w:b/>
                            <w:bCs/>
                            <w:i/>
                            <w:iCs/>
                            <w:color w:val="E36C0A"/>
                            <w:sz w:val="20"/>
                            <w:szCs w:val="20"/>
                          </w:rPr>
                        </w:pPr>
                        <w:r w:rsidRPr="00C41721">
                          <w:rPr>
                            <w:rFonts w:hint="eastAsia"/>
                            <w:b/>
                            <w:bCs/>
                            <w:i/>
                            <w:iCs/>
                            <w:color w:val="E36C0A"/>
                            <w:sz w:val="20"/>
                          </w:rPr>
                          <w:t>图表</w:t>
                        </w:r>
                        <w:r w:rsidRPr="00C41721">
                          <w:rPr>
                            <w:b/>
                            <w:bCs/>
                            <w:i/>
                            <w:iCs/>
                            <w:color w:val="E36C0A"/>
                            <w:sz w:val="20"/>
                            <w:szCs w:val="20"/>
                          </w:rPr>
                          <w:t>3:2014</w:t>
                        </w:r>
                        <w:r w:rsidRPr="00C41721">
                          <w:rPr>
                            <w:rFonts w:hint="eastAsia"/>
                            <w:b/>
                            <w:bCs/>
                            <w:i/>
                            <w:iCs/>
                            <w:color w:val="E36C0A"/>
                            <w:sz w:val="20"/>
                            <w:szCs w:val="20"/>
                          </w:rPr>
                          <w:t>年三季度指数型产品前十</w:t>
                        </w:r>
                      </w:p>
                    </w:tc>
                    <w:tc>
                      <w:tcPr>
                        <w:tcW w:w="696" w:type="dxa"/>
                        <w:tcBorders>
                          <w:top w:val="single" w:sz="8" w:space="0" w:color="E46D0A"/>
                          <w:left w:val="nil"/>
                          <w:bottom w:val="single" w:sz="8" w:space="0" w:color="E46D0A"/>
                          <w:right w:val="nil"/>
                        </w:tcBorders>
                        <w:noWrap/>
                        <w:vAlign w:val="bottom"/>
                      </w:tcPr>
                      <w:p w:rsidR="00803212" w:rsidRPr="003072DB" w:rsidRDefault="00803212" w:rsidP="003072DB">
                        <w:pPr>
                          <w:widowControl/>
                          <w:jc w:val="left"/>
                          <w:rPr>
                            <w:rFonts w:ascii="宋体" w:cs="宋体"/>
                            <w:color w:val="000000"/>
                            <w:kern w:val="0"/>
                            <w:sz w:val="22"/>
                          </w:rPr>
                        </w:pPr>
                        <w:r w:rsidRPr="003072DB">
                          <w:rPr>
                            <w:rFonts w:ascii="宋体" w:hAnsi="宋体" w:cs="宋体" w:hint="eastAsia"/>
                            <w:color w:val="000000"/>
                            <w:kern w:val="0"/>
                            <w:sz w:val="22"/>
                          </w:rPr>
                          <w:t xml:space="preserve">　</w:t>
                        </w:r>
                      </w:p>
                    </w:tc>
                  </w:tr>
                  <w:tr w:rsidR="00803212" w:rsidRPr="00C41721" w:rsidTr="003072DB">
                    <w:trPr>
                      <w:trHeight w:val="434"/>
                    </w:trPr>
                    <w:tc>
                      <w:tcPr>
                        <w:tcW w:w="958" w:type="dxa"/>
                        <w:tcBorders>
                          <w:top w:val="nil"/>
                          <w:left w:val="nil"/>
                          <w:bottom w:val="single" w:sz="8" w:space="0" w:color="E46D0A"/>
                          <w:right w:val="nil"/>
                        </w:tcBorders>
                        <w:noWrap/>
                        <w:vAlign w:val="center"/>
                      </w:tcPr>
                      <w:p w:rsidR="00803212" w:rsidRPr="003072DB" w:rsidRDefault="00803212" w:rsidP="003072DB">
                        <w:pPr>
                          <w:widowControl/>
                          <w:jc w:val="center"/>
                          <w:rPr>
                            <w:rFonts w:ascii="宋体" w:cs="宋体"/>
                            <w:color w:val="000000"/>
                            <w:kern w:val="0"/>
                            <w:sz w:val="16"/>
                            <w:szCs w:val="16"/>
                          </w:rPr>
                        </w:pPr>
                        <w:r w:rsidRPr="003072DB">
                          <w:rPr>
                            <w:rFonts w:ascii="宋体" w:hAnsi="宋体" w:cs="宋体" w:hint="eastAsia"/>
                            <w:color w:val="000000"/>
                            <w:kern w:val="0"/>
                            <w:sz w:val="16"/>
                            <w:szCs w:val="16"/>
                          </w:rPr>
                          <w:t>市场代码</w:t>
                        </w:r>
                      </w:p>
                    </w:tc>
                    <w:tc>
                      <w:tcPr>
                        <w:tcW w:w="2559" w:type="dxa"/>
                        <w:tcBorders>
                          <w:top w:val="nil"/>
                          <w:left w:val="nil"/>
                          <w:bottom w:val="single" w:sz="8" w:space="0" w:color="E46D0A"/>
                          <w:right w:val="nil"/>
                        </w:tcBorders>
                        <w:noWrap/>
                        <w:vAlign w:val="center"/>
                      </w:tcPr>
                      <w:p w:rsidR="00803212" w:rsidRPr="003072DB" w:rsidRDefault="00803212" w:rsidP="003072DB">
                        <w:pPr>
                          <w:widowControl/>
                          <w:jc w:val="center"/>
                          <w:rPr>
                            <w:rFonts w:ascii="宋体" w:cs="宋体"/>
                            <w:color w:val="000000"/>
                            <w:kern w:val="0"/>
                            <w:sz w:val="16"/>
                            <w:szCs w:val="16"/>
                          </w:rPr>
                        </w:pPr>
                        <w:r w:rsidRPr="003072DB">
                          <w:rPr>
                            <w:rFonts w:ascii="宋体" w:hAnsi="宋体" w:cs="宋体" w:hint="eastAsia"/>
                            <w:color w:val="000000"/>
                            <w:kern w:val="0"/>
                            <w:sz w:val="16"/>
                            <w:szCs w:val="16"/>
                          </w:rPr>
                          <w:t>基金名称</w:t>
                        </w:r>
                      </w:p>
                    </w:tc>
                    <w:tc>
                      <w:tcPr>
                        <w:tcW w:w="1022" w:type="dxa"/>
                        <w:tcBorders>
                          <w:top w:val="nil"/>
                          <w:left w:val="nil"/>
                          <w:bottom w:val="single" w:sz="8" w:space="0" w:color="E46D0A"/>
                          <w:right w:val="nil"/>
                        </w:tcBorders>
                        <w:vAlign w:val="center"/>
                      </w:tcPr>
                      <w:p w:rsidR="00803212" w:rsidRPr="003072DB" w:rsidRDefault="00803212" w:rsidP="003072DB">
                        <w:pPr>
                          <w:widowControl/>
                          <w:jc w:val="center"/>
                          <w:rPr>
                            <w:rFonts w:ascii="宋体" w:cs="宋体"/>
                            <w:color w:val="000000"/>
                            <w:kern w:val="0"/>
                            <w:sz w:val="16"/>
                            <w:szCs w:val="16"/>
                          </w:rPr>
                        </w:pPr>
                        <w:r>
                          <w:rPr>
                            <w:rFonts w:ascii="宋体" w:hAnsi="宋体" w:cs="宋体" w:hint="eastAsia"/>
                            <w:color w:val="000000"/>
                            <w:kern w:val="0"/>
                            <w:sz w:val="16"/>
                            <w:szCs w:val="16"/>
                          </w:rPr>
                          <w:t>三季度</w:t>
                        </w:r>
                        <w:r w:rsidRPr="003072DB">
                          <w:rPr>
                            <w:rFonts w:ascii="宋体" w:hAnsi="宋体" w:cs="宋体" w:hint="eastAsia"/>
                            <w:color w:val="000000"/>
                            <w:kern w:val="0"/>
                            <w:sz w:val="16"/>
                            <w:szCs w:val="16"/>
                          </w:rPr>
                          <w:t>业绩（</w:t>
                        </w:r>
                        <w:r w:rsidRPr="003072DB">
                          <w:rPr>
                            <w:rFonts w:ascii="宋体" w:hAnsi="宋体" w:cs="宋体"/>
                            <w:color w:val="000000"/>
                            <w:kern w:val="0"/>
                            <w:sz w:val="16"/>
                            <w:szCs w:val="16"/>
                          </w:rPr>
                          <w:t>%</w:t>
                        </w:r>
                        <w:r w:rsidRPr="003072DB">
                          <w:rPr>
                            <w:rFonts w:ascii="宋体" w:hAnsi="宋体" w:cs="宋体" w:hint="eastAsia"/>
                            <w:color w:val="000000"/>
                            <w:kern w:val="0"/>
                            <w:sz w:val="16"/>
                            <w:szCs w:val="16"/>
                          </w:rPr>
                          <w:t>）</w:t>
                        </w:r>
                      </w:p>
                    </w:tc>
                    <w:tc>
                      <w:tcPr>
                        <w:tcW w:w="696" w:type="dxa"/>
                        <w:tcBorders>
                          <w:top w:val="nil"/>
                          <w:left w:val="nil"/>
                          <w:bottom w:val="single" w:sz="8" w:space="0" w:color="E46D0A"/>
                          <w:right w:val="nil"/>
                        </w:tcBorders>
                        <w:noWrap/>
                        <w:vAlign w:val="center"/>
                      </w:tcPr>
                      <w:p w:rsidR="00803212" w:rsidRPr="003072DB" w:rsidRDefault="00803212" w:rsidP="003072DB">
                        <w:pPr>
                          <w:widowControl/>
                          <w:jc w:val="center"/>
                          <w:rPr>
                            <w:rFonts w:ascii="宋体" w:cs="宋体"/>
                            <w:color w:val="000000"/>
                            <w:kern w:val="0"/>
                            <w:sz w:val="16"/>
                            <w:szCs w:val="16"/>
                          </w:rPr>
                        </w:pPr>
                        <w:r w:rsidRPr="003072DB">
                          <w:rPr>
                            <w:rFonts w:ascii="宋体" w:hAnsi="宋体" w:cs="宋体" w:hint="eastAsia"/>
                            <w:color w:val="000000"/>
                            <w:kern w:val="0"/>
                            <w:sz w:val="16"/>
                            <w:szCs w:val="16"/>
                          </w:rPr>
                          <w:t>排名</w:t>
                        </w:r>
                      </w:p>
                    </w:tc>
                  </w:tr>
                  <w:tr w:rsidR="00803212" w:rsidRPr="00C41721" w:rsidTr="00E2759C">
                    <w:trPr>
                      <w:trHeight w:val="269"/>
                    </w:trPr>
                    <w:tc>
                      <w:tcPr>
                        <w:tcW w:w="958" w:type="dxa"/>
                        <w:tcBorders>
                          <w:top w:val="nil"/>
                          <w:left w:val="nil"/>
                          <w:bottom w:val="nil"/>
                          <w:right w:val="nil"/>
                        </w:tcBorders>
                        <w:noWrap/>
                      </w:tcPr>
                      <w:p w:rsidR="00803212" w:rsidRDefault="00803212">
                        <w:pPr>
                          <w:jc w:val="center"/>
                          <w:rPr>
                            <w:rFonts w:cs="宋体"/>
                            <w:color w:val="000000"/>
                            <w:sz w:val="16"/>
                            <w:szCs w:val="16"/>
                          </w:rPr>
                        </w:pPr>
                        <w:r w:rsidRPr="00C41721">
                          <w:rPr>
                            <w:color w:val="000000"/>
                            <w:sz w:val="16"/>
                            <w:szCs w:val="16"/>
                          </w:rPr>
                          <w:t>161024</w:t>
                        </w:r>
                      </w:p>
                    </w:tc>
                    <w:tc>
                      <w:tcPr>
                        <w:tcW w:w="2559" w:type="dxa"/>
                        <w:tcBorders>
                          <w:top w:val="nil"/>
                          <w:left w:val="nil"/>
                          <w:bottom w:val="nil"/>
                          <w:right w:val="nil"/>
                        </w:tcBorders>
                        <w:noWrap/>
                      </w:tcPr>
                      <w:p w:rsidR="00803212" w:rsidRDefault="00803212">
                        <w:pPr>
                          <w:jc w:val="center"/>
                          <w:rPr>
                            <w:rFonts w:ascii="宋体" w:cs="宋体"/>
                            <w:color w:val="000000"/>
                            <w:sz w:val="16"/>
                            <w:szCs w:val="16"/>
                          </w:rPr>
                        </w:pPr>
                        <w:r w:rsidRPr="00C41721">
                          <w:rPr>
                            <w:rFonts w:hint="eastAsia"/>
                            <w:color w:val="000000"/>
                            <w:sz w:val="16"/>
                            <w:szCs w:val="16"/>
                          </w:rPr>
                          <w:t>富国军工</w:t>
                        </w:r>
                      </w:p>
                    </w:tc>
                    <w:tc>
                      <w:tcPr>
                        <w:tcW w:w="1022" w:type="dxa"/>
                        <w:tcBorders>
                          <w:top w:val="nil"/>
                          <w:left w:val="nil"/>
                          <w:bottom w:val="nil"/>
                          <w:right w:val="nil"/>
                        </w:tcBorders>
                        <w:noWrap/>
                      </w:tcPr>
                      <w:p w:rsidR="00803212" w:rsidRDefault="00803212">
                        <w:pPr>
                          <w:jc w:val="center"/>
                          <w:rPr>
                            <w:rFonts w:cs="宋体"/>
                            <w:color w:val="000000"/>
                            <w:sz w:val="16"/>
                            <w:szCs w:val="16"/>
                          </w:rPr>
                        </w:pPr>
                        <w:r w:rsidRPr="00C41721">
                          <w:rPr>
                            <w:color w:val="000000"/>
                            <w:sz w:val="16"/>
                            <w:szCs w:val="16"/>
                          </w:rPr>
                          <w:t>33.45</w:t>
                        </w:r>
                      </w:p>
                    </w:tc>
                    <w:tc>
                      <w:tcPr>
                        <w:tcW w:w="696" w:type="dxa"/>
                        <w:tcBorders>
                          <w:top w:val="nil"/>
                          <w:left w:val="nil"/>
                          <w:bottom w:val="nil"/>
                          <w:right w:val="nil"/>
                        </w:tcBorders>
                        <w:noWrap/>
                      </w:tcPr>
                      <w:p w:rsidR="00803212" w:rsidRDefault="00803212">
                        <w:pPr>
                          <w:jc w:val="center"/>
                          <w:rPr>
                            <w:rFonts w:cs="宋体"/>
                            <w:color w:val="000000"/>
                            <w:sz w:val="16"/>
                            <w:szCs w:val="16"/>
                          </w:rPr>
                        </w:pPr>
                        <w:r w:rsidRPr="00C41721">
                          <w:rPr>
                            <w:color w:val="000000"/>
                            <w:sz w:val="16"/>
                            <w:szCs w:val="16"/>
                          </w:rPr>
                          <w:t>1</w:t>
                        </w:r>
                      </w:p>
                    </w:tc>
                  </w:tr>
                  <w:tr w:rsidR="00803212" w:rsidRPr="00C41721" w:rsidTr="00E2759C">
                    <w:trPr>
                      <w:trHeight w:val="269"/>
                    </w:trPr>
                    <w:tc>
                      <w:tcPr>
                        <w:tcW w:w="958" w:type="dxa"/>
                        <w:tcBorders>
                          <w:top w:val="nil"/>
                          <w:left w:val="nil"/>
                          <w:bottom w:val="nil"/>
                          <w:right w:val="nil"/>
                        </w:tcBorders>
                        <w:noWrap/>
                      </w:tcPr>
                      <w:p w:rsidR="00803212" w:rsidRDefault="00803212">
                        <w:pPr>
                          <w:jc w:val="center"/>
                          <w:rPr>
                            <w:rFonts w:cs="宋体"/>
                            <w:color w:val="000000"/>
                            <w:sz w:val="16"/>
                            <w:szCs w:val="16"/>
                          </w:rPr>
                        </w:pPr>
                        <w:r w:rsidRPr="00C41721">
                          <w:rPr>
                            <w:color w:val="000000"/>
                            <w:sz w:val="16"/>
                            <w:szCs w:val="16"/>
                          </w:rPr>
                          <w:t>000596</w:t>
                        </w:r>
                      </w:p>
                    </w:tc>
                    <w:tc>
                      <w:tcPr>
                        <w:tcW w:w="2559" w:type="dxa"/>
                        <w:tcBorders>
                          <w:top w:val="nil"/>
                          <w:left w:val="nil"/>
                          <w:bottom w:val="nil"/>
                          <w:right w:val="nil"/>
                        </w:tcBorders>
                        <w:noWrap/>
                      </w:tcPr>
                      <w:p w:rsidR="00803212" w:rsidRDefault="00803212">
                        <w:pPr>
                          <w:jc w:val="center"/>
                          <w:rPr>
                            <w:rFonts w:ascii="宋体" w:cs="宋体"/>
                            <w:color w:val="000000"/>
                            <w:sz w:val="16"/>
                            <w:szCs w:val="16"/>
                          </w:rPr>
                        </w:pPr>
                        <w:r w:rsidRPr="00C41721">
                          <w:rPr>
                            <w:rFonts w:hint="eastAsia"/>
                            <w:color w:val="000000"/>
                            <w:sz w:val="16"/>
                            <w:szCs w:val="16"/>
                          </w:rPr>
                          <w:t>前海中证军工</w:t>
                        </w:r>
                      </w:p>
                    </w:tc>
                    <w:tc>
                      <w:tcPr>
                        <w:tcW w:w="1022" w:type="dxa"/>
                        <w:tcBorders>
                          <w:top w:val="nil"/>
                          <w:left w:val="nil"/>
                          <w:bottom w:val="nil"/>
                          <w:right w:val="nil"/>
                        </w:tcBorders>
                        <w:noWrap/>
                      </w:tcPr>
                      <w:p w:rsidR="00803212" w:rsidRDefault="00803212">
                        <w:pPr>
                          <w:jc w:val="center"/>
                          <w:rPr>
                            <w:rFonts w:cs="宋体"/>
                            <w:color w:val="000000"/>
                            <w:sz w:val="16"/>
                            <w:szCs w:val="16"/>
                          </w:rPr>
                        </w:pPr>
                        <w:r w:rsidRPr="00C41721">
                          <w:rPr>
                            <w:color w:val="000000"/>
                            <w:sz w:val="16"/>
                            <w:szCs w:val="16"/>
                          </w:rPr>
                          <w:t>32.96</w:t>
                        </w:r>
                      </w:p>
                    </w:tc>
                    <w:tc>
                      <w:tcPr>
                        <w:tcW w:w="696" w:type="dxa"/>
                        <w:tcBorders>
                          <w:top w:val="nil"/>
                          <w:left w:val="nil"/>
                          <w:bottom w:val="nil"/>
                          <w:right w:val="nil"/>
                        </w:tcBorders>
                        <w:noWrap/>
                      </w:tcPr>
                      <w:p w:rsidR="00803212" w:rsidRDefault="00803212">
                        <w:pPr>
                          <w:jc w:val="center"/>
                          <w:rPr>
                            <w:rFonts w:cs="宋体"/>
                            <w:color w:val="000000"/>
                            <w:sz w:val="16"/>
                            <w:szCs w:val="16"/>
                          </w:rPr>
                        </w:pPr>
                        <w:r w:rsidRPr="00C41721">
                          <w:rPr>
                            <w:color w:val="000000"/>
                            <w:sz w:val="16"/>
                            <w:szCs w:val="16"/>
                          </w:rPr>
                          <w:t>2</w:t>
                        </w:r>
                      </w:p>
                    </w:tc>
                  </w:tr>
                  <w:tr w:rsidR="00803212" w:rsidRPr="00C41721" w:rsidTr="00E2759C">
                    <w:trPr>
                      <w:trHeight w:val="269"/>
                    </w:trPr>
                    <w:tc>
                      <w:tcPr>
                        <w:tcW w:w="958" w:type="dxa"/>
                        <w:tcBorders>
                          <w:top w:val="nil"/>
                          <w:left w:val="nil"/>
                          <w:bottom w:val="nil"/>
                          <w:right w:val="nil"/>
                        </w:tcBorders>
                        <w:noWrap/>
                      </w:tcPr>
                      <w:p w:rsidR="00803212" w:rsidRDefault="00803212">
                        <w:pPr>
                          <w:jc w:val="center"/>
                          <w:rPr>
                            <w:rFonts w:cs="宋体"/>
                            <w:color w:val="000000"/>
                            <w:sz w:val="16"/>
                            <w:szCs w:val="16"/>
                          </w:rPr>
                        </w:pPr>
                        <w:r w:rsidRPr="00C41721">
                          <w:rPr>
                            <w:color w:val="000000"/>
                            <w:sz w:val="16"/>
                            <w:szCs w:val="16"/>
                          </w:rPr>
                          <w:t>000478</w:t>
                        </w:r>
                      </w:p>
                    </w:tc>
                    <w:tc>
                      <w:tcPr>
                        <w:tcW w:w="2559" w:type="dxa"/>
                        <w:tcBorders>
                          <w:top w:val="nil"/>
                          <w:left w:val="nil"/>
                          <w:bottom w:val="nil"/>
                          <w:right w:val="nil"/>
                        </w:tcBorders>
                        <w:noWrap/>
                      </w:tcPr>
                      <w:p w:rsidR="00803212" w:rsidRDefault="00803212">
                        <w:pPr>
                          <w:jc w:val="center"/>
                          <w:rPr>
                            <w:rFonts w:ascii="宋体" w:cs="宋体"/>
                            <w:color w:val="000000"/>
                            <w:sz w:val="16"/>
                            <w:szCs w:val="16"/>
                          </w:rPr>
                        </w:pPr>
                        <w:r w:rsidRPr="00C41721">
                          <w:rPr>
                            <w:rFonts w:hint="eastAsia"/>
                            <w:color w:val="000000"/>
                            <w:sz w:val="16"/>
                            <w:szCs w:val="16"/>
                          </w:rPr>
                          <w:t>建信中证</w:t>
                        </w:r>
                        <w:r w:rsidRPr="00C41721">
                          <w:rPr>
                            <w:color w:val="000000"/>
                            <w:sz w:val="16"/>
                            <w:szCs w:val="16"/>
                          </w:rPr>
                          <w:t>500</w:t>
                        </w:r>
                      </w:p>
                    </w:tc>
                    <w:tc>
                      <w:tcPr>
                        <w:tcW w:w="1022" w:type="dxa"/>
                        <w:tcBorders>
                          <w:top w:val="nil"/>
                          <w:left w:val="nil"/>
                          <w:bottom w:val="nil"/>
                          <w:right w:val="nil"/>
                        </w:tcBorders>
                        <w:noWrap/>
                      </w:tcPr>
                      <w:p w:rsidR="00803212" w:rsidRDefault="00803212">
                        <w:pPr>
                          <w:jc w:val="center"/>
                          <w:rPr>
                            <w:rFonts w:cs="宋体"/>
                            <w:color w:val="000000"/>
                            <w:sz w:val="16"/>
                            <w:szCs w:val="16"/>
                          </w:rPr>
                        </w:pPr>
                        <w:r w:rsidRPr="00C41721">
                          <w:rPr>
                            <w:color w:val="000000"/>
                            <w:sz w:val="16"/>
                            <w:szCs w:val="16"/>
                          </w:rPr>
                          <w:t>26.15</w:t>
                        </w:r>
                      </w:p>
                    </w:tc>
                    <w:tc>
                      <w:tcPr>
                        <w:tcW w:w="696" w:type="dxa"/>
                        <w:tcBorders>
                          <w:top w:val="nil"/>
                          <w:left w:val="nil"/>
                          <w:bottom w:val="nil"/>
                          <w:right w:val="nil"/>
                        </w:tcBorders>
                        <w:noWrap/>
                      </w:tcPr>
                      <w:p w:rsidR="00803212" w:rsidRDefault="00803212">
                        <w:pPr>
                          <w:jc w:val="center"/>
                          <w:rPr>
                            <w:rFonts w:cs="宋体"/>
                            <w:color w:val="000000"/>
                            <w:sz w:val="16"/>
                            <w:szCs w:val="16"/>
                          </w:rPr>
                        </w:pPr>
                        <w:r w:rsidRPr="00C41721">
                          <w:rPr>
                            <w:color w:val="000000"/>
                            <w:sz w:val="16"/>
                            <w:szCs w:val="16"/>
                          </w:rPr>
                          <w:t>3</w:t>
                        </w:r>
                      </w:p>
                    </w:tc>
                  </w:tr>
                  <w:tr w:rsidR="00803212" w:rsidRPr="00C41721" w:rsidTr="00E2759C">
                    <w:trPr>
                      <w:trHeight w:val="269"/>
                    </w:trPr>
                    <w:tc>
                      <w:tcPr>
                        <w:tcW w:w="958" w:type="dxa"/>
                        <w:tcBorders>
                          <w:top w:val="nil"/>
                          <w:left w:val="nil"/>
                          <w:bottom w:val="nil"/>
                          <w:right w:val="nil"/>
                        </w:tcBorders>
                        <w:noWrap/>
                      </w:tcPr>
                      <w:p w:rsidR="00803212" w:rsidRDefault="00803212">
                        <w:pPr>
                          <w:jc w:val="center"/>
                          <w:rPr>
                            <w:rFonts w:cs="宋体"/>
                            <w:color w:val="000000"/>
                            <w:sz w:val="16"/>
                            <w:szCs w:val="16"/>
                          </w:rPr>
                        </w:pPr>
                        <w:r w:rsidRPr="00C41721">
                          <w:rPr>
                            <w:color w:val="000000"/>
                            <w:sz w:val="16"/>
                            <w:szCs w:val="16"/>
                          </w:rPr>
                          <w:t>510520</w:t>
                        </w:r>
                      </w:p>
                    </w:tc>
                    <w:tc>
                      <w:tcPr>
                        <w:tcW w:w="2559" w:type="dxa"/>
                        <w:tcBorders>
                          <w:top w:val="nil"/>
                          <w:left w:val="nil"/>
                          <w:bottom w:val="nil"/>
                          <w:right w:val="nil"/>
                        </w:tcBorders>
                        <w:noWrap/>
                      </w:tcPr>
                      <w:p w:rsidR="00803212" w:rsidRDefault="00803212">
                        <w:pPr>
                          <w:jc w:val="center"/>
                          <w:rPr>
                            <w:rFonts w:ascii="宋体" w:cs="宋体"/>
                            <w:color w:val="000000"/>
                            <w:sz w:val="16"/>
                            <w:szCs w:val="16"/>
                          </w:rPr>
                        </w:pPr>
                        <w:r w:rsidRPr="00C41721">
                          <w:rPr>
                            <w:rFonts w:hint="eastAsia"/>
                            <w:color w:val="000000"/>
                            <w:sz w:val="16"/>
                            <w:szCs w:val="16"/>
                          </w:rPr>
                          <w:t>诺安</w:t>
                        </w:r>
                        <w:r w:rsidRPr="00C41721">
                          <w:rPr>
                            <w:color w:val="000000"/>
                            <w:sz w:val="16"/>
                            <w:szCs w:val="16"/>
                          </w:rPr>
                          <w:t>500</w:t>
                        </w:r>
                      </w:p>
                    </w:tc>
                    <w:tc>
                      <w:tcPr>
                        <w:tcW w:w="1022" w:type="dxa"/>
                        <w:tcBorders>
                          <w:top w:val="nil"/>
                          <w:left w:val="nil"/>
                          <w:bottom w:val="nil"/>
                          <w:right w:val="nil"/>
                        </w:tcBorders>
                        <w:noWrap/>
                      </w:tcPr>
                      <w:p w:rsidR="00803212" w:rsidRDefault="00803212">
                        <w:pPr>
                          <w:jc w:val="center"/>
                          <w:rPr>
                            <w:rFonts w:cs="宋体"/>
                            <w:color w:val="000000"/>
                            <w:sz w:val="16"/>
                            <w:szCs w:val="16"/>
                          </w:rPr>
                        </w:pPr>
                        <w:r w:rsidRPr="00C41721">
                          <w:rPr>
                            <w:color w:val="000000"/>
                            <w:sz w:val="16"/>
                            <w:szCs w:val="16"/>
                          </w:rPr>
                          <w:t>25.58</w:t>
                        </w:r>
                      </w:p>
                    </w:tc>
                    <w:tc>
                      <w:tcPr>
                        <w:tcW w:w="696" w:type="dxa"/>
                        <w:tcBorders>
                          <w:top w:val="nil"/>
                          <w:left w:val="nil"/>
                          <w:bottom w:val="nil"/>
                          <w:right w:val="nil"/>
                        </w:tcBorders>
                        <w:noWrap/>
                      </w:tcPr>
                      <w:p w:rsidR="00803212" w:rsidRDefault="00803212">
                        <w:pPr>
                          <w:jc w:val="center"/>
                          <w:rPr>
                            <w:rFonts w:cs="宋体"/>
                            <w:color w:val="000000"/>
                            <w:sz w:val="16"/>
                            <w:szCs w:val="16"/>
                          </w:rPr>
                        </w:pPr>
                        <w:r w:rsidRPr="00C41721">
                          <w:rPr>
                            <w:color w:val="000000"/>
                            <w:sz w:val="16"/>
                            <w:szCs w:val="16"/>
                          </w:rPr>
                          <w:t>4</w:t>
                        </w:r>
                      </w:p>
                    </w:tc>
                  </w:tr>
                  <w:tr w:rsidR="00803212" w:rsidRPr="00C41721" w:rsidTr="00E2759C">
                    <w:trPr>
                      <w:trHeight w:val="269"/>
                    </w:trPr>
                    <w:tc>
                      <w:tcPr>
                        <w:tcW w:w="958" w:type="dxa"/>
                        <w:tcBorders>
                          <w:top w:val="nil"/>
                          <w:left w:val="nil"/>
                          <w:bottom w:val="nil"/>
                          <w:right w:val="nil"/>
                        </w:tcBorders>
                        <w:noWrap/>
                      </w:tcPr>
                      <w:p w:rsidR="00803212" w:rsidRDefault="00803212">
                        <w:pPr>
                          <w:jc w:val="center"/>
                          <w:rPr>
                            <w:rFonts w:cs="宋体"/>
                            <w:color w:val="000000"/>
                            <w:sz w:val="16"/>
                            <w:szCs w:val="16"/>
                          </w:rPr>
                        </w:pPr>
                        <w:r w:rsidRPr="00C41721">
                          <w:rPr>
                            <w:color w:val="000000"/>
                            <w:sz w:val="16"/>
                            <w:szCs w:val="16"/>
                          </w:rPr>
                          <w:t>510500</w:t>
                        </w:r>
                      </w:p>
                    </w:tc>
                    <w:tc>
                      <w:tcPr>
                        <w:tcW w:w="2559" w:type="dxa"/>
                        <w:tcBorders>
                          <w:top w:val="nil"/>
                          <w:left w:val="nil"/>
                          <w:bottom w:val="nil"/>
                          <w:right w:val="nil"/>
                        </w:tcBorders>
                        <w:noWrap/>
                      </w:tcPr>
                      <w:p w:rsidR="00803212" w:rsidRDefault="00803212">
                        <w:pPr>
                          <w:jc w:val="center"/>
                          <w:rPr>
                            <w:rFonts w:ascii="宋体" w:cs="宋体"/>
                            <w:color w:val="000000"/>
                            <w:sz w:val="16"/>
                            <w:szCs w:val="16"/>
                          </w:rPr>
                        </w:pPr>
                        <w:r w:rsidRPr="00C41721">
                          <w:rPr>
                            <w:color w:val="000000"/>
                            <w:sz w:val="16"/>
                            <w:szCs w:val="16"/>
                          </w:rPr>
                          <w:t>500ETF</w:t>
                        </w:r>
                      </w:p>
                    </w:tc>
                    <w:tc>
                      <w:tcPr>
                        <w:tcW w:w="1022" w:type="dxa"/>
                        <w:tcBorders>
                          <w:top w:val="nil"/>
                          <w:left w:val="nil"/>
                          <w:bottom w:val="nil"/>
                          <w:right w:val="nil"/>
                        </w:tcBorders>
                        <w:noWrap/>
                      </w:tcPr>
                      <w:p w:rsidR="00803212" w:rsidRDefault="00803212">
                        <w:pPr>
                          <w:jc w:val="center"/>
                          <w:rPr>
                            <w:rFonts w:cs="宋体"/>
                            <w:color w:val="000000"/>
                            <w:sz w:val="16"/>
                            <w:szCs w:val="16"/>
                          </w:rPr>
                        </w:pPr>
                        <w:r w:rsidRPr="00C41721">
                          <w:rPr>
                            <w:color w:val="000000"/>
                            <w:sz w:val="16"/>
                            <w:szCs w:val="16"/>
                          </w:rPr>
                          <w:t>25.43</w:t>
                        </w:r>
                      </w:p>
                    </w:tc>
                    <w:tc>
                      <w:tcPr>
                        <w:tcW w:w="696" w:type="dxa"/>
                        <w:tcBorders>
                          <w:top w:val="nil"/>
                          <w:left w:val="nil"/>
                          <w:bottom w:val="nil"/>
                          <w:right w:val="nil"/>
                        </w:tcBorders>
                        <w:noWrap/>
                      </w:tcPr>
                      <w:p w:rsidR="00803212" w:rsidRDefault="00803212">
                        <w:pPr>
                          <w:jc w:val="center"/>
                          <w:rPr>
                            <w:rFonts w:cs="宋体"/>
                            <w:color w:val="000000"/>
                            <w:sz w:val="16"/>
                            <w:szCs w:val="16"/>
                          </w:rPr>
                        </w:pPr>
                        <w:r w:rsidRPr="00C41721">
                          <w:rPr>
                            <w:color w:val="000000"/>
                            <w:sz w:val="16"/>
                            <w:szCs w:val="16"/>
                          </w:rPr>
                          <w:t>5</w:t>
                        </w:r>
                      </w:p>
                    </w:tc>
                  </w:tr>
                  <w:tr w:rsidR="00803212" w:rsidRPr="00C41721" w:rsidTr="00E2759C">
                    <w:trPr>
                      <w:trHeight w:val="269"/>
                    </w:trPr>
                    <w:tc>
                      <w:tcPr>
                        <w:tcW w:w="958" w:type="dxa"/>
                        <w:tcBorders>
                          <w:top w:val="nil"/>
                          <w:left w:val="nil"/>
                          <w:bottom w:val="nil"/>
                          <w:right w:val="nil"/>
                        </w:tcBorders>
                        <w:noWrap/>
                      </w:tcPr>
                      <w:p w:rsidR="00803212" w:rsidRDefault="00803212">
                        <w:pPr>
                          <w:jc w:val="center"/>
                          <w:rPr>
                            <w:rFonts w:cs="宋体"/>
                            <w:color w:val="000000"/>
                            <w:sz w:val="16"/>
                            <w:szCs w:val="16"/>
                          </w:rPr>
                        </w:pPr>
                        <w:r w:rsidRPr="00C41721">
                          <w:rPr>
                            <w:color w:val="000000"/>
                            <w:sz w:val="16"/>
                            <w:szCs w:val="16"/>
                          </w:rPr>
                          <w:t>510510</w:t>
                        </w:r>
                      </w:p>
                    </w:tc>
                    <w:tc>
                      <w:tcPr>
                        <w:tcW w:w="2559" w:type="dxa"/>
                        <w:tcBorders>
                          <w:top w:val="nil"/>
                          <w:left w:val="nil"/>
                          <w:bottom w:val="nil"/>
                          <w:right w:val="nil"/>
                        </w:tcBorders>
                        <w:noWrap/>
                      </w:tcPr>
                      <w:p w:rsidR="00803212" w:rsidRDefault="00803212">
                        <w:pPr>
                          <w:jc w:val="center"/>
                          <w:rPr>
                            <w:rFonts w:ascii="宋体" w:cs="宋体"/>
                            <w:color w:val="000000"/>
                            <w:sz w:val="16"/>
                            <w:szCs w:val="16"/>
                          </w:rPr>
                        </w:pPr>
                        <w:r w:rsidRPr="00C41721">
                          <w:rPr>
                            <w:rFonts w:hint="eastAsia"/>
                            <w:color w:val="000000"/>
                            <w:sz w:val="16"/>
                            <w:szCs w:val="16"/>
                          </w:rPr>
                          <w:t>广发</w:t>
                        </w:r>
                        <w:r w:rsidRPr="00C41721">
                          <w:rPr>
                            <w:color w:val="000000"/>
                            <w:sz w:val="16"/>
                            <w:szCs w:val="16"/>
                          </w:rPr>
                          <w:t>500ETF</w:t>
                        </w:r>
                      </w:p>
                    </w:tc>
                    <w:tc>
                      <w:tcPr>
                        <w:tcW w:w="1022" w:type="dxa"/>
                        <w:tcBorders>
                          <w:top w:val="nil"/>
                          <w:left w:val="nil"/>
                          <w:bottom w:val="nil"/>
                          <w:right w:val="nil"/>
                        </w:tcBorders>
                        <w:noWrap/>
                      </w:tcPr>
                      <w:p w:rsidR="00803212" w:rsidRDefault="00803212">
                        <w:pPr>
                          <w:jc w:val="center"/>
                          <w:rPr>
                            <w:rFonts w:cs="宋体"/>
                            <w:color w:val="000000"/>
                            <w:sz w:val="16"/>
                            <w:szCs w:val="16"/>
                          </w:rPr>
                        </w:pPr>
                        <w:r w:rsidRPr="00C41721">
                          <w:rPr>
                            <w:color w:val="000000"/>
                            <w:sz w:val="16"/>
                            <w:szCs w:val="16"/>
                          </w:rPr>
                          <w:t>25.32</w:t>
                        </w:r>
                      </w:p>
                    </w:tc>
                    <w:tc>
                      <w:tcPr>
                        <w:tcW w:w="696" w:type="dxa"/>
                        <w:tcBorders>
                          <w:top w:val="nil"/>
                          <w:left w:val="nil"/>
                          <w:bottom w:val="nil"/>
                          <w:right w:val="nil"/>
                        </w:tcBorders>
                        <w:noWrap/>
                      </w:tcPr>
                      <w:p w:rsidR="00803212" w:rsidRDefault="00803212">
                        <w:pPr>
                          <w:jc w:val="center"/>
                          <w:rPr>
                            <w:rFonts w:cs="宋体"/>
                            <w:color w:val="000000"/>
                            <w:sz w:val="16"/>
                            <w:szCs w:val="16"/>
                          </w:rPr>
                        </w:pPr>
                        <w:r w:rsidRPr="00C41721">
                          <w:rPr>
                            <w:color w:val="000000"/>
                            <w:sz w:val="16"/>
                            <w:szCs w:val="16"/>
                          </w:rPr>
                          <w:t>6</w:t>
                        </w:r>
                      </w:p>
                    </w:tc>
                  </w:tr>
                  <w:tr w:rsidR="00803212" w:rsidRPr="00C41721" w:rsidTr="00E2759C">
                    <w:trPr>
                      <w:trHeight w:val="269"/>
                    </w:trPr>
                    <w:tc>
                      <w:tcPr>
                        <w:tcW w:w="958" w:type="dxa"/>
                        <w:tcBorders>
                          <w:top w:val="nil"/>
                          <w:left w:val="nil"/>
                          <w:bottom w:val="nil"/>
                          <w:right w:val="nil"/>
                        </w:tcBorders>
                        <w:noWrap/>
                      </w:tcPr>
                      <w:p w:rsidR="00803212" w:rsidRDefault="00803212">
                        <w:pPr>
                          <w:jc w:val="center"/>
                          <w:rPr>
                            <w:rFonts w:cs="宋体"/>
                            <w:color w:val="000000"/>
                            <w:sz w:val="16"/>
                            <w:szCs w:val="16"/>
                          </w:rPr>
                        </w:pPr>
                        <w:r w:rsidRPr="00C41721">
                          <w:rPr>
                            <w:color w:val="000000"/>
                            <w:sz w:val="16"/>
                            <w:szCs w:val="16"/>
                          </w:rPr>
                          <w:t>159922</w:t>
                        </w:r>
                      </w:p>
                    </w:tc>
                    <w:tc>
                      <w:tcPr>
                        <w:tcW w:w="2559" w:type="dxa"/>
                        <w:tcBorders>
                          <w:top w:val="nil"/>
                          <w:left w:val="nil"/>
                          <w:bottom w:val="nil"/>
                          <w:right w:val="nil"/>
                        </w:tcBorders>
                        <w:noWrap/>
                      </w:tcPr>
                      <w:p w:rsidR="00803212" w:rsidRDefault="00803212">
                        <w:pPr>
                          <w:jc w:val="center"/>
                          <w:rPr>
                            <w:rFonts w:ascii="宋体" w:cs="宋体"/>
                            <w:color w:val="000000"/>
                            <w:sz w:val="16"/>
                            <w:szCs w:val="16"/>
                          </w:rPr>
                        </w:pPr>
                        <w:r w:rsidRPr="00C41721">
                          <w:rPr>
                            <w:rFonts w:hint="eastAsia"/>
                            <w:color w:val="000000"/>
                            <w:sz w:val="16"/>
                            <w:szCs w:val="16"/>
                          </w:rPr>
                          <w:t>嘉实中证</w:t>
                        </w:r>
                        <w:r w:rsidRPr="00C41721">
                          <w:rPr>
                            <w:color w:val="000000"/>
                            <w:sz w:val="16"/>
                            <w:szCs w:val="16"/>
                          </w:rPr>
                          <w:t>500ETF</w:t>
                        </w:r>
                      </w:p>
                    </w:tc>
                    <w:tc>
                      <w:tcPr>
                        <w:tcW w:w="1022" w:type="dxa"/>
                        <w:tcBorders>
                          <w:top w:val="nil"/>
                          <w:left w:val="nil"/>
                          <w:bottom w:val="nil"/>
                          <w:right w:val="nil"/>
                        </w:tcBorders>
                        <w:noWrap/>
                      </w:tcPr>
                      <w:p w:rsidR="00803212" w:rsidRDefault="00803212">
                        <w:pPr>
                          <w:jc w:val="center"/>
                          <w:rPr>
                            <w:rFonts w:cs="宋体"/>
                            <w:color w:val="000000"/>
                            <w:sz w:val="16"/>
                            <w:szCs w:val="16"/>
                          </w:rPr>
                        </w:pPr>
                        <w:r w:rsidRPr="00C41721">
                          <w:rPr>
                            <w:color w:val="000000"/>
                            <w:sz w:val="16"/>
                            <w:szCs w:val="16"/>
                          </w:rPr>
                          <w:t>25.2</w:t>
                        </w:r>
                      </w:p>
                    </w:tc>
                    <w:tc>
                      <w:tcPr>
                        <w:tcW w:w="696" w:type="dxa"/>
                        <w:tcBorders>
                          <w:top w:val="nil"/>
                          <w:left w:val="nil"/>
                          <w:bottom w:val="nil"/>
                          <w:right w:val="nil"/>
                        </w:tcBorders>
                        <w:noWrap/>
                      </w:tcPr>
                      <w:p w:rsidR="00803212" w:rsidRDefault="00803212">
                        <w:pPr>
                          <w:jc w:val="center"/>
                          <w:rPr>
                            <w:rFonts w:cs="宋体"/>
                            <w:color w:val="000000"/>
                            <w:sz w:val="16"/>
                            <w:szCs w:val="16"/>
                          </w:rPr>
                        </w:pPr>
                        <w:r w:rsidRPr="00C41721">
                          <w:rPr>
                            <w:color w:val="000000"/>
                            <w:sz w:val="16"/>
                            <w:szCs w:val="16"/>
                          </w:rPr>
                          <w:t>7</w:t>
                        </w:r>
                      </w:p>
                    </w:tc>
                  </w:tr>
                  <w:tr w:rsidR="00803212" w:rsidRPr="00C41721" w:rsidTr="00E2759C">
                    <w:trPr>
                      <w:trHeight w:val="269"/>
                    </w:trPr>
                    <w:tc>
                      <w:tcPr>
                        <w:tcW w:w="958" w:type="dxa"/>
                        <w:tcBorders>
                          <w:top w:val="nil"/>
                          <w:left w:val="nil"/>
                          <w:bottom w:val="nil"/>
                          <w:right w:val="nil"/>
                        </w:tcBorders>
                        <w:noWrap/>
                      </w:tcPr>
                      <w:p w:rsidR="00803212" w:rsidRDefault="00803212">
                        <w:pPr>
                          <w:jc w:val="center"/>
                          <w:rPr>
                            <w:rFonts w:cs="宋体"/>
                            <w:color w:val="000000"/>
                            <w:sz w:val="16"/>
                            <w:szCs w:val="16"/>
                          </w:rPr>
                        </w:pPr>
                        <w:r w:rsidRPr="00C41721">
                          <w:rPr>
                            <w:color w:val="000000"/>
                            <w:sz w:val="16"/>
                            <w:szCs w:val="16"/>
                          </w:rPr>
                          <w:t>160620</w:t>
                        </w:r>
                      </w:p>
                    </w:tc>
                    <w:tc>
                      <w:tcPr>
                        <w:tcW w:w="2559" w:type="dxa"/>
                        <w:tcBorders>
                          <w:top w:val="nil"/>
                          <w:left w:val="nil"/>
                          <w:bottom w:val="nil"/>
                          <w:right w:val="nil"/>
                        </w:tcBorders>
                        <w:noWrap/>
                      </w:tcPr>
                      <w:p w:rsidR="00803212" w:rsidRDefault="00803212">
                        <w:pPr>
                          <w:jc w:val="center"/>
                          <w:rPr>
                            <w:rFonts w:ascii="宋体" w:cs="宋体"/>
                            <w:color w:val="000000"/>
                            <w:sz w:val="16"/>
                            <w:szCs w:val="16"/>
                          </w:rPr>
                        </w:pPr>
                        <w:r w:rsidRPr="00C41721">
                          <w:rPr>
                            <w:rFonts w:hint="eastAsia"/>
                            <w:color w:val="000000"/>
                            <w:sz w:val="16"/>
                            <w:szCs w:val="16"/>
                          </w:rPr>
                          <w:t>鹏华资源分级</w:t>
                        </w:r>
                      </w:p>
                    </w:tc>
                    <w:tc>
                      <w:tcPr>
                        <w:tcW w:w="1022" w:type="dxa"/>
                        <w:tcBorders>
                          <w:top w:val="nil"/>
                          <w:left w:val="nil"/>
                          <w:bottom w:val="nil"/>
                          <w:right w:val="nil"/>
                        </w:tcBorders>
                        <w:noWrap/>
                      </w:tcPr>
                      <w:p w:rsidR="00803212" w:rsidRDefault="00803212">
                        <w:pPr>
                          <w:jc w:val="center"/>
                          <w:rPr>
                            <w:rFonts w:cs="宋体"/>
                            <w:color w:val="000000"/>
                            <w:sz w:val="16"/>
                            <w:szCs w:val="16"/>
                          </w:rPr>
                        </w:pPr>
                        <w:r w:rsidRPr="00C41721">
                          <w:rPr>
                            <w:color w:val="000000"/>
                            <w:sz w:val="16"/>
                            <w:szCs w:val="16"/>
                          </w:rPr>
                          <w:t>25.14</w:t>
                        </w:r>
                      </w:p>
                    </w:tc>
                    <w:tc>
                      <w:tcPr>
                        <w:tcW w:w="696" w:type="dxa"/>
                        <w:tcBorders>
                          <w:top w:val="nil"/>
                          <w:left w:val="nil"/>
                          <w:bottom w:val="nil"/>
                          <w:right w:val="nil"/>
                        </w:tcBorders>
                        <w:noWrap/>
                      </w:tcPr>
                      <w:p w:rsidR="00803212" w:rsidRDefault="00803212">
                        <w:pPr>
                          <w:jc w:val="center"/>
                          <w:rPr>
                            <w:rFonts w:cs="宋体"/>
                            <w:color w:val="000000"/>
                            <w:sz w:val="16"/>
                            <w:szCs w:val="16"/>
                          </w:rPr>
                        </w:pPr>
                        <w:r w:rsidRPr="00C41721">
                          <w:rPr>
                            <w:color w:val="000000"/>
                            <w:sz w:val="16"/>
                            <w:szCs w:val="16"/>
                          </w:rPr>
                          <w:t>8</w:t>
                        </w:r>
                      </w:p>
                    </w:tc>
                  </w:tr>
                  <w:tr w:rsidR="00803212" w:rsidRPr="00C41721" w:rsidTr="00E2759C">
                    <w:trPr>
                      <w:trHeight w:val="269"/>
                    </w:trPr>
                    <w:tc>
                      <w:tcPr>
                        <w:tcW w:w="958" w:type="dxa"/>
                        <w:tcBorders>
                          <w:top w:val="nil"/>
                          <w:left w:val="nil"/>
                          <w:bottom w:val="nil"/>
                          <w:right w:val="nil"/>
                        </w:tcBorders>
                        <w:noWrap/>
                      </w:tcPr>
                      <w:p w:rsidR="00803212" w:rsidRDefault="00803212">
                        <w:pPr>
                          <w:jc w:val="center"/>
                          <w:rPr>
                            <w:rFonts w:cs="宋体"/>
                            <w:color w:val="000000"/>
                            <w:sz w:val="16"/>
                            <w:szCs w:val="16"/>
                          </w:rPr>
                        </w:pPr>
                        <w:r w:rsidRPr="00C41721">
                          <w:rPr>
                            <w:color w:val="000000"/>
                            <w:sz w:val="16"/>
                            <w:szCs w:val="16"/>
                          </w:rPr>
                          <w:t>160616</w:t>
                        </w:r>
                      </w:p>
                    </w:tc>
                    <w:tc>
                      <w:tcPr>
                        <w:tcW w:w="2559" w:type="dxa"/>
                        <w:tcBorders>
                          <w:top w:val="nil"/>
                          <w:left w:val="nil"/>
                          <w:bottom w:val="nil"/>
                          <w:right w:val="nil"/>
                        </w:tcBorders>
                        <w:noWrap/>
                      </w:tcPr>
                      <w:p w:rsidR="00803212" w:rsidRDefault="00803212">
                        <w:pPr>
                          <w:jc w:val="center"/>
                          <w:rPr>
                            <w:rFonts w:ascii="宋体" w:cs="宋体"/>
                            <w:color w:val="000000"/>
                            <w:sz w:val="16"/>
                            <w:szCs w:val="16"/>
                          </w:rPr>
                        </w:pPr>
                        <w:r w:rsidRPr="00C41721">
                          <w:rPr>
                            <w:rFonts w:hint="eastAsia"/>
                            <w:color w:val="000000"/>
                            <w:sz w:val="16"/>
                            <w:szCs w:val="16"/>
                          </w:rPr>
                          <w:t>鹏华中证</w:t>
                        </w:r>
                        <w:r w:rsidRPr="00C41721">
                          <w:rPr>
                            <w:color w:val="000000"/>
                            <w:sz w:val="16"/>
                            <w:szCs w:val="16"/>
                          </w:rPr>
                          <w:t>500</w:t>
                        </w:r>
                        <w:r w:rsidRPr="00C41721">
                          <w:rPr>
                            <w:rFonts w:hint="eastAsia"/>
                            <w:color w:val="000000"/>
                            <w:sz w:val="16"/>
                            <w:szCs w:val="16"/>
                          </w:rPr>
                          <w:t>指数（</w:t>
                        </w:r>
                        <w:r w:rsidRPr="00C41721">
                          <w:rPr>
                            <w:color w:val="000000"/>
                            <w:sz w:val="16"/>
                            <w:szCs w:val="16"/>
                          </w:rPr>
                          <w:t>LOF</w:t>
                        </w:r>
                        <w:r w:rsidRPr="00C41721">
                          <w:rPr>
                            <w:rFonts w:hint="eastAsia"/>
                            <w:color w:val="000000"/>
                            <w:sz w:val="16"/>
                            <w:szCs w:val="16"/>
                          </w:rPr>
                          <w:t>）</w:t>
                        </w:r>
                      </w:p>
                    </w:tc>
                    <w:tc>
                      <w:tcPr>
                        <w:tcW w:w="1022" w:type="dxa"/>
                        <w:tcBorders>
                          <w:top w:val="nil"/>
                          <w:left w:val="nil"/>
                          <w:bottom w:val="nil"/>
                          <w:right w:val="nil"/>
                        </w:tcBorders>
                        <w:noWrap/>
                      </w:tcPr>
                      <w:p w:rsidR="00803212" w:rsidRDefault="00803212">
                        <w:pPr>
                          <w:jc w:val="center"/>
                          <w:rPr>
                            <w:rFonts w:cs="宋体"/>
                            <w:color w:val="000000"/>
                            <w:sz w:val="16"/>
                            <w:szCs w:val="16"/>
                          </w:rPr>
                        </w:pPr>
                        <w:r w:rsidRPr="00C41721">
                          <w:rPr>
                            <w:color w:val="000000"/>
                            <w:sz w:val="16"/>
                            <w:szCs w:val="16"/>
                          </w:rPr>
                          <w:t>24.75</w:t>
                        </w:r>
                      </w:p>
                    </w:tc>
                    <w:tc>
                      <w:tcPr>
                        <w:tcW w:w="696" w:type="dxa"/>
                        <w:tcBorders>
                          <w:top w:val="nil"/>
                          <w:left w:val="nil"/>
                          <w:bottom w:val="nil"/>
                          <w:right w:val="nil"/>
                        </w:tcBorders>
                        <w:noWrap/>
                      </w:tcPr>
                      <w:p w:rsidR="00803212" w:rsidRDefault="00803212">
                        <w:pPr>
                          <w:jc w:val="center"/>
                          <w:rPr>
                            <w:rFonts w:cs="宋体"/>
                            <w:color w:val="000000"/>
                            <w:sz w:val="16"/>
                            <w:szCs w:val="16"/>
                          </w:rPr>
                        </w:pPr>
                        <w:r w:rsidRPr="00C41721">
                          <w:rPr>
                            <w:color w:val="000000"/>
                            <w:sz w:val="16"/>
                            <w:szCs w:val="16"/>
                          </w:rPr>
                          <w:t>9</w:t>
                        </w:r>
                      </w:p>
                    </w:tc>
                  </w:tr>
                  <w:tr w:rsidR="00803212" w:rsidRPr="00C41721" w:rsidTr="00E2759C">
                    <w:trPr>
                      <w:trHeight w:val="284"/>
                    </w:trPr>
                    <w:tc>
                      <w:tcPr>
                        <w:tcW w:w="958" w:type="dxa"/>
                        <w:tcBorders>
                          <w:top w:val="nil"/>
                          <w:left w:val="nil"/>
                          <w:bottom w:val="single" w:sz="8" w:space="0" w:color="E46D0A"/>
                          <w:right w:val="nil"/>
                        </w:tcBorders>
                        <w:noWrap/>
                      </w:tcPr>
                      <w:p w:rsidR="00803212" w:rsidRDefault="00803212">
                        <w:pPr>
                          <w:jc w:val="center"/>
                          <w:rPr>
                            <w:rFonts w:cs="宋体"/>
                            <w:color w:val="000000"/>
                            <w:sz w:val="16"/>
                            <w:szCs w:val="16"/>
                          </w:rPr>
                        </w:pPr>
                        <w:r w:rsidRPr="00C41721">
                          <w:rPr>
                            <w:color w:val="000000"/>
                            <w:sz w:val="16"/>
                            <w:szCs w:val="16"/>
                          </w:rPr>
                          <w:t>510290</w:t>
                        </w:r>
                      </w:p>
                    </w:tc>
                    <w:tc>
                      <w:tcPr>
                        <w:tcW w:w="2559" w:type="dxa"/>
                        <w:tcBorders>
                          <w:top w:val="nil"/>
                          <w:left w:val="nil"/>
                          <w:bottom w:val="single" w:sz="8" w:space="0" w:color="E46D0A"/>
                          <w:right w:val="nil"/>
                        </w:tcBorders>
                        <w:noWrap/>
                      </w:tcPr>
                      <w:p w:rsidR="00803212" w:rsidRDefault="00803212">
                        <w:pPr>
                          <w:jc w:val="center"/>
                          <w:rPr>
                            <w:rFonts w:ascii="宋体" w:cs="宋体"/>
                            <w:color w:val="000000"/>
                            <w:sz w:val="16"/>
                            <w:szCs w:val="16"/>
                          </w:rPr>
                        </w:pPr>
                        <w:r w:rsidRPr="00C41721">
                          <w:rPr>
                            <w:rFonts w:hint="eastAsia"/>
                            <w:color w:val="000000"/>
                            <w:sz w:val="16"/>
                            <w:szCs w:val="16"/>
                          </w:rPr>
                          <w:t>南方上证</w:t>
                        </w:r>
                        <w:r w:rsidRPr="00C41721">
                          <w:rPr>
                            <w:color w:val="000000"/>
                            <w:sz w:val="16"/>
                            <w:szCs w:val="16"/>
                          </w:rPr>
                          <w:t>380ETF</w:t>
                        </w:r>
                      </w:p>
                    </w:tc>
                    <w:tc>
                      <w:tcPr>
                        <w:tcW w:w="1022" w:type="dxa"/>
                        <w:tcBorders>
                          <w:top w:val="nil"/>
                          <w:left w:val="nil"/>
                          <w:bottom w:val="single" w:sz="8" w:space="0" w:color="E46D0A"/>
                          <w:right w:val="nil"/>
                        </w:tcBorders>
                        <w:noWrap/>
                      </w:tcPr>
                      <w:p w:rsidR="00803212" w:rsidRDefault="00803212">
                        <w:pPr>
                          <w:jc w:val="center"/>
                          <w:rPr>
                            <w:rFonts w:cs="宋体"/>
                            <w:color w:val="000000"/>
                            <w:sz w:val="16"/>
                            <w:szCs w:val="16"/>
                          </w:rPr>
                        </w:pPr>
                        <w:r w:rsidRPr="00C41721">
                          <w:rPr>
                            <w:color w:val="000000"/>
                            <w:sz w:val="16"/>
                            <w:szCs w:val="16"/>
                          </w:rPr>
                          <w:t>24.42</w:t>
                        </w:r>
                      </w:p>
                    </w:tc>
                    <w:tc>
                      <w:tcPr>
                        <w:tcW w:w="696" w:type="dxa"/>
                        <w:tcBorders>
                          <w:top w:val="nil"/>
                          <w:left w:val="nil"/>
                          <w:bottom w:val="single" w:sz="8" w:space="0" w:color="E46D0A"/>
                          <w:right w:val="nil"/>
                        </w:tcBorders>
                        <w:noWrap/>
                      </w:tcPr>
                      <w:p w:rsidR="00803212" w:rsidRDefault="00803212">
                        <w:pPr>
                          <w:jc w:val="center"/>
                          <w:rPr>
                            <w:rFonts w:cs="宋体"/>
                            <w:color w:val="000000"/>
                            <w:sz w:val="16"/>
                            <w:szCs w:val="16"/>
                          </w:rPr>
                        </w:pPr>
                        <w:r w:rsidRPr="00C41721">
                          <w:rPr>
                            <w:color w:val="000000"/>
                            <w:sz w:val="16"/>
                            <w:szCs w:val="16"/>
                          </w:rPr>
                          <w:t>10</w:t>
                        </w:r>
                      </w:p>
                    </w:tc>
                  </w:tr>
                  <w:tr w:rsidR="00803212" w:rsidRPr="00C41721" w:rsidTr="003072DB">
                    <w:trPr>
                      <w:trHeight w:val="284"/>
                    </w:trPr>
                    <w:tc>
                      <w:tcPr>
                        <w:tcW w:w="3517" w:type="dxa"/>
                        <w:gridSpan w:val="2"/>
                        <w:tcBorders>
                          <w:top w:val="single" w:sz="8" w:space="0" w:color="E46D0A"/>
                          <w:left w:val="nil"/>
                          <w:bottom w:val="single" w:sz="8" w:space="0" w:color="E46D0A"/>
                          <w:right w:val="nil"/>
                        </w:tcBorders>
                        <w:noWrap/>
                        <w:vAlign w:val="center"/>
                      </w:tcPr>
                      <w:p w:rsidR="00803212" w:rsidRPr="003072DB" w:rsidRDefault="00803212" w:rsidP="003072DB">
                        <w:pPr>
                          <w:widowControl/>
                          <w:jc w:val="left"/>
                          <w:rPr>
                            <w:rFonts w:ascii="宋体" w:cs="宋体"/>
                            <w:color w:val="000000"/>
                            <w:kern w:val="0"/>
                            <w:sz w:val="16"/>
                            <w:szCs w:val="16"/>
                          </w:rPr>
                        </w:pPr>
                        <w:r w:rsidRPr="003072DB">
                          <w:rPr>
                            <w:rFonts w:ascii="宋体" w:hAnsi="宋体" w:cs="宋体" w:hint="eastAsia"/>
                            <w:color w:val="000000"/>
                            <w:kern w:val="0"/>
                            <w:sz w:val="16"/>
                            <w:szCs w:val="16"/>
                          </w:rPr>
                          <w:t>来源：凯石财富工场</w:t>
                        </w:r>
                      </w:p>
                    </w:tc>
                    <w:tc>
                      <w:tcPr>
                        <w:tcW w:w="1022" w:type="dxa"/>
                        <w:tcBorders>
                          <w:top w:val="nil"/>
                          <w:left w:val="nil"/>
                          <w:bottom w:val="single" w:sz="8" w:space="0" w:color="E46D0A"/>
                          <w:right w:val="nil"/>
                        </w:tcBorders>
                        <w:noWrap/>
                        <w:vAlign w:val="center"/>
                      </w:tcPr>
                      <w:p w:rsidR="00803212" w:rsidRPr="003072DB" w:rsidRDefault="00803212" w:rsidP="003072DB">
                        <w:pPr>
                          <w:widowControl/>
                          <w:jc w:val="center"/>
                          <w:rPr>
                            <w:rFonts w:ascii="宋体" w:cs="宋体"/>
                            <w:color w:val="000000"/>
                            <w:kern w:val="0"/>
                            <w:sz w:val="18"/>
                            <w:szCs w:val="18"/>
                          </w:rPr>
                        </w:pPr>
                        <w:r w:rsidRPr="003072DB">
                          <w:rPr>
                            <w:rFonts w:ascii="宋体" w:hAnsi="宋体" w:cs="宋体" w:hint="eastAsia"/>
                            <w:color w:val="000000"/>
                            <w:kern w:val="0"/>
                            <w:sz w:val="18"/>
                            <w:szCs w:val="18"/>
                          </w:rPr>
                          <w:t xml:space="preserve">　</w:t>
                        </w:r>
                      </w:p>
                    </w:tc>
                    <w:tc>
                      <w:tcPr>
                        <w:tcW w:w="696" w:type="dxa"/>
                        <w:tcBorders>
                          <w:top w:val="nil"/>
                          <w:left w:val="nil"/>
                          <w:bottom w:val="single" w:sz="8" w:space="0" w:color="E46D0A"/>
                          <w:right w:val="nil"/>
                        </w:tcBorders>
                        <w:noWrap/>
                        <w:vAlign w:val="center"/>
                      </w:tcPr>
                      <w:p w:rsidR="00803212" w:rsidRPr="003072DB" w:rsidRDefault="00803212" w:rsidP="003072DB">
                        <w:pPr>
                          <w:widowControl/>
                          <w:jc w:val="center"/>
                          <w:rPr>
                            <w:rFonts w:ascii="宋体" w:cs="宋体"/>
                            <w:color w:val="000000"/>
                            <w:kern w:val="0"/>
                            <w:sz w:val="18"/>
                            <w:szCs w:val="18"/>
                          </w:rPr>
                        </w:pPr>
                        <w:r w:rsidRPr="003072DB">
                          <w:rPr>
                            <w:rFonts w:ascii="宋体" w:hAnsi="宋体" w:cs="宋体" w:hint="eastAsia"/>
                            <w:color w:val="000000"/>
                            <w:kern w:val="0"/>
                            <w:sz w:val="18"/>
                            <w:szCs w:val="18"/>
                          </w:rPr>
                          <w:t xml:space="preserve">　</w:t>
                        </w:r>
                      </w:p>
                    </w:tc>
                  </w:tr>
                </w:tbl>
                <w:p w:rsidR="00803212" w:rsidRDefault="00803212"/>
              </w:txbxContent>
            </v:textbox>
          </v:shape>
        </w:pict>
      </w:r>
      <w:r>
        <w:rPr>
          <w:noProof/>
          <w:lang w:val="en-US"/>
        </w:rPr>
        <w:pict>
          <v:shape id="_x0000_s1037" type="#_x0000_t202" style="position:absolute;left:0;text-align:left;margin-left:-7.95pt;margin-top:1.1pt;width:287.25pt;height:249pt;z-index:251657728" stroked="f">
            <v:textbox>
              <w:txbxContent>
                <w:tbl>
                  <w:tblPr>
                    <w:tblW w:w="5430" w:type="dxa"/>
                    <w:tblInd w:w="93" w:type="dxa"/>
                    <w:tblLook w:val="00A0"/>
                  </w:tblPr>
                  <w:tblGrid>
                    <w:gridCol w:w="999"/>
                    <w:gridCol w:w="2789"/>
                    <w:gridCol w:w="1036"/>
                    <w:gridCol w:w="606"/>
                  </w:tblGrid>
                  <w:tr w:rsidR="00803212" w:rsidRPr="00C41721" w:rsidTr="003072DB">
                    <w:trPr>
                      <w:trHeight w:val="305"/>
                    </w:trPr>
                    <w:tc>
                      <w:tcPr>
                        <w:tcW w:w="4824" w:type="dxa"/>
                        <w:gridSpan w:val="3"/>
                        <w:tcBorders>
                          <w:top w:val="single" w:sz="8" w:space="0" w:color="E46D0A"/>
                          <w:left w:val="nil"/>
                          <w:bottom w:val="single" w:sz="8" w:space="0" w:color="E46D0A"/>
                          <w:right w:val="nil"/>
                        </w:tcBorders>
                        <w:noWrap/>
                        <w:vAlign w:val="center"/>
                      </w:tcPr>
                      <w:p w:rsidR="00803212" w:rsidRPr="00240D95" w:rsidRDefault="00803212" w:rsidP="00240D95">
                        <w:pPr>
                          <w:jc w:val="left"/>
                          <w:rPr>
                            <w:rFonts w:ascii="宋体" w:cs="宋体"/>
                            <w:b/>
                            <w:bCs/>
                            <w:i/>
                            <w:iCs/>
                            <w:color w:val="E36C0A"/>
                            <w:sz w:val="20"/>
                            <w:szCs w:val="20"/>
                          </w:rPr>
                        </w:pPr>
                        <w:r w:rsidRPr="00C41721">
                          <w:rPr>
                            <w:rFonts w:hint="eastAsia"/>
                            <w:b/>
                            <w:bCs/>
                            <w:i/>
                            <w:iCs/>
                            <w:color w:val="E36C0A"/>
                            <w:sz w:val="20"/>
                          </w:rPr>
                          <w:t>图表</w:t>
                        </w:r>
                        <w:r w:rsidRPr="00C41721">
                          <w:rPr>
                            <w:b/>
                            <w:bCs/>
                            <w:i/>
                            <w:iCs/>
                            <w:color w:val="E36C0A"/>
                            <w:sz w:val="20"/>
                            <w:szCs w:val="20"/>
                          </w:rPr>
                          <w:t>2:2014</w:t>
                        </w:r>
                        <w:r w:rsidRPr="00C41721">
                          <w:rPr>
                            <w:rFonts w:hint="eastAsia"/>
                            <w:b/>
                            <w:bCs/>
                            <w:i/>
                            <w:iCs/>
                            <w:color w:val="E36C0A"/>
                            <w:sz w:val="20"/>
                            <w:szCs w:val="20"/>
                          </w:rPr>
                          <w:t>年三季度开放式主动偏股产品前十</w:t>
                        </w:r>
                      </w:p>
                    </w:tc>
                    <w:tc>
                      <w:tcPr>
                        <w:tcW w:w="606" w:type="dxa"/>
                        <w:tcBorders>
                          <w:top w:val="single" w:sz="8" w:space="0" w:color="E46D0A"/>
                          <w:left w:val="nil"/>
                          <w:bottom w:val="single" w:sz="8" w:space="0" w:color="E46D0A"/>
                          <w:right w:val="nil"/>
                        </w:tcBorders>
                        <w:noWrap/>
                        <w:vAlign w:val="bottom"/>
                      </w:tcPr>
                      <w:p w:rsidR="00803212" w:rsidRPr="003072DB" w:rsidRDefault="00803212" w:rsidP="003072DB">
                        <w:pPr>
                          <w:widowControl/>
                          <w:jc w:val="left"/>
                          <w:rPr>
                            <w:rFonts w:ascii="宋体" w:cs="宋体"/>
                            <w:color w:val="000000"/>
                            <w:kern w:val="0"/>
                            <w:sz w:val="22"/>
                          </w:rPr>
                        </w:pPr>
                        <w:r w:rsidRPr="003072DB">
                          <w:rPr>
                            <w:rFonts w:ascii="宋体" w:hAnsi="宋体" w:cs="宋体" w:hint="eastAsia"/>
                            <w:color w:val="000000"/>
                            <w:kern w:val="0"/>
                            <w:sz w:val="22"/>
                          </w:rPr>
                          <w:t xml:space="preserve">　</w:t>
                        </w:r>
                      </w:p>
                    </w:tc>
                  </w:tr>
                  <w:tr w:rsidR="00803212" w:rsidRPr="00C41721" w:rsidTr="003072DB">
                    <w:trPr>
                      <w:trHeight w:val="501"/>
                    </w:trPr>
                    <w:tc>
                      <w:tcPr>
                        <w:tcW w:w="999" w:type="dxa"/>
                        <w:tcBorders>
                          <w:top w:val="nil"/>
                          <w:left w:val="nil"/>
                          <w:bottom w:val="single" w:sz="8" w:space="0" w:color="E46D0A"/>
                          <w:right w:val="nil"/>
                        </w:tcBorders>
                        <w:noWrap/>
                        <w:vAlign w:val="center"/>
                      </w:tcPr>
                      <w:p w:rsidR="00803212" w:rsidRDefault="00803212">
                        <w:pPr>
                          <w:jc w:val="center"/>
                          <w:rPr>
                            <w:rFonts w:ascii="宋体" w:cs="宋体"/>
                            <w:color w:val="000000"/>
                            <w:sz w:val="16"/>
                            <w:szCs w:val="16"/>
                          </w:rPr>
                        </w:pPr>
                        <w:r w:rsidRPr="00C41721">
                          <w:rPr>
                            <w:rFonts w:hint="eastAsia"/>
                            <w:color w:val="000000"/>
                            <w:sz w:val="16"/>
                            <w:szCs w:val="16"/>
                          </w:rPr>
                          <w:t>市场代码</w:t>
                        </w:r>
                      </w:p>
                    </w:tc>
                    <w:tc>
                      <w:tcPr>
                        <w:tcW w:w="2789" w:type="dxa"/>
                        <w:tcBorders>
                          <w:top w:val="nil"/>
                          <w:left w:val="nil"/>
                          <w:bottom w:val="single" w:sz="8" w:space="0" w:color="E46D0A"/>
                          <w:right w:val="nil"/>
                        </w:tcBorders>
                        <w:noWrap/>
                        <w:vAlign w:val="center"/>
                      </w:tcPr>
                      <w:p w:rsidR="00803212" w:rsidRDefault="00803212">
                        <w:pPr>
                          <w:jc w:val="center"/>
                          <w:rPr>
                            <w:rFonts w:ascii="宋体" w:cs="宋体"/>
                            <w:color w:val="000000"/>
                            <w:sz w:val="16"/>
                            <w:szCs w:val="16"/>
                          </w:rPr>
                        </w:pPr>
                        <w:r w:rsidRPr="00C41721">
                          <w:rPr>
                            <w:rFonts w:hint="eastAsia"/>
                            <w:color w:val="000000"/>
                            <w:sz w:val="16"/>
                            <w:szCs w:val="16"/>
                          </w:rPr>
                          <w:t>基金名称</w:t>
                        </w:r>
                      </w:p>
                    </w:tc>
                    <w:tc>
                      <w:tcPr>
                        <w:tcW w:w="1036" w:type="dxa"/>
                        <w:tcBorders>
                          <w:top w:val="nil"/>
                          <w:left w:val="nil"/>
                          <w:bottom w:val="single" w:sz="8" w:space="0" w:color="E46D0A"/>
                          <w:right w:val="nil"/>
                        </w:tcBorders>
                        <w:vAlign w:val="center"/>
                      </w:tcPr>
                      <w:p w:rsidR="00803212" w:rsidRDefault="00803212">
                        <w:pPr>
                          <w:jc w:val="center"/>
                          <w:rPr>
                            <w:rFonts w:ascii="宋体" w:cs="宋体"/>
                            <w:color w:val="000000"/>
                            <w:sz w:val="16"/>
                            <w:szCs w:val="16"/>
                          </w:rPr>
                        </w:pPr>
                        <w:r w:rsidRPr="00C41721">
                          <w:rPr>
                            <w:rFonts w:hint="eastAsia"/>
                            <w:color w:val="000000"/>
                            <w:sz w:val="16"/>
                            <w:szCs w:val="16"/>
                          </w:rPr>
                          <w:t>三季度业绩（</w:t>
                        </w:r>
                        <w:r w:rsidRPr="00C41721">
                          <w:rPr>
                            <w:color w:val="000000"/>
                            <w:sz w:val="16"/>
                            <w:szCs w:val="16"/>
                          </w:rPr>
                          <w:t>%</w:t>
                        </w:r>
                        <w:r w:rsidRPr="00C41721">
                          <w:rPr>
                            <w:rFonts w:hint="eastAsia"/>
                            <w:color w:val="000000"/>
                            <w:sz w:val="16"/>
                            <w:szCs w:val="16"/>
                          </w:rPr>
                          <w:t>）</w:t>
                        </w:r>
                      </w:p>
                    </w:tc>
                    <w:tc>
                      <w:tcPr>
                        <w:tcW w:w="606" w:type="dxa"/>
                        <w:tcBorders>
                          <w:top w:val="nil"/>
                          <w:left w:val="nil"/>
                          <w:bottom w:val="single" w:sz="8" w:space="0" w:color="E46D0A"/>
                          <w:right w:val="nil"/>
                        </w:tcBorders>
                        <w:noWrap/>
                        <w:vAlign w:val="center"/>
                      </w:tcPr>
                      <w:p w:rsidR="00803212" w:rsidRDefault="00803212">
                        <w:pPr>
                          <w:jc w:val="center"/>
                          <w:rPr>
                            <w:rFonts w:ascii="宋体" w:cs="宋体"/>
                            <w:color w:val="000000"/>
                            <w:sz w:val="16"/>
                            <w:szCs w:val="16"/>
                          </w:rPr>
                        </w:pPr>
                        <w:r w:rsidRPr="00C41721">
                          <w:rPr>
                            <w:rFonts w:hint="eastAsia"/>
                            <w:color w:val="000000"/>
                            <w:sz w:val="16"/>
                            <w:szCs w:val="16"/>
                          </w:rPr>
                          <w:t>排名</w:t>
                        </w:r>
                      </w:p>
                    </w:tc>
                  </w:tr>
                  <w:tr w:rsidR="00803212" w:rsidRPr="00C41721" w:rsidTr="00E2759C">
                    <w:trPr>
                      <w:trHeight w:val="289"/>
                    </w:trPr>
                    <w:tc>
                      <w:tcPr>
                        <w:tcW w:w="999" w:type="dxa"/>
                        <w:tcBorders>
                          <w:top w:val="nil"/>
                          <w:left w:val="nil"/>
                          <w:bottom w:val="nil"/>
                          <w:right w:val="nil"/>
                        </w:tcBorders>
                        <w:noWrap/>
                      </w:tcPr>
                      <w:p w:rsidR="00803212" w:rsidRDefault="00803212">
                        <w:pPr>
                          <w:jc w:val="center"/>
                          <w:rPr>
                            <w:rFonts w:cs="宋体"/>
                            <w:color w:val="000000"/>
                            <w:sz w:val="16"/>
                            <w:szCs w:val="16"/>
                          </w:rPr>
                        </w:pPr>
                        <w:r w:rsidRPr="00C41721">
                          <w:rPr>
                            <w:color w:val="000000"/>
                            <w:sz w:val="16"/>
                            <w:szCs w:val="16"/>
                          </w:rPr>
                          <w:t>519983</w:t>
                        </w:r>
                      </w:p>
                    </w:tc>
                    <w:tc>
                      <w:tcPr>
                        <w:tcW w:w="2789" w:type="dxa"/>
                        <w:tcBorders>
                          <w:top w:val="nil"/>
                          <w:left w:val="nil"/>
                          <w:bottom w:val="nil"/>
                          <w:right w:val="nil"/>
                        </w:tcBorders>
                        <w:noWrap/>
                      </w:tcPr>
                      <w:p w:rsidR="00803212" w:rsidRDefault="00803212">
                        <w:pPr>
                          <w:jc w:val="center"/>
                          <w:rPr>
                            <w:rFonts w:ascii="宋体" w:cs="宋体"/>
                            <w:color w:val="000000"/>
                            <w:sz w:val="16"/>
                            <w:szCs w:val="16"/>
                          </w:rPr>
                        </w:pPr>
                        <w:r w:rsidRPr="00C41721">
                          <w:rPr>
                            <w:rFonts w:hint="eastAsia"/>
                            <w:color w:val="000000"/>
                            <w:sz w:val="16"/>
                            <w:szCs w:val="16"/>
                          </w:rPr>
                          <w:t>长信量化先锋股票</w:t>
                        </w:r>
                      </w:p>
                    </w:tc>
                    <w:tc>
                      <w:tcPr>
                        <w:tcW w:w="1036" w:type="dxa"/>
                        <w:tcBorders>
                          <w:top w:val="nil"/>
                          <w:left w:val="nil"/>
                          <w:bottom w:val="nil"/>
                          <w:right w:val="nil"/>
                        </w:tcBorders>
                        <w:noWrap/>
                      </w:tcPr>
                      <w:p w:rsidR="00803212" w:rsidRDefault="00803212">
                        <w:pPr>
                          <w:jc w:val="center"/>
                          <w:rPr>
                            <w:rFonts w:cs="宋体"/>
                            <w:color w:val="000000"/>
                            <w:sz w:val="16"/>
                            <w:szCs w:val="16"/>
                          </w:rPr>
                        </w:pPr>
                        <w:r w:rsidRPr="00C41721">
                          <w:rPr>
                            <w:color w:val="000000"/>
                            <w:sz w:val="16"/>
                            <w:szCs w:val="16"/>
                          </w:rPr>
                          <w:t>32.31</w:t>
                        </w:r>
                      </w:p>
                    </w:tc>
                    <w:tc>
                      <w:tcPr>
                        <w:tcW w:w="606" w:type="dxa"/>
                        <w:tcBorders>
                          <w:top w:val="nil"/>
                          <w:left w:val="nil"/>
                          <w:bottom w:val="nil"/>
                          <w:right w:val="nil"/>
                        </w:tcBorders>
                        <w:noWrap/>
                      </w:tcPr>
                      <w:p w:rsidR="00803212" w:rsidRDefault="00803212">
                        <w:pPr>
                          <w:jc w:val="center"/>
                          <w:rPr>
                            <w:rFonts w:cs="宋体"/>
                            <w:color w:val="000000"/>
                            <w:sz w:val="16"/>
                            <w:szCs w:val="16"/>
                          </w:rPr>
                        </w:pPr>
                        <w:r w:rsidRPr="00C41721">
                          <w:rPr>
                            <w:color w:val="000000"/>
                            <w:sz w:val="16"/>
                            <w:szCs w:val="16"/>
                          </w:rPr>
                          <w:t>1</w:t>
                        </w:r>
                      </w:p>
                    </w:tc>
                  </w:tr>
                  <w:tr w:rsidR="00803212" w:rsidRPr="00C41721" w:rsidTr="00E2759C">
                    <w:trPr>
                      <w:trHeight w:val="289"/>
                    </w:trPr>
                    <w:tc>
                      <w:tcPr>
                        <w:tcW w:w="999" w:type="dxa"/>
                        <w:tcBorders>
                          <w:top w:val="nil"/>
                          <w:left w:val="nil"/>
                          <w:bottom w:val="nil"/>
                          <w:right w:val="nil"/>
                        </w:tcBorders>
                        <w:noWrap/>
                      </w:tcPr>
                      <w:p w:rsidR="00803212" w:rsidRDefault="00803212">
                        <w:pPr>
                          <w:jc w:val="center"/>
                          <w:rPr>
                            <w:rFonts w:cs="宋体"/>
                            <w:color w:val="000000"/>
                            <w:sz w:val="16"/>
                            <w:szCs w:val="16"/>
                          </w:rPr>
                        </w:pPr>
                        <w:r w:rsidRPr="00C41721">
                          <w:rPr>
                            <w:color w:val="000000"/>
                            <w:sz w:val="16"/>
                            <w:szCs w:val="16"/>
                          </w:rPr>
                          <w:t>233009</w:t>
                        </w:r>
                      </w:p>
                    </w:tc>
                    <w:tc>
                      <w:tcPr>
                        <w:tcW w:w="2789" w:type="dxa"/>
                        <w:tcBorders>
                          <w:top w:val="nil"/>
                          <w:left w:val="nil"/>
                          <w:bottom w:val="nil"/>
                          <w:right w:val="nil"/>
                        </w:tcBorders>
                        <w:noWrap/>
                      </w:tcPr>
                      <w:p w:rsidR="00803212" w:rsidRDefault="00803212">
                        <w:pPr>
                          <w:jc w:val="center"/>
                          <w:rPr>
                            <w:rFonts w:ascii="宋体" w:cs="宋体"/>
                            <w:color w:val="000000"/>
                            <w:sz w:val="16"/>
                            <w:szCs w:val="16"/>
                          </w:rPr>
                        </w:pPr>
                        <w:r w:rsidRPr="00C41721">
                          <w:rPr>
                            <w:rFonts w:hint="eastAsia"/>
                            <w:color w:val="000000"/>
                            <w:sz w:val="16"/>
                            <w:szCs w:val="16"/>
                          </w:rPr>
                          <w:t>大摩多因子策略股票</w:t>
                        </w:r>
                      </w:p>
                    </w:tc>
                    <w:tc>
                      <w:tcPr>
                        <w:tcW w:w="1036" w:type="dxa"/>
                        <w:tcBorders>
                          <w:top w:val="nil"/>
                          <w:left w:val="nil"/>
                          <w:bottom w:val="nil"/>
                          <w:right w:val="nil"/>
                        </w:tcBorders>
                        <w:noWrap/>
                      </w:tcPr>
                      <w:p w:rsidR="00803212" w:rsidRDefault="00803212">
                        <w:pPr>
                          <w:jc w:val="center"/>
                          <w:rPr>
                            <w:rFonts w:cs="宋体"/>
                            <w:color w:val="000000"/>
                            <w:sz w:val="16"/>
                            <w:szCs w:val="16"/>
                          </w:rPr>
                        </w:pPr>
                        <w:r w:rsidRPr="00C41721">
                          <w:rPr>
                            <w:color w:val="000000"/>
                            <w:sz w:val="16"/>
                            <w:szCs w:val="16"/>
                          </w:rPr>
                          <w:t>31.28</w:t>
                        </w:r>
                      </w:p>
                    </w:tc>
                    <w:tc>
                      <w:tcPr>
                        <w:tcW w:w="606" w:type="dxa"/>
                        <w:tcBorders>
                          <w:top w:val="nil"/>
                          <w:left w:val="nil"/>
                          <w:bottom w:val="nil"/>
                          <w:right w:val="nil"/>
                        </w:tcBorders>
                        <w:noWrap/>
                      </w:tcPr>
                      <w:p w:rsidR="00803212" w:rsidRDefault="00803212">
                        <w:pPr>
                          <w:jc w:val="center"/>
                          <w:rPr>
                            <w:rFonts w:cs="宋体"/>
                            <w:color w:val="000000"/>
                            <w:sz w:val="16"/>
                            <w:szCs w:val="16"/>
                          </w:rPr>
                        </w:pPr>
                        <w:r w:rsidRPr="00C41721">
                          <w:rPr>
                            <w:color w:val="000000"/>
                            <w:sz w:val="16"/>
                            <w:szCs w:val="16"/>
                          </w:rPr>
                          <w:t>2</w:t>
                        </w:r>
                      </w:p>
                    </w:tc>
                  </w:tr>
                  <w:tr w:rsidR="00803212" w:rsidRPr="00C41721" w:rsidTr="00E2759C">
                    <w:trPr>
                      <w:trHeight w:val="289"/>
                    </w:trPr>
                    <w:tc>
                      <w:tcPr>
                        <w:tcW w:w="999" w:type="dxa"/>
                        <w:tcBorders>
                          <w:top w:val="nil"/>
                          <w:left w:val="nil"/>
                          <w:bottom w:val="nil"/>
                          <w:right w:val="nil"/>
                        </w:tcBorders>
                        <w:noWrap/>
                      </w:tcPr>
                      <w:p w:rsidR="00803212" w:rsidRDefault="00803212">
                        <w:pPr>
                          <w:jc w:val="center"/>
                          <w:rPr>
                            <w:rFonts w:cs="宋体"/>
                            <w:color w:val="000000"/>
                            <w:sz w:val="16"/>
                            <w:szCs w:val="16"/>
                          </w:rPr>
                        </w:pPr>
                        <w:r w:rsidRPr="00C41721">
                          <w:rPr>
                            <w:color w:val="000000"/>
                            <w:sz w:val="16"/>
                            <w:szCs w:val="16"/>
                          </w:rPr>
                          <w:t>630015</w:t>
                        </w:r>
                      </w:p>
                    </w:tc>
                    <w:tc>
                      <w:tcPr>
                        <w:tcW w:w="2789" w:type="dxa"/>
                        <w:tcBorders>
                          <w:top w:val="nil"/>
                          <w:left w:val="nil"/>
                          <w:bottom w:val="nil"/>
                          <w:right w:val="nil"/>
                        </w:tcBorders>
                        <w:noWrap/>
                      </w:tcPr>
                      <w:p w:rsidR="00803212" w:rsidRDefault="00803212">
                        <w:pPr>
                          <w:jc w:val="center"/>
                          <w:rPr>
                            <w:rFonts w:ascii="宋体" w:cs="宋体"/>
                            <w:color w:val="000000"/>
                            <w:sz w:val="16"/>
                            <w:szCs w:val="16"/>
                          </w:rPr>
                        </w:pPr>
                        <w:r w:rsidRPr="00C41721">
                          <w:rPr>
                            <w:rFonts w:hint="eastAsia"/>
                            <w:color w:val="000000"/>
                            <w:sz w:val="16"/>
                            <w:szCs w:val="16"/>
                          </w:rPr>
                          <w:t>华商量化精选</w:t>
                        </w:r>
                      </w:p>
                    </w:tc>
                    <w:tc>
                      <w:tcPr>
                        <w:tcW w:w="1036" w:type="dxa"/>
                        <w:tcBorders>
                          <w:top w:val="nil"/>
                          <w:left w:val="nil"/>
                          <w:bottom w:val="nil"/>
                          <w:right w:val="nil"/>
                        </w:tcBorders>
                        <w:noWrap/>
                      </w:tcPr>
                      <w:p w:rsidR="00803212" w:rsidRDefault="00803212">
                        <w:pPr>
                          <w:jc w:val="center"/>
                          <w:rPr>
                            <w:rFonts w:cs="宋体"/>
                            <w:color w:val="000000"/>
                            <w:sz w:val="16"/>
                            <w:szCs w:val="16"/>
                          </w:rPr>
                        </w:pPr>
                        <w:r w:rsidRPr="00C41721">
                          <w:rPr>
                            <w:color w:val="000000"/>
                            <w:sz w:val="16"/>
                            <w:szCs w:val="16"/>
                          </w:rPr>
                          <w:t>30.58</w:t>
                        </w:r>
                      </w:p>
                    </w:tc>
                    <w:tc>
                      <w:tcPr>
                        <w:tcW w:w="606" w:type="dxa"/>
                        <w:tcBorders>
                          <w:top w:val="nil"/>
                          <w:left w:val="nil"/>
                          <w:bottom w:val="nil"/>
                          <w:right w:val="nil"/>
                        </w:tcBorders>
                        <w:noWrap/>
                      </w:tcPr>
                      <w:p w:rsidR="00803212" w:rsidRDefault="00803212">
                        <w:pPr>
                          <w:jc w:val="center"/>
                          <w:rPr>
                            <w:rFonts w:cs="宋体"/>
                            <w:color w:val="000000"/>
                            <w:sz w:val="16"/>
                            <w:szCs w:val="16"/>
                          </w:rPr>
                        </w:pPr>
                        <w:r w:rsidRPr="00C41721">
                          <w:rPr>
                            <w:color w:val="000000"/>
                            <w:sz w:val="16"/>
                            <w:szCs w:val="16"/>
                          </w:rPr>
                          <w:t>3</w:t>
                        </w:r>
                      </w:p>
                    </w:tc>
                  </w:tr>
                  <w:tr w:rsidR="00803212" w:rsidRPr="00C41721" w:rsidTr="00E2759C">
                    <w:trPr>
                      <w:trHeight w:val="289"/>
                    </w:trPr>
                    <w:tc>
                      <w:tcPr>
                        <w:tcW w:w="999" w:type="dxa"/>
                        <w:tcBorders>
                          <w:top w:val="nil"/>
                          <w:left w:val="nil"/>
                          <w:bottom w:val="nil"/>
                          <w:right w:val="nil"/>
                        </w:tcBorders>
                        <w:noWrap/>
                      </w:tcPr>
                      <w:p w:rsidR="00803212" w:rsidRDefault="00803212">
                        <w:pPr>
                          <w:jc w:val="center"/>
                          <w:rPr>
                            <w:rFonts w:cs="宋体"/>
                            <w:color w:val="000000"/>
                            <w:sz w:val="16"/>
                            <w:szCs w:val="16"/>
                          </w:rPr>
                        </w:pPr>
                        <w:r w:rsidRPr="00C41721">
                          <w:rPr>
                            <w:color w:val="000000"/>
                            <w:sz w:val="16"/>
                            <w:szCs w:val="16"/>
                          </w:rPr>
                          <w:t>000017</w:t>
                        </w:r>
                      </w:p>
                    </w:tc>
                    <w:tc>
                      <w:tcPr>
                        <w:tcW w:w="2789" w:type="dxa"/>
                        <w:tcBorders>
                          <w:top w:val="nil"/>
                          <w:left w:val="nil"/>
                          <w:bottom w:val="nil"/>
                          <w:right w:val="nil"/>
                        </w:tcBorders>
                        <w:noWrap/>
                      </w:tcPr>
                      <w:p w:rsidR="00803212" w:rsidRDefault="00803212">
                        <w:pPr>
                          <w:jc w:val="center"/>
                          <w:rPr>
                            <w:rFonts w:ascii="宋体" w:cs="宋体"/>
                            <w:color w:val="000000"/>
                            <w:sz w:val="16"/>
                            <w:szCs w:val="16"/>
                          </w:rPr>
                        </w:pPr>
                        <w:r w:rsidRPr="00C41721">
                          <w:rPr>
                            <w:rFonts w:hint="eastAsia"/>
                            <w:color w:val="000000"/>
                            <w:sz w:val="16"/>
                            <w:szCs w:val="16"/>
                          </w:rPr>
                          <w:t>财通发展主题</w:t>
                        </w:r>
                      </w:p>
                    </w:tc>
                    <w:tc>
                      <w:tcPr>
                        <w:tcW w:w="1036" w:type="dxa"/>
                        <w:tcBorders>
                          <w:top w:val="nil"/>
                          <w:left w:val="nil"/>
                          <w:bottom w:val="nil"/>
                          <w:right w:val="nil"/>
                        </w:tcBorders>
                        <w:noWrap/>
                      </w:tcPr>
                      <w:p w:rsidR="00803212" w:rsidRDefault="00803212">
                        <w:pPr>
                          <w:jc w:val="center"/>
                          <w:rPr>
                            <w:rFonts w:cs="宋体"/>
                            <w:color w:val="000000"/>
                            <w:sz w:val="16"/>
                            <w:szCs w:val="16"/>
                          </w:rPr>
                        </w:pPr>
                        <w:r w:rsidRPr="00C41721">
                          <w:rPr>
                            <w:color w:val="000000"/>
                            <w:sz w:val="16"/>
                            <w:szCs w:val="16"/>
                          </w:rPr>
                          <w:t>29.83</w:t>
                        </w:r>
                      </w:p>
                    </w:tc>
                    <w:tc>
                      <w:tcPr>
                        <w:tcW w:w="606" w:type="dxa"/>
                        <w:tcBorders>
                          <w:top w:val="nil"/>
                          <w:left w:val="nil"/>
                          <w:bottom w:val="nil"/>
                          <w:right w:val="nil"/>
                        </w:tcBorders>
                        <w:noWrap/>
                      </w:tcPr>
                      <w:p w:rsidR="00803212" w:rsidRDefault="00803212">
                        <w:pPr>
                          <w:jc w:val="center"/>
                          <w:rPr>
                            <w:rFonts w:cs="宋体"/>
                            <w:color w:val="000000"/>
                            <w:sz w:val="16"/>
                            <w:szCs w:val="16"/>
                          </w:rPr>
                        </w:pPr>
                        <w:r w:rsidRPr="00C41721">
                          <w:rPr>
                            <w:color w:val="000000"/>
                            <w:sz w:val="16"/>
                            <w:szCs w:val="16"/>
                          </w:rPr>
                          <w:t>4</w:t>
                        </w:r>
                      </w:p>
                    </w:tc>
                  </w:tr>
                  <w:tr w:rsidR="00803212" w:rsidRPr="00C41721" w:rsidTr="00E2759C">
                    <w:trPr>
                      <w:trHeight w:val="289"/>
                    </w:trPr>
                    <w:tc>
                      <w:tcPr>
                        <w:tcW w:w="999" w:type="dxa"/>
                        <w:tcBorders>
                          <w:top w:val="nil"/>
                          <w:left w:val="nil"/>
                          <w:bottom w:val="nil"/>
                          <w:right w:val="nil"/>
                        </w:tcBorders>
                        <w:noWrap/>
                      </w:tcPr>
                      <w:p w:rsidR="00803212" w:rsidRDefault="00803212">
                        <w:pPr>
                          <w:jc w:val="center"/>
                          <w:rPr>
                            <w:rFonts w:cs="宋体"/>
                            <w:color w:val="000000"/>
                            <w:sz w:val="16"/>
                            <w:szCs w:val="16"/>
                          </w:rPr>
                        </w:pPr>
                        <w:r w:rsidRPr="00C41721">
                          <w:rPr>
                            <w:color w:val="000000"/>
                            <w:sz w:val="16"/>
                            <w:szCs w:val="16"/>
                          </w:rPr>
                          <w:t>590005</w:t>
                        </w:r>
                      </w:p>
                    </w:tc>
                    <w:tc>
                      <w:tcPr>
                        <w:tcW w:w="2789" w:type="dxa"/>
                        <w:tcBorders>
                          <w:top w:val="nil"/>
                          <w:left w:val="nil"/>
                          <w:bottom w:val="nil"/>
                          <w:right w:val="nil"/>
                        </w:tcBorders>
                        <w:noWrap/>
                      </w:tcPr>
                      <w:p w:rsidR="00803212" w:rsidRDefault="00803212">
                        <w:pPr>
                          <w:jc w:val="center"/>
                          <w:rPr>
                            <w:rFonts w:ascii="宋体" w:cs="宋体"/>
                            <w:color w:val="000000"/>
                            <w:sz w:val="16"/>
                            <w:szCs w:val="16"/>
                          </w:rPr>
                        </w:pPr>
                        <w:r w:rsidRPr="00C41721">
                          <w:rPr>
                            <w:rFonts w:hint="eastAsia"/>
                            <w:color w:val="000000"/>
                            <w:sz w:val="16"/>
                            <w:szCs w:val="16"/>
                          </w:rPr>
                          <w:t>中邮核心主题股票</w:t>
                        </w:r>
                      </w:p>
                    </w:tc>
                    <w:tc>
                      <w:tcPr>
                        <w:tcW w:w="1036" w:type="dxa"/>
                        <w:tcBorders>
                          <w:top w:val="nil"/>
                          <w:left w:val="nil"/>
                          <w:bottom w:val="nil"/>
                          <w:right w:val="nil"/>
                        </w:tcBorders>
                        <w:noWrap/>
                      </w:tcPr>
                      <w:p w:rsidR="00803212" w:rsidRDefault="00803212">
                        <w:pPr>
                          <w:jc w:val="center"/>
                          <w:rPr>
                            <w:rFonts w:cs="宋体"/>
                            <w:color w:val="000000"/>
                            <w:sz w:val="16"/>
                            <w:szCs w:val="16"/>
                          </w:rPr>
                        </w:pPr>
                        <w:r w:rsidRPr="00C41721">
                          <w:rPr>
                            <w:color w:val="000000"/>
                            <w:sz w:val="16"/>
                            <w:szCs w:val="16"/>
                          </w:rPr>
                          <w:t>28.91</w:t>
                        </w:r>
                      </w:p>
                    </w:tc>
                    <w:tc>
                      <w:tcPr>
                        <w:tcW w:w="606" w:type="dxa"/>
                        <w:tcBorders>
                          <w:top w:val="nil"/>
                          <w:left w:val="nil"/>
                          <w:bottom w:val="nil"/>
                          <w:right w:val="nil"/>
                        </w:tcBorders>
                        <w:noWrap/>
                      </w:tcPr>
                      <w:p w:rsidR="00803212" w:rsidRDefault="00803212">
                        <w:pPr>
                          <w:jc w:val="center"/>
                          <w:rPr>
                            <w:rFonts w:cs="宋体"/>
                            <w:color w:val="000000"/>
                            <w:sz w:val="16"/>
                            <w:szCs w:val="16"/>
                          </w:rPr>
                        </w:pPr>
                        <w:r w:rsidRPr="00C41721">
                          <w:rPr>
                            <w:color w:val="000000"/>
                            <w:sz w:val="16"/>
                            <w:szCs w:val="16"/>
                          </w:rPr>
                          <w:t>5</w:t>
                        </w:r>
                      </w:p>
                    </w:tc>
                  </w:tr>
                  <w:tr w:rsidR="00803212" w:rsidRPr="00C41721" w:rsidTr="00E2759C">
                    <w:trPr>
                      <w:trHeight w:val="289"/>
                    </w:trPr>
                    <w:tc>
                      <w:tcPr>
                        <w:tcW w:w="999" w:type="dxa"/>
                        <w:tcBorders>
                          <w:top w:val="nil"/>
                          <w:left w:val="nil"/>
                          <w:bottom w:val="nil"/>
                          <w:right w:val="nil"/>
                        </w:tcBorders>
                        <w:noWrap/>
                      </w:tcPr>
                      <w:p w:rsidR="00803212" w:rsidRDefault="00803212">
                        <w:pPr>
                          <w:jc w:val="center"/>
                          <w:rPr>
                            <w:rFonts w:cs="宋体"/>
                            <w:color w:val="000000"/>
                            <w:sz w:val="16"/>
                            <w:szCs w:val="16"/>
                          </w:rPr>
                        </w:pPr>
                        <w:r w:rsidRPr="00C41721">
                          <w:rPr>
                            <w:color w:val="000000"/>
                            <w:sz w:val="16"/>
                            <w:szCs w:val="16"/>
                          </w:rPr>
                          <w:t>000535</w:t>
                        </w:r>
                      </w:p>
                    </w:tc>
                    <w:tc>
                      <w:tcPr>
                        <w:tcW w:w="2789" w:type="dxa"/>
                        <w:tcBorders>
                          <w:top w:val="nil"/>
                          <w:left w:val="nil"/>
                          <w:bottom w:val="nil"/>
                          <w:right w:val="nil"/>
                        </w:tcBorders>
                        <w:noWrap/>
                      </w:tcPr>
                      <w:p w:rsidR="00803212" w:rsidRDefault="00803212">
                        <w:pPr>
                          <w:jc w:val="center"/>
                          <w:rPr>
                            <w:rFonts w:ascii="宋体" w:cs="宋体"/>
                            <w:color w:val="000000"/>
                            <w:sz w:val="16"/>
                            <w:szCs w:val="16"/>
                          </w:rPr>
                        </w:pPr>
                        <w:r w:rsidRPr="00C41721">
                          <w:rPr>
                            <w:rFonts w:hint="eastAsia"/>
                            <w:color w:val="000000"/>
                            <w:sz w:val="16"/>
                            <w:szCs w:val="16"/>
                          </w:rPr>
                          <w:t>长盛航天海工</w:t>
                        </w:r>
                      </w:p>
                    </w:tc>
                    <w:tc>
                      <w:tcPr>
                        <w:tcW w:w="1036" w:type="dxa"/>
                        <w:tcBorders>
                          <w:top w:val="nil"/>
                          <w:left w:val="nil"/>
                          <w:bottom w:val="nil"/>
                          <w:right w:val="nil"/>
                        </w:tcBorders>
                        <w:noWrap/>
                      </w:tcPr>
                      <w:p w:rsidR="00803212" w:rsidRDefault="00803212">
                        <w:pPr>
                          <w:jc w:val="center"/>
                          <w:rPr>
                            <w:rFonts w:cs="宋体"/>
                            <w:color w:val="000000"/>
                            <w:sz w:val="16"/>
                            <w:szCs w:val="16"/>
                          </w:rPr>
                        </w:pPr>
                        <w:r w:rsidRPr="00C41721">
                          <w:rPr>
                            <w:color w:val="000000"/>
                            <w:sz w:val="16"/>
                            <w:szCs w:val="16"/>
                          </w:rPr>
                          <w:t>28.44</w:t>
                        </w:r>
                      </w:p>
                    </w:tc>
                    <w:tc>
                      <w:tcPr>
                        <w:tcW w:w="606" w:type="dxa"/>
                        <w:tcBorders>
                          <w:top w:val="nil"/>
                          <w:left w:val="nil"/>
                          <w:bottom w:val="nil"/>
                          <w:right w:val="nil"/>
                        </w:tcBorders>
                        <w:noWrap/>
                      </w:tcPr>
                      <w:p w:rsidR="00803212" w:rsidRDefault="00803212">
                        <w:pPr>
                          <w:jc w:val="center"/>
                          <w:rPr>
                            <w:rFonts w:cs="宋体"/>
                            <w:color w:val="000000"/>
                            <w:sz w:val="16"/>
                            <w:szCs w:val="16"/>
                          </w:rPr>
                        </w:pPr>
                        <w:r w:rsidRPr="00C41721">
                          <w:rPr>
                            <w:color w:val="000000"/>
                            <w:sz w:val="16"/>
                            <w:szCs w:val="16"/>
                          </w:rPr>
                          <w:t>6</w:t>
                        </w:r>
                      </w:p>
                    </w:tc>
                  </w:tr>
                  <w:tr w:rsidR="00803212" w:rsidRPr="00C41721" w:rsidTr="00E2759C">
                    <w:trPr>
                      <w:trHeight w:val="289"/>
                    </w:trPr>
                    <w:tc>
                      <w:tcPr>
                        <w:tcW w:w="999" w:type="dxa"/>
                        <w:tcBorders>
                          <w:top w:val="nil"/>
                          <w:left w:val="nil"/>
                          <w:bottom w:val="nil"/>
                          <w:right w:val="nil"/>
                        </w:tcBorders>
                        <w:noWrap/>
                      </w:tcPr>
                      <w:p w:rsidR="00803212" w:rsidRDefault="00803212">
                        <w:pPr>
                          <w:jc w:val="center"/>
                          <w:rPr>
                            <w:rFonts w:cs="宋体"/>
                            <w:color w:val="000000"/>
                            <w:sz w:val="16"/>
                            <w:szCs w:val="16"/>
                          </w:rPr>
                        </w:pPr>
                        <w:r w:rsidRPr="00C41721">
                          <w:rPr>
                            <w:color w:val="000000"/>
                            <w:sz w:val="16"/>
                            <w:szCs w:val="16"/>
                          </w:rPr>
                          <w:t>217012</w:t>
                        </w:r>
                      </w:p>
                    </w:tc>
                    <w:tc>
                      <w:tcPr>
                        <w:tcW w:w="2789" w:type="dxa"/>
                        <w:tcBorders>
                          <w:top w:val="nil"/>
                          <w:left w:val="nil"/>
                          <w:bottom w:val="nil"/>
                          <w:right w:val="nil"/>
                        </w:tcBorders>
                        <w:noWrap/>
                      </w:tcPr>
                      <w:p w:rsidR="00803212" w:rsidRDefault="00803212">
                        <w:pPr>
                          <w:jc w:val="center"/>
                          <w:rPr>
                            <w:rFonts w:ascii="宋体" w:cs="宋体"/>
                            <w:color w:val="000000"/>
                            <w:sz w:val="16"/>
                            <w:szCs w:val="16"/>
                          </w:rPr>
                        </w:pPr>
                        <w:r w:rsidRPr="00C41721">
                          <w:rPr>
                            <w:rFonts w:hint="eastAsia"/>
                            <w:color w:val="000000"/>
                            <w:sz w:val="16"/>
                            <w:szCs w:val="16"/>
                          </w:rPr>
                          <w:t>招商行业领先股票</w:t>
                        </w:r>
                      </w:p>
                    </w:tc>
                    <w:tc>
                      <w:tcPr>
                        <w:tcW w:w="1036" w:type="dxa"/>
                        <w:tcBorders>
                          <w:top w:val="nil"/>
                          <w:left w:val="nil"/>
                          <w:bottom w:val="nil"/>
                          <w:right w:val="nil"/>
                        </w:tcBorders>
                        <w:noWrap/>
                      </w:tcPr>
                      <w:p w:rsidR="00803212" w:rsidRDefault="00803212">
                        <w:pPr>
                          <w:jc w:val="center"/>
                          <w:rPr>
                            <w:rFonts w:cs="宋体"/>
                            <w:color w:val="000000"/>
                            <w:sz w:val="16"/>
                            <w:szCs w:val="16"/>
                          </w:rPr>
                        </w:pPr>
                        <w:r w:rsidRPr="00C41721">
                          <w:rPr>
                            <w:color w:val="000000"/>
                            <w:sz w:val="16"/>
                            <w:szCs w:val="16"/>
                          </w:rPr>
                          <w:t>28.12</w:t>
                        </w:r>
                      </w:p>
                    </w:tc>
                    <w:tc>
                      <w:tcPr>
                        <w:tcW w:w="606" w:type="dxa"/>
                        <w:tcBorders>
                          <w:top w:val="nil"/>
                          <w:left w:val="nil"/>
                          <w:bottom w:val="nil"/>
                          <w:right w:val="nil"/>
                        </w:tcBorders>
                        <w:noWrap/>
                      </w:tcPr>
                      <w:p w:rsidR="00803212" w:rsidRDefault="00803212">
                        <w:pPr>
                          <w:jc w:val="center"/>
                          <w:rPr>
                            <w:rFonts w:cs="宋体"/>
                            <w:color w:val="000000"/>
                            <w:sz w:val="16"/>
                            <w:szCs w:val="16"/>
                          </w:rPr>
                        </w:pPr>
                        <w:r w:rsidRPr="00C41721">
                          <w:rPr>
                            <w:color w:val="000000"/>
                            <w:sz w:val="16"/>
                            <w:szCs w:val="16"/>
                          </w:rPr>
                          <w:t>7</w:t>
                        </w:r>
                      </w:p>
                    </w:tc>
                  </w:tr>
                  <w:tr w:rsidR="00803212" w:rsidRPr="00C41721" w:rsidTr="00E2759C">
                    <w:trPr>
                      <w:trHeight w:val="289"/>
                    </w:trPr>
                    <w:tc>
                      <w:tcPr>
                        <w:tcW w:w="999" w:type="dxa"/>
                        <w:tcBorders>
                          <w:top w:val="nil"/>
                          <w:left w:val="nil"/>
                          <w:bottom w:val="nil"/>
                          <w:right w:val="nil"/>
                        </w:tcBorders>
                        <w:noWrap/>
                      </w:tcPr>
                      <w:p w:rsidR="00803212" w:rsidRDefault="00803212">
                        <w:pPr>
                          <w:jc w:val="center"/>
                          <w:rPr>
                            <w:rFonts w:cs="宋体"/>
                            <w:color w:val="000000"/>
                            <w:sz w:val="16"/>
                            <w:szCs w:val="16"/>
                          </w:rPr>
                        </w:pPr>
                        <w:r w:rsidRPr="00C41721">
                          <w:rPr>
                            <w:color w:val="000000"/>
                            <w:sz w:val="16"/>
                            <w:szCs w:val="16"/>
                          </w:rPr>
                          <w:t>630011</w:t>
                        </w:r>
                      </w:p>
                    </w:tc>
                    <w:tc>
                      <w:tcPr>
                        <w:tcW w:w="2789" w:type="dxa"/>
                        <w:tcBorders>
                          <w:top w:val="nil"/>
                          <w:left w:val="nil"/>
                          <w:bottom w:val="nil"/>
                          <w:right w:val="nil"/>
                        </w:tcBorders>
                        <w:noWrap/>
                      </w:tcPr>
                      <w:p w:rsidR="00803212" w:rsidRDefault="00803212">
                        <w:pPr>
                          <w:jc w:val="center"/>
                          <w:rPr>
                            <w:rFonts w:ascii="宋体" w:cs="宋体"/>
                            <w:color w:val="000000"/>
                            <w:sz w:val="16"/>
                            <w:szCs w:val="16"/>
                          </w:rPr>
                        </w:pPr>
                        <w:r w:rsidRPr="00C41721">
                          <w:rPr>
                            <w:rFonts w:hint="eastAsia"/>
                            <w:color w:val="000000"/>
                            <w:sz w:val="16"/>
                            <w:szCs w:val="16"/>
                          </w:rPr>
                          <w:t>华商主题精选股票</w:t>
                        </w:r>
                      </w:p>
                    </w:tc>
                    <w:tc>
                      <w:tcPr>
                        <w:tcW w:w="1036" w:type="dxa"/>
                        <w:tcBorders>
                          <w:top w:val="nil"/>
                          <w:left w:val="nil"/>
                          <w:bottom w:val="nil"/>
                          <w:right w:val="nil"/>
                        </w:tcBorders>
                        <w:noWrap/>
                      </w:tcPr>
                      <w:p w:rsidR="00803212" w:rsidRDefault="00803212">
                        <w:pPr>
                          <w:jc w:val="center"/>
                          <w:rPr>
                            <w:rFonts w:cs="宋体"/>
                            <w:color w:val="000000"/>
                            <w:sz w:val="16"/>
                            <w:szCs w:val="16"/>
                          </w:rPr>
                        </w:pPr>
                        <w:r w:rsidRPr="00C41721">
                          <w:rPr>
                            <w:color w:val="000000"/>
                            <w:sz w:val="16"/>
                            <w:szCs w:val="16"/>
                          </w:rPr>
                          <w:t>27.78</w:t>
                        </w:r>
                      </w:p>
                    </w:tc>
                    <w:tc>
                      <w:tcPr>
                        <w:tcW w:w="606" w:type="dxa"/>
                        <w:tcBorders>
                          <w:top w:val="nil"/>
                          <w:left w:val="nil"/>
                          <w:bottom w:val="nil"/>
                          <w:right w:val="nil"/>
                        </w:tcBorders>
                        <w:noWrap/>
                      </w:tcPr>
                      <w:p w:rsidR="00803212" w:rsidRDefault="00803212">
                        <w:pPr>
                          <w:jc w:val="center"/>
                          <w:rPr>
                            <w:rFonts w:cs="宋体"/>
                            <w:color w:val="000000"/>
                            <w:sz w:val="16"/>
                            <w:szCs w:val="16"/>
                          </w:rPr>
                        </w:pPr>
                        <w:r w:rsidRPr="00C41721">
                          <w:rPr>
                            <w:color w:val="000000"/>
                            <w:sz w:val="16"/>
                            <w:szCs w:val="16"/>
                          </w:rPr>
                          <w:t>8</w:t>
                        </w:r>
                      </w:p>
                    </w:tc>
                  </w:tr>
                  <w:tr w:rsidR="00803212" w:rsidRPr="00C41721" w:rsidTr="00E2759C">
                    <w:trPr>
                      <w:trHeight w:val="289"/>
                    </w:trPr>
                    <w:tc>
                      <w:tcPr>
                        <w:tcW w:w="999" w:type="dxa"/>
                        <w:tcBorders>
                          <w:top w:val="nil"/>
                          <w:left w:val="nil"/>
                          <w:bottom w:val="nil"/>
                          <w:right w:val="nil"/>
                        </w:tcBorders>
                        <w:noWrap/>
                      </w:tcPr>
                      <w:p w:rsidR="00803212" w:rsidRDefault="00803212">
                        <w:pPr>
                          <w:jc w:val="center"/>
                          <w:rPr>
                            <w:rFonts w:cs="宋体"/>
                            <w:color w:val="000000"/>
                            <w:sz w:val="16"/>
                            <w:szCs w:val="16"/>
                          </w:rPr>
                        </w:pPr>
                        <w:r w:rsidRPr="00C41721">
                          <w:rPr>
                            <w:color w:val="000000"/>
                            <w:sz w:val="16"/>
                            <w:szCs w:val="16"/>
                          </w:rPr>
                          <w:t>233011</w:t>
                        </w:r>
                      </w:p>
                    </w:tc>
                    <w:tc>
                      <w:tcPr>
                        <w:tcW w:w="2789" w:type="dxa"/>
                        <w:tcBorders>
                          <w:top w:val="nil"/>
                          <w:left w:val="nil"/>
                          <w:bottom w:val="nil"/>
                          <w:right w:val="nil"/>
                        </w:tcBorders>
                        <w:noWrap/>
                      </w:tcPr>
                      <w:p w:rsidR="00803212" w:rsidRDefault="00803212">
                        <w:pPr>
                          <w:jc w:val="center"/>
                          <w:rPr>
                            <w:rFonts w:ascii="宋体" w:cs="宋体"/>
                            <w:color w:val="000000"/>
                            <w:sz w:val="16"/>
                            <w:szCs w:val="16"/>
                          </w:rPr>
                        </w:pPr>
                        <w:r w:rsidRPr="00C41721">
                          <w:rPr>
                            <w:rFonts w:hint="eastAsia"/>
                            <w:color w:val="000000"/>
                            <w:sz w:val="16"/>
                            <w:szCs w:val="16"/>
                          </w:rPr>
                          <w:t>大摩主题优选股票</w:t>
                        </w:r>
                      </w:p>
                    </w:tc>
                    <w:tc>
                      <w:tcPr>
                        <w:tcW w:w="1036" w:type="dxa"/>
                        <w:tcBorders>
                          <w:top w:val="nil"/>
                          <w:left w:val="nil"/>
                          <w:bottom w:val="nil"/>
                          <w:right w:val="nil"/>
                        </w:tcBorders>
                        <w:noWrap/>
                      </w:tcPr>
                      <w:p w:rsidR="00803212" w:rsidRDefault="00803212">
                        <w:pPr>
                          <w:jc w:val="center"/>
                          <w:rPr>
                            <w:rFonts w:cs="宋体"/>
                            <w:color w:val="000000"/>
                            <w:sz w:val="16"/>
                            <w:szCs w:val="16"/>
                          </w:rPr>
                        </w:pPr>
                        <w:r w:rsidRPr="00C41721">
                          <w:rPr>
                            <w:color w:val="000000"/>
                            <w:sz w:val="16"/>
                            <w:szCs w:val="16"/>
                          </w:rPr>
                          <w:t>27.65</w:t>
                        </w:r>
                      </w:p>
                    </w:tc>
                    <w:tc>
                      <w:tcPr>
                        <w:tcW w:w="606" w:type="dxa"/>
                        <w:tcBorders>
                          <w:top w:val="nil"/>
                          <w:left w:val="nil"/>
                          <w:bottom w:val="nil"/>
                          <w:right w:val="nil"/>
                        </w:tcBorders>
                        <w:noWrap/>
                      </w:tcPr>
                      <w:p w:rsidR="00803212" w:rsidRDefault="00803212">
                        <w:pPr>
                          <w:jc w:val="center"/>
                          <w:rPr>
                            <w:rFonts w:cs="宋体"/>
                            <w:color w:val="000000"/>
                            <w:sz w:val="16"/>
                            <w:szCs w:val="16"/>
                          </w:rPr>
                        </w:pPr>
                        <w:r w:rsidRPr="00C41721">
                          <w:rPr>
                            <w:color w:val="000000"/>
                            <w:sz w:val="16"/>
                            <w:szCs w:val="16"/>
                          </w:rPr>
                          <w:t>9</w:t>
                        </w:r>
                      </w:p>
                    </w:tc>
                  </w:tr>
                  <w:tr w:rsidR="00803212" w:rsidRPr="00C41721" w:rsidTr="00E2759C">
                    <w:trPr>
                      <w:trHeight w:val="305"/>
                    </w:trPr>
                    <w:tc>
                      <w:tcPr>
                        <w:tcW w:w="999" w:type="dxa"/>
                        <w:tcBorders>
                          <w:top w:val="nil"/>
                          <w:left w:val="nil"/>
                          <w:bottom w:val="single" w:sz="8" w:space="0" w:color="E46D0A"/>
                          <w:right w:val="nil"/>
                        </w:tcBorders>
                        <w:noWrap/>
                      </w:tcPr>
                      <w:p w:rsidR="00803212" w:rsidRDefault="00803212">
                        <w:pPr>
                          <w:jc w:val="center"/>
                          <w:rPr>
                            <w:rFonts w:cs="宋体"/>
                            <w:color w:val="000000"/>
                            <w:sz w:val="16"/>
                            <w:szCs w:val="16"/>
                          </w:rPr>
                        </w:pPr>
                        <w:r w:rsidRPr="00C41721">
                          <w:rPr>
                            <w:color w:val="000000"/>
                            <w:sz w:val="16"/>
                            <w:szCs w:val="16"/>
                          </w:rPr>
                          <w:t>000550</w:t>
                        </w:r>
                      </w:p>
                    </w:tc>
                    <w:tc>
                      <w:tcPr>
                        <w:tcW w:w="2789" w:type="dxa"/>
                        <w:tcBorders>
                          <w:top w:val="nil"/>
                          <w:left w:val="nil"/>
                          <w:bottom w:val="single" w:sz="8" w:space="0" w:color="E46D0A"/>
                          <w:right w:val="nil"/>
                        </w:tcBorders>
                        <w:noWrap/>
                      </w:tcPr>
                      <w:p w:rsidR="00803212" w:rsidRDefault="00803212">
                        <w:pPr>
                          <w:jc w:val="center"/>
                          <w:rPr>
                            <w:rFonts w:ascii="宋体" w:cs="宋体"/>
                            <w:color w:val="000000"/>
                            <w:sz w:val="16"/>
                            <w:szCs w:val="16"/>
                          </w:rPr>
                        </w:pPr>
                        <w:r w:rsidRPr="00C41721">
                          <w:rPr>
                            <w:rFonts w:hint="eastAsia"/>
                            <w:color w:val="000000"/>
                            <w:sz w:val="16"/>
                            <w:szCs w:val="16"/>
                          </w:rPr>
                          <w:t>广发新动力</w:t>
                        </w:r>
                      </w:p>
                    </w:tc>
                    <w:tc>
                      <w:tcPr>
                        <w:tcW w:w="1036" w:type="dxa"/>
                        <w:tcBorders>
                          <w:top w:val="nil"/>
                          <w:left w:val="nil"/>
                          <w:bottom w:val="single" w:sz="8" w:space="0" w:color="E46D0A"/>
                          <w:right w:val="nil"/>
                        </w:tcBorders>
                        <w:noWrap/>
                      </w:tcPr>
                      <w:p w:rsidR="00803212" w:rsidRDefault="00803212">
                        <w:pPr>
                          <w:jc w:val="center"/>
                          <w:rPr>
                            <w:rFonts w:cs="宋体"/>
                            <w:color w:val="000000"/>
                            <w:sz w:val="16"/>
                            <w:szCs w:val="16"/>
                          </w:rPr>
                        </w:pPr>
                        <w:r w:rsidRPr="00C41721">
                          <w:rPr>
                            <w:color w:val="000000"/>
                            <w:sz w:val="16"/>
                            <w:szCs w:val="16"/>
                          </w:rPr>
                          <w:t>27.45</w:t>
                        </w:r>
                      </w:p>
                    </w:tc>
                    <w:tc>
                      <w:tcPr>
                        <w:tcW w:w="606" w:type="dxa"/>
                        <w:tcBorders>
                          <w:top w:val="nil"/>
                          <w:left w:val="nil"/>
                          <w:bottom w:val="single" w:sz="8" w:space="0" w:color="E46D0A"/>
                          <w:right w:val="nil"/>
                        </w:tcBorders>
                        <w:noWrap/>
                      </w:tcPr>
                      <w:p w:rsidR="00803212" w:rsidRDefault="00803212">
                        <w:pPr>
                          <w:jc w:val="center"/>
                          <w:rPr>
                            <w:rFonts w:cs="宋体"/>
                            <w:color w:val="000000"/>
                            <w:sz w:val="16"/>
                            <w:szCs w:val="16"/>
                          </w:rPr>
                        </w:pPr>
                        <w:r w:rsidRPr="00C41721">
                          <w:rPr>
                            <w:color w:val="000000"/>
                            <w:sz w:val="16"/>
                            <w:szCs w:val="16"/>
                          </w:rPr>
                          <w:t>10</w:t>
                        </w:r>
                      </w:p>
                    </w:tc>
                  </w:tr>
                  <w:tr w:rsidR="00803212" w:rsidRPr="00C41721" w:rsidTr="003072DB">
                    <w:trPr>
                      <w:trHeight w:val="305"/>
                    </w:trPr>
                    <w:tc>
                      <w:tcPr>
                        <w:tcW w:w="5430" w:type="dxa"/>
                        <w:gridSpan w:val="4"/>
                        <w:tcBorders>
                          <w:top w:val="nil"/>
                          <w:left w:val="nil"/>
                          <w:bottom w:val="nil"/>
                          <w:right w:val="nil"/>
                        </w:tcBorders>
                        <w:noWrap/>
                        <w:vAlign w:val="center"/>
                      </w:tcPr>
                      <w:p w:rsidR="00803212" w:rsidRPr="003072DB" w:rsidRDefault="00803212" w:rsidP="003072DB">
                        <w:pPr>
                          <w:widowControl/>
                          <w:jc w:val="left"/>
                          <w:rPr>
                            <w:rFonts w:ascii="宋体" w:cs="宋体"/>
                            <w:color w:val="000000"/>
                            <w:kern w:val="0"/>
                            <w:sz w:val="16"/>
                            <w:szCs w:val="16"/>
                          </w:rPr>
                        </w:pPr>
                        <w:r w:rsidRPr="003072DB">
                          <w:rPr>
                            <w:rFonts w:ascii="宋体" w:hAnsi="宋体" w:cs="宋体" w:hint="eastAsia"/>
                            <w:color w:val="000000"/>
                            <w:kern w:val="0"/>
                            <w:sz w:val="16"/>
                            <w:szCs w:val="16"/>
                          </w:rPr>
                          <w:t>注：开放式主动偏股产品包含开放主动股票型及混合型</w:t>
                        </w:r>
                      </w:p>
                    </w:tc>
                  </w:tr>
                  <w:tr w:rsidR="00803212" w:rsidRPr="00C41721" w:rsidTr="003072DB">
                    <w:trPr>
                      <w:trHeight w:val="305"/>
                    </w:trPr>
                    <w:tc>
                      <w:tcPr>
                        <w:tcW w:w="3788" w:type="dxa"/>
                        <w:gridSpan w:val="2"/>
                        <w:tcBorders>
                          <w:top w:val="nil"/>
                          <w:left w:val="nil"/>
                          <w:bottom w:val="single" w:sz="8" w:space="0" w:color="E46D0A"/>
                          <w:right w:val="nil"/>
                        </w:tcBorders>
                        <w:noWrap/>
                        <w:vAlign w:val="center"/>
                      </w:tcPr>
                      <w:p w:rsidR="00803212" w:rsidRPr="003072DB" w:rsidRDefault="00803212" w:rsidP="003072DB">
                        <w:pPr>
                          <w:widowControl/>
                          <w:jc w:val="left"/>
                          <w:rPr>
                            <w:rFonts w:ascii="宋体" w:cs="宋体"/>
                            <w:color w:val="000000"/>
                            <w:kern w:val="0"/>
                            <w:sz w:val="16"/>
                            <w:szCs w:val="16"/>
                          </w:rPr>
                        </w:pPr>
                        <w:r w:rsidRPr="003072DB">
                          <w:rPr>
                            <w:rFonts w:ascii="宋体" w:hAnsi="宋体" w:cs="宋体" w:hint="eastAsia"/>
                            <w:color w:val="000000"/>
                            <w:kern w:val="0"/>
                            <w:sz w:val="16"/>
                            <w:szCs w:val="16"/>
                          </w:rPr>
                          <w:t>来源：凯石财富工场</w:t>
                        </w:r>
                      </w:p>
                    </w:tc>
                    <w:tc>
                      <w:tcPr>
                        <w:tcW w:w="1036" w:type="dxa"/>
                        <w:tcBorders>
                          <w:top w:val="nil"/>
                          <w:left w:val="nil"/>
                          <w:bottom w:val="single" w:sz="8" w:space="0" w:color="E46D0A"/>
                          <w:right w:val="nil"/>
                        </w:tcBorders>
                        <w:noWrap/>
                        <w:vAlign w:val="center"/>
                      </w:tcPr>
                      <w:p w:rsidR="00803212" w:rsidRPr="003072DB" w:rsidRDefault="00803212" w:rsidP="003072DB">
                        <w:pPr>
                          <w:widowControl/>
                          <w:jc w:val="center"/>
                          <w:rPr>
                            <w:rFonts w:ascii="宋体" w:cs="宋体"/>
                            <w:color w:val="000000"/>
                            <w:kern w:val="0"/>
                            <w:sz w:val="16"/>
                            <w:szCs w:val="16"/>
                          </w:rPr>
                        </w:pPr>
                        <w:r w:rsidRPr="003072DB">
                          <w:rPr>
                            <w:rFonts w:ascii="宋体" w:hAnsi="宋体" w:cs="宋体" w:hint="eastAsia"/>
                            <w:color w:val="000000"/>
                            <w:kern w:val="0"/>
                            <w:sz w:val="16"/>
                            <w:szCs w:val="16"/>
                          </w:rPr>
                          <w:t xml:space="preserve">　</w:t>
                        </w:r>
                      </w:p>
                    </w:tc>
                    <w:tc>
                      <w:tcPr>
                        <w:tcW w:w="606" w:type="dxa"/>
                        <w:tcBorders>
                          <w:top w:val="nil"/>
                          <w:left w:val="nil"/>
                          <w:bottom w:val="single" w:sz="8" w:space="0" w:color="E46D0A"/>
                          <w:right w:val="nil"/>
                        </w:tcBorders>
                        <w:noWrap/>
                        <w:vAlign w:val="center"/>
                      </w:tcPr>
                      <w:p w:rsidR="00803212" w:rsidRPr="003072DB" w:rsidRDefault="00803212" w:rsidP="003072DB">
                        <w:pPr>
                          <w:widowControl/>
                          <w:jc w:val="center"/>
                          <w:rPr>
                            <w:rFonts w:ascii="宋体" w:cs="宋体"/>
                            <w:color w:val="000000"/>
                            <w:kern w:val="0"/>
                            <w:sz w:val="16"/>
                            <w:szCs w:val="16"/>
                          </w:rPr>
                        </w:pPr>
                        <w:r w:rsidRPr="003072DB">
                          <w:rPr>
                            <w:rFonts w:ascii="宋体" w:hAnsi="宋体" w:cs="宋体" w:hint="eastAsia"/>
                            <w:color w:val="000000"/>
                            <w:kern w:val="0"/>
                            <w:sz w:val="16"/>
                            <w:szCs w:val="16"/>
                          </w:rPr>
                          <w:t xml:space="preserve">　</w:t>
                        </w:r>
                      </w:p>
                    </w:tc>
                  </w:tr>
                </w:tbl>
                <w:p w:rsidR="00803212" w:rsidRDefault="00803212"/>
              </w:txbxContent>
            </v:textbox>
          </v:shape>
        </w:pict>
      </w:r>
    </w:p>
    <w:p w:rsidR="00803212" w:rsidRDefault="00803212" w:rsidP="00E969EA">
      <w:pPr>
        <w:pStyle w:val="BodyText"/>
        <w:spacing w:after="163"/>
        <w:ind w:left="0"/>
        <w:rPr>
          <w:rFonts w:eastAsia="楷体_GB2312"/>
          <w:color w:val="auto"/>
        </w:rPr>
      </w:pPr>
    </w:p>
    <w:p w:rsidR="00803212" w:rsidRDefault="00803212" w:rsidP="00E969EA">
      <w:pPr>
        <w:pStyle w:val="BodyText"/>
        <w:spacing w:after="163"/>
        <w:ind w:left="0"/>
        <w:rPr>
          <w:rFonts w:eastAsia="楷体_GB2312"/>
          <w:color w:val="auto"/>
        </w:rPr>
      </w:pPr>
    </w:p>
    <w:p w:rsidR="00803212" w:rsidRDefault="00803212" w:rsidP="00E969EA">
      <w:pPr>
        <w:pStyle w:val="BodyText"/>
        <w:spacing w:after="163"/>
        <w:ind w:left="0"/>
        <w:rPr>
          <w:rFonts w:eastAsia="楷体_GB2312"/>
          <w:color w:val="auto"/>
        </w:rPr>
      </w:pPr>
    </w:p>
    <w:p w:rsidR="00803212" w:rsidRDefault="00803212" w:rsidP="00E969EA">
      <w:pPr>
        <w:pStyle w:val="BodyText"/>
        <w:spacing w:after="163"/>
        <w:ind w:left="0"/>
        <w:rPr>
          <w:rFonts w:eastAsia="楷体_GB2312"/>
          <w:color w:val="auto"/>
        </w:rPr>
      </w:pPr>
    </w:p>
    <w:p w:rsidR="00803212" w:rsidRDefault="00803212" w:rsidP="00E969EA">
      <w:pPr>
        <w:pStyle w:val="BodyText"/>
        <w:spacing w:after="163"/>
        <w:ind w:left="0"/>
        <w:rPr>
          <w:rFonts w:eastAsia="楷体_GB2312"/>
          <w:color w:val="auto"/>
        </w:rPr>
      </w:pPr>
    </w:p>
    <w:p w:rsidR="00803212" w:rsidRDefault="00803212" w:rsidP="00E969EA">
      <w:pPr>
        <w:pStyle w:val="BodyText"/>
        <w:spacing w:after="163"/>
        <w:ind w:left="0"/>
        <w:rPr>
          <w:rFonts w:eastAsia="楷体_GB2312"/>
          <w:color w:val="auto"/>
        </w:rPr>
      </w:pPr>
    </w:p>
    <w:p w:rsidR="00803212" w:rsidRDefault="00803212" w:rsidP="00E969EA">
      <w:pPr>
        <w:pStyle w:val="BodyText"/>
        <w:spacing w:after="163"/>
        <w:ind w:left="0"/>
        <w:rPr>
          <w:rFonts w:eastAsia="楷体_GB2312"/>
          <w:color w:val="auto"/>
        </w:rPr>
      </w:pPr>
    </w:p>
    <w:p w:rsidR="00803212" w:rsidRDefault="00803212" w:rsidP="00E969EA">
      <w:pPr>
        <w:pStyle w:val="BodyText"/>
        <w:spacing w:after="163"/>
        <w:ind w:left="0"/>
        <w:rPr>
          <w:rFonts w:eastAsia="楷体_GB2312"/>
          <w:color w:val="auto"/>
        </w:rPr>
      </w:pPr>
    </w:p>
    <w:p w:rsidR="00803212" w:rsidRDefault="00803212" w:rsidP="00E969EA">
      <w:pPr>
        <w:pStyle w:val="BodyText"/>
        <w:spacing w:after="163"/>
        <w:ind w:left="0"/>
        <w:rPr>
          <w:rFonts w:eastAsia="楷体_GB2312"/>
          <w:color w:val="auto"/>
        </w:rPr>
      </w:pPr>
    </w:p>
    <w:p w:rsidR="00803212" w:rsidRDefault="00803212" w:rsidP="00E969EA">
      <w:pPr>
        <w:pStyle w:val="BodyText"/>
        <w:spacing w:after="163"/>
        <w:ind w:left="0"/>
        <w:rPr>
          <w:rFonts w:eastAsia="楷体_GB2312"/>
          <w:color w:val="auto"/>
        </w:rPr>
      </w:pPr>
    </w:p>
    <w:p w:rsidR="00803212" w:rsidRPr="0046700D" w:rsidRDefault="00803212" w:rsidP="002B408E">
      <w:pPr>
        <w:pStyle w:val="BodyText"/>
        <w:numPr>
          <w:ilvl w:val="4"/>
          <w:numId w:val="1"/>
        </w:numPr>
        <w:spacing w:after="163"/>
        <w:rPr>
          <w:rFonts w:eastAsia="楷体_GB2312"/>
          <w:color w:val="auto"/>
        </w:rPr>
      </w:pPr>
      <w:r w:rsidRPr="0046700D">
        <w:rPr>
          <w:rFonts w:eastAsia="楷体_GB2312" w:hint="eastAsia"/>
          <w:color w:val="auto"/>
        </w:rPr>
        <w:t>商品基金方面，受乌克兰危机缓和、苏格兰独立公投否决影响，区域地缘政治风险有所缓和，而在</w:t>
      </w:r>
      <w:r w:rsidRPr="0046700D">
        <w:rPr>
          <w:rFonts w:eastAsia="楷体_GB2312"/>
          <w:color w:val="auto"/>
        </w:rPr>
        <w:t>QE</w:t>
      </w:r>
      <w:r w:rsidRPr="0046700D">
        <w:rPr>
          <w:rFonts w:eastAsia="楷体_GB2312" w:hint="eastAsia"/>
          <w:color w:val="auto"/>
        </w:rPr>
        <w:t>退出背景下加息</w:t>
      </w:r>
      <w:r>
        <w:rPr>
          <w:rFonts w:eastAsia="楷体_GB2312" w:hint="eastAsia"/>
          <w:color w:val="auto"/>
        </w:rPr>
        <w:t>路径逐渐明晰</w:t>
      </w:r>
      <w:r w:rsidRPr="0046700D">
        <w:rPr>
          <w:rFonts w:eastAsia="楷体_GB2312" w:hint="eastAsia"/>
          <w:color w:val="auto"/>
        </w:rPr>
        <w:t>，国际金价持续下行，以黄金为主要投资标的的商品型基金全线下挫，</w:t>
      </w:r>
      <w:r w:rsidRPr="0046700D">
        <w:rPr>
          <w:rFonts w:eastAsia="楷体_GB2312"/>
          <w:color w:val="auto"/>
        </w:rPr>
        <w:t>5</w:t>
      </w:r>
      <w:r w:rsidRPr="0046700D">
        <w:rPr>
          <w:rFonts w:eastAsia="楷体_GB2312" w:hint="eastAsia"/>
          <w:color w:val="auto"/>
        </w:rPr>
        <w:t>只产品平均跌幅达</w:t>
      </w:r>
      <w:r w:rsidRPr="0046700D">
        <w:rPr>
          <w:rFonts w:eastAsia="楷体_GB2312"/>
          <w:color w:val="auto"/>
        </w:rPr>
        <w:t>7.61%</w:t>
      </w:r>
      <w:r w:rsidRPr="0046700D">
        <w:rPr>
          <w:rFonts w:eastAsia="楷体_GB2312" w:hint="eastAsia"/>
          <w:color w:val="auto"/>
        </w:rPr>
        <w:t>。</w:t>
      </w:r>
    </w:p>
    <w:p w:rsidR="00803212" w:rsidRPr="0035104D" w:rsidRDefault="00803212" w:rsidP="0035104D">
      <w:pPr>
        <w:widowControl/>
        <w:spacing w:after="120" w:line="240" w:lineRule="exact"/>
        <w:ind w:left="3430"/>
        <w:rPr>
          <w:rFonts w:ascii="Arial" w:eastAsia="楷体_GB2312" w:hAnsi="Arial"/>
          <w:b/>
          <w:bCs/>
          <w:color w:val="0070C0"/>
          <w:kern w:val="0"/>
          <w:szCs w:val="21"/>
          <w:lang w:val="en-GB"/>
        </w:rPr>
      </w:pPr>
      <w:r w:rsidRPr="00EC0E7D">
        <w:rPr>
          <w:rFonts w:ascii="Arial" w:eastAsia="楷体_GB2312" w:hAnsi="Arial" w:hint="eastAsia"/>
          <w:b/>
          <w:bCs/>
          <w:color w:val="0070C0"/>
          <w:kern w:val="0"/>
          <w:szCs w:val="21"/>
          <w:lang w:val="en-GB"/>
        </w:rPr>
        <w:t>固收类基金：</w:t>
      </w:r>
      <w:r>
        <w:rPr>
          <w:rFonts w:ascii="Arial" w:eastAsia="楷体_GB2312" w:hAnsi="Arial" w:hint="eastAsia"/>
          <w:b/>
          <w:bCs/>
          <w:color w:val="0070C0"/>
          <w:kern w:val="0"/>
          <w:szCs w:val="21"/>
          <w:lang w:val="en-GB"/>
        </w:rPr>
        <w:t>可转债基表现强势，二级债基亮点频现</w:t>
      </w:r>
    </w:p>
    <w:p w:rsidR="00803212" w:rsidRDefault="00803212" w:rsidP="00E15C62">
      <w:pPr>
        <w:pStyle w:val="BodyText"/>
        <w:numPr>
          <w:ilvl w:val="4"/>
          <w:numId w:val="1"/>
        </w:numPr>
        <w:spacing w:after="163"/>
        <w:rPr>
          <w:rFonts w:eastAsia="楷体_GB2312"/>
          <w:color w:val="auto"/>
        </w:rPr>
      </w:pPr>
      <w:r>
        <w:rPr>
          <w:rFonts w:eastAsia="楷体_GB2312" w:hint="eastAsia"/>
          <w:color w:val="auto"/>
        </w:rPr>
        <w:t>三季度在宏观经济增速下滑、宽松预期升温、资金面中性偏松格局下，债券基金整体业绩向好</w:t>
      </w:r>
      <w:r w:rsidRPr="00F31B10">
        <w:rPr>
          <w:rFonts w:eastAsia="楷体_GB2312" w:hint="eastAsia"/>
          <w:color w:val="auto"/>
        </w:rPr>
        <w:t>。统计显示</w:t>
      </w:r>
      <w:r>
        <w:rPr>
          <w:rFonts w:eastAsia="楷体_GB2312"/>
          <w:color w:val="auto"/>
        </w:rPr>
        <w:t>615</w:t>
      </w:r>
      <w:r w:rsidRPr="00F31B10">
        <w:rPr>
          <w:rFonts w:eastAsia="楷体_GB2312" w:hint="eastAsia"/>
          <w:color w:val="auto"/>
        </w:rPr>
        <w:t>只债券型基金（不含理财债基）</w:t>
      </w:r>
      <w:r>
        <w:rPr>
          <w:rFonts w:eastAsia="楷体_GB2312" w:hint="eastAsia"/>
          <w:color w:val="auto"/>
        </w:rPr>
        <w:t>净值全线上涨，季度</w:t>
      </w:r>
      <w:r w:rsidRPr="00F31B10">
        <w:rPr>
          <w:rFonts w:eastAsia="楷体_GB2312" w:hint="eastAsia"/>
          <w:color w:val="auto"/>
        </w:rPr>
        <w:t>平均</w:t>
      </w:r>
      <w:r>
        <w:rPr>
          <w:rFonts w:eastAsia="楷体_GB2312" w:hint="eastAsia"/>
          <w:color w:val="auto"/>
        </w:rPr>
        <w:t>涨幅为</w:t>
      </w:r>
      <w:r>
        <w:rPr>
          <w:rFonts w:eastAsia="楷体_GB2312"/>
          <w:color w:val="auto"/>
        </w:rPr>
        <w:t>3.92</w:t>
      </w:r>
      <w:r w:rsidRPr="00F31B10">
        <w:rPr>
          <w:rFonts w:eastAsia="楷体_GB2312"/>
          <w:color w:val="auto"/>
        </w:rPr>
        <w:t>%</w:t>
      </w:r>
      <w:r w:rsidRPr="00F31B10">
        <w:rPr>
          <w:rFonts w:eastAsia="楷体_GB2312" w:hint="eastAsia"/>
          <w:color w:val="auto"/>
        </w:rPr>
        <w:t>，分类型来看，</w:t>
      </w:r>
      <w:r>
        <w:rPr>
          <w:rFonts w:eastAsia="楷体_GB2312" w:hint="eastAsia"/>
          <w:color w:val="auto"/>
        </w:rPr>
        <w:t>受正股带动影响，可转债基三季度整体表现强势，平均涨幅高达</w:t>
      </w:r>
      <w:r>
        <w:rPr>
          <w:rFonts w:eastAsia="楷体_GB2312"/>
          <w:color w:val="auto"/>
        </w:rPr>
        <w:t>11.30%</w:t>
      </w:r>
      <w:r>
        <w:rPr>
          <w:rFonts w:eastAsia="楷体_GB2312" w:hint="eastAsia"/>
          <w:color w:val="auto"/>
        </w:rPr>
        <w:t>，此外二级债基受益</w:t>
      </w:r>
      <w:r>
        <w:rPr>
          <w:rFonts w:eastAsia="楷体_GB2312"/>
          <w:color w:val="auto"/>
        </w:rPr>
        <w:t>A</w:t>
      </w:r>
      <w:r>
        <w:rPr>
          <w:rFonts w:eastAsia="楷体_GB2312" w:hint="eastAsia"/>
          <w:color w:val="auto"/>
        </w:rPr>
        <w:t>股市场反弹，平均上涨</w:t>
      </w:r>
      <w:r>
        <w:rPr>
          <w:rFonts w:eastAsia="楷体_GB2312"/>
          <w:color w:val="auto"/>
        </w:rPr>
        <w:t>4.62%</w:t>
      </w:r>
      <w:r>
        <w:rPr>
          <w:rFonts w:eastAsia="楷体_GB2312" w:hint="eastAsia"/>
          <w:color w:val="auto"/>
        </w:rPr>
        <w:t>，部分产品业绩表现较为突出。此外，一级债基、纯债债基季度净值涨幅分别为</w:t>
      </w:r>
      <w:r>
        <w:rPr>
          <w:rFonts w:eastAsia="楷体_GB2312"/>
          <w:color w:val="auto"/>
        </w:rPr>
        <w:t>3.48%</w:t>
      </w:r>
      <w:r>
        <w:rPr>
          <w:rFonts w:eastAsia="楷体_GB2312" w:hint="eastAsia"/>
          <w:color w:val="auto"/>
        </w:rPr>
        <w:t>、</w:t>
      </w:r>
      <w:r>
        <w:rPr>
          <w:rFonts w:eastAsia="楷体_GB2312"/>
          <w:color w:val="auto"/>
        </w:rPr>
        <w:t>3.17%</w:t>
      </w:r>
      <w:r>
        <w:rPr>
          <w:rFonts w:eastAsia="楷体_GB2312" w:hint="eastAsia"/>
          <w:color w:val="auto"/>
        </w:rPr>
        <w:t>，指数债基平均上涨</w:t>
      </w:r>
      <w:r>
        <w:rPr>
          <w:rFonts w:eastAsia="楷体_GB2312"/>
          <w:color w:val="auto"/>
        </w:rPr>
        <w:t>2.03%</w:t>
      </w:r>
      <w:r>
        <w:rPr>
          <w:rFonts w:eastAsia="楷体_GB2312" w:hint="eastAsia"/>
          <w:color w:val="auto"/>
        </w:rPr>
        <w:t>。从单只基金业绩表现来看，二级债基易方达安心回报</w:t>
      </w:r>
      <w:r>
        <w:rPr>
          <w:rFonts w:eastAsia="楷体_GB2312"/>
          <w:color w:val="auto"/>
        </w:rPr>
        <w:t>A</w:t>
      </w:r>
      <w:r>
        <w:rPr>
          <w:rFonts w:eastAsia="楷体_GB2312" w:hint="eastAsia"/>
          <w:color w:val="auto"/>
        </w:rPr>
        <w:t>、易方达安心回报</w:t>
      </w:r>
      <w:r>
        <w:rPr>
          <w:rFonts w:eastAsia="楷体_GB2312"/>
          <w:color w:val="auto"/>
        </w:rPr>
        <w:t>B</w:t>
      </w:r>
      <w:r>
        <w:rPr>
          <w:rFonts w:eastAsia="楷体_GB2312" w:hint="eastAsia"/>
          <w:color w:val="auto"/>
        </w:rPr>
        <w:t>净值涨幅分别为</w:t>
      </w:r>
      <w:r>
        <w:rPr>
          <w:rFonts w:eastAsia="楷体_GB2312"/>
          <w:color w:val="auto"/>
        </w:rPr>
        <w:t>16.08%</w:t>
      </w:r>
      <w:r>
        <w:rPr>
          <w:rFonts w:eastAsia="楷体_GB2312" w:hint="eastAsia"/>
          <w:color w:val="auto"/>
        </w:rPr>
        <w:t>、</w:t>
      </w:r>
      <w:r>
        <w:rPr>
          <w:rFonts w:eastAsia="楷体_GB2312"/>
          <w:color w:val="auto"/>
        </w:rPr>
        <w:t>15.97%</w:t>
      </w:r>
      <w:r>
        <w:rPr>
          <w:rFonts w:eastAsia="楷体_GB2312" w:hint="eastAsia"/>
          <w:color w:val="auto"/>
        </w:rPr>
        <w:t>，包揽涨幅榜前两位，此外同属二级债基的博时宏观回报债券</w:t>
      </w:r>
      <w:r>
        <w:rPr>
          <w:rFonts w:eastAsia="楷体_GB2312"/>
          <w:color w:val="auto"/>
        </w:rPr>
        <w:t>A/B</w:t>
      </w:r>
      <w:r>
        <w:rPr>
          <w:rFonts w:eastAsia="楷体_GB2312" w:hint="eastAsia"/>
          <w:color w:val="auto"/>
        </w:rPr>
        <w:t>、博时宏观回报债券</w:t>
      </w:r>
      <w:r>
        <w:rPr>
          <w:rFonts w:eastAsia="楷体_GB2312"/>
          <w:color w:val="auto"/>
        </w:rPr>
        <w:t>C</w:t>
      </w:r>
      <w:r>
        <w:rPr>
          <w:rFonts w:eastAsia="楷体_GB2312" w:hint="eastAsia"/>
          <w:color w:val="auto"/>
        </w:rPr>
        <w:t>分列第</w:t>
      </w:r>
      <w:r>
        <w:rPr>
          <w:rFonts w:eastAsia="楷体_GB2312"/>
          <w:color w:val="auto"/>
        </w:rPr>
        <w:t>4</w:t>
      </w:r>
      <w:r>
        <w:rPr>
          <w:rFonts w:eastAsia="楷体_GB2312" w:hint="eastAsia"/>
          <w:color w:val="auto"/>
        </w:rPr>
        <w:t>、</w:t>
      </w:r>
      <w:r>
        <w:rPr>
          <w:rFonts w:eastAsia="楷体_GB2312"/>
          <w:color w:val="auto"/>
        </w:rPr>
        <w:t>5</w:t>
      </w:r>
      <w:r>
        <w:rPr>
          <w:rFonts w:eastAsia="楷体_GB2312" w:hint="eastAsia"/>
          <w:color w:val="auto"/>
        </w:rPr>
        <w:t>位。而另一方面，转债类产品有</w:t>
      </w:r>
      <w:r>
        <w:rPr>
          <w:rFonts w:eastAsia="楷体_GB2312"/>
          <w:color w:val="auto"/>
        </w:rPr>
        <w:t>6</w:t>
      </w:r>
      <w:r>
        <w:rPr>
          <w:rFonts w:eastAsia="楷体_GB2312" w:hint="eastAsia"/>
          <w:color w:val="auto"/>
        </w:rPr>
        <w:t>只跻身同业前十：分别是</w:t>
      </w:r>
      <w:r w:rsidRPr="00E8002A">
        <w:rPr>
          <w:rFonts w:eastAsia="楷体_GB2312" w:hint="eastAsia"/>
          <w:color w:val="auto"/>
          <w:lang w:val="en-US"/>
        </w:rPr>
        <w:t>汇添富可转</w:t>
      </w:r>
      <w:r>
        <w:rPr>
          <w:rFonts w:eastAsia="楷体_GB2312" w:hint="eastAsia"/>
          <w:color w:val="auto"/>
          <w:lang w:val="en-US"/>
        </w:rPr>
        <w:t>债</w:t>
      </w:r>
      <w:r>
        <w:rPr>
          <w:rFonts w:eastAsia="楷体_GB2312"/>
          <w:color w:val="auto"/>
          <w:lang w:val="en-US"/>
        </w:rPr>
        <w:t>A</w:t>
      </w:r>
      <w:r>
        <w:rPr>
          <w:rFonts w:eastAsia="楷体_GB2312" w:hint="eastAsia"/>
          <w:color w:val="auto"/>
          <w:lang w:val="en-US"/>
        </w:rPr>
        <w:t>、汇添富可转债</w:t>
      </w:r>
      <w:r>
        <w:rPr>
          <w:rFonts w:eastAsia="楷体_GB2312"/>
          <w:color w:val="auto"/>
          <w:lang w:val="en-US"/>
        </w:rPr>
        <w:t>C</w:t>
      </w:r>
      <w:r>
        <w:rPr>
          <w:rFonts w:eastAsia="楷体_GB2312" w:hint="eastAsia"/>
          <w:color w:val="auto"/>
          <w:lang w:val="en-US"/>
        </w:rPr>
        <w:t>、中海可转债</w:t>
      </w:r>
      <w:r>
        <w:rPr>
          <w:rFonts w:eastAsia="楷体_GB2312"/>
          <w:color w:val="auto"/>
          <w:lang w:val="en-US"/>
        </w:rPr>
        <w:t>A</w:t>
      </w:r>
      <w:r>
        <w:rPr>
          <w:rFonts w:eastAsia="楷体_GB2312" w:hint="eastAsia"/>
          <w:color w:val="auto"/>
          <w:lang w:val="en-US"/>
        </w:rPr>
        <w:t>、中海可转债</w:t>
      </w:r>
      <w:r>
        <w:rPr>
          <w:rFonts w:eastAsia="楷体_GB2312"/>
          <w:color w:val="auto"/>
          <w:lang w:val="en-US"/>
        </w:rPr>
        <w:t>C</w:t>
      </w:r>
      <w:r>
        <w:rPr>
          <w:rFonts w:eastAsia="楷体_GB2312" w:hint="eastAsia"/>
          <w:color w:val="auto"/>
          <w:lang w:val="en-US"/>
        </w:rPr>
        <w:t>、建信转债增强</w:t>
      </w:r>
      <w:r>
        <w:rPr>
          <w:rFonts w:eastAsia="楷体_GB2312"/>
          <w:color w:val="auto"/>
          <w:lang w:val="en-US"/>
        </w:rPr>
        <w:t>A</w:t>
      </w:r>
      <w:r>
        <w:rPr>
          <w:rFonts w:eastAsia="楷体_GB2312" w:hint="eastAsia"/>
          <w:color w:val="auto"/>
          <w:lang w:val="en-US"/>
        </w:rPr>
        <w:t>、建信转债增强</w:t>
      </w:r>
      <w:r>
        <w:rPr>
          <w:rFonts w:eastAsia="楷体_GB2312"/>
          <w:color w:val="auto"/>
          <w:lang w:val="en-US"/>
        </w:rPr>
        <w:t>C</w:t>
      </w:r>
      <w:r>
        <w:rPr>
          <w:rFonts w:eastAsia="楷体_GB2312" w:hint="eastAsia"/>
          <w:color w:val="auto"/>
          <w:lang w:val="en-US"/>
        </w:rPr>
        <w:t>，阶段涨幅均逾</w:t>
      </w:r>
      <w:r>
        <w:rPr>
          <w:rFonts w:eastAsia="楷体_GB2312"/>
          <w:color w:val="auto"/>
          <w:lang w:val="en-US"/>
        </w:rPr>
        <w:t>14%</w:t>
      </w:r>
      <w:r>
        <w:rPr>
          <w:rFonts w:eastAsia="楷体_GB2312" w:hint="eastAsia"/>
          <w:color w:val="auto"/>
          <w:lang w:val="en-US"/>
        </w:rPr>
        <w:t>。</w:t>
      </w:r>
    </w:p>
    <w:p w:rsidR="00803212" w:rsidRDefault="00803212" w:rsidP="00E15C62">
      <w:pPr>
        <w:pStyle w:val="BodyText"/>
        <w:numPr>
          <w:ilvl w:val="4"/>
          <w:numId w:val="1"/>
        </w:numPr>
        <w:spacing w:after="163"/>
        <w:rPr>
          <w:rFonts w:eastAsia="楷体_GB2312"/>
          <w:color w:val="auto"/>
        </w:rPr>
      </w:pPr>
      <w:r w:rsidRPr="00F31B10">
        <w:rPr>
          <w:rFonts w:eastAsia="楷体_GB2312" w:hint="eastAsia"/>
          <w:color w:val="auto"/>
        </w:rPr>
        <w:t>保本基金方面，</w:t>
      </w:r>
      <w:r>
        <w:rPr>
          <w:rFonts w:eastAsia="楷体_GB2312"/>
          <w:color w:val="auto"/>
        </w:rPr>
        <w:t>51</w:t>
      </w:r>
      <w:r w:rsidRPr="00F31B10">
        <w:rPr>
          <w:rFonts w:eastAsia="楷体_GB2312" w:hint="eastAsia"/>
          <w:color w:val="auto"/>
        </w:rPr>
        <w:t>只产品净值平均上涨</w:t>
      </w:r>
      <w:r>
        <w:rPr>
          <w:rFonts w:eastAsia="楷体_GB2312"/>
          <w:color w:val="auto"/>
        </w:rPr>
        <w:t>3.90</w:t>
      </w:r>
      <w:r w:rsidRPr="00F31B10">
        <w:rPr>
          <w:rFonts w:eastAsia="楷体_GB2312"/>
          <w:color w:val="auto"/>
        </w:rPr>
        <w:t>%</w:t>
      </w:r>
      <w:r w:rsidRPr="00F31B10">
        <w:rPr>
          <w:rFonts w:eastAsia="楷体_GB2312" w:hint="eastAsia"/>
          <w:color w:val="auto"/>
        </w:rPr>
        <w:t>，其中</w:t>
      </w:r>
      <w:r>
        <w:rPr>
          <w:rFonts w:eastAsia="楷体_GB2312" w:hint="eastAsia"/>
          <w:color w:val="auto"/>
        </w:rPr>
        <w:t>安盈</w:t>
      </w:r>
      <w:r w:rsidRPr="00F31B10">
        <w:rPr>
          <w:rFonts w:eastAsia="楷体_GB2312" w:hint="eastAsia"/>
          <w:color w:val="auto"/>
        </w:rPr>
        <w:t>保本混合净值增长</w:t>
      </w:r>
      <w:r>
        <w:rPr>
          <w:rFonts w:eastAsia="楷体_GB2312"/>
          <w:color w:val="auto"/>
        </w:rPr>
        <w:t>9.01</w:t>
      </w:r>
      <w:r w:rsidRPr="00F31B10">
        <w:rPr>
          <w:rFonts w:eastAsia="楷体_GB2312"/>
          <w:color w:val="auto"/>
        </w:rPr>
        <w:t>%</w:t>
      </w:r>
      <w:r>
        <w:rPr>
          <w:rFonts w:eastAsia="楷体_GB2312" w:hint="eastAsia"/>
          <w:color w:val="auto"/>
        </w:rPr>
        <w:t>、华富保本净值增长</w:t>
      </w:r>
      <w:r>
        <w:rPr>
          <w:rFonts w:eastAsia="楷体_GB2312"/>
          <w:color w:val="auto"/>
        </w:rPr>
        <w:t>7.07%</w:t>
      </w:r>
      <w:r>
        <w:rPr>
          <w:rFonts w:eastAsia="楷体_GB2312" w:hint="eastAsia"/>
          <w:color w:val="auto"/>
        </w:rPr>
        <w:t>，</w:t>
      </w:r>
      <w:r w:rsidRPr="00F31B10">
        <w:rPr>
          <w:rFonts w:eastAsia="楷体_GB2312" w:hint="eastAsia"/>
          <w:color w:val="auto"/>
        </w:rPr>
        <w:t>排名涨幅榜前两位。</w:t>
      </w:r>
    </w:p>
    <w:p w:rsidR="00803212" w:rsidRDefault="00803212" w:rsidP="00E15C62">
      <w:pPr>
        <w:pStyle w:val="BodyText"/>
        <w:numPr>
          <w:ilvl w:val="4"/>
          <w:numId w:val="1"/>
        </w:numPr>
        <w:spacing w:after="163"/>
        <w:rPr>
          <w:rFonts w:eastAsia="楷体_GB2312"/>
          <w:color w:val="auto"/>
        </w:rPr>
      </w:pPr>
      <w:r w:rsidRPr="00F31B10">
        <w:rPr>
          <w:rFonts w:eastAsia="楷体_GB2312" w:hint="eastAsia"/>
          <w:color w:val="auto"/>
        </w:rPr>
        <w:t>理财债基及货币基金方面，</w:t>
      </w:r>
      <w:r>
        <w:rPr>
          <w:rFonts w:eastAsia="楷体_GB2312" w:hint="eastAsia"/>
          <w:color w:val="auto"/>
        </w:rPr>
        <w:t>三季度</w:t>
      </w:r>
      <w:r>
        <w:rPr>
          <w:rFonts w:eastAsia="楷体_GB2312"/>
          <w:color w:val="auto"/>
        </w:rPr>
        <w:t>226</w:t>
      </w:r>
      <w:r w:rsidRPr="00F31B10">
        <w:rPr>
          <w:rFonts w:eastAsia="楷体_GB2312" w:hint="eastAsia"/>
          <w:color w:val="auto"/>
        </w:rPr>
        <w:t>只货币基金简单平均收益为</w:t>
      </w:r>
      <w:r>
        <w:rPr>
          <w:rFonts w:eastAsia="楷体_GB2312"/>
          <w:color w:val="auto"/>
        </w:rPr>
        <w:t>1.06</w:t>
      </w:r>
      <w:r w:rsidRPr="00F31B10">
        <w:rPr>
          <w:rFonts w:eastAsia="楷体_GB2312"/>
          <w:color w:val="auto"/>
        </w:rPr>
        <w:t>%</w:t>
      </w:r>
      <w:r w:rsidRPr="00F31B10">
        <w:rPr>
          <w:rFonts w:eastAsia="楷体_GB2312" w:hint="eastAsia"/>
          <w:color w:val="auto"/>
        </w:rPr>
        <w:t>、同期</w:t>
      </w:r>
      <w:r w:rsidRPr="00F31B10">
        <w:rPr>
          <w:rFonts w:eastAsia="楷体_GB2312"/>
          <w:color w:val="auto"/>
        </w:rPr>
        <w:t>107</w:t>
      </w:r>
      <w:r w:rsidRPr="00F31B10">
        <w:rPr>
          <w:rFonts w:eastAsia="楷体_GB2312" w:hint="eastAsia"/>
          <w:color w:val="auto"/>
        </w:rPr>
        <w:t>只理财债基简单平均收益</w:t>
      </w:r>
      <w:r>
        <w:rPr>
          <w:rFonts w:eastAsia="楷体_GB2312"/>
          <w:color w:val="auto"/>
        </w:rPr>
        <w:t>1.15</w:t>
      </w:r>
      <w:r w:rsidRPr="00F31B10">
        <w:rPr>
          <w:rFonts w:eastAsia="楷体_GB2312"/>
          <w:color w:val="auto"/>
        </w:rPr>
        <w:t>%</w:t>
      </w:r>
      <w:r w:rsidRPr="00F31B10">
        <w:rPr>
          <w:rFonts w:eastAsia="楷体_GB2312" w:hint="eastAsia"/>
          <w:color w:val="auto"/>
        </w:rPr>
        <w:t>。</w:t>
      </w:r>
    </w:p>
    <w:tbl>
      <w:tblPr>
        <w:tblW w:w="5850" w:type="dxa"/>
        <w:tblInd w:w="3906" w:type="dxa"/>
        <w:tblLook w:val="00A0"/>
      </w:tblPr>
      <w:tblGrid>
        <w:gridCol w:w="816"/>
        <w:gridCol w:w="2131"/>
        <w:gridCol w:w="1302"/>
        <w:gridCol w:w="985"/>
        <w:gridCol w:w="616"/>
      </w:tblGrid>
      <w:tr w:rsidR="00803212" w:rsidRPr="00C41721" w:rsidTr="003072DB">
        <w:trPr>
          <w:trHeight w:val="285"/>
        </w:trPr>
        <w:tc>
          <w:tcPr>
            <w:tcW w:w="4249" w:type="dxa"/>
            <w:gridSpan w:val="3"/>
            <w:tcBorders>
              <w:top w:val="single" w:sz="8" w:space="0" w:color="E46D0A"/>
              <w:left w:val="nil"/>
              <w:bottom w:val="single" w:sz="8" w:space="0" w:color="E46D0A"/>
              <w:right w:val="nil"/>
            </w:tcBorders>
            <w:noWrap/>
            <w:vAlign w:val="center"/>
          </w:tcPr>
          <w:p w:rsidR="00803212" w:rsidRPr="003072DB" w:rsidRDefault="00803212" w:rsidP="00F4563C">
            <w:pPr>
              <w:widowControl/>
              <w:jc w:val="left"/>
              <w:rPr>
                <w:rFonts w:ascii="宋体" w:cs="宋体"/>
                <w:b/>
                <w:i/>
                <w:iCs/>
                <w:color w:val="E36C0A"/>
                <w:kern w:val="0"/>
                <w:sz w:val="20"/>
                <w:szCs w:val="20"/>
              </w:rPr>
            </w:pPr>
            <w:bookmarkStart w:id="0" w:name="OLE_LINK1"/>
            <w:r w:rsidRPr="003072DB">
              <w:rPr>
                <w:rFonts w:ascii="宋体" w:hAnsi="宋体" w:cs="宋体" w:hint="eastAsia"/>
                <w:b/>
                <w:i/>
                <w:iCs/>
                <w:color w:val="E36C0A"/>
                <w:kern w:val="0"/>
                <w:sz w:val="20"/>
                <w:szCs w:val="20"/>
              </w:rPr>
              <w:t>图表</w:t>
            </w:r>
            <w:r w:rsidRPr="003072DB">
              <w:rPr>
                <w:rFonts w:ascii="宋体" w:hAnsi="宋体" w:cs="宋体"/>
                <w:b/>
                <w:i/>
                <w:iCs/>
                <w:color w:val="E36C0A"/>
                <w:kern w:val="0"/>
                <w:sz w:val="20"/>
                <w:szCs w:val="20"/>
              </w:rPr>
              <w:t>4:2014</w:t>
            </w:r>
            <w:r>
              <w:rPr>
                <w:rFonts w:ascii="宋体" w:hAnsi="宋体" w:cs="宋体" w:hint="eastAsia"/>
                <w:b/>
                <w:i/>
                <w:iCs/>
                <w:color w:val="E36C0A"/>
                <w:kern w:val="0"/>
                <w:sz w:val="20"/>
                <w:szCs w:val="20"/>
              </w:rPr>
              <w:t>年三季度</w:t>
            </w:r>
            <w:r w:rsidRPr="003072DB">
              <w:rPr>
                <w:rFonts w:ascii="宋体" w:hAnsi="宋体" w:cs="宋体" w:hint="eastAsia"/>
                <w:b/>
                <w:i/>
                <w:iCs/>
                <w:color w:val="E36C0A"/>
                <w:kern w:val="0"/>
                <w:sz w:val="20"/>
                <w:szCs w:val="20"/>
              </w:rPr>
              <w:t>债券型产品前十</w:t>
            </w:r>
          </w:p>
        </w:tc>
        <w:tc>
          <w:tcPr>
            <w:tcW w:w="985" w:type="dxa"/>
            <w:tcBorders>
              <w:top w:val="single" w:sz="8" w:space="0" w:color="E46D0A"/>
              <w:left w:val="nil"/>
              <w:bottom w:val="single" w:sz="8" w:space="0" w:color="E46D0A"/>
              <w:right w:val="nil"/>
            </w:tcBorders>
            <w:noWrap/>
            <w:vAlign w:val="bottom"/>
          </w:tcPr>
          <w:p w:rsidR="00803212" w:rsidRPr="003072DB" w:rsidRDefault="00803212" w:rsidP="003072DB">
            <w:pPr>
              <w:widowControl/>
              <w:jc w:val="left"/>
              <w:rPr>
                <w:rFonts w:ascii="宋体" w:cs="宋体"/>
                <w:color w:val="000000"/>
                <w:kern w:val="0"/>
                <w:sz w:val="22"/>
              </w:rPr>
            </w:pPr>
            <w:r w:rsidRPr="003072DB">
              <w:rPr>
                <w:rFonts w:ascii="宋体" w:hAnsi="宋体" w:cs="宋体" w:hint="eastAsia"/>
                <w:color w:val="000000"/>
                <w:kern w:val="0"/>
                <w:sz w:val="22"/>
              </w:rPr>
              <w:t xml:space="preserve">　</w:t>
            </w:r>
          </w:p>
        </w:tc>
        <w:tc>
          <w:tcPr>
            <w:tcW w:w="616" w:type="dxa"/>
            <w:tcBorders>
              <w:top w:val="single" w:sz="8" w:space="0" w:color="E46D0A"/>
              <w:left w:val="nil"/>
              <w:bottom w:val="single" w:sz="8" w:space="0" w:color="E46D0A"/>
              <w:right w:val="nil"/>
            </w:tcBorders>
            <w:noWrap/>
            <w:vAlign w:val="bottom"/>
          </w:tcPr>
          <w:p w:rsidR="00803212" w:rsidRPr="003072DB" w:rsidRDefault="00803212" w:rsidP="003072DB">
            <w:pPr>
              <w:widowControl/>
              <w:jc w:val="left"/>
              <w:rPr>
                <w:rFonts w:ascii="宋体" w:cs="宋体"/>
                <w:color w:val="000000"/>
                <w:kern w:val="0"/>
                <w:sz w:val="22"/>
              </w:rPr>
            </w:pPr>
            <w:r w:rsidRPr="003072DB">
              <w:rPr>
                <w:rFonts w:ascii="宋体" w:hAnsi="宋体" w:cs="宋体" w:hint="eastAsia"/>
                <w:color w:val="000000"/>
                <w:kern w:val="0"/>
                <w:sz w:val="22"/>
              </w:rPr>
              <w:t xml:space="preserve">　</w:t>
            </w:r>
          </w:p>
        </w:tc>
      </w:tr>
      <w:tr w:rsidR="00803212" w:rsidRPr="00C41721" w:rsidTr="003072DB">
        <w:trPr>
          <w:trHeight w:val="435"/>
        </w:trPr>
        <w:tc>
          <w:tcPr>
            <w:tcW w:w="816" w:type="dxa"/>
            <w:tcBorders>
              <w:top w:val="nil"/>
              <w:left w:val="nil"/>
              <w:bottom w:val="single" w:sz="8" w:space="0" w:color="E46D0A"/>
              <w:right w:val="nil"/>
            </w:tcBorders>
            <w:noWrap/>
            <w:vAlign w:val="center"/>
          </w:tcPr>
          <w:p w:rsidR="00803212" w:rsidRDefault="00803212">
            <w:pPr>
              <w:jc w:val="center"/>
              <w:rPr>
                <w:rFonts w:ascii="宋体" w:cs="宋体"/>
                <w:color w:val="000000"/>
                <w:sz w:val="16"/>
                <w:szCs w:val="16"/>
              </w:rPr>
            </w:pPr>
            <w:r w:rsidRPr="00C41721">
              <w:rPr>
                <w:rFonts w:hint="eastAsia"/>
                <w:color w:val="000000"/>
                <w:sz w:val="16"/>
                <w:szCs w:val="16"/>
              </w:rPr>
              <w:t>市场代码</w:t>
            </w:r>
          </w:p>
        </w:tc>
        <w:tc>
          <w:tcPr>
            <w:tcW w:w="2131" w:type="dxa"/>
            <w:tcBorders>
              <w:top w:val="nil"/>
              <w:left w:val="nil"/>
              <w:bottom w:val="single" w:sz="8" w:space="0" w:color="E46D0A"/>
              <w:right w:val="nil"/>
            </w:tcBorders>
            <w:noWrap/>
            <w:vAlign w:val="center"/>
          </w:tcPr>
          <w:p w:rsidR="00803212" w:rsidRDefault="00803212">
            <w:pPr>
              <w:jc w:val="center"/>
              <w:rPr>
                <w:rFonts w:ascii="宋体" w:cs="宋体"/>
                <w:color w:val="000000"/>
                <w:sz w:val="16"/>
                <w:szCs w:val="16"/>
              </w:rPr>
            </w:pPr>
            <w:r w:rsidRPr="00C41721">
              <w:rPr>
                <w:rFonts w:hint="eastAsia"/>
                <w:color w:val="000000"/>
                <w:sz w:val="16"/>
                <w:szCs w:val="16"/>
              </w:rPr>
              <w:t>基金名称</w:t>
            </w:r>
          </w:p>
        </w:tc>
        <w:tc>
          <w:tcPr>
            <w:tcW w:w="1302" w:type="dxa"/>
            <w:tcBorders>
              <w:top w:val="nil"/>
              <w:left w:val="nil"/>
              <w:bottom w:val="single" w:sz="8" w:space="0" w:color="E46D0A"/>
              <w:right w:val="nil"/>
            </w:tcBorders>
            <w:noWrap/>
            <w:vAlign w:val="center"/>
          </w:tcPr>
          <w:p w:rsidR="00803212" w:rsidRDefault="00803212">
            <w:pPr>
              <w:jc w:val="center"/>
              <w:rPr>
                <w:rFonts w:ascii="宋体" w:cs="宋体"/>
                <w:color w:val="000000"/>
                <w:sz w:val="16"/>
                <w:szCs w:val="16"/>
              </w:rPr>
            </w:pPr>
            <w:r w:rsidRPr="00C41721">
              <w:rPr>
                <w:rFonts w:hint="eastAsia"/>
                <w:color w:val="000000"/>
                <w:sz w:val="16"/>
                <w:szCs w:val="16"/>
              </w:rPr>
              <w:t>产品类型</w:t>
            </w:r>
          </w:p>
        </w:tc>
        <w:tc>
          <w:tcPr>
            <w:tcW w:w="985" w:type="dxa"/>
            <w:tcBorders>
              <w:top w:val="nil"/>
              <w:left w:val="nil"/>
              <w:bottom w:val="single" w:sz="8" w:space="0" w:color="E46D0A"/>
              <w:right w:val="nil"/>
            </w:tcBorders>
            <w:vAlign w:val="center"/>
          </w:tcPr>
          <w:p w:rsidR="00803212" w:rsidRDefault="00803212">
            <w:pPr>
              <w:jc w:val="center"/>
              <w:rPr>
                <w:rFonts w:ascii="宋体" w:cs="宋体"/>
                <w:color w:val="000000"/>
                <w:sz w:val="16"/>
                <w:szCs w:val="16"/>
              </w:rPr>
            </w:pPr>
            <w:r w:rsidRPr="00C41721">
              <w:rPr>
                <w:rFonts w:hint="eastAsia"/>
                <w:color w:val="000000"/>
                <w:sz w:val="16"/>
                <w:szCs w:val="16"/>
              </w:rPr>
              <w:t>三季度业绩（</w:t>
            </w:r>
            <w:r w:rsidRPr="00C41721">
              <w:rPr>
                <w:color w:val="000000"/>
                <w:sz w:val="16"/>
                <w:szCs w:val="16"/>
              </w:rPr>
              <w:t>%</w:t>
            </w:r>
            <w:r w:rsidRPr="00C41721">
              <w:rPr>
                <w:rFonts w:hint="eastAsia"/>
                <w:color w:val="000000"/>
                <w:sz w:val="16"/>
                <w:szCs w:val="16"/>
              </w:rPr>
              <w:t>）</w:t>
            </w:r>
          </w:p>
        </w:tc>
        <w:tc>
          <w:tcPr>
            <w:tcW w:w="616" w:type="dxa"/>
            <w:tcBorders>
              <w:top w:val="nil"/>
              <w:left w:val="nil"/>
              <w:bottom w:val="single" w:sz="8" w:space="0" w:color="E46D0A"/>
              <w:right w:val="nil"/>
            </w:tcBorders>
            <w:noWrap/>
            <w:vAlign w:val="center"/>
          </w:tcPr>
          <w:p w:rsidR="00803212" w:rsidRDefault="00803212">
            <w:pPr>
              <w:jc w:val="center"/>
              <w:rPr>
                <w:rFonts w:ascii="宋体" w:cs="宋体"/>
                <w:color w:val="000000"/>
                <w:sz w:val="16"/>
                <w:szCs w:val="16"/>
              </w:rPr>
            </w:pPr>
            <w:r w:rsidRPr="00C41721">
              <w:rPr>
                <w:rFonts w:hint="eastAsia"/>
                <w:color w:val="000000"/>
                <w:sz w:val="16"/>
                <w:szCs w:val="16"/>
              </w:rPr>
              <w:t>排名</w:t>
            </w:r>
          </w:p>
        </w:tc>
      </w:tr>
      <w:tr w:rsidR="00803212" w:rsidRPr="00C41721" w:rsidTr="00E2759C">
        <w:trPr>
          <w:trHeight w:val="270"/>
        </w:trPr>
        <w:tc>
          <w:tcPr>
            <w:tcW w:w="816" w:type="dxa"/>
            <w:tcBorders>
              <w:top w:val="nil"/>
              <w:left w:val="nil"/>
              <w:bottom w:val="nil"/>
              <w:right w:val="nil"/>
            </w:tcBorders>
            <w:noWrap/>
          </w:tcPr>
          <w:p w:rsidR="00803212" w:rsidRDefault="00803212">
            <w:pPr>
              <w:jc w:val="center"/>
              <w:rPr>
                <w:rFonts w:cs="宋体"/>
                <w:color w:val="000000"/>
                <w:sz w:val="16"/>
                <w:szCs w:val="16"/>
              </w:rPr>
            </w:pPr>
            <w:r w:rsidRPr="00C41721">
              <w:rPr>
                <w:color w:val="000000"/>
                <w:sz w:val="16"/>
                <w:szCs w:val="16"/>
              </w:rPr>
              <w:t>110027</w:t>
            </w:r>
          </w:p>
        </w:tc>
        <w:tc>
          <w:tcPr>
            <w:tcW w:w="2131" w:type="dxa"/>
            <w:tcBorders>
              <w:top w:val="nil"/>
              <w:left w:val="nil"/>
              <w:bottom w:val="nil"/>
              <w:right w:val="nil"/>
            </w:tcBorders>
            <w:noWrap/>
          </w:tcPr>
          <w:p w:rsidR="00803212" w:rsidRDefault="00803212">
            <w:pPr>
              <w:jc w:val="center"/>
              <w:rPr>
                <w:rFonts w:ascii="宋体" w:cs="宋体"/>
                <w:color w:val="000000"/>
                <w:sz w:val="16"/>
                <w:szCs w:val="16"/>
              </w:rPr>
            </w:pPr>
            <w:r w:rsidRPr="00C41721">
              <w:rPr>
                <w:rFonts w:hint="eastAsia"/>
                <w:color w:val="000000"/>
                <w:sz w:val="16"/>
                <w:szCs w:val="16"/>
              </w:rPr>
              <w:t>易方达安心回报债券</w:t>
            </w:r>
            <w:r w:rsidRPr="00C41721">
              <w:rPr>
                <w:color w:val="000000"/>
                <w:sz w:val="16"/>
                <w:szCs w:val="16"/>
              </w:rPr>
              <w:t>A</w:t>
            </w:r>
          </w:p>
        </w:tc>
        <w:tc>
          <w:tcPr>
            <w:tcW w:w="1302" w:type="dxa"/>
            <w:tcBorders>
              <w:top w:val="nil"/>
              <w:left w:val="nil"/>
              <w:bottom w:val="nil"/>
              <w:right w:val="nil"/>
            </w:tcBorders>
            <w:noWrap/>
          </w:tcPr>
          <w:p w:rsidR="00803212" w:rsidRDefault="00803212">
            <w:pPr>
              <w:jc w:val="center"/>
              <w:rPr>
                <w:rFonts w:ascii="宋体" w:cs="宋体"/>
                <w:color w:val="000000"/>
                <w:sz w:val="16"/>
                <w:szCs w:val="16"/>
              </w:rPr>
            </w:pPr>
            <w:r w:rsidRPr="00C41721">
              <w:rPr>
                <w:rFonts w:hint="eastAsia"/>
                <w:color w:val="000000"/>
                <w:sz w:val="16"/>
                <w:szCs w:val="16"/>
              </w:rPr>
              <w:t>债券</w:t>
            </w:r>
            <w:r w:rsidRPr="00C41721">
              <w:rPr>
                <w:color w:val="000000"/>
                <w:sz w:val="16"/>
                <w:szCs w:val="16"/>
              </w:rPr>
              <w:t>-</w:t>
            </w:r>
            <w:r w:rsidRPr="00C41721">
              <w:rPr>
                <w:rFonts w:hint="eastAsia"/>
                <w:color w:val="000000"/>
                <w:sz w:val="16"/>
                <w:szCs w:val="16"/>
              </w:rPr>
              <w:t>二级债基</w:t>
            </w:r>
          </w:p>
        </w:tc>
        <w:tc>
          <w:tcPr>
            <w:tcW w:w="985" w:type="dxa"/>
            <w:tcBorders>
              <w:top w:val="nil"/>
              <w:left w:val="nil"/>
              <w:bottom w:val="nil"/>
              <w:right w:val="nil"/>
            </w:tcBorders>
            <w:noWrap/>
          </w:tcPr>
          <w:p w:rsidR="00803212" w:rsidRDefault="00803212">
            <w:pPr>
              <w:jc w:val="center"/>
              <w:rPr>
                <w:rFonts w:ascii="宋体" w:cs="宋体"/>
                <w:color w:val="000000"/>
                <w:sz w:val="16"/>
                <w:szCs w:val="16"/>
              </w:rPr>
            </w:pPr>
            <w:r w:rsidRPr="00C41721">
              <w:rPr>
                <w:color w:val="000000"/>
                <w:sz w:val="16"/>
                <w:szCs w:val="16"/>
              </w:rPr>
              <w:t>16.08</w:t>
            </w:r>
          </w:p>
        </w:tc>
        <w:tc>
          <w:tcPr>
            <w:tcW w:w="616" w:type="dxa"/>
            <w:tcBorders>
              <w:top w:val="nil"/>
              <w:left w:val="nil"/>
              <w:bottom w:val="nil"/>
              <w:right w:val="nil"/>
            </w:tcBorders>
            <w:noWrap/>
          </w:tcPr>
          <w:p w:rsidR="00803212" w:rsidRDefault="00803212">
            <w:pPr>
              <w:jc w:val="center"/>
              <w:rPr>
                <w:rFonts w:ascii="宋体" w:cs="宋体"/>
                <w:color w:val="000000"/>
                <w:sz w:val="16"/>
                <w:szCs w:val="16"/>
              </w:rPr>
            </w:pPr>
            <w:r w:rsidRPr="00C41721">
              <w:rPr>
                <w:color w:val="000000"/>
                <w:sz w:val="16"/>
                <w:szCs w:val="16"/>
              </w:rPr>
              <w:t>1</w:t>
            </w:r>
          </w:p>
        </w:tc>
      </w:tr>
      <w:tr w:rsidR="00803212" w:rsidRPr="00C41721" w:rsidTr="00E2759C">
        <w:trPr>
          <w:trHeight w:val="270"/>
        </w:trPr>
        <w:tc>
          <w:tcPr>
            <w:tcW w:w="816" w:type="dxa"/>
            <w:tcBorders>
              <w:top w:val="nil"/>
              <w:left w:val="nil"/>
              <w:bottom w:val="nil"/>
              <w:right w:val="nil"/>
            </w:tcBorders>
            <w:noWrap/>
          </w:tcPr>
          <w:p w:rsidR="00803212" w:rsidRDefault="00803212">
            <w:pPr>
              <w:jc w:val="center"/>
              <w:rPr>
                <w:rFonts w:cs="宋体"/>
                <w:color w:val="000000"/>
                <w:sz w:val="16"/>
                <w:szCs w:val="16"/>
              </w:rPr>
            </w:pPr>
            <w:r w:rsidRPr="00C41721">
              <w:rPr>
                <w:color w:val="000000"/>
                <w:sz w:val="16"/>
                <w:szCs w:val="16"/>
              </w:rPr>
              <w:t>110028</w:t>
            </w:r>
          </w:p>
        </w:tc>
        <w:tc>
          <w:tcPr>
            <w:tcW w:w="2131" w:type="dxa"/>
            <w:tcBorders>
              <w:top w:val="nil"/>
              <w:left w:val="nil"/>
              <w:bottom w:val="nil"/>
              <w:right w:val="nil"/>
            </w:tcBorders>
            <w:noWrap/>
          </w:tcPr>
          <w:p w:rsidR="00803212" w:rsidRDefault="00803212">
            <w:pPr>
              <w:jc w:val="center"/>
              <w:rPr>
                <w:rFonts w:ascii="宋体" w:cs="宋体"/>
                <w:color w:val="000000"/>
                <w:sz w:val="16"/>
                <w:szCs w:val="16"/>
              </w:rPr>
            </w:pPr>
            <w:r w:rsidRPr="00C41721">
              <w:rPr>
                <w:rFonts w:hint="eastAsia"/>
                <w:color w:val="000000"/>
                <w:sz w:val="16"/>
                <w:szCs w:val="16"/>
              </w:rPr>
              <w:t>易方达安心回报债券</w:t>
            </w:r>
            <w:r w:rsidRPr="00C41721">
              <w:rPr>
                <w:color w:val="000000"/>
                <w:sz w:val="16"/>
                <w:szCs w:val="16"/>
              </w:rPr>
              <w:t>B</w:t>
            </w:r>
          </w:p>
        </w:tc>
        <w:tc>
          <w:tcPr>
            <w:tcW w:w="1302" w:type="dxa"/>
            <w:tcBorders>
              <w:top w:val="nil"/>
              <w:left w:val="nil"/>
              <w:bottom w:val="nil"/>
              <w:right w:val="nil"/>
            </w:tcBorders>
            <w:noWrap/>
          </w:tcPr>
          <w:p w:rsidR="00803212" w:rsidRDefault="00803212">
            <w:pPr>
              <w:jc w:val="center"/>
              <w:rPr>
                <w:rFonts w:ascii="宋体" w:cs="宋体"/>
                <w:color w:val="000000"/>
                <w:sz w:val="16"/>
                <w:szCs w:val="16"/>
              </w:rPr>
            </w:pPr>
            <w:r w:rsidRPr="00C41721">
              <w:rPr>
                <w:rFonts w:hint="eastAsia"/>
                <w:color w:val="000000"/>
                <w:sz w:val="16"/>
                <w:szCs w:val="16"/>
              </w:rPr>
              <w:t>债券</w:t>
            </w:r>
            <w:r w:rsidRPr="00C41721">
              <w:rPr>
                <w:color w:val="000000"/>
                <w:sz w:val="16"/>
                <w:szCs w:val="16"/>
              </w:rPr>
              <w:t>-</w:t>
            </w:r>
            <w:r w:rsidRPr="00C41721">
              <w:rPr>
                <w:rFonts w:hint="eastAsia"/>
                <w:color w:val="000000"/>
                <w:sz w:val="16"/>
                <w:szCs w:val="16"/>
              </w:rPr>
              <w:t>二级债基</w:t>
            </w:r>
          </w:p>
        </w:tc>
        <w:tc>
          <w:tcPr>
            <w:tcW w:w="985" w:type="dxa"/>
            <w:tcBorders>
              <w:top w:val="nil"/>
              <w:left w:val="nil"/>
              <w:bottom w:val="nil"/>
              <w:right w:val="nil"/>
            </w:tcBorders>
            <w:noWrap/>
          </w:tcPr>
          <w:p w:rsidR="00803212" w:rsidRDefault="00803212">
            <w:pPr>
              <w:jc w:val="center"/>
              <w:rPr>
                <w:rFonts w:ascii="宋体" w:cs="宋体"/>
                <w:color w:val="000000"/>
                <w:sz w:val="16"/>
                <w:szCs w:val="16"/>
              </w:rPr>
            </w:pPr>
            <w:r w:rsidRPr="00C41721">
              <w:rPr>
                <w:color w:val="000000"/>
                <w:sz w:val="16"/>
                <w:szCs w:val="16"/>
              </w:rPr>
              <w:t>15.97</w:t>
            </w:r>
          </w:p>
        </w:tc>
        <w:tc>
          <w:tcPr>
            <w:tcW w:w="616" w:type="dxa"/>
            <w:tcBorders>
              <w:top w:val="nil"/>
              <w:left w:val="nil"/>
              <w:bottom w:val="nil"/>
              <w:right w:val="nil"/>
            </w:tcBorders>
            <w:noWrap/>
          </w:tcPr>
          <w:p w:rsidR="00803212" w:rsidRDefault="00803212">
            <w:pPr>
              <w:jc w:val="center"/>
              <w:rPr>
                <w:rFonts w:ascii="宋体" w:cs="宋体"/>
                <w:color w:val="000000"/>
                <w:sz w:val="16"/>
                <w:szCs w:val="16"/>
              </w:rPr>
            </w:pPr>
            <w:r w:rsidRPr="00C41721">
              <w:rPr>
                <w:color w:val="000000"/>
                <w:sz w:val="16"/>
                <w:szCs w:val="16"/>
              </w:rPr>
              <w:t>2</w:t>
            </w:r>
          </w:p>
        </w:tc>
      </w:tr>
      <w:tr w:rsidR="00803212" w:rsidRPr="00C41721" w:rsidTr="00E2759C">
        <w:trPr>
          <w:trHeight w:val="270"/>
        </w:trPr>
        <w:tc>
          <w:tcPr>
            <w:tcW w:w="816" w:type="dxa"/>
            <w:tcBorders>
              <w:top w:val="nil"/>
              <w:left w:val="nil"/>
              <w:bottom w:val="nil"/>
              <w:right w:val="nil"/>
            </w:tcBorders>
            <w:noWrap/>
          </w:tcPr>
          <w:p w:rsidR="00803212" w:rsidRDefault="00803212">
            <w:pPr>
              <w:jc w:val="center"/>
              <w:rPr>
                <w:rFonts w:cs="宋体"/>
                <w:color w:val="000000"/>
                <w:sz w:val="16"/>
                <w:szCs w:val="16"/>
              </w:rPr>
            </w:pPr>
            <w:r w:rsidRPr="00C41721">
              <w:rPr>
                <w:color w:val="000000"/>
                <w:sz w:val="16"/>
                <w:szCs w:val="16"/>
              </w:rPr>
              <w:t>470058</w:t>
            </w:r>
          </w:p>
        </w:tc>
        <w:tc>
          <w:tcPr>
            <w:tcW w:w="2131" w:type="dxa"/>
            <w:tcBorders>
              <w:top w:val="nil"/>
              <w:left w:val="nil"/>
              <w:bottom w:val="nil"/>
              <w:right w:val="nil"/>
            </w:tcBorders>
            <w:noWrap/>
          </w:tcPr>
          <w:p w:rsidR="00803212" w:rsidRDefault="00803212">
            <w:pPr>
              <w:jc w:val="center"/>
              <w:rPr>
                <w:rFonts w:ascii="宋体" w:cs="宋体"/>
                <w:color w:val="000000"/>
                <w:sz w:val="16"/>
                <w:szCs w:val="16"/>
              </w:rPr>
            </w:pPr>
            <w:r w:rsidRPr="00C41721">
              <w:rPr>
                <w:rFonts w:hint="eastAsia"/>
                <w:color w:val="000000"/>
                <w:sz w:val="16"/>
                <w:szCs w:val="16"/>
              </w:rPr>
              <w:t>汇添富可转换债券</w:t>
            </w:r>
            <w:r w:rsidRPr="00C41721">
              <w:rPr>
                <w:color w:val="000000"/>
                <w:sz w:val="16"/>
                <w:szCs w:val="16"/>
              </w:rPr>
              <w:t>A</w:t>
            </w:r>
          </w:p>
        </w:tc>
        <w:tc>
          <w:tcPr>
            <w:tcW w:w="1302" w:type="dxa"/>
            <w:tcBorders>
              <w:top w:val="nil"/>
              <w:left w:val="nil"/>
              <w:bottom w:val="nil"/>
              <w:right w:val="nil"/>
            </w:tcBorders>
            <w:noWrap/>
          </w:tcPr>
          <w:p w:rsidR="00803212" w:rsidRDefault="00803212">
            <w:pPr>
              <w:jc w:val="center"/>
              <w:rPr>
                <w:rFonts w:ascii="宋体" w:cs="宋体"/>
                <w:color w:val="000000"/>
                <w:sz w:val="16"/>
                <w:szCs w:val="16"/>
              </w:rPr>
            </w:pPr>
            <w:r w:rsidRPr="00C41721">
              <w:rPr>
                <w:rFonts w:hint="eastAsia"/>
                <w:color w:val="000000"/>
                <w:sz w:val="16"/>
                <w:szCs w:val="16"/>
              </w:rPr>
              <w:t>债券</w:t>
            </w:r>
            <w:r w:rsidRPr="00C41721">
              <w:rPr>
                <w:color w:val="000000"/>
                <w:sz w:val="16"/>
                <w:szCs w:val="16"/>
              </w:rPr>
              <w:t>-</w:t>
            </w:r>
            <w:r w:rsidRPr="00C41721">
              <w:rPr>
                <w:rFonts w:hint="eastAsia"/>
                <w:color w:val="000000"/>
                <w:sz w:val="16"/>
                <w:szCs w:val="16"/>
              </w:rPr>
              <w:t>可转债基</w:t>
            </w:r>
          </w:p>
        </w:tc>
        <w:tc>
          <w:tcPr>
            <w:tcW w:w="985" w:type="dxa"/>
            <w:tcBorders>
              <w:top w:val="nil"/>
              <w:left w:val="nil"/>
              <w:bottom w:val="nil"/>
              <w:right w:val="nil"/>
            </w:tcBorders>
            <w:noWrap/>
          </w:tcPr>
          <w:p w:rsidR="00803212" w:rsidRDefault="00803212">
            <w:pPr>
              <w:jc w:val="center"/>
              <w:rPr>
                <w:rFonts w:ascii="宋体" w:cs="宋体"/>
                <w:color w:val="000000"/>
                <w:sz w:val="16"/>
                <w:szCs w:val="16"/>
              </w:rPr>
            </w:pPr>
            <w:r w:rsidRPr="00C41721">
              <w:rPr>
                <w:color w:val="000000"/>
                <w:sz w:val="16"/>
                <w:szCs w:val="16"/>
              </w:rPr>
              <w:t>15.68</w:t>
            </w:r>
          </w:p>
        </w:tc>
        <w:tc>
          <w:tcPr>
            <w:tcW w:w="616" w:type="dxa"/>
            <w:tcBorders>
              <w:top w:val="nil"/>
              <w:left w:val="nil"/>
              <w:bottom w:val="nil"/>
              <w:right w:val="nil"/>
            </w:tcBorders>
            <w:noWrap/>
          </w:tcPr>
          <w:p w:rsidR="00803212" w:rsidRDefault="00803212">
            <w:pPr>
              <w:jc w:val="center"/>
              <w:rPr>
                <w:rFonts w:ascii="宋体" w:cs="宋体"/>
                <w:color w:val="000000"/>
                <w:sz w:val="16"/>
                <w:szCs w:val="16"/>
              </w:rPr>
            </w:pPr>
            <w:r w:rsidRPr="00C41721">
              <w:rPr>
                <w:color w:val="000000"/>
                <w:sz w:val="16"/>
                <w:szCs w:val="16"/>
              </w:rPr>
              <w:t>3</w:t>
            </w:r>
          </w:p>
        </w:tc>
      </w:tr>
      <w:tr w:rsidR="00803212" w:rsidRPr="00C41721" w:rsidTr="00E2759C">
        <w:trPr>
          <w:trHeight w:val="270"/>
        </w:trPr>
        <w:tc>
          <w:tcPr>
            <w:tcW w:w="816" w:type="dxa"/>
            <w:tcBorders>
              <w:top w:val="nil"/>
              <w:left w:val="nil"/>
              <w:bottom w:val="nil"/>
              <w:right w:val="nil"/>
            </w:tcBorders>
            <w:noWrap/>
          </w:tcPr>
          <w:p w:rsidR="00803212" w:rsidRDefault="00803212">
            <w:pPr>
              <w:jc w:val="center"/>
              <w:rPr>
                <w:rFonts w:cs="宋体"/>
                <w:color w:val="000000"/>
                <w:sz w:val="16"/>
                <w:szCs w:val="16"/>
              </w:rPr>
            </w:pPr>
            <w:r w:rsidRPr="00C41721">
              <w:rPr>
                <w:color w:val="000000"/>
                <w:sz w:val="16"/>
                <w:szCs w:val="16"/>
              </w:rPr>
              <w:t>050016</w:t>
            </w:r>
          </w:p>
        </w:tc>
        <w:tc>
          <w:tcPr>
            <w:tcW w:w="2131" w:type="dxa"/>
            <w:tcBorders>
              <w:top w:val="nil"/>
              <w:left w:val="nil"/>
              <w:bottom w:val="nil"/>
              <w:right w:val="nil"/>
            </w:tcBorders>
            <w:noWrap/>
          </w:tcPr>
          <w:p w:rsidR="00803212" w:rsidRDefault="00803212">
            <w:pPr>
              <w:jc w:val="center"/>
              <w:rPr>
                <w:rFonts w:ascii="宋体" w:cs="宋体"/>
                <w:color w:val="000000"/>
                <w:sz w:val="16"/>
                <w:szCs w:val="16"/>
              </w:rPr>
            </w:pPr>
            <w:r w:rsidRPr="00C41721">
              <w:rPr>
                <w:rFonts w:hint="eastAsia"/>
                <w:color w:val="000000"/>
                <w:sz w:val="16"/>
                <w:szCs w:val="16"/>
              </w:rPr>
              <w:t>博时宏观回报债券</w:t>
            </w:r>
            <w:r w:rsidRPr="00C41721">
              <w:rPr>
                <w:color w:val="000000"/>
                <w:sz w:val="16"/>
                <w:szCs w:val="16"/>
              </w:rPr>
              <w:t>A/B</w:t>
            </w:r>
            <w:r w:rsidRPr="00C41721">
              <w:rPr>
                <w:rFonts w:hint="eastAsia"/>
                <w:color w:val="000000"/>
                <w:sz w:val="16"/>
                <w:szCs w:val="16"/>
              </w:rPr>
              <w:t>类</w:t>
            </w:r>
          </w:p>
        </w:tc>
        <w:tc>
          <w:tcPr>
            <w:tcW w:w="1302" w:type="dxa"/>
            <w:tcBorders>
              <w:top w:val="nil"/>
              <w:left w:val="nil"/>
              <w:bottom w:val="nil"/>
              <w:right w:val="nil"/>
            </w:tcBorders>
            <w:noWrap/>
          </w:tcPr>
          <w:p w:rsidR="00803212" w:rsidRDefault="00803212">
            <w:pPr>
              <w:jc w:val="center"/>
              <w:rPr>
                <w:rFonts w:ascii="宋体" w:cs="宋体"/>
                <w:color w:val="000000"/>
                <w:sz w:val="16"/>
                <w:szCs w:val="16"/>
              </w:rPr>
            </w:pPr>
            <w:r w:rsidRPr="00C41721">
              <w:rPr>
                <w:rFonts w:hint="eastAsia"/>
                <w:color w:val="000000"/>
                <w:sz w:val="16"/>
                <w:szCs w:val="16"/>
              </w:rPr>
              <w:t>债券</w:t>
            </w:r>
            <w:r w:rsidRPr="00C41721">
              <w:rPr>
                <w:color w:val="000000"/>
                <w:sz w:val="16"/>
                <w:szCs w:val="16"/>
              </w:rPr>
              <w:t>-</w:t>
            </w:r>
            <w:r w:rsidRPr="00C41721">
              <w:rPr>
                <w:rFonts w:hint="eastAsia"/>
                <w:color w:val="000000"/>
                <w:sz w:val="16"/>
                <w:szCs w:val="16"/>
              </w:rPr>
              <w:t>二级债基</w:t>
            </w:r>
          </w:p>
        </w:tc>
        <w:tc>
          <w:tcPr>
            <w:tcW w:w="985" w:type="dxa"/>
            <w:tcBorders>
              <w:top w:val="nil"/>
              <w:left w:val="nil"/>
              <w:bottom w:val="nil"/>
              <w:right w:val="nil"/>
            </w:tcBorders>
            <w:noWrap/>
          </w:tcPr>
          <w:p w:rsidR="00803212" w:rsidRDefault="00803212">
            <w:pPr>
              <w:jc w:val="center"/>
              <w:rPr>
                <w:rFonts w:ascii="宋体" w:cs="宋体"/>
                <w:color w:val="000000"/>
                <w:sz w:val="16"/>
                <w:szCs w:val="16"/>
              </w:rPr>
            </w:pPr>
            <w:r w:rsidRPr="00C41721">
              <w:rPr>
                <w:color w:val="000000"/>
                <w:sz w:val="16"/>
                <w:szCs w:val="16"/>
              </w:rPr>
              <w:t>15.61</w:t>
            </w:r>
          </w:p>
        </w:tc>
        <w:tc>
          <w:tcPr>
            <w:tcW w:w="616" w:type="dxa"/>
            <w:tcBorders>
              <w:top w:val="nil"/>
              <w:left w:val="nil"/>
              <w:bottom w:val="nil"/>
              <w:right w:val="nil"/>
            </w:tcBorders>
            <w:noWrap/>
          </w:tcPr>
          <w:p w:rsidR="00803212" w:rsidRDefault="00803212">
            <w:pPr>
              <w:jc w:val="center"/>
              <w:rPr>
                <w:rFonts w:ascii="宋体" w:cs="宋体"/>
                <w:color w:val="000000"/>
                <w:sz w:val="16"/>
                <w:szCs w:val="16"/>
              </w:rPr>
            </w:pPr>
            <w:r w:rsidRPr="00C41721">
              <w:rPr>
                <w:color w:val="000000"/>
                <w:sz w:val="16"/>
                <w:szCs w:val="16"/>
              </w:rPr>
              <w:t>4</w:t>
            </w:r>
          </w:p>
        </w:tc>
      </w:tr>
      <w:tr w:rsidR="00803212" w:rsidRPr="00C41721" w:rsidTr="00E2759C">
        <w:trPr>
          <w:trHeight w:val="270"/>
        </w:trPr>
        <w:tc>
          <w:tcPr>
            <w:tcW w:w="816" w:type="dxa"/>
            <w:tcBorders>
              <w:top w:val="nil"/>
              <w:left w:val="nil"/>
              <w:bottom w:val="nil"/>
              <w:right w:val="nil"/>
            </w:tcBorders>
            <w:noWrap/>
          </w:tcPr>
          <w:p w:rsidR="00803212" w:rsidRDefault="00803212">
            <w:pPr>
              <w:jc w:val="center"/>
              <w:rPr>
                <w:rFonts w:cs="宋体"/>
                <w:color w:val="000000"/>
                <w:sz w:val="16"/>
                <w:szCs w:val="16"/>
              </w:rPr>
            </w:pPr>
            <w:r w:rsidRPr="00C41721">
              <w:rPr>
                <w:color w:val="000000"/>
                <w:sz w:val="16"/>
                <w:szCs w:val="16"/>
              </w:rPr>
              <w:t>050116</w:t>
            </w:r>
          </w:p>
        </w:tc>
        <w:tc>
          <w:tcPr>
            <w:tcW w:w="2131" w:type="dxa"/>
            <w:tcBorders>
              <w:top w:val="nil"/>
              <w:left w:val="nil"/>
              <w:bottom w:val="nil"/>
              <w:right w:val="nil"/>
            </w:tcBorders>
            <w:noWrap/>
          </w:tcPr>
          <w:p w:rsidR="00803212" w:rsidRDefault="00803212">
            <w:pPr>
              <w:jc w:val="center"/>
              <w:rPr>
                <w:rFonts w:ascii="宋体" w:cs="宋体"/>
                <w:color w:val="000000"/>
                <w:sz w:val="16"/>
                <w:szCs w:val="16"/>
              </w:rPr>
            </w:pPr>
            <w:r w:rsidRPr="00C41721">
              <w:rPr>
                <w:rFonts w:hint="eastAsia"/>
                <w:color w:val="000000"/>
                <w:sz w:val="16"/>
                <w:szCs w:val="16"/>
              </w:rPr>
              <w:t>博时宏观回报债券</w:t>
            </w:r>
            <w:r w:rsidRPr="00C41721">
              <w:rPr>
                <w:color w:val="000000"/>
                <w:sz w:val="16"/>
                <w:szCs w:val="16"/>
              </w:rPr>
              <w:t>C</w:t>
            </w:r>
            <w:r w:rsidRPr="00C41721">
              <w:rPr>
                <w:rFonts w:hint="eastAsia"/>
                <w:color w:val="000000"/>
                <w:sz w:val="16"/>
                <w:szCs w:val="16"/>
              </w:rPr>
              <w:t>类</w:t>
            </w:r>
          </w:p>
        </w:tc>
        <w:tc>
          <w:tcPr>
            <w:tcW w:w="1302" w:type="dxa"/>
            <w:tcBorders>
              <w:top w:val="nil"/>
              <w:left w:val="nil"/>
              <w:bottom w:val="nil"/>
              <w:right w:val="nil"/>
            </w:tcBorders>
            <w:noWrap/>
          </w:tcPr>
          <w:p w:rsidR="00803212" w:rsidRDefault="00803212">
            <w:pPr>
              <w:jc w:val="center"/>
              <w:rPr>
                <w:rFonts w:ascii="宋体" w:cs="宋体"/>
                <w:color w:val="000000"/>
                <w:sz w:val="16"/>
                <w:szCs w:val="16"/>
              </w:rPr>
            </w:pPr>
            <w:r w:rsidRPr="00C41721">
              <w:rPr>
                <w:rFonts w:hint="eastAsia"/>
                <w:color w:val="000000"/>
                <w:sz w:val="16"/>
                <w:szCs w:val="16"/>
              </w:rPr>
              <w:t>债券</w:t>
            </w:r>
            <w:r w:rsidRPr="00C41721">
              <w:rPr>
                <w:color w:val="000000"/>
                <w:sz w:val="16"/>
                <w:szCs w:val="16"/>
              </w:rPr>
              <w:t>-</w:t>
            </w:r>
            <w:r w:rsidRPr="00C41721">
              <w:rPr>
                <w:rFonts w:hint="eastAsia"/>
                <w:color w:val="000000"/>
                <w:sz w:val="16"/>
                <w:szCs w:val="16"/>
              </w:rPr>
              <w:t>二级债基</w:t>
            </w:r>
          </w:p>
        </w:tc>
        <w:tc>
          <w:tcPr>
            <w:tcW w:w="985" w:type="dxa"/>
            <w:tcBorders>
              <w:top w:val="nil"/>
              <w:left w:val="nil"/>
              <w:bottom w:val="nil"/>
              <w:right w:val="nil"/>
            </w:tcBorders>
            <w:noWrap/>
          </w:tcPr>
          <w:p w:rsidR="00803212" w:rsidRDefault="00803212">
            <w:pPr>
              <w:jc w:val="center"/>
              <w:rPr>
                <w:rFonts w:ascii="宋体" w:cs="宋体"/>
                <w:color w:val="000000"/>
                <w:sz w:val="16"/>
                <w:szCs w:val="16"/>
              </w:rPr>
            </w:pPr>
            <w:r w:rsidRPr="00C41721">
              <w:rPr>
                <w:color w:val="000000"/>
                <w:sz w:val="16"/>
                <w:szCs w:val="16"/>
              </w:rPr>
              <w:t>15.6</w:t>
            </w:r>
          </w:p>
        </w:tc>
        <w:tc>
          <w:tcPr>
            <w:tcW w:w="616" w:type="dxa"/>
            <w:tcBorders>
              <w:top w:val="nil"/>
              <w:left w:val="nil"/>
              <w:bottom w:val="nil"/>
              <w:right w:val="nil"/>
            </w:tcBorders>
            <w:noWrap/>
          </w:tcPr>
          <w:p w:rsidR="00803212" w:rsidRDefault="00803212">
            <w:pPr>
              <w:jc w:val="center"/>
              <w:rPr>
                <w:rFonts w:ascii="宋体" w:cs="宋体"/>
                <w:color w:val="000000"/>
                <w:sz w:val="16"/>
                <w:szCs w:val="16"/>
              </w:rPr>
            </w:pPr>
            <w:r w:rsidRPr="00C41721">
              <w:rPr>
                <w:color w:val="000000"/>
                <w:sz w:val="16"/>
                <w:szCs w:val="16"/>
              </w:rPr>
              <w:t>5</w:t>
            </w:r>
          </w:p>
        </w:tc>
      </w:tr>
      <w:tr w:rsidR="00803212" w:rsidRPr="00C41721" w:rsidTr="00E2759C">
        <w:trPr>
          <w:trHeight w:val="270"/>
        </w:trPr>
        <w:tc>
          <w:tcPr>
            <w:tcW w:w="816" w:type="dxa"/>
            <w:tcBorders>
              <w:top w:val="nil"/>
              <w:left w:val="nil"/>
              <w:bottom w:val="nil"/>
              <w:right w:val="nil"/>
            </w:tcBorders>
            <w:noWrap/>
          </w:tcPr>
          <w:p w:rsidR="00803212" w:rsidRDefault="00803212">
            <w:pPr>
              <w:jc w:val="center"/>
              <w:rPr>
                <w:rFonts w:cs="宋体"/>
                <w:color w:val="000000"/>
                <w:sz w:val="16"/>
                <w:szCs w:val="16"/>
              </w:rPr>
            </w:pPr>
            <w:r w:rsidRPr="00C41721">
              <w:rPr>
                <w:color w:val="000000"/>
                <w:sz w:val="16"/>
                <w:szCs w:val="16"/>
              </w:rPr>
              <w:t>470059</w:t>
            </w:r>
          </w:p>
        </w:tc>
        <w:tc>
          <w:tcPr>
            <w:tcW w:w="2131" w:type="dxa"/>
            <w:tcBorders>
              <w:top w:val="nil"/>
              <w:left w:val="nil"/>
              <w:bottom w:val="nil"/>
              <w:right w:val="nil"/>
            </w:tcBorders>
            <w:noWrap/>
          </w:tcPr>
          <w:p w:rsidR="00803212" w:rsidRDefault="00803212">
            <w:pPr>
              <w:jc w:val="center"/>
              <w:rPr>
                <w:rFonts w:ascii="宋体" w:cs="宋体"/>
                <w:color w:val="000000"/>
                <w:sz w:val="16"/>
                <w:szCs w:val="16"/>
              </w:rPr>
            </w:pPr>
            <w:r w:rsidRPr="00C41721">
              <w:rPr>
                <w:rFonts w:hint="eastAsia"/>
                <w:color w:val="000000"/>
                <w:sz w:val="16"/>
                <w:szCs w:val="16"/>
              </w:rPr>
              <w:t>汇添富可转换债券</w:t>
            </w:r>
            <w:r w:rsidRPr="00C41721">
              <w:rPr>
                <w:color w:val="000000"/>
                <w:sz w:val="16"/>
                <w:szCs w:val="16"/>
              </w:rPr>
              <w:t>C</w:t>
            </w:r>
          </w:p>
        </w:tc>
        <w:tc>
          <w:tcPr>
            <w:tcW w:w="1302" w:type="dxa"/>
            <w:tcBorders>
              <w:top w:val="nil"/>
              <w:left w:val="nil"/>
              <w:bottom w:val="nil"/>
              <w:right w:val="nil"/>
            </w:tcBorders>
            <w:noWrap/>
          </w:tcPr>
          <w:p w:rsidR="00803212" w:rsidRDefault="00803212">
            <w:pPr>
              <w:jc w:val="center"/>
              <w:rPr>
                <w:rFonts w:ascii="宋体" w:cs="宋体"/>
                <w:color w:val="000000"/>
                <w:sz w:val="16"/>
                <w:szCs w:val="16"/>
              </w:rPr>
            </w:pPr>
            <w:r w:rsidRPr="00C41721">
              <w:rPr>
                <w:rFonts w:hint="eastAsia"/>
                <w:color w:val="000000"/>
                <w:sz w:val="16"/>
                <w:szCs w:val="16"/>
              </w:rPr>
              <w:t>债券</w:t>
            </w:r>
            <w:r w:rsidRPr="00C41721">
              <w:rPr>
                <w:color w:val="000000"/>
                <w:sz w:val="16"/>
                <w:szCs w:val="16"/>
              </w:rPr>
              <w:t>-</w:t>
            </w:r>
            <w:r w:rsidRPr="00C41721">
              <w:rPr>
                <w:rFonts w:hint="eastAsia"/>
                <w:color w:val="000000"/>
                <w:sz w:val="16"/>
                <w:szCs w:val="16"/>
              </w:rPr>
              <w:t>可转债基</w:t>
            </w:r>
          </w:p>
        </w:tc>
        <w:tc>
          <w:tcPr>
            <w:tcW w:w="985" w:type="dxa"/>
            <w:tcBorders>
              <w:top w:val="nil"/>
              <w:left w:val="nil"/>
              <w:bottom w:val="nil"/>
              <w:right w:val="nil"/>
            </w:tcBorders>
            <w:noWrap/>
          </w:tcPr>
          <w:p w:rsidR="00803212" w:rsidRDefault="00803212">
            <w:pPr>
              <w:jc w:val="center"/>
              <w:rPr>
                <w:rFonts w:ascii="宋体" w:cs="宋体"/>
                <w:color w:val="000000"/>
                <w:sz w:val="16"/>
                <w:szCs w:val="16"/>
              </w:rPr>
            </w:pPr>
            <w:r w:rsidRPr="00C41721">
              <w:rPr>
                <w:color w:val="000000"/>
                <w:sz w:val="16"/>
                <w:szCs w:val="16"/>
              </w:rPr>
              <w:t>15.59</w:t>
            </w:r>
          </w:p>
        </w:tc>
        <w:tc>
          <w:tcPr>
            <w:tcW w:w="616" w:type="dxa"/>
            <w:tcBorders>
              <w:top w:val="nil"/>
              <w:left w:val="nil"/>
              <w:bottom w:val="nil"/>
              <w:right w:val="nil"/>
            </w:tcBorders>
            <w:noWrap/>
          </w:tcPr>
          <w:p w:rsidR="00803212" w:rsidRDefault="00803212">
            <w:pPr>
              <w:jc w:val="center"/>
              <w:rPr>
                <w:rFonts w:ascii="宋体" w:cs="宋体"/>
                <w:color w:val="000000"/>
                <w:sz w:val="16"/>
                <w:szCs w:val="16"/>
              </w:rPr>
            </w:pPr>
            <w:r w:rsidRPr="00C41721">
              <w:rPr>
                <w:color w:val="000000"/>
                <w:sz w:val="16"/>
                <w:szCs w:val="16"/>
              </w:rPr>
              <w:t>6</w:t>
            </w:r>
          </w:p>
        </w:tc>
      </w:tr>
      <w:tr w:rsidR="00803212" w:rsidRPr="00C41721" w:rsidTr="00E2759C">
        <w:trPr>
          <w:trHeight w:val="270"/>
        </w:trPr>
        <w:tc>
          <w:tcPr>
            <w:tcW w:w="816" w:type="dxa"/>
            <w:tcBorders>
              <w:top w:val="nil"/>
              <w:left w:val="nil"/>
              <w:bottom w:val="nil"/>
              <w:right w:val="nil"/>
            </w:tcBorders>
            <w:noWrap/>
          </w:tcPr>
          <w:p w:rsidR="00803212" w:rsidRDefault="00803212">
            <w:pPr>
              <w:jc w:val="center"/>
              <w:rPr>
                <w:rFonts w:cs="宋体"/>
                <w:color w:val="000000"/>
                <w:sz w:val="16"/>
                <w:szCs w:val="16"/>
              </w:rPr>
            </w:pPr>
            <w:r w:rsidRPr="00C41721">
              <w:rPr>
                <w:color w:val="000000"/>
                <w:sz w:val="16"/>
                <w:szCs w:val="16"/>
              </w:rPr>
              <w:t>000003</w:t>
            </w:r>
          </w:p>
        </w:tc>
        <w:tc>
          <w:tcPr>
            <w:tcW w:w="2131" w:type="dxa"/>
            <w:tcBorders>
              <w:top w:val="nil"/>
              <w:left w:val="nil"/>
              <w:bottom w:val="nil"/>
              <w:right w:val="nil"/>
            </w:tcBorders>
            <w:noWrap/>
          </w:tcPr>
          <w:p w:rsidR="00803212" w:rsidRDefault="00803212">
            <w:pPr>
              <w:jc w:val="center"/>
              <w:rPr>
                <w:rFonts w:ascii="宋体" w:cs="宋体"/>
                <w:color w:val="000000"/>
                <w:sz w:val="16"/>
                <w:szCs w:val="16"/>
              </w:rPr>
            </w:pPr>
            <w:r w:rsidRPr="00C41721">
              <w:rPr>
                <w:rFonts w:hint="eastAsia"/>
                <w:color w:val="000000"/>
                <w:sz w:val="16"/>
                <w:szCs w:val="16"/>
              </w:rPr>
              <w:t>中海可转债</w:t>
            </w:r>
            <w:r w:rsidRPr="00C41721">
              <w:rPr>
                <w:color w:val="000000"/>
                <w:sz w:val="16"/>
                <w:szCs w:val="16"/>
              </w:rPr>
              <w:t>A</w:t>
            </w:r>
          </w:p>
        </w:tc>
        <w:tc>
          <w:tcPr>
            <w:tcW w:w="1302" w:type="dxa"/>
            <w:tcBorders>
              <w:top w:val="nil"/>
              <w:left w:val="nil"/>
              <w:bottom w:val="nil"/>
              <w:right w:val="nil"/>
            </w:tcBorders>
            <w:noWrap/>
          </w:tcPr>
          <w:p w:rsidR="00803212" w:rsidRDefault="00803212">
            <w:pPr>
              <w:jc w:val="center"/>
              <w:rPr>
                <w:rFonts w:ascii="宋体" w:cs="宋体"/>
                <w:color w:val="000000"/>
                <w:sz w:val="16"/>
                <w:szCs w:val="16"/>
              </w:rPr>
            </w:pPr>
            <w:r w:rsidRPr="00C41721">
              <w:rPr>
                <w:rFonts w:hint="eastAsia"/>
                <w:color w:val="000000"/>
                <w:sz w:val="16"/>
                <w:szCs w:val="16"/>
              </w:rPr>
              <w:t>债券</w:t>
            </w:r>
            <w:r w:rsidRPr="00C41721">
              <w:rPr>
                <w:color w:val="000000"/>
                <w:sz w:val="16"/>
                <w:szCs w:val="16"/>
              </w:rPr>
              <w:t>-</w:t>
            </w:r>
            <w:r w:rsidRPr="00C41721">
              <w:rPr>
                <w:rFonts w:hint="eastAsia"/>
                <w:color w:val="000000"/>
                <w:sz w:val="16"/>
                <w:szCs w:val="16"/>
              </w:rPr>
              <w:t>可转债基</w:t>
            </w:r>
          </w:p>
        </w:tc>
        <w:tc>
          <w:tcPr>
            <w:tcW w:w="985" w:type="dxa"/>
            <w:tcBorders>
              <w:top w:val="nil"/>
              <w:left w:val="nil"/>
              <w:bottom w:val="nil"/>
              <w:right w:val="nil"/>
            </w:tcBorders>
            <w:noWrap/>
          </w:tcPr>
          <w:p w:rsidR="00803212" w:rsidRDefault="00803212">
            <w:pPr>
              <w:jc w:val="center"/>
              <w:rPr>
                <w:rFonts w:ascii="宋体" w:cs="宋体"/>
                <w:color w:val="000000"/>
                <w:sz w:val="16"/>
                <w:szCs w:val="16"/>
              </w:rPr>
            </w:pPr>
            <w:r w:rsidRPr="00C41721">
              <w:rPr>
                <w:color w:val="000000"/>
                <w:sz w:val="16"/>
                <w:szCs w:val="16"/>
              </w:rPr>
              <w:t>14.93</w:t>
            </w:r>
          </w:p>
        </w:tc>
        <w:tc>
          <w:tcPr>
            <w:tcW w:w="616" w:type="dxa"/>
            <w:tcBorders>
              <w:top w:val="nil"/>
              <w:left w:val="nil"/>
              <w:bottom w:val="nil"/>
              <w:right w:val="nil"/>
            </w:tcBorders>
            <w:noWrap/>
          </w:tcPr>
          <w:p w:rsidR="00803212" w:rsidRDefault="00803212">
            <w:pPr>
              <w:jc w:val="center"/>
              <w:rPr>
                <w:rFonts w:ascii="宋体" w:cs="宋体"/>
                <w:color w:val="000000"/>
                <w:sz w:val="16"/>
                <w:szCs w:val="16"/>
              </w:rPr>
            </w:pPr>
            <w:r w:rsidRPr="00C41721">
              <w:rPr>
                <w:color w:val="000000"/>
                <w:sz w:val="16"/>
                <w:szCs w:val="16"/>
              </w:rPr>
              <w:t>7</w:t>
            </w:r>
          </w:p>
        </w:tc>
      </w:tr>
      <w:tr w:rsidR="00803212" w:rsidRPr="00C41721" w:rsidTr="00E2759C">
        <w:trPr>
          <w:trHeight w:val="270"/>
        </w:trPr>
        <w:tc>
          <w:tcPr>
            <w:tcW w:w="816" w:type="dxa"/>
            <w:tcBorders>
              <w:top w:val="nil"/>
              <w:left w:val="nil"/>
              <w:bottom w:val="nil"/>
              <w:right w:val="nil"/>
            </w:tcBorders>
            <w:noWrap/>
          </w:tcPr>
          <w:p w:rsidR="00803212" w:rsidRDefault="00803212">
            <w:pPr>
              <w:jc w:val="center"/>
              <w:rPr>
                <w:rFonts w:cs="宋体"/>
                <w:color w:val="000000"/>
                <w:sz w:val="16"/>
                <w:szCs w:val="16"/>
              </w:rPr>
            </w:pPr>
            <w:r w:rsidRPr="00C41721">
              <w:rPr>
                <w:color w:val="000000"/>
                <w:sz w:val="16"/>
                <w:szCs w:val="16"/>
              </w:rPr>
              <w:t>000004</w:t>
            </w:r>
          </w:p>
        </w:tc>
        <w:tc>
          <w:tcPr>
            <w:tcW w:w="2131" w:type="dxa"/>
            <w:tcBorders>
              <w:top w:val="nil"/>
              <w:left w:val="nil"/>
              <w:bottom w:val="nil"/>
              <w:right w:val="nil"/>
            </w:tcBorders>
            <w:noWrap/>
          </w:tcPr>
          <w:p w:rsidR="00803212" w:rsidRDefault="00803212">
            <w:pPr>
              <w:jc w:val="center"/>
              <w:rPr>
                <w:rFonts w:ascii="宋体" w:cs="宋体"/>
                <w:color w:val="000000"/>
                <w:sz w:val="16"/>
                <w:szCs w:val="16"/>
              </w:rPr>
            </w:pPr>
            <w:r w:rsidRPr="00C41721">
              <w:rPr>
                <w:rFonts w:hint="eastAsia"/>
                <w:color w:val="000000"/>
                <w:sz w:val="16"/>
                <w:szCs w:val="16"/>
              </w:rPr>
              <w:t>中海可转债</w:t>
            </w:r>
            <w:r w:rsidRPr="00C41721">
              <w:rPr>
                <w:color w:val="000000"/>
                <w:sz w:val="16"/>
                <w:szCs w:val="16"/>
              </w:rPr>
              <w:t>C</w:t>
            </w:r>
          </w:p>
        </w:tc>
        <w:tc>
          <w:tcPr>
            <w:tcW w:w="1302" w:type="dxa"/>
            <w:tcBorders>
              <w:top w:val="nil"/>
              <w:left w:val="nil"/>
              <w:bottom w:val="nil"/>
              <w:right w:val="nil"/>
            </w:tcBorders>
            <w:noWrap/>
          </w:tcPr>
          <w:p w:rsidR="00803212" w:rsidRDefault="00803212">
            <w:pPr>
              <w:jc w:val="center"/>
              <w:rPr>
                <w:rFonts w:ascii="宋体" w:cs="宋体"/>
                <w:color w:val="000000"/>
                <w:sz w:val="16"/>
                <w:szCs w:val="16"/>
              </w:rPr>
            </w:pPr>
            <w:r w:rsidRPr="00C41721">
              <w:rPr>
                <w:rFonts w:hint="eastAsia"/>
                <w:color w:val="000000"/>
                <w:sz w:val="16"/>
                <w:szCs w:val="16"/>
              </w:rPr>
              <w:t>债券</w:t>
            </w:r>
            <w:r w:rsidRPr="00C41721">
              <w:rPr>
                <w:color w:val="000000"/>
                <w:sz w:val="16"/>
                <w:szCs w:val="16"/>
              </w:rPr>
              <w:t>-</w:t>
            </w:r>
            <w:r w:rsidRPr="00C41721">
              <w:rPr>
                <w:rFonts w:hint="eastAsia"/>
                <w:color w:val="000000"/>
                <w:sz w:val="16"/>
                <w:szCs w:val="16"/>
              </w:rPr>
              <w:t>可转债基</w:t>
            </w:r>
          </w:p>
        </w:tc>
        <w:tc>
          <w:tcPr>
            <w:tcW w:w="985" w:type="dxa"/>
            <w:tcBorders>
              <w:top w:val="nil"/>
              <w:left w:val="nil"/>
              <w:bottom w:val="nil"/>
              <w:right w:val="nil"/>
            </w:tcBorders>
            <w:noWrap/>
          </w:tcPr>
          <w:p w:rsidR="00803212" w:rsidRDefault="00803212">
            <w:pPr>
              <w:jc w:val="center"/>
              <w:rPr>
                <w:rFonts w:ascii="宋体" w:cs="宋体"/>
                <w:color w:val="000000"/>
                <w:sz w:val="16"/>
                <w:szCs w:val="16"/>
              </w:rPr>
            </w:pPr>
            <w:r w:rsidRPr="00C41721">
              <w:rPr>
                <w:color w:val="000000"/>
                <w:sz w:val="16"/>
                <w:szCs w:val="16"/>
              </w:rPr>
              <w:t>14.88</w:t>
            </w:r>
          </w:p>
        </w:tc>
        <w:tc>
          <w:tcPr>
            <w:tcW w:w="616" w:type="dxa"/>
            <w:tcBorders>
              <w:top w:val="nil"/>
              <w:left w:val="nil"/>
              <w:bottom w:val="nil"/>
              <w:right w:val="nil"/>
            </w:tcBorders>
            <w:noWrap/>
          </w:tcPr>
          <w:p w:rsidR="00803212" w:rsidRDefault="00803212">
            <w:pPr>
              <w:jc w:val="center"/>
              <w:rPr>
                <w:rFonts w:ascii="宋体" w:cs="宋体"/>
                <w:color w:val="000000"/>
                <w:sz w:val="16"/>
                <w:szCs w:val="16"/>
              </w:rPr>
            </w:pPr>
            <w:r w:rsidRPr="00C41721">
              <w:rPr>
                <w:color w:val="000000"/>
                <w:sz w:val="16"/>
                <w:szCs w:val="16"/>
              </w:rPr>
              <w:t>8</w:t>
            </w:r>
          </w:p>
        </w:tc>
      </w:tr>
      <w:tr w:rsidR="00803212" w:rsidRPr="00C41721" w:rsidTr="00E2759C">
        <w:trPr>
          <w:trHeight w:val="270"/>
        </w:trPr>
        <w:tc>
          <w:tcPr>
            <w:tcW w:w="816" w:type="dxa"/>
            <w:tcBorders>
              <w:top w:val="nil"/>
              <w:left w:val="nil"/>
              <w:bottom w:val="nil"/>
              <w:right w:val="nil"/>
            </w:tcBorders>
            <w:noWrap/>
          </w:tcPr>
          <w:p w:rsidR="00803212" w:rsidRDefault="00803212">
            <w:pPr>
              <w:jc w:val="center"/>
              <w:rPr>
                <w:rFonts w:cs="宋体"/>
                <w:color w:val="000000"/>
                <w:sz w:val="16"/>
                <w:szCs w:val="16"/>
              </w:rPr>
            </w:pPr>
            <w:r w:rsidRPr="00C41721">
              <w:rPr>
                <w:color w:val="000000"/>
                <w:sz w:val="16"/>
                <w:szCs w:val="16"/>
              </w:rPr>
              <w:t>530020</w:t>
            </w:r>
          </w:p>
        </w:tc>
        <w:tc>
          <w:tcPr>
            <w:tcW w:w="2131" w:type="dxa"/>
            <w:tcBorders>
              <w:top w:val="nil"/>
              <w:left w:val="nil"/>
              <w:bottom w:val="nil"/>
              <w:right w:val="nil"/>
            </w:tcBorders>
            <w:noWrap/>
          </w:tcPr>
          <w:p w:rsidR="00803212" w:rsidRDefault="00803212">
            <w:pPr>
              <w:jc w:val="center"/>
              <w:rPr>
                <w:rFonts w:ascii="宋体" w:cs="宋体"/>
                <w:color w:val="000000"/>
                <w:sz w:val="16"/>
                <w:szCs w:val="16"/>
              </w:rPr>
            </w:pPr>
            <w:r w:rsidRPr="00C41721">
              <w:rPr>
                <w:rFonts w:hint="eastAsia"/>
                <w:color w:val="000000"/>
                <w:sz w:val="16"/>
                <w:szCs w:val="16"/>
              </w:rPr>
              <w:t>建信转债增强债券</w:t>
            </w:r>
            <w:r w:rsidRPr="00C41721">
              <w:rPr>
                <w:color w:val="000000"/>
                <w:sz w:val="16"/>
                <w:szCs w:val="16"/>
              </w:rPr>
              <w:t>A</w:t>
            </w:r>
          </w:p>
        </w:tc>
        <w:tc>
          <w:tcPr>
            <w:tcW w:w="1302" w:type="dxa"/>
            <w:tcBorders>
              <w:top w:val="nil"/>
              <w:left w:val="nil"/>
              <w:bottom w:val="nil"/>
              <w:right w:val="nil"/>
            </w:tcBorders>
            <w:noWrap/>
          </w:tcPr>
          <w:p w:rsidR="00803212" w:rsidRDefault="00803212">
            <w:pPr>
              <w:jc w:val="center"/>
              <w:rPr>
                <w:rFonts w:ascii="宋体" w:cs="宋体"/>
                <w:color w:val="000000"/>
                <w:sz w:val="16"/>
                <w:szCs w:val="16"/>
              </w:rPr>
            </w:pPr>
            <w:r w:rsidRPr="00C41721">
              <w:rPr>
                <w:rFonts w:hint="eastAsia"/>
                <w:color w:val="000000"/>
                <w:sz w:val="16"/>
                <w:szCs w:val="16"/>
              </w:rPr>
              <w:t>债券</w:t>
            </w:r>
            <w:r w:rsidRPr="00C41721">
              <w:rPr>
                <w:color w:val="000000"/>
                <w:sz w:val="16"/>
                <w:szCs w:val="16"/>
              </w:rPr>
              <w:t>-</w:t>
            </w:r>
            <w:r w:rsidRPr="00C41721">
              <w:rPr>
                <w:rFonts w:hint="eastAsia"/>
                <w:color w:val="000000"/>
                <w:sz w:val="16"/>
                <w:szCs w:val="16"/>
              </w:rPr>
              <w:t>可转债基</w:t>
            </w:r>
          </w:p>
        </w:tc>
        <w:tc>
          <w:tcPr>
            <w:tcW w:w="985" w:type="dxa"/>
            <w:tcBorders>
              <w:top w:val="nil"/>
              <w:left w:val="nil"/>
              <w:bottom w:val="nil"/>
              <w:right w:val="nil"/>
            </w:tcBorders>
            <w:noWrap/>
          </w:tcPr>
          <w:p w:rsidR="00803212" w:rsidRDefault="00803212">
            <w:pPr>
              <w:jc w:val="center"/>
              <w:rPr>
                <w:rFonts w:ascii="宋体" w:cs="宋体"/>
                <w:color w:val="000000"/>
                <w:sz w:val="16"/>
                <w:szCs w:val="16"/>
              </w:rPr>
            </w:pPr>
            <w:r w:rsidRPr="00C41721">
              <w:rPr>
                <w:color w:val="000000"/>
                <w:sz w:val="16"/>
                <w:szCs w:val="16"/>
              </w:rPr>
              <w:t>14.82</w:t>
            </w:r>
          </w:p>
        </w:tc>
        <w:tc>
          <w:tcPr>
            <w:tcW w:w="616" w:type="dxa"/>
            <w:tcBorders>
              <w:top w:val="nil"/>
              <w:left w:val="nil"/>
              <w:bottom w:val="nil"/>
              <w:right w:val="nil"/>
            </w:tcBorders>
            <w:noWrap/>
          </w:tcPr>
          <w:p w:rsidR="00803212" w:rsidRDefault="00803212">
            <w:pPr>
              <w:jc w:val="center"/>
              <w:rPr>
                <w:rFonts w:ascii="宋体" w:cs="宋体"/>
                <w:color w:val="000000"/>
                <w:sz w:val="16"/>
                <w:szCs w:val="16"/>
              </w:rPr>
            </w:pPr>
            <w:r w:rsidRPr="00C41721">
              <w:rPr>
                <w:color w:val="000000"/>
                <w:sz w:val="16"/>
                <w:szCs w:val="16"/>
              </w:rPr>
              <w:t>9</w:t>
            </w:r>
          </w:p>
        </w:tc>
      </w:tr>
      <w:tr w:rsidR="00803212" w:rsidRPr="00C41721" w:rsidTr="00E2759C">
        <w:trPr>
          <w:trHeight w:val="285"/>
        </w:trPr>
        <w:tc>
          <w:tcPr>
            <w:tcW w:w="816" w:type="dxa"/>
            <w:tcBorders>
              <w:top w:val="nil"/>
              <w:left w:val="nil"/>
              <w:bottom w:val="single" w:sz="8" w:space="0" w:color="E46D0A"/>
              <w:right w:val="nil"/>
            </w:tcBorders>
            <w:noWrap/>
          </w:tcPr>
          <w:p w:rsidR="00803212" w:rsidRDefault="00803212">
            <w:pPr>
              <w:jc w:val="center"/>
              <w:rPr>
                <w:rFonts w:cs="宋体"/>
                <w:color w:val="000000"/>
                <w:sz w:val="16"/>
                <w:szCs w:val="16"/>
              </w:rPr>
            </w:pPr>
            <w:r w:rsidRPr="00C41721">
              <w:rPr>
                <w:color w:val="000000"/>
                <w:sz w:val="16"/>
                <w:szCs w:val="16"/>
              </w:rPr>
              <w:t>531020</w:t>
            </w:r>
          </w:p>
        </w:tc>
        <w:tc>
          <w:tcPr>
            <w:tcW w:w="2131" w:type="dxa"/>
            <w:tcBorders>
              <w:top w:val="nil"/>
              <w:left w:val="nil"/>
              <w:bottom w:val="single" w:sz="8" w:space="0" w:color="E46D0A"/>
              <w:right w:val="nil"/>
            </w:tcBorders>
            <w:noWrap/>
          </w:tcPr>
          <w:p w:rsidR="00803212" w:rsidRDefault="00803212">
            <w:pPr>
              <w:jc w:val="center"/>
              <w:rPr>
                <w:rFonts w:ascii="宋体" w:cs="宋体"/>
                <w:color w:val="000000"/>
                <w:sz w:val="16"/>
                <w:szCs w:val="16"/>
              </w:rPr>
            </w:pPr>
            <w:r w:rsidRPr="00C41721">
              <w:rPr>
                <w:rFonts w:hint="eastAsia"/>
                <w:color w:val="000000"/>
                <w:sz w:val="16"/>
                <w:szCs w:val="16"/>
              </w:rPr>
              <w:t>建信转债增强债券</w:t>
            </w:r>
            <w:r w:rsidRPr="00C41721">
              <w:rPr>
                <w:color w:val="000000"/>
                <w:sz w:val="16"/>
                <w:szCs w:val="16"/>
              </w:rPr>
              <w:t>C</w:t>
            </w:r>
          </w:p>
        </w:tc>
        <w:tc>
          <w:tcPr>
            <w:tcW w:w="1302" w:type="dxa"/>
            <w:tcBorders>
              <w:top w:val="nil"/>
              <w:left w:val="nil"/>
              <w:bottom w:val="single" w:sz="8" w:space="0" w:color="E46D0A"/>
              <w:right w:val="nil"/>
            </w:tcBorders>
            <w:noWrap/>
          </w:tcPr>
          <w:p w:rsidR="00803212" w:rsidRDefault="00803212">
            <w:pPr>
              <w:jc w:val="center"/>
              <w:rPr>
                <w:rFonts w:ascii="宋体" w:cs="宋体"/>
                <w:color w:val="000000"/>
                <w:sz w:val="16"/>
                <w:szCs w:val="16"/>
              </w:rPr>
            </w:pPr>
            <w:r w:rsidRPr="00C41721">
              <w:rPr>
                <w:rFonts w:hint="eastAsia"/>
                <w:color w:val="000000"/>
                <w:sz w:val="16"/>
                <w:szCs w:val="16"/>
              </w:rPr>
              <w:t>债券</w:t>
            </w:r>
            <w:r w:rsidRPr="00C41721">
              <w:rPr>
                <w:color w:val="000000"/>
                <w:sz w:val="16"/>
                <w:szCs w:val="16"/>
              </w:rPr>
              <w:t>-</w:t>
            </w:r>
            <w:r w:rsidRPr="00C41721">
              <w:rPr>
                <w:rFonts w:hint="eastAsia"/>
                <w:color w:val="000000"/>
                <w:sz w:val="16"/>
                <w:szCs w:val="16"/>
              </w:rPr>
              <w:t>可转债基</w:t>
            </w:r>
          </w:p>
        </w:tc>
        <w:tc>
          <w:tcPr>
            <w:tcW w:w="985" w:type="dxa"/>
            <w:tcBorders>
              <w:top w:val="nil"/>
              <w:left w:val="nil"/>
              <w:bottom w:val="single" w:sz="8" w:space="0" w:color="E46D0A"/>
              <w:right w:val="nil"/>
            </w:tcBorders>
            <w:noWrap/>
          </w:tcPr>
          <w:p w:rsidR="00803212" w:rsidRDefault="00803212">
            <w:pPr>
              <w:jc w:val="center"/>
              <w:rPr>
                <w:rFonts w:ascii="宋体" w:cs="宋体"/>
                <w:color w:val="000000"/>
                <w:sz w:val="16"/>
                <w:szCs w:val="16"/>
              </w:rPr>
            </w:pPr>
            <w:r w:rsidRPr="00C41721">
              <w:rPr>
                <w:color w:val="000000"/>
                <w:sz w:val="16"/>
                <w:szCs w:val="16"/>
              </w:rPr>
              <w:t>14.76</w:t>
            </w:r>
          </w:p>
        </w:tc>
        <w:tc>
          <w:tcPr>
            <w:tcW w:w="616" w:type="dxa"/>
            <w:tcBorders>
              <w:top w:val="nil"/>
              <w:left w:val="nil"/>
              <w:bottom w:val="single" w:sz="8" w:space="0" w:color="E46D0A"/>
              <w:right w:val="nil"/>
            </w:tcBorders>
            <w:noWrap/>
          </w:tcPr>
          <w:p w:rsidR="00803212" w:rsidRDefault="00803212">
            <w:pPr>
              <w:jc w:val="center"/>
              <w:rPr>
                <w:rFonts w:ascii="宋体" w:cs="宋体"/>
                <w:color w:val="000000"/>
                <w:sz w:val="16"/>
                <w:szCs w:val="16"/>
              </w:rPr>
            </w:pPr>
            <w:r w:rsidRPr="00C41721">
              <w:rPr>
                <w:color w:val="000000"/>
                <w:sz w:val="16"/>
                <w:szCs w:val="16"/>
              </w:rPr>
              <w:t>10</w:t>
            </w:r>
          </w:p>
        </w:tc>
      </w:tr>
      <w:tr w:rsidR="00803212" w:rsidRPr="00C41721" w:rsidTr="003072DB">
        <w:trPr>
          <w:trHeight w:val="285"/>
        </w:trPr>
        <w:tc>
          <w:tcPr>
            <w:tcW w:w="2947" w:type="dxa"/>
            <w:gridSpan w:val="2"/>
            <w:tcBorders>
              <w:top w:val="single" w:sz="8" w:space="0" w:color="E46D0A"/>
              <w:left w:val="nil"/>
              <w:bottom w:val="single" w:sz="8" w:space="0" w:color="E46D0A"/>
              <w:right w:val="nil"/>
            </w:tcBorders>
            <w:noWrap/>
            <w:vAlign w:val="center"/>
          </w:tcPr>
          <w:p w:rsidR="00803212" w:rsidRPr="003072DB" w:rsidRDefault="00803212" w:rsidP="003072DB">
            <w:pPr>
              <w:widowControl/>
              <w:jc w:val="left"/>
              <w:rPr>
                <w:rFonts w:ascii="宋体" w:cs="宋体"/>
                <w:color w:val="000000"/>
                <w:kern w:val="0"/>
                <w:sz w:val="16"/>
                <w:szCs w:val="16"/>
              </w:rPr>
            </w:pPr>
            <w:r w:rsidRPr="003072DB">
              <w:rPr>
                <w:rFonts w:ascii="宋体" w:hAnsi="宋体" w:cs="宋体" w:hint="eastAsia"/>
                <w:color w:val="000000"/>
                <w:kern w:val="0"/>
                <w:sz w:val="16"/>
                <w:szCs w:val="16"/>
              </w:rPr>
              <w:t>来源：凯石财富工场</w:t>
            </w:r>
          </w:p>
        </w:tc>
        <w:tc>
          <w:tcPr>
            <w:tcW w:w="1302" w:type="dxa"/>
            <w:tcBorders>
              <w:top w:val="nil"/>
              <w:left w:val="nil"/>
              <w:bottom w:val="single" w:sz="8" w:space="0" w:color="E46D0A"/>
              <w:right w:val="nil"/>
            </w:tcBorders>
            <w:noWrap/>
            <w:vAlign w:val="center"/>
          </w:tcPr>
          <w:p w:rsidR="00803212" w:rsidRPr="003072DB" w:rsidRDefault="00803212" w:rsidP="003072DB">
            <w:pPr>
              <w:widowControl/>
              <w:jc w:val="center"/>
              <w:rPr>
                <w:rFonts w:ascii="宋体" w:cs="宋体"/>
                <w:color w:val="000000"/>
                <w:kern w:val="0"/>
                <w:sz w:val="16"/>
                <w:szCs w:val="16"/>
              </w:rPr>
            </w:pPr>
            <w:r w:rsidRPr="003072DB">
              <w:rPr>
                <w:rFonts w:ascii="宋体" w:hAnsi="宋体" w:cs="宋体" w:hint="eastAsia"/>
                <w:color w:val="000000"/>
                <w:kern w:val="0"/>
                <w:sz w:val="16"/>
                <w:szCs w:val="16"/>
              </w:rPr>
              <w:t xml:space="preserve">　</w:t>
            </w:r>
          </w:p>
        </w:tc>
        <w:tc>
          <w:tcPr>
            <w:tcW w:w="985" w:type="dxa"/>
            <w:tcBorders>
              <w:top w:val="nil"/>
              <w:left w:val="nil"/>
              <w:bottom w:val="single" w:sz="8" w:space="0" w:color="E46D0A"/>
              <w:right w:val="nil"/>
            </w:tcBorders>
            <w:noWrap/>
            <w:vAlign w:val="center"/>
          </w:tcPr>
          <w:p w:rsidR="00803212" w:rsidRPr="003072DB" w:rsidRDefault="00803212" w:rsidP="003072DB">
            <w:pPr>
              <w:widowControl/>
              <w:jc w:val="center"/>
              <w:rPr>
                <w:rFonts w:ascii="宋体" w:cs="宋体"/>
                <w:color w:val="000000"/>
                <w:kern w:val="0"/>
                <w:sz w:val="16"/>
                <w:szCs w:val="16"/>
              </w:rPr>
            </w:pPr>
            <w:r w:rsidRPr="003072DB">
              <w:rPr>
                <w:rFonts w:ascii="宋体" w:hAnsi="宋体" w:cs="宋体" w:hint="eastAsia"/>
                <w:color w:val="000000"/>
                <w:kern w:val="0"/>
                <w:sz w:val="16"/>
                <w:szCs w:val="16"/>
              </w:rPr>
              <w:t xml:space="preserve">　</w:t>
            </w:r>
          </w:p>
        </w:tc>
        <w:tc>
          <w:tcPr>
            <w:tcW w:w="616" w:type="dxa"/>
            <w:tcBorders>
              <w:top w:val="nil"/>
              <w:left w:val="nil"/>
              <w:bottom w:val="single" w:sz="8" w:space="0" w:color="E46D0A"/>
              <w:right w:val="nil"/>
            </w:tcBorders>
            <w:noWrap/>
            <w:vAlign w:val="center"/>
          </w:tcPr>
          <w:p w:rsidR="00803212" w:rsidRPr="003072DB" w:rsidRDefault="00803212" w:rsidP="003072DB">
            <w:pPr>
              <w:widowControl/>
              <w:jc w:val="center"/>
              <w:rPr>
                <w:rFonts w:ascii="宋体" w:cs="宋体"/>
                <w:color w:val="000000"/>
                <w:kern w:val="0"/>
                <w:sz w:val="16"/>
                <w:szCs w:val="16"/>
              </w:rPr>
            </w:pPr>
            <w:r w:rsidRPr="003072DB">
              <w:rPr>
                <w:rFonts w:ascii="宋体" w:hAnsi="宋体" w:cs="宋体" w:hint="eastAsia"/>
                <w:color w:val="000000"/>
                <w:kern w:val="0"/>
                <w:sz w:val="16"/>
                <w:szCs w:val="16"/>
              </w:rPr>
              <w:t xml:space="preserve">　</w:t>
            </w:r>
          </w:p>
        </w:tc>
      </w:tr>
      <w:bookmarkEnd w:id="0"/>
    </w:tbl>
    <w:p w:rsidR="00803212" w:rsidRDefault="00803212" w:rsidP="003072DB">
      <w:pPr>
        <w:pStyle w:val="BodyText"/>
        <w:spacing w:after="163"/>
        <w:ind w:left="3799"/>
        <w:rPr>
          <w:rFonts w:eastAsia="楷体_GB2312"/>
          <w:color w:val="auto"/>
        </w:rPr>
      </w:pPr>
    </w:p>
    <w:tbl>
      <w:tblPr>
        <w:tblW w:w="6014" w:type="dxa"/>
        <w:tblInd w:w="3816" w:type="dxa"/>
        <w:tblLook w:val="00A0"/>
      </w:tblPr>
      <w:tblGrid>
        <w:gridCol w:w="1289"/>
        <w:gridCol w:w="2765"/>
        <w:gridCol w:w="1289"/>
        <w:gridCol w:w="671"/>
      </w:tblGrid>
      <w:tr w:rsidR="00803212" w:rsidRPr="00C41721" w:rsidTr="00D06FC1">
        <w:trPr>
          <w:trHeight w:val="276"/>
        </w:trPr>
        <w:tc>
          <w:tcPr>
            <w:tcW w:w="6014" w:type="dxa"/>
            <w:gridSpan w:val="4"/>
            <w:tcBorders>
              <w:top w:val="single" w:sz="8" w:space="0" w:color="E46D0A"/>
              <w:left w:val="nil"/>
              <w:bottom w:val="single" w:sz="8" w:space="0" w:color="E46D0A"/>
              <w:right w:val="nil"/>
            </w:tcBorders>
            <w:noWrap/>
            <w:vAlign w:val="center"/>
          </w:tcPr>
          <w:p w:rsidR="00803212" w:rsidRPr="003072DB" w:rsidRDefault="00803212" w:rsidP="00726FF6">
            <w:pPr>
              <w:widowControl/>
              <w:jc w:val="left"/>
              <w:rPr>
                <w:rFonts w:ascii="宋体" w:cs="宋体"/>
                <w:b/>
                <w:i/>
                <w:iCs/>
                <w:color w:val="E36C0A"/>
                <w:kern w:val="0"/>
                <w:sz w:val="20"/>
                <w:szCs w:val="20"/>
              </w:rPr>
            </w:pPr>
            <w:r w:rsidRPr="003072DB">
              <w:rPr>
                <w:rFonts w:ascii="宋体" w:hAnsi="宋体" w:cs="宋体" w:hint="eastAsia"/>
                <w:b/>
                <w:i/>
                <w:iCs/>
                <w:color w:val="E36C0A"/>
                <w:kern w:val="0"/>
                <w:sz w:val="20"/>
                <w:szCs w:val="20"/>
              </w:rPr>
              <w:t>图表</w:t>
            </w:r>
            <w:r w:rsidRPr="003072DB">
              <w:rPr>
                <w:rFonts w:ascii="宋体" w:hAnsi="宋体" w:cs="宋体"/>
                <w:b/>
                <w:i/>
                <w:iCs/>
                <w:color w:val="E36C0A"/>
                <w:kern w:val="0"/>
                <w:sz w:val="20"/>
                <w:szCs w:val="20"/>
              </w:rPr>
              <w:t>5:2014</w:t>
            </w:r>
            <w:r>
              <w:rPr>
                <w:rFonts w:ascii="宋体" w:hAnsi="宋体" w:cs="宋体" w:hint="eastAsia"/>
                <w:b/>
                <w:i/>
                <w:iCs/>
                <w:color w:val="E36C0A"/>
                <w:kern w:val="0"/>
                <w:sz w:val="20"/>
                <w:szCs w:val="20"/>
              </w:rPr>
              <w:t>年三季度</w:t>
            </w:r>
            <w:r w:rsidRPr="003072DB">
              <w:rPr>
                <w:rFonts w:ascii="宋体" w:hAnsi="宋体" w:cs="宋体" w:hint="eastAsia"/>
                <w:b/>
                <w:i/>
                <w:iCs/>
                <w:color w:val="E36C0A"/>
                <w:kern w:val="0"/>
                <w:sz w:val="20"/>
                <w:szCs w:val="20"/>
              </w:rPr>
              <w:t>保本型产品前</w:t>
            </w:r>
            <w:r>
              <w:rPr>
                <w:rFonts w:ascii="宋体" w:hAnsi="宋体" w:cs="宋体" w:hint="eastAsia"/>
                <w:b/>
                <w:i/>
                <w:iCs/>
                <w:color w:val="E36C0A"/>
                <w:kern w:val="0"/>
                <w:sz w:val="20"/>
                <w:szCs w:val="20"/>
              </w:rPr>
              <w:t>五</w:t>
            </w:r>
          </w:p>
        </w:tc>
      </w:tr>
      <w:tr w:rsidR="00803212" w:rsidRPr="00C41721" w:rsidTr="003072DB">
        <w:trPr>
          <w:trHeight w:val="422"/>
        </w:trPr>
        <w:tc>
          <w:tcPr>
            <w:tcW w:w="1289" w:type="dxa"/>
            <w:tcBorders>
              <w:top w:val="nil"/>
              <w:left w:val="nil"/>
              <w:bottom w:val="single" w:sz="8" w:space="0" w:color="E46D0A"/>
              <w:right w:val="nil"/>
            </w:tcBorders>
            <w:noWrap/>
            <w:vAlign w:val="center"/>
          </w:tcPr>
          <w:p w:rsidR="00803212" w:rsidRDefault="00803212">
            <w:pPr>
              <w:jc w:val="center"/>
              <w:rPr>
                <w:rFonts w:ascii="宋体" w:cs="宋体"/>
                <w:color w:val="000000"/>
                <w:sz w:val="16"/>
                <w:szCs w:val="16"/>
              </w:rPr>
            </w:pPr>
            <w:r w:rsidRPr="00C41721">
              <w:rPr>
                <w:rFonts w:hint="eastAsia"/>
                <w:color w:val="000000"/>
                <w:sz w:val="16"/>
                <w:szCs w:val="16"/>
              </w:rPr>
              <w:t>市场代码</w:t>
            </w:r>
          </w:p>
        </w:tc>
        <w:tc>
          <w:tcPr>
            <w:tcW w:w="2765" w:type="dxa"/>
            <w:tcBorders>
              <w:top w:val="nil"/>
              <w:left w:val="nil"/>
              <w:bottom w:val="single" w:sz="8" w:space="0" w:color="E46D0A"/>
              <w:right w:val="nil"/>
            </w:tcBorders>
            <w:noWrap/>
            <w:vAlign w:val="center"/>
          </w:tcPr>
          <w:p w:rsidR="00803212" w:rsidRDefault="00803212">
            <w:pPr>
              <w:jc w:val="center"/>
              <w:rPr>
                <w:rFonts w:ascii="宋体" w:cs="宋体"/>
                <w:color w:val="000000"/>
                <w:sz w:val="16"/>
                <w:szCs w:val="16"/>
              </w:rPr>
            </w:pPr>
            <w:r w:rsidRPr="00C41721">
              <w:rPr>
                <w:rFonts w:hint="eastAsia"/>
                <w:color w:val="000000"/>
                <w:sz w:val="16"/>
                <w:szCs w:val="16"/>
              </w:rPr>
              <w:t>基金名称</w:t>
            </w:r>
          </w:p>
        </w:tc>
        <w:tc>
          <w:tcPr>
            <w:tcW w:w="1289" w:type="dxa"/>
            <w:tcBorders>
              <w:top w:val="nil"/>
              <w:left w:val="nil"/>
              <w:bottom w:val="single" w:sz="8" w:space="0" w:color="E46D0A"/>
              <w:right w:val="nil"/>
            </w:tcBorders>
            <w:vAlign w:val="center"/>
          </w:tcPr>
          <w:p w:rsidR="00803212" w:rsidRDefault="00803212">
            <w:pPr>
              <w:jc w:val="center"/>
              <w:rPr>
                <w:rFonts w:ascii="宋体" w:cs="宋体"/>
                <w:color w:val="000000"/>
                <w:sz w:val="16"/>
                <w:szCs w:val="16"/>
              </w:rPr>
            </w:pPr>
            <w:r w:rsidRPr="00C41721">
              <w:rPr>
                <w:rFonts w:hint="eastAsia"/>
                <w:color w:val="000000"/>
                <w:sz w:val="16"/>
                <w:szCs w:val="16"/>
              </w:rPr>
              <w:t>三季度业绩（</w:t>
            </w:r>
            <w:r w:rsidRPr="00C41721">
              <w:rPr>
                <w:color w:val="000000"/>
                <w:sz w:val="16"/>
                <w:szCs w:val="16"/>
              </w:rPr>
              <w:t>%</w:t>
            </w:r>
            <w:r w:rsidRPr="00C41721">
              <w:rPr>
                <w:rFonts w:hint="eastAsia"/>
                <w:color w:val="000000"/>
                <w:sz w:val="16"/>
                <w:szCs w:val="16"/>
              </w:rPr>
              <w:t>）</w:t>
            </w:r>
          </w:p>
        </w:tc>
        <w:tc>
          <w:tcPr>
            <w:tcW w:w="671" w:type="dxa"/>
            <w:tcBorders>
              <w:top w:val="nil"/>
              <w:left w:val="nil"/>
              <w:bottom w:val="single" w:sz="8" w:space="0" w:color="E46D0A"/>
              <w:right w:val="nil"/>
            </w:tcBorders>
            <w:noWrap/>
            <w:vAlign w:val="center"/>
          </w:tcPr>
          <w:p w:rsidR="00803212" w:rsidRDefault="00803212">
            <w:pPr>
              <w:jc w:val="center"/>
              <w:rPr>
                <w:rFonts w:ascii="宋体" w:cs="宋体"/>
                <w:color w:val="000000"/>
                <w:sz w:val="16"/>
                <w:szCs w:val="16"/>
              </w:rPr>
            </w:pPr>
            <w:r w:rsidRPr="00C41721">
              <w:rPr>
                <w:rFonts w:hint="eastAsia"/>
                <w:color w:val="000000"/>
                <w:sz w:val="16"/>
                <w:szCs w:val="16"/>
              </w:rPr>
              <w:t>排名</w:t>
            </w:r>
          </w:p>
        </w:tc>
      </w:tr>
      <w:tr w:rsidR="00803212" w:rsidRPr="00C41721" w:rsidTr="00494CE4">
        <w:trPr>
          <w:trHeight w:val="262"/>
        </w:trPr>
        <w:tc>
          <w:tcPr>
            <w:tcW w:w="1289" w:type="dxa"/>
            <w:tcBorders>
              <w:top w:val="nil"/>
              <w:left w:val="nil"/>
              <w:bottom w:val="nil"/>
              <w:right w:val="nil"/>
            </w:tcBorders>
            <w:noWrap/>
          </w:tcPr>
          <w:p w:rsidR="00803212" w:rsidRDefault="00803212">
            <w:pPr>
              <w:jc w:val="center"/>
              <w:rPr>
                <w:rFonts w:cs="宋体"/>
                <w:color w:val="000000"/>
                <w:sz w:val="16"/>
                <w:szCs w:val="16"/>
              </w:rPr>
            </w:pPr>
            <w:r w:rsidRPr="00C41721">
              <w:rPr>
                <w:color w:val="000000"/>
                <w:sz w:val="16"/>
                <w:szCs w:val="16"/>
              </w:rPr>
              <w:t>217024</w:t>
            </w:r>
          </w:p>
        </w:tc>
        <w:tc>
          <w:tcPr>
            <w:tcW w:w="2765" w:type="dxa"/>
            <w:tcBorders>
              <w:top w:val="nil"/>
              <w:left w:val="nil"/>
              <w:bottom w:val="nil"/>
              <w:right w:val="nil"/>
            </w:tcBorders>
            <w:noWrap/>
            <w:vAlign w:val="center"/>
          </w:tcPr>
          <w:p w:rsidR="00803212" w:rsidRDefault="00803212">
            <w:pPr>
              <w:jc w:val="center"/>
              <w:rPr>
                <w:rFonts w:ascii="宋体" w:cs="宋体"/>
                <w:color w:val="000000"/>
                <w:sz w:val="16"/>
                <w:szCs w:val="16"/>
              </w:rPr>
            </w:pPr>
            <w:r w:rsidRPr="00C41721">
              <w:rPr>
                <w:rFonts w:hint="eastAsia"/>
                <w:color w:val="000000"/>
                <w:sz w:val="16"/>
                <w:szCs w:val="16"/>
              </w:rPr>
              <w:t>安盈保本</w:t>
            </w:r>
          </w:p>
        </w:tc>
        <w:tc>
          <w:tcPr>
            <w:tcW w:w="1289" w:type="dxa"/>
            <w:tcBorders>
              <w:top w:val="nil"/>
              <w:left w:val="nil"/>
              <w:bottom w:val="nil"/>
              <w:right w:val="nil"/>
            </w:tcBorders>
            <w:noWrap/>
            <w:vAlign w:val="center"/>
          </w:tcPr>
          <w:p w:rsidR="00803212" w:rsidRDefault="00803212">
            <w:pPr>
              <w:jc w:val="center"/>
              <w:rPr>
                <w:rFonts w:cs="宋体"/>
                <w:color w:val="000000"/>
                <w:sz w:val="16"/>
                <w:szCs w:val="16"/>
              </w:rPr>
            </w:pPr>
            <w:r w:rsidRPr="00C41721">
              <w:rPr>
                <w:color w:val="000000"/>
                <w:sz w:val="16"/>
                <w:szCs w:val="16"/>
              </w:rPr>
              <w:t>9.01</w:t>
            </w:r>
          </w:p>
        </w:tc>
        <w:tc>
          <w:tcPr>
            <w:tcW w:w="671" w:type="dxa"/>
            <w:tcBorders>
              <w:top w:val="nil"/>
              <w:left w:val="nil"/>
              <w:bottom w:val="nil"/>
              <w:right w:val="nil"/>
            </w:tcBorders>
            <w:noWrap/>
            <w:vAlign w:val="center"/>
          </w:tcPr>
          <w:p w:rsidR="00803212" w:rsidRDefault="00803212">
            <w:pPr>
              <w:jc w:val="center"/>
              <w:rPr>
                <w:rFonts w:cs="宋体"/>
                <w:color w:val="000000"/>
                <w:sz w:val="16"/>
                <w:szCs w:val="16"/>
              </w:rPr>
            </w:pPr>
            <w:r w:rsidRPr="00C41721">
              <w:rPr>
                <w:color w:val="000000"/>
                <w:sz w:val="16"/>
                <w:szCs w:val="16"/>
              </w:rPr>
              <w:t>1</w:t>
            </w:r>
          </w:p>
        </w:tc>
      </w:tr>
      <w:tr w:rsidR="00803212" w:rsidRPr="00C41721" w:rsidTr="00494CE4">
        <w:trPr>
          <w:trHeight w:val="262"/>
        </w:trPr>
        <w:tc>
          <w:tcPr>
            <w:tcW w:w="1289" w:type="dxa"/>
            <w:tcBorders>
              <w:top w:val="nil"/>
              <w:left w:val="nil"/>
              <w:bottom w:val="nil"/>
              <w:right w:val="nil"/>
            </w:tcBorders>
            <w:noWrap/>
          </w:tcPr>
          <w:p w:rsidR="00803212" w:rsidRDefault="00803212">
            <w:pPr>
              <w:jc w:val="center"/>
              <w:rPr>
                <w:rFonts w:cs="宋体"/>
                <w:color w:val="000000"/>
                <w:sz w:val="16"/>
                <w:szCs w:val="16"/>
              </w:rPr>
            </w:pPr>
            <w:r w:rsidRPr="00C41721">
              <w:rPr>
                <w:color w:val="000000"/>
                <w:sz w:val="16"/>
                <w:szCs w:val="16"/>
              </w:rPr>
              <w:t>000028</w:t>
            </w:r>
          </w:p>
        </w:tc>
        <w:tc>
          <w:tcPr>
            <w:tcW w:w="2765" w:type="dxa"/>
            <w:tcBorders>
              <w:top w:val="nil"/>
              <w:left w:val="nil"/>
              <w:bottom w:val="nil"/>
              <w:right w:val="nil"/>
            </w:tcBorders>
            <w:noWrap/>
            <w:vAlign w:val="center"/>
          </w:tcPr>
          <w:p w:rsidR="00803212" w:rsidRDefault="00803212">
            <w:pPr>
              <w:jc w:val="center"/>
              <w:rPr>
                <w:rFonts w:ascii="宋体" w:cs="宋体"/>
                <w:color w:val="000000"/>
                <w:sz w:val="16"/>
                <w:szCs w:val="16"/>
              </w:rPr>
            </w:pPr>
            <w:r w:rsidRPr="00C41721">
              <w:rPr>
                <w:rFonts w:hint="eastAsia"/>
                <w:color w:val="000000"/>
                <w:sz w:val="16"/>
                <w:szCs w:val="16"/>
              </w:rPr>
              <w:t>华富保本混合</w:t>
            </w:r>
          </w:p>
        </w:tc>
        <w:tc>
          <w:tcPr>
            <w:tcW w:w="1289" w:type="dxa"/>
            <w:tcBorders>
              <w:top w:val="nil"/>
              <w:left w:val="nil"/>
              <w:bottom w:val="nil"/>
              <w:right w:val="nil"/>
            </w:tcBorders>
            <w:noWrap/>
            <w:vAlign w:val="center"/>
          </w:tcPr>
          <w:p w:rsidR="00803212" w:rsidRDefault="00803212">
            <w:pPr>
              <w:jc w:val="center"/>
              <w:rPr>
                <w:rFonts w:cs="宋体"/>
                <w:color w:val="000000"/>
                <w:sz w:val="16"/>
                <w:szCs w:val="16"/>
              </w:rPr>
            </w:pPr>
            <w:r w:rsidRPr="00C41721">
              <w:rPr>
                <w:color w:val="000000"/>
                <w:sz w:val="16"/>
                <w:szCs w:val="16"/>
              </w:rPr>
              <w:t>7.07</w:t>
            </w:r>
          </w:p>
        </w:tc>
        <w:tc>
          <w:tcPr>
            <w:tcW w:w="671" w:type="dxa"/>
            <w:tcBorders>
              <w:top w:val="nil"/>
              <w:left w:val="nil"/>
              <w:bottom w:val="nil"/>
              <w:right w:val="nil"/>
            </w:tcBorders>
            <w:noWrap/>
            <w:vAlign w:val="center"/>
          </w:tcPr>
          <w:p w:rsidR="00803212" w:rsidRDefault="00803212">
            <w:pPr>
              <w:jc w:val="center"/>
              <w:rPr>
                <w:rFonts w:cs="宋体"/>
                <w:color w:val="000000"/>
                <w:sz w:val="16"/>
                <w:szCs w:val="16"/>
              </w:rPr>
            </w:pPr>
            <w:r w:rsidRPr="00C41721">
              <w:rPr>
                <w:color w:val="000000"/>
                <w:sz w:val="16"/>
                <w:szCs w:val="16"/>
              </w:rPr>
              <w:t>2</w:t>
            </w:r>
          </w:p>
        </w:tc>
      </w:tr>
      <w:tr w:rsidR="00803212" w:rsidRPr="00C41721" w:rsidTr="00494CE4">
        <w:trPr>
          <w:trHeight w:val="262"/>
        </w:trPr>
        <w:tc>
          <w:tcPr>
            <w:tcW w:w="1289" w:type="dxa"/>
            <w:tcBorders>
              <w:top w:val="nil"/>
              <w:left w:val="nil"/>
              <w:bottom w:val="nil"/>
              <w:right w:val="nil"/>
            </w:tcBorders>
            <w:noWrap/>
          </w:tcPr>
          <w:p w:rsidR="00803212" w:rsidRDefault="00803212">
            <w:pPr>
              <w:jc w:val="center"/>
              <w:rPr>
                <w:rFonts w:cs="宋体"/>
                <w:color w:val="000000"/>
                <w:sz w:val="16"/>
                <w:szCs w:val="16"/>
              </w:rPr>
            </w:pPr>
            <w:r w:rsidRPr="00C41721">
              <w:rPr>
                <w:color w:val="000000"/>
                <w:sz w:val="16"/>
                <w:szCs w:val="16"/>
              </w:rPr>
              <w:t>000030</w:t>
            </w:r>
          </w:p>
        </w:tc>
        <w:tc>
          <w:tcPr>
            <w:tcW w:w="2765" w:type="dxa"/>
            <w:tcBorders>
              <w:top w:val="nil"/>
              <w:left w:val="nil"/>
              <w:bottom w:val="nil"/>
              <w:right w:val="nil"/>
            </w:tcBorders>
            <w:noWrap/>
            <w:vAlign w:val="center"/>
          </w:tcPr>
          <w:p w:rsidR="00803212" w:rsidRDefault="00803212">
            <w:pPr>
              <w:jc w:val="center"/>
              <w:rPr>
                <w:rFonts w:ascii="宋体" w:cs="宋体"/>
                <w:color w:val="000000"/>
                <w:sz w:val="16"/>
                <w:szCs w:val="16"/>
              </w:rPr>
            </w:pPr>
            <w:r w:rsidRPr="00C41721">
              <w:rPr>
                <w:rFonts w:hint="eastAsia"/>
                <w:color w:val="000000"/>
                <w:sz w:val="16"/>
                <w:szCs w:val="16"/>
              </w:rPr>
              <w:t>长城久利保本</w:t>
            </w:r>
          </w:p>
        </w:tc>
        <w:tc>
          <w:tcPr>
            <w:tcW w:w="1289" w:type="dxa"/>
            <w:tcBorders>
              <w:top w:val="nil"/>
              <w:left w:val="nil"/>
              <w:bottom w:val="nil"/>
              <w:right w:val="nil"/>
            </w:tcBorders>
            <w:noWrap/>
            <w:vAlign w:val="center"/>
          </w:tcPr>
          <w:p w:rsidR="00803212" w:rsidRDefault="00803212">
            <w:pPr>
              <w:jc w:val="center"/>
              <w:rPr>
                <w:rFonts w:cs="宋体"/>
                <w:color w:val="000000"/>
                <w:sz w:val="16"/>
                <w:szCs w:val="16"/>
              </w:rPr>
            </w:pPr>
            <w:r w:rsidRPr="00C41721">
              <w:rPr>
                <w:color w:val="000000"/>
                <w:sz w:val="16"/>
                <w:szCs w:val="16"/>
              </w:rPr>
              <w:t>6.85</w:t>
            </w:r>
          </w:p>
        </w:tc>
        <w:tc>
          <w:tcPr>
            <w:tcW w:w="671" w:type="dxa"/>
            <w:tcBorders>
              <w:top w:val="nil"/>
              <w:left w:val="nil"/>
              <w:bottom w:val="nil"/>
              <w:right w:val="nil"/>
            </w:tcBorders>
            <w:noWrap/>
            <w:vAlign w:val="center"/>
          </w:tcPr>
          <w:p w:rsidR="00803212" w:rsidRDefault="00803212">
            <w:pPr>
              <w:jc w:val="center"/>
              <w:rPr>
                <w:rFonts w:cs="宋体"/>
                <w:color w:val="000000"/>
                <w:sz w:val="16"/>
                <w:szCs w:val="16"/>
              </w:rPr>
            </w:pPr>
            <w:r w:rsidRPr="00C41721">
              <w:rPr>
                <w:color w:val="000000"/>
                <w:sz w:val="16"/>
                <w:szCs w:val="16"/>
              </w:rPr>
              <w:t>3</w:t>
            </w:r>
          </w:p>
        </w:tc>
      </w:tr>
      <w:tr w:rsidR="00803212" w:rsidRPr="00C41721" w:rsidTr="00494CE4">
        <w:trPr>
          <w:trHeight w:val="262"/>
        </w:trPr>
        <w:tc>
          <w:tcPr>
            <w:tcW w:w="1289" w:type="dxa"/>
            <w:tcBorders>
              <w:top w:val="nil"/>
              <w:left w:val="nil"/>
              <w:bottom w:val="nil"/>
              <w:right w:val="nil"/>
            </w:tcBorders>
            <w:noWrap/>
          </w:tcPr>
          <w:p w:rsidR="00803212" w:rsidRDefault="00803212">
            <w:pPr>
              <w:jc w:val="center"/>
              <w:rPr>
                <w:rFonts w:cs="宋体"/>
                <w:color w:val="000000"/>
                <w:sz w:val="16"/>
                <w:szCs w:val="16"/>
              </w:rPr>
            </w:pPr>
            <w:r w:rsidRPr="00C41721">
              <w:rPr>
                <w:color w:val="000000"/>
                <w:sz w:val="16"/>
                <w:szCs w:val="16"/>
              </w:rPr>
              <w:t>320020</w:t>
            </w:r>
          </w:p>
        </w:tc>
        <w:tc>
          <w:tcPr>
            <w:tcW w:w="2765" w:type="dxa"/>
            <w:tcBorders>
              <w:top w:val="nil"/>
              <w:left w:val="nil"/>
              <w:bottom w:val="nil"/>
              <w:right w:val="nil"/>
            </w:tcBorders>
            <w:noWrap/>
            <w:vAlign w:val="center"/>
          </w:tcPr>
          <w:p w:rsidR="00803212" w:rsidRDefault="00803212">
            <w:pPr>
              <w:jc w:val="center"/>
              <w:rPr>
                <w:rFonts w:ascii="宋体" w:cs="宋体"/>
                <w:color w:val="000000"/>
                <w:sz w:val="16"/>
                <w:szCs w:val="16"/>
              </w:rPr>
            </w:pPr>
            <w:r w:rsidRPr="00C41721">
              <w:rPr>
                <w:rFonts w:hint="eastAsia"/>
                <w:color w:val="000000"/>
                <w:sz w:val="16"/>
                <w:szCs w:val="16"/>
              </w:rPr>
              <w:t>诺安汇鑫保本混合</w:t>
            </w:r>
          </w:p>
        </w:tc>
        <w:tc>
          <w:tcPr>
            <w:tcW w:w="1289" w:type="dxa"/>
            <w:tcBorders>
              <w:top w:val="nil"/>
              <w:left w:val="nil"/>
              <w:bottom w:val="nil"/>
              <w:right w:val="nil"/>
            </w:tcBorders>
            <w:noWrap/>
            <w:vAlign w:val="center"/>
          </w:tcPr>
          <w:p w:rsidR="00803212" w:rsidRDefault="00803212">
            <w:pPr>
              <w:jc w:val="center"/>
              <w:rPr>
                <w:rFonts w:cs="宋体"/>
                <w:color w:val="000000"/>
                <w:sz w:val="16"/>
                <w:szCs w:val="16"/>
              </w:rPr>
            </w:pPr>
            <w:r w:rsidRPr="00C41721">
              <w:rPr>
                <w:color w:val="000000"/>
                <w:sz w:val="16"/>
                <w:szCs w:val="16"/>
              </w:rPr>
              <w:t>6.83</w:t>
            </w:r>
          </w:p>
        </w:tc>
        <w:tc>
          <w:tcPr>
            <w:tcW w:w="671" w:type="dxa"/>
            <w:tcBorders>
              <w:top w:val="nil"/>
              <w:left w:val="nil"/>
              <w:bottom w:val="nil"/>
              <w:right w:val="nil"/>
            </w:tcBorders>
            <w:noWrap/>
            <w:vAlign w:val="center"/>
          </w:tcPr>
          <w:p w:rsidR="00803212" w:rsidRDefault="00803212">
            <w:pPr>
              <w:jc w:val="center"/>
              <w:rPr>
                <w:rFonts w:cs="宋体"/>
                <w:color w:val="000000"/>
                <w:sz w:val="16"/>
                <w:szCs w:val="16"/>
              </w:rPr>
            </w:pPr>
            <w:r w:rsidRPr="00C41721">
              <w:rPr>
                <w:color w:val="000000"/>
                <w:sz w:val="16"/>
                <w:szCs w:val="16"/>
              </w:rPr>
              <w:t>4</w:t>
            </w:r>
          </w:p>
        </w:tc>
      </w:tr>
      <w:tr w:rsidR="00803212" w:rsidRPr="00C41721" w:rsidTr="00494CE4">
        <w:trPr>
          <w:trHeight w:val="276"/>
        </w:trPr>
        <w:tc>
          <w:tcPr>
            <w:tcW w:w="1289" w:type="dxa"/>
            <w:tcBorders>
              <w:top w:val="nil"/>
              <w:left w:val="nil"/>
              <w:bottom w:val="single" w:sz="8" w:space="0" w:color="E46D0A"/>
              <w:right w:val="nil"/>
            </w:tcBorders>
            <w:noWrap/>
          </w:tcPr>
          <w:p w:rsidR="00803212" w:rsidRDefault="00803212">
            <w:pPr>
              <w:jc w:val="center"/>
              <w:rPr>
                <w:rFonts w:cs="宋体"/>
                <w:color w:val="000000"/>
                <w:sz w:val="16"/>
                <w:szCs w:val="16"/>
              </w:rPr>
            </w:pPr>
            <w:r w:rsidRPr="00C41721">
              <w:rPr>
                <w:color w:val="000000"/>
                <w:sz w:val="16"/>
                <w:szCs w:val="16"/>
              </w:rPr>
              <w:t>121010</w:t>
            </w:r>
          </w:p>
        </w:tc>
        <w:tc>
          <w:tcPr>
            <w:tcW w:w="2765" w:type="dxa"/>
            <w:tcBorders>
              <w:top w:val="nil"/>
              <w:left w:val="nil"/>
              <w:bottom w:val="single" w:sz="8" w:space="0" w:color="E46D0A"/>
              <w:right w:val="nil"/>
            </w:tcBorders>
            <w:noWrap/>
            <w:vAlign w:val="center"/>
          </w:tcPr>
          <w:p w:rsidR="00803212" w:rsidRDefault="00803212">
            <w:pPr>
              <w:jc w:val="center"/>
              <w:rPr>
                <w:rFonts w:ascii="宋体" w:cs="宋体"/>
                <w:color w:val="000000"/>
                <w:sz w:val="16"/>
                <w:szCs w:val="16"/>
              </w:rPr>
            </w:pPr>
            <w:r w:rsidRPr="00C41721">
              <w:rPr>
                <w:rFonts w:hint="eastAsia"/>
                <w:color w:val="000000"/>
                <w:sz w:val="16"/>
                <w:szCs w:val="16"/>
              </w:rPr>
              <w:t>国投瑞银瑞源保本混合</w:t>
            </w:r>
          </w:p>
        </w:tc>
        <w:tc>
          <w:tcPr>
            <w:tcW w:w="1289" w:type="dxa"/>
            <w:tcBorders>
              <w:top w:val="nil"/>
              <w:left w:val="nil"/>
              <w:bottom w:val="single" w:sz="8" w:space="0" w:color="E46D0A"/>
              <w:right w:val="nil"/>
            </w:tcBorders>
            <w:noWrap/>
            <w:vAlign w:val="center"/>
          </w:tcPr>
          <w:p w:rsidR="00803212" w:rsidRDefault="00803212">
            <w:pPr>
              <w:jc w:val="center"/>
              <w:rPr>
                <w:rFonts w:cs="宋体"/>
                <w:color w:val="000000"/>
                <w:sz w:val="16"/>
                <w:szCs w:val="16"/>
              </w:rPr>
            </w:pPr>
            <w:r w:rsidRPr="00C41721">
              <w:rPr>
                <w:color w:val="000000"/>
                <w:sz w:val="16"/>
                <w:szCs w:val="16"/>
              </w:rPr>
              <w:t>6.09</w:t>
            </w:r>
          </w:p>
        </w:tc>
        <w:tc>
          <w:tcPr>
            <w:tcW w:w="671" w:type="dxa"/>
            <w:tcBorders>
              <w:top w:val="nil"/>
              <w:left w:val="nil"/>
              <w:bottom w:val="single" w:sz="8" w:space="0" w:color="E46D0A"/>
              <w:right w:val="nil"/>
            </w:tcBorders>
            <w:noWrap/>
            <w:vAlign w:val="center"/>
          </w:tcPr>
          <w:p w:rsidR="00803212" w:rsidRDefault="00803212">
            <w:pPr>
              <w:jc w:val="center"/>
              <w:rPr>
                <w:rFonts w:cs="宋体"/>
                <w:color w:val="000000"/>
                <w:sz w:val="16"/>
                <w:szCs w:val="16"/>
              </w:rPr>
            </w:pPr>
            <w:r w:rsidRPr="00C41721">
              <w:rPr>
                <w:color w:val="000000"/>
                <w:sz w:val="16"/>
                <w:szCs w:val="16"/>
              </w:rPr>
              <w:t>5</w:t>
            </w:r>
          </w:p>
        </w:tc>
      </w:tr>
      <w:tr w:rsidR="00803212" w:rsidRPr="00C41721" w:rsidTr="003072DB">
        <w:trPr>
          <w:trHeight w:val="276"/>
        </w:trPr>
        <w:tc>
          <w:tcPr>
            <w:tcW w:w="4054" w:type="dxa"/>
            <w:gridSpan w:val="2"/>
            <w:tcBorders>
              <w:top w:val="single" w:sz="8" w:space="0" w:color="E46D0A"/>
              <w:left w:val="nil"/>
              <w:bottom w:val="single" w:sz="8" w:space="0" w:color="E46D0A"/>
              <w:right w:val="nil"/>
            </w:tcBorders>
            <w:noWrap/>
            <w:vAlign w:val="center"/>
          </w:tcPr>
          <w:p w:rsidR="00803212" w:rsidRPr="003072DB" w:rsidRDefault="00803212" w:rsidP="003072DB">
            <w:pPr>
              <w:widowControl/>
              <w:jc w:val="left"/>
              <w:rPr>
                <w:rFonts w:ascii="宋体" w:cs="宋体"/>
                <w:color w:val="000000"/>
                <w:kern w:val="0"/>
                <w:sz w:val="16"/>
                <w:szCs w:val="16"/>
              </w:rPr>
            </w:pPr>
            <w:r w:rsidRPr="003072DB">
              <w:rPr>
                <w:rFonts w:ascii="宋体" w:hAnsi="宋体" w:cs="宋体" w:hint="eastAsia"/>
                <w:color w:val="000000"/>
                <w:kern w:val="0"/>
                <w:sz w:val="16"/>
                <w:szCs w:val="16"/>
              </w:rPr>
              <w:t>来源：凯石财富工场</w:t>
            </w:r>
          </w:p>
        </w:tc>
        <w:tc>
          <w:tcPr>
            <w:tcW w:w="1289" w:type="dxa"/>
            <w:tcBorders>
              <w:top w:val="nil"/>
              <w:left w:val="nil"/>
              <w:bottom w:val="single" w:sz="8" w:space="0" w:color="E46D0A"/>
              <w:right w:val="nil"/>
            </w:tcBorders>
            <w:noWrap/>
            <w:vAlign w:val="bottom"/>
          </w:tcPr>
          <w:p w:rsidR="00803212" w:rsidRPr="003072DB" w:rsidRDefault="00803212" w:rsidP="003072DB">
            <w:pPr>
              <w:widowControl/>
              <w:jc w:val="left"/>
              <w:rPr>
                <w:rFonts w:ascii="宋体" w:cs="宋体"/>
                <w:color w:val="000000"/>
                <w:kern w:val="0"/>
                <w:sz w:val="16"/>
                <w:szCs w:val="16"/>
              </w:rPr>
            </w:pPr>
            <w:r w:rsidRPr="003072DB">
              <w:rPr>
                <w:rFonts w:ascii="宋体" w:hAnsi="宋体" w:cs="宋体" w:hint="eastAsia"/>
                <w:color w:val="000000"/>
                <w:kern w:val="0"/>
                <w:sz w:val="16"/>
                <w:szCs w:val="16"/>
              </w:rPr>
              <w:t xml:space="preserve">　</w:t>
            </w:r>
          </w:p>
        </w:tc>
        <w:tc>
          <w:tcPr>
            <w:tcW w:w="671" w:type="dxa"/>
            <w:tcBorders>
              <w:top w:val="nil"/>
              <w:left w:val="nil"/>
              <w:bottom w:val="single" w:sz="8" w:space="0" w:color="E46D0A"/>
              <w:right w:val="nil"/>
            </w:tcBorders>
            <w:noWrap/>
            <w:vAlign w:val="bottom"/>
          </w:tcPr>
          <w:p w:rsidR="00803212" w:rsidRPr="003072DB" w:rsidRDefault="00803212" w:rsidP="003072DB">
            <w:pPr>
              <w:widowControl/>
              <w:jc w:val="left"/>
              <w:rPr>
                <w:rFonts w:ascii="宋体" w:cs="宋体"/>
                <w:color w:val="000000"/>
                <w:kern w:val="0"/>
                <w:sz w:val="16"/>
                <w:szCs w:val="16"/>
              </w:rPr>
            </w:pPr>
            <w:r w:rsidRPr="003072DB">
              <w:rPr>
                <w:rFonts w:ascii="宋体" w:hAnsi="宋体" w:cs="宋体" w:hint="eastAsia"/>
                <w:color w:val="000000"/>
                <w:kern w:val="0"/>
                <w:sz w:val="16"/>
                <w:szCs w:val="16"/>
              </w:rPr>
              <w:t xml:space="preserve">　</w:t>
            </w:r>
          </w:p>
        </w:tc>
      </w:tr>
    </w:tbl>
    <w:p w:rsidR="00803212" w:rsidRDefault="00803212" w:rsidP="003072DB">
      <w:pPr>
        <w:pStyle w:val="BodyText"/>
        <w:spacing w:after="163"/>
        <w:ind w:left="3799"/>
        <w:rPr>
          <w:rFonts w:eastAsia="楷体_GB2312"/>
          <w:color w:val="auto"/>
        </w:rPr>
      </w:pPr>
    </w:p>
    <w:p w:rsidR="00803212" w:rsidRPr="00E8002A" w:rsidRDefault="00803212" w:rsidP="00DD7991">
      <w:pPr>
        <w:widowControl/>
        <w:spacing w:after="120" w:line="240" w:lineRule="exact"/>
        <w:ind w:left="3430"/>
        <w:rPr>
          <w:rFonts w:ascii="Arial" w:eastAsia="楷体_GB2312" w:hAnsi="Arial"/>
          <w:b/>
          <w:bCs/>
          <w:color w:val="0070C0"/>
          <w:kern w:val="0"/>
          <w:szCs w:val="21"/>
          <w:highlight w:val="yellow"/>
          <w:lang w:val="en-GB"/>
        </w:rPr>
      </w:pPr>
      <w:r w:rsidRPr="00EC0E7D">
        <w:rPr>
          <w:rFonts w:ascii="Arial" w:eastAsia="楷体_GB2312" w:hAnsi="Arial"/>
          <w:b/>
          <w:bCs/>
          <w:color w:val="0070C0"/>
          <w:kern w:val="0"/>
          <w:szCs w:val="21"/>
          <w:lang w:val="en-GB"/>
        </w:rPr>
        <w:t xml:space="preserve"> </w:t>
      </w:r>
      <w:r w:rsidRPr="009671E1">
        <w:rPr>
          <w:rFonts w:ascii="Arial" w:eastAsia="楷体_GB2312" w:hAnsi="Arial"/>
          <w:b/>
          <w:bCs/>
          <w:color w:val="0070C0"/>
          <w:kern w:val="0"/>
          <w:szCs w:val="21"/>
          <w:lang w:val="en-GB"/>
        </w:rPr>
        <w:t>QDII</w:t>
      </w:r>
      <w:r w:rsidRPr="009671E1">
        <w:rPr>
          <w:rFonts w:ascii="Arial" w:eastAsia="楷体_GB2312" w:hAnsi="Arial" w:hint="eastAsia"/>
          <w:b/>
          <w:bCs/>
          <w:color w:val="0070C0"/>
          <w:kern w:val="0"/>
          <w:szCs w:val="21"/>
          <w:lang w:val="en-GB"/>
        </w:rPr>
        <w:t>基金：跌多涨少，季度平均下跌</w:t>
      </w:r>
      <w:r w:rsidRPr="009671E1">
        <w:rPr>
          <w:rFonts w:ascii="Arial" w:eastAsia="楷体_GB2312" w:hAnsi="Arial"/>
          <w:b/>
          <w:bCs/>
          <w:color w:val="0070C0"/>
          <w:kern w:val="0"/>
          <w:szCs w:val="21"/>
          <w:lang w:val="en-GB"/>
        </w:rPr>
        <w:t>2.48%</w:t>
      </w:r>
    </w:p>
    <w:p w:rsidR="00803212" w:rsidRPr="00DD38E9" w:rsidRDefault="00803212" w:rsidP="00D514AF">
      <w:pPr>
        <w:pStyle w:val="BodyText"/>
        <w:numPr>
          <w:ilvl w:val="4"/>
          <w:numId w:val="1"/>
        </w:numPr>
        <w:spacing w:after="163"/>
        <w:rPr>
          <w:rFonts w:eastAsia="楷体_GB2312"/>
          <w:color w:val="auto"/>
        </w:rPr>
      </w:pPr>
      <w:r w:rsidRPr="00DD38E9">
        <w:rPr>
          <w:rFonts w:eastAsia="楷体_GB2312" w:hint="eastAsia"/>
          <w:color w:val="auto"/>
        </w:rPr>
        <w:t>三季度美国市场小幅上涨，三大股指道指、纳指与标普</w:t>
      </w:r>
      <w:r w:rsidRPr="00DD38E9">
        <w:rPr>
          <w:rFonts w:eastAsia="楷体_GB2312"/>
          <w:color w:val="auto"/>
        </w:rPr>
        <w:t>500</w:t>
      </w:r>
      <w:r w:rsidRPr="00DD38E9">
        <w:rPr>
          <w:rFonts w:eastAsia="楷体_GB2312" w:hint="eastAsia"/>
          <w:color w:val="auto"/>
        </w:rPr>
        <w:t>分别收涨</w:t>
      </w:r>
      <w:r w:rsidRPr="00DD38E9">
        <w:rPr>
          <w:rFonts w:eastAsia="楷体_GB2312"/>
          <w:color w:val="auto"/>
        </w:rPr>
        <w:t>1.29%</w:t>
      </w:r>
      <w:r w:rsidRPr="00DD38E9">
        <w:rPr>
          <w:rFonts w:eastAsia="楷体_GB2312" w:hint="eastAsia"/>
          <w:color w:val="auto"/>
        </w:rPr>
        <w:t>、</w:t>
      </w:r>
      <w:r w:rsidRPr="00DD38E9">
        <w:rPr>
          <w:rFonts w:eastAsia="楷体_GB2312"/>
          <w:color w:val="auto"/>
        </w:rPr>
        <w:t>1.93%</w:t>
      </w:r>
      <w:r w:rsidRPr="00DD38E9">
        <w:rPr>
          <w:rFonts w:eastAsia="楷体_GB2312" w:hint="eastAsia"/>
          <w:color w:val="auto"/>
        </w:rPr>
        <w:t>和</w:t>
      </w:r>
      <w:r w:rsidRPr="00DD38E9">
        <w:rPr>
          <w:rFonts w:eastAsia="楷体_GB2312"/>
          <w:color w:val="auto"/>
        </w:rPr>
        <w:t>0.62%</w:t>
      </w:r>
      <w:r w:rsidRPr="00DD38E9">
        <w:rPr>
          <w:rFonts w:eastAsia="楷体_GB2312" w:hint="eastAsia"/>
          <w:color w:val="auto"/>
        </w:rPr>
        <w:t>，欧洲市场受经济疲软、地缘政治风波等因素影响普遍走低，其中德国</w:t>
      </w:r>
      <w:r w:rsidRPr="00DD38E9">
        <w:rPr>
          <w:rFonts w:eastAsia="楷体_GB2312"/>
          <w:color w:val="auto"/>
        </w:rPr>
        <w:t>DAX</w:t>
      </w:r>
      <w:r w:rsidRPr="00DD38E9">
        <w:rPr>
          <w:rFonts w:eastAsia="楷体_GB2312" w:hint="eastAsia"/>
          <w:color w:val="auto"/>
        </w:rPr>
        <w:t>、法国</w:t>
      </w:r>
      <w:r w:rsidRPr="00DD38E9">
        <w:rPr>
          <w:rFonts w:eastAsia="楷体_GB2312"/>
          <w:color w:val="auto"/>
        </w:rPr>
        <w:t>CAC40</w:t>
      </w:r>
      <w:r w:rsidRPr="00DD38E9">
        <w:rPr>
          <w:rFonts w:eastAsia="楷体_GB2312" w:hint="eastAsia"/>
          <w:color w:val="auto"/>
        </w:rPr>
        <w:t>与英国伦敦金融时报指数分别下跌</w:t>
      </w:r>
      <w:r w:rsidRPr="00DD38E9">
        <w:rPr>
          <w:rFonts w:eastAsia="楷体_GB2312"/>
          <w:color w:val="auto"/>
        </w:rPr>
        <w:t>3.65%</w:t>
      </w:r>
      <w:r w:rsidRPr="00DD38E9">
        <w:rPr>
          <w:rFonts w:eastAsia="楷体_GB2312" w:hint="eastAsia"/>
          <w:color w:val="auto"/>
        </w:rPr>
        <w:t>、</w:t>
      </w:r>
      <w:r w:rsidRPr="00DD38E9">
        <w:rPr>
          <w:rFonts w:eastAsia="楷体_GB2312"/>
          <w:color w:val="auto"/>
        </w:rPr>
        <w:t>0.15%</w:t>
      </w:r>
      <w:r w:rsidRPr="00DD38E9">
        <w:rPr>
          <w:rFonts w:eastAsia="楷体_GB2312" w:hint="eastAsia"/>
          <w:color w:val="auto"/>
        </w:rPr>
        <w:t>与</w:t>
      </w:r>
      <w:r w:rsidRPr="00DD38E9">
        <w:rPr>
          <w:rFonts w:eastAsia="楷体_GB2312"/>
          <w:color w:val="auto"/>
        </w:rPr>
        <w:t>1.80%</w:t>
      </w:r>
      <w:r w:rsidRPr="00DD38E9">
        <w:rPr>
          <w:rFonts w:eastAsia="楷体_GB2312" w:hint="eastAsia"/>
          <w:color w:val="auto"/>
        </w:rPr>
        <w:t>。与此同时，亚太区日本股市日经</w:t>
      </w:r>
      <w:r w:rsidRPr="00DD38E9">
        <w:rPr>
          <w:rFonts w:eastAsia="楷体_GB2312"/>
          <w:color w:val="auto"/>
        </w:rPr>
        <w:t>225</w:t>
      </w:r>
      <w:r w:rsidRPr="00DD38E9">
        <w:rPr>
          <w:rFonts w:eastAsia="楷体_GB2312" w:hint="eastAsia"/>
          <w:color w:val="auto"/>
        </w:rPr>
        <w:t>大涨</w:t>
      </w:r>
      <w:r w:rsidRPr="00DD38E9">
        <w:rPr>
          <w:rFonts w:eastAsia="楷体_GB2312"/>
          <w:color w:val="auto"/>
        </w:rPr>
        <w:t>6.67%</w:t>
      </w:r>
      <w:r w:rsidRPr="00DD38E9">
        <w:rPr>
          <w:rFonts w:eastAsia="楷体_GB2312" w:hint="eastAsia"/>
          <w:color w:val="auto"/>
        </w:rPr>
        <w:t>，韩国</w:t>
      </w:r>
      <w:r w:rsidRPr="00DD38E9">
        <w:rPr>
          <w:rFonts w:eastAsia="楷体_GB2312"/>
          <w:color w:val="auto"/>
        </w:rPr>
        <w:t>KOSPI</w:t>
      </w:r>
      <w:r w:rsidRPr="00DD38E9">
        <w:rPr>
          <w:rFonts w:eastAsia="楷体_GB2312" w:hint="eastAsia"/>
          <w:color w:val="auto"/>
        </w:rPr>
        <w:t>指数上涨</w:t>
      </w:r>
      <w:r w:rsidRPr="00DD38E9">
        <w:rPr>
          <w:rFonts w:eastAsia="楷体_GB2312"/>
          <w:color w:val="auto"/>
        </w:rPr>
        <w:t>0.89%</w:t>
      </w:r>
      <w:r w:rsidRPr="00DD38E9">
        <w:rPr>
          <w:rFonts w:eastAsia="楷体_GB2312" w:hint="eastAsia"/>
          <w:color w:val="auto"/>
        </w:rPr>
        <w:t>，恒生指数、澳洲普通股指数均有小幅下跌。</w:t>
      </w:r>
    </w:p>
    <w:p w:rsidR="00803212" w:rsidRPr="00F94673" w:rsidRDefault="00803212" w:rsidP="00D514AF">
      <w:pPr>
        <w:pStyle w:val="BodyText"/>
        <w:numPr>
          <w:ilvl w:val="4"/>
          <w:numId w:val="1"/>
        </w:numPr>
        <w:spacing w:after="163"/>
        <w:rPr>
          <w:rFonts w:eastAsia="楷体_GB2312"/>
          <w:color w:val="auto"/>
        </w:rPr>
      </w:pPr>
      <w:r w:rsidRPr="00F94673">
        <w:rPr>
          <w:rFonts w:eastAsia="楷体_GB2312" w:hint="eastAsia"/>
          <w:color w:val="auto"/>
        </w:rPr>
        <w:t>三季度</w:t>
      </w:r>
      <w:r w:rsidRPr="00F94673">
        <w:rPr>
          <w:rFonts w:eastAsia="楷体_GB2312"/>
          <w:color w:val="auto"/>
        </w:rPr>
        <w:t>85</w:t>
      </w:r>
      <w:r w:rsidRPr="00F94673">
        <w:rPr>
          <w:rFonts w:eastAsia="楷体_GB2312" w:hint="eastAsia"/>
          <w:color w:val="auto"/>
        </w:rPr>
        <w:t>只</w:t>
      </w:r>
      <w:r w:rsidRPr="00F94673">
        <w:rPr>
          <w:rFonts w:eastAsia="楷体_GB2312"/>
          <w:color w:val="auto"/>
        </w:rPr>
        <w:t>QDII</w:t>
      </w:r>
      <w:r w:rsidRPr="00F94673">
        <w:rPr>
          <w:rFonts w:eastAsia="楷体_GB2312" w:hint="eastAsia"/>
          <w:color w:val="auto"/>
        </w:rPr>
        <w:t>基金</w:t>
      </w:r>
      <w:r w:rsidRPr="00F94673">
        <w:rPr>
          <w:rFonts w:eastAsia="楷体_GB2312"/>
          <w:color w:val="auto"/>
        </w:rPr>
        <w:t>31</w:t>
      </w:r>
      <w:r w:rsidRPr="00F94673">
        <w:rPr>
          <w:rFonts w:eastAsia="楷体_GB2312" w:hint="eastAsia"/>
          <w:color w:val="auto"/>
        </w:rPr>
        <w:t>涨</w:t>
      </w:r>
      <w:r w:rsidRPr="00F94673">
        <w:rPr>
          <w:rFonts w:eastAsia="楷体_GB2312"/>
          <w:color w:val="auto"/>
        </w:rPr>
        <w:t>1</w:t>
      </w:r>
      <w:r w:rsidRPr="00F94673">
        <w:rPr>
          <w:rFonts w:eastAsia="楷体_GB2312" w:hint="eastAsia"/>
          <w:color w:val="auto"/>
        </w:rPr>
        <w:t>平</w:t>
      </w:r>
      <w:r w:rsidRPr="00F94673">
        <w:rPr>
          <w:rFonts w:eastAsia="楷体_GB2312"/>
          <w:color w:val="auto"/>
        </w:rPr>
        <w:t>53</w:t>
      </w:r>
      <w:r w:rsidRPr="00F94673">
        <w:rPr>
          <w:rFonts w:eastAsia="楷体_GB2312" w:hint="eastAsia"/>
          <w:color w:val="auto"/>
        </w:rPr>
        <w:t>跌，净值简单平均下跌</w:t>
      </w:r>
      <w:r w:rsidRPr="00F94673">
        <w:rPr>
          <w:rFonts w:eastAsia="楷体_GB2312"/>
          <w:color w:val="auto"/>
        </w:rPr>
        <w:t>2.48%</w:t>
      </w:r>
      <w:r w:rsidRPr="00F94673">
        <w:rPr>
          <w:rFonts w:eastAsia="楷体_GB2312" w:hint="eastAsia"/>
          <w:color w:val="auto"/>
        </w:rPr>
        <w:t>。其中</w:t>
      </w:r>
      <w:r>
        <w:rPr>
          <w:rFonts w:eastAsia="楷体_GB2312" w:hint="eastAsia"/>
          <w:color w:val="auto"/>
        </w:rPr>
        <w:t>主投香港市场的主动型产品</w:t>
      </w:r>
      <w:r w:rsidRPr="00F94673">
        <w:rPr>
          <w:rFonts w:eastAsia="楷体_GB2312" w:hint="eastAsia"/>
          <w:color w:val="auto"/>
        </w:rPr>
        <w:t>富国中国中小盘、华宝兴业海外中国、华安香港精选以及挂钩美国纳指的基金表现佳。资源能源、大宗商品主题产品则业绩欠佳。</w:t>
      </w:r>
    </w:p>
    <w:tbl>
      <w:tblPr>
        <w:tblW w:w="7093" w:type="dxa"/>
        <w:tblInd w:w="3577" w:type="dxa"/>
        <w:tblLook w:val="00A0"/>
      </w:tblPr>
      <w:tblGrid>
        <w:gridCol w:w="971"/>
        <w:gridCol w:w="3094"/>
        <w:gridCol w:w="1514"/>
        <w:gridCol w:w="1514"/>
      </w:tblGrid>
      <w:tr w:rsidR="00803212" w:rsidRPr="00C41721" w:rsidTr="00E8002A">
        <w:trPr>
          <w:trHeight w:val="285"/>
        </w:trPr>
        <w:tc>
          <w:tcPr>
            <w:tcW w:w="4065" w:type="dxa"/>
            <w:gridSpan w:val="2"/>
            <w:tcBorders>
              <w:top w:val="single" w:sz="8" w:space="0" w:color="E46D0A"/>
              <w:left w:val="nil"/>
              <w:bottom w:val="single" w:sz="8" w:space="0" w:color="E46D0A"/>
              <w:right w:val="nil"/>
            </w:tcBorders>
            <w:noWrap/>
            <w:vAlign w:val="center"/>
          </w:tcPr>
          <w:p w:rsidR="00803212" w:rsidRPr="00E8002A" w:rsidRDefault="00803212" w:rsidP="00E8002A">
            <w:pPr>
              <w:widowControl/>
              <w:jc w:val="left"/>
              <w:rPr>
                <w:rFonts w:ascii="宋体" w:cs="宋体"/>
                <w:b/>
                <w:bCs/>
                <w:i/>
                <w:iCs/>
                <w:color w:val="E36C0A"/>
                <w:kern w:val="0"/>
                <w:sz w:val="20"/>
                <w:szCs w:val="20"/>
              </w:rPr>
            </w:pPr>
            <w:r w:rsidRPr="00E8002A">
              <w:rPr>
                <w:rFonts w:ascii="宋体" w:hAnsi="宋体" w:cs="宋体" w:hint="eastAsia"/>
                <w:b/>
                <w:bCs/>
                <w:i/>
                <w:iCs/>
                <w:color w:val="E36C0A"/>
                <w:kern w:val="0"/>
                <w:sz w:val="20"/>
                <w:szCs w:val="20"/>
              </w:rPr>
              <w:t>图表</w:t>
            </w:r>
            <w:r w:rsidRPr="00E8002A">
              <w:rPr>
                <w:rFonts w:ascii="宋体" w:hAnsi="宋体" w:cs="宋体"/>
                <w:b/>
                <w:bCs/>
                <w:i/>
                <w:iCs/>
                <w:color w:val="E36C0A"/>
                <w:kern w:val="0"/>
                <w:sz w:val="20"/>
                <w:szCs w:val="20"/>
              </w:rPr>
              <w:t>6:2014</w:t>
            </w:r>
            <w:r w:rsidRPr="00E8002A">
              <w:rPr>
                <w:rFonts w:ascii="宋体" w:hAnsi="宋体" w:cs="宋体" w:hint="eastAsia"/>
                <w:b/>
                <w:bCs/>
                <w:i/>
                <w:iCs/>
                <w:color w:val="E36C0A"/>
                <w:kern w:val="0"/>
                <w:sz w:val="20"/>
                <w:szCs w:val="20"/>
              </w:rPr>
              <w:t>年三季度</w:t>
            </w:r>
            <w:r w:rsidRPr="00E8002A">
              <w:rPr>
                <w:rFonts w:ascii="宋体" w:hAnsi="宋体" w:cs="宋体"/>
                <w:b/>
                <w:bCs/>
                <w:i/>
                <w:iCs/>
                <w:color w:val="E36C0A"/>
                <w:kern w:val="0"/>
                <w:sz w:val="20"/>
                <w:szCs w:val="20"/>
              </w:rPr>
              <w:t>QDII</w:t>
            </w:r>
            <w:r w:rsidRPr="00E8002A">
              <w:rPr>
                <w:rFonts w:ascii="宋体" w:hAnsi="宋体" w:cs="宋体" w:hint="eastAsia"/>
                <w:b/>
                <w:bCs/>
                <w:i/>
                <w:iCs/>
                <w:color w:val="E36C0A"/>
                <w:kern w:val="0"/>
                <w:sz w:val="20"/>
                <w:szCs w:val="20"/>
              </w:rPr>
              <w:t>产品前五</w:t>
            </w:r>
          </w:p>
        </w:tc>
        <w:tc>
          <w:tcPr>
            <w:tcW w:w="1514" w:type="dxa"/>
            <w:tcBorders>
              <w:top w:val="single" w:sz="8" w:space="0" w:color="E46D0A"/>
              <w:left w:val="nil"/>
              <w:bottom w:val="single" w:sz="8" w:space="0" w:color="E46D0A"/>
              <w:right w:val="nil"/>
            </w:tcBorders>
            <w:noWrap/>
            <w:vAlign w:val="bottom"/>
          </w:tcPr>
          <w:p w:rsidR="00803212" w:rsidRPr="00E8002A" w:rsidRDefault="00803212" w:rsidP="00E8002A">
            <w:pPr>
              <w:widowControl/>
              <w:jc w:val="left"/>
              <w:rPr>
                <w:rFonts w:ascii="宋体" w:cs="宋体"/>
                <w:color w:val="000000"/>
                <w:kern w:val="0"/>
                <w:sz w:val="22"/>
              </w:rPr>
            </w:pPr>
            <w:r w:rsidRPr="00E8002A">
              <w:rPr>
                <w:rFonts w:ascii="宋体" w:hAnsi="宋体" w:cs="宋体" w:hint="eastAsia"/>
                <w:color w:val="000000"/>
                <w:kern w:val="0"/>
                <w:sz w:val="22"/>
              </w:rPr>
              <w:t xml:space="preserve">　</w:t>
            </w:r>
          </w:p>
        </w:tc>
        <w:tc>
          <w:tcPr>
            <w:tcW w:w="1514" w:type="dxa"/>
            <w:tcBorders>
              <w:top w:val="single" w:sz="8" w:space="0" w:color="E46D0A"/>
              <w:left w:val="nil"/>
              <w:bottom w:val="single" w:sz="8" w:space="0" w:color="E46D0A"/>
              <w:right w:val="nil"/>
            </w:tcBorders>
            <w:noWrap/>
            <w:vAlign w:val="bottom"/>
          </w:tcPr>
          <w:p w:rsidR="00803212" w:rsidRPr="00E8002A" w:rsidRDefault="00803212" w:rsidP="00E8002A">
            <w:pPr>
              <w:widowControl/>
              <w:jc w:val="left"/>
              <w:rPr>
                <w:rFonts w:ascii="宋体" w:cs="宋体"/>
                <w:color w:val="000000"/>
                <w:kern w:val="0"/>
                <w:sz w:val="22"/>
              </w:rPr>
            </w:pPr>
            <w:r w:rsidRPr="00E8002A">
              <w:rPr>
                <w:rFonts w:ascii="宋体" w:hAnsi="宋体" w:cs="宋体" w:hint="eastAsia"/>
                <w:color w:val="000000"/>
                <w:kern w:val="0"/>
                <w:sz w:val="22"/>
              </w:rPr>
              <w:t xml:space="preserve">　</w:t>
            </w:r>
          </w:p>
        </w:tc>
      </w:tr>
      <w:tr w:rsidR="00803212" w:rsidRPr="00C41721" w:rsidTr="00E8002A">
        <w:trPr>
          <w:trHeight w:val="435"/>
        </w:trPr>
        <w:tc>
          <w:tcPr>
            <w:tcW w:w="971" w:type="dxa"/>
            <w:tcBorders>
              <w:top w:val="nil"/>
              <w:left w:val="nil"/>
              <w:bottom w:val="single" w:sz="8" w:space="0" w:color="E46D0A"/>
              <w:right w:val="nil"/>
            </w:tcBorders>
            <w:noWrap/>
            <w:vAlign w:val="center"/>
          </w:tcPr>
          <w:p w:rsidR="00803212" w:rsidRPr="00E8002A" w:rsidRDefault="00803212" w:rsidP="00E8002A">
            <w:pPr>
              <w:widowControl/>
              <w:jc w:val="center"/>
              <w:rPr>
                <w:rFonts w:ascii="宋体" w:cs="宋体"/>
                <w:color w:val="000000"/>
                <w:kern w:val="0"/>
                <w:sz w:val="16"/>
                <w:szCs w:val="16"/>
              </w:rPr>
            </w:pPr>
            <w:r w:rsidRPr="00E8002A">
              <w:rPr>
                <w:rFonts w:ascii="宋体" w:hAnsi="宋体" w:cs="宋体" w:hint="eastAsia"/>
                <w:color w:val="000000"/>
                <w:kern w:val="0"/>
                <w:sz w:val="16"/>
                <w:szCs w:val="16"/>
              </w:rPr>
              <w:t>市场代码</w:t>
            </w:r>
          </w:p>
        </w:tc>
        <w:tc>
          <w:tcPr>
            <w:tcW w:w="3094" w:type="dxa"/>
            <w:tcBorders>
              <w:top w:val="nil"/>
              <w:left w:val="nil"/>
              <w:bottom w:val="single" w:sz="8" w:space="0" w:color="E46D0A"/>
              <w:right w:val="nil"/>
            </w:tcBorders>
            <w:noWrap/>
            <w:vAlign w:val="center"/>
          </w:tcPr>
          <w:p w:rsidR="00803212" w:rsidRPr="00E8002A" w:rsidRDefault="00803212" w:rsidP="00E8002A">
            <w:pPr>
              <w:widowControl/>
              <w:jc w:val="center"/>
              <w:rPr>
                <w:rFonts w:ascii="宋体" w:cs="宋体"/>
                <w:color w:val="000000"/>
                <w:kern w:val="0"/>
                <w:sz w:val="16"/>
                <w:szCs w:val="16"/>
              </w:rPr>
            </w:pPr>
            <w:r w:rsidRPr="00E8002A">
              <w:rPr>
                <w:rFonts w:ascii="宋体" w:hAnsi="宋体" w:cs="宋体" w:hint="eastAsia"/>
                <w:color w:val="000000"/>
                <w:kern w:val="0"/>
                <w:sz w:val="16"/>
                <w:szCs w:val="16"/>
              </w:rPr>
              <w:t>基金名称</w:t>
            </w:r>
          </w:p>
        </w:tc>
        <w:tc>
          <w:tcPr>
            <w:tcW w:w="1514" w:type="dxa"/>
            <w:tcBorders>
              <w:top w:val="nil"/>
              <w:left w:val="nil"/>
              <w:bottom w:val="single" w:sz="8" w:space="0" w:color="E46D0A"/>
              <w:right w:val="nil"/>
            </w:tcBorders>
            <w:vAlign w:val="center"/>
          </w:tcPr>
          <w:p w:rsidR="00803212" w:rsidRPr="00E8002A" w:rsidRDefault="00803212" w:rsidP="00E8002A">
            <w:pPr>
              <w:widowControl/>
              <w:jc w:val="center"/>
              <w:rPr>
                <w:rFonts w:ascii="宋体" w:cs="宋体"/>
                <w:color w:val="000000"/>
                <w:kern w:val="0"/>
                <w:sz w:val="16"/>
                <w:szCs w:val="16"/>
              </w:rPr>
            </w:pPr>
            <w:r w:rsidRPr="00E8002A">
              <w:rPr>
                <w:rFonts w:ascii="宋体" w:hAnsi="宋体" w:cs="宋体" w:hint="eastAsia"/>
                <w:color w:val="000000"/>
                <w:kern w:val="0"/>
                <w:sz w:val="16"/>
                <w:szCs w:val="16"/>
              </w:rPr>
              <w:t>三季度业绩（</w:t>
            </w:r>
            <w:r w:rsidRPr="00E8002A">
              <w:rPr>
                <w:rFonts w:ascii="宋体" w:hAnsi="宋体" w:cs="宋体"/>
                <w:color w:val="000000"/>
                <w:kern w:val="0"/>
                <w:sz w:val="16"/>
                <w:szCs w:val="16"/>
              </w:rPr>
              <w:t>%</w:t>
            </w:r>
            <w:r w:rsidRPr="00E8002A">
              <w:rPr>
                <w:rFonts w:ascii="宋体" w:hAnsi="宋体" w:cs="宋体" w:hint="eastAsia"/>
                <w:color w:val="000000"/>
                <w:kern w:val="0"/>
                <w:sz w:val="16"/>
                <w:szCs w:val="16"/>
              </w:rPr>
              <w:t>）</w:t>
            </w:r>
          </w:p>
        </w:tc>
        <w:tc>
          <w:tcPr>
            <w:tcW w:w="1514" w:type="dxa"/>
            <w:tcBorders>
              <w:top w:val="nil"/>
              <w:left w:val="nil"/>
              <w:bottom w:val="single" w:sz="8" w:space="0" w:color="E46D0A"/>
              <w:right w:val="nil"/>
            </w:tcBorders>
            <w:noWrap/>
            <w:vAlign w:val="center"/>
          </w:tcPr>
          <w:p w:rsidR="00803212" w:rsidRPr="00E8002A" w:rsidRDefault="00803212" w:rsidP="00E8002A">
            <w:pPr>
              <w:widowControl/>
              <w:jc w:val="center"/>
              <w:rPr>
                <w:rFonts w:ascii="宋体" w:cs="宋体"/>
                <w:color w:val="000000"/>
                <w:kern w:val="0"/>
                <w:sz w:val="16"/>
                <w:szCs w:val="16"/>
              </w:rPr>
            </w:pPr>
            <w:r w:rsidRPr="00E8002A">
              <w:rPr>
                <w:rFonts w:ascii="宋体" w:hAnsi="宋体" w:cs="宋体" w:hint="eastAsia"/>
                <w:color w:val="000000"/>
                <w:kern w:val="0"/>
                <w:sz w:val="16"/>
                <w:szCs w:val="16"/>
              </w:rPr>
              <w:t>排名</w:t>
            </w:r>
          </w:p>
        </w:tc>
      </w:tr>
      <w:tr w:rsidR="00803212" w:rsidRPr="00C41721" w:rsidTr="00E8002A">
        <w:trPr>
          <w:trHeight w:val="270"/>
        </w:trPr>
        <w:tc>
          <w:tcPr>
            <w:tcW w:w="971" w:type="dxa"/>
            <w:tcBorders>
              <w:top w:val="nil"/>
              <w:left w:val="nil"/>
              <w:bottom w:val="nil"/>
              <w:right w:val="nil"/>
            </w:tcBorders>
            <w:noWrap/>
          </w:tcPr>
          <w:p w:rsidR="00803212" w:rsidRPr="00E8002A" w:rsidRDefault="00803212" w:rsidP="00E8002A">
            <w:pPr>
              <w:widowControl/>
              <w:jc w:val="center"/>
              <w:rPr>
                <w:rFonts w:cs="宋体"/>
                <w:color w:val="000000"/>
                <w:kern w:val="0"/>
                <w:sz w:val="16"/>
                <w:szCs w:val="16"/>
              </w:rPr>
            </w:pPr>
            <w:r w:rsidRPr="00E8002A">
              <w:rPr>
                <w:rFonts w:cs="宋体"/>
                <w:color w:val="000000"/>
                <w:kern w:val="0"/>
                <w:sz w:val="16"/>
                <w:szCs w:val="16"/>
              </w:rPr>
              <w:t>100061</w:t>
            </w:r>
          </w:p>
        </w:tc>
        <w:tc>
          <w:tcPr>
            <w:tcW w:w="3094" w:type="dxa"/>
            <w:tcBorders>
              <w:top w:val="nil"/>
              <w:left w:val="nil"/>
              <w:bottom w:val="nil"/>
              <w:right w:val="nil"/>
            </w:tcBorders>
            <w:noWrap/>
            <w:vAlign w:val="center"/>
          </w:tcPr>
          <w:p w:rsidR="00803212" w:rsidRPr="00E8002A" w:rsidRDefault="00803212" w:rsidP="00E8002A">
            <w:pPr>
              <w:widowControl/>
              <w:jc w:val="center"/>
              <w:rPr>
                <w:rFonts w:ascii="宋体" w:cs="宋体"/>
                <w:color w:val="000000"/>
                <w:kern w:val="0"/>
                <w:sz w:val="16"/>
                <w:szCs w:val="16"/>
              </w:rPr>
            </w:pPr>
            <w:r w:rsidRPr="00E8002A">
              <w:rPr>
                <w:rFonts w:ascii="宋体" w:hAnsi="宋体" w:cs="宋体" w:hint="eastAsia"/>
                <w:color w:val="000000"/>
                <w:kern w:val="0"/>
                <w:sz w:val="16"/>
                <w:szCs w:val="16"/>
              </w:rPr>
              <w:t>富国中国中小盘</w:t>
            </w:r>
          </w:p>
        </w:tc>
        <w:tc>
          <w:tcPr>
            <w:tcW w:w="1514" w:type="dxa"/>
            <w:tcBorders>
              <w:top w:val="nil"/>
              <w:left w:val="nil"/>
              <w:bottom w:val="nil"/>
              <w:right w:val="nil"/>
            </w:tcBorders>
            <w:noWrap/>
            <w:vAlign w:val="center"/>
          </w:tcPr>
          <w:p w:rsidR="00803212" w:rsidRPr="00E8002A" w:rsidRDefault="00803212" w:rsidP="00E8002A">
            <w:pPr>
              <w:widowControl/>
              <w:jc w:val="center"/>
              <w:rPr>
                <w:rFonts w:cs="宋体"/>
                <w:color w:val="000000"/>
                <w:kern w:val="0"/>
                <w:sz w:val="16"/>
                <w:szCs w:val="16"/>
              </w:rPr>
            </w:pPr>
            <w:r w:rsidRPr="00E8002A">
              <w:rPr>
                <w:rFonts w:cs="宋体"/>
                <w:color w:val="000000"/>
                <w:kern w:val="0"/>
                <w:sz w:val="16"/>
                <w:szCs w:val="16"/>
              </w:rPr>
              <w:t>8.78</w:t>
            </w:r>
          </w:p>
        </w:tc>
        <w:tc>
          <w:tcPr>
            <w:tcW w:w="1514" w:type="dxa"/>
            <w:tcBorders>
              <w:top w:val="nil"/>
              <w:left w:val="nil"/>
              <w:bottom w:val="nil"/>
              <w:right w:val="nil"/>
            </w:tcBorders>
            <w:noWrap/>
            <w:vAlign w:val="center"/>
          </w:tcPr>
          <w:p w:rsidR="00803212" w:rsidRPr="00E8002A" w:rsidRDefault="00803212" w:rsidP="00E8002A">
            <w:pPr>
              <w:widowControl/>
              <w:jc w:val="center"/>
              <w:rPr>
                <w:rFonts w:cs="宋体"/>
                <w:color w:val="000000"/>
                <w:kern w:val="0"/>
                <w:sz w:val="16"/>
                <w:szCs w:val="16"/>
              </w:rPr>
            </w:pPr>
            <w:r w:rsidRPr="00E8002A">
              <w:rPr>
                <w:rFonts w:cs="宋体"/>
                <w:color w:val="000000"/>
                <w:kern w:val="0"/>
                <w:sz w:val="16"/>
                <w:szCs w:val="16"/>
              </w:rPr>
              <w:t>1</w:t>
            </w:r>
          </w:p>
        </w:tc>
      </w:tr>
      <w:tr w:rsidR="00803212" w:rsidRPr="00C41721" w:rsidTr="00E8002A">
        <w:trPr>
          <w:trHeight w:val="270"/>
        </w:trPr>
        <w:tc>
          <w:tcPr>
            <w:tcW w:w="971" w:type="dxa"/>
            <w:tcBorders>
              <w:top w:val="nil"/>
              <w:left w:val="nil"/>
              <w:bottom w:val="nil"/>
              <w:right w:val="nil"/>
            </w:tcBorders>
            <w:noWrap/>
          </w:tcPr>
          <w:p w:rsidR="00803212" w:rsidRPr="00E8002A" w:rsidRDefault="00803212" w:rsidP="00E8002A">
            <w:pPr>
              <w:widowControl/>
              <w:jc w:val="center"/>
              <w:rPr>
                <w:rFonts w:cs="宋体"/>
                <w:color w:val="000000"/>
                <w:kern w:val="0"/>
                <w:sz w:val="16"/>
                <w:szCs w:val="16"/>
              </w:rPr>
            </w:pPr>
            <w:r w:rsidRPr="00E8002A">
              <w:rPr>
                <w:rFonts w:cs="宋体"/>
                <w:color w:val="000000"/>
                <w:kern w:val="0"/>
                <w:sz w:val="16"/>
                <w:szCs w:val="16"/>
              </w:rPr>
              <w:t>513100</w:t>
            </w:r>
          </w:p>
        </w:tc>
        <w:tc>
          <w:tcPr>
            <w:tcW w:w="3094" w:type="dxa"/>
            <w:tcBorders>
              <w:top w:val="nil"/>
              <w:left w:val="nil"/>
              <w:bottom w:val="nil"/>
              <w:right w:val="nil"/>
            </w:tcBorders>
            <w:noWrap/>
            <w:vAlign w:val="center"/>
          </w:tcPr>
          <w:p w:rsidR="00803212" w:rsidRPr="00E8002A" w:rsidRDefault="00803212" w:rsidP="00E8002A">
            <w:pPr>
              <w:widowControl/>
              <w:jc w:val="center"/>
              <w:rPr>
                <w:rFonts w:ascii="宋体" w:cs="宋体"/>
                <w:color w:val="000000"/>
                <w:kern w:val="0"/>
                <w:sz w:val="16"/>
                <w:szCs w:val="16"/>
              </w:rPr>
            </w:pPr>
            <w:r w:rsidRPr="00E8002A">
              <w:rPr>
                <w:rFonts w:ascii="宋体" w:hAnsi="宋体" w:cs="宋体" w:hint="eastAsia"/>
                <w:color w:val="000000"/>
                <w:kern w:val="0"/>
                <w:sz w:val="16"/>
                <w:szCs w:val="16"/>
              </w:rPr>
              <w:t>国泰纳斯达克</w:t>
            </w:r>
            <w:r w:rsidRPr="00E8002A">
              <w:rPr>
                <w:rFonts w:ascii="宋体" w:hAnsi="宋体" w:cs="宋体"/>
                <w:color w:val="000000"/>
                <w:kern w:val="0"/>
                <w:sz w:val="16"/>
                <w:szCs w:val="16"/>
              </w:rPr>
              <w:t>100</w:t>
            </w:r>
          </w:p>
        </w:tc>
        <w:tc>
          <w:tcPr>
            <w:tcW w:w="1514" w:type="dxa"/>
            <w:tcBorders>
              <w:top w:val="nil"/>
              <w:left w:val="nil"/>
              <w:bottom w:val="nil"/>
              <w:right w:val="nil"/>
            </w:tcBorders>
            <w:noWrap/>
            <w:vAlign w:val="center"/>
          </w:tcPr>
          <w:p w:rsidR="00803212" w:rsidRPr="00E8002A" w:rsidRDefault="00803212" w:rsidP="00E8002A">
            <w:pPr>
              <w:widowControl/>
              <w:jc w:val="center"/>
              <w:rPr>
                <w:rFonts w:cs="宋体"/>
                <w:color w:val="000000"/>
                <w:kern w:val="0"/>
                <w:sz w:val="16"/>
                <w:szCs w:val="16"/>
              </w:rPr>
            </w:pPr>
            <w:r w:rsidRPr="00E8002A">
              <w:rPr>
                <w:rFonts w:cs="宋体"/>
                <w:color w:val="000000"/>
                <w:kern w:val="0"/>
                <w:sz w:val="16"/>
                <w:szCs w:val="16"/>
              </w:rPr>
              <w:t>5.2</w:t>
            </w:r>
          </w:p>
        </w:tc>
        <w:tc>
          <w:tcPr>
            <w:tcW w:w="1514" w:type="dxa"/>
            <w:tcBorders>
              <w:top w:val="nil"/>
              <w:left w:val="nil"/>
              <w:bottom w:val="nil"/>
              <w:right w:val="nil"/>
            </w:tcBorders>
            <w:noWrap/>
            <w:vAlign w:val="center"/>
          </w:tcPr>
          <w:p w:rsidR="00803212" w:rsidRPr="00E8002A" w:rsidRDefault="00803212" w:rsidP="00E8002A">
            <w:pPr>
              <w:widowControl/>
              <w:jc w:val="center"/>
              <w:rPr>
                <w:rFonts w:cs="宋体"/>
                <w:color w:val="000000"/>
                <w:kern w:val="0"/>
                <w:sz w:val="16"/>
                <w:szCs w:val="16"/>
              </w:rPr>
            </w:pPr>
            <w:r w:rsidRPr="00E8002A">
              <w:rPr>
                <w:rFonts w:cs="宋体"/>
                <w:color w:val="000000"/>
                <w:kern w:val="0"/>
                <w:sz w:val="16"/>
                <w:szCs w:val="16"/>
              </w:rPr>
              <w:t>2</w:t>
            </w:r>
          </w:p>
        </w:tc>
      </w:tr>
      <w:tr w:rsidR="00803212" w:rsidRPr="00C41721" w:rsidTr="00E8002A">
        <w:trPr>
          <w:trHeight w:val="270"/>
        </w:trPr>
        <w:tc>
          <w:tcPr>
            <w:tcW w:w="971" w:type="dxa"/>
            <w:tcBorders>
              <w:top w:val="nil"/>
              <w:left w:val="nil"/>
              <w:bottom w:val="nil"/>
              <w:right w:val="nil"/>
            </w:tcBorders>
            <w:noWrap/>
          </w:tcPr>
          <w:p w:rsidR="00803212" w:rsidRPr="00E8002A" w:rsidRDefault="00803212" w:rsidP="00E8002A">
            <w:pPr>
              <w:widowControl/>
              <w:jc w:val="center"/>
              <w:rPr>
                <w:rFonts w:cs="宋体"/>
                <w:color w:val="000000"/>
                <w:kern w:val="0"/>
                <w:sz w:val="16"/>
                <w:szCs w:val="16"/>
              </w:rPr>
            </w:pPr>
            <w:r w:rsidRPr="00E8002A">
              <w:rPr>
                <w:rFonts w:cs="宋体"/>
                <w:color w:val="000000"/>
                <w:kern w:val="0"/>
                <w:sz w:val="16"/>
                <w:szCs w:val="16"/>
              </w:rPr>
              <w:t>241001</w:t>
            </w:r>
          </w:p>
        </w:tc>
        <w:tc>
          <w:tcPr>
            <w:tcW w:w="3094" w:type="dxa"/>
            <w:tcBorders>
              <w:top w:val="nil"/>
              <w:left w:val="nil"/>
              <w:bottom w:val="nil"/>
              <w:right w:val="nil"/>
            </w:tcBorders>
            <w:noWrap/>
            <w:vAlign w:val="center"/>
          </w:tcPr>
          <w:p w:rsidR="00803212" w:rsidRPr="00E8002A" w:rsidRDefault="00803212" w:rsidP="00E8002A">
            <w:pPr>
              <w:widowControl/>
              <w:jc w:val="center"/>
              <w:rPr>
                <w:rFonts w:ascii="宋体" w:cs="宋体"/>
                <w:color w:val="000000"/>
                <w:kern w:val="0"/>
                <w:sz w:val="16"/>
                <w:szCs w:val="16"/>
              </w:rPr>
            </w:pPr>
            <w:r w:rsidRPr="00E8002A">
              <w:rPr>
                <w:rFonts w:ascii="宋体" w:hAnsi="宋体" w:cs="宋体" w:hint="eastAsia"/>
                <w:color w:val="000000"/>
                <w:kern w:val="0"/>
                <w:sz w:val="16"/>
                <w:szCs w:val="16"/>
              </w:rPr>
              <w:t>华宝兴业海外中国股票（</w:t>
            </w:r>
            <w:r w:rsidRPr="00E8002A">
              <w:rPr>
                <w:rFonts w:ascii="宋体" w:hAnsi="宋体" w:cs="宋体"/>
                <w:color w:val="000000"/>
                <w:kern w:val="0"/>
                <w:sz w:val="16"/>
                <w:szCs w:val="16"/>
              </w:rPr>
              <w:t>QDII</w:t>
            </w:r>
            <w:r w:rsidRPr="00E8002A">
              <w:rPr>
                <w:rFonts w:ascii="宋体" w:hAnsi="宋体" w:cs="宋体" w:hint="eastAsia"/>
                <w:color w:val="000000"/>
                <w:kern w:val="0"/>
                <w:sz w:val="16"/>
                <w:szCs w:val="16"/>
              </w:rPr>
              <w:t>）</w:t>
            </w:r>
          </w:p>
        </w:tc>
        <w:tc>
          <w:tcPr>
            <w:tcW w:w="1514" w:type="dxa"/>
            <w:tcBorders>
              <w:top w:val="nil"/>
              <w:left w:val="nil"/>
              <w:bottom w:val="nil"/>
              <w:right w:val="nil"/>
            </w:tcBorders>
            <w:noWrap/>
            <w:vAlign w:val="center"/>
          </w:tcPr>
          <w:p w:rsidR="00803212" w:rsidRPr="00E8002A" w:rsidRDefault="00803212" w:rsidP="00E8002A">
            <w:pPr>
              <w:widowControl/>
              <w:jc w:val="center"/>
              <w:rPr>
                <w:rFonts w:cs="宋体"/>
                <w:color w:val="000000"/>
                <w:kern w:val="0"/>
                <w:sz w:val="16"/>
                <w:szCs w:val="16"/>
              </w:rPr>
            </w:pPr>
            <w:r w:rsidRPr="00E8002A">
              <w:rPr>
                <w:rFonts w:cs="宋体"/>
                <w:color w:val="000000"/>
                <w:kern w:val="0"/>
                <w:sz w:val="16"/>
                <w:szCs w:val="16"/>
              </w:rPr>
              <w:t>5.1</w:t>
            </w:r>
          </w:p>
        </w:tc>
        <w:tc>
          <w:tcPr>
            <w:tcW w:w="1514" w:type="dxa"/>
            <w:tcBorders>
              <w:top w:val="nil"/>
              <w:left w:val="nil"/>
              <w:bottom w:val="nil"/>
              <w:right w:val="nil"/>
            </w:tcBorders>
            <w:noWrap/>
            <w:vAlign w:val="center"/>
          </w:tcPr>
          <w:p w:rsidR="00803212" w:rsidRPr="00E8002A" w:rsidRDefault="00803212" w:rsidP="00E8002A">
            <w:pPr>
              <w:widowControl/>
              <w:jc w:val="center"/>
              <w:rPr>
                <w:rFonts w:cs="宋体"/>
                <w:color w:val="000000"/>
                <w:kern w:val="0"/>
                <w:sz w:val="16"/>
                <w:szCs w:val="16"/>
              </w:rPr>
            </w:pPr>
            <w:r w:rsidRPr="00E8002A">
              <w:rPr>
                <w:rFonts w:cs="宋体"/>
                <w:color w:val="000000"/>
                <w:kern w:val="0"/>
                <w:sz w:val="16"/>
                <w:szCs w:val="16"/>
              </w:rPr>
              <w:t>3</w:t>
            </w:r>
          </w:p>
        </w:tc>
      </w:tr>
      <w:tr w:rsidR="00803212" w:rsidRPr="00C41721" w:rsidTr="00E8002A">
        <w:trPr>
          <w:trHeight w:val="270"/>
        </w:trPr>
        <w:tc>
          <w:tcPr>
            <w:tcW w:w="971" w:type="dxa"/>
            <w:tcBorders>
              <w:top w:val="nil"/>
              <w:left w:val="nil"/>
              <w:bottom w:val="nil"/>
              <w:right w:val="nil"/>
            </w:tcBorders>
            <w:noWrap/>
          </w:tcPr>
          <w:p w:rsidR="00803212" w:rsidRPr="00E8002A" w:rsidRDefault="00803212" w:rsidP="00E8002A">
            <w:pPr>
              <w:widowControl/>
              <w:jc w:val="center"/>
              <w:rPr>
                <w:rFonts w:cs="宋体"/>
                <w:color w:val="000000"/>
                <w:kern w:val="0"/>
                <w:sz w:val="16"/>
                <w:szCs w:val="16"/>
              </w:rPr>
            </w:pPr>
            <w:r w:rsidRPr="00E8002A">
              <w:rPr>
                <w:rFonts w:cs="宋体"/>
                <w:color w:val="000000"/>
                <w:kern w:val="0"/>
                <w:sz w:val="16"/>
                <w:szCs w:val="16"/>
              </w:rPr>
              <w:t>160213</w:t>
            </w:r>
          </w:p>
        </w:tc>
        <w:tc>
          <w:tcPr>
            <w:tcW w:w="3094" w:type="dxa"/>
            <w:tcBorders>
              <w:top w:val="nil"/>
              <w:left w:val="nil"/>
              <w:bottom w:val="nil"/>
              <w:right w:val="nil"/>
            </w:tcBorders>
            <w:noWrap/>
            <w:vAlign w:val="center"/>
          </w:tcPr>
          <w:p w:rsidR="00803212" w:rsidRPr="00E8002A" w:rsidRDefault="00803212" w:rsidP="00E8002A">
            <w:pPr>
              <w:widowControl/>
              <w:jc w:val="center"/>
              <w:rPr>
                <w:rFonts w:ascii="宋体" w:cs="宋体"/>
                <w:color w:val="000000"/>
                <w:kern w:val="0"/>
                <w:sz w:val="16"/>
                <w:szCs w:val="16"/>
              </w:rPr>
            </w:pPr>
            <w:r w:rsidRPr="00E8002A">
              <w:rPr>
                <w:rFonts w:ascii="宋体" w:hAnsi="宋体" w:cs="宋体" w:hint="eastAsia"/>
                <w:color w:val="000000"/>
                <w:kern w:val="0"/>
                <w:sz w:val="16"/>
                <w:szCs w:val="16"/>
              </w:rPr>
              <w:t>国泰</w:t>
            </w:r>
            <w:r w:rsidRPr="00E8002A">
              <w:rPr>
                <w:rFonts w:ascii="宋体" w:hAnsi="宋体" w:cs="宋体"/>
                <w:color w:val="000000"/>
                <w:kern w:val="0"/>
                <w:sz w:val="16"/>
                <w:szCs w:val="16"/>
              </w:rPr>
              <w:t>100</w:t>
            </w:r>
            <w:r w:rsidRPr="00E8002A">
              <w:rPr>
                <w:rFonts w:ascii="宋体" w:hAnsi="宋体" w:cs="宋体" w:hint="eastAsia"/>
                <w:color w:val="000000"/>
                <w:kern w:val="0"/>
                <w:sz w:val="16"/>
                <w:szCs w:val="16"/>
              </w:rPr>
              <w:t>指数</w:t>
            </w:r>
          </w:p>
        </w:tc>
        <w:tc>
          <w:tcPr>
            <w:tcW w:w="1514" w:type="dxa"/>
            <w:tcBorders>
              <w:top w:val="nil"/>
              <w:left w:val="nil"/>
              <w:bottom w:val="nil"/>
              <w:right w:val="nil"/>
            </w:tcBorders>
            <w:noWrap/>
            <w:vAlign w:val="center"/>
          </w:tcPr>
          <w:p w:rsidR="00803212" w:rsidRPr="00E8002A" w:rsidRDefault="00803212" w:rsidP="00E8002A">
            <w:pPr>
              <w:widowControl/>
              <w:jc w:val="center"/>
              <w:rPr>
                <w:rFonts w:cs="宋体"/>
                <w:color w:val="000000"/>
                <w:kern w:val="0"/>
                <w:sz w:val="16"/>
                <w:szCs w:val="16"/>
              </w:rPr>
            </w:pPr>
            <w:r w:rsidRPr="00E8002A">
              <w:rPr>
                <w:rFonts w:cs="宋体"/>
                <w:color w:val="000000"/>
                <w:kern w:val="0"/>
                <w:sz w:val="16"/>
                <w:szCs w:val="16"/>
              </w:rPr>
              <w:t>4.87</w:t>
            </w:r>
          </w:p>
        </w:tc>
        <w:tc>
          <w:tcPr>
            <w:tcW w:w="1514" w:type="dxa"/>
            <w:tcBorders>
              <w:top w:val="nil"/>
              <w:left w:val="nil"/>
              <w:bottom w:val="nil"/>
              <w:right w:val="nil"/>
            </w:tcBorders>
            <w:noWrap/>
            <w:vAlign w:val="center"/>
          </w:tcPr>
          <w:p w:rsidR="00803212" w:rsidRPr="00E8002A" w:rsidRDefault="00803212" w:rsidP="00E8002A">
            <w:pPr>
              <w:widowControl/>
              <w:jc w:val="center"/>
              <w:rPr>
                <w:rFonts w:cs="宋体"/>
                <w:color w:val="000000"/>
                <w:kern w:val="0"/>
                <w:sz w:val="16"/>
                <w:szCs w:val="16"/>
              </w:rPr>
            </w:pPr>
            <w:r w:rsidRPr="00E8002A">
              <w:rPr>
                <w:rFonts w:cs="宋体"/>
                <w:color w:val="000000"/>
                <w:kern w:val="0"/>
                <w:sz w:val="16"/>
                <w:szCs w:val="16"/>
              </w:rPr>
              <w:t>4</w:t>
            </w:r>
          </w:p>
        </w:tc>
      </w:tr>
      <w:tr w:rsidR="00803212" w:rsidRPr="00C41721" w:rsidTr="00E8002A">
        <w:trPr>
          <w:trHeight w:val="285"/>
        </w:trPr>
        <w:tc>
          <w:tcPr>
            <w:tcW w:w="971" w:type="dxa"/>
            <w:tcBorders>
              <w:top w:val="nil"/>
              <w:left w:val="nil"/>
              <w:bottom w:val="nil"/>
              <w:right w:val="nil"/>
            </w:tcBorders>
            <w:noWrap/>
          </w:tcPr>
          <w:p w:rsidR="00803212" w:rsidRPr="00E8002A" w:rsidRDefault="00803212" w:rsidP="00E8002A">
            <w:pPr>
              <w:widowControl/>
              <w:jc w:val="center"/>
              <w:rPr>
                <w:rFonts w:cs="宋体"/>
                <w:color w:val="000000"/>
                <w:kern w:val="0"/>
                <w:sz w:val="16"/>
                <w:szCs w:val="16"/>
              </w:rPr>
            </w:pPr>
            <w:r w:rsidRPr="00E8002A">
              <w:rPr>
                <w:rFonts w:cs="宋体"/>
                <w:color w:val="000000"/>
                <w:kern w:val="0"/>
                <w:sz w:val="16"/>
                <w:szCs w:val="16"/>
              </w:rPr>
              <w:t>040018</w:t>
            </w:r>
          </w:p>
        </w:tc>
        <w:tc>
          <w:tcPr>
            <w:tcW w:w="3094" w:type="dxa"/>
            <w:tcBorders>
              <w:top w:val="nil"/>
              <w:left w:val="nil"/>
              <w:bottom w:val="single" w:sz="8" w:space="0" w:color="E46D0A"/>
              <w:right w:val="nil"/>
            </w:tcBorders>
            <w:noWrap/>
            <w:vAlign w:val="center"/>
          </w:tcPr>
          <w:p w:rsidR="00803212" w:rsidRPr="00E8002A" w:rsidRDefault="00803212" w:rsidP="00E8002A">
            <w:pPr>
              <w:widowControl/>
              <w:jc w:val="center"/>
              <w:rPr>
                <w:rFonts w:ascii="宋体" w:cs="宋体"/>
                <w:color w:val="000000"/>
                <w:kern w:val="0"/>
                <w:sz w:val="16"/>
                <w:szCs w:val="16"/>
              </w:rPr>
            </w:pPr>
            <w:r w:rsidRPr="00E8002A">
              <w:rPr>
                <w:rFonts w:ascii="宋体" w:hAnsi="宋体" w:cs="宋体" w:hint="eastAsia"/>
                <w:color w:val="000000"/>
                <w:kern w:val="0"/>
                <w:sz w:val="16"/>
                <w:szCs w:val="16"/>
              </w:rPr>
              <w:t>华安香港精选股票（</w:t>
            </w:r>
            <w:r w:rsidRPr="00E8002A">
              <w:rPr>
                <w:rFonts w:ascii="宋体" w:hAnsi="宋体" w:cs="宋体"/>
                <w:color w:val="000000"/>
                <w:kern w:val="0"/>
                <w:sz w:val="16"/>
                <w:szCs w:val="16"/>
              </w:rPr>
              <w:t>QDII</w:t>
            </w:r>
            <w:r w:rsidRPr="00E8002A">
              <w:rPr>
                <w:rFonts w:ascii="宋体" w:hAnsi="宋体" w:cs="宋体" w:hint="eastAsia"/>
                <w:color w:val="000000"/>
                <w:kern w:val="0"/>
                <w:sz w:val="16"/>
                <w:szCs w:val="16"/>
              </w:rPr>
              <w:t>）</w:t>
            </w:r>
          </w:p>
        </w:tc>
        <w:tc>
          <w:tcPr>
            <w:tcW w:w="1514" w:type="dxa"/>
            <w:tcBorders>
              <w:top w:val="nil"/>
              <w:left w:val="nil"/>
              <w:bottom w:val="single" w:sz="8" w:space="0" w:color="E46D0A"/>
              <w:right w:val="nil"/>
            </w:tcBorders>
            <w:noWrap/>
            <w:vAlign w:val="center"/>
          </w:tcPr>
          <w:p w:rsidR="00803212" w:rsidRPr="00E8002A" w:rsidRDefault="00803212" w:rsidP="00E8002A">
            <w:pPr>
              <w:widowControl/>
              <w:jc w:val="center"/>
              <w:rPr>
                <w:rFonts w:cs="宋体"/>
                <w:color w:val="000000"/>
                <w:kern w:val="0"/>
                <w:sz w:val="16"/>
                <w:szCs w:val="16"/>
              </w:rPr>
            </w:pPr>
            <w:r w:rsidRPr="00E8002A">
              <w:rPr>
                <w:rFonts w:cs="宋体"/>
                <w:color w:val="000000"/>
                <w:kern w:val="0"/>
                <w:sz w:val="16"/>
                <w:szCs w:val="16"/>
              </w:rPr>
              <w:t>4.72</w:t>
            </w:r>
          </w:p>
        </w:tc>
        <w:tc>
          <w:tcPr>
            <w:tcW w:w="1514" w:type="dxa"/>
            <w:tcBorders>
              <w:top w:val="nil"/>
              <w:left w:val="nil"/>
              <w:bottom w:val="single" w:sz="8" w:space="0" w:color="E46D0A"/>
              <w:right w:val="nil"/>
            </w:tcBorders>
            <w:noWrap/>
            <w:vAlign w:val="center"/>
          </w:tcPr>
          <w:p w:rsidR="00803212" w:rsidRPr="00E8002A" w:rsidRDefault="00803212" w:rsidP="00E8002A">
            <w:pPr>
              <w:widowControl/>
              <w:jc w:val="center"/>
              <w:rPr>
                <w:rFonts w:cs="宋体"/>
                <w:color w:val="000000"/>
                <w:kern w:val="0"/>
                <w:sz w:val="16"/>
                <w:szCs w:val="16"/>
              </w:rPr>
            </w:pPr>
            <w:r w:rsidRPr="00E8002A">
              <w:rPr>
                <w:rFonts w:cs="宋体"/>
                <w:color w:val="000000"/>
                <w:kern w:val="0"/>
                <w:sz w:val="16"/>
                <w:szCs w:val="16"/>
              </w:rPr>
              <w:t>5</w:t>
            </w:r>
          </w:p>
        </w:tc>
      </w:tr>
      <w:tr w:rsidR="00803212" w:rsidRPr="00C41721" w:rsidTr="00E8002A">
        <w:trPr>
          <w:trHeight w:val="285"/>
        </w:trPr>
        <w:tc>
          <w:tcPr>
            <w:tcW w:w="4065" w:type="dxa"/>
            <w:gridSpan w:val="2"/>
            <w:tcBorders>
              <w:top w:val="single" w:sz="8" w:space="0" w:color="E46D0A"/>
              <w:left w:val="nil"/>
              <w:bottom w:val="single" w:sz="8" w:space="0" w:color="E46D0A"/>
              <w:right w:val="nil"/>
            </w:tcBorders>
            <w:noWrap/>
            <w:vAlign w:val="center"/>
          </w:tcPr>
          <w:p w:rsidR="00803212" w:rsidRPr="00E8002A" w:rsidRDefault="00803212" w:rsidP="00E8002A">
            <w:pPr>
              <w:widowControl/>
              <w:jc w:val="left"/>
              <w:rPr>
                <w:rFonts w:ascii="宋体" w:cs="宋体"/>
                <w:color w:val="000000"/>
                <w:kern w:val="0"/>
                <w:sz w:val="16"/>
                <w:szCs w:val="16"/>
              </w:rPr>
            </w:pPr>
            <w:r w:rsidRPr="00E8002A">
              <w:rPr>
                <w:rFonts w:ascii="宋体" w:hAnsi="宋体" w:cs="宋体" w:hint="eastAsia"/>
                <w:color w:val="000000"/>
                <w:kern w:val="0"/>
                <w:sz w:val="16"/>
                <w:szCs w:val="16"/>
              </w:rPr>
              <w:t>来源：凯石财富工场</w:t>
            </w:r>
          </w:p>
        </w:tc>
        <w:tc>
          <w:tcPr>
            <w:tcW w:w="1514" w:type="dxa"/>
            <w:tcBorders>
              <w:top w:val="nil"/>
              <w:left w:val="nil"/>
              <w:bottom w:val="single" w:sz="8" w:space="0" w:color="E46D0A"/>
              <w:right w:val="nil"/>
            </w:tcBorders>
            <w:noWrap/>
            <w:vAlign w:val="bottom"/>
          </w:tcPr>
          <w:p w:rsidR="00803212" w:rsidRPr="00E8002A" w:rsidRDefault="00803212" w:rsidP="00E8002A">
            <w:pPr>
              <w:widowControl/>
              <w:jc w:val="left"/>
              <w:rPr>
                <w:rFonts w:ascii="宋体" w:cs="宋体"/>
                <w:color w:val="000000"/>
                <w:kern w:val="0"/>
                <w:sz w:val="16"/>
                <w:szCs w:val="16"/>
              </w:rPr>
            </w:pPr>
            <w:r w:rsidRPr="00E8002A">
              <w:rPr>
                <w:rFonts w:ascii="宋体" w:hAnsi="宋体" w:cs="宋体" w:hint="eastAsia"/>
                <w:color w:val="000000"/>
                <w:kern w:val="0"/>
                <w:sz w:val="16"/>
                <w:szCs w:val="16"/>
              </w:rPr>
              <w:t xml:space="preserve">　</w:t>
            </w:r>
          </w:p>
        </w:tc>
        <w:tc>
          <w:tcPr>
            <w:tcW w:w="1514" w:type="dxa"/>
            <w:tcBorders>
              <w:top w:val="nil"/>
              <w:left w:val="nil"/>
              <w:bottom w:val="single" w:sz="8" w:space="0" w:color="E46D0A"/>
              <w:right w:val="nil"/>
            </w:tcBorders>
            <w:noWrap/>
            <w:vAlign w:val="bottom"/>
          </w:tcPr>
          <w:p w:rsidR="00803212" w:rsidRPr="00E8002A" w:rsidRDefault="00803212" w:rsidP="00E8002A">
            <w:pPr>
              <w:widowControl/>
              <w:jc w:val="left"/>
              <w:rPr>
                <w:rFonts w:ascii="宋体" w:cs="宋体"/>
                <w:color w:val="000000"/>
                <w:kern w:val="0"/>
                <w:sz w:val="16"/>
                <w:szCs w:val="16"/>
              </w:rPr>
            </w:pPr>
            <w:r w:rsidRPr="00E8002A">
              <w:rPr>
                <w:rFonts w:ascii="宋体" w:hAnsi="宋体" w:cs="宋体" w:hint="eastAsia"/>
                <w:color w:val="000000"/>
                <w:kern w:val="0"/>
                <w:sz w:val="16"/>
                <w:szCs w:val="16"/>
              </w:rPr>
              <w:t xml:space="preserve">　</w:t>
            </w:r>
          </w:p>
        </w:tc>
      </w:tr>
    </w:tbl>
    <w:p w:rsidR="00803212" w:rsidRPr="00CD28D7" w:rsidRDefault="00803212" w:rsidP="006340AC">
      <w:pPr>
        <w:widowControl/>
        <w:spacing w:beforeLines="100" w:after="120" w:line="240" w:lineRule="exact"/>
        <w:ind w:firstLineChars="1372" w:firstLine="3306"/>
        <w:rPr>
          <w:rFonts w:ascii="Arial" w:eastAsia="楷体_GB2312" w:hAnsi="Arial"/>
          <w:b/>
          <w:bCs/>
          <w:color w:val="0070C0"/>
          <w:kern w:val="0"/>
          <w:sz w:val="24"/>
          <w:szCs w:val="20"/>
          <w:lang w:val="en-GB"/>
        </w:rPr>
      </w:pPr>
      <w:r>
        <w:rPr>
          <w:rFonts w:ascii="Arial" w:eastAsia="楷体_GB2312" w:hAnsi="Arial" w:hint="eastAsia"/>
          <w:b/>
          <w:bCs/>
          <w:color w:val="0070C0"/>
          <w:kern w:val="0"/>
          <w:sz w:val="24"/>
          <w:szCs w:val="20"/>
          <w:lang w:val="en-GB"/>
        </w:rPr>
        <w:t>季度基金发行情况概览</w:t>
      </w:r>
    </w:p>
    <w:p w:rsidR="00803212" w:rsidRPr="00CE5DB5" w:rsidRDefault="00803212" w:rsidP="00CE5DB5">
      <w:pPr>
        <w:pStyle w:val="BodyText"/>
        <w:numPr>
          <w:ilvl w:val="4"/>
          <w:numId w:val="1"/>
        </w:numPr>
        <w:spacing w:after="163"/>
        <w:rPr>
          <w:rFonts w:eastAsia="楷体_GB2312"/>
          <w:color w:val="auto"/>
        </w:rPr>
      </w:pPr>
      <w:r>
        <w:rPr>
          <w:rFonts w:eastAsia="楷体_GB2312" w:hint="eastAsia"/>
          <w:color w:val="auto"/>
        </w:rPr>
        <w:t>三季度，共有</w:t>
      </w:r>
      <w:r>
        <w:rPr>
          <w:rFonts w:eastAsia="楷体_GB2312"/>
          <w:color w:val="auto"/>
        </w:rPr>
        <w:t>91</w:t>
      </w:r>
      <w:r>
        <w:rPr>
          <w:rFonts w:eastAsia="楷体_GB2312" w:hint="eastAsia"/>
          <w:color w:val="auto"/>
        </w:rPr>
        <w:t>只新产品设立共募得</w:t>
      </w:r>
      <w:r>
        <w:rPr>
          <w:rFonts w:eastAsia="楷体_GB2312"/>
          <w:color w:val="auto"/>
        </w:rPr>
        <w:t>919.44</w:t>
      </w:r>
      <w:r>
        <w:rPr>
          <w:rFonts w:eastAsia="楷体_GB2312" w:hint="eastAsia"/>
          <w:color w:val="auto"/>
        </w:rPr>
        <w:t>亿元，平均募集规模</w:t>
      </w:r>
      <w:r>
        <w:rPr>
          <w:rFonts w:eastAsia="楷体_GB2312"/>
          <w:color w:val="auto"/>
        </w:rPr>
        <w:t>10.10</w:t>
      </w:r>
      <w:r>
        <w:rPr>
          <w:rFonts w:eastAsia="楷体_GB2312" w:hint="eastAsia"/>
          <w:color w:val="auto"/>
        </w:rPr>
        <w:t>亿元。从发行节奏上来看，在业绩走高、赚钱效应显现的背景下，季度内各月发行节奏渐次回暖，其中</w:t>
      </w:r>
      <w:r>
        <w:rPr>
          <w:rFonts w:eastAsia="楷体_GB2312"/>
          <w:color w:val="auto"/>
        </w:rPr>
        <w:t>7-9</w:t>
      </w:r>
      <w:r>
        <w:rPr>
          <w:rFonts w:eastAsia="楷体_GB2312" w:hint="eastAsia"/>
          <w:color w:val="auto"/>
        </w:rPr>
        <w:t>月新基金设立数量分别为</w:t>
      </w:r>
      <w:r>
        <w:rPr>
          <w:rFonts w:eastAsia="楷体_GB2312"/>
          <w:color w:val="auto"/>
        </w:rPr>
        <w:t>15</w:t>
      </w:r>
      <w:r>
        <w:rPr>
          <w:rFonts w:eastAsia="楷体_GB2312" w:hint="eastAsia"/>
          <w:color w:val="auto"/>
        </w:rPr>
        <w:t>、</w:t>
      </w:r>
      <w:r>
        <w:rPr>
          <w:rFonts w:eastAsia="楷体_GB2312"/>
          <w:color w:val="auto"/>
        </w:rPr>
        <w:t>30</w:t>
      </w:r>
      <w:r>
        <w:rPr>
          <w:rFonts w:eastAsia="楷体_GB2312" w:hint="eastAsia"/>
          <w:color w:val="auto"/>
        </w:rPr>
        <w:t>、</w:t>
      </w:r>
      <w:r>
        <w:rPr>
          <w:rFonts w:eastAsia="楷体_GB2312"/>
          <w:color w:val="auto"/>
        </w:rPr>
        <w:t>46</w:t>
      </w:r>
      <w:r>
        <w:rPr>
          <w:rFonts w:eastAsia="楷体_GB2312" w:hint="eastAsia"/>
          <w:color w:val="auto"/>
        </w:rPr>
        <w:t>只，募集规模分别为</w:t>
      </w:r>
      <w:r>
        <w:rPr>
          <w:rFonts w:eastAsia="楷体_GB2312"/>
          <w:color w:val="auto"/>
        </w:rPr>
        <w:t>123.79</w:t>
      </w:r>
      <w:r>
        <w:rPr>
          <w:rFonts w:eastAsia="楷体_GB2312" w:hint="eastAsia"/>
          <w:color w:val="auto"/>
        </w:rPr>
        <w:t>亿、</w:t>
      </w:r>
      <w:r>
        <w:rPr>
          <w:rFonts w:eastAsia="楷体_GB2312"/>
          <w:color w:val="auto"/>
        </w:rPr>
        <w:t>284.02</w:t>
      </w:r>
      <w:r>
        <w:rPr>
          <w:rFonts w:eastAsia="楷体_GB2312" w:hint="eastAsia"/>
          <w:color w:val="auto"/>
        </w:rPr>
        <w:t>亿以及</w:t>
      </w:r>
      <w:r>
        <w:rPr>
          <w:rFonts w:eastAsia="楷体_GB2312"/>
          <w:color w:val="auto"/>
        </w:rPr>
        <w:t>511.63</w:t>
      </w:r>
      <w:r>
        <w:rPr>
          <w:rFonts w:eastAsia="楷体_GB2312" w:hint="eastAsia"/>
          <w:color w:val="auto"/>
        </w:rPr>
        <w:t>亿。从产品结构上来看，季度内新增权益类产品</w:t>
      </w:r>
      <w:r>
        <w:rPr>
          <w:rFonts w:eastAsia="楷体_GB2312"/>
          <w:color w:val="auto"/>
        </w:rPr>
        <w:t>42</w:t>
      </w:r>
      <w:r>
        <w:rPr>
          <w:rFonts w:eastAsia="楷体_GB2312" w:hint="eastAsia"/>
          <w:color w:val="auto"/>
        </w:rPr>
        <w:t>只，共募得</w:t>
      </w:r>
      <w:r>
        <w:rPr>
          <w:rFonts w:eastAsia="楷体_GB2312"/>
          <w:color w:val="auto"/>
        </w:rPr>
        <w:t>469.16</w:t>
      </w:r>
      <w:r>
        <w:rPr>
          <w:rFonts w:eastAsia="楷体_GB2312" w:hint="eastAsia"/>
          <w:color w:val="auto"/>
        </w:rPr>
        <w:t>亿元，其中股票型</w:t>
      </w:r>
      <w:r>
        <w:rPr>
          <w:rFonts w:eastAsia="楷体_GB2312"/>
          <w:color w:val="auto"/>
        </w:rPr>
        <w:t>18</w:t>
      </w:r>
      <w:r>
        <w:rPr>
          <w:rFonts w:eastAsia="楷体_GB2312" w:hint="eastAsia"/>
          <w:color w:val="auto"/>
        </w:rPr>
        <w:t>只、混合型</w:t>
      </w:r>
      <w:r>
        <w:rPr>
          <w:rFonts w:eastAsia="楷体_GB2312"/>
          <w:color w:val="auto"/>
        </w:rPr>
        <w:t>23</w:t>
      </w:r>
      <w:r>
        <w:rPr>
          <w:rFonts w:eastAsia="楷体_GB2312" w:hint="eastAsia"/>
          <w:color w:val="auto"/>
        </w:rPr>
        <w:t>只，募集规模分别为</w:t>
      </w:r>
      <w:r>
        <w:rPr>
          <w:rFonts w:eastAsia="楷体_GB2312"/>
          <w:color w:val="auto"/>
        </w:rPr>
        <w:t>169.01</w:t>
      </w:r>
      <w:r>
        <w:rPr>
          <w:rFonts w:eastAsia="楷体_GB2312" w:hint="eastAsia"/>
          <w:color w:val="auto"/>
        </w:rPr>
        <w:t>亿元、</w:t>
      </w:r>
      <w:r>
        <w:rPr>
          <w:rFonts w:eastAsia="楷体_GB2312"/>
          <w:color w:val="auto"/>
        </w:rPr>
        <w:t>297.23</w:t>
      </w:r>
      <w:r>
        <w:rPr>
          <w:rFonts w:eastAsia="楷体_GB2312" w:hint="eastAsia"/>
          <w:color w:val="auto"/>
        </w:rPr>
        <w:t>亿元，另有商品型基金</w:t>
      </w:r>
      <w:r>
        <w:rPr>
          <w:rFonts w:eastAsia="楷体_GB2312"/>
          <w:color w:val="auto"/>
        </w:rPr>
        <w:t>1</w:t>
      </w:r>
      <w:r>
        <w:rPr>
          <w:rFonts w:eastAsia="楷体_GB2312" w:hint="eastAsia"/>
          <w:color w:val="auto"/>
        </w:rPr>
        <w:t>只，首募规模</w:t>
      </w:r>
      <w:r>
        <w:rPr>
          <w:rFonts w:eastAsia="楷体_GB2312"/>
          <w:color w:val="auto"/>
        </w:rPr>
        <w:t>2.92</w:t>
      </w:r>
      <w:r>
        <w:rPr>
          <w:rFonts w:eastAsia="楷体_GB2312" w:hint="eastAsia"/>
          <w:color w:val="auto"/>
        </w:rPr>
        <w:t>亿元。新增固定收益类产品（保本、债券、货币）</w:t>
      </w:r>
      <w:r>
        <w:rPr>
          <w:rFonts w:eastAsia="楷体_GB2312"/>
          <w:color w:val="auto"/>
        </w:rPr>
        <w:t>47</w:t>
      </w:r>
      <w:r>
        <w:rPr>
          <w:rFonts w:eastAsia="楷体_GB2312" w:hint="eastAsia"/>
          <w:color w:val="auto"/>
        </w:rPr>
        <w:t>只，</w:t>
      </w:r>
      <w:r w:rsidRPr="003D0A9F">
        <w:rPr>
          <w:rFonts w:eastAsia="楷体_GB2312" w:hint="eastAsia"/>
          <w:color w:val="auto"/>
        </w:rPr>
        <w:t>共募得</w:t>
      </w:r>
      <w:r>
        <w:rPr>
          <w:rFonts w:eastAsia="楷体_GB2312"/>
          <w:color w:val="auto"/>
        </w:rPr>
        <w:t>435.91</w:t>
      </w:r>
      <w:r w:rsidRPr="003D0A9F">
        <w:rPr>
          <w:rFonts w:eastAsia="楷体_GB2312" w:hint="eastAsia"/>
          <w:color w:val="auto"/>
        </w:rPr>
        <w:t>亿元，其中</w:t>
      </w:r>
      <w:r>
        <w:rPr>
          <w:rFonts w:eastAsia="楷体_GB2312" w:hint="eastAsia"/>
          <w:color w:val="auto"/>
        </w:rPr>
        <w:t>债券</w:t>
      </w:r>
      <w:r w:rsidRPr="003D0A9F">
        <w:rPr>
          <w:rFonts w:eastAsia="楷体_GB2312" w:hint="eastAsia"/>
          <w:color w:val="auto"/>
        </w:rPr>
        <w:t>型</w:t>
      </w:r>
      <w:r>
        <w:rPr>
          <w:rFonts w:eastAsia="楷体_GB2312" w:hint="eastAsia"/>
          <w:color w:val="auto"/>
        </w:rPr>
        <w:t>产品</w:t>
      </w:r>
      <w:r>
        <w:rPr>
          <w:rFonts w:eastAsia="楷体_GB2312"/>
          <w:color w:val="auto"/>
        </w:rPr>
        <w:t>18</w:t>
      </w:r>
      <w:r>
        <w:rPr>
          <w:rFonts w:eastAsia="楷体_GB2312" w:hint="eastAsia"/>
          <w:color w:val="auto"/>
        </w:rPr>
        <w:t>只</w:t>
      </w:r>
      <w:r w:rsidRPr="003D0A9F">
        <w:rPr>
          <w:rFonts w:eastAsia="楷体_GB2312" w:hint="eastAsia"/>
          <w:color w:val="auto"/>
        </w:rPr>
        <w:t>、</w:t>
      </w:r>
      <w:r>
        <w:rPr>
          <w:rFonts w:eastAsia="楷体_GB2312" w:hint="eastAsia"/>
          <w:color w:val="auto"/>
        </w:rPr>
        <w:t>理财债基</w:t>
      </w:r>
      <w:r>
        <w:rPr>
          <w:rFonts w:eastAsia="楷体_GB2312"/>
          <w:color w:val="auto"/>
        </w:rPr>
        <w:t>5</w:t>
      </w:r>
      <w:r>
        <w:rPr>
          <w:rFonts w:eastAsia="楷体_GB2312" w:hint="eastAsia"/>
          <w:color w:val="auto"/>
        </w:rPr>
        <w:t>只、货币市场基金</w:t>
      </w:r>
      <w:r>
        <w:rPr>
          <w:rFonts w:eastAsia="楷体_GB2312"/>
          <w:color w:val="auto"/>
        </w:rPr>
        <w:t>21</w:t>
      </w:r>
      <w:r>
        <w:rPr>
          <w:rFonts w:eastAsia="楷体_GB2312" w:hint="eastAsia"/>
          <w:color w:val="auto"/>
        </w:rPr>
        <w:t>只</w:t>
      </w:r>
      <w:r w:rsidRPr="003D0A9F">
        <w:rPr>
          <w:rFonts w:eastAsia="楷体_GB2312" w:hint="eastAsia"/>
          <w:color w:val="auto"/>
        </w:rPr>
        <w:t>，募集规模分别为</w:t>
      </w:r>
      <w:r>
        <w:rPr>
          <w:rFonts w:eastAsia="楷体_GB2312"/>
          <w:color w:val="auto"/>
        </w:rPr>
        <w:t>165.67</w:t>
      </w:r>
      <w:r w:rsidRPr="003D0A9F">
        <w:rPr>
          <w:rFonts w:eastAsia="楷体_GB2312" w:hint="eastAsia"/>
          <w:color w:val="auto"/>
        </w:rPr>
        <w:t>亿元、</w:t>
      </w:r>
      <w:r>
        <w:rPr>
          <w:rFonts w:eastAsia="楷体_GB2312"/>
          <w:color w:val="auto"/>
        </w:rPr>
        <w:t>13.78</w:t>
      </w:r>
      <w:r w:rsidRPr="003D0A9F">
        <w:rPr>
          <w:rFonts w:eastAsia="楷体_GB2312" w:hint="eastAsia"/>
          <w:color w:val="auto"/>
        </w:rPr>
        <w:t>亿元</w:t>
      </w:r>
      <w:r>
        <w:rPr>
          <w:rFonts w:eastAsia="楷体_GB2312" w:hint="eastAsia"/>
          <w:color w:val="auto"/>
        </w:rPr>
        <w:t>、</w:t>
      </w:r>
      <w:r>
        <w:rPr>
          <w:rFonts w:eastAsia="楷体_GB2312"/>
          <w:color w:val="auto"/>
        </w:rPr>
        <w:t>215.67</w:t>
      </w:r>
      <w:r>
        <w:rPr>
          <w:rFonts w:eastAsia="楷体_GB2312" w:hint="eastAsia"/>
          <w:color w:val="auto"/>
        </w:rPr>
        <w:t>亿元。</w:t>
      </w:r>
      <w:r w:rsidRPr="003D0A9F">
        <w:rPr>
          <w:rFonts w:eastAsia="楷体_GB2312" w:hint="eastAsia"/>
          <w:color w:val="auto"/>
        </w:rPr>
        <w:t>另有</w:t>
      </w:r>
      <w:r>
        <w:rPr>
          <w:rFonts w:eastAsia="楷体_GB2312" w:hint="eastAsia"/>
          <w:color w:val="auto"/>
        </w:rPr>
        <w:t>保本产品</w:t>
      </w:r>
      <w:r>
        <w:rPr>
          <w:rFonts w:eastAsia="楷体_GB2312"/>
          <w:color w:val="auto"/>
        </w:rPr>
        <w:t>3</w:t>
      </w:r>
      <w:r w:rsidRPr="003D0A9F">
        <w:rPr>
          <w:rFonts w:eastAsia="楷体_GB2312" w:hint="eastAsia"/>
          <w:color w:val="auto"/>
        </w:rPr>
        <w:t>只，首募规模</w:t>
      </w:r>
      <w:r>
        <w:rPr>
          <w:rFonts w:eastAsia="楷体_GB2312"/>
          <w:color w:val="auto"/>
        </w:rPr>
        <w:t>40.78</w:t>
      </w:r>
      <w:r w:rsidRPr="003D0A9F">
        <w:rPr>
          <w:rFonts w:eastAsia="楷体_GB2312" w:hint="eastAsia"/>
          <w:color w:val="auto"/>
        </w:rPr>
        <w:t>亿元。</w:t>
      </w:r>
      <w:r>
        <w:rPr>
          <w:rFonts w:eastAsia="楷体_GB2312" w:hint="eastAsia"/>
          <w:color w:val="auto"/>
        </w:rPr>
        <w:t>除此之外，三季度共有</w:t>
      </w:r>
      <w:r>
        <w:rPr>
          <w:rFonts w:eastAsia="楷体_GB2312"/>
          <w:color w:val="auto"/>
        </w:rPr>
        <w:t>2</w:t>
      </w:r>
      <w:r>
        <w:rPr>
          <w:rFonts w:eastAsia="楷体_GB2312" w:hint="eastAsia"/>
          <w:color w:val="auto"/>
        </w:rPr>
        <w:t>只</w:t>
      </w:r>
      <w:r>
        <w:rPr>
          <w:rFonts w:eastAsia="楷体_GB2312"/>
          <w:color w:val="auto"/>
        </w:rPr>
        <w:t>QDII</w:t>
      </w:r>
      <w:r>
        <w:rPr>
          <w:rFonts w:eastAsia="楷体_GB2312" w:hint="eastAsia"/>
          <w:color w:val="auto"/>
        </w:rPr>
        <w:t>新设，募集规模</w:t>
      </w:r>
      <w:r>
        <w:rPr>
          <w:rFonts w:eastAsia="楷体_GB2312"/>
          <w:color w:val="auto"/>
        </w:rPr>
        <w:t>14.37</w:t>
      </w:r>
      <w:r>
        <w:rPr>
          <w:rFonts w:eastAsia="楷体_GB2312" w:hint="eastAsia"/>
          <w:color w:val="auto"/>
        </w:rPr>
        <w:t>亿元。从平均募集规模来看，保本型、混合型两类产品最受欢迎，平均募集规模分别为</w:t>
      </w:r>
      <w:r>
        <w:rPr>
          <w:rFonts w:eastAsia="楷体_GB2312"/>
          <w:color w:val="auto"/>
        </w:rPr>
        <w:t>13.59</w:t>
      </w:r>
      <w:r>
        <w:rPr>
          <w:rFonts w:eastAsia="楷体_GB2312" w:hint="eastAsia"/>
          <w:color w:val="auto"/>
        </w:rPr>
        <w:t>亿元、</w:t>
      </w:r>
      <w:r>
        <w:rPr>
          <w:rFonts w:eastAsia="楷体_GB2312"/>
          <w:color w:val="auto"/>
        </w:rPr>
        <w:t>12.92</w:t>
      </w:r>
      <w:r>
        <w:rPr>
          <w:rFonts w:eastAsia="楷体_GB2312" w:hint="eastAsia"/>
          <w:color w:val="auto"/>
        </w:rPr>
        <w:t>亿元。其中广受市场关注的首只参与混合所有制改革的公募产品嘉实元和混合基金，面市一日即宣告售罄，募资规模高达</w:t>
      </w:r>
      <w:r>
        <w:rPr>
          <w:rFonts w:eastAsia="楷体_GB2312"/>
          <w:color w:val="auto"/>
        </w:rPr>
        <w:t>100</w:t>
      </w:r>
      <w:r>
        <w:rPr>
          <w:rFonts w:eastAsia="楷体_GB2312" w:hint="eastAsia"/>
          <w:color w:val="auto"/>
        </w:rPr>
        <w:t>亿元，再次展现产品创新的力量。</w:t>
      </w:r>
    </w:p>
    <w:tbl>
      <w:tblPr>
        <w:tblW w:w="7852" w:type="dxa"/>
        <w:tblInd w:w="2827" w:type="dxa"/>
        <w:tblLook w:val="00A0"/>
      </w:tblPr>
      <w:tblGrid>
        <w:gridCol w:w="1472"/>
        <w:gridCol w:w="2315"/>
        <w:gridCol w:w="2969"/>
        <w:gridCol w:w="1096"/>
      </w:tblGrid>
      <w:tr w:rsidR="00803212" w:rsidRPr="00C41721" w:rsidTr="00B31DAA">
        <w:trPr>
          <w:trHeight w:val="285"/>
        </w:trPr>
        <w:tc>
          <w:tcPr>
            <w:tcW w:w="6756" w:type="dxa"/>
            <w:gridSpan w:val="3"/>
            <w:tcBorders>
              <w:top w:val="single" w:sz="8" w:space="0" w:color="E46D0A"/>
              <w:left w:val="nil"/>
              <w:bottom w:val="single" w:sz="8" w:space="0" w:color="E46D0A"/>
              <w:right w:val="nil"/>
            </w:tcBorders>
            <w:noWrap/>
            <w:vAlign w:val="center"/>
          </w:tcPr>
          <w:p w:rsidR="00803212" w:rsidRPr="00B31DAA" w:rsidRDefault="00803212" w:rsidP="00B31DAA">
            <w:pPr>
              <w:widowControl/>
              <w:jc w:val="left"/>
              <w:rPr>
                <w:rFonts w:ascii="宋体" w:cs="宋体"/>
                <w:b/>
                <w:bCs/>
                <w:i/>
                <w:iCs/>
                <w:color w:val="E46D0A"/>
                <w:kern w:val="0"/>
                <w:sz w:val="20"/>
                <w:szCs w:val="20"/>
              </w:rPr>
            </w:pPr>
            <w:r w:rsidRPr="00B31DAA">
              <w:rPr>
                <w:rFonts w:ascii="宋体" w:hAnsi="宋体" w:cs="宋体" w:hint="eastAsia"/>
                <w:b/>
                <w:bCs/>
                <w:i/>
                <w:iCs/>
                <w:color w:val="E46D0A"/>
                <w:kern w:val="0"/>
                <w:sz w:val="20"/>
                <w:szCs w:val="20"/>
              </w:rPr>
              <w:t>图表</w:t>
            </w:r>
            <w:r w:rsidRPr="00B31DAA">
              <w:rPr>
                <w:rFonts w:ascii="Arial" w:hAnsi="Arial" w:cs="Arial"/>
                <w:b/>
                <w:bCs/>
                <w:i/>
                <w:iCs/>
                <w:color w:val="E46D0A"/>
                <w:kern w:val="0"/>
                <w:sz w:val="20"/>
                <w:szCs w:val="20"/>
              </w:rPr>
              <w:t>7:2014</w:t>
            </w:r>
            <w:r w:rsidRPr="00B31DAA">
              <w:rPr>
                <w:rFonts w:ascii="宋体" w:hAnsi="宋体" w:cs="宋体" w:hint="eastAsia"/>
                <w:b/>
                <w:bCs/>
                <w:i/>
                <w:iCs/>
                <w:color w:val="E46D0A"/>
                <w:kern w:val="0"/>
                <w:sz w:val="20"/>
                <w:szCs w:val="20"/>
              </w:rPr>
              <w:t>年三季度新发基金情况</w:t>
            </w:r>
          </w:p>
        </w:tc>
        <w:tc>
          <w:tcPr>
            <w:tcW w:w="1096" w:type="dxa"/>
            <w:tcBorders>
              <w:top w:val="single" w:sz="8" w:space="0" w:color="E46D0A"/>
              <w:left w:val="nil"/>
              <w:bottom w:val="single" w:sz="8" w:space="0" w:color="E46D0A"/>
              <w:right w:val="nil"/>
            </w:tcBorders>
            <w:noWrap/>
            <w:vAlign w:val="center"/>
          </w:tcPr>
          <w:p w:rsidR="00803212" w:rsidRPr="00B31DAA" w:rsidRDefault="00803212" w:rsidP="00B31DAA">
            <w:pPr>
              <w:widowControl/>
              <w:jc w:val="left"/>
              <w:rPr>
                <w:rFonts w:ascii="宋体" w:cs="宋体"/>
                <w:b/>
                <w:bCs/>
                <w:i/>
                <w:iCs/>
                <w:color w:val="E46D0A"/>
                <w:kern w:val="0"/>
                <w:sz w:val="20"/>
                <w:szCs w:val="20"/>
              </w:rPr>
            </w:pPr>
            <w:r w:rsidRPr="00B31DAA">
              <w:rPr>
                <w:rFonts w:ascii="宋体" w:hAnsi="宋体" w:cs="宋体" w:hint="eastAsia"/>
                <w:b/>
                <w:bCs/>
                <w:i/>
                <w:iCs/>
                <w:color w:val="E46D0A"/>
                <w:kern w:val="0"/>
                <w:sz w:val="20"/>
                <w:szCs w:val="20"/>
              </w:rPr>
              <w:t xml:space="preserve">　</w:t>
            </w:r>
          </w:p>
        </w:tc>
      </w:tr>
      <w:tr w:rsidR="00803212" w:rsidRPr="00C41721" w:rsidTr="00B31DAA">
        <w:trPr>
          <w:trHeight w:val="435"/>
        </w:trPr>
        <w:tc>
          <w:tcPr>
            <w:tcW w:w="1472" w:type="dxa"/>
            <w:tcBorders>
              <w:top w:val="nil"/>
              <w:left w:val="nil"/>
              <w:bottom w:val="single" w:sz="8" w:space="0" w:color="E46D0A"/>
              <w:right w:val="nil"/>
            </w:tcBorders>
            <w:vAlign w:val="center"/>
          </w:tcPr>
          <w:p w:rsidR="00803212" w:rsidRPr="00B31DAA" w:rsidRDefault="00803212" w:rsidP="00B31DAA">
            <w:pPr>
              <w:widowControl/>
              <w:jc w:val="center"/>
              <w:rPr>
                <w:rFonts w:ascii="宋体" w:cs="宋体"/>
                <w:b/>
                <w:bCs/>
                <w:color w:val="000000"/>
                <w:kern w:val="0"/>
                <w:sz w:val="16"/>
                <w:szCs w:val="16"/>
              </w:rPr>
            </w:pPr>
            <w:r w:rsidRPr="00B31DAA">
              <w:rPr>
                <w:rFonts w:ascii="宋体" w:hAnsi="宋体" w:cs="宋体" w:hint="eastAsia"/>
                <w:b/>
                <w:bCs/>
                <w:color w:val="000000"/>
                <w:kern w:val="0"/>
                <w:sz w:val="16"/>
                <w:szCs w:val="16"/>
              </w:rPr>
              <w:t>基金类型</w:t>
            </w:r>
          </w:p>
        </w:tc>
        <w:tc>
          <w:tcPr>
            <w:tcW w:w="2315" w:type="dxa"/>
            <w:tcBorders>
              <w:top w:val="nil"/>
              <w:left w:val="nil"/>
              <w:bottom w:val="single" w:sz="8" w:space="0" w:color="E46D0A"/>
              <w:right w:val="nil"/>
            </w:tcBorders>
            <w:vAlign w:val="center"/>
          </w:tcPr>
          <w:p w:rsidR="00803212" w:rsidRPr="00B31DAA" w:rsidRDefault="00803212" w:rsidP="00B31DAA">
            <w:pPr>
              <w:widowControl/>
              <w:jc w:val="center"/>
              <w:rPr>
                <w:rFonts w:ascii="宋体" w:cs="宋体"/>
                <w:b/>
                <w:bCs/>
                <w:color w:val="000000"/>
                <w:kern w:val="0"/>
                <w:sz w:val="16"/>
                <w:szCs w:val="16"/>
              </w:rPr>
            </w:pPr>
            <w:r w:rsidRPr="00B31DAA">
              <w:rPr>
                <w:rFonts w:ascii="宋体" w:hAnsi="宋体" w:cs="宋体" w:hint="eastAsia"/>
                <w:b/>
                <w:bCs/>
                <w:color w:val="000000"/>
                <w:kern w:val="0"/>
                <w:sz w:val="16"/>
                <w:szCs w:val="16"/>
              </w:rPr>
              <w:t>数量（只）</w:t>
            </w:r>
          </w:p>
        </w:tc>
        <w:tc>
          <w:tcPr>
            <w:tcW w:w="2969" w:type="dxa"/>
            <w:tcBorders>
              <w:top w:val="nil"/>
              <w:left w:val="nil"/>
              <w:bottom w:val="single" w:sz="8" w:space="0" w:color="E46D0A"/>
              <w:right w:val="nil"/>
            </w:tcBorders>
            <w:vAlign w:val="center"/>
          </w:tcPr>
          <w:p w:rsidR="00803212" w:rsidRPr="00B31DAA" w:rsidRDefault="00803212" w:rsidP="00B31DAA">
            <w:pPr>
              <w:widowControl/>
              <w:jc w:val="center"/>
              <w:rPr>
                <w:rFonts w:ascii="宋体" w:cs="宋体"/>
                <w:b/>
                <w:bCs/>
                <w:color w:val="000000"/>
                <w:kern w:val="0"/>
                <w:sz w:val="16"/>
                <w:szCs w:val="16"/>
              </w:rPr>
            </w:pPr>
            <w:r w:rsidRPr="00B31DAA">
              <w:rPr>
                <w:rFonts w:ascii="宋体" w:hAnsi="宋体" w:cs="宋体" w:hint="eastAsia"/>
                <w:b/>
                <w:bCs/>
                <w:color w:val="000000"/>
                <w:kern w:val="0"/>
                <w:sz w:val="16"/>
                <w:szCs w:val="16"/>
              </w:rPr>
              <w:t>募集规模（亿元）</w:t>
            </w:r>
          </w:p>
        </w:tc>
        <w:tc>
          <w:tcPr>
            <w:tcW w:w="1096" w:type="dxa"/>
            <w:tcBorders>
              <w:top w:val="nil"/>
              <w:left w:val="nil"/>
              <w:bottom w:val="single" w:sz="8" w:space="0" w:color="E46D0A"/>
              <w:right w:val="nil"/>
            </w:tcBorders>
            <w:vAlign w:val="center"/>
          </w:tcPr>
          <w:p w:rsidR="00803212" w:rsidRPr="00B31DAA" w:rsidRDefault="00803212" w:rsidP="00B31DAA">
            <w:pPr>
              <w:widowControl/>
              <w:jc w:val="center"/>
              <w:rPr>
                <w:rFonts w:ascii="宋体" w:cs="宋体"/>
                <w:b/>
                <w:bCs/>
                <w:color w:val="000000"/>
                <w:kern w:val="0"/>
                <w:sz w:val="16"/>
                <w:szCs w:val="16"/>
              </w:rPr>
            </w:pPr>
            <w:r w:rsidRPr="00B31DAA">
              <w:rPr>
                <w:rFonts w:ascii="宋体" w:hAnsi="宋体" w:cs="宋体" w:hint="eastAsia"/>
                <w:b/>
                <w:bCs/>
                <w:color w:val="000000"/>
                <w:kern w:val="0"/>
                <w:sz w:val="16"/>
                <w:szCs w:val="16"/>
              </w:rPr>
              <w:t>平均募集规模（亿元）</w:t>
            </w:r>
          </w:p>
        </w:tc>
      </w:tr>
      <w:tr w:rsidR="00803212" w:rsidRPr="00C41721" w:rsidTr="00B31DAA">
        <w:trPr>
          <w:trHeight w:val="285"/>
        </w:trPr>
        <w:tc>
          <w:tcPr>
            <w:tcW w:w="1472" w:type="dxa"/>
            <w:tcBorders>
              <w:top w:val="nil"/>
              <w:left w:val="nil"/>
              <w:bottom w:val="nil"/>
              <w:right w:val="nil"/>
            </w:tcBorders>
            <w:noWrap/>
            <w:vAlign w:val="bottom"/>
          </w:tcPr>
          <w:p w:rsidR="00803212" w:rsidRPr="00B31DAA" w:rsidRDefault="00803212" w:rsidP="00B31DAA">
            <w:pPr>
              <w:widowControl/>
              <w:jc w:val="center"/>
              <w:rPr>
                <w:rFonts w:ascii="宋体" w:cs="宋体"/>
                <w:color w:val="000000"/>
                <w:kern w:val="0"/>
                <w:sz w:val="16"/>
                <w:szCs w:val="16"/>
              </w:rPr>
            </w:pPr>
            <w:r w:rsidRPr="00B31DAA">
              <w:rPr>
                <w:rFonts w:ascii="宋体" w:hAnsi="宋体" w:cs="宋体" w:hint="eastAsia"/>
                <w:color w:val="000000"/>
                <w:kern w:val="0"/>
                <w:sz w:val="16"/>
                <w:szCs w:val="16"/>
              </w:rPr>
              <w:t>股票型</w:t>
            </w:r>
          </w:p>
        </w:tc>
        <w:tc>
          <w:tcPr>
            <w:tcW w:w="2315" w:type="dxa"/>
            <w:tcBorders>
              <w:top w:val="nil"/>
              <w:left w:val="nil"/>
              <w:bottom w:val="nil"/>
              <w:right w:val="nil"/>
            </w:tcBorders>
            <w:noWrap/>
            <w:vAlign w:val="bottom"/>
          </w:tcPr>
          <w:p w:rsidR="00803212" w:rsidRPr="00B31DAA" w:rsidRDefault="00803212" w:rsidP="00B31DAA">
            <w:pPr>
              <w:widowControl/>
              <w:jc w:val="center"/>
              <w:rPr>
                <w:rFonts w:ascii="Arial" w:hAnsi="Arial" w:cs="Arial"/>
                <w:color w:val="000000"/>
                <w:kern w:val="0"/>
                <w:sz w:val="16"/>
                <w:szCs w:val="16"/>
              </w:rPr>
            </w:pPr>
            <w:r w:rsidRPr="00B31DAA">
              <w:rPr>
                <w:rFonts w:ascii="Arial" w:hAnsi="Arial" w:cs="Arial"/>
                <w:color w:val="000000"/>
                <w:kern w:val="0"/>
                <w:sz w:val="16"/>
                <w:szCs w:val="16"/>
              </w:rPr>
              <w:t>18</w:t>
            </w:r>
          </w:p>
        </w:tc>
        <w:tc>
          <w:tcPr>
            <w:tcW w:w="2969" w:type="dxa"/>
            <w:tcBorders>
              <w:top w:val="nil"/>
              <w:left w:val="nil"/>
              <w:bottom w:val="nil"/>
              <w:right w:val="nil"/>
            </w:tcBorders>
            <w:noWrap/>
            <w:vAlign w:val="bottom"/>
          </w:tcPr>
          <w:p w:rsidR="00803212" w:rsidRPr="00B31DAA" w:rsidRDefault="00803212" w:rsidP="00B31DAA">
            <w:pPr>
              <w:widowControl/>
              <w:jc w:val="center"/>
              <w:rPr>
                <w:rFonts w:ascii="Arial" w:hAnsi="Arial" w:cs="Arial"/>
                <w:color w:val="000000"/>
                <w:kern w:val="0"/>
                <w:sz w:val="16"/>
                <w:szCs w:val="16"/>
              </w:rPr>
            </w:pPr>
            <w:r w:rsidRPr="00B31DAA">
              <w:rPr>
                <w:rFonts w:ascii="Arial" w:hAnsi="Arial" w:cs="Arial"/>
                <w:color w:val="000000"/>
                <w:kern w:val="0"/>
                <w:sz w:val="16"/>
                <w:szCs w:val="16"/>
              </w:rPr>
              <w:t xml:space="preserve">169.01 </w:t>
            </w:r>
          </w:p>
        </w:tc>
        <w:tc>
          <w:tcPr>
            <w:tcW w:w="1096" w:type="dxa"/>
            <w:tcBorders>
              <w:top w:val="nil"/>
              <w:left w:val="nil"/>
              <w:bottom w:val="nil"/>
              <w:right w:val="nil"/>
            </w:tcBorders>
            <w:noWrap/>
            <w:vAlign w:val="bottom"/>
          </w:tcPr>
          <w:p w:rsidR="00803212" w:rsidRPr="00B31DAA" w:rsidRDefault="00803212" w:rsidP="00B31DAA">
            <w:pPr>
              <w:widowControl/>
              <w:jc w:val="center"/>
              <w:rPr>
                <w:rFonts w:ascii="Arial" w:hAnsi="Arial" w:cs="Arial"/>
                <w:color w:val="000000"/>
                <w:kern w:val="0"/>
                <w:sz w:val="16"/>
                <w:szCs w:val="16"/>
              </w:rPr>
            </w:pPr>
            <w:r w:rsidRPr="00B31DAA">
              <w:rPr>
                <w:rFonts w:ascii="Arial" w:hAnsi="Arial" w:cs="Arial"/>
                <w:color w:val="000000"/>
                <w:kern w:val="0"/>
                <w:sz w:val="16"/>
                <w:szCs w:val="16"/>
              </w:rPr>
              <w:t xml:space="preserve">9.39 </w:t>
            </w:r>
          </w:p>
        </w:tc>
      </w:tr>
      <w:tr w:rsidR="00803212" w:rsidRPr="00C41721" w:rsidTr="00B31DAA">
        <w:trPr>
          <w:trHeight w:val="285"/>
        </w:trPr>
        <w:tc>
          <w:tcPr>
            <w:tcW w:w="1472" w:type="dxa"/>
            <w:tcBorders>
              <w:top w:val="nil"/>
              <w:left w:val="nil"/>
              <w:bottom w:val="nil"/>
              <w:right w:val="nil"/>
            </w:tcBorders>
            <w:noWrap/>
            <w:vAlign w:val="bottom"/>
          </w:tcPr>
          <w:p w:rsidR="00803212" w:rsidRPr="00B31DAA" w:rsidRDefault="00803212" w:rsidP="00B31DAA">
            <w:pPr>
              <w:widowControl/>
              <w:jc w:val="center"/>
              <w:rPr>
                <w:rFonts w:ascii="宋体" w:cs="宋体"/>
                <w:color w:val="000000"/>
                <w:kern w:val="0"/>
                <w:sz w:val="16"/>
                <w:szCs w:val="16"/>
              </w:rPr>
            </w:pPr>
            <w:r w:rsidRPr="00B31DAA">
              <w:rPr>
                <w:rFonts w:ascii="宋体" w:hAnsi="宋体" w:cs="宋体" w:hint="eastAsia"/>
                <w:color w:val="000000"/>
                <w:kern w:val="0"/>
                <w:sz w:val="16"/>
                <w:szCs w:val="16"/>
              </w:rPr>
              <w:t>混合型</w:t>
            </w:r>
          </w:p>
        </w:tc>
        <w:tc>
          <w:tcPr>
            <w:tcW w:w="2315" w:type="dxa"/>
            <w:tcBorders>
              <w:top w:val="nil"/>
              <w:left w:val="nil"/>
              <w:bottom w:val="nil"/>
              <w:right w:val="nil"/>
            </w:tcBorders>
            <w:noWrap/>
            <w:vAlign w:val="bottom"/>
          </w:tcPr>
          <w:p w:rsidR="00803212" w:rsidRPr="00B31DAA" w:rsidRDefault="00803212" w:rsidP="00B31DAA">
            <w:pPr>
              <w:widowControl/>
              <w:jc w:val="center"/>
              <w:rPr>
                <w:rFonts w:ascii="Arial" w:hAnsi="Arial" w:cs="Arial"/>
                <w:color w:val="000000"/>
                <w:kern w:val="0"/>
                <w:sz w:val="16"/>
                <w:szCs w:val="16"/>
              </w:rPr>
            </w:pPr>
            <w:r w:rsidRPr="00B31DAA">
              <w:rPr>
                <w:rFonts w:ascii="Arial" w:hAnsi="Arial" w:cs="Arial"/>
                <w:color w:val="000000"/>
                <w:kern w:val="0"/>
                <w:sz w:val="16"/>
                <w:szCs w:val="16"/>
              </w:rPr>
              <w:t>23</w:t>
            </w:r>
          </w:p>
        </w:tc>
        <w:tc>
          <w:tcPr>
            <w:tcW w:w="2969" w:type="dxa"/>
            <w:tcBorders>
              <w:top w:val="nil"/>
              <w:left w:val="nil"/>
              <w:bottom w:val="nil"/>
              <w:right w:val="nil"/>
            </w:tcBorders>
            <w:noWrap/>
            <w:vAlign w:val="bottom"/>
          </w:tcPr>
          <w:p w:rsidR="00803212" w:rsidRPr="00B31DAA" w:rsidRDefault="00803212" w:rsidP="00B31DAA">
            <w:pPr>
              <w:widowControl/>
              <w:jc w:val="center"/>
              <w:rPr>
                <w:rFonts w:ascii="Arial" w:hAnsi="Arial" w:cs="Arial"/>
                <w:color w:val="000000"/>
                <w:kern w:val="0"/>
                <w:sz w:val="16"/>
                <w:szCs w:val="16"/>
              </w:rPr>
            </w:pPr>
            <w:r w:rsidRPr="00B31DAA">
              <w:rPr>
                <w:rFonts w:ascii="Arial" w:hAnsi="Arial" w:cs="Arial"/>
                <w:color w:val="000000"/>
                <w:kern w:val="0"/>
                <w:sz w:val="16"/>
                <w:szCs w:val="16"/>
              </w:rPr>
              <w:t xml:space="preserve">297.23 </w:t>
            </w:r>
          </w:p>
        </w:tc>
        <w:tc>
          <w:tcPr>
            <w:tcW w:w="1096" w:type="dxa"/>
            <w:tcBorders>
              <w:top w:val="nil"/>
              <w:left w:val="nil"/>
              <w:bottom w:val="nil"/>
              <w:right w:val="nil"/>
            </w:tcBorders>
            <w:noWrap/>
            <w:vAlign w:val="bottom"/>
          </w:tcPr>
          <w:p w:rsidR="00803212" w:rsidRPr="00B31DAA" w:rsidRDefault="00803212" w:rsidP="00B31DAA">
            <w:pPr>
              <w:widowControl/>
              <w:jc w:val="center"/>
              <w:rPr>
                <w:rFonts w:ascii="Arial" w:hAnsi="Arial" w:cs="Arial"/>
                <w:color w:val="000000"/>
                <w:kern w:val="0"/>
                <w:sz w:val="16"/>
                <w:szCs w:val="16"/>
              </w:rPr>
            </w:pPr>
            <w:r w:rsidRPr="00B31DAA">
              <w:rPr>
                <w:rFonts w:ascii="Arial" w:hAnsi="Arial" w:cs="Arial"/>
                <w:color w:val="000000"/>
                <w:kern w:val="0"/>
                <w:sz w:val="16"/>
                <w:szCs w:val="16"/>
              </w:rPr>
              <w:t xml:space="preserve">12.92 </w:t>
            </w:r>
          </w:p>
        </w:tc>
      </w:tr>
      <w:tr w:rsidR="00803212" w:rsidRPr="00C41721" w:rsidTr="00B31DAA">
        <w:trPr>
          <w:trHeight w:val="285"/>
        </w:trPr>
        <w:tc>
          <w:tcPr>
            <w:tcW w:w="1472" w:type="dxa"/>
            <w:tcBorders>
              <w:top w:val="nil"/>
              <w:left w:val="nil"/>
              <w:bottom w:val="nil"/>
              <w:right w:val="nil"/>
            </w:tcBorders>
            <w:noWrap/>
            <w:vAlign w:val="bottom"/>
          </w:tcPr>
          <w:p w:rsidR="00803212" w:rsidRPr="00B31DAA" w:rsidRDefault="00803212" w:rsidP="00B31DAA">
            <w:pPr>
              <w:widowControl/>
              <w:jc w:val="center"/>
              <w:rPr>
                <w:rFonts w:ascii="宋体" w:cs="宋体"/>
                <w:color w:val="000000"/>
                <w:kern w:val="0"/>
                <w:sz w:val="16"/>
                <w:szCs w:val="16"/>
              </w:rPr>
            </w:pPr>
            <w:r w:rsidRPr="00B31DAA">
              <w:rPr>
                <w:rFonts w:ascii="宋体" w:hAnsi="宋体" w:cs="宋体" w:hint="eastAsia"/>
                <w:color w:val="000000"/>
                <w:kern w:val="0"/>
                <w:sz w:val="16"/>
                <w:szCs w:val="16"/>
              </w:rPr>
              <w:t>商品型</w:t>
            </w:r>
          </w:p>
        </w:tc>
        <w:tc>
          <w:tcPr>
            <w:tcW w:w="2315" w:type="dxa"/>
            <w:tcBorders>
              <w:top w:val="nil"/>
              <w:left w:val="nil"/>
              <w:bottom w:val="nil"/>
              <w:right w:val="nil"/>
            </w:tcBorders>
            <w:noWrap/>
            <w:vAlign w:val="bottom"/>
          </w:tcPr>
          <w:p w:rsidR="00803212" w:rsidRPr="00B31DAA" w:rsidRDefault="00803212" w:rsidP="00B31DAA">
            <w:pPr>
              <w:widowControl/>
              <w:jc w:val="center"/>
              <w:rPr>
                <w:rFonts w:ascii="Arial" w:hAnsi="Arial" w:cs="Arial"/>
                <w:color w:val="000000"/>
                <w:kern w:val="0"/>
                <w:sz w:val="16"/>
                <w:szCs w:val="16"/>
              </w:rPr>
            </w:pPr>
            <w:r w:rsidRPr="00B31DAA">
              <w:rPr>
                <w:rFonts w:ascii="Arial" w:hAnsi="Arial" w:cs="Arial"/>
                <w:color w:val="000000"/>
                <w:kern w:val="0"/>
                <w:sz w:val="16"/>
                <w:szCs w:val="16"/>
              </w:rPr>
              <w:t>1</w:t>
            </w:r>
          </w:p>
        </w:tc>
        <w:tc>
          <w:tcPr>
            <w:tcW w:w="2969" w:type="dxa"/>
            <w:tcBorders>
              <w:top w:val="nil"/>
              <w:left w:val="nil"/>
              <w:bottom w:val="nil"/>
              <w:right w:val="nil"/>
            </w:tcBorders>
            <w:noWrap/>
            <w:vAlign w:val="bottom"/>
          </w:tcPr>
          <w:p w:rsidR="00803212" w:rsidRPr="00B31DAA" w:rsidRDefault="00803212" w:rsidP="00B31DAA">
            <w:pPr>
              <w:widowControl/>
              <w:jc w:val="center"/>
              <w:rPr>
                <w:rFonts w:ascii="Arial" w:hAnsi="Arial" w:cs="Arial"/>
                <w:color w:val="000000"/>
                <w:kern w:val="0"/>
                <w:sz w:val="16"/>
                <w:szCs w:val="16"/>
              </w:rPr>
            </w:pPr>
            <w:r w:rsidRPr="00B31DAA">
              <w:rPr>
                <w:rFonts w:ascii="Arial" w:hAnsi="Arial" w:cs="Arial"/>
                <w:color w:val="000000"/>
                <w:kern w:val="0"/>
                <w:sz w:val="16"/>
                <w:szCs w:val="16"/>
              </w:rPr>
              <w:t xml:space="preserve">2.92 </w:t>
            </w:r>
          </w:p>
        </w:tc>
        <w:tc>
          <w:tcPr>
            <w:tcW w:w="1096" w:type="dxa"/>
            <w:tcBorders>
              <w:top w:val="nil"/>
              <w:left w:val="nil"/>
              <w:bottom w:val="nil"/>
              <w:right w:val="nil"/>
            </w:tcBorders>
            <w:noWrap/>
            <w:vAlign w:val="bottom"/>
          </w:tcPr>
          <w:p w:rsidR="00803212" w:rsidRPr="00B31DAA" w:rsidRDefault="00803212" w:rsidP="00B31DAA">
            <w:pPr>
              <w:widowControl/>
              <w:jc w:val="center"/>
              <w:rPr>
                <w:rFonts w:ascii="Arial" w:hAnsi="Arial" w:cs="Arial"/>
                <w:color w:val="000000"/>
                <w:kern w:val="0"/>
                <w:sz w:val="16"/>
                <w:szCs w:val="16"/>
              </w:rPr>
            </w:pPr>
            <w:r w:rsidRPr="00B31DAA">
              <w:rPr>
                <w:rFonts w:ascii="Arial" w:hAnsi="Arial" w:cs="Arial"/>
                <w:color w:val="000000"/>
                <w:kern w:val="0"/>
                <w:sz w:val="16"/>
                <w:szCs w:val="16"/>
              </w:rPr>
              <w:t xml:space="preserve">2.92 </w:t>
            </w:r>
          </w:p>
        </w:tc>
      </w:tr>
      <w:tr w:rsidR="00803212" w:rsidRPr="00C41721" w:rsidTr="00B31DAA">
        <w:trPr>
          <w:trHeight w:val="285"/>
        </w:trPr>
        <w:tc>
          <w:tcPr>
            <w:tcW w:w="1472" w:type="dxa"/>
            <w:tcBorders>
              <w:top w:val="nil"/>
              <w:left w:val="nil"/>
              <w:bottom w:val="nil"/>
              <w:right w:val="nil"/>
            </w:tcBorders>
            <w:noWrap/>
            <w:vAlign w:val="bottom"/>
          </w:tcPr>
          <w:p w:rsidR="00803212" w:rsidRPr="00B31DAA" w:rsidRDefault="00803212" w:rsidP="00B31DAA">
            <w:pPr>
              <w:widowControl/>
              <w:jc w:val="center"/>
              <w:rPr>
                <w:rFonts w:ascii="宋体" w:cs="宋体"/>
                <w:color w:val="000000"/>
                <w:kern w:val="0"/>
                <w:sz w:val="16"/>
                <w:szCs w:val="16"/>
              </w:rPr>
            </w:pPr>
            <w:r w:rsidRPr="00B31DAA">
              <w:rPr>
                <w:rFonts w:ascii="宋体" w:hAnsi="宋体" w:cs="宋体" w:hint="eastAsia"/>
                <w:color w:val="000000"/>
                <w:kern w:val="0"/>
                <w:sz w:val="16"/>
                <w:szCs w:val="16"/>
              </w:rPr>
              <w:t>保本型</w:t>
            </w:r>
          </w:p>
        </w:tc>
        <w:tc>
          <w:tcPr>
            <w:tcW w:w="2315" w:type="dxa"/>
            <w:tcBorders>
              <w:top w:val="nil"/>
              <w:left w:val="nil"/>
              <w:bottom w:val="nil"/>
              <w:right w:val="nil"/>
            </w:tcBorders>
            <w:noWrap/>
            <w:vAlign w:val="bottom"/>
          </w:tcPr>
          <w:p w:rsidR="00803212" w:rsidRPr="00B31DAA" w:rsidRDefault="00803212" w:rsidP="00B31DAA">
            <w:pPr>
              <w:widowControl/>
              <w:jc w:val="center"/>
              <w:rPr>
                <w:rFonts w:ascii="Arial" w:hAnsi="Arial" w:cs="Arial"/>
                <w:color w:val="000000"/>
                <w:kern w:val="0"/>
                <w:sz w:val="16"/>
                <w:szCs w:val="16"/>
              </w:rPr>
            </w:pPr>
            <w:r w:rsidRPr="00B31DAA">
              <w:rPr>
                <w:rFonts w:ascii="Arial" w:hAnsi="Arial" w:cs="Arial"/>
                <w:color w:val="000000"/>
                <w:kern w:val="0"/>
                <w:sz w:val="16"/>
                <w:szCs w:val="16"/>
              </w:rPr>
              <w:t>3</w:t>
            </w:r>
          </w:p>
        </w:tc>
        <w:tc>
          <w:tcPr>
            <w:tcW w:w="2969" w:type="dxa"/>
            <w:tcBorders>
              <w:top w:val="nil"/>
              <w:left w:val="nil"/>
              <w:bottom w:val="nil"/>
              <w:right w:val="nil"/>
            </w:tcBorders>
            <w:noWrap/>
            <w:vAlign w:val="bottom"/>
          </w:tcPr>
          <w:p w:rsidR="00803212" w:rsidRPr="00B31DAA" w:rsidRDefault="00803212" w:rsidP="00B31DAA">
            <w:pPr>
              <w:widowControl/>
              <w:jc w:val="center"/>
              <w:rPr>
                <w:rFonts w:ascii="Arial" w:hAnsi="Arial" w:cs="Arial"/>
                <w:color w:val="000000"/>
                <w:kern w:val="0"/>
                <w:sz w:val="16"/>
                <w:szCs w:val="16"/>
              </w:rPr>
            </w:pPr>
            <w:r w:rsidRPr="00B31DAA">
              <w:rPr>
                <w:rFonts w:ascii="Arial" w:hAnsi="Arial" w:cs="Arial"/>
                <w:color w:val="000000"/>
                <w:kern w:val="0"/>
                <w:sz w:val="16"/>
                <w:szCs w:val="16"/>
              </w:rPr>
              <w:t xml:space="preserve">40.78 </w:t>
            </w:r>
          </w:p>
        </w:tc>
        <w:tc>
          <w:tcPr>
            <w:tcW w:w="1096" w:type="dxa"/>
            <w:tcBorders>
              <w:top w:val="nil"/>
              <w:left w:val="nil"/>
              <w:bottom w:val="nil"/>
              <w:right w:val="nil"/>
            </w:tcBorders>
            <w:noWrap/>
            <w:vAlign w:val="bottom"/>
          </w:tcPr>
          <w:p w:rsidR="00803212" w:rsidRPr="00B31DAA" w:rsidRDefault="00803212" w:rsidP="00B31DAA">
            <w:pPr>
              <w:widowControl/>
              <w:jc w:val="center"/>
              <w:rPr>
                <w:rFonts w:ascii="Arial" w:hAnsi="Arial" w:cs="Arial"/>
                <w:color w:val="000000"/>
                <w:kern w:val="0"/>
                <w:sz w:val="16"/>
                <w:szCs w:val="16"/>
              </w:rPr>
            </w:pPr>
            <w:r w:rsidRPr="00B31DAA">
              <w:rPr>
                <w:rFonts w:ascii="Arial" w:hAnsi="Arial" w:cs="Arial"/>
                <w:color w:val="000000"/>
                <w:kern w:val="0"/>
                <w:sz w:val="16"/>
                <w:szCs w:val="16"/>
              </w:rPr>
              <w:t xml:space="preserve">13.59 </w:t>
            </w:r>
          </w:p>
        </w:tc>
      </w:tr>
      <w:tr w:rsidR="00803212" w:rsidRPr="00C41721" w:rsidTr="00B31DAA">
        <w:trPr>
          <w:trHeight w:val="285"/>
        </w:trPr>
        <w:tc>
          <w:tcPr>
            <w:tcW w:w="1472" w:type="dxa"/>
            <w:tcBorders>
              <w:top w:val="nil"/>
              <w:left w:val="nil"/>
              <w:bottom w:val="nil"/>
              <w:right w:val="nil"/>
            </w:tcBorders>
            <w:noWrap/>
            <w:vAlign w:val="bottom"/>
          </w:tcPr>
          <w:p w:rsidR="00803212" w:rsidRPr="00B31DAA" w:rsidRDefault="00803212" w:rsidP="00B31DAA">
            <w:pPr>
              <w:widowControl/>
              <w:jc w:val="center"/>
              <w:rPr>
                <w:rFonts w:ascii="宋体" w:cs="宋体"/>
                <w:color w:val="000000"/>
                <w:kern w:val="0"/>
                <w:sz w:val="16"/>
                <w:szCs w:val="16"/>
              </w:rPr>
            </w:pPr>
            <w:r w:rsidRPr="00B31DAA">
              <w:rPr>
                <w:rFonts w:ascii="宋体" w:hAnsi="宋体" w:cs="宋体" w:hint="eastAsia"/>
                <w:color w:val="000000"/>
                <w:kern w:val="0"/>
                <w:sz w:val="16"/>
                <w:szCs w:val="16"/>
              </w:rPr>
              <w:t>债券型</w:t>
            </w:r>
          </w:p>
        </w:tc>
        <w:tc>
          <w:tcPr>
            <w:tcW w:w="2315" w:type="dxa"/>
            <w:tcBorders>
              <w:top w:val="nil"/>
              <w:left w:val="nil"/>
              <w:bottom w:val="nil"/>
              <w:right w:val="nil"/>
            </w:tcBorders>
            <w:noWrap/>
            <w:vAlign w:val="bottom"/>
          </w:tcPr>
          <w:p w:rsidR="00803212" w:rsidRPr="00B31DAA" w:rsidRDefault="00803212" w:rsidP="00B31DAA">
            <w:pPr>
              <w:widowControl/>
              <w:jc w:val="center"/>
              <w:rPr>
                <w:rFonts w:ascii="Arial" w:hAnsi="Arial" w:cs="Arial"/>
                <w:color w:val="000000"/>
                <w:kern w:val="0"/>
                <w:sz w:val="16"/>
                <w:szCs w:val="16"/>
              </w:rPr>
            </w:pPr>
            <w:r w:rsidRPr="00B31DAA">
              <w:rPr>
                <w:rFonts w:ascii="Arial" w:hAnsi="Arial" w:cs="Arial"/>
                <w:color w:val="000000"/>
                <w:kern w:val="0"/>
                <w:sz w:val="16"/>
                <w:szCs w:val="16"/>
              </w:rPr>
              <w:t>18</w:t>
            </w:r>
          </w:p>
        </w:tc>
        <w:tc>
          <w:tcPr>
            <w:tcW w:w="2969" w:type="dxa"/>
            <w:tcBorders>
              <w:top w:val="nil"/>
              <w:left w:val="nil"/>
              <w:bottom w:val="nil"/>
              <w:right w:val="nil"/>
            </w:tcBorders>
            <w:noWrap/>
            <w:vAlign w:val="bottom"/>
          </w:tcPr>
          <w:p w:rsidR="00803212" w:rsidRPr="00B31DAA" w:rsidRDefault="00803212" w:rsidP="00B31DAA">
            <w:pPr>
              <w:widowControl/>
              <w:jc w:val="center"/>
              <w:rPr>
                <w:rFonts w:ascii="Arial" w:hAnsi="Arial" w:cs="Arial"/>
                <w:color w:val="000000"/>
                <w:kern w:val="0"/>
                <w:sz w:val="16"/>
                <w:szCs w:val="16"/>
              </w:rPr>
            </w:pPr>
            <w:r w:rsidRPr="00B31DAA">
              <w:rPr>
                <w:rFonts w:ascii="Arial" w:hAnsi="Arial" w:cs="Arial"/>
                <w:color w:val="000000"/>
                <w:kern w:val="0"/>
                <w:sz w:val="16"/>
                <w:szCs w:val="16"/>
              </w:rPr>
              <w:t xml:space="preserve">165.67 </w:t>
            </w:r>
          </w:p>
        </w:tc>
        <w:tc>
          <w:tcPr>
            <w:tcW w:w="1096" w:type="dxa"/>
            <w:tcBorders>
              <w:top w:val="nil"/>
              <w:left w:val="nil"/>
              <w:bottom w:val="nil"/>
              <w:right w:val="nil"/>
            </w:tcBorders>
            <w:noWrap/>
            <w:vAlign w:val="bottom"/>
          </w:tcPr>
          <w:p w:rsidR="00803212" w:rsidRPr="00B31DAA" w:rsidRDefault="00803212" w:rsidP="00B31DAA">
            <w:pPr>
              <w:widowControl/>
              <w:jc w:val="center"/>
              <w:rPr>
                <w:rFonts w:ascii="Arial" w:hAnsi="Arial" w:cs="Arial"/>
                <w:color w:val="000000"/>
                <w:kern w:val="0"/>
                <w:sz w:val="16"/>
                <w:szCs w:val="16"/>
              </w:rPr>
            </w:pPr>
            <w:r w:rsidRPr="00B31DAA">
              <w:rPr>
                <w:rFonts w:ascii="Arial" w:hAnsi="Arial" w:cs="Arial"/>
                <w:color w:val="000000"/>
                <w:kern w:val="0"/>
                <w:sz w:val="16"/>
                <w:szCs w:val="16"/>
              </w:rPr>
              <w:t xml:space="preserve">9.20 </w:t>
            </w:r>
          </w:p>
        </w:tc>
      </w:tr>
      <w:tr w:rsidR="00803212" w:rsidRPr="00C41721" w:rsidTr="00B31DAA">
        <w:trPr>
          <w:trHeight w:val="285"/>
        </w:trPr>
        <w:tc>
          <w:tcPr>
            <w:tcW w:w="1472" w:type="dxa"/>
            <w:tcBorders>
              <w:top w:val="nil"/>
              <w:left w:val="nil"/>
              <w:bottom w:val="nil"/>
              <w:right w:val="nil"/>
            </w:tcBorders>
            <w:noWrap/>
            <w:vAlign w:val="bottom"/>
          </w:tcPr>
          <w:p w:rsidR="00803212" w:rsidRPr="00B31DAA" w:rsidRDefault="00803212" w:rsidP="00B31DAA">
            <w:pPr>
              <w:widowControl/>
              <w:jc w:val="center"/>
              <w:rPr>
                <w:rFonts w:ascii="宋体" w:cs="宋体"/>
                <w:color w:val="000000"/>
                <w:kern w:val="0"/>
                <w:sz w:val="16"/>
                <w:szCs w:val="16"/>
              </w:rPr>
            </w:pPr>
            <w:r w:rsidRPr="00B31DAA">
              <w:rPr>
                <w:rFonts w:ascii="宋体" w:hAnsi="宋体" w:cs="宋体" w:hint="eastAsia"/>
                <w:color w:val="000000"/>
                <w:kern w:val="0"/>
                <w:sz w:val="16"/>
                <w:szCs w:val="16"/>
              </w:rPr>
              <w:t>理财债基</w:t>
            </w:r>
          </w:p>
        </w:tc>
        <w:tc>
          <w:tcPr>
            <w:tcW w:w="2315" w:type="dxa"/>
            <w:tcBorders>
              <w:top w:val="nil"/>
              <w:left w:val="nil"/>
              <w:bottom w:val="nil"/>
              <w:right w:val="nil"/>
            </w:tcBorders>
            <w:noWrap/>
            <w:vAlign w:val="bottom"/>
          </w:tcPr>
          <w:p w:rsidR="00803212" w:rsidRPr="00B31DAA" w:rsidRDefault="00803212" w:rsidP="00B31DAA">
            <w:pPr>
              <w:widowControl/>
              <w:jc w:val="center"/>
              <w:rPr>
                <w:rFonts w:ascii="Arial" w:hAnsi="Arial" w:cs="Arial"/>
                <w:color w:val="000000"/>
                <w:kern w:val="0"/>
                <w:sz w:val="16"/>
                <w:szCs w:val="16"/>
              </w:rPr>
            </w:pPr>
            <w:r w:rsidRPr="00B31DAA">
              <w:rPr>
                <w:rFonts w:ascii="Arial" w:hAnsi="Arial" w:cs="Arial"/>
                <w:color w:val="000000"/>
                <w:kern w:val="0"/>
                <w:sz w:val="16"/>
                <w:szCs w:val="16"/>
              </w:rPr>
              <w:t>5</w:t>
            </w:r>
          </w:p>
        </w:tc>
        <w:tc>
          <w:tcPr>
            <w:tcW w:w="2969" w:type="dxa"/>
            <w:tcBorders>
              <w:top w:val="nil"/>
              <w:left w:val="nil"/>
              <w:bottom w:val="nil"/>
              <w:right w:val="nil"/>
            </w:tcBorders>
            <w:noWrap/>
            <w:vAlign w:val="bottom"/>
          </w:tcPr>
          <w:p w:rsidR="00803212" w:rsidRPr="00B31DAA" w:rsidRDefault="00803212" w:rsidP="00B31DAA">
            <w:pPr>
              <w:widowControl/>
              <w:jc w:val="center"/>
              <w:rPr>
                <w:rFonts w:ascii="Arial" w:hAnsi="Arial" w:cs="Arial"/>
                <w:color w:val="000000"/>
                <w:kern w:val="0"/>
                <w:sz w:val="16"/>
                <w:szCs w:val="16"/>
              </w:rPr>
            </w:pPr>
            <w:r w:rsidRPr="00B31DAA">
              <w:rPr>
                <w:rFonts w:ascii="Arial" w:hAnsi="Arial" w:cs="Arial"/>
                <w:color w:val="000000"/>
                <w:kern w:val="0"/>
                <w:sz w:val="16"/>
                <w:szCs w:val="16"/>
              </w:rPr>
              <w:t xml:space="preserve">13.78 </w:t>
            </w:r>
          </w:p>
        </w:tc>
        <w:tc>
          <w:tcPr>
            <w:tcW w:w="1096" w:type="dxa"/>
            <w:tcBorders>
              <w:top w:val="nil"/>
              <w:left w:val="nil"/>
              <w:bottom w:val="nil"/>
              <w:right w:val="nil"/>
            </w:tcBorders>
            <w:noWrap/>
            <w:vAlign w:val="bottom"/>
          </w:tcPr>
          <w:p w:rsidR="00803212" w:rsidRPr="00B31DAA" w:rsidRDefault="00803212" w:rsidP="00B31DAA">
            <w:pPr>
              <w:widowControl/>
              <w:jc w:val="center"/>
              <w:rPr>
                <w:rFonts w:ascii="Arial" w:hAnsi="Arial" w:cs="Arial"/>
                <w:color w:val="000000"/>
                <w:kern w:val="0"/>
                <w:sz w:val="16"/>
                <w:szCs w:val="16"/>
              </w:rPr>
            </w:pPr>
            <w:r w:rsidRPr="00B31DAA">
              <w:rPr>
                <w:rFonts w:ascii="Arial" w:hAnsi="Arial" w:cs="Arial"/>
                <w:color w:val="000000"/>
                <w:kern w:val="0"/>
                <w:sz w:val="16"/>
                <w:szCs w:val="16"/>
              </w:rPr>
              <w:t xml:space="preserve">2.76 </w:t>
            </w:r>
          </w:p>
        </w:tc>
      </w:tr>
      <w:tr w:rsidR="00803212" w:rsidRPr="00C41721" w:rsidTr="00B31DAA">
        <w:trPr>
          <w:trHeight w:val="285"/>
        </w:trPr>
        <w:tc>
          <w:tcPr>
            <w:tcW w:w="1472" w:type="dxa"/>
            <w:tcBorders>
              <w:top w:val="nil"/>
              <w:left w:val="nil"/>
              <w:bottom w:val="nil"/>
              <w:right w:val="nil"/>
            </w:tcBorders>
            <w:noWrap/>
            <w:vAlign w:val="bottom"/>
          </w:tcPr>
          <w:p w:rsidR="00803212" w:rsidRPr="00B31DAA" w:rsidRDefault="00803212" w:rsidP="00B31DAA">
            <w:pPr>
              <w:widowControl/>
              <w:jc w:val="center"/>
              <w:rPr>
                <w:rFonts w:ascii="宋体" w:cs="宋体"/>
                <w:color w:val="000000"/>
                <w:kern w:val="0"/>
                <w:sz w:val="16"/>
                <w:szCs w:val="16"/>
              </w:rPr>
            </w:pPr>
            <w:r w:rsidRPr="00B31DAA">
              <w:rPr>
                <w:rFonts w:ascii="宋体" w:hAnsi="宋体" w:cs="宋体" w:hint="eastAsia"/>
                <w:color w:val="000000"/>
                <w:kern w:val="0"/>
                <w:sz w:val="16"/>
                <w:szCs w:val="16"/>
              </w:rPr>
              <w:t>货币型</w:t>
            </w:r>
          </w:p>
        </w:tc>
        <w:tc>
          <w:tcPr>
            <w:tcW w:w="2315" w:type="dxa"/>
            <w:tcBorders>
              <w:top w:val="nil"/>
              <w:left w:val="nil"/>
              <w:bottom w:val="nil"/>
              <w:right w:val="nil"/>
            </w:tcBorders>
            <w:noWrap/>
            <w:vAlign w:val="bottom"/>
          </w:tcPr>
          <w:p w:rsidR="00803212" w:rsidRPr="00B31DAA" w:rsidRDefault="00803212" w:rsidP="00B31DAA">
            <w:pPr>
              <w:widowControl/>
              <w:jc w:val="center"/>
              <w:rPr>
                <w:rFonts w:ascii="Arial" w:hAnsi="Arial" w:cs="Arial"/>
                <w:color w:val="000000"/>
                <w:kern w:val="0"/>
                <w:sz w:val="16"/>
                <w:szCs w:val="16"/>
              </w:rPr>
            </w:pPr>
            <w:r w:rsidRPr="00B31DAA">
              <w:rPr>
                <w:rFonts w:ascii="Arial" w:hAnsi="Arial" w:cs="Arial"/>
                <w:color w:val="000000"/>
                <w:kern w:val="0"/>
                <w:sz w:val="16"/>
                <w:szCs w:val="16"/>
              </w:rPr>
              <w:t>21</w:t>
            </w:r>
          </w:p>
        </w:tc>
        <w:tc>
          <w:tcPr>
            <w:tcW w:w="2969" w:type="dxa"/>
            <w:tcBorders>
              <w:top w:val="nil"/>
              <w:left w:val="nil"/>
              <w:bottom w:val="nil"/>
              <w:right w:val="nil"/>
            </w:tcBorders>
            <w:noWrap/>
            <w:vAlign w:val="bottom"/>
          </w:tcPr>
          <w:p w:rsidR="00803212" w:rsidRPr="00B31DAA" w:rsidRDefault="00803212" w:rsidP="00B31DAA">
            <w:pPr>
              <w:widowControl/>
              <w:jc w:val="center"/>
              <w:rPr>
                <w:rFonts w:ascii="Arial" w:hAnsi="Arial" w:cs="Arial"/>
                <w:color w:val="000000"/>
                <w:kern w:val="0"/>
                <w:sz w:val="16"/>
                <w:szCs w:val="16"/>
              </w:rPr>
            </w:pPr>
            <w:r w:rsidRPr="00B31DAA">
              <w:rPr>
                <w:rFonts w:ascii="Arial" w:hAnsi="Arial" w:cs="Arial"/>
                <w:color w:val="000000"/>
                <w:kern w:val="0"/>
                <w:sz w:val="16"/>
                <w:szCs w:val="16"/>
              </w:rPr>
              <w:t xml:space="preserve">215.67 </w:t>
            </w:r>
          </w:p>
        </w:tc>
        <w:tc>
          <w:tcPr>
            <w:tcW w:w="1096" w:type="dxa"/>
            <w:tcBorders>
              <w:top w:val="nil"/>
              <w:left w:val="nil"/>
              <w:bottom w:val="nil"/>
              <w:right w:val="nil"/>
            </w:tcBorders>
            <w:noWrap/>
            <w:vAlign w:val="bottom"/>
          </w:tcPr>
          <w:p w:rsidR="00803212" w:rsidRPr="00B31DAA" w:rsidRDefault="00803212" w:rsidP="00B31DAA">
            <w:pPr>
              <w:widowControl/>
              <w:jc w:val="center"/>
              <w:rPr>
                <w:rFonts w:ascii="Arial" w:hAnsi="Arial" w:cs="Arial"/>
                <w:color w:val="000000"/>
                <w:kern w:val="0"/>
                <w:sz w:val="16"/>
                <w:szCs w:val="16"/>
              </w:rPr>
            </w:pPr>
            <w:r w:rsidRPr="00B31DAA">
              <w:rPr>
                <w:rFonts w:ascii="Arial" w:hAnsi="Arial" w:cs="Arial"/>
                <w:color w:val="000000"/>
                <w:kern w:val="0"/>
                <w:sz w:val="16"/>
                <w:szCs w:val="16"/>
              </w:rPr>
              <w:t xml:space="preserve">10.27 </w:t>
            </w:r>
          </w:p>
        </w:tc>
      </w:tr>
      <w:tr w:rsidR="00803212" w:rsidRPr="00C41721" w:rsidTr="00B31DAA">
        <w:trPr>
          <w:trHeight w:val="285"/>
        </w:trPr>
        <w:tc>
          <w:tcPr>
            <w:tcW w:w="1472" w:type="dxa"/>
            <w:tcBorders>
              <w:top w:val="nil"/>
              <w:left w:val="nil"/>
              <w:bottom w:val="nil"/>
              <w:right w:val="nil"/>
            </w:tcBorders>
            <w:noWrap/>
            <w:vAlign w:val="bottom"/>
          </w:tcPr>
          <w:p w:rsidR="00803212" w:rsidRPr="00B31DAA" w:rsidRDefault="00803212" w:rsidP="00B31DAA">
            <w:pPr>
              <w:widowControl/>
              <w:jc w:val="center"/>
              <w:rPr>
                <w:rFonts w:ascii="宋体" w:cs="宋体"/>
                <w:color w:val="000000"/>
                <w:kern w:val="0"/>
                <w:sz w:val="16"/>
                <w:szCs w:val="16"/>
              </w:rPr>
            </w:pPr>
            <w:r w:rsidRPr="00B31DAA">
              <w:rPr>
                <w:rFonts w:ascii="宋体" w:hAnsi="宋体" w:cs="宋体"/>
                <w:color w:val="000000"/>
                <w:kern w:val="0"/>
                <w:sz w:val="16"/>
                <w:szCs w:val="16"/>
              </w:rPr>
              <w:t>QDII</w:t>
            </w:r>
          </w:p>
        </w:tc>
        <w:tc>
          <w:tcPr>
            <w:tcW w:w="2315" w:type="dxa"/>
            <w:tcBorders>
              <w:top w:val="nil"/>
              <w:left w:val="nil"/>
              <w:bottom w:val="nil"/>
              <w:right w:val="nil"/>
            </w:tcBorders>
            <w:noWrap/>
            <w:vAlign w:val="bottom"/>
          </w:tcPr>
          <w:p w:rsidR="00803212" w:rsidRPr="00B31DAA" w:rsidRDefault="00803212" w:rsidP="00B31DAA">
            <w:pPr>
              <w:widowControl/>
              <w:jc w:val="center"/>
              <w:rPr>
                <w:rFonts w:ascii="Arial" w:hAnsi="Arial" w:cs="Arial"/>
                <w:color w:val="000000"/>
                <w:kern w:val="0"/>
                <w:sz w:val="16"/>
                <w:szCs w:val="16"/>
              </w:rPr>
            </w:pPr>
            <w:r w:rsidRPr="00B31DAA">
              <w:rPr>
                <w:rFonts w:ascii="Arial" w:hAnsi="Arial" w:cs="Arial"/>
                <w:color w:val="000000"/>
                <w:kern w:val="0"/>
                <w:sz w:val="16"/>
                <w:szCs w:val="16"/>
              </w:rPr>
              <w:t>2</w:t>
            </w:r>
          </w:p>
        </w:tc>
        <w:tc>
          <w:tcPr>
            <w:tcW w:w="2969" w:type="dxa"/>
            <w:tcBorders>
              <w:top w:val="nil"/>
              <w:left w:val="nil"/>
              <w:bottom w:val="nil"/>
              <w:right w:val="nil"/>
            </w:tcBorders>
            <w:noWrap/>
            <w:vAlign w:val="bottom"/>
          </w:tcPr>
          <w:p w:rsidR="00803212" w:rsidRPr="00B31DAA" w:rsidRDefault="00803212" w:rsidP="00B31DAA">
            <w:pPr>
              <w:widowControl/>
              <w:jc w:val="center"/>
              <w:rPr>
                <w:rFonts w:ascii="Arial" w:hAnsi="Arial" w:cs="Arial"/>
                <w:color w:val="000000"/>
                <w:kern w:val="0"/>
                <w:sz w:val="16"/>
                <w:szCs w:val="16"/>
              </w:rPr>
            </w:pPr>
            <w:r w:rsidRPr="00B31DAA">
              <w:rPr>
                <w:rFonts w:ascii="Arial" w:hAnsi="Arial" w:cs="Arial"/>
                <w:color w:val="000000"/>
                <w:kern w:val="0"/>
                <w:sz w:val="16"/>
                <w:szCs w:val="16"/>
              </w:rPr>
              <w:t xml:space="preserve">14.37 </w:t>
            </w:r>
          </w:p>
        </w:tc>
        <w:tc>
          <w:tcPr>
            <w:tcW w:w="1096" w:type="dxa"/>
            <w:tcBorders>
              <w:top w:val="nil"/>
              <w:left w:val="nil"/>
              <w:bottom w:val="nil"/>
              <w:right w:val="nil"/>
            </w:tcBorders>
            <w:noWrap/>
            <w:vAlign w:val="bottom"/>
          </w:tcPr>
          <w:p w:rsidR="00803212" w:rsidRPr="00B31DAA" w:rsidRDefault="00803212" w:rsidP="00B31DAA">
            <w:pPr>
              <w:widowControl/>
              <w:jc w:val="center"/>
              <w:rPr>
                <w:rFonts w:ascii="Arial" w:hAnsi="Arial" w:cs="Arial"/>
                <w:color w:val="000000"/>
                <w:kern w:val="0"/>
                <w:sz w:val="16"/>
                <w:szCs w:val="16"/>
              </w:rPr>
            </w:pPr>
            <w:r w:rsidRPr="00B31DAA">
              <w:rPr>
                <w:rFonts w:ascii="Arial" w:hAnsi="Arial" w:cs="Arial"/>
                <w:color w:val="000000"/>
                <w:kern w:val="0"/>
                <w:sz w:val="16"/>
                <w:szCs w:val="16"/>
              </w:rPr>
              <w:t xml:space="preserve">7.19 </w:t>
            </w:r>
          </w:p>
        </w:tc>
      </w:tr>
      <w:tr w:rsidR="00803212" w:rsidRPr="00C41721" w:rsidTr="00B31DAA">
        <w:trPr>
          <w:trHeight w:val="300"/>
        </w:trPr>
        <w:tc>
          <w:tcPr>
            <w:tcW w:w="1472" w:type="dxa"/>
            <w:tcBorders>
              <w:top w:val="nil"/>
              <w:left w:val="nil"/>
              <w:bottom w:val="nil"/>
              <w:right w:val="nil"/>
            </w:tcBorders>
            <w:noWrap/>
            <w:vAlign w:val="bottom"/>
          </w:tcPr>
          <w:p w:rsidR="00803212" w:rsidRPr="00B31DAA" w:rsidRDefault="00803212" w:rsidP="00B31DAA">
            <w:pPr>
              <w:widowControl/>
              <w:jc w:val="center"/>
              <w:rPr>
                <w:rFonts w:ascii="宋体" w:cs="宋体"/>
                <w:b/>
                <w:bCs/>
                <w:color w:val="000000"/>
                <w:kern w:val="0"/>
                <w:sz w:val="16"/>
                <w:szCs w:val="16"/>
              </w:rPr>
            </w:pPr>
            <w:r w:rsidRPr="00B31DAA">
              <w:rPr>
                <w:rFonts w:ascii="宋体" w:hAnsi="宋体" w:cs="宋体" w:hint="eastAsia"/>
                <w:b/>
                <w:bCs/>
                <w:color w:val="000000"/>
                <w:kern w:val="0"/>
                <w:sz w:val="16"/>
                <w:szCs w:val="16"/>
              </w:rPr>
              <w:t>汇总</w:t>
            </w:r>
          </w:p>
        </w:tc>
        <w:tc>
          <w:tcPr>
            <w:tcW w:w="2315" w:type="dxa"/>
            <w:tcBorders>
              <w:top w:val="nil"/>
              <w:left w:val="nil"/>
              <w:bottom w:val="nil"/>
              <w:right w:val="nil"/>
            </w:tcBorders>
            <w:noWrap/>
            <w:vAlign w:val="bottom"/>
          </w:tcPr>
          <w:p w:rsidR="00803212" w:rsidRPr="00B31DAA" w:rsidRDefault="00803212" w:rsidP="00B31DAA">
            <w:pPr>
              <w:widowControl/>
              <w:jc w:val="center"/>
              <w:rPr>
                <w:rFonts w:ascii="Arial" w:hAnsi="Arial" w:cs="Arial"/>
                <w:b/>
                <w:bCs/>
                <w:color w:val="000000"/>
                <w:kern w:val="0"/>
                <w:sz w:val="16"/>
                <w:szCs w:val="16"/>
              </w:rPr>
            </w:pPr>
            <w:r w:rsidRPr="00B31DAA">
              <w:rPr>
                <w:rFonts w:ascii="Arial" w:hAnsi="Arial" w:cs="Arial"/>
                <w:b/>
                <w:bCs/>
                <w:color w:val="000000"/>
                <w:kern w:val="0"/>
                <w:sz w:val="16"/>
                <w:szCs w:val="16"/>
              </w:rPr>
              <w:t>91</w:t>
            </w:r>
          </w:p>
        </w:tc>
        <w:tc>
          <w:tcPr>
            <w:tcW w:w="2969" w:type="dxa"/>
            <w:tcBorders>
              <w:top w:val="nil"/>
              <w:left w:val="nil"/>
              <w:bottom w:val="nil"/>
              <w:right w:val="nil"/>
            </w:tcBorders>
            <w:noWrap/>
            <w:vAlign w:val="bottom"/>
          </w:tcPr>
          <w:p w:rsidR="00803212" w:rsidRPr="00B31DAA" w:rsidRDefault="00803212" w:rsidP="00B31DAA">
            <w:pPr>
              <w:widowControl/>
              <w:jc w:val="center"/>
              <w:rPr>
                <w:rFonts w:ascii="Arial" w:hAnsi="Arial" w:cs="Arial"/>
                <w:b/>
                <w:bCs/>
                <w:color w:val="000000"/>
                <w:kern w:val="0"/>
                <w:sz w:val="16"/>
                <w:szCs w:val="16"/>
              </w:rPr>
            </w:pPr>
            <w:r w:rsidRPr="00B31DAA">
              <w:rPr>
                <w:rFonts w:ascii="Arial" w:hAnsi="Arial" w:cs="Arial"/>
                <w:b/>
                <w:bCs/>
                <w:color w:val="000000"/>
                <w:kern w:val="0"/>
                <w:sz w:val="16"/>
                <w:szCs w:val="16"/>
              </w:rPr>
              <w:t xml:space="preserve">919.44 </w:t>
            </w:r>
          </w:p>
        </w:tc>
        <w:tc>
          <w:tcPr>
            <w:tcW w:w="1096" w:type="dxa"/>
            <w:tcBorders>
              <w:top w:val="nil"/>
              <w:left w:val="nil"/>
              <w:bottom w:val="nil"/>
              <w:right w:val="nil"/>
            </w:tcBorders>
            <w:noWrap/>
            <w:vAlign w:val="bottom"/>
          </w:tcPr>
          <w:p w:rsidR="00803212" w:rsidRPr="00B31DAA" w:rsidRDefault="00803212" w:rsidP="00B31DAA">
            <w:pPr>
              <w:widowControl/>
              <w:jc w:val="center"/>
              <w:rPr>
                <w:rFonts w:ascii="Arial" w:hAnsi="Arial" w:cs="Arial"/>
                <w:b/>
                <w:bCs/>
                <w:color w:val="000000"/>
                <w:kern w:val="0"/>
                <w:sz w:val="16"/>
                <w:szCs w:val="16"/>
              </w:rPr>
            </w:pPr>
            <w:r w:rsidRPr="00B31DAA">
              <w:rPr>
                <w:rFonts w:ascii="Arial" w:hAnsi="Arial" w:cs="Arial"/>
                <w:b/>
                <w:bCs/>
                <w:color w:val="000000"/>
                <w:kern w:val="0"/>
                <w:sz w:val="16"/>
                <w:szCs w:val="16"/>
              </w:rPr>
              <w:t xml:space="preserve">10.10 </w:t>
            </w:r>
          </w:p>
        </w:tc>
      </w:tr>
      <w:tr w:rsidR="00803212" w:rsidRPr="00C41721" w:rsidTr="00B31DAA">
        <w:trPr>
          <w:trHeight w:val="285"/>
        </w:trPr>
        <w:tc>
          <w:tcPr>
            <w:tcW w:w="3787" w:type="dxa"/>
            <w:gridSpan w:val="2"/>
            <w:tcBorders>
              <w:top w:val="single" w:sz="8" w:space="0" w:color="E46D0A"/>
              <w:left w:val="nil"/>
              <w:bottom w:val="single" w:sz="8" w:space="0" w:color="E46D0A"/>
              <w:right w:val="nil"/>
            </w:tcBorders>
            <w:noWrap/>
            <w:vAlign w:val="bottom"/>
          </w:tcPr>
          <w:p w:rsidR="00803212" w:rsidRPr="00B31DAA" w:rsidRDefault="00803212" w:rsidP="00B31DAA">
            <w:pPr>
              <w:widowControl/>
              <w:jc w:val="left"/>
              <w:rPr>
                <w:rFonts w:ascii="宋体" w:cs="宋体"/>
                <w:color w:val="000000"/>
                <w:kern w:val="0"/>
                <w:sz w:val="16"/>
                <w:szCs w:val="16"/>
              </w:rPr>
            </w:pPr>
            <w:r w:rsidRPr="00B31DAA">
              <w:rPr>
                <w:rFonts w:ascii="宋体" w:hAnsi="宋体" w:cs="宋体" w:hint="eastAsia"/>
                <w:color w:val="000000"/>
                <w:kern w:val="0"/>
                <w:sz w:val="16"/>
                <w:szCs w:val="16"/>
              </w:rPr>
              <w:t>来源：凯石财富工场</w:t>
            </w:r>
          </w:p>
        </w:tc>
        <w:tc>
          <w:tcPr>
            <w:tcW w:w="2969" w:type="dxa"/>
            <w:tcBorders>
              <w:top w:val="single" w:sz="8" w:space="0" w:color="E46D0A"/>
              <w:left w:val="nil"/>
              <w:bottom w:val="single" w:sz="8" w:space="0" w:color="E46D0A"/>
              <w:right w:val="nil"/>
            </w:tcBorders>
            <w:noWrap/>
            <w:vAlign w:val="bottom"/>
          </w:tcPr>
          <w:p w:rsidR="00803212" w:rsidRPr="00B31DAA" w:rsidRDefault="00803212" w:rsidP="00B31DAA">
            <w:pPr>
              <w:widowControl/>
              <w:jc w:val="left"/>
              <w:rPr>
                <w:rFonts w:ascii="宋体" w:cs="宋体"/>
                <w:color w:val="000000"/>
                <w:kern w:val="0"/>
                <w:sz w:val="16"/>
                <w:szCs w:val="16"/>
              </w:rPr>
            </w:pPr>
            <w:r w:rsidRPr="00B31DAA">
              <w:rPr>
                <w:rFonts w:ascii="宋体" w:hAnsi="宋体" w:cs="宋体" w:hint="eastAsia"/>
                <w:color w:val="000000"/>
                <w:kern w:val="0"/>
                <w:sz w:val="16"/>
                <w:szCs w:val="16"/>
              </w:rPr>
              <w:t xml:space="preserve">　</w:t>
            </w:r>
          </w:p>
        </w:tc>
        <w:tc>
          <w:tcPr>
            <w:tcW w:w="1096" w:type="dxa"/>
            <w:tcBorders>
              <w:top w:val="single" w:sz="8" w:space="0" w:color="E46D0A"/>
              <w:left w:val="nil"/>
              <w:bottom w:val="single" w:sz="8" w:space="0" w:color="E46D0A"/>
              <w:right w:val="nil"/>
            </w:tcBorders>
            <w:noWrap/>
            <w:vAlign w:val="bottom"/>
          </w:tcPr>
          <w:p w:rsidR="00803212" w:rsidRPr="00B31DAA" w:rsidRDefault="00803212" w:rsidP="00B31DAA">
            <w:pPr>
              <w:widowControl/>
              <w:jc w:val="left"/>
              <w:rPr>
                <w:rFonts w:ascii="宋体" w:cs="宋体"/>
                <w:color w:val="000000"/>
                <w:kern w:val="0"/>
                <w:sz w:val="16"/>
                <w:szCs w:val="16"/>
              </w:rPr>
            </w:pPr>
            <w:r w:rsidRPr="00B31DAA">
              <w:rPr>
                <w:rFonts w:ascii="宋体" w:hAnsi="宋体" w:cs="宋体" w:hint="eastAsia"/>
                <w:color w:val="000000"/>
                <w:kern w:val="0"/>
                <w:sz w:val="16"/>
                <w:szCs w:val="16"/>
              </w:rPr>
              <w:t xml:space="preserve">　</w:t>
            </w:r>
          </w:p>
        </w:tc>
      </w:tr>
    </w:tbl>
    <w:p w:rsidR="00803212" w:rsidRDefault="00803212" w:rsidP="006340AC">
      <w:pPr>
        <w:widowControl/>
        <w:spacing w:beforeLines="100" w:after="120" w:line="240" w:lineRule="exact"/>
        <w:ind w:firstLineChars="1421" w:firstLine="3424"/>
        <w:rPr>
          <w:rFonts w:ascii="Arial" w:eastAsia="楷体_GB2312" w:hAnsi="Arial"/>
          <w:b/>
          <w:bCs/>
          <w:color w:val="0070C0"/>
          <w:kern w:val="0"/>
          <w:sz w:val="24"/>
          <w:szCs w:val="20"/>
          <w:lang w:val="en-GB"/>
        </w:rPr>
      </w:pPr>
      <w:r>
        <w:rPr>
          <w:rFonts w:ascii="Arial" w:eastAsia="楷体_GB2312" w:hAnsi="Arial" w:hint="eastAsia"/>
          <w:b/>
          <w:bCs/>
          <w:color w:val="0070C0"/>
          <w:kern w:val="0"/>
          <w:sz w:val="24"/>
          <w:szCs w:val="20"/>
          <w:lang w:val="en-GB"/>
        </w:rPr>
        <w:t>公募基金行业发展动态</w:t>
      </w:r>
    </w:p>
    <w:p w:rsidR="00803212" w:rsidRDefault="00803212" w:rsidP="00CB6BC8">
      <w:pPr>
        <w:pStyle w:val="BodyText"/>
        <w:spacing w:after="163"/>
        <w:rPr>
          <w:rFonts w:eastAsia="楷体_GB2312"/>
          <w:b/>
          <w:bCs/>
          <w:color w:val="0070C0"/>
          <w:szCs w:val="21"/>
        </w:rPr>
      </w:pPr>
      <w:r>
        <w:rPr>
          <w:rFonts w:eastAsia="楷体_GB2312" w:hint="eastAsia"/>
          <w:b/>
          <w:bCs/>
          <w:color w:val="0070C0"/>
          <w:szCs w:val="21"/>
        </w:rPr>
        <w:t>法律监管：注册制落地，一对多通道被禁</w:t>
      </w:r>
    </w:p>
    <w:p w:rsidR="00803212" w:rsidRDefault="00803212" w:rsidP="00CB6BC8">
      <w:pPr>
        <w:pStyle w:val="BodyText"/>
        <w:spacing w:after="163"/>
        <w:rPr>
          <w:rFonts w:eastAsia="楷体_GB2312"/>
          <w:b/>
          <w:bCs/>
          <w:color w:val="0070C0"/>
          <w:szCs w:val="21"/>
        </w:rPr>
      </w:pPr>
      <w:r w:rsidRPr="00D83752">
        <w:rPr>
          <w:rFonts w:eastAsia="楷体_GB2312" w:hint="eastAsia"/>
          <w:b/>
          <w:bCs/>
          <w:color w:val="0070C0"/>
          <w:szCs w:val="21"/>
        </w:rPr>
        <w:t>公募基金运作管理办法正式颁布</w:t>
      </w:r>
    </w:p>
    <w:p w:rsidR="00803212" w:rsidRDefault="00803212" w:rsidP="00CB6BC8">
      <w:pPr>
        <w:pStyle w:val="BodyText"/>
        <w:numPr>
          <w:ilvl w:val="4"/>
          <w:numId w:val="1"/>
        </w:numPr>
        <w:spacing w:after="163"/>
        <w:rPr>
          <w:rFonts w:eastAsia="楷体_GB2312"/>
          <w:color w:val="auto"/>
        </w:rPr>
      </w:pPr>
      <w:r w:rsidRPr="00D83752">
        <w:rPr>
          <w:rFonts w:eastAsia="楷体_GB2312"/>
          <w:color w:val="auto"/>
        </w:rPr>
        <w:t>7</w:t>
      </w:r>
      <w:r w:rsidRPr="00D83752">
        <w:rPr>
          <w:rFonts w:eastAsia="楷体_GB2312" w:hint="eastAsia"/>
          <w:color w:val="auto"/>
        </w:rPr>
        <w:t>月</w:t>
      </w:r>
      <w:r w:rsidRPr="00D83752">
        <w:rPr>
          <w:rFonts w:eastAsia="楷体_GB2312"/>
          <w:color w:val="auto"/>
        </w:rPr>
        <w:t>11</w:t>
      </w:r>
      <w:r w:rsidRPr="00D83752">
        <w:rPr>
          <w:rFonts w:eastAsia="楷体_GB2312" w:hint="eastAsia"/>
          <w:color w:val="auto"/>
        </w:rPr>
        <w:t>日，证监会正式发布《公开募集证券投资基金运作管理办法》，并于</w:t>
      </w:r>
      <w:r w:rsidRPr="00D83752">
        <w:rPr>
          <w:rFonts w:eastAsia="楷体_GB2312"/>
          <w:color w:val="auto"/>
        </w:rPr>
        <w:t>2014</w:t>
      </w:r>
      <w:r w:rsidRPr="00D83752">
        <w:rPr>
          <w:rFonts w:eastAsia="楷体_GB2312" w:hint="eastAsia"/>
          <w:color w:val="auto"/>
        </w:rPr>
        <w:t>年</w:t>
      </w:r>
      <w:r w:rsidRPr="00D83752">
        <w:rPr>
          <w:rFonts w:eastAsia="楷体_GB2312"/>
          <w:color w:val="auto"/>
        </w:rPr>
        <w:t>8</w:t>
      </w:r>
      <w:r w:rsidRPr="00D83752">
        <w:rPr>
          <w:rFonts w:eastAsia="楷体_GB2312" w:hint="eastAsia"/>
          <w:color w:val="auto"/>
        </w:rPr>
        <w:t>月</w:t>
      </w:r>
      <w:r w:rsidRPr="00D83752">
        <w:rPr>
          <w:rFonts w:eastAsia="楷体_GB2312"/>
          <w:color w:val="auto"/>
        </w:rPr>
        <w:t>8</w:t>
      </w:r>
      <w:r w:rsidRPr="00D83752">
        <w:rPr>
          <w:rFonts w:eastAsia="楷体_GB2312" w:hint="eastAsia"/>
          <w:color w:val="auto"/>
        </w:rPr>
        <w:t>日起正式实施。本次发布的《运作管理办法》遵循了加强监管，放松管制的指导理念，条文修改重点围绕以投资者需求为导向、保障投资者合法权益；推进市场化改革、落实公募基金注册制；规范基金运作、防范系统性风险；拓宽行业创新空间等四个方面进行修改，并对未来公募基金业发展产生深远影响。</w:t>
      </w:r>
    </w:p>
    <w:p w:rsidR="00803212" w:rsidRDefault="00803212" w:rsidP="00CB6BC8">
      <w:pPr>
        <w:pStyle w:val="BodyText"/>
        <w:numPr>
          <w:ilvl w:val="4"/>
          <w:numId w:val="1"/>
        </w:numPr>
        <w:spacing w:after="163"/>
        <w:rPr>
          <w:rFonts w:eastAsia="楷体_GB2312"/>
          <w:color w:val="auto"/>
        </w:rPr>
      </w:pPr>
      <w:r w:rsidRPr="00D83752">
        <w:rPr>
          <w:rFonts w:eastAsia="楷体_GB2312" w:hint="eastAsia"/>
          <w:b/>
          <w:color w:val="auto"/>
        </w:rPr>
        <w:t>公募基金注册制正式落地。</w:t>
      </w:r>
      <w:r w:rsidRPr="00D83752">
        <w:rPr>
          <w:rFonts w:eastAsia="楷体_GB2312" w:hint="eastAsia"/>
          <w:color w:val="auto"/>
        </w:rPr>
        <w:t>结合《管理办法》相关规定，未来证监会将从监管理念、监管方式、许可程序、事中事后监管等层面上做出调整，为基金注册制的顺利实施保驾护航。在产品发行市场化的背景下，充分有效的信息披露对于投资者权益的保障至关重要；此外随着产品审批程序的简化，以及事中事后监管的强化，有利于基金公司根据市场环境及自身发展规划调整产品供应节奏及方向，并为产品创新预留较为充足的空间。</w:t>
      </w:r>
    </w:p>
    <w:p w:rsidR="00803212" w:rsidRDefault="00803212" w:rsidP="00CB6BC8">
      <w:pPr>
        <w:pStyle w:val="BodyText"/>
        <w:numPr>
          <w:ilvl w:val="4"/>
          <w:numId w:val="1"/>
        </w:numPr>
        <w:spacing w:after="163"/>
        <w:rPr>
          <w:rFonts w:eastAsia="楷体_GB2312"/>
          <w:color w:val="auto"/>
        </w:rPr>
      </w:pPr>
      <w:r w:rsidRPr="00D83752">
        <w:rPr>
          <w:rFonts w:eastAsia="楷体_GB2312" w:hint="eastAsia"/>
          <w:b/>
          <w:color w:val="auto"/>
        </w:rPr>
        <w:t>现有大类产品运作格局面临调整。</w:t>
      </w:r>
      <w:r w:rsidRPr="00D83752">
        <w:rPr>
          <w:rFonts w:eastAsia="楷体_GB2312" w:hint="eastAsia"/>
          <w:color w:val="auto"/>
        </w:rPr>
        <w:t>根据新版《运作管理办法规定》，股票型产品仓位下限将从原有的</w:t>
      </w:r>
      <w:r w:rsidRPr="00D83752">
        <w:rPr>
          <w:rFonts w:eastAsia="楷体_GB2312"/>
          <w:color w:val="auto"/>
        </w:rPr>
        <w:t>60%</w:t>
      </w:r>
      <w:r w:rsidRPr="00D83752">
        <w:rPr>
          <w:rFonts w:eastAsia="楷体_GB2312" w:hint="eastAsia"/>
          <w:color w:val="auto"/>
        </w:rPr>
        <w:t>上调至</w:t>
      </w:r>
      <w:r w:rsidRPr="00D83752">
        <w:rPr>
          <w:rFonts w:eastAsia="楷体_GB2312"/>
          <w:color w:val="auto"/>
        </w:rPr>
        <w:t>80%</w:t>
      </w:r>
      <w:r w:rsidRPr="00D83752">
        <w:rPr>
          <w:rFonts w:eastAsia="楷体_GB2312" w:hint="eastAsia"/>
          <w:color w:val="auto"/>
        </w:rPr>
        <w:t>，其高风险高收益的运作特征将得到强化。与此同时部分不满足要求的股票基金，可能以修改契约的方式转型为混合基金，届时将出现股票基金向混合型分流的趋势。此外根据新版《运作管理办法》规定，基金杠杆比例不得超过</w:t>
      </w:r>
      <w:r w:rsidRPr="00D83752">
        <w:rPr>
          <w:rFonts w:eastAsia="楷体_GB2312"/>
          <w:color w:val="auto"/>
        </w:rPr>
        <w:t>140%</w:t>
      </w:r>
      <w:r w:rsidRPr="00D83752">
        <w:rPr>
          <w:rFonts w:eastAsia="楷体_GB2312" w:hint="eastAsia"/>
          <w:color w:val="auto"/>
        </w:rPr>
        <w:t>，对于此前借助高杠杆比率放大收益的债券型基金而言，在风险下降的同时其获益空间同时受到制约。</w:t>
      </w:r>
    </w:p>
    <w:p w:rsidR="00803212" w:rsidRDefault="00803212" w:rsidP="00CB6BC8">
      <w:pPr>
        <w:pStyle w:val="BodyText"/>
        <w:numPr>
          <w:ilvl w:val="4"/>
          <w:numId w:val="1"/>
        </w:numPr>
        <w:spacing w:after="163"/>
        <w:rPr>
          <w:rFonts w:eastAsia="楷体_GB2312"/>
          <w:color w:val="auto"/>
        </w:rPr>
      </w:pPr>
      <w:r w:rsidRPr="00D83752">
        <w:rPr>
          <w:rFonts w:eastAsia="楷体_GB2312"/>
          <w:b/>
          <w:color w:val="auto"/>
        </w:rPr>
        <w:t>FOF</w:t>
      </w:r>
      <w:r w:rsidRPr="00D83752">
        <w:rPr>
          <w:rFonts w:eastAsia="楷体_GB2312" w:hint="eastAsia"/>
          <w:b/>
          <w:color w:val="auto"/>
        </w:rPr>
        <w:t>产品待破题。</w:t>
      </w:r>
      <w:r w:rsidRPr="00D83752">
        <w:rPr>
          <w:rFonts w:eastAsia="楷体_GB2312" w:hint="eastAsia"/>
          <w:color w:val="auto"/>
        </w:rPr>
        <w:t>新版《运作管理办法》明确提出</w:t>
      </w:r>
      <w:r w:rsidRPr="00D83752">
        <w:rPr>
          <w:rFonts w:eastAsia="楷体_GB2312"/>
          <w:color w:val="auto"/>
        </w:rPr>
        <w:t>FOF</w:t>
      </w:r>
      <w:r w:rsidRPr="00D83752">
        <w:rPr>
          <w:rFonts w:eastAsia="楷体_GB2312" w:hint="eastAsia"/>
          <w:color w:val="auto"/>
        </w:rPr>
        <w:t>投资于其他基金份额的比例下限为</w:t>
      </w:r>
      <w:r w:rsidRPr="00D83752">
        <w:rPr>
          <w:rFonts w:eastAsia="楷体_GB2312"/>
          <w:color w:val="auto"/>
        </w:rPr>
        <w:t>80</w:t>
      </w:r>
      <w:r w:rsidRPr="00D83752">
        <w:rPr>
          <w:rFonts w:eastAsia="楷体_GB2312" w:hint="eastAsia"/>
          <w:color w:val="auto"/>
        </w:rPr>
        <w:t>％，持有单只基金的市值不得超过基金资产净值的</w:t>
      </w:r>
      <w:r w:rsidRPr="00D83752">
        <w:rPr>
          <w:rFonts w:eastAsia="楷体_GB2312"/>
          <w:color w:val="auto"/>
        </w:rPr>
        <w:t>20%,</w:t>
      </w:r>
      <w:r w:rsidRPr="00D83752">
        <w:rPr>
          <w:rFonts w:eastAsia="楷体_GB2312" w:hint="eastAsia"/>
          <w:color w:val="auto"/>
        </w:rPr>
        <w:t>不得投资于其他</w:t>
      </w:r>
      <w:r w:rsidRPr="00D83752">
        <w:rPr>
          <w:rFonts w:eastAsia="楷体_GB2312"/>
          <w:color w:val="auto"/>
        </w:rPr>
        <w:t>FOF</w:t>
      </w:r>
      <w:r w:rsidRPr="00D83752">
        <w:rPr>
          <w:rFonts w:eastAsia="楷体_GB2312" w:hint="eastAsia"/>
          <w:color w:val="auto"/>
        </w:rPr>
        <w:t>。相关规定为公募</w:t>
      </w:r>
      <w:r w:rsidRPr="00D83752">
        <w:rPr>
          <w:rFonts w:eastAsia="楷体_GB2312"/>
          <w:color w:val="auto"/>
        </w:rPr>
        <w:t>FOF</w:t>
      </w:r>
      <w:r w:rsidRPr="00D83752">
        <w:rPr>
          <w:rFonts w:eastAsia="楷体_GB2312" w:hint="eastAsia"/>
          <w:color w:val="auto"/>
        </w:rPr>
        <w:t>产品的设计及运作提供了坐标，但作为创新领域，其具体产品的推出仍有赖风控、投资等环节设计细节的磨合测试。</w:t>
      </w:r>
    </w:p>
    <w:p w:rsidR="00803212" w:rsidRDefault="00803212" w:rsidP="00767EA6">
      <w:pPr>
        <w:pStyle w:val="BodyText"/>
        <w:spacing w:after="163"/>
        <w:rPr>
          <w:rFonts w:eastAsia="楷体_GB2312"/>
          <w:b/>
          <w:bCs/>
          <w:color w:val="0070C0"/>
          <w:szCs w:val="21"/>
        </w:rPr>
      </w:pPr>
      <w:r w:rsidRPr="00767EA6">
        <w:rPr>
          <w:rFonts w:eastAsia="楷体_GB2312" w:hint="eastAsia"/>
          <w:b/>
          <w:bCs/>
          <w:color w:val="0070C0"/>
          <w:szCs w:val="21"/>
        </w:rPr>
        <w:t>券基资管规范意见稿发布</w:t>
      </w:r>
    </w:p>
    <w:p w:rsidR="00803212" w:rsidRDefault="00803212" w:rsidP="00767EA6">
      <w:pPr>
        <w:pStyle w:val="BodyText"/>
        <w:numPr>
          <w:ilvl w:val="4"/>
          <w:numId w:val="1"/>
        </w:numPr>
        <w:spacing w:after="163"/>
        <w:rPr>
          <w:rFonts w:eastAsia="楷体_GB2312"/>
          <w:color w:val="auto"/>
        </w:rPr>
      </w:pPr>
      <w:r w:rsidRPr="00767EA6">
        <w:rPr>
          <w:rFonts w:eastAsia="楷体_GB2312"/>
          <w:color w:val="auto"/>
        </w:rPr>
        <w:t>9</w:t>
      </w:r>
      <w:r w:rsidRPr="00767EA6">
        <w:rPr>
          <w:rFonts w:eastAsia="楷体_GB2312" w:hint="eastAsia"/>
          <w:color w:val="auto"/>
        </w:rPr>
        <w:t>月基金业协会下发《关于规范证券公司、基金管理公司及其子公司从事特定客户资产管理业务有关事项的通知（征求意见稿）》对通道业务、信息披露、产品设计、从业人员管理及问责机制等方面做出明确规范，强调提升机构主动管理能力，加强风险控制，严防利益输送、内幕交易等违法行为。</w:t>
      </w:r>
    </w:p>
    <w:p w:rsidR="00803212" w:rsidRDefault="00803212" w:rsidP="00767EA6">
      <w:pPr>
        <w:pStyle w:val="BodyText"/>
        <w:numPr>
          <w:ilvl w:val="4"/>
          <w:numId w:val="1"/>
        </w:numPr>
        <w:spacing w:after="163"/>
        <w:rPr>
          <w:rFonts w:eastAsia="楷体_GB2312"/>
          <w:color w:val="auto"/>
        </w:rPr>
      </w:pPr>
      <w:r w:rsidRPr="00767EA6">
        <w:rPr>
          <w:rFonts w:eastAsia="楷体_GB2312" w:hint="eastAsia"/>
          <w:b/>
          <w:color w:val="auto"/>
        </w:rPr>
        <w:t>监管收紧，一对多通道被禁。</w:t>
      </w:r>
      <w:r w:rsidRPr="00767EA6">
        <w:rPr>
          <w:rFonts w:eastAsia="楷体_GB2312" w:hint="eastAsia"/>
          <w:color w:val="auto"/>
        </w:rPr>
        <w:t>意见稿提出管理机构应着力开发主动管理产品，不得以通道形式为特定的多个客户（“一对多”）办理特定客户资产管理业务。因业务需要，与单一客户（“一对一”）开展通道业务的，应建立和完善委托人遴选机制，制定审查标准和流程，明确各方权利义务。</w:t>
      </w:r>
    </w:p>
    <w:p w:rsidR="00803212" w:rsidRDefault="00803212" w:rsidP="00767EA6">
      <w:pPr>
        <w:pStyle w:val="BodyText"/>
        <w:numPr>
          <w:ilvl w:val="4"/>
          <w:numId w:val="1"/>
        </w:numPr>
        <w:spacing w:after="163"/>
        <w:rPr>
          <w:rFonts w:eastAsia="楷体_GB2312"/>
          <w:color w:val="auto"/>
        </w:rPr>
      </w:pPr>
      <w:r w:rsidRPr="00767EA6">
        <w:rPr>
          <w:rFonts w:eastAsia="楷体_GB2312" w:hint="eastAsia"/>
          <w:b/>
          <w:color w:val="auto"/>
        </w:rPr>
        <w:t>增强三方机构信息披露。</w:t>
      </w:r>
      <w:r w:rsidRPr="00767EA6">
        <w:rPr>
          <w:rFonts w:eastAsia="楷体_GB2312" w:hint="eastAsia"/>
          <w:color w:val="auto"/>
        </w:rPr>
        <w:t>信息披露环节，《征求意见稿》要求资产管理机构签订资产管理合同，应充分披露第三方机构的基本情况、产品的管理方式，并对管理人与第三方机构的责任等进行约定，充分揭示聘用第三方机构开展特定客户资产管理业务所面临的特定风险。</w:t>
      </w:r>
    </w:p>
    <w:p w:rsidR="00803212" w:rsidRDefault="00803212" w:rsidP="00767EA6">
      <w:pPr>
        <w:pStyle w:val="BodyText"/>
        <w:numPr>
          <w:ilvl w:val="4"/>
          <w:numId w:val="1"/>
        </w:numPr>
        <w:spacing w:after="163"/>
        <w:rPr>
          <w:rFonts w:eastAsia="楷体_GB2312"/>
          <w:color w:val="auto"/>
        </w:rPr>
      </w:pPr>
      <w:r w:rsidRPr="00767EA6">
        <w:rPr>
          <w:rFonts w:eastAsia="楷体_GB2312" w:hint="eastAsia"/>
          <w:b/>
          <w:color w:val="auto"/>
        </w:rPr>
        <w:t>规范分级产品杠杆设定。</w:t>
      </w:r>
      <w:r w:rsidRPr="00767EA6">
        <w:rPr>
          <w:rFonts w:eastAsia="楷体_GB2312" w:hint="eastAsia"/>
          <w:color w:val="auto"/>
        </w:rPr>
        <w:t>《征求意见稿》明确分级资产管理计划应遵循杠杆设计与风险收益相匹配的原则。权益类产品初始杠杆倍数应不超过</w:t>
      </w:r>
      <w:r w:rsidRPr="00767EA6">
        <w:rPr>
          <w:rFonts w:eastAsia="楷体_GB2312"/>
          <w:color w:val="auto"/>
        </w:rPr>
        <w:t>5</w:t>
      </w:r>
      <w:r w:rsidRPr="00767EA6">
        <w:rPr>
          <w:rFonts w:eastAsia="楷体_GB2312" w:hint="eastAsia"/>
          <w:color w:val="auto"/>
        </w:rPr>
        <w:t>倍，运作期间杠杆倍数应不超过</w:t>
      </w:r>
      <w:r w:rsidRPr="00767EA6">
        <w:rPr>
          <w:rFonts w:eastAsia="楷体_GB2312"/>
          <w:color w:val="auto"/>
        </w:rPr>
        <w:t>10</w:t>
      </w:r>
      <w:r w:rsidRPr="00767EA6">
        <w:rPr>
          <w:rFonts w:eastAsia="楷体_GB2312" w:hint="eastAsia"/>
          <w:color w:val="auto"/>
        </w:rPr>
        <w:t>倍；其他产品初始杠杆倍数应不超过</w:t>
      </w:r>
      <w:r w:rsidRPr="00767EA6">
        <w:rPr>
          <w:rFonts w:eastAsia="楷体_GB2312"/>
          <w:color w:val="auto"/>
        </w:rPr>
        <w:t>10</w:t>
      </w:r>
      <w:r w:rsidRPr="00767EA6">
        <w:rPr>
          <w:rFonts w:eastAsia="楷体_GB2312" w:hint="eastAsia"/>
          <w:color w:val="auto"/>
        </w:rPr>
        <w:t>倍。除此之外，严禁通过分级资产管理计划进行利益输送。</w:t>
      </w:r>
    </w:p>
    <w:p w:rsidR="00803212" w:rsidRDefault="00803212" w:rsidP="00767EA6">
      <w:pPr>
        <w:pStyle w:val="BodyText"/>
        <w:numPr>
          <w:ilvl w:val="4"/>
          <w:numId w:val="1"/>
        </w:numPr>
        <w:spacing w:after="163"/>
        <w:rPr>
          <w:rFonts w:eastAsia="楷体_GB2312"/>
          <w:color w:val="auto"/>
        </w:rPr>
      </w:pPr>
      <w:r w:rsidRPr="00767EA6">
        <w:rPr>
          <w:rFonts w:eastAsia="楷体_GB2312" w:hint="eastAsia"/>
          <w:b/>
          <w:color w:val="auto"/>
        </w:rPr>
        <w:t>统一人员管理，建立激励约束及问责机制。</w:t>
      </w:r>
      <w:r w:rsidRPr="00767EA6">
        <w:rPr>
          <w:rFonts w:eastAsia="楷体_GB2312" w:hint="eastAsia"/>
          <w:color w:val="auto"/>
        </w:rPr>
        <w:t>《征求意见稿》规定，应当对人员和业务实行统一管理，不得采用承包制对内设部门和分支机构进行管理，不得聘用临时人员对外承揽业务。此外还提出应建立长效激励约束机制和项目终身负责制。</w:t>
      </w:r>
    </w:p>
    <w:p w:rsidR="00803212" w:rsidRPr="00CD28D7" w:rsidRDefault="00803212" w:rsidP="006340AC">
      <w:pPr>
        <w:widowControl/>
        <w:spacing w:beforeLines="100" w:after="120" w:line="240" w:lineRule="exact"/>
        <w:ind w:firstLineChars="1609" w:firstLine="3392"/>
        <w:rPr>
          <w:rFonts w:ascii="Arial" w:eastAsia="楷体_GB2312" w:hAnsi="Arial"/>
          <w:b/>
          <w:bCs/>
          <w:color w:val="0070C0"/>
          <w:kern w:val="0"/>
          <w:sz w:val="24"/>
          <w:szCs w:val="20"/>
          <w:lang w:val="en-GB"/>
        </w:rPr>
      </w:pPr>
      <w:r w:rsidRPr="00100786">
        <w:rPr>
          <w:rFonts w:ascii="Arial" w:eastAsia="楷体_GB2312" w:hAnsi="Arial" w:hint="eastAsia"/>
          <w:b/>
          <w:bCs/>
          <w:color w:val="0070C0"/>
          <w:kern w:val="0"/>
          <w:szCs w:val="21"/>
          <w:lang w:val="en-GB"/>
        </w:rPr>
        <w:t>协会规范公募基金销售行为：营造公平竞争环境</w:t>
      </w:r>
    </w:p>
    <w:p w:rsidR="00803212" w:rsidRDefault="00803212" w:rsidP="00767EA6">
      <w:pPr>
        <w:pStyle w:val="BodyText"/>
        <w:numPr>
          <w:ilvl w:val="4"/>
          <w:numId w:val="1"/>
        </w:numPr>
        <w:spacing w:after="163"/>
        <w:rPr>
          <w:rFonts w:eastAsia="楷体_GB2312"/>
          <w:color w:val="auto"/>
        </w:rPr>
      </w:pPr>
      <w:r w:rsidRPr="00100786">
        <w:rPr>
          <w:rFonts w:eastAsia="楷体_GB2312" w:hint="eastAsia"/>
          <w:color w:val="auto"/>
        </w:rPr>
        <w:t>中国证券投资基金业协会</w:t>
      </w:r>
      <w:r w:rsidRPr="00100786">
        <w:rPr>
          <w:rFonts w:eastAsia="楷体_GB2312"/>
          <w:color w:val="auto"/>
        </w:rPr>
        <w:t>8</w:t>
      </w:r>
      <w:r w:rsidRPr="00100786">
        <w:rPr>
          <w:rFonts w:eastAsia="楷体_GB2312" w:hint="eastAsia"/>
          <w:color w:val="auto"/>
        </w:rPr>
        <w:t>月</w:t>
      </w:r>
      <w:r w:rsidRPr="00100786">
        <w:rPr>
          <w:rFonts w:eastAsia="楷体_GB2312"/>
          <w:color w:val="auto"/>
        </w:rPr>
        <w:t>19</w:t>
      </w:r>
      <w:r w:rsidRPr="00100786">
        <w:rPr>
          <w:rFonts w:eastAsia="楷体_GB2312" w:hint="eastAsia"/>
          <w:color w:val="auto"/>
        </w:rPr>
        <w:t>日发布《公开募集证券投资基金销售公平竞争行为规范》，对于公募基金管理人、基金销售机构、公募基金特定客户资产管理计划的销售活动从基本管理制度、组织架构、工作机制、活动审批、财务制度、人员行为等方面提出</w:t>
      </w:r>
      <w:r>
        <w:rPr>
          <w:rFonts w:eastAsia="楷体_GB2312" w:hint="eastAsia"/>
          <w:color w:val="auto"/>
        </w:rPr>
        <w:t>了</w:t>
      </w:r>
      <w:r w:rsidRPr="00100786">
        <w:rPr>
          <w:rFonts w:eastAsia="楷体_GB2312" w:hint="eastAsia"/>
          <w:color w:val="auto"/>
        </w:rPr>
        <w:t>防治商业贿赂和不正当竞争行为的要求。《规范》明确了：基金管理人和基金销售机构开展的基金销售活动应具有实质性内容，能真正服务于基金销售；基金销售机构应自觉抵制商业贿赂和不正当竞争行为，加强对本机构中基金销售人员行为规范的检查和监督。《公开募集证券投资基金销售公平竞争行为规范》的提出对于确保基金销售合法、规范、有序开展，营造公平竞争环境，保护投资者利益起到重要推动作用。</w:t>
      </w:r>
    </w:p>
    <w:p w:rsidR="00803212" w:rsidRDefault="00803212" w:rsidP="00CB6BC8">
      <w:pPr>
        <w:pStyle w:val="BodyText"/>
        <w:spacing w:after="163"/>
        <w:rPr>
          <w:rFonts w:eastAsia="楷体_GB2312"/>
          <w:b/>
          <w:bCs/>
          <w:color w:val="0070C0"/>
          <w:szCs w:val="21"/>
        </w:rPr>
      </w:pPr>
      <w:r>
        <w:rPr>
          <w:rFonts w:eastAsia="楷体_GB2312" w:hint="eastAsia"/>
          <w:b/>
          <w:bCs/>
          <w:color w:val="0070C0"/>
          <w:szCs w:val="21"/>
        </w:rPr>
        <w:t>产品创新：基金触网大数据，嘉实元和受热捧</w:t>
      </w:r>
    </w:p>
    <w:p w:rsidR="00803212" w:rsidRPr="00CD28D7" w:rsidRDefault="00803212" w:rsidP="006340AC">
      <w:pPr>
        <w:widowControl/>
        <w:spacing w:beforeLines="100" w:after="120" w:line="240" w:lineRule="exact"/>
        <w:ind w:firstLineChars="1609" w:firstLine="3392"/>
        <w:rPr>
          <w:rFonts w:ascii="Arial" w:eastAsia="楷体_GB2312" w:hAnsi="Arial"/>
          <w:b/>
          <w:bCs/>
          <w:color w:val="0070C0"/>
          <w:kern w:val="0"/>
          <w:sz w:val="24"/>
          <w:szCs w:val="20"/>
          <w:lang w:val="en-GB"/>
        </w:rPr>
      </w:pPr>
      <w:r w:rsidRPr="00D83752">
        <w:rPr>
          <w:rFonts w:ascii="Arial" w:eastAsia="楷体_GB2312" w:hAnsi="Arial" w:hint="eastAsia"/>
          <w:b/>
          <w:bCs/>
          <w:color w:val="0070C0"/>
          <w:kern w:val="0"/>
          <w:szCs w:val="21"/>
          <w:lang w:val="en-GB"/>
        </w:rPr>
        <w:t>携手互联网平台，基金创新瞄准大数据</w:t>
      </w:r>
    </w:p>
    <w:p w:rsidR="00803212" w:rsidRDefault="00803212" w:rsidP="004E0567">
      <w:pPr>
        <w:pStyle w:val="BodyText"/>
        <w:numPr>
          <w:ilvl w:val="4"/>
          <w:numId w:val="1"/>
        </w:numPr>
        <w:spacing w:after="163"/>
        <w:rPr>
          <w:rFonts w:eastAsia="楷体_GB2312"/>
          <w:color w:val="auto"/>
        </w:rPr>
      </w:pPr>
      <w:r w:rsidRPr="009943CE">
        <w:rPr>
          <w:rFonts w:eastAsia="楷体_GB2312" w:hint="eastAsia"/>
          <w:color w:val="auto"/>
        </w:rPr>
        <w:t>公募基金创新延伸至大数据领域。</w:t>
      </w:r>
      <w:r w:rsidRPr="009943CE">
        <w:rPr>
          <w:rFonts w:eastAsia="楷体_GB2312"/>
          <w:color w:val="auto"/>
        </w:rPr>
        <w:t>7</w:t>
      </w:r>
      <w:r w:rsidRPr="009943CE">
        <w:rPr>
          <w:rFonts w:eastAsia="楷体_GB2312" w:hint="eastAsia"/>
          <w:color w:val="auto"/>
        </w:rPr>
        <w:t>月先后有消息称南方基金将与新浪财经合作推出“财经大数据策略指数”，广发基金则牵手百度、中证指数公司联合开发“百发策略</w:t>
      </w:r>
      <w:r w:rsidRPr="009943CE">
        <w:rPr>
          <w:rFonts w:eastAsia="楷体_GB2312"/>
          <w:color w:val="auto"/>
        </w:rPr>
        <w:t>100</w:t>
      </w:r>
      <w:r w:rsidRPr="009943CE">
        <w:rPr>
          <w:rFonts w:eastAsia="楷体_GB2312" w:hint="eastAsia"/>
          <w:color w:val="auto"/>
        </w:rPr>
        <w:t>”指数。综合来看，两款指数均以大数据挖掘与应用为核心，在设计理念及后续产品开发方面具备诸多相似性</w:t>
      </w:r>
      <w:r w:rsidRPr="009943CE">
        <w:rPr>
          <w:rFonts w:eastAsia="楷体_GB2312"/>
          <w:color w:val="auto"/>
        </w:rPr>
        <w:t>:</w:t>
      </w:r>
      <w:r w:rsidRPr="009943CE">
        <w:rPr>
          <w:rFonts w:eastAsia="楷体_GB2312" w:hint="eastAsia"/>
          <w:color w:val="auto"/>
        </w:rPr>
        <w:t>首先在指数开发环节，以互联网用户搜索数据为基础，通过对特定金融搜索行为进行挖掘分析，构建选股或择时模型指标，并融入指数编制规则。其次在产品设计领域，引入指数产品进行对接，通过被动管理的形式践行编制规则所倡导的投资理念。南方、广发两家公司在互联网指数方面的尝试，突破了原有单纯以流量导入为核心的互联网合作业态，使得互联网元素逐渐渗透至投资及产品设计领域。</w:t>
      </w:r>
    </w:p>
    <w:p w:rsidR="00803212" w:rsidRDefault="00803212" w:rsidP="004E0567">
      <w:pPr>
        <w:pStyle w:val="BodyText"/>
        <w:spacing w:after="163"/>
        <w:rPr>
          <w:rFonts w:eastAsia="楷体_GB2312"/>
          <w:b/>
          <w:bCs/>
          <w:color w:val="0070C0"/>
          <w:szCs w:val="21"/>
        </w:rPr>
      </w:pPr>
      <w:r w:rsidRPr="00B17375">
        <w:rPr>
          <w:rFonts w:eastAsia="楷体_GB2312" w:hint="eastAsia"/>
          <w:b/>
          <w:bCs/>
          <w:color w:val="0070C0"/>
          <w:szCs w:val="21"/>
        </w:rPr>
        <w:t>沪市小额账户实时申赎货基限制放开</w:t>
      </w:r>
    </w:p>
    <w:p w:rsidR="00803212" w:rsidRDefault="00803212" w:rsidP="004E0567">
      <w:pPr>
        <w:pStyle w:val="BodyText"/>
        <w:numPr>
          <w:ilvl w:val="4"/>
          <w:numId w:val="1"/>
        </w:numPr>
        <w:spacing w:after="163"/>
        <w:rPr>
          <w:rFonts w:eastAsia="楷体_GB2312"/>
          <w:color w:val="auto"/>
        </w:rPr>
      </w:pPr>
      <w:r w:rsidRPr="00B17375">
        <w:rPr>
          <w:rFonts w:eastAsia="楷体_GB2312"/>
          <w:color w:val="auto"/>
        </w:rPr>
        <w:t>2014</w:t>
      </w:r>
      <w:r w:rsidRPr="00B17375">
        <w:rPr>
          <w:rFonts w:eastAsia="楷体_GB2312" w:hint="eastAsia"/>
          <w:color w:val="auto"/>
        </w:rPr>
        <w:t>年</w:t>
      </w:r>
      <w:r w:rsidRPr="00B17375">
        <w:rPr>
          <w:rFonts w:eastAsia="楷体_GB2312"/>
          <w:color w:val="auto"/>
        </w:rPr>
        <w:t>8</w:t>
      </w:r>
      <w:r w:rsidRPr="00B17375">
        <w:rPr>
          <w:rFonts w:eastAsia="楷体_GB2312" w:hint="eastAsia"/>
          <w:color w:val="auto"/>
        </w:rPr>
        <w:t>月</w:t>
      </w:r>
      <w:r w:rsidRPr="00B17375">
        <w:rPr>
          <w:rFonts w:eastAsia="楷体_GB2312"/>
          <w:color w:val="auto"/>
        </w:rPr>
        <w:t>13</w:t>
      </w:r>
      <w:r w:rsidRPr="00B17375">
        <w:rPr>
          <w:rFonts w:eastAsia="楷体_GB2312" w:hint="eastAsia"/>
          <w:color w:val="auto"/>
        </w:rPr>
        <w:t>日，上交所发布公告，为提升上海证券交易所货币市场基金场内实时申购、赎回业务的投资者体验，改善市场普遍反映的该类型产品“赎回难”问题，上海证券交易所将于</w:t>
      </w:r>
      <w:r w:rsidRPr="00B17375">
        <w:rPr>
          <w:rFonts w:eastAsia="楷体_GB2312"/>
          <w:color w:val="auto"/>
        </w:rPr>
        <w:t>8</w:t>
      </w:r>
      <w:r w:rsidRPr="00B17375">
        <w:rPr>
          <w:rFonts w:eastAsia="楷体_GB2312" w:hint="eastAsia"/>
          <w:color w:val="auto"/>
        </w:rPr>
        <w:t>月</w:t>
      </w:r>
      <w:r w:rsidRPr="00B17375">
        <w:rPr>
          <w:rFonts w:eastAsia="楷体_GB2312"/>
          <w:color w:val="auto"/>
        </w:rPr>
        <w:t>18</w:t>
      </w:r>
      <w:r w:rsidRPr="00B17375">
        <w:rPr>
          <w:rFonts w:eastAsia="楷体_GB2312" w:hint="eastAsia"/>
          <w:color w:val="auto"/>
        </w:rPr>
        <w:t>日对此类型业务实施优化，即允许小额账户不受基金净赎回额度限制。</w:t>
      </w:r>
    </w:p>
    <w:p w:rsidR="00803212" w:rsidRPr="00B17375" w:rsidRDefault="00803212" w:rsidP="004E0567">
      <w:pPr>
        <w:pStyle w:val="BodyText"/>
        <w:numPr>
          <w:ilvl w:val="4"/>
          <w:numId w:val="1"/>
        </w:numPr>
        <w:spacing w:after="163"/>
        <w:rPr>
          <w:rFonts w:eastAsia="楷体_GB2312"/>
          <w:color w:val="auto"/>
        </w:rPr>
      </w:pPr>
      <w:r w:rsidRPr="00775575">
        <w:rPr>
          <w:rFonts w:eastAsia="楷体_GB2312" w:hint="eastAsia"/>
          <w:color w:val="auto"/>
        </w:rPr>
        <w:t>从实施层面来看，小额账户的界定标准将由基金公司根据自身情况进行制定并每日公布。从已公布细则的相关基金业务开展来看，多数基金对小额账户界定上限为</w:t>
      </w:r>
      <w:r w:rsidRPr="00775575">
        <w:rPr>
          <w:rFonts w:eastAsia="楷体_GB2312"/>
          <w:color w:val="auto"/>
        </w:rPr>
        <w:t>10</w:t>
      </w:r>
      <w:r w:rsidRPr="00775575">
        <w:rPr>
          <w:rFonts w:eastAsia="楷体_GB2312" w:hint="eastAsia"/>
          <w:color w:val="auto"/>
        </w:rPr>
        <w:t>万元，嘉实保证金上限相对较高，为</w:t>
      </w:r>
      <w:r w:rsidRPr="00775575">
        <w:rPr>
          <w:rFonts w:eastAsia="楷体_GB2312"/>
          <w:color w:val="auto"/>
        </w:rPr>
        <w:t>50</w:t>
      </w:r>
      <w:r w:rsidRPr="00775575">
        <w:rPr>
          <w:rFonts w:eastAsia="楷体_GB2312" w:hint="eastAsia"/>
          <w:color w:val="auto"/>
        </w:rPr>
        <w:t>万元。此外新规在各项流动性控制指标中，仅对符合条件的小额账户放开赎回环节的净赎回额度指标，而其他指标如基金总赎回、单账户总赎回等仍将受到相关限制，但由于符合条件的投资者资金总量较小，单账户总赎回额度指标在实际中几无影响，部分基金如广发现金宝、华夏保证金在总赎回量上有所限制，但实际设定额度较高，因而影响相对有限。值得注意的是，一旦相关基金面临的流动性风险压力加大，仍可通过降低小额账户标准和总赎回上限，来保证基金平稳运作。总体来看，新规的出台，将有助于促进小额投资者对场内申赎货币基金的投资热情，提升场内保证金投资利用效率。</w:t>
      </w:r>
    </w:p>
    <w:p w:rsidR="00803212" w:rsidRPr="00CD28D7" w:rsidRDefault="00803212" w:rsidP="006340AC">
      <w:pPr>
        <w:widowControl/>
        <w:spacing w:beforeLines="100" w:after="120" w:line="240" w:lineRule="exact"/>
        <w:ind w:firstLineChars="1609" w:firstLine="3392"/>
        <w:rPr>
          <w:rFonts w:ascii="Arial" w:eastAsia="楷体_GB2312" w:hAnsi="Arial"/>
          <w:b/>
          <w:bCs/>
          <w:color w:val="0070C0"/>
          <w:kern w:val="0"/>
          <w:sz w:val="24"/>
          <w:szCs w:val="20"/>
          <w:lang w:val="en-GB"/>
        </w:rPr>
      </w:pPr>
      <w:r w:rsidRPr="0042668C">
        <w:rPr>
          <w:rFonts w:ascii="Arial" w:eastAsia="楷体_GB2312" w:hAnsi="Arial" w:hint="eastAsia"/>
          <w:b/>
          <w:bCs/>
          <w:color w:val="0070C0"/>
          <w:kern w:val="0"/>
          <w:szCs w:val="21"/>
          <w:lang w:val="en-GB"/>
        </w:rPr>
        <w:t>首只混改公募产品受热捧</w:t>
      </w:r>
    </w:p>
    <w:p w:rsidR="00803212" w:rsidRDefault="00803212" w:rsidP="0042668C">
      <w:pPr>
        <w:pStyle w:val="BodyText"/>
        <w:numPr>
          <w:ilvl w:val="4"/>
          <w:numId w:val="1"/>
        </w:numPr>
        <w:spacing w:after="163"/>
        <w:rPr>
          <w:rFonts w:eastAsia="楷体_GB2312"/>
          <w:color w:val="auto"/>
        </w:rPr>
      </w:pPr>
      <w:r w:rsidRPr="0042668C">
        <w:rPr>
          <w:rFonts w:eastAsia="楷体_GB2312" w:hint="eastAsia"/>
          <w:color w:val="auto"/>
        </w:rPr>
        <w:t>首只专注于混合所有制改革的公募产品嘉实元和于面市首日受到投资者热捧，</w:t>
      </w:r>
      <w:r w:rsidRPr="0042668C">
        <w:rPr>
          <w:rFonts w:eastAsia="楷体_GB2312"/>
          <w:color w:val="auto"/>
        </w:rPr>
        <w:t>100</w:t>
      </w:r>
      <w:r w:rsidRPr="0042668C">
        <w:rPr>
          <w:rFonts w:eastAsia="楷体_GB2312" w:hint="eastAsia"/>
          <w:color w:val="auto"/>
        </w:rPr>
        <w:t>亿额度当日售罄。该产品最高可将资产规模的</w:t>
      </w:r>
      <w:r w:rsidRPr="0042668C">
        <w:rPr>
          <w:rFonts w:eastAsia="楷体_GB2312"/>
          <w:color w:val="auto"/>
        </w:rPr>
        <w:t>50%</w:t>
      </w:r>
      <w:r w:rsidRPr="0042668C">
        <w:rPr>
          <w:rFonts w:eastAsia="楷体_GB2312" w:hint="eastAsia"/>
          <w:color w:val="auto"/>
        </w:rPr>
        <w:t>用于投资中石化销售公司股权，其余资产则投向债券和货币市场工具，平滑组合风险。嘉实元和采用封闭运作模式，存续期为</w:t>
      </w:r>
      <w:r w:rsidRPr="0042668C">
        <w:rPr>
          <w:rFonts w:eastAsia="楷体_GB2312"/>
          <w:color w:val="auto"/>
        </w:rPr>
        <w:t>5</w:t>
      </w:r>
      <w:r w:rsidRPr="0042668C">
        <w:rPr>
          <w:rFonts w:eastAsia="楷体_GB2312" w:hint="eastAsia"/>
          <w:color w:val="auto"/>
        </w:rPr>
        <w:t>年，可在</w:t>
      </w:r>
      <w:r>
        <w:rPr>
          <w:rFonts w:eastAsia="楷体_GB2312"/>
          <w:color w:val="auto"/>
        </w:rPr>
        <w:t>3</w:t>
      </w:r>
      <w:r>
        <w:rPr>
          <w:rFonts w:eastAsia="楷体_GB2312" w:hint="eastAsia"/>
          <w:color w:val="auto"/>
        </w:rPr>
        <w:t>年</w:t>
      </w:r>
      <w:r w:rsidRPr="0042668C">
        <w:rPr>
          <w:rFonts w:eastAsia="楷体_GB2312" w:hint="eastAsia"/>
          <w:color w:val="auto"/>
        </w:rPr>
        <w:t>后提前结束，设立后</w:t>
      </w:r>
      <w:r w:rsidRPr="0042668C">
        <w:rPr>
          <w:rFonts w:eastAsia="楷体_GB2312"/>
          <w:color w:val="auto"/>
        </w:rPr>
        <w:t>3</w:t>
      </w:r>
      <w:r w:rsidRPr="0042668C">
        <w:rPr>
          <w:rFonts w:eastAsia="楷体_GB2312" w:hint="eastAsia"/>
          <w:color w:val="auto"/>
        </w:rPr>
        <w:t>个月内在上交所挂牌上市。</w:t>
      </w:r>
    </w:p>
    <w:p w:rsidR="00803212" w:rsidRDefault="00803212" w:rsidP="0042668C">
      <w:pPr>
        <w:pStyle w:val="BodyText"/>
        <w:numPr>
          <w:ilvl w:val="4"/>
          <w:numId w:val="1"/>
        </w:numPr>
        <w:spacing w:after="163"/>
        <w:rPr>
          <w:rFonts w:eastAsia="楷体_GB2312"/>
          <w:color w:val="auto"/>
        </w:rPr>
      </w:pPr>
      <w:r w:rsidRPr="0042668C">
        <w:rPr>
          <w:rFonts w:eastAsia="楷体_GB2312" w:hint="eastAsia"/>
          <w:color w:val="auto"/>
        </w:rPr>
        <w:t>作为市场上首只参与混合所有制改革的公募产品，嘉实元和在产品设计及运作环节具备多项亮点。首先，嘉实元和首次投资于非上市股权，从上市前增资到</w:t>
      </w:r>
      <w:r w:rsidRPr="0042668C">
        <w:rPr>
          <w:rFonts w:eastAsia="楷体_GB2312"/>
          <w:color w:val="auto"/>
        </w:rPr>
        <w:t>IPO</w:t>
      </w:r>
      <w:r w:rsidRPr="0042668C">
        <w:rPr>
          <w:rFonts w:eastAsia="楷体_GB2312" w:hint="eastAsia"/>
          <w:color w:val="auto"/>
        </w:rPr>
        <w:t>再到上市交易中涉及三次定价，存在两次溢价机会，成功将收益链条向前延伸，有别于传统的打新及二级市场价差策略，是公募产品在投资范围和投资策略上的创新突破。其次，权益投资目标单一明确，即为中石化销售公司，突破以往基金投资单一证券不得超过资产净值的</w:t>
      </w:r>
      <w:r w:rsidRPr="0042668C">
        <w:rPr>
          <w:rFonts w:eastAsia="楷体_GB2312"/>
          <w:color w:val="auto"/>
        </w:rPr>
        <w:t>10%</w:t>
      </w:r>
      <w:r w:rsidRPr="0042668C">
        <w:rPr>
          <w:rFonts w:eastAsia="楷体_GB2312" w:hint="eastAsia"/>
          <w:color w:val="auto"/>
        </w:rPr>
        <w:t>的比例限制。第三，创新采取券商包销模式，其中招商证券作为主承销商包销规模为</w:t>
      </w:r>
      <w:r w:rsidRPr="0042668C">
        <w:rPr>
          <w:rFonts w:eastAsia="楷体_GB2312"/>
          <w:color w:val="auto"/>
        </w:rPr>
        <w:t>50</w:t>
      </w:r>
      <w:r w:rsidRPr="0042668C">
        <w:rPr>
          <w:rFonts w:eastAsia="楷体_GB2312" w:hint="eastAsia"/>
          <w:color w:val="auto"/>
        </w:rPr>
        <w:t>亿元，此外海通证券、国泰君安证券也均有参与，这意味着各家包销券商对于认定的销售规模，未完成部</w:t>
      </w:r>
      <w:r>
        <w:rPr>
          <w:rFonts w:eastAsia="楷体_GB2312" w:hint="eastAsia"/>
          <w:color w:val="auto"/>
        </w:rPr>
        <w:t>分将自行担负，从而对基金总募资总量形成保障。总体来看，嘉实元和通过</w:t>
      </w:r>
      <w:r w:rsidRPr="0042668C">
        <w:rPr>
          <w:rFonts w:eastAsia="楷体_GB2312" w:hint="eastAsia"/>
          <w:color w:val="auto"/>
        </w:rPr>
        <w:t>产品创新为普通投资者以低门槛分享优质未上市企业，分享混合所有制改革红利提供有效途径。</w:t>
      </w:r>
    </w:p>
    <w:p w:rsidR="00803212" w:rsidRDefault="00803212" w:rsidP="006340AC">
      <w:pPr>
        <w:widowControl/>
        <w:spacing w:beforeLines="100" w:after="120" w:line="240" w:lineRule="exact"/>
        <w:ind w:firstLineChars="1796" w:firstLine="3786"/>
        <w:rPr>
          <w:rFonts w:ascii="Arial" w:eastAsia="楷体_GB2312" w:hAnsi="Arial"/>
          <w:b/>
          <w:bCs/>
          <w:color w:val="0070C0"/>
          <w:kern w:val="0"/>
          <w:szCs w:val="21"/>
          <w:lang w:val="en-GB"/>
        </w:rPr>
      </w:pPr>
      <w:r>
        <w:rPr>
          <w:rFonts w:ascii="Arial" w:eastAsia="楷体_GB2312" w:hAnsi="Arial" w:hint="eastAsia"/>
          <w:b/>
          <w:bCs/>
          <w:color w:val="0070C0"/>
          <w:kern w:val="0"/>
          <w:szCs w:val="21"/>
          <w:lang w:val="en-GB"/>
        </w:rPr>
        <w:t>商品期货</w:t>
      </w:r>
      <w:r>
        <w:rPr>
          <w:rFonts w:ascii="Arial" w:eastAsia="楷体_GB2312" w:hAnsi="Arial"/>
          <w:b/>
          <w:bCs/>
          <w:color w:val="0070C0"/>
          <w:kern w:val="0"/>
          <w:szCs w:val="21"/>
          <w:lang w:val="en-GB"/>
        </w:rPr>
        <w:t>ETF</w:t>
      </w:r>
      <w:r>
        <w:rPr>
          <w:rFonts w:ascii="Arial" w:eastAsia="楷体_GB2312" w:hAnsi="Arial" w:hint="eastAsia"/>
          <w:b/>
          <w:bCs/>
          <w:color w:val="0070C0"/>
          <w:kern w:val="0"/>
          <w:szCs w:val="21"/>
          <w:lang w:val="en-GB"/>
        </w:rPr>
        <w:t>酝酿</w:t>
      </w:r>
    </w:p>
    <w:p w:rsidR="00803212" w:rsidRPr="009671E1" w:rsidRDefault="00803212" w:rsidP="006C7A3F">
      <w:pPr>
        <w:pStyle w:val="BodyText"/>
        <w:numPr>
          <w:ilvl w:val="4"/>
          <w:numId w:val="1"/>
        </w:numPr>
        <w:spacing w:after="163"/>
        <w:rPr>
          <w:rFonts w:eastAsia="楷体_GB2312"/>
          <w:color w:val="auto"/>
        </w:rPr>
      </w:pPr>
      <w:r>
        <w:rPr>
          <w:rFonts w:eastAsia="楷体_GB2312"/>
          <w:color w:val="auto"/>
        </w:rPr>
        <w:t>8</w:t>
      </w:r>
      <w:r>
        <w:rPr>
          <w:rFonts w:eastAsia="楷体_GB2312" w:hint="eastAsia"/>
          <w:color w:val="auto"/>
        </w:rPr>
        <w:t>月底</w:t>
      </w:r>
      <w:r w:rsidRPr="009671E1">
        <w:rPr>
          <w:rFonts w:eastAsia="楷体_GB2312" w:hint="eastAsia"/>
          <w:color w:val="auto"/>
        </w:rPr>
        <w:t>证监会公布了《期货公司监督管理办法（征求意见稿》，同时发布的还有《公开募集证券投资基金运作指引第</w:t>
      </w:r>
      <w:r w:rsidRPr="009671E1">
        <w:rPr>
          <w:rFonts w:eastAsia="楷体_GB2312"/>
          <w:color w:val="auto"/>
        </w:rPr>
        <w:t xml:space="preserve">1 </w:t>
      </w:r>
      <w:r w:rsidRPr="009671E1">
        <w:rPr>
          <w:rFonts w:eastAsia="楷体_GB2312" w:hint="eastAsia"/>
          <w:color w:val="auto"/>
        </w:rPr>
        <w:t>号</w:t>
      </w:r>
      <w:r w:rsidRPr="009671E1">
        <w:rPr>
          <w:rFonts w:eastAsia="楷体_GB2312"/>
          <w:color w:val="auto"/>
        </w:rPr>
        <w:t>——</w:t>
      </w:r>
      <w:r w:rsidRPr="009671E1">
        <w:rPr>
          <w:rFonts w:eastAsia="楷体_GB2312" w:hint="eastAsia"/>
          <w:color w:val="auto"/>
        </w:rPr>
        <w:t>商品期货交易型开放式基金指引（征求意见稿）》（下称《指引》）。《指引》共十条，对商品期货</w:t>
      </w:r>
      <w:r w:rsidRPr="009671E1">
        <w:rPr>
          <w:rFonts w:eastAsia="楷体_GB2312"/>
          <w:color w:val="auto"/>
        </w:rPr>
        <w:t xml:space="preserve">ETF </w:t>
      </w:r>
      <w:r w:rsidRPr="009671E1">
        <w:rPr>
          <w:rFonts w:eastAsia="楷体_GB2312" w:hint="eastAsia"/>
          <w:color w:val="auto"/>
        </w:rPr>
        <w:t>的定义、投资范围、风险控制、相关主体责任、监管要求等内容进行了规范。《指</w:t>
      </w:r>
      <w:r>
        <w:rPr>
          <w:rFonts w:eastAsia="楷体_GB2312" w:hint="eastAsia"/>
          <w:color w:val="auto"/>
        </w:rPr>
        <w:t>引》的发布实施，</w:t>
      </w:r>
      <w:r w:rsidRPr="009671E1">
        <w:rPr>
          <w:rFonts w:eastAsia="楷体_GB2312" w:hint="eastAsia"/>
          <w:color w:val="auto"/>
        </w:rPr>
        <w:t>为商品期货</w:t>
      </w:r>
      <w:r w:rsidRPr="009671E1">
        <w:rPr>
          <w:rFonts w:eastAsia="楷体_GB2312"/>
          <w:color w:val="auto"/>
        </w:rPr>
        <w:t xml:space="preserve">ETF </w:t>
      </w:r>
      <w:r w:rsidRPr="009671E1">
        <w:rPr>
          <w:rFonts w:eastAsia="楷体_GB2312" w:hint="eastAsia"/>
          <w:color w:val="auto"/>
        </w:rPr>
        <w:t>的顺利推出奠定基础，</w:t>
      </w:r>
      <w:r>
        <w:rPr>
          <w:rFonts w:eastAsia="楷体_GB2312" w:hint="eastAsia"/>
          <w:color w:val="auto"/>
        </w:rPr>
        <w:t>为基金公司产品创新发展提供支持</w:t>
      </w:r>
      <w:r w:rsidRPr="009671E1">
        <w:rPr>
          <w:rFonts w:eastAsia="楷体_GB2312" w:hint="eastAsia"/>
          <w:color w:val="auto"/>
        </w:rPr>
        <w:t>。</w:t>
      </w:r>
    </w:p>
    <w:p w:rsidR="00803212" w:rsidRPr="009671E1" w:rsidRDefault="00803212">
      <w:pPr>
        <w:widowControl/>
        <w:jc w:val="left"/>
        <w:rPr>
          <w:rFonts w:ascii="Arial" w:eastAsia="楷体_GB2312" w:hAnsi="Arial"/>
          <w:b/>
          <w:kern w:val="0"/>
          <w:szCs w:val="20"/>
          <w:lang w:val="en-GB"/>
        </w:rPr>
      </w:pPr>
    </w:p>
    <w:p w:rsidR="00803212" w:rsidRDefault="00803212" w:rsidP="00B10000">
      <w:pPr>
        <w:pStyle w:val="a4"/>
        <w:spacing w:after="312"/>
        <w:rPr>
          <w:rFonts w:ascii="Arial" w:eastAsia="楷体_GB2312" w:hAnsi="Arial"/>
          <w:b/>
          <w:kern w:val="0"/>
          <w:sz w:val="21"/>
          <w:szCs w:val="20"/>
          <w:lang w:val="en-GB"/>
        </w:rPr>
      </w:pPr>
    </w:p>
    <w:p w:rsidR="00803212" w:rsidRDefault="00803212">
      <w:pPr>
        <w:widowControl/>
        <w:jc w:val="left"/>
        <w:rPr>
          <w:rFonts w:ascii="Arial" w:eastAsia="楷体_GB2312" w:hAnsi="Arial"/>
          <w:b/>
          <w:kern w:val="0"/>
          <w:szCs w:val="20"/>
          <w:lang w:val="en-GB"/>
        </w:rPr>
      </w:pPr>
      <w:r>
        <w:rPr>
          <w:rFonts w:ascii="Arial" w:eastAsia="楷体_GB2312" w:hAnsi="Arial"/>
          <w:b/>
          <w:kern w:val="0"/>
          <w:szCs w:val="20"/>
          <w:lang w:val="en-GB"/>
        </w:rPr>
        <w:br w:type="page"/>
      </w:r>
    </w:p>
    <w:p w:rsidR="00803212" w:rsidRPr="001609A2" w:rsidRDefault="00803212" w:rsidP="00B10000">
      <w:pPr>
        <w:pStyle w:val="a4"/>
        <w:spacing w:after="312"/>
        <w:rPr>
          <w:rFonts w:ascii="Arial" w:eastAsia="楷体_GB2312" w:hAnsi="Arial"/>
          <w:b/>
          <w:kern w:val="0"/>
          <w:sz w:val="21"/>
          <w:szCs w:val="20"/>
          <w:lang w:val="en-GB"/>
        </w:rPr>
      </w:pPr>
      <w:r w:rsidRPr="001609A2">
        <w:rPr>
          <w:rFonts w:ascii="Arial" w:eastAsia="楷体_GB2312" w:hAnsi="Arial" w:hint="eastAsia"/>
          <w:b/>
          <w:kern w:val="0"/>
          <w:sz w:val="21"/>
          <w:szCs w:val="20"/>
          <w:lang w:val="en-GB"/>
        </w:rPr>
        <w:t>特别声明：</w:t>
      </w:r>
    </w:p>
    <w:p w:rsidR="00803212" w:rsidRPr="001609A2" w:rsidRDefault="00803212" w:rsidP="006340AC">
      <w:pPr>
        <w:pStyle w:val="a4"/>
        <w:spacing w:beforeLines="50" w:after="312"/>
        <w:rPr>
          <w:rFonts w:ascii="Arial" w:eastAsia="楷体_GB2312" w:hAnsi="Arial"/>
          <w:kern w:val="0"/>
          <w:sz w:val="21"/>
          <w:szCs w:val="20"/>
          <w:lang w:val="en-GB"/>
        </w:rPr>
      </w:pPr>
      <w:r w:rsidRPr="001609A2">
        <w:rPr>
          <w:rFonts w:ascii="Arial" w:eastAsia="楷体_GB2312" w:hAnsi="Arial" w:hint="eastAsia"/>
          <w:kern w:val="0"/>
          <w:sz w:val="21"/>
          <w:szCs w:val="20"/>
          <w:lang w:val="en-GB"/>
        </w:rPr>
        <w:t>本报告中的所有内容版权均属上海凯石财富投资管理有限公司（以下简称“本公司”），未经本公司事先书面授权，不得以任何方式修改、发送或者复制本报告及其所包含的材料、内容。所有本报告中使用的商标、服务标记及标记均为本公司的商标、服务标记及标记。如欲引用或转载本文内容，务必联络本公司研究中心并获得许可，并需注明出处为上海凯石财富投资有限公司研究中心，且不得对本文进行任何有悖原意的引用和删改。</w:t>
      </w:r>
    </w:p>
    <w:p w:rsidR="00803212" w:rsidRPr="001609A2" w:rsidRDefault="00803212" w:rsidP="006340AC">
      <w:pPr>
        <w:pStyle w:val="a4"/>
        <w:spacing w:beforeLines="50" w:after="312"/>
        <w:rPr>
          <w:rFonts w:ascii="Arial" w:eastAsia="楷体_GB2312" w:hAnsi="Arial"/>
          <w:kern w:val="0"/>
          <w:sz w:val="21"/>
          <w:szCs w:val="20"/>
          <w:lang w:val="en-GB"/>
        </w:rPr>
      </w:pPr>
      <w:r w:rsidRPr="001609A2">
        <w:rPr>
          <w:rFonts w:ascii="Arial" w:eastAsia="楷体_GB2312" w:hAnsi="Arial" w:hint="eastAsia"/>
          <w:kern w:val="0"/>
          <w:sz w:val="21"/>
          <w:szCs w:val="20"/>
          <w:lang w:val="en-GB"/>
        </w:rPr>
        <w:t>本报告是基于已公开信息撰写，其所载资料的来源及观点的出处均被本公司认为可靠，但本公司不保证其准确性或完整性。本报告所载的资料、意见及推测反映本公司于最初发布此报告日期当日的判断，其所指的基金或者其他理财产品的价格、价值及投资收入可能会波动，在不同时期，本公司可发出与本报告所载资料、意见及推测不一致的报告。</w:t>
      </w:r>
    </w:p>
    <w:p w:rsidR="00803212" w:rsidRPr="001609A2" w:rsidRDefault="00803212" w:rsidP="006340AC">
      <w:pPr>
        <w:pStyle w:val="a4"/>
        <w:spacing w:beforeLines="50" w:after="312"/>
        <w:rPr>
          <w:rFonts w:ascii="Arial" w:eastAsia="楷体_GB2312" w:hAnsi="Arial"/>
          <w:kern w:val="0"/>
          <w:sz w:val="21"/>
          <w:szCs w:val="20"/>
          <w:lang w:val="en-GB"/>
        </w:rPr>
      </w:pPr>
      <w:r w:rsidRPr="001609A2">
        <w:rPr>
          <w:rFonts w:ascii="Arial" w:eastAsia="楷体_GB2312" w:hAnsi="Arial" w:hint="eastAsia"/>
          <w:kern w:val="0"/>
          <w:sz w:val="21"/>
          <w:szCs w:val="20"/>
          <w:lang w:val="en-GB"/>
        </w:rPr>
        <w:t>本报告所载的除法律或规则规定必须承担的责任外，本公司不对因使用此报告的材料而引致的损失负任何责任。本报告不构成私人咨询建议，也没有考虑到个别客户特殊的投资目标、财务状况或需要。本报告所载的资料、工具、意见及推测只提供给客户做参考之用，并未作为或被是为出售或购买其他投资标的邀请或向他人做出邀请。</w:t>
      </w:r>
    </w:p>
    <w:p w:rsidR="00803212" w:rsidRPr="00B10000" w:rsidRDefault="00803212">
      <w:pPr>
        <w:rPr>
          <w:lang w:val="en-GB"/>
        </w:rPr>
      </w:pPr>
    </w:p>
    <w:sectPr w:rsidR="00803212" w:rsidRPr="00B10000" w:rsidSect="00656031">
      <w:headerReference w:type="default" r:id="rId9"/>
      <w:footerReference w:type="default" r:id="rId10"/>
      <w:headerReference w:type="first" r:id="rId11"/>
      <w:footerReference w:type="first" r:id="rId12"/>
      <w:pgSz w:w="11906" w:h="16838"/>
      <w:pgMar w:top="1440" w:right="624" w:bottom="1440" w:left="624" w:header="850" w:footer="283"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3212" w:rsidRDefault="00803212" w:rsidP="00B10000">
      <w:r>
        <w:separator/>
      </w:r>
    </w:p>
  </w:endnote>
  <w:endnote w:type="continuationSeparator" w:id="0">
    <w:p w:rsidR="00803212" w:rsidRDefault="00803212" w:rsidP="00B1000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华文新魏">
    <w:panose1 w:val="02010800040101010101"/>
    <w:charset w:val="86"/>
    <w:family w:val="auto"/>
    <w:pitch w:val="variable"/>
    <w:sig w:usb0="00000001" w:usb1="080F0000" w:usb2="00000010" w:usb3="00000000" w:csb0="00040000" w:csb1="00000000"/>
  </w:font>
  <w:font w:name="华文隶书">
    <w:panose1 w:val="02010800040101010101"/>
    <w:charset w:val="86"/>
    <w:family w:val="auto"/>
    <w:pitch w:val="variable"/>
    <w:sig w:usb0="00000001" w:usb1="080F0000" w:usb2="00000010" w:usb3="00000000" w:csb0="00040000" w:csb1="00000000"/>
  </w:font>
  <w:font w:name="Arial">
    <w:panose1 w:val="020B0604020202020204"/>
    <w:charset w:val="00"/>
    <w:family w:val="swiss"/>
    <w:pitch w:val="variable"/>
    <w:sig w:usb0="E0002AFF" w:usb1="C0007843" w:usb2="00000009" w:usb3="00000000" w:csb0="000001FF" w:csb1="00000000"/>
  </w:font>
  <w:font w:name="LucidaSans">
    <w:altName w:val="Times New Roman"/>
    <w:panose1 w:val="00000000000000000000"/>
    <w:charset w:val="00"/>
    <w:family w:val="auto"/>
    <w:notTrueType/>
    <w:pitch w:val="variable"/>
    <w:sig w:usb0="00000003" w:usb1="00000000" w:usb2="00000000" w:usb3="00000000" w:csb0="00000001"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212" w:rsidRDefault="00803212">
    <w:pPr>
      <w:pStyle w:val="Footer"/>
      <w:jc w:val="center"/>
    </w:pPr>
    <w:r>
      <w:pict>
        <v:rect id="_x0000_i1031" style="width:571.2pt;height:2pt" o:hralign="center" o:hrstd="t" o:hrnoshade="t" o:hr="t" fillcolor="#e7a631" stroked="f"/>
      </w:pict>
    </w:r>
    <w:r>
      <w:rPr>
        <w:lang w:val="zh-CN"/>
      </w:rPr>
      <w:t xml:space="preserve"> </w:t>
    </w:r>
    <w:r>
      <w:rPr>
        <w:b/>
      </w:rPr>
      <w:fldChar w:fldCharType="begin"/>
    </w:r>
    <w:r>
      <w:rPr>
        <w:b/>
      </w:rPr>
      <w:instrText>PAGE</w:instrText>
    </w:r>
    <w:r>
      <w:rPr>
        <w:b/>
      </w:rPr>
      <w:fldChar w:fldCharType="separate"/>
    </w:r>
    <w:r>
      <w:rPr>
        <w:b/>
        <w:noProof/>
      </w:rPr>
      <w:t>2</w:t>
    </w:r>
    <w:r>
      <w:rPr>
        <w:b/>
      </w:rPr>
      <w:fldChar w:fldCharType="end"/>
    </w:r>
    <w:r>
      <w:rPr>
        <w:lang w:val="zh-CN"/>
      </w:rPr>
      <w:t xml:space="preserve"> / </w:t>
    </w:r>
    <w:r>
      <w:rPr>
        <w:b/>
      </w:rPr>
      <w:fldChar w:fldCharType="begin"/>
    </w:r>
    <w:r>
      <w:rPr>
        <w:b/>
      </w:rPr>
      <w:instrText>NUMPAGES</w:instrText>
    </w:r>
    <w:r>
      <w:rPr>
        <w:b/>
      </w:rPr>
      <w:fldChar w:fldCharType="separate"/>
    </w:r>
    <w:r>
      <w:rPr>
        <w:b/>
        <w:noProof/>
      </w:rPr>
      <w:t>8</w:t>
    </w:r>
    <w:r>
      <w:rPr>
        <w:b/>
      </w:rPr>
      <w:fldChar w:fldCharType="end"/>
    </w:r>
  </w:p>
  <w:p w:rsidR="00803212" w:rsidRDefault="0080321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212" w:rsidRDefault="00803212">
    <w:pPr>
      <w:pStyle w:val="Footer"/>
      <w:jc w:val="center"/>
    </w:pPr>
    <w:r>
      <w:pict>
        <v:rect id="_x0000_i1040" style="width:571.2pt;height:2pt" o:hralign="center" o:hrstd="t" o:hrnoshade="t" o:hr="t" fillcolor="#e7a631" stroked="f"/>
      </w:pict>
    </w:r>
    <w:r>
      <w:rPr>
        <w:lang w:val="zh-CN"/>
      </w:rPr>
      <w:t xml:space="preserve"> </w:t>
    </w:r>
    <w:r>
      <w:rPr>
        <w:b/>
      </w:rPr>
      <w:fldChar w:fldCharType="begin"/>
    </w:r>
    <w:r>
      <w:rPr>
        <w:b/>
      </w:rPr>
      <w:instrText>PAGE</w:instrText>
    </w:r>
    <w:r>
      <w:rPr>
        <w:b/>
      </w:rPr>
      <w:fldChar w:fldCharType="separate"/>
    </w:r>
    <w:r>
      <w:rPr>
        <w:b/>
        <w:noProof/>
      </w:rPr>
      <w:t>1</w:t>
    </w:r>
    <w:r>
      <w:rPr>
        <w:b/>
      </w:rPr>
      <w:fldChar w:fldCharType="end"/>
    </w:r>
    <w:r>
      <w:rPr>
        <w:lang w:val="zh-CN"/>
      </w:rPr>
      <w:t xml:space="preserve"> / </w:t>
    </w:r>
    <w:r>
      <w:rPr>
        <w:b/>
      </w:rPr>
      <w:fldChar w:fldCharType="begin"/>
    </w:r>
    <w:r>
      <w:rPr>
        <w:b/>
      </w:rPr>
      <w:instrText>NUMPAGES</w:instrText>
    </w:r>
    <w:r>
      <w:rPr>
        <w:b/>
      </w:rPr>
      <w:fldChar w:fldCharType="separate"/>
    </w:r>
    <w:r>
      <w:rPr>
        <w:b/>
        <w:noProof/>
      </w:rPr>
      <w:t>8</w:t>
    </w:r>
    <w:r>
      <w:rPr>
        <w:b/>
      </w:rPr>
      <w:fldChar w:fldCharType="end"/>
    </w:r>
  </w:p>
  <w:p w:rsidR="00803212" w:rsidRDefault="0080321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3212" w:rsidRDefault="00803212" w:rsidP="00B10000">
      <w:r>
        <w:separator/>
      </w:r>
    </w:p>
  </w:footnote>
  <w:footnote w:type="continuationSeparator" w:id="0">
    <w:p w:rsidR="00803212" w:rsidRDefault="00803212" w:rsidP="00B100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212" w:rsidRDefault="00803212" w:rsidP="00B10000">
    <w:pPr>
      <w:pStyle w:val="Header"/>
      <w:pBdr>
        <w:bottom w:val="none" w:sz="0" w:space="0" w:color="auto"/>
      </w:pBdr>
    </w:pPr>
    <w:r>
      <w:rPr>
        <w:noProof/>
      </w:rPr>
      <w:pict>
        <v:group id="_x0000_s2049" style="position:absolute;left:0;text-align:left;margin-left:5.2pt;margin-top:-32.25pt;width:531.2pt;height:37.5pt;z-index:251660288" coordorigin="728,206" coordsize="10624,750">
          <v:shapetype id="_x0000_t202" coordsize="21600,21600" o:spt="202" path="m,l,21600r21600,l21600,xe">
            <v:stroke joinstyle="miter"/>
            <v:path gradientshapeok="t" o:connecttype="rect"/>
          </v:shapetype>
          <v:shape id="_x0000_s2050" type="#_x0000_t202" style="position:absolute;left:728;top:206;width:1336;height:724" strokecolor="white">
            <v:textbox style="mso-next-textbox:#_x0000_s2050">
              <w:txbxContent>
                <w:p w:rsidR="00803212" w:rsidRDefault="00803212" w:rsidP="00B10000">
                  <w:pPr>
                    <w:pStyle w:val="12"/>
                  </w:pPr>
                  <w:r w:rsidRPr="007E0BB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凯石工2.jpg" style="width:42pt;height:29.25pt;visibility:visible">
                        <v:imagedata r:id="rId1" o:title=""/>
                      </v:shape>
                    </w:pict>
                  </w:r>
                </w:p>
              </w:txbxContent>
            </v:textbox>
          </v:shape>
          <v:shape id="_x0000_s2051" type="#_x0000_t202" style="position:absolute;left:5999;top:542;width:5353;height:414" strokecolor="white">
            <v:textbox style="mso-next-textbox:#_x0000_s2051">
              <w:txbxContent>
                <w:p w:rsidR="00803212" w:rsidRPr="006E0F3C" w:rsidRDefault="00803212" w:rsidP="00B10000">
                  <w:pPr>
                    <w:pStyle w:val="2"/>
                  </w:pPr>
                  <w:r w:rsidRPr="0080290B">
                    <w:t>2014</w:t>
                  </w:r>
                  <w:r w:rsidRPr="0080290B">
                    <w:rPr>
                      <w:rFonts w:hint="eastAsia"/>
                    </w:rPr>
                    <w:t>年</w:t>
                  </w:r>
                  <w:r>
                    <w:rPr>
                      <w:rFonts w:hint="eastAsia"/>
                    </w:rPr>
                    <w:t>三季度</w:t>
                  </w:r>
                  <w:r w:rsidRPr="0080290B">
                    <w:rPr>
                      <w:rFonts w:hint="eastAsia"/>
                    </w:rPr>
                    <w:t>公募基金行业回顾</w:t>
                  </w:r>
                </w:p>
              </w:txbxContent>
            </v:textbox>
          </v:shape>
        </v:group>
      </w:pict>
    </w:r>
    <w:r>
      <w:pict>
        <v:rect id="_x0000_i1028" style="width:571.2pt;height:2pt" o:hralign="center" o:hrstd="t" o:hrnoshade="t" o:hr="t" fillcolor="#e7a631" stroked="f"/>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212" w:rsidRDefault="00803212" w:rsidP="006340AC">
    <w:pPr>
      <w:pStyle w:val="Header"/>
      <w:pBdr>
        <w:bottom w:val="none" w:sz="0" w:space="0" w:color="auto"/>
      </w:pBdr>
      <w:spacing w:afterLines="100"/>
    </w:pPr>
    <w:r>
      <w:rPr>
        <w:noProof/>
      </w:rPr>
    </w:r>
    <w:r>
      <w:pict>
        <v:group id="_x0000_s2052" style="width:532.6pt;height:143.7pt;mso-position-horizontal-relative:char;mso-position-vertical-relative:line" coordorigin="652,331" coordsize="10652,2874">
          <v:shapetype id="_x0000_t202" coordsize="21600,21600" o:spt="202" path="m,l,21600r21600,l21600,xe">
            <v:stroke joinstyle="miter"/>
            <v:path gradientshapeok="t" o:connecttype="rect"/>
          </v:shapetype>
          <v:shape id="_x0000_s2053" type="#_x0000_t202" style="position:absolute;left:652;top:331;width:3664;height:2430" strokecolor="white">
            <v:textbox style="mso-next-textbox:#_x0000_s2053">
              <w:txbxContent>
                <w:p w:rsidR="00803212" w:rsidRDefault="00803212" w:rsidP="00B10000">
                  <w:pPr>
                    <w:pStyle w:val="a0"/>
                  </w:pPr>
                  <w:r w:rsidRPr="007E0BB8">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i1038" type="#_x0000_t75" alt="凯石工2.jpg" style="width:123pt;height:115.5pt;visibility:visible">
                        <v:imagedata r:id="rId1" o:title=""/>
                      </v:shape>
                    </w:pict>
                  </w:r>
                </w:p>
              </w:txbxContent>
            </v:textbox>
          </v:shape>
          <v:shape id="_x0000_s2054" type="#_x0000_t202" style="position:absolute;left:881;top:2578;width:2325;height:390" strokecolor="white">
            <v:textbox style="mso-next-textbox:#_x0000_s2054">
              <w:txbxContent>
                <w:p w:rsidR="00803212" w:rsidRPr="006E0F3C" w:rsidRDefault="00803212" w:rsidP="008840A4">
                  <w:pPr>
                    <w:pStyle w:val="a"/>
                    <w:spacing w:after="240"/>
                  </w:pPr>
                  <w:r w:rsidRPr="006E0F3C">
                    <w:rPr>
                      <w:rFonts w:hint="eastAsia"/>
                    </w:rPr>
                    <w:t>凯石工场研究报告</w:t>
                  </w:r>
                </w:p>
              </w:txbxContent>
            </v:textbox>
          </v:shape>
          <v:shape id="_x0000_s2055" type="#_x0000_t202" style="position:absolute;left:8740;top:609;width:2441;height:475" strokecolor="white">
            <v:textbox style="mso-next-textbox:#_x0000_s2055;mso-fit-shape-to-text:t">
              <w:txbxContent>
                <w:p w:rsidR="00803212" w:rsidRPr="006E0F3C" w:rsidRDefault="00803212" w:rsidP="00B10000">
                  <w:pPr>
                    <w:pStyle w:val="a1"/>
                    <w:jc w:val="right"/>
                  </w:pPr>
                  <w:r w:rsidRPr="006E0F3C">
                    <w:t>201</w:t>
                  </w:r>
                  <w:r>
                    <w:t>4</w:t>
                  </w:r>
                  <w:r w:rsidRPr="006E0F3C">
                    <w:rPr>
                      <w:rFonts w:hint="eastAsia"/>
                    </w:rPr>
                    <w:t>年</w:t>
                  </w:r>
                  <w:r>
                    <w:t>10</w:t>
                  </w:r>
                  <w:r>
                    <w:rPr>
                      <w:rFonts w:hint="eastAsia"/>
                    </w:rPr>
                    <w:t>月</w:t>
                  </w:r>
                  <w:r>
                    <w:t>11</w:t>
                  </w:r>
                  <w:r w:rsidRPr="006E0F3C">
                    <w:rPr>
                      <w:rFonts w:hint="eastAsia"/>
                    </w:rPr>
                    <w:t>日</w:t>
                  </w:r>
                </w:p>
              </w:txbxContent>
            </v:textbox>
          </v:shape>
          <v:shape id="_x0000_s2056" type="#_x0000_t202" style="position:absolute;left:3214;top:1377;width:8090;height:1001" strokecolor="white">
            <v:textbox style="mso-next-textbox:#_x0000_s2056;mso-fit-shape-to-text:t">
              <w:txbxContent>
                <w:p w:rsidR="00803212" w:rsidRDefault="00803212" w:rsidP="00B10000">
                  <w:pPr>
                    <w:pStyle w:val="a2"/>
                    <w:jc w:val="right"/>
                  </w:pPr>
                  <w:r w:rsidRPr="00F82D2A">
                    <w:t>2014</w:t>
                  </w:r>
                  <w:r>
                    <w:rPr>
                      <w:rFonts w:hint="eastAsia"/>
                    </w:rPr>
                    <w:t>年三季度公募基金行业</w:t>
                  </w:r>
                  <w:r w:rsidRPr="00F82D2A">
                    <w:rPr>
                      <w:rFonts w:hint="eastAsia"/>
                    </w:rPr>
                    <w:t>回顾</w:t>
                  </w:r>
                </w:p>
                <w:p w:rsidR="00803212" w:rsidRPr="00624366" w:rsidRDefault="00803212" w:rsidP="00050667">
                  <w:pPr>
                    <w:pStyle w:val="a2"/>
                    <w:jc w:val="right"/>
                    <w:rPr>
                      <w:sz w:val="28"/>
                      <w:szCs w:val="28"/>
                    </w:rPr>
                  </w:pPr>
                  <w:r>
                    <w:rPr>
                      <w:rFonts w:hint="eastAsia"/>
                      <w:sz w:val="28"/>
                      <w:szCs w:val="28"/>
                    </w:rPr>
                    <w:t>公募运作办法出台，基金产品创新提速</w:t>
                  </w:r>
                </w:p>
              </w:txbxContent>
            </v:textbox>
          </v:shape>
          <v:shape id="_x0000_s2057" type="#_x0000_t202" style="position:absolute;left:3246;top:2578;width:7993;height:627" strokecolor="white">
            <v:textbox style="mso-next-textbox:#_x0000_s2057">
              <w:txbxContent>
                <w:p w:rsidR="00803212" w:rsidRDefault="00803212" w:rsidP="00B10000">
                  <w:pPr>
                    <w:pStyle w:val="a3"/>
                  </w:pPr>
                  <w:r>
                    <w:rPr>
                      <w:rFonts w:hint="eastAsia"/>
                    </w:rPr>
                    <w:t>郭佳楠</w:t>
                  </w:r>
                  <w:r>
                    <w:t xml:space="preserve"> </w:t>
                  </w:r>
                  <w:r>
                    <w:rPr>
                      <w:rFonts w:hint="eastAsia"/>
                    </w:rPr>
                    <w:t>基金分析师</w:t>
                  </w:r>
                </w:p>
                <w:p w:rsidR="00803212" w:rsidRDefault="00803212" w:rsidP="00B10000">
                  <w:pPr>
                    <w:pStyle w:val="a3"/>
                  </w:pPr>
                  <w:r w:rsidRPr="006E0F3C">
                    <w:t xml:space="preserve"> </w:t>
                  </w:r>
                </w:p>
                <w:p w:rsidR="00803212" w:rsidRPr="006E0F3C" w:rsidRDefault="00803212" w:rsidP="00E52127">
                  <w:pPr>
                    <w:pStyle w:val="a3"/>
                    <w:wordWrap w:val="0"/>
                  </w:pPr>
                </w:p>
              </w:txbxContent>
            </v:textbox>
          </v:shape>
          <w10:anchorlock/>
        </v:group>
      </w:pict>
    </w:r>
    <w:r>
      <w:pict>
        <v:rect id="_x0000_i1037" style="width:571.2pt;height:2pt" o:hralign="center" o:hrstd="t" o:hrnoshade="t" o:hr="t" fillcolor="#e7a631" stroked="f"/>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14C42"/>
    <w:multiLevelType w:val="singleLevel"/>
    <w:tmpl w:val="B4861D4C"/>
    <w:lvl w:ilvl="0">
      <w:start w:val="1"/>
      <w:numFmt w:val="bullet"/>
      <w:pStyle w:val="CoverBullet"/>
      <w:lvlText w:val=""/>
      <w:lvlJc w:val="left"/>
      <w:pPr>
        <w:tabs>
          <w:tab w:val="num" w:pos="360"/>
        </w:tabs>
        <w:ind w:left="360" w:hanging="360"/>
      </w:pPr>
      <w:rPr>
        <w:rFonts w:ascii="Wingdings" w:hAnsi="Wingdings" w:hint="default"/>
        <w:color w:val="FF0000"/>
        <w:sz w:val="20"/>
      </w:rPr>
    </w:lvl>
  </w:abstractNum>
  <w:abstractNum w:abstractNumId="1">
    <w:nsid w:val="492C6DD3"/>
    <w:multiLevelType w:val="hybridMultilevel"/>
    <w:tmpl w:val="6B68E90C"/>
    <w:lvl w:ilvl="0" w:tplc="A1E68908">
      <w:start w:val="1"/>
      <w:numFmt w:val="bullet"/>
      <w:lvlText w:val=""/>
      <w:lvlJc w:val="left"/>
      <w:pPr>
        <w:tabs>
          <w:tab w:val="num" w:pos="4329"/>
        </w:tabs>
        <w:ind w:left="3969"/>
      </w:pPr>
      <w:rPr>
        <w:rFonts w:hint="default"/>
        <w:b w:val="0"/>
        <w:i w:val="0"/>
        <w:color w:val="000565"/>
        <w:sz w:val="18"/>
      </w:rPr>
    </w:lvl>
    <w:lvl w:ilvl="1" w:tplc="04090003">
      <w:start w:val="1"/>
      <w:numFmt w:val="bullet"/>
      <w:lvlText w:val=""/>
      <w:lvlJc w:val="left"/>
      <w:pPr>
        <w:tabs>
          <w:tab w:val="num" w:pos="4242"/>
        </w:tabs>
        <w:ind w:left="4242" w:hanging="420"/>
      </w:pPr>
      <w:rPr>
        <w:rFonts w:ascii="Wingdings" w:hAnsi="Wingdings" w:hint="default"/>
      </w:rPr>
    </w:lvl>
    <w:lvl w:ilvl="2" w:tplc="04090005">
      <w:start w:val="1"/>
      <w:numFmt w:val="bullet"/>
      <w:lvlText w:val=""/>
      <w:lvlJc w:val="left"/>
      <w:pPr>
        <w:tabs>
          <w:tab w:val="num" w:pos="4662"/>
        </w:tabs>
        <w:ind w:left="4662" w:hanging="420"/>
      </w:pPr>
      <w:rPr>
        <w:rFonts w:ascii="Wingdings" w:hAnsi="Wingdings" w:hint="default"/>
      </w:rPr>
    </w:lvl>
    <w:lvl w:ilvl="3" w:tplc="04090001">
      <w:start w:val="1"/>
      <w:numFmt w:val="bullet"/>
      <w:lvlText w:val=""/>
      <w:lvlJc w:val="left"/>
      <w:pPr>
        <w:tabs>
          <w:tab w:val="num" w:pos="5082"/>
        </w:tabs>
        <w:ind w:left="5082" w:hanging="420"/>
      </w:pPr>
      <w:rPr>
        <w:rFonts w:ascii="Wingdings" w:hAnsi="Wingdings" w:hint="default"/>
      </w:rPr>
    </w:lvl>
    <w:lvl w:ilvl="4" w:tplc="AC7CA5DC">
      <w:start w:val="1"/>
      <w:numFmt w:val="bullet"/>
      <w:lvlText w:val=""/>
      <w:lvlJc w:val="left"/>
      <w:pPr>
        <w:tabs>
          <w:tab w:val="num" w:pos="3799"/>
        </w:tabs>
        <w:ind w:left="3799" w:hanging="369"/>
      </w:pPr>
      <w:rPr>
        <w:rFonts w:ascii="Wingdings" w:eastAsia="Times New Roman" w:hAnsi="Wingdings" w:hint="default"/>
        <w:b w:val="0"/>
        <w:i w:val="0"/>
        <w:color w:val="auto"/>
        <w:sz w:val="18"/>
      </w:rPr>
    </w:lvl>
    <w:lvl w:ilvl="5" w:tplc="04090005">
      <w:start w:val="1"/>
      <w:numFmt w:val="bullet"/>
      <w:lvlText w:val=""/>
      <w:lvlJc w:val="left"/>
      <w:pPr>
        <w:tabs>
          <w:tab w:val="num" w:pos="5922"/>
        </w:tabs>
        <w:ind w:left="5922" w:hanging="420"/>
      </w:pPr>
      <w:rPr>
        <w:rFonts w:ascii="Wingdings" w:hAnsi="Wingdings" w:hint="default"/>
      </w:rPr>
    </w:lvl>
    <w:lvl w:ilvl="6" w:tplc="04090001" w:tentative="1">
      <w:start w:val="1"/>
      <w:numFmt w:val="bullet"/>
      <w:lvlText w:val=""/>
      <w:lvlJc w:val="left"/>
      <w:pPr>
        <w:tabs>
          <w:tab w:val="num" w:pos="6342"/>
        </w:tabs>
        <w:ind w:left="6342" w:hanging="420"/>
      </w:pPr>
      <w:rPr>
        <w:rFonts w:ascii="Wingdings" w:hAnsi="Wingdings" w:hint="default"/>
      </w:rPr>
    </w:lvl>
    <w:lvl w:ilvl="7" w:tplc="04090003">
      <w:start w:val="1"/>
      <w:numFmt w:val="bullet"/>
      <w:lvlText w:val=""/>
      <w:lvlJc w:val="left"/>
      <w:pPr>
        <w:tabs>
          <w:tab w:val="num" w:pos="6762"/>
        </w:tabs>
        <w:ind w:left="6762" w:hanging="420"/>
      </w:pPr>
      <w:rPr>
        <w:rFonts w:ascii="Wingdings" w:hAnsi="Wingdings" w:hint="default"/>
      </w:rPr>
    </w:lvl>
    <w:lvl w:ilvl="8" w:tplc="04090005" w:tentative="1">
      <w:start w:val="1"/>
      <w:numFmt w:val="bullet"/>
      <w:lvlText w:val=""/>
      <w:lvlJc w:val="left"/>
      <w:pPr>
        <w:tabs>
          <w:tab w:val="num" w:pos="7182"/>
        </w:tabs>
        <w:ind w:left="7182" w:hanging="420"/>
      </w:pPr>
      <w:rPr>
        <w:rFonts w:ascii="Wingdings" w:hAnsi="Wingdings" w:hint="default"/>
      </w:rPr>
    </w:lvl>
  </w:abstractNum>
  <w:abstractNum w:abstractNumId="2">
    <w:nsid w:val="5E8271C1"/>
    <w:multiLevelType w:val="hybridMultilevel"/>
    <w:tmpl w:val="6B68E90C"/>
    <w:lvl w:ilvl="0" w:tplc="A1E68908">
      <w:start w:val="1"/>
      <w:numFmt w:val="bullet"/>
      <w:lvlText w:val=""/>
      <w:lvlJc w:val="left"/>
      <w:pPr>
        <w:tabs>
          <w:tab w:val="num" w:pos="4329"/>
        </w:tabs>
        <w:ind w:left="3969"/>
      </w:pPr>
      <w:rPr>
        <w:rFonts w:hint="default"/>
        <w:b w:val="0"/>
        <w:i w:val="0"/>
        <w:color w:val="000565"/>
        <w:sz w:val="18"/>
      </w:rPr>
    </w:lvl>
    <w:lvl w:ilvl="1" w:tplc="04090003">
      <w:start w:val="1"/>
      <w:numFmt w:val="bullet"/>
      <w:lvlText w:val=""/>
      <w:lvlJc w:val="left"/>
      <w:pPr>
        <w:tabs>
          <w:tab w:val="num" w:pos="4242"/>
        </w:tabs>
        <w:ind w:left="4242" w:hanging="420"/>
      </w:pPr>
      <w:rPr>
        <w:rFonts w:ascii="Wingdings" w:hAnsi="Wingdings" w:hint="default"/>
      </w:rPr>
    </w:lvl>
    <w:lvl w:ilvl="2" w:tplc="04090005">
      <w:start w:val="1"/>
      <w:numFmt w:val="bullet"/>
      <w:lvlText w:val=""/>
      <w:lvlJc w:val="left"/>
      <w:pPr>
        <w:tabs>
          <w:tab w:val="num" w:pos="4662"/>
        </w:tabs>
        <w:ind w:left="4662" w:hanging="420"/>
      </w:pPr>
      <w:rPr>
        <w:rFonts w:ascii="Wingdings" w:hAnsi="Wingdings" w:hint="default"/>
      </w:rPr>
    </w:lvl>
    <w:lvl w:ilvl="3" w:tplc="04090001">
      <w:start w:val="1"/>
      <w:numFmt w:val="bullet"/>
      <w:lvlText w:val=""/>
      <w:lvlJc w:val="left"/>
      <w:pPr>
        <w:tabs>
          <w:tab w:val="num" w:pos="5082"/>
        </w:tabs>
        <w:ind w:left="5082" w:hanging="420"/>
      </w:pPr>
      <w:rPr>
        <w:rFonts w:ascii="Wingdings" w:hAnsi="Wingdings" w:hint="default"/>
      </w:rPr>
    </w:lvl>
    <w:lvl w:ilvl="4" w:tplc="31DAFFE0">
      <w:start w:val="1"/>
      <w:numFmt w:val="bullet"/>
      <w:lvlText w:val=""/>
      <w:lvlJc w:val="left"/>
      <w:pPr>
        <w:tabs>
          <w:tab w:val="num" w:pos="3649"/>
        </w:tabs>
        <w:ind w:left="3289"/>
      </w:pPr>
      <w:rPr>
        <w:rFonts w:ascii="Wingdings" w:eastAsia="宋体" w:hAnsi="Wingdings" w:hint="default"/>
        <w:b w:val="0"/>
        <w:i w:val="0"/>
        <w:color w:val="000565"/>
        <w:sz w:val="18"/>
      </w:rPr>
    </w:lvl>
    <w:lvl w:ilvl="5" w:tplc="DDC8F30C">
      <w:start w:val="1"/>
      <w:numFmt w:val="bullet"/>
      <w:lvlText w:val=""/>
      <w:lvlJc w:val="left"/>
      <w:pPr>
        <w:tabs>
          <w:tab w:val="num" w:pos="4139"/>
        </w:tabs>
        <w:ind w:left="4139" w:hanging="368"/>
      </w:pPr>
      <w:rPr>
        <w:rFonts w:ascii="Wingdings 2" w:eastAsia="Times New Roman" w:hAnsi="Wingdings 2" w:hint="default"/>
        <w:b w:val="0"/>
        <w:i w:val="0"/>
        <w:sz w:val="18"/>
      </w:rPr>
    </w:lvl>
    <w:lvl w:ilvl="6" w:tplc="04090001" w:tentative="1">
      <w:start w:val="1"/>
      <w:numFmt w:val="bullet"/>
      <w:lvlText w:val=""/>
      <w:lvlJc w:val="left"/>
      <w:pPr>
        <w:tabs>
          <w:tab w:val="num" w:pos="6342"/>
        </w:tabs>
        <w:ind w:left="6342" w:hanging="420"/>
      </w:pPr>
      <w:rPr>
        <w:rFonts w:ascii="Wingdings" w:hAnsi="Wingdings" w:hint="default"/>
      </w:rPr>
    </w:lvl>
    <w:lvl w:ilvl="7" w:tplc="04090003" w:tentative="1">
      <w:start w:val="1"/>
      <w:numFmt w:val="bullet"/>
      <w:lvlText w:val=""/>
      <w:lvlJc w:val="left"/>
      <w:pPr>
        <w:tabs>
          <w:tab w:val="num" w:pos="6762"/>
        </w:tabs>
        <w:ind w:left="6762" w:hanging="420"/>
      </w:pPr>
      <w:rPr>
        <w:rFonts w:ascii="Wingdings" w:hAnsi="Wingdings" w:hint="default"/>
      </w:rPr>
    </w:lvl>
    <w:lvl w:ilvl="8" w:tplc="04090005" w:tentative="1">
      <w:start w:val="1"/>
      <w:numFmt w:val="bullet"/>
      <w:lvlText w:val=""/>
      <w:lvlJc w:val="left"/>
      <w:pPr>
        <w:tabs>
          <w:tab w:val="num" w:pos="7182"/>
        </w:tabs>
        <w:ind w:left="7182" w:hanging="420"/>
      </w:pPr>
      <w:rPr>
        <w:rFonts w:ascii="Wingdings" w:hAnsi="Wingdings" w:hint="default"/>
      </w:rPr>
    </w:lvl>
  </w:abstractNum>
  <w:num w:numId="1">
    <w:abstractNumId w:val="1"/>
  </w:num>
  <w:num w:numId="2">
    <w:abstractNumId w:val="2"/>
  </w:num>
  <w:num w:numId="3">
    <w:abstractNumId w:val="0"/>
  </w:num>
  <w:num w:numId="4">
    <w:abstractNumId w:val="1"/>
    <w:lvlOverride w:ilvl="0"/>
    <w:lvlOverride w:ilvl="1"/>
    <w:lvlOverride w:ilvl="2"/>
    <w:lvlOverride w:ilvl="3"/>
    <w:lvlOverride w:ilvl="4"/>
    <w:lvlOverride w:ilvl="5"/>
    <w:lvlOverride w:ilvl="6">
      <w:startOverride w:val="1"/>
    </w:lvlOverride>
    <w:lvlOverride w:ilvl="7"/>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10000"/>
    <w:rsid w:val="000004FA"/>
    <w:rsid w:val="000004FB"/>
    <w:rsid w:val="00000E19"/>
    <w:rsid w:val="000029A7"/>
    <w:rsid w:val="00002F3E"/>
    <w:rsid w:val="0000422A"/>
    <w:rsid w:val="00005573"/>
    <w:rsid w:val="00005DF2"/>
    <w:rsid w:val="00006664"/>
    <w:rsid w:val="00011AA4"/>
    <w:rsid w:val="0001249B"/>
    <w:rsid w:val="0001391F"/>
    <w:rsid w:val="000149E5"/>
    <w:rsid w:val="00014E4A"/>
    <w:rsid w:val="0001684B"/>
    <w:rsid w:val="00016FEE"/>
    <w:rsid w:val="0002028D"/>
    <w:rsid w:val="00021011"/>
    <w:rsid w:val="00021327"/>
    <w:rsid w:val="00021B60"/>
    <w:rsid w:val="00023796"/>
    <w:rsid w:val="00023FC5"/>
    <w:rsid w:val="000244AD"/>
    <w:rsid w:val="00024B34"/>
    <w:rsid w:val="00024CC7"/>
    <w:rsid w:val="000253A1"/>
    <w:rsid w:val="00026157"/>
    <w:rsid w:val="00030DA9"/>
    <w:rsid w:val="0003185B"/>
    <w:rsid w:val="000322F1"/>
    <w:rsid w:val="00032786"/>
    <w:rsid w:val="00033494"/>
    <w:rsid w:val="000336F0"/>
    <w:rsid w:val="000341BA"/>
    <w:rsid w:val="00034C20"/>
    <w:rsid w:val="00035E54"/>
    <w:rsid w:val="00036BD6"/>
    <w:rsid w:val="00040B0F"/>
    <w:rsid w:val="00040CB9"/>
    <w:rsid w:val="00040D7D"/>
    <w:rsid w:val="000413B6"/>
    <w:rsid w:val="00041A4A"/>
    <w:rsid w:val="00043780"/>
    <w:rsid w:val="00043842"/>
    <w:rsid w:val="000448A5"/>
    <w:rsid w:val="00044D2F"/>
    <w:rsid w:val="00044EF2"/>
    <w:rsid w:val="00045287"/>
    <w:rsid w:val="00046736"/>
    <w:rsid w:val="0004681E"/>
    <w:rsid w:val="00046929"/>
    <w:rsid w:val="00047DBC"/>
    <w:rsid w:val="00050667"/>
    <w:rsid w:val="000506BB"/>
    <w:rsid w:val="00050901"/>
    <w:rsid w:val="00050A97"/>
    <w:rsid w:val="0005199E"/>
    <w:rsid w:val="00051D27"/>
    <w:rsid w:val="000523AB"/>
    <w:rsid w:val="00052D05"/>
    <w:rsid w:val="00053D98"/>
    <w:rsid w:val="00053DA5"/>
    <w:rsid w:val="000553B5"/>
    <w:rsid w:val="00055DD2"/>
    <w:rsid w:val="00060A8A"/>
    <w:rsid w:val="0006232B"/>
    <w:rsid w:val="0006295E"/>
    <w:rsid w:val="00063B9F"/>
    <w:rsid w:val="000645DD"/>
    <w:rsid w:val="00066569"/>
    <w:rsid w:val="00066BBB"/>
    <w:rsid w:val="000673EA"/>
    <w:rsid w:val="00071EEE"/>
    <w:rsid w:val="00072D00"/>
    <w:rsid w:val="0007557C"/>
    <w:rsid w:val="00075B19"/>
    <w:rsid w:val="0008067A"/>
    <w:rsid w:val="00081118"/>
    <w:rsid w:val="00081208"/>
    <w:rsid w:val="000832AE"/>
    <w:rsid w:val="00083E8F"/>
    <w:rsid w:val="000851F8"/>
    <w:rsid w:val="00086645"/>
    <w:rsid w:val="00086B34"/>
    <w:rsid w:val="000874C0"/>
    <w:rsid w:val="000874DE"/>
    <w:rsid w:val="00087A79"/>
    <w:rsid w:val="000906F3"/>
    <w:rsid w:val="000908E4"/>
    <w:rsid w:val="00090CA3"/>
    <w:rsid w:val="000910BF"/>
    <w:rsid w:val="000915F8"/>
    <w:rsid w:val="00091D95"/>
    <w:rsid w:val="00091E7C"/>
    <w:rsid w:val="00093760"/>
    <w:rsid w:val="00097891"/>
    <w:rsid w:val="000A0045"/>
    <w:rsid w:val="000A0200"/>
    <w:rsid w:val="000A0E04"/>
    <w:rsid w:val="000A2E30"/>
    <w:rsid w:val="000A3635"/>
    <w:rsid w:val="000A3AF7"/>
    <w:rsid w:val="000A3F69"/>
    <w:rsid w:val="000A49D0"/>
    <w:rsid w:val="000A6127"/>
    <w:rsid w:val="000A61C2"/>
    <w:rsid w:val="000A6C46"/>
    <w:rsid w:val="000A7D34"/>
    <w:rsid w:val="000A7D6F"/>
    <w:rsid w:val="000B214F"/>
    <w:rsid w:val="000B2574"/>
    <w:rsid w:val="000B436C"/>
    <w:rsid w:val="000B4549"/>
    <w:rsid w:val="000B4837"/>
    <w:rsid w:val="000B6599"/>
    <w:rsid w:val="000C17A5"/>
    <w:rsid w:val="000C1903"/>
    <w:rsid w:val="000C1A33"/>
    <w:rsid w:val="000C20C1"/>
    <w:rsid w:val="000C26B1"/>
    <w:rsid w:val="000C301B"/>
    <w:rsid w:val="000C35A6"/>
    <w:rsid w:val="000C3F6D"/>
    <w:rsid w:val="000C560C"/>
    <w:rsid w:val="000C5AA9"/>
    <w:rsid w:val="000C7ABD"/>
    <w:rsid w:val="000C7C2B"/>
    <w:rsid w:val="000D00E9"/>
    <w:rsid w:val="000D04C0"/>
    <w:rsid w:val="000D098E"/>
    <w:rsid w:val="000D0A63"/>
    <w:rsid w:val="000D120E"/>
    <w:rsid w:val="000D172C"/>
    <w:rsid w:val="000D3A3A"/>
    <w:rsid w:val="000D3B2C"/>
    <w:rsid w:val="000D600C"/>
    <w:rsid w:val="000D612E"/>
    <w:rsid w:val="000D6608"/>
    <w:rsid w:val="000E22D8"/>
    <w:rsid w:val="000E2EDF"/>
    <w:rsid w:val="000E3E62"/>
    <w:rsid w:val="000E455B"/>
    <w:rsid w:val="000E4713"/>
    <w:rsid w:val="000E4CCA"/>
    <w:rsid w:val="000E598D"/>
    <w:rsid w:val="000E6028"/>
    <w:rsid w:val="000E63CE"/>
    <w:rsid w:val="000E68A7"/>
    <w:rsid w:val="000E77F4"/>
    <w:rsid w:val="000F17A4"/>
    <w:rsid w:val="000F1B1F"/>
    <w:rsid w:val="000F1B5B"/>
    <w:rsid w:val="000F1C39"/>
    <w:rsid w:val="000F23EE"/>
    <w:rsid w:val="000F26E1"/>
    <w:rsid w:val="000F4582"/>
    <w:rsid w:val="000F5835"/>
    <w:rsid w:val="000F61AF"/>
    <w:rsid w:val="000F65BC"/>
    <w:rsid w:val="000F6D23"/>
    <w:rsid w:val="000F6F39"/>
    <w:rsid w:val="000F70C1"/>
    <w:rsid w:val="00100786"/>
    <w:rsid w:val="001015AE"/>
    <w:rsid w:val="001015FD"/>
    <w:rsid w:val="0010182C"/>
    <w:rsid w:val="001018EE"/>
    <w:rsid w:val="00101F24"/>
    <w:rsid w:val="00102244"/>
    <w:rsid w:val="00103CEE"/>
    <w:rsid w:val="0010550D"/>
    <w:rsid w:val="00105DAE"/>
    <w:rsid w:val="001061FC"/>
    <w:rsid w:val="00110DA0"/>
    <w:rsid w:val="0011175E"/>
    <w:rsid w:val="00111800"/>
    <w:rsid w:val="001129A7"/>
    <w:rsid w:val="00112F63"/>
    <w:rsid w:val="00113693"/>
    <w:rsid w:val="001161DB"/>
    <w:rsid w:val="00116263"/>
    <w:rsid w:val="00116A76"/>
    <w:rsid w:val="00116CE6"/>
    <w:rsid w:val="00117538"/>
    <w:rsid w:val="00121905"/>
    <w:rsid w:val="00123ACF"/>
    <w:rsid w:val="00124D6B"/>
    <w:rsid w:val="0012510C"/>
    <w:rsid w:val="00125231"/>
    <w:rsid w:val="00125DED"/>
    <w:rsid w:val="00127AD1"/>
    <w:rsid w:val="00131E5C"/>
    <w:rsid w:val="00134AAF"/>
    <w:rsid w:val="00135C66"/>
    <w:rsid w:val="00135FD6"/>
    <w:rsid w:val="001360B9"/>
    <w:rsid w:val="001375D6"/>
    <w:rsid w:val="00137804"/>
    <w:rsid w:val="00137B68"/>
    <w:rsid w:val="00140273"/>
    <w:rsid w:val="0014101E"/>
    <w:rsid w:val="001410E9"/>
    <w:rsid w:val="001418E9"/>
    <w:rsid w:val="0014457B"/>
    <w:rsid w:val="00144CFC"/>
    <w:rsid w:val="0014511E"/>
    <w:rsid w:val="00145791"/>
    <w:rsid w:val="00145E53"/>
    <w:rsid w:val="0014676E"/>
    <w:rsid w:val="00146CB1"/>
    <w:rsid w:val="001471C4"/>
    <w:rsid w:val="001520A8"/>
    <w:rsid w:val="00152120"/>
    <w:rsid w:val="00152298"/>
    <w:rsid w:val="00152953"/>
    <w:rsid w:val="00152F6B"/>
    <w:rsid w:val="00153569"/>
    <w:rsid w:val="00154FA6"/>
    <w:rsid w:val="001556D7"/>
    <w:rsid w:val="001602A3"/>
    <w:rsid w:val="001609A2"/>
    <w:rsid w:val="00160DA3"/>
    <w:rsid w:val="001615D1"/>
    <w:rsid w:val="001619D5"/>
    <w:rsid w:val="001640A4"/>
    <w:rsid w:val="00164B00"/>
    <w:rsid w:val="00164CC6"/>
    <w:rsid w:val="00164D9C"/>
    <w:rsid w:val="001653DB"/>
    <w:rsid w:val="00166645"/>
    <w:rsid w:val="00166701"/>
    <w:rsid w:val="00166870"/>
    <w:rsid w:val="00166B2A"/>
    <w:rsid w:val="00166E52"/>
    <w:rsid w:val="001701D1"/>
    <w:rsid w:val="0017025F"/>
    <w:rsid w:val="001708F5"/>
    <w:rsid w:val="0017189D"/>
    <w:rsid w:val="00171E69"/>
    <w:rsid w:val="001728A4"/>
    <w:rsid w:val="00173FFD"/>
    <w:rsid w:val="00174EF9"/>
    <w:rsid w:val="00175082"/>
    <w:rsid w:val="00177319"/>
    <w:rsid w:val="00180BE1"/>
    <w:rsid w:val="00181F34"/>
    <w:rsid w:val="0018327F"/>
    <w:rsid w:val="0018335F"/>
    <w:rsid w:val="0018379B"/>
    <w:rsid w:val="00184B0B"/>
    <w:rsid w:val="00185269"/>
    <w:rsid w:val="00185F9C"/>
    <w:rsid w:val="0019050E"/>
    <w:rsid w:val="001911BA"/>
    <w:rsid w:val="001923DF"/>
    <w:rsid w:val="00192CE7"/>
    <w:rsid w:val="00193841"/>
    <w:rsid w:val="0019417E"/>
    <w:rsid w:val="00194189"/>
    <w:rsid w:val="00194C36"/>
    <w:rsid w:val="00195CE3"/>
    <w:rsid w:val="0019658E"/>
    <w:rsid w:val="00197150"/>
    <w:rsid w:val="00197320"/>
    <w:rsid w:val="00197D45"/>
    <w:rsid w:val="001A24A5"/>
    <w:rsid w:val="001A2F71"/>
    <w:rsid w:val="001A544C"/>
    <w:rsid w:val="001A5C05"/>
    <w:rsid w:val="001A705C"/>
    <w:rsid w:val="001B1476"/>
    <w:rsid w:val="001B1F02"/>
    <w:rsid w:val="001B21B7"/>
    <w:rsid w:val="001B2EDF"/>
    <w:rsid w:val="001B4410"/>
    <w:rsid w:val="001B55E5"/>
    <w:rsid w:val="001B7CE9"/>
    <w:rsid w:val="001C0183"/>
    <w:rsid w:val="001C0EEA"/>
    <w:rsid w:val="001C1EF1"/>
    <w:rsid w:val="001C2B08"/>
    <w:rsid w:val="001C3B35"/>
    <w:rsid w:val="001C3B98"/>
    <w:rsid w:val="001C3E81"/>
    <w:rsid w:val="001C3E87"/>
    <w:rsid w:val="001C5426"/>
    <w:rsid w:val="001C56C2"/>
    <w:rsid w:val="001C618D"/>
    <w:rsid w:val="001C64E1"/>
    <w:rsid w:val="001C651B"/>
    <w:rsid w:val="001C73E7"/>
    <w:rsid w:val="001D057F"/>
    <w:rsid w:val="001D25E4"/>
    <w:rsid w:val="001D3C98"/>
    <w:rsid w:val="001D5036"/>
    <w:rsid w:val="001D52F4"/>
    <w:rsid w:val="001D61B7"/>
    <w:rsid w:val="001D62AF"/>
    <w:rsid w:val="001D6ADC"/>
    <w:rsid w:val="001D7653"/>
    <w:rsid w:val="001D7EE7"/>
    <w:rsid w:val="001E1B04"/>
    <w:rsid w:val="001E2BAE"/>
    <w:rsid w:val="001E3873"/>
    <w:rsid w:val="001E4D3B"/>
    <w:rsid w:val="001E5D0A"/>
    <w:rsid w:val="001E7567"/>
    <w:rsid w:val="001F0934"/>
    <w:rsid w:val="001F3E30"/>
    <w:rsid w:val="001F3E45"/>
    <w:rsid w:val="001F538E"/>
    <w:rsid w:val="001F5926"/>
    <w:rsid w:val="001F643C"/>
    <w:rsid w:val="002015D6"/>
    <w:rsid w:val="00201AC3"/>
    <w:rsid w:val="00201E4C"/>
    <w:rsid w:val="00202C2B"/>
    <w:rsid w:val="00202CB8"/>
    <w:rsid w:val="002038E2"/>
    <w:rsid w:val="00204A9B"/>
    <w:rsid w:val="00205F59"/>
    <w:rsid w:val="00206AC5"/>
    <w:rsid w:val="0020734D"/>
    <w:rsid w:val="00207443"/>
    <w:rsid w:val="002075F0"/>
    <w:rsid w:val="00213BE5"/>
    <w:rsid w:val="002143A9"/>
    <w:rsid w:val="00214601"/>
    <w:rsid w:val="00216C4E"/>
    <w:rsid w:val="002206ED"/>
    <w:rsid w:val="00220DD2"/>
    <w:rsid w:val="0022103F"/>
    <w:rsid w:val="00221061"/>
    <w:rsid w:val="00221442"/>
    <w:rsid w:val="002227B7"/>
    <w:rsid w:val="00222934"/>
    <w:rsid w:val="002249F6"/>
    <w:rsid w:val="00226E39"/>
    <w:rsid w:val="00226F3A"/>
    <w:rsid w:val="00231F40"/>
    <w:rsid w:val="002336EA"/>
    <w:rsid w:val="0023413A"/>
    <w:rsid w:val="0023421B"/>
    <w:rsid w:val="00234530"/>
    <w:rsid w:val="00234C9E"/>
    <w:rsid w:val="00235011"/>
    <w:rsid w:val="00237BD5"/>
    <w:rsid w:val="00237C34"/>
    <w:rsid w:val="0024018B"/>
    <w:rsid w:val="00240D95"/>
    <w:rsid w:val="00240E65"/>
    <w:rsid w:val="00241218"/>
    <w:rsid w:val="00241EEE"/>
    <w:rsid w:val="002435C9"/>
    <w:rsid w:val="00243C2E"/>
    <w:rsid w:val="00244358"/>
    <w:rsid w:val="002451A2"/>
    <w:rsid w:val="00245441"/>
    <w:rsid w:val="00247095"/>
    <w:rsid w:val="002477E1"/>
    <w:rsid w:val="002500B8"/>
    <w:rsid w:val="0025077E"/>
    <w:rsid w:val="00250800"/>
    <w:rsid w:val="00251EBB"/>
    <w:rsid w:val="002540D4"/>
    <w:rsid w:val="0025549A"/>
    <w:rsid w:val="00255A22"/>
    <w:rsid w:val="00256A3A"/>
    <w:rsid w:val="00256FBC"/>
    <w:rsid w:val="002602D2"/>
    <w:rsid w:val="00261350"/>
    <w:rsid w:val="00262E05"/>
    <w:rsid w:val="002630FB"/>
    <w:rsid w:val="00267F8F"/>
    <w:rsid w:val="00270827"/>
    <w:rsid w:val="002712A1"/>
    <w:rsid w:val="0027178D"/>
    <w:rsid w:val="00272C58"/>
    <w:rsid w:val="002753B7"/>
    <w:rsid w:val="00276646"/>
    <w:rsid w:val="00276BE7"/>
    <w:rsid w:val="002773C9"/>
    <w:rsid w:val="00277885"/>
    <w:rsid w:val="002801A1"/>
    <w:rsid w:val="00281FBC"/>
    <w:rsid w:val="00283879"/>
    <w:rsid w:val="00283F57"/>
    <w:rsid w:val="002845EC"/>
    <w:rsid w:val="0028468E"/>
    <w:rsid w:val="00284E58"/>
    <w:rsid w:val="00287491"/>
    <w:rsid w:val="002908FC"/>
    <w:rsid w:val="0029242B"/>
    <w:rsid w:val="00294162"/>
    <w:rsid w:val="0029473E"/>
    <w:rsid w:val="002949B3"/>
    <w:rsid w:val="00294B8F"/>
    <w:rsid w:val="0029560A"/>
    <w:rsid w:val="0029687F"/>
    <w:rsid w:val="00297477"/>
    <w:rsid w:val="00297BE6"/>
    <w:rsid w:val="002A1243"/>
    <w:rsid w:val="002A12EA"/>
    <w:rsid w:val="002A2B89"/>
    <w:rsid w:val="002A3B13"/>
    <w:rsid w:val="002A4E4C"/>
    <w:rsid w:val="002A5710"/>
    <w:rsid w:val="002A5EE2"/>
    <w:rsid w:val="002A6798"/>
    <w:rsid w:val="002A7F4D"/>
    <w:rsid w:val="002B0385"/>
    <w:rsid w:val="002B2586"/>
    <w:rsid w:val="002B3A85"/>
    <w:rsid w:val="002B408E"/>
    <w:rsid w:val="002B4102"/>
    <w:rsid w:val="002C15CE"/>
    <w:rsid w:val="002C2849"/>
    <w:rsid w:val="002C3DB0"/>
    <w:rsid w:val="002C45CA"/>
    <w:rsid w:val="002C468C"/>
    <w:rsid w:val="002C6217"/>
    <w:rsid w:val="002C74DB"/>
    <w:rsid w:val="002D018C"/>
    <w:rsid w:val="002D0A85"/>
    <w:rsid w:val="002D0D2E"/>
    <w:rsid w:val="002D1A18"/>
    <w:rsid w:val="002D27D9"/>
    <w:rsid w:val="002D33F2"/>
    <w:rsid w:val="002D50E8"/>
    <w:rsid w:val="002D5B8F"/>
    <w:rsid w:val="002D6EBA"/>
    <w:rsid w:val="002D7992"/>
    <w:rsid w:val="002E1746"/>
    <w:rsid w:val="002E1B0F"/>
    <w:rsid w:val="002E32FD"/>
    <w:rsid w:val="002E34C7"/>
    <w:rsid w:val="002E47B6"/>
    <w:rsid w:val="002E56A2"/>
    <w:rsid w:val="002E5886"/>
    <w:rsid w:val="002E5D6B"/>
    <w:rsid w:val="002E6732"/>
    <w:rsid w:val="002E794A"/>
    <w:rsid w:val="002F01BD"/>
    <w:rsid w:val="002F1251"/>
    <w:rsid w:val="002F28EF"/>
    <w:rsid w:val="002F3BCA"/>
    <w:rsid w:val="002F3DF1"/>
    <w:rsid w:val="002F401A"/>
    <w:rsid w:val="002F4722"/>
    <w:rsid w:val="002F5E16"/>
    <w:rsid w:val="002F6091"/>
    <w:rsid w:val="002F6336"/>
    <w:rsid w:val="002F6876"/>
    <w:rsid w:val="002F6895"/>
    <w:rsid w:val="002F68C6"/>
    <w:rsid w:val="002F745F"/>
    <w:rsid w:val="00300CF5"/>
    <w:rsid w:val="0030131C"/>
    <w:rsid w:val="00301578"/>
    <w:rsid w:val="0030310E"/>
    <w:rsid w:val="00304AA5"/>
    <w:rsid w:val="0030534E"/>
    <w:rsid w:val="003056A1"/>
    <w:rsid w:val="00305746"/>
    <w:rsid w:val="00305B58"/>
    <w:rsid w:val="00305C2C"/>
    <w:rsid w:val="003065E5"/>
    <w:rsid w:val="0030669C"/>
    <w:rsid w:val="00307014"/>
    <w:rsid w:val="003072DB"/>
    <w:rsid w:val="0031058D"/>
    <w:rsid w:val="00310630"/>
    <w:rsid w:val="00310654"/>
    <w:rsid w:val="00313790"/>
    <w:rsid w:val="003138D3"/>
    <w:rsid w:val="00313D2F"/>
    <w:rsid w:val="00315A5E"/>
    <w:rsid w:val="00315F44"/>
    <w:rsid w:val="00316CFF"/>
    <w:rsid w:val="0031770E"/>
    <w:rsid w:val="00317C86"/>
    <w:rsid w:val="00317EA3"/>
    <w:rsid w:val="00317EE2"/>
    <w:rsid w:val="00321CE8"/>
    <w:rsid w:val="00322C64"/>
    <w:rsid w:val="00322D1F"/>
    <w:rsid w:val="0032315A"/>
    <w:rsid w:val="003239B8"/>
    <w:rsid w:val="00323FCF"/>
    <w:rsid w:val="00324C18"/>
    <w:rsid w:val="00326603"/>
    <w:rsid w:val="00326665"/>
    <w:rsid w:val="003267CA"/>
    <w:rsid w:val="00327895"/>
    <w:rsid w:val="00330B3A"/>
    <w:rsid w:val="003316EF"/>
    <w:rsid w:val="003325C8"/>
    <w:rsid w:val="00333101"/>
    <w:rsid w:val="00333351"/>
    <w:rsid w:val="00333E93"/>
    <w:rsid w:val="00333EF1"/>
    <w:rsid w:val="00334A7D"/>
    <w:rsid w:val="00335A63"/>
    <w:rsid w:val="003367EA"/>
    <w:rsid w:val="003369C2"/>
    <w:rsid w:val="00337589"/>
    <w:rsid w:val="0033768A"/>
    <w:rsid w:val="00340CF1"/>
    <w:rsid w:val="0034182E"/>
    <w:rsid w:val="00341856"/>
    <w:rsid w:val="00341E29"/>
    <w:rsid w:val="003420EF"/>
    <w:rsid w:val="003428F6"/>
    <w:rsid w:val="00343F99"/>
    <w:rsid w:val="003445FE"/>
    <w:rsid w:val="00344969"/>
    <w:rsid w:val="00345F06"/>
    <w:rsid w:val="00345F92"/>
    <w:rsid w:val="00347A3B"/>
    <w:rsid w:val="00347BD8"/>
    <w:rsid w:val="0035104D"/>
    <w:rsid w:val="00351E87"/>
    <w:rsid w:val="00353348"/>
    <w:rsid w:val="003533E7"/>
    <w:rsid w:val="0035363E"/>
    <w:rsid w:val="00353E67"/>
    <w:rsid w:val="0035514D"/>
    <w:rsid w:val="0035589E"/>
    <w:rsid w:val="003559FC"/>
    <w:rsid w:val="00356B4C"/>
    <w:rsid w:val="0036053B"/>
    <w:rsid w:val="00360E1F"/>
    <w:rsid w:val="003629A1"/>
    <w:rsid w:val="00362BA9"/>
    <w:rsid w:val="0036376B"/>
    <w:rsid w:val="00364300"/>
    <w:rsid w:val="0037074A"/>
    <w:rsid w:val="00371213"/>
    <w:rsid w:val="003729AE"/>
    <w:rsid w:val="003736F8"/>
    <w:rsid w:val="00375179"/>
    <w:rsid w:val="003775CB"/>
    <w:rsid w:val="00380078"/>
    <w:rsid w:val="00380FE4"/>
    <w:rsid w:val="00381444"/>
    <w:rsid w:val="00381992"/>
    <w:rsid w:val="0038238B"/>
    <w:rsid w:val="00383888"/>
    <w:rsid w:val="00384D25"/>
    <w:rsid w:val="00385B41"/>
    <w:rsid w:val="00387419"/>
    <w:rsid w:val="003903E9"/>
    <w:rsid w:val="00391A99"/>
    <w:rsid w:val="00391FD6"/>
    <w:rsid w:val="003951B9"/>
    <w:rsid w:val="003953B6"/>
    <w:rsid w:val="00395CFA"/>
    <w:rsid w:val="00396C81"/>
    <w:rsid w:val="00396C9C"/>
    <w:rsid w:val="00397BDC"/>
    <w:rsid w:val="003A41D8"/>
    <w:rsid w:val="003A481F"/>
    <w:rsid w:val="003A5DC1"/>
    <w:rsid w:val="003A6147"/>
    <w:rsid w:val="003A7593"/>
    <w:rsid w:val="003A75F3"/>
    <w:rsid w:val="003B09B0"/>
    <w:rsid w:val="003B3072"/>
    <w:rsid w:val="003B33A2"/>
    <w:rsid w:val="003B3C44"/>
    <w:rsid w:val="003B47DC"/>
    <w:rsid w:val="003B4D70"/>
    <w:rsid w:val="003B4FDA"/>
    <w:rsid w:val="003B51BA"/>
    <w:rsid w:val="003B587D"/>
    <w:rsid w:val="003B5DEA"/>
    <w:rsid w:val="003B7474"/>
    <w:rsid w:val="003B7CDC"/>
    <w:rsid w:val="003C19F1"/>
    <w:rsid w:val="003C1C71"/>
    <w:rsid w:val="003C26E3"/>
    <w:rsid w:val="003C3E52"/>
    <w:rsid w:val="003C4C2D"/>
    <w:rsid w:val="003C5E25"/>
    <w:rsid w:val="003C63E7"/>
    <w:rsid w:val="003D05A4"/>
    <w:rsid w:val="003D05B9"/>
    <w:rsid w:val="003D0A9F"/>
    <w:rsid w:val="003D4686"/>
    <w:rsid w:val="003D5254"/>
    <w:rsid w:val="003D5B64"/>
    <w:rsid w:val="003D5F17"/>
    <w:rsid w:val="003D61C9"/>
    <w:rsid w:val="003D6406"/>
    <w:rsid w:val="003D7298"/>
    <w:rsid w:val="003D7F3E"/>
    <w:rsid w:val="003E053D"/>
    <w:rsid w:val="003E1107"/>
    <w:rsid w:val="003E1CEC"/>
    <w:rsid w:val="003E234E"/>
    <w:rsid w:val="003E3722"/>
    <w:rsid w:val="003E47F9"/>
    <w:rsid w:val="003E48A5"/>
    <w:rsid w:val="003E496D"/>
    <w:rsid w:val="003E595A"/>
    <w:rsid w:val="003E7620"/>
    <w:rsid w:val="003E78F0"/>
    <w:rsid w:val="003E7924"/>
    <w:rsid w:val="003E7B58"/>
    <w:rsid w:val="003F069B"/>
    <w:rsid w:val="003F15FC"/>
    <w:rsid w:val="003F2C9A"/>
    <w:rsid w:val="003F31C6"/>
    <w:rsid w:val="003F46B3"/>
    <w:rsid w:val="003F607E"/>
    <w:rsid w:val="003F6CBD"/>
    <w:rsid w:val="003F7539"/>
    <w:rsid w:val="003F7C14"/>
    <w:rsid w:val="00400479"/>
    <w:rsid w:val="004008D6"/>
    <w:rsid w:val="004014F0"/>
    <w:rsid w:val="00402AD8"/>
    <w:rsid w:val="00406C20"/>
    <w:rsid w:val="00407BE7"/>
    <w:rsid w:val="00407E82"/>
    <w:rsid w:val="00407EBC"/>
    <w:rsid w:val="00411A44"/>
    <w:rsid w:val="00412379"/>
    <w:rsid w:val="004125AE"/>
    <w:rsid w:val="00412A47"/>
    <w:rsid w:val="00413723"/>
    <w:rsid w:val="004144B7"/>
    <w:rsid w:val="00415687"/>
    <w:rsid w:val="004157B2"/>
    <w:rsid w:val="00416A9A"/>
    <w:rsid w:val="00416CBE"/>
    <w:rsid w:val="004172B5"/>
    <w:rsid w:val="004177C9"/>
    <w:rsid w:val="00417D0B"/>
    <w:rsid w:val="004201E5"/>
    <w:rsid w:val="0042059A"/>
    <w:rsid w:val="00420DF7"/>
    <w:rsid w:val="00421878"/>
    <w:rsid w:val="0042220C"/>
    <w:rsid w:val="00423DC3"/>
    <w:rsid w:val="004240A2"/>
    <w:rsid w:val="00424612"/>
    <w:rsid w:val="00424971"/>
    <w:rsid w:val="004252BF"/>
    <w:rsid w:val="004255D2"/>
    <w:rsid w:val="0042668C"/>
    <w:rsid w:val="004302B6"/>
    <w:rsid w:val="0043160E"/>
    <w:rsid w:val="00431666"/>
    <w:rsid w:val="00431689"/>
    <w:rsid w:val="004326DB"/>
    <w:rsid w:val="00432837"/>
    <w:rsid w:val="00432DAD"/>
    <w:rsid w:val="00432EE0"/>
    <w:rsid w:val="004332FB"/>
    <w:rsid w:val="0043361C"/>
    <w:rsid w:val="0043422C"/>
    <w:rsid w:val="00434A50"/>
    <w:rsid w:val="00434E6B"/>
    <w:rsid w:val="00435317"/>
    <w:rsid w:val="00435555"/>
    <w:rsid w:val="00436693"/>
    <w:rsid w:val="004371B4"/>
    <w:rsid w:val="00437621"/>
    <w:rsid w:val="00437FB2"/>
    <w:rsid w:val="00442BB8"/>
    <w:rsid w:val="00443504"/>
    <w:rsid w:val="00443E12"/>
    <w:rsid w:val="0044427B"/>
    <w:rsid w:val="00444361"/>
    <w:rsid w:val="0044537B"/>
    <w:rsid w:val="004478AE"/>
    <w:rsid w:val="00450E71"/>
    <w:rsid w:val="00451119"/>
    <w:rsid w:val="004513E1"/>
    <w:rsid w:val="004530E5"/>
    <w:rsid w:val="004535BF"/>
    <w:rsid w:val="00453609"/>
    <w:rsid w:val="0045397C"/>
    <w:rsid w:val="00453EAC"/>
    <w:rsid w:val="004546EA"/>
    <w:rsid w:val="00454822"/>
    <w:rsid w:val="00454CFF"/>
    <w:rsid w:val="00454FCC"/>
    <w:rsid w:val="00457391"/>
    <w:rsid w:val="00457EBC"/>
    <w:rsid w:val="0046129D"/>
    <w:rsid w:val="00461432"/>
    <w:rsid w:val="00461D1B"/>
    <w:rsid w:val="00461D50"/>
    <w:rsid w:val="004631F4"/>
    <w:rsid w:val="0046484F"/>
    <w:rsid w:val="00465B73"/>
    <w:rsid w:val="00466158"/>
    <w:rsid w:val="0046700D"/>
    <w:rsid w:val="00471193"/>
    <w:rsid w:val="00471407"/>
    <w:rsid w:val="00473F6E"/>
    <w:rsid w:val="00474253"/>
    <w:rsid w:val="00474750"/>
    <w:rsid w:val="004766E1"/>
    <w:rsid w:val="00476B69"/>
    <w:rsid w:val="004773C3"/>
    <w:rsid w:val="0048048B"/>
    <w:rsid w:val="00484937"/>
    <w:rsid w:val="0048527C"/>
    <w:rsid w:val="00486443"/>
    <w:rsid w:val="00491016"/>
    <w:rsid w:val="004941DB"/>
    <w:rsid w:val="00494BA2"/>
    <w:rsid w:val="00494CE4"/>
    <w:rsid w:val="00494F21"/>
    <w:rsid w:val="00496040"/>
    <w:rsid w:val="00496111"/>
    <w:rsid w:val="0049726E"/>
    <w:rsid w:val="004A0231"/>
    <w:rsid w:val="004A18B2"/>
    <w:rsid w:val="004A1A11"/>
    <w:rsid w:val="004A2382"/>
    <w:rsid w:val="004A257E"/>
    <w:rsid w:val="004A27D3"/>
    <w:rsid w:val="004A2ACB"/>
    <w:rsid w:val="004A49CD"/>
    <w:rsid w:val="004A4D2E"/>
    <w:rsid w:val="004A61EA"/>
    <w:rsid w:val="004A72AB"/>
    <w:rsid w:val="004B09C5"/>
    <w:rsid w:val="004B0E7D"/>
    <w:rsid w:val="004B1091"/>
    <w:rsid w:val="004B208A"/>
    <w:rsid w:val="004B2BBA"/>
    <w:rsid w:val="004B3350"/>
    <w:rsid w:val="004B467E"/>
    <w:rsid w:val="004B4902"/>
    <w:rsid w:val="004B5A4C"/>
    <w:rsid w:val="004B5D4B"/>
    <w:rsid w:val="004B5FCD"/>
    <w:rsid w:val="004B671C"/>
    <w:rsid w:val="004C2631"/>
    <w:rsid w:val="004C61A7"/>
    <w:rsid w:val="004D04FC"/>
    <w:rsid w:val="004D0ACC"/>
    <w:rsid w:val="004D15AD"/>
    <w:rsid w:val="004D2993"/>
    <w:rsid w:val="004D2A02"/>
    <w:rsid w:val="004D31F9"/>
    <w:rsid w:val="004D3C37"/>
    <w:rsid w:val="004D451E"/>
    <w:rsid w:val="004D5065"/>
    <w:rsid w:val="004D5446"/>
    <w:rsid w:val="004D581E"/>
    <w:rsid w:val="004D5C52"/>
    <w:rsid w:val="004D67C2"/>
    <w:rsid w:val="004D6C64"/>
    <w:rsid w:val="004D7C45"/>
    <w:rsid w:val="004E0567"/>
    <w:rsid w:val="004E082F"/>
    <w:rsid w:val="004E1BA0"/>
    <w:rsid w:val="004E1FD0"/>
    <w:rsid w:val="004E204C"/>
    <w:rsid w:val="004E28AF"/>
    <w:rsid w:val="004E298E"/>
    <w:rsid w:val="004E304E"/>
    <w:rsid w:val="004E3C52"/>
    <w:rsid w:val="004E5E4A"/>
    <w:rsid w:val="004E65EE"/>
    <w:rsid w:val="004E7A1E"/>
    <w:rsid w:val="004E7ACA"/>
    <w:rsid w:val="004F060E"/>
    <w:rsid w:val="004F0833"/>
    <w:rsid w:val="004F343D"/>
    <w:rsid w:val="004F39DA"/>
    <w:rsid w:val="004F4202"/>
    <w:rsid w:val="004F5D12"/>
    <w:rsid w:val="004F5DA2"/>
    <w:rsid w:val="004F6064"/>
    <w:rsid w:val="00502D4F"/>
    <w:rsid w:val="00503154"/>
    <w:rsid w:val="00503799"/>
    <w:rsid w:val="00504CD6"/>
    <w:rsid w:val="0050569B"/>
    <w:rsid w:val="005057A9"/>
    <w:rsid w:val="005057F1"/>
    <w:rsid w:val="00507DE8"/>
    <w:rsid w:val="00510ADE"/>
    <w:rsid w:val="005115E1"/>
    <w:rsid w:val="00511FB9"/>
    <w:rsid w:val="00512A9E"/>
    <w:rsid w:val="00514C83"/>
    <w:rsid w:val="00514D5D"/>
    <w:rsid w:val="00515273"/>
    <w:rsid w:val="00516320"/>
    <w:rsid w:val="0052100E"/>
    <w:rsid w:val="005227C6"/>
    <w:rsid w:val="005230B9"/>
    <w:rsid w:val="005235C6"/>
    <w:rsid w:val="00525FCF"/>
    <w:rsid w:val="00526709"/>
    <w:rsid w:val="0053007C"/>
    <w:rsid w:val="00530101"/>
    <w:rsid w:val="0053086C"/>
    <w:rsid w:val="00531D53"/>
    <w:rsid w:val="00531E6A"/>
    <w:rsid w:val="005332CB"/>
    <w:rsid w:val="005346AF"/>
    <w:rsid w:val="00534982"/>
    <w:rsid w:val="005369F2"/>
    <w:rsid w:val="005370AB"/>
    <w:rsid w:val="00540BEF"/>
    <w:rsid w:val="00540ECB"/>
    <w:rsid w:val="00541D5F"/>
    <w:rsid w:val="0054276D"/>
    <w:rsid w:val="00542C57"/>
    <w:rsid w:val="00543884"/>
    <w:rsid w:val="005441FC"/>
    <w:rsid w:val="00544599"/>
    <w:rsid w:val="00544AC6"/>
    <w:rsid w:val="005453E8"/>
    <w:rsid w:val="00546779"/>
    <w:rsid w:val="00550A1D"/>
    <w:rsid w:val="005512DB"/>
    <w:rsid w:val="00551BF9"/>
    <w:rsid w:val="00553335"/>
    <w:rsid w:val="00555217"/>
    <w:rsid w:val="00555DCA"/>
    <w:rsid w:val="00556A84"/>
    <w:rsid w:val="00557715"/>
    <w:rsid w:val="005603B6"/>
    <w:rsid w:val="0056129E"/>
    <w:rsid w:val="00561462"/>
    <w:rsid w:val="0056299F"/>
    <w:rsid w:val="00562AA0"/>
    <w:rsid w:val="00564AB5"/>
    <w:rsid w:val="00564CEF"/>
    <w:rsid w:val="00567C8E"/>
    <w:rsid w:val="005707CD"/>
    <w:rsid w:val="00572623"/>
    <w:rsid w:val="005736C8"/>
    <w:rsid w:val="00573E85"/>
    <w:rsid w:val="005766A3"/>
    <w:rsid w:val="00576C22"/>
    <w:rsid w:val="005775C2"/>
    <w:rsid w:val="00577836"/>
    <w:rsid w:val="00577D5A"/>
    <w:rsid w:val="00577F2A"/>
    <w:rsid w:val="005816AE"/>
    <w:rsid w:val="005819EE"/>
    <w:rsid w:val="00582846"/>
    <w:rsid w:val="005846FF"/>
    <w:rsid w:val="0058496F"/>
    <w:rsid w:val="00584E6B"/>
    <w:rsid w:val="00586D8B"/>
    <w:rsid w:val="00586ECA"/>
    <w:rsid w:val="00587045"/>
    <w:rsid w:val="005903DB"/>
    <w:rsid w:val="00590EA5"/>
    <w:rsid w:val="005915EE"/>
    <w:rsid w:val="00591993"/>
    <w:rsid w:val="00592926"/>
    <w:rsid w:val="00592A2F"/>
    <w:rsid w:val="00592AF1"/>
    <w:rsid w:val="005931A6"/>
    <w:rsid w:val="005966CF"/>
    <w:rsid w:val="005A06E3"/>
    <w:rsid w:val="005A074F"/>
    <w:rsid w:val="005A1A0A"/>
    <w:rsid w:val="005A228A"/>
    <w:rsid w:val="005A4C18"/>
    <w:rsid w:val="005A513E"/>
    <w:rsid w:val="005A516C"/>
    <w:rsid w:val="005A5F70"/>
    <w:rsid w:val="005A6A27"/>
    <w:rsid w:val="005A6F82"/>
    <w:rsid w:val="005A737A"/>
    <w:rsid w:val="005B015C"/>
    <w:rsid w:val="005B041A"/>
    <w:rsid w:val="005B0A52"/>
    <w:rsid w:val="005B1386"/>
    <w:rsid w:val="005B2385"/>
    <w:rsid w:val="005B2D56"/>
    <w:rsid w:val="005B5A41"/>
    <w:rsid w:val="005B5BDD"/>
    <w:rsid w:val="005B5D1F"/>
    <w:rsid w:val="005B5EBF"/>
    <w:rsid w:val="005B6CB7"/>
    <w:rsid w:val="005B7335"/>
    <w:rsid w:val="005B7E8D"/>
    <w:rsid w:val="005C07A6"/>
    <w:rsid w:val="005C1C43"/>
    <w:rsid w:val="005C1C72"/>
    <w:rsid w:val="005C1D6C"/>
    <w:rsid w:val="005C2196"/>
    <w:rsid w:val="005C284D"/>
    <w:rsid w:val="005C3235"/>
    <w:rsid w:val="005C3A2E"/>
    <w:rsid w:val="005C4668"/>
    <w:rsid w:val="005C4FC7"/>
    <w:rsid w:val="005C537C"/>
    <w:rsid w:val="005C7B13"/>
    <w:rsid w:val="005C7E51"/>
    <w:rsid w:val="005D05C8"/>
    <w:rsid w:val="005D1521"/>
    <w:rsid w:val="005D1680"/>
    <w:rsid w:val="005D17D7"/>
    <w:rsid w:val="005D2044"/>
    <w:rsid w:val="005D4B49"/>
    <w:rsid w:val="005D4E79"/>
    <w:rsid w:val="005D6B1F"/>
    <w:rsid w:val="005E01A4"/>
    <w:rsid w:val="005E084C"/>
    <w:rsid w:val="005E13E3"/>
    <w:rsid w:val="005E1EB7"/>
    <w:rsid w:val="005E1EEB"/>
    <w:rsid w:val="005E3238"/>
    <w:rsid w:val="005E4D6F"/>
    <w:rsid w:val="005E4F0C"/>
    <w:rsid w:val="005E66CF"/>
    <w:rsid w:val="005E7C5A"/>
    <w:rsid w:val="005F0668"/>
    <w:rsid w:val="005F0A57"/>
    <w:rsid w:val="005F152B"/>
    <w:rsid w:val="005F237F"/>
    <w:rsid w:val="005F2801"/>
    <w:rsid w:val="005F30F2"/>
    <w:rsid w:val="005F39F5"/>
    <w:rsid w:val="005F4D58"/>
    <w:rsid w:val="005F5ADD"/>
    <w:rsid w:val="005F5E5D"/>
    <w:rsid w:val="005F6178"/>
    <w:rsid w:val="005F63D1"/>
    <w:rsid w:val="005F732D"/>
    <w:rsid w:val="0060046D"/>
    <w:rsid w:val="0060162B"/>
    <w:rsid w:val="00601E16"/>
    <w:rsid w:val="00603907"/>
    <w:rsid w:val="00604A61"/>
    <w:rsid w:val="00607330"/>
    <w:rsid w:val="006106A1"/>
    <w:rsid w:val="006109DD"/>
    <w:rsid w:val="00611CA3"/>
    <w:rsid w:val="0061227F"/>
    <w:rsid w:val="00612B2B"/>
    <w:rsid w:val="00613C2E"/>
    <w:rsid w:val="00614268"/>
    <w:rsid w:val="006144AE"/>
    <w:rsid w:val="00615A49"/>
    <w:rsid w:val="006163BB"/>
    <w:rsid w:val="00616699"/>
    <w:rsid w:val="00616F98"/>
    <w:rsid w:val="00617953"/>
    <w:rsid w:val="00620306"/>
    <w:rsid w:val="00623C62"/>
    <w:rsid w:val="00624366"/>
    <w:rsid w:val="00624902"/>
    <w:rsid w:val="00627976"/>
    <w:rsid w:val="006312B0"/>
    <w:rsid w:val="006340AC"/>
    <w:rsid w:val="00635482"/>
    <w:rsid w:val="00635869"/>
    <w:rsid w:val="00635E4C"/>
    <w:rsid w:val="00636B6E"/>
    <w:rsid w:val="00640475"/>
    <w:rsid w:val="00640FB7"/>
    <w:rsid w:val="00641A96"/>
    <w:rsid w:val="006424F3"/>
    <w:rsid w:val="006431A5"/>
    <w:rsid w:val="00643301"/>
    <w:rsid w:val="00643E75"/>
    <w:rsid w:val="006440A6"/>
    <w:rsid w:val="0064459C"/>
    <w:rsid w:val="006457FE"/>
    <w:rsid w:val="006459A3"/>
    <w:rsid w:val="00647355"/>
    <w:rsid w:val="00647654"/>
    <w:rsid w:val="00647EEF"/>
    <w:rsid w:val="006512DE"/>
    <w:rsid w:val="00651FCC"/>
    <w:rsid w:val="00652F07"/>
    <w:rsid w:val="00656031"/>
    <w:rsid w:val="006576CD"/>
    <w:rsid w:val="0065798C"/>
    <w:rsid w:val="00657DA1"/>
    <w:rsid w:val="0066177D"/>
    <w:rsid w:val="006618E8"/>
    <w:rsid w:val="006619B6"/>
    <w:rsid w:val="00662A8E"/>
    <w:rsid w:val="00662F62"/>
    <w:rsid w:val="0066393D"/>
    <w:rsid w:val="006639AB"/>
    <w:rsid w:val="006639D4"/>
    <w:rsid w:val="00667B2E"/>
    <w:rsid w:val="00671522"/>
    <w:rsid w:val="00673A5E"/>
    <w:rsid w:val="00674E69"/>
    <w:rsid w:val="00676922"/>
    <w:rsid w:val="00680EC2"/>
    <w:rsid w:val="00681200"/>
    <w:rsid w:val="00681305"/>
    <w:rsid w:val="006826D5"/>
    <w:rsid w:val="00682E63"/>
    <w:rsid w:val="00682F62"/>
    <w:rsid w:val="0068330F"/>
    <w:rsid w:val="00683C61"/>
    <w:rsid w:val="006845E1"/>
    <w:rsid w:val="00684953"/>
    <w:rsid w:val="006869E5"/>
    <w:rsid w:val="0068772B"/>
    <w:rsid w:val="00687DEE"/>
    <w:rsid w:val="00690887"/>
    <w:rsid w:val="00690FF7"/>
    <w:rsid w:val="006927C1"/>
    <w:rsid w:val="00692A50"/>
    <w:rsid w:val="00693091"/>
    <w:rsid w:val="00693542"/>
    <w:rsid w:val="00693C0D"/>
    <w:rsid w:val="00695146"/>
    <w:rsid w:val="0069518F"/>
    <w:rsid w:val="00695441"/>
    <w:rsid w:val="0069671F"/>
    <w:rsid w:val="00697A97"/>
    <w:rsid w:val="00697B57"/>
    <w:rsid w:val="00697EB1"/>
    <w:rsid w:val="006A05B5"/>
    <w:rsid w:val="006A069E"/>
    <w:rsid w:val="006A09E5"/>
    <w:rsid w:val="006A1933"/>
    <w:rsid w:val="006A26E1"/>
    <w:rsid w:val="006A3DA1"/>
    <w:rsid w:val="006A4B17"/>
    <w:rsid w:val="006A4BA3"/>
    <w:rsid w:val="006A5B55"/>
    <w:rsid w:val="006A644D"/>
    <w:rsid w:val="006A71D2"/>
    <w:rsid w:val="006A79C1"/>
    <w:rsid w:val="006B01CE"/>
    <w:rsid w:val="006B07F5"/>
    <w:rsid w:val="006B085A"/>
    <w:rsid w:val="006B0CD9"/>
    <w:rsid w:val="006B21B0"/>
    <w:rsid w:val="006B2B18"/>
    <w:rsid w:val="006B2B47"/>
    <w:rsid w:val="006B2E9D"/>
    <w:rsid w:val="006B3837"/>
    <w:rsid w:val="006B401B"/>
    <w:rsid w:val="006B5B8E"/>
    <w:rsid w:val="006B6687"/>
    <w:rsid w:val="006C087F"/>
    <w:rsid w:val="006C0CF4"/>
    <w:rsid w:val="006C1F06"/>
    <w:rsid w:val="006C2E39"/>
    <w:rsid w:val="006C407D"/>
    <w:rsid w:val="006C5178"/>
    <w:rsid w:val="006C531A"/>
    <w:rsid w:val="006C5F5C"/>
    <w:rsid w:val="006C619C"/>
    <w:rsid w:val="006C72A4"/>
    <w:rsid w:val="006C7A3F"/>
    <w:rsid w:val="006D0201"/>
    <w:rsid w:val="006D1867"/>
    <w:rsid w:val="006D36EC"/>
    <w:rsid w:val="006D6148"/>
    <w:rsid w:val="006D70EA"/>
    <w:rsid w:val="006D733D"/>
    <w:rsid w:val="006D7395"/>
    <w:rsid w:val="006E0F3C"/>
    <w:rsid w:val="006E117F"/>
    <w:rsid w:val="006E166C"/>
    <w:rsid w:val="006E18E9"/>
    <w:rsid w:val="006E29B1"/>
    <w:rsid w:val="006E2F6C"/>
    <w:rsid w:val="006E40CF"/>
    <w:rsid w:val="006E4C9F"/>
    <w:rsid w:val="006E567E"/>
    <w:rsid w:val="006E5BF7"/>
    <w:rsid w:val="006E5E4F"/>
    <w:rsid w:val="006E65DE"/>
    <w:rsid w:val="006E6B8B"/>
    <w:rsid w:val="006E7359"/>
    <w:rsid w:val="006E7B5E"/>
    <w:rsid w:val="006E7BCD"/>
    <w:rsid w:val="006F2047"/>
    <w:rsid w:val="006F268F"/>
    <w:rsid w:val="006F331C"/>
    <w:rsid w:val="006F33B1"/>
    <w:rsid w:val="006F4087"/>
    <w:rsid w:val="006F6811"/>
    <w:rsid w:val="00700013"/>
    <w:rsid w:val="00700128"/>
    <w:rsid w:val="00700827"/>
    <w:rsid w:val="0070098A"/>
    <w:rsid w:val="00700C3D"/>
    <w:rsid w:val="007014CF"/>
    <w:rsid w:val="00701C6D"/>
    <w:rsid w:val="00702322"/>
    <w:rsid w:val="00702E2C"/>
    <w:rsid w:val="00706E03"/>
    <w:rsid w:val="007079A7"/>
    <w:rsid w:val="00710AF5"/>
    <w:rsid w:val="00711851"/>
    <w:rsid w:val="00711A60"/>
    <w:rsid w:val="00711B11"/>
    <w:rsid w:val="007121DB"/>
    <w:rsid w:val="00712570"/>
    <w:rsid w:val="0071330B"/>
    <w:rsid w:val="0071348A"/>
    <w:rsid w:val="00713D15"/>
    <w:rsid w:val="00714187"/>
    <w:rsid w:val="007146B8"/>
    <w:rsid w:val="00715E16"/>
    <w:rsid w:val="00716573"/>
    <w:rsid w:val="00716EE2"/>
    <w:rsid w:val="00717DA0"/>
    <w:rsid w:val="00720139"/>
    <w:rsid w:val="00720562"/>
    <w:rsid w:val="00720827"/>
    <w:rsid w:val="0072140C"/>
    <w:rsid w:val="00721E59"/>
    <w:rsid w:val="00723BD8"/>
    <w:rsid w:val="00724FF6"/>
    <w:rsid w:val="0072608C"/>
    <w:rsid w:val="00726CC9"/>
    <w:rsid w:val="00726FF6"/>
    <w:rsid w:val="00727563"/>
    <w:rsid w:val="00727661"/>
    <w:rsid w:val="00727788"/>
    <w:rsid w:val="00730D60"/>
    <w:rsid w:val="00731A3F"/>
    <w:rsid w:val="00731E33"/>
    <w:rsid w:val="00734A7E"/>
    <w:rsid w:val="00735235"/>
    <w:rsid w:val="00736372"/>
    <w:rsid w:val="00736541"/>
    <w:rsid w:val="00736E5E"/>
    <w:rsid w:val="00740451"/>
    <w:rsid w:val="00740B62"/>
    <w:rsid w:val="00741127"/>
    <w:rsid w:val="00741B7C"/>
    <w:rsid w:val="00741C46"/>
    <w:rsid w:val="00743C2D"/>
    <w:rsid w:val="00743C4E"/>
    <w:rsid w:val="00744977"/>
    <w:rsid w:val="007459CF"/>
    <w:rsid w:val="00745E23"/>
    <w:rsid w:val="00746136"/>
    <w:rsid w:val="007463AF"/>
    <w:rsid w:val="00746484"/>
    <w:rsid w:val="00746994"/>
    <w:rsid w:val="00746D3D"/>
    <w:rsid w:val="00746F05"/>
    <w:rsid w:val="00747524"/>
    <w:rsid w:val="007477F4"/>
    <w:rsid w:val="00747F3B"/>
    <w:rsid w:val="00750280"/>
    <w:rsid w:val="00750C7D"/>
    <w:rsid w:val="00750E78"/>
    <w:rsid w:val="00752A4A"/>
    <w:rsid w:val="00752BF9"/>
    <w:rsid w:val="007533EB"/>
    <w:rsid w:val="007536ED"/>
    <w:rsid w:val="0075492F"/>
    <w:rsid w:val="00755451"/>
    <w:rsid w:val="007560E1"/>
    <w:rsid w:val="00765B30"/>
    <w:rsid w:val="00765D18"/>
    <w:rsid w:val="007671B5"/>
    <w:rsid w:val="00767EA6"/>
    <w:rsid w:val="0077008B"/>
    <w:rsid w:val="007707DD"/>
    <w:rsid w:val="007721A6"/>
    <w:rsid w:val="00775575"/>
    <w:rsid w:val="007768C3"/>
    <w:rsid w:val="00777550"/>
    <w:rsid w:val="00780947"/>
    <w:rsid w:val="007825B3"/>
    <w:rsid w:val="00783788"/>
    <w:rsid w:val="0078389B"/>
    <w:rsid w:val="00784044"/>
    <w:rsid w:val="0078457A"/>
    <w:rsid w:val="00787110"/>
    <w:rsid w:val="00787CCB"/>
    <w:rsid w:val="00787F9D"/>
    <w:rsid w:val="0079097B"/>
    <w:rsid w:val="007918EA"/>
    <w:rsid w:val="00792315"/>
    <w:rsid w:val="00793523"/>
    <w:rsid w:val="00793DA2"/>
    <w:rsid w:val="00794A5B"/>
    <w:rsid w:val="00794AF7"/>
    <w:rsid w:val="0079563D"/>
    <w:rsid w:val="007959D5"/>
    <w:rsid w:val="00795B73"/>
    <w:rsid w:val="007963E5"/>
    <w:rsid w:val="007A0F0A"/>
    <w:rsid w:val="007A1DE0"/>
    <w:rsid w:val="007A2D71"/>
    <w:rsid w:val="007A37B6"/>
    <w:rsid w:val="007A3D70"/>
    <w:rsid w:val="007A4528"/>
    <w:rsid w:val="007A4D06"/>
    <w:rsid w:val="007A5AD2"/>
    <w:rsid w:val="007A5C5D"/>
    <w:rsid w:val="007A6887"/>
    <w:rsid w:val="007A7073"/>
    <w:rsid w:val="007A722A"/>
    <w:rsid w:val="007A7377"/>
    <w:rsid w:val="007A7825"/>
    <w:rsid w:val="007A786C"/>
    <w:rsid w:val="007B2228"/>
    <w:rsid w:val="007B35DE"/>
    <w:rsid w:val="007B3754"/>
    <w:rsid w:val="007B572E"/>
    <w:rsid w:val="007B63CB"/>
    <w:rsid w:val="007B7EA4"/>
    <w:rsid w:val="007C012E"/>
    <w:rsid w:val="007C0E62"/>
    <w:rsid w:val="007C176D"/>
    <w:rsid w:val="007C2860"/>
    <w:rsid w:val="007C2AA0"/>
    <w:rsid w:val="007C3294"/>
    <w:rsid w:val="007C41D7"/>
    <w:rsid w:val="007C56C4"/>
    <w:rsid w:val="007C6BAB"/>
    <w:rsid w:val="007C749E"/>
    <w:rsid w:val="007C77B9"/>
    <w:rsid w:val="007D03A4"/>
    <w:rsid w:val="007D12BF"/>
    <w:rsid w:val="007D3B71"/>
    <w:rsid w:val="007D66BF"/>
    <w:rsid w:val="007D7973"/>
    <w:rsid w:val="007E0BB8"/>
    <w:rsid w:val="007E0CC2"/>
    <w:rsid w:val="007E0E05"/>
    <w:rsid w:val="007E159C"/>
    <w:rsid w:val="007E2ACD"/>
    <w:rsid w:val="007E4627"/>
    <w:rsid w:val="007E46A2"/>
    <w:rsid w:val="007E5E08"/>
    <w:rsid w:val="007E74A4"/>
    <w:rsid w:val="007E79BA"/>
    <w:rsid w:val="007F0CE8"/>
    <w:rsid w:val="007F1184"/>
    <w:rsid w:val="007F266E"/>
    <w:rsid w:val="007F2D71"/>
    <w:rsid w:val="007F5299"/>
    <w:rsid w:val="007F585F"/>
    <w:rsid w:val="007F594C"/>
    <w:rsid w:val="007F5AD3"/>
    <w:rsid w:val="00800430"/>
    <w:rsid w:val="00800D85"/>
    <w:rsid w:val="00802456"/>
    <w:rsid w:val="0080290B"/>
    <w:rsid w:val="0080309B"/>
    <w:rsid w:val="00803212"/>
    <w:rsid w:val="008055D9"/>
    <w:rsid w:val="00805806"/>
    <w:rsid w:val="008073CA"/>
    <w:rsid w:val="00810257"/>
    <w:rsid w:val="00810B36"/>
    <w:rsid w:val="00811825"/>
    <w:rsid w:val="008118F9"/>
    <w:rsid w:val="0081234F"/>
    <w:rsid w:val="0081271E"/>
    <w:rsid w:val="0081385D"/>
    <w:rsid w:val="00814116"/>
    <w:rsid w:val="00820926"/>
    <w:rsid w:val="00821636"/>
    <w:rsid w:val="00821E1E"/>
    <w:rsid w:val="008222D8"/>
    <w:rsid w:val="00824306"/>
    <w:rsid w:val="00831271"/>
    <w:rsid w:val="0083198F"/>
    <w:rsid w:val="00831EE9"/>
    <w:rsid w:val="00832562"/>
    <w:rsid w:val="00832CB5"/>
    <w:rsid w:val="008332DF"/>
    <w:rsid w:val="008337AE"/>
    <w:rsid w:val="00833B8A"/>
    <w:rsid w:val="00833D09"/>
    <w:rsid w:val="0083456B"/>
    <w:rsid w:val="00837286"/>
    <w:rsid w:val="008407D3"/>
    <w:rsid w:val="00840DBB"/>
    <w:rsid w:val="008411A7"/>
    <w:rsid w:val="0084181E"/>
    <w:rsid w:val="0084223D"/>
    <w:rsid w:val="008454C2"/>
    <w:rsid w:val="00850F7D"/>
    <w:rsid w:val="00852BA8"/>
    <w:rsid w:val="008531F8"/>
    <w:rsid w:val="00854662"/>
    <w:rsid w:val="008548EB"/>
    <w:rsid w:val="00855039"/>
    <w:rsid w:val="008558BE"/>
    <w:rsid w:val="00855BFA"/>
    <w:rsid w:val="0086197A"/>
    <w:rsid w:val="008619CC"/>
    <w:rsid w:val="00861DB0"/>
    <w:rsid w:val="00861EC5"/>
    <w:rsid w:val="00863B9F"/>
    <w:rsid w:val="00863BBD"/>
    <w:rsid w:val="00865389"/>
    <w:rsid w:val="00865439"/>
    <w:rsid w:val="00865E63"/>
    <w:rsid w:val="0086631B"/>
    <w:rsid w:val="00866607"/>
    <w:rsid w:val="008667A1"/>
    <w:rsid w:val="008718E9"/>
    <w:rsid w:val="008736F7"/>
    <w:rsid w:val="00874371"/>
    <w:rsid w:val="00875815"/>
    <w:rsid w:val="00875F04"/>
    <w:rsid w:val="008767BD"/>
    <w:rsid w:val="0087751A"/>
    <w:rsid w:val="008805B8"/>
    <w:rsid w:val="00881393"/>
    <w:rsid w:val="00882685"/>
    <w:rsid w:val="00884076"/>
    <w:rsid w:val="008840A4"/>
    <w:rsid w:val="00884730"/>
    <w:rsid w:val="008849D0"/>
    <w:rsid w:val="00884B83"/>
    <w:rsid w:val="00884F6F"/>
    <w:rsid w:val="0088512E"/>
    <w:rsid w:val="00887026"/>
    <w:rsid w:val="0088772D"/>
    <w:rsid w:val="00887B24"/>
    <w:rsid w:val="008903BA"/>
    <w:rsid w:val="00890421"/>
    <w:rsid w:val="00890E4A"/>
    <w:rsid w:val="00891377"/>
    <w:rsid w:val="0089182A"/>
    <w:rsid w:val="00891D0B"/>
    <w:rsid w:val="00891E24"/>
    <w:rsid w:val="00892E69"/>
    <w:rsid w:val="00892E7A"/>
    <w:rsid w:val="008945CC"/>
    <w:rsid w:val="008964C5"/>
    <w:rsid w:val="00896DFA"/>
    <w:rsid w:val="008A1501"/>
    <w:rsid w:val="008A2A0F"/>
    <w:rsid w:val="008A3FA0"/>
    <w:rsid w:val="008A55B6"/>
    <w:rsid w:val="008A6145"/>
    <w:rsid w:val="008B1496"/>
    <w:rsid w:val="008B1712"/>
    <w:rsid w:val="008B17C9"/>
    <w:rsid w:val="008B1F1E"/>
    <w:rsid w:val="008B2DBD"/>
    <w:rsid w:val="008B39DB"/>
    <w:rsid w:val="008B5B6C"/>
    <w:rsid w:val="008B6BE0"/>
    <w:rsid w:val="008B6F3B"/>
    <w:rsid w:val="008B7935"/>
    <w:rsid w:val="008B7A9A"/>
    <w:rsid w:val="008B7BE0"/>
    <w:rsid w:val="008B7EE9"/>
    <w:rsid w:val="008C1208"/>
    <w:rsid w:val="008C168D"/>
    <w:rsid w:val="008C16BF"/>
    <w:rsid w:val="008C3184"/>
    <w:rsid w:val="008C38DE"/>
    <w:rsid w:val="008C4B0D"/>
    <w:rsid w:val="008C7178"/>
    <w:rsid w:val="008D0836"/>
    <w:rsid w:val="008D0E25"/>
    <w:rsid w:val="008D337E"/>
    <w:rsid w:val="008D5210"/>
    <w:rsid w:val="008D576A"/>
    <w:rsid w:val="008D6C35"/>
    <w:rsid w:val="008D7AA2"/>
    <w:rsid w:val="008D7F07"/>
    <w:rsid w:val="008E2240"/>
    <w:rsid w:val="008E2ED3"/>
    <w:rsid w:val="008E3B8F"/>
    <w:rsid w:val="008E3E89"/>
    <w:rsid w:val="008E4584"/>
    <w:rsid w:val="008E4C12"/>
    <w:rsid w:val="008E4EA9"/>
    <w:rsid w:val="008E7652"/>
    <w:rsid w:val="008E79B2"/>
    <w:rsid w:val="008E7BD6"/>
    <w:rsid w:val="008F0A1D"/>
    <w:rsid w:val="008F1B20"/>
    <w:rsid w:val="008F1C38"/>
    <w:rsid w:val="008F2245"/>
    <w:rsid w:val="008F2278"/>
    <w:rsid w:val="008F2A0C"/>
    <w:rsid w:val="008F2FF6"/>
    <w:rsid w:val="008F37AD"/>
    <w:rsid w:val="008F3F9C"/>
    <w:rsid w:val="008F6096"/>
    <w:rsid w:val="008F68F7"/>
    <w:rsid w:val="008F6FDF"/>
    <w:rsid w:val="008F75A2"/>
    <w:rsid w:val="00901AE0"/>
    <w:rsid w:val="009024E1"/>
    <w:rsid w:val="00904413"/>
    <w:rsid w:val="00904A0E"/>
    <w:rsid w:val="0090728F"/>
    <w:rsid w:val="00907932"/>
    <w:rsid w:val="00907D68"/>
    <w:rsid w:val="00910B41"/>
    <w:rsid w:val="0091102E"/>
    <w:rsid w:val="009110CF"/>
    <w:rsid w:val="00911FFC"/>
    <w:rsid w:val="00913B1C"/>
    <w:rsid w:val="00916D40"/>
    <w:rsid w:val="00917ACA"/>
    <w:rsid w:val="00920251"/>
    <w:rsid w:val="0092127E"/>
    <w:rsid w:val="00921414"/>
    <w:rsid w:val="00923534"/>
    <w:rsid w:val="0092502B"/>
    <w:rsid w:val="009251F6"/>
    <w:rsid w:val="00926E5F"/>
    <w:rsid w:val="009304A6"/>
    <w:rsid w:val="00934164"/>
    <w:rsid w:val="00936400"/>
    <w:rsid w:val="00936547"/>
    <w:rsid w:val="0094443A"/>
    <w:rsid w:val="00944AB7"/>
    <w:rsid w:val="00944F64"/>
    <w:rsid w:val="0094529C"/>
    <w:rsid w:val="009456DE"/>
    <w:rsid w:val="00946429"/>
    <w:rsid w:val="00946AEA"/>
    <w:rsid w:val="00946CB6"/>
    <w:rsid w:val="009477B4"/>
    <w:rsid w:val="009479C6"/>
    <w:rsid w:val="00950AE8"/>
    <w:rsid w:val="00951A0E"/>
    <w:rsid w:val="00952515"/>
    <w:rsid w:val="009528F8"/>
    <w:rsid w:val="009528FE"/>
    <w:rsid w:val="009543F2"/>
    <w:rsid w:val="00955287"/>
    <w:rsid w:val="00955431"/>
    <w:rsid w:val="00955ED0"/>
    <w:rsid w:val="00956268"/>
    <w:rsid w:val="00957ACE"/>
    <w:rsid w:val="00957ADB"/>
    <w:rsid w:val="00957BBC"/>
    <w:rsid w:val="00960929"/>
    <w:rsid w:val="00961969"/>
    <w:rsid w:val="00962488"/>
    <w:rsid w:val="009624C3"/>
    <w:rsid w:val="00962D41"/>
    <w:rsid w:val="009655B1"/>
    <w:rsid w:val="00965644"/>
    <w:rsid w:val="00966CC2"/>
    <w:rsid w:val="00966D2B"/>
    <w:rsid w:val="00967018"/>
    <w:rsid w:val="009670D1"/>
    <w:rsid w:val="00967199"/>
    <w:rsid w:val="009671E1"/>
    <w:rsid w:val="00971EEF"/>
    <w:rsid w:val="00972A8B"/>
    <w:rsid w:val="009730CB"/>
    <w:rsid w:val="00973316"/>
    <w:rsid w:val="0097377A"/>
    <w:rsid w:val="00973E28"/>
    <w:rsid w:val="009757ED"/>
    <w:rsid w:val="00975EF3"/>
    <w:rsid w:val="00975F20"/>
    <w:rsid w:val="0097795E"/>
    <w:rsid w:val="00977B3A"/>
    <w:rsid w:val="00977ED6"/>
    <w:rsid w:val="00980C9F"/>
    <w:rsid w:val="009819E2"/>
    <w:rsid w:val="00984471"/>
    <w:rsid w:val="009869C1"/>
    <w:rsid w:val="00987023"/>
    <w:rsid w:val="0098747E"/>
    <w:rsid w:val="009910EB"/>
    <w:rsid w:val="009916B0"/>
    <w:rsid w:val="0099294C"/>
    <w:rsid w:val="00992B47"/>
    <w:rsid w:val="009943CE"/>
    <w:rsid w:val="009959DC"/>
    <w:rsid w:val="00995D4D"/>
    <w:rsid w:val="00997370"/>
    <w:rsid w:val="00997483"/>
    <w:rsid w:val="009A0B32"/>
    <w:rsid w:val="009A0FF1"/>
    <w:rsid w:val="009A1A94"/>
    <w:rsid w:val="009A34A3"/>
    <w:rsid w:val="009A34D6"/>
    <w:rsid w:val="009A3EA9"/>
    <w:rsid w:val="009A51AC"/>
    <w:rsid w:val="009A6C6D"/>
    <w:rsid w:val="009A737F"/>
    <w:rsid w:val="009A7ED7"/>
    <w:rsid w:val="009B1BBD"/>
    <w:rsid w:val="009B24C4"/>
    <w:rsid w:val="009B2637"/>
    <w:rsid w:val="009B41A9"/>
    <w:rsid w:val="009B425F"/>
    <w:rsid w:val="009B426A"/>
    <w:rsid w:val="009B5704"/>
    <w:rsid w:val="009B5867"/>
    <w:rsid w:val="009B59EB"/>
    <w:rsid w:val="009B5C03"/>
    <w:rsid w:val="009B6132"/>
    <w:rsid w:val="009B7054"/>
    <w:rsid w:val="009B7A47"/>
    <w:rsid w:val="009C0A5E"/>
    <w:rsid w:val="009C0F5E"/>
    <w:rsid w:val="009C2540"/>
    <w:rsid w:val="009C3703"/>
    <w:rsid w:val="009C410D"/>
    <w:rsid w:val="009C5183"/>
    <w:rsid w:val="009C7660"/>
    <w:rsid w:val="009D0CC8"/>
    <w:rsid w:val="009D169B"/>
    <w:rsid w:val="009D43D0"/>
    <w:rsid w:val="009D5623"/>
    <w:rsid w:val="009D5BE4"/>
    <w:rsid w:val="009D5FBB"/>
    <w:rsid w:val="009D6C53"/>
    <w:rsid w:val="009D7EC0"/>
    <w:rsid w:val="009E0095"/>
    <w:rsid w:val="009E05C8"/>
    <w:rsid w:val="009E1B9F"/>
    <w:rsid w:val="009E21AB"/>
    <w:rsid w:val="009E2581"/>
    <w:rsid w:val="009E2E26"/>
    <w:rsid w:val="009E5209"/>
    <w:rsid w:val="009E66D5"/>
    <w:rsid w:val="009E6FA3"/>
    <w:rsid w:val="009E778E"/>
    <w:rsid w:val="009F0D95"/>
    <w:rsid w:val="009F10A3"/>
    <w:rsid w:val="009F1DD9"/>
    <w:rsid w:val="009F243C"/>
    <w:rsid w:val="009F34EC"/>
    <w:rsid w:val="009F3FCA"/>
    <w:rsid w:val="009F4C3F"/>
    <w:rsid w:val="009F5F93"/>
    <w:rsid w:val="009F61FD"/>
    <w:rsid w:val="009F7C30"/>
    <w:rsid w:val="009F7E5B"/>
    <w:rsid w:val="00A001E9"/>
    <w:rsid w:val="00A02D1C"/>
    <w:rsid w:val="00A03BB7"/>
    <w:rsid w:val="00A03EB6"/>
    <w:rsid w:val="00A04027"/>
    <w:rsid w:val="00A043C9"/>
    <w:rsid w:val="00A044E1"/>
    <w:rsid w:val="00A05DEC"/>
    <w:rsid w:val="00A06A7D"/>
    <w:rsid w:val="00A06A81"/>
    <w:rsid w:val="00A07206"/>
    <w:rsid w:val="00A104EF"/>
    <w:rsid w:val="00A1182D"/>
    <w:rsid w:val="00A1547C"/>
    <w:rsid w:val="00A15C11"/>
    <w:rsid w:val="00A15DB2"/>
    <w:rsid w:val="00A160A1"/>
    <w:rsid w:val="00A213FB"/>
    <w:rsid w:val="00A21478"/>
    <w:rsid w:val="00A228CB"/>
    <w:rsid w:val="00A238DB"/>
    <w:rsid w:val="00A23FB8"/>
    <w:rsid w:val="00A2593E"/>
    <w:rsid w:val="00A27BC6"/>
    <w:rsid w:val="00A30485"/>
    <w:rsid w:val="00A30F18"/>
    <w:rsid w:val="00A33DC6"/>
    <w:rsid w:val="00A34190"/>
    <w:rsid w:val="00A346B1"/>
    <w:rsid w:val="00A353A6"/>
    <w:rsid w:val="00A369CB"/>
    <w:rsid w:val="00A36EE5"/>
    <w:rsid w:val="00A36F1D"/>
    <w:rsid w:val="00A40040"/>
    <w:rsid w:val="00A407A7"/>
    <w:rsid w:val="00A41BC0"/>
    <w:rsid w:val="00A426E1"/>
    <w:rsid w:val="00A42F36"/>
    <w:rsid w:val="00A44E19"/>
    <w:rsid w:val="00A459EF"/>
    <w:rsid w:val="00A46C87"/>
    <w:rsid w:val="00A47205"/>
    <w:rsid w:val="00A50422"/>
    <w:rsid w:val="00A50C0E"/>
    <w:rsid w:val="00A54180"/>
    <w:rsid w:val="00A542AD"/>
    <w:rsid w:val="00A54EAC"/>
    <w:rsid w:val="00A55210"/>
    <w:rsid w:val="00A56C0F"/>
    <w:rsid w:val="00A573C8"/>
    <w:rsid w:val="00A57777"/>
    <w:rsid w:val="00A61E03"/>
    <w:rsid w:val="00A63D0B"/>
    <w:rsid w:val="00A64DF9"/>
    <w:rsid w:val="00A64E37"/>
    <w:rsid w:val="00A6666F"/>
    <w:rsid w:val="00A6741A"/>
    <w:rsid w:val="00A70401"/>
    <w:rsid w:val="00A70F05"/>
    <w:rsid w:val="00A71CAB"/>
    <w:rsid w:val="00A71CD4"/>
    <w:rsid w:val="00A71F90"/>
    <w:rsid w:val="00A725F0"/>
    <w:rsid w:val="00A73C59"/>
    <w:rsid w:val="00A73EB5"/>
    <w:rsid w:val="00A73F06"/>
    <w:rsid w:val="00A75EA0"/>
    <w:rsid w:val="00A8112D"/>
    <w:rsid w:val="00A81CDD"/>
    <w:rsid w:val="00A854B9"/>
    <w:rsid w:val="00A85648"/>
    <w:rsid w:val="00A85E72"/>
    <w:rsid w:val="00A87108"/>
    <w:rsid w:val="00A90C35"/>
    <w:rsid w:val="00A91CB8"/>
    <w:rsid w:val="00A92B99"/>
    <w:rsid w:val="00A92E33"/>
    <w:rsid w:val="00A93D24"/>
    <w:rsid w:val="00A96018"/>
    <w:rsid w:val="00A96ED1"/>
    <w:rsid w:val="00AA1376"/>
    <w:rsid w:val="00AA2E8E"/>
    <w:rsid w:val="00AA3B36"/>
    <w:rsid w:val="00AA5B9A"/>
    <w:rsid w:val="00AB050D"/>
    <w:rsid w:val="00AB190D"/>
    <w:rsid w:val="00AB1EF4"/>
    <w:rsid w:val="00AB343B"/>
    <w:rsid w:val="00AB3475"/>
    <w:rsid w:val="00AB4A31"/>
    <w:rsid w:val="00AB5BEA"/>
    <w:rsid w:val="00AC2549"/>
    <w:rsid w:val="00AC3278"/>
    <w:rsid w:val="00AC39E9"/>
    <w:rsid w:val="00AC431D"/>
    <w:rsid w:val="00AC4B9E"/>
    <w:rsid w:val="00AC5F03"/>
    <w:rsid w:val="00AC61C0"/>
    <w:rsid w:val="00AC66B9"/>
    <w:rsid w:val="00AC7B09"/>
    <w:rsid w:val="00AD178D"/>
    <w:rsid w:val="00AD17DC"/>
    <w:rsid w:val="00AD1949"/>
    <w:rsid w:val="00AD3A34"/>
    <w:rsid w:val="00AD3C64"/>
    <w:rsid w:val="00AD3C93"/>
    <w:rsid w:val="00AD4B67"/>
    <w:rsid w:val="00AD591E"/>
    <w:rsid w:val="00AD6B48"/>
    <w:rsid w:val="00AD6F54"/>
    <w:rsid w:val="00AE0727"/>
    <w:rsid w:val="00AE140B"/>
    <w:rsid w:val="00AE151D"/>
    <w:rsid w:val="00AE2826"/>
    <w:rsid w:val="00AE3927"/>
    <w:rsid w:val="00AE4171"/>
    <w:rsid w:val="00AE4F72"/>
    <w:rsid w:val="00AF0710"/>
    <w:rsid w:val="00AF1122"/>
    <w:rsid w:val="00AF15F6"/>
    <w:rsid w:val="00AF470A"/>
    <w:rsid w:val="00AF6699"/>
    <w:rsid w:val="00AF7CF5"/>
    <w:rsid w:val="00AF7EB6"/>
    <w:rsid w:val="00B002DE"/>
    <w:rsid w:val="00B008C3"/>
    <w:rsid w:val="00B0093F"/>
    <w:rsid w:val="00B00A0B"/>
    <w:rsid w:val="00B00F7C"/>
    <w:rsid w:val="00B01AE7"/>
    <w:rsid w:val="00B01BBD"/>
    <w:rsid w:val="00B041C4"/>
    <w:rsid w:val="00B04B99"/>
    <w:rsid w:val="00B060EE"/>
    <w:rsid w:val="00B062D8"/>
    <w:rsid w:val="00B06D07"/>
    <w:rsid w:val="00B073B1"/>
    <w:rsid w:val="00B073D2"/>
    <w:rsid w:val="00B10000"/>
    <w:rsid w:val="00B10B58"/>
    <w:rsid w:val="00B13D28"/>
    <w:rsid w:val="00B1427C"/>
    <w:rsid w:val="00B145B0"/>
    <w:rsid w:val="00B146BE"/>
    <w:rsid w:val="00B15953"/>
    <w:rsid w:val="00B17375"/>
    <w:rsid w:val="00B178E4"/>
    <w:rsid w:val="00B21106"/>
    <w:rsid w:val="00B2113E"/>
    <w:rsid w:val="00B222C6"/>
    <w:rsid w:val="00B224DE"/>
    <w:rsid w:val="00B23AFD"/>
    <w:rsid w:val="00B25A12"/>
    <w:rsid w:val="00B2761D"/>
    <w:rsid w:val="00B277CA"/>
    <w:rsid w:val="00B31DAA"/>
    <w:rsid w:val="00B323E1"/>
    <w:rsid w:val="00B32DFE"/>
    <w:rsid w:val="00B33718"/>
    <w:rsid w:val="00B33B77"/>
    <w:rsid w:val="00B340D8"/>
    <w:rsid w:val="00B3616E"/>
    <w:rsid w:val="00B364C7"/>
    <w:rsid w:val="00B37483"/>
    <w:rsid w:val="00B40A4E"/>
    <w:rsid w:val="00B40F4C"/>
    <w:rsid w:val="00B41052"/>
    <w:rsid w:val="00B41B6A"/>
    <w:rsid w:val="00B43D7E"/>
    <w:rsid w:val="00B441B8"/>
    <w:rsid w:val="00B448E4"/>
    <w:rsid w:val="00B46A66"/>
    <w:rsid w:val="00B46D87"/>
    <w:rsid w:val="00B506C7"/>
    <w:rsid w:val="00B51491"/>
    <w:rsid w:val="00B51938"/>
    <w:rsid w:val="00B521F4"/>
    <w:rsid w:val="00B52D04"/>
    <w:rsid w:val="00B53EC5"/>
    <w:rsid w:val="00B55E8D"/>
    <w:rsid w:val="00B55FDD"/>
    <w:rsid w:val="00B5634D"/>
    <w:rsid w:val="00B57F39"/>
    <w:rsid w:val="00B610A4"/>
    <w:rsid w:val="00B61F72"/>
    <w:rsid w:val="00B63C2F"/>
    <w:rsid w:val="00B64C09"/>
    <w:rsid w:val="00B660E1"/>
    <w:rsid w:val="00B6678D"/>
    <w:rsid w:val="00B668B9"/>
    <w:rsid w:val="00B677DB"/>
    <w:rsid w:val="00B67CD6"/>
    <w:rsid w:val="00B70374"/>
    <w:rsid w:val="00B71387"/>
    <w:rsid w:val="00B72C79"/>
    <w:rsid w:val="00B73E0A"/>
    <w:rsid w:val="00B75AA1"/>
    <w:rsid w:val="00B75B5D"/>
    <w:rsid w:val="00B75CAC"/>
    <w:rsid w:val="00B7747F"/>
    <w:rsid w:val="00B775C9"/>
    <w:rsid w:val="00B77A71"/>
    <w:rsid w:val="00B77F74"/>
    <w:rsid w:val="00B804E3"/>
    <w:rsid w:val="00B8082C"/>
    <w:rsid w:val="00B815CC"/>
    <w:rsid w:val="00B824C6"/>
    <w:rsid w:val="00B8355A"/>
    <w:rsid w:val="00B83D23"/>
    <w:rsid w:val="00B83F13"/>
    <w:rsid w:val="00B840D0"/>
    <w:rsid w:val="00B87E7B"/>
    <w:rsid w:val="00B87EB9"/>
    <w:rsid w:val="00B90303"/>
    <w:rsid w:val="00B909E5"/>
    <w:rsid w:val="00B92592"/>
    <w:rsid w:val="00B9374C"/>
    <w:rsid w:val="00B94069"/>
    <w:rsid w:val="00B9628C"/>
    <w:rsid w:val="00B96BF0"/>
    <w:rsid w:val="00B970ED"/>
    <w:rsid w:val="00BA0619"/>
    <w:rsid w:val="00BA0D43"/>
    <w:rsid w:val="00BA162F"/>
    <w:rsid w:val="00BA1EA1"/>
    <w:rsid w:val="00BA2C40"/>
    <w:rsid w:val="00BA2D09"/>
    <w:rsid w:val="00BA37E9"/>
    <w:rsid w:val="00BA3864"/>
    <w:rsid w:val="00BA48CD"/>
    <w:rsid w:val="00BA4EFC"/>
    <w:rsid w:val="00BA652E"/>
    <w:rsid w:val="00BA6F35"/>
    <w:rsid w:val="00BA7445"/>
    <w:rsid w:val="00BA7AB5"/>
    <w:rsid w:val="00BB0246"/>
    <w:rsid w:val="00BB0A06"/>
    <w:rsid w:val="00BB12F9"/>
    <w:rsid w:val="00BB1AA8"/>
    <w:rsid w:val="00BB247B"/>
    <w:rsid w:val="00BB2D9C"/>
    <w:rsid w:val="00BB42FB"/>
    <w:rsid w:val="00BB497D"/>
    <w:rsid w:val="00BB63BF"/>
    <w:rsid w:val="00BB73B1"/>
    <w:rsid w:val="00BC1D34"/>
    <w:rsid w:val="00BC2581"/>
    <w:rsid w:val="00BC3D40"/>
    <w:rsid w:val="00BC4B4D"/>
    <w:rsid w:val="00BC5BC3"/>
    <w:rsid w:val="00BC5E74"/>
    <w:rsid w:val="00BC5F51"/>
    <w:rsid w:val="00BC68EA"/>
    <w:rsid w:val="00BC6943"/>
    <w:rsid w:val="00BD0B4E"/>
    <w:rsid w:val="00BD2040"/>
    <w:rsid w:val="00BD6428"/>
    <w:rsid w:val="00BD6746"/>
    <w:rsid w:val="00BD7CEA"/>
    <w:rsid w:val="00BE0162"/>
    <w:rsid w:val="00BE2001"/>
    <w:rsid w:val="00BE2276"/>
    <w:rsid w:val="00BE2D55"/>
    <w:rsid w:val="00BE2E55"/>
    <w:rsid w:val="00BE45B4"/>
    <w:rsid w:val="00BE500F"/>
    <w:rsid w:val="00BE5DE8"/>
    <w:rsid w:val="00BE6163"/>
    <w:rsid w:val="00BE7059"/>
    <w:rsid w:val="00BE713E"/>
    <w:rsid w:val="00BE7FFE"/>
    <w:rsid w:val="00BF0607"/>
    <w:rsid w:val="00BF19B0"/>
    <w:rsid w:val="00BF1BED"/>
    <w:rsid w:val="00BF1D1B"/>
    <w:rsid w:val="00BF1D4A"/>
    <w:rsid w:val="00BF25D5"/>
    <w:rsid w:val="00BF2B8C"/>
    <w:rsid w:val="00BF3296"/>
    <w:rsid w:val="00BF331B"/>
    <w:rsid w:val="00BF3FBA"/>
    <w:rsid w:val="00BF574B"/>
    <w:rsid w:val="00BF5B40"/>
    <w:rsid w:val="00C00638"/>
    <w:rsid w:val="00C01BB0"/>
    <w:rsid w:val="00C02376"/>
    <w:rsid w:val="00C02CD0"/>
    <w:rsid w:val="00C03B79"/>
    <w:rsid w:val="00C06379"/>
    <w:rsid w:val="00C066EA"/>
    <w:rsid w:val="00C06C03"/>
    <w:rsid w:val="00C073DC"/>
    <w:rsid w:val="00C10ED5"/>
    <w:rsid w:val="00C1104E"/>
    <w:rsid w:val="00C114A2"/>
    <w:rsid w:val="00C1208F"/>
    <w:rsid w:val="00C120F7"/>
    <w:rsid w:val="00C12517"/>
    <w:rsid w:val="00C12FBC"/>
    <w:rsid w:val="00C13E18"/>
    <w:rsid w:val="00C149CE"/>
    <w:rsid w:val="00C151C5"/>
    <w:rsid w:val="00C16315"/>
    <w:rsid w:val="00C170FE"/>
    <w:rsid w:val="00C20DB8"/>
    <w:rsid w:val="00C228D7"/>
    <w:rsid w:val="00C23BC4"/>
    <w:rsid w:val="00C23FA2"/>
    <w:rsid w:val="00C25149"/>
    <w:rsid w:val="00C25CD9"/>
    <w:rsid w:val="00C26045"/>
    <w:rsid w:val="00C26091"/>
    <w:rsid w:val="00C266C4"/>
    <w:rsid w:val="00C30285"/>
    <w:rsid w:val="00C31998"/>
    <w:rsid w:val="00C32C80"/>
    <w:rsid w:val="00C32E62"/>
    <w:rsid w:val="00C3322A"/>
    <w:rsid w:val="00C34294"/>
    <w:rsid w:val="00C35B68"/>
    <w:rsid w:val="00C36315"/>
    <w:rsid w:val="00C365FC"/>
    <w:rsid w:val="00C36B34"/>
    <w:rsid w:val="00C3761E"/>
    <w:rsid w:val="00C41721"/>
    <w:rsid w:val="00C41E38"/>
    <w:rsid w:val="00C42CA6"/>
    <w:rsid w:val="00C42E6A"/>
    <w:rsid w:val="00C44956"/>
    <w:rsid w:val="00C44E7D"/>
    <w:rsid w:val="00C454F4"/>
    <w:rsid w:val="00C45960"/>
    <w:rsid w:val="00C459A4"/>
    <w:rsid w:val="00C46016"/>
    <w:rsid w:val="00C46B96"/>
    <w:rsid w:val="00C5104B"/>
    <w:rsid w:val="00C52543"/>
    <w:rsid w:val="00C52F6B"/>
    <w:rsid w:val="00C538B2"/>
    <w:rsid w:val="00C546B3"/>
    <w:rsid w:val="00C54B37"/>
    <w:rsid w:val="00C54BF4"/>
    <w:rsid w:val="00C55CA3"/>
    <w:rsid w:val="00C5664C"/>
    <w:rsid w:val="00C56873"/>
    <w:rsid w:val="00C56CD2"/>
    <w:rsid w:val="00C573C7"/>
    <w:rsid w:val="00C57A63"/>
    <w:rsid w:val="00C609C4"/>
    <w:rsid w:val="00C60B0D"/>
    <w:rsid w:val="00C6192A"/>
    <w:rsid w:val="00C6448F"/>
    <w:rsid w:val="00C648C5"/>
    <w:rsid w:val="00C6513F"/>
    <w:rsid w:val="00C6567F"/>
    <w:rsid w:val="00C65FD3"/>
    <w:rsid w:val="00C66583"/>
    <w:rsid w:val="00C673CD"/>
    <w:rsid w:val="00C67BAE"/>
    <w:rsid w:val="00C67F84"/>
    <w:rsid w:val="00C712CF"/>
    <w:rsid w:val="00C71665"/>
    <w:rsid w:val="00C72259"/>
    <w:rsid w:val="00C724DD"/>
    <w:rsid w:val="00C72FE0"/>
    <w:rsid w:val="00C75DE3"/>
    <w:rsid w:val="00C770FC"/>
    <w:rsid w:val="00C77346"/>
    <w:rsid w:val="00C77C22"/>
    <w:rsid w:val="00C806CE"/>
    <w:rsid w:val="00C809FF"/>
    <w:rsid w:val="00C81FDF"/>
    <w:rsid w:val="00C830A1"/>
    <w:rsid w:val="00C85702"/>
    <w:rsid w:val="00C85947"/>
    <w:rsid w:val="00C868B1"/>
    <w:rsid w:val="00C871C5"/>
    <w:rsid w:val="00C87A79"/>
    <w:rsid w:val="00C908C8"/>
    <w:rsid w:val="00C90C5F"/>
    <w:rsid w:val="00C91959"/>
    <w:rsid w:val="00C9282A"/>
    <w:rsid w:val="00C95780"/>
    <w:rsid w:val="00C96AF7"/>
    <w:rsid w:val="00C97A9A"/>
    <w:rsid w:val="00CA0DC2"/>
    <w:rsid w:val="00CA2DBF"/>
    <w:rsid w:val="00CA397A"/>
    <w:rsid w:val="00CA3EF5"/>
    <w:rsid w:val="00CA4E6A"/>
    <w:rsid w:val="00CA54CA"/>
    <w:rsid w:val="00CA55EC"/>
    <w:rsid w:val="00CA5676"/>
    <w:rsid w:val="00CA630D"/>
    <w:rsid w:val="00CA744D"/>
    <w:rsid w:val="00CB30DB"/>
    <w:rsid w:val="00CB353C"/>
    <w:rsid w:val="00CB4C33"/>
    <w:rsid w:val="00CB4CBF"/>
    <w:rsid w:val="00CB6BC8"/>
    <w:rsid w:val="00CB6E67"/>
    <w:rsid w:val="00CC0CCE"/>
    <w:rsid w:val="00CC1E72"/>
    <w:rsid w:val="00CC3B86"/>
    <w:rsid w:val="00CC465E"/>
    <w:rsid w:val="00CC6551"/>
    <w:rsid w:val="00CD1A8A"/>
    <w:rsid w:val="00CD28D7"/>
    <w:rsid w:val="00CD2DE7"/>
    <w:rsid w:val="00CD2F8C"/>
    <w:rsid w:val="00CD3D3F"/>
    <w:rsid w:val="00CD464E"/>
    <w:rsid w:val="00CD4977"/>
    <w:rsid w:val="00CE3866"/>
    <w:rsid w:val="00CE51FD"/>
    <w:rsid w:val="00CE5DB5"/>
    <w:rsid w:val="00CE5E2A"/>
    <w:rsid w:val="00CE65F5"/>
    <w:rsid w:val="00CE78EA"/>
    <w:rsid w:val="00CF0B20"/>
    <w:rsid w:val="00CF0B9B"/>
    <w:rsid w:val="00CF0E73"/>
    <w:rsid w:val="00CF1359"/>
    <w:rsid w:val="00CF1618"/>
    <w:rsid w:val="00CF29CB"/>
    <w:rsid w:val="00CF3096"/>
    <w:rsid w:val="00CF3B21"/>
    <w:rsid w:val="00CF5943"/>
    <w:rsid w:val="00CF79EF"/>
    <w:rsid w:val="00CF7AC0"/>
    <w:rsid w:val="00CF7FF7"/>
    <w:rsid w:val="00D01855"/>
    <w:rsid w:val="00D019E8"/>
    <w:rsid w:val="00D01C62"/>
    <w:rsid w:val="00D01ED3"/>
    <w:rsid w:val="00D02D84"/>
    <w:rsid w:val="00D06FC1"/>
    <w:rsid w:val="00D07EE0"/>
    <w:rsid w:val="00D107D2"/>
    <w:rsid w:val="00D11580"/>
    <w:rsid w:val="00D1169D"/>
    <w:rsid w:val="00D11807"/>
    <w:rsid w:val="00D126BD"/>
    <w:rsid w:val="00D131CE"/>
    <w:rsid w:val="00D141EF"/>
    <w:rsid w:val="00D157AF"/>
    <w:rsid w:val="00D15803"/>
    <w:rsid w:val="00D20013"/>
    <w:rsid w:val="00D20DC5"/>
    <w:rsid w:val="00D21221"/>
    <w:rsid w:val="00D216BD"/>
    <w:rsid w:val="00D252D4"/>
    <w:rsid w:val="00D27308"/>
    <w:rsid w:val="00D314A7"/>
    <w:rsid w:val="00D316FC"/>
    <w:rsid w:val="00D326AC"/>
    <w:rsid w:val="00D33410"/>
    <w:rsid w:val="00D33615"/>
    <w:rsid w:val="00D3510C"/>
    <w:rsid w:val="00D40869"/>
    <w:rsid w:val="00D40DDA"/>
    <w:rsid w:val="00D41337"/>
    <w:rsid w:val="00D42DF4"/>
    <w:rsid w:val="00D44A82"/>
    <w:rsid w:val="00D4581C"/>
    <w:rsid w:val="00D45BA0"/>
    <w:rsid w:val="00D45D3D"/>
    <w:rsid w:val="00D46067"/>
    <w:rsid w:val="00D474AF"/>
    <w:rsid w:val="00D47E17"/>
    <w:rsid w:val="00D51365"/>
    <w:rsid w:val="00D514AF"/>
    <w:rsid w:val="00D52696"/>
    <w:rsid w:val="00D52DE9"/>
    <w:rsid w:val="00D607CB"/>
    <w:rsid w:val="00D607FE"/>
    <w:rsid w:val="00D60944"/>
    <w:rsid w:val="00D60A91"/>
    <w:rsid w:val="00D61416"/>
    <w:rsid w:val="00D61736"/>
    <w:rsid w:val="00D6250A"/>
    <w:rsid w:val="00D62816"/>
    <w:rsid w:val="00D63237"/>
    <w:rsid w:val="00D6343F"/>
    <w:rsid w:val="00D63806"/>
    <w:rsid w:val="00D63D2F"/>
    <w:rsid w:val="00D6454E"/>
    <w:rsid w:val="00D64B9F"/>
    <w:rsid w:val="00D6607E"/>
    <w:rsid w:val="00D6637E"/>
    <w:rsid w:val="00D71B0C"/>
    <w:rsid w:val="00D73636"/>
    <w:rsid w:val="00D739F0"/>
    <w:rsid w:val="00D75663"/>
    <w:rsid w:val="00D76B17"/>
    <w:rsid w:val="00D76F2E"/>
    <w:rsid w:val="00D8069D"/>
    <w:rsid w:val="00D82485"/>
    <w:rsid w:val="00D82D2F"/>
    <w:rsid w:val="00D83752"/>
    <w:rsid w:val="00D841D9"/>
    <w:rsid w:val="00D84B78"/>
    <w:rsid w:val="00D85D13"/>
    <w:rsid w:val="00D86461"/>
    <w:rsid w:val="00D90E6B"/>
    <w:rsid w:val="00D91043"/>
    <w:rsid w:val="00D94492"/>
    <w:rsid w:val="00D94810"/>
    <w:rsid w:val="00D94F99"/>
    <w:rsid w:val="00D975B6"/>
    <w:rsid w:val="00D97AC0"/>
    <w:rsid w:val="00D97DF6"/>
    <w:rsid w:val="00DA12D2"/>
    <w:rsid w:val="00DA2D8B"/>
    <w:rsid w:val="00DA3920"/>
    <w:rsid w:val="00DA3E71"/>
    <w:rsid w:val="00DA4FB1"/>
    <w:rsid w:val="00DA5127"/>
    <w:rsid w:val="00DA5278"/>
    <w:rsid w:val="00DA5B46"/>
    <w:rsid w:val="00DA5D60"/>
    <w:rsid w:val="00DA76FE"/>
    <w:rsid w:val="00DB05F0"/>
    <w:rsid w:val="00DB17DB"/>
    <w:rsid w:val="00DB20B2"/>
    <w:rsid w:val="00DB498E"/>
    <w:rsid w:val="00DB4F9C"/>
    <w:rsid w:val="00DB5A08"/>
    <w:rsid w:val="00DB5F1D"/>
    <w:rsid w:val="00DB6183"/>
    <w:rsid w:val="00DC2331"/>
    <w:rsid w:val="00DC2A93"/>
    <w:rsid w:val="00DC367B"/>
    <w:rsid w:val="00DC4043"/>
    <w:rsid w:val="00DC5091"/>
    <w:rsid w:val="00DC7A7C"/>
    <w:rsid w:val="00DD08B4"/>
    <w:rsid w:val="00DD1252"/>
    <w:rsid w:val="00DD20EF"/>
    <w:rsid w:val="00DD33E4"/>
    <w:rsid w:val="00DD38E9"/>
    <w:rsid w:val="00DD3AFF"/>
    <w:rsid w:val="00DD455D"/>
    <w:rsid w:val="00DD4896"/>
    <w:rsid w:val="00DD544C"/>
    <w:rsid w:val="00DD59EA"/>
    <w:rsid w:val="00DD5C9A"/>
    <w:rsid w:val="00DD64A8"/>
    <w:rsid w:val="00DD65E5"/>
    <w:rsid w:val="00DD767D"/>
    <w:rsid w:val="00DD7991"/>
    <w:rsid w:val="00DD7B3A"/>
    <w:rsid w:val="00DD7C5B"/>
    <w:rsid w:val="00DE0C1C"/>
    <w:rsid w:val="00DE0E22"/>
    <w:rsid w:val="00DE19EE"/>
    <w:rsid w:val="00DE1B93"/>
    <w:rsid w:val="00DE2FF0"/>
    <w:rsid w:val="00DE3F62"/>
    <w:rsid w:val="00DE4147"/>
    <w:rsid w:val="00DE45FA"/>
    <w:rsid w:val="00DE4615"/>
    <w:rsid w:val="00DE4857"/>
    <w:rsid w:val="00DF0105"/>
    <w:rsid w:val="00DF0751"/>
    <w:rsid w:val="00DF1396"/>
    <w:rsid w:val="00DF5AEF"/>
    <w:rsid w:val="00DF5CAC"/>
    <w:rsid w:val="00DF60F9"/>
    <w:rsid w:val="00DF65D1"/>
    <w:rsid w:val="00DF7022"/>
    <w:rsid w:val="00DF77B7"/>
    <w:rsid w:val="00E00522"/>
    <w:rsid w:val="00E00E65"/>
    <w:rsid w:val="00E01BF5"/>
    <w:rsid w:val="00E03390"/>
    <w:rsid w:val="00E063AE"/>
    <w:rsid w:val="00E067C9"/>
    <w:rsid w:val="00E06EF2"/>
    <w:rsid w:val="00E07D71"/>
    <w:rsid w:val="00E10CEE"/>
    <w:rsid w:val="00E111AA"/>
    <w:rsid w:val="00E12F97"/>
    <w:rsid w:val="00E1399D"/>
    <w:rsid w:val="00E1460F"/>
    <w:rsid w:val="00E1514E"/>
    <w:rsid w:val="00E155CD"/>
    <w:rsid w:val="00E157AC"/>
    <w:rsid w:val="00E15C0F"/>
    <w:rsid w:val="00E15C62"/>
    <w:rsid w:val="00E168FB"/>
    <w:rsid w:val="00E16BE9"/>
    <w:rsid w:val="00E171CD"/>
    <w:rsid w:val="00E177FC"/>
    <w:rsid w:val="00E20387"/>
    <w:rsid w:val="00E212CA"/>
    <w:rsid w:val="00E2163B"/>
    <w:rsid w:val="00E21A0C"/>
    <w:rsid w:val="00E21D65"/>
    <w:rsid w:val="00E227B5"/>
    <w:rsid w:val="00E22A18"/>
    <w:rsid w:val="00E24AD6"/>
    <w:rsid w:val="00E252B4"/>
    <w:rsid w:val="00E26177"/>
    <w:rsid w:val="00E2759C"/>
    <w:rsid w:val="00E30002"/>
    <w:rsid w:val="00E30336"/>
    <w:rsid w:val="00E30982"/>
    <w:rsid w:val="00E30C7A"/>
    <w:rsid w:val="00E30D55"/>
    <w:rsid w:val="00E31708"/>
    <w:rsid w:val="00E33130"/>
    <w:rsid w:val="00E34353"/>
    <w:rsid w:val="00E356FC"/>
    <w:rsid w:val="00E35BB7"/>
    <w:rsid w:val="00E40942"/>
    <w:rsid w:val="00E414EB"/>
    <w:rsid w:val="00E42AB2"/>
    <w:rsid w:val="00E42CDF"/>
    <w:rsid w:val="00E43160"/>
    <w:rsid w:val="00E4421C"/>
    <w:rsid w:val="00E4435B"/>
    <w:rsid w:val="00E4515C"/>
    <w:rsid w:val="00E451B3"/>
    <w:rsid w:val="00E45F2D"/>
    <w:rsid w:val="00E46374"/>
    <w:rsid w:val="00E46B8A"/>
    <w:rsid w:val="00E472B1"/>
    <w:rsid w:val="00E4735B"/>
    <w:rsid w:val="00E4760A"/>
    <w:rsid w:val="00E50F2C"/>
    <w:rsid w:val="00E52127"/>
    <w:rsid w:val="00E521F8"/>
    <w:rsid w:val="00E52F16"/>
    <w:rsid w:val="00E53A8A"/>
    <w:rsid w:val="00E55ED6"/>
    <w:rsid w:val="00E57270"/>
    <w:rsid w:val="00E630B6"/>
    <w:rsid w:val="00E63677"/>
    <w:rsid w:val="00E63DE4"/>
    <w:rsid w:val="00E64F21"/>
    <w:rsid w:val="00E65D26"/>
    <w:rsid w:val="00E6768D"/>
    <w:rsid w:val="00E67CD0"/>
    <w:rsid w:val="00E72BAA"/>
    <w:rsid w:val="00E7383C"/>
    <w:rsid w:val="00E73A63"/>
    <w:rsid w:val="00E74F77"/>
    <w:rsid w:val="00E7553B"/>
    <w:rsid w:val="00E75819"/>
    <w:rsid w:val="00E75846"/>
    <w:rsid w:val="00E75970"/>
    <w:rsid w:val="00E75E0C"/>
    <w:rsid w:val="00E76CA4"/>
    <w:rsid w:val="00E77CC1"/>
    <w:rsid w:val="00E8002A"/>
    <w:rsid w:val="00E8084C"/>
    <w:rsid w:val="00E82141"/>
    <w:rsid w:val="00E82185"/>
    <w:rsid w:val="00E8274F"/>
    <w:rsid w:val="00E833DD"/>
    <w:rsid w:val="00E84CB0"/>
    <w:rsid w:val="00E84E3B"/>
    <w:rsid w:val="00E85E71"/>
    <w:rsid w:val="00E864D1"/>
    <w:rsid w:val="00E86DF3"/>
    <w:rsid w:val="00E87D79"/>
    <w:rsid w:val="00E9265E"/>
    <w:rsid w:val="00E92EDC"/>
    <w:rsid w:val="00E94744"/>
    <w:rsid w:val="00E95809"/>
    <w:rsid w:val="00E95F83"/>
    <w:rsid w:val="00E969EA"/>
    <w:rsid w:val="00E9724E"/>
    <w:rsid w:val="00E9742D"/>
    <w:rsid w:val="00E97D0E"/>
    <w:rsid w:val="00EA202F"/>
    <w:rsid w:val="00EA37AB"/>
    <w:rsid w:val="00EA3AB9"/>
    <w:rsid w:val="00EA3B30"/>
    <w:rsid w:val="00EA3EFA"/>
    <w:rsid w:val="00EA5A85"/>
    <w:rsid w:val="00EA7EC1"/>
    <w:rsid w:val="00EB02B2"/>
    <w:rsid w:val="00EB2AB5"/>
    <w:rsid w:val="00EB3245"/>
    <w:rsid w:val="00EB479B"/>
    <w:rsid w:val="00EB551B"/>
    <w:rsid w:val="00EB5C43"/>
    <w:rsid w:val="00EB63A0"/>
    <w:rsid w:val="00EB751C"/>
    <w:rsid w:val="00EC0E7D"/>
    <w:rsid w:val="00EC25F3"/>
    <w:rsid w:val="00EC34EE"/>
    <w:rsid w:val="00EC391E"/>
    <w:rsid w:val="00EC39D8"/>
    <w:rsid w:val="00ED0112"/>
    <w:rsid w:val="00ED1491"/>
    <w:rsid w:val="00ED15BC"/>
    <w:rsid w:val="00ED27CF"/>
    <w:rsid w:val="00ED348B"/>
    <w:rsid w:val="00ED373F"/>
    <w:rsid w:val="00ED503B"/>
    <w:rsid w:val="00ED5469"/>
    <w:rsid w:val="00ED57C4"/>
    <w:rsid w:val="00ED61A8"/>
    <w:rsid w:val="00ED75A7"/>
    <w:rsid w:val="00EE08D0"/>
    <w:rsid w:val="00EE1879"/>
    <w:rsid w:val="00EE1BDD"/>
    <w:rsid w:val="00EE2342"/>
    <w:rsid w:val="00EE3C28"/>
    <w:rsid w:val="00EE42B2"/>
    <w:rsid w:val="00EE42C0"/>
    <w:rsid w:val="00EE54AB"/>
    <w:rsid w:val="00EE5CD2"/>
    <w:rsid w:val="00EE6D20"/>
    <w:rsid w:val="00EE7497"/>
    <w:rsid w:val="00EF1377"/>
    <w:rsid w:val="00EF3533"/>
    <w:rsid w:val="00EF3BF3"/>
    <w:rsid w:val="00EF3C69"/>
    <w:rsid w:val="00EF41D0"/>
    <w:rsid w:val="00EF4B06"/>
    <w:rsid w:val="00EF4FDD"/>
    <w:rsid w:val="00EF637E"/>
    <w:rsid w:val="00EF68A4"/>
    <w:rsid w:val="00EF7A1A"/>
    <w:rsid w:val="00F0088A"/>
    <w:rsid w:val="00F00ADE"/>
    <w:rsid w:val="00F015B1"/>
    <w:rsid w:val="00F05B1C"/>
    <w:rsid w:val="00F066A6"/>
    <w:rsid w:val="00F1047E"/>
    <w:rsid w:val="00F10C34"/>
    <w:rsid w:val="00F12333"/>
    <w:rsid w:val="00F1273A"/>
    <w:rsid w:val="00F1285B"/>
    <w:rsid w:val="00F13965"/>
    <w:rsid w:val="00F14A80"/>
    <w:rsid w:val="00F1539B"/>
    <w:rsid w:val="00F1576D"/>
    <w:rsid w:val="00F16DB8"/>
    <w:rsid w:val="00F174A1"/>
    <w:rsid w:val="00F17B15"/>
    <w:rsid w:val="00F200FD"/>
    <w:rsid w:val="00F20597"/>
    <w:rsid w:val="00F206DD"/>
    <w:rsid w:val="00F21224"/>
    <w:rsid w:val="00F21566"/>
    <w:rsid w:val="00F21D5C"/>
    <w:rsid w:val="00F23275"/>
    <w:rsid w:val="00F23E3C"/>
    <w:rsid w:val="00F24C0D"/>
    <w:rsid w:val="00F25069"/>
    <w:rsid w:val="00F25274"/>
    <w:rsid w:val="00F26711"/>
    <w:rsid w:val="00F30959"/>
    <w:rsid w:val="00F3198F"/>
    <w:rsid w:val="00F31B10"/>
    <w:rsid w:val="00F35023"/>
    <w:rsid w:val="00F35656"/>
    <w:rsid w:val="00F374F0"/>
    <w:rsid w:val="00F40873"/>
    <w:rsid w:val="00F40F37"/>
    <w:rsid w:val="00F41417"/>
    <w:rsid w:val="00F41C5A"/>
    <w:rsid w:val="00F421B4"/>
    <w:rsid w:val="00F42421"/>
    <w:rsid w:val="00F42EE0"/>
    <w:rsid w:val="00F43105"/>
    <w:rsid w:val="00F440F8"/>
    <w:rsid w:val="00F44972"/>
    <w:rsid w:val="00F44DEF"/>
    <w:rsid w:val="00F4563C"/>
    <w:rsid w:val="00F471CD"/>
    <w:rsid w:val="00F4743D"/>
    <w:rsid w:val="00F47D01"/>
    <w:rsid w:val="00F50A2C"/>
    <w:rsid w:val="00F50B42"/>
    <w:rsid w:val="00F51C19"/>
    <w:rsid w:val="00F5283E"/>
    <w:rsid w:val="00F53148"/>
    <w:rsid w:val="00F53358"/>
    <w:rsid w:val="00F61121"/>
    <w:rsid w:val="00F62C02"/>
    <w:rsid w:val="00F62E79"/>
    <w:rsid w:val="00F63506"/>
    <w:rsid w:val="00F63885"/>
    <w:rsid w:val="00F64603"/>
    <w:rsid w:val="00F64AE7"/>
    <w:rsid w:val="00F65C0B"/>
    <w:rsid w:val="00F666C5"/>
    <w:rsid w:val="00F668F9"/>
    <w:rsid w:val="00F70F53"/>
    <w:rsid w:val="00F742C1"/>
    <w:rsid w:val="00F7435F"/>
    <w:rsid w:val="00F74387"/>
    <w:rsid w:val="00F77FEA"/>
    <w:rsid w:val="00F801CA"/>
    <w:rsid w:val="00F81C13"/>
    <w:rsid w:val="00F829AD"/>
    <w:rsid w:val="00F82D2A"/>
    <w:rsid w:val="00F83DBC"/>
    <w:rsid w:val="00F84D7C"/>
    <w:rsid w:val="00F84E0E"/>
    <w:rsid w:val="00F92BA5"/>
    <w:rsid w:val="00F93E6E"/>
    <w:rsid w:val="00F94673"/>
    <w:rsid w:val="00F94C9B"/>
    <w:rsid w:val="00F94E04"/>
    <w:rsid w:val="00F96BD8"/>
    <w:rsid w:val="00F96CBD"/>
    <w:rsid w:val="00FA0603"/>
    <w:rsid w:val="00FA0C1D"/>
    <w:rsid w:val="00FA13E5"/>
    <w:rsid w:val="00FA1454"/>
    <w:rsid w:val="00FA2D96"/>
    <w:rsid w:val="00FA2EF8"/>
    <w:rsid w:val="00FA3344"/>
    <w:rsid w:val="00FA3C1C"/>
    <w:rsid w:val="00FA3CC3"/>
    <w:rsid w:val="00FA4245"/>
    <w:rsid w:val="00FA479A"/>
    <w:rsid w:val="00FA6624"/>
    <w:rsid w:val="00FA7BCC"/>
    <w:rsid w:val="00FA7C3E"/>
    <w:rsid w:val="00FB2758"/>
    <w:rsid w:val="00FB4920"/>
    <w:rsid w:val="00FB4BA6"/>
    <w:rsid w:val="00FB50F4"/>
    <w:rsid w:val="00FB51CA"/>
    <w:rsid w:val="00FB544C"/>
    <w:rsid w:val="00FB63F0"/>
    <w:rsid w:val="00FB6CE3"/>
    <w:rsid w:val="00FC00DC"/>
    <w:rsid w:val="00FC059C"/>
    <w:rsid w:val="00FC0F02"/>
    <w:rsid w:val="00FC26AA"/>
    <w:rsid w:val="00FC286E"/>
    <w:rsid w:val="00FC40AF"/>
    <w:rsid w:val="00FC40BA"/>
    <w:rsid w:val="00FC4348"/>
    <w:rsid w:val="00FC47EC"/>
    <w:rsid w:val="00FC4C70"/>
    <w:rsid w:val="00FC55CE"/>
    <w:rsid w:val="00FC5C4E"/>
    <w:rsid w:val="00FC7DBB"/>
    <w:rsid w:val="00FD0549"/>
    <w:rsid w:val="00FD0E1F"/>
    <w:rsid w:val="00FD10D4"/>
    <w:rsid w:val="00FD1230"/>
    <w:rsid w:val="00FD13F2"/>
    <w:rsid w:val="00FD1998"/>
    <w:rsid w:val="00FD2A05"/>
    <w:rsid w:val="00FD3A51"/>
    <w:rsid w:val="00FD4C1C"/>
    <w:rsid w:val="00FD52AB"/>
    <w:rsid w:val="00FD5A22"/>
    <w:rsid w:val="00FD79E3"/>
    <w:rsid w:val="00FD7DF9"/>
    <w:rsid w:val="00FD7E04"/>
    <w:rsid w:val="00FD7EC8"/>
    <w:rsid w:val="00FE116C"/>
    <w:rsid w:val="00FE12A1"/>
    <w:rsid w:val="00FE1C55"/>
    <w:rsid w:val="00FE2132"/>
    <w:rsid w:val="00FE3AEE"/>
    <w:rsid w:val="00FE4443"/>
    <w:rsid w:val="00FE4E85"/>
    <w:rsid w:val="00FE561C"/>
    <w:rsid w:val="00FE5BC1"/>
    <w:rsid w:val="00FE5C41"/>
    <w:rsid w:val="00FE610B"/>
    <w:rsid w:val="00FE794E"/>
    <w:rsid w:val="00FF08F2"/>
    <w:rsid w:val="00FF16C4"/>
    <w:rsid w:val="00FF1ABF"/>
    <w:rsid w:val="00FF242E"/>
    <w:rsid w:val="00FF2F3E"/>
    <w:rsid w:val="00FF4617"/>
    <w:rsid w:val="00FF7646"/>
    <w:rsid w:val="00FF777E"/>
    <w:rsid w:val="00FF7AA8"/>
    <w:rsid w:val="00FF7CB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147"/>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1000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B10000"/>
    <w:rPr>
      <w:rFonts w:cs="Times New Roman"/>
      <w:sz w:val="18"/>
      <w:szCs w:val="18"/>
    </w:rPr>
  </w:style>
  <w:style w:type="paragraph" w:styleId="Footer">
    <w:name w:val="footer"/>
    <w:basedOn w:val="Normal"/>
    <w:link w:val="FooterChar"/>
    <w:uiPriority w:val="99"/>
    <w:rsid w:val="00B10000"/>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B10000"/>
    <w:rPr>
      <w:rFonts w:cs="Times New Roman"/>
      <w:sz w:val="18"/>
      <w:szCs w:val="18"/>
    </w:rPr>
  </w:style>
  <w:style w:type="paragraph" w:customStyle="1" w:styleId="a">
    <w:name w:val="页眉报告名称"/>
    <w:link w:val="Char"/>
    <w:autoRedefine/>
    <w:uiPriority w:val="99"/>
    <w:rsid w:val="00B10000"/>
    <w:pPr>
      <w:spacing w:afterLines="100" w:line="240" w:lineRule="exact"/>
      <w:jc w:val="both"/>
    </w:pPr>
    <w:rPr>
      <w:rFonts w:eastAsia="华文新魏"/>
      <w:sz w:val="24"/>
    </w:rPr>
  </w:style>
  <w:style w:type="character" w:customStyle="1" w:styleId="Char">
    <w:name w:val="页眉报告名称 Char"/>
    <w:basedOn w:val="DefaultParagraphFont"/>
    <w:link w:val="a"/>
    <w:uiPriority w:val="99"/>
    <w:locked/>
    <w:rsid w:val="00B10000"/>
    <w:rPr>
      <w:rFonts w:ascii="Calibri" w:eastAsia="华文新魏" w:hAnsi="Calibri" w:cs="Times New Roman"/>
      <w:kern w:val="2"/>
      <w:sz w:val="22"/>
      <w:szCs w:val="22"/>
      <w:lang w:val="en-US" w:eastAsia="zh-CN" w:bidi="ar-SA"/>
    </w:rPr>
  </w:style>
  <w:style w:type="paragraph" w:customStyle="1" w:styleId="a0">
    <w:name w:val="页眉图片"/>
    <w:basedOn w:val="Header"/>
    <w:link w:val="Char0"/>
    <w:uiPriority w:val="99"/>
    <w:rsid w:val="00B10000"/>
    <w:pPr>
      <w:pBdr>
        <w:bottom w:val="none" w:sz="0" w:space="0" w:color="auto"/>
      </w:pBdr>
      <w:tabs>
        <w:tab w:val="clear" w:pos="4153"/>
        <w:tab w:val="clear" w:pos="8306"/>
        <w:tab w:val="right" w:pos="11424"/>
      </w:tabs>
      <w:jc w:val="left"/>
    </w:pPr>
    <w:rPr>
      <w:noProof/>
    </w:rPr>
  </w:style>
  <w:style w:type="character" w:customStyle="1" w:styleId="Char0">
    <w:name w:val="页眉图片 Char"/>
    <w:basedOn w:val="HeaderChar"/>
    <w:link w:val="a0"/>
    <w:uiPriority w:val="99"/>
    <w:locked/>
    <w:rsid w:val="00B10000"/>
    <w:rPr>
      <w:rFonts w:ascii="Calibri" w:eastAsia="宋体" w:hAnsi="Calibri"/>
      <w:noProof/>
    </w:rPr>
  </w:style>
  <w:style w:type="paragraph" w:customStyle="1" w:styleId="a1">
    <w:name w:val="页眉处日期"/>
    <w:basedOn w:val="Normal"/>
    <w:link w:val="Char1"/>
    <w:uiPriority w:val="99"/>
    <w:rsid w:val="00B10000"/>
    <w:pPr>
      <w:tabs>
        <w:tab w:val="right" w:pos="11424"/>
      </w:tabs>
      <w:snapToGrid w:val="0"/>
      <w:jc w:val="left"/>
    </w:pPr>
    <w:rPr>
      <w:rFonts w:ascii="华文隶书" w:eastAsia="华文隶书"/>
      <w:b/>
      <w:sz w:val="24"/>
      <w:szCs w:val="24"/>
    </w:rPr>
  </w:style>
  <w:style w:type="paragraph" w:customStyle="1" w:styleId="a2">
    <w:name w:val="页眉副标题"/>
    <w:basedOn w:val="Normal"/>
    <w:link w:val="Char2"/>
    <w:uiPriority w:val="99"/>
    <w:rsid w:val="00B10000"/>
    <w:pPr>
      <w:tabs>
        <w:tab w:val="right" w:pos="11424"/>
      </w:tabs>
      <w:snapToGrid w:val="0"/>
      <w:jc w:val="left"/>
    </w:pPr>
    <w:rPr>
      <w:rFonts w:ascii="华文隶书" w:eastAsia="华文隶书"/>
      <w:sz w:val="36"/>
      <w:szCs w:val="36"/>
    </w:rPr>
  </w:style>
  <w:style w:type="character" w:customStyle="1" w:styleId="Char1">
    <w:name w:val="页眉处日期 Char"/>
    <w:basedOn w:val="DefaultParagraphFont"/>
    <w:link w:val="a1"/>
    <w:uiPriority w:val="99"/>
    <w:locked/>
    <w:rsid w:val="00B10000"/>
    <w:rPr>
      <w:rFonts w:ascii="华文隶书" w:eastAsia="华文隶书" w:hAnsi="Calibri" w:cs="Times New Roman"/>
      <w:b/>
      <w:sz w:val="24"/>
      <w:szCs w:val="24"/>
    </w:rPr>
  </w:style>
  <w:style w:type="character" w:customStyle="1" w:styleId="Char2">
    <w:name w:val="页眉副标题 Char"/>
    <w:basedOn w:val="DefaultParagraphFont"/>
    <w:link w:val="a2"/>
    <w:uiPriority w:val="99"/>
    <w:locked/>
    <w:rsid w:val="00B10000"/>
    <w:rPr>
      <w:rFonts w:ascii="华文隶书" w:eastAsia="华文隶书" w:hAnsi="Calibri" w:cs="Times New Roman"/>
      <w:sz w:val="36"/>
      <w:szCs w:val="36"/>
    </w:rPr>
  </w:style>
  <w:style w:type="paragraph" w:customStyle="1" w:styleId="a3">
    <w:name w:val="页眉的分析师"/>
    <w:basedOn w:val="Normal"/>
    <w:link w:val="Char3"/>
    <w:uiPriority w:val="99"/>
    <w:rsid w:val="00B10000"/>
    <w:pPr>
      <w:tabs>
        <w:tab w:val="right" w:pos="11424"/>
      </w:tabs>
      <w:snapToGrid w:val="0"/>
      <w:spacing w:line="240" w:lineRule="exact"/>
      <w:jc w:val="right"/>
    </w:pPr>
    <w:rPr>
      <w:rFonts w:ascii="华文新魏" w:eastAsia="华文新魏"/>
      <w:szCs w:val="21"/>
    </w:rPr>
  </w:style>
  <w:style w:type="character" w:customStyle="1" w:styleId="Char3">
    <w:name w:val="页眉的分析师 Char"/>
    <w:basedOn w:val="DefaultParagraphFont"/>
    <w:link w:val="a3"/>
    <w:uiPriority w:val="99"/>
    <w:locked/>
    <w:rsid w:val="00B10000"/>
    <w:rPr>
      <w:rFonts w:ascii="华文新魏" w:eastAsia="华文新魏" w:hAnsi="Calibri" w:cs="Times New Roman"/>
      <w:sz w:val="21"/>
      <w:szCs w:val="21"/>
    </w:rPr>
  </w:style>
  <w:style w:type="paragraph" w:customStyle="1" w:styleId="12">
    <w:name w:val="页眉12"/>
    <w:basedOn w:val="Header"/>
    <w:link w:val="12Char"/>
    <w:uiPriority w:val="99"/>
    <w:rsid w:val="00B10000"/>
    <w:pPr>
      <w:pBdr>
        <w:bottom w:val="none" w:sz="0" w:space="0" w:color="auto"/>
      </w:pBdr>
      <w:tabs>
        <w:tab w:val="clear" w:pos="4153"/>
        <w:tab w:val="clear" w:pos="8306"/>
        <w:tab w:val="right" w:pos="11424"/>
      </w:tabs>
      <w:jc w:val="left"/>
    </w:pPr>
  </w:style>
  <w:style w:type="character" w:customStyle="1" w:styleId="12Char">
    <w:name w:val="页眉12 Char"/>
    <w:basedOn w:val="HeaderChar"/>
    <w:link w:val="12"/>
    <w:uiPriority w:val="99"/>
    <w:locked/>
    <w:rsid w:val="00B10000"/>
    <w:rPr>
      <w:rFonts w:ascii="Calibri" w:eastAsia="宋体" w:hAnsi="Calibri"/>
    </w:rPr>
  </w:style>
  <w:style w:type="paragraph" w:customStyle="1" w:styleId="2">
    <w:name w:val="页眉副标题2"/>
    <w:basedOn w:val="12"/>
    <w:link w:val="2Char"/>
    <w:uiPriority w:val="99"/>
    <w:rsid w:val="00B10000"/>
    <w:pPr>
      <w:jc w:val="right"/>
    </w:pPr>
    <w:rPr>
      <w:rFonts w:ascii="华文隶书" w:eastAsia="华文隶书"/>
      <w:sz w:val="21"/>
      <w:szCs w:val="21"/>
    </w:rPr>
  </w:style>
  <w:style w:type="character" w:customStyle="1" w:styleId="2Char">
    <w:name w:val="页眉副标题2 Char"/>
    <w:basedOn w:val="12Char"/>
    <w:link w:val="2"/>
    <w:uiPriority w:val="99"/>
    <w:locked/>
    <w:rsid w:val="00B10000"/>
    <w:rPr>
      <w:rFonts w:ascii="华文隶书" w:eastAsia="华文隶书"/>
      <w:sz w:val="21"/>
      <w:szCs w:val="21"/>
    </w:rPr>
  </w:style>
  <w:style w:type="paragraph" w:customStyle="1" w:styleId="a4">
    <w:name w:val="特别声明格式"/>
    <w:basedOn w:val="Normal"/>
    <w:link w:val="Char4"/>
    <w:uiPriority w:val="99"/>
    <w:rsid w:val="00B10000"/>
    <w:pPr>
      <w:spacing w:afterLines="100" w:line="240" w:lineRule="exact"/>
    </w:pPr>
    <w:rPr>
      <w:rFonts w:ascii="华文隶书" w:eastAsia="华文隶书"/>
      <w:sz w:val="28"/>
    </w:rPr>
  </w:style>
  <w:style w:type="character" w:customStyle="1" w:styleId="Char4">
    <w:name w:val="特别声明格式 Char"/>
    <w:basedOn w:val="DefaultParagraphFont"/>
    <w:link w:val="a4"/>
    <w:uiPriority w:val="99"/>
    <w:locked/>
    <w:rsid w:val="00B10000"/>
    <w:rPr>
      <w:rFonts w:ascii="华文隶书" w:eastAsia="华文隶书" w:hAnsi="Calibri" w:cs="Times New Roman"/>
      <w:sz w:val="28"/>
    </w:rPr>
  </w:style>
  <w:style w:type="paragraph" w:styleId="BodyText">
    <w:name w:val="Body Text"/>
    <w:basedOn w:val="Normal"/>
    <w:link w:val="BodyTextChar"/>
    <w:uiPriority w:val="99"/>
    <w:rsid w:val="00B10000"/>
    <w:pPr>
      <w:widowControl/>
      <w:spacing w:after="120" w:line="240" w:lineRule="exact"/>
      <w:ind w:left="3402"/>
    </w:pPr>
    <w:rPr>
      <w:rFonts w:ascii="Arial" w:hAnsi="Arial"/>
      <w:color w:val="000000"/>
      <w:kern w:val="0"/>
      <w:szCs w:val="20"/>
      <w:lang w:val="en-GB"/>
    </w:rPr>
  </w:style>
  <w:style w:type="character" w:customStyle="1" w:styleId="BodyTextChar">
    <w:name w:val="Body Text Char"/>
    <w:basedOn w:val="DefaultParagraphFont"/>
    <w:link w:val="BodyText"/>
    <w:uiPriority w:val="99"/>
    <w:locked/>
    <w:rsid w:val="00B10000"/>
    <w:rPr>
      <w:rFonts w:ascii="Arial" w:eastAsia="Times New Roman" w:hAnsi="Arial" w:cs="Times New Roman"/>
      <w:color w:val="000000"/>
      <w:kern w:val="0"/>
      <w:sz w:val="20"/>
      <w:szCs w:val="20"/>
      <w:lang w:val="en-GB"/>
    </w:rPr>
  </w:style>
  <w:style w:type="paragraph" w:customStyle="1" w:styleId="FootnoteNoline">
    <w:name w:val="FootnoteNoline"/>
    <w:basedOn w:val="Normal"/>
    <w:next w:val="BodyText"/>
    <w:uiPriority w:val="99"/>
    <w:rsid w:val="008840A4"/>
    <w:pPr>
      <w:widowControl/>
      <w:tabs>
        <w:tab w:val="right" w:pos="10065"/>
      </w:tabs>
      <w:spacing w:before="40" w:after="160"/>
      <w:ind w:left="3402"/>
    </w:pPr>
    <w:rPr>
      <w:rFonts w:ascii="Arial" w:hAnsi="Arial" w:cs="Arial"/>
      <w:color w:val="003765"/>
      <w:kern w:val="0"/>
      <w:sz w:val="15"/>
      <w:szCs w:val="14"/>
      <w:lang w:val="en-GB"/>
    </w:rPr>
  </w:style>
  <w:style w:type="paragraph" w:customStyle="1" w:styleId="SubTitleLargeTable">
    <w:name w:val="SubTitleLargeTable"/>
    <w:uiPriority w:val="99"/>
    <w:rsid w:val="008840A4"/>
    <w:pPr>
      <w:keepNext/>
      <w:pBdr>
        <w:top w:val="single" w:sz="6" w:space="1" w:color="666699"/>
      </w:pBdr>
      <w:suppressAutoHyphens/>
      <w:spacing w:after="40" w:line="240" w:lineRule="atLeast"/>
    </w:pPr>
    <w:rPr>
      <w:rFonts w:ascii="Arial" w:hAnsi="Arial" w:cs="Arial"/>
      <w:b/>
      <w:bCs/>
      <w:i/>
      <w:iCs/>
      <w:color w:val="003765"/>
      <w:kern w:val="0"/>
      <w:szCs w:val="21"/>
      <w:lang w:val="en-GB"/>
    </w:rPr>
  </w:style>
  <w:style w:type="paragraph" w:styleId="BalloonText">
    <w:name w:val="Balloon Text"/>
    <w:basedOn w:val="Normal"/>
    <w:link w:val="BalloonTextChar"/>
    <w:uiPriority w:val="99"/>
    <w:semiHidden/>
    <w:rsid w:val="008840A4"/>
    <w:rPr>
      <w:sz w:val="18"/>
      <w:szCs w:val="18"/>
    </w:rPr>
  </w:style>
  <w:style w:type="character" w:customStyle="1" w:styleId="BalloonTextChar">
    <w:name w:val="Balloon Text Char"/>
    <w:basedOn w:val="DefaultParagraphFont"/>
    <w:link w:val="BalloonText"/>
    <w:uiPriority w:val="99"/>
    <w:semiHidden/>
    <w:locked/>
    <w:rsid w:val="008840A4"/>
    <w:rPr>
      <w:rFonts w:cs="Times New Roman"/>
      <w:sz w:val="18"/>
      <w:szCs w:val="18"/>
    </w:rPr>
  </w:style>
  <w:style w:type="paragraph" w:customStyle="1" w:styleId="CoverBullet">
    <w:name w:val="Cover Bullet"/>
    <w:uiPriority w:val="99"/>
    <w:rsid w:val="008840A4"/>
    <w:pPr>
      <w:numPr>
        <w:numId w:val="3"/>
      </w:numPr>
      <w:spacing w:before="120" w:after="120"/>
      <w:ind w:left="357" w:hanging="357"/>
    </w:pPr>
    <w:rPr>
      <w:rFonts w:ascii="LucidaSans" w:hAnsi="LucidaSans"/>
      <w:b/>
      <w:bCs/>
      <w:kern w:val="0"/>
      <w:sz w:val="20"/>
      <w:szCs w:val="20"/>
      <w:lang w:val="en-GB"/>
    </w:rPr>
  </w:style>
  <w:style w:type="paragraph" w:styleId="ListParagraph">
    <w:name w:val="List Paragraph"/>
    <w:basedOn w:val="Normal"/>
    <w:uiPriority w:val="99"/>
    <w:qFormat/>
    <w:rsid w:val="002630FB"/>
    <w:pPr>
      <w:ind w:firstLineChars="200" w:firstLine="420"/>
    </w:pPr>
  </w:style>
</w:styles>
</file>

<file path=word/webSettings.xml><?xml version="1.0" encoding="utf-8"?>
<w:webSettings xmlns:r="http://schemas.openxmlformats.org/officeDocument/2006/relationships" xmlns:w="http://schemas.openxmlformats.org/wordprocessingml/2006/main">
  <w:divs>
    <w:div w:id="2030990113">
      <w:marLeft w:val="0"/>
      <w:marRight w:val="0"/>
      <w:marTop w:val="0"/>
      <w:marBottom w:val="0"/>
      <w:divBdr>
        <w:top w:val="none" w:sz="0" w:space="0" w:color="auto"/>
        <w:left w:val="none" w:sz="0" w:space="0" w:color="auto"/>
        <w:bottom w:val="none" w:sz="0" w:space="0" w:color="auto"/>
        <w:right w:val="none" w:sz="0" w:space="0" w:color="auto"/>
      </w:divBdr>
    </w:div>
    <w:div w:id="2030990114">
      <w:marLeft w:val="0"/>
      <w:marRight w:val="0"/>
      <w:marTop w:val="0"/>
      <w:marBottom w:val="0"/>
      <w:divBdr>
        <w:top w:val="none" w:sz="0" w:space="0" w:color="auto"/>
        <w:left w:val="none" w:sz="0" w:space="0" w:color="auto"/>
        <w:bottom w:val="none" w:sz="0" w:space="0" w:color="auto"/>
        <w:right w:val="none" w:sz="0" w:space="0" w:color="auto"/>
      </w:divBdr>
    </w:div>
    <w:div w:id="2030990115">
      <w:marLeft w:val="0"/>
      <w:marRight w:val="0"/>
      <w:marTop w:val="0"/>
      <w:marBottom w:val="0"/>
      <w:divBdr>
        <w:top w:val="none" w:sz="0" w:space="0" w:color="auto"/>
        <w:left w:val="none" w:sz="0" w:space="0" w:color="auto"/>
        <w:bottom w:val="none" w:sz="0" w:space="0" w:color="auto"/>
        <w:right w:val="none" w:sz="0" w:space="0" w:color="auto"/>
      </w:divBdr>
    </w:div>
    <w:div w:id="2030990116">
      <w:marLeft w:val="0"/>
      <w:marRight w:val="0"/>
      <w:marTop w:val="0"/>
      <w:marBottom w:val="0"/>
      <w:divBdr>
        <w:top w:val="none" w:sz="0" w:space="0" w:color="auto"/>
        <w:left w:val="none" w:sz="0" w:space="0" w:color="auto"/>
        <w:bottom w:val="none" w:sz="0" w:space="0" w:color="auto"/>
        <w:right w:val="none" w:sz="0" w:space="0" w:color="auto"/>
      </w:divBdr>
    </w:div>
    <w:div w:id="2030990117">
      <w:marLeft w:val="0"/>
      <w:marRight w:val="0"/>
      <w:marTop w:val="0"/>
      <w:marBottom w:val="0"/>
      <w:divBdr>
        <w:top w:val="none" w:sz="0" w:space="0" w:color="auto"/>
        <w:left w:val="none" w:sz="0" w:space="0" w:color="auto"/>
        <w:bottom w:val="none" w:sz="0" w:space="0" w:color="auto"/>
        <w:right w:val="none" w:sz="0" w:space="0" w:color="auto"/>
      </w:divBdr>
    </w:div>
    <w:div w:id="2030990118">
      <w:marLeft w:val="0"/>
      <w:marRight w:val="0"/>
      <w:marTop w:val="0"/>
      <w:marBottom w:val="0"/>
      <w:divBdr>
        <w:top w:val="none" w:sz="0" w:space="0" w:color="auto"/>
        <w:left w:val="none" w:sz="0" w:space="0" w:color="auto"/>
        <w:bottom w:val="none" w:sz="0" w:space="0" w:color="auto"/>
        <w:right w:val="none" w:sz="0" w:space="0" w:color="auto"/>
      </w:divBdr>
    </w:div>
    <w:div w:id="2030990119">
      <w:marLeft w:val="0"/>
      <w:marRight w:val="0"/>
      <w:marTop w:val="0"/>
      <w:marBottom w:val="0"/>
      <w:divBdr>
        <w:top w:val="none" w:sz="0" w:space="0" w:color="auto"/>
        <w:left w:val="none" w:sz="0" w:space="0" w:color="auto"/>
        <w:bottom w:val="none" w:sz="0" w:space="0" w:color="auto"/>
        <w:right w:val="none" w:sz="0" w:space="0" w:color="auto"/>
      </w:divBdr>
    </w:div>
    <w:div w:id="2030990120">
      <w:marLeft w:val="0"/>
      <w:marRight w:val="0"/>
      <w:marTop w:val="0"/>
      <w:marBottom w:val="0"/>
      <w:divBdr>
        <w:top w:val="none" w:sz="0" w:space="0" w:color="auto"/>
        <w:left w:val="none" w:sz="0" w:space="0" w:color="auto"/>
        <w:bottom w:val="none" w:sz="0" w:space="0" w:color="auto"/>
        <w:right w:val="none" w:sz="0" w:space="0" w:color="auto"/>
      </w:divBdr>
    </w:div>
    <w:div w:id="2030990121">
      <w:marLeft w:val="0"/>
      <w:marRight w:val="0"/>
      <w:marTop w:val="0"/>
      <w:marBottom w:val="0"/>
      <w:divBdr>
        <w:top w:val="none" w:sz="0" w:space="0" w:color="auto"/>
        <w:left w:val="none" w:sz="0" w:space="0" w:color="auto"/>
        <w:bottom w:val="none" w:sz="0" w:space="0" w:color="auto"/>
        <w:right w:val="none" w:sz="0" w:space="0" w:color="auto"/>
      </w:divBdr>
    </w:div>
    <w:div w:id="2030990122">
      <w:marLeft w:val="0"/>
      <w:marRight w:val="0"/>
      <w:marTop w:val="0"/>
      <w:marBottom w:val="0"/>
      <w:divBdr>
        <w:top w:val="none" w:sz="0" w:space="0" w:color="auto"/>
        <w:left w:val="none" w:sz="0" w:space="0" w:color="auto"/>
        <w:bottom w:val="none" w:sz="0" w:space="0" w:color="auto"/>
        <w:right w:val="none" w:sz="0" w:space="0" w:color="auto"/>
      </w:divBdr>
    </w:div>
    <w:div w:id="2030990123">
      <w:marLeft w:val="0"/>
      <w:marRight w:val="0"/>
      <w:marTop w:val="0"/>
      <w:marBottom w:val="0"/>
      <w:divBdr>
        <w:top w:val="none" w:sz="0" w:space="0" w:color="auto"/>
        <w:left w:val="none" w:sz="0" w:space="0" w:color="auto"/>
        <w:bottom w:val="none" w:sz="0" w:space="0" w:color="auto"/>
        <w:right w:val="none" w:sz="0" w:space="0" w:color="auto"/>
      </w:divBdr>
    </w:div>
    <w:div w:id="2030990124">
      <w:marLeft w:val="0"/>
      <w:marRight w:val="0"/>
      <w:marTop w:val="0"/>
      <w:marBottom w:val="0"/>
      <w:divBdr>
        <w:top w:val="none" w:sz="0" w:space="0" w:color="auto"/>
        <w:left w:val="none" w:sz="0" w:space="0" w:color="auto"/>
        <w:bottom w:val="none" w:sz="0" w:space="0" w:color="auto"/>
        <w:right w:val="none" w:sz="0" w:space="0" w:color="auto"/>
      </w:divBdr>
    </w:div>
    <w:div w:id="2030990125">
      <w:marLeft w:val="0"/>
      <w:marRight w:val="0"/>
      <w:marTop w:val="0"/>
      <w:marBottom w:val="0"/>
      <w:divBdr>
        <w:top w:val="none" w:sz="0" w:space="0" w:color="auto"/>
        <w:left w:val="none" w:sz="0" w:space="0" w:color="auto"/>
        <w:bottom w:val="none" w:sz="0" w:space="0" w:color="auto"/>
        <w:right w:val="none" w:sz="0" w:space="0" w:color="auto"/>
      </w:divBdr>
    </w:div>
    <w:div w:id="2030990126">
      <w:marLeft w:val="0"/>
      <w:marRight w:val="0"/>
      <w:marTop w:val="0"/>
      <w:marBottom w:val="0"/>
      <w:divBdr>
        <w:top w:val="none" w:sz="0" w:space="0" w:color="auto"/>
        <w:left w:val="none" w:sz="0" w:space="0" w:color="auto"/>
        <w:bottom w:val="none" w:sz="0" w:space="0" w:color="auto"/>
        <w:right w:val="none" w:sz="0" w:space="0" w:color="auto"/>
      </w:divBdr>
    </w:div>
    <w:div w:id="2030990127">
      <w:marLeft w:val="0"/>
      <w:marRight w:val="0"/>
      <w:marTop w:val="0"/>
      <w:marBottom w:val="0"/>
      <w:divBdr>
        <w:top w:val="none" w:sz="0" w:space="0" w:color="auto"/>
        <w:left w:val="none" w:sz="0" w:space="0" w:color="auto"/>
        <w:bottom w:val="none" w:sz="0" w:space="0" w:color="auto"/>
        <w:right w:val="none" w:sz="0" w:space="0" w:color="auto"/>
      </w:divBdr>
    </w:div>
    <w:div w:id="2030990128">
      <w:marLeft w:val="0"/>
      <w:marRight w:val="0"/>
      <w:marTop w:val="0"/>
      <w:marBottom w:val="0"/>
      <w:divBdr>
        <w:top w:val="none" w:sz="0" w:space="0" w:color="auto"/>
        <w:left w:val="none" w:sz="0" w:space="0" w:color="auto"/>
        <w:bottom w:val="none" w:sz="0" w:space="0" w:color="auto"/>
        <w:right w:val="none" w:sz="0" w:space="0" w:color="auto"/>
      </w:divBdr>
    </w:div>
    <w:div w:id="2030990129">
      <w:marLeft w:val="0"/>
      <w:marRight w:val="0"/>
      <w:marTop w:val="0"/>
      <w:marBottom w:val="0"/>
      <w:divBdr>
        <w:top w:val="none" w:sz="0" w:space="0" w:color="auto"/>
        <w:left w:val="none" w:sz="0" w:space="0" w:color="auto"/>
        <w:bottom w:val="none" w:sz="0" w:space="0" w:color="auto"/>
        <w:right w:val="none" w:sz="0" w:space="0" w:color="auto"/>
      </w:divBdr>
    </w:div>
    <w:div w:id="2030990130">
      <w:marLeft w:val="0"/>
      <w:marRight w:val="0"/>
      <w:marTop w:val="0"/>
      <w:marBottom w:val="0"/>
      <w:divBdr>
        <w:top w:val="none" w:sz="0" w:space="0" w:color="auto"/>
        <w:left w:val="none" w:sz="0" w:space="0" w:color="auto"/>
        <w:bottom w:val="none" w:sz="0" w:space="0" w:color="auto"/>
        <w:right w:val="none" w:sz="0" w:space="0" w:color="auto"/>
      </w:divBdr>
    </w:div>
    <w:div w:id="2030990131">
      <w:marLeft w:val="0"/>
      <w:marRight w:val="0"/>
      <w:marTop w:val="0"/>
      <w:marBottom w:val="0"/>
      <w:divBdr>
        <w:top w:val="none" w:sz="0" w:space="0" w:color="auto"/>
        <w:left w:val="none" w:sz="0" w:space="0" w:color="auto"/>
        <w:bottom w:val="none" w:sz="0" w:space="0" w:color="auto"/>
        <w:right w:val="none" w:sz="0" w:space="0" w:color="auto"/>
      </w:divBdr>
    </w:div>
    <w:div w:id="2030990132">
      <w:marLeft w:val="0"/>
      <w:marRight w:val="0"/>
      <w:marTop w:val="0"/>
      <w:marBottom w:val="0"/>
      <w:divBdr>
        <w:top w:val="none" w:sz="0" w:space="0" w:color="auto"/>
        <w:left w:val="none" w:sz="0" w:space="0" w:color="auto"/>
        <w:bottom w:val="none" w:sz="0" w:space="0" w:color="auto"/>
        <w:right w:val="none" w:sz="0" w:space="0" w:color="auto"/>
      </w:divBdr>
    </w:div>
    <w:div w:id="2030990133">
      <w:marLeft w:val="0"/>
      <w:marRight w:val="0"/>
      <w:marTop w:val="0"/>
      <w:marBottom w:val="0"/>
      <w:divBdr>
        <w:top w:val="none" w:sz="0" w:space="0" w:color="auto"/>
        <w:left w:val="none" w:sz="0" w:space="0" w:color="auto"/>
        <w:bottom w:val="none" w:sz="0" w:space="0" w:color="auto"/>
        <w:right w:val="none" w:sz="0" w:space="0" w:color="auto"/>
      </w:divBdr>
    </w:div>
    <w:div w:id="2030990134">
      <w:marLeft w:val="0"/>
      <w:marRight w:val="0"/>
      <w:marTop w:val="0"/>
      <w:marBottom w:val="0"/>
      <w:divBdr>
        <w:top w:val="none" w:sz="0" w:space="0" w:color="auto"/>
        <w:left w:val="none" w:sz="0" w:space="0" w:color="auto"/>
        <w:bottom w:val="none" w:sz="0" w:space="0" w:color="auto"/>
        <w:right w:val="none" w:sz="0" w:space="0" w:color="auto"/>
      </w:divBdr>
    </w:div>
    <w:div w:id="2030990135">
      <w:marLeft w:val="0"/>
      <w:marRight w:val="0"/>
      <w:marTop w:val="0"/>
      <w:marBottom w:val="0"/>
      <w:divBdr>
        <w:top w:val="none" w:sz="0" w:space="0" w:color="auto"/>
        <w:left w:val="none" w:sz="0" w:space="0" w:color="auto"/>
        <w:bottom w:val="none" w:sz="0" w:space="0" w:color="auto"/>
        <w:right w:val="none" w:sz="0" w:space="0" w:color="auto"/>
      </w:divBdr>
    </w:div>
    <w:div w:id="2030990136">
      <w:marLeft w:val="0"/>
      <w:marRight w:val="0"/>
      <w:marTop w:val="0"/>
      <w:marBottom w:val="0"/>
      <w:divBdr>
        <w:top w:val="none" w:sz="0" w:space="0" w:color="auto"/>
        <w:left w:val="none" w:sz="0" w:space="0" w:color="auto"/>
        <w:bottom w:val="none" w:sz="0" w:space="0" w:color="auto"/>
        <w:right w:val="none" w:sz="0" w:space="0" w:color="auto"/>
      </w:divBdr>
    </w:div>
    <w:div w:id="2030990137">
      <w:marLeft w:val="0"/>
      <w:marRight w:val="0"/>
      <w:marTop w:val="0"/>
      <w:marBottom w:val="0"/>
      <w:divBdr>
        <w:top w:val="none" w:sz="0" w:space="0" w:color="auto"/>
        <w:left w:val="none" w:sz="0" w:space="0" w:color="auto"/>
        <w:bottom w:val="none" w:sz="0" w:space="0" w:color="auto"/>
        <w:right w:val="none" w:sz="0" w:space="0" w:color="auto"/>
      </w:divBdr>
    </w:div>
    <w:div w:id="2030990138">
      <w:marLeft w:val="0"/>
      <w:marRight w:val="0"/>
      <w:marTop w:val="0"/>
      <w:marBottom w:val="0"/>
      <w:divBdr>
        <w:top w:val="none" w:sz="0" w:space="0" w:color="auto"/>
        <w:left w:val="none" w:sz="0" w:space="0" w:color="auto"/>
        <w:bottom w:val="none" w:sz="0" w:space="0" w:color="auto"/>
        <w:right w:val="none" w:sz="0" w:space="0" w:color="auto"/>
      </w:divBdr>
    </w:div>
    <w:div w:id="2030990139">
      <w:marLeft w:val="0"/>
      <w:marRight w:val="0"/>
      <w:marTop w:val="0"/>
      <w:marBottom w:val="0"/>
      <w:divBdr>
        <w:top w:val="none" w:sz="0" w:space="0" w:color="auto"/>
        <w:left w:val="none" w:sz="0" w:space="0" w:color="auto"/>
        <w:bottom w:val="none" w:sz="0" w:space="0" w:color="auto"/>
        <w:right w:val="none" w:sz="0" w:space="0" w:color="auto"/>
      </w:divBdr>
    </w:div>
    <w:div w:id="2030990140">
      <w:marLeft w:val="0"/>
      <w:marRight w:val="0"/>
      <w:marTop w:val="0"/>
      <w:marBottom w:val="0"/>
      <w:divBdr>
        <w:top w:val="none" w:sz="0" w:space="0" w:color="auto"/>
        <w:left w:val="none" w:sz="0" w:space="0" w:color="auto"/>
        <w:bottom w:val="none" w:sz="0" w:space="0" w:color="auto"/>
        <w:right w:val="none" w:sz="0" w:space="0" w:color="auto"/>
      </w:divBdr>
    </w:div>
    <w:div w:id="20309901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8</Pages>
  <Words>1227</Words>
  <Characters>7000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导语</dc:title>
  <dc:subject/>
  <dc:creator>shanghai vstone</dc:creator>
  <cp:keywords/>
  <dc:description/>
  <cp:lastModifiedBy>User</cp:lastModifiedBy>
  <cp:revision>2</cp:revision>
  <dcterms:created xsi:type="dcterms:W3CDTF">2014-10-14T05:46:00Z</dcterms:created>
  <dcterms:modified xsi:type="dcterms:W3CDTF">2014-10-14T05:46:00Z</dcterms:modified>
</cp:coreProperties>
</file>