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0AB" w:rsidRDefault="00BB50AB" w:rsidP="007B3051">
      <w:pPr>
        <w:widowControl/>
        <w:spacing w:after="120" w:line="240" w:lineRule="exact"/>
        <w:ind w:left="3430"/>
        <w:rPr>
          <w:rFonts w:ascii="楷体" w:eastAsia="楷体" w:hAnsi="楷体"/>
          <w:b/>
          <w:bCs/>
          <w:color w:val="0070C0"/>
          <w:kern w:val="0"/>
          <w:sz w:val="24"/>
          <w:szCs w:val="20"/>
          <w:lang w:val="en-GB"/>
        </w:rPr>
      </w:pPr>
      <w:r>
        <w:rPr>
          <w:noProof/>
        </w:rPr>
        <w:pict>
          <v:shapetype id="_x0000_t202" coordsize="21600,21600" o:spt="202" path="m,l,21600r21600,l21600,xe">
            <v:stroke joinstyle="miter"/>
            <v:path gradientshapeok="t" o:connecttype="rect"/>
          </v:shapetype>
          <v:shape id="_x0000_s1035" type="#_x0000_t202" style="position:absolute;left:0;text-align:left;margin-left:1.5pt;margin-top:284.35pt;width:148.5pt;height:275.6pt;z-index:251658240" strokecolor="white" strokeweight="0">
            <v:stroke dashstyle="1 1" endcap="round"/>
            <v:textbox style="mso-next-textbox:#_x0000_s1035">
              <w:txbxContent>
                <w:p w:rsidR="00BB50AB" w:rsidRPr="00635482" w:rsidRDefault="00BB50AB" w:rsidP="00EE218C">
                  <w:pPr>
                    <w:rPr>
                      <w:rFonts w:ascii="楷体" w:eastAsia="楷体" w:hAnsi="楷体"/>
                      <w:b/>
                      <w:lang w:val="en-GB"/>
                    </w:rPr>
                  </w:pPr>
                  <w:r w:rsidRPr="00635482">
                    <w:rPr>
                      <w:rFonts w:ascii="楷体" w:eastAsia="楷体" w:hAnsi="楷体" w:hint="eastAsia"/>
                      <w:b/>
                      <w:lang w:val="en-GB"/>
                    </w:rPr>
                    <w:t>凯石工场移动平台：</w:t>
                  </w:r>
                </w:p>
                <w:p w:rsidR="00BB50AB" w:rsidRPr="00635482" w:rsidRDefault="00BB50AB" w:rsidP="00EE218C">
                  <w:pPr>
                    <w:rPr>
                      <w:rFonts w:ascii="楷体" w:eastAsia="楷体" w:hAnsi="楷体"/>
                      <w:lang w:val="en-GB"/>
                    </w:rPr>
                  </w:pPr>
                </w:p>
                <w:p w:rsidR="00BB50AB" w:rsidRPr="00635482" w:rsidRDefault="00BB50AB" w:rsidP="00EE218C">
                  <w:r w:rsidRPr="00635482">
                    <w:rPr>
                      <w:rFonts w:ascii="楷体" w:eastAsia="楷体" w:hAnsi="楷体" w:hint="eastAsia"/>
                      <w:lang w:val="en-GB"/>
                    </w:rPr>
                    <w:t>官方微博：</w:t>
                  </w:r>
                </w:p>
                <w:p w:rsidR="00BB50AB" w:rsidRPr="00635482" w:rsidRDefault="00BB50AB" w:rsidP="00EE218C">
                  <w:pPr>
                    <w:rPr>
                      <w:rFonts w:ascii="楷体" w:eastAsia="楷体" w:hAnsi="楷体"/>
                      <w:lang w:val="en-GB"/>
                    </w:rPr>
                  </w:pPr>
                  <w:r w:rsidRPr="00635482">
                    <w:rPr>
                      <w:rFonts w:ascii="楷体" w:eastAsia="楷体" w:hAnsi="楷体" w:hint="eastAsia"/>
                      <w:lang w:val="en-GB"/>
                    </w:rPr>
                    <w:t>凯石财富工场</w:t>
                  </w:r>
                </w:p>
                <w:p w:rsidR="00BB50AB" w:rsidRDefault="00BB50AB" w:rsidP="00EE218C">
                  <w:r w:rsidRPr="00A121E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43" type="#_x0000_t75" alt="66.jpg" style="width:73.5pt;height:73.5pt;visibility:visible">
                        <v:imagedata r:id="rId7" o:title=""/>
                      </v:shape>
                    </w:pict>
                  </w:r>
                </w:p>
                <w:p w:rsidR="00BB50AB" w:rsidRDefault="00BB50AB" w:rsidP="00EE218C">
                  <w:pPr>
                    <w:rPr>
                      <w:rFonts w:ascii="楷体" w:eastAsia="楷体" w:hAnsi="楷体"/>
                      <w:b/>
                      <w:lang w:val="en-GB"/>
                    </w:rPr>
                  </w:pPr>
                </w:p>
                <w:p w:rsidR="00BB50AB" w:rsidRPr="00635482" w:rsidRDefault="00BB50AB" w:rsidP="00EE218C">
                  <w:pPr>
                    <w:rPr>
                      <w:rFonts w:ascii="楷体" w:eastAsia="楷体" w:hAnsi="楷体"/>
                      <w:lang w:val="en-GB"/>
                    </w:rPr>
                  </w:pPr>
                  <w:r w:rsidRPr="00635482">
                    <w:rPr>
                      <w:rFonts w:ascii="楷体" w:eastAsia="楷体" w:hAnsi="楷体" w:hint="eastAsia"/>
                      <w:lang w:val="en-GB"/>
                    </w:rPr>
                    <w:t>官方微信：</w:t>
                  </w:r>
                </w:p>
                <w:p w:rsidR="00BB50AB" w:rsidRPr="00635482" w:rsidRDefault="00BB50AB" w:rsidP="00EE218C">
                  <w:pPr>
                    <w:rPr>
                      <w:rFonts w:ascii="楷体" w:eastAsia="楷体" w:hAnsi="楷体"/>
                      <w:lang w:val="en-GB"/>
                    </w:rPr>
                  </w:pPr>
                  <w:r w:rsidRPr="00635482">
                    <w:rPr>
                      <w:rFonts w:ascii="楷体" w:eastAsia="楷体" w:hAnsi="楷体" w:hint="eastAsia"/>
                      <w:lang w:val="en-GB"/>
                    </w:rPr>
                    <w:t>凯石财富知音订阅号</w:t>
                  </w:r>
                </w:p>
                <w:p w:rsidR="00BB50AB" w:rsidRDefault="00BB50AB" w:rsidP="00EE218C">
                  <w:r w:rsidRPr="00024C9F">
                    <w:rPr>
                      <w:rFonts w:ascii="楷体" w:eastAsia="楷体" w:hAnsi="楷体"/>
                      <w:b/>
                      <w:noProof/>
                    </w:rPr>
                    <w:pict>
                      <v:shape id="图片 7" o:spid="_x0000_i1044" type="#_x0000_t75" alt="凯石财富知音订阅号3.jpg" style="width:75pt;height:75pt;visibility:visible">
                        <v:imagedata r:id="rId8" o:title=""/>
                      </v:shape>
                    </w:pict>
                  </w:r>
                </w:p>
              </w:txbxContent>
            </v:textbox>
          </v:shape>
        </w:pict>
      </w:r>
      <w:r>
        <w:rPr>
          <w:rFonts w:ascii="楷体" w:eastAsia="楷体" w:hAnsi="楷体" w:hint="eastAsia"/>
          <w:b/>
          <w:bCs/>
          <w:color w:val="0070C0"/>
          <w:kern w:val="0"/>
          <w:sz w:val="24"/>
          <w:szCs w:val="20"/>
          <w:lang w:val="en-GB"/>
        </w:rPr>
        <w:t>导语</w:t>
      </w:r>
    </w:p>
    <w:p w:rsidR="00BB50AB" w:rsidRPr="00022E9E" w:rsidRDefault="00BB50AB" w:rsidP="00B2689A">
      <w:pPr>
        <w:pStyle w:val="BodyText"/>
        <w:numPr>
          <w:ilvl w:val="4"/>
          <w:numId w:val="1"/>
        </w:numPr>
        <w:spacing w:after="163"/>
        <w:rPr>
          <w:rFonts w:ascii="楷体" w:eastAsia="楷体" w:hAnsi="楷体"/>
          <w:b/>
          <w:color w:val="auto"/>
        </w:rPr>
      </w:pPr>
      <w:r w:rsidRPr="00022E9E">
        <w:rPr>
          <w:rFonts w:hint="eastAsia"/>
          <w:b/>
          <w:color w:val="auto"/>
        </w:rPr>
        <w:t>前期经济指标的普遍回落，预示我国经济动能的恢复将不是短期内可以彻底完成的，但完全走低的概率也不大，因为</w:t>
      </w:r>
      <w:r w:rsidRPr="00022E9E">
        <w:rPr>
          <w:rFonts w:hint="eastAsia"/>
          <w:b/>
        </w:rPr>
        <w:t>在经济已现下行、通胀明显回落</w:t>
      </w:r>
      <w:r>
        <w:rPr>
          <w:rFonts w:hint="eastAsia"/>
          <w:b/>
        </w:rPr>
        <w:t>的环境下，四季度稳增长的政策力度和改革的推进速度都有望增强，</w:t>
      </w:r>
      <w:r w:rsidRPr="00022E9E">
        <w:rPr>
          <w:rFonts w:hint="eastAsia"/>
          <w:b/>
        </w:rPr>
        <w:t>在圣诞节、新年等节日因素的带动之下，总体经济有望平稳跨年。</w:t>
      </w:r>
      <w:r w:rsidRPr="00022E9E">
        <w:rPr>
          <w:rFonts w:hint="eastAsia"/>
          <w:b/>
          <w:color w:val="auto"/>
        </w:rPr>
        <w:t>流动性方面，货币政策适度放松的方向应当在未来一个季度不会改变，</w:t>
      </w:r>
      <w:r w:rsidRPr="00022E9E">
        <w:rPr>
          <w:rFonts w:hint="eastAsia"/>
          <w:b/>
        </w:rPr>
        <w:t>总体形势利好债券市场的发展。不</w:t>
      </w:r>
      <w:r>
        <w:rPr>
          <w:rFonts w:hint="eastAsia"/>
          <w:b/>
        </w:rPr>
        <w:t>过，在经济复苏的反复和政策的博弈中，市场情绪的影响或将放大，</w:t>
      </w:r>
      <w:r w:rsidRPr="00022E9E">
        <w:rPr>
          <w:rFonts w:hint="eastAsia"/>
          <w:b/>
        </w:rPr>
        <w:t>债券市场慢牛伴随波动的格局可能会主导整个四季度。</w:t>
      </w:r>
      <w:r>
        <w:rPr>
          <w:b/>
        </w:rPr>
        <w:t xml:space="preserve"> </w:t>
      </w:r>
    </w:p>
    <w:p w:rsidR="00BB50AB" w:rsidRPr="00891709" w:rsidRDefault="00BB50AB" w:rsidP="00B2689A">
      <w:pPr>
        <w:pStyle w:val="BodyText"/>
        <w:numPr>
          <w:ilvl w:val="4"/>
          <w:numId w:val="1"/>
        </w:numPr>
        <w:spacing w:after="163"/>
        <w:rPr>
          <w:rFonts w:ascii="楷体" w:eastAsia="楷体" w:hAnsi="楷体"/>
          <w:b/>
          <w:color w:val="auto"/>
        </w:rPr>
      </w:pPr>
      <w:r>
        <w:rPr>
          <w:rFonts w:hint="eastAsia"/>
          <w:b/>
          <w:color w:val="auto"/>
        </w:rPr>
        <w:t>落实到基金的配置上，考虑到未来经济复苏进程中的多种不确定因素，四季度固定收益类基金的投资对于灵活性的要求将有所提高。</w:t>
      </w:r>
    </w:p>
    <w:p w:rsidR="00BB50AB" w:rsidRDefault="00BB50AB" w:rsidP="00891709">
      <w:pPr>
        <w:pStyle w:val="BodyText"/>
        <w:numPr>
          <w:ilvl w:val="5"/>
          <w:numId w:val="2"/>
        </w:numPr>
        <w:spacing w:after="163"/>
        <w:ind w:left="4140" w:hanging="369"/>
        <w:rPr>
          <w:b/>
        </w:rPr>
      </w:pPr>
      <w:r w:rsidRPr="00891709">
        <w:rPr>
          <w:rFonts w:hint="eastAsia"/>
          <w:b/>
        </w:rPr>
        <w:t>期限结构方面，国庆长假过后随着资金面季末趋紧的过去，可在季度初期重点配置中长久期基金品种，积极把握债市投资时机；期间根据经济复苏动力、资金面松紧程度灵活调整组合久期水平；期末考虑到年末资金成本上升的惯例，</w:t>
      </w:r>
      <w:r>
        <w:rPr>
          <w:rFonts w:hint="eastAsia"/>
          <w:b/>
        </w:rPr>
        <w:t>建议缩短久</w:t>
      </w:r>
      <w:r w:rsidRPr="00891709">
        <w:rPr>
          <w:rFonts w:hint="eastAsia"/>
          <w:b/>
        </w:rPr>
        <w:t>期，转投短债投资比例较高的品种，或是彻底回避债券型基金。</w:t>
      </w:r>
    </w:p>
    <w:p w:rsidR="00BB50AB" w:rsidRPr="00DD6A88" w:rsidRDefault="00BB50AB" w:rsidP="00891709">
      <w:pPr>
        <w:pStyle w:val="BodyText"/>
        <w:numPr>
          <w:ilvl w:val="5"/>
          <w:numId w:val="2"/>
        </w:numPr>
        <w:spacing w:after="163"/>
        <w:ind w:left="4140" w:hanging="369"/>
        <w:rPr>
          <w:b/>
        </w:rPr>
      </w:pPr>
      <w:r>
        <w:rPr>
          <w:rFonts w:hint="eastAsia"/>
          <w:b/>
        </w:rPr>
        <w:t>债券类别方面，</w:t>
      </w:r>
      <w:r w:rsidRPr="00DD6A88">
        <w:rPr>
          <w:rFonts w:hint="eastAsia"/>
          <w:b/>
          <w:color w:val="auto"/>
        </w:rPr>
        <w:t>从投资主体的需求和风险控制的角度来考虑，我们认为四季度高评级信用债投资机会有望延续，建议配置此类品种投资比例较高的基金。与此同时，建议投资者注意关注货币环境的变化，未来如果宽松的货币环境能够得以保持，那么将会对利率债构成一定的支撑，可择机投资利率债比例较高的债券型基金。</w:t>
      </w:r>
      <w:r>
        <w:rPr>
          <w:rFonts w:hint="eastAsia"/>
          <w:b/>
          <w:color w:val="auto"/>
        </w:rPr>
        <w:t>时至</w:t>
      </w:r>
      <w:r w:rsidRPr="00DD6A88">
        <w:rPr>
          <w:rFonts w:hint="eastAsia"/>
          <w:b/>
          <w:color w:val="auto"/>
        </w:rPr>
        <w:t>年末，投资者</w:t>
      </w:r>
      <w:r>
        <w:rPr>
          <w:rFonts w:hint="eastAsia"/>
          <w:b/>
          <w:color w:val="auto"/>
        </w:rPr>
        <w:t>可根据自身的投资偏好，考虑介入短融配置比例较高的品种</w:t>
      </w:r>
      <w:r w:rsidRPr="00DD6A88">
        <w:rPr>
          <w:rFonts w:hint="eastAsia"/>
          <w:b/>
          <w:color w:val="auto"/>
        </w:rPr>
        <w:t>，进行提前布局。</w:t>
      </w:r>
    </w:p>
    <w:p w:rsidR="00BB50AB" w:rsidRPr="00DD6A88" w:rsidRDefault="00BB50AB" w:rsidP="00FC204C">
      <w:pPr>
        <w:pStyle w:val="BodyText"/>
        <w:numPr>
          <w:ilvl w:val="4"/>
          <w:numId w:val="1"/>
        </w:numPr>
        <w:spacing w:after="163"/>
        <w:rPr>
          <w:rFonts w:ascii="楷体" w:eastAsia="楷体" w:hAnsi="楷体"/>
          <w:b/>
          <w:color w:val="auto"/>
        </w:rPr>
      </w:pPr>
      <w:r w:rsidRPr="00B144FB">
        <w:rPr>
          <w:rFonts w:ascii="楷体" w:eastAsia="楷体" w:hAnsi="楷体" w:hint="eastAsia"/>
          <w:b/>
          <w:color w:val="auto"/>
        </w:rPr>
        <w:t>聚焦</w:t>
      </w:r>
      <w:r>
        <w:rPr>
          <w:rFonts w:ascii="楷体" w:eastAsia="楷体" w:hAnsi="楷体"/>
          <w:b/>
          <w:color w:val="auto"/>
        </w:rPr>
        <w:t>10</w:t>
      </w:r>
      <w:r w:rsidRPr="00B144FB">
        <w:rPr>
          <w:rFonts w:ascii="楷体" w:eastAsia="楷体" w:hAnsi="楷体" w:hint="eastAsia"/>
          <w:b/>
          <w:color w:val="auto"/>
        </w:rPr>
        <w:t>月，</w:t>
      </w:r>
      <w:r>
        <w:rPr>
          <w:rFonts w:ascii="楷体" w:eastAsia="楷体" w:hAnsi="楷体" w:hint="eastAsia"/>
          <w:b/>
          <w:color w:val="auto"/>
        </w:rPr>
        <w:t>我们认为</w:t>
      </w:r>
      <w:r w:rsidRPr="00DD6A88">
        <w:rPr>
          <w:rFonts w:hint="eastAsia"/>
          <w:b/>
          <w:color w:val="auto"/>
        </w:rPr>
        <w:t>固定收益类基金组合的构建可以适度积极，债券型基金仍是首选对象，而货币市场基金则作为风险对冲标的进行搭配。期限结构建议延续前期中长久期策略，把握投资时机</w:t>
      </w:r>
      <w:r>
        <w:rPr>
          <w:rFonts w:hint="eastAsia"/>
          <w:b/>
          <w:color w:val="auto"/>
        </w:rPr>
        <w:t>，</w:t>
      </w:r>
      <w:r w:rsidRPr="00DD6A88">
        <w:rPr>
          <w:rFonts w:hint="eastAsia"/>
          <w:b/>
          <w:color w:val="auto"/>
        </w:rPr>
        <w:t>类别选择方面，</w:t>
      </w:r>
      <w:r>
        <w:rPr>
          <w:rFonts w:hint="eastAsia"/>
          <w:b/>
          <w:color w:val="auto"/>
        </w:rPr>
        <w:t>可</w:t>
      </w:r>
      <w:r w:rsidRPr="00DD6A88">
        <w:rPr>
          <w:rFonts w:hint="eastAsia"/>
          <w:b/>
          <w:color w:val="auto"/>
        </w:rPr>
        <w:t>对高评级信用类品种投资比例较高的基金给与更多关注</w:t>
      </w:r>
      <w:r>
        <w:rPr>
          <w:rFonts w:hint="eastAsia"/>
          <w:b/>
          <w:color w:val="auto"/>
        </w:rPr>
        <w:t>。</w:t>
      </w:r>
      <w:r w:rsidRPr="00DD6A88">
        <w:rPr>
          <w:rFonts w:hint="eastAsia"/>
          <w:b/>
          <w:color w:val="auto"/>
        </w:rPr>
        <w:t>具体产品建议</w:t>
      </w:r>
      <w:r>
        <w:rPr>
          <w:rFonts w:hint="eastAsia"/>
          <w:b/>
          <w:color w:val="auto"/>
        </w:rPr>
        <w:t>配置</w:t>
      </w:r>
      <w:r w:rsidRPr="00DD6A88">
        <w:rPr>
          <w:rFonts w:hint="eastAsia"/>
          <w:b/>
        </w:rPr>
        <w:t>国投中高等级债、新华纯债添利</w:t>
      </w:r>
      <w:r w:rsidRPr="00DD6A88">
        <w:rPr>
          <w:rFonts w:hint="eastAsia"/>
          <w:b/>
          <w:color w:val="auto"/>
        </w:rPr>
        <w:t>、</w:t>
      </w:r>
      <w:r w:rsidRPr="00DD6A88">
        <w:rPr>
          <w:rFonts w:hint="eastAsia"/>
          <w:b/>
        </w:rPr>
        <w:t>招商安本增利债券</w:t>
      </w:r>
      <w:r w:rsidRPr="00DD6A88">
        <w:rPr>
          <w:rFonts w:hint="eastAsia"/>
          <w:b/>
          <w:color w:val="auto"/>
        </w:rPr>
        <w:t>、南方现金增利。</w:t>
      </w:r>
    </w:p>
    <w:p w:rsidR="00BB50AB" w:rsidRDefault="00BB50AB" w:rsidP="00FC204C">
      <w:pPr>
        <w:pStyle w:val="BodyText"/>
        <w:spacing w:after="163"/>
      </w:pPr>
      <w:r w:rsidRPr="00F67427">
        <w:rPr>
          <w:rFonts w:hint="eastAsia"/>
          <w:b/>
          <w:bCs/>
          <w:color w:val="0070C0"/>
          <w:sz w:val="24"/>
        </w:rPr>
        <w:t>宏观经济及债券市场形势分析</w:t>
      </w:r>
    </w:p>
    <w:p w:rsidR="00BB50AB" w:rsidRPr="007E241D" w:rsidRDefault="00BB50AB" w:rsidP="007E241D">
      <w:pPr>
        <w:widowControl/>
        <w:spacing w:after="120"/>
        <w:ind w:left="3430"/>
        <w:rPr>
          <w:rFonts w:ascii="楷体" w:eastAsia="楷体" w:hAnsi="楷体"/>
          <w:b/>
          <w:bCs/>
          <w:color w:val="0070C0"/>
          <w:kern w:val="0"/>
          <w:szCs w:val="21"/>
          <w:lang w:val="en-GB"/>
        </w:rPr>
      </w:pPr>
      <w:r>
        <w:rPr>
          <w:rFonts w:ascii="楷体" w:eastAsia="楷体" w:hAnsi="楷体" w:hint="eastAsia"/>
          <w:b/>
          <w:bCs/>
          <w:color w:val="0070C0"/>
          <w:kern w:val="0"/>
          <w:szCs w:val="21"/>
          <w:lang w:val="en-GB"/>
        </w:rPr>
        <w:t>宏观面：经济下行担忧落地，平稳跨年有望实现</w:t>
      </w:r>
      <w:r w:rsidRPr="007E241D">
        <w:rPr>
          <w:rFonts w:ascii="楷体" w:eastAsia="楷体" w:hAnsi="楷体"/>
          <w:b/>
          <w:bCs/>
          <w:color w:val="0070C0"/>
          <w:kern w:val="0"/>
          <w:szCs w:val="21"/>
          <w:lang w:val="en-GB"/>
        </w:rPr>
        <w:t xml:space="preserve"> </w:t>
      </w:r>
    </w:p>
    <w:p w:rsidR="00BB50AB" w:rsidRDefault="00BB50AB" w:rsidP="00FC204C">
      <w:pPr>
        <w:pStyle w:val="BodyText"/>
        <w:numPr>
          <w:ilvl w:val="4"/>
          <w:numId w:val="1"/>
        </w:numPr>
        <w:spacing w:after="163"/>
        <w:rPr>
          <w:color w:val="auto"/>
        </w:rPr>
      </w:pPr>
      <w:r>
        <w:rPr>
          <w:rFonts w:hint="eastAsia"/>
          <w:color w:val="auto"/>
        </w:rPr>
        <w:t>自</w:t>
      </w:r>
      <w:r>
        <w:rPr>
          <w:color w:val="auto"/>
        </w:rPr>
        <w:t>8</w:t>
      </w:r>
      <w:r>
        <w:rPr>
          <w:rFonts w:hint="eastAsia"/>
          <w:color w:val="auto"/>
        </w:rPr>
        <w:t>月以来陆续公布的经济数据给市场笼上了一层阴影，工业生产、投资、消费、货币增速等等一系列经济金融数据均陆续回调。不过对于经济下行风险的担忧一直在市场的预期之内，数据的几乎全线回落在印证之前预期的同时，也降低了市场对于不确定性的担心。从客观角度来分析，各项指标的表现预示我国经济动能的恢复将不是在未来第四季度可以彻底完成的，但经济完全走低的概率也不大，预计很大可能将会在政策托底和基数效应的作用下走出一个弱势企稳的过程。</w:t>
      </w:r>
    </w:p>
    <w:p w:rsidR="00BB50AB" w:rsidRDefault="00BB50AB" w:rsidP="00AA1691">
      <w:pPr>
        <w:pStyle w:val="BodyText"/>
        <w:numPr>
          <w:ilvl w:val="5"/>
          <w:numId w:val="2"/>
        </w:numPr>
        <w:spacing w:after="163"/>
        <w:ind w:left="4140" w:hanging="369"/>
      </w:pPr>
      <w:r>
        <w:t>8</w:t>
      </w:r>
      <w:r>
        <w:rPr>
          <w:rFonts w:hint="eastAsia"/>
        </w:rPr>
        <w:t>月份我国宏观经济数据屡创新低，规模以上工业增加值较上月回落</w:t>
      </w:r>
      <w:r>
        <w:t>2.1</w:t>
      </w:r>
      <w:r>
        <w:rPr>
          <w:rFonts w:hint="eastAsia"/>
        </w:rPr>
        <w:t>个百分点；发电量今年以来首次负增长；前</w:t>
      </w:r>
      <w:r>
        <w:t>8</w:t>
      </w:r>
      <w:r>
        <w:rPr>
          <w:rFonts w:hint="eastAsia"/>
        </w:rPr>
        <w:t>月全国固定资产投资增速比前</w:t>
      </w:r>
      <w:r>
        <w:t>7</w:t>
      </w:r>
      <w:r>
        <w:rPr>
          <w:rFonts w:hint="eastAsia"/>
        </w:rPr>
        <w:t>月回落</w:t>
      </w:r>
      <w:r>
        <w:t>0.5</w:t>
      </w:r>
      <w:r>
        <w:rPr>
          <w:rFonts w:hint="eastAsia"/>
        </w:rPr>
        <w:t>个百分点；社会消费品零售总额同比名义增长</w:t>
      </w:r>
      <w:r>
        <w:t>11.9%</w:t>
      </w:r>
      <w:r>
        <w:rPr>
          <w:rFonts w:hint="eastAsia"/>
        </w:rPr>
        <w:t>，也同样低于市场预期。除此之外，与我国经济息息相关的房地产市场指标也出现走低，前</w:t>
      </w:r>
      <w:r>
        <w:t>8</w:t>
      </w:r>
      <w:r>
        <w:rPr>
          <w:rFonts w:hint="eastAsia"/>
        </w:rPr>
        <w:t>月全国房地产开发投资同比名义增速比前</w:t>
      </w:r>
      <w:r>
        <w:t>7</w:t>
      </w:r>
      <w:r>
        <w:rPr>
          <w:rFonts w:hint="eastAsia"/>
        </w:rPr>
        <w:t>月回落</w:t>
      </w:r>
      <w:r>
        <w:t>0.5</w:t>
      </w:r>
      <w:r>
        <w:rPr>
          <w:rFonts w:hint="eastAsia"/>
        </w:rPr>
        <w:t>个百分点；前</w:t>
      </w:r>
      <w:r>
        <w:t>8</w:t>
      </w:r>
      <w:r>
        <w:rPr>
          <w:rFonts w:hint="eastAsia"/>
        </w:rPr>
        <w:t>月商品房销售面积同比下降</w:t>
      </w:r>
      <w:r>
        <w:t>8.3%</w:t>
      </w:r>
      <w:r>
        <w:rPr>
          <w:rFonts w:hint="eastAsia"/>
        </w:rPr>
        <w:t>，降幅也现扩大之势。</w:t>
      </w:r>
    </w:p>
    <w:p w:rsidR="00BB50AB" w:rsidRDefault="00BB50AB" w:rsidP="00150571">
      <w:pPr>
        <w:pStyle w:val="BodyText"/>
        <w:numPr>
          <w:ilvl w:val="5"/>
          <w:numId w:val="2"/>
        </w:numPr>
        <w:spacing w:after="163"/>
        <w:ind w:left="4140" w:hanging="369"/>
      </w:pPr>
      <w:r>
        <w:rPr>
          <w:rFonts w:hint="eastAsia"/>
        </w:rPr>
        <w:t>另外，</w:t>
      </w:r>
      <w:r>
        <w:t>8</w:t>
      </w:r>
      <w:r>
        <w:rPr>
          <w:rFonts w:hint="eastAsia"/>
        </w:rPr>
        <w:t>月官方和汇丰</w:t>
      </w:r>
      <w:r>
        <w:t>PMI</w:t>
      </w:r>
      <w:r>
        <w:rPr>
          <w:rFonts w:hint="eastAsia"/>
        </w:rPr>
        <w:t>数据也双双回落，其中官方制造业</w:t>
      </w:r>
      <w:r>
        <w:t>PMI</w:t>
      </w:r>
      <w:r>
        <w:rPr>
          <w:rFonts w:hint="eastAsia"/>
        </w:rPr>
        <w:t>为</w:t>
      </w:r>
      <w:r>
        <w:t>51.1%</w:t>
      </w:r>
      <w:r>
        <w:rPr>
          <w:rFonts w:hint="eastAsia"/>
        </w:rPr>
        <w:t>，比</w:t>
      </w:r>
      <w:r>
        <w:t>7</w:t>
      </w:r>
      <w:r>
        <w:rPr>
          <w:rFonts w:hint="eastAsia"/>
        </w:rPr>
        <w:t>月回落</w:t>
      </w:r>
      <w:r>
        <w:t>0.6</w:t>
      </w:r>
      <w:r>
        <w:rPr>
          <w:rFonts w:hint="eastAsia"/>
        </w:rPr>
        <w:t>个百分点，汇丰制造业</w:t>
      </w:r>
      <w:r>
        <w:t>PMI</w:t>
      </w:r>
      <w:r>
        <w:rPr>
          <w:rFonts w:hint="eastAsia"/>
        </w:rPr>
        <w:t>终值为</w:t>
      </w:r>
      <w:r>
        <w:t>50.2</w:t>
      </w:r>
      <w:r>
        <w:rPr>
          <w:rFonts w:hint="eastAsia"/>
        </w:rPr>
        <w:t>，也低于</w:t>
      </w:r>
      <w:r>
        <w:t>7</w:t>
      </w:r>
      <w:r>
        <w:rPr>
          <w:rFonts w:hint="eastAsia"/>
        </w:rPr>
        <w:t>月终值</w:t>
      </w:r>
      <w:r>
        <w:t>51.7%</w:t>
      </w:r>
      <w:r>
        <w:rPr>
          <w:rFonts w:hint="eastAsia"/>
        </w:rPr>
        <w:t>，创三个月新低。总体来看，当前我国经济在二季度有所回暖之后的确如我们预期的一样，表现出了一定的下行压力。各项宏观经济数据的回落，意味着目前内需增长的动能正在减弱，尽管李克强总理讲话称经济运行仍在合理区间，但整体面临较大的压力已是不争的事实。不过，也正是此轮回调，使得市场之前的担忧得以落地，未来四季度经济即将回归稳定的声音再次成为主导。刚刚发布的</w:t>
      </w:r>
      <w:r>
        <w:t>9</w:t>
      </w:r>
      <w:r>
        <w:rPr>
          <w:rFonts w:hint="eastAsia"/>
        </w:rPr>
        <w:t>月汇丰</w:t>
      </w:r>
      <w:r>
        <w:t>PMI</w:t>
      </w:r>
      <w:r>
        <w:rPr>
          <w:rFonts w:hint="eastAsia"/>
        </w:rPr>
        <w:t>初值也印证了市场的判断，初值的改善在很大程度上缓解了市场对于我国经济增长的担忧。预计四季度，在经济已现下行、通胀明显回落的环境下，稳增长的政策力度将会有所加大，改革的推进速度也有望增强，而且四季度也是传统旺季，在圣诞节、新年等节日因素的带动之下，内外需还是有望改善的，总体经济大概率有望平稳跨年。</w:t>
      </w:r>
    </w:p>
    <w:p w:rsidR="00BB50AB" w:rsidRPr="007E241D" w:rsidRDefault="00BB50AB" w:rsidP="007E241D">
      <w:pPr>
        <w:widowControl/>
        <w:spacing w:after="120"/>
        <w:ind w:left="3430"/>
        <w:rPr>
          <w:rFonts w:ascii="楷体" w:eastAsia="楷体" w:hAnsi="楷体"/>
          <w:b/>
          <w:bCs/>
          <w:color w:val="0070C0"/>
          <w:kern w:val="0"/>
          <w:szCs w:val="21"/>
          <w:lang w:val="en-GB"/>
        </w:rPr>
      </w:pPr>
      <w:r>
        <w:rPr>
          <w:rFonts w:ascii="楷体" w:eastAsia="楷体" w:hAnsi="楷体" w:hint="eastAsia"/>
          <w:b/>
          <w:bCs/>
          <w:color w:val="0070C0"/>
          <w:kern w:val="0"/>
          <w:szCs w:val="21"/>
          <w:lang w:val="en-GB"/>
        </w:rPr>
        <w:t>债券市场：流动性基础构成利好，波动慢牛或可期</w:t>
      </w:r>
    </w:p>
    <w:p w:rsidR="00BB50AB" w:rsidRDefault="00BB50AB" w:rsidP="00FC204C">
      <w:pPr>
        <w:pStyle w:val="BodyText"/>
        <w:numPr>
          <w:ilvl w:val="4"/>
          <w:numId w:val="1"/>
        </w:numPr>
        <w:spacing w:after="163"/>
        <w:rPr>
          <w:color w:val="auto"/>
        </w:rPr>
      </w:pPr>
      <w:r w:rsidRPr="003A5153">
        <w:rPr>
          <w:rFonts w:hint="eastAsia"/>
          <w:color w:val="auto"/>
        </w:rPr>
        <w:t>聚焦债券市场，</w:t>
      </w:r>
      <w:r>
        <w:rPr>
          <w:rFonts w:hint="eastAsia"/>
          <w:color w:val="auto"/>
        </w:rPr>
        <w:t>基于前文分析，我国经济趋弱的局面已经初现缓解迹象，但从内需和出口所反映的外需情况来看，虽然形势并不严峻，不过也较难在短期内全面反转，因此，对于整个生产乃至经济动能的推动作用比较有限，总需求偏弱的格局四季度仍无法改变。政府为了避免经济硬着陆，必定会继续出台各项局部定向政策进行托底，近期</w:t>
      </w:r>
      <w:r w:rsidRPr="007A1AE2">
        <w:rPr>
          <w:rFonts w:hint="eastAsia"/>
          <w:color w:val="auto"/>
        </w:rPr>
        <w:t>关于首套房认定标准调整的讨论愈演愈烈</w:t>
      </w:r>
      <w:r>
        <w:rPr>
          <w:rFonts w:hint="eastAsia"/>
          <w:color w:val="auto"/>
        </w:rPr>
        <w:t>，尽管是否执行还没有定论，但是这也预示着各级政府对于房地产市场风险的防范意愿正在加强。因此，从基本面层面来看，四季度尽管存在节日提振因素，我国经济实现大周期复苏的概率依旧较低，对于整个债市来说，相对趋弱的局面存在一定的利好，但是考虑到政府会根据经济的下行程度出台政策进行托底乃至刺激，以保持经济的弱势稳定，所以债市大牛市行情应当无望，波动中的阶段行情乃至慢牛格局可能性较大。</w:t>
      </w:r>
    </w:p>
    <w:p w:rsidR="00BB50AB" w:rsidRPr="003975A1" w:rsidRDefault="00BB50AB" w:rsidP="00FC204C">
      <w:pPr>
        <w:pStyle w:val="BodyText"/>
        <w:numPr>
          <w:ilvl w:val="4"/>
          <w:numId w:val="1"/>
        </w:numPr>
        <w:spacing w:after="163"/>
        <w:rPr>
          <w:color w:val="auto"/>
        </w:rPr>
      </w:pPr>
      <w:r w:rsidRPr="006E69FA">
        <w:rPr>
          <w:rFonts w:hint="eastAsia"/>
          <w:color w:val="auto"/>
        </w:rPr>
        <w:t>流动性方面，</w:t>
      </w:r>
      <w:r>
        <w:rPr>
          <w:rFonts w:hint="eastAsia"/>
          <w:color w:val="auto"/>
        </w:rPr>
        <w:t>货币政策适度放松的方向应当在未来一个季度不会改变。首先，政策往往都会保持一定的连贯性和持续性。央行先是通过正回购的缩量来实现资金的小幅净投放，随后又通过</w:t>
      </w:r>
      <w:r w:rsidRPr="00351ADC">
        <w:rPr>
          <w:color w:val="auto"/>
        </w:rPr>
        <w:t>5000</w:t>
      </w:r>
      <w:r w:rsidRPr="00351ADC">
        <w:rPr>
          <w:rFonts w:hint="eastAsia"/>
          <w:color w:val="auto"/>
        </w:rPr>
        <w:t>亿</w:t>
      </w:r>
      <w:r w:rsidRPr="00351ADC">
        <w:rPr>
          <w:color w:val="auto"/>
        </w:rPr>
        <w:t>SLF</w:t>
      </w:r>
      <w:r w:rsidRPr="00351ADC">
        <w:rPr>
          <w:rFonts w:hint="eastAsia"/>
          <w:color w:val="auto"/>
        </w:rPr>
        <w:t>援助市场</w:t>
      </w:r>
      <w:r>
        <w:rPr>
          <w:rFonts w:hint="eastAsia"/>
          <w:color w:val="auto"/>
        </w:rPr>
        <w:t>，</w:t>
      </w:r>
      <w:r>
        <w:rPr>
          <w:color w:val="auto"/>
        </w:rPr>
        <w:t>9</w:t>
      </w:r>
      <w:r>
        <w:rPr>
          <w:rFonts w:hint="eastAsia"/>
          <w:color w:val="auto"/>
        </w:rPr>
        <w:t>月下旬继而下调正回购利率</w:t>
      </w:r>
      <w:r>
        <w:rPr>
          <w:color w:val="auto"/>
        </w:rPr>
        <w:t>20</w:t>
      </w:r>
      <w:r>
        <w:rPr>
          <w:rFonts w:hint="eastAsia"/>
          <w:color w:val="auto"/>
        </w:rPr>
        <w:t>个基点，实现了对于资金利率方向的引导，从以上央行的操作来看，</w:t>
      </w:r>
      <w:r w:rsidRPr="00E94AA7">
        <w:rPr>
          <w:rFonts w:hint="eastAsia"/>
        </w:rPr>
        <w:t>货币政策</w:t>
      </w:r>
      <w:r>
        <w:rPr>
          <w:rFonts w:hint="eastAsia"/>
        </w:rPr>
        <w:t>适度</w:t>
      </w:r>
      <w:r w:rsidRPr="00E94AA7">
        <w:rPr>
          <w:rFonts w:hint="eastAsia"/>
        </w:rPr>
        <w:t>放松</w:t>
      </w:r>
      <w:r>
        <w:rPr>
          <w:rFonts w:hint="eastAsia"/>
        </w:rPr>
        <w:t>的趋势已经形成。其次，现阶段经济增速的下滑使得流动性宽松的必要性有所增加，而且从最新的通货膨胀数据来看，仍维持在可控的范围之内，预计短期内在经济动能恢复之前仍将继续维持在低位运行，因此适度放松货币供给具有一定的可行性</w:t>
      </w:r>
      <w:r w:rsidRPr="003975A1">
        <w:rPr>
          <w:rFonts w:hint="eastAsia"/>
        </w:rPr>
        <w:t>。至于放松的力度，还需结合</w:t>
      </w:r>
      <w:r w:rsidRPr="003975A1">
        <w:t>10</w:t>
      </w:r>
      <w:r w:rsidRPr="003975A1">
        <w:rPr>
          <w:rFonts w:hint="eastAsia"/>
        </w:rPr>
        <w:t>月份公布的三季度和</w:t>
      </w:r>
      <w:r w:rsidRPr="003975A1">
        <w:t>9</w:t>
      </w:r>
      <w:r w:rsidRPr="003975A1">
        <w:rPr>
          <w:rFonts w:hint="eastAsia"/>
        </w:rPr>
        <w:t>月份经济数据进行判断。</w:t>
      </w:r>
      <w:r>
        <w:rPr>
          <w:rFonts w:hint="eastAsia"/>
        </w:rPr>
        <w:t>不过需要指出的是，</w:t>
      </w:r>
      <w:r w:rsidRPr="003975A1">
        <w:rPr>
          <w:rFonts w:hint="eastAsia"/>
        </w:rPr>
        <w:t>历史上四季度资金成本还是存在上行的惯例，尤其是在</w:t>
      </w:r>
      <w:r w:rsidRPr="003975A1">
        <w:t>12</w:t>
      </w:r>
      <w:r w:rsidRPr="003975A1">
        <w:rPr>
          <w:rFonts w:hint="eastAsia"/>
        </w:rPr>
        <w:t>月份，预计到时候流动性会承受一定的压力。</w:t>
      </w:r>
    </w:p>
    <w:p w:rsidR="00BB50AB" w:rsidRPr="003910E0" w:rsidRDefault="00BB50AB" w:rsidP="0022362D">
      <w:pPr>
        <w:pStyle w:val="BodyText"/>
        <w:numPr>
          <w:ilvl w:val="4"/>
          <w:numId w:val="1"/>
        </w:numPr>
        <w:spacing w:after="163"/>
        <w:rPr>
          <w:color w:val="auto"/>
        </w:rPr>
      </w:pPr>
      <w:r>
        <w:rPr>
          <w:rFonts w:hint="eastAsia"/>
        </w:rPr>
        <w:t>总体来看，四季度我国经济在政策的托底作用之下，基本面大概率会呈现弱势平衡的局面，资金面前期预计会延续当前适度宽松的形势，年末虽然存在趋紧的可能，但影响偏短期，从大方向上来看，总体形势还是会利好债券市场的发展，只是构成大牛市的基础并不存在。在经济复苏的反复和政策的博弈中，市场情绪的影响或将放大，未来慢牛伴随波动的格局可能会主导整个四季度。</w:t>
      </w:r>
    </w:p>
    <w:p w:rsidR="00BB50AB" w:rsidRPr="00F67427" w:rsidRDefault="00BB50AB" w:rsidP="00F67427">
      <w:pPr>
        <w:pStyle w:val="BodyText"/>
        <w:spacing w:after="163"/>
        <w:rPr>
          <w:b/>
          <w:bCs/>
          <w:color w:val="0070C0"/>
          <w:sz w:val="24"/>
        </w:rPr>
      </w:pPr>
      <w:r>
        <w:rPr>
          <w:rFonts w:hint="eastAsia"/>
          <w:b/>
          <w:bCs/>
          <w:color w:val="0070C0"/>
          <w:sz w:val="24"/>
        </w:rPr>
        <w:t>四季度</w:t>
      </w:r>
      <w:r w:rsidRPr="00F67427">
        <w:rPr>
          <w:rFonts w:hint="eastAsia"/>
          <w:b/>
          <w:bCs/>
          <w:color w:val="0070C0"/>
          <w:sz w:val="24"/>
        </w:rPr>
        <w:t>基金投资策略：</w:t>
      </w:r>
      <w:r>
        <w:rPr>
          <w:rFonts w:hint="eastAsia"/>
          <w:b/>
          <w:bCs/>
          <w:color w:val="0070C0"/>
          <w:sz w:val="24"/>
        </w:rPr>
        <w:t>跟踪复苏形势</w:t>
      </w:r>
      <w:r w:rsidRPr="00F67427">
        <w:rPr>
          <w:rFonts w:hint="eastAsia"/>
          <w:b/>
          <w:bCs/>
          <w:color w:val="0070C0"/>
          <w:sz w:val="24"/>
        </w:rPr>
        <w:t>，</w:t>
      </w:r>
      <w:r>
        <w:rPr>
          <w:rFonts w:hint="eastAsia"/>
          <w:b/>
          <w:bCs/>
          <w:color w:val="0070C0"/>
          <w:sz w:val="24"/>
        </w:rPr>
        <w:t>灵活布局是关键</w:t>
      </w:r>
      <w:r w:rsidRPr="00F67427">
        <w:rPr>
          <w:b/>
          <w:bCs/>
          <w:color w:val="0070C0"/>
          <w:sz w:val="24"/>
        </w:rPr>
        <w:t xml:space="preserve"> </w:t>
      </w:r>
    </w:p>
    <w:p w:rsidR="00BB50AB" w:rsidRPr="00F67427" w:rsidRDefault="00BB50AB" w:rsidP="008C53C1">
      <w:pPr>
        <w:widowControl/>
        <w:spacing w:after="120"/>
        <w:ind w:left="3430"/>
        <w:rPr>
          <w:rFonts w:ascii="Arial" w:eastAsia="楷体_GB2312" w:hAnsi="Arial"/>
          <w:b/>
          <w:bCs/>
          <w:color w:val="0070C0"/>
          <w:kern w:val="0"/>
          <w:szCs w:val="21"/>
          <w:lang w:val="en-GB"/>
        </w:rPr>
      </w:pPr>
      <w:r w:rsidRPr="00F67427">
        <w:rPr>
          <w:rFonts w:ascii="Arial" w:eastAsia="楷体_GB2312" w:hAnsi="Arial" w:hint="eastAsia"/>
          <w:b/>
          <w:bCs/>
          <w:color w:val="0070C0"/>
          <w:kern w:val="0"/>
          <w:szCs w:val="21"/>
          <w:lang w:val="en-GB"/>
        </w:rPr>
        <w:t>期限</w:t>
      </w:r>
      <w:r>
        <w:rPr>
          <w:rFonts w:ascii="Arial" w:eastAsia="楷体_GB2312" w:hAnsi="Arial" w:hint="eastAsia"/>
          <w:b/>
          <w:bCs/>
          <w:color w:val="0070C0"/>
          <w:kern w:val="0"/>
          <w:szCs w:val="21"/>
          <w:lang w:val="en-GB"/>
        </w:rPr>
        <w:t>结构</w:t>
      </w:r>
      <w:r w:rsidRPr="00F67427">
        <w:rPr>
          <w:rFonts w:ascii="Arial" w:eastAsia="楷体_GB2312" w:hAnsi="Arial" w:hint="eastAsia"/>
          <w:b/>
          <w:bCs/>
          <w:color w:val="0070C0"/>
          <w:kern w:val="0"/>
          <w:szCs w:val="21"/>
          <w:lang w:val="en-GB"/>
        </w:rPr>
        <w:t>：</w:t>
      </w:r>
      <w:r>
        <w:rPr>
          <w:rFonts w:ascii="Arial" w:eastAsia="楷体_GB2312" w:hAnsi="Arial" w:hint="eastAsia"/>
          <w:b/>
          <w:bCs/>
          <w:color w:val="0070C0"/>
          <w:kern w:val="0"/>
          <w:szCs w:val="21"/>
          <w:lang w:val="en-GB"/>
        </w:rPr>
        <w:t>中长久期切入</w:t>
      </w:r>
      <w:r w:rsidRPr="00F67427">
        <w:rPr>
          <w:rFonts w:ascii="Arial" w:eastAsia="楷体_GB2312" w:hAnsi="Arial" w:hint="eastAsia"/>
          <w:b/>
          <w:bCs/>
          <w:color w:val="0070C0"/>
          <w:kern w:val="0"/>
          <w:szCs w:val="21"/>
          <w:lang w:val="en-GB"/>
        </w:rPr>
        <w:t>，</w:t>
      </w:r>
      <w:r>
        <w:rPr>
          <w:rFonts w:ascii="Arial" w:eastAsia="楷体_GB2312" w:hAnsi="Arial" w:hint="eastAsia"/>
          <w:b/>
          <w:bCs/>
          <w:color w:val="0070C0"/>
          <w:kern w:val="0"/>
          <w:szCs w:val="21"/>
          <w:lang w:val="en-GB"/>
        </w:rPr>
        <w:t>随后根据复苏形势、宽松力度灵活调整</w:t>
      </w:r>
    </w:p>
    <w:p w:rsidR="00BB50AB" w:rsidRDefault="00BB50AB" w:rsidP="007E241D">
      <w:pPr>
        <w:pStyle w:val="BodyText"/>
        <w:numPr>
          <w:ilvl w:val="4"/>
          <w:numId w:val="1"/>
        </w:numPr>
        <w:spacing w:after="163"/>
        <w:rPr>
          <w:color w:val="auto"/>
        </w:rPr>
      </w:pPr>
      <w:r w:rsidRPr="00330CBB">
        <w:rPr>
          <w:rFonts w:hint="eastAsia"/>
          <w:b/>
          <w:color w:val="auto"/>
        </w:rPr>
        <w:t>初期中长久期切入。</w:t>
      </w:r>
      <w:r>
        <w:rPr>
          <w:rFonts w:hint="eastAsia"/>
          <w:color w:val="auto"/>
        </w:rPr>
        <w:t>基于前文对于债券市场的分析，经济形势的弱势平衡、流动性的总体宽松，都为债市慢牛的延续提供了土壤，但这一过程能否真正成形还有赖于多项影响因素的综合作用。基于现阶段所能获得的资料分析预测，我们认为四季度仍处于整个经济大周期从底部开始复苏的阶段，股票、债券的配置价值都会有所上升。单就债市而言，尽管前期经历了起落波动，但国庆长假过后随着资金面季末趋紧的过去，整体投资价值将依旧存在。因此，落实到基金的投资上，我们建议投资者在期限选择上，可以在四季度初期重点配置中长久期基金品种，积极把握债市投资时机。</w:t>
      </w:r>
    </w:p>
    <w:p w:rsidR="00BB50AB" w:rsidRDefault="00BB50AB" w:rsidP="007E241D">
      <w:pPr>
        <w:pStyle w:val="BodyText"/>
        <w:numPr>
          <w:ilvl w:val="4"/>
          <w:numId w:val="1"/>
        </w:numPr>
        <w:spacing w:after="163"/>
        <w:rPr>
          <w:color w:val="auto"/>
        </w:rPr>
      </w:pPr>
      <w:r w:rsidRPr="00330CBB">
        <w:rPr>
          <w:rFonts w:hint="eastAsia"/>
          <w:b/>
          <w:color w:val="auto"/>
        </w:rPr>
        <w:t>期间扰动因素之一：经济数据</w:t>
      </w:r>
      <w:r>
        <w:rPr>
          <w:rFonts w:hint="eastAsia"/>
          <w:b/>
          <w:color w:val="auto"/>
        </w:rPr>
        <w:t>反弹</w:t>
      </w:r>
      <w:r w:rsidRPr="00330CBB">
        <w:rPr>
          <w:rFonts w:hint="eastAsia"/>
          <w:b/>
          <w:color w:val="auto"/>
        </w:rPr>
        <w:t>。</w:t>
      </w:r>
      <w:r w:rsidRPr="005E2FBB">
        <w:rPr>
          <w:rFonts w:hint="eastAsia"/>
          <w:color w:val="auto"/>
        </w:rPr>
        <w:t>与此同时，跟踪关注</w:t>
      </w:r>
      <w:r w:rsidRPr="005E2FBB">
        <w:rPr>
          <w:color w:val="auto"/>
        </w:rPr>
        <w:t>10</w:t>
      </w:r>
      <w:r w:rsidRPr="005E2FBB">
        <w:rPr>
          <w:rFonts w:hint="eastAsia"/>
          <w:color w:val="auto"/>
        </w:rPr>
        <w:t>月份三季度以及前月经济数据的公布，</w:t>
      </w:r>
      <w:r>
        <w:rPr>
          <w:rFonts w:hint="eastAsia"/>
          <w:color w:val="auto"/>
        </w:rPr>
        <w:t>因为</w:t>
      </w:r>
      <w:r w:rsidRPr="005E2FBB">
        <w:rPr>
          <w:color w:val="auto"/>
        </w:rPr>
        <w:t>8</w:t>
      </w:r>
      <w:r w:rsidRPr="005E2FBB">
        <w:rPr>
          <w:rFonts w:hint="eastAsia"/>
          <w:color w:val="auto"/>
        </w:rPr>
        <w:t>月份我国经济数据几乎全面下滑，</w:t>
      </w:r>
      <w:r w:rsidRPr="005E2FBB">
        <w:rPr>
          <w:color w:val="auto"/>
        </w:rPr>
        <w:t>9</w:t>
      </w:r>
      <w:r w:rsidRPr="005E2FBB">
        <w:rPr>
          <w:rFonts w:hint="eastAsia"/>
          <w:color w:val="auto"/>
        </w:rPr>
        <w:t>月刚刚公布的</w:t>
      </w:r>
      <w:r w:rsidRPr="005E2FBB">
        <w:rPr>
          <w:color w:val="auto"/>
        </w:rPr>
        <w:t>PMI</w:t>
      </w:r>
      <w:r w:rsidRPr="005E2FBB">
        <w:rPr>
          <w:rFonts w:hint="eastAsia"/>
          <w:color w:val="auto"/>
        </w:rPr>
        <w:t>初值现回暖迹象，因此，其他经济数据对于判断前期是短暂波折还是复苏遇阻有着重要的意义。目前，市场普遍预测</w:t>
      </w:r>
      <w:r>
        <w:rPr>
          <w:color w:val="auto"/>
        </w:rPr>
        <w:t>9</w:t>
      </w:r>
      <w:r>
        <w:rPr>
          <w:rFonts w:hint="eastAsia"/>
          <w:color w:val="auto"/>
        </w:rPr>
        <w:t>月经济</w:t>
      </w:r>
      <w:r w:rsidRPr="005E2FBB">
        <w:rPr>
          <w:rFonts w:hint="eastAsia"/>
          <w:color w:val="auto"/>
        </w:rPr>
        <w:t>数据</w:t>
      </w:r>
      <w:r>
        <w:rPr>
          <w:rFonts w:hint="eastAsia"/>
          <w:color w:val="auto"/>
        </w:rPr>
        <w:t>基本无忧</w:t>
      </w:r>
      <w:r w:rsidRPr="005E2FBB">
        <w:rPr>
          <w:rFonts w:hint="eastAsia"/>
          <w:color w:val="auto"/>
        </w:rPr>
        <w:t>，如若符合市场预期，</w:t>
      </w:r>
      <w:r w:rsidRPr="005E2FBB">
        <w:rPr>
          <w:color w:val="auto"/>
        </w:rPr>
        <w:t>9</w:t>
      </w:r>
      <w:r w:rsidRPr="005E2FBB">
        <w:rPr>
          <w:rFonts w:hint="eastAsia"/>
          <w:color w:val="auto"/>
        </w:rPr>
        <w:t>月</w:t>
      </w:r>
      <w:r>
        <w:rPr>
          <w:rFonts w:hint="eastAsia"/>
          <w:color w:val="auto"/>
        </w:rPr>
        <w:t>的</w:t>
      </w:r>
      <w:r w:rsidRPr="005E2FBB">
        <w:rPr>
          <w:rFonts w:hint="eastAsia"/>
          <w:color w:val="auto"/>
        </w:rPr>
        <w:t>回暖将在很大程度上</w:t>
      </w:r>
      <w:r>
        <w:rPr>
          <w:rFonts w:hint="eastAsia"/>
          <w:color w:val="auto"/>
        </w:rPr>
        <w:t>预示着四季度总体平稳有望，而这一局面必定会</w:t>
      </w:r>
      <w:r w:rsidRPr="005E2FBB">
        <w:rPr>
          <w:rFonts w:hint="eastAsia"/>
          <w:color w:val="auto"/>
        </w:rPr>
        <w:t>给债市带来一定的冲击</w:t>
      </w:r>
      <w:r>
        <w:rPr>
          <w:rFonts w:hint="eastAsia"/>
          <w:color w:val="auto"/>
        </w:rPr>
        <w:t>；若数据显示复苏的动力仍然不足，那么基本面偏弱的格局将有望继续延续。以上两种情形也决定了在基金投资组合期限的调整上会有所差异，面对第一种情形，投资者则可以缩短组合久期水平，适当规避风险；后者，则可以继续维持现有中长久期策略。</w:t>
      </w:r>
    </w:p>
    <w:p w:rsidR="00BB50AB" w:rsidRDefault="00BB50AB" w:rsidP="007E241D">
      <w:pPr>
        <w:pStyle w:val="BodyText"/>
        <w:numPr>
          <w:ilvl w:val="4"/>
          <w:numId w:val="1"/>
        </w:numPr>
        <w:spacing w:after="163"/>
        <w:rPr>
          <w:color w:val="auto"/>
        </w:rPr>
      </w:pPr>
      <w:r w:rsidRPr="00330CBB">
        <w:rPr>
          <w:rFonts w:hint="eastAsia"/>
          <w:b/>
          <w:color w:val="auto"/>
        </w:rPr>
        <w:t>期间扰动因素</w:t>
      </w:r>
      <w:r>
        <w:rPr>
          <w:rFonts w:hint="eastAsia"/>
          <w:b/>
          <w:color w:val="auto"/>
        </w:rPr>
        <w:t>之二</w:t>
      </w:r>
      <w:r w:rsidRPr="00330CBB">
        <w:rPr>
          <w:rFonts w:hint="eastAsia"/>
          <w:b/>
          <w:color w:val="auto"/>
        </w:rPr>
        <w:t>：</w:t>
      </w:r>
      <w:r>
        <w:rPr>
          <w:rFonts w:hint="eastAsia"/>
          <w:b/>
          <w:color w:val="auto"/>
        </w:rPr>
        <w:t>流动性收紧。</w:t>
      </w:r>
      <w:r w:rsidRPr="0020247A">
        <w:rPr>
          <w:rFonts w:hint="eastAsia"/>
          <w:color w:val="auto"/>
        </w:rPr>
        <w:t>正如前文所述</w:t>
      </w:r>
      <w:r>
        <w:rPr>
          <w:rFonts w:hint="eastAsia"/>
          <w:color w:val="auto"/>
        </w:rPr>
        <w:t>，虽然我们认为四季度经济回归平稳的可能性较大，但是仍然存在着不确定因素，经济复苏的形势将直接影响政府政策出台的速度和实施的力度，具体到影响债市的因素便是各项定向宽松政策以及货币的投放速度。建议投资者在考虑经济形势来灵活调整投资组合久期的同时，综合考虑流动性的情况，尤其在时至年末资金成本习惯性上升之时，果断降低基金组合久期，甚至可考虑适当回避债券型基金品种。</w:t>
      </w:r>
    </w:p>
    <w:p w:rsidR="00BB50AB" w:rsidRDefault="00BB50AB" w:rsidP="007E241D">
      <w:pPr>
        <w:pStyle w:val="BodyText"/>
        <w:numPr>
          <w:ilvl w:val="4"/>
          <w:numId w:val="1"/>
        </w:numPr>
        <w:spacing w:after="163"/>
        <w:rPr>
          <w:color w:val="auto"/>
        </w:rPr>
      </w:pPr>
      <w:r>
        <w:rPr>
          <w:rFonts w:hint="eastAsia"/>
          <w:color w:val="auto"/>
        </w:rPr>
        <w:t>总体来看，在期限结构方面，建议投资者四季度以中长久期债券型基金为主要配置品种，期间根据经济复苏动力、资金面松紧程度灵活调整组合久期水平，期末考虑到年末资金成本上升的惯例，降低中长久期债券型基金的配置，转投短债投资比例较高的品种，或是彻底回避债券型基金。</w:t>
      </w:r>
    </w:p>
    <w:p w:rsidR="00BB50AB" w:rsidRPr="00187410" w:rsidRDefault="00BB50AB" w:rsidP="00187410">
      <w:pPr>
        <w:pStyle w:val="BodyText"/>
        <w:numPr>
          <w:ilvl w:val="4"/>
          <w:numId w:val="1"/>
        </w:numPr>
        <w:spacing w:after="163"/>
        <w:rPr>
          <w:color w:val="auto"/>
        </w:rPr>
      </w:pPr>
      <w:r>
        <w:rPr>
          <w:rFonts w:hint="eastAsia"/>
          <w:color w:val="auto"/>
        </w:rPr>
        <w:t>产品方面，我们选取披露二季报的债券型基金作为样本，不过由于</w:t>
      </w:r>
      <w:r>
        <w:rPr>
          <w:rFonts w:hint="eastAsia"/>
        </w:rPr>
        <w:t>受限于部分债券品种久期数据无法获取，我们仅</w:t>
      </w:r>
      <w:r>
        <w:rPr>
          <w:rFonts w:hint="eastAsia"/>
          <w:color w:val="auto"/>
        </w:rPr>
        <w:t>筛选其中</w:t>
      </w:r>
      <w:r>
        <w:rPr>
          <w:rFonts w:hint="eastAsia"/>
        </w:rPr>
        <w:t>重仓债券</w:t>
      </w:r>
      <w:r>
        <w:rPr>
          <w:rFonts w:hint="eastAsia"/>
          <w:color w:val="auto"/>
        </w:rPr>
        <w:t>有</w:t>
      </w:r>
      <w:r>
        <w:rPr>
          <w:color w:val="auto"/>
        </w:rPr>
        <w:t>3</w:t>
      </w:r>
      <w:r>
        <w:rPr>
          <w:rFonts w:hint="eastAsia"/>
          <w:color w:val="auto"/>
        </w:rPr>
        <w:t>只及以上</w:t>
      </w:r>
      <w:r>
        <w:rPr>
          <w:rFonts w:hint="eastAsia"/>
        </w:rPr>
        <w:t>修正久期获得明示的</w:t>
      </w:r>
      <w:r>
        <w:t>230</w:t>
      </w:r>
      <w:r>
        <w:rPr>
          <w:rFonts w:hint="eastAsia"/>
        </w:rPr>
        <w:t>只基金进行分析处理，以市值加权平均估算基金产品的组合久期，并筛选其中今年以来绝对收益及风险调整后收益水平均位于同业前三分之一的部分基金，将其夏普比率和组合久期指标列示于图表</w:t>
      </w:r>
      <w:r>
        <w:t>1</w:t>
      </w:r>
      <w:r>
        <w:rPr>
          <w:rFonts w:hint="eastAsia"/>
        </w:rPr>
        <w:t>，以供投资者参考。投资者可以根据前文所述，并结合图表呈现的久期水平和获益能力对所持有的基金组合进行管理，筛选适合自己的产品进行投资。</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7442"/>
      </w:tblGrid>
      <w:tr w:rsidR="00BB50AB" w:rsidRPr="00024C9F" w:rsidTr="00FC6A6F">
        <w:trPr>
          <w:cantSplit/>
          <w:trHeight w:val="65"/>
        </w:trPr>
        <w:tc>
          <w:tcPr>
            <w:tcW w:w="7442" w:type="dxa"/>
            <w:vAlign w:val="center"/>
          </w:tcPr>
          <w:p w:rsidR="00BB50AB" w:rsidRPr="00656031" w:rsidRDefault="00BB50AB" w:rsidP="00FC6A6F">
            <w:pPr>
              <w:pStyle w:val="SubTitleLargeTable"/>
              <w:pBdr>
                <w:top w:val="none" w:sz="0" w:space="0" w:color="auto"/>
              </w:pBdr>
              <w:rPr>
                <w:rFonts w:ascii="宋体" w:eastAsia="宋体" w:hAnsi="宋体"/>
                <w:b w:val="0"/>
                <w:color w:val="FF6600"/>
              </w:rPr>
            </w:pPr>
            <w:r w:rsidRPr="00656031">
              <w:rPr>
                <w:rFonts w:hint="eastAsia"/>
                <w:color w:val="FF6600"/>
              </w:rPr>
              <w:t>图表</w:t>
            </w:r>
            <w:r w:rsidRPr="00656031">
              <w:rPr>
                <w:color w:val="FF6600"/>
              </w:rPr>
              <w:t>1</w:t>
            </w:r>
            <w:r w:rsidRPr="00656031">
              <w:rPr>
                <w:rFonts w:hint="eastAsia"/>
                <w:color w:val="FF6600"/>
              </w:rPr>
              <w:t>：</w:t>
            </w:r>
            <w:r>
              <w:rPr>
                <w:rFonts w:hint="eastAsia"/>
                <w:color w:val="FF6600"/>
              </w:rPr>
              <w:t>部分债券型基金组合久期及收益分布图</w:t>
            </w:r>
          </w:p>
        </w:tc>
      </w:tr>
      <w:tr w:rsidR="00BB50AB" w:rsidRPr="00024C9F" w:rsidTr="00FC6A6F">
        <w:trPr>
          <w:cantSplit/>
          <w:trHeight w:val="3169"/>
        </w:trPr>
        <w:tc>
          <w:tcPr>
            <w:tcW w:w="7442" w:type="dxa"/>
            <w:vAlign w:val="center"/>
          </w:tcPr>
          <w:p w:rsidR="00BB50AB" w:rsidRPr="00024C9F" w:rsidRDefault="00BB50AB" w:rsidP="00FC6A6F">
            <w:pPr>
              <w:snapToGrid w:val="0"/>
              <w:spacing w:line="10" w:lineRule="atLeast"/>
              <w:jc w:val="center"/>
              <w:rPr>
                <w:rFonts w:ascii="宋体"/>
                <w:b/>
              </w:rPr>
            </w:pPr>
            <w:r w:rsidRPr="00024C9F">
              <w:rPr>
                <w:rFonts w:ascii="宋体"/>
                <w:b/>
                <w:noProof/>
              </w:rPr>
              <w:pict>
                <v:shape id="图片 10" o:spid="_x0000_i1045" type="#_x0000_t75" style="width:279pt;height:169.5pt;visibility:visible">
                  <v:imagedata r:id="rId9" o:title=""/>
                </v:shape>
              </w:pict>
            </w:r>
          </w:p>
        </w:tc>
      </w:tr>
    </w:tbl>
    <w:p w:rsidR="00BB50AB" w:rsidRPr="00656031" w:rsidRDefault="00BB50AB" w:rsidP="00C956C8">
      <w:pPr>
        <w:pStyle w:val="FootnoteNoline"/>
        <w:rPr>
          <w:color w:val="FF6600"/>
        </w:rPr>
      </w:pPr>
      <w:r w:rsidRPr="00656031">
        <w:rPr>
          <w:rFonts w:hint="eastAsia"/>
          <w:color w:val="FF6600"/>
        </w:rPr>
        <w:t>来源：凯石财富工场</w:t>
      </w:r>
    </w:p>
    <w:p w:rsidR="00BB50AB" w:rsidRPr="00F67427" w:rsidRDefault="00BB50AB" w:rsidP="00E63F68">
      <w:pPr>
        <w:widowControl/>
        <w:spacing w:after="120"/>
        <w:ind w:left="3430"/>
        <w:rPr>
          <w:rFonts w:ascii="Arial" w:eastAsia="楷体_GB2312" w:hAnsi="Arial"/>
          <w:b/>
          <w:bCs/>
          <w:color w:val="0070C0"/>
          <w:kern w:val="0"/>
          <w:szCs w:val="21"/>
          <w:lang w:val="en-GB"/>
        </w:rPr>
      </w:pPr>
      <w:r>
        <w:rPr>
          <w:rFonts w:ascii="Arial" w:eastAsia="楷体_GB2312" w:hAnsi="Arial" w:hint="eastAsia"/>
          <w:b/>
          <w:bCs/>
          <w:color w:val="0070C0"/>
          <w:kern w:val="0"/>
          <w:szCs w:val="21"/>
          <w:lang w:val="en-GB"/>
        </w:rPr>
        <w:t>债券</w:t>
      </w:r>
      <w:r w:rsidRPr="00F67427">
        <w:rPr>
          <w:rFonts w:ascii="Arial" w:eastAsia="楷体_GB2312" w:hAnsi="Arial" w:hint="eastAsia"/>
          <w:b/>
          <w:bCs/>
          <w:color w:val="0070C0"/>
          <w:kern w:val="0"/>
          <w:szCs w:val="21"/>
          <w:lang w:val="en-GB"/>
        </w:rPr>
        <w:t>类别：</w:t>
      </w:r>
      <w:r>
        <w:rPr>
          <w:rFonts w:ascii="Arial" w:eastAsia="楷体_GB2312" w:hAnsi="Arial" w:hint="eastAsia"/>
          <w:b/>
          <w:bCs/>
          <w:color w:val="0070C0"/>
          <w:kern w:val="0"/>
          <w:szCs w:val="21"/>
          <w:lang w:val="en-GB"/>
        </w:rPr>
        <w:t>关注高等级信用类品种</w:t>
      </w:r>
      <w:r w:rsidRPr="00F67427">
        <w:rPr>
          <w:rFonts w:ascii="Arial" w:eastAsia="楷体_GB2312" w:hAnsi="Arial" w:hint="eastAsia"/>
          <w:b/>
          <w:bCs/>
          <w:color w:val="0070C0"/>
          <w:kern w:val="0"/>
          <w:szCs w:val="21"/>
          <w:lang w:val="en-GB"/>
        </w:rPr>
        <w:t>，</w:t>
      </w:r>
      <w:r>
        <w:rPr>
          <w:rFonts w:ascii="Arial" w:eastAsia="楷体_GB2312" w:hAnsi="Arial" w:hint="eastAsia"/>
          <w:b/>
          <w:bCs/>
          <w:color w:val="0070C0"/>
          <w:kern w:val="0"/>
          <w:szCs w:val="21"/>
          <w:lang w:val="en-GB"/>
        </w:rPr>
        <w:t>择机把握利率债及短融投资机会</w:t>
      </w:r>
      <w:r w:rsidRPr="00F67427">
        <w:rPr>
          <w:rFonts w:ascii="Arial" w:eastAsia="楷体_GB2312" w:hAnsi="Arial"/>
          <w:b/>
          <w:bCs/>
          <w:color w:val="0070C0"/>
          <w:kern w:val="0"/>
          <w:szCs w:val="21"/>
          <w:lang w:val="en-GB"/>
        </w:rPr>
        <w:t xml:space="preserve"> </w:t>
      </w:r>
    </w:p>
    <w:p w:rsidR="00BB50AB" w:rsidRDefault="00BB50AB" w:rsidP="006866F1">
      <w:pPr>
        <w:pStyle w:val="BodyText"/>
        <w:numPr>
          <w:ilvl w:val="4"/>
          <w:numId w:val="1"/>
        </w:numPr>
        <w:spacing w:after="163"/>
        <w:rPr>
          <w:color w:val="auto"/>
        </w:rPr>
      </w:pPr>
      <w:r w:rsidRPr="00E2226A">
        <w:rPr>
          <w:rFonts w:hint="eastAsia"/>
          <w:b/>
          <w:color w:val="auto"/>
        </w:rPr>
        <w:t>四季度首选高等级信用品种。</w:t>
      </w:r>
      <w:r w:rsidRPr="002713F3">
        <w:rPr>
          <w:rFonts w:hint="eastAsia"/>
          <w:color w:val="auto"/>
        </w:rPr>
        <w:t>银行理财的急剧扩张已经</w:t>
      </w:r>
      <w:r>
        <w:rPr>
          <w:rFonts w:hint="eastAsia"/>
          <w:color w:val="auto"/>
        </w:rPr>
        <w:t>基本改变了债券市场的投资者结构，</w:t>
      </w:r>
      <w:r w:rsidRPr="002713F3">
        <w:rPr>
          <w:rFonts w:hint="eastAsia"/>
          <w:color w:val="auto"/>
        </w:rPr>
        <w:t>根据理财市场报告，</w:t>
      </w:r>
      <w:r>
        <w:rPr>
          <w:color w:val="auto"/>
        </w:rPr>
        <w:t>20</w:t>
      </w:r>
      <w:r w:rsidRPr="002713F3">
        <w:rPr>
          <w:color w:val="auto"/>
        </w:rPr>
        <w:t>14</w:t>
      </w:r>
      <w:r w:rsidRPr="002713F3">
        <w:rPr>
          <w:rFonts w:hint="eastAsia"/>
          <w:color w:val="auto"/>
        </w:rPr>
        <w:t>年</w:t>
      </w:r>
      <w:r>
        <w:rPr>
          <w:rFonts w:hint="eastAsia"/>
          <w:color w:val="auto"/>
        </w:rPr>
        <w:t>年中</w:t>
      </w:r>
      <w:r w:rsidRPr="002713F3">
        <w:rPr>
          <w:rFonts w:hint="eastAsia"/>
          <w:color w:val="auto"/>
        </w:rPr>
        <w:t>银行理财的规模已接近</w:t>
      </w:r>
      <w:r w:rsidRPr="002713F3">
        <w:rPr>
          <w:color w:val="auto"/>
        </w:rPr>
        <w:t>13</w:t>
      </w:r>
      <w:r w:rsidRPr="002713F3">
        <w:rPr>
          <w:rFonts w:hint="eastAsia"/>
          <w:color w:val="auto"/>
        </w:rPr>
        <w:t>万亿，增长迅速</w:t>
      </w:r>
      <w:r>
        <w:rPr>
          <w:rFonts w:hint="eastAsia"/>
          <w:color w:val="auto"/>
        </w:rPr>
        <w:t>，预计未来几个月，银行理财将会成为债券需求的主体。在监管层对银行体系非标资产进行压缩的前提下，理财资金对于债券的配置需求有所增强，而且时至年末银行理财也存在冲规模的冲动，因而这种需求也有望被放大。从理财产品的投资偏好来看，其对于收益的要求使得在高收益信用债的配置上往往集中度较高，特别是对安全性相对较高的城投债、短融等等偏好明显。而且，从信用风险上来看，目前尚不具备全面爆发的可能，个别的信用事件基本都可以通过事前的风险防范进行规避，高评级的信用债仍具备投资价值。因此，从投资主体的需求和风险控制的角度来考虑，我们认为四季度高评级信用债投资机会有望延续，落实到基金上，建议关注此类品种投资比例较高的产品。</w:t>
      </w:r>
    </w:p>
    <w:p w:rsidR="00BB50AB" w:rsidRPr="00C54BE3" w:rsidRDefault="00BB50AB" w:rsidP="00C54BE3">
      <w:pPr>
        <w:pStyle w:val="BodyText"/>
        <w:numPr>
          <w:ilvl w:val="4"/>
          <w:numId w:val="1"/>
        </w:numPr>
        <w:spacing w:after="163"/>
        <w:rPr>
          <w:color w:val="auto"/>
        </w:rPr>
      </w:pPr>
      <w:r w:rsidRPr="00DC356F">
        <w:rPr>
          <w:rFonts w:hint="eastAsia"/>
          <w:b/>
          <w:color w:val="auto"/>
        </w:rPr>
        <w:t>把握利率债及短融的介入时点。</w:t>
      </w:r>
      <w:r>
        <w:rPr>
          <w:rFonts w:hint="eastAsia"/>
          <w:color w:val="auto"/>
        </w:rPr>
        <w:t>短期内，利率走势在资金面的供需双方力量较量中波动在所难免，但是从大周期的角度来看，当前利率已经开始步入了下行的通道，政府降低社会融资成本的要求以及央行的货币政策均给出了这一引导方向。四季度如果宽松的货币环境能够得以保持，那么将会对利率债构成一定的支撑。另外，历史经验表明，短融这类短期债券品种年初时</w:t>
      </w:r>
      <w:r w:rsidRPr="00E21CED">
        <w:rPr>
          <w:rFonts w:hint="eastAsia"/>
          <w:color w:val="auto"/>
        </w:rPr>
        <w:t>收益下行幅度</w:t>
      </w:r>
      <w:r>
        <w:rPr>
          <w:rFonts w:hint="eastAsia"/>
          <w:color w:val="auto"/>
        </w:rPr>
        <w:t>较为可观。落实到基金投资上，建议投资者在重点关注高等级信用债的同时，择机通过投资利率债比例较高的债券型基金品种把握利率债机会，等到年末时，根据自身的投资偏好，考虑</w:t>
      </w:r>
      <w:r w:rsidRPr="00E21CED">
        <w:rPr>
          <w:rFonts w:hint="eastAsia"/>
          <w:color w:val="auto"/>
        </w:rPr>
        <w:t>介入</w:t>
      </w:r>
      <w:r>
        <w:rPr>
          <w:rFonts w:hint="eastAsia"/>
          <w:color w:val="auto"/>
        </w:rPr>
        <w:t>短融配置比例较高的基金，进行提前布局</w:t>
      </w:r>
      <w:r w:rsidRPr="00E21CED">
        <w:rPr>
          <w:rFonts w:hint="eastAsia"/>
          <w:color w:val="auto"/>
        </w:rPr>
        <w:t>。</w:t>
      </w:r>
    </w:p>
    <w:tbl>
      <w:tblPr>
        <w:tblW w:w="7442" w:type="dxa"/>
        <w:tblInd w:w="340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1418"/>
        <w:gridCol w:w="1062"/>
        <w:gridCol w:w="1206"/>
        <w:gridCol w:w="142"/>
        <w:gridCol w:w="1417"/>
        <w:gridCol w:w="1134"/>
        <w:gridCol w:w="1063"/>
      </w:tblGrid>
      <w:tr w:rsidR="00BB50AB" w:rsidRPr="00024C9F" w:rsidTr="000F3977">
        <w:trPr>
          <w:cantSplit/>
          <w:trHeight w:val="65"/>
        </w:trPr>
        <w:tc>
          <w:tcPr>
            <w:tcW w:w="7442" w:type="dxa"/>
            <w:gridSpan w:val="7"/>
            <w:vAlign w:val="center"/>
          </w:tcPr>
          <w:p w:rsidR="00BB50AB" w:rsidRPr="00656031" w:rsidRDefault="00BB50AB" w:rsidP="000F3977">
            <w:pPr>
              <w:pStyle w:val="SubTitleLargeTable"/>
              <w:pBdr>
                <w:top w:val="none" w:sz="0" w:space="0" w:color="auto"/>
              </w:pBdr>
              <w:rPr>
                <w:rFonts w:ascii="宋体" w:eastAsia="宋体" w:hAnsi="宋体"/>
                <w:b w:val="0"/>
                <w:color w:val="FF6600"/>
              </w:rPr>
            </w:pPr>
            <w:r w:rsidRPr="00656031">
              <w:rPr>
                <w:rFonts w:hint="eastAsia"/>
                <w:color w:val="FF6600"/>
              </w:rPr>
              <w:t>图表</w:t>
            </w:r>
            <w:r>
              <w:rPr>
                <w:color w:val="FF6600"/>
              </w:rPr>
              <w:t>2</w:t>
            </w:r>
            <w:r w:rsidRPr="00656031">
              <w:rPr>
                <w:rFonts w:hint="eastAsia"/>
                <w:color w:val="FF6600"/>
              </w:rPr>
              <w:t>：</w:t>
            </w:r>
            <w:r>
              <w:rPr>
                <w:color w:val="FF6600"/>
              </w:rPr>
              <w:t>2014</w:t>
            </w:r>
            <w:r>
              <w:rPr>
                <w:rFonts w:hint="eastAsia"/>
                <w:color w:val="FF6600"/>
              </w:rPr>
              <w:t>年二季度信用债、利率债配置比例较高的基金品种</w:t>
            </w:r>
          </w:p>
        </w:tc>
      </w:tr>
      <w:tr w:rsidR="00BB50AB" w:rsidRPr="00024C9F" w:rsidTr="00C54BE3">
        <w:trPr>
          <w:cantSplit/>
          <w:trHeight w:val="221"/>
        </w:trPr>
        <w:tc>
          <w:tcPr>
            <w:tcW w:w="1418" w:type="dxa"/>
            <w:tcBorders>
              <w:right w:val="single" w:sz="6" w:space="0" w:color="FF6600"/>
            </w:tcBorders>
            <w:vAlign w:val="center"/>
          </w:tcPr>
          <w:p w:rsidR="00BB50AB" w:rsidRPr="00024C9F" w:rsidRDefault="00BB50AB" w:rsidP="00F95320">
            <w:pPr>
              <w:snapToGrid w:val="0"/>
              <w:spacing w:line="10" w:lineRule="atLeast"/>
              <w:jc w:val="center"/>
              <w:rPr>
                <w:rFonts w:ascii="宋体"/>
                <w:b/>
                <w:sz w:val="15"/>
                <w:szCs w:val="15"/>
              </w:rPr>
            </w:pPr>
            <w:r w:rsidRPr="00024C9F">
              <w:rPr>
                <w:rFonts w:ascii="宋体" w:hAnsi="宋体" w:hint="eastAsia"/>
                <w:b/>
                <w:sz w:val="15"/>
                <w:szCs w:val="15"/>
              </w:rPr>
              <w:t>名称</w:t>
            </w:r>
          </w:p>
        </w:tc>
        <w:tc>
          <w:tcPr>
            <w:tcW w:w="1062" w:type="dxa"/>
            <w:tcBorders>
              <w:left w:val="single" w:sz="6" w:space="0" w:color="FF6600"/>
              <w:right w:val="single" w:sz="6" w:space="0" w:color="FF6600"/>
            </w:tcBorders>
            <w:vAlign w:val="center"/>
          </w:tcPr>
          <w:p w:rsidR="00BB50AB" w:rsidRPr="00024C9F" w:rsidRDefault="00BB50AB" w:rsidP="00F95320">
            <w:pPr>
              <w:snapToGrid w:val="0"/>
              <w:spacing w:line="10" w:lineRule="atLeast"/>
              <w:jc w:val="center"/>
              <w:rPr>
                <w:rFonts w:ascii="宋体"/>
                <w:b/>
                <w:sz w:val="15"/>
                <w:szCs w:val="15"/>
              </w:rPr>
            </w:pPr>
            <w:r w:rsidRPr="00024C9F">
              <w:rPr>
                <w:rFonts w:ascii="宋体" w:hAnsi="宋体" w:hint="eastAsia"/>
                <w:b/>
                <w:sz w:val="15"/>
                <w:szCs w:val="15"/>
              </w:rPr>
              <w:t>代码</w:t>
            </w:r>
          </w:p>
        </w:tc>
        <w:tc>
          <w:tcPr>
            <w:tcW w:w="1206" w:type="dxa"/>
            <w:tcBorders>
              <w:left w:val="single" w:sz="6" w:space="0" w:color="FF6600"/>
              <w:right w:val="single" w:sz="6" w:space="0" w:color="FF6600"/>
            </w:tcBorders>
            <w:vAlign w:val="center"/>
          </w:tcPr>
          <w:p w:rsidR="00BB50AB" w:rsidRPr="00024C9F" w:rsidRDefault="00BB50AB" w:rsidP="00F95320">
            <w:pPr>
              <w:snapToGrid w:val="0"/>
              <w:spacing w:line="10" w:lineRule="atLeast"/>
              <w:jc w:val="center"/>
              <w:rPr>
                <w:rFonts w:ascii="宋体"/>
                <w:b/>
                <w:sz w:val="15"/>
                <w:szCs w:val="15"/>
              </w:rPr>
            </w:pPr>
            <w:r w:rsidRPr="00024C9F">
              <w:rPr>
                <w:rFonts w:ascii="宋体" w:hAnsi="宋体" w:hint="eastAsia"/>
                <w:b/>
                <w:sz w:val="15"/>
                <w:szCs w:val="15"/>
              </w:rPr>
              <w:t>信用债占资产净值比例</w:t>
            </w:r>
          </w:p>
        </w:tc>
        <w:tc>
          <w:tcPr>
            <w:tcW w:w="142" w:type="dxa"/>
            <w:vMerge w:val="restart"/>
            <w:tcBorders>
              <w:left w:val="single" w:sz="6" w:space="0" w:color="FF6600"/>
              <w:right w:val="single" w:sz="6" w:space="0" w:color="FF6600"/>
            </w:tcBorders>
            <w:vAlign w:val="center"/>
          </w:tcPr>
          <w:p w:rsidR="00BB50AB" w:rsidRPr="00024C9F" w:rsidRDefault="00BB50AB" w:rsidP="009555FD">
            <w:pPr>
              <w:jc w:val="center"/>
              <w:rPr>
                <w:rFonts w:ascii="宋体"/>
                <w:b/>
                <w:sz w:val="15"/>
                <w:szCs w:val="15"/>
              </w:rPr>
            </w:pPr>
          </w:p>
        </w:tc>
        <w:tc>
          <w:tcPr>
            <w:tcW w:w="1417" w:type="dxa"/>
            <w:tcBorders>
              <w:left w:val="single" w:sz="6" w:space="0" w:color="FF6600"/>
              <w:right w:val="single" w:sz="6" w:space="0" w:color="FF6600"/>
            </w:tcBorders>
            <w:vAlign w:val="center"/>
          </w:tcPr>
          <w:p w:rsidR="00BB50AB" w:rsidRPr="00024C9F" w:rsidRDefault="00BB50AB" w:rsidP="00F95320">
            <w:pPr>
              <w:snapToGrid w:val="0"/>
              <w:spacing w:line="10" w:lineRule="atLeast"/>
              <w:jc w:val="center"/>
              <w:rPr>
                <w:rFonts w:ascii="宋体"/>
                <w:b/>
                <w:sz w:val="15"/>
                <w:szCs w:val="15"/>
              </w:rPr>
            </w:pPr>
            <w:r w:rsidRPr="00024C9F">
              <w:rPr>
                <w:rFonts w:ascii="宋体" w:hAnsi="宋体" w:hint="eastAsia"/>
                <w:b/>
                <w:sz w:val="15"/>
                <w:szCs w:val="15"/>
              </w:rPr>
              <w:t>名称</w:t>
            </w:r>
          </w:p>
        </w:tc>
        <w:tc>
          <w:tcPr>
            <w:tcW w:w="1134" w:type="dxa"/>
            <w:tcBorders>
              <w:left w:val="single" w:sz="6" w:space="0" w:color="FF6600"/>
              <w:right w:val="single" w:sz="6" w:space="0" w:color="FF6600"/>
            </w:tcBorders>
            <w:vAlign w:val="center"/>
          </w:tcPr>
          <w:p w:rsidR="00BB50AB" w:rsidRPr="00024C9F" w:rsidRDefault="00BB50AB" w:rsidP="00F95320">
            <w:pPr>
              <w:snapToGrid w:val="0"/>
              <w:spacing w:line="10" w:lineRule="atLeast"/>
              <w:jc w:val="center"/>
              <w:rPr>
                <w:rFonts w:ascii="宋体"/>
                <w:b/>
                <w:sz w:val="15"/>
                <w:szCs w:val="15"/>
              </w:rPr>
            </w:pPr>
            <w:r w:rsidRPr="00024C9F">
              <w:rPr>
                <w:rFonts w:ascii="宋体" w:hAnsi="宋体" w:hint="eastAsia"/>
                <w:b/>
                <w:sz w:val="15"/>
                <w:szCs w:val="15"/>
              </w:rPr>
              <w:t>代码</w:t>
            </w:r>
          </w:p>
        </w:tc>
        <w:tc>
          <w:tcPr>
            <w:tcW w:w="1063" w:type="dxa"/>
            <w:tcBorders>
              <w:left w:val="single" w:sz="6" w:space="0" w:color="FF6600"/>
            </w:tcBorders>
            <w:vAlign w:val="center"/>
          </w:tcPr>
          <w:p w:rsidR="00BB50AB" w:rsidRPr="00024C9F" w:rsidRDefault="00BB50AB" w:rsidP="00F95320">
            <w:pPr>
              <w:snapToGrid w:val="0"/>
              <w:spacing w:line="10" w:lineRule="atLeast"/>
              <w:jc w:val="center"/>
              <w:rPr>
                <w:rFonts w:ascii="宋体"/>
                <w:b/>
                <w:sz w:val="15"/>
                <w:szCs w:val="15"/>
              </w:rPr>
            </w:pPr>
            <w:r w:rsidRPr="00024C9F">
              <w:rPr>
                <w:rFonts w:ascii="宋体" w:hAnsi="宋体" w:hint="eastAsia"/>
                <w:b/>
                <w:sz w:val="15"/>
                <w:szCs w:val="15"/>
              </w:rPr>
              <w:t>利率债占资产净值比例</w:t>
            </w:r>
          </w:p>
        </w:tc>
      </w:tr>
      <w:tr w:rsidR="00BB50AB" w:rsidRPr="00024C9F" w:rsidTr="00C54BE3">
        <w:trPr>
          <w:cantSplit/>
          <w:trHeight w:val="221"/>
        </w:trPr>
        <w:tc>
          <w:tcPr>
            <w:tcW w:w="1418" w:type="dxa"/>
            <w:tcBorders>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银华双利</w:t>
            </w:r>
            <w:r w:rsidRPr="00024C9F">
              <w:rPr>
                <w:color w:val="000000"/>
                <w:sz w:val="15"/>
                <w:szCs w:val="15"/>
              </w:rPr>
              <w:t>A</w:t>
            </w:r>
          </w:p>
        </w:tc>
        <w:tc>
          <w:tcPr>
            <w:tcW w:w="1062"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180025</w:t>
            </w:r>
          </w:p>
        </w:tc>
        <w:tc>
          <w:tcPr>
            <w:tcW w:w="1206"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178.51%</w:t>
            </w:r>
          </w:p>
        </w:tc>
        <w:tc>
          <w:tcPr>
            <w:tcW w:w="142" w:type="dxa"/>
            <w:vMerge/>
            <w:tcBorders>
              <w:left w:val="single" w:sz="6" w:space="0" w:color="FF6600"/>
              <w:right w:val="single" w:sz="6" w:space="0" w:color="FF6600"/>
            </w:tcBorders>
            <w:vAlign w:val="center"/>
          </w:tcPr>
          <w:p w:rsidR="00BB50AB" w:rsidRPr="0024521E" w:rsidRDefault="00BB50AB" w:rsidP="009555FD">
            <w:pPr>
              <w:jc w:val="center"/>
              <w:rPr>
                <w:rFonts w:ascii="宋体" w:cs="宋体"/>
                <w:color w:val="000000"/>
                <w:sz w:val="15"/>
                <w:szCs w:val="15"/>
              </w:rPr>
            </w:pPr>
          </w:p>
        </w:tc>
        <w:tc>
          <w:tcPr>
            <w:tcW w:w="1417"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南方</w:t>
            </w:r>
            <w:r w:rsidRPr="00024C9F">
              <w:rPr>
                <w:color w:val="000000"/>
                <w:sz w:val="15"/>
                <w:szCs w:val="15"/>
              </w:rPr>
              <w:t>50A</w:t>
            </w:r>
          </w:p>
        </w:tc>
        <w:tc>
          <w:tcPr>
            <w:tcW w:w="1134"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160123</w:t>
            </w:r>
          </w:p>
        </w:tc>
        <w:tc>
          <w:tcPr>
            <w:tcW w:w="1063" w:type="dxa"/>
            <w:tcBorders>
              <w:lef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96.41%</w:t>
            </w:r>
          </w:p>
        </w:tc>
      </w:tr>
      <w:tr w:rsidR="00BB50AB" w:rsidRPr="00024C9F" w:rsidTr="00C54BE3">
        <w:trPr>
          <w:cantSplit/>
          <w:trHeight w:val="221"/>
        </w:trPr>
        <w:tc>
          <w:tcPr>
            <w:tcW w:w="1418" w:type="dxa"/>
            <w:tcBorders>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广发聚利</w:t>
            </w:r>
          </w:p>
        </w:tc>
        <w:tc>
          <w:tcPr>
            <w:tcW w:w="1062"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162712</w:t>
            </w:r>
          </w:p>
        </w:tc>
        <w:tc>
          <w:tcPr>
            <w:tcW w:w="1206"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160.53%</w:t>
            </w:r>
          </w:p>
        </w:tc>
        <w:tc>
          <w:tcPr>
            <w:tcW w:w="142" w:type="dxa"/>
            <w:vMerge/>
            <w:tcBorders>
              <w:left w:val="single" w:sz="6" w:space="0" w:color="FF6600"/>
              <w:right w:val="single" w:sz="6" w:space="0" w:color="FF6600"/>
            </w:tcBorders>
            <w:vAlign w:val="center"/>
          </w:tcPr>
          <w:p w:rsidR="00BB50AB" w:rsidRPr="0024521E" w:rsidRDefault="00BB50AB" w:rsidP="009555FD">
            <w:pPr>
              <w:jc w:val="center"/>
              <w:rPr>
                <w:rFonts w:ascii="宋体" w:cs="宋体"/>
                <w:color w:val="000000"/>
                <w:sz w:val="15"/>
                <w:szCs w:val="15"/>
              </w:rPr>
            </w:pPr>
          </w:p>
        </w:tc>
        <w:tc>
          <w:tcPr>
            <w:tcW w:w="1417"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华夏亚债</w:t>
            </w:r>
            <w:r w:rsidRPr="00024C9F">
              <w:rPr>
                <w:color w:val="000000"/>
                <w:sz w:val="15"/>
                <w:szCs w:val="15"/>
              </w:rPr>
              <w:t>A</w:t>
            </w:r>
          </w:p>
        </w:tc>
        <w:tc>
          <w:tcPr>
            <w:tcW w:w="1134"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001021</w:t>
            </w:r>
          </w:p>
        </w:tc>
        <w:tc>
          <w:tcPr>
            <w:tcW w:w="1063" w:type="dxa"/>
            <w:tcBorders>
              <w:lef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92.20%</w:t>
            </w:r>
          </w:p>
        </w:tc>
      </w:tr>
      <w:tr w:rsidR="00BB50AB" w:rsidRPr="00024C9F" w:rsidTr="00C54BE3">
        <w:trPr>
          <w:cantSplit/>
          <w:trHeight w:val="221"/>
        </w:trPr>
        <w:tc>
          <w:tcPr>
            <w:tcW w:w="1418" w:type="dxa"/>
            <w:tcBorders>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融通添利</w:t>
            </w:r>
          </w:p>
        </w:tc>
        <w:tc>
          <w:tcPr>
            <w:tcW w:w="1062"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161614</w:t>
            </w:r>
          </w:p>
        </w:tc>
        <w:tc>
          <w:tcPr>
            <w:tcW w:w="1206"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200.69%</w:t>
            </w:r>
          </w:p>
        </w:tc>
        <w:tc>
          <w:tcPr>
            <w:tcW w:w="142" w:type="dxa"/>
            <w:vMerge/>
            <w:tcBorders>
              <w:left w:val="single" w:sz="6" w:space="0" w:color="FF6600"/>
              <w:right w:val="single" w:sz="6" w:space="0" w:color="FF6600"/>
            </w:tcBorders>
            <w:vAlign w:val="center"/>
          </w:tcPr>
          <w:p w:rsidR="00BB50AB" w:rsidRPr="0024521E" w:rsidRDefault="00BB50AB" w:rsidP="009555FD">
            <w:pPr>
              <w:jc w:val="center"/>
              <w:rPr>
                <w:rFonts w:ascii="宋体" w:cs="宋体"/>
                <w:color w:val="000000"/>
                <w:sz w:val="15"/>
                <w:szCs w:val="15"/>
              </w:rPr>
            </w:pPr>
          </w:p>
        </w:tc>
        <w:tc>
          <w:tcPr>
            <w:tcW w:w="1417"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上投回报</w:t>
            </w:r>
            <w:r w:rsidRPr="00024C9F">
              <w:rPr>
                <w:color w:val="000000"/>
                <w:sz w:val="15"/>
                <w:szCs w:val="15"/>
              </w:rPr>
              <w:t>A</w:t>
            </w:r>
          </w:p>
        </w:tc>
        <w:tc>
          <w:tcPr>
            <w:tcW w:w="1134"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372010</w:t>
            </w:r>
          </w:p>
        </w:tc>
        <w:tc>
          <w:tcPr>
            <w:tcW w:w="1063" w:type="dxa"/>
            <w:tcBorders>
              <w:lef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78.47%</w:t>
            </w:r>
          </w:p>
        </w:tc>
      </w:tr>
      <w:tr w:rsidR="00BB50AB" w:rsidRPr="00024C9F" w:rsidTr="00C54BE3">
        <w:trPr>
          <w:cantSplit/>
          <w:trHeight w:val="221"/>
        </w:trPr>
        <w:tc>
          <w:tcPr>
            <w:tcW w:w="1418" w:type="dxa"/>
            <w:tcBorders>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中银信用</w:t>
            </w:r>
          </w:p>
        </w:tc>
        <w:tc>
          <w:tcPr>
            <w:tcW w:w="1062"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163819</w:t>
            </w:r>
          </w:p>
        </w:tc>
        <w:tc>
          <w:tcPr>
            <w:tcW w:w="1206"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151.90%</w:t>
            </w:r>
          </w:p>
        </w:tc>
        <w:tc>
          <w:tcPr>
            <w:tcW w:w="142" w:type="dxa"/>
            <w:vMerge/>
            <w:tcBorders>
              <w:left w:val="single" w:sz="6" w:space="0" w:color="FF6600"/>
              <w:right w:val="single" w:sz="6" w:space="0" w:color="FF6600"/>
            </w:tcBorders>
            <w:vAlign w:val="center"/>
          </w:tcPr>
          <w:p w:rsidR="00BB50AB" w:rsidRPr="0024521E" w:rsidRDefault="00BB50AB" w:rsidP="009555FD">
            <w:pPr>
              <w:jc w:val="center"/>
              <w:rPr>
                <w:rFonts w:ascii="宋体" w:cs="宋体"/>
                <w:color w:val="000000"/>
                <w:sz w:val="15"/>
                <w:szCs w:val="15"/>
              </w:rPr>
            </w:pPr>
          </w:p>
        </w:tc>
        <w:tc>
          <w:tcPr>
            <w:tcW w:w="1417"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天治收益</w:t>
            </w:r>
          </w:p>
        </w:tc>
        <w:tc>
          <w:tcPr>
            <w:tcW w:w="1134"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350009</w:t>
            </w:r>
          </w:p>
        </w:tc>
        <w:tc>
          <w:tcPr>
            <w:tcW w:w="1063" w:type="dxa"/>
            <w:tcBorders>
              <w:lef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67.48%</w:t>
            </w:r>
          </w:p>
        </w:tc>
      </w:tr>
      <w:tr w:rsidR="00BB50AB" w:rsidRPr="00024C9F" w:rsidTr="00C54BE3">
        <w:trPr>
          <w:cantSplit/>
          <w:trHeight w:val="221"/>
        </w:trPr>
        <w:tc>
          <w:tcPr>
            <w:tcW w:w="1418" w:type="dxa"/>
            <w:tcBorders>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广发聚财</w:t>
            </w:r>
            <w:r w:rsidRPr="00024C9F">
              <w:rPr>
                <w:color w:val="000000"/>
                <w:sz w:val="15"/>
                <w:szCs w:val="15"/>
              </w:rPr>
              <w:t>A</w:t>
            </w:r>
          </w:p>
        </w:tc>
        <w:tc>
          <w:tcPr>
            <w:tcW w:w="1062"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270029</w:t>
            </w:r>
          </w:p>
        </w:tc>
        <w:tc>
          <w:tcPr>
            <w:tcW w:w="1206"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156.33%</w:t>
            </w:r>
          </w:p>
        </w:tc>
        <w:tc>
          <w:tcPr>
            <w:tcW w:w="142" w:type="dxa"/>
            <w:vMerge/>
            <w:tcBorders>
              <w:left w:val="single" w:sz="6" w:space="0" w:color="FF6600"/>
              <w:right w:val="single" w:sz="6" w:space="0" w:color="FF6600"/>
            </w:tcBorders>
            <w:vAlign w:val="center"/>
          </w:tcPr>
          <w:p w:rsidR="00BB50AB" w:rsidRPr="0024521E" w:rsidRDefault="00BB50AB" w:rsidP="009555FD">
            <w:pPr>
              <w:jc w:val="center"/>
              <w:rPr>
                <w:rFonts w:ascii="宋体" w:cs="宋体"/>
                <w:color w:val="000000"/>
                <w:sz w:val="15"/>
                <w:szCs w:val="15"/>
              </w:rPr>
            </w:pPr>
          </w:p>
        </w:tc>
        <w:tc>
          <w:tcPr>
            <w:tcW w:w="1417"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纽银双利</w:t>
            </w:r>
            <w:r w:rsidRPr="00024C9F">
              <w:rPr>
                <w:color w:val="000000"/>
                <w:sz w:val="15"/>
                <w:szCs w:val="15"/>
              </w:rPr>
              <w:t>A</w:t>
            </w:r>
          </w:p>
        </w:tc>
        <w:tc>
          <w:tcPr>
            <w:tcW w:w="1134"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675011</w:t>
            </w:r>
          </w:p>
        </w:tc>
        <w:tc>
          <w:tcPr>
            <w:tcW w:w="1063" w:type="dxa"/>
            <w:tcBorders>
              <w:lef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99.87%</w:t>
            </w:r>
          </w:p>
        </w:tc>
      </w:tr>
      <w:tr w:rsidR="00BB50AB" w:rsidRPr="00024C9F" w:rsidTr="00C54BE3">
        <w:trPr>
          <w:cantSplit/>
          <w:trHeight w:val="221"/>
        </w:trPr>
        <w:tc>
          <w:tcPr>
            <w:tcW w:w="1418" w:type="dxa"/>
            <w:tcBorders>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民生增利</w:t>
            </w:r>
          </w:p>
        </w:tc>
        <w:tc>
          <w:tcPr>
            <w:tcW w:w="1062"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166902</w:t>
            </w:r>
          </w:p>
        </w:tc>
        <w:tc>
          <w:tcPr>
            <w:tcW w:w="1206"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171.15%</w:t>
            </w:r>
          </w:p>
        </w:tc>
        <w:tc>
          <w:tcPr>
            <w:tcW w:w="142" w:type="dxa"/>
            <w:vMerge/>
            <w:tcBorders>
              <w:left w:val="single" w:sz="6" w:space="0" w:color="FF6600"/>
              <w:right w:val="single" w:sz="6" w:space="0" w:color="FF6600"/>
            </w:tcBorders>
            <w:vAlign w:val="center"/>
          </w:tcPr>
          <w:p w:rsidR="00BB50AB" w:rsidRPr="0024521E" w:rsidRDefault="00BB50AB" w:rsidP="009555FD">
            <w:pPr>
              <w:jc w:val="center"/>
              <w:rPr>
                <w:rFonts w:ascii="宋体" w:cs="宋体"/>
                <w:color w:val="000000"/>
                <w:sz w:val="15"/>
                <w:szCs w:val="15"/>
              </w:rPr>
            </w:pPr>
          </w:p>
        </w:tc>
        <w:tc>
          <w:tcPr>
            <w:tcW w:w="1417"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平安大华添利债</w:t>
            </w:r>
            <w:r w:rsidRPr="00024C9F">
              <w:rPr>
                <w:color w:val="000000"/>
                <w:sz w:val="15"/>
                <w:szCs w:val="15"/>
              </w:rPr>
              <w:t>A</w:t>
            </w:r>
          </w:p>
        </w:tc>
        <w:tc>
          <w:tcPr>
            <w:tcW w:w="1134"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700005</w:t>
            </w:r>
          </w:p>
        </w:tc>
        <w:tc>
          <w:tcPr>
            <w:tcW w:w="1063" w:type="dxa"/>
            <w:tcBorders>
              <w:lef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94.86%</w:t>
            </w:r>
          </w:p>
        </w:tc>
      </w:tr>
      <w:tr w:rsidR="00BB50AB" w:rsidRPr="00024C9F" w:rsidTr="00C54BE3">
        <w:trPr>
          <w:cantSplit/>
          <w:trHeight w:val="221"/>
        </w:trPr>
        <w:tc>
          <w:tcPr>
            <w:tcW w:w="1418" w:type="dxa"/>
            <w:tcBorders>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富国强回报</w:t>
            </w:r>
            <w:r w:rsidRPr="00024C9F">
              <w:rPr>
                <w:color w:val="000000"/>
                <w:sz w:val="15"/>
                <w:szCs w:val="15"/>
              </w:rPr>
              <w:t>A</w:t>
            </w:r>
          </w:p>
        </w:tc>
        <w:tc>
          <w:tcPr>
            <w:tcW w:w="1062"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100072</w:t>
            </w:r>
          </w:p>
        </w:tc>
        <w:tc>
          <w:tcPr>
            <w:tcW w:w="1206"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156.13%</w:t>
            </w:r>
          </w:p>
        </w:tc>
        <w:tc>
          <w:tcPr>
            <w:tcW w:w="142" w:type="dxa"/>
            <w:vMerge/>
            <w:tcBorders>
              <w:left w:val="single" w:sz="6" w:space="0" w:color="FF6600"/>
              <w:right w:val="single" w:sz="6" w:space="0" w:color="FF6600"/>
            </w:tcBorders>
            <w:vAlign w:val="center"/>
          </w:tcPr>
          <w:p w:rsidR="00BB50AB" w:rsidRPr="0024521E" w:rsidRDefault="00BB50AB" w:rsidP="009555FD">
            <w:pPr>
              <w:jc w:val="center"/>
              <w:rPr>
                <w:rFonts w:ascii="宋体" w:cs="宋体"/>
                <w:color w:val="000000"/>
                <w:sz w:val="15"/>
                <w:szCs w:val="15"/>
              </w:rPr>
            </w:pPr>
          </w:p>
        </w:tc>
        <w:tc>
          <w:tcPr>
            <w:tcW w:w="1417"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纽银稳增债券</w:t>
            </w:r>
            <w:r w:rsidRPr="00024C9F">
              <w:rPr>
                <w:color w:val="000000"/>
                <w:sz w:val="15"/>
                <w:szCs w:val="15"/>
              </w:rPr>
              <w:t>A</w:t>
            </w:r>
          </w:p>
        </w:tc>
        <w:tc>
          <w:tcPr>
            <w:tcW w:w="1134"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675021</w:t>
            </w:r>
          </w:p>
        </w:tc>
        <w:tc>
          <w:tcPr>
            <w:tcW w:w="1063" w:type="dxa"/>
            <w:tcBorders>
              <w:lef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102.26%</w:t>
            </w:r>
          </w:p>
        </w:tc>
      </w:tr>
      <w:tr w:rsidR="00BB50AB" w:rsidRPr="00024C9F" w:rsidTr="00C54BE3">
        <w:trPr>
          <w:cantSplit/>
          <w:trHeight w:val="221"/>
        </w:trPr>
        <w:tc>
          <w:tcPr>
            <w:tcW w:w="1418" w:type="dxa"/>
            <w:tcBorders>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诺安纯债</w:t>
            </w:r>
          </w:p>
        </w:tc>
        <w:tc>
          <w:tcPr>
            <w:tcW w:w="1062"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163210</w:t>
            </w:r>
          </w:p>
        </w:tc>
        <w:tc>
          <w:tcPr>
            <w:tcW w:w="1206"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164.22%</w:t>
            </w:r>
          </w:p>
        </w:tc>
        <w:tc>
          <w:tcPr>
            <w:tcW w:w="142" w:type="dxa"/>
            <w:vMerge/>
            <w:tcBorders>
              <w:left w:val="single" w:sz="6" w:space="0" w:color="FF6600"/>
              <w:right w:val="single" w:sz="6" w:space="0" w:color="FF6600"/>
            </w:tcBorders>
            <w:vAlign w:val="center"/>
          </w:tcPr>
          <w:p w:rsidR="00BB50AB" w:rsidRPr="0024521E" w:rsidRDefault="00BB50AB" w:rsidP="009555FD">
            <w:pPr>
              <w:jc w:val="center"/>
              <w:rPr>
                <w:rFonts w:ascii="宋体" w:cs="宋体"/>
                <w:color w:val="000000"/>
                <w:sz w:val="15"/>
                <w:szCs w:val="15"/>
              </w:rPr>
            </w:pPr>
          </w:p>
        </w:tc>
        <w:tc>
          <w:tcPr>
            <w:tcW w:w="1417"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国债</w:t>
            </w:r>
            <w:r w:rsidRPr="00024C9F">
              <w:rPr>
                <w:color w:val="000000"/>
                <w:sz w:val="15"/>
                <w:szCs w:val="15"/>
              </w:rPr>
              <w:t>ETF</w:t>
            </w:r>
          </w:p>
        </w:tc>
        <w:tc>
          <w:tcPr>
            <w:tcW w:w="1134"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511010</w:t>
            </w:r>
          </w:p>
        </w:tc>
        <w:tc>
          <w:tcPr>
            <w:tcW w:w="1063" w:type="dxa"/>
            <w:tcBorders>
              <w:lef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96.96%</w:t>
            </w:r>
          </w:p>
        </w:tc>
      </w:tr>
      <w:tr w:rsidR="00BB50AB" w:rsidRPr="00024C9F" w:rsidTr="00C54BE3">
        <w:trPr>
          <w:cantSplit/>
          <w:trHeight w:val="221"/>
        </w:trPr>
        <w:tc>
          <w:tcPr>
            <w:tcW w:w="1418" w:type="dxa"/>
            <w:tcBorders>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安丰</w:t>
            </w:r>
            <w:r w:rsidRPr="00024C9F">
              <w:rPr>
                <w:color w:val="000000"/>
                <w:sz w:val="15"/>
                <w:szCs w:val="15"/>
              </w:rPr>
              <w:t>18</w:t>
            </w:r>
          </w:p>
        </w:tc>
        <w:tc>
          <w:tcPr>
            <w:tcW w:w="1062"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160515</w:t>
            </w:r>
          </w:p>
        </w:tc>
        <w:tc>
          <w:tcPr>
            <w:tcW w:w="1206"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180.84%</w:t>
            </w:r>
          </w:p>
        </w:tc>
        <w:tc>
          <w:tcPr>
            <w:tcW w:w="142" w:type="dxa"/>
            <w:vMerge/>
            <w:tcBorders>
              <w:left w:val="single" w:sz="6" w:space="0" w:color="FF6600"/>
              <w:right w:val="single" w:sz="6" w:space="0" w:color="FF6600"/>
            </w:tcBorders>
            <w:vAlign w:val="center"/>
          </w:tcPr>
          <w:p w:rsidR="00BB50AB" w:rsidRPr="0024521E" w:rsidRDefault="00BB50AB" w:rsidP="009555FD">
            <w:pPr>
              <w:jc w:val="center"/>
              <w:rPr>
                <w:rFonts w:ascii="宋体" w:cs="宋体"/>
                <w:color w:val="000000"/>
                <w:sz w:val="15"/>
                <w:szCs w:val="15"/>
              </w:rPr>
            </w:pPr>
          </w:p>
        </w:tc>
        <w:tc>
          <w:tcPr>
            <w:tcW w:w="1417"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嘉实国债</w:t>
            </w:r>
            <w:r w:rsidRPr="00024C9F">
              <w:rPr>
                <w:color w:val="000000"/>
                <w:sz w:val="15"/>
                <w:szCs w:val="15"/>
              </w:rPr>
              <w:t>ETF</w:t>
            </w:r>
          </w:p>
        </w:tc>
        <w:tc>
          <w:tcPr>
            <w:tcW w:w="1134"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159926</w:t>
            </w:r>
          </w:p>
        </w:tc>
        <w:tc>
          <w:tcPr>
            <w:tcW w:w="1063" w:type="dxa"/>
            <w:tcBorders>
              <w:lef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89.20%</w:t>
            </w:r>
          </w:p>
        </w:tc>
      </w:tr>
      <w:tr w:rsidR="00BB50AB" w:rsidRPr="00024C9F" w:rsidTr="00C54BE3">
        <w:trPr>
          <w:cantSplit/>
          <w:trHeight w:val="221"/>
        </w:trPr>
        <w:tc>
          <w:tcPr>
            <w:tcW w:w="1418" w:type="dxa"/>
            <w:tcBorders>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易方达裕丰回报</w:t>
            </w:r>
          </w:p>
        </w:tc>
        <w:tc>
          <w:tcPr>
            <w:tcW w:w="1062"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000171</w:t>
            </w:r>
          </w:p>
        </w:tc>
        <w:tc>
          <w:tcPr>
            <w:tcW w:w="1206"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167.30%</w:t>
            </w:r>
          </w:p>
        </w:tc>
        <w:tc>
          <w:tcPr>
            <w:tcW w:w="142" w:type="dxa"/>
            <w:vMerge/>
            <w:tcBorders>
              <w:left w:val="single" w:sz="6" w:space="0" w:color="FF6600"/>
              <w:right w:val="single" w:sz="6" w:space="0" w:color="FF6600"/>
            </w:tcBorders>
            <w:vAlign w:val="center"/>
          </w:tcPr>
          <w:p w:rsidR="00BB50AB" w:rsidRPr="00024C9F" w:rsidRDefault="00BB50AB" w:rsidP="009555FD">
            <w:pPr>
              <w:jc w:val="center"/>
              <w:rPr>
                <w:color w:val="000000"/>
                <w:sz w:val="15"/>
                <w:szCs w:val="15"/>
              </w:rPr>
            </w:pPr>
          </w:p>
        </w:tc>
        <w:tc>
          <w:tcPr>
            <w:tcW w:w="1417"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广发中债金融债</w:t>
            </w:r>
            <w:r w:rsidRPr="00024C9F">
              <w:rPr>
                <w:color w:val="000000"/>
                <w:sz w:val="15"/>
                <w:szCs w:val="15"/>
              </w:rPr>
              <w:t>A</w:t>
            </w:r>
          </w:p>
        </w:tc>
        <w:tc>
          <w:tcPr>
            <w:tcW w:w="1134"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000348</w:t>
            </w:r>
          </w:p>
        </w:tc>
        <w:tc>
          <w:tcPr>
            <w:tcW w:w="1063" w:type="dxa"/>
            <w:tcBorders>
              <w:lef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115.32%</w:t>
            </w:r>
          </w:p>
        </w:tc>
      </w:tr>
      <w:tr w:rsidR="00BB50AB" w:rsidRPr="00024C9F" w:rsidTr="00C54BE3">
        <w:trPr>
          <w:cantSplit/>
          <w:trHeight w:val="221"/>
        </w:trPr>
        <w:tc>
          <w:tcPr>
            <w:tcW w:w="1418" w:type="dxa"/>
            <w:tcBorders>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新华信用增益</w:t>
            </w:r>
            <w:r w:rsidRPr="00024C9F">
              <w:rPr>
                <w:color w:val="000000"/>
                <w:sz w:val="15"/>
                <w:szCs w:val="15"/>
              </w:rPr>
              <w:t>A</w:t>
            </w:r>
          </w:p>
        </w:tc>
        <w:tc>
          <w:tcPr>
            <w:tcW w:w="1062"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519162</w:t>
            </w:r>
          </w:p>
        </w:tc>
        <w:tc>
          <w:tcPr>
            <w:tcW w:w="1206"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155.17%</w:t>
            </w:r>
          </w:p>
        </w:tc>
        <w:tc>
          <w:tcPr>
            <w:tcW w:w="142" w:type="dxa"/>
            <w:vMerge/>
            <w:tcBorders>
              <w:left w:val="single" w:sz="6" w:space="0" w:color="FF6600"/>
              <w:right w:val="single" w:sz="6" w:space="0" w:color="FF6600"/>
            </w:tcBorders>
            <w:vAlign w:val="center"/>
          </w:tcPr>
          <w:p w:rsidR="00BB50AB" w:rsidRPr="0024521E" w:rsidRDefault="00BB50AB">
            <w:pPr>
              <w:jc w:val="center"/>
              <w:rPr>
                <w:rFonts w:ascii="宋体" w:cs="宋体"/>
                <w:color w:val="000000"/>
                <w:sz w:val="15"/>
                <w:szCs w:val="15"/>
              </w:rPr>
            </w:pPr>
          </w:p>
        </w:tc>
        <w:tc>
          <w:tcPr>
            <w:tcW w:w="1417"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rFonts w:hint="eastAsia"/>
                <w:color w:val="000000"/>
                <w:sz w:val="15"/>
                <w:szCs w:val="15"/>
              </w:rPr>
              <w:t>中海纯债</w:t>
            </w:r>
            <w:r w:rsidRPr="00024C9F">
              <w:rPr>
                <w:color w:val="000000"/>
                <w:sz w:val="15"/>
                <w:szCs w:val="15"/>
              </w:rPr>
              <w:t>A</w:t>
            </w:r>
          </w:p>
        </w:tc>
        <w:tc>
          <w:tcPr>
            <w:tcW w:w="1134" w:type="dxa"/>
            <w:tcBorders>
              <w:left w:val="single" w:sz="6" w:space="0" w:color="FF6600"/>
              <w:righ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000298</w:t>
            </w:r>
          </w:p>
        </w:tc>
        <w:tc>
          <w:tcPr>
            <w:tcW w:w="1063" w:type="dxa"/>
            <w:tcBorders>
              <w:left w:val="single" w:sz="6" w:space="0" w:color="FF6600"/>
            </w:tcBorders>
            <w:vAlign w:val="center"/>
          </w:tcPr>
          <w:p w:rsidR="00BB50AB" w:rsidRPr="00C54BE3" w:rsidRDefault="00BB50AB">
            <w:pPr>
              <w:jc w:val="center"/>
              <w:rPr>
                <w:rFonts w:ascii="宋体" w:cs="宋体"/>
                <w:color w:val="000000"/>
                <w:sz w:val="15"/>
                <w:szCs w:val="15"/>
              </w:rPr>
            </w:pPr>
            <w:r w:rsidRPr="00024C9F">
              <w:rPr>
                <w:color w:val="000000"/>
                <w:sz w:val="15"/>
                <w:szCs w:val="15"/>
              </w:rPr>
              <w:t>83.47%</w:t>
            </w:r>
          </w:p>
        </w:tc>
      </w:tr>
      <w:tr w:rsidR="00BB50AB" w:rsidRPr="00024C9F" w:rsidTr="00F75D8F">
        <w:trPr>
          <w:cantSplit/>
          <w:trHeight w:val="221"/>
        </w:trPr>
        <w:tc>
          <w:tcPr>
            <w:tcW w:w="7442" w:type="dxa"/>
            <w:gridSpan w:val="7"/>
            <w:vAlign w:val="center"/>
          </w:tcPr>
          <w:p w:rsidR="00BB50AB" w:rsidRPr="00024C9F" w:rsidRDefault="00BB50AB" w:rsidP="0024521E">
            <w:pPr>
              <w:snapToGrid w:val="0"/>
              <w:spacing w:line="10" w:lineRule="atLeast"/>
              <w:jc w:val="left"/>
              <w:rPr>
                <w:rFonts w:ascii="宋体"/>
                <w:sz w:val="15"/>
                <w:szCs w:val="15"/>
              </w:rPr>
            </w:pPr>
            <w:r w:rsidRPr="00024C9F">
              <w:rPr>
                <w:rFonts w:ascii="宋体" w:hAnsi="宋体" w:hint="eastAsia"/>
                <w:sz w:val="15"/>
                <w:szCs w:val="15"/>
              </w:rPr>
              <w:t>注：此处利率债包含国债、政策性金融债、央票，信用债包含企业债、短期融资券、中期票据。</w:t>
            </w:r>
          </w:p>
        </w:tc>
      </w:tr>
    </w:tbl>
    <w:p w:rsidR="00BB50AB" w:rsidRPr="00656031" w:rsidRDefault="00BB50AB" w:rsidP="000F3977">
      <w:pPr>
        <w:pStyle w:val="FootnoteNoline"/>
        <w:rPr>
          <w:color w:val="FF6600"/>
        </w:rPr>
      </w:pPr>
      <w:r w:rsidRPr="00656031">
        <w:rPr>
          <w:rFonts w:hint="eastAsia"/>
          <w:color w:val="FF6600"/>
        </w:rPr>
        <w:t>来源：凯石财富工场</w:t>
      </w:r>
    </w:p>
    <w:p w:rsidR="00BB50AB" w:rsidRPr="00F67427" w:rsidRDefault="00BB50AB" w:rsidP="00470BBC">
      <w:pPr>
        <w:widowControl/>
        <w:spacing w:after="120"/>
        <w:ind w:left="3430"/>
        <w:rPr>
          <w:rFonts w:ascii="Arial" w:eastAsia="楷体_GB2312" w:hAnsi="Arial"/>
          <w:b/>
          <w:bCs/>
          <w:color w:val="0070C0"/>
          <w:kern w:val="0"/>
          <w:szCs w:val="21"/>
          <w:lang w:val="en-GB"/>
        </w:rPr>
      </w:pPr>
      <w:r>
        <w:rPr>
          <w:rFonts w:ascii="Arial" w:eastAsia="楷体_GB2312" w:hAnsi="Arial" w:hint="eastAsia"/>
          <w:b/>
          <w:bCs/>
          <w:color w:val="0070C0"/>
          <w:kern w:val="0"/>
          <w:szCs w:val="21"/>
          <w:lang w:val="en-GB"/>
        </w:rPr>
        <w:t>货币基金：</w:t>
      </w:r>
      <w:r w:rsidRPr="00F67427">
        <w:rPr>
          <w:rFonts w:ascii="Arial" w:eastAsia="楷体_GB2312" w:hAnsi="Arial" w:hint="eastAsia"/>
          <w:b/>
          <w:bCs/>
          <w:color w:val="0070C0"/>
          <w:kern w:val="0"/>
          <w:szCs w:val="21"/>
          <w:lang w:val="en-GB"/>
        </w:rPr>
        <w:t>平衡组合风险</w:t>
      </w:r>
      <w:r>
        <w:rPr>
          <w:rFonts w:ascii="Arial" w:eastAsia="楷体_GB2312" w:hAnsi="Arial" w:hint="eastAsia"/>
          <w:b/>
          <w:bCs/>
          <w:color w:val="0070C0"/>
          <w:kern w:val="0"/>
          <w:szCs w:val="21"/>
          <w:lang w:val="en-GB"/>
        </w:rPr>
        <w:t>，把握年末行情</w:t>
      </w:r>
    </w:p>
    <w:p w:rsidR="00BB50AB" w:rsidRPr="007F2D4A" w:rsidRDefault="00BB50AB" w:rsidP="007F2D4A">
      <w:pPr>
        <w:pStyle w:val="BodyText"/>
        <w:numPr>
          <w:ilvl w:val="4"/>
          <w:numId w:val="1"/>
        </w:numPr>
        <w:spacing w:after="163"/>
        <w:rPr>
          <w:color w:val="auto"/>
        </w:rPr>
      </w:pPr>
      <w:r w:rsidRPr="007F2D4A">
        <w:rPr>
          <w:rFonts w:hint="eastAsia"/>
          <w:color w:val="auto"/>
        </w:rPr>
        <w:t>考虑到债券作为风险资产，尽管风险水平远低于股票，但是仍存在波动的可能，加上未来复苏进程、资金面</w:t>
      </w:r>
      <w:r>
        <w:rPr>
          <w:rFonts w:hint="eastAsia"/>
          <w:color w:val="auto"/>
        </w:rPr>
        <w:t>等等潜在波动</w:t>
      </w:r>
      <w:r w:rsidRPr="007F2D4A">
        <w:rPr>
          <w:rFonts w:hint="eastAsia"/>
          <w:color w:val="auto"/>
        </w:rPr>
        <w:t>因素，所以在构建投资组合时，我们建议</w:t>
      </w:r>
      <w:r>
        <w:rPr>
          <w:rFonts w:hint="eastAsia"/>
          <w:color w:val="auto"/>
        </w:rPr>
        <w:t>四季度</w:t>
      </w:r>
      <w:r w:rsidRPr="007F2D4A">
        <w:rPr>
          <w:rFonts w:hint="eastAsia"/>
          <w:color w:val="auto"/>
        </w:rPr>
        <w:t>始终搭配货币市场基金产品，以中和组合风险水平并增强组合流动性。</w:t>
      </w:r>
      <w:r>
        <w:rPr>
          <w:rFonts w:hint="eastAsia"/>
          <w:color w:val="auto"/>
        </w:rPr>
        <w:t>随着年末时点的来临，资金价格很大概率有望明显上行，货币市场基金收益率将会水涨船高，而且</w:t>
      </w:r>
      <w:r w:rsidRPr="00331C44">
        <w:rPr>
          <w:rFonts w:hint="eastAsia"/>
          <w:color w:val="auto"/>
        </w:rPr>
        <w:t>货币市场基金作为基金公司提升资产管理规模的有效手段，时至年末各家基金公司必将发力，通过兑现收益等方式提高各自产品的获益能力以吸引更多资金，</w:t>
      </w:r>
      <w:r>
        <w:rPr>
          <w:rFonts w:hint="eastAsia"/>
          <w:color w:val="auto"/>
        </w:rPr>
        <w:t>从而</w:t>
      </w:r>
      <w:r w:rsidRPr="00331C44">
        <w:rPr>
          <w:rFonts w:hint="eastAsia"/>
          <w:color w:val="auto"/>
        </w:rPr>
        <w:t>在年末规模排名战中争得一席之地。</w:t>
      </w:r>
      <w:r>
        <w:rPr>
          <w:rFonts w:hint="eastAsia"/>
          <w:color w:val="auto"/>
        </w:rPr>
        <w:t>因此，我们建议投资者到时可考虑提高货币市场基金投资比例，博取年末阶段获益机会。</w:t>
      </w:r>
      <w:r w:rsidRPr="007F2D4A">
        <w:rPr>
          <w:rFonts w:hint="eastAsia"/>
          <w:color w:val="auto"/>
        </w:rPr>
        <w:t>对于具体标的的选择，依然遵循从产品规模入手，选择规模相对较大且业绩稳定的品种的原则，具体建议关注南方现金增利、华夏现金增利。</w:t>
      </w:r>
    </w:p>
    <w:p w:rsidR="00BB50AB" w:rsidRDefault="00BB50AB" w:rsidP="007E241D">
      <w:pPr>
        <w:pStyle w:val="BodyText"/>
        <w:spacing w:after="163"/>
        <w:rPr>
          <w:b/>
          <w:bCs/>
          <w:color w:val="0070C0"/>
          <w:sz w:val="24"/>
        </w:rPr>
      </w:pPr>
      <w:r>
        <w:rPr>
          <w:b/>
          <w:bCs/>
          <w:color w:val="0070C0"/>
          <w:sz w:val="24"/>
        </w:rPr>
        <w:t>10</w:t>
      </w:r>
      <w:r>
        <w:rPr>
          <w:rFonts w:hint="eastAsia"/>
          <w:b/>
          <w:bCs/>
          <w:color w:val="0070C0"/>
          <w:sz w:val="24"/>
        </w:rPr>
        <w:t>月投资建议：宽松货币环境，投资组合适度积极</w:t>
      </w:r>
      <w:r>
        <w:rPr>
          <w:b/>
          <w:bCs/>
          <w:color w:val="0070C0"/>
          <w:sz w:val="24"/>
        </w:rPr>
        <w:t xml:space="preserve"> </w:t>
      </w:r>
    </w:p>
    <w:p w:rsidR="00BB50AB" w:rsidRDefault="00BB50AB" w:rsidP="00012713">
      <w:pPr>
        <w:pStyle w:val="BodyText"/>
        <w:numPr>
          <w:ilvl w:val="4"/>
          <w:numId w:val="1"/>
        </w:numPr>
        <w:spacing w:after="163"/>
        <w:rPr>
          <w:color w:val="auto"/>
        </w:rPr>
      </w:pPr>
      <w:r>
        <w:rPr>
          <w:rFonts w:hint="eastAsia"/>
          <w:color w:val="auto"/>
        </w:rPr>
        <w:t>根据前文分析，</w:t>
      </w:r>
      <w:r>
        <w:rPr>
          <w:color w:val="auto"/>
        </w:rPr>
        <w:t>10</w:t>
      </w:r>
      <w:r>
        <w:rPr>
          <w:rFonts w:hint="eastAsia"/>
          <w:color w:val="auto"/>
        </w:rPr>
        <w:t>月份最新经济数据的出炉对于债市构成的影响尚无法准确预测，但从大趋势上来看，前期整体趋弱的局面已经初现缓解迹象，虽然总需求全面反转在短期内较难实现，但是在政府稳增长政策的保驾护航</w:t>
      </w:r>
      <w:r>
        <w:rPr>
          <w:rFonts w:hint="eastAsia"/>
        </w:rPr>
        <w:t>下，预计不会出现较大的波动。因此，从经济基本面来看，对债券市场缺乏有力支撑。但是在流动性方面，</w:t>
      </w:r>
      <w:r>
        <w:rPr>
          <w:rFonts w:hint="eastAsia"/>
          <w:color w:val="auto"/>
        </w:rPr>
        <w:t>货币政策适度放松的方向应当不会改变，资金面的节后宽松应当还是会给债市带来一定的空间。</w:t>
      </w:r>
    </w:p>
    <w:p w:rsidR="00BB50AB" w:rsidRPr="00470BA8" w:rsidRDefault="00BB50AB" w:rsidP="00470BA8">
      <w:pPr>
        <w:pStyle w:val="BodyText"/>
        <w:numPr>
          <w:ilvl w:val="4"/>
          <w:numId w:val="1"/>
        </w:numPr>
        <w:spacing w:after="163"/>
        <w:rPr>
          <w:color w:val="auto"/>
        </w:rPr>
      </w:pPr>
      <w:r>
        <w:rPr>
          <w:rFonts w:hint="eastAsia"/>
          <w:color w:val="auto"/>
        </w:rPr>
        <w:t>落实到基金投资上，</w:t>
      </w:r>
      <w:r>
        <w:rPr>
          <w:color w:val="auto"/>
        </w:rPr>
        <w:t>10</w:t>
      </w:r>
      <w:r>
        <w:rPr>
          <w:rFonts w:hint="eastAsia"/>
          <w:color w:val="auto"/>
        </w:rPr>
        <w:t>月份固定收益类基金组合的构建可以适度积极，在基金品种的选择中，债券型基金仍是首选对象，而货币市场基金则作为风险对冲标的进行组合搭配。期限结构方面，建议延续前期中长久期策略，把握投资时机。类别选择方面，考虑到目前债市投资主体对于信用债收益的偏好，以及信用风险仍可控的现状，我们建议对于高评级信用类品种投资比例较高的基金可以给与更多关注，具体产品建议关注</w:t>
      </w:r>
      <w:r>
        <w:rPr>
          <w:rFonts w:hint="eastAsia"/>
        </w:rPr>
        <w:t>国投中高等级债、</w:t>
      </w:r>
      <w:r w:rsidRPr="00476E22">
        <w:rPr>
          <w:rFonts w:hint="eastAsia"/>
        </w:rPr>
        <w:t>新华纯债添利</w:t>
      </w:r>
      <w:r w:rsidRPr="003A4685">
        <w:rPr>
          <w:rFonts w:hint="eastAsia"/>
          <w:color w:val="auto"/>
        </w:rPr>
        <w:t>、</w:t>
      </w:r>
      <w:r w:rsidRPr="009B5989">
        <w:rPr>
          <w:rFonts w:hint="eastAsia"/>
        </w:rPr>
        <w:t>招商安本增利债券</w:t>
      </w:r>
      <w:r w:rsidRPr="003A4685">
        <w:rPr>
          <w:rFonts w:hint="eastAsia"/>
          <w:color w:val="auto"/>
        </w:rPr>
        <w:t>等基金</w:t>
      </w:r>
      <w:r>
        <w:rPr>
          <w:rFonts w:hint="eastAsia"/>
          <w:color w:val="auto"/>
        </w:rPr>
        <w:t>，货币市场基金仍然建议关注</w:t>
      </w:r>
      <w:r w:rsidRPr="00027857">
        <w:rPr>
          <w:rFonts w:hint="eastAsia"/>
          <w:color w:val="auto"/>
        </w:rPr>
        <w:t>南方现金增利</w:t>
      </w:r>
      <w:r>
        <w:rPr>
          <w:rFonts w:hint="eastAsia"/>
          <w:color w:val="auto"/>
        </w:rPr>
        <w:t>。</w:t>
      </w:r>
    </w:p>
    <w:p w:rsidR="00BB50AB" w:rsidRDefault="00BB50AB" w:rsidP="00470BA8">
      <w:pPr>
        <w:pStyle w:val="BodyText"/>
        <w:numPr>
          <w:ilvl w:val="5"/>
          <w:numId w:val="2"/>
        </w:numPr>
        <w:spacing w:after="163"/>
        <w:ind w:left="4140" w:hanging="369"/>
      </w:pPr>
      <w:r>
        <w:rPr>
          <w:rFonts w:hint="eastAsia"/>
        </w:rPr>
        <w:t>国投中高等级债</w:t>
      </w:r>
      <w:r>
        <w:t>A</w:t>
      </w:r>
      <w:r>
        <w:rPr>
          <w:rFonts w:hint="eastAsia"/>
        </w:rPr>
        <w:t>（代码</w:t>
      </w:r>
      <w:r>
        <w:t>000069</w:t>
      </w:r>
      <w:r>
        <w:rPr>
          <w:rFonts w:hint="eastAsia"/>
        </w:rPr>
        <w:t>）：该基金是一只纯债基金，招募说明书中规定，投资于信用等级为</w:t>
      </w:r>
      <w:r>
        <w:t xml:space="preserve">AA </w:t>
      </w:r>
      <w:r>
        <w:rPr>
          <w:rFonts w:hint="eastAsia"/>
        </w:rPr>
        <w:t>级或以上的中高等级非国家信用债券的比例不低于基金资产的</w:t>
      </w:r>
      <w:r>
        <w:t>80%</w:t>
      </w:r>
      <w:r>
        <w:rPr>
          <w:rFonts w:hint="eastAsia"/>
        </w:rPr>
        <w:t>。实际运作也是如此，该基金自成立以来的历次季报显示，投资标的均主要集中在高评级企业债，尤其是城投债。对于未来，该基金的基金经理认为支撑债市的有利因素正在减少，但基于经济处于下行周期以及货币政策维持中性宽松，预计调整的幅度相对有限，因此将维持适中的组合久期，保持适度杠杆</w:t>
      </w:r>
      <w:r>
        <w:t>,</w:t>
      </w:r>
      <w:r>
        <w:rPr>
          <w:rFonts w:hint="eastAsia"/>
        </w:rPr>
        <w:t>以获取票息收益为主。从该基金的投资风格结合当前债市环境来看，可考虑通过配置其来主动把握短期债市机会。</w:t>
      </w:r>
    </w:p>
    <w:p w:rsidR="00BB50AB" w:rsidRDefault="00BB50AB" w:rsidP="00470BA8">
      <w:pPr>
        <w:pStyle w:val="BodyText"/>
        <w:numPr>
          <w:ilvl w:val="5"/>
          <w:numId w:val="2"/>
        </w:numPr>
        <w:spacing w:after="163"/>
        <w:ind w:left="4140" w:hanging="369"/>
      </w:pPr>
      <w:r w:rsidRPr="00476E22">
        <w:rPr>
          <w:rFonts w:hint="eastAsia"/>
        </w:rPr>
        <w:t>新华纯债添利</w:t>
      </w:r>
      <w:r w:rsidRPr="00476E22">
        <w:t>A</w:t>
      </w:r>
      <w:r>
        <w:rPr>
          <w:rFonts w:hint="eastAsia"/>
        </w:rPr>
        <w:t>（代码</w:t>
      </w:r>
      <w:r>
        <w:t>519152</w:t>
      </w:r>
      <w:r>
        <w:rPr>
          <w:rFonts w:hint="eastAsia"/>
        </w:rPr>
        <w:t>）：</w:t>
      </w:r>
      <w:r w:rsidRPr="00CD4CB3">
        <w:rPr>
          <w:rFonts w:hint="eastAsia"/>
        </w:rPr>
        <w:t>该基金</w:t>
      </w:r>
      <w:r>
        <w:rPr>
          <w:rFonts w:hint="eastAsia"/>
        </w:rPr>
        <w:t>成立于</w:t>
      </w:r>
      <w:r>
        <w:t>2012</w:t>
      </w:r>
      <w:r>
        <w:rPr>
          <w:rFonts w:hint="eastAsia"/>
        </w:rPr>
        <w:t>年年底，自成立以来始终偏爱企业债的投资，最新一期季报显示，该基金企业债市值占资产净值比达</w:t>
      </w:r>
      <w:r>
        <w:t>135.64%</w:t>
      </w:r>
      <w:r>
        <w:rPr>
          <w:rFonts w:hint="eastAsia"/>
        </w:rPr>
        <w:t>，尽管较一季度有所下降，但也处在较高的水平。从持债明细来看，该基金偏爱城投债的投资，二季度重点持有的债券绝大多数属于城投品种。就历史运作情况来看，</w:t>
      </w:r>
      <w:r w:rsidRPr="00476E22">
        <w:rPr>
          <w:rFonts w:hint="eastAsia"/>
        </w:rPr>
        <w:t>新华纯债添利</w:t>
      </w:r>
      <w:r>
        <w:rPr>
          <w:rFonts w:hint="eastAsia"/>
        </w:rPr>
        <w:t>基金对于个券机会的把握能力较强，投资效果较佳。</w:t>
      </w:r>
      <w:r w:rsidRPr="005540DF">
        <w:rPr>
          <w:rFonts w:hint="eastAsia"/>
        </w:rPr>
        <w:t>今年以来（截止</w:t>
      </w:r>
      <w:r w:rsidRPr="005540DF">
        <w:t>2014.</w:t>
      </w:r>
      <w:r>
        <w:t>9</w:t>
      </w:r>
      <w:r w:rsidRPr="005540DF">
        <w:t>.</w:t>
      </w:r>
      <w:r>
        <w:t>25</w:t>
      </w:r>
      <w:r w:rsidRPr="005540DF">
        <w:rPr>
          <w:rFonts w:hint="eastAsia"/>
        </w:rPr>
        <w:t>）该基金净值增长</w:t>
      </w:r>
      <w:r>
        <w:t>14.92</w:t>
      </w:r>
      <w:r w:rsidRPr="005540DF">
        <w:t>%</w:t>
      </w:r>
      <w:r w:rsidRPr="005540DF">
        <w:rPr>
          <w:rFonts w:hint="eastAsia"/>
        </w:rPr>
        <w:t>，在</w:t>
      </w:r>
      <w:r>
        <w:t>691</w:t>
      </w:r>
      <w:r w:rsidRPr="005540DF">
        <w:rPr>
          <w:rFonts w:hint="eastAsia"/>
        </w:rPr>
        <w:t>只（不含理财债基，</w:t>
      </w:r>
      <w:r w:rsidRPr="005540DF">
        <w:t>A</w:t>
      </w:r>
      <w:r w:rsidRPr="005540DF">
        <w:rPr>
          <w:rFonts w:hint="eastAsia"/>
        </w:rPr>
        <w:t>、</w:t>
      </w:r>
      <w:r w:rsidRPr="005540DF">
        <w:t>B</w:t>
      </w:r>
      <w:r w:rsidRPr="005540DF">
        <w:rPr>
          <w:rFonts w:hint="eastAsia"/>
        </w:rPr>
        <w:t>份额各算一只）债券型基金中排名第</w:t>
      </w:r>
      <w:r>
        <w:t>45</w:t>
      </w:r>
      <w:r>
        <w:rPr>
          <w:rFonts w:hint="eastAsia"/>
        </w:rPr>
        <w:t>。</w:t>
      </w:r>
    </w:p>
    <w:p w:rsidR="00BB50AB" w:rsidRDefault="00BB50AB" w:rsidP="00470BA8">
      <w:pPr>
        <w:pStyle w:val="BodyText"/>
        <w:numPr>
          <w:ilvl w:val="5"/>
          <w:numId w:val="2"/>
        </w:numPr>
        <w:spacing w:after="163"/>
        <w:ind w:left="4140" w:hanging="369"/>
      </w:pPr>
      <w:r>
        <w:rPr>
          <w:rFonts w:hint="eastAsia"/>
        </w:rPr>
        <w:t>招商安本增利债券（代码</w:t>
      </w:r>
      <w:r>
        <w:t>217008</w:t>
      </w:r>
      <w:r>
        <w:rPr>
          <w:rFonts w:hint="eastAsia"/>
        </w:rPr>
        <w:t>）：该基金成立于</w:t>
      </w:r>
      <w:r>
        <w:t>2006</w:t>
      </w:r>
      <w:r>
        <w:rPr>
          <w:rFonts w:hint="eastAsia"/>
        </w:rPr>
        <w:t>年，是一只二级债基，尽管可以进行股票市场投资，但是持股比例始终较低，且集中于大盘蓝筹。在债券投资组合中，招商安本增利对于企业债有明显偏好，对于未来，基金经理表示社会融资扩张程度以及经济增长强弱将成为债市主要驱动因素，对于具体品种，依旧看好信用债的配置价值。从历史业绩来看，该基金投资能力较强，</w:t>
      </w:r>
      <w:r w:rsidRPr="005540DF">
        <w:rPr>
          <w:rFonts w:hint="eastAsia"/>
        </w:rPr>
        <w:t>今年以来（截止</w:t>
      </w:r>
      <w:r w:rsidRPr="005540DF">
        <w:t>2014.</w:t>
      </w:r>
      <w:r>
        <w:t>9</w:t>
      </w:r>
      <w:r w:rsidRPr="005540DF">
        <w:t>.</w:t>
      </w:r>
      <w:r>
        <w:t>25</w:t>
      </w:r>
      <w:r w:rsidRPr="005540DF">
        <w:rPr>
          <w:rFonts w:hint="eastAsia"/>
        </w:rPr>
        <w:t>）该基金净值增长</w:t>
      </w:r>
      <w:r>
        <w:t>12.67</w:t>
      </w:r>
      <w:r w:rsidRPr="005540DF">
        <w:t>%</w:t>
      </w:r>
      <w:r>
        <w:rPr>
          <w:rFonts w:hint="eastAsia"/>
        </w:rPr>
        <w:t>，获益水平在同业当中位居前列。</w:t>
      </w:r>
    </w:p>
    <w:p w:rsidR="00BB50AB" w:rsidRPr="008E3EAF" w:rsidRDefault="00BB50AB" w:rsidP="008E3EAF">
      <w:pPr>
        <w:pStyle w:val="BodyText"/>
        <w:numPr>
          <w:ilvl w:val="5"/>
          <w:numId w:val="2"/>
        </w:numPr>
        <w:spacing w:after="163"/>
        <w:ind w:left="4140" w:hanging="369"/>
      </w:pPr>
      <w:r w:rsidRPr="002D6803">
        <w:rPr>
          <w:rFonts w:hint="eastAsia"/>
        </w:rPr>
        <w:t>南方现金增利货币</w:t>
      </w:r>
      <w:r w:rsidRPr="002D6803">
        <w:t>A</w:t>
      </w:r>
      <w:r>
        <w:rPr>
          <w:rFonts w:hint="eastAsia"/>
        </w:rPr>
        <w:t>（代码</w:t>
      </w:r>
      <w:r>
        <w:t>202301</w:t>
      </w:r>
      <w:r>
        <w:rPr>
          <w:rFonts w:hint="eastAsia"/>
        </w:rPr>
        <w:t>）</w:t>
      </w:r>
      <w:r w:rsidRPr="002D6803">
        <w:rPr>
          <w:rFonts w:hint="eastAsia"/>
        </w:rPr>
        <w:t>：</w:t>
      </w:r>
      <w:r>
        <w:t>2014</w:t>
      </w:r>
      <w:r>
        <w:rPr>
          <w:rFonts w:hint="eastAsia"/>
        </w:rPr>
        <w:t>年二季度</w:t>
      </w:r>
      <w:r w:rsidRPr="002D6803">
        <w:rPr>
          <w:rFonts w:hint="eastAsia"/>
        </w:rPr>
        <w:t>末该基金</w:t>
      </w:r>
      <w:r>
        <w:t>A</w:t>
      </w:r>
      <w:r>
        <w:rPr>
          <w:rFonts w:hint="eastAsia"/>
        </w:rPr>
        <w:t>、</w:t>
      </w:r>
      <w:r>
        <w:t>B</w:t>
      </w:r>
      <w:r>
        <w:rPr>
          <w:rFonts w:hint="eastAsia"/>
        </w:rPr>
        <w:t>份额合计</w:t>
      </w:r>
      <w:r w:rsidRPr="002D6803">
        <w:rPr>
          <w:rFonts w:hint="eastAsia"/>
        </w:rPr>
        <w:t>资产规模</w:t>
      </w:r>
      <w:r>
        <w:rPr>
          <w:rFonts w:hint="eastAsia"/>
        </w:rPr>
        <w:t>已过千亿</w:t>
      </w:r>
      <w:r w:rsidRPr="002D6803">
        <w:rPr>
          <w:rFonts w:hint="eastAsia"/>
        </w:rPr>
        <w:t>，较大的规模可以降低申购赎回时造成的流动性冲击，同时可以提高资金使用效率，从而有助于提升产品业绩。从业绩</w:t>
      </w:r>
      <w:r>
        <w:rPr>
          <w:rFonts w:hint="eastAsia"/>
        </w:rPr>
        <w:t>表现</w:t>
      </w:r>
      <w:r w:rsidRPr="002D6803">
        <w:rPr>
          <w:rFonts w:hint="eastAsia"/>
        </w:rPr>
        <w:t>来看，</w:t>
      </w:r>
      <w:r>
        <w:rPr>
          <w:rFonts w:hint="eastAsia"/>
        </w:rPr>
        <w:t>今年以来</w:t>
      </w:r>
      <w:r w:rsidRPr="002D6803">
        <w:rPr>
          <w:rFonts w:hint="eastAsia"/>
        </w:rPr>
        <w:t>（</w:t>
      </w:r>
      <w:r>
        <w:rPr>
          <w:rFonts w:hint="eastAsia"/>
        </w:rPr>
        <w:t>截止</w:t>
      </w:r>
      <w:r>
        <w:t>2014.9.25</w:t>
      </w:r>
      <w:r w:rsidRPr="002D6803">
        <w:rPr>
          <w:rFonts w:hint="eastAsia"/>
        </w:rPr>
        <w:t>）南方现金增利货币</w:t>
      </w:r>
      <w:r w:rsidRPr="002D6803">
        <w:t>A</w:t>
      </w:r>
      <w:r w:rsidRPr="002D6803">
        <w:rPr>
          <w:rFonts w:hint="eastAsia"/>
        </w:rPr>
        <w:t>累积万份收益</w:t>
      </w:r>
      <w:r>
        <w:t>373.46</w:t>
      </w:r>
      <w:r w:rsidRPr="002D6803">
        <w:rPr>
          <w:rFonts w:hint="eastAsia"/>
        </w:rPr>
        <w:t>，在同业</w:t>
      </w:r>
      <w:r>
        <w:t>263</w:t>
      </w:r>
      <w:r w:rsidRPr="002D6803">
        <w:rPr>
          <w:rFonts w:hint="eastAsia"/>
        </w:rPr>
        <w:t>只（</w:t>
      </w:r>
      <w:r>
        <w:t>A</w:t>
      </w:r>
      <w:r>
        <w:rPr>
          <w:rFonts w:hint="eastAsia"/>
        </w:rPr>
        <w:t>、</w:t>
      </w:r>
      <w:r>
        <w:t>B</w:t>
      </w:r>
      <w:r>
        <w:rPr>
          <w:rFonts w:hint="eastAsia"/>
        </w:rPr>
        <w:t>份额各算一只</w:t>
      </w:r>
      <w:r w:rsidRPr="002D6803">
        <w:rPr>
          <w:rFonts w:hint="eastAsia"/>
        </w:rPr>
        <w:t>）基金中排名第</w:t>
      </w:r>
      <w:r>
        <w:t>39</w:t>
      </w:r>
      <w:r w:rsidRPr="002D6803">
        <w:rPr>
          <w:rFonts w:hint="eastAsia"/>
        </w:rPr>
        <w:t>，具备良好的获益能力</w:t>
      </w:r>
      <w:r>
        <w:rPr>
          <w:rFonts w:hint="eastAsia"/>
        </w:rPr>
        <w:t>和稳定性</w:t>
      </w:r>
      <w:r w:rsidRPr="002D6803">
        <w:rPr>
          <w:rFonts w:hint="eastAsia"/>
        </w:rPr>
        <w:t>。</w:t>
      </w:r>
    </w:p>
    <w:p w:rsidR="00BB50AB" w:rsidRPr="00961E7F" w:rsidRDefault="00BB50AB">
      <w:pPr>
        <w:widowControl/>
        <w:jc w:val="left"/>
        <w:rPr>
          <w:rFonts w:ascii="楷体" w:eastAsia="楷体" w:hAnsi="楷体"/>
          <w:b/>
          <w:kern w:val="0"/>
          <w:szCs w:val="20"/>
          <w:lang w:val="en-GB"/>
        </w:rPr>
      </w:pPr>
      <w:r w:rsidRPr="00961E7F">
        <w:rPr>
          <w:rFonts w:ascii="楷体" w:eastAsia="楷体" w:hAnsi="楷体"/>
          <w:b/>
          <w:kern w:val="0"/>
          <w:szCs w:val="20"/>
          <w:lang w:val="en-GB"/>
        </w:rPr>
        <w:br w:type="page"/>
      </w:r>
    </w:p>
    <w:p w:rsidR="00BB50AB" w:rsidRPr="00961E7F" w:rsidRDefault="00BB50AB" w:rsidP="007E241D">
      <w:pPr>
        <w:pStyle w:val="a4"/>
        <w:spacing w:after="312"/>
        <w:rPr>
          <w:rFonts w:ascii="楷体" w:eastAsia="楷体" w:hAnsi="楷体"/>
          <w:b/>
          <w:sz w:val="21"/>
          <w:szCs w:val="21"/>
        </w:rPr>
      </w:pPr>
      <w:r w:rsidRPr="00961E7F">
        <w:rPr>
          <w:rFonts w:ascii="楷体" w:eastAsia="楷体" w:hAnsi="楷体" w:hint="eastAsia"/>
          <w:b/>
          <w:kern w:val="0"/>
          <w:sz w:val="21"/>
          <w:szCs w:val="20"/>
          <w:lang w:val="en-GB"/>
        </w:rPr>
        <w:t>特别声明：</w:t>
      </w:r>
    </w:p>
    <w:p w:rsidR="00BB50AB" w:rsidRPr="00961E7F" w:rsidRDefault="00BB50AB" w:rsidP="00EC6F19">
      <w:pPr>
        <w:pStyle w:val="a4"/>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B50AB" w:rsidRPr="00961E7F" w:rsidRDefault="00BB50AB" w:rsidP="00EC6F19">
      <w:pPr>
        <w:pStyle w:val="a4"/>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B50AB" w:rsidRPr="00961E7F" w:rsidRDefault="00BB50AB" w:rsidP="00EC6F19">
      <w:pPr>
        <w:pStyle w:val="a4"/>
        <w:spacing w:beforeLines="50" w:after="312"/>
        <w:rPr>
          <w:rFonts w:ascii="楷体" w:eastAsia="楷体" w:hAnsi="楷体"/>
          <w:kern w:val="0"/>
          <w:sz w:val="21"/>
          <w:szCs w:val="20"/>
          <w:lang w:val="en-GB"/>
        </w:rPr>
      </w:pPr>
      <w:r w:rsidRPr="00961E7F">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B50AB" w:rsidRDefault="00BB50AB" w:rsidP="007E241D"/>
    <w:p w:rsidR="00BB50AB" w:rsidRPr="009F7F1E" w:rsidRDefault="00BB50AB" w:rsidP="007E241D">
      <w:pPr>
        <w:rPr>
          <w:rFonts w:ascii="楷体" w:eastAsia="楷体" w:hAnsi="楷体"/>
          <w:b/>
          <w:lang w:val="en-GB"/>
        </w:rPr>
      </w:pPr>
      <w:r>
        <w:rPr>
          <w:rFonts w:ascii="楷体" w:eastAsia="楷体" w:hAnsi="楷体"/>
          <w:b/>
          <w:lang w:val="en-GB"/>
        </w:rPr>
        <w:t xml:space="preserve"> </w:t>
      </w:r>
    </w:p>
    <w:p w:rsidR="00BB50AB" w:rsidRPr="009F7F1E" w:rsidRDefault="00BB50AB" w:rsidP="007E241D">
      <w:pPr>
        <w:pStyle w:val="a4"/>
        <w:spacing w:after="312"/>
        <w:rPr>
          <w:rFonts w:ascii="楷体" w:eastAsia="楷体" w:hAnsi="楷体"/>
          <w:b/>
          <w:lang w:val="en-GB"/>
        </w:rPr>
      </w:pPr>
    </w:p>
    <w:sectPr w:rsidR="00BB50AB" w:rsidRPr="009F7F1E" w:rsidSect="00656031">
      <w:headerReference w:type="default" r:id="rId10"/>
      <w:footerReference w:type="default" r:id="rId11"/>
      <w:headerReference w:type="first" r:id="rId12"/>
      <w:footerReference w:type="first" r:id="rId13"/>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0AB" w:rsidRDefault="00BB50AB" w:rsidP="00B10000">
      <w:r>
        <w:separator/>
      </w:r>
    </w:p>
  </w:endnote>
  <w:endnote w:type="continuationSeparator" w:id="0">
    <w:p w:rsidR="00BB50AB" w:rsidRDefault="00BB50AB"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0AB" w:rsidRDefault="00BB50AB">
    <w:pPr>
      <w:pStyle w:val="Footer"/>
      <w:jc w:val="center"/>
    </w:pPr>
    <w:r>
      <w:pict>
        <v:rect id="_x0000_i1031"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2</w:t>
    </w:r>
    <w:r>
      <w:rPr>
        <w:b/>
      </w:rPr>
      <w:fldChar w:fldCharType="end"/>
    </w:r>
    <w:r>
      <w:rPr>
        <w:lang w:val="zh-CN"/>
      </w:rPr>
      <w:t xml:space="preserve"> / </w:t>
    </w:r>
    <w:r>
      <w:rPr>
        <w:b/>
      </w:rPr>
      <w:fldChar w:fldCharType="begin"/>
    </w:r>
    <w:r>
      <w:rPr>
        <w:b/>
      </w:rPr>
      <w:instrText>NUMPAGES</w:instrText>
    </w:r>
    <w:r>
      <w:rPr>
        <w:b/>
      </w:rPr>
      <w:fldChar w:fldCharType="separate"/>
    </w:r>
    <w:r>
      <w:rPr>
        <w:b/>
        <w:noProof/>
      </w:rPr>
      <w:t>6</w:t>
    </w:r>
    <w:r>
      <w:rPr>
        <w:b/>
      </w:rPr>
      <w:fldChar w:fldCharType="end"/>
    </w:r>
  </w:p>
  <w:p w:rsidR="00BB50AB" w:rsidRDefault="00BB50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0AB" w:rsidRDefault="00BB50AB">
    <w:pPr>
      <w:pStyle w:val="Footer"/>
      <w:jc w:val="center"/>
    </w:pPr>
    <w:r>
      <w:pict>
        <v:rect id="_x0000_i1040"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6</w:t>
    </w:r>
    <w:r>
      <w:rPr>
        <w:b/>
      </w:rPr>
      <w:fldChar w:fldCharType="end"/>
    </w:r>
  </w:p>
  <w:p w:rsidR="00BB50AB" w:rsidRDefault="00BB5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0AB" w:rsidRDefault="00BB50AB" w:rsidP="00B10000">
      <w:r>
        <w:separator/>
      </w:r>
    </w:p>
  </w:footnote>
  <w:footnote w:type="continuationSeparator" w:id="0">
    <w:p w:rsidR="00BB50AB" w:rsidRDefault="00BB50AB"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0AB" w:rsidRDefault="00BB50AB" w:rsidP="00B10000">
    <w:pPr>
      <w:pStyle w:val="Header"/>
      <w:pBdr>
        <w:bottom w:val="none" w:sz="0" w:space="0" w:color="auto"/>
      </w:pBdr>
    </w:pPr>
    <w:r>
      <w:rPr>
        <w:noProof/>
      </w:rPr>
      <w:pict>
        <v:group id="_x0000_s2049" style="position:absolute;left:0;text-align:left;margin-left:5.2pt;margin-top:-32.25pt;width:531.2pt;height:37.5pt;z-index:251660288" coordorigin="728,206" coordsize="10624,750">
          <v:shapetype id="_x0000_t202" coordsize="21600,21600" o:spt="202" path="m,l,21600r21600,l21600,xe">
            <v:stroke joinstyle="miter"/>
            <v:path gradientshapeok="t" o:connecttype="rect"/>
          </v:shapetype>
          <v:shape id="_x0000_s2050" type="#_x0000_t202" style="position:absolute;left:728;top:206;width:1336;height:724" strokecolor="white">
            <v:textbox style="mso-next-textbox:#_x0000_s2050">
              <w:txbxContent>
                <w:p w:rsidR="00BB50AB" w:rsidRDefault="00BB50AB" w:rsidP="00B10000">
                  <w:pPr>
                    <w:pStyle w:val="12"/>
                  </w:pPr>
                  <w:r w:rsidRPr="002C71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凯石工2.jpg" style="width:42pt;height:29.25pt;visibility:visible">
                        <v:imagedata r:id="rId1" o:title=""/>
                      </v:shape>
                    </w:pict>
                  </w:r>
                </w:p>
              </w:txbxContent>
            </v:textbox>
          </v:shape>
          <v:shape id="_x0000_s2051" type="#_x0000_t202" style="position:absolute;left:5999;top:542;width:5353;height:414" strokecolor="white">
            <v:textbox style="mso-next-textbox:#_x0000_s2051">
              <w:txbxContent>
                <w:p w:rsidR="00BB50AB" w:rsidRPr="006E0F3C" w:rsidRDefault="00BB50AB" w:rsidP="00B10000">
                  <w:pPr>
                    <w:pStyle w:val="2"/>
                  </w:pPr>
                  <w:r w:rsidRPr="00FC204C">
                    <w:t>2014</w:t>
                  </w:r>
                  <w:r w:rsidRPr="00FC204C">
                    <w:rPr>
                      <w:rFonts w:hint="eastAsia"/>
                    </w:rPr>
                    <w:t>年</w:t>
                  </w:r>
                  <w:r>
                    <w:rPr>
                      <w:rFonts w:hint="eastAsia"/>
                    </w:rPr>
                    <w:t>四季度</w:t>
                  </w:r>
                  <w:r w:rsidRPr="00FC204C">
                    <w:rPr>
                      <w:rFonts w:hint="eastAsia"/>
                    </w:rPr>
                    <w:t>固定收益基金投资策略</w:t>
                  </w:r>
                </w:p>
              </w:txbxContent>
            </v:textbox>
          </v:shape>
        </v:group>
      </w:pict>
    </w:r>
    <w:r>
      <w:pict>
        <v:rect id="_x0000_i1028"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0AB" w:rsidRDefault="00BB50AB" w:rsidP="00EC6F19">
    <w:pPr>
      <w:pStyle w:val="Header"/>
      <w:pBdr>
        <w:bottom w:val="none" w:sz="0" w:space="0" w:color="auto"/>
      </w:pBdr>
      <w:spacing w:afterLines="100"/>
    </w:pPr>
    <w:r>
      <w:rPr>
        <w:noProof/>
      </w:rPr>
    </w:r>
    <w:r>
      <w:pict>
        <v:group id="_x0000_s2052"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3" type="#_x0000_t202" style="position:absolute;left:652;top:331;width:3664;height:2430" strokecolor="white">
            <v:textbox style="mso-next-textbox:#_x0000_s2053">
              <w:txbxContent>
                <w:p w:rsidR="00BB50AB" w:rsidRDefault="00BB50AB" w:rsidP="00B10000">
                  <w:pPr>
                    <w:pStyle w:val="a0"/>
                  </w:pPr>
                  <w:r w:rsidRPr="002C71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8" type="#_x0000_t75" alt="凯石工2.jpg" style="width:123pt;height:115.5pt;visibility:visible">
                        <v:imagedata r:id="rId1" o:title=""/>
                      </v:shape>
                    </w:pict>
                  </w:r>
                </w:p>
              </w:txbxContent>
            </v:textbox>
          </v:shape>
          <v:shape id="_x0000_s2054" type="#_x0000_t202" style="position:absolute;left:881;top:2578;width:2325;height:390" strokecolor="white">
            <v:textbox style="mso-next-textbox:#_x0000_s2054">
              <w:txbxContent>
                <w:p w:rsidR="00BB50AB" w:rsidRPr="006E0F3C" w:rsidRDefault="00BB50AB" w:rsidP="008840A4">
                  <w:pPr>
                    <w:pStyle w:val="a"/>
                    <w:spacing w:after="240"/>
                  </w:pPr>
                  <w:r w:rsidRPr="006E0F3C">
                    <w:rPr>
                      <w:rFonts w:hint="eastAsia"/>
                    </w:rPr>
                    <w:t>凯石工场研究报告</w:t>
                  </w:r>
                </w:p>
              </w:txbxContent>
            </v:textbox>
          </v:shape>
          <v:shape id="_x0000_s2055" type="#_x0000_t202" style="position:absolute;left:8740;top:609;width:2441;height:475" strokecolor="white">
            <v:textbox style="mso-next-textbox:#_x0000_s2055;mso-fit-shape-to-text:t">
              <w:txbxContent>
                <w:p w:rsidR="00BB50AB" w:rsidRPr="006E0F3C" w:rsidRDefault="00BB50AB" w:rsidP="00B10000">
                  <w:pPr>
                    <w:pStyle w:val="a1"/>
                    <w:jc w:val="right"/>
                  </w:pPr>
                  <w:r w:rsidRPr="006E0F3C">
                    <w:t>201</w:t>
                  </w:r>
                  <w:r>
                    <w:t>4</w:t>
                  </w:r>
                  <w:r w:rsidRPr="006E0F3C">
                    <w:rPr>
                      <w:rFonts w:hint="eastAsia"/>
                    </w:rPr>
                    <w:t>年</w:t>
                  </w:r>
                  <w:r>
                    <w:t>09</w:t>
                  </w:r>
                  <w:r w:rsidRPr="006E0F3C">
                    <w:rPr>
                      <w:rFonts w:hint="eastAsia"/>
                    </w:rPr>
                    <w:t>月</w:t>
                  </w:r>
                  <w:r>
                    <w:t>30</w:t>
                  </w:r>
                  <w:r w:rsidRPr="006E0F3C">
                    <w:rPr>
                      <w:rFonts w:hint="eastAsia"/>
                    </w:rPr>
                    <w:t>日</w:t>
                  </w:r>
                </w:p>
              </w:txbxContent>
            </v:textbox>
          </v:shape>
          <v:shape id="_x0000_s2056" type="#_x0000_t202" style="position:absolute;left:3214;top:1377;width:8090;height:1001" strokecolor="white">
            <v:textbox style="mso-next-textbox:#_x0000_s2056;mso-fit-shape-to-text:t">
              <w:txbxContent>
                <w:p w:rsidR="00BB50AB" w:rsidRDefault="00BB50AB" w:rsidP="00B10000">
                  <w:pPr>
                    <w:pStyle w:val="a2"/>
                    <w:jc w:val="right"/>
                  </w:pPr>
                  <w:r w:rsidRPr="006E0F3C">
                    <w:t>201</w:t>
                  </w:r>
                  <w:r>
                    <w:t>4</w:t>
                  </w:r>
                  <w:r w:rsidRPr="006E0F3C">
                    <w:rPr>
                      <w:rFonts w:hint="eastAsia"/>
                    </w:rPr>
                    <w:t>年</w:t>
                  </w:r>
                  <w:r>
                    <w:rPr>
                      <w:rFonts w:hint="eastAsia"/>
                    </w:rPr>
                    <w:t>四季度固定收益基金投资策略</w:t>
                  </w:r>
                </w:p>
                <w:p w:rsidR="00BB50AB" w:rsidRPr="00624366" w:rsidRDefault="00BB50AB" w:rsidP="00B10000">
                  <w:pPr>
                    <w:pStyle w:val="a2"/>
                    <w:jc w:val="right"/>
                    <w:rPr>
                      <w:sz w:val="28"/>
                      <w:szCs w:val="28"/>
                    </w:rPr>
                  </w:pPr>
                  <w:r>
                    <w:rPr>
                      <w:rFonts w:hint="eastAsia"/>
                      <w:sz w:val="28"/>
                      <w:szCs w:val="28"/>
                    </w:rPr>
                    <w:t>跟踪复苏形势，</w:t>
                  </w:r>
                  <w:r w:rsidRPr="00DD6A88">
                    <w:rPr>
                      <w:rFonts w:hint="eastAsia"/>
                      <w:sz w:val="28"/>
                      <w:szCs w:val="28"/>
                    </w:rPr>
                    <w:t>灵活布局</w:t>
                  </w:r>
                  <w:r>
                    <w:rPr>
                      <w:rFonts w:hint="eastAsia"/>
                      <w:sz w:val="28"/>
                      <w:szCs w:val="28"/>
                    </w:rPr>
                    <w:t>是关键</w:t>
                  </w:r>
                </w:p>
              </w:txbxContent>
            </v:textbox>
          </v:shape>
          <v:shape id="_x0000_s2057" type="#_x0000_t202" style="position:absolute;left:3246;top:2578;width:7993;height:627" strokecolor="white">
            <v:textbox style="mso-next-textbox:#_x0000_s2057">
              <w:txbxContent>
                <w:p w:rsidR="00BB50AB" w:rsidRPr="006E0F3C" w:rsidRDefault="00BB50AB" w:rsidP="00B10000">
                  <w:pPr>
                    <w:pStyle w:val="a3"/>
                  </w:pPr>
                  <w:r w:rsidRPr="006E0F3C">
                    <w:rPr>
                      <w:rFonts w:hint="eastAsia"/>
                    </w:rPr>
                    <w:t>张</w:t>
                  </w:r>
                  <w:r>
                    <w:rPr>
                      <w:rFonts w:hint="eastAsia"/>
                    </w:rPr>
                    <w:t>慧</w:t>
                  </w:r>
                  <w:r w:rsidRPr="006E0F3C">
                    <w:t xml:space="preserve"> </w:t>
                  </w:r>
                  <w:r>
                    <w:rPr>
                      <w:rFonts w:hint="eastAsia"/>
                    </w:rPr>
                    <w:t>高级</w:t>
                  </w:r>
                  <w:r w:rsidRPr="006E0F3C">
                    <w:rPr>
                      <w:rFonts w:hint="eastAsia"/>
                    </w:rPr>
                    <w:t>分析师</w:t>
                  </w:r>
                  <w:r w:rsidRPr="006E0F3C">
                    <w:t xml:space="preserve"> </w:t>
                  </w:r>
                </w:p>
              </w:txbxContent>
            </v:textbox>
          </v:shape>
          <w10:anchorlock/>
        </v:group>
      </w:pict>
    </w:r>
    <w:r>
      <w:pict>
        <v:rect id="_x0000_i1037"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hint="default"/>
        <w:color w:val="FF0000"/>
        <w:sz w:val="20"/>
      </w:rPr>
    </w:lvl>
  </w:abstractNum>
  <w:abstractNum w:abstractNumId="1">
    <w:nsid w:val="492C6DD3"/>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00"/>
    <w:rsid w:val="00001F91"/>
    <w:rsid w:val="00003F83"/>
    <w:rsid w:val="000057EE"/>
    <w:rsid w:val="00006DB0"/>
    <w:rsid w:val="000122A8"/>
    <w:rsid w:val="00012713"/>
    <w:rsid w:val="000128A1"/>
    <w:rsid w:val="00014D2E"/>
    <w:rsid w:val="00015A52"/>
    <w:rsid w:val="00015EB7"/>
    <w:rsid w:val="00020E9A"/>
    <w:rsid w:val="00022E9E"/>
    <w:rsid w:val="00023D0E"/>
    <w:rsid w:val="00024C9F"/>
    <w:rsid w:val="0002745B"/>
    <w:rsid w:val="00027857"/>
    <w:rsid w:val="00031257"/>
    <w:rsid w:val="00032D21"/>
    <w:rsid w:val="00034C20"/>
    <w:rsid w:val="0004137F"/>
    <w:rsid w:val="00041B30"/>
    <w:rsid w:val="00043C02"/>
    <w:rsid w:val="00045D80"/>
    <w:rsid w:val="000477CC"/>
    <w:rsid w:val="000535F1"/>
    <w:rsid w:val="00053F77"/>
    <w:rsid w:val="00060984"/>
    <w:rsid w:val="0006104C"/>
    <w:rsid w:val="00061B48"/>
    <w:rsid w:val="00062B6C"/>
    <w:rsid w:val="00064309"/>
    <w:rsid w:val="00064E6B"/>
    <w:rsid w:val="00065805"/>
    <w:rsid w:val="0006686B"/>
    <w:rsid w:val="00080BE5"/>
    <w:rsid w:val="0008521E"/>
    <w:rsid w:val="00086CB8"/>
    <w:rsid w:val="00090552"/>
    <w:rsid w:val="000924E6"/>
    <w:rsid w:val="000929DE"/>
    <w:rsid w:val="00094FAA"/>
    <w:rsid w:val="000962F1"/>
    <w:rsid w:val="000A4E5D"/>
    <w:rsid w:val="000B7846"/>
    <w:rsid w:val="000C0FA0"/>
    <w:rsid w:val="000C545F"/>
    <w:rsid w:val="000C6B01"/>
    <w:rsid w:val="000C7E34"/>
    <w:rsid w:val="000C7FAA"/>
    <w:rsid w:val="000D5873"/>
    <w:rsid w:val="000E00F2"/>
    <w:rsid w:val="000E1840"/>
    <w:rsid w:val="000E1CD5"/>
    <w:rsid w:val="000E43C7"/>
    <w:rsid w:val="000F3977"/>
    <w:rsid w:val="000F55C1"/>
    <w:rsid w:val="000F78B4"/>
    <w:rsid w:val="001001FF"/>
    <w:rsid w:val="00100D8A"/>
    <w:rsid w:val="00104076"/>
    <w:rsid w:val="001111F3"/>
    <w:rsid w:val="00111FCA"/>
    <w:rsid w:val="0011770B"/>
    <w:rsid w:val="00117834"/>
    <w:rsid w:val="00121855"/>
    <w:rsid w:val="00122857"/>
    <w:rsid w:val="00124C1F"/>
    <w:rsid w:val="00125263"/>
    <w:rsid w:val="00125F5D"/>
    <w:rsid w:val="001406E2"/>
    <w:rsid w:val="00144AFA"/>
    <w:rsid w:val="00150571"/>
    <w:rsid w:val="00150D4F"/>
    <w:rsid w:val="0015293D"/>
    <w:rsid w:val="00153CAE"/>
    <w:rsid w:val="00161061"/>
    <w:rsid w:val="001614D0"/>
    <w:rsid w:val="00165527"/>
    <w:rsid w:val="00165BBB"/>
    <w:rsid w:val="001710F9"/>
    <w:rsid w:val="001752DC"/>
    <w:rsid w:val="001768A4"/>
    <w:rsid w:val="001809AC"/>
    <w:rsid w:val="00182284"/>
    <w:rsid w:val="001829AC"/>
    <w:rsid w:val="00186048"/>
    <w:rsid w:val="00187410"/>
    <w:rsid w:val="00190435"/>
    <w:rsid w:val="00194B63"/>
    <w:rsid w:val="0019741B"/>
    <w:rsid w:val="001A0CA4"/>
    <w:rsid w:val="001A300C"/>
    <w:rsid w:val="001A56DB"/>
    <w:rsid w:val="001B189D"/>
    <w:rsid w:val="001B1B2E"/>
    <w:rsid w:val="001B20B4"/>
    <w:rsid w:val="001B4582"/>
    <w:rsid w:val="001C2CDC"/>
    <w:rsid w:val="001C3680"/>
    <w:rsid w:val="001C3EC6"/>
    <w:rsid w:val="001C45D6"/>
    <w:rsid w:val="001D1A4F"/>
    <w:rsid w:val="001D4D2B"/>
    <w:rsid w:val="001D6942"/>
    <w:rsid w:val="001E032C"/>
    <w:rsid w:val="001E1C99"/>
    <w:rsid w:val="001E4D30"/>
    <w:rsid w:val="001E5FC5"/>
    <w:rsid w:val="001E72B3"/>
    <w:rsid w:val="001F3614"/>
    <w:rsid w:val="001F3A1A"/>
    <w:rsid w:val="001F44EC"/>
    <w:rsid w:val="001F4E00"/>
    <w:rsid w:val="001F54FD"/>
    <w:rsid w:val="0020166B"/>
    <w:rsid w:val="0020247A"/>
    <w:rsid w:val="00203CD3"/>
    <w:rsid w:val="00210ECB"/>
    <w:rsid w:val="00212B50"/>
    <w:rsid w:val="00212E11"/>
    <w:rsid w:val="002160AD"/>
    <w:rsid w:val="00221AE1"/>
    <w:rsid w:val="0022362D"/>
    <w:rsid w:val="00223F4D"/>
    <w:rsid w:val="0024521E"/>
    <w:rsid w:val="0025007F"/>
    <w:rsid w:val="00250B6E"/>
    <w:rsid w:val="00251500"/>
    <w:rsid w:val="00257C22"/>
    <w:rsid w:val="00261443"/>
    <w:rsid w:val="002666FF"/>
    <w:rsid w:val="00270A25"/>
    <w:rsid w:val="002713F3"/>
    <w:rsid w:val="002722C7"/>
    <w:rsid w:val="00274AB0"/>
    <w:rsid w:val="0027715B"/>
    <w:rsid w:val="00277211"/>
    <w:rsid w:val="002911BF"/>
    <w:rsid w:val="00294640"/>
    <w:rsid w:val="002A025D"/>
    <w:rsid w:val="002A638B"/>
    <w:rsid w:val="002A764C"/>
    <w:rsid w:val="002B0C58"/>
    <w:rsid w:val="002B1BC8"/>
    <w:rsid w:val="002B1C51"/>
    <w:rsid w:val="002B40A5"/>
    <w:rsid w:val="002C00D0"/>
    <w:rsid w:val="002C2023"/>
    <w:rsid w:val="002C2526"/>
    <w:rsid w:val="002C717D"/>
    <w:rsid w:val="002D6803"/>
    <w:rsid w:val="002D7CB0"/>
    <w:rsid w:val="002E0C76"/>
    <w:rsid w:val="002E2326"/>
    <w:rsid w:val="002E4DF0"/>
    <w:rsid w:val="002F08BD"/>
    <w:rsid w:val="002F3409"/>
    <w:rsid w:val="002F4CF9"/>
    <w:rsid w:val="002F74D5"/>
    <w:rsid w:val="00302E0E"/>
    <w:rsid w:val="003063BD"/>
    <w:rsid w:val="00306ADF"/>
    <w:rsid w:val="003102B3"/>
    <w:rsid w:val="003123F3"/>
    <w:rsid w:val="0031310D"/>
    <w:rsid w:val="003132BB"/>
    <w:rsid w:val="00315587"/>
    <w:rsid w:val="00323565"/>
    <w:rsid w:val="0032522F"/>
    <w:rsid w:val="00330CBB"/>
    <w:rsid w:val="00331C44"/>
    <w:rsid w:val="00332185"/>
    <w:rsid w:val="0033565D"/>
    <w:rsid w:val="00336307"/>
    <w:rsid w:val="003413AA"/>
    <w:rsid w:val="003414CC"/>
    <w:rsid w:val="0034259B"/>
    <w:rsid w:val="003447ED"/>
    <w:rsid w:val="003457AF"/>
    <w:rsid w:val="00346F4E"/>
    <w:rsid w:val="00350706"/>
    <w:rsid w:val="00351ADC"/>
    <w:rsid w:val="00351C25"/>
    <w:rsid w:val="00355275"/>
    <w:rsid w:val="003561EA"/>
    <w:rsid w:val="0036269E"/>
    <w:rsid w:val="003629A1"/>
    <w:rsid w:val="00366938"/>
    <w:rsid w:val="003702AB"/>
    <w:rsid w:val="00373893"/>
    <w:rsid w:val="00377496"/>
    <w:rsid w:val="003828C9"/>
    <w:rsid w:val="003828CE"/>
    <w:rsid w:val="003834D6"/>
    <w:rsid w:val="003857CF"/>
    <w:rsid w:val="003867C4"/>
    <w:rsid w:val="003910E0"/>
    <w:rsid w:val="00392317"/>
    <w:rsid w:val="00392A70"/>
    <w:rsid w:val="0039603C"/>
    <w:rsid w:val="003975A1"/>
    <w:rsid w:val="003A2491"/>
    <w:rsid w:val="003A3B75"/>
    <w:rsid w:val="003A44A3"/>
    <w:rsid w:val="003A4685"/>
    <w:rsid w:val="003A5153"/>
    <w:rsid w:val="003A5512"/>
    <w:rsid w:val="003A6147"/>
    <w:rsid w:val="003A6A16"/>
    <w:rsid w:val="003B205A"/>
    <w:rsid w:val="003B3359"/>
    <w:rsid w:val="003B3E0A"/>
    <w:rsid w:val="003B64DD"/>
    <w:rsid w:val="003B6727"/>
    <w:rsid w:val="003B6E5C"/>
    <w:rsid w:val="003B7475"/>
    <w:rsid w:val="003C1A64"/>
    <w:rsid w:val="003C3A65"/>
    <w:rsid w:val="003D1BF3"/>
    <w:rsid w:val="003D7D62"/>
    <w:rsid w:val="003E0406"/>
    <w:rsid w:val="003F008F"/>
    <w:rsid w:val="003F0C0C"/>
    <w:rsid w:val="00404B1C"/>
    <w:rsid w:val="00404ECB"/>
    <w:rsid w:val="00404F4A"/>
    <w:rsid w:val="00405AB2"/>
    <w:rsid w:val="0040658D"/>
    <w:rsid w:val="00413600"/>
    <w:rsid w:val="00420CA2"/>
    <w:rsid w:val="00424316"/>
    <w:rsid w:val="004256F7"/>
    <w:rsid w:val="00427624"/>
    <w:rsid w:val="00433A09"/>
    <w:rsid w:val="00433E54"/>
    <w:rsid w:val="00436202"/>
    <w:rsid w:val="004378B1"/>
    <w:rsid w:val="00440A22"/>
    <w:rsid w:val="00441172"/>
    <w:rsid w:val="00441566"/>
    <w:rsid w:val="00442631"/>
    <w:rsid w:val="0044267B"/>
    <w:rsid w:val="00456189"/>
    <w:rsid w:val="00461A10"/>
    <w:rsid w:val="004632C0"/>
    <w:rsid w:val="00467E79"/>
    <w:rsid w:val="00470BA8"/>
    <w:rsid w:val="00470BBC"/>
    <w:rsid w:val="00470C45"/>
    <w:rsid w:val="0047347C"/>
    <w:rsid w:val="00476E22"/>
    <w:rsid w:val="00481ECF"/>
    <w:rsid w:val="004852EB"/>
    <w:rsid w:val="00486443"/>
    <w:rsid w:val="0049134D"/>
    <w:rsid w:val="00492DD9"/>
    <w:rsid w:val="00494371"/>
    <w:rsid w:val="004A1881"/>
    <w:rsid w:val="004A248A"/>
    <w:rsid w:val="004A7132"/>
    <w:rsid w:val="004B0FC3"/>
    <w:rsid w:val="004B4D10"/>
    <w:rsid w:val="004B5A0F"/>
    <w:rsid w:val="004B6C4B"/>
    <w:rsid w:val="004C59FC"/>
    <w:rsid w:val="004C60FE"/>
    <w:rsid w:val="004C6F14"/>
    <w:rsid w:val="004D778E"/>
    <w:rsid w:val="004E231C"/>
    <w:rsid w:val="004E2CFD"/>
    <w:rsid w:val="004E3D3A"/>
    <w:rsid w:val="004F20FC"/>
    <w:rsid w:val="004F2875"/>
    <w:rsid w:val="004F79A9"/>
    <w:rsid w:val="004F79D3"/>
    <w:rsid w:val="005019FD"/>
    <w:rsid w:val="00504CF7"/>
    <w:rsid w:val="005057E5"/>
    <w:rsid w:val="005064FB"/>
    <w:rsid w:val="0050728E"/>
    <w:rsid w:val="005102D7"/>
    <w:rsid w:val="00512C32"/>
    <w:rsid w:val="00513274"/>
    <w:rsid w:val="00514CFF"/>
    <w:rsid w:val="00514D20"/>
    <w:rsid w:val="00517D1B"/>
    <w:rsid w:val="0052130B"/>
    <w:rsid w:val="005232B7"/>
    <w:rsid w:val="00523B92"/>
    <w:rsid w:val="00525E78"/>
    <w:rsid w:val="00525FC3"/>
    <w:rsid w:val="00527CB5"/>
    <w:rsid w:val="005305C1"/>
    <w:rsid w:val="0053149C"/>
    <w:rsid w:val="00532D8C"/>
    <w:rsid w:val="00534F82"/>
    <w:rsid w:val="00536588"/>
    <w:rsid w:val="005369CC"/>
    <w:rsid w:val="005373CB"/>
    <w:rsid w:val="0054063E"/>
    <w:rsid w:val="005424C1"/>
    <w:rsid w:val="00543A69"/>
    <w:rsid w:val="00552EFC"/>
    <w:rsid w:val="005540DF"/>
    <w:rsid w:val="00557B11"/>
    <w:rsid w:val="00561462"/>
    <w:rsid w:val="0056401D"/>
    <w:rsid w:val="005667FD"/>
    <w:rsid w:val="005710BA"/>
    <w:rsid w:val="00572AC5"/>
    <w:rsid w:val="00572B76"/>
    <w:rsid w:val="00572ED3"/>
    <w:rsid w:val="00575434"/>
    <w:rsid w:val="0058037B"/>
    <w:rsid w:val="00585BA0"/>
    <w:rsid w:val="00592ED3"/>
    <w:rsid w:val="00595B0B"/>
    <w:rsid w:val="005A1B89"/>
    <w:rsid w:val="005A1C59"/>
    <w:rsid w:val="005A3F57"/>
    <w:rsid w:val="005A47B5"/>
    <w:rsid w:val="005B10F6"/>
    <w:rsid w:val="005B4263"/>
    <w:rsid w:val="005B7EC8"/>
    <w:rsid w:val="005C0177"/>
    <w:rsid w:val="005C0E1D"/>
    <w:rsid w:val="005C17B6"/>
    <w:rsid w:val="005C21FB"/>
    <w:rsid w:val="005C280C"/>
    <w:rsid w:val="005C68E2"/>
    <w:rsid w:val="005C7EAA"/>
    <w:rsid w:val="005C7EFD"/>
    <w:rsid w:val="005D024E"/>
    <w:rsid w:val="005D15AD"/>
    <w:rsid w:val="005D1F58"/>
    <w:rsid w:val="005D5953"/>
    <w:rsid w:val="005D60CE"/>
    <w:rsid w:val="005D7B9D"/>
    <w:rsid w:val="005D7EDE"/>
    <w:rsid w:val="005E2FBB"/>
    <w:rsid w:val="005E5694"/>
    <w:rsid w:val="005F0464"/>
    <w:rsid w:val="005F0501"/>
    <w:rsid w:val="00606FAB"/>
    <w:rsid w:val="00607041"/>
    <w:rsid w:val="00610832"/>
    <w:rsid w:val="0061157C"/>
    <w:rsid w:val="00614C7B"/>
    <w:rsid w:val="006153E3"/>
    <w:rsid w:val="00616855"/>
    <w:rsid w:val="00617086"/>
    <w:rsid w:val="00620CC7"/>
    <w:rsid w:val="00623838"/>
    <w:rsid w:val="00623BB0"/>
    <w:rsid w:val="00623C62"/>
    <w:rsid w:val="00624366"/>
    <w:rsid w:val="00626040"/>
    <w:rsid w:val="00626F30"/>
    <w:rsid w:val="00631CED"/>
    <w:rsid w:val="00635482"/>
    <w:rsid w:val="00635610"/>
    <w:rsid w:val="00641AB4"/>
    <w:rsid w:val="00642AA4"/>
    <w:rsid w:val="00650456"/>
    <w:rsid w:val="00653AB6"/>
    <w:rsid w:val="00656031"/>
    <w:rsid w:val="00657A0E"/>
    <w:rsid w:val="00657B3D"/>
    <w:rsid w:val="00662D48"/>
    <w:rsid w:val="006633D9"/>
    <w:rsid w:val="00665932"/>
    <w:rsid w:val="006668B4"/>
    <w:rsid w:val="0067226B"/>
    <w:rsid w:val="0067689A"/>
    <w:rsid w:val="006808A3"/>
    <w:rsid w:val="0068252A"/>
    <w:rsid w:val="00684747"/>
    <w:rsid w:val="0068667F"/>
    <w:rsid w:val="006866F1"/>
    <w:rsid w:val="0069071C"/>
    <w:rsid w:val="006A4237"/>
    <w:rsid w:val="006A4E1D"/>
    <w:rsid w:val="006B1453"/>
    <w:rsid w:val="006B1B73"/>
    <w:rsid w:val="006B4F1A"/>
    <w:rsid w:val="006C1B89"/>
    <w:rsid w:val="006C1E7E"/>
    <w:rsid w:val="006C46C1"/>
    <w:rsid w:val="006C47F2"/>
    <w:rsid w:val="006D02E2"/>
    <w:rsid w:val="006D1649"/>
    <w:rsid w:val="006D2262"/>
    <w:rsid w:val="006D2EF7"/>
    <w:rsid w:val="006D51F8"/>
    <w:rsid w:val="006D6B8B"/>
    <w:rsid w:val="006E0F3C"/>
    <w:rsid w:val="006E0FFF"/>
    <w:rsid w:val="006E1A2B"/>
    <w:rsid w:val="006E69FA"/>
    <w:rsid w:val="006E7521"/>
    <w:rsid w:val="006F16C1"/>
    <w:rsid w:val="006F2AB8"/>
    <w:rsid w:val="00704ECE"/>
    <w:rsid w:val="00706AAD"/>
    <w:rsid w:val="0070710F"/>
    <w:rsid w:val="007073AF"/>
    <w:rsid w:val="00711BBE"/>
    <w:rsid w:val="00715093"/>
    <w:rsid w:val="007153DD"/>
    <w:rsid w:val="0072033A"/>
    <w:rsid w:val="00726641"/>
    <w:rsid w:val="00731412"/>
    <w:rsid w:val="00737BFE"/>
    <w:rsid w:val="00740E35"/>
    <w:rsid w:val="007516EF"/>
    <w:rsid w:val="00756951"/>
    <w:rsid w:val="00757B1C"/>
    <w:rsid w:val="0076273D"/>
    <w:rsid w:val="00771132"/>
    <w:rsid w:val="00772588"/>
    <w:rsid w:val="00776571"/>
    <w:rsid w:val="007771E3"/>
    <w:rsid w:val="0078373C"/>
    <w:rsid w:val="00783E28"/>
    <w:rsid w:val="00784772"/>
    <w:rsid w:val="00787B69"/>
    <w:rsid w:val="0079497E"/>
    <w:rsid w:val="00796191"/>
    <w:rsid w:val="007A1AE2"/>
    <w:rsid w:val="007A20A3"/>
    <w:rsid w:val="007A71EB"/>
    <w:rsid w:val="007B053D"/>
    <w:rsid w:val="007B2206"/>
    <w:rsid w:val="007B3051"/>
    <w:rsid w:val="007B60C6"/>
    <w:rsid w:val="007C1B15"/>
    <w:rsid w:val="007C2C81"/>
    <w:rsid w:val="007D438D"/>
    <w:rsid w:val="007D58FF"/>
    <w:rsid w:val="007E092E"/>
    <w:rsid w:val="007E10CE"/>
    <w:rsid w:val="007E241D"/>
    <w:rsid w:val="007E481C"/>
    <w:rsid w:val="007E6B69"/>
    <w:rsid w:val="007F2107"/>
    <w:rsid w:val="007F2D4A"/>
    <w:rsid w:val="007F4BBA"/>
    <w:rsid w:val="00800197"/>
    <w:rsid w:val="00800C16"/>
    <w:rsid w:val="008116A5"/>
    <w:rsid w:val="0081385D"/>
    <w:rsid w:val="00814BBA"/>
    <w:rsid w:val="0082116D"/>
    <w:rsid w:val="00821C41"/>
    <w:rsid w:val="008230AA"/>
    <w:rsid w:val="008242A1"/>
    <w:rsid w:val="0082616A"/>
    <w:rsid w:val="00831078"/>
    <w:rsid w:val="008321CF"/>
    <w:rsid w:val="0083398C"/>
    <w:rsid w:val="00834115"/>
    <w:rsid w:val="008354B6"/>
    <w:rsid w:val="0084002A"/>
    <w:rsid w:val="00841D78"/>
    <w:rsid w:val="00846B00"/>
    <w:rsid w:val="0085382F"/>
    <w:rsid w:val="00854736"/>
    <w:rsid w:val="008560CA"/>
    <w:rsid w:val="008574AF"/>
    <w:rsid w:val="0086042F"/>
    <w:rsid w:val="008605D7"/>
    <w:rsid w:val="008612F7"/>
    <w:rsid w:val="00861817"/>
    <w:rsid w:val="00862B1C"/>
    <w:rsid w:val="00870822"/>
    <w:rsid w:val="0087097B"/>
    <w:rsid w:val="00870C9F"/>
    <w:rsid w:val="00873D95"/>
    <w:rsid w:val="00874D1A"/>
    <w:rsid w:val="00881490"/>
    <w:rsid w:val="008840A4"/>
    <w:rsid w:val="00884703"/>
    <w:rsid w:val="00887B3B"/>
    <w:rsid w:val="00890556"/>
    <w:rsid w:val="00891709"/>
    <w:rsid w:val="00893939"/>
    <w:rsid w:val="0089627A"/>
    <w:rsid w:val="008A2246"/>
    <w:rsid w:val="008A65EF"/>
    <w:rsid w:val="008B1D06"/>
    <w:rsid w:val="008B56E7"/>
    <w:rsid w:val="008B7A75"/>
    <w:rsid w:val="008C0928"/>
    <w:rsid w:val="008C515E"/>
    <w:rsid w:val="008C53C1"/>
    <w:rsid w:val="008D066D"/>
    <w:rsid w:val="008D3024"/>
    <w:rsid w:val="008D7B02"/>
    <w:rsid w:val="008E0858"/>
    <w:rsid w:val="008E3547"/>
    <w:rsid w:val="008E38C5"/>
    <w:rsid w:val="008E3EAF"/>
    <w:rsid w:val="008E6C3D"/>
    <w:rsid w:val="008F09ED"/>
    <w:rsid w:val="008F3E5C"/>
    <w:rsid w:val="008F669F"/>
    <w:rsid w:val="009021ED"/>
    <w:rsid w:val="009024B0"/>
    <w:rsid w:val="00903EBC"/>
    <w:rsid w:val="00904E9A"/>
    <w:rsid w:val="00905B57"/>
    <w:rsid w:val="009073B0"/>
    <w:rsid w:val="0091333C"/>
    <w:rsid w:val="00915BA4"/>
    <w:rsid w:val="009206FD"/>
    <w:rsid w:val="00920BA5"/>
    <w:rsid w:val="00921E19"/>
    <w:rsid w:val="00923230"/>
    <w:rsid w:val="00923A3C"/>
    <w:rsid w:val="00927CDF"/>
    <w:rsid w:val="0093016B"/>
    <w:rsid w:val="00934458"/>
    <w:rsid w:val="00937587"/>
    <w:rsid w:val="0093779E"/>
    <w:rsid w:val="00943372"/>
    <w:rsid w:val="00943DD8"/>
    <w:rsid w:val="0094454A"/>
    <w:rsid w:val="00944C40"/>
    <w:rsid w:val="00946493"/>
    <w:rsid w:val="00946662"/>
    <w:rsid w:val="009467DB"/>
    <w:rsid w:val="00954113"/>
    <w:rsid w:val="0095454F"/>
    <w:rsid w:val="009555FD"/>
    <w:rsid w:val="009565B6"/>
    <w:rsid w:val="009610AF"/>
    <w:rsid w:val="009617E0"/>
    <w:rsid w:val="00961E7F"/>
    <w:rsid w:val="0096340B"/>
    <w:rsid w:val="0096524D"/>
    <w:rsid w:val="00967426"/>
    <w:rsid w:val="00971504"/>
    <w:rsid w:val="00976144"/>
    <w:rsid w:val="0098091D"/>
    <w:rsid w:val="0098267C"/>
    <w:rsid w:val="00992CC4"/>
    <w:rsid w:val="00992F87"/>
    <w:rsid w:val="00993BA3"/>
    <w:rsid w:val="009A3191"/>
    <w:rsid w:val="009A46C3"/>
    <w:rsid w:val="009B0C70"/>
    <w:rsid w:val="009B453E"/>
    <w:rsid w:val="009B5989"/>
    <w:rsid w:val="009B608E"/>
    <w:rsid w:val="009C0B9B"/>
    <w:rsid w:val="009C0C5E"/>
    <w:rsid w:val="009C4344"/>
    <w:rsid w:val="009C5EC3"/>
    <w:rsid w:val="009E1787"/>
    <w:rsid w:val="009E2B59"/>
    <w:rsid w:val="009E48A9"/>
    <w:rsid w:val="009E75FC"/>
    <w:rsid w:val="009F110E"/>
    <w:rsid w:val="009F11B7"/>
    <w:rsid w:val="009F279E"/>
    <w:rsid w:val="009F7F1E"/>
    <w:rsid w:val="00A01F81"/>
    <w:rsid w:val="00A04315"/>
    <w:rsid w:val="00A06098"/>
    <w:rsid w:val="00A121EA"/>
    <w:rsid w:val="00A213F3"/>
    <w:rsid w:val="00A22F7D"/>
    <w:rsid w:val="00A3700B"/>
    <w:rsid w:val="00A42F40"/>
    <w:rsid w:val="00A45BE5"/>
    <w:rsid w:val="00A47FEB"/>
    <w:rsid w:val="00A533C3"/>
    <w:rsid w:val="00A54BA0"/>
    <w:rsid w:val="00A55417"/>
    <w:rsid w:val="00A57EA4"/>
    <w:rsid w:val="00A62CC6"/>
    <w:rsid w:val="00A6439D"/>
    <w:rsid w:val="00A65ADB"/>
    <w:rsid w:val="00A67FA4"/>
    <w:rsid w:val="00A7196D"/>
    <w:rsid w:val="00A727A0"/>
    <w:rsid w:val="00A7448C"/>
    <w:rsid w:val="00A74949"/>
    <w:rsid w:val="00A760B7"/>
    <w:rsid w:val="00A7732F"/>
    <w:rsid w:val="00A802CC"/>
    <w:rsid w:val="00A810A1"/>
    <w:rsid w:val="00A82281"/>
    <w:rsid w:val="00A8500F"/>
    <w:rsid w:val="00A9194A"/>
    <w:rsid w:val="00A91F66"/>
    <w:rsid w:val="00A93B8C"/>
    <w:rsid w:val="00AA0B48"/>
    <w:rsid w:val="00AA1691"/>
    <w:rsid w:val="00AA2813"/>
    <w:rsid w:val="00AA5D1E"/>
    <w:rsid w:val="00AA624B"/>
    <w:rsid w:val="00AA6BF8"/>
    <w:rsid w:val="00AA7DAD"/>
    <w:rsid w:val="00AB191D"/>
    <w:rsid w:val="00AB3E5D"/>
    <w:rsid w:val="00AB5E92"/>
    <w:rsid w:val="00AC321D"/>
    <w:rsid w:val="00AC3384"/>
    <w:rsid w:val="00AC64B8"/>
    <w:rsid w:val="00AC7B94"/>
    <w:rsid w:val="00AD5B15"/>
    <w:rsid w:val="00AD6A00"/>
    <w:rsid w:val="00AD7C0B"/>
    <w:rsid w:val="00AD7EB6"/>
    <w:rsid w:val="00AE08DB"/>
    <w:rsid w:val="00AE1EA9"/>
    <w:rsid w:val="00AE242D"/>
    <w:rsid w:val="00AE4171"/>
    <w:rsid w:val="00AE52C8"/>
    <w:rsid w:val="00AE61C2"/>
    <w:rsid w:val="00AE676D"/>
    <w:rsid w:val="00AF578A"/>
    <w:rsid w:val="00AF5F69"/>
    <w:rsid w:val="00AF7483"/>
    <w:rsid w:val="00B012C9"/>
    <w:rsid w:val="00B01B61"/>
    <w:rsid w:val="00B04672"/>
    <w:rsid w:val="00B10000"/>
    <w:rsid w:val="00B10682"/>
    <w:rsid w:val="00B128AF"/>
    <w:rsid w:val="00B144FB"/>
    <w:rsid w:val="00B24335"/>
    <w:rsid w:val="00B26498"/>
    <w:rsid w:val="00B2689A"/>
    <w:rsid w:val="00B35E89"/>
    <w:rsid w:val="00B3731C"/>
    <w:rsid w:val="00B427FB"/>
    <w:rsid w:val="00B4373A"/>
    <w:rsid w:val="00B458AA"/>
    <w:rsid w:val="00B463B2"/>
    <w:rsid w:val="00B474A5"/>
    <w:rsid w:val="00B50E6D"/>
    <w:rsid w:val="00B55E1B"/>
    <w:rsid w:val="00B60EED"/>
    <w:rsid w:val="00B63A2C"/>
    <w:rsid w:val="00B73E62"/>
    <w:rsid w:val="00B7421F"/>
    <w:rsid w:val="00B84D00"/>
    <w:rsid w:val="00B91981"/>
    <w:rsid w:val="00B91B96"/>
    <w:rsid w:val="00B91C8C"/>
    <w:rsid w:val="00B92141"/>
    <w:rsid w:val="00B925E3"/>
    <w:rsid w:val="00BA06B3"/>
    <w:rsid w:val="00BA6FE6"/>
    <w:rsid w:val="00BB0DBE"/>
    <w:rsid w:val="00BB377B"/>
    <w:rsid w:val="00BB3871"/>
    <w:rsid w:val="00BB46A0"/>
    <w:rsid w:val="00BB50AB"/>
    <w:rsid w:val="00BB66E2"/>
    <w:rsid w:val="00BB7373"/>
    <w:rsid w:val="00BC71C8"/>
    <w:rsid w:val="00BC7330"/>
    <w:rsid w:val="00BC7920"/>
    <w:rsid w:val="00BE1948"/>
    <w:rsid w:val="00BE2C81"/>
    <w:rsid w:val="00BE6297"/>
    <w:rsid w:val="00BF0FC0"/>
    <w:rsid w:val="00BF115B"/>
    <w:rsid w:val="00BF2207"/>
    <w:rsid w:val="00BF2EBE"/>
    <w:rsid w:val="00BF4CA7"/>
    <w:rsid w:val="00BF7807"/>
    <w:rsid w:val="00C0080D"/>
    <w:rsid w:val="00C05A34"/>
    <w:rsid w:val="00C07849"/>
    <w:rsid w:val="00C10870"/>
    <w:rsid w:val="00C10BAB"/>
    <w:rsid w:val="00C145F8"/>
    <w:rsid w:val="00C14D6E"/>
    <w:rsid w:val="00C254EB"/>
    <w:rsid w:val="00C27928"/>
    <w:rsid w:val="00C314CA"/>
    <w:rsid w:val="00C318DB"/>
    <w:rsid w:val="00C32787"/>
    <w:rsid w:val="00C36F5A"/>
    <w:rsid w:val="00C372C9"/>
    <w:rsid w:val="00C40E51"/>
    <w:rsid w:val="00C4113F"/>
    <w:rsid w:val="00C456A4"/>
    <w:rsid w:val="00C5158E"/>
    <w:rsid w:val="00C54BE3"/>
    <w:rsid w:val="00C55B35"/>
    <w:rsid w:val="00C5601B"/>
    <w:rsid w:val="00C7073A"/>
    <w:rsid w:val="00C731DA"/>
    <w:rsid w:val="00C75745"/>
    <w:rsid w:val="00C77539"/>
    <w:rsid w:val="00C77E3F"/>
    <w:rsid w:val="00C806CE"/>
    <w:rsid w:val="00C80721"/>
    <w:rsid w:val="00C956C8"/>
    <w:rsid w:val="00C9758F"/>
    <w:rsid w:val="00CA3AF2"/>
    <w:rsid w:val="00CC2760"/>
    <w:rsid w:val="00CC2FFD"/>
    <w:rsid w:val="00CC3D40"/>
    <w:rsid w:val="00CC45C0"/>
    <w:rsid w:val="00CD2198"/>
    <w:rsid w:val="00CD2B03"/>
    <w:rsid w:val="00CD3EAF"/>
    <w:rsid w:val="00CD4CB3"/>
    <w:rsid w:val="00CD5F33"/>
    <w:rsid w:val="00CE10D8"/>
    <w:rsid w:val="00CE224A"/>
    <w:rsid w:val="00CE2858"/>
    <w:rsid w:val="00CE31DE"/>
    <w:rsid w:val="00CE64B3"/>
    <w:rsid w:val="00CE68C0"/>
    <w:rsid w:val="00CF0869"/>
    <w:rsid w:val="00CF7208"/>
    <w:rsid w:val="00CF7AE4"/>
    <w:rsid w:val="00D00034"/>
    <w:rsid w:val="00D042E3"/>
    <w:rsid w:val="00D077BD"/>
    <w:rsid w:val="00D07953"/>
    <w:rsid w:val="00D12E10"/>
    <w:rsid w:val="00D1367C"/>
    <w:rsid w:val="00D16A13"/>
    <w:rsid w:val="00D245CF"/>
    <w:rsid w:val="00D248D9"/>
    <w:rsid w:val="00D26D05"/>
    <w:rsid w:val="00D27D0C"/>
    <w:rsid w:val="00D30538"/>
    <w:rsid w:val="00D40766"/>
    <w:rsid w:val="00D42B70"/>
    <w:rsid w:val="00D43317"/>
    <w:rsid w:val="00D47C6E"/>
    <w:rsid w:val="00D52BF5"/>
    <w:rsid w:val="00D538E6"/>
    <w:rsid w:val="00D542DB"/>
    <w:rsid w:val="00D647BA"/>
    <w:rsid w:val="00D656EF"/>
    <w:rsid w:val="00D70C2F"/>
    <w:rsid w:val="00D76A03"/>
    <w:rsid w:val="00D803DF"/>
    <w:rsid w:val="00D837C7"/>
    <w:rsid w:val="00D85FB3"/>
    <w:rsid w:val="00D86C4A"/>
    <w:rsid w:val="00D923E4"/>
    <w:rsid w:val="00D95A33"/>
    <w:rsid w:val="00DA438B"/>
    <w:rsid w:val="00DC2143"/>
    <w:rsid w:val="00DC356F"/>
    <w:rsid w:val="00DC54E5"/>
    <w:rsid w:val="00DC6B42"/>
    <w:rsid w:val="00DC7BBB"/>
    <w:rsid w:val="00DD034C"/>
    <w:rsid w:val="00DD2182"/>
    <w:rsid w:val="00DD4D4A"/>
    <w:rsid w:val="00DD52F3"/>
    <w:rsid w:val="00DD548C"/>
    <w:rsid w:val="00DD6A88"/>
    <w:rsid w:val="00DD744D"/>
    <w:rsid w:val="00DE46D7"/>
    <w:rsid w:val="00E00E09"/>
    <w:rsid w:val="00E0448A"/>
    <w:rsid w:val="00E0517E"/>
    <w:rsid w:val="00E1623B"/>
    <w:rsid w:val="00E1659C"/>
    <w:rsid w:val="00E21AF5"/>
    <w:rsid w:val="00E21CED"/>
    <w:rsid w:val="00E2226A"/>
    <w:rsid w:val="00E23A12"/>
    <w:rsid w:val="00E24444"/>
    <w:rsid w:val="00E249CB"/>
    <w:rsid w:val="00E24BA9"/>
    <w:rsid w:val="00E25638"/>
    <w:rsid w:val="00E268DE"/>
    <w:rsid w:val="00E316A6"/>
    <w:rsid w:val="00E3415B"/>
    <w:rsid w:val="00E34DBE"/>
    <w:rsid w:val="00E377B0"/>
    <w:rsid w:val="00E43B98"/>
    <w:rsid w:val="00E440EF"/>
    <w:rsid w:val="00E472AF"/>
    <w:rsid w:val="00E5553A"/>
    <w:rsid w:val="00E556BD"/>
    <w:rsid w:val="00E57C0D"/>
    <w:rsid w:val="00E60D06"/>
    <w:rsid w:val="00E63F68"/>
    <w:rsid w:val="00E66442"/>
    <w:rsid w:val="00E706B9"/>
    <w:rsid w:val="00E769B1"/>
    <w:rsid w:val="00E76D1C"/>
    <w:rsid w:val="00E84C30"/>
    <w:rsid w:val="00E86392"/>
    <w:rsid w:val="00E86BE1"/>
    <w:rsid w:val="00E879FB"/>
    <w:rsid w:val="00E91487"/>
    <w:rsid w:val="00E92207"/>
    <w:rsid w:val="00E94AA7"/>
    <w:rsid w:val="00E959EA"/>
    <w:rsid w:val="00EA5150"/>
    <w:rsid w:val="00EA6B97"/>
    <w:rsid w:val="00EB04CC"/>
    <w:rsid w:val="00EB0E91"/>
    <w:rsid w:val="00EB15BC"/>
    <w:rsid w:val="00EB1C4F"/>
    <w:rsid w:val="00EB5D85"/>
    <w:rsid w:val="00EC1EB9"/>
    <w:rsid w:val="00EC2ADB"/>
    <w:rsid w:val="00EC3015"/>
    <w:rsid w:val="00EC5529"/>
    <w:rsid w:val="00EC6F19"/>
    <w:rsid w:val="00ED135D"/>
    <w:rsid w:val="00ED1AFB"/>
    <w:rsid w:val="00ED200E"/>
    <w:rsid w:val="00ED4E4F"/>
    <w:rsid w:val="00ED7EF9"/>
    <w:rsid w:val="00ED7EFB"/>
    <w:rsid w:val="00EE218C"/>
    <w:rsid w:val="00EF1848"/>
    <w:rsid w:val="00EF2A9D"/>
    <w:rsid w:val="00EF335C"/>
    <w:rsid w:val="00EF4FF1"/>
    <w:rsid w:val="00F00E24"/>
    <w:rsid w:val="00F13993"/>
    <w:rsid w:val="00F15312"/>
    <w:rsid w:val="00F16EED"/>
    <w:rsid w:val="00F175BF"/>
    <w:rsid w:val="00F17E60"/>
    <w:rsid w:val="00F23BDA"/>
    <w:rsid w:val="00F2464A"/>
    <w:rsid w:val="00F25EE5"/>
    <w:rsid w:val="00F274AA"/>
    <w:rsid w:val="00F30355"/>
    <w:rsid w:val="00F372BF"/>
    <w:rsid w:val="00F40AE2"/>
    <w:rsid w:val="00F459C1"/>
    <w:rsid w:val="00F46383"/>
    <w:rsid w:val="00F509AB"/>
    <w:rsid w:val="00F51076"/>
    <w:rsid w:val="00F52469"/>
    <w:rsid w:val="00F61C55"/>
    <w:rsid w:val="00F65C8C"/>
    <w:rsid w:val="00F67427"/>
    <w:rsid w:val="00F7284C"/>
    <w:rsid w:val="00F73806"/>
    <w:rsid w:val="00F75D8F"/>
    <w:rsid w:val="00F8284D"/>
    <w:rsid w:val="00F83B43"/>
    <w:rsid w:val="00F83E9D"/>
    <w:rsid w:val="00F8490A"/>
    <w:rsid w:val="00F870A0"/>
    <w:rsid w:val="00F94CB6"/>
    <w:rsid w:val="00F95320"/>
    <w:rsid w:val="00F95F90"/>
    <w:rsid w:val="00F97BA3"/>
    <w:rsid w:val="00FA0576"/>
    <w:rsid w:val="00FA5BE8"/>
    <w:rsid w:val="00FA6162"/>
    <w:rsid w:val="00FA705A"/>
    <w:rsid w:val="00FA7BC2"/>
    <w:rsid w:val="00FB2055"/>
    <w:rsid w:val="00FB21DC"/>
    <w:rsid w:val="00FB4C0E"/>
    <w:rsid w:val="00FB7888"/>
    <w:rsid w:val="00FC0F24"/>
    <w:rsid w:val="00FC1A5D"/>
    <w:rsid w:val="00FC204C"/>
    <w:rsid w:val="00FC6A6F"/>
    <w:rsid w:val="00FC7E0E"/>
    <w:rsid w:val="00FD7870"/>
    <w:rsid w:val="00FE507D"/>
    <w:rsid w:val="00FF071A"/>
    <w:rsid w:val="00FF0ED0"/>
    <w:rsid w:val="00FF78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4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100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10000"/>
    <w:rPr>
      <w:rFonts w:cs="Times New Roman"/>
      <w:sz w:val="18"/>
      <w:szCs w:val="18"/>
    </w:rPr>
  </w:style>
  <w:style w:type="paragraph" w:styleId="Footer">
    <w:name w:val="footer"/>
    <w:basedOn w:val="Normal"/>
    <w:link w:val="FooterChar"/>
    <w:uiPriority w:val="99"/>
    <w:rsid w:val="00B100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000"/>
    <w:rPr>
      <w:rFonts w:cs="Times New Roman"/>
      <w:sz w:val="18"/>
      <w:szCs w:val="18"/>
    </w:rPr>
  </w:style>
  <w:style w:type="paragraph" w:customStyle="1" w:styleId="a">
    <w:name w:val="页眉报告名称"/>
    <w:link w:val="Char"/>
    <w:autoRedefine/>
    <w:uiPriority w:val="99"/>
    <w:rsid w:val="00B10000"/>
    <w:pPr>
      <w:spacing w:afterLines="100" w:line="240" w:lineRule="exact"/>
      <w:jc w:val="both"/>
    </w:pPr>
    <w:rPr>
      <w:rFonts w:eastAsia="华文新魏"/>
      <w:sz w:val="24"/>
    </w:rPr>
  </w:style>
  <w:style w:type="character" w:customStyle="1" w:styleId="Char">
    <w:name w:val="页眉报告名称 Char"/>
    <w:basedOn w:val="DefaultParagraphFont"/>
    <w:link w:val="a"/>
    <w:uiPriority w:val="99"/>
    <w:locked/>
    <w:rsid w:val="00B10000"/>
    <w:rPr>
      <w:rFonts w:ascii="Calibri" w:eastAsia="华文新魏" w:hAnsi="Calibri" w:cs="Times New Roman"/>
      <w:kern w:val="2"/>
      <w:sz w:val="22"/>
      <w:szCs w:val="22"/>
      <w:lang w:val="en-US" w:eastAsia="zh-CN" w:bidi="ar-SA"/>
    </w:rPr>
  </w:style>
  <w:style w:type="paragraph" w:customStyle="1" w:styleId="a0">
    <w:name w:val="页眉图片"/>
    <w:basedOn w:val="Header"/>
    <w:link w:val="Char0"/>
    <w:uiPriority w:val="99"/>
    <w:rsid w:val="00B10000"/>
    <w:pPr>
      <w:pBdr>
        <w:bottom w:val="none" w:sz="0" w:space="0" w:color="auto"/>
      </w:pBdr>
      <w:tabs>
        <w:tab w:val="clear" w:pos="4153"/>
        <w:tab w:val="clear" w:pos="8306"/>
        <w:tab w:val="right" w:pos="11424"/>
      </w:tabs>
      <w:jc w:val="left"/>
    </w:pPr>
    <w:rPr>
      <w:noProof/>
    </w:rPr>
  </w:style>
  <w:style w:type="character" w:customStyle="1" w:styleId="Char0">
    <w:name w:val="页眉图片 Char"/>
    <w:basedOn w:val="HeaderChar"/>
    <w:link w:val="a0"/>
    <w:uiPriority w:val="99"/>
    <w:locked/>
    <w:rsid w:val="00B10000"/>
    <w:rPr>
      <w:rFonts w:ascii="Calibri" w:eastAsia="宋体" w:hAnsi="Calibri"/>
      <w:noProof/>
    </w:rPr>
  </w:style>
  <w:style w:type="paragraph" w:customStyle="1" w:styleId="a1">
    <w:name w:val="页眉处日期"/>
    <w:basedOn w:val="Normal"/>
    <w:link w:val="Char1"/>
    <w:uiPriority w:val="99"/>
    <w:rsid w:val="00B10000"/>
    <w:pPr>
      <w:tabs>
        <w:tab w:val="right" w:pos="11424"/>
      </w:tabs>
      <w:snapToGrid w:val="0"/>
      <w:jc w:val="left"/>
    </w:pPr>
    <w:rPr>
      <w:rFonts w:ascii="华文隶书" w:eastAsia="华文隶书"/>
      <w:b/>
      <w:sz w:val="24"/>
      <w:szCs w:val="24"/>
    </w:rPr>
  </w:style>
  <w:style w:type="paragraph" w:customStyle="1" w:styleId="a2">
    <w:name w:val="页眉副标题"/>
    <w:basedOn w:val="Normal"/>
    <w:link w:val="Char2"/>
    <w:uiPriority w:val="99"/>
    <w:rsid w:val="00B10000"/>
    <w:pPr>
      <w:tabs>
        <w:tab w:val="right" w:pos="11424"/>
      </w:tabs>
      <w:snapToGrid w:val="0"/>
      <w:jc w:val="left"/>
    </w:pPr>
    <w:rPr>
      <w:rFonts w:ascii="华文隶书" w:eastAsia="华文隶书"/>
      <w:sz w:val="36"/>
      <w:szCs w:val="36"/>
    </w:rPr>
  </w:style>
  <w:style w:type="character" w:customStyle="1" w:styleId="Char1">
    <w:name w:val="页眉处日期 Char"/>
    <w:basedOn w:val="DefaultParagraphFont"/>
    <w:link w:val="a1"/>
    <w:uiPriority w:val="99"/>
    <w:locked/>
    <w:rsid w:val="00B10000"/>
    <w:rPr>
      <w:rFonts w:ascii="华文隶书" w:eastAsia="华文隶书" w:hAnsi="Calibri" w:cs="Times New Roman"/>
      <w:b/>
      <w:sz w:val="24"/>
      <w:szCs w:val="24"/>
    </w:rPr>
  </w:style>
  <w:style w:type="character" w:customStyle="1" w:styleId="Char2">
    <w:name w:val="页眉副标题 Char"/>
    <w:basedOn w:val="DefaultParagraphFont"/>
    <w:link w:val="a2"/>
    <w:uiPriority w:val="99"/>
    <w:locked/>
    <w:rsid w:val="00B10000"/>
    <w:rPr>
      <w:rFonts w:ascii="华文隶书" w:eastAsia="华文隶书" w:hAnsi="Calibri" w:cs="Times New Roman"/>
      <w:sz w:val="36"/>
      <w:szCs w:val="36"/>
    </w:rPr>
  </w:style>
  <w:style w:type="paragraph" w:customStyle="1" w:styleId="a3">
    <w:name w:val="页眉的分析师"/>
    <w:basedOn w:val="Normal"/>
    <w:link w:val="Char3"/>
    <w:uiPriority w:val="99"/>
    <w:rsid w:val="00B10000"/>
    <w:pPr>
      <w:tabs>
        <w:tab w:val="right" w:pos="11424"/>
      </w:tabs>
      <w:snapToGrid w:val="0"/>
      <w:spacing w:line="240" w:lineRule="exact"/>
      <w:jc w:val="right"/>
    </w:pPr>
    <w:rPr>
      <w:rFonts w:ascii="华文新魏" w:eastAsia="华文新魏"/>
      <w:szCs w:val="21"/>
    </w:rPr>
  </w:style>
  <w:style w:type="character" w:customStyle="1" w:styleId="Char3">
    <w:name w:val="页眉的分析师 Char"/>
    <w:basedOn w:val="DefaultParagraphFont"/>
    <w:link w:val="a3"/>
    <w:uiPriority w:val="99"/>
    <w:locked/>
    <w:rsid w:val="00B10000"/>
    <w:rPr>
      <w:rFonts w:ascii="华文新魏" w:eastAsia="华文新魏" w:hAnsi="Calibri" w:cs="Times New Roman"/>
      <w:sz w:val="21"/>
      <w:szCs w:val="21"/>
    </w:rPr>
  </w:style>
  <w:style w:type="paragraph" w:customStyle="1" w:styleId="12">
    <w:name w:val="页眉12"/>
    <w:basedOn w:val="Header"/>
    <w:link w:val="12Char"/>
    <w:uiPriority w:val="99"/>
    <w:rsid w:val="00B10000"/>
    <w:pPr>
      <w:pBdr>
        <w:bottom w:val="none" w:sz="0" w:space="0" w:color="auto"/>
      </w:pBdr>
      <w:tabs>
        <w:tab w:val="clear" w:pos="4153"/>
        <w:tab w:val="clear" w:pos="8306"/>
        <w:tab w:val="right" w:pos="11424"/>
      </w:tabs>
      <w:jc w:val="left"/>
    </w:pPr>
  </w:style>
  <w:style w:type="character" w:customStyle="1" w:styleId="12Char">
    <w:name w:val="页眉12 Char"/>
    <w:basedOn w:val="HeaderChar"/>
    <w:link w:val="12"/>
    <w:uiPriority w:val="99"/>
    <w:locked/>
    <w:rsid w:val="00B10000"/>
    <w:rPr>
      <w:rFonts w:ascii="Calibri" w:eastAsia="宋体" w:hAnsi="Calibri"/>
    </w:rPr>
  </w:style>
  <w:style w:type="paragraph" w:customStyle="1" w:styleId="2">
    <w:name w:val="页眉副标题2"/>
    <w:basedOn w:val="12"/>
    <w:link w:val="2Char"/>
    <w:uiPriority w:val="99"/>
    <w:rsid w:val="00B10000"/>
    <w:pPr>
      <w:jc w:val="right"/>
    </w:pPr>
    <w:rPr>
      <w:rFonts w:ascii="华文隶书" w:eastAsia="华文隶书"/>
      <w:sz w:val="21"/>
      <w:szCs w:val="21"/>
    </w:rPr>
  </w:style>
  <w:style w:type="character" w:customStyle="1" w:styleId="2Char">
    <w:name w:val="页眉副标题2 Char"/>
    <w:basedOn w:val="12Char"/>
    <w:link w:val="2"/>
    <w:uiPriority w:val="99"/>
    <w:locked/>
    <w:rsid w:val="00B10000"/>
    <w:rPr>
      <w:rFonts w:ascii="华文隶书" w:eastAsia="华文隶书"/>
      <w:sz w:val="21"/>
      <w:szCs w:val="21"/>
    </w:rPr>
  </w:style>
  <w:style w:type="paragraph" w:customStyle="1" w:styleId="a4">
    <w:name w:val="特别声明格式"/>
    <w:basedOn w:val="Normal"/>
    <w:link w:val="Char4"/>
    <w:uiPriority w:val="99"/>
    <w:rsid w:val="00B10000"/>
    <w:pPr>
      <w:spacing w:afterLines="100" w:line="240" w:lineRule="exact"/>
    </w:pPr>
    <w:rPr>
      <w:rFonts w:ascii="华文隶书" w:eastAsia="华文隶书"/>
      <w:sz w:val="28"/>
    </w:rPr>
  </w:style>
  <w:style w:type="character" w:customStyle="1" w:styleId="Char4">
    <w:name w:val="特别声明格式 Char"/>
    <w:basedOn w:val="DefaultParagraphFont"/>
    <w:link w:val="a4"/>
    <w:uiPriority w:val="99"/>
    <w:locked/>
    <w:rsid w:val="00B10000"/>
    <w:rPr>
      <w:rFonts w:ascii="华文隶书" w:eastAsia="华文隶书" w:hAnsi="Calibri" w:cs="Times New Roman"/>
      <w:sz w:val="28"/>
    </w:rPr>
  </w:style>
  <w:style w:type="paragraph" w:styleId="BodyText">
    <w:name w:val="Body Text"/>
    <w:basedOn w:val="Normal"/>
    <w:link w:val="BodyTextChar"/>
    <w:uiPriority w:val="99"/>
    <w:rsid w:val="00B10000"/>
    <w:pPr>
      <w:widowControl/>
      <w:spacing w:after="120" w:line="240" w:lineRule="exact"/>
      <w:ind w:left="3402"/>
    </w:pPr>
    <w:rPr>
      <w:rFonts w:ascii="Arial" w:eastAsia="楷体_GB2312" w:hAnsi="Arial"/>
      <w:color w:val="000000"/>
      <w:kern w:val="0"/>
      <w:szCs w:val="20"/>
      <w:lang w:val="en-GB"/>
    </w:rPr>
  </w:style>
  <w:style w:type="character" w:customStyle="1" w:styleId="BodyTextChar">
    <w:name w:val="Body Text Char"/>
    <w:basedOn w:val="DefaultParagraphFont"/>
    <w:link w:val="BodyText"/>
    <w:uiPriority w:val="99"/>
    <w:locked/>
    <w:rsid w:val="00B10000"/>
    <w:rPr>
      <w:rFonts w:ascii="Arial" w:eastAsia="楷体_GB2312" w:hAnsi="Arial" w:cs="Times New Roman"/>
      <w:color w:val="000000"/>
      <w:kern w:val="0"/>
      <w:sz w:val="20"/>
      <w:szCs w:val="20"/>
      <w:lang w:val="en-GB"/>
    </w:rPr>
  </w:style>
  <w:style w:type="paragraph" w:customStyle="1" w:styleId="FootnoteNoline">
    <w:name w:val="FootnoteNoline"/>
    <w:basedOn w:val="Normal"/>
    <w:next w:val="BodyText"/>
    <w:uiPriority w:val="99"/>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uiPriority w:val="99"/>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BalloonText">
    <w:name w:val="Balloon Text"/>
    <w:basedOn w:val="Normal"/>
    <w:link w:val="BalloonTextChar"/>
    <w:uiPriority w:val="99"/>
    <w:semiHidden/>
    <w:rsid w:val="008840A4"/>
    <w:rPr>
      <w:sz w:val="18"/>
      <w:szCs w:val="18"/>
    </w:rPr>
  </w:style>
  <w:style w:type="character" w:customStyle="1" w:styleId="BalloonTextChar">
    <w:name w:val="Balloon Text Char"/>
    <w:basedOn w:val="DefaultParagraphFont"/>
    <w:link w:val="BalloonText"/>
    <w:uiPriority w:val="99"/>
    <w:semiHidden/>
    <w:locked/>
    <w:rsid w:val="008840A4"/>
    <w:rPr>
      <w:rFonts w:cs="Times New Roman"/>
      <w:sz w:val="18"/>
      <w:szCs w:val="18"/>
    </w:rPr>
  </w:style>
  <w:style w:type="paragraph" w:customStyle="1" w:styleId="CoverBullet">
    <w:name w:val="Cover Bullet"/>
    <w:uiPriority w:val="99"/>
    <w:rsid w:val="008840A4"/>
    <w:pPr>
      <w:numPr>
        <w:numId w:val="3"/>
      </w:numPr>
      <w:spacing w:before="120" w:after="120"/>
      <w:ind w:left="357" w:hanging="357"/>
    </w:pPr>
    <w:rPr>
      <w:rFonts w:ascii="LucidaSans" w:hAnsi="LucidaSans"/>
      <w:b/>
      <w:bCs/>
      <w:kern w:val="0"/>
      <w:sz w:val="20"/>
      <w:szCs w:val="20"/>
      <w:lang w:val="en-GB"/>
    </w:rPr>
  </w:style>
  <w:style w:type="paragraph" w:styleId="ListParagraph">
    <w:name w:val="List Paragraph"/>
    <w:basedOn w:val="Normal"/>
    <w:uiPriority w:val="99"/>
    <w:qFormat/>
    <w:rsid w:val="00635482"/>
    <w:pPr>
      <w:ind w:firstLineChars="200" w:firstLine="420"/>
    </w:pPr>
  </w:style>
</w:styles>
</file>

<file path=word/webSettings.xml><?xml version="1.0" encoding="utf-8"?>
<w:webSettings xmlns:r="http://schemas.openxmlformats.org/officeDocument/2006/relationships" xmlns:w="http://schemas.openxmlformats.org/wordprocessingml/2006/main">
  <w:divs>
    <w:div w:id="1835342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1080</Words>
  <Characters>6160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导语</dc:title>
  <dc:subject/>
  <dc:creator>shanghai vstone</dc:creator>
  <cp:keywords/>
  <dc:description/>
  <cp:lastModifiedBy>User</cp:lastModifiedBy>
  <cp:revision>2</cp:revision>
  <dcterms:created xsi:type="dcterms:W3CDTF">2014-10-09T06:42:00Z</dcterms:created>
  <dcterms:modified xsi:type="dcterms:W3CDTF">2014-10-09T06:42:00Z</dcterms:modified>
</cp:coreProperties>
</file>