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D09" w:rsidRPr="006B085A" w:rsidRDefault="00853D09" w:rsidP="00B10000">
      <w:pPr>
        <w:widowControl/>
        <w:spacing w:after="120" w:line="240" w:lineRule="exact"/>
        <w:ind w:left="3430"/>
        <w:rPr>
          <w:rFonts w:ascii="Arial" w:eastAsia="楷体_GB2312" w:hAnsi="Arial"/>
          <w:b/>
          <w:bCs/>
          <w:color w:val="0070C0"/>
          <w:kern w:val="0"/>
          <w:sz w:val="24"/>
          <w:szCs w:val="20"/>
          <w:lang w:val="en-GB"/>
        </w:rPr>
      </w:pPr>
      <w:r>
        <w:rPr>
          <w:noProof/>
        </w:rPr>
        <w:pict>
          <v:shapetype id="_x0000_t202" coordsize="21600,21600" o:spt="202" path="m,l,21600r21600,l21600,xe">
            <v:stroke joinstyle="miter"/>
            <v:path gradientshapeok="t" o:connecttype="rect"/>
          </v:shapetype>
          <v:shape id="_x0000_s1035" type="#_x0000_t202" style="position:absolute;left:0;text-align:left;margin-left:1.5pt;margin-top:285.2pt;width:148.5pt;height:275.6pt;z-index:251658240" strokecolor="white" strokeweight="0">
            <v:stroke dashstyle="1 1" endcap="round"/>
            <v:textbox style="mso-next-textbox:#_x0000_s1035">
              <w:txbxContent>
                <w:p w:rsidR="00853D09" w:rsidRPr="00635482" w:rsidRDefault="00853D09" w:rsidP="003B414E">
                  <w:pPr>
                    <w:rPr>
                      <w:rFonts w:ascii="楷体" w:eastAsia="楷体" w:hAnsi="楷体"/>
                      <w:b/>
                      <w:lang w:val="en-GB"/>
                    </w:rPr>
                  </w:pPr>
                  <w:r w:rsidRPr="00635482">
                    <w:rPr>
                      <w:rFonts w:ascii="楷体" w:eastAsia="楷体" w:hAnsi="楷体" w:hint="eastAsia"/>
                      <w:b/>
                      <w:lang w:val="en-GB"/>
                    </w:rPr>
                    <w:t>凯石工场移动平台：</w:t>
                  </w:r>
                </w:p>
                <w:p w:rsidR="00853D09" w:rsidRPr="00635482" w:rsidRDefault="00853D09" w:rsidP="003B414E">
                  <w:pPr>
                    <w:rPr>
                      <w:rFonts w:ascii="楷体" w:eastAsia="楷体" w:hAnsi="楷体"/>
                      <w:lang w:val="en-GB"/>
                    </w:rPr>
                  </w:pPr>
                </w:p>
                <w:p w:rsidR="00853D09" w:rsidRPr="00635482" w:rsidRDefault="00853D09" w:rsidP="003B414E">
                  <w:r w:rsidRPr="00635482">
                    <w:rPr>
                      <w:rFonts w:ascii="楷体" w:eastAsia="楷体" w:hAnsi="楷体" w:hint="eastAsia"/>
                      <w:lang w:val="en-GB"/>
                    </w:rPr>
                    <w:t>官方微博：</w:t>
                  </w:r>
                </w:p>
                <w:p w:rsidR="00853D09" w:rsidRPr="00635482" w:rsidRDefault="00853D09" w:rsidP="003B414E">
                  <w:pPr>
                    <w:rPr>
                      <w:rFonts w:ascii="楷体" w:eastAsia="楷体" w:hAnsi="楷体"/>
                      <w:lang w:val="en-GB"/>
                    </w:rPr>
                  </w:pPr>
                  <w:r w:rsidRPr="00635482">
                    <w:rPr>
                      <w:rFonts w:ascii="楷体" w:eastAsia="楷体" w:hAnsi="楷体" w:hint="eastAsia"/>
                      <w:lang w:val="en-GB"/>
                    </w:rPr>
                    <w:t>凯石财富工场</w:t>
                  </w:r>
                </w:p>
                <w:p w:rsidR="00853D09" w:rsidRDefault="00853D09" w:rsidP="003B414E">
                  <w:r w:rsidRPr="0047138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43" type="#_x0000_t75" alt="66.jpg" style="width:73.5pt;height:73.5pt;visibility:visible">
                        <v:imagedata r:id="rId7" o:title=""/>
                      </v:shape>
                    </w:pict>
                  </w:r>
                </w:p>
                <w:p w:rsidR="00853D09" w:rsidRDefault="00853D09" w:rsidP="003B414E">
                  <w:pPr>
                    <w:rPr>
                      <w:rFonts w:ascii="楷体" w:eastAsia="楷体" w:hAnsi="楷体"/>
                      <w:b/>
                      <w:lang w:val="en-GB"/>
                    </w:rPr>
                  </w:pPr>
                </w:p>
                <w:p w:rsidR="00853D09" w:rsidRPr="00635482" w:rsidRDefault="00853D09" w:rsidP="003B414E">
                  <w:pPr>
                    <w:rPr>
                      <w:rFonts w:ascii="楷体" w:eastAsia="楷体" w:hAnsi="楷体"/>
                      <w:lang w:val="en-GB"/>
                    </w:rPr>
                  </w:pPr>
                  <w:r w:rsidRPr="00635482">
                    <w:rPr>
                      <w:rFonts w:ascii="楷体" w:eastAsia="楷体" w:hAnsi="楷体" w:hint="eastAsia"/>
                      <w:lang w:val="en-GB"/>
                    </w:rPr>
                    <w:t>官方微信：</w:t>
                  </w:r>
                </w:p>
                <w:p w:rsidR="00853D09" w:rsidRPr="00635482" w:rsidRDefault="00853D09" w:rsidP="003B414E">
                  <w:pPr>
                    <w:rPr>
                      <w:rFonts w:ascii="楷体" w:eastAsia="楷体" w:hAnsi="楷体"/>
                      <w:lang w:val="en-GB"/>
                    </w:rPr>
                  </w:pPr>
                  <w:r w:rsidRPr="00635482">
                    <w:rPr>
                      <w:rFonts w:ascii="楷体" w:eastAsia="楷体" w:hAnsi="楷体" w:hint="eastAsia"/>
                      <w:lang w:val="en-GB"/>
                    </w:rPr>
                    <w:t>凯石财富知音订阅号</w:t>
                  </w:r>
                </w:p>
                <w:p w:rsidR="00853D09" w:rsidRDefault="00853D09" w:rsidP="003B414E">
                  <w:r w:rsidRPr="005A2744">
                    <w:rPr>
                      <w:rFonts w:ascii="楷体" w:eastAsia="楷体" w:hAnsi="楷体"/>
                      <w:b/>
                      <w:noProof/>
                    </w:rPr>
                    <w:pict>
                      <v:shape id="图片 7" o:spid="_x0000_i1044" type="#_x0000_t75" alt="凯石财富知音订阅号3.jpg" style="width:75pt;height:75pt;visibility:visible">
                        <v:imagedata r:id="rId8" o:title=""/>
                      </v:shape>
                    </w:pict>
                  </w:r>
                </w:p>
              </w:txbxContent>
            </v:textbox>
          </v:shape>
        </w:pict>
      </w:r>
      <w:r w:rsidRPr="006B085A">
        <w:rPr>
          <w:rFonts w:ascii="Arial" w:eastAsia="楷体_GB2312" w:hAnsi="Arial" w:hint="eastAsia"/>
          <w:b/>
          <w:bCs/>
          <w:color w:val="0070C0"/>
          <w:kern w:val="0"/>
          <w:sz w:val="24"/>
          <w:szCs w:val="20"/>
          <w:lang w:val="en-GB"/>
        </w:rPr>
        <w:t>导语</w:t>
      </w:r>
    </w:p>
    <w:p w:rsidR="00853D09" w:rsidRPr="00774C03" w:rsidRDefault="00853D09" w:rsidP="007F585F">
      <w:pPr>
        <w:pStyle w:val="BodyText"/>
        <w:numPr>
          <w:ilvl w:val="4"/>
          <w:numId w:val="1"/>
        </w:numPr>
        <w:spacing w:after="163"/>
        <w:rPr>
          <w:rFonts w:eastAsia="楷体_GB2312"/>
          <w:color w:val="auto"/>
        </w:rPr>
      </w:pPr>
      <w:r w:rsidRPr="00774C03">
        <w:rPr>
          <w:rFonts w:eastAsia="楷体_GB2312"/>
          <w:color w:val="auto"/>
        </w:rPr>
        <w:t>7</w:t>
      </w:r>
      <w:r w:rsidRPr="00774C03">
        <w:rPr>
          <w:rFonts w:eastAsia="楷体_GB2312" w:hint="eastAsia"/>
          <w:color w:val="auto"/>
        </w:rPr>
        <w:t>月经济数据出现明显下滑，近日出台的多项稳增长刺激措施力度有限，但方向性、信号性意义较强，预示短期定向宽松、微刺激托底的政策趋向预计不会发生根本性转变。受经济数据波动影响，投资者对宏观经济走势以及政策调控预期分歧加大，市场观望情绪升温。向前看，未来</w:t>
      </w:r>
      <w:r w:rsidRPr="00774C03">
        <w:rPr>
          <w:rFonts w:eastAsia="楷体_GB2312"/>
          <w:color w:val="auto"/>
        </w:rPr>
        <w:t>A</w:t>
      </w:r>
      <w:r w:rsidRPr="00774C03">
        <w:rPr>
          <w:rFonts w:eastAsia="楷体_GB2312" w:hint="eastAsia"/>
          <w:color w:val="auto"/>
        </w:rPr>
        <w:t>股市场或仍会在经济走势、宽松预期、调控措施三方因素角力下展开震荡盘整，弱经济、微刺激、强预期是其基础，与此同时市场出现较大下行的风险点主要来自于稳增长政策调控力度不及预期。从市场热点的角度来看，伴随着国企改革提速，微刺激政策出台，相关领域主题投资机会将得到激活，或成为震荡环境下的市场亮点。</w:t>
      </w:r>
    </w:p>
    <w:p w:rsidR="00853D09" w:rsidRPr="005A4561" w:rsidRDefault="00853D09" w:rsidP="007F585F">
      <w:pPr>
        <w:pStyle w:val="BodyText"/>
        <w:numPr>
          <w:ilvl w:val="4"/>
          <w:numId w:val="1"/>
        </w:numPr>
        <w:spacing w:after="163"/>
        <w:rPr>
          <w:rFonts w:eastAsia="楷体_GB2312"/>
          <w:b/>
          <w:color w:val="FF0000"/>
        </w:rPr>
      </w:pPr>
      <w:r w:rsidRPr="005A4561">
        <w:rPr>
          <w:rFonts w:eastAsia="楷体_GB2312" w:cs="Arial" w:hint="eastAsia"/>
          <w:b/>
          <w:color w:val="FF0000"/>
        </w:rPr>
        <w:t>我们认为</w:t>
      </w:r>
      <w:r w:rsidRPr="005A4561">
        <w:rPr>
          <w:rFonts w:eastAsia="楷体_GB2312" w:cs="Arial"/>
          <w:b/>
          <w:color w:val="FF0000"/>
        </w:rPr>
        <w:t>9</w:t>
      </w:r>
      <w:r w:rsidRPr="005A4561">
        <w:rPr>
          <w:rFonts w:eastAsia="楷体_GB2312" w:cs="Arial" w:hint="eastAsia"/>
          <w:b/>
          <w:color w:val="FF0000"/>
        </w:rPr>
        <w:t>月基金组合操作可参考以下方向进行调整：首先坚持稳健为主的配置思路，保持核心品种稳定性。</w:t>
      </w:r>
      <w:r w:rsidRPr="00774C03">
        <w:rPr>
          <w:rFonts w:eastAsia="楷体_GB2312" w:cs="Arial" w:hint="eastAsia"/>
          <w:color w:val="auto"/>
        </w:rPr>
        <w:t>反应在大类资产配置层面上，可通过债券、</w:t>
      </w:r>
      <w:r w:rsidRPr="00774C03">
        <w:rPr>
          <w:rFonts w:eastAsia="楷体_GB2312" w:cs="Arial"/>
          <w:color w:val="auto"/>
        </w:rPr>
        <w:t>QDII</w:t>
      </w:r>
      <w:r w:rsidRPr="00774C03">
        <w:rPr>
          <w:rFonts w:eastAsia="楷体_GB2312" w:cs="Arial" w:hint="eastAsia"/>
          <w:color w:val="auto"/>
        </w:rPr>
        <w:t>与偏股产品间的有效搭配平滑组合收益波动性。在个基选择层面，坚持以仓位水平适中、行业配置相对均衡、长期业绩优异、投资管理能力较强的平衡风格基金作为核心配置品种，充分发挥该类基金产品在组合中的”稳定器“作用。操作层面上，对于运作风格稳健的核心配置品种，应遵循多看少动原则，重点关注影响基金中长期业绩的因素，对带短期业绩波动应保持一定的容忍度。</w:t>
      </w:r>
      <w:r w:rsidRPr="005A4561">
        <w:rPr>
          <w:rFonts w:eastAsia="楷体_GB2312" w:cs="Arial" w:hint="eastAsia"/>
          <w:b/>
          <w:color w:val="FF0000"/>
        </w:rPr>
        <w:t>其次，继续看好消费服务领域、关注新兴产业投资机会回暖，建议关注与之关联度较高的基金品种。第三，对于主题性投资机会，方向上可重点把握国企改革、城镇化、节能环保、新能源等相关机会，介入方式首选择时选股能力俱佳、擅长把握市场各类主题性投资机会的策略型主题基金。</w:t>
      </w:r>
    </w:p>
    <w:p w:rsidR="00853D09" w:rsidRPr="003F6CBD" w:rsidRDefault="00853D09" w:rsidP="00CA4E6A">
      <w:pPr>
        <w:pStyle w:val="FootnoteNoline"/>
        <w:ind w:left="0"/>
        <w:rPr>
          <w:color w:val="FF6600"/>
        </w:rPr>
      </w:pPr>
      <w:r w:rsidRPr="001609A2">
        <w:rPr>
          <w:rFonts w:eastAsia="楷体_GB2312" w:hint="eastAsia"/>
          <w:color w:val="FF6600"/>
          <w:lang w:val="en-US"/>
        </w:rPr>
        <w:t>来源：凯石财富工场</w:t>
      </w:r>
      <w:r w:rsidRPr="001609A2">
        <w:rPr>
          <w:rFonts w:eastAsia="楷体_GB2312"/>
          <w:color w:val="FF6600"/>
          <w:lang w:val="en-US"/>
        </w:rPr>
        <w:t xml:space="preserve"> </w:t>
      </w:r>
      <w:r>
        <w:rPr>
          <w:rFonts w:eastAsia="楷体_GB2312"/>
          <w:color w:val="FF6600"/>
          <w:lang w:val="en-US"/>
        </w:rPr>
        <w:t>wind</w:t>
      </w:r>
    </w:p>
    <w:p w:rsidR="00853D09" w:rsidRDefault="00853D09" w:rsidP="00A70401">
      <w:pPr>
        <w:widowControl/>
        <w:spacing w:after="120" w:line="240" w:lineRule="exact"/>
        <w:ind w:left="3430"/>
        <w:rPr>
          <w:rFonts w:ascii="Arial" w:eastAsia="楷体_GB2312" w:hAnsi="Arial"/>
          <w:b/>
          <w:bCs/>
          <w:color w:val="0070C0"/>
          <w:kern w:val="0"/>
          <w:sz w:val="24"/>
          <w:szCs w:val="20"/>
          <w:lang w:val="en-GB"/>
        </w:rPr>
      </w:pPr>
      <w:r>
        <w:rPr>
          <w:rFonts w:ascii="Arial" w:eastAsia="楷体_GB2312" w:hAnsi="Arial" w:hint="eastAsia"/>
          <w:b/>
          <w:bCs/>
          <w:color w:val="0070C0"/>
          <w:kern w:val="0"/>
          <w:sz w:val="24"/>
          <w:szCs w:val="20"/>
          <w:lang w:val="en-GB"/>
        </w:rPr>
        <w:t>国内市场：复苏动能减弱</w:t>
      </w:r>
      <w:r>
        <w:rPr>
          <w:rFonts w:ascii="Arial" w:eastAsia="楷体_GB2312" w:hAnsi="Arial"/>
          <w:b/>
          <w:bCs/>
          <w:color w:val="0070C0"/>
          <w:kern w:val="0"/>
          <w:sz w:val="24"/>
          <w:szCs w:val="20"/>
          <w:lang w:val="en-GB"/>
        </w:rPr>
        <w:t xml:space="preserve"> </w:t>
      </w:r>
      <w:r>
        <w:rPr>
          <w:rFonts w:ascii="Arial" w:eastAsia="楷体_GB2312" w:hAnsi="Arial" w:hint="eastAsia"/>
          <w:b/>
          <w:bCs/>
          <w:color w:val="0070C0"/>
          <w:kern w:val="0"/>
          <w:sz w:val="24"/>
          <w:szCs w:val="20"/>
          <w:lang w:val="en-GB"/>
        </w:rPr>
        <w:t>定向调控托底</w:t>
      </w:r>
    </w:p>
    <w:p w:rsidR="00853D09" w:rsidRPr="00963009" w:rsidRDefault="00853D09" w:rsidP="008B7B52">
      <w:pPr>
        <w:widowControl/>
        <w:spacing w:after="120" w:line="240" w:lineRule="exact"/>
        <w:ind w:left="3430"/>
        <w:rPr>
          <w:rFonts w:ascii="Arial" w:eastAsia="楷体_GB2312" w:hAnsi="Arial"/>
          <w:b/>
          <w:bCs/>
          <w:color w:val="002060"/>
          <w:kern w:val="0"/>
          <w:szCs w:val="21"/>
          <w:lang w:val="en-GB"/>
        </w:rPr>
      </w:pPr>
      <w:r w:rsidRPr="00963009">
        <w:rPr>
          <w:rFonts w:ascii="Arial" w:eastAsia="楷体_GB2312" w:hAnsi="Arial" w:hint="eastAsia"/>
          <w:b/>
          <w:bCs/>
          <w:color w:val="002060"/>
          <w:kern w:val="0"/>
          <w:szCs w:val="21"/>
          <w:lang w:val="en-GB"/>
        </w:rPr>
        <w:t>短期经济数据波动</w:t>
      </w:r>
      <w:r w:rsidRPr="00963009">
        <w:rPr>
          <w:rFonts w:ascii="Arial" w:eastAsia="楷体_GB2312" w:hAnsi="Arial"/>
          <w:b/>
          <w:bCs/>
          <w:color w:val="002060"/>
          <w:kern w:val="0"/>
          <w:szCs w:val="21"/>
          <w:lang w:val="en-GB"/>
        </w:rPr>
        <w:t xml:space="preserve"> </w:t>
      </w:r>
      <w:r w:rsidRPr="00963009">
        <w:rPr>
          <w:rFonts w:ascii="Arial" w:eastAsia="楷体_GB2312" w:hAnsi="Arial" w:hint="eastAsia"/>
          <w:b/>
          <w:bCs/>
          <w:color w:val="002060"/>
          <w:kern w:val="0"/>
          <w:szCs w:val="21"/>
          <w:lang w:val="en-GB"/>
        </w:rPr>
        <w:t>企稳复苏再受考验</w:t>
      </w:r>
    </w:p>
    <w:p w:rsidR="00853D09" w:rsidRPr="00BF73E3" w:rsidRDefault="00853D09" w:rsidP="00BF73E3">
      <w:pPr>
        <w:pStyle w:val="BodyText"/>
        <w:numPr>
          <w:ilvl w:val="4"/>
          <w:numId w:val="1"/>
        </w:numPr>
        <w:spacing w:after="163"/>
        <w:rPr>
          <w:rFonts w:eastAsia="楷体_GB2312"/>
          <w:color w:val="auto"/>
        </w:rPr>
      </w:pPr>
      <w:r w:rsidRPr="00333491">
        <w:rPr>
          <w:rFonts w:eastAsia="楷体_GB2312"/>
          <w:color w:val="auto"/>
        </w:rPr>
        <w:t>7</w:t>
      </w:r>
      <w:r w:rsidRPr="00333491">
        <w:rPr>
          <w:rFonts w:eastAsia="楷体_GB2312" w:hint="eastAsia"/>
          <w:color w:val="auto"/>
        </w:rPr>
        <w:t>月多项宏观经济数据未能延续</w:t>
      </w:r>
      <w:r w:rsidRPr="00333491">
        <w:rPr>
          <w:rFonts w:eastAsia="楷体_GB2312"/>
          <w:color w:val="auto"/>
        </w:rPr>
        <w:t>6</w:t>
      </w:r>
      <w:r w:rsidRPr="00333491">
        <w:rPr>
          <w:rFonts w:eastAsia="楷体_GB2312" w:hint="eastAsia"/>
          <w:color w:val="auto"/>
        </w:rPr>
        <w:t>月向好态势，一定程度上反映出本轮复苏基础相对偏弱，复苏势头趋缓。具体来看，</w:t>
      </w:r>
      <w:r w:rsidRPr="00333491">
        <w:rPr>
          <w:rFonts w:eastAsia="楷体_GB2312"/>
          <w:color w:val="auto"/>
        </w:rPr>
        <w:t>7</w:t>
      </w:r>
      <w:r w:rsidRPr="00333491">
        <w:rPr>
          <w:rFonts w:eastAsia="楷体_GB2312" w:hint="eastAsia"/>
          <w:color w:val="auto"/>
        </w:rPr>
        <w:t>月规模以上工业企业增加值同比增长</w:t>
      </w:r>
      <w:r w:rsidRPr="00333491">
        <w:rPr>
          <w:rFonts w:eastAsia="楷体_GB2312"/>
          <w:color w:val="auto"/>
        </w:rPr>
        <w:t>9%</w:t>
      </w:r>
      <w:r w:rsidRPr="00333491">
        <w:rPr>
          <w:rFonts w:eastAsia="楷体_GB2312" w:hint="eastAsia"/>
          <w:color w:val="auto"/>
        </w:rPr>
        <w:t>，较上月回落</w:t>
      </w:r>
      <w:r w:rsidRPr="00333491">
        <w:rPr>
          <w:rFonts w:eastAsia="楷体_GB2312"/>
          <w:color w:val="auto"/>
        </w:rPr>
        <w:t>0.2</w:t>
      </w:r>
      <w:r w:rsidRPr="00333491">
        <w:rPr>
          <w:rFonts w:eastAsia="楷体_GB2312" w:hint="eastAsia"/>
          <w:color w:val="auto"/>
        </w:rPr>
        <w:t>个百分点。今年前</w:t>
      </w:r>
      <w:r w:rsidRPr="00333491">
        <w:rPr>
          <w:rFonts w:eastAsia="楷体_GB2312"/>
          <w:color w:val="auto"/>
        </w:rPr>
        <w:t>7</w:t>
      </w:r>
      <w:r w:rsidRPr="00333491">
        <w:rPr>
          <w:rFonts w:eastAsia="楷体_GB2312" w:hint="eastAsia"/>
          <w:color w:val="auto"/>
        </w:rPr>
        <w:t>月固定资产投资累计同比增速</w:t>
      </w:r>
      <w:r w:rsidRPr="00333491">
        <w:rPr>
          <w:rFonts w:eastAsia="楷体_GB2312"/>
          <w:color w:val="auto"/>
        </w:rPr>
        <w:t>17%,</w:t>
      </w:r>
      <w:r w:rsidRPr="00333491">
        <w:rPr>
          <w:rFonts w:eastAsia="楷体_GB2312" w:hint="eastAsia"/>
          <w:color w:val="auto"/>
        </w:rPr>
        <w:t>较</w:t>
      </w:r>
      <w:r w:rsidRPr="00333491">
        <w:rPr>
          <w:rFonts w:eastAsia="楷体_GB2312"/>
          <w:color w:val="auto"/>
        </w:rPr>
        <w:t>1-6</w:t>
      </w:r>
      <w:r w:rsidRPr="00333491">
        <w:rPr>
          <w:rFonts w:eastAsia="楷体_GB2312" w:hint="eastAsia"/>
          <w:color w:val="auto"/>
        </w:rPr>
        <w:t>月回落</w:t>
      </w:r>
      <w:r w:rsidRPr="00333491">
        <w:rPr>
          <w:rFonts w:eastAsia="楷体_GB2312"/>
          <w:color w:val="auto"/>
        </w:rPr>
        <w:t>0.3</w:t>
      </w:r>
      <w:r w:rsidRPr="00333491">
        <w:rPr>
          <w:rFonts w:eastAsia="楷体_GB2312" w:hint="eastAsia"/>
          <w:color w:val="auto"/>
        </w:rPr>
        <w:t>个百分点；其中房地产累计同比增速较前</w:t>
      </w:r>
      <w:r w:rsidRPr="00333491">
        <w:rPr>
          <w:rFonts w:eastAsia="楷体_GB2312"/>
          <w:color w:val="auto"/>
        </w:rPr>
        <w:t>6</w:t>
      </w:r>
      <w:r w:rsidRPr="00333491">
        <w:rPr>
          <w:rFonts w:eastAsia="楷体_GB2312" w:hint="eastAsia"/>
          <w:color w:val="auto"/>
        </w:rPr>
        <w:t>月下降</w:t>
      </w:r>
      <w:r w:rsidRPr="00333491">
        <w:rPr>
          <w:rFonts w:eastAsia="楷体_GB2312"/>
          <w:color w:val="auto"/>
        </w:rPr>
        <w:t>0.4</w:t>
      </w:r>
      <w:r w:rsidRPr="00333491">
        <w:rPr>
          <w:rFonts w:eastAsia="楷体_GB2312" w:hint="eastAsia"/>
          <w:color w:val="auto"/>
        </w:rPr>
        <w:t>个百分点至</w:t>
      </w:r>
      <w:r w:rsidRPr="00333491">
        <w:rPr>
          <w:rFonts w:eastAsia="楷体_GB2312"/>
          <w:color w:val="auto"/>
        </w:rPr>
        <w:t>13.7%</w:t>
      </w:r>
      <w:r w:rsidRPr="00333491">
        <w:rPr>
          <w:rFonts w:eastAsia="楷体_GB2312" w:hint="eastAsia"/>
          <w:color w:val="auto"/>
        </w:rPr>
        <w:t>；基础设施建设投资累计同比增速较前</w:t>
      </w:r>
      <w:r w:rsidRPr="00333491">
        <w:rPr>
          <w:rFonts w:eastAsia="楷体_GB2312"/>
          <w:color w:val="auto"/>
        </w:rPr>
        <w:t>6</w:t>
      </w:r>
      <w:r w:rsidRPr="00333491">
        <w:rPr>
          <w:rFonts w:eastAsia="楷体_GB2312" w:hint="eastAsia"/>
          <w:color w:val="auto"/>
        </w:rPr>
        <w:t>月回落</w:t>
      </w:r>
      <w:r w:rsidRPr="00333491">
        <w:rPr>
          <w:rFonts w:eastAsia="楷体_GB2312"/>
          <w:color w:val="auto"/>
        </w:rPr>
        <w:t>0.1</w:t>
      </w:r>
      <w:r w:rsidRPr="00333491">
        <w:rPr>
          <w:rFonts w:eastAsia="楷体_GB2312" w:hint="eastAsia"/>
          <w:color w:val="auto"/>
        </w:rPr>
        <w:t>个百分点至</w:t>
      </w:r>
      <w:r w:rsidRPr="00333491">
        <w:rPr>
          <w:rFonts w:eastAsia="楷体_GB2312"/>
          <w:color w:val="auto"/>
        </w:rPr>
        <w:t>25%</w:t>
      </w:r>
      <w:r w:rsidRPr="00333491">
        <w:rPr>
          <w:rFonts w:eastAsia="楷体_GB2312" w:hint="eastAsia"/>
          <w:color w:val="auto"/>
        </w:rPr>
        <w:t>；制造业投资同比增长</w:t>
      </w:r>
      <w:r w:rsidRPr="00333491">
        <w:rPr>
          <w:rFonts w:eastAsia="楷体_GB2312"/>
          <w:color w:val="auto"/>
        </w:rPr>
        <w:t>14.6%</w:t>
      </w:r>
      <w:r w:rsidRPr="00333491">
        <w:rPr>
          <w:rFonts w:eastAsia="楷体_GB2312" w:hint="eastAsia"/>
          <w:color w:val="auto"/>
        </w:rPr>
        <w:t>，增速回落</w:t>
      </w:r>
      <w:r w:rsidRPr="00333491">
        <w:rPr>
          <w:rFonts w:eastAsia="楷体_GB2312"/>
          <w:color w:val="auto"/>
        </w:rPr>
        <w:t>0.2</w:t>
      </w:r>
      <w:r w:rsidRPr="00333491">
        <w:rPr>
          <w:rFonts w:eastAsia="楷体_GB2312" w:hint="eastAsia"/>
          <w:color w:val="auto"/>
        </w:rPr>
        <w:t>个百分点。</w:t>
      </w:r>
      <w:r w:rsidRPr="00333491">
        <w:rPr>
          <w:rFonts w:eastAsia="楷体_GB2312"/>
          <w:color w:val="auto"/>
        </w:rPr>
        <w:t>7</w:t>
      </w:r>
      <w:r w:rsidRPr="00333491">
        <w:rPr>
          <w:rFonts w:eastAsia="楷体_GB2312" w:hint="eastAsia"/>
          <w:color w:val="auto"/>
        </w:rPr>
        <w:t>月社会消费品零售总额</w:t>
      </w:r>
      <w:r w:rsidRPr="00333491">
        <w:rPr>
          <w:rFonts w:eastAsia="楷体_GB2312"/>
          <w:color w:val="auto"/>
        </w:rPr>
        <w:t>20776</w:t>
      </w:r>
      <w:r w:rsidRPr="00333491">
        <w:rPr>
          <w:rFonts w:eastAsia="楷体_GB2312" w:hint="eastAsia"/>
          <w:color w:val="auto"/>
        </w:rPr>
        <w:t>亿元，同比名义增长</w:t>
      </w:r>
      <w:r w:rsidRPr="00333491">
        <w:rPr>
          <w:rFonts w:eastAsia="楷体_GB2312"/>
          <w:color w:val="auto"/>
        </w:rPr>
        <w:t>12.2%</w:t>
      </w:r>
      <w:r w:rsidRPr="00333491">
        <w:rPr>
          <w:rFonts w:eastAsia="楷体_GB2312" w:hint="eastAsia"/>
          <w:color w:val="auto"/>
        </w:rPr>
        <w:t>，扣除价格因素实际增长</w:t>
      </w:r>
      <w:r w:rsidRPr="00333491">
        <w:rPr>
          <w:rFonts w:eastAsia="楷体_GB2312"/>
          <w:color w:val="auto"/>
        </w:rPr>
        <w:t>10.5%</w:t>
      </w:r>
      <w:r w:rsidRPr="00333491">
        <w:rPr>
          <w:rFonts w:eastAsia="楷体_GB2312" w:hint="eastAsia"/>
          <w:color w:val="auto"/>
        </w:rPr>
        <w:t>，增速下滑较为明显。进出口数据方面，</w:t>
      </w:r>
      <w:r w:rsidRPr="00333491">
        <w:rPr>
          <w:rFonts w:eastAsia="楷体_GB2312"/>
          <w:color w:val="auto"/>
        </w:rPr>
        <w:t>7</w:t>
      </w:r>
      <w:r w:rsidRPr="00333491">
        <w:rPr>
          <w:rFonts w:eastAsia="楷体_GB2312" w:hint="eastAsia"/>
          <w:color w:val="auto"/>
        </w:rPr>
        <w:t>月份，我国进出口总值</w:t>
      </w:r>
      <w:r w:rsidRPr="00333491">
        <w:rPr>
          <w:rFonts w:eastAsia="楷体_GB2312"/>
          <w:color w:val="auto"/>
        </w:rPr>
        <w:t>3785</w:t>
      </w:r>
      <w:r w:rsidRPr="00333491">
        <w:rPr>
          <w:rFonts w:eastAsia="楷体_GB2312" w:hint="eastAsia"/>
          <w:color w:val="auto"/>
        </w:rPr>
        <w:t>亿美元，增长</w:t>
      </w:r>
      <w:r w:rsidRPr="00333491">
        <w:rPr>
          <w:rFonts w:eastAsia="楷体_GB2312"/>
          <w:color w:val="auto"/>
        </w:rPr>
        <w:t>6.9%</w:t>
      </w:r>
      <w:r w:rsidRPr="00333491">
        <w:rPr>
          <w:rFonts w:eastAsia="楷体_GB2312" w:hint="eastAsia"/>
          <w:color w:val="auto"/>
        </w:rPr>
        <w:t>。其中，出口</w:t>
      </w:r>
      <w:r w:rsidRPr="00333491">
        <w:rPr>
          <w:rFonts w:eastAsia="楷体_GB2312"/>
          <w:color w:val="auto"/>
        </w:rPr>
        <w:t>2129</w:t>
      </w:r>
      <w:r w:rsidRPr="00333491">
        <w:rPr>
          <w:rFonts w:eastAsia="楷体_GB2312" w:hint="eastAsia"/>
          <w:color w:val="auto"/>
        </w:rPr>
        <w:t>亿美元，增长</w:t>
      </w:r>
      <w:r w:rsidRPr="00333491">
        <w:rPr>
          <w:rFonts w:eastAsia="楷体_GB2312"/>
          <w:color w:val="auto"/>
        </w:rPr>
        <w:t>14.5%</w:t>
      </w:r>
      <w:r w:rsidRPr="00333491">
        <w:rPr>
          <w:rFonts w:eastAsia="楷体_GB2312" w:hint="eastAsia"/>
          <w:color w:val="auto"/>
        </w:rPr>
        <w:t>；进口</w:t>
      </w:r>
      <w:r w:rsidRPr="00333491">
        <w:rPr>
          <w:rFonts w:eastAsia="楷体_GB2312"/>
          <w:color w:val="auto"/>
        </w:rPr>
        <w:t>1656</w:t>
      </w:r>
      <w:r w:rsidRPr="00333491">
        <w:rPr>
          <w:rFonts w:eastAsia="楷体_GB2312" w:hint="eastAsia"/>
          <w:color w:val="auto"/>
        </w:rPr>
        <w:t>亿美元，下降</w:t>
      </w:r>
      <w:r w:rsidRPr="00333491">
        <w:rPr>
          <w:rFonts w:eastAsia="楷体_GB2312"/>
          <w:color w:val="auto"/>
        </w:rPr>
        <w:t>1.6%</w:t>
      </w:r>
      <w:r w:rsidRPr="00333491">
        <w:rPr>
          <w:rFonts w:eastAsia="楷体_GB2312" w:hint="eastAsia"/>
          <w:color w:val="auto"/>
        </w:rPr>
        <w:t>。</w:t>
      </w:r>
    </w:p>
    <w:p w:rsidR="00853D09" w:rsidRDefault="00853D09" w:rsidP="00BF73E3">
      <w:pPr>
        <w:pStyle w:val="BodyText"/>
        <w:numPr>
          <w:ilvl w:val="4"/>
          <w:numId w:val="1"/>
        </w:numPr>
        <w:spacing w:after="163"/>
        <w:rPr>
          <w:rFonts w:eastAsia="楷体_GB2312"/>
          <w:color w:val="auto"/>
        </w:rPr>
      </w:pPr>
      <w:r w:rsidRPr="00333491">
        <w:rPr>
          <w:rFonts w:eastAsia="楷体_GB2312" w:hint="eastAsia"/>
          <w:color w:val="auto"/>
        </w:rPr>
        <w:t>整体来看，</w:t>
      </w:r>
      <w:r w:rsidRPr="00333491">
        <w:rPr>
          <w:rFonts w:eastAsia="楷体_GB2312"/>
          <w:color w:val="auto"/>
        </w:rPr>
        <w:t>7</w:t>
      </w:r>
      <w:r w:rsidRPr="00333491">
        <w:rPr>
          <w:rFonts w:eastAsia="楷体_GB2312" w:hint="eastAsia"/>
          <w:color w:val="auto"/>
        </w:rPr>
        <w:t>月经济数据有所降温，工业增加值环比回落、消费疲软，固定资产投资放缓，显示企稳复苏内生动力较弱。尽管出口数据依然维持较高的景气度，但疲弱的进口数据却折射出当前内需不足的境况。另一方面，商品房销售回落至低位，库存压力增大。楼市持续低迷，地产投资增速延续下滑态势，继续对投资造成拖累；而制造业则受有效需求不足影响，累计投资增速低位回落。与此同时，基建投资受益政策调控整体保持稳定，增速高于平均水平，成为稳定投资的重要力量。总体而言，弱复苏背景下，宏观经济仍面临需求不足的困扰，内生性增长动能相对乏力，对于政策刺激的依赖程度较高，加之基数效应影响，由此带来短期数据的波动。</w:t>
      </w:r>
    </w:p>
    <w:p w:rsidR="00853D09" w:rsidRPr="00963009" w:rsidRDefault="00853D09" w:rsidP="005605C4">
      <w:pPr>
        <w:widowControl/>
        <w:spacing w:after="120" w:line="240" w:lineRule="exact"/>
        <w:ind w:left="3430"/>
        <w:rPr>
          <w:rFonts w:ascii="Arial" w:eastAsia="楷体_GB2312" w:hAnsi="Arial"/>
          <w:b/>
          <w:bCs/>
          <w:color w:val="002060"/>
          <w:kern w:val="0"/>
          <w:szCs w:val="21"/>
          <w:lang w:val="en-GB"/>
        </w:rPr>
      </w:pPr>
      <w:r w:rsidRPr="00963009">
        <w:rPr>
          <w:rFonts w:ascii="Arial" w:eastAsia="楷体_GB2312" w:hAnsi="Arial" w:hint="eastAsia"/>
          <w:b/>
          <w:bCs/>
          <w:color w:val="002060"/>
          <w:kern w:val="0"/>
          <w:szCs w:val="21"/>
          <w:lang w:val="en-GB"/>
        </w:rPr>
        <w:t>货币政策易松难紧</w:t>
      </w:r>
      <w:r w:rsidRPr="00963009">
        <w:rPr>
          <w:rFonts w:ascii="Arial" w:eastAsia="楷体_GB2312" w:hAnsi="Arial"/>
          <w:b/>
          <w:bCs/>
          <w:color w:val="002060"/>
          <w:kern w:val="0"/>
          <w:szCs w:val="21"/>
          <w:lang w:val="en-GB"/>
        </w:rPr>
        <w:t xml:space="preserve"> </w:t>
      </w:r>
      <w:r w:rsidRPr="00963009">
        <w:rPr>
          <w:rFonts w:ascii="Arial" w:eastAsia="楷体_GB2312" w:hAnsi="Arial" w:hint="eastAsia"/>
          <w:b/>
          <w:bCs/>
          <w:color w:val="002060"/>
          <w:kern w:val="0"/>
          <w:szCs w:val="21"/>
          <w:lang w:val="en-GB"/>
        </w:rPr>
        <w:t>定向调控仍为主基调</w:t>
      </w:r>
    </w:p>
    <w:p w:rsidR="00853D09" w:rsidRDefault="00853D09" w:rsidP="00546357">
      <w:pPr>
        <w:pStyle w:val="BodyText"/>
        <w:numPr>
          <w:ilvl w:val="4"/>
          <w:numId w:val="1"/>
        </w:numPr>
        <w:spacing w:after="163"/>
        <w:rPr>
          <w:rFonts w:eastAsia="楷体_GB2312"/>
          <w:color w:val="auto"/>
        </w:rPr>
      </w:pPr>
      <w:r w:rsidRPr="00333491">
        <w:rPr>
          <w:rFonts w:eastAsia="楷体_GB2312" w:hint="eastAsia"/>
          <w:color w:val="auto"/>
        </w:rPr>
        <w:t>根据央行公布数据显示，</w:t>
      </w:r>
      <w:r w:rsidRPr="00333491">
        <w:rPr>
          <w:rFonts w:eastAsia="楷体_GB2312"/>
          <w:color w:val="auto"/>
        </w:rPr>
        <w:t>7</w:t>
      </w:r>
      <w:r w:rsidRPr="00333491">
        <w:rPr>
          <w:rFonts w:eastAsia="楷体_GB2312" w:hint="eastAsia"/>
          <w:color w:val="auto"/>
        </w:rPr>
        <w:t>月末广义货币（</w:t>
      </w:r>
      <w:r w:rsidRPr="00333491">
        <w:rPr>
          <w:rFonts w:eastAsia="楷体_GB2312"/>
          <w:color w:val="auto"/>
        </w:rPr>
        <w:t>M2</w:t>
      </w:r>
      <w:r w:rsidRPr="00333491">
        <w:rPr>
          <w:rFonts w:eastAsia="楷体_GB2312" w:hint="eastAsia"/>
          <w:color w:val="auto"/>
        </w:rPr>
        <w:t>）余额</w:t>
      </w:r>
      <w:r w:rsidRPr="00333491">
        <w:rPr>
          <w:rFonts w:eastAsia="楷体_GB2312"/>
          <w:color w:val="auto"/>
        </w:rPr>
        <w:t>119.42</w:t>
      </w:r>
      <w:r w:rsidRPr="00333491">
        <w:rPr>
          <w:rFonts w:eastAsia="楷体_GB2312" w:hint="eastAsia"/>
          <w:color w:val="auto"/>
        </w:rPr>
        <w:t>万亿元，同比增长</w:t>
      </w:r>
      <w:r w:rsidRPr="00333491">
        <w:rPr>
          <w:rFonts w:eastAsia="楷体_GB2312"/>
          <w:color w:val="auto"/>
        </w:rPr>
        <w:t>13.5%</w:t>
      </w:r>
      <w:r w:rsidRPr="00333491">
        <w:rPr>
          <w:rFonts w:eastAsia="楷体_GB2312" w:hint="eastAsia"/>
          <w:color w:val="auto"/>
        </w:rPr>
        <w:t>，增速分别比上月末和去年同期低</w:t>
      </w:r>
      <w:r w:rsidRPr="00333491">
        <w:rPr>
          <w:rFonts w:eastAsia="楷体_GB2312"/>
          <w:color w:val="auto"/>
        </w:rPr>
        <w:t>1.2</w:t>
      </w:r>
      <w:r w:rsidRPr="00333491">
        <w:rPr>
          <w:rFonts w:eastAsia="楷体_GB2312" w:hint="eastAsia"/>
          <w:color w:val="auto"/>
        </w:rPr>
        <w:t>个和</w:t>
      </w:r>
      <w:r w:rsidRPr="00333491">
        <w:rPr>
          <w:rFonts w:eastAsia="楷体_GB2312"/>
          <w:color w:val="auto"/>
        </w:rPr>
        <w:t>1.0</w:t>
      </w:r>
      <w:r w:rsidRPr="00333491">
        <w:rPr>
          <w:rFonts w:eastAsia="楷体_GB2312" w:hint="eastAsia"/>
          <w:color w:val="auto"/>
        </w:rPr>
        <w:t>个百分点；</w:t>
      </w:r>
      <w:r w:rsidRPr="00333491">
        <w:rPr>
          <w:rFonts w:eastAsia="楷体_GB2312"/>
          <w:color w:val="auto"/>
        </w:rPr>
        <w:t>7</w:t>
      </w:r>
      <w:r w:rsidRPr="00333491">
        <w:rPr>
          <w:rFonts w:eastAsia="楷体_GB2312" w:hint="eastAsia"/>
          <w:color w:val="auto"/>
        </w:rPr>
        <w:t>月份社会融资规模为</w:t>
      </w:r>
      <w:r w:rsidRPr="00333491">
        <w:rPr>
          <w:rFonts w:eastAsia="楷体_GB2312"/>
          <w:color w:val="auto"/>
        </w:rPr>
        <w:t>2731</w:t>
      </w:r>
      <w:r w:rsidRPr="00333491">
        <w:rPr>
          <w:rFonts w:eastAsia="楷体_GB2312" w:hint="eastAsia"/>
          <w:color w:val="auto"/>
        </w:rPr>
        <w:t>亿元</w:t>
      </w:r>
      <w:r w:rsidRPr="00333491">
        <w:rPr>
          <w:rFonts w:eastAsia="楷体_GB2312"/>
          <w:color w:val="auto"/>
        </w:rPr>
        <w:t>,</w:t>
      </w:r>
      <w:r w:rsidRPr="00333491">
        <w:rPr>
          <w:rFonts w:eastAsia="楷体_GB2312" w:hint="eastAsia"/>
          <w:color w:val="auto"/>
        </w:rPr>
        <w:t>分别比上月和去年同期少</w:t>
      </w:r>
      <w:r w:rsidRPr="00333491">
        <w:rPr>
          <w:rFonts w:eastAsia="楷体_GB2312"/>
          <w:color w:val="auto"/>
        </w:rPr>
        <w:t>1.69</w:t>
      </w:r>
      <w:r w:rsidRPr="00333491">
        <w:rPr>
          <w:rFonts w:eastAsia="楷体_GB2312" w:hint="eastAsia"/>
          <w:color w:val="auto"/>
        </w:rPr>
        <w:t>万亿元和</w:t>
      </w:r>
      <w:r w:rsidRPr="00333491">
        <w:rPr>
          <w:rFonts w:eastAsia="楷体_GB2312"/>
          <w:color w:val="auto"/>
        </w:rPr>
        <w:t>5460</w:t>
      </w:r>
      <w:r w:rsidRPr="00333491">
        <w:rPr>
          <w:rFonts w:eastAsia="楷体_GB2312" w:hint="eastAsia"/>
          <w:color w:val="auto"/>
        </w:rPr>
        <w:t>亿元。其中</w:t>
      </w:r>
      <w:r w:rsidRPr="00333491">
        <w:rPr>
          <w:rFonts w:eastAsia="楷体_GB2312"/>
          <w:color w:val="auto"/>
        </w:rPr>
        <w:t>,</w:t>
      </w:r>
      <w:r w:rsidRPr="00333491">
        <w:rPr>
          <w:rFonts w:eastAsia="楷体_GB2312" w:hint="eastAsia"/>
          <w:color w:val="auto"/>
        </w:rPr>
        <w:t>当月人民币贷款增加</w:t>
      </w:r>
      <w:r w:rsidRPr="00333491">
        <w:rPr>
          <w:rFonts w:eastAsia="楷体_GB2312"/>
          <w:color w:val="auto"/>
        </w:rPr>
        <w:t>3852</w:t>
      </w:r>
      <w:r w:rsidRPr="00333491">
        <w:rPr>
          <w:rFonts w:eastAsia="楷体_GB2312" w:hint="eastAsia"/>
          <w:color w:val="auto"/>
        </w:rPr>
        <w:t>亿元</w:t>
      </w:r>
      <w:r w:rsidRPr="00333491">
        <w:rPr>
          <w:rFonts w:eastAsia="楷体_GB2312"/>
          <w:color w:val="auto"/>
        </w:rPr>
        <w:t>,</w:t>
      </w:r>
      <w:r w:rsidRPr="00333491">
        <w:rPr>
          <w:rFonts w:eastAsia="楷体_GB2312" w:hint="eastAsia"/>
          <w:color w:val="auto"/>
        </w:rPr>
        <w:t>同比少增</w:t>
      </w:r>
      <w:r w:rsidRPr="00333491">
        <w:rPr>
          <w:rFonts w:eastAsia="楷体_GB2312"/>
          <w:color w:val="auto"/>
        </w:rPr>
        <w:t>3145</w:t>
      </w:r>
      <w:r w:rsidRPr="00333491">
        <w:rPr>
          <w:rFonts w:eastAsia="楷体_GB2312" w:hint="eastAsia"/>
          <w:color w:val="auto"/>
        </w:rPr>
        <w:t>亿元；委托贷款增加</w:t>
      </w:r>
      <w:r w:rsidRPr="00333491">
        <w:rPr>
          <w:rFonts w:eastAsia="楷体_GB2312"/>
          <w:color w:val="auto"/>
        </w:rPr>
        <w:t>1219</w:t>
      </w:r>
      <w:r w:rsidRPr="00333491">
        <w:rPr>
          <w:rFonts w:eastAsia="楷体_GB2312" w:hint="eastAsia"/>
          <w:color w:val="auto"/>
        </w:rPr>
        <w:t>亿元</w:t>
      </w:r>
      <w:r w:rsidRPr="00333491">
        <w:rPr>
          <w:rFonts w:eastAsia="楷体_GB2312"/>
          <w:color w:val="auto"/>
        </w:rPr>
        <w:t>,</w:t>
      </w:r>
      <w:r w:rsidRPr="00333491">
        <w:rPr>
          <w:rFonts w:eastAsia="楷体_GB2312" w:hint="eastAsia"/>
          <w:color w:val="auto"/>
        </w:rPr>
        <w:t>同比少增</w:t>
      </w:r>
      <w:r w:rsidRPr="00333491">
        <w:rPr>
          <w:rFonts w:eastAsia="楷体_GB2312"/>
          <w:color w:val="auto"/>
        </w:rPr>
        <w:t>708</w:t>
      </w:r>
      <w:r w:rsidRPr="00333491">
        <w:rPr>
          <w:rFonts w:eastAsia="楷体_GB2312" w:hint="eastAsia"/>
          <w:color w:val="auto"/>
        </w:rPr>
        <w:t>亿元</w:t>
      </w:r>
      <w:r w:rsidRPr="00333491">
        <w:rPr>
          <w:rFonts w:eastAsia="楷体_GB2312"/>
          <w:color w:val="auto"/>
        </w:rPr>
        <w:t>;</w:t>
      </w:r>
      <w:r w:rsidRPr="00333491">
        <w:rPr>
          <w:rFonts w:eastAsia="楷体_GB2312" w:hint="eastAsia"/>
          <w:color w:val="auto"/>
        </w:rPr>
        <w:t>信托贷款减少</w:t>
      </w:r>
      <w:r w:rsidRPr="00333491">
        <w:rPr>
          <w:rFonts w:eastAsia="楷体_GB2312"/>
          <w:color w:val="auto"/>
        </w:rPr>
        <w:t>158</w:t>
      </w:r>
      <w:r w:rsidRPr="00333491">
        <w:rPr>
          <w:rFonts w:eastAsia="楷体_GB2312" w:hint="eastAsia"/>
          <w:color w:val="auto"/>
        </w:rPr>
        <w:t>亿元</w:t>
      </w:r>
      <w:r w:rsidRPr="00333491">
        <w:rPr>
          <w:rFonts w:eastAsia="楷体_GB2312"/>
          <w:color w:val="auto"/>
        </w:rPr>
        <w:t>,</w:t>
      </w:r>
      <w:r w:rsidRPr="00333491">
        <w:rPr>
          <w:rFonts w:eastAsia="楷体_GB2312" w:hint="eastAsia"/>
          <w:color w:val="auto"/>
        </w:rPr>
        <w:t>同比少增</w:t>
      </w:r>
      <w:r w:rsidRPr="00333491">
        <w:rPr>
          <w:rFonts w:eastAsia="楷体_GB2312"/>
          <w:color w:val="auto"/>
        </w:rPr>
        <w:t>1309</w:t>
      </w:r>
      <w:r w:rsidRPr="00333491">
        <w:rPr>
          <w:rFonts w:eastAsia="楷体_GB2312" w:hint="eastAsia"/>
          <w:color w:val="auto"/>
        </w:rPr>
        <w:t>亿元</w:t>
      </w:r>
      <w:r w:rsidRPr="00333491">
        <w:rPr>
          <w:rFonts w:eastAsia="楷体_GB2312"/>
          <w:color w:val="auto"/>
        </w:rPr>
        <w:t>;</w:t>
      </w:r>
      <w:r w:rsidRPr="00333491">
        <w:rPr>
          <w:rFonts w:eastAsia="楷体_GB2312" w:hint="eastAsia"/>
          <w:color w:val="auto"/>
        </w:rPr>
        <w:t>未贴现的银行承兑汇票减少</w:t>
      </w:r>
      <w:r w:rsidRPr="00333491">
        <w:rPr>
          <w:rFonts w:eastAsia="楷体_GB2312"/>
          <w:color w:val="auto"/>
        </w:rPr>
        <w:t>4160</w:t>
      </w:r>
      <w:r w:rsidRPr="00333491">
        <w:rPr>
          <w:rFonts w:eastAsia="楷体_GB2312" w:hint="eastAsia"/>
          <w:color w:val="auto"/>
        </w:rPr>
        <w:t>亿元</w:t>
      </w:r>
      <w:r w:rsidRPr="00333491">
        <w:rPr>
          <w:rFonts w:eastAsia="楷体_GB2312"/>
          <w:color w:val="auto"/>
        </w:rPr>
        <w:t>,</w:t>
      </w:r>
      <w:r w:rsidRPr="00333491">
        <w:rPr>
          <w:rFonts w:eastAsia="楷体_GB2312" w:hint="eastAsia"/>
          <w:color w:val="auto"/>
        </w:rPr>
        <w:t>同比多减</w:t>
      </w:r>
      <w:r w:rsidRPr="00333491">
        <w:rPr>
          <w:rFonts w:eastAsia="楷体_GB2312"/>
          <w:color w:val="auto"/>
        </w:rPr>
        <w:t>2383</w:t>
      </w:r>
      <w:r w:rsidRPr="00333491">
        <w:rPr>
          <w:rFonts w:eastAsia="楷体_GB2312" w:hint="eastAsia"/>
          <w:color w:val="auto"/>
        </w:rPr>
        <w:t>亿元。</w:t>
      </w:r>
      <w:r w:rsidRPr="00333491">
        <w:rPr>
          <w:rFonts w:eastAsia="楷体_GB2312"/>
          <w:color w:val="auto"/>
        </w:rPr>
        <w:t>7</w:t>
      </w:r>
      <w:r w:rsidRPr="00333491">
        <w:rPr>
          <w:rFonts w:eastAsia="楷体_GB2312" w:hint="eastAsia"/>
          <w:color w:val="auto"/>
        </w:rPr>
        <w:t>月末</w:t>
      </w:r>
      <w:r w:rsidRPr="00333491">
        <w:rPr>
          <w:rFonts w:eastAsia="楷体_GB2312"/>
          <w:color w:val="auto"/>
        </w:rPr>
        <w:t>,</w:t>
      </w:r>
      <w:r w:rsidRPr="00333491">
        <w:rPr>
          <w:rFonts w:eastAsia="楷体_GB2312" w:hint="eastAsia"/>
          <w:color w:val="auto"/>
        </w:rPr>
        <w:t>本外币存款余额</w:t>
      </w:r>
      <w:r w:rsidRPr="00333491">
        <w:rPr>
          <w:rFonts w:eastAsia="楷体_GB2312"/>
          <w:color w:val="auto"/>
        </w:rPr>
        <w:t>115.38</w:t>
      </w:r>
      <w:r w:rsidRPr="00333491">
        <w:rPr>
          <w:rFonts w:eastAsia="楷体_GB2312" w:hint="eastAsia"/>
          <w:color w:val="auto"/>
        </w:rPr>
        <w:t>万亿元</w:t>
      </w:r>
      <w:r w:rsidRPr="00333491">
        <w:rPr>
          <w:rFonts w:eastAsia="楷体_GB2312"/>
          <w:color w:val="auto"/>
        </w:rPr>
        <w:t>,</w:t>
      </w:r>
      <w:r w:rsidRPr="00333491">
        <w:rPr>
          <w:rFonts w:eastAsia="楷体_GB2312" w:hint="eastAsia"/>
          <w:color w:val="auto"/>
        </w:rPr>
        <w:t>同比增长</w:t>
      </w:r>
      <w:r w:rsidRPr="00333491">
        <w:rPr>
          <w:rFonts w:eastAsia="楷体_GB2312"/>
          <w:color w:val="auto"/>
        </w:rPr>
        <w:t>11.7%</w:t>
      </w:r>
      <w:r w:rsidRPr="00333491">
        <w:rPr>
          <w:rFonts w:eastAsia="楷体_GB2312" w:hint="eastAsia"/>
          <w:color w:val="auto"/>
        </w:rPr>
        <w:t>。当月人民币存款减少</w:t>
      </w:r>
      <w:r w:rsidRPr="00333491">
        <w:rPr>
          <w:rFonts w:eastAsia="楷体_GB2312"/>
          <w:color w:val="auto"/>
        </w:rPr>
        <w:t>1.98</w:t>
      </w:r>
      <w:r w:rsidRPr="00333491">
        <w:rPr>
          <w:rFonts w:eastAsia="楷体_GB2312" w:hint="eastAsia"/>
          <w:color w:val="auto"/>
        </w:rPr>
        <w:t>万亿元，同比多减</w:t>
      </w:r>
      <w:r w:rsidRPr="00333491">
        <w:rPr>
          <w:rFonts w:eastAsia="楷体_GB2312"/>
          <w:color w:val="auto"/>
        </w:rPr>
        <w:t>1.73</w:t>
      </w:r>
      <w:r w:rsidRPr="00333491">
        <w:rPr>
          <w:rFonts w:eastAsia="楷体_GB2312" w:hint="eastAsia"/>
          <w:color w:val="auto"/>
        </w:rPr>
        <w:t>万亿元。</w:t>
      </w:r>
    </w:p>
    <w:p w:rsidR="00853D09" w:rsidRPr="00171251" w:rsidRDefault="00853D09" w:rsidP="00546357">
      <w:pPr>
        <w:pStyle w:val="BodyText"/>
        <w:numPr>
          <w:ilvl w:val="4"/>
          <w:numId w:val="1"/>
        </w:numPr>
        <w:spacing w:after="163"/>
        <w:rPr>
          <w:rFonts w:eastAsia="楷体_GB2312"/>
          <w:color w:val="auto"/>
        </w:rPr>
      </w:pPr>
      <w:r w:rsidRPr="00333491">
        <w:rPr>
          <w:rFonts w:eastAsia="楷体_GB2312"/>
          <w:color w:val="auto"/>
        </w:rPr>
        <w:t>7</w:t>
      </w:r>
      <w:r w:rsidRPr="00333491">
        <w:rPr>
          <w:rFonts w:eastAsia="楷体_GB2312" w:hint="eastAsia"/>
          <w:color w:val="auto"/>
        </w:rPr>
        <w:t>月新增社会融资规模创下近</w:t>
      </w:r>
      <w:r w:rsidRPr="00333491">
        <w:rPr>
          <w:rFonts w:eastAsia="楷体_GB2312"/>
          <w:color w:val="auto"/>
        </w:rPr>
        <w:t>5</w:t>
      </w:r>
      <w:r w:rsidRPr="00333491">
        <w:rPr>
          <w:rFonts w:eastAsia="楷体_GB2312" w:hint="eastAsia"/>
          <w:color w:val="auto"/>
        </w:rPr>
        <w:t>年新低，主要受到信贷大幅回落以及表外融资渠道萎缩因素影响。从结构上来看造成信贷的收缩的主因为企业短期贷款的大幅回落，而更能反映实体经济投资活力的中长期贷款则保持相对稳定。从已公布的</w:t>
      </w:r>
      <w:r w:rsidRPr="00333491">
        <w:rPr>
          <w:rFonts w:eastAsia="楷体_GB2312"/>
          <w:color w:val="auto"/>
        </w:rPr>
        <w:t>8</w:t>
      </w:r>
      <w:r w:rsidRPr="00333491">
        <w:rPr>
          <w:rFonts w:eastAsia="楷体_GB2312" w:hint="eastAsia"/>
          <w:color w:val="auto"/>
        </w:rPr>
        <w:t>月前三周的放贷情况来看，信贷增长有望回归至合理区间，从某种意义上说，</w:t>
      </w:r>
      <w:r w:rsidRPr="00333491">
        <w:rPr>
          <w:rFonts w:eastAsia="楷体_GB2312"/>
          <w:color w:val="auto"/>
        </w:rPr>
        <w:t>7</w:t>
      </w:r>
      <w:r w:rsidRPr="00333491">
        <w:rPr>
          <w:rFonts w:eastAsia="楷体_GB2312" w:hint="eastAsia"/>
          <w:color w:val="auto"/>
        </w:rPr>
        <w:t>月的异常值更多体现为对</w:t>
      </w:r>
      <w:r w:rsidRPr="00333491">
        <w:rPr>
          <w:rFonts w:eastAsia="楷体_GB2312"/>
          <w:color w:val="auto"/>
        </w:rPr>
        <w:t>6</w:t>
      </w:r>
      <w:r w:rsidRPr="00333491">
        <w:rPr>
          <w:rFonts w:eastAsia="楷体_GB2312" w:hint="eastAsia"/>
          <w:color w:val="auto"/>
        </w:rPr>
        <w:t>月超预期增长的修正。而表外融资的萎缩则主要源于监管的强化以及风险偏好下移。向前看，我们认为短期的数据扰动不足以支持货币政策的全面转向，但在企稳复苏信号趋弱的背景下，货币政策易松难紧，而定向调控的主基调不会因此改变，这一点也可从央行近期增加支农再贷款额度以及引导涉农贷款利率降低的举措中得到印证。</w:t>
      </w:r>
    </w:p>
    <w:p w:rsidR="00853D09" w:rsidRPr="00963009" w:rsidRDefault="00853D09" w:rsidP="00D22CE1">
      <w:pPr>
        <w:widowControl/>
        <w:spacing w:after="120" w:line="240" w:lineRule="exact"/>
        <w:ind w:left="3430"/>
        <w:rPr>
          <w:rFonts w:ascii="Arial" w:eastAsia="楷体_GB2312" w:hAnsi="Arial"/>
          <w:b/>
          <w:bCs/>
          <w:color w:val="002060"/>
          <w:kern w:val="0"/>
          <w:szCs w:val="21"/>
          <w:lang w:val="en-GB"/>
        </w:rPr>
      </w:pPr>
      <w:r w:rsidRPr="00963009">
        <w:rPr>
          <w:rFonts w:ascii="Arial" w:eastAsia="楷体_GB2312" w:hAnsi="Arial" w:hint="eastAsia"/>
          <w:b/>
          <w:bCs/>
          <w:color w:val="002060"/>
          <w:kern w:val="0"/>
          <w:szCs w:val="21"/>
          <w:lang w:val="en-GB"/>
        </w:rPr>
        <w:t>补短板、促改革多措并举</w:t>
      </w:r>
      <w:r w:rsidRPr="00963009">
        <w:rPr>
          <w:rFonts w:ascii="Arial" w:eastAsia="楷体_GB2312" w:hAnsi="Arial"/>
          <w:b/>
          <w:bCs/>
          <w:color w:val="002060"/>
          <w:kern w:val="0"/>
          <w:szCs w:val="21"/>
          <w:lang w:val="en-GB"/>
        </w:rPr>
        <w:t xml:space="preserve"> </w:t>
      </w:r>
      <w:r w:rsidRPr="00963009">
        <w:rPr>
          <w:rFonts w:ascii="Arial" w:eastAsia="楷体_GB2312" w:hAnsi="Arial" w:hint="eastAsia"/>
          <w:b/>
          <w:bCs/>
          <w:color w:val="002060"/>
          <w:kern w:val="0"/>
          <w:szCs w:val="21"/>
          <w:lang w:val="en-GB"/>
        </w:rPr>
        <w:t>助力企稳释放活力</w:t>
      </w:r>
    </w:p>
    <w:p w:rsidR="00853D09" w:rsidRPr="00D22CE1" w:rsidRDefault="00853D09" w:rsidP="00333491">
      <w:pPr>
        <w:widowControl/>
        <w:spacing w:after="120" w:line="240" w:lineRule="exact"/>
        <w:ind w:leftChars="1633" w:left="3429" w:firstLineChars="200" w:firstLine="420"/>
        <w:rPr>
          <w:rFonts w:ascii="Arial" w:eastAsia="楷体_GB2312" w:hAnsi="Arial"/>
          <w:kern w:val="0"/>
          <w:szCs w:val="20"/>
          <w:lang w:val="en-GB"/>
        </w:rPr>
      </w:pPr>
      <w:r w:rsidRPr="00333491">
        <w:rPr>
          <w:rFonts w:ascii="Arial" w:eastAsia="楷体_GB2312" w:hAnsi="Arial" w:hint="eastAsia"/>
          <w:kern w:val="0"/>
          <w:szCs w:val="20"/>
          <w:lang w:val="en-GB"/>
        </w:rPr>
        <w:t>在经济形势复杂多变的背景下，管理层政策着力点以补短板、促改革为重要方向，力图通过生态环境、社会环境、制度环境的改善激活发展潜力，实现调结构、促发展、推升级的调控目标。</w:t>
      </w:r>
    </w:p>
    <w:p w:rsidR="00853D09" w:rsidRPr="0088505D" w:rsidRDefault="00853D09" w:rsidP="0088505D">
      <w:pPr>
        <w:pStyle w:val="BodyText"/>
        <w:numPr>
          <w:ilvl w:val="4"/>
          <w:numId w:val="1"/>
        </w:numPr>
        <w:spacing w:after="163"/>
        <w:rPr>
          <w:rFonts w:eastAsia="楷体_GB2312"/>
          <w:color w:val="auto"/>
        </w:rPr>
      </w:pPr>
      <w:r w:rsidRPr="00333491">
        <w:rPr>
          <w:rFonts w:eastAsia="楷体_GB2312" w:hint="eastAsia"/>
          <w:color w:val="auto"/>
        </w:rPr>
        <w:t>近日国务院总理李克强在召开的国务院常务工作会议强调要坚持定向调控，以解决长远问题的办法确保当前经济社会平稳发展。紧扣结构调整，加快推进一批“补短板”的重大工程建设。会议确定，加快发展商业健康保险，助力医改、提高群众医疗保障水平；部署推进生态环保养老服务等重大工程建设，以调结构促发展、推升级；听取政策措施落实第三方评估汇报，改革创新政府管理方式。</w:t>
      </w:r>
    </w:p>
    <w:p w:rsidR="00853D09" w:rsidRPr="006C6BCC" w:rsidRDefault="00853D09" w:rsidP="00C96E70">
      <w:pPr>
        <w:pStyle w:val="BodyText"/>
        <w:numPr>
          <w:ilvl w:val="4"/>
          <w:numId w:val="1"/>
        </w:numPr>
        <w:spacing w:after="163"/>
        <w:rPr>
          <w:rFonts w:eastAsia="楷体_GB2312"/>
          <w:color w:val="auto"/>
        </w:rPr>
      </w:pPr>
      <w:r w:rsidRPr="00333491">
        <w:rPr>
          <w:rFonts w:eastAsia="楷体_GB2312" w:hint="eastAsia"/>
          <w:color w:val="auto"/>
        </w:rPr>
        <w:t>随着环境污染防控、清洁能源建设、棚户区改造、医疗养老设施建设等一系列“补短板”工程的落实推进，有利于稳定投资，助力经济企稳。与此同时，</w:t>
      </w:r>
      <w:r w:rsidRPr="00333491">
        <w:rPr>
          <w:rFonts w:eastAsia="楷体_GB2312"/>
          <w:color w:val="auto"/>
        </w:rPr>
        <w:t xml:space="preserve"> </w:t>
      </w:r>
      <w:r w:rsidRPr="00333491">
        <w:rPr>
          <w:rFonts w:eastAsia="楷体_GB2312" w:hint="eastAsia"/>
          <w:color w:val="auto"/>
        </w:rPr>
        <w:t>随着养老、医疗等社会保障体系的健全完善，内需消费将逐步得到提振，从而推动经济发展模式的转型升级。而改革创新政府管理方式则通过简政放权、推动国企改革、开放民资等一系列政策措施，激活经济发展的内在潜力。</w:t>
      </w:r>
      <w:r w:rsidRPr="006C6BCC">
        <w:rPr>
          <w:rFonts w:eastAsia="楷体_GB2312" w:hint="eastAsia"/>
          <w:color w:val="auto"/>
        </w:rPr>
        <w:t>总体来看，当前政策力度有限，但方向性、信号性意义不容忽视，在企稳复苏动能趋弱的背景下，微刺激力度将有所加码，但以调结构、惠民生、促升级为主的定向调控政策取向将保持稳定。</w:t>
      </w:r>
    </w:p>
    <w:p w:rsidR="00853D09" w:rsidRPr="00333491" w:rsidRDefault="00853D09" w:rsidP="00787F9D">
      <w:pPr>
        <w:widowControl/>
        <w:spacing w:after="120" w:line="240" w:lineRule="exact"/>
        <w:ind w:left="3430"/>
        <w:rPr>
          <w:rFonts w:ascii="Arial" w:eastAsia="楷体_GB2312" w:hAnsi="Arial"/>
          <w:b/>
          <w:bCs/>
          <w:color w:val="0070C0"/>
          <w:kern w:val="0"/>
          <w:sz w:val="24"/>
          <w:szCs w:val="24"/>
          <w:lang w:val="en-GB"/>
        </w:rPr>
      </w:pPr>
      <w:r>
        <w:rPr>
          <w:rFonts w:ascii="Arial" w:eastAsia="楷体_GB2312" w:hAnsi="Arial" w:hint="eastAsia"/>
          <w:b/>
          <w:bCs/>
          <w:color w:val="0070C0"/>
          <w:kern w:val="0"/>
          <w:sz w:val="24"/>
          <w:szCs w:val="24"/>
          <w:lang w:val="en-GB"/>
        </w:rPr>
        <w:t>震荡盘整</w:t>
      </w:r>
      <w:r>
        <w:rPr>
          <w:rFonts w:ascii="Arial" w:eastAsia="楷体_GB2312" w:hAnsi="Arial"/>
          <w:b/>
          <w:bCs/>
          <w:color w:val="0070C0"/>
          <w:kern w:val="0"/>
          <w:sz w:val="24"/>
          <w:szCs w:val="24"/>
          <w:lang w:val="en-GB"/>
        </w:rPr>
        <w:t xml:space="preserve"> </w:t>
      </w:r>
      <w:r w:rsidRPr="00333491">
        <w:rPr>
          <w:rFonts w:ascii="Arial" w:eastAsia="楷体_GB2312" w:hAnsi="Arial" w:hint="eastAsia"/>
          <w:b/>
          <w:bCs/>
          <w:color w:val="0070C0"/>
          <w:kern w:val="0"/>
          <w:sz w:val="24"/>
          <w:szCs w:val="24"/>
          <w:lang w:val="en-GB"/>
        </w:rPr>
        <w:t>主题活跃</w:t>
      </w:r>
    </w:p>
    <w:p w:rsidR="00853D09" w:rsidRDefault="00853D09" w:rsidP="00F35A5F">
      <w:pPr>
        <w:pStyle w:val="BodyText"/>
        <w:numPr>
          <w:ilvl w:val="4"/>
          <w:numId w:val="1"/>
        </w:numPr>
        <w:spacing w:after="163"/>
        <w:rPr>
          <w:rFonts w:eastAsia="楷体_GB2312"/>
          <w:color w:val="auto"/>
        </w:rPr>
      </w:pPr>
      <w:r w:rsidRPr="00333491">
        <w:rPr>
          <w:rFonts w:eastAsia="楷体_GB2312"/>
          <w:color w:val="auto"/>
        </w:rPr>
        <w:t>8</w:t>
      </w:r>
      <w:r w:rsidRPr="00333491">
        <w:rPr>
          <w:rFonts w:eastAsia="楷体_GB2312" w:hint="eastAsia"/>
          <w:color w:val="auto"/>
        </w:rPr>
        <w:t>月</w:t>
      </w:r>
      <w:r w:rsidRPr="00333491">
        <w:rPr>
          <w:rFonts w:eastAsia="楷体_GB2312"/>
          <w:color w:val="auto"/>
        </w:rPr>
        <w:t>A</w:t>
      </w:r>
      <w:r w:rsidRPr="00333491">
        <w:rPr>
          <w:rFonts w:eastAsia="楷体_GB2312" w:hint="eastAsia"/>
          <w:color w:val="auto"/>
        </w:rPr>
        <w:t>股市场在低迷的经济数据及宽松预期共同影响下震荡收官。全月上证指数微涨</w:t>
      </w:r>
      <w:r w:rsidRPr="00333491">
        <w:rPr>
          <w:rFonts w:eastAsia="楷体_GB2312"/>
          <w:color w:val="auto"/>
        </w:rPr>
        <w:t>0.71%</w:t>
      </w:r>
      <w:r w:rsidRPr="00333491">
        <w:rPr>
          <w:rFonts w:eastAsia="楷体_GB2312" w:hint="eastAsia"/>
          <w:color w:val="auto"/>
        </w:rPr>
        <w:t>，深成指下跌</w:t>
      </w:r>
      <w:r w:rsidRPr="00333491">
        <w:rPr>
          <w:rFonts w:eastAsia="楷体_GB2312"/>
          <w:color w:val="auto"/>
        </w:rPr>
        <w:t>1.45%</w:t>
      </w:r>
      <w:r w:rsidRPr="00333491">
        <w:rPr>
          <w:rFonts w:eastAsia="楷体_GB2312" w:hint="eastAsia"/>
          <w:color w:val="auto"/>
        </w:rPr>
        <w:t>，沪深</w:t>
      </w:r>
      <w:r w:rsidRPr="00333491">
        <w:rPr>
          <w:rFonts w:eastAsia="楷体_GB2312"/>
          <w:color w:val="auto"/>
        </w:rPr>
        <w:t>300</w:t>
      </w:r>
      <w:r w:rsidRPr="00333491">
        <w:rPr>
          <w:rFonts w:eastAsia="楷体_GB2312" w:hint="eastAsia"/>
          <w:color w:val="auto"/>
        </w:rPr>
        <w:t>微跌</w:t>
      </w:r>
      <w:r w:rsidRPr="00333491">
        <w:rPr>
          <w:rFonts w:eastAsia="楷体_GB2312"/>
          <w:color w:val="auto"/>
        </w:rPr>
        <w:t>0.51%</w:t>
      </w:r>
      <w:r w:rsidRPr="00333491">
        <w:rPr>
          <w:rFonts w:eastAsia="楷体_GB2312" w:hint="eastAsia"/>
          <w:color w:val="auto"/>
        </w:rPr>
        <w:t>。与疲弱的主板市场相比，中小板及创业板走势回暖，月内分别上涨</w:t>
      </w:r>
      <w:r w:rsidRPr="00333491">
        <w:rPr>
          <w:rFonts w:eastAsia="楷体_GB2312"/>
          <w:color w:val="auto"/>
        </w:rPr>
        <w:t>5.10%</w:t>
      </w:r>
      <w:r w:rsidRPr="00333491">
        <w:rPr>
          <w:rFonts w:eastAsia="楷体_GB2312" w:hint="eastAsia"/>
          <w:color w:val="auto"/>
        </w:rPr>
        <w:t>和</w:t>
      </w:r>
      <w:r w:rsidRPr="00333491">
        <w:rPr>
          <w:rFonts w:eastAsia="楷体_GB2312"/>
          <w:color w:val="auto"/>
        </w:rPr>
        <w:t>5.94%</w:t>
      </w:r>
      <w:r w:rsidRPr="00333491">
        <w:rPr>
          <w:rFonts w:eastAsia="楷体_GB2312" w:hint="eastAsia"/>
          <w:color w:val="auto"/>
        </w:rPr>
        <w:t>。</w:t>
      </w:r>
    </w:p>
    <w:p w:rsidR="00853D09" w:rsidRDefault="00853D09" w:rsidP="00F35A5F">
      <w:pPr>
        <w:pStyle w:val="BodyText"/>
        <w:numPr>
          <w:ilvl w:val="4"/>
          <w:numId w:val="1"/>
        </w:numPr>
        <w:spacing w:after="163"/>
        <w:rPr>
          <w:rFonts w:eastAsia="楷体_GB2312"/>
          <w:color w:val="auto"/>
        </w:rPr>
      </w:pPr>
      <w:r w:rsidRPr="00333491">
        <w:rPr>
          <w:rFonts w:eastAsia="楷体_GB2312"/>
          <w:color w:val="auto"/>
        </w:rPr>
        <w:t>7</w:t>
      </w:r>
      <w:r w:rsidRPr="00333491">
        <w:rPr>
          <w:rFonts w:eastAsia="楷体_GB2312" w:hint="eastAsia"/>
          <w:color w:val="auto"/>
        </w:rPr>
        <w:t>月经济数据出现较为明显的下滑，除去对</w:t>
      </w:r>
      <w:r w:rsidRPr="00333491">
        <w:rPr>
          <w:rFonts w:eastAsia="楷体_GB2312"/>
          <w:color w:val="auto"/>
        </w:rPr>
        <w:t>6</w:t>
      </w:r>
      <w:r w:rsidRPr="00333491">
        <w:rPr>
          <w:rFonts w:eastAsia="楷体_GB2312" w:hint="eastAsia"/>
          <w:color w:val="auto"/>
        </w:rPr>
        <w:t>月超预期增长的修正以及基数效应、季节效应等方面的影响，也反应出需求不足、内生增长动力偏弱的现状。从先行指标来看，</w:t>
      </w:r>
      <w:r w:rsidRPr="00333491">
        <w:rPr>
          <w:rFonts w:eastAsia="楷体_GB2312"/>
          <w:color w:val="auto"/>
        </w:rPr>
        <w:t>8</w:t>
      </w:r>
      <w:r w:rsidRPr="00333491">
        <w:rPr>
          <w:rFonts w:eastAsia="楷体_GB2312" w:hint="eastAsia"/>
          <w:color w:val="auto"/>
        </w:rPr>
        <w:t>月汇丰制造业</w:t>
      </w:r>
      <w:r w:rsidRPr="00333491">
        <w:rPr>
          <w:rFonts w:eastAsia="楷体_GB2312"/>
          <w:color w:val="auto"/>
        </w:rPr>
        <w:t>PMI</w:t>
      </w:r>
      <w:r w:rsidRPr="00333491">
        <w:rPr>
          <w:rFonts w:eastAsia="楷体_GB2312" w:hint="eastAsia"/>
          <w:color w:val="auto"/>
        </w:rPr>
        <w:t>初值创下三个月以来的新低，下探至</w:t>
      </w:r>
      <w:r w:rsidRPr="00333491">
        <w:rPr>
          <w:rFonts w:eastAsia="楷体_GB2312"/>
          <w:color w:val="auto"/>
        </w:rPr>
        <w:t>50.3</w:t>
      </w:r>
      <w:r w:rsidRPr="00333491">
        <w:rPr>
          <w:rFonts w:eastAsia="楷体_GB2312" w:hint="eastAsia"/>
          <w:color w:val="auto"/>
        </w:rPr>
        <w:t>，逼近枯荣分界线，其中新订单指数及产出指数均出现萎缩，就业指数再度走弱，企稳复苏进程面临考验。较为复杂的经济形势为政策加码预留空间，近期出台的措施包括央行针对”三农“实施定向降息、国务院提出加快以污染防治、新能源、医疗养老为方向的”补短板“工程建设，总体来看，调控力度相对有限，但调控的方向性、信号性意义较强，如复苏动能持续衰减，措施力度势必逐渐加码，但定向宽松、微刺激托底的政策趋向预计不会发生根本性转变。受经济数据波动影响</w:t>
      </w:r>
      <w:r>
        <w:rPr>
          <w:rFonts w:eastAsia="楷体_GB2312" w:hint="eastAsia"/>
          <w:color w:val="auto"/>
        </w:rPr>
        <w:t>，投资者对宏观经济走势以及政策调控预期分歧加大，市场观望情绪升温</w:t>
      </w:r>
      <w:r w:rsidRPr="00333491">
        <w:rPr>
          <w:rFonts w:eastAsia="楷体_GB2312" w:hint="eastAsia"/>
          <w:color w:val="auto"/>
        </w:rPr>
        <w:t>。</w:t>
      </w:r>
    </w:p>
    <w:p w:rsidR="00853D09" w:rsidRDefault="00853D09" w:rsidP="00F35A5F">
      <w:pPr>
        <w:pStyle w:val="BodyText"/>
        <w:numPr>
          <w:ilvl w:val="4"/>
          <w:numId w:val="1"/>
        </w:numPr>
        <w:spacing w:after="163"/>
        <w:rPr>
          <w:rFonts w:eastAsia="楷体_GB2312"/>
          <w:color w:val="auto"/>
        </w:rPr>
      </w:pPr>
      <w:r w:rsidRPr="00333491">
        <w:rPr>
          <w:rFonts w:eastAsia="楷体_GB2312" w:hint="eastAsia"/>
          <w:color w:val="auto"/>
        </w:rPr>
        <w:t>预计未来，</w:t>
      </w:r>
      <w:r w:rsidRPr="00333491">
        <w:rPr>
          <w:rFonts w:eastAsia="楷体_GB2312"/>
          <w:color w:val="auto"/>
        </w:rPr>
        <w:t>A</w:t>
      </w:r>
      <w:r w:rsidRPr="00333491">
        <w:rPr>
          <w:rFonts w:eastAsia="楷体_GB2312" w:hint="eastAsia"/>
          <w:color w:val="auto"/>
        </w:rPr>
        <w:t>股市场仍会在经济走势、宽松预期、调控措施三方因素角力下展开震荡盘整，弱经济、微刺激、强预期是其基础，与此同时市场出现较大下行的风险点主要来自于稳增长政策调控力度不及预期。从市场热点的角度来看，伴随着国企改革提速，微刺激政策出台，相关领域主题投资机会将得到激活，或成为震荡环境下的市场亮点。</w:t>
      </w:r>
    </w:p>
    <w:p w:rsidR="00853D09" w:rsidRPr="006B085A" w:rsidRDefault="00853D09" w:rsidP="00E22A18">
      <w:pPr>
        <w:widowControl/>
        <w:spacing w:after="120" w:line="240" w:lineRule="exact"/>
        <w:ind w:left="3430"/>
        <w:rPr>
          <w:rFonts w:ascii="Arial" w:eastAsia="楷体_GB2312" w:hAnsi="Arial"/>
          <w:b/>
          <w:bCs/>
          <w:color w:val="0070C0"/>
          <w:kern w:val="0"/>
          <w:sz w:val="24"/>
          <w:szCs w:val="20"/>
          <w:lang w:val="en-GB"/>
        </w:rPr>
      </w:pPr>
      <w:r>
        <w:rPr>
          <w:rFonts w:ascii="Arial" w:eastAsia="楷体_GB2312" w:hAnsi="Arial"/>
          <w:b/>
          <w:bCs/>
          <w:color w:val="0070C0"/>
          <w:kern w:val="0"/>
          <w:sz w:val="24"/>
          <w:szCs w:val="20"/>
          <w:lang w:val="en-GB"/>
        </w:rPr>
        <w:t>9</w:t>
      </w:r>
      <w:r w:rsidRPr="007E2F98">
        <w:rPr>
          <w:rFonts w:ascii="Arial" w:eastAsia="楷体_GB2312" w:hAnsi="Arial" w:hint="eastAsia"/>
          <w:b/>
          <w:bCs/>
          <w:color w:val="0070C0"/>
          <w:kern w:val="0"/>
          <w:sz w:val="24"/>
          <w:szCs w:val="20"/>
          <w:lang w:val="en-GB"/>
        </w:rPr>
        <w:t>月基金配置策略：</w:t>
      </w:r>
      <w:r>
        <w:rPr>
          <w:rFonts w:ascii="Arial" w:eastAsia="楷体_GB2312" w:hAnsi="Arial" w:hint="eastAsia"/>
          <w:b/>
          <w:bCs/>
          <w:color w:val="0070C0"/>
          <w:kern w:val="0"/>
          <w:sz w:val="24"/>
          <w:szCs w:val="20"/>
          <w:lang w:val="en-GB"/>
        </w:rPr>
        <w:t>稳健操作</w:t>
      </w:r>
      <w:r>
        <w:rPr>
          <w:rFonts w:ascii="Arial" w:eastAsia="楷体_GB2312" w:hAnsi="Arial"/>
          <w:b/>
          <w:bCs/>
          <w:color w:val="0070C0"/>
          <w:kern w:val="0"/>
          <w:sz w:val="24"/>
          <w:szCs w:val="20"/>
          <w:lang w:val="en-GB"/>
        </w:rPr>
        <w:t xml:space="preserve"> </w:t>
      </w:r>
      <w:r w:rsidRPr="00333491">
        <w:rPr>
          <w:rFonts w:ascii="Arial" w:eastAsia="楷体_GB2312" w:hAnsi="Arial" w:hint="eastAsia"/>
          <w:b/>
          <w:bCs/>
          <w:color w:val="0070C0"/>
          <w:kern w:val="0"/>
          <w:sz w:val="24"/>
          <w:szCs w:val="20"/>
          <w:lang w:val="en-GB"/>
        </w:rPr>
        <w:t>以静制动</w:t>
      </w:r>
    </w:p>
    <w:p w:rsidR="00853D09" w:rsidRPr="00904D5E" w:rsidRDefault="00853D09" w:rsidP="00437621">
      <w:pPr>
        <w:pStyle w:val="BodyText"/>
        <w:numPr>
          <w:ilvl w:val="4"/>
          <w:numId w:val="1"/>
        </w:numPr>
        <w:spacing w:after="163"/>
        <w:rPr>
          <w:rFonts w:eastAsia="楷体_GB2312"/>
          <w:color w:val="auto"/>
        </w:rPr>
      </w:pPr>
      <w:r w:rsidRPr="00333491">
        <w:rPr>
          <w:rFonts w:eastAsia="楷体_GB2312" w:hint="eastAsia"/>
          <w:color w:val="auto"/>
        </w:rPr>
        <w:t>根据上文分析，我们认为当前市场出现系统机会的可能性不大，在经济、政策、预期三方因素角力下，未来</w:t>
      </w:r>
      <w:r w:rsidRPr="00333491">
        <w:rPr>
          <w:rFonts w:eastAsia="楷体_GB2312"/>
          <w:color w:val="auto"/>
        </w:rPr>
        <w:t>A</w:t>
      </w:r>
      <w:r w:rsidRPr="00333491">
        <w:rPr>
          <w:rFonts w:eastAsia="楷体_GB2312" w:hint="eastAsia"/>
          <w:color w:val="auto"/>
        </w:rPr>
        <w:t>股市场可能延续震荡走势，而改革及微刺激政策将为市场提供主题性投资机会。在此背景下，我们认为</w:t>
      </w:r>
      <w:r w:rsidRPr="00333491">
        <w:rPr>
          <w:rFonts w:eastAsia="楷体_GB2312"/>
          <w:color w:val="auto"/>
        </w:rPr>
        <w:t>9</w:t>
      </w:r>
      <w:r w:rsidRPr="00333491">
        <w:rPr>
          <w:rFonts w:eastAsia="楷体_GB2312" w:hint="eastAsia"/>
          <w:color w:val="auto"/>
        </w:rPr>
        <w:t>月基金组合操作可参考以下方向进行调整：</w:t>
      </w:r>
    </w:p>
    <w:p w:rsidR="00853D09" w:rsidRPr="00963009" w:rsidRDefault="00853D09" w:rsidP="00FE2F05">
      <w:pPr>
        <w:widowControl/>
        <w:spacing w:after="120" w:line="240" w:lineRule="exact"/>
        <w:ind w:left="3430"/>
        <w:rPr>
          <w:rFonts w:ascii="Arial" w:eastAsia="楷体_GB2312" w:hAnsi="Arial"/>
          <w:b/>
          <w:bCs/>
          <w:color w:val="002060"/>
          <w:kern w:val="0"/>
          <w:szCs w:val="21"/>
          <w:lang w:val="en-GB"/>
        </w:rPr>
      </w:pPr>
      <w:r w:rsidRPr="00963009">
        <w:rPr>
          <w:rFonts w:ascii="Arial" w:eastAsia="楷体_GB2312" w:hAnsi="Arial" w:hint="eastAsia"/>
          <w:b/>
          <w:bCs/>
          <w:color w:val="002060"/>
          <w:kern w:val="0"/>
          <w:szCs w:val="21"/>
          <w:lang w:val="en-GB"/>
        </w:rPr>
        <w:t>坚持稳健为主的配置思路</w:t>
      </w:r>
      <w:r w:rsidRPr="00963009">
        <w:rPr>
          <w:rFonts w:ascii="Arial" w:eastAsia="楷体_GB2312" w:hAnsi="Arial"/>
          <w:b/>
          <w:bCs/>
          <w:color w:val="002060"/>
          <w:kern w:val="0"/>
          <w:szCs w:val="21"/>
          <w:lang w:val="en-GB"/>
        </w:rPr>
        <w:t xml:space="preserve"> </w:t>
      </w:r>
      <w:r w:rsidRPr="00963009">
        <w:rPr>
          <w:rFonts w:ascii="Arial" w:eastAsia="楷体_GB2312" w:hAnsi="Arial" w:hint="eastAsia"/>
          <w:b/>
          <w:bCs/>
          <w:color w:val="002060"/>
          <w:kern w:val="0"/>
          <w:szCs w:val="21"/>
          <w:lang w:val="en-GB"/>
        </w:rPr>
        <w:t>保持核心品种稳定性</w:t>
      </w:r>
    </w:p>
    <w:p w:rsidR="00853D09" w:rsidRDefault="00853D09" w:rsidP="00FE2F05">
      <w:pPr>
        <w:pStyle w:val="BodyText"/>
        <w:numPr>
          <w:ilvl w:val="4"/>
          <w:numId w:val="1"/>
        </w:numPr>
        <w:spacing w:after="163"/>
        <w:rPr>
          <w:rFonts w:eastAsia="楷体_GB2312"/>
          <w:color w:val="auto"/>
        </w:rPr>
      </w:pPr>
      <w:r w:rsidRPr="00333491">
        <w:rPr>
          <w:rFonts w:eastAsia="楷体_GB2312" w:hint="eastAsia"/>
          <w:color w:val="auto"/>
        </w:rPr>
        <w:t>稳健的配置思路主要体现为以下几个层面，</w:t>
      </w:r>
      <w:bookmarkStart w:id="0" w:name="_Hlk397353828"/>
      <w:r w:rsidRPr="00333491">
        <w:rPr>
          <w:rFonts w:eastAsia="楷体_GB2312" w:hint="eastAsia"/>
          <w:color w:val="auto"/>
        </w:rPr>
        <w:t>首先大类资产配置层面上，经济企稳动能减弱、宽松性预期均会对债券类资产构成利好，而美国经济基本面持续向好同样带来外部投资机会提升，因而在震荡市场环境下投资者可通过债券、</w:t>
      </w:r>
      <w:r w:rsidRPr="00333491">
        <w:rPr>
          <w:rFonts w:eastAsia="楷体_GB2312"/>
          <w:color w:val="auto"/>
        </w:rPr>
        <w:t>QDII</w:t>
      </w:r>
      <w:r w:rsidRPr="00333491">
        <w:rPr>
          <w:rFonts w:eastAsia="楷体_GB2312" w:hint="eastAsia"/>
          <w:color w:val="auto"/>
        </w:rPr>
        <w:t>与偏股产品间的有效搭配平滑组合收益波动性。在个基选择层面，坚持以仓位水平适中、行业配置相对均衡、长期业绩优异、投资管理能力较强的平衡风格基金作为核心配置品种，如诺安灵活配置、富国天成红利，充分发挥该类基金产品在组合中的”稳定器“作用。此外，在操作层面上，对于运作风格稳健的核心配置品种，应遵循多看少动原则，重点关注影响基金中长期业绩的因素，如基金经理变更所带来的投资管理能力及配置风格上的变化等，而对带短期业绩波动应保持一定的容忍度。</w:t>
      </w:r>
      <w:bookmarkEnd w:id="0"/>
    </w:p>
    <w:p w:rsidR="00853D09" w:rsidRPr="00963009" w:rsidRDefault="00853D09" w:rsidP="00333491">
      <w:pPr>
        <w:widowControl/>
        <w:spacing w:after="120" w:line="240" w:lineRule="exact"/>
        <w:ind w:firstLineChars="1652" w:firstLine="3483"/>
        <w:rPr>
          <w:rFonts w:ascii="Arial" w:eastAsia="楷体_GB2312" w:hAnsi="Arial"/>
          <w:b/>
          <w:bCs/>
          <w:color w:val="002060"/>
          <w:kern w:val="0"/>
          <w:szCs w:val="21"/>
          <w:lang w:val="en-GB"/>
        </w:rPr>
      </w:pPr>
      <w:r w:rsidRPr="00963009">
        <w:rPr>
          <w:rFonts w:ascii="Arial" w:eastAsia="楷体_GB2312" w:hAnsi="Arial" w:hint="eastAsia"/>
          <w:b/>
          <w:bCs/>
          <w:color w:val="002060"/>
          <w:kern w:val="0"/>
          <w:szCs w:val="21"/>
          <w:lang w:val="en-GB"/>
        </w:rPr>
        <w:t>继续看好消费服务领域、关注新兴产业投资机会回暖</w:t>
      </w:r>
    </w:p>
    <w:p w:rsidR="00853D09" w:rsidRDefault="00853D09" w:rsidP="00D061FD">
      <w:pPr>
        <w:pStyle w:val="BodyText"/>
        <w:numPr>
          <w:ilvl w:val="4"/>
          <w:numId w:val="1"/>
        </w:numPr>
        <w:spacing w:after="163"/>
        <w:rPr>
          <w:rFonts w:eastAsia="楷体_GB2312"/>
          <w:color w:val="auto"/>
        </w:rPr>
      </w:pPr>
      <w:r w:rsidRPr="00333491">
        <w:rPr>
          <w:rFonts w:eastAsia="楷体_GB2312" w:hint="eastAsia"/>
          <w:color w:val="auto"/>
        </w:rPr>
        <w:t>在此前的报告中我们曾提到，消费、公共服务符合经济转型的方向，需求长期增长潜力毋庸置疑，部分细分行业基本面面临阶段拐点，稳增长背景下具备出台刺激消费及推动公共服务业发展政策的可能，因而具备较高的配置价值。从现阶段情况来看，部分细分领域估值处于合理区间，在实体经济运行状态出现波动的背景下，兼具业绩防御性与政策支持潜质的消费服务板块投资价值进一步得到强化。建议关注与之关联度较高的基金产品，如嘉实研究精选、华商领先企业混合、招商优势企业混合等。</w:t>
      </w:r>
    </w:p>
    <w:p w:rsidR="00853D09" w:rsidRPr="00D061FD" w:rsidRDefault="00853D09" w:rsidP="00D061FD">
      <w:pPr>
        <w:pStyle w:val="BodyText"/>
        <w:numPr>
          <w:ilvl w:val="4"/>
          <w:numId w:val="1"/>
        </w:numPr>
        <w:spacing w:after="163"/>
        <w:rPr>
          <w:rFonts w:eastAsia="楷体_GB2312"/>
          <w:color w:val="auto"/>
        </w:rPr>
      </w:pPr>
      <w:r w:rsidRPr="00333491">
        <w:rPr>
          <w:rFonts w:eastAsia="楷体_GB2312" w:hint="eastAsia"/>
          <w:color w:val="auto"/>
        </w:rPr>
        <w:t>在产业结构升级以及定向调控的大背景下，以电子信息、通讯、传媒、节能环保为代表的新兴产业具备较高的增长前景，并且更易获得产业政策支持。而经过前期的回调后，部分行业个股业绩风险有所释放，其长期投资价值再度获得投资者关注，近期表现有所回暖。从市场分布情况来看，相关个股多数集中于中证</w:t>
      </w:r>
      <w:r w:rsidRPr="00333491">
        <w:rPr>
          <w:rFonts w:eastAsia="楷体_GB2312"/>
          <w:color w:val="auto"/>
        </w:rPr>
        <w:t>500</w:t>
      </w:r>
      <w:r w:rsidRPr="00333491">
        <w:rPr>
          <w:rFonts w:eastAsia="楷体_GB2312" w:hint="eastAsia"/>
          <w:color w:val="auto"/>
        </w:rPr>
        <w:t>、中小板及创业板中，具备较强的成长性，建议投资者可择机适度提升该类基金产品配置比例，以把握结构性机会，提升组合收益能力。相关主动型产品如广发聚瑞、中邮新兴产业等；被动型产品主要有挂钩中证</w:t>
      </w:r>
      <w:r w:rsidRPr="00333491">
        <w:rPr>
          <w:rFonts w:eastAsia="楷体_GB2312"/>
          <w:color w:val="auto"/>
        </w:rPr>
        <w:t>500</w:t>
      </w:r>
      <w:r w:rsidRPr="00333491">
        <w:rPr>
          <w:rFonts w:eastAsia="楷体_GB2312" w:hint="eastAsia"/>
          <w:color w:val="auto"/>
        </w:rPr>
        <w:t>、中创系列的指数型基金。</w:t>
      </w:r>
    </w:p>
    <w:p w:rsidR="00853D09" w:rsidRPr="00963009" w:rsidRDefault="00853D09" w:rsidP="007E2F98">
      <w:pPr>
        <w:pStyle w:val="BodyText"/>
        <w:spacing w:after="163"/>
        <w:ind w:left="3430"/>
        <w:rPr>
          <w:rFonts w:eastAsia="楷体_GB2312"/>
          <w:b/>
          <w:bCs/>
          <w:color w:val="002060"/>
          <w:szCs w:val="21"/>
        </w:rPr>
      </w:pPr>
      <w:bookmarkStart w:id="1" w:name="_GoBack"/>
      <w:r w:rsidRPr="00963009">
        <w:rPr>
          <w:rFonts w:eastAsia="楷体_GB2312" w:hint="eastAsia"/>
          <w:b/>
          <w:bCs/>
          <w:color w:val="002060"/>
          <w:szCs w:val="21"/>
        </w:rPr>
        <w:t>改革提速、政策激励</w:t>
      </w:r>
      <w:r w:rsidRPr="00963009">
        <w:rPr>
          <w:rFonts w:eastAsia="楷体_GB2312"/>
          <w:b/>
          <w:bCs/>
          <w:color w:val="002060"/>
          <w:szCs w:val="21"/>
        </w:rPr>
        <w:t xml:space="preserve"> </w:t>
      </w:r>
      <w:r w:rsidRPr="00963009">
        <w:rPr>
          <w:rFonts w:eastAsia="楷体_GB2312" w:hint="eastAsia"/>
          <w:b/>
          <w:bCs/>
          <w:color w:val="002060"/>
          <w:szCs w:val="21"/>
        </w:rPr>
        <w:t>主题投资方兴未艾</w:t>
      </w:r>
    </w:p>
    <w:bookmarkEnd w:id="1"/>
    <w:p w:rsidR="00853D09" w:rsidRDefault="00853D09" w:rsidP="007E2F98">
      <w:pPr>
        <w:pStyle w:val="BodyText"/>
        <w:numPr>
          <w:ilvl w:val="4"/>
          <w:numId w:val="1"/>
        </w:numPr>
        <w:spacing w:after="163"/>
        <w:rPr>
          <w:rFonts w:eastAsia="楷体_GB2312"/>
          <w:color w:val="auto"/>
        </w:rPr>
      </w:pPr>
      <w:r w:rsidRPr="00333491">
        <w:rPr>
          <w:rFonts w:eastAsia="楷体_GB2312" w:hint="eastAsia"/>
          <w:color w:val="auto"/>
        </w:rPr>
        <w:t>从行业层面的油气、铁路、航天军工改革，到区域层面上海、广东、北京、安徽、山东等地相关政策措施的出台，再到公司制度层面的央企薪酬改革，国企改革已由点及面，快速推进，并且为股票市场带来诸多投资机遇。与此同时，以稳增长、促转型为导向的定向调控措施，配合以补短板工程建设及产业引导政策，也将激活相关行业热点性、主题性投资机会，为震荡市场环境下增添一抹亮色。</w:t>
      </w:r>
    </w:p>
    <w:p w:rsidR="00853D09" w:rsidRDefault="00853D09" w:rsidP="007E2F98">
      <w:pPr>
        <w:pStyle w:val="BodyText"/>
        <w:numPr>
          <w:ilvl w:val="4"/>
          <w:numId w:val="1"/>
        </w:numPr>
        <w:spacing w:after="163"/>
        <w:rPr>
          <w:rFonts w:eastAsia="楷体_GB2312"/>
          <w:color w:val="auto"/>
        </w:rPr>
      </w:pPr>
      <w:r w:rsidRPr="00333491">
        <w:rPr>
          <w:rFonts w:eastAsia="楷体_GB2312" w:hint="eastAsia"/>
          <w:color w:val="auto"/>
        </w:rPr>
        <w:t>我们建议对于轮动性较强的主题性投资机会，建议投资者综合考虑组合中各基金的投向特点以及自身的风险承受能力予以选择搭配，方向可重点把握国企改革、城镇化、节能环保、新能源等相关领域，介入方式首选择时选股能力俱佳、擅长把握市场各类主题性投资机会的策略型主题基金，其次也可选择方向明确的行业主题基金，但需谨慎考虑投资时长以及成本收益比。</w:t>
      </w:r>
    </w:p>
    <w:p w:rsidR="00853D09" w:rsidRPr="00806964" w:rsidRDefault="00853D09" w:rsidP="005A4561">
      <w:pPr>
        <w:widowControl/>
        <w:spacing w:after="120" w:line="240" w:lineRule="exact"/>
        <w:rPr>
          <w:rFonts w:ascii="Arial" w:eastAsia="楷体_GB2312" w:hAnsi="Arial"/>
          <w:b/>
          <w:bCs/>
          <w:color w:val="0070C0"/>
          <w:kern w:val="0"/>
          <w:sz w:val="24"/>
          <w:szCs w:val="24"/>
          <w:lang w:val="en-GB"/>
        </w:rPr>
      </w:pPr>
      <w:r w:rsidRPr="00806964">
        <w:rPr>
          <w:rFonts w:ascii="Arial" w:eastAsia="楷体_GB2312" w:hAnsi="Arial" w:hint="eastAsia"/>
          <w:b/>
          <w:bCs/>
          <w:color w:val="0070C0"/>
          <w:kern w:val="0"/>
          <w:sz w:val="24"/>
          <w:szCs w:val="24"/>
          <w:lang w:val="en-GB"/>
        </w:rPr>
        <w:t>月度基金池推荐</w:t>
      </w:r>
    </w:p>
    <w:tbl>
      <w:tblPr>
        <w:tblW w:w="10261" w:type="dxa"/>
        <w:tblInd w:w="93" w:type="dxa"/>
        <w:tblLook w:val="00A0"/>
      </w:tblPr>
      <w:tblGrid>
        <w:gridCol w:w="816"/>
        <w:gridCol w:w="1037"/>
        <w:gridCol w:w="6951"/>
        <w:gridCol w:w="1457"/>
      </w:tblGrid>
      <w:tr w:rsidR="00853D09" w:rsidRPr="005A2744" w:rsidTr="00ED3E72">
        <w:trPr>
          <w:trHeight w:val="282"/>
          <w:tblHeader/>
        </w:trPr>
        <w:tc>
          <w:tcPr>
            <w:tcW w:w="816" w:type="dxa"/>
            <w:tcBorders>
              <w:top w:val="single" w:sz="8" w:space="0" w:color="E46D0A"/>
              <w:left w:val="nil"/>
              <w:bottom w:val="single" w:sz="8" w:space="0" w:color="E46D0A"/>
              <w:right w:val="single" w:sz="4" w:space="0" w:color="E46D0A"/>
            </w:tcBorders>
            <w:noWrap/>
            <w:vAlign w:val="center"/>
          </w:tcPr>
          <w:p w:rsidR="00853D09" w:rsidRPr="00D061FD" w:rsidRDefault="00853D09" w:rsidP="00ED3E72">
            <w:pPr>
              <w:widowControl/>
              <w:snapToGrid w:val="0"/>
              <w:jc w:val="center"/>
              <w:rPr>
                <w:rFonts w:ascii="宋体" w:cs="宋体"/>
                <w:b/>
                <w:bCs/>
                <w:color w:val="E46D0A"/>
                <w:kern w:val="0"/>
                <w:sz w:val="20"/>
                <w:szCs w:val="20"/>
              </w:rPr>
            </w:pPr>
            <w:r w:rsidRPr="00D061FD">
              <w:rPr>
                <w:rFonts w:ascii="宋体" w:hAnsi="宋体" w:cs="宋体" w:hint="eastAsia"/>
                <w:b/>
                <w:bCs/>
                <w:color w:val="E46D0A"/>
                <w:kern w:val="0"/>
                <w:sz w:val="20"/>
                <w:szCs w:val="20"/>
              </w:rPr>
              <w:t>代码</w:t>
            </w:r>
          </w:p>
        </w:tc>
        <w:tc>
          <w:tcPr>
            <w:tcW w:w="1037" w:type="dxa"/>
            <w:tcBorders>
              <w:top w:val="single" w:sz="8" w:space="0" w:color="E46D0A"/>
              <w:left w:val="nil"/>
              <w:bottom w:val="single" w:sz="8" w:space="0" w:color="E46D0A"/>
              <w:right w:val="single" w:sz="4" w:space="0" w:color="E46D0A"/>
            </w:tcBorders>
            <w:noWrap/>
            <w:vAlign w:val="center"/>
          </w:tcPr>
          <w:p w:rsidR="00853D09" w:rsidRPr="00D061FD" w:rsidRDefault="00853D09" w:rsidP="00ED3E72">
            <w:pPr>
              <w:widowControl/>
              <w:snapToGrid w:val="0"/>
              <w:jc w:val="center"/>
              <w:rPr>
                <w:rFonts w:ascii="宋体" w:cs="宋体"/>
                <w:b/>
                <w:bCs/>
                <w:color w:val="E46D0A"/>
                <w:kern w:val="0"/>
                <w:sz w:val="20"/>
                <w:szCs w:val="20"/>
              </w:rPr>
            </w:pPr>
            <w:r w:rsidRPr="00D061FD">
              <w:rPr>
                <w:rFonts w:ascii="宋体" w:hAnsi="宋体" w:cs="宋体" w:hint="eastAsia"/>
                <w:b/>
                <w:bCs/>
                <w:color w:val="E46D0A"/>
                <w:kern w:val="0"/>
                <w:sz w:val="20"/>
                <w:szCs w:val="20"/>
              </w:rPr>
              <w:t>基金名称</w:t>
            </w:r>
          </w:p>
        </w:tc>
        <w:tc>
          <w:tcPr>
            <w:tcW w:w="6951" w:type="dxa"/>
            <w:tcBorders>
              <w:top w:val="single" w:sz="8" w:space="0" w:color="E46D0A"/>
              <w:left w:val="nil"/>
              <w:bottom w:val="single" w:sz="8" w:space="0" w:color="E46D0A"/>
              <w:right w:val="single" w:sz="4" w:space="0" w:color="E46D0A"/>
            </w:tcBorders>
            <w:noWrap/>
            <w:vAlign w:val="center"/>
          </w:tcPr>
          <w:p w:rsidR="00853D09" w:rsidRPr="00D061FD" w:rsidRDefault="00853D09" w:rsidP="00ED3E72">
            <w:pPr>
              <w:widowControl/>
              <w:snapToGrid w:val="0"/>
              <w:jc w:val="center"/>
              <w:rPr>
                <w:rFonts w:ascii="宋体" w:cs="宋体"/>
                <w:b/>
                <w:bCs/>
                <w:color w:val="E46D0A"/>
                <w:kern w:val="0"/>
                <w:sz w:val="20"/>
                <w:szCs w:val="20"/>
              </w:rPr>
            </w:pPr>
            <w:r w:rsidRPr="00D061FD">
              <w:rPr>
                <w:rFonts w:ascii="宋体" w:hAnsi="宋体" w:cs="宋体" w:hint="eastAsia"/>
                <w:b/>
                <w:bCs/>
                <w:color w:val="E46D0A"/>
                <w:kern w:val="0"/>
                <w:sz w:val="20"/>
                <w:szCs w:val="20"/>
              </w:rPr>
              <w:t>产品简评</w:t>
            </w:r>
          </w:p>
        </w:tc>
        <w:tc>
          <w:tcPr>
            <w:tcW w:w="1457" w:type="dxa"/>
            <w:tcBorders>
              <w:top w:val="single" w:sz="8" w:space="0" w:color="E46D0A"/>
              <w:left w:val="nil"/>
              <w:bottom w:val="single" w:sz="8" w:space="0" w:color="E46D0A"/>
              <w:right w:val="nil"/>
            </w:tcBorders>
            <w:noWrap/>
            <w:vAlign w:val="center"/>
          </w:tcPr>
          <w:p w:rsidR="00853D09" w:rsidRPr="00D061FD" w:rsidRDefault="00853D09" w:rsidP="00ED3E72">
            <w:pPr>
              <w:widowControl/>
              <w:snapToGrid w:val="0"/>
              <w:jc w:val="center"/>
              <w:rPr>
                <w:rFonts w:ascii="宋体" w:cs="宋体"/>
                <w:b/>
                <w:bCs/>
                <w:color w:val="E46D0A"/>
                <w:kern w:val="0"/>
                <w:sz w:val="20"/>
                <w:szCs w:val="20"/>
              </w:rPr>
            </w:pPr>
            <w:r w:rsidRPr="00D061FD">
              <w:rPr>
                <w:rFonts w:ascii="宋体" w:hAnsi="宋体" w:cs="宋体" w:hint="eastAsia"/>
                <w:b/>
                <w:bCs/>
                <w:color w:val="E46D0A"/>
                <w:kern w:val="0"/>
                <w:sz w:val="20"/>
                <w:szCs w:val="20"/>
              </w:rPr>
              <w:t>推荐亮点</w:t>
            </w:r>
          </w:p>
        </w:tc>
      </w:tr>
      <w:tr w:rsidR="00853D09" w:rsidRPr="005A2744" w:rsidTr="00D061FD">
        <w:trPr>
          <w:trHeight w:val="1620"/>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color w:val="000000"/>
                <w:kern w:val="0"/>
                <w:sz w:val="20"/>
                <w:szCs w:val="20"/>
              </w:rPr>
              <w:t>100029</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hint="eastAsia"/>
                <w:color w:val="000000"/>
                <w:kern w:val="0"/>
                <w:sz w:val="20"/>
                <w:szCs w:val="20"/>
              </w:rPr>
              <w:t>富国天成红利混合</w:t>
            </w:r>
          </w:p>
        </w:tc>
        <w:tc>
          <w:tcPr>
            <w:tcW w:w="6951"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仓位长期维持在</w:t>
            </w:r>
            <w:r w:rsidRPr="00D061FD">
              <w:rPr>
                <w:rFonts w:ascii="宋体" w:hAnsi="宋体" w:cs="宋体"/>
                <w:color w:val="000000"/>
                <w:kern w:val="0"/>
                <w:sz w:val="20"/>
                <w:szCs w:val="20"/>
              </w:rPr>
              <w:t>65%-75%</w:t>
            </w:r>
            <w:r w:rsidRPr="00D061FD">
              <w:rPr>
                <w:rFonts w:ascii="宋体" w:hAnsi="宋体" w:cs="宋体" w:hint="eastAsia"/>
                <w:color w:val="000000"/>
                <w:kern w:val="0"/>
                <w:sz w:val="20"/>
                <w:szCs w:val="20"/>
              </w:rPr>
              <w:t>之间的适中水平，风格稳健；前三大重仓行业仓位水平主要分布于</w:t>
            </w:r>
            <w:r w:rsidRPr="00D061FD">
              <w:rPr>
                <w:rFonts w:ascii="宋体" w:hAnsi="宋体" w:cs="宋体"/>
                <w:color w:val="000000"/>
                <w:kern w:val="0"/>
                <w:sz w:val="20"/>
                <w:szCs w:val="20"/>
              </w:rPr>
              <w:t>7%-10%</w:t>
            </w:r>
            <w:r w:rsidRPr="00D061FD">
              <w:rPr>
                <w:rFonts w:ascii="宋体" w:hAnsi="宋体" w:cs="宋体" w:hint="eastAsia"/>
                <w:color w:val="000000"/>
                <w:kern w:val="0"/>
                <w:sz w:val="20"/>
                <w:szCs w:val="20"/>
              </w:rPr>
              <w:t>之间，行业配置较为均衡。以相对分散化的配置有效控制净值波动，下行风险控制出色，风险调整后收益同业居前。历史业绩稳定性高，长期累积收益排名前列。基金经理于江勇，现任富国权益投资副总监，公募管理年限超</w:t>
            </w:r>
            <w:r w:rsidRPr="00D061FD">
              <w:rPr>
                <w:rFonts w:ascii="宋体" w:hAnsi="宋体" w:cs="宋体"/>
                <w:color w:val="000000"/>
                <w:kern w:val="0"/>
                <w:sz w:val="20"/>
                <w:szCs w:val="20"/>
              </w:rPr>
              <w:t>6</w:t>
            </w:r>
            <w:r w:rsidRPr="00D061FD">
              <w:rPr>
                <w:rFonts w:ascii="宋体" w:hAnsi="宋体" w:cs="宋体" w:hint="eastAsia"/>
                <w:color w:val="000000"/>
                <w:kern w:val="0"/>
                <w:sz w:val="20"/>
                <w:szCs w:val="20"/>
              </w:rPr>
              <w:t>年，投研管理经验丰富，任期内业绩表现大幅超越同业平均。</w:t>
            </w:r>
            <w:r w:rsidRPr="00D061FD">
              <w:rPr>
                <w:rFonts w:ascii="宋体" w:hAnsi="宋体" w:cs="宋体"/>
                <w:color w:val="000000"/>
                <w:kern w:val="0"/>
                <w:sz w:val="20"/>
                <w:szCs w:val="20"/>
              </w:rPr>
              <w:t xml:space="preserve"> </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仓位适中、配置均衡、风险调整后收益居前</w:t>
            </w:r>
          </w:p>
        </w:tc>
      </w:tr>
      <w:tr w:rsidR="00853D09" w:rsidRPr="005A2744" w:rsidTr="00D061FD">
        <w:trPr>
          <w:trHeight w:val="1487"/>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color w:val="000000"/>
                <w:kern w:val="0"/>
                <w:sz w:val="20"/>
                <w:szCs w:val="20"/>
              </w:rPr>
              <w:t>320006</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hint="eastAsia"/>
                <w:color w:val="000000"/>
                <w:kern w:val="0"/>
                <w:sz w:val="20"/>
                <w:szCs w:val="20"/>
              </w:rPr>
              <w:t>诺安灵活配置混合</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灵活配置混合型基金，契约规定股票投资占比为</w:t>
            </w:r>
            <w:r w:rsidRPr="00D061FD">
              <w:rPr>
                <w:rFonts w:ascii="宋体" w:hAnsi="宋体" w:cs="宋体"/>
                <w:color w:val="000000"/>
                <w:kern w:val="0"/>
                <w:sz w:val="20"/>
                <w:szCs w:val="20"/>
              </w:rPr>
              <w:t>30%</w:t>
            </w:r>
            <w:r w:rsidRPr="00D061FD">
              <w:rPr>
                <w:rFonts w:ascii="宋体" w:hAnsi="宋体" w:cs="宋体" w:hint="eastAsia"/>
                <w:color w:val="000000"/>
                <w:kern w:val="0"/>
                <w:sz w:val="20"/>
                <w:szCs w:val="20"/>
              </w:rPr>
              <w:t>至</w:t>
            </w:r>
            <w:r w:rsidRPr="00D061FD">
              <w:rPr>
                <w:rFonts w:ascii="宋体" w:hAnsi="宋体" w:cs="宋体"/>
                <w:color w:val="000000"/>
                <w:kern w:val="0"/>
                <w:sz w:val="20"/>
                <w:szCs w:val="20"/>
              </w:rPr>
              <w:t>80%</w:t>
            </w:r>
            <w:r w:rsidRPr="00D061FD">
              <w:rPr>
                <w:rFonts w:ascii="宋体" w:hAnsi="宋体" w:cs="宋体" w:hint="eastAsia"/>
                <w:color w:val="000000"/>
                <w:kern w:val="0"/>
                <w:sz w:val="20"/>
                <w:szCs w:val="20"/>
              </w:rPr>
              <w:t>，从实际运作情况来看，仓位多介于</w:t>
            </w:r>
            <w:r w:rsidRPr="00D061FD">
              <w:rPr>
                <w:rFonts w:ascii="宋体" w:hAnsi="宋体" w:cs="宋体"/>
                <w:color w:val="000000"/>
                <w:kern w:val="0"/>
                <w:sz w:val="20"/>
                <w:szCs w:val="20"/>
              </w:rPr>
              <w:t>60%-70%</w:t>
            </w:r>
            <w:r w:rsidRPr="00D061FD">
              <w:rPr>
                <w:rFonts w:ascii="宋体" w:hAnsi="宋体" w:cs="宋体" w:hint="eastAsia"/>
                <w:color w:val="000000"/>
                <w:kern w:val="0"/>
                <w:sz w:val="20"/>
                <w:szCs w:val="20"/>
              </w:rPr>
              <w:t>的适中水平，操作稳健，注重风险控制。二季报显示股票仓位</w:t>
            </w:r>
            <w:r w:rsidRPr="00D061FD">
              <w:rPr>
                <w:rFonts w:ascii="宋体" w:hAnsi="宋体" w:cs="宋体"/>
                <w:color w:val="000000"/>
                <w:kern w:val="0"/>
                <w:sz w:val="20"/>
                <w:szCs w:val="20"/>
              </w:rPr>
              <w:t>63.80%</w:t>
            </w:r>
            <w:r w:rsidRPr="00D061FD">
              <w:rPr>
                <w:rFonts w:ascii="宋体" w:hAnsi="宋体" w:cs="宋体" w:hint="eastAsia"/>
                <w:color w:val="000000"/>
                <w:kern w:val="0"/>
                <w:sz w:val="20"/>
                <w:szCs w:val="20"/>
              </w:rPr>
              <w:t>，除制造业外对金融保险配置较多，占比</w:t>
            </w:r>
            <w:r w:rsidRPr="00D061FD">
              <w:rPr>
                <w:rFonts w:ascii="宋体" w:hAnsi="宋体" w:cs="宋体"/>
                <w:color w:val="000000"/>
                <w:kern w:val="0"/>
                <w:sz w:val="20"/>
                <w:szCs w:val="20"/>
              </w:rPr>
              <w:t>10.15%</w:t>
            </w:r>
            <w:r w:rsidRPr="00D061FD">
              <w:rPr>
                <w:rFonts w:ascii="宋体" w:hAnsi="宋体" w:cs="宋体" w:hint="eastAsia"/>
                <w:color w:val="000000"/>
                <w:kern w:val="0"/>
                <w:sz w:val="20"/>
                <w:szCs w:val="20"/>
              </w:rPr>
              <w:t>，此外对于电力燃气保持一定关注，今年以来业绩表现出色，长期业绩稳健。基金经理夏俊杰，研究员出身，投研经验丰富，自</w:t>
            </w:r>
            <w:r w:rsidRPr="00D061FD">
              <w:rPr>
                <w:rFonts w:ascii="宋体" w:hAnsi="宋体" w:cs="宋体"/>
                <w:color w:val="000000"/>
                <w:kern w:val="0"/>
                <w:sz w:val="20"/>
                <w:szCs w:val="20"/>
              </w:rPr>
              <w:t>2010</w:t>
            </w:r>
            <w:r w:rsidRPr="00D061FD">
              <w:rPr>
                <w:rFonts w:ascii="宋体" w:hAnsi="宋体" w:cs="宋体" w:hint="eastAsia"/>
                <w:color w:val="000000"/>
                <w:kern w:val="0"/>
                <w:sz w:val="20"/>
                <w:szCs w:val="20"/>
              </w:rPr>
              <w:t>年</w:t>
            </w:r>
            <w:r w:rsidRPr="00D061FD">
              <w:rPr>
                <w:rFonts w:ascii="宋体" w:hAnsi="宋体" w:cs="宋体"/>
                <w:color w:val="000000"/>
                <w:kern w:val="0"/>
                <w:sz w:val="20"/>
                <w:szCs w:val="20"/>
              </w:rPr>
              <w:t>3</w:t>
            </w:r>
            <w:r w:rsidRPr="00D061FD">
              <w:rPr>
                <w:rFonts w:ascii="宋体" w:hAnsi="宋体" w:cs="宋体" w:hint="eastAsia"/>
                <w:color w:val="000000"/>
                <w:kern w:val="0"/>
                <w:sz w:val="20"/>
                <w:szCs w:val="20"/>
              </w:rPr>
              <w:t>月起任该基金基金经理，任期内业绩表现超越同业平均。</w:t>
            </w:r>
            <w:r w:rsidRPr="00D061FD">
              <w:rPr>
                <w:rFonts w:ascii="宋体" w:hAnsi="宋体" w:cs="宋体"/>
                <w:color w:val="000000"/>
                <w:kern w:val="0"/>
                <w:sz w:val="20"/>
                <w:szCs w:val="20"/>
              </w:rPr>
              <w:t xml:space="preserve"> </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操作稳健、注重风控、今年以来业绩出色</w:t>
            </w:r>
          </w:p>
        </w:tc>
      </w:tr>
      <w:tr w:rsidR="00853D09" w:rsidRPr="005A2744" w:rsidTr="00D061FD">
        <w:trPr>
          <w:trHeight w:val="1843"/>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color w:val="000000"/>
                <w:kern w:val="0"/>
                <w:sz w:val="20"/>
                <w:szCs w:val="20"/>
              </w:rPr>
              <w:t>70013</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hint="eastAsia"/>
                <w:color w:val="000000"/>
                <w:kern w:val="0"/>
                <w:sz w:val="20"/>
                <w:szCs w:val="20"/>
              </w:rPr>
              <w:t>嘉实研究精选股票</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选股能力突出，中长期业绩居前。运作管理强调中观入手，注重行业环境对于企业发展走势的影响，体现到行业配置层面即为集中持有优势行业，且重仓行业随市调整相对灵活。从二季报披露情况来看，该基金股票仓位</w:t>
            </w:r>
            <w:r w:rsidRPr="00D061FD">
              <w:rPr>
                <w:rFonts w:ascii="宋体" w:hAnsi="宋体" w:cs="宋体"/>
                <w:color w:val="000000"/>
                <w:kern w:val="0"/>
                <w:sz w:val="20"/>
                <w:szCs w:val="20"/>
              </w:rPr>
              <w:t>88.54%,</w:t>
            </w:r>
            <w:r w:rsidRPr="00D061FD">
              <w:rPr>
                <w:rFonts w:ascii="宋体" w:hAnsi="宋体" w:cs="宋体" w:hint="eastAsia"/>
                <w:color w:val="000000"/>
                <w:kern w:val="0"/>
                <w:sz w:val="20"/>
                <w:szCs w:val="20"/>
              </w:rPr>
              <w:t>除制造业外，前三大重仓行业为批发零售、农业以及信息技术，重仓股以总体大消费为主，分散于农业、商业、食品、医疗、家电、日用品等多项细分领域，此外对信息技术板块亦有所关注。基金经理张弢，投资管理经验丰富，任期内净值表现大幅超越同业平均。</w:t>
            </w:r>
            <w:r w:rsidRPr="00D061FD">
              <w:rPr>
                <w:rFonts w:ascii="宋体" w:hAnsi="宋体" w:cs="宋体"/>
                <w:color w:val="000000"/>
                <w:kern w:val="0"/>
                <w:sz w:val="20"/>
                <w:szCs w:val="20"/>
              </w:rPr>
              <w:t xml:space="preserve"> </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布局大消费、精于选股、长期业绩出色</w:t>
            </w:r>
          </w:p>
        </w:tc>
      </w:tr>
      <w:tr w:rsidR="00853D09" w:rsidRPr="005A2744" w:rsidTr="00D061FD">
        <w:trPr>
          <w:trHeight w:val="1694"/>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color w:val="000000"/>
                <w:kern w:val="0"/>
                <w:sz w:val="20"/>
                <w:szCs w:val="20"/>
              </w:rPr>
              <w:t>630001</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hint="eastAsia"/>
                <w:color w:val="000000"/>
                <w:kern w:val="0"/>
                <w:sz w:val="20"/>
                <w:szCs w:val="20"/>
              </w:rPr>
              <w:t>华商领先企业混合</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仓位水平长期维持在</w:t>
            </w:r>
            <w:r w:rsidRPr="00D061FD">
              <w:rPr>
                <w:rFonts w:ascii="宋体" w:hAnsi="宋体" w:cs="宋体"/>
                <w:color w:val="000000"/>
                <w:kern w:val="0"/>
                <w:sz w:val="20"/>
                <w:szCs w:val="20"/>
              </w:rPr>
              <w:t>85%</w:t>
            </w:r>
            <w:r w:rsidRPr="00D061FD">
              <w:rPr>
                <w:rFonts w:ascii="宋体" w:hAnsi="宋体" w:cs="宋体" w:hint="eastAsia"/>
                <w:color w:val="000000"/>
                <w:kern w:val="0"/>
                <w:sz w:val="20"/>
                <w:szCs w:val="20"/>
              </w:rPr>
              <w:t>以上的较高水平，投资风格相对积极。行业配置均衡而有所侧重，调整方向契合市场，善于捕捉结构性机会。最新一期季报显示股票仓位近</w:t>
            </w:r>
            <w:r w:rsidRPr="00D061FD">
              <w:rPr>
                <w:rFonts w:ascii="宋体" w:hAnsi="宋体" w:cs="宋体"/>
                <w:color w:val="000000"/>
                <w:kern w:val="0"/>
                <w:sz w:val="20"/>
                <w:szCs w:val="20"/>
              </w:rPr>
              <w:t>90%</w:t>
            </w:r>
            <w:r w:rsidRPr="00D061FD">
              <w:rPr>
                <w:rFonts w:ascii="宋体" w:hAnsi="宋体" w:cs="宋体" w:hint="eastAsia"/>
                <w:color w:val="000000"/>
                <w:kern w:val="0"/>
                <w:sz w:val="20"/>
                <w:szCs w:val="20"/>
              </w:rPr>
              <w:t>，组合配置沿消费内需及低估值蓝筹两线布局，兼顾业绩增长确定性较高估值合理的成长性个股。整体来看该基金波动性较高、风险调整后收益出色，长期累积收益同业居前。该基金采用双基金经理制，其中管理期限较长的田明圣，管理经验丰富，择时选股能力俱佳，过往业绩优异。</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消费内需及低估值蓝筹两线布局、择时选股能力俱佳、长期业绩优异</w:t>
            </w:r>
          </w:p>
        </w:tc>
      </w:tr>
      <w:tr w:rsidR="00853D09" w:rsidRPr="005A2744" w:rsidTr="00D061FD">
        <w:trPr>
          <w:trHeight w:val="1635"/>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color w:val="000000"/>
                <w:kern w:val="0"/>
                <w:sz w:val="20"/>
                <w:szCs w:val="20"/>
              </w:rPr>
              <w:t>217021</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hint="eastAsia"/>
                <w:color w:val="000000"/>
                <w:kern w:val="0"/>
                <w:sz w:val="20"/>
                <w:szCs w:val="20"/>
              </w:rPr>
              <w:t>招商优势企业混合</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灵活配置混合型基金，从实际运作情况来看，仓位多介于</w:t>
            </w:r>
            <w:r w:rsidRPr="00D061FD">
              <w:rPr>
                <w:rFonts w:ascii="宋体" w:hAnsi="宋体" w:cs="宋体"/>
                <w:color w:val="000000"/>
                <w:kern w:val="0"/>
                <w:sz w:val="20"/>
                <w:szCs w:val="20"/>
              </w:rPr>
              <w:t>60%-75%</w:t>
            </w:r>
            <w:r w:rsidRPr="00D061FD">
              <w:rPr>
                <w:rFonts w:ascii="宋体" w:hAnsi="宋体" w:cs="宋体" w:hint="eastAsia"/>
                <w:color w:val="000000"/>
                <w:kern w:val="0"/>
                <w:sz w:val="20"/>
                <w:szCs w:val="20"/>
              </w:rPr>
              <w:t>的中等水平，操作相对稳健。最新季报显示该基金股票仓位</w:t>
            </w:r>
            <w:r w:rsidRPr="00D061FD">
              <w:rPr>
                <w:rFonts w:ascii="宋体" w:hAnsi="宋体" w:cs="宋体"/>
                <w:color w:val="000000"/>
                <w:kern w:val="0"/>
                <w:sz w:val="20"/>
                <w:szCs w:val="20"/>
              </w:rPr>
              <w:t>61.68%</w:t>
            </w:r>
            <w:r w:rsidRPr="00D061FD">
              <w:rPr>
                <w:rFonts w:ascii="宋体" w:hAnsi="宋体" w:cs="宋体" w:hint="eastAsia"/>
                <w:color w:val="000000"/>
                <w:kern w:val="0"/>
                <w:sz w:val="20"/>
                <w:szCs w:val="20"/>
              </w:rPr>
              <w:t>，十大重仓股主要集中于消费内需板块，涵盖农业、汽车、食品、家电等细分领域，重仓股最近一月</w:t>
            </w:r>
            <w:r w:rsidRPr="00D061FD">
              <w:rPr>
                <w:rFonts w:ascii="宋体" w:hAnsi="宋体" w:cs="宋体"/>
                <w:color w:val="000000"/>
                <w:kern w:val="0"/>
                <w:sz w:val="20"/>
                <w:szCs w:val="20"/>
              </w:rPr>
              <w:t>8</w:t>
            </w:r>
            <w:r w:rsidRPr="00D061FD">
              <w:rPr>
                <w:rFonts w:ascii="宋体" w:hAnsi="宋体" w:cs="宋体" w:hint="eastAsia"/>
                <w:color w:val="000000"/>
                <w:kern w:val="0"/>
                <w:sz w:val="20"/>
                <w:szCs w:val="20"/>
              </w:rPr>
              <w:t>涨</w:t>
            </w:r>
            <w:r w:rsidRPr="00D061FD">
              <w:rPr>
                <w:rFonts w:ascii="宋体" w:hAnsi="宋体" w:cs="宋体"/>
                <w:color w:val="000000"/>
                <w:kern w:val="0"/>
                <w:sz w:val="20"/>
                <w:szCs w:val="20"/>
              </w:rPr>
              <w:t>2</w:t>
            </w:r>
            <w:r w:rsidRPr="00D061FD">
              <w:rPr>
                <w:rFonts w:ascii="宋体" w:hAnsi="宋体" w:cs="宋体" w:hint="eastAsia"/>
                <w:color w:val="000000"/>
                <w:kern w:val="0"/>
                <w:sz w:val="20"/>
                <w:szCs w:val="20"/>
              </w:rPr>
              <w:t>跌，整体表现较佳。各期业绩表现均处于同业前列，特别是今年以来整体业绩表现出色。基金经理郭锐，研究员出身，曾供职于易方达、华夏基金公司，自产品设立以来一直管理该基金，任期内业绩表现超越同业平均。</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仓位稳健、布局消费内需、今年以来表现出色</w:t>
            </w:r>
          </w:p>
        </w:tc>
      </w:tr>
      <w:tr w:rsidR="00853D09" w:rsidRPr="005A2744" w:rsidTr="00D061FD">
        <w:trPr>
          <w:trHeight w:val="1189"/>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color w:val="000000"/>
                <w:kern w:val="0"/>
                <w:sz w:val="20"/>
                <w:szCs w:val="20"/>
              </w:rPr>
              <w:t>40035</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hint="eastAsia"/>
                <w:color w:val="000000"/>
                <w:kern w:val="0"/>
                <w:sz w:val="20"/>
                <w:szCs w:val="20"/>
              </w:rPr>
              <w:t>华安逆向策略股票</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仓位调整相对灵活，行业配置均衡而有所侧重，二季报显示仓位水平</w:t>
            </w:r>
            <w:r w:rsidRPr="00D061FD">
              <w:rPr>
                <w:rFonts w:ascii="宋体" w:hAnsi="宋体" w:cs="宋体"/>
                <w:color w:val="000000"/>
                <w:kern w:val="0"/>
                <w:sz w:val="20"/>
                <w:szCs w:val="20"/>
              </w:rPr>
              <w:t>78.79%</w:t>
            </w:r>
            <w:r w:rsidRPr="00D061FD">
              <w:rPr>
                <w:rFonts w:ascii="宋体" w:hAnsi="宋体" w:cs="宋体" w:hint="eastAsia"/>
                <w:color w:val="000000"/>
                <w:kern w:val="0"/>
                <w:sz w:val="20"/>
                <w:szCs w:val="20"/>
              </w:rPr>
              <w:t>，除制造业外对信息技术、批零、金融业均有所关注，重仓股分布于医药、装备制造、化工、金融以及信息技术，布局在大类板块间相对均衡，各期业绩稳健居前。基金经理陆从珍公募管理年限超</w:t>
            </w:r>
            <w:r w:rsidRPr="00D061FD">
              <w:rPr>
                <w:rFonts w:ascii="宋体" w:hAnsi="宋体" w:cs="宋体"/>
                <w:color w:val="000000"/>
                <w:kern w:val="0"/>
                <w:sz w:val="20"/>
                <w:szCs w:val="20"/>
              </w:rPr>
              <w:t>3</w:t>
            </w:r>
            <w:r w:rsidRPr="00D061FD">
              <w:rPr>
                <w:rFonts w:ascii="宋体" w:hAnsi="宋体" w:cs="宋体" w:hint="eastAsia"/>
                <w:color w:val="000000"/>
                <w:kern w:val="0"/>
                <w:sz w:val="20"/>
                <w:szCs w:val="20"/>
              </w:rPr>
              <w:t>年，择时选股能力俱佳，过往业绩超越同业平均。</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调仓灵活、择时选股能力俱佳、注重大类板块间配比均衡性</w:t>
            </w:r>
          </w:p>
        </w:tc>
      </w:tr>
      <w:tr w:rsidR="00853D09" w:rsidRPr="005A2744" w:rsidTr="00D061FD">
        <w:trPr>
          <w:trHeight w:val="1948"/>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Pr>
                <w:rFonts w:ascii="宋体" w:hAnsi="宋体" w:cs="宋体"/>
                <w:color w:val="000000"/>
                <w:kern w:val="0"/>
                <w:sz w:val="20"/>
                <w:szCs w:val="20"/>
              </w:rPr>
              <w:t>213008</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Pr>
                <w:rFonts w:ascii="宋体" w:hAnsi="宋体" w:cs="宋体" w:hint="eastAsia"/>
                <w:color w:val="000000"/>
                <w:kern w:val="0"/>
                <w:sz w:val="20"/>
                <w:szCs w:val="20"/>
              </w:rPr>
              <w:t>宝盈资源优选</w:t>
            </w:r>
            <w:r w:rsidRPr="00D061FD">
              <w:rPr>
                <w:rFonts w:ascii="宋体" w:hAnsi="宋体" w:cs="宋体" w:hint="eastAsia"/>
                <w:color w:val="000000"/>
                <w:kern w:val="0"/>
                <w:sz w:val="20"/>
                <w:szCs w:val="20"/>
              </w:rPr>
              <w:t>股票</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ED3E72">
            <w:pPr>
              <w:widowControl/>
              <w:snapToGrid w:val="0"/>
              <w:jc w:val="left"/>
              <w:rPr>
                <w:rFonts w:ascii="宋体" w:cs="宋体"/>
                <w:color w:val="000000"/>
                <w:kern w:val="0"/>
                <w:sz w:val="20"/>
                <w:szCs w:val="20"/>
              </w:rPr>
            </w:pPr>
            <w:r>
              <w:rPr>
                <w:rFonts w:ascii="宋体" w:hAnsi="宋体" w:cs="宋体" w:hint="eastAsia"/>
                <w:color w:val="000000"/>
                <w:kern w:val="0"/>
                <w:sz w:val="20"/>
                <w:szCs w:val="20"/>
              </w:rPr>
              <w:t>高仓位积极运作，行业配置均衡而有所侧重、调整灵活，拥有较高的风险调整后收益，长期业绩领先。基金经理任职年限超</w:t>
            </w:r>
            <w:r>
              <w:rPr>
                <w:rFonts w:ascii="宋体" w:hAnsi="宋体" w:cs="宋体"/>
                <w:color w:val="000000"/>
                <w:kern w:val="0"/>
                <w:sz w:val="20"/>
                <w:szCs w:val="20"/>
              </w:rPr>
              <w:t>3</w:t>
            </w:r>
            <w:r>
              <w:rPr>
                <w:rFonts w:ascii="宋体" w:hAnsi="宋体" w:cs="宋体" w:hint="eastAsia"/>
                <w:color w:val="000000"/>
                <w:kern w:val="0"/>
                <w:sz w:val="20"/>
                <w:szCs w:val="20"/>
              </w:rPr>
              <w:t>年，管理期业绩超越同业平均，选股能力出色。布局重点围绕大消费及新兴产业，偏好新能源、节能环保、生物医药等领域，二季报显示股票仓位</w:t>
            </w:r>
            <w:r>
              <w:rPr>
                <w:rFonts w:ascii="宋体" w:hAnsi="宋体" w:cs="宋体"/>
                <w:color w:val="000000"/>
                <w:kern w:val="0"/>
                <w:sz w:val="20"/>
                <w:szCs w:val="20"/>
              </w:rPr>
              <w:t>92.18%</w:t>
            </w:r>
            <w:r>
              <w:rPr>
                <w:rFonts w:ascii="宋体" w:hAnsi="宋体" w:cs="宋体" w:hint="eastAsia"/>
                <w:color w:val="000000"/>
                <w:kern w:val="0"/>
                <w:sz w:val="20"/>
                <w:szCs w:val="20"/>
              </w:rPr>
              <w:t>，除制造业外还重点配有采掘、信息技术、以及水利、环境和公共设施管理业。</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Pr>
                <w:rFonts w:ascii="宋体" w:hAnsi="宋体" w:cs="宋体" w:hint="eastAsia"/>
                <w:color w:val="000000"/>
                <w:kern w:val="0"/>
                <w:sz w:val="20"/>
                <w:szCs w:val="20"/>
              </w:rPr>
              <w:t>长期业绩领先，选股能力突出，围绕大消费及新兴产业布局</w:t>
            </w:r>
          </w:p>
        </w:tc>
      </w:tr>
      <w:tr w:rsidR="00853D09" w:rsidRPr="005A2744" w:rsidTr="00D061FD">
        <w:trPr>
          <w:trHeight w:val="2260"/>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color w:val="000000"/>
                <w:kern w:val="0"/>
                <w:sz w:val="20"/>
                <w:szCs w:val="20"/>
              </w:rPr>
              <w:t>270021</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sidRPr="00D061FD">
              <w:rPr>
                <w:rFonts w:ascii="宋体" w:hAnsi="宋体" w:cs="宋体" w:hint="eastAsia"/>
                <w:color w:val="000000"/>
                <w:kern w:val="0"/>
                <w:sz w:val="20"/>
                <w:szCs w:val="20"/>
              </w:rPr>
              <w:t>广发聚瑞股票</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C922E7">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高仓位、高行业集中度运作风格积极，与此同时净值波动较高、风险调整后收益同业领先，属于高弹性品种。善于捕捉市场热点，重仓行业随市调整灵活，震荡市场环境下对于结构性机会的把握能力较强，长期累计收益居前。最新季报显示该基金仓位</w:t>
            </w:r>
            <w:r w:rsidRPr="00D061FD">
              <w:rPr>
                <w:rFonts w:ascii="宋体" w:hAnsi="宋体" w:cs="宋体"/>
                <w:color w:val="000000"/>
                <w:kern w:val="0"/>
                <w:sz w:val="20"/>
                <w:szCs w:val="20"/>
              </w:rPr>
              <w:t>92.77%</w:t>
            </w:r>
            <w:r w:rsidRPr="00D061FD">
              <w:rPr>
                <w:rFonts w:ascii="宋体" w:hAnsi="宋体" w:cs="宋体" w:hint="eastAsia"/>
                <w:color w:val="000000"/>
                <w:kern w:val="0"/>
                <w:sz w:val="20"/>
                <w:szCs w:val="20"/>
              </w:rPr>
              <w:t>，超配信息技术，持有比例高达</w:t>
            </w:r>
            <w:r w:rsidRPr="00D061FD">
              <w:rPr>
                <w:rFonts w:ascii="宋体" w:hAnsi="宋体" w:cs="宋体"/>
                <w:color w:val="000000"/>
                <w:kern w:val="0"/>
                <w:sz w:val="20"/>
                <w:szCs w:val="20"/>
              </w:rPr>
              <w:t>30.57%</w:t>
            </w:r>
            <w:r w:rsidRPr="00D061FD">
              <w:rPr>
                <w:rFonts w:ascii="宋体" w:hAnsi="宋体" w:cs="宋体" w:hint="eastAsia"/>
                <w:color w:val="000000"/>
                <w:kern w:val="0"/>
                <w:sz w:val="20"/>
                <w:szCs w:val="20"/>
              </w:rPr>
              <w:t>，重仓股集中于信息技术、医药，成长风格突出。基金经理刘明月，公募管理经验超</w:t>
            </w:r>
            <w:r w:rsidRPr="00D061FD">
              <w:rPr>
                <w:rFonts w:ascii="宋体" w:hAnsi="宋体" w:cs="宋体"/>
                <w:color w:val="000000"/>
                <w:kern w:val="0"/>
                <w:sz w:val="20"/>
                <w:szCs w:val="20"/>
              </w:rPr>
              <w:t>5</w:t>
            </w:r>
            <w:r w:rsidRPr="00D061FD">
              <w:rPr>
                <w:rFonts w:ascii="宋体" w:hAnsi="宋体" w:cs="宋体" w:hint="eastAsia"/>
                <w:color w:val="000000"/>
                <w:kern w:val="0"/>
                <w:sz w:val="20"/>
                <w:szCs w:val="20"/>
              </w:rPr>
              <w:t>年，选股能力突出，长期业绩领先。该基金短期受累创业板回调业绩出现较为明显的下滑，但介于其具备较强的成长风格属性、选股能力突出、业绩具备较高弹性，长期来看适宜具备较高风险承受能力的投资者关注。</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重仓信息技术及医药、选股能力出色、业绩具备较高弹性、小盘成长风格</w:t>
            </w:r>
            <w:r>
              <w:rPr>
                <w:rFonts w:ascii="宋体" w:hAnsi="宋体" w:cs="宋体" w:hint="eastAsia"/>
                <w:color w:val="000000"/>
                <w:kern w:val="0"/>
                <w:sz w:val="20"/>
                <w:szCs w:val="20"/>
              </w:rPr>
              <w:t>突出</w:t>
            </w:r>
          </w:p>
        </w:tc>
      </w:tr>
      <w:tr w:rsidR="00853D09" w:rsidRPr="005A2744" w:rsidTr="00D061FD">
        <w:trPr>
          <w:trHeight w:val="877"/>
        </w:trPr>
        <w:tc>
          <w:tcPr>
            <w:tcW w:w="816" w:type="dxa"/>
            <w:tcBorders>
              <w:top w:val="nil"/>
              <w:left w:val="nil"/>
              <w:bottom w:val="single" w:sz="4"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Pr>
                <w:rFonts w:ascii="宋体" w:hAnsi="宋体" w:cs="宋体"/>
                <w:color w:val="000000"/>
                <w:kern w:val="0"/>
                <w:sz w:val="20"/>
                <w:szCs w:val="20"/>
              </w:rPr>
              <w:t>162711</w:t>
            </w:r>
          </w:p>
        </w:tc>
        <w:tc>
          <w:tcPr>
            <w:tcW w:w="1037" w:type="dxa"/>
            <w:tcBorders>
              <w:top w:val="nil"/>
              <w:left w:val="nil"/>
              <w:bottom w:val="single" w:sz="4"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Pr>
                <w:rFonts w:ascii="宋体" w:hAnsi="宋体" w:cs="宋体" w:hint="eastAsia"/>
                <w:color w:val="000000"/>
                <w:kern w:val="0"/>
                <w:sz w:val="20"/>
                <w:szCs w:val="20"/>
              </w:rPr>
              <w:t>广发中证</w:t>
            </w:r>
            <w:r>
              <w:rPr>
                <w:rFonts w:ascii="宋体" w:hAnsi="宋体" w:cs="宋体"/>
                <w:color w:val="000000"/>
                <w:kern w:val="0"/>
                <w:sz w:val="20"/>
                <w:szCs w:val="20"/>
              </w:rPr>
              <w:t>500</w:t>
            </w:r>
            <w:r>
              <w:rPr>
                <w:rFonts w:ascii="宋体" w:hAnsi="宋体" w:cs="宋体" w:hint="eastAsia"/>
                <w:color w:val="000000"/>
                <w:kern w:val="0"/>
                <w:sz w:val="20"/>
                <w:szCs w:val="20"/>
              </w:rPr>
              <w:t>链接</w:t>
            </w:r>
          </w:p>
        </w:tc>
        <w:tc>
          <w:tcPr>
            <w:tcW w:w="6951" w:type="dxa"/>
            <w:tcBorders>
              <w:top w:val="single" w:sz="4" w:space="0" w:color="E46D0A"/>
              <w:left w:val="nil"/>
              <w:bottom w:val="single" w:sz="4" w:space="0" w:color="E46D0A"/>
              <w:right w:val="single" w:sz="4" w:space="0" w:color="E46D0A"/>
            </w:tcBorders>
            <w:vAlign w:val="center"/>
          </w:tcPr>
          <w:p w:rsidR="00853D09" w:rsidRPr="00D061FD" w:rsidRDefault="00853D09" w:rsidP="00C922E7">
            <w:pPr>
              <w:widowControl/>
              <w:snapToGrid w:val="0"/>
              <w:jc w:val="left"/>
              <w:rPr>
                <w:rFonts w:ascii="宋体" w:cs="宋体"/>
                <w:color w:val="000000"/>
                <w:kern w:val="0"/>
                <w:sz w:val="20"/>
                <w:szCs w:val="20"/>
              </w:rPr>
            </w:pPr>
            <w:r>
              <w:rPr>
                <w:rFonts w:ascii="宋体" w:hAnsi="宋体" w:cs="宋体" w:hint="eastAsia"/>
                <w:color w:val="000000"/>
                <w:kern w:val="0"/>
                <w:sz w:val="20"/>
                <w:szCs w:val="20"/>
              </w:rPr>
              <w:t>被动投资指数型品种，以中证</w:t>
            </w:r>
            <w:r>
              <w:rPr>
                <w:rFonts w:ascii="宋体" w:hAnsi="宋体" w:cs="宋体"/>
                <w:color w:val="000000"/>
                <w:kern w:val="0"/>
                <w:sz w:val="20"/>
                <w:szCs w:val="20"/>
              </w:rPr>
              <w:t>500</w:t>
            </w:r>
            <w:r>
              <w:rPr>
                <w:rFonts w:ascii="宋体" w:hAnsi="宋体" w:cs="宋体" w:hint="eastAsia"/>
                <w:color w:val="000000"/>
                <w:kern w:val="0"/>
                <w:sz w:val="20"/>
                <w:szCs w:val="20"/>
              </w:rPr>
              <w:t>指数为跟踪标的，中小盘成长风格较为显著，行业分布相对均衡，权重行业主要集中于生物医药、房地产、化工、机械以及电子领域，样本数量较多，个股分散性良好，申赎成本相较主动管理产品较低。</w:t>
            </w:r>
          </w:p>
        </w:tc>
        <w:tc>
          <w:tcPr>
            <w:tcW w:w="1457" w:type="dxa"/>
            <w:tcBorders>
              <w:top w:val="nil"/>
              <w:left w:val="nil"/>
              <w:bottom w:val="single" w:sz="4"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Pr>
                <w:rFonts w:ascii="宋体" w:hAnsi="宋体" w:cs="宋体" w:hint="eastAsia"/>
                <w:color w:val="000000"/>
                <w:kern w:val="0"/>
                <w:sz w:val="20"/>
                <w:szCs w:val="20"/>
              </w:rPr>
              <w:t>指数追踪、分散投资、中小盘成长风格显著、投资成本较低</w:t>
            </w:r>
          </w:p>
        </w:tc>
      </w:tr>
      <w:tr w:rsidR="00853D09" w:rsidRPr="005A2744" w:rsidTr="00D061FD">
        <w:trPr>
          <w:trHeight w:val="981"/>
        </w:trPr>
        <w:tc>
          <w:tcPr>
            <w:tcW w:w="816" w:type="dxa"/>
            <w:tcBorders>
              <w:top w:val="nil"/>
              <w:left w:val="nil"/>
              <w:bottom w:val="single" w:sz="8" w:space="0" w:color="E46D0A"/>
              <w:right w:val="single" w:sz="4" w:space="0" w:color="E46D0A"/>
            </w:tcBorders>
            <w:noWrap/>
            <w:vAlign w:val="center"/>
          </w:tcPr>
          <w:p w:rsidR="00853D09" w:rsidRPr="00D061FD" w:rsidRDefault="00853D09" w:rsidP="00ED3E72">
            <w:pPr>
              <w:widowControl/>
              <w:snapToGrid w:val="0"/>
              <w:jc w:val="center"/>
              <w:rPr>
                <w:rFonts w:ascii="宋体" w:cs="宋体"/>
                <w:color w:val="000000"/>
                <w:kern w:val="0"/>
                <w:sz w:val="20"/>
                <w:szCs w:val="20"/>
              </w:rPr>
            </w:pPr>
            <w:r>
              <w:rPr>
                <w:rFonts w:ascii="宋体" w:hAnsi="宋体" w:cs="宋体"/>
                <w:color w:val="000000"/>
                <w:kern w:val="0"/>
                <w:sz w:val="20"/>
                <w:szCs w:val="20"/>
              </w:rPr>
              <w:t>519670</w:t>
            </w:r>
          </w:p>
        </w:tc>
        <w:tc>
          <w:tcPr>
            <w:tcW w:w="1037" w:type="dxa"/>
            <w:tcBorders>
              <w:top w:val="nil"/>
              <w:left w:val="nil"/>
              <w:bottom w:val="single" w:sz="8" w:space="0" w:color="E46D0A"/>
              <w:right w:val="single" w:sz="4" w:space="0" w:color="E46D0A"/>
            </w:tcBorders>
            <w:vAlign w:val="center"/>
          </w:tcPr>
          <w:p w:rsidR="00853D09" w:rsidRPr="00D061FD" w:rsidRDefault="00853D09" w:rsidP="00ED3E72">
            <w:pPr>
              <w:widowControl/>
              <w:snapToGrid w:val="0"/>
              <w:jc w:val="center"/>
              <w:rPr>
                <w:rFonts w:ascii="宋体" w:cs="宋体"/>
                <w:color w:val="000000"/>
                <w:kern w:val="0"/>
                <w:sz w:val="20"/>
                <w:szCs w:val="20"/>
              </w:rPr>
            </w:pPr>
            <w:r>
              <w:rPr>
                <w:rFonts w:ascii="宋体" w:hAnsi="宋体" w:cs="宋体" w:hint="eastAsia"/>
                <w:color w:val="000000"/>
                <w:kern w:val="0"/>
                <w:sz w:val="20"/>
                <w:szCs w:val="20"/>
              </w:rPr>
              <w:t>银河行业股票</w:t>
            </w:r>
          </w:p>
        </w:tc>
        <w:tc>
          <w:tcPr>
            <w:tcW w:w="6951" w:type="dxa"/>
            <w:tcBorders>
              <w:top w:val="single" w:sz="4" w:space="0" w:color="E46D0A"/>
              <w:left w:val="nil"/>
              <w:bottom w:val="single" w:sz="8" w:space="0" w:color="E46D0A"/>
              <w:right w:val="single" w:sz="4" w:space="0" w:color="E46D0A"/>
            </w:tcBorders>
            <w:vAlign w:val="center"/>
          </w:tcPr>
          <w:p w:rsidR="00853D09" w:rsidRPr="00D061FD" w:rsidRDefault="00853D09" w:rsidP="00631486">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高仓位运作积极，</w:t>
            </w:r>
            <w:r>
              <w:rPr>
                <w:rFonts w:ascii="宋体" w:hAnsi="宋体" w:cs="宋体" w:hint="eastAsia"/>
                <w:color w:val="000000"/>
                <w:kern w:val="0"/>
                <w:sz w:val="20"/>
                <w:szCs w:val="20"/>
              </w:rPr>
              <w:t>长期偏好信息技术，对医疗、环保、传媒等领域亦有所关注</w:t>
            </w:r>
            <w:r w:rsidRPr="00D061FD">
              <w:rPr>
                <w:rFonts w:ascii="宋体" w:hAnsi="宋体" w:cs="宋体" w:hint="eastAsia"/>
                <w:color w:val="000000"/>
                <w:kern w:val="0"/>
                <w:sz w:val="20"/>
                <w:szCs w:val="20"/>
              </w:rPr>
              <w:t>。</w:t>
            </w:r>
            <w:r>
              <w:rPr>
                <w:rFonts w:ascii="宋体" w:hAnsi="宋体" w:cs="宋体" w:hint="eastAsia"/>
                <w:color w:val="000000"/>
                <w:kern w:val="0"/>
                <w:sz w:val="20"/>
                <w:szCs w:val="20"/>
              </w:rPr>
              <w:t>基金经理成胜，</w:t>
            </w:r>
            <w:r w:rsidRPr="00F675B0">
              <w:rPr>
                <w:rFonts w:ascii="宋体" w:hAnsi="宋体" w:cs="宋体"/>
                <w:color w:val="000000"/>
                <w:kern w:val="0"/>
                <w:sz w:val="20"/>
                <w:szCs w:val="20"/>
              </w:rPr>
              <w:t>TMT</w:t>
            </w:r>
            <w:r w:rsidRPr="00F675B0">
              <w:rPr>
                <w:rFonts w:ascii="宋体" w:hAnsi="宋体" w:cs="宋体" w:hint="eastAsia"/>
                <w:color w:val="000000"/>
                <w:kern w:val="0"/>
                <w:sz w:val="20"/>
                <w:szCs w:val="20"/>
              </w:rPr>
              <w:t>行业研究员的任职</w:t>
            </w:r>
            <w:r>
              <w:rPr>
                <w:rFonts w:ascii="宋体" w:hAnsi="宋体" w:cs="宋体" w:hint="eastAsia"/>
                <w:color w:val="000000"/>
                <w:kern w:val="0"/>
                <w:sz w:val="20"/>
                <w:szCs w:val="20"/>
              </w:rPr>
              <w:t>，公募管理年限近</w:t>
            </w:r>
            <w:r>
              <w:rPr>
                <w:rFonts w:ascii="宋体" w:hAnsi="宋体" w:cs="宋体"/>
                <w:color w:val="000000"/>
                <w:kern w:val="0"/>
                <w:sz w:val="20"/>
                <w:szCs w:val="20"/>
              </w:rPr>
              <w:t>4</w:t>
            </w:r>
            <w:r>
              <w:rPr>
                <w:rFonts w:ascii="宋体" w:hAnsi="宋体" w:cs="宋体" w:hint="eastAsia"/>
                <w:color w:val="000000"/>
                <w:kern w:val="0"/>
                <w:sz w:val="20"/>
                <w:szCs w:val="20"/>
              </w:rPr>
              <w:t>年，擅长精选成长股，坚定看好经济转型受益板块。</w:t>
            </w:r>
          </w:p>
        </w:tc>
        <w:tc>
          <w:tcPr>
            <w:tcW w:w="1457" w:type="dxa"/>
            <w:tcBorders>
              <w:top w:val="nil"/>
              <w:left w:val="nil"/>
              <w:bottom w:val="single" w:sz="8" w:space="0" w:color="E46D0A"/>
              <w:right w:val="nil"/>
            </w:tcBorders>
            <w:vAlign w:val="center"/>
          </w:tcPr>
          <w:p w:rsidR="00853D09" w:rsidRPr="00D061FD" w:rsidRDefault="00853D09" w:rsidP="00ED3E72">
            <w:pPr>
              <w:widowControl/>
              <w:snapToGrid w:val="0"/>
              <w:jc w:val="left"/>
              <w:rPr>
                <w:rFonts w:ascii="宋体" w:cs="宋体"/>
                <w:color w:val="000000"/>
                <w:kern w:val="0"/>
                <w:sz w:val="20"/>
                <w:szCs w:val="20"/>
              </w:rPr>
            </w:pPr>
            <w:r w:rsidRPr="00D061FD">
              <w:rPr>
                <w:rFonts w:ascii="宋体" w:hAnsi="宋体" w:cs="宋体" w:hint="eastAsia"/>
                <w:color w:val="000000"/>
                <w:kern w:val="0"/>
                <w:sz w:val="20"/>
                <w:szCs w:val="20"/>
              </w:rPr>
              <w:t>高仓位、</w:t>
            </w:r>
            <w:r>
              <w:rPr>
                <w:rFonts w:ascii="宋体" w:hAnsi="宋体" w:cs="宋体" w:hint="eastAsia"/>
                <w:color w:val="000000"/>
                <w:kern w:val="0"/>
                <w:sz w:val="20"/>
                <w:szCs w:val="20"/>
              </w:rPr>
              <w:t>精选优质成长股、长期业绩领先</w:t>
            </w:r>
          </w:p>
        </w:tc>
      </w:tr>
    </w:tbl>
    <w:p w:rsidR="00853D09" w:rsidRPr="005419CA" w:rsidRDefault="00853D09" w:rsidP="005419CA">
      <w:pPr>
        <w:widowControl/>
        <w:spacing w:after="120" w:line="240" w:lineRule="exact"/>
        <w:rPr>
          <w:rFonts w:ascii="Arial" w:eastAsia="楷体_GB2312" w:hAnsi="Arial"/>
          <w:kern w:val="0"/>
          <w:szCs w:val="20"/>
          <w:lang w:val="en-GB"/>
        </w:rPr>
      </w:pPr>
      <w:r w:rsidRPr="005419CA">
        <w:rPr>
          <w:rFonts w:ascii="Arial" w:eastAsia="楷体_GB2312" w:hAnsi="Arial" w:hint="eastAsia"/>
          <w:kern w:val="0"/>
          <w:szCs w:val="20"/>
          <w:lang w:val="en-GB"/>
        </w:rPr>
        <w:t>资料来源：凯石工场</w:t>
      </w:r>
    </w:p>
    <w:p w:rsidR="00853D09" w:rsidRDefault="00853D09">
      <w:pPr>
        <w:widowControl/>
        <w:jc w:val="left"/>
        <w:rPr>
          <w:rFonts w:ascii="Arial" w:eastAsia="楷体_GB2312" w:hAnsi="Arial"/>
          <w:b/>
          <w:kern w:val="0"/>
          <w:szCs w:val="20"/>
          <w:lang w:val="en-GB"/>
        </w:rPr>
      </w:pPr>
      <w:r>
        <w:rPr>
          <w:rFonts w:ascii="Arial" w:eastAsia="楷体_GB2312" w:hAnsi="Arial"/>
          <w:b/>
          <w:kern w:val="0"/>
          <w:szCs w:val="20"/>
          <w:lang w:val="en-GB"/>
        </w:rPr>
        <w:br w:type="page"/>
      </w:r>
    </w:p>
    <w:p w:rsidR="00853D09" w:rsidRPr="001609A2" w:rsidRDefault="00853D09" w:rsidP="00B10000">
      <w:pPr>
        <w:pStyle w:val="a4"/>
        <w:spacing w:after="312"/>
        <w:rPr>
          <w:rFonts w:ascii="Arial" w:eastAsia="楷体_GB2312" w:hAnsi="Arial"/>
          <w:b/>
          <w:kern w:val="0"/>
          <w:sz w:val="21"/>
          <w:szCs w:val="20"/>
          <w:lang w:val="en-GB"/>
        </w:rPr>
      </w:pPr>
      <w:r w:rsidRPr="001609A2">
        <w:rPr>
          <w:rFonts w:ascii="Arial" w:eastAsia="楷体_GB2312" w:hAnsi="Arial" w:hint="eastAsia"/>
          <w:b/>
          <w:kern w:val="0"/>
          <w:sz w:val="21"/>
          <w:szCs w:val="20"/>
          <w:lang w:val="en-GB"/>
        </w:rPr>
        <w:t>特别声明：</w:t>
      </w:r>
    </w:p>
    <w:p w:rsidR="00853D09" w:rsidRPr="001609A2" w:rsidRDefault="00853D09" w:rsidP="0047023D">
      <w:pPr>
        <w:pStyle w:val="a4"/>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853D09" w:rsidRPr="001609A2" w:rsidRDefault="00853D09" w:rsidP="0047023D">
      <w:pPr>
        <w:pStyle w:val="a4"/>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853D09" w:rsidRPr="001609A2" w:rsidRDefault="00853D09" w:rsidP="0047023D">
      <w:pPr>
        <w:pStyle w:val="a4"/>
        <w:spacing w:beforeLines="50" w:after="312"/>
        <w:rPr>
          <w:rFonts w:ascii="Arial" w:eastAsia="楷体_GB2312" w:hAnsi="Arial"/>
          <w:kern w:val="0"/>
          <w:sz w:val="21"/>
          <w:szCs w:val="20"/>
          <w:lang w:val="en-GB"/>
        </w:rPr>
      </w:pPr>
      <w:r w:rsidRPr="001609A2">
        <w:rPr>
          <w:rFonts w:ascii="Arial" w:eastAsia="楷体_GB2312" w:hAnsi="Arial"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53D09" w:rsidRPr="00B10000" w:rsidRDefault="00853D09">
      <w:pPr>
        <w:rPr>
          <w:lang w:val="en-GB"/>
        </w:rPr>
      </w:pPr>
    </w:p>
    <w:sectPr w:rsidR="00853D09" w:rsidRPr="00B10000" w:rsidSect="00656031">
      <w:headerReference w:type="default" r:id="rId9"/>
      <w:footerReference w:type="default" r:id="rId10"/>
      <w:headerReference w:type="first" r:id="rId11"/>
      <w:footerReference w:type="first" r:id="rId12"/>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D09" w:rsidRDefault="00853D09" w:rsidP="00B10000">
      <w:r>
        <w:separator/>
      </w:r>
    </w:p>
  </w:endnote>
  <w:endnote w:type="continuationSeparator" w:id="0">
    <w:p w:rsidR="00853D09" w:rsidRDefault="00853D09"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9" w:rsidRDefault="00853D09">
    <w:pPr>
      <w:pStyle w:val="Footer"/>
      <w:jc w:val="center"/>
    </w:pPr>
    <w:r>
      <w:pict>
        <v:rect id="_x0000_i1031"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6</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853D09" w:rsidRDefault="00853D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9" w:rsidRDefault="00853D09">
    <w:pPr>
      <w:pStyle w:val="Footer"/>
      <w:jc w:val="center"/>
    </w:pPr>
    <w:r>
      <w:pict>
        <v:rect id="_x0000_i1040" style="width:571.2pt;height:2pt" o:hralign="center" o:hrstd="t" o:hrnoshade="t" o:hr="t" fillcolor="#e7a631" stroked="f"/>
      </w:pict>
    </w:r>
    <w:r>
      <w:rPr>
        <w:lang w:val="zh-CN"/>
      </w:rPr>
      <w:t xml:space="preserve"> </w:t>
    </w:r>
    <w:r>
      <w:rPr>
        <w:b/>
      </w:rPr>
      <w:fldChar w:fldCharType="begin"/>
    </w:r>
    <w:r>
      <w:rPr>
        <w:b/>
      </w:rPr>
      <w:instrText>PAGE</w:instrText>
    </w:r>
    <w:r>
      <w:rPr>
        <w:b/>
      </w:rPr>
      <w:fldChar w:fldCharType="separate"/>
    </w:r>
    <w:r>
      <w:rPr>
        <w:b/>
        <w:noProof/>
      </w:rPr>
      <w:t>1</w:t>
    </w:r>
    <w:r>
      <w:rPr>
        <w:b/>
      </w:rPr>
      <w:fldChar w:fldCharType="end"/>
    </w:r>
    <w:r>
      <w:rPr>
        <w:lang w:val="zh-CN"/>
      </w:rPr>
      <w:t xml:space="preserve"> / </w:t>
    </w:r>
    <w:r>
      <w:rPr>
        <w:b/>
      </w:rPr>
      <w:fldChar w:fldCharType="begin"/>
    </w:r>
    <w:r>
      <w:rPr>
        <w:b/>
      </w:rPr>
      <w:instrText>NUMPAGES</w:instrText>
    </w:r>
    <w:r>
      <w:rPr>
        <w:b/>
      </w:rPr>
      <w:fldChar w:fldCharType="separate"/>
    </w:r>
    <w:r>
      <w:rPr>
        <w:b/>
        <w:noProof/>
      </w:rPr>
      <w:t>6</w:t>
    </w:r>
    <w:r>
      <w:rPr>
        <w:b/>
      </w:rPr>
      <w:fldChar w:fldCharType="end"/>
    </w:r>
  </w:p>
  <w:p w:rsidR="00853D09" w:rsidRDefault="00853D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D09" w:rsidRDefault="00853D09" w:rsidP="00B10000">
      <w:r>
        <w:separator/>
      </w:r>
    </w:p>
  </w:footnote>
  <w:footnote w:type="continuationSeparator" w:id="0">
    <w:p w:rsidR="00853D09" w:rsidRDefault="00853D09"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9" w:rsidRDefault="00853D09" w:rsidP="00B10000">
    <w:pPr>
      <w:pStyle w:val="Header"/>
      <w:pBdr>
        <w:bottom w:val="none" w:sz="0" w:space="0" w:color="auto"/>
      </w:pBdr>
    </w:pPr>
    <w:r>
      <w:rPr>
        <w:noProof/>
      </w:rPr>
      <w:pict>
        <v:group id="_x0000_s2049" style="position:absolute;left:0;text-align:left;margin-left:5.2pt;margin-top:-32.25pt;width:531.2pt;height:37.5pt;z-index:251660288" coordorigin="728,206" coordsize="10624,750">
          <v:shapetype id="_x0000_t202" coordsize="21600,21600" o:spt="202" path="m,l,21600r21600,l21600,xe">
            <v:stroke joinstyle="miter"/>
            <v:path gradientshapeok="t" o:connecttype="rect"/>
          </v:shapetype>
          <v:shape id="_x0000_s2050" type="#_x0000_t202" style="position:absolute;left:728;top:206;width:1336;height:724" strokecolor="white">
            <v:textbox style="mso-next-textbox:#_x0000_s2050">
              <w:txbxContent>
                <w:p w:rsidR="00853D09" w:rsidRDefault="00853D09" w:rsidP="00B10000">
                  <w:pPr>
                    <w:pStyle w:val="12"/>
                  </w:pPr>
                  <w:r w:rsidRPr="006B394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凯石工2.jpg" style="width:42pt;height:29.25pt;visibility:visible">
                        <v:imagedata r:id="rId1" o:title=""/>
                      </v:shape>
                    </w:pict>
                  </w:r>
                </w:p>
              </w:txbxContent>
            </v:textbox>
          </v:shape>
          <v:shape id="_x0000_s2051" type="#_x0000_t202" style="position:absolute;left:5999;top:542;width:5353;height:414" strokecolor="white">
            <v:textbox style="mso-next-textbox:#_x0000_s2051">
              <w:txbxContent>
                <w:p w:rsidR="00853D09" w:rsidRPr="006E0F3C" w:rsidRDefault="00853D09" w:rsidP="00B10000">
                  <w:pPr>
                    <w:pStyle w:val="2"/>
                  </w:pPr>
                  <w:r w:rsidRPr="00C82C6A">
                    <w:t>2014</w:t>
                  </w:r>
                  <w:r w:rsidRPr="00C82C6A">
                    <w:rPr>
                      <w:rFonts w:hint="eastAsia"/>
                    </w:rPr>
                    <w:t>年</w:t>
                  </w:r>
                  <w:r>
                    <w:t>9</w:t>
                  </w:r>
                  <w:r>
                    <w:rPr>
                      <w:rFonts w:hint="eastAsia"/>
                    </w:rPr>
                    <w:t>月偏股</w:t>
                  </w:r>
                  <w:r w:rsidRPr="00C82C6A">
                    <w:rPr>
                      <w:rFonts w:hint="eastAsia"/>
                    </w:rPr>
                    <w:t>基金</w:t>
                  </w:r>
                  <w:r>
                    <w:rPr>
                      <w:rFonts w:hint="eastAsia"/>
                    </w:rPr>
                    <w:t>产品</w:t>
                  </w:r>
                  <w:r w:rsidRPr="00C82C6A">
                    <w:rPr>
                      <w:rFonts w:hint="eastAsia"/>
                    </w:rPr>
                    <w:t>投资策略</w:t>
                  </w:r>
                </w:p>
              </w:txbxContent>
            </v:textbox>
          </v:shape>
        </v:group>
      </w:pict>
    </w:r>
    <w:r>
      <w:pict>
        <v:rect id="_x0000_i1028"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D09" w:rsidRDefault="00853D09" w:rsidP="0047023D">
    <w:pPr>
      <w:pStyle w:val="Header"/>
      <w:pBdr>
        <w:bottom w:val="none" w:sz="0" w:space="0" w:color="auto"/>
      </w:pBdr>
      <w:spacing w:afterLines="100"/>
    </w:pPr>
    <w:r>
      <w:rPr>
        <w:noProof/>
      </w:rPr>
    </w:r>
    <w:r>
      <w:pict>
        <v:group id="_x0000_s2052"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2053" type="#_x0000_t202" style="position:absolute;left:652;top:331;width:3664;height:2430" strokecolor="white">
            <v:textbox style="mso-next-textbox:#_x0000_s2053">
              <w:txbxContent>
                <w:p w:rsidR="00853D09" w:rsidRDefault="00853D09" w:rsidP="00B10000">
                  <w:pPr>
                    <w:pStyle w:val="a0"/>
                  </w:pPr>
                  <w:r w:rsidRPr="006B394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8" type="#_x0000_t75" alt="凯石工2.jpg" style="width:123pt;height:115.5pt;visibility:visible">
                        <v:imagedata r:id="rId1" o:title=""/>
                      </v:shape>
                    </w:pict>
                  </w:r>
                </w:p>
              </w:txbxContent>
            </v:textbox>
          </v:shape>
          <v:shape id="_x0000_s2054" type="#_x0000_t202" style="position:absolute;left:881;top:2578;width:2325;height:390" strokecolor="white">
            <v:textbox style="mso-next-textbox:#_x0000_s2054">
              <w:txbxContent>
                <w:p w:rsidR="00853D09" w:rsidRPr="006E0F3C" w:rsidRDefault="00853D09" w:rsidP="008840A4">
                  <w:pPr>
                    <w:pStyle w:val="a"/>
                    <w:spacing w:after="240"/>
                  </w:pPr>
                  <w:r w:rsidRPr="006E0F3C">
                    <w:rPr>
                      <w:rFonts w:hint="eastAsia"/>
                    </w:rPr>
                    <w:t>凯石工场研究报告</w:t>
                  </w:r>
                </w:p>
              </w:txbxContent>
            </v:textbox>
          </v:shape>
          <v:shape id="_x0000_s2055" type="#_x0000_t202" style="position:absolute;left:8740;top:609;width:2441;height:475" strokecolor="white">
            <v:textbox style="mso-next-textbox:#_x0000_s2055;mso-fit-shape-to-text:t">
              <w:txbxContent>
                <w:p w:rsidR="00853D09" w:rsidRPr="006E0F3C" w:rsidRDefault="00853D09" w:rsidP="00B10000">
                  <w:pPr>
                    <w:pStyle w:val="a1"/>
                    <w:jc w:val="right"/>
                  </w:pPr>
                  <w:r w:rsidRPr="006E0F3C">
                    <w:t>201</w:t>
                  </w:r>
                  <w:r>
                    <w:t>4</w:t>
                  </w:r>
                  <w:r w:rsidRPr="006E0F3C">
                    <w:rPr>
                      <w:rFonts w:hint="eastAsia"/>
                    </w:rPr>
                    <w:t>年</w:t>
                  </w:r>
                  <w:r>
                    <w:t>9</w:t>
                  </w:r>
                  <w:r>
                    <w:rPr>
                      <w:rFonts w:hint="eastAsia"/>
                    </w:rPr>
                    <w:t>月</w:t>
                  </w:r>
                  <w:r>
                    <w:t>1</w:t>
                  </w:r>
                  <w:r w:rsidRPr="006E0F3C">
                    <w:rPr>
                      <w:rFonts w:hint="eastAsia"/>
                    </w:rPr>
                    <w:t>日</w:t>
                  </w:r>
                </w:p>
              </w:txbxContent>
            </v:textbox>
          </v:shape>
          <v:shape id="_x0000_s2056" type="#_x0000_t202" style="position:absolute;left:3214;top:1377;width:8090;height:1001" strokecolor="white">
            <v:textbox style="mso-next-textbox:#_x0000_s2056;mso-fit-shape-to-text:t">
              <w:txbxContent>
                <w:p w:rsidR="00853D09" w:rsidRDefault="00853D09" w:rsidP="00B10000">
                  <w:pPr>
                    <w:pStyle w:val="a2"/>
                    <w:jc w:val="right"/>
                  </w:pPr>
                  <w:r w:rsidRPr="00E4760A">
                    <w:t>2014</w:t>
                  </w:r>
                  <w:r w:rsidRPr="00E4760A">
                    <w:rPr>
                      <w:rFonts w:hint="eastAsia"/>
                    </w:rPr>
                    <w:t>年</w:t>
                  </w:r>
                  <w:r>
                    <w:t>9</w:t>
                  </w:r>
                  <w:r>
                    <w:rPr>
                      <w:rFonts w:hint="eastAsia"/>
                    </w:rPr>
                    <w:t>月偏股</w:t>
                  </w:r>
                  <w:r w:rsidRPr="00E4760A">
                    <w:rPr>
                      <w:rFonts w:hint="eastAsia"/>
                    </w:rPr>
                    <w:t>基金</w:t>
                  </w:r>
                  <w:r>
                    <w:rPr>
                      <w:rFonts w:hint="eastAsia"/>
                    </w:rPr>
                    <w:t>产品</w:t>
                  </w:r>
                  <w:r w:rsidRPr="00E4760A">
                    <w:rPr>
                      <w:rFonts w:hint="eastAsia"/>
                    </w:rPr>
                    <w:t>投资策略</w:t>
                  </w:r>
                </w:p>
                <w:p w:rsidR="00853D09" w:rsidRPr="00624366" w:rsidRDefault="00853D09" w:rsidP="00B10000">
                  <w:pPr>
                    <w:pStyle w:val="a2"/>
                    <w:jc w:val="right"/>
                    <w:rPr>
                      <w:sz w:val="28"/>
                      <w:szCs w:val="28"/>
                    </w:rPr>
                  </w:pPr>
                  <w:r>
                    <w:rPr>
                      <w:rFonts w:hint="eastAsia"/>
                      <w:sz w:val="28"/>
                      <w:szCs w:val="28"/>
                    </w:rPr>
                    <w:t>稳健操作，以静制动</w:t>
                  </w:r>
                </w:p>
              </w:txbxContent>
            </v:textbox>
          </v:shape>
          <v:shape id="_x0000_s2057" type="#_x0000_t202" style="position:absolute;left:3246;top:2578;width:7993;height:627" strokecolor="white">
            <v:textbox style="mso-next-textbox:#_x0000_s2057">
              <w:txbxContent>
                <w:p w:rsidR="00853D09" w:rsidRPr="006E0F3C" w:rsidRDefault="00853D09" w:rsidP="006A1C65">
                  <w:pPr>
                    <w:pStyle w:val="a3"/>
                  </w:pPr>
                  <w:r>
                    <w:rPr>
                      <w:rFonts w:hint="eastAsia"/>
                    </w:rPr>
                    <w:t>郭佳楠</w:t>
                  </w:r>
                  <w:r w:rsidRPr="006E0F3C">
                    <w:t xml:space="preserve"> </w:t>
                  </w:r>
                  <w:r>
                    <w:rPr>
                      <w:rFonts w:hint="eastAsia"/>
                    </w:rPr>
                    <w:t>基金</w:t>
                  </w:r>
                  <w:r w:rsidRPr="006E0F3C">
                    <w:rPr>
                      <w:rFonts w:hint="eastAsia"/>
                    </w:rPr>
                    <w:t>分析师</w:t>
                  </w:r>
                </w:p>
              </w:txbxContent>
            </v:textbox>
          </v:shape>
          <w10:anchorlock/>
        </v:group>
      </w:pict>
    </w:r>
    <w:r>
      <w:pict>
        <v:rect id="_x0000_i1037"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hint="default"/>
        <w:color w:val="FF0000"/>
        <w:sz w:val="20"/>
      </w:rPr>
    </w:lvl>
  </w:abstractNum>
  <w:abstractNum w:abstractNumId="1">
    <w:nsid w:val="492C6DD3"/>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Times New Roman"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2">
    <w:nsid w:val="5E8271C1"/>
    <w:multiLevelType w:val="hybridMultilevel"/>
    <w:tmpl w:val="6B68E90C"/>
    <w:lvl w:ilvl="0" w:tplc="A1E68908">
      <w:start w:val="1"/>
      <w:numFmt w:val="bullet"/>
      <w:lvlText w:val=""/>
      <w:lvlJc w:val="left"/>
      <w:pPr>
        <w:tabs>
          <w:tab w:val="num" w:pos="4329"/>
        </w:tabs>
        <w:ind w:left="3969"/>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Times New Roman"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0000"/>
    <w:rsid w:val="00000E19"/>
    <w:rsid w:val="00002860"/>
    <w:rsid w:val="000029A7"/>
    <w:rsid w:val="0000422A"/>
    <w:rsid w:val="00004F9A"/>
    <w:rsid w:val="00005573"/>
    <w:rsid w:val="00006664"/>
    <w:rsid w:val="00006D9E"/>
    <w:rsid w:val="00007770"/>
    <w:rsid w:val="00011AA4"/>
    <w:rsid w:val="0001391F"/>
    <w:rsid w:val="00016FEE"/>
    <w:rsid w:val="0002028D"/>
    <w:rsid w:val="00021011"/>
    <w:rsid w:val="00021B60"/>
    <w:rsid w:val="00023796"/>
    <w:rsid w:val="000253A1"/>
    <w:rsid w:val="00026157"/>
    <w:rsid w:val="00026455"/>
    <w:rsid w:val="00030426"/>
    <w:rsid w:val="00030DA9"/>
    <w:rsid w:val="0003185B"/>
    <w:rsid w:val="00032786"/>
    <w:rsid w:val="00034C20"/>
    <w:rsid w:val="000368D3"/>
    <w:rsid w:val="000371E0"/>
    <w:rsid w:val="0004114B"/>
    <w:rsid w:val="00041A4A"/>
    <w:rsid w:val="00041E40"/>
    <w:rsid w:val="00044D2F"/>
    <w:rsid w:val="00045287"/>
    <w:rsid w:val="00046736"/>
    <w:rsid w:val="0004681E"/>
    <w:rsid w:val="00046929"/>
    <w:rsid w:val="00047DBC"/>
    <w:rsid w:val="000502E4"/>
    <w:rsid w:val="00050901"/>
    <w:rsid w:val="00050E98"/>
    <w:rsid w:val="0005199E"/>
    <w:rsid w:val="00051D27"/>
    <w:rsid w:val="000523AB"/>
    <w:rsid w:val="00052BFA"/>
    <w:rsid w:val="00052CFB"/>
    <w:rsid w:val="00053D98"/>
    <w:rsid w:val="00053DA5"/>
    <w:rsid w:val="00055DD2"/>
    <w:rsid w:val="00057A90"/>
    <w:rsid w:val="00060A8A"/>
    <w:rsid w:val="0006367C"/>
    <w:rsid w:val="00063B9F"/>
    <w:rsid w:val="000645DD"/>
    <w:rsid w:val="00066569"/>
    <w:rsid w:val="00066BBB"/>
    <w:rsid w:val="00071E56"/>
    <w:rsid w:val="00071EEE"/>
    <w:rsid w:val="000738F9"/>
    <w:rsid w:val="0007557C"/>
    <w:rsid w:val="0007575B"/>
    <w:rsid w:val="00075B19"/>
    <w:rsid w:val="00077FD4"/>
    <w:rsid w:val="0008067A"/>
    <w:rsid w:val="00081118"/>
    <w:rsid w:val="00081208"/>
    <w:rsid w:val="00082846"/>
    <w:rsid w:val="00084676"/>
    <w:rsid w:val="00085079"/>
    <w:rsid w:val="000851F8"/>
    <w:rsid w:val="0008635C"/>
    <w:rsid w:val="000874C0"/>
    <w:rsid w:val="000874DE"/>
    <w:rsid w:val="00087A79"/>
    <w:rsid w:val="00090140"/>
    <w:rsid w:val="00091E7C"/>
    <w:rsid w:val="000926FD"/>
    <w:rsid w:val="00093760"/>
    <w:rsid w:val="0009539C"/>
    <w:rsid w:val="000966FD"/>
    <w:rsid w:val="00097891"/>
    <w:rsid w:val="000A0045"/>
    <w:rsid w:val="000A0200"/>
    <w:rsid w:val="000A1712"/>
    <w:rsid w:val="000A2E30"/>
    <w:rsid w:val="000A3A7A"/>
    <w:rsid w:val="000A3AF7"/>
    <w:rsid w:val="000A3F69"/>
    <w:rsid w:val="000A6127"/>
    <w:rsid w:val="000A61C2"/>
    <w:rsid w:val="000A6C46"/>
    <w:rsid w:val="000A7D34"/>
    <w:rsid w:val="000B1BB0"/>
    <w:rsid w:val="000B214F"/>
    <w:rsid w:val="000B4549"/>
    <w:rsid w:val="000B6599"/>
    <w:rsid w:val="000B7C64"/>
    <w:rsid w:val="000C1903"/>
    <w:rsid w:val="000C21CF"/>
    <w:rsid w:val="000C26B1"/>
    <w:rsid w:val="000C560C"/>
    <w:rsid w:val="000C5AA9"/>
    <w:rsid w:val="000C63EB"/>
    <w:rsid w:val="000D0A63"/>
    <w:rsid w:val="000D120E"/>
    <w:rsid w:val="000D172C"/>
    <w:rsid w:val="000D3A3A"/>
    <w:rsid w:val="000D6608"/>
    <w:rsid w:val="000D799A"/>
    <w:rsid w:val="000E2EDF"/>
    <w:rsid w:val="000E3E62"/>
    <w:rsid w:val="000E4250"/>
    <w:rsid w:val="000E455B"/>
    <w:rsid w:val="000E4CCA"/>
    <w:rsid w:val="000E6028"/>
    <w:rsid w:val="000E63CE"/>
    <w:rsid w:val="000F17A4"/>
    <w:rsid w:val="000F1B1F"/>
    <w:rsid w:val="000F1B5B"/>
    <w:rsid w:val="000F5835"/>
    <w:rsid w:val="000F61AF"/>
    <w:rsid w:val="000F6D23"/>
    <w:rsid w:val="000F6F39"/>
    <w:rsid w:val="001015AE"/>
    <w:rsid w:val="00101F24"/>
    <w:rsid w:val="00102244"/>
    <w:rsid w:val="00103B69"/>
    <w:rsid w:val="0010467C"/>
    <w:rsid w:val="0010550D"/>
    <w:rsid w:val="00105DAE"/>
    <w:rsid w:val="00110DA0"/>
    <w:rsid w:val="00111800"/>
    <w:rsid w:val="001129A7"/>
    <w:rsid w:val="00112F63"/>
    <w:rsid w:val="00113693"/>
    <w:rsid w:val="00113AE7"/>
    <w:rsid w:val="001161DB"/>
    <w:rsid w:val="00116263"/>
    <w:rsid w:val="001164E1"/>
    <w:rsid w:val="00116CE6"/>
    <w:rsid w:val="00117538"/>
    <w:rsid w:val="00121AF6"/>
    <w:rsid w:val="00125DED"/>
    <w:rsid w:val="00126966"/>
    <w:rsid w:val="00131796"/>
    <w:rsid w:val="00131E5C"/>
    <w:rsid w:val="001360B9"/>
    <w:rsid w:val="0013706A"/>
    <w:rsid w:val="001375D6"/>
    <w:rsid w:val="00137804"/>
    <w:rsid w:val="00137B68"/>
    <w:rsid w:val="0014101E"/>
    <w:rsid w:val="001410E9"/>
    <w:rsid w:val="001418E9"/>
    <w:rsid w:val="00145791"/>
    <w:rsid w:val="00145E53"/>
    <w:rsid w:val="0014676E"/>
    <w:rsid w:val="00152120"/>
    <w:rsid w:val="00152298"/>
    <w:rsid w:val="00152953"/>
    <w:rsid w:val="00154FA6"/>
    <w:rsid w:val="001556D7"/>
    <w:rsid w:val="001602A3"/>
    <w:rsid w:val="001609A2"/>
    <w:rsid w:val="001615D1"/>
    <w:rsid w:val="00162936"/>
    <w:rsid w:val="001640A4"/>
    <w:rsid w:val="00164D9C"/>
    <w:rsid w:val="00164FF8"/>
    <w:rsid w:val="00166645"/>
    <w:rsid w:val="00166E52"/>
    <w:rsid w:val="0017025F"/>
    <w:rsid w:val="00171251"/>
    <w:rsid w:val="00171E69"/>
    <w:rsid w:val="0017272F"/>
    <w:rsid w:val="001728A4"/>
    <w:rsid w:val="00172D3C"/>
    <w:rsid w:val="00173FFD"/>
    <w:rsid w:val="001745BD"/>
    <w:rsid w:val="00174EF9"/>
    <w:rsid w:val="00176001"/>
    <w:rsid w:val="00176794"/>
    <w:rsid w:val="00177319"/>
    <w:rsid w:val="00180BE1"/>
    <w:rsid w:val="00181F34"/>
    <w:rsid w:val="0018327F"/>
    <w:rsid w:val="0018379B"/>
    <w:rsid w:val="00185269"/>
    <w:rsid w:val="00185F9C"/>
    <w:rsid w:val="001903E3"/>
    <w:rsid w:val="0019050E"/>
    <w:rsid w:val="00192CE7"/>
    <w:rsid w:val="00194C36"/>
    <w:rsid w:val="00195CE3"/>
    <w:rsid w:val="0019658E"/>
    <w:rsid w:val="00197D45"/>
    <w:rsid w:val="001A1EB7"/>
    <w:rsid w:val="001A4562"/>
    <w:rsid w:val="001A705C"/>
    <w:rsid w:val="001B1428"/>
    <w:rsid w:val="001B1476"/>
    <w:rsid w:val="001B1F02"/>
    <w:rsid w:val="001B21B7"/>
    <w:rsid w:val="001B4410"/>
    <w:rsid w:val="001B7CE9"/>
    <w:rsid w:val="001C0EEA"/>
    <w:rsid w:val="001C1EF1"/>
    <w:rsid w:val="001C3E81"/>
    <w:rsid w:val="001C618D"/>
    <w:rsid w:val="001C651B"/>
    <w:rsid w:val="001C73E7"/>
    <w:rsid w:val="001D25E4"/>
    <w:rsid w:val="001D3C98"/>
    <w:rsid w:val="001D52F4"/>
    <w:rsid w:val="001D5520"/>
    <w:rsid w:val="001D7EE7"/>
    <w:rsid w:val="001E009D"/>
    <w:rsid w:val="001E2949"/>
    <w:rsid w:val="001E2BAE"/>
    <w:rsid w:val="001E33D1"/>
    <w:rsid w:val="001E5068"/>
    <w:rsid w:val="001F0934"/>
    <w:rsid w:val="001F3E30"/>
    <w:rsid w:val="001F5112"/>
    <w:rsid w:val="001F5926"/>
    <w:rsid w:val="001F643C"/>
    <w:rsid w:val="002001EB"/>
    <w:rsid w:val="002011C1"/>
    <w:rsid w:val="00201AC3"/>
    <w:rsid w:val="00202C2B"/>
    <w:rsid w:val="002038E2"/>
    <w:rsid w:val="00206AC5"/>
    <w:rsid w:val="0020734D"/>
    <w:rsid w:val="00207443"/>
    <w:rsid w:val="002075A7"/>
    <w:rsid w:val="002075F0"/>
    <w:rsid w:val="00207F9B"/>
    <w:rsid w:val="002143A9"/>
    <w:rsid w:val="0021521C"/>
    <w:rsid w:val="002156F9"/>
    <w:rsid w:val="00220DD2"/>
    <w:rsid w:val="00221E7A"/>
    <w:rsid w:val="002227B7"/>
    <w:rsid w:val="00222934"/>
    <w:rsid w:val="002233E5"/>
    <w:rsid w:val="00223D86"/>
    <w:rsid w:val="00226F3A"/>
    <w:rsid w:val="00231F40"/>
    <w:rsid w:val="00232B6F"/>
    <w:rsid w:val="00233A96"/>
    <w:rsid w:val="0023421B"/>
    <w:rsid w:val="00234530"/>
    <w:rsid w:val="00235011"/>
    <w:rsid w:val="00236197"/>
    <w:rsid w:val="002366A1"/>
    <w:rsid w:val="00237BD5"/>
    <w:rsid w:val="00241218"/>
    <w:rsid w:val="00241EEE"/>
    <w:rsid w:val="00242C59"/>
    <w:rsid w:val="002435C9"/>
    <w:rsid w:val="002451A2"/>
    <w:rsid w:val="00245441"/>
    <w:rsid w:val="002477E1"/>
    <w:rsid w:val="0025077E"/>
    <w:rsid w:val="00250800"/>
    <w:rsid w:val="00250FB5"/>
    <w:rsid w:val="00251891"/>
    <w:rsid w:val="002533FB"/>
    <w:rsid w:val="002540D4"/>
    <w:rsid w:val="00255A22"/>
    <w:rsid w:val="00256A3A"/>
    <w:rsid w:val="00256FBC"/>
    <w:rsid w:val="002602D2"/>
    <w:rsid w:val="00261350"/>
    <w:rsid w:val="0026228B"/>
    <w:rsid w:val="00262E05"/>
    <w:rsid w:val="00262FB2"/>
    <w:rsid w:val="002630FB"/>
    <w:rsid w:val="00264E2F"/>
    <w:rsid w:val="00266304"/>
    <w:rsid w:val="00267F8F"/>
    <w:rsid w:val="00270827"/>
    <w:rsid w:val="00270F42"/>
    <w:rsid w:val="00272C58"/>
    <w:rsid w:val="002753B7"/>
    <w:rsid w:val="00276646"/>
    <w:rsid w:val="00281FBC"/>
    <w:rsid w:val="00283879"/>
    <w:rsid w:val="002845EC"/>
    <w:rsid w:val="0028468E"/>
    <w:rsid w:val="00287491"/>
    <w:rsid w:val="00294162"/>
    <w:rsid w:val="0029474E"/>
    <w:rsid w:val="00294B8F"/>
    <w:rsid w:val="0029687F"/>
    <w:rsid w:val="00297477"/>
    <w:rsid w:val="002A033F"/>
    <w:rsid w:val="002A09C7"/>
    <w:rsid w:val="002A1243"/>
    <w:rsid w:val="002A239E"/>
    <w:rsid w:val="002A5EE2"/>
    <w:rsid w:val="002A6798"/>
    <w:rsid w:val="002B2586"/>
    <w:rsid w:val="002B3530"/>
    <w:rsid w:val="002B3A85"/>
    <w:rsid w:val="002B44C7"/>
    <w:rsid w:val="002B4E58"/>
    <w:rsid w:val="002B5F37"/>
    <w:rsid w:val="002C12C2"/>
    <w:rsid w:val="002C15CE"/>
    <w:rsid w:val="002C2849"/>
    <w:rsid w:val="002C348E"/>
    <w:rsid w:val="002C3F97"/>
    <w:rsid w:val="002C468C"/>
    <w:rsid w:val="002C51A8"/>
    <w:rsid w:val="002D0802"/>
    <w:rsid w:val="002D27D9"/>
    <w:rsid w:val="002D33F2"/>
    <w:rsid w:val="002D50E8"/>
    <w:rsid w:val="002D5451"/>
    <w:rsid w:val="002D6EBA"/>
    <w:rsid w:val="002D7992"/>
    <w:rsid w:val="002E0634"/>
    <w:rsid w:val="002E29E4"/>
    <w:rsid w:val="002E32FD"/>
    <w:rsid w:val="002E34C7"/>
    <w:rsid w:val="002E47B6"/>
    <w:rsid w:val="002E5FF4"/>
    <w:rsid w:val="002E62EC"/>
    <w:rsid w:val="002E6732"/>
    <w:rsid w:val="002E794A"/>
    <w:rsid w:val="002F25E8"/>
    <w:rsid w:val="002F28EF"/>
    <w:rsid w:val="002F4C9F"/>
    <w:rsid w:val="002F5166"/>
    <w:rsid w:val="002F6091"/>
    <w:rsid w:val="002F6876"/>
    <w:rsid w:val="002F68C6"/>
    <w:rsid w:val="00300CF5"/>
    <w:rsid w:val="0030310E"/>
    <w:rsid w:val="003056A1"/>
    <w:rsid w:val="00305C2C"/>
    <w:rsid w:val="003065E5"/>
    <w:rsid w:val="00307014"/>
    <w:rsid w:val="00310630"/>
    <w:rsid w:val="00310654"/>
    <w:rsid w:val="003113FB"/>
    <w:rsid w:val="003138D3"/>
    <w:rsid w:val="00313D2F"/>
    <w:rsid w:val="003156BB"/>
    <w:rsid w:val="00315A5E"/>
    <w:rsid w:val="00316CFF"/>
    <w:rsid w:val="00317EA3"/>
    <w:rsid w:val="0032315A"/>
    <w:rsid w:val="003234FC"/>
    <w:rsid w:val="00326665"/>
    <w:rsid w:val="003267CA"/>
    <w:rsid w:val="00327895"/>
    <w:rsid w:val="00330B3A"/>
    <w:rsid w:val="00331079"/>
    <w:rsid w:val="003325C8"/>
    <w:rsid w:val="00333101"/>
    <w:rsid w:val="00333491"/>
    <w:rsid w:val="00333E93"/>
    <w:rsid w:val="00333EF1"/>
    <w:rsid w:val="00334A7D"/>
    <w:rsid w:val="003369C2"/>
    <w:rsid w:val="00337589"/>
    <w:rsid w:val="00340CF1"/>
    <w:rsid w:val="003420EF"/>
    <w:rsid w:val="0034262E"/>
    <w:rsid w:val="00343E9E"/>
    <w:rsid w:val="00343F99"/>
    <w:rsid w:val="00346D55"/>
    <w:rsid w:val="00347852"/>
    <w:rsid w:val="00347A3B"/>
    <w:rsid w:val="00347BD8"/>
    <w:rsid w:val="00351E87"/>
    <w:rsid w:val="00353126"/>
    <w:rsid w:val="003533E7"/>
    <w:rsid w:val="0035363E"/>
    <w:rsid w:val="0035589E"/>
    <w:rsid w:val="003559FC"/>
    <w:rsid w:val="00356B4C"/>
    <w:rsid w:val="0036053B"/>
    <w:rsid w:val="00360E1F"/>
    <w:rsid w:val="003629A1"/>
    <w:rsid w:val="00364AAD"/>
    <w:rsid w:val="00364F9B"/>
    <w:rsid w:val="00365E1F"/>
    <w:rsid w:val="00366BF4"/>
    <w:rsid w:val="0036796B"/>
    <w:rsid w:val="0037074A"/>
    <w:rsid w:val="00371213"/>
    <w:rsid w:val="0037221C"/>
    <w:rsid w:val="003729AE"/>
    <w:rsid w:val="00375179"/>
    <w:rsid w:val="003775CB"/>
    <w:rsid w:val="00380393"/>
    <w:rsid w:val="00381444"/>
    <w:rsid w:val="00381992"/>
    <w:rsid w:val="0038238B"/>
    <w:rsid w:val="003831DC"/>
    <w:rsid w:val="00383459"/>
    <w:rsid w:val="00385B41"/>
    <w:rsid w:val="00391A99"/>
    <w:rsid w:val="00391FD6"/>
    <w:rsid w:val="003951B9"/>
    <w:rsid w:val="00395CFA"/>
    <w:rsid w:val="00396C9C"/>
    <w:rsid w:val="003973AC"/>
    <w:rsid w:val="00397BDC"/>
    <w:rsid w:val="003A19BF"/>
    <w:rsid w:val="003A2CC3"/>
    <w:rsid w:val="003A481F"/>
    <w:rsid w:val="003A50B0"/>
    <w:rsid w:val="003A5DC1"/>
    <w:rsid w:val="003A6147"/>
    <w:rsid w:val="003A7593"/>
    <w:rsid w:val="003A7737"/>
    <w:rsid w:val="003B09B0"/>
    <w:rsid w:val="003B0DFB"/>
    <w:rsid w:val="003B200D"/>
    <w:rsid w:val="003B3072"/>
    <w:rsid w:val="003B3C44"/>
    <w:rsid w:val="003B414E"/>
    <w:rsid w:val="003B4166"/>
    <w:rsid w:val="003B47DC"/>
    <w:rsid w:val="003B4D70"/>
    <w:rsid w:val="003B587D"/>
    <w:rsid w:val="003B7474"/>
    <w:rsid w:val="003B7CDC"/>
    <w:rsid w:val="003C228A"/>
    <w:rsid w:val="003C26E3"/>
    <w:rsid w:val="003C47C6"/>
    <w:rsid w:val="003C5E25"/>
    <w:rsid w:val="003D05A4"/>
    <w:rsid w:val="003D3584"/>
    <w:rsid w:val="003D5B64"/>
    <w:rsid w:val="003D5F17"/>
    <w:rsid w:val="003D6059"/>
    <w:rsid w:val="003D6406"/>
    <w:rsid w:val="003D7298"/>
    <w:rsid w:val="003D7F3E"/>
    <w:rsid w:val="003E053D"/>
    <w:rsid w:val="003E1107"/>
    <w:rsid w:val="003E3722"/>
    <w:rsid w:val="003E48A5"/>
    <w:rsid w:val="003E48CC"/>
    <w:rsid w:val="003E496D"/>
    <w:rsid w:val="003E530E"/>
    <w:rsid w:val="003E595A"/>
    <w:rsid w:val="003E6A00"/>
    <w:rsid w:val="003E7620"/>
    <w:rsid w:val="003F2C9A"/>
    <w:rsid w:val="003F46B3"/>
    <w:rsid w:val="003F56A1"/>
    <w:rsid w:val="003F6CBD"/>
    <w:rsid w:val="003F7539"/>
    <w:rsid w:val="00400479"/>
    <w:rsid w:val="00400BBF"/>
    <w:rsid w:val="004014F0"/>
    <w:rsid w:val="00402AD8"/>
    <w:rsid w:val="00406C20"/>
    <w:rsid w:val="00407BE7"/>
    <w:rsid w:val="00407E82"/>
    <w:rsid w:val="00407EBC"/>
    <w:rsid w:val="00411A44"/>
    <w:rsid w:val="004125AE"/>
    <w:rsid w:val="00412A47"/>
    <w:rsid w:val="004144B7"/>
    <w:rsid w:val="004153FA"/>
    <w:rsid w:val="00415687"/>
    <w:rsid w:val="00416B14"/>
    <w:rsid w:val="00416CBE"/>
    <w:rsid w:val="0041706E"/>
    <w:rsid w:val="004172B5"/>
    <w:rsid w:val="00417D0B"/>
    <w:rsid w:val="004201E5"/>
    <w:rsid w:val="0042220C"/>
    <w:rsid w:val="004237E7"/>
    <w:rsid w:val="00424612"/>
    <w:rsid w:val="00424971"/>
    <w:rsid w:val="004252BF"/>
    <w:rsid w:val="004302B6"/>
    <w:rsid w:val="00431666"/>
    <w:rsid w:val="00431689"/>
    <w:rsid w:val="00432EE0"/>
    <w:rsid w:val="004332FB"/>
    <w:rsid w:val="0043361C"/>
    <w:rsid w:val="0043422C"/>
    <w:rsid w:val="00434A50"/>
    <w:rsid w:val="00434E6B"/>
    <w:rsid w:val="00435555"/>
    <w:rsid w:val="00437621"/>
    <w:rsid w:val="00441CE7"/>
    <w:rsid w:val="00443C16"/>
    <w:rsid w:val="0044427B"/>
    <w:rsid w:val="00444361"/>
    <w:rsid w:val="00444461"/>
    <w:rsid w:val="0044537B"/>
    <w:rsid w:val="00451119"/>
    <w:rsid w:val="004530E5"/>
    <w:rsid w:val="004535BF"/>
    <w:rsid w:val="00453B18"/>
    <w:rsid w:val="00453EAC"/>
    <w:rsid w:val="004541FA"/>
    <w:rsid w:val="00454822"/>
    <w:rsid w:val="00454CFF"/>
    <w:rsid w:val="00456C95"/>
    <w:rsid w:val="00456F67"/>
    <w:rsid w:val="00457391"/>
    <w:rsid w:val="0046129D"/>
    <w:rsid w:val="00461C42"/>
    <w:rsid w:val="004631F4"/>
    <w:rsid w:val="00465B73"/>
    <w:rsid w:val="00466158"/>
    <w:rsid w:val="0047023D"/>
    <w:rsid w:val="00471193"/>
    <w:rsid w:val="0047138C"/>
    <w:rsid w:val="0047231B"/>
    <w:rsid w:val="00474253"/>
    <w:rsid w:val="004766E1"/>
    <w:rsid w:val="004769AA"/>
    <w:rsid w:val="00476B69"/>
    <w:rsid w:val="0048048B"/>
    <w:rsid w:val="004811F8"/>
    <w:rsid w:val="00484937"/>
    <w:rsid w:val="00486443"/>
    <w:rsid w:val="00491016"/>
    <w:rsid w:val="00494BA2"/>
    <w:rsid w:val="00494F21"/>
    <w:rsid w:val="004955E7"/>
    <w:rsid w:val="00496111"/>
    <w:rsid w:val="004971B1"/>
    <w:rsid w:val="0049726E"/>
    <w:rsid w:val="004A1A11"/>
    <w:rsid w:val="004A2382"/>
    <w:rsid w:val="004A2ACB"/>
    <w:rsid w:val="004A61EA"/>
    <w:rsid w:val="004A72AB"/>
    <w:rsid w:val="004B0E7D"/>
    <w:rsid w:val="004B2BBA"/>
    <w:rsid w:val="004B3350"/>
    <w:rsid w:val="004B5A4C"/>
    <w:rsid w:val="004C2631"/>
    <w:rsid w:val="004C5A7C"/>
    <w:rsid w:val="004C61A7"/>
    <w:rsid w:val="004D04FC"/>
    <w:rsid w:val="004D0ACC"/>
    <w:rsid w:val="004D2993"/>
    <w:rsid w:val="004D31F9"/>
    <w:rsid w:val="004D3C37"/>
    <w:rsid w:val="004D451E"/>
    <w:rsid w:val="004D5065"/>
    <w:rsid w:val="004D5446"/>
    <w:rsid w:val="004D6092"/>
    <w:rsid w:val="004D67C2"/>
    <w:rsid w:val="004D6C64"/>
    <w:rsid w:val="004E1BA0"/>
    <w:rsid w:val="004E1FD0"/>
    <w:rsid w:val="004E298E"/>
    <w:rsid w:val="004E304E"/>
    <w:rsid w:val="004E33A4"/>
    <w:rsid w:val="004E3C52"/>
    <w:rsid w:val="004E5E4A"/>
    <w:rsid w:val="004E65EE"/>
    <w:rsid w:val="004E7A1E"/>
    <w:rsid w:val="004F060E"/>
    <w:rsid w:val="004F0833"/>
    <w:rsid w:val="004F343D"/>
    <w:rsid w:val="004F39DA"/>
    <w:rsid w:val="004F4202"/>
    <w:rsid w:val="004F570C"/>
    <w:rsid w:val="004F5DA2"/>
    <w:rsid w:val="004F7114"/>
    <w:rsid w:val="00500432"/>
    <w:rsid w:val="00503799"/>
    <w:rsid w:val="005057F1"/>
    <w:rsid w:val="0050785A"/>
    <w:rsid w:val="00507D8C"/>
    <w:rsid w:val="00507DE8"/>
    <w:rsid w:val="005115E1"/>
    <w:rsid w:val="00511FB9"/>
    <w:rsid w:val="00512A9E"/>
    <w:rsid w:val="005140FF"/>
    <w:rsid w:val="00514D5D"/>
    <w:rsid w:val="0052100E"/>
    <w:rsid w:val="005212D3"/>
    <w:rsid w:val="005227C6"/>
    <w:rsid w:val="00524E28"/>
    <w:rsid w:val="00525FCF"/>
    <w:rsid w:val="00526709"/>
    <w:rsid w:val="0053007C"/>
    <w:rsid w:val="00530101"/>
    <w:rsid w:val="0053086C"/>
    <w:rsid w:val="005312C2"/>
    <w:rsid w:val="00531E6A"/>
    <w:rsid w:val="0053256E"/>
    <w:rsid w:val="005332CB"/>
    <w:rsid w:val="005346AF"/>
    <w:rsid w:val="005356FF"/>
    <w:rsid w:val="005369F2"/>
    <w:rsid w:val="00540BEF"/>
    <w:rsid w:val="00540ECB"/>
    <w:rsid w:val="005419CA"/>
    <w:rsid w:val="00541D5F"/>
    <w:rsid w:val="00542941"/>
    <w:rsid w:val="00542C57"/>
    <w:rsid w:val="005441FC"/>
    <w:rsid w:val="00544AC6"/>
    <w:rsid w:val="00546357"/>
    <w:rsid w:val="00546779"/>
    <w:rsid w:val="005470F6"/>
    <w:rsid w:val="00550A1D"/>
    <w:rsid w:val="005511D2"/>
    <w:rsid w:val="005512DB"/>
    <w:rsid w:val="00551BF9"/>
    <w:rsid w:val="00553335"/>
    <w:rsid w:val="00554AC2"/>
    <w:rsid w:val="00555217"/>
    <w:rsid w:val="00556EE5"/>
    <w:rsid w:val="00557715"/>
    <w:rsid w:val="005605C4"/>
    <w:rsid w:val="00560DC0"/>
    <w:rsid w:val="00561462"/>
    <w:rsid w:val="00561FB6"/>
    <w:rsid w:val="0056299F"/>
    <w:rsid w:val="00562AA0"/>
    <w:rsid w:val="0056455C"/>
    <w:rsid w:val="005707CD"/>
    <w:rsid w:val="00572623"/>
    <w:rsid w:val="005736C8"/>
    <w:rsid w:val="00574616"/>
    <w:rsid w:val="005753A8"/>
    <w:rsid w:val="005766A3"/>
    <w:rsid w:val="00576B42"/>
    <w:rsid w:val="00576C22"/>
    <w:rsid w:val="005775C2"/>
    <w:rsid w:val="00577F2A"/>
    <w:rsid w:val="00581DFE"/>
    <w:rsid w:val="00582724"/>
    <w:rsid w:val="00582846"/>
    <w:rsid w:val="005844F8"/>
    <w:rsid w:val="005846FF"/>
    <w:rsid w:val="0058496F"/>
    <w:rsid w:val="00584E6B"/>
    <w:rsid w:val="00586D8B"/>
    <w:rsid w:val="00586ECA"/>
    <w:rsid w:val="00590EA5"/>
    <w:rsid w:val="005915EE"/>
    <w:rsid w:val="00591993"/>
    <w:rsid w:val="005931A6"/>
    <w:rsid w:val="005951D9"/>
    <w:rsid w:val="00595611"/>
    <w:rsid w:val="005966CF"/>
    <w:rsid w:val="00596E3E"/>
    <w:rsid w:val="005A06E3"/>
    <w:rsid w:val="005A1A0A"/>
    <w:rsid w:val="005A228A"/>
    <w:rsid w:val="005A2744"/>
    <w:rsid w:val="005A4561"/>
    <w:rsid w:val="005A516C"/>
    <w:rsid w:val="005A553F"/>
    <w:rsid w:val="005A5F70"/>
    <w:rsid w:val="005A6A27"/>
    <w:rsid w:val="005A737A"/>
    <w:rsid w:val="005B0DB5"/>
    <w:rsid w:val="005B2D1B"/>
    <w:rsid w:val="005B5A41"/>
    <w:rsid w:val="005B5BDD"/>
    <w:rsid w:val="005B5EBF"/>
    <w:rsid w:val="005B7335"/>
    <w:rsid w:val="005C07A6"/>
    <w:rsid w:val="005C1C24"/>
    <w:rsid w:val="005C1C43"/>
    <w:rsid w:val="005C1C72"/>
    <w:rsid w:val="005C2196"/>
    <w:rsid w:val="005C3A2E"/>
    <w:rsid w:val="005C3E7F"/>
    <w:rsid w:val="005C4668"/>
    <w:rsid w:val="005C4FC7"/>
    <w:rsid w:val="005C5310"/>
    <w:rsid w:val="005D0C86"/>
    <w:rsid w:val="005D1521"/>
    <w:rsid w:val="005D1680"/>
    <w:rsid w:val="005D2044"/>
    <w:rsid w:val="005E0A0B"/>
    <w:rsid w:val="005E1EEB"/>
    <w:rsid w:val="005E4D6F"/>
    <w:rsid w:val="005E7C5A"/>
    <w:rsid w:val="005F0668"/>
    <w:rsid w:val="005F0A57"/>
    <w:rsid w:val="005F152B"/>
    <w:rsid w:val="005F237F"/>
    <w:rsid w:val="005F2801"/>
    <w:rsid w:val="005F30F2"/>
    <w:rsid w:val="005F39F5"/>
    <w:rsid w:val="005F4401"/>
    <w:rsid w:val="005F4A75"/>
    <w:rsid w:val="005F5ADD"/>
    <w:rsid w:val="005F5C52"/>
    <w:rsid w:val="005F5E5D"/>
    <w:rsid w:val="005F6178"/>
    <w:rsid w:val="005F63D1"/>
    <w:rsid w:val="005F732D"/>
    <w:rsid w:val="0060046D"/>
    <w:rsid w:val="0060162B"/>
    <w:rsid w:val="00603907"/>
    <w:rsid w:val="00607330"/>
    <w:rsid w:val="006106A1"/>
    <w:rsid w:val="006109DD"/>
    <w:rsid w:val="00611CA3"/>
    <w:rsid w:val="00612B2B"/>
    <w:rsid w:val="006134C1"/>
    <w:rsid w:val="00613BDD"/>
    <w:rsid w:val="00613C2E"/>
    <w:rsid w:val="00614268"/>
    <w:rsid w:val="006144AE"/>
    <w:rsid w:val="00615A49"/>
    <w:rsid w:val="006163BB"/>
    <w:rsid w:val="00616699"/>
    <w:rsid w:val="00616F98"/>
    <w:rsid w:val="0062086C"/>
    <w:rsid w:val="0062279F"/>
    <w:rsid w:val="006231A4"/>
    <w:rsid w:val="00623C62"/>
    <w:rsid w:val="00624366"/>
    <w:rsid w:val="00624902"/>
    <w:rsid w:val="006304EE"/>
    <w:rsid w:val="0063102E"/>
    <w:rsid w:val="006312B0"/>
    <w:rsid w:val="00631486"/>
    <w:rsid w:val="006339D1"/>
    <w:rsid w:val="00633C4F"/>
    <w:rsid w:val="00635482"/>
    <w:rsid w:val="00635E4C"/>
    <w:rsid w:val="00636B6E"/>
    <w:rsid w:val="00637A3D"/>
    <w:rsid w:val="00640475"/>
    <w:rsid w:val="00641A96"/>
    <w:rsid w:val="00643301"/>
    <w:rsid w:val="006459A3"/>
    <w:rsid w:val="00647355"/>
    <w:rsid w:val="00647654"/>
    <w:rsid w:val="006512DE"/>
    <w:rsid w:val="00652F07"/>
    <w:rsid w:val="006537C4"/>
    <w:rsid w:val="00653848"/>
    <w:rsid w:val="00656031"/>
    <w:rsid w:val="0066177D"/>
    <w:rsid w:val="006618E8"/>
    <w:rsid w:val="006619B6"/>
    <w:rsid w:val="00662A8E"/>
    <w:rsid w:val="00662F42"/>
    <w:rsid w:val="00662F62"/>
    <w:rsid w:val="0066393D"/>
    <w:rsid w:val="006639D4"/>
    <w:rsid w:val="006649B6"/>
    <w:rsid w:val="0066503D"/>
    <w:rsid w:val="00666E8D"/>
    <w:rsid w:val="00667469"/>
    <w:rsid w:val="00667A88"/>
    <w:rsid w:val="00670ED4"/>
    <w:rsid w:val="00673A5E"/>
    <w:rsid w:val="00674E69"/>
    <w:rsid w:val="00676922"/>
    <w:rsid w:val="00676D00"/>
    <w:rsid w:val="00680EC2"/>
    <w:rsid w:val="00681305"/>
    <w:rsid w:val="006826D5"/>
    <w:rsid w:val="00682E63"/>
    <w:rsid w:val="00682F62"/>
    <w:rsid w:val="0068330F"/>
    <w:rsid w:val="00683C61"/>
    <w:rsid w:val="00684457"/>
    <w:rsid w:val="006844B5"/>
    <w:rsid w:val="006845E1"/>
    <w:rsid w:val="00684953"/>
    <w:rsid w:val="00686BDD"/>
    <w:rsid w:val="0068772B"/>
    <w:rsid w:val="00687DEE"/>
    <w:rsid w:val="006903AE"/>
    <w:rsid w:val="00690887"/>
    <w:rsid w:val="00690FF7"/>
    <w:rsid w:val="0069102F"/>
    <w:rsid w:val="006927B5"/>
    <w:rsid w:val="006927C1"/>
    <w:rsid w:val="00692A50"/>
    <w:rsid w:val="00695146"/>
    <w:rsid w:val="00695441"/>
    <w:rsid w:val="0069671F"/>
    <w:rsid w:val="0069719B"/>
    <w:rsid w:val="00697A97"/>
    <w:rsid w:val="006A05B5"/>
    <w:rsid w:val="006A069E"/>
    <w:rsid w:val="006A09E5"/>
    <w:rsid w:val="006A1508"/>
    <w:rsid w:val="006A1933"/>
    <w:rsid w:val="006A1C65"/>
    <w:rsid w:val="006A26E1"/>
    <w:rsid w:val="006A3428"/>
    <w:rsid w:val="006A6391"/>
    <w:rsid w:val="006A734A"/>
    <w:rsid w:val="006A79C1"/>
    <w:rsid w:val="006B01CE"/>
    <w:rsid w:val="006B085A"/>
    <w:rsid w:val="006B0CD9"/>
    <w:rsid w:val="006B21B0"/>
    <w:rsid w:val="006B2B47"/>
    <w:rsid w:val="006B2E9D"/>
    <w:rsid w:val="006B3837"/>
    <w:rsid w:val="006B3941"/>
    <w:rsid w:val="006B3D52"/>
    <w:rsid w:val="006C0CF4"/>
    <w:rsid w:val="006C2E39"/>
    <w:rsid w:val="006C531A"/>
    <w:rsid w:val="006C619C"/>
    <w:rsid w:val="006C6BCC"/>
    <w:rsid w:val="006C72A4"/>
    <w:rsid w:val="006D1867"/>
    <w:rsid w:val="006D3E17"/>
    <w:rsid w:val="006D5BEB"/>
    <w:rsid w:val="006D604A"/>
    <w:rsid w:val="006D70EA"/>
    <w:rsid w:val="006D733D"/>
    <w:rsid w:val="006D7395"/>
    <w:rsid w:val="006E0F3C"/>
    <w:rsid w:val="006E166C"/>
    <w:rsid w:val="006E18E9"/>
    <w:rsid w:val="006E29B1"/>
    <w:rsid w:val="006E40CF"/>
    <w:rsid w:val="006E5BF7"/>
    <w:rsid w:val="006E7B5E"/>
    <w:rsid w:val="006E7BCD"/>
    <w:rsid w:val="006F2250"/>
    <w:rsid w:val="006F268F"/>
    <w:rsid w:val="006F331C"/>
    <w:rsid w:val="006F3EFE"/>
    <w:rsid w:val="006F6811"/>
    <w:rsid w:val="00700013"/>
    <w:rsid w:val="007014CF"/>
    <w:rsid w:val="00701611"/>
    <w:rsid w:val="00702322"/>
    <w:rsid w:val="007048FB"/>
    <w:rsid w:val="00706E03"/>
    <w:rsid w:val="0070766D"/>
    <w:rsid w:val="007079A7"/>
    <w:rsid w:val="007100F2"/>
    <w:rsid w:val="00710AF5"/>
    <w:rsid w:val="00711851"/>
    <w:rsid w:val="00711A60"/>
    <w:rsid w:val="00712570"/>
    <w:rsid w:val="0071348A"/>
    <w:rsid w:val="00714187"/>
    <w:rsid w:val="00714F83"/>
    <w:rsid w:val="00716573"/>
    <w:rsid w:val="00716EE2"/>
    <w:rsid w:val="00717DA0"/>
    <w:rsid w:val="00720562"/>
    <w:rsid w:val="00720827"/>
    <w:rsid w:val="0072140C"/>
    <w:rsid w:val="007236A4"/>
    <w:rsid w:val="007254F6"/>
    <w:rsid w:val="0072608C"/>
    <w:rsid w:val="00726CC9"/>
    <w:rsid w:val="00727661"/>
    <w:rsid w:val="00727788"/>
    <w:rsid w:val="00731A3F"/>
    <w:rsid w:val="00731E33"/>
    <w:rsid w:val="007322D5"/>
    <w:rsid w:val="00732EFE"/>
    <w:rsid w:val="00735235"/>
    <w:rsid w:val="00736E5E"/>
    <w:rsid w:val="007430E9"/>
    <w:rsid w:val="0074485E"/>
    <w:rsid w:val="00744977"/>
    <w:rsid w:val="007459CF"/>
    <w:rsid w:val="00746136"/>
    <w:rsid w:val="007463AF"/>
    <w:rsid w:val="00746484"/>
    <w:rsid w:val="00746994"/>
    <w:rsid w:val="00746D3D"/>
    <w:rsid w:val="00747524"/>
    <w:rsid w:val="007477F4"/>
    <w:rsid w:val="00747F3B"/>
    <w:rsid w:val="00750280"/>
    <w:rsid w:val="00750C7D"/>
    <w:rsid w:val="00750E78"/>
    <w:rsid w:val="00752368"/>
    <w:rsid w:val="00752A4A"/>
    <w:rsid w:val="00752BF9"/>
    <w:rsid w:val="007536ED"/>
    <w:rsid w:val="0075499C"/>
    <w:rsid w:val="00755451"/>
    <w:rsid w:val="007560E1"/>
    <w:rsid w:val="0075764D"/>
    <w:rsid w:val="00760619"/>
    <w:rsid w:val="00760E45"/>
    <w:rsid w:val="00765D18"/>
    <w:rsid w:val="007666EB"/>
    <w:rsid w:val="007671B5"/>
    <w:rsid w:val="0077008B"/>
    <w:rsid w:val="007707DD"/>
    <w:rsid w:val="007721A6"/>
    <w:rsid w:val="0077443B"/>
    <w:rsid w:val="00774C03"/>
    <w:rsid w:val="0077669C"/>
    <w:rsid w:val="00776904"/>
    <w:rsid w:val="0078019C"/>
    <w:rsid w:val="00780947"/>
    <w:rsid w:val="007811F7"/>
    <w:rsid w:val="007825B3"/>
    <w:rsid w:val="00783788"/>
    <w:rsid w:val="0078389B"/>
    <w:rsid w:val="00784C1D"/>
    <w:rsid w:val="00787126"/>
    <w:rsid w:val="00787F9D"/>
    <w:rsid w:val="00793DA2"/>
    <w:rsid w:val="00794A5B"/>
    <w:rsid w:val="00794AF7"/>
    <w:rsid w:val="00795B73"/>
    <w:rsid w:val="007963E5"/>
    <w:rsid w:val="007A0F0A"/>
    <w:rsid w:val="007A1DE0"/>
    <w:rsid w:val="007A37B6"/>
    <w:rsid w:val="007A3D70"/>
    <w:rsid w:val="007A4528"/>
    <w:rsid w:val="007A4867"/>
    <w:rsid w:val="007A6887"/>
    <w:rsid w:val="007A786C"/>
    <w:rsid w:val="007B0D49"/>
    <w:rsid w:val="007B2228"/>
    <w:rsid w:val="007B3754"/>
    <w:rsid w:val="007B572E"/>
    <w:rsid w:val="007B7EA4"/>
    <w:rsid w:val="007C0E62"/>
    <w:rsid w:val="007C27EB"/>
    <w:rsid w:val="007C2AA0"/>
    <w:rsid w:val="007C30DB"/>
    <w:rsid w:val="007C41D7"/>
    <w:rsid w:val="007C4387"/>
    <w:rsid w:val="007C68EF"/>
    <w:rsid w:val="007D03A4"/>
    <w:rsid w:val="007D08B9"/>
    <w:rsid w:val="007D12BF"/>
    <w:rsid w:val="007D1B77"/>
    <w:rsid w:val="007D20B9"/>
    <w:rsid w:val="007D3359"/>
    <w:rsid w:val="007D66BF"/>
    <w:rsid w:val="007E0CC2"/>
    <w:rsid w:val="007E159C"/>
    <w:rsid w:val="007E224D"/>
    <w:rsid w:val="007E2ACD"/>
    <w:rsid w:val="007E2F98"/>
    <w:rsid w:val="007E314C"/>
    <w:rsid w:val="007E43AC"/>
    <w:rsid w:val="007E4627"/>
    <w:rsid w:val="007E4BA5"/>
    <w:rsid w:val="007E5507"/>
    <w:rsid w:val="007E5E08"/>
    <w:rsid w:val="007E79BA"/>
    <w:rsid w:val="007F0CE8"/>
    <w:rsid w:val="007F47D4"/>
    <w:rsid w:val="007F5299"/>
    <w:rsid w:val="007F585F"/>
    <w:rsid w:val="007F594C"/>
    <w:rsid w:val="007F59FC"/>
    <w:rsid w:val="007F5AD3"/>
    <w:rsid w:val="007F7093"/>
    <w:rsid w:val="00800430"/>
    <w:rsid w:val="00800D85"/>
    <w:rsid w:val="00802456"/>
    <w:rsid w:val="0080680F"/>
    <w:rsid w:val="00806964"/>
    <w:rsid w:val="008073CA"/>
    <w:rsid w:val="00810257"/>
    <w:rsid w:val="00810B36"/>
    <w:rsid w:val="008118F9"/>
    <w:rsid w:val="00812687"/>
    <w:rsid w:val="0081385D"/>
    <w:rsid w:val="00814522"/>
    <w:rsid w:val="00821636"/>
    <w:rsid w:val="00821E1E"/>
    <w:rsid w:val="00824306"/>
    <w:rsid w:val="00826562"/>
    <w:rsid w:val="00831271"/>
    <w:rsid w:val="00832562"/>
    <w:rsid w:val="00832A3B"/>
    <w:rsid w:val="008332DF"/>
    <w:rsid w:val="008337AE"/>
    <w:rsid w:val="00833B8A"/>
    <w:rsid w:val="00833D09"/>
    <w:rsid w:val="008348C9"/>
    <w:rsid w:val="00834F02"/>
    <w:rsid w:val="00837286"/>
    <w:rsid w:val="00840DBB"/>
    <w:rsid w:val="008451B5"/>
    <w:rsid w:val="00846187"/>
    <w:rsid w:val="00850F7D"/>
    <w:rsid w:val="00852BA8"/>
    <w:rsid w:val="008531F8"/>
    <w:rsid w:val="00853D09"/>
    <w:rsid w:val="00854662"/>
    <w:rsid w:val="008548EB"/>
    <w:rsid w:val="00855039"/>
    <w:rsid w:val="00855BFA"/>
    <w:rsid w:val="0086197A"/>
    <w:rsid w:val="00863BBD"/>
    <w:rsid w:val="00865389"/>
    <w:rsid w:val="00865439"/>
    <w:rsid w:val="00865E63"/>
    <w:rsid w:val="008660C7"/>
    <w:rsid w:val="0086631B"/>
    <w:rsid w:val="00866607"/>
    <w:rsid w:val="008718E9"/>
    <w:rsid w:val="008736F7"/>
    <w:rsid w:val="00875815"/>
    <w:rsid w:val="00875F04"/>
    <w:rsid w:val="008805B8"/>
    <w:rsid w:val="00882685"/>
    <w:rsid w:val="00882FE5"/>
    <w:rsid w:val="00884076"/>
    <w:rsid w:val="008840A4"/>
    <w:rsid w:val="00884730"/>
    <w:rsid w:val="00884B83"/>
    <w:rsid w:val="00884F6F"/>
    <w:rsid w:val="0088505D"/>
    <w:rsid w:val="00887026"/>
    <w:rsid w:val="0088772D"/>
    <w:rsid w:val="00887B24"/>
    <w:rsid w:val="008903BA"/>
    <w:rsid w:val="00890421"/>
    <w:rsid w:val="00890E4A"/>
    <w:rsid w:val="00891377"/>
    <w:rsid w:val="00891D0B"/>
    <w:rsid w:val="00891E24"/>
    <w:rsid w:val="008964C5"/>
    <w:rsid w:val="00896DFA"/>
    <w:rsid w:val="008A1501"/>
    <w:rsid w:val="008A2A0F"/>
    <w:rsid w:val="008A3FA0"/>
    <w:rsid w:val="008B0700"/>
    <w:rsid w:val="008B39DB"/>
    <w:rsid w:val="008B3B48"/>
    <w:rsid w:val="008B5DA0"/>
    <w:rsid w:val="008B618E"/>
    <w:rsid w:val="008B6F3B"/>
    <w:rsid w:val="008B72F6"/>
    <w:rsid w:val="008B7935"/>
    <w:rsid w:val="008B7B52"/>
    <w:rsid w:val="008C1208"/>
    <w:rsid w:val="008C16BF"/>
    <w:rsid w:val="008C38DE"/>
    <w:rsid w:val="008C656B"/>
    <w:rsid w:val="008C7178"/>
    <w:rsid w:val="008D0E25"/>
    <w:rsid w:val="008D337E"/>
    <w:rsid w:val="008D6C35"/>
    <w:rsid w:val="008D7AA2"/>
    <w:rsid w:val="008D7F07"/>
    <w:rsid w:val="008E0481"/>
    <w:rsid w:val="008E0C39"/>
    <w:rsid w:val="008E2240"/>
    <w:rsid w:val="008E2ED3"/>
    <w:rsid w:val="008E3E89"/>
    <w:rsid w:val="008E4584"/>
    <w:rsid w:val="008E4C12"/>
    <w:rsid w:val="008E4EA9"/>
    <w:rsid w:val="008E5144"/>
    <w:rsid w:val="008E7BD6"/>
    <w:rsid w:val="008F0617"/>
    <w:rsid w:val="008F0A1D"/>
    <w:rsid w:val="008F1C38"/>
    <w:rsid w:val="008F2245"/>
    <w:rsid w:val="008F2278"/>
    <w:rsid w:val="008F412D"/>
    <w:rsid w:val="008F6FDF"/>
    <w:rsid w:val="00900856"/>
    <w:rsid w:val="00901AE0"/>
    <w:rsid w:val="00904A0E"/>
    <w:rsid w:val="00904D5E"/>
    <w:rsid w:val="00910EC8"/>
    <w:rsid w:val="0091102E"/>
    <w:rsid w:val="009110CF"/>
    <w:rsid w:val="009139E4"/>
    <w:rsid w:val="00914524"/>
    <w:rsid w:val="00916D40"/>
    <w:rsid w:val="00917ACA"/>
    <w:rsid w:val="00921414"/>
    <w:rsid w:val="00923534"/>
    <w:rsid w:val="009237A7"/>
    <w:rsid w:val="0092502B"/>
    <w:rsid w:val="009251F6"/>
    <w:rsid w:val="00925A03"/>
    <w:rsid w:val="00926E5F"/>
    <w:rsid w:val="00930DE4"/>
    <w:rsid w:val="00934164"/>
    <w:rsid w:val="00936547"/>
    <w:rsid w:val="0094016F"/>
    <w:rsid w:val="0094022F"/>
    <w:rsid w:val="009405DC"/>
    <w:rsid w:val="0094443A"/>
    <w:rsid w:val="009450DE"/>
    <w:rsid w:val="00946683"/>
    <w:rsid w:val="00946AEA"/>
    <w:rsid w:val="009477B4"/>
    <w:rsid w:val="009479C6"/>
    <w:rsid w:val="00951A0E"/>
    <w:rsid w:val="009528F8"/>
    <w:rsid w:val="009543F2"/>
    <w:rsid w:val="00955287"/>
    <w:rsid w:val="00955ED0"/>
    <w:rsid w:val="009624C3"/>
    <w:rsid w:val="00962D41"/>
    <w:rsid w:val="00963009"/>
    <w:rsid w:val="00963E8F"/>
    <w:rsid w:val="009655B1"/>
    <w:rsid w:val="0096641A"/>
    <w:rsid w:val="009670D1"/>
    <w:rsid w:val="00971EEF"/>
    <w:rsid w:val="00973316"/>
    <w:rsid w:val="0097377A"/>
    <w:rsid w:val="00975EF3"/>
    <w:rsid w:val="00975F20"/>
    <w:rsid w:val="00977B3A"/>
    <w:rsid w:val="00982D40"/>
    <w:rsid w:val="00984471"/>
    <w:rsid w:val="0098471B"/>
    <w:rsid w:val="009869C8"/>
    <w:rsid w:val="0098747E"/>
    <w:rsid w:val="00991036"/>
    <w:rsid w:val="009916B0"/>
    <w:rsid w:val="00991FC5"/>
    <w:rsid w:val="00995304"/>
    <w:rsid w:val="009959DC"/>
    <w:rsid w:val="00995D4D"/>
    <w:rsid w:val="00997483"/>
    <w:rsid w:val="00997AC7"/>
    <w:rsid w:val="009A1A94"/>
    <w:rsid w:val="009A3EA9"/>
    <w:rsid w:val="009A51AC"/>
    <w:rsid w:val="009A54E4"/>
    <w:rsid w:val="009A58C5"/>
    <w:rsid w:val="009A5E60"/>
    <w:rsid w:val="009A6C6D"/>
    <w:rsid w:val="009A7B99"/>
    <w:rsid w:val="009B0365"/>
    <w:rsid w:val="009B1BBD"/>
    <w:rsid w:val="009B28F3"/>
    <w:rsid w:val="009B422F"/>
    <w:rsid w:val="009B426A"/>
    <w:rsid w:val="009B6BC2"/>
    <w:rsid w:val="009B72B0"/>
    <w:rsid w:val="009B7A47"/>
    <w:rsid w:val="009C0559"/>
    <w:rsid w:val="009C0F5E"/>
    <w:rsid w:val="009C3703"/>
    <w:rsid w:val="009C410D"/>
    <w:rsid w:val="009C6134"/>
    <w:rsid w:val="009D0CC8"/>
    <w:rsid w:val="009D0F24"/>
    <w:rsid w:val="009D169B"/>
    <w:rsid w:val="009D2652"/>
    <w:rsid w:val="009D43D0"/>
    <w:rsid w:val="009D5BE4"/>
    <w:rsid w:val="009E11AE"/>
    <w:rsid w:val="009E213F"/>
    <w:rsid w:val="009E21AB"/>
    <w:rsid w:val="009E2581"/>
    <w:rsid w:val="009E2E26"/>
    <w:rsid w:val="009E525F"/>
    <w:rsid w:val="009E55DF"/>
    <w:rsid w:val="009E66D5"/>
    <w:rsid w:val="009E6817"/>
    <w:rsid w:val="009E6FA3"/>
    <w:rsid w:val="009E7C6C"/>
    <w:rsid w:val="009F10A3"/>
    <w:rsid w:val="009F27E4"/>
    <w:rsid w:val="009F28E0"/>
    <w:rsid w:val="009F34EC"/>
    <w:rsid w:val="009F3C74"/>
    <w:rsid w:val="009F5F93"/>
    <w:rsid w:val="009F61FD"/>
    <w:rsid w:val="009F7E5B"/>
    <w:rsid w:val="00A02D1C"/>
    <w:rsid w:val="00A0309F"/>
    <w:rsid w:val="00A03BB7"/>
    <w:rsid w:val="00A03E50"/>
    <w:rsid w:val="00A03EB6"/>
    <w:rsid w:val="00A044E1"/>
    <w:rsid w:val="00A05596"/>
    <w:rsid w:val="00A06A81"/>
    <w:rsid w:val="00A104EF"/>
    <w:rsid w:val="00A1182D"/>
    <w:rsid w:val="00A12D86"/>
    <w:rsid w:val="00A151B7"/>
    <w:rsid w:val="00A15C11"/>
    <w:rsid w:val="00A213FB"/>
    <w:rsid w:val="00A23C27"/>
    <w:rsid w:val="00A2593E"/>
    <w:rsid w:val="00A27BC6"/>
    <w:rsid w:val="00A309E1"/>
    <w:rsid w:val="00A30F18"/>
    <w:rsid w:val="00A3247E"/>
    <w:rsid w:val="00A33DC6"/>
    <w:rsid w:val="00A34190"/>
    <w:rsid w:val="00A3600F"/>
    <w:rsid w:val="00A369CB"/>
    <w:rsid w:val="00A36EE5"/>
    <w:rsid w:val="00A40040"/>
    <w:rsid w:val="00A407A7"/>
    <w:rsid w:val="00A41719"/>
    <w:rsid w:val="00A41BC0"/>
    <w:rsid w:val="00A43EAA"/>
    <w:rsid w:val="00A446E9"/>
    <w:rsid w:val="00A44E19"/>
    <w:rsid w:val="00A44E4C"/>
    <w:rsid w:val="00A459EF"/>
    <w:rsid w:val="00A47205"/>
    <w:rsid w:val="00A47E64"/>
    <w:rsid w:val="00A47F63"/>
    <w:rsid w:val="00A50422"/>
    <w:rsid w:val="00A54EAC"/>
    <w:rsid w:val="00A556E0"/>
    <w:rsid w:val="00A57777"/>
    <w:rsid w:val="00A61E03"/>
    <w:rsid w:val="00A64DF9"/>
    <w:rsid w:val="00A650AB"/>
    <w:rsid w:val="00A6741A"/>
    <w:rsid w:val="00A67F9B"/>
    <w:rsid w:val="00A70234"/>
    <w:rsid w:val="00A70401"/>
    <w:rsid w:val="00A71058"/>
    <w:rsid w:val="00A71F90"/>
    <w:rsid w:val="00A73462"/>
    <w:rsid w:val="00A73C59"/>
    <w:rsid w:val="00A73EB5"/>
    <w:rsid w:val="00A75798"/>
    <w:rsid w:val="00A75EA0"/>
    <w:rsid w:val="00A8112D"/>
    <w:rsid w:val="00A85648"/>
    <w:rsid w:val="00A85E72"/>
    <w:rsid w:val="00A905D3"/>
    <w:rsid w:val="00A90C35"/>
    <w:rsid w:val="00A91A0D"/>
    <w:rsid w:val="00A91CB8"/>
    <w:rsid w:val="00A92B99"/>
    <w:rsid w:val="00A92E33"/>
    <w:rsid w:val="00A93D24"/>
    <w:rsid w:val="00A96018"/>
    <w:rsid w:val="00A960AF"/>
    <w:rsid w:val="00A96555"/>
    <w:rsid w:val="00A96ED1"/>
    <w:rsid w:val="00AA0234"/>
    <w:rsid w:val="00AA1376"/>
    <w:rsid w:val="00AA2ACB"/>
    <w:rsid w:val="00AA2E8E"/>
    <w:rsid w:val="00AA3B36"/>
    <w:rsid w:val="00AA4215"/>
    <w:rsid w:val="00AA5B9A"/>
    <w:rsid w:val="00AA5F6D"/>
    <w:rsid w:val="00AA7A3B"/>
    <w:rsid w:val="00AB190D"/>
    <w:rsid w:val="00AB2BBD"/>
    <w:rsid w:val="00AB343B"/>
    <w:rsid w:val="00AB3475"/>
    <w:rsid w:val="00AB5BEA"/>
    <w:rsid w:val="00AB7901"/>
    <w:rsid w:val="00AC2549"/>
    <w:rsid w:val="00AC302F"/>
    <w:rsid w:val="00AC39E9"/>
    <w:rsid w:val="00AC5F03"/>
    <w:rsid w:val="00AD117A"/>
    <w:rsid w:val="00AD17DC"/>
    <w:rsid w:val="00AD1949"/>
    <w:rsid w:val="00AD3C64"/>
    <w:rsid w:val="00AD6F54"/>
    <w:rsid w:val="00AE140B"/>
    <w:rsid w:val="00AE2826"/>
    <w:rsid w:val="00AE4171"/>
    <w:rsid w:val="00AE4CDE"/>
    <w:rsid w:val="00AE4F72"/>
    <w:rsid w:val="00AE52E4"/>
    <w:rsid w:val="00AE5E55"/>
    <w:rsid w:val="00AE7B16"/>
    <w:rsid w:val="00AF0710"/>
    <w:rsid w:val="00AF1122"/>
    <w:rsid w:val="00AF1341"/>
    <w:rsid w:val="00AF4A40"/>
    <w:rsid w:val="00AF6699"/>
    <w:rsid w:val="00AF7CF5"/>
    <w:rsid w:val="00B002DE"/>
    <w:rsid w:val="00B008C3"/>
    <w:rsid w:val="00B0093F"/>
    <w:rsid w:val="00B01AE7"/>
    <w:rsid w:val="00B01D02"/>
    <w:rsid w:val="00B0286C"/>
    <w:rsid w:val="00B060EE"/>
    <w:rsid w:val="00B06D07"/>
    <w:rsid w:val="00B073B1"/>
    <w:rsid w:val="00B073D2"/>
    <w:rsid w:val="00B10000"/>
    <w:rsid w:val="00B10B58"/>
    <w:rsid w:val="00B119A8"/>
    <w:rsid w:val="00B11B9B"/>
    <w:rsid w:val="00B128A0"/>
    <w:rsid w:val="00B21106"/>
    <w:rsid w:val="00B2113E"/>
    <w:rsid w:val="00B21723"/>
    <w:rsid w:val="00B222C6"/>
    <w:rsid w:val="00B23AFD"/>
    <w:rsid w:val="00B23ECE"/>
    <w:rsid w:val="00B24DE3"/>
    <w:rsid w:val="00B251D9"/>
    <w:rsid w:val="00B25A12"/>
    <w:rsid w:val="00B33B77"/>
    <w:rsid w:val="00B340D8"/>
    <w:rsid w:val="00B37483"/>
    <w:rsid w:val="00B40501"/>
    <w:rsid w:val="00B40A4E"/>
    <w:rsid w:val="00B40F4C"/>
    <w:rsid w:val="00B41052"/>
    <w:rsid w:val="00B4198E"/>
    <w:rsid w:val="00B43D7E"/>
    <w:rsid w:val="00B448E4"/>
    <w:rsid w:val="00B46A66"/>
    <w:rsid w:val="00B47819"/>
    <w:rsid w:val="00B506C7"/>
    <w:rsid w:val="00B5286A"/>
    <w:rsid w:val="00B52D04"/>
    <w:rsid w:val="00B53EC5"/>
    <w:rsid w:val="00B55E8D"/>
    <w:rsid w:val="00B5634D"/>
    <w:rsid w:val="00B60BAD"/>
    <w:rsid w:val="00B610A4"/>
    <w:rsid w:val="00B61F72"/>
    <w:rsid w:val="00B623F6"/>
    <w:rsid w:val="00B63C2F"/>
    <w:rsid w:val="00B660E1"/>
    <w:rsid w:val="00B70374"/>
    <w:rsid w:val="00B72C79"/>
    <w:rsid w:val="00B7528C"/>
    <w:rsid w:val="00B75AA1"/>
    <w:rsid w:val="00B7747F"/>
    <w:rsid w:val="00B775C9"/>
    <w:rsid w:val="00B804E3"/>
    <w:rsid w:val="00B8082C"/>
    <w:rsid w:val="00B815CC"/>
    <w:rsid w:val="00B824C6"/>
    <w:rsid w:val="00B8355A"/>
    <w:rsid w:val="00B909E5"/>
    <w:rsid w:val="00B912F0"/>
    <w:rsid w:val="00B93D7C"/>
    <w:rsid w:val="00B9628C"/>
    <w:rsid w:val="00B96BF0"/>
    <w:rsid w:val="00B970ED"/>
    <w:rsid w:val="00BA162F"/>
    <w:rsid w:val="00BA1EA1"/>
    <w:rsid w:val="00BA2D09"/>
    <w:rsid w:val="00BA37E9"/>
    <w:rsid w:val="00BA477B"/>
    <w:rsid w:val="00BA48CD"/>
    <w:rsid w:val="00BA4EFC"/>
    <w:rsid w:val="00BA652E"/>
    <w:rsid w:val="00BA6F35"/>
    <w:rsid w:val="00BA7445"/>
    <w:rsid w:val="00BA7AB5"/>
    <w:rsid w:val="00BB0A06"/>
    <w:rsid w:val="00BB12F9"/>
    <w:rsid w:val="00BB1AA8"/>
    <w:rsid w:val="00BB3AB9"/>
    <w:rsid w:val="00BB42FB"/>
    <w:rsid w:val="00BB73B1"/>
    <w:rsid w:val="00BC1900"/>
    <w:rsid w:val="00BC1D14"/>
    <w:rsid w:val="00BC1D34"/>
    <w:rsid w:val="00BC2B84"/>
    <w:rsid w:val="00BC3D40"/>
    <w:rsid w:val="00BC5BC3"/>
    <w:rsid w:val="00BC5F51"/>
    <w:rsid w:val="00BC68EA"/>
    <w:rsid w:val="00BD256F"/>
    <w:rsid w:val="00BD578C"/>
    <w:rsid w:val="00BD6746"/>
    <w:rsid w:val="00BD7CEA"/>
    <w:rsid w:val="00BE0162"/>
    <w:rsid w:val="00BE269F"/>
    <w:rsid w:val="00BE309A"/>
    <w:rsid w:val="00BE3519"/>
    <w:rsid w:val="00BE45B4"/>
    <w:rsid w:val="00BE6163"/>
    <w:rsid w:val="00BE7059"/>
    <w:rsid w:val="00BE7FFE"/>
    <w:rsid w:val="00BF0607"/>
    <w:rsid w:val="00BF1BED"/>
    <w:rsid w:val="00BF1D1B"/>
    <w:rsid w:val="00BF1D4A"/>
    <w:rsid w:val="00BF25D5"/>
    <w:rsid w:val="00BF3296"/>
    <w:rsid w:val="00BF3FBA"/>
    <w:rsid w:val="00BF4434"/>
    <w:rsid w:val="00BF574B"/>
    <w:rsid w:val="00BF5B40"/>
    <w:rsid w:val="00BF73E3"/>
    <w:rsid w:val="00BF76C9"/>
    <w:rsid w:val="00C0082A"/>
    <w:rsid w:val="00C01BB0"/>
    <w:rsid w:val="00C03B79"/>
    <w:rsid w:val="00C06379"/>
    <w:rsid w:val="00C06F9E"/>
    <w:rsid w:val="00C073DC"/>
    <w:rsid w:val="00C10ED5"/>
    <w:rsid w:val="00C114A2"/>
    <w:rsid w:val="00C1208F"/>
    <w:rsid w:val="00C120F7"/>
    <w:rsid w:val="00C12517"/>
    <w:rsid w:val="00C12FBC"/>
    <w:rsid w:val="00C13E18"/>
    <w:rsid w:val="00C151C5"/>
    <w:rsid w:val="00C16315"/>
    <w:rsid w:val="00C170FE"/>
    <w:rsid w:val="00C20DB8"/>
    <w:rsid w:val="00C228D7"/>
    <w:rsid w:val="00C23355"/>
    <w:rsid w:val="00C23492"/>
    <w:rsid w:val="00C2390D"/>
    <w:rsid w:val="00C25149"/>
    <w:rsid w:val="00C2521B"/>
    <w:rsid w:val="00C25CD9"/>
    <w:rsid w:val="00C266C4"/>
    <w:rsid w:val="00C30285"/>
    <w:rsid w:val="00C31998"/>
    <w:rsid w:val="00C320FA"/>
    <w:rsid w:val="00C32C80"/>
    <w:rsid w:val="00C32E62"/>
    <w:rsid w:val="00C3464C"/>
    <w:rsid w:val="00C35B68"/>
    <w:rsid w:val="00C36315"/>
    <w:rsid w:val="00C36B34"/>
    <w:rsid w:val="00C36F69"/>
    <w:rsid w:val="00C37355"/>
    <w:rsid w:val="00C41839"/>
    <w:rsid w:val="00C45960"/>
    <w:rsid w:val="00C46016"/>
    <w:rsid w:val="00C46B96"/>
    <w:rsid w:val="00C47D19"/>
    <w:rsid w:val="00C5104B"/>
    <w:rsid w:val="00C52543"/>
    <w:rsid w:val="00C538B2"/>
    <w:rsid w:val="00C53EDE"/>
    <w:rsid w:val="00C546B3"/>
    <w:rsid w:val="00C54B37"/>
    <w:rsid w:val="00C54BF4"/>
    <w:rsid w:val="00C55CA3"/>
    <w:rsid w:val="00C56873"/>
    <w:rsid w:val="00C57411"/>
    <w:rsid w:val="00C5798B"/>
    <w:rsid w:val="00C60B0D"/>
    <w:rsid w:val="00C6448F"/>
    <w:rsid w:val="00C648C5"/>
    <w:rsid w:val="00C64DDD"/>
    <w:rsid w:val="00C67F84"/>
    <w:rsid w:val="00C712CF"/>
    <w:rsid w:val="00C71665"/>
    <w:rsid w:val="00C724DD"/>
    <w:rsid w:val="00C72B93"/>
    <w:rsid w:val="00C75DE3"/>
    <w:rsid w:val="00C76F54"/>
    <w:rsid w:val="00C770FC"/>
    <w:rsid w:val="00C77346"/>
    <w:rsid w:val="00C77C22"/>
    <w:rsid w:val="00C806CE"/>
    <w:rsid w:val="00C82C6A"/>
    <w:rsid w:val="00C830A1"/>
    <w:rsid w:val="00C85043"/>
    <w:rsid w:val="00C85702"/>
    <w:rsid w:val="00C85947"/>
    <w:rsid w:val="00C86EC6"/>
    <w:rsid w:val="00C871C5"/>
    <w:rsid w:val="00C908C8"/>
    <w:rsid w:val="00C91959"/>
    <w:rsid w:val="00C922E7"/>
    <w:rsid w:val="00C9282A"/>
    <w:rsid w:val="00C95780"/>
    <w:rsid w:val="00C96AF7"/>
    <w:rsid w:val="00C96E70"/>
    <w:rsid w:val="00CA0DC2"/>
    <w:rsid w:val="00CA1F51"/>
    <w:rsid w:val="00CA2DBF"/>
    <w:rsid w:val="00CA313D"/>
    <w:rsid w:val="00CA4E6A"/>
    <w:rsid w:val="00CA55EC"/>
    <w:rsid w:val="00CA630D"/>
    <w:rsid w:val="00CA744D"/>
    <w:rsid w:val="00CB30DB"/>
    <w:rsid w:val="00CB4C33"/>
    <w:rsid w:val="00CB7416"/>
    <w:rsid w:val="00CC0CCE"/>
    <w:rsid w:val="00CC32B1"/>
    <w:rsid w:val="00CC6551"/>
    <w:rsid w:val="00CD0735"/>
    <w:rsid w:val="00CD2F8C"/>
    <w:rsid w:val="00CD3D3F"/>
    <w:rsid w:val="00CD3E28"/>
    <w:rsid w:val="00CD47FC"/>
    <w:rsid w:val="00CD4977"/>
    <w:rsid w:val="00CE0FA1"/>
    <w:rsid w:val="00CE3866"/>
    <w:rsid w:val="00CE5E2A"/>
    <w:rsid w:val="00CE65F5"/>
    <w:rsid w:val="00CE78EA"/>
    <w:rsid w:val="00CF0472"/>
    <w:rsid w:val="00CF0B9B"/>
    <w:rsid w:val="00CF0E73"/>
    <w:rsid w:val="00CF2211"/>
    <w:rsid w:val="00CF29CB"/>
    <w:rsid w:val="00CF3096"/>
    <w:rsid w:val="00CF40D9"/>
    <w:rsid w:val="00CF5943"/>
    <w:rsid w:val="00CF6605"/>
    <w:rsid w:val="00CF79EF"/>
    <w:rsid w:val="00CF7AC0"/>
    <w:rsid w:val="00D0060B"/>
    <w:rsid w:val="00D019E8"/>
    <w:rsid w:val="00D01C62"/>
    <w:rsid w:val="00D05991"/>
    <w:rsid w:val="00D061FD"/>
    <w:rsid w:val="00D107D2"/>
    <w:rsid w:val="00D11580"/>
    <w:rsid w:val="00D11E09"/>
    <w:rsid w:val="00D12689"/>
    <w:rsid w:val="00D126BD"/>
    <w:rsid w:val="00D131CE"/>
    <w:rsid w:val="00D141EF"/>
    <w:rsid w:val="00D1445D"/>
    <w:rsid w:val="00D157AF"/>
    <w:rsid w:val="00D15803"/>
    <w:rsid w:val="00D16E4A"/>
    <w:rsid w:val="00D20013"/>
    <w:rsid w:val="00D20DC5"/>
    <w:rsid w:val="00D22CE1"/>
    <w:rsid w:val="00D314A7"/>
    <w:rsid w:val="00D316FC"/>
    <w:rsid w:val="00D31ADE"/>
    <w:rsid w:val="00D31AF2"/>
    <w:rsid w:val="00D332E0"/>
    <w:rsid w:val="00D3510C"/>
    <w:rsid w:val="00D35577"/>
    <w:rsid w:val="00D40869"/>
    <w:rsid w:val="00D41337"/>
    <w:rsid w:val="00D41744"/>
    <w:rsid w:val="00D41DED"/>
    <w:rsid w:val="00D42DF4"/>
    <w:rsid w:val="00D44A82"/>
    <w:rsid w:val="00D45D3D"/>
    <w:rsid w:val="00D46067"/>
    <w:rsid w:val="00D46DFA"/>
    <w:rsid w:val="00D474AF"/>
    <w:rsid w:val="00D47E17"/>
    <w:rsid w:val="00D51365"/>
    <w:rsid w:val="00D51E71"/>
    <w:rsid w:val="00D52696"/>
    <w:rsid w:val="00D607FE"/>
    <w:rsid w:val="00D624ED"/>
    <w:rsid w:val="00D6250A"/>
    <w:rsid w:val="00D62816"/>
    <w:rsid w:val="00D63237"/>
    <w:rsid w:val="00D63715"/>
    <w:rsid w:val="00D63D2F"/>
    <w:rsid w:val="00D6454E"/>
    <w:rsid w:val="00D64B9F"/>
    <w:rsid w:val="00D6607E"/>
    <w:rsid w:val="00D7172F"/>
    <w:rsid w:val="00D739F0"/>
    <w:rsid w:val="00D75378"/>
    <w:rsid w:val="00D76B17"/>
    <w:rsid w:val="00D76F2E"/>
    <w:rsid w:val="00D82D2F"/>
    <w:rsid w:val="00D841D9"/>
    <w:rsid w:val="00D85D13"/>
    <w:rsid w:val="00D8654F"/>
    <w:rsid w:val="00D86CC0"/>
    <w:rsid w:val="00D91043"/>
    <w:rsid w:val="00D9284F"/>
    <w:rsid w:val="00D94810"/>
    <w:rsid w:val="00D9680E"/>
    <w:rsid w:val="00D97DF6"/>
    <w:rsid w:val="00DA0821"/>
    <w:rsid w:val="00DA12D2"/>
    <w:rsid w:val="00DA3920"/>
    <w:rsid w:val="00DA3E71"/>
    <w:rsid w:val="00DA4FB1"/>
    <w:rsid w:val="00DA5127"/>
    <w:rsid w:val="00DA5D60"/>
    <w:rsid w:val="00DA6D74"/>
    <w:rsid w:val="00DB20B2"/>
    <w:rsid w:val="00DB3554"/>
    <w:rsid w:val="00DB498E"/>
    <w:rsid w:val="00DB4F9C"/>
    <w:rsid w:val="00DB5A08"/>
    <w:rsid w:val="00DB6183"/>
    <w:rsid w:val="00DC2331"/>
    <w:rsid w:val="00DC2B43"/>
    <w:rsid w:val="00DC355F"/>
    <w:rsid w:val="00DC4043"/>
    <w:rsid w:val="00DC5091"/>
    <w:rsid w:val="00DC7A7C"/>
    <w:rsid w:val="00DC7E11"/>
    <w:rsid w:val="00DD08B4"/>
    <w:rsid w:val="00DD1252"/>
    <w:rsid w:val="00DD374C"/>
    <w:rsid w:val="00DD544C"/>
    <w:rsid w:val="00DD59EA"/>
    <w:rsid w:val="00DD65E5"/>
    <w:rsid w:val="00DD6D80"/>
    <w:rsid w:val="00DD767D"/>
    <w:rsid w:val="00DD7B3A"/>
    <w:rsid w:val="00DE0C1C"/>
    <w:rsid w:val="00DE0E22"/>
    <w:rsid w:val="00DE10BB"/>
    <w:rsid w:val="00DE19EE"/>
    <w:rsid w:val="00DE1B93"/>
    <w:rsid w:val="00DE3F62"/>
    <w:rsid w:val="00DE4147"/>
    <w:rsid w:val="00DE45FA"/>
    <w:rsid w:val="00DE4615"/>
    <w:rsid w:val="00DE4857"/>
    <w:rsid w:val="00DF0105"/>
    <w:rsid w:val="00DF598C"/>
    <w:rsid w:val="00DF5AEF"/>
    <w:rsid w:val="00DF65D1"/>
    <w:rsid w:val="00E00E65"/>
    <w:rsid w:val="00E03390"/>
    <w:rsid w:val="00E03399"/>
    <w:rsid w:val="00E046D7"/>
    <w:rsid w:val="00E05FC2"/>
    <w:rsid w:val="00E063AE"/>
    <w:rsid w:val="00E067C9"/>
    <w:rsid w:val="00E0701A"/>
    <w:rsid w:val="00E0792A"/>
    <w:rsid w:val="00E07D71"/>
    <w:rsid w:val="00E111AA"/>
    <w:rsid w:val="00E12F97"/>
    <w:rsid w:val="00E1399D"/>
    <w:rsid w:val="00E1460F"/>
    <w:rsid w:val="00E16BE9"/>
    <w:rsid w:val="00E171CD"/>
    <w:rsid w:val="00E177FC"/>
    <w:rsid w:val="00E21D65"/>
    <w:rsid w:val="00E227B5"/>
    <w:rsid w:val="00E22A18"/>
    <w:rsid w:val="00E2491E"/>
    <w:rsid w:val="00E24AD6"/>
    <w:rsid w:val="00E24B70"/>
    <w:rsid w:val="00E26177"/>
    <w:rsid w:val="00E26408"/>
    <w:rsid w:val="00E27C43"/>
    <w:rsid w:val="00E30982"/>
    <w:rsid w:val="00E30D55"/>
    <w:rsid w:val="00E31708"/>
    <w:rsid w:val="00E31810"/>
    <w:rsid w:val="00E33130"/>
    <w:rsid w:val="00E34353"/>
    <w:rsid w:val="00E349F2"/>
    <w:rsid w:val="00E35BB7"/>
    <w:rsid w:val="00E37953"/>
    <w:rsid w:val="00E414EB"/>
    <w:rsid w:val="00E42CDF"/>
    <w:rsid w:val="00E43271"/>
    <w:rsid w:val="00E44AA2"/>
    <w:rsid w:val="00E4515C"/>
    <w:rsid w:val="00E46374"/>
    <w:rsid w:val="00E4735B"/>
    <w:rsid w:val="00E4760A"/>
    <w:rsid w:val="00E47648"/>
    <w:rsid w:val="00E50F2C"/>
    <w:rsid w:val="00E52127"/>
    <w:rsid w:val="00E52F16"/>
    <w:rsid w:val="00E57270"/>
    <w:rsid w:val="00E57B1F"/>
    <w:rsid w:val="00E63677"/>
    <w:rsid w:val="00E63DE4"/>
    <w:rsid w:val="00E6768D"/>
    <w:rsid w:val="00E67CD0"/>
    <w:rsid w:val="00E712CF"/>
    <w:rsid w:val="00E72BAA"/>
    <w:rsid w:val="00E73A63"/>
    <w:rsid w:val="00E75E0C"/>
    <w:rsid w:val="00E76CA4"/>
    <w:rsid w:val="00E77CC1"/>
    <w:rsid w:val="00E8084C"/>
    <w:rsid w:val="00E82141"/>
    <w:rsid w:val="00E82185"/>
    <w:rsid w:val="00E8274F"/>
    <w:rsid w:val="00E84E3B"/>
    <w:rsid w:val="00E87D79"/>
    <w:rsid w:val="00E9265E"/>
    <w:rsid w:val="00E92EDC"/>
    <w:rsid w:val="00E94744"/>
    <w:rsid w:val="00EA52CD"/>
    <w:rsid w:val="00EA7EC1"/>
    <w:rsid w:val="00EB1321"/>
    <w:rsid w:val="00EB2AB5"/>
    <w:rsid w:val="00EC391E"/>
    <w:rsid w:val="00EC39D8"/>
    <w:rsid w:val="00EC7ECD"/>
    <w:rsid w:val="00ED348B"/>
    <w:rsid w:val="00ED3E72"/>
    <w:rsid w:val="00ED5469"/>
    <w:rsid w:val="00ED61A8"/>
    <w:rsid w:val="00EE1879"/>
    <w:rsid w:val="00EE2342"/>
    <w:rsid w:val="00EE3A17"/>
    <w:rsid w:val="00EE42C0"/>
    <w:rsid w:val="00EE54AB"/>
    <w:rsid w:val="00EE5CD2"/>
    <w:rsid w:val="00EF10E1"/>
    <w:rsid w:val="00EF141F"/>
    <w:rsid w:val="00EF2FFF"/>
    <w:rsid w:val="00EF3533"/>
    <w:rsid w:val="00EF3C69"/>
    <w:rsid w:val="00EF41D0"/>
    <w:rsid w:val="00EF4281"/>
    <w:rsid w:val="00EF4FDD"/>
    <w:rsid w:val="00EF68A4"/>
    <w:rsid w:val="00F00ADE"/>
    <w:rsid w:val="00F10C34"/>
    <w:rsid w:val="00F11449"/>
    <w:rsid w:val="00F12333"/>
    <w:rsid w:val="00F125EC"/>
    <w:rsid w:val="00F1273A"/>
    <w:rsid w:val="00F13965"/>
    <w:rsid w:val="00F1462E"/>
    <w:rsid w:val="00F1576D"/>
    <w:rsid w:val="00F15CAC"/>
    <w:rsid w:val="00F16DB8"/>
    <w:rsid w:val="00F174A1"/>
    <w:rsid w:val="00F17B15"/>
    <w:rsid w:val="00F200FD"/>
    <w:rsid w:val="00F20597"/>
    <w:rsid w:val="00F21566"/>
    <w:rsid w:val="00F21D5C"/>
    <w:rsid w:val="00F23098"/>
    <w:rsid w:val="00F23275"/>
    <w:rsid w:val="00F24C0D"/>
    <w:rsid w:val="00F25274"/>
    <w:rsid w:val="00F26711"/>
    <w:rsid w:val="00F30959"/>
    <w:rsid w:val="00F30DBA"/>
    <w:rsid w:val="00F31B30"/>
    <w:rsid w:val="00F35A5F"/>
    <w:rsid w:val="00F374F0"/>
    <w:rsid w:val="00F40F37"/>
    <w:rsid w:val="00F41417"/>
    <w:rsid w:val="00F42EE0"/>
    <w:rsid w:val="00F43105"/>
    <w:rsid w:val="00F43714"/>
    <w:rsid w:val="00F440F8"/>
    <w:rsid w:val="00F45F2E"/>
    <w:rsid w:val="00F47D01"/>
    <w:rsid w:val="00F50A2C"/>
    <w:rsid w:val="00F50B42"/>
    <w:rsid w:val="00F53358"/>
    <w:rsid w:val="00F53602"/>
    <w:rsid w:val="00F611D9"/>
    <w:rsid w:val="00F62D0B"/>
    <w:rsid w:val="00F62E79"/>
    <w:rsid w:val="00F64432"/>
    <w:rsid w:val="00F64483"/>
    <w:rsid w:val="00F64AE7"/>
    <w:rsid w:val="00F65C0B"/>
    <w:rsid w:val="00F66053"/>
    <w:rsid w:val="00F666C5"/>
    <w:rsid w:val="00F668F9"/>
    <w:rsid w:val="00F675B0"/>
    <w:rsid w:val="00F70F53"/>
    <w:rsid w:val="00F811A2"/>
    <w:rsid w:val="00F829AD"/>
    <w:rsid w:val="00F8376F"/>
    <w:rsid w:val="00F837E7"/>
    <w:rsid w:val="00F83DBC"/>
    <w:rsid w:val="00F84D7C"/>
    <w:rsid w:val="00F84E0E"/>
    <w:rsid w:val="00F92A99"/>
    <w:rsid w:val="00F92BA5"/>
    <w:rsid w:val="00F94C9B"/>
    <w:rsid w:val="00F96CBD"/>
    <w:rsid w:val="00FA00F1"/>
    <w:rsid w:val="00FA0644"/>
    <w:rsid w:val="00FA0C1D"/>
    <w:rsid w:val="00FA1454"/>
    <w:rsid w:val="00FA20AF"/>
    <w:rsid w:val="00FA3C1C"/>
    <w:rsid w:val="00FA4BCC"/>
    <w:rsid w:val="00FA7C3E"/>
    <w:rsid w:val="00FB3268"/>
    <w:rsid w:val="00FB4BA6"/>
    <w:rsid w:val="00FB50F4"/>
    <w:rsid w:val="00FB51CA"/>
    <w:rsid w:val="00FB544C"/>
    <w:rsid w:val="00FB63F0"/>
    <w:rsid w:val="00FB6CE3"/>
    <w:rsid w:val="00FC00DC"/>
    <w:rsid w:val="00FC059C"/>
    <w:rsid w:val="00FC26AA"/>
    <w:rsid w:val="00FC4393"/>
    <w:rsid w:val="00FC4C70"/>
    <w:rsid w:val="00FC5C4E"/>
    <w:rsid w:val="00FC6836"/>
    <w:rsid w:val="00FC7DBB"/>
    <w:rsid w:val="00FD10D4"/>
    <w:rsid w:val="00FD1230"/>
    <w:rsid w:val="00FD2A05"/>
    <w:rsid w:val="00FD4C1C"/>
    <w:rsid w:val="00FD6CBA"/>
    <w:rsid w:val="00FD79E3"/>
    <w:rsid w:val="00FD7DF9"/>
    <w:rsid w:val="00FD7EC8"/>
    <w:rsid w:val="00FE116C"/>
    <w:rsid w:val="00FE1678"/>
    <w:rsid w:val="00FE1C55"/>
    <w:rsid w:val="00FE2F05"/>
    <w:rsid w:val="00FE3AEE"/>
    <w:rsid w:val="00FE4443"/>
    <w:rsid w:val="00FE4CB6"/>
    <w:rsid w:val="00FE4E85"/>
    <w:rsid w:val="00FE561C"/>
    <w:rsid w:val="00FE5BC1"/>
    <w:rsid w:val="00FE7317"/>
    <w:rsid w:val="00FE794E"/>
    <w:rsid w:val="00FF08F2"/>
    <w:rsid w:val="00FF16C4"/>
    <w:rsid w:val="00FF2F3E"/>
    <w:rsid w:val="00FF4617"/>
    <w:rsid w:val="00FF76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4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1000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10000"/>
    <w:rPr>
      <w:rFonts w:cs="Times New Roman"/>
      <w:sz w:val="18"/>
      <w:szCs w:val="18"/>
    </w:rPr>
  </w:style>
  <w:style w:type="paragraph" w:styleId="Footer">
    <w:name w:val="footer"/>
    <w:basedOn w:val="Normal"/>
    <w:link w:val="FooterChar"/>
    <w:uiPriority w:val="99"/>
    <w:rsid w:val="00B1000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10000"/>
    <w:rPr>
      <w:rFonts w:cs="Times New Roman"/>
      <w:sz w:val="18"/>
      <w:szCs w:val="18"/>
    </w:rPr>
  </w:style>
  <w:style w:type="paragraph" w:customStyle="1" w:styleId="a">
    <w:name w:val="页眉报告名称"/>
    <w:link w:val="Char"/>
    <w:autoRedefine/>
    <w:uiPriority w:val="99"/>
    <w:rsid w:val="00B10000"/>
    <w:pPr>
      <w:spacing w:afterLines="100" w:line="240" w:lineRule="exact"/>
      <w:jc w:val="both"/>
    </w:pPr>
    <w:rPr>
      <w:rFonts w:eastAsia="华文新魏"/>
      <w:sz w:val="24"/>
    </w:rPr>
  </w:style>
  <w:style w:type="character" w:customStyle="1" w:styleId="Char">
    <w:name w:val="页眉报告名称 Char"/>
    <w:basedOn w:val="DefaultParagraphFont"/>
    <w:link w:val="a"/>
    <w:uiPriority w:val="99"/>
    <w:locked/>
    <w:rsid w:val="00B10000"/>
    <w:rPr>
      <w:rFonts w:ascii="Calibri" w:eastAsia="华文新魏" w:hAnsi="Calibri" w:cs="Times New Roman"/>
      <w:kern w:val="2"/>
      <w:sz w:val="22"/>
      <w:szCs w:val="22"/>
      <w:lang w:val="en-US" w:eastAsia="zh-CN" w:bidi="ar-SA"/>
    </w:rPr>
  </w:style>
  <w:style w:type="paragraph" w:customStyle="1" w:styleId="a0">
    <w:name w:val="页眉图片"/>
    <w:basedOn w:val="Header"/>
    <w:link w:val="Char0"/>
    <w:uiPriority w:val="99"/>
    <w:rsid w:val="00B10000"/>
    <w:pPr>
      <w:pBdr>
        <w:bottom w:val="none" w:sz="0" w:space="0" w:color="auto"/>
      </w:pBdr>
      <w:tabs>
        <w:tab w:val="clear" w:pos="4153"/>
        <w:tab w:val="clear" w:pos="8306"/>
        <w:tab w:val="right" w:pos="11424"/>
      </w:tabs>
      <w:jc w:val="left"/>
    </w:pPr>
    <w:rPr>
      <w:noProof/>
    </w:rPr>
  </w:style>
  <w:style w:type="character" w:customStyle="1" w:styleId="Char0">
    <w:name w:val="页眉图片 Char"/>
    <w:basedOn w:val="HeaderChar"/>
    <w:link w:val="a0"/>
    <w:uiPriority w:val="99"/>
    <w:locked/>
    <w:rsid w:val="00B10000"/>
    <w:rPr>
      <w:rFonts w:ascii="Calibri" w:eastAsia="宋体" w:hAnsi="Calibri"/>
      <w:noProof/>
    </w:rPr>
  </w:style>
  <w:style w:type="paragraph" w:customStyle="1" w:styleId="a1">
    <w:name w:val="页眉处日期"/>
    <w:basedOn w:val="Normal"/>
    <w:link w:val="Char1"/>
    <w:uiPriority w:val="99"/>
    <w:rsid w:val="00B10000"/>
    <w:pPr>
      <w:tabs>
        <w:tab w:val="right" w:pos="11424"/>
      </w:tabs>
      <w:snapToGrid w:val="0"/>
      <w:jc w:val="left"/>
    </w:pPr>
    <w:rPr>
      <w:rFonts w:ascii="华文隶书" w:eastAsia="华文隶书"/>
      <w:b/>
      <w:sz w:val="24"/>
      <w:szCs w:val="24"/>
    </w:rPr>
  </w:style>
  <w:style w:type="paragraph" w:customStyle="1" w:styleId="a2">
    <w:name w:val="页眉副标题"/>
    <w:basedOn w:val="Normal"/>
    <w:link w:val="Char2"/>
    <w:uiPriority w:val="99"/>
    <w:rsid w:val="00B10000"/>
    <w:pPr>
      <w:tabs>
        <w:tab w:val="right" w:pos="11424"/>
      </w:tabs>
      <w:snapToGrid w:val="0"/>
      <w:jc w:val="left"/>
    </w:pPr>
    <w:rPr>
      <w:rFonts w:ascii="华文隶书" w:eastAsia="华文隶书"/>
      <w:sz w:val="36"/>
      <w:szCs w:val="36"/>
    </w:rPr>
  </w:style>
  <w:style w:type="character" w:customStyle="1" w:styleId="Char1">
    <w:name w:val="页眉处日期 Char"/>
    <w:basedOn w:val="DefaultParagraphFont"/>
    <w:link w:val="a1"/>
    <w:uiPriority w:val="99"/>
    <w:locked/>
    <w:rsid w:val="00B10000"/>
    <w:rPr>
      <w:rFonts w:ascii="华文隶书" w:eastAsia="华文隶书" w:hAnsi="Calibri" w:cs="Times New Roman"/>
      <w:b/>
      <w:sz w:val="24"/>
      <w:szCs w:val="24"/>
    </w:rPr>
  </w:style>
  <w:style w:type="character" w:customStyle="1" w:styleId="Char2">
    <w:name w:val="页眉副标题 Char"/>
    <w:basedOn w:val="DefaultParagraphFont"/>
    <w:link w:val="a2"/>
    <w:uiPriority w:val="99"/>
    <w:locked/>
    <w:rsid w:val="00B10000"/>
    <w:rPr>
      <w:rFonts w:ascii="华文隶书" w:eastAsia="华文隶书" w:hAnsi="Calibri" w:cs="Times New Roman"/>
      <w:sz w:val="36"/>
      <w:szCs w:val="36"/>
    </w:rPr>
  </w:style>
  <w:style w:type="paragraph" w:customStyle="1" w:styleId="a3">
    <w:name w:val="页眉的分析师"/>
    <w:basedOn w:val="Normal"/>
    <w:link w:val="Char3"/>
    <w:uiPriority w:val="99"/>
    <w:rsid w:val="00B10000"/>
    <w:pPr>
      <w:tabs>
        <w:tab w:val="right" w:pos="11424"/>
      </w:tabs>
      <w:snapToGrid w:val="0"/>
      <w:spacing w:line="240" w:lineRule="exact"/>
      <w:jc w:val="right"/>
    </w:pPr>
    <w:rPr>
      <w:rFonts w:ascii="华文新魏" w:eastAsia="华文新魏"/>
      <w:szCs w:val="21"/>
    </w:rPr>
  </w:style>
  <w:style w:type="character" w:customStyle="1" w:styleId="Char3">
    <w:name w:val="页眉的分析师 Char"/>
    <w:basedOn w:val="DefaultParagraphFont"/>
    <w:link w:val="a3"/>
    <w:uiPriority w:val="99"/>
    <w:locked/>
    <w:rsid w:val="00B10000"/>
    <w:rPr>
      <w:rFonts w:ascii="华文新魏" w:eastAsia="华文新魏" w:hAnsi="Calibri" w:cs="Times New Roman"/>
      <w:sz w:val="21"/>
      <w:szCs w:val="21"/>
    </w:rPr>
  </w:style>
  <w:style w:type="paragraph" w:customStyle="1" w:styleId="12">
    <w:name w:val="页眉12"/>
    <w:basedOn w:val="Header"/>
    <w:link w:val="12Char"/>
    <w:uiPriority w:val="99"/>
    <w:rsid w:val="00B10000"/>
    <w:pPr>
      <w:pBdr>
        <w:bottom w:val="none" w:sz="0" w:space="0" w:color="auto"/>
      </w:pBdr>
      <w:tabs>
        <w:tab w:val="clear" w:pos="4153"/>
        <w:tab w:val="clear" w:pos="8306"/>
        <w:tab w:val="right" w:pos="11424"/>
      </w:tabs>
      <w:jc w:val="left"/>
    </w:pPr>
  </w:style>
  <w:style w:type="character" w:customStyle="1" w:styleId="12Char">
    <w:name w:val="页眉12 Char"/>
    <w:basedOn w:val="HeaderChar"/>
    <w:link w:val="12"/>
    <w:uiPriority w:val="99"/>
    <w:locked/>
    <w:rsid w:val="00B10000"/>
    <w:rPr>
      <w:rFonts w:ascii="Calibri" w:eastAsia="宋体" w:hAnsi="Calibri"/>
    </w:rPr>
  </w:style>
  <w:style w:type="paragraph" w:customStyle="1" w:styleId="2">
    <w:name w:val="页眉副标题2"/>
    <w:basedOn w:val="12"/>
    <w:link w:val="2Char"/>
    <w:uiPriority w:val="99"/>
    <w:rsid w:val="00B10000"/>
    <w:pPr>
      <w:jc w:val="right"/>
    </w:pPr>
    <w:rPr>
      <w:rFonts w:ascii="华文隶书" w:eastAsia="华文隶书"/>
      <w:sz w:val="21"/>
      <w:szCs w:val="21"/>
    </w:rPr>
  </w:style>
  <w:style w:type="character" w:customStyle="1" w:styleId="2Char">
    <w:name w:val="页眉副标题2 Char"/>
    <w:basedOn w:val="12Char"/>
    <w:link w:val="2"/>
    <w:uiPriority w:val="99"/>
    <w:locked/>
    <w:rsid w:val="00B10000"/>
    <w:rPr>
      <w:rFonts w:ascii="华文隶书" w:eastAsia="华文隶书"/>
      <w:sz w:val="21"/>
      <w:szCs w:val="21"/>
    </w:rPr>
  </w:style>
  <w:style w:type="paragraph" w:customStyle="1" w:styleId="a4">
    <w:name w:val="特别声明格式"/>
    <w:basedOn w:val="Normal"/>
    <w:link w:val="Char4"/>
    <w:uiPriority w:val="99"/>
    <w:rsid w:val="00B10000"/>
    <w:pPr>
      <w:spacing w:afterLines="100" w:line="240" w:lineRule="exact"/>
    </w:pPr>
    <w:rPr>
      <w:rFonts w:ascii="华文隶书" w:eastAsia="华文隶书"/>
      <w:sz w:val="28"/>
    </w:rPr>
  </w:style>
  <w:style w:type="character" w:customStyle="1" w:styleId="Char4">
    <w:name w:val="特别声明格式 Char"/>
    <w:basedOn w:val="DefaultParagraphFont"/>
    <w:link w:val="a4"/>
    <w:uiPriority w:val="99"/>
    <w:locked/>
    <w:rsid w:val="00B10000"/>
    <w:rPr>
      <w:rFonts w:ascii="华文隶书" w:eastAsia="华文隶书" w:hAnsi="Calibri" w:cs="Times New Roman"/>
      <w:sz w:val="28"/>
    </w:rPr>
  </w:style>
  <w:style w:type="paragraph" w:styleId="BodyText">
    <w:name w:val="Body Text"/>
    <w:basedOn w:val="Normal"/>
    <w:link w:val="BodyTextChar"/>
    <w:uiPriority w:val="99"/>
    <w:rsid w:val="00B10000"/>
    <w:pPr>
      <w:widowControl/>
      <w:spacing w:after="120" w:line="240" w:lineRule="exact"/>
      <w:ind w:left="3402"/>
    </w:pPr>
    <w:rPr>
      <w:rFonts w:ascii="Arial" w:hAnsi="Arial"/>
      <w:color w:val="000000"/>
      <w:kern w:val="0"/>
      <w:szCs w:val="20"/>
      <w:lang w:val="en-GB"/>
    </w:rPr>
  </w:style>
  <w:style w:type="character" w:customStyle="1" w:styleId="BodyTextChar">
    <w:name w:val="Body Text Char"/>
    <w:basedOn w:val="DefaultParagraphFont"/>
    <w:link w:val="BodyText"/>
    <w:uiPriority w:val="99"/>
    <w:locked/>
    <w:rsid w:val="00B10000"/>
    <w:rPr>
      <w:rFonts w:ascii="Arial" w:eastAsia="Times New Roman" w:hAnsi="Arial" w:cs="Times New Roman"/>
      <w:color w:val="000000"/>
      <w:kern w:val="0"/>
      <w:sz w:val="20"/>
      <w:szCs w:val="20"/>
      <w:lang w:val="en-GB"/>
    </w:rPr>
  </w:style>
  <w:style w:type="paragraph" w:customStyle="1" w:styleId="FootnoteNoline">
    <w:name w:val="FootnoteNoline"/>
    <w:basedOn w:val="Normal"/>
    <w:next w:val="BodyText"/>
    <w:uiPriority w:val="99"/>
    <w:rsid w:val="008840A4"/>
    <w:pPr>
      <w:widowControl/>
      <w:tabs>
        <w:tab w:val="right" w:pos="10065"/>
      </w:tabs>
      <w:spacing w:before="40" w:after="160"/>
      <w:ind w:left="3402"/>
    </w:pPr>
    <w:rPr>
      <w:rFonts w:ascii="Arial" w:hAnsi="Arial" w:cs="Arial"/>
      <w:color w:val="003765"/>
      <w:kern w:val="0"/>
      <w:sz w:val="15"/>
      <w:szCs w:val="14"/>
      <w:lang w:val="en-GB"/>
    </w:rPr>
  </w:style>
  <w:style w:type="paragraph" w:customStyle="1" w:styleId="SubTitleLargeTable">
    <w:name w:val="SubTitleLargeTable"/>
    <w:uiPriority w:val="99"/>
    <w:rsid w:val="008840A4"/>
    <w:pPr>
      <w:keepNext/>
      <w:pBdr>
        <w:top w:val="single" w:sz="6" w:space="1" w:color="666699"/>
      </w:pBdr>
      <w:suppressAutoHyphens/>
      <w:spacing w:after="40" w:line="240" w:lineRule="atLeast"/>
    </w:pPr>
    <w:rPr>
      <w:rFonts w:ascii="Arial" w:hAnsi="Arial" w:cs="Arial"/>
      <w:b/>
      <w:bCs/>
      <w:i/>
      <w:iCs/>
      <w:color w:val="003765"/>
      <w:kern w:val="0"/>
      <w:szCs w:val="21"/>
      <w:lang w:val="en-GB"/>
    </w:rPr>
  </w:style>
  <w:style w:type="paragraph" w:styleId="BalloonText">
    <w:name w:val="Balloon Text"/>
    <w:basedOn w:val="Normal"/>
    <w:link w:val="BalloonTextChar"/>
    <w:uiPriority w:val="99"/>
    <w:semiHidden/>
    <w:rsid w:val="008840A4"/>
    <w:rPr>
      <w:sz w:val="18"/>
      <w:szCs w:val="18"/>
    </w:rPr>
  </w:style>
  <w:style w:type="character" w:customStyle="1" w:styleId="BalloonTextChar">
    <w:name w:val="Balloon Text Char"/>
    <w:basedOn w:val="DefaultParagraphFont"/>
    <w:link w:val="BalloonText"/>
    <w:uiPriority w:val="99"/>
    <w:semiHidden/>
    <w:locked/>
    <w:rsid w:val="008840A4"/>
    <w:rPr>
      <w:rFonts w:cs="Times New Roman"/>
      <w:sz w:val="18"/>
      <w:szCs w:val="18"/>
    </w:rPr>
  </w:style>
  <w:style w:type="paragraph" w:customStyle="1" w:styleId="CoverBullet">
    <w:name w:val="Cover Bullet"/>
    <w:uiPriority w:val="99"/>
    <w:rsid w:val="008840A4"/>
    <w:pPr>
      <w:numPr>
        <w:numId w:val="3"/>
      </w:numPr>
      <w:spacing w:before="120" w:after="120"/>
      <w:ind w:left="357" w:hanging="357"/>
    </w:pPr>
    <w:rPr>
      <w:rFonts w:ascii="LucidaSans" w:hAnsi="LucidaSans"/>
      <w:b/>
      <w:bCs/>
      <w:kern w:val="0"/>
      <w:sz w:val="20"/>
      <w:szCs w:val="20"/>
      <w:lang w:val="en-GB"/>
    </w:rPr>
  </w:style>
  <w:style w:type="paragraph" w:styleId="ListParagraph">
    <w:name w:val="List Paragraph"/>
    <w:basedOn w:val="Normal"/>
    <w:uiPriority w:val="99"/>
    <w:qFormat/>
    <w:rsid w:val="002630FB"/>
    <w:pPr>
      <w:ind w:firstLineChars="200" w:firstLine="420"/>
    </w:pPr>
  </w:style>
  <w:style w:type="character" w:styleId="Hyperlink">
    <w:name w:val="Hyperlink"/>
    <w:basedOn w:val="DefaultParagraphFont"/>
    <w:uiPriority w:val="99"/>
    <w:rsid w:val="006A734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31452109">
      <w:marLeft w:val="0"/>
      <w:marRight w:val="0"/>
      <w:marTop w:val="0"/>
      <w:marBottom w:val="0"/>
      <w:divBdr>
        <w:top w:val="none" w:sz="0" w:space="0" w:color="auto"/>
        <w:left w:val="none" w:sz="0" w:space="0" w:color="auto"/>
        <w:bottom w:val="none" w:sz="0" w:space="0" w:color="auto"/>
        <w:right w:val="none" w:sz="0" w:space="0" w:color="auto"/>
      </w:divBdr>
    </w:div>
    <w:div w:id="2031452110">
      <w:marLeft w:val="0"/>
      <w:marRight w:val="0"/>
      <w:marTop w:val="0"/>
      <w:marBottom w:val="0"/>
      <w:divBdr>
        <w:top w:val="none" w:sz="0" w:space="0" w:color="auto"/>
        <w:left w:val="none" w:sz="0" w:space="0" w:color="auto"/>
        <w:bottom w:val="none" w:sz="0" w:space="0" w:color="auto"/>
        <w:right w:val="none" w:sz="0" w:space="0" w:color="auto"/>
      </w:divBdr>
    </w:div>
    <w:div w:id="2031452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1064</Words>
  <Characters>6070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导语</dc:title>
  <dc:subject/>
  <dc:creator>shanghai vstone</dc:creator>
  <cp:keywords/>
  <dc:description/>
  <cp:lastModifiedBy>User</cp:lastModifiedBy>
  <cp:revision>2</cp:revision>
  <dcterms:created xsi:type="dcterms:W3CDTF">2014-09-09T07:04:00Z</dcterms:created>
  <dcterms:modified xsi:type="dcterms:W3CDTF">2014-09-09T07:04:00Z</dcterms:modified>
</cp:coreProperties>
</file>