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A20" w:rsidRDefault="00EC7A20" w:rsidP="006A5488">
      <w:pPr>
        <w:widowControl/>
        <w:spacing w:after="120"/>
        <w:ind w:left="3430"/>
        <w:rPr>
          <w:rFonts w:ascii="楷体" w:eastAsia="楷体" w:hAnsi="楷体"/>
          <w:b/>
          <w:bCs/>
          <w:color w:val="0070C0"/>
          <w:kern w:val="0"/>
          <w:sz w:val="24"/>
          <w:szCs w:val="20"/>
          <w:lang w:val="en-GB"/>
        </w:rPr>
      </w:pPr>
      <w:r>
        <w:rPr>
          <w:noProof/>
        </w:rPr>
        <w:pict>
          <v:shapetype id="_x0000_t202" coordsize="21600,21600" o:spt="202" path="m,l,21600r21600,l21600,xe">
            <v:stroke joinstyle="miter"/>
            <v:path gradientshapeok="t" o:connecttype="rect"/>
          </v:shapetype>
          <v:shape id="_x0000_s1035" type="#_x0000_t202" style="position:absolute;left:0;text-align:left;margin-left:1.5pt;margin-top:279.2pt;width:148.5pt;height:275.6pt;z-index:251658240" strokecolor="white" strokeweight="0">
            <v:stroke dashstyle="1 1" endcap="round"/>
            <v:textbox>
              <w:txbxContent>
                <w:p w:rsidR="00EC7A20" w:rsidRPr="00635482" w:rsidRDefault="00EC7A20" w:rsidP="005B0E69">
                  <w:pPr>
                    <w:rPr>
                      <w:rFonts w:ascii="楷体" w:eastAsia="楷体" w:hAnsi="楷体"/>
                      <w:b/>
                      <w:lang w:val="en-GB"/>
                    </w:rPr>
                  </w:pPr>
                  <w:r w:rsidRPr="00635482">
                    <w:rPr>
                      <w:rFonts w:ascii="楷体" w:eastAsia="楷体" w:hAnsi="楷体" w:hint="eastAsia"/>
                      <w:b/>
                      <w:lang w:val="en-GB"/>
                    </w:rPr>
                    <w:t>凯石工场移动平台：</w:t>
                  </w:r>
                </w:p>
                <w:p w:rsidR="00EC7A20" w:rsidRPr="00635482" w:rsidRDefault="00EC7A20" w:rsidP="005B0E69">
                  <w:pPr>
                    <w:rPr>
                      <w:rFonts w:ascii="楷体" w:eastAsia="楷体" w:hAnsi="楷体"/>
                      <w:lang w:val="en-GB"/>
                    </w:rPr>
                  </w:pPr>
                </w:p>
                <w:p w:rsidR="00EC7A20" w:rsidRPr="00635482" w:rsidRDefault="00EC7A20" w:rsidP="005B0E69">
                  <w:r w:rsidRPr="00635482">
                    <w:rPr>
                      <w:rFonts w:ascii="楷体" w:eastAsia="楷体" w:hAnsi="楷体" w:hint="eastAsia"/>
                      <w:lang w:val="en-GB"/>
                    </w:rPr>
                    <w:t>官方微博：</w:t>
                  </w:r>
                </w:p>
                <w:p w:rsidR="00EC7A20" w:rsidRPr="00635482" w:rsidRDefault="00EC7A20" w:rsidP="005B0E69">
                  <w:pPr>
                    <w:rPr>
                      <w:rFonts w:ascii="楷体" w:eastAsia="楷体" w:hAnsi="楷体"/>
                      <w:lang w:val="en-GB"/>
                    </w:rPr>
                  </w:pPr>
                  <w:r w:rsidRPr="00635482">
                    <w:rPr>
                      <w:rFonts w:ascii="楷体" w:eastAsia="楷体" w:hAnsi="楷体" w:hint="eastAsia"/>
                      <w:lang w:val="en-GB"/>
                    </w:rPr>
                    <w:t>凯石财富工场</w:t>
                  </w:r>
                </w:p>
                <w:p w:rsidR="00EC7A20" w:rsidRDefault="00EC7A20" w:rsidP="005B0E69">
                  <w:r w:rsidRPr="00922220">
                    <w:rPr>
                      <w:noProof/>
                    </w:rPr>
                    <w:pict>
                      <v:shape id="图片 5" o:spid="_x0000_i1044" type="#_x0000_t75" alt="66.jpg" style="width:73.5pt;height:73.5pt;visibility:visible">
                        <v:imagedata r:id="rId7" o:title=""/>
                      </v:shape>
                    </w:pict>
                  </w:r>
                </w:p>
                <w:p w:rsidR="00EC7A20" w:rsidRDefault="00EC7A20" w:rsidP="005B0E69">
                  <w:pPr>
                    <w:rPr>
                      <w:rFonts w:ascii="楷体" w:eastAsia="楷体" w:hAnsi="楷体"/>
                      <w:b/>
                      <w:lang w:val="en-GB"/>
                    </w:rPr>
                  </w:pPr>
                </w:p>
                <w:p w:rsidR="00EC7A20" w:rsidRPr="00635482" w:rsidRDefault="00EC7A20" w:rsidP="005B0E69">
                  <w:pPr>
                    <w:rPr>
                      <w:rFonts w:ascii="楷体" w:eastAsia="楷体" w:hAnsi="楷体"/>
                      <w:lang w:val="en-GB"/>
                    </w:rPr>
                  </w:pPr>
                  <w:r w:rsidRPr="00635482">
                    <w:rPr>
                      <w:rFonts w:ascii="楷体" w:eastAsia="楷体" w:hAnsi="楷体" w:hint="eastAsia"/>
                      <w:lang w:val="en-GB"/>
                    </w:rPr>
                    <w:t>官方微信：</w:t>
                  </w:r>
                </w:p>
                <w:p w:rsidR="00EC7A20" w:rsidRPr="00635482" w:rsidRDefault="00EC7A20" w:rsidP="005B0E69">
                  <w:pPr>
                    <w:rPr>
                      <w:rFonts w:ascii="楷体" w:eastAsia="楷体" w:hAnsi="楷体"/>
                      <w:lang w:val="en-GB"/>
                    </w:rPr>
                  </w:pPr>
                  <w:r w:rsidRPr="00635482">
                    <w:rPr>
                      <w:rFonts w:ascii="楷体" w:eastAsia="楷体" w:hAnsi="楷体" w:hint="eastAsia"/>
                      <w:lang w:val="en-GB"/>
                    </w:rPr>
                    <w:t>凯石财富知音订阅号</w:t>
                  </w:r>
                </w:p>
                <w:p w:rsidR="00EC7A20" w:rsidRDefault="00EC7A20" w:rsidP="005B0E69">
                  <w:r w:rsidRPr="00BA6F16">
                    <w:rPr>
                      <w:rFonts w:ascii="楷体" w:eastAsia="楷体" w:hAnsi="楷体"/>
                      <w:b/>
                      <w:noProof/>
                    </w:rPr>
                    <w:pict>
                      <v:shape id="图片 7" o:spid="_x0000_i1045" type="#_x0000_t75" alt="凯石财富知音订阅号3.jpg" style="width:75pt;height:75pt;visibility:visible">
                        <v:imagedata r:id="rId8" o:title=""/>
                      </v:shape>
                    </w:pict>
                  </w:r>
                </w:p>
              </w:txbxContent>
            </v:textbox>
          </v:shape>
        </w:pict>
      </w:r>
      <w:r w:rsidRPr="005B7CDB">
        <w:rPr>
          <w:rFonts w:ascii="楷体" w:eastAsia="楷体" w:hAnsi="楷体" w:hint="eastAsia"/>
          <w:b/>
          <w:bCs/>
          <w:color w:val="0070C0"/>
          <w:kern w:val="0"/>
          <w:sz w:val="24"/>
          <w:szCs w:val="20"/>
          <w:lang w:val="en-GB"/>
        </w:rPr>
        <w:t>导语</w:t>
      </w:r>
    </w:p>
    <w:p w:rsidR="00EC7A20" w:rsidRPr="00AA5077" w:rsidRDefault="00EC7A20" w:rsidP="000A259A">
      <w:pPr>
        <w:widowControl/>
        <w:spacing w:after="120"/>
        <w:ind w:leftChars="1633" w:left="31680" w:firstLineChars="200" w:firstLine="31680"/>
        <w:rPr>
          <w:rFonts w:ascii="楷体" w:eastAsia="楷体" w:hAnsi="楷体"/>
          <w:color w:val="000000"/>
          <w:szCs w:val="21"/>
        </w:rPr>
      </w:pPr>
      <w:r w:rsidRPr="00AA5077">
        <w:rPr>
          <w:rFonts w:ascii="楷体" w:eastAsia="楷体" w:hAnsi="楷体" w:cs="Arial" w:hint="eastAsia"/>
          <w:color w:val="000000"/>
          <w:kern w:val="0"/>
          <w:szCs w:val="21"/>
          <w:lang w:val="en-GB"/>
        </w:rPr>
        <w:t>上周（</w:t>
      </w:r>
      <w:r w:rsidRPr="00AA5077">
        <w:rPr>
          <w:rFonts w:ascii="楷体" w:eastAsia="楷体" w:hAnsi="楷体" w:cs="Arial"/>
          <w:color w:val="000000"/>
          <w:kern w:val="0"/>
          <w:szCs w:val="21"/>
          <w:lang w:val="en-GB"/>
        </w:rPr>
        <w:t>2014.08.25~29</w:t>
      </w:r>
      <w:r w:rsidRPr="00AA5077">
        <w:rPr>
          <w:rFonts w:ascii="楷体" w:eastAsia="楷体" w:hAnsi="楷体" w:cs="Arial" w:hint="eastAsia"/>
          <w:color w:val="000000"/>
          <w:kern w:val="0"/>
          <w:szCs w:val="21"/>
          <w:lang w:val="en-GB"/>
        </w:rPr>
        <w:t>）</w:t>
      </w:r>
      <w:r w:rsidRPr="00AA5077">
        <w:rPr>
          <w:rFonts w:ascii="楷体" w:eastAsia="楷体" w:hAnsi="楷体" w:cs="Arial" w:hint="eastAsia"/>
          <w:color w:val="000000"/>
          <w:szCs w:val="21"/>
        </w:rPr>
        <w:t>大盘未能继续乘势向上，一度跌破</w:t>
      </w:r>
      <w:r w:rsidRPr="00AA5077">
        <w:rPr>
          <w:rFonts w:ascii="楷体" w:eastAsia="楷体" w:hAnsi="楷体"/>
          <w:color w:val="000000"/>
          <w:szCs w:val="21"/>
        </w:rPr>
        <w:t>2200</w:t>
      </w:r>
      <w:r w:rsidRPr="00AA5077">
        <w:rPr>
          <w:rFonts w:ascii="楷体" w:eastAsia="楷体" w:hAnsi="楷体" w:hint="eastAsia"/>
          <w:color w:val="000000"/>
          <w:szCs w:val="21"/>
        </w:rPr>
        <w:t>点，</w:t>
      </w:r>
      <w:r>
        <w:rPr>
          <w:rFonts w:ascii="楷体" w:eastAsia="楷体" w:hAnsi="楷体" w:hint="eastAsia"/>
          <w:color w:val="000000"/>
          <w:szCs w:val="21"/>
        </w:rPr>
        <w:t>上</w:t>
      </w:r>
      <w:r w:rsidRPr="00AA5077">
        <w:rPr>
          <w:rFonts w:ascii="楷体" w:eastAsia="楷体" w:hAnsi="楷体" w:hint="eastAsia"/>
          <w:color w:val="000000"/>
          <w:szCs w:val="21"/>
        </w:rPr>
        <w:t>证综指一路下挫，周跌</w:t>
      </w:r>
      <w:r w:rsidRPr="00AA5077">
        <w:rPr>
          <w:rFonts w:ascii="楷体" w:eastAsia="楷体" w:hAnsi="楷体"/>
          <w:color w:val="000000"/>
          <w:szCs w:val="21"/>
        </w:rPr>
        <w:t>1.05%</w:t>
      </w:r>
      <w:r w:rsidRPr="00AA5077">
        <w:rPr>
          <w:rFonts w:ascii="楷体" w:eastAsia="楷体" w:hAnsi="楷体" w:hint="eastAsia"/>
          <w:color w:val="000000"/>
          <w:szCs w:val="21"/>
        </w:rPr>
        <w:t>，沪深</w:t>
      </w:r>
      <w:r w:rsidRPr="00AA5077">
        <w:rPr>
          <w:rFonts w:ascii="楷体" w:eastAsia="楷体" w:hAnsi="楷体"/>
          <w:color w:val="000000"/>
          <w:szCs w:val="21"/>
        </w:rPr>
        <w:t>300</w:t>
      </w:r>
      <w:r w:rsidRPr="00AA5077">
        <w:rPr>
          <w:rFonts w:ascii="楷体" w:eastAsia="楷体" w:hAnsi="楷体" w:hint="eastAsia"/>
          <w:color w:val="000000"/>
          <w:szCs w:val="21"/>
        </w:rPr>
        <w:t>周跌</w:t>
      </w:r>
      <w:r w:rsidRPr="00AA5077">
        <w:rPr>
          <w:rFonts w:ascii="楷体" w:eastAsia="楷体" w:hAnsi="楷体"/>
          <w:color w:val="000000"/>
          <w:szCs w:val="21"/>
        </w:rPr>
        <w:t>1.14%</w:t>
      </w:r>
      <w:r w:rsidRPr="00AA5077">
        <w:rPr>
          <w:rFonts w:ascii="楷体" w:eastAsia="楷体" w:hAnsi="楷体" w:hint="eastAsia"/>
          <w:color w:val="000000"/>
          <w:szCs w:val="21"/>
        </w:rPr>
        <w:t>，中小板指和创业板指</w:t>
      </w:r>
      <w:r>
        <w:rPr>
          <w:rFonts w:ascii="楷体" w:eastAsia="楷体" w:hAnsi="楷体" w:hint="eastAsia"/>
          <w:color w:val="000000"/>
          <w:szCs w:val="21"/>
        </w:rPr>
        <w:t>亦</w:t>
      </w:r>
      <w:r w:rsidRPr="00AA5077">
        <w:rPr>
          <w:rFonts w:ascii="楷体" w:eastAsia="楷体" w:hAnsi="楷体" w:hint="eastAsia"/>
          <w:color w:val="000000"/>
          <w:szCs w:val="21"/>
        </w:rPr>
        <w:t>分别下跌</w:t>
      </w:r>
      <w:r w:rsidRPr="00AA5077">
        <w:rPr>
          <w:rFonts w:ascii="楷体" w:eastAsia="楷体" w:hAnsi="楷体"/>
          <w:color w:val="000000"/>
          <w:szCs w:val="21"/>
        </w:rPr>
        <w:t>1.04%</w:t>
      </w:r>
      <w:r w:rsidRPr="00AA5077">
        <w:rPr>
          <w:rFonts w:ascii="楷体" w:eastAsia="楷体" w:hAnsi="楷体" w:hint="eastAsia"/>
          <w:color w:val="000000"/>
          <w:szCs w:val="21"/>
        </w:rPr>
        <w:t>和</w:t>
      </w:r>
      <w:r w:rsidRPr="00AA5077">
        <w:rPr>
          <w:rFonts w:ascii="楷体" w:eastAsia="楷体" w:hAnsi="楷体"/>
          <w:color w:val="000000"/>
          <w:szCs w:val="21"/>
        </w:rPr>
        <w:t>2.55%</w:t>
      </w:r>
      <w:r w:rsidRPr="00AA5077">
        <w:rPr>
          <w:rFonts w:ascii="楷体" w:eastAsia="楷体" w:hAnsi="楷体" w:hint="eastAsia"/>
          <w:color w:val="000000"/>
          <w:szCs w:val="21"/>
        </w:rPr>
        <w:t>。上周四，央行公开市场进行</w:t>
      </w:r>
      <w:r w:rsidRPr="00AA5077">
        <w:rPr>
          <w:rFonts w:ascii="楷体" w:eastAsia="楷体" w:hAnsi="楷体"/>
          <w:color w:val="000000"/>
          <w:szCs w:val="21"/>
        </w:rPr>
        <w:t>100</w:t>
      </w:r>
      <w:r w:rsidRPr="00AA5077">
        <w:rPr>
          <w:rFonts w:ascii="楷体" w:eastAsia="楷体" w:hAnsi="楷体" w:hint="eastAsia"/>
          <w:color w:val="000000"/>
          <w:szCs w:val="21"/>
        </w:rPr>
        <w:t>亿元人民币正回购操作，净投放资金达</w:t>
      </w:r>
      <w:r w:rsidRPr="00AA5077">
        <w:rPr>
          <w:rFonts w:ascii="楷体" w:eastAsia="楷体" w:hAnsi="楷体"/>
          <w:color w:val="000000"/>
          <w:szCs w:val="21"/>
        </w:rPr>
        <w:t>450</w:t>
      </w:r>
      <w:r w:rsidRPr="00AA5077">
        <w:rPr>
          <w:rFonts w:ascii="楷体" w:eastAsia="楷体" w:hAnsi="楷体" w:hint="eastAsia"/>
          <w:color w:val="000000"/>
          <w:szCs w:val="21"/>
        </w:rPr>
        <w:t>亿，投放金额相比前两周明显增加，然而新股申购却致使银行间市场利率小幅上升。</w:t>
      </w:r>
      <w:r w:rsidRPr="00AA5077">
        <w:rPr>
          <w:rFonts w:ascii="楷体" w:eastAsia="楷体" w:hAnsi="楷体"/>
          <w:color w:val="000000"/>
          <w:szCs w:val="21"/>
        </w:rPr>
        <w:t>29</w:t>
      </w:r>
      <w:r w:rsidRPr="00AA5077">
        <w:rPr>
          <w:rFonts w:ascii="楷体" w:eastAsia="楷体" w:hAnsi="楷体" w:hint="eastAsia"/>
          <w:color w:val="000000"/>
          <w:szCs w:val="21"/>
        </w:rPr>
        <w:t>个中信一级行业除石油石化涨幅稳定，国防军工涨幅收窄，其他</w:t>
      </w:r>
      <w:r w:rsidRPr="00AA5077">
        <w:rPr>
          <w:rFonts w:ascii="楷体" w:eastAsia="楷体" w:hAnsi="楷体"/>
          <w:color w:val="000000"/>
          <w:szCs w:val="21"/>
        </w:rPr>
        <w:t>27</w:t>
      </w:r>
      <w:r w:rsidRPr="00AA5077">
        <w:rPr>
          <w:rFonts w:ascii="楷体" w:eastAsia="楷体" w:hAnsi="楷体" w:hint="eastAsia"/>
          <w:color w:val="000000"/>
          <w:szCs w:val="21"/>
        </w:rPr>
        <w:t>个行业均出现不同程度的下跌。</w:t>
      </w:r>
      <w:r w:rsidRPr="00AA5077">
        <w:rPr>
          <w:rFonts w:ascii="楷体" w:eastAsia="楷体" w:hAnsi="楷体" w:cs="Arial" w:hint="eastAsia"/>
          <w:color w:val="000000"/>
          <w:szCs w:val="21"/>
        </w:rPr>
        <w:t>海</w:t>
      </w:r>
      <w:r w:rsidRPr="00AA5077">
        <w:rPr>
          <w:rFonts w:ascii="楷体" w:eastAsia="楷体" w:hAnsi="楷体" w:hint="eastAsia"/>
          <w:color w:val="000000"/>
          <w:szCs w:val="21"/>
        </w:rPr>
        <w:t>外市场整体小幅收涨，美股上周整体维持高位震荡的格局</w:t>
      </w:r>
      <w:r>
        <w:rPr>
          <w:rFonts w:ascii="楷体" w:eastAsia="楷体" w:hAnsi="楷体"/>
          <w:color w:val="000000"/>
          <w:szCs w:val="21"/>
        </w:rPr>
        <w:t>,</w:t>
      </w:r>
      <w:r w:rsidRPr="00AA5077">
        <w:rPr>
          <w:rFonts w:ascii="楷体" w:eastAsia="楷体" w:hAnsi="楷体" w:hint="eastAsia"/>
          <w:color w:val="000000"/>
          <w:szCs w:val="21"/>
        </w:rPr>
        <w:t>然而由于近期美股超涨，二季度</w:t>
      </w:r>
      <w:r w:rsidRPr="00AA5077">
        <w:rPr>
          <w:rFonts w:ascii="楷体" w:eastAsia="楷体" w:hAnsi="楷体"/>
          <w:color w:val="000000"/>
          <w:szCs w:val="21"/>
        </w:rPr>
        <w:t>GDP</w:t>
      </w:r>
      <w:r w:rsidRPr="00AA5077">
        <w:rPr>
          <w:rFonts w:ascii="楷体" w:eastAsia="楷体" w:hAnsi="楷体" w:hint="eastAsia"/>
          <w:color w:val="000000"/>
          <w:szCs w:val="21"/>
        </w:rPr>
        <w:t>等数据强于预期，俄乌局势有趋于紧张影响投资者情绪，美股面临回调压力。欧洲方面，欧洲央行宽松措施受投资者瞩目，股市整体延续着前期的较好表现。</w:t>
      </w:r>
    </w:p>
    <w:p w:rsidR="00EC7A20" w:rsidRPr="00904741" w:rsidRDefault="00EC7A20" w:rsidP="000A259A">
      <w:pPr>
        <w:widowControl/>
        <w:spacing w:after="120"/>
        <w:ind w:leftChars="1633" w:left="31680" w:firstLineChars="200" w:firstLine="31680"/>
        <w:rPr>
          <w:rFonts w:ascii="楷体" w:eastAsia="楷体" w:hAnsi="楷体" w:cs="Arial"/>
          <w:b/>
          <w:color w:val="FF0000"/>
          <w:kern w:val="0"/>
          <w:szCs w:val="21"/>
          <w:lang w:val="en-GB"/>
        </w:rPr>
      </w:pPr>
      <w:r w:rsidRPr="00904741">
        <w:rPr>
          <w:rFonts w:ascii="楷体" w:eastAsia="楷体" w:hAnsi="楷体" w:cs="Arial" w:hint="eastAsia"/>
          <w:b/>
          <w:color w:val="FF0000"/>
          <w:kern w:val="0"/>
          <w:szCs w:val="21"/>
          <w:lang w:val="en-GB"/>
        </w:rPr>
        <w:t>凯石工场统计范围内的各类型公募基金中，由于行情反转，前周表现较好的产品在上周下跌。</w:t>
      </w:r>
      <w:r w:rsidRPr="00904741">
        <w:rPr>
          <w:rFonts w:ascii="楷体" w:eastAsia="楷体" w:hAnsi="楷体" w:cs="Arial" w:hint="eastAsia"/>
          <w:color w:val="FF0000"/>
          <w:kern w:val="0"/>
          <w:szCs w:val="21"/>
          <w:lang w:val="en-GB"/>
        </w:rPr>
        <w:t>其中，股票型基金跌幅较大，混合</w:t>
      </w:r>
      <w:r w:rsidRPr="00904741">
        <w:rPr>
          <w:rFonts w:ascii="楷体" w:eastAsia="楷体" w:hAnsi="楷体" w:cs="Arial"/>
          <w:color w:val="FF0000"/>
          <w:kern w:val="0"/>
          <w:szCs w:val="21"/>
          <w:lang w:val="en-GB"/>
        </w:rPr>
        <w:t>-</w:t>
      </w:r>
      <w:r w:rsidRPr="00904741">
        <w:rPr>
          <w:rFonts w:ascii="楷体" w:eastAsia="楷体" w:hAnsi="楷体" w:cs="Arial" w:hint="eastAsia"/>
          <w:color w:val="FF0000"/>
          <w:kern w:val="0"/>
          <w:szCs w:val="21"/>
          <w:lang w:val="en-GB"/>
        </w:rPr>
        <w:t>偏债型基金业绩好于混合</w:t>
      </w:r>
      <w:r w:rsidRPr="00904741">
        <w:rPr>
          <w:rFonts w:ascii="楷体" w:eastAsia="楷体" w:hAnsi="楷体" w:cs="Arial"/>
          <w:color w:val="FF0000"/>
          <w:kern w:val="0"/>
          <w:szCs w:val="21"/>
          <w:lang w:val="en-GB"/>
        </w:rPr>
        <w:t>-</w:t>
      </w:r>
      <w:r w:rsidRPr="00904741">
        <w:rPr>
          <w:rFonts w:ascii="楷体" w:eastAsia="楷体" w:hAnsi="楷体" w:cs="Arial" w:hint="eastAsia"/>
          <w:color w:val="FF0000"/>
          <w:kern w:val="0"/>
          <w:szCs w:val="21"/>
          <w:lang w:val="en-GB"/>
        </w:rPr>
        <w:t>偏股型基金，商品基金周回报率皆为正。</w:t>
      </w:r>
      <w:r w:rsidRPr="00904741">
        <w:rPr>
          <w:rFonts w:ascii="楷体" w:eastAsia="楷体" w:hAnsi="楷体" w:cs="Arial"/>
          <w:color w:val="FF0000"/>
          <w:kern w:val="0"/>
          <w:szCs w:val="21"/>
          <w:lang w:val="en-GB"/>
        </w:rPr>
        <w:t>QDII-</w:t>
      </w:r>
      <w:r w:rsidRPr="00904741">
        <w:rPr>
          <w:rFonts w:ascii="楷体" w:eastAsia="楷体" w:hAnsi="楷体" w:cs="Arial" w:hint="eastAsia"/>
          <w:color w:val="FF0000"/>
          <w:kern w:val="0"/>
          <w:szCs w:val="21"/>
          <w:lang w:val="en-GB"/>
        </w:rPr>
        <w:t>商品收益居前，美股</w:t>
      </w:r>
      <w:r w:rsidRPr="00904741">
        <w:rPr>
          <w:rFonts w:ascii="楷体" w:eastAsia="楷体" w:hAnsi="楷体" w:cs="Arial"/>
          <w:color w:val="FF0000"/>
          <w:kern w:val="0"/>
          <w:szCs w:val="21"/>
          <w:lang w:val="en-GB"/>
        </w:rPr>
        <w:t>QDII</w:t>
      </w:r>
      <w:r w:rsidRPr="00904741">
        <w:rPr>
          <w:rFonts w:ascii="楷体" w:eastAsia="楷体" w:hAnsi="楷体" w:cs="Arial" w:hint="eastAsia"/>
          <w:color w:val="FF0000"/>
          <w:kern w:val="0"/>
          <w:szCs w:val="21"/>
          <w:lang w:val="en-GB"/>
        </w:rPr>
        <w:t>涨幅小幅收敛。债券基金虽相比股票基金优秀，但是除了二级债基和可转债基收益下滑，其他债基表现与前周差别不大。货币市场基金收益小幅上升。</w:t>
      </w:r>
      <w:r w:rsidRPr="00904741">
        <w:rPr>
          <w:rFonts w:ascii="楷体" w:eastAsia="楷体" w:hAnsi="楷体" w:cs="Arial" w:hint="eastAsia"/>
          <w:b/>
          <w:color w:val="FF0000"/>
          <w:kern w:val="0"/>
          <w:szCs w:val="21"/>
          <w:lang w:val="en-GB"/>
        </w:rPr>
        <w:t>产品方面，富国医疗保健行业，基金景福，华宝兴业标普油气，招商保证金快线</w:t>
      </w:r>
      <w:r w:rsidRPr="00904741">
        <w:rPr>
          <w:rFonts w:ascii="楷体" w:eastAsia="楷体" w:hAnsi="楷体" w:cs="Arial"/>
          <w:b/>
          <w:color w:val="FF0000"/>
          <w:kern w:val="0"/>
          <w:szCs w:val="21"/>
          <w:lang w:val="en-GB"/>
        </w:rPr>
        <w:t>B</w:t>
      </w:r>
      <w:r w:rsidRPr="00904741">
        <w:rPr>
          <w:rFonts w:ascii="楷体" w:eastAsia="楷体" w:hAnsi="楷体" w:cs="Arial" w:hint="eastAsia"/>
          <w:b/>
          <w:color w:val="FF0000"/>
          <w:kern w:val="0"/>
          <w:szCs w:val="21"/>
          <w:lang w:val="en-GB"/>
        </w:rPr>
        <w:t>，银华中证转债</w:t>
      </w:r>
      <w:r w:rsidRPr="00904741">
        <w:rPr>
          <w:rFonts w:ascii="楷体" w:eastAsia="楷体" w:hAnsi="楷体" w:cs="Arial"/>
          <w:b/>
          <w:color w:val="FF0000"/>
          <w:kern w:val="0"/>
          <w:szCs w:val="21"/>
          <w:lang w:val="en-GB"/>
        </w:rPr>
        <w:t>B</w:t>
      </w:r>
      <w:r w:rsidRPr="00904741">
        <w:rPr>
          <w:rFonts w:ascii="楷体" w:eastAsia="楷体" w:hAnsi="楷体" w:cs="Arial" w:hint="eastAsia"/>
          <w:b/>
          <w:color w:val="FF0000"/>
          <w:kern w:val="0"/>
          <w:szCs w:val="21"/>
          <w:lang w:val="en-GB"/>
        </w:rPr>
        <w:t>，长盛年年收益</w:t>
      </w:r>
      <w:r w:rsidRPr="00904741">
        <w:rPr>
          <w:rFonts w:ascii="楷体" w:eastAsia="楷体" w:hAnsi="楷体" w:cs="Arial"/>
          <w:b/>
          <w:color w:val="FF0000"/>
          <w:kern w:val="0"/>
          <w:szCs w:val="21"/>
          <w:lang w:val="en-GB"/>
        </w:rPr>
        <w:t>C</w:t>
      </w:r>
      <w:r w:rsidRPr="00904741">
        <w:rPr>
          <w:rFonts w:ascii="楷体" w:eastAsia="楷体" w:hAnsi="楷体" w:cs="Arial" w:hint="eastAsia"/>
          <w:b/>
          <w:color w:val="FF0000"/>
          <w:kern w:val="0"/>
          <w:szCs w:val="21"/>
          <w:lang w:val="en-GB"/>
        </w:rPr>
        <w:t>等业绩居前。</w:t>
      </w:r>
    </w:p>
    <w:p w:rsidR="00EC7A20" w:rsidRPr="005B7CDB" w:rsidRDefault="00EC7A20" w:rsidP="0069249C">
      <w:pPr>
        <w:widowControl/>
        <w:spacing w:after="120"/>
        <w:ind w:left="3430"/>
        <w:rPr>
          <w:rFonts w:ascii="楷体" w:eastAsia="楷体" w:hAnsi="楷体"/>
          <w:b/>
          <w:bCs/>
          <w:color w:val="0070C0"/>
          <w:kern w:val="0"/>
          <w:sz w:val="24"/>
          <w:szCs w:val="20"/>
          <w:lang w:val="en-GB"/>
        </w:rPr>
      </w:pPr>
      <w:r w:rsidRPr="005B7CDB">
        <w:rPr>
          <w:rFonts w:ascii="楷体" w:eastAsia="楷体" w:hAnsi="楷体" w:hint="eastAsia"/>
          <w:b/>
          <w:bCs/>
          <w:color w:val="0070C0"/>
          <w:kern w:val="0"/>
          <w:sz w:val="24"/>
          <w:szCs w:val="20"/>
          <w:lang w:val="en-GB"/>
        </w:rPr>
        <w:t>凯石工场本周基金投资策略：</w:t>
      </w:r>
      <w:r>
        <w:rPr>
          <w:rFonts w:ascii="楷体" w:eastAsia="楷体" w:hAnsi="楷体" w:hint="eastAsia"/>
          <w:b/>
          <w:bCs/>
          <w:color w:val="0070C0"/>
          <w:kern w:val="0"/>
          <w:sz w:val="24"/>
          <w:szCs w:val="20"/>
          <w:lang w:val="en-GB"/>
        </w:rPr>
        <w:t>关注消费、新兴产业及国企改革主题</w:t>
      </w:r>
    </w:p>
    <w:p w:rsidR="00EC7A20" w:rsidRPr="003A5519" w:rsidRDefault="00EC7A20" w:rsidP="005B4F0D">
      <w:pPr>
        <w:pStyle w:val="BodyText"/>
        <w:numPr>
          <w:ilvl w:val="4"/>
          <w:numId w:val="1"/>
        </w:numPr>
        <w:spacing w:after="163"/>
        <w:rPr>
          <w:rFonts w:eastAsia="楷体" w:cs="Arial"/>
          <w:szCs w:val="21"/>
        </w:rPr>
      </w:pPr>
      <w:r w:rsidRPr="003A5519">
        <w:rPr>
          <w:rFonts w:eastAsia="楷体" w:hAnsi="楷体" w:cs="Arial" w:hint="eastAsia"/>
        </w:rPr>
        <w:t>目前海外市场气氛较好</w:t>
      </w:r>
      <w:r>
        <w:rPr>
          <w:rFonts w:eastAsia="楷体" w:hAnsi="楷体" w:cs="Arial" w:hint="eastAsia"/>
        </w:rPr>
        <w:t>，</w:t>
      </w:r>
      <w:r w:rsidRPr="003A5519">
        <w:rPr>
          <w:rFonts w:eastAsia="楷体" w:hAnsi="楷体" w:cs="Arial" w:hint="eastAsia"/>
        </w:rPr>
        <w:t>美联储对于加息尚无进一步表态、欧央行暗示将实行更多刺激政策消息提振了市场人气。美国二季度</w:t>
      </w:r>
      <w:r w:rsidRPr="003A5519">
        <w:rPr>
          <w:rFonts w:eastAsia="楷体" w:cs="Arial"/>
        </w:rPr>
        <w:t>GDP</w:t>
      </w:r>
      <w:r w:rsidRPr="003A5519">
        <w:rPr>
          <w:rFonts w:eastAsia="楷体" w:hAnsi="楷体" w:cs="Arial" w:hint="eastAsia"/>
        </w:rPr>
        <w:t>上修至</w:t>
      </w:r>
      <w:r w:rsidRPr="003A5519">
        <w:rPr>
          <w:rFonts w:eastAsia="楷体" w:cs="Arial"/>
        </w:rPr>
        <w:t>4.2%</w:t>
      </w:r>
      <w:r w:rsidRPr="003A5519">
        <w:rPr>
          <w:rFonts w:eastAsia="楷体" w:hAnsi="楷体" w:cs="Arial" w:hint="eastAsia"/>
        </w:rPr>
        <w:t>，房地产、企业投资、出口和政府活动等经济领域加速，劳动力市场也在增强。</w:t>
      </w:r>
      <w:r w:rsidRPr="003A5519">
        <w:rPr>
          <w:rFonts w:eastAsia="楷体" w:cs="Arial"/>
        </w:rPr>
        <w:t>10</w:t>
      </w:r>
      <w:r w:rsidRPr="003A5519">
        <w:rPr>
          <w:rFonts w:eastAsia="楷体" w:hAnsi="楷体" w:cs="Arial" w:hint="eastAsia"/>
        </w:rPr>
        <w:t>月将结束的</w:t>
      </w:r>
      <w:r w:rsidRPr="003A5519">
        <w:rPr>
          <w:rFonts w:eastAsia="楷体" w:cs="Arial"/>
        </w:rPr>
        <w:t>QE</w:t>
      </w:r>
      <w:r w:rsidRPr="003A5519">
        <w:rPr>
          <w:rFonts w:eastAsia="楷体" w:hAnsi="楷体" w:cs="Arial" w:hint="eastAsia"/>
        </w:rPr>
        <w:t>相对于美央行资产负债表</w:t>
      </w:r>
      <w:r w:rsidRPr="003A5519">
        <w:rPr>
          <w:rFonts w:eastAsia="楷体" w:cs="Arial"/>
        </w:rPr>
        <w:t>4.37</w:t>
      </w:r>
      <w:r>
        <w:rPr>
          <w:rFonts w:eastAsia="楷体" w:hAnsi="楷体" w:cs="Arial" w:hint="eastAsia"/>
        </w:rPr>
        <w:t>万亿的规模，对真实流动性造成强烈</w:t>
      </w:r>
      <w:r w:rsidRPr="003A5519">
        <w:rPr>
          <w:rFonts w:eastAsia="楷体" w:hAnsi="楷体" w:cs="Arial" w:hint="eastAsia"/>
        </w:rPr>
        <w:t>影响</w:t>
      </w:r>
      <w:r>
        <w:rPr>
          <w:rFonts w:eastAsia="楷体" w:hAnsi="楷体" w:cs="Arial" w:hint="eastAsia"/>
        </w:rPr>
        <w:t>可能性</w:t>
      </w:r>
      <w:r w:rsidRPr="003A5519">
        <w:rPr>
          <w:rFonts w:eastAsia="楷体" w:hAnsi="楷体" w:cs="Arial" w:hint="eastAsia"/>
        </w:rPr>
        <w:t>不大。欧元区二季度</w:t>
      </w:r>
      <w:r w:rsidRPr="003A5519">
        <w:rPr>
          <w:rFonts w:eastAsia="楷体" w:cs="Arial"/>
        </w:rPr>
        <w:t>GDP</w:t>
      </w:r>
      <w:r w:rsidRPr="003A5519">
        <w:rPr>
          <w:rFonts w:eastAsia="楷体" w:hAnsi="楷体" w:cs="Arial" w:hint="eastAsia"/>
        </w:rPr>
        <w:t>初值环比持平，同比增长</w:t>
      </w:r>
      <w:r w:rsidRPr="003A5519">
        <w:rPr>
          <w:rFonts w:eastAsia="楷体" w:cs="Arial"/>
        </w:rPr>
        <w:t>0.7%</w:t>
      </w:r>
      <w:r>
        <w:rPr>
          <w:rFonts w:eastAsia="楷体" w:hAnsi="楷体" w:cs="Arial" w:hint="eastAsia"/>
        </w:rPr>
        <w:t>；</w:t>
      </w:r>
      <w:r w:rsidRPr="003A5519">
        <w:rPr>
          <w:rFonts w:eastAsia="楷体" w:cs="Arial"/>
        </w:rPr>
        <w:t>7</w:t>
      </w:r>
      <w:r w:rsidRPr="003A5519">
        <w:rPr>
          <w:rFonts w:eastAsia="楷体" w:hAnsi="楷体" w:cs="Arial" w:hint="eastAsia"/>
        </w:rPr>
        <w:t>月</w:t>
      </w:r>
      <w:r w:rsidRPr="003A5519">
        <w:rPr>
          <w:rFonts w:eastAsia="楷体" w:cs="Arial"/>
        </w:rPr>
        <w:t>CPI</w:t>
      </w:r>
      <w:r w:rsidRPr="003A5519">
        <w:rPr>
          <w:rFonts w:eastAsia="楷体" w:hAnsi="楷体" w:cs="Arial" w:hint="eastAsia"/>
        </w:rPr>
        <w:t>终值同比增长仅</w:t>
      </w:r>
      <w:r w:rsidRPr="003A5519">
        <w:rPr>
          <w:rFonts w:eastAsia="楷体" w:cs="Arial"/>
        </w:rPr>
        <w:t>0.4%</w:t>
      </w:r>
      <w:r w:rsidRPr="003A5519">
        <w:rPr>
          <w:rFonts w:eastAsia="楷体" w:hAnsi="楷体" w:cs="Arial" w:hint="eastAsia"/>
        </w:rPr>
        <w:t>，创近</w:t>
      </w:r>
      <w:r w:rsidRPr="003A5519">
        <w:rPr>
          <w:rFonts w:eastAsia="楷体" w:cs="Arial"/>
        </w:rPr>
        <w:t>5</w:t>
      </w:r>
      <w:r w:rsidRPr="003A5519">
        <w:rPr>
          <w:rFonts w:eastAsia="楷体" w:hAnsi="楷体" w:cs="Arial" w:hint="eastAsia"/>
        </w:rPr>
        <w:t>年新低。短期欧洲复苏进程曲折。新兴国家则在美央行保持低利率的环境下迎来投资时间窗口。上交所已开始</w:t>
      </w:r>
      <w:r w:rsidRPr="003A5519">
        <w:rPr>
          <w:rFonts w:eastAsia="楷体" w:cs="Arial"/>
        </w:rPr>
        <w:t>“</w:t>
      </w:r>
      <w:r w:rsidRPr="003A5519">
        <w:rPr>
          <w:rFonts w:eastAsia="楷体" w:hAnsi="楷体" w:cs="Arial" w:hint="eastAsia"/>
        </w:rPr>
        <w:t>港股通</w:t>
      </w:r>
      <w:r w:rsidRPr="003A5519">
        <w:rPr>
          <w:rFonts w:eastAsia="楷体" w:cs="Arial"/>
        </w:rPr>
        <w:t>”</w:t>
      </w:r>
      <w:r w:rsidRPr="003A5519">
        <w:rPr>
          <w:rFonts w:eastAsia="楷体" w:hAnsi="楷体" w:cs="Arial" w:hint="eastAsia"/>
        </w:rPr>
        <w:t>的测试阶段，将在流动性方面对港股起到</w:t>
      </w:r>
      <w:r w:rsidRPr="003A5519">
        <w:rPr>
          <w:rFonts w:eastAsia="楷体" w:cs="Arial"/>
        </w:rPr>
        <w:t>“</w:t>
      </w:r>
      <w:r w:rsidRPr="003A5519">
        <w:rPr>
          <w:rFonts w:eastAsia="楷体" w:hAnsi="楷体" w:cs="Arial" w:hint="eastAsia"/>
        </w:rPr>
        <w:t>催化剂</w:t>
      </w:r>
      <w:r w:rsidRPr="003A5519">
        <w:rPr>
          <w:rFonts w:eastAsia="楷体" w:cs="Arial"/>
        </w:rPr>
        <w:t>”</w:t>
      </w:r>
      <w:r w:rsidRPr="003A5519">
        <w:rPr>
          <w:rFonts w:eastAsia="楷体" w:hAnsi="楷体" w:cs="Arial" w:hint="eastAsia"/>
        </w:rPr>
        <w:t>作用；港股直通车将在</w:t>
      </w:r>
      <w:r w:rsidRPr="003A5519">
        <w:rPr>
          <w:rFonts w:eastAsia="楷体" w:cs="Arial"/>
        </w:rPr>
        <w:t>10</w:t>
      </w:r>
      <w:r w:rsidRPr="003A5519">
        <w:rPr>
          <w:rFonts w:eastAsia="楷体" w:hAnsi="楷体" w:cs="Arial" w:hint="eastAsia"/>
        </w:rPr>
        <w:t>月启动，届时香港市场有望继续吸引大量合格投资者加入</w:t>
      </w:r>
      <w:r>
        <w:rPr>
          <w:rFonts w:eastAsia="楷体" w:hAnsi="楷体" w:cs="Arial" w:hint="eastAsia"/>
        </w:rPr>
        <w:t>。凯石工场依旧建议“美股美房</w:t>
      </w:r>
      <w:r>
        <w:rPr>
          <w:rFonts w:eastAsia="楷体" w:hAnsi="楷体" w:cs="Arial"/>
        </w:rPr>
        <w:t>+</w:t>
      </w:r>
      <w:r>
        <w:rPr>
          <w:rFonts w:eastAsia="楷体" w:hAnsi="楷体" w:cs="Arial" w:hint="eastAsia"/>
        </w:rPr>
        <w:t>香港市场”的</w:t>
      </w:r>
      <w:r>
        <w:rPr>
          <w:rFonts w:eastAsia="楷体" w:hAnsi="楷体" w:cs="Arial"/>
        </w:rPr>
        <w:t>QDII</w:t>
      </w:r>
      <w:r>
        <w:rPr>
          <w:rFonts w:eastAsia="楷体" w:hAnsi="楷体" w:cs="Arial" w:hint="eastAsia"/>
        </w:rPr>
        <w:t>基金核心配置。</w:t>
      </w:r>
    </w:p>
    <w:p w:rsidR="00EC7A20" w:rsidRPr="003A5519" w:rsidRDefault="00EC7A20" w:rsidP="00A6686B">
      <w:pPr>
        <w:pStyle w:val="BodyText"/>
        <w:numPr>
          <w:ilvl w:val="4"/>
          <w:numId w:val="1"/>
        </w:numPr>
        <w:spacing w:after="163"/>
        <w:rPr>
          <w:rFonts w:eastAsia="楷体" w:cs="Arial"/>
          <w:szCs w:val="21"/>
        </w:rPr>
      </w:pPr>
      <w:r>
        <w:rPr>
          <w:rFonts w:eastAsia="楷体" w:hAnsi="楷体" w:cs="Arial" w:hint="eastAsia"/>
        </w:rPr>
        <w:t>国内债市方面，</w:t>
      </w:r>
      <w:r w:rsidRPr="003A5519">
        <w:rPr>
          <w:rFonts w:eastAsia="楷体" w:hAnsi="楷体" w:cs="Arial" w:hint="eastAsia"/>
        </w:rPr>
        <w:t>现阶段随着经济数据的相对趋弱，市场对于整体复苏形势的信心也略显不足，不过在稳增长政策的保驾护航下，风险短期内爆发的可能性依旧较低，这种现实情况与政策措施的博弈将会继续延续。本周将迎来我国的中秋节假期，资金面有可能会短暂波动，不过由于货币政策适度宽松的方向不会改变，央行应当会提前着手布局，因此对于流动性不必太过担忧。综合考虑影响债市的多方面因素，我们认为债券市场的趋势性行情已经逝去，在利多利空因素的反复较量下，将会上演一轮震荡波动行情，因此建议筛选对于个券或是时机把握能力较强的基金品种，在波动中把握投资机会，投资方向的选择上继续建议关注风险相对较低的城投债和高等级产业债投资比例较高的基金。</w:t>
      </w:r>
    </w:p>
    <w:p w:rsidR="00EC7A20" w:rsidRPr="003A5519" w:rsidRDefault="00EC7A20" w:rsidP="00AA5077">
      <w:pPr>
        <w:pStyle w:val="BodyText"/>
        <w:numPr>
          <w:ilvl w:val="4"/>
          <w:numId w:val="1"/>
        </w:numPr>
        <w:spacing w:after="163"/>
        <w:rPr>
          <w:rFonts w:eastAsia="楷体" w:cs="Arial"/>
        </w:rPr>
      </w:pPr>
      <w:r>
        <w:rPr>
          <w:rFonts w:eastAsia="楷体" w:hAnsi="楷体" w:cs="Arial" w:hint="eastAsia"/>
        </w:rPr>
        <w:t>聚焦</w:t>
      </w:r>
      <w:r>
        <w:rPr>
          <w:rFonts w:eastAsia="楷体" w:hAnsi="楷体" w:cs="Arial"/>
        </w:rPr>
        <w:t>A</w:t>
      </w:r>
      <w:r>
        <w:rPr>
          <w:rFonts w:eastAsia="楷体" w:hAnsi="楷体" w:cs="Arial" w:hint="eastAsia"/>
        </w:rPr>
        <w:t>股市场，</w:t>
      </w:r>
      <w:r w:rsidRPr="003A5519">
        <w:rPr>
          <w:rFonts w:eastAsia="楷体" w:hAnsi="楷体" w:cs="Arial" w:hint="eastAsia"/>
        </w:rPr>
        <w:t>在企稳复苏面临考验的背景下，近期定向调控政策再度出台。货币政策方面，央行针对</w:t>
      </w:r>
      <w:r w:rsidRPr="003A5519">
        <w:rPr>
          <w:rFonts w:eastAsia="楷体" w:cs="Arial"/>
        </w:rPr>
        <w:t>“</w:t>
      </w:r>
      <w:r w:rsidRPr="003A5519">
        <w:rPr>
          <w:rFonts w:eastAsia="楷体" w:hAnsi="楷体" w:cs="Arial" w:hint="eastAsia"/>
        </w:rPr>
        <w:t>三农</w:t>
      </w:r>
      <w:r w:rsidRPr="003A5519">
        <w:rPr>
          <w:rFonts w:eastAsia="楷体" w:cs="Arial"/>
        </w:rPr>
        <w:t>”</w:t>
      </w:r>
      <w:r w:rsidRPr="003A5519">
        <w:rPr>
          <w:rFonts w:eastAsia="楷体" w:hAnsi="楷体" w:cs="Arial" w:hint="eastAsia"/>
        </w:rPr>
        <w:t>实施定向降息，财政政策及改革领域，国务院提出加快推进</w:t>
      </w:r>
      <w:r w:rsidRPr="003A5519">
        <w:rPr>
          <w:rFonts w:eastAsia="楷体" w:cs="Arial"/>
        </w:rPr>
        <w:t>“</w:t>
      </w:r>
      <w:r w:rsidRPr="003A5519">
        <w:rPr>
          <w:rFonts w:eastAsia="楷体" w:hAnsi="楷体" w:cs="Arial" w:hint="eastAsia"/>
        </w:rPr>
        <w:t>补短板</w:t>
      </w:r>
      <w:r w:rsidRPr="003A5519">
        <w:rPr>
          <w:rFonts w:eastAsia="楷体" w:cs="Arial"/>
        </w:rPr>
        <w:t>”</w:t>
      </w:r>
      <w:r w:rsidRPr="003A5519">
        <w:rPr>
          <w:rFonts w:eastAsia="楷体" w:hAnsi="楷体" w:cs="Arial" w:hint="eastAsia"/>
        </w:rPr>
        <w:t>工程建设，推进简政放权以及国企改革。整体来看，定向宽松、微刺激托底的政策趋向未变，但目前措施力度相对有限。预计未来市场走势将在经济数据、宽松预期、调控措施三因素影响下展开震荡。偏股基金投资宜保持稳健，以静制动。一方面以仓位水平适中、行业配置相对均衡、管理能力突出的产品作为核心配置品种。其次行业配置方向上，建议适度关注符合经济结构转型要求、具备业绩防御性的消费、公共服务板块产品以及代表产业升级方向的新兴产业、成长型基金。此外伴随国企改革的逐步深入，相关投资机会可通过选股能力突出、操作灵活的主题型产品或是配置方向明确的行业型产品予以介入。</w:t>
      </w:r>
    </w:p>
    <w:p w:rsidR="00EC7A20" w:rsidRPr="005B7CDB" w:rsidRDefault="00EC7A20" w:rsidP="006A5488">
      <w:pPr>
        <w:widowControl/>
        <w:spacing w:after="120"/>
        <w:ind w:left="3430"/>
        <w:rPr>
          <w:rFonts w:ascii="楷体" w:eastAsia="楷体" w:hAnsi="楷体"/>
          <w:b/>
          <w:bCs/>
          <w:color w:val="0070C0"/>
          <w:kern w:val="0"/>
          <w:sz w:val="24"/>
          <w:szCs w:val="20"/>
          <w:lang w:val="en-GB"/>
        </w:rPr>
      </w:pPr>
      <w:r w:rsidRPr="005B7CDB">
        <w:rPr>
          <w:rFonts w:ascii="楷体" w:eastAsia="楷体" w:hAnsi="楷体" w:hint="eastAsia"/>
          <w:b/>
          <w:bCs/>
          <w:color w:val="0070C0"/>
          <w:kern w:val="0"/>
          <w:sz w:val="24"/>
          <w:szCs w:val="20"/>
          <w:lang w:val="en-GB"/>
        </w:rPr>
        <w:t>公募基金一周业绩：</w:t>
      </w:r>
    </w:p>
    <w:p w:rsidR="00EC7A20" w:rsidRPr="00EE366B" w:rsidRDefault="00EC7A20" w:rsidP="00EE366B">
      <w:pPr>
        <w:widowControl/>
        <w:spacing w:after="120"/>
        <w:ind w:left="3430"/>
        <w:rPr>
          <w:rFonts w:ascii="楷体" w:eastAsia="楷体" w:hAnsi="楷体"/>
          <w:b/>
          <w:bCs/>
          <w:color w:val="0070C0"/>
          <w:kern w:val="0"/>
          <w:szCs w:val="21"/>
          <w:lang w:val="en-GB"/>
        </w:rPr>
      </w:pPr>
      <w:r w:rsidRPr="005B7CDB">
        <w:rPr>
          <w:rFonts w:ascii="楷体" w:eastAsia="楷体" w:hAnsi="楷体" w:hint="eastAsia"/>
          <w:b/>
          <w:bCs/>
          <w:color w:val="0070C0"/>
          <w:kern w:val="0"/>
          <w:szCs w:val="21"/>
          <w:lang w:val="en-GB"/>
        </w:rPr>
        <w:t>国内外股市一周表现：</w:t>
      </w:r>
      <w:r w:rsidRPr="005B7CDB">
        <w:rPr>
          <w:rFonts w:ascii="楷体" w:eastAsia="楷体" w:hAnsi="楷体"/>
          <w:b/>
          <w:bCs/>
          <w:color w:val="0070C0"/>
          <w:kern w:val="0"/>
          <w:szCs w:val="21"/>
          <w:lang w:val="en-GB"/>
        </w:rPr>
        <w:t xml:space="preserve"> </w:t>
      </w:r>
      <w:r>
        <w:rPr>
          <w:rFonts w:ascii="楷体" w:eastAsia="楷体" w:hAnsi="楷体" w:hint="eastAsia"/>
          <w:b/>
          <w:bCs/>
          <w:color w:val="0070C0"/>
          <w:kern w:val="0"/>
          <w:szCs w:val="21"/>
          <w:lang w:val="en-GB"/>
        </w:rPr>
        <w:t>国内不同层次下跌</w:t>
      </w:r>
      <w:r>
        <w:rPr>
          <w:rFonts w:ascii="楷体" w:eastAsia="楷体" w:hAnsi="楷体"/>
          <w:b/>
          <w:bCs/>
          <w:color w:val="0070C0"/>
          <w:kern w:val="0"/>
          <w:szCs w:val="21"/>
          <w:lang w:val="en-GB"/>
        </w:rPr>
        <w:t xml:space="preserve"> </w:t>
      </w:r>
      <w:r>
        <w:rPr>
          <w:rFonts w:ascii="楷体" w:eastAsia="楷体" w:hAnsi="楷体" w:hint="eastAsia"/>
          <w:b/>
          <w:bCs/>
          <w:color w:val="0070C0"/>
          <w:kern w:val="0"/>
          <w:szCs w:val="21"/>
          <w:lang w:val="en-GB"/>
        </w:rPr>
        <w:t>海外小幅收涨</w:t>
      </w:r>
    </w:p>
    <w:p w:rsidR="00EC7A20" w:rsidRPr="00AC5743" w:rsidRDefault="00EC7A20" w:rsidP="00E21164">
      <w:pPr>
        <w:pStyle w:val="BodyText"/>
        <w:numPr>
          <w:ilvl w:val="4"/>
          <w:numId w:val="1"/>
        </w:numPr>
        <w:spacing w:after="163"/>
        <w:rPr>
          <w:rFonts w:eastAsia="楷体" w:cs="Arial"/>
          <w:szCs w:val="21"/>
        </w:rPr>
      </w:pPr>
      <w:r w:rsidRPr="00AC5743">
        <w:rPr>
          <w:rFonts w:eastAsia="楷体" w:hAnsi="楷体" w:cs="Arial" w:hint="eastAsia"/>
          <w:szCs w:val="21"/>
        </w:rPr>
        <w:t>截至</w:t>
      </w:r>
      <w:r w:rsidRPr="00AC5743">
        <w:rPr>
          <w:rFonts w:eastAsia="楷体" w:cs="Arial"/>
          <w:szCs w:val="21"/>
        </w:rPr>
        <w:t>8</w:t>
      </w:r>
      <w:r w:rsidRPr="00AC5743">
        <w:rPr>
          <w:rFonts w:eastAsia="楷体" w:hAnsi="楷体" w:cs="Arial" w:hint="eastAsia"/>
          <w:szCs w:val="21"/>
        </w:rPr>
        <w:t>月</w:t>
      </w:r>
      <w:r w:rsidRPr="00AC5743">
        <w:rPr>
          <w:rFonts w:eastAsia="楷体" w:cs="Arial"/>
          <w:szCs w:val="21"/>
        </w:rPr>
        <w:t>29</w:t>
      </w:r>
      <w:r w:rsidRPr="00AC5743">
        <w:rPr>
          <w:rFonts w:eastAsia="楷体" w:hAnsi="楷体" w:cs="Arial" w:hint="eastAsia"/>
          <w:szCs w:val="21"/>
        </w:rPr>
        <w:t>日的一周，大盘未能继续乘势向上，一度跌破</w:t>
      </w:r>
      <w:r w:rsidRPr="00AC5743">
        <w:rPr>
          <w:rFonts w:eastAsia="楷体" w:cs="Arial"/>
          <w:szCs w:val="21"/>
        </w:rPr>
        <w:t>2200</w:t>
      </w:r>
      <w:r w:rsidRPr="00AC5743">
        <w:rPr>
          <w:rFonts w:eastAsia="楷体" w:hAnsi="楷体" w:cs="Arial" w:hint="eastAsia"/>
          <w:szCs w:val="21"/>
        </w:rPr>
        <w:t>点，上证综指一路下挫，周跌</w:t>
      </w:r>
      <w:r w:rsidRPr="00AC5743">
        <w:rPr>
          <w:rFonts w:eastAsia="楷体" w:cs="Arial"/>
          <w:szCs w:val="21"/>
        </w:rPr>
        <w:t>1.05%</w:t>
      </w:r>
      <w:r w:rsidRPr="00AC5743">
        <w:rPr>
          <w:rFonts w:eastAsia="楷体" w:hAnsi="楷体" w:cs="Arial" w:hint="eastAsia"/>
          <w:szCs w:val="21"/>
        </w:rPr>
        <w:t>，沪深</w:t>
      </w:r>
      <w:r w:rsidRPr="00AC5743">
        <w:rPr>
          <w:rFonts w:eastAsia="楷体" w:cs="Arial"/>
          <w:szCs w:val="21"/>
        </w:rPr>
        <w:t>300</w:t>
      </w:r>
      <w:r w:rsidRPr="00AC5743">
        <w:rPr>
          <w:rFonts w:eastAsia="楷体" w:hAnsi="楷体" w:cs="Arial" w:hint="eastAsia"/>
          <w:szCs w:val="21"/>
        </w:rPr>
        <w:t>周跌</w:t>
      </w:r>
      <w:r w:rsidRPr="00AC5743">
        <w:rPr>
          <w:rFonts w:eastAsia="楷体" w:cs="Arial"/>
          <w:szCs w:val="21"/>
        </w:rPr>
        <w:t>1.14%</w:t>
      </w:r>
      <w:r w:rsidRPr="00AC5743">
        <w:rPr>
          <w:rFonts w:eastAsia="楷体" w:hAnsi="楷体" w:cs="Arial" w:hint="eastAsia"/>
          <w:szCs w:val="21"/>
        </w:rPr>
        <w:t>，中小板指和创业板指分别下跌</w:t>
      </w:r>
      <w:r w:rsidRPr="00AC5743">
        <w:rPr>
          <w:rFonts w:eastAsia="楷体" w:cs="Arial"/>
          <w:szCs w:val="21"/>
        </w:rPr>
        <w:t>1.04%</w:t>
      </w:r>
      <w:r w:rsidRPr="00AC5743">
        <w:rPr>
          <w:rFonts w:eastAsia="楷体" w:hAnsi="楷体" w:cs="Arial" w:hint="eastAsia"/>
          <w:szCs w:val="21"/>
        </w:rPr>
        <w:t>和</w:t>
      </w:r>
      <w:r w:rsidRPr="00AC5743">
        <w:rPr>
          <w:rFonts w:eastAsia="楷体" w:cs="Arial"/>
          <w:szCs w:val="21"/>
        </w:rPr>
        <w:t>2.55%</w:t>
      </w:r>
      <w:r w:rsidRPr="00AC5743">
        <w:rPr>
          <w:rFonts w:eastAsia="楷体" w:hAnsi="楷体" w:cs="Arial" w:hint="eastAsia"/>
          <w:szCs w:val="21"/>
        </w:rPr>
        <w:t>。经济数据方面，上周四，央行公开市场进行</w:t>
      </w:r>
      <w:r w:rsidRPr="00AC5743">
        <w:rPr>
          <w:rFonts w:eastAsia="楷体" w:cs="Arial"/>
          <w:szCs w:val="21"/>
        </w:rPr>
        <w:t>100</w:t>
      </w:r>
      <w:r w:rsidRPr="00AC5743">
        <w:rPr>
          <w:rFonts w:eastAsia="楷体" w:hAnsi="楷体" w:cs="Arial" w:hint="eastAsia"/>
          <w:szCs w:val="21"/>
        </w:rPr>
        <w:t>亿元人民币正回购操作，净投放资金达</w:t>
      </w:r>
      <w:r w:rsidRPr="00AC5743">
        <w:rPr>
          <w:rFonts w:eastAsia="楷体" w:cs="Arial"/>
          <w:szCs w:val="21"/>
        </w:rPr>
        <w:t>450</w:t>
      </w:r>
      <w:r w:rsidRPr="00AC5743">
        <w:rPr>
          <w:rFonts w:eastAsia="楷体" w:hAnsi="楷体" w:cs="Arial" w:hint="eastAsia"/>
          <w:szCs w:val="21"/>
        </w:rPr>
        <w:t>亿，投放金额相比前两周明显增加，然而新股申购却致使银行间市场利率小幅上升。</w:t>
      </w:r>
      <w:r w:rsidRPr="00AC5743">
        <w:rPr>
          <w:rFonts w:eastAsia="楷体" w:cs="Arial"/>
          <w:szCs w:val="21"/>
        </w:rPr>
        <w:t>29</w:t>
      </w:r>
      <w:r w:rsidRPr="00AC5743">
        <w:rPr>
          <w:rFonts w:eastAsia="楷体" w:hAnsi="楷体" w:cs="Arial" w:hint="eastAsia"/>
          <w:szCs w:val="21"/>
        </w:rPr>
        <w:t>个中信一级行业除石油石化涨幅稳定，国防军工涨幅收窄，其他</w:t>
      </w:r>
      <w:r w:rsidRPr="00AC5743">
        <w:rPr>
          <w:rFonts w:eastAsia="楷体" w:cs="Arial"/>
          <w:szCs w:val="21"/>
        </w:rPr>
        <w:t>27</w:t>
      </w:r>
      <w:r w:rsidRPr="00AC5743">
        <w:rPr>
          <w:rFonts w:eastAsia="楷体" w:hAnsi="楷体" w:cs="Arial" w:hint="eastAsia"/>
          <w:szCs w:val="21"/>
        </w:rPr>
        <w:t>个行业均出现不同程度的下跌，前周涨幅第一的传媒行业跌幅最大，为</w:t>
      </w:r>
      <w:r w:rsidRPr="00AC5743">
        <w:rPr>
          <w:rFonts w:eastAsia="楷体" w:cs="Arial"/>
          <w:szCs w:val="21"/>
        </w:rPr>
        <w:t>4.68%</w:t>
      </w:r>
      <w:r w:rsidRPr="00AC5743">
        <w:rPr>
          <w:rFonts w:eastAsia="楷体" w:hAnsi="楷体" w:cs="Arial" w:hint="eastAsia"/>
          <w:szCs w:val="21"/>
        </w:rPr>
        <w:t>。大部分行业的跌幅在</w:t>
      </w:r>
      <w:r w:rsidRPr="00AC5743">
        <w:rPr>
          <w:rFonts w:eastAsia="楷体" w:cs="Arial"/>
          <w:szCs w:val="21"/>
        </w:rPr>
        <w:t>1%-3%</w:t>
      </w:r>
      <w:r w:rsidRPr="00AC5743">
        <w:rPr>
          <w:rFonts w:eastAsia="楷体" w:hAnsi="楷体" w:cs="Arial" w:hint="eastAsia"/>
          <w:szCs w:val="21"/>
        </w:rPr>
        <w:t>之间。</w:t>
      </w:r>
    </w:p>
    <w:p w:rsidR="00EC7A20" w:rsidRPr="00AC5743" w:rsidRDefault="00EC7A20" w:rsidP="00877D02">
      <w:pPr>
        <w:pStyle w:val="BodyText"/>
        <w:numPr>
          <w:ilvl w:val="4"/>
          <w:numId w:val="1"/>
        </w:numPr>
        <w:spacing w:after="163"/>
        <w:rPr>
          <w:rFonts w:eastAsia="楷体" w:cs="Arial"/>
          <w:szCs w:val="21"/>
        </w:rPr>
      </w:pPr>
      <w:r w:rsidRPr="00AC5743">
        <w:rPr>
          <w:rFonts w:eastAsia="楷体" w:cs="Arial" w:hint="eastAsia"/>
        </w:rPr>
        <w:t>海</w:t>
      </w:r>
      <w:r>
        <w:rPr>
          <w:rFonts w:eastAsia="楷体" w:hAnsi="楷体" w:cs="Arial" w:hint="eastAsia"/>
          <w:szCs w:val="21"/>
        </w:rPr>
        <w:t>外市场</w:t>
      </w:r>
      <w:r w:rsidRPr="00AC5743">
        <w:rPr>
          <w:rFonts w:eastAsia="楷体" w:hAnsi="楷体" w:cs="Arial" w:hint="eastAsia"/>
          <w:szCs w:val="21"/>
        </w:rPr>
        <w:t>（</w:t>
      </w:r>
      <w:r w:rsidRPr="00AC5743">
        <w:rPr>
          <w:rFonts w:eastAsia="楷体" w:cs="Arial"/>
          <w:szCs w:val="21"/>
        </w:rPr>
        <w:t>2014.08.22~2014.08.28</w:t>
      </w:r>
      <w:r w:rsidRPr="00AC5743">
        <w:rPr>
          <w:rFonts w:eastAsia="楷体" w:hAnsi="楷体" w:cs="Arial" w:hint="eastAsia"/>
          <w:szCs w:val="21"/>
        </w:rPr>
        <w:t>）整体小幅收涨。美国二季度</w:t>
      </w:r>
      <w:r w:rsidRPr="00AC5743">
        <w:rPr>
          <w:rFonts w:eastAsia="楷体" w:cs="Arial"/>
          <w:szCs w:val="21"/>
        </w:rPr>
        <w:t>GDP</w:t>
      </w:r>
      <w:r w:rsidRPr="00AC5743">
        <w:rPr>
          <w:rFonts w:eastAsia="楷体" w:hAnsi="楷体" w:cs="Arial" w:hint="eastAsia"/>
          <w:szCs w:val="21"/>
        </w:rPr>
        <w:t>等数据强于预期</w:t>
      </w:r>
      <w:r>
        <w:rPr>
          <w:rFonts w:eastAsia="楷体" w:hAnsi="楷体" w:cs="Arial" w:hint="eastAsia"/>
          <w:szCs w:val="21"/>
        </w:rPr>
        <w:t>，市场表现</w:t>
      </w:r>
      <w:r w:rsidRPr="00AC5743">
        <w:rPr>
          <w:rFonts w:eastAsia="楷体" w:hAnsi="楷体" w:cs="Arial" w:hint="eastAsia"/>
          <w:szCs w:val="21"/>
        </w:rPr>
        <w:t>积极，道琼斯工业指数</w:t>
      </w:r>
      <w:r w:rsidRPr="00AC5743">
        <w:rPr>
          <w:rFonts w:eastAsia="楷体" w:cs="Arial"/>
          <w:szCs w:val="21"/>
        </w:rPr>
        <w:t>,</w:t>
      </w:r>
      <w:r w:rsidRPr="00AC5743">
        <w:rPr>
          <w:rFonts w:eastAsia="楷体" w:hAnsi="楷体" w:cs="Arial" w:hint="eastAsia"/>
          <w:szCs w:val="21"/>
        </w:rPr>
        <w:t>标普</w:t>
      </w:r>
      <w:r w:rsidRPr="00AC5743">
        <w:rPr>
          <w:rFonts w:eastAsia="楷体" w:cs="Arial"/>
          <w:szCs w:val="21"/>
        </w:rPr>
        <w:t>500</w:t>
      </w:r>
      <w:r w:rsidRPr="00AC5743">
        <w:rPr>
          <w:rFonts w:eastAsia="楷体" w:hAnsi="楷体" w:cs="Arial" w:hint="eastAsia"/>
          <w:szCs w:val="21"/>
        </w:rPr>
        <w:t>和纳斯达克</w:t>
      </w:r>
      <w:r w:rsidRPr="00AC5743">
        <w:rPr>
          <w:rFonts w:eastAsia="楷体" w:cs="Arial"/>
          <w:szCs w:val="21"/>
        </w:rPr>
        <w:t>100</w:t>
      </w:r>
      <w:r w:rsidRPr="00AC5743">
        <w:rPr>
          <w:rFonts w:eastAsia="楷体" w:hAnsi="楷体" w:cs="Arial" w:hint="eastAsia"/>
          <w:szCs w:val="21"/>
        </w:rPr>
        <w:t>涨幅分别为</w:t>
      </w:r>
      <w:r w:rsidRPr="00AC5743">
        <w:rPr>
          <w:rFonts w:eastAsia="楷体" w:cs="Arial"/>
          <w:szCs w:val="21"/>
        </w:rPr>
        <w:t>0.24%</w:t>
      </w:r>
      <w:r w:rsidRPr="00AC5743">
        <w:rPr>
          <w:rFonts w:eastAsia="楷体" w:hAnsi="楷体" w:cs="Arial" w:hint="eastAsia"/>
          <w:szCs w:val="21"/>
        </w:rPr>
        <w:t>，</w:t>
      </w:r>
      <w:r w:rsidRPr="00AC5743">
        <w:rPr>
          <w:rFonts w:eastAsia="楷体" w:cs="Arial"/>
          <w:szCs w:val="21"/>
        </w:rPr>
        <w:t>0.22%</w:t>
      </w:r>
      <w:r w:rsidRPr="00AC5743">
        <w:rPr>
          <w:rFonts w:eastAsia="楷体" w:hAnsi="楷体" w:cs="Arial" w:hint="eastAsia"/>
          <w:szCs w:val="21"/>
        </w:rPr>
        <w:t>和</w:t>
      </w:r>
      <w:r w:rsidRPr="00AC5743">
        <w:rPr>
          <w:rFonts w:eastAsia="楷体" w:cs="Arial"/>
          <w:szCs w:val="21"/>
        </w:rPr>
        <w:t>0.48%</w:t>
      </w:r>
      <w:r w:rsidRPr="00AC5743">
        <w:rPr>
          <w:rFonts w:eastAsia="楷体" w:hAnsi="楷体" w:cs="Arial" w:hint="eastAsia"/>
          <w:szCs w:val="21"/>
        </w:rPr>
        <w:t>。美股上周整体维持高位震荡的格局，</w:t>
      </w:r>
      <w:r>
        <w:rPr>
          <w:rFonts w:eastAsia="楷体" w:hAnsi="楷体" w:cs="Arial" w:hint="eastAsia"/>
          <w:szCs w:val="21"/>
        </w:rPr>
        <w:t>然而由于近期美股超涨、俄乌局势又</w:t>
      </w:r>
      <w:r w:rsidRPr="00AC5743">
        <w:rPr>
          <w:rFonts w:eastAsia="楷体" w:hAnsi="楷体" w:cs="Arial" w:hint="eastAsia"/>
          <w:szCs w:val="21"/>
        </w:rPr>
        <w:t>趋于紧张</w:t>
      </w:r>
      <w:r>
        <w:rPr>
          <w:rFonts w:eastAsia="楷体" w:hAnsi="楷体" w:cs="Arial" w:hint="eastAsia"/>
          <w:szCs w:val="21"/>
        </w:rPr>
        <w:t>，</w:t>
      </w:r>
      <w:r w:rsidRPr="00AC5743">
        <w:rPr>
          <w:rFonts w:eastAsia="楷体" w:hAnsi="楷体" w:cs="Arial" w:hint="eastAsia"/>
          <w:szCs w:val="21"/>
        </w:rPr>
        <w:t>影响投资者情绪，美股面临回调压力。欧洲方面，欧洲央行宽松措施受投资者瞩目，股市整体延续着前期的较好表现。</w:t>
      </w:r>
    </w:p>
    <w:tbl>
      <w:tblPr>
        <w:tblW w:w="0" w:type="auto"/>
        <w:tblLayout w:type="fixed"/>
        <w:tblCellMar>
          <w:left w:w="0" w:type="dxa"/>
          <w:right w:w="0" w:type="dxa"/>
        </w:tblCellMar>
        <w:tblLook w:val="0000"/>
      </w:tblPr>
      <w:tblGrid>
        <w:gridCol w:w="5103"/>
        <w:gridCol w:w="142"/>
        <w:gridCol w:w="5413"/>
      </w:tblGrid>
      <w:tr w:rsidR="00EC7A20" w:rsidRPr="00BA6F16" w:rsidTr="00970AE1">
        <w:trPr>
          <w:cantSplit/>
          <w:trHeight w:val="368"/>
        </w:trPr>
        <w:tc>
          <w:tcPr>
            <w:tcW w:w="5103" w:type="dxa"/>
            <w:tcBorders>
              <w:top w:val="single" w:sz="6" w:space="0" w:color="FF6600"/>
              <w:bottom w:val="single" w:sz="6" w:space="0" w:color="FF6600"/>
            </w:tcBorders>
            <w:vAlign w:val="center"/>
          </w:tcPr>
          <w:p w:rsidR="00EC7A20" w:rsidRPr="00057142" w:rsidRDefault="00EC7A20" w:rsidP="00D7627F">
            <w:pPr>
              <w:pStyle w:val="SubTitleLargeTable"/>
              <w:pBdr>
                <w:top w:val="none" w:sz="0" w:space="0" w:color="auto"/>
              </w:pBdr>
              <w:rPr>
                <w:rFonts w:ascii="楷体" w:eastAsia="楷体" w:hAnsi="楷体"/>
                <w:color w:val="FF6600"/>
              </w:rPr>
            </w:pPr>
            <w:r w:rsidRPr="005B7CDB">
              <w:rPr>
                <w:rFonts w:ascii="楷体" w:eastAsia="楷体" w:hAnsi="楷体" w:hint="eastAsia"/>
                <w:color w:val="FF6600"/>
              </w:rPr>
              <w:t>图表</w:t>
            </w:r>
            <w:r w:rsidRPr="005B7CDB">
              <w:rPr>
                <w:rFonts w:ascii="楷体" w:eastAsia="楷体" w:hAnsi="楷体"/>
                <w:color w:val="FF6600"/>
              </w:rPr>
              <w:t>2</w:t>
            </w:r>
            <w:r w:rsidRPr="005B7CDB">
              <w:rPr>
                <w:rFonts w:ascii="楷体" w:eastAsia="楷体" w:hAnsi="楷体" w:hint="eastAsia"/>
                <w:color w:val="FF6600"/>
              </w:rPr>
              <w:t>：各类指数周涨跌</w:t>
            </w:r>
            <w:r>
              <w:rPr>
                <w:rFonts w:ascii="楷体" w:eastAsia="楷体" w:hAnsi="楷体"/>
                <w:color w:val="FF6600"/>
              </w:rPr>
              <w:t>(08.25~29</w:t>
            </w:r>
            <w:r w:rsidRPr="00057142">
              <w:rPr>
                <w:rFonts w:ascii="楷体" w:eastAsia="楷体" w:hAnsi="楷体" w:hint="eastAsia"/>
                <w:color w:val="FF6600"/>
              </w:rPr>
              <w:t>，海外指数</w:t>
            </w:r>
            <w:r>
              <w:rPr>
                <w:rFonts w:ascii="楷体" w:eastAsia="楷体" w:hAnsi="楷体"/>
                <w:color w:val="FF6600"/>
              </w:rPr>
              <w:t>08.22</w:t>
            </w:r>
            <w:r w:rsidRPr="00057142">
              <w:rPr>
                <w:rFonts w:ascii="楷体" w:eastAsia="楷体" w:hAnsi="楷体"/>
                <w:color w:val="FF6600"/>
              </w:rPr>
              <w:t>~</w:t>
            </w:r>
            <w:r>
              <w:rPr>
                <w:rFonts w:ascii="楷体" w:eastAsia="楷体" w:hAnsi="楷体"/>
                <w:color w:val="FF6600"/>
              </w:rPr>
              <w:t>28)</w:t>
            </w:r>
          </w:p>
        </w:tc>
        <w:tc>
          <w:tcPr>
            <w:tcW w:w="142" w:type="dxa"/>
            <w:vAlign w:val="center"/>
          </w:tcPr>
          <w:p w:rsidR="00EC7A20" w:rsidRPr="00BA6F16" w:rsidRDefault="00EC7A20" w:rsidP="003B1409">
            <w:pPr>
              <w:jc w:val="center"/>
              <w:rPr>
                <w:rFonts w:ascii="楷体" w:eastAsia="楷体" w:hAnsi="楷体"/>
              </w:rPr>
            </w:pPr>
          </w:p>
        </w:tc>
        <w:tc>
          <w:tcPr>
            <w:tcW w:w="5413" w:type="dxa"/>
            <w:tcBorders>
              <w:top w:val="single" w:sz="6" w:space="0" w:color="FF6600"/>
              <w:bottom w:val="single" w:sz="6" w:space="0" w:color="FF6600"/>
            </w:tcBorders>
            <w:vAlign w:val="center"/>
          </w:tcPr>
          <w:p w:rsidR="00EC7A20" w:rsidRPr="005B7CDB" w:rsidRDefault="00EC7A20" w:rsidP="00EF0C15">
            <w:pPr>
              <w:pStyle w:val="SubTitleLargeTable"/>
              <w:pBdr>
                <w:top w:val="none" w:sz="0" w:space="0" w:color="auto"/>
              </w:pBdr>
              <w:rPr>
                <w:rFonts w:ascii="楷体" w:eastAsia="楷体" w:hAnsi="楷体"/>
              </w:rPr>
            </w:pPr>
            <w:r w:rsidRPr="005B7CDB">
              <w:rPr>
                <w:rFonts w:ascii="楷体" w:eastAsia="楷体" w:hAnsi="楷体" w:hint="eastAsia"/>
                <w:color w:val="FF6600"/>
              </w:rPr>
              <w:t>图表</w:t>
            </w:r>
            <w:r w:rsidRPr="005B7CDB">
              <w:rPr>
                <w:rFonts w:ascii="楷体" w:eastAsia="楷体" w:hAnsi="楷体"/>
                <w:color w:val="FF6600"/>
              </w:rPr>
              <w:t>3</w:t>
            </w:r>
            <w:r w:rsidRPr="005B7CDB">
              <w:rPr>
                <w:rFonts w:ascii="楷体" w:eastAsia="楷体" w:hAnsi="楷体" w:hint="eastAsia"/>
                <w:color w:val="FF6600"/>
              </w:rPr>
              <w:t>：中信一级行业板块周涨跌（</w:t>
            </w:r>
            <w:r>
              <w:rPr>
                <w:rFonts w:ascii="楷体" w:eastAsia="楷体" w:hAnsi="楷体"/>
                <w:color w:val="FF6600"/>
              </w:rPr>
              <w:t>08.25~29</w:t>
            </w:r>
            <w:r w:rsidRPr="005B7CDB">
              <w:rPr>
                <w:rFonts w:ascii="楷体" w:eastAsia="楷体" w:hAnsi="楷体" w:hint="eastAsia"/>
                <w:color w:val="FF6600"/>
              </w:rPr>
              <w:t>）</w:t>
            </w:r>
          </w:p>
        </w:tc>
      </w:tr>
      <w:tr w:rsidR="00EC7A20" w:rsidRPr="00BA6F16" w:rsidTr="00A873A5">
        <w:trPr>
          <w:cantSplit/>
          <w:trHeight w:val="2886"/>
        </w:trPr>
        <w:tc>
          <w:tcPr>
            <w:tcW w:w="5103" w:type="dxa"/>
            <w:tcBorders>
              <w:top w:val="single" w:sz="6" w:space="0" w:color="FF6600"/>
              <w:bottom w:val="single" w:sz="6" w:space="0" w:color="FF6600"/>
            </w:tcBorders>
            <w:vAlign w:val="center"/>
          </w:tcPr>
          <w:p w:rsidR="00EC7A20" w:rsidRPr="00BA6F16" w:rsidRDefault="00EC7A20" w:rsidP="003B1409">
            <w:pPr>
              <w:jc w:val="center"/>
              <w:rPr>
                <w:rFonts w:ascii="楷体" w:eastAsia="楷体" w:hAnsi="楷体"/>
              </w:rPr>
            </w:pPr>
            <w:r w:rsidRPr="00BA6F16">
              <w:rPr>
                <w:rFonts w:ascii="楷体" w:eastAsia="楷体" w:hAnsi="楷体"/>
                <w:noProof/>
              </w:rPr>
              <w:pict>
                <v:shape id="_x0000_i1046" type="#_x0000_t75" style="width:240pt;height:136.5pt;visibility:visible">
                  <v:imagedata r:id="rId9" o:title=""/>
                </v:shape>
              </w:pict>
            </w:r>
          </w:p>
        </w:tc>
        <w:tc>
          <w:tcPr>
            <w:tcW w:w="142" w:type="dxa"/>
            <w:vAlign w:val="center"/>
          </w:tcPr>
          <w:p w:rsidR="00EC7A20" w:rsidRPr="00BA6F16" w:rsidRDefault="00EC7A20" w:rsidP="003B1409">
            <w:pPr>
              <w:jc w:val="center"/>
              <w:rPr>
                <w:rFonts w:ascii="楷体" w:eastAsia="楷体" w:hAnsi="楷体"/>
              </w:rPr>
            </w:pPr>
          </w:p>
        </w:tc>
        <w:tc>
          <w:tcPr>
            <w:tcW w:w="5413" w:type="dxa"/>
            <w:tcBorders>
              <w:top w:val="single" w:sz="6" w:space="0" w:color="FF6600"/>
              <w:bottom w:val="single" w:sz="6" w:space="0" w:color="FF6600"/>
            </w:tcBorders>
            <w:vAlign w:val="center"/>
          </w:tcPr>
          <w:p w:rsidR="00EC7A20" w:rsidRPr="00BA6F16" w:rsidRDefault="00EC7A20" w:rsidP="003B1409">
            <w:pPr>
              <w:jc w:val="center"/>
              <w:rPr>
                <w:rFonts w:ascii="楷体" w:eastAsia="楷体" w:hAnsi="楷体"/>
              </w:rPr>
            </w:pPr>
            <w:r w:rsidRPr="00BA6F16">
              <w:rPr>
                <w:rFonts w:ascii="楷体" w:eastAsia="楷体" w:hAnsi="楷体"/>
                <w:noProof/>
              </w:rPr>
              <w:pict>
                <v:shape id="图片 3" o:spid="_x0000_i1047" type="#_x0000_t75" style="width:276.75pt;height:135pt;visibility:visible">
                  <v:imagedata r:id="rId10" o:title=""/>
                </v:shape>
              </w:pict>
            </w:r>
          </w:p>
        </w:tc>
      </w:tr>
    </w:tbl>
    <w:p w:rsidR="00EC7A20" w:rsidRPr="005B7CDB" w:rsidRDefault="00EC7A20" w:rsidP="00BD0930">
      <w:pPr>
        <w:pStyle w:val="FootnoteNoline"/>
        <w:ind w:left="0"/>
        <w:jc w:val="left"/>
        <w:rPr>
          <w:rFonts w:ascii="楷体" w:eastAsia="楷体" w:hAnsi="楷体"/>
        </w:rPr>
      </w:pPr>
      <w:r w:rsidRPr="005B7CDB">
        <w:rPr>
          <w:rFonts w:ascii="楷体" w:eastAsia="楷体" w:hAnsi="楷体" w:hint="eastAsia"/>
          <w:color w:val="FF6600"/>
        </w:rPr>
        <w:t>来源：凯石财富工场</w:t>
      </w:r>
      <w:r w:rsidRPr="005B7CDB">
        <w:rPr>
          <w:rFonts w:ascii="楷体" w:eastAsia="楷体" w:hAnsi="楷体"/>
        </w:rPr>
        <w:t xml:space="preserve"> </w:t>
      </w:r>
    </w:p>
    <w:p w:rsidR="00EC7A20" w:rsidRPr="005B7CDB" w:rsidRDefault="00EC7A20" w:rsidP="00CB1BC1">
      <w:pPr>
        <w:widowControl/>
        <w:spacing w:after="120"/>
        <w:ind w:left="3430"/>
        <w:rPr>
          <w:rFonts w:ascii="楷体" w:eastAsia="楷体" w:hAnsi="楷体"/>
          <w:b/>
          <w:bCs/>
          <w:color w:val="0070C0"/>
          <w:kern w:val="0"/>
          <w:szCs w:val="21"/>
          <w:lang w:val="en-GB"/>
        </w:rPr>
      </w:pPr>
      <w:r w:rsidRPr="005B7CDB">
        <w:rPr>
          <w:rFonts w:ascii="楷体" w:eastAsia="楷体" w:hAnsi="楷体" w:hint="eastAsia"/>
          <w:b/>
          <w:bCs/>
          <w:color w:val="0070C0"/>
          <w:kern w:val="0"/>
          <w:szCs w:val="21"/>
          <w:lang w:val="en-GB"/>
        </w:rPr>
        <w:t>各类型公募基金一周业绩：</w:t>
      </w:r>
      <w:r>
        <w:rPr>
          <w:rFonts w:ascii="楷体" w:eastAsia="楷体" w:hAnsi="楷体" w:hint="eastAsia"/>
          <w:b/>
          <w:bCs/>
          <w:color w:val="0070C0"/>
          <w:kern w:val="0"/>
          <w:szCs w:val="21"/>
          <w:lang w:val="en-GB"/>
        </w:rPr>
        <w:t>权益类跌幅较大</w:t>
      </w:r>
      <w:r>
        <w:rPr>
          <w:rFonts w:ascii="楷体" w:eastAsia="楷体" w:hAnsi="楷体"/>
          <w:b/>
          <w:bCs/>
          <w:color w:val="0070C0"/>
          <w:kern w:val="0"/>
          <w:szCs w:val="21"/>
          <w:lang w:val="en-GB"/>
        </w:rPr>
        <w:t xml:space="preserve"> </w:t>
      </w:r>
      <w:r>
        <w:rPr>
          <w:rFonts w:ascii="楷体" w:eastAsia="楷体" w:hAnsi="楷体" w:hint="eastAsia"/>
          <w:b/>
          <w:bCs/>
          <w:color w:val="0070C0"/>
          <w:kern w:val="0"/>
          <w:szCs w:val="21"/>
          <w:lang w:val="en-GB"/>
        </w:rPr>
        <w:t>固定收益类上涨缓慢</w:t>
      </w:r>
    </w:p>
    <w:p w:rsidR="00EC7A20" w:rsidRPr="00E9276D" w:rsidRDefault="00EC7A20" w:rsidP="00120197">
      <w:pPr>
        <w:pStyle w:val="BodyText"/>
        <w:numPr>
          <w:ilvl w:val="4"/>
          <w:numId w:val="1"/>
        </w:numPr>
        <w:spacing w:after="163"/>
        <w:rPr>
          <w:rFonts w:eastAsia="楷体" w:cs="Arial"/>
          <w:szCs w:val="21"/>
        </w:rPr>
      </w:pPr>
      <w:r w:rsidRPr="00E9276D">
        <w:rPr>
          <w:rFonts w:eastAsia="楷体" w:hAnsi="楷体" w:cs="Arial" w:hint="eastAsia"/>
          <w:szCs w:val="21"/>
        </w:rPr>
        <w:t>上周（</w:t>
      </w:r>
      <w:r w:rsidRPr="00E9276D">
        <w:rPr>
          <w:rFonts w:eastAsia="楷体" w:cs="Arial"/>
          <w:szCs w:val="21"/>
        </w:rPr>
        <w:t>2014.08.25~2014.08.29</w:t>
      </w:r>
      <w:r w:rsidRPr="00E9276D">
        <w:rPr>
          <w:rFonts w:eastAsia="楷体" w:hAnsi="楷体" w:cs="Arial" w:hint="eastAsia"/>
          <w:szCs w:val="21"/>
        </w:rPr>
        <w:t>）由于经济数据不佳、新股发行以及月末资金紧张等多重影响，市场行情整体不如前周。由于行情反转，前周表现较好的产品在上周</w:t>
      </w:r>
      <w:r>
        <w:rPr>
          <w:rFonts w:eastAsia="楷体" w:hAnsi="楷体" w:cs="Arial" w:hint="eastAsia"/>
          <w:szCs w:val="21"/>
        </w:rPr>
        <w:t>小幅</w:t>
      </w:r>
      <w:r w:rsidRPr="00E9276D">
        <w:rPr>
          <w:rFonts w:eastAsia="楷体" w:hAnsi="楷体" w:cs="Arial" w:hint="eastAsia"/>
          <w:szCs w:val="21"/>
        </w:rPr>
        <w:t>下跌。</w:t>
      </w:r>
      <w:r>
        <w:rPr>
          <w:rFonts w:eastAsia="楷体" w:hAnsi="楷体" w:cs="Arial" w:hint="eastAsia"/>
          <w:szCs w:val="21"/>
        </w:rPr>
        <w:t>其中，</w:t>
      </w:r>
      <w:r w:rsidRPr="00E9276D">
        <w:rPr>
          <w:rFonts w:eastAsia="楷体" w:hAnsi="楷体" w:cs="Arial" w:hint="eastAsia"/>
          <w:szCs w:val="21"/>
        </w:rPr>
        <w:t>权益类基金整体下跌；债券基金小步慢行；货币市场基金微涨；</w:t>
      </w:r>
      <w:r w:rsidRPr="00E9276D">
        <w:rPr>
          <w:rFonts w:eastAsia="楷体" w:cs="Arial"/>
          <w:szCs w:val="21"/>
        </w:rPr>
        <w:t>QDII</w:t>
      </w:r>
      <w:r w:rsidRPr="00E9276D">
        <w:rPr>
          <w:rFonts w:eastAsia="楷体" w:hAnsi="楷体" w:cs="Arial" w:hint="eastAsia"/>
          <w:szCs w:val="21"/>
        </w:rPr>
        <w:t>基金（</w:t>
      </w:r>
      <w:r w:rsidRPr="00E9276D">
        <w:rPr>
          <w:rFonts w:eastAsia="楷体" w:cs="Arial"/>
          <w:szCs w:val="21"/>
        </w:rPr>
        <w:t>2014.08.22~2014.08.28</w:t>
      </w:r>
      <w:r w:rsidRPr="00E9276D">
        <w:rPr>
          <w:rFonts w:eastAsia="楷体" w:hAnsi="楷体" w:cs="Arial" w:hint="eastAsia"/>
          <w:szCs w:val="21"/>
        </w:rPr>
        <w:t>）跌多涨少，平均周收益为</w:t>
      </w:r>
      <w:r w:rsidRPr="00E9276D">
        <w:rPr>
          <w:rFonts w:eastAsia="楷体" w:cs="Arial"/>
          <w:szCs w:val="21"/>
        </w:rPr>
        <w:t>-0.09%</w:t>
      </w:r>
      <w:r w:rsidRPr="00E9276D">
        <w:rPr>
          <w:rFonts w:eastAsia="楷体" w:hAnsi="楷体" w:cs="Arial" w:hint="eastAsia"/>
          <w:szCs w:val="21"/>
        </w:rPr>
        <w:t>，领涨的多为</w:t>
      </w:r>
      <w:r w:rsidRPr="00E9276D">
        <w:rPr>
          <w:rFonts w:eastAsia="楷体" w:cs="Arial"/>
          <w:szCs w:val="21"/>
        </w:rPr>
        <w:t>QDII-</w:t>
      </w:r>
      <w:r w:rsidRPr="00E9276D">
        <w:rPr>
          <w:rFonts w:eastAsia="楷体" w:hAnsi="楷体" w:cs="Arial" w:hint="eastAsia"/>
          <w:szCs w:val="21"/>
        </w:rPr>
        <w:t>股票</w:t>
      </w:r>
      <w:r w:rsidRPr="00E9276D">
        <w:rPr>
          <w:rFonts w:eastAsia="楷体" w:cs="Arial"/>
          <w:szCs w:val="21"/>
        </w:rPr>
        <w:t>-</w:t>
      </w:r>
      <w:r w:rsidRPr="00E9276D">
        <w:rPr>
          <w:rFonts w:eastAsia="楷体" w:hAnsi="楷体" w:cs="Arial" w:hint="eastAsia"/>
          <w:szCs w:val="21"/>
        </w:rPr>
        <w:t>行业和</w:t>
      </w:r>
      <w:r w:rsidRPr="00E9276D">
        <w:rPr>
          <w:rFonts w:eastAsia="楷体" w:cs="Arial"/>
          <w:szCs w:val="21"/>
        </w:rPr>
        <w:t>QDII-</w:t>
      </w:r>
      <w:r w:rsidRPr="00E9276D">
        <w:rPr>
          <w:rFonts w:eastAsia="楷体" w:hAnsi="楷体" w:cs="Arial" w:hint="eastAsia"/>
          <w:szCs w:val="21"/>
        </w:rPr>
        <w:t>商品，美股基金表现居中。</w:t>
      </w:r>
    </w:p>
    <w:tbl>
      <w:tblPr>
        <w:tblW w:w="10772"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993"/>
        <w:gridCol w:w="1400"/>
        <w:gridCol w:w="1197"/>
        <w:gridCol w:w="946"/>
        <w:gridCol w:w="1448"/>
        <w:gridCol w:w="1197"/>
        <w:gridCol w:w="1041"/>
        <w:gridCol w:w="1353"/>
        <w:gridCol w:w="1197"/>
      </w:tblGrid>
      <w:tr w:rsidR="00EC7A20" w:rsidRPr="00BA6F16" w:rsidTr="00D7627F">
        <w:trPr>
          <w:trHeight w:val="335"/>
          <w:tblHeader/>
        </w:trPr>
        <w:tc>
          <w:tcPr>
            <w:tcW w:w="10772" w:type="dxa"/>
            <w:gridSpan w:val="9"/>
            <w:vAlign w:val="center"/>
          </w:tcPr>
          <w:p w:rsidR="00EC7A20" w:rsidRPr="005B7CDB" w:rsidRDefault="00EC7A20" w:rsidP="001757D1">
            <w:pPr>
              <w:pStyle w:val="SubTitleLargeTable"/>
              <w:pBdr>
                <w:top w:val="none" w:sz="0" w:space="0" w:color="auto"/>
              </w:pBdr>
              <w:rPr>
                <w:rFonts w:ascii="楷体" w:eastAsia="楷体" w:hAnsi="楷体"/>
                <w:b w:val="0"/>
              </w:rPr>
            </w:pPr>
            <w:r w:rsidRPr="005B7CDB">
              <w:rPr>
                <w:rFonts w:ascii="楷体" w:eastAsia="楷体" w:hAnsi="楷体" w:cs="宋体" w:hint="eastAsia"/>
                <w:color w:val="FF6600"/>
              </w:rPr>
              <w:t>图表</w:t>
            </w:r>
            <w:r w:rsidRPr="005B7CDB">
              <w:rPr>
                <w:rFonts w:ascii="楷体" w:eastAsia="楷体" w:hAnsi="楷体"/>
                <w:color w:val="FF6600"/>
              </w:rPr>
              <w:t>4</w:t>
            </w:r>
            <w:r w:rsidRPr="005B7CDB">
              <w:rPr>
                <w:rFonts w:ascii="楷体" w:eastAsia="楷体" w:hAnsi="楷体" w:cs="宋体" w:hint="eastAsia"/>
                <w:color w:val="FF6600"/>
              </w:rPr>
              <w:t>：各类型公募基金（含封闭式）周平均收益率（</w:t>
            </w:r>
            <w:r>
              <w:rPr>
                <w:rFonts w:ascii="楷体" w:eastAsia="楷体" w:hAnsi="楷体"/>
                <w:color w:val="FF6600"/>
              </w:rPr>
              <w:t>08.25~29</w:t>
            </w:r>
            <w:r w:rsidRPr="005B7CDB">
              <w:rPr>
                <w:rFonts w:ascii="楷体" w:eastAsia="楷体" w:hAnsi="楷体" w:cs="宋体" w:hint="eastAsia"/>
                <w:color w:val="FF6600"/>
              </w:rPr>
              <w:t>，</w:t>
            </w:r>
            <w:r w:rsidRPr="005B7CDB">
              <w:rPr>
                <w:rFonts w:ascii="楷体" w:eastAsia="楷体" w:hAnsi="楷体"/>
                <w:color w:val="FF6600"/>
              </w:rPr>
              <w:t>QDII</w:t>
            </w:r>
            <w:r w:rsidRPr="005B7CDB">
              <w:rPr>
                <w:rFonts w:ascii="楷体" w:eastAsia="楷体" w:hAnsi="楷体" w:hint="eastAsia"/>
                <w:color w:val="FF6600"/>
              </w:rPr>
              <w:t>为</w:t>
            </w:r>
            <w:r>
              <w:rPr>
                <w:rFonts w:ascii="楷体" w:eastAsia="楷体" w:hAnsi="楷体"/>
                <w:color w:val="FF6600"/>
              </w:rPr>
              <w:t>08.22</w:t>
            </w:r>
            <w:r w:rsidRPr="00057142">
              <w:rPr>
                <w:rFonts w:ascii="楷体" w:eastAsia="楷体" w:hAnsi="楷体"/>
                <w:color w:val="FF6600"/>
              </w:rPr>
              <w:t>~</w:t>
            </w:r>
            <w:r>
              <w:rPr>
                <w:rFonts w:ascii="楷体" w:eastAsia="楷体" w:hAnsi="楷体"/>
                <w:color w:val="FF6600"/>
              </w:rPr>
              <w:t>28</w:t>
            </w:r>
            <w:r w:rsidRPr="005B7CDB">
              <w:rPr>
                <w:rFonts w:ascii="楷体" w:eastAsia="楷体" w:hAnsi="楷体" w:hint="eastAsia"/>
                <w:color w:val="FF6600"/>
              </w:rPr>
              <w:t>，货币基金为</w:t>
            </w:r>
            <w:r w:rsidRPr="005B7CDB">
              <w:rPr>
                <w:rFonts w:ascii="楷体" w:eastAsia="楷体" w:hAnsi="楷体"/>
                <w:color w:val="FF6600"/>
              </w:rPr>
              <w:t>7</w:t>
            </w:r>
            <w:r w:rsidRPr="005B7CDB">
              <w:rPr>
                <w:rFonts w:ascii="楷体" w:eastAsia="楷体" w:hAnsi="楷体" w:hint="eastAsia"/>
                <w:color w:val="FF6600"/>
              </w:rPr>
              <w:t>日年化收益</w:t>
            </w:r>
            <w:r>
              <w:rPr>
                <w:rFonts w:ascii="楷体" w:eastAsia="楷体" w:hAnsi="楷体" w:hint="eastAsia"/>
                <w:color w:val="FF6600"/>
              </w:rPr>
              <w:t>率</w:t>
            </w:r>
            <w:r w:rsidRPr="005B7CDB">
              <w:rPr>
                <w:rFonts w:ascii="楷体" w:eastAsia="楷体" w:hAnsi="楷体" w:cs="宋体" w:hint="eastAsia"/>
                <w:color w:val="FF6600"/>
              </w:rPr>
              <w:t>）</w:t>
            </w:r>
          </w:p>
        </w:tc>
      </w:tr>
      <w:tr w:rsidR="00EC7A20" w:rsidRPr="00BA6F16" w:rsidTr="00D7627F">
        <w:trPr>
          <w:trHeight w:val="284"/>
          <w:tblHeader/>
        </w:trPr>
        <w:tc>
          <w:tcPr>
            <w:tcW w:w="2393" w:type="dxa"/>
            <w:gridSpan w:val="2"/>
            <w:tcBorders>
              <w:right w:val="single" w:sz="6" w:space="0" w:color="FF6600"/>
            </w:tcBorders>
            <w:shd w:val="clear" w:color="auto" w:fill="FDE9D9"/>
            <w:vAlign w:val="center"/>
          </w:tcPr>
          <w:p w:rsidR="00EC7A20" w:rsidRPr="00BA6F16" w:rsidRDefault="00EC7A20" w:rsidP="009D6B40">
            <w:pPr>
              <w:snapToGrid w:val="0"/>
              <w:jc w:val="center"/>
              <w:rPr>
                <w:rFonts w:ascii="楷体" w:eastAsia="楷体" w:hAnsi="楷体"/>
                <w:b/>
                <w:sz w:val="18"/>
                <w:szCs w:val="18"/>
              </w:rPr>
            </w:pPr>
            <w:r w:rsidRPr="00BA6F16">
              <w:rPr>
                <w:rFonts w:ascii="楷体" w:eastAsia="楷体" w:hAnsi="楷体" w:hint="eastAsia"/>
                <w:b/>
                <w:sz w:val="18"/>
                <w:szCs w:val="18"/>
              </w:rPr>
              <w:t>凯石分类</w:t>
            </w:r>
          </w:p>
        </w:tc>
        <w:tc>
          <w:tcPr>
            <w:tcW w:w="1197" w:type="dxa"/>
            <w:tcBorders>
              <w:left w:val="single" w:sz="6" w:space="0" w:color="FF6600"/>
              <w:right w:val="single" w:sz="6" w:space="0" w:color="FF6600"/>
            </w:tcBorders>
            <w:shd w:val="clear" w:color="auto" w:fill="FDE9D9"/>
            <w:vAlign w:val="center"/>
          </w:tcPr>
          <w:p w:rsidR="00EC7A20" w:rsidRPr="00BA6F16" w:rsidRDefault="00EC7A20" w:rsidP="009D6B40">
            <w:pPr>
              <w:snapToGrid w:val="0"/>
              <w:jc w:val="center"/>
              <w:rPr>
                <w:rFonts w:ascii="楷体" w:eastAsia="楷体" w:hAnsi="楷体"/>
                <w:b/>
                <w:sz w:val="18"/>
                <w:szCs w:val="18"/>
              </w:rPr>
            </w:pPr>
            <w:r w:rsidRPr="00BA6F16">
              <w:rPr>
                <w:rFonts w:ascii="楷体" w:eastAsia="楷体" w:hAnsi="楷体" w:hint="eastAsia"/>
                <w:b/>
                <w:sz w:val="18"/>
                <w:szCs w:val="18"/>
              </w:rPr>
              <w:t>周收益率</w:t>
            </w:r>
            <w:r w:rsidRPr="00BA6F16">
              <w:rPr>
                <w:rFonts w:ascii="楷体" w:eastAsia="楷体" w:hAnsi="楷体"/>
                <w:b/>
                <w:sz w:val="18"/>
                <w:szCs w:val="18"/>
              </w:rPr>
              <w:t>%</w:t>
            </w:r>
          </w:p>
        </w:tc>
        <w:tc>
          <w:tcPr>
            <w:tcW w:w="2394" w:type="dxa"/>
            <w:gridSpan w:val="2"/>
            <w:tcBorders>
              <w:left w:val="single" w:sz="6" w:space="0" w:color="FF6600"/>
              <w:right w:val="single" w:sz="6" w:space="0" w:color="FF6600"/>
            </w:tcBorders>
            <w:shd w:val="clear" w:color="auto" w:fill="FDE9D9"/>
            <w:vAlign w:val="center"/>
          </w:tcPr>
          <w:p w:rsidR="00EC7A20" w:rsidRPr="00BA6F16" w:rsidRDefault="00EC7A20" w:rsidP="009D6B40">
            <w:pPr>
              <w:snapToGrid w:val="0"/>
              <w:jc w:val="center"/>
              <w:rPr>
                <w:rFonts w:ascii="楷体" w:eastAsia="楷体" w:hAnsi="楷体"/>
                <w:b/>
                <w:sz w:val="18"/>
                <w:szCs w:val="18"/>
              </w:rPr>
            </w:pPr>
            <w:r w:rsidRPr="00BA6F16">
              <w:rPr>
                <w:rFonts w:ascii="楷体" w:eastAsia="楷体" w:hAnsi="楷体" w:hint="eastAsia"/>
                <w:b/>
                <w:sz w:val="18"/>
                <w:szCs w:val="18"/>
              </w:rPr>
              <w:t>凯石分类</w:t>
            </w:r>
          </w:p>
        </w:tc>
        <w:tc>
          <w:tcPr>
            <w:tcW w:w="1197" w:type="dxa"/>
            <w:tcBorders>
              <w:left w:val="single" w:sz="6" w:space="0" w:color="FF6600"/>
              <w:right w:val="single" w:sz="6" w:space="0" w:color="FF6600"/>
            </w:tcBorders>
            <w:shd w:val="clear" w:color="auto" w:fill="FDE9D9"/>
            <w:vAlign w:val="center"/>
          </w:tcPr>
          <w:p w:rsidR="00EC7A20" w:rsidRPr="00BA6F16" w:rsidRDefault="00EC7A20" w:rsidP="009D6B40">
            <w:pPr>
              <w:snapToGrid w:val="0"/>
              <w:jc w:val="center"/>
              <w:rPr>
                <w:rFonts w:ascii="楷体" w:eastAsia="楷体" w:hAnsi="楷体"/>
                <w:b/>
                <w:sz w:val="18"/>
                <w:szCs w:val="18"/>
              </w:rPr>
            </w:pPr>
            <w:r w:rsidRPr="00BA6F16">
              <w:rPr>
                <w:rFonts w:ascii="楷体" w:eastAsia="楷体" w:hAnsi="楷体" w:hint="eastAsia"/>
                <w:b/>
                <w:sz w:val="18"/>
                <w:szCs w:val="18"/>
              </w:rPr>
              <w:t>周收益率</w:t>
            </w:r>
            <w:r w:rsidRPr="00BA6F16">
              <w:rPr>
                <w:rFonts w:ascii="楷体" w:eastAsia="楷体" w:hAnsi="楷体"/>
                <w:b/>
                <w:sz w:val="18"/>
                <w:szCs w:val="18"/>
              </w:rPr>
              <w:t>%</w:t>
            </w:r>
          </w:p>
        </w:tc>
        <w:tc>
          <w:tcPr>
            <w:tcW w:w="2394" w:type="dxa"/>
            <w:gridSpan w:val="2"/>
            <w:tcBorders>
              <w:left w:val="single" w:sz="6" w:space="0" w:color="FF6600"/>
              <w:right w:val="single" w:sz="6" w:space="0" w:color="FF6600"/>
            </w:tcBorders>
            <w:shd w:val="clear" w:color="auto" w:fill="FDE9D9"/>
            <w:vAlign w:val="center"/>
          </w:tcPr>
          <w:p w:rsidR="00EC7A20" w:rsidRPr="00BA6F16" w:rsidRDefault="00EC7A20" w:rsidP="009D6B40">
            <w:pPr>
              <w:snapToGrid w:val="0"/>
              <w:jc w:val="center"/>
              <w:rPr>
                <w:rFonts w:ascii="楷体" w:eastAsia="楷体" w:hAnsi="楷体"/>
                <w:b/>
                <w:sz w:val="18"/>
                <w:szCs w:val="18"/>
              </w:rPr>
            </w:pPr>
            <w:r w:rsidRPr="00BA6F16">
              <w:rPr>
                <w:rFonts w:ascii="楷体" w:eastAsia="楷体" w:hAnsi="楷体" w:hint="eastAsia"/>
                <w:b/>
                <w:sz w:val="18"/>
                <w:szCs w:val="18"/>
              </w:rPr>
              <w:t>凯石分类</w:t>
            </w:r>
          </w:p>
        </w:tc>
        <w:tc>
          <w:tcPr>
            <w:tcW w:w="1197" w:type="dxa"/>
            <w:tcBorders>
              <w:left w:val="single" w:sz="6" w:space="0" w:color="FF6600"/>
            </w:tcBorders>
            <w:shd w:val="clear" w:color="auto" w:fill="FDE9D9"/>
            <w:vAlign w:val="center"/>
          </w:tcPr>
          <w:p w:rsidR="00EC7A20" w:rsidRPr="00BA6F16" w:rsidRDefault="00EC7A20" w:rsidP="009D6B40">
            <w:pPr>
              <w:snapToGrid w:val="0"/>
              <w:jc w:val="center"/>
              <w:rPr>
                <w:rFonts w:ascii="楷体" w:eastAsia="楷体" w:hAnsi="楷体"/>
                <w:b/>
                <w:sz w:val="18"/>
                <w:szCs w:val="18"/>
              </w:rPr>
            </w:pPr>
            <w:r w:rsidRPr="00BA6F16">
              <w:rPr>
                <w:rFonts w:ascii="楷体" w:eastAsia="楷体" w:hAnsi="楷体" w:hint="eastAsia"/>
                <w:b/>
                <w:sz w:val="18"/>
                <w:szCs w:val="18"/>
              </w:rPr>
              <w:t>周收益率</w:t>
            </w:r>
            <w:r w:rsidRPr="00BA6F16">
              <w:rPr>
                <w:rFonts w:ascii="楷体" w:eastAsia="楷体" w:hAnsi="楷体"/>
                <w:b/>
                <w:sz w:val="18"/>
                <w:szCs w:val="18"/>
              </w:rPr>
              <w:t>%</w:t>
            </w:r>
          </w:p>
        </w:tc>
      </w:tr>
      <w:tr w:rsidR="00EC7A20" w:rsidRPr="00BA6F16" w:rsidTr="009D6B40">
        <w:trPr>
          <w:cantSplit/>
          <w:trHeight w:val="284"/>
        </w:trPr>
        <w:tc>
          <w:tcPr>
            <w:tcW w:w="993" w:type="dxa"/>
            <w:vMerge w:val="restart"/>
            <w:tcBorders>
              <w:right w:val="single" w:sz="6" w:space="0" w:color="FF6600"/>
            </w:tcBorders>
            <w:shd w:val="clear" w:color="auto" w:fill="FDE9D9"/>
            <w:vAlign w:val="center"/>
          </w:tcPr>
          <w:p w:rsidR="00EC7A20" w:rsidRPr="00BA6F16" w:rsidRDefault="00EC7A20" w:rsidP="009D6B40">
            <w:pPr>
              <w:snapToGrid w:val="0"/>
              <w:jc w:val="center"/>
              <w:rPr>
                <w:rFonts w:ascii="楷体" w:eastAsia="楷体" w:hAnsi="楷体"/>
                <w:b/>
                <w:sz w:val="18"/>
                <w:szCs w:val="18"/>
              </w:rPr>
            </w:pPr>
            <w:r w:rsidRPr="00BA6F16">
              <w:rPr>
                <w:rFonts w:ascii="楷体" w:eastAsia="楷体" w:hAnsi="楷体" w:hint="eastAsia"/>
                <w:b/>
                <w:sz w:val="18"/>
                <w:szCs w:val="18"/>
              </w:rPr>
              <w:t>股票型</w:t>
            </w:r>
          </w:p>
        </w:tc>
        <w:tc>
          <w:tcPr>
            <w:tcW w:w="1400" w:type="dxa"/>
            <w:tcBorders>
              <w:left w:val="single" w:sz="6" w:space="0" w:color="FF6600"/>
              <w:right w:val="single" w:sz="6" w:space="0" w:color="FF6600"/>
            </w:tcBorders>
            <w:shd w:val="clear" w:color="auto" w:fill="FDE9D9"/>
            <w:vAlign w:val="center"/>
          </w:tcPr>
          <w:p w:rsidR="00EC7A20" w:rsidRPr="00BA6F16" w:rsidRDefault="00EC7A20" w:rsidP="009D6B40">
            <w:pPr>
              <w:snapToGrid w:val="0"/>
              <w:jc w:val="center"/>
              <w:rPr>
                <w:rFonts w:ascii="楷体" w:eastAsia="楷体" w:hAnsi="楷体"/>
                <w:b/>
                <w:sz w:val="18"/>
                <w:szCs w:val="18"/>
              </w:rPr>
            </w:pPr>
            <w:r w:rsidRPr="00BA6F16">
              <w:rPr>
                <w:rFonts w:ascii="楷体" w:eastAsia="楷体" w:hAnsi="楷体" w:hint="eastAsia"/>
                <w:b/>
                <w:sz w:val="18"/>
                <w:szCs w:val="18"/>
              </w:rPr>
              <w:t>股票</w:t>
            </w:r>
            <w:r w:rsidRPr="00BA6F16">
              <w:rPr>
                <w:rFonts w:ascii="楷体" w:eastAsia="楷体" w:hAnsi="楷体"/>
                <w:b/>
                <w:sz w:val="18"/>
                <w:szCs w:val="18"/>
              </w:rPr>
              <w:t>-</w:t>
            </w:r>
            <w:r w:rsidRPr="00BA6F16">
              <w:rPr>
                <w:rFonts w:ascii="楷体" w:eastAsia="楷体" w:hAnsi="楷体" w:hint="eastAsia"/>
                <w:b/>
                <w:sz w:val="18"/>
                <w:szCs w:val="18"/>
              </w:rPr>
              <w:t>主动型</w:t>
            </w:r>
          </w:p>
        </w:tc>
        <w:tc>
          <w:tcPr>
            <w:tcW w:w="1197" w:type="dxa"/>
            <w:tcBorders>
              <w:left w:val="single" w:sz="6" w:space="0" w:color="FF6600"/>
              <w:right w:val="single" w:sz="6" w:space="0" w:color="FF6600"/>
            </w:tcBorders>
            <w:vAlign w:val="center"/>
          </w:tcPr>
          <w:p w:rsidR="00EC7A20" w:rsidRPr="00BA6F16" w:rsidRDefault="00EC7A20" w:rsidP="009D6B40">
            <w:pPr>
              <w:snapToGrid w:val="0"/>
              <w:jc w:val="center"/>
              <w:rPr>
                <w:rFonts w:ascii="楷体" w:eastAsia="楷体" w:hAnsi="楷体"/>
                <w:color w:val="FF0000"/>
                <w:sz w:val="18"/>
                <w:szCs w:val="18"/>
              </w:rPr>
            </w:pPr>
            <w:r w:rsidRPr="00BA6F16">
              <w:rPr>
                <w:rFonts w:ascii="楷体" w:eastAsia="楷体" w:hAnsi="楷体"/>
                <w:color w:val="FF0000"/>
                <w:sz w:val="18"/>
                <w:szCs w:val="18"/>
              </w:rPr>
              <w:t>-1.31</w:t>
            </w:r>
          </w:p>
        </w:tc>
        <w:tc>
          <w:tcPr>
            <w:tcW w:w="946" w:type="dxa"/>
            <w:vMerge w:val="restart"/>
            <w:tcBorders>
              <w:left w:val="single" w:sz="6" w:space="0" w:color="FF6600"/>
              <w:right w:val="single" w:sz="6" w:space="0" w:color="FF6600"/>
            </w:tcBorders>
            <w:shd w:val="clear" w:color="auto" w:fill="FDE9D9"/>
            <w:vAlign w:val="center"/>
          </w:tcPr>
          <w:p w:rsidR="00EC7A20" w:rsidRPr="00BA6F16" w:rsidRDefault="00EC7A20" w:rsidP="009D6B40">
            <w:pPr>
              <w:snapToGrid w:val="0"/>
              <w:jc w:val="center"/>
              <w:rPr>
                <w:rFonts w:ascii="楷体" w:eastAsia="楷体" w:hAnsi="楷体"/>
                <w:b/>
                <w:sz w:val="18"/>
                <w:szCs w:val="18"/>
              </w:rPr>
            </w:pPr>
            <w:r w:rsidRPr="00BA6F16">
              <w:rPr>
                <w:rFonts w:ascii="楷体" w:eastAsia="楷体" w:hAnsi="楷体" w:hint="eastAsia"/>
                <w:b/>
                <w:sz w:val="18"/>
                <w:szCs w:val="18"/>
              </w:rPr>
              <w:t>债券型</w:t>
            </w:r>
          </w:p>
        </w:tc>
        <w:tc>
          <w:tcPr>
            <w:tcW w:w="1448" w:type="dxa"/>
            <w:tcBorders>
              <w:left w:val="single" w:sz="6" w:space="0" w:color="FF6600"/>
              <w:right w:val="single" w:sz="6" w:space="0" w:color="FF6600"/>
            </w:tcBorders>
            <w:shd w:val="clear" w:color="auto" w:fill="FDE9D9"/>
            <w:vAlign w:val="center"/>
          </w:tcPr>
          <w:p w:rsidR="00EC7A20" w:rsidRPr="007E0CA0" w:rsidRDefault="00EC7A20" w:rsidP="009D6B40">
            <w:pPr>
              <w:snapToGrid w:val="0"/>
              <w:jc w:val="center"/>
              <w:rPr>
                <w:rFonts w:ascii="楷体" w:eastAsia="楷体" w:hAnsi="楷体" w:cs="宋体"/>
                <w:b/>
                <w:bCs/>
                <w:sz w:val="18"/>
                <w:szCs w:val="18"/>
              </w:rPr>
            </w:pPr>
            <w:r w:rsidRPr="00BA6F16">
              <w:rPr>
                <w:rFonts w:ascii="楷体" w:eastAsia="楷体" w:hAnsi="楷体" w:hint="eastAsia"/>
                <w:b/>
                <w:bCs/>
                <w:sz w:val="18"/>
                <w:szCs w:val="18"/>
              </w:rPr>
              <w:t>债券</w:t>
            </w:r>
            <w:r w:rsidRPr="00BA6F16">
              <w:rPr>
                <w:rFonts w:ascii="楷体" w:eastAsia="楷体" w:hAnsi="楷体"/>
                <w:b/>
                <w:bCs/>
                <w:sz w:val="18"/>
                <w:szCs w:val="18"/>
              </w:rPr>
              <w:t>-</w:t>
            </w:r>
            <w:r w:rsidRPr="00BA6F16">
              <w:rPr>
                <w:rFonts w:ascii="楷体" w:eastAsia="楷体" w:hAnsi="楷体" w:hint="eastAsia"/>
                <w:b/>
                <w:bCs/>
                <w:sz w:val="18"/>
                <w:szCs w:val="18"/>
              </w:rPr>
              <w:t>纯债基金</w:t>
            </w:r>
          </w:p>
        </w:tc>
        <w:tc>
          <w:tcPr>
            <w:tcW w:w="1197" w:type="dxa"/>
            <w:tcBorders>
              <w:left w:val="single" w:sz="6" w:space="0" w:color="FF6600"/>
              <w:right w:val="single" w:sz="6" w:space="0" w:color="FF6600"/>
            </w:tcBorders>
            <w:vAlign w:val="center"/>
          </w:tcPr>
          <w:p w:rsidR="00EC7A20" w:rsidRPr="00BA6F16" w:rsidRDefault="00EC7A20" w:rsidP="009D6B40">
            <w:pPr>
              <w:snapToGrid w:val="0"/>
              <w:jc w:val="center"/>
              <w:rPr>
                <w:rFonts w:ascii="楷体" w:eastAsia="楷体" w:hAnsi="楷体"/>
                <w:color w:val="000000"/>
                <w:sz w:val="18"/>
                <w:szCs w:val="18"/>
              </w:rPr>
            </w:pPr>
            <w:r w:rsidRPr="00BA6F16">
              <w:rPr>
                <w:rFonts w:ascii="楷体" w:eastAsia="楷体" w:hAnsi="楷体"/>
                <w:color w:val="000000"/>
                <w:sz w:val="18"/>
                <w:szCs w:val="18"/>
              </w:rPr>
              <w:t>0.26</w:t>
            </w:r>
          </w:p>
        </w:tc>
        <w:tc>
          <w:tcPr>
            <w:tcW w:w="2394" w:type="dxa"/>
            <w:gridSpan w:val="2"/>
            <w:tcBorders>
              <w:left w:val="single" w:sz="6" w:space="0" w:color="FF6600"/>
              <w:right w:val="single" w:sz="6" w:space="0" w:color="FF6600"/>
            </w:tcBorders>
            <w:shd w:val="clear" w:color="auto" w:fill="FDE9D9"/>
            <w:vAlign w:val="center"/>
          </w:tcPr>
          <w:p w:rsidR="00EC7A20" w:rsidRPr="00BA6F16" w:rsidRDefault="00EC7A20" w:rsidP="00884478">
            <w:pPr>
              <w:snapToGrid w:val="0"/>
              <w:jc w:val="center"/>
              <w:rPr>
                <w:rFonts w:ascii="楷体" w:eastAsia="楷体" w:hAnsi="楷体"/>
                <w:b/>
                <w:sz w:val="18"/>
                <w:szCs w:val="18"/>
              </w:rPr>
            </w:pPr>
            <w:r w:rsidRPr="00BA6F16">
              <w:rPr>
                <w:rFonts w:ascii="楷体" w:eastAsia="楷体" w:hAnsi="楷体" w:hint="eastAsia"/>
                <w:b/>
                <w:sz w:val="18"/>
                <w:szCs w:val="18"/>
              </w:rPr>
              <w:t>货币市场基金</w:t>
            </w:r>
            <w:r w:rsidRPr="00BA6F16">
              <w:rPr>
                <w:rFonts w:ascii="楷体" w:eastAsia="楷体" w:hAnsi="楷体"/>
                <w:b/>
                <w:sz w:val="18"/>
                <w:szCs w:val="18"/>
              </w:rPr>
              <w:t>7</w:t>
            </w:r>
            <w:r w:rsidRPr="00BA6F16">
              <w:rPr>
                <w:rFonts w:ascii="楷体" w:eastAsia="楷体" w:hAnsi="楷体" w:hint="eastAsia"/>
                <w:b/>
                <w:sz w:val="18"/>
                <w:szCs w:val="18"/>
              </w:rPr>
              <w:t>日年化收益率</w:t>
            </w:r>
          </w:p>
        </w:tc>
        <w:tc>
          <w:tcPr>
            <w:tcW w:w="1197" w:type="dxa"/>
            <w:tcBorders>
              <w:left w:val="single" w:sz="6" w:space="0" w:color="FF6600"/>
            </w:tcBorders>
            <w:vAlign w:val="center"/>
          </w:tcPr>
          <w:p w:rsidR="00EC7A20" w:rsidRPr="00BA6F16" w:rsidRDefault="00EC7A20" w:rsidP="00884478">
            <w:pPr>
              <w:snapToGrid w:val="0"/>
              <w:jc w:val="center"/>
              <w:rPr>
                <w:rFonts w:ascii="楷体" w:eastAsia="楷体" w:hAnsi="楷体"/>
                <w:color w:val="000000"/>
                <w:sz w:val="18"/>
                <w:szCs w:val="18"/>
              </w:rPr>
            </w:pPr>
            <w:r w:rsidRPr="00BA6F16">
              <w:rPr>
                <w:rFonts w:ascii="楷体" w:eastAsia="楷体" w:hAnsi="楷体"/>
                <w:color w:val="000000"/>
                <w:sz w:val="18"/>
                <w:szCs w:val="18"/>
              </w:rPr>
              <w:t>4.22</w:t>
            </w:r>
          </w:p>
        </w:tc>
      </w:tr>
      <w:tr w:rsidR="00EC7A20" w:rsidRPr="00BA6F16" w:rsidTr="009D6B40">
        <w:trPr>
          <w:cantSplit/>
          <w:trHeight w:val="284"/>
        </w:trPr>
        <w:tc>
          <w:tcPr>
            <w:tcW w:w="993" w:type="dxa"/>
            <w:vMerge/>
            <w:tcBorders>
              <w:right w:val="single" w:sz="6" w:space="0" w:color="FF6600"/>
            </w:tcBorders>
            <w:shd w:val="clear" w:color="auto" w:fill="FDE9D9"/>
            <w:vAlign w:val="center"/>
          </w:tcPr>
          <w:p w:rsidR="00EC7A20" w:rsidRPr="00BA6F16" w:rsidRDefault="00EC7A20" w:rsidP="009D6B40">
            <w:pPr>
              <w:snapToGrid w:val="0"/>
              <w:jc w:val="center"/>
              <w:rPr>
                <w:rFonts w:ascii="楷体" w:eastAsia="楷体" w:hAnsi="楷体"/>
                <w:b/>
                <w:sz w:val="18"/>
                <w:szCs w:val="18"/>
              </w:rPr>
            </w:pPr>
          </w:p>
        </w:tc>
        <w:tc>
          <w:tcPr>
            <w:tcW w:w="1400" w:type="dxa"/>
            <w:tcBorders>
              <w:left w:val="single" w:sz="6" w:space="0" w:color="FF6600"/>
              <w:right w:val="single" w:sz="6" w:space="0" w:color="FF6600"/>
            </w:tcBorders>
            <w:shd w:val="clear" w:color="auto" w:fill="FDE9D9"/>
            <w:vAlign w:val="center"/>
          </w:tcPr>
          <w:p w:rsidR="00EC7A20" w:rsidRPr="00BA6F16" w:rsidRDefault="00EC7A20" w:rsidP="009D6B40">
            <w:pPr>
              <w:snapToGrid w:val="0"/>
              <w:jc w:val="center"/>
              <w:rPr>
                <w:rFonts w:ascii="楷体" w:eastAsia="楷体" w:hAnsi="楷体"/>
                <w:b/>
                <w:sz w:val="18"/>
                <w:szCs w:val="18"/>
              </w:rPr>
            </w:pPr>
            <w:r w:rsidRPr="00BA6F16">
              <w:rPr>
                <w:rFonts w:ascii="楷体" w:eastAsia="楷体" w:hAnsi="楷体" w:hint="eastAsia"/>
                <w:b/>
                <w:sz w:val="18"/>
                <w:szCs w:val="18"/>
              </w:rPr>
              <w:t>股票</w:t>
            </w:r>
            <w:r w:rsidRPr="00BA6F16">
              <w:rPr>
                <w:rFonts w:ascii="楷体" w:eastAsia="楷体" w:hAnsi="楷体"/>
                <w:b/>
                <w:sz w:val="18"/>
                <w:szCs w:val="18"/>
              </w:rPr>
              <w:t>-</w:t>
            </w:r>
            <w:r w:rsidRPr="00BA6F16">
              <w:rPr>
                <w:rFonts w:ascii="楷体" w:eastAsia="楷体" w:hAnsi="楷体" w:hint="eastAsia"/>
                <w:b/>
                <w:sz w:val="18"/>
                <w:szCs w:val="18"/>
              </w:rPr>
              <w:t>指数型</w:t>
            </w:r>
          </w:p>
        </w:tc>
        <w:tc>
          <w:tcPr>
            <w:tcW w:w="1197" w:type="dxa"/>
            <w:tcBorders>
              <w:left w:val="single" w:sz="6" w:space="0" w:color="FF6600"/>
              <w:right w:val="single" w:sz="6" w:space="0" w:color="FF6600"/>
            </w:tcBorders>
            <w:vAlign w:val="center"/>
          </w:tcPr>
          <w:p w:rsidR="00EC7A20" w:rsidRPr="00BA6F16" w:rsidRDefault="00EC7A20" w:rsidP="009D6B40">
            <w:pPr>
              <w:snapToGrid w:val="0"/>
              <w:jc w:val="center"/>
              <w:rPr>
                <w:rFonts w:ascii="楷体" w:eastAsia="楷体" w:hAnsi="楷体"/>
                <w:color w:val="FF0000"/>
                <w:sz w:val="18"/>
                <w:szCs w:val="18"/>
              </w:rPr>
            </w:pPr>
            <w:r w:rsidRPr="00BA6F16">
              <w:rPr>
                <w:rFonts w:ascii="楷体" w:eastAsia="楷体" w:hAnsi="楷体"/>
                <w:color w:val="FF0000"/>
                <w:sz w:val="18"/>
                <w:szCs w:val="18"/>
              </w:rPr>
              <w:t>-1.43</w:t>
            </w:r>
          </w:p>
        </w:tc>
        <w:tc>
          <w:tcPr>
            <w:tcW w:w="946" w:type="dxa"/>
            <w:vMerge/>
            <w:tcBorders>
              <w:left w:val="single" w:sz="6" w:space="0" w:color="FF6600"/>
              <w:right w:val="single" w:sz="6" w:space="0" w:color="FF6600"/>
            </w:tcBorders>
            <w:shd w:val="clear" w:color="auto" w:fill="FDE9D9"/>
            <w:vAlign w:val="center"/>
          </w:tcPr>
          <w:p w:rsidR="00EC7A20" w:rsidRPr="00BA6F16" w:rsidRDefault="00EC7A20"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vAlign w:val="center"/>
          </w:tcPr>
          <w:p w:rsidR="00EC7A20" w:rsidRPr="007E0CA0" w:rsidRDefault="00EC7A20" w:rsidP="009D6B40">
            <w:pPr>
              <w:snapToGrid w:val="0"/>
              <w:jc w:val="center"/>
              <w:rPr>
                <w:rFonts w:ascii="楷体" w:eastAsia="楷体" w:hAnsi="楷体" w:cs="宋体"/>
                <w:b/>
                <w:bCs/>
                <w:sz w:val="18"/>
                <w:szCs w:val="18"/>
              </w:rPr>
            </w:pPr>
            <w:r w:rsidRPr="00BA6F16">
              <w:rPr>
                <w:rFonts w:ascii="楷体" w:eastAsia="楷体" w:hAnsi="楷体" w:hint="eastAsia"/>
                <w:b/>
                <w:bCs/>
                <w:sz w:val="18"/>
                <w:szCs w:val="18"/>
              </w:rPr>
              <w:t>债券</w:t>
            </w:r>
            <w:r w:rsidRPr="00BA6F16">
              <w:rPr>
                <w:rFonts w:ascii="楷体" w:eastAsia="楷体" w:hAnsi="楷体"/>
                <w:b/>
                <w:bCs/>
                <w:sz w:val="18"/>
                <w:szCs w:val="18"/>
              </w:rPr>
              <w:t>-</w:t>
            </w:r>
            <w:r w:rsidRPr="00BA6F16">
              <w:rPr>
                <w:rFonts w:ascii="楷体" w:eastAsia="楷体" w:hAnsi="楷体" w:hint="eastAsia"/>
                <w:b/>
                <w:bCs/>
                <w:sz w:val="18"/>
                <w:szCs w:val="18"/>
              </w:rPr>
              <w:t>一级债基</w:t>
            </w:r>
          </w:p>
        </w:tc>
        <w:tc>
          <w:tcPr>
            <w:tcW w:w="1197" w:type="dxa"/>
            <w:tcBorders>
              <w:left w:val="single" w:sz="6" w:space="0" w:color="FF6600"/>
              <w:right w:val="single" w:sz="6" w:space="0" w:color="FF6600"/>
            </w:tcBorders>
            <w:vAlign w:val="center"/>
          </w:tcPr>
          <w:p w:rsidR="00EC7A20" w:rsidRPr="00BA6F16" w:rsidRDefault="00EC7A20" w:rsidP="009D6B40">
            <w:pPr>
              <w:snapToGrid w:val="0"/>
              <w:jc w:val="center"/>
              <w:rPr>
                <w:rFonts w:ascii="楷体" w:eastAsia="楷体" w:hAnsi="楷体"/>
                <w:color w:val="000000"/>
                <w:sz w:val="18"/>
                <w:szCs w:val="18"/>
              </w:rPr>
            </w:pPr>
            <w:r w:rsidRPr="00BA6F16">
              <w:rPr>
                <w:rFonts w:ascii="楷体" w:eastAsia="楷体" w:hAnsi="楷体"/>
                <w:color w:val="000000"/>
                <w:sz w:val="18"/>
                <w:szCs w:val="18"/>
              </w:rPr>
              <w:t>0.22</w:t>
            </w:r>
          </w:p>
        </w:tc>
        <w:tc>
          <w:tcPr>
            <w:tcW w:w="1041" w:type="dxa"/>
            <w:vMerge w:val="restart"/>
            <w:tcBorders>
              <w:left w:val="single" w:sz="6" w:space="0" w:color="FF6600"/>
              <w:right w:val="single" w:sz="6" w:space="0" w:color="FF6600"/>
            </w:tcBorders>
            <w:shd w:val="clear" w:color="auto" w:fill="FDE9D9"/>
            <w:vAlign w:val="center"/>
          </w:tcPr>
          <w:p w:rsidR="00EC7A20" w:rsidRPr="00BA6F16" w:rsidRDefault="00EC7A20" w:rsidP="009D6B40">
            <w:pPr>
              <w:snapToGrid w:val="0"/>
              <w:jc w:val="center"/>
              <w:rPr>
                <w:rFonts w:ascii="楷体" w:eastAsia="楷体" w:hAnsi="楷体"/>
                <w:b/>
                <w:sz w:val="18"/>
                <w:szCs w:val="18"/>
              </w:rPr>
            </w:pPr>
            <w:r w:rsidRPr="00BA6F16">
              <w:rPr>
                <w:rFonts w:ascii="楷体" w:eastAsia="楷体" w:hAnsi="楷体" w:hint="eastAsia"/>
                <w:b/>
                <w:sz w:val="18"/>
                <w:szCs w:val="18"/>
              </w:rPr>
              <w:t>分级基金</w:t>
            </w:r>
          </w:p>
          <w:p w:rsidR="00EC7A20" w:rsidRPr="00BA6F16" w:rsidRDefault="00EC7A20" w:rsidP="009D6B40">
            <w:pPr>
              <w:snapToGrid w:val="0"/>
              <w:jc w:val="center"/>
              <w:rPr>
                <w:rFonts w:ascii="楷体" w:eastAsia="楷体" w:hAnsi="楷体"/>
                <w:b/>
                <w:sz w:val="18"/>
                <w:szCs w:val="18"/>
              </w:rPr>
            </w:pPr>
            <w:r w:rsidRPr="00BA6F16">
              <w:rPr>
                <w:rFonts w:ascii="楷体" w:eastAsia="楷体" w:hAnsi="楷体" w:hint="eastAsia"/>
                <w:b/>
                <w:sz w:val="18"/>
                <w:szCs w:val="18"/>
              </w:rPr>
              <w:t>子份额</w:t>
            </w:r>
          </w:p>
        </w:tc>
        <w:tc>
          <w:tcPr>
            <w:tcW w:w="1353" w:type="dxa"/>
            <w:tcBorders>
              <w:left w:val="single" w:sz="6" w:space="0" w:color="FF6600"/>
              <w:right w:val="single" w:sz="6" w:space="0" w:color="FF6600"/>
            </w:tcBorders>
            <w:shd w:val="clear" w:color="auto" w:fill="FDE9D9"/>
            <w:vAlign w:val="center"/>
          </w:tcPr>
          <w:p w:rsidR="00EC7A20" w:rsidRPr="00BA6F16" w:rsidRDefault="00EC7A20" w:rsidP="009D6B40">
            <w:pPr>
              <w:snapToGrid w:val="0"/>
              <w:jc w:val="center"/>
              <w:rPr>
                <w:rFonts w:ascii="楷体" w:eastAsia="楷体" w:hAnsi="楷体"/>
                <w:b/>
                <w:sz w:val="18"/>
                <w:szCs w:val="18"/>
              </w:rPr>
            </w:pPr>
            <w:r w:rsidRPr="00BA6F16">
              <w:rPr>
                <w:rFonts w:ascii="楷体" w:eastAsia="楷体" w:hAnsi="楷体" w:hint="eastAsia"/>
                <w:b/>
                <w:sz w:val="18"/>
                <w:szCs w:val="18"/>
              </w:rPr>
              <w:t>股票稳健</w:t>
            </w:r>
          </w:p>
        </w:tc>
        <w:tc>
          <w:tcPr>
            <w:tcW w:w="1197" w:type="dxa"/>
            <w:tcBorders>
              <w:left w:val="single" w:sz="6" w:space="0" w:color="FF6600"/>
            </w:tcBorders>
            <w:vAlign w:val="center"/>
          </w:tcPr>
          <w:p w:rsidR="00EC7A20" w:rsidRPr="00BA6F16" w:rsidRDefault="00EC7A20" w:rsidP="009D6B40">
            <w:pPr>
              <w:snapToGrid w:val="0"/>
              <w:jc w:val="center"/>
              <w:rPr>
                <w:rFonts w:ascii="楷体" w:eastAsia="楷体" w:hAnsi="楷体"/>
                <w:color w:val="000000"/>
                <w:sz w:val="18"/>
                <w:szCs w:val="18"/>
              </w:rPr>
            </w:pPr>
            <w:r w:rsidRPr="00BA6F16">
              <w:rPr>
                <w:rFonts w:ascii="楷体" w:eastAsia="楷体" w:hAnsi="楷体"/>
                <w:color w:val="000000"/>
                <w:sz w:val="18"/>
                <w:szCs w:val="18"/>
              </w:rPr>
              <w:t>0.04</w:t>
            </w:r>
          </w:p>
        </w:tc>
      </w:tr>
      <w:tr w:rsidR="00EC7A20" w:rsidRPr="00BA6F16" w:rsidTr="009D6B40">
        <w:trPr>
          <w:cantSplit/>
          <w:trHeight w:val="284"/>
        </w:trPr>
        <w:tc>
          <w:tcPr>
            <w:tcW w:w="993" w:type="dxa"/>
            <w:vMerge w:val="restart"/>
            <w:tcBorders>
              <w:right w:val="single" w:sz="6" w:space="0" w:color="FF6600"/>
            </w:tcBorders>
            <w:shd w:val="clear" w:color="auto" w:fill="FDE9D9"/>
            <w:vAlign w:val="center"/>
          </w:tcPr>
          <w:p w:rsidR="00EC7A20" w:rsidRPr="00BA6F16" w:rsidRDefault="00EC7A20" w:rsidP="009D6B40">
            <w:pPr>
              <w:snapToGrid w:val="0"/>
              <w:jc w:val="center"/>
              <w:rPr>
                <w:rFonts w:ascii="楷体" w:eastAsia="楷体" w:hAnsi="楷体"/>
                <w:b/>
                <w:sz w:val="18"/>
                <w:szCs w:val="18"/>
              </w:rPr>
            </w:pPr>
            <w:r w:rsidRPr="00BA6F16">
              <w:rPr>
                <w:rFonts w:ascii="楷体" w:eastAsia="楷体" w:hAnsi="楷体" w:hint="eastAsia"/>
                <w:b/>
                <w:sz w:val="18"/>
                <w:szCs w:val="18"/>
              </w:rPr>
              <w:t>混合型</w:t>
            </w:r>
          </w:p>
        </w:tc>
        <w:tc>
          <w:tcPr>
            <w:tcW w:w="1400" w:type="dxa"/>
            <w:tcBorders>
              <w:left w:val="single" w:sz="6" w:space="0" w:color="FF6600"/>
              <w:right w:val="single" w:sz="6" w:space="0" w:color="FF6600"/>
            </w:tcBorders>
            <w:shd w:val="clear" w:color="auto" w:fill="FDE9D9"/>
            <w:vAlign w:val="center"/>
          </w:tcPr>
          <w:p w:rsidR="00EC7A20" w:rsidRPr="007E0CA0" w:rsidRDefault="00EC7A20" w:rsidP="009D6B40">
            <w:pPr>
              <w:snapToGrid w:val="0"/>
              <w:jc w:val="center"/>
              <w:rPr>
                <w:rFonts w:ascii="楷体" w:eastAsia="楷体" w:hAnsi="楷体" w:cs="宋体"/>
                <w:b/>
                <w:bCs/>
                <w:sz w:val="18"/>
                <w:szCs w:val="18"/>
              </w:rPr>
            </w:pPr>
            <w:r w:rsidRPr="00BA6F16">
              <w:rPr>
                <w:rFonts w:ascii="楷体" w:eastAsia="楷体" w:hAnsi="楷体" w:hint="eastAsia"/>
                <w:b/>
                <w:bCs/>
                <w:sz w:val="18"/>
                <w:szCs w:val="18"/>
              </w:rPr>
              <w:t>混合</w:t>
            </w:r>
            <w:r w:rsidRPr="00BA6F16">
              <w:rPr>
                <w:rFonts w:ascii="楷体" w:eastAsia="楷体" w:hAnsi="楷体"/>
                <w:b/>
                <w:bCs/>
                <w:sz w:val="18"/>
                <w:szCs w:val="18"/>
              </w:rPr>
              <w:t>-</w:t>
            </w:r>
            <w:r w:rsidRPr="00BA6F16">
              <w:rPr>
                <w:rFonts w:ascii="楷体" w:eastAsia="楷体" w:hAnsi="楷体" w:hint="eastAsia"/>
                <w:b/>
                <w:bCs/>
                <w:sz w:val="18"/>
                <w:szCs w:val="18"/>
              </w:rPr>
              <w:t>偏股型</w:t>
            </w:r>
          </w:p>
        </w:tc>
        <w:tc>
          <w:tcPr>
            <w:tcW w:w="1197" w:type="dxa"/>
            <w:tcBorders>
              <w:left w:val="single" w:sz="6" w:space="0" w:color="FF6600"/>
              <w:right w:val="single" w:sz="6" w:space="0" w:color="FF6600"/>
            </w:tcBorders>
            <w:vAlign w:val="center"/>
          </w:tcPr>
          <w:p w:rsidR="00EC7A20" w:rsidRPr="00BA6F16" w:rsidRDefault="00EC7A20" w:rsidP="009D6B40">
            <w:pPr>
              <w:snapToGrid w:val="0"/>
              <w:jc w:val="center"/>
              <w:rPr>
                <w:rFonts w:ascii="楷体" w:eastAsia="楷体" w:hAnsi="楷体"/>
                <w:color w:val="FF0000"/>
                <w:sz w:val="18"/>
                <w:szCs w:val="18"/>
              </w:rPr>
            </w:pPr>
            <w:r w:rsidRPr="00BA6F16">
              <w:rPr>
                <w:rFonts w:ascii="楷体" w:eastAsia="楷体" w:hAnsi="楷体"/>
                <w:color w:val="FF0000"/>
                <w:sz w:val="18"/>
                <w:szCs w:val="18"/>
              </w:rPr>
              <w:t>-0.91</w:t>
            </w:r>
          </w:p>
        </w:tc>
        <w:tc>
          <w:tcPr>
            <w:tcW w:w="946" w:type="dxa"/>
            <w:vMerge/>
            <w:tcBorders>
              <w:left w:val="single" w:sz="6" w:space="0" w:color="FF6600"/>
              <w:right w:val="single" w:sz="6" w:space="0" w:color="FF6600"/>
            </w:tcBorders>
            <w:shd w:val="clear" w:color="auto" w:fill="FDE9D9"/>
            <w:vAlign w:val="center"/>
          </w:tcPr>
          <w:p w:rsidR="00EC7A20" w:rsidRPr="00BA6F16" w:rsidRDefault="00EC7A20"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vAlign w:val="center"/>
          </w:tcPr>
          <w:p w:rsidR="00EC7A20" w:rsidRPr="007E0CA0" w:rsidRDefault="00EC7A20" w:rsidP="009D6B40">
            <w:pPr>
              <w:snapToGrid w:val="0"/>
              <w:jc w:val="center"/>
              <w:rPr>
                <w:rFonts w:ascii="楷体" w:eastAsia="楷体" w:hAnsi="楷体" w:cs="宋体"/>
                <w:b/>
                <w:bCs/>
                <w:sz w:val="18"/>
                <w:szCs w:val="18"/>
              </w:rPr>
            </w:pPr>
            <w:r w:rsidRPr="00BA6F16">
              <w:rPr>
                <w:rFonts w:ascii="楷体" w:eastAsia="楷体" w:hAnsi="楷体" w:hint="eastAsia"/>
                <w:b/>
                <w:bCs/>
                <w:sz w:val="18"/>
                <w:szCs w:val="18"/>
              </w:rPr>
              <w:t>债券</w:t>
            </w:r>
            <w:r w:rsidRPr="00BA6F16">
              <w:rPr>
                <w:rFonts w:ascii="楷体" w:eastAsia="楷体" w:hAnsi="楷体"/>
                <w:b/>
                <w:bCs/>
                <w:sz w:val="18"/>
                <w:szCs w:val="18"/>
              </w:rPr>
              <w:t>-</w:t>
            </w:r>
            <w:r w:rsidRPr="00BA6F16">
              <w:rPr>
                <w:rFonts w:ascii="楷体" w:eastAsia="楷体" w:hAnsi="楷体" w:hint="eastAsia"/>
                <w:b/>
                <w:bCs/>
                <w:sz w:val="18"/>
                <w:szCs w:val="18"/>
              </w:rPr>
              <w:t>二级债基</w:t>
            </w:r>
          </w:p>
        </w:tc>
        <w:tc>
          <w:tcPr>
            <w:tcW w:w="1197" w:type="dxa"/>
            <w:tcBorders>
              <w:left w:val="single" w:sz="6" w:space="0" w:color="FF6600"/>
              <w:right w:val="single" w:sz="6" w:space="0" w:color="FF6600"/>
            </w:tcBorders>
            <w:vAlign w:val="center"/>
          </w:tcPr>
          <w:p w:rsidR="00EC7A20" w:rsidRPr="00BA6F16" w:rsidRDefault="00EC7A20" w:rsidP="009D6B40">
            <w:pPr>
              <w:snapToGrid w:val="0"/>
              <w:jc w:val="center"/>
              <w:rPr>
                <w:rFonts w:ascii="楷体" w:eastAsia="楷体" w:hAnsi="楷体"/>
                <w:color w:val="000000"/>
                <w:sz w:val="18"/>
                <w:szCs w:val="18"/>
              </w:rPr>
            </w:pPr>
            <w:r w:rsidRPr="00BA6F16">
              <w:rPr>
                <w:rFonts w:ascii="楷体" w:eastAsia="楷体" w:hAnsi="楷体"/>
                <w:color w:val="000000"/>
                <w:sz w:val="18"/>
                <w:szCs w:val="18"/>
              </w:rPr>
              <w:t>0.11</w:t>
            </w:r>
          </w:p>
        </w:tc>
        <w:tc>
          <w:tcPr>
            <w:tcW w:w="1041" w:type="dxa"/>
            <w:vMerge/>
            <w:tcBorders>
              <w:left w:val="single" w:sz="6" w:space="0" w:color="FF6600"/>
              <w:right w:val="single" w:sz="6" w:space="0" w:color="FF6600"/>
            </w:tcBorders>
            <w:shd w:val="clear" w:color="auto" w:fill="FDE9D9"/>
            <w:vAlign w:val="center"/>
          </w:tcPr>
          <w:p w:rsidR="00EC7A20" w:rsidRPr="00BA6F16" w:rsidRDefault="00EC7A20" w:rsidP="009D6B40">
            <w:pPr>
              <w:snapToGrid w:val="0"/>
              <w:jc w:val="center"/>
              <w:rPr>
                <w:rFonts w:ascii="楷体" w:eastAsia="楷体" w:hAnsi="楷体"/>
                <w:b/>
                <w:sz w:val="18"/>
                <w:szCs w:val="18"/>
              </w:rPr>
            </w:pPr>
          </w:p>
        </w:tc>
        <w:tc>
          <w:tcPr>
            <w:tcW w:w="1353" w:type="dxa"/>
            <w:tcBorders>
              <w:left w:val="single" w:sz="6" w:space="0" w:color="FF6600"/>
              <w:right w:val="single" w:sz="6" w:space="0" w:color="FF6600"/>
            </w:tcBorders>
            <w:shd w:val="clear" w:color="auto" w:fill="FDE9D9"/>
            <w:vAlign w:val="center"/>
          </w:tcPr>
          <w:p w:rsidR="00EC7A20" w:rsidRPr="00BA6F16" w:rsidRDefault="00EC7A20" w:rsidP="009D6B40">
            <w:pPr>
              <w:snapToGrid w:val="0"/>
              <w:jc w:val="center"/>
              <w:rPr>
                <w:rFonts w:ascii="楷体" w:eastAsia="楷体" w:hAnsi="楷体"/>
                <w:b/>
                <w:sz w:val="18"/>
                <w:szCs w:val="18"/>
              </w:rPr>
            </w:pPr>
            <w:r w:rsidRPr="00BA6F16">
              <w:rPr>
                <w:rFonts w:ascii="楷体" w:eastAsia="楷体" w:hAnsi="楷体" w:hint="eastAsia"/>
                <w:b/>
                <w:sz w:val="18"/>
                <w:szCs w:val="18"/>
              </w:rPr>
              <w:t>股票积极</w:t>
            </w:r>
          </w:p>
        </w:tc>
        <w:tc>
          <w:tcPr>
            <w:tcW w:w="1197" w:type="dxa"/>
            <w:tcBorders>
              <w:left w:val="single" w:sz="6" w:space="0" w:color="FF6600"/>
            </w:tcBorders>
            <w:vAlign w:val="center"/>
          </w:tcPr>
          <w:p w:rsidR="00EC7A20" w:rsidRPr="00BA6F16" w:rsidRDefault="00EC7A20" w:rsidP="009D6B40">
            <w:pPr>
              <w:snapToGrid w:val="0"/>
              <w:jc w:val="center"/>
              <w:rPr>
                <w:rFonts w:ascii="楷体" w:eastAsia="楷体" w:hAnsi="楷体"/>
                <w:color w:val="FF0000"/>
                <w:sz w:val="18"/>
                <w:szCs w:val="18"/>
              </w:rPr>
            </w:pPr>
            <w:r w:rsidRPr="00BA6F16">
              <w:rPr>
                <w:rFonts w:ascii="楷体" w:eastAsia="楷体" w:hAnsi="楷体"/>
                <w:color w:val="FF0000"/>
                <w:sz w:val="18"/>
                <w:szCs w:val="18"/>
              </w:rPr>
              <w:t>-3.32</w:t>
            </w:r>
          </w:p>
        </w:tc>
      </w:tr>
      <w:tr w:rsidR="00EC7A20" w:rsidRPr="00BA6F16" w:rsidTr="009D6B40">
        <w:trPr>
          <w:cantSplit/>
          <w:trHeight w:val="284"/>
        </w:trPr>
        <w:tc>
          <w:tcPr>
            <w:tcW w:w="993" w:type="dxa"/>
            <w:vMerge/>
            <w:tcBorders>
              <w:right w:val="single" w:sz="6" w:space="0" w:color="FF6600"/>
            </w:tcBorders>
            <w:shd w:val="clear" w:color="auto" w:fill="FDE9D9"/>
            <w:vAlign w:val="center"/>
          </w:tcPr>
          <w:p w:rsidR="00EC7A20" w:rsidRPr="00BA6F16" w:rsidRDefault="00EC7A20" w:rsidP="009D6B40">
            <w:pPr>
              <w:snapToGrid w:val="0"/>
              <w:jc w:val="center"/>
              <w:rPr>
                <w:rFonts w:ascii="楷体" w:eastAsia="楷体" w:hAnsi="楷体"/>
                <w:b/>
                <w:sz w:val="18"/>
                <w:szCs w:val="18"/>
              </w:rPr>
            </w:pPr>
          </w:p>
        </w:tc>
        <w:tc>
          <w:tcPr>
            <w:tcW w:w="1400" w:type="dxa"/>
            <w:tcBorders>
              <w:left w:val="single" w:sz="6" w:space="0" w:color="FF6600"/>
              <w:right w:val="single" w:sz="6" w:space="0" w:color="FF6600"/>
            </w:tcBorders>
            <w:shd w:val="clear" w:color="auto" w:fill="FDE9D9"/>
            <w:vAlign w:val="center"/>
          </w:tcPr>
          <w:p w:rsidR="00EC7A20" w:rsidRPr="007E0CA0" w:rsidRDefault="00EC7A20" w:rsidP="009D6B40">
            <w:pPr>
              <w:snapToGrid w:val="0"/>
              <w:jc w:val="center"/>
              <w:rPr>
                <w:rFonts w:ascii="楷体" w:eastAsia="楷体" w:hAnsi="楷体" w:cs="宋体"/>
                <w:b/>
                <w:bCs/>
                <w:sz w:val="18"/>
                <w:szCs w:val="18"/>
              </w:rPr>
            </w:pPr>
            <w:r w:rsidRPr="00BA6F16">
              <w:rPr>
                <w:rFonts w:ascii="楷体" w:eastAsia="楷体" w:hAnsi="楷体" w:hint="eastAsia"/>
                <w:b/>
                <w:bCs/>
                <w:sz w:val="18"/>
                <w:szCs w:val="18"/>
              </w:rPr>
              <w:t>混合</w:t>
            </w:r>
            <w:r w:rsidRPr="00BA6F16">
              <w:rPr>
                <w:rFonts w:ascii="楷体" w:eastAsia="楷体" w:hAnsi="楷体"/>
                <w:b/>
                <w:bCs/>
                <w:sz w:val="18"/>
                <w:szCs w:val="18"/>
              </w:rPr>
              <w:t>-</w:t>
            </w:r>
            <w:r w:rsidRPr="00BA6F16">
              <w:rPr>
                <w:rFonts w:ascii="楷体" w:eastAsia="楷体" w:hAnsi="楷体" w:hint="eastAsia"/>
                <w:b/>
                <w:bCs/>
                <w:sz w:val="18"/>
                <w:szCs w:val="18"/>
              </w:rPr>
              <w:t>偏债型</w:t>
            </w:r>
          </w:p>
        </w:tc>
        <w:tc>
          <w:tcPr>
            <w:tcW w:w="1197" w:type="dxa"/>
            <w:tcBorders>
              <w:left w:val="single" w:sz="6" w:space="0" w:color="FF6600"/>
              <w:right w:val="single" w:sz="6" w:space="0" w:color="FF6600"/>
            </w:tcBorders>
            <w:vAlign w:val="center"/>
          </w:tcPr>
          <w:p w:rsidR="00EC7A20" w:rsidRPr="00BA6F16" w:rsidRDefault="00EC7A20" w:rsidP="007A1ADA">
            <w:pPr>
              <w:snapToGrid w:val="0"/>
              <w:jc w:val="center"/>
              <w:rPr>
                <w:rFonts w:ascii="楷体" w:eastAsia="楷体" w:hAnsi="楷体"/>
                <w:color w:val="FF0000"/>
                <w:sz w:val="18"/>
                <w:szCs w:val="18"/>
              </w:rPr>
            </w:pPr>
            <w:r w:rsidRPr="00BA6F16">
              <w:rPr>
                <w:rFonts w:ascii="楷体" w:eastAsia="楷体" w:hAnsi="楷体"/>
                <w:color w:val="FF0000"/>
                <w:sz w:val="18"/>
                <w:szCs w:val="18"/>
              </w:rPr>
              <w:t>-0.29</w:t>
            </w:r>
          </w:p>
        </w:tc>
        <w:tc>
          <w:tcPr>
            <w:tcW w:w="946" w:type="dxa"/>
            <w:vMerge/>
            <w:tcBorders>
              <w:left w:val="single" w:sz="6" w:space="0" w:color="FF6600"/>
              <w:right w:val="single" w:sz="6" w:space="0" w:color="FF6600"/>
            </w:tcBorders>
            <w:shd w:val="clear" w:color="auto" w:fill="FDE9D9"/>
            <w:vAlign w:val="center"/>
          </w:tcPr>
          <w:p w:rsidR="00EC7A20" w:rsidRPr="00BA6F16" w:rsidRDefault="00EC7A20"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vAlign w:val="center"/>
          </w:tcPr>
          <w:p w:rsidR="00EC7A20" w:rsidRPr="007E0CA0" w:rsidRDefault="00EC7A20" w:rsidP="009D6B40">
            <w:pPr>
              <w:snapToGrid w:val="0"/>
              <w:jc w:val="center"/>
              <w:rPr>
                <w:rFonts w:ascii="楷体" w:eastAsia="楷体" w:hAnsi="楷体" w:cs="宋体"/>
                <w:b/>
                <w:bCs/>
                <w:sz w:val="18"/>
                <w:szCs w:val="18"/>
              </w:rPr>
            </w:pPr>
            <w:r w:rsidRPr="00BA6F16">
              <w:rPr>
                <w:rFonts w:ascii="楷体" w:eastAsia="楷体" w:hAnsi="楷体" w:hint="eastAsia"/>
                <w:b/>
                <w:bCs/>
                <w:sz w:val="18"/>
                <w:szCs w:val="18"/>
              </w:rPr>
              <w:t>债券</w:t>
            </w:r>
            <w:r w:rsidRPr="00BA6F16">
              <w:rPr>
                <w:rFonts w:ascii="楷体" w:eastAsia="楷体" w:hAnsi="楷体"/>
                <w:b/>
                <w:bCs/>
                <w:sz w:val="18"/>
                <w:szCs w:val="18"/>
              </w:rPr>
              <w:t>-</w:t>
            </w:r>
            <w:r w:rsidRPr="00BA6F16">
              <w:rPr>
                <w:rFonts w:ascii="楷体" w:eastAsia="楷体" w:hAnsi="楷体" w:hint="eastAsia"/>
                <w:b/>
                <w:bCs/>
                <w:sz w:val="18"/>
                <w:szCs w:val="18"/>
              </w:rPr>
              <w:t>指数债基</w:t>
            </w:r>
          </w:p>
        </w:tc>
        <w:tc>
          <w:tcPr>
            <w:tcW w:w="1197" w:type="dxa"/>
            <w:tcBorders>
              <w:left w:val="single" w:sz="6" w:space="0" w:color="FF6600"/>
              <w:right w:val="single" w:sz="6" w:space="0" w:color="FF6600"/>
            </w:tcBorders>
            <w:vAlign w:val="center"/>
          </w:tcPr>
          <w:p w:rsidR="00EC7A20" w:rsidRPr="00BA6F16" w:rsidRDefault="00EC7A20" w:rsidP="009D6B40">
            <w:pPr>
              <w:snapToGrid w:val="0"/>
              <w:jc w:val="center"/>
              <w:rPr>
                <w:rFonts w:ascii="楷体" w:eastAsia="楷体" w:hAnsi="楷体"/>
                <w:color w:val="000000"/>
                <w:sz w:val="18"/>
                <w:szCs w:val="18"/>
              </w:rPr>
            </w:pPr>
            <w:r w:rsidRPr="00BA6F16">
              <w:rPr>
                <w:rFonts w:ascii="楷体" w:eastAsia="楷体" w:hAnsi="楷体"/>
                <w:color w:val="000000"/>
                <w:sz w:val="18"/>
                <w:szCs w:val="18"/>
              </w:rPr>
              <w:t>0.19</w:t>
            </w:r>
          </w:p>
        </w:tc>
        <w:tc>
          <w:tcPr>
            <w:tcW w:w="1041" w:type="dxa"/>
            <w:vMerge/>
            <w:tcBorders>
              <w:left w:val="single" w:sz="6" w:space="0" w:color="FF6600"/>
              <w:right w:val="single" w:sz="6" w:space="0" w:color="FF6600"/>
            </w:tcBorders>
            <w:shd w:val="clear" w:color="auto" w:fill="FDE9D9"/>
            <w:vAlign w:val="center"/>
          </w:tcPr>
          <w:p w:rsidR="00EC7A20" w:rsidRPr="00BA6F16" w:rsidRDefault="00EC7A20" w:rsidP="009D6B40">
            <w:pPr>
              <w:snapToGrid w:val="0"/>
              <w:jc w:val="center"/>
              <w:rPr>
                <w:rFonts w:ascii="楷体" w:eastAsia="楷体" w:hAnsi="楷体"/>
                <w:b/>
                <w:sz w:val="18"/>
                <w:szCs w:val="18"/>
              </w:rPr>
            </w:pPr>
          </w:p>
        </w:tc>
        <w:tc>
          <w:tcPr>
            <w:tcW w:w="1353" w:type="dxa"/>
            <w:tcBorders>
              <w:left w:val="single" w:sz="6" w:space="0" w:color="FF6600"/>
              <w:right w:val="single" w:sz="6" w:space="0" w:color="FF6600"/>
            </w:tcBorders>
            <w:shd w:val="clear" w:color="auto" w:fill="FDE9D9"/>
            <w:vAlign w:val="center"/>
          </w:tcPr>
          <w:p w:rsidR="00EC7A20" w:rsidRPr="00BA6F16" w:rsidRDefault="00EC7A20" w:rsidP="009D6B40">
            <w:pPr>
              <w:snapToGrid w:val="0"/>
              <w:jc w:val="center"/>
              <w:rPr>
                <w:rFonts w:ascii="楷体" w:eastAsia="楷体" w:hAnsi="楷体"/>
                <w:b/>
                <w:sz w:val="18"/>
                <w:szCs w:val="18"/>
              </w:rPr>
            </w:pPr>
            <w:r w:rsidRPr="00BA6F16">
              <w:rPr>
                <w:rFonts w:ascii="楷体" w:eastAsia="楷体" w:hAnsi="楷体" w:hint="eastAsia"/>
                <w:b/>
                <w:sz w:val="18"/>
                <w:szCs w:val="18"/>
              </w:rPr>
              <w:t>债券稳健</w:t>
            </w:r>
          </w:p>
        </w:tc>
        <w:tc>
          <w:tcPr>
            <w:tcW w:w="1197" w:type="dxa"/>
            <w:tcBorders>
              <w:left w:val="single" w:sz="6" w:space="0" w:color="FF6600"/>
            </w:tcBorders>
            <w:vAlign w:val="center"/>
          </w:tcPr>
          <w:p w:rsidR="00EC7A20" w:rsidRPr="00BA6F16" w:rsidRDefault="00EC7A20" w:rsidP="007A1ADA">
            <w:pPr>
              <w:snapToGrid w:val="0"/>
              <w:jc w:val="center"/>
              <w:rPr>
                <w:rFonts w:ascii="楷体" w:eastAsia="楷体" w:hAnsi="楷体"/>
                <w:color w:val="000000"/>
                <w:sz w:val="18"/>
                <w:szCs w:val="18"/>
              </w:rPr>
            </w:pPr>
            <w:r w:rsidRPr="00BA6F16">
              <w:rPr>
                <w:rFonts w:ascii="楷体" w:eastAsia="楷体" w:hAnsi="楷体"/>
                <w:color w:val="000000"/>
                <w:sz w:val="18"/>
                <w:szCs w:val="18"/>
              </w:rPr>
              <w:t>0.1</w:t>
            </w:r>
          </w:p>
        </w:tc>
      </w:tr>
      <w:tr w:rsidR="00EC7A20" w:rsidRPr="00BA6F16" w:rsidTr="009D6B40">
        <w:trPr>
          <w:cantSplit/>
          <w:trHeight w:val="284"/>
        </w:trPr>
        <w:tc>
          <w:tcPr>
            <w:tcW w:w="993" w:type="dxa"/>
            <w:vMerge/>
            <w:tcBorders>
              <w:right w:val="single" w:sz="6" w:space="0" w:color="FF6600"/>
            </w:tcBorders>
            <w:shd w:val="clear" w:color="auto" w:fill="FDE9D9"/>
            <w:vAlign w:val="center"/>
          </w:tcPr>
          <w:p w:rsidR="00EC7A20" w:rsidRPr="00BA6F16" w:rsidRDefault="00EC7A20" w:rsidP="009D6B40">
            <w:pPr>
              <w:snapToGrid w:val="0"/>
              <w:jc w:val="center"/>
              <w:rPr>
                <w:rFonts w:ascii="楷体" w:eastAsia="楷体" w:hAnsi="楷体"/>
                <w:b/>
                <w:sz w:val="18"/>
                <w:szCs w:val="18"/>
              </w:rPr>
            </w:pPr>
          </w:p>
        </w:tc>
        <w:tc>
          <w:tcPr>
            <w:tcW w:w="1400" w:type="dxa"/>
            <w:tcBorders>
              <w:left w:val="single" w:sz="6" w:space="0" w:color="FF6600"/>
              <w:right w:val="single" w:sz="6" w:space="0" w:color="FF6600"/>
            </w:tcBorders>
            <w:shd w:val="clear" w:color="auto" w:fill="FDE9D9"/>
            <w:vAlign w:val="center"/>
          </w:tcPr>
          <w:p w:rsidR="00EC7A20" w:rsidRPr="007E0CA0" w:rsidRDefault="00EC7A20" w:rsidP="00884478">
            <w:pPr>
              <w:snapToGrid w:val="0"/>
              <w:jc w:val="center"/>
              <w:rPr>
                <w:rFonts w:ascii="楷体" w:eastAsia="楷体" w:hAnsi="楷体" w:cs="宋体"/>
                <w:b/>
                <w:bCs/>
                <w:sz w:val="18"/>
                <w:szCs w:val="18"/>
              </w:rPr>
            </w:pPr>
            <w:r w:rsidRPr="00BA6F16">
              <w:rPr>
                <w:rFonts w:ascii="楷体" w:eastAsia="楷体" w:hAnsi="楷体" w:hint="eastAsia"/>
                <w:b/>
                <w:bCs/>
                <w:sz w:val="18"/>
                <w:szCs w:val="18"/>
              </w:rPr>
              <w:t>混合</w:t>
            </w:r>
            <w:r w:rsidRPr="00BA6F16">
              <w:rPr>
                <w:rFonts w:ascii="楷体" w:eastAsia="楷体" w:hAnsi="楷体"/>
                <w:b/>
                <w:bCs/>
                <w:sz w:val="18"/>
                <w:szCs w:val="18"/>
              </w:rPr>
              <w:t>-</w:t>
            </w:r>
            <w:r w:rsidRPr="00BA6F16">
              <w:rPr>
                <w:rFonts w:ascii="楷体" w:eastAsia="楷体" w:hAnsi="楷体" w:hint="eastAsia"/>
                <w:b/>
                <w:bCs/>
                <w:sz w:val="18"/>
                <w:szCs w:val="18"/>
              </w:rPr>
              <w:t>灵活型</w:t>
            </w:r>
          </w:p>
        </w:tc>
        <w:tc>
          <w:tcPr>
            <w:tcW w:w="1197" w:type="dxa"/>
            <w:tcBorders>
              <w:left w:val="single" w:sz="6" w:space="0" w:color="FF6600"/>
              <w:right w:val="single" w:sz="6" w:space="0" w:color="FF6600"/>
            </w:tcBorders>
            <w:vAlign w:val="center"/>
          </w:tcPr>
          <w:p w:rsidR="00EC7A20" w:rsidRPr="00BA6F16" w:rsidRDefault="00EC7A20" w:rsidP="00884478">
            <w:pPr>
              <w:snapToGrid w:val="0"/>
              <w:jc w:val="center"/>
              <w:rPr>
                <w:rFonts w:ascii="楷体" w:eastAsia="楷体" w:hAnsi="楷体"/>
                <w:color w:val="FF0000"/>
                <w:sz w:val="18"/>
                <w:szCs w:val="18"/>
              </w:rPr>
            </w:pPr>
            <w:r w:rsidRPr="00BA6F16">
              <w:rPr>
                <w:rFonts w:ascii="楷体" w:eastAsia="楷体" w:hAnsi="楷体"/>
                <w:color w:val="FF0000"/>
                <w:sz w:val="18"/>
                <w:szCs w:val="18"/>
              </w:rPr>
              <w:t>-0.94</w:t>
            </w:r>
          </w:p>
        </w:tc>
        <w:tc>
          <w:tcPr>
            <w:tcW w:w="946" w:type="dxa"/>
            <w:vMerge/>
            <w:tcBorders>
              <w:left w:val="single" w:sz="6" w:space="0" w:color="FF6600"/>
              <w:right w:val="single" w:sz="6" w:space="0" w:color="FF6600"/>
            </w:tcBorders>
            <w:shd w:val="clear" w:color="auto" w:fill="FDE9D9"/>
            <w:vAlign w:val="center"/>
          </w:tcPr>
          <w:p w:rsidR="00EC7A20" w:rsidRPr="00BA6F16" w:rsidRDefault="00EC7A20"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vAlign w:val="center"/>
          </w:tcPr>
          <w:p w:rsidR="00EC7A20" w:rsidRPr="007E0CA0" w:rsidRDefault="00EC7A20" w:rsidP="009D6B40">
            <w:pPr>
              <w:snapToGrid w:val="0"/>
              <w:jc w:val="center"/>
              <w:rPr>
                <w:rFonts w:ascii="楷体" w:eastAsia="楷体" w:hAnsi="楷体" w:cs="宋体"/>
                <w:b/>
                <w:bCs/>
                <w:sz w:val="18"/>
                <w:szCs w:val="18"/>
              </w:rPr>
            </w:pPr>
            <w:r w:rsidRPr="00BA6F16">
              <w:rPr>
                <w:rFonts w:ascii="楷体" w:eastAsia="楷体" w:hAnsi="楷体" w:hint="eastAsia"/>
                <w:b/>
                <w:bCs/>
                <w:sz w:val="18"/>
                <w:szCs w:val="18"/>
              </w:rPr>
              <w:t>债券</w:t>
            </w:r>
            <w:r w:rsidRPr="00BA6F16">
              <w:rPr>
                <w:rFonts w:ascii="楷体" w:eastAsia="楷体" w:hAnsi="楷体"/>
                <w:b/>
                <w:bCs/>
                <w:sz w:val="18"/>
                <w:szCs w:val="18"/>
              </w:rPr>
              <w:t>-</w:t>
            </w:r>
            <w:r w:rsidRPr="00BA6F16">
              <w:rPr>
                <w:rFonts w:ascii="楷体" w:eastAsia="楷体" w:hAnsi="楷体" w:hint="eastAsia"/>
                <w:b/>
                <w:bCs/>
                <w:sz w:val="18"/>
                <w:szCs w:val="18"/>
              </w:rPr>
              <w:t>可转债基</w:t>
            </w:r>
          </w:p>
        </w:tc>
        <w:tc>
          <w:tcPr>
            <w:tcW w:w="1197" w:type="dxa"/>
            <w:tcBorders>
              <w:left w:val="single" w:sz="6" w:space="0" w:color="FF6600"/>
              <w:right w:val="single" w:sz="6" w:space="0" w:color="FF6600"/>
            </w:tcBorders>
            <w:vAlign w:val="center"/>
          </w:tcPr>
          <w:p w:rsidR="00EC7A20" w:rsidRPr="00BA6F16" w:rsidRDefault="00EC7A20" w:rsidP="009D6B40">
            <w:pPr>
              <w:snapToGrid w:val="0"/>
              <w:jc w:val="center"/>
              <w:rPr>
                <w:rFonts w:ascii="楷体" w:eastAsia="楷体" w:hAnsi="楷体"/>
                <w:color w:val="FF0000"/>
                <w:sz w:val="18"/>
                <w:szCs w:val="18"/>
              </w:rPr>
            </w:pPr>
            <w:r w:rsidRPr="00BA6F16">
              <w:rPr>
                <w:rFonts w:ascii="楷体" w:eastAsia="楷体" w:hAnsi="楷体"/>
                <w:color w:val="FF0000"/>
                <w:sz w:val="18"/>
                <w:szCs w:val="18"/>
              </w:rPr>
              <w:t>-0.01</w:t>
            </w:r>
          </w:p>
        </w:tc>
        <w:tc>
          <w:tcPr>
            <w:tcW w:w="1041" w:type="dxa"/>
            <w:vMerge/>
            <w:tcBorders>
              <w:left w:val="single" w:sz="6" w:space="0" w:color="FF6600"/>
              <w:right w:val="single" w:sz="6" w:space="0" w:color="FF6600"/>
            </w:tcBorders>
            <w:shd w:val="clear" w:color="auto" w:fill="FDE9D9"/>
            <w:vAlign w:val="center"/>
          </w:tcPr>
          <w:p w:rsidR="00EC7A20" w:rsidRPr="00BA6F16" w:rsidRDefault="00EC7A20" w:rsidP="009D6B40">
            <w:pPr>
              <w:snapToGrid w:val="0"/>
              <w:jc w:val="center"/>
              <w:rPr>
                <w:rFonts w:ascii="楷体" w:eastAsia="楷体" w:hAnsi="楷体"/>
                <w:b/>
                <w:sz w:val="18"/>
                <w:szCs w:val="18"/>
              </w:rPr>
            </w:pPr>
          </w:p>
        </w:tc>
        <w:tc>
          <w:tcPr>
            <w:tcW w:w="1353" w:type="dxa"/>
            <w:tcBorders>
              <w:left w:val="single" w:sz="6" w:space="0" w:color="FF6600"/>
              <w:right w:val="single" w:sz="6" w:space="0" w:color="FF6600"/>
            </w:tcBorders>
            <w:shd w:val="clear" w:color="auto" w:fill="FDE9D9"/>
            <w:vAlign w:val="center"/>
          </w:tcPr>
          <w:p w:rsidR="00EC7A20" w:rsidRPr="00BA6F16" w:rsidRDefault="00EC7A20" w:rsidP="009D6B40">
            <w:pPr>
              <w:snapToGrid w:val="0"/>
              <w:jc w:val="center"/>
              <w:rPr>
                <w:rFonts w:ascii="楷体" w:eastAsia="楷体" w:hAnsi="楷体"/>
                <w:b/>
                <w:sz w:val="18"/>
                <w:szCs w:val="18"/>
              </w:rPr>
            </w:pPr>
            <w:r w:rsidRPr="00BA6F16">
              <w:rPr>
                <w:rFonts w:ascii="楷体" w:eastAsia="楷体" w:hAnsi="楷体" w:hint="eastAsia"/>
                <w:b/>
                <w:sz w:val="18"/>
                <w:szCs w:val="18"/>
              </w:rPr>
              <w:t>债券积极</w:t>
            </w:r>
          </w:p>
        </w:tc>
        <w:tc>
          <w:tcPr>
            <w:tcW w:w="1197" w:type="dxa"/>
            <w:tcBorders>
              <w:left w:val="single" w:sz="6" w:space="0" w:color="FF6600"/>
            </w:tcBorders>
            <w:vAlign w:val="center"/>
          </w:tcPr>
          <w:p w:rsidR="00EC7A20" w:rsidRPr="00BA6F16" w:rsidRDefault="00EC7A20" w:rsidP="009D6B40">
            <w:pPr>
              <w:snapToGrid w:val="0"/>
              <w:jc w:val="center"/>
              <w:rPr>
                <w:rFonts w:ascii="楷体" w:eastAsia="楷体" w:hAnsi="楷体"/>
                <w:color w:val="000000"/>
                <w:sz w:val="18"/>
                <w:szCs w:val="18"/>
              </w:rPr>
            </w:pPr>
            <w:r w:rsidRPr="00BA6F16">
              <w:rPr>
                <w:rFonts w:ascii="楷体" w:eastAsia="楷体" w:hAnsi="楷体"/>
                <w:color w:val="000000"/>
                <w:sz w:val="18"/>
                <w:szCs w:val="18"/>
              </w:rPr>
              <w:t>0.43</w:t>
            </w:r>
          </w:p>
        </w:tc>
      </w:tr>
      <w:tr w:rsidR="00EC7A20" w:rsidRPr="00BA6F16" w:rsidTr="00884478">
        <w:trPr>
          <w:cantSplit/>
          <w:trHeight w:val="284"/>
        </w:trPr>
        <w:tc>
          <w:tcPr>
            <w:tcW w:w="2393" w:type="dxa"/>
            <w:gridSpan w:val="2"/>
            <w:tcBorders>
              <w:right w:val="single" w:sz="6" w:space="0" w:color="FF6600"/>
            </w:tcBorders>
            <w:shd w:val="clear" w:color="auto" w:fill="FDE9D9"/>
            <w:vAlign w:val="center"/>
          </w:tcPr>
          <w:p w:rsidR="00EC7A20" w:rsidRPr="00BA6F16" w:rsidRDefault="00EC7A20" w:rsidP="00884478">
            <w:pPr>
              <w:snapToGrid w:val="0"/>
              <w:jc w:val="center"/>
              <w:rPr>
                <w:rFonts w:ascii="楷体" w:eastAsia="楷体" w:hAnsi="楷体"/>
                <w:b/>
                <w:sz w:val="18"/>
                <w:szCs w:val="18"/>
              </w:rPr>
            </w:pPr>
            <w:r w:rsidRPr="00BA6F16">
              <w:rPr>
                <w:rFonts w:ascii="楷体" w:eastAsia="楷体" w:hAnsi="楷体"/>
                <w:b/>
                <w:sz w:val="18"/>
                <w:szCs w:val="18"/>
              </w:rPr>
              <w:t>QDII</w:t>
            </w:r>
          </w:p>
        </w:tc>
        <w:tc>
          <w:tcPr>
            <w:tcW w:w="1197" w:type="dxa"/>
            <w:tcBorders>
              <w:left w:val="single" w:sz="6" w:space="0" w:color="FF6600"/>
              <w:right w:val="single" w:sz="6" w:space="0" w:color="FF6600"/>
            </w:tcBorders>
            <w:vAlign w:val="center"/>
          </w:tcPr>
          <w:p w:rsidR="00EC7A20" w:rsidRPr="00BA6F16" w:rsidRDefault="00EC7A20" w:rsidP="00884478">
            <w:pPr>
              <w:snapToGrid w:val="0"/>
              <w:jc w:val="center"/>
              <w:rPr>
                <w:rFonts w:ascii="楷体" w:eastAsia="楷体" w:hAnsi="楷体"/>
                <w:color w:val="FF0000"/>
                <w:sz w:val="18"/>
                <w:szCs w:val="18"/>
              </w:rPr>
            </w:pPr>
            <w:r w:rsidRPr="00BA6F16">
              <w:rPr>
                <w:rFonts w:ascii="楷体" w:eastAsia="楷体" w:hAnsi="楷体"/>
                <w:color w:val="FF0000"/>
                <w:sz w:val="18"/>
                <w:szCs w:val="18"/>
              </w:rPr>
              <w:t>-0.09</w:t>
            </w:r>
          </w:p>
        </w:tc>
        <w:tc>
          <w:tcPr>
            <w:tcW w:w="946" w:type="dxa"/>
            <w:vMerge/>
            <w:tcBorders>
              <w:left w:val="single" w:sz="6" w:space="0" w:color="FF6600"/>
              <w:right w:val="single" w:sz="6" w:space="0" w:color="FF6600"/>
            </w:tcBorders>
            <w:shd w:val="clear" w:color="auto" w:fill="FDE9D9"/>
            <w:vAlign w:val="center"/>
          </w:tcPr>
          <w:p w:rsidR="00EC7A20" w:rsidRPr="00BA6F16" w:rsidRDefault="00EC7A20"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vAlign w:val="center"/>
          </w:tcPr>
          <w:p w:rsidR="00EC7A20" w:rsidRPr="007E0CA0" w:rsidRDefault="00EC7A20" w:rsidP="009D6B40">
            <w:pPr>
              <w:snapToGrid w:val="0"/>
              <w:jc w:val="center"/>
              <w:rPr>
                <w:rFonts w:ascii="楷体" w:eastAsia="楷体" w:hAnsi="楷体" w:cs="宋体"/>
                <w:b/>
                <w:bCs/>
                <w:sz w:val="18"/>
                <w:szCs w:val="18"/>
              </w:rPr>
            </w:pPr>
            <w:r w:rsidRPr="00BA6F16">
              <w:rPr>
                <w:rFonts w:ascii="楷体" w:eastAsia="楷体" w:hAnsi="楷体" w:hint="eastAsia"/>
                <w:b/>
                <w:bCs/>
                <w:sz w:val="18"/>
                <w:szCs w:val="18"/>
              </w:rPr>
              <w:t>债券</w:t>
            </w:r>
            <w:r w:rsidRPr="00BA6F16">
              <w:rPr>
                <w:rFonts w:ascii="楷体" w:eastAsia="楷体" w:hAnsi="楷体"/>
                <w:b/>
                <w:bCs/>
                <w:sz w:val="18"/>
                <w:szCs w:val="18"/>
              </w:rPr>
              <w:t>-</w:t>
            </w:r>
            <w:r w:rsidRPr="00BA6F16">
              <w:rPr>
                <w:rFonts w:ascii="楷体" w:eastAsia="楷体" w:hAnsi="楷体" w:hint="eastAsia"/>
                <w:b/>
                <w:bCs/>
                <w:sz w:val="18"/>
                <w:szCs w:val="18"/>
              </w:rPr>
              <w:t>理财债基</w:t>
            </w:r>
          </w:p>
        </w:tc>
        <w:tc>
          <w:tcPr>
            <w:tcW w:w="1197" w:type="dxa"/>
            <w:tcBorders>
              <w:left w:val="single" w:sz="6" w:space="0" w:color="FF6600"/>
              <w:right w:val="single" w:sz="6" w:space="0" w:color="FF6600"/>
            </w:tcBorders>
            <w:vAlign w:val="center"/>
          </w:tcPr>
          <w:p w:rsidR="00EC7A20" w:rsidRPr="00BA6F16" w:rsidRDefault="00EC7A20" w:rsidP="009D6B40">
            <w:pPr>
              <w:snapToGrid w:val="0"/>
              <w:jc w:val="center"/>
              <w:rPr>
                <w:rFonts w:ascii="楷体" w:eastAsia="楷体" w:hAnsi="楷体"/>
                <w:color w:val="000000"/>
                <w:sz w:val="18"/>
                <w:szCs w:val="18"/>
              </w:rPr>
            </w:pPr>
            <w:r w:rsidRPr="00BA6F16">
              <w:rPr>
                <w:rFonts w:ascii="楷体" w:eastAsia="楷体" w:hAnsi="楷体"/>
                <w:color w:val="000000"/>
                <w:sz w:val="18"/>
                <w:szCs w:val="18"/>
              </w:rPr>
              <w:t>0.08</w:t>
            </w:r>
          </w:p>
        </w:tc>
        <w:tc>
          <w:tcPr>
            <w:tcW w:w="2394" w:type="dxa"/>
            <w:gridSpan w:val="2"/>
            <w:tcBorders>
              <w:left w:val="single" w:sz="6" w:space="0" w:color="FF6600"/>
              <w:right w:val="single" w:sz="6" w:space="0" w:color="FF6600"/>
            </w:tcBorders>
            <w:shd w:val="clear" w:color="auto" w:fill="FDE9D9"/>
            <w:vAlign w:val="center"/>
          </w:tcPr>
          <w:p w:rsidR="00EC7A20" w:rsidRPr="00BA6F16" w:rsidRDefault="00EC7A20" w:rsidP="009D6B40">
            <w:pPr>
              <w:snapToGrid w:val="0"/>
              <w:jc w:val="center"/>
              <w:rPr>
                <w:rFonts w:ascii="楷体" w:eastAsia="楷体" w:hAnsi="楷体"/>
                <w:b/>
                <w:sz w:val="18"/>
                <w:szCs w:val="18"/>
              </w:rPr>
            </w:pPr>
            <w:r w:rsidRPr="00BA6F16">
              <w:rPr>
                <w:rFonts w:ascii="楷体" w:eastAsia="楷体" w:hAnsi="楷体" w:hint="eastAsia"/>
                <w:b/>
                <w:sz w:val="18"/>
                <w:szCs w:val="18"/>
              </w:rPr>
              <w:t>商品基金</w:t>
            </w:r>
          </w:p>
        </w:tc>
        <w:tc>
          <w:tcPr>
            <w:tcW w:w="1197" w:type="dxa"/>
            <w:tcBorders>
              <w:left w:val="single" w:sz="6" w:space="0" w:color="FF6600"/>
            </w:tcBorders>
            <w:vAlign w:val="center"/>
          </w:tcPr>
          <w:p w:rsidR="00EC7A20" w:rsidRPr="00BA6F16" w:rsidRDefault="00EC7A20" w:rsidP="009D6B40">
            <w:pPr>
              <w:snapToGrid w:val="0"/>
              <w:jc w:val="center"/>
              <w:rPr>
                <w:rFonts w:ascii="楷体" w:eastAsia="楷体" w:hAnsi="楷体"/>
                <w:color w:val="000000"/>
                <w:sz w:val="18"/>
                <w:szCs w:val="18"/>
              </w:rPr>
            </w:pPr>
            <w:r w:rsidRPr="00BA6F16">
              <w:rPr>
                <w:rFonts w:ascii="楷体" w:eastAsia="楷体" w:hAnsi="楷体"/>
                <w:color w:val="000000"/>
                <w:sz w:val="18"/>
                <w:szCs w:val="18"/>
              </w:rPr>
              <w:t>0.44</w:t>
            </w:r>
          </w:p>
        </w:tc>
      </w:tr>
    </w:tbl>
    <w:p w:rsidR="00EC7A20" w:rsidRPr="005B7CDB" w:rsidRDefault="00EC7A20" w:rsidP="000D4A66">
      <w:pPr>
        <w:pStyle w:val="FootnoteNoline"/>
        <w:ind w:left="0"/>
        <w:rPr>
          <w:rFonts w:ascii="楷体" w:eastAsia="楷体" w:hAnsi="楷体"/>
          <w:color w:val="FF6600"/>
          <w:lang w:val="en-US"/>
        </w:rPr>
      </w:pPr>
      <w:r w:rsidRPr="005B7CDB">
        <w:rPr>
          <w:rFonts w:ascii="楷体" w:eastAsia="楷体" w:hAnsi="楷体" w:cs="宋体" w:hint="eastAsia"/>
          <w:color w:val="FF6600"/>
          <w:lang w:val="en-US"/>
        </w:rPr>
        <w:t>来源：凯石财富工场</w:t>
      </w:r>
    </w:p>
    <w:p w:rsidR="00EC7A20" w:rsidRPr="00EB505F" w:rsidRDefault="00EC7A20" w:rsidP="007E2DC5">
      <w:pPr>
        <w:widowControl/>
        <w:spacing w:after="120"/>
        <w:ind w:left="3430"/>
        <w:rPr>
          <w:rFonts w:ascii="楷体" w:eastAsia="楷体" w:hAnsi="楷体"/>
          <w:b/>
          <w:bCs/>
          <w:color w:val="0070C0"/>
          <w:kern w:val="0"/>
          <w:szCs w:val="21"/>
          <w:lang w:val="en-GB"/>
        </w:rPr>
      </w:pPr>
      <w:r w:rsidRPr="005B7CDB">
        <w:rPr>
          <w:rFonts w:ascii="楷体" w:eastAsia="楷体" w:hAnsi="楷体" w:hint="eastAsia"/>
          <w:b/>
          <w:bCs/>
          <w:color w:val="0070C0"/>
          <w:kern w:val="0"/>
          <w:szCs w:val="21"/>
          <w:lang w:val="en-GB"/>
        </w:rPr>
        <w:t>权益类基金一周业绩：</w:t>
      </w:r>
      <w:r w:rsidRPr="00EB505F">
        <w:rPr>
          <w:rFonts w:ascii="楷体" w:eastAsia="楷体" w:hAnsi="楷体"/>
          <w:b/>
          <w:bCs/>
          <w:color w:val="0070C0"/>
          <w:kern w:val="0"/>
          <w:szCs w:val="21"/>
          <w:lang w:val="en-GB"/>
        </w:rPr>
        <w:t xml:space="preserve"> </w:t>
      </w:r>
      <w:r>
        <w:rPr>
          <w:rFonts w:ascii="楷体" w:eastAsia="楷体" w:hAnsi="楷体" w:hint="eastAsia"/>
          <w:b/>
          <w:bCs/>
          <w:color w:val="0070C0"/>
          <w:kern w:val="0"/>
          <w:szCs w:val="21"/>
          <w:lang w:val="en-GB"/>
        </w:rPr>
        <w:t>权益比重越高跌幅越大</w:t>
      </w:r>
      <w:r>
        <w:rPr>
          <w:rFonts w:ascii="楷体" w:eastAsia="楷体" w:hAnsi="楷体"/>
          <w:b/>
          <w:bCs/>
          <w:color w:val="0070C0"/>
          <w:kern w:val="0"/>
          <w:szCs w:val="21"/>
          <w:lang w:val="en-GB"/>
        </w:rPr>
        <w:t xml:space="preserve"> </w:t>
      </w:r>
      <w:r>
        <w:rPr>
          <w:rFonts w:ascii="楷体" w:eastAsia="楷体" w:hAnsi="楷体" w:hint="eastAsia"/>
          <w:b/>
          <w:bCs/>
          <w:color w:val="0070C0"/>
          <w:kern w:val="0"/>
          <w:szCs w:val="21"/>
          <w:lang w:val="en-GB"/>
        </w:rPr>
        <w:t>商品基金略有起色</w:t>
      </w:r>
    </w:p>
    <w:p w:rsidR="00EC7A20" w:rsidRPr="00F9290D" w:rsidRDefault="00EC7A20" w:rsidP="003F158A">
      <w:pPr>
        <w:pStyle w:val="BodyText"/>
        <w:numPr>
          <w:ilvl w:val="4"/>
          <w:numId w:val="1"/>
        </w:numPr>
        <w:spacing w:after="163"/>
        <w:rPr>
          <w:rFonts w:eastAsia="楷体" w:cs="Arial"/>
          <w:color w:val="auto"/>
          <w:szCs w:val="21"/>
        </w:rPr>
      </w:pPr>
      <w:r w:rsidRPr="00F9290D">
        <w:rPr>
          <w:rFonts w:eastAsia="楷体" w:hAnsi="楷体" w:cs="Arial" w:hint="eastAsia"/>
          <w:color w:val="auto"/>
          <w:szCs w:val="21"/>
        </w:rPr>
        <w:t>上周大盘一路下跌，直到周五由于苹果产业链的带动才出现反弹。中小饭指和创业板双双下跌，虽然不影响投资者对投资环境趋于好转的信心，但是各类产品收益却有较大变动，整体来看小市值品种表现弱于大市值品种。股票型基金下跌较大，</w:t>
      </w:r>
      <w:r w:rsidRPr="00F9290D">
        <w:rPr>
          <w:rFonts w:eastAsia="楷体" w:hAnsi="楷体" w:cs="Arial" w:hint="eastAsia"/>
          <w:color w:val="auto"/>
          <w:kern w:val="2"/>
          <w:szCs w:val="21"/>
          <w:lang w:val="en-US"/>
        </w:rPr>
        <w:t>混合</w:t>
      </w:r>
      <w:r w:rsidRPr="00F9290D">
        <w:rPr>
          <w:rFonts w:eastAsia="楷体" w:cs="Arial"/>
          <w:color w:val="auto"/>
          <w:kern w:val="2"/>
          <w:szCs w:val="21"/>
          <w:lang w:val="en-US"/>
        </w:rPr>
        <w:t>-</w:t>
      </w:r>
      <w:r w:rsidRPr="00F9290D">
        <w:rPr>
          <w:rFonts w:eastAsia="楷体" w:hAnsi="楷体" w:cs="Arial" w:hint="eastAsia"/>
          <w:color w:val="auto"/>
          <w:kern w:val="2"/>
          <w:szCs w:val="21"/>
          <w:lang w:val="en-US"/>
        </w:rPr>
        <w:t>偏债型基金业绩好于混合</w:t>
      </w:r>
      <w:r w:rsidRPr="00F9290D">
        <w:rPr>
          <w:rFonts w:eastAsia="楷体" w:cs="Arial"/>
          <w:color w:val="auto"/>
          <w:kern w:val="2"/>
          <w:szCs w:val="21"/>
          <w:lang w:val="en-US"/>
        </w:rPr>
        <w:t>-</w:t>
      </w:r>
      <w:r w:rsidRPr="00F9290D">
        <w:rPr>
          <w:rFonts w:eastAsia="楷体" w:hAnsi="楷体" w:cs="Arial" w:hint="eastAsia"/>
          <w:color w:val="auto"/>
          <w:kern w:val="2"/>
          <w:szCs w:val="21"/>
          <w:lang w:val="en-US"/>
        </w:rPr>
        <w:t>偏股型基金</w:t>
      </w:r>
      <w:r w:rsidRPr="00F9290D">
        <w:rPr>
          <w:rFonts w:eastAsia="楷体" w:hAnsi="楷体" w:cs="Arial" w:hint="eastAsia"/>
          <w:color w:val="auto"/>
          <w:szCs w:val="21"/>
        </w:rPr>
        <w:t>，商品基金周回报率皆为正。</w:t>
      </w:r>
      <w:r w:rsidRPr="00F9290D">
        <w:rPr>
          <w:rFonts w:eastAsia="楷体" w:cs="Arial"/>
          <w:color w:val="auto"/>
          <w:szCs w:val="21"/>
        </w:rPr>
        <w:t>QDII-</w:t>
      </w:r>
      <w:r w:rsidRPr="00F9290D">
        <w:rPr>
          <w:rFonts w:eastAsia="楷体" w:hAnsi="楷体" w:cs="Arial" w:hint="eastAsia"/>
          <w:color w:val="auto"/>
          <w:szCs w:val="21"/>
        </w:rPr>
        <w:t>商品收益居前，美股</w:t>
      </w:r>
      <w:r w:rsidRPr="00F9290D">
        <w:rPr>
          <w:rFonts w:eastAsia="楷体" w:cs="Arial"/>
          <w:color w:val="auto"/>
          <w:szCs w:val="21"/>
        </w:rPr>
        <w:t>QDII</w:t>
      </w:r>
      <w:r w:rsidRPr="00F9290D">
        <w:rPr>
          <w:rFonts w:eastAsia="楷体" w:hAnsi="楷体" w:cs="Arial" w:hint="eastAsia"/>
          <w:color w:val="auto"/>
          <w:szCs w:val="21"/>
        </w:rPr>
        <w:t>涨幅收缩。</w:t>
      </w:r>
    </w:p>
    <w:p w:rsidR="00EC7A20" w:rsidRPr="00F9290D" w:rsidRDefault="00EC7A20" w:rsidP="002F2866">
      <w:pPr>
        <w:pStyle w:val="BodyText"/>
        <w:numPr>
          <w:ilvl w:val="5"/>
          <w:numId w:val="2"/>
        </w:numPr>
        <w:spacing w:after="163"/>
        <w:ind w:left="4140" w:hanging="369"/>
        <w:rPr>
          <w:rFonts w:eastAsia="楷体" w:cs="Arial"/>
          <w:color w:val="auto"/>
          <w:szCs w:val="21"/>
        </w:rPr>
      </w:pPr>
      <w:r w:rsidRPr="00F9290D">
        <w:rPr>
          <w:rFonts w:eastAsia="楷体" w:hAnsi="楷体" w:cs="Arial" w:hint="eastAsia"/>
          <w:color w:val="auto"/>
          <w:szCs w:val="21"/>
        </w:rPr>
        <w:t>在</w:t>
      </w:r>
      <w:r w:rsidRPr="00F9290D">
        <w:rPr>
          <w:rFonts w:eastAsia="楷体" w:cs="Arial"/>
          <w:color w:val="auto"/>
          <w:szCs w:val="21"/>
        </w:rPr>
        <w:t>407</w:t>
      </w:r>
      <w:r w:rsidRPr="00F9290D">
        <w:rPr>
          <w:rFonts w:eastAsia="楷体" w:hAnsi="楷体" w:cs="Arial" w:hint="eastAsia"/>
          <w:color w:val="auto"/>
          <w:szCs w:val="21"/>
        </w:rPr>
        <w:t>只股票</w:t>
      </w:r>
      <w:r w:rsidRPr="00F9290D">
        <w:rPr>
          <w:rFonts w:eastAsia="楷体" w:cs="Arial"/>
          <w:color w:val="auto"/>
          <w:szCs w:val="21"/>
        </w:rPr>
        <w:t>-</w:t>
      </w:r>
      <w:r w:rsidRPr="00F9290D">
        <w:rPr>
          <w:rFonts w:eastAsia="楷体" w:hAnsi="楷体" w:cs="Arial" w:hint="eastAsia"/>
          <w:color w:val="auto"/>
          <w:szCs w:val="21"/>
        </w:rPr>
        <w:t>主动型基金中，</w:t>
      </w:r>
      <w:r w:rsidRPr="00F9290D">
        <w:rPr>
          <w:rFonts w:eastAsia="楷体" w:cs="Arial"/>
          <w:color w:val="auto"/>
          <w:szCs w:val="21"/>
        </w:rPr>
        <w:t>94%</w:t>
      </w:r>
      <w:r w:rsidRPr="00F9290D">
        <w:rPr>
          <w:rFonts w:eastAsia="楷体" w:hAnsi="楷体" w:cs="Arial" w:hint="eastAsia"/>
          <w:color w:val="auto"/>
          <w:szCs w:val="21"/>
        </w:rPr>
        <w:t>以上收益为负，平均周收益为</w:t>
      </w:r>
      <w:r w:rsidRPr="00F9290D">
        <w:rPr>
          <w:rFonts w:eastAsia="楷体" w:cs="Arial"/>
          <w:color w:val="auto"/>
          <w:szCs w:val="21"/>
        </w:rPr>
        <w:t>-1.31%,</w:t>
      </w:r>
      <w:r w:rsidRPr="00F9290D">
        <w:rPr>
          <w:rFonts w:eastAsia="楷体" w:hAnsi="楷体" w:cs="Arial" w:hint="eastAsia"/>
          <w:color w:val="auto"/>
          <w:szCs w:val="21"/>
        </w:rPr>
        <w:t>富国医疗保健行业周收益最高，为</w:t>
      </w:r>
      <w:r w:rsidRPr="00F9290D">
        <w:rPr>
          <w:rFonts w:eastAsia="楷体" w:cs="Arial"/>
          <w:color w:val="auto"/>
          <w:szCs w:val="21"/>
        </w:rPr>
        <w:t>1.94%</w:t>
      </w:r>
      <w:r w:rsidRPr="00F9290D">
        <w:rPr>
          <w:rFonts w:eastAsia="楷体" w:hAnsi="楷体" w:cs="Arial" w:hint="eastAsia"/>
          <w:color w:val="auto"/>
          <w:szCs w:val="21"/>
        </w:rPr>
        <w:t>。</w:t>
      </w:r>
      <w:r w:rsidRPr="00F9290D">
        <w:rPr>
          <w:rFonts w:eastAsia="楷体" w:cs="Arial"/>
          <w:color w:val="auto"/>
          <w:szCs w:val="21"/>
        </w:rPr>
        <w:t>257</w:t>
      </w:r>
      <w:r w:rsidRPr="00F9290D">
        <w:rPr>
          <w:rFonts w:eastAsia="楷体" w:hAnsi="楷体" w:cs="Arial" w:hint="eastAsia"/>
          <w:color w:val="auto"/>
          <w:szCs w:val="21"/>
        </w:rPr>
        <w:t>只股票</w:t>
      </w:r>
      <w:r w:rsidRPr="00F9290D">
        <w:rPr>
          <w:rFonts w:eastAsia="楷体" w:cs="Arial"/>
          <w:color w:val="auto"/>
          <w:szCs w:val="21"/>
        </w:rPr>
        <w:t>-</w:t>
      </w:r>
      <w:r w:rsidRPr="00F9290D">
        <w:rPr>
          <w:rFonts w:eastAsia="楷体" w:hAnsi="楷体" w:cs="Arial" w:hint="eastAsia"/>
          <w:color w:val="auto"/>
          <w:szCs w:val="21"/>
        </w:rPr>
        <w:t>指数型基金仅</w:t>
      </w:r>
      <w:r w:rsidRPr="00F9290D">
        <w:rPr>
          <w:rFonts w:eastAsia="楷体" w:cs="Arial"/>
          <w:color w:val="auto"/>
          <w:szCs w:val="21"/>
        </w:rPr>
        <w:t>7</w:t>
      </w:r>
      <w:r w:rsidRPr="00F9290D">
        <w:rPr>
          <w:rFonts w:eastAsia="楷体" w:hAnsi="楷体" w:cs="Arial" w:hint="eastAsia"/>
          <w:color w:val="auto"/>
          <w:szCs w:val="21"/>
        </w:rPr>
        <w:t>只收益为正，整体收益为</w:t>
      </w:r>
      <w:r w:rsidRPr="00F9290D">
        <w:rPr>
          <w:rFonts w:eastAsia="楷体" w:cs="Arial"/>
          <w:color w:val="auto"/>
          <w:szCs w:val="21"/>
        </w:rPr>
        <w:t>-1.43%</w:t>
      </w:r>
      <w:r w:rsidRPr="00F9290D">
        <w:rPr>
          <w:rFonts w:eastAsia="楷体" w:hAnsi="楷体" w:cs="Arial" w:hint="eastAsia"/>
          <w:color w:val="auto"/>
          <w:szCs w:val="21"/>
        </w:rPr>
        <w:t>，最高涨幅为基金景福（封闭式基金）的</w:t>
      </w:r>
      <w:r w:rsidRPr="00F9290D">
        <w:rPr>
          <w:rFonts w:eastAsia="楷体" w:cs="Arial"/>
          <w:color w:val="auto"/>
          <w:szCs w:val="21"/>
        </w:rPr>
        <w:t>0.51%</w:t>
      </w:r>
      <w:r w:rsidRPr="00F9290D">
        <w:rPr>
          <w:rFonts w:eastAsia="楷体" w:hAnsi="楷体" w:cs="Arial" w:hint="eastAsia"/>
          <w:color w:val="auto"/>
          <w:szCs w:val="21"/>
        </w:rPr>
        <w:t>。</w:t>
      </w:r>
    </w:p>
    <w:p w:rsidR="00EC7A20" w:rsidRPr="00F9290D" w:rsidRDefault="00EC7A20" w:rsidP="00A35D8A">
      <w:pPr>
        <w:pStyle w:val="BodyText"/>
        <w:numPr>
          <w:ilvl w:val="5"/>
          <w:numId w:val="2"/>
        </w:numPr>
        <w:spacing w:after="163"/>
        <w:ind w:left="4140" w:hanging="369"/>
        <w:rPr>
          <w:rFonts w:eastAsia="楷体" w:cs="Arial"/>
          <w:color w:val="auto"/>
          <w:szCs w:val="21"/>
        </w:rPr>
      </w:pPr>
      <w:r w:rsidRPr="00F9290D">
        <w:rPr>
          <w:rFonts w:eastAsia="楷体" w:hAnsi="楷体" w:cs="Arial" w:hint="eastAsia"/>
          <w:color w:val="auto"/>
          <w:szCs w:val="21"/>
        </w:rPr>
        <w:t>混合基金中权益类比重较高的</w:t>
      </w:r>
      <w:r w:rsidRPr="00F9290D">
        <w:rPr>
          <w:rFonts w:eastAsia="楷体" w:cs="Arial"/>
          <w:color w:val="auto"/>
          <w:szCs w:val="21"/>
        </w:rPr>
        <w:t>35</w:t>
      </w:r>
      <w:r w:rsidRPr="00F9290D">
        <w:rPr>
          <w:rFonts w:eastAsia="楷体" w:hAnsi="楷体" w:cs="Arial" w:hint="eastAsia"/>
          <w:color w:val="auto"/>
          <w:szCs w:val="21"/>
        </w:rPr>
        <w:t>只偏股型基金仅金鹰中小盘精选收益为正（</w:t>
      </w:r>
      <w:r w:rsidRPr="00F9290D">
        <w:rPr>
          <w:rFonts w:eastAsia="楷体" w:cs="Arial"/>
          <w:color w:val="auto"/>
          <w:szCs w:val="21"/>
        </w:rPr>
        <w:t>0.05%</w:t>
      </w:r>
      <w:r w:rsidRPr="00F9290D">
        <w:rPr>
          <w:rFonts w:eastAsia="楷体" w:hAnsi="楷体" w:cs="Arial" w:hint="eastAsia"/>
          <w:color w:val="auto"/>
          <w:szCs w:val="21"/>
        </w:rPr>
        <w:t>），其他全部为负。混合</w:t>
      </w:r>
      <w:r w:rsidRPr="00F9290D">
        <w:rPr>
          <w:rFonts w:eastAsia="楷体" w:cs="Arial"/>
          <w:color w:val="auto"/>
          <w:szCs w:val="21"/>
        </w:rPr>
        <w:t>-</w:t>
      </w:r>
      <w:r w:rsidRPr="00F9290D">
        <w:rPr>
          <w:rFonts w:eastAsia="楷体" w:hAnsi="楷体" w:cs="Arial" w:hint="eastAsia"/>
          <w:color w:val="auto"/>
          <w:szCs w:val="21"/>
        </w:rPr>
        <w:t>偏债型基金平均周收益</w:t>
      </w:r>
      <w:r w:rsidRPr="00F9290D">
        <w:rPr>
          <w:rFonts w:eastAsia="楷体" w:cs="Arial"/>
          <w:color w:val="auto"/>
          <w:szCs w:val="21"/>
        </w:rPr>
        <w:t>-0.29%</w:t>
      </w:r>
      <w:r w:rsidRPr="00F9290D">
        <w:rPr>
          <w:rFonts w:eastAsia="楷体" w:hAnsi="楷体" w:cs="Arial" w:hint="eastAsia"/>
          <w:color w:val="auto"/>
          <w:szCs w:val="21"/>
        </w:rPr>
        <w:t>，反超偏股型基金。混合</w:t>
      </w:r>
      <w:r w:rsidRPr="00F9290D">
        <w:rPr>
          <w:rFonts w:eastAsia="楷体" w:cs="Arial"/>
          <w:color w:val="auto"/>
          <w:szCs w:val="21"/>
        </w:rPr>
        <w:t>-</w:t>
      </w:r>
      <w:r w:rsidRPr="00F9290D">
        <w:rPr>
          <w:rFonts w:eastAsia="楷体" w:hAnsi="楷体" w:cs="Arial" w:hint="eastAsia"/>
          <w:color w:val="auto"/>
          <w:szCs w:val="21"/>
        </w:rPr>
        <w:t>灵活型基金约一成收益为正，八成以上收益为负，还有</w:t>
      </w:r>
      <w:r w:rsidRPr="00F9290D">
        <w:rPr>
          <w:rFonts w:eastAsia="楷体" w:cs="Arial"/>
          <w:color w:val="auto"/>
          <w:szCs w:val="21"/>
        </w:rPr>
        <w:t>13</w:t>
      </w:r>
      <w:r>
        <w:rPr>
          <w:rFonts w:eastAsia="楷体" w:hAnsi="楷体" w:cs="Arial" w:hint="eastAsia"/>
          <w:color w:val="auto"/>
          <w:szCs w:val="21"/>
        </w:rPr>
        <w:t>只基金净值持平</w:t>
      </w:r>
      <w:r w:rsidRPr="00F9290D">
        <w:rPr>
          <w:rFonts w:cs="Arial" w:hint="eastAsia"/>
          <w:color w:val="auto"/>
          <w:sz w:val="22"/>
        </w:rPr>
        <w:t>。</w:t>
      </w:r>
    </w:p>
    <w:p w:rsidR="00EC7A20" w:rsidRPr="00F9290D" w:rsidRDefault="00EC7A20" w:rsidP="00DE67B2">
      <w:pPr>
        <w:pStyle w:val="BodyText"/>
        <w:numPr>
          <w:ilvl w:val="4"/>
          <w:numId w:val="1"/>
        </w:numPr>
        <w:spacing w:after="163"/>
        <w:rPr>
          <w:rFonts w:eastAsia="楷体" w:cs="Arial"/>
          <w:color w:val="auto"/>
          <w:szCs w:val="21"/>
        </w:rPr>
      </w:pPr>
      <w:r w:rsidRPr="00F9290D">
        <w:rPr>
          <w:rFonts w:eastAsia="楷体" w:cs="Arial"/>
          <w:color w:val="auto"/>
          <w:szCs w:val="21"/>
        </w:rPr>
        <w:t>QDII</w:t>
      </w:r>
      <w:r w:rsidRPr="00F9290D">
        <w:rPr>
          <w:rFonts w:eastAsia="楷体" w:hAnsi="楷体" w:cs="Arial" w:hint="eastAsia"/>
          <w:color w:val="auto"/>
          <w:szCs w:val="21"/>
        </w:rPr>
        <w:t>基金整体下跌，周回报为</w:t>
      </w:r>
      <w:r w:rsidRPr="00F9290D">
        <w:rPr>
          <w:rFonts w:eastAsia="楷体" w:cs="Arial"/>
          <w:color w:val="auto"/>
          <w:szCs w:val="21"/>
        </w:rPr>
        <w:t>-0.09%</w:t>
      </w:r>
      <w:r w:rsidRPr="00F9290D">
        <w:rPr>
          <w:rFonts w:eastAsia="楷体" w:hAnsi="楷体" w:cs="Arial" w:hint="eastAsia"/>
          <w:color w:val="auto"/>
          <w:szCs w:val="21"/>
        </w:rPr>
        <w:t>。商品市场方面，上周黄金价格上涨</w:t>
      </w:r>
      <w:r w:rsidRPr="00F9290D">
        <w:rPr>
          <w:rFonts w:eastAsia="楷体" w:cs="Arial"/>
          <w:color w:val="auto"/>
          <w:szCs w:val="21"/>
        </w:rPr>
        <w:t>1.15%</w:t>
      </w:r>
      <w:r w:rsidRPr="00F9290D">
        <w:rPr>
          <w:rFonts w:eastAsia="楷体" w:hAnsi="楷体" w:cs="Arial" w:hint="eastAsia"/>
          <w:color w:val="auto"/>
          <w:szCs w:val="21"/>
        </w:rPr>
        <w:t>。而多只</w:t>
      </w:r>
      <w:r w:rsidRPr="00F9290D">
        <w:rPr>
          <w:rFonts w:eastAsia="楷体" w:cs="Arial"/>
          <w:color w:val="auto"/>
          <w:szCs w:val="21"/>
        </w:rPr>
        <w:t>QDII-</w:t>
      </w:r>
      <w:r>
        <w:rPr>
          <w:rFonts w:eastAsia="楷体" w:hAnsi="楷体" w:cs="Arial" w:hint="eastAsia"/>
          <w:color w:val="auto"/>
          <w:szCs w:val="21"/>
        </w:rPr>
        <w:t>商品基金业绩由谷底开始上行</w:t>
      </w:r>
      <w:r w:rsidRPr="00F9290D">
        <w:rPr>
          <w:rFonts w:eastAsia="楷体" w:hAnsi="楷体" w:cs="Arial" w:hint="eastAsia"/>
          <w:color w:val="auto"/>
          <w:szCs w:val="21"/>
        </w:rPr>
        <w:t>。汇添富黄金及贵金属，诺安全球黄金周收益位于</w:t>
      </w:r>
      <w:r w:rsidRPr="00F9290D">
        <w:rPr>
          <w:rFonts w:eastAsia="楷体" w:cs="Arial"/>
          <w:color w:val="auto"/>
          <w:szCs w:val="21"/>
        </w:rPr>
        <w:t>QDII</w:t>
      </w:r>
      <w:r w:rsidRPr="00F9290D">
        <w:rPr>
          <w:rFonts w:eastAsia="楷体" w:hAnsi="楷体" w:cs="Arial" w:hint="eastAsia"/>
          <w:color w:val="auto"/>
          <w:szCs w:val="21"/>
        </w:rPr>
        <w:t>业绩前五。新兴市场方面跌多涨少，不如成熟市场。</w:t>
      </w:r>
    </w:p>
    <w:p w:rsidR="00EC7A20" w:rsidRPr="00EB505F" w:rsidRDefault="00EC7A20" w:rsidP="00EB505F">
      <w:pPr>
        <w:widowControl/>
        <w:spacing w:after="120"/>
        <w:ind w:left="3430"/>
        <w:rPr>
          <w:rFonts w:ascii="楷体" w:eastAsia="楷体" w:hAnsi="楷体"/>
          <w:b/>
          <w:bCs/>
          <w:color w:val="0070C0"/>
          <w:kern w:val="0"/>
          <w:szCs w:val="21"/>
          <w:lang w:val="en-GB"/>
        </w:rPr>
      </w:pPr>
      <w:r w:rsidRPr="005B7CDB">
        <w:rPr>
          <w:rFonts w:ascii="楷体" w:eastAsia="楷体" w:hAnsi="楷体" w:hint="eastAsia"/>
          <w:b/>
          <w:bCs/>
          <w:color w:val="0070C0"/>
          <w:kern w:val="0"/>
          <w:szCs w:val="21"/>
          <w:lang w:val="en-GB"/>
        </w:rPr>
        <w:t>固定收益类基金一周业绩：</w:t>
      </w:r>
      <w:r w:rsidRPr="005B7CDB">
        <w:rPr>
          <w:rFonts w:ascii="楷体" w:eastAsia="楷体" w:hAnsi="楷体"/>
        </w:rPr>
        <w:t xml:space="preserve"> </w:t>
      </w:r>
      <w:r w:rsidRPr="000B716A">
        <w:rPr>
          <w:rFonts w:ascii="楷体" w:eastAsia="楷体" w:hAnsi="楷体" w:hint="eastAsia"/>
          <w:b/>
          <w:bCs/>
          <w:color w:val="0070C0"/>
          <w:kern w:val="0"/>
          <w:szCs w:val="21"/>
          <w:lang w:val="en-GB"/>
        </w:rPr>
        <w:t>货币基金</w:t>
      </w:r>
      <w:r>
        <w:rPr>
          <w:rFonts w:ascii="楷体" w:eastAsia="楷体" w:hAnsi="楷体" w:hint="eastAsia"/>
          <w:b/>
          <w:bCs/>
          <w:color w:val="0070C0"/>
          <w:kern w:val="0"/>
          <w:szCs w:val="21"/>
          <w:lang w:val="en-GB"/>
        </w:rPr>
        <w:t>收益有所上行</w:t>
      </w:r>
    </w:p>
    <w:p w:rsidR="00EC7A20" w:rsidRPr="00E9276D" w:rsidRDefault="00EC7A20" w:rsidP="00AD3504">
      <w:pPr>
        <w:pStyle w:val="BodyText"/>
        <w:numPr>
          <w:ilvl w:val="4"/>
          <w:numId w:val="1"/>
        </w:numPr>
        <w:spacing w:after="163"/>
        <w:rPr>
          <w:rFonts w:eastAsia="楷体" w:cs="Arial"/>
          <w:szCs w:val="21"/>
        </w:rPr>
      </w:pPr>
      <w:r w:rsidRPr="00E9276D">
        <w:rPr>
          <w:rFonts w:eastAsia="楷体" w:hAnsi="楷体" w:cs="Arial" w:hint="eastAsia"/>
          <w:szCs w:val="21"/>
        </w:rPr>
        <w:t>上周央行进行</w:t>
      </w:r>
      <w:r w:rsidRPr="00E9276D">
        <w:rPr>
          <w:rFonts w:eastAsia="楷体" w:cs="Arial"/>
          <w:szCs w:val="21"/>
        </w:rPr>
        <w:t>100</w:t>
      </w:r>
      <w:r w:rsidRPr="00E9276D">
        <w:rPr>
          <w:rFonts w:eastAsia="楷体" w:hAnsi="楷体" w:cs="Arial" w:hint="eastAsia"/>
          <w:szCs w:val="21"/>
        </w:rPr>
        <w:t>亿元人民币正回购操作，净投放</w:t>
      </w:r>
      <w:r w:rsidRPr="00E9276D">
        <w:rPr>
          <w:rFonts w:eastAsia="楷体" w:cs="Arial"/>
          <w:szCs w:val="21"/>
        </w:rPr>
        <w:t>450</w:t>
      </w:r>
      <w:r w:rsidRPr="00E9276D">
        <w:rPr>
          <w:rFonts w:eastAsia="楷体" w:hAnsi="楷体" w:cs="Arial" w:hint="eastAsia"/>
          <w:szCs w:val="21"/>
        </w:rPr>
        <w:t>亿元，前两周净投放金额分别为</w:t>
      </w:r>
      <w:r w:rsidRPr="00E9276D">
        <w:rPr>
          <w:rFonts w:eastAsia="楷体" w:cs="Arial"/>
          <w:szCs w:val="21"/>
        </w:rPr>
        <w:t>110</w:t>
      </w:r>
      <w:r w:rsidRPr="00E9276D">
        <w:rPr>
          <w:rFonts w:eastAsia="楷体" w:hAnsi="楷体" w:cs="Arial" w:hint="eastAsia"/>
          <w:szCs w:val="21"/>
        </w:rPr>
        <w:t>亿元、</w:t>
      </w:r>
      <w:r w:rsidRPr="00E9276D">
        <w:rPr>
          <w:rFonts w:eastAsia="楷体" w:cs="Arial"/>
          <w:szCs w:val="21"/>
        </w:rPr>
        <w:t>140</w:t>
      </w:r>
      <w:r>
        <w:rPr>
          <w:rFonts w:eastAsia="楷体" w:hAnsi="楷体" w:cs="Arial" w:hint="eastAsia"/>
          <w:szCs w:val="21"/>
        </w:rPr>
        <w:t>亿元。虽然</w:t>
      </w:r>
      <w:r w:rsidRPr="00E9276D">
        <w:rPr>
          <w:rFonts w:eastAsia="楷体" w:hAnsi="楷体" w:cs="Arial" w:hint="eastAsia"/>
          <w:szCs w:val="21"/>
        </w:rPr>
        <w:t>净投放金额明显增加，但由于新股申购的原因，银行间市场利率上升，导致了月末资金趋紧的局面。</w:t>
      </w:r>
    </w:p>
    <w:p w:rsidR="00EC7A20" w:rsidRPr="00E9276D" w:rsidRDefault="00EC7A20" w:rsidP="00026FF9">
      <w:pPr>
        <w:pStyle w:val="BodyText"/>
        <w:numPr>
          <w:ilvl w:val="4"/>
          <w:numId w:val="1"/>
        </w:numPr>
        <w:spacing w:after="163"/>
        <w:rPr>
          <w:rFonts w:eastAsia="楷体" w:cs="Arial"/>
          <w:szCs w:val="21"/>
        </w:rPr>
      </w:pPr>
      <w:r w:rsidRPr="00E9276D">
        <w:rPr>
          <w:rFonts w:eastAsia="楷体" w:hAnsi="楷体" w:cs="Arial" w:hint="eastAsia"/>
          <w:szCs w:val="21"/>
        </w:rPr>
        <w:t>上周，中证全债指数上涨</w:t>
      </w:r>
      <w:r w:rsidRPr="00E9276D">
        <w:rPr>
          <w:rFonts w:eastAsia="楷体" w:cs="Arial"/>
          <w:szCs w:val="21"/>
        </w:rPr>
        <w:t>0.17%</w:t>
      </w:r>
      <w:r w:rsidRPr="00E9276D">
        <w:rPr>
          <w:rFonts w:eastAsia="楷体" w:hAnsi="楷体" w:cs="Arial" w:hint="eastAsia"/>
          <w:szCs w:val="21"/>
        </w:rPr>
        <w:t>，中证可转债指数下跌</w:t>
      </w:r>
      <w:r w:rsidRPr="00E9276D">
        <w:rPr>
          <w:rFonts w:eastAsia="楷体" w:cs="Arial"/>
          <w:szCs w:val="21"/>
        </w:rPr>
        <w:t>0.23%</w:t>
      </w:r>
      <w:r w:rsidRPr="00E9276D">
        <w:rPr>
          <w:rFonts w:eastAsia="楷体" w:hAnsi="楷体" w:cs="Arial" w:hint="eastAsia"/>
          <w:szCs w:val="21"/>
        </w:rPr>
        <w:t>。债券基金虽相比股票基金优秀，但是除了二级债基和可转债基收益下滑，其他债基表现与前周差别不大。</w:t>
      </w:r>
      <w:r w:rsidRPr="00E9276D">
        <w:rPr>
          <w:rFonts w:eastAsia="楷体" w:cs="Arial"/>
          <w:szCs w:val="21"/>
        </w:rPr>
        <w:t>261</w:t>
      </w:r>
      <w:r w:rsidRPr="00E9276D">
        <w:rPr>
          <w:rFonts w:eastAsia="楷体" w:hAnsi="楷体" w:cs="Arial" w:hint="eastAsia"/>
          <w:szCs w:val="21"/>
        </w:rPr>
        <w:t>只纯债基金仅</w:t>
      </w:r>
      <w:r w:rsidRPr="00E9276D">
        <w:rPr>
          <w:rFonts w:eastAsia="楷体" w:cs="Arial"/>
          <w:szCs w:val="21"/>
        </w:rPr>
        <w:t>7</w:t>
      </w:r>
      <w:r w:rsidRPr="00E9276D">
        <w:rPr>
          <w:rFonts w:eastAsia="楷体" w:hAnsi="楷体" w:cs="Arial" w:hint="eastAsia"/>
          <w:szCs w:val="21"/>
        </w:rPr>
        <w:t>只收益为负，</w:t>
      </w:r>
      <w:r w:rsidRPr="00E9276D">
        <w:rPr>
          <w:rFonts w:eastAsia="楷体" w:cs="Arial"/>
          <w:szCs w:val="21"/>
        </w:rPr>
        <w:t>160</w:t>
      </w:r>
      <w:r w:rsidRPr="00E9276D">
        <w:rPr>
          <w:rFonts w:eastAsia="楷体" w:hAnsi="楷体" w:cs="Arial" w:hint="eastAsia"/>
          <w:szCs w:val="21"/>
        </w:rPr>
        <w:t>只一级债基仅</w:t>
      </w:r>
      <w:r w:rsidRPr="00E9276D">
        <w:rPr>
          <w:rFonts w:eastAsia="楷体" w:cs="Arial"/>
          <w:szCs w:val="21"/>
        </w:rPr>
        <w:t>8</w:t>
      </w:r>
      <w:r w:rsidRPr="00E9276D">
        <w:rPr>
          <w:rFonts w:eastAsia="楷体" w:hAnsi="楷体" w:cs="Arial" w:hint="eastAsia"/>
          <w:szCs w:val="21"/>
        </w:rPr>
        <w:t>只收益为负，指数债基和理财债基周回报均全数收正。</w:t>
      </w:r>
    </w:p>
    <w:p w:rsidR="00EC7A20" w:rsidRPr="00E9276D" w:rsidRDefault="00EC7A20" w:rsidP="00AD3504">
      <w:pPr>
        <w:pStyle w:val="BodyText"/>
        <w:numPr>
          <w:ilvl w:val="4"/>
          <w:numId w:val="1"/>
        </w:numPr>
        <w:spacing w:after="163"/>
        <w:rPr>
          <w:rFonts w:eastAsia="楷体" w:cs="Arial"/>
          <w:szCs w:val="21"/>
        </w:rPr>
      </w:pPr>
      <w:r w:rsidRPr="00E9276D">
        <w:rPr>
          <w:rFonts w:eastAsia="楷体" w:hAnsi="楷体" w:cs="Arial" w:hint="eastAsia"/>
          <w:szCs w:val="21"/>
        </w:rPr>
        <w:t>货币市场基金业绩好转，</w:t>
      </w:r>
      <w:r w:rsidRPr="00E9276D">
        <w:rPr>
          <w:rFonts w:eastAsia="楷体" w:cs="Arial"/>
          <w:szCs w:val="21"/>
        </w:rPr>
        <w:t>230</w:t>
      </w:r>
      <w:r w:rsidRPr="00E9276D">
        <w:rPr>
          <w:rFonts w:eastAsia="楷体" w:hAnsi="楷体" w:cs="Arial" w:hint="eastAsia"/>
          <w:szCs w:val="21"/>
        </w:rPr>
        <w:t>只货币基金的</w:t>
      </w:r>
      <w:r w:rsidRPr="00E9276D">
        <w:rPr>
          <w:rFonts w:eastAsia="楷体" w:cs="Arial"/>
          <w:szCs w:val="21"/>
        </w:rPr>
        <w:t>7</w:t>
      </w:r>
      <w:r w:rsidRPr="00E9276D">
        <w:rPr>
          <w:rFonts w:eastAsia="楷体" w:hAnsi="楷体" w:cs="Arial" w:hint="eastAsia"/>
          <w:szCs w:val="21"/>
        </w:rPr>
        <w:t>日折算收益率平均值为</w:t>
      </w:r>
      <w:r w:rsidRPr="00E9276D">
        <w:rPr>
          <w:rFonts w:eastAsia="楷体" w:cs="Arial"/>
          <w:szCs w:val="21"/>
        </w:rPr>
        <w:t>4.22%,</w:t>
      </w:r>
      <w:r w:rsidRPr="00E9276D">
        <w:rPr>
          <w:rFonts w:eastAsia="楷体" w:hAnsi="楷体" w:cs="Arial" w:hint="eastAsia"/>
          <w:szCs w:val="21"/>
        </w:rPr>
        <w:t>其中有</w:t>
      </w:r>
      <w:r w:rsidRPr="00E9276D">
        <w:rPr>
          <w:rFonts w:eastAsia="楷体" w:cs="Arial"/>
          <w:szCs w:val="21"/>
        </w:rPr>
        <w:t>26</w:t>
      </w:r>
      <w:r w:rsidRPr="00E9276D">
        <w:rPr>
          <w:rFonts w:eastAsia="楷体" w:hAnsi="楷体" w:cs="Arial" w:hint="eastAsia"/>
          <w:szCs w:val="21"/>
        </w:rPr>
        <w:t>只产品收益过</w:t>
      </w:r>
      <w:r w:rsidRPr="00E9276D">
        <w:rPr>
          <w:rFonts w:eastAsia="楷体" w:cs="Arial"/>
          <w:szCs w:val="21"/>
        </w:rPr>
        <w:t>5%</w:t>
      </w:r>
      <w:r w:rsidRPr="00E9276D">
        <w:rPr>
          <w:rFonts w:eastAsia="楷体" w:hAnsi="楷体" w:cs="Arial" w:hint="eastAsia"/>
          <w:szCs w:val="21"/>
        </w:rPr>
        <w:t>。其中，招商保证金快线</w:t>
      </w:r>
      <w:r w:rsidRPr="00E9276D">
        <w:rPr>
          <w:rFonts w:eastAsia="楷体" w:cs="Arial"/>
          <w:szCs w:val="21"/>
        </w:rPr>
        <w:t>B</w:t>
      </w:r>
      <w:r w:rsidRPr="00E9276D">
        <w:rPr>
          <w:rFonts w:eastAsia="楷体" w:hAnsi="楷体" w:cs="Arial" w:hint="eastAsia"/>
          <w:szCs w:val="21"/>
        </w:rPr>
        <w:t>和招商保证金快线</w:t>
      </w:r>
      <w:r w:rsidRPr="00E9276D">
        <w:rPr>
          <w:rFonts w:eastAsia="楷体" w:cs="Arial"/>
          <w:szCs w:val="21"/>
        </w:rPr>
        <w:t>A</w:t>
      </w:r>
      <w:r w:rsidRPr="00E9276D">
        <w:rPr>
          <w:rFonts w:eastAsia="楷体" w:hAnsi="楷体" w:cs="Arial" w:hint="eastAsia"/>
          <w:szCs w:val="21"/>
        </w:rPr>
        <w:t>份额分别以</w:t>
      </w:r>
      <w:r w:rsidRPr="00E9276D">
        <w:rPr>
          <w:rFonts w:eastAsia="楷体" w:cs="Arial"/>
          <w:szCs w:val="21"/>
        </w:rPr>
        <w:t>10.92%</w:t>
      </w:r>
      <w:r w:rsidRPr="00E9276D">
        <w:rPr>
          <w:rFonts w:eastAsia="楷体" w:hAnsi="楷体" w:cs="Arial" w:hint="eastAsia"/>
          <w:szCs w:val="21"/>
        </w:rPr>
        <w:t>和</w:t>
      </w:r>
      <w:r w:rsidRPr="00E9276D">
        <w:rPr>
          <w:rFonts w:eastAsia="楷体" w:cs="Arial"/>
          <w:szCs w:val="21"/>
        </w:rPr>
        <w:t>10.24%</w:t>
      </w:r>
      <w:r w:rsidRPr="00E9276D">
        <w:rPr>
          <w:rFonts w:eastAsia="楷体" w:hAnsi="楷体" w:cs="Arial" w:hint="eastAsia"/>
          <w:szCs w:val="21"/>
        </w:rPr>
        <w:t>排名第一，第二。</w:t>
      </w:r>
    </w:p>
    <w:p w:rsidR="00EC7A20" w:rsidRPr="000B716A" w:rsidRDefault="00EC7A20" w:rsidP="00AE75DA">
      <w:pPr>
        <w:widowControl/>
        <w:spacing w:after="120"/>
        <w:ind w:left="3430"/>
        <w:rPr>
          <w:rFonts w:ascii="楷体" w:eastAsia="楷体" w:hAnsi="楷体"/>
          <w:b/>
          <w:bCs/>
          <w:color w:val="0070C0"/>
          <w:kern w:val="0"/>
          <w:szCs w:val="21"/>
          <w:lang w:val="en-GB"/>
        </w:rPr>
      </w:pPr>
      <w:r w:rsidRPr="00EB505F">
        <w:rPr>
          <w:rFonts w:ascii="楷体" w:eastAsia="楷体" w:hAnsi="楷体" w:hint="eastAsia"/>
          <w:b/>
          <w:bCs/>
          <w:color w:val="0070C0"/>
          <w:kern w:val="0"/>
          <w:szCs w:val="21"/>
          <w:lang w:val="en-GB"/>
        </w:rPr>
        <w:t>分级基金子份额一周业绩：</w:t>
      </w:r>
      <w:r w:rsidRPr="00EC3F72">
        <w:rPr>
          <w:rFonts w:ascii="楷体" w:eastAsia="楷体" w:hAnsi="楷体"/>
          <w:b/>
          <w:bCs/>
          <w:color w:val="FF0000"/>
          <w:kern w:val="0"/>
          <w:szCs w:val="21"/>
          <w:lang w:val="en-GB"/>
        </w:rPr>
        <w:t xml:space="preserve"> </w:t>
      </w:r>
      <w:r>
        <w:rPr>
          <w:rFonts w:ascii="楷体" w:eastAsia="楷体" w:hAnsi="楷体" w:hint="eastAsia"/>
          <w:b/>
          <w:bCs/>
          <w:color w:val="0070C0"/>
          <w:kern w:val="0"/>
          <w:szCs w:val="21"/>
          <w:lang w:val="en-GB"/>
        </w:rPr>
        <w:t>股票分级份额双跌</w:t>
      </w:r>
      <w:r>
        <w:rPr>
          <w:rFonts w:ascii="楷体" w:eastAsia="楷体" w:hAnsi="楷体"/>
          <w:b/>
          <w:bCs/>
          <w:color w:val="0070C0"/>
          <w:kern w:val="0"/>
          <w:szCs w:val="21"/>
          <w:lang w:val="en-GB"/>
        </w:rPr>
        <w:t xml:space="preserve"> </w:t>
      </w:r>
      <w:r>
        <w:rPr>
          <w:rFonts w:ascii="楷体" w:eastAsia="楷体" w:hAnsi="楷体" w:hint="eastAsia"/>
          <w:b/>
          <w:bCs/>
          <w:color w:val="0070C0"/>
          <w:kern w:val="0"/>
          <w:szCs w:val="21"/>
          <w:lang w:val="en-GB"/>
        </w:rPr>
        <w:t>债券</w:t>
      </w:r>
      <w:r w:rsidRPr="000B716A">
        <w:rPr>
          <w:rFonts w:ascii="楷体" w:eastAsia="楷体" w:hAnsi="楷体" w:hint="eastAsia"/>
          <w:b/>
          <w:bCs/>
          <w:color w:val="0070C0"/>
          <w:kern w:val="0"/>
          <w:szCs w:val="21"/>
          <w:lang w:val="en-GB"/>
        </w:rPr>
        <w:t>分级份额双涨</w:t>
      </w:r>
    </w:p>
    <w:p w:rsidR="00EC7A20" w:rsidRPr="00E9276D" w:rsidRDefault="00EC7A20" w:rsidP="006B48F2">
      <w:pPr>
        <w:pStyle w:val="BodyText"/>
        <w:numPr>
          <w:ilvl w:val="4"/>
          <w:numId w:val="1"/>
        </w:numPr>
        <w:spacing w:after="163"/>
        <w:rPr>
          <w:rFonts w:eastAsia="楷体" w:cs="Arial"/>
          <w:szCs w:val="21"/>
        </w:rPr>
      </w:pPr>
      <w:r w:rsidRPr="00E9276D">
        <w:rPr>
          <w:rFonts w:eastAsia="楷体" w:hAnsi="楷体" w:cs="Arial" w:hint="eastAsia"/>
          <w:szCs w:val="21"/>
        </w:rPr>
        <w:t>股票型分级基金方面，积极份额和稳健份额收益双双下跌，尤其是积极份额整体周跌</w:t>
      </w:r>
      <w:r w:rsidRPr="00E9276D">
        <w:rPr>
          <w:rFonts w:eastAsia="楷体" w:cs="Arial"/>
          <w:szCs w:val="21"/>
        </w:rPr>
        <w:t>3.32%</w:t>
      </w:r>
      <w:r w:rsidRPr="00E9276D">
        <w:rPr>
          <w:rFonts w:eastAsia="楷体" w:hAnsi="楷体" w:cs="Arial" w:hint="eastAsia"/>
          <w:szCs w:val="21"/>
        </w:rPr>
        <w:t>，</w:t>
      </w:r>
      <w:r w:rsidRPr="00E9276D">
        <w:rPr>
          <w:rFonts w:eastAsia="楷体" w:cs="Arial"/>
          <w:szCs w:val="21"/>
        </w:rPr>
        <w:t>52</w:t>
      </w:r>
      <w:r w:rsidRPr="00E9276D">
        <w:rPr>
          <w:rFonts w:eastAsia="楷体" w:hAnsi="楷体" w:cs="Arial" w:hint="eastAsia"/>
          <w:szCs w:val="21"/>
        </w:rPr>
        <w:t>只积极份额周收益</w:t>
      </w:r>
      <w:r>
        <w:rPr>
          <w:rFonts w:eastAsia="楷体" w:hAnsi="楷体" w:cs="Arial" w:hint="eastAsia"/>
          <w:szCs w:val="21"/>
        </w:rPr>
        <w:t>几乎</w:t>
      </w:r>
      <w:r w:rsidRPr="00E9276D">
        <w:rPr>
          <w:rFonts w:eastAsia="楷体" w:hAnsi="楷体" w:cs="Arial" w:hint="eastAsia"/>
          <w:szCs w:val="21"/>
        </w:rPr>
        <w:t>全数为负，单只产品的积极份额最大跌幅为</w:t>
      </w:r>
      <w:r w:rsidRPr="00E9276D">
        <w:rPr>
          <w:rFonts w:eastAsia="楷体" w:cs="Arial"/>
          <w:szCs w:val="21"/>
        </w:rPr>
        <w:t>7.78%</w:t>
      </w:r>
      <w:r w:rsidRPr="00E9276D">
        <w:rPr>
          <w:rFonts w:eastAsia="楷体" w:hAnsi="楷体" w:cs="Arial" w:hint="eastAsia"/>
          <w:szCs w:val="21"/>
        </w:rPr>
        <w:t>。股票稳健份额虽然仅两只周回报为负，但其他稳健份额的整体涨幅在</w:t>
      </w:r>
      <w:r w:rsidRPr="00E9276D">
        <w:rPr>
          <w:rFonts w:eastAsia="楷体" w:cs="Arial"/>
          <w:szCs w:val="21"/>
        </w:rPr>
        <w:t>0-0.2%</w:t>
      </w:r>
      <w:r w:rsidRPr="00E9276D">
        <w:rPr>
          <w:rFonts w:eastAsia="楷体" w:hAnsi="楷体" w:cs="Arial" w:hint="eastAsia"/>
          <w:szCs w:val="21"/>
        </w:rPr>
        <w:t>之间，涨幅收窄较大。</w:t>
      </w:r>
    </w:p>
    <w:p w:rsidR="00EC7A20" w:rsidRPr="00E9276D" w:rsidRDefault="00EC7A20" w:rsidP="004049E1">
      <w:pPr>
        <w:pStyle w:val="BodyText"/>
        <w:numPr>
          <w:ilvl w:val="4"/>
          <w:numId w:val="1"/>
        </w:numPr>
        <w:spacing w:after="163"/>
        <w:rPr>
          <w:rFonts w:eastAsia="楷体" w:cs="Arial"/>
          <w:szCs w:val="21"/>
        </w:rPr>
      </w:pPr>
      <w:r w:rsidRPr="00E9276D">
        <w:rPr>
          <w:rFonts w:eastAsia="楷体" w:hAnsi="楷体" w:cs="Arial" w:hint="eastAsia"/>
          <w:szCs w:val="21"/>
        </w:rPr>
        <w:t>债券基金稳健份额上涨缓慢，平均周涨幅为</w:t>
      </w:r>
      <w:r w:rsidRPr="00E9276D">
        <w:rPr>
          <w:rFonts w:eastAsia="楷体" w:cs="Arial"/>
          <w:szCs w:val="21"/>
        </w:rPr>
        <w:t>0.1%</w:t>
      </w:r>
      <w:r w:rsidRPr="00E9276D">
        <w:rPr>
          <w:rFonts w:eastAsia="楷体" w:hAnsi="楷体" w:cs="Arial" w:hint="eastAsia"/>
          <w:szCs w:val="21"/>
        </w:rPr>
        <w:t>，除博时稳健回报</w:t>
      </w:r>
      <w:r w:rsidRPr="00E9276D">
        <w:rPr>
          <w:rFonts w:eastAsia="楷体" w:cs="Arial"/>
          <w:szCs w:val="21"/>
        </w:rPr>
        <w:t>C</w:t>
      </w:r>
      <w:r w:rsidRPr="00E9276D">
        <w:rPr>
          <w:rFonts w:eastAsia="楷体" w:hAnsi="楷体" w:cs="Arial" w:hint="eastAsia"/>
          <w:szCs w:val="21"/>
        </w:rPr>
        <w:t>周涨幅为</w:t>
      </w:r>
      <w:r w:rsidRPr="00E9276D">
        <w:rPr>
          <w:rFonts w:eastAsia="楷体" w:cs="Arial"/>
          <w:szCs w:val="21"/>
        </w:rPr>
        <w:t>0.77%</w:t>
      </w:r>
      <w:r w:rsidRPr="00E9276D">
        <w:rPr>
          <w:rFonts w:eastAsia="楷体" w:hAnsi="楷体" w:cs="Arial" w:hint="eastAsia"/>
          <w:szCs w:val="21"/>
        </w:rPr>
        <w:t>外，其他稳健份额涨幅都在</w:t>
      </w:r>
      <w:r w:rsidRPr="00E9276D">
        <w:rPr>
          <w:rFonts w:eastAsia="楷体" w:cs="Arial"/>
          <w:szCs w:val="21"/>
        </w:rPr>
        <w:t>0.2%</w:t>
      </w:r>
      <w:r w:rsidRPr="00E9276D">
        <w:rPr>
          <w:rFonts w:eastAsia="楷体" w:hAnsi="楷体" w:cs="Arial" w:hint="eastAsia"/>
          <w:szCs w:val="21"/>
        </w:rPr>
        <w:t>以下。大部分债券积极份额周回报为正，银华中证转债</w:t>
      </w:r>
      <w:r w:rsidRPr="00E9276D">
        <w:rPr>
          <w:rFonts w:eastAsia="楷体" w:cs="Arial"/>
          <w:szCs w:val="21"/>
        </w:rPr>
        <w:t>B</w:t>
      </w:r>
      <w:r w:rsidRPr="00E9276D">
        <w:rPr>
          <w:rFonts w:eastAsia="楷体" w:hAnsi="楷体" w:cs="Arial" w:hint="eastAsia"/>
          <w:szCs w:val="21"/>
        </w:rPr>
        <w:t>周涨幅最高，为</w:t>
      </w:r>
      <w:r w:rsidRPr="00E9276D">
        <w:rPr>
          <w:rFonts w:eastAsia="楷体" w:cs="Arial"/>
          <w:szCs w:val="21"/>
        </w:rPr>
        <w:t>1.99%</w:t>
      </w:r>
      <w:r w:rsidRPr="00E9276D">
        <w:rPr>
          <w:rFonts w:eastAsia="楷体" w:hAnsi="楷体" w:cs="Arial" w:hint="eastAsia"/>
          <w:szCs w:val="21"/>
        </w:rPr>
        <w:t>。</w:t>
      </w:r>
    </w:p>
    <w:tbl>
      <w:tblPr>
        <w:tblW w:w="11057" w:type="dxa"/>
        <w:tblInd w:w="-142"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851"/>
        <w:gridCol w:w="851"/>
        <w:gridCol w:w="1984"/>
        <w:gridCol w:w="851"/>
        <w:gridCol w:w="991"/>
        <w:gridCol w:w="993"/>
        <w:gridCol w:w="992"/>
        <w:gridCol w:w="1843"/>
        <w:gridCol w:w="851"/>
        <w:gridCol w:w="850"/>
      </w:tblGrid>
      <w:tr w:rsidR="00EC7A20" w:rsidRPr="00BA6F16" w:rsidTr="00CE01AE">
        <w:trPr>
          <w:cantSplit/>
          <w:trHeight w:val="335"/>
        </w:trPr>
        <w:tc>
          <w:tcPr>
            <w:tcW w:w="11057" w:type="dxa"/>
            <w:gridSpan w:val="10"/>
            <w:vAlign w:val="center"/>
          </w:tcPr>
          <w:p w:rsidR="00EC7A20" w:rsidRPr="005B7CDB" w:rsidRDefault="00EC7A20" w:rsidP="002D2967">
            <w:pPr>
              <w:pStyle w:val="SubTitleLargeTable"/>
              <w:pBdr>
                <w:top w:val="none" w:sz="0" w:space="0" w:color="auto"/>
              </w:pBdr>
              <w:rPr>
                <w:rFonts w:ascii="楷体" w:eastAsia="楷体" w:hAnsi="楷体"/>
                <w:b w:val="0"/>
              </w:rPr>
            </w:pPr>
            <w:r w:rsidRPr="005B7CDB">
              <w:rPr>
                <w:rFonts w:ascii="楷体" w:eastAsia="楷体" w:hAnsi="楷体" w:cs="宋体" w:hint="eastAsia"/>
                <w:color w:val="FF6600"/>
              </w:rPr>
              <w:t>图表</w:t>
            </w:r>
            <w:r w:rsidRPr="005B7CDB">
              <w:rPr>
                <w:rFonts w:ascii="楷体" w:eastAsia="楷体" w:hAnsi="楷体"/>
                <w:color w:val="FF6600"/>
              </w:rPr>
              <w:t>5</w:t>
            </w:r>
            <w:r w:rsidRPr="005B7CDB">
              <w:rPr>
                <w:rFonts w:ascii="楷体" w:eastAsia="楷体" w:hAnsi="楷体" w:cs="宋体" w:hint="eastAsia"/>
                <w:color w:val="FF6600"/>
              </w:rPr>
              <w:t>：各类型公募基金（含封闭式）周收益率前</w:t>
            </w:r>
            <w:r w:rsidRPr="005B7CDB">
              <w:rPr>
                <w:rFonts w:ascii="楷体" w:eastAsia="楷体" w:hAnsi="楷体"/>
                <w:color w:val="FF6600"/>
              </w:rPr>
              <w:t>3</w:t>
            </w:r>
            <w:r w:rsidRPr="005B7CDB">
              <w:rPr>
                <w:rFonts w:ascii="楷体" w:eastAsia="楷体" w:hAnsi="楷体" w:cs="宋体" w:hint="eastAsia"/>
                <w:color w:val="FF6600"/>
              </w:rPr>
              <w:t>（</w:t>
            </w:r>
            <w:r>
              <w:rPr>
                <w:rFonts w:ascii="楷体" w:eastAsia="楷体" w:hAnsi="楷体"/>
                <w:color w:val="FF6600"/>
              </w:rPr>
              <w:t>08.25~29</w:t>
            </w:r>
            <w:r w:rsidRPr="005B7CDB">
              <w:rPr>
                <w:rFonts w:ascii="楷体" w:eastAsia="楷体" w:hAnsi="楷体" w:cs="宋体" w:hint="eastAsia"/>
                <w:color w:val="FF6600"/>
              </w:rPr>
              <w:t>，</w:t>
            </w:r>
            <w:r w:rsidRPr="005B7CDB">
              <w:rPr>
                <w:rFonts w:ascii="楷体" w:eastAsia="楷体" w:hAnsi="楷体"/>
                <w:color w:val="FF6600"/>
              </w:rPr>
              <w:t>QDII</w:t>
            </w:r>
            <w:r w:rsidRPr="005B7CDB">
              <w:rPr>
                <w:rFonts w:ascii="楷体" w:eastAsia="楷体" w:hAnsi="楷体" w:hint="eastAsia"/>
                <w:color w:val="FF6600"/>
              </w:rPr>
              <w:t>为</w:t>
            </w:r>
            <w:r>
              <w:rPr>
                <w:rFonts w:ascii="楷体" w:eastAsia="楷体" w:hAnsi="楷体"/>
                <w:color w:val="FF6600"/>
              </w:rPr>
              <w:t>08.22</w:t>
            </w:r>
            <w:r w:rsidRPr="00057142">
              <w:rPr>
                <w:rFonts w:ascii="楷体" w:eastAsia="楷体" w:hAnsi="楷体"/>
                <w:color w:val="FF6600"/>
              </w:rPr>
              <w:t>~</w:t>
            </w:r>
            <w:r>
              <w:rPr>
                <w:rFonts w:ascii="楷体" w:eastAsia="楷体" w:hAnsi="楷体"/>
                <w:color w:val="FF6600"/>
              </w:rPr>
              <w:t>28</w:t>
            </w:r>
            <w:r w:rsidRPr="005B7CDB">
              <w:rPr>
                <w:rFonts w:ascii="楷体" w:eastAsia="楷体" w:hAnsi="楷体" w:hint="eastAsia"/>
                <w:color w:val="FF6600"/>
              </w:rPr>
              <w:t>，货币基金为</w:t>
            </w:r>
            <w:r w:rsidRPr="005B7CDB">
              <w:rPr>
                <w:rFonts w:ascii="楷体" w:eastAsia="楷体" w:hAnsi="楷体"/>
                <w:color w:val="FF6600"/>
              </w:rPr>
              <w:t>7</w:t>
            </w:r>
            <w:r w:rsidRPr="005B7CDB">
              <w:rPr>
                <w:rFonts w:ascii="楷体" w:eastAsia="楷体" w:hAnsi="楷体" w:hint="eastAsia"/>
                <w:color w:val="FF6600"/>
              </w:rPr>
              <w:t>日年化收益</w:t>
            </w:r>
            <w:r>
              <w:rPr>
                <w:rFonts w:ascii="楷体" w:eastAsia="楷体" w:hAnsi="楷体" w:hint="eastAsia"/>
                <w:color w:val="FF6600"/>
              </w:rPr>
              <w:t>率</w:t>
            </w:r>
            <w:r w:rsidRPr="005B7CDB">
              <w:rPr>
                <w:rFonts w:ascii="楷体" w:eastAsia="楷体" w:hAnsi="楷体" w:cs="宋体" w:hint="eastAsia"/>
                <w:color w:val="FF6600"/>
              </w:rPr>
              <w:t>）</w:t>
            </w:r>
          </w:p>
        </w:tc>
      </w:tr>
      <w:tr w:rsidR="00EC7A20" w:rsidRPr="00BA6F16" w:rsidTr="000D1136">
        <w:trPr>
          <w:cantSplit/>
          <w:trHeight w:val="227"/>
        </w:trPr>
        <w:tc>
          <w:tcPr>
            <w:tcW w:w="851" w:type="dxa"/>
            <w:tcBorders>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sz w:val="18"/>
                <w:szCs w:val="18"/>
              </w:rPr>
            </w:pPr>
            <w:r w:rsidRPr="00BA6F16">
              <w:rPr>
                <w:rFonts w:ascii="楷体" w:eastAsia="楷体" w:hAnsi="楷体" w:hint="eastAsia"/>
                <w:b/>
                <w:sz w:val="18"/>
                <w:szCs w:val="18"/>
              </w:rPr>
              <w:t>凯石分类</w:t>
            </w:r>
          </w:p>
        </w:tc>
        <w:tc>
          <w:tcPr>
            <w:tcW w:w="851" w:type="dxa"/>
            <w:tcBorders>
              <w:left w:val="single" w:sz="6" w:space="0" w:color="FF6600"/>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sz w:val="18"/>
                <w:szCs w:val="18"/>
              </w:rPr>
            </w:pPr>
            <w:r w:rsidRPr="00BA6F16">
              <w:rPr>
                <w:rFonts w:ascii="楷体" w:eastAsia="楷体" w:hAnsi="楷体" w:hint="eastAsia"/>
                <w:b/>
                <w:sz w:val="18"/>
                <w:szCs w:val="18"/>
              </w:rPr>
              <w:t>基金代码</w:t>
            </w:r>
          </w:p>
        </w:tc>
        <w:tc>
          <w:tcPr>
            <w:tcW w:w="1984" w:type="dxa"/>
            <w:tcBorders>
              <w:left w:val="single" w:sz="6" w:space="0" w:color="FF6600"/>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sz w:val="18"/>
                <w:szCs w:val="18"/>
              </w:rPr>
            </w:pPr>
            <w:r w:rsidRPr="00BA6F16">
              <w:rPr>
                <w:rFonts w:ascii="楷体" w:eastAsia="楷体" w:hAnsi="楷体" w:hint="eastAsia"/>
                <w:b/>
                <w:sz w:val="18"/>
                <w:szCs w:val="18"/>
              </w:rPr>
              <w:t>基金名称</w:t>
            </w:r>
          </w:p>
        </w:tc>
        <w:tc>
          <w:tcPr>
            <w:tcW w:w="851" w:type="dxa"/>
            <w:tcBorders>
              <w:left w:val="single" w:sz="6" w:space="0" w:color="FF6600"/>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sz w:val="18"/>
                <w:szCs w:val="18"/>
              </w:rPr>
            </w:pPr>
            <w:r w:rsidRPr="00BA6F16">
              <w:rPr>
                <w:rFonts w:ascii="楷体" w:eastAsia="楷体" w:hAnsi="楷体" w:hint="eastAsia"/>
                <w:b/>
                <w:sz w:val="18"/>
                <w:szCs w:val="18"/>
              </w:rPr>
              <w:t>类型</w:t>
            </w:r>
          </w:p>
        </w:tc>
        <w:tc>
          <w:tcPr>
            <w:tcW w:w="991" w:type="dxa"/>
            <w:tcBorders>
              <w:left w:val="single" w:sz="6" w:space="0" w:color="FF6600"/>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sz w:val="18"/>
                <w:szCs w:val="18"/>
              </w:rPr>
            </w:pPr>
            <w:r w:rsidRPr="00BA6F16">
              <w:rPr>
                <w:rFonts w:ascii="楷体" w:eastAsia="楷体" w:hAnsi="楷体" w:hint="eastAsia"/>
                <w:b/>
                <w:sz w:val="18"/>
                <w:szCs w:val="18"/>
              </w:rPr>
              <w:t>周收益率</w:t>
            </w:r>
            <w:r w:rsidRPr="00BA6F16">
              <w:rPr>
                <w:rFonts w:ascii="楷体" w:eastAsia="楷体" w:hAnsi="楷体"/>
                <w:b/>
                <w:sz w:val="18"/>
                <w:szCs w:val="18"/>
              </w:rPr>
              <w:t>%</w:t>
            </w:r>
          </w:p>
        </w:tc>
        <w:tc>
          <w:tcPr>
            <w:tcW w:w="993" w:type="dxa"/>
            <w:tcBorders>
              <w:left w:val="single" w:sz="6" w:space="0" w:color="FF6600"/>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sz w:val="18"/>
                <w:szCs w:val="18"/>
              </w:rPr>
            </w:pPr>
            <w:r w:rsidRPr="00BA6F16">
              <w:rPr>
                <w:rFonts w:ascii="楷体" w:eastAsia="楷体" w:hAnsi="楷体" w:hint="eastAsia"/>
                <w:b/>
                <w:sz w:val="18"/>
                <w:szCs w:val="18"/>
              </w:rPr>
              <w:t>凯石分类</w:t>
            </w:r>
          </w:p>
        </w:tc>
        <w:tc>
          <w:tcPr>
            <w:tcW w:w="992" w:type="dxa"/>
            <w:tcBorders>
              <w:left w:val="single" w:sz="6" w:space="0" w:color="FF6600"/>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sz w:val="18"/>
                <w:szCs w:val="18"/>
              </w:rPr>
            </w:pPr>
            <w:r w:rsidRPr="00BA6F16">
              <w:rPr>
                <w:rFonts w:ascii="楷体" w:eastAsia="楷体" w:hAnsi="楷体" w:hint="eastAsia"/>
                <w:b/>
                <w:sz w:val="18"/>
                <w:szCs w:val="18"/>
              </w:rPr>
              <w:t>基金代码</w:t>
            </w:r>
          </w:p>
        </w:tc>
        <w:tc>
          <w:tcPr>
            <w:tcW w:w="1843" w:type="dxa"/>
            <w:tcBorders>
              <w:left w:val="single" w:sz="6" w:space="0" w:color="FF6600"/>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sz w:val="18"/>
                <w:szCs w:val="18"/>
              </w:rPr>
            </w:pPr>
            <w:r w:rsidRPr="00BA6F16">
              <w:rPr>
                <w:rFonts w:ascii="楷体" w:eastAsia="楷体" w:hAnsi="楷体" w:hint="eastAsia"/>
                <w:b/>
                <w:sz w:val="18"/>
                <w:szCs w:val="18"/>
              </w:rPr>
              <w:t>基金名称</w:t>
            </w:r>
          </w:p>
        </w:tc>
        <w:tc>
          <w:tcPr>
            <w:tcW w:w="851" w:type="dxa"/>
            <w:tcBorders>
              <w:left w:val="single" w:sz="6" w:space="0" w:color="FF6600"/>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sz w:val="18"/>
                <w:szCs w:val="18"/>
              </w:rPr>
            </w:pPr>
            <w:r w:rsidRPr="00BA6F16">
              <w:rPr>
                <w:rFonts w:ascii="楷体" w:eastAsia="楷体" w:hAnsi="楷体" w:hint="eastAsia"/>
                <w:b/>
                <w:sz w:val="18"/>
                <w:szCs w:val="18"/>
              </w:rPr>
              <w:t>类型</w:t>
            </w:r>
          </w:p>
        </w:tc>
        <w:tc>
          <w:tcPr>
            <w:tcW w:w="850" w:type="dxa"/>
            <w:tcBorders>
              <w:lef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sz w:val="18"/>
                <w:szCs w:val="18"/>
              </w:rPr>
            </w:pPr>
            <w:r w:rsidRPr="00BA6F16">
              <w:rPr>
                <w:rFonts w:ascii="楷体" w:eastAsia="楷体" w:hAnsi="楷体" w:hint="eastAsia"/>
                <w:b/>
                <w:sz w:val="18"/>
                <w:szCs w:val="18"/>
              </w:rPr>
              <w:t>周收益率</w:t>
            </w:r>
            <w:r w:rsidRPr="00BA6F16">
              <w:rPr>
                <w:rFonts w:ascii="楷体" w:eastAsia="楷体" w:hAnsi="楷体"/>
                <w:b/>
                <w:sz w:val="18"/>
                <w:szCs w:val="18"/>
              </w:rPr>
              <w:t>%</w:t>
            </w:r>
          </w:p>
        </w:tc>
      </w:tr>
      <w:tr w:rsidR="00EC7A20" w:rsidRPr="00BA6F16" w:rsidTr="00363312">
        <w:trPr>
          <w:cantSplit/>
          <w:trHeight w:val="227"/>
        </w:trPr>
        <w:tc>
          <w:tcPr>
            <w:tcW w:w="851" w:type="dxa"/>
            <w:vMerge w:val="restart"/>
            <w:tcBorders>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sz w:val="18"/>
                <w:szCs w:val="18"/>
              </w:rPr>
            </w:pPr>
            <w:r w:rsidRPr="00BA6F16">
              <w:rPr>
                <w:rFonts w:ascii="楷体" w:eastAsia="楷体" w:hAnsi="楷体" w:hint="eastAsia"/>
                <w:b/>
                <w:sz w:val="18"/>
                <w:szCs w:val="18"/>
              </w:rPr>
              <w:t>股票</w:t>
            </w:r>
            <w:r w:rsidRPr="00BA6F16">
              <w:rPr>
                <w:rFonts w:ascii="楷体" w:eastAsia="楷体" w:hAnsi="楷体"/>
                <w:b/>
                <w:sz w:val="18"/>
                <w:szCs w:val="18"/>
              </w:rPr>
              <w:t>-</w:t>
            </w:r>
          </w:p>
          <w:p w:rsidR="00EC7A20" w:rsidRPr="00BA6F16" w:rsidRDefault="00EC7A20" w:rsidP="000D1136">
            <w:pPr>
              <w:snapToGrid w:val="0"/>
              <w:jc w:val="center"/>
              <w:rPr>
                <w:rFonts w:ascii="楷体" w:eastAsia="楷体" w:hAnsi="楷体"/>
                <w:b/>
                <w:sz w:val="18"/>
                <w:szCs w:val="18"/>
              </w:rPr>
            </w:pPr>
            <w:r w:rsidRPr="00BA6F16">
              <w:rPr>
                <w:rFonts w:ascii="楷体" w:eastAsia="楷体" w:hAnsi="楷体" w:hint="eastAsia"/>
                <w:b/>
                <w:sz w:val="18"/>
                <w:szCs w:val="18"/>
              </w:rPr>
              <w:t>主动型</w:t>
            </w:r>
          </w:p>
        </w:tc>
        <w:tc>
          <w:tcPr>
            <w:tcW w:w="851"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220</w:t>
            </w:r>
          </w:p>
        </w:tc>
        <w:tc>
          <w:tcPr>
            <w:tcW w:w="1984"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富国医疗保健行业</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1.94</w:t>
            </w:r>
          </w:p>
        </w:tc>
        <w:tc>
          <w:tcPr>
            <w:tcW w:w="993" w:type="dxa"/>
            <w:vMerge w:val="restart"/>
            <w:tcBorders>
              <w:left w:val="single" w:sz="6" w:space="0" w:color="FF6600"/>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sz w:val="18"/>
                <w:szCs w:val="18"/>
              </w:rPr>
            </w:pPr>
            <w:r w:rsidRPr="00BA6F16">
              <w:rPr>
                <w:rFonts w:ascii="楷体" w:eastAsia="楷体" w:hAnsi="楷体" w:hint="eastAsia"/>
                <w:b/>
                <w:sz w:val="18"/>
                <w:szCs w:val="18"/>
              </w:rPr>
              <w:t>债券</w:t>
            </w:r>
            <w:r w:rsidRPr="00BA6F16">
              <w:rPr>
                <w:rFonts w:ascii="楷体" w:eastAsia="楷体" w:hAnsi="楷体"/>
                <w:b/>
                <w:sz w:val="18"/>
                <w:szCs w:val="18"/>
              </w:rPr>
              <w:t>-</w:t>
            </w:r>
          </w:p>
          <w:p w:rsidR="00EC7A20" w:rsidRPr="00BA6F16" w:rsidRDefault="00EC7A20" w:rsidP="000D1136">
            <w:pPr>
              <w:snapToGrid w:val="0"/>
              <w:jc w:val="center"/>
              <w:rPr>
                <w:rFonts w:ascii="楷体" w:eastAsia="楷体" w:hAnsi="楷体"/>
                <w:b/>
                <w:sz w:val="18"/>
                <w:szCs w:val="18"/>
              </w:rPr>
            </w:pPr>
            <w:r w:rsidRPr="00BA6F16">
              <w:rPr>
                <w:rFonts w:ascii="楷体" w:eastAsia="楷体" w:hAnsi="楷体" w:hint="eastAsia"/>
                <w:b/>
                <w:sz w:val="18"/>
                <w:szCs w:val="18"/>
              </w:rPr>
              <w:t>纯债基金</w:t>
            </w:r>
          </w:p>
        </w:tc>
        <w:tc>
          <w:tcPr>
            <w:tcW w:w="992"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226</w:t>
            </w:r>
          </w:p>
        </w:tc>
        <w:tc>
          <w:tcPr>
            <w:tcW w:w="1843"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长盛年年收益</w:t>
            </w:r>
            <w:r w:rsidRPr="00BA6F16">
              <w:rPr>
                <w:rFonts w:ascii="楷体" w:eastAsia="楷体" w:hAnsi="楷体"/>
                <w:color w:val="000000"/>
                <w:sz w:val="18"/>
                <w:szCs w:val="18"/>
              </w:rPr>
              <w:t>C</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850" w:type="dxa"/>
            <w:tcBorders>
              <w:lef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3.03</w:t>
            </w:r>
          </w:p>
        </w:tc>
      </w:tr>
      <w:tr w:rsidR="00EC7A20" w:rsidRPr="00BA6F16" w:rsidTr="00363312">
        <w:trPr>
          <w:cantSplit/>
          <w:trHeight w:val="227"/>
        </w:trPr>
        <w:tc>
          <w:tcPr>
            <w:tcW w:w="851" w:type="dxa"/>
            <w:vMerge/>
            <w:tcBorders>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50014</w:t>
            </w:r>
          </w:p>
        </w:tc>
        <w:tc>
          <w:tcPr>
            <w:tcW w:w="1984"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博时创业成长</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1.27</w:t>
            </w:r>
          </w:p>
        </w:tc>
        <w:tc>
          <w:tcPr>
            <w:tcW w:w="993" w:type="dxa"/>
            <w:vMerge/>
            <w:tcBorders>
              <w:left w:val="single" w:sz="6" w:space="0" w:color="FF6600"/>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225</w:t>
            </w:r>
          </w:p>
        </w:tc>
        <w:tc>
          <w:tcPr>
            <w:tcW w:w="1843"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长盛年年收益</w:t>
            </w:r>
            <w:r w:rsidRPr="00BA6F16">
              <w:rPr>
                <w:rFonts w:ascii="楷体" w:eastAsia="楷体" w:hAnsi="楷体"/>
                <w:color w:val="000000"/>
                <w:sz w:val="18"/>
                <w:szCs w:val="18"/>
              </w:rPr>
              <w:t>A</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850" w:type="dxa"/>
            <w:tcBorders>
              <w:lef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2.93</w:t>
            </w:r>
          </w:p>
        </w:tc>
      </w:tr>
      <w:tr w:rsidR="00EC7A20" w:rsidRPr="00BA6F16" w:rsidTr="00363312">
        <w:trPr>
          <w:cantSplit/>
          <w:trHeight w:val="227"/>
        </w:trPr>
        <w:tc>
          <w:tcPr>
            <w:tcW w:w="851" w:type="dxa"/>
            <w:vMerge/>
            <w:tcBorders>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213003</w:t>
            </w:r>
          </w:p>
        </w:tc>
        <w:tc>
          <w:tcPr>
            <w:tcW w:w="1984"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宝盈策略增长</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0.58</w:t>
            </w:r>
          </w:p>
        </w:tc>
        <w:tc>
          <w:tcPr>
            <w:tcW w:w="993" w:type="dxa"/>
            <w:vMerge/>
            <w:tcBorders>
              <w:left w:val="single" w:sz="6" w:space="0" w:color="FF6600"/>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104</w:t>
            </w:r>
          </w:p>
        </w:tc>
        <w:tc>
          <w:tcPr>
            <w:tcW w:w="1843"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华宸未来信用增利</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850" w:type="dxa"/>
            <w:tcBorders>
              <w:lef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1.17</w:t>
            </w:r>
          </w:p>
        </w:tc>
      </w:tr>
      <w:tr w:rsidR="00EC7A20" w:rsidRPr="00BA6F16" w:rsidTr="00363312">
        <w:trPr>
          <w:cantSplit/>
          <w:trHeight w:val="227"/>
        </w:trPr>
        <w:tc>
          <w:tcPr>
            <w:tcW w:w="851" w:type="dxa"/>
            <w:vMerge w:val="restart"/>
            <w:tcBorders>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sz w:val="18"/>
                <w:szCs w:val="18"/>
              </w:rPr>
            </w:pPr>
            <w:r w:rsidRPr="00BA6F16">
              <w:rPr>
                <w:rFonts w:ascii="楷体" w:eastAsia="楷体" w:hAnsi="楷体" w:hint="eastAsia"/>
                <w:b/>
                <w:sz w:val="18"/>
                <w:szCs w:val="18"/>
              </w:rPr>
              <w:t>股票</w:t>
            </w:r>
            <w:r w:rsidRPr="00BA6F16">
              <w:rPr>
                <w:rFonts w:ascii="楷体" w:eastAsia="楷体" w:hAnsi="楷体"/>
                <w:b/>
                <w:sz w:val="18"/>
                <w:szCs w:val="18"/>
              </w:rPr>
              <w:t>-</w:t>
            </w:r>
          </w:p>
          <w:p w:rsidR="00EC7A20" w:rsidRPr="00BA6F16" w:rsidRDefault="00EC7A20" w:rsidP="000D1136">
            <w:pPr>
              <w:snapToGrid w:val="0"/>
              <w:jc w:val="center"/>
              <w:rPr>
                <w:rFonts w:ascii="楷体" w:eastAsia="楷体" w:hAnsi="楷体"/>
                <w:b/>
                <w:sz w:val="18"/>
                <w:szCs w:val="18"/>
              </w:rPr>
            </w:pPr>
            <w:r w:rsidRPr="00BA6F16">
              <w:rPr>
                <w:rFonts w:ascii="楷体" w:eastAsia="楷体" w:hAnsi="楷体" w:hint="eastAsia"/>
                <w:b/>
                <w:sz w:val="18"/>
                <w:szCs w:val="18"/>
              </w:rPr>
              <w:t>指数型</w:t>
            </w:r>
          </w:p>
        </w:tc>
        <w:tc>
          <w:tcPr>
            <w:tcW w:w="851"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184701</w:t>
            </w:r>
          </w:p>
        </w:tc>
        <w:tc>
          <w:tcPr>
            <w:tcW w:w="1984"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基金景福</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封闭式</w:t>
            </w:r>
          </w:p>
        </w:tc>
        <w:tc>
          <w:tcPr>
            <w:tcW w:w="991"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0.51</w:t>
            </w:r>
          </w:p>
        </w:tc>
        <w:tc>
          <w:tcPr>
            <w:tcW w:w="993" w:type="dxa"/>
            <w:vMerge w:val="restart"/>
            <w:tcBorders>
              <w:left w:val="single" w:sz="6" w:space="0" w:color="FF6600"/>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bCs/>
                <w:color w:val="000000"/>
                <w:sz w:val="18"/>
                <w:szCs w:val="18"/>
              </w:rPr>
            </w:pPr>
            <w:r w:rsidRPr="00BA6F16">
              <w:rPr>
                <w:rFonts w:ascii="楷体" w:eastAsia="楷体" w:hAnsi="楷体" w:hint="eastAsia"/>
                <w:b/>
                <w:bCs/>
                <w:color w:val="000000"/>
                <w:sz w:val="18"/>
                <w:szCs w:val="18"/>
              </w:rPr>
              <w:t>债券</w:t>
            </w:r>
            <w:r w:rsidRPr="00BA6F16">
              <w:rPr>
                <w:rFonts w:ascii="楷体" w:eastAsia="楷体" w:hAnsi="楷体"/>
                <w:b/>
                <w:bCs/>
                <w:color w:val="000000"/>
                <w:sz w:val="18"/>
                <w:szCs w:val="18"/>
              </w:rPr>
              <w:t>-</w:t>
            </w:r>
          </w:p>
          <w:p w:rsidR="00EC7A20" w:rsidRPr="005B7CDB" w:rsidRDefault="00EC7A20" w:rsidP="000D1136">
            <w:pPr>
              <w:snapToGrid w:val="0"/>
              <w:jc w:val="center"/>
              <w:rPr>
                <w:rFonts w:ascii="楷体" w:eastAsia="楷体" w:hAnsi="楷体" w:cs="宋体"/>
                <w:b/>
                <w:bCs/>
                <w:color w:val="000000"/>
                <w:sz w:val="18"/>
                <w:szCs w:val="18"/>
              </w:rPr>
            </w:pPr>
            <w:r w:rsidRPr="00BA6F16">
              <w:rPr>
                <w:rFonts w:ascii="楷体" w:eastAsia="楷体" w:hAnsi="楷体" w:hint="eastAsia"/>
                <w:b/>
                <w:bCs/>
                <w:color w:val="000000"/>
                <w:sz w:val="18"/>
                <w:szCs w:val="18"/>
              </w:rPr>
              <w:t>一级债基</w:t>
            </w:r>
          </w:p>
        </w:tc>
        <w:tc>
          <w:tcPr>
            <w:tcW w:w="992"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160513</w:t>
            </w:r>
          </w:p>
        </w:tc>
        <w:tc>
          <w:tcPr>
            <w:tcW w:w="1843"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博时稳健回报</w:t>
            </w:r>
            <w:r w:rsidRPr="00BA6F16">
              <w:rPr>
                <w:rFonts w:ascii="楷体" w:eastAsia="楷体" w:hAnsi="楷体"/>
                <w:color w:val="000000"/>
                <w:sz w:val="18"/>
                <w:szCs w:val="18"/>
              </w:rPr>
              <w:t>A</w:t>
            </w:r>
          </w:p>
        </w:tc>
        <w:tc>
          <w:tcPr>
            <w:tcW w:w="851" w:type="dxa"/>
            <w:tcBorders>
              <w:left w:val="single" w:sz="6" w:space="0" w:color="FF6600"/>
              <w:right w:val="single" w:sz="6" w:space="0" w:color="FF6600"/>
            </w:tcBorders>
            <w:vAlign w:val="center"/>
          </w:tcPr>
          <w:p w:rsidR="00EC7A20" w:rsidRPr="007242C3" w:rsidRDefault="00EC7A20" w:rsidP="00EC7745">
            <w:pPr>
              <w:jc w:val="center"/>
              <w:rPr>
                <w:rFonts w:ascii="楷体" w:eastAsia="楷体" w:hAnsi="楷体" w:cs="宋体"/>
                <w:color w:val="FF0000"/>
                <w:sz w:val="18"/>
                <w:szCs w:val="18"/>
              </w:rPr>
            </w:pPr>
            <w:r w:rsidRPr="00BA6F16">
              <w:rPr>
                <w:rFonts w:ascii="楷体" w:eastAsia="楷体" w:hAnsi="楷体" w:hint="eastAsia"/>
                <w:color w:val="FF0000"/>
                <w:sz w:val="18"/>
                <w:szCs w:val="18"/>
              </w:rPr>
              <w:t>开放式</w:t>
            </w:r>
          </w:p>
        </w:tc>
        <w:tc>
          <w:tcPr>
            <w:tcW w:w="850" w:type="dxa"/>
            <w:tcBorders>
              <w:lef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0.79</w:t>
            </w:r>
          </w:p>
        </w:tc>
      </w:tr>
      <w:tr w:rsidR="00EC7A20" w:rsidRPr="00BA6F16" w:rsidTr="00363312">
        <w:trPr>
          <w:cantSplit/>
          <w:trHeight w:val="227"/>
        </w:trPr>
        <w:tc>
          <w:tcPr>
            <w:tcW w:w="851" w:type="dxa"/>
            <w:vMerge/>
            <w:tcBorders>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510610</w:t>
            </w:r>
          </w:p>
        </w:tc>
        <w:tc>
          <w:tcPr>
            <w:tcW w:w="1984"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华夏上证能源</w:t>
            </w:r>
            <w:r w:rsidRPr="00BA6F16">
              <w:rPr>
                <w:rFonts w:ascii="楷体" w:eastAsia="楷体" w:hAnsi="楷体"/>
                <w:color w:val="000000"/>
                <w:sz w:val="18"/>
                <w:szCs w:val="18"/>
              </w:rPr>
              <w:t>ETF</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0.50</w:t>
            </w:r>
          </w:p>
        </w:tc>
        <w:tc>
          <w:tcPr>
            <w:tcW w:w="993" w:type="dxa"/>
            <w:vMerge/>
            <w:tcBorders>
              <w:left w:val="single" w:sz="6" w:space="0" w:color="FF6600"/>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270030</w:t>
            </w:r>
          </w:p>
        </w:tc>
        <w:tc>
          <w:tcPr>
            <w:tcW w:w="1843"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广发聚财信用</w:t>
            </w:r>
            <w:r w:rsidRPr="00BA6F16">
              <w:rPr>
                <w:rFonts w:ascii="楷体" w:eastAsia="楷体" w:hAnsi="楷体"/>
                <w:color w:val="000000"/>
                <w:sz w:val="18"/>
                <w:szCs w:val="18"/>
              </w:rPr>
              <w:t>B</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850" w:type="dxa"/>
            <w:tcBorders>
              <w:lef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0.73</w:t>
            </w:r>
          </w:p>
        </w:tc>
      </w:tr>
      <w:tr w:rsidR="00EC7A20" w:rsidRPr="00BA6F16" w:rsidTr="00363312">
        <w:trPr>
          <w:cantSplit/>
          <w:trHeight w:val="227"/>
        </w:trPr>
        <w:tc>
          <w:tcPr>
            <w:tcW w:w="851" w:type="dxa"/>
            <w:vMerge/>
            <w:tcBorders>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596</w:t>
            </w:r>
          </w:p>
        </w:tc>
        <w:tc>
          <w:tcPr>
            <w:tcW w:w="1984"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前海开源中证军工</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0.49</w:t>
            </w:r>
          </w:p>
        </w:tc>
        <w:tc>
          <w:tcPr>
            <w:tcW w:w="993" w:type="dxa"/>
            <w:vMerge/>
            <w:tcBorders>
              <w:left w:val="single" w:sz="6" w:space="0" w:color="FF6600"/>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270029</w:t>
            </w:r>
          </w:p>
        </w:tc>
        <w:tc>
          <w:tcPr>
            <w:tcW w:w="1843"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广发聚财信用</w:t>
            </w:r>
            <w:r w:rsidRPr="00BA6F16">
              <w:rPr>
                <w:rFonts w:ascii="楷体" w:eastAsia="楷体" w:hAnsi="楷体"/>
                <w:color w:val="000000"/>
                <w:sz w:val="18"/>
                <w:szCs w:val="18"/>
              </w:rPr>
              <w:t>A</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850" w:type="dxa"/>
            <w:tcBorders>
              <w:lef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0.73</w:t>
            </w:r>
          </w:p>
        </w:tc>
      </w:tr>
      <w:tr w:rsidR="00EC7A20" w:rsidRPr="00BA6F16" w:rsidTr="00363312">
        <w:trPr>
          <w:cantSplit/>
          <w:trHeight w:val="227"/>
        </w:trPr>
        <w:tc>
          <w:tcPr>
            <w:tcW w:w="851" w:type="dxa"/>
            <w:vMerge w:val="restart"/>
            <w:tcBorders>
              <w:right w:val="single" w:sz="6" w:space="0" w:color="FF6600"/>
            </w:tcBorders>
            <w:shd w:val="clear" w:color="auto" w:fill="FDE9D9"/>
            <w:vAlign w:val="center"/>
          </w:tcPr>
          <w:p w:rsidR="00EC7A20" w:rsidRPr="00BA6F16" w:rsidRDefault="00EC7A20" w:rsidP="00884478">
            <w:pPr>
              <w:snapToGrid w:val="0"/>
              <w:jc w:val="center"/>
              <w:rPr>
                <w:rFonts w:ascii="楷体" w:eastAsia="楷体" w:hAnsi="楷体"/>
                <w:b/>
                <w:bCs/>
                <w:color w:val="000000"/>
                <w:sz w:val="18"/>
                <w:szCs w:val="18"/>
              </w:rPr>
            </w:pPr>
            <w:r w:rsidRPr="00BA6F16">
              <w:rPr>
                <w:rFonts w:ascii="楷体" w:eastAsia="楷体" w:hAnsi="楷体" w:hint="eastAsia"/>
                <w:b/>
                <w:bCs/>
                <w:color w:val="000000"/>
                <w:sz w:val="18"/>
                <w:szCs w:val="18"/>
              </w:rPr>
              <w:t>混合</w:t>
            </w:r>
            <w:r w:rsidRPr="00BA6F16">
              <w:rPr>
                <w:rFonts w:ascii="楷体" w:eastAsia="楷体" w:hAnsi="楷体"/>
                <w:b/>
                <w:bCs/>
                <w:color w:val="000000"/>
                <w:sz w:val="18"/>
                <w:szCs w:val="18"/>
              </w:rPr>
              <w:t>-</w:t>
            </w:r>
          </w:p>
          <w:p w:rsidR="00EC7A20" w:rsidRPr="00BA6F16" w:rsidRDefault="00EC7A20" w:rsidP="00884478">
            <w:pPr>
              <w:snapToGrid w:val="0"/>
              <w:jc w:val="center"/>
              <w:rPr>
                <w:rFonts w:ascii="楷体" w:eastAsia="楷体" w:hAnsi="楷体"/>
                <w:b/>
                <w:sz w:val="18"/>
                <w:szCs w:val="18"/>
              </w:rPr>
            </w:pPr>
            <w:r w:rsidRPr="00BA6F16">
              <w:rPr>
                <w:rFonts w:ascii="楷体" w:eastAsia="楷体" w:hAnsi="楷体" w:hint="eastAsia"/>
                <w:b/>
                <w:bCs/>
                <w:color w:val="000000"/>
                <w:sz w:val="18"/>
                <w:szCs w:val="18"/>
              </w:rPr>
              <w:t>偏股型</w:t>
            </w:r>
          </w:p>
        </w:tc>
        <w:tc>
          <w:tcPr>
            <w:tcW w:w="851"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162102</w:t>
            </w:r>
          </w:p>
        </w:tc>
        <w:tc>
          <w:tcPr>
            <w:tcW w:w="1984"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金鹰中小盘精选</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0.05</w:t>
            </w:r>
          </w:p>
        </w:tc>
        <w:tc>
          <w:tcPr>
            <w:tcW w:w="993" w:type="dxa"/>
            <w:vMerge w:val="restart"/>
            <w:tcBorders>
              <w:left w:val="single" w:sz="6" w:space="0" w:color="FF6600"/>
              <w:right w:val="single" w:sz="6" w:space="0" w:color="FF6600"/>
            </w:tcBorders>
            <w:shd w:val="clear" w:color="auto" w:fill="FDE9D9"/>
            <w:vAlign w:val="center"/>
          </w:tcPr>
          <w:p w:rsidR="00EC7A20" w:rsidRPr="00BA6F16" w:rsidRDefault="00EC7A20" w:rsidP="00884478">
            <w:pPr>
              <w:snapToGrid w:val="0"/>
              <w:jc w:val="center"/>
              <w:rPr>
                <w:rFonts w:ascii="楷体" w:eastAsia="楷体" w:hAnsi="楷体"/>
                <w:b/>
                <w:bCs/>
                <w:color w:val="000000"/>
                <w:sz w:val="18"/>
                <w:szCs w:val="18"/>
              </w:rPr>
            </w:pPr>
            <w:r w:rsidRPr="00BA6F16">
              <w:rPr>
                <w:rFonts w:ascii="楷体" w:eastAsia="楷体" w:hAnsi="楷体" w:hint="eastAsia"/>
                <w:b/>
                <w:bCs/>
                <w:color w:val="000000"/>
                <w:sz w:val="18"/>
                <w:szCs w:val="18"/>
              </w:rPr>
              <w:t>债券</w:t>
            </w:r>
            <w:r w:rsidRPr="00BA6F16">
              <w:rPr>
                <w:rFonts w:ascii="楷体" w:eastAsia="楷体" w:hAnsi="楷体"/>
                <w:b/>
                <w:bCs/>
                <w:color w:val="000000"/>
                <w:sz w:val="18"/>
                <w:szCs w:val="18"/>
              </w:rPr>
              <w:t>-</w:t>
            </w:r>
          </w:p>
          <w:p w:rsidR="00EC7A20" w:rsidRPr="005B7CDB" w:rsidRDefault="00EC7A20" w:rsidP="00884478">
            <w:pPr>
              <w:snapToGrid w:val="0"/>
              <w:jc w:val="center"/>
              <w:rPr>
                <w:rFonts w:ascii="楷体" w:eastAsia="楷体" w:hAnsi="楷体" w:cs="宋体"/>
                <w:b/>
                <w:bCs/>
                <w:color w:val="000000"/>
                <w:sz w:val="18"/>
                <w:szCs w:val="18"/>
              </w:rPr>
            </w:pPr>
            <w:r w:rsidRPr="00BA6F16">
              <w:rPr>
                <w:rFonts w:ascii="楷体" w:eastAsia="楷体" w:hAnsi="楷体" w:hint="eastAsia"/>
                <w:b/>
                <w:bCs/>
                <w:color w:val="000000"/>
                <w:sz w:val="18"/>
                <w:szCs w:val="18"/>
              </w:rPr>
              <w:t>二级债基</w:t>
            </w:r>
          </w:p>
        </w:tc>
        <w:tc>
          <w:tcPr>
            <w:tcW w:w="992"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118</w:t>
            </w:r>
          </w:p>
        </w:tc>
        <w:tc>
          <w:tcPr>
            <w:tcW w:w="1843"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广发聚鑫</w:t>
            </w:r>
            <w:r w:rsidRPr="00BA6F16">
              <w:rPr>
                <w:rFonts w:ascii="楷体" w:eastAsia="楷体" w:hAnsi="楷体"/>
                <w:color w:val="000000"/>
                <w:sz w:val="18"/>
                <w:szCs w:val="18"/>
              </w:rPr>
              <w:t>A</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850" w:type="dxa"/>
            <w:tcBorders>
              <w:lef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1.21</w:t>
            </w:r>
          </w:p>
        </w:tc>
      </w:tr>
      <w:tr w:rsidR="00EC7A20" w:rsidRPr="00BA6F16" w:rsidTr="00363312">
        <w:trPr>
          <w:cantSplit/>
          <w:trHeight w:val="227"/>
        </w:trPr>
        <w:tc>
          <w:tcPr>
            <w:tcW w:w="851" w:type="dxa"/>
            <w:vMerge/>
            <w:tcBorders>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162207</w:t>
            </w:r>
          </w:p>
        </w:tc>
        <w:tc>
          <w:tcPr>
            <w:tcW w:w="1984"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泰达宏利效率优选</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-0.06</w:t>
            </w:r>
          </w:p>
        </w:tc>
        <w:tc>
          <w:tcPr>
            <w:tcW w:w="993" w:type="dxa"/>
            <w:vMerge/>
            <w:tcBorders>
              <w:left w:val="single" w:sz="6" w:space="0" w:color="FF6600"/>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119</w:t>
            </w:r>
          </w:p>
        </w:tc>
        <w:tc>
          <w:tcPr>
            <w:tcW w:w="1843"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广发聚鑫</w:t>
            </w:r>
            <w:r w:rsidRPr="00BA6F16">
              <w:rPr>
                <w:rFonts w:ascii="楷体" w:eastAsia="楷体" w:hAnsi="楷体"/>
                <w:color w:val="000000"/>
                <w:sz w:val="18"/>
                <w:szCs w:val="18"/>
              </w:rPr>
              <w:t>C</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850" w:type="dxa"/>
            <w:tcBorders>
              <w:lef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1.12</w:t>
            </w:r>
          </w:p>
        </w:tc>
      </w:tr>
      <w:tr w:rsidR="00EC7A20" w:rsidRPr="00BA6F16" w:rsidTr="00363312">
        <w:trPr>
          <w:cantSplit/>
          <w:trHeight w:val="227"/>
        </w:trPr>
        <w:tc>
          <w:tcPr>
            <w:tcW w:w="851" w:type="dxa"/>
            <w:vMerge/>
            <w:tcBorders>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200001</w:t>
            </w:r>
          </w:p>
        </w:tc>
        <w:tc>
          <w:tcPr>
            <w:tcW w:w="1984"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长城久恒</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-0.07</w:t>
            </w:r>
          </w:p>
        </w:tc>
        <w:tc>
          <w:tcPr>
            <w:tcW w:w="993" w:type="dxa"/>
            <w:vMerge/>
            <w:tcBorders>
              <w:left w:val="single" w:sz="6" w:space="0" w:color="FF6600"/>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720002</w:t>
            </w:r>
          </w:p>
        </w:tc>
        <w:tc>
          <w:tcPr>
            <w:tcW w:w="1843"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财通稳健增长</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850" w:type="dxa"/>
            <w:tcBorders>
              <w:lef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0.75</w:t>
            </w:r>
          </w:p>
        </w:tc>
      </w:tr>
      <w:tr w:rsidR="00EC7A20" w:rsidRPr="00BA6F16" w:rsidTr="00363312">
        <w:trPr>
          <w:cantSplit/>
          <w:trHeight w:val="227"/>
        </w:trPr>
        <w:tc>
          <w:tcPr>
            <w:tcW w:w="851" w:type="dxa"/>
            <w:vMerge w:val="restart"/>
            <w:tcBorders>
              <w:right w:val="single" w:sz="6" w:space="0" w:color="FF6600"/>
            </w:tcBorders>
            <w:shd w:val="clear" w:color="auto" w:fill="FDE9D9"/>
            <w:vAlign w:val="center"/>
          </w:tcPr>
          <w:p w:rsidR="00EC7A20" w:rsidRPr="00BA6F16" w:rsidRDefault="00EC7A20" w:rsidP="00884478">
            <w:pPr>
              <w:snapToGrid w:val="0"/>
              <w:jc w:val="center"/>
              <w:rPr>
                <w:rFonts w:ascii="楷体" w:eastAsia="楷体" w:hAnsi="楷体"/>
                <w:b/>
                <w:bCs/>
                <w:color w:val="000000"/>
                <w:sz w:val="18"/>
                <w:szCs w:val="18"/>
              </w:rPr>
            </w:pPr>
            <w:r w:rsidRPr="00BA6F16">
              <w:rPr>
                <w:rFonts w:ascii="楷体" w:eastAsia="楷体" w:hAnsi="楷体" w:hint="eastAsia"/>
                <w:b/>
                <w:bCs/>
                <w:color w:val="000000"/>
                <w:sz w:val="18"/>
                <w:szCs w:val="18"/>
              </w:rPr>
              <w:t>混合</w:t>
            </w:r>
            <w:r w:rsidRPr="00BA6F16">
              <w:rPr>
                <w:rFonts w:ascii="楷体" w:eastAsia="楷体" w:hAnsi="楷体"/>
                <w:b/>
                <w:bCs/>
                <w:color w:val="000000"/>
                <w:sz w:val="18"/>
                <w:szCs w:val="18"/>
              </w:rPr>
              <w:t>-</w:t>
            </w:r>
          </w:p>
          <w:p w:rsidR="00EC7A20" w:rsidRPr="00BA6F16" w:rsidRDefault="00EC7A20" w:rsidP="00884478">
            <w:pPr>
              <w:snapToGrid w:val="0"/>
              <w:jc w:val="center"/>
              <w:rPr>
                <w:rFonts w:ascii="楷体" w:eastAsia="楷体" w:hAnsi="楷体"/>
                <w:b/>
                <w:sz w:val="18"/>
                <w:szCs w:val="18"/>
              </w:rPr>
            </w:pPr>
            <w:r w:rsidRPr="00BA6F16">
              <w:rPr>
                <w:rFonts w:ascii="楷体" w:eastAsia="楷体" w:hAnsi="楷体" w:hint="eastAsia"/>
                <w:b/>
                <w:bCs/>
                <w:color w:val="000000"/>
                <w:sz w:val="18"/>
                <w:szCs w:val="18"/>
              </w:rPr>
              <w:t>偏债型</w:t>
            </w:r>
          </w:p>
        </w:tc>
        <w:tc>
          <w:tcPr>
            <w:tcW w:w="851"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121</w:t>
            </w:r>
          </w:p>
        </w:tc>
        <w:tc>
          <w:tcPr>
            <w:tcW w:w="1984"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华夏永福养老理财</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0.37</w:t>
            </w:r>
          </w:p>
        </w:tc>
        <w:tc>
          <w:tcPr>
            <w:tcW w:w="993" w:type="dxa"/>
            <w:vMerge w:val="restart"/>
            <w:tcBorders>
              <w:left w:val="single" w:sz="6" w:space="0" w:color="FF6600"/>
              <w:right w:val="single" w:sz="6" w:space="0" w:color="FF6600"/>
            </w:tcBorders>
            <w:shd w:val="clear" w:color="auto" w:fill="FDE9D9"/>
            <w:vAlign w:val="center"/>
          </w:tcPr>
          <w:p w:rsidR="00EC7A20" w:rsidRPr="00BA6F16" w:rsidRDefault="00EC7A20" w:rsidP="00884478">
            <w:pPr>
              <w:snapToGrid w:val="0"/>
              <w:jc w:val="center"/>
              <w:rPr>
                <w:rFonts w:ascii="楷体" w:eastAsia="楷体" w:hAnsi="楷体"/>
                <w:b/>
                <w:bCs/>
                <w:color w:val="000000"/>
                <w:sz w:val="18"/>
                <w:szCs w:val="18"/>
              </w:rPr>
            </w:pPr>
            <w:r w:rsidRPr="00BA6F16">
              <w:rPr>
                <w:rFonts w:ascii="楷体" w:eastAsia="楷体" w:hAnsi="楷体" w:hint="eastAsia"/>
                <w:b/>
                <w:bCs/>
                <w:color w:val="000000"/>
                <w:sz w:val="18"/>
                <w:szCs w:val="18"/>
              </w:rPr>
              <w:t>债券</w:t>
            </w:r>
            <w:r w:rsidRPr="00BA6F16">
              <w:rPr>
                <w:rFonts w:ascii="楷体" w:eastAsia="楷体" w:hAnsi="楷体"/>
                <w:b/>
                <w:bCs/>
                <w:color w:val="000000"/>
                <w:sz w:val="18"/>
                <w:szCs w:val="18"/>
              </w:rPr>
              <w:t>-</w:t>
            </w:r>
          </w:p>
          <w:p w:rsidR="00EC7A20" w:rsidRPr="005B7CDB" w:rsidRDefault="00EC7A20" w:rsidP="00884478">
            <w:pPr>
              <w:snapToGrid w:val="0"/>
              <w:jc w:val="center"/>
              <w:rPr>
                <w:rFonts w:ascii="楷体" w:eastAsia="楷体" w:hAnsi="楷体" w:cs="宋体"/>
                <w:b/>
                <w:bCs/>
                <w:color w:val="000000"/>
                <w:sz w:val="18"/>
                <w:szCs w:val="18"/>
              </w:rPr>
            </w:pPr>
            <w:r w:rsidRPr="00BA6F16">
              <w:rPr>
                <w:rFonts w:ascii="楷体" w:eastAsia="楷体" w:hAnsi="楷体" w:hint="eastAsia"/>
                <w:b/>
                <w:bCs/>
                <w:color w:val="000000"/>
                <w:sz w:val="18"/>
                <w:szCs w:val="18"/>
              </w:rPr>
              <w:t>理财债基</w:t>
            </w:r>
          </w:p>
        </w:tc>
        <w:tc>
          <w:tcPr>
            <w:tcW w:w="992"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40029</w:t>
            </w:r>
          </w:p>
        </w:tc>
        <w:tc>
          <w:tcPr>
            <w:tcW w:w="1843"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华安月月鑫</w:t>
            </w:r>
            <w:r w:rsidRPr="00BA6F16">
              <w:rPr>
                <w:rFonts w:ascii="楷体" w:eastAsia="楷体" w:hAnsi="楷体"/>
                <w:color w:val="000000"/>
                <w:sz w:val="18"/>
                <w:szCs w:val="18"/>
              </w:rPr>
              <w:t>B</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850" w:type="dxa"/>
            <w:tcBorders>
              <w:lef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0.20</w:t>
            </w:r>
          </w:p>
        </w:tc>
      </w:tr>
      <w:tr w:rsidR="00EC7A20" w:rsidRPr="00BA6F16" w:rsidTr="00363312">
        <w:trPr>
          <w:cantSplit/>
          <w:trHeight w:val="227"/>
        </w:trPr>
        <w:tc>
          <w:tcPr>
            <w:tcW w:w="851" w:type="dxa"/>
            <w:vMerge/>
            <w:tcBorders>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253010</w:t>
            </w:r>
          </w:p>
        </w:tc>
        <w:tc>
          <w:tcPr>
            <w:tcW w:w="1984"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国联安安心成长</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0.16</w:t>
            </w:r>
          </w:p>
        </w:tc>
        <w:tc>
          <w:tcPr>
            <w:tcW w:w="993" w:type="dxa"/>
            <w:vMerge/>
            <w:tcBorders>
              <w:left w:val="single" w:sz="6" w:space="0" w:color="FF6600"/>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200017</w:t>
            </w:r>
          </w:p>
        </w:tc>
        <w:tc>
          <w:tcPr>
            <w:tcW w:w="1843"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长城岁岁金理财</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850" w:type="dxa"/>
            <w:tcBorders>
              <w:lef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0.19</w:t>
            </w:r>
          </w:p>
        </w:tc>
      </w:tr>
      <w:tr w:rsidR="00EC7A20" w:rsidRPr="00BA6F16" w:rsidTr="00363312">
        <w:trPr>
          <w:cantSplit/>
          <w:trHeight w:val="227"/>
        </w:trPr>
        <w:tc>
          <w:tcPr>
            <w:tcW w:w="851" w:type="dxa"/>
            <w:vMerge/>
            <w:tcBorders>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340001</w:t>
            </w:r>
          </w:p>
        </w:tc>
        <w:tc>
          <w:tcPr>
            <w:tcW w:w="1984"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兴全可转债</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0.08</w:t>
            </w:r>
          </w:p>
        </w:tc>
        <w:tc>
          <w:tcPr>
            <w:tcW w:w="993" w:type="dxa"/>
            <w:vMerge/>
            <w:tcBorders>
              <w:left w:val="single" w:sz="6" w:space="0" w:color="FF6600"/>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40028</w:t>
            </w:r>
          </w:p>
        </w:tc>
        <w:tc>
          <w:tcPr>
            <w:tcW w:w="1843"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华安月月鑫</w:t>
            </w:r>
            <w:r w:rsidRPr="00BA6F16">
              <w:rPr>
                <w:rFonts w:ascii="楷体" w:eastAsia="楷体" w:hAnsi="楷体"/>
                <w:color w:val="000000"/>
                <w:sz w:val="18"/>
                <w:szCs w:val="18"/>
              </w:rPr>
              <w:t>A</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850" w:type="dxa"/>
            <w:tcBorders>
              <w:lef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0.19</w:t>
            </w:r>
          </w:p>
        </w:tc>
      </w:tr>
      <w:tr w:rsidR="00EC7A20" w:rsidRPr="00BA6F16" w:rsidTr="00363312">
        <w:trPr>
          <w:cantSplit/>
          <w:trHeight w:val="227"/>
        </w:trPr>
        <w:tc>
          <w:tcPr>
            <w:tcW w:w="851" w:type="dxa"/>
            <w:vMerge w:val="restart"/>
            <w:tcBorders>
              <w:right w:val="single" w:sz="6" w:space="0" w:color="FF6600"/>
            </w:tcBorders>
            <w:shd w:val="clear" w:color="auto" w:fill="FDE9D9"/>
            <w:vAlign w:val="center"/>
          </w:tcPr>
          <w:p w:rsidR="00EC7A20" w:rsidRPr="00BA6F16" w:rsidRDefault="00EC7A20" w:rsidP="00884478">
            <w:pPr>
              <w:snapToGrid w:val="0"/>
              <w:jc w:val="center"/>
              <w:rPr>
                <w:rFonts w:ascii="楷体" w:eastAsia="楷体" w:hAnsi="楷体"/>
                <w:b/>
                <w:bCs/>
                <w:color w:val="000000"/>
                <w:sz w:val="18"/>
                <w:szCs w:val="18"/>
              </w:rPr>
            </w:pPr>
            <w:r w:rsidRPr="00BA6F16">
              <w:rPr>
                <w:rFonts w:ascii="楷体" w:eastAsia="楷体" w:hAnsi="楷体" w:hint="eastAsia"/>
                <w:b/>
                <w:bCs/>
                <w:color w:val="000000"/>
                <w:sz w:val="18"/>
                <w:szCs w:val="18"/>
              </w:rPr>
              <w:t>混合</w:t>
            </w:r>
            <w:r w:rsidRPr="00BA6F16">
              <w:rPr>
                <w:rFonts w:ascii="楷体" w:eastAsia="楷体" w:hAnsi="楷体"/>
                <w:b/>
                <w:bCs/>
                <w:color w:val="000000"/>
                <w:sz w:val="18"/>
                <w:szCs w:val="18"/>
              </w:rPr>
              <w:t>-</w:t>
            </w:r>
          </w:p>
          <w:p w:rsidR="00EC7A20" w:rsidRPr="00BA6F16" w:rsidRDefault="00EC7A20" w:rsidP="00884478">
            <w:pPr>
              <w:snapToGrid w:val="0"/>
              <w:jc w:val="center"/>
              <w:rPr>
                <w:rFonts w:ascii="楷体" w:eastAsia="楷体" w:hAnsi="楷体"/>
                <w:b/>
                <w:sz w:val="18"/>
                <w:szCs w:val="18"/>
              </w:rPr>
            </w:pPr>
            <w:r w:rsidRPr="00BA6F16">
              <w:rPr>
                <w:rFonts w:ascii="楷体" w:eastAsia="楷体" w:hAnsi="楷体" w:hint="eastAsia"/>
                <w:b/>
                <w:bCs/>
                <w:color w:val="000000"/>
                <w:sz w:val="18"/>
                <w:szCs w:val="18"/>
              </w:rPr>
              <w:t>灵活型</w:t>
            </w:r>
          </w:p>
        </w:tc>
        <w:tc>
          <w:tcPr>
            <w:tcW w:w="851"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535</w:t>
            </w:r>
          </w:p>
        </w:tc>
        <w:tc>
          <w:tcPr>
            <w:tcW w:w="1984"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长盛航天海工装备</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0.70</w:t>
            </w:r>
          </w:p>
        </w:tc>
        <w:tc>
          <w:tcPr>
            <w:tcW w:w="993" w:type="dxa"/>
            <w:vMerge w:val="restart"/>
            <w:tcBorders>
              <w:left w:val="single" w:sz="6" w:space="0" w:color="FF6600"/>
              <w:right w:val="single" w:sz="6" w:space="0" w:color="FF6600"/>
            </w:tcBorders>
            <w:shd w:val="clear" w:color="auto" w:fill="FDE9D9"/>
            <w:vAlign w:val="center"/>
          </w:tcPr>
          <w:p w:rsidR="00EC7A20" w:rsidRPr="00BA6F16" w:rsidRDefault="00EC7A20" w:rsidP="00884478">
            <w:pPr>
              <w:snapToGrid w:val="0"/>
              <w:jc w:val="center"/>
              <w:rPr>
                <w:rFonts w:ascii="楷体" w:eastAsia="楷体" w:hAnsi="楷体"/>
                <w:b/>
                <w:bCs/>
                <w:color w:val="000000"/>
                <w:sz w:val="18"/>
                <w:szCs w:val="18"/>
              </w:rPr>
            </w:pPr>
            <w:r w:rsidRPr="00BA6F16">
              <w:rPr>
                <w:rFonts w:ascii="楷体" w:eastAsia="楷体" w:hAnsi="楷体" w:hint="eastAsia"/>
                <w:b/>
                <w:bCs/>
                <w:color w:val="000000"/>
                <w:sz w:val="18"/>
                <w:szCs w:val="18"/>
              </w:rPr>
              <w:t>债券</w:t>
            </w:r>
            <w:r w:rsidRPr="00BA6F16">
              <w:rPr>
                <w:rFonts w:ascii="楷体" w:eastAsia="楷体" w:hAnsi="楷体"/>
                <w:b/>
                <w:bCs/>
                <w:color w:val="000000"/>
                <w:sz w:val="18"/>
                <w:szCs w:val="18"/>
              </w:rPr>
              <w:t>-</w:t>
            </w:r>
          </w:p>
          <w:p w:rsidR="00EC7A20" w:rsidRPr="005B7CDB" w:rsidRDefault="00EC7A20" w:rsidP="00884478">
            <w:pPr>
              <w:snapToGrid w:val="0"/>
              <w:jc w:val="center"/>
              <w:rPr>
                <w:rFonts w:ascii="楷体" w:eastAsia="楷体" w:hAnsi="楷体" w:cs="宋体"/>
                <w:b/>
                <w:bCs/>
                <w:color w:val="000000"/>
                <w:sz w:val="18"/>
                <w:szCs w:val="18"/>
              </w:rPr>
            </w:pPr>
            <w:r w:rsidRPr="00BA6F16">
              <w:rPr>
                <w:rFonts w:ascii="楷体" w:eastAsia="楷体" w:hAnsi="楷体" w:hint="eastAsia"/>
                <w:b/>
                <w:bCs/>
                <w:color w:val="000000"/>
                <w:sz w:val="18"/>
                <w:szCs w:val="18"/>
              </w:rPr>
              <w:t>指数债基</w:t>
            </w:r>
          </w:p>
        </w:tc>
        <w:tc>
          <w:tcPr>
            <w:tcW w:w="992"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161826</w:t>
            </w:r>
          </w:p>
        </w:tc>
        <w:tc>
          <w:tcPr>
            <w:tcW w:w="1843"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银华中证转债</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850" w:type="dxa"/>
            <w:tcBorders>
              <w:lef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0.60</w:t>
            </w:r>
          </w:p>
        </w:tc>
      </w:tr>
      <w:tr w:rsidR="00EC7A20" w:rsidRPr="00BA6F16" w:rsidTr="00363312">
        <w:trPr>
          <w:cantSplit/>
          <w:trHeight w:val="227"/>
        </w:trPr>
        <w:tc>
          <w:tcPr>
            <w:tcW w:w="851" w:type="dxa"/>
            <w:vMerge/>
            <w:tcBorders>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400023</w:t>
            </w:r>
          </w:p>
        </w:tc>
        <w:tc>
          <w:tcPr>
            <w:tcW w:w="1984"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东方多策略</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0.61</w:t>
            </w:r>
          </w:p>
        </w:tc>
        <w:tc>
          <w:tcPr>
            <w:tcW w:w="993" w:type="dxa"/>
            <w:vMerge/>
            <w:tcBorders>
              <w:left w:val="single" w:sz="6" w:space="0" w:color="FF6600"/>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348</w:t>
            </w:r>
          </w:p>
        </w:tc>
        <w:tc>
          <w:tcPr>
            <w:tcW w:w="1843"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广发中债金融债</w:t>
            </w:r>
            <w:r w:rsidRPr="00BA6F16">
              <w:rPr>
                <w:rFonts w:ascii="楷体" w:eastAsia="楷体" w:hAnsi="楷体"/>
                <w:color w:val="000000"/>
                <w:sz w:val="18"/>
                <w:szCs w:val="18"/>
              </w:rPr>
              <w:t>A</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850" w:type="dxa"/>
            <w:tcBorders>
              <w:lef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0.35</w:t>
            </w:r>
          </w:p>
        </w:tc>
      </w:tr>
      <w:tr w:rsidR="00EC7A20" w:rsidRPr="00BA6F16" w:rsidTr="00363312">
        <w:trPr>
          <w:cantSplit/>
          <w:trHeight w:val="227"/>
        </w:trPr>
        <w:tc>
          <w:tcPr>
            <w:tcW w:w="851" w:type="dxa"/>
            <w:vMerge/>
            <w:tcBorders>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29</w:t>
            </w:r>
          </w:p>
        </w:tc>
        <w:tc>
          <w:tcPr>
            <w:tcW w:w="1984"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富国宏观策略</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0.44</w:t>
            </w:r>
          </w:p>
        </w:tc>
        <w:tc>
          <w:tcPr>
            <w:tcW w:w="993" w:type="dxa"/>
            <w:vMerge/>
            <w:tcBorders>
              <w:left w:val="single" w:sz="6" w:space="0" w:color="FF6600"/>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349</w:t>
            </w:r>
          </w:p>
        </w:tc>
        <w:tc>
          <w:tcPr>
            <w:tcW w:w="1843"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广发中债金融债</w:t>
            </w:r>
            <w:r w:rsidRPr="00BA6F16">
              <w:rPr>
                <w:rFonts w:ascii="楷体" w:eastAsia="楷体" w:hAnsi="楷体"/>
                <w:color w:val="000000"/>
                <w:sz w:val="18"/>
                <w:szCs w:val="18"/>
              </w:rPr>
              <w:t>C</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850" w:type="dxa"/>
            <w:tcBorders>
              <w:lef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0.34</w:t>
            </w:r>
          </w:p>
        </w:tc>
      </w:tr>
      <w:tr w:rsidR="00EC7A20" w:rsidRPr="00BA6F16" w:rsidTr="006F4A62">
        <w:trPr>
          <w:cantSplit/>
          <w:trHeight w:val="227"/>
        </w:trPr>
        <w:tc>
          <w:tcPr>
            <w:tcW w:w="851" w:type="dxa"/>
            <w:vMerge w:val="restart"/>
            <w:tcBorders>
              <w:right w:val="single" w:sz="6" w:space="0" w:color="FF6600"/>
            </w:tcBorders>
            <w:shd w:val="clear" w:color="auto" w:fill="FDE9D9"/>
            <w:vAlign w:val="center"/>
          </w:tcPr>
          <w:p w:rsidR="00EC7A20" w:rsidRPr="00BA6F16" w:rsidRDefault="00EC7A20" w:rsidP="00884478">
            <w:pPr>
              <w:snapToGrid w:val="0"/>
              <w:jc w:val="center"/>
              <w:rPr>
                <w:rFonts w:ascii="楷体" w:eastAsia="楷体" w:hAnsi="楷体"/>
                <w:b/>
                <w:sz w:val="18"/>
                <w:szCs w:val="18"/>
              </w:rPr>
            </w:pPr>
            <w:r w:rsidRPr="00BA6F16">
              <w:rPr>
                <w:rFonts w:ascii="楷体" w:eastAsia="楷体" w:hAnsi="楷体"/>
                <w:b/>
                <w:sz w:val="18"/>
                <w:szCs w:val="18"/>
              </w:rPr>
              <w:t>QDII</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162411</w:t>
            </w:r>
          </w:p>
        </w:tc>
        <w:tc>
          <w:tcPr>
            <w:tcW w:w="1984"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华宝兴业标普油气</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1.54</w:t>
            </w:r>
          </w:p>
        </w:tc>
        <w:tc>
          <w:tcPr>
            <w:tcW w:w="993" w:type="dxa"/>
            <w:vMerge w:val="restart"/>
            <w:tcBorders>
              <w:left w:val="single" w:sz="6" w:space="0" w:color="FF6600"/>
              <w:right w:val="single" w:sz="6" w:space="0" w:color="FF6600"/>
            </w:tcBorders>
            <w:shd w:val="clear" w:color="auto" w:fill="FDE9D9"/>
            <w:vAlign w:val="center"/>
          </w:tcPr>
          <w:p w:rsidR="00EC7A20" w:rsidRPr="00BA6F16" w:rsidRDefault="00EC7A20" w:rsidP="00884478">
            <w:pPr>
              <w:snapToGrid w:val="0"/>
              <w:jc w:val="center"/>
              <w:rPr>
                <w:rFonts w:ascii="楷体" w:eastAsia="楷体" w:hAnsi="楷体"/>
                <w:b/>
                <w:bCs/>
                <w:color w:val="000000"/>
                <w:sz w:val="18"/>
                <w:szCs w:val="18"/>
              </w:rPr>
            </w:pPr>
            <w:r w:rsidRPr="00BA6F16">
              <w:rPr>
                <w:rFonts w:ascii="楷体" w:eastAsia="楷体" w:hAnsi="楷体" w:hint="eastAsia"/>
                <w:b/>
                <w:bCs/>
                <w:color w:val="000000"/>
                <w:sz w:val="18"/>
                <w:szCs w:val="18"/>
              </w:rPr>
              <w:t>债券</w:t>
            </w:r>
            <w:r w:rsidRPr="00BA6F16">
              <w:rPr>
                <w:rFonts w:ascii="楷体" w:eastAsia="楷体" w:hAnsi="楷体"/>
                <w:b/>
                <w:bCs/>
                <w:color w:val="000000"/>
                <w:sz w:val="18"/>
                <w:szCs w:val="18"/>
              </w:rPr>
              <w:t>-</w:t>
            </w:r>
          </w:p>
          <w:p w:rsidR="00EC7A20" w:rsidRPr="005B7CDB" w:rsidRDefault="00EC7A20" w:rsidP="00884478">
            <w:pPr>
              <w:snapToGrid w:val="0"/>
              <w:jc w:val="center"/>
              <w:rPr>
                <w:rFonts w:ascii="楷体" w:eastAsia="楷体" w:hAnsi="楷体" w:cs="宋体"/>
                <w:b/>
                <w:bCs/>
                <w:color w:val="000000"/>
                <w:sz w:val="18"/>
                <w:szCs w:val="18"/>
              </w:rPr>
            </w:pPr>
            <w:r w:rsidRPr="00BA6F16">
              <w:rPr>
                <w:rFonts w:ascii="楷体" w:eastAsia="楷体" w:hAnsi="楷体" w:hint="eastAsia"/>
                <w:b/>
                <w:bCs/>
                <w:color w:val="000000"/>
                <w:sz w:val="18"/>
                <w:szCs w:val="18"/>
              </w:rPr>
              <w:t>可转债基</w:t>
            </w:r>
          </w:p>
        </w:tc>
        <w:tc>
          <w:tcPr>
            <w:tcW w:w="992"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68</w:t>
            </w:r>
          </w:p>
        </w:tc>
        <w:tc>
          <w:tcPr>
            <w:tcW w:w="1843"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民生加银转债优选</w:t>
            </w:r>
            <w:r w:rsidRPr="00BA6F16">
              <w:rPr>
                <w:rFonts w:ascii="楷体" w:eastAsia="楷体" w:hAnsi="楷体"/>
                <w:color w:val="000000"/>
                <w:sz w:val="18"/>
                <w:szCs w:val="18"/>
              </w:rPr>
              <w:t>C</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850" w:type="dxa"/>
            <w:tcBorders>
              <w:lef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1.65</w:t>
            </w:r>
          </w:p>
        </w:tc>
      </w:tr>
      <w:tr w:rsidR="00EC7A20" w:rsidRPr="00BA6F16" w:rsidTr="006F4A62">
        <w:trPr>
          <w:cantSplit/>
          <w:trHeight w:val="227"/>
        </w:trPr>
        <w:tc>
          <w:tcPr>
            <w:tcW w:w="851" w:type="dxa"/>
            <w:vMerge/>
            <w:tcBorders>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color w:val="FF0000"/>
                <w:sz w:val="18"/>
                <w:szCs w:val="18"/>
              </w:rPr>
            </w:pP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217015</w:t>
            </w:r>
          </w:p>
        </w:tc>
        <w:tc>
          <w:tcPr>
            <w:tcW w:w="1984"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招商全球资源</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1.32</w:t>
            </w:r>
          </w:p>
        </w:tc>
        <w:tc>
          <w:tcPr>
            <w:tcW w:w="993" w:type="dxa"/>
            <w:vMerge/>
            <w:tcBorders>
              <w:left w:val="single" w:sz="6" w:space="0" w:color="FF6600"/>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67</w:t>
            </w:r>
          </w:p>
        </w:tc>
        <w:tc>
          <w:tcPr>
            <w:tcW w:w="1843"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民生加银转债优选</w:t>
            </w:r>
            <w:r w:rsidRPr="00BA6F16">
              <w:rPr>
                <w:rFonts w:ascii="楷体" w:eastAsia="楷体" w:hAnsi="楷体"/>
                <w:color w:val="000000"/>
                <w:sz w:val="18"/>
                <w:szCs w:val="18"/>
              </w:rPr>
              <w:t>A</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850" w:type="dxa"/>
            <w:tcBorders>
              <w:lef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1.64</w:t>
            </w:r>
          </w:p>
        </w:tc>
      </w:tr>
      <w:tr w:rsidR="00EC7A20" w:rsidRPr="00BA6F16" w:rsidTr="006F4A62">
        <w:trPr>
          <w:cantSplit/>
          <w:trHeight w:val="227"/>
        </w:trPr>
        <w:tc>
          <w:tcPr>
            <w:tcW w:w="851" w:type="dxa"/>
            <w:vMerge/>
            <w:tcBorders>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color w:val="FF0000"/>
                <w:sz w:val="18"/>
                <w:szCs w:val="18"/>
              </w:rPr>
            </w:pP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164701</w:t>
            </w:r>
          </w:p>
        </w:tc>
        <w:tc>
          <w:tcPr>
            <w:tcW w:w="1984"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汇添富黄金及贵金属</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1.20</w:t>
            </w:r>
          </w:p>
        </w:tc>
        <w:tc>
          <w:tcPr>
            <w:tcW w:w="993" w:type="dxa"/>
            <w:vMerge/>
            <w:tcBorders>
              <w:left w:val="single" w:sz="6" w:space="0" w:color="FF6600"/>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50119</w:t>
            </w:r>
          </w:p>
        </w:tc>
        <w:tc>
          <w:tcPr>
            <w:tcW w:w="1843"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博时转债</w:t>
            </w:r>
            <w:r w:rsidRPr="00BA6F16">
              <w:rPr>
                <w:rFonts w:ascii="楷体" w:eastAsia="楷体" w:hAnsi="楷体"/>
                <w:color w:val="000000"/>
                <w:sz w:val="18"/>
                <w:szCs w:val="18"/>
              </w:rPr>
              <w:t>C</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850" w:type="dxa"/>
            <w:tcBorders>
              <w:lef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0.55</w:t>
            </w:r>
          </w:p>
        </w:tc>
      </w:tr>
      <w:tr w:rsidR="00EC7A20" w:rsidRPr="00BA6F16" w:rsidTr="00363312">
        <w:trPr>
          <w:cantSplit/>
          <w:trHeight w:val="227"/>
        </w:trPr>
        <w:tc>
          <w:tcPr>
            <w:tcW w:w="851" w:type="dxa"/>
            <w:vMerge w:val="restart"/>
            <w:tcBorders>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sz w:val="18"/>
                <w:szCs w:val="18"/>
              </w:rPr>
            </w:pPr>
            <w:r w:rsidRPr="00BA6F16">
              <w:rPr>
                <w:rFonts w:ascii="楷体" w:eastAsia="楷体" w:hAnsi="楷体" w:hint="eastAsia"/>
                <w:b/>
                <w:sz w:val="18"/>
                <w:szCs w:val="18"/>
              </w:rPr>
              <w:t>分级基金子份额</w:t>
            </w:r>
            <w:r w:rsidRPr="00BA6F16">
              <w:rPr>
                <w:rFonts w:ascii="楷体" w:eastAsia="楷体" w:hAnsi="楷体"/>
                <w:b/>
                <w:sz w:val="18"/>
                <w:szCs w:val="18"/>
              </w:rPr>
              <w:t>-</w:t>
            </w:r>
          </w:p>
          <w:p w:rsidR="00EC7A20" w:rsidRPr="00BA6F16" w:rsidRDefault="00EC7A20" w:rsidP="000D1136">
            <w:pPr>
              <w:snapToGrid w:val="0"/>
              <w:jc w:val="center"/>
              <w:rPr>
                <w:rFonts w:ascii="楷体" w:eastAsia="楷体" w:hAnsi="楷体"/>
                <w:b/>
                <w:sz w:val="18"/>
                <w:szCs w:val="18"/>
              </w:rPr>
            </w:pPr>
            <w:r w:rsidRPr="00BA6F16">
              <w:rPr>
                <w:rFonts w:ascii="楷体" w:eastAsia="楷体" w:hAnsi="楷体" w:hint="eastAsia"/>
                <w:b/>
                <w:sz w:val="18"/>
                <w:szCs w:val="18"/>
              </w:rPr>
              <w:t>股票稳健</w:t>
            </w:r>
          </w:p>
        </w:tc>
        <w:tc>
          <w:tcPr>
            <w:tcW w:w="851"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121007</w:t>
            </w:r>
          </w:p>
        </w:tc>
        <w:tc>
          <w:tcPr>
            <w:tcW w:w="1984"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国投瑞银瑞福优先</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0.20</w:t>
            </w:r>
          </w:p>
        </w:tc>
        <w:tc>
          <w:tcPr>
            <w:tcW w:w="993" w:type="dxa"/>
            <w:vMerge w:val="restart"/>
            <w:tcBorders>
              <w:left w:val="single" w:sz="6" w:space="0" w:color="FF6600"/>
              <w:right w:val="single" w:sz="6" w:space="0" w:color="FF6600"/>
            </w:tcBorders>
            <w:shd w:val="clear" w:color="auto" w:fill="FDE9D9"/>
            <w:vAlign w:val="center"/>
          </w:tcPr>
          <w:p w:rsidR="00EC7A20" w:rsidRPr="00BA6F16" w:rsidRDefault="00EC7A20" w:rsidP="00797357">
            <w:pPr>
              <w:snapToGrid w:val="0"/>
              <w:jc w:val="center"/>
              <w:rPr>
                <w:rFonts w:ascii="楷体" w:eastAsia="楷体" w:hAnsi="楷体"/>
                <w:b/>
                <w:color w:val="000000"/>
                <w:sz w:val="18"/>
                <w:szCs w:val="18"/>
              </w:rPr>
            </w:pPr>
            <w:r w:rsidRPr="00BA6F16">
              <w:rPr>
                <w:rFonts w:ascii="楷体" w:eastAsia="楷体" w:hAnsi="楷体" w:hint="eastAsia"/>
                <w:b/>
                <w:color w:val="000000"/>
                <w:sz w:val="18"/>
                <w:szCs w:val="18"/>
              </w:rPr>
              <w:t>分级基金子份额</w:t>
            </w:r>
            <w:r w:rsidRPr="00BA6F16">
              <w:rPr>
                <w:rFonts w:ascii="楷体" w:eastAsia="楷体" w:hAnsi="楷体"/>
                <w:b/>
                <w:color w:val="000000"/>
                <w:sz w:val="18"/>
                <w:szCs w:val="18"/>
              </w:rPr>
              <w:t>-</w:t>
            </w:r>
          </w:p>
          <w:p w:rsidR="00EC7A20" w:rsidRPr="00BA6F16" w:rsidRDefault="00EC7A20" w:rsidP="00797357">
            <w:pPr>
              <w:snapToGrid w:val="0"/>
              <w:jc w:val="center"/>
              <w:rPr>
                <w:rFonts w:ascii="楷体" w:eastAsia="楷体" w:hAnsi="楷体"/>
                <w:b/>
                <w:color w:val="000000"/>
                <w:sz w:val="18"/>
                <w:szCs w:val="18"/>
              </w:rPr>
            </w:pPr>
            <w:r w:rsidRPr="00BA6F16">
              <w:rPr>
                <w:rFonts w:ascii="楷体" w:eastAsia="楷体" w:hAnsi="楷体" w:hint="eastAsia"/>
                <w:b/>
                <w:color w:val="000000"/>
                <w:sz w:val="18"/>
                <w:szCs w:val="18"/>
              </w:rPr>
              <w:t>股票积极</w:t>
            </w:r>
          </w:p>
        </w:tc>
        <w:tc>
          <w:tcPr>
            <w:tcW w:w="992"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150017</w:t>
            </w:r>
          </w:p>
        </w:tc>
        <w:tc>
          <w:tcPr>
            <w:tcW w:w="1843"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兴全合润分级</w:t>
            </w:r>
            <w:r w:rsidRPr="00BA6F16">
              <w:rPr>
                <w:rFonts w:ascii="楷体" w:eastAsia="楷体" w:hAnsi="楷体"/>
                <w:color w:val="000000"/>
                <w:sz w:val="18"/>
                <w:szCs w:val="18"/>
              </w:rPr>
              <w:t>B</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850" w:type="dxa"/>
            <w:tcBorders>
              <w:lef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0.00</w:t>
            </w:r>
          </w:p>
        </w:tc>
      </w:tr>
      <w:tr w:rsidR="00EC7A20" w:rsidRPr="00BA6F16" w:rsidTr="00363312">
        <w:trPr>
          <w:cantSplit/>
          <w:trHeight w:val="227"/>
        </w:trPr>
        <w:tc>
          <w:tcPr>
            <w:tcW w:w="851" w:type="dxa"/>
            <w:vMerge/>
            <w:tcBorders>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150069</w:t>
            </w:r>
          </w:p>
        </w:tc>
        <w:tc>
          <w:tcPr>
            <w:tcW w:w="1984"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国联安双力中小板</w:t>
            </w:r>
            <w:r w:rsidRPr="00BA6F16">
              <w:rPr>
                <w:rFonts w:ascii="楷体" w:eastAsia="楷体" w:hAnsi="楷体"/>
                <w:color w:val="000000"/>
                <w:sz w:val="18"/>
                <w:szCs w:val="18"/>
              </w:rPr>
              <w:t>A</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0.19</w:t>
            </w:r>
          </w:p>
        </w:tc>
        <w:tc>
          <w:tcPr>
            <w:tcW w:w="993" w:type="dxa"/>
            <w:vMerge/>
            <w:tcBorders>
              <w:left w:val="single" w:sz="6" w:space="0" w:color="FF6600"/>
              <w:right w:val="single" w:sz="6" w:space="0" w:color="FF6600"/>
            </w:tcBorders>
            <w:shd w:val="clear" w:color="auto" w:fill="FDE9D9"/>
            <w:vAlign w:val="center"/>
          </w:tcPr>
          <w:p w:rsidR="00EC7A20" w:rsidRPr="00BA6F16" w:rsidRDefault="00EC7A20" w:rsidP="00797357">
            <w:pPr>
              <w:snapToGrid w:val="0"/>
              <w:jc w:val="center"/>
              <w:rPr>
                <w:rFonts w:ascii="楷体" w:eastAsia="楷体" w:hAnsi="楷体"/>
                <w:b/>
                <w:color w:val="000000"/>
                <w:sz w:val="18"/>
                <w:szCs w:val="18"/>
              </w:rPr>
            </w:pPr>
          </w:p>
        </w:tc>
        <w:tc>
          <w:tcPr>
            <w:tcW w:w="992"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150182</w:t>
            </w:r>
          </w:p>
        </w:tc>
        <w:tc>
          <w:tcPr>
            <w:tcW w:w="1843"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富国中证军工</w:t>
            </w:r>
            <w:r w:rsidRPr="00BA6F16">
              <w:rPr>
                <w:rFonts w:ascii="楷体" w:eastAsia="楷体" w:hAnsi="楷体"/>
                <w:color w:val="000000"/>
                <w:sz w:val="18"/>
                <w:szCs w:val="18"/>
              </w:rPr>
              <w:t>B</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850" w:type="dxa"/>
            <w:tcBorders>
              <w:lef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-0.07</w:t>
            </w:r>
          </w:p>
        </w:tc>
      </w:tr>
      <w:tr w:rsidR="00EC7A20" w:rsidRPr="00BA6F16" w:rsidTr="00363312">
        <w:trPr>
          <w:cantSplit/>
          <w:trHeight w:val="227"/>
        </w:trPr>
        <w:tc>
          <w:tcPr>
            <w:tcW w:w="851" w:type="dxa"/>
            <w:vMerge/>
            <w:tcBorders>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150076</w:t>
            </w:r>
          </w:p>
        </w:tc>
        <w:tc>
          <w:tcPr>
            <w:tcW w:w="1984"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浙商稳健</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0.19</w:t>
            </w:r>
          </w:p>
        </w:tc>
        <w:tc>
          <w:tcPr>
            <w:tcW w:w="993" w:type="dxa"/>
            <w:vMerge/>
            <w:tcBorders>
              <w:left w:val="single" w:sz="6" w:space="0" w:color="FF6600"/>
              <w:right w:val="single" w:sz="6" w:space="0" w:color="FF6600"/>
            </w:tcBorders>
            <w:shd w:val="clear" w:color="auto" w:fill="FDE9D9"/>
            <w:vAlign w:val="center"/>
          </w:tcPr>
          <w:p w:rsidR="00EC7A20" w:rsidRPr="00BA6F16" w:rsidRDefault="00EC7A20" w:rsidP="00797357">
            <w:pPr>
              <w:snapToGrid w:val="0"/>
              <w:jc w:val="center"/>
              <w:rPr>
                <w:rFonts w:ascii="楷体" w:eastAsia="楷体" w:hAnsi="楷体"/>
                <w:b/>
                <w:color w:val="000000"/>
                <w:sz w:val="18"/>
                <w:szCs w:val="18"/>
              </w:rPr>
            </w:pPr>
          </w:p>
        </w:tc>
        <w:tc>
          <w:tcPr>
            <w:tcW w:w="992"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150037</w:t>
            </w:r>
          </w:p>
        </w:tc>
        <w:tc>
          <w:tcPr>
            <w:tcW w:w="1843"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建信进取</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850" w:type="dxa"/>
            <w:tcBorders>
              <w:lef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-0.66</w:t>
            </w:r>
          </w:p>
        </w:tc>
      </w:tr>
      <w:tr w:rsidR="00EC7A20" w:rsidRPr="00BA6F16" w:rsidTr="00363312">
        <w:trPr>
          <w:cantSplit/>
          <w:trHeight w:val="227"/>
        </w:trPr>
        <w:tc>
          <w:tcPr>
            <w:tcW w:w="851" w:type="dxa"/>
            <w:vMerge w:val="restart"/>
            <w:tcBorders>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sz w:val="18"/>
                <w:szCs w:val="18"/>
              </w:rPr>
            </w:pPr>
            <w:r w:rsidRPr="00BA6F16">
              <w:rPr>
                <w:rFonts w:ascii="楷体" w:eastAsia="楷体" w:hAnsi="楷体" w:hint="eastAsia"/>
                <w:b/>
                <w:sz w:val="18"/>
                <w:szCs w:val="18"/>
              </w:rPr>
              <w:t>分级基金子份额</w:t>
            </w:r>
            <w:r w:rsidRPr="00BA6F16">
              <w:rPr>
                <w:rFonts w:ascii="楷体" w:eastAsia="楷体" w:hAnsi="楷体"/>
                <w:b/>
                <w:sz w:val="18"/>
                <w:szCs w:val="18"/>
              </w:rPr>
              <w:t>-</w:t>
            </w:r>
          </w:p>
          <w:p w:rsidR="00EC7A20" w:rsidRPr="00BA6F16" w:rsidRDefault="00EC7A20" w:rsidP="000D1136">
            <w:pPr>
              <w:snapToGrid w:val="0"/>
              <w:jc w:val="center"/>
              <w:rPr>
                <w:rFonts w:ascii="楷体" w:eastAsia="楷体" w:hAnsi="楷体"/>
                <w:b/>
                <w:sz w:val="18"/>
                <w:szCs w:val="18"/>
              </w:rPr>
            </w:pPr>
            <w:r w:rsidRPr="00BA6F16">
              <w:rPr>
                <w:rFonts w:ascii="楷体" w:eastAsia="楷体" w:hAnsi="楷体" w:hint="eastAsia"/>
                <w:b/>
                <w:sz w:val="18"/>
                <w:szCs w:val="18"/>
              </w:rPr>
              <w:t>债券稳健</w:t>
            </w:r>
          </w:p>
        </w:tc>
        <w:tc>
          <w:tcPr>
            <w:tcW w:w="851"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160514</w:t>
            </w:r>
          </w:p>
        </w:tc>
        <w:tc>
          <w:tcPr>
            <w:tcW w:w="1984"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博时稳健回报</w:t>
            </w:r>
            <w:r w:rsidRPr="00BA6F16">
              <w:rPr>
                <w:rFonts w:ascii="楷体" w:eastAsia="楷体" w:hAnsi="楷体"/>
                <w:color w:val="000000"/>
                <w:sz w:val="18"/>
                <w:szCs w:val="18"/>
              </w:rPr>
              <w:t>C</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0.77</w:t>
            </w:r>
          </w:p>
        </w:tc>
        <w:tc>
          <w:tcPr>
            <w:tcW w:w="993" w:type="dxa"/>
            <w:vMerge w:val="restart"/>
            <w:tcBorders>
              <w:left w:val="single" w:sz="6" w:space="0" w:color="FF6600"/>
              <w:right w:val="single" w:sz="6" w:space="0" w:color="FF6600"/>
            </w:tcBorders>
            <w:shd w:val="clear" w:color="auto" w:fill="FDE9D9"/>
            <w:vAlign w:val="center"/>
          </w:tcPr>
          <w:p w:rsidR="00EC7A20" w:rsidRPr="00BA6F16" w:rsidRDefault="00EC7A20" w:rsidP="00797357">
            <w:pPr>
              <w:snapToGrid w:val="0"/>
              <w:jc w:val="center"/>
              <w:rPr>
                <w:rFonts w:ascii="楷体" w:eastAsia="楷体" w:hAnsi="楷体"/>
                <w:b/>
                <w:color w:val="000000"/>
                <w:sz w:val="18"/>
                <w:szCs w:val="18"/>
              </w:rPr>
            </w:pPr>
            <w:r w:rsidRPr="00BA6F16">
              <w:rPr>
                <w:rFonts w:ascii="楷体" w:eastAsia="楷体" w:hAnsi="楷体" w:hint="eastAsia"/>
                <w:b/>
                <w:color w:val="000000"/>
                <w:sz w:val="18"/>
                <w:szCs w:val="18"/>
              </w:rPr>
              <w:t>分级基金子份额</w:t>
            </w:r>
            <w:r w:rsidRPr="00BA6F16">
              <w:rPr>
                <w:rFonts w:ascii="楷体" w:eastAsia="楷体" w:hAnsi="楷体"/>
                <w:b/>
                <w:color w:val="000000"/>
                <w:sz w:val="18"/>
                <w:szCs w:val="18"/>
              </w:rPr>
              <w:t>-</w:t>
            </w:r>
          </w:p>
          <w:p w:rsidR="00EC7A20" w:rsidRPr="00BA6F16" w:rsidRDefault="00EC7A20" w:rsidP="00797357">
            <w:pPr>
              <w:snapToGrid w:val="0"/>
              <w:jc w:val="center"/>
              <w:rPr>
                <w:rFonts w:ascii="楷体" w:eastAsia="楷体" w:hAnsi="楷体"/>
                <w:b/>
                <w:color w:val="000000"/>
                <w:sz w:val="18"/>
                <w:szCs w:val="18"/>
              </w:rPr>
            </w:pPr>
            <w:r w:rsidRPr="00BA6F16">
              <w:rPr>
                <w:rFonts w:ascii="楷体" w:eastAsia="楷体" w:hAnsi="楷体" w:hint="eastAsia"/>
                <w:b/>
                <w:color w:val="000000"/>
                <w:sz w:val="18"/>
                <w:szCs w:val="18"/>
              </w:rPr>
              <w:t>债券积极</w:t>
            </w:r>
          </w:p>
        </w:tc>
        <w:tc>
          <w:tcPr>
            <w:tcW w:w="992"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150144</w:t>
            </w:r>
          </w:p>
        </w:tc>
        <w:tc>
          <w:tcPr>
            <w:tcW w:w="1843"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银华中证转债</w:t>
            </w:r>
            <w:r w:rsidRPr="00BA6F16">
              <w:rPr>
                <w:rFonts w:ascii="楷体" w:eastAsia="楷体" w:hAnsi="楷体"/>
                <w:color w:val="000000"/>
                <w:sz w:val="18"/>
                <w:szCs w:val="18"/>
              </w:rPr>
              <w:t>B</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850" w:type="dxa"/>
            <w:tcBorders>
              <w:lef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1.99</w:t>
            </w:r>
          </w:p>
        </w:tc>
      </w:tr>
      <w:tr w:rsidR="00EC7A20" w:rsidRPr="00BA6F16" w:rsidTr="00363312">
        <w:trPr>
          <w:cantSplit/>
          <w:trHeight w:val="227"/>
        </w:trPr>
        <w:tc>
          <w:tcPr>
            <w:tcW w:w="851" w:type="dxa"/>
            <w:vMerge/>
            <w:tcBorders>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150164</w:t>
            </w:r>
          </w:p>
        </w:tc>
        <w:tc>
          <w:tcPr>
            <w:tcW w:w="1984"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东吴中证可转换债券</w:t>
            </w:r>
            <w:r w:rsidRPr="00BA6F16">
              <w:rPr>
                <w:rFonts w:ascii="楷体" w:eastAsia="楷体" w:hAnsi="楷体"/>
                <w:color w:val="000000"/>
                <w:sz w:val="18"/>
                <w:szCs w:val="18"/>
              </w:rPr>
              <w:t>A</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0.20</w:t>
            </w:r>
          </w:p>
        </w:tc>
        <w:tc>
          <w:tcPr>
            <w:tcW w:w="993" w:type="dxa"/>
            <w:vMerge/>
            <w:tcBorders>
              <w:left w:val="single" w:sz="6" w:space="0" w:color="FF6600"/>
              <w:right w:val="single" w:sz="6" w:space="0" w:color="FF6600"/>
            </w:tcBorders>
            <w:shd w:val="clear" w:color="auto" w:fill="FDE9D9"/>
            <w:vAlign w:val="center"/>
          </w:tcPr>
          <w:p w:rsidR="00EC7A20" w:rsidRPr="00BA6F16" w:rsidRDefault="00EC7A20" w:rsidP="00797357">
            <w:pPr>
              <w:snapToGrid w:val="0"/>
              <w:jc w:val="center"/>
              <w:rPr>
                <w:rFonts w:ascii="楷体" w:eastAsia="楷体" w:hAnsi="楷体"/>
                <w:color w:val="000000"/>
                <w:sz w:val="18"/>
                <w:szCs w:val="18"/>
              </w:rPr>
            </w:pPr>
          </w:p>
        </w:tc>
        <w:tc>
          <w:tcPr>
            <w:tcW w:w="992"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150166</w:t>
            </w:r>
          </w:p>
        </w:tc>
        <w:tc>
          <w:tcPr>
            <w:tcW w:w="1843"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国富恒利分级</w:t>
            </w:r>
            <w:r w:rsidRPr="00BA6F16">
              <w:rPr>
                <w:rFonts w:ascii="楷体" w:eastAsia="楷体" w:hAnsi="楷体"/>
                <w:color w:val="000000"/>
                <w:sz w:val="18"/>
                <w:szCs w:val="18"/>
              </w:rPr>
              <w:t>B</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封闭式</w:t>
            </w:r>
          </w:p>
        </w:tc>
        <w:tc>
          <w:tcPr>
            <w:tcW w:w="850" w:type="dxa"/>
            <w:tcBorders>
              <w:lef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1.31</w:t>
            </w:r>
          </w:p>
        </w:tc>
      </w:tr>
      <w:tr w:rsidR="00EC7A20" w:rsidRPr="00BA6F16" w:rsidTr="00363312">
        <w:trPr>
          <w:cantSplit/>
          <w:trHeight w:val="227"/>
        </w:trPr>
        <w:tc>
          <w:tcPr>
            <w:tcW w:w="851" w:type="dxa"/>
            <w:vMerge/>
            <w:tcBorders>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161506</w:t>
            </w:r>
          </w:p>
        </w:tc>
        <w:tc>
          <w:tcPr>
            <w:tcW w:w="1984"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银河通利</w:t>
            </w:r>
            <w:r w:rsidRPr="00BA6F16">
              <w:rPr>
                <w:rFonts w:ascii="楷体" w:eastAsia="楷体" w:hAnsi="楷体"/>
                <w:color w:val="000000"/>
                <w:sz w:val="18"/>
                <w:szCs w:val="18"/>
              </w:rPr>
              <w:t>C</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0.19</w:t>
            </w:r>
          </w:p>
        </w:tc>
        <w:tc>
          <w:tcPr>
            <w:tcW w:w="993" w:type="dxa"/>
            <w:vMerge/>
            <w:tcBorders>
              <w:left w:val="single" w:sz="6" w:space="0" w:color="FF6600"/>
              <w:right w:val="single" w:sz="6" w:space="0" w:color="FF6600"/>
            </w:tcBorders>
            <w:shd w:val="clear" w:color="auto" w:fill="FDE9D9"/>
            <w:vAlign w:val="center"/>
          </w:tcPr>
          <w:p w:rsidR="00EC7A20" w:rsidRPr="00BA6F16" w:rsidRDefault="00EC7A20" w:rsidP="00797357">
            <w:pPr>
              <w:snapToGrid w:val="0"/>
              <w:jc w:val="center"/>
              <w:rPr>
                <w:rFonts w:ascii="楷体" w:eastAsia="楷体" w:hAnsi="楷体"/>
                <w:color w:val="000000"/>
                <w:sz w:val="18"/>
                <w:szCs w:val="18"/>
              </w:rPr>
            </w:pPr>
          </w:p>
        </w:tc>
        <w:tc>
          <w:tcPr>
            <w:tcW w:w="992"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499</w:t>
            </w:r>
          </w:p>
        </w:tc>
        <w:tc>
          <w:tcPr>
            <w:tcW w:w="1843" w:type="dxa"/>
            <w:tcBorders>
              <w:left w:val="single" w:sz="6" w:space="0" w:color="FF6600"/>
              <w:righ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财通纯债分级</w:t>
            </w:r>
            <w:r w:rsidRPr="00BA6F16">
              <w:rPr>
                <w:rFonts w:ascii="楷体" w:eastAsia="楷体" w:hAnsi="楷体"/>
                <w:color w:val="000000"/>
                <w:sz w:val="18"/>
                <w:szCs w:val="18"/>
              </w:rPr>
              <w:t>B</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850" w:type="dxa"/>
            <w:tcBorders>
              <w:left w:val="single" w:sz="6" w:space="0" w:color="FF6600"/>
            </w:tcBorders>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1.31</w:t>
            </w:r>
          </w:p>
        </w:tc>
      </w:tr>
      <w:tr w:rsidR="00EC7A20" w:rsidRPr="00BA6F16" w:rsidTr="006F4A62">
        <w:trPr>
          <w:cantSplit/>
          <w:trHeight w:val="227"/>
        </w:trPr>
        <w:tc>
          <w:tcPr>
            <w:tcW w:w="851" w:type="dxa"/>
            <w:vMerge w:val="restart"/>
            <w:tcBorders>
              <w:right w:val="single" w:sz="6" w:space="0" w:color="FF6600"/>
            </w:tcBorders>
            <w:shd w:val="clear" w:color="auto" w:fill="FDE9D9"/>
            <w:vAlign w:val="center"/>
          </w:tcPr>
          <w:p w:rsidR="00EC7A20" w:rsidRPr="00BA6F16" w:rsidRDefault="00EC7A20" w:rsidP="00884478">
            <w:pPr>
              <w:snapToGrid w:val="0"/>
              <w:jc w:val="center"/>
              <w:rPr>
                <w:rFonts w:ascii="楷体" w:eastAsia="楷体" w:hAnsi="楷体"/>
                <w:b/>
                <w:sz w:val="18"/>
                <w:szCs w:val="18"/>
              </w:rPr>
            </w:pPr>
            <w:r w:rsidRPr="00BA6F16">
              <w:rPr>
                <w:rFonts w:ascii="楷体" w:eastAsia="楷体" w:hAnsi="楷体" w:hint="eastAsia"/>
                <w:b/>
                <w:sz w:val="18"/>
                <w:szCs w:val="18"/>
              </w:rPr>
              <w:t>货币市场</w:t>
            </w:r>
          </w:p>
          <w:p w:rsidR="00EC7A20" w:rsidRPr="00BA6F16" w:rsidRDefault="00EC7A20" w:rsidP="00884478">
            <w:pPr>
              <w:snapToGrid w:val="0"/>
              <w:jc w:val="center"/>
              <w:rPr>
                <w:rFonts w:ascii="楷体" w:eastAsia="楷体" w:hAnsi="楷体"/>
                <w:b/>
                <w:color w:val="FF0000"/>
                <w:sz w:val="18"/>
                <w:szCs w:val="18"/>
              </w:rPr>
            </w:pPr>
            <w:r w:rsidRPr="00BA6F16">
              <w:rPr>
                <w:rFonts w:ascii="楷体" w:eastAsia="楷体" w:hAnsi="楷体" w:hint="eastAsia"/>
                <w:b/>
                <w:sz w:val="18"/>
                <w:szCs w:val="18"/>
              </w:rPr>
              <w:t>基金</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159004</w:t>
            </w:r>
          </w:p>
        </w:tc>
        <w:tc>
          <w:tcPr>
            <w:tcW w:w="1984"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招商保证金快线</w:t>
            </w:r>
            <w:r w:rsidRPr="00BA6F16">
              <w:rPr>
                <w:rFonts w:ascii="楷体" w:eastAsia="楷体" w:hAnsi="楷体"/>
                <w:color w:val="000000"/>
                <w:sz w:val="18"/>
                <w:szCs w:val="18"/>
              </w:rPr>
              <w:t>B</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10.920</w:t>
            </w:r>
          </w:p>
        </w:tc>
        <w:tc>
          <w:tcPr>
            <w:tcW w:w="993" w:type="dxa"/>
            <w:vMerge w:val="restart"/>
            <w:tcBorders>
              <w:left w:val="single" w:sz="6" w:space="0" w:color="FF6600"/>
              <w:right w:val="single" w:sz="6" w:space="0" w:color="FF6600"/>
            </w:tcBorders>
            <w:shd w:val="clear" w:color="auto" w:fill="FDE9D9"/>
            <w:vAlign w:val="center"/>
          </w:tcPr>
          <w:p w:rsidR="00EC7A20" w:rsidRPr="00BA6F16" w:rsidRDefault="00EC7A20" w:rsidP="007E607C">
            <w:pPr>
              <w:snapToGrid w:val="0"/>
              <w:jc w:val="center"/>
              <w:rPr>
                <w:rFonts w:ascii="楷体" w:eastAsia="楷体" w:hAnsi="楷体"/>
                <w:b/>
                <w:bCs/>
                <w:color w:val="000000"/>
                <w:sz w:val="18"/>
                <w:szCs w:val="18"/>
              </w:rPr>
            </w:pPr>
          </w:p>
        </w:tc>
        <w:tc>
          <w:tcPr>
            <w:tcW w:w="992" w:type="dxa"/>
            <w:tcBorders>
              <w:left w:val="single" w:sz="6" w:space="0" w:color="FF6600"/>
              <w:right w:val="single" w:sz="6" w:space="0" w:color="FF6600"/>
            </w:tcBorders>
            <w:vAlign w:val="center"/>
          </w:tcPr>
          <w:p w:rsidR="00EC7A20" w:rsidRPr="005B7CDB" w:rsidRDefault="00EC7A20" w:rsidP="003E6742">
            <w:pPr>
              <w:snapToGrid w:val="0"/>
              <w:jc w:val="center"/>
              <w:rPr>
                <w:rFonts w:ascii="楷体" w:eastAsia="楷体" w:hAnsi="楷体" w:cs="宋体"/>
                <w:color w:val="000000"/>
                <w:sz w:val="18"/>
                <w:szCs w:val="18"/>
              </w:rPr>
            </w:pPr>
          </w:p>
        </w:tc>
        <w:tc>
          <w:tcPr>
            <w:tcW w:w="1843" w:type="dxa"/>
            <w:tcBorders>
              <w:left w:val="single" w:sz="6" w:space="0" w:color="FF6600"/>
              <w:right w:val="single" w:sz="6" w:space="0" w:color="FF6600"/>
            </w:tcBorders>
            <w:vAlign w:val="center"/>
          </w:tcPr>
          <w:p w:rsidR="00EC7A20" w:rsidRPr="005B7CDB" w:rsidRDefault="00EC7A20" w:rsidP="003E6742">
            <w:pPr>
              <w:snapToGrid w:val="0"/>
              <w:jc w:val="center"/>
              <w:rPr>
                <w:rFonts w:ascii="楷体" w:eastAsia="楷体" w:hAnsi="楷体" w:cs="宋体"/>
                <w:color w:val="000000"/>
                <w:sz w:val="18"/>
                <w:szCs w:val="18"/>
              </w:rPr>
            </w:pPr>
          </w:p>
        </w:tc>
        <w:tc>
          <w:tcPr>
            <w:tcW w:w="851" w:type="dxa"/>
            <w:tcBorders>
              <w:left w:val="single" w:sz="6" w:space="0" w:color="FF6600"/>
              <w:right w:val="single" w:sz="6" w:space="0" w:color="FF6600"/>
            </w:tcBorders>
            <w:vAlign w:val="center"/>
          </w:tcPr>
          <w:p w:rsidR="00EC7A20" w:rsidRPr="005B7CDB" w:rsidRDefault="00EC7A20" w:rsidP="003E6742">
            <w:pPr>
              <w:snapToGrid w:val="0"/>
              <w:jc w:val="center"/>
              <w:rPr>
                <w:rFonts w:ascii="楷体" w:eastAsia="楷体" w:hAnsi="楷体" w:cs="宋体"/>
                <w:color w:val="000000"/>
                <w:sz w:val="18"/>
                <w:szCs w:val="18"/>
              </w:rPr>
            </w:pPr>
          </w:p>
        </w:tc>
        <w:tc>
          <w:tcPr>
            <w:tcW w:w="850" w:type="dxa"/>
            <w:tcBorders>
              <w:left w:val="single" w:sz="6" w:space="0" w:color="FF6600"/>
            </w:tcBorders>
            <w:vAlign w:val="center"/>
          </w:tcPr>
          <w:p w:rsidR="00EC7A20" w:rsidRPr="005B7CDB" w:rsidRDefault="00EC7A20" w:rsidP="003E6742">
            <w:pPr>
              <w:snapToGrid w:val="0"/>
              <w:jc w:val="center"/>
              <w:rPr>
                <w:rFonts w:ascii="楷体" w:eastAsia="楷体" w:hAnsi="楷体" w:cs="宋体"/>
                <w:color w:val="000000"/>
                <w:sz w:val="18"/>
                <w:szCs w:val="18"/>
              </w:rPr>
            </w:pPr>
          </w:p>
        </w:tc>
      </w:tr>
      <w:tr w:rsidR="00EC7A20" w:rsidRPr="00BA6F16" w:rsidTr="006F4A62">
        <w:trPr>
          <w:cantSplit/>
          <w:trHeight w:val="227"/>
        </w:trPr>
        <w:tc>
          <w:tcPr>
            <w:tcW w:w="851" w:type="dxa"/>
            <w:vMerge/>
            <w:tcBorders>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color w:val="FF0000"/>
                <w:sz w:val="18"/>
                <w:szCs w:val="18"/>
              </w:rPr>
            </w:pP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159003</w:t>
            </w:r>
          </w:p>
        </w:tc>
        <w:tc>
          <w:tcPr>
            <w:tcW w:w="1984"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招商保证金快线</w:t>
            </w:r>
            <w:r w:rsidRPr="00BA6F16">
              <w:rPr>
                <w:rFonts w:ascii="楷体" w:eastAsia="楷体" w:hAnsi="楷体"/>
                <w:color w:val="000000"/>
                <w:sz w:val="18"/>
                <w:szCs w:val="18"/>
              </w:rPr>
              <w:t>A</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10.244</w:t>
            </w:r>
          </w:p>
        </w:tc>
        <w:tc>
          <w:tcPr>
            <w:tcW w:w="993" w:type="dxa"/>
            <w:vMerge/>
            <w:tcBorders>
              <w:left w:val="single" w:sz="6" w:space="0" w:color="FF6600"/>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vAlign w:val="center"/>
          </w:tcPr>
          <w:p w:rsidR="00EC7A20" w:rsidRPr="00BA6F16" w:rsidRDefault="00EC7A20" w:rsidP="003E6742">
            <w:pPr>
              <w:snapToGrid w:val="0"/>
              <w:jc w:val="center"/>
              <w:rPr>
                <w:rFonts w:ascii="楷体" w:eastAsia="楷体" w:hAnsi="楷体"/>
                <w:color w:val="000000"/>
                <w:sz w:val="18"/>
                <w:szCs w:val="18"/>
              </w:rPr>
            </w:pPr>
          </w:p>
        </w:tc>
        <w:tc>
          <w:tcPr>
            <w:tcW w:w="1843" w:type="dxa"/>
            <w:tcBorders>
              <w:left w:val="single" w:sz="6" w:space="0" w:color="FF6600"/>
              <w:right w:val="single" w:sz="6" w:space="0" w:color="FF6600"/>
            </w:tcBorders>
            <w:vAlign w:val="center"/>
          </w:tcPr>
          <w:p w:rsidR="00EC7A20" w:rsidRPr="00BA6F16" w:rsidRDefault="00EC7A20" w:rsidP="003E6742">
            <w:pPr>
              <w:snapToGrid w:val="0"/>
              <w:jc w:val="center"/>
              <w:rPr>
                <w:rFonts w:ascii="楷体" w:eastAsia="楷体" w:hAnsi="楷体"/>
                <w:color w:val="000000"/>
                <w:sz w:val="18"/>
                <w:szCs w:val="18"/>
              </w:rPr>
            </w:pPr>
          </w:p>
        </w:tc>
        <w:tc>
          <w:tcPr>
            <w:tcW w:w="851" w:type="dxa"/>
            <w:tcBorders>
              <w:left w:val="single" w:sz="6" w:space="0" w:color="FF6600"/>
              <w:right w:val="single" w:sz="6" w:space="0" w:color="FF6600"/>
            </w:tcBorders>
            <w:vAlign w:val="center"/>
          </w:tcPr>
          <w:p w:rsidR="00EC7A20" w:rsidRPr="00BA6F16" w:rsidRDefault="00EC7A20" w:rsidP="003E6742">
            <w:pPr>
              <w:snapToGrid w:val="0"/>
              <w:jc w:val="center"/>
              <w:rPr>
                <w:rFonts w:ascii="楷体" w:eastAsia="楷体" w:hAnsi="楷体"/>
                <w:sz w:val="18"/>
                <w:szCs w:val="18"/>
              </w:rPr>
            </w:pPr>
          </w:p>
        </w:tc>
        <w:tc>
          <w:tcPr>
            <w:tcW w:w="850" w:type="dxa"/>
            <w:tcBorders>
              <w:left w:val="single" w:sz="6" w:space="0" w:color="FF6600"/>
            </w:tcBorders>
            <w:vAlign w:val="center"/>
          </w:tcPr>
          <w:p w:rsidR="00EC7A20" w:rsidRPr="00BA6F16" w:rsidRDefault="00EC7A20" w:rsidP="003E6742">
            <w:pPr>
              <w:snapToGrid w:val="0"/>
              <w:jc w:val="center"/>
              <w:rPr>
                <w:rFonts w:ascii="楷体" w:eastAsia="楷体" w:hAnsi="楷体"/>
                <w:color w:val="000000"/>
                <w:sz w:val="18"/>
                <w:szCs w:val="18"/>
              </w:rPr>
            </w:pPr>
          </w:p>
        </w:tc>
      </w:tr>
      <w:tr w:rsidR="00EC7A20" w:rsidRPr="00BA6F16" w:rsidTr="006F4A62">
        <w:trPr>
          <w:cantSplit/>
          <w:trHeight w:val="227"/>
        </w:trPr>
        <w:tc>
          <w:tcPr>
            <w:tcW w:w="851" w:type="dxa"/>
            <w:vMerge/>
            <w:tcBorders>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color w:val="FF0000"/>
                <w:sz w:val="18"/>
                <w:szCs w:val="18"/>
              </w:rPr>
            </w:pP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439</w:t>
            </w:r>
          </w:p>
        </w:tc>
        <w:tc>
          <w:tcPr>
            <w:tcW w:w="1984"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国金通用鑫盈货币</w:t>
            </w:r>
          </w:p>
        </w:tc>
        <w:tc>
          <w:tcPr>
            <w:tcW w:w="85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vAlign w:val="center"/>
          </w:tcPr>
          <w:p w:rsidR="00EC7A20" w:rsidRPr="00EC7745" w:rsidRDefault="00EC7A20" w:rsidP="00EC7745">
            <w:pPr>
              <w:jc w:val="center"/>
              <w:rPr>
                <w:rFonts w:ascii="楷体" w:eastAsia="楷体" w:hAnsi="楷体" w:cs="宋体"/>
                <w:color w:val="000000"/>
                <w:sz w:val="18"/>
                <w:szCs w:val="18"/>
              </w:rPr>
            </w:pPr>
            <w:r w:rsidRPr="00BA6F16">
              <w:rPr>
                <w:rFonts w:ascii="楷体" w:eastAsia="楷体" w:hAnsi="楷体"/>
                <w:color w:val="000000"/>
                <w:sz w:val="18"/>
                <w:szCs w:val="18"/>
              </w:rPr>
              <w:t>7.800</w:t>
            </w:r>
          </w:p>
        </w:tc>
        <w:tc>
          <w:tcPr>
            <w:tcW w:w="993" w:type="dxa"/>
            <w:vMerge/>
            <w:tcBorders>
              <w:left w:val="single" w:sz="6" w:space="0" w:color="FF6600"/>
              <w:right w:val="single" w:sz="6" w:space="0" w:color="FF6600"/>
            </w:tcBorders>
            <w:shd w:val="clear" w:color="auto" w:fill="FDE9D9"/>
            <w:vAlign w:val="center"/>
          </w:tcPr>
          <w:p w:rsidR="00EC7A20" w:rsidRPr="00BA6F16" w:rsidRDefault="00EC7A20"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vAlign w:val="center"/>
          </w:tcPr>
          <w:p w:rsidR="00EC7A20" w:rsidRPr="00BA6F16" w:rsidRDefault="00EC7A20" w:rsidP="003E6742">
            <w:pPr>
              <w:snapToGrid w:val="0"/>
              <w:jc w:val="center"/>
              <w:rPr>
                <w:rFonts w:ascii="楷体" w:eastAsia="楷体" w:hAnsi="楷体"/>
                <w:color w:val="000000"/>
                <w:sz w:val="18"/>
                <w:szCs w:val="18"/>
              </w:rPr>
            </w:pPr>
          </w:p>
        </w:tc>
        <w:tc>
          <w:tcPr>
            <w:tcW w:w="1843" w:type="dxa"/>
            <w:tcBorders>
              <w:left w:val="single" w:sz="6" w:space="0" w:color="FF6600"/>
              <w:right w:val="single" w:sz="6" w:space="0" w:color="FF6600"/>
            </w:tcBorders>
            <w:vAlign w:val="center"/>
          </w:tcPr>
          <w:p w:rsidR="00EC7A20" w:rsidRPr="00BA6F16" w:rsidRDefault="00EC7A20" w:rsidP="003E6742">
            <w:pPr>
              <w:snapToGrid w:val="0"/>
              <w:jc w:val="center"/>
              <w:rPr>
                <w:rFonts w:ascii="楷体" w:eastAsia="楷体" w:hAnsi="楷体"/>
                <w:color w:val="000000"/>
                <w:sz w:val="18"/>
                <w:szCs w:val="18"/>
              </w:rPr>
            </w:pPr>
          </w:p>
        </w:tc>
        <w:tc>
          <w:tcPr>
            <w:tcW w:w="851" w:type="dxa"/>
            <w:tcBorders>
              <w:left w:val="single" w:sz="6" w:space="0" w:color="FF6600"/>
              <w:right w:val="single" w:sz="6" w:space="0" w:color="FF6600"/>
            </w:tcBorders>
            <w:vAlign w:val="center"/>
          </w:tcPr>
          <w:p w:rsidR="00EC7A20" w:rsidRPr="00BA6F16" w:rsidRDefault="00EC7A20" w:rsidP="003E6742">
            <w:pPr>
              <w:snapToGrid w:val="0"/>
              <w:jc w:val="center"/>
              <w:rPr>
                <w:rFonts w:ascii="楷体" w:eastAsia="楷体" w:hAnsi="楷体"/>
                <w:sz w:val="18"/>
                <w:szCs w:val="18"/>
              </w:rPr>
            </w:pPr>
          </w:p>
        </w:tc>
        <w:tc>
          <w:tcPr>
            <w:tcW w:w="850" w:type="dxa"/>
            <w:tcBorders>
              <w:left w:val="single" w:sz="6" w:space="0" w:color="FF6600"/>
            </w:tcBorders>
            <w:vAlign w:val="center"/>
          </w:tcPr>
          <w:p w:rsidR="00EC7A20" w:rsidRPr="00BA6F16" w:rsidRDefault="00EC7A20" w:rsidP="003E6742">
            <w:pPr>
              <w:snapToGrid w:val="0"/>
              <w:jc w:val="center"/>
              <w:rPr>
                <w:rFonts w:ascii="楷体" w:eastAsia="楷体" w:hAnsi="楷体"/>
                <w:color w:val="000000"/>
                <w:sz w:val="18"/>
                <w:szCs w:val="18"/>
              </w:rPr>
            </w:pPr>
          </w:p>
        </w:tc>
      </w:tr>
    </w:tbl>
    <w:p w:rsidR="00EC7A20" w:rsidRPr="005B7CDB" w:rsidRDefault="00EC7A20" w:rsidP="008177CF">
      <w:pPr>
        <w:pStyle w:val="FootnoteNoline"/>
        <w:ind w:left="0"/>
        <w:rPr>
          <w:rFonts w:ascii="楷体" w:eastAsia="楷体" w:hAnsi="楷体"/>
          <w:color w:val="FF6600"/>
          <w:lang w:val="en-US"/>
        </w:rPr>
      </w:pPr>
      <w:r w:rsidRPr="005B7CDB">
        <w:rPr>
          <w:rFonts w:ascii="楷体" w:eastAsia="楷体" w:hAnsi="楷体" w:hint="eastAsia"/>
          <w:color w:val="FF6600"/>
          <w:lang w:val="en-US"/>
        </w:rPr>
        <w:t>来源：凯石财富工场</w:t>
      </w:r>
    </w:p>
    <w:p w:rsidR="00EC7A20" w:rsidRPr="005B7CDB" w:rsidRDefault="00EC7A20" w:rsidP="00B2235E">
      <w:pPr>
        <w:pStyle w:val="BodyText"/>
        <w:spacing w:after="163"/>
        <w:ind w:left="0"/>
        <w:jc w:val="left"/>
        <w:rPr>
          <w:rFonts w:ascii="楷体" w:eastAsia="楷体" w:hAnsi="楷体"/>
          <w:b/>
          <w:bCs/>
          <w:color w:val="0070C0"/>
          <w:sz w:val="24"/>
        </w:rPr>
      </w:pPr>
      <w:r w:rsidRPr="005B7CDB">
        <w:rPr>
          <w:rFonts w:ascii="楷体" w:eastAsia="楷体" w:hAnsi="楷体" w:hint="eastAsia"/>
          <w:b/>
          <w:bCs/>
          <w:color w:val="0070C0"/>
          <w:sz w:val="24"/>
        </w:rPr>
        <w:t>凯石每周微点评</w:t>
      </w:r>
      <w:r>
        <w:rPr>
          <w:rFonts w:ascii="楷体" w:eastAsia="楷体" w:hAnsi="楷体" w:hint="eastAsia"/>
          <w:b/>
          <w:bCs/>
          <w:color w:val="0070C0"/>
          <w:sz w:val="24"/>
        </w:rPr>
        <w:t>：</w:t>
      </w:r>
      <w:bookmarkStart w:id="0" w:name="_GoBack"/>
      <w:bookmarkEnd w:id="0"/>
    </w:p>
    <w:tbl>
      <w:tblPr>
        <w:tblW w:w="11483" w:type="dxa"/>
        <w:tblInd w:w="-426"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5955"/>
        <w:gridCol w:w="5528"/>
      </w:tblGrid>
      <w:tr w:rsidR="00EC7A20" w:rsidRPr="00BA6F16" w:rsidTr="007D5453">
        <w:trPr>
          <w:cantSplit/>
          <w:trHeight w:val="335"/>
        </w:trPr>
        <w:tc>
          <w:tcPr>
            <w:tcW w:w="11483" w:type="dxa"/>
            <w:gridSpan w:val="2"/>
            <w:vAlign w:val="center"/>
          </w:tcPr>
          <w:p w:rsidR="00EC7A20" w:rsidRPr="005B7CDB" w:rsidRDefault="00EC7A20" w:rsidP="007D5453">
            <w:pPr>
              <w:pStyle w:val="SubTitleLargeTable"/>
              <w:pBdr>
                <w:top w:val="none" w:sz="0" w:space="0" w:color="auto"/>
              </w:pBdr>
              <w:rPr>
                <w:rFonts w:ascii="楷体" w:eastAsia="楷体" w:hAnsi="楷体"/>
                <w:b w:val="0"/>
              </w:rPr>
            </w:pPr>
            <w:r w:rsidRPr="005B7CDB">
              <w:rPr>
                <w:rFonts w:ascii="楷体" w:eastAsia="楷体" w:hAnsi="楷体" w:hint="eastAsia"/>
                <w:color w:val="FF6600"/>
              </w:rPr>
              <w:t>图表</w:t>
            </w:r>
            <w:r w:rsidRPr="005B7CDB">
              <w:rPr>
                <w:rFonts w:ascii="楷体" w:eastAsia="楷体" w:hAnsi="楷体"/>
                <w:color w:val="FF6600"/>
              </w:rPr>
              <w:t>1</w:t>
            </w:r>
            <w:r w:rsidRPr="005B7CDB">
              <w:rPr>
                <w:rFonts w:ascii="楷体" w:eastAsia="楷体" w:hAnsi="楷体" w:hint="eastAsia"/>
                <w:color w:val="FF6600"/>
              </w:rPr>
              <w:t>：基金行业近期动态及点评</w:t>
            </w:r>
          </w:p>
        </w:tc>
      </w:tr>
      <w:tr w:rsidR="00EC7A20" w:rsidRPr="00BA6F16" w:rsidTr="007D5453">
        <w:trPr>
          <w:cantSplit/>
          <w:trHeight w:val="284"/>
        </w:trPr>
        <w:tc>
          <w:tcPr>
            <w:tcW w:w="5955" w:type="dxa"/>
            <w:tcBorders>
              <w:right w:val="single" w:sz="6" w:space="0" w:color="FF6600"/>
            </w:tcBorders>
            <w:shd w:val="clear" w:color="auto" w:fill="FDE9D9"/>
            <w:vAlign w:val="center"/>
          </w:tcPr>
          <w:p w:rsidR="00EC7A20" w:rsidRPr="00BA6F16" w:rsidRDefault="00EC7A20" w:rsidP="007D5453">
            <w:pPr>
              <w:snapToGrid w:val="0"/>
              <w:jc w:val="center"/>
              <w:rPr>
                <w:rFonts w:ascii="楷体" w:eastAsia="楷体" w:hAnsi="楷体"/>
                <w:b/>
                <w:sz w:val="18"/>
                <w:szCs w:val="18"/>
              </w:rPr>
            </w:pPr>
            <w:r w:rsidRPr="00BA6F16">
              <w:rPr>
                <w:rFonts w:ascii="楷体" w:eastAsia="楷体" w:hAnsi="楷体" w:hint="eastAsia"/>
                <w:b/>
                <w:sz w:val="18"/>
                <w:szCs w:val="18"/>
              </w:rPr>
              <w:t>微新闻</w:t>
            </w:r>
          </w:p>
        </w:tc>
        <w:tc>
          <w:tcPr>
            <w:tcW w:w="5528" w:type="dxa"/>
            <w:tcBorders>
              <w:left w:val="single" w:sz="6" w:space="0" w:color="FF6600"/>
            </w:tcBorders>
            <w:shd w:val="clear" w:color="auto" w:fill="FDE9D9"/>
            <w:vAlign w:val="center"/>
          </w:tcPr>
          <w:p w:rsidR="00EC7A20" w:rsidRPr="00BA6F16" w:rsidRDefault="00EC7A20" w:rsidP="007D5453">
            <w:pPr>
              <w:snapToGrid w:val="0"/>
              <w:jc w:val="center"/>
              <w:rPr>
                <w:rFonts w:ascii="楷体" w:eastAsia="楷体" w:hAnsi="楷体"/>
                <w:b/>
                <w:sz w:val="18"/>
                <w:szCs w:val="18"/>
              </w:rPr>
            </w:pPr>
            <w:r w:rsidRPr="00BA6F16">
              <w:rPr>
                <w:rFonts w:ascii="楷体" w:eastAsia="楷体" w:hAnsi="楷体" w:hint="eastAsia"/>
                <w:b/>
                <w:sz w:val="18"/>
                <w:szCs w:val="18"/>
              </w:rPr>
              <w:t>微点评</w:t>
            </w:r>
          </w:p>
        </w:tc>
      </w:tr>
      <w:tr w:rsidR="00EC7A20" w:rsidRPr="00BA6F16" w:rsidTr="007D5453">
        <w:trPr>
          <w:cantSplit/>
          <w:trHeight w:val="483"/>
        </w:trPr>
        <w:tc>
          <w:tcPr>
            <w:tcW w:w="5955" w:type="dxa"/>
            <w:tcBorders>
              <w:right w:val="single" w:sz="6" w:space="0" w:color="FF6600"/>
            </w:tcBorders>
            <w:vAlign w:val="center"/>
          </w:tcPr>
          <w:p w:rsidR="00EC7A20" w:rsidRPr="00BA6F16" w:rsidRDefault="00EC7A20" w:rsidP="007D5453">
            <w:pPr>
              <w:snapToGrid w:val="0"/>
              <w:jc w:val="left"/>
              <w:rPr>
                <w:rFonts w:ascii="楷体" w:eastAsia="楷体" w:hAnsi="楷体"/>
                <w:color w:val="333333"/>
                <w:sz w:val="18"/>
                <w:szCs w:val="18"/>
              </w:rPr>
            </w:pPr>
            <w:r w:rsidRPr="00BA6F16">
              <w:rPr>
                <w:rFonts w:ascii="楷体" w:eastAsia="楷体" w:hAnsi="楷体"/>
                <w:color w:val="333333"/>
                <w:sz w:val="18"/>
                <w:szCs w:val="18"/>
              </w:rPr>
              <w:t>8</w:t>
            </w:r>
            <w:r w:rsidRPr="00BA6F16">
              <w:rPr>
                <w:rFonts w:ascii="楷体" w:eastAsia="楷体" w:hAnsi="楷体" w:hint="eastAsia"/>
                <w:color w:val="333333"/>
                <w:sz w:val="18"/>
                <w:szCs w:val="18"/>
              </w:rPr>
              <w:t>月</w:t>
            </w:r>
            <w:r w:rsidRPr="00BA6F16">
              <w:rPr>
                <w:rFonts w:ascii="楷体" w:eastAsia="楷体" w:hAnsi="楷体"/>
                <w:color w:val="333333"/>
                <w:sz w:val="18"/>
                <w:szCs w:val="18"/>
              </w:rPr>
              <w:t>26</w:t>
            </w:r>
            <w:r w:rsidRPr="00BA6F16">
              <w:rPr>
                <w:rFonts w:ascii="楷体" w:eastAsia="楷体" w:hAnsi="楷体" w:hint="eastAsia"/>
                <w:color w:val="333333"/>
                <w:sz w:val="18"/>
                <w:szCs w:val="18"/>
              </w:rPr>
              <w:t>日，外汇局新批准</w:t>
            </w:r>
            <w:r w:rsidRPr="00BA6F16">
              <w:rPr>
                <w:rFonts w:ascii="楷体" w:eastAsia="楷体" w:hAnsi="楷体"/>
                <w:color w:val="333333"/>
                <w:sz w:val="18"/>
                <w:szCs w:val="18"/>
              </w:rPr>
              <w:t xml:space="preserve"> RQFII</w:t>
            </w:r>
            <w:r w:rsidRPr="00BA6F16">
              <w:rPr>
                <w:rFonts w:ascii="楷体" w:eastAsia="楷体" w:hAnsi="楷体" w:hint="eastAsia"/>
                <w:color w:val="333333"/>
                <w:sz w:val="18"/>
                <w:szCs w:val="18"/>
              </w:rPr>
              <w:t>额度</w:t>
            </w:r>
            <w:r w:rsidRPr="00BA6F16">
              <w:rPr>
                <w:rFonts w:ascii="楷体" w:eastAsia="楷体" w:hAnsi="楷体"/>
                <w:color w:val="333333"/>
                <w:sz w:val="18"/>
                <w:szCs w:val="18"/>
              </w:rPr>
              <w:t>210</w:t>
            </w:r>
            <w:r w:rsidRPr="00BA6F16">
              <w:rPr>
                <w:rFonts w:ascii="楷体" w:eastAsia="楷体" w:hAnsi="楷体" w:hint="eastAsia"/>
                <w:color w:val="333333"/>
                <w:sz w:val="18"/>
                <w:szCs w:val="18"/>
              </w:rPr>
              <w:t>亿人民币，其中有</w:t>
            </w:r>
            <w:r w:rsidRPr="00BA6F16">
              <w:rPr>
                <w:rFonts w:ascii="楷体" w:eastAsia="楷体" w:hAnsi="楷体"/>
                <w:color w:val="333333"/>
                <w:sz w:val="18"/>
                <w:szCs w:val="18"/>
              </w:rPr>
              <w:t>9</w:t>
            </w:r>
            <w:r w:rsidRPr="00BA6F16">
              <w:rPr>
                <w:rFonts w:ascii="楷体" w:eastAsia="楷体" w:hAnsi="楷体" w:hint="eastAsia"/>
                <w:color w:val="333333"/>
                <w:sz w:val="18"/>
                <w:szCs w:val="18"/>
              </w:rPr>
              <w:t>家机构首次获批，目前</w:t>
            </w:r>
            <w:r w:rsidRPr="00BA6F16">
              <w:rPr>
                <w:rFonts w:ascii="楷体" w:eastAsia="楷体" w:hAnsi="楷体"/>
                <w:color w:val="333333"/>
                <w:sz w:val="18"/>
                <w:szCs w:val="18"/>
              </w:rPr>
              <w:t>QFII</w:t>
            </w:r>
            <w:r w:rsidRPr="00BA6F16">
              <w:rPr>
                <w:rFonts w:ascii="楷体" w:eastAsia="楷体" w:hAnsi="楷体" w:hint="eastAsia"/>
                <w:color w:val="333333"/>
                <w:sz w:val="18"/>
                <w:szCs w:val="18"/>
              </w:rPr>
              <w:t>额度共计</w:t>
            </w:r>
            <w:r w:rsidRPr="00BA6F16">
              <w:rPr>
                <w:rFonts w:ascii="楷体" w:eastAsia="楷体" w:hAnsi="楷体"/>
                <w:color w:val="333333"/>
                <w:sz w:val="18"/>
                <w:szCs w:val="18"/>
              </w:rPr>
              <w:t>596.74</w:t>
            </w:r>
            <w:r w:rsidRPr="00BA6F16">
              <w:rPr>
                <w:rFonts w:ascii="楷体" w:eastAsia="楷体" w:hAnsi="楷体" w:hint="eastAsia"/>
                <w:color w:val="333333"/>
                <w:sz w:val="18"/>
                <w:szCs w:val="18"/>
              </w:rPr>
              <w:t>亿美元。</w:t>
            </w:r>
          </w:p>
        </w:tc>
        <w:tc>
          <w:tcPr>
            <w:tcW w:w="5528" w:type="dxa"/>
            <w:tcBorders>
              <w:left w:val="single" w:sz="6" w:space="0" w:color="FF6600"/>
            </w:tcBorders>
            <w:vAlign w:val="center"/>
          </w:tcPr>
          <w:p w:rsidR="00EC7A20" w:rsidRPr="00BA6F16" w:rsidRDefault="00EC7A20" w:rsidP="007D5453">
            <w:pPr>
              <w:snapToGrid w:val="0"/>
              <w:jc w:val="left"/>
              <w:rPr>
                <w:rFonts w:ascii="楷体" w:eastAsia="楷体" w:hAnsi="楷体"/>
                <w:sz w:val="18"/>
                <w:szCs w:val="18"/>
              </w:rPr>
            </w:pPr>
            <w:r w:rsidRPr="00BA6F16">
              <w:rPr>
                <w:rFonts w:ascii="楷体" w:eastAsia="楷体" w:hAnsi="楷体"/>
                <w:color w:val="333333"/>
                <w:sz w:val="18"/>
                <w:szCs w:val="18"/>
              </w:rPr>
              <w:t>QFII</w:t>
            </w:r>
            <w:r w:rsidRPr="00BA6F16">
              <w:rPr>
                <w:rFonts w:ascii="楷体" w:eastAsia="楷体" w:hAnsi="楷体" w:hint="eastAsia"/>
                <w:color w:val="333333"/>
                <w:sz w:val="18"/>
                <w:szCs w:val="18"/>
              </w:rPr>
              <w:t>相比于境内投资者更倾向于低估值蓝筹，加之沪港通的催化作用，将促进海外资金流入</w:t>
            </w:r>
            <w:r w:rsidRPr="00BA6F16">
              <w:rPr>
                <w:rFonts w:ascii="楷体" w:eastAsia="楷体" w:hAnsi="楷体"/>
                <w:color w:val="333333"/>
                <w:sz w:val="18"/>
                <w:szCs w:val="18"/>
              </w:rPr>
              <w:t>A</w:t>
            </w:r>
            <w:r w:rsidRPr="00BA6F16">
              <w:rPr>
                <w:rFonts w:ascii="楷体" w:eastAsia="楷体" w:hAnsi="楷体" w:hint="eastAsia"/>
                <w:color w:val="333333"/>
                <w:sz w:val="18"/>
                <w:szCs w:val="18"/>
              </w:rPr>
              <w:t>股的热情。</w:t>
            </w:r>
          </w:p>
        </w:tc>
      </w:tr>
      <w:tr w:rsidR="00EC7A20" w:rsidRPr="00BA6F16" w:rsidTr="007D5453">
        <w:trPr>
          <w:cantSplit/>
          <w:trHeight w:val="715"/>
        </w:trPr>
        <w:tc>
          <w:tcPr>
            <w:tcW w:w="5955" w:type="dxa"/>
            <w:tcBorders>
              <w:right w:val="single" w:sz="6" w:space="0" w:color="FF6600"/>
            </w:tcBorders>
            <w:vAlign w:val="center"/>
          </w:tcPr>
          <w:p w:rsidR="00EC7A20" w:rsidRPr="00BA6F16" w:rsidRDefault="00EC7A20" w:rsidP="007D5453">
            <w:pPr>
              <w:snapToGrid w:val="0"/>
              <w:jc w:val="left"/>
              <w:rPr>
                <w:rFonts w:ascii="楷体" w:eastAsia="楷体" w:hAnsi="楷体"/>
                <w:color w:val="454545"/>
                <w:sz w:val="18"/>
                <w:szCs w:val="18"/>
              </w:rPr>
            </w:pPr>
            <w:r w:rsidRPr="00BA6F16">
              <w:rPr>
                <w:rFonts w:ascii="楷体" w:eastAsia="楷体" w:hAnsi="楷体" w:hint="eastAsia"/>
                <w:color w:val="333333"/>
                <w:sz w:val="18"/>
                <w:szCs w:val="18"/>
              </w:rPr>
              <w:t>统计显示，</w:t>
            </w:r>
            <w:r w:rsidRPr="00BA6F16">
              <w:rPr>
                <w:rFonts w:ascii="楷体" w:eastAsia="楷体" w:hAnsi="楷体"/>
                <w:color w:val="333333"/>
                <w:sz w:val="18"/>
                <w:szCs w:val="18"/>
              </w:rPr>
              <w:t>A</w:t>
            </w:r>
            <w:r w:rsidRPr="00BA6F16">
              <w:rPr>
                <w:rFonts w:ascii="楷体" w:eastAsia="楷体" w:hAnsi="楷体" w:hint="eastAsia"/>
                <w:color w:val="333333"/>
                <w:sz w:val="18"/>
                <w:szCs w:val="18"/>
              </w:rPr>
              <w:t>股市场上的苹果产业链相关上市公司有</w:t>
            </w:r>
            <w:r w:rsidRPr="00BA6F16">
              <w:rPr>
                <w:rFonts w:ascii="楷体" w:eastAsia="楷体" w:hAnsi="楷体"/>
                <w:color w:val="333333"/>
                <w:sz w:val="18"/>
                <w:szCs w:val="18"/>
              </w:rPr>
              <w:t>50</w:t>
            </w:r>
            <w:r w:rsidRPr="00BA6F16">
              <w:rPr>
                <w:rFonts w:ascii="楷体" w:eastAsia="楷体" w:hAnsi="楷体" w:hint="eastAsia"/>
                <w:color w:val="333333"/>
                <w:sz w:val="18"/>
                <w:szCs w:val="18"/>
              </w:rPr>
              <w:t>多家。重仓持有苹果产业链公司的主动偏股基金约</w:t>
            </w:r>
            <w:r w:rsidRPr="00BA6F16">
              <w:rPr>
                <w:rFonts w:ascii="楷体" w:eastAsia="楷体" w:hAnsi="楷体"/>
                <w:color w:val="333333"/>
                <w:sz w:val="18"/>
                <w:szCs w:val="18"/>
              </w:rPr>
              <w:t>150</w:t>
            </w:r>
            <w:r w:rsidRPr="00BA6F16">
              <w:rPr>
                <w:rFonts w:ascii="楷体" w:eastAsia="楷体" w:hAnsi="楷体" w:hint="eastAsia"/>
                <w:color w:val="333333"/>
                <w:sz w:val="18"/>
                <w:szCs w:val="18"/>
              </w:rPr>
              <w:t>只，其中</w:t>
            </w:r>
            <w:r w:rsidRPr="00BA6F16">
              <w:rPr>
                <w:rFonts w:ascii="楷体" w:eastAsia="楷体" w:hAnsi="楷体"/>
                <w:color w:val="333333"/>
                <w:sz w:val="18"/>
                <w:szCs w:val="18"/>
              </w:rPr>
              <w:t>24</w:t>
            </w:r>
            <w:r w:rsidRPr="00BA6F16">
              <w:rPr>
                <w:rFonts w:ascii="楷体" w:eastAsia="楷体" w:hAnsi="楷体" w:hint="eastAsia"/>
                <w:color w:val="333333"/>
                <w:sz w:val="18"/>
                <w:szCs w:val="18"/>
              </w:rPr>
              <w:t>只基金重仓</w:t>
            </w:r>
            <w:r w:rsidRPr="00BA6F16">
              <w:rPr>
                <w:rFonts w:ascii="楷体" w:eastAsia="楷体" w:hAnsi="楷体"/>
                <w:color w:val="333333"/>
                <w:sz w:val="18"/>
                <w:szCs w:val="18"/>
              </w:rPr>
              <w:t>2</w:t>
            </w:r>
            <w:r w:rsidRPr="00BA6F16">
              <w:rPr>
                <w:rFonts w:ascii="楷体" w:eastAsia="楷体" w:hAnsi="楷体" w:hint="eastAsia"/>
                <w:color w:val="333333"/>
                <w:sz w:val="18"/>
                <w:szCs w:val="18"/>
              </w:rPr>
              <w:t>只或</w:t>
            </w:r>
            <w:r w:rsidRPr="00BA6F16">
              <w:rPr>
                <w:rFonts w:ascii="楷体" w:eastAsia="楷体" w:hAnsi="楷体"/>
                <w:color w:val="333333"/>
                <w:sz w:val="18"/>
                <w:szCs w:val="18"/>
              </w:rPr>
              <w:t>2</w:t>
            </w:r>
            <w:r w:rsidRPr="00BA6F16">
              <w:rPr>
                <w:rFonts w:ascii="楷体" w:eastAsia="楷体" w:hAnsi="楷体" w:hint="eastAsia"/>
                <w:color w:val="333333"/>
                <w:sz w:val="18"/>
                <w:szCs w:val="18"/>
              </w:rPr>
              <w:t>只以上的苹果产业链公司，合计持有比例超过</w:t>
            </w:r>
            <w:r w:rsidRPr="00BA6F16">
              <w:rPr>
                <w:rFonts w:ascii="楷体" w:eastAsia="楷体" w:hAnsi="楷体"/>
                <w:color w:val="333333"/>
                <w:sz w:val="18"/>
                <w:szCs w:val="18"/>
              </w:rPr>
              <w:t>10%</w:t>
            </w:r>
            <w:r w:rsidRPr="00BA6F16">
              <w:rPr>
                <w:rFonts w:ascii="楷体" w:eastAsia="楷体" w:hAnsi="楷体" w:hint="eastAsia"/>
                <w:color w:val="454545"/>
                <w:sz w:val="18"/>
                <w:szCs w:val="18"/>
              </w:rPr>
              <w:t>。</w:t>
            </w:r>
          </w:p>
        </w:tc>
        <w:tc>
          <w:tcPr>
            <w:tcW w:w="5528" w:type="dxa"/>
            <w:tcBorders>
              <w:left w:val="single" w:sz="6" w:space="0" w:color="FF6600"/>
            </w:tcBorders>
            <w:vAlign w:val="center"/>
          </w:tcPr>
          <w:p w:rsidR="00EC7A20" w:rsidRPr="00BA6F16" w:rsidRDefault="00EC7A20" w:rsidP="007D5453">
            <w:pPr>
              <w:snapToGrid w:val="0"/>
              <w:jc w:val="left"/>
              <w:rPr>
                <w:rFonts w:ascii="楷体" w:eastAsia="楷体" w:hAnsi="楷体"/>
                <w:color w:val="333333"/>
                <w:sz w:val="18"/>
                <w:szCs w:val="18"/>
              </w:rPr>
            </w:pPr>
            <w:r w:rsidRPr="00BA6F16">
              <w:rPr>
                <w:rFonts w:ascii="楷体" w:eastAsia="楷体" w:hAnsi="楷体" w:hint="eastAsia"/>
                <w:color w:val="333333"/>
                <w:sz w:val="18"/>
                <w:szCs w:val="18"/>
              </w:rPr>
              <w:t>随着苹果新品在下半年逐步发售，加之国内“十一黄金周”、欧美圣诞消费季的到来，电子市场需求扩大，苹果产业链相关厂商的营收有望快速增长，重仓苹果产业链的基金业绩值得关注。</w:t>
            </w:r>
          </w:p>
        </w:tc>
      </w:tr>
    </w:tbl>
    <w:p w:rsidR="00EC7A20" w:rsidRPr="005B7CDB" w:rsidRDefault="00EC7A20" w:rsidP="00B2235E">
      <w:pPr>
        <w:pStyle w:val="FootnoteNoline"/>
        <w:ind w:left="0"/>
        <w:rPr>
          <w:rFonts w:ascii="楷体" w:eastAsia="楷体" w:hAnsi="楷体"/>
          <w:color w:val="FF6600"/>
          <w:lang w:val="en-US"/>
        </w:rPr>
      </w:pPr>
      <w:r w:rsidRPr="005B7CDB">
        <w:rPr>
          <w:rFonts w:ascii="楷体" w:eastAsia="楷体" w:hAnsi="楷体" w:hint="eastAsia"/>
          <w:color w:val="FF6600"/>
          <w:lang w:val="en-US"/>
        </w:rPr>
        <w:t>来源：凯石财富工场</w:t>
      </w:r>
    </w:p>
    <w:p w:rsidR="00EC7A20" w:rsidRPr="005B7CDB" w:rsidRDefault="00EC7A20" w:rsidP="009F0008">
      <w:pPr>
        <w:widowControl/>
        <w:jc w:val="left"/>
        <w:rPr>
          <w:rFonts w:ascii="楷体" w:eastAsia="楷体" w:hAnsi="楷体"/>
          <w:b/>
          <w:szCs w:val="21"/>
        </w:rPr>
      </w:pPr>
      <w:r w:rsidRPr="005B7CDB">
        <w:rPr>
          <w:rFonts w:ascii="楷体" w:eastAsia="楷体" w:hAnsi="楷体"/>
          <w:b/>
          <w:kern w:val="0"/>
          <w:szCs w:val="20"/>
          <w:lang w:val="en-GB"/>
        </w:rPr>
        <w:br w:type="page"/>
      </w:r>
      <w:r w:rsidRPr="005B7CDB">
        <w:rPr>
          <w:rFonts w:ascii="楷体" w:eastAsia="楷体" w:hAnsi="楷体" w:cs="宋体" w:hint="eastAsia"/>
          <w:b/>
          <w:kern w:val="0"/>
          <w:szCs w:val="20"/>
          <w:lang w:val="en-GB"/>
        </w:rPr>
        <w:t>特别声明：</w:t>
      </w:r>
    </w:p>
    <w:p w:rsidR="00EC7A20" w:rsidRPr="005B7CDB" w:rsidRDefault="00EC7A20" w:rsidP="00BA6F16">
      <w:pPr>
        <w:pStyle w:val="a4"/>
        <w:spacing w:beforeLines="50" w:after="312"/>
        <w:rPr>
          <w:rFonts w:ascii="楷体" w:eastAsia="楷体" w:hAnsi="楷体"/>
          <w:kern w:val="0"/>
          <w:sz w:val="21"/>
          <w:szCs w:val="20"/>
          <w:lang w:val="en-GB"/>
        </w:rPr>
      </w:pPr>
      <w:r w:rsidRPr="005B7CDB">
        <w:rPr>
          <w:rFonts w:ascii="楷体" w:eastAsia="楷体" w:hAnsi="楷体" w:hint="eastAsia"/>
          <w:kern w:val="0"/>
          <w:sz w:val="21"/>
          <w:szCs w:val="20"/>
          <w:lang w:val="en-GB"/>
        </w:rPr>
        <w:t>本报告中的所有内容版权均属上海凯石财富投资管理有限公司（以下简称“本公司”），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凯石财富投资有限公司研究中心，且不得对本文进行任何有悖原意的引用和删改。</w:t>
      </w:r>
    </w:p>
    <w:p w:rsidR="00EC7A20" w:rsidRPr="005B7CDB" w:rsidRDefault="00EC7A20" w:rsidP="00BA6F16">
      <w:pPr>
        <w:pStyle w:val="a4"/>
        <w:spacing w:beforeLines="50" w:after="312"/>
        <w:rPr>
          <w:rFonts w:ascii="楷体" w:eastAsia="楷体" w:hAnsi="楷体"/>
          <w:kern w:val="0"/>
          <w:sz w:val="21"/>
          <w:szCs w:val="20"/>
          <w:lang w:val="en-GB"/>
        </w:rPr>
      </w:pPr>
      <w:r w:rsidRPr="005B7CDB">
        <w:rPr>
          <w:rFonts w:ascii="楷体" w:eastAsia="楷体" w:hAnsi="楷体" w:hint="eastAsia"/>
          <w:kern w:val="0"/>
          <w:sz w:val="21"/>
          <w:szCs w:val="20"/>
          <w:lang w:val="en-GB"/>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EC7A20" w:rsidRPr="005B7CDB" w:rsidRDefault="00EC7A20" w:rsidP="00BA6F16">
      <w:pPr>
        <w:pStyle w:val="a4"/>
        <w:spacing w:beforeLines="50" w:after="312"/>
        <w:rPr>
          <w:rFonts w:ascii="楷体" w:eastAsia="楷体" w:hAnsi="楷体"/>
          <w:kern w:val="0"/>
          <w:sz w:val="21"/>
          <w:szCs w:val="20"/>
          <w:lang w:val="en-GB"/>
        </w:rPr>
      </w:pPr>
      <w:r w:rsidRPr="005B7CDB">
        <w:rPr>
          <w:rFonts w:ascii="楷体" w:eastAsia="楷体" w:hAnsi="楷体" w:hint="eastAsia"/>
          <w:kern w:val="0"/>
          <w:sz w:val="21"/>
          <w:szCs w:val="20"/>
          <w:lang w:val="en-GB"/>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EC7A20" w:rsidRPr="005B7CDB" w:rsidRDefault="00EC7A20">
      <w:pPr>
        <w:rPr>
          <w:rFonts w:ascii="楷体" w:eastAsia="楷体" w:hAnsi="楷体"/>
          <w:lang w:val="en-GB"/>
        </w:rPr>
      </w:pPr>
    </w:p>
    <w:sectPr w:rsidR="00EC7A20" w:rsidRPr="005B7CDB" w:rsidSect="00D4319D">
      <w:headerReference w:type="default" r:id="rId11"/>
      <w:footerReference w:type="default" r:id="rId12"/>
      <w:headerReference w:type="first" r:id="rId13"/>
      <w:footerReference w:type="first" r:id="rId14"/>
      <w:pgSz w:w="11906" w:h="16838"/>
      <w:pgMar w:top="1440" w:right="624" w:bottom="1440" w:left="624" w:header="850" w:footer="283"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A20" w:rsidRDefault="00EC7A20" w:rsidP="00B10000">
      <w:r>
        <w:separator/>
      </w:r>
    </w:p>
  </w:endnote>
  <w:endnote w:type="continuationSeparator" w:id="0">
    <w:p w:rsidR="00EC7A20" w:rsidRDefault="00EC7A20" w:rsidP="00B1000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onotype Sorts">
    <w:altName w:val="Courier New"/>
    <w:panose1 w:val="00000000000000000000"/>
    <w:charset w:val="02"/>
    <w:family w:val="auto"/>
    <w:notTrueType/>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华文楷体">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LucidaSans">
    <w:altName w:val="Times New Roman"/>
    <w:panose1 w:val="00000000000000000000"/>
    <w:charset w:val="00"/>
    <w:family w:val="auto"/>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A20" w:rsidRDefault="00EC7A20">
    <w:pPr>
      <w:pStyle w:val="Footer"/>
      <w:jc w:val="center"/>
    </w:pPr>
    <w:r>
      <w:pict>
        <v:rect id="_x0000_i1032" style="width:571.2pt;height:2pt" o:hralign="center" o:hrstd="t" o:hrnoshade="t" o:hr="t" fillcolor="#e7a631" stroked="f"/>
      </w:pict>
    </w:r>
    <w:r>
      <w:rPr>
        <w:lang w:val="zh-CN"/>
      </w:rPr>
      <w:t xml:space="preserve"> </w:t>
    </w:r>
    <w:r>
      <w:rPr>
        <w:b/>
      </w:rPr>
      <w:fldChar w:fldCharType="begin"/>
    </w:r>
    <w:r>
      <w:rPr>
        <w:b/>
      </w:rPr>
      <w:instrText>PAGE</w:instrText>
    </w:r>
    <w:r>
      <w:rPr>
        <w:b/>
      </w:rPr>
      <w:fldChar w:fldCharType="separate"/>
    </w:r>
    <w:r>
      <w:rPr>
        <w:b/>
        <w:noProof/>
      </w:rPr>
      <w:t>2</w:t>
    </w:r>
    <w:r>
      <w:rPr>
        <w:b/>
      </w:rPr>
      <w:fldChar w:fldCharType="end"/>
    </w:r>
    <w:r>
      <w:rPr>
        <w:lang w:val="zh-CN"/>
      </w:rPr>
      <w:t xml:space="preserve"> / </w:t>
    </w:r>
    <w:r>
      <w:rPr>
        <w:b/>
      </w:rPr>
      <w:fldChar w:fldCharType="begin"/>
    </w:r>
    <w:r>
      <w:rPr>
        <w:b/>
      </w:rPr>
      <w:instrText>NUMPAGES</w:instrText>
    </w:r>
    <w:r>
      <w:rPr>
        <w:b/>
      </w:rPr>
      <w:fldChar w:fldCharType="separate"/>
    </w:r>
    <w:r>
      <w:rPr>
        <w:b/>
        <w:noProof/>
      </w:rPr>
      <w:t>5</w:t>
    </w:r>
    <w:r>
      <w:rPr>
        <w:b/>
      </w:rPr>
      <w:fldChar w:fldCharType="end"/>
    </w:r>
  </w:p>
  <w:p w:rsidR="00EC7A20" w:rsidRDefault="00EC7A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A20" w:rsidRDefault="00EC7A20">
    <w:pPr>
      <w:pStyle w:val="Footer"/>
      <w:jc w:val="center"/>
    </w:pPr>
    <w:r>
      <w:pict>
        <v:rect id="_x0000_i1041" style="width:571.2pt;height:2pt" o:hralign="center" o:hrstd="t" o:hrnoshade="t" o:hr="t" fillcolor="#e7a631" stroked="f"/>
      </w:pict>
    </w:r>
    <w:r>
      <w:rPr>
        <w:lang w:val="zh-CN"/>
      </w:rPr>
      <w:t xml:space="preserve"> </w:t>
    </w:r>
    <w:r>
      <w:rPr>
        <w:b/>
      </w:rPr>
      <w:fldChar w:fldCharType="begin"/>
    </w:r>
    <w:r>
      <w:rPr>
        <w:b/>
      </w:rPr>
      <w:instrText>PAGE</w:instrText>
    </w:r>
    <w:r>
      <w:rPr>
        <w:b/>
      </w:rPr>
      <w:fldChar w:fldCharType="separate"/>
    </w:r>
    <w:r>
      <w:rPr>
        <w:b/>
        <w:noProof/>
      </w:rPr>
      <w:t>1</w:t>
    </w:r>
    <w:r>
      <w:rPr>
        <w:b/>
      </w:rPr>
      <w:fldChar w:fldCharType="end"/>
    </w:r>
    <w:r>
      <w:rPr>
        <w:lang w:val="zh-CN"/>
      </w:rPr>
      <w:t xml:space="preserve"> / </w:t>
    </w:r>
    <w:r>
      <w:rPr>
        <w:b/>
      </w:rPr>
      <w:fldChar w:fldCharType="begin"/>
    </w:r>
    <w:r>
      <w:rPr>
        <w:b/>
      </w:rPr>
      <w:instrText>NUMPAGES</w:instrText>
    </w:r>
    <w:r>
      <w:rPr>
        <w:b/>
      </w:rPr>
      <w:fldChar w:fldCharType="separate"/>
    </w:r>
    <w:r>
      <w:rPr>
        <w:b/>
        <w:noProof/>
      </w:rPr>
      <w:t>5</w:t>
    </w:r>
    <w:r>
      <w:rPr>
        <w:b/>
      </w:rPr>
      <w:fldChar w:fldCharType="end"/>
    </w:r>
  </w:p>
  <w:p w:rsidR="00EC7A20" w:rsidRDefault="00EC7A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A20" w:rsidRDefault="00EC7A20" w:rsidP="00B10000">
      <w:r>
        <w:separator/>
      </w:r>
    </w:p>
  </w:footnote>
  <w:footnote w:type="continuationSeparator" w:id="0">
    <w:p w:rsidR="00EC7A20" w:rsidRDefault="00EC7A20" w:rsidP="00B100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A20" w:rsidRDefault="00EC7A20" w:rsidP="00B10000">
    <w:pPr>
      <w:pStyle w:val="Header"/>
      <w:pBdr>
        <w:bottom w:val="none" w:sz="0" w:space="0" w:color="auto"/>
      </w:pBdr>
    </w:pPr>
    <w:r>
      <w:rPr>
        <w:noProof/>
      </w:rPr>
      <w:pict>
        <v:group id="_x0000_s2049" style="position:absolute;left:0;text-align:left;margin-left:5.2pt;margin-top:-32.25pt;width:531.2pt;height:37.5pt;z-index:251660288" coordorigin="728,206" coordsize="10624,750">
          <v:shapetype id="_x0000_t202" coordsize="21600,21600" o:spt="202" path="m,l,21600r21600,l21600,xe">
            <v:stroke joinstyle="miter"/>
            <v:path gradientshapeok="t" o:connecttype="rect"/>
          </v:shapetype>
          <v:shape id="_x0000_s2050" type="#_x0000_t202" style="position:absolute;left:728;top:206;width:1336;height:724" strokecolor="white">
            <v:textbox style="mso-next-textbox:#_x0000_s2050">
              <w:txbxContent>
                <w:p w:rsidR="00EC7A20" w:rsidRDefault="00EC7A20" w:rsidP="00B10000">
                  <w:pPr>
                    <w:pStyle w:val="12"/>
                  </w:pPr>
                  <w:r w:rsidRPr="00F215A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凯石工2.jpg" style="width:42pt;height:29.25pt;visibility:visible">
                        <v:imagedata r:id="rId1" o:title=""/>
                      </v:shape>
                    </w:pict>
                  </w:r>
                </w:p>
              </w:txbxContent>
            </v:textbox>
          </v:shape>
          <v:shape id="_x0000_s2051" type="#_x0000_t202" style="position:absolute;left:5999;top:542;width:5353;height:414" strokecolor="white">
            <v:textbox style="mso-next-textbox:#_x0000_s2051">
              <w:txbxContent>
                <w:p w:rsidR="00EC7A20" w:rsidRPr="006E0F3C" w:rsidRDefault="00EC7A20" w:rsidP="00B10000">
                  <w:pPr>
                    <w:pStyle w:val="2"/>
                  </w:pPr>
                  <w:r>
                    <w:rPr>
                      <w:rFonts w:hint="eastAsia"/>
                    </w:rPr>
                    <w:t>公募基金周报（</w:t>
                  </w:r>
                  <w:r>
                    <w:t>2014.08.25~2014.08.29</w:t>
                  </w:r>
                  <w:r>
                    <w:rPr>
                      <w:rFonts w:hint="eastAsia"/>
                    </w:rPr>
                    <w:t>）</w:t>
                  </w:r>
                </w:p>
              </w:txbxContent>
            </v:textbox>
          </v:shape>
        </v:group>
      </w:pict>
    </w:r>
    <w:r>
      <w:pict>
        <v:rect id="_x0000_i1029" style="width:571.2pt;height:2pt" o:hralign="center" o:hrstd="t" o:hrnoshade="t" o:hr="t" fillcolor="#e7a631"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A20" w:rsidRDefault="00EC7A20" w:rsidP="000A259A">
    <w:pPr>
      <w:pStyle w:val="Header"/>
      <w:pBdr>
        <w:bottom w:val="none" w:sz="0" w:space="0" w:color="auto"/>
      </w:pBdr>
      <w:spacing w:afterLines="100"/>
    </w:pPr>
    <w:r>
      <w:rPr>
        <w:noProof/>
      </w:rPr>
    </w:r>
    <w:r>
      <w:pict>
        <v:group id="_x0000_s2052" style="width:532.6pt;height:143.7pt;mso-position-horizontal-relative:char;mso-position-vertical-relative:line" coordorigin="652,331" coordsize="10652,2874">
          <v:shapetype id="_x0000_t202" coordsize="21600,21600" o:spt="202" path="m,l,21600r21600,l21600,xe">
            <v:stroke joinstyle="miter"/>
            <v:path gradientshapeok="t" o:connecttype="rect"/>
          </v:shapetype>
          <v:shape id="_x0000_s2053" type="#_x0000_t202" style="position:absolute;left:652;top:331;width:3664;height:2430" strokecolor="white">
            <v:textbox style="mso-next-textbox:#_x0000_s2053">
              <w:txbxContent>
                <w:p w:rsidR="00EC7A20" w:rsidRDefault="00EC7A20" w:rsidP="00B10000">
                  <w:pPr>
                    <w:pStyle w:val="a0"/>
                  </w:pPr>
                  <w:r w:rsidRPr="00F215A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i1039" type="#_x0000_t75" alt="凯石工2.jpg" style="width:123pt;height:115.5pt;visibility:visible">
                        <v:imagedata r:id="rId1" o:title=""/>
                      </v:shape>
                    </w:pict>
                  </w:r>
                </w:p>
              </w:txbxContent>
            </v:textbox>
          </v:shape>
          <v:shape id="_x0000_s2054" type="#_x0000_t202" style="position:absolute;left:881;top:2578;width:2325;height:390" strokecolor="white">
            <v:textbox style="mso-next-textbox:#_x0000_s2054">
              <w:txbxContent>
                <w:p w:rsidR="00EC7A20" w:rsidRPr="006E0F3C" w:rsidRDefault="00EC7A20" w:rsidP="008840A4">
                  <w:pPr>
                    <w:pStyle w:val="a"/>
                    <w:spacing w:after="240"/>
                  </w:pPr>
                  <w:r w:rsidRPr="006E0F3C">
                    <w:rPr>
                      <w:rFonts w:hint="eastAsia"/>
                    </w:rPr>
                    <w:t>凯石工场研究报告</w:t>
                  </w:r>
                </w:p>
              </w:txbxContent>
            </v:textbox>
          </v:shape>
          <v:shape id="_x0000_s2055" type="#_x0000_t202" style="position:absolute;left:8740;top:609;width:2441;height:475" strokecolor="white">
            <v:textbox style="mso-next-textbox:#_x0000_s2055;mso-fit-shape-to-text:t">
              <w:txbxContent>
                <w:p w:rsidR="00EC7A20" w:rsidRPr="006E0F3C" w:rsidRDefault="00EC7A20" w:rsidP="00B10000">
                  <w:pPr>
                    <w:pStyle w:val="a1"/>
                    <w:jc w:val="right"/>
                  </w:pPr>
                  <w:r>
                    <w:t>2014</w:t>
                  </w:r>
                  <w:r w:rsidRPr="006E0F3C">
                    <w:rPr>
                      <w:rFonts w:hint="eastAsia"/>
                    </w:rPr>
                    <w:t>年</w:t>
                  </w:r>
                  <w:r>
                    <w:t>09</w:t>
                  </w:r>
                  <w:r w:rsidRPr="006E0F3C">
                    <w:rPr>
                      <w:rFonts w:hint="eastAsia"/>
                    </w:rPr>
                    <w:t>月</w:t>
                  </w:r>
                  <w:r>
                    <w:t>01</w:t>
                  </w:r>
                  <w:r w:rsidRPr="006E0F3C">
                    <w:rPr>
                      <w:rFonts w:hint="eastAsia"/>
                    </w:rPr>
                    <w:t>日</w:t>
                  </w:r>
                </w:p>
              </w:txbxContent>
            </v:textbox>
          </v:shape>
          <v:shape id="_x0000_s2056" type="#_x0000_t202" style="position:absolute;left:3214;top:1377;width:8090;height:994" strokecolor="white">
            <v:textbox style="mso-next-textbox:#_x0000_s2056;mso-fit-shape-to-text:t">
              <w:txbxContent>
                <w:p w:rsidR="00EC7A20" w:rsidRPr="00667F84" w:rsidRDefault="00EC7A20" w:rsidP="00B10000">
                  <w:pPr>
                    <w:pStyle w:val="a2"/>
                    <w:jc w:val="right"/>
                  </w:pPr>
                  <w:r w:rsidRPr="00667F84">
                    <w:rPr>
                      <w:rFonts w:hAnsi="楷体" w:hint="eastAsia"/>
                      <w:bCs/>
                      <w:kern w:val="0"/>
                      <w:szCs w:val="21"/>
                      <w:lang w:val="en-GB"/>
                    </w:rPr>
                    <w:t>市场行情调整，产品业绩反转</w:t>
                  </w:r>
                </w:p>
                <w:p w:rsidR="00EC7A20" w:rsidRPr="00624366" w:rsidRDefault="00EC7A20" w:rsidP="00B10000">
                  <w:pPr>
                    <w:pStyle w:val="a2"/>
                    <w:jc w:val="right"/>
                    <w:rPr>
                      <w:sz w:val="28"/>
                      <w:szCs w:val="28"/>
                    </w:rPr>
                  </w:pPr>
                  <w:r w:rsidRPr="0095202C">
                    <w:rPr>
                      <w:rFonts w:hint="eastAsia"/>
                      <w:sz w:val="28"/>
                      <w:szCs w:val="28"/>
                    </w:rPr>
                    <w:t>公募基金周报（</w:t>
                  </w:r>
                  <w:r>
                    <w:rPr>
                      <w:sz w:val="28"/>
                      <w:szCs w:val="28"/>
                    </w:rPr>
                    <w:t>2014.08.25</w:t>
                  </w:r>
                  <w:r w:rsidRPr="0095202C">
                    <w:rPr>
                      <w:sz w:val="28"/>
                      <w:szCs w:val="28"/>
                    </w:rPr>
                    <w:t>~</w:t>
                  </w:r>
                  <w:r>
                    <w:rPr>
                      <w:sz w:val="28"/>
                      <w:szCs w:val="28"/>
                    </w:rPr>
                    <w:t>2014.08.29</w:t>
                  </w:r>
                  <w:r w:rsidRPr="0095202C">
                    <w:rPr>
                      <w:rFonts w:hint="eastAsia"/>
                      <w:sz w:val="28"/>
                      <w:szCs w:val="28"/>
                    </w:rPr>
                    <w:t>）</w:t>
                  </w:r>
                </w:p>
              </w:txbxContent>
            </v:textbox>
          </v:shape>
          <v:shape id="_x0000_s2057" type="#_x0000_t202" style="position:absolute;left:3246;top:2578;width:7993;height:627" strokecolor="white">
            <v:textbox style="mso-next-textbox:#_x0000_s2057">
              <w:txbxContent>
                <w:p w:rsidR="00EC7A20" w:rsidRDefault="00EC7A20" w:rsidP="005E42B1">
                  <w:pPr>
                    <w:pStyle w:val="a3"/>
                    <w:wordWrap w:val="0"/>
                    <w:ind w:right="420"/>
                  </w:pPr>
                  <w:r>
                    <w:rPr>
                      <w:rFonts w:hint="eastAsia"/>
                    </w:rPr>
                    <w:t>万晓微</w:t>
                  </w:r>
                  <w:r>
                    <w:t xml:space="preserve">  </w:t>
                  </w:r>
                  <w:r>
                    <w:rPr>
                      <w:rFonts w:hint="eastAsia"/>
                    </w:rPr>
                    <w:t>联系人</w:t>
                  </w:r>
                </w:p>
                <w:p w:rsidR="00EC7A20" w:rsidRPr="006E0F3C" w:rsidRDefault="00EC7A20" w:rsidP="005E42B1">
                  <w:pPr>
                    <w:pStyle w:val="a3"/>
                  </w:pPr>
                  <w:r>
                    <w:rPr>
                      <w:rFonts w:hint="eastAsia"/>
                    </w:rPr>
                    <w:t>杨</w:t>
                  </w:r>
                  <w:r>
                    <w:t xml:space="preserve">  </w:t>
                  </w:r>
                  <w:r>
                    <w:rPr>
                      <w:rFonts w:hint="eastAsia"/>
                    </w:rPr>
                    <w:t>舒</w:t>
                  </w:r>
                  <w:r w:rsidRPr="006E0F3C">
                    <w:t xml:space="preserve"> </w:t>
                  </w:r>
                  <w:r>
                    <w:t xml:space="preserve"> </w:t>
                  </w:r>
                  <w:r>
                    <w:rPr>
                      <w:rFonts w:hint="eastAsia"/>
                    </w:rPr>
                    <w:t>高级</w:t>
                  </w:r>
                  <w:r w:rsidRPr="006E0F3C">
                    <w:rPr>
                      <w:rFonts w:hint="eastAsia"/>
                    </w:rPr>
                    <w:t>分析师</w:t>
                  </w:r>
                  <w:r w:rsidRPr="006E0F3C">
                    <w:t xml:space="preserve"> </w:t>
                  </w:r>
                </w:p>
              </w:txbxContent>
            </v:textbox>
          </v:shape>
          <w10:anchorlock/>
        </v:group>
      </w:pict>
    </w:r>
    <w:r>
      <w:pict>
        <v:rect id="_x0000_i1038" style="width:571.2pt;height:2pt" o:hralign="center" o:hrstd="t" o:hrnoshade="t" o:hr="t" fillcolor="#e7a631"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
      </v:shape>
    </w:pict>
  </w:numPicBullet>
  <w:abstractNum w:abstractNumId="0">
    <w:nsid w:val="08014C42"/>
    <w:multiLevelType w:val="singleLevel"/>
    <w:tmpl w:val="B4861D4C"/>
    <w:lvl w:ilvl="0">
      <w:start w:val="1"/>
      <w:numFmt w:val="bullet"/>
      <w:pStyle w:val="CoverBullet"/>
      <w:lvlText w:val=""/>
      <w:lvlJc w:val="left"/>
      <w:pPr>
        <w:tabs>
          <w:tab w:val="num" w:pos="360"/>
        </w:tabs>
        <w:ind w:left="360" w:hanging="360"/>
      </w:pPr>
      <w:rPr>
        <w:rFonts w:ascii="Wingdings" w:hAnsi="Wingdings" w:hint="default"/>
        <w:color w:val="FF0000"/>
        <w:sz w:val="20"/>
      </w:rPr>
    </w:lvl>
  </w:abstractNum>
  <w:abstractNum w:abstractNumId="1">
    <w:nsid w:val="10E71F9D"/>
    <w:multiLevelType w:val="hybridMultilevel"/>
    <w:tmpl w:val="FF3C5942"/>
    <w:lvl w:ilvl="0" w:tplc="0409000B">
      <w:start w:val="1"/>
      <w:numFmt w:val="bullet"/>
      <w:lvlText w:val=""/>
      <w:lvlJc w:val="left"/>
      <w:pPr>
        <w:ind w:left="4248" w:hanging="420"/>
      </w:pPr>
      <w:rPr>
        <w:rFonts w:ascii="Wingdings" w:hAnsi="Wingdings" w:hint="default"/>
      </w:rPr>
    </w:lvl>
    <w:lvl w:ilvl="1" w:tplc="04090003" w:tentative="1">
      <w:start w:val="1"/>
      <w:numFmt w:val="bullet"/>
      <w:lvlText w:val=""/>
      <w:lvlJc w:val="left"/>
      <w:pPr>
        <w:ind w:left="4668" w:hanging="420"/>
      </w:pPr>
      <w:rPr>
        <w:rFonts w:ascii="Wingdings" w:hAnsi="Wingdings" w:hint="default"/>
      </w:rPr>
    </w:lvl>
    <w:lvl w:ilvl="2" w:tplc="04090005" w:tentative="1">
      <w:start w:val="1"/>
      <w:numFmt w:val="bullet"/>
      <w:lvlText w:val=""/>
      <w:lvlJc w:val="left"/>
      <w:pPr>
        <w:ind w:left="5088" w:hanging="420"/>
      </w:pPr>
      <w:rPr>
        <w:rFonts w:ascii="Wingdings" w:hAnsi="Wingdings" w:hint="default"/>
      </w:rPr>
    </w:lvl>
    <w:lvl w:ilvl="3" w:tplc="04090001" w:tentative="1">
      <w:start w:val="1"/>
      <w:numFmt w:val="bullet"/>
      <w:lvlText w:val=""/>
      <w:lvlJc w:val="left"/>
      <w:pPr>
        <w:ind w:left="5508" w:hanging="420"/>
      </w:pPr>
      <w:rPr>
        <w:rFonts w:ascii="Wingdings" w:hAnsi="Wingdings" w:hint="default"/>
      </w:rPr>
    </w:lvl>
    <w:lvl w:ilvl="4" w:tplc="04090003" w:tentative="1">
      <w:start w:val="1"/>
      <w:numFmt w:val="bullet"/>
      <w:lvlText w:val=""/>
      <w:lvlJc w:val="left"/>
      <w:pPr>
        <w:ind w:left="5928" w:hanging="420"/>
      </w:pPr>
      <w:rPr>
        <w:rFonts w:ascii="Wingdings" w:hAnsi="Wingdings" w:hint="default"/>
      </w:rPr>
    </w:lvl>
    <w:lvl w:ilvl="5" w:tplc="04090005" w:tentative="1">
      <w:start w:val="1"/>
      <w:numFmt w:val="bullet"/>
      <w:lvlText w:val=""/>
      <w:lvlJc w:val="left"/>
      <w:pPr>
        <w:ind w:left="6348" w:hanging="420"/>
      </w:pPr>
      <w:rPr>
        <w:rFonts w:ascii="Wingdings" w:hAnsi="Wingdings" w:hint="default"/>
      </w:rPr>
    </w:lvl>
    <w:lvl w:ilvl="6" w:tplc="04090001" w:tentative="1">
      <w:start w:val="1"/>
      <w:numFmt w:val="bullet"/>
      <w:lvlText w:val=""/>
      <w:lvlJc w:val="left"/>
      <w:pPr>
        <w:ind w:left="6768" w:hanging="420"/>
      </w:pPr>
      <w:rPr>
        <w:rFonts w:ascii="Wingdings" w:hAnsi="Wingdings" w:hint="default"/>
      </w:rPr>
    </w:lvl>
    <w:lvl w:ilvl="7" w:tplc="04090003" w:tentative="1">
      <w:start w:val="1"/>
      <w:numFmt w:val="bullet"/>
      <w:lvlText w:val=""/>
      <w:lvlJc w:val="left"/>
      <w:pPr>
        <w:ind w:left="7188" w:hanging="420"/>
      </w:pPr>
      <w:rPr>
        <w:rFonts w:ascii="Wingdings" w:hAnsi="Wingdings" w:hint="default"/>
      </w:rPr>
    </w:lvl>
    <w:lvl w:ilvl="8" w:tplc="04090005" w:tentative="1">
      <w:start w:val="1"/>
      <w:numFmt w:val="bullet"/>
      <w:lvlText w:val=""/>
      <w:lvlJc w:val="left"/>
      <w:pPr>
        <w:ind w:left="7608" w:hanging="420"/>
      </w:pPr>
      <w:rPr>
        <w:rFonts w:ascii="Wingdings" w:hAnsi="Wingdings" w:hint="default"/>
      </w:rPr>
    </w:lvl>
  </w:abstractNum>
  <w:abstractNum w:abstractNumId="2">
    <w:nsid w:val="492C6DD3"/>
    <w:multiLevelType w:val="hybridMultilevel"/>
    <w:tmpl w:val="6EAE99B8"/>
    <w:lvl w:ilvl="0" w:tplc="A1E68908">
      <w:start w:val="1"/>
      <w:numFmt w:val="bullet"/>
      <w:lvlText w:val=""/>
      <w:lvlJc w:val="left"/>
      <w:pPr>
        <w:tabs>
          <w:tab w:val="num" w:pos="4329"/>
        </w:tabs>
        <w:ind w:left="3969"/>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B0CACDC8">
      <w:start w:val="1"/>
      <w:numFmt w:val="bullet"/>
      <w:lvlText w:val=""/>
      <w:lvlJc w:val="left"/>
      <w:pPr>
        <w:tabs>
          <w:tab w:val="num" w:pos="4106"/>
        </w:tabs>
        <w:ind w:left="4106" w:hanging="420"/>
      </w:pPr>
      <w:rPr>
        <w:rFonts w:ascii="Wingdings" w:hAnsi="Wingdings" w:hint="default"/>
        <w:sz w:val="15"/>
      </w:rPr>
    </w:lvl>
    <w:lvl w:ilvl="3" w:tplc="04090001">
      <w:start w:val="1"/>
      <w:numFmt w:val="bullet"/>
      <w:lvlText w:val=""/>
      <w:lvlJc w:val="left"/>
      <w:pPr>
        <w:tabs>
          <w:tab w:val="num" w:pos="5082"/>
        </w:tabs>
        <w:ind w:left="5082" w:hanging="420"/>
      </w:pPr>
      <w:rPr>
        <w:rFonts w:ascii="Wingdings" w:hAnsi="Wingdings" w:hint="default"/>
      </w:rPr>
    </w:lvl>
    <w:lvl w:ilvl="4" w:tplc="AC7CA5DC">
      <w:start w:val="1"/>
      <w:numFmt w:val="bullet"/>
      <w:lvlText w:val=""/>
      <w:lvlJc w:val="left"/>
      <w:pPr>
        <w:tabs>
          <w:tab w:val="num" w:pos="3799"/>
        </w:tabs>
        <w:ind w:left="3799" w:hanging="369"/>
      </w:pPr>
      <w:rPr>
        <w:rFonts w:ascii="Wingdings" w:eastAsia="楷体_GB2312"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3">
    <w:nsid w:val="49A16DB4"/>
    <w:multiLevelType w:val="hybridMultilevel"/>
    <w:tmpl w:val="4E9C4D18"/>
    <w:lvl w:ilvl="0" w:tplc="A1E68908">
      <w:start w:val="1"/>
      <w:numFmt w:val="bullet"/>
      <w:lvlText w:val=""/>
      <w:lvlJc w:val="left"/>
      <w:pPr>
        <w:tabs>
          <w:tab w:val="num" w:pos="4329"/>
        </w:tabs>
        <w:ind w:left="3969"/>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15407DAC">
      <w:start w:val="1"/>
      <w:numFmt w:val="bullet"/>
      <w:lvlText w:val=""/>
      <w:lvlJc w:val="left"/>
      <w:pPr>
        <w:tabs>
          <w:tab w:val="num" w:pos="3799"/>
        </w:tabs>
        <w:ind w:left="3799" w:hanging="369"/>
      </w:pPr>
      <w:rPr>
        <w:rFonts w:ascii="Wingdings"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4">
    <w:nsid w:val="5E8271C1"/>
    <w:multiLevelType w:val="hybridMultilevel"/>
    <w:tmpl w:val="6B68E90C"/>
    <w:lvl w:ilvl="0" w:tplc="A1E68908">
      <w:start w:val="1"/>
      <w:numFmt w:val="bullet"/>
      <w:lvlText w:val=""/>
      <w:lvlJc w:val="left"/>
      <w:pPr>
        <w:tabs>
          <w:tab w:val="num" w:pos="4329"/>
        </w:tabs>
        <w:ind w:left="3969"/>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pPr>
      <w:rPr>
        <w:rFonts w:ascii="Wingdings" w:eastAsia="宋体" w:hAnsi="Wingdings" w:hint="default"/>
        <w:b w:val="0"/>
        <w:i w:val="0"/>
        <w:color w:val="000565"/>
        <w:sz w:val="18"/>
      </w:rPr>
    </w:lvl>
    <w:lvl w:ilvl="5" w:tplc="DDC8F30C">
      <w:start w:val="1"/>
      <w:numFmt w:val="bullet"/>
      <w:lvlText w:val=""/>
      <w:lvlJc w:val="left"/>
      <w:pPr>
        <w:tabs>
          <w:tab w:val="num" w:pos="4139"/>
        </w:tabs>
        <w:ind w:left="4139" w:hanging="368"/>
      </w:pPr>
      <w:rPr>
        <w:rFonts w:ascii="Wingdings 2" w:eastAsia="楷体_GB2312" w:hAnsi="Wingdings 2" w:hint="default"/>
        <w:b w:val="0"/>
        <w:i w:val="0"/>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5">
    <w:nsid w:val="66145FDE"/>
    <w:multiLevelType w:val="singleLevel"/>
    <w:tmpl w:val="918C41C0"/>
    <w:lvl w:ilvl="0">
      <w:start w:val="1"/>
      <w:numFmt w:val="bullet"/>
      <w:pStyle w:val="BulletCoverpage"/>
      <w:lvlText w:val=""/>
      <w:lvlJc w:val="left"/>
      <w:pPr>
        <w:tabs>
          <w:tab w:val="num" w:pos="0"/>
        </w:tabs>
        <w:ind w:left="227" w:hanging="227"/>
      </w:pPr>
      <w:rPr>
        <w:rFonts w:ascii="Monotype Sorts" w:hAnsi="Monotype Sorts" w:hint="default"/>
        <w:color w:val="FF0000"/>
        <w:sz w:val="16"/>
      </w:rPr>
    </w:lvl>
  </w:abstractNum>
  <w:abstractNum w:abstractNumId="6">
    <w:nsid w:val="7DB2660F"/>
    <w:multiLevelType w:val="hybridMultilevel"/>
    <w:tmpl w:val="20BAD2A2"/>
    <w:lvl w:ilvl="0" w:tplc="74927076">
      <w:start w:val="1"/>
      <w:numFmt w:val="bullet"/>
      <w:pStyle w:val="Heading1"/>
      <w:lvlText w:val=""/>
      <w:lvlPicBulletId w:val="0"/>
      <w:lvlJc w:val="left"/>
      <w:pPr>
        <w:ind w:left="1620" w:hanging="420"/>
      </w:pPr>
      <w:rPr>
        <w:rFonts w:ascii="Symbol" w:hAnsi="Symbol" w:hint="default"/>
        <w:color w:val="auto"/>
      </w:rPr>
    </w:lvl>
    <w:lvl w:ilvl="1" w:tplc="04090003" w:tentative="1">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num w:numId="1">
    <w:abstractNumId w:val="2"/>
  </w:num>
  <w:num w:numId="2">
    <w:abstractNumId w:val="4"/>
  </w:num>
  <w:num w:numId="3">
    <w:abstractNumId w:val="0"/>
  </w:num>
  <w:num w:numId="4">
    <w:abstractNumId w:val="5"/>
  </w:num>
  <w:num w:numId="5">
    <w:abstractNumId w:val="3"/>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0000"/>
    <w:rsid w:val="0000120D"/>
    <w:rsid w:val="00004B2E"/>
    <w:rsid w:val="00006269"/>
    <w:rsid w:val="00006540"/>
    <w:rsid w:val="000067FB"/>
    <w:rsid w:val="00007D8C"/>
    <w:rsid w:val="00011851"/>
    <w:rsid w:val="00013790"/>
    <w:rsid w:val="00015E23"/>
    <w:rsid w:val="0001604D"/>
    <w:rsid w:val="000212A0"/>
    <w:rsid w:val="0002164B"/>
    <w:rsid w:val="000225B4"/>
    <w:rsid w:val="00024C7D"/>
    <w:rsid w:val="00026FF9"/>
    <w:rsid w:val="000305DC"/>
    <w:rsid w:val="00034C20"/>
    <w:rsid w:val="00036038"/>
    <w:rsid w:val="00036AB5"/>
    <w:rsid w:val="00036BCD"/>
    <w:rsid w:val="00037BAF"/>
    <w:rsid w:val="00042A77"/>
    <w:rsid w:val="0004751A"/>
    <w:rsid w:val="00047EDC"/>
    <w:rsid w:val="000507E5"/>
    <w:rsid w:val="0005101C"/>
    <w:rsid w:val="00056D77"/>
    <w:rsid w:val="00057142"/>
    <w:rsid w:val="00060829"/>
    <w:rsid w:val="000621C7"/>
    <w:rsid w:val="0006243F"/>
    <w:rsid w:val="00064E08"/>
    <w:rsid w:val="00070307"/>
    <w:rsid w:val="00072445"/>
    <w:rsid w:val="00073843"/>
    <w:rsid w:val="00073BEE"/>
    <w:rsid w:val="00074E24"/>
    <w:rsid w:val="00075931"/>
    <w:rsid w:val="00080386"/>
    <w:rsid w:val="00081D63"/>
    <w:rsid w:val="000856DF"/>
    <w:rsid w:val="0009128D"/>
    <w:rsid w:val="00091971"/>
    <w:rsid w:val="00091E0E"/>
    <w:rsid w:val="000929C7"/>
    <w:rsid w:val="00092C5E"/>
    <w:rsid w:val="000941BB"/>
    <w:rsid w:val="00094650"/>
    <w:rsid w:val="00097363"/>
    <w:rsid w:val="000A259A"/>
    <w:rsid w:val="000A284C"/>
    <w:rsid w:val="000A2FAE"/>
    <w:rsid w:val="000A384C"/>
    <w:rsid w:val="000B21FF"/>
    <w:rsid w:val="000B31B2"/>
    <w:rsid w:val="000B3641"/>
    <w:rsid w:val="000B6F70"/>
    <w:rsid w:val="000B716A"/>
    <w:rsid w:val="000B7203"/>
    <w:rsid w:val="000B7C3D"/>
    <w:rsid w:val="000C0348"/>
    <w:rsid w:val="000C088F"/>
    <w:rsid w:val="000C08C5"/>
    <w:rsid w:val="000C3A57"/>
    <w:rsid w:val="000C4EBD"/>
    <w:rsid w:val="000C51A4"/>
    <w:rsid w:val="000C6B9E"/>
    <w:rsid w:val="000C7DF2"/>
    <w:rsid w:val="000D01F8"/>
    <w:rsid w:val="000D1136"/>
    <w:rsid w:val="000D27F8"/>
    <w:rsid w:val="000D4A66"/>
    <w:rsid w:val="000D6FC5"/>
    <w:rsid w:val="000D73AB"/>
    <w:rsid w:val="000E17E0"/>
    <w:rsid w:val="000E217B"/>
    <w:rsid w:val="000E371E"/>
    <w:rsid w:val="000E39C2"/>
    <w:rsid w:val="000E62CE"/>
    <w:rsid w:val="000E6D9A"/>
    <w:rsid w:val="000E713F"/>
    <w:rsid w:val="000F0312"/>
    <w:rsid w:val="000F10CB"/>
    <w:rsid w:val="00100572"/>
    <w:rsid w:val="001024F4"/>
    <w:rsid w:val="00103C41"/>
    <w:rsid w:val="00104265"/>
    <w:rsid w:val="001063EA"/>
    <w:rsid w:val="001064E7"/>
    <w:rsid w:val="00106D18"/>
    <w:rsid w:val="001073F0"/>
    <w:rsid w:val="001106F0"/>
    <w:rsid w:val="00111BEB"/>
    <w:rsid w:val="001130D2"/>
    <w:rsid w:val="00113E7A"/>
    <w:rsid w:val="00114389"/>
    <w:rsid w:val="001169B2"/>
    <w:rsid w:val="00120197"/>
    <w:rsid w:val="00120F16"/>
    <w:rsid w:val="00121295"/>
    <w:rsid w:val="001230AE"/>
    <w:rsid w:val="00130DAF"/>
    <w:rsid w:val="001312C8"/>
    <w:rsid w:val="0013161E"/>
    <w:rsid w:val="0013294D"/>
    <w:rsid w:val="00137C4A"/>
    <w:rsid w:val="001403F1"/>
    <w:rsid w:val="00150FC3"/>
    <w:rsid w:val="00152902"/>
    <w:rsid w:val="001533D0"/>
    <w:rsid w:val="00154C4E"/>
    <w:rsid w:val="0015518D"/>
    <w:rsid w:val="00155E7B"/>
    <w:rsid w:val="00160A00"/>
    <w:rsid w:val="00160B05"/>
    <w:rsid w:val="0016750A"/>
    <w:rsid w:val="001707EB"/>
    <w:rsid w:val="00171E16"/>
    <w:rsid w:val="001732F3"/>
    <w:rsid w:val="001757C6"/>
    <w:rsid w:val="001757D1"/>
    <w:rsid w:val="00176FFB"/>
    <w:rsid w:val="00181DC4"/>
    <w:rsid w:val="00181DE3"/>
    <w:rsid w:val="001824C1"/>
    <w:rsid w:val="00185298"/>
    <w:rsid w:val="00185397"/>
    <w:rsid w:val="001866D5"/>
    <w:rsid w:val="00187DBC"/>
    <w:rsid w:val="00190A08"/>
    <w:rsid w:val="001913B3"/>
    <w:rsid w:val="00192281"/>
    <w:rsid w:val="00194A20"/>
    <w:rsid w:val="00196BC9"/>
    <w:rsid w:val="001A04CB"/>
    <w:rsid w:val="001A20EF"/>
    <w:rsid w:val="001A7013"/>
    <w:rsid w:val="001B1A86"/>
    <w:rsid w:val="001B1E97"/>
    <w:rsid w:val="001B3B5C"/>
    <w:rsid w:val="001B3B9B"/>
    <w:rsid w:val="001B3E3A"/>
    <w:rsid w:val="001B4102"/>
    <w:rsid w:val="001B6D17"/>
    <w:rsid w:val="001B6D2E"/>
    <w:rsid w:val="001B7AA9"/>
    <w:rsid w:val="001C2E66"/>
    <w:rsid w:val="001C3226"/>
    <w:rsid w:val="001C343E"/>
    <w:rsid w:val="001D0941"/>
    <w:rsid w:val="001D1F68"/>
    <w:rsid w:val="001D33CC"/>
    <w:rsid w:val="001D4758"/>
    <w:rsid w:val="001D5DD8"/>
    <w:rsid w:val="001D6224"/>
    <w:rsid w:val="001E182A"/>
    <w:rsid w:val="001E3FEC"/>
    <w:rsid w:val="001E5298"/>
    <w:rsid w:val="001E5E74"/>
    <w:rsid w:val="001E7012"/>
    <w:rsid w:val="001F13E5"/>
    <w:rsid w:val="001F154A"/>
    <w:rsid w:val="001F2B31"/>
    <w:rsid w:val="0021175A"/>
    <w:rsid w:val="00215FD6"/>
    <w:rsid w:val="0021658D"/>
    <w:rsid w:val="00217252"/>
    <w:rsid w:val="00221A18"/>
    <w:rsid w:val="00223AC5"/>
    <w:rsid w:val="00224D0D"/>
    <w:rsid w:val="00225508"/>
    <w:rsid w:val="00226D20"/>
    <w:rsid w:val="00231AF8"/>
    <w:rsid w:val="00233317"/>
    <w:rsid w:val="002338C0"/>
    <w:rsid w:val="00233AC4"/>
    <w:rsid w:val="002344A5"/>
    <w:rsid w:val="00235525"/>
    <w:rsid w:val="0023638D"/>
    <w:rsid w:val="002413CF"/>
    <w:rsid w:val="00241CE2"/>
    <w:rsid w:val="00242D53"/>
    <w:rsid w:val="00242D8D"/>
    <w:rsid w:val="00245B98"/>
    <w:rsid w:val="00246A3D"/>
    <w:rsid w:val="00247B9F"/>
    <w:rsid w:val="0025117A"/>
    <w:rsid w:val="0025195E"/>
    <w:rsid w:val="00252878"/>
    <w:rsid w:val="00257525"/>
    <w:rsid w:val="00257B4B"/>
    <w:rsid w:val="00257D31"/>
    <w:rsid w:val="0026029B"/>
    <w:rsid w:val="00261ADB"/>
    <w:rsid w:val="002637EF"/>
    <w:rsid w:val="0026413E"/>
    <w:rsid w:val="002643C4"/>
    <w:rsid w:val="002645D0"/>
    <w:rsid w:val="00265B6D"/>
    <w:rsid w:val="00265D17"/>
    <w:rsid w:val="0027079A"/>
    <w:rsid w:val="00273C1B"/>
    <w:rsid w:val="00276D8F"/>
    <w:rsid w:val="0027722C"/>
    <w:rsid w:val="00281145"/>
    <w:rsid w:val="00281F38"/>
    <w:rsid w:val="002840F1"/>
    <w:rsid w:val="00284688"/>
    <w:rsid w:val="00286F58"/>
    <w:rsid w:val="00290143"/>
    <w:rsid w:val="00290712"/>
    <w:rsid w:val="0029089C"/>
    <w:rsid w:val="00290EC1"/>
    <w:rsid w:val="002919F1"/>
    <w:rsid w:val="00291B5F"/>
    <w:rsid w:val="00292E2D"/>
    <w:rsid w:val="00293321"/>
    <w:rsid w:val="00294614"/>
    <w:rsid w:val="0029599D"/>
    <w:rsid w:val="00296C0E"/>
    <w:rsid w:val="00297532"/>
    <w:rsid w:val="00297F35"/>
    <w:rsid w:val="002A3099"/>
    <w:rsid w:val="002A6AB8"/>
    <w:rsid w:val="002B0922"/>
    <w:rsid w:val="002B0F8E"/>
    <w:rsid w:val="002B114E"/>
    <w:rsid w:val="002B1A4F"/>
    <w:rsid w:val="002B3374"/>
    <w:rsid w:val="002B3515"/>
    <w:rsid w:val="002B368B"/>
    <w:rsid w:val="002B4921"/>
    <w:rsid w:val="002B615B"/>
    <w:rsid w:val="002C0245"/>
    <w:rsid w:val="002C095D"/>
    <w:rsid w:val="002C1257"/>
    <w:rsid w:val="002C2F59"/>
    <w:rsid w:val="002C337A"/>
    <w:rsid w:val="002C5822"/>
    <w:rsid w:val="002C6DA1"/>
    <w:rsid w:val="002C75C8"/>
    <w:rsid w:val="002D013F"/>
    <w:rsid w:val="002D26EA"/>
    <w:rsid w:val="002D2967"/>
    <w:rsid w:val="002D361E"/>
    <w:rsid w:val="002D7BF5"/>
    <w:rsid w:val="002E0C37"/>
    <w:rsid w:val="002E12A4"/>
    <w:rsid w:val="002E1DB4"/>
    <w:rsid w:val="002E5B19"/>
    <w:rsid w:val="002E772B"/>
    <w:rsid w:val="002F1D00"/>
    <w:rsid w:val="002F2866"/>
    <w:rsid w:val="002F4660"/>
    <w:rsid w:val="002F504E"/>
    <w:rsid w:val="002F55EC"/>
    <w:rsid w:val="002F5B82"/>
    <w:rsid w:val="002F5E62"/>
    <w:rsid w:val="00300A5A"/>
    <w:rsid w:val="00302EDB"/>
    <w:rsid w:val="00303164"/>
    <w:rsid w:val="00304661"/>
    <w:rsid w:val="003069F4"/>
    <w:rsid w:val="003072D1"/>
    <w:rsid w:val="00311935"/>
    <w:rsid w:val="00315ECA"/>
    <w:rsid w:val="003163A1"/>
    <w:rsid w:val="003173B8"/>
    <w:rsid w:val="00322227"/>
    <w:rsid w:val="003253E4"/>
    <w:rsid w:val="00326DD8"/>
    <w:rsid w:val="00327C6B"/>
    <w:rsid w:val="0033170F"/>
    <w:rsid w:val="00334383"/>
    <w:rsid w:val="003362A1"/>
    <w:rsid w:val="003417B7"/>
    <w:rsid w:val="00341CB3"/>
    <w:rsid w:val="0034351F"/>
    <w:rsid w:val="00343D07"/>
    <w:rsid w:val="003440C8"/>
    <w:rsid w:val="0035107C"/>
    <w:rsid w:val="00354C5A"/>
    <w:rsid w:val="00355CC6"/>
    <w:rsid w:val="00356092"/>
    <w:rsid w:val="00357725"/>
    <w:rsid w:val="00357A68"/>
    <w:rsid w:val="00360B1F"/>
    <w:rsid w:val="003629A1"/>
    <w:rsid w:val="00362BDF"/>
    <w:rsid w:val="003630D1"/>
    <w:rsid w:val="00363312"/>
    <w:rsid w:val="0036352A"/>
    <w:rsid w:val="00363986"/>
    <w:rsid w:val="00364CD1"/>
    <w:rsid w:val="00366935"/>
    <w:rsid w:val="00366E94"/>
    <w:rsid w:val="00370A76"/>
    <w:rsid w:val="00370B61"/>
    <w:rsid w:val="00371BA7"/>
    <w:rsid w:val="00372756"/>
    <w:rsid w:val="003737C6"/>
    <w:rsid w:val="00373948"/>
    <w:rsid w:val="003746B1"/>
    <w:rsid w:val="0037492D"/>
    <w:rsid w:val="00374BA5"/>
    <w:rsid w:val="00377F18"/>
    <w:rsid w:val="0038003D"/>
    <w:rsid w:val="00380361"/>
    <w:rsid w:val="00380EEB"/>
    <w:rsid w:val="0038350E"/>
    <w:rsid w:val="00384812"/>
    <w:rsid w:val="00386B54"/>
    <w:rsid w:val="003901F3"/>
    <w:rsid w:val="003903DA"/>
    <w:rsid w:val="00390A0F"/>
    <w:rsid w:val="003936BE"/>
    <w:rsid w:val="003940C0"/>
    <w:rsid w:val="0039511A"/>
    <w:rsid w:val="00397178"/>
    <w:rsid w:val="003A036D"/>
    <w:rsid w:val="003A0E58"/>
    <w:rsid w:val="003A2FAE"/>
    <w:rsid w:val="003A5519"/>
    <w:rsid w:val="003A5C5F"/>
    <w:rsid w:val="003A6147"/>
    <w:rsid w:val="003B10CC"/>
    <w:rsid w:val="003B126E"/>
    <w:rsid w:val="003B1409"/>
    <w:rsid w:val="003B2637"/>
    <w:rsid w:val="003B35FC"/>
    <w:rsid w:val="003B5D7E"/>
    <w:rsid w:val="003C0101"/>
    <w:rsid w:val="003C1392"/>
    <w:rsid w:val="003C5C90"/>
    <w:rsid w:val="003C77A2"/>
    <w:rsid w:val="003D3780"/>
    <w:rsid w:val="003D3C89"/>
    <w:rsid w:val="003D445A"/>
    <w:rsid w:val="003D4C21"/>
    <w:rsid w:val="003D4E0C"/>
    <w:rsid w:val="003E0FE3"/>
    <w:rsid w:val="003E104D"/>
    <w:rsid w:val="003E3E40"/>
    <w:rsid w:val="003E6742"/>
    <w:rsid w:val="003F0F93"/>
    <w:rsid w:val="003F158A"/>
    <w:rsid w:val="003F15EB"/>
    <w:rsid w:val="003F18DA"/>
    <w:rsid w:val="003F2B05"/>
    <w:rsid w:val="003F4C66"/>
    <w:rsid w:val="003F4C8D"/>
    <w:rsid w:val="003F6D13"/>
    <w:rsid w:val="003F7490"/>
    <w:rsid w:val="003F7591"/>
    <w:rsid w:val="004010BD"/>
    <w:rsid w:val="004025B1"/>
    <w:rsid w:val="004049E1"/>
    <w:rsid w:val="00404A3A"/>
    <w:rsid w:val="00405C38"/>
    <w:rsid w:val="00406576"/>
    <w:rsid w:val="0040695C"/>
    <w:rsid w:val="0040729F"/>
    <w:rsid w:val="004130AB"/>
    <w:rsid w:val="0041361B"/>
    <w:rsid w:val="00415080"/>
    <w:rsid w:val="0041702F"/>
    <w:rsid w:val="00417258"/>
    <w:rsid w:val="00422D18"/>
    <w:rsid w:val="00423456"/>
    <w:rsid w:val="00423975"/>
    <w:rsid w:val="004261CB"/>
    <w:rsid w:val="00427EB4"/>
    <w:rsid w:val="004305E5"/>
    <w:rsid w:val="00430B20"/>
    <w:rsid w:val="00435E54"/>
    <w:rsid w:val="004400BA"/>
    <w:rsid w:val="0044069B"/>
    <w:rsid w:val="00441AD6"/>
    <w:rsid w:val="00442AF1"/>
    <w:rsid w:val="00443354"/>
    <w:rsid w:val="00446E1B"/>
    <w:rsid w:val="00447E47"/>
    <w:rsid w:val="00450B25"/>
    <w:rsid w:val="00450EF2"/>
    <w:rsid w:val="00451967"/>
    <w:rsid w:val="004520F9"/>
    <w:rsid w:val="004534F9"/>
    <w:rsid w:val="004564B0"/>
    <w:rsid w:val="00464A8B"/>
    <w:rsid w:val="0046524C"/>
    <w:rsid w:val="004654CC"/>
    <w:rsid w:val="0046596D"/>
    <w:rsid w:val="00466D12"/>
    <w:rsid w:val="00471251"/>
    <w:rsid w:val="004714B2"/>
    <w:rsid w:val="00471AC7"/>
    <w:rsid w:val="0047414F"/>
    <w:rsid w:val="004757D9"/>
    <w:rsid w:val="00475DD9"/>
    <w:rsid w:val="004764E4"/>
    <w:rsid w:val="004855C1"/>
    <w:rsid w:val="00486443"/>
    <w:rsid w:val="00486C57"/>
    <w:rsid w:val="0049212C"/>
    <w:rsid w:val="00492A13"/>
    <w:rsid w:val="00493237"/>
    <w:rsid w:val="00493C77"/>
    <w:rsid w:val="00495D2B"/>
    <w:rsid w:val="00497E95"/>
    <w:rsid w:val="004A3F1C"/>
    <w:rsid w:val="004A56E2"/>
    <w:rsid w:val="004A6C01"/>
    <w:rsid w:val="004B07FF"/>
    <w:rsid w:val="004B087F"/>
    <w:rsid w:val="004B18C9"/>
    <w:rsid w:val="004B23AB"/>
    <w:rsid w:val="004B48A2"/>
    <w:rsid w:val="004B640C"/>
    <w:rsid w:val="004B6C69"/>
    <w:rsid w:val="004B75E0"/>
    <w:rsid w:val="004C0B80"/>
    <w:rsid w:val="004C1F81"/>
    <w:rsid w:val="004C40C1"/>
    <w:rsid w:val="004C4741"/>
    <w:rsid w:val="004C486F"/>
    <w:rsid w:val="004C50B6"/>
    <w:rsid w:val="004C7698"/>
    <w:rsid w:val="004D1863"/>
    <w:rsid w:val="004D53BB"/>
    <w:rsid w:val="004D58DC"/>
    <w:rsid w:val="004D71B5"/>
    <w:rsid w:val="004D7ECB"/>
    <w:rsid w:val="004E0FEE"/>
    <w:rsid w:val="004E462D"/>
    <w:rsid w:val="004E53AC"/>
    <w:rsid w:val="004E7938"/>
    <w:rsid w:val="004F12DC"/>
    <w:rsid w:val="004F47F8"/>
    <w:rsid w:val="00503057"/>
    <w:rsid w:val="0050406F"/>
    <w:rsid w:val="0050501E"/>
    <w:rsid w:val="00505FA0"/>
    <w:rsid w:val="005062CE"/>
    <w:rsid w:val="005127F0"/>
    <w:rsid w:val="005136FB"/>
    <w:rsid w:val="00514A29"/>
    <w:rsid w:val="00515278"/>
    <w:rsid w:val="00517D66"/>
    <w:rsid w:val="0052191D"/>
    <w:rsid w:val="005220A2"/>
    <w:rsid w:val="00522D48"/>
    <w:rsid w:val="00522FD3"/>
    <w:rsid w:val="00524732"/>
    <w:rsid w:val="00524D1D"/>
    <w:rsid w:val="00525658"/>
    <w:rsid w:val="00532D30"/>
    <w:rsid w:val="00533C19"/>
    <w:rsid w:val="0053587E"/>
    <w:rsid w:val="00537D72"/>
    <w:rsid w:val="0054107C"/>
    <w:rsid w:val="005411DC"/>
    <w:rsid w:val="00542F05"/>
    <w:rsid w:val="00544683"/>
    <w:rsid w:val="005502D0"/>
    <w:rsid w:val="00550466"/>
    <w:rsid w:val="0055078E"/>
    <w:rsid w:val="005543EB"/>
    <w:rsid w:val="00554855"/>
    <w:rsid w:val="00556701"/>
    <w:rsid w:val="00560B59"/>
    <w:rsid w:val="00561462"/>
    <w:rsid w:val="00567A0C"/>
    <w:rsid w:val="00570CFF"/>
    <w:rsid w:val="00571FE3"/>
    <w:rsid w:val="00575212"/>
    <w:rsid w:val="005756FF"/>
    <w:rsid w:val="00580A22"/>
    <w:rsid w:val="00581C8E"/>
    <w:rsid w:val="0058328A"/>
    <w:rsid w:val="00586BF4"/>
    <w:rsid w:val="00592D62"/>
    <w:rsid w:val="00593C20"/>
    <w:rsid w:val="00595F3E"/>
    <w:rsid w:val="00596573"/>
    <w:rsid w:val="00596BB8"/>
    <w:rsid w:val="00597250"/>
    <w:rsid w:val="005A0162"/>
    <w:rsid w:val="005A12B3"/>
    <w:rsid w:val="005A518A"/>
    <w:rsid w:val="005A67E3"/>
    <w:rsid w:val="005B020A"/>
    <w:rsid w:val="005B07A8"/>
    <w:rsid w:val="005B0C3F"/>
    <w:rsid w:val="005B0E69"/>
    <w:rsid w:val="005B0FFC"/>
    <w:rsid w:val="005B24B5"/>
    <w:rsid w:val="005B25CA"/>
    <w:rsid w:val="005B2AF8"/>
    <w:rsid w:val="005B2B03"/>
    <w:rsid w:val="005B3039"/>
    <w:rsid w:val="005B49EB"/>
    <w:rsid w:val="005B4F0D"/>
    <w:rsid w:val="005B5344"/>
    <w:rsid w:val="005B6077"/>
    <w:rsid w:val="005B66D4"/>
    <w:rsid w:val="005B7144"/>
    <w:rsid w:val="005B7CDB"/>
    <w:rsid w:val="005C3660"/>
    <w:rsid w:val="005C3964"/>
    <w:rsid w:val="005C43D1"/>
    <w:rsid w:val="005C4913"/>
    <w:rsid w:val="005C4AF6"/>
    <w:rsid w:val="005C62E8"/>
    <w:rsid w:val="005D0786"/>
    <w:rsid w:val="005D11C2"/>
    <w:rsid w:val="005D176B"/>
    <w:rsid w:val="005D1C90"/>
    <w:rsid w:val="005D5D07"/>
    <w:rsid w:val="005E42B1"/>
    <w:rsid w:val="005E4315"/>
    <w:rsid w:val="005E5835"/>
    <w:rsid w:val="005F2086"/>
    <w:rsid w:val="005F3112"/>
    <w:rsid w:val="005F394F"/>
    <w:rsid w:val="0060087D"/>
    <w:rsid w:val="00601790"/>
    <w:rsid w:val="006031DE"/>
    <w:rsid w:val="00603CFF"/>
    <w:rsid w:val="00607AF3"/>
    <w:rsid w:val="00607D01"/>
    <w:rsid w:val="00610709"/>
    <w:rsid w:val="006115CD"/>
    <w:rsid w:val="00611ADA"/>
    <w:rsid w:val="00612B6F"/>
    <w:rsid w:val="00615FCF"/>
    <w:rsid w:val="006175E2"/>
    <w:rsid w:val="00620E33"/>
    <w:rsid w:val="0062314B"/>
    <w:rsid w:val="00623C62"/>
    <w:rsid w:val="00624366"/>
    <w:rsid w:val="006245AB"/>
    <w:rsid w:val="00624A77"/>
    <w:rsid w:val="006270CD"/>
    <w:rsid w:val="00632F6E"/>
    <w:rsid w:val="00635482"/>
    <w:rsid w:val="006456A9"/>
    <w:rsid w:val="00653FCD"/>
    <w:rsid w:val="00654A8F"/>
    <w:rsid w:val="006551AF"/>
    <w:rsid w:val="006559C0"/>
    <w:rsid w:val="00656031"/>
    <w:rsid w:val="00656D3E"/>
    <w:rsid w:val="006578A3"/>
    <w:rsid w:val="0066070E"/>
    <w:rsid w:val="006645C6"/>
    <w:rsid w:val="0066540E"/>
    <w:rsid w:val="00665C78"/>
    <w:rsid w:val="006670F3"/>
    <w:rsid w:val="006675F9"/>
    <w:rsid w:val="00667F84"/>
    <w:rsid w:val="00671515"/>
    <w:rsid w:val="00674776"/>
    <w:rsid w:val="006772EB"/>
    <w:rsid w:val="006833F8"/>
    <w:rsid w:val="00683DCB"/>
    <w:rsid w:val="00683F7F"/>
    <w:rsid w:val="00686607"/>
    <w:rsid w:val="00686D48"/>
    <w:rsid w:val="0069249C"/>
    <w:rsid w:val="00692594"/>
    <w:rsid w:val="0069543D"/>
    <w:rsid w:val="00696125"/>
    <w:rsid w:val="006962B2"/>
    <w:rsid w:val="006A028F"/>
    <w:rsid w:val="006A3423"/>
    <w:rsid w:val="006A3AA5"/>
    <w:rsid w:val="006A3CD2"/>
    <w:rsid w:val="006A4AA1"/>
    <w:rsid w:val="006A53C2"/>
    <w:rsid w:val="006A5488"/>
    <w:rsid w:val="006A56CE"/>
    <w:rsid w:val="006A6E20"/>
    <w:rsid w:val="006B48F2"/>
    <w:rsid w:val="006B7C89"/>
    <w:rsid w:val="006C1F99"/>
    <w:rsid w:val="006C2CA2"/>
    <w:rsid w:val="006C7B1B"/>
    <w:rsid w:val="006C7C4A"/>
    <w:rsid w:val="006C7FEC"/>
    <w:rsid w:val="006D4173"/>
    <w:rsid w:val="006D654F"/>
    <w:rsid w:val="006D6C35"/>
    <w:rsid w:val="006D7158"/>
    <w:rsid w:val="006D7641"/>
    <w:rsid w:val="006E0F3C"/>
    <w:rsid w:val="006E55A6"/>
    <w:rsid w:val="006E5C99"/>
    <w:rsid w:val="006E5DF5"/>
    <w:rsid w:val="006E6961"/>
    <w:rsid w:val="006F1DAC"/>
    <w:rsid w:val="006F20D6"/>
    <w:rsid w:val="006F2538"/>
    <w:rsid w:val="006F2C3A"/>
    <w:rsid w:val="006F3555"/>
    <w:rsid w:val="006F495F"/>
    <w:rsid w:val="006F4A62"/>
    <w:rsid w:val="006F55B1"/>
    <w:rsid w:val="006F5EEB"/>
    <w:rsid w:val="006F6EAC"/>
    <w:rsid w:val="00700F29"/>
    <w:rsid w:val="00703A45"/>
    <w:rsid w:val="00703A64"/>
    <w:rsid w:val="00704A54"/>
    <w:rsid w:val="00706C09"/>
    <w:rsid w:val="0071416B"/>
    <w:rsid w:val="00720238"/>
    <w:rsid w:val="00721E16"/>
    <w:rsid w:val="00722312"/>
    <w:rsid w:val="00722631"/>
    <w:rsid w:val="0072299D"/>
    <w:rsid w:val="00722BF7"/>
    <w:rsid w:val="00723620"/>
    <w:rsid w:val="007242C3"/>
    <w:rsid w:val="0072583A"/>
    <w:rsid w:val="0072603A"/>
    <w:rsid w:val="007314DC"/>
    <w:rsid w:val="007316AC"/>
    <w:rsid w:val="0073278C"/>
    <w:rsid w:val="00733A3E"/>
    <w:rsid w:val="0073500F"/>
    <w:rsid w:val="00735A44"/>
    <w:rsid w:val="00741197"/>
    <w:rsid w:val="00741443"/>
    <w:rsid w:val="00745353"/>
    <w:rsid w:val="007474D9"/>
    <w:rsid w:val="00751098"/>
    <w:rsid w:val="007513AA"/>
    <w:rsid w:val="00751B67"/>
    <w:rsid w:val="0075480C"/>
    <w:rsid w:val="00754DEE"/>
    <w:rsid w:val="00755F5C"/>
    <w:rsid w:val="00755F60"/>
    <w:rsid w:val="0075762B"/>
    <w:rsid w:val="00760A91"/>
    <w:rsid w:val="00763E9C"/>
    <w:rsid w:val="00763F25"/>
    <w:rsid w:val="00771B4A"/>
    <w:rsid w:val="00771B5F"/>
    <w:rsid w:val="0077477F"/>
    <w:rsid w:val="00775789"/>
    <w:rsid w:val="00775DEE"/>
    <w:rsid w:val="007801B0"/>
    <w:rsid w:val="00784E7E"/>
    <w:rsid w:val="00785B6F"/>
    <w:rsid w:val="00786188"/>
    <w:rsid w:val="0078665A"/>
    <w:rsid w:val="00786FCC"/>
    <w:rsid w:val="00797357"/>
    <w:rsid w:val="007A1ADA"/>
    <w:rsid w:val="007A3E07"/>
    <w:rsid w:val="007A75A8"/>
    <w:rsid w:val="007B0526"/>
    <w:rsid w:val="007B269A"/>
    <w:rsid w:val="007B2BA9"/>
    <w:rsid w:val="007B48A8"/>
    <w:rsid w:val="007B4C9A"/>
    <w:rsid w:val="007B7F71"/>
    <w:rsid w:val="007C2061"/>
    <w:rsid w:val="007C224E"/>
    <w:rsid w:val="007C23DF"/>
    <w:rsid w:val="007C40BC"/>
    <w:rsid w:val="007C4612"/>
    <w:rsid w:val="007C531C"/>
    <w:rsid w:val="007C6776"/>
    <w:rsid w:val="007D402F"/>
    <w:rsid w:val="007D5453"/>
    <w:rsid w:val="007D556D"/>
    <w:rsid w:val="007D601B"/>
    <w:rsid w:val="007D6313"/>
    <w:rsid w:val="007D6D1A"/>
    <w:rsid w:val="007D7A71"/>
    <w:rsid w:val="007E03D3"/>
    <w:rsid w:val="007E0CA0"/>
    <w:rsid w:val="007E16CF"/>
    <w:rsid w:val="007E2DC5"/>
    <w:rsid w:val="007E30E7"/>
    <w:rsid w:val="007E346B"/>
    <w:rsid w:val="007E3800"/>
    <w:rsid w:val="007E3ADE"/>
    <w:rsid w:val="007E4D13"/>
    <w:rsid w:val="007E5507"/>
    <w:rsid w:val="007E607C"/>
    <w:rsid w:val="007E6984"/>
    <w:rsid w:val="007F0F86"/>
    <w:rsid w:val="007F4290"/>
    <w:rsid w:val="007F777F"/>
    <w:rsid w:val="008003B6"/>
    <w:rsid w:val="00800AD4"/>
    <w:rsid w:val="00805125"/>
    <w:rsid w:val="00805258"/>
    <w:rsid w:val="008062DE"/>
    <w:rsid w:val="0081385D"/>
    <w:rsid w:val="008148DF"/>
    <w:rsid w:val="008155EE"/>
    <w:rsid w:val="008177CF"/>
    <w:rsid w:val="008255AB"/>
    <w:rsid w:val="0082719B"/>
    <w:rsid w:val="008327E4"/>
    <w:rsid w:val="008342BA"/>
    <w:rsid w:val="00834484"/>
    <w:rsid w:val="00834CE1"/>
    <w:rsid w:val="0084032D"/>
    <w:rsid w:val="008412B5"/>
    <w:rsid w:val="00842CD8"/>
    <w:rsid w:val="00846399"/>
    <w:rsid w:val="00847F07"/>
    <w:rsid w:val="008504B5"/>
    <w:rsid w:val="0085256A"/>
    <w:rsid w:val="008549D1"/>
    <w:rsid w:val="00854C8A"/>
    <w:rsid w:val="00855FEC"/>
    <w:rsid w:val="00856939"/>
    <w:rsid w:val="0086042C"/>
    <w:rsid w:val="00860492"/>
    <w:rsid w:val="00862696"/>
    <w:rsid w:val="00863E99"/>
    <w:rsid w:val="00864612"/>
    <w:rsid w:val="008734AF"/>
    <w:rsid w:val="00873890"/>
    <w:rsid w:val="00876BB7"/>
    <w:rsid w:val="00877138"/>
    <w:rsid w:val="00877D02"/>
    <w:rsid w:val="00880F80"/>
    <w:rsid w:val="008840A4"/>
    <w:rsid w:val="00884478"/>
    <w:rsid w:val="0088568C"/>
    <w:rsid w:val="008863D8"/>
    <w:rsid w:val="008911FE"/>
    <w:rsid w:val="00892FB2"/>
    <w:rsid w:val="00896183"/>
    <w:rsid w:val="008A0CD1"/>
    <w:rsid w:val="008A1560"/>
    <w:rsid w:val="008A23AC"/>
    <w:rsid w:val="008A2C49"/>
    <w:rsid w:val="008A2CED"/>
    <w:rsid w:val="008A3B7A"/>
    <w:rsid w:val="008A5CDA"/>
    <w:rsid w:val="008A6F33"/>
    <w:rsid w:val="008A75F7"/>
    <w:rsid w:val="008B1985"/>
    <w:rsid w:val="008B1BC9"/>
    <w:rsid w:val="008B3409"/>
    <w:rsid w:val="008B626E"/>
    <w:rsid w:val="008B6ABC"/>
    <w:rsid w:val="008B7182"/>
    <w:rsid w:val="008B74AF"/>
    <w:rsid w:val="008B7D87"/>
    <w:rsid w:val="008C02E1"/>
    <w:rsid w:val="008C23D1"/>
    <w:rsid w:val="008C5115"/>
    <w:rsid w:val="008C7FAA"/>
    <w:rsid w:val="008D0CA2"/>
    <w:rsid w:val="008D26BB"/>
    <w:rsid w:val="008D2BB5"/>
    <w:rsid w:val="008D2D88"/>
    <w:rsid w:val="008D4966"/>
    <w:rsid w:val="008D4CD4"/>
    <w:rsid w:val="008D7188"/>
    <w:rsid w:val="008D73C0"/>
    <w:rsid w:val="008D77B6"/>
    <w:rsid w:val="008E0997"/>
    <w:rsid w:val="008E29BE"/>
    <w:rsid w:val="008E3038"/>
    <w:rsid w:val="008E401C"/>
    <w:rsid w:val="008E40D0"/>
    <w:rsid w:val="008E41E5"/>
    <w:rsid w:val="008E5755"/>
    <w:rsid w:val="008E6864"/>
    <w:rsid w:val="008F0180"/>
    <w:rsid w:val="008F1B11"/>
    <w:rsid w:val="008F2961"/>
    <w:rsid w:val="008F2C15"/>
    <w:rsid w:val="008F39C1"/>
    <w:rsid w:val="008F52CD"/>
    <w:rsid w:val="008F622D"/>
    <w:rsid w:val="008F7A1B"/>
    <w:rsid w:val="00901DFE"/>
    <w:rsid w:val="009032B3"/>
    <w:rsid w:val="00904741"/>
    <w:rsid w:val="009048EC"/>
    <w:rsid w:val="00905090"/>
    <w:rsid w:val="009056CA"/>
    <w:rsid w:val="00906113"/>
    <w:rsid w:val="009115A4"/>
    <w:rsid w:val="009118F6"/>
    <w:rsid w:val="00912172"/>
    <w:rsid w:val="00912FF1"/>
    <w:rsid w:val="0091372A"/>
    <w:rsid w:val="009147AF"/>
    <w:rsid w:val="00915428"/>
    <w:rsid w:val="0091600C"/>
    <w:rsid w:val="00916BB3"/>
    <w:rsid w:val="00917E42"/>
    <w:rsid w:val="009216DB"/>
    <w:rsid w:val="0092172F"/>
    <w:rsid w:val="00922220"/>
    <w:rsid w:val="0092324C"/>
    <w:rsid w:val="00927B30"/>
    <w:rsid w:val="00930A75"/>
    <w:rsid w:val="009363AE"/>
    <w:rsid w:val="00937F1A"/>
    <w:rsid w:val="00942DB5"/>
    <w:rsid w:val="009442D5"/>
    <w:rsid w:val="0094581C"/>
    <w:rsid w:val="00945D34"/>
    <w:rsid w:val="0095202C"/>
    <w:rsid w:val="00952906"/>
    <w:rsid w:val="009541E9"/>
    <w:rsid w:val="00954338"/>
    <w:rsid w:val="00954FC4"/>
    <w:rsid w:val="009552F5"/>
    <w:rsid w:val="00955A6B"/>
    <w:rsid w:val="00956190"/>
    <w:rsid w:val="009574C2"/>
    <w:rsid w:val="0096159D"/>
    <w:rsid w:val="00963262"/>
    <w:rsid w:val="00963D09"/>
    <w:rsid w:val="00965612"/>
    <w:rsid w:val="00967606"/>
    <w:rsid w:val="00967DBF"/>
    <w:rsid w:val="00970AE1"/>
    <w:rsid w:val="00972965"/>
    <w:rsid w:val="009740BC"/>
    <w:rsid w:val="009748A1"/>
    <w:rsid w:val="00980F3B"/>
    <w:rsid w:val="00983211"/>
    <w:rsid w:val="00983990"/>
    <w:rsid w:val="00993136"/>
    <w:rsid w:val="00994233"/>
    <w:rsid w:val="00997712"/>
    <w:rsid w:val="009A0733"/>
    <w:rsid w:val="009A20F6"/>
    <w:rsid w:val="009A24FC"/>
    <w:rsid w:val="009A3617"/>
    <w:rsid w:val="009A40AF"/>
    <w:rsid w:val="009A6261"/>
    <w:rsid w:val="009B08CA"/>
    <w:rsid w:val="009B0E3B"/>
    <w:rsid w:val="009B1613"/>
    <w:rsid w:val="009B18AE"/>
    <w:rsid w:val="009B19DA"/>
    <w:rsid w:val="009B2883"/>
    <w:rsid w:val="009B3707"/>
    <w:rsid w:val="009B4973"/>
    <w:rsid w:val="009B507B"/>
    <w:rsid w:val="009B57C7"/>
    <w:rsid w:val="009B5F70"/>
    <w:rsid w:val="009C0443"/>
    <w:rsid w:val="009C0A9C"/>
    <w:rsid w:val="009C11D0"/>
    <w:rsid w:val="009C32FE"/>
    <w:rsid w:val="009C67BD"/>
    <w:rsid w:val="009D2327"/>
    <w:rsid w:val="009D3AFE"/>
    <w:rsid w:val="009D4929"/>
    <w:rsid w:val="009D6B40"/>
    <w:rsid w:val="009D78EE"/>
    <w:rsid w:val="009D7916"/>
    <w:rsid w:val="009D7B6F"/>
    <w:rsid w:val="009E3A78"/>
    <w:rsid w:val="009E3A7B"/>
    <w:rsid w:val="009E73DF"/>
    <w:rsid w:val="009F0008"/>
    <w:rsid w:val="009F04D0"/>
    <w:rsid w:val="009F0AB3"/>
    <w:rsid w:val="009F4234"/>
    <w:rsid w:val="009F5523"/>
    <w:rsid w:val="009F59C0"/>
    <w:rsid w:val="009F5BC1"/>
    <w:rsid w:val="009F63EA"/>
    <w:rsid w:val="00A056CA"/>
    <w:rsid w:val="00A06D7E"/>
    <w:rsid w:val="00A13B06"/>
    <w:rsid w:val="00A154A2"/>
    <w:rsid w:val="00A15715"/>
    <w:rsid w:val="00A161CD"/>
    <w:rsid w:val="00A162FE"/>
    <w:rsid w:val="00A166DD"/>
    <w:rsid w:val="00A203CA"/>
    <w:rsid w:val="00A212C7"/>
    <w:rsid w:val="00A21A5A"/>
    <w:rsid w:val="00A23A7C"/>
    <w:rsid w:val="00A254F9"/>
    <w:rsid w:val="00A2679B"/>
    <w:rsid w:val="00A32AF3"/>
    <w:rsid w:val="00A35D8A"/>
    <w:rsid w:val="00A36363"/>
    <w:rsid w:val="00A3657C"/>
    <w:rsid w:val="00A37C07"/>
    <w:rsid w:val="00A41664"/>
    <w:rsid w:val="00A41994"/>
    <w:rsid w:val="00A42A8A"/>
    <w:rsid w:val="00A43D4F"/>
    <w:rsid w:val="00A444FF"/>
    <w:rsid w:val="00A44FB7"/>
    <w:rsid w:val="00A45E8C"/>
    <w:rsid w:val="00A505D2"/>
    <w:rsid w:val="00A52726"/>
    <w:rsid w:val="00A53C99"/>
    <w:rsid w:val="00A54683"/>
    <w:rsid w:val="00A56121"/>
    <w:rsid w:val="00A57616"/>
    <w:rsid w:val="00A60808"/>
    <w:rsid w:val="00A62135"/>
    <w:rsid w:val="00A6545F"/>
    <w:rsid w:val="00A6686B"/>
    <w:rsid w:val="00A66E5F"/>
    <w:rsid w:val="00A677CB"/>
    <w:rsid w:val="00A67DA6"/>
    <w:rsid w:val="00A72EC2"/>
    <w:rsid w:val="00A742A7"/>
    <w:rsid w:val="00A7435D"/>
    <w:rsid w:val="00A76E72"/>
    <w:rsid w:val="00A77805"/>
    <w:rsid w:val="00A80F70"/>
    <w:rsid w:val="00A83266"/>
    <w:rsid w:val="00A834FC"/>
    <w:rsid w:val="00A845DE"/>
    <w:rsid w:val="00A873A5"/>
    <w:rsid w:val="00A87530"/>
    <w:rsid w:val="00A924E4"/>
    <w:rsid w:val="00AA1561"/>
    <w:rsid w:val="00AA421E"/>
    <w:rsid w:val="00AA427E"/>
    <w:rsid w:val="00AA5077"/>
    <w:rsid w:val="00AA5550"/>
    <w:rsid w:val="00AA735C"/>
    <w:rsid w:val="00AA7CE9"/>
    <w:rsid w:val="00AB43D5"/>
    <w:rsid w:val="00AB7AF2"/>
    <w:rsid w:val="00AC1745"/>
    <w:rsid w:val="00AC3FC5"/>
    <w:rsid w:val="00AC42AC"/>
    <w:rsid w:val="00AC4F22"/>
    <w:rsid w:val="00AC5743"/>
    <w:rsid w:val="00AC5A10"/>
    <w:rsid w:val="00AD18CF"/>
    <w:rsid w:val="00AD3504"/>
    <w:rsid w:val="00AD3B62"/>
    <w:rsid w:val="00AE4171"/>
    <w:rsid w:val="00AE4A17"/>
    <w:rsid w:val="00AE6ABD"/>
    <w:rsid w:val="00AE6DBE"/>
    <w:rsid w:val="00AE75DA"/>
    <w:rsid w:val="00AF6733"/>
    <w:rsid w:val="00AF73D1"/>
    <w:rsid w:val="00AF7784"/>
    <w:rsid w:val="00B00F85"/>
    <w:rsid w:val="00B01410"/>
    <w:rsid w:val="00B037AF"/>
    <w:rsid w:val="00B0398D"/>
    <w:rsid w:val="00B06585"/>
    <w:rsid w:val="00B10000"/>
    <w:rsid w:val="00B140AE"/>
    <w:rsid w:val="00B167E7"/>
    <w:rsid w:val="00B1762A"/>
    <w:rsid w:val="00B21FBC"/>
    <w:rsid w:val="00B2235E"/>
    <w:rsid w:val="00B24C73"/>
    <w:rsid w:val="00B24D62"/>
    <w:rsid w:val="00B27A21"/>
    <w:rsid w:val="00B30F0A"/>
    <w:rsid w:val="00B3180C"/>
    <w:rsid w:val="00B3322C"/>
    <w:rsid w:val="00B33A56"/>
    <w:rsid w:val="00B33A94"/>
    <w:rsid w:val="00B33B4E"/>
    <w:rsid w:val="00B35046"/>
    <w:rsid w:val="00B36302"/>
    <w:rsid w:val="00B36F04"/>
    <w:rsid w:val="00B37489"/>
    <w:rsid w:val="00B43BA8"/>
    <w:rsid w:val="00B465C2"/>
    <w:rsid w:val="00B47874"/>
    <w:rsid w:val="00B53586"/>
    <w:rsid w:val="00B54726"/>
    <w:rsid w:val="00B62B2E"/>
    <w:rsid w:val="00B6368B"/>
    <w:rsid w:val="00B63AC6"/>
    <w:rsid w:val="00B6694F"/>
    <w:rsid w:val="00B67691"/>
    <w:rsid w:val="00B7120A"/>
    <w:rsid w:val="00B71AB2"/>
    <w:rsid w:val="00B774CB"/>
    <w:rsid w:val="00B802A9"/>
    <w:rsid w:val="00B80409"/>
    <w:rsid w:val="00B81719"/>
    <w:rsid w:val="00B821A9"/>
    <w:rsid w:val="00B82AC0"/>
    <w:rsid w:val="00B834DB"/>
    <w:rsid w:val="00B85CE9"/>
    <w:rsid w:val="00B864EF"/>
    <w:rsid w:val="00B901CC"/>
    <w:rsid w:val="00B93424"/>
    <w:rsid w:val="00B9464F"/>
    <w:rsid w:val="00B954B9"/>
    <w:rsid w:val="00B96B05"/>
    <w:rsid w:val="00BA01FF"/>
    <w:rsid w:val="00BA2D5C"/>
    <w:rsid w:val="00BA67CE"/>
    <w:rsid w:val="00BA6A91"/>
    <w:rsid w:val="00BA6F16"/>
    <w:rsid w:val="00BB38E2"/>
    <w:rsid w:val="00BB450E"/>
    <w:rsid w:val="00BB461D"/>
    <w:rsid w:val="00BB5CDC"/>
    <w:rsid w:val="00BB5D53"/>
    <w:rsid w:val="00BB7555"/>
    <w:rsid w:val="00BC0685"/>
    <w:rsid w:val="00BC4B17"/>
    <w:rsid w:val="00BC62A9"/>
    <w:rsid w:val="00BC6F9C"/>
    <w:rsid w:val="00BD0930"/>
    <w:rsid w:val="00BD10D8"/>
    <w:rsid w:val="00BD16DC"/>
    <w:rsid w:val="00BD391E"/>
    <w:rsid w:val="00BD577A"/>
    <w:rsid w:val="00BD5871"/>
    <w:rsid w:val="00BD72B6"/>
    <w:rsid w:val="00BD7E19"/>
    <w:rsid w:val="00BE087A"/>
    <w:rsid w:val="00BE2C01"/>
    <w:rsid w:val="00BE2D15"/>
    <w:rsid w:val="00BE3214"/>
    <w:rsid w:val="00BE4D64"/>
    <w:rsid w:val="00BE6CD5"/>
    <w:rsid w:val="00BE6F0C"/>
    <w:rsid w:val="00BF0C28"/>
    <w:rsid w:val="00BF20D2"/>
    <w:rsid w:val="00BF4167"/>
    <w:rsid w:val="00BF49D1"/>
    <w:rsid w:val="00C02FF7"/>
    <w:rsid w:val="00C04483"/>
    <w:rsid w:val="00C048C2"/>
    <w:rsid w:val="00C04D07"/>
    <w:rsid w:val="00C13400"/>
    <w:rsid w:val="00C163AE"/>
    <w:rsid w:val="00C1727C"/>
    <w:rsid w:val="00C202CD"/>
    <w:rsid w:val="00C209B8"/>
    <w:rsid w:val="00C22C7C"/>
    <w:rsid w:val="00C23887"/>
    <w:rsid w:val="00C23EBA"/>
    <w:rsid w:val="00C24B8C"/>
    <w:rsid w:val="00C30031"/>
    <w:rsid w:val="00C342FD"/>
    <w:rsid w:val="00C3467D"/>
    <w:rsid w:val="00C349A4"/>
    <w:rsid w:val="00C35DE8"/>
    <w:rsid w:val="00C36DFE"/>
    <w:rsid w:val="00C374F2"/>
    <w:rsid w:val="00C37F7B"/>
    <w:rsid w:val="00C40B7E"/>
    <w:rsid w:val="00C40E9C"/>
    <w:rsid w:val="00C411E5"/>
    <w:rsid w:val="00C41ED1"/>
    <w:rsid w:val="00C42CE9"/>
    <w:rsid w:val="00C449F6"/>
    <w:rsid w:val="00C45F3C"/>
    <w:rsid w:val="00C470EA"/>
    <w:rsid w:val="00C4714D"/>
    <w:rsid w:val="00C47A55"/>
    <w:rsid w:val="00C47A8C"/>
    <w:rsid w:val="00C50AB2"/>
    <w:rsid w:val="00C52B69"/>
    <w:rsid w:val="00C55441"/>
    <w:rsid w:val="00C572E9"/>
    <w:rsid w:val="00C60F63"/>
    <w:rsid w:val="00C60F6F"/>
    <w:rsid w:val="00C627EE"/>
    <w:rsid w:val="00C62ABC"/>
    <w:rsid w:val="00C6467D"/>
    <w:rsid w:val="00C7205C"/>
    <w:rsid w:val="00C74913"/>
    <w:rsid w:val="00C806CE"/>
    <w:rsid w:val="00C86862"/>
    <w:rsid w:val="00C86AC8"/>
    <w:rsid w:val="00C874F7"/>
    <w:rsid w:val="00C87510"/>
    <w:rsid w:val="00C8768D"/>
    <w:rsid w:val="00C879EB"/>
    <w:rsid w:val="00C90F36"/>
    <w:rsid w:val="00C94C01"/>
    <w:rsid w:val="00C9545B"/>
    <w:rsid w:val="00C95E13"/>
    <w:rsid w:val="00C97CE8"/>
    <w:rsid w:val="00CA0180"/>
    <w:rsid w:val="00CA080F"/>
    <w:rsid w:val="00CA0BC4"/>
    <w:rsid w:val="00CA1DE9"/>
    <w:rsid w:val="00CA2D09"/>
    <w:rsid w:val="00CA44B3"/>
    <w:rsid w:val="00CA6F9B"/>
    <w:rsid w:val="00CA7B06"/>
    <w:rsid w:val="00CB1148"/>
    <w:rsid w:val="00CB122D"/>
    <w:rsid w:val="00CB16EB"/>
    <w:rsid w:val="00CB1BC1"/>
    <w:rsid w:val="00CB222E"/>
    <w:rsid w:val="00CB31AB"/>
    <w:rsid w:val="00CB335B"/>
    <w:rsid w:val="00CB4014"/>
    <w:rsid w:val="00CB45F2"/>
    <w:rsid w:val="00CB4A78"/>
    <w:rsid w:val="00CB63E7"/>
    <w:rsid w:val="00CC0557"/>
    <w:rsid w:val="00CC2902"/>
    <w:rsid w:val="00CC3F9C"/>
    <w:rsid w:val="00CC47E8"/>
    <w:rsid w:val="00CD30CB"/>
    <w:rsid w:val="00CD43C1"/>
    <w:rsid w:val="00CD61CA"/>
    <w:rsid w:val="00CD7C89"/>
    <w:rsid w:val="00CE01AE"/>
    <w:rsid w:val="00CE0DC1"/>
    <w:rsid w:val="00CE3A4A"/>
    <w:rsid w:val="00CE7095"/>
    <w:rsid w:val="00CF1497"/>
    <w:rsid w:val="00CF2615"/>
    <w:rsid w:val="00CF2DF0"/>
    <w:rsid w:val="00CF76E8"/>
    <w:rsid w:val="00D000F8"/>
    <w:rsid w:val="00D052E9"/>
    <w:rsid w:val="00D054C6"/>
    <w:rsid w:val="00D05CB1"/>
    <w:rsid w:val="00D06160"/>
    <w:rsid w:val="00D06827"/>
    <w:rsid w:val="00D110F3"/>
    <w:rsid w:val="00D15231"/>
    <w:rsid w:val="00D17A47"/>
    <w:rsid w:val="00D17DA9"/>
    <w:rsid w:val="00D202CC"/>
    <w:rsid w:val="00D20515"/>
    <w:rsid w:val="00D27F88"/>
    <w:rsid w:val="00D3068D"/>
    <w:rsid w:val="00D34F1B"/>
    <w:rsid w:val="00D3632C"/>
    <w:rsid w:val="00D40281"/>
    <w:rsid w:val="00D42D8C"/>
    <w:rsid w:val="00D4319D"/>
    <w:rsid w:val="00D43478"/>
    <w:rsid w:val="00D46574"/>
    <w:rsid w:val="00D4777D"/>
    <w:rsid w:val="00D50513"/>
    <w:rsid w:val="00D506B1"/>
    <w:rsid w:val="00D511F2"/>
    <w:rsid w:val="00D541DF"/>
    <w:rsid w:val="00D555E5"/>
    <w:rsid w:val="00D61D43"/>
    <w:rsid w:val="00D62785"/>
    <w:rsid w:val="00D64055"/>
    <w:rsid w:val="00D65590"/>
    <w:rsid w:val="00D6583D"/>
    <w:rsid w:val="00D65C5B"/>
    <w:rsid w:val="00D66F57"/>
    <w:rsid w:val="00D671D5"/>
    <w:rsid w:val="00D70DC7"/>
    <w:rsid w:val="00D718F8"/>
    <w:rsid w:val="00D72A21"/>
    <w:rsid w:val="00D734FD"/>
    <w:rsid w:val="00D74AA8"/>
    <w:rsid w:val="00D74EB1"/>
    <w:rsid w:val="00D7627F"/>
    <w:rsid w:val="00D81854"/>
    <w:rsid w:val="00D82286"/>
    <w:rsid w:val="00D834CD"/>
    <w:rsid w:val="00D84D48"/>
    <w:rsid w:val="00D85186"/>
    <w:rsid w:val="00D92320"/>
    <w:rsid w:val="00D936E2"/>
    <w:rsid w:val="00D94753"/>
    <w:rsid w:val="00D94B8F"/>
    <w:rsid w:val="00D95EC8"/>
    <w:rsid w:val="00DA0029"/>
    <w:rsid w:val="00DA2762"/>
    <w:rsid w:val="00DA286B"/>
    <w:rsid w:val="00DA547F"/>
    <w:rsid w:val="00DA56E0"/>
    <w:rsid w:val="00DB0CF0"/>
    <w:rsid w:val="00DB0D85"/>
    <w:rsid w:val="00DB0F86"/>
    <w:rsid w:val="00DB2757"/>
    <w:rsid w:val="00DB496D"/>
    <w:rsid w:val="00DB4C05"/>
    <w:rsid w:val="00DB69CC"/>
    <w:rsid w:val="00DB7D1B"/>
    <w:rsid w:val="00DC36A1"/>
    <w:rsid w:val="00DC64F5"/>
    <w:rsid w:val="00DD0781"/>
    <w:rsid w:val="00DD0E5B"/>
    <w:rsid w:val="00DD17DA"/>
    <w:rsid w:val="00DD4E34"/>
    <w:rsid w:val="00DD5E87"/>
    <w:rsid w:val="00DE5267"/>
    <w:rsid w:val="00DE55C4"/>
    <w:rsid w:val="00DE67B2"/>
    <w:rsid w:val="00DE7145"/>
    <w:rsid w:val="00DE7565"/>
    <w:rsid w:val="00DF0896"/>
    <w:rsid w:val="00DF122A"/>
    <w:rsid w:val="00DF58E9"/>
    <w:rsid w:val="00DF73D4"/>
    <w:rsid w:val="00E000D3"/>
    <w:rsid w:val="00E00DD3"/>
    <w:rsid w:val="00E00EFE"/>
    <w:rsid w:val="00E01D70"/>
    <w:rsid w:val="00E027FB"/>
    <w:rsid w:val="00E02B7C"/>
    <w:rsid w:val="00E03A94"/>
    <w:rsid w:val="00E0408E"/>
    <w:rsid w:val="00E063DA"/>
    <w:rsid w:val="00E066F2"/>
    <w:rsid w:val="00E1126A"/>
    <w:rsid w:val="00E12FA2"/>
    <w:rsid w:val="00E179BB"/>
    <w:rsid w:val="00E204CD"/>
    <w:rsid w:val="00E21164"/>
    <w:rsid w:val="00E2143C"/>
    <w:rsid w:val="00E22D2D"/>
    <w:rsid w:val="00E22E9F"/>
    <w:rsid w:val="00E24567"/>
    <w:rsid w:val="00E2543B"/>
    <w:rsid w:val="00E266FF"/>
    <w:rsid w:val="00E26D04"/>
    <w:rsid w:val="00E26F2A"/>
    <w:rsid w:val="00E32F50"/>
    <w:rsid w:val="00E34731"/>
    <w:rsid w:val="00E35D2B"/>
    <w:rsid w:val="00E367B7"/>
    <w:rsid w:val="00E36993"/>
    <w:rsid w:val="00E40189"/>
    <w:rsid w:val="00E43103"/>
    <w:rsid w:val="00E440CB"/>
    <w:rsid w:val="00E44E6D"/>
    <w:rsid w:val="00E507C4"/>
    <w:rsid w:val="00E5085C"/>
    <w:rsid w:val="00E51C7C"/>
    <w:rsid w:val="00E52315"/>
    <w:rsid w:val="00E52908"/>
    <w:rsid w:val="00E53375"/>
    <w:rsid w:val="00E534CE"/>
    <w:rsid w:val="00E53FD1"/>
    <w:rsid w:val="00E55457"/>
    <w:rsid w:val="00E55D6F"/>
    <w:rsid w:val="00E560F3"/>
    <w:rsid w:val="00E56225"/>
    <w:rsid w:val="00E603DA"/>
    <w:rsid w:val="00E61406"/>
    <w:rsid w:val="00E618DE"/>
    <w:rsid w:val="00E61DC7"/>
    <w:rsid w:val="00E61E14"/>
    <w:rsid w:val="00E62088"/>
    <w:rsid w:val="00E626CE"/>
    <w:rsid w:val="00E6416C"/>
    <w:rsid w:val="00E64E19"/>
    <w:rsid w:val="00E64F61"/>
    <w:rsid w:val="00E675D6"/>
    <w:rsid w:val="00E7088E"/>
    <w:rsid w:val="00E71CAE"/>
    <w:rsid w:val="00E72898"/>
    <w:rsid w:val="00E7350C"/>
    <w:rsid w:val="00E74790"/>
    <w:rsid w:val="00E81D40"/>
    <w:rsid w:val="00E84629"/>
    <w:rsid w:val="00E84CA9"/>
    <w:rsid w:val="00E86700"/>
    <w:rsid w:val="00E86859"/>
    <w:rsid w:val="00E86F9C"/>
    <w:rsid w:val="00E9276D"/>
    <w:rsid w:val="00E92947"/>
    <w:rsid w:val="00E978CD"/>
    <w:rsid w:val="00E97FCC"/>
    <w:rsid w:val="00EA0BAA"/>
    <w:rsid w:val="00EA434E"/>
    <w:rsid w:val="00EA5560"/>
    <w:rsid w:val="00EA68E0"/>
    <w:rsid w:val="00EA71FE"/>
    <w:rsid w:val="00EA74CF"/>
    <w:rsid w:val="00EB3516"/>
    <w:rsid w:val="00EB505F"/>
    <w:rsid w:val="00EB77A9"/>
    <w:rsid w:val="00EC3F72"/>
    <w:rsid w:val="00EC528D"/>
    <w:rsid w:val="00EC5325"/>
    <w:rsid w:val="00EC5A59"/>
    <w:rsid w:val="00EC7745"/>
    <w:rsid w:val="00EC7A20"/>
    <w:rsid w:val="00ED2B76"/>
    <w:rsid w:val="00ED2C45"/>
    <w:rsid w:val="00ED343C"/>
    <w:rsid w:val="00ED5130"/>
    <w:rsid w:val="00ED792D"/>
    <w:rsid w:val="00ED7FCF"/>
    <w:rsid w:val="00EE0093"/>
    <w:rsid w:val="00EE0682"/>
    <w:rsid w:val="00EE0B93"/>
    <w:rsid w:val="00EE25DB"/>
    <w:rsid w:val="00EE366B"/>
    <w:rsid w:val="00EE51E7"/>
    <w:rsid w:val="00EE545E"/>
    <w:rsid w:val="00EE70D1"/>
    <w:rsid w:val="00EF0C15"/>
    <w:rsid w:val="00EF0D70"/>
    <w:rsid w:val="00EF140E"/>
    <w:rsid w:val="00EF171E"/>
    <w:rsid w:val="00EF1F23"/>
    <w:rsid w:val="00EF3207"/>
    <w:rsid w:val="00EF6E5C"/>
    <w:rsid w:val="00F00011"/>
    <w:rsid w:val="00F00ED7"/>
    <w:rsid w:val="00F02AAE"/>
    <w:rsid w:val="00F0312B"/>
    <w:rsid w:val="00F04368"/>
    <w:rsid w:val="00F05498"/>
    <w:rsid w:val="00F07D8D"/>
    <w:rsid w:val="00F10BBD"/>
    <w:rsid w:val="00F110A0"/>
    <w:rsid w:val="00F11123"/>
    <w:rsid w:val="00F13ED7"/>
    <w:rsid w:val="00F153D5"/>
    <w:rsid w:val="00F16449"/>
    <w:rsid w:val="00F215AD"/>
    <w:rsid w:val="00F218DD"/>
    <w:rsid w:val="00F30632"/>
    <w:rsid w:val="00F30E8D"/>
    <w:rsid w:val="00F31624"/>
    <w:rsid w:val="00F35D40"/>
    <w:rsid w:val="00F3606A"/>
    <w:rsid w:val="00F361BE"/>
    <w:rsid w:val="00F36E3A"/>
    <w:rsid w:val="00F42AF0"/>
    <w:rsid w:val="00F4631A"/>
    <w:rsid w:val="00F5045F"/>
    <w:rsid w:val="00F51FF0"/>
    <w:rsid w:val="00F536A4"/>
    <w:rsid w:val="00F53BFA"/>
    <w:rsid w:val="00F55033"/>
    <w:rsid w:val="00F559B1"/>
    <w:rsid w:val="00F5717F"/>
    <w:rsid w:val="00F57D4F"/>
    <w:rsid w:val="00F60041"/>
    <w:rsid w:val="00F66A4F"/>
    <w:rsid w:val="00F66F82"/>
    <w:rsid w:val="00F67F4E"/>
    <w:rsid w:val="00F71A0A"/>
    <w:rsid w:val="00F7391D"/>
    <w:rsid w:val="00F73B44"/>
    <w:rsid w:val="00F76814"/>
    <w:rsid w:val="00F76BDD"/>
    <w:rsid w:val="00F82FDB"/>
    <w:rsid w:val="00F831EA"/>
    <w:rsid w:val="00F9290D"/>
    <w:rsid w:val="00F93A2D"/>
    <w:rsid w:val="00F93FBA"/>
    <w:rsid w:val="00F96854"/>
    <w:rsid w:val="00F97FCA"/>
    <w:rsid w:val="00FA1002"/>
    <w:rsid w:val="00FA1E05"/>
    <w:rsid w:val="00FA1EFB"/>
    <w:rsid w:val="00FB0667"/>
    <w:rsid w:val="00FB39E5"/>
    <w:rsid w:val="00FB6619"/>
    <w:rsid w:val="00FC0FA2"/>
    <w:rsid w:val="00FC199A"/>
    <w:rsid w:val="00FC2404"/>
    <w:rsid w:val="00FC2845"/>
    <w:rsid w:val="00FC33F0"/>
    <w:rsid w:val="00FC4753"/>
    <w:rsid w:val="00FC4B8D"/>
    <w:rsid w:val="00FC5668"/>
    <w:rsid w:val="00FC5C93"/>
    <w:rsid w:val="00FC5D84"/>
    <w:rsid w:val="00FC6E5F"/>
    <w:rsid w:val="00FD030A"/>
    <w:rsid w:val="00FD528C"/>
    <w:rsid w:val="00FD597D"/>
    <w:rsid w:val="00FE0672"/>
    <w:rsid w:val="00FE4D52"/>
    <w:rsid w:val="00FF042E"/>
    <w:rsid w:val="00FF074C"/>
    <w:rsid w:val="00FF1B2A"/>
    <w:rsid w:val="00FF1F58"/>
    <w:rsid w:val="00FF2A99"/>
    <w:rsid w:val="00FF2ADD"/>
    <w:rsid w:val="00FF3582"/>
    <w:rsid w:val="00FF40FC"/>
    <w:rsid w:val="00FF4DA5"/>
    <w:rsid w:val="00FF4FB8"/>
    <w:rsid w:val="00FF50B9"/>
    <w:rsid w:val="00FF6917"/>
    <w:rsid w:val="00FF77E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147"/>
    <w:pPr>
      <w:widowControl w:val="0"/>
      <w:jc w:val="both"/>
    </w:pPr>
  </w:style>
  <w:style w:type="paragraph" w:styleId="Heading1">
    <w:name w:val="heading 1"/>
    <w:aliases w:val="小标题"/>
    <w:basedOn w:val="Normal"/>
    <w:next w:val="Normal"/>
    <w:link w:val="Heading1Char"/>
    <w:autoRedefine/>
    <w:uiPriority w:val="99"/>
    <w:qFormat/>
    <w:rsid w:val="00A21A5A"/>
    <w:pPr>
      <w:keepNext/>
      <w:keepLines/>
      <w:widowControl/>
      <w:numPr>
        <w:numId w:val="6"/>
      </w:numPr>
      <w:spacing w:before="100" w:beforeAutospacing="1" w:afterLines="50"/>
      <w:ind w:leftChars="1200" w:left="1200"/>
      <w:outlineLvl w:val="0"/>
    </w:pPr>
    <w:rPr>
      <w:rFonts w:eastAsia="华文楷体"/>
      <w:b/>
      <w:bCs/>
      <w:kern w:val="44"/>
      <w:sz w:val="28"/>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小标题 Char"/>
    <w:basedOn w:val="DefaultParagraphFont"/>
    <w:link w:val="Heading1"/>
    <w:uiPriority w:val="99"/>
    <w:locked/>
    <w:rsid w:val="00A21A5A"/>
    <w:rPr>
      <w:rFonts w:ascii="Calibri" w:eastAsia="华文楷体" w:hAnsi="Calibri" w:cs="Times New Roman"/>
      <w:b/>
      <w:bCs/>
      <w:kern w:val="44"/>
      <w:sz w:val="44"/>
      <w:szCs w:val="44"/>
    </w:rPr>
  </w:style>
  <w:style w:type="paragraph" w:styleId="Header">
    <w:name w:val="header"/>
    <w:basedOn w:val="Normal"/>
    <w:link w:val="HeaderChar"/>
    <w:uiPriority w:val="99"/>
    <w:rsid w:val="00B1000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B10000"/>
    <w:rPr>
      <w:rFonts w:cs="Times New Roman"/>
      <w:sz w:val="18"/>
      <w:szCs w:val="18"/>
    </w:rPr>
  </w:style>
  <w:style w:type="paragraph" w:styleId="Footer">
    <w:name w:val="footer"/>
    <w:basedOn w:val="Normal"/>
    <w:link w:val="FooterChar"/>
    <w:uiPriority w:val="99"/>
    <w:rsid w:val="00B1000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10000"/>
    <w:rPr>
      <w:rFonts w:cs="Times New Roman"/>
      <w:sz w:val="18"/>
      <w:szCs w:val="18"/>
    </w:rPr>
  </w:style>
  <w:style w:type="paragraph" w:customStyle="1" w:styleId="a">
    <w:name w:val="页眉报告名称"/>
    <w:link w:val="Char"/>
    <w:autoRedefine/>
    <w:uiPriority w:val="99"/>
    <w:rsid w:val="00B10000"/>
    <w:pPr>
      <w:spacing w:afterLines="100" w:line="240" w:lineRule="exact"/>
      <w:jc w:val="both"/>
    </w:pPr>
    <w:rPr>
      <w:rFonts w:eastAsia="华文新魏"/>
      <w:sz w:val="24"/>
    </w:rPr>
  </w:style>
  <w:style w:type="character" w:customStyle="1" w:styleId="Char">
    <w:name w:val="页眉报告名称 Char"/>
    <w:basedOn w:val="DefaultParagraphFont"/>
    <w:link w:val="a"/>
    <w:uiPriority w:val="99"/>
    <w:locked/>
    <w:rsid w:val="00B10000"/>
    <w:rPr>
      <w:rFonts w:ascii="Calibri" w:eastAsia="华文新魏" w:hAnsi="Calibri" w:cs="Times New Roman"/>
      <w:kern w:val="2"/>
      <w:sz w:val="22"/>
      <w:szCs w:val="22"/>
      <w:lang w:val="en-US" w:eastAsia="zh-CN" w:bidi="ar-SA"/>
    </w:rPr>
  </w:style>
  <w:style w:type="paragraph" w:customStyle="1" w:styleId="a0">
    <w:name w:val="页眉图片"/>
    <w:basedOn w:val="Header"/>
    <w:link w:val="Char0"/>
    <w:uiPriority w:val="99"/>
    <w:rsid w:val="00B10000"/>
    <w:pPr>
      <w:pBdr>
        <w:bottom w:val="none" w:sz="0" w:space="0" w:color="auto"/>
      </w:pBdr>
      <w:tabs>
        <w:tab w:val="clear" w:pos="4153"/>
        <w:tab w:val="clear" w:pos="8306"/>
        <w:tab w:val="right" w:pos="11424"/>
      </w:tabs>
      <w:jc w:val="left"/>
    </w:pPr>
    <w:rPr>
      <w:noProof/>
    </w:rPr>
  </w:style>
  <w:style w:type="character" w:customStyle="1" w:styleId="Char0">
    <w:name w:val="页眉图片 Char"/>
    <w:basedOn w:val="HeaderChar"/>
    <w:link w:val="a0"/>
    <w:uiPriority w:val="99"/>
    <w:locked/>
    <w:rsid w:val="00B10000"/>
    <w:rPr>
      <w:rFonts w:ascii="Calibri" w:eastAsia="宋体" w:hAnsi="Calibri"/>
      <w:noProof/>
    </w:rPr>
  </w:style>
  <w:style w:type="paragraph" w:customStyle="1" w:styleId="a1">
    <w:name w:val="页眉处日期"/>
    <w:basedOn w:val="Normal"/>
    <w:link w:val="Char1"/>
    <w:uiPriority w:val="99"/>
    <w:rsid w:val="00B10000"/>
    <w:pPr>
      <w:tabs>
        <w:tab w:val="right" w:pos="11424"/>
      </w:tabs>
      <w:snapToGrid w:val="0"/>
      <w:jc w:val="left"/>
    </w:pPr>
    <w:rPr>
      <w:rFonts w:ascii="华文隶书" w:eastAsia="华文隶书"/>
      <w:b/>
      <w:sz w:val="24"/>
      <w:szCs w:val="24"/>
    </w:rPr>
  </w:style>
  <w:style w:type="paragraph" w:customStyle="1" w:styleId="a2">
    <w:name w:val="页眉副标题"/>
    <w:basedOn w:val="Normal"/>
    <w:link w:val="Char2"/>
    <w:uiPriority w:val="99"/>
    <w:rsid w:val="00B10000"/>
    <w:pPr>
      <w:tabs>
        <w:tab w:val="right" w:pos="11424"/>
      </w:tabs>
      <w:snapToGrid w:val="0"/>
      <w:jc w:val="left"/>
    </w:pPr>
    <w:rPr>
      <w:rFonts w:ascii="华文隶书" w:eastAsia="华文隶书"/>
      <w:sz w:val="36"/>
      <w:szCs w:val="36"/>
    </w:rPr>
  </w:style>
  <w:style w:type="character" w:customStyle="1" w:styleId="Char1">
    <w:name w:val="页眉处日期 Char"/>
    <w:basedOn w:val="DefaultParagraphFont"/>
    <w:link w:val="a1"/>
    <w:uiPriority w:val="99"/>
    <w:locked/>
    <w:rsid w:val="00B10000"/>
    <w:rPr>
      <w:rFonts w:ascii="华文隶书" w:eastAsia="华文隶书" w:hAnsi="Calibri" w:cs="Times New Roman"/>
      <w:b/>
      <w:sz w:val="24"/>
      <w:szCs w:val="24"/>
    </w:rPr>
  </w:style>
  <w:style w:type="character" w:customStyle="1" w:styleId="Char2">
    <w:name w:val="页眉副标题 Char"/>
    <w:basedOn w:val="DefaultParagraphFont"/>
    <w:link w:val="a2"/>
    <w:uiPriority w:val="99"/>
    <w:locked/>
    <w:rsid w:val="00B10000"/>
    <w:rPr>
      <w:rFonts w:ascii="华文隶书" w:eastAsia="华文隶书" w:hAnsi="Calibri" w:cs="Times New Roman"/>
      <w:sz w:val="36"/>
      <w:szCs w:val="36"/>
    </w:rPr>
  </w:style>
  <w:style w:type="paragraph" w:customStyle="1" w:styleId="a3">
    <w:name w:val="页眉的分析师"/>
    <w:basedOn w:val="Normal"/>
    <w:link w:val="Char3"/>
    <w:uiPriority w:val="99"/>
    <w:rsid w:val="00B10000"/>
    <w:pPr>
      <w:tabs>
        <w:tab w:val="right" w:pos="11424"/>
      </w:tabs>
      <w:snapToGrid w:val="0"/>
      <w:spacing w:line="240" w:lineRule="exact"/>
      <w:jc w:val="right"/>
    </w:pPr>
    <w:rPr>
      <w:rFonts w:ascii="华文新魏" w:eastAsia="华文新魏"/>
      <w:szCs w:val="21"/>
    </w:rPr>
  </w:style>
  <w:style w:type="character" w:customStyle="1" w:styleId="Char3">
    <w:name w:val="页眉的分析师 Char"/>
    <w:basedOn w:val="DefaultParagraphFont"/>
    <w:link w:val="a3"/>
    <w:uiPriority w:val="99"/>
    <w:locked/>
    <w:rsid w:val="00B10000"/>
    <w:rPr>
      <w:rFonts w:ascii="华文新魏" w:eastAsia="华文新魏" w:hAnsi="Calibri" w:cs="Times New Roman"/>
      <w:sz w:val="21"/>
      <w:szCs w:val="21"/>
    </w:rPr>
  </w:style>
  <w:style w:type="paragraph" w:customStyle="1" w:styleId="12">
    <w:name w:val="页眉12"/>
    <w:basedOn w:val="Header"/>
    <w:link w:val="12Char"/>
    <w:uiPriority w:val="99"/>
    <w:rsid w:val="00B10000"/>
    <w:pPr>
      <w:pBdr>
        <w:bottom w:val="none" w:sz="0" w:space="0" w:color="auto"/>
      </w:pBdr>
      <w:tabs>
        <w:tab w:val="clear" w:pos="4153"/>
        <w:tab w:val="clear" w:pos="8306"/>
        <w:tab w:val="right" w:pos="11424"/>
      </w:tabs>
      <w:jc w:val="left"/>
    </w:pPr>
  </w:style>
  <w:style w:type="character" w:customStyle="1" w:styleId="12Char">
    <w:name w:val="页眉12 Char"/>
    <w:basedOn w:val="HeaderChar"/>
    <w:link w:val="12"/>
    <w:uiPriority w:val="99"/>
    <w:locked/>
    <w:rsid w:val="00B10000"/>
    <w:rPr>
      <w:rFonts w:ascii="Calibri" w:eastAsia="宋体" w:hAnsi="Calibri"/>
    </w:rPr>
  </w:style>
  <w:style w:type="paragraph" w:customStyle="1" w:styleId="2">
    <w:name w:val="页眉副标题2"/>
    <w:basedOn w:val="12"/>
    <w:link w:val="2Char"/>
    <w:uiPriority w:val="99"/>
    <w:rsid w:val="00B10000"/>
    <w:pPr>
      <w:jc w:val="right"/>
    </w:pPr>
    <w:rPr>
      <w:rFonts w:ascii="华文隶书" w:eastAsia="华文隶书"/>
      <w:sz w:val="21"/>
      <w:szCs w:val="21"/>
    </w:rPr>
  </w:style>
  <w:style w:type="character" w:customStyle="1" w:styleId="2Char">
    <w:name w:val="页眉副标题2 Char"/>
    <w:basedOn w:val="12Char"/>
    <w:link w:val="2"/>
    <w:uiPriority w:val="99"/>
    <w:locked/>
    <w:rsid w:val="00B10000"/>
    <w:rPr>
      <w:rFonts w:ascii="华文隶书" w:eastAsia="华文隶书"/>
      <w:sz w:val="21"/>
      <w:szCs w:val="21"/>
    </w:rPr>
  </w:style>
  <w:style w:type="paragraph" w:customStyle="1" w:styleId="a4">
    <w:name w:val="特别声明格式"/>
    <w:basedOn w:val="Normal"/>
    <w:link w:val="Char4"/>
    <w:uiPriority w:val="99"/>
    <w:rsid w:val="00B10000"/>
    <w:pPr>
      <w:spacing w:afterLines="100" w:line="240" w:lineRule="exact"/>
    </w:pPr>
    <w:rPr>
      <w:rFonts w:ascii="华文隶书" w:eastAsia="华文隶书"/>
      <w:sz w:val="28"/>
    </w:rPr>
  </w:style>
  <w:style w:type="character" w:customStyle="1" w:styleId="Char4">
    <w:name w:val="特别声明格式 Char"/>
    <w:basedOn w:val="DefaultParagraphFont"/>
    <w:link w:val="a4"/>
    <w:uiPriority w:val="99"/>
    <w:locked/>
    <w:rsid w:val="00B10000"/>
    <w:rPr>
      <w:rFonts w:ascii="华文隶书" w:eastAsia="华文隶书" w:hAnsi="Calibri" w:cs="Times New Roman"/>
      <w:sz w:val="28"/>
    </w:rPr>
  </w:style>
  <w:style w:type="paragraph" w:styleId="BodyText">
    <w:name w:val="Body Text"/>
    <w:basedOn w:val="Normal"/>
    <w:link w:val="BodyTextChar"/>
    <w:uiPriority w:val="99"/>
    <w:rsid w:val="00B10000"/>
    <w:pPr>
      <w:widowControl/>
      <w:spacing w:after="120" w:line="240" w:lineRule="exact"/>
      <w:ind w:left="3402"/>
    </w:pPr>
    <w:rPr>
      <w:rFonts w:ascii="Arial" w:eastAsia="楷体_GB2312" w:hAnsi="Arial"/>
      <w:color w:val="000000"/>
      <w:kern w:val="0"/>
      <w:szCs w:val="20"/>
      <w:lang w:val="en-GB"/>
    </w:rPr>
  </w:style>
  <w:style w:type="character" w:customStyle="1" w:styleId="BodyTextChar">
    <w:name w:val="Body Text Char"/>
    <w:basedOn w:val="DefaultParagraphFont"/>
    <w:link w:val="BodyText"/>
    <w:uiPriority w:val="99"/>
    <w:locked/>
    <w:rsid w:val="00B10000"/>
    <w:rPr>
      <w:rFonts w:ascii="Arial" w:eastAsia="楷体_GB2312" w:hAnsi="Arial" w:cs="Times New Roman"/>
      <w:color w:val="000000"/>
      <w:kern w:val="0"/>
      <w:sz w:val="20"/>
      <w:szCs w:val="20"/>
      <w:lang w:val="en-GB"/>
    </w:rPr>
  </w:style>
  <w:style w:type="paragraph" w:customStyle="1" w:styleId="FootnoteNoline">
    <w:name w:val="FootnoteNoline"/>
    <w:basedOn w:val="Normal"/>
    <w:next w:val="BodyText"/>
    <w:uiPriority w:val="99"/>
    <w:rsid w:val="008840A4"/>
    <w:pPr>
      <w:widowControl/>
      <w:tabs>
        <w:tab w:val="right" w:pos="10065"/>
      </w:tabs>
      <w:spacing w:before="40" w:after="160"/>
      <w:ind w:left="3402"/>
    </w:pPr>
    <w:rPr>
      <w:rFonts w:ascii="Arial" w:eastAsia="楷体_GB2312" w:hAnsi="Arial" w:cs="Arial"/>
      <w:color w:val="003765"/>
      <w:kern w:val="0"/>
      <w:sz w:val="15"/>
      <w:szCs w:val="14"/>
      <w:lang w:val="en-GB"/>
    </w:rPr>
  </w:style>
  <w:style w:type="paragraph" w:customStyle="1" w:styleId="SubTitleLargeTable">
    <w:name w:val="SubTitleLargeTable"/>
    <w:uiPriority w:val="99"/>
    <w:rsid w:val="008840A4"/>
    <w:pPr>
      <w:keepNext/>
      <w:pBdr>
        <w:top w:val="single" w:sz="6" w:space="1" w:color="666699"/>
      </w:pBdr>
      <w:suppressAutoHyphens/>
      <w:spacing w:after="40" w:line="240" w:lineRule="atLeast"/>
    </w:pPr>
    <w:rPr>
      <w:rFonts w:ascii="Arial" w:eastAsia="楷体_GB2312" w:hAnsi="Arial" w:cs="Arial"/>
      <w:b/>
      <w:bCs/>
      <w:i/>
      <w:iCs/>
      <w:color w:val="003765"/>
      <w:kern w:val="0"/>
      <w:szCs w:val="21"/>
      <w:lang w:val="en-GB"/>
    </w:rPr>
  </w:style>
  <w:style w:type="paragraph" w:styleId="BalloonText">
    <w:name w:val="Balloon Text"/>
    <w:basedOn w:val="Normal"/>
    <w:link w:val="BalloonTextChar"/>
    <w:uiPriority w:val="99"/>
    <w:semiHidden/>
    <w:rsid w:val="008840A4"/>
    <w:rPr>
      <w:sz w:val="18"/>
      <w:szCs w:val="18"/>
    </w:rPr>
  </w:style>
  <w:style w:type="character" w:customStyle="1" w:styleId="BalloonTextChar">
    <w:name w:val="Balloon Text Char"/>
    <w:basedOn w:val="DefaultParagraphFont"/>
    <w:link w:val="BalloonText"/>
    <w:uiPriority w:val="99"/>
    <w:semiHidden/>
    <w:locked/>
    <w:rsid w:val="008840A4"/>
    <w:rPr>
      <w:rFonts w:cs="Times New Roman"/>
      <w:sz w:val="18"/>
      <w:szCs w:val="18"/>
    </w:rPr>
  </w:style>
  <w:style w:type="paragraph" w:customStyle="1" w:styleId="CoverBullet">
    <w:name w:val="Cover Bullet"/>
    <w:uiPriority w:val="99"/>
    <w:rsid w:val="008840A4"/>
    <w:pPr>
      <w:numPr>
        <w:numId w:val="3"/>
      </w:numPr>
      <w:spacing w:before="120" w:after="120"/>
      <w:ind w:left="357" w:hanging="357"/>
    </w:pPr>
    <w:rPr>
      <w:rFonts w:ascii="LucidaSans" w:hAnsi="LucidaSans"/>
      <w:b/>
      <w:bCs/>
      <w:kern w:val="0"/>
      <w:sz w:val="20"/>
      <w:szCs w:val="20"/>
      <w:lang w:val="en-GB"/>
    </w:rPr>
  </w:style>
  <w:style w:type="paragraph" w:styleId="ListParagraph">
    <w:name w:val="List Paragraph"/>
    <w:basedOn w:val="Normal"/>
    <w:uiPriority w:val="99"/>
    <w:qFormat/>
    <w:rsid w:val="00026FF9"/>
    <w:pPr>
      <w:ind w:firstLineChars="200" w:firstLine="420"/>
    </w:pPr>
  </w:style>
  <w:style w:type="paragraph" w:customStyle="1" w:styleId="SourceLarge">
    <w:name w:val="SourceLarge"/>
    <w:uiPriority w:val="99"/>
    <w:rsid w:val="00611ADA"/>
    <w:pPr>
      <w:tabs>
        <w:tab w:val="left" w:pos="5216"/>
        <w:tab w:val="right" w:pos="9866"/>
      </w:tabs>
      <w:suppressAutoHyphens/>
      <w:spacing w:line="160" w:lineRule="atLeast"/>
    </w:pPr>
    <w:rPr>
      <w:rFonts w:ascii="LucidaSans" w:hAnsi="LucidaSans"/>
      <w:kern w:val="0"/>
      <w:sz w:val="12"/>
      <w:szCs w:val="12"/>
      <w:lang w:val="en-GB"/>
    </w:rPr>
  </w:style>
  <w:style w:type="paragraph" w:customStyle="1" w:styleId="BulletCoverpage">
    <w:name w:val="Bullet Cover page"/>
    <w:basedOn w:val="Normal"/>
    <w:uiPriority w:val="99"/>
    <w:rsid w:val="00611ADA"/>
    <w:pPr>
      <w:widowControl/>
      <w:numPr>
        <w:numId w:val="4"/>
      </w:numPr>
      <w:suppressAutoHyphens/>
      <w:spacing w:after="200" w:line="240" w:lineRule="atLeast"/>
    </w:pPr>
    <w:rPr>
      <w:rFonts w:ascii="Arial" w:eastAsia="楷体_GB2312" w:hAnsi="Arial"/>
      <w:kern w:val="0"/>
      <w:sz w:val="18"/>
      <w:szCs w:val="20"/>
      <w:lang w:val="en-GB"/>
    </w:rPr>
  </w:style>
  <w:style w:type="paragraph" w:customStyle="1" w:styleId="1">
    <w:name w:val="模板标题1"/>
    <w:basedOn w:val="Normal"/>
    <w:next w:val="BodyText"/>
    <w:uiPriority w:val="99"/>
    <w:rsid w:val="00611ADA"/>
    <w:pPr>
      <w:widowControl/>
      <w:spacing w:after="240" w:line="300" w:lineRule="exact"/>
      <w:ind w:left="3402"/>
      <w:outlineLvl w:val="0"/>
    </w:pPr>
    <w:rPr>
      <w:rFonts w:ascii="Arial" w:eastAsia="楷体_GB2312" w:hAnsi="Arial"/>
      <w:b/>
      <w:bCs/>
      <w:color w:val="01659D"/>
      <w:kern w:val="0"/>
      <w:sz w:val="24"/>
      <w:szCs w:val="20"/>
      <w:lang w:val="en-GB"/>
    </w:rPr>
  </w:style>
  <w:style w:type="paragraph" w:customStyle="1" w:styleId="a5">
    <w:name w:val="正文内容"/>
    <w:basedOn w:val="BodyText"/>
    <w:link w:val="Char5"/>
    <w:uiPriority w:val="99"/>
    <w:rsid w:val="00A21A5A"/>
    <w:pPr>
      <w:tabs>
        <w:tab w:val="num" w:pos="3799"/>
      </w:tabs>
      <w:spacing w:after="163"/>
      <w:ind w:left="3799" w:hanging="369"/>
    </w:pPr>
    <w:rPr>
      <w:rFonts w:ascii="楷体_GB2312" w:hAnsi="楷体_GB2312"/>
      <w:color w:val="auto"/>
    </w:rPr>
  </w:style>
  <w:style w:type="character" w:customStyle="1" w:styleId="Char5">
    <w:name w:val="正文内容 Char"/>
    <w:basedOn w:val="BodyTextChar"/>
    <w:link w:val="a5"/>
    <w:uiPriority w:val="99"/>
    <w:locked/>
    <w:rsid w:val="00A21A5A"/>
    <w:rPr>
      <w:rFonts w:ascii="楷体_GB2312" w:hAnsi="楷体_GB2312"/>
    </w:rPr>
  </w:style>
  <w:style w:type="paragraph" w:customStyle="1" w:styleId="a6">
    <w:name w:val="正文小标题"/>
    <w:basedOn w:val="BodyText"/>
    <w:link w:val="Char6"/>
    <w:uiPriority w:val="99"/>
    <w:rsid w:val="00A21A5A"/>
    <w:pPr>
      <w:spacing w:after="0"/>
    </w:pPr>
    <w:rPr>
      <w:rFonts w:ascii="楷体_GB2312" w:hAnsi="楷体_GB2312"/>
      <w:b/>
      <w:bCs/>
      <w:color w:val="0070C0"/>
      <w:szCs w:val="21"/>
      <w:lang w:val="en-US"/>
    </w:rPr>
  </w:style>
  <w:style w:type="character" w:customStyle="1" w:styleId="Char6">
    <w:name w:val="正文小标题 Char"/>
    <w:basedOn w:val="BodyTextChar"/>
    <w:link w:val="a6"/>
    <w:uiPriority w:val="99"/>
    <w:locked/>
    <w:rsid w:val="00A21A5A"/>
    <w:rPr>
      <w:rFonts w:ascii="楷体_GB2312" w:hAnsi="楷体_GB2312"/>
      <w:b/>
      <w:bCs/>
      <w:color w:val="0070C0"/>
      <w:sz w:val="21"/>
      <w:szCs w:val="21"/>
    </w:rPr>
  </w:style>
  <w:style w:type="character" w:styleId="Hyperlink">
    <w:name w:val="Hyperlink"/>
    <w:basedOn w:val="DefaultParagraphFont"/>
    <w:uiPriority w:val="99"/>
    <w:semiHidden/>
    <w:rsid w:val="006F4A62"/>
    <w:rPr>
      <w:rFonts w:cs="Times New Roman"/>
      <w:color w:val="072885"/>
      <w:u w:val="none"/>
      <w:effect w:val="none"/>
    </w:rPr>
  </w:style>
</w:styles>
</file>

<file path=word/webSettings.xml><?xml version="1.0" encoding="utf-8"?>
<w:webSettings xmlns:r="http://schemas.openxmlformats.org/officeDocument/2006/relationships" xmlns:w="http://schemas.openxmlformats.org/wordprocessingml/2006/main">
  <w:divs>
    <w:div w:id="427652465">
      <w:marLeft w:val="0"/>
      <w:marRight w:val="0"/>
      <w:marTop w:val="0"/>
      <w:marBottom w:val="0"/>
      <w:divBdr>
        <w:top w:val="none" w:sz="0" w:space="0" w:color="auto"/>
        <w:left w:val="none" w:sz="0" w:space="0" w:color="auto"/>
        <w:bottom w:val="none" w:sz="0" w:space="0" w:color="auto"/>
        <w:right w:val="none" w:sz="0" w:space="0" w:color="auto"/>
      </w:divBdr>
    </w:div>
    <w:div w:id="427652466">
      <w:marLeft w:val="0"/>
      <w:marRight w:val="0"/>
      <w:marTop w:val="0"/>
      <w:marBottom w:val="0"/>
      <w:divBdr>
        <w:top w:val="none" w:sz="0" w:space="0" w:color="auto"/>
        <w:left w:val="none" w:sz="0" w:space="0" w:color="auto"/>
        <w:bottom w:val="none" w:sz="0" w:space="0" w:color="auto"/>
        <w:right w:val="none" w:sz="0" w:space="0" w:color="auto"/>
      </w:divBdr>
    </w:div>
    <w:div w:id="427652467">
      <w:marLeft w:val="0"/>
      <w:marRight w:val="0"/>
      <w:marTop w:val="0"/>
      <w:marBottom w:val="0"/>
      <w:divBdr>
        <w:top w:val="none" w:sz="0" w:space="0" w:color="auto"/>
        <w:left w:val="none" w:sz="0" w:space="0" w:color="auto"/>
        <w:bottom w:val="none" w:sz="0" w:space="0" w:color="auto"/>
        <w:right w:val="none" w:sz="0" w:space="0" w:color="auto"/>
      </w:divBdr>
    </w:div>
    <w:div w:id="427652468">
      <w:marLeft w:val="0"/>
      <w:marRight w:val="0"/>
      <w:marTop w:val="0"/>
      <w:marBottom w:val="0"/>
      <w:divBdr>
        <w:top w:val="none" w:sz="0" w:space="0" w:color="auto"/>
        <w:left w:val="none" w:sz="0" w:space="0" w:color="auto"/>
        <w:bottom w:val="none" w:sz="0" w:space="0" w:color="auto"/>
        <w:right w:val="none" w:sz="0" w:space="0" w:color="auto"/>
      </w:divBdr>
    </w:div>
    <w:div w:id="427652470">
      <w:marLeft w:val="0"/>
      <w:marRight w:val="0"/>
      <w:marTop w:val="0"/>
      <w:marBottom w:val="0"/>
      <w:divBdr>
        <w:top w:val="none" w:sz="0" w:space="0" w:color="auto"/>
        <w:left w:val="none" w:sz="0" w:space="0" w:color="auto"/>
        <w:bottom w:val="none" w:sz="0" w:space="0" w:color="auto"/>
        <w:right w:val="none" w:sz="0" w:space="0" w:color="auto"/>
      </w:divBdr>
      <w:divsChild>
        <w:div w:id="427652505">
          <w:marLeft w:val="0"/>
          <w:marRight w:val="0"/>
          <w:marTop w:val="0"/>
          <w:marBottom w:val="0"/>
          <w:divBdr>
            <w:top w:val="none" w:sz="0" w:space="0" w:color="auto"/>
            <w:left w:val="none" w:sz="0" w:space="0" w:color="auto"/>
            <w:bottom w:val="none" w:sz="0" w:space="0" w:color="auto"/>
            <w:right w:val="none" w:sz="0" w:space="0" w:color="auto"/>
          </w:divBdr>
          <w:divsChild>
            <w:div w:id="427652483">
              <w:marLeft w:val="0"/>
              <w:marRight w:val="0"/>
              <w:marTop w:val="0"/>
              <w:marBottom w:val="0"/>
              <w:divBdr>
                <w:top w:val="none" w:sz="0" w:space="0" w:color="auto"/>
                <w:left w:val="none" w:sz="0" w:space="0" w:color="auto"/>
                <w:bottom w:val="none" w:sz="0" w:space="0" w:color="auto"/>
                <w:right w:val="none" w:sz="0" w:space="0" w:color="auto"/>
              </w:divBdr>
              <w:divsChild>
                <w:div w:id="427652489">
                  <w:marLeft w:val="0"/>
                  <w:marRight w:val="0"/>
                  <w:marTop w:val="0"/>
                  <w:marBottom w:val="0"/>
                  <w:divBdr>
                    <w:top w:val="none" w:sz="0" w:space="0" w:color="auto"/>
                    <w:left w:val="none" w:sz="0" w:space="0" w:color="auto"/>
                    <w:bottom w:val="none" w:sz="0" w:space="0" w:color="auto"/>
                    <w:right w:val="none" w:sz="0" w:space="0" w:color="auto"/>
                  </w:divBdr>
                  <w:divsChild>
                    <w:div w:id="427652516">
                      <w:marLeft w:val="0"/>
                      <w:marRight w:val="0"/>
                      <w:marTop w:val="0"/>
                      <w:marBottom w:val="0"/>
                      <w:divBdr>
                        <w:top w:val="single" w:sz="6" w:space="15" w:color="C0D8F2"/>
                        <w:left w:val="single" w:sz="6" w:space="18" w:color="C0D8F2"/>
                        <w:bottom w:val="single" w:sz="6" w:space="11" w:color="C0D8F2"/>
                        <w:right w:val="single" w:sz="6" w:space="18" w:color="C0D8F2"/>
                      </w:divBdr>
                      <w:divsChild>
                        <w:div w:id="427652512">
                          <w:marLeft w:val="0"/>
                          <w:marRight w:val="0"/>
                          <w:marTop w:val="0"/>
                          <w:marBottom w:val="0"/>
                          <w:divBdr>
                            <w:top w:val="none" w:sz="0" w:space="0" w:color="auto"/>
                            <w:left w:val="none" w:sz="0" w:space="0" w:color="auto"/>
                            <w:bottom w:val="none" w:sz="0" w:space="0" w:color="auto"/>
                            <w:right w:val="none" w:sz="0" w:space="0" w:color="auto"/>
                          </w:divBdr>
                          <w:divsChild>
                            <w:div w:id="42765247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652474">
      <w:marLeft w:val="0"/>
      <w:marRight w:val="0"/>
      <w:marTop w:val="0"/>
      <w:marBottom w:val="0"/>
      <w:divBdr>
        <w:top w:val="none" w:sz="0" w:space="0" w:color="auto"/>
        <w:left w:val="none" w:sz="0" w:space="0" w:color="auto"/>
        <w:bottom w:val="none" w:sz="0" w:space="0" w:color="auto"/>
        <w:right w:val="none" w:sz="0" w:space="0" w:color="auto"/>
      </w:divBdr>
    </w:div>
    <w:div w:id="427652475">
      <w:marLeft w:val="0"/>
      <w:marRight w:val="0"/>
      <w:marTop w:val="0"/>
      <w:marBottom w:val="0"/>
      <w:divBdr>
        <w:top w:val="none" w:sz="0" w:space="0" w:color="auto"/>
        <w:left w:val="none" w:sz="0" w:space="0" w:color="auto"/>
        <w:bottom w:val="none" w:sz="0" w:space="0" w:color="auto"/>
        <w:right w:val="none" w:sz="0" w:space="0" w:color="auto"/>
      </w:divBdr>
    </w:div>
    <w:div w:id="427652476">
      <w:marLeft w:val="0"/>
      <w:marRight w:val="0"/>
      <w:marTop w:val="0"/>
      <w:marBottom w:val="0"/>
      <w:divBdr>
        <w:top w:val="none" w:sz="0" w:space="0" w:color="auto"/>
        <w:left w:val="none" w:sz="0" w:space="0" w:color="auto"/>
        <w:bottom w:val="none" w:sz="0" w:space="0" w:color="auto"/>
        <w:right w:val="none" w:sz="0" w:space="0" w:color="auto"/>
      </w:divBdr>
      <w:divsChild>
        <w:div w:id="427652515">
          <w:marLeft w:val="0"/>
          <w:marRight w:val="0"/>
          <w:marTop w:val="0"/>
          <w:marBottom w:val="0"/>
          <w:divBdr>
            <w:top w:val="none" w:sz="0" w:space="0" w:color="auto"/>
            <w:left w:val="none" w:sz="0" w:space="0" w:color="auto"/>
            <w:bottom w:val="none" w:sz="0" w:space="0" w:color="auto"/>
            <w:right w:val="none" w:sz="0" w:space="0" w:color="auto"/>
          </w:divBdr>
          <w:divsChild>
            <w:div w:id="427652469">
              <w:marLeft w:val="0"/>
              <w:marRight w:val="0"/>
              <w:marTop w:val="0"/>
              <w:marBottom w:val="0"/>
              <w:divBdr>
                <w:top w:val="none" w:sz="0" w:space="0" w:color="auto"/>
                <w:left w:val="none" w:sz="0" w:space="0" w:color="auto"/>
                <w:bottom w:val="none" w:sz="0" w:space="0" w:color="auto"/>
                <w:right w:val="none" w:sz="0" w:space="0" w:color="auto"/>
              </w:divBdr>
              <w:divsChild>
                <w:div w:id="427652484">
                  <w:marLeft w:val="0"/>
                  <w:marRight w:val="0"/>
                  <w:marTop w:val="0"/>
                  <w:marBottom w:val="0"/>
                  <w:divBdr>
                    <w:top w:val="none" w:sz="0" w:space="0" w:color="auto"/>
                    <w:left w:val="none" w:sz="0" w:space="0" w:color="auto"/>
                    <w:bottom w:val="none" w:sz="0" w:space="0" w:color="auto"/>
                    <w:right w:val="none" w:sz="0" w:space="0" w:color="auto"/>
                  </w:divBdr>
                  <w:divsChild>
                    <w:div w:id="427652493">
                      <w:marLeft w:val="0"/>
                      <w:marRight w:val="0"/>
                      <w:marTop w:val="0"/>
                      <w:marBottom w:val="0"/>
                      <w:divBdr>
                        <w:top w:val="single" w:sz="6" w:space="15" w:color="C0D8F2"/>
                        <w:left w:val="single" w:sz="6" w:space="18" w:color="C0D8F2"/>
                        <w:bottom w:val="single" w:sz="6" w:space="11" w:color="C0D8F2"/>
                        <w:right w:val="single" w:sz="6" w:space="18" w:color="C0D8F2"/>
                      </w:divBdr>
                      <w:divsChild>
                        <w:div w:id="427652492">
                          <w:marLeft w:val="0"/>
                          <w:marRight w:val="0"/>
                          <w:marTop w:val="0"/>
                          <w:marBottom w:val="0"/>
                          <w:divBdr>
                            <w:top w:val="none" w:sz="0" w:space="0" w:color="auto"/>
                            <w:left w:val="none" w:sz="0" w:space="0" w:color="auto"/>
                            <w:bottom w:val="none" w:sz="0" w:space="0" w:color="auto"/>
                            <w:right w:val="none" w:sz="0" w:space="0" w:color="auto"/>
                          </w:divBdr>
                          <w:divsChild>
                            <w:div w:id="42765251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652481">
      <w:marLeft w:val="0"/>
      <w:marRight w:val="0"/>
      <w:marTop w:val="0"/>
      <w:marBottom w:val="0"/>
      <w:divBdr>
        <w:top w:val="none" w:sz="0" w:space="0" w:color="auto"/>
        <w:left w:val="none" w:sz="0" w:space="0" w:color="auto"/>
        <w:bottom w:val="none" w:sz="0" w:space="0" w:color="auto"/>
        <w:right w:val="none" w:sz="0" w:space="0" w:color="auto"/>
      </w:divBdr>
      <w:divsChild>
        <w:div w:id="427652495">
          <w:marLeft w:val="0"/>
          <w:marRight w:val="0"/>
          <w:marTop w:val="0"/>
          <w:marBottom w:val="0"/>
          <w:divBdr>
            <w:top w:val="none" w:sz="0" w:space="0" w:color="auto"/>
            <w:left w:val="none" w:sz="0" w:space="0" w:color="auto"/>
            <w:bottom w:val="none" w:sz="0" w:space="0" w:color="auto"/>
            <w:right w:val="none" w:sz="0" w:space="0" w:color="auto"/>
          </w:divBdr>
          <w:divsChild>
            <w:div w:id="427652491">
              <w:marLeft w:val="0"/>
              <w:marRight w:val="0"/>
              <w:marTop w:val="0"/>
              <w:marBottom w:val="0"/>
              <w:divBdr>
                <w:top w:val="none" w:sz="0" w:space="0" w:color="auto"/>
                <w:left w:val="none" w:sz="0" w:space="0" w:color="auto"/>
                <w:bottom w:val="none" w:sz="0" w:space="0" w:color="auto"/>
                <w:right w:val="none" w:sz="0" w:space="0" w:color="auto"/>
              </w:divBdr>
              <w:divsChild>
                <w:div w:id="427652498">
                  <w:marLeft w:val="0"/>
                  <w:marRight w:val="0"/>
                  <w:marTop w:val="0"/>
                  <w:marBottom w:val="0"/>
                  <w:divBdr>
                    <w:top w:val="none" w:sz="0" w:space="0" w:color="auto"/>
                    <w:left w:val="none" w:sz="0" w:space="0" w:color="auto"/>
                    <w:bottom w:val="none" w:sz="0" w:space="0" w:color="auto"/>
                    <w:right w:val="none" w:sz="0" w:space="0" w:color="auto"/>
                  </w:divBdr>
                  <w:divsChild>
                    <w:div w:id="427652513">
                      <w:marLeft w:val="0"/>
                      <w:marRight w:val="0"/>
                      <w:marTop w:val="0"/>
                      <w:marBottom w:val="0"/>
                      <w:divBdr>
                        <w:top w:val="single" w:sz="6" w:space="15" w:color="C0D8F2"/>
                        <w:left w:val="single" w:sz="6" w:space="18" w:color="C0D8F2"/>
                        <w:bottom w:val="single" w:sz="6" w:space="11" w:color="C0D8F2"/>
                        <w:right w:val="single" w:sz="6" w:space="18" w:color="C0D8F2"/>
                      </w:divBdr>
                      <w:divsChild>
                        <w:div w:id="427652506">
                          <w:marLeft w:val="0"/>
                          <w:marRight w:val="0"/>
                          <w:marTop w:val="0"/>
                          <w:marBottom w:val="0"/>
                          <w:divBdr>
                            <w:top w:val="none" w:sz="0" w:space="0" w:color="auto"/>
                            <w:left w:val="none" w:sz="0" w:space="0" w:color="auto"/>
                            <w:bottom w:val="none" w:sz="0" w:space="0" w:color="auto"/>
                            <w:right w:val="none" w:sz="0" w:space="0" w:color="auto"/>
                          </w:divBdr>
                          <w:divsChild>
                            <w:div w:id="42765251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652482">
      <w:marLeft w:val="0"/>
      <w:marRight w:val="0"/>
      <w:marTop w:val="0"/>
      <w:marBottom w:val="0"/>
      <w:divBdr>
        <w:top w:val="none" w:sz="0" w:space="0" w:color="auto"/>
        <w:left w:val="none" w:sz="0" w:space="0" w:color="auto"/>
        <w:bottom w:val="none" w:sz="0" w:space="0" w:color="auto"/>
        <w:right w:val="none" w:sz="0" w:space="0" w:color="auto"/>
      </w:divBdr>
    </w:div>
    <w:div w:id="427652485">
      <w:marLeft w:val="0"/>
      <w:marRight w:val="0"/>
      <w:marTop w:val="0"/>
      <w:marBottom w:val="0"/>
      <w:divBdr>
        <w:top w:val="none" w:sz="0" w:space="0" w:color="auto"/>
        <w:left w:val="none" w:sz="0" w:space="0" w:color="auto"/>
        <w:bottom w:val="none" w:sz="0" w:space="0" w:color="auto"/>
        <w:right w:val="none" w:sz="0" w:space="0" w:color="auto"/>
      </w:divBdr>
      <w:divsChild>
        <w:div w:id="427652480">
          <w:marLeft w:val="0"/>
          <w:marRight w:val="0"/>
          <w:marTop w:val="0"/>
          <w:marBottom w:val="0"/>
          <w:divBdr>
            <w:top w:val="none" w:sz="0" w:space="0" w:color="auto"/>
            <w:left w:val="none" w:sz="0" w:space="0" w:color="auto"/>
            <w:bottom w:val="none" w:sz="0" w:space="0" w:color="auto"/>
            <w:right w:val="none" w:sz="0" w:space="0" w:color="auto"/>
          </w:divBdr>
          <w:divsChild>
            <w:div w:id="427652497">
              <w:marLeft w:val="0"/>
              <w:marRight w:val="0"/>
              <w:marTop w:val="0"/>
              <w:marBottom w:val="0"/>
              <w:divBdr>
                <w:top w:val="none" w:sz="0" w:space="0" w:color="auto"/>
                <w:left w:val="none" w:sz="0" w:space="0" w:color="auto"/>
                <w:bottom w:val="none" w:sz="0" w:space="0" w:color="auto"/>
                <w:right w:val="none" w:sz="0" w:space="0" w:color="auto"/>
              </w:divBdr>
              <w:divsChild>
                <w:div w:id="427652477">
                  <w:marLeft w:val="0"/>
                  <w:marRight w:val="0"/>
                  <w:marTop w:val="0"/>
                  <w:marBottom w:val="0"/>
                  <w:divBdr>
                    <w:top w:val="none" w:sz="0" w:space="0" w:color="auto"/>
                    <w:left w:val="none" w:sz="0" w:space="0" w:color="auto"/>
                    <w:bottom w:val="none" w:sz="0" w:space="0" w:color="auto"/>
                    <w:right w:val="none" w:sz="0" w:space="0" w:color="auto"/>
                  </w:divBdr>
                  <w:divsChild>
                    <w:div w:id="42765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652486">
      <w:marLeft w:val="0"/>
      <w:marRight w:val="0"/>
      <w:marTop w:val="0"/>
      <w:marBottom w:val="0"/>
      <w:divBdr>
        <w:top w:val="none" w:sz="0" w:space="0" w:color="auto"/>
        <w:left w:val="none" w:sz="0" w:space="0" w:color="auto"/>
        <w:bottom w:val="none" w:sz="0" w:space="0" w:color="auto"/>
        <w:right w:val="none" w:sz="0" w:space="0" w:color="auto"/>
      </w:divBdr>
    </w:div>
    <w:div w:id="427652487">
      <w:marLeft w:val="0"/>
      <w:marRight w:val="0"/>
      <w:marTop w:val="0"/>
      <w:marBottom w:val="0"/>
      <w:divBdr>
        <w:top w:val="none" w:sz="0" w:space="0" w:color="auto"/>
        <w:left w:val="none" w:sz="0" w:space="0" w:color="auto"/>
        <w:bottom w:val="none" w:sz="0" w:space="0" w:color="auto"/>
        <w:right w:val="none" w:sz="0" w:space="0" w:color="auto"/>
      </w:divBdr>
    </w:div>
    <w:div w:id="427652488">
      <w:marLeft w:val="0"/>
      <w:marRight w:val="0"/>
      <w:marTop w:val="0"/>
      <w:marBottom w:val="0"/>
      <w:divBdr>
        <w:top w:val="none" w:sz="0" w:space="0" w:color="auto"/>
        <w:left w:val="none" w:sz="0" w:space="0" w:color="auto"/>
        <w:bottom w:val="none" w:sz="0" w:space="0" w:color="auto"/>
        <w:right w:val="none" w:sz="0" w:space="0" w:color="auto"/>
      </w:divBdr>
    </w:div>
    <w:div w:id="427652490">
      <w:marLeft w:val="0"/>
      <w:marRight w:val="0"/>
      <w:marTop w:val="0"/>
      <w:marBottom w:val="0"/>
      <w:divBdr>
        <w:top w:val="none" w:sz="0" w:space="0" w:color="auto"/>
        <w:left w:val="none" w:sz="0" w:space="0" w:color="auto"/>
        <w:bottom w:val="none" w:sz="0" w:space="0" w:color="auto"/>
        <w:right w:val="none" w:sz="0" w:space="0" w:color="auto"/>
      </w:divBdr>
    </w:div>
    <w:div w:id="427652496">
      <w:marLeft w:val="0"/>
      <w:marRight w:val="0"/>
      <w:marTop w:val="0"/>
      <w:marBottom w:val="0"/>
      <w:divBdr>
        <w:top w:val="none" w:sz="0" w:space="0" w:color="auto"/>
        <w:left w:val="none" w:sz="0" w:space="0" w:color="auto"/>
        <w:bottom w:val="none" w:sz="0" w:space="0" w:color="auto"/>
        <w:right w:val="none" w:sz="0" w:space="0" w:color="auto"/>
      </w:divBdr>
    </w:div>
    <w:div w:id="427652499">
      <w:marLeft w:val="0"/>
      <w:marRight w:val="0"/>
      <w:marTop w:val="0"/>
      <w:marBottom w:val="0"/>
      <w:divBdr>
        <w:top w:val="none" w:sz="0" w:space="0" w:color="auto"/>
        <w:left w:val="none" w:sz="0" w:space="0" w:color="auto"/>
        <w:bottom w:val="none" w:sz="0" w:space="0" w:color="auto"/>
        <w:right w:val="none" w:sz="0" w:space="0" w:color="auto"/>
      </w:divBdr>
    </w:div>
    <w:div w:id="427652500">
      <w:marLeft w:val="0"/>
      <w:marRight w:val="0"/>
      <w:marTop w:val="0"/>
      <w:marBottom w:val="0"/>
      <w:divBdr>
        <w:top w:val="none" w:sz="0" w:space="0" w:color="auto"/>
        <w:left w:val="none" w:sz="0" w:space="0" w:color="auto"/>
        <w:bottom w:val="none" w:sz="0" w:space="0" w:color="auto"/>
        <w:right w:val="none" w:sz="0" w:space="0" w:color="auto"/>
      </w:divBdr>
    </w:div>
    <w:div w:id="427652501">
      <w:marLeft w:val="0"/>
      <w:marRight w:val="0"/>
      <w:marTop w:val="0"/>
      <w:marBottom w:val="0"/>
      <w:divBdr>
        <w:top w:val="none" w:sz="0" w:space="0" w:color="auto"/>
        <w:left w:val="none" w:sz="0" w:space="0" w:color="auto"/>
        <w:bottom w:val="none" w:sz="0" w:space="0" w:color="auto"/>
        <w:right w:val="none" w:sz="0" w:space="0" w:color="auto"/>
      </w:divBdr>
      <w:divsChild>
        <w:div w:id="427652494">
          <w:marLeft w:val="0"/>
          <w:marRight w:val="0"/>
          <w:marTop w:val="0"/>
          <w:marBottom w:val="0"/>
          <w:divBdr>
            <w:top w:val="none" w:sz="0" w:space="0" w:color="auto"/>
            <w:left w:val="none" w:sz="0" w:space="0" w:color="auto"/>
            <w:bottom w:val="none" w:sz="0" w:space="0" w:color="auto"/>
            <w:right w:val="none" w:sz="0" w:space="0" w:color="auto"/>
          </w:divBdr>
          <w:divsChild>
            <w:div w:id="427652509">
              <w:marLeft w:val="0"/>
              <w:marRight w:val="0"/>
              <w:marTop w:val="0"/>
              <w:marBottom w:val="0"/>
              <w:divBdr>
                <w:top w:val="none" w:sz="0" w:space="0" w:color="auto"/>
                <w:left w:val="none" w:sz="0" w:space="0" w:color="auto"/>
                <w:bottom w:val="none" w:sz="0" w:space="0" w:color="auto"/>
                <w:right w:val="none" w:sz="0" w:space="0" w:color="auto"/>
              </w:divBdr>
              <w:divsChild>
                <w:div w:id="427652472">
                  <w:marLeft w:val="0"/>
                  <w:marRight w:val="0"/>
                  <w:marTop w:val="0"/>
                  <w:marBottom w:val="0"/>
                  <w:divBdr>
                    <w:top w:val="none" w:sz="0" w:space="0" w:color="auto"/>
                    <w:left w:val="none" w:sz="0" w:space="0" w:color="auto"/>
                    <w:bottom w:val="none" w:sz="0" w:space="0" w:color="auto"/>
                    <w:right w:val="none" w:sz="0" w:space="0" w:color="auto"/>
                  </w:divBdr>
                  <w:divsChild>
                    <w:div w:id="427652507">
                      <w:marLeft w:val="0"/>
                      <w:marRight w:val="0"/>
                      <w:marTop w:val="0"/>
                      <w:marBottom w:val="0"/>
                      <w:divBdr>
                        <w:top w:val="single" w:sz="6" w:space="15" w:color="C0D8F2"/>
                        <w:left w:val="single" w:sz="6" w:space="18" w:color="C0D8F2"/>
                        <w:bottom w:val="single" w:sz="6" w:space="11" w:color="C0D8F2"/>
                        <w:right w:val="single" w:sz="6" w:space="18" w:color="C0D8F2"/>
                      </w:divBdr>
                      <w:divsChild>
                        <w:div w:id="427652471">
                          <w:marLeft w:val="0"/>
                          <w:marRight w:val="0"/>
                          <w:marTop w:val="0"/>
                          <w:marBottom w:val="0"/>
                          <w:divBdr>
                            <w:top w:val="none" w:sz="0" w:space="0" w:color="auto"/>
                            <w:left w:val="none" w:sz="0" w:space="0" w:color="auto"/>
                            <w:bottom w:val="none" w:sz="0" w:space="0" w:color="auto"/>
                            <w:right w:val="none" w:sz="0" w:space="0" w:color="auto"/>
                          </w:divBdr>
                          <w:divsChild>
                            <w:div w:id="42765247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652502">
      <w:marLeft w:val="0"/>
      <w:marRight w:val="0"/>
      <w:marTop w:val="0"/>
      <w:marBottom w:val="0"/>
      <w:divBdr>
        <w:top w:val="none" w:sz="0" w:space="0" w:color="auto"/>
        <w:left w:val="none" w:sz="0" w:space="0" w:color="auto"/>
        <w:bottom w:val="none" w:sz="0" w:space="0" w:color="auto"/>
        <w:right w:val="none" w:sz="0" w:space="0" w:color="auto"/>
      </w:divBdr>
    </w:div>
    <w:div w:id="427652503">
      <w:marLeft w:val="0"/>
      <w:marRight w:val="0"/>
      <w:marTop w:val="0"/>
      <w:marBottom w:val="0"/>
      <w:divBdr>
        <w:top w:val="none" w:sz="0" w:space="0" w:color="auto"/>
        <w:left w:val="none" w:sz="0" w:space="0" w:color="auto"/>
        <w:bottom w:val="none" w:sz="0" w:space="0" w:color="auto"/>
        <w:right w:val="none" w:sz="0" w:space="0" w:color="auto"/>
      </w:divBdr>
    </w:div>
    <w:div w:id="427652504">
      <w:marLeft w:val="0"/>
      <w:marRight w:val="0"/>
      <w:marTop w:val="0"/>
      <w:marBottom w:val="0"/>
      <w:divBdr>
        <w:top w:val="none" w:sz="0" w:space="0" w:color="auto"/>
        <w:left w:val="none" w:sz="0" w:space="0" w:color="auto"/>
        <w:bottom w:val="none" w:sz="0" w:space="0" w:color="auto"/>
        <w:right w:val="none" w:sz="0" w:space="0" w:color="auto"/>
      </w:divBdr>
    </w:div>
    <w:div w:id="427652508">
      <w:marLeft w:val="0"/>
      <w:marRight w:val="0"/>
      <w:marTop w:val="0"/>
      <w:marBottom w:val="0"/>
      <w:divBdr>
        <w:top w:val="none" w:sz="0" w:space="0" w:color="auto"/>
        <w:left w:val="none" w:sz="0" w:space="0" w:color="auto"/>
        <w:bottom w:val="none" w:sz="0" w:space="0" w:color="auto"/>
        <w:right w:val="none" w:sz="0" w:space="0" w:color="auto"/>
      </w:divBdr>
    </w:div>
    <w:div w:id="4276525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932</Words>
  <Characters>5319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导语</dc:title>
  <dc:subject/>
  <dc:creator>shanghai vstone</dc:creator>
  <cp:keywords/>
  <dc:description/>
  <cp:lastModifiedBy>User</cp:lastModifiedBy>
  <cp:revision>2</cp:revision>
  <dcterms:created xsi:type="dcterms:W3CDTF">2014-09-04T08:06:00Z</dcterms:created>
  <dcterms:modified xsi:type="dcterms:W3CDTF">2014-09-04T08:06:00Z</dcterms:modified>
</cp:coreProperties>
</file>