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B41" w:rsidRPr="00FC54FE" w:rsidRDefault="003B4B41" w:rsidP="00B10000">
      <w:pPr>
        <w:widowControl/>
        <w:spacing w:after="120" w:line="240" w:lineRule="exact"/>
        <w:ind w:left="3430"/>
        <w:rPr>
          <w:rFonts w:ascii="楷体" w:eastAsia="楷体" w:hAnsi="楷体"/>
          <w:b/>
          <w:bCs/>
          <w:color w:val="0070C0"/>
          <w:kern w:val="0"/>
          <w:sz w:val="24"/>
          <w:szCs w:val="20"/>
          <w:lang w:val="en-GB"/>
        </w:rPr>
      </w:pPr>
      <w:r>
        <w:rPr>
          <w:noProof/>
        </w:rPr>
        <w:pict>
          <v:shapetype id="_x0000_t202" coordsize="21600,21600" o:spt="202" path="m,l,21600r21600,l21600,xe">
            <v:stroke joinstyle="miter"/>
            <v:path gradientshapeok="t" o:connecttype="rect"/>
          </v:shapetype>
          <v:shape id="_x0000_s1035" type="#_x0000_t202" style="position:absolute;left:0;text-align:left;margin-left:1.5pt;margin-top:284.2pt;width:148.5pt;height:275.6pt;z-index:251658240" strokecolor="white" strokeweight="0">
            <v:stroke dashstyle="1 1" endcap="round"/>
            <v:textbox style="mso-next-textbox:#_x0000_s1035">
              <w:txbxContent>
                <w:p w:rsidR="003B4B41" w:rsidRPr="00635482" w:rsidRDefault="003B4B41" w:rsidP="00DE2D65">
                  <w:pPr>
                    <w:rPr>
                      <w:rFonts w:ascii="楷体" w:eastAsia="楷体" w:hAnsi="楷体"/>
                      <w:b/>
                      <w:lang w:val="en-GB"/>
                    </w:rPr>
                  </w:pPr>
                  <w:r w:rsidRPr="00635482">
                    <w:rPr>
                      <w:rFonts w:ascii="楷体" w:eastAsia="楷体" w:hAnsi="楷体" w:hint="eastAsia"/>
                      <w:b/>
                      <w:lang w:val="en-GB"/>
                    </w:rPr>
                    <w:t>凯石工场移动平台：</w:t>
                  </w:r>
                </w:p>
                <w:p w:rsidR="003B4B41" w:rsidRPr="00635482" w:rsidRDefault="003B4B41" w:rsidP="00DE2D65">
                  <w:pPr>
                    <w:rPr>
                      <w:rFonts w:ascii="楷体" w:eastAsia="楷体" w:hAnsi="楷体"/>
                      <w:lang w:val="en-GB"/>
                    </w:rPr>
                  </w:pPr>
                </w:p>
                <w:p w:rsidR="003B4B41" w:rsidRPr="00635482" w:rsidRDefault="003B4B41" w:rsidP="00DE2D65">
                  <w:r w:rsidRPr="00635482">
                    <w:rPr>
                      <w:rFonts w:ascii="楷体" w:eastAsia="楷体" w:hAnsi="楷体" w:hint="eastAsia"/>
                      <w:lang w:val="en-GB"/>
                    </w:rPr>
                    <w:t>官方微博：</w:t>
                  </w:r>
                </w:p>
                <w:p w:rsidR="003B4B41" w:rsidRPr="00635482" w:rsidRDefault="003B4B41" w:rsidP="00DE2D65">
                  <w:pPr>
                    <w:rPr>
                      <w:rFonts w:ascii="楷体" w:eastAsia="楷体" w:hAnsi="楷体"/>
                      <w:lang w:val="en-GB"/>
                    </w:rPr>
                  </w:pPr>
                  <w:r w:rsidRPr="00635482">
                    <w:rPr>
                      <w:rFonts w:ascii="楷体" w:eastAsia="楷体" w:hAnsi="楷体" w:hint="eastAsia"/>
                      <w:lang w:val="en-GB"/>
                    </w:rPr>
                    <w:t>凯石财富工场</w:t>
                  </w:r>
                </w:p>
                <w:p w:rsidR="003B4B41" w:rsidRDefault="003B4B41" w:rsidP="00DE2D65">
                  <w:r w:rsidRPr="009F2D0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i1043" type="#_x0000_t75" alt="66.jpg" style="width:73.5pt;height:73.5pt;visibility:visible">
                        <v:imagedata r:id="rId7" o:title=""/>
                      </v:shape>
                    </w:pict>
                  </w:r>
                </w:p>
                <w:p w:rsidR="003B4B41" w:rsidRDefault="003B4B41" w:rsidP="00DE2D65">
                  <w:pPr>
                    <w:rPr>
                      <w:rFonts w:ascii="楷体" w:eastAsia="楷体" w:hAnsi="楷体"/>
                      <w:b/>
                      <w:lang w:val="en-GB"/>
                    </w:rPr>
                  </w:pPr>
                </w:p>
                <w:p w:rsidR="003B4B41" w:rsidRPr="00635482" w:rsidRDefault="003B4B41" w:rsidP="00DE2D65">
                  <w:pPr>
                    <w:rPr>
                      <w:rFonts w:ascii="楷体" w:eastAsia="楷体" w:hAnsi="楷体"/>
                      <w:lang w:val="en-GB"/>
                    </w:rPr>
                  </w:pPr>
                  <w:r w:rsidRPr="00635482">
                    <w:rPr>
                      <w:rFonts w:ascii="楷体" w:eastAsia="楷体" w:hAnsi="楷体" w:hint="eastAsia"/>
                      <w:lang w:val="en-GB"/>
                    </w:rPr>
                    <w:t>官方微信：</w:t>
                  </w:r>
                </w:p>
                <w:p w:rsidR="003B4B41" w:rsidRPr="00635482" w:rsidRDefault="003B4B41" w:rsidP="00DE2D65">
                  <w:pPr>
                    <w:rPr>
                      <w:rFonts w:ascii="楷体" w:eastAsia="楷体" w:hAnsi="楷体"/>
                      <w:lang w:val="en-GB"/>
                    </w:rPr>
                  </w:pPr>
                  <w:r w:rsidRPr="00635482">
                    <w:rPr>
                      <w:rFonts w:ascii="楷体" w:eastAsia="楷体" w:hAnsi="楷体" w:hint="eastAsia"/>
                      <w:lang w:val="en-GB"/>
                    </w:rPr>
                    <w:t>凯石财富知音订阅号</w:t>
                  </w:r>
                </w:p>
                <w:p w:rsidR="003B4B41" w:rsidRDefault="003B4B41" w:rsidP="00DE2D65">
                  <w:r w:rsidRPr="00833BB0">
                    <w:rPr>
                      <w:rFonts w:ascii="楷体" w:eastAsia="楷体" w:hAnsi="楷体"/>
                      <w:b/>
                      <w:noProof/>
                    </w:rPr>
                    <w:pict>
                      <v:shape id="图片 7" o:spid="_x0000_i1044" type="#_x0000_t75" alt="凯石财富知音订阅号3.jpg" style="width:75pt;height:75pt;visibility:visible">
                        <v:imagedata r:id="rId8" o:title=""/>
                      </v:shape>
                    </w:pict>
                  </w:r>
                </w:p>
              </w:txbxContent>
            </v:textbox>
          </v:shape>
        </w:pict>
      </w:r>
      <w:r w:rsidRPr="00FC54FE">
        <w:rPr>
          <w:rFonts w:ascii="楷体" w:eastAsia="楷体" w:hAnsi="楷体" w:hint="eastAsia"/>
          <w:b/>
          <w:bCs/>
          <w:color w:val="0070C0"/>
          <w:kern w:val="0"/>
          <w:sz w:val="24"/>
          <w:szCs w:val="20"/>
          <w:lang w:val="en-GB"/>
        </w:rPr>
        <w:t>导语</w:t>
      </w:r>
    </w:p>
    <w:p w:rsidR="003B4B41" w:rsidRPr="00DD660E" w:rsidRDefault="003B4B41" w:rsidP="00133243">
      <w:pPr>
        <w:pStyle w:val="BodyText"/>
        <w:spacing w:after="163"/>
        <w:ind w:firstLineChars="200" w:firstLine="420"/>
        <w:rPr>
          <w:rFonts w:eastAsia="楷体" w:hAnsi="楷体" w:cs="Arial"/>
        </w:rPr>
      </w:pPr>
      <w:r w:rsidRPr="00133243">
        <w:rPr>
          <w:rFonts w:eastAsia="楷体" w:hAnsi="楷体" w:cs="Arial" w:hint="eastAsia"/>
        </w:rPr>
        <w:t>目前美国继续扮演着世界经济复苏火车头，二季度以来在房地产、企业投资、出口和政府活动等经济领域加速，劳动力市场也在日益增强，有力支撑美股指数的上行。持续宽松的货币环境继续有利于美国的资产价格，尤其是房地产和股票市场。因此，</w:t>
      </w:r>
      <w:r w:rsidRPr="00EA0457">
        <w:rPr>
          <w:rFonts w:eastAsia="楷体" w:hAnsi="楷体" w:cs="Arial" w:hint="eastAsia"/>
          <w:b/>
          <w:color w:val="FF0000"/>
        </w:rPr>
        <w:t>目前“美股美房”品种依然是</w:t>
      </w:r>
      <w:r w:rsidRPr="00EA0457">
        <w:rPr>
          <w:rFonts w:eastAsia="楷体" w:hAnsi="楷体" w:cs="Arial"/>
          <w:b/>
          <w:color w:val="FF0000"/>
        </w:rPr>
        <w:t>QDII</w:t>
      </w:r>
      <w:r w:rsidRPr="00EA0457">
        <w:rPr>
          <w:rFonts w:eastAsia="楷体" w:hAnsi="楷体" w:cs="Arial" w:hint="eastAsia"/>
          <w:b/>
          <w:color w:val="FF0000"/>
        </w:rPr>
        <w:t>基金配置的重要选项。但</w:t>
      </w:r>
      <w:r w:rsidRPr="00EA0457">
        <w:rPr>
          <w:rFonts w:eastAsia="楷体" w:hAnsi="楷体" w:cs="Arial"/>
          <w:b/>
          <w:color w:val="FF0000"/>
        </w:rPr>
        <w:t>10</w:t>
      </w:r>
      <w:r w:rsidRPr="00EA0457">
        <w:rPr>
          <w:rFonts w:eastAsia="楷体" w:hAnsi="楷体" w:cs="Arial" w:hint="eastAsia"/>
          <w:b/>
          <w:color w:val="FF0000"/>
        </w:rPr>
        <w:t>月底至</w:t>
      </w:r>
      <w:r w:rsidRPr="00EA0457">
        <w:rPr>
          <w:rFonts w:eastAsia="楷体" w:hAnsi="楷体" w:cs="Arial"/>
          <w:b/>
          <w:color w:val="FF0000"/>
        </w:rPr>
        <w:t>11</w:t>
      </w:r>
      <w:r w:rsidRPr="00EA0457">
        <w:rPr>
          <w:rFonts w:eastAsia="楷体" w:hAnsi="楷体" w:cs="Arial" w:hint="eastAsia"/>
          <w:b/>
          <w:color w:val="FF0000"/>
        </w:rPr>
        <w:t>月初</w:t>
      </w:r>
      <w:r w:rsidRPr="00EA0457">
        <w:rPr>
          <w:rFonts w:eastAsia="楷体" w:hAnsi="楷体" w:cs="Arial"/>
          <w:b/>
          <w:color w:val="FF0000"/>
        </w:rPr>
        <w:t>QE</w:t>
      </w:r>
      <w:r w:rsidRPr="00EA0457">
        <w:rPr>
          <w:rFonts w:eastAsia="楷体" w:hAnsi="楷体" w:cs="Arial" w:hint="eastAsia"/>
          <w:b/>
          <w:color w:val="FF0000"/>
        </w:rPr>
        <w:t>结束期间需严密关注海外市场动向，以便及时调整</w:t>
      </w:r>
      <w:r w:rsidRPr="00EA0457">
        <w:rPr>
          <w:rFonts w:eastAsia="楷体" w:hAnsi="楷体" w:cs="Arial"/>
          <w:b/>
          <w:color w:val="FF0000"/>
        </w:rPr>
        <w:t>QDII</w:t>
      </w:r>
      <w:r w:rsidRPr="00EA0457">
        <w:rPr>
          <w:rFonts w:eastAsia="楷体" w:hAnsi="楷体" w:cs="Arial" w:hint="eastAsia"/>
          <w:b/>
          <w:color w:val="FF0000"/>
        </w:rPr>
        <w:t>组合。</w:t>
      </w:r>
      <w:r w:rsidRPr="00133243">
        <w:rPr>
          <w:rFonts w:eastAsia="楷体" w:hAnsi="楷体" w:cs="Arial" w:hint="eastAsia"/>
        </w:rPr>
        <w:t>考虑到次贷危机以来的三次</w:t>
      </w:r>
      <w:r w:rsidRPr="00133243">
        <w:rPr>
          <w:rFonts w:eastAsia="楷体" w:hAnsi="楷体" w:cs="Arial"/>
        </w:rPr>
        <w:t>QE</w:t>
      </w:r>
      <w:r w:rsidRPr="00133243">
        <w:rPr>
          <w:rFonts w:eastAsia="楷体" w:hAnsi="楷体" w:cs="Arial" w:hint="eastAsia"/>
        </w:rPr>
        <w:t>对美国股市、利率的重要影响，此次</w:t>
      </w:r>
      <w:r w:rsidRPr="00133243">
        <w:rPr>
          <w:rFonts w:eastAsia="楷体" w:hAnsi="楷体" w:cs="Arial"/>
        </w:rPr>
        <w:t>QE</w:t>
      </w:r>
      <w:r w:rsidRPr="00133243">
        <w:rPr>
          <w:rFonts w:eastAsia="楷体" w:hAnsi="楷体" w:cs="Arial" w:hint="eastAsia"/>
        </w:rPr>
        <w:t>结束对美国资产价格、金融环境的潜在影响不容忽视。</w:t>
      </w:r>
    </w:p>
    <w:p w:rsidR="003B4B41" w:rsidRPr="008A0510" w:rsidRDefault="003B4B41" w:rsidP="00133243">
      <w:pPr>
        <w:pStyle w:val="BodyText"/>
        <w:spacing w:after="163"/>
        <w:ind w:firstLineChars="200" w:firstLine="420"/>
        <w:rPr>
          <w:rFonts w:eastAsia="楷体" w:hAnsi="楷体" w:cs="Arial"/>
          <w:b/>
          <w:color w:val="FF0000"/>
        </w:rPr>
      </w:pPr>
      <w:r w:rsidRPr="00133243">
        <w:rPr>
          <w:rFonts w:eastAsia="楷体" w:hAnsi="楷体" w:cs="Arial" w:hint="eastAsia"/>
        </w:rPr>
        <w:t>受自身结构性问题和制裁俄罗斯的影响，欧元区经济继续低迷，二季度</w:t>
      </w:r>
      <w:r w:rsidRPr="00133243">
        <w:rPr>
          <w:rFonts w:eastAsia="楷体" w:hAnsi="楷体" w:cs="Arial"/>
        </w:rPr>
        <w:t>GDP</w:t>
      </w:r>
      <w:r w:rsidRPr="00133243">
        <w:rPr>
          <w:rFonts w:eastAsia="楷体" w:hAnsi="楷体" w:cs="Arial" w:hint="eastAsia"/>
        </w:rPr>
        <w:t>初值环比“零增长”。欧洲央行有可能采取更激进的措施以提振欧元区经济的新压力，目前来看一系列刺激手段尚未直接促成信贷的增长。而乌克兰紧张局势和针对俄罗斯的制裁有加深趋势，</w:t>
      </w:r>
      <w:r>
        <w:rPr>
          <w:rFonts w:eastAsia="楷体" w:hAnsi="楷体" w:cs="Arial" w:hint="eastAsia"/>
        </w:rPr>
        <w:t>地缘政治风险阴云不散</w:t>
      </w:r>
      <w:r w:rsidRPr="00133243">
        <w:rPr>
          <w:rFonts w:eastAsia="楷体" w:hAnsi="楷体" w:cs="Arial" w:hint="eastAsia"/>
        </w:rPr>
        <w:t>。综上，</w:t>
      </w:r>
      <w:r w:rsidRPr="008A0510">
        <w:rPr>
          <w:rFonts w:eastAsia="楷体" w:hAnsi="楷体" w:cs="Arial" w:hint="eastAsia"/>
          <w:b/>
          <w:color w:val="FF0000"/>
        </w:rPr>
        <w:t>凯石工场建议</w:t>
      </w:r>
      <w:r w:rsidRPr="008A0510">
        <w:rPr>
          <w:rFonts w:eastAsia="楷体" w:hAnsi="楷体" w:cs="Arial"/>
          <w:b/>
          <w:color w:val="FF0000"/>
        </w:rPr>
        <w:t>9</w:t>
      </w:r>
      <w:r w:rsidRPr="008A0510">
        <w:rPr>
          <w:rFonts w:eastAsia="楷体" w:hAnsi="楷体" w:cs="Arial" w:hint="eastAsia"/>
          <w:b/>
          <w:color w:val="FF0000"/>
        </w:rPr>
        <w:t>月份</w:t>
      </w:r>
      <w:r w:rsidRPr="008A0510">
        <w:rPr>
          <w:rFonts w:eastAsia="楷体" w:hAnsi="楷体" w:cs="Arial"/>
          <w:b/>
          <w:color w:val="FF0000"/>
        </w:rPr>
        <w:t>QDII</w:t>
      </w:r>
      <w:r w:rsidRPr="008A0510">
        <w:rPr>
          <w:rFonts w:eastAsia="楷体" w:hAnsi="楷体" w:cs="Arial" w:hint="eastAsia"/>
          <w:b/>
          <w:color w:val="FF0000"/>
        </w:rPr>
        <w:t>投资适度回避欧洲市场。</w:t>
      </w:r>
    </w:p>
    <w:p w:rsidR="003B4B41" w:rsidRPr="00133243" w:rsidRDefault="003B4B41" w:rsidP="008A0510">
      <w:pPr>
        <w:pStyle w:val="BodyText"/>
        <w:spacing w:after="163"/>
        <w:ind w:firstLineChars="200" w:firstLine="422"/>
        <w:rPr>
          <w:rFonts w:eastAsia="楷体" w:hAnsi="楷体" w:cs="Arial"/>
        </w:rPr>
      </w:pPr>
      <w:r w:rsidRPr="008A0510">
        <w:rPr>
          <w:rFonts w:eastAsia="楷体" w:hAnsi="楷体" w:cs="Arial" w:hint="eastAsia"/>
          <w:b/>
          <w:color w:val="FF0000"/>
        </w:rPr>
        <w:t>在美欧货币政策基调总体宽松的环境下，新兴市场有望迎来较理想的投资时机，在经济和金融环境层面的系统性风险亦较低。</w:t>
      </w:r>
      <w:r w:rsidRPr="00133243">
        <w:rPr>
          <w:rFonts w:eastAsia="楷体" w:hAnsi="楷体" w:cs="Arial" w:hint="eastAsia"/>
        </w:rPr>
        <w:t>港股方面，上交所已开始“港股通”的测试阶段，这将在流动性方面对于港股市场起到催化剂作用；</w:t>
      </w:r>
      <w:r w:rsidRPr="00133243">
        <w:rPr>
          <w:rFonts w:eastAsia="楷体" w:hAnsi="楷体" w:cs="Arial"/>
        </w:rPr>
        <w:t>10</w:t>
      </w:r>
      <w:r w:rsidRPr="00133243">
        <w:rPr>
          <w:rFonts w:eastAsia="楷体" w:hAnsi="楷体" w:cs="Arial" w:hint="eastAsia"/>
        </w:rPr>
        <w:t>月有望实现真正的港股直通车，届时香港市场有望继续吸引大量合格投资者加入。尽管左右港股走势的内地经济基本面最新数据不佳，但宽松流动性和进一步“稳增长”政策可期，叠加沪港通直</w:t>
      </w:r>
      <w:bookmarkStart w:id="0" w:name="_GoBack"/>
      <w:bookmarkEnd w:id="0"/>
      <w:r w:rsidRPr="00133243">
        <w:rPr>
          <w:rFonts w:eastAsia="楷体" w:hAnsi="楷体" w:cs="Arial" w:hint="eastAsia"/>
        </w:rPr>
        <w:t>接利好，中期来看香港市场仍具相当的配置价值。</w:t>
      </w:r>
    </w:p>
    <w:p w:rsidR="003B4B41" w:rsidRPr="00235C54" w:rsidRDefault="003B4B41" w:rsidP="008A0510">
      <w:pPr>
        <w:pStyle w:val="BodyText"/>
        <w:spacing w:after="163"/>
        <w:ind w:firstLineChars="200" w:firstLine="422"/>
        <w:rPr>
          <w:rFonts w:eastAsia="楷体" w:cs="Arial"/>
          <w:color w:val="FF0000"/>
        </w:rPr>
      </w:pPr>
      <w:r w:rsidRPr="008A0510">
        <w:rPr>
          <w:rFonts w:eastAsia="楷体" w:hAnsi="楷体" w:cs="Arial" w:hint="eastAsia"/>
          <w:b/>
          <w:color w:val="FF0000"/>
        </w:rPr>
        <w:t>综上，凯石工场</w:t>
      </w:r>
      <w:r w:rsidRPr="008A0510">
        <w:rPr>
          <w:rFonts w:eastAsia="楷体" w:hAnsi="楷体" w:cs="Arial"/>
          <w:b/>
          <w:color w:val="FF0000"/>
        </w:rPr>
        <w:t>9</w:t>
      </w:r>
      <w:r w:rsidRPr="008A0510">
        <w:rPr>
          <w:rFonts w:eastAsia="楷体" w:hAnsi="楷体" w:cs="Arial" w:hint="eastAsia"/>
          <w:b/>
          <w:color w:val="FF0000"/>
        </w:rPr>
        <w:t>月份</w:t>
      </w:r>
      <w:r w:rsidRPr="008A0510">
        <w:rPr>
          <w:rFonts w:eastAsia="楷体" w:hAnsi="楷体" w:cs="Arial"/>
          <w:b/>
          <w:color w:val="FF0000"/>
        </w:rPr>
        <w:t>QDII</w:t>
      </w:r>
      <w:r w:rsidRPr="008A0510">
        <w:rPr>
          <w:rFonts w:eastAsia="楷体" w:hAnsi="楷体" w:cs="Arial" w:hint="eastAsia"/>
          <w:b/>
          <w:color w:val="FF0000"/>
        </w:rPr>
        <w:t>投资建议延续“美股美房</w:t>
      </w:r>
      <w:r w:rsidRPr="008A0510">
        <w:rPr>
          <w:rFonts w:eastAsia="楷体" w:hAnsi="楷体" w:cs="Arial"/>
          <w:b/>
          <w:color w:val="FF0000"/>
        </w:rPr>
        <w:t>+</w:t>
      </w:r>
      <w:r w:rsidRPr="008A0510">
        <w:rPr>
          <w:rFonts w:eastAsia="楷体" w:hAnsi="楷体" w:cs="Arial" w:hint="eastAsia"/>
          <w:b/>
          <w:color w:val="FF0000"/>
        </w:rPr>
        <w:t>香港市场”的均衡配置，同时严密关注</w:t>
      </w:r>
      <w:r w:rsidRPr="008A0510">
        <w:rPr>
          <w:rFonts w:eastAsia="楷体" w:hAnsi="楷体" w:cs="Arial"/>
          <w:b/>
          <w:color w:val="FF0000"/>
        </w:rPr>
        <w:t>QE</w:t>
      </w:r>
      <w:r w:rsidRPr="008A0510">
        <w:rPr>
          <w:rFonts w:eastAsia="楷体" w:hAnsi="楷体" w:cs="Arial" w:hint="eastAsia"/>
          <w:b/>
          <w:color w:val="FF0000"/>
        </w:rPr>
        <w:t>退出引发的市场动态。</w:t>
      </w:r>
      <w:r w:rsidRPr="00235C54">
        <w:rPr>
          <w:rFonts w:eastAsia="楷体" w:hAnsi="楷体" w:cs="Arial" w:hint="eastAsia"/>
          <w:color w:val="FF0000"/>
        </w:rPr>
        <w:t>基金组合包括美股指数基金、投资美国房地产行业股票及</w:t>
      </w:r>
      <w:r w:rsidRPr="00235C54">
        <w:rPr>
          <w:rFonts w:eastAsia="楷体" w:hAnsi="楷体" w:cs="Arial"/>
          <w:color w:val="FF0000"/>
        </w:rPr>
        <w:t>REITs</w:t>
      </w:r>
      <w:r w:rsidRPr="00235C54">
        <w:rPr>
          <w:rFonts w:eastAsia="楷体" w:hAnsi="楷体" w:cs="Arial" w:hint="eastAsia"/>
          <w:color w:val="FF0000"/>
        </w:rPr>
        <w:t>基金、以港股为代表的新兴市场基金，从而在分散区域风险的同时</w:t>
      </w:r>
      <w:r w:rsidRPr="00235C54">
        <w:rPr>
          <w:rFonts w:eastAsia="楷体" w:cs="Arial" w:hint="eastAsia"/>
          <w:color w:val="FF0000"/>
        </w:rPr>
        <w:t>有效把握住阶段行情。</w:t>
      </w:r>
      <w:r w:rsidRPr="00235C54">
        <w:rPr>
          <w:rFonts w:eastAsia="楷体" w:hAnsi="楷体" w:cs="Arial" w:hint="eastAsia"/>
          <w:color w:val="FF0000"/>
        </w:rPr>
        <w:t>具体产品推荐国泰纳斯达克</w:t>
      </w:r>
      <w:r w:rsidRPr="00235C54">
        <w:rPr>
          <w:rFonts w:eastAsia="楷体" w:hAnsi="楷体" w:cs="Arial"/>
          <w:color w:val="FF0000"/>
        </w:rPr>
        <w:t>100</w:t>
      </w:r>
      <w:r w:rsidRPr="00235C54">
        <w:rPr>
          <w:rFonts w:eastAsia="楷体" w:hAnsi="楷体" w:cs="Arial" w:hint="eastAsia"/>
          <w:color w:val="FF0000"/>
        </w:rPr>
        <w:t>指数基金、大成标普</w:t>
      </w:r>
      <w:r w:rsidRPr="00235C54">
        <w:rPr>
          <w:rFonts w:eastAsia="楷体" w:hAnsi="楷体" w:cs="Arial"/>
          <w:color w:val="FF0000"/>
        </w:rPr>
        <w:t>500</w:t>
      </w:r>
      <w:r w:rsidRPr="00235C54">
        <w:rPr>
          <w:rFonts w:eastAsia="楷体" w:hAnsi="楷体" w:cs="Arial" w:hint="eastAsia"/>
          <w:color w:val="FF0000"/>
        </w:rPr>
        <w:t>等权重指数基金、鹏华美国房地产基金、华夏恒生</w:t>
      </w:r>
      <w:r w:rsidRPr="00235C54">
        <w:rPr>
          <w:rFonts w:eastAsia="楷体" w:hAnsi="楷体" w:cs="Arial"/>
          <w:color w:val="FF0000"/>
        </w:rPr>
        <w:t>ETF</w:t>
      </w:r>
      <w:r w:rsidRPr="00235C54">
        <w:rPr>
          <w:rFonts w:eastAsia="楷体" w:hAnsi="楷体" w:cs="Arial" w:hint="eastAsia"/>
          <w:color w:val="FF0000"/>
        </w:rPr>
        <w:t>基金、嘉实恒生中国企业基金、博时大中华亚太精选基金。</w:t>
      </w:r>
    </w:p>
    <w:p w:rsidR="003B4B41" w:rsidRDefault="003B4B41" w:rsidP="00330DE1">
      <w:pPr>
        <w:widowControl/>
        <w:spacing w:after="120" w:line="240" w:lineRule="exact"/>
        <w:ind w:left="3430"/>
        <w:rPr>
          <w:rFonts w:ascii="楷体" w:eastAsia="楷体" w:hAnsi="楷体"/>
          <w:b/>
          <w:bCs/>
          <w:color w:val="0070C0"/>
          <w:kern w:val="0"/>
          <w:sz w:val="24"/>
          <w:szCs w:val="20"/>
          <w:lang w:val="en-GB"/>
        </w:rPr>
      </w:pPr>
      <w:r>
        <w:rPr>
          <w:rFonts w:ascii="楷体" w:eastAsia="楷体" w:hAnsi="楷体" w:hint="eastAsia"/>
          <w:b/>
          <w:bCs/>
          <w:color w:val="0070C0"/>
          <w:kern w:val="0"/>
          <w:sz w:val="24"/>
          <w:szCs w:val="20"/>
          <w:lang w:val="en-GB"/>
        </w:rPr>
        <w:t>一、</w:t>
      </w:r>
      <w:r>
        <w:rPr>
          <w:rFonts w:ascii="楷体" w:eastAsia="楷体" w:hAnsi="楷体"/>
          <w:b/>
          <w:bCs/>
          <w:color w:val="0070C0"/>
          <w:kern w:val="0"/>
          <w:sz w:val="24"/>
          <w:szCs w:val="20"/>
          <w:lang w:val="en-GB"/>
        </w:rPr>
        <w:t>QDII</w:t>
      </w:r>
      <w:r>
        <w:rPr>
          <w:rFonts w:ascii="楷体" w:eastAsia="楷体" w:hAnsi="楷体" w:hint="eastAsia"/>
          <w:b/>
          <w:bCs/>
          <w:color w:val="0070C0"/>
          <w:kern w:val="0"/>
          <w:sz w:val="24"/>
          <w:szCs w:val="20"/>
          <w:lang w:val="en-GB"/>
        </w:rPr>
        <w:t>基金</w:t>
      </w:r>
      <w:r>
        <w:rPr>
          <w:rFonts w:ascii="楷体" w:eastAsia="楷体" w:hAnsi="楷体"/>
          <w:b/>
          <w:bCs/>
          <w:color w:val="0070C0"/>
          <w:kern w:val="0"/>
          <w:sz w:val="24"/>
          <w:szCs w:val="20"/>
          <w:lang w:val="en-GB"/>
        </w:rPr>
        <w:t>8</w:t>
      </w:r>
      <w:r>
        <w:rPr>
          <w:rFonts w:ascii="楷体" w:eastAsia="楷体" w:hAnsi="楷体" w:hint="eastAsia"/>
          <w:b/>
          <w:bCs/>
          <w:color w:val="0070C0"/>
          <w:kern w:val="0"/>
          <w:sz w:val="24"/>
          <w:szCs w:val="20"/>
          <w:lang w:val="en-GB"/>
        </w:rPr>
        <w:t>月份收益情况</w:t>
      </w:r>
    </w:p>
    <w:p w:rsidR="003B4B41" w:rsidRDefault="003B4B41" w:rsidP="00330DE1">
      <w:pPr>
        <w:pStyle w:val="BodyText"/>
        <w:spacing w:after="163"/>
        <w:rPr>
          <w:rFonts w:ascii="楷体" w:eastAsia="楷体" w:hAnsi="楷体"/>
        </w:rPr>
      </w:pPr>
      <w:r>
        <w:rPr>
          <w:rFonts w:ascii="楷体" w:eastAsia="楷体" w:hAnsi="楷体"/>
          <w:b/>
          <w:bCs/>
          <w:color w:val="0070C0"/>
          <w:szCs w:val="21"/>
        </w:rPr>
        <w:t>8</w:t>
      </w:r>
      <w:r>
        <w:rPr>
          <w:rFonts w:ascii="楷体" w:eastAsia="楷体" w:hAnsi="楷体" w:hint="eastAsia"/>
          <w:b/>
          <w:bCs/>
          <w:color w:val="0070C0"/>
          <w:szCs w:val="21"/>
        </w:rPr>
        <w:t>月“美股”领跑</w:t>
      </w:r>
      <w:r>
        <w:rPr>
          <w:rFonts w:ascii="楷体" w:eastAsia="楷体" w:hAnsi="楷体"/>
          <w:b/>
          <w:bCs/>
          <w:color w:val="0070C0"/>
          <w:szCs w:val="21"/>
        </w:rPr>
        <w:t xml:space="preserve"> </w:t>
      </w:r>
      <w:r>
        <w:rPr>
          <w:rFonts w:ascii="楷体" w:eastAsia="楷体" w:hAnsi="楷体" w:hint="eastAsia"/>
          <w:b/>
          <w:bCs/>
          <w:color w:val="0070C0"/>
          <w:szCs w:val="21"/>
        </w:rPr>
        <w:t>年内“美房”称雄</w:t>
      </w:r>
    </w:p>
    <w:p w:rsidR="003B4B41" w:rsidRDefault="003B4B41" w:rsidP="00330DE1">
      <w:pPr>
        <w:pStyle w:val="BodyText"/>
        <w:numPr>
          <w:ilvl w:val="4"/>
          <w:numId w:val="1"/>
        </w:numPr>
        <w:spacing w:after="163"/>
        <w:rPr>
          <w:rFonts w:eastAsia="楷体" w:cs="Arial"/>
        </w:rPr>
      </w:pPr>
      <w:r>
        <w:rPr>
          <w:rFonts w:eastAsia="楷体" w:cs="Arial"/>
        </w:rPr>
        <w:t>8</w:t>
      </w:r>
      <w:r>
        <w:rPr>
          <w:rFonts w:eastAsia="楷体" w:cs="Arial" w:hint="eastAsia"/>
        </w:rPr>
        <w:t>月上旬以来，美国股市触底反弹并创出新高，</w:t>
      </w:r>
      <w:r>
        <w:rPr>
          <w:rFonts w:hint="eastAsia"/>
        </w:rPr>
        <w:t>标普</w:t>
      </w:r>
      <w:r>
        <w:t>500</w:t>
      </w:r>
      <w:r>
        <w:rPr>
          <w:rFonts w:hint="eastAsia"/>
        </w:rPr>
        <w:t>首次突破</w:t>
      </w:r>
      <w:r>
        <w:t>2000</w:t>
      </w:r>
      <w:r>
        <w:rPr>
          <w:rFonts w:hint="eastAsia"/>
        </w:rPr>
        <w:t>点关口。美联储对于加息尚无进一步表态，欧央行暗示将实行更多刺激政策等消息提振了市场人气，使得目前海外市场气氛较好。而</w:t>
      </w:r>
      <w:r w:rsidRPr="002040AE">
        <w:rPr>
          <w:rFonts w:hint="eastAsia"/>
        </w:rPr>
        <w:t>港股</w:t>
      </w:r>
      <w:r>
        <w:rPr>
          <w:rFonts w:hint="eastAsia"/>
        </w:rPr>
        <w:t>因前期涨幅较大，缺乏进一步利好消息推动，</w:t>
      </w:r>
      <w:r w:rsidRPr="002040AE">
        <w:rPr>
          <w:rFonts w:hint="eastAsia"/>
        </w:rPr>
        <w:t>陷入</w:t>
      </w:r>
      <w:r>
        <w:rPr>
          <w:rFonts w:hint="eastAsia"/>
        </w:rPr>
        <w:t>高位震荡</w:t>
      </w:r>
      <w:r w:rsidRPr="002040AE">
        <w:rPr>
          <w:rFonts w:hint="eastAsia"/>
        </w:rPr>
        <w:t>调整之中。</w:t>
      </w:r>
      <w:r>
        <w:rPr>
          <w:rFonts w:eastAsia="楷体" w:cs="Arial" w:hint="eastAsia"/>
        </w:rPr>
        <w:t>凯石工场统计的</w:t>
      </w:r>
      <w:r>
        <w:rPr>
          <w:rFonts w:eastAsia="楷体" w:cs="Arial"/>
        </w:rPr>
        <w:t>91</w:t>
      </w:r>
      <w:r w:rsidRPr="00D47A61">
        <w:rPr>
          <w:rFonts w:eastAsia="楷体" w:cs="Arial" w:hint="eastAsia"/>
        </w:rPr>
        <w:t>只</w:t>
      </w:r>
      <w:r>
        <w:rPr>
          <w:rFonts w:eastAsia="楷体" w:cs="Arial"/>
        </w:rPr>
        <w:t>QDII</w:t>
      </w:r>
      <w:r>
        <w:rPr>
          <w:rFonts w:eastAsia="楷体" w:cs="Arial" w:hint="eastAsia"/>
        </w:rPr>
        <w:t>基金</w:t>
      </w:r>
      <w:r>
        <w:rPr>
          <w:rFonts w:eastAsia="楷体" w:cs="Arial"/>
        </w:rPr>
        <w:t>8</w:t>
      </w:r>
      <w:r>
        <w:rPr>
          <w:rFonts w:eastAsia="楷体" w:cs="Arial" w:hint="eastAsia"/>
        </w:rPr>
        <w:t>月份</w:t>
      </w:r>
      <w:r w:rsidRPr="00D47A61">
        <w:rPr>
          <w:rFonts w:eastAsia="楷体" w:cs="Arial" w:hint="eastAsia"/>
        </w:rPr>
        <w:t>平均收益</w:t>
      </w:r>
      <w:r>
        <w:rPr>
          <w:rFonts w:eastAsia="楷体" w:cs="Arial"/>
        </w:rPr>
        <w:t>1.08</w:t>
      </w:r>
      <w:r w:rsidRPr="00D47A61">
        <w:rPr>
          <w:rFonts w:eastAsia="楷体" w:cs="Arial"/>
        </w:rPr>
        <w:t>%</w:t>
      </w:r>
      <w:r>
        <w:rPr>
          <w:rFonts w:eastAsia="楷体" w:cs="Arial" w:hint="eastAsia"/>
        </w:rPr>
        <w:t>，涨幅前</w:t>
      </w:r>
      <w:r>
        <w:rPr>
          <w:rFonts w:eastAsia="楷体" w:cs="Arial"/>
        </w:rPr>
        <w:t>10</w:t>
      </w:r>
      <w:r>
        <w:rPr>
          <w:rFonts w:eastAsia="楷体" w:cs="Arial" w:hint="eastAsia"/>
        </w:rPr>
        <w:t>几乎全被投资美股的品种包揽，而部分新兴市场和能源资源类商品基金则出现小幅下跌。纵观今年</w:t>
      </w:r>
      <w:r>
        <w:rPr>
          <w:rFonts w:eastAsia="楷体" w:cs="Arial"/>
        </w:rPr>
        <w:t>8</w:t>
      </w:r>
      <w:r>
        <w:rPr>
          <w:rFonts w:eastAsia="楷体" w:cs="Arial" w:hint="eastAsia"/>
        </w:rPr>
        <w:t>个月以来的业绩表现，涨幅超过</w:t>
      </w:r>
      <w:r>
        <w:rPr>
          <w:rFonts w:eastAsia="楷体" w:cs="Arial"/>
        </w:rPr>
        <w:t>15%</w:t>
      </w:r>
      <w:r>
        <w:rPr>
          <w:rFonts w:eastAsia="楷体" w:cs="Arial" w:hint="eastAsia"/>
        </w:rPr>
        <w:t>的</w:t>
      </w:r>
      <w:r>
        <w:rPr>
          <w:rFonts w:eastAsia="楷体" w:cs="Arial"/>
        </w:rPr>
        <w:t>4</w:t>
      </w:r>
      <w:r>
        <w:rPr>
          <w:rFonts w:eastAsia="楷体" w:cs="Arial" w:hint="eastAsia"/>
        </w:rPr>
        <w:t>只产品则全部为投资美房地产的品种</w:t>
      </w:r>
      <w:r w:rsidRPr="00D47A61">
        <w:rPr>
          <w:rFonts w:eastAsia="楷体" w:cs="Arial" w:hint="eastAsia"/>
        </w:rPr>
        <w:t>。</w:t>
      </w:r>
    </w:p>
    <w:tbl>
      <w:tblPr>
        <w:tblW w:w="7442" w:type="dxa"/>
        <w:tblInd w:w="340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7442"/>
      </w:tblGrid>
      <w:tr w:rsidR="003B4B41" w:rsidRPr="00833BB0" w:rsidTr="0093179F">
        <w:trPr>
          <w:cantSplit/>
          <w:trHeight w:val="65"/>
        </w:trPr>
        <w:tc>
          <w:tcPr>
            <w:tcW w:w="7442" w:type="dxa"/>
            <w:vAlign w:val="center"/>
          </w:tcPr>
          <w:p w:rsidR="003B4B41" w:rsidRPr="00FC54FE" w:rsidRDefault="003B4B41" w:rsidP="00101AC8">
            <w:pPr>
              <w:pStyle w:val="SubTitleLargeTable"/>
              <w:pBdr>
                <w:top w:val="none" w:sz="0" w:space="0" w:color="auto"/>
              </w:pBdr>
              <w:rPr>
                <w:rFonts w:ascii="楷体" w:eastAsia="楷体" w:hAnsi="楷体"/>
                <w:b w:val="0"/>
                <w:color w:val="FF6600"/>
              </w:rPr>
            </w:pPr>
            <w:r w:rsidRPr="00FC54FE">
              <w:rPr>
                <w:rFonts w:ascii="楷体" w:eastAsia="楷体" w:hAnsi="楷体" w:hint="eastAsia"/>
                <w:color w:val="FF6600"/>
              </w:rPr>
              <w:t>图表</w:t>
            </w:r>
            <w:r w:rsidRPr="00FC54FE">
              <w:rPr>
                <w:rFonts w:ascii="楷体" w:eastAsia="楷体" w:hAnsi="楷体"/>
                <w:color w:val="FF6600"/>
              </w:rPr>
              <w:t>1</w:t>
            </w:r>
            <w:r w:rsidRPr="00FC54FE">
              <w:rPr>
                <w:rFonts w:ascii="楷体" w:eastAsia="楷体" w:hAnsi="楷体" w:hint="eastAsia"/>
                <w:color w:val="FF6600"/>
              </w:rPr>
              <w:t>：</w:t>
            </w:r>
            <w:r w:rsidRPr="00FC54FE">
              <w:rPr>
                <w:rFonts w:ascii="楷体" w:eastAsia="楷体" w:hAnsi="楷体"/>
                <w:b w:val="0"/>
                <w:color w:val="FF6600"/>
              </w:rPr>
              <w:t xml:space="preserve"> </w:t>
            </w:r>
            <w:r>
              <w:rPr>
                <w:rFonts w:ascii="楷体" w:eastAsia="楷体" w:hAnsi="楷体"/>
                <w:color w:val="FF6600"/>
              </w:rPr>
              <w:t>8</w:t>
            </w:r>
            <w:r>
              <w:rPr>
                <w:rFonts w:ascii="楷体" w:eastAsia="楷体" w:hAnsi="楷体" w:hint="eastAsia"/>
                <w:color w:val="FF6600"/>
              </w:rPr>
              <w:t>月份各</w:t>
            </w:r>
            <w:r w:rsidRPr="007F54BB">
              <w:rPr>
                <w:rFonts w:ascii="楷体" w:eastAsia="楷体" w:hAnsi="楷体" w:hint="eastAsia"/>
                <w:color w:val="FF6600"/>
              </w:rPr>
              <w:t>类</w:t>
            </w:r>
            <w:r w:rsidRPr="007F54BB">
              <w:rPr>
                <w:rFonts w:ascii="楷体" w:eastAsia="楷体" w:hAnsi="楷体"/>
                <w:color w:val="FF6600"/>
              </w:rPr>
              <w:t>QDII</w:t>
            </w:r>
            <w:r w:rsidRPr="007F54BB">
              <w:rPr>
                <w:rFonts w:ascii="楷体" w:eastAsia="楷体" w:hAnsi="楷体" w:hint="eastAsia"/>
                <w:color w:val="FF6600"/>
              </w:rPr>
              <w:t>基金</w:t>
            </w:r>
            <w:r>
              <w:rPr>
                <w:rFonts w:ascii="楷体" w:eastAsia="楷体" w:hAnsi="楷体" w:hint="eastAsia"/>
                <w:color w:val="FF6600"/>
              </w:rPr>
              <w:t>业绩表现</w:t>
            </w:r>
          </w:p>
        </w:tc>
      </w:tr>
      <w:tr w:rsidR="003B4B41" w:rsidRPr="00833BB0" w:rsidTr="0093179F">
        <w:trPr>
          <w:cantSplit/>
          <w:trHeight w:val="2599"/>
        </w:trPr>
        <w:tc>
          <w:tcPr>
            <w:tcW w:w="7442" w:type="dxa"/>
            <w:vAlign w:val="center"/>
          </w:tcPr>
          <w:p w:rsidR="003B4B41" w:rsidRPr="00833BB0" w:rsidRDefault="003B4B41" w:rsidP="000E654D">
            <w:pPr>
              <w:snapToGrid w:val="0"/>
              <w:spacing w:line="10" w:lineRule="atLeast"/>
              <w:jc w:val="center"/>
              <w:rPr>
                <w:rFonts w:ascii="楷体" w:eastAsia="楷体" w:hAnsi="楷体"/>
                <w:b/>
              </w:rPr>
            </w:pPr>
            <w:r w:rsidRPr="00833BB0">
              <w:rPr>
                <w:rFonts w:ascii="楷体" w:eastAsia="楷体" w:hAnsi="楷体"/>
                <w:b/>
                <w:noProof/>
              </w:rPr>
              <w:pict>
                <v:shape id="图片 6" o:spid="_x0000_i1045" type="#_x0000_t75" style="width:282pt;height:2in;visibility:visible">
                  <v:imagedata r:id="rId9" o:title=""/>
                </v:shape>
              </w:pict>
            </w:r>
          </w:p>
        </w:tc>
      </w:tr>
    </w:tbl>
    <w:p w:rsidR="003B4B41" w:rsidRPr="007F54BB" w:rsidRDefault="003B4B41" w:rsidP="00330DE1">
      <w:pPr>
        <w:pStyle w:val="FootnoteNoline"/>
        <w:rPr>
          <w:rFonts w:ascii="楷体" w:eastAsia="楷体" w:hAnsi="楷体"/>
          <w:color w:val="FF6600"/>
        </w:rPr>
      </w:pPr>
      <w:r w:rsidRPr="00FC54FE">
        <w:rPr>
          <w:rFonts w:ascii="楷体" w:eastAsia="楷体" w:hAnsi="楷体" w:hint="eastAsia"/>
          <w:color w:val="FF6600"/>
        </w:rPr>
        <w:t>来源：凯石财富工场</w:t>
      </w:r>
      <w:r w:rsidRPr="00FC54FE">
        <w:rPr>
          <w:rFonts w:ascii="楷体" w:eastAsia="楷体" w:hAnsi="楷体"/>
          <w:color w:val="FF6600"/>
        </w:rPr>
        <w:t xml:space="preserve"> </w:t>
      </w:r>
      <w:r>
        <w:rPr>
          <w:rFonts w:ascii="楷体" w:eastAsia="楷体" w:hAnsi="楷体"/>
          <w:color w:val="FF6600"/>
        </w:rPr>
        <w:t>Wind</w:t>
      </w:r>
      <w:r w:rsidRPr="00FC54FE">
        <w:rPr>
          <w:rFonts w:ascii="楷体" w:eastAsia="楷体" w:hAnsi="楷体" w:hint="eastAsia"/>
          <w:color w:val="FF6600"/>
        </w:rPr>
        <w:t>数据</w:t>
      </w:r>
    </w:p>
    <w:p w:rsidR="003B4B41" w:rsidRDefault="003B4B41" w:rsidP="00A70401">
      <w:pPr>
        <w:widowControl/>
        <w:spacing w:after="120" w:line="240" w:lineRule="exact"/>
        <w:ind w:left="3430"/>
        <w:rPr>
          <w:rFonts w:ascii="楷体" w:eastAsia="楷体" w:hAnsi="楷体"/>
          <w:b/>
          <w:bCs/>
          <w:color w:val="0070C0"/>
          <w:kern w:val="0"/>
          <w:sz w:val="24"/>
          <w:szCs w:val="20"/>
          <w:lang w:val="en-GB"/>
        </w:rPr>
      </w:pPr>
      <w:r>
        <w:rPr>
          <w:rFonts w:ascii="楷体" w:eastAsia="楷体" w:hAnsi="楷体" w:hint="eastAsia"/>
          <w:b/>
          <w:bCs/>
          <w:color w:val="0070C0"/>
          <w:kern w:val="0"/>
          <w:sz w:val="24"/>
          <w:szCs w:val="20"/>
          <w:lang w:val="en-GB"/>
        </w:rPr>
        <w:t>二、</w:t>
      </w:r>
      <w:r>
        <w:rPr>
          <w:rFonts w:ascii="楷体" w:eastAsia="楷体" w:hAnsi="楷体"/>
          <w:b/>
          <w:bCs/>
          <w:color w:val="0070C0"/>
          <w:kern w:val="0"/>
          <w:sz w:val="24"/>
          <w:szCs w:val="20"/>
          <w:lang w:val="en-GB"/>
        </w:rPr>
        <w:t>QDII</w:t>
      </w:r>
      <w:r>
        <w:rPr>
          <w:rFonts w:ascii="楷体" w:eastAsia="楷体" w:hAnsi="楷体" w:hint="eastAsia"/>
          <w:b/>
          <w:bCs/>
          <w:color w:val="0070C0"/>
          <w:kern w:val="0"/>
          <w:sz w:val="24"/>
          <w:szCs w:val="20"/>
          <w:lang w:val="en-GB"/>
        </w:rPr>
        <w:t>基金</w:t>
      </w:r>
      <w:r>
        <w:rPr>
          <w:rFonts w:ascii="楷体" w:eastAsia="楷体" w:hAnsi="楷体"/>
          <w:b/>
          <w:bCs/>
          <w:color w:val="0070C0"/>
          <w:kern w:val="0"/>
          <w:sz w:val="24"/>
          <w:szCs w:val="20"/>
          <w:lang w:val="en-GB"/>
        </w:rPr>
        <w:t>9</w:t>
      </w:r>
      <w:r>
        <w:rPr>
          <w:rFonts w:ascii="楷体" w:eastAsia="楷体" w:hAnsi="楷体" w:hint="eastAsia"/>
          <w:b/>
          <w:bCs/>
          <w:color w:val="0070C0"/>
          <w:kern w:val="0"/>
          <w:sz w:val="24"/>
          <w:szCs w:val="20"/>
          <w:lang w:val="en-GB"/>
        </w:rPr>
        <w:t>月投资策略</w:t>
      </w:r>
    </w:p>
    <w:p w:rsidR="003B4B41" w:rsidRPr="00FC54FE" w:rsidRDefault="003B4B41" w:rsidP="00A70401">
      <w:pPr>
        <w:widowControl/>
        <w:spacing w:after="120" w:line="240" w:lineRule="exact"/>
        <w:ind w:left="3430"/>
        <w:rPr>
          <w:rFonts w:ascii="楷体" w:eastAsia="楷体" w:hAnsi="楷体"/>
          <w:b/>
          <w:bCs/>
          <w:color w:val="0070C0"/>
          <w:kern w:val="0"/>
          <w:sz w:val="24"/>
          <w:szCs w:val="20"/>
          <w:lang w:val="en-GB"/>
        </w:rPr>
      </w:pPr>
      <w:r>
        <w:rPr>
          <w:rFonts w:ascii="楷体" w:eastAsia="楷体" w:hAnsi="楷体" w:hint="eastAsia"/>
          <w:b/>
          <w:bCs/>
          <w:color w:val="0070C0"/>
          <w:kern w:val="0"/>
          <w:sz w:val="24"/>
          <w:szCs w:val="20"/>
          <w:lang w:val="en-GB"/>
        </w:rPr>
        <w:t>紧密关注</w:t>
      </w:r>
      <w:r>
        <w:rPr>
          <w:rFonts w:ascii="楷体" w:eastAsia="楷体" w:hAnsi="楷体"/>
          <w:b/>
          <w:bCs/>
          <w:color w:val="0070C0"/>
          <w:kern w:val="0"/>
          <w:sz w:val="24"/>
          <w:szCs w:val="20"/>
          <w:lang w:val="en-GB"/>
        </w:rPr>
        <w:t>QE</w:t>
      </w:r>
      <w:r>
        <w:rPr>
          <w:rFonts w:ascii="楷体" w:eastAsia="楷体" w:hAnsi="楷体" w:hint="eastAsia"/>
          <w:b/>
          <w:bCs/>
          <w:color w:val="0070C0"/>
          <w:kern w:val="0"/>
          <w:sz w:val="24"/>
          <w:szCs w:val="20"/>
          <w:lang w:val="en-GB"/>
        </w:rPr>
        <w:t>进程</w:t>
      </w:r>
      <w:r>
        <w:rPr>
          <w:rFonts w:ascii="楷体" w:eastAsia="楷体" w:hAnsi="楷体"/>
          <w:b/>
          <w:bCs/>
          <w:color w:val="0070C0"/>
          <w:kern w:val="0"/>
          <w:sz w:val="24"/>
          <w:szCs w:val="20"/>
          <w:lang w:val="en-GB"/>
        </w:rPr>
        <w:t xml:space="preserve"> </w:t>
      </w:r>
      <w:r>
        <w:rPr>
          <w:rFonts w:ascii="楷体" w:eastAsia="楷体" w:hAnsi="楷体" w:hint="eastAsia"/>
          <w:b/>
          <w:bCs/>
          <w:color w:val="0070C0"/>
          <w:kern w:val="0"/>
          <w:sz w:val="24"/>
          <w:szCs w:val="20"/>
          <w:lang w:val="en-GB"/>
        </w:rPr>
        <w:t>美股港股均衡配置</w:t>
      </w:r>
    </w:p>
    <w:p w:rsidR="003B4B41" w:rsidRDefault="003B4B41" w:rsidP="00F40A16">
      <w:pPr>
        <w:pStyle w:val="BodyText"/>
        <w:numPr>
          <w:ilvl w:val="4"/>
          <w:numId w:val="1"/>
        </w:numPr>
        <w:spacing w:after="163"/>
        <w:rPr>
          <w:rFonts w:eastAsia="楷体" w:cs="Arial"/>
        </w:rPr>
      </w:pPr>
      <w:r>
        <w:t>7</w:t>
      </w:r>
      <w:r>
        <w:rPr>
          <w:rFonts w:hint="eastAsia"/>
        </w:rPr>
        <w:t>月以来，美国央行议息会议已落定“总体偏宽松”姿态，对于加息迄今并无进一步表态。欧洲央行自提出负利率后预计将会继续进行“极度宽松”的货币政策引导，暗示将实行更多刺激政策等消息提振了市场人气。</w:t>
      </w:r>
      <w:r>
        <w:rPr>
          <w:rFonts w:eastAsia="楷体" w:cs="Arial" w:hint="eastAsia"/>
        </w:rPr>
        <w:t>目前</w:t>
      </w:r>
      <w:r w:rsidRPr="00603D57">
        <w:rPr>
          <w:rFonts w:eastAsia="楷体" w:cs="Arial" w:hint="eastAsia"/>
        </w:rPr>
        <w:t>美国继续扮演着世界经济复苏火车头，</w:t>
      </w:r>
      <w:r>
        <w:rPr>
          <w:rFonts w:hint="eastAsia"/>
        </w:rPr>
        <w:t>在房地产、企业投资、出口和政府活动等经济领域加速，劳动力市场也在日益增强，故凯石工场</w:t>
      </w:r>
      <w:r>
        <w:t>9</w:t>
      </w:r>
      <w:r>
        <w:rPr>
          <w:rFonts w:hint="eastAsia"/>
        </w:rPr>
        <w:t>月依旧维持对美国市场</w:t>
      </w:r>
      <w:r>
        <w:t>QDII</w:t>
      </w:r>
      <w:r>
        <w:rPr>
          <w:rFonts w:hint="eastAsia"/>
        </w:rPr>
        <w:t>的推荐，但</w:t>
      </w:r>
      <w:r>
        <w:t>10</w:t>
      </w:r>
      <w:r>
        <w:rPr>
          <w:rFonts w:hint="eastAsia"/>
        </w:rPr>
        <w:t>月</w:t>
      </w:r>
      <w:r>
        <w:t>QE</w:t>
      </w:r>
      <w:r>
        <w:rPr>
          <w:rFonts w:hint="eastAsia"/>
        </w:rPr>
        <w:t>退出时需密切关注海外动向。</w:t>
      </w:r>
      <w:r>
        <w:rPr>
          <w:rFonts w:hint="eastAsia"/>
          <w:szCs w:val="21"/>
          <w:lang w:val="en-US"/>
        </w:rPr>
        <w:t>美</w:t>
      </w:r>
      <w:r w:rsidRPr="003B099C">
        <w:rPr>
          <w:rFonts w:hint="eastAsia"/>
          <w:szCs w:val="21"/>
          <w:lang w:val="en-US"/>
        </w:rPr>
        <w:t>央行</w:t>
      </w:r>
      <w:r>
        <w:rPr>
          <w:rFonts w:hint="eastAsia"/>
          <w:szCs w:val="21"/>
          <w:lang w:val="en-US"/>
        </w:rPr>
        <w:t>低利率的市场环境也给新兴国家带来较好的投资</w:t>
      </w:r>
      <w:r w:rsidRPr="003B099C">
        <w:rPr>
          <w:rFonts w:hint="eastAsia"/>
          <w:szCs w:val="21"/>
          <w:lang w:val="en-US"/>
        </w:rPr>
        <w:t>窗口</w:t>
      </w:r>
      <w:r>
        <w:rPr>
          <w:rFonts w:hint="eastAsia"/>
          <w:szCs w:val="21"/>
          <w:lang w:val="en-US"/>
        </w:rPr>
        <w:t>，</w:t>
      </w:r>
      <w:r w:rsidRPr="003B099C">
        <w:rPr>
          <w:szCs w:val="21"/>
        </w:rPr>
        <w:t>10</w:t>
      </w:r>
      <w:r w:rsidRPr="003B099C">
        <w:rPr>
          <w:rFonts w:hint="eastAsia"/>
          <w:szCs w:val="21"/>
        </w:rPr>
        <w:t>月</w:t>
      </w:r>
      <w:r>
        <w:rPr>
          <w:rFonts w:hint="eastAsia"/>
          <w:szCs w:val="21"/>
        </w:rPr>
        <w:t>将正式启动的沪港通有望进一步提高</w:t>
      </w:r>
      <w:r w:rsidRPr="003B099C">
        <w:rPr>
          <w:rFonts w:hint="eastAsia"/>
          <w:szCs w:val="21"/>
        </w:rPr>
        <w:t>香港市场</w:t>
      </w:r>
      <w:r>
        <w:rPr>
          <w:rFonts w:hint="eastAsia"/>
          <w:szCs w:val="21"/>
        </w:rPr>
        <w:t>的吸引力</w:t>
      </w:r>
      <w:r w:rsidRPr="003B099C">
        <w:rPr>
          <w:rFonts w:hint="eastAsia"/>
          <w:szCs w:val="21"/>
        </w:rPr>
        <w:t>。</w:t>
      </w:r>
      <w:r>
        <w:rPr>
          <w:rFonts w:hint="eastAsia"/>
          <w:szCs w:val="21"/>
        </w:rPr>
        <w:t>综上，</w:t>
      </w:r>
      <w:r>
        <w:rPr>
          <w:rFonts w:eastAsia="楷体" w:cs="Arial" w:hint="eastAsia"/>
        </w:rPr>
        <w:t>凯石工场</w:t>
      </w:r>
      <w:r>
        <w:rPr>
          <w:rFonts w:eastAsia="楷体" w:cs="Arial"/>
        </w:rPr>
        <w:t>9</w:t>
      </w:r>
      <w:r>
        <w:rPr>
          <w:rFonts w:eastAsia="楷体" w:cs="Arial" w:hint="eastAsia"/>
        </w:rPr>
        <w:t>月份</w:t>
      </w:r>
      <w:r>
        <w:rPr>
          <w:rFonts w:eastAsia="楷体" w:cs="Arial"/>
        </w:rPr>
        <w:t>QDII</w:t>
      </w:r>
      <w:r>
        <w:rPr>
          <w:rFonts w:eastAsia="楷体" w:cs="Arial" w:hint="eastAsia"/>
        </w:rPr>
        <w:t>基金投资依旧建议“美股美房</w:t>
      </w:r>
      <w:r>
        <w:rPr>
          <w:rFonts w:eastAsia="楷体" w:cs="Arial"/>
        </w:rPr>
        <w:t>+</w:t>
      </w:r>
      <w:r>
        <w:rPr>
          <w:rFonts w:eastAsia="楷体" w:cs="Arial" w:hint="eastAsia"/>
        </w:rPr>
        <w:t>香港市场”的均衡配置。</w:t>
      </w:r>
    </w:p>
    <w:p w:rsidR="003B4B41" w:rsidRPr="00FC54FE" w:rsidRDefault="003B4B41" w:rsidP="00256A3A">
      <w:pPr>
        <w:widowControl/>
        <w:spacing w:after="120"/>
        <w:ind w:left="3430"/>
        <w:rPr>
          <w:rFonts w:ascii="楷体" w:eastAsia="楷体" w:hAnsi="楷体"/>
          <w:b/>
          <w:bCs/>
          <w:color w:val="0070C0"/>
          <w:kern w:val="0"/>
          <w:szCs w:val="21"/>
          <w:lang w:val="en-GB"/>
        </w:rPr>
      </w:pPr>
      <w:r w:rsidRPr="00FC54FE">
        <w:rPr>
          <w:rFonts w:ascii="楷体" w:eastAsia="楷体" w:hAnsi="楷体" w:hint="eastAsia"/>
          <w:b/>
          <w:bCs/>
          <w:color w:val="0070C0"/>
          <w:kern w:val="0"/>
          <w:szCs w:val="21"/>
          <w:lang w:val="en-GB"/>
        </w:rPr>
        <w:t>美国：</w:t>
      </w:r>
      <w:r>
        <w:rPr>
          <w:rFonts w:ascii="楷体" w:eastAsia="楷体" w:hAnsi="楷体" w:hint="eastAsia"/>
          <w:b/>
          <w:bCs/>
          <w:color w:val="0070C0"/>
          <w:kern w:val="0"/>
          <w:szCs w:val="21"/>
          <w:lang w:val="en-GB"/>
        </w:rPr>
        <w:t>经济复苏引领股市新高</w:t>
      </w:r>
      <w:r>
        <w:rPr>
          <w:rFonts w:ascii="楷体" w:eastAsia="楷体" w:hAnsi="楷体"/>
          <w:b/>
          <w:bCs/>
          <w:color w:val="0070C0"/>
          <w:kern w:val="0"/>
          <w:szCs w:val="21"/>
          <w:lang w:val="en-GB"/>
        </w:rPr>
        <w:t xml:space="preserve"> 10</w:t>
      </w:r>
      <w:r>
        <w:rPr>
          <w:rFonts w:ascii="楷体" w:eastAsia="楷体" w:hAnsi="楷体" w:hint="eastAsia"/>
          <w:b/>
          <w:bCs/>
          <w:color w:val="0070C0"/>
          <w:kern w:val="0"/>
          <w:szCs w:val="21"/>
          <w:lang w:val="en-GB"/>
        </w:rPr>
        <w:t>月</w:t>
      </w:r>
      <w:r>
        <w:rPr>
          <w:rFonts w:ascii="楷体" w:eastAsia="楷体" w:hAnsi="楷体"/>
          <w:b/>
          <w:bCs/>
          <w:color w:val="0070C0"/>
          <w:kern w:val="0"/>
          <w:szCs w:val="21"/>
          <w:lang w:val="en-GB"/>
        </w:rPr>
        <w:t>QE</w:t>
      </w:r>
      <w:r>
        <w:rPr>
          <w:rFonts w:ascii="楷体" w:eastAsia="楷体" w:hAnsi="楷体" w:hint="eastAsia"/>
          <w:b/>
          <w:bCs/>
          <w:color w:val="0070C0"/>
          <w:kern w:val="0"/>
          <w:szCs w:val="21"/>
          <w:lang w:val="en-GB"/>
        </w:rPr>
        <w:t>退出影响难测</w:t>
      </w:r>
    </w:p>
    <w:p w:rsidR="003B4B41" w:rsidRPr="00603D57" w:rsidRDefault="003B4B41" w:rsidP="00603D57">
      <w:pPr>
        <w:pStyle w:val="BodyText"/>
        <w:numPr>
          <w:ilvl w:val="4"/>
          <w:numId w:val="1"/>
        </w:numPr>
        <w:spacing w:after="163"/>
        <w:rPr>
          <w:rFonts w:eastAsia="楷体" w:cs="Arial"/>
        </w:rPr>
      </w:pPr>
      <w:r>
        <w:rPr>
          <w:rFonts w:hint="eastAsia"/>
        </w:rPr>
        <w:t>美国股市近期不断创出新高，标普</w:t>
      </w:r>
      <w:r>
        <w:t>500</w:t>
      </w:r>
      <w:r>
        <w:rPr>
          <w:rFonts w:hint="eastAsia"/>
        </w:rPr>
        <w:t>首次突破</w:t>
      </w:r>
      <w:r>
        <w:t>2000</w:t>
      </w:r>
      <w:r>
        <w:rPr>
          <w:rFonts w:hint="eastAsia"/>
        </w:rPr>
        <w:t>点关口，美联储对于加息也尚无进一步表态，令目前海外市场气氛较好。</w:t>
      </w:r>
      <w:r w:rsidRPr="005636F3">
        <w:t>8</w:t>
      </w:r>
      <w:r w:rsidRPr="005636F3">
        <w:rPr>
          <w:rFonts w:hint="eastAsia"/>
        </w:rPr>
        <w:t>月谘商会消费者信心指数升至</w:t>
      </w:r>
      <w:r w:rsidRPr="005636F3">
        <w:t>92.4</w:t>
      </w:r>
      <w:r w:rsidRPr="005636F3">
        <w:rPr>
          <w:rFonts w:hint="eastAsia"/>
        </w:rPr>
        <w:t>，为</w:t>
      </w:r>
      <w:r w:rsidRPr="005636F3">
        <w:t>2007</w:t>
      </w:r>
      <w:r w:rsidRPr="005636F3">
        <w:rPr>
          <w:rFonts w:hint="eastAsia"/>
        </w:rPr>
        <w:t>年</w:t>
      </w:r>
      <w:r w:rsidRPr="005636F3">
        <w:t>10</w:t>
      </w:r>
      <w:r>
        <w:rPr>
          <w:rFonts w:hint="eastAsia"/>
        </w:rPr>
        <w:t>月以来最高，</w:t>
      </w:r>
      <w:r w:rsidRPr="005636F3">
        <w:rPr>
          <w:rFonts w:hint="eastAsia"/>
        </w:rPr>
        <w:t>表明</w:t>
      </w:r>
      <w:r w:rsidRPr="005636F3">
        <w:t>2014</w:t>
      </w:r>
      <w:r w:rsidRPr="005636F3">
        <w:rPr>
          <w:rFonts w:hint="eastAsia"/>
        </w:rPr>
        <w:t>下半年经济前景向</w:t>
      </w:r>
      <w:r>
        <w:rPr>
          <w:rFonts w:hint="eastAsia"/>
        </w:rPr>
        <w:t>好。</w:t>
      </w:r>
      <w:r>
        <w:rPr>
          <w:rFonts w:eastAsia="楷体" w:cs="Arial" w:hint="eastAsia"/>
        </w:rPr>
        <w:t>目前</w:t>
      </w:r>
      <w:r w:rsidRPr="00603D57">
        <w:rPr>
          <w:rFonts w:eastAsia="楷体" w:cs="Arial" w:hint="eastAsia"/>
        </w:rPr>
        <w:t>美国继续扮演着世界经济复苏火车头，</w:t>
      </w:r>
      <w:r>
        <w:rPr>
          <w:rFonts w:hint="eastAsia"/>
        </w:rPr>
        <w:t>在房地产、企业投资、出口和政府活动等经济领域加速，劳动力市场也在日益增强。</w:t>
      </w:r>
      <w:r w:rsidRPr="00603D57">
        <w:rPr>
          <w:rFonts w:eastAsia="楷体" w:cs="Arial" w:hint="eastAsia"/>
        </w:rPr>
        <w:t>其宽松的货币政策</w:t>
      </w:r>
      <w:r>
        <w:rPr>
          <w:rFonts w:eastAsia="楷体" w:cs="Arial" w:hint="eastAsia"/>
        </w:rPr>
        <w:t>亦有望</w:t>
      </w:r>
      <w:r w:rsidRPr="00603D57">
        <w:rPr>
          <w:rFonts w:eastAsia="楷体" w:cs="Arial" w:hint="eastAsia"/>
        </w:rPr>
        <w:t>持续较长时间。</w:t>
      </w:r>
    </w:p>
    <w:p w:rsidR="003B4B41" w:rsidRPr="00137B3F" w:rsidRDefault="003B4B41" w:rsidP="00E00D0A">
      <w:pPr>
        <w:pStyle w:val="BodyText"/>
        <w:numPr>
          <w:ilvl w:val="5"/>
          <w:numId w:val="2"/>
        </w:numPr>
        <w:spacing w:after="163"/>
        <w:ind w:left="4140" w:hanging="369"/>
        <w:rPr>
          <w:rFonts w:eastAsia="楷体" w:cs="Arial"/>
        </w:rPr>
      </w:pPr>
      <w:r w:rsidRPr="00137B3F">
        <w:rPr>
          <w:rFonts w:hint="eastAsia"/>
        </w:rPr>
        <w:t>二季度</w:t>
      </w:r>
      <w:r w:rsidRPr="00137B3F">
        <w:t>GDP</w:t>
      </w:r>
      <w:r w:rsidRPr="00137B3F">
        <w:rPr>
          <w:rFonts w:hint="eastAsia"/>
        </w:rPr>
        <w:t>上修：美国商务部报告，二季度实际</w:t>
      </w:r>
      <w:r w:rsidRPr="00137B3F">
        <w:t>GDP</w:t>
      </w:r>
      <w:r w:rsidRPr="00137B3F">
        <w:rPr>
          <w:rFonts w:hint="eastAsia"/>
        </w:rPr>
        <w:t>修正值同比增长</w:t>
      </w:r>
      <w:r w:rsidRPr="00137B3F">
        <w:t>4.2%</w:t>
      </w:r>
      <w:r w:rsidRPr="00137B3F">
        <w:rPr>
          <w:rFonts w:hint="eastAsia"/>
        </w:rPr>
        <w:t>，高于</w:t>
      </w:r>
      <w:r w:rsidRPr="00137B3F">
        <w:t>4.0%</w:t>
      </w:r>
      <w:r w:rsidRPr="00137B3F">
        <w:rPr>
          <w:rFonts w:hint="eastAsia"/>
        </w:rPr>
        <w:t>的初值，主要由于企业在建筑物和设备方面的投资高于预期。目前，经济学家对三季度经济增速预测区间高点达到</w:t>
      </w:r>
      <w:r w:rsidRPr="00137B3F">
        <w:t>3.6%</w:t>
      </w:r>
      <w:r w:rsidRPr="00137B3F">
        <w:rPr>
          <w:rFonts w:hint="eastAsia"/>
        </w:rPr>
        <w:t>。</w:t>
      </w:r>
    </w:p>
    <w:p w:rsidR="003B4B41" w:rsidRPr="00137B3F" w:rsidRDefault="003B4B41" w:rsidP="00E00D0A">
      <w:pPr>
        <w:pStyle w:val="BodyText"/>
        <w:numPr>
          <w:ilvl w:val="5"/>
          <w:numId w:val="2"/>
        </w:numPr>
        <w:spacing w:after="163"/>
        <w:ind w:left="4140" w:hanging="369"/>
        <w:rPr>
          <w:rFonts w:eastAsia="楷体" w:cs="Arial"/>
        </w:rPr>
      </w:pPr>
      <w:r w:rsidRPr="00137B3F">
        <w:rPr>
          <w:rFonts w:eastAsia="楷体" w:cs="Arial" w:hint="eastAsia"/>
        </w:rPr>
        <w:t>制造业再度加快：美国</w:t>
      </w:r>
      <w:r w:rsidRPr="00137B3F">
        <w:rPr>
          <w:rFonts w:eastAsia="楷体" w:cs="Arial"/>
        </w:rPr>
        <w:t>8</w:t>
      </w:r>
      <w:r w:rsidRPr="00137B3F">
        <w:rPr>
          <w:rFonts w:eastAsia="楷体" w:cs="Arial" w:hint="eastAsia"/>
        </w:rPr>
        <w:t>月季调后</w:t>
      </w:r>
      <w:r w:rsidRPr="00137B3F">
        <w:rPr>
          <w:rFonts w:eastAsia="楷体" w:cs="Arial"/>
        </w:rPr>
        <w:t>Markit</w:t>
      </w:r>
      <w:r w:rsidRPr="00137B3F">
        <w:rPr>
          <w:rFonts w:eastAsia="楷体" w:cs="Arial" w:hint="eastAsia"/>
        </w:rPr>
        <w:t>制造业</w:t>
      </w:r>
      <w:r w:rsidRPr="00137B3F">
        <w:rPr>
          <w:rFonts w:eastAsia="楷体" w:cs="Arial"/>
        </w:rPr>
        <w:t>PMI</w:t>
      </w:r>
      <w:r w:rsidRPr="00137B3F">
        <w:rPr>
          <w:rFonts w:eastAsia="楷体" w:cs="Arial" w:hint="eastAsia"/>
        </w:rPr>
        <w:t>初值扩张再度加快，由</w:t>
      </w:r>
      <w:r w:rsidRPr="00137B3F">
        <w:rPr>
          <w:rFonts w:eastAsia="楷体" w:cs="Arial"/>
        </w:rPr>
        <w:t>7</w:t>
      </w:r>
      <w:r w:rsidRPr="00137B3F">
        <w:rPr>
          <w:rFonts w:eastAsia="楷体" w:cs="Arial" w:hint="eastAsia"/>
        </w:rPr>
        <w:t>月的</w:t>
      </w:r>
      <w:r w:rsidRPr="00137B3F">
        <w:rPr>
          <w:rFonts w:eastAsia="楷体" w:cs="Arial"/>
        </w:rPr>
        <w:t>55.8</w:t>
      </w:r>
      <w:r w:rsidRPr="00137B3F">
        <w:rPr>
          <w:rFonts w:eastAsia="楷体" w:cs="Arial" w:hint="eastAsia"/>
        </w:rPr>
        <w:t>回升至</w:t>
      </w:r>
      <w:r w:rsidRPr="00137B3F">
        <w:rPr>
          <w:rFonts w:eastAsia="楷体" w:cs="Arial"/>
        </w:rPr>
        <w:t>58</w:t>
      </w:r>
      <w:r w:rsidRPr="00137B3F">
        <w:rPr>
          <w:rFonts w:eastAsia="楷体" w:cs="Arial" w:hint="eastAsia"/>
        </w:rPr>
        <w:t>，创</w:t>
      </w:r>
      <w:r w:rsidRPr="00137B3F">
        <w:rPr>
          <w:rFonts w:eastAsia="楷体" w:cs="Arial"/>
        </w:rPr>
        <w:t>2010</w:t>
      </w:r>
      <w:r w:rsidRPr="00137B3F">
        <w:rPr>
          <w:rFonts w:eastAsia="楷体" w:cs="Arial" w:hint="eastAsia"/>
        </w:rPr>
        <w:t>年</w:t>
      </w:r>
      <w:r w:rsidRPr="00137B3F">
        <w:rPr>
          <w:rFonts w:eastAsia="楷体" w:cs="Arial"/>
        </w:rPr>
        <w:t>4</w:t>
      </w:r>
      <w:r w:rsidRPr="00137B3F">
        <w:rPr>
          <w:rFonts w:eastAsia="楷体" w:cs="Arial" w:hint="eastAsia"/>
        </w:rPr>
        <w:t>月以来最高，远胜市场预期的</w:t>
      </w:r>
      <w:r w:rsidRPr="00137B3F">
        <w:rPr>
          <w:rFonts w:eastAsia="楷体" w:cs="Arial"/>
        </w:rPr>
        <w:t>55.7</w:t>
      </w:r>
      <w:r w:rsidRPr="00137B3F">
        <w:rPr>
          <w:rFonts w:eastAsia="楷体" w:cs="Arial" w:hint="eastAsia"/>
        </w:rPr>
        <w:t>。生产指数初值由</w:t>
      </w:r>
      <w:r w:rsidRPr="00137B3F">
        <w:rPr>
          <w:rFonts w:eastAsia="楷体" w:cs="Arial"/>
        </w:rPr>
        <w:t>7</w:t>
      </w:r>
      <w:r w:rsidRPr="00137B3F">
        <w:rPr>
          <w:rFonts w:eastAsia="楷体" w:cs="Arial" w:hint="eastAsia"/>
        </w:rPr>
        <w:t>月的</w:t>
      </w:r>
      <w:r w:rsidRPr="00137B3F">
        <w:rPr>
          <w:rFonts w:eastAsia="楷体" w:cs="Arial"/>
        </w:rPr>
        <w:t>59.7</w:t>
      </w:r>
      <w:r w:rsidRPr="00137B3F">
        <w:rPr>
          <w:rFonts w:eastAsia="楷体" w:cs="Arial" w:hint="eastAsia"/>
        </w:rPr>
        <w:t>回升至</w:t>
      </w:r>
      <w:r w:rsidRPr="00137B3F">
        <w:rPr>
          <w:rFonts w:eastAsia="楷体" w:cs="Arial"/>
        </w:rPr>
        <w:t>60.2</w:t>
      </w:r>
      <w:r w:rsidRPr="00137B3F">
        <w:rPr>
          <w:rFonts w:eastAsia="楷体" w:cs="Arial" w:hint="eastAsia"/>
        </w:rPr>
        <w:t>；就业指数初值由</w:t>
      </w:r>
      <w:r w:rsidRPr="00137B3F">
        <w:rPr>
          <w:rFonts w:eastAsia="楷体" w:cs="Arial"/>
        </w:rPr>
        <w:t>51.2</w:t>
      </w:r>
      <w:r w:rsidRPr="00137B3F">
        <w:rPr>
          <w:rFonts w:eastAsia="楷体" w:cs="Arial" w:hint="eastAsia"/>
        </w:rPr>
        <w:t>回升至</w:t>
      </w:r>
      <w:r w:rsidRPr="00137B3F">
        <w:rPr>
          <w:rFonts w:eastAsia="楷体" w:cs="Arial"/>
        </w:rPr>
        <w:t>54.6</w:t>
      </w:r>
      <w:r w:rsidRPr="00137B3F">
        <w:rPr>
          <w:rFonts w:eastAsia="楷体" w:cs="Arial" w:hint="eastAsia"/>
        </w:rPr>
        <w:t>，创去年</w:t>
      </w:r>
      <w:r w:rsidRPr="00137B3F">
        <w:rPr>
          <w:rFonts w:eastAsia="楷体" w:cs="Arial"/>
        </w:rPr>
        <w:t>3</w:t>
      </w:r>
      <w:r w:rsidRPr="00137B3F">
        <w:rPr>
          <w:rFonts w:eastAsia="楷体" w:cs="Arial" w:hint="eastAsia"/>
        </w:rPr>
        <w:t>月以来最高；新订单指数初值增速也加快。</w:t>
      </w:r>
    </w:p>
    <w:p w:rsidR="003B4B41" w:rsidRPr="00137B3F" w:rsidRDefault="003B4B41" w:rsidP="00DB2E0E">
      <w:pPr>
        <w:pStyle w:val="BodyText"/>
        <w:numPr>
          <w:ilvl w:val="5"/>
          <w:numId w:val="2"/>
        </w:numPr>
        <w:spacing w:after="163"/>
        <w:rPr>
          <w:rFonts w:eastAsia="楷体" w:cs="Arial"/>
        </w:rPr>
      </w:pPr>
      <w:r w:rsidRPr="00137B3F">
        <w:rPr>
          <w:rFonts w:eastAsia="楷体" w:cs="Arial" w:hint="eastAsia"/>
        </w:rPr>
        <w:t>就业市场向好：美国劳工部</w:t>
      </w:r>
      <w:r w:rsidRPr="00137B3F">
        <w:rPr>
          <w:rFonts w:eastAsia="楷体" w:cs="Arial"/>
        </w:rPr>
        <w:t>8</w:t>
      </w:r>
      <w:r w:rsidRPr="00137B3F">
        <w:rPr>
          <w:rFonts w:eastAsia="楷体" w:cs="Arial" w:hint="eastAsia"/>
        </w:rPr>
        <w:t>月</w:t>
      </w:r>
      <w:r w:rsidRPr="00137B3F">
        <w:rPr>
          <w:rFonts w:eastAsia="楷体" w:cs="Arial"/>
        </w:rPr>
        <w:t>21</w:t>
      </w:r>
      <w:r w:rsidRPr="00137B3F">
        <w:rPr>
          <w:rFonts w:eastAsia="楷体" w:cs="Arial" w:hint="eastAsia"/>
        </w:rPr>
        <w:t>日数据显示，截至</w:t>
      </w:r>
      <w:r w:rsidRPr="00137B3F">
        <w:rPr>
          <w:rFonts w:eastAsia="楷体" w:cs="Arial"/>
        </w:rPr>
        <w:t>8</w:t>
      </w:r>
      <w:r w:rsidRPr="00137B3F">
        <w:rPr>
          <w:rFonts w:eastAsia="楷体" w:cs="Arial" w:hint="eastAsia"/>
        </w:rPr>
        <w:t>月</w:t>
      </w:r>
      <w:r w:rsidRPr="00137B3F">
        <w:rPr>
          <w:rFonts w:eastAsia="楷体" w:cs="Arial"/>
        </w:rPr>
        <w:t>16</w:t>
      </w:r>
      <w:r w:rsidRPr="00137B3F">
        <w:rPr>
          <w:rFonts w:eastAsia="楷体" w:cs="Arial" w:hint="eastAsia"/>
        </w:rPr>
        <w:t>日当周初请失业金人数减少</w:t>
      </w:r>
      <w:r w:rsidRPr="00137B3F">
        <w:rPr>
          <w:rFonts w:eastAsia="楷体" w:cs="Arial"/>
        </w:rPr>
        <w:t>1.4</w:t>
      </w:r>
      <w:r w:rsidRPr="00137B3F">
        <w:rPr>
          <w:rFonts w:eastAsia="楷体" w:cs="Arial" w:hint="eastAsia"/>
        </w:rPr>
        <w:t>万至</w:t>
      </w:r>
      <w:r w:rsidRPr="00137B3F">
        <w:rPr>
          <w:rFonts w:eastAsia="楷体" w:cs="Arial"/>
        </w:rPr>
        <w:t>29.8</w:t>
      </w:r>
      <w:r w:rsidRPr="00137B3F">
        <w:rPr>
          <w:rFonts w:eastAsia="楷体" w:cs="Arial" w:hint="eastAsia"/>
        </w:rPr>
        <w:t>万，低于市场预期的</w:t>
      </w:r>
      <w:r w:rsidRPr="00137B3F">
        <w:rPr>
          <w:rFonts w:eastAsia="楷体" w:cs="Arial"/>
        </w:rPr>
        <w:t>30.0</w:t>
      </w:r>
      <w:r w:rsidRPr="00137B3F">
        <w:rPr>
          <w:rFonts w:eastAsia="楷体" w:cs="Arial" w:hint="eastAsia"/>
        </w:rPr>
        <w:t>万，前值修正为</w:t>
      </w:r>
      <w:r w:rsidRPr="00137B3F">
        <w:rPr>
          <w:rFonts w:eastAsia="楷体" w:cs="Arial"/>
        </w:rPr>
        <w:t>31.2</w:t>
      </w:r>
      <w:r w:rsidRPr="00137B3F">
        <w:rPr>
          <w:rFonts w:eastAsia="楷体" w:cs="Arial" w:hint="eastAsia"/>
        </w:rPr>
        <w:t>万，初值为</w:t>
      </w:r>
      <w:r w:rsidRPr="00137B3F">
        <w:rPr>
          <w:rFonts w:eastAsia="楷体" w:cs="Arial"/>
        </w:rPr>
        <w:t>31.1</w:t>
      </w:r>
      <w:r w:rsidRPr="00137B3F">
        <w:rPr>
          <w:rFonts w:eastAsia="楷体" w:cs="Arial" w:hint="eastAsia"/>
        </w:rPr>
        <w:t>万。这是过去五周中第三度降至</w:t>
      </w:r>
      <w:r w:rsidRPr="00137B3F">
        <w:rPr>
          <w:rFonts w:eastAsia="楷体" w:cs="Arial"/>
        </w:rPr>
        <w:t>30</w:t>
      </w:r>
      <w:r w:rsidRPr="00137B3F">
        <w:rPr>
          <w:rFonts w:eastAsia="楷体" w:cs="Arial" w:hint="eastAsia"/>
        </w:rPr>
        <w:t>万关口下方，上次出现这种情况还是在</w:t>
      </w:r>
      <w:r w:rsidRPr="00137B3F">
        <w:rPr>
          <w:rFonts w:eastAsia="楷体" w:cs="Arial"/>
        </w:rPr>
        <w:t>2006</w:t>
      </w:r>
      <w:r w:rsidRPr="00137B3F">
        <w:rPr>
          <w:rFonts w:eastAsia="楷体" w:cs="Arial" w:hint="eastAsia"/>
        </w:rPr>
        <w:t>年初经济扩张鼎盛时期。</w:t>
      </w:r>
    </w:p>
    <w:p w:rsidR="003B4B41" w:rsidRPr="00137B3F" w:rsidRDefault="003B4B41" w:rsidP="00DB2E0E">
      <w:pPr>
        <w:pStyle w:val="BodyText"/>
        <w:numPr>
          <w:ilvl w:val="5"/>
          <w:numId w:val="2"/>
        </w:numPr>
        <w:spacing w:after="163"/>
      </w:pPr>
      <w:r w:rsidRPr="00137B3F">
        <w:rPr>
          <w:rFonts w:eastAsia="楷体" w:cs="Arial" w:hint="eastAsia"/>
        </w:rPr>
        <w:t>楼市量价齐升：美国</w:t>
      </w:r>
      <w:r w:rsidRPr="00137B3F">
        <w:rPr>
          <w:rFonts w:eastAsia="楷体" w:cs="Arial"/>
        </w:rPr>
        <w:t>7</w:t>
      </w:r>
      <w:r w:rsidRPr="00137B3F">
        <w:rPr>
          <w:rFonts w:eastAsia="楷体" w:cs="Arial" w:hint="eastAsia"/>
        </w:rPr>
        <w:t>月新屋开工飙涨</w:t>
      </w:r>
      <w:r w:rsidRPr="00137B3F">
        <w:rPr>
          <w:rFonts w:eastAsia="楷体" w:cs="Arial"/>
        </w:rPr>
        <w:t>15.7%</w:t>
      </w:r>
      <w:r w:rsidRPr="00137B3F">
        <w:rPr>
          <w:rFonts w:eastAsia="楷体" w:cs="Arial" w:hint="eastAsia"/>
        </w:rPr>
        <w:t>至</w:t>
      </w:r>
      <w:r w:rsidRPr="00137B3F">
        <w:rPr>
          <w:rFonts w:eastAsia="楷体" w:cs="Arial"/>
        </w:rPr>
        <w:t>109.3</w:t>
      </w:r>
      <w:r w:rsidRPr="00137B3F">
        <w:rPr>
          <w:rFonts w:eastAsia="楷体" w:cs="Arial" w:hint="eastAsia"/>
        </w:rPr>
        <w:t>万，远超预期</w:t>
      </w:r>
      <w:r w:rsidRPr="00137B3F">
        <w:rPr>
          <w:rFonts w:eastAsia="楷体" w:cs="Arial"/>
        </w:rPr>
        <w:t>(96.5</w:t>
      </w:r>
      <w:r w:rsidRPr="00137B3F">
        <w:rPr>
          <w:rFonts w:eastAsia="楷体" w:cs="Arial" w:hint="eastAsia"/>
        </w:rPr>
        <w:t>万</w:t>
      </w:r>
      <w:r w:rsidRPr="00137B3F">
        <w:rPr>
          <w:rFonts w:eastAsia="楷体" w:cs="Arial"/>
        </w:rPr>
        <w:t>)</w:t>
      </w:r>
      <w:r w:rsidRPr="00137B3F">
        <w:rPr>
          <w:rFonts w:eastAsia="楷体" w:cs="Arial" w:hint="eastAsia"/>
        </w:rPr>
        <w:t>，是自</w:t>
      </w:r>
      <w:r w:rsidRPr="00137B3F">
        <w:rPr>
          <w:rFonts w:eastAsia="楷体" w:cs="Arial"/>
        </w:rPr>
        <w:t>2013</w:t>
      </w:r>
      <w:r w:rsidRPr="00137B3F">
        <w:rPr>
          <w:rFonts w:eastAsia="楷体" w:cs="Arial" w:hint="eastAsia"/>
        </w:rPr>
        <w:t>年</w:t>
      </w:r>
      <w:r w:rsidRPr="00137B3F">
        <w:rPr>
          <w:rFonts w:eastAsia="楷体" w:cs="Arial"/>
        </w:rPr>
        <w:t>11</w:t>
      </w:r>
      <w:r w:rsidRPr="00137B3F">
        <w:rPr>
          <w:rFonts w:eastAsia="楷体" w:cs="Arial" w:hint="eastAsia"/>
        </w:rPr>
        <w:t>月以来的最高水平，主要受到南方开工量反弹和新公寓开工大幅增加的推动。营建许可也大涨</w:t>
      </w:r>
      <w:r w:rsidRPr="00137B3F">
        <w:rPr>
          <w:rFonts w:eastAsia="楷体" w:cs="Arial"/>
        </w:rPr>
        <w:t>8.1%</w:t>
      </w:r>
      <w:r w:rsidRPr="00137B3F">
        <w:rPr>
          <w:rFonts w:eastAsia="楷体" w:cs="Arial" w:hint="eastAsia"/>
        </w:rPr>
        <w:t>，暗示新屋开工未来将进一步上涨。</w:t>
      </w:r>
      <w:r w:rsidRPr="00137B3F">
        <w:rPr>
          <w:rFonts w:eastAsia="楷体" w:cs="Arial"/>
        </w:rPr>
        <w:t>7</w:t>
      </w:r>
      <w:r w:rsidRPr="00137B3F">
        <w:rPr>
          <w:rFonts w:eastAsia="楷体" w:cs="Arial" w:hint="eastAsia"/>
        </w:rPr>
        <w:t>月二手房销量增长明显，环比上月增加</w:t>
      </w:r>
      <w:r w:rsidRPr="00137B3F">
        <w:rPr>
          <w:rFonts w:eastAsia="楷体" w:cs="Arial"/>
        </w:rPr>
        <w:t>12</w:t>
      </w:r>
      <w:r w:rsidRPr="00137B3F">
        <w:rPr>
          <w:rFonts w:eastAsia="楷体" w:cs="Arial" w:hint="eastAsia"/>
        </w:rPr>
        <w:t>万至</w:t>
      </w:r>
      <w:r w:rsidRPr="00137B3F">
        <w:rPr>
          <w:rFonts w:eastAsia="楷体" w:cs="Arial"/>
        </w:rPr>
        <w:t>515</w:t>
      </w:r>
      <w:r w:rsidRPr="00137B3F">
        <w:rPr>
          <w:rFonts w:eastAsia="楷体" w:cs="Arial" w:hint="eastAsia"/>
        </w:rPr>
        <w:t>万套，为连续第</w:t>
      </w:r>
      <w:r w:rsidRPr="00137B3F">
        <w:rPr>
          <w:rFonts w:eastAsia="楷体" w:cs="Arial"/>
        </w:rPr>
        <w:t>4</w:t>
      </w:r>
      <w:r w:rsidRPr="00137B3F">
        <w:rPr>
          <w:rFonts w:eastAsia="楷体" w:cs="Arial" w:hint="eastAsia"/>
        </w:rPr>
        <w:t>个月增长。此外，二手房中间价同比由</w:t>
      </w:r>
      <w:r w:rsidRPr="00137B3F">
        <w:rPr>
          <w:rFonts w:eastAsia="楷体" w:cs="Arial"/>
        </w:rPr>
        <w:t>6</w:t>
      </w:r>
      <w:r w:rsidRPr="00137B3F">
        <w:rPr>
          <w:rFonts w:eastAsia="楷体" w:cs="Arial" w:hint="eastAsia"/>
        </w:rPr>
        <w:t>月的</w:t>
      </w:r>
      <w:r w:rsidRPr="00137B3F">
        <w:rPr>
          <w:rFonts w:eastAsia="楷体" w:cs="Arial"/>
        </w:rPr>
        <w:t>3.7%</w:t>
      </w:r>
      <w:r w:rsidRPr="00137B3F">
        <w:rPr>
          <w:rFonts w:eastAsia="楷体" w:cs="Arial" w:hint="eastAsia"/>
        </w:rPr>
        <w:t>升值</w:t>
      </w:r>
      <w:r w:rsidRPr="00137B3F">
        <w:rPr>
          <w:rFonts w:eastAsia="楷体" w:cs="Arial"/>
        </w:rPr>
        <w:t>7</w:t>
      </w:r>
      <w:r w:rsidRPr="00137B3F">
        <w:rPr>
          <w:rFonts w:eastAsia="楷体" w:cs="Arial" w:hint="eastAsia"/>
        </w:rPr>
        <w:t>月的</w:t>
      </w:r>
      <w:r w:rsidRPr="00137B3F">
        <w:rPr>
          <w:rFonts w:eastAsia="楷体" w:cs="Arial"/>
        </w:rPr>
        <w:t>4.9%</w:t>
      </w:r>
      <w:r w:rsidRPr="00137B3F">
        <w:rPr>
          <w:rFonts w:eastAsia="楷体" w:cs="Arial" w:hint="eastAsia"/>
        </w:rPr>
        <w:t>，结束此前下行趋势，房价出现向上拐点。一系列数据释放出美国房地产市场的较积极信号。</w:t>
      </w:r>
    </w:p>
    <w:p w:rsidR="003B4B41" w:rsidRDefault="003B4B41" w:rsidP="00D44AB1">
      <w:pPr>
        <w:pStyle w:val="BodyText"/>
        <w:numPr>
          <w:ilvl w:val="4"/>
          <w:numId w:val="1"/>
        </w:numPr>
        <w:spacing w:after="163"/>
        <w:rPr>
          <w:rFonts w:eastAsia="楷体" w:cs="Arial"/>
        </w:rPr>
      </w:pPr>
      <w:r w:rsidRPr="00C310C2">
        <w:rPr>
          <w:rFonts w:hint="eastAsia"/>
          <w:color w:val="auto"/>
        </w:rPr>
        <w:t>货币政策方面，</w:t>
      </w:r>
      <w:r w:rsidRPr="00AD6976">
        <w:rPr>
          <w:rFonts w:eastAsia="楷体" w:cs="Arial" w:hint="eastAsia"/>
        </w:rPr>
        <w:t>耶伦最新讲话暗示了</w:t>
      </w:r>
      <w:r w:rsidRPr="00AD6976">
        <w:rPr>
          <w:rFonts w:eastAsia="楷体" w:cs="Arial"/>
        </w:rPr>
        <w:t>9</w:t>
      </w:r>
      <w:r w:rsidRPr="00AD6976">
        <w:rPr>
          <w:rFonts w:eastAsia="楷体" w:cs="Arial" w:hint="eastAsia"/>
        </w:rPr>
        <w:t>月美央行货币政策会议很可能将是平衡姿态。耶伦认为尽管目前美国经济开始复苏以来新增岗位已经超过了衰退中损失的工作岗位，但</w:t>
      </w:r>
      <w:r>
        <w:rPr>
          <w:rFonts w:eastAsia="楷体" w:cs="Arial" w:hint="eastAsia"/>
        </w:rPr>
        <w:t>劳动力市场并没有完全恢复，远</w:t>
      </w:r>
      <w:r w:rsidRPr="00AD6976">
        <w:rPr>
          <w:rFonts w:eastAsia="楷体" w:cs="Arial" w:hint="eastAsia"/>
        </w:rPr>
        <w:t>没有到充分就业的程度。</w:t>
      </w:r>
      <w:r>
        <w:rPr>
          <w:rFonts w:eastAsia="楷体" w:cs="Arial" w:hint="eastAsia"/>
        </w:rPr>
        <w:t>另外，温和的通胀也给</w:t>
      </w:r>
      <w:r>
        <w:rPr>
          <w:rFonts w:hint="eastAsia"/>
        </w:rPr>
        <w:t>美联储</w:t>
      </w:r>
      <w:r w:rsidRPr="0094068B">
        <w:rPr>
          <w:rFonts w:hint="eastAsia"/>
        </w:rPr>
        <w:t>在</w:t>
      </w:r>
      <w:r w:rsidRPr="0094068B">
        <w:t>10</w:t>
      </w:r>
      <w:r>
        <w:rPr>
          <w:rFonts w:hint="eastAsia"/>
        </w:rPr>
        <w:t>月</w:t>
      </w:r>
      <w:r w:rsidRPr="0094068B">
        <w:rPr>
          <w:rFonts w:hint="eastAsia"/>
        </w:rPr>
        <w:t>结束</w:t>
      </w:r>
      <w:r w:rsidRPr="0094068B">
        <w:t>QE</w:t>
      </w:r>
      <w:r w:rsidRPr="0094068B">
        <w:rPr>
          <w:rFonts w:hint="eastAsia"/>
        </w:rPr>
        <w:t>后</w:t>
      </w:r>
      <w:r>
        <w:rPr>
          <w:rFonts w:hint="eastAsia"/>
        </w:rPr>
        <w:t>“相当一段时间内”维持近零利率的政策提供了空间：</w:t>
      </w:r>
      <w:r w:rsidRPr="0094068B">
        <w:t>7</w:t>
      </w:r>
      <w:r w:rsidRPr="0094068B">
        <w:rPr>
          <w:rFonts w:hint="eastAsia"/>
        </w:rPr>
        <w:t>月</w:t>
      </w:r>
      <w:r w:rsidRPr="0094068B">
        <w:t xml:space="preserve">CPI </w:t>
      </w:r>
      <w:r>
        <w:rPr>
          <w:rFonts w:hint="eastAsia"/>
        </w:rPr>
        <w:t>月率</w:t>
      </w:r>
      <w:r w:rsidRPr="0094068B">
        <w:rPr>
          <w:rFonts w:hint="eastAsia"/>
        </w:rPr>
        <w:t>涨</w:t>
      </w:r>
      <w:r w:rsidRPr="0094068B">
        <w:t>0.1%</w:t>
      </w:r>
      <w:r w:rsidRPr="0094068B">
        <w:rPr>
          <w:rFonts w:hint="eastAsia"/>
        </w:rPr>
        <w:t>，增速创</w:t>
      </w:r>
      <w:r w:rsidRPr="0094068B">
        <w:t>5</w:t>
      </w:r>
      <w:r w:rsidRPr="0094068B">
        <w:rPr>
          <w:rFonts w:hint="eastAsia"/>
        </w:rPr>
        <w:t>个月新低</w:t>
      </w:r>
      <w:r>
        <w:rPr>
          <w:rFonts w:hint="eastAsia"/>
        </w:rPr>
        <w:t>；</w:t>
      </w:r>
      <w:r w:rsidRPr="0094068B">
        <w:rPr>
          <w:rFonts w:hint="eastAsia"/>
        </w:rPr>
        <w:t>核心</w:t>
      </w:r>
      <w:r w:rsidRPr="0094068B">
        <w:t>CPI</w:t>
      </w:r>
      <w:r w:rsidRPr="0094068B">
        <w:rPr>
          <w:rFonts w:hint="eastAsia"/>
        </w:rPr>
        <w:t>月率增长</w:t>
      </w:r>
      <w:r w:rsidRPr="0094068B">
        <w:t>0.1%</w:t>
      </w:r>
      <w:r>
        <w:rPr>
          <w:rFonts w:hint="eastAsia"/>
        </w:rPr>
        <w:t>低于预期；美联储倾向衡量通胀的</w:t>
      </w:r>
      <w:r w:rsidRPr="0094068B">
        <w:rPr>
          <w:rFonts w:hint="eastAsia"/>
        </w:rPr>
        <w:t>个人消费支出</w:t>
      </w:r>
      <w:r w:rsidRPr="0094068B">
        <w:t>(PCE)</w:t>
      </w:r>
      <w:r>
        <w:rPr>
          <w:rFonts w:hint="eastAsia"/>
        </w:rPr>
        <w:t>物价指数</w:t>
      </w:r>
      <w:r>
        <w:t>7</w:t>
      </w:r>
      <w:r>
        <w:rPr>
          <w:rFonts w:hint="eastAsia"/>
        </w:rPr>
        <w:t>月份月率上升</w:t>
      </w:r>
      <w:r>
        <w:t>0.1%</w:t>
      </w:r>
      <w:r>
        <w:rPr>
          <w:rFonts w:hint="eastAsia"/>
        </w:rPr>
        <w:t>，为今年</w:t>
      </w:r>
      <w:r>
        <w:t>2</w:t>
      </w:r>
      <w:r>
        <w:rPr>
          <w:rFonts w:hint="eastAsia"/>
        </w:rPr>
        <w:t>月以来最小升幅，年率上升</w:t>
      </w:r>
      <w:r>
        <w:t>1.6%</w:t>
      </w:r>
      <w:r>
        <w:rPr>
          <w:rFonts w:hint="eastAsia"/>
        </w:rPr>
        <w:t>，仍低于美联储</w:t>
      </w:r>
      <w:r>
        <w:t>2%</w:t>
      </w:r>
      <w:r>
        <w:rPr>
          <w:rFonts w:hint="eastAsia"/>
        </w:rPr>
        <w:t>的通胀率目标。</w:t>
      </w:r>
    </w:p>
    <w:p w:rsidR="003B4B41" w:rsidRDefault="003B4B41" w:rsidP="006412FD">
      <w:pPr>
        <w:pStyle w:val="BodyText"/>
        <w:numPr>
          <w:ilvl w:val="4"/>
          <w:numId w:val="1"/>
        </w:numPr>
        <w:spacing w:after="163"/>
      </w:pPr>
      <w:r>
        <w:rPr>
          <w:rFonts w:hint="eastAsia"/>
        </w:rPr>
        <w:t>关于</w:t>
      </w:r>
      <w:r>
        <w:t>10</w:t>
      </w:r>
      <w:r>
        <w:rPr>
          <w:rFonts w:hint="eastAsia"/>
        </w:rPr>
        <w:t>月份即将结束的</w:t>
      </w:r>
      <w:r>
        <w:t>QE</w:t>
      </w:r>
      <w:r>
        <w:rPr>
          <w:rFonts w:hint="eastAsia"/>
        </w:rPr>
        <w:t>，我们认为其影响需密切观察。目前可维持对美国市场的重点配置，但</w:t>
      </w:r>
      <w:r>
        <w:t>10</w:t>
      </w:r>
      <w:r>
        <w:rPr>
          <w:rFonts w:hint="eastAsia"/>
        </w:rPr>
        <w:t>月底至</w:t>
      </w:r>
      <w:r>
        <w:t>11</w:t>
      </w:r>
      <w:r>
        <w:rPr>
          <w:rFonts w:hint="eastAsia"/>
        </w:rPr>
        <w:t>月初需严密关注海外市场动向，以便及时调整</w:t>
      </w:r>
      <w:r>
        <w:t>QDII</w:t>
      </w:r>
      <w:r>
        <w:rPr>
          <w:rFonts w:hint="eastAsia"/>
        </w:rPr>
        <w:t>组合。</w:t>
      </w:r>
      <w:r>
        <w:t>10</w:t>
      </w:r>
      <w:r>
        <w:rPr>
          <w:rFonts w:hint="eastAsia"/>
        </w:rPr>
        <w:t>月退出</w:t>
      </w:r>
      <w:r>
        <w:t>QE</w:t>
      </w:r>
      <w:r>
        <w:rPr>
          <w:rFonts w:hint="eastAsia"/>
        </w:rPr>
        <w:t>意味着</w:t>
      </w:r>
      <w:r w:rsidRPr="006412FD">
        <w:rPr>
          <w:rFonts w:hint="eastAsia"/>
        </w:rPr>
        <w:t>美央行要减少购买资产</w:t>
      </w:r>
      <w:r w:rsidRPr="006412FD">
        <w:t>150</w:t>
      </w:r>
      <w:r w:rsidRPr="006412FD">
        <w:rPr>
          <w:rFonts w:hint="eastAsia"/>
        </w:rPr>
        <w:t>亿，</w:t>
      </w:r>
      <w:r>
        <w:rPr>
          <w:rFonts w:hint="eastAsia"/>
        </w:rPr>
        <w:t>较</w:t>
      </w:r>
      <w:r w:rsidRPr="006412FD">
        <w:rPr>
          <w:rFonts w:hint="eastAsia"/>
        </w:rPr>
        <w:t>之前每月减少</w:t>
      </w:r>
      <w:r w:rsidRPr="006412FD">
        <w:t>100</w:t>
      </w:r>
      <w:r w:rsidRPr="006412FD">
        <w:rPr>
          <w:rFonts w:hint="eastAsia"/>
        </w:rPr>
        <w:t>亿</w:t>
      </w:r>
      <w:r>
        <w:rPr>
          <w:rFonts w:hint="eastAsia"/>
        </w:rPr>
        <w:t>的额度略多</w:t>
      </w:r>
      <w:r w:rsidRPr="006412FD">
        <w:rPr>
          <w:rFonts w:hint="eastAsia"/>
        </w:rPr>
        <w:t>。</w:t>
      </w:r>
      <w:r>
        <w:rPr>
          <w:rFonts w:hint="eastAsia"/>
        </w:rPr>
        <w:t>鉴于</w:t>
      </w:r>
      <w:r w:rsidRPr="006412FD">
        <w:rPr>
          <w:rFonts w:hint="eastAsia"/>
        </w:rPr>
        <w:t>美央行资产负债表</w:t>
      </w:r>
      <w:r w:rsidRPr="006412FD">
        <w:t>4.37</w:t>
      </w:r>
      <w:r w:rsidRPr="006412FD">
        <w:rPr>
          <w:rFonts w:hint="eastAsia"/>
        </w:rPr>
        <w:t>万亿美元的规模，这对真实流动性产生</w:t>
      </w:r>
      <w:r>
        <w:rPr>
          <w:rFonts w:hint="eastAsia"/>
        </w:rPr>
        <w:t>强烈</w:t>
      </w:r>
      <w:r w:rsidRPr="006412FD">
        <w:rPr>
          <w:rFonts w:hint="eastAsia"/>
        </w:rPr>
        <w:t>冲击的可能性</w:t>
      </w:r>
      <w:r>
        <w:rPr>
          <w:rFonts w:hint="eastAsia"/>
        </w:rPr>
        <w:t>不大，预期层面也已有充分准备。但考虑到次贷危机以来的三次</w:t>
      </w:r>
      <w:r>
        <w:t>QE</w:t>
      </w:r>
      <w:r>
        <w:rPr>
          <w:rFonts w:hint="eastAsia"/>
        </w:rPr>
        <w:t>对美国股市、利率的重要影响，此次</w:t>
      </w:r>
      <w:r>
        <w:t>QE</w:t>
      </w:r>
      <w:r>
        <w:rPr>
          <w:rFonts w:hint="eastAsia"/>
        </w:rPr>
        <w:t>结束对美国资产价格、金融环境的潜在影响不容忽视。</w:t>
      </w:r>
    </w:p>
    <w:p w:rsidR="003B4B41" w:rsidRPr="0094068B" w:rsidRDefault="003B4B41" w:rsidP="008B4DB7">
      <w:pPr>
        <w:pStyle w:val="BodyText"/>
        <w:numPr>
          <w:ilvl w:val="5"/>
          <w:numId w:val="2"/>
        </w:numPr>
        <w:spacing w:after="163"/>
      </w:pPr>
      <w:r>
        <w:rPr>
          <w:rFonts w:hint="eastAsia"/>
        </w:rPr>
        <w:t>从次贷危机以来的历史看，</w:t>
      </w:r>
      <w:r>
        <w:t>QE</w:t>
      </w:r>
      <w:r>
        <w:rPr>
          <w:rFonts w:hint="eastAsia"/>
        </w:rPr>
        <w:t>结束将令美国牛市少了一个重要基础。此次</w:t>
      </w:r>
      <w:r>
        <w:t>QE</w:t>
      </w:r>
      <w:r>
        <w:rPr>
          <w:rFonts w:hint="eastAsia"/>
        </w:rPr>
        <w:t>与美国股市上涨有直接的正面影响，可以说没有</w:t>
      </w:r>
      <w:r>
        <w:t xml:space="preserve">QE </w:t>
      </w:r>
      <w:r>
        <w:rPr>
          <w:rFonts w:hint="eastAsia"/>
        </w:rPr>
        <w:t>就没有这一轮美股牛市。过去完整的两轮</w:t>
      </w:r>
      <w:r>
        <w:t>QE1</w:t>
      </w:r>
      <w:r>
        <w:rPr>
          <w:rFonts w:hint="eastAsia"/>
        </w:rPr>
        <w:t>、</w:t>
      </w:r>
      <w:r>
        <w:t>QE2</w:t>
      </w:r>
      <w:r>
        <w:rPr>
          <w:rFonts w:hint="eastAsia"/>
        </w:rPr>
        <w:t>也揭示了其有利于美国股市、而结束则有不利影响。因此，待</w:t>
      </w:r>
      <w:r>
        <w:t>QE</w:t>
      </w:r>
      <w:r>
        <w:rPr>
          <w:rFonts w:hint="eastAsia"/>
        </w:rPr>
        <w:t>正式完结后的</w:t>
      </w:r>
      <w:r>
        <w:t>10</w:t>
      </w:r>
      <w:r>
        <w:rPr>
          <w:rFonts w:hint="eastAsia"/>
        </w:rPr>
        <w:t>月底至</w:t>
      </w:r>
      <w:r>
        <w:t>11</w:t>
      </w:r>
      <w:r>
        <w:rPr>
          <w:rFonts w:hint="eastAsia"/>
        </w:rPr>
        <w:t>月初，随着购债的减少、资产负债表扩张的结束，对利率、流动性等的影响将有所体现。故</w:t>
      </w:r>
      <w:r>
        <w:t>10</w:t>
      </w:r>
      <w:r>
        <w:rPr>
          <w:rFonts w:hint="eastAsia"/>
        </w:rPr>
        <w:t>月底至</w:t>
      </w:r>
      <w:r>
        <w:t>11</w:t>
      </w:r>
      <w:r>
        <w:rPr>
          <w:rFonts w:hint="eastAsia"/>
        </w:rPr>
        <w:t>月初将是海外系统的重要时点，需密切关注。</w:t>
      </w:r>
    </w:p>
    <w:tbl>
      <w:tblPr>
        <w:tblW w:w="10771" w:type="dxa"/>
        <w:tblLayout w:type="fixed"/>
        <w:tblCellMar>
          <w:left w:w="0" w:type="dxa"/>
          <w:right w:w="0" w:type="dxa"/>
        </w:tblCellMar>
        <w:tblLook w:val="0000"/>
      </w:tblPr>
      <w:tblGrid>
        <w:gridCol w:w="5272"/>
        <w:gridCol w:w="227"/>
        <w:gridCol w:w="5272"/>
      </w:tblGrid>
      <w:tr w:rsidR="003B4B41" w:rsidRPr="00833BB0" w:rsidTr="00F17CEC">
        <w:trPr>
          <w:cantSplit/>
          <w:trHeight w:val="368"/>
        </w:trPr>
        <w:tc>
          <w:tcPr>
            <w:tcW w:w="5272" w:type="dxa"/>
            <w:tcBorders>
              <w:top w:val="single" w:sz="6" w:space="0" w:color="FF6600"/>
              <w:bottom w:val="single" w:sz="6" w:space="0" w:color="FF6600"/>
            </w:tcBorders>
            <w:vAlign w:val="center"/>
          </w:tcPr>
          <w:p w:rsidR="003B4B41" w:rsidRPr="00FC54FE" w:rsidRDefault="003B4B41" w:rsidP="008B3214">
            <w:pPr>
              <w:pStyle w:val="SubTitleLargeTable"/>
              <w:pBdr>
                <w:top w:val="none" w:sz="0" w:space="0" w:color="auto"/>
              </w:pBdr>
              <w:rPr>
                <w:rFonts w:ascii="楷体" w:eastAsia="楷体" w:hAnsi="楷体"/>
                <w:color w:val="FF6600"/>
              </w:rPr>
            </w:pPr>
            <w:r w:rsidRPr="00FC54FE">
              <w:rPr>
                <w:rFonts w:ascii="楷体" w:eastAsia="楷体" w:hAnsi="楷体" w:hint="eastAsia"/>
                <w:color w:val="FF6600"/>
              </w:rPr>
              <w:t>图表</w:t>
            </w:r>
            <w:r>
              <w:rPr>
                <w:rFonts w:ascii="楷体" w:eastAsia="楷体" w:hAnsi="楷体"/>
                <w:color w:val="FF6600"/>
              </w:rPr>
              <w:t>2</w:t>
            </w:r>
            <w:r w:rsidRPr="00FC54FE">
              <w:rPr>
                <w:rFonts w:ascii="楷体" w:eastAsia="楷体" w:hAnsi="楷体" w:hint="eastAsia"/>
                <w:color w:val="FF6600"/>
              </w:rPr>
              <w:t>：</w:t>
            </w:r>
            <w:r w:rsidRPr="008D671F">
              <w:rPr>
                <w:rFonts w:ascii="楷体" w:eastAsia="楷体" w:hAnsi="楷体" w:hint="eastAsia"/>
                <w:color w:val="FF6600"/>
              </w:rPr>
              <w:t>美国非农就业新增岗位</w:t>
            </w:r>
            <w:r>
              <w:rPr>
                <w:rFonts w:ascii="楷体" w:eastAsia="楷体" w:hAnsi="楷体" w:hint="eastAsia"/>
                <w:color w:val="FF6600"/>
              </w:rPr>
              <w:t>（单位</w:t>
            </w:r>
            <w:r w:rsidRPr="008D671F">
              <w:rPr>
                <w:rFonts w:ascii="楷体" w:eastAsia="楷体" w:hAnsi="楷体" w:hint="eastAsia"/>
                <w:color w:val="FF6600"/>
              </w:rPr>
              <w:t>：千人</w:t>
            </w:r>
            <w:r>
              <w:rPr>
                <w:rFonts w:ascii="楷体" w:eastAsia="楷体" w:hAnsi="楷体" w:hint="eastAsia"/>
                <w:color w:val="FF6600"/>
              </w:rPr>
              <w:t>）与失业率</w:t>
            </w:r>
          </w:p>
        </w:tc>
        <w:tc>
          <w:tcPr>
            <w:tcW w:w="227" w:type="dxa"/>
            <w:vAlign w:val="center"/>
          </w:tcPr>
          <w:p w:rsidR="003B4B41" w:rsidRPr="00FC54FE" w:rsidRDefault="003B4B41" w:rsidP="00F17CEC">
            <w:pPr>
              <w:jc w:val="center"/>
              <w:rPr>
                <w:rFonts w:ascii="楷体" w:eastAsia="楷体" w:hAnsi="楷体" w:cs="Arial"/>
                <w:b/>
                <w:bCs/>
                <w:i/>
                <w:iCs/>
                <w:color w:val="FF6600"/>
                <w:kern w:val="0"/>
                <w:szCs w:val="21"/>
                <w:lang w:val="en-GB"/>
              </w:rPr>
            </w:pPr>
          </w:p>
        </w:tc>
        <w:tc>
          <w:tcPr>
            <w:tcW w:w="5272" w:type="dxa"/>
            <w:tcBorders>
              <w:top w:val="single" w:sz="6" w:space="0" w:color="FF6600"/>
              <w:bottom w:val="single" w:sz="6" w:space="0" w:color="FF6600"/>
            </w:tcBorders>
            <w:vAlign w:val="center"/>
          </w:tcPr>
          <w:p w:rsidR="003B4B41" w:rsidRPr="00FC54FE" w:rsidRDefault="003B4B41" w:rsidP="00F17CEC">
            <w:pPr>
              <w:pStyle w:val="SubTitleLargeTable"/>
              <w:pBdr>
                <w:top w:val="none" w:sz="0" w:space="0" w:color="auto"/>
              </w:pBdr>
              <w:rPr>
                <w:rFonts w:ascii="楷体" w:eastAsia="楷体" w:hAnsi="楷体"/>
                <w:color w:val="FF6600"/>
              </w:rPr>
            </w:pPr>
            <w:r w:rsidRPr="00FC54FE">
              <w:rPr>
                <w:rFonts w:ascii="楷体" w:eastAsia="楷体" w:hAnsi="楷体" w:hint="eastAsia"/>
                <w:color w:val="FF6600"/>
              </w:rPr>
              <w:t>图表</w:t>
            </w:r>
            <w:r>
              <w:rPr>
                <w:rFonts w:ascii="楷体" w:eastAsia="楷体" w:hAnsi="楷体"/>
                <w:color w:val="FF6600"/>
              </w:rPr>
              <w:t>3</w:t>
            </w:r>
            <w:r w:rsidRPr="00FC54FE">
              <w:rPr>
                <w:rFonts w:ascii="楷体" w:eastAsia="楷体" w:hAnsi="楷体" w:hint="eastAsia"/>
                <w:color w:val="FF6600"/>
              </w:rPr>
              <w:t>：</w:t>
            </w:r>
            <w:r>
              <w:rPr>
                <w:rFonts w:ascii="楷体" w:eastAsia="楷体" w:hAnsi="楷体" w:hint="eastAsia"/>
                <w:color w:val="FF6600"/>
              </w:rPr>
              <w:t>美</w:t>
            </w:r>
            <w:r w:rsidRPr="008D671F">
              <w:rPr>
                <w:rFonts w:ascii="楷体" w:eastAsia="楷体" w:hAnsi="楷体" w:hint="eastAsia"/>
                <w:color w:val="FF6600"/>
              </w:rPr>
              <w:t>国</w:t>
            </w:r>
            <w:r>
              <w:rPr>
                <w:rFonts w:ascii="楷体" w:eastAsia="楷体" w:hAnsi="楷体" w:hint="eastAsia"/>
                <w:color w:val="FF6600"/>
              </w:rPr>
              <w:t>货币供应与</w:t>
            </w:r>
            <w:r>
              <w:rPr>
                <w:rFonts w:ascii="楷体" w:eastAsia="楷体" w:hAnsi="楷体"/>
                <w:color w:val="FF6600"/>
              </w:rPr>
              <w:t>CPI</w:t>
            </w:r>
            <w:r>
              <w:rPr>
                <w:rFonts w:ascii="楷体" w:eastAsia="楷体" w:hAnsi="楷体" w:hint="eastAsia"/>
                <w:color w:val="FF6600"/>
              </w:rPr>
              <w:t>走势</w:t>
            </w:r>
          </w:p>
        </w:tc>
      </w:tr>
      <w:tr w:rsidR="003B4B41" w:rsidRPr="00833BB0" w:rsidTr="00F17CEC">
        <w:trPr>
          <w:cantSplit/>
          <w:trHeight w:val="3016"/>
        </w:trPr>
        <w:tc>
          <w:tcPr>
            <w:tcW w:w="5272" w:type="dxa"/>
            <w:tcBorders>
              <w:top w:val="single" w:sz="6" w:space="0" w:color="FF6600"/>
              <w:bottom w:val="single" w:sz="6" w:space="0" w:color="FF6600"/>
            </w:tcBorders>
            <w:vAlign w:val="center"/>
          </w:tcPr>
          <w:p w:rsidR="003B4B41" w:rsidRPr="00833BB0" w:rsidRDefault="003B4B41" w:rsidP="00F17CEC">
            <w:pPr>
              <w:jc w:val="center"/>
              <w:rPr>
                <w:rFonts w:ascii="楷体" w:eastAsia="楷体" w:hAnsi="楷体"/>
              </w:rPr>
            </w:pPr>
            <w:r w:rsidRPr="00833BB0">
              <w:rPr>
                <w:noProof/>
              </w:rPr>
              <w:pict>
                <v:shape id="图片 12" o:spid="_x0000_i1046" type="#_x0000_t75" style="width:261pt;height:183.75pt;visibility:visible">
                  <v:imagedata r:id="rId10" o:title=""/>
                </v:shape>
              </w:pict>
            </w:r>
          </w:p>
        </w:tc>
        <w:tc>
          <w:tcPr>
            <w:tcW w:w="227" w:type="dxa"/>
            <w:vAlign w:val="center"/>
          </w:tcPr>
          <w:p w:rsidR="003B4B41" w:rsidRPr="00833BB0" w:rsidRDefault="003B4B41" w:rsidP="00F17CEC">
            <w:pPr>
              <w:jc w:val="center"/>
              <w:rPr>
                <w:rFonts w:ascii="楷体" w:eastAsia="楷体" w:hAnsi="楷体"/>
              </w:rPr>
            </w:pPr>
          </w:p>
        </w:tc>
        <w:tc>
          <w:tcPr>
            <w:tcW w:w="5272" w:type="dxa"/>
            <w:tcBorders>
              <w:top w:val="single" w:sz="6" w:space="0" w:color="FF6600"/>
              <w:bottom w:val="single" w:sz="6" w:space="0" w:color="FF6600"/>
            </w:tcBorders>
            <w:vAlign w:val="center"/>
          </w:tcPr>
          <w:p w:rsidR="003B4B41" w:rsidRPr="00833BB0" w:rsidRDefault="003B4B41" w:rsidP="00F17CEC">
            <w:pPr>
              <w:jc w:val="center"/>
              <w:rPr>
                <w:rFonts w:ascii="楷体" w:eastAsia="楷体" w:hAnsi="楷体"/>
              </w:rPr>
            </w:pPr>
            <w:r w:rsidRPr="00833BB0">
              <w:rPr>
                <w:noProof/>
              </w:rPr>
              <w:pict>
                <v:shape id="图片 15" o:spid="_x0000_i1047" type="#_x0000_t75" style="width:249.75pt;height:180pt;visibility:visible">
                  <v:imagedata r:id="rId11" o:title=""/>
                </v:shape>
              </w:pict>
            </w:r>
          </w:p>
        </w:tc>
      </w:tr>
    </w:tbl>
    <w:p w:rsidR="003B4B41" w:rsidRPr="004246A7" w:rsidRDefault="003B4B41" w:rsidP="004246A7">
      <w:pPr>
        <w:pStyle w:val="FootnoteNoline"/>
        <w:ind w:left="0"/>
        <w:rPr>
          <w:rFonts w:ascii="楷体" w:eastAsia="楷体" w:hAnsi="楷体"/>
          <w:color w:val="FF6600"/>
        </w:rPr>
      </w:pPr>
      <w:r w:rsidRPr="00FC54FE">
        <w:rPr>
          <w:rFonts w:ascii="楷体" w:eastAsia="楷体" w:hAnsi="楷体" w:hint="eastAsia"/>
          <w:color w:val="FF6600"/>
        </w:rPr>
        <w:t>来源：凯石财富工场</w:t>
      </w:r>
      <w:r w:rsidRPr="00FC54FE">
        <w:rPr>
          <w:rFonts w:ascii="楷体" w:eastAsia="楷体" w:hAnsi="楷体"/>
          <w:color w:val="FF6600"/>
        </w:rPr>
        <w:t xml:space="preserve"> wind </w:t>
      </w:r>
    </w:p>
    <w:p w:rsidR="003B4B41" w:rsidRPr="007627D6" w:rsidRDefault="003B4B41" w:rsidP="007627D6">
      <w:pPr>
        <w:pStyle w:val="BodyText"/>
        <w:numPr>
          <w:ilvl w:val="4"/>
          <w:numId w:val="1"/>
        </w:numPr>
        <w:spacing w:after="163"/>
        <w:rPr>
          <w:rFonts w:eastAsia="楷体" w:cs="Arial"/>
        </w:rPr>
      </w:pPr>
      <w:r>
        <w:rPr>
          <w:rFonts w:hint="eastAsia"/>
        </w:rPr>
        <w:t>美国</w:t>
      </w:r>
      <w:r>
        <w:t>2</w:t>
      </w:r>
      <w:r>
        <w:rPr>
          <w:rFonts w:hint="eastAsia"/>
        </w:rPr>
        <w:t>季度的强劲增长以及良好的就业数据有力支撑美股指数的上行，宽松的货币环境继续有利于美国的资产价格，尤其是房地产和股票市场。因此，目前“美股美房”品种依然是</w:t>
      </w:r>
      <w:r>
        <w:t>QDII</w:t>
      </w:r>
      <w:r>
        <w:rPr>
          <w:rFonts w:hint="eastAsia"/>
        </w:rPr>
        <w:t>基金配置的重要选项。</w:t>
      </w:r>
      <w:r>
        <w:rPr>
          <w:rFonts w:eastAsia="楷体" w:cs="Arial" w:hint="eastAsia"/>
        </w:rPr>
        <w:t>鉴于</w:t>
      </w:r>
      <w:r w:rsidRPr="007206C9">
        <w:rPr>
          <w:rFonts w:eastAsia="楷体" w:cs="Arial" w:hint="eastAsia"/>
        </w:rPr>
        <w:t>美国科技股盈利</w:t>
      </w:r>
      <w:r>
        <w:rPr>
          <w:rFonts w:eastAsia="楷体" w:cs="Arial" w:hint="eastAsia"/>
        </w:rPr>
        <w:t>有望</w:t>
      </w:r>
      <w:r w:rsidRPr="007206C9">
        <w:rPr>
          <w:rFonts w:eastAsia="楷体" w:cs="Arial" w:hint="eastAsia"/>
        </w:rPr>
        <w:t>超出预期，建议</w:t>
      </w:r>
      <w:r>
        <w:rPr>
          <w:rFonts w:eastAsia="楷体" w:cs="Arial" w:hint="eastAsia"/>
        </w:rPr>
        <w:t>尤其</w:t>
      </w:r>
      <w:r w:rsidRPr="007206C9">
        <w:rPr>
          <w:rFonts w:eastAsia="楷体" w:cs="Arial" w:hint="eastAsia"/>
        </w:rPr>
        <w:t>关注科技股权重较高的纳斯达克</w:t>
      </w:r>
      <w:r w:rsidRPr="007206C9">
        <w:rPr>
          <w:rFonts w:eastAsia="楷体" w:cs="Arial"/>
        </w:rPr>
        <w:t>100</w:t>
      </w:r>
      <w:r w:rsidRPr="007206C9">
        <w:rPr>
          <w:rFonts w:eastAsia="楷体" w:cs="Arial" w:hint="eastAsia"/>
        </w:rPr>
        <w:t>指数相关基金。</w:t>
      </w:r>
    </w:p>
    <w:p w:rsidR="003B4B41" w:rsidRPr="00C84B76" w:rsidRDefault="003B4B41" w:rsidP="00C84B76">
      <w:pPr>
        <w:widowControl/>
        <w:spacing w:after="120"/>
        <w:ind w:left="3430"/>
        <w:rPr>
          <w:rFonts w:ascii="楷体" w:eastAsia="楷体" w:hAnsi="楷体"/>
          <w:b/>
          <w:bCs/>
          <w:color w:val="0070C0"/>
          <w:kern w:val="0"/>
          <w:szCs w:val="21"/>
          <w:lang w:val="en-GB"/>
        </w:rPr>
      </w:pPr>
      <w:r w:rsidRPr="00FC54FE">
        <w:rPr>
          <w:rFonts w:ascii="楷体" w:eastAsia="楷体" w:hAnsi="楷体" w:hint="eastAsia"/>
          <w:b/>
          <w:bCs/>
          <w:color w:val="0070C0"/>
          <w:kern w:val="0"/>
          <w:szCs w:val="21"/>
          <w:lang w:val="en-GB"/>
        </w:rPr>
        <w:t>欧洲：</w:t>
      </w:r>
      <w:r>
        <w:rPr>
          <w:rFonts w:ascii="楷体" w:eastAsia="楷体" w:hAnsi="楷体" w:hint="eastAsia"/>
          <w:b/>
          <w:bCs/>
          <w:color w:val="0070C0"/>
          <w:kern w:val="0"/>
          <w:szCs w:val="21"/>
          <w:lang w:val="en-GB"/>
        </w:rPr>
        <w:t>二季度环比零增长</w:t>
      </w:r>
      <w:r>
        <w:rPr>
          <w:rFonts w:ascii="楷体" w:eastAsia="楷体" w:hAnsi="楷体"/>
          <w:b/>
          <w:bCs/>
          <w:color w:val="0070C0"/>
          <w:kern w:val="0"/>
          <w:szCs w:val="21"/>
          <w:lang w:val="en-GB"/>
        </w:rPr>
        <w:t xml:space="preserve"> </w:t>
      </w:r>
      <w:r>
        <w:rPr>
          <w:rFonts w:ascii="楷体" w:eastAsia="楷体" w:hAnsi="楷体" w:hint="eastAsia"/>
          <w:b/>
          <w:bCs/>
          <w:color w:val="0070C0"/>
          <w:kern w:val="0"/>
          <w:szCs w:val="21"/>
          <w:lang w:val="en-GB"/>
        </w:rPr>
        <w:t>欧央行有望出台激进措施</w:t>
      </w:r>
    </w:p>
    <w:p w:rsidR="003B4B41" w:rsidRPr="003238E9" w:rsidRDefault="003B4B41" w:rsidP="003238E9">
      <w:pPr>
        <w:pStyle w:val="BodyText"/>
        <w:numPr>
          <w:ilvl w:val="4"/>
          <w:numId w:val="1"/>
        </w:numPr>
        <w:spacing w:after="163"/>
        <w:rPr>
          <w:rFonts w:eastAsia="楷体" w:cs="Arial"/>
        </w:rPr>
      </w:pPr>
      <w:r>
        <w:rPr>
          <w:rFonts w:hint="eastAsia"/>
        </w:rPr>
        <w:t>受自身结构性问题和制裁俄罗斯的影响，欧元区经济继续低迷，</w:t>
      </w:r>
      <w:r w:rsidRPr="004B09AF">
        <w:rPr>
          <w:rFonts w:eastAsia="楷体" w:cs="Arial" w:hint="eastAsia"/>
        </w:rPr>
        <w:t>二季度</w:t>
      </w:r>
      <w:r w:rsidRPr="004B09AF">
        <w:rPr>
          <w:rFonts w:eastAsia="楷体" w:cs="Arial"/>
        </w:rPr>
        <w:t>GDP</w:t>
      </w:r>
      <w:r w:rsidRPr="004B09AF">
        <w:rPr>
          <w:rFonts w:eastAsia="楷体" w:cs="Arial" w:hint="eastAsia"/>
        </w:rPr>
        <w:t>初值</w:t>
      </w:r>
      <w:r w:rsidRPr="00AA7AC4">
        <w:rPr>
          <w:rFonts w:hint="eastAsia"/>
          <w:bCs/>
          <w:szCs w:val="21"/>
        </w:rPr>
        <w:t>环比</w:t>
      </w:r>
      <w:r>
        <w:rPr>
          <w:rFonts w:hint="eastAsia"/>
          <w:bCs/>
          <w:szCs w:val="21"/>
        </w:rPr>
        <w:t>零增长</w:t>
      </w:r>
      <w:r w:rsidRPr="004B09AF">
        <w:rPr>
          <w:rFonts w:eastAsia="楷体" w:cs="Arial" w:hint="eastAsia"/>
        </w:rPr>
        <w:t>，同比增长</w:t>
      </w:r>
      <w:r w:rsidRPr="004B09AF">
        <w:rPr>
          <w:rFonts w:eastAsia="楷体" w:cs="Arial"/>
        </w:rPr>
        <w:t>0.7%</w:t>
      </w:r>
      <w:r>
        <w:rPr>
          <w:rFonts w:eastAsia="楷体" w:cs="Arial" w:hint="eastAsia"/>
        </w:rPr>
        <w:t>，</w:t>
      </w:r>
      <w:r w:rsidRPr="00AA7AC4">
        <w:rPr>
          <w:rFonts w:hint="eastAsia"/>
          <w:bCs/>
          <w:szCs w:val="21"/>
        </w:rPr>
        <w:t>年化增长率从一季度的</w:t>
      </w:r>
      <w:r w:rsidRPr="00AA7AC4">
        <w:rPr>
          <w:bCs/>
          <w:szCs w:val="21"/>
        </w:rPr>
        <w:t>0.8%</w:t>
      </w:r>
      <w:r w:rsidRPr="00AA7AC4">
        <w:rPr>
          <w:rFonts w:hint="eastAsia"/>
          <w:bCs/>
          <w:szCs w:val="21"/>
        </w:rPr>
        <w:t>降至</w:t>
      </w:r>
      <w:r w:rsidRPr="00AA7AC4">
        <w:rPr>
          <w:bCs/>
          <w:szCs w:val="21"/>
        </w:rPr>
        <w:t>0.2%</w:t>
      </w:r>
      <w:r w:rsidRPr="004B09AF">
        <w:rPr>
          <w:rFonts w:eastAsia="楷体" w:cs="Arial" w:hint="eastAsia"/>
        </w:rPr>
        <w:t>。值得警惕的是，一直有欧元区“引擎”之称的德国经济出现了自</w:t>
      </w:r>
      <w:r w:rsidRPr="004B09AF">
        <w:rPr>
          <w:rFonts w:eastAsia="楷体" w:cs="Arial"/>
        </w:rPr>
        <w:t>2012</w:t>
      </w:r>
      <w:r w:rsidRPr="004B09AF">
        <w:rPr>
          <w:rFonts w:eastAsia="楷体" w:cs="Arial" w:hint="eastAsia"/>
        </w:rPr>
        <w:t>年以来的首次季度环比萎缩。</w:t>
      </w:r>
      <w:r w:rsidRPr="007F3FC9">
        <w:rPr>
          <w:rFonts w:hint="eastAsia"/>
          <w:color w:val="auto"/>
        </w:rPr>
        <w:t>受不良的</w:t>
      </w:r>
      <w:r w:rsidRPr="007F3FC9">
        <w:rPr>
          <w:color w:val="auto"/>
        </w:rPr>
        <w:t>2</w:t>
      </w:r>
      <w:r w:rsidRPr="007F3FC9">
        <w:rPr>
          <w:rFonts w:hint="eastAsia"/>
          <w:color w:val="auto"/>
        </w:rPr>
        <w:t>季度增长数据等经济数据影响，欧洲股市继续表现疲弱，德国</w:t>
      </w:r>
      <w:r w:rsidRPr="007F3FC9">
        <w:rPr>
          <w:color w:val="auto"/>
        </w:rPr>
        <w:t>DAX</w:t>
      </w:r>
      <w:r w:rsidRPr="007F3FC9">
        <w:rPr>
          <w:rFonts w:hint="eastAsia"/>
          <w:color w:val="auto"/>
        </w:rPr>
        <w:t>指数下跌</w:t>
      </w:r>
      <w:r w:rsidRPr="007F3FC9">
        <w:rPr>
          <w:color w:val="auto"/>
        </w:rPr>
        <w:t>0.9%</w:t>
      </w:r>
      <w:r w:rsidRPr="007F3FC9">
        <w:rPr>
          <w:rFonts w:hint="eastAsia"/>
          <w:color w:val="auto"/>
        </w:rPr>
        <w:t>。</w:t>
      </w:r>
      <w:r w:rsidRPr="002F5431">
        <w:rPr>
          <w:rFonts w:hint="eastAsia"/>
          <w:bCs/>
          <w:szCs w:val="21"/>
          <w:lang w:val="en-US"/>
        </w:rPr>
        <w:t>欧洲央行正面临采取</w:t>
      </w:r>
      <w:r>
        <w:rPr>
          <w:rFonts w:hint="eastAsia"/>
          <w:bCs/>
          <w:szCs w:val="21"/>
          <w:lang w:val="en-US"/>
        </w:rPr>
        <w:t>更</w:t>
      </w:r>
      <w:r w:rsidRPr="002F5431">
        <w:rPr>
          <w:rFonts w:hint="eastAsia"/>
          <w:bCs/>
          <w:szCs w:val="21"/>
          <w:lang w:val="en-US"/>
        </w:rPr>
        <w:t>激进</w:t>
      </w:r>
      <w:r>
        <w:rPr>
          <w:rFonts w:hint="eastAsia"/>
          <w:bCs/>
          <w:szCs w:val="21"/>
          <w:lang w:val="en-US"/>
        </w:rPr>
        <w:t>的</w:t>
      </w:r>
      <w:r w:rsidRPr="002F5431">
        <w:rPr>
          <w:rFonts w:hint="eastAsia"/>
          <w:bCs/>
          <w:szCs w:val="21"/>
          <w:lang w:val="en-US"/>
        </w:rPr>
        <w:t>措施以提振欧元区经济的新压力。</w:t>
      </w:r>
    </w:p>
    <w:p w:rsidR="003B4B41" w:rsidRDefault="003B4B41" w:rsidP="00547B4F">
      <w:pPr>
        <w:pStyle w:val="BodyText"/>
        <w:numPr>
          <w:ilvl w:val="5"/>
          <w:numId w:val="2"/>
        </w:numPr>
        <w:spacing w:after="163"/>
        <w:rPr>
          <w:rFonts w:eastAsia="楷体" w:cs="Arial"/>
        </w:rPr>
      </w:pPr>
      <w:r>
        <w:rPr>
          <w:rFonts w:hint="eastAsia"/>
        </w:rPr>
        <w:t>通胀持续走低：</w:t>
      </w:r>
      <w:r>
        <w:rPr>
          <w:bCs/>
          <w:szCs w:val="21"/>
          <w:lang w:val="en-US"/>
        </w:rPr>
        <w:t>8</w:t>
      </w:r>
      <w:r w:rsidRPr="00AA7AC4">
        <w:rPr>
          <w:rFonts w:hint="eastAsia"/>
          <w:bCs/>
          <w:szCs w:val="21"/>
          <w:lang w:val="en-US"/>
        </w:rPr>
        <w:t>月份</w:t>
      </w:r>
      <w:r>
        <w:rPr>
          <w:rFonts w:hint="eastAsia"/>
          <w:bCs/>
          <w:szCs w:val="21"/>
          <w:lang w:val="en-US"/>
        </w:rPr>
        <w:t>欧元区</w:t>
      </w:r>
      <w:r w:rsidRPr="00AA7AC4">
        <w:rPr>
          <w:bCs/>
          <w:szCs w:val="21"/>
          <w:lang w:val="en-US"/>
        </w:rPr>
        <w:t>CPI</w:t>
      </w:r>
      <w:r>
        <w:rPr>
          <w:rFonts w:hint="eastAsia"/>
        </w:rPr>
        <w:t>仅为</w:t>
      </w:r>
      <w:r>
        <w:t>0.3%</w:t>
      </w:r>
      <w:r>
        <w:rPr>
          <w:rFonts w:hint="eastAsia"/>
        </w:rPr>
        <w:t>，较</w:t>
      </w:r>
      <w:r>
        <w:t>7</w:t>
      </w:r>
      <w:r>
        <w:rPr>
          <w:rFonts w:hint="eastAsia"/>
        </w:rPr>
        <w:t>月再度缩减</w:t>
      </w:r>
      <w:r>
        <w:t>0.1</w:t>
      </w:r>
      <w:r>
        <w:rPr>
          <w:rFonts w:hint="eastAsia"/>
        </w:rPr>
        <w:t>个点，不及欧</w:t>
      </w:r>
      <w:r w:rsidRPr="00194054">
        <w:rPr>
          <w:rFonts w:hint="eastAsia"/>
        </w:rPr>
        <w:t>央行目标</w:t>
      </w:r>
      <w:r>
        <w:t>(</w:t>
      </w:r>
      <w:r w:rsidRPr="00194054">
        <w:rPr>
          <w:rFonts w:hint="eastAsia"/>
        </w:rPr>
        <w:t>略低于</w:t>
      </w:r>
      <w:r w:rsidRPr="00194054">
        <w:t>2%</w:t>
      </w:r>
      <w:r>
        <w:t>)</w:t>
      </w:r>
      <w:r w:rsidRPr="00194054">
        <w:rPr>
          <w:rFonts w:hint="eastAsia"/>
        </w:rPr>
        <w:t>的五分之一。</w:t>
      </w:r>
      <w:r>
        <w:rPr>
          <w:rFonts w:hint="eastAsia"/>
        </w:rPr>
        <w:t>从主要项目看，</w:t>
      </w:r>
      <w:r>
        <w:t>8</w:t>
      </w:r>
      <w:r>
        <w:rPr>
          <w:rFonts w:hint="eastAsia"/>
        </w:rPr>
        <w:t>月通胀主要受能源、食品、烟草、酒类的价格下滑拖累</w:t>
      </w:r>
      <w:r w:rsidRPr="00AA7AC4">
        <w:rPr>
          <w:rFonts w:hint="eastAsia"/>
          <w:bCs/>
          <w:szCs w:val="21"/>
          <w:lang w:val="en-US"/>
        </w:rPr>
        <w:t>。</w:t>
      </w:r>
      <w:r>
        <w:rPr>
          <w:rFonts w:hint="eastAsia"/>
        </w:rPr>
        <w:t>与整体通胀持续下滑不同，核心通胀</w:t>
      </w:r>
      <w:r>
        <w:t>0.9%</w:t>
      </w:r>
      <w:r>
        <w:rPr>
          <w:rFonts w:hint="eastAsia"/>
        </w:rPr>
        <w:t>较前月增长</w:t>
      </w:r>
      <w:r>
        <w:t>0.1</w:t>
      </w:r>
      <w:r>
        <w:rPr>
          <w:rFonts w:hint="eastAsia"/>
        </w:rPr>
        <w:t>个百分点，趋势表现较为平稳。</w:t>
      </w:r>
      <w:r>
        <w:rPr>
          <w:rFonts w:eastAsia="楷体" w:cs="Arial" w:hint="eastAsia"/>
        </w:rPr>
        <w:t>对物价下降的担忧恐将</w:t>
      </w:r>
      <w:r w:rsidRPr="0050238B">
        <w:rPr>
          <w:rFonts w:eastAsia="楷体" w:cs="Arial" w:hint="eastAsia"/>
        </w:rPr>
        <w:t>压抑消费和投资需求</w:t>
      </w:r>
      <w:r>
        <w:rPr>
          <w:rFonts w:eastAsia="楷体" w:cs="Arial" w:hint="eastAsia"/>
        </w:rPr>
        <w:t>，</w:t>
      </w:r>
      <w:r w:rsidRPr="0050238B">
        <w:rPr>
          <w:rFonts w:eastAsia="楷体" w:cs="Arial" w:hint="eastAsia"/>
        </w:rPr>
        <w:t>不利于经济复苏。</w:t>
      </w:r>
    </w:p>
    <w:p w:rsidR="003B4B41" w:rsidRPr="00194054" w:rsidRDefault="003B4B41" w:rsidP="00194054">
      <w:pPr>
        <w:pStyle w:val="BodyText"/>
        <w:numPr>
          <w:ilvl w:val="5"/>
          <w:numId w:val="2"/>
        </w:numPr>
        <w:spacing w:after="163"/>
        <w:rPr>
          <w:rFonts w:eastAsia="楷体" w:cs="Arial"/>
        </w:rPr>
      </w:pPr>
      <w:r>
        <w:rPr>
          <w:rFonts w:eastAsia="楷体" w:cs="Arial" w:hint="eastAsia"/>
          <w:color w:val="auto"/>
        </w:rPr>
        <w:t>制造业增速放缓</w:t>
      </w:r>
      <w:r w:rsidRPr="00B73036">
        <w:rPr>
          <w:rFonts w:eastAsia="楷体" w:cs="Arial" w:hint="eastAsia"/>
          <w:color w:val="auto"/>
        </w:rPr>
        <w:t>：</w:t>
      </w:r>
      <w:r w:rsidRPr="00B73036">
        <w:rPr>
          <w:rFonts w:eastAsia="楷体" w:cs="Arial"/>
          <w:color w:val="auto"/>
        </w:rPr>
        <w:t>8</w:t>
      </w:r>
      <w:r w:rsidRPr="00B73036">
        <w:rPr>
          <w:rFonts w:eastAsia="楷体" w:cs="Arial" w:hint="eastAsia"/>
          <w:color w:val="auto"/>
        </w:rPr>
        <w:t>月份</w:t>
      </w:r>
      <w:hyperlink r:id="rId12" w:tgtFrame="_blank" w:history="1">
        <w:r w:rsidRPr="00B73036">
          <w:rPr>
            <w:rFonts w:eastAsia="楷体" w:cs="Arial" w:hint="eastAsia"/>
            <w:color w:val="auto"/>
          </w:rPr>
          <w:t>欧元区</w:t>
        </w:r>
      </w:hyperlink>
      <w:r w:rsidRPr="00B73036">
        <w:rPr>
          <w:rFonts w:eastAsia="楷体" w:cs="Arial"/>
          <w:color w:val="auto"/>
        </w:rPr>
        <w:t>Mark</w:t>
      </w:r>
      <w:r>
        <w:rPr>
          <w:rFonts w:eastAsia="楷体" w:cs="Arial"/>
          <w:color w:val="auto"/>
        </w:rPr>
        <w:t>it</w:t>
      </w:r>
      <w:r w:rsidRPr="0050238B">
        <w:rPr>
          <w:rFonts w:eastAsia="楷体" w:cs="Arial" w:hint="eastAsia"/>
        </w:rPr>
        <w:t>制造业</w:t>
      </w:r>
      <w:r w:rsidRPr="0050238B">
        <w:rPr>
          <w:rFonts w:eastAsia="楷体" w:cs="Arial"/>
        </w:rPr>
        <w:t>PMI</w:t>
      </w:r>
      <w:r>
        <w:rPr>
          <w:rFonts w:eastAsia="楷体" w:cs="Arial" w:hint="eastAsia"/>
        </w:rPr>
        <w:t>终值</w:t>
      </w:r>
      <w:r>
        <w:rPr>
          <w:rFonts w:eastAsia="楷体" w:cs="Arial"/>
        </w:rPr>
        <w:t>50.7</w:t>
      </w:r>
      <w:r>
        <w:rPr>
          <w:rFonts w:eastAsia="楷体" w:cs="Arial" w:hint="eastAsia"/>
        </w:rPr>
        <w:t>，低于市场预期</w:t>
      </w:r>
      <w:r>
        <w:rPr>
          <w:rFonts w:eastAsia="楷体" w:cs="Arial"/>
        </w:rPr>
        <w:t>(50.8)</w:t>
      </w:r>
      <w:r>
        <w:rPr>
          <w:rFonts w:eastAsia="楷体" w:cs="Arial" w:hint="eastAsia"/>
        </w:rPr>
        <w:t>和</w:t>
      </w:r>
      <w:r w:rsidRPr="00B73036">
        <w:rPr>
          <w:rFonts w:eastAsia="楷体" w:cs="Arial" w:hint="eastAsia"/>
        </w:rPr>
        <w:t>前值</w:t>
      </w:r>
      <w:r>
        <w:rPr>
          <w:rFonts w:eastAsia="楷体" w:cs="Arial"/>
        </w:rPr>
        <w:t>(</w:t>
      </w:r>
      <w:r w:rsidRPr="00B73036">
        <w:rPr>
          <w:rFonts w:eastAsia="楷体" w:cs="Arial"/>
        </w:rPr>
        <w:t>50.8</w:t>
      </w:r>
      <w:r>
        <w:rPr>
          <w:rFonts w:eastAsia="楷体" w:cs="Arial"/>
        </w:rPr>
        <w:t>)</w:t>
      </w:r>
      <w:r>
        <w:rPr>
          <w:rFonts w:eastAsia="楷体" w:cs="Arial" w:hint="eastAsia"/>
        </w:rPr>
        <w:t>，创</w:t>
      </w:r>
      <w:r>
        <w:rPr>
          <w:rFonts w:eastAsia="楷体" w:cs="Arial"/>
        </w:rPr>
        <w:t>13</w:t>
      </w:r>
      <w:r>
        <w:rPr>
          <w:rFonts w:eastAsia="楷体" w:cs="Arial" w:hint="eastAsia"/>
        </w:rPr>
        <w:t>个月新低，远未达到</w:t>
      </w:r>
      <w:r w:rsidRPr="00194054">
        <w:rPr>
          <w:rFonts w:eastAsia="楷体" w:cs="Arial" w:hint="eastAsia"/>
        </w:rPr>
        <w:t>解决居高不下的失业率所需的水平。</w:t>
      </w:r>
      <w:r>
        <w:rPr>
          <w:rFonts w:eastAsia="楷体" w:cs="Arial" w:hint="eastAsia"/>
        </w:rPr>
        <w:t>原因主要在于新订单走弱，以及乌克兰紧张局势令企业活动受到冲击。</w:t>
      </w:r>
      <w:r>
        <w:rPr>
          <w:rFonts w:eastAsia="楷体" w:cs="Arial"/>
        </w:rPr>
        <w:t>9</w:t>
      </w:r>
      <w:r>
        <w:rPr>
          <w:rFonts w:eastAsia="楷体" w:cs="Arial" w:hint="eastAsia"/>
        </w:rPr>
        <w:t>月</w:t>
      </w:r>
      <w:r>
        <w:rPr>
          <w:rFonts w:eastAsia="楷体" w:cs="Arial"/>
        </w:rPr>
        <w:t>4</w:t>
      </w:r>
      <w:r>
        <w:rPr>
          <w:rFonts w:eastAsia="楷体" w:cs="Arial" w:hint="eastAsia"/>
        </w:rPr>
        <w:t>日欧</w:t>
      </w:r>
      <w:r w:rsidRPr="00194054">
        <w:rPr>
          <w:rFonts w:eastAsia="楷体" w:cs="Arial" w:hint="eastAsia"/>
        </w:rPr>
        <w:t>央行管理委员会</w:t>
      </w:r>
      <w:r>
        <w:rPr>
          <w:rFonts w:eastAsia="楷体" w:cs="Arial" w:hint="eastAsia"/>
        </w:rPr>
        <w:t>将召开政策会议，</w:t>
      </w:r>
      <w:r w:rsidRPr="00194054">
        <w:rPr>
          <w:rFonts w:eastAsia="楷体" w:cs="Arial"/>
        </w:rPr>
        <w:t>PMI</w:t>
      </w:r>
      <w:r w:rsidRPr="00194054">
        <w:rPr>
          <w:rFonts w:eastAsia="楷体" w:cs="Arial" w:hint="eastAsia"/>
        </w:rPr>
        <w:t>数据</w:t>
      </w:r>
      <w:r>
        <w:rPr>
          <w:rFonts w:eastAsia="楷体" w:cs="Arial" w:hint="eastAsia"/>
        </w:rPr>
        <w:t>的</w:t>
      </w:r>
      <w:r w:rsidRPr="00194054">
        <w:rPr>
          <w:rFonts w:eastAsia="楷体" w:cs="Arial" w:hint="eastAsia"/>
        </w:rPr>
        <w:t>偏弱</w:t>
      </w:r>
      <w:r>
        <w:rPr>
          <w:rFonts w:eastAsia="楷体" w:cs="Arial" w:hint="eastAsia"/>
        </w:rPr>
        <w:t>将使呼吁委员会支持采取新措施刺激经济的一方</w:t>
      </w:r>
      <w:r w:rsidRPr="00194054">
        <w:rPr>
          <w:rFonts w:eastAsia="楷体" w:cs="Arial" w:hint="eastAsia"/>
        </w:rPr>
        <w:t>更加理直气壮。</w:t>
      </w:r>
    </w:p>
    <w:p w:rsidR="003B4B41" w:rsidRPr="00B73036" w:rsidRDefault="003B4B41" w:rsidP="006B5100">
      <w:pPr>
        <w:pStyle w:val="BodyText"/>
        <w:numPr>
          <w:ilvl w:val="5"/>
          <w:numId w:val="2"/>
        </w:numPr>
        <w:spacing w:after="163"/>
        <w:rPr>
          <w:rFonts w:eastAsia="楷体" w:cs="Arial"/>
        </w:rPr>
      </w:pPr>
      <w:r>
        <w:rPr>
          <w:rFonts w:eastAsia="楷体" w:cs="Arial" w:hint="eastAsia"/>
        </w:rPr>
        <w:t>刺激政策尚未见效：</w:t>
      </w:r>
      <w:r w:rsidRPr="006B5100">
        <w:rPr>
          <w:rFonts w:eastAsia="楷体" w:cs="Arial" w:hint="eastAsia"/>
        </w:rPr>
        <w:t>欧元区</w:t>
      </w:r>
      <w:r w:rsidRPr="006B5100">
        <w:rPr>
          <w:rFonts w:eastAsia="楷体" w:cs="Arial"/>
        </w:rPr>
        <w:t>7</w:t>
      </w:r>
      <w:r w:rsidRPr="006B5100">
        <w:rPr>
          <w:rFonts w:eastAsia="楷体" w:cs="Arial" w:hint="eastAsia"/>
        </w:rPr>
        <w:t>月私营企业贷款同比下降</w:t>
      </w:r>
      <w:r w:rsidRPr="006B5100">
        <w:rPr>
          <w:rFonts w:eastAsia="楷体" w:cs="Arial"/>
        </w:rPr>
        <w:t>1.6%</w:t>
      </w:r>
      <w:r w:rsidRPr="006B5100">
        <w:rPr>
          <w:rFonts w:eastAsia="楷体" w:cs="Arial" w:hint="eastAsia"/>
        </w:rPr>
        <w:t>。显示</w:t>
      </w:r>
      <w:r w:rsidRPr="006B5100">
        <w:rPr>
          <w:rFonts w:eastAsia="楷体" w:cs="Arial"/>
        </w:rPr>
        <w:t>6</w:t>
      </w:r>
      <w:r w:rsidRPr="006B5100">
        <w:rPr>
          <w:rFonts w:eastAsia="楷体" w:cs="Arial" w:hint="eastAsia"/>
        </w:rPr>
        <w:t>月推出的包括负利率在内的一系列刺激政策仍然未直接刺激信贷的增长。</w:t>
      </w:r>
      <w:r w:rsidRPr="006B5100">
        <w:rPr>
          <w:rFonts w:eastAsia="楷体" w:cs="Arial"/>
        </w:rPr>
        <w:t>7</w:t>
      </w:r>
      <w:r w:rsidRPr="006B5100">
        <w:rPr>
          <w:rFonts w:eastAsia="楷体" w:cs="Arial" w:hint="eastAsia"/>
        </w:rPr>
        <w:t>月份实际利率为</w:t>
      </w:r>
      <w:r w:rsidRPr="006B5100">
        <w:rPr>
          <w:rFonts w:eastAsia="楷体" w:cs="Arial"/>
        </w:rPr>
        <w:t>-0.25%</w:t>
      </w:r>
      <w:r w:rsidRPr="006B5100">
        <w:rPr>
          <w:rFonts w:eastAsia="楷体" w:cs="Arial" w:hint="eastAsia"/>
        </w:rPr>
        <w:t>，当月欧洲央行将基准利率保持</w:t>
      </w:r>
      <w:r w:rsidRPr="006B5100">
        <w:rPr>
          <w:rFonts w:eastAsia="楷体" w:cs="Arial"/>
        </w:rPr>
        <w:t>0.15%</w:t>
      </w:r>
      <w:r w:rsidRPr="006B5100">
        <w:rPr>
          <w:rFonts w:eastAsia="楷体" w:cs="Arial" w:hint="eastAsia"/>
        </w:rPr>
        <w:t>不变。</w:t>
      </w:r>
      <w:r>
        <w:rPr>
          <w:rFonts w:eastAsia="楷体" w:cs="Arial" w:hint="eastAsia"/>
        </w:rPr>
        <w:t>欧洲方面在短期复苏无望的情形之下，预计</w:t>
      </w:r>
      <w:r w:rsidRPr="006B5100">
        <w:rPr>
          <w:rFonts w:eastAsia="楷体" w:cs="Arial" w:hint="eastAsia"/>
        </w:rPr>
        <w:t>会</w:t>
      </w:r>
      <w:r>
        <w:rPr>
          <w:rFonts w:eastAsia="楷体" w:cs="Arial" w:hint="eastAsia"/>
        </w:rPr>
        <w:t>采取进一步</w:t>
      </w:r>
      <w:r w:rsidRPr="006B5100">
        <w:rPr>
          <w:rFonts w:eastAsia="楷体" w:cs="Arial" w:hint="eastAsia"/>
        </w:rPr>
        <w:t>宽松的货币政策以刺激经济。</w:t>
      </w:r>
    </w:p>
    <w:tbl>
      <w:tblPr>
        <w:tblW w:w="7442" w:type="dxa"/>
        <w:tblInd w:w="340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7442"/>
      </w:tblGrid>
      <w:tr w:rsidR="003B4B41" w:rsidRPr="00833BB0" w:rsidTr="0089566A">
        <w:trPr>
          <w:cantSplit/>
          <w:trHeight w:val="65"/>
        </w:trPr>
        <w:tc>
          <w:tcPr>
            <w:tcW w:w="7442" w:type="dxa"/>
            <w:vAlign w:val="center"/>
          </w:tcPr>
          <w:p w:rsidR="003B4B41" w:rsidRPr="00FC54FE" w:rsidRDefault="003B4B41" w:rsidP="0089566A">
            <w:pPr>
              <w:pStyle w:val="SubTitleLargeTable"/>
              <w:pBdr>
                <w:top w:val="none" w:sz="0" w:space="0" w:color="auto"/>
              </w:pBdr>
              <w:rPr>
                <w:rFonts w:ascii="楷体" w:eastAsia="楷体" w:hAnsi="楷体"/>
                <w:b w:val="0"/>
                <w:color w:val="FF6600"/>
              </w:rPr>
            </w:pPr>
            <w:r w:rsidRPr="00FC54FE">
              <w:rPr>
                <w:rFonts w:ascii="楷体" w:eastAsia="楷体" w:hAnsi="楷体" w:hint="eastAsia"/>
                <w:color w:val="FF6600"/>
              </w:rPr>
              <w:t>图表</w:t>
            </w:r>
            <w:r>
              <w:rPr>
                <w:rFonts w:ascii="楷体" w:eastAsia="楷体" w:hAnsi="楷体"/>
                <w:color w:val="FF6600"/>
              </w:rPr>
              <w:t>4</w:t>
            </w:r>
            <w:r w:rsidRPr="00FC54FE">
              <w:rPr>
                <w:rFonts w:ascii="楷体" w:eastAsia="楷体" w:hAnsi="楷体" w:hint="eastAsia"/>
                <w:color w:val="FF6600"/>
              </w:rPr>
              <w:t>：</w:t>
            </w:r>
            <w:r w:rsidRPr="00360B5A">
              <w:rPr>
                <w:rFonts w:ascii="楷体" w:eastAsia="楷体" w:hAnsi="楷体" w:hint="eastAsia"/>
                <w:color w:val="FF6600"/>
              </w:rPr>
              <w:t>欧元区经济增长与经济景气指数</w:t>
            </w:r>
          </w:p>
        </w:tc>
      </w:tr>
      <w:tr w:rsidR="003B4B41" w:rsidRPr="00833BB0" w:rsidTr="0089566A">
        <w:trPr>
          <w:cantSplit/>
          <w:trHeight w:val="2599"/>
        </w:trPr>
        <w:tc>
          <w:tcPr>
            <w:tcW w:w="7442" w:type="dxa"/>
            <w:vAlign w:val="center"/>
          </w:tcPr>
          <w:p w:rsidR="003B4B41" w:rsidRPr="00833BB0" w:rsidRDefault="003B4B41" w:rsidP="0089566A">
            <w:pPr>
              <w:snapToGrid w:val="0"/>
              <w:spacing w:line="10" w:lineRule="atLeast"/>
              <w:jc w:val="center"/>
              <w:rPr>
                <w:rFonts w:ascii="楷体" w:eastAsia="楷体" w:hAnsi="楷体"/>
                <w:b/>
              </w:rPr>
            </w:pPr>
            <w:r w:rsidRPr="00833BB0">
              <w:rPr>
                <w:rFonts w:ascii="楷体" w:eastAsia="楷体" w:hAnsi="楷体"/>
                <w:b/>
                <w:noProof/>
              </w:rPr>
              <w:pict>
                <v:shape id="图片 18" o:spid="_x0000_i1048" type="#_x0000_t75" style="width:306pt;height:173.25pt;visibility:visible">
                  <v:imagedata r:id="rId13" o:title=""/>
                </v:shape>
              </w:pict>
            </w:r>
          </w:p>
        </w:tc>
      </w:tr>
    </w:tbl>
    <w:p w:rsidR="003B4B41" w:rsidRPr="007F54BB" w:rsidRDefault="003B4B41" w:rsidP="00360B5A">
      <w:pPr>
        <w:pStyle w:val="FootnoteNoline"/>
        <w:rPr>
          <w:rFonts w:ascii="楷体" w:eastAsia="楷体" w:hAnsi="楷体"/>
          <w:color w:val="FF6600"/>
        </w:rPr>
      </w:pPr>
      <w:r w:rsidRPr="00FC54FE">
        <w:rPr>
          <w:rFonts w:ascii="楷体" w:eastAsia="楷体" w:hAnsi="楷体" w:hint="eastAsia"/>
          <w:color w:val="FF6600"/>
        </w:rPr>
        <w:t>来源：凯石财富工场</w:t>
      </w:r>
      <w:r w:rsidRPr="00FC54FE">
        <w:rPr>
          <w:rFonts w:ascii="楷体" w:eastAsia="楷体" w:hAnsi="楷体"/>
          <w:color w:val="FF6600"/>
        </w:rPr>
        <w:t xml:space="preserve"> </w:t>
      </w:r>
      <w:r>
        <w:rPr>
          <w:rFonts w:ascii="楷体" w:eastAsia="楷体" w:hAnsi="楷体"/>
          <w:color w:val="FF6600"/>
        </w:rPr>
        <w:t>Wind</w:t>
      </w:r>
      <w:r w:rsidRPr="00FC54FE">
        <w:rPr>
          <w:rFonts w:ascii="楷体" w:eastAsia="楷体" w:hAnsi="楷体" w:hint="eastAsia"/>
          <w:color w:val="FF6600"/>
        </w:rPr>
        <w:t>数据</w:t>
      </w:r>
    </w:p>
    <w:p w:rsidR="003B4B41" w:rsidRPr="00FA6C88" w:rsidRDefault="003B4B41" w:rsidP="00720622">
      <w:pPr>
        <w:pStyle w:val="BodyText"/>
        <w:numPr>
          <w:ilvl w:val="4"/>
          <w:numId w:val="1"/>
        </w:numPr>
        <w:spacing w:after="163"/>
        <w:rPr>
          <w:rFonts w:eastAsia="楷体" w:cs="Arial"/>
          <w:color w:val="auto"/>
        </w:rPr>
      </w:pPr>
      <w:r w:rsidRPr="00FA6C88">
        <w:rPr>
          <w:rFonts w:eastAsia="楷体" w:hAnsi="楷体" w:cs="Arial" w:hint="eastAsia"/>
          <w:color w:val="auto"/>
        </w:rPr>
        <w:t>欧元区</w:t>
      </w:r>
      <w:r>
        <w:rPr>
          <w:rFonts w:eastAsia="楷体" w:hAnsi="楷体" w:cs="Arial" w:hint="eastAsia"/>
          <w:color w:val="auto"/>
        </w:rPr>
        <w:t>二季度环比“零增长”，引发市场对其经济复苏脆弱的担忧。</w:t>
      </w:r>
      <w:r w:rsidRPr="00FA6C88">
        <w:rPr>
          <w:rFonts w:eastAsia="楷体" w:hAnsi="楷体" w:cs="Arial" w:hint="eastAsia"/>
          <w:color w:val="auto"/>
        </w:rPr>
        <w:t>欧洲央行</w:t>
      </w:r>
      <w:r>
        <w:rPr>
          <w:rFonts w:hint="eastAsia"/>
          <w:bCs/>
          <w:szCs w:val="21"/>
          <w:lang w:val="en-US"/>
        </w:rPr>
        <w:t>有可能</w:t>
      </w:r>
      <w:r w:rsidRPr="002F5431">
        <w:rPr>
          <w:rFonts w:hint="eastAsia"/>
          <w:bCs/>
          <w:szCs w:val="21"/>
          <w:lang w:val="en-US"/>
        </w:rPr>
        <w:t>采取</w:t>
      </w:r>
      <w:r>
        <w:rPr>
          <w:rFonts w:hint="eastAsia"/>
          <w:bCs/>
          <w:szCs w:val="21"/>
          <w:lang w:val="en-US"/>
        </w:rPr>
        <w:t>更</w:t>
      </w:r>
      <w:r w:rsidRPr="002F5431">
        <w:rPr>
          <w:rFonts w:hint="eastAsia"/>
          <w:bCs/>
          <w:szCs w:val="21"/>
          <w:lang w:val="en-US"/>
        </w:rPr>
        <w:t>激进</w:t>
      </w:r>
      <w:r>
        <w:rPr>
          <w:rFonts w:hint="eastAsia"/>
          <w:bCs/>
          <w:szCs w:val="21"/>
          <w:lang w:val="en-US"/>
        </w:rPr>
        <w:t>的</w:t>
      </w:r>
      <w:r w:rsidRPr="002F5431">
        <w:rPr>
          <w:rFonts w:hint="eastAsia"/>
          <w:bCs/>
          <w:szCs w:val="21"/>
          <w:lang w:val="en-US"/>
        </w:rPr>
        <w:t>措施以提振</w:t>
      </w:r>
      <w:r>
        <w:rPr>
          <w:rFonts w:hint="eastAsia"/>
          <w:bCs/>
          <w:szCs w:val="21"/>
          <w:lang w:val="en-US"/>
        </w:rPr>
        <w:t>欧元区经济的新压力</w:t>
      </w:r>
      <w:r w:rsidRPr="00FA6C88">
        <w:rPr>
          <w:rFonts w:eastAsia="楷体" w:hAnsi="楷体" w:cs="Arial" w:hint="eastAsia"/>
          <w:color w:val="auto"/>
        </w:rPr>
        <w:t>，</w:t>
      </w:r>
      <w:r>
        <w:rPr>
          <w:rFonts w:eastAsia="楷体" w:hAnsi="楷体" w:cs="Arial" w:hint="eastAsia"/>
          <w:color w:val="auto"/>
        </w:rPr>
        <w:t>目前来看</w:t>
      </w:r>
      <w:r>
        <w:rPr>
          <w:rFonts w:hint="eastAsia"/>
        </w:rPr>
        <w:t>一系列刺激手段尚未直接促成信贷的增长</w:t>
      </w:r>
      <w:r>
        <w:rPr>
          <w:rFonts w:eastAsia="楷体" w:hAnsi="楷体" w:cs="Arial" w:hint="eastAsia"/>
          <w:color w:val="auto"/>
        </w:rPr>
        <w:t>。而乌克兰</w:t>
      </w:r>
      <w:r w:rsidRPr="00FA6C88">
        <w:rPr>
          <w:rFonts w:eastAsia="楷体" w:hAnsi="楷体" w:cs="Arial" w:hint="eastAsia"/>
          <w:color w:val="auto"/>
        </w:rPr>
        <w:t>紧张局势</w:t>
      </w:r>
      <w:r>
        <w:rPr>
          <w:rFonts w:eastAsia="楷体" w:hAnsi="楷体" w:cs="Arial" w:hint="eastAsia"/>
          <w:color w:val="auto"/>
        </w:rPr>
        <w:t>和针对俄罗斯的制裁有加深趋势</w:t>
      </w:r>
      <w:r w:rsidRPr="00FA6C88">
        <w:rPr>
          <w:rFonts w:eastAsia="楷体" w:hAnsi="楷体" w:cs="Arial" w:hint="eastAsia"/>
          <w:color w:val="auto"/>
        </w:rPr>
        <w:t>，</w:t>
      </w:r>
      <w:r>
        <w:rPr>
          <w:rFonts w:eastAsia="楷体" w:hAnsi="楷体" w:cs="Arial" w:hint="eastAsia"/>
          <w:color w:val="auto"/>
        </w:rPr>
        <w:t>地缘政治风险阴云不散。综上，凯石工场建议</w:t>
      </w:r>
      <w:r>
        <w:rPr>
          <w:rFonts w:eastAsia="楷体" w:hAnsi="楷体" w:cs="Arial"/>
          <w:color w:val="auto"/>
        </w:rPr>
        <w:t>9</w:t>
      </w:r>
      <w:r>
        <w:rPr>
          <w:rFonts w:eastAsia="楷体" w:hAnsi="楷体" w:cs="Arial" w:hint="eastAsia"/>
          <w:color w:val="auto"/>
        </w:rPr>
        <w:t>月份的</w:t>
      </w:r>
      <w:r>
        <w:rPr>
          <w:rFonts w:eastAsia="楷体" w:hAnsi="楷体" w:cs="Arial"/>
          <w:color w:val="auto"/>
        </w:rPr>
        <w:t>QDII</w:t>
      </w:r>
      <w:r>
        <w:rPr>
          <w:rFonts w:eastAsia="楷体" w:hAnsi="楷体" w:cs="Arial" w:hint="eastAsia"/>
          <w:color w:val="auto"/>
        </w:rPr>
        <w:t>投资适度回避欧洲市场</w:t>
      </w:r>
      <w:r w:rsidRPr="00FA6C88">
        <w:rPr>
          <w:rFonts w:eastAsia="楷体" w:hAnsi="楷体" w:cs="Arial" w:hint="eastAsia"/>
          <w:color w:val="auto"/>
        </w:rPr>
        <w:t>。</w:t>
      </w:r>
    </w:p>
    <w:p w:rsidR="003B4B41" w:rsidRPr="000A2A98" w:rsidRDefault="003B4B41" w:rsidP="000A2A98">
      <w:pPr>
        <w:widowControl/>
        <w:spacing w:after="120"/>
        <w:ind w:left="3430"/>
        <w:rPr>
          <w:rFonts w:ascii="楷体" w:eastAsia="楷体" w:hAnsi="楷体"/>
          <w:b/>
          <w:bCs/>
          <w:color w:val="0070C0"/>
          <w:kern w:val="0"/>
          <w:szCs w:val="21"/>
          <w:lang w:val="en-GB"/>
        </w:rPr>
      </w:pPr>
      <w:r w:rsidRPr="000A2A98">
        <w:rPr>
          <w:rFonts w:ascii="楷体" w:eastAsia="楷体" w:hAnsi="楷体" w:hint="eastAsia"/>
          <w:b/>
          <w:bCs/>
          <w:color w:val="0070C0"/>
          <w:kern w:val="0"/>
          <w:szCs w:val="21"/>
          <w:lang w:val="en-GB"/>
        </w:rPr>
        <w:t>新兴市场：</w:t>
      </w:r>
      <w:r>
        <w:rPr>
          <w:rFonts w:ascii="楷体" w:eastAsia="楷体" w:hAnsi="楷体" w:hint="eastAsia"/>
          <w:b/>
          <w:bCs/>
          <w:color w:val="0070C0"/>
          <w:kern w:val="0"/>
          <w:szCs w:val="21"/>
          <w:lang w:val="en-GB"/>
        </w:rPr>
        <w:t>“沪港通”启动在即</w:t>
      </w:r>
      <w:r>
        <w:rPr>
          <w:rFonts w:ascii="楷体" w:eastAsia="楷体" w:hAnsi="楷体"/>
          <w:b/>
          <w:bCs/>
          <w:color w:val="0070C0"/>
          <w:kern w:val="0"/>
          <w:szCs w:val="21"/>
          <w:lang w:val="en-GB"/>
        </w:rPr>
        <w:t xml:space="preserve"> </w:t>
      </w:r>
      <w:r>
        <w:rPr>
          <w:rFonts w:ascii="楷体" w:eastAsia="楷体" w:hAnsi="楷体" w:hint="eastAsia"/>
          <w:b/>
          <w:bCs/>
          <w:color w:val="0070C0"/>
          <w:kern w:val="0"/>
          <w:szCs w:val="21"/>
          <w:lang w:val="en-GB"/>
        </w:rPr>
        <w:t>香港市场吸引力增强</w:t>
      </w:r>
    </w:p>
    <w:p w:rsidR="003B4B41" w:rsidRDefault="003B4B41" w:rsidP="00BE27A1">
      <w:pPr>
        <w:pStyle w:val="BodyText"/>
        <w:numPr>
          <w:ilvl w:val="4"/>
          <w:numId w:val="1"/>
        </w:numPr>
        <w:spacing w:after="163"/>
      </w:pPr>
      <w:r>
        <w:rPr>
          <w:rFonts w:hint="eastAsia"/>
        </w:rPr>
        <w:t>在美欧货币政策基调总体宽松的环境下，新兴国家有望迎来较理想的投资时机，在经济和金融环境层面的系统性风险亦较低。</w:t>
      </w:r>
      <w:r w:rsidRPr="00BE27A1">
        <w:rPr>
          <w:rFonts w:hint="eastAsia"/>
        </w:rPr>
        <w:t>新兴市场</w:t>
      </w:r>
      <w:r w:rsidRPr="00BE27A1">
        <w:t>3</w:t>
      </w:r>
      <w:r>
        <w:rPr>
          <w:rFonts w:hint="eastAsia"/>
        </w:rPr>
        <w:t>季度以来表现不错，</w:t>
      </w:r>
      <w:r>
        <w:t>8</w:t>
      </w:r>
      <w:r>
        <w:rPr>
          <w:rFonts w:hint="eastAsia"/>
        </w:rPr>
        <w:t>月份</w:t>
      </w:r>
      <w:r w:rsidRPr="00BE27A1">
        <w:t>MSCI</w:t>
      </w:r>
      <w:r w:rsidRPr="00BE27A1">
        <w:rPr>
          <w:rFonts w:hint="eastAsia"/>
        </w:rPr>
        <w:t>新兴市场指数上升</w:t>
      </w:r>
      <w:r w:rsidRPr="00BE27A1">
        <w:t>1.2%</w:t>
      </w:r>
      <w:r w:rsidRPr="00BE27A1">
        <w:rPr>
          <w:rFonts w:hint="eastAsia"/>
        </w:rPr>
        <w:t>，其中俄罗斯</w:t>
      </w:r>
      <w:r w:rsidRPr="00BE27A1">
        <w:t>RTS</w:t>
      </w:r>
      <w:r w:rsidRPr="00BE27A1">
        <w:rPr>
          <w:rFonts w:hint="eastAsia"/>
        </w:rPr>
        <w:t>指数上涨</w:t>
      </w:r>
      <w:r w:rsidRPr="00BE27A1">
        <w:t>4.9%</w:t>
      </w:r>
      <w:r w:rsidRPr="00BE27A1">
        <w:rPr>
          <w:rFonts w:hint="eastAsia"/>
        </w:rPr>
        <w:t>，巴西</w:t>
      </w:r>
      <w:r w:rsidRPr="00BE27A1">
        <w:t>IBOVE</w:t>
      </w:r>
      <w:r w:rsidRPr="00BE27A1">
        <w:rPr>
          <w:rFonts w:hint="eastAsia"/>
        </w:rPr>
        <w:t>指数上涨</w:t>
      </w:r>
      <w:r w:rsidRPr="00BE27A1">
        <w:t>3.5%</w:t>
      </w:r>
      <w:r w:rsidRPr="00BE27A1">
        <w:rPr>
          <w:rFonts w:hint="eastAsia"/>
        </w:rPr>
        <w:t>，恒生指数上涨</w:t>
      </w:r>
      <w:r w:rsidRPr="00BE27A1">
        <w:t>3%</w:t>
      </w:r>
      <w:r w:rsidRPr="00BE27A1">
        <w:rPr>
          <w:rFonts w:hint="eastAsia"/>
        </w:rPr>
        <w:t>，印度孟买指数上涨</w:t>
      </w:r>
      <w:r w:rsidRPr="00BE27A1">
        <w:t>1.7%</w:t>
      </w:r>
      <w:r w:rsidRPr="00BE27A1">
        <w:rPr>
          <w:rFonts w:hint="eastAsia"/>
        </w:rPr>
        <w:t>。</w:t>
      </w:r>
    </w:p>
    <w:p w:rsidR="003B4B41" w:rsidRPr="00EB4137" w:rsidRDefault="003B4B41" w:rsidP="00EB4137">
      <w:pPr>
        <w:pStyle w:val="BodyText"/>
        <w:numPr>
          <w:ilvl w:val="4"/>
          <w:numId w:val="1"/>
        </w:numPr>
        <w:spacing w:after="163"/>
        <w:rPr>
          <w:rFonts w:eastAsia="楷体" w:cs="Arial"/>
        </w:rPr>
      </w:pPr>
      <w:r>
        <w:rPr>
          <w:rFonts w:hint="eastAsia"/>
          <w:lang w:val="en-US"/>
        </w:rPr>
        <w:t>本</w:t>
      </w:r>
      <w:r w:rsidRPr="00261786">
        <w:rPr>
          <w:rFonts w:hint="eastAsia"/>
        </w:rPr>
        <w:t>轮美元上涨没有引发新兴国家货币与美元之间的汇率变化，进而也没有影响到新兴国家美元定价的进出口商品的价格变化</w:t>
      </w:r>
      <w:r>
        <w:rPr>
          <w:rFonts w:hint="eastAsia"/>
        </w:rPr>
        <w:t>，也就不会存在因为汇率变化破坏新兴国家外贸以及资产负债表的情况。</w:t>
      </w:r>
      <w:r w:rsidRPr="00261786">
        <w:rPr>
          <w:rFonts w:hint="eastAsia"/>
        </w:rPr>
        <w:t>新兴国家货币与美元汇率的稳定也说明</w:t>
      </w:r>
      <w:r>
        <w:rPr>
          <w:rFonts w:hint="eastAsia"/>
        </w:rPr>
        <w:t>，当前不存在资金大规模从新兴国家流出，至少</w:t>
      </w:r>
      <w:r w:rsidRPr="00261786">
        <w:rPr>
          <w:rFonts w:hint="eastAsia"/>
        </w:rPr>
        <w:t>不存在美元大幅度流出从而造成新兴国家金融环境被破坏的情况。</w:t>
      </w:r>
    </w:p>
    <w:p w:rsidR="003B4B41" w:rsidRPr="00EB4137" w:rsidRDefault="003B4B41" w:rsidP="00EB4137">
      <w:pPr>
        <w:pStyle w:val="BodyText"/>
        <w:numPr>
          <w:ilvl w:val="4"/>
          <w:numId w:val="1"/>
        </w:numPr>
        <w:spacing w:after="163"/>
      </w:pPr>
      <w:r w:rsidRPr="00EB4137">
        <w:rPr>
          <w:rFonts w:hint="eastAsia"/>
        </w:rPr>
        <w:t>港股方面，上交</w:t>
      </w:r>
      <w:r>
        <w:rPr>
          <w:rFonts w:hint="eastAsia"/>
        </w:rPr>
        <w:t>所已开始“港股通”的测试阶段，这将在流动性方面对于港股市场起到催化剂</w:t>
      </w:r>
      <w:r w:rsidRPr="00EB4137">
        <w:rPr>
          <w:rFonts w:hint="eastAsia"/>
        </w:rPr>
        <w:t>作用；</w:t>
      </w:r>
      <w:r w:rsidRPr="00EB4137">
        <w:t>10</w:t>
      </w:r>
      <w:r w:rsidRPr="00EB4137">
        <w:rPr>
          <w:rFonts w:hint="eastAsia"/>
        </w:rPr>
        <w:t>月有望实现真正的港股直通车，届时香港市场有望继续吸引大量合格投资者加入。</w:t>
      </w:r>
      <w:r>
        <w:rPr>
          <w:rFonts w:hint="eastAsia"/>
        </w:rPr>
        <w:t>尽管左右港股走势的内地经济基本面最新数据不佳，但宽松流动性和进一步“稳增长”政策可期，叠加沪港通直接利好，中期来看香港市场仍具相当的配置价值。</w:t>
      </w:r>
    </w:p>
    <w:p w:rsidR="003B4B41" w:rsidRPr="00EB4137" w:rsidRDefault="003B4B41" w:rsidP="00EB4137">
      <w:pPr>
        <w:pStyle w:val="BodyText"/>
        <w:numPr>
          <w:ilvl w:val="5"/>
          <w:numId w:val="2"/>
        </w:numPr>
        <w:spacing w:after="163"/>
      </w:pPr>
      <w:r>
        <w:rPr>
          <w:rFonts w:hint="eastAsia"/>
        </w:rPr>
        <w:t>三季度以来的港股行情，特别是与内地经济联系</w:t>
      </w:r>
      <w:r w:rsidRPr="00EB4137">
        <w:rPr>
          <w:rFonts w:hint="eastAsia"/>
        </w:rPr>
        <w:t>密切的</w:t>
      </w:r>
      <w:r w:rsidRPr="00EB4137">
        <w:t>H</w:t>
      </w:r>
      <w:r w:rsidRPr="00EB4137">
        <w:rPr>
          <w:rFonts w:hint="eastAsia"/>
        </w:rPr>
        <w:t>股强劲反弹，更多是基于</w:t>
      </w:r>
      <w:r>
        <w:t>2</w:t>
      </w:r>
      <w:r>
        <w:rPr>
          <w:rFonts w:hint="eastAsia"/>
        </w:rPr>
        <w:t>季度</w:t>
      </w:r>
      <w:r>
        <w:t>PMI</w:t>
      </w:r>
      <w:r>
        <w:rPr>
          <w:rFonts w:hint="eastAsia"/>
        </w:rPr>
        <w:t>等经济领先指标的回升令市场对</w:t>
      </w:r>
      <w:r w:rsidRPr="00EB4137">
        <w:rPr>
          <w:rFonts w:hint="eastAsia"/>
        </w:rPr>
        <w:t>中国经济基本面的信心</w:t>
      </w:r>
      <w:r>
        <w:rPr>
          <w:rFonts w:hint="eastAsia"/>
        </w:rPr>
        <w:t>好转</w:t>
      </w:r>
      <w:r w:rsidRPr="00EB4137">
        <w:rPr>
          <w:rFonts w:hint="eastAsia"/>
        </w:rPr>
        <w:t>。得益于政府的“微刺激”政策支持和出口的逐步恢复，</w:t>
      </w:r>
      <w:r>
        <w:rPr>
          <w:rFonts w:hint="eastAsia"/>
        </w:rPr>
        <w:t>中国经济短期见底，而基本面的回升才能使港股行情</w:t>
      </w:r>
      <w:r w:rsidRPr="00EB4137">
        <w:rPr>
          <w:rFonts w:hint="eastAsia"/>
        </w:rPr>
        <w:t>有发展的持续性。此外，中国央行近日下调支农再贷款利率</w:t>
      </w:r>
      <w:r>
        <w:rPr>
          <w:rFonts w:hint="eastAsia"/>
        </w:rPr>
        <w:t>，是继两度定向降准</w:t>
      </w:r>
      <w:r w:rsidRPr="00EB4137">
        <w:rPr>
          <w:rFonts w:hint="eastAsia"/>
        </w:rPr>
        <w:t>后首次明确提出</w:t>
      </w:r>
      <w:r>
        <w:rPr>
          <w:rFonts w:hint="eastAsia"/>
        </w:rPr>
        <w:t>“定向降息”，市场认为</w:t>
      </w:r>
      <w:r w:rsidRPr="00EB4137">
        <w:rPr>
          <w:rFonts w:hint="eastAsia"/>
        </w:rPr>
        <w:t>未来不排除像</w:t>
      </w:r>
      <w:r>
        <w:rPr>
          <w:rFonts w:hint="eastAsia"/>
        </w:rPr>
        <w:t>扩大定向降准一样</w:t>
      </w:r>
      <w:r w:rsidRPr="00EB4137">
        <w:rPr>
          <w:rFonts w:hint="eastAsia"/>
        </w:rPr>
        <w:t>扩大降息范围。</w:t>
      </w:r>
      <w:r>
        <w:rPr>
          <w:rFonts w:hint="eastAsia"/>
        </w:rPr>
        <w:t>较为宽松的货币环境将有利于</w:t>
      </w:r>
      <w:r w:rsidRPr="00EB4137">
        <w:rPr>
          <w:rFonts w:hint="eastAsia"/>
        </w:rPr>
        <w:t>港股</w:t>
      </w:r>
      <w:r>
        <w:rPr>
          <w:rFonts w:hint="eastAsia"/>
        </w:rPr>
        <w:t>行情</w:t>
      </w:r>
      <w:r w:rsidRPr="00EB4137">
        <w:rPr>
          <w:rFonts w:hint="eastAsia"/>
        </w:rPr>
        <w:t>的延续。</w:t>
      </w:r>
    </w:p>
    <w:p w:rsidR="003B4B41" w:rsidRDefault="003B4B41" w:rsidP="00EB4137">
      <w:pPr>
        <w:pStyle w:val="BodyText"/>
        <w:numPr>
          <w:ilvl w:val="5"/>
          <w:numId w:val="2"/>
        </w:numPr>
        <w:spacing w:after="163"/>
      </w:pPr>
      <w:r>
        <w:rPr>
          <w:rFonts w:hint="eastAsia"/>
        </w:rPr>
        <w:t>而</w:t>
      </w:r>
      <w:r>
        <w:t>8</w:t>
      </w:r>
      <w:r>
        <w:rPr>
          <w:rFonts w:hint="eastAsia"/>
        </w:rPr>
        <w:t>月下旬以来，</w:t>
      </w:r>
      <w:r w:rsidRPr="002040AE">
        <w:rPr>
          <w:rFonts w:hint="eastAsia"/>
        </w:rPr>
        <w:t>港股</w:t>
      </w:r>
      <w:r>
        <w:rPr>
          <w:rFonts w:hint="eastAsia"/>
        </w:rPr>
        <w:t>追随</w:t>
      </w:r>
      <w:r>
        <w:t>A</w:t>
      </w:r>
      <w:r>
        <w:rPr>
          <w:rFonts w:hint="eastAsia"/>
        </w:rPr>
        <w:t>股震荡回落，与海外市场走势相反。主要原因在于</w:t>
      </w:r>
      <w:r w:rsidRPr="002040AE">
        <w:rPr>
          <w:rFonts w:hint="eastAsia"/>
        </w:rPr>
        <w:t>港股前期涨幅较大，缺乏进一步利好消息推动。</w:t>
      </w:r>
      <w:r>
        <w:rPr>
          <w:rFonts w:hint="eastAsia"/>
        </w:rPr>
        <w:t>而</w:t>
      </w:r>
      <w:r>
        <w:rPr>
          <w:rFonts w:hint="eastAsia"/>
          <w:szCs w:val="21"/>
        </w:rPr>
        <w:t>继</w:t>
      </w:r>
      <w:r>
        <w:rPr>
          <w:szCs w:val="21"/>
        </w:rPr>
        <w:t>7</w:t>
      </w:r>
      <w:r>
        <w:rPr>
          <w:rFonts w:hint="eastAsia"/>
          <w:szCs w:val="21"/>
        </w:rPr>
        <w:t>月份中国官方和汇丰制造业</w:t>
      </w:r>
      <w:r>
        <w:rPr>
          <w:szCs w:val="21"/>
        </w:rPr>
        <w:t>PMI</w:t>
      </w:r>
      <w:r>
        <w:rPr>
          <w:rFonts w:hint="eastAsia"/>
          <w:szCs w:val="21"/>
        </w:rPr>
        <w:t>双双创下新高后，</w:t>
      </w:r>
      <w:r>
        <w:rPr>
          <w:szCs w:val="21"/>
        </w:rPr>
        <w:t>8</w:t>
      </w:r>
      <w:r>
        <w:rPr>
          <w:rFonts w:hint="eastAsia"/>
          <w:szCs w:val="21"/>
        </w:rPr>
        <w:t>月份却又双双回落，经济下行压力尚存。</w:t>
      </w:r>
      <w:r w:rsidRPr="00AF7817">
        <w:rPr>
          <w:rFonts w:hint="eastAsia"/>
          <w:szCs w:val="21"/>
        </w:rPr>
        <w:t>政策需进一步宽松以稳固经济复苏</w:t>
      </w:r>
      <w:r>
        <w:rPr>
          <w:rFonts w:hint="eastAsia"/>
          <w:szCs w:val="21"/>
        </w:rPr>
        <w:t>，</w:t>
      </w:r>
      <w:r>
        <w:rPr>
          <w:rFonts w:hint="eastAsia"/>
        </w:rPr>
        <w:t>预期未来会出台一定的刺激措施</w:t>
      </w:r>
      <w:r w:rsidRPr="00AF7817">
        <w:rPr>
          <w:rFonts w:hint="eastAsia"/>
          <w:szCs w:val="21"/>
        </w:rPr>
        <w:t>。</w:t>
      </w:r>
      <w:r>
        <w:rPr>
          <w:rFonts w:hint="eastAsia"/>
        </w:rPr>
        <w:t>目前港股市场的支撑力量依然较强，尤其是中资蓝筹股以及受惠沪港通的个股仍有表现空间。</w:t>
      </w:r>
    </w:p>
    <w:p w:rsidR="003B4B41" w:rsidRPr="00FC54FE" w:rsidRDefault="003B4B41" w:rsidP="00A70401">
      <w:pPr>
        <w:widowControl/>
        <w:spacing w:after="120" w:line="240" w:lineRule="exact"/>
        <w:ind w:left="3430"/>
        <w:rPr>
          <w:rFonts w:ascii="楷体" w:eastAsia="楷体" w:hAnsi="楷体"/>
          <w:b/>
          <w:bCs/>
          <w:color w:val="0070C0"/>
          <w:kern w:val="0"/>
          <w:sz w:val="24"/>
          <w:szCs w:val="20"/>
          <w:lang w:val="en-GB"/>
        </w:rPr>
      </w:pPr>
      <w:r>
        <w:rPr>
          <w:rFonts w:ascii="楷体" w:eastAsia="楷体" w:hAnsi="楷体"/>
          <w:b/>
          <w:bCs/>
          <w:color w:val="0070C0"/>
          <w:kern w:val="0"/>
          <w:sz w:val="24"/>
          <w:szCs w:val="20"/>
          <w:lang w:val="en-GB"/>
        </w:rPr>
        <w:t>9</w:t>
      </w:r>
      <w:r>
        <w:rPr>
          <w:rFonts w:ascii="楷体" w:eastAsia="楷体" w:hAnsi="楷体" w:hint="eastAsia"/>
          <w:b/>
          <w:bCs/>
          <w:color w:val="0070C0"/>
          <w:kern w:val="0"/>
          <w:sz w:val="24"/>
          <w:szCs w:val="20"/>
          <w:lang w:val="en-GB"/>
        </w:rPr>
        <w:t>月</w:t>
      </w:r>
      <w:r w:rsidRPr="00FC54FE">
        <w:rPr>
          <w:rFonts w:ascii="楷体" w:eastAsia="楷体" w:hAnsi="楷体"/>
          <w:b/>
          <w:bCs/>
          <w:color w:val="0070C0"/>
          <w:kern w:val="0"/>
          <w:sz w:val="24"/>
          <w:szCs w:val="20"/>
          <w:lang w:val="en-GB"/>
        </w:rPr>
        <w:t>QDII</w:t>
      </w:r>
      <w:r w:rsidRPr="00FC54FE">
        <w:rPr>
          <w:rFonts w:ascii="楷体" w:eastAsia="楷体" w:hAnsi="楷体" w:hint="eastAsia"/>
          <w:b/>
          <w:bCs/>
          <w:color w:val="0070C0"/>
          <w:kern w:val="0"/>
          <w:sz w:val="24"/>
          <w:szCs w:val="20"/>
          <w:lang w:val="en-GB"/>
        </w:rPr>
        <w:t>投资</w:t>
      </w:r>
      <w:r>
        <w:rPr>
          <w:rFonts w:ascii="楷体" w:eastAsia="楷体" w:hAnsi="楷体" w:hint="eastAsia"/>
          <w:b/>
          <w:bCs/>
          <w:color w:val="0070C0"/>
          <w:kern w:val="0"/>
          <w:sz w:val="24"/>
          <w:szCs w:val="20"/>
          <w:lang w:val="en-GB"/>
        </w:rPr>
        <w:t>策略</w:t>
      </w:r>
      <w:r w:rsidRPr="00FC54FE">
        <w:rPr>
          <w:rFonts w:ascii="楷体" w:eastAsia="楷体" w:hAnsi="楷体" w:hint="eastAsia"/>
          <w:b/>
          <w:bCs/>
          <w:color w:val="0070C0"/>
          <w:kern w:val="0"/>
          <w:sz w:val="24"/>
          <w:szCs w:val="20"/>
          <w:lang w:val="en-GB"/>
        </w:rPr>
        <w:t>：</w:t>
      </w:r>
      <w:r>
        <w:rPr>
          <w:rFonts w:ascii="楷体" w:eastAsia="楷体" w:hAnsi="楷体" w:hint="eastAsia"/>
          <w:b/>
          <w:bCs/>
          <w:color w:val="0070C0"/>
          <w:kern w:val="0"/>
          <w:sz w:val="24"/>
          <w:szCs w:val="20"/>
          <w:lang w:val="en-GB"/>
        </w:rPr>
        <w:t>美股美房</w:t>
      </w:r>
      <w:r>
        <w:rPr>
          <w:rFonts w:ascii="楷体" w:eastAsia="楷体" w:hAnsi="楷体"/>
          <w:b/>
          <w:bCs/>
          <w:color w:val="0070C0"/>
          <w:kern w:val="0"/>
          <w:sz w:val="24"/>
          <w:szCs w:val="20"/>
          <w:lang w:val="en-GB"/>
        </w:rPr>
        <w:t xml:space="preserve"> + </w:t>
      </w:r>
      <w:r>
        <w:rPr>
          <w:rFonts w:ascii="楷体" w:eastAsia="楷体" w:hAnsi="楷体" w:hint="eastAsia"/>
          <w:b/>
          <w:bCs/>
          <w:color w:val="0070C0"/>
          <w:kern w:val="0"/>
          <w:sz w:val="24"/>
          <w:szCs w:val="20"/>
          <w:lang w:val="en-GB"/>
        </w:rPr>
        <w:t>香港市场</w:t>
      </w:r>
      <w:r>
        <w:rPr>
          <w:rFonts w:ascii="楷体" w:eastAsia="楷体" w:hAnsi="楷体"/>
          <w:b/>
          <w:bCs/>
          <w:color w:val="0070C0"/>
          <w:kern w:val="0"/>
          <w:sz w:val="24"/>
          <w:szCs w:val="20"/>
          <w:lang w:val="en-GB"/>
        </w:rPr>
        <w:t xml:space="preserve"> </w:t>
      </w:r>
      <w:r>
        <w:rPr>
          <w:rFonts w:ascii="楷体" w:eastAsia="楷体" w:hAnsi="楷体" w:hint="eastAsia"/>
          <w:b/>
          <w:bCs/>
          <w:color w:val="0070C0"/>
          <w:kern w:val="0"/>
          <w:sz w:val="24"/>
          <w:szCs w:val="20"/>
          <w:lang w:val="en-GB"/>
        </w:rPr>
        <w:t>均衡配置把握机遇</w:t>
      </w:r>
    </w:p>
    <w:p w:rsidR="003B4B41" w:rsidRPr="00DD660E" w:rsidRDefault="003B4B41" w:rsidP="0056561D">
      <w:pPr>
        <w:pStyle w:val="BodyText"/>
        <w:numPr>
          <w:ilvl w:val="4"/>
          <w:numId w:val="1"/>
        </w:numPr>
        <w:spacing w:after="163"/>
        <w:rPr>
          <w:rFonts w:eastAsia="楷体" w:hAnsi="楷体" w:cs="Arial"/>
        </w:rPr>
      </w:pPr>
      <w:r>
        <w:rPr>
          <w:rFonts w:eastAsia="楷体" w:cs="Arial" w:hint="eastAsia"/>
        </w:rPr>
        <w:t>目前</w:t>
      </w:r>
      <w:r w:rsidRPr="00603D57">
        <w:rPr>
          <w:rFonts w:eastAsia="楷体" w:cs="Arial" w:hint="eastAsia"/>
        </w:rPr>
        <w:t>美国继续扮演着世界经济复苏火车头，</w:t>
      </w:r>
      <w:r>
        <w:rPr>
          <w:rFonts w:eastAsia="楷体" w:cs="Arial" w:hint="eastAsia"/>
        </w:rPr>
        <w:t>二季度以来</w:t>
      </w:r>
      <w:r>
        <w:rPr>
          <w:rFonts w:hint="eastAsia"/>
        </w:rPr>
        <w:t>在房地产、企业投资、出口和政府活动等经济领域加速，劳动力市场也在日益增强，有力支撑美股指数的上行。持续宽松的货币环境继续有利于美国的资产价格，尤其是房地产和股票市场。因此，目前“美股美房”品种依然是</w:t>
      </w:r>
      <w:r>
        <w:t>QDII</w:t>
      </w:r>
      <w:r>
        <w:rPr>
          <w:rFonts w:hint="eastAsia"/>
        </w:rPr>
        <w:t>基金配置的重要选项。但</w:t>
      </w:r>
      <w:r>
        <w:t>10</w:t>
      </w:r>
      <w:r>
        <w:rPr>
          <w:rFonts w:hint="eastAsia"/>
        </w:rPr>
        <w:t>月底至</w:t>
      </w:r>
      <w:r>
        <w:t>11</w:t>
      </w:r>
      <w:r>
        <w:rPr>
          <w:rFonts w:hint="eastAsia"/>
        </w:rPr>
        <w:t>月初</w:t>
      </w:r>
      <w:r>
        <w:t>QE</w:t>
      </w:r>
      <w:r>
        <w:rPr>
          <w:rFonts w:hint="eastAsia"/>
        </w:rPr>
        <w:t>结束期间需严密关注海外市场动向，以便及时调整</w:t>
      </w:r>
      <w:r>
        <w:t>QDII</w:t>
      </w:r>
      <w:r>
        <w:rPr>
          <w:rFonts w:hint="eastAsia"/>
        </w:rPr>
        <w:t>组合。考虑到次贷危机以来的三次</w:t>
      </w:r>
      <w:r>
        <w:t>QE</w:t>
      </w:r>
      <w:r>
        <w:rPr>
          <w:rFonts w:hint="eastAsia"/>
        </w:rPr>
        <w:t>对美国股市、利率的重要影响，此次</w:t>
      </w:r>
      <w:r>
        <w:t>QE</w:t>
      </w:r>
      <w:r>
        <w:rPr>
          <w:rFonts w:hint="eastAsia"/>
        </w:rPr>
        <w:t>结束对美国资产价格、金融环境的潜在影响不容忽视。</w:t>
      </w:r>
    </w:p>
    <w:p w:rsidR="003B4B41" w:rsidRPr="00E57258" w:rsidRDefault="003B4B41" w:rsidP="00636233">
      <w:pPr>
        <w:pStyle w:val="BodyText"/>
        <w:numPr>
          <w:ilvl w:val="4"/>
          <w:numId w:val="1"/>
        </w:numPr>
        <w:spacing w:after="163"/>
        <w:rPr>
          <w:rFonts w:eastAsia="楷体" w:hAnsi="楷体" w:cs="Arial"/>
        </w:rPr>
      </w:pPr>
      <w:r>
        <w:rPr>
          <w:rFonts w:hint="eastAsia"/>
        </w:rPr>
        <w:t>受自身结构性问题和制裁俄罗斯的影响，欧元区经济继续低迷，</w:t>
      </w:r>
      <w:r w:rsidRPr="004B09AF">
        <w:rPr>
          <w:rFonts w:eastAsia="楷体" w:cs="Arial" w:hint="eastAsia"/>
        </w:rPr>
        <w:t>二季度</w:t>
      </w:r>
      <w:r w:rsidRPr="004B09AF">
        <w:rPr>
          <w:rFonts w:eastAsia="楷体" w:cs="Arial"/>
        </w:rPr>
        <w:t>GDP</w:t>
      </w:r>
      <w:r>
        <w:rPr>
          <w:rFonts w:eastAsia="楷体" w:cs="Arial" w:hint="eastAsia"/>
        </w:rPr>
        <w:t>初值</w:t>
      </w:r>
      <w:r>
        <w:rPr>
          <w:rFonts w:eastAsia="楷体" w:hAnsi="楷体" w:cs="Arial" w:hint="eastAsia"/>
          <w:color w:val="auto"/>
        </w:rPr>
        <w:t>环比“零增长”。</w:t>
      </w:r>
      <w:r w:rsidRPr="00FA6C88">
        <w:rPr>
          <w:rFonts w:eastAsia="楷体" w:hAnsi="楷体" w:cs="Arial" w:hint="eastAsia"/>
          <w:color w:val="auto"/>
        </w:rPr>
        <w:t>欧洲央行</w:t>
      </w:r>
      <w:r>
        <w:rPr>
          <w:rFonts w:hint="eastAsia"/>
          <w:bCs/>
          <w:szCs w:val="21"/>
          <w:lang w:val="en-US"/>
        </w:rPr>
        <w:t>有可能</w:t>
      </w:r>
      <w:r w:rsidRPr="002F5431">
        <w:rPr>
          <w:rFonts w:hint="eastAsia"/>
          <w:bCs/>
          <w:szCs w:val="21"/>
          <w:lang w:val="en-US"/>
        </w:rPr>
        <w:t>采取</w:t>
      </w:r>
      <w:r>
        <w:rPr>
          <w:rFonts w:hint="eastAsia"/>
          <w:bCs/>
          <w:szCs w:val="21"/>
          <w:lang w:val="en-US"/>
        </w:rPr>
        <w:t>更</w:t>
      </w:r>
      <w:r w:rsidRPr="002F5431">
        <w:rPr>
          <w:rFonts w:hint="eastAsia"/>
          <w:bCs/>
          <w:szCs w:val="21"/>
          <w:lang w:val="en-US"/>
        </w:rPr>
        <w:t>激进</w:t>
      </w:r>
      <w:r>
        <w:rPr>
          <w:rFonts w:hint="eastAsia"/>
          <w:bCs/>
          <w:szCs w:val="21"/>
          <w:lang w:val="en-US"/>
        </w:rPr>
        <w:t>的</w:t>
      </w:r>
      <w:r w:rsidRPr="002F5431">
        <w:rPr>
          <w:rFonts w:hint="eastAsia"/>
          <w:bCs/>
          <w:szCs w:val="21"/>
          <w:lang w:val="en-US"/>
        </w:rPr>
        <w:t>措施以提振</w:t>
      </w:r>
      <w:r>
        <w:rPr>
          <w:rFonts w:hint="eastAsia"/>
          <w:bCs/>
          <w:szCs w:val="21"/>
          <w:lang w:val="en-US"/>
        </w:rPr>
        <w:t>欧元区经济的新压力</w:t>
      </w:r>
      <w:r w:rsidRPr="00FA6C88">
        <w:rPr>
          <w:rFonts w:eastAsia="楷体" w:hAnsi="楷体" w:cs="Arial" w:hint="eastAsia"/>
          <w:color w:val="auto"/>
        </w:rPr>
        <w:t>，</w:t>
      </w:r>
      <w:r>
        <w:rPr>
          <w:rFonts w:eastAsia="楷体" w:hAnsi="楷体" w:cs="Arial" w:hint="eastAsia"/>
          <w:color w:val="auto"/>
        </w:rPr>
        <w:t>目前来看</w:t>
      </w:r>
      <w:r>
        <w:rPr>
          <w:rFonts w:hint="eastAsia"/>
        </w:rPr>
        <w:t>一系列刺激手段尚未直接促成信贷的增长</w:t>
      </w:r>
      <w:r>
        <w:rPr>
          <w:rFonts w:eastAsia="楷体" w:hAnsi="楷体" w:cs="Arial" w:hint="eastAsia"/>
          <w:color w:val="auto"/>
        </w:rPr>
        <w:t>。而乌克兰</w:t>
      </w:r>
      <w:r w:rsidRPr="00FA6C88">
        <w:rPr>
          <w:rFonts w:eastAsia="楷体" w:hAnsi="楷体" w:cs="Arial" w:hint="eastAsia"/>
          <w:color w:val="auto"/>
        </w:rPr>
        <w:t>紧张局势</w:t>
      </w:r>
      <w:r>
        <w:rPr>
          <w:rFonts w:eastAsia="楷体" w:hAnsi="楷体" w:cs="Arial" w:hint="eastAsia"/>
          <w:color w:val="auto"/>
        </w:rPr>
        <w:t>和针对俄罗斯的制裁有加深趋势</w:t>
      </w:r>
      <w:r w:rsidRPr="00FA6C88">
        <w:rPr>
          <w:rFonts w:eastAsia="楷体" w:hAnsi="楷体" w:cs="Arial" w:hint="eastAsia"/>
          <w:color w:val="auto"/>
        </w:rPr>
        <w:t>，</w:t>
      </w:r>
      <w:r>
        <w:rPr>
          <w:rFonts w:eastAsia="楷体" w:hAnsi="楷体" w:cs="Arial" w:hint="eastAsia"/>
          <w:color w:val="auto"/>
        </w:rPr>
        <w:t>地缘政治风险阴云不散。综上，凯石工场建议</w:t>
      </w:r>
      <w:r>
        <w:rPr>
          <w:rFonts w:eastAsia="楷体" w:hAnsi="楷体" w:cs="Arial"/>
          <w:color w:val="auto"/>
        </w:rPr>
        <w:t>9</w:t>
      </w:r>
      <w:r>
        <w:rPr>
          <w:rFonts w:eastAsia="楷体" w:hAnsi="楷体" w:cs="Arial" w:hint="eastAsia"/>
          <w:color w:val="auto"/>
        </w:rPr>
        <w:t>月份</w:t>
      </w:r>
      <w:r>
        <w:rPr>
          <w:rFonts w:eastAsia="楷体" w:hAnsi="楷体" w:cs="Arial"/>
          <w:color w:val="auto"/>
        </w:rPr>
        <w:t>QDII</w:t>
      </w:r>
      <w:r>
        <w:rPr>
          <w:rFonts w:eastAsia="楷体" w:hAnsi="楷体" w:cs="Arial" w:hint="eastAsia"/>
          <w:color w:val="auto"/>
        </w:rPr>
        <w:t>投资适度回避欧洲市场</w:t>
      </w:r>
      <w:r w:rsidRPr="00FA6C88">
        <w:rPr>
          <w:rFonts w:eastAsia="楷体" w:hAnsi="楷体" w:cs="Arial" w:hint="eastAsia"/>
          <w:color w:val="auto"/>
        </w:rPr>
        <w:t>。</w:t>
      </w:r>
    </w:p>
    <w:p w:rsidR="003B4B41" w:rsidRDefault="003B4B41" w:rsidP="00CA23D8">
      <w:pPr>
        <w:pStyle w:val="BodyText"/>
        <w:numPr>
          <w:ilvl w:val="4"/>
          <w:numId w:val="1"/>
        </w:numPr>
        <w:spacing w:after="163"/>
        <w:rPr>
          <w:rFonts w:eastAsia="楷体" w:cs="Arial"/>
        </w:rPr>
      </w:pPr>
      <w:r>
        <w:rPr>
          <w:rFonts w:hint="eastAsia"/>
        </w:rPr>
        <w:t>在美欧货币政策基调总体宽松的环境下，新兴市场有望迎来较理想的投资时机，在经济和金融环境层面的系统性风险亦较低。</w:t>
      </w:r>
      <w:r w:rsidRPr="00EB4137">
        <w:rPr>
          <w:rFonts w:hint="eastAsia"/>
        </w:rPr>
        <w:t>港股方面，上交</w:t>
      </w:r>
      <w:r>
        <w:rPr>
          <w:rFonts w:hint="eastAsia"/>
        </w:rPr>
        <w:t>所已开始“港股通”的测试阶段，这将在流动性方面对于港股市场起到催化剂</w:t>
      </w:r>
      <w:r w:rsidRPr="00EB4137">
        <w:rPr>
          <w:rFonts w:hint="eastAsia"/>
        </w:rPr>
        <w:t>作用；</w:t>
      </w:r>
      <w:r w:rsidRPr="00EB4137">
        <w:t>10</w:t>
      </w:r>
      <w:r w:rsidRPr="00EB4137">
        <w:rPr>
          <w:rFonts w:hint="eastAsia"/>
        </w:rPr>
        <w:t>月有望实现真正的港股直通车，届时香港市场有望继续吸引大量合格投资者加入。</w:t>
      </w:r>
      <w:r>
        <w:rPr>
          <w:rFonts w:hint="eastAsia"/>
        </w:rPr>
        <w:t>尽管左右港股走势的内地经济基本面最新数据不佳，但宽松流动性和进一步“稳增长”政策可期，叠加沪港通直接利好，中期来看香港市场仍具相当的配置价值。</w:t>
      </w:r>
    </w:p>
    <w:p w:rsidR="003B4B41" w:rsidRPr="00636233" w:rsidRDefault="003B4B41" w:rsidP="00636233">
      <w:pPr>
        <w:pStyle w:val="BodyText"/>
        <w:numPr>
          <w:ilvl w:val="4"/>
          <w:numId w:val="1"/>
        </w:numPr>
        <w:spacing w:after="163"/>
        <w:rPr>
          <w:rFonts w:eastAsia="楷体" w:hAnsi="楷体" w:cs="Arial"/>
        </w:rPr>
      </w:pPr>
      <w:r w:rsidRPr="00636233">
        <w:rPr>
          <w:rFonts w:eastAsia="楷体" w:hAnsi="楷体" w:cs="Arial" w:hint="eastAsia"/>
        </w:rPr>
        <w:t>综上，</w:t>
      </w:r>
      <w:r>
        <w:rPr>
          <w:rFonts w:eastAsia="楷体" w:hAnsi="楷体" w:cs="Arial" w:hint="eastAsia"/>
        </w:rPr>
        <w:t>凯石工场</w:t>
      </w:r>
      <w:r>
        <w:rPr>
          <w:rFonts w:eastAsia="楷体" w:hAnsi="楷体" w:cs="Arial"/>
        </w:rPr>
        <w:t>9</w:t>
      </w:r>
      <w:r>
        <w:rPr>
          <w:rFonts w:eastAsia="楷体" w:hAnsi="楷体" w:cs="Arial" w:hint="eastAsia"/>
        </w:rPr>
        <w:t>月份</w:t>
      </w:r>
      <w:r w:rsidRPr="00636233">
        <w:rPr>
          <w:rFonts w:eastAsia="楷体" w:hAnsi="楷体" w:cs="Arial"/>
        </w:rPr>
        <w:t>QDII</w:t>
      </w:r>
      <w:r w:rsidRPr="00636233">
        <w:rPr>
          <w:rFonts w:eastAsia="楷体" w:hAnsi="楷体" w:cs="Arial" w:hint="eastAsia"/>
        </w:rPr>
        <w:t>投资建议</w:t>
      </w:r>
      <w:r>
        <w:rPr>
          <w:rFonts w:eastAsia="楷体" w:hAnsi="楷体" w:cs="Arial" w:hint="eastAsia"/>
        </w:rPr>
        <w:t>延续“美股美房</w:t>
      </w:r>
      <w:r>
        <w:rPr>
          <w:rFonts w:eastAsia="楷体" w:hAnsi="楷体" w:cs="Arial"/>
        </w:rPr>
        <w:t>+</w:t>
      </w:r>
      <w:r>
        <w:rPr>
          <w:rFonts w:eastAsia="楷体" w:hAnsi="楷体" w:cs="Arial" w:hint="eastAsia"/>
        </w:rPr>
        <w:t>香港市场”的均衡配置，同时严密关注</w:t>
      </w:r>
      <w:r>
        <w:rPr>
          <w:rFonts w:eastAsia="楷体" w:hAnsi="楷体" w:cs="Arial"/>
        </w:rPr>
        <w:t>QE</w:t>
      </w:r>
      <w:r>
        <w:rPr>
          <w:rFonts w:eastAsia="楷体" w:hAnsi="楷体" w:cs="Arial" w:hint="eastAsia"/>
        </w:rPr>
        <w:t>退出引发的市场动态。基金组合包括</w:t>
      </w:r>
      <w:r w:rsidRPr="00636233">
        <w:rPr>
          <w:rFonts w:eastAsia="楷体" w:hAnsi="楷体" w:cs="Arial" w:hint="eastAsia"/>
        </w:rPr>
        <w:t>美股指数基金、投资美国房地产行业股票及</w:t>
      </w:r>
      <w:r w:rsidRPr="00636233">
        <w:rPr>
          <w:rFonts w:eastAsia="楷体" w:hAnsi="楷体" w:cs="Arial"/>
        </w:rPr>
        <w:t>REITs</w:t>
      </w:r>
      <w:r>
        <w:rPr>
          <w:rFonts w:eastAsia="楷体" w:hAnsi="楷体" w:cs="Arial" w:hint="eastAsia"/>
        </w:rPr>
        <w:t>基金、以港股为代表的新兴市场基金</w:t>
      </w:r>
      <w:r w:rsidRPr="00636233">
        <w:rPr>
          <w:rFonts w:eastAsia="楷体" w:hAnsi="楷体" w:cs="Arial" w:hint="eastAsia"/>
        </w:rPr>
        <w:t>，从而</w:t>
      </w:r>
      <w:r>
        <w:rPr>
          <w:rFonts w:eastAsia="楷体" w:hAnsi="楷体" w:cs="Arial" w:hint="eastAsia"/>
        </w:rPr>
        <w:t>在分散区域</w:t>
      </w:r>
      <w:r w:rsidRPr="00636233">
        <w:rPr>
          <w:rFonts w:eastAsia="楷体" w:hAnsi="楷体" w:cs="Arial" w:hint="eastAsia"/>
        </w:rPr>
        <w:t>风险</w:t>
      </w:r>
      <w:r>
        <w:rPr>
          <w:rFonts w:eastAsia="楷体" w:hAnsi="楷体" w:cs="Arial" w:hint="eastAsia"/>
        </w:rPr>
        <w:t>的同时</w:t>
      </w:r>
      <w:r>
        <w:rPr>
          <w:rFonts w:eastAsia="楷体" w:cs="Arial" w:hint="eastAsia"/>
        </w:rPr>
        <w:t>有效把握住阶段行情。</w:t>
      </w:r>
      <w:r w:rsidRPr="00636233">
        <w:rPr>
          <w:rFonts w:eastAsia="楷体" w:hAnsi="楷体" w:cs="Arial" w:hint="eastAsia"/>
        </w:rPr>
        <w:t>具体产品推荐国泰纳斯达克</w:t>
      </w:r>
      <w:r w:rsidRPr="00636233">
        <w:rPr>
          <w:rFonts w:eastAsia="楷体" w:hAnsi="楷体" w:cs="Arial"/>
        </w:rPr>
        <w:t>100</w:t>
      </w:r>
      <w:r>
        <w:rPr>
          <w:rFonts w:eastAsia="楷体" w:hAnsi="楷体" w:cs="Arial" w:hint="eastAsia"/>
        </w:rPr>
        <w:t>指数基金</w:t>
      </w:r>
      <w:r w:rsidRPr="00636233">
        <w:rPr>
          <w:rFonts w:eastAsia="楷体" w:hAnsi="楷体" w:cs="Arial" w:hint="eastAsia"/>
        </w:rPr>
        <w:t>、大成标普</w:t>
      </w:r>
      <w:r w:rsidRPr="00636233">
        <w:rPr>
          <w:rFonts w:eastAsia="楷体" w:hAnsi="楷体" w:cs="Arial"/>
        </w:rPr>
        <w:t>500</w:t>
      </w:r>
      <w:r w:rsidRPr="00636233">
        <w:rPr>
          <w:rFonts w:eastAsia="楷体" w:hAnsi="楷体" w:cs="Arial" w:hint="eastAsia"/>
        </w:rPr>
        <w:t>等权重指数基金、鹏华</w:t>
      </w:r>
      <w:r>
        <w:rPr>
          <w:rFonts w:eastAsia="楷体" w:hAnsi="楷体" w:cs="Arial" w:hint="eastAsia"/>
        </w:rPr>
        <w:t>美国</w:t>
      </w:r>
      <w:r w:rsidRPr="00636233">
        <w:rPr>
          <w:rFonts w:eastAsia="楷体" w:hAnsi="楷体" w:cs="Arial" w:hint="eastAsia"/>
        </w:rPr>
        <w:t>房地产基金、</w:t>
      </w:r>
      <w:r w:rsidRPr="005F5997">
        <w:rPr>
          <w:rFonts w:eastAsia="楷体" w:hAnsi="楷体" w:cs="Arial" w:hint="eastAsia"/>
        </w:rPr>
        <w:t>华夏恒生</w:t>
      </w:r>
      <w:r w:rsidRPr="005F5997">
        <w:rPr>
          <w:rFonts w:eastAsia="楷体" w:hAnsi="楷体" w:cs="Arial"/>
        </w:rPr>
        <w:t>ETF</w:t>
      </w:r>
      <w:r>
        <w:rPr>
          <w:rFonts w:eastAsia="楷体" w:hAnsi="楷体" w:cs="Arial" w:hint="eastAsia"/>
        </w:rPr>
        <w:t>基金、嘉实恒生中国企业基金、博时大中华亚太精选基金</w:t>
      </w:r>
      <w:r w:rsidRPr="00636233">
        <w:rPr>
          <w:rFonts w:eastAsia="楷体" w:hAnsi="楷体" w:cs="Arial" w:hint="eastAsia"/>
        </w:rPr>
        <w:t>。</w:t>
      </w:r>
    </w:p>
    <w:p w:rsidR="003B4B41" w:rsidRPr="00FC54FE" w:rsidRDefault="003B4B41" w:rsidP="00A70401">
      <w:pPr>
        <w:widowControl/>
        <w:spacing w:after="120" w:line="240" w:lineRule="exact"/>
        <w:ind w:left="3430"/>
        <w:rPr>
          <w:rFonts w:ascii="楷体" w:eastAsia="楷体" w:hAnsi="楷体"/>
          <w:b/>
          <w:bCs/>
          <w:color w:val="0070C0"/>
          <w:kern w:val="0"/>
          <w:sz w:val="24"/>
          <w:szCs w:val="20"/>
          <w:lang w:val="en-GB"/>
        </w:rPr>
      </w:pPr>
      <w:r w:rsidRPr="00FC54FE">
        <w:rPr>
          <w:rFonts w:ascii="楷体" w:eastAsia="楷体" w:hAnsi="楷体" w:hint="eastAsia"/>
          <w:b/>
          <w:bCs/>
          <w:color w:val="0070C0"/>
          <w:kern w:val="0"/>
          <w:sz w:val="24"/>
          <w:szCs w:val="20"/>
          <w:lang w:val="en-GB"/>
        </w:rPr>
        <w:t>牛基推荐：国泰纳斯达克</w:t>
      </w:r>
      <w:r w:rsidRPr="00FC54FE">
        <w:rPr>
          <w:rFonts w:ascii="楷体" w:eastAsia="楷体" w:hAnsi="楷体"/>
          <w:b/>
          <w:bCs/>
          <w:color w:val="0070C0"/>
          <w:kern w:val="0"/>
          <w:sz w:val="24"/>
          <w:szCs w:val="20"/>
          <w:lang w:val="en-GB"/>
        </w:rPr>
        <w:t>100</w:t>
      </w:r>
      <w:r>
        <w:rPr>
          <w:rFonts w:ascii="楷体" w:eastAsia="楷体" w:hAnsi="楷体" w:hint="eastAsia"/>
          <w:b/>
          <w:bCs/>
          <w:color w:val="0070C0"/>
          <w:kern w:val="0"/>
          <w:sz w:val="24"/>
          <w:szCs w:val="20"/>
          <w:lang w:val="en-GB"/>
        </w:rPr>
        <w:t>指数基金</w:t>
      </w:r>
      <w:r w:rsidRPr="00FC54FE">
        <w:rPr>
          <w:rFonts w:ascii="楷体" w:eastAsia="楷体" w:hAnsi="楷体" w:hint="eastAsia"/>
          <w:b/>
          <w:bCs/>
          <w:color w:val="0070C0"/>
          <w:kern w:val="0"/>
          <w:sz w:val="24"/>
          <w:szCs w:val="20"/>
          <w:lang w:val="en-GB"/>
        </w:rPr>
        <w:t>、</w:t>
      </w:r>
      <w:r w:rsidRPr="00B16D31">
        <w:rPr>
          <w:rFonts w:ascii="楷体" w:eastAsia="楷体" w:hAnsi="楷体" w:hint="eastAsia"/>
          <w:b/>
          <w:bCs/>
          <w:color w:val="0070C0"/>
          <w:kern w:val="0"/>
          <w:sz w:val="24"/>
          <w:szCs w:val="20"/>
          <w:lang w:val="en-GB"/>
        </w:rPr>
        <w:t>大成标普</w:t>
      </w:r>
      <w:r w:rsidRPr="00B16D31">
        <w:rPr>
          <w:rFonts w:ascii="楷体" w:eastAsia="楷体" w:hAnsi="楷体"/>
          <w:b/>
          <w:bCs/>
          <w:color w:val="0070C0"/>
          <w:kern w:val="0"/>
          <w:sz w:val="24"/>
          <w:szCs w:val="20"/>
          <w:lang w:val="en-GB"/>
        </w:rPr>
        <w:t>500</w:t>
      </w:r>
      <w:r w:rsidRPr="00B16D31">
        <w:rPr>
          <w:rFonts w:ascii="楷体" w:eastAsia="楷体" w:hAnsi="楷体" w:hint="eastAsia"/>
          <w:b/>
          <w:bCs/>
          <w:color w:val="0070C0"/>
          <w:kern w:val="0"/>
          <w:sz w:val="24"/>
          <w:szCs w:val="20"/>
          <w:lang w:val="en-GB"/>
        </w:rPr>
        <w:t>等权重指数基金</w:t>
      </w:r>
      <w:r>
        <w:rPr>
          <w:rFonts w:ascii="楷体" w:eastAsia="楷体" w:hAnsi="楷体" w:hint="eastAsia"/>
          <w:b/>
          <w:bCs/>
          <w:color w:val="0070C0"/>
          <w:kern w:val="0"/>
          <w:sz w:val="24"/>
          <w:szCs w:val="20"/>
          <w:lang w:val="en-GB"/>
        </w:rPr>
        <w:t>、</w:t>
      </w:r>
      <w:r w:rsidRPr="00680A06">
        <w:rPr>
          <w:rFonts w:ascii="楷体" w:eastAsia="楷体" w:hAnsi="楷体" w:hint="eastAsia"/>
          <w:b/>
          <w:bCs/>
          <w:color w:val="0070C0"/>
          <w:kern w:val="0"/>
          <w:sz w:val="24"/>
          <w:szCs w:val="20"/>
          <w:lang w:val="en-GB"/>
        </w:rPr>
        <w:t>鹏华</w:t>
      </w:r>
      <w:r>
        <w:rPr>
          <w:rFonts w:ascii="楷体" w:eastAsia="楷体" w:hAnsi="楷体" w:hint="eastAsia"/>
          <w:b/>
          <w:bCs/>
          <w:color w:val="0070C0"/>
          <w:kern w:val="0"/>
          <w:sz w:val="24"/>
          <w:szCs w:val="20"/>
          <w:lang w:val="en-GB"/>
        </w:rPr>
        <w:t>美国</w:t>
      </w:r>
      <w:r w:rsidRPr="00680A06">
        <w:rPr>
          <w:rFonts w:ascii="楷体" w:eastAsia="楷体" w:hAnsi="楷体" w:hint="eastAsia"/>
          <w:b/>
          <w:bCs/>
          <w:color w:val="0070C0"/>
          <w:kern w:val="0"/>
          <w:sz w:val="24"/>
          <w:szCs w:val="20"/>
          <w:lang w:val="en-GB"/>
        </w:rPr>
        <w:t>房地产基金</w:t>
      </w:r>
      <w:r>
        <w:rPr>
          <w:rFonts w:ascii="楷体" w:eastAsia="楷体" w:hAnsi="楷体" w:hint="eastAsia"/>
          <w:b/>
          <w:bCs/>
          <w:color w:val="0070C0"/>
          <w:kern w:val="0"/>
          <w:sz w:val="24"/>
          <w:szCs w:val="20"/>
          <w:lang w:val="en-GB"/>
        </w:rPr>
        <w:t>、</w:t>
      </w:r>
      <w:r w:rsidRPr="006866C5">
        <w:rPr>
          <w:rFonts w:ascii="楷体" w:eastAsia="楷体" w:hAnsi="楷体" w:hint="eastAsia"/>
          <w:b/>
          <w:bCs/>
          <w:color w:val="0070C0"/>
          <w:kern w:val="0"/>
          <w:sz w:val="24"/>
          <w:szCs w:val="20"/>
          <w:lang w:val="en-GB"/>
        </w:rPr>
        <w:t>华夏恒生</w:t>
      </w:r>
      <w:r w:rsidRPr="006866C5">
        <w:rPr>
          <w:rFonts w:ascii="楷体" w:eastAsia="楷体" w:hAnsi="楷体"/>
          <w:b/>
          <w:bCs/>
          <w:color w:val="0070C0"/>
          <w:kern w:val="0"/>
          <w:sz w:val="24"/>
          <w:szCs w:val="20"/>
          <w:lang w:val="en-GB"/>
        </w:rPr>
        <w:t>ETF</w:t>
      </w:r>
      <w:r w:rsidRPr="006866C5">
        <w:rPr>
          <w:rFonts w:ascii="楷体" w:eastAsia="楷体" w:hAnsi="楷体" w:hint="eastAsia"/>
          <w:b/>
          <w:bCs/>
          <w:color w:val="0070C0"/>
          <w:kern w:val="0"/>
          <w:sz w:val="24"/>
          <w:szCs w:val="20"/>
          <w:lang w:val="en-GB"/>
        </w:rPr>
        <w:t>基金、嘉实恒生中国企业基金、</w:t>
      </w:r>
      <w:r w:rsidRPr="00812A58">
        <w:rPr>
          <w:rFonts w:ascii="楷体" w:eastAsia="楷体" w:hAnsi="楷体" w:hint="eastAsia"/>
          <w:b/>
          <w:bCs/>
          <w:color w:val="0070C0"/>
          <w:kern w:val="0"/>
          <w:sz w:val="24"/>
          <w:szCs w:val="20"/>
          <w:lang w:val="en-GB"/>
        </w:rPr>
        <w:t>博时大中华亚太精选</w:t>
      </w:r>
      <w:r>
        <w:rPr>
          <w:rFonts w:ascii="楷体" w:eastAsia="楷体" w:hAnsi="楷体" w:hint="eastAsia"/>
          <w:b/>
          <w:bCs/>
          <w:color w:val="0070C0"/>
          <w:kern w:val="0"/>
          <w:sz w:val="24"/>
          <w:szCs w:val="20"/>
          <w:lang w:val="en-GB"/>
        </w:rPr>
        <w:t>基金</w:t>
      </w:r>
    </w:p>
    <w:p w:rsidR="003B4B41" w:rsidRPr="0034660C" w:rsidRDefault="003B4B41" w:rsidP="003F6CBD">
      <w:pPr>
        <w:pStyle w:val="BodyText"/>
        <w:numPr>
          <w:ilvl w:val="4"/>
          <w:numId w:val="1"/>
        </w:numPr>
        <w:spacing w:after="163"/>
        <w:rPr>
          <w:rFonts w:eastAsia="楷体" w:cs="Arial"/>
        </w:rPr>
      </w:pPr>
      <w:r w:rsidRPr="00CB0983">
        <w:rPr>
          <w:rFonts w:eastAsia="楷体" w:cs="Arial" w:hint="eastAsia"/>
          <w:b/>
        </w:rPr>
        <w:t>国泰纳斯达克</w:t>
      </w:r>
      <w:r w:rsidRPr="00CB0983">
        <w:rPr>
          <w:rFonts w:eastAsia="楷体" w:cs="Arial"/>
          <w:b/>
        </w:rPr>
        <w:t>100(160213)</w:t>
      </w:r>
      <w:r w:rsidRPr="00CB0983">
        <w:rPr>
          <w:rFonts w:eastAsia="楷体" w:cs="Arial" w:hint="eastAsia"/>
          <w:b/>
        </w:rPr>
        <w:t>：</w:t>
      </w:r>
      <w:r w:rsidRPr="0034660C">
        <w:rPr>
          <w:rFonts w:eastAsia="楷体" w:cs="Arial" w:hint="eastAsia"/>
        </w:rPr>
        <w:t>跟踪美国纳斯达克</w:t>
      </w:r>
      <w:r w:rsidRPr="0034660C">
        <w:rPr>
          <w:rFonts w:eastAsia="楷体" w:cs="Arial"/>
        </w:rPr>
        <w:t>100</w:t>
      </w:r>
      <w:r>
        <w:rPr>
          <w:rFonts w:eastAsia="楷体" w:cs="Arial" w:hint="eastAsia"/>
        </w:rPr>
        <w:t>指数，股票资产主要采取完全复制法，</w:t>
      </w:r>
      <w:r w:rsidRPr="0034660C">
        <w:rPr>
          <w:rFonts w:eastAsia="楷体" w:cs="Arial" w:hint="eastAsia"/>
        </w:rPr>
        <w:t>追求跟踪误差最小化。纳斯达克</w:t>
      </w:r>
      <w:r w:rsidRPr="0034660C">
        <w:rPr>
          <w:rFonts w:eastAsia="楷体" w:cs="Arial"/>
        </w:rPr>
        <w:t>100</w:t>
      </w:r>
      <w:r w:rsidRPr="0034660C">
        <w:rPr>
          <w:rFonts w:eastAsia="楷体" w:cs="Arial" w:hint="eastAsia"/>
        </w:rPr>
        <w:t>指数成分股均具有高科技、高成长和非金融的特点，是美国科技股的代表，权重最大为苹果电脑，另包括</w:t>
      </w:r>
      <w:r>
        <w:rPr>
          <w:rFonts w:eastAsia="楷体" w:cs="Arial" w:hint="eastAsia"/>
        </w:rPr>
        <w:t>脸书、</w:t>
      </w:r>
      <w:r w:rsidRPr="0034660C">
        <w:rPr>
          <w:rFonts w:eastAsia="楷体" w:cs="Arial" w:hint="eastAsia"/>
        </w:rPr>
        <w:t>微软、谷歌、英特尔等。</w:t>
      </w:r>
    </w:p>
    <w:p w:rsidR="003B4B41" w:rsidRDefault="003B4B41" w:rsidP="00680A06">
      <w:pPr>
        <w:pStyle w:val="BodyText"/>
        <w:numPr>
          <w:ilvl w:val="4"/>
          <w:numId w:val="1"/>
        </w:numPr>
        <w:spacing w:after="163"/>
        <w:rPr>
          <w:rFonts w:eastAsia="楷体" w:cs="Arial"/>
        </w:rPr>
      </w:pPr>
      <w:r w:rsidRPr="00CB0983">
        <w:rPr>
          <w:rFonts w:eastAsia="楷体" w:cs="Arial" w:hint="eastAsia"/>
          <w:b/>
        </w:rPr>
        <w:t>大成标普</w:t>
      </w:r>
      <w:r w:rsidRPr="00CB0983">
        <w:rPr>
          <w:rFonts w:eastAsia="楷体" w:cs="Arial"/>
          <w:b/>
        </w:rPr>
        <w:t>500</w:t>
      </w:r>
      <w:r w:rsidRPr="00CB0983">
        <w:rPr>
          <w:rFonts w:eastAsia="楷体" w:cs="Arial" w:hint="eastAsia"/>
          <w:b/>
        </w:rPr>
        <w:t>等权重</w:t>
      </w:r>
      <w:r w:rsidRPr="00CB0983">
        <w:rPr>
          <w:rFonts w:eastAsia="楷体" w:cs="Arial"/>
          <w:b/>
        </w:rPr>
        <w:t>(096001)</w:t>
      </w:r>
      <w:r w:rsidRPr="00CB0983">
        <w:rPr>
          <w:rFonts w:eastAsia="楷体" w:cs="Arial" w:hint="eastAsia"/>
          <w:b/>
        </w:rPr>
        <w:t>：</w:t>
      </w:r>
      <w:r w:rsidRPr="0034660C">
        <w:rPr>
          <w:rFonts w:eastAsia="楷体" w:cs="Arial" w:hint="eastAsia"/>
        </w:rPr>
        <w:t>基金投资组合</w:t>
      </w:r>
      <w:r>
        <w:rPr>
          <w:rFonts w:eastAsia="楷体" w:cs="Arial" w:hint="eastAsia"/>
        </w:rPr>
        <w:t>有效跟踪</w:t>
      </w:r>
      <w:r w:rsidRPr="0034660C">
        <w:rPr>
          <w:rFonts w:eastAsia="楷体" w:cs="Arial" w:hint="eastAsia"/>
        </w:rPr>
        <w:t>标普</w:t>
      </w:r>
      <w:r w:rsidRPr="0034660C">
        <w:rPr>
          <w:rFonts w:eastAsia="楷体" w:cs="Arial"/>
        </w:rPr>
        <w:t>500</w:t>
      </w:r>
      <w:r w:rsidRPr="0034660C">
        <w:rPr>
          <w:rFonts w:eastAsia="楷体" w:cs="Arial" w:hint="eastAsia"/>
        </w:rPr>
        <w:t>等权重指数</w:t>
      </w:r>
      <w:r>
        <w:rPr>
          <w:rFonts w:eastAsia="楷体" w:cs="Arial" w:hint="eastAsia"/>
        </w:rPr>
        <w:t>，还可能将一定比例的</w:t>
      </w:r>
      <w:r w:rsidRPr="0034660C">
        <w:rPr>
          <w:rFonts w:eastAsia="楷体" w:cs="Arial" w:hint="eastAsia"/>
        </w:rPr>
        <w:t>资产投资于与标普</w:t>
      </w:r>
      <w:r w:rsidRPr="0034660C">
        <w:rPr>
          <w:rFonts w:eastAsia="楷体" w:cs="Arial"/>
        </w:rPr>
        <w:t>500</w:t>
      </w:r>
      <w:r w:rsidRPr="0034660C">
        <w:rPr>
          <w:rFonts w:eastAsia="楷体" w:cs="Arial" w:hint="eastAsia"/>
        </w:rPr>
        <w:t>等权重指数相关的公募基金、上市交易型基金，以优化投资组合的建立，达到节约交易成本和有效追踪标的指数表现的目的。标准普尔</w:t>
      </w:r>
      <w:r w:rsidRPr="0034660C">
        <w:rPr>
          <w:rFonts w:eastAsia="楷体" w:cs="Arial"/>
        </w:rPr>
        <w:t>500</w:t>
      </w:r>
      <w:r w:rsidRPr="0034660C">
        <w:rPr>
          <w:rFonts w:eastAsia="楷体" w:cs="Arial" w:hint="eastAsia"/>
        </w:rPr>
        <w:t>系列指数具有采样面广、代表性强、精确度高、连续性好等特点，全面反映美国市场变化。</w:t>
      </w:r>
    </w:p>
    <w:p w:rsidR="003B4B41" w:rsidRDefault="003B4B41" w:rsidP="00680A06">
      <w:pPr>
        <w:pStyle w:val="BodyText"/>
        <w:numPr>
          <w:ilvl w:val="4"/>
          <w:numId w:val="1"/>
        </w:numPr>
        <w:spacing w:after="163"/>
        <w:rPr>
          <w:rFonts w:eastAsia="楷体" w:cs="Arial"/>
        </w:rPr>
      </w:pPr>
      <w:r w:rsidRPr="00CB0983">
        <w:rPr>
          <w:rFonts w:eastAsia="楷体" w:cs="Arial" w:hint="eastAsia"/>
          <w:b/>
        </w:rPr>
        <w:t>鹏华美国房地产</w:t>
      </w:r>
      <w:r w:rsidRPr="00CB0983">
        <w:rPr>
          <w:rFonts w:eastAsia="楷体" w:cs="Arial"/>
          <w:b/>
        </w:rPr>
        <w:t>(206011)</w:t>
      </w:r>
      <w:r w:rsidRPr="00CB0983">
        <w:rPr>
          <w:rFonts w:eastAsia="楷体" w:cs="Arial" w:hint="eastAsia"/>
          <w:b/>
        </w:rPr>
        <w:t>：</w:t>
      </w:r>
      <w:r>
        <w:rPr>
          <w:rFonts w:eastAsia="楷体" w:cs="Arial" w:hint="eastAsia"/>
        </w:rPr>
        <w:t>投资对象以美国房地产信托投资基金</w:t>
      </w:r>
      <w:r>
        <w:rPr>
          <w:rFonts w:eastAsia="楷体" w:cs="Arial"/>
        </w:rPr>
        <w:t>(</w:t>
      </w:r>
      <w:r w:rsidRPr="00680A06">
        <w:rPr>
          <w:rFonts w:eastAsia="楷体" w:cs="Arial"/>
        </w:rPr>
        <w:t>REITs</w:t>
      </w:r>
      <w:r>
        <w:rPr>
          <w:rFonts w:eastAsia="楷体" w:cs="Arial"/>
        </w:rPr>
        <w:t>)</w:t>
      </w:r>
      <w:r w:rsidRPr="00680A06">
        <w:rPr>
          <w:rFonts w:eastAsia="楷体" w:cs="Arial" w:hint="eastAsia"/>
        </w:rPr>
        <w:t>、房地产行业股票和在美国市场上市交易的</w:t>
      </w:r>
      <w:r w:rsidRPr="00680A06">
        <w:rPr>
          <w:rFonts w:eastAsia="楷体" w:cs="Arial"/>
        </w:rPr>
        <w:t>REIT ETF</w:t>
      </w:r>
      <w:r w:rsidRPr="00680A06">
        <w:rPr>
          <w:rFonts w:eastAsia="楷体" w:cs="Arial" w:hint="eastAsia"/>
        </w:rPr>
        <w:t>基金为主。</w:t>
      </w:r>
      <w:r>
        <w:rPr>
          <w:rFonts w:eastAsia="楷体" w:cs="Arial" w:hint="eastAsia"/>
        </w:rPr>
        <w:t>选择投资对象主要参考投资标的资产质量、现金流稳定性</w:t>
      </w:r>
      <w:r w:rsidRPr="00680A06">
        <w:rPr>
          <w:rFonts w:eastAsia="楷体" w:cs="Arial" w:hint="eastAsia"/>
        </w:rPr>
        <w:t>及管理层能力等指标。组合中也少量投资房地产行业股票，目的是把握阶段性机会，对</w:t>
      </w:r>
      <w:r w:rsidRPr="00680A06">
        <w:rPr>
          <w:rFonts w:eastAsia="楷体" w:cs="Arial"/>
        </w:rPr>
        <w:t>REITs</w:t>
      </w:r>
      <w:r w:rsidRPr="00680A06">
        <w:rPr>
          <w:rFonts w:eastAsia="楷体" w:cs="Arial" w:hint="eastAsia"/>
        </w:rPr>
        <w:t>投资作有益补充，并降低组合整体波动性。</w:t>
      </w:r>
    </w:p>
    <w:p w:rsidR="003B4B41" w:rsidRPr="00172285" w:rsidRDefault="003B4B41" w:rsidP="00172285">
      <w:pPr>
        <w:pStyle w:val="BodyText"/>
        <w:numPr>
          <w:ilvl w:val="4"/>
          <w:numId w:val="1"/>
        </w:numPr>
        <w:spacing w:after="163"/>
        <w:rPr>
          <w:rFonts w:eastAsia="楷体" w:hAnsi="楷体" w:cs="Arial"/>
        </w:rPr>
      </w:pPr>
      <w:r w:rsidRPr="00CB0983">
        <w:rPr>
          <w:rFonts w:eastAsia="楷体" w:hAnsi="楷体" w:cs="Arial" w:hint="eastAsia"/>
          <w:b/>
        </w:rPr>
        <w:t>华夏恒生</w:t>
      </w:r>
      <w:r w:rsidRPr="00CB0983">
        <w:rPr>
          <w:rFonts w:eastAsia="楷体" w:hAnsi="楷体" w:cs="Arial"/>
          <w:b/>
        </w:rPr>
        <w:t>ETF(159920)</w:t>
      </w:r>
      <w:r w:rsidRPr="00CB0983">
        <w:rPr>
          <w:rFonts w:eastAsia="楷体" w:hAnsi="楷体" w:cs="Arial" w:hint="eastAsia"/>
          <w:b/>
        </w:rPr>
        <w:t>：</w:t>
      </w:r>
      <w:r w:rsidRPr="00172285">
        <w:rPr>
          <w:rFonts w:eastAsia="楷体" w:hAnsi="楷体" w:cs="Arial" w:hint="eastAsia"/>
        </w:rPr>
        <w:t>华夏基金旗下首只跨境</w:t>
      </w:r>
      <w:r w:rsidRPr="00172285">
        <w:rPr>
          <w:rFonts w:eastAsia="楷体" w:hAnsi="楷体" w:cs="Arial"/>
        </w:rPr>
        <w:t>ETF</w:t>
      </w:r>
      <w:r>
        <w:rPr>
          <w:rFonts w:eastAsia="楷体" w:hAnsi="楷体" w:cs="Arial" w:hint="eastAsia"/>
        </w:rPr>
        <w:t>基金，</w:t>
      </w:r>
      <w:r w:rsidRPr="00172285">
        <w:rPr>
          <w:rFonts w:eastAsia="楷体" w:hAnsi="楷体" w:cs="Arial" w:hint="eastAsia"/>
        </w:rPr>
        <w:t>采用组合复制策略及适当的替代性策略，紧密跟踪香港恒生指数。标的指数汇集了香港本地、中国内地以及海外众多的龙头公司。</w:t>
      </w:r>
      <w:r>
        <w:rPr>
          <w:rFonts w:eastAsia="楷体" w:hAnsi="楷体" w:cs="Arial" w:hint="eastAsia"/>
        </w:rPr>
        <w:t>在</w:t>
      </w:r>
      <w:r w:rsidRPr="00172285">
        <w:rPr>
          <w:rFonts w:eastAsia="楷体" w:hAnsi="楷体" w:cs="Arial" w:hint="eastAsia"/>
        </w:rPr>
        <w:t>金融、能源占比相对较高</w:t>
      </w:r>
      <w:r>
        <w:rPr>
          <w:rFonts w:eastAsia="楷体" w:hAnsi="楷体" w:cs="Arial" w:hint="eastAsia"/>
        </w:rPr>
        <w:t>，</w:t>
      </w:r>
      <w:r w:rsidRPr="00172285">
        <w:rPr>
          <w:rFonts w:eastAsia="楷体" w:hAnsi="楷体" w:cs="Arial" w:hint="eastAsia"/>
        </w:rPr>
        <w:t>服务业、原材料业占比相对较少</w:t>
      </w:r>
      <w:r>
        <w:rPr>
          <w:rFonts w:eastAsia="楷体" w:hAnsi="楷体" w:cs="Arial" w:hint="eastAsia"/>
        </w:rPr>
        <w:t>，成份股共</w:t>
      </w:r>
      <w:r w:rsidRPr="00172285">
        <w:rPr>
          <w:rFonts w:eastAsia="楷体" w:hAnsi="楷体" w:cs="Arial"/>
        </w:rPr>
        <w:t>48</w:t>
      </w:r>
      <w:r>
        <w:rPr>
          <w:rFonts w:eastAsia="楷体" w:hAnsi="楷体" w:cs="Arial" w:hint="eastAsia"/>
        </w:rPr>
        <w:t>只，含</w:t>
      </w:r>
      <w:r>
        <w:rPr>
          <w:rFonts w:eastAsia="楷体" w:hAnsi="楷体" w:cs="Arial"/>
        </w:rPr>
        <w:t>8</w:t>
      </w:r>
      <w:r>
        <w:rPr>
          <w:rFonts w:eastAsia="楷体" w:hAnsi="楷体" w:cs="Arial" w:hint="eastAsia"/>
        </w:rPr>
        <w:t>家</w:t>
      </w:r>
      <w:r w:rsidRPr="00172285">
        <w:rPr>
          <w:rFonts w:eastAsia="楷体" w:hAnsi="楷体" w:cs="Arial" w:hint="eastAsia"/>
        </w:rPr>
        <w:t>“重量级”蓝筹股</w:t>
      </w:r>
      <w:r>
        <w:rPr>
          <w:rFonts w:eastAsia="楷体" w:hAnsi="楷体" w:cs="Arial" w:hint="eastAsia"/>
        </w:rPr>
        <w:t>（</w:t>
      </w:r>
      <w:r w:rsidRPr="00172285">
        <w:rPr>
          <w:rFonts w:eastAsia="楷体" w:hAnsi="楷体" w:cs="Arial" w:hint="eastAsia"/>
        </w:rPr>
        <w:t>三大银行</w:t>
      </w:r>
      <w:r w:rsidRPr="00172285">
        <w:rPr>
          <w:rFonts w:eastAsia="楷体" w:hAnsi="楷体" w:cs="Arial"/>
        </w:rPr>
        <w:t>+</w:t>
      </w:r>
      <w:r w:rsidRPr="00172285">
        <w:rPr>
          <w:rFonts w:eastAsia="楷体" w:hAnsi="楷体" w:cs="Arial" w:hint="eastAsia"/>
        </w:rPr>
        <w:t>三桶油</w:t>
      </w:r>
      <w:r w:rsidRPr="00172285">
        <w:rPr>
          <w:rFonts w:eastAsia="楷体" w:hAnsi="楷体" w:cs="Arial"/>
        </w:rPr>
        <w:t>+</w:t>
      </w:r>
      <w:r w:rsidRPr="00172285">
        <w:rPr>
          <w:rFonts w:eastAsia="楷体" w:hAnsi="楷体" w:cs="Arial" w:hint="eastAsia"/>
        </w:rPr>
        <w:t>中国移动</w:t>
      </w:r>
      <w:r w:rsidRPr="00172285">
        <w:rPr>
          <w:rFonts w:eastAsia="楷体" w:hAnsi="楷体" w:cs="Arial"/>
        </w:rPr>
        <w:t>+</w:t>
      </w:r>
      <w:r w:rsidRPr="00172285">
        <w:rPr>
          <w:rFonts w:eastAsia="楷体" w:hAnsi="楷体" w:cs="Arial" w:hint="eastAsia"/>
        </w:rPr>
        <w:t>汇丰银行占比合计</w:t>
      </w:r>
      <w:r w:rsidRPr="00172285">
        <w:rPr>
          <w:rFonts w:eastAsia="楷体" w:hAnsi="楷体" w:cs="Arial"/>
        </w:rPr>
        <w:t>51.71%</w:t>
      </w:r>
      <w:r>
        <w:rPr>
          <w:rFonts w:eastAsia="楷体" w:hAnsi="楷体" w:cs="Arial" w:hint="eastAsia"/>
        </w:rPr>
        <w:t>）及</w:t>
      </w:r>
      <w:r w:rsidRPr="00172285">
        <w:rPr>
          <w:rFonts w:eastAsia="楷体" w:hAnsi="楷体" w:cs="Arial" w:hint="eastAsia"/>
        </w:rPr>
        <w:t>香港本地龙头企业，如长江实业、和记黄埔等；也包括</w:t>
      </w:r>
      <w:r>
        <w:rPr>
          <w:rFonts w:eastAsia="楷体" w:hAnsi="楷体" w:cs="Arial" w:hint="eastAsia"/>
        </w:rPr>
        <w:t>中国内地“新贵”</w:t>
      </w:r>
      <w:r w:rsidRPr="00172285">
        <w:rPr>
          <w:rFonts w:eastAsia="楷体" w:hAnsi="楷体" w:cs="Arial" w:hint="eastAsia"/>
        </w:rPr>
        <w:t>如腾讯控股。</w:t>
      </w:r>
    </w:p>
    <w:p w:rsidR="003B4B41" w:rsidRDefault="003B4B41" w:rsidP="00680A06">
      <w:pPr>
        <w:pStyle w:val="BodyText"/>
        <w:numPr>
          <w:ilvl w:val="4"/>
          <w:numId w:val="1"/>
        </w:numPr>
        <w:spacing w:after="163"/>
        <w:rPr>
          <w:rFonts w:eastAsia="楷体" w:cs="Arial"/>
        </w:rPr>
      </w:pPr>
      <w:r w:rsidRPr="00CB0983">
        <w:rPr>
          <w:rFonts w:eastAsia="楷体" w:cs="Arial" w:hint="eastAsia"/>
          <w:b/>
        </w:rPr>
        <w:t>嘉实恒生中国企业</w:t>
      </w:r>
      <w:r w:rsidRPr="00CB0983">
        <w:rPr>
          <w:rFonts w:eastAsia="楷体" w:cs="Arial"/>
          <w:b/>
        </w:rPr>
        <w:t>(160717)</w:t>
      </w:r>
      <w:r w:rsidRPr="00CB0983">
        <w:rPr>
          <w:rFonts w:eastAsia="楷体" w:cs="Arial" w:hint="eastAsia"/>
          <w:b/>
        </w:rPr>
        <w:t>：</w:t>
      </w:r>
      <w:r>
        <w:rPr>
          <w:rFonts w:eastAsia="楷体" w:cs="Arial" w:hint="eastAsia"/>
        </w:rPr>
        <w:t>标的指数为</w:t>
      </w:r>
      <w:r w:rsidRPr="00FE105F">
        <w:rPr>
          <w:rFonts w:eastAsia="楷体" w:cs="Arial" w:hint="eastAsia"/>
        </w:rPr>
        <w:t>恒生中国企业指数</w:t>
      </w:r>
      <w:r>
        <w:rPr>
          <w:rFonts w:eastAsia="楷体" w:cs="Arial" w:hint="eastAsia"/>
        </w:rPr>
        <w:t>，该基金以拟合、跟踪标的</w:t>
      </w:r>
      <w:r w:rsidRPr="00FE105F">
        <w:rPr>
          <w:rFonts w:eastAsia="楷体" w:cs="Arial" w:hint="eastAsia"/>
        </w:rPr>
        <w:t>指数为原则</w:t>
      </w:r>
      <w:r>
        <w:rPr>
          <w:rFonts w:eastAsia="楷体" w:cs="Arial" w:hint="eastAsia"/>
        </w:rPr>
        <w:t>，</w:t>
      </w:r>
      <w:r w:rsidRPr="00FE105F">
        <w:rPr>
          <w:rFonts w:eastAsia="楷体" w:cs="Arial" w:hint="eastAsia"/>
        </w:rPr>
        <w:t>进行被动式指数化投资</w:t>
      </w:r>
      <w:r>
        <w:rPr>
          <w:rFonts w:eastAsia="楷体" w:cs="Arial" w:hint="eastAsia"/>
        </w:rPr>
        <w:t>。该基金在今年</w:t>
      </w:r>
      <w:r>
        <w:rPr>
          <w:rFonts w:eastAsia="楷体" w:cs="Arial"/>
        </w:rPr>
        <w:t>7</w:t>
      </w:r>
      <w:r>
        <w:rPr>
          <w:rFonts w:eastAsia="楷体" w:cs="Arial" w:hint="eastAsia"/>
        </w:rPr>
        <w:t>月份以</w:t>
      </w:r>
      <w:r>
        <w:rPr>
          <w:rFonts w:eastAsia="楷体" w:cs="Arial"/>
        </w:rPr>
        <w:t>8.81%</w:t>
      </w:r>
      <w:r>
        <w:rPr>
          <w:rFonts w:eastAsia="楷体" w:cs="Arial" w:hint="eastAsia"/>
        </w:rPr>
        <w:t>的收益率获得</w:t>
      </w:r>
      <w:r>
        <w:rPr>
          <w:rFonts w:eastAsia="楷体" w:cs="Arial"/>
        </w:rPr>
        <w:t>QDII-</w:t>
      </w:r>
      <w:r>
        <w:rPr>
          <w:rFonts w:eastAsia="楷体" w:cs="Arial" w:hint="eastAsia"/>
        </w:rPr>
        <w:t>亚太及新兴市场类别之首，今年内共计涨幅</w:t>
      </w:r>
      <w:r>
        <w:rPr>
          <w:rFonts w:eastAsia="楷体" w:cs="Arial"/>
        </w:rPr>
        <w:t>7.13%</w:t>
      </w:r>
      <w:r>
        <w:rPr>
          <w:rFonts w:eastAsia="楷体" w:cs="Arial" w:hint="eastAsia"/>
        </w:rPr>
        <w:t>，在同类基金中名列前茅。</w:t>
      </w:r>
    </w:p>
    <w:p w:rsidR="003B4B41" w:rsidRPr="00B97AD7" w:rsidRDefault="003B4B41" w:rsidP="00B97AD7">
      <w:pPr>
        <w:pStyle w:val="BodyText"/>
        <w:numPr>
          <w:ilvl w:val="4"/>
          <w:numId w:val="1"/>
        </w:numPr>
        <w:spacing w:after="163"/>
        <w:rPr>
          <w:rFonts w:eastAsia="楷体" w:cs="Arial"/>
        </w:rPr>
      </w:pPr>
      <w:r w:rsidRPr="00CB0983">
        <w:rPr>
          <w:rFonts w:eastAsia="楷体" w:cs="Arial" w:hint="eastAsia"/>
          <w:b/>
        </w:rPr>
        <w:t>博时大中华亚太精选</w:t>
      </w:r>
      <w:r w:rsidRPr="00CB0983">
        <w:rPr>
          <w:rFonts w:eastAsia="楷体" w:cs="Arial"/>
          <w:b/>
        </w:rPr>
        <w:t>(050015)</w:t>
      </w:r>
      <w:r w:rsidRPr="00CB0983">
        <w:rPr>
          <w:rFonts w:eastAsia="楷体" w:cs="Arial" w:hint="eastAsia"/>
          <w:b/>
        </w:rPr>
        <w:t>：</w:t>
      </w:r>
      <w:r w:rsidRPr="00B4378D">
        <w:rPr>
          <w:rFonts w:eastAsia="楷体" w:cs="Arial" w:hint="eastAsia"/>
        </w:rPr>
        <w:t>采用“核心</w:t>
      </w:r>
      <w:r w:rsidRPr="00B4378D">
        <w:rPr>
          <w:rFonts w:eastAsia="楷体" w:cs="Arial"/>
        </w:rPr>
        <w:t>-</w:t>
      </w:r>
      <w:r w:rsidRPr="00B4378D">
        <w:rPr>
          <w:rFonts w:eastAsia="楷体" w:cs="Arial" w:hint="eastAsia"/>
        </w:rPr>
        <w:t>卫星”配置策略，“核心”指基金资产的</w:t>
      </w:r>
      <w:r w:rsidRPr="00B4378D">
        <w:rPr>
          <w:rFonts w:eastAsia="楷体" w:cs="Arial"/>
        </w:rPr>
        <w:t>40%~75%</w:t>
      </w:r>
      <w:r>
        <w:rPr>
          <w:rFonts w:eastAsia="楷体" w:cs="Arial" w:hint="eastAsia"/>
        </w:rPr>
        <w:t>投资于大中华地区企业，包括中国大陆、港、澳、台地区企业在境外发行的股票</w:t>
      </w:r>
      <w:r w:rsidRPr="00B4378D">
        <w:rPr>
          <w:rFonts w:eastAsia="楷体" w:cs="Arial" w:hint="eastAsia"/>
        </w:rPr>
        <w:t>及其他衍生产品。“卫星”指基金资产的</w:t>
      </w:r>
      <w:r w:rsidRPr="00B4378D">
        <w:rPr>
          <w:rFonts w:eastAsia="楷体" w:cs="Arial"/>
        </w:rPr>
        <w:t>20%~55%</w:t>
      </w:r>
      <w:r w:rsidRPr="00B4378D">
        <w:rPr>
          <w:rFonts w:eastAsia="楷体" w:cs="Arial" w:hint="eastAsia"/>
        </w:rPr>
        <w:t>投资于日本、韩国、澳大利亚、新加坡、印度等众多亚太国家或地区企业在亚太区证券市场发行的普通股、优先股及其他衍生产品等。主要采取“自下而上精选个股”和“价值策略为主，成长策略为辅</w:t>
      </w:r>
      <w:r>
        <w:rPr>
          <w:rFonts w:eastAsia="楷体" w:cs="Arial" w:hint="eastAsia"/>
        </w:rPr>
        <w:t>”的股票投资策略，辅以金融衍生品投资进行套期保值和汇率风险规避</w:t>
      </w:r>
      <w:r w:rsidRPr="00B97AD7">
        <w:rPr>
          <w:rFonts w:eastAsia="楷体" w:cs="Arial" w:hint="eastAsia"/>
        </w:rPr>
        <w:t>。</w:t>
      </w:r>
    </w:p>
    <w:tbl>
      <w:tblPr>
        <w:tblW w:w="10771" w:type="dxa"/>
        <w:tblLayout w:type="fixed"/>
        <w:tblCellMar>
          <w:left w:w="0" w:type="dxa"/>
          <w:right w:w="0" w:type="dxa"/>
        </w:tblCellMar>
        <w:tblLook w:val="0000"/>
      </w:tblPr>
      <w:tblGrid>
        <w:gridCol w:w="5272"/>
        <w:gridCol w:w="227"/>
        <w:gridCol w:w="5272"/>
      </w:tblGrid>
      <w:tr w:rsidR="003B4B41" w:rsidRPr="00833BB0" w:rsidTr="003629A1">
        <w:trPr>
          <w:cantSplit/>
          <w:trHeight w:val="368"/>
        </w:trPr>
        <w:tc>
          <w:tcPr>
            <w:tcW w:w="5272" w:type="dxa"/>
            <w:tcBorders>
              <w:top w:val="single" w:sz="6" w:space="0" w:color="FF6600"/>
              <w:bottom w:val="single" w:sz="6" w:space="0" w:color="FF6600"/>
            </w:tcBorders>
            <w:vAlign w:val="center"/>
          </w:tcPr>
          <w:p w:rsidR="003B4B41" w:rsidRPr="00FC54FE" w:rsidRDefault="003B4B41" w:rsidP="00A71F90">
            <w:pPr>
              <w:pStyle w:val="SubTitleLargeTable"/>
              <w:pBdr>
                <w:top w:val="none" w:sz="0" w:space="0" w:color="auto"/>
              </w:pBdr>
              <w:rPr>
                <w:rFonts w:ascii="楷体" w:eastAsia="楷体" w:hAnsi="楷体"/>
                <w:color w:val="FF6600"/>
              </w:rPr>
            </w:pPr>
            <w:r w:rsidRPr="00FC54FE">
              <w:rPr>
                <w:rFonts w:ascii="楷体" w:eastAsia="楷体" w:hAnsi="楷体" w:hint="eastAsia"/>
                <w:color w:val="FF6600"/>
              </w:rPr>
              <w:t>图表</w:t>
            </w:r>
            <w:r>
              <w:rPr>
                <w:rFonts w:ascii="楷体" w:eastAsia="楷体" w:hAnsi="楷体"/>
                <w:color w:val="FF6600"/>
              </w:rPr>
              <w:t>5</w:t>
            </w:r>
            <w:r w:rsidRPr="00FC54FE">
              <w:rPr>
                <w:rFonts w:ascii="楷体" w:eastAsia="楷体" w:hAnsi="楷体" w:hint="eastAsia"/>
                <w:color w:val="FF6600"/>
              </w:rPr>
              <w:t>：国泰纳斯达克</w:t>
            </w:r>
            <w:r w:rsidRPr="00FC54FE">
              <w:rPr>
                <w:rFonts w:ascii="楷体" w:eastAsia="楷体" w:hAnsi="楷体"/>
                <w:color w:val="FF6600"/>
              </w:rPr>
              <w:t>100</w:t>
            </w:r>
            <w:r w:rsidRPr="00FC54FE">
              <w:rPr>
                <w:rFonts w:ascii="楷体" w:eastAsia="楷体" w:hAnsi="楷体" w:hint="eastAsia"/>
                <w:color w:val="FF6600"/>
              </w:rPr>
              <w:t>指数基金</w:t>
            </w:r>
            <w:r w:rsidRPr="007D4B9D">
              <w:rPr>
                <w:rFonts w:ascii="楷体" w:eastAsia="楷体" w:hAnsi="楷体"/>
                <w:color w:val="FF6600"/>
              </w:rPr>
              <w:t>(160213)</w:t>
            </w:r>
          </w:p>
        </w:tc>
        <w:tc>
          <w:tcPr>
            <w:tcW w:w="227" w:type="dxa"/>
            <w:vAlign w:val="center"/>
          </w:tcPr>
          <w:p w:rsidR="003B4B41" w:rsidRPr="00FC54FE" w:rsidRDefault="003B4B41" w:rsidP="00766D34">
            <w:pPr>
              <w:jc w:val="center"/>
              <w:rPr>
                <w:rFonts w:ascii="楷体" w:eastAsia="楷体" w:hAnsi="楷体" w:cs="Arial"/>
                <w:b/>
                <w:bCs/>
                <w:i/>
                <w:iCs/>
                <w:color w:val="FF6600"/>
                <w:kern w:val="0"/>
                <w:szCs w:val="21"/>
                <w:lang w:val="en-GB"/>
              </w:rPr>
            </w:pPr>
          </w:p>
        </w:tc>
        <w:tc>
          <w:tcPr>
            <w:tcW w:w="5272" w:type="dxa"/>
            <w:tcBorders>
              <w:top w:val="single" w:sz="6" w:space="0" w:color="FF6600"/>
              <w:bottom w:val="single" w:sz="6" w:space="0" w:color="FF6600"/>
            </w:tcBorders>
            <w:vAlign w:val="center"/>
          </w:tcPr>
          <w:p w:rsidR="003B4B41" w:rsidRPr="00FC54FE" w:rsidRDefault="003B4B41" w:rsidP="00F92296">
            <w:pPr>
              <w:pStyle w:val="SubTitleLargeTable"/>
              <w:pBdr>
                <w:top w:val="none" w:sz="0" w:space="0" w:color="auto"/>
              </w:pBdr>
              <w:rPr>
                <w:rFonts w:ascii="楷体" w:eastAsia="楷体" w:hAnsi="楷体"/>
                <w:color w:val="FF6600"/>
              </w:rPr>
            </w:pPr>
            <w:r w:rsidRPr="00FC54FE">
              <w:rPr>
                <w:rFonts w:ascii="楷体" w:eastAsia="楷体" w:hAnsi="楷体" w:hint="eastAsia"/>
                <w:color w:val="FF6600"/>
              </w:rPr>
              <w:t>图表</w:t>
            </w:r>
            <w:r>
              <w:rPr>
                <w:rFonts w:ascii="楷体" w:eastAsia="楷体" w:hAnsi="楷体"/>
                <w:color w:val="FF6600"/>
              </w:rPr>
              <w:t>6</w:t>
            </w:r>
            <w:r w:rsidRPr="00FC54FE">
              <w:rPr>
                <w:rFonts w:ascii="楷体" w:eastAsia="楷体" w:hAnsi="楷体" w:hint="eastAsia"/>
                <w:color w:val="FF6600"/>
              </w:rPr>
              <w:t>：</w:t>
            </w:r>
            <w:r>
              <w:rPr>
                <w:rFonts w:ascii="楷体" w:eastAsia="楷体" w:hAnsi="楷体" w:hint="eastAsia"/>
                <w:color w:val="FF6600"/>
              </w:rPr>
              <w:t>大成</w:t>
            </w:r>
            <w:r w:rsidRPr="00FC54FE">
              <w:rPr>
                <w:rFonts w:ascii="楷体" w:eastAsia="楷体" w:hAnsi="楷体" w:hint="eastAsia"/>
                <w:color w:val="FF6600"/>
              </w:rPr>
              <w:t>标普</w:t>
            </w:r>
            <w:r w:rsidRPr="00FC54FE">
              <w:rPr>
                <w:rFonts w:ascii="楷体" w:eastAsia="楷体" w:hAnsi="楷体"/>
                <w:color w:val="FF6600"/>
              </w:rPr>
              <w:t>500</w:t>
            </w:r>
            <w:r>
              <w:rPr>
                <w:rFonts w:ascii="楷体" w:eastAsia="楷体" w:hAnsi="楷体" w:hint="eastAsia"/>
                <w:color w:val="FF6600"/>
              </w:rPr>
              <w:t>等权重指数</w:t>
            </w:r>
            <w:r w:rsidRPr="00FC54FE">
              <w:rPr>
                <w:rFonts w:ascii="楷体" w:eastAsia="楷体" w:hAnsi="楷体" w:hint="eastAsia"/>
                <w:color w:val="FF6600"/>
              </w:rPr>
              <w:t>基金</w:t>
            </w:r>
            <w:r w:rsidRPr="007D4B9D">
              <w:rPr>
                <w:rFonts w:ascii="楷体" w:eastAsia="楷体" w:hAnsi="楷体"/>
                <w:color w:val="FF6600"/>
              </w:rPr>
              <w:t>(096001)</w:t>
            </w:r>
          </w:p>
        </w:tc>
      </w:tr>
      <w:tr w:rsidR="003B4B41" w:rsidRPr="00833BB0" w:rsidTr="00656031">
        <w:trPr>
          <w:cantSplit/>
          <w:trHeight w:val="3016"/>
        </w:trPr>
        <w:tc>
          <w:tcPr>
            <w:tcW w:w="5272" w:type="dxa"/>
            <w:tcBorders>
              <w:top w:val="single" w:sz="6" w:space="0" w:color="FF6600"/>
              <w:bottom w:val="single" w:sz="6" w:space="0" w:color="FF6600"/>
            </w:tcBorders>
            <w:vAlign w:val="center"/>
          </w:tcPr>
          <w:p w:rsidR="003B4B41" w:rsidRPr="00833BB0" w:rsidRDefault="003B4B41" w:rsidP="00766D34">
            <w:pPr>
              <w:jc w:val="center"/>
              <w:rPr>
                <w:rFonts w:ascii="楷体" w:eastAsia="楷体" w:hAnsi="楷体"/>
              </w:rPr>
            </w:pPr>
            <w:r w:rsidRPr="00833BB0">
              <w:rPr>
                <w:rFonts w:ascii="楷体" w:eastAsia="楷体" w:hAnsi="楷体"/>
                <w:noProof/>
              </w:rPr>
              <w:pict>
                <v:shape id="图片 10" o:spid="_x0000_i1049" type="#_x0000_t75" style="width:262.5pt;height:148.5pt;visibility:visible">
                  <v:imagedata r:id="rId14" o:title=""/>
                </v:shape>
              </w:pict>
            </w:r>
          </w:p>
        </w:tc>
        <w:tc>
          <w:tcPr>
            <w:tcW w:w="227" w:type="dxa"/>
            <w:vAlign w:val="center"/>
          </w:tcPr>
          <w:p w:rsidR="003B4B41" w:rsidRPr="00833BB0" w:rsidRDefault="003B4B41" w:rsidP="00766D34">
            <w:pPr>
              <w:jc w:val="center"/>
              <w:rPr>
                <w:rFonts w:ascii="楷体" w:eastAsia="楷体" w:hAnsi="楷体"/>
              </w:rPr>
            </w:pPr>
          </w:p>
        </w:tc>
        <w:tc>
          <w:tcPr>
            <w:tcW w:w="5272" w:type="dxa"/>
            <w:tcBorders>
              <w:top w:val="single" w:sz="6" w:space="0" w:color="FF6600"/>
              <w:bottom w:val="single" w:sz="6" w:space="0" w:color="FF6600"/>
            </w:tcBorders>
            <w:vAlign w:val="center"/>
          </w:tcPr>
          <w:p w:rsidR="003B4B41" w:rsidRPr="00833BB0" w:rsidRDefault="003B4B41" w:rsidP="00766D34">
            <w:pPr>
              <w:jc w:val="center"/>
              <w:rPr>
                <w:rFonts w:ascii="楷体" w:eastAsia="楷体" w:hAnsi="楷体"/>
              </w:rPr>
            </w:pPr>
            <w:r w:rsidRPr="00833BB0">
              <w:rPr>
                <w:rFonts w:ascii="楷体" w:eastAsia="楷体" w:hAnsi="楷体"/>
                <w:noProof/>
              </w:rPr>
              <w:pict>
                <v:shape id="图片 11" o:spid="_x0000_i1050" type="#_x0000_t75" style="width:258.75pt;height:148.5pt;visibility:visible">
                  <v:imagedata r:id="rId15" o:title=""/>
                </v:shape>
              </w:pict>
            </w:r>
          </w:p>
        </w:tc>
      </w:tr>
    </w:tbl>
    <w:p w:rsidR="003B4B41" w:rsidRDefault="003B4B41" w:rsidP="003F6CBD">
      <w:pPr>
        <w:pStyle w:val="FootnoteNoline"/>
        <w:ind w:left="0"/>
        <w:rPr>
          <w:rFonts w:ascii="楷体" w:eastAsia="楷体" w:hAnsi="楷体"/>
          <w:color w:val="FF6600"/>
        </w:rPr>
      </w:pPr>
      <w:r w:rsidRPr="00FC54FE">
        <w:rPr>
          <w:rFonts w:ascii="楷体" w:eastAsia="楷体" w:hAnsi="楷体" w:hint="eastAsia"/>
          <w:color w:val="FF6600"/>
        </w:rPr>
        <w:t>来源：凯石财富工场</w:t>
      </w:r>
      <w:r w:rsidRPr="00FC54FE">
        <w:rPr>
          <w:rFonts w:ascii="楷体" w:eastAsia="楷体" w:hAnsi="楷体"/>
          <w:color w:val="FF6600"/>
        </w:rPr>
        <w:t xml:space="preserve"> wind </w:t>
      </w:r>
    </w:p>
    <w:tbl>
      <w:tblPr>
        <w:tblW w:w="10771" w:type="dxa"/>
        <w:tblLayout w:type="fixed"/>
        <w:tblCellMar>
          <w:left w:w="0" w:type="dxa"/>
          <w:right w:w="0" w:type="dxa"/>
        </w:tblCellMar>
        <w:tblLook w:val="0000"/>
      </w:tblPr>
      <w:tblGrid>
        <w:gridCol w:w="5272"/>
        <w:gridCol w:w="227"/>
        <w:gridCol w:w="5272"/>
      </w:tblGrid>
      <w:tr w:rsidR="003B4B41" w:rsidRPr="00833BB0" w:rsidTr="0093179F">
        <w:trPr>
          <w:cantSplit/>
          <w:trHeight w:val="368"/>
        </w:trPr>
        <w:tc>
          <w:tcPr>
            <w:tcW w:w="5272" w:type="dxa"/>
            <w:tcBorders>
              <w:top w:val="single" w:sz="6" w:space="0" w:color="FF6600"/>
              <w:bottom w:val="single" w:sz="6" w:space="0" w:color="FF6600"/>
            </w:tcBorders>
            <w:vAlign w:val="center"/>
          </w:tcPr>
          <w:p w:rsidR="003B4B41" w:rsidRPr="00FC54FE" w:rsidRDefault="003B4B41" w:rsidP="0093179F">
            <w:pPr>
              <w:pStyle w:val="SubTitleLargeTable"/>
              <w:pBdr>
                <w:top w:val="none" w:sz="0" w:space="0" w:color="auto"/>
              </w:pBdr>
              <w:rPr>
                <w:rFonts w:ascii="楷体" w:eastAsia="楷体" w:hAnsi="楷体"/>
                <w:color w:val="FF6600"/>
              </w:rPr>
            </w:pPr>
            <w:r w:rsidRPr="00FC54FE">
              <w:rPr>
                <w:rFonts w:ascii="楷体" w:eastAsia="楷体" w:hAnsi="楷体" w:hint="eastAsia"/>
                <w:color w:val="FF6600"/>
              </w:rPr>
              <w:t>图表</w:t>
            </w:r>
            <w:r>
              <w:rPr>
                <w:rFonts w:ascii="楷体" w:eastAsia="楷体" w:hAnsi="楷体"/>
                <w:color w:val="FF6600"/>
              </w:rPr>
              <w:t>9</w:t>
            </w:r>
            <w:r w:rsidRPr="00FC54FE">
              <w:rPr>
                <w:rFonts w:ascii="楷体" w:eastAsia="楷体" w:hAnsi="楷体" w:hint="eastAsia"/>
                <w:color w:val="FF6600"/>
              </w:rPr>
              <w:t>：</w:t>
            </w:r>
            <w:r w:rsidRPr="00680A06">
              <w:rPr>
                <w:rFonts w:ascii="楷体" w:eastAsia="楷体" w:hAnsi="楷体" w:hint="eastAsia"/>
                <w:color w:val="FF6600"/>
              </w:rPr>
              <w:t>鹏华</w:t>
            </w:r>
            <w:r>
              <w:rPr>
                <w:rFonts w:ascii="楷体" w:eastAsia="楷体" w:hAnsi="楷体" w:hint="eastAsia"/>
                <w:color w:val="FF6600"/>
              </w:rPr>
              <w:t>美国</w:t>
            </w:r>
            <w:r w:rsidRPr="00680A06">
              <w:rPr>
                <w:rFonts w:ascii="楷体" w:eastAsia="楷体" w:hAnsi="楷体" w:hint="eastAsia"/>
                <w:color w:val="FF6600"/>
              </w:rPr>
              <w:t>房地产基金</w:t>
            </w:r>
            <w:r w:rsidRPr="007D4B9D">
              <w:rPr>
                <w:rFonts w:ascii="楷体" w:eastAsia="楷体" w:hAnsi="楷体"/>
                <w:color w:val="FF6600"/>
              </w:rPr>
              <w:t>(206011)</w:t>
            </w:r>
          </w:p>
        </w:tc>
        <w:tc>
          <w:tcPr>
            <w:tcW w:w="227" w:type="dxa"/>
            <w:vAlign w:val="center"/>
          </w:tcPr>
          <w:p w:rsidR="003B4B41" w:rsidRPr="00FC54FE" w:rsidRDefault="003B4B41" w:rsidP="0093179F">
            <w:pPr>
              <w:jc w:val="center"/>
              <w:rPr>
                <w:rFonts w:ascii="楷体" w:eastAsia="楷体" w:hAnsi="楷体" w:cs="Arial"/>
                <w:b/>
                <w:bCs/>
                <w:i/>
                <w:iCs/>
                <w:color w:val="FF6600"/>
                <w:kern w:val="0"/>
                <w:szCs w:val="21"/>
                <w:lang w:val="en-GB"/>
              </w:rPr>
            </w:pPr>
          </w:p>
        </w:tc>
        <w:tc>
          <w:tcPr>
            <w:tcW w:w="5272" w:type="dxa"/>
            <w:tcBorders>
              <w:top w:val="single" w:sz="6" w:space="0" w:color="FF6600"/>
              <w:bottom w:val="single" w:sz="6" w:space="0" w:color="FF6600"/>
            </w:tcBorders>
            <w:vAlign w:val="center"/>
          </w:tcPr>
          <w:p w:rsidR="003B4B41" w:rsidRPr="00FC54FE" w:rsidRDefault="003B4B41" w:rsidP="00B2647D">
            <w:pPr>
              <w:pStyle w:val="SubTitleLargeTable"/>
              <w:pBdr>
                <w:top w:val="none" w:sz="0" w:space="0" w:color="auto"/>
              </w:pBdr>
              <w:rPr>
                <w:rFonts w:ascii="楷体" w:eastAsia="楷体" w:hAnsi="楷体"/>
                <w:color w:val="FF6600"/>
              </w:rPr>
            </w:pPr>
            <w:r w:rsidRPr="00FC54FE">
              <w:rPr>
                <w:rFonts w:ascii="楷体" w:eastAsia="楷体" w:hAnsi="楷体" w:hint="eastAsia"/>
                <w:color w:val="FF6600"/>
              </w:rPr>
              <w:t>图表</w:t>
            </w:r>
            <w:r>
              <w:rPr>
                <w:rFonts w:ascii="楷体" w:eastAsia="楷体" w:hAnsi="楷体"/>
                <w:color w:val="FF6600"/>
              </w:rPr>
              <w:t>10</w:t>
            </w:r>
            <w:r>
              <w:rPr>
                <w:rFonts w:ascii="楷体" w:eastAsia="楷体" w:hAnsi="楷体" w:hint="eastAsia"/>
                <w:color w:val="FF6600"/>
              </w:rPr>
              <w:t>：</w:t>
            </w:r>
            <w:r w:rsidRPr="007D4B9D">
              <w:rPr>
                <w:rFonts w:ascii="楷体" w:eastAsia="楷体" w:hAnsi="楷体" w:hint="eastAsia"/>
                <w:color w:val="FF6600"/>
              </w:rPr>
              <w:t>华夏恒生</w:t>
            </w:r>
            <w:r w:rsidRPr="007D4B9D">
              <w:rPr>
                <w:rFonts w:ascii="楷体" w:eastAsia="楷体" w:hAnsi="楷体"/>
                <w:color w:val="FF6600"/>
              </w:rPr>
              <w:t>ETF</w:t>
            </w:r>
            <w:r w:rsidRPr="007D4B9D">
              <w:rPr>
                <w:rFonts w:ascii="楷体" w:eastAsia="楷体" w:hAnsi="楷体" w:hint="eastAsia"/>
                <w:color w:val="FF6600"/>
              </w:rPr>
              <w:t>基金</w:t>
            </w:r>
            <w:r w:rsidRPr="007D4B9D">
              <w:rPr>
                <w:rFonts w:ascii="楷体" w:eastAsia="楷体" w:hAnsi="楷体"/>
                <w:color w:val="FF6600"/>
              </w:rPr>
              <w:t>(159920)</w:t>
            </w:r>
          </w:p>
        </w:tc>
      </w:tr>
      <w:tr w:rsidR="003B4B41" w:rsidRPr="00833BB0" w:rsidTr="0093179F">
        <w:trPr>
          <w:cantSplit/>
          <w:trHeight w:val="3016"/>
        </w:trPr>
        <w:tc>
          <w:tcPr>
            <w:tcW w:w="5272" w:type="dxa"/>
            <w:tcBorders>
              <w:top w:val="single" w:sz="6" w:space="0" w:color="FF6600"/>
              <w:bottom w:val="single" w:sz="6" w:space="0" w:color="FF6600"/>
            </w:tcBorders>
            <w:vAlign w:val="center"/>
          </w:tcPr>
          <w:p w:rsidR="003B4B41" w:rsidRPr="00833BB0" w:rsidRDefault="003B4B41" w:rsidP="0093179F">
            <w:pPr>
              <w:jc w:val="center"/>
              <w:rPr>
                <w:rFonts w:ascii="楷体" w:eastAsia="楷体" w:hAnsi="楷体"/>
              </w:rPr>
            </w:pPr>
            <w:r w:rsidRPr="00833BB0">
              <w:rPr>
                <w:rFonts w:ascii="楷体" w:eastAsia="楷体" w:hAnsi="楷体"/>
                <w:noProof/>
              </w:rPr>
              <w:pict>
                <v:shape id="_x0000_i1051" type="#_x0000_t75" style="width:261.75pt;height:152.25pt;visibility:visible">
                  <v:imagedata r:id="rId16" o:title=""/>
                </v:shape>
              </w:pict>
            </w:r>
          </w:p>
        </w:tc>
        <w:tc>
          <w:tcPr>
            <w:tcW w:w="227" w:type="dxa"/>
            <w:vAlign w:val="center"/>
          </w:tcPr>
          <w:p w:rsidR="003B4B41" w:rsidRPr="00833BB0" w:rsidRDefault="003B4B41" w:rsidP="0093179F">
            <w:pPr>
              <w:jc w:val="center"/>
              <w:rPr>
                <w:rFonts w:ascii="楷体" w:eastAsia="楷体" w:hAnsi="楷体"/>
              </w:rPr>
            </w:pPr>
          </w:p>
        </w:tc>
        <w:tc>
          <w:tcPr>
            <w:tcW w:w="5272" w:type="dxa"/>
            <w:tcBorders>
              <w:top w:val="single" w:sz="6" w:space="0" w:color="FF6600"/>
              <w:bottom w:val="single" w:sz="6" w:space="0" w:color="FF6600"/>
            </w:tcBorders>
            <w:vAlign w:val="center"/>
          </w:tcPr>
          <w:p w:rsidR="003B4B41" w:rsidRPr="00833BB0" w:rsidRDefault="003B4B41" w:rsidP="0093179F">
            <w:pPr>
              <w:jc w:val="center"/>
              <w:rPr>
                <w:rFonts w:ascii="楷体" w:eastAsia="楷体" w:hAnsi="楷体"/>
              </w:rPr>
            </w:pPr>
            <w:r w:rsidRPr="00833BB0">
              <w:rPr>
                <w:rFonts w:ascii="楷体" w:eastAsia="楷体" w:hAnsi="楷体"/>
                <w:noProof/>
              </w:rPr>
              <w:pict>
                <v:shape id="图片 14" o:spid="_x0000_i1052" type="#_x0000_t75" style="width:258.75pt;height:154.5pt;visibility:visible">
                  <v:imagedata r:id="rId17" o:title=""/>
                </v:shape>
              </w:pict>
            </w:r>
          </w:p>
        </w:tc>
      </w:tr>
    </w:tbl>
    <w:p w:rsidR="003B4B41" w:rsidRDefault="003B4B41" w:rsidP="00E3353D">
      <w:pPr>
        <w:pStyle w:val="FootnoteNoline"/>
        <w:ind w:left="0"/>
        <w:rPr>
          <w:rFonts w:ascii="楷体" w:eastAsia="楷体" w:hAnsi="楷体"/>
          <w:color w:val="FF6600"/>
        </w:rPr>
      </w:pPr>
      <w:r w:rsidRPr="00FC54FE">
        <w:rPr>
          <w:rFonts w:ascii="楷体" w:eastAsia="楷体" w:hAnsi="楷体" w:hint="eastAsia"/>
          <w:color w:val="FF6600"/>
        </w:rPr>
        <w:t>来源：凯石财富工场</w:t>
      </w:r>
      <w:r w:rsidRPr="00FC54FE">
        <w:rPr>
          <w:rFonts w:ascii="楷体" w:eastAsia="楷体" w:hAnsi="楷体"/>
          <w:color w:val="FF6600"/>
        </w:rPr>
        <w:t xml:space="preserve"> wind </w:t>
      </w:r>
    </w:p>
    <w:tbl>
      <w:tblPr>
        <w:tblW w:w="10771" w:type="dxa"/>
        <w:tblLayout w:type="fixed"/>
        <w:tblCellMar>
          <w:left w:w="0" w:type="dxa"/>
          <w:right w:w="0" w:type="dxa"/>
        </w:tblCellMar>
        <w:tblLook w:val="0000"/>
      </w:tblPr>
      <w:tblGrid>
        <w:gridCol w:w="5272"/>
        <w:gridCol w:w="227"/>
        <w:gridCol w:w="5272"/>
      </w:tblGrid>
      <w:tr w:rsidR="003B4B41" w:rsidRPr="00833BB0" w:rsidTr="0093179F">
        <w:trPr>
          <w:cantSplit/>
          <w:trHeight w:val="368"/>
        </w:trPr>
        <w:tc>
          <w:tcPr>
            <w:tcW w:w="5272" w:type="dxa"/>
            <w:tcBorders>
              <w:top w:val="single" w:sz="6" w:space="0" w:color="FF6600"/>
              <w:bottom w:val="single" w:sz="6" w:space="0" w:color="FF6600"/>
            </w:tcBorders>
            <w:vAlign w:val="center"/>
          </w:tcPr>
          <w:p w:rsidR="003B4B41" w:rsidRPr="00FC54FE" w:rsidRDefault="003B4B41" w:rsidP="0093179F">
            <w:pPr>
              <w:pStyle w:val="SubTitleLargeTable"/>
              <w:pBdr>
                <w:top w:val="none" w:sz="0" w:space="0" w:color="auto"/>
              </w:pBdr>
              <w:rPr>
                <w:rFonts w:ascii="楷体" w:eastAsia="楷体" w:hAnsi="楷体"/>
                <w:color w:val="FF6600"/>
              </w:rPr>
            </w:pPr>
            <w:r w:rsidRPr="00FC54FE">
              <w:rPr>
                <w:rFonts w:ascii="楷体" w:eastAsia="楷体" w:hAnsi="楷体" w:hint="eastAsia"/>
                <w:color w:val="FF6600"/>
              </w:rPr>
              <w:t>图表</w:t>
            </w:r>
            <w:r>
              <w:rPr>
                <w:rFonts w:ascii="楷体" w:eastAsia="楷体" w:hAnsi="楷体"/>
                <w:color w:val="FF6600"/>
              </w:rPr>
              <w:t>11</w:t>
            </w:r>
            <w:r w:rsidRPr="00FC54FE">
              <w:rPr>
                <w:rFonts w:ascii="楷体" w:eastAsia="楷体" w:hAnsi="楷体" w:hint="eastAsia"/>
                <w:color w:val="FF6600"/>
              </w:rPr>
              <w:t>：</w:t>
            </w:r>
            <w:r w:rsidRPr="007D4B9D">
              <w:rPr>
                <w:rFonts w:ascii="楷体" w:eastAsia="楷体" w:hAnsi="楷体" w:hint="eastAsia"/>
                <w:color w:val="FF6600"/>
              </w:rPr>
              <w:t>嘉实恒生中国企业基金</w:t>
            </w:r>
            <w:r w:rsidRPr="007D4B9D">
              <w:rPr>
                <w:rFonts w:ascii="楷体" w:eastAsia="楷体" w:hAnsi="楷体"/>
                <w:color w:val="FF6600"/>
              </w:rPr>
              <w:t>(160717)</w:t>
            </w:r>
          </w:p>
        </w:tc>
        <w:tc>
          <w:tcPr>
            <w:tcW w:w="227" w:type="dxa"/>
            <w:vAlign w:val="center"/>
          </w:tcPr>
          <w:p w:rsidR="003B4B41" w:rsidRPr="00FC54FE" w:rsidRDefault="003B4B41" w:rsidP="0093179F">
            <w:pPr>
              <w:jc w:val="center"/>
              <w:rPr>
                <w:rFonts w:ascii="楷体" w:eastAsia="楷体" w:hAnsi="楷体" w:cs="Arial"/>
                <w:b/>
                <w:bCs/>
                <w:i/>
                <w:iCs/>
                <w:color w:val="FF6600"/>
                <w:kern w:val="0"/>
                <w:szCs w:val="21"/>
                <w:lang w:val="en-GB"/>
              </w:rPr>
            </w:pPr>
          </w:p>
        </w:tc>
        <w:tc>
          <w:tcPr>
            <w:tcW w:w="5272" w:type="dxa"/>
            <w:tcBorders>
              <w:top w:val="single" w:sz="6" w:space="0" w:color="FF6600"/>
              <w:bottom w:val="single" w:sz="6" w:space="0" w:color="FF6600"/>
            </w:tcBorders>
            <w:vAlign w:val="center"/>
          </w:tcPr>
          <w:p w:rsidR="003B4B41" w:rsidRPr="00FC54FE" w:rsidRDefault="003B4B41" w:rsidP="0093179F">
            <w:pPr>
              <w:pStyle w:val="SubTitleLargeTable"/>
              <w:pBdr>
                <w:top w:val="none" w:sz="0" w:space="0" w:color="auto"/>
              </w:pBdr>
              <w:rPr>
                <w:rFonts w:ascii="楷体" w:eastAsia="楷体" w:hAnsi="楷体"/>
                <w:color w:val="FF6600"/>
              </w:rPr>
            </w:pPr>
            <w:r w:rsidRPr="00FC54FE">
              <w:rPr>
                <w:rFonts w:ascii="楷体" w:eastAsia="楷体" w:hAnsi="楷体" w:hint="eastAsia"/>
                <w:color w:val="FF6600"/>
              </w:rPr>
              <w:t>图表</w:t>
            </w:r>
            <w:r>
              <w:rPr>
                <w:rFonts w:ascii="楷体" w:eastAsia="楷体" w:hAnsi="楷体"/>
                <w:color w:val="FF6600"/>
              </w:rPr>
              <w:t>12</w:t>
            </w:r>
            <w:r>
              <w:rPr>
                <w:rFonts w:ascii="楷体" w:eastAsia="楷体" w:hAnsi="楷体" w:hint="eastAsia"/>
                <w:color w:val="FF6600"/>
              </w:rPr>
              <w:t>：</w:t>
            </w:r>
            <w:r w:rsidRPr="00E3353D">
              <w:rPr>
                <w:rFonts w:ascii="楷体" w:eastAsia="楷体" w:hAnsi="楷体" w:hint="eastAsia"/>
                <w:color w:val="FF6600"/>
              </w:rPr>
              <w:t>博时大中华亚太精选基金</w:t>
            </w:r>
            <w:r w:rsidRPr="007D4B9D">
              <w:rPr>
                <w:rFonts w:ascii="楷体" w:eastAsia="楷体" w:hAnsi="楷体"/>
                <w:color w:val="FF6600"/>
              </w:rPr>
              <w:t>(050015)</w:t>
            </w:r>
          </w:p>
        </w:tc>
      </w:tr>
      <w:tr w:rsidR="003B4B41" w:rsidRPr="00833BB0" w:rsidTr="0093179F">
        <w:trPr>
          <w:cantSplit/>
          <w:trHeight w:val="3016"/>
        </w:trPr>
        <w:tc>
          <w:tcPr>
            <w:tcW w:w="5272" w:type="dxa"/>
            <w:tcBorders>
              <w:top w:val="single" w:sz="6" w:space="0" w:color="FF6600"/>
              <w:bottom w:val="single" w:sz="6" w:space="0" w:color="FF6600"/>
            </w:tcBorders>
            <w:vAlign w:val="center"/>
          </w:tcPr>
          <w:p w:rsidR="003B4B41" w:rsidRPr="00833BB0" w:rsidRDefault="003B4B41" w:rsidP="0093179F">
            <w:pPr>
              <w:jc w:val="center"/>
              <w:rPr>
                <w:rFonts w:ascii="楷体" w:eastAsia="楷体" w:hAnsi="楷体"/>
              </w:rPr>
            </w:pPr>
            <w:r w:rsidRPr="00833BB0">
              <w:rPr>
                <w:rFonts w:ascii="楷体" w:eastAsia="楷体" w:hAnsi="楷体"/>
                <w:noProof/>
              </w:rPr>
              <w:pict>
                <v:shape id="_x0000_i1053" type="#_x0000_t75" style="width:261.75pt;height:149.25pt;visibility:visible">
                  <v:imagedata r:id="rId18" o:title=""/>
                </v:shape>
              </w:pict>
            </w:r>
          </w:p>
        </w:tc>
        <w:tc>
          <w:tcPr>
            <w:tcW w:w="227" w:type="dxa"/>
            <w:vAlign w:val="center"/>
          </w:tcPr>
          <w:p w:rsidR="003B4B41" w:rsidRPr="00833BB0" w:rsidRDefault="003B4B41" w:rsidP="0093179F">
            <w:pPr>
              <w:jc w:val="center"/>
              <w:rPr>
                <w:rFonts w:ascii="楷体" w:eastAsia="楷体" w:hAnsi="楷体"/>
              </w:rPr>
            </w:pPr>
          </w:p>
        </w:tc>
        <w:tc>
          <w:tcPr>
            <w:tcW w:w="5272" w:type="dxa"/>
            <w:tcBorders>
              <w:top w:val="single" w:sz="6" w:space="0" w:color="FF6600"/>
              <w:bottom w:val="single" w:sz="6" w:space="0" w:color="FF6600"/>
            </w:tcBorders>
            <w:vAlign w:val="center"/>
          </w:tcPr>
          <w:p w:rsidR="003B4B41" w:rsidRPr="00833BB0" w:rsidRDefault="003B4B41" w:rsidP="0093179F">
            <w:pPr>
              <w:jc w:val="center"/>
              <w:rPr>
                <w:rFonts w:ascii="楷体" w:eastAsia="楷体" w:hAnsi="楷体"/>
              </w:rPr>
            </w:pPr>
            <w:r w:rsidRPr="00833BB0">
              <w:rPr>
                <w:rFonts w:ascii="楷体" w:eastAsia="楷体" w:hAnsi="楷体"/>
                <w:noProof/>
              </w:rPr>
              <w:pict>
                <v:shape id="图片 16" o:spid="_x0000_i1054" type="#_x0000_t75" style="width:258pt;height:149.25pt;visibility:visible">
                  <v:imagedata r:id="rId19" o:title=""/>
                </v:shape>
              </w:pict>
            </w:r>
          </w:p>
        </w:tc>
      </w:tr>
    </w:tbl>
    <w:p w:rsidR="003B4B41" w:rsidRDefault="003B4B41" w:rsidP="00B56205">
      <w:pPr>
        <w:pStyle w:val="FootnoteNoline"/>
        <w:ind w:left="0"/>
        <w:rPr>
          <w:rFonts w:ascii="楷体" w:eastAsia="楷体" w:hAnsi="楷体"/>
          <w:color w:val="FF6600"/>
        </w:rPr>
      </w:pPr>
      <w:r w:rsidRPr="00FC54FE">
        <w:rPr>
          <w:rFonts w:ascii="楷体" w:eastAsia="楷体" w:hAnsi="楷体" w:hint="eastAsia"/>
          <w:color w:val="FF6600"/>
        </w:rPr>
        <w:t>来源：凯石财富工场</w:t>
      </w:r>
      <w:r w:rsidRPr="00FC54FE">
        <w:rPr>
          <w:rFonts w:ascii="楷体" w:eastAsia="楷体" w:hAnsi="楷体"/>
          <w:color w:val="FF6600"/>
        </w:rPr>
        <w:t xml:space="preserve"> wind </w:t>
      </w:r>
    </w:p>
    <w:p w:rsidR="003B4B41" w:rsidRPr="00FC54FE" w:rsidRDefault="003B4B41">
      <w:pPr>
        <w:widowControl/>
        <w:jc w:val="left"/>
        <w:rPr>
          <w:rFonts w:ascii="楷体" w:eastAsia="楷体" w:hAnsi="楷体"/>
          <w:b/>
          <w:kern w:val="0"/>
          <w:szCs w:val="20"/>
          <w:lang w:val="en-GB"/>
        </w:rPr>
      </w:pPr>
      <w:r w:rsidRPr="00FC54FE">
        <w:rPr>
          <w:rFonts w:ascii="楷体" w:eastAsia="楷体" w:hAnsi="楷体"/>
          <w:b/>
          <w:kern w:val="0"/>
          <w:szCs w:val="20"/>
          <w:lang w:val="en-GB"/>
        </w:rPr>
        <w:br w:type="page"/>
      </w:r>
    </w:p>
    <w:p w:rsidR="003B4B41" w:rsidRPr="00FC54FE" w:rsidRDefault="003B4B41" w:rsidP="00593E61">
      <w:pPr>
        <w:pStyle w:val="a4"/>
        <w:spacing w:after="312"/>
        <w:rPr>
          <w:rFonts w:ascii="楷体" w:eastAsia="楷体" w:hAnsi="楷体"/>
          <w:b/>
          <w:sz w:val="21"/>
          <w:szCs w:val="21"/>
        </w:rPr>
      </w:pPr>
      <w:r w:rsidRPr="00FC54FE">
        <w:rPr>
          <w:rFonts w:ascii="楷体" w:eastAsia="楷体" w:hAnsi="楷体" w:hint="eastAsia"/>
          <w:b/>
          <w:kern w:val="0"/>
          <w:sz w:val="21"/>
          <w:szCs w:val="20"/>
          <w:lang w:val="en-GB"/>
        </w:rPr>
        <w:t>特别声明：</w:t>
      </w:r>
    </w:p>
    <w:p w:rsidR="003B4B41" w:rsidRPr="00FC54FE" w:rsidRDefault="003B4B41" w:rsidP="005A6864">
      <w:pPr>
        <w:pStyle w:val="a4"/>
        <w:spacing w:beforeLines="50" w:after="312"/>
        <w:rPr>
          <w:rFonts w:ascii="楷体" w:eastAsia="楷体" w:hAnsi="楷体"/>
          <w:kern w:val="0"/>
          <w:sz w:val="21"/>
          <w:szCs w:val="20"/>
          <w:lang w:val="en-GB"/>
        </w:rPr>
      </w:pPr>
      <w:r w:rsidRPr="00FC54FE">
        <w:rPr>
          <w:rFonts w:ascii="楷体" w:eastAsia="楷体" w:hAnsi="楷体"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3B4B41" w:rsidRPr="00FC54FE" w:rsidRDefault="003B4B41" w:rsidP="005A6864">
      <w:pPr>
        <w:pStyle w:val="a4"/>
        <w:spacing w:beforeLines="50" w:after="312"/>
        <w:rPr>
          <w:rFonts w:ascii="楷体" w:eastAsia="楷体" w:hAnsi="楷体"/>
          <w:kern w:val="0"/>
          <w:sz w:val="21"/>
          <w:szCs w:val="20"/>
          <w:lang w:val="en-GB"/>
        </w:rPr>
      </w:pPr>
      <w:r w:rsidRPr="00FC54FE">
        <w:rPr>
          <w:rFonts w:ascii="楷体" w:eastAsia="楷体" w:hAnsi="楷体"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3B4B41" w:rsidRPr="00FC54FE" w:rsidRDefault="003B4B41" w:rsidP="005A6864">
      <w:pPr>
        <w:pStyle w:val="a4"/>
        <w:spacing w:beforeLines="50" w:after="312"/>
        <w:rPr>
          <w:rFonts w:ascii="楷体" w:eastAsia="楷体" w:hAnsi="楷体"/>
          <w:kern w:val="0"/>
          <w:sz w:val="21"/>
          <w:szCs w:val="20"/>
          <w:lang w:val="en-GB"/>
        </w:rPr>
      </w:pPr>
      <w:r w:rsidRPr="00FC54FE">
        <w:rPr>
          <w:rFonts w:ascii="楷体" w:eastAsia="楷体" w:hAnsi="楷体"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3B4B41" w:rsidRPr="00FC54FE" w:rsidRDefault="003B4B41">
      <w:pPr>
        <w:rPr>
          <w:rFonts w:ascii="楷体" w:eastAsia="楷体" w:hAnsi="楷体"/>
          <w:lang w:val="en-GB"/>
        </w:rPr>
      </w:pPr>
    </w:p>
    <w:sectPr w:rsidR="003B4B41" w:rsidRPr="00FC54FE" w:rsidSect="00656031">
      <w:headerReference w:type="default" r:id="rId20"/>
      <w:footerReference w:type="default" r:id="rId21"/>
      <w:headerReference w:type="first" r:id="rId22"/>
      <w:footerReference w:type="first" r:id="rId23"/>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B41" w:rsidRDefault="003B4B41" w:rsidP="00B10000">
      <w:r>
        <w:separator/>
      </w:r>
    </w:p>
  </w:endnote>
  <w:endnote w:type="continuationSeparator" w:id="0">
    <w:p w:rsidR="003B4B41" w:rsidRDefault="003B4B41"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B41" w:rsidRDefault="003B4B41">
    <w:pPr>
      <w:pStyle w:val="Footer"/>
      <w:jc w:val="center"/>
    </w:pPr>
    <w:r>
      <w:pict>
        <v:rect id="_x0000_i1031" style="width:571.2pt;height:2pt" o:hralign="center" o:hrstd="t" o:hrnoshade="t" o:hr="t" fillcolor="#e7a631" stroked="f"/>
      </w:pict>
    </w:r>
    <w:r>
      <w:rPr>
        <w:lang w:val="zh-CN"/>
      </w:rPr>
      <w:t xml:space="preserve"> </w:t>
    </w:r>
    <w:r>
      <w:rPr>
        <w:b/>
      </w:rPr>
      <w:fldChar w:fldCharType="begin"/>
    </w:r>
    <w:r>
      <w:rPr>
        <w:b/>
      </w:rPr>
      <w:instrText>PAGE</w:instrText>
    </w:r>
    <w:r>
      <w:rPr>
        <w:b/>
      </w:rPr>
      <w:fldChar w:fldCharType="separate"/>
    </w:r>
    <w:r>
      <w:rPr>
        <w:b/>
        <w:noProof/>
      </w:rPr>
      <w:t>8</w:t>
    </w:r>
    <w:r>
      <w:rPr>
        <w:b/>
      </w:rPr>
      <w:fldChar w:fldCharType="end"/>
    </w:r>
    <w:r>
      <w:rPr>
        <w:lang w:val="zh-CN"/>
      </w:rPr>
      <w:t xml:space="preserve"> / </w:t>
    </w:r>
    <w:r>
      <w:rPr>
        <w:b/>
      </w:rPr>
      <w:fldChar w:fldCharType="begin"/>
    </w:r>
    <w:r>
      <w:rPr>
        <w:b/>
      </w:rPr>
      <w:instrText>NUMPAGES</w:instrText>
    </w:r>
    <w:r>
      <w:rPr>
        <w:b/>
      </w:rPr>
      <w:fldChar w:fldCharType="separate"/>
    </w:r>
    <w:r>
      <w:rPr>
        <w:b/>
        <w:noProof/>
      </w:rPr>
      <w:t>8</w:t>
    </w:r>
    <w:r>
      <w:rPr>
        <w:b/>
      </w:rPr>
      <w:fldChar w:fldCharType="end"/>
    </w:r>
  </w:p>
  <w:p w:rsidR="003B4B41" w:rsidRDefault="003B4B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B41" w:rsidRDefault="003B4B41">
    <w:pPr>
      <w:pStyle w:val="Footer"/>
      <w:jc w:val="center"/>
    </w:pPr>
    <w:r>
      <w:pict>
        <v:rect id="_x0000_i1040" style="width:571.2pt;height:2pt" o:hralign="center" o:hrstd="t" o:hrnoshade="t" o:hr="t" fillcolor="#e7a631" stroked="f"/>
      </w:pict>
    </w:r>
    <w:r>
      <w:rPr>
        <w:lang w:val="zh-CN"/>
      </w:rPr>
      <w:t xml:space="preserve"> </w:t>
    </w:r>
    <w:r>
      <w:rPr>
        <w:b/>
      </w:rPr>
      <w:fldChar w:fldCharType="begin"/>
    </w:r>
    <w:r>
      <w:rPr>
        <w:b/>
      </w:rPr>
      <w:instrText>PAGE</w:instrText>
    </w:r>
    <w:r>
      <w:rPr>
        <w:b/>
      </w:rPr>
      <w:fldChar w:fldCharType="separate"/>
    </w:r>
    <w:r>
      <w:rPr>
        <w:b/>
        <w:noProof/>
      </w:rPr>
      <w:t>1</w:t>
    </w:r>
    <w:r>
      <w:rPr>
        <w:b/>
      </w:rPr>
      <w:fldChar w:fldCharType="end"/>
    </w:r>
    <w:r>
      <w:rPr>
        <w:lang w:val="zh-CN"/>
      </w:rPr>
      <w:t xml:space="preserve"> / </w:t>
    </w:r>
    <w:r>
      <w:rPr>
        <w:b/>
      </w:rPr>
      <w:fldChar w:fldCharType="begin"/>
    </w:r>
    <w:r>
      <w:rPr>
        <w:b/>
      </w:rPr>
      <w:instrText>NUMPAGES</w:instrText>
    </w:r>
    <w:r>
      <w:rPr>
        <w:b/>
      </w:rPr>
      <w:fldChar w:fldCharType="separate"/>
    </w:r>
    <w:r>
      <w:rPr>
        <w:b/>
        <w:noProof/>
      </w:rPr>
      <w:t>8</w:t>
    </w:r>
    <w:r>
      <w:rPr>
        <w:b/>
      </w:rPr>
      <w:fldChar w:fldCharType="end"/>
    </w:r>
  </w:p>
  <w:p w:rsidR="003B4B41" w:rsidRDefault="003B4B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B41" w:rsidRDefault="003B4B41" w:rsidP="00B10000">
      <w:r>
        <w:separator/>
      </w:r>
    </w:p>
  </w:footnote>
  <w:footnote w:type="continuationSeparator" w:id="0">
    <w:p w:rsidR="003B4B41" w:rsidRDefault="003B4B41"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B41" w:rsidRDefault="003B4B41" w:rsidP="00B10000">
    <w:pPr>
      <w:pStyle w:val="Header"/>
      <w:pBdr>
        <w:bottom w:val="none" w:sz="0" w:space="0" w:color="auto"/>
      </w:pBdr>
    </w:pPr>
    <w:r>
      <w:rPr>
        <w:noProof/>
      </w:rPr>
      <w:pict>
        <v:group id="_x0000_s2049" style="position:absolute;left:0;text-align:left;margin-left:5.2pt;margin-top:-32.25pt;width:531.2pt;height:37.5pt;z-index:251660288" coordorigin="728,206" coordsize="10624,750">
          <v:shapetype id="_x0000_t202" coordsize="21600,21600" o:spt="202" path="m,l,21600r21600,l21600,xe">
            <v:stroke joinstyle="miter"/>
            <v:path gradientshapeok="t" o:connecttype="rect"/>
          </v:shapetype>
          <v:shape id="_x0000_s2050" type="#_x0000_t202" style="position:absolute;left:728;top:206;width:1336;height:724" strokecolor="white">
            <v:textbox style="mso-next-textbox:#_x0000_s2050">
              <w:txbxContent>
                <w:p w:rsidR="003B4B41" w:rsidRDefault="003B4B41" w:rsidP="00B10000">
                  <w:pPr>
                    <w:pStyle w:val="12"/>
                  </w:pPr>
                  <w:r w:rsidRPr="00E354A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凯石工2.jpg" style="width:42pt;height:29.25pt;visibility:visible">
                        <v:imagedata r:id="rId1" o:title=""/>
                      </v:shape>
                    </w:pict>
                  </w:r>
                </w:p>
              </w:txbxContent>
            </v:textbox>
          </v:shape>
          <v:shape id="_x0000_s2051" type="#_x0000_t202" style="position:absolute;left:5999;top:542;width:5353;height:414" strokecolor="white">
            <v:textbox style="mso-next-textbox:#_x0000_s2051">
              <w:txbxContent>
                <w:p w:rsidR="003B4B41" w:rsidRPr="006E0F3C" w:rsidRDefault="003B4B41" w:rsidP="00B10000">
                  <w:pPr>
                    <w:pStyle w:val="2"/>
                  </w:pPr>
                  <w:r w:rsidRPr="006E0F3C">
                    <w:t>201</w:t>
                  </w:r>
                  <w:r>
                    <w:t>4</w:t>
                  </w:r>
                  <w:r w:rsidRPr="006E0F3C">
                    <w:rPr>
                      <w:rFonts w:hint="eastAsia"/>
                    </w:rPr>
                    <w:t>年</w:t>
                  </w:r>
                  <w:r>
                    <w:t>9</w:t>
                  </w:r>
                  <w:r>
                    <w:rPr>
                      <w:rFonts w:hint="eastAsia"/>
                    </w:rPr>
                    <w:t>月</w:t>
                  </w:r>
                  <w:r>
                    <w:t>QDII</w:t>
                  </w:r>
                  <w:r w:rsidRPr="006E0F3C">
                    <w:rPr>
                      <w:rFonts w:hint="eastAsia"/>
                    </w:rPr>
                    <w:t>基金投资策略</w:t>
                  </w:r>
                </w:p>
              </w:txbxContent>
            </v:textbox>
          </v:shape>
        </v:group>
      </w:pict>
    </w:r>
    <w:r>
      <w:pict>
        <v:rect id="_x0000_i1028"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B41" w:rsidRDefault="003B4B41" w:rsidP="005A6864">
    <w:pPr>
      <w:pStyle w:val="Header"/>
      <w:pBdr>
        <w:bottom w:val="none" w:sz="0" w:space="0" w:color="auto"/>
      </w:pBdr>
      <w:spacing w:afterLines="100"/>
    </w:pPr>
    <w:r>
      <w:rPr>
        <w:noProof/>
      </w:rPr>
    </w:r>
    <w:r>
      <w:pict>
        <v:group id="_x0000_s2052"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2053" type="#_x0000_t202" style="position:absolute;left:652;top:331;width:3664;height:2430" strokecolor="white">
            <v:textbox style="mso-next-textbox:#_x0000_s2053">
              <w:txbxContent>
                <w:p w:rsidR="003B4B41" w:rsidRDefault="003B4B41" w:rsidP="00B10000">
                  <w:pPr>
                    <w:pStyle w:val="a0"/>
                  </w:pPr>
                  <w:r w:rsidRPr="00E354A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8" type="#_x0000_t75" alt="凯石工2.jpg" style="width:123pt;height:115.5pt;visibility:visible">
                        <v:imagedata r:id="rId1" o:title=""/>
                      </v:shape>
                    </w:pict>
                  </w:r>
                </w:p>
              </w:txbxContent>
            </v:textbox>
          </v:shape>
          <v:shape id="_x0000_s2054" type="#_x0000_t202" style="position:absolute;left:881;top:2578;width:2325;height:390" strokecolor="white">
            <v:textbox style="mso-next-textbox:#_x0000_s2054">
              <w:txbxContent>
                <w:p w:rsidR="003B4B41" w:rsidRPr="006E0F3C" w:rsidRDefault="003B4B41" w:rsidP="008840A4">
                  <w:pPr>
                    <w:pStyle w:val="a"/>
                    <w:spacing w:after="240"/>
                  </w:pPr>
                  <w:r w:rsidRPr="006E0F3C">
                    <w:rPr>
                      <w:rFonts w:hint="eastAsia"/>
                    </w:rPr>
                    <w:t>凯石工场研究报告</w:t>
                  </w:r>
                </w:p>
              </w:txbxContent>
            </v:textbox>
          </v:shape>
          <v:shape id="_x0000_s2055" type="#_x0000_t202" style="position:absolute;left:8740;top:609;width:2441;height:475" strokecolor="white">
            <v:textbox style="mso-next-textbox:#_x0000_s2055;mso-fit-shape-to-text:t">
              <w:txbxContent>
                <w:p w:rsidR="003B4B41" w:rsidRPr="006E0F3C" w:rsidRDefault="003B4B41" w:rsidP="00B10000">
                  <w:pPr>
                    <w:pStyle w:val="a1"/>
                    <w:jc w:val="right"/>
                  </w:pPr>
                  <w:r w:rsidRPr="006E0F3C">
                    <w:t>201</w:t>
                  </w:r>
                  <w:r>
                    <w:t>4</w:t>
                  </w:r>
                  <w:r w:rsidRPr="006E0F3C">
                    <w:rPr>
                      <w:rFonts w:hint="eastAsia"/>
                    </w:rPr>
                    <w:t>年</w:t>
                  </w:r>
                  <w:r>
                    <w:t>7</w:t>
                  </w:r>
                  <w:r w:rsidRPr="006E0F3C">
                    <w:rPr>
                      <w:rFonts w:hint="eastAsia"/>
                    </w:rPr>
                    <w:t>月</w:t>
                  </w:r>
                  <w:r>
                    <w:t>28</w:t>
                  </w:r>
                  <w:r w:rsidRPr="006E0F3C">
                    <w:rPr>
                      <w:rFonts w:hint="eastAsia"/>
                    </w:rPr>
                    <w:t>日</w:t>
                  </w:r>
                </w:p>
              </w:txbxContent>
            </v:textbox>
          </v:shape>
          <v:shape id="_x0000_s2056" type="#_x0000_t202" style="position:absolute;left:3214;top:1377;width:8090;height:1001" strokecolor="white">
            <v:textbox style="mso-next-textbox:#_x0000_s2056;mso-fit-shape-to-text:t">
              <w:txbxContent>
                <w:p w:rsidR="003B4B41" w:rsidRDefault="003B4B41" w:rsidP="00B10000">
                  <w:pPr>
                    <w:pStyle w:val="a2"/>
                    <w:jc w:val="right"/>
                  </w:pPr>
                  <w:r>
                    <w:rPr>
                      <w:rFonts w:hint="eastAsia"/>
                    </w:rPr>
                    <w:t>美股港股均衡配置，关注</w:t>
                  </w:r>
                  <w:r>
                    <w:t>QE</w:t>
                  </w:r>
                  <w:r>
                    <w:rPr>
                      <w:rFonts w:hint="eastAsia"/>
                    </w:rPr>
                    <w:t>退出动向</w:t>
                  </w:r>
                </w:p>
                <w:p w:rsidR="003B4B41" w:rsidRPr="00624366" w:rsidRDefault="003B4B41" w:rsidP="00B10000">
                  <w:pPr>
                    <w:pStyle w:val="a2"/>
                    <w:jc w:val="right"/>
                    <w:rPr>
                      <w:sz w:val="28"/>
                      <w:szCs w:val="28"/>
                    </w:rPr>
                  </w:pPr>
                  <w:r w:rsidRPr="0024360F">
                    <w:rPr>
                      <w:sz w:val="28"/>
                      <w:szCs w:val="28"/>
                    </w:rPr>
                    <w:t>2014</w:t>
                  </w:r>
                  <w:r w:rsidRPr="0024360F">
                    <w:rPr>
                      <w:rFonts w:hint="eastAsia"/>
                      <w:sz w:val="28"/>
                      <w:szCs w:val="28"/>
                    </w:rPr>
                    <w:t>年</w:t>
                  </w:r>
                  <w:r>
                    <w:rPr>
                      <w:sz w:val="28"/>
                      <w:szCs w:val="28"/>
                    </w:rPr>
                    <w:t>9</w:t>
                  </w:r>
                  <w:r>
                    <w:rPr>
                      <w:rFonts w:hint="eastAsia"/>
                      <w:sz w:val="28"/>
                      <w:szCs w:val="28"/>
                    </w:rPr>
                    <w:t>月</w:t>
                  </w:r>
                  <w:r w:rsidRPr="0024360F">
                    <w:rPr>
                      <w:sz w:val="28"/>
                      <w:szCs w:val="28"/>
                    </w:rPr>
                    <w:t>QDII</w:t>
                  </w:r>
                  <w:r w:rsidRPr="0024360F">
                    <w:rPr>
                      <w:rFonts w:hint="eastAsia"/>
                      <w:sz w:val="28"/>
                      <w:szCs w:val="28"/>
                    </w:rPr>
                    <w:t>基金投资策略</w:t>
                  </w:r>
                </w:p>
              </w:txbxContent>
            </v:textbox>
          </v:shape>
          <v:shape id="_x0000_s2057" type="#_x0000_t202" style="position:absolute;left:3246;top:2578;width:7993;height:627" strokecolor="white">
            <v:textbox style="mso-next-textbox:#_x0000_s2057">
              <w:txbxContent>
                <w:p w:rsidR="003B4B41" w:rsidRDefault="003B4B41" w:rsidP="00B10000">
                  <w:pPr>
                    <w:pStyle w:val="a3"/>
                  </w:pPr>
                  <w:r>
                    <w:rPr>
                      <w:rFonts w:hint="eastAsia"/>
                    </w:rPr>
                    <w:t>杨舒</w:t>
                  </w:r>
                  <w:r w:rsidRPr="006E0F3C">
                    <w:t xml:space="preserve"> </w:t>
                  </w:r>
                  <w:r>
                    <w:rPr>
                      <w:rFonts w:hint="eastAsia"/>
                    </w:rPr>
                    <w:t>高级</w:t>
                  </w:r>
                  <w:r w:rsidRPr="006E0F3C">
                    <w:rPr>
                      <w:rFonts w:hint="eastAsia"/>
                    </w:rPr>
                    <w:t>分析师</w:t>
                  </w:r>
                </w:p>
                <w:p w:rsidR="003B4B41" w:rsidRPr="006E0F3C" w:rsidRDefault="003B4B41" w:rsidP="00B10000">
                  <w:pPr>
                    <w:pStyle w:val="a3"/>
                  </w:pPr>
                  <w:r>
                    <w:rPr>
                      <w:rFonts w:hint="eastAsia"/>
                    </w:rPr>
                    <w:t>张剑辉</w:t>
                  </w:r>
                  <w:r>
                    <w:t xml:space="preserve"> </w:t>
                  </w:r>
                  <w:r>
                    <w:rPr>
                      <w:rFonts w:hint="eastAsia"/>
                    </w:rPr>
                    <w:t>首席分析师</w:t>
                  </w:r>
                </w:p>
              </w:txbxContent>
            </v:textbox>
          </v:shape>
          <w10:anchorlock/>
        </v:group>
      </w:pict>
    </w:r>
    <w:r>
      <w:pict>
        <v:rect id="_x0000_i1037"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hint="default"/>
        <w:color w:val="FF0000"/>
        <w:sz w:val="20"/>
      </w:rPr>
    </w:lvl>
  </w:abstractNum>
  <w:abstractNum w:abstractNumId="1">
    <w:nsid w:val="492C6DD3"/>
    <w:multiLevelType w:val="hybridMultilevel"/>
    <w:tmpl w:val="6B68E90C"/>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
    <w:nsid w:val="5E8271C1"/>
    <w:multiLevelType w:val="hybridMultilevel"/>
    <w:tmpl w:val="6B68E90C"/>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楷体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3">
    <w:nsid w:val="66145FDE"/>
    <w:multiLevelType w:val="singleLevel"/>
    <w:tmpl w:val="918C41C0"/>
    <w:lvl w:ilvl="0">
      <w:start w:val="1"/>
      <w:numFmt w:val="bullet"/>
      <w:pStyle w:val="BulletCoverpage"/>
      <w:lvlText w:val=""/>
      <w:lvlJc w:val="left"/>
      <w:pPr>
        <w:tabs>
          <w:tab w:val="num" w:pos="0"/>
        </w:tabs>
        <w:ind w:left="227" w:hanging="227"/>
      </w:pPr>
      <w:rPr>
        <w:rFonts w:ascii="Monotype Sorts" w:hAnsi="Monotype Sorts" w:hint="default"/>
        <w:color w:val="FF0000"/>
        <w:sz w:val="16"/>
      </w:rPr>
    </w:lvl>
  </w:abstractNum>
  <w:num w:numId="1">
    <w:abstractNumId w:val="1"/>
  </w:num>
  <w:num w:numId="2">
    <w:abstractNumId w:val="2"/>
  </w:num>
  <w:num w:numId="3">
    <w:abstractNumId w:val="0"/>
  </w:num>
  <w:num w:numId="4">
    <w:abstractNumId w:val="3"/>
  </w:num>
  <w:num w:numId="5">
    <w:abstractNumId w:val="1"/>
  </w:num>
  <w:num w:numId="6">
    <w:abstractNumId w:val="1"/>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7">
    <w:abstractNumId w:val="1"/>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0000"/>
    <w:rsid w:val="00001113"/>
    <w:rsid w:val="00001134"/>
    <w:rsid w:val="00001D5C"/>
    <w:rsid w:val="00002264"/>
    <w:rsid w:val="0000342C"/>
    <w:rsid w:val="00004C89"/>
    <w:rsid w:val="00004C9F"/>
    <w:rsid w:val="000054B5"/>
    <w:rsid w:val="00007092"/>
    <w:rsid w:val="00007DF1"/>
    <w:rsid w:val="000106BD"/>
    <w:rsid w:val="0001250E"/>
    <w:rsid w:val="000151D6"/>
    <w:rsid w:val="00016238"/>
    <w:rsid w:val="00016E71"/>
    <w:rsid w:val="00017BB7"/>
    <w:rsid w:val="00023796"/>
    <w:rsid w:val="00024678"/>
    <w:rsid w:val="0002559B"/>
    <w:rsid w:val="00026E09"/>
    <w:rsid w:val="000275D4"/>
    <w:rsid w:val="000278A3"/>
    <w:rsid w:val="0003001E"/>
    <w:rsid w:val="000305E0"/>
    <w:rsid w:val="00030C1A"/>
    <w:rsid w:val="0003225B"/>
    <w:rsid w:val="00032C05"/>
    <w:rsid w:val="00032FF0"/>
    <w:rsid w:val="000333AF"/>
    <w:rsid w:val="00034C20"/>
    <w:rsid w:val="00037334"/>
    <w:rsid w:val="00040949"/>
    <w:rsid w:val="000411B5"/>
    <w:rsid w:val="00042188"/>
    <w:rsid w:val="000432C9"/>
    <w:rsid w:val="000438EE"/>
    <w:rsid w:val="00044F19"/>
    <w:rsid w:val="0004511C"/>
    <w:rsid w:val="00045244"/>
    <w:rsid w:val="0004630C"/>
    <w:rsid w:val="00050D29"/>
    <w:rsid w:val="0005207E"/>
    <w:rsid w:val="000523A8"/>
    <w:rsid w:val="000525A1"/>
    <w:rsid w:val="00052FAC"/>
    <w:rsid w:val="00053302"/>
    <w:rsid w:val="00053B0E"/>
    <w:rsid w:val="000548FB"/>
    <w:rsid w:val="00054B0F"/>
    <w:rsid w:val="000577B1"/>
    <w:rsid w:val="00057A76"/>
    <w:rsid w:val="000602EC"/>
    <w:rsid w:val="000612DF"/>
    <w:rsid w:val="00061495"/>
    <w:rsid w:val="00061CAE"/>
    <w:rsid w:val="0006213B"/>
    <w:rsid w:val="000660CC"/>
    <w:rsid w:val="000701D9"/>
    <w:rsid w:val="00071544"/>
    <w:rsid w:val="00071838"/>
    <w:rsid w:val="00071EEE"/>
    <w:rsid w:val="000723B5"/>
    <w:rsid w:val="0007378F"/>
    <w:rsid w:val="00075461"/>
    <w:rsid w:val="00077CD2"/>
    <w:rsid w:val="00080A45"/>
    <w:rsid w:val="00081329"/>
    <w:rsid w:val="00083342"/>
    <w:rsid w:val="00084963"/>
    <w:rsid w:val="00084F1F"/>
    <w:rsid w:val="000851DA"/>
    <w:rsid w:val="000855DD"/>
    <w:rsid w:val="00085CC2"/>
    <w:rsid w:val="00085D22"/>
    <w:rsid w:val="00086CA1"/>
    <w:rsid w:val="0008709B"/>
    <w:rsid w:val="00087BA6"/>
    <w:rsid w:val="00092843"/>
    <w:rsid w:val="00092A2F"/>
    <w:rsid w:val="00093196"/>
    <w:rsid w:val="00093CC4"/>
    <w:rsid w:val="00094002"/>
    <w:rsid w:val="00094A05"/>
    <w:rsid w:val="00095FCF"/>
    <w:rsid w:val="0009792D"/>
    <w:rsid w:val="000A1EF9"/>
    <w:rsid w:val="000A2A98"/>
    <w:rsid w:val="000A3446"/>
    <w:rsid w:val="000A3F69"/>
    <w:rsid w:val="000A4368"/>
    <w:rsid w:val="000A49C0"/>
    <w:rsid w:val="000A70F6"/>
    <w:rsid w:val="000A7210"/>
    <w:rsid w:val="000B0CA4"/>
    <w:rsid w:val="000B0DE7"/>
    <w:rsid w:val="000B48DA"/>
    <w:rsid w:val="000B48EC"/>
    <w:rsid w:val="000B4F6C"/>
    <w:rsid w:val="000B53E7"/>
    <w:rsid w:val="000B66DD"/>
    <w:rsid w:val="000B6C23"/>
    <w:rsid w:val="000C00E7"/>
    <w:rsid w:val="000C101D"/>
    <w:rsid w:val="000C1661"/>
    <w:rsid w:val="000C1903"/>
    <w:rsid w:val="000C1B4D"/>
    <w:rsid w:val="000C2BF6"/>
    <w:rsid w:val="000C2D96"/>
    <w:rsid w:val="000C6264"/>
    <w:rsid w:val="000D255F"/>
    <w:rsid w:val="000D4D06"/>
    <w:rsid w:val="000D54AA"/>
    <w:rsid w:val="000D6608"/>
    <w:rsid w:val="000D7555"/>
    <w:rsid w:val="000E39A7"/>
    <w:rsid w:val="000E3E62"/>
    <w:rsid w:val="000E4347"/>
    <w:rsid w:val="000E4F92"/>
    <w:rsid w:val="000E57CE"/>
    <w:rsid w:val="000E60B0"/>
    <w:rsid w:val="000E63CE"/>
    <w:rsid w:val="000E654D"/>
    <w:rsid w:val="000E6595"/>
    <w:rsid w:val="000E6676"/>
    <w:rsid w:val="000F0909"/>
    <w:rsid w:val="000F0E85"/>
    <w:rsid w:val="000F1B1F"/>
    <w:rsid w:val="000F2323"/>
    <w:rsid w:val="000F56DC"/>
    <w:rsid w:val="000F5835"/>
    <w:rsid w:val="000F61AF"/>
    <w:rsid w:val="000F6AC7"/>
    <w:rsid w:val="000F7944"/>
    <w:rsid w:val="000F7AB0"/>
    <w:rsid w:val="000F7C30"/>
    <w:rsid w:val="001004C6"/>
    <w:rsid w:val="00101225"/>
    <w:rsid w:val="00101AC8"/>
    <w:rsid w:val="00101B41"/>
    <w:rsid w:val="0010356F"/>
    <w:rsid w:val="00103DC8"/>
    <w:rsid w:val="00103F83"/>
    <w:rsid w:val="001048EB"/>
    <w:rsid w:val="00105074"/>
    <w:rsid w:val="00105AEF"/>
    <w:rsid w:val="00105DEB"/>
    <w:rsid w:val="00106473"/>
    <w:rsid w:val="001102C7"/>
    <w:rsid w:val="0011084D"/>
    <w:rsid w:val="00111800"/>
    <w:rsid w:val="00111A39"/>
    <w:rsid w:val="001122C1"/>
    <w:rsid w:val="001129A7"/>
    <w:rsid w:val="00112A22"/>
    <w:rsid w:val="00113573"/>
    <w:rsid w:val="00114518"/>
    <w:rsid w:val="00115DD5"/>
    <w:rsid w:val="001160EB"/>
    <w:rsid w:val="00116CE6"/>
    <w:rsid w:val="00117EC2"/>
    <w:rsid w:val="001213BD"/>
    <w:rsid w:val="0012167F"/>
    <w:rsid w:val="00124F07"/>
    <w:rsid w:val="001259C8"/>
    <w:rsid w:val="00125F8E"/>
    <w:rsid w:val="00126DDF"/>
    <w:rsid w:val="001312F5"/>
    <w:rsid w:val="00131ACF"/>
    <w:rsid w:val="00132468"/>
    <w:rsid w:val="00133243"/>
    <w:rsid w:val="00133CA1"/>
    <w:rsid w:val="00135124"/>
    <w:rsid w:val="00136012"/>
    <w:rsid w:val="001365A6"/>
    <w:rsid w:val="001375D6"/>
    <w:rsid w:val="00137B3F"/>
    <w:rsid w:val="001410E9"/>
    <w:rsid w:val="00144127"/>
    <w:rsid w:val="0014424F"/>
    <w:rsid w:val="001452B9"/>
    <w:rsid w:val="0014766F"/>
    <w:rsid w:val="0015030D"/>
    <w:rsid w:val="001507E1"/>
    <w:rsid w:val="001547D4"/>
    <w:rsid w:val="00155001"/>
    <w:rsid w:val="001558A1"/>
    <w:rsid w:val="00155C41"/>
    <w:rsid w:val="00157B31"/>
    <w:rsid w:val="001604FB"/>
    <w:rsid w:val="0016073A"/>
    <w:rsid w:val="001607D5"/>
    <w:rsid w:val="00161EF2"/>
    <w:rsid w:val="0016231C"/>
    <w:rsid w:val="00166B49"/>
    <w:rsid w:val="001710A3"/>
    <w:rsid w:val="00171E7C"/>
    <w:rsid w:val="00172285"/>
    <w:rsid w:val="00173423"/>
    <w:rsid w:val="00175064"/>
    <w:rsid w:val="001771A2"/>
    <w:rsid w:val="00181C17"/>
    <w:rsid w:val="00181F3E"/>
    <w:rsid w:val="00182DB8"/>
    <w:rsid w:val="00182FC7"/>
    <w:rsid w:val="0018379B"/>
    <w:rsid w:val="00183EE1"/>
    <w:rsid w:val="00185269"/>
    <w:rsid w:val="001854D5"/>
    <w:rsid w:val="001861F2"/>
    <w:rsid w:val="0018765E"/>
    <w:rsid w:val="00187AEB"/>
    <w:rsid w:val="00191C07"/>
    <w:rsid w:val="00192ECE"/>
    <w:rsid w:val="00193C25"/>
    <w:rsid w:val="00194054"/>
    <w:rsid w:val="001940C0"/>
    <w:rsid w:val="00196353"/>
    <w:rsid w:val="001967DF"/>
    <w:rsid w:val="001A09F5"/>
    <w:rsid w:val="001A1BFB"/>
    <w:rsid w:val="001A5408"/>
    <w:rsid w:val="001A5D15"/>
    <w:rsid w:val="001A674F"/>
    <w:rsid w:val="001A6932"/>
    <w:rsid w:val="001A69EA"/>
    <w:rsid w:val="001A7688"/>
    <w:rsid w:val="001A7AA3"/>
    <w:rsid w:val="001B0246"/>
    <w:rsid w:val="001B1609"/>
    <w:rsid w:val="001B3F49"/>
    <w:rsid w:val="001B40F7"/>
    <w:rsid w:val="001B43FA"/>
    <w:rsid w:val="001B538F"/>
    <w:rsid w:val="001B57EE"/>
    <w:rsid w:val="001B6F74"/>
    <w:rsid w:val="001B7CE9"/>
    <w:rsid w:val="001C3544"/>
    <w:rsid w:val="001C3E93"/>
    <w:rsid w:val="001C44EB"/>
    <w:rsid w:val="001C4BEA"/>
    <w:rsid w:val="001C57D8"/>
    <w:rsid w:val="001C5CFB"/>
    <w:rsid w:val="001C5DBE"/>
    <w:rsid w:val="001C6281"/>
    <w:rsid w:val="001C675B"/>
    <w:rsid w:val="001C6E8C"/>
    <w:rsid w:val="001C73E7"/>
    <w:rsid w:val="001C7B3E"/>
    <w:rsid w:val="001C7FE8"/>
    <w:rsid w:val="001D000D"/>
    <w:rsid w:val="001D00D7"/>
    <w:rsid w:val="001D0A21"/>
    <w:rsid w:val="001D109E"/>
    <w:rsid w:val="001D25E4"/>
    <w:rsid w:val="001D36B6"/>
    <w:rsid w:val="001D3C19"/>
    <w:rsid w:val="001D5D6A"/>
    <w:rsid w:val="001D7EE7"/>
    <w:rsid w:val="001D7F5D"/>
    <w:rsid w:val="001E40D5"/>
    <w:rsid w:val="001E4787"/>
    <w:rsid w:val="001E60C8"/>
    <w:rsid w:val="001E61F8"/>
    <w:rsid w:val="001E7636"/>
    <w:rsid w:val="001E7A80"/>
    <w:rsid w:val="001E7DDC"/>
    <w:rsid w:val="001F0B14"/>
    <w:rsid w:val="001F0E37"/>
    <w:rsid w:val="001F1796"/>
    <w:rsid w:val="001F42E5"/>
    <w:rsid w:val="001F4858"/>
    <w:rsid w:val="001F5E3D"/>
    <w:rsid w:val="001F643C"/>
    <w:rsid w:val="001F6E9C"/>
    <w:rsid w:val="001F7132"/>
    <w:rsid w:val="00200004"/>
    <w:rsid w:val="00202C2B"/>
    <w:rsid w:val="00202D6B"/>
    <w:rsid w:val="002033B2"/>
    <w:rsid w:val="00204069"/>
    <w:rsid w:val="002040AE"/>
    <w:rsid w:val="00204D26"/>
    <w:rsid w:val="00205B2F"/>
    <w:rsid w:val="00206284"/>
    <w:rsid w:val="002077C9"/>
    <w:rsid w:val="00210515"/>
    <w:rsid w:val="00214281"/>
    <w:rsid w:val="0021476C"/>
    <w:rsid w:val="00215001"/>
    <w:rsid w:val="0021759F"/>
    <w:rsid w:val="00220991"/>
    <w:rsid w:val="00222885"/>
    <w:rsid w:val="002231FF"/>
    <w:rsid w:val="00223CE2"/>
    <w:rsid w:val="00226E48"/>
    <w:rsid w:val="0022712C"/>
    <w:rsid w:val="002303BD"/>
    <w:rsid w:val="00231106"/>
    <w:rsid w:val="00231667"/>
    <w:rsid w:val="00231F40"/>
    <w:rsid w:val="00231FBD"/>
    <w:rsid w:val="002322C7"/>
    <w:rsid w:val="002336A7"/>
    <w:rsid w:val="00234872"/>
    <w:rsid w:val="00235C54"/>
    <w:rsid w:val="002409A7"/>
    <w:rsid w:val="0024326E"/>
    <w:rsid w:val="0024360F"/>
    <w:rsid w:val="00243A02"/>
    <w:rsid w:val="00245441"/>
    <w:rsid w:val="00246EDF"/>
    <w:rsid w:val="00247B48"/>
    <w:rsid w:val="002512B4"/>
    <w:rsid w:val="002523D0"/>
    <w:rsid w:val="002547C3"/>
    <w:rsid w:val="0025635B"/>
    <w:rsid w:val="00256A3A"/>
    <w:rsid w:val="00257E61"/>
    <w:rsid w:val="0026039C"/>
    <w:rsid w:val="00260BFA"/>
    <w:rsid w:val="00261786"/>
    <w:rsid w:val="002630FB"/>
    <w:rsid w:val="002654B1"/>
    <w:rsid w:val="0027132E"/>
    <w:rsid w:val="00271636"/>
    <w:rsid w:val="00271F08"/>
    <w:rsid w:val="002740EF"/>
    <w:rsid w:val="00274876"/>
    <w:rsid w:val="00276646"/>
    <w:rsid w:val="00276873"/>
    <w:rsid w:val="0028002E"/>
    <w:rsid w:val="0028096C"/>
    <w:rsid w:val="00281FBC"/>
    <w:rsid w:val="00282A44"/>
    <w:rsid w:val="002836D2"/>
    <w:rsid w:val="002845EC"/>
    <w:rsid w:val="00286C91"/>
    <w:rsid w:val="00290484"/>
    <w:rsid w:val="00291DCF"/>
    <w:rsid w:val="00293537"/>
    <w:rsid w:val="00293941"/>
    <w:rsid w:val="00294162"/>
    <w:rsid w:val="00296A12"/>
    <w:rsid w:val="00297C75"/>
    <w:rsid w:val="002A178C"/>
    <w:rsid w:val="002A1D0B"/>
    <w:rsid w:val="002A1D90"/>
    <w:rsid w:val="002A28B4"/>
    <w:rsid w:val="002A48EC"/>
    <w:rsid w:val="002A592E"/>
    <w:rsid w:val="002A68F9"/>
    <w:rsid w:val="002A7947"/>
    <w:rsid w:val="002B0CF5"/>
    <w:rsid w:val="002B0E9C"/>
    <w:rsid w:val="002B12A9"/>
    <w:rsid w:val="002B1402"/>
    <w:rsid w:val="002B600C"/>
    <w:rsid w:val="002B62C9"/>
    <w:rsid w:val="002B6E31"/>
    <w:rsid w:val="002B74C1"/>
    <w:rsid w:val="002B7F29"/>
    <w:rsid w:val="002C1EAE"/>
    <w:rsid w:val="002C376F"/>
    <w:rsid w:val="002C3C7E"/>
    <w:rsid w:val="002C4258"/>
    <w:rsid w:val="002C5411"/>
    <w:rsid w:val="002C627D"/>
    <w:rsid w:val="002C6474"/>
    <w:rsid w:val="002C7FF5"/>
    <w:rsid w:val="002D0407"/>
    <w:rsid w:val="002D0519"/>
    <w:rsid w:val="002D303F"/>
    <w:rsid w:val="002D3525"/>
    <w:rsid w:val="002D3E44"/>
    <w:rsid w:val="002E0474"/>
    <w:rsid w:val="002E0AE5"/>
    <w:rsid w:val="002E3746"/>
    <w:rsid w:val="002E56DB"/>
    <w:rsid w:val="002E60F9"/>
    <w:rsid w:val="002E6539"/>
    <w:rsid w:val="002E7217"/>
    <w:rsid w:val="002E794A"/>
    <w:rsid w:val="002F2229"/>
    <w:rsid w:val="002F258E"/>
    <w:rsid w:val="002F2BEE"/>
    <w:rsid w:val="002F3BD4"/>
    <w:rsid w:val="002F3C81"/>
    <w:rsid w:val="002F5431"/>
    <w:rsid w:val="002F60C2"/>
    <w:rsid w:val="002F7B2B"/>
    <w:rsid w:val="002F7C37"/>
    <w:rsid w:val="00300798"/>
    <w:rsid w:val="00300BA1"/>
    <w:rsid w:val="00302431"/>
    <w:rsid w:val="003031CC"/>
    <w:rsid w:val="003036EF"/>
    <w:rsid w:val="003039BE"/>
    <w:rsid w:val="00304156"/>
    <w:rsid w:val="00304A10"/>
    <w:rsid w:val="003059FD"/>
    <w:rsid w:val="00305C2C"/>
    <w:rsid w:val="00305FAE"/>
    <w:rsid w:val="00306DF5"/>
    <w:rsid w:val="00307A22"/>
    <w:rsid w:val="00310654"/>
    <w:rsid w:val="00313CFF"/>
    <w:rsid w:val="00313D2F"/>
    <w:rsid w:val="00313E06"/>
    <w:rsid w:val="003141DC"/>
    <w:rsid w:val="00314423"/>
    <w:rsid w:val="0031652C"/>
    <w:rsid w:val="00317EB6"/>
    <w:rsid w:val="003209D1"/>
    <w:rsid w:val="00320F16"/>
    <w:rsid w:val="0032164A"/>
    <w:rsid w:val="00322B96"/>
    <w:rsid w:val="003238E9"/>
    <w:rsid w:val="00324B6F"/>
    <w:rsid w:val="0032573F"/>
    <w:rsid w:val="00326376"/>
    <w:rsid w:val="00327CE3"/>
    <w:rsid w:val="003302C8"/>
    <w:rsid w:val="00330D03"/>
    <w:rsid w:val="00330DE1"/>
    <w:rsid w:val="00333038"/>
    <w:rsid w:val="00333E93"/>
    <w:rsid w:val="00333EE2"/>
    <w:rsid w:val="00333EF1"/>
    <w:rsid w:val="003349E5"/>
    <w:rsid w:val="00335FA5"/>
    <w:rsid w:val="0033611E"/>
    <w:rsid w:val="0033663A"/>
    <w:rsid w:val="003366CA"/>
    <w:rsid w:val="003371B6"/>
    <w:rsid w:val="00337304"/>
    <w:rsid w:val="00337589"/>
    <w:rsid w:val="003377DE"/>
    <w:rsid w:val="00337C7C"/>
    <w:rsid w:val="00340D1E"/>
    <w:rsid w:val="00340F68"/>
    <w:rsid w:val="0034163A"/>
    <w:rsid w:val="00343F99"/>
    <w:rsid w:val="003444E9"/>
    <w:rsid w:val="0034660C"/>
    <w:rsid w:val="003504AB"/>
    <w:rsid w:val="00350615"/>
    <w:rsid w:val="003507D2"/>
    <w:rsid w:val="003511EC"/>
    <w:rsid w:val="00351343"/>
    <w:rsid w:val="00351CE5"/>
    <w:rsid w:val="0035209B"/>
    <w:rsid w:val="003523C0"/>
    <w:rsid w:val="00354BF2"/>
    <w:rsid w:val="00354F6B"/>
    <w:rsid w:val="00356B09"/>
    <w:rsid w:val="003601D7"/>
    <w:rsid w:val="00360B5A"/>
    <w:rsid w:val="00361E36"/>
    <w:rsid w:val="003629A1"/>
    <w:rsid w:val="00363DD9"/>
    <w:rsid w:val="003663C7"/>
    <w:rsid w:val="00367156"/>
    <w:rsid w:val="00367B88"/>
    <w:rsid w:val="00370865"/>
    <w:rsid w:val="0037339B"/>
    <w:rsid w:val="00373A5C"/>
    <w:rsid w:val="003777DA"/>
    <w:rsid w:val="00377B94"/>
    <w:rsid w:val="00377EF0"/>
    <w:rsid w:val="0038093F"/>
    <w:rsid w:val="0038252C"/>
    <w:rsid w:val="00383546"/>
    <w:rsid w:val="003842FA"/>
    <w:rsid w:val="00385B91"/>
    <w:rsid w:val="00386167"/>
    <w:rsid w:val="00386A79"/>
    <w:rsid w:val="00386EAC"/>
    <w:rsid w:val="00391A99"/>
    <w:rsid w:val="00391D1E"/>
    <w:rsid w:val="0039237C"/>
    <w:rsid w:val="00392AE5"/>
    <w:rsid w:val="00396141"/>
    <w:rsid w:val="00396479"/>
    <w:rsid w:val="00396EA8"/>
    <w:rsid w:val="003A0409"/>
    <w:rsid w:val="003A6147"/>
    <w:rsid w:val="003A6B50"/>
    <w:rsid w:val="003B099C"/>
    <w:rsid w:val="003B1BFD"/>
    <w:rsid w:val="003B45D3"/>
    <w:rsid w:val="003B4B41"/>
    <w:rsid w:val="003B4EDA"/>
    <w:rsid w:val="003B6E18"/>
    <w:rsid w:val="003B7474"/>
    <w:rsid w:val="003C1E43"/>
    <w:rsid w:val="003C206D"/>
    <w:rsid w:val="003C6111"/>
    <w:rsid w:val="003C71BA"/>
    <w:rsid w:val="003D516C"/>
    <w:rsid w:val="003D58B0"/>
    <w:rsid w:val="003D5C36"/>
    <w:rsid w:val="003D5D16"/>
    <w:rsid w:val="003E2F42"/>
    <w:rsid w:val="003E32B6"/>
    <w:rsid w:val="003E4988"/>
    <w:rsid w:val="003E595A"/>
    <w:rsid w:val="003E5A5B"/>
    <w:rsid w:val="003F3A79"/>
    <w:rsid w:val="003F4D5D"/>
    <w:rsid w:val="003F591F"/>
    <w:rsid w:val="003F6CBD"/>
    <w:rsid w:val="003F7523"/>
    <w:rsid w:val="003F7539"/>
    <w:rsid w:val="003F784D"/>
    <w:rsid w:val="0040088A"/>
    <w:rsid w:val="0040281B"/>
    <w:rsid w:val="00402AD8"/>
    <w:rsid w:val="0040556B"/>
    <w:rsid w:val="0040586C"/>
    <w:rsid w:val="004063EB"/>
    <w:rsid w:val="004106BF"/>
    <w:rsid w:val="00410B47"/>
    <w:rsid w:val="0041171D"/>
    <w:rsid w:val="00411A1A"/>
    <w:rsid w:val="00411CAE"/>
    <w:rsid w:val="004126F6"/>
    <w:rsid w:val="004144AF"/>
    <w:rsid w:val="004149CA"/>
    <w:rsid w:val="00423564"/>
    <w:rsid w:val="00424479"/>
    <w:rsid w:val="004246A7"/>
    <w:rsid w:val="00424971"/>
    <w:rsid w:val="00425540"/>
    <w:rsid w:val="004273E5"/>
    <w:rsid w:val="00431666"/>
    <w:rsid w:val="00432DB1"/>
    <w:rsid w:val="00432EE0"/>
    <w:rsid w:val="0043361C"/>
    <w:rsid w:val="0043613D"/>
    <w:rsid w:val="004374E7"/>
    <w:rsid w:val="004403FF"/>
    <w:rsid w:val="004417AE"/>
    <w:rsid w:val="004422AC"/>
    <w:rsid w:val="00442D74"/>
    <w:rsid w:val="004432DC"/>
    <w:rsid w:val="00443A55"/>
    <w:rsid w:val="00443BC8"/>
    <w:rsid w:val="0044427B"/>
    <w:rsid w:val="00445DD5"/>
    <w:rsid w:val="0044602F"/>
    <w:rsid w:val="004465BB"/>
    <w:rsid w:val="00447935"/>
    <w:rsid w:val="00447CB6"/>
    <w:rsid w:val="004523F0"/>
    <w:rsid w:val="00454576"/>
    <w:rsid w:val="00454EB4"/>
    <w:rsid w:val="00457391"/>
    <w:rsid w:val="0045777C"/>
    <w:rsid w:val="00457CD4"/>
    <w:rsid w:val="00460787"/>
    <w:rsid w:val="00460EBB"/>
    <w:rsid w:val="00461106"/>
    <w:rsid w:val="00461431"/>
    <w:rsid w:val="00461D50"/>
    <w:rsid w:val="0046257E"/>
    <w:rsid w:val="004625B9"/>
    <w:rsid w:val="00462B33"/>
    <w:rsid w:val="0046397E"/>
    <w:rsid w:val="00464AC0"/>
    <w:rsid w:val="00466214"/>
    <w:rsid w:val="004705E4"/>
    <w:rsid w:val="004709C6"/>
    <w:rsid w:val="00470B7F"/>
    <w:rsid w:val="00470E05"/>
    <w:rsid w:val="00471193"/>
    <w:rsid w:val="00471778"/>
    <w:rsid w:val="00471F2C"/>
    <w:rsid w:val="00473690"/>
    <w:rsid w:val="00474B84"/>
    <w:rsid w:val="0047514A"/>
    <w:rsid w:val="00475632"/>
    <w:rsid w:val="00476223"/>
    <w:rsid w:val="004766E1"/>
    <w:rsid w:val="00480A22"/>
    <w:rsid w:val="00480A95"/>
    <w:rsid w:val="0048171D"/>
    <w:rsid w:val="00483AF9"/>
    <w:rsid w:val="00484324"/>
    <w:rsid w:val="004846AD"/>
    <w:rsid w:val="00484937"/>
    <w:rsid w:val="00485950"/>
    <w:rsid w:val="00485F74"/>
    <w:rsid w:val="00486443"/>
    <w:rsid w:val="00486A4A"/>
    <w:rsid w:val="00490A8E"/>
    <w:rsid w:val="004922AA"/>
    <w:rsid w:val="0049296B"/>
    <w:rsid w:val="00495689"/>
    <w:rsid w:val="004963A8"/>
    <w:rsid w:val="004965CC"/>
    <w:rsid w:val="004A042D"/>
    <w:rsid w:val="004A15D7"/>
    <w:rsid w:val="004A239F"/>
    <w:rsid w:val="004A2ACB"/>
    <w:rsid w:val="004A399B"/>
    <w:rsid w:val="004A3A81"/>
    <w:rsid w:val="004A61EA"/>
    <w:rsid w:val="004A6604"/>
    <w:rsid w:val="004A6FDD"/>
    <w:rsid w:val="004A71D6"/>
    <w:rsid w:val="004A725C"/>
    <w:rsid w:val="004B09AF"/>
    <w:rsid w:val="004B1398"/>
    <w:rsid w:val="004B4281"/>
    <w:rsid w:val="004B62C0"/>
    <w:rsid w:val="004B7A2A"/>
    <w:rsid w:val="004B7FB6"/>
    <w:rsid w:val="004C08D8"/>
    <w:rsid w:val="004C10B7"/>
    <w:rsid w:val="004C12DA"/>
    <w:rsid w:val="004C29B9"/>
    <w:rsid w:val="004C397F"/>
    <w:rsid w:val="004C4B2E"/>
    <w:rsid w:val="004C5E76"/>
    <w:rsid w:val="004C6F72"/>
    <w:rsid w:val="004C722B"/>
    <w:rsid w:val="004C745A"/>
    <w:rsid w:val="004C7DD1"/>
    <w:rsid w:val="004D26AD"/>
    <w:rsid w:val="004D2EB7"/>
    <w:rsid w:val="004D5065"/>
    <w:rsid w:val="004D511C"/>
    <w:rsid w:val="004D59A9"/>
    <w:rsid w:val="004D6918"/>
    <w:rsid w:val="004D78C4"/>
    <w:rsid w:val="004E0475"/>
    <w:rsid w:val="004E08DD"/>
    <w:rsid w:val="004E1201"/>
    <w:rsid w:val="004E13A6"/>
    <w:rsid w:val="004E43BE"/>
    <w:rsid w:val="004E5A60"/>
    <w:rsid w:val="004E7283"/>
    <w:rsid w:val="004E7CD3"/>
    <w:rsid w:val="004F00E9"/>
    <w:rsid w:val="004F2215"/>
    <w:rsid w:val="004F3768"/>
    <w:rsid w:val="004F4040"/>
    <w:rsid w:val="004F5DA2"/>
    <w:rsid w:val="004F5F12"/>
    <w:rsid w:val="004F609C"/>
    <w:rsid w:val="004F7FEC"/>
    <w:rsid w:val="005011F5"/>
    <w:rsid w:val="0050169D"/>
    <w:rsid w:val="0050238B"/>
    <w:rsid w:val="00502C9B"/>
    <w:rsid w:val="00503D01"/>
    <w:rsid w:val="00504684"/>
    <w:rsid w:val="005046E1"/>
    <w:rsid w:val="00505499"/>
    <w:rsid w:val="00507DE8"/>
    <w:rsid w:val="00511AD7"/>
    <w:rsid w:val="00511FB9"/>
    <w:rsid w:val="005125F9"/>
    <w:rsid w:val="00514135"/>
    <w:rsid w:val="00516030"/>
    <w:rsid w:val="00516843"/>
    <w:rsid w:val="00516F46"/>
    <w:rsid w:val="00517E93"/>
    <w:rsid w:val="00521693"/>
    <w:rsid w:val="00523F23"/>
    <w:rsid w:val="00524229"/>
    <w:rsid w:val="00524B1D"/>
    <w:rsid w:val="005258AD"/>
    <w:rsid w:val="005258BD"/>
    <w:rsid w:val="00525D9A"/>
    <w:rsid w:val="00525FCF"/>
    <w:rsid w:val="0052728C"/>
    <w:rsid w:val="00527682"/>
    <w:rsid w:val="00527E0E"/>
    <w:rsid w:val="00530381"/>
    <w:rsid w:val="0053086C"/>
    <w:rsid w:val="0053146C"/>
    <w:rsid w:val="0053289C"/>
    <w:rsid w:val="00532D5E"/>
    <w:rsid w:val="005335FB"/>
    <w:rsid w:val="0053468E"/>
    <w:rsid w:val="00534DB0"/>
    <w:rsid w:val="005363FB"/>
    <w:rsid w:val="005369F2"/>
    <w:rsid w:val="00537FF5"/>
    <w:rsid w:val="00540C5F"/>
    <w:rsid w:val="00540ECB"/>
    <w:rsid w:val="00541147"/>
    <w:rsid w:val="00541C85"/>
    <w:rsid w:val="00541D5F"/>
    <w:rsid w:val="00542085"/>
    <w:rsid w:val="00542A23"/>
    <w:rsid w:val="00543FC7"/>
    <w:rsid w:val="005441FC"/>
    <w:rsid w:val="00544244"/>
    <w:rsid w:val="005457C5"/>
    <w:rsid w:val="005458DD"/>
    <w:rsid w:val="0054605E"/>
    <w:rsid w:val="005464D1"/>
    <w:rsid w:val="005468F3"/>
    <w:rsid w:val="00547B4F"/>
    <w:rsid w:val="00552230"/>
    <w:rsid w:val="00553335"/>
    <w:rsid w:val="0055394A"/>
    <w:rsid w:val="005547AF"/>
    <w:rsid w:val="0055503A"/>
    <w:rsid w:val="005550F6"/>
    <w:rsid w:val="00561462"/>
    <w:rsid w:val="00561EA3"/>
    <w:rsid w:val="00561FD7"/>
    <w:rsid w:val="00562256"/>
    <w:rsid w:val="00562AA0"/>
    <w:rsid w:val="005631C9"/>
    <w:rsid w:val="005636F3"/>
    <w:rsid w:val="0056561D"/>
    <w:rsid w:val="00565AB8"/>
    <w:rsid w:val="0057223F"/>
    <w:rsid w:val="00572623"/>
    <w:rsid w:val="005726C2"/>
    <w:rsid w:val="0057429F"/>
    <w:rsid w:val="00574C9B"/>
    <w:rsid w:val="00576BF7"/>
    <w:rsid w:val="005775C2"/>
    <w:rsid w:val="00577F2A"/>
    <w:rsid w:val="00580617"/>
    <w:rsid w:val="00580FA7"/>
    <w:rsid w:val="005853D6"/>
    <w:rsid w:val="00585B31"/>
    <w:rsid w:val="005873FA"/>
    <w:rsid w:val="005915EE"/>
    <w:rsid w:val="00592FF5"/>
    <w:rsid w:val="005931A6"/>
    <w:rsid w:val="00593904"/>
    <w:rsid w:val="00593E61"/>
    <w:rsid w:val="00593EBD"/>
    <w:rsid w:val="00596031"/>
    <w:rsid w:val="00596E40"/>
    <w:rsid w:val="00597FD6"/>
    <w:rsid w:val="00597FFD"/>
    <w:rsid w:val="005A144D"/>
    <w:rsid w:val="005A341F"/>
    <w:rsid w:val="005A3F10"/>
    <w:rsid w:val="005A3FD6"/>
    <w:rsid w:val="005A516C"/>
    <w:rsid w:val="005A540D"/>
    <w:rsid w:val="005A5965"/>
    <w:rsid w:val="005A5DE2"/>
    <w:rsid w:val="005A5F7A"/>
    <w:rsid w:val="005A6864"/>
    <w:rsid w:val="005B28B3"/>
    <w:rsid w:val="005B39E8"/>
    <w:rsid w:val="005B39F0"/>
    <w:rsid w:val="005B714C"/>
    <w:rsid w:val="005C04C9"/>
    <w:rsid w:val="005C0D02"/>
    <w:rsid w:val="005C4A2D"/>
    <w:rsid w:val="005C4FC7"/>
    <w:rsid w:val="005C5532"/>
    <w:rsid w:val="005C7C19"/>
    <w:rsid w:val="005D1897"/>
    <w:rsid w:val="005D46B4"/>
    <w:rsid w:val="005D4780"/>
    <w:rsid w:val="005D485D"/>
    <w:rsid w:val="005D766F"/>
    <w:rsid w:val="005D79D8"/>
    <w:rsid w:val="005E1C52"/>
    <w:rsid w:val="005E2323"/>
    <w:rsid w:val="005E26B9"/>
    <w:rsid w:val="005E319C"/>
    <w:rsid w:val="005E4D6F"/>
    <w:rsid w:val="005E7EDB"/>
    <w:rsid w:val="005F237F"/>
    <w:rsid w:val="005F2537"/>
    <w:rsid w:val="005F50B8"/>
    <w:rsid w:val="005F5479"/>
    <w:rsid w:val="005F583C"/>
    <w:rsid w:val="005F58E3"/>
    <w:rsid w:val="005F5997"/>
    <w:rsid w:val="005F5E5D"/>
    <w:rsid w:val="005F68FB"/>
    <w:rsid w:val="005F6BD4"/>
    <w:rsid w:val="005F6E6B"/>
    <w:rsid w:val="006001D3"/>
    <w:rsid w:val="0060046D"/>
    <w:rsid w:val="00602D41"/>
    <w:rsid w:val="00603D57"/>
    <w:rsid w:val="00607330"/>
    <w:rsid w:val="0060777C"/>
    <w:rsid w:val="0061150E"/>
    <w:rsid w:val="00611AF7"/>
    <w:rsid w:val="00612B80"/>
    <w:rsid w:val="00612F71"/>
    <w:rsid w:val="00614E0D"/>
    <w:rsid w:val="00615A49"/>
    <w:rsid w:val="00615D0A"/>
    <w:rsid w:val="006160C8"/>
    <w:rsid w:val="00616AE6"/>
    <w:rsid w:val="00620D5E"/>
    <w:rsid w:val="00621C1F"/>
    <w:rsid w:val="00621E3B"/>
    <w:rsid w:val="006220F7"/>
    <w:rsid w:val="00622EF3"/>
    <w:rsid w:val="00623C62"/>
    <w:rsid w:val="00623CC0"/>
    <w:rsid w:val="00623CD9"/>
    <w:rsid w:val="00624255"/>
    <w:rsid w:val="00624366"/>
    <w:rsid w:val="00624902"/>
    <w:rsid w:val="00625426"/>
    <w:rsid w:val="00630885"/>
    <w:rsid w:val="0063114B"/>
    <w:rsid w:val="0063189A"/>
    <w:rsid w:val="00631D42"/>
    <w:rsid w:val="006322BE"/>
    <w:rsid w:val="00634F30"/>
    <w:rsid w:val="00635482"/>
    <w:rsid w:val="00635E4C"/>
    <w:rsid w:val="00636233"/>
    <w:rsid w:val="006372EB"/>
    <w:rsid w:val="00640063"/>
    <w:rsid w:val="00640F6F"/>
    <w:rsid w:val="006412FD"/>
    <w:rsid w:val="00641A96"/>
    <w:rsid w:val="00643C13"/>
    <w:rsid w:val="00644949"/>
    <w:rsid w:val="0064512C"/>
    <w:rsid w:val="00645267"/>
    <w:rsid w:val="0064533A"/>
    <w:rsid w:val="006459A3"/>
    <w:rsid w:val="006462D5"/>
    <w:rsid w:val="0064682D"/>
    <w:rsid w:val="006504A4"/>
    <w:rsid w:val="006519E7"/>
    <w:rsid w:val="006533D7"/>
    <w:rsid w:val="0065483E"/>
    <w:rsid w:val="00656031"/>
    <w:rsid w:val="00656F8E"/>
    <w:rsid w:val="00657E45"/>
    <w:rsid w:val="0066194A"/>
    <w:rsid w:val="00661C93"/>
    <w:rsid w:val="00663446"/>
    <w:rsid w:val="0066346C"/>
    <w:rsid w:val="00663907"/>
    <w:rsid w:val="0066419F"/>
    <w:rsid w:val="00664B3A"/>
    <w:rsid w:val="00665317"/>
    <w:rsid w:val="006656D3"/>
    <w:rsid w:val="00665F02"/>
    <w:rsid w:val="0066770A"/>
    <w:rsid w:val="00667D03"/>
    <w:rsid w:val="0067045E"/>
    <w:rsid w:val="00670E59"/>
    <w:rsid w:val="00671545"/>
    <w:rsid w:val="00672209"/>
    <w:rsid w:val="006728D5"/>
    <w:rsid w:val="00672FFE"/>
    <w:rsid w:val="006749B7"/>
    <w:rsid w:val="00680A06"/>
    <w:rsid w:val="0068284E"/>
    <w:rsid w:val="00683039"/>
    <w:rsid w:val="006840AC"/>
    <w:rsid w:val="006845E1"/>
    <w:rsid w:val="00685C11"/>
    <w:rsid w:val="006866C5"/>
    <w:rsid w:val="006868AC"/>
    <w:rsid w:val="00686EEB"/>
    <w:rsid w:val="0068772B"/>
    <w:rsid w:val="00690040"/>
    <w:rsid w:val="00690887"/>
    <w:rsid w:val="00691F97"/>
    <w:rsid w:val="00695146"/>
    <w:rsid w:val="00695441"/>
    <w:rsid w:val="006968B9"/>
    <w:rsid w:val="00696E0C"/>
    <w:rsid w:val="00697A97"/>
    <w:rsid w:val="00697B37"/>
    <w:rsid w:val="006A044C"/>
    <w:rsid w:val="006A069E"/>
    <w:rsid w:val="006A3F05"/>
    <w:rsid w:val="006A43BF"/>
    <w:rsid w:val="006A47BF"/>
    <w:rsid w:val="006A5C33"/>
    <w:rsid w:val="006B01C7"/>
    <w:rsid w:val="006B0CD3"/>
    <w:rsid w:val="006B2138"/>
    <w:rsid w:val="006B29B2"/>
    <w:rsid w:val="006B2CD2"/>
    <w:rsid w:val="006B3615"/>
    <w:rsid w:val="006B5100"/>
    <w:rsid w:val="006B5153"/>
    <w:rsid w:val="006B57C8"/>
    <w:rsid w:val="006C0A93"/>
    <w:rsid w:val="006C1184"/>
    <w:rsid w:val="006C184A"/>
    <w:rsid w:val="006C2A7A"/>
    <w:rsid w:val="006C3DC1"/>
    <w:rsid w:val="006C4947"/>
    <w:rsid w:val="006C4E3A"/>
    <w:rsid w:val="006C5D09"/>
    <w:rsid w:val="006C619C"/>
    <w:rsid w:val="006C7774"/>
    <w:rsid w:val="006D223D"/>
    <w:rsid w:val="006D2714"/>
    <w:rsid w:val="006D6C90"/>
    <w:rsid w:val="006D7395"/>
    <w:rsid w:val="006E0C49"/>
    <w:rsid w:val="006E0DF5"/>
    <w:rsid w:val="006E0F3C"/>
    <w:rsid w:val="006E18E9"/>
    <w:rsid w:val="006E2421"/>
    <w:rsid w:val="006E4998"/>
    <w:rsid w:val="006E4B5D"/>
    <w:rsid w:val="006E5BF7"/>
    <w:rsid w:val="006E5F58"/>
    <w:rsid w:val="006F09E1"/>
    <w:rsid w:val="006F10A3"/>
    <w:rsid w:val="006F6C09"/>
    <w:rsid w:val="00701EDE"/>
    <w:rsid w:val="007029E7"/>
    <w:rsid w:val="00702C64"/>
    <w:rsid w:val="00704EB2"/>
    <w:rsid w:val="00705104"/>
    <w:rsid w:val="00707920"/>
    <w:rsid w:val="0071124A"/>
    <w:rsid w:val="007122B9"/>
    <w:rsid w:val="00714187"/>
    <w:rsid w:val="00714F74"/>
    <w:rsid w:val="007159AB"/>
    <w:rsid w:val="00720622"/>
    <w:rsid w:val="00720691"/>
    <w:rsid w:val="007206C9"/>
    <w:rsid w:val="00721493"/>
    <w:rsid w:val="007221D0"/>
    <w:rsid w:val="007258CB"/>
    <w:rsid w:val="00725D17"/>
    <w:rsid w:val="0072608C"/>
    <w:rsid w:val="00726CC9"/>
    <w:rsid w:val="00727661"/>
    <w:rsid w:val="00727788"/>
    <w:rsid w:val="00730093"/>
    <w:rsid w:val="0073073C"/>
    <w:rsid w:val="007317FA"/>
    <w:rsid w:val="00732C19"/>
    <w:rsid w:val="00733854"/>
    <w:rsid w:val="00733A6E"/>
    <w:rsid w:val="00736E5E"/>
    <w:rsid w:val="0073702E"/>
    <w:rsid w:val="007379A8"/>
    <w:rsid w:val="00740F0E"/>
    <w:rsid w:val="00741A77"/>
    <w:rsid w:val="00741D9C"/>
    <w:rsid w:val="007436D0"/>
    <w:rsid w:val="0074453A"/>
    <w:rsid w:val="00744760"/>
    <w:rsid w:val="00744C0C"/>
    <w:rsid w:val="0074574D"/>
    <w:rsid w:val="00746D3D"/>
    <w:rsid w:val="00746DC1"/>
    <w:rsid w:val="0074705F"/>
    <w:rsid w:val="00750303"/>
    <w:rsid w:val="007504CC"/>
    <w:rsid w:val="00752973"/>
    <w:rsid w:val="00752A4A"/>
    <w:rsid w:val="00752BF9"/>
    <w:rsid w:val="0075587B"/>
    <w:rsid w:val="0075590E"/>
    <w:rsid w:val="007560E1"/>
    <w:rsid w:val="007627D6"/>
    <w:rsid w:val="007652C4"/>
    <w:rsid w:val="00765836"/>
    <w:rsid w:val="007659A0"/>
    <w:rsid w:val="007661FF"/>
    <w:rsid w:val="007664D4"/>
    <w:rsid w:val="00766D34"/>
    <w:rsid w:val="00766FBF"/>
    <w:rsid w:val="0076742E"/>
    <w:rsid w:val="00770AE1"/>
    <w:rsid w:val="00770C89"/>
    <w:rsid w:val="00771C36"/>
    <w:rsid w:val="00773E0B"/>
    <w:rsid w:val="0077499A"/>
    <w:rsid w:val="007760BE"/>
    <w:rsid w:val="00780D95"/>
    <w:rsid w:val="00781486"/>
    <w:rsid w:val="00781702"/>
    <w:rsid w:val="00782BF4"/>
    <w:rsid w:val="0078623E"/>
    <w:rsid w:val="007863EC"/>
    <w:rsid w:val="00787C48"/>
    <w:rsid w:val="007910D2"/>
    <w:rsid w:val="00793162"/>
    <w:rsid w:val="00793969"/>
    <w:rsid w:val="007951DF"/>
    <w:rsid w:val="007A06AE"/>
    <w:rsid w:val="007A0D5C"/>
    <w:rsid w:val="007A258C"/>
    <w:rsid w:val="007A34D6"/>
    <w:rsid w:val="007A391F"/>
    <w:rsid w:val="007A3D70"/>
    <w:rsid w:val="007A4147"/>
    <w:rsid w:val="007A7488"/>
    <w:rsid w:val="007B0108"/>
    <w:rsid w:val="007B0627"/>
    <w:rsid w:val="007B14FA"/>
    <w:rsid w:val="007B1600"/>
    <w:rsid w:val="007B17FB"/>
    <w:rsid w:val="007B1D00"/>
    <w:rsid w:val="007B1E91"/>
    <w:rsid w:val="007B3754"/>
    <w:rsid w:val="007B4609"/>
    <w:rsid w:val="007B4618"/>
    <w:rsid w:val="007B4997"/>
    <w:rsid w:val="007B56B3"/>
    <w:rsid w:val="007B5C89"/>
    <w:rsid w:val="007C0FD9"/>
    <w:rsid w:val="007C0FFD"/>
    <w:rsid w:val="007C1E9F"/>
    <w:rsid w:val="007C2AAD"/>
    <w:rsid w:val="007C2F05"/>
    <w:rsid w:val="007C3807"/>
    <w:rsid w:val="007C3BC4"/>
    <w:rsid w:val="007C4530"/>
    <w:rsid w:val="007C47B9"/>
    <w:rsid w:val="007C480A"/>
    <w:rsid w:val="007C78CE"/>
    <w:rsid w:val="007D1F59"/>
    <w:rsid w:val="007D20E6"/>
    <w:rsid w:val="007D43ED"/>
    <w:rsid w:val="007D4AC3"/>
    <w:rsid w:val="007D4B16"/>
    <w:rsid w:val="007D4B9D"/>
    <w:rsid w:val="007D5086"/>
    <w:rsid w:val="007D553A"/>
    <w:rsid w:val="007D720C"/>
    <w:rsid w:val="007E0A2D"/>
    <w:rsid w:val="007E1652"/>
    <w:rsid w:val="007E1905"/>
    <w:rsid w:val="007E2655"/>
    <w:rsid w:val="007E3C06"/>
    <w:rsid w:val="007E4CCC"/>
    <w:rsid w:val="007E4E35"/>
    <w:rsid w:val="007E5659"/>
    <w:rsid w:val="007E5697"/>
    <w:rsid w:val="007E5B5C"/>
    <w:rsid w:val="007E5ECF"/>
    <w:rsid w:val="007E5FDD"/>
    <w:rsid w:val="007E6489"/>
    <w:rsid w:val="007E66A9"/>
    <w:rsid w:val="007E7875"/>
    <w:rsid w:val="007E7D79"/>
    <w:rsid w:val="007F105F"/>
    <w:rsid w:val="007F191B"/>
    <w:rsid w:val="007F37C8"/>
    <w:rsid w:val="007F3FC9"/>
    <w:rsid w:val="007F5299"/>
    <w:rsid w:val="007F54BB"/>
    <w:rsid w:val="008016D9"/>
    <w:rsid w:val="00801E95"/>
    <w:rsid w:val="008027A7"/>
    <w:rsid w:val="00802B2F"/>
    <w:rsid w:val="0080308B"/>
    <w:rsid w:val="00803CB5"/>
    <w:rsid w:val="00803F0B"/>
    <w:rsid w:val="00804226"/>
    <w:rsid w:val="008055B6"/>
    <w:rsid w:val="008106B1"/>
    <w:rsid w:val="008120C3"/>
    <w:rsid w:val="00812A58"/>
    <w:rsid w:val="0081385D"/>
    <w:rsid w:val="008139E8"/>
    <w:rsid w:val="00815138"/>
    <w:rsid w:val="00820277"/>
    <w:rsid w:val="00826326"/>
    <w:rsid w:val="00826D44"/>
    <w:rsid w:val="00830C12"/>
    <w:rsid w:val="00833BB0"/>
    <w:rsid w:val="00835C5B"/>
    <w:rsid w:val="00837392"/>
    <w:rsid w:val="008378C8"/>
    <w:rsid w:val="008405EC"/>
    <w:rsid w:val="00840A70"/>
    <w:rsid w:val="00840AC5"/>
    <w:rsid w:val="00840DBB"/>
    <w:rsid w:val="00841E4D"/>
    <w:rsid w:val="00843AB2"/>
    <w:rsid w:val="00845CF9"/>
    <w:rsid w:val="008460D8"/>
    <w:rsid w:val="00846394"/>
    <w:rsid w:val="00850617"/>
    <w:rsid w:val="00850F7D"/>
    <w:rsid w:val="00851567"/>
    <w:rsid w:val="00852880"/>
    <w:rsid w:val="00854662"/>
    <w:rsid w:val="008548EB"/>
    <w:rsid w:val="0085538C"/>
    <w:rsid w:val="00855395"/>
    <w:rsid w:val="00855FB6"/>
    <w:rsid w:val="00856A06"/>
    <w:rsid w:val="00857E41"/>
    <w:rsid w:val="00860220"/>
    <w:rsid w:val="00861180"/>
    <w:rsid w:val="00863FE6"/>
    <w:rsid w:val="0087120B"/>
    <w:rsid w:val="008721A1"/>
    <w:rsid w:val="00873E6C"/>
    <w:rsid w:val="0087442E"/>
    <w:rsid w:val="00875027"/>
    <w:rsid w:val="00875DC2"/>
    <w:rsid w:val="00876401"/>
    <w:rsid w:val="00876B3D"/>
    <w:rsid w:val="00876F2A"/>
    <w:rsid w:val="008775BA"/>
    <w:rsid w:val="00880CE4"/>
    <w:rsid w:val="008810DC"/>
    <w:rsid w:val="008840A4"/>
    <w:rsid w:val="008868A5"/>
    <w:rsid w:val="00887724"/>
    <w:rsid w:val="008878A5"/>
    <w:rsid w:val="00891377"/>
    <w:rsid w:val="00891B0F"/>
    <w:rsid w:val="00891C80"/>
    <w:rsid w:val="00892677"/>
    <w:rsid w:val="00894899"/>
    <w:rsid w:val="0089566A"/>
    <w:rsid w:val="008962C5"/>
    <w:rsid w:val="008964D0"/>
    <w:rsid w:val="008A0510"/>
    <w:rsid w:val="008A0D5C"/>
    <w:rsid w:val="008A1809"/>
    <w:rsid w:val="008A210E"/>
    <w:rsid w:val="008A2526"/>
    <w:rsid w:val="008A28BB"/>
    <w:rsid w:val="008A2BBA"/>
    <w:rsid w:val="008A3AC5"/>
    <w:rsid w:val="008A4CEA"/>
    <w:rsid w:val="008A5057"/>
    <w:rsid w:val="008A67F4"/>
    <w:rsid w:val="008A7FEE"/>
    <w:rsid w:val="008B173E"/>
    <w:rsid w:val="008B1BA4"/>
    <w:rsid w:val="008B2304"/>
    <w:rsid w:val="008B23F8"/>
    <w:rsid w:val="008B3214"/>
    <w:rsid w:val="008B4DB2"/>
    <w:rsid w:val="008B4DB7"/>
    <w:rsid w:val="008B514F"/>
    <w:rsid w:val="008B6C8E"/>
    <w:rsid w:val="008B7490"/>
    <w:rsid w:val="008B7FC8"/>
    <w:rsid w:val="008C321D"/>
    <w:rsid w:val="008C3E7B"/>
    <w:rsid w:val="008C5E6B"/>
    <w:rsid w:val="008C7AB6"/>
    <w:rsid w:val="008D337E"/>
    <w:rsid w:val="008D4414"/>
    <w:rsid w:val="008D671F"/>
    <w:rsid w:val="008D7481"/>
    <w:rsid w:val="008E1ACF"/>
    <w:rsid w:val="008E2054"/>
    <w:rsid w:val="008E2240"/>
    <w:rsid w:val="008E2ED3"/>
    <w:rsid w:val="008E2F84"/>
    <w:rsid w:val="008E40EF"/>
    <w:rsid w:val="008E470F"/>
    <w:rsid w:val="008E5A85"/>
    <w:rsid w:val="008E60B7"/>
    <w:rsid w:val="008E60D9"/>
    <w:rsid w:val="008E706F"/>
    <w:rsid w:val="008E7F39"/>
    <w:rsid w:val="008F001B"/>
    <w:rsid w:val="008F014B"/>
    <w:rsid w:val="008F0E10"/>
    <w:rsid w:val="008F2245"/>
    <w:rsid w:val="008F2278"/>
    <w:rsid w:val="008F4F80"/>
    <w:rsid w:val="008F5F9F"/>
    <w:rsid w:val="008F6E8D"/>
    <w:rsid w:val="0090115E"/>
    <w:rsid w:val="00901AE0"/>
    <w:rsid w:val="00901F00"/>
    <w:rsid w:val="00903830"/>
    <w:rsid w:val="00903CA2"/>
    <w:rsid w:val="009071EA"/>
    <w:rsid w:val="00907C33"/>
    <w:rsid w:val="00907D58"/>
    <w:rsid w:val="00907F57"/>
    <w:rsid w:val="00910F47"/>
    <w:rsid w:val="009110CF"/>
    <w:rsid w:val="00913283"/>
    <w:rsid w:val="00914D74"/>
    <w:rsid w:val="009214D9"/>
    <w:rsid w:val="00921738"/>
    <w:rsid w:val="0092193D"/>
    <w:rsid w:val="009229FA"/>
    <w:rsid w:val="00922E9A"/>
    <w:rsid w:val="00923C8C"/>
    <w:rsid w:val="00924064"/>
    <w:rsid w:val="00924EBC"/>
    <w:rsid w:val="009262D1"/>
    <w:rsid w:val="0093179F"/>
    <w:rsid w:val="0093202A"/>
    <w:rsid w:val="00933CBE"/>
    <w:rsid w:val="00934164"/>
    <w:rsid w:val="00934833"/>
    <w:rsid w:val="00934D5B"/>
    <w:rsid w:val="00935522"/>
    <w:rsid w:val="00935742"/>
    <w:rsid w:val="00936007"/>
    <w:rsid w:val="009360A3"/>
    <w:rsid w:val="009361D6"/>
    <w:rsid w:val="009374B1"/>
    <w:rsid w:val="0094068B"/>
    <w:rsid w:val="0094228B"/>
    <w:rsid w:val="00942E17"/>
    <w:rsid w:val="00943124"/>
    <w:rsid w:val="0094404A"/>
    <w:rsid w:val="00946315"/>
    <w:rsid w:val="00947D64"/>
    <w:rsid w:val="009512DF"/>
    <w:rsid w:val="00951776"/>
    <w:rsid w:val="009528DB"/>
    <w:rsid w:val="009528F8"/>
    <w:rsid w:val="00953A79"/>
    <w:rsid w:val="00955C45"/>
    <w:rsid w:val="00956509"/>
    <w:rsid w:val="009575AD"/>
    <w:rsid w:val="00957E2F"/>
    <w:rsid w:val="00957EFB"/>
    <w:rsid w:val="00960120"/>
    <w:rsid w:val="00962240"/>
    <w:rsid w:val="00963E55"/>
    <w:rsid w:val="00965642"/>
    <w:rsid w:val="00965945"/>
    <w:rsid w:val="009670D1"/>
    <w:rsid w:val="0097020C"/>
    <w:rsid w:val="00973D66"/>
    <w:rsid w:val="00974561"/>
    <w:rsid w:val="00974E34"/>
    <w:rsid w:val="00976D8A"/>
    <w:rsid w:val="00980D8D"/>
    <w:rsid w:val="00981E0A"/>
    <w:rsid w:val="00982132"/>
    <w:rsid w:val="00984471"/>
    <w:rsid w:val="00986C1B"/>
    <w:rsid w:val="0099356F"/>
    <w:rsid w:val="009964F2"/>
    <w:rsid w:val="009A0A94"/>
    <w:rsid w:val="009A1060"/>
    <w:rsid w:val="009A1BD1"/>
    <w:rsid w:val="009A2160"/>
    <w:rsid w:val="009A2569"/>
    <w:rsid w:val="009A50A0"/>
    <w:rsid w:val="009A6216"/>
    <w:rsid w:val="009A64BF"/>
    <w:rsid w:val="009B070B"/>
    <w:rsid w:val="009B1DAF"/>
    <w:rsid w:val="009B2A92"/>
    <w:rsid w:val="009B426A"/>
    <w:rsid w:val="009B4856"/>
    <w:rsid w:val="009B4D2E"/>
    <w:rsid w:val="009C0706"/>
    <w:rsid w:val="009C095F"/>
    <w:rsid w:val="009C15AC"/>
    <w:rsid w:val="009C395F"/>
    <w:rsid w:val="009C424F"/>
    <w:rsid w:val="009C429B"/>
    <w:rsid w:val="009C4479"/>
    <w:rsid w:val="009C5305"/>
    <w:rsid w:val="009C559F"/>
    <w:rsid w:val="009D0D44"/>
    <w:rsid w:val="009D169B"/>
    <w:rsid w:val="009D1808"/>
    <w:rsid w:val="009D49A8"/>
    <w:rsid w:val="009D4E68"/>
    <w:rsid w:val="009D5A2C"/>
    <w:rsid w:val="009D7171"/>
    <w:rsid w:val="009D763E"/>
    <w:rsid w:val="009E1A26"/>
    <w:rsid w:val="009E2581"/>
    <w:rsid w:val="009E5644"/>
    <w:rsid w:val="009E6FA3"/>
    <w:rsid w:val="009F0641"/>
    <w:rsid w:val="009F10A3"/>
    <w:rsid w:val="009F1523"/>
    <w:rsid w:val="009F1D39"/>
    <w:rsid w:val="009F2D05"/>
    <w:rsid w:val="009F4A38"/>
    <w:rsid w:val="009F56F6"/>
    <w:rsid w:val="009F691F"/>
    <w:rsid w:val="009F6B92"/>
    <w:rsid w:val="00A00194"/>
    <w:rsid w:val="00A00F34"/>
    <w:rsid w:val="00A0126A"/>
    <w:rsid w:val="00A02785"/>
    <w:rsid w:val="00A02CC3"/>
    <w:rsid w:val="00A02E6A"/>
    <w:rsid w:val="00A04437"/>
    <w:rsid w:val="00A044A6"/>
    <w:rsid w:val="00A04A73"/>
    <w:rsid w:val="00A06948"/>
    <w:rsid w:val="00A06A81"/>
    <w:rsid w:val="00A06BBF"/>
    <w:rsid w:val="00A1057B"/>
    <w:rsid w:val="00A1182D"/>
    <w:rsid w:val="00A124F7"/>
    <w:rsid w:val="00A13124"/>
    <w:rsid w:val="00A13206"/>
    <w:rsid w:val="00A141D7"/>
    <w:rsid w:val="00A15769"/>
    <w:rsid w:val="00A169F8"/>
    <w:rsid w:val="00A16B03"/>
    <w:rsid w:val="00A16D9A"/>
    <w:rsid w:val="00A17F80"/>
    <w:rsid w:val="00A216FF"/>
    <w:rsid w:val="00A21F62"/>
    <w:rsid w:val="00A248D4"/>
    <w:rsid w:val="00A24A04"/>
    <w:rsid w:val="00A2565B"/>
    <w:rsid w:val="00A256BD"/>
    <w:rsid w:val="00A30E14"/>
    <w:rsid w:val="00A31DA6"/>
    <w:rsid w:val="00A33C93"/>
    <w:rsid w:val="00A35D2C"/>
    <w:rsid w:val="00A37681"/>
    <w:rsid w:val="00A40571"/>
    <w:rsid w:val="00A40842"/>
    <w:rsid w:val="00A41D52"/>
    <w:rsid w:val="00A422EE"/>
    <w:rsid w:val="00A4329A"/>
    <w:rsid w:val="00A44562"/>
    <w:rsid w:val="00A44F81"/>
    <w:rsid w:val="00A45C5C"/>
    <w:rsid w:val="00A46719"/>
    <w:rsid w:val="00A46847"/>
    <w:rsid w:val="00A46FF5"/>
    <w:rsid w:val="00A473E5"/>
    <w:rsid w:val="00A47E4B"/>
    <w:rsid w:val="00A50422"/>
    <w:rsid w:val="00A50F31"/>
    <w:rsid w:val="00A51C2B"/>
    <w:rsid w:val="00A521DA"/>
    <w:rsid w:val="00A5326A"/>
    <w:rsid w:val="00A60B7B"/>
    <w:rsid w:val="00A613A7"/>
    <w:rsid w:val="00A61C0F"/>
    <w:rsid w:val="00A622A9"/>
    <w:rsid w:val="00A636B0"/>
    <w:rsid w:val="00A64B1C"/>
    <w:rsid w:val="00A64CD0"/>
    <w:rsid w:val="00A66248"/>
    <w:rsid w:val="00A6645F"/>
    <w:rsid w:val="00A66891"/>
    <w:rsid w:val="00A669F6"/>
    <w:rsid w:val="00A67BC4"/>
    <w:rsid w:val="00A67FBE"/>
    <w:rsid w:val="00A70401"/>
    <w:rsid w:val="00A71F90"/>
    <w:rsid w:val="00A729CD"/>
    <w:rsid w:val="00A73514"/>
    <w:rsid w:val="00A758E8"/>
    <w:rsid w:val="00A75EDE"/>
    <w:rsid w:val="00A7616E"/>
    <w:rsid w:val="00A76BC2"/>
    <w:rsid w:val="00A774B3"/>
    <w:rsid w:val="00A77A1A"/>
    <w:rsid w:val="00A77AB0"/>
    <w:rsid w:val="00A80EC1"/>
    <w:rsid w:val="00A81A33"/>
    <w:rsid w:val="00A81A8B"/>
    <w:rsid w:val="00A83B06"/>
    <w:rsid w:val="00A83E8D"/>
    <w:rsid w:val="00A85E72"/>
    <w:rsid w:val="00A86FEF"/>
    <w:rsid w:val="00A91CB8"/>
    <w:rsid w:val="00A928B4"/>
    <w:rsid w:val="00A93200"/>
    <w:rsid w:val="00A94DF5"/>
    <w:rsid w:val="00A96330"/>
    <w:rsid w:val="00A964E5"/>
    <w:rsid w:val="00AA01BF"/>
    <w:rsid w:val="00AA145C"/>
    <w:rsid w:val="00AA478C"/>
    <w:rsid w:val="00AA6415"/>
    <w:rsid w:val="00AA687E"/>
    <w:rsid w:val="00AA6F30"/>
    <w:rsid w:val="00AA7AC4"/>
    <w:rsid w:val="00AB09D7"/>
    <w:rsid w:val="00AB1CA0"/>
    <w:rsid w:val="00AB2D13"/>
    <w:rsid w:val="00AB37A6"/>
    <w:rsid w:val="00AB3F5F"/>
    <w:rsid w:val="00AB4954"/>
    <w:rsid w:val="00AB7E08"/>
    <w:rsid w:val="00AC1AF6"/>
    <w:rsid w:val="00AC1E75"/>
    <w:rsid w:val="00AC29A5"/>
    <w:rsid w:val="00AC42AA"/>
    <w:rsid w:val="00AC4B01"/>
    <w:rsid w:val="00AC7668"/>
    <w:rsid w:val="00AC7961"/>
    <w:rsid w:val="00AD00FE"/>
    <w:rsid w:val="00AD025A"/>
    <w:rsid w:val="00AD3172"/>
    <w:rsid w:val="00AD3C64"/>
    <w:rsid w:val="00AD5B17"/>
    <w:rsid w:val="00AD6976"/>
    <w:rsid w:val="00AE0219"/>
    <w:rsid w:val="00AE0444"/>
    <w:rsid w:val="00AE3FED"/>
    <w:rsid w:val="00AE4171"/>
    <w:rsid w:val="00AE4D15"/>
    <w:rsid w:val="00AE4E4A"/>
    <w:rsid w:val="00AE69BD"/>
    <w:rsid w:val="00AE6CFB"/>
    <w:rsid w:val="00AE7232"/>
    <w:rsid w:val="00AF2E00"/>
    <w:rsid w:val="00AF2F54"/>
    <w:rsid w:val="00AF3280"/>
    <w:rsid w:val="00AF4667"/>
    <w:rsid w:val="00AF6D20"/>
    <w:rsid w:val="00AF7817"/>
    <w:rsid w:val="00B002DE"/>
    <w:rsid w:val="00B008AF"/>
    <w:rsid w:val="00B008C3"/>
    <w:rsid w:val="00B0600A"/>
    <w:rsid w:val="00B06599"/>
    <w:rsid w:val="00B073E2"/>
    <w:rsid w:val="00B10000"/>
    <w:rsid w:val="00B13CF9"/>
    <w:rsid w:val="00B16D31"/>
    <w:rsid w:val="00B17EB2"/>
    <w:rsid w:val="00B17F2A"/>
    <w:rsid w:val="00B20B03"/>
    <w:rsid w:val="00B222C6"/>
    <w:rsid w:val="00B22506"/>
    <w:rsid w:val="00B227AD"/>
    <w:rsid w:val="00B22D4F"/>
    <w:rsid w:val="00B23238"/>
    <w:rsid w:val="00B24747"/>
    <w:rsid w:val="00B24B73"/>
    <w:rsid w:val="00B26078"/>
    <w:rsid w:val="00B2647D"/>
    <w:rsid w:val="00B31607"/>
    <w:rsid w:val="00B32DD5"/>
    <w:rsid w:val="00B3338A"/>
    <w:rsid w:val="00B333AA"/>
    <w:rsid w:val="00B33DA7"/>
    <w:rsid w:val="00B340D8"/>
    <w:rsid w:val="00B36105"/>
    <w:rsid w:val="00B37420"/>
    <w:rsid w:val="00B37524"/>
    <w:rsid w:val="00B375CF"/>
    <w:rsid w:val="00B3792B"/>
    <w:rsid w:val="00B421EB"/>
    <w:rsid w:val="00B4378D"/>
    <w:rsid w:val="00B45276"/>
    <w:rsid w:val="00B46E42"/>
    <w:rsid w:val="00B4752F"/>
    <w:rsid w:val="00B52ECE"/>
    <w:rsid w:val="00B537BA"/>
    <w:rsid w:val="00B549B9"/>
    <w:rsid w:val="00B5515A"/>
    <w:rsid w:val="00B55E8D"/>
    <w:rsid w:val="00B56205"/>
    <w:rsid w:val="00B56C26"/>
    <w:rsid w:val="00B57192"/>
    <w:rsid w:val="00B57495"/>
    <w:rsid w:val="00B57DB0"/>
    <w:rsid w:val="00B60A2B"/>
    <w:rsid w:val="00B610A3"/>
    <w:rsid w:val="00B61337"/>
    <w:rsid w:val="00B64010"/>
    <w:rsid w:val="00B6426D"/>
    <w:rsid w:val="00B645E8"/>
    <w:rsid w:val="00B64FE7"/>
    <w:rsid w:val="00B6539F"/>
    <w:rsid w:val="00B66062"/>
    <w:rsid w:val="00B6654D"/>
    <w:rsid w:val="00B70F8F"/>
    <w:rsid w:val="00B712D0"/>
    <w:rsid w:val="00B71D3C"/>
    <w:rsid w:val="00B73036"/>
    <w:rsid w:val="00B73B6E"/>
    <w:rsid w:val="00B7431B"/>
    <w:rsid w:val="00B7491C"/>
    <w:rsid w:val="00B75AA1"/>
    <w:rsid w:val="00B76629"/>
    <w:rsid w:val="00B77137"/>
    <w:rsid w:val="00B77278"/>
    <w:rsid w:val="00B82D14"/>
    <w:rsid w:val="00B84D2D"/>
    <w:rsid w:val="00B85404"/>
    <w:rsid w:val="00B8580D"/>
    <w:rsid w:val="00B872DF"/>
    <w:rsid w:val="00B917E2"/>
    <w:rsid w:val="00B9423C"/>
    <w:rsid w:val="00B94EF2"/>
    <w:rsid w:val="00B9628C"/>
    <w:rsid w:val="00B97218"/>
    <w:rsid w:val="00B97AD7"/>
    <w:rsid w:val="00B97D6E"/>
    <w:rsid w:val="00BA0149"/>
    <w:rsid w:val="00BA05C4"/>
    <w:rsid w:val="00BA1523"/>
    <w:rsid w:val="00BA2B02"/>
    <w:rsid w:val="00BA3202"/>
    <w:rsid w:val="00BA3D47"/>
    <w:rsid w:val="00BA556F"/>
    <w:rsid w:val="00BA65C4"/>
    <w:rsid w:val="00BA7445"/>
    <w:rsid w:val="00BB060F"/>
    <w:rsid w:val="00BB08DF"/>
    <w:rsid w:val="00BB10C0"/>
    <w:rsid w:val="00BB283F"/>
    <w:rsid w:val="00BB32DB"/>
    <w:rsid w:val="00BB49A9"/>
    <w:rsid w:val="00BB5803"/>
    <w:rsid w:val="00BB5A09"/>
    <w:rsid w:val="00BC0D84"/>
    <w:rsid w:val="00BC16B3"/>
    <w:rsid w:val="00BC1CEC"/>
    <w:rsid w:val="00BC2435"/>
    <w:rsid w:val="00BC3109"/>
    <w:rsid w:val="00BC3829"/>
    <w:rsid w:val="00BC4FC2"/>
    <w:rsid w:val="00BC5434"/>
    <w:rsid w:val="00BC6100"/>
    <w:rsid w:val="00BC7E1A"/>
    <w:rsid w:val="00BD11C2"/>
    <w:rsid w:val="00BD2938"/>
    <w:rsid w:val="00BD2988"/>
    <w:rsid w:val="00BD3165"/>
    <w:rsid w:val="00BD4099"/>
    <w:rsid w:val="00BD60C5"/>
    <w:rsid w:val="00BD7D2A"/>
    <w:rsid w:val="00BE01E4"/>
    <w:rsid w:val="00BE07C0"/>
    <w:rsid w:val="00BE21E0"/>
    <w:rsid w:val="00BE25E3"/>
    <w:rsid w:val="00BE2692"/>
    <w:rsid w:val="00BE27A1"/>
    <w:rsid w:val="00BE30B8"/>
    <w:rsid w:val="00BE31B7"/>
    <w:rsid w:val="00BE4E1B"/>
    <w:rsid w:val="00BE7059"/>
    <w:rsid w:val="00BE7324"/>
    <w:rsid w:val="00BE7869"/>
    <w:rsid w:val="00BF0607"/>
    <w:rsid w:val="00BF07C6"/>
    <w:rsid w:val="00BF0AB0"/>
    <w:rsid w:val="00BF1202"/>
    <w:rsid w:val="00BF1509"/>
    <w:rsid w:val="00BF31EC"/>
    <w:rsid w:val="00BF6510"/>
    <w:rsid w:val="00BF6680"/>
    <w:rsid w:val="00BF7249"/>
    <w:rsid w:val="00C007C3"/>
    <w:rsid w:val="00C018D9"/>
    <w:rsid w:val="00C02323"/>
    <w:rsid w:val="00C02538"/>
    <w:rsid w:val="00C04F5E"/>
    <w:rsid w:val="00C05A73"/>
    <w:rsid w:val="00C07CFB"/>
    <w:rsid w:val="00C07FD2"/>
    <w:rsid w:val="00C120F7"/>
    <w:rsid w:val="00C123F4"/>
    <w:rsid w:val="00C12DBF"/>
    <w:rsid w:val="00C140D7"/>
    <w:rsid w:val="00C15136"/>
    <w:rsid w:val="00C151C5"/>
    <w:rsid w:val="00C16315"/>
    <w:rsid w:val="00C17C90"/>
    <w:rsid w:val="00C17ED4"/>
    <w:rsid w:val="00C220C2"/>
    <w:rsid w:val="00C22A4D"/>
    <w:rsid w:val="00C2354A"/>
    <w:rsid w:val="00C23CB2"/>
    <w:rsid w:val="00C25E16"/>
    <w:rsid w:val="00C27FA7"/>
    <w:rsid w:val="00C310C2"/>
    <w:rsid w:val="00C31A8B"/>
    <w:rsid w:val="00C32457"/>
    <w:rsid w:val="00C326DD"/>
    <w:rsid w:val="00C353C3"/>
    <w:rsid w:val="00C36108"/>
    <w:rsid w:val="00C425AA"/>
    <w:rsid w:val="00C42672"/>
    <w:rsid w:val="00C42975"/>
    <w:rsid w:val="00C434A4"/>
    <w:rsid w:val="00C45E89"/>
    <w:rsid w:val="00C46BE9"/>
    <w:rsid w:val="00C50B06"/>
    <w:rsid w:val="00C521F2"/>
    <w:rsid w:val="00C535FB"/>
    <w:rsid w:val="00C540D5"/>
    <w:rsid w:val="00C579D0"/>
    <w:rsid w:val="00C62B60"/>
    <w:rsid w:val="00C6448F"/>
    <w:rsid w:val="00C6485B"/>
    <w:rsid w:val="00C65423"/>
    <w:rsid w:val="00C66789"/>
    <w:rsid w:val="00C66CEE"/>
    <w:rsid w:val="00C66E26"/>
    <w:rsid w:val="00C6757F"/>
    <w:rsid w:val="00C67CBB"/>
    <w:rsid w:val="00C71665"/>
    <w:rsid w:val="00C75CB7"/>
    <w:rsid w:val="00C75DE3"/>
    <w:rsid w:val="00C77634"/>
    <w:rsid w:val="00C7775D"/>
    <w:rsid w:val="00C806CE"/>
    <w:rsid w:val="00C824CD"/>
    <w:rsid w:val="00C84B76"/>
    <w:rsid w:val="00C85931"/>
    <w:rsid w:val="00C87BE7"/>
    <w:rsid w:val="00C90048"/>
    <w:rsid w:val="00C908C8"/>
    <w:rsid w:val="00C924EF"/>
    <w:rsid w:val="00C938FC"/>
    <w:rsid w:val="00C94899"/>
    <w:rsid w:val="00C94AB7"/>
    <w:rsid w:val="00C95A13"/>
    <w:rsid w:val="00C95E51"/>
    <w:rsid w:val="00C975CA"/>
    <w:rsid w:val="00C97C44"/>
    <w:rsid w:val="00CA011E"/>
    <w:rsid w:val="00CA0A9A"/>
    <w:rsid w:val="00CA23D8"/>
    <w:rsid w:val="00CA39A7"/>
    <w:rsid w:val="00CA451A"/>
    <w:rsid w:val="00CA5245"/>
    <w:rsid w:val="00CA68A6"/>
    <w:rsid w:val="00CA6B88"/>
    <w:rsid w:val="00CB076C"/>
    <w:rsid w:val="00CB0983"/>
    <w:rsid w:val="00CB24BA"/>
    <w:rsid w:val="00CB29EC"/>
    <w:rsid w:val="00CB5092"/>
    <w:rsid w:val="00CB6AAC"/>
    <w:rsid w:val="00CB7844"/>
    <w:rsid w:val="00CC0753"/>
    <w:rsid w:val="00CC1C9F"/>
    <w:rsid w:val="00CC7449"/>
    <w:rsid w:val="00CC7C10"/>
    <w:rsid w:val="00CD2A3E"/>
    <w:rsid w:val="00CD577C"/>
    <w:rsid w:val="00CE00D9"/>
    <w:rsid w:val="00CE1778"/>
    <w:rsid w:val="00CE3302"/>
    <w:rsid w:val="00CE3E89"/>
    <w:rsid w:val="00CE4DF1"/>
    <w:rsid w:val="00CE60B5"/>
    <w:rsid w:val="00CE6AD4"/>
    <w:rsid w:val="00CE6C81"/>
    <w:rsid w:val="00CE77E0"/>
    <w:rsid w:val="00CE7E7B"/>
    <w:rsid w:val="00CE7EC5"/>
    <w:rsid w:val="00CF0E66"/>
    <w:rsid w:val="00CF29CB"/>
    <w:rsid w:val="00CF5196"/>
    <w:rsid w:val="00CF615E"/>
    <w:rsid w:val="00CF6F99"/>
    <w:rsid w:val="00CF7AC0"/>
    <w:rsid w:val="00D01063"/>
    <w:rsid w:val="00D01921"/>
    <w:rsid w:val="00D019E8"/>
    <w:rsid w:val="00D02A2F"/>
    <w:rsid w:val="00D0334F"/>
    <w:rsid w:val="00D05F54"/>
    <w:rsid w:val="00D10160"/>
    <w:rsid w:val="00D1045D"/>
    <w:rsid w:val="00D111C1"/>
    <w:rsid w:val="00D116AA"/>
    <w:rsid w:val="00D11DAF"/>
    <w:rsid w:val="00D13C37"/>
    <w:rsid w:val="00D1424C"/>
    <w:rsid w:val="00D1477F"/>
    <w:rsid w:val="00D150CD"/>
    <w:rsid w:val="00D15292"/>
    <w:rsid w:val="00D157AF"/>
    <w:rsid w:val="00D15803"/>
    <w:rsid w:val="00D17601"/>
    <w:rsid w:val="00D201D5"/>
    <w:rsid w:val="00D22EE6"/>
    <w:rsid w:val="00D237A0"/>
    <w:rsid w:val="00D245FD"/>
    <w:rsid w:val="00D263C0"/>
    <w:rsid w:val="00D27A67"/>
    <w:rsid w:val="00D27B4C"/>
    <w:rsid w:val="00D30553"/>
    <w:rsid w:val="00D31088"/>
    <w:rsid w:val="00D35734"/>
    <w:rsid w:val="00D37223"/>
    <w:rsid w:val="00D405C4"/>
    <w:rsid w:val="00D40869"/>
    <w:rsid w:val="00D40D4C"/>
    <w:rsid w:val="00D421E8"/>
    <w:rsid w:val="00D4257F"/>
    <w:rsid w:val="00D437FB"/>
    <w:rsid w:val="00D44222"/>
    <w:rsid w:val="00D4444A"/>
    <w:rsid w:val="00D44A82"/>
    <w:rsid w:val="00D44AB1"/>
    <w:rsid w:val="00D462D3"/>
    <w:rsid w:val="00D463C3"/>
    <w:rsid w:val="00D469D9"/>
    <w:rsid w:val="00D47A61"/>
    <w:rsid w:val="00D5116A"/>
    <w:rsid w:val="00D51341"/>
    <w:rsid w:val="00D52696"/>
    <w:rsid w:val="00D52978"/>
    <w:rsid w:val="00D53201"/>
    <w:rsid w:val="00D54CA3"/>
    <w:rsid w:val="00D57F4A"/>
    <w:rsid w:val="00D61D69"/>
    <w:rsid w:val="00D6250A"/>
    <w:rsid w:val="00D63237"/>
    <w:rsid w:val="00D66488"/>
    <w:rsid w:val="00D712CB"/>
    <w:rsid w:val="00D728C0"/>
    <w:rsid w:val="00D750F9"/>
    <w:rsid w:val="00D7704F"/>
    <w:rsid w:val="00D77EC7"/>
    <w:rsid w:val="00D80A24"/>
    <w:rsid w:val="00D81BBF"/>
    <w:rsid w:val="00D8225E"/>
    <w:rsid w:val="00D82D2F"/>
    <w:rsid w:val="00D83F4B"/>
    <w:rsid w:val="00D84F90"/>
    <w:rsid w:val="00D8530D"/>
    <w:rsid w:val="00D8559B"/>
    <w:rsid w:val="00D858D3"/>
    <w:rsid w:val="00D90343"/>
    <w:rsid w:val="00D94957"/>
    <w:rsid w:val="00D95396"/>
    <w:rsid w:val="00D96FBC"/>
    <w:rsid w:val="00DA0752"/>
    <w:rsid w:val="00DA1288"/>
    <w:rsid w:val="00DA12D2"/>
    <w:rsid w:val="00DA170F"/>
    <w:rsid w:val="00DA19DC"/>
    <w:rsid w:val="00DA29C6"/>
    <w:rsid w:val="00DA3537"/>
    <w:rsid w:val="00DA3621"/>
    <w:rsid w:val="00DA5D2D"/>
    <w:rsid w:val="00DA63D8"/>
    <w:rsid w:val="00DA707C"/>
    <w:rsid w:val="00DA7460"/>
    <w:rsid w:val="00DB02C4"/>
    <w:rsid w:val="00DB0A0D"/>
    <w:rsid w:val="00DB14AF"/>
    <w:rsid w:val="00DB23AC"/>
    <w:rsid w:val="00DB2E0E"/>
    <w:rsid w:val="00DB3411"/>
    <w:rsid w:val="00DB4CC1"/>
    <w:rsid w:val="00DB51E1"/>
    <w:rsid w:val="00DB6183"/>
    <w:rsid w:val="00DB718D"/>
    <w:rsid w:val="00DC1653"/>
    <w:rsid w:val="00DC3486"/>
    <w:rsid w:val="00DC5088"/>
    <w:rsid w:val="00DC560E"/>
    <w:rsid w:val="00DC5BF2"/>
    <w:rsid w:val="00DC5C6D"/>
    <w:rsid w:val="00DC638A"/>
    <w:rsid w:val="00DC7249"/>
    <w:rsid w:val="00DC7A4D"/>
    <w:rsid w:val="00DD4BDC"/>
    <w:rsid w:val="00DD5F65"/>
    <w:rsid w:val="00DD61D6"/>
    <w:rsid w:val="00DD65E5"/>
    <w:rsid w:val="00DD660E"/>
    <w:rsid w:val="00DD7A36"/>
    <w:rsid w:val="00DD7B3A"/>
    <w:rsid w:val="00DD7FE7"/>
    <w:rsid w:val="00DE1FAF"/>
    <w:rsid w:val="00DE2B5C"/>
    <w:rsid w:val="00DE2CC7"/>
    <w:rsid w:val="00DE2D65"/>
    <w:rsid w:val="00DE3EAF"/>
    <w:rsid w:val="00DE436A"/>
    <w:rsid w:val="00DE5153"/>
    <w:rsid w:val="00DE5D5A"/>
    <w:rsid w:val="00DE6559"/>
    <w:rsid w:val="00DE6F1D"/>
    <w:rsid w:val="00DF1609"/>
    <w:rsid w:val="00DF21AC"/>
    <w:rsid w:val="00DF3250"/>
    <w:rsid w:val="00DF7FE0"/>
    <w:rsid w:val="00E00D0A"/>
    <w:rsid w:val="00E011FF"/>
    <w:rsid w:val="00E02B15"/>
    <w:rsid w:val="00E03289"/>
    <w:rsid w:val="00E05282"/>
    <w:rsid w:val="00E072D7"/>
    <w:rsid w:val="00E07B79"/>
    <w:rsid w:val="00E07C2C"/>
    <w:rsid w:val="00E111AA"/>
    <w:rsid w:val="00E121B1"/>
    <w:rsid w:val="00E1641F"/>
    <w:rsid w:val="00E16BAC"/>
    <w:rsid w:val="00E16BE9"/>
    <w:rsid w:val="00E20029"/>
    <w:rsid w:val="00E21F9D"/>
    <w:rsid w:val="00E22802"/>
    <w:rsid w:val="00E237B8"/>
    <w:rsid w:val="00E243C6"/>
    <w:rsid w:val="00E24A88"/>
    <w:rsid w:val="00E268F4"/>
    <w:rsid w:val="00E30544"/>
    <w:rsid w:val="00E32DE1"/>
    <w:rsid w:val="00E3353D"/>
    <w:rsid w:val="00E339DA"/>
    <w:rsid w:val="00E354A7"/>
    <w:rsid w:val="00E35BB7"/>
    <w:rsid w:val="00E36306"/>
    <w:rsid w:val="00E41ECF"/>
    <w:rsid w:val="00E420BF"/>
    <w:rsid w:val="00E42372"/>
    <w:rsid w:val="00E4641B"/>
    <w:rsid w:val="00E46B0C"/>
    <w:rsid w:val="00E479EA"/>
    <w:rsid w:val="00E50322"/>
    <w:rsid w:val="00E51000"/>
    <w:rsid w:val="00E51357"/>
    <w:rsid w:val="00E5176E"/>
    <w:rsid w:val="00E532FC"/>
    <w:rsid w:val="00E54DAD"/>
    <w:rsid w:val="00E55CEA"/>
    <w:rsid w:val="00E57258"/>
    <w:rsid w:val="00E6124A"/>
    <w:rsid w:val="00E632CC"/>
    <w:rsid w:val="00E63322"/>
    <w:rsid w:val="00E6349C"/>
    <w:rsid w:val="00E66609"/>
    <w:rsid w:val="00E66CF5"/>
    <w:rsid w:val="00E67350"/>
    <w:rsid w:val="00E706BC"/>
    <w:rsid w:val="00E71445"/>
    <w:rsid w:val="00E7175E"/>
    <w:rsid w:val="00E71FB8"/>
    <w:rsid w:val="00E729C1"/>
    <w:rsid w:val="00E73117"/>
    <w:rsid w:val="00E73A63"/>
    <w:rsid w:val="00E73CA5"/>
    <w:rsid w:val="00E74394"/>
    <w:rsid w:val="00E748E9"/>
    <w:rsid w:val="00E74BDF"/>
    <w:rsid w:val="00E7509A"/>
    <w:rsid w:val="00E753DA"/>
    <w:rsid w:val="00E75537"/>
    <w:rsid w:val="00E769E9"/>
    <w:rsid w:val="00E776AC"/>
    <w:rsid w:val="00E8045D"/>
    <w:rsid w:val="00E8084C"/>
    <w:rsid w:val="00E80D52"/>
    <w:rsid w:val="00E812B4"/>
    <w:rsid w:val="00E82185"/>
    <w:rsid w:val="00E82D21"/>
    <w:rsid w:val="00E82DB4"/>
    <w:rsid w:val="00E835BF"/>
    <w:rsid w:val="00E83AF2"/>
    <w:rsid w:val="00E84B15"/>
    <w:rsid w:val="00E85884"/>
    <w:rsid w:val="00E86C3C"/>
    <w:rsid w:val="00E87090"/>
    <w:rsid w:val="00E91B7B"/>
    <w:rsid w:val="00E951CB"/>
    <w:rsid w:val="00E9544C"/>
    <w:rsid w:val="00E9545E"/>
    <w:rsid w:val="00E963B0"/>
    <w:rsid w:val="00E97D63"/>
    <w:rsid w:val="00EA0457"/>
    <w:rsid w:val="00EA05A7"/>
    <w:rsid w:val="00EA06BA"/>
    <w:rsid w:val="00EA0BE1"/>
    <w:rsid w:val="00EA2FA4"/>
    <w:rsid w:val="00EA3057"/>
    <w:rsid w:val="00EA3B53"/>
    <w:rsid w:val="00EA5426"/>
    <w:rsid w:val="00EA5889"/>
    <w:rsid w:val="00EA5F6D"/>
    <w:rsid w:val="00EB09FE"/>
    <w:rsid w:val="00EB0C5C"/>
    <w:rsid w:val="00EB0CC0"/>
    <w:rsid w:val="00EB2D4B"/>
    <w:rsid w:val="00EB3A12"/>
    <w:rsid w:val="00EB3A43"/>
    <w:rsid w:val="00EB4137"/>
    <w:rsid w:val="00EB43A2"/>
    <w:rsid w:val="00EB569A"/>
    <w:rsid w:val="00EB6E72"/>
    <w:rsid w:val="00EB72EC"/>
    <w:rsid w:val="00EB7707"/>
    <w:rsid w:val="00EC129E"/>
    <w:rsid w:val="00EC391E"/>
    <w:rsid w:val="00EC48BE"/>
    <w:rsid w:val="00EC4DC1"/>
    <w:rsid w:val="00EC504A"/>
    <w:rsid w:val="00EC6CCB"/>
    <w:rsid w:val="00EC70ED"/>
    <w:rsid w:val="00EC7232"/>
    <w:rsid w:val="00ED2895"/>
    <w:rsid w:val="00ED4796"/>
    <w:rsid w:val="00ED5E9A"/>
    <w:rsid w:val="00ED613B"/>
    <w:rsid w:val="00ED734B"/>
    <w:rsid w:val="00ED73CF"/>
    <w:rsid w:val="00ED7563"/>
    <w:rsid w:val="00ED7E97"/>
    <w:rsid w:val="00EE1734"/>
    <w:rsid w:val="00EE1879"/>
    <w:rsid w:val="00EE27C8"/>
    <w:rsid w:val="00EE3125"/>
    <w:rsid w:val="00EE42C0"/>
    <w:rsid w:val="00EE53F9"/>
    <w:rsid w:val="00EE5C13"/>
    <w:rsid w:val="00EE663C"/>
    <w:rsid w:val="00EE6A8A"/>
    <w:rsid w:val="00EF05CE"/>
    <w:rsid w:val="00EF07D8"/>
    <w:rsid w:val="00EF11B0"/>
    <w:rsid w:val="00EF3244"/>
    <w:rsid w:val="00EF4AC5"/>
    <w:rsid w:val="00F003C6"/>
    <w:rsid w:val="00F01B0B"/>
    <w:rsid w:val="00F01B9A"/>
    <w:rsid w:val="00F02E99"/>
    <w:rsid w:val="00F032B8"/>
    <w:rsid w:val="00F03705"/>
    <w:rsid w:val="00F04D4D"/>
    <w:rsid w:val="00F04DDB"/>
    <w:rsid w:val="00F05850"/>
    <w:rsid w:val="00F063A4"/>
    <w:rsid w:val="00F071E0"/>
    <w:rsid w:val="00F10555"/>
    <w:rsid w:val="00F10CBF"/>
    <w:rsid w:val="00F11AFB"/>
    <w:rsid w:val="00F13965"/>
    <w:rsid w:val="00F14836"/>
    <w:rsid w:val="00F149CA"/>
    <w:rsid w:val="00F14A5D"/>
    <w:rsid w:val="00F1597E"/>
    <w:rsid w:val="00F15CCE"/>
    <w:rsid w:val="00F16CEC"/>
    <w:rsid w:val="00F172C8"/>
    <w:rsid w:val="00F17CEC"/>
    <w:rsid w:val="00F2015A"/>
    <w:rsid w:val="00F20305"/>
    <w:rsid w:val="00F20823"/>
    <w:rsid w:val="00F208AF"/>
    <w:rsid w:val="00F21A77"/>
    <w:rsid w:val="00F21C98"/>
    <w:rsid w:val="00F24E24"/>
    <w:rsid w:val="00F25274"/>
    <w:rsid w:val="00F25534"/>
    <w:rsid w:val="00F26F69"/>
    <w:rsid w:val="00F3150E"/>
    <w:rsid w:val="00F31BCB"/>
    <w:rsid w:val="00F32193"/>
    <w:rsid w:val="00F323CE"/>
    <w:rsid w:val="00F33571"/>
    <w:rsid w:val="00F35042"/>
    <w:rsid w:val="00F35CF6"/>
    <w:rsid w:val="00F37178"/>
    <w:rsid w:val="00F40A16"/>
    <w:rsid w:val="00F412F9"/>
    <w:rsid w:val="00F42D80"/>
    <w:rsid w:val="00F5458F"/>
    <w:rsid w:val="00F56A7C"/>
    <w:rsid w:val="00F56C57"/>
    <w:rsid w:val="00F573A2"/>
    <w:rsid w:val="00F60F2E"/>
    <w:rsid w:val="00F6212A"/>
    <w:rsid w:val="00F621EF"/>
    <w:rsid w:val="00F65AE1"/>
    <w:rsid w:val="00F65C0B"/>
    <w:rsid w:val="00F66662"/>
    <w:rsid w:val="00F67321"/>
    <w:rsid w:val="00F7010B"/>
    <w:rsid w:val="00F70BC8"/>
    <w:rsid w:val="00F720C0"/>
    <w:rsid w:val="00F73FFC"/>
    <w:rsid w:val="00F74277"/>
    <w:rsid w:val="00F74436"/>
    <w:rsid w:val="00F80AD3"/>
    <w:rsid w:val="00F83227"/>
    <w:rsid w:val="00F8399E"/>
    <w:rsid w:val="00F83B58"/>
    <w:rsid w:val="00F8439B"/>
    <w:rsid w:val="00F85659"/>
    <w:rsid w:val="00F92291"/>
    <w:rsid w:val="00F92296"/>
    <w:rsid w:val="00F9255C"/>
    <w:rsid w:val="00F93C8C"/>
    <w:rsid w:val="00F95130"/>
    <w:rsid w:val="00F95890"/>
    <w:rsid w:val="00F97CE6"/>
    <w:rsid w:val="00FA12F5"/>
    <w:rsid w:val="00FA12F8"/>
    <w:rsid w:val="00FA2082"/>
    <w:rsid w:val="00FA25D1"/>
    <w:rsid w:val="00FA5ACB"/>
    <w:rsid w:val="00FA5FD1"/>
    <w:rsid w:val="00FA6005"/>
    <w:rsid w:val="00FA6C88"/>
    <w:rsid w:val="00FA6F33"/>
    <w:rsid w:val="00FB003D"/>
    <w:rsid w:val="00FB26C4"/>
    <w:rsid w:val="00FB3102"/>
    <w:rsid w:val="00FB311B"/>
    <w:rsid w:val="00FB3A61"/>
    <w:rsid w:val="00FB41D2"/>
    <w:rsid w:val="00FB4998"/>
    <w:rsid w:val="00FB544C"/>
    <w:rsid w:val="00FB5E3E"/>
    <w:rsid w:val="00FB7592"/>
    <w:rsid w:val="00FC140A"/>
    <w:rsid w:val="00FC19AB"/>
    <w:rsid w:val="00FC263C"/>
    <w:rsid w:val="00FC524D"/>
    <w:rsid w:val="00FC54FE"/>
    <w:rsid w:val="00FC6912"/>
    <w:rsid w:val="00FC7209"/>
    <w:rsid w:val="00FD14F0"/>
    <w:rsid w:val="00FD29B5"/>
    <w:rsid w:val="00FD5274"/>
    <w:rsid w:val="00FD60CC"/>
    <w:rsid w:val="00FD6975"/>
    <w:rsid w:val="00FD6A3F"/>
    <w:rsid w:val="00FD7EC8"/>
    <w:rsid w:val="00FE09F8"/>
    <w:rsid w:val="00FE0B59"/>
    <w:rsid w:val="00FE105F"/>
    <w:rsid w:val="00FE2A61"/>
    <w:rsid w:val="00FE3C56"/>
    <w:rsid w:val="00FE5A51"/>
    <w:rsid w:val="00FE6E83"/>
    <w:rsid w:val="00FE6E8C"/>
    <w:rsid w:val="00FF08F2"/>
    <w:rsid w:val="00FF5F5B"/>
    <w:rsid w:val="00FF68FA"/>
    <w:rsid w:val="00FF6F1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4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1000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10000"/>
    <w:rPr>
      <w:rFonts w:cs="Times New Roman"/>
      <w:sz w:val="18"/>
      <w:szCs w:val="18"/>
    </w:rPr>
  </w:style>
  <w:style w:type="paragraph" w:styleId="Footer">
    <w:name w:val="footer"/>
    <w:basedOn w:val="Normal"/>
    <w:link w:val="FooterChar"/>
    <w:uiPriority w:val="99"/>
    <w:rsid w:val="00B1000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10000"/>
    <w:rPr>
      <w:rFonts w:cs="Times New Roman"/>
      <w:sz w:val="18"/>
      <w:szCs w:val="18"/>
    </w:rPr>
  </w:style>
  <w:style w:type="paragraph" w:customStyle="1" w:styleId="a">
    <w:name w:val="页眉报告名称"/>
    <w:link w:val="Char"/>
    <w:autoRedefine/>
    <w:uiPriority w:val="99"/>
    <w:rsid w:val="00B10000"/>
    <w:pPr>
      <w:spacing w:afterLines="100" w:line="240" w:lineRule="exact"/>
      <w:jc w:val="both"/>
    </w:pPr>
    <w:rPr>
      <w:rFonts w:eastAsia="华文新魏"/>
      <w:sz w:val="24"/>
    </w:rPr>
  </w:style>
  <w:style w:type="character" w:customStyle="1" w:styleId="Char">
    <w:name w:val="页眉报告名称 Char"/>
    <w:basedOn w:val="DefaultParagraphFont"/>
    <w:link w:val="a"/>
    <w:uiPriority w:val="99"/>
    <w:locked/>
    <w:rsid w:val="00B10000"/>
    <w:rPr>
      <w:rFonts w:ascii="Calibri" w:eastAsia="华文新魏" w:hAnsi="Calibri" w:cs="Times New Roman"/>
      <w:kern w:val="2"/>
      <w:sz w:val="22"/>
      <w:szCs w:val="22"/>
      <w:lang w:val="en-US" w:eastAsia="zh-CN" w:bidi="ar-SA"/>
    </w:rPr>
  </w:style>
  <w:style w:type="paragraph" w:customStyle="1" w:styleId="a0">
    <w:name w:val="页眉图片"/>
    <w:basedOn w:val="Header"/>
    <w:link w:val="Char0"/>
    <w:uiPriority w:val="99"/>
    <w:rsid w:val="00B10000"/>
    <w:pPr>
      <w:pBdr>
        <w:bottom w:val="none" w:sz="0" w:space="0" w:color="auto"/>
      </w:pBdr>
      <w:tabs>
        <w:tab w:val="clear" w:pos="4153"/>
        <w:tab w:val="clear" w:pos="8306"/>
        <w:tab w:val="right" w:pos="11424"/>
      </w:tabs>
      <w:jc w:val="left"/>
    </w:pPr>
    <w:rPr>
      <w:noProof/>
    </w:rPr>
  </w:style>
  <w:style w:type="character" w:customStyle="1" w:styleId="Char0">
    <w:name w:val="页眉图片 Char"/>
    <w:basedOn w:val="HeaderChar"/>
    <w:link w:val="a0"/>
    <w:uiPriority w:val="99"/>
    <w:locked/>
    <w:rsid w:val="00B10000"/>
    <w:rPr>
      <w:rFonts w:ascii="Calibri" w:eastAsia="宋体" w:hAnsi="Calibri"/>
      <w:noProof/>
    </w:rPr>
  </w:style>
  <w:style w:type="paragraph" w:customStyle="1" w:styleId="a1">
    <w:name w:val="页眉处日期"/>
    <w:basedOn w:val="Normal"/>
    <w:link w:val="Char1"/>
    <w:uiPriority w:val="99"/>
    <w:rsid w:val="00B10000"/>
    <w:pPr>
      <w:tabs>
        <w:tab w:val="right" w:pos="11424"/>
      </w:tabs>
      <w:snapToGrid w:val="0"/>
      <w:jc w:val="left"/>
    </w:pPr>
    <w:rPr>
      <w:rFonts w:ascii="华文隶书" w:eastAsia="华文隶书"/>
      <w:b/>
      <w:sz w:val="24"/>
      <w:szCs w:val="24"/>
    </w:rPr>
  </w:style>
  <w:style w:type="paragraph" w:customStyle="1" w:styleId="a2">
    <w:name w:val="页眉副标题"/>
    <w:basedOn w:val="Normal"/>
    <w:link w:val="Char2"/>
    <w:uiPriority w:val="99"/>
    <w:rsid w:val="00B10000"/>
    <w:pPr>
      <w:tabs>
        <w:tab w:val="right" w:pos="11424"/>
      </w:tabs>
      <w:snapToGrid w:val="0"/>
      <w:jc w:val="left"/>
    </w:pPr>
    <w:rPr>
      <w:rFonts w:ascii="华文隶书" w:eastAsia="华文隶书"/>
      <w:sz w:val="36"/>
      <w:szCs w:val="36"/>
    </w:rPr>
  </w:style>
  <w:style w:type="character" w:customStyle="1" w:styleId="Char1">
    <w:name w:val="页眉处日期 Char"/>
    <w:basedOn w:val="DefaultParagraphFont"/>
    <w:link w:val="a1"/>
    <w:uiPriority w:val="99"/>
    <w:locked/>
    <w:rsid w:val="00B10000"/>
    <w:rPr>
      <w:rFonts w:ascii="华文隶书" w:eastAsia="华文隶书" w:hAnsi="Calibri" w:cs="Times New Roman"/>
      <w:b/>
      <w:sz w:val="24"/>
      <w:szCs w:val="24"/>
    </w:rPr>
  </w:style>
  <w:style w:type="character" w:customStyle="1" w:styleId="Char2">
    <w:name w:val="页眉副标题 Char"/>
    <w:basedOn w:val="DefaultParagraphFont"/>
    <w:link w:val="a2"/>
    <w:uiPriority w:val="99"/>
    <w:locked/>
    <w:rsid w:val="00B10000"/>
    <w:rPr>
      <w:rFonts w:ascii="华文隶书" w:eastAsia="华文隶书" w:hAnsi="Calibri" w:cs="Times New Roman"/>
      <w:sz w:val="36"/>
      <w:szCs w:val="36"/>
    </w:rPr>
  </w:style>
  <w:style w:type="paragraph" w:customStyle="1" w:styleId="a3">
    <w:name w:val="页眉的分析师"/>
    <w:basedOn w:val="Normal"/>
    <w:link w:val="Char3"/>
    <w:uiPriority w:val="99"/>
    <w:rsid w:val="00B10000"/>
    <w:pPr>
      <w:tabs>
        <w:tab w:val="right" w:pos="11424"/>
      </w:tabs>
      <w:snapToGrid w:val="0"/>
      <w:spacing w:line="240" w:lineRule="exact"/>
      <w:jc w:val="right"/>
    </w:pPr>
    <w:rPr>
      <w:rFonts w:ascii="华文新魏" w:eastAsia="华文新魏"/>
      <w:szCs w:val="21"/>
    </w:rPr>
  </w:style>
  <w:style w:type="character" w:customStyle="1" w:styleId="Char3">
    <w:name w:val="页眉的分析师 Char"/>
    <w:basedOn w:val="DefaultParagraphFont"/>
    <w:link w:val="a3"/>
    <w:uiPriority w:val="99"/>
    <w:locked/>
    <w:rsid w:val="00B10000"/>
    <w:rPr>
      <w:rFonts w:ascii="华文新魏" w:eastAsia="华文新魏" w:hAnsi="Calibri" w:cs="Times New Roman"/>
      <w:sz w:val="21"/>
      <w:szCs w:val="21"/>
    </w:rPr>
  </w:style>
  <w:style w:type="paragraph" w:customStyle="1" w:styleId="12">
    <w:name w:val="页眉12"/>
    <w:basedOn w:val="Header"/>
    <w:link w:val="12Char"/>
    <w:uiPriority w:val="99"/>
    <w:rsid w:val="00B10000"/>
    <w:pPr>
      <w:pBdr>
        <w:bottom w:val="none" w:sz="0" w:space="0" w:color="auto"/>
      </w:pBdr>
      <w:tabs>
        <w:tab w:val="clear" w:pos="4153"/>
        <w:tab w:val="clear" w:pos="8306"/>
        <w:tab w:val="right" w:pos="11424"/>
      </w:tabs>
      <w:jc w:val="left"/>
    </w:pPr>
  </w:style>
  <w:style w:type="character" w:customStyle="1" w:styleId="12Char">
    <w:name w:val="页眉12 Char"/>
    <w:basedOn w:val="HeaderChar"/>
    <w:link w:val="12"/>
    <w:uiPriority w:val="99"/>
    <w:locked/>
    <w:rsid w:val="00B10000"/>
    <w:rPr>
      <w:rFonts w:ascii="Calibri" w:eastAsia="宋体" w:hAnsi="Calibri"/>
    </w:rPr>
  </w:style>
  <w:style w:type="paragraph" w:customStyle="1" w:styleId="2">
    <w:name w:val="页眉副标题2"/>
    <w:basedOn w:val="12"/>
    <w:link w:val="2Char"/>
    <w:uiPriority w:val="99"/>
    <w:rsid w:val="00B10000"/>
    <w:pPr>
      <w:jc w:val="right"/>
    </w:pPr>
    <w:rPr>
      <w:rFonts w:ascii="华文隶书" w:eastAsia="华文隶书"/>
      <w:sz w:val="21"/>
      <w:szCs w:val="21"/>
    </w:rPr>
  </w:style>
  <w:style w:type="character" w:customStyle="1" w:styleId="2Char">
    <w:name w:val="页眉副标题2 Char"/>
    <w:basedOn w:val="12Char"/>
    <w:link w:val="2"/>
    <w:uiPriority w:val="99"/>
    <w:locked/>
    <w:rsid w:val="00B10000"/>
    <w:rPr>
      <w:rFonts w:ascii="华文隶书" w:eastAsia="华文隶书"/>
      <w:sz w:val="21"/>
      <w:szCs w:val="21"/>
    </w:rPr>
  </w:style>
  <w:style w:type="paragraph" w:customStyle="1" w:styleId="a4">
    <w:name w:val="特别声明格式"/>
    <w:basedOn w:val="Normal"/>
    <w:link w:val="Char4"/>
    <w:uiPriority w:val="99"/>
    <w:rsid w:val="00B10000"/>
    <w:pPr>
      <w:spacing w:afterLines="100" w:line="240" w:lineRule="exact"/>
    </w:pPr>
    <w:rPr>
      <w:rFonts w:ascii="华文隶书" w:eastAsia="华文隶书"/>
      <w:sz w:val="28"/>
    </w:rPr>
  </w:style>
  <w:style w:type="character" w:customStyle="1" w:styleId="Char4">
    <w:name w:val="特别声明格式 Char"/>
    <w:basedOn w:val="DefaultParagraphFont"/>
    <w:link w:val="a4"/>
    <w:uiPriority w:val="99"/>
    <w:locked/>
    <w:rsid w:val="00B10000"/>
    <w:rPr>
      <w:rFonts w:ascii="华文隶书" w:eastAsia="华文隶书" w:hAnsi="Calibri" w:cs="Times New Roman"/>
      <w:sz w:val="28"/>
    </w:rPr>
  </w:style>
  <w:style w:type="paragraph" w:styleId="BodyText">
    <w:name w:val="Body Text"/>
    <w:basedOn w:val="Normal"/>
    <w:link w:val="BodyTextChar"/>
    <w:uiPriority w:val="99"/>
    <w:rsid w:val="00B10000"/>
    <w:pPr>
      <w:widowControl/>
      <w:spacing w:after="120" w:line="240" w:lineRule="exact"/>
      <w:ind w:left="3402"/>
    </w:pPr>
    <w:rPr>
      <w:rFonts w:ascii="Arial" w:eastAsia="楷体_GB2312" w:hAnsi="Arial"/>
      <w:color w:val="000000"/>
      <w:kern w:val="0"/>
      <w:szCs w:val="20"/>
      <w:lang w:val="en-GB"/>
    </w:rPr>
  </w:style>
  <w:style w:type="character" w:customStyle="1" w:styleId="BodyTextChar">
    <w:name w:val="Body Text Char"/>
    <w:basedOn w:val="DefaultParagraphFont"/>
    <w:link w:val="BodyText"/>
    <w:uiPriority w:val="99"/>
    <w:locked/>
    <w:rsid w:val="00B10000"/>
    <w:rPr>
      <w:rFonts w:ascii="Arial" w:eastAsia="楷体_GB2312" w:hAnsi="Arial" w:cs="Times New Roman"/>
      <w:color w:val="000000"/>
      <w:kern w:val="0"/>
      <w:sz w:val="20"/>
      <w:szCs w:val="20"/>
      <w:lang w:val="en-GB"/>
    </w:rPr>
  </w:style>
  <w:style w:type="paragraph" w:customStyle="1" w:styleId="FootnoteNoline">
    <w:name w:val="FootnoteNoline"/>
    <w:basedOn w:val="Normal"/>
    <w:next w:val="BodyText"/>
    <w:uiPriority w:val="99"/>
    <w:rsid w:val="008840A4"/>
    <w:pPr>
      <w:widowControl/>
      <w:tabs>
        <w:tab w:val="right" w:pos="10065"/>
      </w:tabs>
      <w:spacing w:before="40" w:after="160"/>
      <w:ind w:left="3402"/>
    </w:pPr>
    <w:rPr>
      <w:rFonts w:ascii="Arial" w:eastAsia="楷体_GB2312" w:hAnsi="Arial" w:cs="Arial"/>
      <w:color w:val="003765"/>
      <w:kern w:val="0"/>
      <w:sz w:val="15"/>
      <w:szCs w:val="14"/>
      <w:lang w:val="en-GB"/>
    </w:rPr>
  </w:style>
  <w:style w:type="paragraph" w:customStyle="1" w:styleId="SubTitleLargeTable">
    <w:name w:val="SubTitleLargeTable"/>
    <w:uiPriority w:val="99"/>
    <w:rsid w:val="008840A4"/>
    <w:pPr>
      <w:keepNext/>
      <w:pBdr>
        <w:top w:val="single" w:sz="6" w:space="1" w:color="666699"/>
      </w:pBdr>
      <w:suppressAutoHyphens/>
      <w:spacing w:after="40" w:line="240" w:lineRule="atLeast"/>
    </w:pPr>
    <w:rPr>
      <w:rFonts w:ascii="Arial" w:eastAsia="楷体_GB2312" w:hAnsi="Arial" w:cs="Arial"/>
      <w:b/>
      <w:bCs/>
      <w:i/>
      <w:iCs/>
      <w:color w:val="003765"/>
      <w:kern w:val="0"/>
      <w:szCs w:val="21"/>
      <w:lang w:val="en-GB"/>
    </w:rPr>
  </w:style>
  <w:style w:type="paragraph" w:styleId="BalloonText">
    <w:name w:val="Balloon Text"/>
    <w:basedOn w:val="Normal"/>
    <w:link w:val="BalloonTextChar"/>
    <w:uiPriority w:val="99"/>
    <w:semiHidden/>
    <w:rsid w:val="008840A4"/>
    <w:rPr>
      <w:sz w:val="18"/>
      <w:szCs w:val="18"/>
    </w:rPr>
  </w:style>
  <w:style w:type="character" w:customStyle="1" w:styleId="BalloonTextChar">
    <w:name w:val="Balloon Text Char"/>
    <w:basedOn w:val="DefaultParagraphFont"/>
    <w:link w:val="BalloonText"/>
    <w:uiPriority w:val="99"/>
    <w:semiHidden/>
    <w:locked/>
    <w:rsid w:val="008840A4"/>
    <w:rPr>
      <w:rFonts w:cs="Times New Roman"/>
      <w:sz w:val="18"/>
      <w:szCs w:val="18"/>
    </w:rPr>
  </w:style>
  <w:style w:type="paragraph" w:customStyle="1" w:styleId="CoverBullet">
    <w:name w:val="Cover Bullet"/>
    <w:uiPriority w:val="99"/>
    <w:rsid w:val="008840A4"/>
    <w:pPr>
      <w:numPr>
        <w:numId w:val="3"/>
      </w:numPr>
      <w:spacing w:before="120" w:after="120"/>
      <w:ind w:left="357" w:hanging="357"/>
    </w:pPr>
    <w:rPr>
      <w:rFonts w:ascii="LucidaSans" w:hAnsi="LucidaSans"/>
      <w:b/>
      <w:bCs/>
      <w:kern w:val="0"/>
      <w:sz w:val="20"/>
      <w:szCs w:val="20"/>
      <w:lang w:val="en-GB"/>
    </w:rPr>
  </w:style>
  <w:style w:type="paragraph" w:styleId="ListParagraph">
    <w:name w:val="List Paragraph"/>
    <w:basedOn w:val="Normal"/>
    <w:uiPriority w:val="99"/>
    <w:qFormat/>
    <w:rsid w:val="002630FB"/>
    <w:pPr>
      <w:ind w:firstLineChars="200" w:firstLine="420"/>
    </w:pPr>
  </w:style>
  <w:style w:type="paragraph" w:customStyle="1" w:styleId="SourceLarge">
    <w:name w:val="SourceLarge"/>
    <w:uiPriority w:val="99"/>
    <w:rsid w:val="00875DC2"/>
    <w:pPr>
      <w:tabs>
        <w:tab w:val="left" w:pos="5216"/>
        <w:tab w:val="right" w:pos="9866"/>
      </w:tabs>
      <w:suppressAutoHyphens/>
      <w:spacing w:line="160" w:lineRule="atLeast"/>
    </w:pPr>
    <w:rPr>
      <w:rFonts w:ascii="LucidaSans" w:hAnsi="LucidaSans"/>
      <w:kern w:val="0"/>
      <w:sz w:val="12"/>
      <w:szCs w:val="12"/>
      <w:lang w:val="en-GB"/>
    </w:rPr>
  </w:style>
  <w:style w:type="paragraph" w:customStyle="1" w:styleId="BulletCoverpage">
    <w:name w:val="Bullet Cover page"/>
    <w:basedOn w:val="Normal"/>
    <w:uiPriority w:val="99"/>
    <w:rsid w:val="00875DC2"/>
    <w:pPr>
      <w:widowControl/>
      <w:numPr>
        <w:numId w:val="4"/>
      </w:numPr>
      <w:suppressAutoHyphens/>
      <w:spacing w:after="200" w:line="240" w:lineRule="atLeast"/>
    </w:pPr>
    <w:rPr>
      <w:rFonts w:ascii="Arial" w:eastAsia="楷体_GB2312" w:hAnsi="Arial"/>
      <w:kern w:val="0"/>
      <w:sz w:val="18"/>
      <w:szCs w:val="20"/>
      <w:lang w:val="en-GB"/>
    </w:rPr>
  </w:style>
  <w:style w:type="character" w:styleId="Hyperlink">
    <w:name w:val="Hyperlink"/>
    <w:basedOn w:val="DefaultParagraphFont"/>
    <w:uiPriority w:val="99"/>
    <w:semiHidden/>
    <w:rsid w:val="008A7FEE"/>
    <w:rPr>
      <w:rFonts w:cs="Times New Roman"/>
      <w:color w:val="000000"/>
      <w:u w:val="none"/>
      <w:effect w:val="none"/>
    </w:rPr>
  </w:style>
  <w:style w:type="paragraph" w:styleId="NormalWeb">
    <w:name w:val="Normal (Web)"/>
    <w:basedOn w:val="Normal"/>
    <w:uiPriority w:val="99"/>
    <w:semiHidden/>
    <w:rsid w:val="008A7FEE"/>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73903150">
      <w:marLeft w:val="0"/>
      <w:marRight w:val="0"/>
      <w:marTop w:val="0"/>
      <w:marBottom w:val="0"/>
      <w:divBdr>
        <w:top w:val="none" w:sz="0" w:space="0" w:color="auto"/>
        <w:left w:val="none" w:sz="0" w:space="0" w:color="auto"/>
        <w:bottom w:val="none" w:sz="0" w:space="0" w:color="auto"/>
        <w:right w:val="none" w:sz="0" w:space="0" w:color="auto"/>
      </w:divBdr>
      <w:divsChild>
        <w:div w:id="1273903154">
          <w:marLeft w:val="0"/>
          <w:marRight w:val="0"/>
          <w:marTop w:val="0"/>
          <w:marBottom w:val="0"/>
          <w:divBdr>
            <w:top w:val="none" w:sz="0" w:space="0" w:color="auto"/>
            <w:left w:val="none" w:sz="0" w:space="0" w:color="auto"/>
            <w:bottom w:val="none" w:sz="0" w:space="0" w:color="auto"/>
            <w:right w:val="none" w:sz="0" w:space="0" w:color="auto"/>
          </w:divBdr>
          <w:divsChild>
            <w:div w:id="1273903237">
              <w:marLeft w:val="0"/>
              <w:marRight w:val="0"/>
              <w:marTop w:val="0"/>
              <w:marBottom w:val="0"/>
              <w:divBdr>
                <w:top w:val="none" w:sz="0" w:space="0" w:color="auto"/>
                <w:left w:val="none" w:sz="0" w:space="0" w:color="auto"/>
                <w:bottom w:val="none" w:sz="0" w:space="0" w:color="auto"/>
                <w:right w:val="none" w:sz="0" w:space="0" w:color="auto"/>
              </w:divBdr>
              <w:divsChild>
                <w:div w:id="1273903293">
                  <w:marLeft w:val="0"/>
                  <w:marRight w:val="0"/>
                  <w:marTop w:val="0"/>
                  <w:marBottom w:val="0"/>
                  <w:divBdr>
                    <w:top w:val="single" w:sz="18" w:space="0" w:color="08237A"/>
                    <w:left w:val="none" w:sz="0" w:space="0" w:color="auto"/>
                    <w:bottom w:val="none" w:sz="0" w:space="0" w:color="auto"/>
                    <w:right w:val="none" w:sz="0" w:space="0" w:color="auto"/>
                  </w:divBdr>
                  <w:divsChild>
                    <w:div w:id="1273903296">
                      <w:marLeft w:val="0"/>
                      <w:marRight w:val="0"/>
                      <w:marTop w:val="0"/>
                      <w:marBottom w:val="0"/>
                      <w:divBdr>
                        <w:top w:val="single" w:sz="2" w:space="8" w:color="BBBBBB"/>
                        <w:left w:val="single" w:sz="6" w:space="0" w:color="BBBBBB"/>
                        <w:bottom w:val="single" w:sz="6" w:space="0" w:color="BBBBBB"/>
                        <w:right w:val="single" w:sz="6" w:space="0" w:color="BBBBBB"/>
                      </w:divBdr>
                      <w:divsChild>
                        <w:div w:id="1273903259">
                          <w:marLeft w:val="0"/>
                          <w:marRight w:val="0"/>
                          <w:marTop w:val="0"/>
                          <w:marBottom w:val="0"/>
                          <w:divBdr>
                            <w:top w:val="none" w:sz="0" w:space="0" w:color="auto"/>
                            <w:left w:val="none" w:sz="0" w:space="0" w:color="auto"/>
                            <w:bottom w:val="none" w:sz="0" w:space="0" w:color="auto"/>
                            <w:right w:val="none" w:sz="0" w:space="0" w:color="auto"/>
                          </w:divBdr>
                          <w:divsChild>
                            <w:div w:id="12739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903153">
      <w:marLeft w:val="0"/>
      <w:marRight w:val="0"/>
      <w:marTop w:val="0"/>
      <w:marBottom w:val="0"/>
      <w:divBdr>
        <w:top w:val="none" w:sz="0" w:space="0" w:color="auto"/>
        <w:left w:val="none" w:sz="0" w:space="0" w:color="auto"/>
        <w:bottom w:val="none" w:sz="0" w:space="0" w:color="auto"/>
        <w:right w:val="none" w:sz="0" w:space="0" w:color="auto"/>
      </w:divBdr>
      <w:divsChild>
        <w:div w:id="1273903145">
          <w:marLeft w:val="0"/>
          <w:marRight w:val="0"/>
          <w:marTop w:val="0"/>
          <w:marBottom w:val="0"/>
          <w:divBdr>
            <w:top w:val="none" w:sz="0" w:space="0" w:color="auto"/>
            <w:left w:val="none" w:sz="0" w:space="0" w:color="auto"/>
            <w:bottom w:val="none" w:sz="0" w:space="0" w:color="auto"/>
            <w:right w:val="none" w:sz="0" w:space="0" w:color="auto"/>
          </w:divBdr>
          <w:divsChild>
            <w:div w:id="1273903301">
              <w:marLeft w:val="0"/>
              <w:marRight w:val="0"/>
              <w:marTop w:val="0"/>
              <w:marBottom w:val="0"/>
              <w:divBdr>
                <w:top w:val="none" w:sz="0" w:space="0" w:color="auto"/>
                <w:left w:val="none" w:sz="0" w:space="0" w:color="auto"/>
                <w:bottom w:val="none" w:sz="0" w:space="0" w:color="auto"/>
                <w:right w:val="none" w:sz="0" w:space="0" w:color="auto"/>
              </w:divBdr>
              <w:divsChild>
                <w:div w:id="1273903170">
                  <w:marLeft w:val="0"/>
                  <w:marRight w:val="0"/>
                  <w:marTop w:val="0"/>
                  <w:marBottom w:val="0"/>
                  <w:divBdr>
                    <w:top w:val="none" w:sz="0" w:space="0" w:color="auto"/>
                    <w:left w:val="none" w:sz="0" w:space="0" w:color="auto"/>
                    <w:bottom w:val="none" w:sz="0" w:space="0" w:color="auto"/>
                    <w:right w:val="none" w:sz="0" w:space="0" w:color="auto"/>
                  </w:divBdr>
                  <w:divsChild>
                    <w:div w:id="12739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03159">
      <w:marLeft w:val="0"/>
      <w:marRight w:val="0"/>
      <w:marTop w:val="0"/>
      <w:marBottom w:val="0"/>
      <w:divBdr>
        <w:top w:val="none" w:sz="0" w:space="0" w:color="auto"/>
        <w:left w:val="none" w:sz="0" w:space="0" w:color="auto"/>
        <w:bottom w:val="none" w:sz="0" w:space="0" w:color="auto"/>
        <w:right w:val="none" w:sz="0" w:space="0" w:color="auto"/>
      </w:divBdr>
      <w:divsChild>
        <w:div w:id="1273903149">
          <w:marLeft w:val="0"/>
          <w:marRight w:val="0"/>
          <w:marTop w:val="0"/>
          <w:marBottom w:val="0"/>
          <w:divBdr>
            <w:top w:val="none" w:sz="0" w:space="0" w:color="auto"/>
            <w:left w:val="none" w:sz="0" w:space="0" w:color="auto"/>
            <w:bottom w:val="none" w:sz="0" w:space="0" w:color="auto"/>
            <w:right w:val="none" w:sz="0" w:space="0" w:color="auto"/>
          </w:divBdr>
        </w:div>
      </w:divsChild>
    </w:div>
    <w:div w:id="1273903161">
      <w:marLeft w:val="0"/>
      <w:marRight w:val="0"/>
      <w:marTop w:val="0"/>
      <w:marBottom w:val="0"/>
      <w:divBdr>
        <w:top w:val="none" w:sz="0" w:space="0" w:color="auto"/>
        <w:left w:val="none" w:sz="0" w:space="0" w:color="auto"/>
        <w:bottom w:val="none" w:sz="0" w:space="0" w:color="auto"/>
        <w:right w:val="none" w:sz="0" w:space="0" w:color="auto"/>
      </w:divBdr>
      <w:divsChild>
        <w:div w:id="1273903152">
          <w:marLeft w:val="0"/>
          <w:marRight w:val="0"/>
          <w:marTop w:val="0"/>
          <w:marBottom w:val="0"/>
          <w:divBdr>
            <w:top w:val="none" w:sz="0" w:space="0" w:color="auto"/>
            <w:left w:val="none" w:sz="0" w:space="0" w:color="auto"/>
            <w:bottom w:val="none" w:sz="0" w:space="0" w:color="auto"/>
            <w:right w:val="none" w:sz="0" w:space="0" w:color="auto"/>
          </w:divBdr>
          <w:divsChild>
            <w:div w:id="1273903148">
              <w:marLeft w:val="0"/>
              <w:marRight w:val="0"/>
              <w:marTop w:val="0"/>
              <w:marBottom w:val="0"/>
              <w:divBdr>
                <w:top w:val="none" w:sz="0" w:space="0" w:color="auto"/>
                <w:left w:val="none" w:sz="0" w:space="0" w:color="auto"/>
                <w:bottom w:val="none" w:sz="0" w:space="0" w:color="auto"/>
                <w:right w:val="none" w:sz="0" w:space="0" w:color="auto"/>
              </w:divBdr>
              <w:divsChild>
                <w:div w:id="1273903285">
                  <w:marLeft w:val="0"/>
                  <w:marRight w:val="0"/>
                  <w:marTop w:val="0"/>
                  <w:marBottom w:val="0"/>
                  <w:divBdr>
                    <w:top w:val="none" w:sz="0" w:space="0" w:color="auto"/>
                    <w:left w:val="none" w:sz="0" w:space="0" w:color="auto"/>
                    <w:bottom w:val="none" w:sz="0" w:space="0" w:color="auto"/>
                    <w:right w:val="none" w:sz="0" w:space="0" w:color="auto"/>
                  </w:divBdr>
                  <w:divsChild>
                    <w:div w:id="12739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03162">
      <w:marLeft w:val="0"/>
      <w:marRight w:val="0"/>
      <w:marTop w:val="0"/>
      <w:marBottom w:val="0"/>
      <w:divBdr>
        <w:top w:val="none" w:sz="0" w:space="0" w:color="auto"/>
        <w:left w:val="none" w:sz="0" w:space="0" w:color="auto"/>
        <w:bottom w:val="none" w:sz="0" w:space="0" w:color="auto"/>
        <w:right w:val="none" w:sz="0" w:space="0" w:color="auto"/>
      </w:divBdr>
      <w:divsChild>
        <w:div w:id="1273903175">
          <w:marLeft w:val="0"/>
          <w:marRight w:val="0"/>
          <w:marTop w:val="0"/>
          <w:marBottom w:val="0"/>
          <w:divBdr>
            <w:top w:val="none" w:sz="0" w:space="0" w:color="auto"/>
            <w:left w:val="none" w:sz="0" w:space="0" w:color="auto"/>
            <w:bottom w:val="none" w:sz="0" w:space="0" w:color="auto"/>
            <w:right w:val="none" w:sz="0" w:space="0" w:color="auto"/>
          </w:divBdr>
          <w:divsChild>
            <w:div w:id="1273903277">
              <w:marLeft w:val="0"/>
              <w:marRight w:val="0"/>
              <w:marTop w:val="0"/>
              <w:marBottom w:val="0"/>
              <w:divBdr>
                <w:top w:val="none" w:sz="0" w:space="0" w:color="auto"/>
                <w:left w:val="none" w:sz="0" w:space="0" w:color="auto"/>
                <w:bottom w:val="none" w:sz="0" w:space="0" w:color="auto"/>
                <w:right w:val="none" w:sz="0" w:space="0" w:color="auto"/>
              </w:divBdr>
              <w:divsChild>
                <w:div w:id="1273903142">
                  <w:marLeft w:val="0"/>
                  <w:marRight w:val="0"/>
                  <w:marTop w:val="0"/>
                  <w:marBottom w:val="0"/>
                  <w:divBdr>
                    <w:top w:val="none" w:sz="0" w:space="0" w:color="auto"/>
                    <w:left w:val="none" w:sz="0" w:space="0" w:color="auto"/>
                    <w:bottom w:val="none" w:sz="0" w:space="0" w:color="auto"/>
                    <w:right w:val="none" w:sz="0" w:space="0" w:color="auto"/>
                  </w:divBdr>
                  <w:divsChild>
                    <w:div w:id="127390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03172">
      <w:marLeft w:val="0"/>
      <w:marRight w:val="0"/>
      <w:marTop w:val="0"/>
      <w:marBottom w:val="0"/>
      <w:divBdr>
        <w:top w:val="none" w:sz="0" w:space="0" w:color="auto"/>
        <w:left w:val="none" w:sz="0" w:space="0" w:color="auto"/>
        <w:bottom w:val="none" w:sz="0" w:space="0" w:color="auto"/>
        <w:right w:val="none" w:sz="0" w:space="0" w:color="auto"/>
      </w:divBdr>
      <w:divsChild>
        <w:div w:id="1273903229">
          <w:marLeft w:val="0"/>
          <w:marRight w:val="0"/>
          <w:marTop w:val="0"/>
          <w:marBottom w:val="0"/>
          <w:divBdr>
            <w:top w:val="none" w:sz="0" w:space="0" w:color="auto"/>
            <w:left w:val="none" w:sz="0" w:space="0" w:color="auto"/>
            <w:bottom w:val="none" w:sz="0" w:space="0" w:color="auto"/>
            <w:right w:val="none" w:sz="0" w:space="0" w:color="auto"/>
          </w:divBdr>
          <w:divsChild>
            <w:div w:id="1273903208">
              <w:marLeft w:val="0"/>
              <w:marRight w:val="0"/>
              <w:marTop w:val="0"/>
              <w:marBottom w:val="0"/>
              <w:divBdr>
                <w:top w:val="none" w:sz="0" w:space="0" w:color="auto"/>
                <w:left w:val="none" w:sz="0" w:space="0" w:color="auto"/>
                <w:bottom w:val="none" w:sz="0" w:space="0" w:color="auto"/>
                <w:right w:val="none" w:sz="0" w:space="0" w:color="auto"/>
              </w:divBdr>
              <w:divsChild>
                <w:div w:id="1273903176">
                  <w:marLeft w:val="0"/>
                  <w:marRight w:val="0"/>
                  <w:marTop w:val="0"/>
                  <w:marBottom w:val="0"/>
                  <w:divBdr>
                    <w:top w:val="none" w:sz="0" w:space="0" w:color="auto"/>
                    <w:left w:val="none" w:sz="0" w:space="0" w:color="auto"/>
                    <w:bottom w:val="none" w:sz="0" w:space="0" w:color="auto"/>
                    <w:right w:val="none" w:sz="0" w:space="0" w:color="auto"/>
                  </w:divBdr>
                  <w:divsChild>
                    <w:div w:id="1273903218">
                      <w:marLeft w:val="0"/>
                      <w:marRight w:val="0"/>
                      <w:marTop w:val="0"/>
                      <w:marBottom w:val="0"/>
                      <w:divBdr>
                        <w:top w:val="none" w:sz="0" w:space="0" w:color="auto"/>
                        <w:left w:val="none" w:sz="0" w:space="0" w:color="auto"/>
                        <w:bottom w:val="none" w:sz="0" w:space="0" w:color="auto"/>
                        <w:right w:val="none" w:sz="0" w:space="0" w:color="auto"/>
                      </w:divBdr>
                      <w:divsChild>
                        <w:div w:id="1273903157">
                          <w:marLeft w:val="0"/>
                          <w:marRight w:val="0"/>
                          <w:marTop w:val="0"/>
                          <w:marBottom w:val="0"/>
                          <w:divBdr>
                            <w:top w:val="none" w:sz="0" w:space="0" w:color="auto"/>
                            <w:left w:val="none" w:sz="0" w:space="0" w:color="auto"/>
                            <w:bottom w:val="none" w:sz="0" w:space="0" w:color="auto"/>
                            <w:right w:val="single" w:sz="4" w:space="0" w:color="E9EAEE"/>
                          </w:divBdr>
                          <w:divsChild>
                            <w:div w:id="127390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903184">
      <w:marLeft w:val="0"/>
      <w:marRight w:val="0"/>
      <w:marTop w:val="0"/>
      <w:marBottom w:val="0"/>
      <w:divBdr>
        <w:top w:val="none" w:sz="0" w:space="0" w:color="auto"/>
        <w:left w:val="none" w:sz="0" w:space="0" w:color="auto"/>
        <w:bottom w:val="none" w:sz="0" w:space="0" w:color="auto"/>
        <w:right w:val="none" w:sz="0" w:space="0" w:color="auto"/>
      </w:divBdr>
      <w:divsChild>
        <w:div w:id="1273903225">
          <w:marLeft w:val="0"/>
          <w:marRight w:val="0"/>
          <w:marTop w:val="0"/>
          <w:marBottom w:val="0"/>
          <w:divBdr>
            <w:top w:val="none" w:sz="0" w:space="0" w:color="auto"/>
            <w:left w:val="none" w:sz="0" w:space="0" w:color="auto"/>
            <w:bottom w:val="none" w:sz="0" w:space="0" w:color="auto"/>
            <w:right w:val="none" w:sz="0" w:space="0" w:color="auto"/>
          </w:divBdr>
        </w:div>
      </w:divsChild>
    </w:div>
    <w:div w:id="1273903187">
      <w:marLeft w:val="0"/>
      <w:marRight w:val="0"/>
      <w:marTop w:val="0"/>
      <w:marBottom w:val="0"/>
      <w:divBdr>
        <w:top w:val="none" w:sz="0" w:space="0" w:color="auto"/>
        <w:left w:val="none" w:sz="0" w:space="0" w:color="auto"/>
        <w:bottom w:val="none" w:sz="0" w:space="0" w:color="auto"/>
        <w:right w:val="none" w:sz="0" w:space="0" w:color="auto"/>
      </w:divBdr>
      <w:divsChild>
        <w:div w:id="1273903271">
          <w:marLeft w:val="0"/>
          <w:marRight w:val="0"/>
          <w:marTop w:val="0"/>
          <w:marBottom w:val="0"/>
          <w:divBdr>
            <w:top w:val="none" w:sz="0" w:space="0" w:color="auto"/>
            <w:left w:val="none" w:sz="0" w:space="0" w:color="auto"/>
            <w:bottom w:val="none" w:sz="0" w:space="0" w:color="auto"/>
            <w:right w:val="none" w:sz="0" w:space="0" w:color="auto"/>
          </w:divBdr>
          <w:divsChild>
            <w:div w:id="1273903164">
              <w:marLeft w:val="0"/>
              <w:marRight w:val="0"/>
              <w:marTop w:val="0"/>
              <w:marBottom w:val="0"/>
              <w:divBdr>
                <w:top w:val="none" w:sz="0" w:space="0" w:color="auto"/>
                <w:left w:val="none" w:sz="0" w:space="0" w:color="auto"/>
                <w:bottom w:val="none" w:sz="0" w:space="0" w:color="auto"/>
                <w:right w:val="none" w:sz="0" w:space="0" w:color="auto"/>
              </w:divBdr>
              <w:divsChild>
                <w:div w:id="1273903193">
                  <w:marLeft w:val="0"/>
                  <w:marRight w:val="0"/>
                  <w:marTop w:val="0"/>
                  <w:marBottom w:val="0"/>
                  <w:divBdr>
                    <w:top w:val="none" w:sz="0" w:space="0" w:color="auto"/>
                    <w:left w:val="none" w:sz="0" w:space="0" w:color="auto"/>
                    <w:bottom w:val="none" w:sz="0" w:space="0" w:color="auto"/>
                    <w:right w:val="none" w:sz="0" w:space="0" w:color="auto"/>
                  </w:divBdr>
                  <w:divsChild>
                    <w:div w:id="1273903180">
                      <w:marLeft w:val="0"/>
                      <w:marRight w:val="0"/>
                      <w:marTop w:val="0"/>
                      <w:marBottom w:val="0"/>
                      <w:divBdr>
                        <w:top w:val="none" w:sz="0" w:space="0" w:color="auto"/>
                        <w:left w:val="none" w:sz="0" w:space="0" w:color="auto"/>
                        <w:bottom w:val="none" w:sz="0" w:space="0" w:color="auto"/>
                        <w:right w:val="none" w:sz="0" w:space="0" w:color="auto"/>
                      </w:divBdr>
                      <w:divsChild>
                        <w:div w:id="1273903197">
                          <w:marLeft w:val="0"/>
                          <w:marRight w:val="0"/>
                          <w:marTop w:val="0"/>
                          <w:marBottom w:val="0"/>
                          <w:divBdr>
                            <w:top w:val="none" w:sz="0" w:space="0" w:color="auto"/>
                            <w:left w:val="none" w:sz="0" w:space="0" w:color="auto"/>
                            <w:bottom w:val="none" w:sz="0" w:space="0" w:color="auto"/>
                            <w:right w:val="none" w:sz="0" w:space="0" w:color="auto"/>
                          </w:divBdr>
                          <w:divsChild>
                            <w:div w:id="1273903146">
                              <w:marLeft w:val="0"/>
                              <w:marRight w:val="0"/>
                              <w:marTop w:val="0"/>
                              <w:marBottom w:val="0"/>
                              <w:divBdr>
                                <w:top w:val="none" w:sz="0" w:space="0" w:color="auto"/>
                                <w:left w:val="none" w:sz="0" w:space="0" w:color="auto"/>
                                <w:bottom w:val="none" w:sz="0" w:space="0" w:color="auto"/>
                                <w:right w:val="none" w:sz="0" w:space="0" w:color="auto"/>
                              </w:divBdr>
                              <w:divsChild>
                                <w:div w:id="127390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903192">
      <w:marLeft w:val="0"/>
      <w:marRight w:val="0"/>
      <w:marTop w:val="0"/>
      <w:marBottom w:val="0"/>
      <w:divBdr>
        <w:top w:val="none" w:sz="0" w:space="0" w:color="auto"/>
        <w:left w:val="none" w:sz="0" w:space="0" w:color="auto"/>
        <w:bottom w:val="none" w:sz="0" w:space="0" w:color="auto"/>
        <w:right w:val="none" w:sz="0" w:space="0" w:color="auto"/>
      </w:divBdr>
      <w:divsChild>
        <w:div w:id="1273903230">
          <w:marLeft w:val="0"/>
          <w:marRight w:val="0"/>
          <w:marTop w:val="0"/>
          <w:marBottom w:val="0"/>
          <w:divBdr>
            <w:top w:val="none" w:sz="0" w:space="0" w:color="auto"/>
            <w:left w:val="none" w:sz="0" w:space="0" w:color="auto"/>
            <w:bottom w:val="none" w:sz="0" w:space="0" w:color="auto"/>
            <w:right w:val="none" w:sz="0" w:space="0" w:color="auto"/>
          </w:divBdr>
        </w:div>
      </w:divsChild>
    </w:div>
    <w:div w:id="1273903221">
      <w:marLeft w:val="0"/>
      <w:marRight w:val="0"/>
      <w:marTop w:val="0"/>
      <w:marBottom w:val="0"/>
      <w:divBdr>
        <w:top w:val="none" w:sz="0" w:space="0" w:color="auto"/>
        <w:left w:val="none" w:sz="0" w:space="0" w:color="auto"/>
        <w:bottom w:val="none" w:sz="0" w:space="0" w:color="auto"/>
        <w:right w:val="none" w:sz="0" w:space="0" w:color="auto"/>
      </w:divBdr>
      <w:divsChild>
        <w:div w:id="1273903292">
          <w:marLeft w:val="0"/>
          <w:marRight w:val="0"/>
          <w:marTop w:val="0"/>
          <w:marBottom w:val="0"/>
          <w:divBdr>
            <w:top w:val="none" w:sz="0" w:space="0" w:color="auto"/>
            <w:left w:val="none" w:sz="0" w:space="0" w:color="auto"/>
            <w:bottom w:val="none" w:sz="0" w:space="0" w:color="auto"/>
            <w:right w:val="none" w:sz="0" w:space="0" w:color="auto"/>
          </w:divBdr>
          <w:divsChild>
            <w:div w:id="1273903256">
              <w:marLeft w:val="0"/>
              <w:marRight w:val="0"/>
              <w:marTop w:val="0"/>
              <w:marBottom w:val="0"/>
              <w:divBdr>
                <w:top w:val="none" w:sz="0" w:space="0" w:color="auto"/>
                <w:left w:val="none" w:sz="0" w:space="0" w:color="auto"/>
                <w:bottom w:val="none" w:sz="0" w:space="0" w:color="auto"/>
                <w:right w:val="none" w:sz="0" w:space="0" w:color="auto"/>
              </w:divBdr>
              <w:divsChild>
                <w:div w:id="1273903177">
                  <w:marLeft w:val="0"/>
                  <w:marRight w:val="0"/>
                  <w:marTop w:val="0"/>
                  <w:marBottom w:val="0"/>
                  <w:divBdr>
                    <w:top w:val="single" w:sz="18" w:space="0" w:color="08237A"/>
                    <w:left w:val="none" w:sz="0" w:space="0" w:color="auto"/>
                    <w:bottom w:val="none" w:sz="0" w:space="0" w:color="auto"/>
                    <w:right w:val="none" w:sz="0" w:space="0" w:color="auto"/>
                  </w:divBdr>
                  <w:divsChild>
                    <w:div w:id="1273903209">
                      <w:marLeft w:val="0"/>
                      <w:marRight w:val="0"/>
                      <w:marTop w:val="0"/>
                      <w:marBottom w:val="0"/>
                      <w:divBdr>
                        <w:top w:val="single" w:sz="2" w:space="8" w:color="BBBBBB"/>
                        <w:left w:val="single" w:sz="6" w:space="0" w:color="BBBBBB"/>
                        <w:bottom w:val="single" w:sz="6" w:space="0" w:color="BBBBBB"/>
                        <w:right w:val="single" w:sz="6" w:space="0" w:color="BBBBBB"/>
                      </w:divBdr>
                      <w:divsChild>
                        <w:div w:id="1273903273">
                          <w:marLeft w:val="0"/>
                          <w:marRight w:val="0"/>
                          <w:marTop w:val="0"/>
                          <w:marBottom w:val="0"/>
                          <w:divBdr>
                            <w:top w:val="none" w:sz="0" w:space="0" w:color="auto"/>
                            <w:left w:val="none" w:sz="0" w:space="0" w:color="auto"/>
                            <w:bottom w:val="none" w:sz="0" w:space="0" w:color="auto"/>
                            <w:right w:val="none" w:sz="0" w:space="0" w:color="auto"/>
                          </w:divBdr>
                          <w:divsChild>
                            <w:div w:id="12739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903233">
      <w:marLeft w:val="0"/>
      <w:marRight w:val="0"/>
      <w:marTop w:val="0"/>
      <w:marBottom w:val="0"/>
      <w:divBdr>
        <w:top w:val="none" w:sz="0" w:space="0" w:color="auto"/>
        <w:left w:val="none" w:sz="0" w:space="0" w:color="auto"/>
        <w:bottom w:val="none" w:sz="0" w:space="0" w:color="auto"/>
        <w:right w:val="none" w:sz="0" w:space="0" w:color="auto"/>
      </w:divBdr>
      <w:divsChild>
        <w:div w:id="1273903205">
          <w:marLeft w:val="0"/>
          <w:marRight w:val="0"/>
          <w:marTop w:val="0"/>
          <w:marBottom w:val="0"/>
          <w:divBdr>
            <w:top w:val="none" w:sz="0" w:space="0" w:color="auto"/>
            <w:left w:val="none" w:sz="0" w:space="0" w:color="auto"/>
            <w:bottom w:val="none" w:sz="0" w:space="0" w:color="auto"/>
            <w:right w:val="none" w:sz="0" w:space="0" w:color="auto"/>
          </w:divBdr>
          <w:divsChild>
            <w:div w:id="1273903298">
              <w:marLeft w:val="0"/>
              <w:marRight w:val="0"/>
              <w:marTop w:val="0"/>
              <w:marBottom w:val="0"/>
              <w:divBdr>
                <w:top w:val="none" w:sz="0" w:space="0" w:color="auto"/>
                <w:left w:val="none" w:sz="0" w:space="0" w:color="auto"/>
                <w:bottom w:val="none" w:sz="0" w:space="0" w:color="auto"/>
                <w:right w:val="none" w:sz="0" w:space="0" w:color="auto"/>
              </w:divBdr>
              <w:divsChild>
                <w:div w:id="1273903198">
                  <w:marLeft w:val="0"/>
                  <w:marRight w:val="0"/>
                  <w:marTop w:val="0"/>
                  <w:marBottom w:val="0"/>
                  <w:divBdr>
                    <w:top w:val="single" w:sz="18" w:space="0" w:color="08237A"/>
                    <w:left w:val="none" w:sz="0" w:space="0" w:color="auto"/>
                    <w:bottom w:val="none" w:sz="0" w:space="0" w:color="auto"/>
                    <w:right w:val="none" w:sz="0" w:space="0" w:color="auto"/>
                  </w:divBdr>
                  <w:divsChild>
                    <w:div w:id="1273903257">
                      <w:marLeft w:val="0"/>
                      <w:marRight w:val="0"/>
                      <w:marTop w:val="0"/>
                      <w:marBottom w:val="0"/>
                      <w:divBdr>
                        <w:top w:val="single" w:sz="2" w:space="8" w:color="BBBBBB"/>
                        <w:left w:val="single" w:sz="6" w:space="0" w:color="BBBBBB"/>
                        <w:bottom w:val="single" w:sz="6" w:space="0" w:color="BBBBBB"/>
                        <w:right w:val="single" w:sz="6" w:space="0" w:color="BBBBBB"/>
                      </w:divBdr>
                      <w:divsChild>
                        <w:div w:id="1273903283">
                          <w:marLeft w:val="0"/>
                          <w:marRight w:val="0"/>
                          <w:marTop w:val="0"/>
                          <w:marBottom w:val="0"/>
                          <w:divBdr>
                            <w:top w:val="none" w:sz="0" w:space="0" w:color="auto"/>
                            <w:left w:val="none" w:sz="0" w:space="0" w:color="auto"/>
                            <w:bottom w:val="none" w:sz="0" w:space="0" w:color="auto"/>
                            <w:right w:val="none" w:sz="0" w:space="0" w:color="auto"/>
                          </w:divBdr>
                          <w:divsChild>
                            <w:div w:id="12739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903234">
      <w:marLeft w:val="0"/>
      <w:marRight w:val="0"/>
      <w:marTop w:val="0"/>
      <w:marBottom w:val="0"/>
      <w:divBdr>
        <w:top w:val="none" w:sz="0" w:space="0" w:color="auto"/>
        <w:left w:val="none" w:sz="0" w:space="0" w:color="auto"/>
        <w:bottom w:val="none" w:sz="0" w:space="0" w:color="auto"/>
        <w:right w:val="none" w:sz="0" w:space="0" w:color="auto"/>
      </w:divBdr>
      <w:divsChild>
        <w:div w:id="1273903167">
          <w:marLeft w:val="0"/>
          <w:marRight w:val="0"/>
          <w:marTop w:val="0"/>
          <w:marBottom w:val="0"/>
          <w:divBdr>
            <w:top w:val="none" w:sz="0" w:space="0" w:color="auto"/>
            <w:left w:val="none" w:sz="0" w:space="0" w:color="auto"/>
            <w:bottom w:val="none" w:sz="0" w:space="0" w:color="auto"/>
            <w:right w:val="none" w:sz="0" w:space="0" w:color="auto"/>
          </w:divBdr>
          <w:divsChild>
            <w:div w:id="1273903307">
              <w:marLeft w:val="0"/>
              <w:marRight w:val="0"/>
              <w:marTop w:val="0"/>
              <w:marBottom w:val="0"/>
              <w:divBdr>
                <w:top w:val="none" w:sz="0" w:space="0" w:color="auto"/>
                <w:left w:val="none" w:sz="0" w:space="0" w:color="auto"/>
                <w:bottom w:val="none" w:sz="0" w:space="0" w:color="auto"/>
                <w:right w:val="none" w:sz="0" w:space="0" w:color="auto"/>
              </w:divBdr>
              <w:divsChild>
                <w:div w:id="1273903268">
                  <w:marLeft w:val="0"/>
                  <w:marRight w:val="0"/>
                  <w:marTop w:val="0"/>
                  <w:marBottom w:val="0"/>
                  <w:divBdr>
                    <w:top w:val="none" w:sz="0" w:space="0" w:color="auto"/>
                    <w:left w:val="none" w:sz="0" w:space="0" w:color="auto"/>
                    <w:bottom w:val="none" w:sz="0" w:space="0" w:color="auto"/>
                    <w:right w:val="none" w:sz="0" w:space="0" w:color="auto"/>
                  </w:divBdr>
                  <w:divsChild>
                    <w:div w:id="12739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03239">
      <w:marLeft w:val="0"/>
      <w:marRight w:val="0"/>
      <w:marTop w:val="0"/>
      <w:marBottom w:val="0"/>
      <w:divBdr>
        <w:top w:val="none" w:sz="0" w:space="0" w:color="auto"/>
        <w:left w:val="none" w:sz="0" w:space="0" w:color="auto"/>
        <w:bottom w:val="none" w:sz="0" w:space="0" w:color="auto"/>
        <w:right w:val="none" w:sz="0" w:space="0" w:color="auto"/>
      </w:divBdr>
      <w:divsChild>
        <w:div w:id="1273903155">
          <w:marLeft w:val="0"/>
          <w:marRight w:val="0"/>
          <w:marTop w:val="0"/>
          <w:marBottom w:val="0"/>
          <w:divBdr>
            <w:top w:val="none" w:sz="0" w:space="0" w:color="auto"/>
            <w:left w:val="none" w:sz="0" w:space="0" w:color="auto"/>
            <w:bottom w:val="none" w:sz="0" w:space="0" w:color="auto"/>
            <w:right w:val="none" w:sz="0" w:space="0" w:color="auto"/>
          </w:divBdr>
          <w:divsChild>
            <w:div w:id="1273903160">
              <w:marLeft w:val="0"/>
              <w:marRight w:val="0"/>
              <w:marTop w:val="0"/>
              <w:marBottom w:val="0"/>
              <w:divBdr>
                <w:top w:val="none" w:sz="0" w:space="0" w:color="auto"/>
                <w:left w:val="none" w:sz="0" w:space="0" w:color="auto"/>
                <w:bottom w:val="none" w:sz="0" w:space="0" w:color="auto"/>
                <w:right w:val="none" w:sz="0" w:space="0" w:color="auto"/>
              </w:divBdr>
              <w:divsChild>
                <w:div w:id="1273903140">
                  <w:marLeft w:val="0"/>
                  <w:marRight w:val="0"/>
                  <w:marTop w:val="0"/>
                  <w:marBottom w:val="0"/>
                  <w:divBdr>
                    <w:top w:val="single" w:sz="18" w:space="0" w:color="08237A"/>
                    <w:left w:val="none" w:sz="0" w:space="0" w:color="auto"/>
                    <w:bottom w:val="none" w:sz="0" w:space="0" w:color="auto"/>
                    <w:right w:val="none" w:sz="0" w:space="0" w:color="auto"/>
                  </w:divBdr>
                  <w:divsChild>
                    <w:div w:id="1273903219">
                      <w:marLeft w:val="0"/>
                      <w:marRight w:val="0"/>
                      <w:marTop w:val="0"/>
                      <w:marBottom w:val="0"/>
                      <w:divBdr>
                        <w:top w:val="single" w:sz="2" w:space="8" w:color="BBBBBB"/>
                        <w:left w:val="single" w:sz="6" w:space="0" w:color="BBBBBB"/>
                        <w:bottom w:val="single" w:sz="6" w:space="0" w:color="BBBBBB"/>
                        <w:right w:val="single" w:sz="6" w:space="0" w:color="BBBBBB"/>
                      </w:divBdr>
                      <w:divsChild>
                        <w:div w:id="1273903211">
                          <w:marLeft w:val="0"/>
                          <w:marRight w:val="0"/>
                          <w:marTop w:val="0"/>
                          <w:marBottom w:val="0"/>
                          <w:divBdr>
                            <w:top w:val="none" w:sz="0" w:space="0" w:color="auto"/>
                            <w:left w:val="none" w:sz="0" w:space="0" w:color="auto"/>
                            <w:bottom w:val="none" w:sz="0" w:space="0" w:color="auto"/>
                            <w:right w:val="none" w:sz="0" w:space="0" w:color="auto"/>
                          </w:divBdr>
                          <w:divsChild>
                            <w:div w:id="12739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903240">
      <w:marLeft w:val="0"/>
      <w:marRight w:val="0"/>
      <w:marTop w:val="0"/>
      <w:marBottom w:val="0"/>
      <w:divBdr>
        <w:top w:val="none" w:sz="0" w:space="0" w:color="auto"/>
        <w:left w:val="none" w:sz="0" w:space="0" w:color="auto"/>
        <w:bottom w:val="none" w:sz="0" w:space="0" w:color="auto"/>
        <w:right w:val="none" w:sz="0" w:space="0" w:color="auto"/>
      </w:divBdr>
      <w:divsChild>
        <w:div w:id="1273903156">
          <w:marLeft w:val="0"/>
          <w:marRight w:val="0"/>
          <w:marTop w:val="0"/>
          <w:marBottom w:val="0"/>
          <w:divBdr>
            <w:top w:val="none" w:sz="0" w:space="0" w:color="auto"/>
            <w:left w:val="none" w:sz="0" w:space="0" w:color="auto"/>
            <w:bottom w:val="none" w:sz="0" w:space="0" w:color="auto"/>
            <w:right w:val="none" w:sz="0" w:space="0" w:color="auto"/>
          </w:divBdr>
          <w:divsChild>
            <w:div w:id="1273903201">
              <w:marLeft w:val="0"/>
              <w:marRight w:val="0"/>
              <w:marTop w:val="0"/>
              <w:marBottom w:val="0"/>
              <w:divBdr>
                <w:top w:val="none" w:sz="0" w:space="0" w:color="auto"/>
                <w:left w:val="none" w:sz="0" w:space="0" w:color="auto"/>
                <w:bottom w:val="none" w:sz="0" w:space="0" w:color="auto"/>
                <w:right w:val="none" w:sz="0" w:space="0" w:color="auto"/>
              </w:divBdr>
              <w:divsChild>
                <w:div w:id="1273903207">
                  <w:marLeft w:val="0"/>
                  <w:marRight w:val="0"/>
                  <w:marTop w:val="0"/>
                  <w:marBottom w:val="0"/>
                  <w:divBdr>
                    <w:top w:val="single" w:sz="18" w:space="0" w:color="08237A"/>
                    <w:left w:val="none" w:sz="0" w:space="0" w:color="auto"/>
                    <w:bottom w:val="none" w:sz="0" w:space="0" w:color="auto"/>
                    <w:right w:val="none" w:sz="0" w:space="0" w:color="auto"/>
                  </w:divBdr>
                  <w:divsChild>
                    <w:div w:id="1273903242">
                      <w:marLeft w:val="0"/>
                      <w:marRight w:val="0"/>
                      <w:marTop w:val="0"/>
                      <w:marBottom w:val="0"/>
                      <w:divBdr>
                        <w:top w:val="single" w:sz="2" w:space="8" w:color="BBBBBB"/>
                        <w:left w:val="single" w:sz="6" w:space="0" w:color="BBBBBB"/>
                        <w:bottom w:val="single" w:sz="6" w:space="0" w:color="BBBBBB"/>
                        <w:right w:val="single" w:sz="6" w:space="0" w:color="BBBBBB"/>
                      </w:divBdr>
                      <w:divsChild>
                        <w:div w:id="1273903287">
                          <w:marLeft w:val="0"/>
                          <w:marRight w:val="0"/>
                          <w:marTop w:val="0"/>
                          <w:marBottom w:val="0"/>
                          <w:divBdr>
                            <w:top w:val="none" w:sz="0" w:space="0" w:color="auto"/>
                            <w:left w:val="none" w:sz="0" w:space="0" w:color="auto"/>
                            <w:bottom w:val="none" w:sz="0" w:space="0" w:color="auto"/>
                            <w:right w:val="none" w:sz="0" w:space="0" w:color="auto"/>
                          </w:divBdr>
                          <w:divsChild>
                            <w:div w:id="12739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903245">
      <w:marLeft w:val="0"/>
      <w:marRight w:val="0"/>
      <w:marTop w:val="0"/>
      <w:marBottom w:val="0"/>
      <w:divBdr>
        <w:top w:val="none" w:sz="0" w:space="0" w:color="auto"/>
        <w:left w:val="none" w:sz="0" w:space="0" w:color="auto"/>
        <w:bottom w:val="none" w:sz="0" w:space="0" w:color="auto"/>
        <w:right w:val="none" w:sz="0" w:space="0" w:color="auto"/>
      </w:divBdr>
      <w:divsChild>
        <w:div w:id="1273903216">
          <w:marLeft w:val="0"/>
          <w:marRight w:val="0"/>
          <w:marTop w:val="0"/>
          <w:marBottom w:val="0"/>
          <w:divBdr>
            <w:top w:val="none" w:sz="0" w:space="0" w:color="auto"/>
            <w:left w:val="none" w:sz="0" w:space="0" w:color="auto"/>
            <w:bottom w:val="none" w:sz="0" w:space="0" w:color="auto"/>
            <w:right w:val="none" w:sz="0" w:space="0" w:color="auto"/>
          </w:divBdr>
          <w:divsChild>
            <w:div w:id="1273903185">
              <w:marLeft w:val="0"/>
              <w:marRight w:val="0"/>
              <w:marTop w:val="0"/>
              <w:marBottom w:val="0"/>
              <w:divBdr>
                <w:top w:val="none" w:sz="0" w:space="0" w:color="auto"/>
                <w:left w:val="none" w:sz="0" w:space="0" w:color="auto"/>
                <w:bottom w:val="none" w:sz="0" w:space="0" w:color="auto"/>
                <w:right w:val="none" w:sz="0" w:space="0" w:color="auto"/>
              </w:divBdr>
              <w:divsChild>
                <w:div w:id="1273903166">
                  <w:marLeft w:val="0"/>
                  <w:marRight w:val="0"/>
                  <w:marTop w:val="0"/>
                  <w:marBottom w:val="0"/>
                  <w:divBdr>
                    <w:top w:val="none" w:sz="0" w:space="0" w:color="auto"/>
                    <w:left w:val="none" w:sz="0" w:space="0" w:color="auto"/>
                    <w:bottom w:val="none" w:sz="0" w:space="0" w:color="auto"/>
                    <w:right w:val="none" w:sz="0" w:space="0" w:color="auto"/>
                  </w:divBdr>
                  <w:divsChild>
                    <w:div w:id="1273903238">
                      <w:marLeft w:val="0"/>
                      <w:marRight w:val="0"/>
                      <w:marTop w:val="0"/>
                      <w:marBottom w:val="0"/>
                      <w:divBdr>
                        <w:top w:val="none" w:sz="0" w:space="0" w:color="auto"/>
                        <w:left w:val="none" w:sz="0" w:space="0" w:color="auto"/>
                        <w:bottom w:val="none" w:sz="0" w:space="0" w:color="auto"/>
                        <w:right w:val="none" w:sz="0" w:space="0" w:color="auto"/>
                      </w:divBdr>
                      <w:divsChild>
                        <w:div w:id="1273903206">
                          <w:marLeft w:val="0"/>
                          <w:marRight w:val="0"/>
                          <w:marTop w:val="0"/>
                          <w:marBottom w:val="0"/>
                          <w:divBdr>
                            <w:top w:val="none" w:sz="0" w:space="0" w:color="auto"/>
                            <w:left w:val="none" w:sz="0" w:space="0" w:color="auto"/>
                            <w:bottom w:val="none" w:sz="0" w:space="0" w:color="auto"/>
                            <w:right w:val="none" w:sz="0" w:space="0" w:color="auto"/>
                          </w:divBdr>
                          <w:divsChild>
                            <w:div w:id="1273903147">
                              <w:marLeft w:val="0"/>
                              <w:marRight w:val="0"/>
                              <w:marTop w:val="0"/>
                              <w:marBottom w:val="0"/>
                              <w:divBdr>
                                <w:top w:val="none" w:sz="0" w:space="0" w:color="auto"/>
                                <w:left w:val="none" w:sz="0" w:space="0" w:color="auto"/>
                                <w:bottom w:val="none" w:sz="0" w:space="0" w:color="auto"/>
                                <w:right w:val="none" w:sz="0" w:space="0" w:color="auto"/>
                              </w:divBdr>
                              <w:divsChild>
                                <w:div w:id="12739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903251">
      <w:marLeft w:val="0"/>
      <w:marRight w:val="0"/>
      <w:marTop w:val="0"/>
      <w:marBottom w:val="0"/>
      <w:divBdr>
        <w:top w:val="none" w:sz="0" w:space="0" w:color="auto"/>
        <w:left w:val="none" w:sz="0" w:space="0" w:color="auto"/>
        <w:bottom w:val="none" w:sz="0" w:space="0" w:color="auto"/>
        <w:right w:val="none" w:sz="0" w:space="0" w:color="auto"/>
      </w:divBdr>
      <w:divsChild>
        <w:div w:id="1273903202">
          <w:marLeft w:val="0"/>
          <w:marRight w:val="0"/>
          <w:marTop w:val="0"/>
          <w:marBottom w:val="0"/>
          <w:divBdr>
            <w:top w:val="none" w:sz="0" w:space="0" w:color="auto"/>
            <w:left w:val="none" w:sz="0" w:space="0" w:color="auto"/>
            <w:bottom w:val="none" w:sz="0" w:space="0" w:color="auto"/>
            <w:right w:val="none" w:sz="0" w:space="0" w:color="auto"/>
          </w:divBdr>
        </w:div>
      </w:divsChild>
    </w:div>
    <w:div w:id="1273903255">
      <w:marLeft w:val="0"/>
      <w:marRight w:val="0"/>
      <w:marTop w:val="0"/>
      <w:marBottom w:val="0"/>
      <w:divBdr>
        <w:top w:val="none" w:sz="0" w:space="0" w:color="auto"/>
        <w:left w:val="none" w:sz="0" w:space="0" w:color="auto"/>
        <w:bottom w:val="none" w:sz="0" w:space="0" w:color="auto"/>
        <w:right w:val="none" w:sz="0" w:space="0" w:color="auto"/>
      </w:divBdr>
      <w:divsChild>
        <w:div w:id="1273903235">
          <w:marLeft w:val="0"/>
          <w:marRight w:val="0"/>
          <w:marTop w:val="0"/>
          <w:marBottom w:val="0"/>
          <w:divBdr>
            <w:top w:val="none" w:sz="0" w:space="0" w:color="auto"/>
            <w:left w:val="none" w:sz="0" w:space="0" w:color="auto"/>
            <w:bottom w:val="none" w:sz="0" w:space="0" w:color="auto"/>
            <w:right w:val="none" w:sz="0" w:space="0" w:color="auto"/>
          </w:divBdr>
          <w:divsChild>
            <w:div w:id="1273903290">
              <w:marLeft w:val="0"/>
              <w:marRight w:val="0"/>
              <w:marTop w:val="0"/>
              <w:marBottom w:val="0"/>
              <w:divBdr>
                <w:top w:val="none" w:sz="0" w:space="0" w:color="auto"/>
                <w:left w:val="none" w:sz="0" w:space="0" w:color="auto"/>
                <w:bottom w:val="none" w:sz="0" w:space="0" w:color="auto"/>
                <w:right w:val="none" w:sz="0" w:space="0" w:color="auto"/>
              </w:divBdr>
              <w:divsChild>
                <w:div w:id="1273903299">
                  <w:marLeft w:val="0"/>
                  <w:marRight w:val="0"/>
                  <w:marTop w:val="0"/>
                  <w:marBottom w:val="0"/>
                  <w:divBdr>
                    <w:top w:val="none" w:sz="0" w:space="0" w:color="auto"/>
                    <w:left w:val="none" w:sz="0" w:space="0" w:color="auto"/>
                    <w:bottom w:val="none" w:sz="0" w:space="0" w:color="auto"/>
                    <w:right w:val="none" w:sz="0" w:space="0" w:color="auto"/>
                  </w:divBdr>
                  <w:divsChild>
                    <w:div w:id="1273903270">
                      <w:marLeft w:val="0"/>
                      <w:marRight w:val="0"/>
                      <w:marTop w:val="0"/>
                      <w:marBottom w:val="0"/>
                      <w:divBdr>
                        <w:top w:val="none" w:sz="0" w:space="0" w:color="auto"/>
                        <w:left w:val="none" w:sz="0" w:space="0" w:color="auto"/>
                        <w:bottom w:val="none" w:sz="0" w:space="0" w:color="auto"/>
                        <w:right w:val="none" w:sz="0" w:space="0" w:color="auto"/>
                      </w:divBdr>
                      <w:divsChild>
                        <w:div w:id="12739032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903258">
      <w:marLeft w:val="0"/>
      <w:marRight w:val="0"/>
      <w:marTop w:val="0"/>
      <w:marBottom w:val="0"/>
      <w:divBdr>
        <w:top w:val="none" w:sz="0" w:space="0" w:color="auto"/>
        <w:left w:val="none" w:sz="0" w:space="0" w:color="auto"/>
        <w:bottom w:val="none" w:sz="0" w:space="0" w:color="auto"/>
        <w:right w:val="none" w:sz="0" w:space="0" w:color="auto"/>
      </w:divBdr>
      <w:divsChild>
        <w:div w:id="1273903248">
          <w:marLeft w:val="0"/>
          <w:marRight w:val="0"/>
          <w:marTop w:val="63"/>
          <w:marBottom w:val="63"/>
          <w:divBdr>
            <w:top w:val="none" w:sz="0" w:space="0" w:color="auto"/>
            <w:left w:val="none" w:sz="0" w:space="0" w:color="auto"/>
            <w:bottom w:val="none" w:sz="0" w:space="0" w:color="auto"/>
            <w:right w:val="none" w:sz="0" w:space="0" w:color="auto"/>
          </w:divBdr>
          <w:divsChild>
            <w:div w:id="1273903224">
              <w:marLeft w:val="0"/>
              <w:marRight w:val="0"/>
              <w:marTop w:val="0"/>
              <w:marBottom w:val="0"/>
              <w:divBdr>
                <w:top w:val="single" w:sz="4" w:space="0" w:color="BEBEBE"/>
                <w:left w:val="single" w:sz="4" w:space="0" w:color="BEBEBE"/>
                <w:bottom w:val="single" w:sz="4" w:space="0" w:color="BEBEBE"/>
                <w:right w:val="single" w:sz="4" w:space="0" w:color="BEBEBE"/>
              </w:divBdr>
              <w:divsChild>
                <w:div w:id="1273903304">
                  <w:marLeft w:val="0"/>
                  <w:marRight w:val="0"/>
                  <w:marTop w:val="0"/>
                  <w:marBottom w:val="0"/>
                  <w:divBdr>
                    <w:top w:val="none" w:sz="0" w:space="0" w:color="auto"/>
                    <w:left w:val="none" w:sz="0" w:space="0" w:color="auto"/>
                    <w:bottom w:val="none" w:sz="0" w:space="0" w:color="auto"/>
                    <w:right w:val="none" w:sz="0" w:space="0" w:color="auto"/>
                  </w:divBdr>
                  <w:divsChild>
                    <w:div w:id="1273903226">
                      <w:marLeft w:val="0"/>
                      <w:marRight w:val="0"/>
                      <w:marTop w:val="0"/>
                      <w:marBottom w:val="0"/>
                      <w:divBdr>
                        <w:top w:val="none" w:sz="0" w:space="0" w:color="auto"/>
                        <w:left w:val="none" w:sz="0" w:space="0" w:color="auto"/>
                        <w:bottom w:val="none" w:sz="0" w:space="0" w:color="auto"/>
                        <w:right w:val="none" w:sz="0" w:space="0" w:color="auto"/>
                      </w:divBdr>
                      <w:divsChild>
                        <w:div w:id="1273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903264">
      <w:marLeft w:val="0"/>
      <w:marRight w:val="0"/>
      <w:marTop w:val="0"/>
      <w:marBottom w:val="0"/>
      <w:divBdr>
        <w:top w:val="none" w:sz="0" w:space="0" w:color="auto"/>
        <w:left w:val="none" w:sz="0" w:space="0" w:color="auto"/>
        <w:bottom w:val="none" w:sz="0" w:space="0" w:color="auto"/>
        <w:right w:val="none" w:sz="0" w:space="0" w:color="auto"/>
      </w:divBdr>
      <w:divsChild>
        <w:div w:id="1273903168">
          <w:marLeft w:val="0"/>
          <w:marRight w:val="0"/>
          <w:marTop w:val="0"/>
          <w:marBottom w:val="0"/>
          <w:divBdr>
            <w:top w:val="none" w:sz="0" w:space="0" w:color="auto"/>
            <w:left w:val="none" w:sz="0" w:space="0" w:color="auto"/>
            <w:bottom w:val="none" w:sz="0" w:space="0" w:color="auto"/>
            <w:right w:val="none" w:sz="0" w:space="0" w:color="auto"/>
          </w:divBdr>
          <w:divsChild>
            <w:div w:id="1273903228">
              <w:marLeft w:val="0"/>
              <w:marRight w:val="0"/>
              <w:marTop w:val="0"/>
              <w:marBottom w:val="0"/>
              <w:divBdr>
                <w:top w:val="none" w:sz="0" w:space="0" w:color="auto"/>
                <w:left w:val="none" w:sz="0" w:space="0" w:color="auto"/>
                <w:bottom w:val="none" w:sz="0" w:space="0" w:color="auto"/>
                <w:right w:val="none" w:sz="0" w:space="0" w:color="auto"/>
              </w:divBdr>
              <w:divsChild>
                <w:div w:id="1273903260">
                  <w:marLeft w:val="0"/>
                  <w:marRight w:val="0"/>
                  <w:marTop w:val="0"/>
                  <w:marBottom w:val="0"/>
                  <w:divBdr>
                    <w:top w:val="single" w:sz="18" w:space="0" w:color="08237A"/>
                    <w:left w:val="none" w:sz="0" w:space="0" w:color="auto"/>
                    <w:bottom w:val="none" w:sz="0" w:space="0" w:color="auto"/>
                    <w:right w:val="none" w:sz="0" w:space="0" w:color="auto"/>
                  </w:divBdr>
                  <w:divsChild>
                    <w:div w:id="1273903236">
                      <w:marLeft w:val="0"/>
                      <w:marRight w:val="0"/>
                      <w:marTop w:val="0"/>
                      <w:marBottom w:val="0"/>
                      <w:divBdr>
                        <w:top w:val="single" w:sz="2" w:space="8" w:color="BBBBBB"/>
                        <w:left w:val="single" w:sz="6" w:space="0" w:color="BBBBBB"/>
                        <w:bottom w:val="single" w:sz="6" w:space="0" w:color="BBBBBB"/>
                        <w:right w:val="single" w:sz="6" w:space="0" w:color="BBBBBB"/>
                      </w:divBdr>
                      <w:divsChild>
                        <w:div w:id="1273903309">
                          <w:marLeft w:val="0"/>
                          <w:marRight w:val="0"/>
                          <w:marTop w:val="0"/>
                          <w:marBottom w:val="0"/>
                          <w:divBdr>
                            <w:top w:val="none" w:sz="0" w:space="0" w:color="auto"/>
                            <w:left w:val="none" w:sz="0" w:space="0" w:color="auto"/>
                            <w:bottom w:val="none" w:sz="0" w:space="0" w:color="auto"/>
                            <w:right w:val="none" w:sz="0" w:space="0" w:color="auto"/>
                          </w:divBdr>
                          <w:divsChild>
                            <w:div w:id="12739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903267">
      <w:marLeft w:val="0"/>
      <w:marRight w:val="0"/>
      <w:marTop w:val="0"/>
      <w:marBottom w:val="0"/>
      <w:divBdr>
        <w:top w:val="none" w:sz="0" w:space="0" w:color="auto"/>
        <w:left w:val="none" w:sz="0" w:space="0" w:color="auto"/>
        <w:bottom w:val="none" w:sz="0" w:space="0" w:color="auto"/>
        <w:right w:val="none" w:sz="0" w:space="0" w:color="auto"/>
      </w:divBdr>
      <w:divsChild>
        <w:div w:id="1273903254">
          <w:marLeft w:val="0"/>
          <w:marRight w:val="0"/>
          <w:marTop w:val="0"/>
          <w:marBottom w:val="0"/>
          <w:divBdr>
            <w:top w:val="none" w:sz="0" w:space="0" w:color="auto"/>
            <w:left w:val="none" w:sz="0" w:space="0" w:color="auto"/>
            <w:bottom w:val="none" w:sz="0" w:space="0" w:color="auto"/>
            <w:right w:val="none" w:sz="0" w:space="0" w:color="auto"/>
          </w:divBdr>
        </w:div>
      </w:divsChild>
    </w:div>
    <w:div w:id="1273903274">
      <w:marLeft w:val="0"/>
      <w:marRight w:val="0"/>
      <w:marTop w:val="0"/>
      <w:marBottom w:val="0"/>
      <w:divBdr>
        <w:top w:val="none" w:sz="0" w:space="0" w:color="auto"/>
        <w:left w:val="none" w:sz="0" w:space="0" w:color="auto"/>
        <w:bottom w:val="none" w:sz="0" w:space="0" w:color="auto"/>
        <w:right w:val="none" w:sz="0" w:space="0" w:color="auto"/>
      </w:divBdr>
      <w:divsChild>
        <w:div w:id="1273903179">
          <w:marLeft w:val="0"/>
          <w:marRight w:val="0"/>
          <w:marTop w:val="0"/>
          <w:marBottom w:val="0"/>
          <w:divBdr>
            <w:top w:val="none" w:sz="0" w:space="0" w:color="auto"/>
            <w:left w:val="none" w:sz="0" w:space="0" w:color="auto"/>
            <w:bottom w:val="none" w:sz="0" w:space="0" w:color="auto"/>
            <w:right w:val="none" w:sz="0" w:space="0" w:color="auto"/>
          </w:divBdr>
          <w:divsChild>
            <w:div w:id="1273903196">
              <w:marLeft w:val="0"/>
              <w:marRight w:val="0"/>
              <w:marTop w:val="0"/>
              <w:marBottom w:val="0"/>
              <w:divBdr>
                <w:top w:val="none" w:sz="0" w:space="0" w:color="auto"/>
                <w:left w:val="none" w:sz="0" w:space="0" w:color="auto"/>
                <w:bottom w:val="none" w:sz="0" w:space="0" w:color="auto"/>
                <w:right w:val="none" w:sz="0" w:space="0" w:color="auto"/>
              </w:divBdr>
              <w:divsChild>
                <w:div w:id="1273903144">
                  <w:marLeft w:val="0"/>
                  <w:marRight w:val="0"/>
                  <w:marTop w:val="0"/>
                  <w:marBottom w:val="0"/>
                  <w:divBdr>
                    <w:top w:val="single" w:sz="12" w:space="0" w:color="08237A"/>
                    <w:left w:val="none" w:sz="0" w:space="0" w:color="auto"/>
                    <w:bottom w:val="none" w:sz="0" w:space="0" w:color="auto"/>
                    <w:right w:val="none" w:sz="0" w:space="0" w:color="auto"/>
                  </w:divBdr>
                  <w:divsChild>
                    <w:div w:id="1273903286">
                      <w:marLeft w:val="0"/>
                      <w:marRight w:val="0"/>
                      <w:marTop w:val="0"/>
                      <w:marBottom w:val="0"/>
                      <w:divBdr>
                        <w:top w:val="single" w:sz="2" w:space="7" w:color="BBBBBB"/>
                        <w:left w:val="single" w:sz="4" w:space="0" w:color="BBBBBB"/>
                        <w:bottom w:val="single" w:sz="4" w:space="0" w:color="BBBBBB"/>
                        <w:right w:val="single" w:sz="4" w:space="0" w:color="BBBBBB"/>
                      </w:divBdr>
                      <w:divsChild>
                        <w:div w:id="1273903195">
                          <w:marLeft w:val="0"/>
                          <w:marRight w:val="0"/>
                          <w:marTop w:val="0"/>
                          <w:marBottom w:val="0"/>
                          <w:divBdr>
                            <w:top w:val="none" w:sz="0" w:space="0" w:color="auto"/>
                            <w:left w:val="none" w:sz="0" w:space="0" w:color="auto"/>
                            <w:bottom w:val="none" w:sz="0" w:space="0" w:color="auto"/>
                            <w:right w:val="none" w:sz="0" w:space="0" w:color="auto"/>
                          </w:divBdr>
                          <w:divsChild>
                            <w:div w:id="12739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903275">
      <w:marLeft w:val="0"/>
      <w:marRight w:val="0"/>
      <w:marTop w:val="0"/>
      <w:marBottom w:val="0"/>
      <w:divBdr>
        <w:top w:val="none" w:sz="0" w:space="0" w:color="auto"/>
        <w:left w:val="none" w:sz="0" w:space="0" w:color="auto"/>
        <w:bottom w:val="none" w:sz="0" w:space="0" w:color="auto"/>
        <w:right w:val="none" w:sz="0" w:space="0" w:color="auto"/>
      </w:divBdr>
      <w:divsChild>
        <w:div w:id="1273903194">
          <w:marLeft w:val="0"/>
          <w:marRight w:val="0"/>
          <w:marTop w:val="0"/>
          <w:marBottom w:val="0"/>
          <w:divBdr>
            <w:top w:val="none" w:sz="0" w:space="0" w:color="auto"/>
            <w:left w:val="none" w:sz="0" w:space="0" w:color="auto"/>
            <w:bottom w:val="none" w:sz="0" w:space="0" w:color="auto"/>
            <w:right w:val="none" w:sz="0" w:space="0" w:color="auto"/>
          </w:divBdr>
          <w:divsChild>
            <w:div w:id="1273903163">
              <w:marLeft w:val="0"/>
              <w:marRight w:val="0"/>
              <w:marTop w:val="0"/>
              <w:marBottom w:val="0"/>
              <w:divBdr>
                <w:top w:val="none" w:sz="0" w:space="0" w:color="auto"/>
                <w:left w:val="none" w:sz="0" w:space="0" w:color="auto"/>
                <w:bottom w:val="none" w:sz="0" w:space="0" w:color="auto"/>
                <w:right w:val="none" w:sz="0" w:space="0" w:color="auto"/>
              </w:divBdr>
              <w:divsChild>
                <w:div w:id="1273903227">
                  <w:marLeft w:val="0"/>
                  <w:marRight w:val="0"/>
                  <w:marTop w:val="0"/>
                  <w:marBottom w:val="0"/>
                  <w:divBdr>
                    <w:top w:val="none" w:sz="0" w:space="0" w:color="auto"/>
                    <w:left w:val="none" w:sz="0" w:space="0" w:color="auto"/>
                    <w:bottom w:val="none" w:sz="0" w:space="0" w:color="auto"/>
                    <w:right w:val="none" w:sz="0" w:space="0" w:color="auto"/>
                  </w:divBdr>
                  <w:divsChild>
                    <w:div w:id="1273903232">
                      <w:marLeft w:val="0"/>
                      <w:marRight w:val="0"/>
                      <w:marTop w:val="0"/>
                      <w:marBottom w:val="0"/>
                      <w:divBdr>
                        <w:top w:val="single" w:sz="6" w:space="15" w:color="C0D8F2"/>
                        <w:left w:val="single" w:sz="6" w:space="18" w:color="C0D8F2"/>
                        <w:bottom w:val="single" w:sz="6" w:space="11" w:color="C0D8F2"/>
                        <w:right w:val="single" w:sz="6" w:space="18" w:color="C0D8F2"/>
                      </w:divBdr>
                      <w:divsChild>
                        <w:div w:id="1273903300">
                          <w:marLeft w:val="0"/>
                          <w:marRight w:val="0"/>
                          <w:marTop w:val="0"/>
                          <w:marBottom w:val="0"/>
                          <w:divBdr>
                            <w:top w:val="none" w:sz="0" w:space="0" w:color="auto"/>
                            <w:left w:val="none" w:sz="0" w:space="0" w:color="auto"/>
                            <w:bottom w:val="none" w:sz="0" w:space="0" w:color="auto"/>
                            <w:right w:val="none" w:sz="0" w:space="0" w:color="auto"/>
                          </w:divBdr>
                          <w:divsChild>
                            <w:div w:id="127390331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903276">
      <w:marLeft w:val="0"/>
      <w:marRight w:val="0"/>
      <w:marTop w:val="0"/>
      <w:marBottom w:val="0"/>
      <w:divBdr>
        <w:top w:val="none" w:sz="0" w:space="0" w:color="auto"/>
        <w:left w:val="none" w:sz="0" w:space="0" w:color="auto"/>
        <w:bottom w:val="none" w:sz="0" w:space="0" w:color="auto"/>
        <w:right w:val="none" w:sz="0" w:space="0" w:color="auto"/>
      </w:divBdr>
      <w:divsChild>
        <w:div w:id="1273903282">
          <w:marLeft w:val="0"/>
          <w:marRight w:val="0"/>
          <w:marTop w:val="75"/>
          <w:marBottom w:val="75"/>
          <w:divBdr>
            <w:top w:val="none" w:sz="0" w:space="0" w:color="auto"/>
            <w:left w:val="none" w:sz="0" w:space="0" w:color="auto"/>
            <w:bottom w:val="none" w:sz="0" w:space="0" w:color="auto"/>
            <w:right w:val="none" w:sz="0" w:space="0" w:color="auto"/>
          </w:divBdr>
          <w:divsChild>
            <w:div w:id="1273903246">
              <w:marLeft w:val="0"/>
              <w:marRight w:val="0"/>
              <w:marTop w:val="0"/>
              <w:marBottom w:val="0"/>
              <w:divBdr>
                <w:top w:val="single" w:sz="6" w:space="0" w:color="BEBEBE"/>
                <w:left w:val="single" w:sz="6" w:space="0" w:color="BEBEBE"/>
                <w:bottom w:val="single" w:sz="6" w:space="0" w:color="BEBEBE"/>
                <w:right w:val="single" w:sz="6" w:space="0" w:color="BEBEBE"/>
              </w:divBdr>
              <w:divsChild>
                <w:div w:id="1273903215">
                  <w:marLeft w:val="0"/>
                  <w:marRight w:val="0"/>
                  <w:marTop w:val="0"/>
                  <w:marBottom w:val="0"/>
                  <w:divBdr>
                    <w:top w:val="none" w:sz="0" w:space="0" w:color="auto"/>
                    <w:left w:val="none" w:sz="0" w:space="0" w:color="auto"/>
                    <w:bottom w:val="none" w:sz="0" w:space="0" w:color="auto"/>
                    <w:right w:val="none" w:sz="0" w:space="0" w:color="auto"/>
                  </w:divBdr>
                  <w:divsChild>
                    <w:div w:id="1273903223">
                      <w:marLeft w:val="0"/>
                      <w:marRight w:val="0"/>
                      <w:marTop w:val="0"/>
                      <w:marBottom w:val="0"/>
                      <w:divBdr>
                        <w:top w:val="none" w:sz="0" w:space="0" w:color="auto"/>
                        <w:left w:val="none" w:sz="0" w:space="0" w:color="auto"/>
                        <w:bottom w:val="none" w:sz="0" w:space="0" w:color="auto"/>
                        <w:right w:val="none" w:sz="0" w:space="0" w:color="auto"/>
                      </w:divBdr>
                      <w:divsChild>
                        <w:div w:id="127390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903278">
      <w:marLeft w:val="0"/>
      <w:marRight w:val="0"/>
      <w:marTop w:val="0"/>
      <w:marBottom w:val="0"/>
      <w:divBdr>
        <w:top w:val="none" w:sz="0" w:space="0" w:color="auto"/>
        <w:left w:val="none" w:sz="0" w:space="0" w:color="auto"/>
        <w:bottom w:val="none" w:sz="0" w:space="0" w:color="auto"/>
        <w:right w:val="none" w:sz="0" w:space="0" w:color="auto"/>
      </w:divBdr>
      <w:divsChild>
        <w:div w:id="1273903190">
          <w:marLeft w:val="0"/>
          <w:marRight w:val="0"/>
          <w:marTop w:val="0"/>
          <w:marBottom w:val="0"/>
          <w:divBdr>
            <w:top w:val="none" w:sz="0" w:space="0" w:color="auto"/>
            <w:left w:val="none" w:sz="0" w:space="0" w:color="auto"/>
            <w:bottom w:val="none" w:sz="0" w:space="0" w:color="auto"/>
            <w:right w:val="none" w:sz="0" w:space="0" w:color="auto"/>
          </w:divBdr>
        </w:div>
      </w:divsChild>
    </w:div>
    <w:div w:id="1273903280">
      <w:marLeft w:val="0"/>
      <w:marRight w:val="0"/>
      <w:marTop w:val="0"/>
      <w:marBottom w:val="0"/>
      <w:divBdr>
        <w:top w:val="none" w:sz="0" w:space="0" w:color="auto"/>
        <w:left w:val="none" w:sz="0" w:space="0" w:color="auto"/>
        <w:bottom w:val="none" w:sz="0" w:space="0" w:color="auto"/>
        <w:right w:val="none" w:sz="0" w:space="0" w:color="auto"/>
      </w:divBdr>
      <w:divsChild>
        <w:div w:id="1273903265">
          <w:marLeft w:val="0"/>
          <w:marRight w:val="0"/>
          <w:marTop w:val="0"/>
          <w:marBottom w:val="0"/>
          <w:divBdr>
            <w:top w:val="none" w:sz="0" w:space="0" w:color="auto"/>
            <w:left w:val="none" w:sz="0" w:space="0" w:color="auto"/>
            <w:bottom w:val="none" w:sz="0" w:space="0" w:color="auto"/>
            <w:right w:val="none" w:sz="0" w:space="0" w:color="auto"/>
          </w:divBdr>
          <w:divsChild>
            <w:div w:id="1273903266">
              <w:marLeft w:val="0"/>
              <w:marRight w:val="0"/>
              <w:marTop w:val="300"/>
              <w:marBottom w:val="0"/>
              <w:divBdr>
                <w:top w:val="none" w:sz="0" w:space="0" w:color="auto"/>
                <w:left w:val="none" w:sz="0" w:space="0" w:color="auto"/>
                <w:bottom w:val="none" w:sz="0" w:space="0" w:color="auto"/>
                <w:right w:val="none" w:sz="0" w:space="0" w:color="auto"/>
              </w:divBdr>
              <w:divsChild>
                <w:div w:id="1273903262">
                  <w:marLeft w:val="0"/>
                  <w:marRight w:val="0"/>
                  <w:marTop w:val="0"/>
                  <w:marBottom w:val="0"/>
                  <w:divBdr>
                    <w:top w:val="none" w:sz="0" w:space="0" w:color="auto"/>
                    <w:left w:val="none" w:sz="0" w:space="0" w:color="auto"/>
                    <w:bottom w:val="none" w:sz="0" w:space="0" w:color="auto"/>
                    <w:right w:val="none" w:sz="0" w:space="0" w:color="auto"/>
                  </w:divBdr>
                  <w:divsChild>
                    <w:div w:id="127390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03281">
      <w:marLeft w:val="0"/>
      <w:marRight w:val="0"/>
      <w:marTop w:val="0"/>
      <w:marBottom w:val="0"/>
      <w:divBdr>
        <w:top w:val="none" w:sz="0" w:space="0" w:color="auto"/>
        <w:left w:val="none" w:sz="0" w:space="0" w:color="auto"/>
        <w:bottom w:val="none" w:sz="0" w:space="0" w:color="auto"/>
        <w:right w:val="none" w:sz="0" w:space="0" w:color="auto"/>
      </w:divBdr>
      <w:divsChild>
        <w:div w:id="1273903305">
          <w:marLeft w:val="0"/>
          <w:marRight w:val="0"/>
          <w:marTop w:val="0"/>
          <w:marBottom w:val="0"/>
          <w:divBdr>
            <w:top w:val="none" w:sz="0" w:space="0" w:color="auto"/>
            <w:left w:val="none" w:sz="0" w:space="0" w:color="auto"/>
            <w:bottom w:val="none" w:sz="0" w:space="0" w:color="auto"/>
            <w:right w:val="none" w:sz="0" w:space="0" w:color="auto"/>
          </w:divBdr>
          <w:divsChild>
            <w:div w:id="1273903200">
              <w:marLeft w:val="0"/>
              <w:marRight w:val="0"/>
              <w:marTop w:val="0"/>
              <w:marBottom w:val="0"/>
              <w:divBdr>
                <w:top w:val="none" w:sz="0" w:space="0" w:color="auto"/>
                <w:left w:val="none" w:sz="0" w:space="0" w:color="auto"/>
                <w:bottom w:val="none" w:sz="0" w:space="0" w:color="auto"/>
                <w:right w:val="none" w:sz="0" w:space="0" w:color="auto"/>
              </w:divBdr>
              <w:divsChild>
                <w:div w:id="1273903181">
                  <w:marLeft w:val="0"/>
                  <w:marRight w:val="0"/>
                  <w:marTop w:val="0"/>
                  <w:marBottom w:val="0"/>
                  <w:divBdr>
                    <w:top w:val="single" w:sz="18" w:space="0" w:color="08237A"/>
                    <w:left w:val="none" w:sz="0" w:space="0" w:color="auto"/>
                    <w:bottom w:val="none" w:sz="0" w:space="0" w:color="auto"/>
                    <w:right w:val="none" w:sz="0" w:space="0" w:color="auto"/>
                  </w:divBdr>
                  <w:divsChild>
                    <w:div w:id="1273903241">
                      <w:marLeft w:val="0"/>
                      <w:marRight w:val="0"/>
                      <w:marTop w:val="0"/>
                      <w:marBottom w:val="0"/>
                      <w:divBdr>
                        <w:top w:val="single" w:sz="2" w:space="8" w:color="BBBBBB"/>
                        <w:left w:val="single" w:sz="6" w:space="0" w:color="BBBBBB"/>
                        <w:bottom w:val="single" w:sz="6" w:space="0" w:color="BBBBBB"/>
                        <w:right w:val="single" w:sz="6" w:space="0" w:color="BBBBBB"/>
                      </w:divBdr>
                      <w:divsChild>
                        <w:div w:id="1273903189">
                          <w:marLeft w:val="0"/>
                          <w:marRight w:val="0"/>
                          <w:marTop w:val="0"/>
                          <w:marBottom w:val="0"/>
                          <w:divBdr>
                            <w:top w:val="none" w:sz="0" w:space="0" w:color="auto"/>
                            <w:left w:val="none" w:sz="0" w:space="0" w:color="auto"/>
                            <w:bottom w:val="none" w:sz="0" w:space="0" w:color="auto"/>
                            <w:right w:val="none" w:sz="0" w:space="0" w:color="auto"/>
                          </w:divBdr>
                          <w:divsChild>
                            <w:div w:id="12739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903291">
      <w:marLeft w:val="0"/>
      <w:marRight w:val="0"/>
      <w:marTop w:val="0"/>
      <w:marBottom w:val="0"/>
      <w:divBdr>
        <w:top w:val="none" w:sz="0" w:space="0" w:color="auto"/>
        <w:left w:val="none" w:sz="0" w:space="0" w:color="auto"/>
        <w:bottom w:val="none" w:sz="0" w:space="0" w:color="auto"/>
        <w:right w:val="none" w:sz="0" w:space="0" w:color="auto"/>
      </w:divBdr>
      <w:divsChild>
        <w:div w:id="1273903253">
          <w:marLeft w:val="0"/>
          <w:marRight w:val="0"/>
          <w:marTop w:val="0"/>
          <w:marBottom w:val="0"/>
          <w:divBdr>
            <w:top w:val="none" w:sz="0" w:space="0" w:color="auto"/>
            <w:left w:val="none" w:sz="0" w:space="0" w:color="auto"/>
            <w:bottom w:val="none" w:sz="0" w:space="0" w:color="auto"/>
            <w:right w:val="none" w:sz="0" w:space="0" w:color="auto"/>
          </w:divBdr>
        </w:div>
      </w:divsChild>
    </w:div>
    <w:div w:id="1273903294">
      <w:marLeft w:val="0"/>
      <w:marRight w:val="0"/>
      <w:marTop w:val="0"/>
      <w:marBottom w:val="0"/>
      <w:divBdr>
        <w:top w:val="none" w:sz="0" w:space="0" w:color="auto"/>
        <w:left w:val="none" w:sz="0" w:space="0" w:color="auto"/>
        <w:bottom w:val="none" w:sz="0" w:space="0" w:color="auto"/>
        <w:right w:val="none" w:sz="0" w:space="0" w:color="auto"/>
      </w:divBdr>
      <w:divsChild>
        <w:div w:id="1273903191">
          <w:marLeft w:val="0"/>
          <w:marRight w:val="0"/>
          <w:marTop w:val="75"/>
          <w:marBottom w:val="75"/>
          <w:divBdr>
            <w:top w:val="none" w:sz="0" w:space="0" w:color="auto"/>
            <w:left w:val="none" w:sz="0" w:space="0" w:color="auto"/>
            <w:bottom w:val="none" w:sz="0" w:space="0" w:color="auto"/>
            <w:right w:val="none" w:sz="0" w:space="0" w:color="auto"/>
          </w:divBdr>
          <w:divsChild>
            <w:div w:id="1273903174">
              <w:marLeft w:val="0"/>
              <w:marRight w:val="0"/>
              <w:marTop w:val="0"/>
              <w:marBottom w:val="0"/>
              <w:divBdr>
                <w:top w:val="single" w:sz="6" w:space="0" w:color="BEBEBE"/>
                <w:left w:val="single" w:sz="6" w:space="0" w:color="BEBEBE"/>
                <w:bottom w:val="single" w:sz="6" w:space="0" w:color="BEBEBE"/>
                <w:right w:val="single" w:sz="6" w:space="0" w:color="BEBEBE"/>
              </w:divBdr>
              <w:divsChild>
                <w:div w:id="1273903173">
                  <w:marLeft w:val="0"/>
                  <w:marRight w:val="0"/>
                  <w:marTop w:val="0"/>
                  <w:marBottom w:val="0"/>
                  <w:divBdr>
                    <w:top w:val="none" w:sz="0" w:space="0" w:color="auto"/>
                    <w:left w:val="none" w:sz="0" w:space="0" w:color="auto"/>
                    <w:bottom w:val="none" w:sz="0" w:space="0" w:color="auto"/>
                    <w:right w:val="none" w:sz="0" w:space="0" w:color="auto"/>
                  </w:divBdr>
                  <w:divsChild>
                    <w:div w:id="1273903141">
                      <w:marLeft w:val="0"/>
                      <w:marRight w:val="0"/>
                      <w:marTop w:val="0"/>
                      <w:marBottom w:val="0"/>
                      <w:divBdr>
                        <w:top w:val="none" w:sz="0" w:space="0" w:color="auto"/>
                        <w:left w:val="none" w:sz="0" w:space="0" w:color="auto"/>
                        <w:bottom w:val="none" w:sz="0" w:space="0" w:color="auto"/>
                        <w:right w:val="none" w:sz="0" w:space="0" w:color="auto"/>
                      </w:divBdr>
                      <w:divsChild>
                        <w:div w:id="127390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903297">
      <w:marLeft w:val="0"/>
      <w:marRight w:val="0"/>
      <w:marTop w:val="0"/>
      <w:marBottom w:val="0"/>
      <w:divBdr>
        <w:top w:val="none" w:sz="0" w:space="0" w:color="auto"/>
        <w:left w:val="none" w:sz="0" w:space="0" w:color="auto"/>
        <w:bottom w:val="none" w:sz="0" w:space="0" w:color="auto"/>
        <w:right w:val="none" w:sz="0" w:space="0" w:color="auto"/>
      </w:divBdr>
      <w:divsChild>
        <w:div w:id="1273903289">
          <w:marLeft w:val="0"/>
          <w:marRight w:val="0"/>
          <w:marTop w:val="0"/>
          <w:marBottom w:val="0"/>
          <w:divBdr>
            <w:top w:val="none" w:sz="0" w:space="0" w:color="auto"/>
            <w:left w:val="none" w:sz="0" w:space="0" w:color="auto"/>
            <w:bottom w:val="none" w:sz="0" w:space="0" w:color="auto"/>
            <w:right w:val="none" w:sz="0" w:space="0" w:color="auto"/>
          </w:divBdr>
          <w:divsChild>
            <w:div w:id="1273903279">
              <w:marLeft w:val="0"/>
              <w:marRight w:val="0"/>
              <w:marTop w:val="0"/>
              <w:marBottom w:val="0"/>
              <w:divBdr>
                <w:top w:val="none" w:sz="0" w:space="0" w:color="auto"/>
                <w:left w:val="none" w:sz="0" w:space="0" w:color="auto"/>
                <w:bottom w:val="none" w:sz="0" w:space="0" w:color="auto"/>
                <w:right w:val="none" w:sz="0" w:space="0" w:color="auto"/>
              </w:divBdr>
              <w:divsChild>
                <w:div w:id="1273903199">
                  <w:marLeft w:val="0"/>
                  <w:marRight w:val="0"/>
                  <w:marTop w:val="0"/>
                  <w:marBottom w:val="0"/>
                  <w:divBdr>
                    <w:top w:val="none" w:sz="0" w:space="0" w:color="auto"/>
                    <w:left w:val="none" w:sz="0" w:space="0" w:color="auto"/>
                    <w:bottom w:val="none" w:sz="0" w:space="0" w:color="auto"/>
                    <w:right w:val="none" w:sz="0" w:space="0" w:color="auto"/>
                  </w:divBdr>
                  <w:divsChild>
                    <w:div w:id="1273903303">
                      <w:marLeft w:val="0"/>
                      <w:marRight w:val="0"/>
                      <w:marTop w:val="0"/>
                      <w:marBottom w:val="0"/>
                      <w:divBdr>
                        <w:top w:val="none" w:sz="0" w:space="0" w:color="auto"/>
                        <w:left w:val="none" w:sz="0" w:space="0" w:color="auto"/>
                        <w:bottom w:val="none" w:sz="0" w:space="0" w:color="auto"/>
                        <w:right w:val="none" w:sz="0" w:space="0" w:color="auto"/>
                      </w:divBdr>
                      <w:divsChild>
                        <w:div w:id="1273903213">
                          <w:marLeft w:val="0"/>
                          <w:marRight w:val="0"/>
                          <w:marTop w:val="0"/>
                          <w:marBottom w:val="0"/>
                          <w:divBdr>
                            <w:top w:val="none" w:sz="0" w:space="0" w:color="auto"/>
                            <w:left w:val="none" w:sz="0" w:space="0" w:color="auto"/>
                            <w:bottom w:val="none" w:sz="0" w:space="0" w:color="auto"/>
                            <w:right w:val="none" w:sz="0" w:space="0" w:color="auto"/>
                          </w:divBdr>
                          <w:divsChild>
                            <w:div w:id="1273903252">
                              <w:marLeft w:val="0"/>
                              <w:marRight w:val="0"/>
                              <w:marTop w:val="0"/>
                              <w:marBottom w:val="0"/>
                              <w:divBdr>
                                <w:top w:val="none" w:sz="0" w:space="0" w:color="auto"/>
                                <w:left w:val="none" w:sz="0" w:space="0" w:color="auto"/>
                                <w:bottom w:val="none" w:sz="0" w:space="0" w:color="auto"/>
                                <w:right w:val="none" w:sz="0" w:space="0" w:color="auto"/>
                              </w:divBdr>
                              <w:divsChild>
                                <w:div w:id="127390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903302">
      <w:marLeft w:val="0"/>
      <w:marRight w:val="0"/>
      <w:marTop w:val="0"/>
      <w:marBottom w:val="0"/>
      <w:divBdr>
        <w:top w:val="none" w:sz="0" w:space="0" w:color="auto"/>
        <w:left w:val="none" w:sz="0" w:space="0" w:color="auto"/>
        <w:bottom w:val="none" w:sz="0" w:space="0" w:color="auto"/>
        <w:right w:val="none" w:sz="0" w:space="0" w:color="auto"/>
      </w:divBdr>
      <w:divsChild>
        <w:div w:id="1273903143">
          <w:marLeft w:val="0"/>
          <w:marRight w:val="0"/>
          <w:marTop w:val="0"/>
          <w:marBottom w:val="0"/>
          <w:divBdr>
            <w:top w:val="none" w:sz="0" w:space="0" w:color="auto"/>
            <w:left w:val="none" w:sz="0" w:space="0" w:color="auto"/>
            <w:bottom w:val="none" w:sz="0" w:space="0" w:color="auto"/>
            <w:right w:val="none" w:sz="0" w:space="0" w:color="auto"/>
          </w:divBdr>
          <w:divsChild>
            <w:div w:id="1273903217">
              <w:marLeft w:val="0"/>
              <w:marRight w:val="0"/>
              <w:marTop w:val="0"/>
              <w:marBottom w:val="0"/>
              <w:divBdr>
                <w:top w:val="none" w:sz="0" w:space="0" w:color="auto"/>
                <w:left w:val="none" w:sz="0" w:space="0" w:color="auto"/>
                <w:bottom w:val="none" w:sz="0" w:space="0" w:color="auto"/>
                <w:right w:val="none" w:sz="0" w:space="0" w:color="auto"/>
              </w:divBdr>
              <w:divsChild>
                <w:div w:id="1273903204">
                  <w:marLeft w:val="0"/>
                  <w:marRight w:val="0"/>
                  <w:marTop w:val="0"/>
                  <w:marBottom w:val="0"/>
                  <w:divBdr>
                    <w:top w:val="single" w:sz="18" w:space="0" w:color="08237A"/>
                    <w:left w:val="none" w:sz="0" w:space="0" w:color="auto"/>
                    <w:bottom w:val="none" w:sz="0" w:space="0" w:color="auto"/>
                    <w:right w:val="none" w:sz="0" w:space="0" w:color="auto"/>
                  </w:divBdr>
                  <w:divsChild>
                    <w:div w:id="1273903151">
                      <w:marLeft w:val="0"/>
                      <w:marRight w:val="0"/>
                      <w:marTop w:val="0"/>
                      <w:marBottom w:val="0"/>
                      <w:divBdr>
                        <w:top w:val="single" w:sz="2" w:space="8" w:color="BBBBBB"/>
                        <w:left w:val="single" w:sz="6" w:space="0" w:color="BBBBBB"/>
                        <w:bottom w:val="single" w:sz="6" w:space="0" w:color="BBBBBB"/>
                        <w:right w:val="single" w:sz="6" w:space="0" w:color="BBBBBB"/>
                      </w:divBdr>
                      <w:divsChild>
                        <w:div w:id="1273903182">
                          <w:marLeft w:val="0"/>
                          <w:marRight w:val="0"/>
                          <w:marTop w:val="0"/>
                          <w:marBottom w:val="0"/>
                          <w:divBdr>
                            <w:top w:val="none" w:sz="0" w:space="0" w:color="auto"/>
                            <w:left w:val="none" w:sz="0" w:space="0" w:color="auto"/>
                            <w:bottom w:val="none" w:sz="0" w:space="0" w:color="auto"/>
                            <w:right w:val="none" w:sz="0" w:space="0" w:color="auto"/>
                          </w:divBdr>
                          <w:divsChild>
                            <w:div w:id="127390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903306">
      <w:marLeft w:val="0"/>
      <w:marRight w:val="0"/>
      <w:marTop w:val="0"/>
      <w:marBottom w:val="0"/>
      <w:divBdr>
        <w:top w:val="none" w:sz="0" w:space="0" w:color="auto"/>
        <w:left w:val="none" w:sz="0" w:space="0" w:color="auto"/>
        <w:bottom w:val="none" w:sz="0" w:space="0" w:color="auto"/>
        <w:right w:val="none" w:sz="0" w:space="0" w:color="auto"/>
      </w:divBdr>
      <w:divsChild>
        <w:div w:id="1273903222">
          <w:marLeft w:val="0"/>
          <w:marRight w:val="0"/>
          <w:marTop w:val="0"/>
          <w:marBottom w:val="0"/>
          <w:divBdr>
            <w:top w:val="none" w:sz="0" w:space="0" w:color="auto"/>
            <w:left w:val="none" w:sz="0" w:space="0" w:color="auto"/>
            <w:bottom w:val="none" w:sz="0" w:space="0" w:color="auto"/>
            <w:right w:val="none" w:sz="0" w:space="0" w:color="auto"/>
          </w:divBdr>
          <w:divsChild>
            <w:div w:id="1273903203">
              <w:marLeft w:val="0"/>
              <w:marRight w:val="0"/>
              <w:marTop w:val="0"/>
              <w:marBottom w:val="0"/>
              <w:divBdr>
                <w:top w:val="none" w:sz="0" w:space="0" w:color="auto"/>
                <w:left w:val="none" w:sz="0" w:space="0" w:color="auto"/>
                <w:bottom w:val="none" w:sz="0" w:space="0" w:color="auto"/>
                <w:right w:val="none" w:sz="0" w:space="0" w:color="auto"/>
              </w:divBdr>
              <w:divsChild>
                <w:div w:id="1273903243">
                  <w:marLeft w:val="0"/>
                  <w:marRight w:val="0"/>
                  <w:marTop w:val="0"/>
                  <w:marBottom w:val="0"/>
                  <w:divBdr>
                    <w:top w:val="none" w:sz="0" w:space="0" w:color="auto"/>
                    <w:left w:val="none" w:sz="0" w:space="0" w:color="auto"/>
                    <w:bottom w:val="none" w:sz="0" w:space="0" w:color="auto"/>
                    <w:right w:val="none" w:sz="0" w:space="0" w:color="auto"/>
                  </w:divBdr>
                  <w:divsChild>
                    <w:div w:id="1273903295">
                      <w:marLeft w:val="0"/>
                      <w:marRight w:val="0"/>
                      <w:marTop w:val="0"/>
                      <w:marBottom w:val="0"/>
                      <w:divBdr>
                        <w:top w:val="none" w:sz="0" w:space="0" w:color="auto"/>
                        <w:left w:val="none" w:sz="0" w:space="0" w:color="auto"/>
                        <w:bottom w:val="none" w:sz="0" w:space="0" w:color="auto"/>
                        <w:right w:val="none" w:sz="0" w:space="0" w:color="auto"/>
                      </w:divBdr>
                      <w:divsChild>
                        <w:div w:id="1273903269">
                          <w:marLeft w:val="0"/>
                          <w:marRight w:val="0"/>
                          <w:marTop w:val="0"/>
                          <w:marBottom w:val="0"/>
                          <w:divBdr>
                            <w:top w:val="none" w:sz="0" w:space="0" w:color="auto"/>
                            <w:left w:val="none" w:sz="0" w:space="0" w:color="auto"/>
                            <w:bottom w:val="none" w:sz="0" w:space="0" w:color="auto"/>
                            <w:right w:val="none" w:sz="0" w:space="0" w:color="auto"/>
                          </w:divBdr>
                          <w:divsChild>
                            <w:div w:id="127390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wmf"/><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forex.hexun.com/eur/" TargetMode="External"/><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4.wmf"/><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1128</Words>
  <Characters>6436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导语</dc:title>
  <dc:subject/>
  <dc:creator>shanghai vstone</dc:creator>
  <cp:keywords/>
  <dc:description/>
  <cp:lastModifiedBy>User</cp:lastModifiedBy>
  <cp:revision>2</cp:revision>
  <dcterms:created xsi:type="dcterms:W3CDTF">2014-09-03T06:37:00Z</dcterms:created>
  <dcterms:modified xsi:type="dcterms:W3CDTF">2014-09-03T06:37:00Z</dcterms:modified>
</cp:coreProperties>
</file>