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BE" w:rsidRDefault="00CF6ABE" w:rsidP="006A5488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.5pt;margin-top:279.2pt;width:148.5pt;height:275.6pt;z-index:251658240" strokecolor="white" strokeweight="0">
            <v:stroke dashstyle="1 1" endcap="round"/>
            <v:textbox>
              <w:txbxContent>
                <w:p w:rsidR="00CF6ABE" w:rsidRPr="00635482" w:rsidRDefault="00CF6ABE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b/>
                      <w:lang w:val="en-GB"/>
                    </w:rPr>
                    <w:t>凯石工场移动平台：</w:t>
                  </w:r>
                </w:p>
                <w:p w:rsidR="00CF6ABE" w:rsidRPr="00635482" w:rsidRDefault="00CF6ABE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</w:p>
                <w:p w:rsidR="00CF6ABE" w:rsidRPr="00635482" w:rsidRDefault="00CF6ABE" w:rsidP="005B0E69"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官方微博：</w:t>
                  </w:r>
                </w:p>
                <w:p w:rsidR="00CF6ABE" w:rsidRPr="00635482" w:rsidRDefault="00CF6ABE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凯石财富工场</w:t>
                  </w:r>
                </w:p>
                <w:p w:rsidR="00CF6ABE" w:rsidRDefault="00CF6ABE" w:rsidP="005B0E69">
                  <w:r w:rsidRPr="003D4F54">
                    <w:rPr>
                      <w:noProof/>
                    </w:rPr>
                    <w:pict>
                      <v:shape id="图片 5" o:spid="_x0000_i1044" type="#_x0000_t75" alt="66.jpg" style="width:73.5pt;height:73.5pt;visibility:visible">
                        <v:imagedata r:id="rId7" o:title=""/>
                      </v:shape>
                    </w:pict>
                  </w:r>
                </w:p>
                <w:p w:rsidR="00CF6ABE" w:rsidRDefault="00CF6ABE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</w:p>
                <w:p w:rsidR="00CF6ABE" w:rsidRPr="00635482" w:rsidRDefault="00CF6ABE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官方微信：</w:t>
                  </w:r>
                </w:p>
                <w:p w:rsidR="00CF6ABE" w:rsidRPr="00635482" w:rsidRDefault="00CF6ABE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凯石财富知音订阅号</w:t>
                  </w:r>
                </w:p>
                <w:p w:rsidR="00CF6ABE" w:rsidRDefault="00CF6ABE" w:rsidP="005B0E69">
                  <w:r w:rsidRPr="005A2B4E">
                    <w:rPr>
                      <w:rFonts w:ascii="楷体" w:eastAsia="楷体" w:hAnsi="楷体"/>
                      <w:b/>
                      <w:noProof/>
                    </w:rPr>
                    <w:pict>
                      <v:shape id="图片 7" o:spid="_x0000_i1045" type="#_x0000_t75" alt="凯石财富知音订阅号3.jpg" style="width:75pt;height:7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导语</w:t>
      </w:r>
    </w:p>
    <w:p w:rsidR="00CF6ABE" w:rsidRDefault="00CF6ABE" w:rsidP="00F2020C">
      <w:pPr>
        <w:widowControl/>
        <w:spacing w:after="120"/>
        <w:ind w:leftChars="1783" w:left="31680" w:firstLineChars="200" w:firstLine="31680"/>
        <w:rPr>
          <w:rFonts w:ascii="Arial" w:eastAsia="楷体" w:hAnsi="楷体" w:cs="Arial"/>
          <w:color w:val="000000"/>
          <w:kern w:val="0"/>
          <w:szCs w:val="20"/>
          <w:lang w:val="en-GB"/>
        </w:rPr>
      </w:pP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上周（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2014.08.18~22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）市场延续高位震荡，成长风格走强，沪深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300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和中证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500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涨幅相较前一周都有回落，创业板涨幅（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4.97%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）较大。</w:t>
      </w:r>
      <w:r w:rsidRPr="00FC2845">
        <w:rPr>
          <w:rFonts w:eastAsia="楷体" w:cs="Arial" w:hint="eastAsia"/>
          <w:color w:val="000000"/>
        </w:rPr>
        <w:t>周四公布的汇丰</w:t>
      </w:r>
      <w:r w:rsidRPr="00FC2845">
        <w:rPr>
          <w:rFonts w:eastAsia="楷体" w:cs="Arial"/>
          <w:color w:val="000000"/>
        </w:rPr>
        <w:t>PMI</w:t>
      </w:r>
      <w:r>
        <w:rPr>
          <w:rFonts w:eastAsia="楷体" w:cs="Arial" w:hint="eastAsia"/>
          <w:color w:val="000000"/>
        </w:rPr>
        <w:t>不及预期一度引发跳水，但市场快速收复了失地。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资金面宽松依旧，央行公开市场进行了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400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亿元正回购，已是连续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2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周实现资金净投放，累计投放量为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110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亿元。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29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个中信一级行业有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26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个上涨，传媒业以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10.39%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的涨幅遥遥领先，而前期上行的汽车行业则下跌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0.22%</w:t>
      </w:r>
      <w:r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。</w:t>
      </w:r>
    </w:p>
    <w:p w:rsidR="00CF6ABE" w:rsidRPr="006D6C35" w:rsidRDefault="00CF6ABE" w:rsidP="00F2020C">
      <w:pPr>
        <w:widowControl/>
        <w:spacing w:after="120"/>
        <w:ind w:leftChars="1783" w:left="31680" w:firstLineChars="200" w:firstLine="31680"/>
        <w:rPr>
          <w:rFonts w:ascii="Arial" w:eastAsia="楷体" w:hAnsi="Arial" w:cs="Arial"/>
          <w:color w:val="000000"/>
          <w:kern w:val="0"/>
          <w:szCs w:val="20"/>
          <w:lang w:val="en-GB"/>
        </w:rPr>
      </w:pPr>
      <w:r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海外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方面，美国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7</w:t>
      </w:r>
      <w:r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月新屋开工、成屋销售均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创新高，房地产市场正摆脱低迷；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8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月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Markit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制造业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PMI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初值创四年新高，显示制造业部门情况良好。欧元区经济在低通胀环境下继续疲软，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8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月制造业和服务业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PMI</w:t>
      </w:r>
      <w:r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皆下行；与俄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政治形势亦持续紧张。</w:t>
      </w:r>
    </w:p>
    <w:p w:rsidR="00CF6ABE" w:rsidRPr="006D6C35" w:rsidRDefault="00CF6ABE" w:rsidP="00F2020C">
      <w:pPr>
        <w:widowControl/>
        <w:spacing w:after="120"/>
        <w:ind w:leftChars="1783" w:left="31680" w:firstLineChars="200" w:firstLine="31680"/>
        <w:rPr>
          <w:rFonts w:ascii="Arial" w:eastAsia="楷体" w:hAnsi="Arial" w:cs="Arial"/>
          <w:color w:val="000000"/>
          <w:kern w:val="0"/>
          <w:szCs w:val="20"/>
          <w:lang w:val="en-GB"/>
        </w:rPr>
      </w:pP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凯石工场统计范围内的各类型公募基金中，股票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-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主动型基金表现优于股票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-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指数型，混合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-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灵活型基金业绩赶超混合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-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偏股型</w:t>
      </w:r>
      <w:r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；债基涨幅有所收窄；货币基金依旧没有起色，平均收益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较上期微跌；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QDII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基金（</w:t>
      </w:r>
      <w:r>
        <w:rPr>
          <w:rFonts w:ascii="Arial" w:eastAsia="楷体" w:hAnsi="Arial" w:cs="Arial"/>
          <w:color w:val="000000"/>
          <w:kern w:val="0"/>
          <w:szCs w:val="20"/>
          <w:lang w:val="en-GB"/>
        </w:rPr>
        <w:t>2014.08.15~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21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）下跌的多</w:t>
      </w:r>
      <w:r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为商品和新兴市场基金，领涨多为美股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基金。产品方面，中欧盛世成长分级，华商盛世成长，富国创业板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B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，方正富邦货币</w:t>
      </w:r>
      <w:r w:rsidRPr="006D6C35">
        <w:rPr>
          <w:rFonts w:ascii="Arial" w:eastAsia="楷体" w:hAnsi="Arial" w:cs="Arial"/>
          <w:color w:val="000000"/>
          <w:kern w:val="0"/>
          <w:szCs w:val="20"/>
          <w:lang w:val="en-GB"/>
        </w:rPr>
        <w:t>B</w:t>
      </w:r>
      <w:r w:rsidRPr="006D6C35">
        <w:rPr>
          <w:rFonts w:ascii="Arial" w:eastAsia="楷体" w:hAnsi="楷体" w:cs="Arial" w:hint="eastAsia"/>
          <w:color w:val="000000"/>
          <w:kern w:val="0"/>
          <w:szCs w:val="20"/>
          <w:lang w:val="en-GB"/>
        </w:rPr>
        <w:t>，国泰美国房地产开发等业绩居前。</w:t>
      </w:r>
    </w:p>
    <w:p w:rsidR="00CF6ABE" w:rsidRPr="005B7CDB" w:rsidRDefault="00CF6ABE" w:rsidP="0069249C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本周基金投资策略：</w:t>
      </w:r>
      <w:r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坚持稳健均衡</w:t>
      </w:r>
      <w:r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  <w:t xml:space="preserve"> </w:t>
      </w:r>
      <w:r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把握美股投资机会</w:t>
      </w:r>
    </w:p>
    <w:p w:rsidR="00CF6ABE" w:rsidRPr="00233BCB" w:rsidRDefault="00CF6ABE" w:rsidP="00A6686B">
      <w:pPr>
        <w:pStyle w:val="BodyText"/>
        <w:numPr>
          <w:ilvl w:val="4"/>
          <w:numId w:val="1"/>
        </w:numPr>
        <w:spacing w:after="163"/>
        <w:rPr>
          <w:rFonts w:eastAsia="楷体" w:cs="Arial"/>
          <w:color w:val="FF0000"/>
          <w:szCs w:val="21"/>
        </w:rPr>
      </w:pPr>
      <w:r w:rsidRPr="000B31B2">
        <w:rPr>
          <w:rFonts w:eastAsia="楷体" w:hAnsi="楷体" w:cs="Arial" w:hint="eastAsia"/>
          <w:szCs w:val="21"/>
        </w:rPr>
        <w:t>美国二季度</w:t>
      </w:r>
      <w:r w:rsidRPr="000B31B2">
        <w:rPr>
          <w:rFonts w:eastAsia="楷体" w:cs="Arial"/>
          <w:szCs w:val="21"/>
        </w:rPr>
        <w:t>GDP</w:t>
      </w:r>
      <w:r w:rsidRPr="000B31B2">
        <w:rPr>
          <w:rFonts w:eastAsia="楷体" w:hAnsi="楷体" w:cs="Arial" w:hint="eastAsia"/>
          <w:szCs w:val="21"/>
        </w:rPr>
        <w:t>等经济指标大幅超出预期，就业市场持续改善，楼市明显回暖，显示经济内生增长动力依然较强，复苏趋势明朗。年内美联储加息可能性不大，较为宽松的货币政策有望持续较长时间。</w:t>
      </w:r>
      <w:r w:rsidRPr="00233BCB">
        <w:rPr>
          <w:rFonts w:eastAsia="楷体" w:hAnsi="楷体" w:cs="Arial" w:hint="eastAsia"/>
          <w:color w:val="FF0000"/>
          <w:szCs w:val="21"/>
        </w:rPr>
        <w:t>我们继续看好美国股市与楼市，维持</w:t>
      </w:r>
      <w:r w:rsidRPr="00233BCB">
        <w:rPr>
          <w:rFonts w:eastAsia="楷体" w:cs="Arial"/>
          <w:color w:val="FF0000"/>
          <w:szCs w:val="21"/>
        </w:rPr>
        <w:t>“</w:t>
      </w:r>
      <w:r w:rsidRPr="00233BCB">
        <w:rPr>
          <w:rFonts w:eastAsia="楷体" w:hAnsi="楷体" w:cs="Arial" w:hint="eastAsia"/>
          <w:color w:val="FF0000"/>
          <w:szCs w:val="21"/>
        </w:rPr>
        <w:t>美股美房</w:t>
      </w:r>
      <w:r w:rsidRPr="00233BCB">
        <w:rPr>
          <w:rFonts w:eastAsia="楷体" w:cs="Arial"/>
          <w:color w:val="FF0000"/>
          <w:szCs w:val="21"/>
        </w:rPr>
        <w:t>”+“</w:t>
      </w:r>
      <w:r w:rsidRPr="00233BCB">
        <w:rPr>
          <w:rFonts w:eastAsia="楷体" w:hAnsi="楷体" w:cs="Arial" w:hint="eastAsia"/>
          <w:color w:val="FF0000"/>
          <w:szCs w:val="21"/>
        </w:rPr>
        <w:t>香港市场</w:t>
      </w:r>
      <w:r w:rsidRPr="00233BCB">
        <w:rPr>
          <w:rFonts w:eastAsia="楷体" w:cs="Arial"/>
          <w:color w:val="FF0000"/>
          <w:szCs w:val="21"/>
        </w:rPr>
        <w:t>”</w:t>
      </w:r>
      <w:r w:rsidRPr="00233BCB">
        <w:rPr>
          <w:rFonts w:eastAsia="楷体" w:hAnsi="楷体" w:cs="Arial" w:hint="eastAsia"/>
          <w:color w:val="FF0000"/>
          <w:szCs w:val="21"/>
        </w:rPr>
        <w:t>的核心配置，在分散区域风险的同时有效把握住阶段行情。</w:t>
      </w:r>
    </w:p>
    <w:p w:rsidR="00CF6ABE" w:rsidRPr="00484FD6" w:rsidRDefault="00CF6ABE" w:rsidP="00A6686B">
      <w:pPr>
        <w:pStyle w:val="BodyText"/>
        <w:numPr>
          <w:ilvl w:val="4"/>
          <w:numId w:val="1"/>
        </w:numPr>
        <w:spacing w:after="163"/>
        <w:rPr>
          <w:rFonts w:eastAsia="楷体" w:cs="Arial"/>
          <w:color w:val="FF0000"/>
          <w:szCs w:val="21"/>
        </w:rPr>
      </w:pPr>
      <w:r w:rsidRPr="000B31B2">
        <w:rPr>
          <w:rFonts w:eastAsia="楷体" w:hAnsi="楷体" w:cs="Arial" w:hint="eastAsia"/>
          <w:szCs w:val="21"/>
        </w:rPr>
        <w:t>上周公布的</w:t>
      </w:r>
      <w:r w:rsidRPr="000B31B2">
        <w:rPr>
          <w:rFonts w:eastAsia="楷体" w:cs="Arial"/>
          <w:szCs w:val="21"/>
        </w:rPr>
        <w:t>8</w:t>
      </w:r>
      <w:r w:rsidRPr="000B31B2">
        <w:rPr>
          <w:rFonts w:eastAsia="楷体" w:hAnsi="楷体" w:cs="Arial" w:hint="eastAsia"/>
          <w:szCs w:val="21"/>
        </w:rPr>
        <w:t>月汇丰</w:t>
      </w:r>
      <w:r w:rsidRPr="000B31B2">
        <w:rPr>
          <w:rFonts w:eastAsia="楷体" w:cs="Arial"/>
          <w:szCs w:val="21"/>
        </w:rPr>
        <w:t>PMI</w:t>
      </w:r>
      <w:r w:rsidRPr="000B31B2">
        <w:rPr>
          <w:rFonts w:eastAsia="楷体" w:hAnsi="楷体" w:cs="Arial" w:hint="eastAsia"/>
          <w:szCs w:val="21"/>
        </w:rPr>
        <w:t>初值数据的大幅回落引发了市场的关注，不过虽然在一定程度上是由于受到国内外需求疲弱的影响，但对于前期数据的纠偏因素更加明显。上周央行在公开市场净投放资金</w:t>
      </w:r>
      <w:r w:rsidRPr="000B31B2">
        <w:rPr>
          <w:rFonts w:eastAsia="楷体" w:cs="Arial"/>
          <w:szCs w:val="21"/>
        </w:rPr>
        <w:t>110</w:t>
      </w:r>
      <w:r w:rsidRPr="000B31B2">
        <w:rPr>
          <w:rFonts w:eastAsia="楷体" w:hAnsi="楷体" w:cs="Arial" w:hint="eastAsia"/>
          <w:szCs w:val="21"/>
        </w:rPr>
        <w:t>亿元，延续净投放操作，考虑到当前经济复苏势头已经趋缓，政府随时有望加大刺激力度，因此货币政策短期将保持适度宽松。总体来看，目前影响债市的利多、利空因素相互交织，且没有一方具备短期内发生趋势性变化的可能，在此背景下，利率总体震荡格局将会延续，随之而来的基金投资难度也会加大</w:t>
      </w:r>
      <w:r>
        <w:rPr>
          <w:rFonts w:eastAsia="楷体" w:hAnsi="楷体" w:cs="Arial" w:hint="eastAsia"/>
          <w:szCs w:val="21"/>
        </w:rPr>
        <w:t>。</w:t>
      </w:r>
      <w:r w:rsidRPr="00484FD6">
        <w:rPr>
          <w:rFonts w:eastAsia="楷体" w:hAnsi="楷体" w:cs="Arial" w:hint="eastAsia"/>
          <w:color w:val="FF0000"/>
          <w:szCs w:val="21"/>
        </w:rPr>
        <w:t>具体建议关注信用债配置比例较高的基金投资机会，把握其中高评级品种，特别是风险相对可控的高评级城投债投资比例较多的基金。</w:t>
      </w:r>
    </w:p>
    <w:p w:rsidR="00CF6ABE" w:rsidRPr="000B31B2" w:rsidRDefault="00CF6ABE" w:rsidP="00A6686B">
      <w:pPr>
        <w:pStyle w:val="BodyText"/>
        <w:numPr>
          <w:ilvl w:val="4"/>
          <w:numId w:val="1"/>
        </w:numPr>
        <w:spacing w:after="163"/>
        <w:rPr>
          <w:rFonts w:eastAsia="楷体" w:cs="Arial"/>
          <w:color w:val="auto"/>
        </w:rPr>
      </w:pPr>
      <w:r>
        <w:rPr>
          <w:rFonts w:eastAsia="楷体" w:cs="Arial"/>
        </w:rPr>
        <w:t>A</w:t>
      </w:r>
      <w:r>
        <w:rPr>
          <w:rFonts w:eastAsia="楷体" w:cs="Arial" w:hint="eastAsia"/>
        </w:rPr>
        <w:t>股方面，</w:t>
      </w:r>
      <w:r w:rsidRPr="000B31B2">
        <w:rPr>
          <w:rFonts w:eastAsia="楷体" w:hAnsi="楷体" w:cs="Arial" w:hint="eastAsia"/>
        </w:rPr>
        <w:t>短期数据波动反映出现阶段宏观经济复杂性特征未变，企稳复苏之路并不平坦，但亦为后续政策激励打开空间。未来市场或仍以震荡的结构性、主题性行情为主。</w:t>
      </w:r>
      <w:r w:rsidRPr="00233BCB">
        <w:rPr>
          <w:rFonts w:eastAsia="楷体" w:hAnsi="楷体" w:cs="Arial" w:hint="eastAsia"/>
          <w:color w:val="FF0000"/>
        </w:rPr>
        <w:t>对于偏股基金投资而言，坚持稳健、均衡的配置策略。</w:t>
      </w:r>
      <w:r w:rsidRPr="000B31B2">
        <w:rPr>
          <w:rFonts w:eastAsia="楷体" w:hAnsi="楷体" w:cs="Arial" w:hint="eastAsia"/>
        </w:rPr>
        <w:t>一方面以仓位水平适中、行业配置相对均衡、管理能力突出的平衡风格基金作为核心配置品种；另一方注重组合成长、价值资产间的调和。在配置方向上，符合经济结构转型要求、具备业绩防御性的消费、公共服务板块（如食品酿酒、</w:t>
      </w:r>
      <w:r>
        <w:rPr>
          <w:rFonts w:eastAsia="楷体" w:hAnsi="楷体" w:cs="Arial" w:hint="eastAsia"/>
        </w:rPr>
        <w:t>零售、医疗、家电、汽车、交运、电力等），相关基金品种仍可持续</w:t>
      </w:r>
      <w:r w:rsidRPr="000B31B2">
        <w:rPr>
          <w:rFonts w:eastAsia="楷体" w:hAnsi="楷体" w:cs="Arial" w:hint="eastAsia"/>
        </w:rPr>
        <w:t>关注。</w:t>
      </w:r>
    </w:p>
    <w:p w:rsidR="00CF6ABE" w:rsidRPr="005B7CDB" w:rsidRDefault="00CF6ABE" w:rsidP="003C0101">
      <w:pPr>
        <w:pStyle w:val="BodyText"/>
        <w:spacing w:after="163"/>
        <w:ind w:left="3430"/>
        <w:rPr>
          <w:rFonts w:ascii="楷体" w:eastAsia="楷体" w:hAnsi="楷体"/>
          <w:b/>
          <w:bCs/>
          <w:color w:val="0070C0"/>
          <w:sz w:val="24"/>
        </w:rPr>
      </w:pPr>
      <w:r>
        <w:rPr>
          <w:rFonts w:eastAsia="楷体" w:hAnsi="楷体" w:cs="Arial"/>
          <w:b/>
          <w:color w:val="auto"/>
        </w:rPr>
        <w:t xml:space="preserve">    </w:t>
      </w:r>
      <w:r w:rsidRPr="005B7CDB">
        <w:rPr>
          <w:rFonts w:ascii="楷体" w:eastAsia="楷体" w:hAnsi="楷体" w:hint="eastAsia"/>
          <w:b/>
          <w:bCs/>
          <w:color w:val="0070C0"/>
          <w:sz w:val="24"/>
        </w:rPr>
        <w:t>每周微点评</w:t>
      </w:r>
    </w:p>
    <w:tbl>
      <w:tblPr>
        <w:tblW w:w="11483" w:type="dxa"/>
        <w:tblInd w:w="-426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55"/>
        <w:gridCol w:w="5528"/>
      </w:tblGrid>
      <w:tr w:rsidR="00CF6ABE" w:rsidRPr="005A2B4E" w:rsidTr="00901DFE">
        <w:trPr>
          <w:cantSplit/>
          <w:trHeight w:val="335"/>
        </w:trPr>
        <w:tc>
          <w:tcPr>
            <w:tcW w:w="11483" w:type="dxa"/>
            <w:gridSpan w:val="2"/>
            <w:vAlign w:val="center"/>
          </w:tcPr>
          <w:p w:rsidR="00CF6ABE" w:rsidRPr="005B7CDB" w:rsidRDefault="00CF6ABE" w:rsidP="00517D66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1</w:t>
            </w:r>
            <w:r w:rsidRPr="005B7CDB">
              <w:rPr>
                <w:rFonts w:ascii="楷体" w:eastAsia="楷体" w:hAnsi="楷体" w:hint="eastAsia"/>
                <w:color w:val="FF6600"/>
              </w:rPr>
              <w:t>：基金行业近期动态及点评</w:t>
            </w:r>
          </w:p>
        </w:tc>
      </w:tr>
      <w:tr w:rsidR="00CF6ABE" w:rsidRPr="005A2B4E" w:rsidTr="00FC5668">
        <w:trPr>
          <w:cantSplit/>
          <w:trHeight w:val="284"/>
        </w:trPr>
        <w:tc>
          <w:tcPr>
            <w:tcW w:w="5955" w:type="dxa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517D6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微新闻</w:t>
            </w:r>
          </w:p>
        </w:tc>
        <w:tc>
          <w:tcPr>
            <w:tcW w:w="5528" w:type="dxa"/>
            <w:tcBorders>
              <w:lef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517D6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微点评</w:t>
            </w:r>
          </w:p>
        </w:tc>
      </w:tr>
      <w:tr w:rsidR="00CF6ABE" w:rsidRPr="005A2B4E" w:rsidTr="00FC5668">
        <w:trPr>
          <w:cantSplit/>
          <w:trHeight w:val="284"/>
        </w:trPr>
        <w:tc>
          <w:tcPr>
            <w:tcW w:w="5955" w:type="dxa"/>
            <w:tcBorders>
              <w:right w:val="single" w:sz="6" w:space="0" w:color="FF6600"/>
            </w:tcBorders>
            <w:vAlign w:val="center"/>
          </w:tcPr>
          <w:p w:rsidR="00CF6ABE" w:rsidRPr="005A2B4E" w:rsidRDefault="00CF6ABE" w:rsidP="00FC5668">
            <w:pPr>
              <w:snapToGrid w:val="0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333333"/>
                <w:sz w:val="18"/>
                <w:szCs w:val="18"/>
              </w:rPr>
              <w:t>中国证券登记结算公司公布了新版《证券账户管理规则</w:t>
            </w:r>
            <w:r w:rsidRPr="005A2B4E">
              <w:rPr>
                <w:rFonts w:ascii="楷体" w:eastAsia="楷体" w:hAnsi="楷体"/>
                <w:color w:val="333333"/>
                <w:sz w:val="18"/>
                <w:szCs w:val="18"/>
              </w:rPr>
              <w:t>(</w:t>
            </w:r>
            <w:r w:rsidRPr="005A2B4E">
              <w:rPr>
                <w:rFonts w:ascii="楷体" w:eastAsia="楷体" w:hAnsi="楷体" w:hint="eastAsia"/>
                <w:color w:val="333333"/>
                <w:sz w:val="18"/>
                <w:szCs w:val="18"/>
              </w:rPr>
              <w:t>修订版</w:t>
            </w:r>
            <w:r w:rsidRPr="005A2B4E">
              <w:rPr>
                <w:rFonts w:ascii="楷体" w:eastAsia="楷体" w:hAnsi="楷体"/>
                <w:color w:val="333333"/>
                <w:sz w:val="18"/>
                <w:szCs w:val="18"/>
              </w:rPr>
              <w:t>)</w:t>
            </w:r>
            <w:r w:rsidRPr="005A2B4E">
              <w:rPr>
                <w:rFonts w:ascii="楷体" w:eastAsia="楷体" w:hAnsi="楷体" w:hint="eastAsia"/>
                <w:color w:val="333333"/>
                <w:sz w:val="18"/>
                <w:szCs w:val="18"/>
              </w:rPr>
              <w:t>》，明确</w:t>
            </w:r>
            <w:r w:rsidRPr="005A2B4E">
              <w:rPr>
                <w:rFonts w:ascii="楷体" w:eastAsia="楷体" w:hAnsi="楷体"/>
                <w:color w:val="333333"/>
                <w:sz w:val="18"/>
                <w:szCs w:val="18"/>
              </w:rPr>
              <w:t>A</w:t>
            </w:r>
            <w:r w:rsidRPr="005A2B4E">
              <w:rPr>
                <w:rFonts w:ascii="楷体" w:eastAsia="楷体" w:hAnsi="楷体" w:hint="eastAsia"/>
                <w:color w:val="333333"/>
                <w:sz w:val="18"/>
                <w:szCs w:val="18"/>
              </w:rPr>
              <w:t>股放开</w:t>
            </w:r>
            <w:r w:rsidRPr="005A2B4E">
              <w:rPr>
                <w:rFonts w:ascii="楷体" w:eastAsia="楷体" w:hAnsi="楷体" w:hint="eastAsia"/>
                <w:b/>
                <w:color w:val="333333"/>
                <w:sz w:val="18"/>
                <w:szCs w:val="18"/>
              </w:rPr>
              <w:t>一</w:t>
            </w:r>
            <w:r w:rsidRPr="005A2B4E">
              <w:rPr>
                <w:rFonts w:ascii="楷体" w:eastAsia="楷体" w:hAnsi="楷体" w:hint="eastAsia"/>
                <w:color w:val="333333"/>
                <w:sz w:val="18"/>
                <w:szCs w:val="18"/>
              </w:rPr>
              <w:t>人一户限制，每个投资者可以拥有一个总账户和若干个子账户。</w:t>
            </w:r>
          </w:p>
        </w:tc>
        <w:tc>
          <w:tcPr>
            <w:tcW w:w="5528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FC5668">
            <w:pPr>
              <w:snapToGrid w:val="0"/>
              <w:jc w:val="left"/>
              <w:rPr>
                <w:rFonts w:ascii="楷体" w:eastAsia="楷体" w:hAnsi="楷体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333333"/>
                <w:sz w:val="18"/>
                <w:szCs w:val="18"/>
              </w:rPr>
              <w:t>放开一人一户限制降低了市场成本和开户费，进而加大了</w:t>
            </w:r>
            <w:r w:rsidRPr="005A2B4E">
              <w:rPr>
                <w:rFonts w:ascii="楷体" w:eastAsia="楷体" w:hAnsi="楷体"/>
                <w:color w:val="333333"/>
                <w:sz w:val="18"/>
                <w:szCs w:val="18"/>
              </w:rPr>
              <w:t>A</w:t>
            </w:r>
            <w:r w:rsidRPr="005A2B4E">
              <w:rPr>
                <w:rFonts w:ascii="楷体" w:eastAsia="楷体" w:hAnsi="楷体" w:hint="eastAsia"/>
                <w:color w:val="333333"/>
                <w:sz w:val="18"/>
                <w:szCs w:val="18"/>
              </w:rPr>
              <w:t>股市场的开户引力。</w:t>
            </w:r>
          </w:p>
        </w:tc>
      </w:tr>
      <w:tr w:rsidR="00CF6ABE" w:rsidRPr="005A2B4E" w:rsidTr="00FC5668">
        <w:trPr>
          <w:cantSplit/>
          <w:trHeight w:val="284"/>
        </w:trPr>
        <w:tc>
          <w:tcPr>
            <w:tcW w:w="5955" w:type="dxa"/>
            <w:tcBorders>
              <w:right w:val="single" w:sz="6" w:space="0" w:color="FF6600"/>
            </w:tcBorders>
            <w:vAlign w:val="center"/>
          </w:tcPr>
          <w:p w:rsidR="00CF6ABE" w:rsidRPr="005A2B4E" w:rsidRDefault="00CF6ABE" w:rsidP="00FC2845">
            <w:pPr>
              <w:snapToGrid w:val="0"/>
              <w:jc w:val="left"/>
              <w:rPr>
                <w:rFonts w:ascii="楷体" w:eastAsia="楷体" w:hAnsi="楷体"/>
                <w:color w:val="454545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454545"/>
                <w:sz w:val="18"/>
                <w:szCs w:val="18"/>
              </w:rPr>
              <w:t>公募基金现“人才荒”，申万菱信张少华、信诚吴雅楠、汇添富曾刚，分别以独自托管</w:t>
            </w:r>
            <w:r w:rsidRPr="005A2B4E">
              <w:rPr>
                <w:rFonts w:ascii="楷体" w:eastAsia="楷体" w:hAnsi="楷体"/>
                <w:color w:val="454545"/>
                <w:sz w:val="18"/>
                <w:szCs w:val="18"/>
              </w:rPr>
              <w:t>16</w:t>
            </w:r>
            <w:r w:rsidRPr="005A2B4E">
              <w:rPr>
                <w:rFonts w:ascii="楷体" w:eastAsia="楷体" w:hAnsi="楷体" w:hint="eastAsia"/>
                <w:color w:val="454545"/>
                <w:sz w:val="18"/>
                <w:szCs w:val="18"/>
              </w:rPr>
              <w:t>只、</w:t>
            </w:r>
            <w:r w:rsidRPr="005A2B4E">
              <w:rPr>
                <w:rFonts w:ascii="楷体" w:eastAsia="楷体" w:hAnsi="楷体"/>
                <w:color w:val="454545"/>
                <w:sz w:val="18"/>
                <w:szCs w:val="18"/>
              </w:rPr>
              <w:t>15</w:t>
            </w:r>
            <w:r w:rsidRPr="005A2B4E">
              <w:rPr>
                <w:rFonts w:ascii="楷体" w:eastAsia="楷体" w:hAnsi="楷体" w:hint="eastAsia"/>
                <w:color w:val="454545"/>
                <w:sz w:val="18"/>
                <w:szCs w:val="18"/>
              </w:rPr>
              <w:t>只、</w:t>
            </w:r>
            <w:r w:rsidRPr="005A2B4E">
              <w:rPr>
                <w:rFonts w:ascii="楷体" w:eastAsia="楷体" w:hAnsi="楷体"/>
                <w:color w:val="454545"/>
                <w:sz w:val="18"/>
                <w:szCs w:val="18"/>
              </w:rPr>
              <w:t>13</w:t>
            </w:r>
            <w:r w:rsidRPr="005A2B4E">
              <w:rPr>
                <w:rFonts w:ascii="楷体" w:eastAsia="楷体" w:hAnsi="楷体" w:hint="eastAsia"/>
                <w:color w:val="454545"/>
                <w:sz w:val="18"/>
                <w:szCs w:val="18"/>
              </w:rPr>
              <w:t>只基金的成绩成为“一拖多”最多的前三大基金经理。</w:t>
            </w:r>
          </w:p>
        </w:tc>
        <w:tc>
          <w:tcPr>
            <w:tcW w:w="5528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FC5668">
            <w:pPr>
              <w:snapToGrid w:val="0"/>
              <w:jc w:val="left"/>
              <w:rPr>
                <w:rFonts w:ascii="楷体" w:eastAsia="楷体" w:hAnsi="楷体"/>
                <w:color w:val="333333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333333"/>
                <w:sz w:val="18"/>
                <w:szCs w:val="18"/>
              </w:rPr>
              <w:t>基金新发产品层出不穷，但基金管理人才却越来越匮乏。基金经理“一拖多”，恐将导致基金业绩的分化。</w:t>
            </w:r>
          </w:p>
        </w:tc>
      </w:tr>
    </w:tbl>
    <w:p w:rsidR="00CF6ABE" w:rsidRPr="005B7CDB" w:rsidRDefault="00CF6ABE" w:rsidP="0069249C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来源：凯石财富工场</w:t>
      </w:r>
    </w:p>
    <w:p w:rsidR="00CF6ABE" w:rsidRPr="005B7CDB" w:rsidRDefault="00CF6ABE" w:rsidP="006A5488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公募基金一周业绩</w:t>
      </w:r>
    </w:p>
    <w:p w:rsidR="00CF6ABE" w:rsidRPr="005B7CDB" w:rsidRDefault="00CF6ABE" w:rsidP="00CB1BC1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国内外股市一周表现：</w:t>
      </w:r>
      <w:r w:rsidRPr="00BE6F0C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行情继续，乘势而上</w:t>
      </w:r>
    </w:p>
    <w:p w:rsidR="00CF6ABE" w:rsidRPr="00FC2845" w:rsidRDefault="00CF6ABE" w:rsidP="00E21164">
      <w:pPr>
        <w:pStyle w:val="BodyText"/>
        <w:numPr>
          <w:ilvl w:val="4"/>
          <w:numId w:val="1"/>
        </w:numPr>
        <w:spacing w:after="163"/>
        <w:rPr>
          <w:rFonts w:eastAsia="楷体" w:cs="Arial"/>
        </w:rPr>
      </w:pPr>
      <w:r w:rsidRPr="00233BCB">
        <w:rPr>
          <w:rFonts w:eastAsia="楷体" w:cs="Arial" w:hint="eastAsia"/>
          <w:color w:val="FF0000"/>
        </w:rPr>
        <w:t>截至</w:t>
      </w:r>
      <w:r w:rsidRPr="00233BCB">
        <w:rPr>
          <w:rFonts w:eastAsia="楷体" w:cs="Arial"/>
          <w:color w:val="FF0000"/>
        </w:rPr>
        <w:t>8</w:t>
      </w:r>
      <w:r w:rsidRPr="00233BCB">
        <w:rPr>
          <w:rFonts w:eastAsia="楷体" w:cs="Arial" w:hint="eastAsia"/>
          <w:color w:val="FF0000"/>
        </w:rPr>
        <w:t>月</w:t>
      </w:r>
      <w:r w:rsidRPr="00233BCB">
        <w:rPr>
          <w:rFonts w:eastAsia="楷体" w:cs="Arial"/>
          <w:color w:val="FF0000"/>
        </w:rPr>
        <w:t>22</w:t>
      </w:r>
      <w:r w:rsidRPr="00233BCB">
        <w:rPr>
          <w:rFonts w:eastAsia="楷体" w:cs="Arial" w:hint="eastAsia"/>
          <w:color w:val="FF0000"/>
        </w:rPr>
        <w:t>日的一周，市场延续高位震荡，成长风格明显走强。沪深</w:t>
      </w:r>
      <w:r w:rsidRPr="00233BCB">
        <w:rPr>
          <w:rFonts w:eastAsia="楷体" w:cs="Arial"/>
          <w:color w:val="FF0000"/>
        </w:rPr>
        <w:t>300</w:t>
      </w:r>
      <w:r w:rsidRPr="00233BCB">
        <w:rPr>
          <w:rFonts w:eastAsia="楷体" w:cs="Arial" w:hint="eastAsia"/>
          <w:color w:val="FF0000"/>
        </w:rPr>
        <w:t>和中证</w:t>
      </w:r>
      <w:r w:rsidRPr="00233BCB">
        <w:rPr>
          <w:rFonts w:eastAsia="楷体" w:cs="Arial"/>
          <w:color w:val="FF0000"/>
        </w:rPr>
        <w:t>500</w:t>
      </w:r>
      <w:r w:rsidRPr="00233BCB">
        <w:rPr>
          <w:rFonts w:eastAsia="楷体" w:cs="Arial" w:hint="eastAsia"/>
          <w:color w:val="FF0000"/>
        </w:rPr>
        <w:t>涨幅皆较前一周有所回落，中小板继续上涨，创业板涨幅（</w:t>
      </w:r>
      <w:r w:rsidRPr="00233BCB">
        <w:rPr>
          <w:rFonts w:eastAsia="楷体" w:cs="Arial"/>
          <w:color w:val="FF0000"/>
        </w:rPr>
        <w:t>4.97%</w:t>
      </w:r>
      <w:r w:rsidRPr="00233BCB">
        <w:rPr>
          <w:rFonts w:eastAsia="楷体" w:cs="Arial" w:hint="eastAsia"/>
          <w:color w:val="FF0000"/>
        </w:rPr>
        <w:t>）较大</w:t>
      </w:r>
      <w:r>
        <w:rPr>
          <w:rFonts w:eastAsia="楷体" w:cs="Arial" w:hint="eastAsia"/>
        </w:rPr>
        <w:t>。</w:t>
      </w:r>
      <w:r w:rsidRPr="00FC2845">
        <w:rPr>
          <w:rFonts w:eastAsia="楷体" w:cs="Arial" w:hint="eastAsia"/>
        </w:rPr>
        <w:t>周四公布的汇丰</w:t>
      </w:r>
      <w:r w:rsidRPr="00FC2845">
        <w:rPr>
          <w:rFonts w:eastAsia="楷体" w:cs="Arial"/>
        </w:rPr>
        <w:t>PMI</w:t>
      </w:r>
      <w:r>
        <w:rPr>
          <w:rFonts w:eastAsia="楷体" w:cs="Arial" w:hint="eastAsia"/>
        </w:rPr>
        <w:t>不及预期一度引发跳水，但市场快速收复了失地。</w:t>
      </w:r>
      <w:r w:rsidRPr="00FC2845">
        <w:rPr>
          <w:rFonts w:eastAsia="楷体" w:cs="Arial" w:hint="eastAsia"/>
        </w:rPr>
        <w:t>资金面宽松依旧，上周央行公开市场进行了</w:t>
      </w:r>
      <w:r w:rsidRPr="00FC2845">
        <w:rPr>
          <w:rFonts w:eastAsia="楷体" w:cs="Arial"/>
        </w:rPr>
        <w:t>400</w:t>
      </w:r>
      <w:r w:rsidRPr="00FC2845">
        <w:rPr>
          <w:rFonts w:eastAsia="楷体" w:cs="Arial" w:hint="eastAsia"/>
        </w:rPr>
        <w:t>亿元正回购，已是连续</w:t>
      </w:r>
      <w:r w:rsidRPr="00FC2845">
        <w:rPr>
          <w:rFonts w:eastAsia="楷体" w:cs="Arial"/>
        </w:rPr>
        <w:t>2</w:t>
      </w:r>
      <w:r w:rsidRPr="00FC2845">
        <w:rPr>
          <w:rFonts w:eastAsia="楷体" w:cs="Arial" w:hint="eastAsia"/>
        </w:rPr>
        <w:t>周实现资金净投放，累计投放量为</w:t>
      </w:r>
      <w:r w:rsidRPr="00FC2845">
        <w:rPr>
          <w:rFonts w:eastAsia="楷体" w:cs="Arial"/>
        </w:rPr>
        <w:t>110</w:t>
      </w:r>
      <w:r>
        <w:rPr>
          <w:rFonts w:eastAsia="楷体" w:cs="Arial" w:hint="eastAsia"/>
        </w:rPr>
        <w:t>亿元，</w:t>
      </w:r>
      <w:r w:rsidRPr="00FC2845">
        <w:rPr>
          <w:rFonts w:eastAsia="楷体" w:cs="Arial" w:hint="eastAsia"/>
        </w:rPr>
        <w:t>全周来看资金成本维持在低水平。行业方面，</w:t>
      </w:r>
      <w:r w:rsidRPr="00FC2845">
        <w:rPr>
          <w:rFonts w:eastAsia="楷体" w:cs="Arial"/>
        </w:rPr>
        <w:t>29</w:t>
      </w:r>
      <w:r w:rsidRPr="00FC2845">
        <w:rPr>
          <w:rFonts w:eastAsia="楷体" w:cs="Arial" w:hint="eastAsia"/>
        </w:rPr>
        <w:t>个中信一级行业有</w:t>
      </w:r>
      <w:r w:rsidRPr="00FC2845">
        <w:rPr>
          <w:rFonts w:eastAsia="楷体" w:cs="Arial"/>
        </w:rPr>
        <w:t>26</w:t>
      </w:r>
      <w:r w:rsidRPr="00FC2845">
        <w:rPr>
          <w:rFonts w:eastAsia="楷体" w:cs="Arial" w:hint="eastAsia"/>
        </w:rPr>
        <w:t>个上涨，传媒行业以</w:t>
      </w:r>
      <w:r w:rsidRPr="00FC2845">
        <w:rPr>
          <w:rFonts w:eastAsia="楷体" w:cs="Arial"/>
        </w:rPr>
        <w:t>10.39%</w:t>
      </w:r>
      <w:r w:rsidRPr="00FC2845">
        <w:rPr>
          <w:rFonts w:eastAsia="楷体" w:cs="Arial" w:hint="eastAsia"/>
        </w:rPr>
        <w:t>的涨幅遥遥领先，餐饮旅游行业以</w:t>
      </w:r>
      <w:r w:rsidRPr="00FC2845">
        <w:rPr>
          <w:rFonts w:eastAsia="楷体" w:cs="Arial"/>
        </w:rPr>
        <w:t>6.44%</w:t>
      </w:r>
      <w:r w:rsidRPr="00FC2845">
        <w:rPr>
          <w:rFonts w:eastAsia="楷体" w:cs="Arial" w:hint="eastAsia"/>
        </w:rPr>
        <w:t>的涨幅位居第二，而前期上行的汽车行业则下跌</w:t>
      </w:r>
      <w:r w:rsidRPr="00FC2845">
        <w:rPr>
          <w:rFonts w:eastAsia="楷体" w:cs="Arial"/>
        </w:rPr>
        <w:t>0.22%</w:t>
      </w:r>
      <w:r w:rsidRPr="00FC2845">
        <w:rPr>
          <w:rFonts w:eastAsia="楷体" w:cs="Arial" w:hint="eastAsia"/>
        </w:rPr>
        <w:t>。</w:t>
      </w:r>
    </w:p>
    <w:p w:rsidR="00CF6ABE" w:rsidRPr="000B31B2" w:rsidRDefault="00CF6ABE" w:rsidP="00877D02">
      <w:pPr>
        <w:pStyle w:val="BodyText"/>
        <w:numPr>
          <w:ilvl w:val="4"/>
          <w:numId w:val="1"/>
        </w:numPr>
        <w:spacing w:after="163"/>
        <w:rPr>
          <w:rFonts w:eastAsia="楷体" w:cs="Arial"/>
        </w:rPr>
      </w:pPr>
      <w:r w:rsidRPr="000B31B2">
        <w:rPr>
          <w:rFonts w:eastAsia="楷体" w:hAnsi="楷体" w:cs="Arial" w:hint="eastAsia"/>
        </w:rPr>
        <w:t>海外市场方面（</w:t>
      </w:r>
      <w:r w:rsidRPr="000B31B2">
        <w:rPr>
          <w:rFonts w:eastAsia="楷体" w:cs="Arial"/>
        </w:rPr>
        <w:t>2014.08.15~2014.08.21</w:t>
      </w:r>
      <w:r w:rsidRPr="000B31B2">
        <w:rPr>
          <w:rFonts w:eastAsia="楷体" w:hAnsi="楷体" w:cs="Arial" w:hint="eastAsia"/>
        </w:rPr>
        <w:t>），美国</w:t>
      </w:r>
      <w:r w:rsidRPr="000B31B2">
        <w:rPr>
          <w:rFonts w:eastAsia="楷体" w:cs="Arial"/>
        </w:rPr>
        <w:t>7</w:t>
      </w:r>
      <w:r w:rsidRPr="000B31B2">
        <w:rPr>
          <w:rFonts w:eastAsia="楷体" w:hAnsi="楷体" w:cs="Arial" w:hint="eastAsia"/>
        </w:rPr>
        <w:t>月新屋开工、成屋销售均连创新高，房地产市场正摆脱低迷</w:t>
      </w:r>
      <w:r>
        <w:rPr>
          <w:rFonts w:eastAsia="楷体" w:hAnsi="楷体" w:cs="Arial" w:hint="eastAsia"/>
        </w:rPr>
        <w:t>；</w:t>
      </w:r>
      <w:r w:rsidRPr="000B31B2">
        <w:rPr>
          <w:rFonts w:eastAsia="楷体" w:cs="Arial"/>
        </w:rPr>
        <w:t>8</w:t>
      </w:r>
      <w:r w:rsidRPr="000B31B2">
        <w:rPr>
          <w:rFonts w:eastAsia="楷体" w:hAnsi="楷体" w:cs="Arial" w:hint="eastAsia"/>
        </w:rPr>
        <w:t>月</w:t>
      </w:r>
      <w:r w:rsidRPr="000B31B2">
        <w:rPr>
          <w:rFonts w:eastAsia="楷体" w:cs="Arial"/>
        </w:rPr>
        <w:t>Markit</w:t>
      </w:r>
      <w:r w:rsidRPr="000B31B2">
        <w:rPr>
          <w:rFonts w:eastAsia="楷体" w:hAnsi="楷体" w:cs="Arial" w:hint="eastAsia"/>
        </w:rPr>
        <w:t>制造业</w:t>
      </w:r>
      <w:r w:rsidRPr="000B31B2">
        <w:rPr>
          <w:rFonts w:eastAsia="楷体" w:cs="Arial"/>
        </w:rPr>
        <w:t>PMI</w:t>
      </w:r>
      <w:r>
        <w:rPr>
          <w:rFonts w:eastAsia="楷体" w:hAnsi="楷体" w:cs="Arial" w:hint="eastAsia"/>
        </w:rPr>
        <w:t>初值创四年新高，显示制造业部门情况良好。欧元区经济则在</w:t>
      </w:r>
      <w:r w:rsidRPr="000B31B2">
        <w:rPr>
          <w:rFonts w:eastAsia="楷体" w:hAnsi="楷体" w:cs="Arial" w:hint="eastAsia"/>
        </w:rPr>
        <w:t>低通胀</w:t>
      </w:r>
      <w:r>
        <w:rPr>
          <w:rFonts w:eastAsia="楷体" w:hAnsi="楷体" w:cs="Arial" w:hint="eastAsia"/>
        </w:rPr>
        <w:t>环境下</w:t>
      </w:r>
      <w:r w:rsidRPr="000B31B2">
        <w:rPr>
          <w:rFonts w:eastAsia="楷体" w:hAnsi="楷体" w:cs="Arial" w:hint="eastAsia"/>
        </w:rPr>
        <w:t>继续疲软，</w:t>
      </w:r>
      <w:r w:rsidRPr="000B31B2">
        <w:rPr>
          <w:rFonts w:eastAsia="楷体" w:cs="Arial"/>
        </w:rPr>
        <w:t xml:space="preserve"> 8</w:t>
      </w:r>
      <w:r w:rsidRPr="000B31B2">
        <w:rPr>
          <w:rFonts w:eastAsia="楷体" w:hAnsi="楷体" w:cs="Arial" w:hint="eastAsia"/>
        </w:rPr>
        <w:t>月制造业</w:t>
      </w:r>
      <w:r w:rsidRPr="000B31B2">
        <w:rPr>
          <w:rFonts w:eastAsia="楷体" w:cs="Arial"/>
        </w:rPr>
        <w:t>PMI</w:t>
      </w:r>
      <w:r w:rsidRPr="000B31B2">
        <w:rPr>
          <w:rFonts w:eastAsia="楷体" w:hAnsi="楷体" w:cs="Arial" w:hint="eastAsia"/>
        </w:rPr>
        <w:t>和服务业</w:t>
      </w:r>
      <w:r w:rsidRPr="000B31B2">
        <w:rPr>
          <w:rFonts w:eastAsia="楷体" w:cs="Arial"/>
        </w:rPr>
        <w:t>PMI</w:t>
      </w:r>
      <w:r>
        <w:rPr>
          <w:rFonts w:eastAsia="楷体" w:hAnsi="楷体" w:cs="Arial" w:hint="eastAsia"/>
        </w:rPr>
        <w:t>皆下行</w:t>
      </w:r>
      <w:r w:rsidRPr="000B31B2">
        <w:rPr>
          <w:rFonts w:eastAsia="楷体" w:hAnsi="楷体" w:cs="Arial" w:hint="eastAsia"/>
        </w:rPr>
        <w:t>。与俄国政治形势</w:t>
      </w:r>
      <w:r>
        <w:rPr>
          <w:rFonts w:eastAsia="楷体" w:hAnsi="楷体" w:cs="Arial" w:hint="eastAsia"/>
        </w:rPr>
        <w:t>亦持续紧张。</w:t>
      </w:r>
      <w:r w:rsidRPr="000B31B2">
        <w:rPr>
          <w:rFonts w:eastAsia="楷体" w:hAnsi="楷体" w:cs="Arial" w:hint="eastAsia"/>
        </w:rPr>
        <w:t>证券市场方面，道琼斯工业指数，标普</w:t>
      </w:r>
      <w:r w:rsidRPr="000B31B2">
        <w:rPr>
          <w:rFonts w:eastAsia="楷体" w:cs="Arial"/>
        </w:rPr>
        <w:t>500</w:t>
      </w:r>
      <w:r w:rsidRPr="000B31B2">
        <w:rPr>
          <w:rFonts w:eastAsia="楷体" w:hAnsi="楷体" w:cs="Arial" w:hint="eastAsia"/>
        </w:rPr>
        <w:t>，纳斯达克</w:t>
      </w:r>
      <w:r w:rsidRPr="000B31B2">
        <w:rPr>
          <w:rFonts w:eastAsia="楷体" w:cs="Arial"/>
        </w:rPr>
        <w:t>100</w:t>
      </w:r>
      <w:r w:rsidRPr="000B31B2">
        <w:rPr>
          <w:rFonts w:eastAsia="楷体" w:hAnsi="楷体" w:cs="Arial" w:hint="eastAsia"/>
        </w:rPr>
        <w:t>的涨幅均略有回调，恒生指数</w:t>
      </w:r>
      <w:r>
        <w:rPr>
          <w:rFonts w:eastAsia="楷体" w:hAnsi="楷体" w:cs="Arial" w:hint="eastAsia"/>
        </w:rPr>
        <w:t>涨幅收窄，</w:t>
      </w:r>
      <w:r w:rsidRPr="000B31B2">
        <w:rPr>
          <w:rFonts w:eastAsia="楷体" w:hAnsi="楷体" w:cs="Arial" w:hint="eastAsia"/>
        </w:rPr>
        <w:t>恒生国企指数</w:t>
      </w:r>
      <w:r>
        <w:rPr>
          <w:rFonts w:eastAsia="楷体" w:hAnsi="楷体" w:cs="Arial" w:hint="eastAsia"/>
        </w:rPr>
        <w:t>震荡收跌</w:t>
      </w:r>
      <w:r w:rsidRPr="000B31B2">
        <w:rPr>
          <w:rFonts w:eastAsia="楷体" w:hAnsi="楷体" w:cs="Arial" w:hint="eastAsia"/>
        </w:rPr>
        <w:t>。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103"/>
        <w:gridCol w:w="182"/>
        <w:gridCol w:w="5148"/>
      </w:tblGrid>
      <w:tr w:rsidR="00CF6ABE" w:rsidRPr="005A2B4E" w:rsidTr="00415080">
        <w:trPr>
          <w:cantSplit/>
          <w:trHeight w:val="368"/>
        </w:trPr>
        <w:tc>
          <w:tcPr>
            <w:tcW w:w="5103" w:type="dxa"/>
            <w:tcBorders>
              <w:top w:val="single" w:sz="6" w:space="0" w:color="FF6600"/>
              <w:bottom w:val="single" w:sz="6" w:space="0" w:color="FF6600"/>
            </w:tcBorders>
            <w:vAlign w:val="center"/>
          </w:tcPr>
          <w:p w:rsidR="00CF6ABE" w:rsidRPr="00057142" w:rsidRDefault="00CF6ABE" w:rsidP="00D7627F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5B7CDB">
              <w:rPr>
                <w:rFonts w:ascii="楷体" w:eastAsia="楷体" w:hAnsi="楷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2</w:t>
            </w:r>
            <w:r w:rsidRPr="005B7CDB">
              <w:rPr>
                <w:rFonts w:ascii="楷体" w:eastAsia="楷体" w:hAnsi="楷体" w:hint="eastAsia"/>
                <w:color w:val="FF6600"/>
              </w:rPr>
              <w:t>：各类指数周涨跌</w:t>
            </w:r>
            <w:r>
              <w:rPr>
                <w:rFonts w:ascii="楷体" w:eastAsia="楷体" w:hAnsi="楷体"/>
                <w:color w:val="FF6600"/>
              </w:rPr>
              <w:t>(08.18~22</w:t>
            </w:r>
            <w:r w:rsidRPr="00057142">
              <w:rPr>
                <w:rFonts w:ascii="楷体" w:eastAsia="楷体" w:hAnsi="楷体" w:hint="eastAsia"/>
                <w:color w:val="FF6600"/>
              </w:rPr>
              <w:t>，海外指数</w:t>
            </w:r>
            <w:r>
              <w:rPr>
                <w:rFonts w:ascii="楷体" w:eastAsia="楷体" w:hAnsi="楷体"/>
                <w:color w:val="FF6600"/>
              </w:rPr>
              <w:t>08.15</w:t>
            </w:r>
            <w:r w:rsidRPr="00057142">
              <w:rPr>
                <w:rFonts w:ascii="楷体" w:eastAsia="楷体" w:hAnsi="楷体"/>
                <w:color w:val="FF6600"/>
              </w:rPr>
              <w:t>~</w:t>
            </w:r>
            <w:r>
              <w:rPr>
                <w:rFonts w:ascii="楷体" w:eastAsia="楷体" w:hAnsi="楷体"/>
                <w:color w:val="FF6600"/>
              </w:rPr>
              <w:t>21)</w:t>
            </w:r>
          </w:p>
        </w:tc>
        <w:tc>
          <w:tcPr>
            <w:tcW w:w="182" w:type="dxa"/>
            <w:vAlign w:val="center"/>
          </w:tcPr>
          <w:p w:rsidR="00CF6ABE" w:rsidRPr="005A2B4E" w:rsidRDefault="00CF6ABE" w:rsidP="003B140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0" w:type="auto"/>
            <w:tcBorders>
              <w:top w:val="single" w:sz="6" w:space="0" w:color="FF6600"/>
              <w:bottom w:val="single" w:sz="6" w:space="0" w:color="FF6600"/>
            </w:tcBorders>
            <w:vAlign w:val="center"/>
          </w:tcPr>
          <w:p w:rsidR="00CF6ABE" w:rsidRPr="005B7CDB" w:rsidRDefault="00CF6ABE" w:rsidP="00EF0C15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</w:rPr>
            </w:pPr>
            <w:r w:rsidRPr="005B7CDB">
              <w:rPr>
                <w:rFonts w:ascii="楷体" w:eastAsia="楷体" w:hAnsi="楷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3</w:t>
            </w:r>
            <w:r w:rsidRPr="005B7CDB">
              <w:rPr>
                <w:rFonts w:ascii="楷体" w:eastAsia="楷体" w:hAnsi="楷体" w:hint="eastAsia"/>
                <w:color w:val="FF6600"/>
              </w:rPr>
              <w:t>：中信一级行业板块周涨跌（</w:t>
            </w:r>
            <w:r>
              <w:rPr>
                <w:rFonts w:ascii="楷体" w:eastAsia="楷体" w:hAnsi="楷体"/>
                <w:color w:val="FF6600"/>
              </w:rPr>
              <w:t>08.18~22</w:t>
            </w:r>
            <w:r w:rsidRPr="005B7CDB">
              <w:rPr>
                <w:rFonts w:ascii="楷体" w:eastAsia="楷体" w:hAnsi="楷体" w:hint="eastAsia"/>
                <w:color w:val="FF6600"/>
              </w:rPr>
              <w:t>）</w:t>
            </w:r>
          </w:p>
        </w:tc>
      </w:tr>
      <w:tr w:rsidR="00CF6ABE" w:rsidRPr="005A2B4E" w:rsidTr="00415080">
        <w:trPr>
          <w:cantSplit/>
          <w:trHeight w:val="2713"/>
        </w:trPr>
        <w:tc>
          <w:tcPr>
            <w:tcW w:w="5103" w:type="dxa"/>
            <w:tcBorders>
              <w:top w:val="single" w:sz="6" w:space="0" w:color="FF6600"/>
              <w:bottom w:val="single" w:sz="6" w:space="0" w:color="FF6600"/>
            </w:tcBorders>
            <w:vAlign w:val="center"/>
          </w:tcPr>
          <w:p w:rsidR="00CF6ABE" w:rsidRPr="005A2B4E" w:rsidRDefault="00CF6ABE" w:rsidP="003B1409">
            <w:pPr>
              <w:jc w:val="center"/>
              <w:rPr>
                <w:rFonts w:ascii="楷体" w:eastAsia="楷体" w:hAnsi="楷体"/>
              </w:rPr>
            </w:pPr>
            <w:r w:rsidRPr="005A2B4E">
              <w:rPr>
                <w:rFonts w:ascii="楷体" w:eastAsia="楷体" w:hAnsi="楷体"/>
                <w:noProof/>
              </w:rPr>
              <w:pict>
                <v:shape id="图片 1" o:spid="_x0000_i1046" type="#_x0000_t75" style="width:246.75pt;height:153pt;visibility:visible">
                  <v:imagedata r:id="rId9" o:title=""/>
                </v:shape>
              </w:pict>
            </w:r>
          </w:p>
        </w:tc>
        <w:tc>
          <w:tcPr>
            <w:tcW w:w="182" w:type="dxa"/>
            <w:vAlign w:val="center"/>
          </w:tcPr>
          <w:p w:rsidR="00CF6ABE" w:rsidRPr="005A2B4E" w:rsidRDefault="00CF6ABE" w:rsidP="003B140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0" w:type="auto"/>
            <w:tcBorders>
              <w:top w:val="single" w:sz="6" w:space="0" w:color="FF6600"/>
              <w:bottom w:val="single" w:sz="6" w:space="0" w:color="FF6600"/>
            </w:tcBorders>
            <w:vAlign w:val="center"/>
          </w:tcPr>
          <w:p w:rsidR="00CF6ABE" w:rsidRPr="005A2B4E" w:rsidRDefault="00CF6ABE" w:rsidP="003B1409">
            <w:pPr>
              <w:jc w:val="center"/>
              <w:rPr>
                <w:rFonts w:ascii="楷体" w:eastAsia="楷体" w:hAnsi="楷体"/>
              </w:rPr>
            </w:pPr>
            <w:r w:rsidRPr="005A2B4E">
              <w:rPr>
                <w:rFonts w:ascii="楷体" w:eastAsia="楷体" w:hAnsi="楷体"/>
                <w:noProof/>
              </w:rPr>
              <w:pict>
                <v:shape id="图片 2" o:spid="_x0000_i1047" type="#_x0000_t75" style="width:257.25pt;height:150pt;visibility:visible">
                  <v:imagedata r:id="rId10" o:title=""/>
                </v:shape>
              </w:pict>
            </w:r>
          </w:p>
        </w:tc>
      </w:tr>
    </w:tbl>
    <w:p w:rsidR="00CF6ABE" w:rsidRPr="005B7CDB" w:rsidRDefault="00CF6ABE" w:rsidP="00BD0930">
      <w:pPr>
        <w:pStyle w:val="FootnoteNoline"/>
        <w:ind w:left="0"/>
        <w:jc w:val="left"/>
        <w:rPr>
          <w:rFonts w:ascii="楷体" w:eastAsia="楷体" w:hAnsi="楷体"/>
        </w:rPr>
      </w:pPr>
      <w:r w:rsidRPr="005B7CDB">
        <w:rPr>
          <w:rFonts w:ascii="楷体" w:eastAsia="楷体" w:hAnsi="楷体" w:hint="eastAsia"/>
          <w:color w:val="FF6600"/>
        </w:rPr>
        <w:t>来源：凯石财富工场</w:t>
      </w:r>
      <w:r w:rsidRPr="005B7CDB">
        <w:rPr>
          <w:rFonts w:ascii="楷体" w:eastAsia="楷体" w:hAnsi="楷体"/>
        </w:rPr>
        <w:t xml:space="preserve"> </w:t>
      </w:r>
    </w:p>
    <w:p w:rsidR="00CF6ABE" w:rsidRPr="005B7CDB" w:rsidRDefault="00CF6ABE" w:rsidP="00CB1BC1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各类型公募基金一周业绩：</w:t>
      </w:r>
    </w:p>
    <w:p w:rsidR="00CF6ABE" w:rsidRPr="00360B1F" w:rsidRDefault="00CF6ABE" w:rsidP="00120197">
      <w:pPr>
        <w:pStyle w:val="BodyText"/>
        <w:numPr>
          <w:ilvl w:val="4"/>
          <w:numId w:val="1"/>
        </w:numPr>
        <w:spacing w:after="163"/>
        <w:rPr>
          <w:rFonts w:eastAsia="楷体" w:hAnsi="楷体" w:cs="Arial"/>
        </w:rPr>
      </w:pPr>
      <w:r w:rsidRPr="00233BCB">
        <w:rPr>
          <w:rFonts w:eastAsia="楷体" w:hAnsi="楷体" w:cs="Arial" w:hint="eastAsia"/>
          <w:color w:val="FF0000"/>
        </w:rPr>
        <w:t>上周（</w:t>
      </w:r>
      <w:r w:rsidRPr="00233BCB">
        <w:rPr>
          <w:rFonts w:eastAsia="楷体" w:hAnsi="楷体" w:cs="Arial"/>
          <w:color w:val="FF0000"/>
        </w:rPr>
        <w:t>2014.08.18~2014.08.22</w:t>
      </w:r>
      <w:r w:rsidRPr="00233BCB">
        <w:rPr>
          <w:rFonts w:eastAsia="楷体" w:hAnsi="楷体" w:cs="Arial" w:hint="eastAsia"/>
          <w:color w:val="FF0000"/>
        </w:rPr>
        <w:t>）国内市场股市大小盘分化，蓝筹上涨势头乏力，成长风格基金好于价值风格基金。</w:t>
      </w:r>
      <w:r w:rsidRPr="00360B1F">
        <w:rPr>
          <w:rFonts w:eastAsia="楷体" w:hAnsi="楷体" w:cs="Arial" w:hint="eastAsia"/>
        </w:rPr>
        <w:t>股票</w:t>
      </w:r>
      <w:r w:rsidRPr="00360B1F">
        <w:rPr>
          <w:rFonts w:eastAsia="楷体" w:hAnsi="楷体" w:cs="Arial"/>
        </w:rPr>
        <w:t>-</w:t>
      </w:r>
      <w:r w:rsidRPr="00360B1F">
        <w:rPr>
          <w:rFonts w:eastAsia="楷体" w:hAnsi="楷体" w:cs="Arial" w:hint="eastAsia"/>
        </w:rPr>
        <w:t>主动型基金表现优于股票</w:t>
      </w:r>
      <w:r w:rsidRPr="00360B1F">
        <w:rPr>
          <w:rFonts w:eastAsia="楷体" w:hAnsi="楷体" w:cs="Arial"/>
        </w:rPr>
        <w:t>-</w:t>
      </w:r>
      <w:r w:rsidRPr="00360B1F">
        <w:rPr>
          <w:rFonts w:eastAsia="楷体" w:hAnsi="楷体" w:cs="Arial" w:hint="eastAsia"/>
        </w:rPr>
        <w:t>指数型，混合</w:t>
      </w:r>
      <w:r>
        <w:rPr>
          <w:rFonts w:eastAsia="楷体" w:hAnsi="楷体" w:cs="Arial"/>
        </w:rPr>
        <w:t>-</w:t>
      </w:r>
      <w:r w:rsidRPr="00360B1F">
        <w:rPr>
          <w:rFonts w:eastAsia="楷体" w:hAnsi="楷体" w:cs="Arial" w:hint="eastAsia"/>
        </w:rPr>
        <w:t>灵活型基金业绩赶超混合</w:t>
      </w:r>
      <w:r w:rsidRPr="00360B1F">
        <w:rPr>
          <w:rFonts w:eastAsia="楷体" w:hAnsi="楷体" w:cs="Arial"/>
        </w:rPr>
        <w:t>-</w:t>
      </w:r>
      <w:r>
        <w:rPr>
          <w:rFonts w:eastAsia="楷体" w:hAnsi="楷体" w:cs="Arial" w:hint="eastAsia"/>
        </w:rPr>
        <w:t>偏股型；</w:t>
      </w:r>
      <w:r w:rsidRPr="00360B1F">
        <w:rPr>
          <w:rFonts w:eastAsia="楷体" w:hAnsi="楷体" w:cs="Arial" w:hint="eastAsia"/>
        </w:rPr>
        <w:t>债市重回跌势，其中利率债跌幅较大，高收益信用债表现良好；货币市场基金依旧没有起色，平均周收益相较上期微跌；</w:t>
      </w:r>
      <w:r w:rsidRPr="00360B1F">
        <w:rPr>
          <w:rFonts w:eastAsia="楷体" w:hAnsi="楷体" w:cs="Arial"/>
        </w:rPr>
        <w:t>QDII</w:t>
      </w:r>
      <w:r w:rsidRPr="00360B1F">
        <w:rPr>
          <w:rFonts w:eastAsia="楷体" w:hAnsi="楷体" w:cs="Arial" w:hint="eastAsia"/>
        </w:rPr>
        <w:t>基金（</w:t>
      </w:r>
      <w:r w:rsidRPr="00360B1F">
        <w:rPr>
          <w:rFonts w:eastAsia="楷体" w:hAnsi="楷体" w:cs="Arial"/>
        </w:rPr>
        <w:t>2014.08.15~2014.08.21</w:t>
      </w:r>
      <w:r w:rsidRPr="00360B1F">
        <w:rPr>
          <w:rFonts w:eastAsia="楷体" w:hAnsi="楷体" w:cs="Arial" w:hint="eastAsia"/>
        </w:rPr>
        <w:t>）平均</w:t>
      </w:r>
      <w:r>
        <w:rPr>
          <w:rFonts w:eastAsia="楷体" w:hAnsi="楷体" w:cs="Arial" w:hint="eastAsia"/>
        </w:rPr>
        <w:t>涨幅收窄</w:t>
      </w:r>
      <w:r w:rsidRPr="00360B1F">
        <w:rPr>
          <w:rFonts w:eastAsia="楷体" w:hAnsi="楷体" w:cs="Arial" w:hint="eastAsia"/>
        </w:rPr>
        <w:t>，下跌的多为商品基金和投资新兴市场的股票型基金，领涨多为配置美股的基金。</w:t>
      </w:r>
    </w:p>
    <w:tbl>
      <w:tblPr>
        <w:tblW w:w="1077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400"/>
        <w:gridCol w:w="1197"/>
        <w:gridCol w:w="946"/>
        <w:gridCol w:w="1448"/>
        <w:gridCol w:w="1197"/>
        <w:gridCol w:w="1041"/>
        <w:gridCol w:w="1353"/>
        <w:gridCol w:w="1197"/>
      </w:tblGrid>
      <w:tr w:rsidR="00CF6ABE" w:rsidRPr="005A2B4E" w:rsidTr="00D7627F">
        <w:trPr>
          <w:trHeight w:val="335"/>
          <w:tblHeader/>
        </w:trPr>
        <w:tc>
          <w:tcPr>
            <w:tcW w:w="10772" w:type="dxa"/>
            <w:gridSpan w:val="9"/>
            <w:vAlign w:val="center"/>
          </w:tcPr>
          <w:p w:rsidR="00CF6ABE" w:rsidRPr="005B7CDB" w:rsidRDefault="00CF6ABE" w:rsidP="001757D1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4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：各类型公募基金（含封闭式）周平均收益率（</w:t>
            </w:r>
            <w:r>
              <w:rPr>
                <w:rFonts w:ascii="楷体" w:eastAsia="楷体" w:hAnsi="楷体"/>
                <w:color w:val="FF6600"/>
              </w:rPr>
              <w:t>08.18~22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Pr="005B7CDB">
              <w:rPr>
                <w:rFonts w:ascii="楷体" w:eastAsia="楷体" w:hAnsi="楷体"/>
                <w:color w:val="FF6600"/>
              </w:rPr>
              <w:t>QDII</w:t>
            </w:r>
            <w:r w:rsidRPr="005B7CDB">
              <w:rPr>
                <w:rFonts w:ascii="楷体" w:eastAsia="楷体" w:hAnsi="楷体" w:hint="eastAsia"/>
                <w:color w:val="FF6600"/>
              </w:rPr>
              <w:t>为</w:t>
            </w:r>
            <w:r>
              <w:rPr>
                <w:rFonts w:ascii="楷体" w:eastAsia="楷体" w:hAnsi="楷体"/>
                <w:color w:val="FF6600"/>
              </w:rPr>
              <w:t>08.15</w:t>
            </w:r>
            <w:r w:rsidRPr="00057142">
              <w:rPr>
                <w:rFonts w:ascii="楷体" w:eastAsia="楷体" w:hAnsi="楷体"/>
                <w:color w:val="FF6600"/>
              </w:rPr>
              <w:t>~</w:t>
            </w:r>
            <w:r>
              <w:rPr>
                <w:rFonts w:ascii="楷体" w:eastAsia="楷体" w:hAnsi="楷体"/>
                <w:color w:val="FF6600"/>
              </w:rPr>
              <w:t>21</w:t>
            </w:r>
            <w:r w:rsidRPr="005B7CDB">
              <w:rPr>
                <w:rFonts w:ascii="楷体" w:eastAsia="楷体" w:hAnsi="楷体" w:hint="eastAsia"/>
                <w:color w:val="FF6600"/>
              </w:rPr>
              <w:t>，货币基金为</w:t>
            </w:r>
            <w:r w:rsidRPr="005B7CDB">
              <w:rPr>
                <w:rFonts w:ascii="楷体" w:eastAsia="楷体" w:hAnsi="楷体"/>
                <w:color w:val="FF6600"/>
              </w:rPr>
              <w:t>7</w:t>
            </w:r>
            <w:r w:rsidRPr="005B7CDB">
              <w:rPr>
                <w:rFonts w:ascii="楷体" w:eastAsia="楷体" w:hAnsi="楷体" w:hint="eastAsia"/>
                <w:color w:val="FF6600"/>
              </w:rPr>
              <w:t>日年化收益</w:t>
            </w:r>
            <w:r>
              <w:rPr>
                <w:rFonts w:ascii="楷体" w:eastAsia="楷体" w:hAnsi="楷体" w:hint="eastAsia"/>
                <w:color w:val="FF6600"/>
              </w:rPr>
              <w:t>率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CF6ABE" w:rsidRPr="005A2B4E" w:rsidTr="00D7627F">
        <w:trPr>
          <w:trHeight w:val="284"/>
          <w:tblHeader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CF6ABE" w:rsidRPr="005A2B4E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股票型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股票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主动型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946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债券型</w:t>
            </w: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7E0CA0" w:rsidRDefault="00CF6ABE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纯债基金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货币市场基金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7</w:t>
            </w: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日年化收益率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sz w:val="18"/>
                <w:szCs w:val="18"/>
              </w:rPr>
              <w:t>4.10</w:t>
            </w:r>
          </w:p>
        </w:tc>
      </w:tr>
      <w:tr w:rsidR="00CF6ABE" w:rsidRPr="005A2B4E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股票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指数型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7E0CA0" w:rsidRDefault="00CF6ABE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一级债基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41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分级基金</w:t>
            </w:r>
          </w:p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子份额</w:t>
            </w: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股票稳健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0.16</w:t>
            </w:r>
          </w:p>
        </w:tc>
      </w:tr>
      <w:tr w:rsidR="00CF6ABE" w:rsidRPr="005A2B4E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混合型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7E0CA0" w:rsidRDefault="00CF6ABE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</w:t>
            </w:r>
            <w:r w:rsidRPr="005A2B4E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偏股型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7E0CA0" w:rsidRDefault="00CF6ABE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二级债基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股票积极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2.33</w:t>
            </w:r>
          </w:p>
        </w:tc>
      </w:tr>
      <w:tr w:rsidR="00CF6ABE" w:rsidRPr="005A2B4E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7E0CA0" w:rsidRDefault="00CF6ABE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</w:t>
            </w:r>
            <w:r w:rsidRPr="005A2B4E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偏债型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7A1ADA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7E0CA0" w:rsidRDefault="00CF6ABE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指数债基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债券稳健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7A1ADA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0.09</w:t>
            </w:r>
          </w:p>
        </w:tc>
      </w:tr>
      <w:tr w:rsidR="00CF6ABE" w:rsidRPr="005A2B4E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7E0CA0" w:rsidRDefault="00CF6ABE" w:rsidP="00884478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</w:t>
            </w:r>
            <w:r w:rsidRPr="005A2B4E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灵活型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7E0CA0" w:rsidRDefault="00CF6ABE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可转债基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债券积极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0.34</w:t>
            </w:r>
          </w:p>
        </w:tc>
      </w:tr>
      <w:tr w:rsidR="00CF6ABE" w:rsidRPr="005A2B4E" w:rsidTr="00884478">
        <w:trPr>
          <w:cantSplit/>
          <w:trHeight w:val="284"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QDII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sz w:val="18"/>
                <w:szCs w:val="18"/>
              </w:rPr>
              <w:t>0.77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7E0CA0" w:rsidRDefault="00CF6ABE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5A2B4E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理财债基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商品基金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9D6B40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FF0000"/>
                <w:sz w:val="18"/>
                <w:szCs w:val="18"/>
              </w:rPr>
              <w:t>-2.32</w:t>
            </w:r>
          </w:p>
        </w:tc>
      </w:tr>
    </w:tbl>
    <w:p w:rsidR="00CF6ABE" w:rsidRPr="005B7CDB" w:rsidRDefault="00CF6ABE" w:rsidP="000D4A66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cs="宋体" w:hint="eastAsia"/>
          <w:color w:val="FF6600"/>
          <w:lang w:val="en-US"/>
        </w:rPr>
        <w:t>来源：凯石财富工场</w:t>
      </w:r>
    </w:p>
    <w:p w:rsidR="00CF6ABE" w:rsidRPr="00EB505F" w:rsidRDefault="00CF6ABE" w:rsidP="007E2DC5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权益类基金一周业绩：</w:t>
      </w:r>
      <w:r w:rsidRPr="00EB505F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成长风格</w:t>
      </w: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表现优于</w:t>
      </w:r>
      <w:r w:rsidRPr="00EB505F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价值风格</w:t>
      </w:r>
      <w:r w:rsidRPr="00EB505F"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  <w:t xml:space="preserve"> </w:t>
      </w:r>
    </w:p>
    <w:p w:rsidR="00CF6ABE" w:rsidRPr="00CE0DC1" w:rsidRDefault="00CF6ABE" w:rsidP="003F158A">
      <w:pPr>
        <w:pStyle w:val="BodyText"/>
        <w:numPr>
          <w:ilvl w:val="4"/>
          <w:numId w:val="1"/>
        </w:numPr>
        <w:spacing w:after="163"/>
        <w:rPr>
          <w:rFonts w:eastAsia="楷体" w:hAnsi="楷体" w:cs="Arial"/>
        </w:rPr>
      </w:pPr>
      <w:r w:rsidRPr="00CE0DC1">
        <w:rPr>
          <w:rFonts w:eastAsia="楷体" w:hAnsi="楷体" w:cs="Arial" w:hint="eastAsia"/>
        </w:rPr>
        <w:t>上周国内市场转入宽幅振荡，创业板综指、</w:t>
      </w:r>
      <w:hyperlink r:id="rId11" w:tgtFrame="_blank" w:history="1">
        <w:r w:rsidRPr="00CE0DC1">
          <w:rPr>
            <w:rFonts w:eastAsia="楷体" w:hAnsi="楷体" w:cs="Arial" w:hint="eastAsia"/>
          </w:rPr>
          <w:t>中小板</w:t>
        </w:r>
      </w:hyperlink>
      <w:r w:rsidRPr="00CE0DC1">
        <w:rPr>
          <w:rFonts w:eastAsia="楷体" w:hAnsi="楷体" w:cs="Arial" w:hint="eastAsia"/>
        </w:rPr>
        <w:t>综指大幅领先主板；蓝筹股再度走软，</w:t>
      </w:r>
      <w:hyperlink r:id="rId12" w:anchor="1_7__0__dwjz,desc_1" w:tgtFrame="_blank" w:history="1">
        <w:r w:rsidRPr="00CE0DC1">
          <w:rPr>
            <w:rFonts w:eastAsia="楷体" w:hAnsi="楷体" w:cs="Arial"/>
          </w:rPr>
          <w:t>ETF</w:t>
        </w:r>
      </w:hyperlink>
      <w:r w:rsidRPr="00CE0DC1">
        <w:rPr>
          <w:rFonts w:eastAsia="楷体" w:hAnsi="楷体" w:cs="Arial" w:hint="eastAsia"/>
        </w:rPr>
        <w:t>市场</w:t>
      </w:r>
      <w:hyperlink r:id="rId13" w:tgtFrame="_blank" w:history="1">
        <w:r w:rsidRPr="00CE0DC1">
          <w:rPr>
            <w:rFonts w:eastAsia="楷体" w:hAnsi="楷体" w:cs="Arial" w:hint="eastAsia"/>
          </w:rPr>
          <w:t>资金约有</w:t>
        </w:r>
        <w:r w:rsidRPr="00CE0DC1">
          <w:rPr>
            <w:rFonts w:eastAsia="楷体" w:hAnsi="楷体" w:cs="Arial"/>
          </w:rPr>
          <w:t>50</w:t>
        </w:r>
        <w:r w:rsidRPr="00CE0DC1">
          <w:rPr>
            <w:rFonts w:eastAsia="楷体" w:hAnsi="楷体" w:cs="Arial" w:hint="eastAsia"/>
          </w:rPr>
          <w:t>亿元资金从沪深两大交易所上市的</w:t>
        </w:r>
        <w:r w:rsidRPr="00CE0DC1">
          <w:rPr>
            <w:rFonts w:eastAsia="楷体" w:hAnsi="楷体" w:cs="Arial"/>
          </w:rPr>
          <w:t>ETF</w:t>
        </w:r>
        <w:r w:rsidRPr="00CE0DC1">
          <w:rPr>
            <w:rFonts w:eastAsia="楷体" w:hAnsi="楷体" w:cs="Arial" w:hint="eastAsia"/>
          </w:rPr>
          <w:t>中流出</w:t>
        </w:r>
      </w:hyperlink>
      <w:r w:rsidRPr="00CE0DC1">
        <w:rPr>
          <w:rFonts w:eastAsia="楷体" w:hAnsi="楷体" w:cs="Arial" w:hint="eastAsia"/>
        </w:rPr>
        <w:t>：新股开闸对</w:t>
      </w:r>
      <w:hyperlink r:id="rId14" w:tgtFrame="_blank" w:history="1">
        <w:r w:rsidRPr="00CE0DC1">
          <w:rPr>
            <w:rFonts w:eastAsia="楷体" w:hAnsi="楷体" w:cs="Arial" w:hint="eastAsia"/>
          </w:rPr>
          <w:t>创业板</w:t>
        </w:r>
      </w:hyperlink>
      <w:r>
        <w:rPr>
          <w:rFonts w:eastAsia="楷体" w:hAnsi="楷体" w:cs="Arial" w:hint="eastAsia"/>
        </w:rPr>
        <w:t>的分流影响值得关注：基金仓位操作基本平稳，无</w:t>
      </w:r>
      <w:r w:rsidRPr="00CE0DC1">
        <w:rPr>
          <w:rFonts w:eastAsia="楷体" w:hAnsi="楷体" w:cs="Arial" w:hint="eastAsia"/>
        </w:rPr>
        <w:t>大幅增减仓现象。总体来看，成长风格基金好于价值风格基金，表现在产品上，偏股型基金好于偏债型，配置美股的</w:t>
      </w:r>
      <w:r w:rsidRPr="00CE0DC1">
        <w:rPr>
          <w:rFonts w:eastAsia="楷体" w:hAnsi="楷体" w:cs="Arial"/>
        </w:rPr>
        <w:t>QDII</w:t>
      </w:r>
      <w:r w:rsidRPr="00CE0DC1">
        <w:rPr>
          <w:rFonts w:eastAsia="楷体" w:hAnsi="楷体" w:cs="Arial" w:hint="eastAsia"/>
        </w:rPr>
        <w:t>好于其他。</w:t>
      </w:r>
    </w:p>
    <w:p w:rsidR="00CF6ABE" w:rsidRPr="0038003D" w:rsidRDefault="00CF6ABE" w:rsidP="00703A45">
      <w:pPr>
        <w:pStyle w:val="BodyText"/>
        <w:numPr>
          <w:ilvl w:val="5"/>
          <w:numId w:val="2"/>
        </w:numPr>
        <w:spacing w:after="163"/>
        <w:ind w:left="4140" w:hanging="369"/>
        <w:rPr>
          <w:rFonts w:eastAsia="楷体" w:cs="Arial"/>
          <w:szCs w:val="21"/>
        </w:rPr>
      </w:pPr>
      <w:r w:rsidRPr="0038003D">
        <w:rPr>
          <w:rFonts w:eastAsia="楷体" w:cs="Arial"/>
          <w:szCs w:val="21"/>
        </w:rPr>
        <w:t>407</w:t>
      </w:r>
      <w:r w:rsidRPr="0038003D">
        <w:rPr>
          <w:rFonts w:eastAsia="楷体" w:hAnsi="楷体" w:cs="Arial" w:hint="eastAsia"/>
          <w:szCs w:val="21"/>
        </w:rPr>
        <w:t>只股票</w:t>
      </w:r>
      <w:r w:rsidRPr="0038003D">
        <w:rPr>
          <w:rFonts w:eastAsia="楷体" w:cs="Arial"/>
          <w:szCs w:val="21"/>
        </w:rPr>
        <w:t>-</w:t>
      </w:r>
      <w:r w:rsidRPr="0038003D">
        <w:rPr>
          <w:rFonts w:eastAsia="楷体" w:hAnsi="楷体" w:cs="Arial" w:hint="eastAsia"/>
          <w:szCs w:val="21"/>
        </w:rPr>
        <w:t>主动型基金平均周收益上涨</w:t>
      </w:r>
      <w:r w:rsidRPr="0038003D">
        <w:rPr>
          <w:rFonts w:eastAsia="楷体" w:cs="Arial"/>
          <w:szCs w:val="21"/>
        </w:rPr>
        <w:t>1.61%</w:t>
      </w:r>
      <w:r w:rsidRPr="0038003D">
        <w:rPr>
          <w:rFonts w:eastAsia="楷体" w:hAnsi="楷体" w:cs="Arial" w:hint="eastAsia"/>
          <w:szCs w:val="21"/>
        </w:rPr>
        <w:t>，中欧盛世成长分级周涨幅最大，为</w:t>
      </w:r>
      <w:r w:rsidRPr="0038003D">
        <w:rPr>
          <w:rFonts w:eastAsia="楷体" w:cs="Arial"/>
          <w:szCs w:val="21"/>
        </w:rPr>
        <w:t>5.41%</w:t>
      </w:r>
      <w:r w:rsidRPr="0038003D">
        <w:rPr>
          <w:rFonts w:eastAsia="楷体" w:hAnsi="楷体" w:cs="Arial" w:hint="eastAsia"/>
          <w:szCs w:val="21"/>
        </w:rPr>
        <w:t>，华商盛世成长周涨幅第二，为</w:t>
      </w:r>
      <w:r w:rsidRPr="0038003D">
        <w:rPr>
          <w:rFonts w:eastAsia="楷体" w:cs="Arial"/>
          <w:szCs w:val="21"/>
        </w:rPr>
        <w:t>5.04%</w:t>
      </w:r>
      <w:r w:rsidRPr="0038003D">
        <w:rPr>
          <w:rFonts w:eastAsia="楷体" w:hAnsi="楷体" w:cs="Arial" w:hint="eastAsia"/>
          <w:szCs w:val="21"/>
        </w:rPr>
        <w:t>。约</w:t>
      </w:r>
      <w:r w:rsidRPr="0038003D">
        <w:rPr>
          <w:rFonts w:eastAsia="楷体" w:cs="Arial"/>
          <w:szCs w:val="21"/>
        </w:rPr>
        <w:t>7%</w:t>
      </w:r>
      <w:r w:rsidRPr="0038003D">
        <w:rPr>
          <w:rFonts w:eastAsia="楷体" w:hAnsi="楷体" w:cs="Arial" w:hint="eastAsia"/>
          <w:szCs w:val="21"/>
        </w:rPr>
        <w:t>的股票</w:t>
      </w:r>
      <w:r w:rsidRPr="0038003D">
        <w:rPr>
          <w:rFonts w:eastAsia="楷体" w:cs="Arial"/>
          <w:szCs w:val="21"/>
        </w:rPr>
        <w:t>-</w:t>
      </w:r>
      <w:r w:rsidRPr="0038003D">
        <w:rPr>
          <w:rFonts w:eastAsia="楷体" w:hAnsi="楷体" w:cs="Arial" w:hint="eastAsia"/>
          <w:szCs w:val="21"/>
        </w:rPr>
        <w:t>主动型基金周涨幅为负，成长风格基金多名列前茅。</w:t>
      </w:r>
      <w:r w:rsidRPr="0038003D">
        <w:rPr>
          <w:rFonts w:eastAsia="楷体" w:cs="Arial"/>
          <w:szCs w:val="21"/>
        </w:rPr>
        <w:t>257</w:t>
      </w:r>
      <w:r w:rsidRPr="0038003D">
        <w:rPr>
          <w:rFonts w:eastAsia="楷体" w:hAnsi="楷体" w:cs="Arial" w:hint="eastAsia"/>
          <w:szCs w:val="21"/>
        </w:rPr>
        <w:t>只股票</w:t>
      </w:r>
      <w:r w:rsidRPr="0038003D">
        <w:rPr>
          <w:rFonts w:eastAsia="楷体" w:cs="Arial"/>
          <w:szCs w:val="21"/>
        </w:rPr>
        <w:t>-</w:t>
      </w:r>
      <w:r w:rsidRPr="0038003D">
        <w:rPr>
          <w:rFonts w:eastAsia="楷体" w:hAnsi="楷体" w:cs="Arial" w:hint="eastAsia"/>
          <w:szCs w:val="21"/>
        </w:rPr>
        <w:t>指数型基金约</w:t>
      </w:r>
      <w:r w:rsidRPr="0038003D">
        <w:rPr>
          <w:rFonts w:eastAsia="楷体" w:cs="Arial"/>
          <w:szCs w:val="21"/>
        </w:rPr>
        <w:t>4</w:t>
      </w:r>
      <w:r w:rsidRPr="0038003D">
        <w:rPr>
          <w:rFonts w:eastAsia="楷体" w:hAnsi="楷体" w:cs="Arial" w:hint="eastAsia"/>
          <w:szCs w:val="21"/>
        </w:rPr>
        <w:t>成周收益为负增长，整体平均周收益为</w:t>
      </w:r>
      <w:r w:rsidRPr="0038003D">
        <w:rPr>
          <w:rFonts w:eastAsia="楷体" w:cs="Arial"/>
          <w:szCs w:val="21"/>
        </w:rPr>
        <w:t>0.86%</w:t>
      </w:r>
      <w:r w:rsidRPr="0038003D">
        <w:rPr>
          <w:rFonts w:eastAsia="楷体" w:hAnsi="楷体" w:cs="Arial" w:hint="eastAsia"/>
          <w:szCs w:val="21"/>
        </w:rPr>
        <w:t>，领涨的多为跟踪中小板和创业板</w:t>
      </w:r>
      <w:r w:rsidRPr="0038003D">
        <w:rPr>
          <w:rFonts w:eastAsia="楷体" w:cs="Arial"/>
          <w:szCs w:val="21"/>
        </w:rPr>
        <w:t>ETF</w:t>
      </w:r>
      <w:r w:rsidRPr="0038003D">
        <w:rPr>
          <w:rFonts w:eastAsia="楷体" w:hAnsi="楷体" w:cs="Arial" w:hint="eastAsia"/>
          <w:szCs w:val="21"/>
        </w:rPr>
        <w:t>，下跌的多为金融和金融地产</w:t>
      </w:r>
      <w:r w:rsidRPr="0038003D">
        <w:rPr>
          <w:rFonts w:eastAsia="楷体" w:cs="Arial"/>
          <w:szCs w:val="21"/>
        </w:rPr>
        <w:t>ETF</w:t>
      </w:r>
      <w:r w:rsidRPr="0038003D">
        <w:rPr>
          <w:rFonts w:eastAsia="楷体" w:hAnsi="楷体" w:cs="Arial" w:hint="eastAsia"/>
          <w:szCs w:val="21"/>
        </w:rPr>
        <w:t>。</w:t>
      </w:r>
    </w:p>
    <w:p w:rsidR="00CF6ABE" w:rsidRPr="0038003D" w:rsidRDefault="00CF6ABE" w:rsidP="00703A45">
      <w:pPr>
        <w:pStyle w:val="BodyText"/>
        <w:numPr>
          <w:ilvl w:val="5"/>
          <w:numId w:val="2"/>
        </w:numPr>
        <w:spacing w:after="163"/>
        <w:ind w:left="4140" w:hanging="369"/>
        <w:rPr>
          <w:rFonts w:eastAsia="楷体" w:cs="Arial"/>
          <w:szCs w:val="21"/>
        </w:rPr>
      </w:pPr>
      <w:r w:rsidRPr="0038003D">
        <w:rPr>
          <w:rFonts w:eastAsia="楷体" w:hAnsi="楷体" w:cs="Arial" w:hint="eastAsia"/>
          <w:szCs w:val="21"/>
        </w:rPr>
        <w:t>混合型基金中权益类占比较重的混合</w:t>
      </w:r>
      <w:r w:rsidRPr="0038003D">
        <w:rPr>
          <w:rFonts w:eastAsia="楷体" w:cs="Arial"/>
          <w:szCs w:val="21"/>
        </w:rPr>
        <w:t>-</w:t>
      </w:r>
      <w:r w:rsidRPr="0038003D">
        <w:rPr>
          <w:rFonts w:eastAsia="楷体" w:hAnsi="楷体" w:cs="Arial" w:hint="eastAsia"/>
          <w:szCs w:val="21"/>
        </w:rPr>
        <w:t>偏股型的</w:t>
      </w:r>
      <w:r w:rsidRPr="0038003D">
        <w:rPr>
          <w:rFonts w:eastAsia="楷体" w:cs="Arial"/>
          <w:szCs w:val="21"/>
        </w:rPr>
        <w:t>35</w:t>
      </w:r>
      <w:r w:rsidRPr="0038003D">
        <w:rPr>
          <w:rFonts w:eastAsia="楷体" w:hAnsi="楷体" w:cs="Arial" w:hint="eastAsia"/>
          <w:szCs w:val="21"/>
        </w:rPr>
        <w:t>只基金，仅有</w:t>
      </w:r>
      <w:r w:rsidRPr="0038003D">
        <w:rPr>
          <w:rFonts w:eastAsia="楷体" w:cs="Arial"/>
          <w:szCs w:val="21"/>
        </w:rPr>
        <w:t>2</w:t>
      </w:r>
      <w:r w:rsidRPr="0038003D">
        <w:rPr>
          <w:rFonts w:eastAsia="楷体" w:hAnsi="楷体" w:cs="Arial" w:hint="eastAsia"/>
          <w:szCs w:val="21"/>
        </w:rPr>
        <w:t>只周收益下跌，平均周回报为</w:t>
      </w:r>
      <w:r w:rsidRPr="0038003D">
        <w:rPr>
          <w:rFonts w:eastAsia="楷体" w:cs="Arial"/>
          <w:szCs w:val="21"/>
        </w:rPr>
        <w:t>1.22%</w:t>
      </w:r>
      <w:r w:rsidRPr="0038003D">
        <w:rPr>
          <w:rFonts w:eastAsia="楷体" w:hAnsi="楷体" w:cs="Arial" w:hint="eastAsia"/>
          <w:szCs w:val="21"/>
        </w:rPr>
        <w:t>，远高于混合</w:t>
      </w:r>
      <w:r w:rsidRPr="0038003D">
        <w:rPr>
          <w:rFonts w:eastAsia="楷体" w:cs="Arial"/>
          <w:szCs w:val="21"/>
        </w:rPr>
        <w:t>-</w:t>
      </w:r>
      <w:r w:rsidRPr="0038003D">
        <w:rPr>
          <w:rFonts w:eastAsia="楷体" w:hAnsi="楷体" w:cs="Arial" w:hint="eastAsia"/>
          <w:szCs w:val="21"/>
        </w:rPr>
        <w:t>偏债型平均回报</w:t>
      </w:r>
      <w:r>
        <w:rPr>
          <w:rFonts w:eastAsia="楷体" w:hAnsi="楷体" w:cs="Arial" w:hint="eastAsia"/>
          <w:szCs w:val="21"/>
        </w:rPr>
        <w:t>。混合灵活型基金</w:t>
      </w:r>
      <w:r w:rsidRPr="0038003D">
        <w:rPr>
          <w:rFonts w:eastAsia="楷体" w:hAnsi="楷体" w:cs="Arial" w:hint="eastAsia"/>
          <w:szCs w:val="21"/>
        </w:rPr>
        <w:t>以</w:t>
      </w:r>
      <w:r w:rsidRPr="0038003D">
        <w:rPr>
          <w:rFonts w:eastAsia="楷体" w:cs="Arial"/>
          <w:szCs w:val="21"/>
        </w:rPr>
        <w:t>1.3%</w:t>
      </w:r>
      <w:r w:rsidRPr="0038003D">
        <w:rPr>
          <w:rFonts w:eastAsia="楷体" w:hAnsi="楷体" w:cs="Arial" w:hint="eastAsia"/>
          <w:szCs w:val="21"/>
        </w:rPr>
        <w:t>的回报赶超混合</w:t>
      </w:r>
      <w:r w:rsidRPr="0038003D">
        <w:rPr>
          <w:rFonts w:eastAsia="楷体" w:cs="Arial"/>
          <w:szCs w:val="21"/>
        </w:rPr>
        <w:t>-</w:t>
      </w:r>
      <w:r w:rsidRPr="0038003D">
        <w:rPr>
          <w:rFonts w:eastAsia="楷体" w:hAnsi="楷体" w:cs="Arial" w:hint="eastAsia"/>
          <w:szCs w:val="21"/>
        </w:rPr>
        <w:t>偏股型基金</w:t>
      </w:r>
      <w:r>
        <w:rPr>
          <w:rFonts w:eastAsia="楷体" w:hAnsi="楷体" w:cs="Arial" w:hint="eastAsia"/>
          <w:szCs w:val="21"/>
        </w:rPr>
        <w:t>，单只</w:t>
      </w:r>
      <w:r w:rsidRPr="0038003D">
        <w:rPr>
          <w:rFonts w:eastAsia="楷体" w:hAnsi="楷体" w:cs="Arial" w:hint="eastAsia"/>
          <w:szCs w:val="21"/>
        </w:rPr>
        <w:t>混合</w:t>
      </w:r>
      <w:r w:rsidRPr="0038003D">
        <w:rPr>
          <w:rFonts w:eastAsia="楷体" w:cs="Arial"/>
          <w:szCs w:val="21"/>
        </w:rPr>
        <w:t>-</w:t>
      </w:r>
      <w:r>
        <w:rPr>
          <w:rFonts w:eastAsia="楷体" w:hAnsi="楷体" w:cs="Arial" w:hint="eastAsia"/>
          <w:szCs w:val="21"/>
        </w:rPr>
        <w:t>偏股型产品</w:t>
      </w:r>
      <w:r w:rsidRPr="0038003D">
        <w:rPr>
          <w:rFonts w:eastAsia="楷体" w:hAnsi="楷体" w:cs="Arial" w:hint="eastAsia"/>
          <w:szCs w:val="21"/>
        </w:rPr>
        <w:t>最高周回报为</w:t>
      </w:r>
      <w:r w:rsidRPr="0038003D">
        <w:rPr>
          <w:rFonts w:eastAsia="楷体" w:cs="Arial"/>
          <w:szCs w:val="21"/>
        </w:rPr>
        <w:t>2.84%</w:t>
      </w:r>
      <w:r w:rsidRPr="0038003D">
        <w:rPr>
          <w:rFonts w:eastAsia="楷体" w:hAnsi="楷体" w:cs="Arial" w:hint="eastAsia"/>
          <w:szCs w:val="21"/>
        </w:rPr>
        <w:t>，而混合</w:t>
      </w:r>
      <w:r w:rsidRPr="0038003D">
        <w:rPr>
          <w:rFonts w:eastAsia="楷体" w:cs="Arial"/>
          <w:szCs w:val="21"/>
        </w:rPr>
        <w:t>-</w:t>
      </w:r>
      <w:r w:rsidRPr="0038003D">
        <w:rPr>
          <w:rFonts w:eastAsia="楷体" w:hAnsi="楷体" w:cs="Arial" w:hint="eastAsia"/>
          <w:szCs w:val="21"/>
        </w:rPr>
        <w:t>灵活型基金中有</w:t>
      </w:r>
      <w:r w:rsidRPr="0038003D">
        <w:rPr>
          <w:rFonts w:eastAsia="楷体" w:cs="Arial"/>
          <w:szCs w:val="21"/>
        </w:rPr>
        <w:t>5</w:t>
      </w:r>
      <w:r w:rsidRPr="0038003D">
        <w:rPr>
          <w:rFonts w:eastAsia="楷体" w:hAnsi="楷体" w:cs="Arial" w:hint="eastAsia"/>
          <w:szCs w:val="21"/>
        </w:rPr>
        <w:t>只周回报突破</w:t>
      </w:r>
      <w:r w:rsidRPr="0038003D">
        <w:rPr>
          <w:rFonts w:eastAsia="楷体" w:cs="Arial"/>
          <w:szCs w:val="21"/>
        </w:rPr>
        <w:t>4%</w:t>
      </w:r>
      <w:r w:rsidRPr="0038003D">
        <w:rPr>
          <w:rFonts w:eastAsia="楷体" w:hAnsi="楷体" w:cs="Arial" w:hint="eastAsia"/>
          <w:szCs w:val="21"/>
        </w:rPr>
        <w:t>，</w:t>
      </w:r>
      <w:r w:rsidRPr="0038003D">
        <w:rPr>
          <w:rFonts w:eastAsia="楷体" w:cs="Arial"/>
          <w:szCs w:val="21"/>
        </w:rPr>
        <w:t>15</w:t>
      </w:r>
      <w:r w:rsidRPr="0038003D">
        <w:rPr>
          <w:rFonts w:eastAsia="楷体" w:hAnsi="楷体" w:cs="Arial" w:hint="eastAsia"/>
          <w:szCs w:val="21"/>
        </w:rPr>
        <w:t>只周回报突破</w:t>
      </w:r>
      <w:r w:rsidRPr="0038003D">
        <w:rPr>
          <w:rFonts w:eastAsia="楷体" w:cs="Arial"/>
          <w:szCs w:val="21"/>
        </w:rPr>
        <w:t>3%</w:t>
      </w:r>
      <w:r w:rsidRPr="0038003D">
        <w:rPr>
          <w:rFonts w:eastAsia="楷体" w:hAnsi="楷体" w:cs="Arial" w:hint="eastAsia"/>
          <w:szCs w:val="21"/>
        </w:rPr>
        <w:t>。</w:t>
      </w:r>
    </w:p>
    <w:p w:rsidR="00CF6ABE" w:rsidRPr="00AB43D5" w:rsidRDefault="00CF6ABE" w:rsidP="00DE67B2">
      <w:pPr>
        <w:pStyle w:val="BodyText"/>
        <w:numPr>
          <w:ilvl w:val="4"/>
          <w:numId w:val="1"/>
        </w:numPr>
        <w:spacing w:after="163"/>
        <w:rPr>
          <w:rFonts w:eastAsia="楷体" w:cs="Arial"/>
          <w:szCs w:val="21"/>
        </w:rPr>
      </w:pPr>
      <w:r w:rsidRPr="00AB43D5">
        <w:rPr>
          <w:rFonts w:eastAsia="楷体" w:hAnsi="楷体" w:cs="Arial" w:hint="eastAsia"/>
          <w:szCs w:val="21"/>
        </w:rPr>
        <w:t>海外方面，</w:t>
      </w:r>
      <w:r w:rsidRPr="00AB43D5">
        <w:rPr>
          <w:rFonts w:eastAsia="楷体" w:cs="Arial"/>
          <w:szCs w:val="21"/>
        </w:rPr>
        <w:t>8</w:t>
      </w:r>
      <w:r w:rsidRPr="00AB43D5">
        <w:rPr>
          <w:rFonts w:eastAsia="楷体" w:hAnsi="楷体" w:cs="Arial" w:hint="eastAsia"/>
          <w:szCs w:val="21"/>
        </w:rPr>
        <w:t>月</w:t>
      </w:r>
      <w:r w:rsidRPr="00AB43D5">
        <w:rPr>
          <w:rFonts w:eastAsia="楷体" w:cs="Arial"/>
          <w:szCs w:val="21"/>
        </w:rPr>
        <w:t>Markit</w:t>
      </w:r>
      <w:r w:rsidRPr="00AB43D5">
        <w:rPr>
          <w:rFonts w:eastAsia="楷体" w:hAnsi="楷体" w:cs="Arial" w:hint="eastAsia"/>
          <w:szCs w:val="21"/>
        </w:rPr>
        <w:t>制造业</w:t>
      </w:r>
      <w:r w:rsidRPr="00AB43D5">
        <w:rPr>
          <w:rFonts w:eastAsia="楷体" w:cs="Arial"/>
          <w:szCs w:val="21"/>
        </w:rPr>
        <w:t>PMI</w:t>
      </w:r>
      <w:r w:rsidRPr="00AB43D5">
        <w:rPr>
          <w:rFonts w:eastAsia="楷体" w:hAnsi="楷体" w:cs="Arial" w:hint="eastAsia"/>
          <w:szCs w:val="21"/>
        </w:rPr>
        <w:t>初值创四年新高，显示制造业部门情况良好，美国房地产市场正摆脱低迷。领涨的</w:t>
      </w:r>
      <w:r w:rsidRPr="00AB43D5">
        <w:rPr>
          <w:rFonts w:eastAsia="楷体" w:cs="Arial"/>
          <w:szCs w:val="21"/>
        </w:rPr>
        <w:t>QDII</w:t>
      </w:r>
      <w:r>
        <w:rPr>
          <w:rFonts w:eastAsia="楷体" w:hAnsi="楷体" w:cs="Arial" w:hint="eastAsia"/>
          <w:szCs w:val="21"/>
        </w:rPr>
        <w:t>多为美股</w:t>
      </w:r>
      <w:r w:rsidRPr="00AB43D5">
        <w:rPr>
          <w:rFonts w:eastAsia="楷体" w:hAnsi="楷体" w:cs="Arial" w:hint="eastAsia"/>
          <w:szCs w:val="21"/>
        </w:rPr>
        <w:t>基金。</w:t>
      </w:r>
      <w:r w:rsidRPr="00AB43D5">
        <w:rPr>
          <w:rFonts w:eastAsia="楷体" w:cs="Arial"/>
          <w:szCs w:val="21"/>
        </w:rPr>
        <w:t>QDII-</w:t>
      </w:r>
      <w:r w:rsidRPr="00AB43D5">
        <w:rPr>
          <w:rFonts w:eastAsia="楷体" w:hAnsi="楷体" w:cs="Arial" w:hint="eastAsia"/>
          <w:szCs w:val="21"/>
        </w:rPr>
        <w:t>股票</w:t>
      </w:r>
      <w:r w:rsidRPr="00AB43D5">
        <w:rPr>
          <w:rFonts w:eastAsia="楷体" w:cs="Arial"/>
          <w:szCs w:val="21"/>
        </w:rPr>
        <w:t>-</w:t>
      </w:r>
      <w:r w:rsidRPr="00AB43D5">
        <w:rPr>
          <w:rFonts w:eastAsia="楷体" w:hAnsi="楷体" w:cs="Arial" w:hint="eastAsia"/>
          <w:szCs w:val="21"/>
        </w:rPr>
        <w:t>新兴市场上周表现欠佳，</w:t>
      </w:r>
      <w:r w:rsidRPr="00AB43D5">
        <w:rPr>
          <w:rFonts w:eastAsia="楷体" w:cs="Arial"/>
          <w:szCs w:val="21"/>
        </w:rPr>
        <w:t>QDII-</w:t>
      </w:r>
      <w:r w:rsidRPr="00AB43D5">
        <w:rPr>
          <w:rFonts w:eastAsia="楷体" w:hAnsi="楷体" w:cs="Arial" w:hint="eastAsia"/>
          <w:szCs w:val="21"/>
        </w:rPr>
        <w:t>商品基金则下跌的比前期更严重。在周收益为负的</w:t>
      </w:r>
      <w:r w:rsidRPr="00AB43D5">
        <w:rPr>
          <w:rFonts w:eastAsia="楷体" w:cs="Arial"/>
          <w:szCs w:val="21"/>
        </w:rPr>
        <w:t>16</w:t>
      </w:r>
      <w:r w:rsidRPr="00AB43D5">
        <w:rPr>
          <w:rFonts w:eastAsia="楷体" w:hAnsi="楷体" w:cs="Arial" w:hint="eastAsia"/>
          <w:szCs w:val="21"/>
        </w:rPr>
        <w:t>只</w:t>
      </w:r>
      <w:r w:rsidRPr="00AB43D5">
        <w:rPr>
          <w:rFonts w:eastAsia="楷体" w:cs="Arial"/>
          <w:szCs w:val="21"/>
        </w:rPr>
        <w:t>QDII</w:t>
      </w:r>
      <w:r w:rsidRPr="00AB43D5">
        <w:rPr>
          <w:rFonts w:eastAsia="楷体" w:hAnsi="楷体" w:cs="Arial" w:hint="eastAsia"/>
          <w:szCs w:val="21"/>
        </w:rPr>
        <w:t>中，</w:t>
      </w:r>
      <w:r w:rsidRPr="00AB43D5">
        <w:rPr>
          <w:rFonts w:eastAsia="楷体" w:cs="Arial"/>
          <w:szCs w:val="21"/>
        </w:rPr>
        <w:t>5</w:t>
      </w:r>
      <w:r w:rsidRPr="00AB43D5">
        <w:rPr>
          <w:rFonts w:eastAsia="楷体" w:hAnsi="楷体" w:cs="Arial" w:hint="eastAsia"/>
          <w:szCs w:val="21"/>
        </w:rPr>
        <w:t>只</w:t>
      </w:r>
      <w:r w:rsidRPr="00AB43D5">
        <w:rPr>
          <w:rFonts w:eastAsia="楷体" w:cs="Arial"/>
          <w:szCs w:val="21"/>
        </w:rPr>
        <w:t>QDII-</w:t>
      </w:r>
      <w:r w:rsidRPr="00AB43D5">
        <w:rPr>
          <w:rFonts w:eastAsia="楷体" w:hAnsi="楷体" w:cs="Arial" w:hint="eastAsia"/>
          <w:szCs w:val="21"/>
        </w:rPr>
        <w:t>商品，</w:t>
      </w:r>
      <w:r w:rsidRPr="00AB43D5">
        <w:rPr>
          <w:rFonts w:eastAsia="楷体" w:cs="Arial"/>
          <w:szCs w:val="21"/>
        </w:rPr>
        <w:t>8</w:t>
      </w:r>
      <w:r w:rsidRPr="00AB43D5">
        <w:rPr>
          <w:rFonts w:eastAsia="楷体" w:hAnsi="楷体" w:cs="Arial" w:hint="eastAsia"/>
          <w:szCs w:val="21"/>
        </w:rPr>
        <w:t>只</w:t>
      </w:r>
      <w:r w:rsidRPr="00AB43D5">
        <w:rPr>
          <w:rFonts w:eastAsia="楷体" w:cs="Arial"/>
          <w:szCs w:val="21"/>
        </w:rPr>
        <w:t>QDII-</w:t>
      </w:r>
      <w:r w:rsidRPr="00AB43D5">
        <w:rPr>
          <w:rFonts w:eastAsia="楷体" w:hAnsi="楷体" w:cs="Arial" w:hint="eastAsia"/>
          <w:szCs w:val="21"/>
        </w:rPr>
        <w:t>股票</w:t>
      </w:r>
      <w:r w:rsidRPr="00AB43D5">
        <w:rPr>
          <w:rFonts w:eastAsia="楷体" w:cs="Arial"/>
          <w:szCs w:val="21"/>
        </w:rPr>
        <w:t>-</w:t>
      </w:r>
      <w:r w:rsidRPr="00AB43D5">
        <w:rPr>
          <w:rFonts w:eastAsia="楷体" w:hAnsi="楷体" w:cs="Arial" w:hint="eastAsia"/>
          <w:szCs w:val="21"/>
        </w:rPr>
        <w:t>新兴市场。</w:t>
      </w:r>
    </w:p>
    <w:p w:rsidR="00CF6ABE" w:rsidRPr="00EB505F" w:rsidRDefault="00CF6ABE" w:rsidP="00EB505F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固定收益类基金一周业绩：</w:t>
      </w:r>
      <w:r w:rsidRPr="005B7CDB">
        <w:rPr>
          <w:rFonts w:ascii="楷体" w:eastAsia="楷体" w:hAnsi="楷体"/>
        </w:rPr>
        <w:t xml:space="preserve"> </w:t>
      </w:r>
      <w:r w:rsidRPr="00EB505F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债券重回跌势，货币基金整体微跌</w:t>
      </w:r>
    </w:p>
    <w:p w:rsidR="00CF6ABE" w:rsidRPr="00AB43D5" w:rsidRDefault="00CF6ABE" w:rsidP="0005101C">
      <w:pPr>
        <w:pStyle w:val="BodyText"/>
        <w:numPr>
          <w:ilvl w:val="4"/>
          <w:numId w:val="1"/>
        </w:numPr>
        <w:spacing w:after="163"/>
        <w:rPr>
          <w:rFonts w:eastAsia="楷体" w:cs="Arial"/>
          <w:szCs w:val="21"/>
        </w:rPr>
      </w:pPr>
      <w:r w:rsidRPr="00FC2845">
        <w:rPr>
          <w:rFonts w:eastAsia="楷体" w:cs="Arial" w:hint="eastAsia"/>
        </w:rPr>
        <w:t>上周央行公开市场进行了</w:t>
      </w:r>
      <w:r w:rsidRPr="00FC2845">
        <w:rPr>
          <w:rFonts w:eastAsia="楷体" w:cs="Arial"/>
        </w:rPr>
        <w:t>400</w:t>
      </w:r>
      <w:r w:rsidRPr="00FC2845">
        <w:rPr>
          <w:rFonts w:eastAsia="楷体" w:cs="Arial" w:hint="eastAsia"/>
        </w:rPr>
        <w:t>亿元正回购，已是连续</w:t>
      </w:r>
      <w:r w:rsidRPr="00FC2845">
        <w:rPr>
          <w:rFonts w:eastAsia="楷体" w:cs="Arial"/>
        </w:rPr>
        <w:t>2</w:t>
      </w:r>
      <w:r w:rsidRPr="00FC2845">
        <w:rPr>
          <w:rFonts w:eastAsia="楷体" w:cs="Arial" w:hint="eastAsia"/>
        </w:rPr>
        <w:t>周实现资金净投放，累计投放量为</w:t>
      </w:r>
      <w:r w:rsidRPr="00FC2845">
        <w:rPr>
          <w:rFonts w:eastAsia="楷体" w:cs="Arial"/>
        </w:rPr>
        <w:t>110</w:t>
      </w:r>
      <w:r>
        <w:rPr>
          <w:rFonts w:eastAsia="楷体" w:cs="Arial" w:hint="eastAsia"/>
        </w:rPr>
        <w:t>亿元，</w:t>
      </w:r>
      <w:r w:rsidRPr="00FC2845">
        <w:rPr>
          <w:rFonts w:eastAsia="楷体" w:cs="Arial" w:hint="eastAsia"/>
        </w:rPr>
        <w:t>全周来看资金成本维持在低水平</w:t>
      </w:r>
      <w:r>
        <w:rPr>
          <w:rFonts w:eastAsia="楷体" w:cs="Arial" w:hint="eastAsia"/>
        </w:rPr>
        <w:t>。</w:t>
      </w:r>
      <w:r w:rsidRPr="00AB43D5">
        <w:rPr>
          <w:rFonts w:eastAsia="楷体" w:hAnsi="楷体" w:cs="Arial" w:hint="eastAsia"/>
        </w:rPr>
        <w:t>银行间</w:t>
      </w:r>
      <w:r w:rsidRPr="00AB43D5">
        <w:rPr>
          <w:rFonts w:eastAsia="楷体" w:cs="Arial"/>
        </w:rPr>
        <w:t>7</w:t>
      </w:r>
      <w:r>
        <w:rPr>
          <w:rFonts w:eastAsia="楷体" w:hAnsi="楷体" w:cs="Arial" w:hint="eastAsia"/>
        </w:rPr>
        <w:t>日质押式回购利率与上期</w:t>
      </w:r>
      <w:r w:rsidRPr="00AB43D5">
        <w:rPr>
          <w:rFonts w:eastAsia="楷体" w:hAnsi="楷体" w:cs="Arial" w:hint="eastAsia"/>
        </w:rPr>
        <w:t>持平，仍为</w:t>
      </w:r>
      <w:r w:rsidRPr="00AB43D5">
        <w:rPr>
          <w:rFonts w:eastAsia="楷体" w:cs="Arial"/>
        </w:rPr>
        <w:t>3.39%</w:t>
      </w:r>
      <w:r w:rsidRPr="00AB43D5">
        <w:rPr>
          <w:rFonts w:eastAsia="楷体" w:hAnsi="楷体" w:cs="Arial" w:hint="eastAsia"/>
        </w:rPr>
        <w:t>。</w:t>
      </w:r>
    </w:p>
    <w:p w:rsidR="00CF6ABE" w:rsidRPr="00AB43D5" w:rsidRDefault="00CF6ABE" w:rsidP="00026FF9">
      <w:pPr>
        <w:pStyle w:val="BodyText"/>
        <w:numPr>
          <w:ilvl w:val="4"/>
          <w:numId w:val="1"/>
        </w:numPr>
        <w:spacing w:after="163"/>
        <w:rPr>
          <w:rFonts w:eastAsia="楷体" w:cs="Arial"/>
          <w:szCs w:val="21"/>
        </w:rPr>
      </w:pPr>
      <w:r w:rsidRPr="00AB43D5">
        <w:rPr>
          <w:rFonts w:eastAsia="楷体" w:hAnsi="楷体" w:cs="Arial" w:hint="eastAsia"/>
          <w:szCs w:val="21"/>
        </w:rPr>
        <w:t>债券型基金方面，大部分指数债基下跌，平均周收益率为</w:t>
      </w:r>
      <w:r w:rsidRPr="00AB43D5">
        <w:rPr>
          <w:rFonts w:eastAsia="楷体" w:cs="Arial"/>
          <w:szCs w:val="21"/>
        </w:rPr>
        <w:t>0.03%</w:t>
      </w:r>
      <w:r>
        <w:rPr>
          <w:rFonts w:eastAsia="楷体" w:hAnsi="楷体" w:cs="Arial" w:hint="eastAsia"/>
          <w:szCs w:val="21"/>
        </w:rPr>
        <w:t>；</w:t>
      </w:r>
      <w:r w:rsidRPr="00AB43D5">
        <w:rPr>
          <w:rFonts w:eastAsia="楷体" w:hAnsi="楷体" w:cs="Arial" w:hint="eastAsia"/>
          <w:szCs w:val="21"/>
        </w:rPr>
        <w:t>二级债基略好于纯债基金，分别为</w:t>
      </w:r>
      <w:r w:rsidRPr="00AB43D5">
        <w:rPr>
          <w:rFonts w:eastAsia="楷体" w:cs="Arial"/>
          <w:szCs w:val="21"/>
        </w:rPr>
        <w:t>0.28%</w:t>
      </w:r>
      <w:r w:rsidRPr="00AB43D5">
        <w:rPr>
          <w:rFonts w:eastAsia="楷体" w:hAnsi="楷体" w:cs="Arial" w:hint="eastAsia"/>
          <w:szCs w:val="21"/>
        </w:rPr>
        <w:t>和</w:t>
      </w:r>
      <w:r w:rsidRPr="00AB43D5">
        <w:rPr>
          <w:rFonts w:eastAsia="楷体" w:cs="Arial"/>
          <w:szCs w:val="21"/>
        </w:rPr>
        <w:t>0.26%</w:t>
      </w:r>
      <w:r w:rsidRPr="00AB43D5">
        <w:rPr>
          <w:rFonts w:eastAsia="楷体" w:hAnsi="楷体" w:cs="Arial" w:hint="eastAsia"/>
          <w:szCs w:val="21"/>
        </w:rPr>
        <w:t>，但个别纯债基金收益明显，如：长盛年年</w:t>
      </w:r>
      <w:r w:rsidRPr="006F495F">
        <w:rPr>
          <w:rFonts w:ascii="楷体" w:eastAsia="楷体" w:hAnsi="楷体" w:cs="Arial" w:hint="eastAsia"/>
          <w:szCs w:val="21"/>
        </w:rPr>
        <w:t>收益</w:t>
      </w:r>
      <w:r w:rsidRPr="006F495F">
        <w:rPr>
          <w:rFonts w:ascii="楷体" w:eastAsia="楷体" w:hAnsi="楷体" w:cs="Arial"/>
          <w:szCs w:val="21"/>
        </w:rPr>
        <w:t>C</w:t>
      </w:r>
      <w:r w:rsidRPr="006F495F">
        <w:rPr>
          <w:rFonts w:ascii="楷体" w:eastAsia="楷体" w:hAnsi="楷体" w:cs="Arial" w:hint="eastAsia"/>
          <w:szCs w:val="21"/>
        </w:rPr>
        <w:t>，</w:t>
      </w:r>
      <w:r w:rsidRPr="00AB43D5">
        <w:rPr>
          <w:rFonts w:eastAsia="楷体" w:hAnsi="楷体" w:cs="Arial" w:hint="eastAsia"/>
          <w:szCs w:val="21"/>
        </w:rPr>
        <w:t>长盛年年</w:t>
      </w:r>
      <w:r w:rsidRPr="006F495F">
        <w:rPr>
          <w:rFonts w:ascii="楷体" w:eastAsia="楷体" w:hAnsi="楷体" w:cs="Arial" w:hint="eastAsia"/>
          <w:szCs w:val="21"/>
        </w:rPr>
        <w:t>收益</w:t>
      </w:r>
      <w:r w:rsidRPr="006F495F">
        <w:rPr>
          <w:rFonts w:ascii="楷体" w:eastAsia="楷体" w:hAnsi="楷体" w:cs="Arial"/>
          <w:szCs w:val="21"/>
        </w:rPr>
        <w:t>A</w:t>
      </w:r>
      <w:r w:rsidRPr="006F495F">
        <w:rPr>
          <w:rFonts w:ascii="楷体" w:eastAsia="楷体" w:hAnsi="楷体" w:cs="Arial" w:hint="eastAsia"/>
          <w:szCs w:val="21"/>
        </w:rPr>
        <w:t>等</w:t>
      </w:r>
      <w:r>
        <w:rPr>
          <w:rFonts w:eastAsia="楷体" w:hAnsi="楷体" w:cs="Arial" w:hint="eastAsia"/>
          <w:szCs w:val="21"/>
        </w:rPr>
        <w:t>，分别周涨</w:t>
      </w:r>
      <w:r>
        <w:rPr>
          <w:rFonts w:eastAsia="楷体" w:hAnsi="楷体" w:cs="Arial"/>
          <w:szCs w:val="21"/>
        </w:rPr>
        <w:t>2.83%</w:t>
      </w:r>
      <w:r>
        <w:rPr>
          <w:rFonts w:eastAsia="楷体" w:hAnsi="楷体" w:cs="Arial" w:hint="eastAsia"/>
          <w:szCs w:val="21"/>
        </w:rPr>
        <w:t>和</w:t>
      </w:r>
      <w:r>
        <w:rPr>
          <w:rFonts w:eastAsia="楷体" w:hAnsi="楷体" w:cs="Arial"/>
          <w:szCs w:val="21"/>
        </w:rPr>
        <w:t>2.82%</w:t>
      </w:r>
      <w:r>
        <w:rPr>
          <w:rFonts w:eastAsia="楷体" w:hAnsi="楷体" w:cs="Arial" w:hint="eastAsia"/>
          <w:szCs w:val="21"/>
        </w:rPr>
        <w:t>；</w:t>
      </w:r>
      <w:r w:rsidRPr="00AB43D5">
        <w:rPr>
          <w:rFonts w:eastAsia="楷体" w:hAnsi="楷体" w:cs="Arial" w:hint="eastAsia"/>
          <w:szCs w:val="21"/>
        </w:rPr>
        <w:t>可转债基依然上涨出色，但受大盘蓝筹</w:t>
      </w:r>
      <w:r w:rsidRPr="00AB43D5">
        <w:rPr>
          <w:rFonts w:eastAsia="楷体" w:cs="Arial"/>
          <w:szCs w:val="21"/>
        </w:rPr>
        <w:t>“</w:t>
      </w:r>
      <w:r w:rsidRPr="00AB43D5">
        <w:rPr>
          <w:rFonts w:eastAsia="楷体" w:hAnsi="楷体" w:cs="Arial" w:hint="eastAsia"/>
          <w:szCs w:val="21"/>
        </w:rPr>
        <w:t>退烧</w:t>
      </w:r>
      <w:r w:rsidRPr="00AB43D5">
        <w:rPr>
          <w:rFonts w:eastAsia="楷体" w:cs="Arial"/>
          <w:szCs w:val="21"/>
        </w:rPr>
        <w:t>”</w:t>
      </w:r>
      <w:r w:rsidRPr="00AB43D5">
        <w:rPr>
          <w:rFonts w:eastAsia="楷体" w:hAnsi="楷体" w:cs="Arial" w:hint="eastAsia"/>
          <w:szCs w:val="21"/>
        </w:rPr>
        <w:t>的影响，上涨幅度有所收窄。</w:t>
      </w:r>
    </w:p>
    <w:p w:rsidR="00CF6ABE" w:rsidRPr="00AB43D5" w:rsidRDefault="00CF6ABE" w:rsidP="00427EB4">
      <w:pPr>
        <w:pStyle w:val="BodyText"/>
        <w:numPr>
          <w:ilvl w:val="4"/>
          <w:numId w:val="1"/>
        </w:numPr>
        <w:spacing w:after="163"/>
        <w:rPr>
          <w:rFonts w:eastAsia="楷体" w:cs="Arial"/>
          <w:szCs w:val="21"/>
        </w:rPr>
      </w:pPr>
      <w:r w:rsidRPr="00AB43D5">
        <w:rPr>
          <w:rFonts w:eastAsia="楷体" w:hAnsi="楷体" w:cs="Arial" w:hint="eastAsia"/>
          <w:szCs w:val="21"/>
        </w:rPr>
        <w:t>资金基金方面，</w:t>
      </w:r>
      <w:r w:rsidRPr="00AB43D5">
        <w:rPr>
          <w:rFonts w:eastAsia="楷体" w:cs="Arial"/>
          <w:szCs w:val="21"/>
        </w:rPr>
        <w:t>333</w:t>
      </w:r>
      <w:r w:rsidRPr="00AB43D5">
        <w:rPr>
          <w:rFonts w:eastAsia="楷体" w:hAnsi="楷体" w:cs="Arial" w:hint="eastAsia"/>
          <w:szCs w:val="21"/>
        </w:rPr>
        <w:t>只货币基金继续延续难有起色的趋势，平均周收益为</w:t>
      </w:r>
      <w:r w:rsidRPr="00AB43D5">
        <w:rPr>
          <w:rFonts w:eastAsia="楷体" w:cs="Arial"/>
          <w:szCs w:val="21"/>
        </w:rPr>
        <w:t>4.1%</w:t>
      </w:r>
      <w:r w:rsidRPr="00AB43D5">
        <w:rPr>
          <w:rFonts w:eastAsia="楷体" w:hAnsi="楷体" w:cs="Arial" w:hint="eastAsia"/>
          <w:szCs w:val="21"/>
        </w:rPr>
        <w:t>，单只产品最高收益为</w:t>
      </w:r>
      <w:r w:rsidRPr="00AB43D5">
        <w:rPr>
          <w:rFonts w:eastAsia="楷体" w:cs="Arial"/>
          <w:szCs w:val="21"/>
        </w:rPr>
        <w:t>8.35%</w:t>
      </w:r>
      <w:r>
        <w:rPr>
          <w:rFonts w:eastAsia="楷体" w:hAnsi="楷体" w:cs="Arial" w:hint="eastAsia"/>
          <w:szCs w:val="21"/>
        </w:rPr>
        <w:t>，比上期均有下降。整体</w:t>
      </w:r>
      <w:r w:rsidRPr="00AB43D5">
        <w:rPr>
          <w:rFonts w:eastAsia="楷体" w:hAnsi="楷体" w:cs="Arial" w:hint="eastAsia"/>
          <w:szCs w:val="21"/>
        </w:rPr>
        <w:t>看来，货币基金涨幅均横，且没有收益为负的产品。</w:t>
      </w:r>
    </w:p>
    <w:p w:rsidR="00CF6ABE" w:rsidRPr="00EC3F72" w:rsidRDefault="00CF6ABE" w:rsidP="00D000F8">
      <w:pPr>
        <w:widowControl/>
        <w:spacing w:after="120"/>
        <w:ind w:left="3430"/>
        <w:rPr>
          <w:rFonts w:ascii="楷体" w:eastAsia="楷体" w:hAnsi="楷体"/>
          <w:b/>
          <w:bCs/>
          <w:color w:val="FF0000"/>
          <w:kern w:val="0"/>
          <w:szCs w:val="21"/>
          <w:lang w:val="en-GB"/>
        </w:rPr>
      </w:pPr>
      <w:r w:rsidRPr="00EB505F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分级基金子份额一周业绩：</w:t>
      </w: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股票积极整体激情不减，业绩两极分化</w:t>
      </w:r>
    </w:p>
    <w:p w:rsidR="00CF6ABE" w:rsidRPr="000C088F" w:rsidRDefault="00CF6ABE" w:rsidP="006B48F2">
      <w:pPr>
        <w:pStyle w:val="BodyText"/>
        <w:numPr>
          <w:ilvl w:val="4"/>
          <w:numId w:val="1"/>
        </w:numPr>
        <w:spacing w:after="163"/>
        <w:rPr>
          <w:rFonts w:ascii="楷体" w:eastAsia="楷体" w:hAnsi="楷体"/>
          <w:szCs w:val="21"/>
        </w:rPr>
      </w:pPr>
      <w:r w:rsidRPr="000C088F">
        <w:rPr>
          <w:rFonts w:ascii="楷体" w:eastAsia="楷体" w:hAnsi="楷体" w:hint="eastAsia"/>
          <w:szCs w:val="21"/>
        </w:rPr>
        <w:t>股票型分级基金方面，分级基金子份额</w:t>
      </w:r>
      <w:r w:rsidRPr="000C088F">
        <w:rPr>
          <w:rFonts w:ascii="楷体" w:eastAsia="楷体" w:hAnsi="楷体"/>
          <w:szCs w:val="21"/>
        </w:rPr>
        <w:t>-</w:t>
      </w:r>
      <w:r w:rsidRPr="000C088F">
        <w:rPr>
          <w:rFonts w:ascii="楷体" w:eastAsia="楷体" w:hAnsi="楷体" w:hint="eastAsia"/>
          <w:szCs w:val="21"/>
        </w:rPr>
        <w:t>股票稳健型全数位正收益，平均涨幅</w:t>
      </w:r>
      <w:r w:rsidRPr="000C088F">
        <w:rPr>
          <w:rFonts w:ascii="楷体" w:eastAsia="楷体" w:hAnsi="楷体"/>
          <w:szCs w:val="21"/>
        </w:rPr>
        <w:t>0.16</w:t>
      </w:r>
      <w:r w:rsidRPr="000C088F">
        <w:rPr>
          <w:rFonts w:ascii="楷体" w:eastAsia="楷体" w:hAnsi="楷体" w:hint="eastAsia"/>
          <w:szCs w:val="21"/>
        </w:rPr>
        <w:t>。分级基金</w:t>
      </w:r>
      <w:r w:rsidRPr="000C088F">
        <w:rPr>
          <w:rFonts w:ascii="楷体" w:eastAsia="楷体" w:hAnsi="楷体"/>
          <w:szCs w:val="21"/>
        </w:rPr>
        <w:t>-</w:t>
      </w:r>
      <w:r w:rsidRPr="000C088F">
        <w:rPr>
          <w:rFonts w:ascii="楷体" w:eastAsia="楷体" w:hAnsi="楷体" w:hint="eastAsia"/>
          <w:szCs w:val="21"/>
        </w:rPr>
        <w:t>股票积极型份额业绩则两级分化，国富创业板</w:t>
      </w:r>
      <w:r w:rsidRPr="000C088F">
        <w:rPr>
          <w:rFonts w:ascii="楷体" w:eastAsia="楷体" w:hAnsi="楷体"/>
          <w:szCs w:val="21"/>
        </w:rPr>
        <w:t>B</w:t>
      </w:r>
      <w:r w:rsidRPr="000C088F">
        <w:rPr>
          <w:rFonts w:ascii="楷体" w:eastAsia="楷体" w:hAnsi="楷体" w:hint="eastAsia"/>
          <w:szCs w:val="21"/>
        </w:rPr>
        <w:t>收益最高，为</w:t>
      </w:r>
      <w:r w:rsidRPr="000C088F">
        <w:rPr>
          <w:rFonts w:ascii="楷体" w:eastAsia="楷体" w:hAnsi="楷体"/>
          <w:szCs w:val="21"/>
        </w:rPr>
        <w:t>9.54%</w:t>
      </w:r>
      <w:r w:rsidRPr="000C088F">
        <w:rPr>
          <w:rFonts w:ascii="楷体" w:eastAsia="楷体" w:hAnsi="楷体" w:hint="eastAsia"/>
          <w:szCs w:val="21"/>
        </w:rPr>
        <w:t>，鹏华非银行</w:t>
      </w:r>
      <w:r w:rsidRPr="000C088F">
        <w:rPr>
          <w:rFonts w:ascii="楷体" w:eastAsia="楷体" w:hAnsi="楷体"/>
          <w:szCs w:val="21"/>
        </w:rPr>
        <w:t>B</w:t>
      </w:r>
      <w:r w:rsidRPr="000C088F">
        <w:rPr>
          <w:rFonts w:ascii="楷体" w:eastAsia="楷体" w:hAnsi="楷体" w:hint="eastAsia"/>
          <w:szCs w:val="21"/>
        </w:rPr>
        <w:t>收益最低，为</w:t>
      </w:r>
      <w:r w:rsidRPr="000C088F">
        <w:rPr>
          <w:rFonts w:ascii="楷体" w:eastAsia="楷体" w:hAnsi="楷体"/>
          <w:szCs w:val="21"/>
        </w:rPr>
        <w:t>-3.11%</w:t>
      </w:r>
      <w:r w:rsidRPr="000C088F">
        <w:rPr>
          <w:rFonts w:ascii="楷体" w:eastAsia="楷体" w:hAnsi="楷体" w:hint="eastAsia"/>
          <w:szCs w:val="21"/>
        </w:rPr>
        <w:t>。</w:t>
      </w:r>
      <w:r w:rsidRPr="000C088F">
        <w:rPr>
          <w:rFonts w:ascii="楷体" w:eastAsia="楷体" w:hAnsi="楷体"/>
          <w:szCs w:val="21"/>
        </w:rPr>
        <w:t>52</w:t>
      </w:r>
      <w:r w:rsidRPr="000C088F">
        <w:rPr>
          <w:rFonts w:ascii="楷体" w:eastAsia="楷体" w:hAnsi="楷体" w:hint="eastAsia"/>
          <w:szCs w:val="21"/>
        </w:rPr>
        <w:t>只股票积极型份额平均涨幅为</w:t>
      </w:r>
      <w:r w:rsidRPr="000C088F">
        <w:rPr>
          <w:rFonts w:ascii="楷体" w:eastAsia="楷体" w:hAnsi="楷体"/>
          <w:szCs w:val="21"/>
        </w:rPr>
        <w:t>2.33%</w:t>
      </w:r>
      <w:r w:rsidRPr="000C088F">
        <w:rPr>
          <w:rFonts w:ascii="楷体" w:eastAsia="楷体" w:hAnsi="楷体" w:hint="eastAsia"/>
          <w:szCs w:val="21"/>
        </w:rPr>
        <w:t>。</w:t>
      </w:r>
    </w:p>
    <w:p w:rsidR="00CF6ABE" w:rsidRPr="000C088F" w:rsidRDefault="00CF6ABE" w:rsidP="004049E1">
      <w:pPr>
        <w:pStyle w:val="BodyText"/>
        <w:numPr>
          <w:ilvl w:val="4"/>
          <w:numId w:val="1"/>
        </w:numPr>
        <w:spacing w:after="163"/>
        <w:rPr>
          <w:rFonts w:ascii="楷体" w:eastAsia="楷体" w:hAnsi="楷体"/>
          <w:color w:val="FF0000"/>
          <w:szCs w:val="21"/>
        </w:rPr>
      </w:pPr>
      <w:r w:rsidRPr="000C088F">
        <w:rPr>
          <w:rFonts w:ascii="楷体" w:eastAsia="楷体" w:hAnsi="楷体" w:hint="eastAsia"/>
          <w:szCs w:val="21"/>
        </w:rPr>
        <w:t>分级基金子份额</w:t>
      </w:r>
      <w:r w:rsidRPr="000C088F">
        <w:rPr>
          <w:rFonts w:ascii="楷体" w:eastAsia="楷体" w:hAnsi="楷体"/>
          <w:szCs w:val="21"/>
        </w:rPr>
        <w:t>-</w:t>
      </w:r>
      <w:r w:rsidRPr="000C088F">
        <w:rPr>
          <w:rFonts w:ascii="楷体" w:eastAsia="楷体" w:hAnsi="楷体" w:hint="eastAsia"/>
          <w:szCs w:val="21"/>
        </w:rPr>
        <w:t>债券稳健型仅一只周收益为负，平均涨幅缓慢且均横，约</w:t>
      </w:r>
      <w:r w:rsidRPr="000C088F">
        <w:rPr>
          <w:rFonts w:ascii="楷体" w:eastAsia="楷体" w:hAnsi="楷体"/>
          <w:szCs w:val="21"/>
        </w:rPr>
        <w:t>95%</w:t>
      </w:r>
      <w:r w:rsidRPr="000C088F">
        <w:rPr>
          <w:rFonts w:ascii="楷体" w:eastAsia="楷体" w:hAnsi="楷体" w:hint="eastAsia"/>
          <w:szCs w:val="21"/>
        </w:rPr>
        <w:t>的债券稳健型份额收益在</w:t>
      </w:r>
      <w:r w:rsidRPr="000C088F">
        <w:rPr>
          <w:rFonts w:ascii="楷体" w:eastAsia="楷体" w:hAnsi="楷体"/>
          <w:szCs w:val="21"/>
        </w:rPr>
        <w:t>0~1%</w:t>
      </w:r>
      <w:r w:rsidRPr="000C088F">
        <w:rPr>
          <w:rFonts w:ascii="楷体" w:eastAsia="楷体" w:hAnsi="楷体" w:hint="eastAsia"/>
          <w:szCs w:val="21"/>
        </w:rPr>
        <w:t>之间。债券分级</w:t>
      </w:r>
      <w:r w:rsidRPr="000C088F">
        <w:rPr>
          <w:rFonts w:ascii="楷体" w:eastAsia="楷体" w:hAnsi="楷体"/>
          <w:szCs w:val="21"/>
        </w:rPr>
        <w:t>-</w:t>
      </w:r>
      <w:r w:rsidRPr="000C088F">
        <w:rPr>
          <w:rFonts w:ascii="楷体" w:eastAsia="楷体" w:hAnsi="楷体" w:hint="eastAsia"/>
          <w:szCs w:val="21"/>
        </w:rPr>
        <w:t>积极型平均周收益为</w:t>
      </w:r>
      <w:r>
        <w:rPr>
          <w:rFonts w:ascii="楷体" w:eastAsia="楷体" w:hAnsi="楷体"/>
          <w:szCs w:val="21"/>
        </w:rPr>
        <w:t>0.34%</w:t>
      </w:r>
      <w:r>
        <w:rPr>
          <w:rFonts w:ascii="楷体" w:eastAsia="楷体" w:hAnsi="楷体" w:hint="eastAsia"/>
          <w:szCs w:val="21"/>
        </w:rPr>
        <w:t>，</w:t>
      </w:r>
      <w:r w:rsidRPr="000C088F">
        <w:rPr>
          <w:rFonts w:ascii="楷体" w:eastAsia="楷体" w:hAnsi="楷体" w:hint="eastAsia"/>
          <w:szCs w:val="21"/>
        </w:rPr>
        <w:t>约</w:t>
      </w:r>
      <w:r w:rsidRPr="000C088F">
        <w:rPr>
          <w:rFonts w:ascii="楷体" w:eastAsia="楷体" w:hAnsi="楷体"/>
          <w:szCs w:val="21"/>
        </w:rPr>
        <w:t>89%</w:t>
      </w:r>
      <w:r>
        <w:rPr>
          <w:rFonts w:ascii="楷体" w:eastAsia="楷体" w:hAnsi="楷体" w:hint="eastAsia"/>
          <w:szCs w:val="21"/>
        </w:rPr>
        <w:t>的</w:t>
      </w:r>
      <w:r w:rsidRPr="000C088F">
        <w:rPr>
          <w:rFonts w:ascii="楷体" w:eastAsia="楷体" w:hAnsi="楷体" w:hint="eastAsia"/>
          <w:szCs w:val="21"/>
        </w:rPr>
        <w:t>产品周收益大于</w:t>
      </w:r>
      <w:r w:rsidRPr="000C088F">
        <w:rPr>
          <w:rFonts w:ascii="楷体" w:eastAsia="楷体" w:hAnsi="楷体"/>
          <w:szCs w:val="21"/>
        </w:rPr>
        <w:t>0</w:t>
      </w:r>
      <w:r>
        <w:rPr>
          <w:rFonts w:ascii="楷体" w:eastAsia="楷体" w:hAnsi="楷体" w:hint="eastAsia"/>
          <w:szCs w:val="21"/>
        </w:rPr>
        <w:t>。</w:t>
      </w:r>
    </w:p>
    <w:tbl>
      <w:tblPr>
        <w:tblW w:w="11057" w:type="dxa"/>
        <w:tblInd w:w="-14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851"/>
        <w:gridCol w:w="1984"/>
        <w:gridCol w:w="851"/>
        <w:gridCol w:w="991"/>
        <w:gridCol w:w="993"/>
        <w:gridCol w:w="992"/>
        <w:gridCol w:w="1843"/>
        <w:gridCol w:w="851"/>
        <w:gridCol w:w="850"/>
      </w:tblGrid>
      <w:tr w:rsidR="00CF6ABE" w:rsidRPr="005A2B4E" w:rsidTr="00CE01AE">
        <w:trPr>
          <w:cantSplit/>
          <w:trHeight w:val="335"/>
        </w:trPr>
        <w:tc>
          <w:tcPr>
            <w:tcW w:w="11057" w:type="dxa"/>
            <w:gridSpan w:val="10"/>
            <w:vAlign w:val="center"/>
          </w:tcPr>
          <w:p w:rsidR="00CF6ABE" w:rsidRPr="005B7CDB" w:rsidRDefault="00CF6ABE" w:rsidP="002D2967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5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：各类型公募基金（含封闭式）周收益率前</w:t>
            </w:r>
            <w:r w:rsidRPr="005B7CDB">
              <w:rPr>
                <w:rFonts w:ascii="楷体" w:eastAsia="楷体" w:hAnsi="楷体"/>
                <w:color w:val="FF6600"/>
              </w:rPr>
              <w:t>3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（</w:t>
            </w:r>
            <w:r>
              <w:rPr>
                <w:rFonts w:ascii="楷体" w:eastAsia="楷体" w:hAnsi="楷体"/>
                <w:color w:val="FF6600"/>
              </w:rPr>
              <w:t>08.18~22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Pr="005B7CDB">
              <w:rPr>
                <w:rFonts w:ascii="楷体" w:eastAsia="楷体" w:hAnsi="楷体"/>
                <w:color w:val="FF6600"/>
              </w:rPr>
              <w:t>QDII</w:t>
            </w:r>
            <w:r w:rsidRPr="005B7CDB">
              <w:rPr>
                <w:rFonts w:ascii="楷体" w:eastAsia="楷体" w:hAnsi="楷体" w:hint="eastAsia"/>
                <w:color w:val="FF6600"/>
              </w:rPr>
              <w:t>为</w:t>
            </w:r>
            <w:r>
              <w:rPr>
                <w:rFonts w:ascii="楷体" w:eastAsia="楷体" w:hAnsi="楷体"/>
                <w:color w:val="FF6600"/>
              </w:rPr>
              <w:t>08.15</w:t>
            </w:r>
            <w:r w:rsidRPr="00057142">
              <w:rPr>
                <w:rFonts w:ascii="楷体" w:eastAsia="楷体" w:hAnsi="楷体"/>
                <w:color w:val="FF6600"/>
              </w:rPr>
              <w:t>~</w:t>
            </w:r>
            <w:r>
              <w:rPr>
                <w:rFonts w:ascii="楷体" w:eastAsia="楷体" w:hAnsi="楷体"/>
                <w:color w:val="FF6600"/>
              </w:rPr>
              <w:t>21</w:t>
            </w:r>
            <w:r w:rsidRPr="005B7CDB">
              <w:rPr>
                <w:rFonts w:ascii="楷体" w:eastAsia="楷体" w:hAnsi="楷体" w:hint="eastAsia"/>
                <w:color w:val="FF6600"/>
              </w:rPr>
              <w:t>，货币基金为</w:t>
            </w:r>
            <w:r w:rsidRPr="005B7CDB">
              <w:rPr>
                <w:rFonts w:ascii="楷体" w:eastAsia="楷体" w:hAnsi="楷体"/>
                <w:color w:val="FF6600"/>
              </w:rPr>
              <w:t>7</w:t>
            </w:r>
            <w:r w:rsidRPr="005B7CDB">
              <w:rPr>
                <w:rFonts w:ascii="楷体" w:eastAsia="楷体" w:hAnsi="楷体" w:hint="eastAsia"/>
                <w:color w:val="FF6600"/>
              </w:rPr>
              <w:t>日年化收益</w:t>
            </w:r>
            <w:r>
              <w:rPr>
                <w:rFonts w:ascii="楷体" w:eastAsia="楷体" w:hAnsi="楷体" w:hint="eastAsia"/>
                <w:color w:val="FF6600"/>
              </w:rPr>
              <w:t>率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CF6ABE" w:rsidRPr="005A2B4E" w:rsidTr="000D1136">
        <w:trPr>
          <w:cantSplit/>
          <w:trHeight w:val="227"/>
        </w:trPr>
        <w:tc>
          <w:tcPr>
            <w:tcW w:w="851" w:type="dxa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基金代码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基金名称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基金代码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基金名称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股票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主动型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166011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中欧盛世成长分级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5.41</w:t>
            </w:r>
          </w:p>
        </w:tc>
        <w:tc>
          <w:tcPr>
            <w:tcW w:w="993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纯债基金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长盛年年收益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2.83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630002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华商盛世成长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长盛年年收益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2.82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华宝兴业服务优选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4.85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民生加银岁岁增利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2.64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股票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指数型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161613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融通创业板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993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F6ABE" w:rsidRPr="005B7CDB" w:rsidRDefault="00CF6ABE" w:rsidP="000D1136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一级债基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410004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华富收益增强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0.77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159915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易方达创业板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ETF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410005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华富收益增强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0.76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161022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富国创业板指数分级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4.61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160130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南方永利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</w:t>
            </w: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年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0.65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</w:t>
            </w:r>
            <w:r w:rsidRPr="005A2B4E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偏股型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166002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中欧新蓝筹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993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F6ABE" w:rsidRPr="005B7CDB" w:rsidRDefault="00CF6ABE" w:rsidP="00884478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二级债基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110027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易方达安心回报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1.71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240001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华宝兴业宝康消费品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110028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易方达安心回报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1.65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310308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申万菱信盛利精选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320021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诺安双利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1.21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</w:t>
            </w:r>
            <w:r w:rsidRPr="005A2B4E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偏债型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110001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易方达平稳增长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993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F6ABE" w:rsidRPr="005B7CDB" w:rsidRDefault="00CF6ABE" w:rsidP="00884478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理财债基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广发理财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7</w:t>
            </w: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天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0.14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40004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华安宝利配置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广发理财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7</w:t>
            </w: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天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0.13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217002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招商安泰平衡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110051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易方达月月利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0.13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</w:t>
            </w:r>
            <w:r w:rsidRPr="005A2B4E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灵活型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163302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大摩资源优选混合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993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F6ABE" w:rsidRPr="005B7CDB" w:rsidRDefault="00CF6ABE" w:rsidP="00884478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指数债基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160721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嘉实中证中期企业债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0.75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240008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华宝兴业收益增长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4.67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160720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嘉实中证中期企业债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0.74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233008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大摩消费领航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4.43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167701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德邦企债分级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0.38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QDII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国泰美国房地产开发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993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5A2B4E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F6ABE" w:rsidRPr="005B7CDB" w:rsidRDefault="00CF6ABE" w:rsidP="00884478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可转债基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中海可转换债券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1.42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162411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华宝兴业标普油气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中海可转换债券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1.42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217015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招商全球资源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A3657C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163817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中银转债增强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1.25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股票稳健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150016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兴全合润分级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93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797357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</w:t>
            </w:r>
            <w:r w:rsidRPr="005A2B4E">
              <w:rPr>
                <w:rFonts w:ascii="楷体" w:eastAsia="楷体" w:hAnsi="楷体"/>
                <w:b/>
                <w:color w:val="000000"/>
                <w:sz w:val="18"/>
                <w:szCs w:val="18"/>
              </w:rPr>
              <w:t>-</w:t>
            </w:r>
          </w:p>
          <w:p w:rsidR="00CF6ABE" w:rsidRPr="005A2B4E" w:rsidRDefault="00CF6ABE" w:rsidP="00797357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股票积极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150153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富国创业板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9.54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150022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申万菱信深成收益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797357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150072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中欧盛世成长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8.24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150008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国投瑞银瑞和小康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797357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150091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万家中证创业成长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7.01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</w:t>
            </w:r>
            <w:r w:rsidRPr="005A2B4E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债券稳健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161506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银河通利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93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797357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</w:t>
            </w:r>
            <w:r w:rsidRPr="005A2B4E">
              <w:rPr>
                <w:rFonts w:ascii="楷体" w:eastAsia="楷体" w:hAnsi="楷体"/>
                <w:b/>
                <w:color w:val="000000"/>
                <w:sz w:val="18"/>
                <w:szCs w:val="18"/>
              </w:rPr>
              <w:t>-</w:t>
            </w:r>
          </w:p>
          <w:p w:rsidR="00CF6ABE" w:rsidRPr="005A2B4E" w:rsidRDefault="00CF6ABE" w:rsidP="00797357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债券积极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150162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银华永益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封闭式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1.70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易方达聚盈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797357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150134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德邦企债分级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1.30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165706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诺德双翼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797357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150063</w:t>
            </w: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浦银安盛增利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封闭式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F6ABE" w:rsidRPr="000E39C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1.19</w:t>
            </w: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货币市场</w:t>
            </w:r>
          </w:p>
          <w:p w:rsidR="00CF6ABE" w:rsidRPr="005A2B4E" w:rsidRDefault="00CF6ABE" w:rsidP="00884478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b/>
                <w:sz w:val="18"/>
                <w:szCs w:val="18"/>
              </w:rPr>
              <w:t>基金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730103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方正富邦货币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8.35</w:t>
            </w:r>
          </w:p>
        </w:tc>
        <w:tc>
          <w:tcPr>
            <w:tcW w:w="993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7E607C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B7CDB" w:rsidRDefault="00CF6ABE" w:rsidP="003E6742">
            <w:pPr>
              <w:snapToGrid w:val="0"/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B7CDB" w:rsidRDefault="00CF6ABE" w:rsidP="003E6742">
            <w:pPr>
              <w:snapToGrid w:val="0"/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B7CDB" w:rsidRDefault="00CF6ABE" w:rsidP="003E6742">
            <w:pPr>
              <w:snapToGrid w:val="0"/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vAlign w:val="center"/>
          </w:tcPr>
          <w:p w:rsidR="00CF6ABE" w:rsidRPr="005B7CDB" w:rsidRDefault="00CF6ABE" w:rsidP="003E6742">
            <w:pPr>
              <w:snapToGrid w:val="0"/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730003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方正富邦货币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3E6742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3E6742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3E6742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3E6742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</w:tr>
      <w:tr w:rsidR="00CF6ABE" w:rsidRPr="005A2B4E" w:rsidTr="00363312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210013</w:t>
            </w:r>
          </w:p>
        </w:tc>
        <w:tc>
          <w:tcPr>
            <w:tcW w:w="1984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金鹰货币</w:t>
            </w: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991" w:type="dxa"/>
            <w:tcBorders>
              <w:left w:val="single" w:sz="6" w:space="0" w:color="FF6600"/>
              <w:right w:val="single" w:sz="6" w:space="0" w:color="FF6600"/>
            </w:tcBorders>
          </w:tcPr>
          <w:p w:rsidR="00CF6ABE" w:rsidRPr="003E6742" w:rsidRDefault="00CF6ABE" w:rsidP="003E674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5A2B4E">
              <w:rPr>
                <w:rFonts w:ascii="楷体" w:eastAsia="楷体" w:hAnsi="楷体"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993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F6ABE" w:rsidRPr="005A2B4E" w:rsidRDefault="00CF6ABE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3E6742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3E6742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F6ABE" w:rsidRPr="005A2B4E" w:rsidRDefault="00CF6ABE" w:rsidP="003E6742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vAlign w:val="center"/>
          </w:tcPr>
          <w:p w:rsidR="00CF6ABE" w:rsidRPr="005A2B4E" w:rsidRDefault="00CF6ABE" w:rsidP="003E6742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</w:tr>
    </w:tbl>
    <w:p w:rsidR="00CF6ABE" w:rsidRPr="005B7CDB" w:rsidRDefault="00CF6ABE" w:rsidP="008177CF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来源：凯石财富工场</w:t>
      </w:r>
    </w:p>
    <w:p w:rsidR="00CF6ABE" w:rsidRPr="005B7CDB" w:rsidRDefault="00CF6ABE" w:rsidP="009F0008">
      <w:pPr>
        <w:widowControl/>
        <w:jc w:val="left"/>
        <w:rPr>
          <w:rFonts w:ascii="楷体" w:eastAsia="楷体" w:hAnsi="楷体"/>
          <w:b/>
          <w:szCs w:val="21"/>
        </w:rPr>
      </w:pPr>
      <w:r w:rsidRPr="005B7CDB">
        <w:rPr>
          <w:rFonts w:ascii="楷体" w:eastAsia="楷体" w:hAnsi="楷体"/>
          <w:b/>
          <w:kern w:val="0"/>
          <w:szCs w:val="20"/>
          <w:lang w:val="en-GB"/>
        </w:rPr>
        <w:br w:type="page"/>
      </w:r>
      <w:r w:rsidRPr="005B7CDB">
        <w:rPr>
          <w:rFonts w:ascii="楷体" w:eastAsia="楷体" w:hAnsi="楷体" w:cs="宋体" w:hint="eastAsia"/>
          <w:b/>
          <w:kern w:val="0"/>
          <w:szCs w:val="20"/>
          <w:lang w:val="en-GB"/>
        </w:rPr>
        <w:t>特别声明：</w:t>
      </w:r>
    </w:p>
    <w:p w:rsidR="00CF6ABE" w:rsidRPr="005B7CDB" w:rsidRDefault="00CF6ABE" w:rsidP="005A2B4E">
      <w:pPr>
        <w:pStyle w:val="a4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中的所有内容版权均属上海凯石财富投资管理有限公司（以下简称“本公司”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凯石财富投资有限公司研究中心，且不得对本文进行任何有悖原意的引用和删改。</w:t>
      </w:r>
    </w:p>
    <w:p w:rsidR="00CF6ABE" w:rsidRPr="005B7CDB" w:rsidRDefault="00CF6ABE" w:rsidP="005A2B4E">
      <w:pPr>
        <w:pStyle w:val="a4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CF6ABE" w:rsidRPr="005B7CDB" w:rsidRDefault="00CF6ABE" w:rsidP="005A2B4E">
      <w:pPr>
        <w:pStyle w:val="a4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CF6ABE" w:rsidRPr="005B7CDB" w:rsidRDefault="00CF6ABE">
      <w:pPr>
        <w:rPr>
          <w:rFonts w:ascii="楷体" w:eastAsia="楷体" w:hAnsi="楷体"/>
          <w:lang w:val="en-GB"/>
        </w:rPr>
      </w:pPr>
    </w:p>
    <w:sectPr w:rsidR="00CF6ABE" w:rsidRPr="005B7CDB" w:rsidSect="00D4319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624" w:bottom="1440" w:left="624" w:header="850" w:footer="283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BE" w:rsidRDefault="00CF6ABE" w:rsidP="00B10000">
      <w:r>
        <w:separator/>
      </w:r>
    </w:p>
  </w:endnote>
  <w:endnote w:type="continuationSeparator" w:id="0">
    <w:p w:rsidR="00CF6ABE" w:rsidRDefault="00CF6ABE" w:rsidP="00B1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BE" w:rsidRDefault="00CF6ABE">
    <w:pPr>
      <w:pStyle w:val="Footer"/>
      <w:jc w:val="center"/>
    </w:pPr>
    <w:r>
      <w:pict>
        <v:rect id="_x0000_i1032" style="width:571.2pt;height:2pt" o:hralign="center" o:hrstd="t" o:hrnoshade="t" o:hr="t" fillcolor="#e7a631" stroked="f"/>
      </w:pict>
    </w: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</w:p>
  <w:p w:rsidR="00CF6ABE" w:rsidRDefault="00CF6A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BE" w:rsidRDefault="00CF6ABE">
    <w:pPr>
      <w:pStyle w:val="Footer"/>
      <w:jc w:val="center"/>
    </w:pPr>
    <w:r>
      <w:pict>
        <v:rect id="_x0000_i1041" style="width:571.2pt;height:2pt" o:hralign="center" o:hrstd="t" o:hrnoshade="t" o:hr="t" fillcolor="#e7a631" stroked="f"/>
      </w:pict>
    </w: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</w:p>
  <w:p w:rsidR="00CF6ABE" w:rsidRDefault="00CF6A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BE" w:rsidRDefault="00CF6ABE" w:rsidP="00B10000">
      <w:r>
        <w:separator/>
      </w:r>
    </w:p>
  </w:footnote>
  <w:footnote w:type="continuationSeparator" w:id="0">
    <w:p w:rsidR="00CF6ABE" w:rsidRDefault="00CF6ABE" w:rsidP="00B10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BE" w:rsidRDefault="00CF6ABE" w:rsidP="00B10000">
    <w:pPr>
      <w:pStyle w:val="Header"/>
      <w:pBdr>
        <w:bottom w:val="none" w:sz="0" w:space="0" w:color="auto"/>
      </w:pBdr>
    </w:pPr>
    <w:r>
      <w:rPr>
        <w:noProof/>
      </w:rPr>
      <w:pict>
        <v:group id="_x0000_s2049" style="position:absolute;left:0;text-align:left;margin-left:5.2pt;margin-top:-32.25pt;width:531.2pt;height:37.5pt;z-index:251660288" coordorigin="728,206" coordsize="10624,75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28;top:206;width:1336;height:724" strokecolor="white">
            <v:textbox style="mso-next-textbox:#_x0000_s2050">
              <w:txbxContent>
                <w:p w:rsidR="00CF6ABE" w:rsidRDefault="00CF6ABE" w:rsidP="00B10000">
                  <w:pPr>
                    <w:pStyle w:val="12"/>
                  </w:pPr>
                  <w:r w:rsidRPr="00113BE0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alt="凯石工2.jpg" style="width:42pt;height:29.25pt;visibility:visible">
                        <v:imagedata r:id="rId1" o:title=""/>
                      </v:shape>
                    </w:pict>
                  </w:r>
                </w:p>
              </w:txbxContent>
            </v:textbox>
          </v:shape>
          <v:shape id="_x0000_s2051" type="#_x0000_t202" style="position:absolute;left:5999;top:542;width:5353;height:414" strokecolor="white">
            <v:textbox style="mso-next-textbox:#_x0000_s2051">
              <w:txbxContent>
                <w:p w:rsidR="00CF6ABE" w:rsidRPr="006E0F3C" w:rsidRDefault="00CF6ABE" w:rsidP="00B10000">
                  <w:pPr>
                    <w:pStyle w:val="2"/>
                  </w:pPr>
                  <w:r>
                    <w:rPr>
                      <w:rFonts w:hint="eastAsia"/>
                    </w:rPr>
                    <w:t>公募基金周报（</w:t>
                  </w:r>
                  <w:r>
                    <w:t>2014.08.18~2014.08.22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v:group>
      </w:pict>
    </w:r>
    <w:r>
      <w:pict>
        <v:rect id="_x0000_i1029" style="width:571.2pt;height:2pt" o:hralign="center" o:hrstd="t" o:hrnoshade="t" o:hr="t" fillcolor="#e7a631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BE" w:rsidRDefault="00CF6ABE" w:rsidP="00F2020C">
    <w:pPr>
      <w:pStyle w:val="Header"/>
      <w:pBdr>
        <w:bottom w:val="none" w:sz="0" w:space="0" w:color="auto"/>
      </w:pBdr>
      <w:spacing w:afterLines="100"/>
    </w:pPr>
    <w:r>
      <w:rPr>
        <w:noProof/>
      </w:rPr>
    </w:r>
    <w:r>
      <w:pict>
        <v:group id="_x0000_s2052" style="width:532.6pt;height:143.7pt;mso-position-horizontal-relative:char;mso-position-vertical-relative:line" coordorigin="652,331" coordsize="10652,287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652;top:331;width:3664;height:2430" strokecolor="white">
            <v:textbox style="mso-next-textbox:#_x0000_s2053">
              <w:txbxContent>
                <w:p w:rsidR="00CF6ABE" w:rsidRDefault="00CF6ABE" w:rsidP="00B10000">
                  <w:pPr>
                    <w:pStyle w:val="a0"/>
                  </w:pPr>
                  <w:r w:rsidRPr="00113BE0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0" o:spid="_x0000_i1039" type="#_x0000_t75" alt="凯石工2.jpg" style="width:123pt;height:115.5pt;visibility:visible">
                        <v:imagedata r:id="rId1" o:title=""/>
                      </v:shape>
                    </w:pict>
                  </w:r>
                </w:p>
              </w:txbxContent>
            </v:textbox>
          </v:shape>
          <v:shape id="_x0000_s2054" type="#_x0000_t202" style="position:absolute;left:881;top:2578;width:2325;height:390" strokecolor="white">
            <v:textbox style="mso-next-textbox:#_x0000_s2054">
              <w:txbxContent>
                <w:p w:rsidR="00CF6ABE" w:rsidRPr="006E0F3C" w:rsidRDefault="00CF6ABE" w:rsidP="008840A4">
                  <w:pPr>
                    <w:pStyle w:val="a"/>
                    <w:spacing w:after="240"/>
                  </w:pPr>
                  <w:r w:rsidRPr="006E0F3C">
                    <w:rPr>
                      <w:rFonts w:hint="eastAsia"/>
                    </w:rPr>
                    <w:t>凯石工场研究报告</w:t>
                  </w:r>
                </w:p>
              </w:txbxContent>
            </v:textbox>
          </v:shape>
          <v:shape id="_x0000_s2055" type="#_x0000_t202" style="position:absolute;left:8740;top:609;width:2441;height:475" strokecolor="white">
            <v:textbox style="mso-next-textbox:#_x0000_s2055;mso-fit-shape-to-text:t">
              <w:txbxContent>
                <w:p w:rsidR="00CF6ABE" w:rsidRPr="006E0F3C" w:rsidRDefault="00CF6ABE" w:rsidP="00B10000">
                  <w:pPr>
                    <w:pStyle w:val="a1"/>
                    <w:jc w:val="right"/>
                  </w:pPr>
                  <w:r>
                    <w:t>2014</w:t>
                  </w:r>
                  <w:r w:rsidRPr="006E0F3C">
                    <w:rPr>
                      <w:rFonts w:hint="eastAsia"/>
                    </w:rPr>
                    <w:t>年</w:t>
                  </w:r>
                  <w:r>
                    <w:t>08</w:t>
                  </w:r>
                  <w:r w:rsidRPr="006E0F3C">
                    <w:rPr>
                      <w:rFonts w:hint="eastAsia"/>
                    </w:rPr>
                    <w:t>月</w:t>
                  </w:r>
                  <w:r>
                    <w:t>25</w:t>
                  </w:r>
                  <w:r w:rsidRPr="006E0F3C">
                    <w:rPr>
                      <w:rFonts w:hint="eastAsia"/>
                    </w:rPr>
                    <w:t>日</w:t>
                  </w:r>
                </w:p>
              </w:txbxContent>
            </v:textbox>
          </v:shape>
          <v:shape id="_x0000_s2056" type="#_x0000_t202" style="position:absolute;left:3214;top:1377;width:8090;height:994" strokecolor="white">
            <v:textbox style="mso-next-textbox:#_x0000_s2056;mso-fit-shape-to-text:t">
              <w:txbxContent>
                <w:p w:rsidR="00CF6ABE" w:rsidRPr="006D6C35" w:rsidRDefault="00CF6ABE" w:rsidP="00B10000">
                  <w:pPr>
                    <w:pStyle w:val="a2"/>
                    <w:jc w:val="right"/>
                  </w:pPr>
                  <w:r w:rsidRPr="006D6C35">
                    <w:rPr>
                      <w:rFonts w:ascii="楷体" w:eastAsia="楷体" w:hAnsi="楷体" w:hint="eastAsia"/>
                      <w:b/>
                      <w:bCs/>
                      <w:kern w:val="0"/>
                      <w:szCs w:val="21"/>
                      <w:lang w:val="en-GB"/>
                    </w:rPr>
                    <w:t>大盘小盘分化，成长风格</w:t>
                  </w:r>
                  <w:r>
                    <w:rPr>
                      <w:rFonts w:ascii="楷体" w:eastAsia="楷体" w:hAnsi="楷体" w:hint="eastAsia"/>
                      <w:b/>
                      <w:bCs/>
                      <w:kern w:val="0"/>
                      <w:szCs w:val="21"/>
                      <w:lang w:val="en-GB"/>
                    </w:rPr>
                    <w:t>走强</w:t>
                  </w:r>
                </w:p>
                <w:p w:rsidR="00CF6ABE" w:rsidRPr="00624366" w:rsidRDefault="00CF6ABE" w:rsidP="00B10000">
                  <w:pPr>
                    <w:pStyle w:val="a2"/>
                    <w:jc w:val="right"/>
                    <w:rPr>
                      <w:sz w:val="28"/>
                      <w:szCs w:val="28"/>
                    </w:rPr>
                  </w:pPr>
                  <w:r w:rsidRPr="0095202C">
                    <w:rPr>
                      <w:rFonts w:hint="eastAsia"/>
                      <w:sz w:val="28"/>
                      <w:szCs w:val="28"/>
                    </w:rPr>
                    <w:t>公募基金周报（</w:t>
                  </w:r>
                  <w:r>
                    <w:rPr>
                      <w:sz w:val="28"/>
                      <w:szCs w:val="28"/>
                    </w:rPr>
                    <w:t>2014.08.18</w:t>
                  </w:r>
                  <w:r w:rsidRPr="0095202C">
                    <w:rPr>
                      <w:sz w:val="28"/>
                      <w:szCs w:val="28"/>
                    </w:rPr>
                    <w:t>~</w:t>
                  </w:r>
                  <w:r>
                    <w:rPr>
                      <w:sz w:val="28"/>
                      <w:szCs w:val="28"/>
                    </w:rPr>
                    <w:t>2014.08.22</w:t>
                  </w:r>
                  <w:r w:rsidRPr="0095202C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  <v:shape id="_x0000_s2057" type="#_x0000_t202" style="position:absolute;left:3246;top:2578;width:7993;height:627" strokecolor="white">
            <v:textbox style="mso-next-textbox:#_x0000_s2057">
              <w:txbxContent>
                <w:p w:rsidR="00CF6ABE" w:rsidRDefault="00CF6ABE" w:rsidP="005E42B1">
                  <w:pPr>
                    <w:pStyle w:val="a3"/>
                    <w:wordWrap w:val="0"/>
                    <w:ind w:right="420"/>
                  </w:pPr>
                  <w:r>
                    <w:rPr>
                      <w:rFonts w:hint="eastAsia"/>
                    </w:rPr>
                    <w:t>万晓微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联系人</w:t>
                  </w:r>
                </w:p>
                <w:p w:rsidR="00CF6ABE" w:rsidRPr="006E0F3C" w:rsidRDefault="00CF6ABE" w:rsidP="005E42B1">
                  <w:pPr>
                    <w:pStyle w:val="a3"/>
                  </w:pPr>
                  <w:r>
                    <w:rPr>
                      <w:rFonts w:hint="eastAsia"/>
                    </w:rPr>
                    <w:t>杨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舒</w:t>
                  </w:r>
                  <w:r w:rsidRPr="006E0F3C">
                    <w:t xml:space="preserve">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高级</w:t>
                  </w:r>
                  <w:r w:rsidRPr="006E0F3C">
                    <w:rPr>
                      <w:rFonts w:hint="eastAsia"/>
                    </w:rPr>
                    <w:t>分析师</w:t>
                  </w:r>
                  <w:r w:rsidRPr="006E0F3C">
                    <w:t xml:space="preserve"> </w:t>
                  </w:r>
                </w:p>
              </w:txbxContent>
            </v:textbox>
          </v:shape>
          <w10:anchorlock/>
        </v:group>
      </w:pict>
    </w:r>
    <w:r>
      <w:pict>
        <v:rect id="_x0000_i1038" style="width:571.2pt;height:2pt" o:hralign="center" o:hrstd="t" o:hrnoshade="t" o:hr="t" fillcolor="#e7a631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8014C42"/>
    <w:multiLevelType w:val="singleLevel"/>
    <w:tmpl w:val="B4861D4C"/>
    <w:lvl w:ilvl="0">
      <w:start w:val="1"/>
      <w:numFmt w:val="bullet"/>
      <w:pStyle w:val="Cover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</w:rPr>
    </w:lvl>
  </w:abstractNum>
  <w:abstractNum w:abstractNumId="1">
    <w:nsid w:val="10E71F9D"/>
    <w:multiLevelType w:val="hybridMultilevel"/>
    <w:tmpl w:val="FF3C5942"/>
    <w:lvl w:ilvl="0" w:tplc="0409000B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8" w:hanging="420"/>
      </w:pPr>
      <w:rPr>
        <w:rFonts w:ascii="Wingdings" w:hAnsi="Wingdings" w:hint="default"/>
      </w:rPr>
    </w:lvl>
  </w:abstractNum>
  <w:abstractNum w:abstractNumId="2">
    <w:nsid w:val="492C6DD3"/>
    <w:multiLevelType w:val="hybridMultilevel"/>
    <w:tmpl w:val="6EAE99B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B0CACDC8">
      <w:start w:val="1"/>
      <w:numFmt w:val="bullet"/>
      <w:lvlText w:val="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  <w:sz w:val="15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AC7CA5D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eastAsia="楷体_GB2312" w:hAnsi="Wingdings" w:hint="default"/>
        <w:b w:val="0"/>
        <w:i w:val="0"/>
        <w:color w:val="auto"/>
        <w:sz w:val="18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3">
    <w:nsid w:val="49A16DB4"/>
    <w:multiLevelType w:val="hybridMultilevel"/>
    <w:tmpl w:val="4E9C4D1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15407DA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hAnsi="Wingdings" w:hint="default"/>
        <w:b w:val="0"/>
        <w:i w:val="0"/>
        <w:color w:val="auto"/>
        <w:sz w:val="18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4">
    <w:nsid w:val="5E8271C1"/>
    <w:multiLevelType w:val="hybridMultilevel"/>
    <w:tmpl w:val="6B68E90C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31DAFFE0">
      <w:start w:val="1"/>
      <w:numFmt w:val="bullet"/>
      <w:lvlText w:val=""/>
      <w:lvlJc w:val="left"/>
      <w:pPr>
        <w:tabs>
          <w:tab w:val="num" w:pos="3649"/>
        </w:tabs>
        <w:ind w:left="3289"/>
      </w:pPr>
      <w:rPr>
        <w:rFonts w:ascii="Wingdings" w:eastAsia="宋体" w:hAnsi="Wingdings" w:hint="default"/>
        <w:b w:val="0"/>
        <w:i w:val="0"/>
        <w:color w:val="000565"/>
        <w:sz w:val="18"/>
      </w:rPr>
    </w:lvl>
    <w:lvl w:ilvl="5" w:tplc="DDC8F30C">
      <w:start w:val="1"/>
      <w:numFmt w:val="bullet"/>
      <w:lvlText w:val=""/>
      <w:lvlJc w:val="left"/>
      <w:pPr>
        <w:tabs>
          <w:tab w:val="num" w:pos="4139"/>
        </w:tabs>
        <w:ind w:left="4139" w:hanging="368"/>
      </w:pPr>
      <w:rPr>
        <w:rFonts w:ascii="Wingdings 2" w:eastAsia="楷体_GB2312" w:hAnsi="Wingdings 2" w:hint="default"/>
        <w:b w:val="0"/>
        <w:i w:val="0"/>
        <w:sz w:val="18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5">
    <w:nsid w:val="66145FDE"/>
    <w:multiLevelType w:val="singleLevel"/>
    <w:tmpl w:val="918C41C0"/>
    <w:lvl w:ilvl="0">
      <w:start w:val="1"/>
      <w:numFmt w:val="bullet"/>
      <w:pStyle w:val="BulletCoverpage"/>
      <w:lvlText w:val=""/>
      <w:lvlJc w:val="left"/>
      <w:pPr>
        <w:tabs>
          <w:tab w:val="num" w:pos="0"/>
        </w:tabs>
        <w:ind w:left="227" w:hanging="227"/>
      </w:pPr>
      <w:rPr>
        <w:rFonts w:ascii="Monotype Sorts" w:hAnsi="Monotype Sorts" w:hint="default"/>
        <w:color w:val="FF0000"/>
        <w:sz w:val="16"/>
      </w:rPr>
    </w:lvl>
  </w:abstractNum>
  <w:abstractNum w:abstractNumId="6">
    <w:nsid w:val="7DB2660F"/>
    <w:multiLevelType w:val="hybridMultilevel"/>
    <w:tmpl w:val="20BAD2A2"/>
    <w:lvl w:ilvl="0" w:tplc="74927076">
      <w:start w:val="1"/>
      <w:numFmt w:val="bullet"/>
      <w:pStyle w:val="Heading1"/>
      <w:lvlText w:val=""/>
      <w:lvlPicBulletId w:val="0"/>
      <w:lvlJc w:val="left"/>
      <w:pPr>
        <w:ind w:left="16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000"/>
    <w:rsid w:val="0000120D"/>
    <w:rsid w:val="00004B2E"/>
    <w:rsid w:val="00006269"/>
    <w:rsid w:val="00006540"/>
    <w:rsid w:val="000067FB"/>
    <w:rsid w:val="00007D8C"/>
    <w:rsid w:val="00011851"/>
    <w:rsid w:val="00013790"/>
    <w:rsid w:val="00015E23"/>
    <w:rsid w:val="0001604D"/>
    <w:rsid w:val="000212A0"/>
    <w:rsid w:val="0002164B"/>
    <w:rsid w:val="000225B4"/>
    <w:rsid w:val="00024C7D"/>
    <w:rsid w:val="00026FF9"/>
    <w:rsid w:val="000305DC"/>
    <w:rsid w:val="00034C20"/>
    <w:rsid w:val="00036038"/>
    <w:rsid w:val="00036AB5"/>
    <w:rsid w:val="00036BCD"/>
    <w:rsid w:val="00037BAF"/>
    <w:rsid w:val="00042A77"/>
    <w:rsid w:val="0004751A"/>
    <w:rsid w:val="00047EDC"/>
    <w:rsid w:val="0005058C"/>
    <w:rsid w:val="0005101C"/>
    <w:rsid w:val="00056D77"/>
    <w:rsid w:val="00057142"/>
    <w:rsid w:val="00060829"/>
    <w:rsid w:val="000621C7"/>
    <w:rsid w:val="0006243F"/>
    <w:rsid w:val="00064E08"/>
    <w:rsid w:val="00070307"/>
    <w:rsid w:val="00072445"/>
    <w:rsid w:val="00073843"/>
    <w:rsid w:val="00073BEE"/>
    <w:rsid w:val="00074E24"/>
    <w:rsid w:val="00075931"/>
    <w:rsid w:val="00080386"/>
    <w:rsid w:val="00081D63"/>
    <w:rsid w:val="000856DF"/>
    <w:rsid w:val="00091971"/>
    <w:rsid w:val="00091E0E"/>
    <w:rsid w:val="000929C7"/>
    <w:rsid w:val="00092C5E"/>
    <w:rsid w:val="000941BB"/>
    <w:rsid w:val="00094650"/>
    <w:rsid w:val="00097363"/>
    <w:rsid w:val="000A284C"/>
    <w:rsid w:val="000A2FAE"/>
    <w:rsid w:val="000A384C"/>
    <w:rsid w:val="000B21FF"/>
    <w:rsid w:val="000B31B2"/>
    <w:rsid w:val="000B3641"/>
    <w:rsid w:val="000B6F70"/>
    <w:rsid w:val="000B7203"/>
    <w:rsid w:val="000B7C3D"/>
    <w:rsid w:val="000C0348"/>
    <w:rsid w:val="000C088F"/>
    <w:rsid w:val="000C08C5"/>
    <w:rsid w:val="000C4EBD"/>
    <w:rsid w:val="000C51A4"/>
    <w:rsid w:val="000C6B9E"/>
    <w:rsid w:val="000C7DF2"/>
    <w:rsid w:val="000D01F8"/>
    <w:rsid w:val="000D1136"/>
    <w:rsid w:val="000D27F8"/>
    <w:rsid w:val="000D4A66"/>
    <w:rsid w:val="000D6FC5"/>
    <w:rsid w:val="000D73AB"/>
    <w:rsid w:val="000E17E0"/>
    <w:rsid w:val="000E217B"/>
    <w:rsid w:val="000E371E"/>
    <w:rsid w:val="000E39C2"/>
    <w:rsid w:val="000E6D9A"/>
    <w:rsid w:val="000E713F"/>
    <w:rsid w:val="000F0312"/>
    <w:rsid w:val="000F10CB"/>
    <w:rsid w:val="00100572"/>
    <w:rsid w:val="001024F4"/>
    <w:rsid w:val="00103C41"/>
    <w:rsid w:val="00104265"/>
    <w:rsid w:val="001063EA"/>
    <w:rsid w:val="001064E7"/>
    <w:rsid w:val="00106D18"/>
    <w:rsid w:val="001073F0"/>
    <w:rsid w:val="001106F0"/>
    <w:rsid w:val="00111BEB"/>
    <w:rsid w:val="00112FED"/>
    <w:rsid w:val="001130D2"/>
    <w:rsid w:val="00113BE0"/>
    <w:rsid w:val="00113E7A"/>
    <w:rsid w:val="00114389"/>
    <w:rsid w:val="001169B2"/>
    <w:rsid w:val="00120197"/>
    <w:rsid w:val="00120F16"/>
    <w:rsid w:val="00121295"/>
    <w:rsid w:val="001230AE"/>
    <w:rsid w:val="00130DAF"/>
    <w:rsid w:val="001312C8"/>
    <w:rsid w:val="0013161E"/>
    <w:rsid w:val="0013294D"/>
    <w:rsid w:val="00137C4A"/>
    <w:rsid w:val="001403F1"/>
    <w:rsid w:val="00150FC3"/>
    <w:rsid w:val="00152902"/>
    <w:rsid w:val="001533D0"/>
    <w:rsid w:val="00154C4E"/>
    <w:rsid w:val="0015518D"/>
    <w:rsid w:val="00155E7B"/>
    <w:rsid w:val="00160A00"/>
    <w:rsid w:val="00160B05"/>
    <w:rsid w:val="0016750A"/>
    <w:rsid w:val="001707EB"/>
    <w:rsid w:val="00171E16"/>
    <w:rsid w:val="001732F3"/>
    <w:rsid w:val="001757C6"/>
    <w:rsid w:val="001757D1"/>
    <w:rsid w:val="00176FFB"/>
    <w:rsid w:val="00181DC4"/>
    <w:rsid w:val="00181DE3"/>
    <w:rsid w:val="001824C1"/>
    <w:rsid w:val="00185298"/>
    <w:rsid w:val="00185397"/>
    <w:rsid w:val="001866D5"/>
    <w:rsid w:val="00190A08"/>
    <w:rsid w:val="001913B3"/>
    <w:rsid w:val="00192281"/>
    <w:rsid w:val="00194A20"/>
    <w:rsid w:val="00196BC9"/>
    <w:rsid w:val="001A04CB"/>
    <w:rsid w:val="001A20EF"/>
    <w:rsid w:val="001A7013"/>
    <w:rsid w:val="001B1A86"/>
    <w:rsid w:val="001B1E97"/>
    <w:rsid w:val="001B3B5C"/>
    <w:rsid w:val="001B3B9B"/>
    <w:rsid w:val="001B3E3A"/>
    <w:rsid w:val="001B4102"/>
    <w:rsid w:val="001B6D17"/>
    <w:rsid w:val="001B6D2E"/>
    <w:rsid w:val="001B7AA9"/>
    <w:rsid w:val="001C2E66"/>
    <w:rsid w:val="001C343E"/>
    <w:rsid w:val="001D0941"/>
    <w:rsid w:val="001D1F68"/>
    <w:rsid w:val="001D33CC"/>
    <w:rsid w:val="001D4758"/>
    <w:rsid w:val="001D5DD8"/>
    <w:rsid w:val="001D6224"/>
    <w:rsid w:val="001E182A"/>
    <w:rsid w:val="001E3FEC"/>
    <w:rsid w:val="001E5298"/>
    <w:rsid w:val="001E5E74"/>
    <w:rsid w:val="001E7012"/>
    <w:rsid w:val="001F13E5"/>
    <w:rsid w:val="001F2B31"/>
    <w:rsid w:val="0021175A"/>
    <w:rsid w:val="00215FD6"/>
    <w:rsid w:val="0021658D"/>
    <w:rsid w:val="00217252"/>
    <w:rsid w:val="00221A18"/>
    <w:rsid w:val="00223AC5"/>
    <w:rsid w:val="00224D0D"/>
    <w:rsid w:val="00225508"/>
    <w:rsid w:val="00226D20"/>
    <w:rsid w:val="00231AF8"/>
    <w:rsid w:val="00233317"/>
    <w:rsid w:val="002338C0"/>
    <w:rsid w:val="00233AC4"/>
    <w:rsid w:val="00233BCB"/>
    <w:rsid w:val="002344A5"/>
    <w:rsid w:val="00235525"/>
    <w:rsid w:val="00241CE2"/>
    <w:rsid w:val="00242D53"/>
    <w:rsid w:val="00242D8D"/>
    <w:rsid w:val="00245B98"/>
    <w:rsid w:val="00247B9F"/>
    <w:rsid w:val="0025117A"/>
    <w:rsid w:val="0025195E"/>
    <w:rsid w:val="00252878"/>
    <w:rsid w:val="00257525"/>
    <w:rsid w:val="00257B4B"/>
    <w:rsid w:val="00257D31"/>
    <w:rsid w:val="0026029B"/>
    <w:rsid w:val="00261ADB"/>
    <w:rsid w:val="002637EF"/>
    <w:rsid w:val="0026413E"/>
    <w:rsid w:val="002643C4"/>
    <w:rsid w:val="002645D0"/>
    <w:rsid w:val="00265B6D"/>
    <w:rsid w:val="00265D17"/>
    <w:rsid w:val="0027079A"/>
    <w:rsid w:val="00273C1B"/>
    <w:rsid w:val="00276D8F"/>
    <w:rsid w:val="0027722C"/>
    <w:rsid w:val="00281145"/>
    <w:rsid w:val="002840F1"/>
    <w:rsid w:val="00284688"/>
    <w:rsid w:val="00286F58"/>
    <w:rsid w:val="00290143"/>
    <w:rsid w:val="00290712"/>
    <w:rsid w:val="0029089C"/>
    <w:rsid w:val="00290EC1"/>
    <w:rsid w:val="002919F1"/>
    <w:rsid w:val="00291B5F"/>
    <w:rsid w:val="00292E2D"/>
    <w:rsid w:val="00293321"/>
    <w:rsid w:val="00294614"/>
    <w:rsid w:val="0029599D"/>
    <w:rsid w:val="00296C0E"/>
    <w:rsid w:val="00297532"/>
    <w:rsid w:val="00297F35"/>
    <w:rsid w:val="002A3099"/>
    <w:rsid w:val="002A6AB8"/>
    <w:rsid w:val="002B0922"/>
    <w:rsid w:val="002B0F8E"/>
    <w:rsid w:val="002B114E"/>
    <w:rsid w:val="002B3374"/>
    <w:rsid w:val="002B368B"/>
    <w:rsid w:val="002B4921"/>
    <w:rsid w:val="002B615B"/>
    <w:rsid w:val="002C0245"/>
    <w:rsid w:val="002C095D"/>
    <w:rsid w:val="002C1257"/>
    <w:rsid w:val="002C2F59"/>
    <w:rsid w:val="002C337A"/>
    <w:rsid w:val="002C5822"/>
    <w:rsid w:val="002C6DA1"/>
    <w:rsid w:val="002C75C8"/>
    <w:rsid w:val="002D013F"/>
    <w:rsid w:val="002D26EA"/>
    <w:rsid w:val="002D2967"/>
    <w:rsid w:val="002D361E"/>
    <w:rsid w:val="002D7BF5"/>
    <w:rsid w:val="002E0C37"/>
    <w:rsid w:val="002E12A4"/>
    <w:rsid w:val="002E1DB4"/>
    <w:rsid w:val="002E5B19"/>
    <w:rsid w:val="002E772B"/>
    <w:rsid w:val="002F1D00"/>
    <w:rsid w:val="002F4660"/>
    <w:rsid w:val="002F504E"/>
    <w:rsid w:val="002F55EC"/>
    <w:rsid w:val="002F5B82"/>
    <w:rsid w:val="002F5E62"/>
    <w:rsid w:val="00300A5A"/>
    <w:rsid w:val="00302EDB"/>
    <w:rsid w:val="00303164"/>
    <w:rsid w:val="00304661"/>
    <w:rsid w:val="003069F4"/>
    <w:rsid w:val="003072D1"/>
    <w:rsid w:val="00311935"/>
    <w:rsid w:val="003163A1"/>
    <w:rsid w:val="003173B8"/>
    <w:rsid w:val="00322227"/>
    <w:rsid w:val="003253E4"/>
    <w:rsid w:val="00326DD8"/>
    <w:rsid w:val="00327C6B"/>
    <w:rsid w:val="0033170F"/>
    <w:rsid w:val="00334383"/>
    <w:rsid w:val="003362A1"/>
    <w:rsid w:val="003417B7"/>
    <w:rsid w:val="00341CB3"/>
    <w:rsid w:val="0034351F"/>
    <w:rsid w:val="00343D07"/>
    <w:rsid w:val="003440C8"/>
    <w:rsid w:val="0035107C"/>
    <w:rsid w:val="00354C5A"/>
    <w:rsid w:val="00355CC6"/>
    <w:rsid w:val="00356092"/>
    <w:rsid w:val="00357725"/>
    <w:rsid w:val="00360B1F"/>
    <w:rsid w:val="003629A1"/>
    <w:rsid w:val="00362BDF"/>
    <w:rsid w:val="003630D1"/>
    <w:rsid w:val="00363312"/>
    <w:rsid w:val="0036352A"/>
    <w:rsid w:val="00363986"/>
    <w:rsid w:val="00364CD1"/>
    <w:rsid w:val="00366935"/>
    <w:rsid w:val="00366E94"/>
    <w:rsid w:val="00370A76"/>
    <w:rsid w:val="00370B61"/>
    <w:rsid w:val="00371BA7"/>
    <w:rsid w:val="003737C6"/>
    <w:rsid w:val="00373948"/>
    <w:rsid w:val="003746B1"/>
    <w:rsid w:val="0037492D"/>
    <w:rsid w:val="00374BA5"/>
    <w:rsid w:val="00377F18"/>
    <w:rsid w:val="0038003D"/>
    <w:rsid w:val="00380361"/>
    <w:rsid w:val="00380EEB"/>
    <w:rsid w:val="0038350E"/>
    <w:rsid w:val="00384812"/>
    <w:rsid w:val="00386B54"/>
    <w:rsid w:val="003901F3"/>
    <w:rsid w:val="003903DA"/>
    <w:rsid w:val="00390A0F"/>
    <w:rsid w:val="003936BE"/>
    <w:rsid w:val="003940C0"/>
    <w:rsid w:val="0039511A"/>
    <w:rsid w:val="00397178"/>
    <w:rsid w:val="003A036D"/>
    <w:rsid w:val="003A0E58"/>
    <w:rsid w:val="003A2FAE"/>
    <w:rsid w:val="003A5C5F"/>
    <w:rsid w:val="003A6147"/>
    <w:rsid w:val="003B10CC"/>
    <w:rsid w:val="003B126E"/>
    <w:rsid w:val="003B1409"/>
    <w:rsid w:val="003B2637"/>
    <w:rsid w:val="003B35FC"/>
    <w:rsid w:val="003B5D7E"/>
    <w:rsid w:val="003C0101"/>
    <w:rsid w:val="003C1392"/>
    <w:rsid w:val="003C5C90"/>
    <w:rsid w:val="003C77A2"/>
    <w:rsid w:val="003D3780"/>
    <w:rsid w:val="003D3C89"/>
    <w:rsid w:val="003D4C21"/>
    <w:rsid w:val="003D4E0C"/>
    <w:rsid w:val="003D4F54"/>
    <w:rsid w:val="003E0FE3"/>
    <w:rsid w:val="003E104D"/>
    <w:rsid w:val="003E6742"/>
    <w:rsid w:val="003F0F93"/>
    <w:rsid w:val="003F158A"/>
    <w:rsid w:val="003F15EB"/>
    <w:rsid w:val="003F18DA"/>
    <w:rsid w:val="003F2B05"/>
    <w:rsid w:val="003F4C66"/>
    <w:rsid w:val="003F4C8D"/>
    <w:rsid w:val="003F6D13"/>
    <w:rsid w:val="003F7591"/>
    <w:rsid w:val="004010BD"/>
    <w:rsid w:val="004025B1"/>
    <w:rsid w:val="004049E1"/>
    <w:rsid w:val="00404A3A"/>
    <w:rsid w:val="00405C38"/>
    <w:rsid w:val="00406576"/>
    <w:rsid w:val="0040695C"/>
    <w:rsid w:val="0040729F"/>
    <w:rsid w:val="0041361B"/>
    <w:rsid w:val="00415080"/>
    <w:rsid w:val="0041702F"/>
    <w:rsid w:val="00422D18"/>
    <w:rsid w:val="00423456"/>
    <w:rsid w:val="00423975"/>
    <w:rsid w:val="004261CB"/>
    <w:rsid w:val="00427EB4"/>
    <w:rsid w:val="004305E5"/>
    <w:rsid w:val="00430B20"/>
    <w:rsid w:val="00435E54"/>
    <w:rsid w:val="004400BA"/>
    <w:rsid w:val="0044069B"/>
    <w:rsid w:val="00441AD6"/>
    <w:rsid w:val="00442AF1"/>
    <w:rsid w:val="00443354"/>
    <w:rsid w:val="00446E1B"/>
    <w:rsid w:val="00447E47"/>
    <w:rsid w:val="00450B25"/>
    <w:rsid w:val="00450EF2"/>
    <w:rsid w:val="00451967"/>
    <w:rsid w:val="004520F9"/>
    <w:rsid w:val="004534F9"/>
    <w:rsid w:val="004564B0"/>
    <w:rsid w:val="00464A8B"/>
    <w:rsid w:val="0046524C"/>
    <w:rsid w:val="004654CC"/>
    <w:rsid w:val="0046596D"/>
    <w:rsid w:val="00466D12"/>
    <w:rsid w:val="00471251"/>
    <w:rsid w:val="004714B2"/>
    <w:rsid w:val="00471AC7"/>
    <w:rsid w:val="0047414F"/>
    <w:rsid w:val="00475DD9"/>
    <w:rsid w:val="004764E4"/>
    <w:rsid w:val="00484FD6"/>
    <w:rsid w:val="004855C1"/>
    <w:rsid w:val="00486443"/>
    <w:rsid w:val="00486C57"/>
    <w:rsid w:val="0049212C"/>
    <w:rsid w:val="00492A13"/>
    <w:rsid w:val="00493237"/>
    <w:rsid w:val="00493C77"/>
    <w:rsid w:val="00495D2B"/>
    <w:rsid w:val="00497E95"/>
    <w:rsid w:val="004A3F1C"/>
    <w:rsid w:val="004A56E2"/>
    <w:rsid w:val="004A6C01"/>
    <w:rsid w:val="004B07FF"/>
    <w:rsid w:val="004B087F"/>
    <w:rsid w:val="004B18C9"/>
    <w:rsid w:val="004B48A2"/>
    <w:rsid w:val="004B640C"/>
    <w:rsid w:val="004B6C69"/>
    <w:rsid w:val="004B75E0"/>
    <w:rsid w:val="004C0B80"/>
    <w:rsid w:val="004C1F81"/>
    <w:rsid w:val="004C40C1"/>
    <w:rsid w:val="004C4741"/>
    <w:rsid w:val="004C486F"/>
    <w:rsid w:val="004C7698"/>
    <w:rsid w:val="004D1863"/>
    <w:rsid w:val="004D53BB"/>
    <w:rsid w:val="004D58DC"/>
    <w:rsid w:val="004D71B5"/>
    <w:rsid w:val="004D7ECB"/>
    <w:rsid w:val="004E0FEE"/>
    <w:rsid w:val="004E462D"/>
    <w:rsid w:val="004E53AC"/>
    <w:rsid w:val="004E7938"/>
    <w:rsid w:val="004F12DC"/>
    <w:rsid w:val="004F47F8"/>
    <w:rsid w:val="00503057"/>
    <w:rsid w:val="0050406F"/>
    <w:rsid w:val="0050501E"/>
    <w:rsid w:val="00505FA0"/>
    <w:rsid w:val="005062CE"/>
    <w:rsid w:val="005127F0"/>
    <w:rsid w:val="005136FB"/>
    <w:rsid w:val="00514A29"/>
    <w:rsid w:val="00515278"/>
    <w:rsid w:val="00517D66"/>
    <w:rsid w:val="0052191D"/>
    <w:rsid w:val="005220A2"/>
    <w:rsid w:val="00522D48"/>
    <w:rsid w:val="00522FD3"/>
    <w:rsid w:val="00524732"/>
    <w:rsid w:val="00524D1D"/>
    <w:rsid w:val="00525658"/>
    <w:rsid w:val="00532D30"/>
    <w:rsid w:val="00533C19"/>
    <w:rsid w:val="0053587E"/>
    <w:rsid w:val="00537D72"/>
    <w:rsid w:val="0054107C"/>
    <w:rsid w:val="005411DC"/>
    <w:rsid w:val="00542F05"/>
    <w:rsid w:val="00544683"/>
    <w:rsid w:val="005502D0"/>
    <w:rsid w:val="00550466"/>
    <w:rsid w:val="0055078E"/>
    <w:rsid w:val="005543EB"/>
    <w:rsid w:val="00554855"/>
    <w:rsid w:val="00556701"/>
    <w:rsid w:val="00560B59"/>
    <w:rsid w:val="00561462"/>
    <w:rsid w:val="00567A0C"/>
    <w:rsid w:val="00570CFF"/>
    <w:rsid w:val="00571FE3"/>
    <w:rsid w:val="00575212"/>
    <w:rsid w:val="005756FF"/>
    <w:rsid w:val="00580A22"/>
    <w:rsid w:val="00581C8E"/>
    <w:rsid w:val="00586BF4"/>
    <w:rsid w:val="00592D62"/>
    <w:rsid w:val="00593C20"/>
    <w:rsid w:val="00595F3E"/>
    <w:rsid w:val="00596573"/>
    <w:rsid w:val="00596BB8"/>
    <w:rsid w:val="00597250"/>
    <w:rsid w:val="005A0162"/>
    <w:rsid w:val="005A12B3"/>
    <w:rsid w:val="005A2B4E"/>
    <w:rsid w:val="005A518A"/>
    <w:rsid w:val="005A67E3"/>
    <w:rsid w:val="005B020A"/>
    <w:rsid w:val="005B07A8"/>
    <w:rsid w:val="005B0C3F"/>
    <w:rsid w:val="005B0E69"/>
    <w:rsid w:val="005B0FFC"/>
    <w:rsid w:val="005B24B5"/>
    <w:rsid w:val="005B2AF8"/>
    <w:rsid w:val="005B2B03"/>
    <w:rsid w:val="005B3039"/>
    <w:rsid w:val="005B49EB"/>
    <w:rsid w:val="005B5344"/>
    <w:rsid w:val="005B6077"/>
    <w:rsid w:val="005B66D4"/>
    <w:rsid w:val="005B7144"/>
    <w:rsid w:val="005B7CDB"/>
    <w:rsid w:val="005C3660"/>
    <w:rsid w:val="005C3964"/>
    <w:rsid w:val="005C43D1"/>
    <w:rsid w:val="005C4913"/>
    <w:rsid w:val="005C4AF6"/>
    <w:rsid w:val="005C62E8"/>
    <w:rsid w:val="005D0786"/>
    <w:rsid w:val="005D11C2"/>
    <w:rsid w:val="005D176B"/>
    <w:rsid w:val="005D1C90"/>
    <w:rsid w:val="005D5D07"/>
    <w:rsid w:val="005E42B1"/>
    <w:rsid w:val="005E4315"/>
    <w:rsid w:val="005E5835"/>
    <w:rsid w:val="005F2086"/>
    <w:rsid w:val="005F3112"/>
    <w:rsid w:val="005F394F"/>
    <w:rsid w:val="0060087D"/>
    <w:rsid w:val="00601790"/>
    <w:rsid w:val="006031DE"/>
    <w:rsid w:val="00603CFF"/>
    <w:rsid w:val="00607AF3"/>
    <w:rsid w:val="00607D01"/>
    <w:rsid w:val="006115CD"/>
    <w:rsid w:val="00611ADA"/>
    <w:rsid w:val="00612B6F"/>
    <w:rsid w:val="00615FCF"/>
    <w:rsid w:val="006175E2"/>
    <w:rsid w:val="00620E33"/>
    <w:rsid w:val="0062314B"/>
    <w:rsid w:val="00623C62"/>
    <w:rsid w:val="00624366"/>
    <w:rsid w:val="006245AB"/>
    <w:rsid w:val="00624A77"/>
    <w:rsid w:val="006270CD"/>
    <w:rsid w:val="00632F6E"/>
    <w:rsid w:val="00635482"/>
    <w:rsid w:val="006456A9"/>
    <w:rsid w:val="00653FCD"/>
    <w:rsid w:val="00654A8F"/>
    <w:rsid w:val="006551AF"/>
    <w:rsid w:val="006559C0"/>
    <w:rsid w:val="00656031"/>
    <w:rsid w:val="00656D3E"/>
    <w:rsid w:val="006578A3"/>
    <w:rsid w:val="0066070E"/>
    <w:rsid w:val="006645C6"/>
    <w:rsid w:val="0066540E"/>
    <w:rsid w:val="00665C78"/>
    <w:rsid w:val="006670F3"/>
    <w:rsid w:val="006675F9"/>
    <w:rsid w:val="00671515"/>
    <w:rsid w:val="00674776"/>
    <w:rsid w:val="006772EB"/>
    <w:rsid w:val="006833F8"/>
    <w:rsid w:val="00683DCB"/>
    <w:rsid w:val="00683F7F"/>
    <w:rsid w:val="00686D48"/>
    <w:rsid w:val="0069249C"/>
    <w:rsid w:val="00692594"/>
    <w:rsid w:val="0069543D"/>
    <w:rsid w:val="00696125"/>
    <w:rsid w:val="006962B2"/>
    <w:rsid w:val="006A028F"/>
    <w:rsid w:val="006A3423"/>
    <w:rsid w:val="006A3AA5"/>
    <w:rsid w:val="006A3CD2"/>
    <w:rsid w:val="006A53C2"/>
    <w:rsid w:val="006A5488"/>
    <w:rsid w:val="006A56CE"/>
    <w:rsid w:val="006A6E20"/>
    <w:rsid w:val="006B48F2"/>
    <w:rsid w:val="006B7C89"/>
    <w:rsid w:val="006C1F99"/>
    <w:rsid w:val="006C2CA2"/>
    <w:rsid w:val="006C7B1B"/>
    <w:rsid w:val="006C7C4A"/>
    <w:rsid w:val="006C7FEC"/>
    <w:rsid w:val="006D4173"/>
    <w:rsid w:val="006D654F"/>
    <w:rsid w:val="006D6C35"/>
    <w:rsid w:val="006D7158"/>
    <w:rsid w:val="006D7641"/>
    <w:rsid w:val="006E0F3C"/>
    <w:rsid w:val="006E55A6"/>
    <w:rsid w:val="006E5C99"/>
    <w:rsid w:val="006E5DF5"/>
    <w:rsid w:val="006E6961"/>
    <w:rsid w:val="006F1DAC"/>
    <w:rsid w:val="006F20D6"/>
    <w:rsid w:val="006F2538"/>
    <w:rsid w:val="006F2C3A"/>
    <w:rsid w:val="006F3555"/>
    <w:rsid w:val="006F495F"/>
    <w:rsid w:val="006F55B1"/>
    <w:rsid w:val="006F5EEB"/>
    <w:rsid w:val="006F6EAC"/>
    <w:rsid w:val="00700F29"/>
    <w:rsid w:val="00703A45"/>
    <w:rsid w:val="00703A64"/>
    <w:rsid w:val="00704A54"/>
    <w:rsid w:val="00706C09"/>
    <w:rsid w:val="0071416B"/>
    <w:rsid w:val="00720238"/>
    <w:rsid w:val="00721E16"/>
    <w:rsid w:val="00722312"/>
    <w:rsid w:val="00722631"/>
    <w:rsid w:val="0072299D"/>
    <w:rsid w:val="00722BF7"/>
    <w:rsid w:val="00723620"/>
    <w:rsid w:val="0072603A"/>
    <w:rsid w:val="007314DC"/>
    <w:rsid w:val="007316AC"/>
    <w:rsid w:val="0073278C"/>
    <w:rsid w:val="00733A3E"/>
    <w:rsid w:val="0073500F"/>
    <w:rsid w:val="00735A44"/>
    <w:rsid w:val="00741197"/>
    <w:rsid w:val="00741443"/>
    <w:rsid w:val="00745353"/>
    <w:rsid w:val="007474D9"/>
    <w:rsid w:val="00751098"/>
    <w:rsid w:val="007513AA"/>
    <w:rsid w:val="00751B67"/>
    <w:rsid w:val="0075480C"/>
    <w:rsid w:val="00754DEE"/>
    <w:rsid w:val="00755F5C"/>
    <w:rsid w:val="00755F60"/>
    <w:rsid w:val="0075762B"/>
    <w:rsid w:val="00760A91"/>
    <w:rsid w:val="00763E9C"/>
    <w:rsid w:val="00763F25"/>
    <w:rsid w:val="00771B4A"/>
    <w:rsid w:val="00771B5F"/>
    <w:rsid w:val="0077477F"/>
    <w:rsid w:val="00775789"/>
    <w:rsid w:val="00775DEE"/>
    <w:rsid w:val="007801B0"/>
    <w:rsid w:val="00784E7E"/>
    <w:rsid w:val="00785B6F"/>
    <w:rsid w:val="00786188"/>
    <w:rsid w:val="0078665A"/>
    <w:rsid w:val="00786FCC"/>
    <w:rsid w:val="00797357"/>
    <w:rsid w:val="007A1ADA"/>
    <w:rsid w:val="007A3E07"/>
    <w:rsid w:val="007A75A8"/>
    <w:rsid w:val="007B0526"/>
    <w:rsid w:val="007B269A"/>
    <w:rsid w:val="007B2BA9"/>
    <w:rsid w:val="007B48A8"/>
    <w:rsid w:val="007B4C9A"/>
    <w:rsid w:val="007B7F71"/>
    <w:rsid w:val="007C2061"/>
    <w:rsid w:val="007C224E"/>
    <w:rsid w:val="007C23DF"/>
    <w:rsid w:val="007C40BC"/>
    <w:rsid w:val="007C4612"/>
    <w:rsid w:val="007C531C"/>
    <w:rsid w:val="007C6776"/>
    <w:rsid w:val="007D402F"/>
    <w:rsid w:val="007D556D"/>
    <w:rsid w:val="007D601B"/>
    <w:rsid w:val="007D6313"/>
    <w:rsid w:val="007D6D1A"/>
    <w:rsid w:val="007D7A71"/>
    <w:rsid w:val="007E03D3"/>
    <w:rsid w:val="007E0CA0"/>
    <w:rsid w:val="007E16CF"/>
    <w:rsid w:val="007E2DC5"/>
    <w:rsid w:val="007E30E7"/>
    <w:rsid w:val="007E3800"/>
    <w:rsid w:val="007E3ADE"/>
    <w:rsid w:val="007E4D13"/>
    <w:rsid w:val="007E5507"/>
    <w:rsid w:val="007E607C"/>
    <w:rsid w:val="007E6984"/>
    <w:rsid w:val="007F0F86"/>
    <w:rsid w:val="007F4290"/>
    <w:rsid w:val="007F777F"/>
    <w:rsid w:val="008003B6"/>
    <w:rsid w:val="00800847"/>
    <w:rsid w:val="00800AD4"/>
    <w:rsid w:val="00805125"/>
    <w:rsid w:val="00805258"/>
    <w:rsid w:val="008062DE"/>
    <w:rsid w:val="0081385D"/>
    <w:rsid w:val="008148DF"/>
    <w:rsid w:val="008155EE"/>
    <w:rsid w:val="008177CF"/>
    <w:rsid w:val="008255AB"/>
    <w:rsid w:val="0082719B"/>
    <w:rsid w:val="008327E4"/>
    <w:rsid w:val="008342BA"/>
    <w:rsid w:val="00834484"/>
    <w:rsid w:val="00834CE1"/>
    <w:rsid w:val="0084032D"/>
    <w:rsid w:val="008412B5"/>
    <w:rsid w:val="00842CD8"/>
    <w:rsid w:val="00846399"/>
    <w:rsid w:val="00847F07"/>
    <w:rsid w:val="008504B5"/>
    <w:rsid w:val="0085256A"/>
    <w:rsid w:val="008549D1"/>
    <w:rsid w:val="00854C8A"/>
    <w:rsid w:val="00855FEC"/>
    <w:rsid w:val="00856939"/>
    <w:rsid w:val="0086042C"/>
    <w:rsid w:val="00860492"/>
    <w:rsid w:val="00862696"/>
    <w:rsid w:val="00863E99"/>
    <w:rsid w:val="008734AF"/>
    <w:rsid w:val="00873890"/>
    <w:rsid w:val="00876BB7"/>
    <w:rsid w:val="00877138"/>
    <w:rsid w:val="00877D02"/>
    <w:rsid w:val="00880F80"/>
    <w:rsid w:val="008840A4"/>
    <w:rsid w:val="00884478"/>
    <w:rsid w:val="0088568C"/>
    <w:rsid w:val="008863D8"/>
    <w:rsid w:val="00892FB2"/>
    <w:rsid w:val="00896183"/>
    <w:rsid w:val="008A0CD1"/>
    <w:rsid w:val="008A23AC"/>
    <w:rsid w:val="008A2C49"/>
    <w:rsid w:val="008A2CED"/>
    <w:rsid w:val="008A3B7A"/>
    <w:rsid w:val="008A5CDA"/>
    <w:rsid w:val="008A6F33"/>
    <w:rsid w:val="008A75F7"/>
    <w:rsid w:val="008B1985"/>
    <w:rsid w:val="008B1BC9"/>
    <w:rsid w:val="008B3409"/>
    <w:rsid w:val="008B6ABC"/>
    <w:rsid w:val="008B7182"/>
    <w:rsid w:val="008B74AF"/>
    <w:rsid w:val="008B7D87"/>
    <w:rsid w:val="008C02E1"/>
    <w:rsid w:val="008C23D1"/>
    <w:rsid w:val="008C5115"/>
    <w:rsid w:val="008C7FAA"/>
    <w:rsid w:val="008D0CA2"/>
    <w:rsid w:val="008D26BB"/>
    <w:rsid w:val="008D2BB5"/>
    <w:rsid w:val="008D2D88"/>
    <w:rsid w:val="008D4CD4"/>
    <w:rsid w:val="008D7188"/>
    <w:rsid w:val="008D77B6"/>
    <w:rsid w:val="008E0997"/>
    <w:rsid w:val="008E29BE"/>
    <w:rsid w:val="008E3038"/>
    <w:rsid w:val="008E41E5"/>
    <w:rsid w:val="008E5755"/>
    <w:rsid w:val="008E6864"/>
    <w:rsid w:val="008F0180"/>
    <w:rsid w:val="008F2961"/>
    <w:rsid w:val="008F2C15"/>
    <w:rsid w:val="008F39C1"/>
    <w:rsid w:val="008F52CD"/>
    <w:rsid w:val="008F622D"/>
    <w:rsid w:val="008F7A1B"/>
    <w:rsid w:val="00901DFE"/>
    <w:rsid w:val="009032B3"/>
    <w:rsid w:val="00905090"/>
    <w:rsid w:val="009056CA"/>
    <w:rsid w:val="00906113"/>
    <w:rsid w:val="009115A4"/>
    <w:rsid w:val="009118F6"/>
    <w:rsid w:val="00912172"/>
    <w:rsid w:val="00912FF1"/>
    <w:rsid w:val="0091372A"/>
    <w:rsid w:val="009147AF"/>
    <w:rsid w:val="00915428"/>
    <w:rsid w:val="0091600C"/>
    <w:rsid w:val="00916BB3"/>
    <w:rsid w:val="00917E42"/>
    <w:rsid w:val="009216DB"/>
    <w:rsid w:val="0092172F"/>
    <w:rsid w:val="0092324C"/>
    <w:rsid w:val="00927B30"/>
    <w:rsid w:val="00930A75"/>
    <w:rsid w:val="009363AE"/>
    <w:rsid w:val="00937F1A"/>
    <w:rsid w:val="00942DB5"/>
    <w:rsid w:val="009442D5"/>
    <w:rsid w:val="0094581C"/>
    <w:rsid w:val="00945D34"/>
    <w:rsid w:val="0095202C"/>
    <w:rsid w:val="00952906"/>
    <w:rsid w:val="009541E9"/>
    <w:rsid w:val="00954338"/>
    <w:rsid w:val="00954FC4"/>
    <w:rsid w:val="00955A6B"/>
    <w:rsid w:val="00956190"/>
    <w:rsid w:val="009574C2"/>
    <w:rsid w:val="0096159D"/>
    <w:rsid w:val="00963262"/>
    <w:rsid w:val="00963D09"/>
    <w:rsid w:val="00965612"/>
    <w:rsid w:val="00967606"/>
    <w:rsid w:val="00967DBF"/>
    <w:rsid w:val="009740BC"/>
    <w:rsid w:val="009748A1"/>
    <w:rsid w:val="00980F3B"/>
    <w:rsid w:val="00983211"/>
    <w:rsid w:val="00983990"/>
    <w:rsid w:val="00993136"/>
    <w:rsid w:val="00994233"/>
    <w:rsid w:val="00997712"/>
    <w:rsid w:val="009A0733"/>
    <w:rsid w:val="009A20F6"/>
    <w:rsid w:val="009A24FC"/>
    <w:rsid w:val="009A3617"/>
    <w:rsid w:val="009A40AF"/>
    <w:rsid w:val="009A6261"/>
    <w:rsid w:val="009B08CA"/>
    <w:rsid w:val="009B0E3B"/>
    <w:rsid w:val="009B1613"/>
    <w:rsid w:val="009B18AE"/>
    <w:rsid w:val="009B19DA"/>
    <w:rsid w:val="009B2883"/>
    <w:rsid w:val="009B3707"/>
    <w:rsid w:val="009B4973"/>
    <w:rsid w:val="009B5F70"/>
    <w:rsid w:val="009C0443"/>
    <w:rsid w:val="009C0A9C"/>
    <w:rsid w:val="009C11D0"/>
    <w:rsid w:val="009C32FE"/>
    <w:rsid w:val="009C67BD"/>
    <w:rsid w:val="009D2327"/>
    <w:rsid w:val="009D3AFE"/>
    <w:rsid w:val="009D4929"/>
    <w:rsid w:val="009D6B40"/>
    <w:rsid w:val="009D78EE"/>
    <w:rsid w:val="009D7B6F"/>
    <w:rsid w:val="009E3A78"/>
    <w:rsid w:val="009E3A7B"/>
    <w:rsid w:val="009E3F96"/>
    <w:rsid w:val="009E73DF"/>
    <w:rsid w:val="009F0008"/>
    <w:rsid w:val="009F04D0"/>
    <w:rsid w:val="009F0AB3"/>
    <w:rsid w:val="009F4234"/>
    <w:rsid w:val="009F59C0"/>
    <w:rsid w:val="009F5BC1"/>
    <w:rsid w:val="009F63EA"/>
    <w:rsid w:val="00A056CA"/>
    <w:rsid w:val="00A06D7E"/>
    <w:rsid w:val="00A13B06"/>
    <w:rsid w:val="00A154A2"/>
    <w:rsid w:val="00A15715"/>
    <w:rsid w:val="00A161CD"/>
    <w:rsid w:val="00A162FE"/>
    <w:rsid w:val="00A166DD"/>
    <w:rsid w:val="00A203CA"/>
    <w:rsid w:val="00A212C7"/>
    <w:rsid w:val="00A21A5A"/>
    <w:rsid w:val="00A23A7C"/>
    <w:rsid w:val="00A254F9"/>
    <w:rsid w:val="00A2679B"/>
    <w:rsid w:val="00A32AF3"/>
    <w:rsid w:val="00A36363"/>
    <w:rsid w:val="00A3657C"/>
    <w:rsid w:val="00A37C07"/>
    <w:rsid w:val="00A41664"/>
    <w:rsid w:val="00A41994"/>
    <w:rsid w:val="00A42A8A"/>
    <w:rsid w:val="00A43D4F"/>
    <w:rsid w:val="00A44FB7"/>
    <w:rsid w:val="00A45E8C"/>
    <w:rsid w:val="00A505D2"/>
    <w:rsid w:val="00A52726"/>
    <w:rsid w:val="00A53C99"/>
    <w:rsid w:val="00A54683"/>
    <w:rsid w:val="00A57616"/>
    <w:rsid w:val="00A60808"/>
    <w:rsid w:val="00A62135"/>
    <w:rsid w:val="00A6545F"/>
    <w:rsid w:val="00A6686B"/>
    <w:rsid w:val="00A66E5F"/>
    <w:rsid w:val="00A677CB"/>
    <w:rsid w:val="00A67DA6"/>
    <w:rsid w:val="00A72EC2"/>
    <w:rsid w:val="00A742A7"/>
    <w:rsid w:val="00A7435D"/>
    <w:rsid w:val="00A76E72"/>
    <w:rsid w:val="00A77805"/>
    <w:rsid w:val="00A80F70"/>
    <w:rsid w:val="00A83266"/>
    <w:rsid w:val="00A834FC"/>
    <w:rsid w:val="00A845DE"/>
    <w:rsid w:val="00A87530"/>
    <w:rsid w:val="00A924E4"/>
    <w:rsid w:val="00AA421E"/>
    <w:rsid w:val="00AA427E"/>
    <w:rsid w:val="00AA5550"/>
    <w:rsid w:val="00AA735C"/>
    <w:rsid w:val="00AA7CE9"/>
    <w:rsid w:val="00AB43D5"/>
    <w:rsid w:val="00AB7AF2"/>
    <w:rsid w:val="00AC1745"/>
    <w:rsid w:val="00AC3FC5"/>
    <w:rsid w:val="00AC42AC"/>
    <w:rsid w:val="00AC4F22"/>
    <w:rsid w:val="00AC5A10"/>
    <w:rsid w:val="00AD18CF"/>
    <w:rsid w:val="00AD3B62"/>
    <w:rsid w:val="00AE4171"/>
    <w:rsid w:val="00AE4A17"/>
    <w:rsid w:val="00AE6ABD"/>
    <w:rsid w:val="00AE6DBE"/>
    <w:rsid w:val="00AF6733"/>
    <w:rsid w:val="00AF73D1"/>
    <w:rsid w:val="00AF7784"/>
    <w:rsid w:val="00B00F85"/>
    <w:rsid w:val="00B01410"/>
    <w:rsid w:val="00B037AF"/>
    <w:rsid w:val="00B0398D"/>
    <w:rsid w:val="00B06585"/>
    <w:rsid w:val="00B10000"/>
    <w:rsid w:val="00B140AE"/>
    <w:rsid w:val="00B1762A"/>
    <w:rsid w:val="00B21FBC"/>
    <w:rsid w:val="00B24C73"/>
    <w:rsid w:val="00B24D62"/>
    <w:rsid w:val="00B27A21"/>
    <w:rsid w:val="00B30F0A"/>
    <w:rsid w:val="00B3180C"/>
    <w:rsid w:val="00B3322C"/>
    <w:rsid w:val="00B33A56"/>
    <w:rsid w:val="00B33A94"/>
    <w:rsid w:val="00B33B4E"/>
    <w:rsid w:val="00B35046"/>
    <w:rsid w:val="00B36302"/>
    <w:rsid w:val="00B36F04"/>
    <w:rsid w:val="00B37489"/>
    <w:rsid w:val="00B43BA8"/>
    <w:rsid w:val="00B47874"/>
    <w:rsid w:val="00B53586"/>
    <w:rsid w:val="00B54726"/>
    <w:rsid w:val="00B62B2E"/>
    <w:rsid w:val="00B63AC6"/>
    <w:rsid w:val="00B6694F"/>
    <w:rsid w:val="00B67691"/>
    <w:rsid w:val="00B7120A"/>
    <w:rsid w:val="00B71AB2"/>
    <w:rsid w:val="00B774CB"/>
    <w:rsid w:val="00B802A9"/>
    <w:rsid w:val="00B81719"/>
    <w:rsid w:val="00B821A9"/>
    <w:rsid w:val="00B82AC0"/>
    <w:rsid w:val="00B834DB"/>
    <w:rsid w:val="00B85CE9"/>
    <w:rsid w:val="00B864EF"/>
    <w:rsid w:val="00B901CC"/>
    <w:rsid w:val="00B93424"/>
    <w:rsid w:val="00B9464F"/>
    <w:rsid w:val="00B954B9"/>
    <w:rsid w:val="00B96B05"/>
    <w:rsid w:val="00BA01FF"/>
    <w:rsid w:val="00BA67CE"/>
    <w:rsid w:val="00BA6A91"/>
    <w:rsid w:val="00BB38E2"/>
    <w:rsid w:val="00BB450E"/>
    <w:rsid w:val="00BB461D"/>
    <w:rsid w:val="00BB5CDC"/>
    <w:rsid w:val="00BB5D53"/>
    <w:rsid w:val="00BB7555"/>
    <w:rsid w:val="00BC0685"/>
    <w:rsid w:val="00BC4B17"/>
    <w:rsid w:val="00BC62A9"/>
    <w:rsid w:val="00BC6F9C"/>
    <w:rsid w:val="00BD0930"/>
    <w:rsid w:val="00BD10D8"/>
    <w:rsid w:val="00BD16DC"/>
    <w:rsid w:val="00BD391E"/>
    <w:rsid w:val="00BD577A"/>
    <w:rsid w:val="00BD5871"/>
    <w:rsid w:val="00BD72B6"/>
    <w:rsid w:val="00BD7E19"/>
    <w:rsid w:val="00BE087A"/>
    <w:rsid w:val="00BE2C01"/>
    <w:rsid w:val="00BE2D15"/>
    <w:rsid w:val="00BE3214"/>
    <w:rsid w:val="00BE4D64"/>
    <w:rsid w:val="00BE6F0C"/>
    <w:rsid w:val="00BF0C28"/>
    <w:rsid w:val="00BF20D2"/>
    <w:rsid w:val="00BF4167"/>
    <w:rsid w:val="00BF49D1"/>
    <w:rsid w:val="00C02FF7"/>
    <w:rsid w:val="00C04483"/>
    <w:rsid w:val="00C048C2"/>
    <w:rsid w:val="00C04D07"/>
    <w:rsid w:val="00C13400"/>
    <w:rsid w:val="00C163AE"/>
    <w:rsid w:val="00C1727C"/>
    <w:rsid w:val="00C202CD"/>
    <w:rsid w:val="00C209B8"/>
    <w:rsid w:val="00C22C7C"/>
    <w:rsid w:val="00C23EBA"/>
    <w:rsid w:val="00C24B8C"/>
    <w:rsid w:val="00C30031"/>
    <w:rsid w:val="00C3467D"/>
    <w:rsid w:val="00C349A4"/>
    <w:rsid w:val="00C35DE8"/>
    <w:rsid w:val="00C36DFE"/>
    <w:rsid w:val="00C374F2"/>
    <w:rsid w:val="00C37F7B"/>
    <w:rsid w:val="00C40B7E"/>
    <w:rsid w:val="00C40E9C"/>
    <w:rsid w:val="00C411E5"/>
    <w:rsid w:val="00C41ED1"/>
    <w:rsid w:val="00C42CE9"/>
    <w:rsid w:val="00C449F6"/>
    <w:rsid w:val="00C45F3C"/>
    <w:rsid w:val="00C470EA"/>
    <w:rsid w:val="00C4714D"/>
    <w:rsid w:val="00C47A8C"/>
    <w:rsid w:val="00C50AB2"/>
    <w:rsid w:val="00C52B69"/>
    <w:rsid w:val="00C55441"/>
    <w:rsid w:val="00C572E9"/>
    <w:rsid w:val="00C60F63"/>
    <w:rsid w:val="00C627EE"/>
    <w:rsid w:val="00C62ABC"/>
    <w:rsid w:val="00C6467D"/>
    <w:rsid w:val="00C7205C"/>
    <w:rsid w:val="00C74913"/>
    <w:rsid w:val="00C806CE"/>
    <w:rsid w:val="00C86862"/>
    <w:rsid w:val="00C86AC8"/>
    <w:rsid w:val="00C874F7"/>
    <w:rsid w:val="00C87510"/>
    <w:rsid w:val="00C8768D"/>
    <w:rsid w:val="00C90F36"/>
    <w:rsid w:val="00C94C01"/>
    <w:rsid w:val="00C9545B"/>
    <w:rsid w:val="00C95E13"/>
    <w:rsid w:val="00C97CE8"/>
    <w:rsid w:val="00CA0180"/>
    <w:rsid w:val="00CA080F"/>
    <w:rsid w:val="00CA0BC4"/>
    <w:rsid w:val="00CA1DE9"/>
    <w:rsid w:val="00CA44B3"/>
    <w:rsid w:val="00CA6F9B"/>
    <w:rsid w:val="00CA7B06"/>
    <w:rsid w:val="00CB1148"/>
    <w:rsid w:val="00CB122D"/>
    <w:rsid w:val="00CB16EB"/>
    <w:rsid w:val="00CB1BC1"/>
    <w:rsid w:val="00CB222E"/>
    <w:rsid w:val="00CB335B"/>
    <w:rsid w:val="00CB4014"/>
    <w:rsid w:val="00CB45F2"/>
    <w:rsid w:val="00CB4A78"/>
    <w:rsid w:val="00CB63E7"/>
    <w:rsid w:val="00CC0557"/>
    <w:rsid w:val="00CC2902"/>
    <w:rsid w:val="00CC3F9C"/>
    <w:rsid w:val="00CC47E8"/>
    <w:rsid w:val="00CD30CB"/>
    <w:rsid w:val="00CD61CA"/>
    <w:rsid w:val="00CD7C89"/>
    <w:rsid w:val="00CE01AE"/>
    <w:rsid w:val="00CE0DC1"/>
    <w:rsid w:val="00CE3A4A"/>
    <w:rsid w:val="00CE7095"/>
    <w:rsid w:val="00CF1497"/>
    <w:rsid w:val="00CF2615"/>
    <w:rsid w:val="00CF2DF0"/>
    <w:rsid w:val="00CF6ABE"/>
    <w:rsid w:val="00CF76E8"/>
    <w:rsid w:val="00D000F8"/>
    <w:rsid w:val="00D052E9"/>
    <w:rsid w:val="00D054C6"/>
    <w:rsid w:val="00D05CB1"/>
    <w:rsid w:val="00D06160"/>
    <w:rsid w:val="00D110F3"/>
    <w:rsid w:val="00D15231"/>
    <w:rsid w:val="00D17A47"/>
    <w:rsid w:val="00D17DA9"/>
    <w:rsid w:val="00D202CC"/>
    <w:rsid w:val="00D20515"/>
    <w:rsid w:val="00D27F88"/>
    <w:rsid w:val="00D3068D"/>
    <w:rsid w:val="00D34F1B"/>
    <w:rsid w:val="00D3632C"/>
    <w:rsid w:val="00D40281"/>
    <w:rsid w:val="00D42D8C"/>
    <w:rsid w:val="00D4319D"/>
    <w:rsid w:val="00D43478"/>
    <w:rsid w:val="00D4777D"/>
    <w:rsid w:val="00D50513"/>
    <w:rsid w:val="00D506B1"/>
    <w:rsid w:val="00D511F2"/>
    <w:rsid w:val="00D541DF"/>
    <w:rsid w:val="00D555E5"/>
    <w:rsid w:val="00D61D43"/>
    <w:rsid w:val="00D62785"/>
    <w:rsid w:val="00D64055"/>
    <w:rsid w:val="00D65590"/>
    <w:rsid w:val="00D6583D"/>
    <w:rsid w:val="00D65C5B"/>
    <w:rsid w:val="00D66F57"/>
    <w:rsid w:val="00D671D5"/>
    <w:rsid w:val="00D70DC7"/>
    <w:rsid w:val="00D718F8"/>
    <w:rsid w:val="00D72A21"/>
    <w:rsid w:val="00D734FD"/>
    <w:rsid w:val="00D74AA8"/>
    <w:rsid w:val="00D74EB1"/>
    <w:rsid w:val="00D7627F"/>
    <w:rsid w:val="00D81854"/>
    <w:rsid w:val="00D82286"/>
    <w:rsid w:val="00D84D48"/>
    <w:rsid w:val="00D85186"/>
    <w:rsid w:val="00D92320"/>
    <w:rsid w:val="00D936E2"/>
    <w:rsid w:val="00D94753"/>
    <w:rsid w:val="00D94B8F"/>
    <w:rsid w:val="00D95EC8"/>
    <w:rsid w:val="00DA0029"/>
    <w:rsid w:val="00DA2762"/>
    <w:rsid w:val="00DA286B"/>
    <w:rsid w:val="00DA547F"/>
    <w:rsid w:val="00DA56E0"/>
    <w:rsid w:val="00DB0CF0"/>
    <w:rsid w:val="00DB0D85"/>
    <w:rsid w:val="00DB0F86"/>
    <w:rsid w:val="00DB2757"/>
    <w:rsid w:val="00DB496D"/>
    <w:rsid w:val="00DB4C05"/>
    <w:rsid w:val="00DB69CC"/>
    <w:rsid w:val="00DB7D1B"/>
    <w:rsid w:val="00DC36A1"/>
    <w:rsid w:val="00DC64F5"/>
    <w:rsid w:val="00DD0781"/>
    <w:rsid w:val="00DD0E5B"/>
    <w:rsid w:val="00DD17DA"/>
    <w:rsid w:val="00DD4E34"/>
    <w:rsid w:val="00DD5E87"/>
    <w:rsid w:val="00DE5267"/>
    <w:rsid w:val="00DE55C4"/>
    <w:rsid w:val="00DE67B2"/>
    <w:rsid w:val="00DE7145"/>
    <w:rsid w:val="00DE7565"/>
    <w:rsid w:val="00DF0896"/>
    <w:rsid w:val="00DF122A"/>
    <w:rsid w:val="00DF58E9"/>
    <w:rsid w:val="00DF73D4"/>
    <w:rsid w:val="00E000D3"/>
    <w:rsid w:val="00E00DD3"/>
    <w:rsid w:val="00E00EFE"/>
    <w:rsid w:val="00E01D70"/>
    <w:rsid w:val="00E027FB"/>
    <w:rsid w:val="00E02B7C"/>
    <w:rsid w:val="00E03A94"/>
    <w:rsid w:val="00E0408E"/>
    <w:rsid w:val="00E063DA"/>
    <w:rsid w:val="00E066F2"/>
    <w:rsid w:val="00E1126A"/>
    <w:rsid w:val="00E12FA2"/>
    <w:rsid w:val="00E204CD"/>
    <w:rsid w:val="00E21164"/>
    <w:rsid w:val="00E2143C"/>
    <w:rsid w:val="00E22D2D"/>
    <w:rsid w:val="00E22E9F"/>
    <w:rsid w:val="00E24567"/>
    <w:rsid w:val="00E266FF"/>
    <w:rsid w:val="00E26D04"/>
    <w:rsid w:val="00E26F2A"/>
    <w:rsid w:val="00E32F50"/>
    <w:rsid w:val="00E34731"/>
    <w:rsid w:val="00E35D2B"/>
    <w:rsid w:val="00E367B7"/>
    <w:rsid w:val="00E36993"/>
    <w:rsid w:val="00E40189"/>
    <w:rsid w:val="00E40774"/>
    <w:rsid w:val="00E43103"/>
    <w:rsid w:val="00E440CB"/>
    <w:rsid w:val="00E507C4"/>
    <w:rsid w:val="00E5085C"/>
    <w:rsid w:val="00E51C7C"/>
    <w:rsid w:val="00E52315"/>
    <w:rsid w:val="00E52908"/>
    <w:rsid w:val="00E53375"/>
    <w:rsid w:val="00E534CE"/>
    <w:rsid w:val="00E53FD1"/>
    <w:rsid w:val="00E55457"/>
    <w:rsid w:val="00E55D6F"/>
    <w:rsid w:val="00E560F3"/>
    <w:rsid w:val="00E56225"/>
    <w:rsid w:val="00E603DA"/>
    <w:rsid w:val="00E61406"/>
    <w:rsid w:val="00E618DE"/>
    <w:rsid w:val="00E61DC7"/>
    <w:rsid w:val="00E61E14"/>
    <w:rsid w:val="00E62088"/>
    <w:rsid w:val="00E626CE"/>
    <w:rsid w:val="00E6416C"/>
    <w:rsid w:val="00E64E19"/>
    <w:rsid w:val="00E64F61"/>
    <w:rsid w:val="00E675D6"/>
    <w:rsid w:val="00E7088E"/>
    <w:rsid w:val="00E71CAE"/>
    <w:rsid w:val="00E72898"/>
    <w:rsid w:val="00E7350C"/>
    <w:rsid w:val="00E74790"/>
    <w:rsid w:val="00E81D40"/>
    <w:rsid w:val="00E84629"/>
    <w:rsid w:val="00E84CA9"/>
    <w:rsid w:val="00E86700"/>
    <w:rsid w:val="00E86859"/>
    <w:rsid w:val="00E86F9C"/>
    <w:rsid w:val="00E978CD"/>
    <w:rsid w:val="00E97FCC"/>
    <w:rsid w:val="00EA0BAA"/>
    <w:rsid w:val="00EA434E"/>
    <w:rsid w:val="00EA5560"/>
    <w:rsid w:val="00EA68E0"/>
    <w:rsid w:val="00EA71FE"/>
    <w:rsid w:val="00EA74CF"/>
    <w:rsid w:val="00EB3516"/>
    <w:rsid w:val="00EB505F"/>
    <w:rsid w:val="00EB77A9"/>
    <w:rsid w:val="00EC3F72"/>
    <w:rsid w:val="00EC528D"/>
    <w:rsid w:val="00EC5325"/>
    <w:rsid w:val="00EC5A59"/>
    <w:rsid w:val="00ED2B76"/>
    <w:rsid w:val="00ED2C45"/>
    <w:rsid w:val="00ED343C"/>
    <w:rsid w:val="00ED5130"/>
    <w:rsid w:val="00ED792D"/>
    <w:rsid w:val="00ED7FCF"/>
    <w:rsid w:val="00EE0093"/>
    <w:rsid w:val="00EE0682"/>
    <w:rsid w:val="00EE0B93"/>
    <w:rsid w:val="00EE25DB"/>
    <w:rsid w:val="00EE51E7"/>
    <w:rsid w:val="00EE545E"/>
    <w:rsid w:val="00EE70D1"/>
    <w:rsid w:val="00EF0C15"/>
    <w:rsid w:val="00EF0D70"/>
    <w:rsid w:val="00EF140E"/>
    <w:rsid w:val="00EF171E"/>
    <w:rsid w:val="00EF1F23"/>
    <w:rsid w:val="00EF3207"/>
    <w:rsid w:val="00F00011"/>
    <w:rsid w:val="00F00ED7"/>
    <w:rsid w:val="00F02AAE"/>
    <w:rsid w:val="00F0312B"/>
    <w:rsid w:val="00F04368"/>
    <w:rsid w:val="00F05498"/>
    <w:rsid w:val="00F07D8D"/>
    <w:rsid w:val="00F10BBD"/>
    <w:rsid w:val="00F110A0"/>
    <w:rsid w:val="00F11123"/>
    <w:rsid w:val="00F153D5"/>
    <w:rsid w:val="00F16449"/>
    <w:rsid w:val="00F2020C"/>
    <w:rsid w:val="00F218DD"/>
    <w:rsid w:val="00F30632"/>
    <w:rsid w:val="00F30E8D"/>
    <w:rsid w:val="00F31624"/>
    <w:rsid w:val="00F35D40"/>
    <w:rsid w:val="00F3606A"/>
    <w:rsid w:val="00F361BE"/>
    <w:rsid w:val="00F36E3A"/>
    <w:rsid w:val="00F42AF0"/>
    <w:rsid w:val="00F4631A"/>
    <w:rsid w:val="00F5045F"/>
    <w:rsid w:val="00F51FF0"/>
    <w:rsid w:val="00F536A4"/>
    <w:rsid w:val="00F53BFA"/>
    <w:rsid w:val="00F55033"/>
    <w:rsid w:val="00F559B1"/>
    <w:rsid w:val="00F5717F"/>
    <w:rsid w:val="00F57D4F"/>
    <w:rsid w:val="00F60041"/>
    <w:rsid w:val="00F66A4F"/>
    <w:rsid w:val="00F66F82"/>
    <w:rsid w:val="00F67F4E"/>
    <w:rsid w:val="00F71A0A"/>
    <w:rsid w:val="00F7391D"/>
    <w:rsid w:val="00F73B44"/>
    <w:rsid w:val="00F76814"/>
    <w:rsid w:val="00F76BDD"/>
    <w:rsid w:val="00F82FDB"/>
    <w:rsid w:val="00F831EA"/>
    <w:rsid w:val="00F93A2D"/>
    <w:rsid w:val="00F93FBA"/>
    <w:rsid w:val="00F96854"/>
    <w:rsid w:val="00F97FCA"/>
    <w:rsid w:val="00FA1002"/>
    <w:rsid w:val="00FA1E05"/>
    <w:rsid w:val="00FA1EFB"/>
    <w:rsid w:val="00FB0667"/>
    <w:rsid w:val="00FB39E5"/>
    <w:rsid w:val="00FB6619"/>
    <w:rsid w:val="00FC0FA2"/>
    <w:rsid w:val="00FC199A"/>
    <w:rsid w:val="00FC2404"/>
    <w:rsid w:val="00FC2845"/>
    <w:rsid w:val="00FC33F0"/>
    <w:rsid w:val="00FC4753"/>
    <w:rsid w:val="00FC4B8D"/>
    <w:rsid w:val="00FC5668"/>
    <w:rsid w:val="00FC5C93"/>
    <w:rsid w:val="00FC5D84"/>
    <w:rsid w:val="00FC6E5F"/>
    <w:rsid w:val="00FD030A"/>
    <w:rsid w:val="00FD528C"/>
    <w:rsid w:val="00FD597D"/>
    <w:rsid w:val="00FE0672"/>
    <w:rsid w:val="00FE4D52"/>
    <w:rsid w:val="00FF042E"/>
    <w:rsid w:val="00FF074C"/>
    <w:rsid w:val="00FF1B2A"/>
    <w:rsid w:val="00FF1F58"/>
    <w:rsid w:val="00FF2A99"/>
    <w:rsid w:val="00FF2ADD"/>
    <w:rsid w:val="00FF3582"/>
    <w:rsid w:val="00FF40FC"/>
    <w:rsid w:val="00FF4DA5"/>
    <w:rsid w:val="00FF4FB8"/>
    <w:rsid w:val="00FF50B9"/>
    <w:rsid w:val="00FF6917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47"/>
    <w:pPr>
      <w:widowControl w:val="0"/>
      <w:jc w:val="both"/>
    </w:pPr>
  </w:style>
  <w:style w:type="paragraph" w:styleId="Heading1">
    <w:name w:val="heading 1"/>
    <w:aliases w:val="小标题"/>
    <w:basedOn w:val="Normal"/>
    <w:next w:val="Normal"/>
    <w:link w:val="Heading1Char"/>
    <w:autoRedefine/>
    <w:uiPriority w:val="99"/>
    <w:qFormat/>
    <w:rsid w:val="00A21A5A"/>
    <w:pPr>
      <w:keepNext/>
      <w:keepLines/>
      <w:widowControl/>
      <w:numPr>
        <w:numId w:val="6"/>
      </w:numPr>
      <w:spacing w:before="100" w:beforeAutospacing="1" w:afterLines="50"/>
      <w:ind w:leftChars="1200" w:left="1200"/>
      <w:outlineLvl w:val="0"/>
    </w:pPr>
    <w:rPr>
      <w:rFonts w:eastAsia="华文楷体"/>
      <w:b/>
      <w:bCs/>
      <w:kern w:val="44"/>
      <w:sz w:val="28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小标题 Char"/>
    <w:basedOn w:val="DefaultParagraphFont"/>
    <w:link w:val="Heading1"/>
    <w:uiPriority w:val="99"/>
    <w:locked/>
    <w:rsid w:val="00A21A5A"/>
    <w:rPr>
      <w:rFonts w:ascii="Calibri" w:eastAsia="华文楷体" w:hAnsi="Calibri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B1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000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10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0000"/>
    <w:rPr>
      <w:rFonts w:cs="Times New Roman"/>
      <w:sz w:val="18"/>
      <w:szCs w:val="18"/>
    </w:rPr>
  </w:style>
  <w:style w:type="paragraph" w:customStyle="1" w:styleId="a">
    <w:name w:val="页眉报告名称"/>
    <w:link w:val="Char"/>
    <w:autoRedefine/>
    <w:uiPriority w:val="99"/>
    <w:rsid w:val="00B10000"/>
    <w:pPr>
      <w:spacing w:afterLines="100" w:line="240" w:lineRule="exact"/>
      <w:jc w:val="both"/>
    </w:pPr>
    <w:rPr>
      <w:rFonts w:eastAsia="华文新魏"/>
      <w:sz w:val="24"/>
    </w:rPr>
  </w:style>
  <w:style w:type="character" w:customStyle="1" w:styleId="Char">
    <w:name w:val="页眉报告名称 Char"/>
    <w:basedOn w:val="DefaultParagraphFont"/>
    <w:link w:val="a"/>
    <w:uiPriority w:val="99"/>
    <w:locked/>
    <w:rsid w:val="00B10000"/>
    <w:rPr>
      <w:rFonts w:ascii="Calibri" w:eastAsia="华文新魏" w:hAnsi="Calibri" w:cs="Times New Roman"/>
      <w:kern w:val="2"/>
      <w:sz w:val="22"/>
      <w:szCs w:val="22"/>
      <w:lang w:val="en-US" w:eastAsia="zh-CN" w:bidi="ar-SA"/>
    </w:rPr>
  </w:style>
  <w:style w:type="paragraph" w:customStyle="1" w:styleId="a0">
    <w:name w:val="页眉图片"/>
    <w:basedOn w:val="Header"/>
    <w:link w:val="Char0"/>
    <w:uiPriority w:val="99"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noProof/>
    </w:rPr>
  </w:style>
  <w:style w:type="character" w:customStyle="1" w:styleId="Char0">
    <w:name w:val="页眉图片 Char"/>
    <w:basedOn w:val="HeaderChar"/>
    <w:link w:val="a0"/>
    <w:uiPriority w:val="99"/>
    <w:locked/>
    <w:rsid w:val="00B10000"/>
    <w:rPr>
      <w:rFonts w:ascii="Calibri" w:eastAsia="宋体" w:hAnsi="Calibri"/>
      <w:noProof/>
    </w:rPr>
  </w:style>
  <w:style w:type="paragraph" w:customStyle="1" w:styleId="a1">
    <w:name w:val="页眉处日期"/>
    <w:basedOn w:val="Normal"/>
    <w:link w:val="Char1"/>
    <w:uiPriority w:val="99"/>
    <w:rsid w:val="00B10000"/>
    <w:pPr>
      <w:tabs>
        <w:tab w:val="right" w:pos="11424"/>
      </w:tabs>
      <w:snapToGrid w:val="0"/>
      <w:jc w:val="left"/>
    </w:pPr>
    <w:rPr>
      <w:rFonts w:ascii="华文隶书" w:eastAsia="华文隶书"/>
      <w:b/>
      <w:sz w:val="24"/>
      <w:szCs w:val="24"/>
    </w:rPr>
  </w:style>
  <w:style w:type="paragraph" w:customStyle="1" w:styleId="a2">
    <w:name w:val="页眉副标题"/>
    <w:basedOn w:val="Normal"/>
    <w:link w:val="Char2"/>
    <w:uiPriority w:val="99"/>
    <w:rsid w:val="00B10000"/>
    <w:pPr>
      <w:tabs>
        <w:tab w:val="right" w:pos="11424"/>
      </w:tabs>
      <w:snapToGrid w:val="0"/>
      <w:jc w:val="left"/>
    </w:pPr>
    <w:rPr>
      <w:rFonts w:ascii="华文隶书" w:eastAsia="华文隶书"/>
      <w:sz w:val="36"/>
      <w:szCs w:val="36"/>
    </w:rPr>
  </w:style>
  <w:style w:type="character" w:customStyle="1" w:styleId="Char1">
    <w:name w:val="页眉处日期 Char"/>
    <w:basedOn w:val="DefaultParagraphFont"/>
    <w:link w:val="a1"/>
    <w:uiPriority w:val="99"/>
    <w:locked/>
    <w:rsid w:val="00B10000"/>
    <w:rPr>
      <w:rFonts w:ascii="华文隶书" w:eastAsia="华文隶书" w:hAnsi="Calibri" w:cs="Times New Roman"/>
      <w:b/>
      <w:sz w:val="24"/>
      <w:szCs w:val="24"/>
    </w:rPr>
  </w:style>
  <w:style w:type="character" w:customStyle="1" w:styleId="Char2">
    <w:name w:val="页眉副标题 Char"/>
    <w:basedOn w:val="DefaultParagraphFont"/>
    <w:link w:val="a2"/>
    <w:uiPriority w:val="99"/>
    <w:locked/>
    <w:rsid w:val="00B10000"/>
    <w:rPr>
      <w:rFonts w:ascii="华文隶书" w:eastAsia="华文隶书" w:hAnsi="Calibri" w:cs="Times New Roman"/>
      <w:sz w:val="36"/>
      <w:szCs w:val="36"/>
    </w:rPr>
  </w:style>
  <w:style w:type="paragraph" w:customStyle="1" w:styleId="a3">
    <w:name w:val="页眉的分析师"/>
    <w:basedOn w:val="Normal"/>
    <w:link w:val="Char3"/>
    <w:uiPriority w:val="99"/>
    <w:rsid w:val="00B10000"/>
    <w:pPr>
      <w:tabs>
        <w:tab w:val="right" w:pos="11424"/>
      </w:tabs>
      <w:snapToGrid w:val="0"/>
      <w:spacing w:line="240" w:lineRule="exact"/>
      <w:jc w:val="right"/>
    </w:pPr>
    <w:rPr>
      <w:rFonts w:ascii="华文新魏" w:eastAsia="华文新魏"/>
      <w:szCs w:val="21"/>
    </w:rPr>
  </w:style>
  <w:style w:type="character" w:customStyle="1" w:styleId="Char3">
    <w:name w:val="页眉的分析师 Char"/>
    <w:basedOn w:val="DefaultParagraphFont"/>
    <w:link w:val="a3"/>
    <w:uiPriority w:val="99"/>
    <w:locked/>
    <w:rsid w:val="00B10000"/>
    <w:rPr>
      <w:rFonts w:ascii="华文新魏" w:eastAsia="华文新魏" w:hAnsi="Calibri" w:cs="Times New Roman"/>
      <w:sz w:val="21"/>
      <w:szCs w:val="21"/>
    </w:rPr>
  </w:style>
  <w:style w:type="paragraph" w:customStyle="1" w:styleId="12">
    <w:name w:val="页眉12"/>
    <w:basedOn w:val="Header"/>
    <w:link w:val="12Char"/>
    <w:uiPriority w:val="99"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</w:style>
  <w:style w:type="character" w:customStyle="1" w:styleId="12Char">
    <w:name w:val="页眉12 Char"/>
    <w:basedOn w:val="HeaderChar"/>
    <w:link w:val="12"/>
    <w:uiPriority w:val="99"/>
    <w:locked/>
    <w:rsid w:val="00B10000"/>
    <w:rPr>
      <w:rFonts w:ascii="Calibri" w:eastAsia="宋体" w:hAnsi="Calibri"/>
    </w:rPr>
  </w:style>
  <w:style w:type="paragraph" w:customStyle="1" w:styleId="2">
    <w:name w:val="页眉副标题2"/>
    <w:basedOn w:val="12"/>
    <w:link w:val="2Char"/>
    <w:uiPriority w:val="99"/>
    <w:rsid w:val="00B10000"/>
    <w:pPr>
      <w:jc w:val="right"/>
    </w:pPr>
    <w:rPr>
      <w:rFonts w:ascii="华文隶书" w:eastAsia="华文隶书"/>
      <w:sz w:val="21"/>
      <w:szCs w:val="21"/>
    </w:rPr>
  </w:style>
  <w:style w:type="character" w:customStyle="1" w:styleId="2Char">
    <w:name w:val="页眉副标题2 Char"/>
    <w:basedOn w:val="12Char"/>
    <w:link w:val="2"/>
    <w:uiPriority w:val="99"/>
    <w:locked/>
    <w:rsid w:val="00B10000"/>
    <w:rPr>
      <w:rFonts w:ascii="华文隶书" w:eastAsia="华文隶书"/>
      <w:sz w:val="21"/>
      <w:szCs w:val="21"/>
    </w:rPr>
  </w:style>
  <w:style w:type="paragraph" w:customStyle="1" w:styleId="a4">
    <w:name w:val="特别声明格式"/>
    <w:basedOn w:val="Normal"/>
    <w:link w:val="Char4"/>
    <w:uiPriority w:val="99"/>
    <w:rsid w:val="00B10000"/>
    <w:pPr>
      <w:spacing w:afterLines="100" w:line="240" w:lineRule="exact"/>
    </w:pPr>
    <w:rPr>
      <w:rFonts w:ascii="华文隶书" w:eastAsia="华文隶书"/>
      <w:sz w:val="28"/>
    </w:rPr>
  </w:style>
  <w:style w:type="character" w:customStyle="1" w:styleId="Char4">
    <w:name w:val="特别声明格式 Char"/>
    <w:basedOn w:val="DefaultParagraphFont"/>
    <w:link w:val="a4"/>
    <w:uiPriority w:val="99"/>
    <w:locked/>
    <w:rsid w:val="00B10000"/>
    <w:rPr>
      <w:rFonts w:ascii="华文隶书" w:eastAsia="华文隶书" w:hAnsi="Calibri" w:cs="Times New Roman"/>
      <w:sz w:val="28"/>
    </w:rPr>
  </w:style>
  <w:style w:type="paragraph" w:styleId="BodyText">
    <w:name w:val="Body Text"/>
    <w:basedOn w:val="Normal"/>
    <w:link w:val="BodyTextChar"/>
    <w:uiPriority w:val="99"/>
    <w:rsid w:val="00B10000"/>
    <w:pPr>
      <w:widowControl/>
      <w:spacing w:after="120" w:line="240" w:lineRule="exact"/>
      <w:ind w:left="3402"/>
    </w:pPr>
    <w:rPr>
      <w:rFonts w:ascii="Arial" w:eastAsia="楷体_GB2312" w:hAnsi="Arial"/>
      <w:color w:val="000000"/>
      <w:kern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0000"/>
    <w:rPr>
      <w:rFonts w:ascii="Arial" w:eastAsia="楷体_GB2312" w:hAnsi="Arial" w:cs="Times New Roman"/>
      <w:color w:val="000000"/>
      <w:kern w:val="0"/>
      <w:sz w:val="20"/>
      <w:szCs w:val="20"/>
      <w:lang w:val="en-GB"/>
    </w:rPr>
  </w:style>
  <w:style w:type="paragraph" w:customStyle="1" w:styleId="FootnoteNoline">
    <w:name w:val="FootnoteNoline"/>
    <w:basedOn w:val="Normal"/>
    <w:next w:val="BodyText"/>
    <w:uiPriority w:val="99"/>
    <w:rsid w:val="008840A4"/>
    <w:pPr>
      <w:widowControl/>
      <w:tabs>
        <w:tab w:val="right" w:pos="10065"/>
      </w:tabs>
      <w:spacing w:before="40" w:after="160"/>
      <w:ind w:left="3402"/>
    </w:pPr>
    <w:rPr>
      <w:rFonts w:ascii="Arial" w:eastAsia="楷体_GB2312" w:hAnsi="Arial" w:cs="Arial"/>
      <w:color w:val="003765"/>
      <w:kern w:val="0"/>
      <w:sz w:val="15"/>
      <w:szCs w:val="14"/>
      <w:lang w:val="en-GB"/>
    </w:rPr>
  </w:style>
  <w:style w:type="paragraph" w:customStyle="1" w:styleId="SubTitleLargeTable">
    <w:name w:val="SubTitleLargeTable"/>
    <w:uiPriority w:val="99"/>
    <w:rsid w:val="008840A4"/>
    <w:pPr>
      <w:keepNext/>
      <w:pBdr>
        <w:top w:val="single" w:sz="6" w:space="1" w:color="666699"/>
      </w:pBdr>
      <w:suppressAutoHyphens/>
      <w:spacing w:after="40" w:line="240" w:lineRule="atLeast"/>
    </w:pPr>
    <w:rPr>
      <w:rFonts w:ascii="Arial" w:eastAsia="楷体_GB2312" w:hAnsi="Arial" w:cs="Arial"/>
      <w:b/>
      <w:bCs/>
      <w:i/>
      <w:iCs/>
      <w:color w:val="003765"/>
      <w:kern w:val="0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840A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0A4"/>
    <w:rPr>
      <w:rFonts w:cs="Times New Roman"/>
      <w:sz w:val="18"/>
      <w:szCs w:val="18"/>
    </w:rPr>
  </w:style>
  <w:style w:type="paragraph" w:customStyle="1" w:styleId="CoverBullet">
    <w:name w:val="Cover Bullet"/>
    <w:uiPriority w:val="99"/>
    <w:rsid w:val="008840A4"/>
    <w:pPr>
      <w:numPr>
        <w:numId w:val="3"/>
      </w:numPr>
      <w:spacing w:before="120" w:after="120"/>
      <w:ind w:left="357" w:hanging="357"/>
    </w:pPr>
    <w:rPr>
      <w:rFonts w:ascii="LucidaSans" w:hAnsi="LucidaSans"/>
      <w:b/>
      <w:bCs/>
      <w:kern w:val="0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026FF9"/>
    <w:pPr>
      <w:ind w:firstLineChars="200" w:firstLine="420"/>
    </w:pPr>
  </w:style>
  <w:style w:type="paragraph" w:customStyle="1" w:styleId="SourceLarge">
    <w:name w:val="SourceLarge"/>
    <w:uiPriority w:val="99"/>
    <w:rsid w:val="00611ADA"/>
    <w:pPr>
      <w:tabs>
        <w:tab w:val="left" w:pos="5216"/>
        <w:tab w:val="right" w:pos="9866"/>
      </w:tabs>
      <w:suppressAutoHyphens/>
      <w:spacing w:line="160" w:lineRule="atLeast"/>
    </w:pPr>
    <w:rPr>
      <w:rFonts w:ascii="LucidaSans" w:hAnsi="LucidaSans"/>
      <w:kern w:val="0"/>
      <w:sz w:val="12"/>
      <w:szCs w:val="12"/>
      <w:lang w:val="en-GB"/>
    </w:rPr>
  </w:style>
  <w:style w:type="paragraph" w:customStyle="1" w:styleId="BulletCoverpage">
    <w:name w:val="Bullet Cover page"/>
    <w:basedOn w:val="Normal"/>
    <w:uiPriority w:val="99"/>
    <w:rsid w:val="00611ADA"/>
    <w:pPr>
      <w:widowControl/>
      <w:numPr>
        <w:numId w:val="4"/>
      </w:numPr>
      <w:suppressAutoHyphens/>
      <w:spacing w:after="200" w:line="240" w:lineRule="atLeast"/>
    </w:pPr>
    <w:rPr>
      <w:rFonts w:ascii="Arial" w:eastAsia="楷体_GB2312" w:hAnsi="Arial"/>
      <w:kern w:val="0"/>
      <w:sz w:val="18"/>
      <w:szCs w:val="20"/>
      <w:lang w:val="en-GB"/>
    </w:rPr>
  </w:style>
  <w:style w:type="paragraph" w:customStyle="1" w:styleId="1">
    <w:name w:val="模板标题1"/>
    <w:basedOn w:val="Normal"/>
    <w:next w:val="BodyText"/>
    <w:uiPriority w:val="99"/>
    <w:rsid w:val="00611ADA"/>
    <w:pPr>
      <w:widowControl/>
      <w:spacing w:after="240" w:line="300" w:lineRule="exact"/>
      <w:ind w:left="3402"/>
      <w:outlineLvl w:val="0"/>
    </w:pPr>
    <w:rPr>
      <w:rFonts w:ascii="Arial" w:eastAsia="楷体_GB2312" w:hAnsi="Arial"/>
      <w:b/>
      <w:bCs/>
      <w:color w:val="01659D"/>
      <w:kern w:val="0"/>
      <w:sz w:val="24"/>
      <w:szCs w:val="20"/>
      <w:lang w:val="en-GB"/>
    </w:rPr>
  </w:style>
  <w:style w:type="paragraph" w:customStyle="1" w:styleId="a5">
    <w:name w:val="正文内容"/>
    <w:basedOn w:val="BodyText"/>
    <w:link w:val="Char5"/>
    <w:uiPriority w:val="99"/>
    <w:rsid w:val="00A21A5A"/>
    <w:pPr>
      <w:tabs>
        <w:tab w:val="num" w:pos="3799"/>
      </w:tabs>
      <w:spacing w:after="163"/>
      <w:ind w:left="3799" w:hanging="369"/>
    </w:pPr>
    <w:rPr>
      <w:rFonts w:ascii="楷体_GB2312" w:hAnsi="楷体_GB2312"/>
      <w:color w:val="auto"/>
    </w:rPr>
  </w:style>
  <w:style w:type="character" w:customStyle="1" w:styleId="Char5">
    <w:name w:val="正文内容 Char"/>
    <w:basedOn w:val="BodyTextChar"/>
    <w:link w:val="a5"/>
    <w:uiPriority w:val="99"/>
    <w:locked/>
    <w:rsid w:val="00A21A5A"/>
    <w:rPr>
      <w:rFonts w:ascii="楷体_GB2312" w:hAnsi="楷体_GB2312"/>
    </w:rPr>
  </w:style>
  <w:style w:type="paragraph" w:customStyle="1" w:styleId="a6">
    <w:name w:val="正文小标题"/>
    <w:basedOn w:val="BodyText"/>
    <w:link w:val="Char6"/>
    <w:uiPriority w:val="99"/>
    <w:rsid w:val="00A21A5A"/>
    <w:pPr>
      <w:spacing w:after="0"/>
    </w:pPr>
    <w:rPr>
      <w:rFonts w:ascii="楷体_GB2312" w:hAnsi="楷体_GB2312"/>
      <w:b/>
      <w:bCs/>
      <w:color w:val="0070C0"/>
      <w:szCs w:val="21"/>
      <w:lang w:val="en-US"/>
    </w:rPr>
  </w:style>
  <w:style w:type="character" w:customStyle="1" w:styleId="Char6">
    <w:name w:val="正文小标题 Char"/>
    <w:basedOn w:val="BodyTextChar"/>
    <w:link w:val="a6"/>
    <w:uiPriority w:val="99"/>
    <w:locked/>
    <w:rsid w:val="00A21A5A"/>
    <w:rPr>
      <w:rFonts w:ascii="楷体_GB2312" w:hAnsi="楷体_GB2312"/>
      <w:b/>
      <w:bCs/>
      <w:color w:val="0070C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5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1951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560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56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1951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563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5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1951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56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1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5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19511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559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data.eastmoney.com/zjlx/dpzjlx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fund.eastmoney.com/jjjz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quote.eastmoney.com/SZ159902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quote.eastmoney.com/SZ159915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928</Words>
  <Characters>5294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导语</dc:title>
  <dc:subject/>
  <dc:creator>shanghai vstone</dc:creator>
  <cp:keywords/>
  <dc:description/>
  <cp:lastModifiedBy>User</cp:lastModifiedBy>
  <cp:revision>2</cp:revision>
  <dcterms:created xsi:type="dcterms:W3CDTF">2014-08-27T06:33:00Z</dcterms:created>
  <dcterms:modified xsi:type="dcterms:W3CDTF">2014-08-27T06:33:00Z</dcterms:modified>
</cp:coreProperties>
</file>