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000" w:rsidRPr="005B7CDB" w:rsidRDefault="001B4102" w:rsidP="006A5488">
      <w:pPr>
        <w:widowControl/>
        <w:spacing w:after="120"/>
        <w:ind w:left="3430"/>
        <w:rPr>
          <w:rFonts w:ascii="楷体" w:eastAsia="楷体" w:hAnsi="楷体" w:cs="Times New Roman"/>
          <w:b/>
          <w:bCs/>
          <w:color w:val="0070C0"/>
          <w:kern w:val="0"/>
          <w:sz w:val="24"/>
          <w:szCs w:val="20"/>
          <w:lang w:val="en-GB"/>
        </w:rPr>
      </w:pPr>
      <w:r w:rsidRPr="001B4102">
        <w:rPr>
          <w:rFonts w:ascii="楷体" w:eastAsia="楷体" w:hAnsi="楷体"/>
          <w:b/>
          <w:bCs/>
          <w:noProof/>
          <w:color w:val="0070C0"/>
          <w:kern w:val="0"/>
          <w:sz w:val="24"/>
          <w:szCs w:val="20"/>
        </w:rPr>
        <w:pict>
          <v:shapetype id="_x0000_t202" coordsize="21600,21600" o:spt="202" path="m,l,21600r21600,l21600,xe">
            <v:stroke joinstyle="miter"/>
            <v:path gradientshapeok="t" o:connecttype="rect"/>
          </v:shapetype>
          <v:shape id="_x0000_s2051" type="#_x0000_t202" style="position:absolute;left:0;text-align:left;margin-left:1.5pt;margin-top:279.2pt;width:148.5pt;height:275.6pt;z-index:251658240;mso-width-relative:margin;mso-height-relative:margin" strokecolor="white [3212]" strokeweight="0">
            <v:stroke dashstyle="1 1" endcap="round"/>
            <v:textbox>
              <w:txbxContent>
                <w:p w:rsidR="00D43478" w:rsidRPr="00635482" w:rsidRDefault="00D43478" w:rsidP="005B0E69">
                  <w:pPr>
                    <w:rPr>
                      <w:rFonts w:ascii="楷体" w:eastAsia="楷体" w:hAnsi="楷体"/>
                      <w:b/>
                      <w:lang w:val="en-GB"/>
                    </w:rPr>
                  </w:pPr>
                  <w:proofErr w:type="gramStart"/>
                  <w:r w:rsidRPr="00635482">
                    <w:rPr>
                      <w:rFonts w:ascii="楷体" w:eastAsia="楷体" w:hAnsi="楷体"/>
                      <w:b/>
                      <w:lang w:val="en-GB"/>
                    </w:rPr>
                    <w:t>凯石工场</w:t>
                  </w:r>
                  <w:proofErr w:type="gramEnd"/>
                  <w:r w:rsidRPr="00635482">
                    <w:rPr>
                      <w:rFonts w:ascii="楷体" w:eastAsia="楷体" w:hAnsi="楷体"/>
                      <w:b/>
                      <w:lang w:val="en-GB"/>
                    </w:rPr>
                    <w:t>移动平台</w:t>
                  </w:r>
                  <w:r w:rsidRPr="00635482">
                    <w:rPr>
                      <w:rFonts w:ascii="楷体" w:eastAsia="楷体" w:hAnsi="楷体" w:hint="eastAsia"/>
                      <w:b/>
                      <w:lang w:val="en-GB"/>
                    </w:rPr>
                    <w:t>：</w:t>
                  </w:r>
                </w:p>
                <w:p w:rsidR="00D43478" w:rsidRPr="00635482" w:rsidRDefault="00D43478" w:rsidP="005B0E69">
                  <w:pPr>
                    <w:rPr>
                      <w:rFonts w:ascii="楷体" w:eastAsia="楷体" w:hAnsi="楷体"/>
                      <w:lang w:val="en-GB"/>
                    </w:rPr>
                  </w:pPr>
                </w:p>
                <w:p w:rsidR="00D43478" w:rsidRPr="00635482" w:rsidRDefault="00D43478" w:rsidP="005B0E69">
                  <w:r w:rsidRPr="00635482">
                    <w:rPr>
                      <w:rFonts w:ascii="楷体" w:eastAsia="楷体" w:hAnsi="楷体" w:hint="eastAsia"/>
                      <w:lang w:val="en-GB"/>
                    </w:rPr>
                    <w:t>官方微博：</w:t>
                  </w:r>
                </w:p>
                <w:p w:rsidR="00D43478" w:rsidRPr="00635482" w:rsidRDefault="00D43478" w:rsidP="005B0E69">
                  <w:pPr>
                    <w:rPr>
                      <w:rFonts w:ascii="楷体" w:eastAsia="楷体" w:hAnsi="楷体"/>
                      <w:lang w:val="en-GB"/>
                    </w:rPr>
                  </w:pPr>
                  <w:proofErr w:type="gramStart"/>
                  <w:r w:rsidRPr="00635482">
                    <w:rPr>
                      <w:rFonts w:ascii="楷体" w:eastAsia="楷体" w:hAnsi="楷体" w:hint="eastAsia"/>
                      <w:lang w:val="en-GB"/>
                    </w:rPr>
                    <w:t>凯</w:t>
                  </w:r>
                  <w:proofErr w:type="gramEnd"/>
                  <w:r w:rsidRPr="00635482">
                    <w:rPr>
                      <w:rFonts w:ascii="楷体" w:eastAsia="楷体" w:hAnsi="楷体" w:hint="eastAsia"/>
                      <w:lang w:val="en-GB"/>
                    </w:rPr>
                    <w:t>石财富工场</w:t>
                  </w:r>
                </w:p>
                <w:p w:rsidR="00D43478" w:rsidRDefault="00D43478" w:rsidP="005B0E69">
                  <w:r>
                    <w:rPr>
                      <w:rFonts w:hint="eastAsia"/>
                      <w:noProof/>
                    </w:rPr>
                    <w:drawing>
                      <wp:inline distT="0" distB="0" distL="0" distR="0">
                        <wp:extent cx="933450" cy="933450"/>
                        <wp:effectExtent l="19050" t="0" r="0" b="0"/>
                        <wp:docPr id="6" name="图片 5" descr="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6.jpg"/>
                                <pic:cNvPicPr/>
                              </pic:nvPicPr>
                              <pic:blipFill>
                                <a:blip r:embed="rId8"/>
                                <a:stretch>
                                  <a:fillRect/>
                                </a:stretch>
                              </pic:blipFill>
                              <pic:spPr>
                                <a:xfrm>
                                  <a:off x="0" y="0"/>
                                  <a:ext cx="933450" cy="933450"/>
                                </a:xfrm>
                                <a:prstGeom prst="rect">
                                  <a:avLst/>
                                </a:prstGeom>
                              </pic:spPr>
                            </pic:pic>
                          </a:graphicData>
                        </a:graphic>
                      </wp:inline>
                    </w:drawing>
                  </w:r>
                </w:p>
                <w:p w:rsidR="00D43478" w:rsidRDefault="00D43478" w:rsidP="005B0E69">
                  <w:pPr>
                    <w:rPr>
                      <w:rFonts w:ascii="楷体" w:eastAsia="楷体" w:hAnsi="楷体"/>
                      <w:b/>
                      <w:lang w:val="en-GB"/>
                    </w:rPr>
                  </w:pPr>
                </w:p>
                <w:p w:rsidR="00D43478" w:rsidRPr="00635482" w:rsidRDefault="00D43478" w:rsidP="005B0E69">
                  <w:pPr>
                    <w:rPr>
                      <w:rFonts w:ascii="楷体" w:eastAsia="楷体" w:hAnsi="楷体"/>
                      <w:lang w:val="en-GB"/>
                    </w:rPr>
                  </w:pPr>
                  <w:r w:rsidRPr="00635482">
                    <w:rPr>
                      <w:rFonts w:ascii="楷体" w:eastAsia="楷体" w:hAnsi="楷体" w:hint="eastAsia"/>
                      <w:lang w:val="en-GB"/>
                    </w:rPr>
                    <w:t>官方微信：</w:t>
                  </w:r>
                </w:p>
                <w:p w:rsidR="00D43478" w:rsidRPr="00635482" w:rsidRDefault="00D43478" w:rsidP="005B0E69">
                  <w:pPr>
                    <w:rPr>
                      <w:rFonts w:ascii="楷体" w:eastAsia="楷体" w:hAnsi="楷体"/>
                      <w:lang w:val="en-GB"/>
                    </w:rPr>
                  </w:pPr>
                  <w:proofErr w:type="gramStart"/>
                  <w:r w:rsidRPr="00635482">
                    <w:rPr>
                      <w:rFonts w:ascii="楷体" w:eastAsia="楷体" w:hAnsi="楷体" w:hint="eastAsia"/>
                      <w:lang w:val="en-GB"/>
                    </w:rPr>
                    <w:t>凯</w:t>
                  </w:r>
                  <w:proofErr w:type="gramEnd"/>
                  <w:r w:rsidRPr="00635482">
                    <w:rPr>
                      <w:rFonts w:ascii="楷体" w:eastAsia="楷体" w:hAnsi="楷体" w:hint="eastAsia"/>
                      <w:lang w:val="en-GB"/>
                    </w:rPr>
                    <w:t>石财富知音订阅号</w:t>
                  </w:r>
                </w:p>
                <w:p w:rsidR="00D43478" w:rsidRDefault="00D43478" w:rsidP="005B0E69">
                  <w:r w:rsidRPr="00635482">
                    <w:rPr>
                      <w:rFonts w:ascii="楷体" w:eastAsia="楷体" w:hAnsi="楷体"/>
                      <w:b/>
                      <w:noProof/>
                    </w:rPr>
                    <w:drawing>
                      <wp:inline distT="0" distB="0" distL="0" distR="0">
                        <wp:extent cx="952500" cy="952500"/>
                        <wp:effectExtent l="19050" t="0" r="0" b="0"/>
                        <wp:docPr id="1" name="图片 7" descr="凯石财富知音订阅号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凯石财富知音订阅号3.jpg"/>
                                <pic:cNvPicPr/>
                              </pic:nvPicPr>
                              <pic:blipFill>
                                <a:blip r:embed="rId9" cstate="print"/>
                                <a:stretch>
                                  <a:fillRect/>
                                </a:stretch>
                              </pic:blipFill>
                              <pic:spPr>
                                <a:xfrm>
                                  <a:off x="0" y="0"/>
                                  <a:ext cx="952500" cy="952500"/>
                                </a:xfrm>
                                <a:prstGeom prst="rect">
                                  <a:avLst/>
                                </a:prstGeom>
                              </pic:spPr>
                            </pic:pic>
                          </a:graphicData>
                        </a:graphic>
                      </wp:inline>
                    </w:drawing>
                  </w:r>
                </w:p>
              </w:txbxContent>
            </v:textbox>
          </v:shape>
        </w:pict>
      </w:r>
      <w:r w:rsidR="00026FF9" w:rsidRPr="005B7CDB">
        <w:rPr>
          <w:rFonts w:ascii="楷体" w:eastAsia="楷体" w:hAnsi="楷体" w:hint="eastAsia"/>
          <w:b/>
          <w:bCs/>
          <w:color w:val="0070C0"/>
          <w:kern w:val="0"/>
          <w:sz w:val="24"/>
          <w:szCs w:val="20"/>
          <w:lang w:val="en-GB"/>
        </w:rPr>
        <w:t>导语</w:t>
      </w:r>
    </w:p>
    <w:p w:rsidR="00F218DD" w:rsidRPr="005B5344" w:rsidRDefault="00F57D4F" w:rsidP="005B5344">
      <w:pPr>
        <w:widowControl/>
        <w:spacing w:after="120"/>
        <w:ind w:left="3430" w:firstLineChars="200" w:firstLine="420"/>
        <w:rPr>
          <w:rFonts w:ascii="楷体" w:eastAsia="楷体" w:hAnsi="楷体"/>
          <w:szCs w:val="21"/>
          <w:lang w:val="en-GB"/>
        </w:rPr>
      </w:pPr>
      <w:r>
        <w:rPr>
          <w:rFonts w:ascii="楷体" w:eastAsia="楷体" w:hAnsi="楷体" w:hint="eastAsia"/>
          <w:szCs w:val="21"/>
          <w:lang w:val="en-GB"/>
        </w:rPr>
        <w:t>小长假后第一周</w:t>
      </w:r>
      <w:r w:rsidR="005B5344" w:rsidRPr="005B5344">
        <w:rPr>
          <w:rFonts w:ascii="楷体" w:eastAsia="楷体" w:hAnsi="楷体" w:hint="eastAsia"/>
          <w:szCs w:val="21"/>
          <w:lang w:val="en-GB"/>
        </w:rPr>
        <w:t>（</w:t>
      </w:r>
      <w:r>
        <w:rPr>
          <w:rFonts w:ascii="楷体" w:eastAsia="楷体" w:hAnsi="楷体"/>
          <w:szCs w:val="21"/>
          <w:lang w:val="en-GB"/>
        </w:rPr>
        <w:t>2014.0</w:t>
      </w:r>
      <w:r>
        <w:rPr>
          <w:rFonts w:ascii="楷体" w:eastAsia="楷体" w:hAnsi="楷体" w:hint="eastAsia"/>
          <w:szCs w:val="21"/>
          <w:lang w:val="en-GB"/>
        </w:rPr>
        <w:t>6</w:t>
      </w:r>
      <w:r w:rsidR="00860492">
        <w:rPr>
          <w:rFonts w:ascii="楷体" w:eastAsia="楷体" w:hAnsi="楷体"/>
          <w:szCs w:val="21"/>
          <w:lang w:val="en-GB"/>
        </w:rPr>
        <w:t>.</w:t>
      </w:r>
      <w:r>
        <w:rPr>
          <w:rFonts w:ascii="楷体" w:eastAsia="楷体" w:hAnsi="楷体" w:hint="eastAsia"/>
          <w:szCs w:val="21"/>
          <w:lang w:val="en-GB"/>
        </w:rPr>
        <w:t>03</w:t>
      </w:r>
      <w:r>
        <w:rPr>
          <w:rFonts w:ascii="楷体" w:eastAsia="楷体" w:hAnsi="楷体"/>
          <w:szCs w:val="21"/>
          <w:lang w:val="en-GB"/>
        </w:rPr>
        <w:t>~2014.0</w:t>
      </w:r>
      <w:r>
        <w:rPr>
          <w:rFonts w:ascii="楷体" w:eastAsia="楷体" w:hAnsi="楷体" w:hint="eastAsia"/>
          <w:szCs w:val="21"/>
          <w:lang w:val="en-GB"/>
        </w:rPr>
        <w:t>6</w:t>
      </w:r>
      <w:r w:rsidR="00860492">
        <w:rPr>
          <w:rFonts w:ascii="楷体" w:eastAsia="楷体" w:hAnsi="楷体"/>
          <w:szCs w:val="21"/>
          <w:lang w:val="en-GB"/>
        </w:rPr>
        <w:t>.</w:t>
      </w:r>
      <w:r>
        <w:rPr>
          <w:rFonts w:ascii="楷体" w:eastAsia="楷体" w:hAnsi="楷体" w:hint="eastAsia"/>
          <w:szCs w:val="21"/>
          <w:lang w:val="en-GB"/>
        </w:rPr>
        <w:t>0</w:t>
      </w:r>
      <w:r w:rsidR="00860492">
        <w:rPr>
          <w:rFonts w:ascii="楷体" w:eastAsia="楷体" w:hAnsi="楷体" w:hint="eastAsia"/>
          <w:szCs w:val="21"/>
          <w:lang w:val="en-GB"/>
        </w:rPr>
        <w:t>6</w:t>
      </w:r>
      <w:r w:rsidR="005B5344" w:rsidRPr="005B5344">
        <w:rPr>
          <w:rFonts w:ascii="楷体" w:eastAsia="楷体" w:hAnsi="楷体" w:hint="eastAsia"/>
          <w:szCs w:val="21"/>
          <w:lang w:val="en-GB"/>
        </w:rPr>
        <w:t>）</w:t>
      </w:r>
      <w:r>
        <w:rPr>
          <w:rFonts w:ascii="楷体" w:eastAsia="楷体" w:hAnsi="楷体" w:hint="eastAsia"/>
          <w:szCs w:val="21"/>
        </w:rPr>
        <w:t>仅有四个工作日</w:t>
      </w:r>
      <w:r w:rsidR="00AF73D1">
        <w:rPr>
          <w:rFonts w:ascii="楷体" w:eastAsia="楷体" w:hAnsi="楷体" w:hint="eastAsia"/>
          <w:szCs w:val="21"/>
        </w:rPr>
        <w:t>，</w:t>
      </w:r>
      <w:r w:rsidR="004B087F" w:rsidRPr="004B087F">
        <w:rPr>
          <w:rFonts w:ascii="楷体" w:eastAsia="楷体" w:hAnsi="楷体" w:hint="eastAsia"/>
          <w:szCs w:val="21"/>
        </w:rPr>
        <w:t>经济基本面虽有好转，奈何房地</w:t>
      </w:r>
      <w:proofErr w:type="gramStart"/>
      <w:r w:rsidR="004B087F" w:rsidRPr="004B087F">
        <w:rPr>
          <w:rFonts w:ascii="楷体" w:eastAsia="楷体" w:hAnsi="楷体" w:hint="eastAsia"/>
          <w:szCs w:val="21"/>
        </w:rPr>
        <w:t>产量价</w:t>
      </w:r>
      <w:proofErr w:type="gramEnd"/>
      <w:r w:rsidR="004B087F" w:rsidRPr="004B087F">
        <w:rPr>
          <w:rFonts w:ascii="楷体" w:eastAsia="楷体" w:hAnsi="楷体" w:hint="eastAsia"/>
          <w:szCs w:val="21"/>
        </w:rPr>
        <w:t>齐跌引发投资者对支柱产业的担忧，全周市场延续震荡下跌，风格继续分化：代表大</w:t>
      </w:r>
      <w:proofErr w:type="gramStart"/>
      <w:r w:rsidR="004B087F" w:rsidRPr="004B087F">
        <w:rPr>
          <w:rFonts w:ascii="楷体" w:eastAsia="楷体" w:hAnsi="楷体" w:hint="eastAsia"/>
          <w:szCs w:val="21"/>
        </w:rPr>
        <w:t>中盘指数</w:t>
      </w:r>
      <w:proofErr w:type="gramEnd"/>
      <w:r w:rsidR="004B087F" w:rsidRPr="004B087F">
        <w:rPr>
          <w:rFonts w:ascii="楷体" w:eastAsia="楷体" w:hAnsi="楷体" w:hint="eastAsia"/>
          <w:szCs w:val="21"/>
        </w:rPr>
        <w:t>的沪深300、中证500周跌1.01%、0.28%；而创业板指保持此前的上行势头，周涨幅2.45%。29个中信</w:t>
      </w:r>
      <w:proofErr w:type="gramStart"/>
      <w:r w:rsidR="004B087F" w:rsidRPr="004B087F">
        <w:rPr>
          <w:rFonts w:ascii="楷体" w:eastAsia="楷体" w:hAnsi="楷体" w:hint="eastAsia"/>
          <w:szCs w:val="21"/>
        </w:rPr>
        <w:t>一级行业</w:t>
      </w:r>
      <w:proofErr w:type="gramEnd"/>
      <w:r w:rsidR="004B087F" w:rsidRPr="004B087F">
        <w:rPr>
          <w:rFonts w:ascii="楷体" w:eastAsia="楷体" w:hAnsi="楷体" w:hint="eastAsia"/>
          <w:szCs w:val="21"/>
        </w:rPr>
        <w:t>仅少数上涨，传媒板块一枝独秀，周涨幅达到4.87%。</w:t>
      </w:r>
      <w:r w:rsidR="004B087F" w:rsidRPr="004B087F">
        <w:rPr>
          <w:rFonts w:ascii="楷体" w:eastAsia="楷体" w:hAnsi="楷体" w:cs="Segoe UI" w:hint="eastAsia"/>
          <w:szCs w:val="21"/>
        </w:rPr>
        <w:t>海外方面，欧元区于上周四正式宣布将迎来负利率时代，消息令美股大涨、欧洲股市反弹。新兴市场亦在上周表现强势。商品方面，能源、石油价格微跌，贵金属价格反弹，天然气略有上行。</w:t>
      </w:r>
    </w:p>
    <w:p w:rsidR="00B01410" w:rsidRPr="005B7CDB" w:rsidRDefault="00AF73D1" w:rsidP="008F39C1">
      <w:pPr>
        <w:widowControl/>
        <w:spacing w:after="120"/>
        <w:ind w:left="3430" w:firstLineChars="200" w:firstLine="420"/>
        <w:rPr>
          <w:rFonts w:ascii="楷体" w:eastAsia="楷体" w:hAnsi="楷体" w:cs="Times New Roman"/>
          <w:color w:val="000000"/>
          <w:kern w:val="0"/>
          <w:szCs w:val="21"/>
          <w:lang w:val="en-GB"/>
        </w:rPr>
      </w:pPr>
      <w:proofErr w:type="gramStart"/>
      <w:r w:rsidRPr="005B7CDB">
        <w:rPr>
          <w:rFonts w:ascii="楷体" w:eastAsia="楷体" w:hAnsi="楷体" w:hint="eastAsia"/>
          <w:szCs w:val="21"/>
        </w:rPr>
        <w:t>凯石工场</w:t>
      </w:r>
      <w:proofErr w:type="gramEnd"/>
      <w:r w:rsidRPr="005B7CDB">
        <w:rPr>
          <w:rFonts w:ascii="楷体" w:eastAsia="楷体" w:hAnsi="楷体" w:hint="eastAsia"/>
          <w:szCs w:val="21"/>
        </w:rPr>
        <w:t>统计范围内的各类型公</w:t>
      </w:r>
      <w:proofErr w:type="gramStart"/>
      <w:r w:rsidRPr="005B7CDB">
        <w:rPr>
          <w:rFonts w:ascii="楷体" w:eastAsia="楷体" w:hAnsi="楷体" w:hint="eastAsia"/>
          <w:szCs w:val="21"/>
        </w:rPr>
        <w:t>募基金</w:t>
      </w:r>
      <w:proofErr w:type="gramEnd"/>
      <w:r>
        <w:rPr>
          <w:rFonts w:ascii="楷体" w:eastAsia="楷体" w:hAnsi="楷体" w:hint="eastAsia"/>
          <w:szCs w:val="21"/>
        </w:rPr>
        <w:t>当中</w:t>
      </w:r>
      <w:r w:rsidR="009B3707" w:rsidRPr="009B3707">
        <w:rPr>
          <w:rFonts w:ascii="楷体" w:eastAsia="楷体" w:hAnsi="楷体" w:hint="eastAsia"/>
          <w:szCs w:val="21"/>
        </w:rPr>
        <w:t>权益类多数战胜主板市场，</w:t>
      </w:r>
      <w:r w:rsidR="009B3707">
        <w:rPr>
          <w:rFonts w:ascii="楷体" w:eastAsia="楷体" w:hAnsi="楷体" w:hint="eastAsia"/>
          <w:szCs w:val="21"/>
        </w:rPr>
        <w:t>其中</w:t>
      </w:r>
      <w:r w:rsidR="009B3707" w:rsidRPr="009B3707">
        <w:rPr>
          <w:rFonts w:ascii="楷体" w:eastAsia="楷体" w:hAnsi="楷体" w:hint="eastAsia"/>
          <w:szCs w:val="21"/>
        </w:rPr>
        <w:t>成长风格</w:t>
      </w:r>
      <w:r w:rsidR="009B3707">
        <w:rPr>
          <w:rFonts w:ascii="楷体" w:eastAsia="楷体" w:hAnsi="楷体" w:hint="eastAsia"/>
          <w:szCs w:val="21"/>
        </w:rPr>
        <w:t>基金收益</w:t>
      </w:r>
      <w:r w:rsidR="009B3707" w:rsidRPr="009B3707">
        <w:rPr>
          <w:rFonts w:ascii="楷体" w:eastAsia="楷体" w:hAnsi="楷体" w:hint="eastAsia"/>
          <w:szCs w:val="21"/>
        </w:rPr>
        <w:t>领先；债券类品种走势</w:t>
      </w:r>
      <w:r w:rsidR="009B3707">
        <w:rPr>
          <w:rFonts w:ascii="楷体" w:eastAsia="楷体" w:hAnsi="楷体" w:hint="eastAsia"/>
          <w:szCs w:val="21"/>
        </w:rPr>
        <w:t>保持</w:t>
      </w:r>
      <w:r w:rsidR="009B3707" w:rsidRPr="009B3707">
        <w:rPr>
          <w:rFonts w:ascii="楷体" w:eastAsia="楷体" w:hAnsi="楷体" w:hint="eastAsia"/>
          <w:szCs w:val="21"/>
        </w:rPr>
        <w:t>稳定；投资于发达经济体和新兴市场的QDII基金</w:t>
      </w:r>
      <w:proofErr w:type="gramStart"/>
      <w:r w:rsidR="0053587E">
        <w:rPr>
          <w:rFonts w:ascii="楷体" w:eastAsia="楷体" w:hAnsi="楷体" w:hint="eastAsia"/>
          <w:szCs w:val="21"/>
        </w:rPr>
        <w:t>皆普遍</w:t>
      </w:r>
      <w:proofErr w:type="gramEnd"/>
      <w:r w:rsidR="0053587E">
        <w:rPr>
          <w:rFonts w:ascii="楷体" w:eastAsia="楷体" w:hAnsi="楷体" w:hint="eastAsia"/>
          <w:szCs w:val="21"/>
        </w:rPr>
        <w:t>上涨，小幅下跌的</w:t>
      </w:r>
      <w:r w:rsidR="009B3707" w:rsidRPr="009B3707">
        <w:rPr>
          <w:rFonts w:ascii="楷体" w:eastAsia="楷体" w:hAnsi="楷体" w:hint="eastAsia"/>
          <w:szCs w:val="21"/>
        </w:rPr>
        <w:t>多为投资商品和债券的品种。</w:t>
      </w:r>
      <w:proofErr w:type="gramStart"/>
      <w:r w:rsidR="009B3707" w:rsidRPr="00FD597D">
        <w:rPr>
          <w:rFonts w:eastAsia="楷体" w:hAnsi="楷体" w:cs="Arial" w:hint="eastAsia"/>
        </w:rPr>
        <w:t>浦银安</w:t>
      </w:r>
      <w:proofErr w:type="gramEnd"/>
      <w:r w:rsidR="009B3707" w:rsidRPr="00FD597D">
        <w:rPr>
          <w:rFonts w:eastAsia="楷体" w:hAnsi="楷体" w:cs="Arial" w:hint="eastAsia"/>
        </w:rPr>
        <w:t>盛红利精选</w:t>
      </w:r>
      <w:r w:rsidR="009B3707" w:rsidRPr="00C41ED1">
        <w:rPr>
          <w:rFonts w:eastAsia="楷体" w:hAnsi="楷体" w:cs="Arial"/>
        </w:rPr>
        <w:t>、</w:t>
      </w:r>
      <w:r w:rsidR="009B3707" w:rsidRPr="00FD597D">
        <w:rPr>
          <w:rFonts w:eastAsia="楷体" w:hAnsi="楷体" w:cs="Arial" w:hint="eastAsia"/>
        </w:rPr>
        <w:t>中欧盛世成长分级</w:t>
      </w:r>
      <w:r w:rsidR="009B3707">
        <w:rPr>
          <w:rFonts w:eastAsia="楷体" w:hAnsi="楷体" w:cs="Arial" w:hint="eastAsia"/>
        </w:rPr>
        <w:t>、</w:t>
      </w:r>
      <w:r w:rsidR="009B3707" w:rsidRPr="00FD597D">
        <w:rPr>
          <w:rFonts w:eastAsia="楷体" w:hAnsi="楷体" w:cs="Arial" w:hint="eastAsia"/>
        </w:rPr>
        <w:t>广</w:t>
      </w:r>
      <w:proofErr w:type="gramStart"/>
      <w:r w:rsidR="009B3707" w:rsidRPr="00FD597D">
        <w:rPr>
          <w:rFonts w:eastAsia="楷体" w:hAnsi="楷体" w:cs="Arial" w:hint="eastAsia"/>
        </w:rPr>
        <w:t>发聚瑞</w:t>
      </w:r>
      <w:r w:rsidR="009B3707">
        <w:rPr>
          <w:rFonts w:eastAsia="楷体" w:hAnsi="楷体" w:cs="Arial" w:hint="eastAsia"/>
        </w:rPr>
        <w:t>、</w:t>
      </w:r>
      <w:r w:rsidR="009B3707" w:rsidRPr="00341CB3">
        <w:rPr>
          <w:rFonts w:eastAsia="楷体" w:hAnsi="楷体" w:cs="Arial" w:hint="eastAsia"/>
        </w:rPr>
        <w:t>浦银安盛消费</w:t>
      </w:r>
      <w:proofErr w:type="gramEnd"/>
      <w:r w:rsidR="009B3707" w:rsidRPr="00341CB3">
        <w:rPr>
          <w:rFonts w:eastAsia="楷体" w:hAnsi="楷体" w:cs="Arial" w:hint="eastAsia"/>
        </w:rPr>
        <w:t>升级</w:t>
      </w:r>
      <w:r w:rsidR="009B3707">
        <w:rPr>
          <w:rFonts w:eastAsia="楷体" w:hAnsi="楷体" w:cs="Arial" w:hint="eastAsia"/>
        </w:rPr>
        <w:t>、</w:t>
      </w:r>
      <w:proofErr w:type="gramStart"/>
      <w:r w:rsidR="009B3707" w:rsidRPr="00341CB3">
        <w:rPr>
          <w:rFonts w:eastAsia="楷体" w:hAnsi="楷体" w:cs="Arial" w:hint="eastAsia"/>
        </w:rPr>
        <w:t>浦银安</w:t>
      </w:r>
      <w:proofErr w:type="gramEnd"/>
      <w:r w:rsidR="009B3707" w:rsidRPr="00341CB3">
        <w:rPr>
          <w:rFonts w:eastAsia="楷体" w:hAnsi="楷体" w:cs="Arial" w:hint="eastAsia"/>
        </w:rPr>
        <w:t>盛精致生活</w:t>
      </w:r>
      <w:r w:rsidR="009B3707">
        <w:rPr>
          <w:rFonts w:eastAsia="楷体" w:hAnsi="楷体" w:cs="Arial" w:hint="eastAsia"/>
        </w:rPr>
        <w:t>、</w:t>
      </w:r>
      <w:proofErr w:type="gramStart"/>
      <w:r w:rsidR="009B3707" w:rsidRPr="009B3707">
        <w:rPr>
          <w:rFonts w:eastAsia="楷体" w:hAnsi="楷体" w:cs="Arial" w:hint="eastAsia"/>
        </w:rPr>
        <w:t>诺安全球收益</w:t>
      </w:r>
      <w:proofErr w:type="gramEnd"/>
      <w:r w:rsidR="009B3707" w:rsidRPr="009B3707">
        <w:rPr>
          <w:rFonts w:eastAsia="楷体" w:hAnsi="楷体" w:cs="Arial" w:hint="eastAsia"/>
        </w:rPr>
        <w:t>不动产</w:t>
      </w:r>
      <w:r w:rsidR="009B3707">
        <w:rPr>
          <w:rFonts w:eastAsia="楷体" w:hAnsi="楷体" w:cs="Arial" w:hint="eastAsia"/>
        </w:rPr>
        <w:t>、</w:t>
      </w:r>
      <w:r w:rsidR="009B3707" w:rsidRPr="009B3707">
        <w:rPr>
          <w:rFonts w:eastAsia="楷体" w:hAnsi="楷体" w:cs="Arial" w:hint="eastAsia"/>
        </w:rPr>
        <w:t>广发美国房地产人民币</w:t>
      </w:r>
      <w:r w:rsidR="006D7641">
        <w:rPr>
          <w:rFonts w:eastAsia="楷体" w:hAnsi="楷体" w:cs="Arial" w:hint="eastAsia"/>
        </w:rPr>
        <w:t>等</w:t>
      </w:r>
      <w:r w:rsidR="009B3707">
        <w:rPr>
          <w:rFonts w:eastAsia="楷体" w:hAnsi="楷体" w:cs="Arial" w:hint="eastAsia"/>
        </w:rPr>
        <w:t>基金</w:t>
      </w:r>
      <w:r w:rsidR="006D7641">
        <w:rPr>
          <w:rFonts w:eastAsia="楷体" w:hAnsi="楷体" w:cs="Arial" w:hint="eastAsia"/>
        </w:rPr>
        <w:t>跑赢</w:t>
      </w:r>
      <w:r w:rsidR="009B3707">
        <w:rPr>
          <w:rFonts w:eastAsia="楷体" w:hAnsi="楷体" w:cs="Arial" w:hint="eastAsia"/>
        </w:rPr>
        <w:t>同业。</w:t>
      </w:r>
    </w:p>
    <w:p w:rsidR="0069249C" w:rsidRPr="005B7CDB" w:rsidRDefault="0069249C" w:rsidP="0069249C">
      <w:pPr>
        <w:widowControl/>
        <w:spacing w:after="120"/>
        <w:ind w:left="3430"/>
        <w:rPr>
          <w:rFonts w:ascii="楷体" w:eastAsia="楷体" w:hAnsi="楷体"/>
          <w:b/>
          <w:bCs/>
          <w:color w:val="0070C0"/>
          <w:kern w:val="0"/>
          <w:sz w:val="24"/>
          <w:szCs w:val="20"/>
          <w:lang w:val="en-GB"/>
        </w:rPr>
      </w:pPr>
      <w:proofErr w:type="gramStart"/>
      <w:r w:rsidRPr="005B7CDB">
        <w:rPr>
          <w:rFonts w:ascii="楷体" w:eastAsia="楷体" w:hAnsi="楷体" w:hint="eastAsia"/>
          <w:b/>
          <w:bCs/>
          <w:color w:val="0070C0"/>
          <w:kern w:val="0"/>
          <w:sz w:val="24"/>
          <w:szCs w:val="20"/>
          <w:lang w:val="en-GB"/>
        </w:rPr>
        <w:t>凯石工场</w:t>
      </w:r>
      <w:proofErr w:type="gramEnd"/>
      <w:r w:rsidRPr="005B7CDB">
        <w:rPr>
          <w:rFonts w:ascii="楷体" w:eastAsia="楷体" w:hAnsi="楷体" w:hint="eastAsia"/>
          <w:b/>
          <w:bCs/>
          <w:color w:val="0070C0"/>
          <w:kern w:val="0"/>
          <w:sz w:val="24"/>
          <w:szCs w:val="20"/>
          <w:lang w:val="en-GB"/>
        </w:rPr>
        <w:t>本周基金</w:t>
      </w:r>
      <w:r w:rsidR="001B1A86" w:rsidRPr="005B7CDB">
        <w:rPr>
          <w:rFonts w:ascii="楷体" w:eastAsia="楷体" w:hAnsi="楷体" w:hint="eastAsia"/>
          <w:b/>
          <w:bCs/>
          <w:color w:val="0070C0"/>
          <w:kern w:val="0"/>
          <w:sz w:val="24"/>
          <w:szCs w:val="20"/>
          <w:lang w:val="en-GB"/>
        </w:rPr>
        <w:t>投资</w:t>
      </w:r>
      <w:r w:rsidRPr="005B7CDB">
        <w:rPr>
          <w:rFonts w:ascii="楷体" w:eastAsia="楷体" w:hAnsi="楷体" w:hint="eastAsia"/>
          <w:b/>
          <w:bCs/>
          <w:color w:val="0070C0"/>
          <w:kern w:val="0"/>
          <w:sz w:val="24"/>
          <w:szCs w:val="20"/>
          <w:lang w:val="en-GB"/>
        </w:rPr>
        <w:t>策略：</w:t>
      </w:r>
      <w:r w:rsidR="00C374F2" w:rsidRPr="00C374F2">
        <w:rPr>
          <w:rFonts w:ascii="楷体" w:eastAsia="楷体" w:hAnsi="楷体" w:hint="eastAsia"/>
          <w:b/>
          <w:bCs/>
          <w:color w:val="0070C0"/>
          <w:kern w:val="0"/>
          <w:sz w:val="24"/>
          <w:szCs w:val="20"/>
          <w:lang w:val="en-GB"/>
        </w:rPr>
        <w:t>延续防守反击，关注打新机会</w:t>
      </w:r>
    </w:p>
    <w:p w:rsidR="00C374F2" w:rsidRPr="00C374F2" w:rsidRDefault="00C374F2" w:rsidP="00C374F2">
      <w:pPr>
        <w:pStyle w:val="ab"/>
        <w:numPr>
          <w:ilvl w:val="4"/>
          <w:numId w:val="1"/>
        </w:numPr>
        <w:spacing w:after="163"/>
        <w:rPr>
          <w:rFonts w:ascii="楷体" w:eastAsia="楷体" w:hAnsi="楷体"/>
          <w:color w:val="auto"/>
        </w:rPr>
      </w:pPr>
      <w:r w:rsidRPr="00C374F2">
        <w:rPr>
          <w:rFonts w:ascii="楷体" w:eastAsia="楷体" w:hAnsi="楷体" w:hint="eastAsia"/>
          <w:color w:val="auto"/>
        </w:rPr>
        <w:t>美国奏响了经济复苏的“最强音”，其制造业、房地产市场、劳动力市场等多方面数据均在近</w:t>
      </w:r>
      <w:proofErr w:type="gramStart"/>
      <w:r w:rsidRPr="00C374F2">
        <w:rPr>
          <w:rFonts w:ascii="楷体" w:eastAsia="楷体" w:hAnsi="楷体" w:hint="eastAsia"/>
          <w:color w:val="auto"/>
        </w:rPr>
        <w:t>几</w:t>
      </w:r>
      <w:proofErr w:type="gramEnd"/>
      <w:r w:rsidRPr="00C374F2">
        <w:rPr>
          <w:rFonts w:ascii="楷体" w:eastAsia="楷体" w:hAnsi="楷体" w:hint="eastAsia"/>
          <w:color w:val="auto"/>
        </w:rPr>
        <w:t>月保持回暖。欧元区各项经济数据出现反复，显示近期增速有所放缓，短期内料将不会出现加速复苏迹象。不过，欧洲央行降息拉开“欧洲版</w:t>
      </w:r>
      <w:r w:rsidRPr="00C374F2">
        <w:rPr>
          <w:rFonts w:ascii="楷体" w:eastAsia="楷体" w:hAnsi="楷体"/>
          <w:color w:val="auto"/>
        </w:rPr>
        <w:t>QE”</w:t>
      </w:r>
      <w:r w:rsidRPr="00C374F2">
        <w:rPr>
          <w:rFonts w:ascii="楷体" w:eastAsia="楷体" w:hAnsi="楷体" w:hint="eastAsia"/>
          <w:color w:val="auto"/>
        </w:rPr>
        <w:t>的序幕，同时俄</w:t>
      </w:r>
      <w:proofErr w:type="gramStart"/>
      <w:r w:rsidRPr="00C374F2">
        <w:rPr>
          <w:rFonts w:ascii="楷体" w:eastAsia="楷体" w:hAnsi="楷体" w:hint="eastAsia"/>
          <w:color w:val="auto"/>
        </w:rPr>
        <w:t>乌紧张</w:t>
      </w:r>
      <w:proofErr w:type="gramEnd"/>
      <w:r w:rsidRPr="00C374F2">
        <w:rPr>
          <w:rFonts w:ascii="楷体" w:eastAsia="楷体" w:hAnsi="楷体" w:hint="eastAsia"/>
          <w:color w:val="auto"/>
        </w:rPr>
        <w:t>局势亦有所缓解，未来一段时间内可继续对欧美市场给予必要关注。</w:t>
      </w:r>
    </w:p>
    <w:p w:rsidR="00C374F2" w:rsidRPr="00C374F2" w:rsidRDefault="00C374F2" w:rsidP="00C374F2">
      <w:pPr>
        <w:pStyle w:val="ab"/>
        <w:numPr>
          <w:ilvl w:val="4"/>
          <w:numId w:val="1"/>
        </w:numPr>
        <w:spacing w:after="163"/>
        <w:rPr>
          <w:rFonts w:ascii="楷体" w:eastAsia="楷体" w:hAnsi="楷体"/>
          <w:color w:val="auto"/>
        </w:rPr>
      </w:pPr>
      <w:r w:rsidRPr="00C374F2">
        <w:rPr>
          <w:rFonts w:ascii="楷体" w:eastAsia="楷体" w:hAnsi="楷体" w:hint="eastAsia"/>
          <w:color w:val="auto"/>
        </w:rPr>
        <w:t>如我们预期，</w:t>
      </w:r>
      <w:r w:rsidRPr="00C374F2">
        <w:rPr>
          <w:rFonts w:ascii="楷体" w:eastAsia="楷体" w:hAnsi="楷体"/>
          <w:color w:val="auto"/>
        </w:rPr>
        <w:t>5</w:t>
      </w:r>
      <w:r w:rsidRPr="00C374F2">
        <w:rPr>
          <w:rFonts w:ascii="楷体" w:eastAsia="楷体" w:hAnsi="楷体" w:hint="eastAsia"/>
          <w:color w:val="auto"/>
        </w:rPr>
        <w:t>月份政策面及经济基本面的微复苏不断得到印证强化，并带来市场的结构性反弹。步入</w:t>
      </w:r>
      <w:r w:rsidRPr="00C374F2">
        <w:rPr>
          <w:rFonts w:ascii="楷体" w:eastAsia="楷体" w:hAnsi="楷体"/>
          <w:color w:val="auto"/>
        </w:rPr>
        <w:t>6</w:t>
      </w:r>
      <w:r w:rsidRPr="00C374F2">
        <w:rPr>
          <w:rFonts w:ascii="楷体" w:eastAsia="楷体" w:hAnsi="楷体" w:hint="eastAsia"/>
          <w:color w:val="auto"/>
        </w:rPr>
        <w:t>月份，上述复苏有望延续，在资金供应压力有限（钱荒难上演、</w:t>
      </w:r>
      <w:r w:rsidRPr="00C374F2">
        <w:rPr>
          <w:rFonts w:ascii="楷体" w:eastAsia="楷体" w:hAnsi="楷体"/>
          <w:color w:val="auto"/>
        </w:rPr>
        <w:t>IPO</w:t>
      </w:r>
      <w:r w:rsidRPr="00C374F2">
        <w:rPr>
          <w:rFonts w:ascii="楷体" w:eastAsia="楷体" w:hAnsi="楷体" w:hint="eastAsia"/>
          <w:color w:val="auto"/>
        </w:rPr>
        <w:t>节奏平缓）背景下，</w:t>
      </w:r>
      <w:r w:rsidRPr="00C374F2">
        <w:rPr>
          <w:rFonts w:ascii="楷体" w:eastAsia="楷体" w:hAnsi="楷体"/>
          <w:color w:val="auto"/>
        </w:rPr>
        <w:t>A</w:t>
      </w:r>
      <w:r w:rsidRPr="00C374F2">
        <w:rPr>
          <w:rFonts w:ascii="楷体" w:eastAsia="楷体" w:hAnsi="楷体" w:hint="eastAsia"/>
          <w:color w:val="auto"/>
        </w:rPr>
        <w:t>股市场的</w:t>
      </w:r>
      <w:proofErr w:type="gramStart"/>
      <w:r w:rsidRPr="00C374F2">
        <w:rPr>
          <w:rFonts w:ascii="楷体" w:eastAsia="楷体" w:hAnsi="楷体" w:hint="eastAsia"/>
          <w:color w:val="auto"/>
        </w:rPr>
        <w:t>微反弹</w:t>
      </w:r>
      <w:proofErr w:type="gramEnd"/>
      <w:r w:rsidRPr="00C374F2">
        <w:rPr>
          <w:rFonts w:ascii="楷体" w:eastAsia="楷体" w:hAnsi="楷体" w:hint="eastAsia"/>
          <w:color w:val="auto"/>
        </w:rPr>
        <w:t>也有望继续。</w:t>
      </w:r>
    </w:p>
    <w:p w:rsidR="00C374F2" w:rsidRPr="00C374F2" w:rsidRDefault="00C374F2" w:rsidP="00C374F2">
      <w:pPr>
        <w:pStyle w:val="ab"/>
        <w:numPr>
          <w:ilvl w:val="4"/>
          <w:numId w:val="1"/>
        </w:numPr>
        <w:spacing w:after="163"/>
        <w:rPr>
          <w:rFonts w:ascii="楷体" w:eastAsia="楷体" w:hAnsi="楷体"/>
          <w:color w:val="auto"/>
        </w:rPr>
      </w:pPr>
      <w:r w:rsidRPr="00C374F2">
        <w:rPr>
          <w:rFonts w:ascii="楷体" w:eastAsia="楷体" w:hAnsi="楷体" w:hint="eastAsia"/>
          <w:color w:val="auto"/>
        </w:rPr>
        <w:t>政策支持下经济复苏如期兑现，在基金投资上建议延续防御为主、择机反击的适度积极策略，通过全球配置、多重风格搭配以及选择择时能力突出管理人管理的基金产品三方面来控制风险，同时密切关注市场变化以积极把握成长股轮动及对应风格产品的反弹机会。</w:t>
      </w:r>
    </w:p>
    <w:p w:rsidR="0069249C" w:rsidRPr="00DF122A" w:rsidRDefault="00C374F2" w:rsidP="00C374F2">
      <w:pPr>
        <w:pStyle w:val="ab"/>
        <w:numPr>
          <w:ilvl w:val="4"/>
          <w:numId w:val="1"/>
        </w:numPr>
        <w:spacing w:after="163"/>
        <w:rPr>
          <w:rFonts w:ascii="楷体" w:eastAsia="楷体" w:hAnsi="楷体"/>
          <w:color w:val="auto"/>
        </w:rPr>
      </w:pPr>
      <w:proofErr w:type="gramStart"/>
      <w:r w:rsidRPr="00C374F2">
        <w:rPr>
          <w:rFonts w:ascii="楷体" w:eastAsia="楷体" w:hAnsi="楷体"/>
          <w:b/>
          <w:color w:val="auto"/>
        </w:rPr>
        <w:t>凯石工场</w:t>
      </w:r>
      <w:proofErr w:type="gramEnd"/>
      <w:r w:rsidRPr="00C374F2">
        <w:rPr>
          <w:rFonts w:ascii="楷体" w:eastAsia="楷体" w:hAnsi="楷体" w:hint="eastAsia"/>
          <w:b/>
          <w:color w:val="auto"/>
        </w:rPr>
        <w:t>6月基金投资策略：</w:t>
      </w:r>
      <w:r w:rsidRPr="00C374F2">
        <w:rPr>
          <w:rFonts w:ascii="楷体" w:eastAsia="楷体" w:hAnsi="楷体" w:hint="eastAsia"/>
          <w:color w:val="auto"/>
        </w:rPr>
        <w:t>在基金产品风格搭配上，从短期防御角度出发保持对大盘蓝</w:t>
      </w:r>
      <w:proofErr w:type="gramStart"/>
      <w:r w:rsidRPr="00C374F2">
        <w:rPr>
          <w:rFonts w:ascii="楷体" w:eastAsia="楷体" w:hAnsi="楷体" w:hint="eastAsia"/>
          <w:color w:val="auto"/>
        </w:rPr>
        <w:t>筹风格</w:t>
      </w:r>
      <w:proofErr w:type="gramEnd"/>
      <w:r w:rsidRPr="00C374F2">
        <w:rPr>
          <w:rFonts w:ascii="楷体" w:eastAsia="楷体" w:hAnsi="楷体" w:hint="eastAsia"/>
          <w:color w:val="auto"/>
        </w:rPr>
        <w:t>基金的适度配置，从攻防兼顾角度重点配置在国企改革、区域经济、军工安防等主题板块侧重配置的基金产品以及侧重投资大消费领域、传统行业中积极转型企业的基金产品，并择机增配高成长风格产品（尤其是</w:t>
      </w:r>
      <w:r w:rsidRPr="00C374F2">
        <w:rPr>
          <w:rFonts w:ascii="楷体" w:eastAsia="楷体" w:hAnsi="楷体"/>
          <w:color w:val="auto"/>
        </w:rPr>
        <w:t>4</w:t>
      </w:r>
      <w:r w:rsidRPr="00C374F2">
        <w:rPr>
          <w:rFonts w:ascii="楷体" w:eastAsia="楷体" w:hAnsi="楷体" w:hint="eastAsia"/>
          <w:color w:val="auto"/>
        </w:rPr>
        <w:t>月下旬净值调整幅度较多产品）。另外，随着</w:t>
      </w:r>
      <w:r w:rsidRPr="00C374F2">
        <w:rPr>
          <w:rFonts w:ascii="楷体" w:eastAsia="楷体" w:hAnsi="楷体"/>
          <w:color w:val="auto"/>
        </w:rPr>
        <w:t>IPO</w:t>
      </w:r>
      <w:r w:rsidRPr="00C374F2">
        <w:rPr>
          <w:rFonts w:ascii="楷体" w:eastAsia="楷体" w:hAnsi="楷体" w:hint="eastAsia"/>
          <w:color w:val="auto"/>
        </w:rPr>
        <w:t>重启，建议积极关注打新带来的机会。</w:t>
      </w:r>
    </w:p>
    <w:p w:rsidR="0069249C" w:rsidRPr="005B7CDB" w:rsidRDefault="00B93424" w:rsidP="00FA1002">
      <w:pPr>
        <w:widowControl/>
        <w:spacing w:beforeLines="500" w:after="120"/>
        <w:ind w:left="3430"/>
        <w:rPr>
          <w:rFonts w:ascii="楷体" w:eastAsia="楷体" w:hAnsi="楷体"/>
          <w:b/>
          <w:bCs/>
          <w:color w:val="0070C0"/>
          <w:kern w:val="0"/>
          <w:sz w:val="24"/>
          <w:szCs w:val="20"/>
          <w:lang w:val="en-GB"/>
        </w:rPr>
      </w:pPr>
      <w:proofErr w:type="gramStart"/>
      <w:r w:rsidRPr="005B7CDB">
        <w:rPr>
          <w:rFonts w:ascii="楷体" w:eastAsia="楷体" w:hAnsi="楷体" w:hint="eastAsia"/>
          <w:b/>
          <w:bCs/>
          <w:color w:val="0070C0"/>
          <w:kern w:val="0"/>
          <w:sz w:val="24"/>
          <w:szCs w:val="20"/>
          <w:lang w:val="en-GB"/>
        </w:rPr>
        <w:lastRenderedPageBreak/>
        <w:t>凯石每</w:t>
      </w:r>
      <w:proofErr w:type="gramEnd"/>
      <w:r w:rsidRPr="005B7CDB">
        <w:rPr>
          <w:rFonts w:ascii="楷体" w:eastAsia="楷体" w:hAnsi="楷体" w:hint="eastAsia"/>
          <w:b/>
          <w:bCs/>
          <w:color w:val="0070C0"/>
          <w:kern w:val="0"/>
          <w:sz w:val="24"/>
          <w:szCs w:val="20"/>
          <w:lang w:val="en-GB"/>
        </w:rPr>
        <w:t>周微点评</w:t>
      </w:r>
    </w:p>
    <w:tbl>
      <w:tblPr>
        <w:tblW w:w="11483" w:type="dxa"/>
        <w:tblInd w:w="-426" w:type="dxa"/>
        <w:tblBorders>
          <w:top w:val="single" w:sz="6" w:space="0" w:color="FF6600"/>
          <w:bottom w:val="single" w:sz="6" w:space="0" w:color="FF6600"/>
          <w:insideH w:val="single" w:sz="6" w:space="0" w:color="FF6600"/>
        </w:tblBorders>
        <w:tblLayout w:type="fixed"/>
        <w:tblCellMar>
          <w:left w:w="0" w:type="dxa"/>
          <w:right w:w="0" w:type="dxa"/>
        </w:tblCellMar>
        <w:tblLook w:val="0000"/>
      </w:tblPr>
      <w:tblGrid>
        <w:gridCol w:w="5529"/>
        <w:gridCol w:w="5954"/>
      </w:tblGrid>
      <w:tr w:rsidR="0069249C" w:rsidRPr="005B7CDB" w:rsidTr="00901DFE">
        <w:trPr>
          <w:cantSplit/>
          <w:trHeight w:val="335"/>
        </w:trPr>
        <w:tc>
          <w:tcPr>
            <w:tcW w:w="11483" w:type="dxa"/>
            <w:gridSpan w:val="2"/>
            <w:tcBorders>
              <w:bottom w:val="single" w:sz="6" w:space="0" w:color="FF6600"/>
            </w:tcBorders>
            <w:shd w:val="clear" w:color="auto" w:fill="auto"/>
            <w:vAlign w:val="center"/>
          </w:tcPr>
          <w:p w:rsidR="0069249C" w:rsidRPr="005B7CDB" w:rsidRDefault="0069249C" w:rsidP="00517D66">
            <w:pPr>
              <w:pStyle w:val="SubTitleLargeTable"/>
              <w:pBdr>
                <w:top w:val="none" w:sz="0" w:space="0" w:color="auto"/>
              </w:pBdr>
              <w:rPr>
                <w:rFonts w:ascii="楷体" w:eastAsia="楷体" w:hAnsi="楷体"/>
                <w:b w:val="0"/>
              </w:rPr>
            </w:pPr>
            <w:r w:rsidRPr="005B7CDB">
              <w:rPr>
                <w:rFonts w:ascii="楷体" w:eastAsia="楷体" w:hAnsi="楷体"/>
                <w:color w:val="FF6600"/>
              </w:rPr>
              <w:t>图表</w:t>
            </w:r>
            <w:r w:rsidR="00537D72" w:rsidRPr="005B7CDB">
              <w:rPr>
                <w:rFonts w:ascii="楷体" w:eastAsia="楷体" w:hAnsi="楷体" w:hint="eastAsia"/>
                <w:color w:val="FF6600"/>
              </w:rPr>
              <w:t>1</w:t>
            </w:r>
            <w:r w:rsidRPr="005B7CDB">
              <w:rPr>
                <w:rFonts w:ascii="楷体" w:eastAsia="楷体" w:hAnsi="楷体" w:hint="eastAsia"/>
                <w:color w:val="FF6600"/>
              </w:rPr>
              <w:t>：</w:t>
            </w:r>
            <w:r w:rsidR="00B93424" w:rsidRPr="005B7CDB">
              <w:rPr>
                <w:rFonts w:ascii="楷体" w:eastAsia="楷体" w:hAnsi="楷体" w:hint="eastAsia"/>
                <w:color w:val="FF6600"/>
              </w:rPr>
              <w:t>基金</w:t>
            </w:r>
            <w:r w:rsidRPr="005B7CDB">
              <w:rPr>
                <w:rFonts w:ascii="楷体" w:eastAsia="楷体" w:hAnsi="楷体" w:hint="eastAsia"/>
                <w:color w:val="FF6600"/>
              </w:rPr>
              <w:t>行业近期动态及点评</w:t>
            </w:r>
          </w:p>
        </w:tc>
      </w:tr>
      <w:tr w:rsidR="0069249C" w:rsidRPr="005B7CDB" w:rsidTr="00D05CB1">
        <w:trPr>
          <w:cantSplit/>
          <w:trHeight w:val="284"/>
        </w:trPr>
        <w:tc>
          <w:tcPr>
            <w:tcW w:w="5529" w:type="dxa"/>
            <w:tcBorders>
              <w:bottom w:val="single" w:sz="6" w:space="0" w:color="FF6600"/>
              <w:right w:val="single" w:sz="6" w:space="0" w:color="FF6600"/>
            </w:tcBorders>
            <w:shd w:val="clear" w:color="auto" w:fill="FDE9D9" w:themeFill="accent6" w:themeFillTint="33"/>
            <w:vAlign w:val="center"/>
          </w:tcPr>
          <w:p w:rsidR="0069249C" w:rsidRPr="005B7CDB" w:rsidRDefault="0069249C" w:rsidP="00517D66">
            <w:pPr>
              <w:snapToGrid w:val="0"/>
              <w:jc w:val="center"/>
              <w:rPr>
                <w:rFonts w:ascii="楷体" w:eastAsia="楷体" w:hAnsi="楷体"/>
                <w:b/>
                <w:sz w:val="18"/>
                <w:szCs w:val="18"/>
              </w:rPr>
            </w:pPr>
            <w:r w:rsidRPr="005B7CDB">
              <w:rPr>
                <w:rFonts w:ascii="楷体" w:eastAsia="楷体" w:hAnsi="楷体"/>
                <w:b/>
                <w:sz w:val="18"/>
                <w:szCs w:val="18"/>
              </w:rPr>
              <w:t>微新闻</w:t>
            </w:r>
          </w:p>
        </w:tc>
        <w:tc>
          <w:tcPr>
            <w:tcW w:w="5954" w:type="dxa"/>
            <w:tcBorders>
              <w:left w:val="single" w:sz="6" w:space="0" w:color="FF6600"/>
              <w:bottom w:val="single" w:sz="6" w:space="0" w:color="FF6600"/>
            </w:tcBorders>
            <w:shd w:val="clear" w:color="auto" w:fill="FDE9D9" w:themeFill="accent6" w:themeFillTint="33"/>
            <w:vAlign w:val="center"/>
          </w:tcPr>
          <w:p w:rsidR="0069249C" w:rsidRPr="005B7CDB" w:rsidRDefault="0069249C" w:rsidP="00517D66">
            <w:pPr>
              <w:snapToGrid w:val="0"/>
              <w:jc w:val="center"/>
              <w:rPr>
                <w:rFonts w:ascii="楷体" w:eastAsia="楷体" w:hAnsi="楷体"/>
                <w:b/>
                <w:sz w:val="18"/>
                <w:szCs w:val="18"/>
              </w:rPr>
            </w:pPr>
            <w:r w:rsidRPr="005B7CDB">
              <w:rPr>
                <w:rFonts w:ascii="楷体" w:eastAsia="楷体" w:hAnsi="楷体"/>
                <w:b/>
                <w:sz w:val="18"/>
                <w:szCs w:val="18"/>
              </w:rPr>
              <w:t>微点评</w:t>
            </w:r>
          </w:p>
        </w:tc>
      </w:tr>
      <w:tr w:rsidR="00D05CB1" w:rsidRPr="005B7CDB" w:rsidTr="00D05CB1">
        <w:trPr>
          <w:cantSplit/>
          <w:trHeight w:val="284"/>
        </w:trPr>
        <w:tc>
          <w:tcPr>
            <w:tcW w:w="5529" w:type="dxa"/>
            <w:tcBorders>
              <w:right w:val="single" w:sz="6" w:space="0" w:color="FF6600"/>
            </w:tcBorders>
            <w:shd w:val="clear" w:color="auto" w:fill="auto"/>
            <w:vAlign w:val="center"/>
          </w:tcPr>
          <w:p w:rsidR="00D05CB1" w:rsidRPr="00D05CB1" w:rsidRDefault="00D05CB1" w:rsidP="00D05CB1">
            <w:pPr>
              <w:snapToGrid w:val="0"/>
              <w:jc w:val="left"/>
              <w:rPr>
                <w:rFonts w:ascii="楷体" w:eastAsia="楷体" w:hAnsi="楷体"/>
                <w:sz w:val="18"/>
                <w:szCs w:val="18"/>
              </w:rPr>
            </w:pPr>
            <w:r w:rsidRPr="00D05CB1">
              <w:rPr>
                <w:rFonts w:ascii="楷体" w:eastAsia="楷体" w:hAnsi="楷体" w:hint="eastAsia"/>
                <w:sz w:val="18"/>
                <w:szCs w:val="18"/>
              </w:rPr>
              <w:t>证监会新闻发言人邓舸6日表示，证监会将在《基金法》等法律法规范围内大力支持公</w:t>
            </w:r>
            <w:proofErr w:type="gramStart"/>
            <w:r w:rsidRPr="00D05CB1">
              <w:rPr>
                <w:rFonts w:ascii="楷体" w:eastAsia="楷体" w:hAnsi="楷体" w:hint="eastAsia"/>
                <w:sz w:val="18"/>
                <w:szCs w:val="18"/>
              </w:rPr>
              <w:t>募基金</w:t>
            </w:r>
            <w:proofErr w:type="gramEnd"/>
            <w:r w:rsidRPr="00D05CB1">
              <w:rPr>
                <w:rFonts w:ascii="楷体" w:eastAsia="楷体" w:hAnsi="楷体" w:hint="eastAsia"/>
                <w:sz w:val="18"/>
                <w:szCs w:val="18"/>
              </w:rPr>
              <w:t>创新发展，在风险可控前提下不断丰富基金品种、拓展基金投资范围。</w:t>
            </w:r>
          </w:p>
        </w:tc>
        <w:tc>
          <w:tcPr>
            <w:tcW w:w="5954" w:type="dxa"/>
            <w:tcBorders>
              <w:left w:val="single" w:sz="6" w:space="0" w:color="FF6600"/>
            </w:tcBorders>
            <w:shd w:val="clear" w:color="auto" w:fill="auto"/>
            <w:vAlign w:val="center"/>
          </w:tcPr>
          <w:p w:rsidR="00D05CB1" w:rsidRPr="00D05CB1" w:rsidRDefault="00D05CB1" w:rsidP="00D05CB1">
            <w:pPr>
              <w:snapToGrid w:val="0"/>
              <w:jc w:val="left"/>
              <w:rPr>
                <w:rFonts w:ascii="楷体" w:eastAsia="楷体" w:hAnsi="楷体"/>
                <w:sz w:val="18"/>
                <w:szCs w:val="18"/>
              </w:rPr>
            </w:pPr>
            <w:r w:rsidRPr="00D05CB1">
              <w:rPr>
                <w:rFonts w:ascii="楷体" w:eastAsia="楷体" w:hAnsi="楷体" w:hint="eastAsia"/>
                <w:sz w:val="18"/>
                <w:szCs w:val="18"/>
              </w:rPr>
              <w:t>公</w:t>
            </w:r>
            <w:proofErr w:type="gramStart"/>
            <w:r w:rsidRPr="00D05CB1">
              <w:rPr>
                <w:rFonts w:ascii="楷体" w:eastAsia="楷体" w:hAnsi="楷体" w:hint="eastAsia"/>
                <w:sz w:val="18"/>
                <w:szCs w:val="18"/>
              </w:rPr>
              <w:t>募基金</w:t>
            </w:r>
            <w:proofErr w:type="gramEnd"/>
            <w:r w:rsidRPr="00D05CB1">
              <w:rPr>
                <w:rFonts w:ascii="楷体" w:eastAsia="楷体" w:hAnsi="楷体" w:hint="eastAsia"/>
                <w:sz w:val="18"/>
                <w:szCs w:val="18"/>
              </w:rPr>
              <w:t>投资范围有望进一步拓宽</w:t>
            </w:r>
            <w:proofErr w:type="gramStart"/>
            <w:r w:rsidRPr="00D05CB1">
              <w:rPr>
                <w:rFonts w:ascii="楷体" w:eastAsia="楷体" w:hAnsi="楷体" w:hint="eastAsia"/>
                <w:sz w:val="18"/>
                <w:szCs w:val="18"/>
              </w:rPr>
              <w:t>至传统</w:t>
            </w:r>
            <w:proofErr w:type="gramEnd"/>
            <w:r w:rsidRPr="00D05CB1">
              <w:rPr>
                <w:rFonts w:ascii="楷体" w:eastAsia="楷体" w:hAnsi="楷体" w:hint="eastAsia"/>
                <w:sz w:val="18"/>
                <w:szCs w:val="18"/>
              </w:rPr>
              <w:t>二级市场以外的领域。</w:t>
            </w:r>
          </w:p>
        </w:tc>
      </w:tr>
      <w:tr w:rsidR="00884478" w:rsidRPr="005B7CDB" w:rsidTr="00D05CB1">
        <w:trPr>
          <w:cantSplit/>
          <w:trHeight w:val="284"/>
        </w:trPr>
        <w:tc>
          <w:tcPr>
            <w:tcW w:w="5529" w:type="dxa"/>
            <w:tcBorders>
              <w:right w:val="single" w:sz="6" w:space="0" w:color="FF6600"/>
            </w:tcBorders>
            <w:shd w:val="clear" w:color="auto" w:fill="auto"/>
            <w:vAlign w:val="center"/>
          </w:tcPr>
          <w:p w:rsidR="00884478" w:rsidRPr="00884478" w:rsidRDefault="00F57D4F" w:rsidP="00EA68E0">
            <w:pPr>
              <w:snapToGrid w:val="0"/>
              <w:jc w:val="left"/>
              <w:rPr>
                <w:rFonts w:ascii="楷体" w:eastAsia="楷体" w:hAnsi="楷体"/>
                <w:sz w:val="18"/>
                <w:szCs w:val="18"/>
              </w:rPr>
            </w:pPr>
            <w:r w:rsidRPr="00F57D4F">
              <w:rPr>
                <w:rFonts w:ascii="楷体" w:eastAsia="楷体" w:hAnsi="楷体" w:hint="eastAsia"/>
                <w:sz w:val="18"/>
                <w:szCs w:val="18"/>
              </w:rPr>
              <w:t>今年以来基金经理变更潮格外汹涌。证监会网站公布信息显示，截至今年6月7日，年内已经发生364起基金经理变更，而去年全年发生的基金经理变更一共才589起。</w:t>
            </w:r>
          </w:p>
        </w:tc>
        <w:tc>
          <w:tcPr>
            <w:tcW w:w="5954" w:type="dxa"/>
            <w:tcBorders>
              <w:left w:val="single" w:sz="6" w:space="0" w:color="FF6600"/>
            </w:tcBorders>
            <w:shd w:val="clear" w:color="auto" w:fill="auto"/>
            <w:vAlign w:val="center"/>
          </w:tcPr>
          <w:p w:rsidR="00884478" w:rsidRPr="00884478" w:rsidRDefault="00F57D4F" w:rsidP="00D05CB1">
            <w:pPr>
              <w:snapToGrid w:val="0"/>
              <w:jc w:val="left"/>
              <w:rPr>
                <w:rFonts w:ascii="楷体" w:eastAsia="楷体" w:hAnsi="楷体"/>
                <w:sz w:val="18"/>
                <w:szCs w:val="18"/>
              </w:rPr>
            </w:pPr>
            <w:r w:rsidRPr="00F57D4F">
              <w:rPr>
                <w:rFonts w:ascii="楷体" w:eastAsia="楷体" w:hAnsi="楷体" w:hint="eastAsia"/>
                <w:sz w:val="18"/>
                <w:szCs w:val="18"/>
              </w:rPr>
              <w:t>老基金经理大批量离职，为应对人手紧缺的现状，基金公司只好让老基金经理一拖多，或者提携大批新手上任。在国外，基金经理被视为“银发行业”，管理年限10</w:t>
            </w:r>
            <w:r w:rsidR="00D05CB1">
              <w:rPr>
                <w:rFonts w:ascii="楷体" w:eastAsia="楷体" w:hAnsi="楷体" w:hint="eastAsia"/>
                <w:sz w:val="18"/>
                <w:szCs w:val="18"/>
              </w:rPr>
              <w:t>年以上才是优秀的。但</w:t>
            </w:r>
            <w:r w:rsidRPr="00F57D4F">
              <w:rPr>
                <w:rFonts w:ascii="楷体" w:eastAsia="楷体" w:hAnsi="楷体" w:hint="eastAsia"/>
                <w:sz w:val="18"/>
                <w:szCs w:val="18"/>
              </w:rPr>
              <w:t>在我国，基金经理却不断年轻化。</w:t>
            </w:r>
          </w:p>
        </w:tc>
      </w:tr>
    </w:tbl>
    <w:p w:rsidR="0069249C" w:rsidRPr="005B7CDB" w:rsidRDefault="0069249C" w:rsidP="0069249C">
      <w:pPr>
        <w:pStyle w:val="FootnoteNoline"/>
        <w:ind w:left="0"/>
        <w:rPr>
          <w:rFonts w:ascii="楷体" w:eastAsia="楷体" w:hAnsi="楷体"/>
          <w:color w:val="FF6600"/>
          <w:lang w:val="en-US"/>
        </w:rPr>
      </w:pPr>
      <w:r w:rsidRPr="005B7CDB">
        <w:rPr>
          <w:rFonts w:ascii="楷体" w:eastAsia="楷体" w:hAnsi="楷体" w:hint="eastAsia"/>
          <w:color w:val="FF6600"/>
          <w:lang w:val="en-US"/>
        </w:rPr>
        <w:t>来源：</w:t>
      </w:r>
      <w:proofErr w:type="gramStart"/>
      <w:r w:rsidRPr="005B7CDB">
        <w:rPr>
          <w:rFonts w:ascii="楷体" w:eastAsia="楷体" w:hAnsi="楷体" w:hint="eastAsia"/>
          <w:color w:val="FF6600"/>
          <w:lang w:val="en-US"/>
        </w:rPr>
        <w:t>凯</w:t>
      </w:r>
      <w:proofErr w:type="gramEnd"/>
      <w:r w:rsidRPr="005B7CDB">
        <w:rPr>
          <w:rFonts w:ascii="楷体" w:eastAsia="楷体" w:hAnsi="楷体" w:hint="eastAsia"/>
          <w:color w:val="FF6600"/>
          <w:lang w:val="en-US"/>
        </w:rPr>
        <w:t>石财富工场</w:t>
      </w:r>
    </w:p>
    <w:p w:rsidR="00026FF9" w:rsidRPr="005B7CDB" w:rsidRDefault="000D4A66" w:rsidP="006A5488">
      <w:pPr>
        <w:widowControl/>
        <w:spacing w:after="120"/>
        <w:ind w:left="3430"/>
        <w:rPr>
          <w:rFonts w:ascii="楷体" w:eastAsia="楷体" w:hAnsi="楷体" w:cs="Times New Roman"/>
          <w:b/>
          <w:bCs/>
          <w:color w:val="0070C0"/>
          <w:kern w:val="0"/>
          <w:sz w:val="24"/>
          <w:szCs w:val="20"/>
          <w:lang w:val="en-GB"/>
        </w:rPr>
      </w:pPr>
      <w:r w:rsidRPr="005B7CDB">
        <w:rPr>
          <w:rFonts w:ascii="楷体" w:eastAsia="楷体" w:hAnsi="楷体" w:hint="eastAsia"/>
          <w:b/>
          <w:bCs/>
          <w:color w:val="0070C0"/>
          <w:kern w:val="0"/>
          <w:sz w:val="24"/>
          <w:szCs w:val="20"/>
          <w:lang w:val="en-GB"/>
        </w:rPr>
        <w:t>公</w:t>
      </w:r>
      <w:proofErr w:type="gramStart"/>
      <w:r w:rsidRPr="005B7CDB">
        <w:rPr>
          <w:rFonts w:ascii="楷体" w:eastAsia="楷体" w:hAnsi="楷体" w:hint="eastAsia"/>
          <w:b/>
          <w:bCs/>
          <w:color w:val="0070C0"/>
          <w:kern w:val="0"/>
          <w:sz w:val="24"/>
          <w:szCs w:val="20"/>
          <w:lang w:val="en-GB"/>
        </w:rPr>
        <w:t>募</w:t>
      </w:r>
      <w:r w:rsidR="0062314B" w:rsidRPr="005B7CDB">
        <w:rPr>
          <w:rFonts w:ascii="楷体" w:eastAsia="楷体" w:hAnsi="楷体" w:hint="eastAsia"/>
          <w:b/>
          <w:bCs/>
          <w:color w:val="0070C0"/>
          <w:kern w:val="0"/>
          <w:sz w:val="24"/>
          <w:szCs w:val="20"/>
          <w:lang w:val="en-GB"/>
        </w:rPr>
        <w:t>基金</w:t>
      </w:r>
      <w:proofErr w:type="gramEnd"/>
      <w:r w:rsidR="0062314B" w:rsidRPr="005B7CDB">
        <w:rPr>
          <w:rFonts w:ascii="楷体" w:eastAsia="楷体" w:hAnsi="楷体" w:hint="eastAsia"/>
          <w:b/>
          <w:bCs/>
          <w:color w:val="0070C0"/>
          <w:kern w:val="0"/>
          <w:sz w:val="24"/>
          <w:szCs w:val="20"/>
          <w:lang w:val="en-GB"/>
        </w:rPr>
        <w:t>一周业绩</w:t>
      </w:r>
      <w:r w:rsidR="00060829" w:rsidRPr="005B7CDB">
        <w:rPr>
          <w:rFonts w:ascii="楷体" w:eastAsia="楷体" w:hAnsi="楷体" w:hint="eastAsia"/>
          <w:b/>
          <w:bCs/>
          <w:color w:val="0070C0"/>
          <w:kern w:val="0"/>
          <w:sz w:val="24"/>
          <w:szCs w:val="20"/>
          <w:lang w:val="en-GB"/>
        </w:rPr>
        <w:t>：</w:t>
      </w:r>
    </w:p>
    <w:p w:rsidR="00B10000" w:rsidRPr="005B7CDB" w:rsidRDefault="00E02B7C" w:rsidP="00CB1BC1">
      <w:pPr>
        <w:widowControl/>
        <w:spacing w:after="120"/>
        <w:ind w:left="3430"/>
        <w:rPr>
          <w:rFonts w:ascii="楷体" w:eastAsia="楷体" w:hAnsi="楷体"/>
          <w:b/>
          <w:bCs/>
          <w:color w:val="0070C0"/>
          <w:kern w:val="0"/>
          <w:szCs w:val="21"/>
          <w:lang w:val="en-GB"/>
        </w:rPr>
      </w:pPr>
      <w:r w:rsidRPr="005B7CDB">
        <w:rPr>
          <w:rFonts w:ascii="楷体" w:eastAsia="楷体" w:hAnsi="楷体" w:hint="eastAsia"/>
          <w:b/>
          <w:bCs/>
          <w:color w:val="0070C0"/>
          <w:kern w:val="0"/>
          <w:szCs w:val="21"/>
          <w:lang w:val="en-GB"/>
        </w:rPr>
        <w:t>国内外股市</w:t>
      </w:r>
      <w:r w:rsidR="0062314B" w:rsidRPr="005B7CDB">
        <w:rPr>
          <w:rFonts w:ascii="楷体" w:eastAsia="楷体" w:hAnsi="楷体" w:hint="eastAsia"/>
          <w:b/>
          <w:bCs/>
          <w:color w:val="0070C0"/>
          <w:kern w:val="0"/>
          <w:szCs w:val="21"/>
          <w:lang w:val="en-GB"/>
        </w:rPr>
        <w:t>一周表现：</w:t>
      </w:r>
      <w:r w:rsidR="004E462D">
        <w:rPr>
          <w:rFonts w:ascii="楷体" w:eastAsia="楷体" w:hAnsi="楷体" w:hint="eastAsia"/>
          <w:b/>
          <w:bCs/>
          <w:color w:val="0070C0"/>
          <w:kern w:val="0"/>
          <w:szCs w:val="21"/>
          <w:lang w:val="en-GB"/>
        </w:rPr>
        <w:t>市场风格分化，</w:t>
      </w:r>
      <w:proofErr w:type="gramStart"/>
      <w:r w:rsidR="004E462D">
        <w:rPr>
          <w:rFonts w:ascii="楷体" w:eastAsia="楷体" w:hAnsi="楷体" w:hint="eastAsia"/>
          <w:b/>
          <w:bCs/>
          <w:color w:val="0070C0"/>
          <w:kern w:val="0"/>
          <w:szCs w:val="21"/>
          <w:lang w:val="en-GB"/>
        </w:rPr>
        <w:t>海外涨</w:t>
      </w:r>
      <w:proofErr w:type="gramEnd"/>
      <w:r w:rsidR="004E462D">
        <w:rPr>
          <w:rFonts w:ascii="楷体" w:eastAsia="楷体" w:hAnsi="楷体" w:hint="eastAsia"/>
          <w:b/>
          <w:bCs/>
          <w:color w:val="0070C0"/>
          <w:kern w:val="0"/>
          <w:szCs w:val="21"/>
          <w:lang w:val="en-GB"/>
        </w:rPr>
        <w:t>声一片</w:t>
      </w:r>
    </w:p>
    <w:p w:rsidR="00B10000" w:rsidRPr="00C41ED1" w:rsidRDefault="00343D07" w:rsidP="008148DF">
      <w:pPr>
        <w:pStyle w:val="ab"/>
        <w:numPr>
          <w:ilvl w:val="4"/>
          <w:numId w:val="1"/>
        </w:numPr>
        <w:spacing w:after="163"/>
        <w:rPr>
          <w:szCs w:val="21"/>
        </w:rPr>
      </w:pPr>
      <w:r w:rsidRPr="00C41ED1">
        <w:rPr>
          <w:rFonts w:hint="eastAsia"/>
          <w:szCs w:val="21"/>
        </w:rPr>
        <w:t>端午小长假后第一周</w:t>
      </w:r>
      <w:r w:rsidR="00073843" w:rsidRPr="00C41ED1">
        <w:rPr>
          <w:rFonts w:hint="eastAsia"/>
          <w:szCs w:val="21"/>
        </w:rPr>
        <w:t>（</w:t>
      </w:r>
      <w:r w:rsidRPr="00C41ED1">
        <w:rPr>
          <w:rFonts w:hint="eastAsia"/>
          <w:szCs w:val="21"/>
        </w:rPr>
        <w:t>2014.06.03</w:t>
      </w:r>
      <w:r w:rsidR="00073843" w:rsidRPr="00C41ED1">
        <w:rPr>
          <w:rFonts w:hint="eastAsia"/>
          <w:szCs w:val="21"/>
        </w:rPr>
        <w:t>~</w:t>
      </w:r>
      <w:r w:rsidRPr="00C41ED1">
        <w:rPr>
          <w:rFonts w:hint="eastAsia"/>
          <w:szCs w:val="21"/>
        </w:rPr>
        <w:t>2014.06.06</w:t>
      </w:r>
      <w:r w:rsidR="00073843" w:rsidRPr="00C41ED1">
        <w:rPr>
          <w:rFonts w:hint="eastAsia"/>
          <w:szCs w:val="21"/>
        </w:rPr>
        <w:t>）</w:t>
      </w:r>
      <w:r w:rsidRPr="00C41ED1">
        <w:rPr>
          <w:rFonts w:hint="eastAsia"/>
          <w:szCs w:val="21"/>
        </w:rPr>
        <w:t>只有</w:t>
      </w:r>
      <w:r w:rsidRPr="00C41ED1">
        <w:rPr>
          <w:rFonts w:hint="eastAsia"/>
          <w:szCs w:val="21"/>
        </w:rPr>
        <w:t>4</w:t>
      </w:r>
      <w:r w:rsidRPr="00C41ED1">
        <w:rPr>
          <w:rFonts w:hint="eastAsia"/>
          <w:szCs w:val="21"/>
        </w:rPr>
        <w:t>个工作日，</w:t>
      </w:r>
      <w:r w:rsidR="004400BA">
        <w:rPr>
          <w:rFonts w:hint="eastAsia"/>
          <w:szCs w:val="21"/>
        </w:rPr>
        <w:t>经济</w:t>
      </w:r>
      <w:r w:rsidR="004400BA">
        <w:rPr>
          <w:rFonts w:cs="Arial"/>
        </w:rPr>
        <w:t>基本面虽有好转，奈何房地</w:t>
      </w:r>
      <w:proofErr w:type="gramStart"/>
      <w:r w:rsidR="004400BA">
        <w:rPr>
          <w:rFonts w:cs="Arial"/>
        </w:rPr>
        <w:t>产量价</w:t>
      </w:r>
      <w:proofErr w:type="gramEnd"/>
      <w:r w:rsidR="004400BA">
        <w:rPr>
          <w:rFonts w:cs="Arial"/>
        </w:rPr>
        <w:t>齐跌引发投资者对支柱产业的担忧，权重股持续低迷；全周</w:t>
      </w:r>
      <w:r w:rsidR="00C41ED1" w:rsidRPr="00C41ED1">
        <w:rPr>
          <w:rFonts w:hint="eastAsia"/>
          <w:szCs w:val="21"/>
        </w:rPr>
        <w:t>市场延续震荡下跌，风格继续分化：沪指徘徊在</w:t>
      </w:r>
      <w:r w:rsidR="00C41ED1">
        <w:rPr>
          <w:rFonts w:hint="eastAsia"/>
          <w:szCs w:val="21"/>
        </w:rPr>
        <w:t>2000~2050</w:t>
      </w:r>
      <w:r w:rsidR="00C41ED1">
        <w:rPr>
          <w:rFonts w:hint="eastAsia"/>
          <w:szCs w:val="21"/>
        </w:rPr>
        <w:t>点区间，截至周五报收于</w:t>
      </w:r>
      <w:r w:rsidR="00C41ED1">
        <w:rPr>
          <w:rFonts w:hint="eastAsia"/>
          <w:szCs w:val="21"/>
        </w:rPr>
        <w:t>2029.96</w:t>
      </w:r>
      <w:r w:rsidR="00C41ED1">
        <w:rPr>
          <w:rFonts w:hint="eastAsia"/>
          <w:szCs w:val="21"/>
        </w:rPr>
        <w:t>点跌</w:t>
      </w:r>
      <w:r w:rsidR="00C41ED1">
        <w:rPr>
          <w:rFonts w:hint="eastAsia"/>
          <w:szCs w:val="21"/>
        </w:rPr>
        <w:t>0.45%</w:t>
      </w:r>
      <w:r w:rsidR="00C41ED1">
        <w:rPr>
          <w:rFonts w:hint="eastAsia"/>
          <w:szCs w:val="21"/>
        </w:rPr>
        <w:t>，代表大</w:t>
      </w:r>
      <w:proofErr w:type="gramStart"/>
      <w:r w:rsidR="00C41ED1">
        <w:rPr>
          <w:rFonts w:hint="eastAsia"/>
          <w:szCs w:val="21"/>
        </w:rPr>
        <w:t>中盘指数</w:t>
      </w:r>
      <w:proofErr w:type="gramEnd"/>
      <w:r w:rsidR="00C41ED1">
        <w:rPr>
          <w:rFonts w:hint="eastAsia"/>
          <w:szCs w:val="21"/>
        </w:rPr>
        <w:t>的</w:t>
      </w:r>
      <w:r w:rsidR="007D6D1A" w:rsidRPr="00C41ED1">
        <w:rPr>
          <w:rFonts w:hint="eastAsia"/>
          <w:szCs w:val="21"/>
        </w:rPr>
        <w:t>沪深</w:t>
      </w:r>
      <w:r w:rsidR="007D6D1A" w:rsidRPr="00C41ED1">
        <w:rPr>
          <w:rFonts w:hint="eastAsia"/>
          <w:szCs w:val="21"/>
        </w:rPr>
        <w:t>300</w:t>
      </w:r>
      <w:r w:rsidR="00C41ED1">
        <w:rPr>
          <w:rFonts w:hint="eastAsia"/>
          <w:szCs w:val="21"/>
        </w:rPr>
        <w:t>、中证</w:t>
      </w:r>
      <w:r w:rsidR="00C41ED1">
        <w:rPr>
          <w:rFonts w:hint="eastAsia"/>
          <w:szCs w:val="21"/>
        </w:rPr>
        <w:t>500</w:t>
      </w:r>
      <w:r w:rsidR="00C41ED1">
        <w:rPr>
          <w:rFonts w:hint="eastAsia"/>
          <w:szCs w:val="21"/>
        </w:rPr>
        <w:t>周跌</w:t>
      </w:r>
      <w:r w:rsidR="00C41ED1">
        <w:rPr>
          <w:rFonts w:hint="eastAsia"/>
          <w:szCs w:val="21"/>
        </w:rPr>
        <w:t>1.01</w:t>
      </w:r>
      <w:r w:rsidR="007D6D1A" w:rsidRPr="00C41ED1">
        <w:rPr>
          <w:rFonts w:hint="eastAsia"/>
          <w:szCs w:val="21"/>
        </w:rPr>
        <w:t>%</w:t>
      </w:r>
      <w:r w:rsidR="00C41ED1">
        <w:rPr>
          <w:rFonts w:hint="eastAsia"/>
          <w:szCs w:val="21"/>
        </w:rPr>
        <w:t>、</w:t>
      </w:r>
      <w:r w:rsidR="00C41ED1">
        <w:rPr>
          <w:rFonts w:hint="eastAsia"/>
          <w:szCs w:val="21"/>
        </w:rPr>
        <w:t>0.28%</w:t>
      </w:r>
      <w:r w:rsidR="00C41ED1">
        <w:rPr>
          <w:rFonts w:hint="eastAsia"/>
          <w:szCs w:val="21"/>
        </w:rPr>
        <w:t>；而创业板指保持此前的上行势头，周涨幅</w:t>
      </w:r>
      <w:r w:rsidR="00C41ED1">
        <w:rPr>
          <w:rFonts w:hint="eastAsia"/>
          <w:szCs w:val="21"/>
        </w:rPr>
        <w:t>2.45</w:t>
      </w:r>
      <w:r w:rsidR="00BE087A" w:rsidRPr="00C41ED1">
        <w:rPr>
          <w:rFonts w:hint="eastAsia"/>
          <w:szCs w:val="21"/>
        </w:rPr>
        <w:t>%</w:t>
      </w:r>
      <w:r w:rsidR="00C41ED1">
        <w:rPr>
          <w:rFonts w:hint="eastAsia"/>
          <w:szCs w:val="21"/>
        </w:rPr>
        <w:t>。</w:t>
      </w:r>
      <w:r w:rsidR="00E603DA" w:rsidRPr="00C41ED1">
        <w:rPr>
          <w:rFonts w:hint="eastAsia"/>
          <w:szCs w:val="21"/>
        </w:rPr>
        <w:t>29</w:t>
      </w:r>
      <w:r w:rsidR="00E603DA" w:rsidRPr="00C41ED1">
        <w:rPr>
          <w:rFonts w:hint="eastAsia"/>
          <w:szCs w:val="21"/>
        </w:rPr>
        <w:t>个中信</w:t>
      </w:r>
      <w:proofErr w:type="gramStart"/>
      <w:r w:rsidR="00E603DA" w:rsidRPr="00C41ED1">
        <w:rPr>
          <w:rFonts w:hint="eastAsia"/>
          <w:szCs w:val="21"/>
        </w:rPr>
        <w:t>一级行业</w:t>
      </w:r>
      <w:proofErr w:type="gramEnd"/>
      <w:r w:rsidR="004400BA">
        <w:rPr>
          <w:rFonts w:hint="eastAsia"/>
          <w:szCs w:val="21"/>
        </w:rPr>
        <w:t>仅少数上涨</w:t>
      </w:r>
      <w:r w:rsidR="002D26EA" w:rsidRPr="00C41ED1">
        <w:rPr>
          <w:rFonts w:hint="eastAsia"/>
          <w:szCs w:val="21"/>
        </w:rPr>
        <w:t>，</w:t>
      </w:r>
      <w:r w:rsidR="004400BA">
        <w:rPr>
          <w:rFonts w:hint="eastAsia"/>
          <w:szCs w:val="21"/>
        </w:rPr>
        <w:t>传媒板块一枝独秀，周涨幅达到</w:t>
      </w:r>
      <w:r w:rsidR="004400BA">
        <w:rPr>
          <w:rFonts w:hint="eastAsia"/>
          <w:szCs w:val="21"/>
        </w:rPr>
        <w:t>4.87%</w:t>
      </w:r>
      <w:r w:rsidR="004400BA">
        <w:rPr>
          <w:rFonts w:hint="eastAsia"/>
          <w:szCs w:val="21"/>
        </w:rPr>
        <w:t>，其余皆不超过</w:t>
      </w:r>
      <w:r w:rsidR="004400BA">
        <w:rPr>
          <w:rFonts w:hint="eastAsia"/>
          <w:szCs w:val="21"/>
        </w:rPr>
        <w:t>1%</w:t>
      </w:r>
      <w:r w:rsidR="004400BA">
        <w:rPr>
          <w:rFonts w:hint="eastAsia"/>
          <w:szCs w:val="21"/>
        </w:rPr>
        <w:t>。</w:t>
      </w:r>
    </w:p>
    <w:p w:rsidR="00E02B7C" w:rsidRPr="00C41ED1" w:rsidRDefault="005C43D1" w:rsidP="002919F1">
      <w:pPr>
        <w:pStyle w:val="ab"/>
        <w:numPr>
          <w:ilvl w:val="4"/>
          <w:numId w:val="1"/>
        </w:numPr>
        <w:spacing w:after="163"/>
        <w:rPr>
          <w:szCs w:val="21"/>
        </w:rPr>
      </w:pPr>
      <w:r w:rsidRPr="00C41ED1">
        <w:rPr>
          <w:rFonts w:hint="eastAsia"/>
          <w:szCs w:val="21"/>
        </w:rPr>
        <w:t>海外市场方面</w:t>
      </w:r>
      <w:r w:rsidR="00D7627F" w:rsidRPr="00C41ED1">
        <w:rPr>
          <w:rFonts w:hint="eastAsia"/>
          <w:szCs w:val="21"/>
        </w:rPr>
        <w:t>（</w:t>
      </w:r>
      <w:r w:rsidR="00915428" w:rsidRPr="00C41ED1">
        <w:rPr>
          <w:rFonts w:hint="eastAsia"/>
          <w:szCs w:val="21"/>
        </w:rPr>
        <w:t>2014.05.30</w:t>
      </w:r>
      <w:r w:rsidR="00D7627F" w:rsidRPr="00C41ED1">
        <w:rPr>
          <w:rFonts w:hint="eastAsia"/>
          <w:szCs w:val="21"/>
        </w:rPr>
        <w:t>~</w:t>
      </w:r>
      <w:r w:rsidR="00915428" w:rsidRPr="00C41ED1">
        <w:rPr>
          <w:rFonts w:hint="eastAsia"/>
          <w:szCs w:val="21"/>
        </w:rPr>
        <w:t>2014.06.0</w:t>
      </w:r>
      <w:r w:rsidR="00860492" w:rsidRPr="00C41ED1">
        <w:rPr>
          <w:rFonts w:hint="eastAsia"/>
          <w:szCs w:val="21"/>
        </w:rPr>
        <w:t>5</w:t>
      </w:r>
      <w:r w:rsidR="00D7627F" w:rsidRPr="00C41ED1">
        <w:rPr>
          <w:rFonts w:hint="eastAsia"/>
          <w:szCs w:val="21"/>
        </w:rPr>
        <w:t>）</w:t>
      </w:r>
      <w:r w:rsidR="00354C5A">
        <w:rPr>
          <w:rFonts w:hint="eastAsia"/>
          <w:szCs w:val="21"/>
        </w:rPr>
        <w:t>，</w:t>
      </w:r>
      <w:r w:rsidR="008E41E5">
        <w:rPr>
          <w:rFonts w:hint="eastAsia"/>
          <w:szCs w:val="21"/>
        </w:rPr>
        <w:t>美股</w:t>
      </w:r>
      <w:r w:rsidR="00846399" w:rsidRPr="00C41ED1">
        <w:rPr>
          <w:rFonts w:hint="eastAsia"/>
          <w:szCs w:val="21"/>
        </w:rPr>
        <w:t>连续走高</w:t>
      </w:r>
      <w:r w:rsidR="008E41E5">
        <w:rPr>
          <w:rFonts w:hint="eastAsia"/>
          <w:szCs w:val="21"/>
        </w:rPr>
        <w:t>，新兴市场亦表现强势</w:t>
      </w:r>
      <w:r w:rsidR="00620E33" w:rsidRPr="00C41ED1">
        <w:rPr>
          <w:rFonts w:hint="eastAsia"/>
          <w:szCs w:val="21"/>
        </w:rPr>
        <w:t>。美国劳工部公布</w:t>
      </w:r>
      <w:r w:rsidR="00846399" w:rsidRPr="00C41ED1">
        <w:rPr>
          <w:rFonts w:hint="eastAsia"/>
          <w:szCs w:val="21"/>
        </w:rPr>
        <w:t>，</w:t>
      </w:r>
      <w:r w:rsidR="00846399" w:rsidRPr="00C41ED1">
        <w:rPr>
          <w:rFonts w:hint="eastAsia"/>
          <w:szCs w:val="21"/>
        </w:rPr>
        <w:t>5</w:t>
      </w:r>
      <w:r w:rsidR="00846399" w:rsidRPr="00C41ED1">
        <w:rPr>
          <w:rFonts w:hint="eastAsia"/>
          <w:szCs w:val="21"/>
        </w:rPr>
        <w:t>月份美国非农就业人数增加</w:t>
      </w:r>
      <w:r w:rsidR="00846399" w:rsidRPr="00C41ED1">
        <w:rPr>
          <w:rFonts w:hint="eastAsia"/>
          <w:szCs w:val="21"/>
        </w:rPr>
        <w:t>21.7</w:t>
      </w:r>
      <w:r w:rsidR="00620E33" w:rsidRPr="00C41ED1">
        <w:rPr>
          <w:rFonts w:hint="eastAsia"/>
          <w:szCs w:val="21"/>
        </w:rPr>
        <w:t>万，失业率</w:t>
      </w:r>
      <w:r w:rsidR="00846399" w:rsidRPr="00C41ED1">
        <w:rPr>
          <w:rFonts w:hint="eastAsia"/>
          <w:szCs w:val="21"/>
        </w:rPr>
        <w:t>维持在</w:t>
      </w:r>
      <w:r w:rsidR="00846399" w:rsidRPr="00C41ED1">
        <w:rPr>
          <w:rFonts w:hint="eastAsia"/>
          <w:szCs w:val="21"/>
        </w:rPr>
        <w:t>6.3%</w:t>
      </w:r>
      <w:r w:rsidR="00846399" w:rsidRPr="00C41ED1">
        <w:rPr>
          <w:rFonts w:hint="eastAsia"/>
          <w:szCs w:val="21"/>
        </w:rPr>
        <w:t>不变</w:t>
      </w:r>
      <w:r w:rsidR="00620E33" w:rsidRPr="00C41ED1">
        <w:rPr>
          <w:rFonts w:hint="eastAsia"/>
          <w:szCs w:val="21"/>
        </w:rPr>
        <w:t>。美非农就业总量已超越衰退之前的水平，意味着大衰退导致的</w:t>
      </w:r>
      <w:r w:rsidR="00620E33" w:rsidRPr="00C41ED1">
        <w:rPr>
          <w:rFonts w:hint="eastAsia"/>
          <w:szCs w:val="21"/>
        </w:rPr>
        <w:t>870</w:t>
      </w:r>
      <w:r w:rsidR="00620E33" w:rsidRPr="00C41ED1">
        <w:rPr>
          <w:rFonts w:hint="eastAsia"/>
          <w:szCs w:val="21"/>
        </w:rPr>
        <w:t>万流失就业被悉数收复，美国经济已摆脱冬季的低迷</w:t>
      </w:r>
      <w:r w:rsidR="00846399" w:rsidRPr="00C41ED1">
        <w:rPr>
          <w:rFonts w:hint="eastAsia"/>
          <w:szCs w:val="21"/>
        </w:rPr>
        <w:t>。欧洲央行上周四宣布将基准的主要再融资利率下调</w:t>
      </w:r>
      <w:r w:rsidR="00846399" w:rsidRPr="00C41ED1">
        <w:rPr>
          <w:rFonts w:hint="eastAsia"/>
          <w:szCs w:val="21"/>
        </w:rPr>
        <w:t>10</w:t>
      </w:r>
      <w:r w:rsidR="00846399" w:rsidRPr="00C41ED1">
        <w:rPr>
          <w:rFonts w:hint="eastAsia"/>
          <w:szCs w:val="21"/>
        </w:rPr>
        <w:t>个基点至</w:t>
      </w:r>
      <w:r w:rsidR="00846399" w:rsidRPr="00C41ED1">
        <w:rPr>
          <w:rFonts w:hint="eastAsia"/>
          <w:szCs w:val="21"/>
        </w:rPr>
        <w:t>0.15%</w:t>
      </w:r>
      <w:r w:rsidR="00846399" w:rsidRPr="00C41ED1">
        <w:rPr>
          <w:rFonts w:hint="eastAsia"/>
          <w:szCs w:val="21"/>
        </w:rPr>
        <w:t>，将隔夜存款利率由此前的零降至</w:t>
      </w:r>
      <w:r w:rsidR="00846399" w:rsidRPr="00C41ED1">
        <w:rPr>
          <w:rFonts w:hint="eastAsia"/>
          <w:szCs w:val="21"/>
        </w:rPr>
        <w:t>-0.1%</w:t>
      </w:r>
      <w:r w:rsidR="00846399" w:rsidRPr="00C41ED1">
        <w:rPr>
          <w:rFonts w:hint="eastAsia"/>
          <w:szCs w:val="21"/>
        </w:rPr>
        <w:t>，标志着欧元区正式迎来负利率时代。欧央行行长德拉吉随后表示出台一系列宽松措施。此次货币政策会议使得美股大涨、欧洲股市应声反弹。</w:t>
      </w:r>
      <w:r w:rsidR="008E41E5" w:rsidRPr="008E41E5">
        <w:rPr>
          <w:rFonts w:hint="eastAsia"/>
          <w:szCs w:val="21"/>
        </w:rPr>
        <w:t>新兴市场</w:t>
      </w:r>
      <w:r w:rsidR="008E41E5">
        <w:rPr>
          <w:rFonts w:hint="eastAsia"/>
          <w:szCs w:val="21"/>
        </w:rPr>
        <w:t>方面，</w:t>
      </w:r>
      <w:r w:rsidR="008E41E5" w:rsidRPr="008E41E5">
        <w:rPr>
          <w:rFonts w:hint="eastAsia"/>
          <w:szCs w:val="21"/>
        </w:rPr>
        <w:t>印度</w:t>
      </w:r>
      <w:r w:rsidR="008E41E5">
        <w:rPr>
          <w:rFonts w:hint="eastAsia"/>
          <w:szCs w:val="21"/>
        </w:rPr>
        <w:t>、</w:t>
      </w:r>
      <w:r w:rsidR="008E41E5" w:rsidRPr="008E41E5">
        <w:rPr>
          <w:rFonts w:hint="eastAsia"/>
          <w:szCs w:val="21"/>
        </w:rPr>
        <w:t>俄罗斯指数</w:t>
      </w:r>
      <w:r w:rsidR="008E41E5">
        <w:rPr>
          <w:rFonts w:hint="eastAsia"/>
          <w:szCs w:val="21"/>
        </w:rPr>
        <w:t>均</w:t>
      </w:r>
      <w:r w:rsidR="008E41E5" w:rsidRPr="008E41E5">
        <w:rPr>
          <w:rFonts w:hint="eastAsia"/>
          <w:szCs w:val="21"/>
        </w:rPr>
        <w:t>大涨</w:t>
      </w:r>
      <w:r w:rsidR="008E41E5">
        <w:rPr>
          <w:rFonts w:hint="eastAsia"/>
          <w:szCs w:val="21"/>
        </w:rPr>
        <w:t>超过</w:t>
      </w:r>
      <w:r w:rsidR="008E41E5">
        <w:rPr>
          <w:rFonts w:hint="eastAsia"/>
          <w:szCs w:val="21"/>
        </w:rPr>
        <w:t>4%</w:t>
      </w:r>
      <w:r w:rsidR="008E41E5">
        <w:rPr>
          <w:rFonts w:hint="eastAsia"/>
          <w:szCs w:val="21"/>
        </w:rPr>
        <w:t>，</w:t>
      </w:r>
      <w:r w:rsidR="008E41E5" w:rsidRPr="008E41E5">
        <w:rPr>
          <w:rFonts w:hint="eastAsia"/>
          <w:szCs w:val="21"/>
        </w:rPr>
        <w:t>巴西股指涨幅也超过</w:t>
      </w:r>
      <w:r w:rsidR="008E41E5" w:rsidRPr="008E41E5">
        <w:rPr>
          <w:rFonts w:hint="eastAsia"/>
          <w:szCs w:val="21"/>
        </w:rPr>
        <w:t>3%</w:t>
      </w:r>
      <w:r w:rsidR="008E41E5" w:rsidRPr="008E41E5">
        <w:rPr>
          <w:rFonts w:hint="eastAsia"/>
          <w:szCs w:val="21"/>
        </w:rPr>
        <w:t>。</w:t>
      </w:r>
    </w:p>
    <w:tbl>
      <w:tblPr>
        <w:tblW w:w="10915" w:type="dxa"/>
        <w:tblLayout w:type="fixed"/>
        <w:tblCellMar>
          <w:left w:w="0" w:type="dxa"/>
          <w:right w:w="0" w:type="dxa"/>
        </w:tblCellMar>
        <w:tblLook w:val="0000"/>
      </w:tblPr>
      <w:tblGrid>
        <w:gridCol w:w="5479"/>
        <w:gridCol w:w="191"/>
        <w:gridCol w:w="5245"/>
      </w:tblGrid>
      <w:tr w:rsidR="00BD0930" w:rsidRPr="005B7CDB" w:rsidTr="00DE7145">
        <w:trPr>
          <w:cantSplit/>
          <w:trHeight w:val="368"/>
        </w:trPr>
        <w:tc>
          <w:tcPr>
            <w:tcW w:w="5479" w:type="dxa"/>
            <w:tcBorders>
              <w:top w:val="single" w:sz="6" w:space="0" w:color="FF6600"/>
              <w:bottom w:val="single" w:sz="6" w:space="0" w:color="FF6600"/>
            </w:tcBorders>
            <w:shd w:val="clear" w:color="auto" w:fill="auto"/>
            <w:vAlign w:val="center"/>
          </w:tcPr>
          <w:p w:rsidR="00BD0930" w:rsidRPr="00057142" w:rsidRDefault="00BD0930" w:rsidP="00D7627F">
            <w:pPr>
              <w:pStyle w:val="SubTitleLargeTable"/>
              <w:pBdr>
                <w:top w:val="none" w:sz="0" w:space="0" w:color="auto"/>
              </w:pBdr>
              <w:rPr>
                <w:rFonts w:ascii="楷体" w:eastAsia="楷体" w:hAnsi="楷体"/>
                <w:color w:val="FF6600"/>
              </w:rPr>
            </w:pPr>
            <w:r w:rsidRPr="005B7CDB">
              <w:rPr>
                <w:rFonts w:ascii="楷体" w:eastAsia="楷体" w:hAnsi="楷体"/>
                <w:color w:val="FF6600"/>
              </w:rPr>
              <w:t>图表</w:t>
            </w:r>
            <w:r w:rsidR="00A87530" w:rsidRPr="005B7CDB">
              <w:rPr>
                <w:rFonts w:ascii="楷体" w:eastAsia="楷体" w:hAnsi="楷体" w:hint="eastAsia"/>
                <w:color w:val="FF6600"/>
              </w:rPr>
              <w:t>2</w:t>
            </w:r>
            <w:r w:rsidRPr="005B7CDB">
              <w:rPr>
                <w:rFonts w:ascii="楷体" w:eastAsia="楷体" w:hAnsi="楷体" w:hint="eastAsia"/>
                <w:color w:val="FF6600"/>
              </w:rPr>
              <w:t>：</w:t>
            </w:r>
            <w:r w:rsidR="00091971" w:rsidRPr="005B7CDB">
              <w:rPr>
                <w:rFonts w:ascii="楷体" w:eastAsia="楷体" w:hAnsi="楷体" w:hint="eastAsia"/>
                <w:color w:val="FF6600"/>
              </w:rPr>
              <w:t>各类指数</w:t>
            </w:r>
            <w:r w:rsidR="006675F9" w:rsidRPr="005B7CDB">
              <w:rPr>
                <w:rFonts w:ascii="楷体" w:eastAsia="楷体" w:hAnsi="楷体" w:hint="eastAsia"/>
                <w:color w:val="FF6600"/>
              </w:rPr>
              <w:t>周涨跌</w:t>
            </w:r>
            <w:r w:rsidR="00057142">
              <w:rPr>
                <w:rFonts w:ascii="楷体" w:eastAsia="楷体" w:hAnsi="楷体" w:hint="eastAsia"/>
                <w:color w:val="FF6600"/>
              </w:rPr>
              <w:t>(</w:t>
            </w:r>
            <w:r w:rsidR="00C50AB2">
              <w:rPr>
                <w:rFonts w:ascii="楷体" w:eastAsia="楷体" w:hAnsi="楷体" w:hint="eastAsia"/>
                <w:color w:val="FF6600"/>
              </w:rPr>
              <w:t>0</w:t>
            </w:r>
            <w:r w:rsidR="003F0F93">
              <w:rPr>
                <w:rFonts w:ascii="楷体" w:eastAsia="楷体" w:hAnsi="楷体" w:hint="eastAsia"/>
                <w:color w:val="FF6600"/>
              </w:rPr>
              <w:t>6.03</w:t>
            </w:r>
            <w:r w:rsidR="00C209B8">
              <w:rPr>
                <w:rFonts w:ascii="楷体" w:eastAsia="楷体" w:hAnsi="楷体" w:hint="eastAsia"/>
                <w:color w:val="FF6600"/>
              </w:rPr>
              <w:t>~</w:t>
            </w:r>
            <w:r w:rsidR="003F0F93">
              <w:rPr>
                <w:rFonts w:ascii="楷体" w:eastAsia="楷体" w:hAnsi="楷体" w:hint="eastAsia"/>
                <w:color w:val="FF6600"/>
              </w:rPr>
              <w:t>0</w:t>
            </w:r>
            <w:r w:rsidR="00860492">
              <w:rPr>
                <w:rFonts w:ascii="楷体" w:eastAsia="楷体" w:hAnsi="楷体" w:hint="eastAsia"/>
                <w:color w:val="FF6600"/>
              </w:rPr>
              <w:t>6</w:t>
            </w:r>
            <w:r w:rsidR="00091971" w:rsidRPr="00057142">
              <w:rPr>
                <w:rFonts w:ascii="楷体" w:eastAsia="楷体" w:hAnsi="楷体" w:hint="eastAsia"/>
                <w:color w:val="FF6600"/>
              </w:rPr>
              <w:t>，海外指数</w:t>
            </w:r>
            <w:r w:rsidR="00C50AB2">
              <w:rPr>
                <w:rFonts w:ascii="楷体" w:eastAsia="楷体" w:hAnsi="楷体" w:hint="eastAsia"/>
                <w:color w:val="FF6600"/>
              </w:rPr>
              <w:t>0</w:t>
            </w:r>
            <w:r w:rsidR="003F0F93">
              <w:rPr>
                <w:rFonts w:ascii="楷体" w:eastAsia="楷体" w:hAnsi="楷体" w:hint="eastAsia"/>
                <w:color w:val="FF6600"/>
              </w:rPr>
              <w:t>5.30</w:t>
            </w:r>
            <w:r w:rsidR="00091971" w:rsidRPr="00057142">
              <w:rPr>
                <w:rFonts w:ascii="楷体" w:eastAsia="楷体" w:hAnsi="楷体" w:hint="eastAsia"/>
                <w:color w:val="FF6600"/>
              </w:rPr>
              <w:t>~</w:t>
            </w:r>
            <w:r w:rsidR="003F0F93">
              <w:rPr>
                <w:rFonts w:ascii="楷体" w:eastAsia="楷体" w:hAnsi="楷体" w:hint="eastAsia"/>
                <w:color w:val="FF6600"/>
              </w:rPr>
              <w:t>06.05</w:t>
            </w:r>
            <w:r w:rsidR="00057142">
              <w:rPr>
                <w:rFonts w:ascii="楷体" w:eastAsia="楷体" w:hAnsi="楷体" w:hint="eastAsia"/>
                <w:color w:val="FF6600"/>
              </w:rPr>
              <w:t>)</w:t>
            </w:r>
          </w:p>
        </w:tc>
        <w:tc>
          <w:tcPr>
            <w:tcW w:w="191" w:type="dxa"/>
            <w:vAlign w:val="center"/>
          </w:tcPr>
          <w:p w:rsidR="00BD0930" w:rsidRPr="005B7CDB" w:rsidRDefault="00BD0930" w:rsidP="003B1409">
            <w:pPr>
              <w:jc w:val="center"/>
              <w:rPr>
                <w:rFonts w:ascii="楷体" w:eastAsia="楷体" w:hAnsi="楷体"/>
              </w:rPr>
            </w:pPr>
          </w:p>
        </w:tc>
        <w:tc>
          <w:tcPr>
            <w:tcW w:w="5245" w:type="dxa"/>
            <w:tcBorders>
              <w:top w:val="single" w:sz="6" w:space="0" w:color="FF6600"/>
              <w:bottom w:val="single" w:sz="6" w:space="0" w:color="FF6600"/>
            </w:tcBorders>
            <w:shd w:val="clear" w:color="auto" w:fill="auto"/>
            <w:vAlign w:val="center"/>
          </w:tcPr>
          <w:p w:rsidR="00BD0930" w:rsidRPr="005B7CDB" w:rsidRDefault="00BD0930" w:rsidP="00EF0C15">
            <w:pPr>
              <w:pStyle w:val="SubTitleLargeTable"/>
              <w:pBdr>
                <w:top w:val="none" w:sz="0" w:space="0" w:color="auto"/>
              </w:pBdr>
              <w:rPr>
                <w:rFonts w:ascii="楷体" w:eastAsia="楷体" w:hAnsi="楷体"/>
              </w:rPr>
            </w:pPr>
            <w:r w:rsidRPr="005B7CDB">
              <w:rPr>
                <w:rFonts w:ascii="楷体" w:eastAsia="楷体" w:hAnsi="楷体"/>
                <w:color w:val="FF6600"/>
              </w:rPr>
              <w:t>图表</w:t>
            </w:r>
            <w:r w:rsidR="00A87530" w:rsidRPr="005B7CDB">
              <w:rPr>
                <w:rFonts w:ascii="楷体" w:eastAsia="楷体" w:hAnsi="楷体" w:hint="eastAsia"/>
                <w:color w:val="FF6600"/>
              </w:rPr>
              <w:t>3</w:t>
            </w:r>
            <w:r w:rsidRPr="005B7CDB">
              <w:rPr>
                <w:rFonts w:ascii="楷体" w:eastAsia="楷体" w:hAnsi="楷体" w:hint="eastAsia"/>
                <w:color w:val="FF6600"/>
              </w:rPr>
              <w:t>：</w:t>
            </w:r>
            <w:r w:rsidR="00091971" w:rsidRPr="005B7CDB">
              <w:rPr>
                <w:rFonts w:ascii="楷体" w:eastAsia="楷体" w:hAnsi="楷体" w:hint="eastAsia"/>
                <w:color w:val="FF6600"/>
              </w:rPr>
              <w:t>中信</w:t>
            </w:r>
            <w:proofErr w:type="gramStart"/>
            <w:r w:rsidR="00091971" w:rsidRPr="005B7CDB">
              <w:rPr>
                <w:rFonts w:ascii="楷体" w:eastAsia="楷体" w:hAnsi="楷体" w:hint="eastAsia"/>
                <w:color w:val="FF6600"/>
              </w:rPr>
              <w:t>一级行业板块周涨跌</w:t>
            </w:r>
            <w:proofErr w:type="gramEnd"/>
            <w:r w:rsidR="00091971" w:rsidRPr="005B7CDB">
              <w:rPr>
                <w:rFonts w:ascii="楷体" w:eastAsia="楷体" w:hAnsi="楷体" w:hint="eastAsia"/>
                <w:color w:val="FF6600"/>
              </w:rPr>
              <w:t>（</w:t>
            </w:r>
            <w:r w:rsidR="003F0F93">
              <w:rPr>
                <w:rFonts w:ascii="楷体" w:eastAsia="楷体" w:hAnsi="楷体" w:hint="eastAsia"/>
                <w:color w:val="FF6600"/>
              </w:rPr>
              <w:t>06.03~06</w:t>
            </w:r>
            <w:r w:rsidR="00091971" w:rsidRPr="005B7CDB">
              <w:rPr>
                <w:rFonts w:ascii="楷体" w:eastAsia="楷体" w:hAnsi="楷体" w:hint="eastAsia"/>
                <w:color w:val="FF6600"/>
              </w:rPr>
              <w:t>）</w:t>
            </w:r>
          </w:p>
        </w:tc>
      </w:tr>
      <w:tr w:rsidR="00BD0930" w:rsidRPr="005B7CDB" w:rsidTr="00DE7145">
        <w:trPr>
          <w:cantSplit/>
          <w:trHeight w:val="2552"/>
        </w:trPr>
        <w:tc>
          <w:tcPr>
            <w:tcW w:w="5479" w:type="dxa"/>
            <w:tcBorders>
              <w:top w:val="single" w:sz="6" w:space="0" w:color="FF6600"/>
              <w:bottom w:val="single" w:sz="6" w:space="0" w:color="FF6600"/>
            </w:tcBorders>
            <w:shd w:val="clear" w:color="auto" w:fill="auto"/>
            <w:vAlign w:val="center"/>
          </w:tcPr>
          <w:p w:rsidR="00BD0930" w:rsidRPr="005B7CDB" w:rsidRDefault="00D64055" w:rsidP="003B1409">
            <w:pPr>
              <w:jc w:val="center"/>
              <w:rPr>
                <w:rFonts w:ascii="楷体" w:eastAsia="楷体" w:hAnsi="楷体"/>
              </w:rPr>
            </w:pPr>
            <w:r>
              <w:rPr>
                <w:rFonts w:ascii="楷体" w:eastAsia="楷体" w:hAnsi="楷体"/>
                <w:noProof/>
              </w:rPr>
              <w:drawing>
                <wp:inline distT="0" distB="0" distL="0" distR="0">
                  <wp:extent cx="3438525" cy="2095500"/>
                  <wp:effectExtent l="19050" t="0" r="9525" b="0"/>
                  <wp:docPr id="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srcRect/>
                          <a:stretch>
                            <a:fillRect/>
                          </a:stretch>
                        </pic:blipFill>
                        <pic:spPr bwMode="auto">
                          <a:xfrm>
                            <a:off x="0" y="0"/>
                            <a:ext cx="3445494" cy="2099747"/>
                          </a:xfrm>
                          <a:prstGeom prst="rect">
                            <a:avLst/>
                          </a:prstGeom>
                          <a:noFill/>
                        </pic:spPr>
                      </pic:pic>
                    </a:graphicData>
                  </a:graphic>
                </wp:inline>
              </w:drawing>
            </w:r>
          </w:p>
        </w:tc>
        <w:tc>
          <w:tcPr>
            <w:tcW w:w="191" w:type="dxa"/>
            <w:vAlign w:val="center"/>
          </w:tcPr>
          <w:p w:rsidR="00BD0930" w:rsidRPr="005B7CDB" w:rsidRDefault="00BD0930" w:rsidP="003B1409">
            <w:pPr>
              <w:jc w:val="center"/>
              <w:rPr>
                <w:rFonts w:ascii="楷体" w:eastAsia="楷体" w:hAnsi="楷体"/>
              </w:rPr>
            </w:pPr>
          </w:p>
        </w:tc>
        <w:tc>
          <w:tcPr>
            <w:tcW w:w="5245" w:type="dxa"/>
            <w:tcBorders>
              <w:top w:val="single" w:sz="6" w:space="0" w:color="FF6600"/>
              <w:bottom w:val="single" w:sz="6" w:space="0" w:color="FF6600"/>
            </w:tcBorders>
            <w:shd w:val="clear" w:color="auto" w:fill="auto"/>
            <w:vAlign w:val="center"/>
          </w:tcPr>
          <w:p w:rsidR="00BD0930" w:rsidRPr="005B7CDB" w:rsidRDefault="00C41ED1" w:rsidP="003B1409">
            <w:pPr>
              <w:jc w:val="center"/>
              <w:rPr>
                <w:rFonts w:ascii="楷体" w:eastAsia="楷体" w:hAnsi="楷体"/>
              </w:rPr>
            </w:pPr>
            <w:r>
              <w:rPr>
                <w:rFonts w:ascii="楷体" w:eastAsia="楷体" w:hAnsi="楷体"/>
                <w:noProof/>
              </w:rPr>
              <w:drawing>
                <wp:inline distT="0" distB="0" distL="0" distR="0">
                  <wp:extent cx="3286125" cy="2143125"/>
                  <wp:effectExtent l="19050" t="0" r="9525" b="0"/>
                  <wp:docPr id="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3283404" cy="2141350"/>
                          </a:xfrm>
                          <a:prstGeom prst="rect">
                            <a:avLst/>
                          </a:prstGeom>
                          <a:noFill/>
                        </pic:spPr>
                      </pic:pic>
                    </a:graphicData>
                  </a:graphic>
                </wp:inline>
              </w:drawing>
            </w:r>
          </w:p>
        </w:tc>
      </w:tr>
    </w:tbl>
    <w:p w:rsidR="00BD0930" w:rsidRPr="005B7CDB" w:rsidRDefault="00BD0930" w:rsidP="00BD0930">
      <w:pPr>
        <w:pStyle w:val="FootnoteNoline"/>
        <w:ind w:left="0"/>
        <w:jc w:val="left"/>
        <w:rPr>
          <w:rFonts w:ascii="楷体" w:eastAsia="楷体" w:hAnsi="楷体"/>
        </w:rPr>
      </w:pPr>
      <w:r w:rsidRPr="005B7CDB">
        <w:rPr>
          <w:rFonts w:ascii="楷体" w:eastAsia="楷体" w:hAnsi="楷体" w:hint="eastAsia"/>
          <w:color w:val="FF6600"/>
        </w:rPr>
        <w:t>来源：</w:t>
      </w:r>
      <w:proofErr w:type="gramStart"/>
      <w:r w:rsidRPr="005B7CDB">
        <w:rPr>
          <w:rFonts w:ascii="楷体" w:eastAsia="楷体" w:hAnsi="楷体" w:hint="eastAsia"/>
          <w:color w:val="FF6600"/>
        </w:rPr>
        <w:t>凯</w:t>
      </w:r>
      <w:proofErr w:type="gramEnd"/>
      <w:r w:rsidRPr="005B7CDB">
        <w:rPr>
          <w:rFonts w:ascii="楷体" w:eastAsia="楷体" w:hAnsi="楷体" w:hint="eastAsia"/>
          <w:color w:val="FF6600"/>
        </w:rPr>
        <w:t>石财富工场</w:t>
      </w:r>
      <w:r w:rsidRPr="005B7CDB">
        <w:rPr>
          <w:rFonts w:ascii="楷体" w:eastAsia="楷体" w:hAnsi="楷体" w:hint="eastAsia"/>
        </w:rPr>
        <w:t xml:space="preserve"> </w:t>
      </w:r>
    </w:p>
    <w:p w:rsidR="000D4A66" w:rsidRPr="005B7CDB" w:rsidRDefault="000D4A66" w:rsidP="00CB1BC1">
      <w:pPr>
        <w:widowControl/>
        <w:spacing w:after="120"/>
        <w:ind w:left="3430"/>
        <w:rPr>
          <w:rFonts w:ascii="楷体" w:eastAsia="楷体" w:hAnsi="楷体"/>
          <w:b/>
          <w:bCs/>
          <w:color w:val="0070C0"/>
          <w:kern w:val="0"/>
          <w:szCs w:val="21"/>
          <w:lang w:val="en-GB"/>
        </w:rPr>
      </w:pPr>
      <w:r w:rsidRPr="005B7CDB">
        <w:rPr>
          <w:rFonts w:ascii="楷体" w:eastAsia="楷体" w:hAnsi="楷体" w:hint="eastAsia"/>
          <w:b/>
          <w:bCs/>
          <w:color w:val="0070C0"/>
          <w:kern w:val="0"/>
          <w:szCs w:val="21"/>
          <w:lang w:val="en-GB"/>
        </w:rPr>
        <w:t>各类型公</w:t>
      </w:r>
      <w:proofErr w:type="gramStart"/>
      <w:r w:rsidRPr="005B7CDB">
        <w:rPr>
          <w:rFonts w:ascii="楷体" w:eastAsia="楷体" w:hAnsi="楷体" w:hint="eastAsia"/>
          <w:b/>
          <w:bCs/>
          <w:color w:val="0070C0"/>
          <w:kern w:val="0"/>
          <w:szCs w:val="21"/>
          <w:lang w:val="en-GB"/>
        </w:rPr>
        <w:t>募基金</w:t>
      </w:r>
      <w:proofErr w:type="gramEnd"/>
      <w:r w:rsidRPr="005B7CDB">
        <w:rPr>
          <w:rFonts w:ascii="楷体" w:eastAsia="楷体" w:hAnsi="楷体" w:hint="eastAsia"/>
          <w:b/>
          <w:bCs/>
          <w:color w:val="0070C0"/>
          <w:kern w:val="0"/>
          <w:szCs w:val="21"/>
          <w:lang w:val="en-GB"/>
        </w:rPr>
        <w:t>一周业绩：</w:t>
      </w:r>
    </w:p>
    <w:p w:rsidR="00B0398D" w:rsidRPr="00C41ED1" w:rsidRDefault="00855FEC" w:rsidP="00120197">
      <w:pPr>
        <w:pStyle w:val="ab"/>
        <w:numPr>
          <w:ilvl w:val="4"/>
          <w:numId w:val="1"/>
        </w:numPr>
        <w:spacing w:after="163"/>
        <w:rPr>
          <w:szCs w:val="21"/>
        </w:rPr>
      </w:pPr>
      <w:r w:rsidRPr="00C41ED1">
        <w:rPr>
          <w:rFonts w:hint="eastAsia"/>
          <w:szCs w:val="21"/>
        </w:rPr>
        <w:t>上</w:t>
      </w:r>
      <w:r w:rsidR="000D4A66" w:rsidRPr="00C41ED1">
        <w:rPr>
          <w:rFonts w:hint="eastAsia"/>
          <w:szCs w:val="21"/>
        </w:rPr>
        <w:t>周（</w:t>
      </w:r>
      <w:r w:rsidR="00152902">
        <w:rPr>
          <w:rFonts w:hint="eastAsia"/>
          <w:szCs w:val="21"/>
        </w:rPr>
        <w:t>2014.06.03</w:t>
      </w:r>
      <w:r w:rsidR="000D4A66" w:rsidRPr="00C41ED1">
        <w:rPr>
          <w:rFonts w:hint="eastAsia"/>
          <w:szCs w:val="21"/>
        </w:rPr>
        <w:t>~</w:t>
      </w:r>
      <w:r w:rsidR="00152902">
        <w:rPr>
          <w:rFonts w:hint="eastAsia"/>
          <w:szCs w:val="21"/>
        </w:rPr>
        <w:t>2014.06</w:t>
      </w:r>
      <w:r w:rsidR="00DE7145" w:rsidRPr="00C41ED1">
        <w:rPr>
          <w:rFonts w:hint="eastAsia"/>
          <w:szCs w:val="21"/>
        </w:rPr>
        <w:t>.</w:t>
      </w:r>
      <w:r w:rsidR="00152902">
        <w:rPr>
          <w:rFonts w:hint="eastAsia"/>
          <w:szCs w:val="21"/>
        </w:rPr>
        <w:t>06</w:t>
      </w:r>
      <w:r w:rsidR="000D4A66" w:rsidRPr="00C41ED1">
        <w:rPr>
          <w:rFonts w:hint="eastAsia"/>
          <w:szCs w:val="21"/>
        </w:rPr>
        <w:t>）</w:t>
      </w:r>
      <w:r w:rsidR="00354C5A">
        <w:rPr>
          <w:rFonts w:hint="eastAsia"/>
          <w:szCs w:val="21"/>
        </w:rPr>
        <w:t>国内市场</w:t>
      </w:r>
      <w:r w:rsidR="00070307">
        <w:rPr>
          <w:rFonts w:hint="eastAsia"/>
          <w:szCs w:val="21"/>
        </w:rPr>
        <w:t>风格分化</w:t>
      </w:r>
      <w:r w:rsidR="004A56E2" w:rsidRPr="00C41ED1">
        <w:rPr>
          <w:rFonts w:hint="eastAsia"/>
          <w:szCs w:val="21"/>
        </w:rPr>
        <w:t>，</w:t>
      </w:r>
      <w:proofErr w:type="gramStart"/>
      <w:r w:rsidR="00070307">
        <w:rPr>
          <w:rFonts w:hint="eastAsia"/>
          <w:szCs w:val="21"/>
        </w:rPr>
        <w:t>凯石工场</w:t>
      </w:r>
      <w:proofErr w:type="gramEnd"/>
      <w:r w:rsidR="00070307">
        <w:rPr>
          <w:rFonts w:hint="eastAsia"/>
          <w:szCs w:val="21"/>
        </w:rPr>
        <w:t>统计</w:t>
      </w:r>
      <w:r w:rsidR="000D4A66" w:rsidRPr="00C41ED1">
        <w:rPr>
          <w:rFonts w:hint="eastAsia"/>
          <w:szCs w:val="21"/>
        </w:rPr>
        <w:t>的各类型公</w:t>
      </w:r>
      <w:proofErr w:type="gramStart"/>
      <w:r w:rsidR="000D4A66" w:rsidRPr="00C41ED1">
        <w:rPr>
          <w:rFonts w:hint="eastAsia"/>
          <w:szCs w:val="21"/>
        </w:rPr>
        <w:t>募基金</w:t>
      </w:r>
      <w:proofErr w:type="gramEnd"/>
      <w:r w:rsidR="008D26BB" w:rsidRPr="00C41ED1">
        <w:rPr>
          <w:rFonts w:hint="eastAsia"/>
          <w:szCs w:val="21"/>
        </w:rPr>
        <w:t>当中权益类</w:t>
      </w:r>
      <w:r w:rsidR="00070307">
        <w:rPr>
          <w:rFonts w:hint="eastAsia"/>
          <w:szCs w:val="21"/>
        </w:rPr>
        <w:t>多数战胜主板市场</w:t>
      </w:r>
      <w:r w:rsidR="00070307" w:rsidRPr="00C41ED1">
        <w:rPr>
          <w:rFonts w:hint="eastAsia"/>
          <w:szCs w:val="21"/>
        </w:rPr>
        <w:t>，</w:t>
      </w:r>
      <w:r w:rsidR="00070307">
        <w:rPr>
          <w:rFonts w:hint="eastAsia"/>
          <w:szCs w:val="21"/>
        </w:rPr>
        <w:t>成长风格领先；债券类品种走势</w:t>
      </w:r>
      <w:r w:rsidR="006962B2" w:rsidRPr="00C41ED1">
        <w:rPr>
          <w:rFonts w:hint="eastAsia"/>
          <w:szCs w:val="21"/>
        </w:rPr>
        <w:t>稳定；</w:t>
      </w:r>
      <w:r w:rsidR="00070307">
        <w:rPr>
          <w:rFonts w:hint="eastAsia"/>
          <w:szCs w:val="21"/>
        </w:rPr>
        <w:t>投资于发达经济体和新兴市场的</w:t>
      </w:r>
      <w:r w:rsidR="003936BE" w:rsidRPr="00C41ED1">
        <w:rPr>
          <w:rFonts w:hint="eastAsia"/>
          <w:szCs w:val="21"/>
        </w:rPr>
        <w:t>QDII</w:t>
      </w:r>
      <w:r w:rsidR="003936BE" w:rsidRPr="00C41ED1">
        <w:rPr>
          <w:rFonts w:hint="eastAsia"/>
          <w:szCs w:val="21"/>
        </w:rPr>
        <w:t>基金</w:t>
      </w:r>
      <w:r w:rsidR="00D7627F" w:rsidRPr="00C41ED1">
        <w:rPr>
          <w:rFonts w:hint="eastAsia"/>
          <w:szCs w:val="21"/>
        </w:rPr>
        <w:t>（</w:t>
      </w:r>
      <w:r w:rsidR="00070307">
        <w:rPr>
          <w:rFonts w:hint="eastAsia"/>
          <w:szCs w:val="21"/>
        </w:rPr>
        <w:t>2014.05.30</w:t>
      </w:r>
      <w:r w:rsidR="00D7627F" w:rsidRPr="00C41ED1">
        <w:rPr>
          <w:rFonts w:hint="eastAsia"/>
          <w:szCs w:val="21"/>
        </w:rPr>
        <w:t>~</w:t>
      </w:r>
      <w:r w:rsidR="00070307">
        <w:rPr>
          <w:rFonts w:hint="eastAsia"/>
          <w:szCs w:val="21"/>
        </w:rPr>
        <w:t>2014.06.0</w:t>
      </w:r>
      <w:r w:rsidR="003362A1" w:rsidRPr="00C41ED1">
        <w:rPr>
          <w:rFonts w:hint="eastAsia"/>
          <w:szCs w:val="21"/>
        </w:rPr>
        <w:t>5</w:t>
      </w:r>
      <w:r w:rsidR="00D7627F" w:rsidRPr="00C41ED1">
        <w:rPr>
          <w:rFonts w:hint="eastAsia"/>
          <w:szCs w:val="21"/>
        </w:rPr>
        <w:t>）</w:t>
      </w:r>
      <w:proofErr w:type="gramStart"/>
      <w:r w:rsidR="00070307">
        <w:rPr>
          <w:rFonts w:hint="eastAsia"/>
          <w:szCs w:val="21"/>
        </w:rPr>
        <w:t>皆普遍</w:t>
      </w:r>
      <w:proofErr w:type="gramEnd"/>
      <w:r w:rsidR="00070307">
        <w:rPr>
          <w:rFonts w:hint="eastAsia"/>
          <w:szCs w:val="21"/>
        </w:rPr>
        <w:t>上涨</w:t>
      </w:r>
      <w:r w:rsidR="008B74AF" w:rsidRPr="00C41ED1">
        <w:rPr>
          <w:rFonts w:hint="eastAsia"/>
          <w:szCs w:val="21"/>
        </w:rPr>
        <w:t>，</w:t>
      </w:r>
      <w:r w:rsidR="00070307">
        <w:rPr>
          <w:rFonts w:hint="eastAsia"/>
          <w:szCs w:val="21"/>
        </w:rPr>
        <w:t>小幅</w:t>
      </w:r>
      <w:r w:rsidR="00070307" w:rsidRPr="00DE67B2">
        <w:rPr>
          <w:rFonts w:hint="eastAsia"/>
          <w:szCs w:val="21"/>
        </w:rPr>
        <w:t>下跌</w:t>
      </w:r>
      <w:r w:rsidR="00070307">
        <w:rPr>
          <w:rFonts w:hint="eastAsia"/>
          <w:szCs w:val="21"/>
        </w:rPr>
        <w:t>的则多为投资商品和债券的品种</w:t>
      </w:r>
      <w:r w:rsidR="00070307" w:rsidRPr="00DE67B2">
        <w:rPr>
          <w:rFonts w:hint="eastAsia"/>
          <w:szCs w:val="21"/>
        </w:rPr>
        <w:t>。</w:t>
      </w:r>
    </w:p>
    <w:tbl>
      <w:tblPr>
        <w:tblW w:w="10772" w:type="dxa"/>
        <w:tblBorders>
          <w:top w:val="single" w:sz="6" w:space="0" w:color="FF6600"/>
          <w:bottom w:val="single" w:sz="6" w:space="0" w:color="FF6600"/>
          <w:insideH w:val="single" w:sz="6" w:space="0" w:color="FF6600"/>
        </w:tblBorders>
        <w:tblLayout w:type="fixed"/>
        <w:tblCellMar>
          <w:left w:w="0" w:type="dxa"/>
          <w:right w:w="0" w:type="dxa"/>
        </w:tblCellMar>
        <w:tblLook w:val="0000"/>
      </w:tblPr>
      <w:tblGrid>
        <w:gridCol w:w="993"/>
        <w:gridCol w:w="1400"/>
        <w:gridCol w:w="1197"/>
        <w:gridCol w:w="946"/>
        <w:gridCol w:w="1448"/>
        <w:gridCol w:w="1197"/>
        <w:gridCol w:w="1041"/>
        <w:gridCol w:w="1353"/>
        <w:gridCol w:w="1197"/>
      </w:tblGrid>
      <w:tr w:rsidR="000D4A66" w:rsidRPr="005B7CDB" w:rsidTr="00D7627F">
        <w:trPr>
          <w:trHeight w:val="335"/>
          <w:tblHeader/>
        </w:trPr>
        <w:tc>
          <w:tcPr>
            <w:tcW w:w="10772" w:type="dxa"/>
            <w:gridSpan w:val="9"/>
            <w:tcBorders>
              <w:bottom w:val="single" w:sz="6" w:space="0" w:color="FF6600"/>
            </w:tcBorders>
            <w:shd w:val="clear" w:color="auto" w:fill="auto"/>
            <w:vAlign w:val="center"/>
          </w:tcPr>
          <w:p w:rsidR="000D4A66" w:rsidRPr="005B7CDB" w:rsidRDefault="000D4A66" w:rsidP="001757D1">
            <w:pPr>
              <w:pStyle w:val="SubTitleLargeTable"/>
              <w:pBdr>
                <w:top w:val="none" w:sz="0" w:space="0" w:color="auto"/>
              </w:pBdr>
              <w:rPr>
                <w:rFonts w:ascii="楷体" w:eastAsia="楷体" w:hAnsi="楷体"/>
                <w:b w:val="0"/>
              </w:rPr>
            </w:pPr>
            <w:r w:rsidRPr="005B7CDB">
              <w:rPr>
                <w:rFonts w:ascii="楷体" w:eastAsia="楷体" w:hAnsi="楷体" w:cs="宋体" w:hint="eastAsia"/>
                <w:color w:val="FF6600"/>
              </w:rPr>
              <w:lastRenderedPageBreak/>
              <w:t>图表</w:t>
            </w:r>
            <w:r w:rsidR="008F39C1" w:rsidRPr="005B7CDB">
              <w:rPr>
                <w:rFonts w:ascii="楷体" w:eastAsia="楷体" w:hAnsi="楷体" w:hint="eastAsia"/>
                <w:color w:val="FF6600"/>
              </w:rPr>
              <w:t>4</w:t>
            </w:r>
            <w:r w:rsidRPr="005B7CDB">
              <w:rPr>
                <w:rFonts w:ascii="楷体" w:eastAsia="楷体" w:hAnsi="楷体" w:cs="宋体" w:hint="eastAsia"/>
                <w:color w:val="FF6600"/>
              </w:rPr>
              <w:t>：各类型公募基金（含封闭式）周平均收益率（</w:t>
            </w:r>
            <w:r w:rsidR="00C42CE9">
              <w:rPr>
                <w:rFonts w:ascii="楷体" w:eastAsia="楷体" w:hAnsi="楷体" w:hint="eastAsia"/>
                <w:color w:val="FF6600"/>
              </w:rPr>
              <w:t>06.03~0</w:t>
            </w:r>
            <w:r w:rsidR="003362A1">
              <w:rPr>
                <w:rFonts w:ascii="楷体" w:eastAsia="楷体" w:hAnsi="楷体" w:hint="eastAsia"/>
                <w:color w:val="FF6600"/>
              </w:rPr>
              <w:t>6</w:t>
            </w:r>
            <w:r w:rsidRPr="005B7CDB">
              <w:rPr>
                <w:rFonts w:ascii="楷体" w:eastAsia="楷体" w:hAnsi="楷体" w:cs="宋体" w:hint="eastAsia"/>
                <w:color w:val="FF6600"/>
              </w:rPr>
              <w:t>，</w:t>
            </w:r>
            <w:r w:rsidRPr="005B7CDB">
              <w:rPr>
                <w:rFonts w:ascii="楷体" w:eastAsia="楷体" w:hAnsi="楷体" w:hint="eastAsia"/>
                <w:color w:val="FF6600"/>
              </w:rPr>
              <w:t>QDII为</w:t>
            </w:r>
            <w:r w:rsidR="00C42CE9">
              <w:rPr>
                <w:rFonts w:ascii="楷体" w:eastAsia="楷体" w:hAnsi="楷体" w:hint="eastAsia"/>
                <w:color w:val="FF6600"/>
              </w:rPr>
              <w:t>05.30</w:t>
            </w:r>
            <w:r w:rsidR="00800AD4" w:rsidRPr="00057142">
              <w:rPr>
                <w:rFonts w:ascii="楷体" w:eastAsia="楷体" w:hAnsi="楷体" w:hint="eastAsia"/>
                <w:color w:val="FF6600"/>
              </w:rPr>
              <w:t>~</w:t>
            </w:r>
            <w:r w:rsidR="00C42CE9">
              <w:rPr>
                <w:rFonts w:ascii="楷体" w:eastAsia="楷体" w:hAnsi="楷体" w:hint="eastAsia"/>
                <w:color w:val="FF6600"/>
              </w:rPr>
              <w:t>06.05</w:t>
            </w:r>
            <w:r w:rsidR="00F60041" w:rsidRPr="005B7CDB">
              <w:rPr>
                <w:rFonts w:ascii="楷体" w:eastAsia="楷体" w:hAnsi="楷体" w:hint="eastAsia"/>
                <w:color w:val="FF6600"/>
              </w:rPr>
              <w:t>，货币基金为</w:t>
            </w:r>
            <w:proofErr w:type="gramStart"/>
            <w:r w:rsidR="0034351F" w:rsidRPr="005B7CDB">
              <w:rPr>
                <w:rFonts w:ascii="楷体" w:eastAsia="楷体" w:hAnsi="楷体" w:hint="eastAsia"/>
                <w:color w:val="FF6600"/>
              </w:rPr>
              <w:t>7日年化</w:t>
            </w:r>
            <w:r w:rsidR="00F60041" w:rsidRPr="005B7CDB">
              <w:rPr>
                <w:rFonts w:ascii="楷体" w:eastAsia="楷体" w:hAnsi="楷体" w:hint="eastAsia"/>
                <w:color w:val="FF6600"/>
              </w:rPr>
              <w:t>收益</w:t>
            </w:r>
            <w:r w:rsidR="0086042C">
              <w:rPr>
                <w:rFonts w:ascii="楷体" w:eastAsia="楷体" w:hAnsi="楷体" w:hint="eastAsia"/>
                <w:color w:val="FF6600"/>
              </w:rPr>
              <w:t>率</w:t>
            </w:r>
            <w:proofErr w:type="gramEnd"/>
            <w:r w:rsidRPr="005B7CDB">
              <w:rPr>
                <w:rFonts w:ascii="楷体" w:eastAsia="楷体" w:hAnsi="楷体" w:cs="宋体" w:hint="eastAsia"/>
                <w:color w:val="FF6600"/>
              </w:rPr>
              <w:t>）</w:t>
            </w:r>
          </w:p>
        </w:tc>
      </w:tr>
      <w:tr w:rsidR="000D4A66" w:rsidRPr="005B7CDB" w:rsidTr="00D7627F">
        <w:trPr>
          <w:trHeight w:val="284"/>
          <w:tblHeader/>
        </w:trPr>
        <w:tc>
          <w:tcPr>
            <w:tcW w:w="2393" w:type="dxa"/>
            <w:gridSpan w:val="2"/>
            <w:tcBorders>
              <w:right w:val="single" w:sz="6" w:space="0" w:color="FF6600"/>
            </w:tcBorders>
            <w:shd w:val="clear" w:color="auto" w:fill="FDE9D9" w:themeFill="accent6" w:themeFillTint="33"/>
            <w:vAlign w:val="center"/>
          </w:tcPr>
          <w:p w:rsidR="000D4A66" w:rsidRPr="005B7CDB" w:rsidRDefault="000D4A66" w:rsidP="009D6B40">
            <w:pPr>
              <w:snapToGrid w:val="0"/>
              <w:jc w:val="center"/>
              <w:rPr>
                <w:rFonts w:ascii="楷体" w:eastAsia="楷体" w:hAnsi="楷体"/>
                <w:b/>
                <w:sz w:val="18"/>
                <w:szCs w:val="18"/>
              </w:rPr>
            </w:pPr>
            <w:proofErr w:type="gramStart"/>
            <w:r w:rsidRPr="005B7CDB">
              <w:rPr>
                <w:rFonts w:ascii="楷体" w:eastAsia="楷体" w:hAnsi="楷体"/>
                <w:b/>
                <w:sz w:val="18"/>
                <w:szCs w:val="18"/>
              </w:rPr>
              <w:t>凯</w:t>
            </w:r>
            <w:proofErr w:type="gramEnd"/>
            <w:r w:rsidRPr="005B7CDB">
              <w:rPr>
                <w:rFonts w:ascii="楷体" w:eastAsia="楷体" w:hAnsi="楷体"/>
                <w:b/>
                <w:sz w:val="18"/>
                <w:szCs w:val="18"/>
              </w:rPr>
              <w:t>石分类</w:t>
            </w:r>
          </w:p>
        </w:tc>
        <w:tc>
          <w:tcPr>
            <w:tcW w:w="1197" w:type="dxa"/>
            <w:tcBorders>
              <w:left w:val="single" w:sz="6" w:space="0" w:color="FF6600"/>
              <w:right w:val="single" w:sz="6" w:space="0" w:color="FF6600"/>
            </w:tcBorders>
            <w:shd w:val="clear" w:color="auto" w:fill="FDE9D9" w:themeFill="accent6" w:themeFillTint="33"/>
            <w:vAlign w:val="center"/>
          </w:tcPr>
          <w:p w:rsidR="000D4A66" w:rsidRPr="005B7CDB" w:rsidRDefault="000D4A66" w:rsidP="009D6B40">
            <w:pPr>
              <w:snapToGrid w:val="0"/>
              <w:jc w:val="center"/>
              <w:rPr>
                <w:rFonts w:ascii="楷体" w:eastAsia="楷体" w:hAnsi="楷体"/>
                <w:b/>
                <w:sz w:val="18"/>
                <w:szCs w:val="18"/>
              </w:rPr>
            </w:pPr>
            <w:r w:rsidRPr="005B7CDB">
              <w:rPr>
                <w:rFonts w:ascii="楷体" w:eastAsia="楷体" w:hAnsi="楷体"/>
                <w:b/>
                <w:sz w:val="18"/>
                <w:szCs w:val="18"/>
              </w:rPr>
              <w:t>周收益率</w:t>
            </w:r>
            <w:r w:rsidR="006A6E20">
              <w:rPr>
                <w:rFonts w:ascii="楷体" w:eastAsia="楷体" w:hAnsi="楷体"/>
                <w:b/>
                <w:sz w:val="18"/>
                <w:szCs w:val="18"/>
              </w:rPr>
              <w:t>%</w:t>
            </w:r>
          </w:p>
        </w:tc>
        <w:tc>
          <w:tcPr>
            <w:tcW w:w="2394" w:type="dxa"/>
            <w:gridSpan w:val="2"/>
            <w:tcBorders>
              <w:left w:val="single" w:sz="6" w:space="0" w:color="FF6600"/>
              <w:right w:val="single" w:sz="6" w:space="0" w:color="FF6600"/>
            </w:tcBorders>
            <w:shd w:val="clear" w:color="auto" w:fill="FDE9D9" w:themeFill="accent6" w:themeFillTint="33"/>
            <w:vAlign w:val="center"/>
          </w:tcPr>
          <w:p w:rsidR="000D4A66" w:rsidRPr="005B7CDB" w:rsidRDefault="000D4A66" w:rsidP="009D6B40">
            <w:pPr>
              <w:snapToGrid w:val="0"/>
              <w:jc w:val="center"/>
              <w:rPr>
                <w:rFonts w:ascii="楷体" w:eastAsia="楷体" w:hAnsi="楷体"/>
                <w:b/>
                <w:sz w:val="18"/>
                <w:szCs w:val="18"/>
              </w:rPr>
            </w:pPr>
            <w:proofErr w:type="gramStart"/>
            <w:r w:rsidRPr="005B7CDB">
              <w:rPr>
                <w:rFonts w:ascii="楷体" w:eastAsia="楷体" w:hAnsi="楷体"/>
                <w:b/>
                <w:sz w:val="18"/>
                <w:szCs w:val="18"/>
              </w:rPr>
              <w:t>凯</w:t>
            </w:r>
            <w:proofErr w:type="gramEnd"/>
            <w:r w:rsidRPr="005B7CDB">
              <w:rPr>
                <w:rFonts w:ascii="楷体" w:eastAsia="楷体" w:hAnsi="楷体"/>
                <w:b/>
                <w:sz w:val="18"/>
                <w:szCs w:val="18"/>
              </w:rPr>
              <w:t>石分类</w:t>
            </w:r>
          </w:p>
        </w:tc>
        <w:tc>
          <w:tcPr>
            <w:tcW w:w="1197" w:type="dxa"/>
            <w:tcBorders>
              <w:left w:val="single" w:sz="6" w:space="0" w:color="FF6600"/>
              <w:right w:val="single" w:sz="6" w:space="0" w:color="FF6600"/>
            </w:tcBorders>
            <w:shd w:val="clear" w:color="auto" w:fill="FDE9D9" w:themeFill="accent6" w:themeFillTint="33"/>
            <w:vAlign w:val="center"/>
          </w:tcPr>
          <w:p w:rsidR="000D4A66" w:rsidRPr="005B7CDB" w:rsidRDefault="000D4A66" w:rsidP="009D6B40">
            <w:pPr>
              <w:snapToGrid w:val="0"/>
              <w:jc w:val="center"/>
              <w:rPr>
                <w:rFonts w:ascii="楷体" w:eastAsia="楷体" w:hAnsi="楷体"/>
                <w:b/>
                <w:sz w:val="18"/>
                <w:szCs w:val="18"/>
              </w:rPr>
            </w:pPr>
            <w:r w:rsidRPr="005B7CDB">
              <w:rPr>
                <w:rFonts w:ascii="楷体" w:eastAsia="楷体" w:hAnsi="楷体"/>
                <w:b/>
                <w:sz w:val="18"/>
                <w:szCs w:val="18"/>
              </w:rPr>
              <w:t>周收益率</w:t>
            </w:r>
            <w:r w:rsidR="006A6E20">
              <w:rPr>
                <w:rFonts w:ascii="楷体" w:eastAsia="楷体" w:hAnsi="楷体"/>
                <w:b/>
                <w:sz w:val="18"/>
                <w:szCs w:val="18"/>
              </w:rPr>
              <w:t>%</w:t>
            </w:r>
          </w:p>
        </w:tc>
        <w:tc>
          <w:tcPr>
            <w:tcW w:w="2394" w:type="dxa"/>
            <w:gridSpan w:val="2"/>
            <w:tcBorders>
              <w:left w:val="single" w:sz="6" w:space="0" w:color="FF6600"/>
              <w:right w:val="single" w:sz="6" w:space="0" w:color="FF6600"/>
            </w:tcBorders>
            <w:shd w:val="clear" w:color="auto" w:fill="FDE9D9" w:themeFill="accent6" w:themeFillTint="33"/>
            <w:vAlign w:val="center"/>
          </w:tcPr>
          <w:p w:rsidR="000D4A66" w:rsidRPr="005B7CDB" w:rsidRDefault="000D4A66" w:rsidP="009D6B40">
            <w:pPr>
              <w:snapToGrid w:val="0"/>
              <w:jc w:val="center"/>
              <w:rPr>
                <w:rFonts w:ascii="楷体" w:eastAsia="楷体" w:hAnsi="楷体"/>
                <w:b/>
                <w:sz w:val="18"/>
                <w:szCs w:val="18"/>
              </w:rPr>
            </w:pPr>
            <w:proofErr w:type="gramStart"/>
            <w:r w:rsidRPr="005B7CDB">
              <w:rPr>
                <w:rFonts w:ascii="楷体" w:eastAsia="楷体" w:hAnsi="楷体"/>
                <w:b/>
                <w:sz w:val="18"/>
                <w:szCs w:val="18"/>
              </w:rPr>
              <w:t>凯</w:t>
            </w:r>
            <w:proofErr w:type="gramEnd"/>
            <w:r w:rsidRPr="005B7CDB">
              <w:rPr>
                <w:rFonts w:ascii="楷体" w:eastAsia="楷体" w:hAnsi="楷体"/>
                <w:b/>
                <w:sz w:val="18"/>
                <w:szCs w:val="18"/>
              </w:rPr>
              <w:t>石分类</w:t>
            </w:r>
          </w:p>
        </w:tc>
        <w:tc>
          <w:tcPr>
            <w:tcW w:w="1197" w:type="dxa"/>
            <w:tcBorders>
              <w:left w:val="single" w:sz="6" w:space="0" w:color="FF6600"/>
            </w:tcBorders>
            <w:shd w:val="clear" w:color="auto" w:fill="FDE9D9" w:themeFill="accent6" w:themeFillTint="33"/>
            <w:vAlign w:val="center"/>
          </w:tcPr>
          <w:p w:rsidR="000D4A66" w:rsidRPr="005B7CDB" w:rsidRDefault="000D4A66" w:rsidP="009D6B40">
            <w:pPr>
              <w:snapToGrid w:val="0"/>
              <w:jc w:val="center"/>
              <w:rPr>
                <w:rFonts w:ascii="楷体" w:eastAsia="楷体" w:hAnsi="楷体"/>
                <w:b/>
                <w:sz w:val="18"/>
                <w:szCs w:val="18"/>
              </w:rPr>
            </w:pPr>
            <w:r w:rsidRPr="005B7CDB">
              <w:rPr>
                <w:rFonts w:ascii="楷体" w:eastAsia="楷体" w:hAnsi="楷体"/>
                <w:b/>
                <w:sz w:val="18"/>
                <w:szCs w:val="18"/>
              </w:rPr>
              <w:t>周收益率</w:t>
            </w:r>
            <w:r w:rsidR="006A6E20">
              <w:rPr>
                <w:rFonts w:ascii="楷体" w:eastAsia="楷体" w:hAnsi="楷体"/>
                <w:b/>
                <w:sz w:val="18"/>
                <w:szCs w:val="18"/>
              </w:rPr>
              <w:t>%</w:t>
            </w:r>
          </w:p>
        </w:tc>
      </w:tr>
      <w:tr w:rsidR="00366935" w:rsidRPr="005B7CDB" w:rsidTr="009D6B40">
        <w:trPr>
          <w:cantSplit/>
          <w:trHeight w:val="284"/>
        </w:trPr>
        <w:tc>
          <w:tcPr>
            <w:tcW w:w="993" w:type="dxa"/>
            <w:vMerge w:val="restart"/>
            <w:tcBorders>
              <w:right w:val="single" w:sz="6" w:space="0" w:color="FF6600"/>
            </w:tcBorders>
            <w:shd w:val="clear" w:color="auto" w:fill="FDE9D9" w:themeFill="accent6" w:themeFillTint="33"/>
            <w:vAlign w:val="center"/>
          </w:tcPr>
          <w:p w:rsidR="00366935" w:rsidRPr="007E0CA0" w:rsidRDefault="00366935" w:rsidP="009D6B40">
            <w:pPr>
              <w:snapToGrid w:val="0"/>
              <w:jc w:val="center"/>
              <w:rPr>
                <w:rFonts w:ascii="楷体" w:eastAsia="楷体" w:hAnsi="楷体"/>
                <w:b/>
                <w:sz w:val="18"/>
                <w:szCs w:val="18"/>
              </w:rPr>
            </w:pPr>
            <w:r w:rsidRPr="007E0CA0">
              <w:rPr>
                <w:rFonts w:ascii="楷体" w:eastAsia="楷体" w:hAnsi="楷体"/>
                <w:b/>
                <w:sz w:val="18"/>
                <w:szCs w:val="18"/>
              </w:rPr>
              <w:t>股票型</w:t>
            </w:r>
          </w:p>
        </w:tc>
        <w:tc>
          <w:tcPr>
            <w:tcW w:w="1400" w:type="dxa"/>
            <w:tcBorders>
              <w:left w:val="single" w:sz="6" w:space="0" w:color="FF6600"/>
              <w:right w:val="single" w:sz="6" w:space="0" w:color="FF6600"/>
            </w:tcBorders>
            <w:shd w:val="clear" w:color="auto" w:fill="FDE9D9" w:themeFill="accent6" w:themeFillTint="33"/>
            <w:vAlign w:val="center"/>
          </w:tcPr>
          <w:p w:rsidR="00366935" w:rsidRPr="007E0CA0" w:rsidRDefault="00366935" w:rsidP="009D6B40">
            <w:pPr>
              <w:snapToGrid w:val="0"/>
              <w:jc w:val="center"/>
              <w:rPr>
                <w:rFonts w:ascii="楷体" w:eastAsia="楷体" w:hAnsi="楷体"/>
                <w:b/>
                <w:sz w:val="18"/>
                <w:szCs w:val="18"/>
              </w:rPr>
            </w:pPr>
            <w:r w:rsidRPr="007E0CA0">
              <w:rPr>
                <w:rFonts w:ascii="楷体" w:eastAsia="楷体" w:hAnsi="楷体"/>
                <w:b/>
                <w:sz w:val="18"/>
                <w:szCs w:val="18"/>
              </w:rPr>
              <w:t>股票-主动型</w:t>
            </w:r>
          </w:p>
        </w:tc>
        <w:tc>
          <w:tcPr>
            <w:tcW w:w="1197" w:type="dxa"/>
            <w:tcBorders>
              <w:left w:val="single" w:sz="6" w:space="0" w:color="FF6600"/>
              <w:right w:val="single" w:sz="6" w:space="0" w:color="FF6600"/>
            </w:tcBorders>
            <w:shd w:val="clear" w:color="auto" w:fill="auto"/>
            <w:vAlign w:val="center"/>
          </w:tcPr>
          <w:p w:rsidR="00366935" w:rsidRPr="00BC4B17" w:rsidRDefault="00FD597D" w:rsidP="009D6B40">
            <w:pPr>
              <w:snapToGrid w:val="0"/>
              <w:jc w:val="center"/>
              <w:rPr>
                <w:rFonts w:ascii="楷体" w:eastAsia="楷体" w:hAnsi="楷体"/>
                <w:sz w:val="18"/>
                <w:szCs w:val="18"/>
              </w:rPr>
            </w:pPr>
            <w:r w:rsidRPr="00BC4B17">
              <w:rPr>
                <w:rFonts w:ascii="楷体" w:eastAsia="楷体" w:hAnsi="楷体" w:hint="eastAsia"/>
                <w:sz w:val="18"/>
                <w:szCs w:val="18"/>
              </w:rPr>
              <w:t>0.07</w:t>
            </w:r>
          </w:p>
        </w:tc>
        <w:tc>
          <w:tcPr>
            <w:tcW w:w="946" w:type="dxa"/>
            <w:vMerge w:val="restart"/>
            <w:tcBorders>
              <w:left w:val="single" w:sz="6" w:space="0" w:color="FF6600"/>
              <w:right w:val="single" w:sz="6" w:space="0" w:color="FF6600"/>
            </w:tcBorders>
            <w:shd w:val="clear" w:color="auto" w:fill="FDE9D9" w:themeFill="accent6" w:themeFillTint="33"/>
            <w:vAlign w:val="center"/>
          </w:tcPr>
          <w:p w:rsidR="00366935" w:rsidRPr="007E0CA0" w:rsidRDefault="00366935" w:rsidP="009D6B40">
            <w:pPr>
              <w:snapToGrid w:val="0"/>
              <w:jc w:val="center"/>
              <w:rPr>
                <w:rFonts w:ascii="楷体" w:eastAsia="楷体" w:hAnsi="楷体"/>
                <w:b/>
                <w:sz w:val="18"/>
                <w:szCs w:val="18"/>
              </w:rPr>
            </w:pPr>
            <w:r w:rsidRPr="007E0CA0">
              <w:rPr>
                <w:rFonts w:ascii="楷体" w:eastAsia="楷体" w:hAnsi="楷体"/>
                <w:b/>
                <w:sz w:val="18"/>
                <w:szCs w:val="18"/>
              </w:rPr>
              <w:t>债券型</w:t>
            </w:r>
          </w:p>
        </w:tc>
        <w:tc>
          <w:tcPr>
            <w:tcW w:w="1448" w:type="dxa"/>
            <w:tcBorders>
              <w:left w:val="single" w:sz="6" w:space="0" w:color="FF6600"/>
              <w:right w:val="single" w:sz="6" w:space="0" w:color="FF6600"/>
            </w:tcBorders>
            <w:shd w:val="clear" w:color="auto" w:fill="FDE9D9" w:themeFill="accent6" w:themeFillTint="33"/>
            <w:vAlign w:val="center"/>
          </w:tcPr>
          <w:p w:rsidR="00366935" w:rsidRPr="007E0CA0" w:rsidRDefault="00366935" w:rsidP="009D6B40">
            <w:pPr>
              <w:snapToGrid w:val="0"/>
              <w:jc w:val="center"/>
              <w:rPr>
                <w:rFonts w:ascii="楷体" w:eastAsia="楷体" w:hAnsi="楷体" w:cs="宋体"/>
                <w:b/>
                <w:bCs/>
                <w:sz w:val="18"/>
                <w:szCs w:val="18"/>
              </w:rPr>
            </w:pPr>
            <w:r w:rsidRPr="007E0CA0">
              <w:rPr>
                <w:rFonts w:ascii="楷体" w:eastAsia="楷体" w:hAnsi="楷体" w:hint="eastAsia"/>
                <w:b/>
                <w:bCs/>
                <w:sz w:val="18"/>
                <w:szCs w:val="18"/>
              </w:rPr>
              <w:t>债券-</w:t>
            </w:r>
            <w:proofErr w:type="gramStart"/>
            <w:r w:rsidRPr="007E0CA0">
              <w:rPr>
                <w:rFonts w:ascii="楷体" w:eastAsia="楷体" w:hAnsi="楷体" w:hint="eastAsia"/>
                <w:b/>
                <w:bCs/>
                <w:sz w:val="18"/>
                <w:szCs w:val="18"/>
              </w:rPr>
              <w:t>纯债基金</w:t>
            </w:r>
            <w:proofErr w:type="gramEnd"/>
          </w:p>
        </w:tc>
        <w:tc>
          <w:tcPr>
            <w:tcW w:w="1197" w:type="dxa"/>
            <w:tcBorders>
              <w:left w:val="single" w:sz="6" w:space="0" w:color="FF6600"/>
              <w:right w:val="single" w:sz="6" w:space="0" w:color="FF6600"/>
            </w:tcBorders>
            <w:shd w:val="clear" w:color="auto" w:fill="auto"/>
            <w:vAlign w:val="center"/>
          </w:tcPr>
          <w:p w:rsidR="00366935" w:rsidRPr="00DB7D1B" w:rsidRDefault="00E72898" w:rsidP="009D6B40">
            <w:pPr>
              <w:snapToGrid w:val="0"/>
              <w:jc w:val="center"/>
              <w:rPr>
                <w:rFonts w:ascii="楷体" w:eastAsia="楷体" w:hAnsi="楷体"/>
                <w:sz w:val="18"/>
                <w:szCs w:val="18"/>
              </w:rPr>
            </w:pPr>
            <w:r w:rsidRPr="00DB7D1B">
              <w:rPr>
                <w:rFonts w:ascii="楷体" w:eastAsia="楷体" w:hAnsi="楷体" w:hint="eastAsia"/>
                <w:sz w:val="18"/>
                <w:szCs w:val="18"/>
              </w:rPr>
              <w:t>0.</w:t>
            </w:r>
            <w:r w:rsidR="00A52726" w:rsidRPr="00DB7D1B">
              <w:rPr>
                <w:rFonts w:ascii="楷体" w:eastAsia="楷体" w:hAnsi="楷体" w:hint="eastAsia"/>
                <w:sz w:val="18"/>
                <w:szCs w:val="18"/>
              </w:rPr>
              <w:t>41</w:t>
            </w:r>
          </w:p>
        </w:tc>
        <w:tc>
          <w:tcPr>
            <w:tcW w:w="2394" w:type="dxa"/>
            <w:gridSpan w:val="2"/>
            <w:tcBorders>
              <w:left w:val="single" w:sz="6" w:space="0" w:color="FF6600"/>
              <w:right w:val="single" w:sz="6" w:space="0" w:color="FF6600"/>
            </w:tcBorders>
            <w:shd w:val="clear" w:color="auto" w:fill="FDE9D9" w:themeFill="accent6" w:themeFillTint="33"/>
            <w:vAlign w:val="center"/>
          </w:tcPr>
          <w:p w:rsidR="00366935" w:rsidRPr="007E0CA0" w:rsidRDefault="00366935" w:rsidP="00884478">
            <w:pPr>
              <w:snapToGrid w:val="0"/>
              <w:jc w:val="center"/>
              <w:rPr>
                <w:rFonts w:ascii="楷体" w:eastAsia="楷体" w:hAnsi="楷体"/>
                <w:b/>
                <w:sz w:val="18"/>
                <w:szCs w:val="18"/>
              </w:rPr>
            </w:pPr>
            <w:r w:rsidRPr="007E0CA0">
              <w:rPr>
                <w:rFonts w:ascii="楷体" w:eastAsia="楷体" w:hAnsi="楷体"/>
                <w:b/>
                <w:sz w:val="18"/>
                <w:szCs w:val="18"/>
              </w:rPr>
              <w:t>货币市场基金</w:t>
            </w:r>
            <w:proofErr w:type="gramStart"/>
            <w:r w:rsidR="0086042C">
              <w:rPr>
                <w:rFonts w:ascii="楷体" w:eastAsia="楷体" w:hAnsi="楷体" w:hint="eastAsia"/>
                <w:b/>
                <w:sz w:val="18"/>
                <w:szCs w:val="18"/>
              </w:rPr>
              <w:t>7</w:t>
            </w:r>
            <w:r w:rsidR="000D6FC5">
              <w:rPr>
                <w:rFonts w:ascii="楷体" w:eastAsia="楷体" w:hAnsi="楷体" w:hint="eastAsia"/>
                <w:b/>
                <w:sz w:val="18"/>
                <w:szCs w:val="18"/>
              </w:rPr>
              <w:t>日</w:t>
            </w:r>
            <w:r w:rsidR="0086042C">
              <w:rPr>
                <w:rFonts w:ascii="楷体" w:eastAsia="楷体" w:hAnsi="楷体" w:hint="eastAsia"/>
                <w:b/>
                <w:sz w:val="18"/>
                <w:szCs w:val="18"/>
              </w:rPr>
              <w:t>年化收益率</w:t>
            </w:r>
            <w:proofErr w:type="gramEnd"/>
          </w:p>
        </w:tc>
        <w:tc>
          <w:tcPr>
            <w:tcW w:w="1197" w:type="dxa"/>
            <w:tcBorders>
              <w:left w:val="single" w:sz="6" w:space="0" w:color="FF6600"/>
            </w:tcBorders>
            <w:shd w:val="clear" w:color="auto" w:fill="auto"/>
            <w:vAlign w:val="center"/>
          </w:tcPr>
          <w:p w:rsidR="00366935" w:rsidRPr="007E0CA0" w:rsidRDefault="00F53BFA" w:rsidP="00884478">
            <w:pPr>
              <w:snapToGrid w:val="0"/>
              <w:jc w:val="center"/>
              <w:rPr>
                <w:rFonts w:ascii="楷体" w:eastAsia="楷体" w:hAnsi="楷体"/>
                <w:sz w:val="18"/>
                <w:szCs w:val="18"/>
              </w:rPr>
            </w:pPr>
            <w:r>
              <w:rPr>
                <w:rFonts w:ascii="楷体" w:eastAsia="楷体" w:hAnsi="楷体" w:hint="eastAsia"/>
                <w:sz w:val="18"/>
                <w:szCs w:val="18"/>
              </w:rPr>
              <w:t>4.</w:t>
            </w:r>
            <w:r w:rsidR="00B864EF">
              <w:rPr>
                <w:rFonts w:ascii="楷体" w:eastAsia="楷体" w:hAnsi="楷体" w:hint="eastAsia"/>
                <w:sz w:val="18"/>
                <w:szCs w:val="18"/>
              </w:rPr>
              <w:t>17</w:t>
            </w:r>
          </w:p>
        </w:tc>
      </w:tr>
      <w:tr w:rsidR="00366935" w:rsidRPr="005B7CDB" w:rsidTr="009D6B40">
        <w:trPr>
          <w:cantSplit/>
          <w:trHeight w:val="284"/>
        </w:trPr>
        <w:tc>
          <w:tcPr>
            <w:tcW w:w="993" w:type="dxa"/>
            <w:vMerge/>
            <w:tcBorders>
              <w:right w:val="single" w:sz="6" w:space="0" w:color="FF6600"/>
            </w:tcBorders>
            <w:shd w:val="clear" w:color="auto" w:fill="FDE9D9" w:themeFill="accent6" w:themeFillTint="33"/>
            <w:vAlign w:val="center"/>
          </w:tcPr>
          <w:p w:rsidR="00366935" w:rsidRPr="007E0CA0" w:rsidRDefault="00366935" w:rsidP="009D6B40">
            <w:pPr>
              <w:snapToGrid w:val="0"/>
              <w:jc w:val="center"/>
              <w:rPr>
                <w:rFonts w:ascii="楷体" w:eastAsia="楷体" w:hAnsi="楷体"/>
                <w:b/>
                <w:sz w:val="18"/>
                <w:szCs w:val="18"/>
              </w:rPr>
            </w:pPr>
          </w:p>
        </w:tc>
        <w:tc>
          <w:tcPr>
            <w:tcW w:w="1400" w:type="dxa"/>
            <w:tcBorders>
              <w:left w:val="single" w:sz="6" w:space="0" w:color="FF6600"/>
              <w:right w:val="single" w:sz="6" w:space="0" w:color="FF6600"/>
            </w:tcBorders>
            <w:shd w:val="clear" w:color="auto" w:fill="FDE9D9" w:themeFill="accent6" w:themeFillTint="33"/>
            <w:vAlign w:val="center"/>
          </w:tcPr>
          <w:p w:rsidR="00366935" w:rsidRPr="007E0CA0" w:rsidRDefault="00366935" w:rsidP="009D6B40">
            <w:pPr>
              <w:snapToGrid w:val="0"/>
              <w:jc w:val="center"/>
              <w:rPr>
                <w:rFonts w:ascii="楷体" w:eastAsia="楷体" w:hAnsi="楷体"/>
                <w:b/>
                <w:sz w:val="18"/>
                <w:szCs w:val="18"/>
              </w:rPr>
            </w:pPr>
            <w:r w:rsidRPr="007E0CA0">
              <w:rPr>
                <w:rFonts w:ascii="楷体" w:eastAsia="楷体" w:hAnsi="楷体"/>
                <w:b/>
                <w:sz w:val="18"/>
                <w:szCs w:val="18"/>
              </w:rPr>
              <w:t>股票-指数型</w:t>
            </w:r>
          </w:p>
        </w:tc>
        <w:tc>
          <w:tcPr>
            <w:tcW w:w="1197" w:type="dxa"/>
            <w:tcBorders>
              <w:left w:val="single" w:sz="6" w:space="0" w:color="FF6600"/>
              <w:right w:val="single" w:sz="6" w:space="0" w:color="FF6600"/>
            </w:tcBorders>
            <w:shd w:val="clear" w:color="auto" w:fill="auto"/>
            <w:vAlign w:val="center"/>
          </w:tcPr>
          <w:p w:rsidR="00366935" w:rsidRPr="00BC4B17" w:rsidRDefault="00FD597D" w:rsidP="009D6B40">
            <w:pPr>
              <w:snapToGrid w:val="0"/>
              <w:jc w:val="center"/>
              <w:rPr>
                <w:rFonts w:ascii="楷体" w:eastAsia="楷体" w:hAnsi="楷体"/>
                <w:color w:val="FF0000"/>
                <w:sz w:val="18"/>
                <w:szCs w:val="18"/>
              </w:rPr>
            </w:pPr>
            <w:r w:rsidRPr="00BC4B17">
              <w:rPr>
                <w:rFonts w:ascii="楷体" w:eastAsia="楷体" w:hAnsi="楷体" w:hint="eastAsia"/>
                <w:color w:val="FF0000"/>
                <w:sz w:val="18"/>
                <w:szCs w:val="18"/>
              </w:rPr>
              <w:t>-0.60</w:t>
            </w:r>
          </w:p>
        </w:tc>
        <w:tc>
          <w:tcPr>
            <w:tcW w:w="946" w:type="dxa"/>
            <w:vMerge/>
            <w:tcBorders>
              <w:left w:val="single" w:sz="6" w:space="0" w:color="FF6600"/>
              <w:right w:val="single" w:sz="6" w:space="0" w:color="FF6600"/>
            </w:tcBorders>
            <w:shd w:val="clear" w:color="auto" w:fill="FDE9D9" w:themeFill="accent6" w:themeFillTint="33"/>
            <w:vAlign w:val="center"/>
          </w:tcPr>
          <w:p w:rsidR="00366935" w:rsidRPr="007E0CA0" w:rsidRDefault="00366935" w:rsidP="009D6B40">
            <w:pPr>
              <w:snapToGrid w:val="0"/>
              <w:jc w:val="center"/>
              <w:rPr>
                <w:rFonts w:ascii="楷体" w:eastAsia="楷体" w:hAnsi="楷体"/>
                <w:b/>
                <w:sz w:val="18"/>
                <w:szCs w:val="18"/>
              </w:rPr>
            </w:pPr>
          </w:p>
        </w:tc>
        <w:tc>
          <w:tcPr>
            <w:tcW w:w="1448" w:type="dxa"/>
            <w:tcBorders>
              <w:left w:val="single" w:sz="6" w:space="0" w:color="FF6600"/>
              <w:right w:val="single" w:sz="6" w:space="0" w:color="FF6600"/>
            </w:tcBorders>
            <w:shd w:val="clear" w:color="auto" w:fill="FDE9D9" w:themeFill="accent6" w:themeFillTint="33"/>
            <w:vAlign w:val="center"/>
          </w:tcPr>
          <w:p w:rsidR="00366935" w:rsidRPr="007E0CA0" w:rsidRDefault="00366935" w:rsidP="009D6B40">
            <w:pPr>
              <w:snapToGrid w:val="0"/>
              <w:jc w:val="center"/>
              <w:rPr>
                <w:rFonts w:ascii="楷体" w:eastAsia="楷体" w:hAnsi="楷体" w:cs="宋体"/>
                <w:b/>
                <w:bCs/>
                <w:sz w:val="18"/>
                <w:szCs w:val="18"/>
              </w:rPr>
            </w:pPr>
            <w:r w:rsidRPr="007E0CA0">
              <w:rPr>
                <w:rFonts w:ascii="楷体" w:eastAsia="楷体" w:hAnsi="楷体" w:hint="eastAsia"/>
                <w:b/>
                <w:bCs/>
                <w:sz w:val="18"/>
                <w:szCs w:val="18"/>
              </w:rPr>
              <w:t>债券-</w:t>
            </w:r>
            <w:proofErr w:type="gramStart"/>
            <w:r w:rsidRPr="007E0CA0">
              <w:rPr>
                <w:rFonts w:ascii="楷体" w:eastAsia="楷体" w:hAnsi="楷体" w:hint="eastAsia"/>
                <w:b/>
                <w:bCs/>
                <w:sz w:val="18"/>
                <w:szCs w:val="18"/>
              </w:rPr>
              <w:t>一级债基</w:t>
            </w:r>
            <w:proofErr w:type="gramEnd"/>
          </w:p>
        </w:tc>
        <w:tc>
          <w:tcPr>
            <w:tcW w:w="1197" w:type="dxa"/>
            <w:tcBorders>
              <w:left w:val="single" w:sz="6" w:space="0" w:color="FF6600"/>
              <w:right w:val="single" w:sz="6" w:space="0" w:color="FF6600"/>
            </w:tcBorders>
            <w:shd w:val="clear" w:color="auto" w:fill="auto"/>
            <w:vAlign w:val="center"/>
          </w:tcPr>
          <w:p w:rsidR="00366935" w:rsidRPr="00DB7D1B" w:rsidRDefault="00D42D8C" w:rsidP="009D6B40">
            <w:pPr>
              <w:snapToGrid w:val="0"/>
              <w:jc w:val="center"/>
              <w:rPr>
                <w:rFonts w:ascii="楷体" w:eastAsia="楷体" w:hAnsi="楷体"/>
                <w:sz w:val="18"/>
                <w:szCs w:val="18"/>
              </w:rPr>
            </w:pPr>
            <w:r w:rsidRPr="00DB7D1B">
              <w:rPr>
                <w:rFonts w:ascii="楷体" w:eastAsia="楷体" w:hAnsi="楷体" w:hint="eastAsia"/>
                <w:sz w:val="18"/>
                <w:szCs w:val="18"/>
              </w:rPr>
              <w:t>0.</w:t>
            </w:r>
            <w:r w:rsidR="000C51A4" w:rsidRPr="00DB7D1B">
              <w:rPr>
                <w:rFonts w:ascii="楷体" w:eastAsia="楷体" w:hAnsi="楷体" w:hint="eastAsia"/>
                <w:sz w:val="18"/>
                <w:szCs w:val="18"/>
              </w:rPr>
              <w:t>48</w:t>
            </w:r>
          </w:p>
        </w:tc>
        <w:tc>
          <w:tcPr>
            <w:tcW w:w="1041" w:type="dxa"/>
            <w:vMerge w:val="restart"/>
            <w:tcBorders>
              <w:left w:val="single" w:sz="6" w:space="0" w:color="FF6600"/>
              <w:right w:val="single" w:sz="6" w:space="0" w:color="FF6600"/>
            </w:tcBorders>
            <w:shd w:val="clear" w:color="auto" w:fill="FDE9D9" w:themeFill="accent6" w:themeFillTint="33"/>
            <w:vAlign w:val="center"/>
          </w:tcPr>
          <w:p w:rsidR="00366935" w:rsidRPr="007E0CA0" w:rsidRDefault="00366935" w:rsidP="009D6B40">
            <w:pPr>
              <w:snapToGrid w:val="0"/>
              <w:jc w:val="center"/>
              <w:rPr>
                <w:rFonts w:ascii="楷体" w:eastAsia="楷体" w:hAnsi="楷体"/>
                <w:b/>
                <w:sz w:val="18"/>
                <w:szCs w:val="18"/>
              </w:rPr>
            </w:pPr>
            <w:r w:rsidRPr="007E0CA0">
              <w:rPr>
                <w:rFonts w:ascii="楷体" w:eastAsia="楷体" w:hAnsi="楷体"/>
                <w:b/>
                <w:sz w:val="18"/>
                <w:szCs w:val="18"/>
              </w:rPr>
              <w:t>分级基金</w:t>
            </w:r>
          </w:p>
          <w:p w:rsidR="00366935" w:rsidRPr="007E0CA0" w:rsidRDefault="00366935" w:rsidP="009D6B40">
            <w:pPr>
              <w:snapToGrid w:val="0"/>
              <w:jc w:val="center"/>
              <w:rPr>
                <w:rFonts w:ascii="楷体" w:eastAsia="楷体" w:hAnsi="楷体"/>
                <w:b/>
                <w:sz w:val="18"/>
                <w:szCs w:val="18"/>
              </w:rPr>
            </w:pPr>
            <w:r w:rsidRPr="007E0CA0">
              <w:rPr>
                <w:rFonts w:ascii="楷体" w:eastAsia="楷体" w:hAnsi="楷体"/>
                <w:b/>
                <w:sz w:val="18"/>
                <w:szCs w:val="18"/>
              </w:rPr>
              <w:t>子份额</w:t>
            </w:r>
          </w:p>
        </w:tc>
        <w:tc>
          <w:tcPr>
            <w:tcW w:w="1353" w:type="dxa"/>
            <w:tcBorders>
              <w:left w:val="single" w:sz="6" w:space="0" w:color="FF6600"/>
              <w:right w:val="single" w:sz="6" w:space="0" w:color="FF6600"/>
            </w:tcBorders>
            <w:shd w:val="clear" w:color="auto" w:fill="FDE9D9" w:themeFill="accent6" w:themeFillTint="33"/>
            <w:vAlign w:val="center"/>
          </w:tcPr>
          <w:p w:rsidR="00366935" w:rsidRPr="007E0CA0" w:rsidRDefault="00366935" w:rsidP="009D6B40">
            <w:pPr>
              <w:snapToGrid w:val="0"/>
              <w:jc w:val="center"/>
              <w:rPr>
                <w:rFonts w:ascii="楷体" w:eastAsia="楷体" w:hAnsi="楷体"/>
                <w:b/>
                <w:sz w:val="18"/>
                <w:szCs w:val="18"/>
              </w:rPr>
            </w:pPr>
            <w:r w:rsidRPr="007E0CA0">
              <w:rPr>
                <w:rFonts w:ascii="楷体" w:eastAsia="楷体" w:hAnsi="楷体"/>
                <w:b/>
                <w:sz w:val="18"/>
                <w:szCs w:val="18"/>
              </w:rPr>
              <w:t>股票稳健</w:t>
            </w:r>
          </w:p>
        </w:tc>
        <w:tc>
          <w:tcPr>
            <w:tcW w:w="1197" w:type="dxa"/>
            <w:tcBorders>
              <w:left w:val="single" w:sz="6" w:space="0" w:color="FF6600"/>
            </w:tcBorders>
            <w:shd w:val="clear" w:color="auto" w:fill="auto"/>
            <w:vAlign w:val="center"/>
          </w:tcPr>
          <w:p w:rsidR="00366935" w:rsidRPr="007E0CA0" w:rsidRDefault="00047EDC" w:rsidP="009D6B40">
            <w:pPr>
              <w:snapToGrid w:val="0"/>
              <w:jc w:val="center"/>
              <w:rPr>
                <w:rFonts w:ascii="楷体" w:eastAsia="楷体" w:hAnsi="楷体"/>
                <w:sz w:val="18"/>
                <w:szCs w:val="18"/>
              </w:rPr>
            </w:pPr>
            <w:r>
              <w:rPr>
                <w:rFonts w:ascii="楷体" w:eastAsia="楷体" w:hAnsi="楷体" w:hint="eastAsia"/>
                <w:sz w:val="18"/>
                <w:szCs w:val="18"/>
              </w:rPr>
              <w:t>0.</w:t>
            </w:r>
            <w:r w:rsidR="0071416B">
              <w:rPr>
                <w:rFonts w:ascii="楷体" w:eastAsia="楷体" w:hAnsi="楷体" w:hint="eastAsia"/>
                <w:sz w:val="18"/>
                <w:szCs w:val="18"/>
              </w:rPr>
              <w:t>06</w:t>
            </w:r>
          </w:p>
        </w:tc>
      </w:tr>
      <w:tr w:rsidR="00366935" w:rsidRPr="005B7CDB" w:rsidTr="009D6B40">
        <w:trPr>
          <w:cantSplit/>
          <w:trHeight w:val="284"/>
        </w:trPr>
        <w:tc>
          <w:tcPr>
            <w:tcW w:w="993" w:type="dxa"/>
            <w:vMerge w:val="restart"/>
            <w:tcBorders>
              <w:right w:val="single" w:sz="6" w:space="0" w:color="FF6600"/>
            </w:tcBorders>
            <w:shd w:val="clear" w:color="auto" w:fill="FDE9D9" w:themeFill="accent6" w:themeFillTint="33"/>
            <w:vAlign w:val="center"/>
          </w:tcPr>
          <w:p w:rsidR="00366935" w:rsidRPr="007E0CA0" w:rsidRDefault="00366935" w:rsidP="009D6B40">
            <w:pPr>
              <w:snapToGrid w:val="0"/>
              <w:jc w:val="center"/>
              <w:rPr>
                <w:rFonts w:ascii="楷体" w:eastAsia="楷体" w:hAnsi="楷体"/>
                <w:b/>
                <w:sz w:val="18"/>
                <w:szCs w:val="18"/>
              </w:rPr>
            </w:pPr>
            <w:r w:rsidRPr="007E0CA0">
              <w:rPr>
                <w:rFonts w:ascii="楷体" w:eastAsia="楷体" w:hAnsi="楷体"/>
                <w:b/>
                <w:sz w:val="18"/>
                <w:szCs w:val="18"/>
              </w:rPr>
              <w:t>混合型</w:t>
            </w:r>
          </w:p>
        </w:tc>
        <w:tc>
          <w:tcPr>
            <w:tcW w:w="1400" w:type="dxa"/>
            <w:tcBorders>
              <w:left w:val="single" w:sz="6" w:space="0" w:color="FF6600"/>
              <w:right w:val="single" w:sz="6" w:space="0" w:color="FF6600"/>
            </w:tcBorders>
            <w:shd w:val="clear" w:color="auto" w:fill="FDE9D9" w:themeFill="accent6" w:themeFillTint="33"/>
            <w:vAlign w:val="center"/>
          </w:tcPr>
          <w:p w:rsidR="00366935" w:rsidRPr="007E0CA0" w:rsidRDefault="00366935" w:rsidP="009D6B40">
            <w:pPr>
              <w:snapToGrid w:val="0"/>
              <w:jc w:val="center"/>
              <w:rPr>
                <w:rFonts w:ascii="楷体" w:eastAsia="楷体" w:hAnsi="楷体" w:cs="宋体"/>
                <w:b/>
                <w:bCs/>
                <w:sz w:val="18"/>
                <w:szCs w:val="18"/>
              </w:rPr>
            </w:pPr>
            <w:r w:rsidRPr="007E0CA0">
              <w:rPr>
                <w:rFonts w:ascii="楷体" w:eastAsia="楷体" w:hAnsi="楷体" w:hint="eastAsia"/>
                <w:b/>
                <w:bCs/>
                <w:sz w:val="18"/>
                <w:szCs w:val="18"/>
              </w:rPr>
              <w:t>混合-</w:t>
            </w:r>
            <w:proofErr w:type="gramStart"/>
            <w:r w:rsidR="00983990" w:rsidRPr="007E0CA0">
              <w:rPr>
                <w:rFonts w:ascii="楷体" w:eastAsia="楷体" w:hAnsi="楷体" w:hint="eastAsia"/>
                <w:b/>
                <w:bCs/>
                <w:sz w:val="18"/>
                <w:szCs w:val="18"/>
              </w:rPr>
              <w:t>偏股</w:t>
            </w:r>
            <w:r w:rsidRPr="007E0CA0">
              <w:rPr>
                <w:rFonts w:ascii="楷体" w:eastAsia="楷体" w:hAnsi="楷体" w:hint="eastAsia"/>
                <w:b/>
                <w:bCs/>
                <w:sz w:val="18"/>
                <w:szCs w:val="18"/>
              </w:rPr>
              <w:t>型</w:t>
            </w:r>
            <w:proofErr w:type="gramEnd"/>
          </w:p>
        </w:tc>
        <w:tc>
          <w:tcPr>
            <w:tcW w:w="1197" w:type="dxa"/>
            <w:tcBorders>
              <w:left w:val="single" w:sz="6" w:space="0" w:color="FF6600"/>
              <w:right w:val="single" w:sz="6" w:space="0" w:color="FF6600"/>
            </w:tcBorders>
            <w:shd w:val="clear" w:color="auto" w:fill="auto"/>
            <w:vAlign w:val="center"/>
          </w:tcPr>
          <w:p w:rsidR="00366935" w:rsidRPr="00BC4B17" w:rsidRDefault="006175E2" w:rsidP="009D6B40">
            <w:pPr>
              <w:snapToGrid w:val="0"/>
              <w:jc w:val="center"/>
              <w:rPr>
                <w:rFonts w:ascii="楷体" w:eastAsia="楷体" w:hAnsi="楷体"/>
                <w:sz w:val="18"/>
                <w:szCs w:val="18"/>
              </w:rPr>
            </w:pPr>
            <w:r w:rsidRPr="00BC4B17">
              <w:rPr>
                <w:rFonts w:ascii="楷体" w:eastAsia="楷体" w:hAnsi="楷体" w:hint="eastAsia"/>
                <w:sz w:val="18"/>
                <w:szCs w:val="18"/>
              </w:rPr>
              <w:t>0.06</w:t>
            </w:r>
          </w:p>
        </w:tc>
        <w:tc>
          <w:tcPr>
            <w:tcW w:w="946" w:type="dxa"/>
            <w:vMerge/>
            <w:tcBorders>
              <w:left w:val="single" w:sz="6" w:space="0" w:color="FF6600"/>
              <w:right w:val="single" w:sz="6" w:space="0" w:color="FF6600"/>
            </w:tcBorders>
            <w:shd w:val="clear" w:color="auto" w:fill="FDE9D9" w:themeFill="accent6" w:themeFillTint="33"/>
            <w:vAlign w:val="center"/>
          </w:tcPr>
          <w:p w:rsidR="00366935" w:rsidRPr="007E0CA0" w:rsidRDefault="00366935" w:rsidP="009D6B40">
            <w:pPr>
              <w:snapToGrid w:val="0"/>
              <w:jc w:val="center"/>
              <w:rPr>
                <w:rFonts w:ascii="楷体" w:eastAsia="楷体" w:hAnsi="楷体"/>
                <w:b/>
                <w:sz w:val="18"/>
                <w:szCs w:val="18"/>
              </w:rPr>
            </w:pPr>
          </w:p>
        </w:tc>
        <w:tc>
          <w:tcPr>
            <w:tcW w:w="1448" w:type="dxa"/>
            <w:tcBorders>
              <w:left w:val="single" w:sz="6" w:space="0" w:color="FF6600"/>
              <w:right w:val="single" w:sz="6" w:space="0" w:color="FF6600"/>
            </w:tcBorders>
            <w:shd w:val="clear" w:color="auto" w:fill="FDE9D9" w:themeFill="accent6" w:themeFillTint="33"/>
            <w:vAlign w:val="center"/>
          </w:tcPr>
          <w:p w:rsidR="00366935" w:rsidRPr="007E0CA0" w:rsidRDefault="00366935" w:rsidP="009D6B40">
            <w:pPr>
              <w:snapToGrid w:val="0"/>
              <w:jc w:val="center"/>
              <w:rPr>
                <w:rFonts w:ascii="楷体" w:eastAsia="楷体" w:hAnsi="楷体" w:cs="宋体"/>
                <w:b/>
                <w:bCs/>
                <w:sz w:val="18"/>
                <w:szCs w:val="18"/>
              </w:rPr>
            </w:pPr>
            <w:r w:rsidRPr="007E0CA0">
              <w:rPr>
                <w:rFonts w:ascii="楷体" w:eastAsia="楷体" w:hAnsi="楷体" w:hint="eastAsia"/>
                <w:b/>
                <w:bCs/>
                <w:sz w:val="18"/>
                <w:szCs w:val="18"/>
              </w:rPr>
              <w:t>债券-</w:t>
            </w:r>
            <w:proofErr w:type="gramStart"/>
            <w:r w:rsidRPr="007E0CA0">
              <w:rPr>
                <w:rFonts w:ascii="楷体" w:eastAsia="楷体" w:hAnsi="楷体" w:hint="eastAsia"/>
                <w:b/>
                <w:bCs/>
                <w:sz w:val="18"/>
                <w:szCs w:val="18"/>
              </w:rPr>
              <w:t>二级债基</w:t>
            </w:r>
            <w:proofErr w:type="gramEnd"/>
          </w:p>
        </w:tc>
        <w:tc>
          <w:tcPr>
            <w:tcW w:w="1197" w:type="dxa"/>
            <w:tcBorders>
              <w:left w:val="single" w:sz="6" w:space="0" w:color="FF6600"/>
              <w:right w:val="single" w:sz="6" w:space="0" w:color="FF6600"/>
            </w:tcBorders>
            <w:shd w:val="clear" w:color="auto" w:fill="auto"/>
            <w:vAlign w:val="center"/>
          </w:tcPr>
          <w:p w:rsidR="00366935" w:rsidRPr="00DB7D1B" w:rsidRDefault="00D42D8C" w:rsidP="009D6B40">
            <w:pPr>
              <w:snapToGrid w:val="0"/>
              <w:jc w:val="center"/>
              <w:rPr>
                <w:rFonts w:ascii="楷体" w:eastAsia="楷体" w:hAnsi="楷体"/>
                <w:sz w:val="18"/>
                <w:szCs w:val="18"/>
              </w:rPr>
            </w:pPr>
            <w:r w:rsidRPr="00DB7D1B">
              <w:rPr>
                <w:rFonts w:ascii="楷体" w:eastAsia="楷体" w:hAnsi="楷体" w:hint="eastAsia"/>
                <w:sz w:val="18"/>
                <w:szCs w:val="18"/>
              </w:rPr>
              <w:t>0.</w:t>
            </w:r>
            <w:r w:rsidR="000C51A4" w:rsidRPr="00DB7D1B">
              <w:rPr>
                <w:rFonts w:ascii="楷体" w:eastAsia="楷体" w:hAnsi="楷体" w:hint="eastAsia"/>
                <w:sz w:val="18"/>
                <w:szCs w:val="18"/>
              </w:rPr>
              <w:t>45</w:t>
            </w:r>
          </w:p>
        </w:tc>
        <w:tc>
          <w:tcPr>
            <w:tcW w:w="1041" w:type="dxa"/>
            <w:vMerge/>
            <w:tcBorders>
              <w:left w:val="single" w:sz="6" w:space="0" w:color="FF6600"/>
              <w:right w:val="single" w:sz="6" w:space="0" w:color="FF6600"/>
            </w:tcBorders>
            <w:shd w:val="clear" w:color="auto" w:fill="FDE9D9" w:themeFill="accent6" w:themeFillTint="33"/>
            <w:vAlign w:val="center"/>
          </w:tcPr>
          <w:p w:rsidR="00366935" w:rsidRPr="007E0CA0" w:rsidRDefault="00366935" w:rsidP="009D6B40">
            <w:pPr>
              <w:snapToGrid w:val="0"/>
              <w:jc w:val="center"/>
              <w:rPr>
                <w:rFonts w:ascii="楷体" w:eastAsia="楷体" w:hAnsi="楷体"/>
                <w:b/>
                <w:sz w:val="18"/>
                <w:szCs w:val="18"/>
              </w:rPr>
            </w:pPr>
          </w:p>
        </w:tc>
        <w:tc>
          <w:tcPr>
            <w:tcW w:w="1353" w:type="dxa"/>
            <w:tcBorders>
              <w:left w:val="single" w:sz="6" w:space="0" w:color="FF6600"/>
              <w:right w:val="single" w:sz="6" w:space="0" w:color="FF6600"/>
            </w:tcBorders>
            <w:shd w:val="clear" w:color="auto" w:fill="FDE9D9" w:themeFill="accent6" w:themeFillTint="33"/>
            <w:vAlign w:val="center"/>
          </w:tcPr>
          <w:p w:rsidR="00366935" w:rsidRPr="007E0CA0" w:rsidRDefault="00366935" w:rsidP="009D6B40">
            <w:pPr>
              <w:snapToGrid w:val="0"/>
              <w:jc w:val="center"/>
              <w:rPr>
                <w:rFonts w:ascii="楷体" w:eastAsia="楷体" w:hAnsi="楷体"/>
                <w:b/>
                <w:sz w:val="18"/>
                <w:szCs w:val="18"/>
              </w:rPr>
            </w:pPr>
            <w:r w:rsidRPr="007E0CA0">
              <w:rPr>
                <w:rFonts w:ascii="楷体" w:eastAsia="楷体" w:hAnsi="楷体"/>
                <w:b/>
                <w:sz w:val="18"/>
                <w:szCs w:val="18"/>
              </w:rPr>
              <w:t>股票积极</w:t>
            </w:r>
          </w:p>
        </w:tc>
        <w:tc>
          <w:tcPr>
            <w:tcW w:w="1197" w:type="dxa"/>
            <w:tcBorders>
              <w:left w:val="single" w:sz="6" w:space="0" w:color="FF6600"/>
            </w:tcBorders>
            <w:shd w:val="clear" w:color="auto" w:fill="auto"/>
            <w:vAlign w:val="center"/>
          </w:tcPr>
          <w:p w:rsidR="00366935" w:rsidRPr="00FA1002" w:rsidRDefault="00E626CE" w:rsidP="009D6B40">
            <w:pPr>
              <w:snapToGrid w:val="0"/>
              <w:jc w:val="center"/>
              <w:rPr>
                <w:rFonts w:ascii="楷体" w:eastAsia="楷体" w:hAnsi="楷体"/>
                <w:color w:val="FF0000"/>
                <w:sz w:val="18"/>
                <w:szCs w:val="18"/>
              </w:rPr>
            </w:pPr>
            <w:r w:rsidRPr="00FA1002">
              <w:rPr>
                <w:rFonts w:ascii="楷体" w:eastAsia="楷体" w:hAnsi="楷体" w:hint="eastAsia"/>
                <w:color w:val="FF0000"/>
                <w:sz w:val="18"/>
                <w:szCs w:val="18"/>
              </w:rPr>
              <w:t>-1.19</w:t>
            </w:r>
          </w:p>
        </w:tc>
      </w:tr>
      <w:tr w:rsidR="00366935" w:rsidRPr="005B7CDB" w:rsidTr="009D6B40">
        <w:trPr>
          <w:cantSplit/>
          <w:trHeight w:val="284"/>
        </w:trPr>
        <w:tc>
          <w:tcPr>
            <w:tcW w:w="993" w:type="dxa"/>
            <w:vMerge/>
            <w:tcBorders>
              <w:right w:val="single" w:sz="6" w:space="0" w:color="FF6600"/>
            </w:tcBorders>
            <w:shd w:val="clear" w:color="auto" w:fill="FDE9D9" w:themeFill="accent6" w:themeFillTint="33"/>
            <w:vAlign w:val="center"/>
          </w:tcPr>
          <w:p w:rsidR="00366935" w:rsidRPr="007E0CA0" w:rsidRDefault="00366935" w:rsidP="009D6B40">
            <w:pPr>
              <w:snapToGrid w:val="0"/>
              <w:jc w:val="center"/>
              <w:rPr>
                <w:rFonts w:ascii="楷体" w:eastAsia="楷体" w:hAnsi="楷体"/>
                <w:b/>
                <w:sz w:val="18"/>
                <w:szCs w:val="18"/>
              </w:rPr>
            </w:pPr>
          </w:p>
        </w:tc>
        <w:tc>
          <w:tcPr>
            <w:tcW w:w="1400" w:type="dxa"/>
            <w:tcBorders>
              <w:left w:val="single" w:sz="6" w:space="0" w:color="FF6600"/>
              <w:right w:val="single" w:sz="6" w:space="0" w:color="FF6600"/>
            </w:tcBorders>
            <w:shd w:val="clear" w:color="auto" w:fill="FDE9D9" w:themeFill="accent6" w:themeFillTint="33"/>
            <w:vAlign w:val="center"/>
          </w:tcPr>
          <w:p w:rsidR="00366935" w:rsidRPr="007E0CA0" w:rsidRDefault="00366935" w:rsidP="009D6B40">
            <w:pPr>
              <w:snapToGrid w:val="0"/>
              <w:jc w:val="center"/>
              <w:rPr>
                <w:rFonts w:ascii="楷体" w:eastAsia="楷体" w:hAnsi="楷体" w:cs="宋体"/>
                <w:b/>
                <w:bCs/>
                <w:sz w:val="18"/>
                <w:szCs w:val="18"/>
              </w:rPr>
            </w:pPr>
            <w:r w:rsidRPr="007E0CA0">
              <w:rPr>
                <w:rFonts w:ascii="楷体" w:eastAsia="楷体" w:hAnsi="楷体" w:hint="eastAsia"/>
                <w:b/>
                <w:bCs/>
                <w:sz w:val="18"/>
                <w:szCs w:val="18"/>
              </w:rPr>
              <w:t>混合-</w:t>
            </w:r>
            <w:proofErr w:type="gramStart"/>
            <w:r w:rsidR="00983990" w:rsidRPr="007E0CA0">
              <w:rPr>
                <w:rFonts w:ascii="楷体" w:eastAsia="楷体" w:hAnsi="楷体" w:hint="eastAsia"/>
                <w:b/>
                <w:bCs/>
                <w:sz w:val="18"/>
                <w:szCs w:val="18"/>
              </w:rPr>
              <w:t>偏债</w:t>
            </w:r>
            <w:r w:rsidRPr="007E0CA0">
              <w:rPr>
                <w:rFonts w:ascii="楷体" w:eastAsia="楷体" w:hAnsi="楷体" w:hint="eastAsia"/>
                <w:b/>
                <w:bCs/>
                <w:sz w:val="18"/>
                <w:szCs w:val="18"/>
              </w:rPr>
              <w:t>型</w:t>
            </w:r>
            <w:proofErr w:type="gramEnd"/>
          </w:p>
        </w:tc>
        <w:tc>
          <w:tcPr>
            <w:tcW w:w="1197" w:type="dxa"/>
            <w:tcBorders>
              <w:left w:val="single" w:sz="6" w:space="0" w:color="FF6600"/>
              <w:right w:val="single" w:sz="6" w:space="0" w:color="FF6600"/>
            </w:tcBorders>
            <w:shd w:val="clear" w:color="auto" w:fill="auto"/>
            <w:vAlign w:val="center"/>
          </w:tcPr>
          <w:p w:rsidR="00366935" w:rsidRPr="00BC4B17" w:rsidRDefault="00341CB3" w:rsidP="009D6B40">
            <w:pPr>
              <w:snapToGrid w:val="0"/>
              <w:jc w:val="center"/>
              <w:rPr>
                <w:rFonts w:ascii="楷体" w:eastAsia="楷体" w:hAnsi="楷体"/>
                <w:sz w:val="18"/>
                <w:szCs w:val="18"/>
              </w:rPr>
            </w:pPr>
            <w:r w:rsidRPr="00BC4B17">
              <w:rPr>
                <w:rFonts w:ascii="楷体" w:eastAsia="楷体" w:hAnsi="楷体" w:hint="eastAsia"/>
                <w:sz w:val="18"/>
                <w:szCs w:val="18"/>
              </w:rPr>
              <w:t>0.22</w:t>
            </w:r>
          </w:p>
        </w:tc>
        <w:tc>
          <w:tcPr>
            <w:tcW w:w="946" w:type="dxa"/>
            <w:vMerge/>
            <w:tcBorders>
              <w:left w:val="single" w:sz="6" w:space="0" w:color="FF6600"/>
              <w:right w:val="single" w:sz="6" w:space="0" w:color="FF6600"/>
            </w:tcBorders>
            <w:shd w:val="clear" w:color="auto" w:fill="FDE9D9" w:themeFill="accent6" w:themeFillTint="33"/>
            <w:vAlign w:val="center"/>
          </w:tcPr>
          <w:p w:rsidR="00366935" w:rsidRPr="007E0CA0" w:rsidRDefault="00366935" w:rsidP="009D6B40">
            <w:pPr>
              <w:snapToGrid w:val="0"/>
              <w:jc w:val="center"/>
              <w:rPr>
                <w:rFonts w:ascii="楷体" w:eastAsia="楷体" w:hAnsi="楷体"/>
                <w:b/>
                <w:sz w:val="18"/>
                <w:szCs w:val="18"/>
              </w:rPr>
            </w:pPr>
          </w:p>
        </w:tc>
        <w:tc>
          <w:tcPr>
            <w:tcW w:w="1448" w:type="dxa"/>
            <w:tcBorders>
              <w:left w:val="single" w:sz="6" w:space="0" w:color="FF6600"/>
              <w:right w:val="single" w:sz="6" w:space="0" w:color="FF6600"/>
            </w:tcBorders>
            <w:shd w:val="clear" w:color="auto" w:fill="FDE9D9" w:themeFill="accent6" w:themeFillTint="33"/>
            <w:vAlign w:val="center"/>
          </w:tcPr>
          <w:p w:rsidR="00366935" w:rsidRPr="007E0CA0" w:rsidRDefault="00366935" w:rsidP="009D6B40">
            <w:pPr>
              <w:snapToGrid w:val="0"/>
              <w:jc w:val="center"/>
              <w:rPr>
                <w:rFonts w:ascii="楷体" w:eastAsia="楷体" w:hAnsi="楷体" w:cs="宋体"/>
                <w:b/>
                <w:bCs/>
                <w:sz w:val="18"/>
                <w:szCs w:val="18"/>
              </w:rPr>
            </w:pPr>
            <w:r w:rsidRPr="007E0CA0">
              <w:rPr>
                <w:rFonts w:ascii="楷体" w:eastAsia="楷体" w:hAnsi="楷体" w:hint="eastAsia"/>
                <w:b/>
                <w:bCs/>
                <w:sz w:val="18"/>
                <w:szCs w:val="18"/>
              </w:rPr>
              <w:t>债券-</w:t>
            </w:r>
            <w:proofErr w:type="gramStart"/>
            <w:r w:rsidRPr="007E0CA0">
              <w:rPr>
                <w:rFonts w:ascii="楷体" w:eastAsia="楷体" w:hAnsi="楷体" w:hint="eastAsia"/>
                <w:b/>
                <w:bCs/>
                <w:sz w:val="18"/>
                <w:szCs w:val="18"/>
              </w:rPr>
              <w:t>指数债基</w:t>
            </w:r>
            <w:proofErr w:type="gramEnd"/>
          </w:p>
        </w:tc>
        <w:tc>
          <w:tcPr>
            <w:tcW w:w="1197" w:type="dxa"/>
            <w:tcBorders>
              <w:left w:val="single" w:sz="6" w:space="0" w:color="FF6600"/>
              <w:right w:val="single" w:sz="6" w:space="0" w:color="FF6600"/>
            </w:tcBorders>
            <w:shd w:val="clear" w:color="auto" w:fill="auto"/>
            <w:vAlign w:val="center"/>
          </w:tcPr>
          <w:p w:rsidR="00366935" w:rsidRPr="00DB7D1B" w:rsidRDefault="00A162FE" w:rsidP="009D6B40">
            <w:pPr>
              <w:snapToGrid w:val="0"/>
              <w:jc w:val="center"/>
              <w:rPr>
                <w:rFonts w:ascii="楷体" w:eastAsia="楷体" w:hAnsi="楷体"/>
                <w:sz w:val="18"/>
                <w:szCs w:val="18"/>
              </w:rPr>
            </w:pPr>
            <w:r w:rsidRPr="00DB7D1B">
              <w:rPr>
                <w:rFonts w:ascii="楷体" w:eastAsia="楷体" w:hAnsi="楷体" w:hint="eastAsia"/>
                <w:sz w:val="18"/>
                <w:szCs w:val="18"/>
              </w:rPr>
              <w:t>0.35</w:t>
            </w:r>
          </w:p>
        </w:tc>
        <w:tc>
          <w:tcPr>
            <w:tcW w:w="1041" w:type="dxa"/>
            <w:vMerge/>
            <w:tcBorders>
              <w:left w:val="single" w:sz="6" w:space="0" w:color="FF6600"/>
              <w:right w:val="single" w:sz="6" w:space="0" w:color="FF6600"/>
            </w:tcBorders>
            <w:shd w:val="clear" w:color="auto" w:fill="FDE9D9" w:themeFill="accent6" w:themeFillTint="33"/>
            <w:vAlign w:val="center"/>
          </w:tcPr>
          <w:p w:rsidR="00366935" w:rsidRPr="007E0CA0" w:rsidRDefault="00366935" w:rsidP="009D6B40">
            <w:pPr>
              <w:snapToGrid w:val="0"/>
              <w:jc w:val="center"/>
              <w:rPr>
                <w:rFonts w:ascii="楷体" w:eastAsia="楷体" w:hAnsi="楷体"/>
                <w:b/>
                <w:sz w:val="18"/>
                <w:szCs w:val="18"/>
              </w:rPr>
            </w:pPr>
          </w:p>
        </w:tc>
        <w:tc>
          <w:tcPr>
            <w:tcW w:w="1353" w:type="dxa"/>
            <w:tcBorders>
              <w:left w:val="single" w:sz="6" w:space="0" w:color="FF6600"/>
              <w:right w:val="single" w:sz="6" w:space="0" w:color="FF6600"/>
            </w:tcBorders>
            <w:shd w:val="clear" w:color="auto" w:fill="FDE9D9" w:themeFill="accent6" w:themeFillTint="33"/>
            <w:vAlign w:val="center"/>
          </w:tcPr>
          <w:p w:rsidR="00366935" w:rsidRPr="007E0CA0" w:rsidRDefault="00366935" w:rsidP="009D6B40">
            <w:pPr>
              <w:snapToGrid w:val="0"/>
              <w:jc w:val="center"/>
              <w:rPr>
                <w:rFonts w:ascii="楷体" w:eastAsia="楷体" w:hAnsi="楷体"/>
                <w:b/>
                <w:sz w:val="18"/>
                <w:szCs w:val="18"/>
              </w:rPr>
            </w:pPr>
            <w:r w:rsidRPr="007E0CA0">
              <w:rPr>
                <w:rFonts w:ascii="楷体" w:eastAsia="楷体" w:hAnsi="楷体"/>
                <w:b/>
                <w:sz w:val="18"/>
                <w:szCs w:val="18"/>
              </w:rPr>
              <w:t>债券稳健</w:t>
            </w:r>
          </w:p>
        </w:tc>
        <w:tc>
          <w:tcPr>
            <w:tcW w:w="1197" w:type="dxa"/>
            <w:tcBorders>
              <w:left w:val="single" w:sz="6" w:space="0" w:color="FF6600"/>
            </w:tcBorders>
            <w:shd w:val="clear" w:color="auto" w:fill="auto"/>
            <w:vAlign w:val="center"/>
          </w:tcPr>
          <w:p w:rsidR="00366935" w:rsidRPr="007E0CA0" w:rsidRDefault="009B0E3B" w:rsidP="009D6B40">
            <w:pPr>
              <w:snapToGrid w:val="0"/>
              <w:jc w:val="center"/>
              <w:rPr>
                <w:rFonts w:ascii="楷体" w:eastAsia="楷体" w:hAnsi="楷体"/>
                <w:sz w:val="18"/>
                <w:szCs w:val="18"/>
              </w:rPr>
            </w:pPr>
            <w:r>
              <w:rPr>
                <w:rFonts w:ascii="楷体" w:eastAsia="楷体" w:hAnsi="楷体" w:hint="eastAsia"/>
                <w:sz w:val="18"/>
                <w:szCs w:val="18"/>
              </w:rPr>
              <w:t>0.</w:t>
            </w:r>
            <w:r w:rsidR="00FA1002">
              <w:rPr>
                <w:rFonts w:ascii="楷体" w:eastAsia="楷体" w:hAnsi="楷体" w:hint="eastAsia"/>
                <w:sz w:val="18"/>
                <w:szCs w:val="18"/>
              </w:rPr>
              <w:t>08</w:t>
            </w:r>
          </w:p>
        </w:tc>
      </w:tr>
      <w:tr w:rsidR="00983990" w:rsidRPr="005B7CDB" w:rsidTr="009D6B40">
        <w:trPr>
          <w:cantSplit/>
          <w:trHeight w:val="284"/>
        </w:trPr>
        <w:tc>
          <w:tcPr>
            <w:tcW w:w="993" w:type="dxa"/>
            <w:vMerge/>
            <w:tcBorders>
              <w:right w:val="single" w:sz="6" w:space="0" w:color="FF6600"/>
            </w:tcBorders>
            <w:shd w:val="clear" w:color="auto" w:fill="FDE9D9" w:themeFill="accent6" w:themeFillTint="33"/>
            <w:vAlign w:val="center"/>
          </w:tcPr>
          <w:p w:rsidR="00983990" w:rsidRPr="007E0CA0" w:rsidRDefault="00983990" w:rsidP="009D6B40">
            <w:pPr>
              <w:snapToGrid w:val="0"/>
              <w:jc w:val="center"/>
              <w:rPr>
                <w:rFonts w:ascii="楷体" w:eastAsia="楷体" w:hAnsi="楷体"/>
                <w:b/>
                <w:sz w:val="18"/>
                <w:szCs w:val="18"/>
              </w:rPr>
            </w:pPr>
          </w:p>
        </w:tc>
        <w:tc>
          <w:tcPr>
            <w:tcW w:w="1400" w:type="dxa"/>
            <w:tcBorders>
              <w:left w:val="single" w:sz="6" w:space="0" w:color="FF6600"/>
              <w:right w:val="single" w:sz="6" w:space="0" w:color="FF6600"/>
            </w:tcBorders>
            <w:shd w:val="clear" w:color="auto" w:fill="FDE9D9" w:themeFill="accent6" w:themeFillTint="33"/>
            <w:vAlign w:val="center"/>
          </w:tcPr>
          <w:p w:rsidR="00983990" w:rsidRPr="007E0CA0" w:rsidRDefault="00983990" w:rsidP="00884478">
            <w:pPr>
              <w:snapToGrid w:val="0"/>
              <w:jc w:val="center"/>
              <w:rPr>
                <w:rFonts w:ascii="楷体" w:eastAsia="楷体" w:hAnsi="楷体" w:cs="宋体"/>
                <w:b/>
                <w:bCs/>
                <w:sz w:val="18"/>
                <w:szCs w:val="18"/>
              </w:rPr>
            </w:pPr>
            <w:r w:rsidRPr="007E0CA0">
              <w:rPr>
                <w:rFonts w:ascii="楷体" w:eastAsia="楷体" w:hAnsi="楷体" w:hint="eastAsia"/>
                <w:b/>
                <w:bCs/>
                <w:sz w:val="18"/>
                <w:szCs w:val="18"/>
              </w:rPr>
              <w:t>混合-灵活型</w:t>
            </w:r>
          </w:p>
        </w:tc>
        <w:tc>
          <w:tcPr>
            <w:tcW w:w="1197" w:type="dxa"/>
            <w:tcBorders>
              <w:left w:val="single" w:sz="6" w:space="0" w:color="FF6600"/>
              <w:right w:val="single" w:sz="6" w:space="0" w:color="FF6600"/>
            </w:tcBorders>
            <w:shd w:val="clear" w:color="auto" w:fill="auto"/>
            <w:vAlign w:val="center"/>
          </w:tcPr>
          <w:p w:rsidR="00983990" w:rsidRPr="00BC4B17" w:rsidRDefault="00341CB3" w:rsidP="00884478">
            <w:pPr>
              <w:snapToGrid w:val="0"/>
              <w:jc w:val="center"/>
              <w:rPr>
                <w:rFonts w:ascii="楷体" w:eastAsia="楷体" w:hAnsi="楷体"/>
                <w:sz w:val="18"/>
                <w:szCs w:val="18"/>
              </w:rPr>
            </w:pPr>
            <w:r w:rsidRPr="00BC4B17">
              <w:rPr>
                <w:rFonts w:ascii="楷体" w:eastAsia="楷体" w:hAnsi="楷体" w:hint="eastAsia"/>
                <w:sz w:val="18"/>
                <w:szCs w:val="18"/>
              </w:rPr>
              <w:t>0.12</w:t>
            </w:r>
          </w:p>
        </w:tc>
        <w:tc>
          <w:tcPr>
            <w:tcW w:w="946" w:type="dxa"/>
            <w:vMerge/>
            <w:tcBorders>
              <w:left w:val="single" w:sz="6" w:space="0" w:color="FF6600"/>
              <w:right w:val="single" w:sz="6" w:space="0" w:color="FF6600"/>
            </w:tcBorders>
            <w:shd w:val="clear" w:color="auto" w:fill="FDE9D9" w:themeFill="accent6" w:themeFillTint="33"/>
            <w:vAlign w:val="center"/>
          </w:tcPr>
          <w:p w:rsidR="00983990" w:rsidRPr="007E0CA0" w:rsidRDefault="00983990" w:rsidP="009D6B40">
            <w:pPr>
              <w:snapToGrid w:val="0"/>
              <w:jc w:val="center"/>
              <w:rPr>
                <w:rFonts w:ascii="楷体" w:eastAsia="楷体" w:hAnsi="楷体"/>
                <w:b/>
                <w:sz w:val="18"/>
                <w:szCs w:val="18"/>
              </w:rPr>
            </w:pPr>
          </w:p>
        </w:tc>
        <w:tc>
          <w:tcPr>
            <w:tcW w:w="1448" w:type="dxa"/>
            <w:tcBorders>
              <w:left w:val="single" w:sz="6" w:space="0" w:color="FF6600"/>
              <w:right w:val="single" w:sz="6" w:space="0" w:color="FF6600"/>
            </w:tcBorders>
            <w:shd w:val="clear" w:color="auto" w:fill="FDE9D9" w:themeFill="accent6" w:themeFillTint="33"/>
            <w:vAlign w:val="center"/>
          </w:tcPr>
          <w:p w:rsidR="00983990" w:rsidRPr="007E0CA0" w:rsidRDefault="00983990" w:rsidP="009D6B40">
            <w:pPr>
              <w:snapToGrid w:val="0"/>
              <w:jc w:val="center"/>
              <w:rPr>
                <w:rFonts w:ascii="楷体" w:eastAsia="楷体" w:hAnsi="楷体" w:cs="宋体"/>
                <w:b/>
                <w:bCs/>
                <w:sz w:val="18"/>
                <w:szCs w:val="18"/>
              </w:rPr>
            </w:pPr>
            <w:r w:rsidRPr="007E0CA0">
              <w:rPr>
                <w:rFonts w:ascii="楷体" w:eastAsia="楷体" w:hAnsi="楷体" w:hint="eastAsia"/>
                <w:b/>
                <w:bCs/>
                <w:sz w:val="18"/>
                <w:szCs w:val="18"/>
              </w:rPr>
              <w:t>债券-</w:t>
            </w:r>
            <w:proofErr w:type="gramStart"/>
            <w:r w:rsidRPr="007E0CA0">
              <w:rPr>
                <w:rFonts w:ascii="楷体" w:eastAsia="楷体" w:hAnsi="楷体" w:hint="eastAsia"/>
                <w:b/>
                <w:bCs/>
                <w:sz w:val="18"/>
                <w:szCs w:val="18"/>
              </w:rPr>
              <w:t>可转债基</w:t>
            </w:r>
            <w:proofErr w:type="gramEnd"/>
          </w:p>
        </w:tc>
        <w:tc>
          <w:tcPr>
            <w:tcW w:w="1197" w:type="dxa"/>
            <w:tcBorders>
              <w:left w:val="single" w:sz="6" w:space="0" w:color="FF6600"/>
              <w:right w:val="single" w:sz="6" w:space="0" w:color="FF6600"/>
            </w:tcBorders>
            <w:shd w:val="clear" w:color="auto" w:fill="auto"/>
            <w:vAlign w:val="center"/>
          </w:tcPr>
          <w:p w:rsidR="00983990" w:rsidRPr="00DB7D1B" w:rsidRDefault="009115A4" w:rsidP="009D6B40">
            <w:pPr>
              <w:snapToGrid w:val="0"/>
              <w:jc w:val="center"/>
              <w:rPr>
                <w:rFonts w:ascii="楷体" w:eastAsia="楷体" w:hAnsi="楷体"/>
                <w:sz w:val="18"/>
                <w:szCs w:val="18"/>
              </w:rPr>
            </w:pPr>
            <w:r w:rsidRPr="00DB7D1B">
              <w:rPr>
                <w:rFonts w:ascii="楷体" w:eastAsia="楷体" w:hAnsi="楷体" w:hint="eastAsia"/>
                <w:sz w:val="18"/>
                <w:szCs w:val="18"/>
              </w:rPr>
              <w:t>0.41</w:t>
            </w:r>
          </w:p>
        </w:tc>
        <w:tc>
          <w:tcPr>
            <w:tcW w:w="1041" w:type="dxa"/>
            <w:vMerge/>
            <w:tcBorders>
              <w:left w:val="single" w:sz="6" w:space="0" w:color="FF6600"/>
              <w:right w:val="single" w:sz="6" w:space="0" w:color="FF6600"/>
            </w:tcBorders>
            <w:shd w:val="clear" w:color="auto" w:fill="FDE9D9" w:themeFill="accent6" w:themeFillTint="33"/>
            <w:vAlign w:val="center"/>
          </w:tcPr>
          <w:p w:rsidR="00983990" w:rsidRPr="007E0CA0" w:rsidRDefault="00983990" w:rsidP="009D6B40">
            <w:pPr>
              <w:snapToGrid w:val="0"/>
              <w:jc w:val="center"/>
              <w:rPr>
                <w:rFonts w:ascii="楷体" w:eastAsia="楷体" w:hAnsi="楷体"/>
                <w:b/>
                <w:sz w:val="18"/>
                <w:szCs w:val="18"/>
              </w:rPr>
            </w:pPr>
          </w:p>
        </w:tc>
        <w:tc>
          <w:tcPr>
            <w:tcW w:w="1353" w:type="dxa"/>
            <w:tcBorders>
              <w:left w:val="single" w:sz="6" w:space="0" w:color="FF6600"/>
              <w:right w:val="single" w:sz="6" w:space="0" w:color="FF6600"/>
            </w:tcBorders>
            <w:shd w:val="clear" w:color="auto" w:fill="FDE9D9" w:themeFill="accent6" w:themeFillTint="33"/>
            <w:vAlign w:val="center"/>
          </w:tcPr>
          <w:p w:rsidR="00983990" w:rsidRPr="007E0CA0" w:rsidRDefault="00983990" w:rsidP="009D6B40">
            <w:pPr>
              <w:snapToGrid w:val="0"/>
              <w:jc w:val="center"/>
              <w:rPr>
                <w:rFonts w:ascii="楷体" w:eastAsia="楷体" w:hAnsi="楷体"/>
                <w:b/>
                <w:sz w:val="18"/>
                <w:szCs w:val="18"/>
              </w:rPr>
            </w:pPr>
            <w:r w:rsidRPr="007E0CA0">
              <w:rPr>
                <w:rFonts w:ascii="楷体" w:eastAsia="楷体" w:hAnsi="楷体"/>
                <w:b/>
                <w:sz w:val="18"/>
                <w:szCs w:val="18"/>
              </w:rPr>
              <w:t>债券积极</w:t>
            </w:r>
          </w:p>
        </w:tc>
        <w:tc>
          <w:tcPr>
            <w:tcW w:w="1197" w:type="dxa"/>
            <w:tcBorders>
              <w:left w:val="single" w:sz="6" w:space="0" w:color="FF6600"/>
            </w:tcBorders>
            <w:shd w:val="clear" w:color="auto" w:fill="auto"/>
            <w:vAlign w:val="center"/>
          </w:tcPr>
          <w:p w:rsidR="00983990" w:rsidRPr="007E0CA0" w:rsidRDefault="00DB0CF0" w:rsidP="009D6B40">
            <w:pPr>
              <w:snapToGrid w:val="0"/>
              <w:jc w:val="center"/>
              <w:rPr>
                <w:rFonts w:ascii="楷体" w:eastAsia="楷体" w:hAnsi="楷体"/>
                <w:sz w:val="18"/>
                <w:szCs w:val="18"/>
              </w:rPr>
            </w:pPr>
            <w:r>
              <w:rPr>
                <w:rFonts w:ascii="楷体" w:eastAsia="楷体" w:hAnsi="楷体" w:hint="eastAsia"/>
                <w:sz w:val="18"/>
                <w:szCs w:val="18"/>
              </w:rPr>
              <w:t>1.08</w:t>
            </w:r>
          </w:p>
        </w:tc>
      </w:tr>
      <w:tr w:rsidR="00366935" w:rsidRPr="005B7CDB" w:rsidTr="00884478">
        <w:trPr>
          <w:cantSplit/>
          <w:trHeight w:val="284"/>
        </w:trPr>
        <w:tc>
          <w:tcPr>
            <w:tcW w:w="2393" w:type="dxa"/>
            <w:gridSpan w:val="2"/>
            <w:tcBorders>
              <w:right w:val="single" w:sz="6" w:space="0" w:color="FF6600"/>
            </w:tcBorders>
            <w:shd w:val="clear" w:color="auto" w:fill="FDE9D9" w:themeFill="accent6" w:themeFillTint="33"/>
            <w:vAlign w:val="center"/>
          </w:tcPr>
          <w:p w:rsidR="00366935" w:rsidRPr="007E0CA0" w:rsidRDefault="00366935" w:rsidP="00884478">
            <w:pPr>
              <w:snapToGrid w:val="0"/>
              <w:jc w:val="center"/>
              <w:rPr>
                <w:rFonts w:ascii="楷体" w:eastAsia="楷体" w:hAnsi="楷体"/>
                <w:b/>
                <w:sz w:val="18"/>
                <w:szCs w:val="18"/>
              </w:rPr>
            </w:pPr>
            <w:r w:rsidRPr="007E0CA0">
              <w:rPr>
                <w:rFonts w:ascii="楷体" w:eastAsia="楷体" w:hAnsi="楷体" w:hint="eastAsia"/>
                <w:b/>
                <w:sz w:val="18"/>
                <w:szCs w:val="18"/>
              </w:rPr>
              <w:t>QDII</w:t>
            </w:r>
          </w:p>
        </w:tc>
        <w:tc>
          <w:tcPr>
            <w:tcW w:w="1197" w:type="dxa"/>
            <w:tcBorders>
              <w:left w:val="single" w:sz="6" w:space="0" w:color="FF6600"/>
              <w:right w:val="single" w:sz="6" w:space="0" w:color="FF6600"/>
            </w:tcBorders>
            <w:shd w:val="clear" w:color="auto" w:fill="auto"/>
            <w:vAlign w:val="center"/>
          </w:tcPr>
          <w:p w:rsidR="00366935" w:rsidRPr="00BC4B17" w:rsidRDefault="00DE67B2" w:rsidP="00884478">
            <w:pPr>
              <w:snapToGrid w:val="0"/>
              <w:jc w:val="center"/>
              <w:rPr>
                <w:rFonts w:ascii="楷体" w:eastAsia="楷体" w:hAnsi="楷体"/>
                <w:sz w:val="18"/>
                <w:szCs w:val="18"/>
              </w:rPr>
            </w:pPr>
            <w:r w:rsidRPr="00BC4B17">
              <w:rPr>
                <w:rFonts w:ascii="楷体" w:eastAsia="楷体" w:hAnsi="楷体" w:hint="eastAsia"/>
                <w:sz w:val="18"/>
                <w:szCs w:val="18"/>
              </w:rPr>
              <w:t>0.65</w:t>
            </w:r>
          </w:p>
        </w:tc>
        <w:tc>
          <w:tcPr>
            <w:tcW w:w="946" w:type="dxa"/>
            <w:vMerge/>
            <w:tcBorders>
              <w:left w:val="single" w:sz="6" w:space="0" w:color="FF6600"/>
              <w:right w:val="single" w:sz="6" w:space="0" w:color="FF6600"/>
            </w:tcBorders>
            <w:shd w:val="clear" w:color="auto" w:fill="FDE9D9" w:themeFill="accent6" w:themeFillTint="33"/>
            <w:vAlign w:val="center"/>
          </w:tcPr>
          <w:p w:rsidR="00366935" w:rsidRPr="007E0CA0" w:rsidRDefault="00366935" w:rsidP="009D6B40">
            <w:pPr>
              <w:snapToGrid w:val="0"/>
              <w:jc w:val="center"/>
              <w:rPr>
                <w:rFonts w:ascii="楷体" w:eastAsia="楷体" w:hAnsi="楷体"/>
                <w:b/>
                <w:sz w:val="18"/>
                <w:szCs w:val="18"/>
              </w:rPr>
            </w:pPr>
          </w:p>
        </w:tc>
        <w:tc>
          <w:tcPr>
            <w:tcW w:w="1448" w:type="dxa"/>
            <w:tcBorders>
              <w:left w:val="single" w:sz="6" w:space="0" w:color="FF6600"/>
              <w:right w:val="single" w:sz="6" w:space="0" w:color="FF6600"/>
            </w:tcBorders>
            <w:shd w:val="clear" w:color="auto" w:fill="FDE9D9" w:themeFill="accent6" w:themeFillTint="33"/>
            <w:vAlign w:val="center"/>
          </w:tcPr>
          <w:p w:rsidR="00366935" w:rsidRPr="007E0CA0" w:rsidRDefault="00366935" w:rsidP="009D6B40">
            <w:pPr>
              <w:snapToGrid w:val="0"/>
              <w:jc w:val="center"/>
              <w:rPr>
                <w:rFonts w:ascii="楷体" w:eastAsia="楷体" w:hAnsi="楷体" w:cs="宋体"/>
                <w:b/>
                <w:bCs/>
                <w:sz w:val="18"/>
                <w:szCs w:val="18"/>
              </w:rPr>
            </w:pPr>
            <w:r w:rsidRPr="007E0CA0">
              <w:rPr>
                <w:rFonts w:ascii="楷体" w:eastAsia="楷体" w:hAnsi="楷体" w:hint="eastAsia"/>
                <w:b/>
                <w:bCs/>
                <w:sz w:val="18"/>
                <w:szCs w:val="18"/>
              </w:rPr>
              <w:t>债券-</w:t>
            </w:r>
            <w:proofErr w:type="gramStart"/>
            <w:r w:rsidRPr="007E0CA0">
              <w:rPr>
                <w:rFonts w:ascii="楷体" w:eastAsia="楷体" w:hAnsi="楷体" w:hint="eastAsia"/>
                <w:b/>
                <w:bCs/>
                <w:sz w:val="18"/>
                <w:szCs w:val="18"/>
              </w:rPr>
              <w:t>理财债基</w:t>
            </w:r>
            <w:proofErr w:type="gramEnd"/>
          </w:p>
        </w:tc>
        <w:tc>
          <w:tcPr>
            <w:tcW w:w="1197" w:type="dxa"/>
            <w:tcBorders>
              <w:left w:val="single" w:sz="6" w:space="0" w:color="FF6600"/>
              <w:right w:val="single" w:sz="6" w:space="0" w:color="FF6600"/>
            </w:tcBorders>
            <w:shd w:val="clear" w:color="auto" w:fill="auto"/>
            <w:vAlign w:val="center"/>
          </w:tcPr>
          <w:p w:rsidR="00366935" w:rsidRPr="00DB7D1B" w:rsidRDefault="009748A1" w:rsidP="009D6B40">
            <w:pPr>
              <w:snapToGrid w:val="0"/>
              <w:jc w:val="center"/>
              <w:rPr>
                <w:rFonts w:ascii="楷体" w:eastAsia="楷体" w:hAnsi="楷体"/>
                <w:sz w:val="18"/>
                <w:szCs w:val="18"/>
              </w:rPr>
            </w:pPr>
            <w:r w:rsidRPr="00DB7D1B">
              <w:rPr>
                <w:rFonts w:ascii="楷体" w:eastAsia="楷体" w:hAnsi="楷体" w:hint="eastAsia"/>
                <w:sz w:val="18"/>
                <w:szCs w:val="18"/>
              </w:rPr>
              <w:t>0.</w:t>
            </w:r>
            <w:r w:rsidR="00A162FE" w:rsidRPr="00DB7D1B">
              <w:rPr>
                <w:rFonts w:ascii="楷体" w:eastAsia="楷体" w:hAnsi="楷体" w:hint="eastAsia"/>
                <w:sz w:val="18"/>
                <w:szCs w:val="18"/>
              </w:rPr>
              <w:t>08</w:t>
            </w:r>
          </w:p>
        </w:tc>
        <w:tc>
          <w:tcPr>
            <w:tcW w:w="2394" w:type="dxa"/>
            <w:gridSpan w:val="2"/>
            <w:tcBorders>
              <w:left w:val="single" w:sz="6" w:space="0" w:color="FF6600"/>
              <w:right w:val="single" w:sz="6" w:space="0" w:color="FF6600"/>
            </w:tcBorders>
            <w:shd w:val="clear" w:color="auto" w:fill="FDE9D9" w:themeFill="accent6" w:themeFillTint="33"/>
            <w:vAlign w:val="center"/>
          </w:tcPr>
          <w:p w:rsidR="00366935" w:rsidRPr="007E0CA0" w:rsidRDefault="00366935" w:rsidP="009D6B40">
            <w:pPr>
              <w:snapToGrid w:val="0"/>
              <w:jc w:val="center"/>
              <w:rPr>
                <w:rFonts w:ascii="楷体" w:eastAsia="楷体" w:hAnsi="楷体"/>
                <w:b/>
                <w:sz w:val="18"/>
                <w:szCs w:val="18"/>
              </w:rPr>
            </w:pPr>
            <w:r w:rsidRPr="007E0CA0">
              <w:rPr>
                <w:rFonts w:ascii="楷体" w:eastAsia="楷体" w:hAnsi="楷体"/>
                <w:b/>
                <w:sz w:val="18"/>
                <w:szCs w:val="18"/>
              </w:rPr>
              <w:t>商品基金</w:t>
            </w:r>
          </w:p>
        </w:tc>
        <w:tc>
          <w:tcPr>
            <w:tcW w:w="1197" w:type="dxa"/>
            <w:tcBorders>
              <w:left w:val="single" w:sz="6" w:space="0" w:color="FF6600"/>
            </w:tcBorders>
            <w:shd w:val="clear" w:color="auto" w:fill="auto"/>
            <w:vAlign w:val="center"/>
          </w:tcPr>
          <w:p w:rsidR="00366935" w:rsidRPr="00A52726" w:rsidRDefault="00A52726" w:rsidP="009D6B40">
            <w:pPr>
              <w:snapToGrid w:val="0"/>
              <w:jc w:val="center"/>
              <w:rPr>
                <w:rFonts w:ascii="楷体" w:eastAsia="楷体" w:hAnsi="楷体"/>
                <w:color w:val="FF0000"/>
                <w:sz w:val="18"/>
                <w:szCs w:val="18"/>
              </w:rPr>
            </w:pPr>
            <w:r w:rsidRPr="00A52726">
              <w:rPr>
                <w:rFonts w:ascii="楷体" w:eastAsia="楷体" w:hAnsi="楷体" w:hint="eastAsia"/>
                <w:color w:val="FF0000"/>
                <w:sz w:val="18"/>
                <w:szCs w:val="18"/>
              </w:rPr>
              <w:t>-0.01</w:t>
            </w:r>
          </w:p>
        </w:tc>
      </w:tr>
    </w:tbl>
    <w:p w:rsidR="000D4A66" w:rsidRPr="005B7CDB" w:rsidRDefault="000D4A66" w:rsidP="000D4A66">
      <w:pPr>
        <w:pStyle w:val="FootnoteNoline"/>
        <w:ind w:left="0"/>
        <w:rPr>
          <w:rFonts w:ascii="楷体" w:eastAsia="楷体" w:hAnsi="楷体"/>
          <w:color w:val="FF6600"/>
          <w:lang w:val="en-US"/>
        </w:rPr>
      </w:pPr>
      <w:r w:rsidRPr="005B7CDB">
        <w:rPr>
          <w:rFonts w:ascii="楷体" w:eastAsia="楷体" w:hAnsi="楷体" w:cs="宋体" w:hint="eastAsia"/>
          <w:color w:val="FF6600"/>
          <w:lang w:val="en-US"/>
        </w:rPr>
        <w:t>来源：</w:t>
      </w:r>
      <w:proofErr w:type="gramStart"/>
      <w:r w:rsidRPr="005B7CDB">
        <w:rPr>
          <w:rFonts w:ascii="楷体" w:eastAsia="楷体" w:hAnsi="楷体" w:cs="宋体" w:hint="eastAsia"/>
          <w:color w:val="FF6600"/>
          <w:lang w:val="en-US"/>
        </w:rPr>
        <w:t>凯</w:t>
      </w:r>
      <w:proofErr w:type="gramEnd"/>
      <w:r w:rsidRPr="005B7CDB">
        <w:rPr>
          <w:rFonts w:ascii="楷体" w:eastAsia="楷体" w:hAnsi="楷体" w:cs="宋体" w:hint="eastAsia"/>
          <w:color w:val="FF6600"/>
          <w:lang w:val="en-US"/>
        </w:rPr>
        <w:t>石财富工场</w:t>
      </w:r>
    </w:p>
    <w:p w:rsidR="0062314B" w:rsidRPr="005B7CDB" w:rsidRDefault="00B06585" w:rsidP="00CB1BC1">
      <w:pPr>
        <w:widowControl/>
        <w:spacing w:after="120"/>
        <w:ind w:left="3430"/>
        <w:rPr>
          <w:rFonts w:ascii="楷体" w:eastAsia="楷体" w:hAnsi="楷体" w:cs="Times New Roman"/>
          <w:b/>
          <w:bCs/>
          <w:color w:val="0070C0"/>
          <w:kern w:val="0"/>
          <w:szCs w:val="21"/>
        </w:rPr>
      </w:pPr>
      <w:r w:rsidRPr="005B7CDB">
        <w:rPr>
          <w:rFonts w:ascii="楷体" w:eastAsia="楷体" w:hAnsi="楷体" w:hint="eastAsia"/>
          <w:b/>
          <w:bCs/>
          <w:color w:val="0070C0"/>
          <w:kern w:val="0"/>
          <w:szCs w:val="21"/>
          <w:lang w:val="en-GB"/>
        </w:rPr>
        <w:t>权益类</w:t>
      </w:r>
      <w:r w:rsidR="0062314B" w:rsidRPr="005B7CDB">
        <w:rPr>
          <w:rFonts w:ascii="楷体" w:eastAsia="楷体" w:hAnsi="楷体" w:hint="eastAsia"/>
          <w:b/>
          <w:bCs/>
          <w:color w:val="0070C0"/>
          <w:kern w:val="0"/>
          <w:szCs w:val="21"/>
          <w:lang w:val="en-GB"/>
        </w:rPr>
        <w:t>基金一周业绩：</w:t>
      </w:r>
      <w:r w:rsidR="00A52726">
        <w:rPr>
          <w:rFonts w:ascii="楷体" w:eastAsia="楷体" w:hAnsi="楷体" w:hint="eastAsia"/>
          <w:b/>
          <w:bCs/>
          <w:color w:val="0070C0"/>
          <w:kern w:val="0"/>
          <w:szCs w:val="21"/>
          <w:lang w:val="en-GB"/>
        </w:rPr>
        <w:t>成长风格领先</w:t>
      </w:r>
      <w:r w:rsidR="00CC2902">
        <w:rPr>
          <w:rFonts w:ascii="楷体" w:eastAsia="楷体" w:hAnsi="楷体" w:hint="eastAsia"/>
          <w:b/>
          <w:bCs/>
          <w:color w:val="0070C0"/>
          <w:kern w:val="0"/>
          <w:szCs w:val="21"/>
          <w:lang w:val="en-GB"/>
        </w:rPr>
        <w:t>，QDII表现抢眼</w:t>
      </w:r>
    </w:p>
    <w:p w:rsidR="00703A45" w:rsidRPr="00C41ED1" w:rsidRDefault="006962B2" w:rsidP="003F158A">
      <w:pPr>
        <w:pStyle w:val="ab"/>
        <w:numPr>
          <w:ilvl w:val="4"/>
          <w:numId w:val="1"/>
        </w:numPr>
        <w:spacing w:after="163"/>
        <w:rPr>
          <w:szCs w:val="21"/>
        </w:rPr>
      </w:pPr>
      <w:r w:rsidRPr="00C41ED1">
        <w:rPr>
          <w:rFonts w:hint="eastAsia"/>
          <w:szCs w:val="21"/>
        </w:rPr>
        <w:t>上周</w:t>
      </w:r>
      <w:r w:rsidR="009A0733">
        <w:rPr>
          <w:rFonts w:hint="eastAsia"/>
          <w:szCs w:val="21"/>
        </w:rPr>
        <w:t>国内</w:t>
      </w:r>
      <w:r w:rsidRPr="00C41ED1">
        <w:rPr>
          <w:rFonts w:hint="eastAsia"/>
          <w:szCs w:val="21"/>
        </w:rPr>
        <w:t>A</w:t>
      </w:r>
      <w:r w:rsidR="009A0733">
        <w:rPr>
          <w:rFonts w:hint="eastAsia"/>
          <w:szCs w:val="21"/>
        </w:rPr>
        <w:t>股延续风格分化走势</w:t>
      </w:r>
      <w:r w:rsidR="006B7C89" w:rsidRPr="00C41ED1">
        <w:rPr>
          <w:rFonts w:hint="eastAsia"/>
          <w:szCs w:val="21"/>
        </w:rPr>
        <w:t>，</w:t>
      </w:r>
      <w:r w:rsidR="009A0733">
        <w:rPr>
          <w:rFonts w:hint="eastAsia"/>
          <w:szCs w:val="21"/>
        </w:rPr>
        <w:t>主板市场</w:t>
      </w:r>
      <w:proofErr w:type="gramStart"/>
      <w:r w:rsidR="009A0733">
        <w:rPr>
          <w:rFonts w:hint="eastAsia"/>
          <w:szCs w:val="21"/>
        </w:rPr>
        <w:t>震荡收跌而</w:t>
      </w:r>
      <w:proofErr w:type="gramEnd"/>
      <w:r w:rsidR="009A0733">
        <w:rPr>
          <w:rFonts w:hint="eastAsia"/>
          <w:szCs w:val="21"/>
        </w:rPr>
        <w:t>创业</w:t>
      </w:r>
      <w:proofErr w:type="gramStart"/>
      <w:r w:rsidR="009A0733">
        <w:rPr>
          <w:rFonts w:hint="eastAsia"/>
          <w:szCs w:val="21"/>
        </w:rPr>
        <w:t>板持续</w:t>
      </w:r>
      <w:proofErr w:type="gramEnd"/>
      <w:r w:rsidR="009A0733">
        <w:rPr>
          <w:rFonts w:hint="eastAsia"/>
          <w:szCs w:val="21"/>
        </w:rPr>
        <w:t>走高。在此</w:t>
      </w:r>
      <w:r w:rsidRPr="00C41ED1">
        <w:rPr>
          <w:rFonts w:hint="eastAsia"/>
          <w:szCs w:val="21"/>
        </w:rPr>
        <w:t>环境下</w:t>
      </w:r>
      <w:r w:rsidR="006B7C89" w:rsidRPr="00C41ED1">
        <w:rPr>
          <w:rFonts w:hint="eastAsia"/>
          <w:szCs w:val="21"/>
        </w:rPr>
        <w:t>各类型权益类基金</w:t>
      </w:r>
      <w:r w:rsidR="009A0733">
        <w:rPr>
          <w:rFonts w:hint="eastAsia"/>
          <w:szCs w:val="21"/>
        </w:rPr>
        <w:t>多数战胜同期主板指数</w:t>
      </w:r>
      <w:r w:rsidRPr="00C41ED1">
        <w:rPr>
          <w:rFonts w:hint="eastAsia"/>
          <w:szCs w:val="21"/>
        </w:rPr>
        <w:t>，</w:t>
      </w:r>
      <w:r w:rsidR="006270CD">
        <w:rPr>
          <w:rFonts w:hint="eastAsia"/>
          <w:szCs w:val="21"/>
        </w:rPr>
        <w:t>其中成长风格领先</w:t>
      </w:r>
      <w:r w:rsidRPr="00C41ED1">
        <w:rPr>
          <w:rFonts w:hint="eastAsia"/>
          <w:szCs w:val="21"/>
        </w:rPr>
        <w:t>。分类来看，</w:t>
      </w:r>
      <w:r w:rsidR="009A0733">
        <w:rPr>
          <w:rFonts w:hint="eastAsia"/>
          <w:szCs w:val="21"/>
        </w:rPr>
        <w:t>仅有</w:t>
      </w:r>
      <w:r w:rsidRPr="00C41ED1">
        <w:rPr>
          <w:rFonts w:hint="eastAsia"/>
          <w:szCs w:val="21"/>
        </w:rPr>
        <w:t>紧密跟踪市场的</w:t>
      </w:r>
      <w:r w:rsidR="003F15EB" w:rsidRPr="00C41ED1">
        <w:rPr>
          <w:rFonts w:hint="eastAsia"/>
          <w:szCs w:val="21"/>
        </w:rPr>
        <w:t>股票</w:t>
      </w:r>
      <w:r w:rsidR="003F15EB" w:rsidRPr="00C41ED1">
        <w:rPr>
          <w:rFonts w:hint="eastAsia"/>
          <w:szCs w:val="21"/>
        </w:rPr>
        <w:t>-</w:t>
      </w:r>
      <w:r w:rsidR="00245B98" w:rsidRPr="00C41ED1">
        <w:rPr>
          <w:rFonts w:hint="eastAsia"/>
          <w:szCs w:val="21"/>
        </w:rPr>
        <w:t>指数型</w:t>
      </w:r>
      <w:r w:rsidR="009A0733">
        <w:rPr>
          <w:rFonts w:hint="eastAsia"/>
          <w:szCs w:val="21"/>
        </w:rPr>
        <w:t>随市下跌但好于大盘</w:t>
      </w:r>
      <w:r w:rsidRPr="00C41ED1">
        <w:rPr>
          <w:rFonts w:hint="eastAsia"/>
          <w:szCs w:val="21"/>
        </w:rPr>
        <w:t>；股票</w:t>
      </w:r>
      <w:r w:rsidRPr="00C41ED1">
        <w:rPr>
          <w:rFonts w:hint="eastAsia"/>
          <w:szCs w:val="21"/>
        </w:rPr>
        <w:t>-</w:t>
      </w:r>
      <w:r w:rsidRPr="00C41ED1">
        <w:rPr>
          <w:rFonts w:hint="eastAsia"/>
          <w:szCs w:val="21"/>
        </w:rPr>
        <w:t>主动型、</w:t>
      </w:r>
      <w:r w:rsidR="003F15EB" w:rsidRPr="00C41ED1">
        <w:rPr>
          <w:rFonts w:hint="eastAsia"/>
          <w:szCs w:val="21"/>
        </w:rPr>
        <w:t>混合</w:t>
      </w:r>
      <w:r w:rsidR="003F15EB" w:rsidRPr="00C41ED1">
        <w:rPr>
          <w:rFonts w:hint="eastAsia"/>
          <w:szCs w:val="21"/>
        </w:rPr>
        <w:t>-</w:t>
      </w:r>
      <w:proofErr w:type="gramStart"/>
      <w:r w:rsidR="003F15EB" w:rsidRPr="00C41ED1">
        <w:rPr>
          <w:rFonts w:hint="eastAsia"/>
          <w:szCs w:val="21"/>
        </w:rPr>
        <w:t>偏股型</w:t>
      </w:r>
      <w:proofErr w:type="gramEnd"/>
      <w:r w:rsidR="00245B98" w:rsidRPr="00C41ED1">
        <w:rPr>
          <w:rFonts w:hint="eastAsia"/>
          <w:szCs w:val="21"/>
        </w:rPr>
        <w:t>以及混合</w:t>
      </w:r>
      <w:r w:rsidR="00245B98" w:rsidRPr="00C41ED1">
        <w:rPr>
          <w:rFonts w:hint="eastAsia"/>
          <w:szCs w:val="21"/>
        </w:rPr>
        <w:t>-</w:t>
      </w:r>
      <w:r w:rsidR="00245B98" w:rsidRPr="00C41ED1">
        <w:rPr>
          <w:rFonts w:hint="eastAsia"/>
          <w:szCs w:val="21"/>
        </w:rPr>
        <w:t>灵活</w:t>
      </w:r>
      <w:proofErr w:type="gramStart"/>
      <w:r w:rsidR="00245B98" w:rsidRPr="00C41ED1">
        <w:rPr>
          <w:rFonts w:hint="eastAsia"/>
          <w:szCs w:val="21"/>
        </w:rPr>
        <w:t>型</w:t>
      </w:r>
      <w:r w:rsidR="003F15EB" w:rsidRPr="00C41ED1">
        <w:rPr>
          <w:rFonts w:hint="eastAsia"/>
          <w:szCs w:val="21"/>
        </w:rPr>
        <w:t>平均周收益</w:t>
      </w:r>
      <w:proofErr w:type="gramEnd"/>
      <w:r w:rsidR="003F15EB" w:rsidRPr="00C41ED1">
        <w:rPr>
          <w:rFonts w:hint="eastAsia"/>
          <w:szCs w:val="21"/>
        </w:rPr>
        <w:t>皆</w:t>
      </w:r>
      <w:r w:rsidR="009A0733">
        <w:rPr>
          <w:rFonts w:hint="eastAsia"/>
          <w:szCs w:val="21"/>
        </w:rPr>
        <w:t>有</w:t>
      </w:r>
      <w:r w:rsidR="009A0733">
        <w:rPr>
          <w:rFonts w:hint="eastAsia"/>
          <w:szCs w:val="21"/>
        </w:rPr>
        <w:t>1%</w:t>
      </w:r>
      <w:r w:rsidR="009A0733">
        <w:rPr>
          <w:rFonts w:hint="eastAsia"/>
          <w:szCs w:val="21"/>
        </w:rPr>
        <w:t>左右的小幅上涨。</w:t>
      </w:r>
    </w:p>
    <w:p w:rsidR="00517D66" w:rsidRPr="00C41ED1" w:rsidRDefault="00AC42AC" w:rsidP="00703A45">
      <w:pPr>
        <w:pStyle w:val="ab"/>
        <w:numPr>
          <w:ilvl w:val="5"/>
          <w:numId w:val="2"/>
        </w:numPr>
        <w:spacing w:after="163"/>
        <w:ind w:left="4140" w:hanging="369"/>
        <w:rPr>
          <w:rFonts w:eastAsia="楷体" w:cs="Arial"/>
        </w:rPr>
      </w:pPr>
      <w:r w:rsidRPr="00C41ED1">
        <w:rPr>
          <w:rFonts w:eastAsia="楷体" w:cs="Arial"/>
          <w:color w:val="auto"/>
        </w:rPr>
        <w:t>38</w:t>
      </w:r>
      <w:r w:rsidR="00FD597D">
        <w:rPr>
          <w:rFonts w:eastAsia="楷体" w:cs="Arial" w:hint="eastAsia"/>
          <w:color w:val="auto"/>
        </w:rPr>
        <w:t>9</w:t>
      </w:r>
      <w:r w:rsidR="00703A45" w:rsidRPr="00C41ED1">
        <w:rPr>
          <w:rFonts w:eastAsia="楷体" w:hAnsi="楷体" w:cs="Arial"/>
          <w:color w:val="auto"/>
        </w:rPr>
        <w:t>只</w:t>
      </w:r>
      <w:r w:rsidR="00DE55C4" w:rsidRPr="00C41ED1">
        <w:rPr>
          <w:rFonts w:eastAsia="楷体" w:hAnsi="楷体" w:cs="Arial"/>
          <w:color w:val="auto"/>
        </w:rPr>
        <w:t>股票</w:t>
      </w:r>
      <w:r w:rsidR="00DE55C4" w:rsidRPr="00C41ED1">
        <w:rPr>
          <w:rFonts w:eastAsia="楷体" w:cs="Arial"/>
          <w:color w:val="auto"/>
        </w:rPr>
        <w:t>-</w:t>
      </w:r>
      <w:r w:rsidR="00DE55C4" w:rsidRPr="00C41ED1">
        <w:rPr>
          <w:rFonts w:eastAsia="楷体" w:hAnsi="楷体" w:cs="Arial"/>
          <w:color w:val="auto"/>
        </w:rPr>
        <w:t>主动型</w:t>
      </w:r>
      <w:r w:rsidR="007E0CA0" w:rsidRPr="00C41ED1">
        <w:rPr>
          <w:rFonts w:eastAsia="楷体" w:hAnsi="楷体" w:cs="Arial"/>
          <w:color w:val="auto"/>
        </w:rPr>
        <w:t>基金</w:t>
      </w:r>
      <w:r w:rsidR="00AA735C" w:rsidRPr="00C41ED1">
        <w:rPr>
          <w:rFonts w:eastAsia="楷体" w:hAnsi="楷体" w:cs="Arial"/>
          <w:color w:val="auto"/>
        </w:rPr>
        <w:t>平均</w:t>
      </w:r>
      <w:proofErr w:type="gramStart"/>
      <w:r w:rsidR="00FD597D">
        <w:rPr>
          <w:rFonts w:eastAsia="楷体" w:hAnsi="楷体" w:cs="Arial"/>
          <w:color w:val="auto"/>
        </w:rPr>
        <w:t>周</w:t>
      </w:r>
      <w:r w:rsidR="00AA735C" w:rsidRPr="00C41ED1">
        <w:rPr>
          <w:rFonts w:eastAsia="楷体" w:hAnsi="楷体" w:cs="Arial"/>
          <w:color w:val="auto"/>
        </w:rPr>
        <w:t>收益</w:t>
      </w:r>
      <w:proofErr w:type="gramEnd"/>
      <w:r w:rsidRPr="00C41ED1">
        <w:rPr>
          <w:rFonts w:eastAsia="楷体" w:hAnsi="楷体" w:cs="Arial"/>
          <w:color w:val="auto"/>
        </w:rPr>
        <w:t>小幅</w:t>
      </w:r>
      <w:r w:rsidR="00FD597D">
        <w:rPr>
          <w:rFonts w:eastAsia="楷体" w:hAnsi="楷体" w:cs="Arial"/>
          <w:color w:val="auto"/>
        </w:rPr>
        <w:t>上涨</w:t>
      </w:r>
      <w:r w:rsidR="00FD597D">
        <w:rPr>
          <w:rFonts w:eastAsia="楷体" w:cs="Arial"/>
          <w:color w:val="auto"/>
        </w:rPr>
        <w:t>0.</w:t>
      </w:r>
      <w:r w:rsidR="00FD597D">
        <w:rPr>
          <w:rFonts w:eastAsia="楷体" w:cs="Arial" w:hint="eastAsia"/>
          <w:color w:val="auto"/>
        </w:rPr>
        <w:t>0</w:t>
      </w:r>
      <w:r w:rsidRPr="00C41ED1">
        <w:rPr>
          <w:rFonts w:eastAsia="楷体" w:cs="Arial"/>
          <w:color w:val="auto"/>
        </w:rPr>
        <w:t>7</w:t>
      </w:r>
      <w:r w:rsidR="00AA735C" w:rsidRPr="00C41ED1">
        <w:rPr>
          <w:rFonts w:eastAsia="楷体" w:cs="Arial"/>
          <w:color w:val="auto"/>
        </w:rPr>
        <w:t>%</w:t>
      </w:r>
      <w:r w:rsidRPr="00C41ED1">
        <w:rPr>
          <w:rFonts w:eastAsia="楷体" w:hAnsi="楷体" w:cs="Arial"/>
          <w:color w:val="auto"/>
        </w:rPr>
        <w:t>，</w:t>
      </w:r>
      <w:r w:rsidR="00FD597D">
        <w:rPr>
          <w:rFonts w:eastAsia="楷体" w:hAnsi="楷体" w:cs="Arial"/>
          <w:color w:val="auto"/>
        </w:rPr>
        <w:t>超过</w:t>
      </w:r>
      <w:proofErr w:type="gramStart"/>
      <w:r w:rsidR="00FD597D">
        <w:rPr>
          <w:rFonts w:eastAsia="楷体" w:hAnsi="楷体" w:cs="Arial"/>
          <w:color w:val="auto"/>
        </w:rPr>
        <w:t>九成跑</w:t>
      </w:r>
      <w:proofErr w:type="gramEnd"/>
      <w:r w:rsidR="00FD597D">
        <w:rPr>
          <w:rFonts w:eastAsia="楷体" w:hAnsi="楷体" w:cs="Arial"/>
          <w:color w:val="auto"/>
        </w:rPr>
        <w:t>赢同期沪深</w:t>
      </w:r>
      <w:r w:rsidR="00FD597D">
        <w:rPr>
          <w:rFonts w:eastAsia="楷体" w:hAnsi="楷体" w:cs="Arial" w:hint="eastAsia"/>
          <w:color w:val="auto"/>
        </w:rPr>
        <w:t>300</w:t>
      </w:r>
      <w:r w:rsidR="00FD597D">
        <w:rPr>
          <w:rFonts w:eastAsia="楷体" w:hAnsi="楷体" w:cs="Arial" w:hint="eastAsia"/>
          <w:color w:val="auto"/>
        </w:rPr>
        <w:t>，实现</w:t>
      </w:r>
      <w:r w:rsidR="00AE4A17" w:rsidRPr="00C41ED1">
        <w:rPr>
          <w:rFonts w:eastAsia="楷体" w:hAnsi="楷体" w:cs="Arial"/>
          <w:color w:val="auto"/>
        </w:rPr>
        <w:t>持平或上涨的共有</w:t>
      </w:r>
      <w:r w:rsidR="00FD597D">
        <w:rPr>
          <w:rFonts w:eastAsia="楷体" w:cs="Arial" w:hint="eastAsia"/>
          <w:color w:val="auto"/>
        </w:rPr>
        <w:t>200</w:t>
      </w:r>
      <w:r w:rsidR="00AE4A17" w:rsidRPr="00C41ED1">
        <w:rPr>
          <w:rFonts w:eastAsia="楷体" w:hAnsi="楷体" w:cs="Arial"/>
          <w:color w:val="auto"/>
        </w:rPr>
        <w:t>只</w:t>
      </w:r>
      <w:r w:rsidR="00FD597D">
        <w:rPr>
          <w:rFonts w:eastAsia="楷体" w:hAnsi="楷体" w:cs="Arial"/>
          <w:color w:val="auto"/>
        </w:rPr>
        <w:t>占比五成</w:t>
      </w:r>
      <w:r w:rsidR="009D78EE" w:rsidRPr="00C41ED1">
        <w:rPr>
          <w:rFonts w:eastAsia="楷体" w:hAnsi="楷体" w:cs="Arial"/>
          <w:color w:val="auto"/>
        </w:rPr>
        <w:t>，</w:t>
      </w:r>
      <w:r w:rsidR="00FD597D">
        <w:rPr>
          <w:rFonts w:eastAsia="楷体" w:cs="Arial"/>
          <w:color w:val="auto"/>
        </w:rPr>
        <w:t>有</w:t>
      </w:r>
      <w:r w:rsidR="00FD597D">
        <w:rPr>
          <w:rFonts w:eastAsia="楷体" w:cs="Arial" w:hint="eastAsia"/>
          <w:color w:val="auto"/>
        </w:rPr>
        <w:t>10</w:t>
      </w:r>
      <w:r w:rsidR="009D78EE" w:rsidRPr="00C41ED1">
        <w:rPr>
          <w:rFonts w:eastAsia="楷体" w:hAnsi="楷体" w:cs="Arial"/>
          <w:color w:val="auto"/>
        </w:rPr>
        <w:t>只涨幅超过</w:t>
      </w:r>
      <w:r w:rsidR="00FD597D">
        <w:rPr>
          <w:rFonts w:eastAsia="楷体" w:cs="Arial" w:hint="eastAsia"/>
          <w:color w:val="auto"/>
        </w:rPr>
        <w:t>2</w:t>
      </w:r>
      <w:r w:rsidR="009D78EE" w:rsidRPr="00C41ED1">
        <w:rPr>
          <w:rFonts w:eastAsia="楷体" w:hAnsi="楷体" w:cs="Arial"/>
          <w:color w:val="auto"/>
        </w:rPr>
        <w:t>个百分点。</w:t>
      </w:r>
      <w:r w:rsidR="00A52726">
        <w:rPr>
          <w:rFonts w:eastAsia="楷体" w:hAnsi="楷体" w:cs="Arial"/>
          <w:color w:val="auto"/>
        </w:rPr>
        <w:t>市场风格分化令</w:t>
      </w:r>
      <w:r w:rsidR="00A52726" w:rsidRPr="00A52726">
        <w:rPr>
          <w:rFonts w:eastAsia="楷体" w:hAnsi="楷体" w:cs="Arial" w:hint="eastAsia"/>
          <w:color w:val="auto"/>
        </w:rPr>
        <w:t>新兴成长风格</w:t>
      </w:r>
      <w:proofErr w:type="gramStart"/>
      <w:r w:rsidR="00A52726">
        <w:rPr>
          <w:rFonts w:eastAsia="楷体" w:hAnsi="楷体" w:cs="Arial" w:hint="eastAsia"/>
          <w:color w:val="auto"/>
        </w:rPr>
        <w:t>的</w:t>
      </w:r>
      <w:r w:rsidR="00FD597D" w:rsidRPr="00FD597D">
        <w:rPr>
          <w:rFonts w:eastAsia="楷体" w:hAnsi="楷体" w:cs="Arial" w:hint="eastAsia"/>
          <w:color w:val="auto"/>
        </w:rPr>
        <w:t>浦银安</w:t>
      </w:r>
      <w:proofErr w:type="gramEnd"/>
      <w:r w:rsidR="00FD597D" w:rsidRPr="00FD597D">
        <w:rPr>
          <w:rFonts w:eastAsia="楷体" w:hAnsi="楷体" w:cs="Arial" w:hint="eastAsia"/>
          <w:color w:val="auto"/>
        </w:rPr>
        <w:t>盛红利精选</w:t>
      </w:r>
      <w:r w:rsidR="009D78EE" w:rsidRPr="00C41ED1">
        <w:rPr>
          <w:rFonts w:eastAsia="楷体" w:hAnsi="楷体" w:cs="Arial"/>
          <w:color w:val="auto"/>
        </w:rPr>
        <w:t>、</w:t>
      </w:r>
      <w:r w:rsidR="00FD597D" w:rsidRPr="00FD597D">
        <w:rPr>
          <w:rFonts w:eastAsia="楷体" w:hAnsi="楷体" w:cs="Arial" w:hint="eastAsia"/>
          <w:color w:val="auto"/>
        </w:rPr>
        <w:t>中欧盛世成长分级</w:t>
      </w:r>
      <w:r w:rsidR="00FD597D">
        <w:rPr>
          <w:rFonts w:eastAsia="楷体" w:hAnsi="楷体" w:cs="Arial" w:hint="eastAsia"/>
          <w:color w:val="auto"/>
        </w:rPr>
        <w:t>、</w:t>
      </w:r>
      <w:r w:rsidR="00FD597D" w:rsidRPr="00FD597D">
        <w:rPr>
          <w:rFonts w:eastAsia="楷体" w:hAnsi="楷体" w:cs="Arial" w:hint="eastAsia"/>
          <w:color w:val="auto"/>
        </w:rPr>
        <w:t>广</w:t>
      </w:r>
      <w:proofErr w:type="gramStart"/>
      <w:r w:rsidR="00FD597D" w:rsidRPr="00FD597D">
        <w:rPr>
          <w:rFonts w:eastAsia="楷体" w:hAnsi="楷体" w:cs="Arial" w:hint="eastAsia"/>
          <w:color w:val="auto"/>
        </w:rPr>
        <w:t>发聚瑞</w:t>
      </w:r>
      <w:proofErr w:type="gramEnd"/>
      <w:r w:rsidR="00FD597D">
        <w:rPr>
          <w:rFonts w:eastAsia="楷体" w:hAnsi="楷体" w:cs="Arial" w:hint="eastAsia"/>
          <w:color w:val="auto"/>
        </w:rPr>
        <w:t>等</w:t>
      </w:r>
      <w:r w:rsidR="00A52726">
        <w:rPr>
          <w:rFonts w:eastAsia="楷体" w:hAnsi="楷体" w:cs="Arial" w:hint="eastAsia"/>
          <w:color w:val="auto"/>
        </w:rPr>
        <w:t>基金</w:t>
      </w:r>
      <w:r w:rsidR="00FD597D">
        <w:rPr>
          <w:rFonts w:eastAsia="楷体" w:hAnsi="楷体" w:cs="Arial" w:hint="eastAsia"/>
          <w:color w:val="auto"/>
        </w:rPr>
        <w:t>业绩领跑同业。</w:t>
      </w:r>
      <w:r w:rsidR="00703A45" w:rsidRPr="00C41ED1">
        <w:rPr>
          <w:rFonts w:eastAsia="楷体" w:hAnsi="楷体" w:cs="Arial"/>
          <w:color w:val="auto"/>
        </w:rPr>
        <w:t>股票</w:t>
      </w:r>
      <w:r w:rsidR="00703A45" w:rsidRPr="00C41ED1">
        <w:rPr>
          <w:rFonts w:eastAsia="楷体" w:cs="Arial"/>
          <w:color w:val="auto"/>
        </w:rPr>
        <w:t>-</w:t>
      </w:r>
      <w:r w:rsidR="00703A45" w:rsidRPr="00C41ED1">
        <w:rPr>
          <w:rFonts w:eastAsia="楷体" w:hAnsi="楷体" w:cs="Arial"/>
          <w:color w:val="auto"/>
        </w:rPr>
        <w:t>指数型</w:t>
      </w:r>
      <w:r w:rsidR="00C95E13" w:rsidRPr="00C41ED1">
        <w:rPr>
          <w:rFonts w:eastAsia="楷体" w:cs="Arial"/>
          <w:color w:val="auto"/>
        </w:rPr>
        <w:t>249</w:t>
      </w:r>
      <w:r w:rsidR="007E0CA0" w:rsidRPr="00C41ED1">
        <w:rPr>
          <w:rFonts w:eastAsia="楷体" w:hAnsi="楷体" w:cs="Arial"/>
          <w:color w:val="auto"/>
        </w:rPr>
        <w:t>只</w:t>
      </w:r>
      <w:r w:rsidR="00AA735C" w:rsidRPr="00C41ED1">
        <w:rPr>
          <w:rFonts w:eastAsia="楷体" w:hAnsi="楷体" w:cs="Arial"/>
          <w:color w:val="auto"/>
        </w:rPr>
        <w:t>基金</w:t>
      </w:r>
      <w:r w:rsidR="00FD597D">
        <w:rPr>
          <w:rFonts w:eastAsia="楷体" w:hAnsi="楷体" w:cs="Arial"/>
          <w:color w:val="auto"/>
        </w:rPr>
        <w:t>中多数随主板市场下行，</w:t>
      </w:r>
      <w:r w:rsidR="00C95E13" w:rsidRPr="00C41ED1">
        <w:rPr>
          <w:rFonts w:eastAsia="楷体" w:hAnsi="楷体" w:cs="Arial"/>
          <w:color w:val="auto"/>
        </w:rPr>
        <w:t>平均</w:t>
      </w:r>
      <w:r w:rsidR="00FD597D">
        <w:rPr>
          <w:rFonts w:eastAsia="楷体" w:hAnsi="楷体" w:cs="Arial"/>
          <w:color w:val="auto"/>
        </w:rPr>
        <w:t>周</w:t>
      </w:r>
      <w:r w:rsidR="00C95E13" w:rsidRPr="00C41ED1">
        <w:rPr>
          <w:rFonts w:eastAsia="楷体" w:hAnsi="楷体" w:cs="Arial"/>
          <w:color w:val="auto"/>
        </w:rPr>
        <w:t>涨</w:t>
      </w:r>
      <w:r w:rsidR="00FD597D">
        <w:rPr>
          <w:rFonts w:eastAsia="楷体" w:hAnsi="楷体" w:cs="Arial"/>
          <w:color w:val="auto"/>
        </w:rPr>
        <w:t>跌</w:t>
      </w:r>
      <w:r w:rsidR="00C95E13" w:rsidRPr="00C41ED1">
        <w:rPr>
          <w:rFonts w:eastAsia="楷体" w:hAnsi="楷体" w:cs="Arial"/>
          <w:color w:val="auto"/>
        </w:rPr>
        <w:t>幅</w:t>
      </w:r>
      <w:r w:rsidR="00FD597D">
        <w:rPr>
          <w:rFonts w:eastAsia="楷体" w:hAnsi="楷体" w:cs="Arial"/>
          <w:color w:val="auto"/>
        </w:rPr>
        <w:t>为</w:t>
      </w:r>
      <w:r w:rsidR="00FD597D">
        <w:rPr>
          <w:rFonts w:eastAsia="楷体" w:hAnsi="楷体" w:cs="Arial"/>
          <w:color w:val="auto"/>
        </w:rPr>
        <w:t>-</w:t>
      </w:r>
      <w:r w:rsidR="00FD597D">
        <w:rPr>
          <w:rFonts w:eastAsia="楷体" w:cs="Arial"/>
          <w:color w:val="auto"/>
        </w:rPr>
        <w:t>0.</w:t>
      </w:r>
      <w:r w:rsidR="00FD597D">
        <w:rPr>
          <w:rFonts w:eastAsia="楷体" w:cs="Arial" w:hint="eastAsia"/>
          <w:color w:val="auto"/>
        </w:rPr>
        <w:t>60</w:t>
      </w:r>
      <w:r w:rsidR="00C95E13" w:rsidRPr="00C41ED1">
        <w:rPr>
          <w:rFonts w:eastAsia="楷体" w:cs="Arial"/>
          <w:color w:val="auto"/>
        </w:rPr>
        <w:t>%</w:t>
      </w:r>
      <w:r w:rsidR="00FD597D">
        <w:rPr>
          <w:rFonts w:eastAsia="楷体" w:hAnsi="楷体" w:cs="Arial"/>
          <w:color w:val="auto"/>
        </w:rPr>
        <w:t>；</w:t>
      </w:r>
      <w:r w:rsidR="00FD597D">
        <w:rPr>
          <w:rFonts w:eastAsia="楷体" w:hAnsi="楷体" w:cs="Arial" w:hint="eastAsia"/>
          <w:color w:val="auto"/>
        </w:rPr>
        <w:t>4</w:t>
      </w:r>
      <w:r w:rsidR="00FD597D">
        <w:rPr>
          <w:rFonts w:eastAsia="楷体" w:hAnsi="楷体" w:cs="Arial" w:hint="eastAsia"/>
          <w:color w:val="auto"/>
        </w:rPr>
        <w:t>只涨幅超过</w:t>
      </w:r>
      <w:r w:rsidR="00FD597D">
        <w:rPr>
          <w:rFonts w:eastAsia="楷体" w:hAnsi="楷体" w:cs="Arial" w:hint="eastAsia"/>
          <w:color w:val="auto"/>
        </w:rPr>
        <w:t>2%</w:t>
      </w:r>
      <w:r w:rsidR="00FD597D">
        <w:rPr>
          <w:rFonts w:eastAsia="楷体" w:hAnsi="楷体" w:cs="Arial" w:hint="eastAsia"/>
          <w:color w:val="auto"/>
        </w:rPr>
        <w:t>的均为跟踪创业</w:t>
      </w:r>
      <w:proofErr w:type="gramStart"/>
      <w:r w:rsidR="00FD597D">
        <w:rPr>
          <w:rFonts w:eastAsia="楷体" w:hAnsi="楷体" w:cs="Arial" w:hint="eastAsia"/>
          <w:color w:val="auto"/>
        </w:rPr>
        <w:t>板指数</w:t>
      </w:r>
      <w:proofErr w:type="gramEnd"/>
      <w:r w:rsidR="00FD597D">
        <w:rPr>
          <w:rFonts w:eastAsia="楷体" w:hAnsi="楷体" w:cs="Arial" w:hint="eastAsia"/>
          <w:color w:val="auto"/>
        </w:rPr>
        <w:t>的基金品种。</w:t>
      </w:r>
    </w:p>
    <w:p w:rsidR="00703A45" w:rsidRPr="00C41ED1" w:rsidRDefault="00703A45" w:rsidP="00703A45">
      <w:pPr>
        <w:pStyle w:val="ab"/>
        <w:numPr>
          <w:ilvl w:val="5"/>
          <w:numId w:val="2"/>
        </w:numPr>
        <w:spacing w:after="163"/>
        <w:ind w:left="4140" w:hanging="369"/>
        <w:rPr>
          <w:rFonts w:eastAsia="楷体" w:cs="Arial"/>
        </w:rPr>
      </w:pPr>
      <w:r w:rsidRPr="00C41ED1">
        <w:rPr>
          <w:rFonts w:eastAsia="楷体" w:hAnsi="楷体" w:cs="Arial"/>
          <w:color w:val="auto"/>
        </w:rPr>
        <w:t>混合型基金</w:t>
      </w:r>
      <w:r w:rsidR="00763E9C" w:rsidRPr="00C41ED1">
        <w:rPr>
          <w:rFonts w:eastAsia="楷体" w:hAnsi="楷体" w:cs="Arial"/>
          <w:color w:val="auto"/>
        </w:rPr>
        <w:t>中</w:t>
      </w:r>
      <w:r w:rsidR="00C874F7" w:rsidRPr="00C41ED1">
        <w:rPr>
          <w:rFonts w:eastAsia="楷体" w:hAnsi="楷体" w:cs="Arial"/>
          <w:color w:val="auto"/>
        </w:rPr>
        <w:t>权益类</w:t>
      </w:r>
      <w:proofErr w:type="gramStart"/>
      <w:r w:rsidR="00C874F7" w:rsidRPr="00C41ED1">
        <w:rPr>
          <w:rFonts w:eastAsia="楷体" w:hAnsi="楷体" w:cs="Arial"/>
          <w:color w:val="auto"/>
        </w:rPr>
        <w:t>占比较</w:t>
      </w:r>
      <w:proofErr w:type="gramEnd"/>
      <w:r w:rsidR="00C874F7" w:rsidRPr="00C41ED1">
        <w:rPr>
          <w:rFonts w:eastAsia="楷体" w:hAnsi="楷体" w:cs="Arial"/>
          <w:color w:val="auto"/>
        </w:rPr>
        <w:t>重的</w:t>
      </w:r>
      <w:r w:rsidRPr="00C41ED1">
        <w:rPr>
          <w:rFonts w:eastAsia="楷体" w:hAnsi="楷体" w:cs="Arial"/>
          <w:color w:val="auto"/>
        </w:rPr>
        <w:t>混合</w:t>
      </w:r>
      <w:r w:rsidRPr="00C41ED1">
        <w:rPr>
          <w:rFonts w:eastAsia="楷体" w:cs="Arial"/>
          <w:color w:val="auto"/>
        </w:rPr>
        <w:t>-</w:t>
      </w:r>
      <w:proofErr w:type="gramStart"/>
      <w:r w:rsidR="007E03D3" w:rsidRPr="00C41ED1">
        <w:rPr>
          <w:rFonts w:eastAsia="楷体" w:hAnsi="楷体" w:cs="Arial"/>
          <w:color w:val="auto"/>
        </w:rPr>
        <w:t>偏股</w:t>
      </w:r>
      <w:r w:rsidR="00763E9C" w:rsidRPr="00C41ED1">
        <w:rPr>
          <w:rFonts w:eastAsia="楷体" w:hAnsi="楷体" w:cs="Arial"/>
          <w:color w:val="auto"/>
        </w:rPr>
        <w:t>型</w:t>
      </w:r>
      <w:proofErr w:type="gramEnd"/>
      <w:r w:rsidR="00AA735C" w:rsidRPr="00C41ED1">
        <w:rPr>
          <w:rFonts w:eastAsia="楷体" w:hAnsi="楷体" w:cs="Arial"/>
          <w:color w:val="auto"/>
        </w:rPr>
        <w:t>的</w:t>
      </w:r>
      <w:r w:rsidR="007B269A" w:rsidRPr="00C41ED1">
        <w:rPr>
          <w:rFonts w:eastAsia="楷体" w:cs="Arial"/>
          <w:color w:val="auto"/>
        </w:rPr>
        <w:t>35</w:t>
      </w:r>
      <w:r w:rsidR="00AA7CE9" w:rsidRPr="00C41ED1">
        <w:rPr>
          <w:rFonts w:eastAsia="楷体" w:hAnsi="楷体" w:cs="Arial"/>
          <w:color w:val="auto"/>
        </w:rPr>
        <w:t>只</w:t>
      </w:r>
      <w:r w:rsidR="006175E2">
        <w:rPr>
          <w:rFonts w:eastAsia="楷体" w:hAnsi="楷体" w:cs="Arial"/>
          <w:color w:val="auto"/>
        </w:rPr>
        <w:t>基金中，上周有半数收益为正</w:t>
      </w:r>
      <w:r w:rsidR="00AA735C" w:rsidRPr="00C41ED1">
        <w:rPr>
          <w:rFonts w:eastAsia="楷体" w:hAnsi="楷体" w:cs="Arial"/>
          <w:color w:val="auto"/>
        </w:rPr>
        <w:t>，</w:t>
      </w:r>
      <w:r w:rsidR="00C874F7" w:rsidRPr="00C41ED1">
        <w:rPr>
          <w:rFonts w:eastAsia="楷体" w:hAnsi="楷体" w:cs="Arial"/>
          <w:color w:val="auto"/>
        </w:rPr>
        <w:t>平均</w:t>
      </w:r>
      <w:r w:rsidR="006175E2">
        <w:rPr>
          <w:rFonts w:eastAsia="楷体" w:hAnsi="楷体" w:cs="Arial"/>
          <w:color w:val="auto"/>
        </w:rPr>
        <w:t>回报率</w:t>
      </w:r>
      <w:r w:rsidR="006175E2">
        <w:rPr>
          <w:rFonts w:eastAsia="楷体" w:cs="Arial" w:hint="eastAsia"/>
          <w:color w:val="auto"/>
        </w:rPr>
        <w:t>0.06</w:t>
      </w:r>
      <w:r w:rsidR="00AA735C" w:rsidRPr="00C41ED1">
        <w:rPr>
          <w:rFonts w:eastAsia="楷体" w:cs="Arial"/>
          <w:color w:val="auto"/>
        </w:rPr>
        <w:t>%</w:t>
      </w:r>
      <w:r w:rsidR="006175E2">
        <w:rPr>
          <w:rFonts w:eastAsia="楷体" w:cs="Arial"/>
          <w:color w:val="auto"/>
        </w:rPr>
        <w:t>；但收益最高者也仅有</w:t>
      </w:r>
      <w:r w:rsidR="006175E2">
        <w:rPr>
          <w:rFonts w:eastAsia="楷体" w:cs="Arial" w:hint="eastAsia"/>
          <w:color w:val="auto"/>
        </w:rPr>
        <w:t>1.11%</w:t>
      </w:r>
      <w:r w:rsidR="00B7120A" w:rsidRPr="00C41ED1">
        <w:rPr>
          <w:rFonts w:eastAsia="楷体" w:hAnsi="楷体" w:cs="Arial"/>
          <w:color w:val="auto"/>
        </w:rPr>
        <w:t>。</w:t>
      </w:r>
      <w:r w:rsidR="00C874F7" w:rsidRPr="00C41ED1">
        <w:rPr>
          <w:rFonts w:eastAsia="楷体" w:hAnsi="楷体" w:cs="Arial"/>
          <w:color w:val="auto"/>
        </w:rPr>
        <w:t>混合</w:t>
      </w:r>
      <w:r w:rsidR="00C874F7" w:rsidRPr="00C41ED1">
        <w:rPr>
          <w:rFonts w:eastAsia="楷体" w:cs="Arial"/>
          <w:color w:val="auto"/>
        </w:rPr>
        <w:t>-</w:t>
      </w:r>
      <w:r w:rsidR="00B7120A" w:rsidRPr="00C41ED1">
        <w:rPr>
          <w:rFonts w:eastAsia="楷体" w:hAnsi="楷体" w:cs="Arial"/>
          <w:color w:val="auto"/>
        </w:rPr>
        <w:t>灵活型</w:t>
      </w:r>
      <w:r w:rsidR="007B269A" w:rsidRPr="00C41ED1">
        <w:rPr>
          <w:rFonts w:eastAsia="楷体" w:cs="Arial"/>
          <w:color w:val="auto"/>
        </w:rPr>
        <w:t>206</w:t>
      </w:r>
      <w:r w:rsidR="0082719B" w:rsidRPr="00C41ED1">
        <w:rPr>
          <w:rFonts w:eastAsia="楷体" w:hAnsi="楷体" w:cs="Arial"/>
          <w:color w:val="auto"/>
        </w:rPr>
        <w:t>只</w:t>
      </w:r>
      <w:r w:rsidR="00B7120A" w:rsidRPr="00C41ED1">
        <w:rPr>
          <w:rFonts w:eastAsia="楷体" w:hAnsi="楷体" w:cs="Arial"/>
          <w:color w:val="auto"/>
        </w:rPr>
        <w:t>产品</w:t>
      </w:r>
      <w:r w:rsidR="00341CB3">
        <w:rPr>
          <w:rFonts w:eastAsia="楷体" w:hAnsi="楷体" w:cs="Arial"/>
          <w:color w:val="auto"/>
        </w:rPr>
        <w:t>有六成在当周持平或上涨</w:t>
      </w:r>
      <w:r w:rsidR="007B269A" w:rsidRPr="00C41ED1">
        <w:rPr>
          <w:rFonts w:eastAsia="楷体" w:hAnsi="楷体" w:cs="Arial"/>
          <w:color w:val="auto"/>
        </w:rPr>
        <w:t>，</w:t>
      </w:r>
      <w:r w:rsidR="00341CB3">
        <w:rPr>
          <w:rFonts w:eastAsia="楷体" w:hAnsi="楷体" w:cs="Arial"/>
          <w:color w:val="auto"/>
        </w:rPr>
        <w:t>且绩优者在权益类基金中领先</w:t>
      </w:r>
      <w:r w:rsidR="00B7120A" w:rsidRPr="00C41ED1">
        <w:rPr>
          <w:rFonts w:eastAsia="楷体" w:hAnsi="楷体" w:cs="Arial"/>
          <w:color w:val="auto"/>
        </w:rPr>
        <w:t>，</w:t>
      </w:r>
      <w:proofErr w:type="gramStart"/>
      <w:r w:rsidR="00341CB3">
        <w:rPr>
          <w:rFonts w:eastAsia="楷体" w:hAnsi="楷体" w:cs="Arial"/>
          <w:color w:val="auto"/>
        </w:rPr>
        <w:t>如</w:t>
      </w:r>
      <w:r w:rsidR="00341CB3" w:rsidRPr="00341CB3">
        <w:rPr>
          <w:rFonts w:eastAsia="楷体" w:hAnsi="楷体" w:cs="Arial" w:hint="eastAsia"/>
          <w:color w:val="auto"/>
        </w:rPr>
        <w:t>浦银</w:t>
      </w:r>
      <w:proofErr w:type="gramEnd"/>
      <w:r w:rsidR="00341CB3" w:rsidRPr="00341CB3">
        <w:rPr>
          <w:rFonts w:eastAsia="楷体" w:hAnsi="楷体" w:cs="Arial" w:hint="eastAsia"/>
          <w:color w:val="auto"/>
        </w:rPr>
        <w:t>安盛的</w:t>
      </w:r>
      <w:r w:rsidR="00341CB3" w:rsidRPr="00341CB3">
        <w:rPr>
          <w:rFonts w:eastAsia="楷体" w:hAnsi="楷体" w:cs="Arial" w:hint="eastAsia"/>
          <w:color w:val="auto"/>
        </w:rPr>
        <w:t>2</w:t>
      </w:r>
      <w:r w:rsidR="00341CB3" w:rsidRPr="00341CB3">
        <w:rPr>
          <w:rFonts w:eastAsia="楷体" w:hAnsi="楷体" w:cs="Arial" w:hint="eastAsia"/>
          <w:color w:val="auto"/>
        </w:rPr>
        <w:t>只产品</w:t>
      </w:r>
      <w:proofErr w:type="gramStart"/>
      <w:r w:rsidR="00341CB3" w:rsidRPr="00341CB3">
        <w:rPr>
          <w:rFonts w:eastAsia="楷体" w:hAnsi="楷体" w:cs="Arial" w:hint="eastAsia"/>
          <w:color w:val="auto"/>
        </w:rPr>
        <w:t>浦银安盛消费</w:t>
      </w:r>
      <w:proofErr w:type="gramEnd"/>
      <w:r w:rsidR="00341CB3" w:rsidRPr="00341CB3">
        <w:rPr>
          <w:rFonts w:eastAsia="楷体" w:hAnsi="楷体" w:cs="Arial" w:hint="eastAsia"/>
          <w:color w:val="auto"/>
        </w:rPr>
        <w:t>升级</w:t>
      </w:r>
      <w:r w:rsidR="00341CB3">
        <w:rPr>
          <w:rFonts w:eastAsia="楷体" w:hAnsi="楷体" w:cs="Arial" w:hint="eastAsia"/>
          <w:color w:val="auto"/>
        </w:rPr>
        <w:t>、</w:t>
      </w:r>
      <w:proofErr w:type="gramStart"/>
      <w:r w:rsidR="00341CB3" w:rsidRPr="00341CB3">
        <w:rPr>
          <w:rFonts w:eastAsia="楷体" w:hAnsi="楷体" w:cs="Arial" w:hint="eastAsia"/>
          <w:color w:val="auto"/>
        </w:rPr>
        <w:t>浦银安</w:t>
      </w:r>
      <w:proofErr w:type="gramEnd"/>
      <w:r w:rsidR="00341CB3" w:rsidRPr="00341CB3">
        <w:rPr>
          <w:rFonts w:eastAsia="楷体" w:hAnsi="楷体" w:cs="Arial" w:hint="eastAsia"/>
          <w:color w:val="auto"/>
        </w:rPr>
        <w:t>盛精致生活</w:t>
      </w:r>
      <w:r w:rsidR="007B269A" w:rsidRPr="00C41ED1">
        <w:rPr>
          <w:rFonts w:eastAsia="楷体" w:hAnsi="楷体" w:cs="Arial"/>
          <w:color w:val="auto"/>
        </w:rPr>
        <w:t>，</w:t>
      </w:r>
      <w:r w:rsidR="00341CB3">
        <w:rPr>
          <w:rFonts w:eastAsia="楷体" w:hAnsi="楷体" w:cs="Arial"/>
          <w:color w:val="auto"/>
        </w:rPr>
        <w:t>周涨幅皆超过</w:t>
      </w:r>
      <w:r w:rsidR="00341CB3">
        <w:rPr>
          <w:rFonts w:eastAsia="楷体" w:hAnsi="楷体" w:cs="Arial" w:hint="eastAsia"/>
          <w:color w:val="auto"/>
        </w:rPr>
        <w:t>3%</w:t>
      </w:r>
      <w:r w:rsidR="00341CB3">
        <w:rPr>
          <w:rFonts w:eastAsia="楷体" w:hAnsi="楷体" w:cs="Arial" w:hint="eastAsia"/>
          <w:color w:val="auto"/>
        </w:rPr>
        <w:t>；另有</w:t>
      </w:r>
      <w:r w:rsidR="00341CB3">
        <w:rPr>
          <w:rFonts w:eastAsia="楷体" w:hAnsi="楷体" w:cs="Arial" w:hint="eastAsia"/>
          <w:color w:val="auto"/>
        </w:rPr>
        <w:t>3</w:t>
      </w:r>
      <w:r w:rsidR="00341CB3">
        <w:rPr>
          <w:rFonts w:eastAsia="楷体" w:hAnsi="楷体" w:cs="Arial" w:hint="eastAsia"/>
          <w:color w:val="auto"/>
        </w:rPr>
        <w:t>只</w:t>
      </w:r>
      <w:proofErr w:type="gramStart"/>
      <w:r w:rsidR="00341CB3">
        <w:rPr>
          <w:rFonts w:eastAsia="楷体" w:hAnsi="楷体" w:cs="Arial" w:hint="eastAsia"/>
          <w:color w:val="auto"/>
        </w:rPr>
        <w:t>产品周</w:t>
      </w:r>
      <w:proofErr w:type="gramEnd"/>
      <w:r w:rsidR="00341CB3">
        <w:rPr>
          <w:rFonts w:eastAsia="楷体" w:hAnsi="楷体" w:cs="Arial" w:hint="eastAsia"/>
          <w:color w:val="auto"/>
        </w:rPr>
        <w:t>回报率超过</w:t>
      </w:r>
      <w:r w:rsidR="00341CB3">
        <w:rPr>
          <w:rFonts w:eastAsia="楷体" w:hAnsi="楷体" w:cs="Arial" w:hint="eastAsia"/>
          <w:color w:val="auto"/>
        </w:rPr>
        <w:t>2%</w:t>
      </w:r>
      <w:r w:rsidR="00341CB3">
        <w:rPr>
          <w:rFonts w:eastAsia="楷体" w:hAnsi="楷体" w:cs="Arial" w:hint="eastAsia"/>
          <w:color w:val="auto"/>
        </w:rPr>
        <w:t>。</w:t>
      </w:r>
    </w:p>
    <w:p w:rsidR="00072445" w:rsidRPr="00DE67B2" w:rsidRDefault="00522FD3" w:rsidP="00DE67B2">
      <w:pPr>
        <w:pStyle w:val="ab"/>
        <w:numPr>
          <w:ilvl w:val="4"/>
          <w:numId w:val="1"/>
        </w:numPr>
        <w:spacing w:after="163"/>
        <w:rPr>
          <w:szCs w:val="21"/>
        </w:rPr>
      </w:pPr>
      <w:r>
        <w:rPr>
          <w:rFonts w:hint="eastAsia"/>
          <w:szCs w:val="21"/>
        </w:rPr>
        <w:t>海外方面，</w:t>
      </w:r>
      <w:r w:rsidR="00E81D40" w:rsidRPr="00C41ED1">
        <w:rPr>
          <w:rFonts w:hint="eastAsia"/>
          <w:szCs w:val="21"/>
        </w:rPr>
        <w:t>欧元区</w:t>
      </w:r>
      <w:r>
        <w:rPr>
          <w:rFonts w:hint="eastAsia"/>
          <w:szCs w:val="21"/>
        </w:rPr>
        <w:t>于上周四</w:t>
      </w:r>
      <w:r w:rsidR="00E81D40" w:rsidRPr="00C41ED1">
        <w:rPr>
          <w:rFonts w:hint="eastAsia"/>
          <w:szCs w:val="21"/>
        </w:rPr>
        <w:t>正式</w:t>
      </w:r>
      <w:r>
        <w:rPr>
          <w:rFonts w:hint="eastAsia"/>
          <w:szCs w:val="21"/>
        </w:rPr>
        <w:t>宣布将</w:t>
      </w:r>
      <w:r w:rsidR="00E81D40" w:rsidRPr="00C41ED1">
        <w:rPr>
          <w:rFonts w:hint="eastAsia"/>
          <w:szCs w:val="21"/>
        </w:rPr>
        <w:t>迎来负利率时代</w:t>
      </w:r>
      <w:r w:rsidR="00DE67B2">
        <w:rPr>
          <w:rFonts w:hint="eastAsia"/>
          <w:szCs w:val="21"/>
        </w:rPr>
        <w:t>，</w:t>
      </w:r>
      <w:r>
        <w:rPr>
          <w:rFonts w:hint="eastAsia"/>
          <w:szCs w:val="21"/>
        </w:rPr>
        <w:t>消息令</w:t>
      </w:r>
      <w:r w:rsidR="00E81D40" w:rsidRPr="00C41ED1">
        <w:rPr>
          <w:rFonts w:hint="eastAsia"/>
          <w:szCs w:val="21"/>
        </w:rPr>
        <w:t>美股大涨、欧洲股市反弹。</w:t>
      </w:r>
      <w:r w:rsidR="008E41E5" w:rsidRPr="008E41E5">
        <w:rPr>
          <w:rFonts w:hint="eastAsia"/>
          <w:szCs w:val="21"/>
        </w:rPr>
        <w:t>新兴市场</w:t>
      </w:r>
      <w:r w:rsidR="00DE67B2">
        <w:rPr>
          <w:rFonts w:hint="eastAsia"/>
          <w:szCs w:val="21"/>
        </w:rPr>
        <w:t>亦</w:t>
      </w:r>
      <w:r>
        <w:rPr>
          <w:rFonts w:hint="eastAsia"/>
          <w:szCs w:val="21"/>
        </w:rPr>
        <w:t>在上周</w:t>
      </w:r>
      <w:r w:rsidR="008E41E5" w:rsidRPr="008E41E5">
        <w:rPr>
          <w:rFonts w:hint="eastAsia"/>
          <w:szCs w:val="21"/>
        </w:rPr>
        <w:t>表现强势。商品方面</w:t>
      </w:r>
      <w:r w:rsidR="008E41E5">
        <w:rPr>
          <w:rFonts w:hint="eastAsia"/>
          <w:szCs w:val="21"/>
        </w:rPr>
        <w:t>，</w:t>
      </w:r>
      <w:r w:rsidR="00DE67B2">
        <w:rPr>
          <w:rFonts w:hint="eastAsia"/>
          <w:szCs w:val="21"/>
        </w:rPr>
        <w:t>能源、石油价格微</w:t>
      </w:r>
      <w:r w:rsidR="008E41E5" w:rsidRPr="008E41E5">
        <w:rPr>
          <w:rFonts w:hint="eastAsia"/>
          <w:szCs w:val="21"/>
        </w:rPr>
        <w:t>跌</w:t>
      </w:r>
      <w:r w:rsidR="008E41E5">
        <w:rPr>
          <w:rFonts w:hint="eastAsia"/>
          <w:szCs w:val="21"/>
        </w:rPr>
        <w:t>，</w:t>
      </w:r>
      <w:r w:rsidR="008E41E5" w:rsidRPr="008E41E5">
        <w:rPr>
          <w:rFonts w:hint="eastAsia"/>
          <w:szCs w:val="21"/>
        </w:rPr>
        <w:t>贵金属价格反弹</w:t>
      </w:r>
      <w:r w:rsidR="008E41E5">
        <w:rPr>
          <w:rFonts w:hint="eastAsia"/>
          <w:szCs w:val="21"/>
        </w:rPr>
        <w:t>，</w:t>
      </w:r>
      <w:r w:rsidR="00DE67B2">
        <w:rPr>
          <w:rFonts w:hint="eastAsia"/>
          <w:szCs w:val="21"/>
        </w:rPr>
        <w:t>天然气</w:t>
      </w:r>
      <w:r w:rsidR="008E41E5" w:rsidRPr="008E41E5">
        <w:rPr>
          <w:rFonts w:hint="eastAsia"/>
          <w:szCs w:val="21"/>
        </w:rPr>
        <w:t>略有上行。</w:t>
      </w:r>
      <w:r>
        <w:rPr>
          <w:rFonts w:hint="eastAsia"/>
          <w:szCs w:val="21"/>
        </w:rPr>
        <w:t>在此背景下，</w:t>
      </w:r>
      <w:r w:rsidR="00D62785" w:rsidRPr="00DE67B2">
        <w:rPr>
          <w:rFonts w:hint="eastAsia"/>
          <w:szCs w:val="21"/>
        </w:rPr>
        <w:t>投资于各</w:t>
      </w:r>
      <w:r w:rsidR="00DE67B2">
        <w:rPr>
          <w:rFonts w:hint="eastAsia"/>
          <w:szCs w:val="21"/>
        </w:rPr>
        <w:t>个</w:t>
      </w:r>
      <w:r w:rsidR="00D62785" w:rsidRPr="00DE67B2">
        <w:rPr>
          <w:rFonts w:hint="eastAsia"/>
          <w:szCs w:val="21"/>
        </w:rPr>
        <w:t>地域的</w:t>
      </w:r>
      <w:r w:rsidR="007B269A" w:rsidRPr="00DE67B2">
        <w:rPr>
          <w:rFonts w:hint="eastAsia"/>
          <w:szCs w:val="21"/>
        </w:rPr>
        <w:t>88</w:t>
      </w:r>
      <w:r w:rsidR="00D62785" w:rsidRPr="00DE67B2">
        <w:rPr>
          <w:rFonts w:hint="eastAsia"/>
          <w:szCs w:val="21"/>
        </w:rPr>
        <w:t>只</w:t>
      </w:r>
      <w:r w:rsidR="00D62785" w:rsidRPr="00DE67B2">
        <w:rPr>
          <w:rFonts w:hint="eastAsia"/>
          <w:szCs w:val="21"/>
        </w:rPr>
        <w:t>QDII</w:t>
      </w:r>
      <w:r w:rsidR="007B269A" w:rsidRPr="00DE67B2">
        <w:rPr>
          <w:rFonts w:hint="eastAsia"/>
          <w:szCs w:val="21"/>
        </w:rPr>
        <w:t>基金</w:t>
      </w:r>
      <w:r w:rsidR="00DE67B2">
        <w:rPr>
          <w:rFonts w:hint="eastAsia"/>
          <w:szCs w:val="21"/>
        </w:rPr>
        <w:t>普遍上涨，小幅</w:t>
      </w:r>
      <w:r w:rsidR="007B269A" w:rsidRPr="00DE67B2">
        <w:rPr>
          <w:rFonts w:hint="eastAsia"/>
          <w:szCs w:val="21"/>
        </w:rPr>
        <w:t>下跌</w:t>
      </w:r>
      <w:r w:rsidR="00DE67B2">
        <w:rPr>
          <w:rFonts w:hint="eastAsia"/>
          <w:szCs w:val="21"/>
        </w:rPr>
        <w:t>的多为投资商品和债券的品种</w:t>
      </w:r>
      <w:r w:rsidR="007B269A" w:rsidRPr="00DE67B2">
        <w:rPr>
          <w:rFonts w:hint="eastAsia"/>
          <w:szCs w:val="21"/>
        </w:rPr>
        <w:t>。</w:t>
      </w:r>
      <w:r w:rsidR="00DE67B2">
        <w:rPr>
          <w:rFonts w:hint="eastAsia"/>
          <w:szCs w:val="21"/>
        </w:rPr>
        <w:t>领涨的依然是近期表现强势的</w:t>
      </w:r>
      <w:proofErr w:type="gramStart"/>
      <w:r w:rsidR="00DE67B2" w:rsidRPr="00DE67B2">
        <w:rPr>
          <w:rFonts w:hint="eastAsia"/>
          <w:szCs w:val="21"/>
        </w:rPr>
        <w:t>诺安全球收益</w:t>
      </w:r>
      <w:proofErr w:type="gramEnd"/>
      <w:r w:rsidR="00DE67B2" w:rsidRPr="00DE67B2">
        <w:rPr>
          <w:rFonts w:hint="eastAsia"/>
          <w:szCs w:val="21"/>
        </w:rPr>
        <w:t>不动产</w:t>
      </w:r>
      <w:r w:rsidR="00DE67B2">
        <w:rPr>
          <w:rFonts w:hint="eastAsia"/>
          <w:szCs w:val="21"/>
        </w:rPr>
        <w:t>（</w:t>
      </w:r>
      <w:r w:rsidR="00DE67B2">
        <w:rPr>
          <w:rFonts w:hint="eastAsia"/>
          <w:szCs w:val="21"/>
        </w:rPr>
        <w:t>3.38%</w:t>
      </w:r>
      <w:r w:rsidR="00DE67B2">
        <w:rPr>
          <w:rFonts w:hint="eastAsia"/>
          <w:szCs w:val="21"/>
        </w:rPr>
        <w:t>）和</w:t>
      </w:r>
      <w:r w:rsidR="00DE67B2" w:rsidRPr="00DE67B2">
        <w:rPr>
          <w:rFonts w:hint="eastAsia"/>
          <w:szCs w:val="21"/>
        </w:rPr>
        <w:t>广发美国房地产人民币</w:t>
      </w:r>
      <w:r w:rsidR="00DE67B2">
        <w:rPr>
          <w:rFonts w:hint="eastAsia"/>
          <w:szCs w:val="21"/>
        </w:rPr>
        <w:t>（</w:t>
      </w:r>
      <w:r w:rsidR="00DE67B2">
        <w:rPr>
          <w:rFonts w:hint="eastAsia"/>
          <w:szCs w:val="21"/>
        </w:rPr>
        <w:t>2.54%</w:t>
      </w:r>
      <w:r w:rsidR="00DE67B2">
        <w:rPr>
          <w:rFonts w:hint="eastAsia"/>
          <w:szCs w:val="21"/>
        </w:rPr>
        <w:t>）</w:t>
      </w:r>
      <w:r w:rsidR="00C411E5" w:rsidRPr="00DE67B2">
        <w:rPr>
          <w:rFonts w:hint="eastAsia"/>
          <w:szCs w:val="21"/>
        </w:rPr>
        <w:t>。</w:t>
      </w:r>
      <w:proofErr w:type="gramStart"/>
      <w:r w:rsidR="0035107C">
        <w:rPr>
          <w:rFonts w:hint="eastAsia"/>
          <w:szCs w:val="21"/>
        </w:rPr>
        <w:t>此类主投美国</w:t>
      </w:r>
      <w:proofErr w:type="gramEnd"/>
      <w:r w:rsidR="0035107C">
        <w:rPr>
          <w:rFonts w:hint="eastAsia"/>
          <w:szCs w:val="21"/>
        </w:rPr>
        <w:t>房地产股票的基金也是现阶段</w:t>
      </w:r>
      <w:proofErr w:type="gramStart"/>
      <w:r w:rsidR="0035107C">
        <w:rPr>
          <w:rFonts w:hint="eastAsia"/>
          <w:szCs w:val="21"/>
        </w:rPr>
        <w:t>凯石工场</w:t>
      </w:r>
      <w:proofErr w:type="gramEnd"/>
      <w:r w:rsidR="0035107C">
        <w:rPr>
          <w:rFonts w:hint="eastAsia"/>
          <w:szCs w:val="21"/>
        </w:rPr>
        <w:t>QDII</w:t>
      </w:r>
      <w:r w:rsidR="0035107C">
        <w:rPr>
          <w:rFonts w:hint="eastAsia"/>
          <w:szCs w:val="21"/>
        </w:rPr>
        <w:t>投资建议可重点关注的品种。</w:t>
      </w:r>
    </w:p>
    <w:p w:rsidR="006A5488" w:rsidRPr="005B7CDB" w:rsidRDefault="00980F3B" w:rsidP="00CB1BC1">
      <w:pPr>
        <w:widowControl/>
        <w:spacing w:after="120"/>
        <w:ind w:left="3430"/>
        <w:rPr>
          <w:rFonts w:ascii="楷体" w:eastAsia="楷体" w:hAnsi="楷体" w:cs="Times New Roman"/>
        </w:rPr>
      </w:pPr>
      <w:r w:rsidRPr="005B7CDB">
        <w:rPr>
          <w:rFonts w:ascii="楷体" w:eastAsia="楷体" w:hAnsi="楷体" w:hint="eastAsia"/>
          <w:b/>
          <w:bCs/>
          <w:color w:val="0070C0"/>
          <w:kern w:val="0"/>
          <w:szCs w:val="21"/>
          <w:lang w:val="en-GB"/>
        </w:rPr>
        <w:t>固定收益类</w:t>
      </w:r>
      <w:r w:rsidR="00503057" w:rsidRPr="005B7CDB">
        <w:rPr>
          <w:rFonts w:ascii="楷体" w:eastAsia="楷体" w:hAnsi="楷体" w:hint="eastAsia"/>
          <w:b/>
          <w:bCs/>
          <w:color w:val="0070C0"/>
          <w:kern w:val="0"/>
          <w:szCs w:val="21"/>
          <w:lang w:val="en-GB"/>
        </w:rPr>
        <w:t>基金一周业绩：</w:t>
      </w:r>
    </w:p>
    <w:p w:rsidR="00E72898" w:rsidRPr="0005101C" w:rsidRDefault="00A52726" w:rsidP="0005101C">
      <w:pPr>
        <w:pStyle w:val="ab"/>
        <w:numPr>
          <w:ilvl w:val="4"/>
          <w:numId w:val="1"/>
        </w:numPr>
        <w:spacing w:after="163"/>
        <w:rPr>
          <w:szCs w:val="21"/>
        </w:rPr>
      </w:pPr>
      <w:r w:rsidRPr="00A52726">
        <w:rPr>
          <w:rFonts w:hint="eastAsia"/>
          <w:szCs w:val="21"/>
        </w:rPr>
        <w:t>央行</w:t>
      </w:r>
      <w:r w:rsidR="00FF4DA5">
        <w:rPr>
          <w:rFonts w:hint="eastAsia"/>
          <w:szCs w:val="21"/>
        </w:rPr>
        <w:t>上周</w:t>
      </w:r>
      <w:r w:rsidRPr="00A52726">
        <w:rPr>
          <w:rFonts w:hint="eastAsia"/>
          <w:szCs w:val="21"/>
        </w:rPr>
        <w:t>在公开市场进行了</w:t>
      </w:r>
      <w:r w:rsidRPr="00A52726">
        <w:rPr>
          <w:rFonts w:hint="eastAsia"/>
          <w:szCs w:val="21"/>
        </w:rPr>
        <w:t>400</w:t>
      </w:r>
      <w:r w:rsidRPr="00A52726">
        <w:rPr>
          <w:rFonts w:hint="eastAsia"/>
          <w:szCs w:val="21"/>
        </w:rPr>
        <w:t>亿元</w:t>
      </w:r>
      <w:proofErr w:type="gramStart"/>
      <w:r w:rsidRPr="00A52726">
        <w:rPr>
          <w:rFonts w:hint="eastAsia"/>
          <w:szCs w:val="21"/>
        </w:rPr>
        <w:t>28</w:t>
      </w:r>
      <w:r w:rsidRPr="00A52726">
        <w:rPr>
          <w:rFonts w:hint="eastAsia"/>
          <w:szCs w:val="21"/>
        </w:rPr>
        <w:t>天期正回购</w:t>
      </w:r>
      <w:proofErr w:type="gramEnd"/>
      <w:r w:rsidRPr="00A52726">
        <w:rPr>
          <w:rFonts w:hint="eastAsia"/>
          <w:szCs w:val="21"/>
        </w:rPr>
        <w:t>操作，实现资金净投放</w:t>
      </w:r>
      <w:r w:rsidRPr="00A52726">
        <w:rPr>
          <w:rFonts w:hint="eastAsia"/>
          <w:szCs w:val="21"/>
        </w:rPr>
        <w:t>730</w:t>
      </w:r>
      <w:r w:rsidRPr="00A52726">
        <w:rPr>
          <w:rFonts w:hint="eastAsia"/>
          <w:szCs w:val="21"/>
        </w:rPr>
        <w:t>亿元。目前央行已连续第</w:t>
      </w:r>
      <w:r w:rsidRPr="00A52726">
        <w:rPr>
          <w:rFonts w:hint="eastAsia"/>
          <w:szCs w:val="21"/>
        </w:rPr>
        <w:t>4</w:t>
      </w:r>
      <w:r w:rsidRPr="00A52726">
        <w:rPr>
          <w:rFonts w:hint="eastAsia"/>
          <w:szCs w:val="21"/>
        </w:rPr>
        <w:t>周实现净投放，规模总计达</w:t>
      </w:r>
      <w:r w:rsidRPr="00A52726">
        <w:rPr>
          <w:rFonts w:hint="eastAsia"/>
          <w:szCs w:val="21"/>
        </w:rPr>
        <w:t>2570</w:t>
      </w:r>
      <w:r w:rsidRPr="00A52726">
        <w:rPr>
          <w:rFonts w:hint="eastAsia"/>
          <w:szCs w:val="21"/>
        </w:rPr>
        <w:t>亿元。</w:t>
      </w:r>
      <w:r w:rsidR="00FF4DA5">
        <w:rPr>
          <w:rFonts w:hint="eastAsia"/>
          <w:szCs w:val="21"/>
        </w:rPr>
        <w:t>银行临近年中考核</w:t>
      </w:r>
      <w:r w:rsidRPr="00A52726">
        <w:rPr>
          <w:rFonts w:hint="eastAsia"/>
          <w:szCs w:val="21"/>
        </w:rPr>
        <w:t>，目前资金面</w:t>
      </w:r>
      <w:r w:rsidR="00FF4DA5">
        <w:rPr>
          <w:rFonts w:hint="eastAsia"/>
          <w:szCs w:val="21"/>
        </w:rPr>
        <w:t>并</w:t>
      </w:r>
      <w:r w:rsidRPr="00A52726">
        <w:rPr>
          <w:rFonts w:hint="eastAsia"/>
          <w:szCs w:val="21"/>
        </w:rPr>
        <w:t>没有感受到半年</w:t>
      </w:r>
      <w:proofErr w:type="gramStart"/>
      <w:r w:rsidRPr="00A52726">
        <w:rPr>
          <w:rFonts w:hint="eastAsia"/>
          <w:szCs w:val="21"/>
        </w:rPr>
        <w:t>末时</w:t>
      </w:r>
      <w:proofErr w:type="gramEnd"/>
      <w:r w:rsidRPr="00A52726">
        <w:rPr>
          <w:rFonts w:hint="eastAsia"/>
          <w:szCs w:val="21"/>
        </w:rPr>
        <w:t>点的压力，总体上仍然维持宽松格局。</w:t>
      </w:r>
      <w:r w:rsidR="0005101C">
        <w:rPr>
          <w:rFonts w:hint="eastAsia"/>
          <w:szCs w:val="21"/>
        </w:rPr>
        <w:t>资金面宽松使得</w:t>
      </w:r>
      <w:r w:rsidR="0005101C" w:rsidRPr="0005101C">
        <w:rPr>
          <w:rFonts w:hint="eastAsia"/>
          <w:szCs w:val="21"/>
        </w:rPr>
        <w:t>经</w:t>
      </w:r>
      <w:r w:rsidR="00E72898" w:rsidRPr="0005101C">
        <w:rPr>
          <w:rFonts w:hint="eastAsia"/>
          <w:szCs w:val="21"/>
        </w:rPr>
        <w:t>调整后</w:t>
      </w:r>
      <w:r w:rsidR="00E72898" w:rsidRPr="0005101C">
        <w:rPr>
          <w:szCs w:val="21"/>
        </w:rPr>
        <w:t>债券市场</w:t>
      </w:r>
      <w:r w:rsidR="0005101C">
        <w:rPr>
          <w:szCs w:val="21"/>
        </w:rPr>
        <w:t>的</w:t>
      </w:r>
      <w:r w:rsidR="00E72898" w:rsidRPr="0005101C">
        <w:rPr>
          <w:szCs w:val="21"/>
        </w:rPr>
        <w:t>系统性风险较小</w:t>
      </w:r>
      <w:r w:rsidR="00E72898" w:rsidRPr="0005101C">
        <w:rPr>
          <w:rFonts w:hint="eastAsia"/>
          <w:szCs w:val="21"/>
        </w:rPr>
        <w:t>，</w:t>
      </w:r>
      <w:r w:rsidR="00E72898" w:rsidRPr="0005101C">
        <w:rPr>
          <w:szCs w:val="21"/>
        </w:rPr>
        <w:t>中高等级信用债和城</w:t>
      </w:r>
      <w:proofErr w:type="gramStart"/>
      <w:r w:rsidR="00E72898" w:rsidRPr="0005101C">
        <w:rPr>
          <w:szCs w:val="21"/>
        </w:rPr>
        <w:t>投债具有</w:t>
      </w:r>
      <w:proofErr w:type="gramEnd"/>
      <w:r w:rsidR="00E72898" w:rsidRPr="0005101C">
        <w:rPr>
          <w:szCs w:val="21"/>
        </w:rPr>
        <w:t>较好的配置价值</w:t>
      </w:r>
      <w:r w:rsidR="0005101C">
        <w:rPr>
          <w:rFonts w:hint="eastAsia"/>
          <w:szCs w:val="21"/>
        </w:rPr>
        <w:t>，债券基金收益</w:t>
      </w:r>
      <w:proofErr w:type="gramStart"/>
      <w:r w:rsidR="0005101C">
        <w:rPr>
          <w:rFonts w:hint="eastAsia"/>
          <w:szCs w:val="21"/>
        </w:rPr>
        <w:t>较维持</w:t>
      </w:r>
      <w:proofErr w:type="gramEnd"/>
      <w:r w:rsidR="0005101C">
        <w:rPr>
          <w:rFonts w:hint="eastAsia"/>
          <w:szCs w:val="21"/>
        </w:rPr>
        <w:t>上</w:t>
      </w:r>
      <w:r w:rsidR="00E72898" w:rsidRPr="0005101C">
        <w:rPr>
          <w:rFonts w:hint="eastAsia"/>
          <w:szCs w:val="21"/>
        </w:rPr>
        <w:t>升</w:t>
      </w:r>
      <w:r w:rsidR="0005101C">
        <w:rPr>
          <w:rFonts w:hint="eastAsia"/>
          <w:szCs w:val="21"/>
        </w:rPr>
        <w:t>态势</w:t>
      </w:r>
      <w:r w:rsidR="00E72898" w:rsidRPr="0005101C">
        <w:rPr>
          <w:rFonts w:hint="eastAsia"/>
          <w:szCs w:val="21"/>
        </w:rPr>
        <w:t>。市场方面，周内</w:t>
      </w:r>
      <w:r w:rsidR="002C337A" w:rsidRPr="0005101C">
        <w:rPr>
          <w:rFonts w:hint="eastAsia"/>
          <w:szCs w:val="21"/>
        </w:rPr>
        <w:t>上证</w:t>
      </w:r>
      <w:r w:rsidR="00E72898" w:rsidRPr="0005101C">
        <w:rPr>
          <w:rFonts w:hint="eastAsia"/>
          <w:szCs w:val="21"/>
        </w:rPr>
        <w:t>国债指数上涨</w:t>
      </w:r>
      <w:r w:rsidR="00E72898" w:rsidRPr="0005101C">
        <w:rPr>
          <w:rFonts w:hint="eastAsia"/>
          <w:szCs w:val="21"/>
        </w:rPr>
        <w:t>0.</w:t>
      </w:r>
      <w:r w:rsidR="0005101C">
        <w:rPr>
          <w:rFonts w:hint="eastAsia"/>
          <w:szCs w:val="21"/>
        </w:rPr>
        <w:t>06</w:t>
      </w:r>
      <w:r w:rsidR="00E72898" w:rsidRPr="0005101C">
        <w:rPr>
          <w:rFonts w:hint="eastAsia"/>
          <w:szCs w:val="21"/>
        </w:rPr>
        <w:t>%</w:t>
      </w:r>
      <w:r w:rsidR="00D94B8F" w:rsidRPr="0005101C">
        <w:rPr>
          <w:rFonts w:hint="eastAsia"/>
          <w:szCs w:val="21"/>
        </w:rPr>
        <w:t>，</w:t>
      </w:r>
      <w:r w:rsidR="00E72898" w:rsidRPr="0005101C">
        <w:rPr>
          <w:rFonts w:hint="eastAsia"/>
          <w:szCs w:val="21"/>
        </w:rPr>
        <w:t>企</w:t>
      </w:r>
      <w:proofErr w:type="gramStart"/>
      <w:r w:rsidR="00E72898" w:rsidRPr="0005101C">
        <w:rPr>
          <w:rFonts w:hint="eastAsia"/>
          <w:szCs w:val="21"/>
        </w:rPr>
        <w:t>债指数</w:t>
      </w:r>
      <w:proofErr w:type="gramEnd"/>
      <w:r w:rsidR="00E72898" w:rsidRPr="0005101C">
        <w:rPr>
          <w:rFonts w:hint="eastAsia"/>
          <w:szCs w:val="21"/>
        </w:rPr>
        <w:t>上涨</w:t>
      </w:r>
      <w:r w:rsidR="00E72898" w:rsidRPr="0005101C">
        <w:rPr>
          <w:rFonts w:hint="eastAsia"/>
          <w:szCs w:val="21"/>
        </w:rPr>
        <w:t>0.</w:t>
      </w:r>
      <w:r w:rsidR="0005101C">
        <w:rPr>
          <w:rFonts w:hint="eastAsia"/>
          <w:szCs w:val="21"/>
        </w:rPr>
        <w:t>22</w:t>
      </w:r>
      <w:r w:rsidR="00E72898" w:rsidRPr="0005101C">
        <w:rPr>
          <w:rFonts w:hint="eastAsia"/>
          <w:szCs w:val="21"/>
        </w:rPr>
        <w:t>%</w:t>
      </w:r>
      <w:r w:rsidR="00E72898" w:rsidRPr="0005101C">
        <w:rPr>
          <w:rFonts w:hint="eastAsia"/>
          <w:szCs w:val="21"/>
        </w:rPr>
        <w:t>。</w:t>
      </w:r>
    </w:p>
    <w:p w:rsidR="00427EB4" w:rsidRPr="00C41ED1" w:rsidRDefault="001B7AA9" w:rsidP="00026FF9">
      <w:pPr>
        <w:pStyle w:val="ab"/>
        <w:numPr>
          <w:ilvl w:val="4"/>
          <w:numId w:val="1"/>
        </w:numPr>
        <w:spacing w:after="163"/>
        <w:rPr>
          <w:szCs w:val="21"/>
        </w:rPr>
      </w:pPr>
      <w:r w:rsidRPr="00C41ED1">
        <w:rPr>
          <w:rFonts w:hint="eastAsia"/>
          <w:szCs w:val="21"/>
        </w:rPr>
        <w:t>债券型基金方面，上周共</w:t>
      </w:r>
      <w:r w:rsidR="00A52726">
        <w:rPr>
          <w:rFonts w:hint="eastAsia"/>
          <w:szCs w:val="21"/>
        </w:rPr>
        <w:t>693</w:t>
      </w:r>
      <w:r w:rsidR="00F93FBA" w:rsidRPr="00C41ED1">
        <w:rPr>
          <w:rFonts w:hint="eastAsia"/>
          <w:szCs w:val="21"/>
        </w:rPr>
        <w:t>只产品</w:t>
      </w:r>
      <w:r w:rsidRPr="00C41ED1">
        <w:rPr>
          <w:rFonts w:hint="eastAsia"/>
          <w:szCs w:val="21"/>
        </w:rPr>
        <w:t>平均收益</w:t>
      </w:r>
      <w:r w:rsidR="00A52726">
        <w:rPr>
          <w:rFonts w:hint="eastAsia"/>
          <w:szCs w:val="21"/>
        </w:rPr>
        <w:t>0.38</w:t>
      </w:r>
      <w:r w:rsidRPr="00C41ED1">
        <w:rPr>
          <w:rFonts w:hint="eastAsia"/>
          <w:szCs w:val="21"/>
        </w:rPr>
        <w:t>%</w:t>
      </w:r>
      <w:r w:rsidR="0066540E" w:rsidRPr="00C41ED1">
        <w:rPr>
          <w:rFonts w:hint="eastAsia"/>
          <w:szCs w:val="21"/>
        </w:rPr>
        <w:t>，涨幅较</w:t>
      </w:r>
      <w:r w:rsidR="000C51A4">
        <w:rPr>
          <w:rFonts w:hint="eastAsia"/>
          <w:szCs w:val="21"/>
        </w:rPr>
        <w:t>前期</w:t>
      </w:r>
      <w:r w:rsidR="0066540E" w:rsidRPr="00C41ED1">
        <w:rPr>
          <w:rFonts w:hint="eastAsia"/>
          <w:szCs w:val="21"/>
        </w:rPr>
        <w:t>有所</w:t>
      </w:r>
      <w:r w:rsidR="000C51A4">
        <w:rPr>
          <w:rFonts w:hint="eastAsia"/>
          <w:szCs w:val="21"/>
        </w:rPr>
        <w:t>扩大</w:t>
      </w:r>
      <w:r w:rsidR="00DB7D1B">
        <w:rPr>
          <w:rFonts w:hint="eastAsia"/>
          <w:szCs w:val="21"/>
        </w:rPr>
        <w:t>，</w:t>
      </w:r>
      <w:proofErr w:type="gramStart"/>
      <w:r w:rsidR="00DB7D1B">
        <w:rPr>
          <w:rFonts w:hint="eastAsia"/>
          <w:szCs w:val="21"/>
        </w:rPr>
        <w:t>且各个</w:t>
      </w:r>
      <w:proofErr w:type="gramEnd"/>
      <w:r w:rsidR="00DB7D1B">
        <w:rPr>
          <w:rFonts w:hint="eastAsia"/>
          <w:szCs w:val="21"/>
        </w:rPr>
        <w:t>子类型基金的平均收益均为正。</w:t>
      </w:r>
      <w:proofErr w:type="gramStart"/>
      <w:r w:rsidR="00D94B8F" w:rsidRPr="00C41ED1">
        <w:rPr>
          <w:rFonts w:hint="eastAsia"/>
          <w:szCs w:val="21"/>
        </w:rPr>
        <w:t>除指数债基</w:t>
      </w:r>
      <w:proofErr w:type="gramEnd"/>
      <w:r w:rsidR="00DB7D1B">
        <w:rPr>
          <w:rFonts w:hint="eastAsia"/>
          <w:szCs w:val="21"/>
        </w:rPr>
        <w:t>外，其他</w:t>
      </w:r>
      <w:proofErr w:type="gramStart"/>
      <w:r w:rsidR="00DB7D1B">
        <w:rPr>
          <w:rFonts w:hint="eastAsia"/>
          <w:szCs w:val="21"/>
        </w:rPr>
        <w:t>类型债基的</w:t>
      </w:r>
      <w:proofErr w:type="gramEnd"/>
      <w:r w:rsidR="00DB7D1B">
        <w:rPr>
          <w:rFonts w:hint="eastAsia"/>
          <w:szCs w:val="21"/>
        </w:rPr>
        <w:t>周涨幅皆超过</w:t>
      </w:r>
      <w:r w:rsidR="00DB7D1B">
        <w:rPr>
          <w:rFonts w:hint="eastAsia"/>
          <w:szCs w:val="21"/>
        </w:rPr>
        <w:t>0.4%</w:t>
      </w:r>
      <w:r w:rsidR="00DB7D1B">
        <w:rPr>
          <w:rFonts w:hint="eastAsia"/>
          <w:szCs w:val="21"/>
        </w:rPr>
        <w:t>。</w:t>
      </w:r>
    </w:p>
    <w:p w:rsidR="00D4319D" w:rsidRPr="00C41ED1" w:rsidRDefault="00EE0682" w:rsidP="00427EB4">
      <w:pPr>
        <w:pStyle w:val="ab"/>
        <w:numPr>
          <w:ilvl w:val="4"/>
          <w:numId w:val="1"/>
        </w:numPr>
        <w:spacing w:after="163"/>
        <w:rPr>
          <w:szCs w:val="21"/>
        </w:rPr>
      </w:pPr>
      <w:r>
        <w:rPr>
          <w:rFonts w:hint="eastAsia"/>
          <w:szCs w:val="21"/>
        </w:rPr>
        <w:t>资金面的相对充裕</w:t>
      </w:r>
      <w:proofErr w:type="gramStart"/>
      <w:r>
        <w:rPr>
          <w:rFonts w:hint="eastAsia"/>
          <w:szCs w:val="21"/>
        </w:rPr>
        <w:t>令</w:t>
      </w:r>
      <w:r w:rsidR="0034351F" w:rsidRPr="00C41ED1">
        <w:rPr>
          <w:rFonts w:hint="eastAsia"/>
          <w:szCs w:val="21"/>
        </w:rPr>
        <w:t>货币</w:t>
      </w:r>
      <w:proofErr w:type="gramEnd"/>
      <w:r w:rsidR="0034351F" w:rsidRPr="00C41ED1">
        <w:rPr>
          <w:rFonts w:hint="eastAsia"/>
          <w:szCs w:val="21"/>
        </w:rPr>
        <w:t>基金</w:t>
      </w:r>
      <w:r w:rsidR="00D15231" w:rsidRPr="00C41ED1">
        <w:rPr>
          <w:rFonts w:hint="eastAsia"/>
          <w:szCs w:val="21"/>
        </w:rPr>
        <w:t>收益</w:t>
      </w:r>
      <w:r>
        <w:rPr>
          <w:rFonts w:hint="eastAsia"/>
          <w:szCs w:val="21"/>
        </w:rPr>
        <w:t>在“</w:t>
      </w:r>
      <w:r>
        <w:rPr>
          <w:rFonts w:hint="eastAsia"/>
          <w:szCs w:val="21"/>
        </w:rPr>
        <w:t>4</w:t>
      </w:r>
      <w:r>
        <w:rPr>
          <w:rFonts w:hint="eastAsia"/>
          <w:szCs w:val="21"/>
        </w:rPr>
        <w:t>时代”</w:t>
      </w:r>
      <w:r w:rsidR="00B864EF">
        <w:rPr>
          <w:rFonts w:hint="eastAsia"/>
          <w:szCs w:val="21"/>
        </w:rPr>
        <w:t>步步下行</w:t>
      </w:r>
      <w:r>
        <w:rPr>
          <w:rFonts w:hint="eastAsia"/>
          <w:szCs w:val="21"/>
        </w:rPr>
        <w:t>。上周，</w:t>
      </w:r>
      <w:r>
        <w:rPr>
          <w:rFonts w:hint="eastAsia"/>
          <w:szCs w:val="21"/>
        </w:rPr>
        <w:t>188</w:t>
      </w:r>
      <w:r>
        <w:rPr>
          <w:rFonts w:hint="eastAsia"/>
          <w:szCs w:val="21"/>
        </w:rPr>
        <w:t>只</w:t>
      </w:r>
      <w:r w:rsidR="00B864EF">
        <w:rPr>
          <w:rFonts w:hint="eastAsia"/>
          <w:szCs w:val="21"/>
        </w:rPr>
        <w:t>纳入统计的货币型基金</w:t>
      </w:r>
      <w:r w:rsidR="001073F0" w:rsidRPr="00C41ED1">
        <w:rPr>
          <w:rFonts w:hint="eastAsia"/>
          <w:szCs w:val="21"/>
        </w:rPr>
        <w:t>平</w:t>
      </w:r>
      <w:r w:rsidR="0034351F" w:rsidRPr="00C41ED1">
        <w:rPr>
          <w:rFonts w:hint="eastAsia"/>
          <w:szCs w:val="21"/>
        </w:rPr>
        <w:t>均</w:t>
      </w:r>
      <w:r w:rsidR="0034351F" w:rsidRPr="00C41ED1">
        <w:rPr>
          <w:rFonts w:hint="eastAsia"/>
          <w:szCs w:val="21"/>
        </w:rPr>
        <w:t>7</w:t>
      </w:r>
      <w:r w:rsidR="0034351F" w:rsidRPr="00C41ED1">
        <w:rPr>
          <w:rFonts w:hint="eastAsia"/>
          <w:szCs w:val="21"/>
        </w:rPr>
        <w:t>日折算年收益</w:t>
      </w:r>
      <w:r w:rsidR="00567A0C" w:rsidRPr="00C41ED1">
        <w:rPr>
          <w:rFonts w:hint="eastAsia"/>
          <w:szCs w:val="21"/>
        </w:rPr>
        <w:t>降至</w:t>
      </w:r>
      <w:r w:rsidR="001073F0" w:rsidRPr="00C41ED1">
        <w:rPr>
          <w:rFonts w:hint="eastAsia"/>
          <w:szCs w:val="21"/>
        </w:rPr>
        <w:t>4.</w:t>
      </w:r>
      <w:r w:rsidR="00B864EF">
        <w:rPr>
          <w:rFonts w:hint="eastAsia"/>
          <w:szCs w:val="21"/>
        </w:rPr>
        <w:t>17</w:t>
      </w:r>
      <w:r w:rsidR="0034351F" w:rsidRPr="00C41ED1">
        <w:rPr>
          <w:rFonts w:hint="eastAsia"/>
          <w:szCs w:val="21"/>
        </w:rPr>
        <w:t>%</w:t>
      </w:r>
      <w:r w:rsidR="00B864EF">
        <w:rPr>
          <w:rFonts w:hint="eastAsia"/>
          <w:szCs w:val="21"/>
        </w:rPr>
        <w:t>，较前一周有所缩水</w:t>
      </w:r>
      <w:r w:rsidR="0034351F" w:rsidRPr="00C41ED1">
        <w:rPr>
          <w:rFonts w:hint="eastAsia"/>
          <w:szCs w:val="21"/>
        </w:rPr>
        <w:t>。</w:t>
      </w:r>
      <w:r w:rsidR="00B864EF">
        <w:rPr>
          <w:rFonts w:hint="eastAsia"/>
          <w:szCs w:val="21"/>
        </w:rPr>
        <w:t>且</w:t>
      </w:r>
      <w:r w:rsidR="00C202CD" w:rsidRPr="00C41ED1">
        <w:rPr>
          <w:rFonts w:hint="eastAsia"/>
          <w:szCs w:val="21"/>
        </w:rPr>
        <w:t>领先者收益</w:t>
      </w:r>
      <w:r w:rsidR="0066540E" w:rsidRPr="00C41ED1">
        <w:rPr>
          <w:rFonts w:hint="eastAsia"/>
          <w:szCs w:val="21"/>
        </w:rPr>
        <w:t>不如</w:t>
      </w:r>
      <w:r w:rsidR="00B864EF">
        <w:rPr>
          <w:rFonts w:hint="eastAsia"/>
          <w:szCs w:val="21"/>
        </w:rPr>
        <w:t>前期</w:t>
      </w:r>
      <w:r w:rsidR="0066540E" w:rsidRPr="00C41ED1">
        <w:rPr>
          <w:rFonts w:hint="eastAsia"/>
          <w:szCs w:val="21"/>
        </w:rPr>
        <w:t>，无一产品超过</w:t>
      </w:r>
      <w:r w:rsidR="00B864EF">
        <w:rPr>
          <w:rFonts w:hint="eastAsia"/>
          <w:szCs w:val="21"/>
        </w:rPr>
        <w:t>7</w:t>
      </w:r>
      <w:r w:rsidR="0066540E" w:rsidRPr="00C41ED1">
        <w:rPr>
          <w:rFonts w:hint="eastAsia"/>
          <w:szCs w:val="21"/>
        </w:rPr>
        <w:t>%</w:t>
      </w:r>
      <w:r w:rsidR="0066540E" w:rsidRPr="00C41ED1">
        <w:rPr>
          <w:rFonts w:hint="eastAsia"/>
          <w:szCs w:val="21"/>
        </w:rPr>
        <w:t>，收益在</w:t>
      </w:r>
      <w:r w:rsidR="00B864EF">
        <w:rPr>
          <w:rFonts w:hint="eastAsia"/>
          <w:szCs w:val="21"/>
        </w:rPr>
        <w:t>5%~6</w:t>
      </w:r>
      <w:r w:rsidR="0066540E" w:rsidRPr="00C41ED1">
        <w:rPr>
          <w:rFonts w:hint="eastAsia"/>
          <w:szCs w:val="21"/>
        </w:rPr>
        <w:t>%</w:t>
      </w:r>
      <w:r w:rsidR="0066540E" w:rsidRPr="00C41ED1">
        <w:rPr>
          <w:rFonts w:hint="eastAsia"/>
          <w:szCs w:val="21"/>
        </w:rPr>
        <w:t>的也只有</w:t>
      </w:r>
      <w:r w:rsidR="00B864EF">
        <w:rPr>
          <w:rFonts w:hint="eastAsia"/>
          <w:szCs w:val="21"/>
        </w:rPr>
        <w:t>2</w:t>
      </w:r>
      <w:r w:rsidR="0066540E" w:rsidRPr="00C41ED1">
        <w:rPr>
          <w:rFonts w:hint="eastAsia"/>
          <w:szCs w:val="21"/>
        </w:rPr>
        <w:t>只产品</w:t>
      </w:r>
      <w:r w:rsidR="00BD10D8" w:rsidRPr="00C41ED1">
        <w:rPr>
          <w:rFonts w:hint="eastAsia"/>
          <w:szCs w:val="21"/>
        </w:rPr>
        <w:t>，</w:t>
      </w:r>
      <w:r w:rsidR="00A924E4" w:rsidRPr="00C41ED1">
        <w:rPr>
          <w:rFonts w:hint="eastAsia"/>
          <w:szCs w:val="21"/>
        </w:rPr>
        <w:t>为</w:t>
      </w:r>
      <w:r w:rsidR="00B864EF" w:rsidRPr="00B864EF">
        <w:rPr>
          <w:rFonts w:hint="eastAsia"/>
          <w:szCs w:val="21"/>
        </w:rPr>
        <w:t>招商保证金快线</w:t>
      </w:r>
      <w:r w:rsidR="00B864EF" w:rsidRPr="00B864EF">
        <w:rPr>
          <w:rFonts w:hint="eastAsia"/>
          <w:szCs w:val="21"/>
        </w:rPr>
        <w:t>B</w:t>
      </w:r>
      <w:r w:rsidR="00B864EF">
        <w:rPr>
          <w:rFonts w:hint="eastAsia"/>
          <w:szCs w:val="21"/>
        </w:rPr>
        <w:t>、</w:t>
      </w:r>
      <w:r w:rsidR="00B864EF">
        <w:rPr>
          <w:rFonts w:hint="eastAsia"/>
          <w:szCs w:val="21"/>
        </w:rPr>
        <w:t>A</w:t>
      </w:r>
      <w:r w:rsidR="00BD10D8" w:rsidRPr="00C41ED1">
        <w:rPr>
          <w:rFonts w:hint="eastAsia"/>
          <w:szCs w:val="21"/>
        </w:rPr>
        <w:t>。</w:t>
      </w:r>
    </w:p>
    <w:p w:rsidR="00D000F8" w:rsidRPr="005B7CDB" w:rsidRDefault="00D000F8" w:rsidP="00D000F8">
      <w:pPr>
        <w:widowControl/>
        <w:spacing w:after="120"/>
        <w:ind w:left="3430"/>
        <w:rPr>
          <w:rFonts w:ascii="楷体" w:eastAsia="楷体" w:hAnsi="楷体"/>
          <w:b/>
          <w:bCs/>
          <w:color w:val="0070C0"/>
          <w:kern w:val="0"/>
          <w:szCs w:val="21"/>
          <w:lang w:val="en-GB"/>
        </w:rPr>
      </w:pPr>
      <w:r w:rsidRPr="005B7CDB">
        <w:rPr>
          <w:rFonts w:ascii="楷体" w:eastAsia="楷体" w:hAnsi="楷体" w:hint="eastAsia"/>
          <w:b/>
          <w:bCs/>
          <w:color w:val="0070C0"/>
          <w:kern w:val="0"/>
          <w:szCs w:val="21"/>
          <w:lang w:val="en-GB"/>
        </w:rPr>
        <w:t>分级基金</w:t>
      </w:r>
      <w:r w:rsidR="00D541DF">
        <w:rPr>
          <w:rFonts w:ascii="楷体" w:eastAsia="楷体" w:hAnsi="楷体" w:hint="eastAsia"/>
          <w:b/>
          <w:bCs/>
          <w:color w:val="0070C0"/>
          <w:kern w:val="0"/>
          <w:szCs w:val="21"/>
          <w:lang w:val="en-GB"/>
        </w:rPr>
        <w:t>子份额一周业绩：</w:t>
      </w:r>
    </w:p>
    <w:p w:rsidR="00475DD9" w:rsidRPr="00C41ED1" w:rsidRDefault="008A23AC" w:rsidP="006B48F2">
      <w:pPr>
        <w:pStyle w:val="ab"/>
        <w:numPr>
          <w:ilvl w:val="4"/>
          <w:numId w:val="1"/>
        </w:numPr>
        <w:spacing w:after="163"/>
        <w:rPr>
          <w:szCs w:val="21"/>
        </w:rPr>
      </w:pPr>
      <w:r w:rsidRPr="00C41ED1">
        <w:rPr>
          <w:rFonts w:hint="eastAsia"/>
          <w:szCs w:val="21"/>
        </w:rPr>
        <w:lastRenderedPageBreak/>
        <w:t>股票型</w:t>
      </w:r>
      <w:r w:rsidR="008F52CD" w:rsidRPr="00C41ED1">
        <w:rPr>
          <w:rFonts w:hint="eastAsia"/>
          <w:szCs w:val="21"/>
        </w:rPr>
        <w:t>分级基金方面，</w:t>
      </w:r>
      <w:r w:rsidR="006B48F2" w:rsidRPr="00C41ED1">
        <w:rPr>
          <w:rFonts w:hint="eastAsia"/>
          <w:szCs w:val="21"/>
        </w:rPr>
        <w:t>分级基金子份额</w:t>
      </w:r>
      <w:r w:rsidR="006B48F2" w:rsidRPr="00C41ED1">
        <w:rPr>
          <w:rFonts w:hint="eastAsia"/>
          <w:szCs w:val="21"/>
        </w:rPr>
        <w:t>-</w:t>
      </w:r>
      <w:r w:rsidR="006B48F2" w:rsidRPr="00C41ED1">
        <w:rPr>
          <w:rFonts w:hint="eastAsia"/>
          <w:szCs w:val="21"/>
        </w:rPr>
        <w:t>股票稳健</w:t>
      </w:r>
      <w:r w:rsidR="00D511F2" w:rsidRPr="00C41ED1">
        <w:rPr>
          <w:rFonts w:hint="eastAsia"/>
          <w:szCs w:val="21"/>
        </w:rPr>
        <w:t>型</w:t>
      </w:r>
      <w:r w:rsidR="00E266FF">
        <w:rPr>
          <w:rFonts w:hint="eastAsia"/>
          <w:szCs w:val="21"/>
        </w:rPr>
        <w:t>有</w:t>
      </w:r>
      <w:r w:rsidR="00E266FF">
        <w:rPr>
          <w:rFonts w:hint="eastAsia"/>
          <w:szCs w:val="21"/>
        </w:rPr>
        <w:t>2</w:t>
      </w:r>
      <w:r w:rsidR="00E266FF">
        <w:rPr>
          <w:rFonts w:hint="eastAsia"/>
          <w:szCs w:val="21"/>
        </w:rPr>
        <w:t>只出现负收益，且垫底者跌幅超过</w:t>
      </w:r>
      <w:r w:rsidR="00E266FF">
        <w:rPr>
          <w:rFonts w:hint="eastAsia"/>
          <w:szCs w:val="21"/>
        </w:rPr>
        <w:t>1%</w:t>
      </w:r>
      <w:r w:rsidR="00E266FF">
        <w:rPr>
          <w:rFonts w:hint="eastAsia"/>
          <w:szCs w:val="21"/>
        </w:rPr>
        <w:t>。整体平均涨幅依旧</w:t>
      </w:r>
      <w:r w:rsidR="00284688" w:rsidRPr="00C41ED1">
        <w:rPr>
          <w:rFonts w:hint="eastAsia"/>
          <w:szCs w:val="21"/>
        </w:rPr>
        <w:t>平缓</w:t>
      </w:r>
      <w:r w:rsidR="00E266FF">
        <w:rPr>
          <w:rFonts w:hint="eastAsia"/>
          <w:szCs w:val="21"/>
        </w:rPr>
        <w:t>，业绩最</w:t>
      </w:r>
      <w:r w:rsidR="00047EDC" w:rsidRPr="00C41ED1">
        <w:rPr>
          <w:rFonts w:hint="eastAsia"/>
          <w:szCs w:val="21"/>
        </w:rPr>
        <w:t>优者</w:t>
      </w:r>
      <w:r w:rsidR="00E266FF">
        <w:rPr>
          <w:rFonts w:hint="eastAsia"/>
          <w:szCs w:val="21"/>
        </w:rPr>
        <w:t>也仅上涨</w:t>
      </w:r>
      <w:r w:rsidR="00E266FF">
        <w:rPr>
          <w:rFonts w:hint="eastAsia"/>
          <w:szCs w:val="21"/>
        </w:rPr>
        <w:t>0.2%</w:t>
      </w:r>
      <w:r w:rsidR="00E266FF">
        <w:rPr>
          <w:rFonts w:hint="eastAsia"/>
          <w:szCs w:val="21"/>
        </w:rPr>
        <w:t>，分别是</w:t>
      </w:r>
      <w:proofErr w:type="gramStart"/>
      <w:r w:rsidR="00E266FF" w:rsidRPr="00E266FF">
        <w:rPr>
          <w:rFonts w:hint="eastAsia"/>
          <w:szCs w:val="21"/>
        </w:rPr>
        <w:t>国联安双力</w:t>
      </w:r>
      <w:proofErr w:type="gramEnd"/>
      <w:r w:rsidR="00E266FF" w:rsidRPr="00E266FF">
        <w:rPr>
          <w:rFonts w:hint="eastAsia"/>
          <w:szCs w:val="21"/>
        </w:rPr>
        <w:t>中小板</w:t>
      </w:r>
      <w:r w:rsidR="00E266FF" w:rsidRPr="00E266FF">
        <w:rPr>
          <w:rFonts w:hint="eastAsia"/>
          <w:szCs w:val="21"/>
        </w:rPr>
        <w:t>A</w:t>
      </w:r>
      <w:r w:rsidR="00E266FF">
        <w:rPr>
          <w:rFonts w:hint="eastAsia"/>
          <w:szCs w:val="21"/>
        </w:rPr>
        <w:t>、</w:t>
      </w:r>
      <w:r w:rsidR="00E266FF" w:rsidRPr="00E266FF">
        <w:rPr>
          <w:rFonts w:hint="eastAsia"/>
          <w:szCs w:val="21"/>
        </w:rPr>
        <w:t>国</w:t>
      </w:r>
      <w:proofErr w:type="gramStart"/>
      <w:r w:rsidR="00E266FF" w:rsidRPr="00E266FF">
        <w:rPr>
          <w:rFonts w:hint="eastAsia"/>
          <w:szCs w:val="21"/>
        </w:rPr>
        <w:t>投瑞银瑞</w:t>
      </w:r>
      <w:proofErr w:type="gramEnd"/>
      <w:r w:rsidR="00E266FF" w:rsidRPr="00E266FF">
        <w:rPr>
          <w:rFonts w:hint="eastAsia"/>
          <w:szCs w:val="21"/>
        </w:rPr>
        <w:t>福优先</w:t>
      </w:r>
      <w:r w:rsidR="00E266FF">
        <w:rPr>
          <w:rFonts w:hint="eastAsia"/>
          <w:szCs w:val="21"/>
        </w:rPr>
        <w:t>。</w:t>
      </w:r>
      <w:r w:rsidR="000B7C3D" w:rsidRPr="00C41ED1">
        <w:rPr>
          <w:rFonts w:hint="eastAsia"/>
          <w:szCs w:val="21"/>
        </w:rPr>
        <w:t>分级基金</w:t>
      </w:r>
      <w:r w:rsidR="000B7C3D" w:rsidRPr="00C41ED1">
        <w:rPr>
          <w:rFonts w:hint="eastAsia"/>
          <w:szCs w:val="21"/>
        </w:rPr>
        <w:t>-</w:t>
      </w:r>
      <w:r w:rsidR="00FF6917" w:rsidRPr="00C41ED1">
        <w:rPr>
          <w:rFonts w:hint="eastAsia"/>
          <w:szCs w:val="21"/>
        </w:rPr>
        <w:t>股票积极型</w:t>
      </w:r>
      <w:r w:rsidR="00284688" w:rsidRPr="00C41ED1">
        <w:rPr>
          <w:rFonts w:hint="eastAsia"/>
          <w:szCs w:val="21"/>
        </w:rPr>
        <w:t>份额</w:t>
      </w:r>
      <w:r w:rsidR="00FA1002">
        <w:rPr>
          <w:rFonts w:hint="eastAsia"/>
          <w:szCs w:val="21"/>
        </w:rPr>
        <w:t>平均收益</w:t>
      </w:r>
      <w:r w:rsidR="00FA1002">
        <w:rPr>
          <w:rFonts w:hint="eastAsia"/>
          <w:szCs w:val="21"/>
        </w:rPr>
        <w:t>-1.19%</w:t>
      </w:r>
      <w:r w:rsidR="00FA1002">
        <w:rPr>
          <w:rFonts w:hint="eastAsia"/>
          <w:szCs w:val="21"/>
        </w:rPr>
        <w:t>在各类型基金中垫底，业绩分化较大，</w:t>
      </w:r>
      <w:r w:rsidR="000D6FC5" w:rsidRPr="00C41ED1">
        <w:rPr>
          <w:rFonts w:hint="eastAsia"/>
          <w:szCs w:val="21"/>
        </w:rPr>
        <w:t>其中</w:t>
      </w:r>
      <w:r w:rsidR="00FA1002" w:rsidRPr="00FA1002">
        <w:rPr>
          <w:rFonts w:hint="eastAsia"/>
          <w:szCs w:val="21"/>
        </w:rPr>
        <w:t>富国创业板</w:t>
      </w:r>
      <w:r w:rsidR="00FA1002" w:rsidRPr="00FA1002">
        <w:rPr>
          <w:rFonts w:hint="eastAsia"/>
          <w:szCs w:val="21"/>
        </w:rPr>
        <w:t>B</w:t>
      </w:r>
      <w:r w:rsidR="000D6FC5" w:rsidRPr="00C41ED1">
        <w:rPr>
          <w:rFonts w:hint="eastAsia"/>
          <w:szCs w:val="21"/>
        </w:rPr>
        <w:t>、</w:t>
      </w:r>
      <w:r w:rsidR="00FA1002" w:rsidRPr="00FA1002">
        <w:rPr>
          <w:rFonts w:hint="eastAsia"/>
          <w:szCs w:val="21"/>
        </w:rPr>
        <w:t>中欧盛世成长</w:t>
      </w:r>
      <w:r w:rsidR="00FA1002" w:rsidRPr="00FA1002">
        <w:rPr>
          <w:rFonts w:hint="eastAsia"/>
          <w:szCs w:val="21"/>
        </w:rPr>
        <w:t>B</w:t>
      </w:r>
      <w:proofErr w:type="gramStart"/>
      <w:r w:rsidR="000D6FC5" w:rsidRPr="00C41ED1">
        <w:rPr>
          <w:rFonts w:hint="eastAsia"/>
          <w:szCs w:val="21"/>
        </w:rPr>
        <w:t>周收益</w:t>
      </w:r>
      <w:proofErr w:type="gramEnd"/>
      <w:r w:rsidR="000D6FC5" w:rsidRPr="00C41ED1">
        <w:rPr>
          <w:rFonts w:hint="eastAsia"/>
          <w:szCs w:val="21"/>
        </w:rPr>
        <w:t>分别达到</w:t>
      </w:r>
      <w:r w:rsidR="00FA1002">
        <w:rPr>
          <w:rFonts w:hint="eastAsia"/>
          <w:szCs w:val="21"/>
        </w:rPr>
        <w:t>4.89</w:t>
      </w:r>
      <w:r w:rsidR="000D6FC5" w:rsidRPr="00C41ED1">
        <w:rPr>
          <w:rFonts w:hint="eastAsia"/>
          <w:szCs w:val="21"/>
        </w:rPr>
        <w:t>%</w:t>
      </w:r>
      <w:r w:rsidR="000D6FC5" w:rsidRPr="00C41ED1">
        <w:rPr>
          <w:rFonts w:hint="eastAsia"/>
          <w:szCs w:val="21"/>
        </w:rPr>
        <w:t>、</w:t>
      </w:r>
      <w:r w:rsidR="00FA1002">
        <w:rPr>
          <w:rFonts w:hint="eastAsia"/>
          <w:szCs w:val="21"/>
        </w:rPr>
        <w:t>4.43</w:t>
      </w:r>
      <w:r w:rsidR="000D6FC5" w:rsidRPr="00C41ED1">
        <w:rPr>
          <w:rFonts w:hint="eastAsia"/>
          <w:szCs w:val="21"/>
        </w:rPr>
        <w:t>%</w:t>
      </w:r>
      <w:r w:rsidR="000D6FC5" w:rsidRPr="00C41ED1">
        <w:rPr>
          <w:rFonts w:hint="eastAsia"/>
          <w:szCs w:val="21"/>
        </w:rPr>
        <w:t>，</w:t>
      </w:r>
      <w:r w:rsidR="00FA1002">
        <w:rPr>
          <w:rFonts w:hint="eastAsia"/>
          <w:szCs w:val="21"/>
        </w:rPr>
        <w:t>而跌幅最深的</w:t>
      </w:r>
      <w:r w:rsidR="00FA1002">
        <w:rPr>
          <w:rFonts w:hint="eastAsia"/>
          <w:szCs w:val="21"/>
        </w:rPr>
        <w:t>3</w:t>
      </w:r>
      <w:r w:rsidR="00FA1002">
        <w:rPr>
          <w:rFonts w:hint="eastAsia"/>
          <w:szCs w:val="21"/>
        </w:rPr>
        <w:t>只产品均低于</w:t>
      </w:r>
      <w:r w:rsidR="00FA1002">
        <w:rPr>
          <w:rFonts w:hint="eastAsia"/>
          <w:szCs w:val="21"/>
        </w:rPr>
        <w:t>-3%</w:t>
      </w:r>
      <w:r w:rsidR="00FA1002">
        <w:rPr>
          <w:rFonts w:hint="eastAsia"/>
          <w:szCs w:val="21"/>
        </w:rPr>
        <w:t>。</w:t>
      </w:r>
    </w:p>
    <w:p w:rsidR="008177CF" w:rsidRPr="00C41ED1" w:rsidRDefault="008A23AC" w:rsidP="004049E1">
      <w:pPr>
        <w:pStyle w:val="ab"/>
        <w:numPr>
          <w:ilvl w:val="4"/>
          <w:numId w:val="1"/>
        </w:numPr>
        <w:spacing w:after="163"/>
        <w:rPr>
          <w:szCs w:val="21"/>
        </w:rPr>
      </w:pPr>
      <w:r w:rsidRPr="00C41ED1">
        <w:rPr>
          <w:rFonts w:hint="eastAsia"/>
          <w:szCs w:val="21"/>
        </w:rPr>
        <w:t>分级基金子份额</w:t>
      </w:r>
      <w:r w:rsidRPr="00C41ED1">
        <w:rPr>
          <w:rFonts w:hint="eastAsia"/>
          <w:szCs w:val="21"/>
        </w:rPr>
        <w:t>-</w:t>
      </w:r>
      <w:r w:rsidRPr="00C41ED1">
        <w:rPr>
          <w:rFonts w:hint="eastAsia"/>
          <w:szCs w:val="21"/>
        </w:rPr>
        <w:t>债券稳健</w:t>
      </w:r>
      <w:r w:rsidR="002C5822" w:rsidRPr="00C41ED1">
        <w:rPr>
          <w:rFonts w:hint="eastAsia"/>
          <w:szCs w:val="21"/>
        </w:rPr>
        <w:t>周均录得收益</w:t>
      </w:r>
      <w:r w:rsidR="00FA1002">
        <w:rPr>
          <w:rFonts w:hint="eastAsia"/>
          <w:szCs w:val="21"/>
        </w:rPr>
        <w:t>0.08</w:t>
      </w:r>
      <w:r w:rsidRPr="00C41ED1">
        <w:rPr>
          <w:rFonts w:hint="eastAsia"/>
          <w:szCs w:val="21"/>
        </w:rPr>
        <w:t>%</w:t>
      </w:r>
      <w:r w:rsidR="004764E4" w:rsidRPr="00C41ED1">
        <w:rPr>
          <w:rFonts w:hint="eastAsia"/>
          <w:szCs w:val="21"/>
        </w:rPr>
        <w:t>，</w:t>
      </w:r>
      <w:r w:rsidR="00D34F1B" w:rsidRPr="00C41ED1">
        <w:rPr>
          <w:rFonts w:hint="eastAsia"/>
          <w:szCs w:val="21"/>
        </w:rPr>
        <w:t>与前一</w:t>
      </w:r>
      <w:r w:rsidR="00BD10D8" w:rsidRPr="00C41ED1">
        <w:rPr>
          <w:rFonts w:hint="eastAsia"/>
          <w:szCs w:val="21"/>
        </w:rPr>
        <w:t>周</w:t>
      </w:r>
      <w:r w:rsidR="00D34F1B" w:rsidRPr="00C41ED1">
        <w:rPr>
          <w:rFonts w:hint="eastAsia"/>
          <w:szCs w:val="21"/>
        </w:rPr>
        <w:t>基本持平</w:t>
      </w:r>
      <w:r w:rsidR="00284688" w:rsidRPr="00C41ED1">
        <w:rPr>
          <w:rFonts w:hint="eastAsia"/>
          <w:szCs w:val="21"/>
        </w:rPr>
        <w:t>，</w:t>
      </w:r>
      <w:r w:rsidR="00FA1002">
        <w:rPr>
          <w:rFonts w:hint="eastAsia"/>
          <w:szCs w:val="21"/>
        </w:rPr>
        <w:t>仅</w:t>
      </w:r>
      <w:r w:rsidR="00FA1002">
        <w:rPr>
          <w:rFonts w:hint="eastAsia"/>
          <w:szCs w:val="21"/>
        </w:rPr>
        <w:t>1</w:t>
      </w:r>
      <w:r w:rsidR="00FA1002">
        <w:rPr>
          <w:rFonts w:hint="eastAsia"/>
          <w:szCs w:val="21"/>
        </w:rPr>
        <w:t>只产品有</w:t>
      </w:r>
      <w:r w:rsidR="00FA1002">
        <w:rPr>
          <w:rFonts w:hint="eastAsia"/>
          <w:szCs w:val="21"/>
        </w:rPr>
        <w:t>0.1%</w:t>
      </w:r>
      <w:r w:rsidR="00FA1002">
        <w:rPr>
          <w:rFonts w:hint="eastAsia"/>
          <w:szCs w:val="21"/>
        </w:rPr>
        <w:t>的下跌</w:t>
      </w:r>
      <w:r w:rsidR="00D34F1B" w:rsidRPr="00C41ED1">
        <w:rPr>
          <w:rFonts w:hint="eastAsia"/>
          <w:szCs w:val="21"/>
        </w:rPr>
        <w:t>，</w:t>
      </w:r>
      <w:r w:rsidR="004764E4" w:rsidRPr="00C41ED1">
        <w:rPr>
          <w:rFonts w:hint="eastAsia"/>
          <w:szCs w:val="21"/>
        </w:rPr>
        <w:t>长期以来保持平稳。</w:t>
      </w:r>
      <w:r w:rsidR="002C5822" w:rsidRPr="00C41ED1">
        <w:rPr>
          <w:rFonts w:hint="eastAsia"/>
          <w:szCs w:val="21"/>
        </w:rPr>
        <w:t>债券分级</w:t>
      </w:r>
      <w:r w:rsidR="002C5822" w:rsidRPr="00C41ED1">
        <w:rPr>
          <w:rFonts w:hint="eastAsia"/>
          <w:szCs w:val="21"/>
        </w:rPr>
        <w:t>-</w:t>
      </w:r>
      <w:r w:rsidR="002C5822" w:rsidRPr="00C41ED1">
        <w:rPr>
          <w:rFonts w:hint="eastAsia"/>
          <w:szCs w:val="21"/>
        </w:rPr>
        <w:t>积极</w:t>
      </w:r>
      <w:proofErr w:type="gramStart"/>
      <w:r w:rsidR="00BD10D8" w:rsidRPr="00C41ED1">
        <w:rPr>
          <w:rFonts w:hint="eastAsia"/>
          <w:szCs w:val="21"/>
        </w:rPr>
        <w:t>型</w:t>
      </w:r>
      <w:r w:rsidR="00DB0CF0">
        <w:rPr>
          <w:rFonts w:hint="eastAsia"/>
          <w:szCs w:val="21"/>
        </w:rPr>
        <w:t>平均周收益</w:t>
      </w:r>
      <w:proofErr w:type="gramEnd"/>
      <w:r w:rsidR="00DB0CF0">
        <w:rPr>
          <w:rFonts w:hint="eastAsia"/>
          <w:szCs w:val="21"/>
        </w:rPr>
        <w:t>达到</w:t>
      </w:r>
      <w:r w:rsidR="00DB0CF0">
        <w:rPr>
          <w:rFonts w:hint="eastAsia"/>
          <w:szCs w:val="21"/>
        </w:rPr>
        <w:t>1.08%</w:t>
      </w:r>
      <w:r w:rsidR="00DB0CF0">
        <w:rPr>
          <w:rFonts w:hint="eastAsia"/>
          <w:szCs w:val="21"/>
        </w:rPr>
        <w:t>，较为理想，全数产品</w:t>
      </w:r>
      <w:r w:rsidR="00D34F1B" w:rsidRPr="00C41ED1">
        <w:rPr>
          <w:rFonts w:hint="eastAsia"/>
          <w:szCs w:val="21"/>
        </w:rPr>
        <w:t>实现正收益，</w:t>
      </w:r>
      <w:r w:rsidR="00FD528C">
        <w:rPr>
          <w:rFonts w:hint="eastAsia"/>
          <w:szCs w:val="21"/>
        </w:rPr>
        <w:t>且绩优者好于</w:t>
      </w:r>
      <w:r w:rsidR="00D34F1B" w:rsidRPr="00C41ED1">
        <w:rPr>
          <w:rFonts w:hint="eastAsia"/>
          <w:szCs w:val="21"/>
        </w:rPr>
        <w:t>前一周，</w:t>
      </w:r>
      <w:r w:rsidR="00FD528C" w:rsidRPr="00FD528C">
        <w:rPr>
          <w:rFonts w:hint="eastAsia"/>
          <w:szCs w:val="21"/>
        </w:rPr>
        <w:t>新华惠鑫分级</w:t>
      </w:r>
      <w:r w:rsidR="00FD528C" w:rsidRPr="00FD528C">
        <w:rPr>
          <w:rFonts w:hint="eastAsia"/>
          <w:szCs w:val="21"/>
        </w:rPr>
        <w:t>B</w:t>
      </w:r>
      <w:r w:rsidR="00D34F1B" w:rsidRPr="00C41ED1">
        <w:rPr>
          <w:rFonts w:hint="eastAsia"/>
          <w:szCs w:val="21"/>
        </w:rPr>
        <w:t>、</w:t>
      </w:r>
      <w:r w:rsidR="00FD528C" w:rsidRPr="00FD528C">
        <w:rPr>
          <w:rFonts w:hint="eastAsia"/>
          <w:szCs w:val="21"/>
        </w:rPr>
        <w:t>嘉实多利进取</w:t>
      </w:r>
      <w:r w:rsidR="00FD528C">
        <w:rPr>
          <w:rFonts w:hint="eastAsia"/>
          <w:szCs w:val="21"/>
        </w:rPr>
        <w:t>的</w:t>
      </w:r>
      <w:r w:rsidR="00D34F1B" w:rsidRPr="00C41ED1">
        <w:rPr>
          <w:rFonts w:hint="eastAsia"/>
          <w:szCs w:val="21"/>
        </w:rPr>
        <w:t>涨幅</w:t>
      </w:r>
      <w:r w:rsidR="00171E16" w:rsidRPr="00C41ED1">
        <w:rPr>
          <w:rFonts w:hint="eastAsia"/>
          <w:szCs w:val="21"/>
        </w:rPr>
        <w:t>达到了</w:t>
      </w:r>
      <w:r w:rsidR="00FD528C">
        <w:rPr>
          <w:rFonts w:hint="eastAsia"/>
          <w:szCs w:val="21"/>
        </w:rPr>
        <w:t>3</w:t>
      </w:r>
      <w:r w:rsidR="00171E16" w:rsidRPr="00C41ED1">
        <w:rPr>
          <w:rFonts w:hint="eastAsia"/>
          <w:szCs w:val="21"/>
        </w:rPr>
        <w:t>%</w:t>
      </w:r>
      <w:r w:rsidR="00171E16" w:rsidRPr="00C41ED1">
        <w:rPr>
          <w:rFonts w:hint="eastAsia"/>
          <w:szCs w:val="21"/>
        </w:rPr>
        <w:t>以上。</w:t>
      </w:r>
    </w:p>
    <w:tbl>
      <w:tblPr>
        <w:tblW w:w="11057" w:type="dxa"/>
        <w:tblInd w:w="-142" w:type="dxa"/>
        <w:tblBorders>
          <w:top w:val="single" w:sz="6" w:space="0" w:color="FF6600"/>
          <w:bottom w:val="single" w:sz="6" w:space="0" w:color="FF6600"/>
          <w:insideH w:val="single" w:sz="6" w:space="0" w:color="FF6600"/>
        </w:tblBorders>
        <w:tblLayout w:type="fixed"/>
        <w:tblCellMar>
          <w:left w:w="0" w:type="dxa"/>
          <w:right w:w="0" w:type="dxa"/>
        </w:tblCellMar>
        <w:tblLook w:val="0000"/>
      </w:tblPr>
      <w:tblGrid>
        <w:gridCol w:w="851"/>
        <w:gridCol w:w="851"/>
        <w:gridCol w:w="1984"/>
        <w:gridCol w:w="851"/>
        <w:gridCol w:w="991"/>
        <w:gridCol w:w="993"/>
        <w:gridCol w:w="992"/>
        <w:gridCol w:w="1843"/>
        <w:gridCol w:w="851"/>
        <w:gridCol w:w="850"/>
      </w:tblGrid>
      <w:tr w:rsidR="008177CF" w:rsidRPr="005B7CDB" w:rsidTr="00CE01AE">
        <w:trPr>
          <w:cantSplit/>
          <w:trHeight w:val="335"/>
        </w:trPr>
        <w:tc>
          <w:tcPr>
            <w:tcW w:w="11057" w:type="dxa"/>
            <w:gridSpan w:val="10"/>
            <w:tcBorders>
              <w:bottom w:val="single" w:sz="6" w:space="0" w:color="FF6600"/>
            </w:tcBorders>
            <w:shd w:val="clear" w:color="auto" w:fill="auto"/>
            <w:vAlign w:val="center"/>
          </w:tcPr>
          <w:p w:rsidR="008177CF" w:rsidRPr="005B7CDB" w:rsidRDefault="008177CF" w:rsidP="002D2967">
            <w:pPr>
              <w:pStyle w:val="SubTitleLargeTable"/>
              <w:pBdr>
                <w:top w:val="none" w:sz="0" w:space="0" w:color="auto"/>
              </w:pBdr>
              <w:rPr>
                <w:rFonts w:ascii="楷体" w:eastAsia="楷体" w:hAnsi="楷体"/>
                <w:b w:val="0"/>
              </w:rPr>
            </w:pPr>
            <w:r w:rsidRPr="005B7CDB">
              <w:rPr>
                <w:rFonts w:ascii="楷体" w:eastAsia="楷体" w:hAnsi="楷体" w:cs="宋体" w:hint="eastAsia"/>
                <w:color w:val="FF6600"/>
              </w:rPr>
              <w:t>图表</w:t>
            </w:r>
            <w:r w:rsidR="008F39C1" w:rsidRPr="005B7CDB">
              <w:rPr>
                <w:rFonts w:ascii="楷体" w:eastAsia="楷体" w:hAnsi="楷体" w:hint="eastAsia"/>
                <w:color w:val="FF6600"/>
              </w:rPr>
              <w:t>5</w:t>
            </w:r>
            <w:r w:rsidRPr="005B7CDB">
              <w:rPr>
                <w:rFonts w:ascii="楷体" w:eastAsia="楷体" w:hAnsi="楷体" w:cs="宋体" w:hint="eastAsia"/>
                <w:color w:val="FF6600"/>
              </w:rPr>
              <w:t>：</w:t>
            </w:r>
            <w:r w:rsidR="006559C0" w:rsidRPr="005B7CDB">
              <w:rPr>
                <w:rFonts w:ascii="楷体" w:eastAsia="楷体" w:hAnsi="楷体" w:cs="宋体" w:hint="eastAsia"/>
                <w:color w:val="FF6600"/>
              </w:rPr>
              <w:t>各类型公募基金</w:t>
            </w:r>
            <w:r w:rsidR="00BE3214" w:rsidRPr="005B7CDB">
              <w:rPr>
                <w:rFonts w:ascii="楷体" w:eastAsia="楷体" w:hAnsi="楷体" w:cs="宋体" w:hint="eastAsia"/>
                <w:color w:val="FF6600"/>
              </w:rPr>
              <w:t>（含封闭式）</w:t>
            </w:r>
            <w:r w:rsidR="006559C0" w:rsidRPr="005B7CDB">
              <w:rPr>
                <w:rFonts w:ascii="楷体" w:eastAsia="楷体" w:hAnsi="楷体" w:cs="宋体" w:hint="eastAsia"/>
                <w:color w:val="FF6600"/>
              </w:rPr>
              <w:t>周收益率</w:t>
            </w:r>
            <w:r w:rsidR="00BE2C01" w:rsidRPr="005B7CDB">
              <w:rPr>
                <w:rFonts w:ascii="楷体" w:eastAsia="楷体" w:hAnsi="楷体" w:cs="宋体" w:hint="eastAsia"/>
                <w:color w:val="FF6600"/>
              </w:rPr>
              <w:t>前</w:t>
            </w:r>
            <w:r w:rsidR="006559C0" w:rsidRPr="005B7CDB">
              <w:rPr>
                <w:rFonts w:ascii="楷体" w:eastAsia="楷体" w:hAnsi="楷体" w:hint="eastAsia"/>
                <w:color w:val="FF6600"/>
              </w:rPr>
              <w:t>3</w:t>
            </w:r>
            <w:r w:rsidR="00C42CE9" w:rsidRPr="005B7CDB">
              <w:rPr>
                <w:rFonts w:ascii="楷体" w:eastAsia="楷体" w:hAnsi="楷体" w:cs="宋体" w:hint="eastAsia"/>
                <w:color w:val="FF6600"/>
              </w:rPr>
              <w:t>（</w:t>
            </w:r>
            <w:r w:rsidR="00C42CE9">
              <w:rPr>
                <w:rFonts w:ascii="楷体" w:eastAsia="楷体" w:hAnsi="楷体" w:hint="eastAsia"/>
                <w:color w:val="FF6600"/>
              </w:rPr>
              <w:t>06.03~06</w:t>
            </w:r>
            <w:r w:rsidR="00C42CE9" w:rsidRPr="005B7CDB">
              <w:rPr>
                <w:rFonts w:ascii="楷体" w:eastAsia="楷体" w:hAnsi="楷体" w:cs="宋体" w:hint="eastAsia"/>
                <w:color w:val="FF6600"/>
              </w:rPr>
              <w:t>，</w:t>
            </w:r>
            <w:r w:rsidR="00C42CE9" w:rsidRPr="005B7CDB">
              <w:rPr>
                <w:rFonts w:ascii="楷体" w:eastAsia="楷体" w:hAnsi="楷体" w:hint="eastAsia"/>
                <w:color w:val="FF6600"/>
              </w:rPr>
              <w:t>QDII为</w:t>
            </w:r>
            <w:r w:rsidR="00C42CE9">
              <w:rPr>
                <w:rFonts w:ascii="楷体" w:eastAsia="楷体" w:hAnsi="楷体" w:hint="eastAsia"/>
                <w:color w:val="FF6600"/>
              </w:rPr>
              <w:t>05.30</w:t>
            </w:r>
            <w:r w:rsidR="00C42CE9" w:rsidRPr="00057142">
              <w:rPr>
                <w:rFonts w:ascii="楷体" w:eastAsia="楷体" w:hAnsi="楷体" w:hint="eastAsia"/>
                <w:color w:val="FF6600"/>
              </w:rPr>
              <w:t>~</w:t>
            </w:r>
            <w:r w:rsidR="00C42CE9">
              <w:rPr>
                <w:rFonts w:ascii="楷体" w:eastAsia="楷体" w:hAnsi="楷体" w:hint="eastAsia"/>
                <w:color w:val="FF6600"/>
              </w:rPr>
              <w:t>06.05</w:t>
            </w:r>
            <w:r w:rsidR="00C42CE9" w:rsidRPr="005B7CDB">
              <w:rPr>
                <w:rFonts w:ascii="楷体" w:eastAsia="楷体" w:hAnsi="楷体" w:hint="eastAsia"/>
                <w:color w:val="FF6600"/>
              </w:rPr>
              <w:t>，</w:t>
            </w:r>
            <w:r w:rsidR="002D2967" w:rsidRPr="005B7CDB">
              <w:rPr>
                <w:rFonts w:ascii="楷体" w:eastAsia="楷体" w:hAnsi="楷体" w:cs="宋体" w:hint="eastAsia"/>
                <w:color w:val="FF6600"/>
              </w:rPr>
              <w:t>货币基金为</w:t>
            </w:r>
            <w:proofErr w:type="gramStart"/>
            <w:r w:rsidR="0034351F" w:rsidRPr="005B7CDB">
              <w:rPr>
                <w:rFonts w:ascii="楷体" w:eastAsia="楷体" w:hAnsi="楷体" w:hint="eastAsia"/>
                <w:color w:val="FF6600"/>
              </w:rPr>
              <w:t>7日年化收益</w:t>
            </w:r>
            <w:proofErr w:type="gramEnd"/>
            <w:r w:rsidR="00BE3214" w:rsidRPr="005B7CDB">
              <w:rPr>
                <w:rFonts w:ascii="楷体" w:eastAsia="楷体" w:hAnsi="楷体" w:cs="宋体" w:hint="eastAsia"/>
                <w:color w:val="FF6600"/>
              </w:rPr>
              <w:t>）</w:t>
            </w:r>
          </w:p>
        </w:tc>
      </w:tr>
      <w:tr w:rsidR="00CE01AE" w:rsidRPr="005B7CDB" w:rsidTr="000D1136">
        <w:trPr>
          <w:cantSplit/>
          <w:trHeight w:val="227"/>
        </w:trPr>
        <w:tc>
          <w:tcPr>
            <w:tcW w:w="851" w:type="dxa"/>
            <w:tcBorders>
              <w:bottom w:val="single" w:sz="6" w:space="0" w:color="FF6600"/>
              <w:right w:val="single" w:sz="6" w:space="0" w:color="FF6600"/>
            </w:tcBorders>
            <w:shd w:val="clear" w:color="auto" w:fill="FDE9D9" w:themeFill="accent6" w:themeFillTint="33"/>
            <w:vAlign w:val="center"/>
          </w:tcPr>
          <w:p w:rsidR="006559C0" w:rsidRPr="005B7CDB" w:rsidRDefault="006559C0" w:rsidP="000D1136">
            <w:pPr>
              <w:snapToGrid w:val="0"/>
              <w:jc w:val="center"/>
              <w:rPr>
                <w:rFonts w:ascii="楷体" w:eastAsia="楷体" w:hAnsi="楷体"/>
                <w:b/>
                <w:sz w:val="18"/>
                <w:szCs w:val="18"/>
              </w:rPr>
            </w:pPr>
            <w:proofErr w:type="gramStart"/>
            <w:r w:rsidRPr="005B7CDB">
              <w:rPr>
                <w:rFonts w:ascii="楷体" w:eastAsia="楷体" w:hAnsi="楷体"/>
                <w:b/>
                <w:sz w:val="18"/>
                <w:szCs w:val="18"/>
              </w:rPr>
              <w:t>凯</w:t>
            </w:r>
            <w:proofErr w:type="gramEnd"/>
            <w:r w:rsidRPr="005B7CDB">
              <w:rPr>
                <w:rFonts w:ascii="楷体" w:eastAsia="楷体" w:hAnsi="楷体"/>
                <w:b/>
                <w:sz w:val="18"/>
                <w:szCs w:val="18"/>
              </w:rPr>
              <w:t>石分类</w:t>
            </w:r>
          </w:p>
        </w:tc>
        <w:tc>
          <w:tcPr>
            <w:tcW w:w="851" w:type="dxa"/>
            <w:tcBorders>
              <w:left w:val="single" w:sz="6" w:space="0" w:color="FF6600"/>
              <w:right w:val="single" w:sz="6" w:space="0" w:color="FF6600"/>
            </w:tcBorders>
            <w:shd w:val="clear" w:color="auto" w:fill="FDE9D9" w:themeFill="accent6" w:themeFillTint="33"/>
            <w:vAlign w:val="center"/>
          </w:tcPr>
          <w:p w:rsidR="006559C0" w:rsidRPr="005B7CDB" w:rsidRDefault="006559C0" w:rsidP="000D1136">
            <w:pPr>
              <w:snapToGrid w:val="0"/>
              <w:jc w:val="center"/>
              <w:rPr>
                <w:rFonts w:ascii="楷体" w:eastAsia="楷体" w:hAnsi="楷体"/>
                <w:b/>
                <w:sz w:val="18"/>
                <w:szCs w:val="18"/>
              </w:rPr>
            </w:pPr>
            <w:r w:rsidRPr="005B7CDB">
              <w:rPr>
                <w:rFonts w:ascii="楷体" w:eastAsia="楷体" w:hAnsi="楷体"/>
                <w:b/>
                <w:sz w:val="18"/>
                <w:szCs w:val="18"/>
              </w:rPr>
              <w:t>基金代码</w:t>
            </w:r>
          </w:p>
        </w:tc>
        <w:tc>
          <w:tcPr>
            <w:tcW w:w="1984" w:type="dxa"/>
            <w:tcBorders>
              <w:left w:val="single" w:sz="6" w:space="0" w:color="FF6600"/>
              <w:right w:val="single" w:sz="6" w:space="0" w:color="FF6600"/>
            </w:tcBorders>
            <w:shd w:val="clear" w:color="auto" w:fill="FDE9D9" w:themeFill="accent6" w:themeFillTint="33"/>
            <w:vAlign w:val="center"/>
          </w:tcPr>
          <w:p w:rsidR="006559C0" w:rsidRPr="005B7CDB" w:rsidRDefault="006559C0" w:rsidP="000D1136">
            <w:pPr>
              <w:snapToGrid w:val="0"/>
              <w:jc w:val="center"/>
              <w:rPr>
                <w:rFonts w:ascii="楷体" w:eastAsia="楷体" w:hAnsi="楷体"/>
                <w:b/>
                <w:sz w:val="18"/>
                <w:szCs w:val="18"/>
              </w:rPr>
            </w:pPr>
            <w:r w:rsidRPr="005B7CDB">
              <w:rPr>
                <w:rFonts w:ascii="楷体" w:eastAsia="楷体" w:hAnsi="楷体"/>
                <w:b/>
                <w:sz w:val="18"/>
                <w:szCs w:val="18"/>
              </w:rPr>
              <w:t>基金名称</w:t>
            </w:r>
          </w:p>
        </w:tc>
        <w:tc>
          <w:tcPr>
            <w:tcW w:w="851" w:type="dxa"/>
            <w:tcBorders>
              <w:left w:val="single" w:sz="6" w:space="0" w:color="FF6600"/>
              <w:right w:val="single" w:sz="6" w:space="0" w:color="FF6600"/>
            </w:tcBorders>
            <w:shd w:val="clear" w:color="auto" w:fill="FDE9D9" w:themeFill="accent6" w:themeFillTint="33"/>
            <w:vAlign w:val="center"/>
          </w:tcPr>
          <w:p w:rsidR="006559C0" w:rsidRPr="005B7CDB" w:rsidRDefault="006559C0" w:rsidP="000D1136">
            <w:pPr>
              <w:snapToGrid w:val="0"/>
              <w:jc w:val="center"/>
              <w:rPr>
                <w:rFonts w:ascii="楷体" w:eastAsia="楷体" w:hAnsi="楷体"/>
                <w:b/>
                <w:sz w:val="18"/>
                <w:szCs w:val="18"/>
              </w:rPr>
            </w:pPr>
            <w:r w:rsidRPr="005B7CDB">
              <w:rPr>
                <w:rFonts w:ascii="楷体" w:eastAsia="楷体" w:hAnsi="楷体"/>
                <w:b/>
                <w:sz w:val="18"/>
                <w:szCs w:val="18"/>
              </w:rPr>
              <w:t>类型</w:t>
            </w:r>
          </w:p>
        </w:tc>
        <w:tc>
          <w:tcPr>
            <w:tcW w:w="991" w:type="dxa"/>
            <w:tcBorders>
              <w:left w:val="single" w:sz="6" w:space="0" w:color="FF6600"/>
              <w:right w:val="single" w:sz="6" w:space="0" w:color="FF6600"/>
            </w:tcBorders>
            <w:shd w:val="clear" w:color="auto" w:fill="FDE9D9" w:themeFill="accent6" w:themeFillTint="33"/>
            <w:vAlign w:val="center"/>
          </w:tcPr>
          <w:p w:rsidR="006559C0" w:rsidRPr="005B7CDB" w:rsidRDefault="006559C0" w:rsidP="000D1136">
            <w:pPr>
              <w:snapToGrid w:val="0"/>
              <w:jc w:val="center"/>
              <w:rPr>
                <w:rFonts w:ascii="楷体" w:eastAsia="楷体" w:hAnsi="楷体"/>
                <w:b/>
                <w:sz w:val="18"/>
                <w:szCs w:val="18"/>
              </w:rPr>
            </w:pPr>
            <w:r w:rsidRPr="005B7CDB">
              <w:rPr>
                <w:rFonts w:ascii="楷体" w:eastAsia="楷体" w:hAnsi="楷体"/>
                <w:b/>
                <w:sz w:val="18"/>
                <w:szCs w:val="18"/>
              </w:rPr>
              <w:t>周收益率</w:t>
            </w:r>
            <w:r w:rsidR="006A6E20">
              <w:rPr>
                <w:rFonts w:ascii="楷体" w:eastAsia="楷体" w:hAnsi="楷体"/>
                <w:b/>
                <w:sz w:val="18"/>
                <w:szCs w:val="18"/>
              </w:rPr>
              <w:t>%</w:t>
            </w:r>
          </w:p>
        </w:tc>
        <w:tc>
          <w:tcPr>
            <w:tcW w:w="993" w:type="dxa"/>
            <w:tcBorders>
              <w:left w:val="single" w:sz="6" w:space="0" w:color="FF6600"/>
              <w:bottom w:val="single" w:sz="6" w:space="0" w:color="FF6600"/>
              <w:right w:val="single" w:sz="6" w:space="0" w:color="FF6600"/>
            </w:tcBorders>
            <w:shd w:val="clear" w:color="auto" w:fill="FDE9D9" w:themeFill="accent6" w:themeFillTint="33"/>
            <w:vAlign w:val="center"/>
          </w:tcPr>
          <w:p w:rsidR="006559C0" w:rsidRPr="005B7CDB" w:rsidRDefault="006559C0" w:rsidP="000D1136">
            <w:pPr>
              <w:snapToGrid w:val="0"/>
              <w:jc w:val="center"/>
              <w:rPr>
                <w:rFonts w:ascii="楷体" w:eastAsia="楷体" w:hAnsi="楷体"/>
                <w:b/>
                <w:sz w:val="18"/>
                <w:szCs w:val="18"/>
              </w:rPr>
            </w:pPr>
            <w:proofErr w:type="gramStart"/>
            <w:r w:rsidRPr="005B7CDB">
              <w:rPr>
                <w:rFonts w:ascii="楷体" w:eastAsia="楷体" w:hAnsi="楷体"/>
                <w:b/>
                <w:sz w:val="18"/>
                <w:szCs w:val="18"/>
              </w:rPr>
              <w:t>凯</w:t>
            </w:r>
            <w:proofErr w:type="gramEnd"/>
            <w:r w:rsidRPr="005B7CDB">
              <w:rPr>
                <w:rFonts w:ascii="楷体" w:eastAsia="楷体" w:hAnsi="楷体"/>
                <w:b/>
                <w:sz w:val="18"/>
                <w:szCs w:val="18"/>
              </w:rPr>
              <w:t>石分类</w:t>
            </w:r>
          </w:p>
        </w:tc>
        <w:tc>
          <w:tcPr>
            <w:tcW w:w="992" w:type="dxa"/>
            <w:tcBorders>
              <w:left w:val="single" w:sz="6" w:space="0" w:color="FF6600"/>
              <w:right w:val="single" w:sz="6" w:space="0" w:color="FF6600"/>
            </w:tcBorders>
            <w:shd w:val="clear" w:color="auto" w:fill="FDE9D9" w:themeFill="accent6" w:themeFillTint="33"/>
            <w:vAlign w:val="center"/>
          </w:tcPr>
          <w:p w:rsidR="006559C0" w:rsidRPr="005B7CDB" w:rsidRDefault="006559C0" w:rsidP="000D1136">
            <w:pPr>
              <w:snapToGrid w:val="0"/>
              <w:jc w:val="center"/>
              <w:rPr>
                <w:rFonts w:ascii="楷体" w:eastAsia="楷体" w:hAnsi="楷体"/>
                <w:b/>
                <w:sz w:val="18"/>
                <w:szCs w:val="18"/>
              </w:rPr>
            </w:pPr>
            <w:r w:rsidRPr="005B7CDB">
              <w:rPr>
                <w:rFonts w:ascii="楷体" w:eastAsia="楷体" w:hAnsi="楷体"/>
                <w:b/>
                <w:sz w:val="18"/>
                <w:szCs w:val="18"/>
              </w:rPr>
              <w:t>基金代码</w:t>
            </w:r>
          </w:p>
        </w:tc>
        <w:tc>
          <w:tcPr>
            <w:tcW w:w="1843" w:type="dxa"/>
            <w:tcBorders>
              <w:left w:val="single" w:sz="6" w:space="0" w:color="FF6600"/>
              <w:right w:val="single" w:sz="6" w:space="0" w:color="FF6600"/>
            </w:tcBorders>
            <w:shd w:val="clear" w:color="auto" w:fill="FDE9D9" w:themeFill="accent6" w:themeFillTint="33"/>
            <w:vAlign w:val="center"/>
          </w:tcPr>
          <w:p w:rsidR="006559C0" w:rsidRPr="005B7CDB" w:rsidRDefault="006559C0" w:rsidP="000D1136">
            <w:pPr>
              <w:snapToGrid w:val="0"/>
              <w:jc w:val="center"/>
              <w:rPr>
                <w:rFonts w:ascii="楷体" w:eastAsia="楷体" w:hAnsi="楷体"/>
                <w:b/>
                <w:sz w:val="18"/>
                <w:szCs w:val="18"/>
              </w:rPr>
            </w:pPr>
            <w:r w:rsidRPr="005B7CDB">
              <w:rPr>
                <w:rFonts w:ascii="楷体" w:eastAsia="楷体" w:hAnsi="楷体"/>
                <w:b/>
                <w:sz w:val="18"/>
                <w:szCs w:val="18"/>
              </w:rPr>
              <w:t>基金名称</w:t>
            </w:r>
          </w:p>
        </w:tc>
        <w:tc>
          <w:tcPr>
            <w:tcW w:w="851" w:type="dxa"/>
            <w:tcBorders>
              <w:left w:val="single" w:sz="6" w:space="0" w:color="FF6600"/>
              <w:right w:val="single" w:sz="6" w:space="0" w:color="FF6600"/>
            </w:tcBorders>
            <w:shd w:val="clear" w:color="auto" w:fill="FDE9D9" w:themeFill="accent6" w:themeFillTint="33"/>
            <w:vAlign w:val="center"/>
          </w:tcPr>
          <w:p w:rsidR="006559C0" w:rsidRPr="005B7CDB" w:rsidRDefault="006559C0" w:rsidP="000D1136">
            <w:pPr>
              <w:snapToGrid w:val="0"/>
              <w:jc w:val="center"/>
              <w:rPr>
                <w:rFonts w:ascii="楷体" w:eastAsia="楷体" w:hAnsi="楷体"/>
                <w:b/>
                <w:sz w:val="18"/>
                <w:szCs w:val="18"/>
              </w:rPr>
            </w:pPr>
            <w:r w:rsidRPr="005B7CDB">
              <w:rPr>
                <w:rFonts w:ascii="楷体" w:eastAsia="楷体" w:hAnsi="楷体"/>
                <w:b/>
                <w:sz w:val="18"/>
                <w:szCs w:val="18"/>
              </w:rPr>
              <w:t>类型</w:t>
            </w:r>
          </w:p>
        </w:tc>
        <w:tc>
          <w:tcPr>
            <w:tcW w:w="850" w:type="dxa"/>
            <w:tcBorders>
              <w:left w:val="single" w:sz="6" w:space="0" w:color="FF6600"/>
            </w:tcBorders>
            <w:shd w:val="clear" w:color="auto" w:fill="FDE9D9" w:themeFill="accent6" w:themeFillTint="33"/>
            <w:vAlign w:val="center"/>
          </w:tcPr>
          <w:p w:rsidR="006559C0" w:rsidRPr="005B7CDB" w:rsidRDefault="006559C0" w:rsidP="000D1136">
            <w:pPr>
              <w:snapToGrid w:val="0"/>
              <w:jc w:val="center"/>
              <w:rPr>
                <w:rFonts w:ascii="楷体" w:eastAsia="楷体" w:hAnsi="楷体"/>
                <w:b/>
                <w:sz w:val="18"/>
                <w:szCs w:val="18"/>
              </w:rPr>
            </w:pPr>
            <w:r w:rsidRPr="005B7CDB">
              <w:rPr>
                <w:rFonts w:ascii="楷体" w:eastAsia="楷体" w:hAnsi="楷体"/>
                <w:b/>
                <w:sz w:val="18"/>
                <w:szCs w:val="18"/>
              </w:rPr>
              <w:t>周收益率</w:t>
            </w:r>
            <w:r w:rsidR="006A6E20">
              <w:rPr>
                <w:rFonts w:ascii="楷体" w:eastAsia="楷体" w:hAnsi="楷体"/>
                <w:b/>
                <w:sz w:val="18"/>
                <w:szCs w:val="18"/>
              </w:rPr>
              <w:t>%</w:t>
            </w:r>
          </w:p>
        </w:tc>
      </w:tr>
      <w:tr w:rsidR="000C51A4" w:rsidRPr="005B7CDB" w:rsidTr="006E5DF5">
        <w:trPr>
          <w:cantSplit/>
          <w:trHeight w:val="227"/>
        </w:trPr>
        <w:tc>
          <w:tcPr>
            <w:tcW w:w="851" w:type="dxa"/>
            <w:vMerge w:val="restart"/>
            <w:tcBorders>
              <w:right w:val="single" w:sz="6" w:space="0" w:color="FF6600"/>
            </w:tcBorders>
            <w:shd w:val="clear" w:color="auto" w:fill="FDE9D9" w:themeFill="accent6" w:themeFillTint="33"/>
            <w:vAlign w:val="center"/>
          </w:tcPr>
          <w:p w:rsidR="000C51A4" w:rsidRPr="005B7CDB" w:rsidRDefault="000C51A4" w:rsidP="000D1136">
            <w:pPr>
              <w:snapToGrid w:val="0"/>
              <w:jc w:val="center"/>
              <w:rPr>
                <w:rFonts w:ascii="楷体" w:eastAsia="楷体" w:hAnsi="楷体"/>
                <w:b/>
                <w:sz w:val="18"/>
                <w:szCs w:val="18"/>
              </w:rPr>
            </w:pPr>
            <w:r w:rsidRPr="005B7CDB">
              <w:rPr>
                <w:rFonts w:ascii="楷体" w:eastAsia="楷体" w:hAnsi="楷体"/>
                <w:b/>
                <w:sz w:val="18"/>
                <w:szCs w:val="18"/>
              </w:rPr>
              <w:t>股票-</w:t>
            </w:r>
          </w:p>
          <w:p w:rsidR="000C51A4" w:rsidRPr="005B7CDB" w:rsidRDefault="000C51A4" w:rsidP="000D1136">
            <w:pPr>
              <w:snapToGrid w:val="0"/>
              <w:jc w:val="center"/>
              <w:rPr>
                <w:rFonts w:ascii="楷体" w:eastAsia="楷体" w:hAnsi="楷体"/>
                <w:b/>
                <w:sz w:val="18"/>
                <w:szCs w:val="18"/>
              </w:rPr>
            </w:pPr>
            <w:r w:rsidRPr="005B7CDB">
              <w:rPr>
                <w:rFonts w:ascii="楷体" w:eastAsia="楷体" w:hAnsi="楷体"/>
                <w:b/>
                <w:sz w:val="18"/>
                <w:szCs w:val="18"/>
              </w:rPr>
              <w:t>主动型</w:t>
            </w:r>
          </w:p>
        </w:tc>
        <w:tc>
          <w:tcPr>
            <w:tcW w:w="851" w:type="dxa"/>
            <w:tcBorders>
              <w:left w:val="single" w:sz="6" w:space="0" w:color="FF6600"/>
              <w:right w:val="single" w:sz="6" w:space="0" w:color="FF6600"/>
            </w:tcBorders>
            <w:shd w:val="clear" w:color="auto" w:fill="auto"/>
            <w:vAlign w:val="center"/>
          </w:tcPr>
          <w:p w:rsidR="000C51A4" w:rsidRPr="006E5DF5" w:rsidRDefault="000C51A4" w:rsidP="006E5DF5">
            <w:pPr>
              <w:jc w:val="center"/>
              <w:rPr>
                <w:rFonts w:ascii="楷体" w:eastAsia="楷体" w:hAnsi="楷体"/>
                <w:color w:val="000000"/>
                <w:sz w:val="18"/>
                <w:szCs w:val="18"/>
              </w:rPr>
            </w:pPr>
            <w:r w:rsidRPr="006E5DF5">
              <w:rPr>
                <w:rFonts w:ascii="楷体" w:eastAsia="楷体" w:hAnsi="楷体" w:hint="eastAsia"/>
                <w:color w:val="000000"/>
                <w:sz w:val="18"/>
                <w:szCs w:val="18"/>
              </w:rPr>
              <w:t>519115</w:t>
            </w:r>
          </w:p>
        </w:tc>
        <w:tc>
          <w:tcPr>
            <w:tcW w:w="1984" w:type="dxa"/>
            <w:tcBorders>
              <w:left w:val="single" w:sz="6" w:space="0" w:color="FF6600"/>
              <w:right w:val="single" w:sz="6" w:space="0" w:color="FF6600"/>
            </w:tcBorders>
            <w:shd w:val="clear" w:color="auto" w:fill="auto"/>
            <w:vAlign w:val="center"/>
          </w:tcPr>
          <w:p w:rsidR="000C51A4" w:rsidRPr="006E5DF5" w:rsidRDefault="000C51A4" w:rsidP="006E5DF5">
            <w:pPr>
              <w:jc w:val="center"/>
              <w:rPr>
                <w:rFonts w:ascii="楷体" w:eastAsia="楷体" w:hAnsi="楷体"/>
                <w:color w:val="000000"/>
                <w:sz w:val="18"/>
                <w:szCs w:val="18"/>
              </w:rPr>
            </w:pPr>
            <w:proofErr w:type="gramStart"/>
            <w:r w:rsidRPr="006E5DF5">
              <w:rPr>
                <w:rFonts w:ascii="楷体" w:eastAsia="楷体" w:hAnsi="楷体" w:hint="eastAsia"/>
                <w:color w:val="000000"/>
                <w:sz w:val="18"/>
                <w:szCs w:val="18"/>
              </w:rPr>
              <w:t>浦银安</w:t>
            </w:r>
            <w:proofErr w:type="gramEnd"/>
            <w:r w:rsidRPr="006E5DF5">
              <w:rPr>
                <w:rFonts w:ascii="楷体" w:eastAsia="楷体" w:hAnsi="楷体" w:hint="eastAsia"/>
                <w:color w:val="000000"/>
                <w:sz w:val="18"/>
                <w:szCs w:val="18"/>
              </w:rPr>
              <w:t>盛红利精选</w:t>
            </w:r>
          </w:p>
        </w:tc>
        <w:tc>
          <w:tcPr>
            <w:tcW w:w="851" w:type="dxa"/>
            <w:tcBorders>
              <w:left w:val="single" w:sz="6" w:space="0" w:color="FF6600"/>
              <w:right w:val="single" w:sz="6" w:space="0" w:color="FF6600"/>
            </w:tcBorders>
            <w:shd w:val="clear" w:color="auto" w:fill="auto"/>
            <w:vAlign w:val="center"/>
          </w:tcPr>
          <w:p w:rsidR="000C51A4" w:rsidRPr="006E5DF5" w:rsidRDefault="000C51A4" w:rsidP="006E5DF5">
            <w:pPr>
              <w:jc w:val="center"/>
              <w:rPr>
                <w:rFonts w:ascii="楷体" w:eastAsia="楷体" w:hAnsi="楷体"/>
                <w:color w:val="000000"/>
                <w:sz w:val="18"/>
                <w:szCs w:val="18"/>
              </w:rPr>
            </w:pPr>
            <w:r w:rsidRPr="006E5DF5">
              <w:rPr>
                <w:rFonts w:ascii="楷体" w:eastAsia="楷体" w:hAnsi="楷体" w:hint="eastAsia"/>
                <w:color w:val="000000"/>
                <w:sz w:val="18"/>
                <w:szCs w:val="18"/>
              </w:rPr>
              <w:t>开放式</w:t>
            </w:r>
          </w:p>
        </w:tc>
        <w:tc>
          <w:tcPr>
            <w:tcW w:w="991" w:type="dxa"/>
            <w:tcBorders>
              <w:left w:val="single" w:sz="6" w:space="0" w:color="FF6600"/>
              <w:right w:val="single" w:sz="6" w:space="0" w:color="FF6600"/>
            </w:tcBorders>
            <w:shd w:val="clear" w:color="auto" w:fill="auto"/>
            <w:vAlign w:val="center"/>
          </w:tcPr>
          <w:p w:rsidR="000C51A4" w:rsidRPr="006E5DF5" w:rsidRDefault="000C51A4" w:rsidP="006E5DF5">
            <w:pPr>
              <w:jc w:val="center"/>
              <w:rPr>
                <w:rFonts w:ascii="楷体" w:eastAsia="楷体" w:hAnsi="楷体"/>
                <w:color w:val="000000"/>
                <w:sz w:val="18"/>
                <w:szCs w:val="18"/>
              </w:rPr>
            </w:pPr>
            <w:r w:rsidRPr="006E5DF5">
              <w:rPr>
                <w:rFonts w:ascii="楷体" w:eastAsia="楷体" w:hAnsi="楷体" w:hint="eastAsia"/>
                <w:color w:val="000000"/>
                <w:sz w:val="18"/>
                <w:szCs w:val="18"/>
              </w:rPr>
              <w:t>2.73</w:t>
            </w:r>
          </w:p>
        </w:tc>
        <w:tc>
          <w:tcPr>
            <w:tcW w:w="993" w:type="dxa"/>
            <w:vMerge w:val="restart"/>
            <w:tcBorders>
              <w:left w:val="single" w:sz="6" w:space="0" w:color="FF6600"/>
              <w:right w:val="single" w:sz="6" w:space="0" w:color="FF6600"/>
            </w:tcBorders>
            <w:shd w:val="clear" w:color="auto" w:fill="FDE9D9" w:themeFill="accent6" w:themeFillTint="33"/>
            <w:vAlign w:val="center"/>
          </w:tcPr>
          <w:p w:rsidR="000C51A4" w:rsidRPr="005B7CDB" w:rsidRDefault="000C51A4" w:rsidP="000D1136">
            <w:pPr>
              <w:snapToGrid w:val="0"/>
              <w:jc w:val="center"/>
              <w:rPr>
                <w:rFonts w:ascii="楷体" w:eastAsia="楷体" w:hAnsi="楷体"/>
                <w:b/>
                <w:sz w:val="18"/>
                <w:szCs w:val="18"/>
              </w:rPr>
            </w:pPr>
            <w:r w:rsidRPr="005B7CDB">
              <w:rPr>
                <w:rFonts w:ascii="楷体" w:eastAsia="楷体" w:hAnsi="楷体"/>
                <w:b/>
                <w:sz w:val="18"/>
                <w:szCs w:val="18"/>
              </w:rPr>
              <w:t>债券-</w:t>
            </w:r>
          </w:p>
          <w:p w:rsidR="000C51A4" w:rsidRPr="005B7CDB" w:rsidRDefault="000C51A4" w:rsidP="000D1136">
            <w:pPr>
              <w:snapToGrid w:val="0"/>
              <w:jc w:val="center"/>
              <w:rPr>
                <w:rFonts w:ascii="楷体" w:eastAsia="楷体" w:hAnsi="楷体"/>
                <w:b/>
                <w:sz w:val="18"/>
                <w:szCs w:val="18"/>
              </w:rPr>
            </w:pPr>
            <w:proofErr w:type="gramStart"/>
            <w:r w:rsidRPr="005B7CDB">
              <w:rPr>
                <w:rFonts w:ascii="楷体" w:eastAsia="楷体" w:hAnsi="楷体"/>
                <w:b/>
                <w:sz w:val="18"/>
                <w:szCs w:val="18"/>
              </w:rPr>
              <w:t>纯债基金</w:t>
            </w:r>
            <w:proofErr w:type="gramEnd"/>
          </w:p>
        </w:tc>
        <w:tc>
          <w:tcPr>
            <w:tcW w:w="992" w:type="dxa"/>
            <w:tcBorders>
              <w:left w:val="single" w:sz="6" w:space="0" w:color="FF6600"/>
              <w:right w:val="single" w:sz="6" w:space="0" w:color="FF6600"/>
            </w:tcBorders>
            <w:shd w:val="clear" w:color="auto" w:fill="auto"/>
            <w:vAlign w:val="center"/>
          </w:tcPr>
          <w:p w:rsidR="000C51A4" w:rsidRPr="006E5DF5" w:rsidRDefault="000C51A4" w:rsidP="006E5DF5">
            <w:pPr>
              <w:jc w:val="center"/>
              <w:rPr>
                <w:rFonts w:ascii="楷体" w:eastAsia="楷体" w:hAnsi="楷体"/>
                <w:color w:val="000000"/>
                <w:sz w:val="18"/>
                <w:szCs w:val="18"/>
              </w:rPr>
            </w:pPr>
            <w:r w:rsidRPr="006E5DF5">
              <w:rPr>
                <w:rFonts w:ascii="楷体" w:eastAsia="楷体" w:hAnsi="楷体" w:hint="eastAsia"/>
                <w:color w:val="000000"/>
                <w:sz w:val="18"/>
                <w:szCs w:val="18"/>
              </w:rPr>
              <w:t>519161</w:t>
            </w:r>
          </w:p>
        </w:tc>
        <w:tc>
          <w:tcPr>
            <w:tcW w:w="1843" w:type="dxa"/>
            <w:tcBorders>
              <w:left w:val="single" w:sz="6" w:space="0" w:color="FF6600"/>
              <w:right w:val="single" w:sz="6" w:space="0" w:color="FF6600"/>
            </w:tcBorders>
            <w:shd w:val="clear" w:color="auto" w:fill="auto"/>
            <w:vAlign w:val="center"/>
          </w:tcPr>
          <w:p w:rsidR="000C51A4" w:rsidRPr="006E5DF5" w:rsidRDefault="000C51A4" w:rsidP="006E5DF5">
            <w:pPr>
              <w:jc w:val="center"/>
              <w:rPr>
                <w:rFonts w:ascii="楷体" w:eastAsia="楷体" w:hAnsi="楷体"/>
                <w:color w:val="000000"/>
                <w:sz w:val="18"/>
                <w:szCs w:val="18"/>
              </w:rPr>
            </w:pPr>
            <w:r w:rsidRPr="006E5DF5">
              <w:rPr>
                <w:rFonts w:ascii="楷体" w:eastAsia="楷体" w:hAnsi="楷体" w:hint="eastAsia"/>
                <w:color w:val="000000"/>
                <w:sz w:val="18"/>
                <w:szCs w:val="18"/>
              </w:rPr>
              <w:t>新华安享惠金C</w:t>
            </w:r>
          </w:p>
        </w:tc>
        <w:tc>
          <w:tcPr>
            <w:tcW w:w="851" w:type="dxa"/>
            <w:tcBorders>
              <w:left w:val="single" w:sz="6" w:space="0" w:color="FF6600"/>
              <w:right w:val="single" w:sz="6" w:space="0" w:color="FF6600"/>
            </w:tcBorders>
            <w:shd w:val="clear" w:color="auto" w:fill="auto"/>
            <w:vAlign w:val="center"/>
          </w:tcPr>
          <w:p w:rsidR="000C51A4" w:rsidRPr="006E5DF5" w:rsidRDefault="000C51A4" w:rsidP="006E5DF5">
            <w:pPr>
              <w:jc w:val="center"/>
              <w:rPr>
                <w:rFonts w:ascii="楷体" w:eastAsia="楷体" w:hAnsi="楷体"/>
                <w:color w:val="000000"/>
                <w:sz w:val="18"/>
                <w:szCs w:val="18"/>
              </w:rPr>
            </w:pPr>
            <w:r w:rsidRPr="006E5DF5">
              <w:rPr>
                <w:rFonts w:ascii="楷体" w:eastAsia="楷体" w:hAnsi="楷体" w:hint="eastAsia"/>
                <w:color w:val="000000"/>
                <w:sz w:val="18"/>
                <w:szCs w:val="18"/>
              </w:rPr>
              <w:t>开放式</w:t>
            </w:r>
          </w:p>
        </w:tc>
        <w:tc>
          <w:tcPr>
            <w:tcW w:w="850" w:type="dxa"/>
            <w:tcBorders>
              <w:left w:val="single" w:sz="6" w:space="0" w:color="FF6600"/>
            </w:tcBorders>
            <w:shd w:val="clear" w:color="auto" w:fill="auto"/>
            <w:vAlign w:val="center"/>
          </w:tcPr>
          <w:p w:rsidR="000C51A4" w:rsidRPr="006E5DF5" w:rsidRDefault="000C51A4" w:rsidP="006E5DF5">
            <w:pPr>
              <w:jc w:val="center"/>
              <w:rPr>
                <w:rFonts w:ascii="楷体" w:eastAsia="楷体" w:hAnsi="楷体"/>
                <w:color w:val="000000"/>
                <w:sz w:val="18"/>
                <w:szCs w:val="18"/>
              </w:rPr>
            </w:pPr>
            <w:r w:rsidRPr="006E5DF5">
              <w:rPr>
                <w:rFonts w:ascii="楷体" w:eastAsia="楷体" w:hAnsi="楷体" w:hint="eastAsia"/>
                <w:color w:val="000000"/>
                <w:sz w:val="18"/>
                <w:szCs w:val="18"/>
              </w:rPr>
              <w:t>2.19</w:t>
            </w:r>
          </w:p>
        </w:tc>
      </w:tr>
      <w:tr w:rsidR="000C51A4" w:rsidRPr="005B7CDB" w:rsidTr="006E5DF5">
        <w:trPr>
          <w:cantSplit/>
          <w:trHeight w:val="227"/>
        </w:trPr>
        <w:tc>
          <w:tcPr>
            <w:tcW w:w="851" w:type="dxa"/>
            <w:vMerge/>
            <w:tcBorders>
              <w:right w:val="single" w:sz="6" w:space="0" w:color="FF6600"/>
            </w:tcBorders>
            <w:shd w:val="clear" w:color="auto" w:fill="FDE9D9" w:themeFill="accent6" w:themeFillTint="33"/>
            <w:vAlign w:val="center"/>
          </w:tcPr>
          <w:p w:rsidR="000C51A4" w:rsidRPr="005B7CDB" w:rsidRDefault="000C51A4" w:rsidP="000D1136">
            <w:pPr>
              <w:snapToGrid w:val="0"/>
              <w:jc w:val="center"/>
              <w:rPr>
                <w:rFonts w:ascii="楷体" w:eastAsia="楷体" w:hAnsi="楷体"/>
                <w:b/>
                <w:sz w:val="18"/>
                <w:szCs w:val="18"/>
              </w:rPr>
            </w:pPr>
          </w:p>
        </w:tc>
        <w:tc>
          <w:tcPr>
            <w:tcW w:w="851" w:type="dxa"/>
            <w:tcBorders>
              <w:left w:val="single" w:sz="6" w:space="0" w:color="FF6600"/>
              <w:right w:val="single" w:sz="6" w:space="0" w:color="FF6600"/>
            </w:tcBorders>
            <w:shd w:val="clear" w:color="auto" w:fill="auto"/>
            <w:vAlign w:val="center"/>
          </w:tcPr>
          <w:p w:rsidR="000C51A4" w:rsidRPr="006E5DF5" w:rsidRDefault="000C51A4" w:rsidP="006E5DF5">
            <w:pPr>
              <w:jc w:val="center"/>
              <w:rPr>
                <w:rFonts w:ascii="楷体" w:eastAsia="楷体" w:hAnsi="楷体"/>
                <w:color w:val="000000"/>
                <w:sz w:val="18"/>
                <w:szCs w:val="18"/>
              </w:rPr>
            </w:pPr>
            <w:r w:rsidRPr="006E5DF5">
              <w:rPr>
                <w:rFonts w:ascii="楷体" w:eastAsia="楷体" w:hAnsi="楷体" w:hint="eastAsia"/>
                <w:color w:val="000000"/>
                <w:sz w:val="18"/>
                <w:szCs w:val="18"/>
              </w:rPr>
              <w:t>166011</w:t>
            </w:r>
          </w:p>
        </w:tc>
        <w:tc>
          <w:tcPr>
            <w:tcW w:w="1984" w:type="dxa"/>
            <w:tcBorders>
              <w:left w:val="single" w:sz="6" w:space="0" w:color="FF6600"/>
              <w:right w:val="single" w:sz="6" w:space="0" w:color="FF6600"/>
            </w:tcBorders>
            <w:shd w:val="clear" w:color="auto" w:fill="auto"/>
            <w:vAlign w:val="center"/>
          </w:tcPr>
          <w:p w:rsidR="000C51A4" w:rsidRPr="006E5DF5" w:rsidRDefault="000C51A4" w:rsidP="006E5DF5">
            <w:pPr>
              <w:jc w:val="center"/>
              <w:rPr>
                <w:rFonts w:ascii="楷体" w:eastAsia="楷体" w:hAnsi="楷体"/>
                <w:color w:val="000000"/>
                <w:sz w:val="18"/>
                <w:szCs w:val="18"/>
              </w:rPr>
            </w:pPr>
            <w:r w:rsidRPr="006E5DF5">
              <w:rPr>
                <w:rFonts w:ascii="楷体" w:eastAsia="楷体" w:hAnsi="楷体" w:hint="eastAsia"/>
                <w:color w:val="000000"/>
                <w:sz w:val="18"/>
                <w:szCs w:val="18"/>
              </w:rPr>
              <w:t>中欧盛世成长分级</w:t>
            </w:r>
          </w:p>
        </w:tc>
        <w:tc>
          <w:tcPr>
            <w:tcW w:w="851" w:type="dxa"/>
            <w:tcBorders>
              <w:left w:val="single" w:sz="6" w:space="0" w:color="FF6600"/>
              <w:right w:val="single" w:sz="6" w:space="0" w:color="FF6600"/>
            </w:tcBorders>
            <w:shd w:val="clear" w:color="auto" w:fill="auto"/>
            <w:vAlign w:val="center"/>
          </w:tcPr>
          <w:p w:rsidR="000C51A4" w:rsidRPr="006E5DF5" w:rsidRDefault="000C51A4" w:rsidP="006E5DF5">
            <w:pPr>
              <w:jc w:val="center"/>
              <w:rPr>
                <w:rFonts w:ascii="楷体" w:eastAsia="楷体" w:hAnsi="楷体"/>
                <w:color w:val="000000"/>
                <w:sz w:val="18"/>
                <w:szCs w:val="18"/>
              </w:rPr>
            </w:pPr>
            <w:r w:rsidRPr="006E5DF5">
              <w:rPr>
                <w:rFonts w:ascii="楷体" w:eastAsia="楷体" w:hAnsi="楷体" w:hint="eastAsia"/>
                <w:color w:val="000000"/>
                <w:sz w:val="18"/>
                <w:szCs w:val="18"/>
              </w:rPr>
              <w:t>开放式</w:t>
            </w:r>
          </w:p>
        </w:tc>
        <w:tc>
          <w:tcPr>
            <w:tcW w:w="991" w:type="dxa"/>
            <w:tcBorders>
              <w:left w:val="single" w:sz="6" w:space="0" w:color="FF6600"/>
              <w:right w:val="single" w:sz="6" w:space="0" w:color="FF6600"/>
            </w:tcBorders>
            <w:shd w:val="clear" w:color="auto" w:fill="auto"/>
            <w:vAlign w:val="center"/>
          </w:tcPr>
          <w:p w:rsidR="000C51A4" w:rsidRPr="006E5DF5" w:rsidRDefault="000C51A4" w:rsidP="006E5DF5">
            <w:pPr>
              <w:jc w:val="center"/>
              <w:rPr>
                <w:rFonts w:ascii="楷体" w:eastAsia="楷体" w:hAnsi="楷体"/>
                <w:color w:val="000000"/>
                <w:sz w:val="18"/>
                <w:szCs w:val="18"/>
              </w:rPr>
            </w:pPr>
            <w:r w:rsidRPr="006E5DF5">
              <w:rPr>
                <w:rFonts w:ascii="楷体" w:eastAsia="楷体" w:hAnsi="楷体" w:hint="eastAsia"/>
                <w:color w:val="000000"/>
                <w:sz w:val="18"/>
                <w:szCs w:val="18"/>
              </w:rPr>
              <w:t>2.71</w:t>
            </w:r>
          </w:p>
        </w:tc>
        <w:tc>
          <w:tcPr>
            <w:tcW w:w="993" w:type="dxa"/>
            <w:vMerge/>
            <w:tcBorders>
              <w:left w:val="single" w:sz="6" w:space="0" w:color="FF6600"/>
              <w:right w:val="single" w:sz="6" w:space="0" w:color="FF6600"/>
            </w:tcBorders>
            <w:shd w:val="clear" w:color="auto" w:fill="FDE9D9" w:themeFill="accent6" w:themeFillTint="33"/>
            <w:vAlign w:val="center"/>
          </w:tcPr>
          <w:p w:rsidR="000C51A4" w:rsidRPr="005B7CDB" w:rsidRDefault="000C51A4" w:rsidP="000D1136">
            <w:pPr>
              <w:snapToGrid w:val="0"/>
              <w:jc w:val="center"/>
              <w:rPr>
                <w:rFonts w:ascii="楷体" w:eastAsia="楷体" w:hAnsi="楷体"/>
                <w:b/>
                <w:sz w:val="18"/>
                <w:szCs w:val="18"/>
              </w:rPr>
            </w:pPr>
          </w:p>
        </w:tc>
        <w:tc>
          <w:tcPr>
            <w:tcW w:w="992" w:type="dxa"/>
            <w:tcBorders>
              <w:left w:val="single" w:sz="6" w:space="0" w:color="FF6600"/>
              <w:right w:val="single" w:sz="6" w:space="0" w:color="FF6600"/>
            </w:tcBorders>
            <w:shd w:val="clear" w:color="auto" w:fill="auto"/>
            <w:vAlign w:val="center"/>
          </w:tcPr>
          <w:p w:rsidR="000C51A4" w:rsidRPr="006E5DF5" w:rsidRDefault="000C51A4" w:rsidP="006E5DF5">
            <w:pPr>
              <w:jc w:val="center"/>
              <w:rPr>
                <w:rFonts w:ascii="楷体" w:eastAsia="楷体" w:hAnsi="楷体"/>
                <w:color w:val="000000"/>
                <w:sz w:val="18"/>
                <w:szCs w:val="18"/>
              </w:rPr>
            </w:pPr>
            <w:r w:rsidRPr="006E5DF5">
              <w:rPr>
                <w:rFonts w:ascii="楷体" w:eastAsia="楷体" w:hAnsi="楷体" w:hint="eastAsia"/>
                <w:color w:val="000000"/>
                <w:sz w:val="18"/>
                <w:szCs w:val="18"/>
              </w:rPr>
              <w:t>519160</w:t>
            </w:r>
          </w:p>
        </w:tc>
        <w:tc>
          <w:tcPr>
            <w:tcW w:w="1843" w:type="dxa"/>
            <w:tcBorders>
              <w:left w:val="single" w:sz="6" w:space="0" w:color="FF6600"/>
              <w:right w:val="single" w:sz="6" w:space="0" w:color="FF6600"/>
            </w:tcBorders>
            <w:shd w:val="clear" w:color="auto" w:fill="auto"/>
            <w:vAlign w:val="center"/>
          </w:tcPr>
          <w:p w:rsidR="000C51A4" w:rsidRPr="006E5DF5" w:rsidRDefault="000C51A4" w:rsidP="006E5DF5">
            <w:pPr>
              <w:jc w:val="center"/>
              <w:rPr>
                <w:rFonts w:ascii="楷体" w:eastAsia="楷体" w:hAnsi="楷体"/>
                <w:color w:val="000000"/>
                <w:sz w:val="18"/>
                <w:szCs w:val="18"/>
              </w:rPr>
            </w:pPr>
            <w:r w:rsidRPr="006E5DF5">
              <w:rPr>
                <w:rFonts w:ascii="楷体" w:eastAsia="楷体" w:hAnsi="楷体" w:hint="eastAsia"/>
                <w:color w:val="000000"/>
                <w:sz w:val="18"/>
                <w:szCs w:val="18"/>
              </w:rPr>
              <w:t>新华安享惠金A</w:t>
            </w:r>
          </w:p>
        </w:tc>
        <w:tc>
          <w:tcPr>
            <w:tcW w:w="851" w:type="dxa"/>
            <w:tcBorders>
              <w:left w:val="single" w:sz="6" w:space="0" w:color="FF6600"/>
              <w:right w:val="single" w:sz="6" w:space="0" w:color="FF6600"/>
            </w:tcBorders>
            <w:shd w:val="clear" w:color="auto" w:fill="auto"/>
            <w:vAlign w:val="center"/>
          </w:tcPr>
          <w:p w:rsidR="000C51A4" w:rsidRPr="006E5DF5" w:rsidRDefault="000C51A4" w:rsidP="006E5DF5">
            <w:pPr>
              <w:jc w:val="center"/>
              <w:rPr>
                <w:rFonts w:ascii="楷体" w:eastAsia="楷体" w:hAnsi="楷体"/>
                <w:color w:val="000000"/>
                <w:sz w:val="18"/>
                <w:szCs w:val="18"/>
              </w:rPr>
            </w:pPr>
            <w:r w:rsidRPr="006E5DF5">
              <w:rPr>
                <w:rFonts w:ascii="楷体" w:eastAsia="楷体" w:hAnsi="楷体" w:hint="eastAsia"/>
                <w:color w:val="000000"/>
                <w:sz w:val="18"/>
                <w:szCs w:val="18"/>
              </w:rPr>
              <w:t>开放式</w:t>
            </w:r>
          </w:p>
        </w:tc>
        <w:tc>
          <w:tcPr>
            <w:tcW w:w="850" w:type="dxa"/>
            <w:tcBorders>
              <w:left w:val="single" w:sz="6" w:space="0" w:color="FF6600"/>
            </w:tcBorders>
            <w:shd w:val="clear" w:color="auto" w:fill="auto"/>
            <w:vAlign w:val="center"/>
          </w:tcPr>
          <w:p w:rsidR="000C51A4" w:rsidRPr="006E5DF5" w:rsidRDefault="000C51A4" w:rsidP="006E5DF5">
            <w:pPr>
              <w:jc w:val="center"/>
              <w:rPr>
                <w:rFonts w:ascii="楷体" w:eastAsia="楷体" w:hAnsi="楷体"/>
                <w:color w:val="000000"/>
                <w:sz w:val="18"/>
                <w:szCs w:val="18"/>
              </w:rPr>
            </w:pPr>
            <w:r w:rsidRPr="006E5DF5">
              <w:rPr>
                <w:rFonts w:ascii="楷体" w:eastAsia="楷体" w:hAnsi="楷体" w:hint="eastAsia"/>
                <w:color w:val="000000"/>
                <w:sz w:val="18"/>
                <w:szCs w:val="18"/>
              </w:rPr>
              <w:t>2.18</w:t>
            </w:r>
          </w:p>
        </w:tc>
      </w:tr>
      <w:tr w:rsidR="000C51A4" w:rsidRPr="005B7CDB" w:rsidTr="006E5DF5">
        <w:trPr>
          <w:cantSplit/>
          <w:trHeight w:val="227"/>
        </w:trPr>
        <w:tc>
          <w:tcPr>
            <w:tcW w:w="851" w:type="dxa"/>
            <w:vMerge/>
            <w:tcBorders>
              <w:right w:val="single" w:sz="6" w:space="0" w:color="FF6600"/>
            </w:tcBorders>
            <w:shd w:val="clear" w:color="auto" w:fill="FDE9D9" w:themeFill="accent6" w:themeFillTint="33"/>
            <w:vAlign w:val="center"/>
          </w:tcPr>
          <w:p w:rsidR="000C51A4" w:rsidRPr="005B7CDB" w:rsidRDefault="000C51A4" w:rsidP="000D1136">
            <w:pPr>
              <w:snapToGrid w:val="0"/>
              <w:jc w:val="center"/>
              <w:rPr>
                <w:rFonts w:ascii="楷体" w:eastAsia="楷体" w:hAnsi="楷体"/>
                <w:b/>
                <w:sz w:val="18"/>
                <w:szCs w:val="18"/>
              </w:rPr>
            </w:pPr>
          </w:p>
        </w:tc>
        <w:tc>
          <w:tcPr>
            <w:tcW w:w="851" w:type="dxa"/>
            <w:tcBorders>
              <w:left w:val="single" w:sz="6" w:space="0" w:color="FF6600"/>
              <w:right w:val="single" w:sz="6" w:space="0" w:color="FF6600"/>
            </w:tcBorders>
            <w:shd w:val="clear" w:color="auto" w:fill="auto"/>
            <w:vAlign w:val="center"/>
          </w:tcPr>
          <w:p w:rsidR="000C51A4" w:rsidRPr="006E5DF5" w:rsidRDefault="000C51A4" w:rsidP="006E5DF5">
            <w:pPr>
              <w:jc w:val="center"/>
              <w:rPr>
                <w:rFonts w:ascii="楷体" w:eastAsia="楷体" w:hAnsi="楷体"/>
                <w:color w:val="000000"/>
                <w:sz w:val="18"/>
                <w:szCs w:val="18"/>
              </w:rPr>
            </w:pPr>
            <w:r w:rsidRPr="006E5DF5">
              <w:rPr>
                <w:rFonts w:ascii="楷体" w:eastAsia="楷体" w:hAnsi="楷体" w:hint="eastAsia"/>
                <w:color w:val="000000"/>
                <w:sz w:val="18"/>
                <w:szCs w:val="18"/>
              </w:rPr>
              <w:t>270021</w:t>
            </w:r>
          </w:p>
        </w:tc>
        <w:tc>
          <w:tcPr>
            <w:tcW w:w="1984" w:type="dxa"/>
            <w:tcBorders>
              <w:left w:val="single" w:sz="6" w:space="0" w:color="FF6600"/>
              <w:right w:val="single" w:sz="6" w:space="0" w:color="FF6600"/>
            </w:tcBorders>
            <w:shd w:val="clear" w:color="auto" w:fill="auto"/>
            <w:vAlign w:val="center"/>
          </w:tcPr>
          <w:p w:rsidR="000C51A4" w:rsidRPr="006E5DF5" w:rsidRDefault="000C51A4" w:rsidP="006E5DF5">
            <w:pPr>
              <w:jc w:val="center"/>
              <w:rPr>
                <w:rFonts w:ascii="楷体" w:eastAsia="楷体" w:hAnsi="楷体"/>
                <w:color w:val="000000"/>
                <w:sz w:val="18"/>
                <w:szCs w:val="18"/>
              </w:rPr>
            </w:pPr>
            <w:r w:rsidRPr="006E5DF5">
              <w:rPr>
                <w:rFonts w:ascii="楷体" w:eastAsia="楷体" w:hAnsi="楷体" w:hint="eastAsia"/>
                <w:color w:val="000000"/>
                <w:sz w:val="18"/>
                <w:szCs w:val="18"/>
              </w:rPr>
              <w:t>广</w:t>
            </w:r>
            <w:proofErr w:type="gramStart"/>
            <w:r w:rsidRPr="006E5DF5">
              <w:rPr>
                <w:rFonts w:ascii="楷体" w:eastAsia="楷体" w:hAnsi="楷体" w:hint="eastAsia"/>
                <w:color w:val="000000"/>
                <w:sz w:val="18"/>
                <w:szCs w:val="18"/>
              </w:rPr>
              <w:t>发聚瑞</w:t>
            </w:r>
            <w:proofErr w:type="gramEnd"/>
          </w:p>
        </w:tc>
        <w:tc>
          <w:tcPr>
            <w:tcW w:w="851" w:type="dxa"/>
            <w:tcBorders>
              <w:left w:val="single" w:sz="6" w:space="0" w:color="FF6600"/>
              <w:right w:val="single" w:sz="6" w:space="0" w:color="FF6600"/>
            </w:tcBorders>
            <w:shd w:val="clear" w:color="auto" w:fill="auto"/>
            <w:vAlign w:val="center"/>
          </w:tcPr>
          <w:p w:rsidR="000C51A4" w:rsidRPr="006E5DF5" w:rsidRDefault="000C51A4" w:rsidP="006E5DF5">
            <w:pPr>
              <w:jc w:val="center"/>
              <w:rPr>
                <w:rFonts w:ascii="楷体" w:eastAsia="楷体" w:hAnsi="楷体"/>
                <w:color w:val="000000"/>
                <w:sz w:val="18"/>
                <w:szCs w:val="18"/>
              </w:rPr>
            </w:pPr>
            <w:r w:rsidRPr="006E5DF5">
              <w:rPr>
                <w:rFonts w:ascii="楷体" w:eastAsia="楷体" w:hAnsi="楷体" w:hint="eastAsia"/>
                <w:color w:val="000000"/>
                <w:sz w:val="18"/>
                <w:szCs w:val="18"/>
              </w:rPr>
              <w:t>开放式</w:t>
            </w:r>
          </w:p>
        </w:tc>
        <w:tc>
          <w:tcPr>
            <w:tcW w:w="991" w:type="dxa"/>
            <w:tcBorders>
              <w:left w:val="single" w:sz="6" w:space="0" w:color="FF6600"/>
              <w:right w:val="single" w:sz="6" w:space="0" w:color="FF6600"/>
            </w:tcBorders>
            <w:shd w:val="clear" w:color="auto" w:fill="auto"/>
            <w:vAlign w:val="center"/>
          </w:tcPr>
          <w:p w:rsidR="000C51A4" w:rsidRPr="006E5DF5" w:rsidRDefault="000C51A4" w:rsidP="006E5DF5">
            <w:pPr>
              <w:jc w:val="center"/>
              <w:rPr>
                <w:rFonts w:ascii="楷体" w:eastAsia="楷体" w:hAnsi="楷体"/>
                <w:color w:val="000000"/>
                <w:sz w:val="18"/>
                <w:szCs w:val="18"/>
              </w:rPr>
            </w:pPr>
            <w:r w:rsidRPr="006E5DF5">
              <w:rPr>
                <w:rFonts w:ascii="楷体" w:eastAsia="楷体" w:hAnsi="楷体" w:hint="eastAsia"/>
                <w:color w:val="000000"/>
                <w:sz w:val="18"/>
                <w:szCs w:val="18"/>
              </w:rPr>
              <w:t>2.40</w:t>
            </w:r>
          </w:p>
        </w:tc>
        <w:tc>
          <w:tcPr>
            <w:tcW w:w="993" w:type="dxa"/>
            <w:vMerge/>
            <w:tcBorders>
              <w:left w:val="single" w:sz="6" w:space="0" w:color="FF6600"/>
              <w:right w:val="single" w:sz="6" w:space="0" w:color="FF6600"/>
            </w:tcBorders>
            <w:shd w:val="clear" w:color="auto" w:fill="FDE9D9" w:themeFill="accent6" w:themeFillTint="33"/>
            <w:vAlign w:val="center"/>
          </w:tcPr>
          <w:p w:rsidR="000C51A4" w:rsidRPr="005B7CDB" w:rsidRDefault="000C51A4" w:rsidP="000D1136">
            <w:pPr>
              <w:snapToGrid w:val="0"/>
              <w:jc w:val="center"/>
              <w:rPr>
                <w:rFonts w:ascii="楷体" w:eastAsia="楷体" w:hAnsi="楷体"/>
                <w:b/>
                <w:sz w:val="18"/>
                <w:szCs w:val="18"/>
              </w:rPr>
            </w:pPr>
          </w:p>
        </w:tc>
        <w:tc>
          <w:tcPr>
            <w:tcW w:w="992" w:type="dxa"/>
            <w:tcBorders>
              <w:left w:val="single" w:sz="6" w:space="0" w:color="FF6600"/>
              <w:right w:val="single" w:sz="6" w:space="0" w:color="FF6600"/>
            </w:tcBorders>
            <w:shd w:val="clear" w:color="auto" w:fill="auto"/>
            <w:vAlign w:val="center"/>
          </w:tcPr>
          <w:p w:rsidR="000C51A4" w:rsidRPr="006E5DF5" w:rsidRDefault="000C51A4" w:rsidP="006E5DF5">
            <w:pPr>
              <w:jc w:val="center"/>
              <w:rPr>
                <w:rFonts w:ascii="楷体" w:eastAsia="楷体" w:hAnsi="楷体"/>
                <w:color w:val="000000"/>
                <w:sz w:val="18"/>
                <w:szCs w:val="18"/>
              </w:rPr>
            </w:pPr>
            <w:r w:rsidRPr="006E5DF5">
              <w:rPr>
                <w:rFonts w:ascii="楷体" w:eastAsia="楷体" w:hAnsi="楷体" w:hint="eastAsia"/>
                <w:color w:val="000000"/>
                <w:sz w:val="18"/>
                <w:szCs w:val="18"/>
              </w:rPr>
              <w:t>160621</w:t>
            </w:r>
          </w:p>
        </w:tc>
        <w:tc>
          <w:tcPr>
            <w:tcW w:w="1843" w:type="dxa"/>
            <w:tcBorders>
              <w:left w:val="single" w:sz="6" w:space="0" w:color="FF6600"/>
              <w:right w:val="single" w:sz="6" w:space="0" w:color="FF6600"/>
            </w:tcBorders>
            <w:shd w:val="clear" w:color="auto" w:fill="auto"/>
            <w:vAlign w:val="center"/>
          </w:tcPr>
          <w:p w:rsidR="000C51A4" w:rsidRPr="006E5DF5" w:rsidRDefault="000C51A4" w:rsidP="006E5DF5">
            <w:pPr>
              <w:jc w:val="center"/>
              <w:rPr>
                <w:rFonts w:ascii="楷体" w:eastAsia="楷体" w:hAnsi="楷体"/>
                <w:color w:val="000000"/>
                <w:sz w:val="18"/>
                <w:szCs w:val="18"/>
              </w:rPr>
            </w:pPr>
            <w:r w:rsidRPr="006E5DF5">
              <w:rPr>
                <w:rFonts w:ascii="楷体" w:eastAsia="楷体" w:hAnsi="楷体" w:hint="eastAsia"/>
                <w:color w:val="000000"/>
                <w:sz w:val="18"/>
                <w:szCs w:val="18"/>
              </w:rPr>
              <w:t>鹏华</w:t>
            </w:r>
            <w:proofErr w:type="gramStart"/>
            <w:r w:rsidRPr="006E5DF5">
              <w:rPr>
                <w:rFonts w:ascii="楷体" w:eastAsia="楷体" w:hAnsi="楷体" w:hint="eastAsia"/>
                <w:color w:val="000000"/>
                <w:sz w:val="18"/>
                <w:szCs w:val="18"/>
              </w:rPr>
              <w:t>中小企业纯债</w:t>
            </w:r>
            <w:proofErr w:type="gramEnd"/>
          </w:p>
        </w:tc>
        <w:tc>
          <w:tcPr>
            <w:tcW w:w="851" w:type="dxa"/>
            <w:tcBorders>
              <w:left w:val="single" w:sz="6" w:space="0" w:color="FF6600"/>
              <w:right w:val="single" w:sz="6" w:space="0" w:color="FF6600"/>
            </w:tcBorders>
            <w:shd w:val="clear" w:color="auto" w:fill="auto"/>
            <w:vAlign w:val="center"/>
          </w:tcPr>
          <w:p w:rsidR="000C51A4" w:rsidRPr="006E5DF5" w:rsidRDefault="000C51A4" w:rsidP="006E5DF5">
            <w:pPr>
              <w:jc w:val="center"/>
              <w:rPr>
                <w:rFonts w:ascii="楷体" w:eastAsia="楷体" w:hAnsi="楷体"/>
                <w:color w:val="000000"/>
                <w:sz w:val="18"/>
                <w:szCs w:val="18"/>
              </w:rPr>
            </w:pPr>
            <w:r w:rsidRPr="006E5DF5">
              <w:rPr>
                <w:rFonts w:ascii="楷体" w:eastAsia="楷体" w:hAnsi="楷体" w:hint="eastAsia"/>
                <w:color w:val="000000"/>
                <w:sz w:val="18"/>
                <w:szCs w:val="18"/>
              </w:rPr>
              <w:t>封闭式</w:t>
            </w:r>
          </w:p>
        </w:tc>
        <w:tc>
          <w:tcPr>
            <w:tcW w:w="850" w:type="dxa"/>
            <w:tcBorders>
              <w:left w:val="single" w:sz="6" w:space="0" w:color="FF6600"/>
            </w:tcBorders>
            <w:shd w:val="clear" w:color="auto" w:fill="auto"/>
            <w:vAlign w:val="center"/>
          </w:tcPr>
          <w:p w:rsidR="000C51A4" w:rsidRPr="006E5DF5" w:rsidRDefault="000C51A4" w:rsidP="006E5DF5">
            <w:pPr>
              <w:jc w:val="center"/>
              <w:rPr>
                <w:rFonts w:ascii="楷体" w:eastAsia="楷体" w:hAnsi="楷体"/>
                <w:color w:val="000000"/>
                <w:sz w:val="18"/>
                <w:szCs w:val="18"/>
              </w:rPr>
            </w:pPr>
            <w:r w:rsidRPr="006E5DF5">
              <w:rPr>
                <w:rFonts w:ascii="楷体" w:eastAsia="楷体" w:hAnsi="楷体" w:hint="eastAsia"/>
                <w:color w:val="000000"/>
                <w:sz w:val="18"/>
                <w:szCs w:val="18"/>
              </w:rPr>
              <w:t>1.14</w:t>
            </w:r>
          </w:p>
        </w:tc>
      </w:tr>
      <w:tr w:rsidR="000C51A4" w:rsidRPr="005B7CDB" w:rsidTr="006E5DF5">
        <w:trPr>
          <w:cantSplit/>
          <w:trHeight w:val="227"/>
        </w:trPr>
        <w:tc>
          <w:tcPr>
            <w:tcW w:w="851" w:type="dxa"/>
            <w:vMerge w:val="restart"/>
            <w:tcBorders>
              <w:right w:val="single" w:sz="6" w:space="0" w:color="FF6600"/>
            </w:tcBorders>
            <w:shd w:val="clear" w:color="auto" w:fill="FDE9D9" w:themeFill="accent6" w:themeFillTint="33"/>
            <w:vAlign w:val="center"/>
          </w:tcPr>
          <w:p w:rsidR="000C51A4" w:rsidRPr="005B7CDB" w:rsidRDefault="000C51A4" w:rsidP="000D1136">
            <w:pPr>
              <w:snapToGrid w:val="0"/>
              <w:jc w:val="center"/>
              <w:rPr>
                <w:rFonts w:ascii="楷体" w:eastAsia="楷体" w:hAnsi="楷体"/>
                <w:b/>
                <w:sz w:val="18"/>
                <w:szCs w:val="18"/>
              </w:rPr>
            </w:pPr>
            <w:r w:rsidRPr="005B7CDB">
              <w:rPr>
                <w:rFonts w:ascii="楷体" w:eastAsia="楷体" w:hAnsi="楷体"/>
                <w:b/>
                <w:sz w:val="18"/>
                <w:szCs w:val="18"/>
              </w:rPr>
              <w:t>股票-</w:t>
            </w:r>
          </w:p>
          <w:p w:rsidR="000C51A4" w:rsidRPr="005B7CDB" w:rsidRDefault="000C51A4" w:rsidP="000D1136">
            <w:pPr>
              <w:snapToGrid w:val="0"/>
              <w:jc w:val="center"/>
              <w:rPr>
                <w:rFonts w:ascii="楷体" w:eastAsia="楷体" w:hAnsi="楷体"/>
                <w:b/>
                <w:sz w:val="18"/>
                <w:szCs w:val="18"/>
              </w:rPr>
            </w:pPr>
            <w:r w:rsidRPr="005B7CDB">
              <w:rPr>
                <w:rFonts w:ascii="楷体" w:eastAsia="楷体" w:hAnsi="楷体"/>
                <w:b/>
                <w:sz w:val="18"/>
                <w:szCs w:val="18"/>
              </w:rPr>
              <w:t>指数型</w:t>
            </w:r>
          </w:p>
        </w:tc>
        <w:tc>
          <w:tcPr>
            <w:tcW w:w="851" w:type="dxa"/>
            <w:tcBorders>
              <w:left w:val="single" w:sz="6" w:space="0" w:color="FF6600"/>
              <w:right w:val="single" w:sz="6" w:space="0" w:color="FF6600"/>
            </w:tcBorders>
            <w:shd w:val="clear" w:color="auto" w:fill="auto"/>
            <w:vAlign w:val="center"/>
          </w:tcPr>
          <w:p w:rsidR="000C51A4" w:rsidRPr="006E5DF5" w:rsidRDefault="000C51A4" w:rsidP="006E5DF5">
            <w:pPr>
              <w:jc w:val="center"/>
              <w:rPr>
                <w:rFonts w:ascii="楷体" w:eastAsia="楷体" w:hAnsi="楷体"/>
                <w:color w:val="000000"/>
                <w:sz w:val="18"/>
                <w:szCs w:val="18"/>
              </w:rPr>
            </w:pPr>
            <w:r w:rsidRPr="006E5DF5">
              <w:rPr>
                <w:rFonts w:ascii="楷体" w:eastAsia="楷体" w:hAnsi="楷体" w:hint="eastAsia"/>
                <w:color w:val="000000"/>
                <w:sz w:val="18"/>
                <w:szCs w:val="18"/>
              </w:rPr>
              <w:t>159915</w:t>
            </w:r>
          </w:p>
        </w:tc>
        <w:tc>
          <w:tcPr>
            <w:tcW w:w="1984" w:type="dxa"/>
            <w:tcBorders>
              <w:left w:val="single" w:sz="6" w:space="0" w:color="FF6600"/>
              <w:right w:val="single" w:sz="6" w:space="0" w:color="FF6600"/>
            </w:tcBorders>
            <w:shd w:val="clear" w:color="auto" w:fill="auto"/>
            <w:vAlign w:val="center"/>
          </w:tcPr>
          <w:p w:rsidR="000C51A4" w:rsidRPr="006E5DF5" w:rsidRDefault="000C51A4" w:rsidP="006E5DF5">
            <w:pPr>
              <w:jc w:val="center"/>
              <w:rPr>
                <w:rFonts w:ascii="楷体" w:eastAsia="楷体" w:hAnsi="楷体"/>
                <w:color w:val="000000"/>
                <w:sz w:val="18"/>
                <w:szCs w:val="18"/>
              </w:rPr>
            </w:pPr>
            <w:r w:rsidRPr="006E5DF5">
              <w:rPr>
                <w:rFonts w:ascii="楷体" w:eastAsia="楷体" w:hAnsi="楷体" w:hint="eastAsia"/>
                <w:color w:val="000000"/>
                <w:sz w:val="18"/>
                <w:szCs w:val="18"/>
              </w:rPr>
              <w:t>易方达创业板ETF</w:t>
            </w:r>
          </w:p>
        </w:tc>
        <w:tc>
          <w:tcPr>
            <w:tcW w:w="851" w:type="dxa"/>
            <w:tcBorders>
              <w:left w:val="single" w:sz="6" w:space="0" w:color="FF6600"/>
              <w:right w:val="single" w:sz="6" w:space="0" w:color="FF6600"/>
            </w:tcBorders>
            <w:shd w:val="clear" w:color="auto" w:fill="auto"/>
            <w:vAlign w:val="center"/>
          </w:tcPr>
          <w:p w:rsidR="000C51A4" w:rsidRPr="006E5DF5" w:rsidRDefault="000C51A4" w:rsidP="006E5DF5">
            <w:pPr>
              <w:jc w:val="center"/>
              <w:rPr>
                <w:rFonts w:ascii="楷体" w:eastAsia="楷体" w:hAnsi="楷体"/>
                <w:color w:val="000000"/>
                <w:sz w:val="18"/>
                <w:szCs w:val="18"/>
              </w:rPr>
            </w:pPr>
            <w:r w:rsidRPr="006E5DF5">
              <w:rPr>
                <w:rFonts w:ascii="楷体" w:eastAsia="楷体" w:hAnsi="楷体" w:hint="eastAsia"/>
                <w:color w:val="000000"/>
                <w:sz w:val="18"/>
                <w:szCs w:val="18"/>
              </w:rPr>
              <w:t>开放式</w:t>
            </w:r>
          </w:p>
        </w:tc>
        <w:tc>
          <w:tcPr>
            <w:tcW w:w="991" w:type="dxa"/>
            <w:tcBorders>
              <w:left w:val="single" w:sz="6" w:space="0" w:color="FF6600"/>
              <w:right w:val="single" w:sz="6" w:space="0" w:color="FF6600"/>
            </w:tcBorders>
            <w:shd w:val="clear" w:color="auto" w:fill="auto"/>
            <w:vAlign w:val="center"/>
          </w:tcPr>
          <w:p w:rsidR="000C51A4" w:rsidRPr="006E5DF5" w:rsidRDefault="000C51A4" w:rsidP="006E5DF5">
            <w:pPr>
              <w:jc w:val="center"/>
              <w:rPr>
                <w:rFonts w:ascii="楷体" w:eastAsia="楷体" w:hAnsi="楷体"/>
                <w:color w:val="000000"/>
                <w:sz w:val="18"/>
                <w:szCs w:val="18"/>
              </w:rPr>
            </w:pPr>
            <w:r w:rsidRPr="006E5DF5">
              <w:rPr>
                <w:rFonts w:ascii="楷体" w:eastAsia="楷体" w:hAnsi="楷体" w:hint="eastAsia"/>
                <w:color w:val="000000"/>
                <w:sz w:val="18"/>
                <w:szCs w:val="18"/>
              </w:rPr>
              <w:t>2.41</w:t>
            </w:r>
          </w:p>
        </w:tc>
        <w:tc>
          <w:tcPr>
            <w:tcW w:w="993" w:type="dxa"/>
            <w:vMerge w:val="restart"/>
            <w:tcBorders>
              <w:left w:val="single" w:sz="6" w:space="0" w:color="FF6600"/>
              <w:right w:val="single" w:sz="6" w:space="0" w:color="FF6600"/>
            </w:tcBorders>
            <w:shd w:val="clear" w:color="auto" w:fill="FDE9D9" w:themeFill="accent6" w:themeFillTint="33"/>
            <w:vAlign w:val="center"/>
          </w:tcPr>
          <w:p w:rsidR="000C51A4" w:rsidRPr="005B7CDB" w:rsidRDefault="000C51A4" w:rsidP="000D1136">
            <w:pPr>
              <w:snapToGrid w:val="0"/>
              <w:jc w:val="center"/>
              <w:rPr>
                <w:rFonts w:ascii="楷体" w:eastAsia="楷体" w:hAnsi="楷体"/>
                <w:b/>
                <w:bCs/>
                <w:color w:val="000000"/>
                <w:sz w:val="18"/>
                <w:szCs w:val="18"/>
              </w:rPr>
            </w:pPr>
            <w:r w:rsidRPr="005B7CDB">
              <w:rPr>
                <w:rFonts w:ascii="楷体" w:eastAsia="楷体" w:hAnsi="楷体" w:hint="eastAsia"/>
                <w:b/>
                <w:bCs/>
                <w:color w:val="000000"/>
                <w:sz w:val="18"/>
                <w:szCs w:val="18"/>
              </w:rPr>
              <w:t>债券-</w:t>
            </w:r>
          </w:p>
          <w:p w:rsidR="000C51A4" w:rsidRPr="005B7CDB" w:rsidRDefault="000C51A4" w:rsidP="000D1136">
            <w:pPr>
              <w:snapToGrid w:val="0"/>
              <w:jc w:val="center"/>
              <w:rPr>
                <w:rFonts w:ascii="楷体" w:eastAsia="楷体" w:hAnsi="楷体" w:cs="宋体"/>
                <w:b/>
                <w:bCs/>
                <w:color w:val="000000"/>
                <w:sz w:val="18"/>
                <w:szCs w:val="18"/>
              </w:rPr>
            </w:pPr>
            <w:proofErr w:type="gramStart"/>
            <w:r w:rsidRPr="005B7CDB">
              <w:rPr>
                <w:rFonts w:ascii="楷体" w:eastAsia="楷体" w:hAnsi="楷体" w:hint="eastAsia"/>
                <w:b/>
                <w:bCs/>
                <w:color w:val="000000"/>
                <w:sz w:val="18"/>
                <w:szCs w:val="18"/>
              </w:rPr>
              <w:t>一级债基</w:t>
            </w:r>
            <w:proofErr w:type="gramEnd"/>
          </w:p>
        </w:tc>
        <w:tc>
          <w:tcPr>
            <w:tcW w:w="992" w:type="dxa"/>
            <w:tcBorders>
              <w:left w:val="single" w:sz="6" w:space="0" w:color="FF6600"/>
              <w:right w:val="single" w:sz="6" w:space="0" w:color="FF6600"/>
            </w:tcBorders>
            <w:shd w:val="clear" w:color="auto" w:fill="auto"/>
            <w:vAlign w:val="center"/>
          </w:tcPr>
          <w:p w:rsidR="000C51A4" w:rsidRPr="006E5DF5" w:rsidRDefault="000C51A4" w:rsidP="006E5DF5">
            <w:pPr>
              <w:jc w:val="center"/>
              <w:rPr>
                <w:rFonts w:ascii="楷体" w:eastAsia="楷体" w:hAnsi="楷体"/>
                <w:color w:val="000000"/>
                <w:sz w:val="18"/>
                <w:szCs w:val="18"/>
              </w:rPr>
            </w:pPr>
            <w:r w:rsidRPr="006E5DF5">
              <w:rPr>
                <w:rFonts w:ascii="楷体" w:eastAsia="楷体" w:hAnsi="楷体" w:hint="eastAsia"/>
                <w:color w:val="000000"/>
                <w:sz w:val="18"/>
                <w:szCs w:val="18"/>
              </w:rPr>
              <w:t>340009</w:t>
            </w:r>
          </w:p>
        </w:tc>
        <w:tc>
          <w:tcPr>
            <w:tcW w:w="1843" w:type="dxa"/>
            <w:tcBorders>
              <w:left w:val="single" w:sz="6" w:space="0" w:color="FF6600"/>
              <w:right w:val="single" w:sz="6" w:space="0" w:color="FF6600"/>
            </w:tcBorders>
            <w:shd w:val="clear" w:color="auto" w:fill="auto"/>
            <w:vAlign w:val="center"/>
          </w:tcPr>
          <w:p w:rsidR="000C51A4" w:rsidRPr="006E5DF5" w:rsidRDefault="000C51A4" w:rsidP="006E5DF5">
            <w:pPr>
              <w:jc w:val="center"/>
              <w:rPr>
                <w:rFonts w:ascii="楷体" w:eastAsia="楷体" w:hAnsi="楷体"/>
                <w:color w:val="000000"/>
                <w:sz w:val="18"/>
                <w:szCs w:val="18"/>
              </w:rPr>
            </w:pPr>
            <w:r w:rsidRPr="006E5DF5">
              <w:rPr>
                <w:rFonts w:ascii="楷体" w:eastAsia="楷体" w:hAnsi="楷体" w:hint="eastAsia"/>
                <w:color w:val="000000"/>
                <w:sz w:val="18"/>
                <w:szCs w:val="18"/>
              </w:rPr>
              <w:t>兴全磐稳增利债券</w:t>
            </w:r>
          </w:p>
        </w:tc>
        <w:tc>
          <w:tcPr>
            <w:tcW w:w="851" w:type="dxa"/>
            <w:tcBorders>
              <w:left w:val="single" w:sz="6" w:space="0" w:color="FF6600"/>
              <w:right w:val="single" w:sz="6" w:space="0" w:color="FF6600"/>
            </w:tcBorders>
            <w:shd w:val="clear" w:color="auto" w:fill="auto"/>
            <w:vAlign w:val="center"/>
          </w:tcPr>
          <w:p w:rsidR="000C51A4" w:rsidRPr="006E5DF5" w:rsidRDefault="000C51A4" w:rsidP="006E5DF5">
            <w:pPr>
              <w:jc w:val="center"/>
              <w:rPr>
                <w:rFonts w:ascii="楷体" w:eastAsia="楷体" w:hAnsi="楷体"/>
                <w:color w:val="000000"/>
                <w:sz w:val="18"/>
                <w:szCs w:val="18"/>
              </w:rPr>
            </w:pPr>
            <w:r w:rsidRPr="006E5DF5">
              <w:rPr>
                <w:rFonts w:ascii="楷体" w:eastAsia="楷体" w:hAnsi="楷体" w:hint="eastAsia"/>
                <w:color w:val="000000"/>
                <w:sz w:val="18"/>
                <w:szCs w:val="18"/>
              </w:rPr>
              <w:t>开放式</w:t>
            </w:r>
          </w:p>
        </w:tc>
        <w:tc>
          <w:tcPr>
            <w:tcW w:w="850" w:type="dxa"/>
            <w:tcBorders>
              <w:left w:val="single" w:sz="6" w:space="0" w:color="FF6600"/>
            </w:tcBorders>
            <w:shd w:val="clear" w:color="auto" w:fill="auto"/>
            <w:vAlign w:val="center"/>
          </w:tcPr>
          <w:p w:rsidR="000C51A4" w:rsidRPr="006E5DF5" w:rsidRDefault="000C51A4" w:rsidP="006E5DF5">
            <w:pPr>
              <w:jc w:val="center"/>
              <w:rPr>
                <w:rFonts w:ascii="楷体" w:eastAsia="楷体" w:hAnsi="楷体"/>
                <w:color w:val="000000"/>
                <w:sz w:val="18"/>
                <w:szCs w:val="18"/>
              </w:rPr>
            </w:pPr>
            <w:r w:rsidRPr="006E5DF5">
              <w:rPr>
                <w:rFonts w:ascii="楷体" w:eastAsia="楷体" w:hAnsi="楷体" w:hint="eastAsia"/>
                <w:color w:val="000000"/>
                <w:sz w:val="18"/>
                <w:szCs w:val="18"/>
              </w:rPr>
              <w:t>1.57</w:t>
            </w:r>
          </w:p>
        </w:tc>
      </w:tr>
      <w:tr w:rsidR="000C51A4" w:rsidRPr="005B7CDB" w:rsidTr="006E5DF5">
        <w:trPr>
          <w:cantSplit/>
          <w:trHeight w:val="227"/>
        </w:trPr>
        <w:tc>
          <w:tcPr>
            <w:tcW w:w="851" w:type="dxa"/>
            <w:vMerge/>
            <w:tcBorders>
              <w:right w:val="single" w:sz="6" w:space="0" w:color="FF6600"/>
            </w:tcBorders>
            <w:shd w:val="clear" w:color="auto" w:fill="FDE9D9" w:themeFill="accent6" w:themeFillTint="33"/>
            <w:vAlign w:val="center"/>
          </w:tcPr>
          <w:p w:rsidR="000C51A4" w:rsidRPr="005B7CDB" w:rsidRDefault="000C51A4" w:rsidP="000D1136">
            <w:pPr>
              <w:snapToGrid w:val="0"/>
              <w:jc w:val="center"/>
              <w:rPr>
                <w:rFonts w:ascii="楷体" w:eastAsia="楷体" w:hAnsi="楷体"/>
                <w:b/>
                <w:sz w:val="18"/>
                <w:szCs w:val="18"/>
              </w:rPr>
            </w:pPr>
          </w:p>
        </w:tc>
        <w:tc>
          <w:tcPr>
            <w:tcW w:w="851" w:type="dxa"/>
            <w:tcBorders>
              <w:left w:val="single" w:sz="6" w:space="0" w:color="FF6600"/>
              <w:right w:val="single" w:sz="6" w:space="0" w:color="FF6600"/>
            </w:tcBorders>
            <w:shd w:val="clear" w:color="auto" w:fill="auto"/>
            <w:vAlign w:val="center"/>
          </w:tcPr>
          <w:p w:rsidR="000C51A4" w:rsidRPr="006E5DF5" w:rsidRDefault="000C51A4" w:rsidP="006E5DF5">
            <w:pPr>
              <w:jc w:val="center"/>
              <w:rPr>
                <w:rFonts w:ascii="楷体" w:eastAsia="楷体" w:hAnsi="楷体"/>
                <w:color w:val="000000"/>
                <w:sz w:val="18"/>
                <w:szCs w:val="18"/>
              </w:rPr>
            </w:pPr>
            <w:r w:rsidRPr="006E5DF5">
              <w:rPr>
                <w:rFonts w:ascii="楷体" w:eastAsia="楷体" w:hAnsi="楷体" w:hint="eastAsia"/>
                <w:color w:val="000000"/>
                <w:sz w:val="18"/>
                <w:szCs w:val="18"/>
              </w:rPr>
              <w:t>161613</w:t>
            </w:r>
          </w:p>
        </w:tc>
        <w:tc>
          <w:tcPr>
            <w:tcW w:w="1984" w:type="dxa"/>
            <w:tcBorders>
              <w:left w:val="single" w:sz="6" w:space="0" w:color="FF6600"/>
              <w:right w:val="single" w:sz="6" w:space="0" w:color="FF6600"/>
            </w:tcBorders>
            <w:shd w:val="clear" w:color="auto" w:fill="auto"/>
            <w:vAlign w:val="center"/>
          </w:tcPr>
          <w:p w:rsidR="000C51A4" w:rsidRPr="006E5DF5" w:rsidRDefault="000C51A4" w:rsidP="006E5DF5">
            <w:pPr>
              <w:jc w:val="center"/>
              <w:rPr>
                <w:rFonts w:ascii="楷体" w:eastAsia="楷体" w:hAnsi="楷体"/>
                <w:color w:val="000000"/>
                <w:sz w:val="18"/>
                <w:szCs w:val="18"/>
              </w:rPr>
            </w:pPr>
            <w:r w:rsidRPr="006E5DF5">
              <w:rPr>
                <w:rFonts w:ascii="楷体" w:eastAsia="楷体" w:hAnsi="楷体" w:hint="eastAsia"/>
                <w:color w:val="000000"/>
                <w:sz w:val="18"/>
                <w:szCs w:val="18"/>
              </w:rPr>
              <w:t>融通创业板</w:t>
            </w:r>
          </w:p>
        </w:tc>
        <w:tc>
          <w:tcPr>
            <w:tcW w:w="851" w:type="dxa"/>
            <w:tcBorders>
              <w:left w:val="single" w:sz="6" w:space="0" w:color="FF6600"/>
              <w:right w:val="single" w:sz="6" w:space="0" w:color="FF6600"/>
            </w:tcBorders>
            <w:shd w:val="clear" w:color="auto" w:fill="auto"/>
            <w:vAlign w:val="center"/>
          </w:tcPr>
          <w:p w:rsidR="000C51A4" w:rsidRPr="006E5DF5" w:rsidRDefault="000C51A4" w:rsidP="006E5DF5">
            <w:pPr>
              <w:jc w:val="center"/>
              <w:rPr>
                <w:rFonts w:ascii="楷体" w:eastAsia="楷体" w:hAnsi="楷体"/>
                <w:color w:val="000000"/>
                <w:sz w:val="18"/>
                <w:szCs w:val="18"/>
              </w:rPr>
            </w:pPr>
            <w:r w:rsidRPr="006E5DF5">
              <w:rPr>
                <w:rFonts w:ascii="楷体" w:eastAsia="楷体" w:hAnsi="楷体" w:hint="eastAsia"/>
                <w:color w:val="000000"/>
                <w:sz w:val="18"/>
                <w:szCs w:val="18"/>
              </w:rPr>
              <w:t>开放式</w:t>
            </w:r>
          </w:p>
        </w:tc>
        <w:tc>
          <w:tcPr>
            <w:tcW w:w="991" w:type="dxa"/>
            <w:tcBorders>
              <w:left w:val="single" w:sz="6" w:space="0" w:color="FF6600"/>
              <w:right w:val="single" w:sz="6" w:space="0" w:color="FF6600"/>
            </w:tcBorders>
            <w:shd w:val="clear" w:color="auto" w:fill="auto"/>
            <w:vAlign w:val="center"/>
          </w:tcPr>
          <w:p w:rsidR="000C51A4" w:rsidRPr="006E5DF5" w:rsidRDefault="000C51A4" w:rsidP="006E5DF5">
            <w:pPr>
              <w:jc w:val="center"/>
              <w:rPr>
                <w:rFonts w:ascii="楷体" w:eastAsia="楷体" w:hAnsi="楷体"/>
                <w:color w:val="000000"/>
                <w:sz w:val="18"/>
                <w:szCs w:val="18"/>
              </w:rPr>
            </w:pPr>
            <w:r w:rsidRPr="006E5DF5">
              <w:rPr>
                <w:rFonts w:ascii="楷体" w:eastAsia="楷体" w:hAnsi="楷体" w:hint="eastAsia"/>
                <w:color w:val="000000"/>
                <w:sz w:val="18"/>
                <w:szCs w:val="18"/>
              </w:rPr>
              <w:t>2.34</w:t>
            </w:r>
          </w:p>
        </w:tc>
        <w:tc>
          <w:tcPr>
            <w:tcW w:w="993" w:type="dxa"/>
            <w:vMerge/>
            <w:tcBorders>
              <w:left w:val="single" w:sz="6" w:space="0" w:color="FF6600"/>
              <w:right w:val="single" w:sz="6" w:space="0" w:color="FF6600"/>
            </w:tcBorders>
            <w:shd w:val="clear" w:color="auto" w:fill="FDE9D9" w:themeFill="accent6" w:themeFillTint="33"/>
            <w:vAlign w:val="center"/>
          </w:tcPr>
          <w:p w:rsidR="000C51A4" w:rsidRPr="005B7CDB" w:rsidRDefault="000C51A4" w:rsidP="000D1136">
            <w:pPr>
              <w:snapToGrid w:val="0"/>
              <w:jc w:val="center"/>
              <w:rPr>
                <w:rFonts w:ascii="楷体" w:eastAsia="楷体" w:hAnsi="楷体"/>
                <w:b/>
                <w:sz w:val="18"/>
                <w:szCs w:val="18"/>
              </w:rPr>
            </w:pPr>
          </w:p>
        </w:tc>
        <w:tc>
          <w:tcPr>
            <w:tcW w:w="992" w:type="dxa"/>
            <w:tcBorders>
              <w:left w:val="single" w:sz="6" w:space="0" w:color="FF6600"/>
              <w:right w:val="single" w:sz="6" w:space="0" w:color="FF6600"/>
            </w:tcBorders>
            <w:shd w:val="clear" w:color="auto" w:fill="auto"/>
            <w:vAlign w:val="center"/>
          </w:tcPr>
          <w:p w:rsidR="000C51A4" w:rsidRPr="006E5DF5" w:rsidRDefault="000C51A4" w:rsidP="006E5DF5">
            <w:pPr>
              <w:jc w:val="center"/>
              <w:rPr>
                <w:rFonts w:ascii="楷体" w:eastAsia="楷体" w:hAnsi="楷体"/>
                <w:color w:val="000000"/>
                <w:sz w:val="18"/>
                <w:szCs w:val="18"/>
              </w:rPr>
            </w:pPr>
            <w:r w:rsidRPr="006E5DF5">
              <w:rPr>
                <w:rFonts w:ascii="楷体" w:eastAsia="楷体" w:hAnsi="楷体" w:hint="eastAsia"/>
                <w:color w:val="000000"/>
                <w:sz w:val="18"/>
                <w:szCs w:val="18"/>
              </w:rPr>
              <w:t>217011</w:t>
            </w:r>
          </w:p>
        </w:tc>
        <w:tc>
          <w:tcPr>
            <w:tcW w:w="1843" w:type="dxa"/>
            <w:tcBorders>
              <w:left w:val="single" w:sz="6" w:space="0" w:color="FF6600"/>
              <w:right w:val="single" w:sz="6" w:space="0" w:color="FF6600"/>
            </w:tcBorders>
            <w:shd w:val="clear" w:color="auto" w:fill="auto"/>
            <w:vAlign w:val="center"/>
          </w:tcPr>
          <w:p w:rsidR="000C51A4" w:rsidRPr="006E5DF5" w:rsidRDefault="000C51A4" w:rsidP="006E5DF5">
            <w:pPr>
              <w:jc w:val="center"/>
              <w:rPr>
                <w:rFonts w:ascii="楷体" w:eastAsia="楷体" w:hAnsi="楷体"/>
                <w:color w:val="000000"/>
                <w:sz w:val="18"/>
                <w:szCs w:val="18"/>
              </w:rPr>
            </w:pPr>
            <w:r w:rsidRPr="006E5DF5">
              <w:rPr>
                <w:rFonts w:ascii="楷体" w:eastAsia="楷体" w:hAnsi="楷体" w:hint="eastAsia"/>
                <w:color w:val="000000"/>
                <w:sz w:val="18"/>
                <w:szCs w:val="18"/>
              </w:rPr>
              <w:t>招商安心收益</w:t>
            </w:r>
          </w:p>
        </w:tc>
        <w:tc>
          <w:tcPr>
            <w:tcW w:w="851" w:type="dxa"/>
            <w:tcBorders>
              <w:left w:val="single" w:sz="6" w:space="0" w:color="FF6600"/>
              <w:right w:val="single" w:sz="6" w:space="0" w:color="FF6600"/>
            </w:tcBorders>
            <w:shd w:val="clear" w:color="auto" w:fill="auto"/>
            <w:vAlign w:val="center"/>
          </w:tcPr>
          <w:p w:rsidR="000C51A4" w:rsidRPr="006E5DF5" w:rsidRDefault="000C51A4" w:rsidP="006E5DF5">
            <w:pPr>
              <w:jc w:val="center"/>
              <w:rPr>
                <w:rFonts w:ascii="楷体" w:eastAsia="楷体" w:hAnsi="楷体"/>
                <w:color w:val="000000"/>
                <w:sz w:val="18"/>
                <w:szCs w:val="18"/>
              </w:rPr>
            </w:pPr>
            <w:r w:rsidRPr="006E5DF5">
              <w:rPr>
                <w:rFonts w:ascii="楷体" w:eastAsia="楷体" w:hAnsi="楷体" w:hint="eastAsia"/>
                <w:color w:val="000000"/>
                <w:sz w:val="18"/>
                <w:szCs w:val="18"/>
              </w:rPr>
              <w:t>开放式</w:t>
            </w:r>
          </w:p>
        </w:tc>
        <w:tc>
          <w:tcPr>
            <w:tcW w:w="850" w:type="dxa"/>
            <w:tcBorders>
              <w:left w:val="single" w:sz="6" w:space="0" w:color="FF6600"/>
            </w:tcBorders>
            <w:shd w:val="clear" w:color="auto" w:fill="auto"/>
            <w:vAlign w:val="center"/>
          </w:tcPr>
          <w:p w:rsidR="000C51A4" w:rsidRPr="006E5DF5" w:rsidRDefault="000C51A4" w:rsidP="006E5DF5">
            <w:pPr>
              <w:jc w:val="center"/>
              <w:rPr>
                <w:rFonts w:ascii="楷体" w:eastAsia="楷体" w:hAnsi="楷体"/>
                <w:color w:val="000000"/>
                <w:sz w:val="18"/>
                <w:szCs w:val="18"/>
              </w:rPr>
            </w:pPr>
            <w:r w:rsidRPr="006E5DF5">
              <w:rPr>
                <w:rFonts w:ascii="楷体" w:eastAsia="楷体" w:hAnsi="楷体" w:hint="eastAsia"/>
                <w:color w:val="000000"/>
                <w:sz w:val="18"/>
                <w:szCs w:val="18"/>
              </w:rPr>
              <w:t>1.05</w:t>
            </w:r>
          </w:p>
        </w:tc>
      </w:tr>
      <w:tr w:rsidR="000C51A4" w:rsidRPr="005B7CDB" w:rsidTr="006E5DF5">
        <w:trPr>
          <w:cantSplit/>
          <w:trHeight w:val="227"/>
        </w:trPr>
        <w:tc>
          <w:tcPr>
            <w:tcW w:w="851" w:type="dxa"/>
            <w:vMerge/>
            <w:tcBorders>
              <w:right w:val="single" w:sz="6" w:space="0" w:color="FF6600"/>
            </w:tcBorders>
            <w:shd w:val="clear" w:color="auto" w:fill="FDE9D9" w:themeFill="accent6" w:themeFillTint="33"/>
            <w:vAlign w:val="center"/>
          </w:tcPr>
          <w:p w:rsidR="000C51A4" w:rsidRPr="005B7CDB" w:rsidRDefault="000C51A4" w:rsidP="000D1136">
            <w:pPr>
              <w:snapToGrid w:val="0"/>
              <w:jc w:val="center"/>
              <w:rPr>
                <w:rFonts w:ascii="楷体" w:eastAsia="楷体" w:hAnsi="楷体"/>
                <w:b/>
                <w:sz w:val="18"/>
                <w:szCs w:val="18"/>
              </w:rPr>
            </w:pPr>
          </w:p>
        </w:tc>
        <w:tc>
          <w:tcPr>
            <w:tcW w:w="851" w:type="dxa"/>
            <w:tcBorders>
              <w:left w:val="single" w:sz="6" w:space="0" w:color="FF6600"/>
              <w:right w:val="single" w:sz="6" w:space="0" w:color="FF6600"/>
            </w:tcBorders>
            <w:shd w:val="clear" w:color="auto" w:fill="auto"/>
            <w:vAlign w:val="center"/>
          </w:tcPr>
          <w:p w:rsidR="000C51A4" w:rsidRPr="006E5DF5" w:rsidRDefault="000C51A4" w:rsidP="006E5DF5">
            <w:pPr>
              <w:jc w:val="center"/>
              <w:rPr>
                <w:rFonts w:ascii="楷体" w:eastAsia="楷体" w:hAnsi="楷体"/>
                <w:color w:val="000000"/>
                <w:sz w:val="18"/>
                <w:szCs w:val="18"/>
              </w:rPr>
            </w:pPr>
            <w:r w:rsidRPr="006E5DF5">
              <w:rPr>
                <w:rFonts w:ascii="楷体" w:eastAsia="楷体" w:hAnsi="楷体" w:hint="eastAsia"/>
                <w:color w:val="000000"/>
                <w:sz w:val="18"/>
                <w:szCs w:val="18"/>
              </w:rPr>
              <w:t>161022</w:t>
            </w:r>
          </w:p>
        </w:tc>
        <w:tc>
          <w:tcPr>
            <w:tcW w:w="1984" w:type="dxa"/>
            <w:tcBorders>
              <w:left w:val="single" w:sz="6" w:space="0" w:color="FF6600"/>
              <w:right w:val="single" w:sz="6" w:space="0" w:color="FF6600"/>
            </w:tcBorders>
            <w:shd w:val="clear" w:color="auto" w:fill="auto"/>
            <w:vAlign w:val="center"/>
          </w:tcPr>
          <w:p w:rsidR="000C51A4" w:rsidRPr="006E5DF5" w:rsidRDefault="000C51A4" w:rsidP="006E5DF5">
            <w:pPr>
              <w:jc w:val="center"/>
              <w:rPr>
                <w:rFonts w:ascii="楷体" w:eastAsia="楷体" w:hAnsi="楷体"/>
                <w:color w:val="000000"/>
                <w:sz w:val="18"/>
                <w:szCs w:val="18"/>
              </w:rPr>
            </w:pPr>
            <w:r w:rsidRPr="006E5DF5">
              <w:rPr>
                <w:rFonts w:ascii="楷体" w:eastAsia="楷体" w:hAnsi="楷体" w:hint="eastAsia"/>
                <w:color w:val="000000"/>
                <w:sz w:val="18"/>
                <w:szCs w:val="18"/>
              </w:rPr>
              <w:t>富国创业</w:t>
            </w:r>
            <w:proofErr w:type="gramStart"/>
            <w:r w:rsidRPr="006E5DF5">
              <w:rPr>
                <w:rFonts w:ascii="楷体" w:eastAsia="楷体" w:hAnsi="楷体" w:hint="eastAsia"/>
                <w:color w:val="000000"/>
                <w:sz w:val="18"/>
                <w:szCs w:val="18"/>
              </w:rPr>
              <w:t>板指数</w:t>
            </w:r>
            <w:proofErr w:type="gramEnd"/>
            <w:r w:rsidRPr="006E5DF5">
              <w:rPr>
                <w:rFonts w:ascii="楷体" w:eastAsia="楷体" w:hAnsi="楷体" w:hint="eastAsia"/>
                <w:color w:val="000000"/>
                <w:sz w:val="18"/>
                <w:szCs w:val="18"/>
              </w:rPr>
              <w:t>分级</w:t>
            </w:r>
          </w:p>
        </w:tc>
        <w:tc>
          <w:tcPr>
            <w:tcW w:w="851" w:type="dxa"/>
            <w:tcBorders>
              <w:left w:val="single" w:sz="6" w:space="0" w:color="FF6600"/>
              <w:right w:val="single" w:sz="6" w:space="0" w:color="FF6600"/>
            </w:tcBorders>
            <w:shd w:val="clear" w:color="auto" w:fill="auto"/>
            <w:vAlign w:val="center"/>
          </w:tcPr>
          <w:p w:rsidR="000C51A4" w:rsidRPr="006E5DF5" w:rsidRDefault="000C51A4" w:rsidP="006E5DF5">
            <w:pPr>
              <w:jc w:val="center"/>
              <w:rPr>
                <w:rFonts w:ascii="楷体" w:eastAsia="楷体" w:hAnsi="楷体"/>
                <w:color w:val="000000"/>
                <w:sz w:val="18"/>
                <w:szCs w:val="18"/>
              </w:rPr>
            </w:pPr>
            <w:r w:rsidRPr="006E5DF5">
              <w:rPr>
                <w:rFonts w:ascii="楷体" w:eastAsia="楷体" w:hAnsi="楷体" w:hint="eastAsia"/>
                <w:color w:val="000000"/>
                <w:sz w:val="18"/>
                <w:szCs w:val="18"/>
              </w:rPr>
              <w:t>开放式</w:t>
            </w:r>
          </w:p>
        </w:tc>
        <w:tc>
          <w:tcPr>
            <w:tcW w:w="991" w:type="dxa"/>
            <w:tcBorders>
              <w:left w:val="single" w:sz="6" w:space="0" w:color="FF6600"/>
              <w:right w:val="single" w:sz="6" w:space="0" w:color="FF6600"/>
            </w:tcBorders>
            <w:shd w:val="clear" w:color="auto" w:fill="auto"/>
            <w:vAlign w:val="center"/>
          </w:tcPr>
          <w:p w:rsidR="000C51A4" w:rsidRPr="006E5DF5" w:rsidRDefault="000C51A4" w:rsidP="006E5DF5">
            <w:pPr>
              <w:jc w:val="center"/>
              <w:rPr>
                <w:rFonts w:ascii="楷体" w:eastAsia="楷体" w:hAnsi="楷体"/>
                <w:color w:val="000000"/>
                <w:sz w:val="18"/>
                <w:szCs w:val="18"/>
              </w:rPr>
            </w:pPr>
            <w:r w:rsidRPr="006E5DF5">
              <w:rPr>
                <w:rFonts w:ascii="楷体" w:eastAsia="楷体" w:hAnsi="楷体" w:hint="eastAsia"/>
                <w:color w:val="000000"/>
                <w:sz w:val="18"/>
                <w:szCs w:val="18"/>
              </w:rPr>
              <w:t>2.31</w:t>
            </w:r>
          </w:p>
        </w:tc>
        <w:tc>
          <w:tcPr>
            <w:tcW w:w="993" w:type="dxa"/>
            <w:vMerge/>
            <w:tcBorders>
              <w:left w:val="single" w:sz="6" w:space="0" w:color="FF6600"/>
              <w:right w:val="single" w:sz="6" w:space="0" w:color="FF6600"/>
            </w:tcBorders>
            <w:shd w:val="clear" w:color="auto" w:fill="FDE9D9" w:themeFill="accent6" w:themeFillTint="33"/>
            <w:vAlign w:val="center"/>
          </w:tcPr>
          <w:p w:rsidR="000C51A4" w:rsidRPr="005B7CDB" w:rsidRDefault="000C51A4" w:rsidP="000D1136">
            <w:pPr>
              <w:snapToGrid w:val="0"/>
              <w:jc w:val="center"/>
              <w:rPr>
                <w:rFonts w:ascii="楷体" w:eastAsia="楷体" w:hAnsi="楷体"/>
                <w:b/>
                <w:sz w:val="18"/>
                <w:szCs w:val="18"/>
              </w:rPr>
            </w:pPr>
          </w:p>
        </w:tc>
        <w:tc>
          <w:tcPr>
            <w:tcW w:w="992" w:type="dxa"/>
            <w:tcBorders>
              <w:left w:val="single" w:sz="6" w:space="0" w:color="FF6600"/>
              <w:right w:val="single" w:sz="6" w:space="0" w:color="FF6600"/>
            </w:tcBorders>
            <w:shd w:val="clear" w:color="auto" w:fill="auto"/>
            <w:vAlign w:val="center"/>
          </w:tcPr>
          <w:p w:rsidR="000C51A4" w:rsidRPr="006E5DF5" w:rsidRDefault="000C51A4" w:rsidP="006E5DF5">
            <w:pPr>
              <w:jc w:val="center"/>
              <w:rPr>
                <w:rFonts w:ascii="楷体" w:eastAsia="楷体" w:hAnsi="楷体"/>
                <w:color w:val="000000"/>
                <w:sz w:val="18"/>
                <w:szCs w:val="18"/>
              </w:rPr>
            </w:pPr>
            <w:r w:rsidRPr="006E5DF5">
              <w:rPr>
                <w:rFonts w:ascii="楷体" w:eastAsia="楷体" w:hAnsi="楷体" w:hint="eastAsia"/>
                <w:color w:val="000000"/>
                <w:sz w:val="18"/>
                <w:szCs w:val="18"/>
              </w:rPr>
              <w:t>485107</w:t>
            </w:r>
          </w:p>
        </w:tc>
        <w:tc>
          <w:tcPr>
            <w:tcW w:w="1843" w:type="dxa"/>
            <w:tcBorders>
              <w:left w:val="single" w:sz="6" w:space="0" w:color="FF6600"/>
              <w:right w:val="single" w:sz="6" w:space="0" w:color="FF6600"/>
            </w:tcBorders>
            <w:shd w:val="clear" w:color="auto" w:fill="auto"/>
            <w:vAlign w:val="center"/>
          </w:tcPr>
          <w:p w:rsidR="000C51A4" w:rsidRPr="006E5DF5" w:rsidRDefault="000C51A4" w:rsidP="006E5DF5">
            <w:pPr>
              <w:jc w:val="center"/>
              <w:rPr>
                <w:rFonts w:ascii="楷体" w:eastAsia="楷体" w:hAnsi="楷体"/>
                <w:color w:val="000000"/>
                <w:sz w:val="18"/>
                <w:szCs w:val="18"/>
              </w:rPr>
            </w:pPr>
            <w:proofErr w:type="gramStart"/>
            <w:r w:rsidRPr="006E5DF5">
              <w:rPr>
                <w:rFonts w:ascii="楷体" w:eastAsia="楷体" w:hAnsi="楷体" w:hint="eastAsia"/>
                <w:color w:val="000000"/>
                <w:sz w:val="18"/>
                <w:szCs w:val="18"/>
              </w:rPr>
              <w:t>工银瑞信</w:t>
            </w:r>
            <w:proofErr w:type="gramEnd"/>
            <w:r w:rsidRPr="006E5DF5">
              <w:rPr>
                <w:rFonts w:ascii="楷体" w:eastAsia="楷体" w:hAnsi="楷体" w:hint="eastAsia"/>
                <w:color w:val="000000"/>
                <w:sz w:val="18"/>
                <w:szCs w:val="18"/>
              </w:rPr>
              <w:t>信用添利A</w:t>
            </w:r>
          </w:p>
        </w:tc>
        <w:tc>
          <w:tcPr>
            <w:tcW w:w="851" w:type="dxa"/>
            <w:tcBorders>
              <w:left w:val="single" w:sz="6" w:space="0" w:color="FF6600"/>
              <w:right w:val="single" w:sz="6" w:space="0" w:color="FF6600"/>
            </w:tcBorders>
            <w:shd w:val="clear" w:color="auto" w:fill="auto"/>
            <w:vAlign w:val="center"/>
          </w:tcPr>
          <w:p w:rsidR="000C51A4" w:rsidRPr="006E5DF5" w:rsidRDefault="000C51A4" w:rsidP="006E5DF5">
            <w:pPr>
              <w:jc w:val="center"/>
              <w:rPr>
                <w:rFonts w:ascii="楷体" w:eastAsia="楷体" w:hAnsi="楷体"/>
                <w:color w:val="000000"/>
                <w:sz w:val="18"/>
                <w:szCs w:val="18"/>
              </w:rPr>
            </w:pPr>
            <w:r w:rsidRPr="006E5DF5">
              <w:rPr>
                <w:rFonts w:ascii="楷体" w:eastAsia="楷体" w:hAnsi="楷体" w:hint="eastAsia"/>
                <w:color w:val="000000"/>
                <w:sz w:val="18"/>
                <w:szCs w:val="18"/>
              </w:rPr>
              <w:t>开放式</w:t>
            </w:r>
          </w:p>
        </w:tc>
        <w:tc>
          <w:tcPr>
            <w:tcW w:w="850" w:type="dxa"/>
            <w:tcBorders>
              <w:left w:val="single" w:sz="6" w:space="0" w:color="FF6600"/>
            </w:tcBorders>
            <w:shd w:val="clear" w:color="auto" w:fill="auto"/>
            <w:vAlign w:val="center"/>
          </w:tcPr>
          <w:p w:rsidR="000C51A4" w:rsidRPr="006E5DF5" w:rsidRDefault="000C51A4" w:rsidP="006E5DF5">
            <w:pPr>
              <w:jc w:val="center"/>
              <w:rPr>
                <w:rFonts w:ascii="楷体" w:eastAsia="楷体" w:hAnsi="楷体"/>
                <w:color w:val="000000"/>
                <w:sz w:val="18"/>
                <w:szCs w:val="18"/>
              </w:rPr>
            </w:pPr>
            <w:r w:rsidRPr="006E5DF5">
              <w:rPr>
                <w:rFonts w:ascii="楷体" w:eastAsia="楷体" w:hAnsi="楷体" w:hint="eastAsia"/>
                <w:color w:val="000000"/>
                <w:sz w:val="18"/>
                <w:szCs w:val="18"/>
              </w:rPr>
              <w:t>1.01</w:t>
            </w:r>
          </w:p>
        </w:tc>
      </w:tr>
      <w:tr w:rsidR="000C51A4" w:rsidRPr="005B7CDB" w:rsidTr="006E5DF5">
        <w:trPr>
          <w:cantSplit/>
          <w:trHeight w:val="227"/>
        </w:trPr>
        <w:tc>
          <w:tcPr>
            <w:tcW w:w="851" w:type="dxa"/>
            <w:vMerge w:val="restart"/>
            <w:tcBorders>
              <w:right w:val="single" w:sz="6" w:space="0" w:color="FF6600"/>
            </w:tcBorders>
            <w:shd w:val="clear" w:color="auto" w:fill="FDE9D9" w:themeFill="accent6" w:themeFillTint="33"/>
            <w:vAlign w:val="center"/>
          </w:tcPr>
          <w:p w:rsidR="000C51A4" w:rsidRPr="005B7CDB" w:rsidRDefault="000C51A4" w:rsidP="00884478">
            <w:pPr>
              <w:snapToGrid w:val="0"/>
              <w:jc w:val="center"/>
              <w:rPr>
                <w:rFonts w:ascii="楷体" w:eastAsia="楷体" w:hAnsi="楷体"/>
                <w:b/>
                <w:bCs/>
                <w:color w:val="000000"/>
                <w:sz w:val="18"/>
                <w:szCs w:val="18"/>
              </w:rPr>
            </w:pPr>
            <w:r w:rsidRPr="005B7CDB">
              <w:rPr>
                <w:rFonts w:ascii="楷体" w:eastAsia="楷体" w:hAnsi="楷体" w:hint="eastAsia"/>
                <w:b/>
                <w:bCs/>
                <w:color w:val="000000"/>
                <w:sz w:val="18"/>
                <w:szCs w:val="18"/>
              </w:rPr>
              <w:t>混合-</w:t>
            </w:r>
          </w:p>
          <w:p w:rsidR="000C51A4" w:rsidRPr="005B7CDB" w:rsidRDefault="000C51A4" w:rsidP="00884478">
            <w:pPr>
              <w:snapToGrid w:val="0"/>
              <w:jc w:val="center"/>
              <w:rPr>
                <w:rFonts w:ascii="楷体" w:eastAsia="楷体" w:hAnsi="楷体"/>
                <w:b/>
                <w:sz w:val="18"/>
                <w:szCs w:val="18"/>
              </w:rPr>
            </w:pPr>
            <w:proofErr w:type="gramStart"/>
            <w:r w:rsidRPr="005B7CDB">
              <w:rPr>
                <w:rFonts w:ascii="楷体" w:eastAsia="楷体" w:hAnsi="楷体" w:hint="eastAsia"/>
                <w:b/>
                <w:bCs/>
                <w:color w:val="000000"/>
                <w:sz w:val="18"/>
                <w:szCs w:val="18"/>
              </w:rPr>
              <w:t>偏股型</w:t>
            </w:r>
            <w:proofErr w:type="gramEnd"/>
          </w:p>
        </w:tc>
        <w:tc>
          <w:tcPr>
            <w:tcW w:w="851" w:type="dxa"/>
            <w:tcBorders>
              <w:left w:val="single" w:sz="6" w:space="0" w:color="FF6600"/>
              <w:right w:val="single" w:sz="6" w:space="0" w:color="FF6600"/>
            </w:tcBorders>
            <w:shd w:val="clear" w:color="auto" w:fill="auto"/>
            <w:vAlign w:val="center"/>
          </w:tcPr>
          <w:p w:rsidR="000C51A4" w:rsidRPr="006E5DF5" w:rsidRDefault="000C51A4" w:rsidP="006E5DF5">
            <w:pPr>
              <w:jc w:val="center"/>
              <w:rPr>
                <w:rFonts w:ascii="楷体" w:eastAsia="楷体" w:hAnsi="楷体"/>
                <w:color w:val="000000"/>
                <w:sz w:val="18"/>
                <w:szCs w:val="18"/>
              </w:rPr>
            </w:pPr>
            <w:r w:rsidRPr="006E5DF5">
              <w:rPr>
                <w:rFonts w:ascii="楷体" w:eastAsia="楷体" w:hAnsi="楷体" w:hint="eastAsia"/>
                <w:color w:val="000000"/>
                <w:sz w:val="18"/>
                <w:szCs w:val="18"/>
              </w:rPr>
              <w:t>206001</w:t>
            </w:r>
          </w:p>
        </w:tc>
        <w:tc>
          <w:tcPr>
            <w:tcW w:w="1984" w:type="dxa"/>
            <w:tcBorders>
              <w:left w:val="single" w:sz="6" w:space="0" w:color="FF6600"/>
              <w:right w:val="single" w:sz="6" w:space="0" w:color="FF6600"/>
            </w:tcBorders>
            <w:shd w:val="clear" w:color="auto" w:fill="auto"/>
            <w:vAlign w:val="center"/>
          </w:tcPr>
          <w:p w:rsidR="000C51A4" w:rsidRPr="006E5DF5" w:rsidRDefault="000C51A4" w:rsidP="006E5DF5">
            <w:pPr>
              <w:jc w:val="center"/>
              <w:rPr>
                <w:rFonts w:ascii="楷体" w:eastAsia="楷体" w:hAnsi="楷体"/>
                <w:color w:val="000000"/>
                <w:sz w:val="18"/>
                <w:szCs w:val="18"/>
              </w:rPr>
            </w:pPr>
            <w:r w:rsidRPr="006E5DF5">
              <w:rPr>
                <w:rFonts w:ascii="楷体" w:eastAsia="楷体" w:hAnsi="楷体" w:hint="eastAsia"/>
                <w:color w:val="000000"/>
                <w:sz w:val="18"/>
                <w:szCs w:val="18"/>
              </w:rPr>
              <w:t>鹏</w:t>
            </w:r>
            <w:proofErr w:type="gramStart"/>
            <w:r w:rsidRPr="006E5DF5">
              <w:rPr>
                <w:rFonts w:ascii="楷体" w:eastAsia="楷体" w:hAnsi="楷体" w:hint="eastAsia"/>
                <w:color w:val="000000"/>
                <w:sz w:val="18"/>
                <w:szCs w:val="18"/>
              </w:rPr>
              <w:t>华行业</w:t>
            </w:r>
            <w:proofErr w:type="gramEnd"/>
            <w:r w:rsidRPr="006E5DF5">
              <w:rPr>
                <w:rFonts w:ascii="楷体" w:eastAsia="楷体" w:hAnsi="楷体" w:hint="eastAsia"/>
                <w:color w:val="000000"/>
                <w:sz w:val="18"/>
                <w:szCs w:val="18"/>
              </w:rPr>
              <w:t>成长</w:t>
            </w:r>
          </w:p>
        </w:tc>
        <w:tc>
          <w:tcPr>
            <w:tcW w:w="851" w:type="dxa"/>
            <w:tcBorders>
              <w:left w:val="single" w:sz="6" w:space="0" w:color="FF6600"/>
              <w:right w:val="single" w:sz="6" w:space="0" w:color="FF6600"/>
            </w:tcBorders>
            <w:shd w:val="clear" w:color="auto" w:fill="auto"/>
            <w:vAlign w:val="center"/>
          </w:tcPr>
          <w:p w:rsidR="000C51A4" w:rsidRPr="006E5DF5" w:rsidRDefault="000C51A4" w:rsidP="006E5DF5">
            <w:pPr>
              <w:jc w:val="center"/>
              <w:rPr>
                <w:rFonts w:ascii="楷体" w:eastAsia="楷体" w:hAnsi="楷体"/>
                <w:color w:val="000000"/>
                <w:sz w:val="18"/>
                <w:szCs w:val="18"/>
              </w:rPr>
            </w:pPr>
            <w:r w:rsidRPr="006E5DF5">
              <w:rPr>
                <w:rFonts w:ascii="楷体" w:eastAsia="楷体" w:hAnsi="楷体" w:hint="eastAsia"/>
                <w:color w:val="000000"/>
                <w:sz w:val="18"/>
                <w:szCs w:val="18"/>
              </w:rPr>
              <w:t>开放式</w:t>
            </w:r>
          </w:p>
        </w:tc>
        <w:tc>
          <w:tcPr>
            <w:tcW w:w="991" w:type="dxa"/>
            <w:tcBorders>
              <w:left w:val="single" w:sz="6" w:space="0" w:color="FF6600"/>
              <w:right w:val="single" w:sz="6" w:space="0" w:color="FF6600"/>
            </w:tcBorders>
            <w:shd w:val="clear" w:color="auto" w:fill="auto"/>
            <w:vAlign w:val="center"/>
          </w:tcPr>
          <w:p w:rsidR="000C51A4" w:rsidRPr="006E5DF5" w:rsidRDefault="000C51A4" w:rsidP="006E5DF5">
            <w:pPr>
              <w:jc w:val="center"/>
              <w:rPr>
                <w:rFonts w:ascii="楷体" w:eastAsia="楷体" w:hAnsi="楷体"/>
                <w:color w:val="000000"/>
                <w:sz w:val="18"/>
                <w:szCs w:val="18"/>
              </w:rPr>
            </w:pPr>
            <w:r w:rsidRPr="006E5DF5">
              <w:rPr>
                <w:rFonts w:ascii="楷体" w:eastAsia="楷体" w:hAnsi="楷体" w:hint="eastAsia"/>
                <w:color w:val="000000"/>
                <w:sz w:val="18"/>
                <w:szCs w:val="18"/>
              </w:rPr>
              <w:t>1.11</w:t>
            </w:r>
          </w:p>
        </w:tc>
        <w:tc>
          <w:tcPr>
            <w:tcW w:w="993" w:type="dxa"/>
            <w:vMerge w:val="restart"/>
            <w:tcBorders>
              <w:left w:val="single" w:sz="6" w:space="0" w:color="FF6600"/>
              <w:right w:val="single" w:sz="6" w:space="0" w:color="FF6600"/>
            </w:tcBorders>
            <w:shd w:val="clear" w:color="auto" w:fill="FDE9D9" w:themeFill="accent6" w:themeFillTint="33"/>
            <w:vAlign w:val="center"/>
          </w:tcPr>
          <w:p w:rsidR="000C51A4" w:rsidRPr="005B7CDB" w:rsidRDefault="000C51A4" w:rsidP="00884478">
            <w:pPr>
              <w:snapToGrid w:val="0"/>
              <w:jc w:val="center"/>
              <w:rPr>
                <w:rFonts w:ascii="楷体" w:eastAsia="楷体" w:hAnsi="楷体"/>
                <w:b/>
                <w:bCs/>
                <w:color w:val="000000"/>
                <w:sz w:val="18"/>
                <w:szCs w:val="18"/>
              </w:rPr>
            </w:pPr>
            <w:r w:rsidRPr="005B7CDB">
              <w:rPr>
                <w:rFonts w:ascii="楷体" w:eastAsia="楷体" w:hAnsi="楷体" w:hint="eastAsia"/>
                <w:b/>
                <w:bCs/>
                <w:color w:val="000000"/>
                <w:sz w:val="18"/>
                <w:szCs w:val="18"/>
              </w:rPr>
              <w:t>债券-</w:t>
            </w:r>
          </w:p>
          <w:p w:rsidR="000C51A4" w:rsidRPr="005B7CDB" w:rsidRDefault="000C51A4" w:rsidP="00884478">
            <w:pPr>
              <w:snapToGrid w:val="0"/>
              <w:jc w:val="center"/>
              <w:rPr>
                <w:rFonts w:ascii="楷体" w:eastAsia="楷体" w:hAnsi="楷体" w:cs="宋体"/>
                <w:b/>
                <w:bCs/>
                <w:color w:val="000000"/>
                <w:sz w:val="18"/>
                <w:szCs w:val="18"/>
              </w:rPr>
            </w:pPr>
            <w:proofErr w:type="gramStart"/>
            <w:r w:rsidRPr="005B7CDB">
              <w:rPr>
                <w:rFonts w:ascii="楷体" w:eastAsia="楷体" w:hAnsi="楷体" w:hint="eastAsia"/>
                <w:b/>
                <w:bCs/>
                <w:color w:val="000000"/>
                <w:sz w:val="18"/>
                <w:szCs w:val="18"/>
              </w:rPr>
              <w:t>二级债基</w:t>
            </w:r>
            <w:proofErr w:type="gramEnd"/>
          </w:p>
        </w:tc>
        <w:tc>
          <w:tcPr>
            <w:tcW w:w="992" w:type="dxa"/>
            <w:tcBorders>
              <w:left w:val="single" w:sz="6" w:space="0" w:color="FF6600"/>
              <w:right w:val="single" w:sz="6" w:space="0" w:color="FF6600"/>
            </w:tcBorders>
            <w:shd w:val="clear" w:color="auto" w:fill="auto"/>
            <w:vAlign w:val="center"/>
          </w:tcPr>
          <w:p w:rsidR="000C51A4" w:rsidRPr="006E5DF5" w:rsidRDefault="000C51A4" w:rsidP="006E5DF5">
            <w:pPr>
              <w:jc w:val="center"/>
              <w:rPr>
                <w:rFonts w:ascii="楷体" w:eastAsia="楷体" w:hAnsi="楷体"/>
                <w:color w:val="000000"/>
                <w:sz w:val="18"/>
                <w:szCs w:val="18"/>
              </w:rPr>
            </w:pPr>
            <w:r w:rsidRPr="006E5DF5">
              <w:rPr>
                <w:rFonts w:ascii="楷体" w:eastAsia="楷体" w:hAnsi="楷体" w:hint="eastAsia"/>
                <w:color w:val="000000"/>
                <w:sz w:val="18"/>
                <w:szCs w:val="18"/>
              </w:rPr>
              <w:t>463</w:t>
            </w:r>
          </w:p>
        </w:tc>
        <w:tc>
          <w:tcPr>
            <w:tcW w:w="1843" w:type="dxa"/>
            <w:tcBorders>
              <w:left w:val="single" w:sz="6" w:space="0" w:color="FF6600"/>
              <w:right w:val="single" w:sz="6" w:space="0" w:color="FF6600"/>
            </w:tcBorders>
            <w:shd w:val="clear" w:color="auto" w:fill="auto"/>
            <w:vAlign w:val="center"/>
          </w:tcPr>
          <w:p w:rsidR="000C51A4" w:rsidRPr="006E5DF5" w:rsidRDefault="000C51A4" w:rsidP="006E5DF5">
            <w:pPr>
              <w:jc w:val="center"/>
              <w:rPr>
                <w:rFonts w:ascii="楷体" w:eastAsia="楷体" w:hAnsi="楷体"/>
                <w:color w:val="000000"/>
                <w:sz w:val="18"/>
                <w:szCs w:val="18"/>
              </w:rPr>
            </w:pPr>
            <w:proofErr w:type="gramStart"/>
            <w:r w:rsidRPr="006E5DF5">
              <w:rPr>
                <w:rFonts w:ascii="楷体" w:eastAsia="楷体" w:hAnsi="楷体" w:hint="eastAsia"/>
                <w:color w:val="000000"/>
                <w:sz w:val="18"/>
                <w:szCs w:val="18"/>
              </w:rPr>
              <w:t>华商双债</w:t>
            </w:r>
            <w:proofErr w:type="gramEnd"/>
            <w:r w:rsidRPr="006E5DF5">
              <w:rPr>
                <w:rFonts w:ascii="楷体" w:eastAsia="楷体" w:hAnsi="楷体" w:hint="eastAsia"/>
                <w:color w:val="000000"/>
                <w:sz w:val="18"/>
                <w:szCs w:val="18"/>
              </w:rPr>
              <w:t>丰利A</w:t>
            </w:r>
          </w:p>
        </w:tc>
        <w:tc>
          <w:tcPr>
            <w:tcW w:w="851" w:type="dxa"/>
            <w:tcBorders>
              <w:left w:val="single" w:sz="6" w:space="0" w:color="FF6600"/>
              <w:right w:val="single" w:sz="6" w:space="0" w:color="FF6600"/>
            </w:tcBorders>
            <w:shd w:val="clear" w:color="auto" w:fill="auto"/>
            <w:vAlign w:val="center"/>
          </w:tcPr>
          <w:p w:rsidR="000C51A4" w:rsidRPr="006E5DF5" w:rsidRDefault="000C51A4" w:rsidP="006E5DF5">
            <w:pPr>
              <w:jc w:val="center"/>
              <w:rPr>
                <w:rFonts w:ascii="楷体" w:eastAsia="楷体" w:hAnsi="楷体"/>
                <w:color w:val="000000"/>
                <w:sz w:val="18"/>
                <w:szCs w:val="18"/>
              </w:rPr>
            </w:pPr>
            <w:r w:rsidRPr="006E5DF5">
              <w:rPr>
                <w:rFonts w:ascii="楷体" w:eastAsia="楷体" w:hAnsi="楷体" w:hint="eastAsia"/>
                <w:color w:val="000000"/>
                <w:sz w:val="18"/>
                <w:szCs w:val="18"/>
              </w:rPr>
              <w:t>开放式</w:t>
            </w:r>
          </w:p>
        </w:tc>
        <w:tc>
          <w:tcPr>
            <w:tcW w:w="850" w:type="dxa"/>
            <w:tcBorders>
              <w:left w:val="single" w:sz="6" w:space="0" w:color="FF6600"/>
            </w:tcBorders>
            <w:shd w:val="clear" w:color="auto" w:fill="auto"/>
            <w:vAlign w:val="center"/>
          </w:tcPr>
          <w:p w:rsidR="000C51A4" w:rsidRPr="006E5DF5" w:rsidRDefault="000C51A4" w:rsidP="006E5DF5">
            <w:pPr>
              <w:jc w:val="center"/>
              <w:rPr>
                <w:rFonts w:ascii="楷体" w:eastAsia="楷体" w:hAnsi="楷体"/>
                <w:color w:val="000000"/>
                <w:sz w:val="18"/>
                <w:szCs w:val="18"/>
              </w:rPr>
            </w:pPr>
            <w:r w:rsidRPr="006E5DF5">
              <w:rPr>
                <w:rFonts w:ascii="楷体" w:eastAsia="楷体" w:hAnsi="楷体" w:hint="eastAsia"/>
                <w:color w:val="000000"/>
                <w:sz w:val="18"/>
                <w:szCs w:val="18"/>
              </w:rPr>
              <w:t>1.63</w:t>
            </w:r>
          </w:p>
        </w:tc>
      </w:tr>
      <w:tr w:rsidR="000C51A4" w:rsidRPr="005B7CDB" w:rsidTr="006E5DF5">
        <w:trPr>
          <w:cantSplit/>
          <w:trHeight w:val="227"/>
        </w:trPr>
        <w:tc>
          <w:tcPr>
            <w:tcW w:w="851" w:type="dxa"/>
            <w:vMerge/>
            <w:tcBorders>
              <w:right w:val="single" w:sz="6" w:space="0" w:color="FF6600"/>
            </w:tcBorders>
            <w:shd w:val="clear" w:color="auto" w:fill="FDE9D9" w:themeFill="accent6" w:themeFillTint="33"/>
            <w:vAlign w:val="center"/>
          </w:tcPr>
          <w:p w:rsidR="000C51A4" w:rsidRPr="005B7CDB" w:rsidRDefault="000C51A4" w:rsidP="000D1136">
            <w:pPr>
              <w:snapToGrid w:val="0"/>
              <w:jc w:val="center"/>
              <w:rPr>
                <w:rFonts w:ascii="楷体" w:eastAsia="楷体" w:hAnsi="楷体"/>
                <w:b/>
                <w:sz w:val="18"/>
                <w:szCs w:val="18"/>
              </w:rPr>
            </w:pPr>
          </w:p>
        </w:tc>
        <w:tc>
          <w:tcPr>
            <w:tcW w:w="851" w:type="dxa"/>
            <w:tcBorders>
              <w:left w:val="single" w:sz="6" w:space="0" w:color="FF6600"/>
              <w:right w:val="single" w:sz="6" w:space="0" w:color="FF6600"/>
            </w:tcBorders>
            <w:shd w:val="clear" w:color="auto" w:fill="auto"/>
            <w:vAlign w:val="center"/>
          </w:tcPr>
          <w:p w:rsidR="000C51A4" w:rsidRPr="006E5DF5" w:rsidRDefault="000C51A4" w:rsidP="006E5DF5">
            <w:pPr>
              <w:jc w:val="center"/>
              <w:rPr>
                <w:rFonts w:ascii="楷体" w:eastAsia="楷体" w:hAnsi="楷体"/>
                <w:color w:val="000000"/>
                <w:sz w:val="18"/>
                <w:szCs w:val="18"/>
              </w:rPr>
            </w:pPr>
            <w:r w:rsidRPr="006E5DF5">
              <w:rPr>
                <w:rFonts w:ascii="楷体" w:eastAsia="楷体" w:hAnsi="楷体" w:hint="eastAsia"/>
                <w:color w:val="000000"/>
                <w:sz w:val="18"/>
                <w:szCs w:val="18"/>
              </w:rPr>
              <w:t>240001</w:t>
            </w:r>
          </w:p>
        </w:tc>
        <w:tc>
          <w:tcPr>
            <w:tcW w:w="1984" w:type="dxa"/>
            <w:tcBorders>
              <w:left w:val="single" w:sz="6" w:space="0" w:color="FF6600"/>
              <w:right w:val="single" w:sz="6" w:space="0" w:color="FF6600"/>
            </w:tcBorders>
            <w:shd w:val="clear" w:color="auto" w:fill="auto"/>
            <w:vAlign w:val="center"/>
          </w:tcPr>
          <w:p w:rsidR="000C51A4" w:rsidRPr="006E5DF5" w:rsidRDefault="000C51A4" w:rsidP="006E5DF5">
            <w:pPr>
              <w:jc w:val="center"/>
              <w:rPr>
                <w:rFonts w:ascii="楷体" w:eastAsia="楷体" w:hAnsi="楷体"/>
                <w:color w:val="000000"/>
                <w:sz w:val="18"/>
                <w:szCs w:val="18"/>
              </w:rPr>
            </w:pPr>
            <w:r w:rsidRPr="006E5DF5">
              <w:rPr>
                <w:rFonts w:ascii="楷体" w:eastAsia="楷体" w:hAnsi="楷体" w:hint="eastAsia"/>
                <w:color w:val="000000"/>
                <w:sz w:val="18"/>
                <w:szCs w:val="18"/>
              </w:rPr>
              <w:t>华宝兴业宝康消费品</w:t>
            </w:r>
          </w:p>
        </w:tc>
        <w:tc>
          <w:tcPr>
            <w:tcW w:w="851" w:type="dxa"/>
            <w:tcBorders>
              <w:left w:val="single" w:sz="6" w:space="0" w:color="FF6600"/>
              <w:right w:val="single" w:sz="6" w:space="0" w:color="FF6600"/>
            </w:tcBorders>
            <w:shd w:val="clear" w:color="auto" w:fill="auto"/>
            <w:vAlign w:val="center"/>
          </w:tcPr>
          <w:p w:rsidR="000C51A4" w:rsidRPr="006E5DF5" w:rsidRDefault="000C51A4" w:rsidP="006E5DF5">
            <w:pPr>
              <w:jc w:val="center"/>
              <w:rPr>
                <w:rFonts w:ascii="楷体" w:eastAsia="楷体" w:hAnsi="楷体"/>
                <w:color w:val="000000"/>
                <w:sz w:val="18"/>
                <w:szCs w:val="18"/>
              </w:rPr>
            </w:pPr>
            <w:r w:rsidRPr="006E5DF5">
              <w:rPr>
                <w:rFonts w:ascii="楷体" w:eastAsia="楷体" w:hAnsi="楷体" w:hint="eastAsia"/>
                <w:color w:val="000000"/>
                <w:sz w:val="18"/>
                <w:szCs w:val="18"/>
              </w:rPr>
              <w:t>开放式</w:t>
            </w:r>
          </w:p>
        </w:tc>
        <w:tc>
          <w:tcPr>
            <w:tcW w:w="991" w:type="dxa"/>
            <w:tcBorders>
              <w:left w:val="single" w:sz="6" w:space="0" w:color="FF6600"/>
              <w:right w:val="single" w:sz="6" w:space="0" w:color="FF6600"/>
            </w:tcBorders>
            <w:shd w:val="clear" w:color="auto" w:fill="auto"/>
            <w:vAlign w:val="center"/>
          </w:tcPr>
          <w:p w:rsidR="000C51A4" w:rsidRPr="006E5DF5" w:rsidRDefault="000C51A4" w:rsidP="006E5DF5">
            <w:pPr>
              <w:jc w:val="center"/>
              <w:rPr>
                <w:rFonts w:ascii="楷体" w:eastAsia="楷体" w:hAnsi="楷体"/>
                <w:color w:val="000000"/>
                <w:sz w:val="18"/>
                <w:szCs w:val="18"/>
              </w:rPr>
            </w:pPr>
            <w:r w:rsidRPr="006E5DF5">
              <w:rPr>
                <w:rFonts w:ascii="楷体" w:eastAsia="楷体" w:hAnsi="楷体" w:hint="eastAsia"/>
                <w:color w:val="000000"/>
                <w:sz w:val="18"/>
                <w:szCs w:val="18"/>
              </w:rPr>
              <w:t>1.09</w:t>
            </w:r>
          </w:p>
        </w:tc>
        <w:tc>
          <w:tcPr>
            <w:tcW w:w="993" w:type="dxa"/>
            <w:vMerge/>
            <w:tcBorders>
              <w:left w:val="single" w:sz="6" w:space="0" w:color="FF6600"/>
              <w:right w:val="single" w:sz="6" w:space="0" w:color="FF6600"/>
            </w:tcBorders>
            <w:shd w:val="clear" w:color="auto" w:fill="FDE9D9" w:themeFill="accent6" w:themeFillTint="33"/>
            <w:vAlign w:val="center"/>
          </w:tcPr>
          <w:p w:rsidR="000C51A4" w:rsidRPr="005B7CDB" w:rsidRDefault="000C51A4" w:rsidP="000D1136">
            <w:pPr>
              <w:snapToGrid w:val="0"/>
              <w:jc w:val="center"/>
              <w:rPr>
                <w:rFonts w:ascii="楷体" w:eastAsia="楷体" w:hAnsi="楷体"/>
                <w:b/>
                <w:sz w:val="18"/>
                <w:szCs w:val="18"/>
              </w:rPr>
            </w:pPr>
          </w:p>
        </w:tc>
        <w:tc>
          <w:tcPr>
            <w:tcW w:w="992" w:type="dxa"/>
            <w:tcBorders>
              <w:left w:val="single" w:sz="6" w:space="0" w:color="FF6600"/>
              <w:right w:val="single" w:sz="6" w:space="0" w:color="FF6600"/>
            </w:tcBorders>
            <w:shd w:val="clear" w:color="auto" w:fill="auto"/>
            <w:vAlign w:val="center"/>
          </w:tcPr>
          <w:p w:rsidR="000C51A4" w:rsidRPr="006E5DF5" w:rsidRDefault="000C51A4" w:rsidP="006E5DF5">
            <w:pPr>
              <w:jc w:val="center"/>
              <w:rPr>
                <w:rFonts w:ascii="楷体" w:eastAsia="楷体" w:hAnsi="楷体"/>
                <w:color w:val="000000"/>
                <w:sz w:val="18"/>
                <w:szCs w:val="18"/>
              </w:rPr>
            </w:pPr>
            <w:r w:rsidRPr="006E5DF5">
              <w:rPr>
                <w:rFonts w:ascii="楷体" w:eastAsia="楷体" w:hAnsi="楷体" w:hint="eastAsia"/>
                <w:color w:val="000000"/>
                <w:sz w:val="18"/>
                <w:szCs w:val="18"/>
              </w:rPr>
              <w:t>481</w:t>
            </w:r>
          </w:p>
        </w:tc>
        <w:tc>
          <w:tcPr>
            <w:tcW w:w="1843" w:type="dxa"/>
            <w:tcBorders>
              <w:left w:val="single" w:sz="6" w:space="0" w:color="FF6600"/>
              <w:right w:val="single" w:sz="6" w:space="0" w:color="FF6600"/>
            </w:tcBorders>
            <w:shd w:val="clear" w:color="auto" w:fill="auto"/>
            <w:vAlign w:val="center"/>
          </w:tcPr>
          <w:p w:rsidR="000C51A4" w:rsidRPr="006E5DF5" w:rsidRDefault="000C51A4" w:rsidP="006E5DF5">
            <w:pPr>
              <w:jc w:val="center"/>
              <w:rPr>
                <w:rFonts w:ascii="楷体" w:eastAsia="楷体" w:hAnsi="楷体"/>
                <w:color w:val="000000"/>
                <w:sz w:val="18"/>
                <w:szCs w:val="18"/>
              </w:rPr>
            </w:pPr>
            <w:proofErr w:type="gramStart"/>
            <w:r w:rsidRPr="006E5DF5">
              <w:rPr>
                <w:rFonts w:ascii="楷体" w:eastAsia="楷体" w:hAnsi="楷体" w:hint="eastAsia"/>
                <w:color w:val="000000"/>
                <w:sz w:val="18"/>
                <w:szCs w:val="18"/>
              </w:rPr>
              <w:t>华商双债</w:t>
            </w:r>
            <w:proofErr w:type="gramEnd"/>
            <w:r w:rsidRPr="006E5DF5">
              <w:rPr>
                <w:rFonts w:ascii="楷体" w:eastAsia="楷体" w:hAnsi="楷体" w:hint="eastAsia"/>
                <w:color w:val="000000"/>
                <w:sz w:val="18"/>
                <w:szCs w:val="18"/>
              </w:rPr>
              <w:t>丰利C</w:t>
            </w:r>
          </w:p>
        </w:tc>
        <w:tc>
          <w:tcPr>
            <w:tcW w:w="851" w:type="dxa"/>
            <w:tcBorders>
              <w:left w:val="single" w:sz="6" w:space="0" w:color="FF6600"/>
              <w:right w:val="single" w:sz="6" w:space="0" w:color="FF6600"/>
            </w:tcBorders>
            <w:shd w:val="clear" w:color="auto" w:fill="auto"/>
            <w:vAlign w:val="center"/>
          </w:tcPr>
          <w:p w:rsidR="000C51A4" w:rsidRPr="006E5DF5" w:rsidRDefault="000C51A4" w:rsidP="006E5DF5">
            <w:pPr>
              <w:jc w:val="center"/>
              <w:rPr>
                <w:rFonts w:ascii="楷体" w:eastAsia="楷体" w:hAnsi="楷体"/>
                <w:color w:val="000000"/>
                <w:sz w:val="18"/>
                <w:szCs w:val="18"/>
              </w:rPr>
            </w:pPr>
            <w:r w:rsidRPr="006E5DF5">
              <w:rPr>
                <w:rFonts w:ascii="楷体" w:eastAsia="楷体" w:hAnsi="楷体" w:hint="eastAsia"/>
                <w:color w:val="000000"/>
                <w:sz w:val="18"/>
                <w:szCs w:val="18"/>
              </w:rPr>
              <w:t>开放式</w:t>
            </w:r>
          </w:p>
        </w:tc>
        <w:tc>
          <w:tcPr>
            <w:tcW w:w="850" w:type="dxa"/>
            <w:tcBorders>
              <w:left w:val="single" w:sz="6" w:space="0" w:color="FF6600"/>
            </w:tcBorders>
            <w:shd w:val="clear" w:color="auto" w:fill="auto"/>
            <w:vAlign w:val="center"/>
          </w:tcPr>
          <w:p w:rsidR="000C51A4" w:rsidRPr="006E5DF5" w:rsidRDefault="000C51A4" w:rsidP="006E5DF5">
            <w:pPr>
              <w:jc w:val="center"/>
              <w:rPr>
                <w:rFonts w:ascii="楷体" w:eastAsia="楷体" w:hAnsi="楷体"/>
                <w:color w:val="000000"/>
                <w:sz w:val="18"/>
                <w:szCs w:val="18"/>
              </w:rPr>
            </w:pPr>
            <w:r w:rsidRPr="006E5DF5">
              <w:rPr>
                <w:rFonts w:ascii="楷体" w:eastAsia="楷体" w:hAnsi="楷体" w:hint="eastAsia"/>
                <w:color w:val="000000"/>
                <w:sz w:val="18"/>
                <w:szCs w:val="18"/>
              </w:rPr>
              <w:t>1.54</w:t>
            </w:r>
          </w:p>
        </w:tc>
      </w:tr>
      <w:tr w:rsidR="000C51A4" w:rsidRPr="005B7CDB" w:rsidTr="006E5DF5">
        <w:trPr>
          <w:cantSplit/>
          <w:trHeight w:val="227"/>
        </w:trPr>
        <w:tc>
          <w:tcPr>
            <w:tcW w:w="851" w:type="dxa"/>
            <w:vMerge/>
            <w:tcBorders>
              <w:right w:val="single" w:sz="6" w:space="0" w:color="FF6600"/>
            </w:tcBorders>
            <w:shd w:val="clear" w:color="auto" w:fill="FDE9D9" w:themeFill="accent6" w:themeFillTint="33"/>
            <w:vAlign w:val="center"/>
          </w:tcPr>
          <w:p w:rsidR="000C51A4" w:rsidRPr="005B7CDB" w:rsidRDefault="000C51A4" w:rsidP="000D1136">
            <w:pPr>
              <w:snapToGrid w:val="0"/>
              <w:jc w:val="center"/>
              <w:rPr>
                <w:rFonts w:ascii="楷体" w:eastAsia="楷体" w:hAnsi="楷体"/>
                <w:b/>
                <w:sz w:val="18"/>
                <w:szCs w:val="18"/>
              </w:rPr>
            </w:pPr>
          </w:p>
        </w:tc>
        <w:tc>
          <w:tcPr>
            <w:tcW w:w="851" w:type="dxa"/>
            <w:tcBorders>
              <w:left w:val="single" w:sz="6" w:space="0" w:color="FF6600"/>
              <w:right w:val="single" w:sz="6" w:space="0" w:color="FF6600"/>
            </w:tcBorders>
            <w:shd w:val="clear" w:color="auto" w:fill="auto"/>
            <w:vAlign w:val="center"/>
          </w:tcPr>
          <w:p w:rsidR="000C51A4" w:rsidRPr="006E5DF5" w:rsidRDefault="000C51A4" w:rsidP="006E5DF5">
            <w:pPr>
              <w:jc w:val="center"/>
              <w:rPr>
                <w:rFonts w:ascii="楷体" w:eastAsia="楷体" w:hAnsi="楷体"/>
                <w:color w:val="000000"/>
                <w:sz w:val="18"/>
                <w:szCs w:val="18"/>
              </w:rPr>
            </w:pPr>
            <w:r w:rsidRPr="006E5DF5">
              <w:rPr>
                <w:rFonts w:ascii="楷体" w:eastAsia="楷体" w:hAnsi="楷体" w:hint="eastAsia"/>
                <w:color w:val="000000"/>
                <w:sz w:val="18"/>
                <w:szCs w:val="18"/>
              </w:rPr>
              <w:t>166002</w:t>
            </w:r>
          </w:p>
        </w:tc>
        <w:tc>
          <w:tcPr>
            <w:tcW w:w="1984" w:type="dxa"/>
            <w:tcBorders>
              <w:left w:val="single" w:sz="6" w:space="0" w:color="FF6600"/>
              <w:right w:val="single" w:sz="6" w:space="0" w:color="FF6600"/>
            </w:tcBorders>
            <w:shd w:val="clear" w:color="auto" w:fill="auto"/>
            <w:vAlign w:val="center"/>
          </w:tcPr>
          <w:p w:rsidR="000C51A4" w:rsidRPr="006E5DF5" w:rsidRDefault="000C51A4" w:rsidP="006E5DF5">
            <w:pPr>
              <w:jc w:val="center"/>
              <w:rPr>
                <w:rFonts w:ascii="楷体" w:eastAsia="楷体" w:hAnsi="楷体"/>
                <w:color w:val="000000"/>
                <w:sz w:val="18"/>
                <w:szCs w:val="18"/>
              </w:rPr>
            </w:pPr>
            <w:r w:rsidRPr="006E5DF5">
              <w:rPr>
                <w:rFonts w:ascii="楷体" w:eastAsia="楷体" w:hAnsi="楷体" w:hint="eastAsia"/>
                <w:color w:val="000000"/>
                <w:sz w:val="18"/>
                <w:szCs w:val="18"/>
              </w:rPr>
              <w:t>中欧新蓝筹</w:t>
            </w:r>
          </w:p>
        </w:tc>
        <w:tc>
          <w:tcPr>
            <w:tcW w:w="851" w:type="dxa"/>
            <w:tcBorders>
              <w:left w:val="single" w:sz="6" w:space="0" w:color="FF6600"/>
              <w:right w:val="single" w:sz="6" w:space="0" w:color="FF6600"/>
            </w:tcBorders>
            <w:shd w:val="clear" w:color="auto" w:fill="auto"/>
            <w:vAlign w:val="center"/>
          </w:tcPr>
          <w:p w:rsidR="000C51A4" w:rsidRPr="006E5DF5" w:rsidRDefault="000C51A4" w:rsidP="006E5DF5">
            <w:pPr>
              <w:jc w:val="center"/>
              <w:rPr>
                <w:rFonts w:ascii="楷体" w:eastAsia="楷体" w:hAnsi="楷体"/>
                <w:color w:val="000000"/>
                <w:sz w:val="18"/>
                <w:szCs w:val="18"/>
              </w:rPr>
            </w:pPr>
            <w:r w:rsidRPr="006E5DF5">
              <w:rPr>
                <w:rFonts w:ascii="楷体" w:eastAsia="楷体" w:hAnsi="楷体" w:hint="eastAsia"/>
                <w:color w:val="000000"/>
                <w:sz w:val="18"/>
                <w:szCs w:val="18"/>
              </w:rPr>
              <w:t>开放式</w:t>
            </w:r>
          </w:p>
        </w:tc>
        <w:tc>
          <w:tcPr>
            <w:tcW w:w="991" w:type="dxa"/>
            <w:tcBorders>
              <w:left w:val="single" w:sz="6" w:space="0" w:color="FF6600"/>
              <w:right w:val="single" w:sz="6" w:space="0" w:color="FF6600"/>
            </w:tcBorders>
            <w:shd w:val="clear" w:color="auto" w:fill="auto"/>
            <w:vAlign w:val="center"/>
          </w:tcPr>
          <w:p w:rsidR="000C51A4" w:rsidRPr="006E5DF5" w:rsidRDefault="000C51A4" w:rsidP="006E5DF5">
            <w:pPr>
              <w:jc w:val="center"/>
              <w:rPr>
                <w:rFonts w:ascii="楷体" w:eastAsia="楷体" w:hAnsi="楷体"/>
                <w:color w:val="000000"/>
                <w:sz w:val="18"/>
                <w:szCs w:val="18"/>
              </w:rPr>
            </w:pPr>
            <w:r w:rsidRPr="006E5DF5">
              <w:rPr>
                <w:rFonts w:ascii="楷体" w:eastAsia="楷体" w:hAnsi="楷体" w:hint="eastAsia"/>
                <w:color w:val="000000"/>
                <w:sz w:val="18"/>
                <w:szCs w:val="18"/>
              </w:rPr>
              <w:t>0.96</w:t>
            </w:r>
          </w:p>
        </w:tc>
        <w:tc>
          <w:tcPr>
            <w:tcW w:w="993" w:type="dxa"/>
            <w:vMerge/>
            <w:tcBorders>
              <w:left w:val="single" w:sz="6" w:space="0" w:color="FF6600"/>
              <w:right w:val="single" w:sz="6" w:space="0" w:color="FF6600"/>
            </w:tcBorders>
            <w:shd w:val="clear" w:color="auto" w:fill="FDE9D9" w:themeFill="accent6" w:themeFillTint="33"/>
            <w:vAlign w:val="center"/>
          </w:tcPr>
          <w:p w:rsidR="000C51A4" w:rsidRPr="005B7CDB" w:rsidRDefault="000C51A4" w:rsidP="000D1136">
            <w:pPr>
              <w:snapToGrid w:val="0"/>
              <w:jc w:val="center"/>
              <w:rPr>
                <w:rFonts w:ascii="楷体" w:eastAsia="楷体" w:hAnsi="楷体"/>
                <w:b/>
                <w:sz w:val="18"/>
                <w:szCs w:val="18"/>
              </w:rPr>
            </w:pPr>
          </w:p>
        </w:tc>
        <w:tc>
          <w:tcPr>
            <w:tcW w:w="992" w:type="dxa"/>
            <w:tcBorders>
              <w:left w:val="single" w:sz="6" w:space="0" w:color="FF6600"/>
              <w:right w:val="single" w:sz="6" w:space="0" w:color="FF6600"/>
            </w:tcBorders>
            <w:shd w:val="clear" w:color="auto" w:fill="auto"/>
            <w:vAlign w:val="center"/>
          </w:tcPr>
          <w:p w:rsidR="000C51A4" w:rsidRPr="006E5DF5" w:rsidRDefault="000C51A4" w:rsidP="006E5DF5">
            <w:pPr>
              <w:jc w:val="center"/>
              <w:rPr>
                <w:rFonts w:ascii="楷体" w:eastAsia="楷体" w:hAnsi="楷体"/>
                <w:color w:val="000000"/>
                <w:sz w:val="18"/>
                <w:szCs w:val="18"/>
              </w:rPr>
            </w:pPr>
            <w:r w:rsidRPr="006E5DF5">
              <w:rPr>
                <w:rFonts w:ascii="楷体" w:eastAsia="楷体" w:hAnsi="楷体" w:hint="eastAsia"/>
                <w:color w:val="000000"/>
                <w:sz w:val="18"/>
                <w:szCs w:val="18"/>
              </w:rPr>
              <w:t>217008</w:t>
            </w:r>
          </w:p>
        </w:tc>
        <w:tc>
          <w:tcPr>
            <w:tcW w:w="1843" w:type="dxa"/>
            <w:tcBorders>
              <w:left w:val="single" w:sz="6" w:space="0" w:color="FF6600"/>
              <w:right w:val="single" w:sz="6" w:space="0" w:color="FF6600"/>
            </w:tcBorders>
            <w:shd w:val="clear" w:color="auto" w:fill="auto"/>
            <w:vAlign w:val="center"/>
          </w:tcPr>
          <w:p w:rsidR="000C51A4" w:rsidRPr="006E5DF5" w:rsidRDefault="000C51A4" w:rsidP="006E5DF5">
            <w:pPr>
              <w:jc w:val="center"/>
              <w:rPr>
                <w:rFonts w:ascii="楷体" w:eastAsia="楷体" w:hAnsi="楷体"/>
                <w:color w:val="000000"/>
                <w:sz w:val="18"/>
                <w:szCs w:val="18"/>
              </w:rPr>
            </w:pPr>
            <w:proofErr w:type="gramStart"/>
            <w:r w:rsidRPr="006E5DF5">
              <w:rPr>
                <w:rFonts w:ascii="楷体" w:eastAsia="楷体" w:hAnsi="楷体" w:hint="eastAsia"/>
                <w:color w:val="000000"/>
                <w:sz w:val="18"/>
                <w:szCs w:val="18"/>
              </w:rPr>
              <w:t>招商安本增利</w:t>
            </w:r>
            <w:proofErr w:type="gramEnd"/>
          </w:p>
        </w:tc>
        <w:tc>
          <w:tcPr>
            <w:tcW w:w="851" w:type="dxa"/>
            <w:tcBorders>
              <w:left w:val="single" w:sz="6" w:space="0" w:color="FF6600"/>
              <w:right w:val="single" w:sz="6" w:space="0" w:color="FF6600"/>
            </w:tcBorders>
            <w:shd w:val="clear" w:color="auto" w:fill="auto"/>
            <w:vAlign w:val="center"/>
          </w:tcPr>
          <w:p w:rsidR="000C51A4" w:rsidRPr="006E5DF5" w:rsidRDefault="000C51A4" w:rsidP="006E5DF5">
            <w:pPr>
              <w:jc w:val="center"/>
              <w:rPr>
                <w:rFonts w:ascii="楷体" w:eastAsia="楷体" w:hAnsi="楷体"/>
                <w:color w:val="000000"/>
                <w:sz w:val="18"/>
                <w:szCs w:val="18"/>
              </w:rPr>
            </w:pPr>
            <w:r w:rsidRPr="006E5DF5">
              <w:rPr>
                <w:rFonts w:ascii="楷体" w:eastAsia="楷体" w:hAnsi="楷体" w:hint="eastAsia"/>
                <w:color w:val="000000"/>
                <w:sz w:val="18"/>
                <w:szCs w:val="18"/>
              </w:rPr>
              <w:t>开放式</w:t>
            </w:r>
          </w:p>
        </w:tc>
        <w:tc>
          <w:tcPr>
            <w:tcW w:w="850" w:type="dxa"/>
            <w:tcBorders>
              <w:left w:val="single" w:sz="6" w:space="0" w:color="FF6600"/>
            </w:tcBorders>
            <w:shd w:val="clear" w:color="auto" w:fill="auto"/>
            <w:vAlign w:val="center"/>
          </w:tcPr>
          <w:p w:rsidR="000C51A4" w:rsidRPr="006E5DF5" w:rsidRDefault="000C51A4" w:rsidP="006E5DF5">
            <w:pPr>
              <w:jc w:val="center"/>
              <w:rPr>
                <w:rFonts w:ascii="楷体" w:eastAsia="楷体" w:hAnsi="楷体"/>
                <w:color w:val="000000"/>
                <w:sz w:val="18"/>
                <w:szCs w:val="18"/>
              </w:rPr>
            </w:pPr>
            <w:r w:rsidRPr="006E5DF5">
              <w:rPr>
                <w:rFonts w:ascii="楷体" w:eastAsia="楷体" w:hAnsi="楷体" w:hint="eastAsia"/>
                <w:color w:val="000000"/>
                <w:sz w:val="18"/>
                <w:szCs w:val="18"/>
              </w:rPr>
              <w:t>1.29</w:t>
            </w:r>
          </w:p>
        </w:tc>
      </w:tr>
      <w:tr w:rsidR="00A162FE" w:rsidRPr="005B7CDB" w:rsidTr="006E5DF5">
        <w:trPr>
          <w:cantSplit/>
          <w:trHeight w:val="227"/>
        </w:trPr>
        <w:tc>
          <w:tcPr>
            <w:tcW w:w="851" w:type="dxa"/>
            <w:vMerge w:val="restart"/>
            <w:tcBorders>
              <w:right w:val="single" w:sz="6" w:space="0" w:color="FF6600"/>
            </w:tcBorders>
            <w:shd w:val="clear" w:color="auto" w:fill="FDE9D9" w:themeFill="accent6" w:themeFillTint="33"/>
            <w:vAlign w:val="center"/>
          </w:tcPr>
          <w:p w:rsidR="00A162FE" w:rsidRPr="005B7CDB" w:rsidRDefault="00A162FE" w:rsidP="00884478">
            <w:pPr>
              <w:snapToGrid w:val="0"/>
              <w:jc w:val="center"/>
              <w:rPr>
                <w:rFonts w:ascii="楷体" w:eastAsia="楷体" w:hAnsi="楷体"/>
                <w:b/>
                <w:bCs/>
                <w:color w:val="000000"/>
                <w:sz w:val="18"/>
                <w:szCs w:val="18"/>
              </w:rPr>
            </w:pPr>
            <w:r w:rsidRPr="005B7CDB">
              <w:rPr>
                <w:rFonts w:ascii="楷体" w:eastAsia="楷体" w:hAnsi="楷体" w:hint="eastAsia"/>
                <w:b/>
                <w:bCs/>
                <w:color w:val="000000"/>
                <w:sz w:val="18"/>
                <w:szCs w:val="18"/>
              </w:rPr>
              <w:t>混合-</w:t>
            </w:r>
          </w:p>
          <w:p w:rsidR="00A162FE" w:rsidRPr="005B7CDB" w:rsidRDefault="00A162FE" w:rsidP="00884478">
            <w:pPr>
              <w:snapToGrid w:val="0"/>
              <w:jc w:val="center"/>
              <w:rPr>
                <w:rFonts w:ascii="楷体" w:eastAsia="楷体" w:hAnsi="楷体"/>
                <w:b/>
                <w:sz w:val="18"/>
                <w:szCs w:val="18"/>
              </w:rPr>
            </w:pPr>
            <w:proofErr w:type="gramStart"/>
            <w:r w:rsidRPr="005B7CDB">
              <w:rPr>
                <w:rFonts w:ascii="楷体" w:eastAsia="楷体" w:hAnsi="楷体" w:hint="eastAsia"/>
                <w:b/>
                <w:bCs/>
                <w:color w:val="000000"/>
                <w:sz w:val="18"/>
                <w:szCs w:val="18"/>
              </w:rPr>
              <w:t>偏债型</w:t>
            </w:r>
            <w:proofErr w:type="gramEnd"/>
          </w:p>
        </w:tc>
        <w:tc>
          <w:tcPr>
            <w:tcW w:w="851" w:type="dxa"/>
            <w:tcBorders>
              <w:left w:val="single" w:sz="6" w:space="0" w:color="FF6600"/>
              <w:right w:val="single" w:sz="6" w:space="0" w:color="FF6600"/>
            </w:tcBorders>
            <w:shd w:val="clear" w:color="auto" w:fill="auto"/>
            <w:vAlign w:val="center"/>
          </w:tcPr>
          <w:p w:rsidR="00A162FE" w:rsidRPr="006E5DF5" w:rsidRDefault="00A162FE" w:rsidP="006E5DF5">
            <w:pPr>
              <w:jc w:val="center"/>
              <w:rPr>
                <w:rFonts w:ascii="楷体" w:eastAsia="楷体" w:hAnsi="楷体"/>
                <w:color w:val="000000"/>
                <w:sz w:val="18"/>
                <w:szCs w:val="18"/>
              </w:rPr>
            </w:pPr>
            <w:r w:rsidRPr="006E5DF5">
              <w:rPr>
                <w:rFonts w:ascii="楷体" w:eastAsia="楷体" w:hAnsi="楷体" w:hint="eastAsia"/>
                <w:color w:val="000000"/>
                <w:sz w:val="18"/>
                <w:szCs w:val="18"/>
              </w:rPr>
              <w:t>125</w:t>
            </w:r>
          </w:p>
        </w:tc>
        <w:tc>
          <w:tcPr>
            <w:tcW w:w="1984" w:type="dxa"/>
            <w:tcBorders>
              <w:left w:val="single" w:sz="6" w:space="0" w:color="FF6600"/>
              <w:right w:val="single" w:sz="6" w:space="0" w:color="FF6600"/>
            </w:tcBorders>
            <w:shd w:val="clear" w:color="auto" w:fill="auto"/>
            <w:vAlign w:val="center"/>
          </w:tcPr>
          <w:p w:rsidR="00A162FE" w:rsidRPr="006E5DF5" w:rsidRDefault="00A162FE" w:rsidP="006E5DF5">
            <w:pPr>
              <w:jc w:val="center"/>
              <w:rPr>
                <w:rFonts w:ascii="楷体" w:eastAsia="楷体" w:hAnsi="楷体"/>
                <w:color w:val="000000"/>
                <w:sz w:val="18"/>
                <w:szCs w:val="18"/>
              </w:rPr>
            </w:pPr>
            <w:r w:rsidRPr="006E5DF5">
              <w:rPr>
                <w:rFonts w:ascii="楷体" w:eastAsia="楷体" w:hAnsi="楷体" w:hint="eastAsia"/>
                <w:color w:val="000000"/>
                <w:sz w:val="18"/>
                <w:szCs w:val="18"/>
              </w:rPr>
              <w:t>上投摩根天</w:t>
            </w:r>
            <w:proofErr w:type="gramStart"/>
            <w:r w:rsidRPr="006E5DF5">
              <w:rPr>
                <w:rFonts w:ascii="楷体" w:eastAsia="楷体" w:hAnsi="楷体" w:hint="eastAsia"/>
                <w:color w:val="000000"/>
                <w:sz w:val="18"/>
                <w:szCs w:val="18"/>
              </w:rPr>
              <w:t>颐</w:t>
            </w:r>
            <w:proofErr w:type="gramEnd"/>
            <w:r w:rsidRPr="006E5DF5">
              <w:rPr>
                <w:rFonts w:ascii="楷体" w:eastAsia="楷体" w:hAnsi="楷体" w:hint="eastAsia"/>
                <w:color w:val="000000"/>
                <w:sz w:val="18"/>
                <w:szCs w:val="18"/>
              </w:rPr>
              <w:t>年丰</w:t>
            </w:r>
          </w:p>
        </w:tc>
        <w:tc>
          <w:tcPr>
            <w:tcW w:w="851" w:type="dxa"/>
            <w:tcBorders>
              <w:left w:val="single" w:sz="6" w:space="0" w:color="FF6600"/>
              <w:right w:val="single" w:sz="6" w:space="0" w:color="FF6600"/>
            </w:tcBorders>
            <w:shd w:val="clear" w:color="auto" w:fill="auto"/>
            <w:vAlign w:val="center"/>
          </w:tcPr>
          <w:p w:rsidR="00A162FE" w:rsidRPr="006E5DF5" w:rsidRDefault="00A162FE" w:rsidP="006E5DF5">
            <w:pPr>
              <w:jc w:val="center"/>
              <w:rPr>
                <w:rFonts w:ascii="楷体" w:eastAsia="楷体" w:hAnsi="楷体"/>
                <w:color w:val="000000"/>
                <w:sz w:val="18"/>
                <w:szCs w:val="18"/>
              </w:rPr>
            </w:pPr>
            <w:r w:rsidRPr="006E5DF5">
              <w:rPr>
                <w:rFonts w:ascii="楷体" w:eastAsia="楷体" w:hAnsi="楷体" w:hint="eastAsia"/>
                <w:color w:val="000000"/>
                <w:sz w:val="18"/>
                <w:szCs w:val="18"/>
              </w:rPr>
              <w:t>开放式</w:t>
            </w:r>
          </w:p>
        </w:tc>
        <w:tc>
          <w:tcPr>
            <w:tcW w:w="991" w:type="dxa"/>
            <w:tcBorders>
              <w:left w:val="single" w:sz="6" w:space="0" w:color="FF6600"/>
              <w:right w:val="single" w:sz="6" w:space="0" w:color="FF6600"/>
            </w:tcBorders>
            <w:shd w:val="clear" w:color="auto" w:fill="auto"/>
            <w:vAlign w:val="center"/>
          </w:tcPr>
          <w:p w:rsidR="00A162FE" w:rsidRPr="006E5DF5" w:rsidRDefault="00A162FE" w:rsidP="006E5DF5">
            <w:pPr>
              <w:jc w:val="center"/>
              <w:rPr>
                <w:rFonts w:ascii="楷体" w:eastAsia="楷体" w:hAnsi="楷体"/>
                <w:color w:val="000000"/>
                <w:sz w:val="18"/>
                <w:szCs w:val="18"/>
              </w:rPr>
            </w:pPr>
            <w:r w:rsidRPr="006E5DF5">
              <w:rPr>
                <w:rFonts w:ascii="楷体" w:eastAsia="楷体" w:hAnsi="楷体" w:hint="eastAsia"/>
                <w:color w:val="000000"/>
                <w:sz w:val="18"/>
                <w:szCs w:val="18"/>
              </w:rPr>
              <w:t>0.78</w:t>
            </w:r>
          </w:p>
        </w:tc>
        <w:tc>
          <w:tcPr>
            <w:tcW w:w="993" w:type="dxa"/>
            <w:vMerge w:val="restart"/>
            <w:tcBorders>
              <w:left w:val="single" w:sz="6" w:space="0" w:color="FF6600"/>
              <w:right w:val="single" w:sz="6" w:space="0" w:color="FF6600"/>
            </w:tcBorders>
            <w:shd w:val="clear" w:color="auto" w:fill="FDE9D9" w:themeFill="accent6" w:themeFillTint="33"/>
            <w:vAlign w:val="center"/>
          </w:tcPr>
          <w:p w:rsidR="00A162FE" w:rsidRPr="005B7CDB" w:rsidRDefault="00A162FE" w:rsidP="00884478">
            <w:pPr>
              <w:snapToGrid w:val="0"/>
              <w:jc w:val="center"/>
              <w:rPr>
                <w:rFonts w:ascii="楷体" w:eastAsia="楷体" w:hAnsi="楷体"/>
                <w:b/>
                <w:bCs/>
                <w:color w:val="000000"/>
                <w:sz w:val="18"/>
                <w:szCs w:val="18"/>
              </w:rPr>
            </w:pPr>
            <w:r w:rsidRPr="005B7CDB">
              <w:rPr>
                <w:rFonts w:ascii="楷体" w:eastAsia="楷体" w:hAnsi="楷体" w:hint="eastAsia"/>
                <w:b/>
                <w:bCs/>
                <w:color w:val="000000"/>
                <w:sz w:val="18"/>
                <w:szCs w:val="18"/>
              </w:rPr>
              <w:t>债券-</w:t>
            </w:r>
          </w:p>
          <w:p w:rsidR="00A162FE" w:rsidRPr="005B7CDB" w:rsidRDefault="00A162FE" w:rsidP="00884478">
            <w:pPr>
              <w:snapToGrid w:val="0"/>
              <w:jc w:val="center"/>
              <w:rPr>
                <w:rFonts w:ascii="楷体" w:eastAsia="楷体" w:hAnsi="楷体" w:cs="宋体"/>
                <w:b/>
                <w:bCs/>
                <w:color w:val="000000"/>
                <w:sz w:val="18"/>
                <w:szCs w:val="18"/>
              </w:rPr>
            </w:pPr>
            <w:proofErr w:type="gramStart"/>
            <w:r w:rsidRPr="005B7CDB">
              <w:rPr>
                <w:rFonts w:ascii="楷体" w:eastAsia="楷体" w:hAnsi="楷体" w:hint="eastAsia"/>
                <w:b/>
                <w:bCs/>
                <w:color w:val="000000"/>
                <w:sz w:val="18"/>
                <w:szCs w:val="18"/>
              </w:rPr>
              <w:t>理财债基</w:t>
            </w:r>
            <w:proofErr w:type="gramEnd"/>
          </w:p>
        </w:tc>
        <w:tc>
          <w:tcPr>
            <w:tcW w:w="992" w:type="dxa"/>
            <w:tcBorders>
              <w:left w:val="single" w:sz="6" w:space="0" w:color="FF6600"/>
              <w:right w:val="single" w:sz="6" w:space="0" w:color="FF6600"/>
            </w:tcBorders>
            <w:shd w:val="clear" w:color="auto" w:fill="auto"/>
            <w:vAlign w:val="center"/>
          </w:tcPr>
          <w:p w:rsidR="00A162FE" w:rsidRPr="006E5DF5" w:rsidRDefault="00A162FE" w:rsidP="006E5DF5">
            <w:pPr>
              <w:jc w:val="center"/>
              <w:rPr>
                <w:rFonts w:ascii="楷体" w:eastAsia="楷体" w:hAnsi="楷体"/>
                <w:color w:val="000000"/>
                <w:sz w:val="18"/>
                <w:szCs w:val="18"/>
              </w:rPr>
            </w:pPr>
            <w:r w:rsidRPr="006E5DF5">
              <w:rPr>
                <w:rFonts w:ascii="楷体" w:eastAsia="楷体" w:hAnsi="楷体" w:hint="eastAsia"/>
                <w:color w:val="000000"/>
                <w:sz w:val="18"/>
                <w:szCs w:val="18"/>
              </w:rPr>
              <w:t>200017</w:t>
            </w:r>
          </w:p>
        </w:tc>
        <w:tc>
          <w:tcPr>
            <w:tcW w:w="1843" w:type="dxa"/>
            <w:tcBorders>
              <w:left w:val="single" w:sz="6" w:space="0" w:color="FF6600"/>
              <w:right w:val="single" w:sz="6" w:space="0" w:color="FF6600"/>
            </w:tcBorders>
            <w:shd w:val="clear" w:color="auto" w:fill="auto"/>
            <w:vAlign w:val="center"/>
          </w:tcPr>
          <w:p w:rsidR="00A162FE" w:rsidRPr="006E5DF5" w:rsidRDefault="00A162FE" w:rsidP="006E5DF5">
            <w:pPr>
              <w:jc w:val="center"/>
              <w:rPr>
                <w:rFonts w:ascii="楷体" w:eastAsia="楷体" w:hAnsi="楷体"/>
                <w:color w:val="000000"/>
                <w:sz w:val="18"/>
                <w:szCs w:val="18"/>
              </w:rPr>
            </w:pPr>
            <w:r w:rsidRPr="006E5DF5">
              <w:rPr>
                <w:rFonts w:ascii="楷体" w:eastAsia="楷体" w:hAnsi="楷体" w:hint="eastAsia"/>
                <w:color w:val="000000"/>
                <w:sz w:val="18"/>
                <w:szCs w:val="18"/>
              </w:rPr>
              <w:t>长城岁岁金理财</w:t>
            </w:r>
          </w:p>
        </w:tc>
        <w:tc>
          <w:tcPr>
            <w:tcW w:w="851" w:type="dxa"/>
            <w:tcBorders>
              <w:left w:val="single" w:sz="6" w:space="0" w:color="FF6600"/>
              <w:right w:val="single" w:sz="6" w:space="0" w:color="FF6600"/>
            </w:tcBorders>
            <w:shd w:val="clear" w:color="auto" w:fill="auto"/>
            <w:vAlign w:val="center"/>
          </w:tcPr>
          <w:p w:rsidR="00A162FE" w:rsidRPr="006E5DF5" w:rsidRDefault="00A162FE" w:rsidP="006E5DF5">
            <w:pPr>
              <w:jc w:val="center"/>
              <w:rPr>
                <w:rFonts w:ascii="楷体" w:eastAsia="楷体" w:hAnsi="楷体"/>
                <w:color w:val="000000"/>
                <w:sz w:val="18"/>
                <w:szCs w:val="18"/>
              </w:rPr>
            </w:pPr>
            <w:r w:rsidRPr="006E5DF5">
              <w:rPr>
                <w:rFonts w:ascii="楷体" w:eastAsia="楷体" w:hAnsi="楷体" w:hint="eastAsia"/>
                <w:color w:val="000000"/>
                <w:sz w:val="18"/>
                <w:szCs w:val="18"/>
              </w:rPr>
              <w:t>开放式</w:t>
            </w:r>
          </w:p>
        </w:tc>
        <w:tc>
          <w:tcPr>
            <w:tcW w:w="850" w:type="dxa"/>
            <w:tcBorders>
              <w:left w:val="single" w:sz="6" w:space="0" w:color="FF6600"/>
            </w:tcBorders>
            <w:shd w:val="clear" w:color="auto" w:fill="auto"/>
            <w:vAlign w:val="center"/>
          </w:tcPr>
          <w:p w:rsidR="00A162FE" w:rsidRPr="006E5DF5" w:rsidRDefault="00A162FE" w:rsidP="006E5DF5">
            <w:pPr>
              <w:jc w:val="center"/>
              <w:rPr>
                <w:rFonts w:ascii="楷体" w:eastAsia="楷体" w:hAnsi="楷体"/>
                <w:color w:val="000000"/>
                <w:sz w:val="18"/>
                <w:szCs w:val="18"/>
              </w:rPr>
            </w:pPr>
            <w:r w:rsidRPr="006E5DF5">
              <w:rPr>
                <w:rFonts w:ascii="楷体" w:eastAsia="楷体" w:hAnsi="楷体" w:hint="eastAsia"/>
                <w:color w:val="000000"/>
                <w:sz w:val="18"/>
                <w:szCs w:val="18"/>
              </w:rPr>
              <w:t>0.30</w:t>
            </w:r>
          </w:p>
        </w:tc>
      </w:tr>
      <w:tr w:rsidR="00A162FE" w:rsidRPr="005B7CDB" w:rsidTr="006E5DF5">
        <w:trPr>
          <w:cantSplit/>
          <w:trHeight w:val="227"/>
        </w:trPr>
        <w:tc>
          <w:tcPr>
            <w:tcW w:w="851" w:type="dxa"/>
            <w:vMerge/>
            <w:tcBorders>
              <w:right w:val="single" w:sz="6" w:space="0" w:color="FF6600"/>
            </w:tcBorders>
            <w:shd w:val="clear" w:color="auto" w:fill="FDE9D9" w:themeFill="accent6" w:themeFillTint="33"/>
            <w:vAlign w:val="center"/>
          </w:tcPr>
          <w:p w:rsidR="00A162FE" w:rsidRPr="005B7CDB" w:rsidRDefault="00A162FE" w:rsidP="000D1136">
            <w:pPr>
              <w:snapToGrid w:val="0"/>
              <w:jc w:val="center"/>
              <w:rPr>
                <w:rFonts w:ascii="楷体" w:eastAsia="楷体" w:hAnsi="楷体"/>
                <w:b/>
                <w:sz w:val="18"/>
                <w:szCs w:val="18"/>
              </w:rPr>
            </w:pPr>
          </w:p>
        </w:tc>
        <w:tc>
          <w:tcPr>
            <w:tcW w:w="851" w:type="dxa"/>
            <w:tcBorders>
              <w:left w:val="single" w:sz="6" w:space="0" w:color="FF6600"/>
              <w:right w:val="single" w:sz="6" w:space="0" w:color="FF6600"/>
            </w:tcBorders>
            <w:shd w:val="clear" w:color="auto" w:fill="auto"/>
            <w:vAlign w:val="center"/>
          </w:tcPr>
          <w:p w:rsidR="00A162FE" w:rsidRPr="006E5DF5" w:rsidRDefault="00A162FE" w:rsidP="006E5DF5">
            <w:pPr>
              <w:jc w:val="center"/>
              <w:rPr>
                <w:rFonts w:ascii="楷体" w:eastAsia="楷体" w:hAnsi="楷体"/>
                <w:color w:val="000000"/>
                <w:sz w:val="18"/>
                <w:szCs w:val="18"/>
              </w:rPr>
            </w:pPr>
            <w:r w:rsidRPr="006E5DF5">
              <w:rPr>
                <w:rFonts w:ascii="楷体" w:eastAsia="楷体" w:hAnsi="楷体" w:hint="eastAsia"/>
                <w:color w:val="000000"/>
                <w:sz w:val="18"/>
                <w:szCs w:val="18"/>
              </w:rPr>
              <w:t>217002</w:t>
            </w:r>
          </w:p>
        </w:tc>
        <w:tc>
          <w:tcPr>
            <w:tcW w:w="1984" w:type="dxa"/>
            <w:tcBorders>
              <w:left w:val="single" w:sz="6" w:space="0" w:color="FF6600"/>
              <w:right w:val="single" w:sz="6" w:space="0" w:color="FF6600"/>
            </w:tcBorders>
            <w:shd w:val="clear" w:color="auto" w:fill="auto"/>
            <w:vAlign w:val="center"/>
          </w:tcPr>
          <w:p w:rsidR="00A162FE" w:rsidRPr="006E5DF5" w:rsidRDefault="00A162FE" w:rsidP="006E5DF5">
            <w:pPr>
              <w:jc w:val="center"/>
              <w:rPr>
                <w:rFonts w:ascii="楷体" w:eastAsia="楷体" w:hAnsi="楷体"/>
                <w:color w:val="000000"/>
                <w:sz w:val="18"/>
                <w:szCs w:val="18"/>
              </w:rPr>
            </w:pPr>
            <w:r w:rsidRPr="006E5DF5">
              <w:rPr>
                <w:rFonts w:ascii="楷体" w:eastAsia="楷体" w:hAnsi="楷体" w:hint="eastAsia"/>
                <w:color w:val="000000"/>
                <w:sz w:val="18"/>
                <w:szCs w:val="18"/>
              </w:rPr>
              <w:t>招商安泰平衡</w:t>
            </w:r>
          </w:p>
        </w:tc>
        <w:tc>
          <w:tcPr>
            <w:tcW w:w="851" w:type="dxa"/>
            <w:tcBorders>
              <w:left w:val="single" w:sz="6" w:space="0" w:color="FF6600"/>
              <w:right w:val="single" w:sz="6" w:space="0" w:color="FF6600"/>
            </w:tcBorders>
            <w:shd w:val="clear" w:color="auto" w:fill="auto"/>
            <w:vAlign w:val="center"/>
          </w:tcPr>
          <w:p w:rsidR="00A162FE" w:rsidRPr="006E5DF5" w:rsidRDefault="00A162FE" w:rsidP="006E5DF5">
            <w:pPr>
              <w:jc w:val="center"/>
              <w:rPr>
                <w:rFonts w:ascii="楷体" w:eastAsia="楷体" w:hAnsi="楷体"/>
                <w:color w:val="000000"/>
                <w:sz w:val="18"/>
                <w:szCs w:val="18"/>
              </w:rPr>
            </w:pPr>
            <w:r w:rsidRPr="006E5DF5">
              <w:rPr>
                <w:rFonts w:ascii="楷体" w:eastAsia="楷体" w:hAnsi="楷体" w:hint="eastAsia"/>
                <w:color w:val="000000"/>
                <w:sz w:val="18"/>
                <w:szCs w:val="18"/>
              </w:rPr>
              <w:t>开放式</w:t>
            </w:r>
          </w:p>
        </w:tc>
        <w:tc>
          <w:tcPr>
            <w:tcW w:w="991" w:type="dxa"/>
            <w:tcBorders>
              <w:left w:val="single" w:sz="6" w:space="0" w:color="FF6600"/>
              <w:right w:val="single" w:sz="6" w:space="0" w:color="FF6600"/>
            </w:tcBorders>
            <w:shd w:val="clear" w:color="auto" w:fill="auto"/>
            <w:vAlign w:val="center"/>
          </w:tcPr>
          <w:p w:rsidR="00A162FE" w:rsidRPr="006E5DF5" w:rsidRDefault="00A162FE" w:rsidP="006E5DF5">
            <w:pPr>
              <w:jc w:val="center"/>
              <w:rPr>
                <w:rFonts w:ascii="楷体" w:eastAsia="楷体" w:hAnsi="楷体"/>
                <w:color w:val="000000"/>
                <w:sz w:val="18"/>
                <w:szCs w:val="18"/>
              </w:rPr>
            </w:pPr>
            <w:r w:rsidRPr="006E5DF5">
              <w:rPr>
                <w:rFonts w:ascii="楷体" w:eastAsia="楷体" w:hAnsi="楷体" w:hint="eastAsia"/>
                <w:color w:val="000000"/>
                <w:sz w:val="18"/>
                <w:szCs w:val="18"/>
              </w:rPr>
              <w:t>0.72</w:t>
            </w:r>
          </w:p>
        </w:tc>
        <w:tc>
          <w:tcPr>
            <w:tcW w:w="993" w:type="dxa"/>
            <w:vMerge/>
            <w:tcBorders>
              <w:left w:val="single" w:sz="6" w:space="0" w:color="FF6600"/>
              <w:right w:val="single" w:sz="6" w:space="0" w:color="FF6600"/>
            </w:tcBorders>
            <w:shd w:val="clear" w:color="auto" w:fill="FDE9D9" w:themeFill="accent6" w:themeFillTint="33"/>
            <w:vAlign w:val="center"/>
          </w:tcPr>
          <w:p w:rsidR="00A162FE" w:rsidRPr="005B7CDB" w:rsidRDefault="00A162FE" w:rsidP="000D1136">
            <w:pPr>
              <w:snapToGrid w:val="0"/>
              <w:jc w:val="center"/>
              <w:rPr>
                <w:rFonts w:ascii="楷体" w:eastAsia="楷体" w:hAnsi="楷体"/>
                <w:b/>
                <w:sz w:val="18"/>
                <w:szCs w:val="18"/>
              </w:rPr>
            </w:pPr>
          </w:p>
        </w:tc>
        <w:tc>
          <w:tcPr>
            <w:tcW w:w="992" w:type="dxa"/>
            <w:tcBorders>
              <w:left w:val="single" w:sz="6" w:space="0" w:color="FF6600"/>
              <w:right w:val="single" w:sz="6" w:space="0" w:color="FF6600"/>
            </w:tcBorders>
            <w:shd w:val="clear" w:color="auto" w:fill="auto"/>
            <w:vAlign w:val="center"/>
          </w:tcPr>
          <w:p w:rsidR="00A162FE" w:rsidRPr="006E5DF5" w:rsidRDefault="00A162FE" w:rsidP="006E5DF5">
            <w:pPr>
              <w:jc w:val="center"/>
              <w:rPr>
                <w:rFonts w:ascii="楷体" w:eastAsia="楷体" w:hAnsi="楷体"/>
                <w:color w:val="000000"/>
                <w:sz w:val="18"/>
                <w:szCs w:val="18"/>
              </w:rPr>
            </w:pPr>
            <w:r w:rsidRPr="006E5DF5">
              <w:rPr>
                <w:rFonts w:ascii="楷体" w:eastAsia="楷体" w:hAnsi="楷体" w:hint="eastAsia"/>
                <w:color w:val="000000"/>
                <w:sz w:val="18"/>
                <w:szCs w:val="18"/>
              </w:rPr>
              <w:t>202308</w:t>
            </w:r>
          </w:p>
        </w:tc>
        <w:tc>
          <w:tcPr>
            <w:tcW w:w="1843" w:type="dxa"/>
            <w:tcBorders>
              <w:left w:val="single" w:sz="6" w:space="0" w:color="FF6600"/>
              <w:right w:val="single" w:sz="6" w:space="0" w:color="FF6600"/>
            </w:tcBorders>
            <w:shd w:val="clear" w:color="auto" w:fill="auto"/>
            <w:vAlign w:val="center"/>
          </w:tcPr>
          <w:p w:rsidR="00A162FE" w:rsidRPr="006E5DF5" w:rsidRDefault="00A162FE" w:rsidP="006E5DF5">
            <w:pPr>
              <w:jc w:val="center"/>
              <w:rPr>
                <w:rFonts w:ascii="楷体" w:eastAsia="楷体" w:hAnsi="楷体"/>
                <w:color w:val="000000"/>
                <w:sz w:val="18"/>
                <w:szCs w:val="18"/>
              </w:rPr>
            </w:pPr>
            <w:r w:rsidRPr="006E5DF5">
              <w:rPr>
                <w:rFonts w:ascii="楷体" w:eastAsia="楷体" w:hAnsi="楷体" w:hint="eastAsia"/>
                <w:color w:val="000000"/>
                <w:sz w:val="18"/>
                <w:szCs w:val="18"/>
              </w:rPr>
              <w:t>南方理财30天B</w:t>
            </w:r>
          </w:p>
        </w:tc>
        <w:tc>
          <w:tcPr>
            <w:tcW w:w="851" w:type="dxa"/>
            <w:tcBorders>
              <w:left w:val="single" w:sz="6" w:space="0" w:color="FF6600"/>
              <w:right w:val="single" w:sz="6" w:space="0" w:color="FF6600"/>
            </w:tcBorders>
            <w:shd w:val="clear" w:color="auto" w:fill="auto"/>
            <w:vAlign w:val="center"/>
          </w:tcPr>
          <w:p w:rsidR="00A162FE" w:rsidRPr="006E5DF5" w:rsidRDefault="00A162FE" w:rsidP="006E5DF5">
            <w:pPr>
              <w:jc w:val="center"/>
              <w:rPr>
                <w:rFonts w:ascii="楷体" w:eastAsia="楷体" w:hAnsi="楷体"/>
                <w:color w:val="000000"/>
                <w:sz w:val="18"/>
                <w:szCs w:val="18"/>
              </w:rPr>
            </w:pPr>
            <w:r w:rsidRPr="006E5DF5">
              <w:rPr>
                <w:rFonts w:ascii="楷体" w:eastAsia="楷体" w:hAnsi="楷体" w:hint="eastAsia"/>
                <w:color w:val="000000"/>
                <w:sz w:val="18"/>
                <w:szCs w:val="18"/>
              </w:rPr>
              <w:t>开放式</w:t>
            </w:r>
          </w:p>
        </w:tc>
        <w:tc>
          <w:tcPr>
            <w:tcW w:w="850" w:type="dxa"/>
            <w:tcBorders>
              <w:left w:val="single" w:sz="6" w:space="0" w:color="FF6600"/>
            </w:tcBorders>
            <w:shd w:val="clear" w:color="auto" w:fill="auto"/>
            <w:vAlign w:val="center"/>
          </w:tcPr>
          <w:p w:rsidR="00A162FE" w:rsidRPr="006E5DF5" w:rsidRDefault="00A162FE" w:rsidP="006E5DF5">
            <w:pPr>
              <w:jc w:val="center"/>
              <w:rPr>
                <w:rFonts w:ascii="楷体" w:eastAsia="楷体" w:hAnsi="楷体"/>
                <w:color w:val="000000"/>
                <w:sz w:val="18"/>
                <w:szCs w:val="18"/>
              </w:rPr>
            </w:pPr>
            <w:r w:rsidRPr="006E5DF5">
              <w:rPr>
                <w:rFonts w:ascii="楷体" w:eastAsia="楷体" w:hAnsi="楷体" w:hint="eastAsia"/>
                <w:color w:val="000000"/>
                <w:sz w:val="18"/>
                <w:szCs w:val="18"/>
              </w:rPr>
              <w:t>0.14</w:t>
            </w:r>
          </w:p>
        </w:tc>
      </w:tr>
      <w:tr w:rsidR="00A162FE" w:rsidRPr="005B7CDB" w:rsidTr="006E5DF5">
        <w:trPr>
          <w:cantSplit/>
          <w:trHeight w:val="227"/>
        </w:trPr>
        <w:tc>
          <w:tcPr>
            <w:tcW w:w="851" w:type="dxa"/>
            <w:vMerge/>
            <w:tcBorders>
              <w:right w:val="single" w:sz="6" w:space="0" w:color="FF6600"/>
            </w:tcBorders>
            <w:shd w:val="clear" w:color="auto" w:fill="FDE9D9" w:themeFill="accent6" w:themeFillTint="33"/>
            <w:vAlign w:val="center"/>
          </w:tcPr>
          <w:p w:rsidR="00A162FE" w:rsidRPr="005B7CDB" w:rsidRDefault="00A162FE" w:rsidP="000D1136">
            <w:pPr>
              <w:snapToGrid w:val="0"/>
              <w:jc w:val="center"/>
              <w:rPr>
                <w:rFonts w:ascii="楷体" w:eastAsia="楷体" w:hAnsi="楷体"/>
                <w:b/>
                <w:sz w:val="18"/>
                <w:szCs w:val="18"/>
              </w:rPr>
            </w:pPr>
          </w:p>
        </w:tc>
        <w:tc>
          <w:tcPr>
            <w:tcW w:w="851" w:type="dxa"/>
            <w:tcBorders>
              <w:left w:val="single" w:sz="6" w:space="0" w:color="FF6600"/>
              <w:right w:val="single" w:sz="6" w:space="0" w:color="FF6600"/>
            </w:tcBorders>
            <w:shd w:val="clear" w:color="auto" w:fill="auto"/>
            <w:vAlign w:val="center"/>
          </w:tcPr>
          <w:p w:rsidR="00A162FE" w:rsidRPr="006E5DF5" w:rsidRDefault="00A162FE" w:rsidP="006E5DF5">
            <w:pPr>
              <w:jc w:val="center"/>
              <w:rPr>
                <w:rFonts w:ascii="楷体" w:eastAsia="楷体" w:hAnsi="楷体"/>
                <w:color w:val="000000"/>
                <w:sz w:val="18"/>
                <w:szCs w:val="18"/>
              </w:rPr>
            </w:pPr>
            <w:r w:rsidRPr="006E5DF5">
              <w:rPr>
                <w:rFonts w:ascii="楷体" w:eastAsia="楷体" w:hAnsi="楷体" w:hint="eastAsia"/>
                <w:color w:val="000000"/>
                <w:sz w:val="18"/>
                <w:szCs w:val="18"/>
              </w:rPr>
              <w:t>162205</w:t>
            </w:r>
          </w:p>
        </w:tc>
        <w:tc>
          <w:tcPr>
            <w:tcW w:w="1984" w:type="dxa"/>
            <w:tcBorders>
              <w:left w:val="single" w:sz="6" w:space="0" w:color="FF6600"/>
              <w:right w:val="single" w:sz="6" w:space="0" w:color="FF6600"/>
            </w:tcBorders>
            <w:shd w:val="clear" w:color="auto" w:fill="auto"/>
            <w:vAlign w:val="center"/>
          </w:tcPr>
          <w:p w:rsidR="00A162FE" w:rsidRPr="006E5DF5" w:rsidRDefault="00A162FE" w:rsidP="006E5DF5">
            <w:pPr>
              <w:jc w:val="center"/>
              <w:rPr>
                <w:rFonts w:ascii="楷体" w:eastAsia="楷体" w:hAnsi="楷体"/>
                <w:color w:val="000000"/>
                <w:sz w:val="18"/>
                <w:szCs w:val="18"/>
              </w:rPr>
            </w:pPr>
            <w:r w:rsidRPr="006E5DF5">
              <w:rPr>
                <w:rFonts w:ascii="楷体" w:eastAsia="楷体" w:hAnsi="楷体" w:hint="eastAsia"/>
                <w:color w:val="000000"/>
                <w:sz w:val="18"/>
                <w:szCs w:val="18"/>
              </w:rPr>
              <w:t>泰达宏利风险预算</w:t>
            </w:r>
          </w:p>
        </w:tc>
        <w:tc>
          <w:tcPr>
            <w:tcW w:w="851" w:type="dxa"/>
            <w:tcBorders>
              <w:left w:val="single" w:sz="6" w:space="0" w:color="FF6600"/>
              <w:right w:val="single" w:sz="6" w:space="0" w:color="FF6600"/>
            </w:tcBorders>
            <w:shd w:val="clear" w:color="auto" w:fill="auto"/>
            <w:vAlign w:val="center"/>
          </w:tcPr>
          <w:p w:rsidR="00A162FE" w:rsidRPr="006E5DF5" w:rsidRDefault="00A162FE" w:rsidP="006E5DF5">
            <w:pPr>
              <w:jc w:val="center"/>
              <w:rPr>
                <w:rFonts w:ascii="楷体" w:eastAsia="楷体" w:hAnsi="楷体"/>
                <w:color w:val="000000"/>
                <w:sz w:val="18"/>
                <w:szCs w:val="18"/>
              </w:rPr>
            </w:pPr>
            <w:r w:rsidRPr="006E5DF5">
              <w:rPr>
                <w:rFonts w:ascii="楷体" w:eastAsia="楷体" w:hAnsi="楷体" w:hint="eastAsia"/>
                <w:color w:val="000000"/>
                <w:sz w:val="18"/>
                <w:szCs w:val="18"/>
              </w:rPr>
              <w:t>开放式</w:t>
            </w:r>
          </w:p>
        </w:tc>
        <w:tc>
          <w:tcPr>
            <w:tcW w:w="991" w:type="dxa"/>
            <w:tcBorders>
              <w:left w:val="single" w:sz="6" w:space="0" w:color="FF6600"/>
              <w:right w:val="single" w:sz="6" w:space="0" w:color="FF6600"/>
            </w:tcBorders>
            <w:shd w:val="clear" w:color="auto" w:fill="auto"/>
            <w:vAlign w:val="center"/>
          </w:tcPr>
          <w:p w:rsidR="00A162FE" w:rsidRPr="006E5DF5" w:rsidRDefault="00A162FE" w:rsidP="006E5DF5">
            <w:pPr>
              <w:jc w:val="center"/>
              <w:rPr>
                <w:rFonts w:ascii="楷体" w:eastAsia="楷体" w:hAnsi="楷体"/>
                <w:color w:val="000000"/>
                <w:sz w:val="18"/>
                <w:szCs w:val="18"/>
              </w:rPr>
            </w:pPr>
            <w:r w:rsidRPr="006E5DF5">
              <w:rPr>
                <w:rFonts w:ascii="楷体" w:eastAsia="楷体" w:hAnsi="楷体" w:hint="eastAsia"/>
                <w:color w:val="000000"/>
                <w:sz w:val="18"/>
                <w:szCs w:val="18"/>
              </w:rPr>
              <w:t>0.44</w:t>
            </w:r>
          </w:p>
        </w:tc>
        <w:tc>
          <w:tcPr>
            <w:tcW w:w="993" w:type="dxa"/>
            <w:vMerge/>
            <w:tcBorders>
              <w:left w:val="single" w:sz="6" w:space="0" w:color="FF6600"/>
              <w:right w:val="single" w:sz="6" w:space="0" w:color="FF6600"/>
            </w:tcBorders>
            <w:shd w:val="clear" w:color="auto" w:fill="FDE9D9" w:themeFill="accent6" w:themeFillTint="33"/>
            <w:vAlign w:val="center"/>
          </w:tcPr>
          <w:p w:rsidR="00A162FE" w:rsidRPr="005B7CDB" w:rsidRDefault="00A162FE" w:rsidP="000D1136">
            <w:pPr>
              <w:snapToGrid w:val="0"/>
              <w:jc w:val="center"/>
              <w:rPr>
                <w:rFonts w:ascii="楷体" w:eastAsia="楷体" w:hAnsi="楷体"/>
                <w:b/>
                <w:sz w:val="18"/>
                <w:szCs w:val="18"/>
              </w:rPr>
            </w:pPr>
          </w:p>
        </w:tc>
        <w:tc>
          <w:tcPr>
            <w:tcW w:w="992" w:type="dxa"/>
            <w:tcBorders>
              <w:left w:val="single" w:sz="6" w:space="0" w:color="FF6600"/>
              <w:right w:val="single" w:sz="6" w:space="0" w:color="FF6600"/>
            </w:tcBorders>
            <w:shd w:val="clear" w:color="auto" w:fill="auto"/>
            <w:vAlign w:val="center"/>
          </w:tcPr>
          <w:p w:rsidR="00A162FE" w:rsidRPr="006E5DF5" w:rsidRDefault="00A162FE" w:rsidP="006E5DF5">
            <w:pPr>
              <w:jc w:val="center"/>
              <w:rPr>
                <w:rFonts w:ascii="楷体" w:eastAsia="楷体" w:hAnsi="楷体"/>
                <w:color w:val="000000"/>
                <w:sz w:val="18"/>
                <w:szCs w:val="18"/>
              </w:rPr>
            </w:pPr>
            <w:r w:rsidRPr="006E5DF5">
              <w:rPr>
                <w:rFonts w:ascii="楷体" w:eastAsia="楷体" w:hAnsi="楷体" w:hint="eastAsia"/>
                <w:color w:val="000000"/>
                <w:sz w:val="18"/>
                <w:szCs w:val="18"/>
              </w:rPr>
              <w:t>380011</w:t>
            </w:r>
          </w:p>
        </w:tc>
        <w:tc>
          <w:tcPr>
            <w:tcW w:w="1843" w:type="dxa"/>
            <w:tcBorders>
              <w:left w:val="single" w:sz="6" w:space="0" w:color="FF6600"/>
              <w:right w:val="single" w:sz="6" w:space="0" w:color="FF6600"/>
            </w:tcBorders>
            <w:shd w:val="clear" w:color="auto" w:fill="auto"/>
            <w:vAlign w:val="center"/>
          </w:tcPr>
          <w:p w:rsidR="00A162FE" w:rsidRPr="006E5DF5" w:rsidRDefault="00A162FE" w:rsidP="006E5DF5">
            <w:pPr>
              <w:jc w:val="center"/>
              <w:rPr>
                <w:rFonts w:ascii="楷体" w:eastAsia="楷体" w:hAnsi="楷体"/>
                <w:color w:val="000000"/>
                <w:sz w:val="18"/>
                <w:szCs w:val="18"/>
              </w:rPr>
            </w:pPr>
            <w:r w:rsidRPr="006E5DF5">
              <w:rPr>
                <w:rFonts w:ascii="楷体" w:eastAsia="楷体" w:hAnsi="楷体" w:hint="eastAsia"/>
                <w:color w:val="000000"/>
                <w:sz w:val="18"/>
                <w:szCs w:val="18"/>
              </w:rPr>
              <w:t>中银理财30天B</w:t>
            </w:r>
          </w:p>
        </w:tc>
        <w:tc>
          <w:tcPr>
            <w:tcW w:w="851" w:type="dxa"/>
            <w:tcBorders>
              <w:left w:val="single" w:sz="6" w:space="0" w:color="FF6600"/>
              <w:right w:val="single" w:sz="6" w:space="0" w:color="FF6600"/>
            </w:tcBorders>
            <w:shd w:val="clear" w:color="auto" w:fill="auto"/>
            <w:vAlign w:val="center"/>
          </w:tcPr>
          <w:p w:rsidR="00A162FE" w:rsidRPr="006E5DF5" w:rsidRDefault="00A162FE" w:rsidP="006E5DF5">
            <w:pPr>
              <w:jc w:val="center"/>
              <w:rPr>
                <w:rFonts w:ascii="楷体" w:eastAsia="楷体" w:hAnsi="楷体"/>
                <w:color w:val="000000"/>
                <w:sz w:val="18"/>
                <w:szCs w:val="18"/>
              </w:rPr>
            </w:pPr>
            <w:r w:rsidRPr="006E5DF5">
              <w:rPr>
                <w:rFonts w:ascii="楷体" w:eastAsia="楷体" w:hAnsi="楷体" w:hint="eastAsia"/>
                <w:color w:val="000000"/>
                <w:sz w:val="18"/>
                <w:szCs w:val="18"/>
              </w:rPr>
              <w:t>开放式</w:t>
            </w:r>
          </w:p>
        </w:tc>
        <w:tc>
          <w:tcPr>
            <w:tcW w:w="850" w:type="dxa"/>
            <w:tcBorders>
              <w:left w:val="single" w:sz="6" w:space="0" w:color="FF6600"/>
            </w:tcBorders>
            <w:shd w:val="clear" w:color="auto" w:fill="auto"/>
            <w:vAlign w:val="center"/>
          </w:tcPr>
          <w:p w:rsidR="00A162FE" w:rsidRPr="006E5DF5" w:rsidRDefault="00A162FE" w:rsidP="006E5DF5">
            <w:pPr>
              <w:jc w:val="center"/>
              <w:rPr>
                <w:rFonts w:ascii="楷体" w:eastAsia="楷体" w:hAnsi="楷体"/>
                <w:color w:val="000000"/>
                <w:sz w:val="18"/>
                <w:szCs w:val="18"/>
              </w:rPr>
            </w:pPr>
            <w:r w:rsidRPr="006E5DF5">
              <w:rPr>
                <w:rFonts w:ascii="楷体" w:eastAsia="楷体" w:hAnsi="楷体" w:hint="eastAsia"/>
                <w:color w:val="000000"/>
                <w:sz w:val="18"/>
                <w:szCs w:val="18"/>
              </w:rPr>
              <w:t>0.14</w:t>
            </w:r>
          </w:p>
        </w:tc>
      </w:tr>
      <w:tr w:rsidR="00A162FE" w:rsidRPr="005B7CDB" w:rsidTr="006E5DF5">
        <w:trPr>
          <w:cantSplit/>
          <w:trHeight w:val="227"/>
        </w:trPr>
        <w:tc>
          <w:tcPr>
            <w:tcW w:w="851" w:type="dxa"/>
            <w:vMerge w:val="restart"/>
            <w:tcBorders>
              <w:right w:val="single" w:sz="6" w:space="0" w:color="FF6600"/>
            </w:tcBorders>
            <w:shd w:val="clear" w:color="auto" w:fill="FDE9D9" w:themeFill="accent6" w:themeFillTint="33"/>
            <w:vAlign w:val="center"/>
          </w:tcPr>
          <w:p w:rsidR="00A162FE" w:rsidRPr="005B7CDB" w:rsidRDefault="00A162FE" w:rsidP="00884478">
            <w:pPr>
              <w:snapToGrid w:val="0"/>
              <w:jc w:val="center"/>
              <w:rPr>
                <w:rFonts w:ascii="楷体" w:eastAsia="楷体" w:hAnsi="楷体"/>
                <w:b/>
                <w:bCs/>
                <w:color w:val="000000"/>
                <w:sz w:val="18"/>
                <w:szCs w:val="18"/>
              </w:rPr>
            </w:pPr>
            <w:r w:rsidRPr="005B7CDB">
              <w:rPr>
                <w:rFonts w:ascii="楷体" w:eastAsia="楷体" w:hAnsi="楷体" w:hint="eastAsia"/>
                <w:b/>
                <w:bCs/>
                <w:color w:val="000000"/>
                <w:sz w:val="18"/>
                <w:szCs w:val="18"/>
              </w:rPr>
              <w:t>混合-</w:t>
            </w:r>
          </w:p>
          <w:p w:rsidR="00A162FE" w:rsidRPr="005B7CDB" w:rsidRDefault="00A162FE" w:rsidP="00884478">
            <w:pPr>
              <w:snapToGrid w:val="0"/>
              <w:jc w:val="center"/>
              <w:rPr>
                <w:rFonts w:ascii="楷体" w:eastAsia="楷体" w:hAnsi="楷体"/>
                <w:b/>
                <w:sz w:val="18"/>
                <w:szCs w:val="18"/>
              </w:rPr>
            </w:pPr>
            <w:r w:rsidRPr="005B7CDB">
              <w:rPr>
                <w:rFonts w:ascii="楷体" w:eastAsia="楷体" w:hAnsi="楷体" w:hint="eastAsia"/>
                <w:b/>
                <w:bCs/>
                <w:color w:val="000000"/>
                <w:sz w:val="18"/>
                <w:szCs w:val="18"/>
              </w:rPr>
              <w:t>灵活型</w:t>
            </w:r>
          </w:p>
        </w:tc>
        <w:tc>
          <w:tcPr>
            <w:tcW w:w="851" w:type="dxa"/>
            <w:tcBorders>
              <w:left w:val="single" w:sz="6" w:space="0" w:color="FF6600"/>
              <w:right w:val="single" w:sz="6" w:space="0" w:color="FF6600"/>
            </w:tcBorders>
            <w:shd w:val="clear" w:color="auto" w:fill="auto"/>
            <w:vAlign w:val="center"/>
          </w:tcPr>
          <w:p w:rsidR="00A162FE" w:rsidRPr="006E5DF5" w:rsidRDefault="00A162FE" w:rsidP="006E5DF5">
            <w:pPr>
              <w:jc w:val="center"/>
              <w:rPr>
                <w:rFonts w:ascii="楷体" w:eastAsia="楷体" w:hAnsi="楷体"/>
                <w:color w:val="000000"/>
                <w:sz w:val="18"/>
                <w:szCs w:val="18"/>
              </w:rPr>
            </w:pPr>
            <w:r w:rsidRPr="006E5DF5">
              <w:rPr>
                <w:rFonts w:ascii="楷体" w:eastAsia="楷体" w:hAnsi="楷体" w:hint="eastAsia"/>
                <w:color w:val="000000"/>
                <w:sz w:val="18"/>
                <w:szCs w:val="18"/>
              </w:rPr>
              <w:t>519125</w:t>
            </w:r>
          </w:p>
        </w:tc>
        <w:tc>
          <w:tcPr>
            <w:tcW w:w="1984" w:type="dxa"/>
            <w:tcBorders>
              <w:left w:val="single" w:sz="6" w:space="0" w:color="FF6600"/>
              <w:right w:val="single" w:sz="6" w:space="0" w:color="FF6600"/>
            </w:tcBorders>
            <w:shd w:val="clear" w:color="auto" w:fill="auto"/>
            <w:vAlign w:val="center"/>
          </w:tcPr>
          <w:p w:rsidR="00A162FE" w:rsidRPr="006E5DF5" w:rsidRDefault="00A162FE" w:rsidP="006E5DF5">
            <w:pPr>
              <w:jc w:val="center"/>
              <w:rPr>
                <w:rFonts w:ascii="楷体" w:eastAsia="楷体" w:hAnsi="楷体"/>
                <w:color w:val="000000"/>
                <w:sz w:val="18"/>
                <w:szCs w:val="18"/>
              </w:rPr>
            </w:pPr>
            <w:proofErr w:type="gramStart"/>
            <w:r w:rsidRPr="006E5DF5">
              <w:rPr>
                <w:rFonts w:ascii="楷体" w:eastAsia="楷体" w:hAnsi="楷体" w:hint="eastAsia"/>
                <w:color w:val="000000"/>
                <w:sz w:val="18"/>
                <w:szCs w:val="18"/>
              </w:rPr>
              <w:t>浦银安盛消费</w:t>
            </w:r>
            <w:proofErr w:type="gramEnd"/>
            <w:r w:rsidRPr="006E5DF5">
              <w:rPr>
                <w:rFonts w:ascii="楷体" w:eastAsia="楷体" w:hAnsi="楷体" w:hint="eastAsia"/>
                <w:color w:val="000000"/>
                <w:sz w:val="18"/>
                <w:szCs w:val="18"/>
              </w:rPr>
              <w:t>升级</w:t>
            </w:r>
          </w:p>
        </w:tc>
        <w:tc>
          <w:tcPr>
            <w:tcW w:w="851" w:type="dxa"/>
            <w:tcBorders>
              <w:left w:val="single" w:sz="6" w:space="0" w:color="FF6600"/>
              <w:right w:val="single" w:sz="6" w:space="0" w:color="FF6600"/>
            </w:tcBorders>
            <w:shd w:val="clear" w:color="auto" w:fill="auto"/>
            <w:vAlign w:val="center"/>
          </w:tcPr>
          <w:p w:rsidR="00A162FE" w:rsidRPr="006E5DF5" w:rsidRDefault="00A162FE" w:rsidP="006E5DF5">
            <w:pPr>
              <w:jc w:val="center"/>
              <w:rPr>
                <w:rFonts w:ascii="楷体" w:eastAsia="楷体" w:hAnsi="楷体"/>
                <w:color w:val="000000"/>
                <w:sz w:val="18"/>
                <w:szCs w:val="18"/>
              </w:rPr>
            </w:pPr>
            <w:r w:rsidRPr="006E5DF5">
              <w:rPr>
                <w:rFonts w:ascii="楷体" w:eastAsia="楷体" w:hAnsi="楷体" w:hint="eastAsia"/>
                <w:color w:val="000000"/>
                <w:sz w:val="18"/>
                <w:szCs w:val="18"/>
              </w:rPr>
              <w:t>开放式</w:t>
            </w:r>
          </w:p>
        </w:tc>
        <w:tc>
          <w:tcPr>
            <w:tcW w:w="991" w:type="dxa"/>
            <w:tcBorders>
              <w:left w:val="single" w:sz="6" w:space="0" w:color="FF6600"/>
              <w:right w:val="single" w:sz="6" w:space="0" w:color="FF6600"/>
            </w:tcBorders>
            <w:shd w:val="clear" w:color="auto" w:fill="auto"/>
            <w:vAlign w:val="center"/>
          </w:tcPr>
          <w:p w:rsidR="00A162FE" w:rsidRPr="006E5DF5" w:rsidRDefault="00A162FE" w:rsidP="006E5DF5">
            <w:pPr>
              <w:jc w:val="center"/>
              <w:rPr>
                <w:rFonts w:ascii="楷体" w:eastAsia="楷体" w:hAnsi="楷体"/>
                <w:color w:val="000000"/>
                <w:sz w:val="18"/>
                <w:szCs w:val="18"/>
              </w:rPr>
            </w:pPr>
            <w:r w:rsidRPr="006E5DF5">
              <w:rPr>
                <w:rFonts w:ascii="楷体" w:eastAsia="楷体" w:hAnsi="楷体" w:hint="eastAsia"/>
                <w:color w:val="000000"/>
                <w:sz w:val="18"/>
                <w:szCs w:val="18"/>
              </w:rPr>
              <w:t>3.63</w:t>
            </w:r>
          </w:p>
        </w:tc>
        <w:tc>
          <w:tcPr>
            <w:tcW w:w="993" w:type="dxa"/>
            <w:vMerge w:val="restart"/>
            <w:tcBorders>
              <w:left w:val="single" w:sz="6" w:space="0" w:color="FF6600"/>
              <w:right w:val="single" w:sz="6" w:space="0" w:color="FF6600"/>
            </w:tcBorders>
            <w:shd w:val="clear" w:color="auto" w:fill="FDE9D9" w:themeFill="accent6" w:themeFillTint="33"/>
            <w:vAlign w:val="center"/>
          </w:tcPr>
          <w:p w:rsidR="00A162FE" w:rsidRPr="005B7CDB" w:rsidRDefault="00A162FE" w:rsidP="00884478">
            <w:pPr>
              <w:snapToGrid w:val="0"/>
              <w:jc w:val="center"/>
              <w:rPr>
                <w:rFonts w:ascii="楷体" w:eastAsia="楷体" w:hAnsi="楷体"/>
                <w:b/>
                <w:bCs/>
                <w:color w:val="000000"/>
                <w:sz w:val="18"/>
                <w:szCs w:val="18"/>
              </w:rPr>
            </w:pPr>
            <w:r w:rsidRPr="005B7CDB">
              <w:rPr>
                <w:rFonts w:ascii="楷体" w:eastAsia="楷体" w:hAnsi="楷体" w:hint="eastAsia"/>
                <w:b/>
                <w:bCs/>
                <w:color w:val="000000"/>
                <w:sz w:val="18"/>
                <w:szCs w:val="18"/>
              </w:rPr>
              <w:t>债券-</w:t>
            </w:r>
          </w:p>
          <w:p w:rsidR="00A162FE" w:rsidRPr="005B7CDB" w:rsidRDefault="00A162FE" w:rsidP="00884478">
            <w:pPr>
              <w:snapToGrid w:val="0"/>
              <w:jc w:val="center"/>
              <w:rPr>
                <w:rFonts w:ascii="楷体" w:eastAsia="楷体" w:hAnsi="楷体" w:cs="宋体"/>
                <w:b/>
                <w:bCs/>
                <w:color w:val="000000"/>
                <w:sz w:val="18"/>
                <w:szCs w:val="18"/>
              </w:rPr>
            </w:pPr>
            <w:proofErr w:type="gramStart"/>
            <w:r w:rsidRPr="005B7CDB">
              <w:rPr>
                <w:rFonts w:ascii="楷体" w:eastAsia="楷体" w:hAnsi="楷体" w:hint="eastAsia"/>
                <w:b/>
                <w:bCs/>
                <w:color w:val="000000"/>
                <w:sz w:val="18"/>
                <w:szCs w:val="18"/>
              </w:rPr>
              <w:t>指数债基</w:t>
            </w:r>
            <w:proofErr w:type="gramEnd"/>
          </w:p>
        </w:tc>
        <w:tc>
          <w:tcPr>
            <w:tcW w:w="992" w:type="dxa"/>
            <w:tcBorders>
              <w:left w:val="single" w:sz="6" w:space="0" w:color="FF6600"/>
              <w:right w:val="single" w:sz="6" w:space="0" w:color="FF6600"/>
            </w:tcBorders>
            <w:shd w:val="clear" w:color="auto" w:fill="auto"/>
            <w:vAlign w:val="center"/>
          </w:tcPr>
          <w:p w:rsidR="00A162FE" w:rsidRPr="006E5DF5" w:rsidRDefault="00A162FE" w:rsidP="006E5DF5">
            <w:pPr>
              <w:jc w:val="center"/>
              <w:rPr>
                <w:rFonts w:ascii="楷体" w:eastAsia="楷体" w:hAnsi="楷体"/>
                <w:color w:val="000000"/>
                <w:sz w:val="18"/>
                <w:szCs w:val="18"/>
              </w:rPr>
            </w:pPr>
            <w:r w:rsidRPr="006E5DF5">
              <w:rPr>
                <w:rFonts w:ascii="楷体" w:eastAsia="楷体" w:hAnsi="楷体" w:hint="eastAsia"/>
                <w:color w:val="000000"/>
                <w:sz w:val="18"/>
                <w:szCs w:val="18"/>
              </w:rPr>
              <w:t>510080</w:t>
            </w:r>
          </w:p>
        </w:tc>
        <w:tc>
          <w:tcPr>
            <w:tcW w:w="1843" w:type="dxa"/>
            <w:tcBorders>
              <w:left w:val="single" w:sz="6" w:space="0" w:color="FF6600"/>
              <w:right w:val="single" w:sz="6" w:space="0" w:color="FF6600"/>
            </w:tcBorders>
            <w:shd w:val="clear" w:color="auto" w:fill="auto"/>
            <w:vAlign w:val="center"/>
          </w:tcPr>
          <w:p w:rsidR="00A162FE" w:rsidRPr="006E5DF5" w:rsidRDefault="00A162FE" w:rsidP="006E5DF5">
            <w:pPr>
              <w:jc w:val="center"/>
              <w:rPr>
                <w:rFonts w:ascii="楷体" w:eastAsia="楷体" w:hAnsi="楷体"/>
                <w:color w:val="000000"/>
                <w:sz w:val="18"/>
                <w:szCs w:val="18"/>
              </w:rPr>
            </w:pPr>
            <w:r w:rsidRPr="006E5DF5">
              <w:rPr>
                <w:rFonts w:ascii="楷体" w:eastAsia="楷体" w:hAnsi="楷体" w:hint="eastAsia"/>
                <w:color w:val="000000"/>
                <w:sz w:val="18"/>
                <w:szCs w:val="18"/>
              </w:rPr>
              <w:t>长盛中</w:t>
            </w:r>
            <w:proofErr w:type="gramStart"/>
            <w:r w:rsidRPr="006E5DF5">
              <w:rPr>
                <w:rFonts w:ascii="楷体" w:eastAsia="楷体" w:hAnsi="楷体" w:hint="eastAsia"/>
                <w:color w:val="000000"/>
                <w:sz w:val="18"/>
                <w:szCs w:val="18"/>
              </w:rPr>
              <w:t>信全债</w:t>
            </w:r>
            <w:proofErr w:type="gramEnd"/>
          </w:p>
        </w:tc>
        <w:tc>
          <w:tcPr>
            <w:tcW w:w="851" w:type="dxa"/>
            <w:tcBorders>
              <w:left w:val="single" w:sz="6" w:space="0" w:color="FF6600"/>
              <w:right w:val="single" w:sz="6" w:space="0" w:color="FF6600"/>
            </w:tcBorders>
            <w:shd w:val="clear" w:color="auto" w:fill="auto"/>
            <w:vAlign w:val="center"/>
          </w:tcPr>
          <w:p w:rsidR="00A162FE" w:rsidRPr="006E5DF5" w:rsidRDefault="00A162FE" w:rsidP="006E5DF5">
            <w:pPr>
              <w:jc w:val="center"/>
              <w:rPr>
                <w:rFonts w:ascii="楷体" w:eastAsia="楷体" w:hAnsi="楷体"/>
                <w:color w:val="000000"/>
                <w:sz w:val="18"/>
                <w:szCs w:val="18"/>
              </w:rPr>
            </w:pPr>
            <w:r w:rsidRPr="006E5DF5">
              <w:rPr>
                <w:rFonts w:ascii="楷体" w:eastAsia="楷体" w:hAnsi="楷体" w:hint="eastAsia"/>
                <w:color w:val="000000"/>
                <w:sz w:val="18"/>
                <w:szCs w:val="18"/>
              </w:rPr>
              <w:t>开放式</w:t>
            </w:r>
          </w:p>
        </w:tc>
        <w:tc>
          <w:tcPr>
            <w:tcW w:w="850" w:type="dxa"/>
            <w:tcBorders>
              <w:left w:val="single" w:sz="6" w:space="0" w:color="FF6600"/>
            </w:tcBorders>
            <w:shd w:val="clear" w:color="auto" w:fill="auto"/>
            <w:vAlign w:val="center"/>
          </w:tcPr>
          <w:p w:rsidR="00A162FE" w:rsidRPr="006E5DF5" w:rsidRDefault="00A162FE" w:rsidP="006E5DF5">
            <w:pPr>
              <w:jc w:val="center"/>
              <w:rPr>
                <w:rFonts w:ascii="楷体" w:eastAsia="楷体" w:hAnsi="楷体"/>
                <w:color w:val="000000"/>
                <w:sz w:val="18"/>
                <w:szCs w:val="18"/>
              </w:rPr>
            </w:pPr>
            <w:r w:rsidRPr="006E5DF5">
              <w:rPr>
                <w:rFonts w:ascii="楷体" w:eastAsia="楷体" w:hAnsi="楷体" w:hint="eastAsia"/>
                <w:color w:val="000000"/>
                <w:sz w:val="18"/>
                <w:szCs w:val="18"/>
              </w:rPr>
              <w:t>0.69</w:t>
            </w:r>
          </w:p>
        </w:tc>
      </w:tr>
      <w:tr w:rsidR="00A162FE" w:rsidRPr="005B7CDB" w:rsidTr="006E5DF5">
        <w:trPr>
          <w:cantSplit/>
          <w:trHeight w:val="227"/>
        </w:trPr>
        <w:tc>
          <w:tcPr>
            <w:tcW w:w="851" w:type="dxa"/>
            <w:vMerge/>
            <w:tcBorders>
              <w:right w:val="single" w:sz="6" w:space="0" w:color="FF6600"/>
            </w:tcBorders>
            <w:shd w:val="clear" w:color="auto" w:fill="FDE9D9" w:themeFill="accent6" w:themeFillTint="33"/>
            <w:vAlign w:val="center"/>
          </w:tcPr>
          <w:p w:rsidR="00A162FE" w:rsidRPr="005B7CDB" w:rsidRDefault="00A162FE" w:rsidP="000D1136">
            <w:pPr>
              <w:snapToGrid w:val="0"/>
              <w:jc w:val="center"/>
              <w:rPr>
                <w:rFonts w:ascii="楷体" w:eastAsia="楷体" w:hAnsi="楷体"/>
                <w:b/>
                <w:sz w:val="18"/>
                <w:szCs w:val="18"/>
              </w:rPr>
            </w:pPr>
          </w:p>
        </w:tc>
        <w:tc>
          <w:tcPr>
            <w:tcW w:w="851" w:type="dxa"/>
            <w:tcBorders>
              <w:left w:val="single" w:sz="6" w:space="0" w:color="FF6600"/>
              <w:right w:val="single" w:sz="6" w:space="0" w:color="FF6600"/>
            </w:tcBorders>
            <w:shd w:val="clear" w:color="auto" w:fill="auto"/>
            <w:vAlign w:val="center"/>
          </w:tcPr>
          <w:p w:rsidR="00A162FE" w:rsidRPr="006E5DF5" w:rsidRDefault="00A162FE" w:rsidP="006E5DF5">
            <w:pPr>
              <w:jc w:val="center"/>
              <w:rPr>
                <w:rFonts w:ascii="楷体" w:eastAsia="楷体" w:hAnsi="楷体"/>
                <w:color w:val="000000"/>
                <w:sz w:val="18"/>
                <w:szCs w:val="18"/>
              </w:rPr>
            </w:pPr>
            <w:r w:rsidRPr="006E5DF5">
              <w:rPr>
                <w:rFonts w:ascii="楷体" w:eastAsia="楷体" w:hAnsi="楷体" w:hint="eastAsia"/>
                <w:color w:val="000000"/>
                <w:sz w:val="18"/>
                <w:szCs w:val="18"/>
              </w:rPr>
              <w:t>519113</w:t>
            </w:r>
          </w:p>
        </w:tc>
        <w:tc>
          <w:tcPr>
            <w:tcW w:w="1984" w:type="dxa"/>
            <w:tcBorders>
              <w:left w:val="single" w:sz="6" w:space="0" w:color="FF6600"/>
              <w:right w:val="single" w:sz="6" w:space="0" w:color="FF6600"/>
            </w:tcBorders>
            <w:shd w:val="clear" w:color="auto" w:fill="auto"/>
            <w:vAlign w:val="center"/>
          </w:tcPr>
          <w:p w:rsidR="00A162FE" w:rsidRPr="006E5DF5" w:rsidRDefault="00A162FE" w:rsidP="006E5DF5">
            <w:pPr>
              <w:jc w:val="center"/>
              <w:rPr>
                <w:rFonts w:ascii="楷体" w:eastAsia="楷体" w:hAnsi="楷体"/>
                <w:color w:val="000000"/>
                <w:sz w:val="18"/>
                <w:szCs w:val="18"/>
              </w:rPr>
            </w:pPr>
            <w:proofErr w:type="gramStart"/>
            <w:r w:rsidRPr="006E5DF5">
              <w:rPr>
                <w:rFonts w:ascii="楷体" w:eastAsia="楷体" w:hAnsi="楷体" w:hint="eastAsia"/>
                <w:color w:val="000000"/>
                <w:sz w:val="18"/>
                <w:szCs w:val="18"/>
              </w:rPr>
              <w:t>浦银安</w:t>
            </w:r>
            <w:proofErr w:type="gramEnd"/>
            <w:r w:rsidRPr="006E5DF5">
              <w:rPr>
                <w:rFonts w:ascii="楷体" w:eastAsia="楷体" w:hAnsi="楷体" w:hint="eastAsia"/>
                <w:color w:val="000000"/>
                <w:sz w:val="18"/>
                <w:szCs w:val="18"/>
              </w:rPr>
              <w:t>盛精致生活</w:t>
            </w:r>
          </w:p>
        </w:tc>
        <w:tc>
          <w:tcPr>
            <w:tcW w:w="851" w:type="dxa"/>
            <w:tcBorders>
              <w:left w:val="single" w:sz="6" w:space="0" w:color="FF6600"/>
              <w:right w:val="single" w:sz="6" w:space="0" w:color="FF6600"/>
            </w:tcBorders>
            <w:shd w:val="clear" w:color="auto" w:fill="auto"/>
            <w:vAlign w:val="center"/>
          </w:tcPr>
          <w:p w:rsidR="00A162FE" w:rsidRPr="006E5DF5" w:rsidRDefault="00A162FE" w:rsidP="006E5DF5">
            <w:pPr>
              <w:jc w:val="center"/>
              <w:rPr>
                <w:rFonts w:ascii="楷体" w:eastAsia="楷体" w:hAnsi="楷体"/>
                <w:color w:val="000000"/>
                <w:sz w:val="18"/>
                <w:szCs w:val="18"/>
              </w:rPr>
            </w:pPr>
            <w:r w:rsidRPr="006E5DF5">
              <w:rPr>
                <w:rFonts w:ascii="楷体" w:eastAsia="楷体" w:hAnsi="楷体" w:hint="eastAsia"/>
                <w:color w:val="000000"/>
                <w:sz w:val="18"/>
                <w:szCs w:val="18"/>
              </w:rPr>
              <w:t>开放式</w:t>
            </w:r>
          </w:p>
        </w:tc>
        <w:tc>
          <w:tcPr>
            <w:tcW w:w="991" w:type="dxa"/>
            <w:tcBorders>
              <w:left w:val="single" w:sz="6" w:space="0" w:color="FF6600"/>
              <w:right w:val="single" w:sz="6" w:space="0" w:color="FF6600"/>
            </w:tcBorders>
            <w:shd w:val="clear" w:color="auto" w:fill="auto"/>
            <w:vAlign w:val="center"/>
          </w:tcPr>
          <w:p w:rsidR="00A162FE" w:rsidRPr="006E5DF5" w:rsidRDefault="00A162FE" w:rsidP="006E5DF5">
            <w:pPr>
              <w:jc w:val="center"/>
              <w:rPr>
                <w:rFonts w:ascii="楷体" w:eastAsia="楷体" w:hAnsi="楷体"/>
                <w:color w:val="000000"/>
                <w:sz w:val="18"/>
                <w:szCs w:val="18"/>
              </w:rPr>
            </w:pPr>
            <w:r w:rsidRPr="006E5DF5">
              <w:rPr>
                <w:rFonts w:ascii="楷体" w:eastAsia="楷体" w:hAnsi="楷体" w:hint="eastAsia"/>
                <w:color w:val="000000"/>
                <w:sz w:val="18"/>
                <w:szCs w:val="18"/>
              </w:rPr>
              <w:t>3.04</w:t>
            </w:r>
          </w:p>
        </w:tc>
        <w:tc>
          <w:tcPr>
            <w:tcW w:w="993" w:type="dxa"/>
            <w:vMerge/>
            <w:tcBorders>
              <w:left w:val="single" w:sz="6" w:space="0" w:color="FF6600"/>
              <w:right w:val="single" w:sz="6" w:space="0" w:color="FF6600"/>
            </w:tcBorders>
            <w:shd w:val="clear" w:color="auto" w:fill="FDE9D9" w:themeFill="accent6" w:themeFillTint="33"/>
            <w:vAlign w:val="center"/>
          </w:tcPr>
          <w:p w:rsidR="00A162FE" w:rsidRPr="005B7CDB" w:rsidRDefault="00A162FE" w:rsidP="000D1136">
            <w:pPr>
              <w:snapToGrid w:val="0"/>
              <w:jc w:val="center"/>
              <w:rPr>
                <w:rFonts w:ascii="楷体" w:eastAsia="楷体" w:hAnsi="楷体"/>
                <w:b/>
                <w:sz w:val="18"/>
                <w:szCs w:val="18"/>
              </w:rPr>
            </w:pPr>
          </w:p>
        </w:tc>
        <w:tc>
          <w:tcPr>
            <w:tcW w:w="992" w:type="dxa"/>
            <w:tcBorders>
              <w:left w:val="single" w:sz="6" w:space="0" w:color="FF6600"/>
              <w:right w:val="single" w:sz="6" w:space="0" w:color="FF6600"/>
            </w:tcBorders>
            <w:shd w:val="clear" w:color="auto" w:fill="auto"/>
            <w:vAlign w:val="center"/>
          </w:tcPr>
          <w:p w:rsidR="00A162FE" w:rsidRPr="006E5DF5" w:rsidRDefault="00A162FE" w:rsidP="006E5DF5">
            <w:pPr>
              <w:jc w:val="center"/>
              <w:rPr>
                <w:rFonts w:ascii="楷体" w:eastAsia="楷体" w:hAnsi="楷体"/>
                <w:color w:val="000000"/>
                <w:sz w:val="18"/>
                <w:szCs w:val="18"/>
              </w:rPr>
            </w:pPr>
            <w:r w:rsidRPr="006E5DF5">
              <w:rPr>
                <w:rFonts w:ascii="楷体" w:eastAsia="楷体" w:hAnsi="楷体" w:hint="eastAsia"/>
                <w:color w:val="000000"/>
                <w:sz w:val="18"/>
                <w:szCs w:val="18"/>
              </w:rPr>
              <w:t>167701</w:t>
            </w:r>
          </w:p>
        </w:tc>
        <w:tc>
          <w:tcPr>
            <w:tcW w:w="1843" w:type="dxa"/>
            <w:tcBorders>
              <w:left w:val="single" w:sz="6" w:space="0" w:color="FF6600"/>
              <w:right w:val="single" w:sz="6" w:space="0" w:color="FF6600"/>
            </w:tcBorders>
            <w:shd w:val="clear" w:color="auto" w:fill="auto"/>
            <w:vAlign w:val="center"/>
          </w:tcPr>
          <w:p w:rsidR="00A162FE" w:rsidRPr="006E5DF5" w:rsidRDefault="00A162FE" w:rsidP="006E5DF5">
            <w:pPr>
              <w:jc w:val="center"/>
              <w:rPr>
                <w:rFonts w:ascii="楷体" w:eastAsia="楷体" w:hAnsi="楷体"/>
                <w:color w:val="000000"/>
                <w:sz w:val="18"/>
                <w:szCs w:val="18"/>
              </w:rPr>
            </w:pPr>
            <w:r w:rsidRPr="006E5DF5">
              <w:rPr>
                <w:rFonts w:ascii="楷体" w:eastAsia="楷体" w:hAnsi="楷体" w:hint="eastAsia"/>
                <w:color w:val="000000"/>
                <w:sz w:val="18"/>
                <w:szCs w:val="18"/>
              </w:rPr>
              <w:t>德</w:t>
            </w:r>
            <w:proofErr w:type="gramStart"/>
            <w:r w:rsidRPr="006E5DF5">
              <w:rPr>
                <w:rFonts w:ascii="楷体" w:eastAsia="楷体" w:hAnsi="楷体" w:hint="eastAsia"/>
                <w:color w:val="000000"/>
                <w:sz w:val="18"/>
                <w:szCs w:val="18"/>
              </w:rPr>
              <w:t>邦</w:t>
            </w:r>
            <w:proofErr w:type="gramEnd"/>
            <w:r w:rsidRPr="006E5DF5">
              <w:rPr>
                <w:rFonts w:ascii="楷体" w:eastAsia="楷体" w:hAnsi="楷体" w:hint="eastAsia"/>
                <w:color w:val="000000"/>
                <w:sz w:val="18"/>
                <w:szCs w:val="18"/>
              </w:rPr>
              <w:t>企债分级</w:t>
            </w:r>
          </w:p>
        </w:tc>
        <w:tc>
          <w:tcPr>
            <w:tcW w:w="851" w:type="dxa"/>
            <w:tcBorders>
              <w:left w:val="single" w:sz="6" w:space="0" w:color="FF6600"/>
              <w:right w:val="single" w:sz="6" w:space="0" w:color="FF6600"/>
            </w:tcBorders>
            <w:shd w:val="clear" w:color="auto" w:fill="auto"/>
            <w:vAlign w:val="center"/>
          </w:tcPr>
          <w:p w:rsidR="00A162FE" w:rsidRPr="006E5DF5" w:rsidRDefault="00A162FE" w:rsidP="006E5DF5">
            <w:pPr>
              <w:jc w:val="center"/>
              <w:rPr>
                <w:rFonts w:ascii="楷体" w:eastAsia="楷体" w:hAnsi="楷体"/>
                <w:color w:val="000000"/>
                <w:sz w:val="18"/>
                <w:szCs w:val="18"/>
              </w:rPr>
            </w:pPr>
            <w:r w:rsidRPr="006E5DF5">
              <w:rPr>
                <w:rFonts w:ascii="楷体" w:eastAsia="楷体" w:hAnsi="楷体" w:hint="eastAsia"/>
                <w:color w:val="000000"/>
                <w:sz w:val="18"/>
                <w:szCs w:val="18"/>
              </w:rPr>
              <w:t>开放式</w:t>
            </w:r>
          </w:p>
        </w:tc>
        <w:tc>
          <w:tcPr>
            <w:tcW w:w="850" w:type="dxa"/>
            <w:tcBorders>
              <w:left w:val="single" w:sz="6" w:space="0" w:color="FF6600"/>
            </w:tcBorders>
            <w:shd w:val="clear" w:color="auto" w:fill="auto"/>
            <w:vAlign w:val="center"/>
          </w:tcPr>
          <w:p w:rsidR="00A162FE" w:rsidRPr="006E5DF5" w:rsidRDefault="00A162FE" w:rsidP="006E5DF5">
            <w:pPr>
              <w:jc w:val="center"/>
              <w:rPr>
                <w:rFonts w:ascii="楷体" w:eastAsia="楷体" w:hAnsi="楷体"/>
                <w:color w:val="000000"/>
                <w:sz w:val="18"/>
                <w:szCs w:val="18"/>
              </w:rPr>
            </w:pPr>
            <w:r w:rsidRPr="006E5DF5">
              <w:rPr>
                <w:rFonts w:ascii="楷体" w:eastAsia="楷体" w:hAnsi="楷体" w:hint="eastAsia"/>
                <w:color w:val="000000"/>
                <w:sz w:val="18"/>
                <w:szCs w:val="18"/>
              </w:rPr>
              <w:t>0.67</w:t>
            </w:r>
          </w:p>
        </w:tc>
      </w:tr>
      <w:tr w:rsidR="00A162FE" w:rsidRPr="005B7CDB" w:rsidTr="006E5DF5">
        <w:trPr>
          <w:cantSplit/>
          <w:trHeight w:val="227"/>
        </w:trPr>
        <w:tc>
          <w:tcPr>
            <w:tcW w:w="851" w:type="dxa"/>
            <w:vMerge/>
            <w:tcBorders>
              <w:right w:val="single" w:sz="6" w:space="0" w:color="FF6600"/>
            </w:tcBorders>
            <w:shd w:val="clear" w:color="auto" w:fill="FDE9D9" w:themeFill="accent6" w:themeFillTint="33"/>
            <w:vAlign w:val="center"/>
          </w:tcPr>
          <w:p w:rsidR="00A162FE" w:rsidRPr="005B7CDB" w:rsidRDefault="00A162FE" w:rsidP="000D1136">
            <w:pPr>
              <w:snapToGrid w:val="0"/>
              <w:jc w:val="center"/>
              <w:rPr>
                <w:rFonts w:ascii="楷体" w:eastAsia="楷体" w:hAnsi="楷体"/>
                <w:b/>
                <w:sz w:val="18"/>
                <w:szCs w:val="18"/>
              </w:rPr>
            </w:pPr>
          </w:p>
        </w:tc>
        <w:tc>
          <w:tcPr>
            <w:tcW w:w="851" w:type="dxa"/>
            <w:tcBorders>
              <w:left w:val="single" w:sz="6" w:space="0" w:color="FF6600"/>
              <w:right w:val="single" w:sz="6" w:space="0" w:color="FF6600"/>
            </w:tcBorders>
            <w:shd w:val="clear" w:color="auto" w:fill="auto"/>
            <w:vAlign w:val="center"/>
          </w:tcPr>
          <w:p w:rsidR="00A162FE" w:rsidRPr="006E5DF5" w:rsidRDefault="00A162FE" w:rsidP="006E5DF5">
            <w:pPr>
              <w:jc w:val="center"/>
              <w:rPr>
                <w:rFonts w:ascii="楷体" w:eastAsia="楷体" w:hAnsi="楷体"/>
                <w:color w:val="000000"/>
                <w:sz w:val="18"/>
                <w:szCs w:val="18"/>
              </w:rPr>
            </w:pPr>
            <w:r w:rsidRPr="006E5DF5">
              <w:rPr>
                <w:rFonts w:ascii="楷体" w:eastAsia="楷体" w:hAnsi="楷体" w:hint="eastAsia"/>
                <w:color w:val="000000"/>
                <w:sz w:val="18"/>
                <w:szCs w:val="18"/>
              </w:rPr>
              <w:t>166801</w:t>
            </w:r>
          </w:p>
        </w:tc>
        <w:tc>
          <w:tcPr>
            <w:tcW w:w="1984" w:type="dxa"/>
            <w:tcBorders>
              <w:left w:val="single" w:sz="6" w:space="0" w:color="FF6600"/>
              <w:right w:val="single" w:sz="6" w:space="0" w:color="FF6600"/>
            </w:tcBorders>
            <w:shd w:val="clear" w:color="auto" w:fill="auto"/>
            <w:vAlign w:val="center"/>
          </w:tcPr>
          <w:p w:rsidR="00A162FE" w:rsidRPr="006E5DF5" w:rsidRDefault="00A162FE" w:rsidP="006E5DF5">
            <w:pPr>
              <w:jc w:val="center"/>
              <w:rPr>
                <w:rFonts w:ascii="楷体" w:eastAsia="楷体" w:hAnsi="楷体"/>
                <w:color w:val="000000"/>
                <w:sz w:val="18"/>
                <w:szCs w:val="18"/>
              </w:rPr>
            </w:pPr>
            <w:proofErr w:type="gramStart"/>
            <w:r w:rsidRPr="006E5DF5">
              <w:rPr>
                <w:rFonts w:ascii="楷体" w:eastAsia="楷体" w:hAnsi="楷体" w:hint="eastAsia"/>
                <w:color w:val="000000"/>
                <w:sz w:val="18"/>
                <w:szCs w:val="18"/>
              </w:rPr>
              <w:t>浙商聚潮新</w:t>
            </w:r>
            <w:proofErr w:type="gramEnd"/>
            <w:r w:rsidRPr="006E5DF5">
              <w:rPr>
                <w:rFonts w:ascii="楷体" w:eastAsia="楷体" w:hAnsi="楷体" w:hint="eastAsia"/>
                <w:color w:val="000000"/>
                <w:sz w:val="18"/>
                <w:szCs w:val="18"/>
              </w:rPr>
              <w:t>思维</w:t>
            </w:r>
          </w:p>
        </w:tc>
        <w:tc>
          <w:tcPr>
            <w:tcW w:w="851" w:type="dxa"/>
            <w:tcBorders>
              <w:left w:val="single" w:sz="6" w:space="0" w:color="FF6600"/>
              <w:right w:val="single" w:sz="6" w:space="0" w:color="FF6600"/>
            </w:tcBorders>
            <w:shd w:val="clear" w:color="auto" w:fill="auto"/>
            <w:vAlign w:val="center"/>
          </w:tcPr>
          <w:p w:rsidR="00A162FE" w:rsidRPr="006E5DF5" w:rsidRDefault="00A162FE" w:rsidP="006E5DF5">
            <w:pPr>
              <w:jc w:val="center"/>
              <w:rPr>
                <w:rFonts w:ascii="楷体" w:eastAsia="楷体" w:hAnsi="楷体"/>
                <w:color w:val="000000"/>
                <w:sz w:val="18"/>
                <w:szCs w:val="18"/>
              </w:rPr>
            </w:pPr>
            <w:r w:rsidRPr="006E5DF5">
              <w:rPr>
                <w:rFonts w:ascii="楷体" w:eastAsia="楷体" w:hAnsi="楷体" w:hint="eastAsia"/>
                <w:color w:val="000000"/>
                <w:sz w:val="18"/>
                <w:szCs w:val="18"/>
              </w:rPr>
              <w:t>开放式</w:t>
            </w:r>
          </w:p>
        </w:tc>
        <w:tc>
          <w:tcPr>
            <w:tcW w:w="991" w:type="dxa"/>
            <w:tcBorders>
              <w:left w:val="single" w:sz="6" w:space="0" w:color="FF6600"/>
              <w:right w:val="single" w:sz="6" w:space="0" w:color="FF6600"/>
            </w:tcBorders>
            <w:shd w:val="clear" w:color="auto" w:fill="auto"/>
            <w:vAlign w:val="center"/>
          </w:tcPr>
          <w:p w:rsidR="00A162FE" w:rsidRPr="006E5DF5" w:rsidRDefault="00A162FE" w:rsidP="006E5DF5">
            <w:pPr>
              <w:jc w:val="center"/>
              <w:rPr>
                <w:rFonts w:ascii="楷体" w:eastAsia="楷体" w:hAnsi="楷体"/>
                <w:color w:val="000000"/>
                <w:sz w:val="18"/>
                <w:szCs w:val="18"/>
              </w:rPr>
            </w:pPr>
            <w:r w:rsidRPr="006E5DF5">
              <w:rPr>
                <w:rFonts w:ascii="楷体" w:eastAsia="楷体" w:hAnsi="楷体" w:hint="eastAsia"/>
                <w:color w:val="000000"/>
                <w:sz w:val="18"/>
                <w:szCs w:val="18"/>
              </w:rPr>
              <w:t>2.84</w:t>
            </w:r>
          </w:p>
        </w:tc>
        <w:tc>
          <w:tcPr>
            <w:tcW w:w="993" w:type="dxa"/>
            <w:vMerge/>
            <w:tcBorders>
              <w:left w:val="single" w:sz="6" w:space="0" w:color="FF6600"/>
              <w:right w:val="single" w:sz="6" w:space="0" w:color="FF6600"/>
            </w:tcBorders>
            <w:shd w:val="clear" w:color="auto" w:fill="FDE9D9" w:themeFill="accent6" w:themeFillTint="33"/>
            <w:vAlign w:val="center"/>
          </w:tcPr>
          <w:p w:rsidR="00A162FE" w:rsidRPr="005B7CDB" w:rsidRDefault="00A162FE" w:rsidP="000D1136">
            <w:pPr>
              <w:snapToGrid w:val="0"/>
              <w:jc w:val="center"/>
              <w:rPr>
                <w:rFonts w:ascii="楷体" w:eastAsia="楷体" w:hAnsi="楷体"/>
                <w:b/>
                <w:sz w:val="18"/>
                <w:szCs w:val="18"/>
              </w:rPr>
            </w:pPr>
          </w:p>
        </w:tc>
        <w:tc>
          <w:tcPr>
            <w:tcW w:w="992" w:type="dxa"/>
            <w:tcBorders>
              <w:left w:val="single" w:sz="6" w:space="0" w:color="FF6600"/>
              <w:right w:val="single" w:sz="6" w:space="0" w:color="FF6600"/>
            </w:tcBorders>
            <w:shd w:val="clear" w:color="auto" w:fill="auto"/>
            <w:vAlign w:val="center"/>
          </w:tcPr>
          <w:p w:rsidR="00A162FE" w:rsidRPr="006E5DF5" w:rsidRDefault="00A162FE" w:rsidP="006E5DF5">
            <w:pPr>
              <w:jc w:val="center"/>
              <w:rPr>
                <w:rFonts w:ascii="楷体" w:eastAsia="楷体" w:hAnsi="楷体"/>
                <w:color w:val="000000"/>
                <w:sz w:val="18"/>
                <w:szCs w:val="18"/>
              </w:rPr>
            </w:pPr>
            <w:r w:rsidRPr="006E5DF5">
              <w:rPr>
                <w:rFonts w:ascii="楷体" w:eastAsia="楷体" w:hAnsi="楷体" w:hint="eastAsia"/>
                <w:color w:val="000000"/>
                <w:sz w:val="18"/>
                <w:szCs w:val="18"/>
              </w:rPr>
              <w:t>161625</w:t>
            </w:r>
          </w:p>
        </w:tc>
        <w:tc>
          <w:tcPr>
            <w:tcW w:w="1843" w:type="dxa"/>
            <w:tcBorders>
              <w:left w:val="single" w:sz="6" w:space="0" w:color="FF6600"/>
              <w:right w:val="single" w:sz="6" w:space="0" w:color="FF6600"/>
            </w:tcBorders>
            <w:shd w:val="clear" w:color="auto" w:fill="auto"/>
            <w:vAlign w:val="center"/>
          </w:tcPr>
          <w:p w:rsidR="00A162FE" w:rsidRPr="006E5DF5" w:rsidRDefault="00A162FE" w:rsidP="006E5DF5">
            <w:pPr>
              <w:jc w:val="center"/>
              <w:rPr>
                <w:rFonts w:ascii="楷体" w:eastAsia="楷体" w:hAnsi="楷体"/>
                <w:color w:val="000000"/>
                <w:sz w:val="18"/>
                <w:szCs w:val="18"/>
              </w:rPr>
            </w:pPr>
            <w:proofErr w:type="gramStart"/>
            <w:r w:rsidRPr="006E5DF5">
              <w:rPr>
                <w:rFonts w:ascii="楷体" w:eastAsia="楷体" w:hAnsi="楷体" w:hint="eastAsia"/>
                <w:color w:val="000000"/>
                <w:sz w:val="18"/>
                <w:szCs w:val="18"/>
              </w:rPr>
              <w:t>融通标普中国</w:t>
            </w:r>
            <w:proofErr w:type="gramEnd"/>
            <w:r w:rsidRPr="006E5DF5">
              <w:rPr>
                <w:rFonts w:ascii="楷体" w:eastAsia="楷体" w:hAnsi="楷体" w:hint="eastAsia"/>
                <w:color w:val="000000"/>
                <w:sz w:val="18"/>
                <w:szCs w:val="18"/>
              </w:rPr>
              <w:t>可转债C</w:t>
            </w:r>
          </w:p>
        </w:tc>
        <w:tc>
          <w:tcPr>
            <w:tcW w:w="851" w:type="dxa"/>
            <w:tcBorders>
              <w:left w:val="single" w:sz="6" w:space="0" w:color="FF6600"/>
              <w:right w:val="single" w:sz="6" w:space="0" w:color="FF6600"/>
            </w:tcBorders>
            <w:shd w:val="clear" w:color="auto" w:fill="auto"/>
            <w:vAlign w:val="center"/>
          </w:tcPr>
          <w:p w:rsidR="00A162FE" w:rsidRPr="006E5DF5" w:rsidRDefault="00A162FE" w:rsidP="006E5DF5">
            <w:pPr>
              <w:jc w:val="center"/>
              <w:rPr>
                <w:rFonts w:ascii="楷体" w:eastAsia="楷体" w:hAnsi="楷体"/>
                <w:color w:val="000000"/>
                <w:sz w:val="18"/>
                <w:szCs w:val="18"/>
              </w:rPr>
            </w:pPr>
            <w:r w:rsidRPr="006E5DF5">
              <w:rPr>
                <w:rFonts w:ascii="楷体" w:eastAsia="楷体" w:hAnsi="楷体" w:hint="eastAsia"/>
                <w:color w:val="000000"/>
                <w:sz w:val="18"/>
                <w:szCs w:val="18"/>
              </w:rPr>
              <w:t>开放式</w:t>
            </w:r>
          </w:p>
        </w:tc>
        <w:tc>
          <w:tcPr>
            <w:tcW w:w="850" w:type="dxa"/>
            <w:tcBorders>
              <w:left w:val="single" w:sz="6" w:space="0" w:color="FF6600"/>
            </w:tcBorders>
            <w:shd w:val="clear" w:color="auto" w:fill="auto"/>
            <w:vAlign w:val="center"/>
          </w:tcPr>
          <w:p w:rsidR="00A162FE" w:rsidRPr="006E5DF5" w:rsidRDefault="00A162FE" w:rsidP="006E5DF5">
            <w:pPr>
              <w:jc w:val="center"/>
              <w:rPr>
                <w:rFonts w:ascii="楷体" w:eastAsia="楷体" w:hAnsi="楷体"/>
                <w:color w:val="000000"/>
                <w:sz w:val="18"/>
                <w:szCs w:val="18"/>
              </w:rPr>
            </w:pPr>
            <w:r w:rsidRPr="006E5DF5">
              <w:rPr>
                <w:rFonts w:ascii="楷体" w:eastAsia="楷体" w:hAnsi="楷体" w:hint="eastAsia"/>
                <w:color w:val="000000"/>
                <w:sz w:val="18"/>
                <w:szCs w:val="18"/>
              </w:rPr>
              <w:t>0.54</w:t>
            </w:r>
          </w:p>
        </w:tc>
      </w:tr>
      <w:tr w:rsidR="009115A4" w:rsidRPr="005B7CDB" w:rsidTr="006E5DF5">
        <w:trPr>
          <w:cantSplit/>
          <w:trHeight w:val="227"/>
        </w:trPr>
        <w:tc>
          <w:tcPr>
            <w:tcW w:w="851" w:type="dxa"/>
            <w:vMerge w:val="restart"/>
            <w:tcBorders>
              <w:right w:val="single" w:sz="6" w:space="0" w:color="FF6600"/>
            </w:tcBorders>
            <w:shd w:val="clear" w:color="auto" w:fill="FDE9D9" w:themeFill="accent6" w:themeFillTint="33"/>
            <w:vAlign w:val="center"/>
          </w:tcPr>
          <w:p w:rsidR="009115A4" w:rsidRPr="002F5B82" w:rsidRDefault="009115A4" w:rsidP="00884478">
            <w:pPr>
              <w:snapToGrid w:val="0"/>
              <w:jc w:val="center"/>
              <w:rPr>
                <w:rFonts w:ascii="楷体" w:eastAsia="楷体" w:hAnsi="楷体"/>
                <w:b/>
                <w:sz w:val="18"/>
                <w:szCs w:val="18"/>
              </w:rPr>
            </w:pPr>
            <w:r w:rsidRPr="002F5B82">
              <w:rPr>
                <w:rFonts w:ascii="楷体" w:eastAsia="楷体" w:hAnsi="楷体" w:hint="eastAsia"/>
                <w:b/>
                <w:sz w:val="18"/>
                <w:szCs w:val="18"/>
              </w:rPr>
              <w:t>QDII</w:t>
            </w:r>
          </w:p>
        </w:tc>
        <w:tc>
          <w:tcPr>
            <w:tcW w:w="851" w:type="dxa"/>
            <w:tcBorders>
              <w:left w:val="single" w:sz="6" w:space="0" w:color="FF6600"/>
              <w:right w:val="single" w:sz="6" w:space="0" w:color="FF6600"/>
            </w:tcBorders>
            <w:shd w:val="clear" w:color="auto" w:fill="auto"/>
            <w:vAlign w:val="center"/>
          </w:tcPr>
          <w:p w:rsidR="009115A4" w:rsidRPr="006E5DF5" w:rsidRDefault="009115A4" w:rsidP="006E5DF5">
            <w:pPr>
              <w:jc w:val="center"/>
              <w:rPr>
                <w:rFonts w:ascii="楷体" w:eastAsia="楷体" w:hAnsi="楷体"/>
                <w:color w:val="000000"/>
                <w:sz w:val="18"/>
                <w:szCs w:val="18"/>
              </w:rPr>
            </w:pPr>
            <w:r w:rsidRPr="006E5DF5">
              <w:rPr>
                <w:rFonts w:ascii="楷体" w:eastAsia="楷体" w:hAnsi="楷体" w:hint="eastAsia"/>
                <w:color w:val="000000"/>
                <w:sz w:val="18"/>
                <w:szCs w:val="18"/>
              </w:rPr>
              <w:t>320017</w:t>
            </w:r>
          </w:p>
        </w:tc>
        <w:tc>
          <w:tcPr>
            <w:tcW w:w="1984" w:type="dxa"/>
            <w:tcBorders>
              <w:left w:val="single" w:sz="6" w:space="0" w:color="FF6600"/>
              <w:right w:val="single" w:sz="6" w:space="0" w:color="FF6600"/>
            </w:tcBorders>
            <w:shd w:val="clear" w:color="auto" w:fill="auto"/>
            <w:vAlign w:val="center"/>
          </w:tcPr>
          <w:p w:rsidR="009115A4" w:rsidRPr="006E5DF5" w:rsidRDefault="009115A4" w:rsidP="006E5DF5">
            <w:pPr>
              <w:jc w:val="center"/>
              <w:rPr>
                <w:rFonts w:ascii="楷体" w:eastAsia="楷体" w:hAnsi="楷体"/>
                <w:color w:val="000000"/>
                <w:sz w:val="18"/>
                <w:szCs w:val="18"/>
              </w:rPr>
            </w:pPr>
            <w:proofErr w:type="gramStart"/>
            <w:r w:rsidRPr="006E5DF5">
              <w:rPr>
                <w:rFonts w:ascii="楷体" w:eastAsia="楷体" w:hAnsi="楷体" w:hint="eastAsia"/>
                <w:color w:val="000000"/>
                <w:sz w:val="18"/>
                <w:szCs w:val="18"/>
              </w:rPr>
              <w:t>诺安全球收益</w:t>
            </w:r>
            <w:proofErr w:type="gramEnd"/>
            <w:r w:rsidRPr="006E5DF5">
              <w:rPr>
                <w:rFonts w:ascii="楷体" w:eastAsia="楷体" w:hAnsi="楷体" w:hint="eastAsia"/>
                <w:color w:val="000000"/>
                <w:sz w:val="18"/>
                <w:szCs w:val="18"/>
              </w:rPr>
              <w:t>不动产</w:t>
            </w:r>
          </w:p>
        </w:tc>
        <w:tc>
          <w:tcPr>
            <w:tcW w:w="851" w:type="dxa"/>
            <w:tcBorders>
              <w:left w:val="single" w:sz="6" w:space="0" w:color="FF6600"/>
              <w:right w:val="single" w:sz="6" w:space="0" w:color="FF6600"/>
            </w:tcBorders>
            <w:shd w:val="clear" w:color="auto" w:fill="auto"/>
            <w:vAlign w:val="center"/>
          </w:tcPr>
          <w:p w:rsidR="009115A4" w:rsidRPr="006E5DF5" w:rsidRDefault="009115A4" w:rsidP="006E5DF5">
            <w:pPr>
              <w:jc w:val="center"/>
              <w:rPr>
                <w:rFonts w:ascii="楷体" w:eastAsia="楷体" w:hAnsi="楷体"/>
                <w:color w:val="000000"/>
                <w:sz w:val="18"/>
                <w:szCs w:val="18"/>
              </w:rPr>
            </w:pPr>
            <w:r w:rsidRPr="006E5DF5">
              <w:rPr>
                <w:rFonts w:ascii="楷体" w:eastAsia="楷体" w:hAnsi="楷体" w:hint="eastAsia"/>
                <w:color w:val="000000"/>
                <w:sz w:val="18"/>
                <w:szCs w:val="18"/>
              </w:rPr>
              <w:t>开放式</w:t>
            </w:r>
          </w:p>
        </w:tc>
        <w:tc>
          <w:tcPr>
            <w:tcW w:w="991" w:type="dxa"/>
            <w:tcBorders>
              <w:left w:val="single" w:sz="6" w:space="0" w:color="FF6600"/>
              <w:right w:val="single" w:sz="6" w:space="0" w:color="FF6600"/>
            </w:tcBorders>
            <w:shd w:val="clear" w:color="auto" w:fill="auto"/>
            <w:vAlign w:val="center"/>
          </w:tcPr>
          <w:p w:rsidR="009115A4" w:rsidRPr="006E5DF5" w:rsidRDefault="009115A4" w:rsidP="006E5DF5">
            <w:pPr>
              <w:jc w:val="center"/>
              <w:rPr>
                <w:rFonts w:ascii="楷体" w:eastAsia="楷体" w:hAnsi="楷体"/>
                <w:color w:val="000000"/>
                <w:sz w:val="18"/>
                <w:szCs w:val="18"/>
              </w:rPr>
            </w:pPr>
            <w:r w:rsidRPr="006E5DF5">
              <w:rPr>
                <w:rFonts w:ascii="楷体" w:eastAsia="楷体" w:hAnsi="楷体" w:hint="eastAsia"/>
                <w:color w:val="000000"/>
                <w:sz w:val="18"/>
                <w:szCs w:val="18"/>
              </w:rPr>
              <w:t>3.38</w:t>
            </w:r>
          </w:p>
        </w:tc>
        <w:tc>
          <w:tcPr>
            <w:tcW w:w="993" w:type="dxa"/>
            <w:vMerge w:val="restart"/>
            <w:tcBorders>
              <w:left w:val="single" w:sz="6" w:space="0" w:color="FF6600"/>
              <w:right w:val="single" w:sz="6" w:space="0" w:color="FF6600"/>
            </w:tcBorders>
            <w:shd w:val="clear" w:color="auto" w:fill="FDE9D9" w:themeFill="accent6" w:themeFillTint="33"/>
            <w:vAlign w:val="center"/>
          </w:tcPr>
          <w:p w:rsidR="009115A4" w:rsidRPr="005B7CDB" w:rsidRDefault="009115A4" w:rsidP="00884478">
            <w:pPr>
              <w:snapToGrid w:val="0"/>
              <w:jc w:val="center"/>
              <w:rPr>
                <w:rFonts w:ascii="楷体" w:eastAsia="楷体" w:hAnsi="楷体"/>
                <w:b/>
                <w:bCs/>
                <w:color w:val="000000"/>
                <w:sz w:val="18"/>
                <w:szCs w:val="18"/>
              </w:rPr>
            </w:pPr>
            <w:r w:rsidRPr="005B7CDB">
              <w:rPr>
                <w:rFonts w:ascii="楷体" w:eastAsia="楷体" w:hAnsi="楷体" w:hint="eastAsia"/>
                <w:b/>
                <w:bCs/>
                <w:color w:val="000000"/>
                <w:sz w:val="18"/>
                <w:szCs w:val="18"/>
              </w:rPr>
              <w:t>债券-</w:t>
            </w:r>
          </w:p>
          <w:p w:rsidR="009115A4" w:rsidRPr="005B7CDB" w:rsidRDefault="009115A4" w:rsidP="00884478">
            <w:pPr>
              <w:snapToGrid w:val="0"/>
              <w:jc w:val="center"/>
              <w:rPr>
                <w:rFonts w:ascii="楷体" w:eastAsia="楷体" w:hAnsi="楷体" w:cs="宋体"/>
                <w:b/>
                <w:bCs/>
                <w:color w:val="000000"/>
                <w:sz w:val="18"/>
                <w:szCs w:val="18"/>
              </w:rPr>
            </w:pPr>
            <w:proofErr w:type="gramStart"/>
            <w:r w:rsidRPr="005B7CDB">
              <w:rPr>
                <w:rFonts w:ascii="楷体" w:eastAsia="楷体" w:hAnsi="楷体" w:hint="eastAsia"/>
                <w:b/>
                <w:bCs/>
                <w:color w:val="000000"/>
                <w:sz w:val="18"/>
                <w:szCs w:val="18"/>
              </w:rPr>
              <w:t>可转债基</w:t>
            </w:r>
            <w:proofErr w:type="gramEnd"/>
          </w:p>
        </w:tc>
        <w:tc>
          <w:tcPr>
            <w:tcW w:w="992" w:type="dxa"/>
            <w:tcBorders>
              <w:left w:val="single" w:sz="6" w:space="0" w:color="FF6600"/>
              <w:right w:val="single" w:sz="6" w:space="0" w:color="FF6600"/>
            </w:tcBorders>
            <w:shd w:val="clear" w:color="auto" w:fill="auto"/>
            <w:vAlign w:val="center"/>
          </w:tcPr>
          <w:p w:rsidR="009115A4" w:rsidRPr="006E5DF5" w:rsidRDefault="009115A4" w:rsidP="006E5DF5">
            <w:pPr>
              <w:jc w:val="center"/>
              <w:rPr>
                <w:rFonts w:ascii="楷体" w:eastAsia="楷体" w:hAnsi="楷体"/>
                <w:color w:val="000000"/>
                <w:sz w:val="18"/>
                <w:szCs w:val="18"/>
              </w:rPr>
            </w:pPr>
            <w:r w:rsidRPr="006E5DF5">
              <w:rPr>
                <w:rFonts w:ascii="楷体" w:eastAsia="楷体" w:hAnsi="楷体" w:hint="eastAsia"/>
                <w:color w:val="000000"/>
                <w:sz w:val="18"/>
                <w:szCs w:val="18"/>
              </w:rPr>
              <w:t>50119</w:t>
            </w:r>
          </w:p>
        </w:tc>
        <w:tc>
          <w:tcPr>
            <w:tcW w:w="1843" w:type="dxa"/>
            <w:tcBorders>
              <w:left w:val="single" w:sz="6" w:space="0" w:color="FF6600"/>
              <w:right w:val="single" w:sz="6" w:space="0" w:color="FF6600"/>
            </w:tcBorders>
            <w:shd w:val="clear" w:color="auto" w:fill="auto"/>
            <w:vAlign w:val="center"/>
          </w:tcPr>
          <w:p w:rsidR="009115A4" w:rsidRPr="006E5DF5" w:rsidRDefault="009115A4" w:rsidP="006E5DF5">
            <w:pPr>
              <w:jc w:val="center"/>
              <w:rPr>
                <w:rFonts w:ascii="楷体" w:eastAsia="楷体" w:hAnsi="楷体"/>
                <w:color w:val="000000"/>
                <w:sz w:val="18"/>
                <w:szCs w:val="18"/>
              </w:rPr>
            </w:pPr>
            <w:r w:rsidRPr="006E5DF5">
              <w:rPr>
                <w:rFonts w:ascii="楷体" w:eastAsia="楷体" w:hAnsi="楷体" w:hint="eastAsia"/>
                <w:color w:val="000000"/>
                <w:sz w:val="18"/>
                <w:szCs w:val="18"/>
              </w:rPr>
              <w:t>博时转债C</w:t>
            </w:r>
          </w:p>
        </w:tc>
        <w:tc>
          <w:tcPr>
            <w:tcW w:w="851" w:type="dxa"/>
            <w:tcBorders>
              <w:left w:val="single" w:sz="6" w:space="0" w:color="FF6600"/>
              <w:right w:val="single" w:sz="6" w:space="0" w:color="FF6600"/>
            </w:tcBorders>
            <w:shd w:val="clear" w:color="auto" w:fill="auto"/>
            <w:vAlign w:val="center"/>
          </w:tcPr>
          <w:p w:rsidR="009115A4" w:rsidRPr="006E5DF5" w:rsidRDefault="009115A4" w:rsidP="006E5DF5">
            <w:pPr>
              <w:jc w:val="center"/>
              <w:rPr>
                <w:rFonts w:ascii="楷体" w:eastAsia="楷体" w:hAnsi="楷体"/>
                <w:color w:val="000000"/>
                <w:sz w:val="18"/>
                <w:szCs w:val="18"/>
              </w:rPr>
            </w:pPr>
            <w:r w:rsidRPr="006E5DF5">
              <w:rPr>
                <w:rFonts w:ascii="楷体" w:eastAsia="楷体" w:hAnsi="楷体" w:hint="eastAsia"/>
                <w:color w:val="000000"/>
                <w:sz w:val="18"/>
                <w:szCs w:val="18"/>
              </w:rPr>
              <w:t>开放式</w:t>
            </w:r>
          </w:p>
        </w:tc>
        <w:tc>
          <w:tcPr>
            <w:tcW w:w="850" w:type="dxa"/>
            <w:tcBorders>
              <w:left w:val="single" w:sz="6" w:space="0" w:color="FF6600"/>
            </w:tcBorders>
            <w:shd w:val="clear" w:color="auto" w:fill="auto"/>
            <w:vAlign w:val="center"/>
          </w:tcPr>
          <w:p w:rsidR="009115A4" w:rsidRPr="006E5DF5" w:rsidRDefault="009115A4" w:rsidP="006E5DF5">
            <w:pPr>
              <w:jc w:val="center"/>
              <w:rPr>
                <w:rFonts w:ascii="楷体" w:eastAsia="楷体" w:hAnsi="楷体"/>
                <w:color w:val="000000"/>
                <w:sz w:val="18"/>
                <w:szCs w:val="18"/>
              </w:rPr>
            </w:pPr>
            <w:r w:rsidRPr="006E5DF5">
              <w:rPr>
                <w:rFonts w:ascii="楷体" w:eastAsia="楷体" w:hAnsi="楷体" w:hint="eastAsia"/>
                <w:color w:val="000000"/>
                <w:sz w:val="18"/>
                <w:szCs w:val="18"/>
              </w:rPr>
              <w:t>0.83</w:t>
            </w:r>
          </w:p>
        </w:tc>
      </w:tr>
      <w:tr w:rsidR="009115A4" w:rsidRPr="005B7CDB" w:rsidTr="006E5DF5">
        <w:trPr>
          <w:cantSplit/>
          <w:trHeight w:val="227"/>
        </w:trPr>
        <w:tc>
          <w:tcPr>
            <w:tcW w:w="851" w:type="dxa"/>
            <w:vMerge/>
            <w:tcBorders>
              <w:right w:val="single" w:sz="6" w:space="0" w:color="FF6600"/>
            </w:tcBorders>
            <w:shd w:val="clear" w:color="auto" w:fill="FDE9D9" w:themeFill="accent6" w:themeFillTint="33"/>
            <w:vAlign w:val="center"/>
          </w:tcPr>
          <w:p w:rsidR="009115A4" w:rsidRPr="006E55A6" w:rsidRDefault="009115A4" w:rsidP="000D1136">
            <w:pPr>
              <w:snapToGrid w:val="0"/>
              <w:jc w:val="center"/>
              <w:rPr>
                <w:rFonts w:ascii="楷体" w:eastAsia="楷体" w:hAnsi="楷体"/>
                <w:b/>
                <w:color w:val="FF0000"/>
                <w:sz w:val="18"/>
                <w:szCs w:val="18"/>
              </w:rPr>
            </w:pPr>
          </w:p>
        </w:tc>
        <w:tc>
          <w:tcPr>
            <w:tcW w:w="851" w:type="dxa"/>
            <w:tcBorders>
              <w:left w:val="single" w:sz="6" w:space="0" w:color="FF6600"/>
              <w:right w:val="single" w:sz="6" w:space="0" w:color="FF6600"/>
            </w:tcBorders>
            <w:shd w:val="clear" w:color="auto" w:fill="auto"/>
            <w:vAlign w:val="center"/>
          </w:tcPr>
          <w:p w:rsidR="009115A4" w:rsidRPr="006E5DF5" w:rsidRDefault="009115A4" w:rsidP="006E5DF5">
            <w:pPr>
              <w:jc w:val="center"/>
              <w:rPr>
                <w:rFonts w:ascii="楷体" w:eastAsia="楷体" w:hAnsi="楷体"/>
                <w:color w:val="000000"/>
                <w:sz w:val="18"/>
                <w:szCs w:val="18"/>
              </w:rPr>
            </w:pPr>
            <w:r w:rsidRPr="006E5DF5">
              <w:rPr>
                <w:rFonts w:ascii="楷体" w:eastAsia="楷体" w:hAnsi="楷体" w:hint="eastAsia"/>
                <w:color w:val="000000"/>
                <w:sz w:val="18"/>
                <w:szCs w:val="18"/>
              </w:rPr>
              <w:t>179</w:t>
            </w:r>
          </w:p>
        </w:tc>
        <w:tc>
          <w:tcPr>
            <w:tcW w:w="1984" w:type="dxa"/>
            <w:tcBorders>
              <w:left w:val="single" w:sz="6" w:space="0" w:color="FF6600"/>
              <w:right w:val="single" w:sz="6" w:space="0" w:color="FF6600"/>
            </w:tcBorders>
            <w:shd w:val="clear" w:color="auto" w:fill="auto"/>
            <w:vAlign w:val="center"/>
          </w:tcPr>
          <w:p w:rsidR="009115A4" w:rsidRPr="006E5DF5" w:rsidRDefault="009115A4" w:rsidP="006E5DF5">
            <w:pPr>
              <w:jc w:val="center"/>
              <w:rPr>
                <w:rFonts w:ascii="楷体" w:eastAsia="楷体" w:hAnsi="楷体"/>
                <w:color w:val="000000"/>
                <w:sz w:val="18"/>
                <w:szCs w:val="18"/>
              </w:rPr>
            </w:pPr>
            <w:r w:rsidRPr="006E5DF5">
              <w:rPr>
                <w:rFonts w:ascii="楷体" w:eastAsia="楷体" w:hAnsi="楷体" w:hint="eastAsia"/>
                <w:color w:val="000000"/>
                <w:sz w:val="18"/>
                <w:szCs w:val="18"/>
              </w:rPr>
              <w:t>广发美国房地产人民币</w:t>
            </w:r>
          </w:p>
        </w:tc>
        <w:tc>
          <w:tcPr>
            <w:tcW w:w="851" w:type="dxa"/>
            <w:tcBorders>
              <w:left w:val="single" w:sz="6" w:space="0" w:color="FF6600"/>
              <w:right w:val="single" w:sz="6" w:space="0" w:color="FF6600"/>
            </w:tcBorders>
            <w:shd w:val="clear" w:color="auto" w:fill="auto"/>
            <w:vAlign w:val="center"/>
          </w:tcPr>
          <w:p w:rsidR="009115A4" w:rsidRPr="006E5DF5" w:rsidRDefault="009115A4" w:rsidP="006E5DF5">
            <w:pPr>
              <w:jc w:val="center"/>
              <w:rPr>
                <w:rFonts w:ascii="楷体" w:eastAsia="楷体" w:hAnsi="楷体"/>
                <w:color w:val="000000"/>
                <w:sz w:val="18"/>
                <w:szCs w:val="18"/>
              </w:rPr>
            </w:pPr>
            <w:r w:rsidRPr="006E5DF5">
              <w:rPr>
                <w:rFonts w:ascii="楷体" w:eastAsia="楷体" w:hAnsi="楷体" w:hint="eastAsia"/>
                <w:color w:val="000000"/>
                <w:sz w:val="18"/>
                <w:szCs w:val="18"/>
              </w:rPr>
              <w:t>开放式</w:t>
            </w:r>
          </w:p>
        </w:tc>
        <w:tc>
          <w:tcPr>
            <w:tcW w:w="991" w:type="dxa"/>
            <w:tcBorders>
              <w:left w:val="single" w:sz="6" w:space="0" w:color="FF6600"/>
              <w:right w:val="single" w:sz="6" w:space="0" w:color="FF6600"/>
            </w:tcBorders>
            <w:shd w:val="clear" w:color="auto" w:fill="auto"/>
            <w:vAlign w:val="center"/>
          </w:tcPr>
          <w:p w:rsidR="009115A4" w:rsidRPr="006E5DF5" w:rsidRDefault="009115A4" w:rsidP="006E5DF5">
            <w:pPr>
              <w:jc w:val="center"/>
              <w:rPr>
                <w:rFonts w:ascii="楷体" w:eastAsia="楷体" w:hAnsi="楷体"/>
                <w:color w:val="000000"/>
                <w:sz w:val="18"/>
                <w:szCs w:val="18"/>
              </w:rPr>
            </w:pPr>
            <w:r w:rsidRPr="006E5DF5">
              <w:rPr>
                <w:rFonts w:ascii="楷体" w:eastAsia="楷体" w:hAnsi="楷体" w:hint="eastAsia"/>
                <w:color w:val="000000"/>
                <w:sz w:val="18"/>
                <w:szCs w:val="18"/>
              </w:rPr>
              <w:t>2.54</w:t>
            </w:r>
          </w:p>
        </w:tc>
        <w:tc>
          <w:tcPr>
            <w:tcW w:w="993" w:type="dxa"/>
            <w:vMerge/>
            <w:tcBorders>
              <w:left w:val="single" w:sz="6" w:space="0" w:color="FF6600"/>
              <w:right w:val="single" w:sz="6" w:space="0" w:color="FF6600"/>
            </w:tcBorders>
            <w:shd w:val="clear" w:color="auto" w:fill="FDE9D9" w:themeFill="accent6" w:themeFillTint="33"/>
            <w:vAlign w:val="center"/>
          </w:tcPr>
          <w:p w:rsidR="009115A4" w:rsidRPr="005B7CDB" w:rsidRDefault="009115A4" w:rsidP="000D1136">
            <w:pPr>
              <w:snapToGrid w:val="0"/>
              <w:jc w:val="center"/>
              <w:rPr>
                <w:rFonts w:ascii="楷体" w:eastAsia="楷体" w:hAnsi="楷体"/>
                <w:b/>
                <w:sz w:val="18"/>
                <w:szCs w:val="18"/>
              </w:rPr>
            </w:pPr>
          </w:p>
        </w:tc>
        <w:tc>
          <w:tcPr>
            <w:tcW w:w="992" w:type="dxa"/>
            <w:tcBorders>
              <w:left w:val="single" w:sz="6" w:space="0" w:color="FF6600"/>
              <w:right w:val="single" w:sz="6" w:space="0" w:color="FF6600"/>
            </w:tcBorders>
            <w:shd w:val="clear" w:color="auto" w:fill="auto"/>
            <w:vAlign w:val="center"/>
          </w:tcPr>
          <w:p w:rsidR="009115A4" w:rsidRPr="006E5DF5" w:rsidRDefault="009115A4" w:rsidP="006E5DF5">
            <w:pPr>
              <w:jc w:val="center"/>
              <w:rPr>
                <w:rFonts w:ascii="楷体" w:eastAsia="楷体" w:hAnsi="楷体"/>
                <w:color w:val="000000"/>
                <w:sz w:val="18"/>
                <w:szCs w:val="18"/>
              </w:rPr>
            </w:pPr>
            <w:r w:rsidRPr="006E5DF5">
              <w:rPr>
                <w:rFonts w:ascii="楷体" w:eastAsia="楷体" w:hAnsi="楷体" w:hint="eastAsia"/>
                <w:color w:val="000000"/>
                <w:sz w:val="18"/>
                <w:szCs w:val="18"/>
              </w:rPr>
              <w:t>50019</w:t>
            </w:r>
          </w:p>
        </w:tc>
        <w:tc>
          <w:tcPr>
            <w:tcW w:w="1843" w:type="dxa"/>
            <w:tcBorders>
              <w:left w:val="single" w:sz="6" w:space="0" w:color="FF6600"/>
              <w:right w:val="single" w:sz="6" w:space="0" w:color="FF6600"/>
            </w:tcBorders>
            <w:shd w:val="clear" w:color="auto" w:fill="auto"/>
            <w:vAlign w:val="center"/>
          </w:tcPr>
          <w:p w:rsidR="009115A4" w:rsidRPr="006E5DF5" w:rsidRDefault="009115A4" w:rsidP="006E5DF5">
            <w:pPr>
              <w:jc w:val="center"/>
              <w:rPr>
                <w:rFonts w:ascii="楷体" w:eastAsia="楷体" w:hAnsi="楷体"/>
                <w:color w:val="000000"/>
                <w:sz w:val="18"/>
                <w:szCs w:val="18"/>
              </w:rPr>
            </w:pPr>
            <w:r w:rsidRPr="006E5DF5">
              <w:rPr>
                <w:rFonts w:ascii="楷体" w:eastAsia="楷体" w:hAnsi="楷体" w:hint="eastAsia"/>
                <w:color w:val="000000"/>
                <w:sz w:val="18"/>
                <w:szCs w:val="18"/>
              </w:rPr>
              <w:t>博时转债A</w:t>
            </w:r>
          </w:p>
        </w:tc>
        <w:tc>
          <w:tcPr>
            <w:tcW w:w="851" w:type="dxa"/>
            <w:tcBorders>
              <w:left w:val="single" w:sz="6" w:space="0" w:color="FF6600"/>
              <w:right w:val="single" w:sz="6" w:space="0" w:color="FF6600"/>
            </w:tcBorders>
            <w:shd w:val="clear" w:color="auto" w:fill="auto"/>
            <w:vAlign w:val="center"/>
          </w:tcPr>
          <w:p w:rsidR="009115A4" w:rsidRPr="006E5DF5" w:rsidRDefault="009115A4" w:rsidP="006E5DF5">
            <w:pPr>
              <w:jc w:val="center"/>
              <w:rPr>
                <w:rFonts w:ascii="楷体" w:eastAsia="楷体" w:hAnsi="楷体"/>
                <w:color w:val="000000"/>
                <w:sz w:val="18"/>
                <w:szCs w:val="18"/>
              </w:rPr>
            </w:pPr>
            <w:r w:rsidRPr="006E5DF5">
              <w:rPr>
                <w:rFonts w:ascii="楷体" w:eastAsia="楷体" w:hAnsi="楷体" w:hint="eastAsia"/>
                <w:color w:val="000000"/>
                <w:sz w:val="18"/>
                <w:szCs w:val="18"/>
              </w:rPr>
              <w:t>开放式</w:t>
            </w:r>
          </w:p>
        </w:tc>
        <w:tc>
          <w:tcPr>
            <w:tcW w:w="850" w:type="dxa"/>
            <w:tcBorders>
              <w:left w:val="single" w:sz="6" w:space="0" w:color="FF6600"/>
            </w:tcBorders>
            <w:shd w:val="clear" w:color="auto" w:fill="auto"/>
            <w:vAlign w:val="center"/>
          </w:tcPr>
          <w:p w:rsidR="009115A4" w:rsidRPr="006E5DF5" w:rsidRDefault="009115A4" w:rsidP="006E5DF5">
            <w:pPr>
              <w:jc w:val="center"/>
              <w:rPr>
                <w:rFonts w:ascii="楷体" w:eastAsia="楷体" w:hAnsi="楷体"/>
                <w:color w:val="000000"/>
                <w:sz w:val="18"/>
                <w:szCs w:val="18"/>
              </w:rPr>
            </w:pPr>
            <w:r w:rsidRPr="006E5DF5">
              <w:rPr>
                <w:rFonts w:ascii="楷体" w:eastAsia="楷体" w:hAnsi="楷体" w:hint="eastAsia"/>
                <w:color w:val="000000"/>
                <w:sz w:val="18"/>
                <w:szCs w:val="18"/>
              </w:rPr>
              <w:t>0.82</w:t>
            </w:r>
          </w:p>
        </w:tc>
      </w:tr>
      <w:tr w:rsidR="009115A4" w:rsidRPr="005B7CDB" w:rsidTr="006E5DF5">
        <w:trPr>
          <w:cantSplit/>
          <w:trHeight w:val="227"/>
        </w:trPr>
        <w:tc>
          <w:tcPr>
            <w:tcW w:w="851" w:type="dxa"/>
            <w:vMerge/>
            <w:tcBorders>
              <w:right w:val="single" w:sz="6" w:space="0" w:color="FF6600"/>
            </w:tcBorders>
            <w:shd w:val="clear" w:color="auto" w:fill="FDE9D9" w:themeFill="accent6" w:themeFillTint="33"/>
            <w:vAlign w:val="center"/>
          </w:tcPr>
          <w:p w:rsidR="009115A4" w:rsidRPr="006E55A6" w:rsidRDefault="009115A4" w:rsidP="000D1136">
            <w:pPr>
              <w:snapToGrid w:val="0"/>
              <w:jc w:val="center"/>
              <w:rPr>
                <w:rFonts w:ascii="楷体" w:eastAsia="楷体" w:hAnsi="楷体"/>
                <w:b/>
                <w:color w:val="FF0000"/>
                <w:sz w:val="18"/>
                <w:szCs w:val="18"/>
              </w:rPr>
            </w:pPr>
          </w:p>
        </w:tc>
        <w:tc>
          <w:tcPr>
            <w:tcW w:w="851" w:type="dxa"/>
            <w:tcBorders>
              <w:left w:val="single" w:sz="6" w:space="0" w:color="FF6600"/>
              <w:right w:val="single" w:sz="6" w:space="0" w:color="FF6600"/>
            </w:tcBorders>
            <w:shd w:val="clear" w:color="auto" w:fill="auto"/>
            <w:vAlign w:val="center"/>
          </w:tcPr>
          <w:p w:rsidR="009115A4" w:rsidRPr="006E5DF5" w:rsidRDefault="009115A4" w:rsidP="006E5DF5">
            <w:pPr>
              <w:jc w:val="center"/>
              <w:rPr>
                <w:rFonts w:ascii="楷体" w:eastAsia="楷体" w:hAnsi="楷体"/>
                <w:color w:val="000000"/>
                <w:sz w:val="18"/>
                <w:szCs w:val="18"/>
              </w:rPr>
            </w:pPr>
            <w:r w:rsidRPr="006E5DF5">
              <w:rPr>
                <w:rFonts w:ascii="楷体" w:eastAsia="楷体" w:hAnsi="楷体" w:hint="eastAsia"/>
                <w:color w:val="000000"/>
                <w:sz w:val="18"/>
                <w:szCs w:val="18"/>
              </w:rPr>
              <w:t>40021</w:t>
            </w:r>
          </w:p>
        </w:tc>
        <w:tc>
          <w:tcPr>
            <w:tcW w:w="1984" w:type="dxa"/>
            <w:tcBorders>
              <w:left w:val="single" w:sz="6" w:space="0" w:color="FF6600"/>
              <w:right w:val="single" w:sz="6" w:space="0" w:color="FF6600"/>
            </w:tcBorders>
            <w:shd w:val="clear" w:color="auto" w:fill="auto"/>
            <w:vAlign w:val="center"/>
          </w:tcPr>
          <w:p w:rsidR="009115A4" w:rsidRPr="006E5DF5" w:rsidRDefault="009115A4" w:rsidP="006E5DF5">
            <w:pPr>
              <w:jc w:val="center"/>
              <w:rPr>
                <w:rFonts w:ascii="楷体" w:eastAsia="楷体" w:hAnsi="楷体"/>
                <w:color w:val="000000"/>
                <w:sz w:val="18"/>
                <w:szCs w:val="18"/>
              </w:rPr>
            </w:pPr>
            <w:r w:rsidRPr="006E5DF5">
              <w:rPr>
                <w:rFonts w:ascii="楷体" w:eastAsia="楷体" w:hAnsi="楷体" w:hint="eastAsia"/>
                <w:color w:val="000000"/>
                <w:sz w:val="18"/>
                <w:szCs w:val="18"/>
              </w:rPr>
              <w:t>华安大中华升级</w:t>
            </w:r>
          </w:p>
        </w:tc>
        <w:tc>
          <w:tcPr>
            <w:tcW w:w="851" w:type="dxa"/>
            <w:tcBorders>
              <w:left w:val="single" w:sz="6" w:space="0" w:color="FF6600"/>
              <w:right w:val="single" w:sz="6" w:space="0" w:color="FF6600"/>
            </w:tcBorders>
            <w:shd w:val="clear" w:color="auto" w:fill="auto"/>
            <w:vAlign w:val="center"/>
          </w:tcPr>
          <w:p w:rsidR="009115A4" w:rsidRPr="006E5DF5" w:rsidRDefault="009115A4" w:rsidP="006E5DF5">
            <w:pPr>
              <w:jc w:val="center"/>
              <w:rPr>
                <w:rFonts w:ascii="楷体" w:eastAsia="楷体" w:hAnsi="楷体"/>
                <w:color w:val="000000"/>
                <w:sz w:val="18"/>
                <w:szCs w:val="18"/>
              </w:rPr>
            </w:pPr>
            <w:r w:rsidRPr="006E5DF5">
              <w:rPr>
                <w:rFonts w:ascii="楷体" w:eastAsia="楷体" w:hAnsi="楷体" w:hint="eastAsia"/>
                <w:color w:val="000000"/>
                <w:sz w:val="18"/>
                <w:szCs w:val="18"/>
              </w:rPr>
              <w:t>开放式</w:t>
            </w:r>
          </w:p>
        </w:tc>
        <w:tc>
          <w:tcPr>
            <w:tcW w:w="991" w:type="dxa"/>
            <w:tcBorders>
              <w:left w:val="single" w:sz="6" w:space="0" w:color="FF6600"/>
              <w:right w:val="single" w:sz="6" w:space="0" w:color="FF6600"/>
            </w:tcBorders>
            <w:shd w:val="clear" w:color="auto" w:fill="auto"/>
            <w:vAlign w:val="center"/>
          </w:tcPr>
          <w:p w:rsidR="009115A4" w:rsidRPr="006E5DF5" w:rsidRDefault="009115A4" w:rsidP="006E5DF5">
            <w:pPr>
              <w:jc w:val="center"/>
              <w:rPr>
                <w:rFonts w:ascii="楷体" w:eastAsia="楷体" w:hAnsi="楷体"/>
                <w:color w:val="000000"/>
                <w:sz w:val="18"/>
                <w:szCs w:val="18"/>
              </w:rPr>
            </w:pPr>
            <w:r w:rsidRPr="006E5DF5">
              <w:rPr>
                <w:rFonts w:ascii="楷体" w:eastAsia="楷体" w:hAnsi="楷体" w:hint="eastAsia"/>
                <w:color w:val="000000"/>
                <w:sz w:val="18"/>
                <w:szCs w:val="18"/>
              </w:rPr>
              <w:t>2.34</w:t>
            </w:r>
          </w:p>
        </w:tc>
        <w:tc>
          <w:tcPr>
            <w:tcW w:w="993" w:type="dxa"/>
            <w:vMerge/>
            <w:tcBorders>
              <w:left w:val="single" w:sz="6" w:space="0" w:color="FF6600"/>
              <w:right w:val="single" w:sz="6" w:space="0" w:color="FF6600"/>
            </w:tcBorders>
            <w:shd w:val="clear" w:color="auto" w:fill="FDE9D9" w:themeFill="accent6" w:themeFillTint="33"/>
            <w:vAlign w:val="center"/>
          </w:tcPr>
          <w:p w:rsidR="009115A4" w:rsidRPr="005B7CDB" w:rsidRDefault="009115A4" w:rsidP="000D1136">
            <w:pPr>
              <w:snapToGrid w:val="0"/>
              <w:jc w:val="center"/>
              <w:rPr>
                <w:rFonts w:ascii="楷体" w:eastAsia="楷体" w:hAnsi="楷体"/>
                <w:b/>
                <w:sz w:val="18"/>
                <w:szCs w:val="18"/>
              </w:rPr>
            </w:pPr>
          </w:p>
        </w:tc>
        <w:tc>
          <w:tcPr>
            <w:tcW w:w="992" w:type="dxa"/>
            <w:tcBorders>
              <w:left w:val="single" w:sz="6" w:space="0" w:color="FF6600"/>
              <w:right w:val="single" w:sz="6" w:space="0" w:color="FF6600"/>
            </w:tcBorders>
            <w:shd w:val="clear" w:color="auto" w:fill="auto"/>
            <w:vAlign w:val="center"/>
          </w:tcPr>
          <w:p w:rsidR="009115A4" w:rsidRPr="006E5DF5" w:rsidRDefault="009115A4" w:rsidP="006E5DF5">
            <w:pPr>
              <w:jc w:val="center"/>
              <w:rPr>
                <w:rFonts w:ascii="楷体" w:eastAsia="楷体" w:hAnsi="楷体"/>
                <w:color w:val="000000"/>
                <w:sz w:val="18"/>
                <w:szCs w:val="18"/>
              </w:rPr>
            </w:pPr>
            <w:r w:rsidRPr="006E5DF5">
              <w:rPr>
                <w:rFonts w:ascii="楷体" w:eastAsia="楷体" w:hAnsi="楷体" w:hint="eastAsia"/>
                <w:color w:val="000000"/>
                <w:sz w:val="18"/>
                <w:szCs w:val="18"/>
              </w:rPr>
              <w:t>531020</w:t>
            </w:r>
          </w:p>
        </w:tc>
        <w:tc>
          <w:tcPr>
            <w:tcW w:w="1843" w:type="dxa"/>
            <w:tcBorders>
              <w:left w:val="single" w:sz="6" w:space="0" w:color="FF6600"/>
              <w:right w:val="single" w:sz="6" w:space="0" w:color="FF6600"/>
            </w:tcBorders>
            <w:shd w:val="clear" w:color="auto" w:fill="auto"/>
            <w:vAlign w:val="center"/>
          </w:tcPr>
          <w:p w:rsidR="009115A4" w:rsidRPr="006E5DF5" w:rsidRDefault="009115A4" w:rsidP="006E5DF5">
            <w:pPr>
              <w:jc w:val="center"/>
              <w:rPr>
                <w:rFonts w:ascii="楷体" w:eastAsia="楷体" w:hAnsi="楷体"/>
                <w:color w:val="000000"/>
                <w:sz w:val="18"/>
                <w:szCs w:val="18"/>
              </w:rPr>
            </w:pPr>
            <w:r w:rsidRPr="006E5DF5">
              <w:rPr>
                <w:rFonts w:ascii="楷体" w:eastAsia="楷体" w:hAnsi="楷体" w:hint="eastAsia"/>
                <w:color w:val="000000"/>
                <w:sz w:val="18"/>
                <w:szCs w:val="18"/>
              </w:rPr>
              <w:t>建信转</w:t>
            </w:r>
            <w:proofErr w:type="gramStart"/>
            <w:r w:rsidRPr="006E5DF5">
              <w:rPr>
                <w:rFonts w:ascii="楷体" w:eastAsia="楷体" w:hAnsi="楷体" w:hint="eastAsia"/>
                <w:color w:val="000000"/>
                <w:sz w:val="18"/>
                <w:szCs w:val="18"/>
              </w:rPr>
              <w:t>债增强</w:t>
            </w:r>
            <w:proofErr w:type="gramEnd"/>
            <w:r w:rsidRPr="006E5DF5">
              <w:rPr>
                <w:rFonts w:ascii="楷体" w:eastAsia="楷体" w:hAnsi="楷体" w:hint="eastAsia"/>
                <w:color w:val="000000"/>
                <w:sz w:val="18"/>
                <w:szCs w:val="18"/>
              </w:rPr>
              <w:t>C</w:t>
            </w:r>
          </w:p>
        </w:tc>
        <w:tc>
          <w:tcPr>
            <w:tcW w:w="851" w:type="dxa"/>
            <w:tcBorders>
              <w:left w:val="single" w:sz="6" w:space="0" w:color="FF6600"/>
              <w:right w:val="single" w:sz="6" w:space="0" w:color="FF6600"/>
            </w:tcBorders>
            <w:shd w:val="clear" w:color="auto" w:fill="auto"/>
            <w:vAlign w:val="center"/>
          </w:tcPr>
          <w:p w:rsidR="009115A4" w:rsidRPr="006E5DF5" w:rsidRDefault="009115A4" w:rsidP="006E5DF5">
            <w:pPr>
              <w:jc w:val="center"/>
              <w:rPr>
                <w:rFonts w:ascii="楷体" w:eastAsia="楷体" w:hAnsi="楷体"/>
                <w:color w:val="000000"/>
                <w:sz w:val="18"/>
                <w:szCs w:val="18"/>
              </w:rPr>
            </w:pPr>
            <w:r w:rsidRPr="006E5DF5">
              <w:rPr>
                <w:rFonts w:ascii="楷体" w:eastAsia="楷体" w:hAnsi="楷体" w:hint="eastAsia"/>
                <w:color w:val="000000"/>
                <w:sz w:val="18"/>
                <w:szCs w:val="18"/>
              </w:rPr>
              <w:t>开放式</w:t>
            </w:r>
          </w:p>
        </w:tc>
        <w:tc>
          <w:tcPr>
            <w:tcW w:w="850" w:type="dxa"/>
            <w:tcBorders>
              <w:left w:val="single" w:sz="6" w:space="0" w:color="FF6600"/>
            </w:tcBorders>
            <w:shd w:val="clear" w:color="auto" w:fill="auto"/>
            <w:vAlign w:val="center"/>
          </w:tcPr>
          <w:p w:rsidR="009115A4" w:rsidRPr="006E5DF5" w:rsidRDefault="009115A4" w:rsidP="006E5DF5">
            <w:pPr>
              <w:jc w:val="center"/>
              <w:rPr>
                <w:rFonts w:ascii="楷体" w:eastAsia="楷体" w:hAnsi="楷体"/>
                <w:color w:val="000000"/>
                <w:sz w:val="18"/>
                <w:szCs w:val="18"/>
              </w:rPr>
            </w:pPr>
            <w:r w:rsidRPr="006E5DF5">
              <w:rPr>
                <w:rFonts w:ascii="楷体" w:eastAsia="楷体" w:hAnsi="楷体" w:hint="eastAsia"/>
                <w:color w:val="000000"/>
                <w:sz w:val="18"/>
                <w:szCs w:val="18"/>
              </w:rPr>
              <w:t>0.77</w:t>
            </w:r>
          </w:p>
        </w:tc>
      </w:tr>
      <w:tr w:rsidR="00E626CE" w:rsidRPr="005B7CDB" w:rsidTr="00DB0CF0">
        <w:trPr>
          <w:cantSplit/>
          <w:trHeight w:val="227"/>
        </w:trPr>
        <w:tc>
          <w:tcPr>
            <w:tcW w:w="851" w:type="dxa"/>
            <w:vMerge w:val="restart"/>
            <w:tcBorders>
              <w:right w:val="single" w:sz="6" w:space="0" w:color="FF6600"/>
            </w:tcBorders>
            <w:shd w:val="clear" w:color="auto" w:fill="FDE9D9" w:themeFill="accent6" w:themeFillTint="33"/>
            <w:vAlign w:val="center"/>
          </w:tcPr>
          <w:p w:rsidR="00E626CE" w:rsidRPr="005B7CDB" w:rsidRDefault="00E626CE" w:rsidP="000D1136">
            <w:pPr>
              <w:snapToGrid w:val="0"/>
              <w:jc w:val="center"/>
              <w:rPr>
                <w:rFonts w:ascii="楷体" w:eastAsia="楷体" w:hAnsi="楷体"/>
                <w:b/>
                <w:sz w:val="18"/>
                <w:szCs w:val="18"/>
              </w:rPr>
            </w:pPr>
            <w:r w:rsidRPr="005B7CDB">
              <w:rPr>
                <w:rFonts w:ascii="楷体" w:eastAsia="楷体" w:hAnsi="楷体" w:hint="eastAsia"/>
                <w:b/>
                <w:sz w:val="18"/>
                <w:szCs w:val="18"/>
              </w:rPr>
              <w:t>分级基金子份额-</w:t>
            </w:r>
          </w:p>
          <w:p w:rsidR="00E626CE" w:rsidRPr="005B7CDB" w:rsidRDefault="00E626CE" w:rsidP="000D1136">
            <w:pPr>
              <w:snapToGrid w:val="0"/>
              <w:jc w:val="center"/>
              <w:rPr>
                <w:rFonts w:ascii="楷体" w:eastAsia="楷体" w:hAnsi="楷体"/>
                <w:b/>
                <w:sz w:val="18"/>
                <w:szCs w:val="18"/>
              </w:rPr>
            </w:pPr>
            <w:r w:rsidRPr="005B7CDB">
              <w:rPr>
                <w:rFonts w:ascii="楷体" w:eastAsia="楷体" w:hAnsi="楷体" w:hint="eastAsia"/>
                <w:b/>
                <w:sz w:val="18"/>
                <w:szCs w:val="18"/>
              </w:rPr>
              <w:t>股票稳健</w:t>
            </w:r>
          </w:p>
        </w:tc>
        <w:tc>
          <w:tcPr>
            <w:tcW w:w="851" w:type="dxa"/>
            <w:tcBorders>
              <w:left w:val="single" w:sz="6" w:space="0" w:color="FF6600"/>
              <w:right w:val="single" w:sz="6" w:space="0" w:color="FF6600"/>
            </w:tcBorders>
            <w:shd w:val="clear" w:color="auto" w:fill="auto"/>
            <w:vAlign w:val="center"/>
          </w:tcPr>
          <w:p w:rsidR="00E626CE" w:rsidRPr="00DB0CF0" w:rsidRDefault="00E626CE" w:rsidP="00DB0CF0">
            <w:pPr>
              <w:jc w:val="center"/>
              <w:rPr>
                <w:rFonts w:ascii="楷体" w:eastAsia="楷体" w:hAnsi="楷体"/>
                <w:color w:val="000000"/>
                <w:sz w:val="18"/>
                <w:szCs w:val="18"/>
              </w:rPr>
            </w:pPr>
            <w:r w:rsidRPr="00DB0CF0">
              <w:rPr>
                <w:rFonts w:ascii="楷体" w:eastAsia="楷体" w:hAnsi="楷体" w:hint="eastAsia"/>
                <w:color w:val="000000"/>
                <w:sz w:val="18"/>
                <w:szCs w:val="18"/>
              </w:rPr>
              <w:t>150069</w:t>
            </w:r>
          </w:p>
        </w:tc>
        <w:tc>
          <w:tcPr>
            <w:tcW w:w="1984" w:type="dxa"/>
            <w:tcBorders>
              <w:left w:val="single" w:sz="6" w:space="0" w:color="FF6600"/>
              <w:right w:val="single" w:sz="6" w:space="0" w:color="FF6600"/>
            </w:tcBorders>
            <w:shd w:val="clear" w:color="auto" w:fill="auto"/>
            <w:vAlign w:val="center"/>
          </w:tcPr>
          <w:p w:rsidR="00E626CE" w:rsidRPr="00DB0CF0" w:rsidRDefault="00E626CE" w:rsidP="00DB0CF0">
            <w:pPr>
              <w:jc w:val="center"/>
              <w:rPr>
                <w:rFonts w:ascii="楷体" w:eastAsia="楷体" w:hAnsi="楷体"/>
                <w:color w:val="000000"/>
                <w:sz w:val="18"/>
                <w:szCs w:val="18"/>
              </w:rPr>
            </w:pPr>
            <w:proofErr w:type="gramStart"/>
            <w:r w:rsidRPr="00DB0CF0">
              <w:rPr>
                <w:rFonts w:ascii="楷体" w:eastAsia="楷体" w:hAnsi="楷体" w:hint="eastAsia"/>
                <w:color w:val="000000"/>
                <w:sz w:val="18"/>
                <w:szCs w:val="18"/>
              </w:rPr>
              <w:t>国联安双力</w:t>
            </w:r>
            <w:proofErr w:type="gramEnd"/>
            <w:r w:rsidRPr="00DB0CF0">
              <w:rPr>
                <w:rFonts w:ascii="楷体" w:eastAsia="楷体" w:hAnsi="楷体" w:hint="eastAsia"/>
                <w:color w:val="000000"/>
                <w:sz w:val="18"/>
                <w:szCs w:val="18"/>
              </w:rPr>
              <w:t>中小板A</w:t>
            </w:r>
          </w:p>
        </w:tc>
        <w:tc>
          <w:tcPr>
            <w:tcW w:w="851" w:type="dxa"/>
            <w:tcBorders>
              <w:left w:val="single" w:sz="6" w:space="0" w:color="FF6600"/>
              <w:right w:val="single" w:sz="6" w:space="0" w:color="FF6600"/>
            </w:tcBorders>
            <w:shd w:val="clear" w:color="auto" w:fill="auto"/>
            <w:vAlign w:val="center"/>
          </w:tcPr>
          <w:p w:rsidR="00E626CE" w:rsidRPr="00DB0CF0" w:rsidRDefault="00E626CE" w:rsidP="00DB0CF0">
            <w:pPr>
              <w:jc w:val="center"/>
              <w:rPr>
                <w:rFonts w:ascii="楷体" w:eastAsia="楷体" w:hAnsi="楷体"/>
                <w:color w:val="000000"/>
                <w:sz w:val="18"/>
                <w:szCs w:val="18"/>
              </w:rPr>
            </w:pPr>
            <w:r w:rsidRPr="00DB0CF0">
              <w:rPr>
                <w:rFonts w:ascii="楷体" w:eastAsia="楷体" w:hAnsi="楷体" w:hint="eastAsia"/>
                <w:color w:val="000000"/>
                <w:sz w:val="18"/>
                <w:szCs w:val="18"/>
              </w:rPr>
              <w:t>开放式</w:t>
            </w:r>
          </w:p>
        </w:tc>
        <w:tc>
          <w:tcPr>
            <w:tcW w:w="991" w:type="dxa"/>
            <w:tcBorders>
              <w:left w:val="single" w:sz="6" w:space="0" w:color="FF6600"/>
              <w:right w:val="single" w:sz="6" w:space="0" w:color="FF6600"/>
            </w:tcBorders>
            <w:shd w:val="clear" w:color="auto" w:fill="auto"/>
            <w:vAlign w:val="center"/>
          </w:tcPr>
          <w:p w:rsidR="00E626CE" w:rsidRPr="00DB0CF0" w:rsidRDefault="00E626CE" w:rsidP="00DB0CF0">
            <w:pPr>
              <w:jc w:val="center"/>
              <w:rPr>
                <w:rFonts w:ascii="楷体" w:eastAsia="楷体" w:hAnsi="楷体"/>
                <w:color w:val="000000"/>
                <w:sz w:val="18"/>
                <w:szCs w:val="18"/>
              </w:rPr>
            </w:pPr>
            <w:r w:rsidRPr="00DB0CF0">
              <w:rPr>
                <w:rFonts w:ascii="楷体" w:eastAsia="楷体" w:hAnsi="楷体" w:hint="eastAsia"/>
                <w:color w:val="000000"/>
                <w:sz w:val="18"/>
                <w:szCs w:val="18"/>
              </w:rPr>
              <w:t>0.20</w:t>
            </w:r>
          </w:p>
        </w:tc>
        <w:tc>
          <w:tcPr>
            <w:tcW w:w="993" w:type="dxa"/>
            <w:vMerge w:val="restart"/>
            <w:tcBorders>
              <w:left w:val="single" w:sz="6" w:space="0" w:color="FF6600"/>
              <w:right w:val="single" w:sz="6" w:space="0" w:color="FF6600"/>
            </w:tcBorders>
            <w:shd w:val="clear" w:color="auto" w:fill="FDE9D9" w:themeFill="accent6" w:themeFillTint="33"/>
            <w:vAlign w:val="center"/>
          </w:tcPr>
          <w:p w:rsidR="00E626CE" w:rsidRPr="00024C7D" w:rsidRDefault="00E626CE" w:rsidP="00797357">
            <w:pPr>
              <w:snapToGrid w:val="0"/>
              <w:jc w:val="center"/>
              <w:rPr>
                <w:rFonts w:ascii="楷体" w:eastAsia="楷体" w:hAnsi="楷体"/>
                <w:b/>
                <w:color w:val="000000"/>
                <w:sz w:val="18"/>
                <w:szCs w:val="18"/>
              </w:rPr>
            </w:pPr>
            <w:r w:rsidRPr="00024C7D">
              <w:rPr>
                <w:rFonts w:ascii="楷体" w:eastAsia="楷体" w:hAnsi="楷体" w:hint="eastAsia"/>
                <w:b/>
                <w:color w:val="000000"/>
                <w:sz w:val="18"/>
                <w:szCs w:val="18"/>
              </w:rPr>
              <w:t>分级基金子份额-</w:t>
            </w:r>
          </w:p>
          <w:p w:rsidR="00E626CE" w:rsidRPr="00024C7D" w:rsidRDefault="00E626CE" w:rsidP="00797357">
            <w:pPr>
              <w:snapToGrid w:val="0"/>
              <w:jc w:val="center"/>
              <w:rPr>
                <w:rFonts w:ascii="楷体" w:eastAsia="楷体" w:hAnsi="楷体"/>
                <w:b/>
                <w:color w:val="000000"/>
                <w:sz w:val="18"/>
                <w:szCs w:val="18"/>
              </w:rPr>
            </w:pPr>
            <w:r w:rsidRPr="00024C7D">
              <w:rPr>
                <w:rFonts w:ascii="楷体" w:eastAsia="楷体" w:hAnsi="楷体" w:hint="eastAsia"/>
                <w:b/>
                <w:color w:val="000000"/>
                <w:sz w:val="18"/>
                <w:szCs w:val="18"/>
              </w:rPr>
              <w:t>股票积极</w:t>
            </w:r>
          </w:p>
        </w:tc>
        <w:tc>
          <w:tcPr>
            <w:tcW w:w="992" w:type="dxa"/>
            <w:tcBorders>
              <w:left w:val="single" w:sz="6" w:space="0" w:color="FF6600"/>
              <w:right w:val="single" w:sz="6" w:space="0" w:color="FF6600"/>
            </w:tcBorders>
            <w:shd w:val="clear" w:color="auto" w:fill="auto"/>
            <w:vAlign w:val="center"/>
          </w:tcPr>
          <w:p w:rsidR="00E626CE" w:rsidRPr="00DB0CF0" w:rsidRDefault="00E626CE" w:rsidP="00DB0CF0">
            <w:pPr>
              <w:jc w:val="center"/>
              <w:rPr>
                <w:rFonts w:ascii="楷体" w:eastAsia="楷体" w:hAnsi="楷体"/>
                <w:color w:val="000000"/>
                <w:sz w:val="18"/>
                <w:szCs w:val="18"/>
              </w:rPr>
            </w:pPr>
            <w:r w:rsidRPr="00DB0CF0">
              <w:rPr>
                <w:rFonts w:ascii="楷体" w:eastAsia="楷体" w:hAnsi="楷体" w:hint="eastAsia"/>
                <w:color w:val="000000"/>
                <w:sz w:val="18"/>
                <w:szCs w:val="18"/>
              </w:rPr>
              <w:t>150153</w:t>
            </w:r>
          </w:p>
        </w:tc>
        <w:tc>
          <w:tcPr>
            <w:tcW w:w="1843" w:type="dxa"/>
            <w:tcBorders>
              <w:left w:val="single" w:sz="6" w:space="0" w:color="FF6600"/>
              <w:right w:val="single" w:sz="6" w:space="0" w:color="FF6600"/>
            </w:tcBorders>
            <w:shd w:val="clear" w:color="auto" w:fill="auto"/>
            <w:vAlign w:val="center"/>
          </w:tcPr>
          <w:p w:rsidR="00E626CE" w:rsidRPr="00DB0CF0" w:rsidRDefault="00E626CE" w:rsidP="00DB0CF0">
            <w:pPr>
              <w:jc w:val="center"/>
              <w:rPr>
                <w:rFonts w:ascii="楷体" w:eastAsia="楷体" w:hAnsi="楷体"/>
                <w:color w:val="000000"/>
                <w:sz w:val="18"/>
                <w:szCs w:val="18"/>
              </w:rPr>
            </w:pPr>
            <w:r w:rsidRPr="00DB0CF0">
              <w:rPr>
                <w:rFonts w:ascii="楷体" w:eastAsia="楷体" w:hAnsi="楷体" w:hint="eastAsia"/>
                <w:color w:val="000000"/>
                <w:sz w:val="18"/>
                <w:szCs w:val="18"/>
              </w:rPr>
              <w:t>富国创业板B</w:t>
            </w:r>
          </w:p>
        </w:tc>
        <w:tc>
          <w:tcPr>
            <w:tcW w:w="851" w:type="dxa"/>
            <w:tcBorders>
              <w:left w:val="single" w:sz="6" w:space="0" w:color="FF6600"/>
              <w:right w:val="single" w:sz="6" w:space="0" w:color="FF6600"/>
            </w:tcBorders>
            <w:shd w:val="clear" w:color="auto" w:fill="auto"/>
            <w:vAlign w:val="center"/>
          </w:tcPr>
          <w:p w:rsidR="00E626CE" w:rsidRPr="00DB0CF0" w:rsidRDefault="00E626CE" w:rsidP="00DB0CF0">
            <w:pPr>
              <w:jc w:val="center"/>
              <w:rPr>
                <w:rFonts w:ascii="楷体" w:eastAsia="楷体" w:hAnsi="楷体"/>
                <w:color w:val="000000"/>
                <w:sz w:val="18"/>
                <w:szCs w:val="18"/>
              </w:rPr>
            </w:pPr>
            <w:r w:rsidRPr="00DB0CF0">
              <w:rPr>
                <w:rFonts w:ascii="楷体" w:eastAsia="楷体" w:hAnsi="楷体" w:hint="eastAsia"/>
                <w:color w:val="000000"/>
                <w:sz w:val="18"/>
                <w:szCs w:val="18"/>
              </w:rPr>
              <w:t>开放式</w:t>
            </w:r>
          </w:p>
        </w:tc>
        <w:tc>
          <w:tcPr>
            <w:tcW w:w="850" w:type="dxa"/>
            <w:tcBorders>
              <w:left w:val="single" w:sz="6" w:space="0" w:color="FF6600"/>
            </w:tcBorders>
            <w:shd w:val="clear" w:color="auto" w:fill="auto"/>
            <w:vAlign w:val="center"/>
          </w:tcPr>
          <w:p w:rsidR="00E626CE" w:rsidRPr="00DB0CF0" w:rsidRDefault="00E626CE" w:rsidP="00DB0CF0">
            <w:pPr>
              <w:jc w:val="center"/>
              <w:rPr>
                <w:rFonts w:ascii="楷体" w:eastAsia="楷体" w:hAnsi="楷体"/>
                <w:color w:val="000000"/>
                <w:sz w:val="18"/>
                <w:szCs w:val="18"/>
              </w:rPr>
            </w:pPr>
            <w:r w:rsidRPr="00DB0CF0">
              <w:rPr>
                <w:rFonts w:ascii="楷体" w:eastAsia="楷体" w:hAnsi="楷体" w:hint="eastAsia"/>
                <w:color w:val="000000"/>
                <w:sz w:val="18"/>
                <w:szCs w:val="18"/>
              </w:rPr>
              <w:t>4.89</w:t>
            </w:r>
          </w:p>
        </w:tc>
      </w:tr>
      <w:tr w:rsidR="00E626CE" w:rsidRPr="005B7CDB" w:rsidTr="00DB0CF0">
        <w:trPr>
          <w:cantSplit/>
          <w:trHeight w:val="227"/>
        </w:trPr>
        <w:tc>
          <w:tcPr>
            <w:tcW w:w="851" w:type="dxa"/>
            <w:vMerge/>
            <w:tcBorders>
              <w:right w:val="single" w:sz="6" w:space="0" w:color="FF6600"/>
            </w:tcBorders>
            <w:shd w:val="clear" w:color="auto" w:fill="FDE9D9" w:themeFill="accent6" w:themeFillTint="33"/>
            <w:vAlign w:val="center"/>
          </w:tcPr>
          <w:p w:rsidR="00E626CE" w:rsidRPr="005B7CDB" w:rsidRDefault="00E626CE" w:rsidP="000D1136">
            <w:pPr>
              <w:snapToGrid w:val="0"/>
              <w:jc w:val="center"/>
              <w:rPr>
                <w:rFonts w:ascii="楷体" w:eastAsia="楷体" w:hAnsi="楷体"/>
                <w:b/>
                <w:sz w:val="18"/>
                <w:szCs w:val="18"/>
              </w:rPr>
            </w:pPr>
          </w:p>
        </w:tc>
        <w:tc>
          <w:tcPr>
            <w:tcW w:w="851" w:type="dxa"/>
            <w:tcBorders>
              <w:left w:val="single" w:sz="6" w:space="0" w:color="FF6600"/>
              <w:right w:val="single" w:sz="6" w:space="0" w:color="FF6600"/>
            </w:tcBorders>
            <w:shd w:val="clear" w:color="auto" w:fill="auto"/>
            <w:vAlign w:val="center"/>
          </w:tcPr>
          <w:p w:rsidR="00E626CE" w:rsidRPr="00DB0CF0" w:rsidRDefault="00E626CE" w:rsidP="00DB0CF0">
            <w:pPr>
              <w:jc w:val="center"/>
              <w:rPr>
                <w:rFonts w:ascii="楷体" w:eastAsia="楷体" w:hAnsi="楷体"/>
                <w:color w:val="000000"/>
                <w:sz w:val="18"/>
                <w:szCs w:val="18"/>
              </w:rPr>
            </w:pPr>
            <w:r w:rsidRPr="00DB0CF0">
              <w:rPr>
                <w:rFonts w:ascii="楷体" w:eastAsia="楷体" w:hAnsi="楷体" w:hint="eastAsia"/>
                <w:color w:val="000000"/>
                <w:sz w:val="18"/>
                <w:szCs w:val="18"/>
              </w:rPr>
              <w:t>121007</w:t>
            </w:r>
          </w:p>
        </w:tc>
        <w:tc>
          <w:tcPr>
            <w:tcW w:w="1984" w:type="dxa"/>
            <w:tcBorders>
              <w:left w:val="single" w:sz="6" w:space="0" w:color="FF6600"/>
              <w:right w:val="single" w:sz="6" w:space="0" w:color="FF6600"/>
            </w:tcBorders>
            <w:shd w:val="clear" w:color="auto" w:fill="auto"/>
            <w:vAlign w:val="center"/>
          </w:tcPr>
          <w:p w:rsidR="00E626CE" w:rsidRPr="00DB0CF0" w:rsidRDefault="00E626CE" w:rsidP="00DB0CF0">
            <w:pPr>
              <w:jc w:val="center"/>
              <w:rPr>
                <w:rFonts w:ascii="楷体" w:eastAsia="楷体" w:hAnsi="楷体"/>
                <w:color w:val="000000"/>
                <w:sz w:val="18"/>
                <w:szCs w:val="18"/>
              </w:rPr>
            </w:pPr>
            <w:r w:rsidRPr="00DB0CF0">
              <w:rPr>
                <w:rFonts w:ascii="楷体" w:eastAsia="楷体" w:hAnsi="楷体" w:hint="eastAsia"/>
                <w:color w:val="000000"/>
                <w:sz w:val="18"/>
                <w:szCs w:val="18"/>
              </w:rPr>
              <w:t>国</w:t>
            </w:r>
            <w:proofErr w:type="gramStart"/>
            <w:r w:rsidRPr="00DB0CF0">
              <w:rPr>
                <w:rFonts w:ascii="楷体" w:eastAsia="楷体" w:hAnsi="楷体" w:hint="eastAsia"/>
                <w:color w:val="000000"/>
                <w:sz w:val="18"/>
                <w:szCs w:val="18"/>
              </w:rPr>
              <w:t>投瑞银瑞</w:t>
            </w:r>
            <w:proofErr w:type="gramEnd"/>
            <w:r w:rsidRPr="00DB0CF0">
              <w:rPr>
                <w:rFonts w:ascii="楷体" w:eastAsia="楷体" w:hAnsi="楷体" w:hint="eastAsia"/>
                <w:color w:val="000000"/>
                <w:sz w:val="18"/>
                <w:szCs w:val="18"/>
              </w:rPr>
              <w:t>福优先</w:t>
            </w:r>
          </w:p>
        </w:tc>
        <w:tc>
          <w:tcPr>
            <w:tcW w:w="851" w:type="dxa"/>
            <w:tcBorders>
              <w:left w:val="single" w:sz="6" w:space="0" w:color="FF6600"/>
              <w:right w:val="single" w:sz="6" w:space="0" w:color="FF6600"/>
            </w:tcBorders>
            <w:shd w:val="clear" w:color="auto" w:fill="auto"/>
            <w:vAlign w:val="center"/>
          </w:tcPr>
          <w:p w:rsidR="00E626CE" w:rsidRPr="00DB0CF0" w:rsidRDefault="00E626CE" w:rsidP="00DB0CF0">
            <w:pPr>
              <w:jc w:val="center"/>
              <w:rPr>
                <w:rFonts w:ascii="楷体" w:eastAsia="楷体" w:hAnsi="楷体"/>
                <w:color w:val="000000"/>
                <w:sz w:val="18"/>
                <w:szCs w:val="18"/>
              </w:rPr>
            </w:pPr>
            <w:r w:rsidRPr="00DB0CF0">
              <w:rPr>
                <w:rFonts w:ascii="楷体" w:eastAsia="楷体" w:hAnsi="楷体" w:hint="eastAsia"/>
                <w:color w:val="000000"/>
                <w:sz w:val="18"/>
                <w:szCs w:val="18"/>
              </w:rPr>
              <w:t>开放式</w:t>
            </w:r>
          </w:p>
        </w:tc>
        <w:tc>
          <w:tcPr>
            <w:tcW w:w="991" w:type="dxa"/>
            <w:tcBorders>
              <w:left w:val="single" w:sz="6" w:space="0" w:color="FF6600"/>
              <w:right w:val="single" w:sz="6" w:space="0" w:color="FF6600"/>
            </w:tcBorders>
            <w:shd w:val="clear" w:color="auto" w:fill="auto"/>
            <w:vAlign w:val="center"/>
          </w:tcPr>
          <w:p w:rsidR="00E626CE" w:rsidRPr="00DB0CF0" w:rsidRDefault="00E626CE" w:rsidP="00DB0CF0">
            <w:pPr>
              <w:jc w:val="center"/>
              <w:rPr>
                <w:rFonts w:ascii="楷体" w:eastAsia="楷体" w:hAnsi="楷体"/>
                <w:color w:val="000000"/>
                <w:sz w:val="18"/>
                <w:szCs w:val="18"/>
              </w:rPr>
            </w:pPr>
            <w:r w:rsidRPr="00DB0CF0">
              <w:rPr>
                <w:rFonts w:ascii="楷体" w:eastAsia="楷体" w:hAnsi="楷体" w:hint="eastAsia"/>
                <w:color w:val="000000"/>
                <w:sz w:val="18"/>
                <w:szCs w:val="18"/>
              </w:rPr>
              <w:t>0.20</w:t>
            </w:r>
          </w:p>
        </w:tc>
        <w:tc>
          <w:tcPr>
            <w:tcW w:w="993" w:type="dxa"/>
            <w:vMerge/>
            <w:tcBorders>
              <w:left w:val="single" w:sz="6" w:space="0" w:color="FF6600"/>
              <w:right w:val="single" w:sz="6" w:space="0" w:color="FF6600"/>
            </w:tcBorders>
            <w:shd w:val="clear" w:color="auto" w:fill="FDE9D9" w:themeFill="accent6" w:themeFillTint="33"/>
            <w:vAlign w:val="center"/>
          </w:tcPr>
          <w:p w:rsidR="00E626CE" w:rsidRPr="00024C7D" w:rsidRDefault="00E626CE" w:rsidP="00797357">
            <w:pPr>
              <w:snapToGrid w:val="0"/>
              <w:jc w:val="center"/>
              <w:rPr>
                <w:rFonts w:ascii="楷体" w:eastAsia="楷体" w:hAnsi="楷体"/>
                <w:b/>
                <w:color w:val="000000"/>
                <w:sz w:val="18"/>
                <w:szCs w:val="18"/>
              </w:rPr>
            </w:pPr>
          </w:p>
        </w:tc>
        <w:tc>
          <w:tcPr>
            <w:tcW w:w="992" w:type="dxa"/>
            <w:tcBorders>
              <w:left w:val="single" w:sz="6" w:space="0" w:color="FF6600"/>
              <w:right w:val="single" w:sz="6" w:space="0" w:color="FF6600"/>
            </w:tcBorders>
            <w:shd w:val="clear" w:color="auto" w:fill="auto"/>
            <w:vAlign w:val="center"/>
          </w:tcPr>
          <w:p w:rsidR="00E626CE" w:rsidRPr="00DB0CF0" w:rsidRDefault="00E626CE" w:rsidP="00DB0CF0">
            <w:pPr>
              <w:jc w:val="center"/>
              <w:rPr>
                <w:rFonts w:ascii="楷体" w:eastAsia="楷体" w:hAnsi="楷体"/>
                <w:color w:val="000000"/>
                <w:sz w:val="18"/>
                <w:szCs w:val="18"/>
              </w:rPr>
            </w:pPr>
            <w:r w:rsidRPr="00DB0CF0">
              <w:rPr>
                <w:rFonts w:ascii="楷体" w:eastAsia="楷体" w:hAnsi="楷体" w:hint="eastAsia"/>
                <w:color w:val="000000"/>
                <w:sz w:val="18"/>
                <w:szCs w:val="18"/>
              </w:rPr>
              <w:t>150072</w:t>
            </w:r>
          </w:p>
        </w:tc>
        <w:tc>
          <w:tcPr>
            <w:tcW w:w="1843" w:type="dxa"/>
            <w:tcBorders>
              <w:left w:val="single" w:sz="6" w:space="0" w:color="FF6600"/>
              <w:right w:val="single" w:sz="6" w:space="0" w:color="FF6600"/>
            </w:tcBorders>
            <w:shd w:val="clear" w:color="auto" w:fill="auto"/>
            <w:vAlign w:val="center"/>
          </w:tcPr>
          <w:p w:rsidR="00E626CE" w:rsidRPr="00DB0CF0" w:rsidRDefault="00E626CE" w:rsidP="00DB0CF0">
            <w:pPr>
              <w:jc w:val="center"/>
              <w:rPr>
                <w:rFonts w:ascii="楷体" w:eastAsia="楷体" w:hAnsi="楷体"/>
                <w:color w:val="000000"/>
                <w:sz w:val="18"/>
                <w:szCs w:val="18"/>
              </w:rPr>
            </w:pPr>
            <w:r w:rsidRPr="00DB0CF0">
              <w:rPr>
                <w:rFonts w:ascii="楷体" w:eastAsia="楷体" w:hAnsi="楷体" w:hint="eastAsia"/>
                <w:color w:val="000000"/>
                <w:sz w:val="18"/>
                <w:szCs w:val="18"/>
              </w:rPr>
              <w:t>中欧盛世成长B</w:t>
            </w:r>
          </w:p>
        </w:tc>
        <w:tc>
          <w:tcPr>
            <w:tcW w:w="851" w:type="dxa"/>
            <w:tcBorders>
              <w:left w:val="single" w:sz="6" w:space="0" w:color="FF6600"/>
              <w:right w:val="single" w:sz="6" w:space="0" w:color="FF6600"/>
            </w:tcBorders>
            <w:shd w:val="clear" w:color="auto" w:fill="auto"/>
            <w:vAlign w:val="center"/>
          </w:tcPr>
          <w:p w:rsidR="00E626CE" w:rsidRPr="00DB0CF0" w:rsidRDefault="00E626CE" w:rsidP="00DB0CF0">
            <w:pPr>
              <w:jc w:val="center"/>
              <w:rPr>
                <w:rFonts w:ascii="楷体" w:eastAsia="楷体" w:hAnsi="楷体"/>
                <w:color w:val="000000"/>
                <w:sz w:val="18"/>
                <w:szCs w:val="18"/>
              </w:rPr>
            </w:pPr>
            <w:r w:rsidRPr="00DB0CF0">
              <w:rPr>
                <w:rFonts w:ascii="楷体" w:eastAsia="楷体" w:hAnsi="楷体" w:hint="eastAsia"/>
                <w:color w:val="000000"/>
                <w:sz w:val="18"/>
                <w:szCs w:val="18"/>
              </w:rPr>
              <w:t>开放式</w:t>
            </w:r>
          </w:p>
        </w:tc>
        <w:tc>
          <w:tcPr>
            <w:tcW w:w="850" w:type="dxa"/>
            <w:tcBorders>
              <w:left w:val="single" w:sz="6" w:space="0" w:color="FF6600"/>
            </w:tcBorders>
            <w:shd w:val="clear" w:color="auto" w:fill="auto"/>
            <w:vAlign w:val="center"/>
          </w:tcPr>
          <w:p w:rsidR="00E626CE" w:rsidRPr="00DB0CF0" w:rsidRDefault="00E626CE" w:rsidP="00DB0CF0">
            <w:pPr>
              <w:jc w:val="center"/>
              <w:rPr>
                <w:rFonts w:ascii="楷体" w:eastAsia="楷体" w:hAnsi="楷体"/>
                <w:color w:val="000000"/>
                <w:sz w:val="18"/>
                <w:szCs w:val="18"/>
              </w:rPr>
            </w:pPr>
            <w:r w:rsidRPr="00DB0CF0">
              <w:rPr>
                <w:rFonts w:ascii="楷体" w:eastAsia="楷体" w:hAnsi="楷体" w:hint="eastAsia"/>
                <w:color w:val="000000"/>
                <w:sz w:val="18"/>
                <w:szCs w:val="18"/>
              </w:rPr>
              <w:t>4.43</w:t>
            </w:r>
          </w:p>
        </w:tc>
      </w:tr>
      <w:tr w:rsidR="00E626CE" w:rsidRPr="005B7CDB" w:rsidTr="00DB0CF0">
        <w:trPr>
          <w:cantSplit/>
          <w:trHeight w:val="227"/>
        </w:trPr>
        <w:tc>
          <w:tcPr>
            <w:tcW w:w="851" w:type="dxa"/>
            <w:vMerge/>
            <w:tcBorders>
              <w:right w:val="single" w:sz="6" w:space="0" w:color="FF6600"/>
            </w:tcBorders>
            <w:shd w:val="clear" w:color="auto" w:fill="FDE9D9" w:themeFill="accent6" w:themeFillTint="33"/>
            <w:vAlign w:val="center"/>
          </w:tcPr>
          <w:p w:rsidR="00E626CE" w:rsidRPr="005B7CDB" w:rsidRDefault="00E626CE" w:rsidP="000D1136">
            <w:pPr>
              <w:snapToGrid w:val="0"/>
              <w:jc w:val="center"/>
              <w:rPr>
                <w:rFonts w:ascii="楷体" w:eastAsia="楷体" w:hAnsi="楷体"/>
                <w:b/>
                <w:sz w:val="18"/>
                <w:szCs w:val="18"/>
              </w:rPr>
            </w:pPr>
          </w:p>
        </w:tc>
        <w:tc>
          <w:tcPr>
            <w:tcW w:w="851" w:type="dxa"/>
            <w:tcBorders>
              <w:left w:val="single" w:sz="6" w:space="0" w:color="FF6600"/>
              <w:right w:val="single" w:sz="6" w:space="0" w:color="FF6600"/>
            </w:tcBorders>
            <w:shd w:val="clear" w:color="auto" w:fill="auto"/>
            <w:vAlign w:val="center"/>
          </w:tcPr>
          <w:p w:rsidR="00E626CE" w:rsidRPr="00DB0CF0" w:rsidRDefault="00E626CE" w:rsidP="00DB0CF0">
            <w:pPr>
              <w:jc w:val="center"/>
              <w:rPr>
                <w:rFonts w:ascii="楷体" w:eastAsia="楷体" w:hAnsi="楷体"/>
                <w:color w:val="000000"/>
                <w:sz w:val="18"/>
                <w:szCs w:val="18"/>
              </w:rPr>
            </w:pPr>
            <w:r w:rsidRPr="00DB0CF0">
              <w:rPr>
                <w:rFonts w:ascii="楷体" w:eastAsia="楷体" w:hAnsi="楷体" w:hint="eastAsia"/>
                <w:color w:val="000000"/>
                <w:sz w:val="18"/>
                <w:szCs w:val="18"/>
              </w:rPr>
              <w:t>150047</w:t>
            </w:r>
          </w:p>
        </w:tc>
        <w:tc>
          <w:tcPr>
            <w:tcW w:w="1984" w:type="dxa"/>
            <w:tcBorders>
              <w:left w:val="single" w:sz="6" w:space="0" w:color="FF6600"/>
              <w:right w:val="single" w:sz="6" w:space="0" w:color="FF6600"/>
            </w:tcBorders>
            <w:shd w:val="clear" w:color="auto" w:fill="auto"/>
            <w:vAlign w:val="center"/>
          </w:tcPr>
          <w:p w:rsidR="00E626CE" w:rsidRPr="00DB0CF0" w:rsidRDefault="00E626CE" w:rsidP="00DB0CF0">
            <w:pPr>
              <w:jc w:val="center"/>
              <w:rPr>
                <w:rFonts w:ascii="楷体" w:eastAsia="楷体" w:hAnsi="楷体"/>
                <w:color w:val="000000"/>
                <w:sz w:val="18"/>
                <w:szCs w:val="18"/>
              </w:rPr>
            </w:pPr>
            <w:r w:rsidRPr="00DB0CF0">
              <w:rPr>
                <w:rFonts w:ascii="楷体" w:eastAsia="楷体" w:hAnsi="楷体" w:hint="eastAsia"/>
                <w:color w:val="000000"/>
                <w:sz w:val="18"/>
                <w:szCs w:val="18"/>
              </w:rPr>
              <w:t>银华瑞吉</w:t>
            </w:r>
          </w:p>
        </w:tc>
        <w:tc>
          <w:tcPr>
            <w:tcW w:w="851" w:type="dxa"/>
            <w:tcBorders>
              <w:left w:val="single" w:sz="6" w:space="0" w:color="FF6600"/>
              <w:right w:val="single" w:sz="6" w:space="0" w:color="FF6600"/>
            </w:tcBorders>
            <w:shd w:val="clear" w:color="auto" w:fill="auto"/>
            <w:vAlign w:val="center"/>
          </w:tcPr>
          <w:p w:rsidR="00E626CE" w:rsidRPr="00DB0CF0" w:rsidRDefault="00E626CE" w:rsidP="00DB0CF0">
            <w:pPr>
              <w:jc w:val="center"/>
              <w:rPr>
                <w:rFonts w:ascii="楷体" w:eastAsia="楷体" w:hAnsi="楷体"/>
                <w:color w:val="000000"/>
                <w:sz w:val="18"/>
                <w:szCs w:val="18"/>
              </w:rPr>
            </w:pPr>
            <w:r w:rsidRPr="00DB0CF0">
              <w:rPr>
                <w:rFonts w:ascii="楷体" w:eastAsia="楷体" w:hAnsi="楷体" w:hint="eastAsia"/>
                <w:color w:val="000000"/>
                <w:sz w:val="18"/>
                <w:szCs w:val="18"/>
              </w:rPr>
              <w:t>开放式</w:t>
            </w:r>
          </w:p>
        </w:tc>
        <w:tc>
          <w:tcPr>
            <w:tcW w:w="991" w:type="dxa"/>
            <w:tcBorders>
              <w:left w:val="single" w:sz="6" w:space="0" w:color="FF6600"/>
              <w:right w:val="single" w:sz="6" w:space="0" w:color="FF6600"/>
            </w:tcBorders>
            <w:shd w:val="clear" w:color="auto" w:fill="auto"/>
            <w:vAlign w:val="center"/>
          </w:tcPr>
          <w:p w:rsidR="00E626CE" w:rsidRPr="00DB0CF0" w:rsidRDefault="00E626CE" w:rsidP="00DB0CF0">
            <w:pPr>
              <w:jc w:val="center"/>
              <w:rPr>
                <w:rFonts w:ascii="楷体" w:eastAsia="楷体" w:hAnsi="楷体"/>
                <w:color w:val="000000"/>
                <w:sz w:val="18"/>
                <w:szCs w:val="18"/>
              </w:rPr>
            </w:pPr>
            <w:r w:rsidRPr="00DB0CF0">
              <w:rPr>
                <w:rFonts w:ascii="楷体" w:eastAsia="楷体" w:hAnsi="楷体" w:hint="eastAsia"/>
                <w:color w:val="000000"/>
                <w:sz w:val="18"/>
                <w:szCs w:val="18"/>
              </w:rPr>
              <w:t>0.19</w:t>
            </w:r>
          </w:p>
        </w:tc>
        <w:tc>
          <w:tcPr>
            <w:tcW w:w="993" w:type="dxa"/>
            <w:vMerge/>
            <w:tcBorders>
              <w:left w:val="single" w:sz="6" w:space="0" w:color="FF6600"/>
              <w:right w:val="single" w:sz="6" w:space="0" w:color="FF6600"/>
            </w:tcBorders>
            <w:shd w:val="clear" w:color="auto" w:fill="FDE9D9" w:themeFill="accent6" w:themeFillTint="33"/>
            <w:vAlign w:val="center"/>
          </w:tcPr>
          <w:p w:rsidR="00E626CE" w:rsidRPr="00024C7D" w:rsidRDefault="00E626CE" w:rsidP="00797357">
            <w:pPr>
              <w:snapToGrid w:val="0"/>
              <w:jc w:val="center"/>
              <w:rPr>
                <w:rFonts w:ascii="楷体" w:eastAsia="楷体" w:hAnsi="楷体"/>
                <w:b/>
                <w:color w:val="000000"/>
                <w:sz w:val="18"/>
                <w:szCs w:val="18"/>
              </w:rPr>
            </w:pPr>
          </w:p>
        </w:tc>
        <w:tc>
          <w:tcPr>
            <w:tcW w:w="992" w:type="dxa"/>
            <w:tcBorders>
              <w:left w:val="single" w:sz="6" w:space="0" w:color="FF6600"/>
              <w:right w:val="single" w:sz="6" w:space="0" w:color="FF6600"/>
            </w:tcBorders>
            <w:shd w:val="clear" w:color="auto" w:fill="auto"/>
            <w:vAlign w:val="center"/>
          </w:tcPr>
          <w:p w:rsidR="00E626CE" w:rsidRPr="00DB0CF0" w:rsidRDefault="00E626CE" w:rsidP="00DB0CF0">
            <w:pPr>
              <w:jc w:val="center"/>
              <w:rPr>
                <w:rFonts w:ascii="楷体" w:eastAsia="楷体" w:hAnsi="楷体"/>
                <w:color w:val="000000"/>
                <w:sz w:val="18"/>
                <w:szCs w:val="18"/>
              </w:rPr>
            </w:pPr>
            <w:r w:rsidRPr="00DB0CF0">
              <w:rPr>
                <w:rFonts w:ascii="楷体" w:eastAsia="楷体" w:hAnsi="楷体" w:hint="eastAsia"/>
                <w:color w:val="000000"/>
                <w:sz w:val="18"/>
                <w:szCs w:val="18"/>
              </w:rPr>
              <w:t>150091</w:t>
            </w:r>
          </w:p>
        </w:tc>
        <w:tc>
          <w:tcPr>
            <w:tcW w:w="1843" w:type="dxa"/>
            <w:tcBorders>
              <w:left w:val="single" w:sz="6" w:space="0" w:color="FF6600"/>
              <w:right w:val="single" w:sz="6" w:space="0" w:color="FF6600"/>
            </w:tcBorders>
            <w:shd w:val="clear" w:color="auto" w:fill="auto"/>
            <w:vAlign w:val="center"/>
          </w:tcPr>
          <w:p w:rsidR="00E626CE" w:rsidRPr="00DB0CF0" w:rsidRDefault="00E626CE" w:rsidP="00DB0CF0">
            <w:pPr>
              <w:jc w:val="center"/>
              <w:rPr>
                <w:rFonts w:ascii="楷体" w:eastAsia="楷体" w:hAnsi="楷体"/>
                <w:color w:val="000000"/>
                <w:sz w:val="18"/>
                <w:szCs w:val="18"/>
              </w:rPr>
            </w:pPr>
            <w:r w:rsidRPr="00DB0CF0">
              <w:rPr>
                <w:rFonts w:ascii="楷体" w:eastAsia="楷体" w:hAnsi="楷体" w:hint="eastAsia"/>
                <w:color w:val="000000"/>
                <w:sz w:val="18"/>
                <w:szCs w:val="18"/>
              </w:rPr>
              <w:t>万家中</w:t>
            </w:r>
            <w:proofErr w:type="gramStart"/>
            <w:r w:rsidRPr="00DB0CF0">
              <w:rPr>
                <w:rFonts w:ascii="楷体" w:eastAsia="楷体" w:hAnsi="楷体" w:hint="eastAsia"/>
                <w:color w:val="000000"/>
                <w:sz w:val="18"/>
                <w:szCs w:val="18"/>
              </w:rPr>
              <w:t>证创业</w:t>
            </w:r>
            <w:proofErr w:type="gramEnd"/>
            <w:r w:rsidRPr="00DB0CF0">
              <w:rPr>
                <w:rFonts w:ascii="楷体" w:eastAsia="楷体" w:hAnsi="楷体" w:hint="eastAsia"/>
                <w:color w:val="000000"/>
                <w:sz w:val="18"/>
                <w:szCs w:val="18"/>
              </w:rPr>
              <w:t>成长B</w:t>
            </w:r>
          </w:p>
        </w:tc>
        <w:tc>
          <w:tcPr>
            <w:tcW w:w="851" w:type="dxa"/>
            <w:tcBorders>
              <w:left w:val="single" w:sz="6" w:space="0" w:color="FF6600"/>
              <w:right w:val="single" w:sz="6" w:space="0" w:color="FF6600"/>
            </w:tcBorders>
            <w:shd w:val="clear" w:color="auto" w:fill="auto"/>
            <w:vAlign w:val="center"/>
          </w:tcPr>
          <w:p w:rsidR="00E626CE" w:rsidRPr="00DB0CF0" w:rsidRDefault="00E626CE" w:rsidP="00DB0CF0">
            <w:pPr>
              <w:jc w:val="center"/>
              <w:rPr>
                <w:rFonts w:ascii="楷体" w:eastAsia="楷体" w:hAnsi="楷体"/>
                <w:color w:val="000000"/>
                <w:sz w:val="18"/>
                <w:szCs w:val="18"/>
              </w:rPr>
            </w:pPr>
            <w:r w:rsidRPr="00DB0CF0">
              <w:rPr>
                <w:rFonts w:ascii="楷体" w:eastAsia="楷体" w:hAnsi="楷体" w:hint="eastAsia"/>
                <w:color w:val="000000"/>
                <w:sz w:val="18"/>
                <w:szCs w:val="18"/>
              </w:rPr>
              <w:t>开放式</w:t>
            </w:r>
          </w:p>
        </w:tc>
        <w:tc>
          <w:tcPr>
            <w:tcW w:w="850" w:type="dxa"/>
            <w:tcBorders>
              <w:left w:val="single" w:sz="6" w:space="0" w:color="FF6600"/>
            </w:tcBorders>
            <w:shd w:val="clear" w:color="auto" w:fill="auto"/>
            <w:vAlign w:val="center"/>
          </w:tcPr>
          <w:p w:rsidR="00E626CE" w:rsidRPr="00DB0CF0" w:rsidRDefault="00E626CE" w:rsidP="00DB0CF0">
            <w:pPr>
              <w:jc w:val="center"/>
              <w:rPr>
                <w:rFonts w:ascii="楷体" w:eastAsia="楷体" w:hAnsi="楷体"/>
                <w:color w:val="000000"/>
                <w:sz w:val="18"/>
                <w:szCs w:val="18"/>
              </w:rPr>
            </w:pPr>
            <w:r w:rsidRPr="00DB0CF0">
              <w:rPr>
                <w:rFonts w:ascii="楷体" w:eastAsia="楷体" w:hAnsi="楷体" w:hint="eastAsia"/>
                <w:color w:val="000000"/>
                <w:sz w:val="18"/>
                <w:szCs w:val="18"/>
              </w:rPr>
              <w:t>1.88</w:t>
            </w:r>
          </w:p>
        </w:tc>
      </w:tr>
      <w:tr w:rsidR="00DB0CF0" w:rsidRPr="005B7CDB" w:rsidTr="00DB0CF0">
        <w:trPr>
          <w:cantSplit/>
          <w:trHeight w:val="227"/>
        </w:trPr>
        <w:tc>
          <w:tcPr>
            <w:tcW w:w="851" w:type="dxa"/>
            <w:vMerge w:val="restart"/>
            <w:tcBorders>
              <w:right w:val="single" w:sz="6" w:space="0" w:color="FF6600"/>
            </w:tcBorders>
            <w:shd w:val="clear" w:color="auto" w:fill="FDE9D9" w:themeFill="accent6" w:themeFillTint="33"/>
            <w:vAlign w:val="center"/>
          </w:tcPr>
          <w:p w:rsidR="00DB0CF0" w:rsidRPr="005B7CDB" w:rsidRDefault="00DB0CF0" w:rsidP="000D1136">
            <w:pPr>
              <w:snapToGrid w:val="0"/>
              <w:jc w:val="center"/>
              <w:rPr>
                <w:rFonts w:ascii="楷体" w:eastAsia="楷体" w:hAnsi="楷体"/>
                <w:b/>
                <w:sz w:val="18"/>
                <w:szCs w:val="18"/>
              </w:rPr>
            </w:pPr>
            <w:r w:rsidRPr="005B7CDB">
              <w:rPr>
                <w:rFonts w:ascii="楷体" w:eastAsia="楷体" w:hAnsi="楷体" w:hint="eastAsia"/>
                <w:b/>
                <w:sz w:val="18"/>
                <w:szCs w:val="18"/>
              </w:rPr>
              <w:t>分级基金子份额-</w:t>
            </w:r>
          </w:p>
          <w:p w:rsidR="00DB0CF0" w:rsidRPr="005B7CDB" w:rsidRDefault="00DB0CF0" w:rsidP="000D1136">
            <w:pPr>
              <w:snapToGrid w:val="0"/>
              <w:jc w:val="center"/>
              <w:rPr>
                <w:rFonts w:ascii="楷体" w:eastAsia="楷体" w:hAnsi="楷体"/>
                <w:b/>
                <w:sz w:val="18"/>
                <w:szCs w:val="18"/>
              </w:rPr>
            </w:pPr>
            <w:r w:rsidRPr="005B7CDB">
              <w:rPr>
                <w:rFonts w:ascii="楷体" w:eastAsia="楷体" w:hAnsi="楷体" w:hint="eastAsia"/>
                <w:b/>
                <w:sz w:val="18"/>
                <w:szCs w:val="18"/>
              </w:rPr>
              <w:t>债券稳健</w:t>
            </w:r>
          </w:p>
        </w:tc>
        <w:tc>
          <w:tcPr>
            <w:tcW w:w="851" w:type="dxa"/>
            <w:tcBorders>
              <w:left w:val="single" w:sz="6" w:space="0" w:color="FF6600"/>
              <w:right w:val="single" w:sz="6" w:space="0" w:color="FF6600"/>
            </w:tcBorders>
            <w:shd w:val="clear" w:color="auto" w:fill="auto"/>
            <w:vAlign w:val="center"/>
          </w:tcPr>
          <w:p w:rsidR="00DB0CF0" w:rsidRPr="00DB0CF0" w:rsidRDefault="00DB0CF0" w:rsidP="00DB0CF0">
            <w:pPr>
              <w:jc w:val="center"/>
              <w:rPr>
                <w:rFonts w:ascii="楷体" w:eastAsia="楷体" w:hAnsi="楷体"/>
                <w:color w:val="000000"/>
                <w:sz w:val="18"/>
                <w:szCs w:val="18"/>
              </w:rPr>
            </w:pPr>
            <w:r w:rsidRPr="00DB0CF0">
              <w:rPr>
                <w:rFonts w:ascii="楷体" w:eastAsia="楷体" w:hAnsi="楷体" w:hint="eastAsia"/>
                <w:color w:val="000000"/>
                <w:sz w:val="18"/>
                <w:szCs w:val="18"/>
              </w:rPr>
              <w:t>498</w:t>
            </w:r>
          </w:p>
        </w:tc>
        <w:tc>
          <w:tcPr>
            <w:tcW w:w="1984" w:type="dxa"/>
            <w:tcBorders>
              <w:left w:val="single" w:sz="6" w:space="0" w:color="FF6600"/>
              <w:right w:val="single" w:sz="6" w:space="0" w:color="FF6600"/>
            </w:tcBorders>
            <w:shd w:val="clear" w:color="auto" w:fill="auto"/>
            <w:vAlign w:val="center"/>
          </w:tcPr>
          <w:p w:rsidR="00DB0CF0" w:rsidRPr="00DB0CF0" w:rsidRDefault="00DB0CF0" w:rsidP="00DB0CF0">
            <w:pPr>
              <w:jc w:val="center"/>
              <w:rPr>
                <w:rFonts w:ascii="楷体" w:eastAsia="楷体" w:hAnsi="楷体"/>
                <w:color w:val="000000"/>
                <w:sz w:val="18"/>
                <w:szCs w:val="18"/>
              </w:rPr>
            </w:pPr>
            <w:r w:rsidRPr="00DB0CF0">
              <w:rPr>
                <w:rFonts w:ascii="楷体" w:eastAsia="楷体" w:hAnsi="楷体" w:hint="eastAsia"/>
                <w:color w:val="000000"/>
                <w:sz w:val="18"/>
                <w:szCs w:val="18"/>
              </w:rPr>
              <w:t>财</w:t>
            </w:r>
            <w:proofErr w:type="gramStart"/>
            <w:r w:rsidRPr="00DB0CF0">
              <w:rPr>
                <w:rFonts w:ascii="楷体" w:eastAsia="楷体" w:hAnsi="楷体" w:hint="eastAsia"/>
                <w:color w:val="000000"/>
                <w:sz w:val="18"/>
                <w:szCs w:val="18"/>
              </w:rPr>
              <w:t>通纯债</w:t>
            </w:r>
            <w:proofErr w:type="gramEnd"/>
            <w:r w:rsidRPr="00DB0CF0">
              <w:rPr>
                <w:rFonts w:ascii="楷体" w:eastAsia="楷体" w:hAnsi="楷体" w:hint="eastAsia"/>
                <w:color w:val="000000"/>
                <w:sz w:val="18"/>
                <w:szCs w:val="18"/>
              </w:rPr>
              <w:t>分级A</w:t>
            </w:r>
          </w:p>
        </w:tc>
        <w:tc>
          <w:tcPr>
            <w:tcW w:w="851" w:type="dxa"/>
            <w:tcBorders>
              <w:left w:val="single" w:sz="6" w:space="0" w:color="FF6600"/>
              <w:right w:val="single" w:sz="6" w:space="0" w:color="FF6600"/>
            </w:tcBorders>
            <w:shd w:val="clear" w:color="auto" w:fill="auto"/>
            <w:vAlign w:val="center"/>
          </w:tcPr>
          <w:p w:rsidR="00DB0CF0" w:rsidRPr="00DB0CF0" w:rsidRDefault="00DB0CF0" w:rsidP="00DB0CF0">
            <w:pPr>
              <w:jc w:val="center"/>
              <w:rPr>
                <w:rFonts w:ascii="楷体" w:eastAsia="楷体" w:hAnsi="楷体"/>
                <w:color w:val="000000"/>
                <w:sz w:val="18"/>
                <w:szCs w:val="18"/>
              </w:rPr>
            </w:pPr>
            <w:r w:rsidRPr="00DB0CF0">
              <w:rPr>
                <w:rFonts w:ascii="楷体" w:eastAsia="楷体" w:hAnsi="楷体" w:hint="eastAsia"/>
                <w:color w:val="000000"/>
                <w:sz w:val="18"/>
                <w:szCs w:val="18"/>
              </w:rPr>
              <w:t>开放式</w:t>
            </w:r>
          </w:p>
        </w:tc>
        <w:tc>
          <w:tcPr>
            <w:tcW w:w="991" w:type="dxa"/>
            <w:tcBorders>
              <w:left w:val="single" w:sz="6" w:space="0" w:color="FF6600"/>
              <w:right w:val="single" w:sz="6" w:space="0" w:color="FF6600"/>
            </w:tcBorders>
            <w:shd w:val="clear" w:color="auto" w:fill="auto"/>
            <w:vAlign w:val="center"/>
          </w:tcPr>
          <w:p w:rsidR="00DB0CF0" w:rsidRPr="00DB0CF0" w:rsidRDefault="00DB0CF0" w:rsidP="00DB0CF0">
            <w:pPr>
              <w:jc w:val="center"/>
              <w:rPr>
                <w:rFonts w:ascii="楷体" w:eastAsia="楷体" w:hAnsi="楷体"/>
                <w:color w:val="000000"/>
                <w:sz w:val="18"/>
                <w:szCs w:val="18"/>
              </w:rPr>
            </w:pPr>
            <w:r w:rsidRPr="00DB0CF0">
              <w:rPr>
                <w:rFonts w:ascii="楷体" w:eastAsia="楷体" w:hAnsi="楷体" w:hint="eastAsia"/>
                <w:color w:val="000000"/>
                <w:sz w:val="18"/>
                <w:szCs w:val="18"/>
              </w:rPr>
              <w:t>0.20</w:t>
            </w:r>
          </w:p>
        </w:tc>
        <w:tc>
          <w:tcPr>
            <w:tcW w:w="993" w:type="dxa"/>
            <w:vMerge w:val="restart"/>
            <w:tcBorders>
              <w:left w:val="single" w:sz="6" w:space="0" w:color="FF6600"/>
              <w:right w:val="single" w:sz="6" w:space="0" w:color="FF6600"/>
            </w:tcBorders>
            <w:shd w:val="clear" w:color="auto" w:fill="FDE9D9" w:themeFill="accent6" w:themeFillTint="33"/>
            <w:vAlign w:val="center"/>
          </w:tcPr>
          <w:p w:rsidR="00DB0CF0" w:rsidRPr="00024C7D" w:rsidRDefault="00DB0CF0" w:rsidP="00797357">
            <w:pPr>
              <w:snapToGrid w:val="0"/>
              <w:jc w:val="center"/>
              <w:rPr>
                <w:rFonts w:ascii="楷体" w:eastAsia="楷体" w:hAnsi="楷体"/>
                <w:b/>
                <w:color w:val="000000"/>
                <w:sz w:val="18"/>
                <w:szCs w:val="18"/>
              </w:rPr>
            </w:pPr>
            <w:r w:rsidRPr="00024C7D">
              <w:rPr>
                <w:rFonts w:ascii="楷体" w:eastAsia="楷体" w:hAnsi="楷体" w:hint="eastAsia"/>
                <w:b/>
                <w:color w:val="000000"/>
                <w:sz w:val="18"/>
                <w:szCs w:val="18"/>
              </w:rPr>
              <w:t>分级基金子份额-</w:t>
            </w:r>
          </w:p>
          <w:p w:rsidR="00DB0CF0" w:rsidRPr="00024C7D" w:rsidRDefault="00DB0CF0" w:rsidP="00797357">
            <w:pPr>
              <w:snapToGrid w:val="0"/>
              <w:jc w:val="center"/>
              <w:rPr>
                <w:rFonts w:ascii="楷体" w:eastAsia="楷体" w:hAnsi="楷体"/>
                <w:b/>
                <w:color w:val="000000"/>
                <w:sz w:val="18"/>
                <w:szCs w:val="18"/>
              </w:rPr>
            </w:pPr>
            <w:r w:rsidRPr="00024C7D">
              <w:rPr>
                <w:rFonts w:ascii="楷体" w:eastAsia="楷体" w:hAnsi="楷体" w:hint="eastAsia"/>
                <w:b/>
                <w:color w:val="000000"/>
                <w:sz w:val="18"/>
                <w:szCs w:val="18"/>
              </w:rPr>
              <w:t>债券积极</w:t>
            </w:r>
          </w:p>
        </w:tc>
        <w:tc>
          <w:tcPr>
            <w:tcW w:w="992" w:type="dxa"/>
            <w:tcBorders>
              <w:left w:val="single" w:sz="6" w:space="0" w:color="FF6600"/>
              <w:right w:val="single" w:sz="6" w:space="0" w:color="FF6600"/>
            </w:tcBorders>
            <w:shd w:val="clear" w:color="auto" w:fill="auto"/>
            <w:vAlign w:val="center"/>
          </w:tcPr>
          <w:p w:rsidR="00DB0CF0" w:rsidRPr="00DB0CF0" w:rsidRDefault="00DB0CF0" w:rsidP="00DB0CF0">
            <w:pPr>
              <w:jc w:val="center"/>
              <w:rPr>
                <w:rFonts w:ascii="楷体" w:eastAsia="楷体" w:hAnsi="楷体"/>
                <w:color w:val="000000"/>
                <w:sz w:val="18"/>
                <w:szCs w:val="18"/>
              </w:rPr>
            </w:pPr>
            <w:r w:rsidRPr="00DB0CF0">
              <w:rPr>
                <w:rFonts w:ascii="楷体" w:eastAsia="楷体" w:hAnsi="楷体" w:hint="eastAsia"/>
                <w:color w:val="000000"/>
                <w:sz w:val="18"/>
                <w:szCs w:val="18"/>
              </w:rPr>
              <w:t>150161</w:t>
            </w:r>
          </w:p>
        </w:tc>
        <w:tc>
          <w:tcPr>
            <w:tcW w:w="1843" w:type="dxa"/>
            <w:tcBorders>
              <w:left w:val="single" w:sz="6" w:space="0" w:color="FF6600"/>
              <w:right w:val="single" w:sz="6" w:space="0" w:color="FF6600"/>
            </w:tcBorders>
            <w:shd w:val="clear" w:color="auto" w:fill="auto"/>
            <w:vAlign w:val="center"/>
          </w:tcPr>
          <w:p w:rsidR="00DB0CF0" w:rsidRPr="00DB0CF0" w:rsidRDefault="00DB0CF0" w:rsidP="00DB0CF0">
            <w:pPr>
              <w:jc w:val="center"/>
              <w:rPr>
                <w:rFonts w:ascii="楷体" w:eastAsia="楷体" w:hAnsi="楷体"/>
                <w:color w:val="000000"/>
                <w:sz w:val="18"/>
                <w:szCs w:val="18"/>
              </w:rPr>
            </w:pPr>
            <w:r w:rsidRPr="00DB0CF0">
              <w:rPr>
                <w:rFonts w:ascii="楷体" w:eastAsia="楷体" w:hAnsi="楷体" w:hint="eastAsia"/>
                <w:color w:val="000000"/>
                <w:sz w:val="18"/>
                <w:szCs w:val="18"/>
              </w:rPr>
              <w:t>新华惠鑫分级B</w:t>
            </w:r>
          </w:p>
        </w:tc>
        <w:tc>
          <w:tcPr>
            <w:tcW w:w="851" w:type="dxa"/>
            <w:tcBorders>
              <w:left w:val="single" w:sz="6" w:space="0" w:color="FF6600"/>
              <w:right w:val="single" w:sz="6" w:space="0" w:color="FF6600"/>
            </w:tcBorders>
            <w:shd w:val="clear" w:color="auto" w:fill="auto"/>
            <w:vAlign w:val="center"/>
          </w:tcPr>
          <w:p w:rsidR="00DB0CF0" w:rsidRPr="00DB0CF0" w:rsidRDefault="00DB0CF0" w:rsidP="00DB0CF0">
            <w:pPr>
              <w:jc w:val="center"/>
              <w:rPr>
                <w:rFonts w:ascii="楷体" w:eastAsia="楷体" w:hAnsi="楷体"/>
                <w:color w:val="000000"/>
                <w:sz w:val="18"/>
                <w:szCs w:val="18"/>
              </w:rPr>
            </w:pPr>
            <w:r w:rsidRPr="00DB0CF0">
              <w:rPr>
                <w:rFonts w:ascii="楷体" w:eastAsia="楷体" w:hAnsi="楷体" w:hint="eastAsia"/>
                <w:color w:val="000000"/>
                <w:sz w:val="18"/>
                <w:szCs w:val="18"/>
              </w:rPr>
              <w:t>封闭式</w:t>
            </w:r>
          </w:p>
        </w:tc>
        <w:tc>
          <w:tcPr>
            <w:tcW w:w="850" w:type="dxa"/>
            <w:tcBorders>
              <w:left w:val="single" w:sz="6" w:space="0" w:color="FF6600"/>
            </w:tcBorders>
            <w:shd w:val="clear" w:color="auto" w:fill="auto"/>
            <w:vAlign w:val="center"/>
          </w:tcPr>
          <w:p w:rsidR="00DB0CF0" w:rsidRPr="00DB0CF0" w:rsidRDefault="00DB0CF0" w:rsidP="00DB0CF0">
            <w:pPr>
              <w:jc w:val="center"/>
              <w:rPr>
                <w:rFonts w:ascii="楷体" w:eastAsia="楷体" w:hAnsi="楷体"/>
                <w:color w:val="000000"/>
                <w:sz w:val="18"/>
                <w:szCs w:val="18"/>
              </w:rPr>
            </w:pPr>
            <w:r w:rsidRPr="00DB0CF0">
              <w:rPr>
                <w:rFonts w:ascii="楷体" w:eastAsia="楷体" w:hAnsi="楷体" w:hint="eastAsia"/>
                <w:color w:val="000000"/>
                <w:sz w:val="18"/>
                <w:szCs w:val="18"/>
              </w:rPr>
              <w:t>3.77</w:t>
            </w:r>
          </w:p>
        </w:tc>
      </w:tr>
      <w:tr w:rsidR="00DB0CF0" w:rsidRPr="005B7CDB" w:rsidTr="00DB0CF0">
        <w:trPr>
          <w:cantSplit/>
          <w:trHeight w:val="227"/>
        </w:trPr>
        <w:tc>
          <w:tcPr>
            <w:tcW w:w="851" w:type="dxa"/>
            <w:vMerge/>
            <w:tcBorders>
              <w:right w:val="single" w:sz="6" w:space="0" w:color="FF6600"/>
            </w:tcBorders>
            <w:shd w:val="clear" w:color="auto" w:fill="FDE9D9" w:themeFill="accent6" w:themeFillTint="33"/>
            <w:vAlign w:val="center"/>
          </w:tcPr>
          <w:p w:rsidR="00DB0CF0" w:rsidRPr="005B7CDB" w:rsidRDefault="00DB0CF0" w:rsidP="000D1136">
            <w:pPr>
              <w:snapToGrid w:val="0"/>
              <w:jc w:val="center"/>
              <w:rPr>
                <w:rFonts w:ascii="楷体" w:eastAsia="楷体" w:hAnsi="楷体"/>
                <w:b/>
                <w:sz w:val="18"/>
                <w:szCs w:val="18"/>
              </w:rPr>
            </w:pPr>
          </w:p>
        </w:tc>
        <w:tc>
          <w:tcPr>
            <w:tcW w:w="851" w:type="dxa"/>
            <w:tcBorders>
              <w:left w:val="single" w:sz="6" w:space="0" w:color="FF6600"/>
              <w:right w:val="single" w:sz="6" w:space="0" w:color="FF6600"/>
            </w:tcBorders>
            <w:shd w:val="clear" w:color="auto" w:fill="auto"/>
            <w:vAlign w:val="center"/>
          </w:tcPr>
          <w:p w:rsidR="00DB0CF0" w:rsidRPr="00DB0CF0" w:rsidRDefault="00DB0CF0" w:rsidP="00DB0CF0">
            <w:pPr>
              <w:jc w:val="center"/>
              <w:rPr>
                <w:rFonts w:ascii="楷体" w:eastAsia="楷体" w:hAnsi="楷体"/>
                <w:color w:val="000000"/>
                <w:sz w:val="18"/>
                <w:szCs w:val="18"/>
              </w:rPr>
            </w:pPr>
            <w:r w:rsidRPr="00DB0CF0">
              <w:rPr>
                <w:rFonts w:ascii="楷体" w:eastAsia="楷体" w:hAnsi="楷体" w:hint="eastAsia"/>
                <w:color w:val="000000"/>
                <w:sz w:val="18"/>
                <w:szCs w:val="18"/>
              </w:rPr>
              <w:t>429</w:t>
            </w:r>
          </w:p>
        </w:tc>
        <w:tc>
          <w:tcPr>
            <w:tcW w:w="1984" w:type="dxa"/>
            <w:tcBorders>
              <w:left w:val="single" w:sz="6" w:space="0" w:color="FF6600"/>
              <w:right w:val="single" w:sz="6" w:space="0" w:color="FF6600"/>
            </w:tcBorders>
            <w:shd w:val="clear" w:color="auto" w:fill="auto"/>
            <w:vAlign w:val="center"/>
          </w:tcPr>
          <w:p w:rsidR="00DB0CF0" w:rsidRPr="00DB0CF0" w:rsidRDefault="00DB0CF0" w:rsidP="00DB0CF0">
            <w:pPr>
              <w:jc w:val="center"/>
              <w:rPr>
                <w:rFonts w:ascii="楷体" w:eastAsia="楷体" w:hAnsi="楷体"/>
                <w:color w:val="000000"/>
                <w:sz w:val="18"/>
                <w:szCs w:val="18"/>
              </w:rPr>
            </w:pPr>
            <w:proofErr w:type="gramStart"/>
            <w:r w:rsidRPr="00DB0CF0">
              <w:rPr>
                <w:rFonts w:ascii="楷体" w:eastAsia="楷体" w:hAnsi="楷体" w:hint="eastAsia"/>
                <w:color w:val="000000"/>
                <w:sz w:val="18"/>
                <w:szCs w:val="18"/>
              </w:rPr>
              <w:t>易方达聚盈</w:t>
            </w:r>
            <w:proofErr w:type="gramEnd"/>
            <w:r w:rsidRPr="00DB0CF0">
              <w:rPr>
                <w:rFonts w:ascii="楷体" w:eastAsia="楷体" w:hAnsi="楷体" w:hint="eastAsia"/>
                <w:color w:val="000000"/>
                <w:sz w:val="18"/>
                <w:szCs w:val="18"/>
              </w:rPr>
              <w:t>A</w:t>
            </w:r>
          </w:p>
        </w:tc>
        <w:tc>
          <w:tcPr>
            <w:tcW w:w="851" w:type="dxa"/>
            <w:tcBorders>
              <w:left w:val="single" w:sz="6" w:space="0" w:color="FF6600"/>
              <w:right w:val="single" w:sz="6" w:space="0" w:color="FF6600"/>
            </w:tcBorders>
            <w:shd w:val="clear" w:color="auto" w:fill="auto"/>
            <w:vAlign w:val="center"/>
          </w:tcPr>
          <w:p w:rsidR="00DB0CF0" w:rsidRPr="00DB0CF0" w:rsidRDefault="00DB0CF0" w:rsidP="00DB0CF0">
            <w:pPr>
              <w:jc w:val="center"/>
              <w:rPr>
                <w:rFonts w:ascii="楷体" w:eastAsia="楷体" w:hAnsi="楷体"/>
                <w:color w:val="000000"/>
                <w:sz w:val="18"/>
                <w:szCs w:val="18"/>
              </w:rPr>
            </w:pPr>
            <w:r w:rsidRPr="00DB0CF0">
              <w:rPr>
                <w:rFonts w:ascii="楷体" w:eastAsia="楷体" w:hAnsi="楷体" w:hint="eastAsia"/>
                <w:color w:val="000000"/>
                <w:sz w:val="18"/>
                <w:szCs w:val="18"/>
              </w:rPr>
              <w:t>开放式</w:t>
            </w:r>
          </w:p>
        </w:tc>
        <w:tc>
          <w:tcPr>
            <w:tcW w:w="991" w:type="dxa"/>
            <w:tcBorders>
              <w:left w:val="single" w:sz="6" w:space="0" w:color="FF6600"/>
              <w:right w:val="single" w:sz="6" w:space="0" w:color="FF6600"/>
            </w:tcBorders>
            <w:shd w:val="clear" w:color="auto" w:fill="auto"/>
            <w:vAlign w:val="center"/>
          </w:tcPr>
          <w:p w:rsidR="00DB0CF0" w:rsidRPr="00DB0CF0" w:rsidRDefault="00DB0CF0" w:rsidP="00DB0CF0">
            <w:pPr>
              <w:jc w:val="center"/>
              <w:rPr>
                <w:rFonts w:ascii="楷体" w:eastAsia="楷体" w:hAnsi="楷体"/>
                <w:color w:val="000000"/>
                <w:sz w:val="18"/>
                <w:szCs w:val="18"/>
              </w:rPr>
            </w:pPr>
            <w:r w:rsidRPr="00DB0CF0">
              <w:rPr>
                <w:rFonts w:ascii="楷体" w:eastAsia="楷体" w:hAnsi="楷体" w:hint="eastAsia"/>
                <w:color w:val="000000"/>
                <w:sz w:val="18"/>
                <w:szCs w:val="18"/>
              </w:rPr>
              <w:t>0.11</w:t>
            </w:r>
          </w:p>
        </w:tc>
        <w:tc>
          <w:tcPr>
            <w:tcW w:w="993" w:type="dxa"/>
            <w:vMerge/>
            <w:tcBorders>
              <w:left w:val="single" w:sz="6" w:space="0" w:color="FF6600"/>
              <w:right w:val="single" w:sz="6" w:space="0" w:color="FF6600"/>
            </w:tcBorders>
            <w:shd w:val="clear" w:color="auto" w:fill="FDE9D9" w:themeFill="accent6" w:themeFillTint="33"/>
            <w:vAlign w:val="center"/>
          </w:tcPr>
          <w:p w:rsidR="00DB0CF0" w:rsidRPr="00797357" w:rsidRDefault="00DB0CF0" w:rsidP="00797357">
            <w:pPr>
              <w:snapToGrid w:val="0"/>
              <w:jc w:val="center"/>
              <w:rPr>
                <w:rFonts w:ascii="楷体" w:eastAsia="楷体" w:hAnsi="楷体"/>
                <w:color w:val="000000"/>
                <w:sz w:val="18"/>
                <w:szCs w:val="18"/>
              </w:rPr>
            </w:pPr>
          </w:p>
        </w:tc>
        <w:tc>
          <w:tcPr>
            <w:tcW w:w="992" w:type="dxa"/>
            <w:tcBorders>
              <w:left w:val="single" w:sz="6" w:space="0" w:color="FF6600"/>
              <w:right w:val="single" w:sz="6" w:space="0" w:color="FF6600"/>
            </w:tcBorders>
            <w:shd w:val="clear" w:color="auto" w:fill="auto"/>
            <w:vAlign w:val="center"/>
          </w:tcPr>
          <w:p w:rsidR="00DB0CF0" w:rsidRPr="00DB0CF0" w:rsidRDefault="00DB0CF0" w:rsidP="00DB0CF0">
            <w:pPr>
              <w:jc w:val="center"/>
              <w:rPr>
                <w:rFonts w:ascii="楷体" w:eastAsia="楷体" w:hAnsi="楷体"/>
                <w:color w:val="000000"/>
                <w:sz w:val="18"/>
                <w:szCs w:val="18"/>
              </w:rPr>
            </w:pPr>
            <w:r w:rsidRPr="00DB0CF0">
              <w:rPr>
                <w:rFonts w:ascii="楷体" w:eastAsia="楷体" w:hAnsi="楷体" w:hint="eastAsia"/>
                <w:color w:val="000000"/>
                <w:sz w:val="18"/>
                <w:szCs w:val="18"/>
              </w:rPr>
              <w:t>150033</w:t>
            </w:r>
          </w:p>
        </w:tc>
        <w:tc>
          <w:tcPr>
            <w:tcW w:w="1843" w:type="dxa"/>
            <w:tcBorders>
              <w:left w:val="single" w:sz="6" w:space="0" w:color="FF6600"/>
              <w:right w:val="single" w:sz="6" w:space="0" w:color="FF6600"/>
            </w:tcBorders>
            <w:shd w:val="clear" w:color="auto" w:fill="auto"/>
            <w:vAlign w:val="center"/>
          </w:tcPr>
          <w:p w:rsidR="00DB0CF0" w:rsidRPr="00DB0CF0" w:rsidRDefault="00DB0CF0" w:rsidP="00DB0CF0">
            <w:pPr>
              <w:jc w:val="center"/>
              <w:rPr>
                <w:rFonts w:ascii="楷体" w:eastAsia="楷体" w:hAnsi="楷体"/>
                <w:color w:val="000000"/>
                <w:sz w:val="18"/>
                <w:szCs w:val="18"/>
              </w:rPr>
            </w:pPr>
            <w:r w:rsidRPr="00DB0CF0">
              <w:rPr>
                <w:rFonts w:ascii="楷体" w:eastAsia="楷体" w:hAnsi="楷体" w:hint="eastAsia"/>
                <w:color w:val="000000"/>
                <w:sz w:val="18"/>
                <w:szCs w:val="18"/>
              </w:rPr>
              <w:t>嘉实多利进取</w:t>
            </w:r>
          </w:p>
        </w:tc>
        <w:tc>
          <w:tcPr>
            <w:tcW w:w="851" w:type="dxa"/>
            <w:tcBorders>
              <w:left w:val="single" w:sz="6" w:space="0" w:color="FF6600"/>
              <w:right w:val="single" w:sz="6" w:space="0" w:color="FF6600"/>
            </w:tcBorders>
            <w:shd w:val="clear" w:color="auto" w:fill="auto"/>
            <w:vAlign w:val="center"/>
          </w:tcPr>
          <w:p w:rsidR="00DB0CF0" w:rsidRPr="00DB0CF0" w:rsidRDefault="00DB0CF0" w:rsidP="00DB0CF0">
            <w:pPr>
              <w:jc w:val="center"/>
              <w:rPr>
                <w:rFonts w:ascii="楷体" w:eastAsia="楷体" w:hAnsi="楷体"/>
                <w:color w:val="000000"/>
                <w:sz w:val="18"/>
                <w:szCs w:val="18"/>
              </w:rPr>
            </w:pPr>
            <w:r w:rsidRPr="00DB0CF0">
              <w:rPr>
                <w:rFonts w:ascii="楷体" w:eastAsia="楷体" w:hAnsi="楷体" w:hint="eastAsia"/>
                <w:color w:val="000000"/>
                <w:sz w:val="18"/>
                <w:szCs w:val="18"/>
              </w:rPr>
              <w:t>开放式</w:t>
            </w:r>
          </w:p>
        </w:tc>
        <w:tc>
          <w:tcPr>
            <w:tcW w:w="850" w:type="dxa"/>
            <w:tcBorders>
              <w:left w:val="single" w:sz="6" w:space="0" w:color="FF6600"/>
            </w:tcBorders>
            <w:shd w:val="clear" w:color="auto" w:fill="auto"/>
            <w:vAlign w:val="center"/>
          </w:tcPr>
          <w:p w:rsidR="00DB0CF0" w:rsidRPr="00DB0CF0" w:rsidRDefault="00DB0CF0" w:rsidP="00DB0CF0">
            <w:pPr>
              <w:jc w:val="center"/>
              <w:rPr>
                <w:rFonts w:ascii="楷体" w:eastAsia="楷体" w:hAnsi="楷体"/>
                <w:color w:val="000000"/>
                <w:sz w:val="18"/>
                <w:szCs w:val="18"/>
              </w:rPr>
            </w:pPr>
            <w:r w:rsidRPr="00DB0CF0">
              <w:rPr>
                <w:rFonts w:ascii="楷体" w:eastAsia="楷体" w:hAnsi="楷体" w:hint="eastAsia"/>
                <w:color w:val="000000"/>
                <w:sz w:val="18"/>
                <w:szCs w:val="18"/>
              </w:rPr>
              <w:t>3.52</w:t>
            </w:r>
          </w:p>
        </w:tc>
      </w:tr>
      <w:tr w:rsidR="00DB0CF0" w:rsidRPr="005B7CDB" w:rsidTr="00DB0CF0">
        <w:trPr>
          <w:cantSplit/>
          <w:trHeight w:val="227"/>
        </w:trPr>
        <w:tc>
          <w:tcPr>
            <w:tcW w:w="851" w:type="dxa"/>
            <w:vMerge/>
            <w:tcBorders>
              <w:right w:val="single" w:sz="6" w:space="0" w:color="FF6600"/>
            </w:tcBorders>
            <w:shd w:val="clear" w:color="auto" w:fill="FDE9D9" w:themeFill="accent6" w:themeFillTint="33"/>
            <w:vAlign w:val="center"/>
          </w:tcPr>
          <w:p w:rsidR="00DB0CF0" w:rsidRPr="005B7CDB" w:rsidRDefault="00DB0CF0" w:rsidP="000D1136">
            <w:pPr>
              <w:snapToGrid w:val="0"/>
              <w:jc w:val="center"/>
              <w:rPr>
                <w:rFonts w:ascii="楷体" w:eastAsia="楷体" w:hAnsi="楷体"/>
                <w:b/>
                <w:sz w:val="18"/>
                <w:szCs w:val="18"/>
              </w:rPr>
            </w:pPr>
          </w:p>
        </w:tc>
        <w:tc>
          <w:tcPr>
            <w:tcW w:w="851" w:type="dxa"/>
            <w:tcBorders>
              <w:left w:val="single" w:sz="6" w:space="0" w:color="FF6600"/>
              <w:right w:val="single" w:sz="6" w:space="0" w:color="FF6600"/>
            </w:tcBorders>
            <w:shd w:val="clear" w:color="auto" w:fill="auto"/>
            <w:vAlign w:val="center"/>
          </w:tcPr>
          <w:p w:rsidR="00DB0CF0" w:rsidRPr="00DB0CF0" w:rsidRDefault="00DB0CF0" w:rsidP="00DB0CF0">
            <w:pPr>
              <w:jc w:val="center"/>
              <w:rPr>
                <w:rFonts w:ascii="楷体" w:eastAsia="楷体" w:hAnsi="楷体"/>
                <w:color w:val="000000"/>
                <w:sz w:val="18"/>
                <w:szCs w:val="18"/>
              </w:rPr>
            </w:pPr>
            <w:r w:rsidRPr="00DB0CF0">
              <w:rPr>
                <w:rFonts w:ascii="楷体" w:eastAsia="楷体" w:hAnsi="楷体" w:hint="eastAsia"/>
                <w:color w:val="000000"/>
                <w:sz w:val="18"/>
                <w:szCs w:val="18"/>
              </w:rPr>
              <w:t>519052</w:t>
            </w:r>
          </w:p>
        </w:tc>
        <w:tc>
          <w:tcPr>
            <w:tcW w:w="1984" w:type="dxa"/>
            <w:tcBorders>
              <w:left w:val="single" w:sz="6" w:space="0" w:color="FF6600"/>
              <w:right w:val="single" w:sz="6" w:space="0" w:color="FF6600"/>
            </w:tcBorders>
            <w:shd w:val="clear" w:color="auto" w:fill="auto"/>
            <w:vAlign w:val="center"/>
          </w:tcPr>
          <w:p w:rsidR="00DB0CF0" w:rsidRPr="00DB0CF0" w:rsidRDefault="00DB0CF0" w:rsidP="00DB0CF0">
            <w:pPr>
              <w:jc w:val="center"/>
              <w:rPr>
                <w:rFonts w:ascii="楷体" w:eastAsia="楷体" w:hAnsi="楷体"/>
                <w:color w:val="000000"/>
                <w:sz w:val="18"/>
                <w:szCs w:val="18"/>
              </w:rPr>
            </w:pPr>
            <w:r w:rsidRPr="00DB0CF0">
              <w:rPr>
                <w:rFonts w:ascii="楷体" w:eastAsia="楷体" w:hAnsi="楷体" w:hint="eastAsia"/>
                <w:color w:val="000000"/>
                <w:sz w:val="18"/>
                <w:szCs w:val="18"/>
              </w:rPr>
              <w:t>海</w:t>
            </w:r>
            <w:proofErr w:type="gramStart"/>
            <w:r w:rsidRPr="00DB0CF0">
              <w:rPr>
                <w:rFonts w:ascii="楷体" w:eastAsia="楷体" w:hAnsi="楷体" w:hint="eastAsia"/>
                <w:color w:val="000000"/>
                <w:sz w:val="18"/>
                <w:szCs w:val="18"/>
              </w:rPr>
              <w:t>富通双</w:t>
            </w:r>
            <w:proofErr w:type="gramEnd"/>
            <w:r w:rsidRPr="00DB0CF0">
              <w:rPr>
                <w:rFonts w:ascii="楷体" w:eastAsia="楷体" w:hAnsi="楷体" w:hint="eastAsia"/>
                <w:color w:val="000000"/>
                <w:sz w:val="18"/>
                <w:szCs w:val="18"/>
              </w:rPr>
              <w:t>利分级A</w:t>
            </w:r>
          </w:p>
        </w:tc>
        <w:tc>
          <w:tcPr>
            <w:tcW w:w="851" w:type="dxa"/>
            <w:tcBorders>
              <w:left w:val="single" w:sz="6" w:space="0" w:color="FF6600"/>
              <w:right w:val="single" w:sz="6" w:space="0" w:color="FF6600"/>
            </w:tcBorders>
            <w:shd w:val="clear" w:color="auto" w:fill="auto"/>
            <w:vAlign w:val="center"/>
          </w:tcPr>
          <w:p w:rsidR="00DB0CF0" w:rsidRPr="00DB0CF0" w:rsidRDefault="00DB0CF0" w:rsidP="00DB0CF0">
            <w:pPr>
              <w:jc w:val="center"/>
              <w:rPr>
                <w:rFonts w:ascii="楷体" w:eastAsia="楷体" w:hAnsi="楷体"/>
                <w:color w:val="000000"/>
                <w:sz w:val="18"/>
                <w:szCs w:val="18"/>
              </w:rPr>
            </w:pPr>
            <w:r w:rsidRPr="00DB0CF0">
              <w:rPr>
                <w:rFonts w:ascii="楷体" w:eastAsia="楷体" w:hAnsi="楷体" w:hint="eastAsia"/>
                <w:color w:val="000000"/>
                <w:sz w:val="18"/>
                <w:szCs w:val="18"/>
              </w:rPr>
              <w:t>开放式</w:t>
            </w:r>
          </w:p>
        </w:tc>
        <w:tc>
          <w:tcPr>
            <w:tcW w:w="991" w:type="dxa"/>
            <w:tcBorders>
              <w:left w:val="single" w:sz="6" w:space="0" w:color="FF6600"/>
              <w:right w:val="single" w:sz="6" w:space="0" w:color="FF6600"/>
            </w:tcBorders>
            <w:shd w:val="clear" w:color="auto" w:fill="auto"/>
            <w:vAlign w:val="center"/>
          </w:tcPr>
          <w:p w:rsidR="00DB0CF0" w:rsidRPr="00DB0CF0" w:rsidRDefault="00DB0CF0" w:rsidP="00DB0CF0">
            <w:pPr>
              <w:jc w:val="center"/>
              <w:rPr>
                <w:rFonts w:ascii="楷体" w:eastAsia="楷体" w:hAnsi="楷体"/>
                <w:color w:val="000000"/>
                <w:sz w:val="18"/>
                <w:szCs w:val="18"/>
              </w:rPr>
            </w:pPr>
            <w:r w:rsidRPr="00DB0CF0">
              <w:rPr>
                <w:rFonts w:ascii="楷体" w:eastAsia="楷体" w:hAnsi="楷体" w:hint="eastAsia"/>
                <w:color w:val="000000"/>
                <w:sz w:val="18"/>
                <w:szCs w:val="18"/>
              </w:rPr>
              <w:t>0.10</w:t>
            </w:r>
          </w:p>
        </w:tc>
        <w:tc>
          <w:tcPr>
            <w:tcW w:w="993" w:type="dxa"/>
            <w:vMerge/>
            <w:tcBorders>
              <w:left w:val="single" w:sz="6" w:space="0" w:color="FF6600"/>
              <w:right w:val="single" w:sz="6" w:space="0" w:color="FF6600"/>
            </w:tcBorders>
            <w:shd w:val="clear" w:color="auto" w:fill="FDE9D9" w:themeFill="accent6" w:themeFillTint="33"/>
            <w:vAlign w:val="center"/>
          </w:tcPr>
          <w:p w:rsidR="00DB0CF0" w:rsidRPr="00797357" w:rsidRDefault="00DB0CF0" w:rsidP="00797357">
            <w:pPr>
              <w:snapToGrid w:val="0"/>
              <w:jc w:val="center"/>
              <w:rPr>
                <w:rFonts w:ascii="楷体" w:eastAsia="楷体" w:hAnsi="楷体"/>
                <w:color w:val="000000"/>
                <w:sz w:val="18"/>
                <w:szCs w:val="18"/>
              </w:rPr>
            </w:pPr>
          </w:p>
        </w:tc>
        <w:tc>
          <w:tcPr>
            <w:tcW w:w="992" w:type="dxa"/>
            <w:tcBorders>
              <w:left w:val="single" w:sz="6" w:space="0" w:color="FF6600"/>
              <w:right w:val="single" w:sz="6" w:space="0" w:color="FF6600"/>
            </w:tcBorders>
            <w:shd w:val="clear" w:color="auto" w:fill="auto"/>
            <w:vAlign w:val="center"/>
          </w:tcPr>
          <w:p w:rsidR="00DB0CF0" w:rsidRPr="00DB0CF0" w:rsidRDefault="00DB0CF0" w:rsidP="00DB0CF0">
            <w:pPr>
              <w:jc w:val="center"/>
              <w:rPr>
                <w:rFonts w:ascii="楷体" w:eastAsia="楷体" w:hAnsi="楷体"/>
                <w:color w:val="000000"/>
                <w:sz w:val="18"/>
                <w:szCs w:val="18"/>
              </w:rPr>
            </w:pPr>
            <w:r w:rsidRPr="00DB0CF0">
              <w:rPr>
                <w:rFonts w:ascii="楷体" w:eastAsia="楷体" w:hAnsi="楷体" w:hint="eastAsia"/>
                <w:color w:val="000000"/>
                <w:sz w:val="18"/>
                <w:szCs w:val="18"/>
              </w:rPr>
              <w:t>150063</w:t>
            </w:r>
          </w:p>
        </w:tc>
        <w:tc>
          <w:tcPr>
            <w:tcW w:w="1843" w:type="dxa"/>
            <w:tcBorders>
              <w:left w:val="single" w:sz="6" w:space="0" w:color="FF6600"/>
              <w:right w:val="single" w:sz="6" w:space="0" w:color="FF6600"/>
            </w:tcBorders>
            <w:shd w:val="clear" w:color="auto" w:fill="auto"/>
            <w:vAlign w:val="center"/>
          </w:tcPr>
          <w:p w:rsidR="00DB0CF0" w:rsidRPr="00DB0CF0" w:rsidRDefault="00DB0CF0" w:rsidP="00DB0CF0">
            <w:pPr>
              <w:jc w:val="center"/>
              <w:rPr>
                <w:rFonts w:ascii="楷体" w:eastAsia="楷体" w:hAnsi="楷体"/>
                <w:color w:val="000000"/>
                <w:sz w:val="18"/>
                <w:szCs w:val="18"/>
              </w:rPr>
            </w:pPr>
            <w:proofErr w:type="gramStart"/>
            <w:r w:rsidRPr="00DB0CF0">
              <w:rPr>
                <w:rFonts w:ascii="楷体" w:eastAsia="楷体" w:hAnsi="楷体" w:hint="eastAsia"/>
                <w:color w:val="000000"/>
                <w:sz w:val="18"/>
                <w:szCs w:val="18"/>
              </w:rPr>
              <w:t>浦银安</w:t>
            </w:r>
            <w:proofErr w:type="gramEnd"/>
            <w:r w:rsidRPr="00DB0CF0">
              <w:rPr>
                <w:rFonts w:ascii="楷体" w:eastAsia="楷体" w:hAnsi="楷体" w:hint="eastAsia"/>
                <w:color w:val="000000"/>
                <w:sz w:val="18"/>
                <w:szCs w:val="18"/>
              </w:rPr>
              <w:t>盛增利B</w:t>
            </w:r>
          </w:p>
        </w:tc>
        <w:tc>
          <w:tcPr>
            <w:tcW w:w="851" w:type="dxa"/>
            <w:tcBorders>
              <w:left w:val="single" w:sz="6" w:space="0" w:color="FF6600"/>
              <w:right w:val="single" w:sz="6" w:space="0" w:color="FF6600"/>
            </w:tcBorders>
            <w:shd w:val="clear" w:color="auto" w:fill="auto"/>
            <w:vAlign w:val="center"/>
          </w:tcPr>
          <w:p w:rsidR="00DB0CF0" w:rsidRPr="00DB0CF0" w:rsidRDefault="00DB0CF0" w:rsidP="00DB0CF0">
            <w:pPr>
              <w:jc w:val="center"/>
              <w:rPr>
                <w:rFonts w:ascii="楷体" w:eastAsia="楷体" w:hAnsi="楷体"/>
                <w:color w:val="000000"/>
                <w:sz w:val="18"/>
                <w:szCs w:val="18"/>
              </w:rPr>
            </w:pPr>
            <w:r w:rsidRPr="00DB0CF0">
              <w:rPr>
                <w:rFonts w:ascii="楷体" w:eastAsia="楷体" w:hAnsi="楷体" w:hint="eastAsia"/>
                <w:color w:val="000000"/>
                <w:sz w:val="18"/>
                <w:szCs w:val="18"/>
              </w:rPr>
              <w:t>封闭式</w:t>
            </w:r>
          </w:p>
        </w:tc>
        <w:tc>
          <w:tcPr>
            <w:tcW w:w="850" w:type="dxa"/>
            <w:tcBorders>
              <w:left w:val="single" w:sz="6" w:space="0" w:color="FF6600"/>
            </w:tcBorders>
            <w:shd w:val="clear" w:color="auto" w:fill="auto"/>
            <w:vAlign w:val="center"/>
          </w:tcPr>
          <w:p w:rsidR="00DB0CF0" w:rsidRPr="00DB0CF0" w:rsidRDefault="00DB0CF0" w:rsidP="00DB0CF0">
            <w:pPr>
              <w:jc w:val="center"/>
              <w:rPr>
                <w:rFonts w:ascii="楷体" w:eastAsia="楷体" w:hAnsi="楷体"/>
                <w:color w:val="000000"/>
                <w:sz w:val="18"/>
                <w:szCs w:val="18"/>
              </w:rPr>
            </w:pPr>
            <w:r w:rsidRPr="00DB0CF0">
              <w:rPr>
                <w:rFonts w:ascii="楷体" w:eastAsia="楷体" w:hAnsi="楷体" w:hint="eastAsia"/>
                <w:color w:val="000000"/>
                <w:sz w:val="18"/>
                <w:szCs w:val="18"/>
              </w:rPr>
              <w:t>2.12</w:t>
            </w:r>
          </w:p>
        </w:tc>
      </w:tr>
      <w:tr w:rsidR="00B864EF" w:rsidRPr="005B7CDB" w:rsidTr="00207727">
        <w:trPr>
          <w:cantSplit/>
          <w:trHeight w:val="227"/>
        </w:trPr>
        <w:tc>
          <w:tcPr>
            <w:tcW w:w="851" w:type="dxa"/>
            <w:vMerge w:val="restart"/>
            <w:tcBorders>
              <w:right w:val="single" w:sz="6" w:space="0" w:color="FF6600"/>
            </w:tcBorders>
            <w:shd w:val="clear" w:color="auto" w:fill="FDE9D9" w:themeFill="accent6" w:themeFillTint="33"/>
            <w:vAlign w:val="center"/>
          </w:tcPr>
          <w:p w:rsidR="00B864EF" w:rsidRPr="001B6D2E" w:rsidRDefault="00B864EF" w:rsidP="00884478">
            <w:pPr>
              <w:snapToGrid w:val="0"/>
              <w:jc w:val="center"/>
              <w:rPr>
                <w:rFonts w:ascii="楷体" w:eastAsia="楷体" w:hAnsi="楷体"/>
                <w:b/>
                <w:sz w:val="18"/>
                <w:szCs w:val="18"/>
              </w:rPr>
            </w:pPr>
            <w:r w:rsidRPr="001B6D2E">
              <w:rPr>
                <w:rFonts w:ascii="楷体" w:eastAsia="楷体" w:hAnsi="楷体"/>
                <w:b/>
                <w:sz w:val="18"/>
                <w:szCs w:val="18"/>
              </w:rPr>
              <w:t>货币市场</w:t>
            </w:r>
          </w:p>
          <w:p w:rsidR="00B864EF" w:rsidRPr="009E3A78" w:rsidRDefault="00B864EF" w:rsidP="00884478">
            <w:pPr>
              <w:snapToGrid w:val="0"/>
              <w:jc w:val="center"/>
              <w:rPr>
                <w:rFonts w:ascii="楷体" w:eastAsia="楷体" w:hAnsi="楷体"/>
                <w:b/>
                <w:color w:val="FF0000"/>
                <w:sz w:val="18"/>
                <w:szCs w:val="18"/>
              </w:rPr>
            </w:pPr>
            <w:r w:rsidRPr="001B6D2E">
              <w:rPr>
                <w:rFonts w:ascii="楷体" w:eastAsia="楷体" w:hAnsi="楷体"/>
                <w:b/>
                <w:sz w:val="18"/>
                <w:szCs w:val="18"/>
              </w:rPr>
              <w:t>基金</w:t>
            </w:r>
          </w:p>
        </w:tc>
        <w:tc>
          <w:tcPr>
            <w:tcW w:w="851" w:type="dxa"/>
            <w:tcBorders>
              <w:left w:val="single" w:sz="6" w:space="0" w:color="FF6600"/>
              <w:right w:val="single" w:sz="6" w:space="0" w:color="FF6600"/>
            </w:tcBorders>
            <w:shd w:val="clear" w:color="auto" w:fill="auto"/>
          </w:tcPr>
          <w:p w:rsidR="00B864EF" w:rsidRPr="00B864EF" w:rsidRDefault="00B864EF" w:rsidP="00B864EF">
            <w:pPr>
              <w:snapToGrid w:val="0"/>
              <w:jc w:val="center"/>
              <w:rPr>
                <w:rFonts w:ascii="楷体" w:eastAsia="楷体" w:hAnsi="楷体"/>
                <w:color w:val="000000"/>
                <w:sz w:val="18"/>
                <w:szCs w:val="18"/>
              </w:rPr>
            </w:pPr>
            <w:r w:rsidRPr="00B864EF">
              <w:rPr>
                <w:rFonts w:ascii="楷体" w:eastAsia="楷体" w:hAnsi="楷体" w:hint="eastAsia"/>
                <w:color w:val="000000"/>
                <w:sz w:val="18"/>
                <w:szCs w:val="18"/>
              </w:rPr>
              <w:t>159004</w:t>
            </w:r>
          </w:p>
        </w:tc>
        <w:tc>
          <w:tcPr>
            <w:tcW w:w="1984" w:type="dxa"/>
            <w:tcBorders>
              <w:left w:val="single" w:sz="6" w:space="0" w:color="FF6600"/>
              <w:right w:val="single" w:sz="6" w:space="0" w:color="FF6600"/>
            </w:tcBorders>
            <w:shd w:val="clear" w:color="auto" w:fill="auto"/>
          </w:tcPr>
          <w:p w:rsidR="00B864EF" w:rsidRPr="00B864EF" w:rsidRDefault="00B864EF" w:rsidP="00B864EF">
            <w:pPr>
              <w:snapToGrid w:val="0"/>
              <w:jc w:val="center"/>
              <w:rPr>
                <w:rFonts w:ascii="楷体" w:eastAsia="楷体" w:hAnsi="楷体"/>
                <w:color w:val="000000"/>
                <w:sz w:val="18"/>
                <w:szCs w:val="18"/>
              </w:rPr>
            </w:pPr>
            <w:r w:rsidRPr="00B864EF">
              <w:rPr>
                <w:rFonts w:ascii="楷体" w:eastAsia="楷体" w:hAnsi="楷体" w:hint="eastAsia"/>
                <w:color w:val="000000"/>
                <w:sz w:val="18"/>
                <w:szCs w:val="18"/>
              </w:rPr>
              <w:t>招商保证金快线B</w:t>
            </w:r>
          </w:p>
        </w:tc>
        <w:tc>
          <w:tcPr>
            <w:tcW w:w="851" w:type="dxa"/>
            <w:tcBorders>
              <w:left w:val="single" w:sz="6" w:space="0" w:color="FF6600"/>
              <w:right w:val="single" w:sz="6" w:space="0" w:color="FF6600"/>
            </w:tcBorders>
            <w:shd w:val="clear" w:color="auto" w:fill="auto"/>
          </w:tcPr>
          <w:p w:rsidR="00B864EF" w:rsidRPr="00B864EF" w:rsidRDefault="00B864EF" w:rsidP="00B864EF">
            <w:pPr>
              <w:snapToGrid w:val="0"/>
              <w:jc w:val="center"/>
              <w:rPr>
                <w:rFonts w:ascii="楷体" w:eastAsia="楷体" w:hAnsi="楷体"/>
                <w:color w:val="000000"/>
                <w:sz w:val="18"/>
                <w:szCs w:val="18"/>
              </w:rPr>
            </w:pPr>
            <w:r w:rsidRPr="00B864EF">
              <w:rPr>
                <w:rFonts w:ascii="楷体" w:eastAsia="楷体" w:hAnsi="楷体" w:hint="eastAsia"/>
                <w:color w:val="000000"/>
                <w:sz w:val="18"/>
                <w:szCs w:val="18"/>
              </w:rPr>
              <w:t>开放式</w:t>
            </w:r>
          </w:p>
        </w:tc>
        <w:tc>
          <w:tcPr>
            <w:tcW w:w="991" w:type="dxa"/>
            <w:tcBorders>
              <w:left w:val="single" w:sz="6" w:space="0" w:color="FF6600"/>
              <w:right w:val="single" w:sz="6" w:space="0" w:color="FF6600"/>
            </w:tcBorders>
            <w:shd w:val="clear" w:color="auto" w:fill="auto"/>
          </w:tcPr>
          <w:p w:rsidR="00B864EF" w:rsidRPr="00B864EF" w:rsidRDefault="00B864EF" w:rsidP="00B864EF">
            <w:pPr>
              <w:snapToGrid w:val="0"/>
              <w:jc w:val="center"/>
              <w:rPr>
                <w:rFonts w:ascii="楷体" w:eastAsia="楷体" w:hAnsi="楷体"/>
                <w:color w:val="000000"/>
                <w:sz w:val="18"/>
                <w:szCs w:val="18"/>
              </w:rPr>
            </w:pPr>
            <w:r w:rsidRPr="00B864EF">
              <w:rPr>
                <w:rFonts w:ascii="楷体" w:eastAsia="楷体" w:hAnsi="楷体" w:hint="eastAsia"/>
                <w:color w:val="000000"/>
                <w:sz w:val="18"/>
                <w:szCs w:val="18"/>
              </w:rPr>
              <w:t>6.72</w:t>
            </w:r>
          </w:p>
        </w:tc>
        <w:tc>
          <w:tcPr>
            <w:tcW w:w="993" w:type="dxa"/>
            <w:vMerge w:val="restart"/>
            <w:tcBorders>
              <w:left w:val="single" w:sz="6" w:space="0" w:color="FF6600"/>
              <w:right w:val="single" w:sz="6" w:space="0" w:color="FF6600"/>
            </w:tcBorders>
            <w:shd w:val="clear" w:color="auto" w:fill="FDE9D9" w:themeFill="accent6" w:themeFillTint="33"/>
            <w:vAlign w:val="center"/>
          </w:tcPr>
          <w:p w:rsidR="00B864EF" w:rsidRPr="007E607C" w:rsidRDefault="00B864EF" w:rsidP="007E607C">
            <w:pPr>
              <w:snapToGrid w:val="0"/>
              <w:jc w:val="center"/>
              <w:rPr>
                <w:rFonts w:ascii="楷体" w:eastAsia="楷体" w:hAnsi="楷体"/>
                <w:b/>
                <w:bCs/>
                <w:color w:val="000000"/>
                <w:sz w:val="18"/>
                <w:szCs w:val="18"/>
              </w:rPr>
            </w:pPr>
          </w:p>
        </w:tc>
        <w:tc>
          <w:tcPr>
            <w:tcW w:w="992" w:type="dxa"/>
            <w:tcBorders>
              <w:left w:val="single" w:sz="6" w:space="0" w:color="FF6600"/>
              <w:right w:val="single" w:sz="6" w:space="0" w:color="FF6600"/>
            </w:tcBorders>
            <w:shd w:val="clear" w:color="auto" w:fill="auto"/>
            <w:vAlign w:val="center"/>
          </w:tcPr>
          <w:p w:rsidR="00B864EF" w:rsidRPr="005B7CDB" w:rsidRDefault="00B864EF" w:rsidP="00884478">
            <w:pPr>
              <w:snapToGrid w:val="0"/>
              <w:jc w:val="center"/>
              <w:rPr>
                <w:rFonts w:ascii="楷体" w:eastAsia="楷体" w:hAnsi="楷体" w:cs="宋体"/>
                <w:color w:val="000000"/>
                <w:sz w:val="18"/>
                <w:szCs w:val="18"/>
              </w:rPr>
            </w:pPr>
          </w:p>
        </w:tc>
        <w:tc>
          <w:tcPr>
            <w:tcW w:w="1843" w:type="dxa"/>
            <w:tcBorders>
              <w:left w:val="single" w:sz="6" w:space="0" w:color="FF6600"/>
              <w:right w:val="single" w:sz="6" w:space="0" w:color="FF6600"/>
            </w:tcBorders>
            <w:shd w:val="clear" w:color="auto" w:fill="auto"/>
            <w:vAlign w:val="center"/>
          </w:tcPr>
          <w:p w:rsidR="00B864EF" w:rsidRPr="005B7CDB" w:rsidRDefault="00B864EF" w:rsidP="00884478">
            <w:pPr>
              <w:snapToGrid w:val="0"/>
              <w:jc w:val="center"/>
              <w:rPr>
                <w:rFonts w:ascii="楷体" w:eastAsia="楷体" w:hAnsi="楷体" w:cs="宋体"/>
                <w:color w:val="000000"/>
                <w:sz w:val="18"/>
                <w:szCs w:val="18"/>
              </w:rPr>
            </w:pPr>
          </w:p>
        </w:tc>
        <w:tc>
          <w:tcPr>
            <w:tcW w:w="851" w:type="dxa"/>
            <w:tcBorders>
              <w:left w:val="single" w:sz="6" w:space="0" w:color="FF6600"/>
              <w:right w:val="single" w:sz="6" w:space="0" w:color="FF6600"/>
            </w:tcBorders>
            <w:shd w:val="clear" w:color="auto" w:fill="auto"/>
            <w:vAlign w:val="center"/>
          </w:tcPr>
          <w:p w:rsidR="00B864EF" w:rsidRPr="005B7CDB" w:rsidRDefault="00B864EF" w:rsidP="00884478">
            <w:pPr>
              <w:snapToGrid w:val="0"/>
              <w:jc w:val="center"/>
              <w:rPr>
                <w:rFonts w:ascii="楷体" w:eastAsia="楷体" w:hAnsi="楷体" w:cs="宋体"/>
                <w:color w:val="000000"/>
                <w:sz w:val="18"/>
                <w:szCs w:val="18"/>
              </w:rPr>
            </w:pPr>
          </w:p>
        </w:tc>
        <w:tc>
          <w:tcPr>
            <w:tcW w:w="850" w:type="dxa"/>
            <w:tcBorders>
              <w:left w:val="single" w:sz="6" w:space="0" w:color="FF6600"/>
            </w:tcBorders>
            <w:shd w:val="clear" w:color="auto" w:fill="auto"/>
            <w:vAlign w:val="center"/>
          </w:tcPr>
          <w:p w:rsidR="00B864EF" w:rsidRPr="005B7CDB" w:rsidRDefault="00B864EF" w:rsidP="00884478">
            <w:pPr>
              <w:snapToGrid w:val="0"/>
              <w:jc w:val="center"/>
              <w:rPr>
                <w:rFonts w:ascii="楷体" w:eastAsia="楷体" w:hAnsi="楷体" w:cs="宋体"/>
                <w:color w:val="000000"/>
                <w:sz w:val="18"/>
                <w:szCs w:val="18"/>
              </w:rPr>
            </w:pPr>
          </w:p>
        </w:tc>
      </w:tr>
      <w:tr w:rsidR="00B864EF" w:rsidRPr="005B7CDB" w:rsidTr="00207727">
        <w:trPr>
          <w:cantSplit/>
          <w:trHeight w:val="227"/>
        </w:trPr>
        <w:tc>
          <w:tcPr>
            <w:tcW w:w="851" w:type="dxa"/>
            <w:vMerge/>
            <w:tcBorders>
              <w:right w:val="single" w:sz="6" w:space="0" w:color="FF6600"/>
            </w:tcBorders>
            <w:shd w:val="clear" w:color="auto" w:fill="FDE9D9" w:themeFill="accent6" w:themeFillTint="33"/>
            <w:vAlign w:val="center"/>
          </w:tcPr>
          <w:p w:rsidR="00B864EF" w:rsidRPr="009E3A78" w:rsidRDefault="00B864EF" w:rsidP="000D1136">
            <w:pPr>
              <w:snapToGrid w:val="0"/>
              <w:jc w:val="center"/>
              <w:rPr>
                <w:rFonts w:ascii="楷体" w:eastAsia="楷体" w:hAnsi="楷体"/>
                <w:b/>
                <w:color w:val="FF0000"/>
                <w:sz w:val="18"/>
                <w:szCs w:val="18"/>
              </w:rPr>
            </w:pPr>
          </w:p>
        </w:tc>
        <w:tc>
          <w:tcPr>
            <w:tcW w:w="851" w:type="dxa"/>
            <w:tcBorders>
              <w:left w:val="single" w:sz="6" w:space="0" w:color="FF6600"/>
              <w:right w:val="single" w:sz="6" w:space="0" w:color="FF6600"/>
            </w:tcBorders>
            <w:shd w:val="clear" w:color="auto" w:fill="auto"/>
          </w:tcPr>
          <w:p w:rsidR="00B864EF" w:rsidRPr="00B864EF" w:rsidRDefault="00B864EF" w:rsidP="00B864EF">
            <w:pPr>
              <w:snapToGrid w:val="0"/>
              <w:jc w:val="center"/>
              <w:rPr>
                <w:rFonts w:ascii="楷体" w:eastAsia="楷体" w:hAnsi="楷体"/>
                <w:color w:val="000000"/>
                <w:sz w:val="18"/>
                <w:szCs w:val="18"/>
              </w:rPr>
            </w:pPr>
            <w:r w:rsidRPr="00B864EF">
              <w:rPr>
                <w:rFonts w:ascii="楷体" w:eastAsia="楷体" w:hAnsi="楷体" w:hint="eastAsia"/>
                <w:color w:val="000000"/>
                <w:sz w:val="18"/>
                <w:szCs w:val="18"/>
              </w:rPr>
              <w:t>159003</w:t>
            </w:r>
          </w:p>
        </w:tc>
        <w:tc>
          <w:tcPr>
            <w:tcW w:w="1984" w:type="dxa"/>
            <w:tcBorders>
              <w:left w:val="single" w:sz="6" w:space="0" w:color="FF6600"/>
              <w:right w:val="single" w:sz="6" w:space="0" w:color="FF6600"/>
            </w:tcBorders>
            <w:shd w:val="clear" w:color="auto" w:fill="auto"/>
          </w:tcPr>
          <w:p w:rsidR="00B864EF" w:rsidRPr="00B864EF" w:rsidRDefault="00B864EF" w:rsidP="00B864EF">
            <w:pPr>
              <w:snapToGrid w:val="0"/>
              <w:jc w:val="center"/>
              <w:rPr>
                <w:rFonts w:ascii="楷体" w:eastAsia="楷体" w:hAnsi="楷体"/>
                <w:color w:val="000000"/>
                <w:sz w:val="18"/>
                <w:szCs w:val="18"/>
              </w:rPr>
            </w:pPr>
            <w:r w:rsidRPr="00B864EF">
              <w:rPr>
                <w:rFonts w:ascii="楷体" w:eastAsia="楷体" w:hAnsi="楷体" w:hint="eastAsia"/>
                <w:color w:val="000000"/>
                <w:sz w:val="18"/>
                <w:szCs w:val="18"/>
              </w:rPr>
              <w:t>招商保证金快线A</w:t>
            </w:r>
          </w:p>
        </w:tc>
        <w:tc>
          <w:tcPr>
            <w:tcW w:w="851" w:type="dxa"/>
            <w:tcBorders>
              <w:left w:val="single" w:sz="6" w:space="0" w:color="FF6600"/>
              <w:right w:val="single" w:sz="6" w:space="0" w:color="FF6600"/>
            </w:tcBorders>
            <w:shd w:val="clear" w:color="auto" w:fill="auto"/>
          </w:tcPr>
          <w:p w:rsidR="00B864EF" w:rsidRPr="00B864EF" w:rsidRDefault="00B864EF" w:rsidP="00B864EF">
            <w:pPr>
              <w:snapToGrid w:val="0"/>
              <w:jc w:val="center"/>
              <w:rPr>
                <w:rFonts w:ascii="楷体" w:eastAsia="楷体" w:hAnsi="楷体"/>
                <w:color w:val="000000"/>
                <w:sz w:val="18"/>
                <w:szCs w:val="18"/>
              </w:rPr>
            </w:pPr>
            <w:r w:rsidRPr="00B864EF">
              <w:rPr>
                <w:rFonts w:ascii="楷体" w:eastAsia="楷体" w:hAnsi="楷体" w:hint="eastAsia"/>
                <w:color w:val="000000"/>
                <w:sz w:val="18"/>
                <w:szCs w:val="18"/>
              </w:rPr>
              <w:t>开放式</w:t>
            </w:r>
          </w:p>
        </w:tc>
        <w:tc>
          <w:tcPr>
            <w:tcW w:w="991" w:type="dxa"/>
            <w:tcBorders>
              <w:left w:val="single" w:sz="6" w:space="0" w:color="FF6600"/>
              <w:right w:val="single" w:sz="6" w:space="0" w:color="FF6600"/>
            </w:tcBorders>
            <w:shd w:val="clear" w:color="auto" w:fill="auto"/>
          </w:tcPr>
          <w:p w:rsidR="00B864EF" w:rsidRPr="00B864EF" w:rsidRDefault="00B864EF" w:rsidP="00B864EF">
            <w:pPr>
              <w:snapToGrid w:val="0"/>
              <w:jc w:val="center"/>
              <w:rPr>
                <w:rFonts w:ascii="楷体" w:eastAsia="楷体" w:hAnsi="楷体"/>
                <w:color w:val="000000"/>
                <w:sz w:val="18"/>
                <w:szCs w:val="18"/>
              </w:rPr>
            </w:pPr>
            <w:r w:rsidRPr="00B864EF">
              <w:rPr>
                <w:rFonts w:ascii="楷体" w:eastAsia="楷体" w:hAnsi="楷体" w:hint="eastAsia"/>
                <w:color w:val="000000"/>
                <w:sz w:val="18"/>
                <w:szCs w:val="18"/>
              </w:rPr>
              <w:t>6.16</w:t>
            </w:r>
          </w:p>
        </w:tc>
        <w:tc>
          <w:tcPr>
            <w:tcW w:w="993" w:type="dxa"/>
            <w:vMerge/>
            <w:tcBorders>
              <w:left w:val="single" w:sz="6" w:space="0" w:color="FF6600"/>
              <w:right w:val="single" w:sz="6" w:space="0" w:color="FF6600"/>
            </w:tcBorders>
            <w:shd w:val="clear" w:color="auto" w:fill="FDE9D9" w:themeFill="accent6" w:themeFillTint="33"/>
            <w:vAlign w:val="center"/>
          </w:tcPr>
          <w:p w:rsidR="00B864EF" w:rsidRPr="005B7CDB" w:rsidRDefault="00B864EF" w:rsidP="000D1136">
            <w:pPr>
              <w:snapToGrid w:val="0"/>
              <w:jc w:val="center"/>
              <w:rPr>
                <w:rFonts w:ascii="楷体" w:eastAsia="楷体" w:hAnsi="楷体"/>
                <w:b/>
                <w:sz w:val="18"/>
                <w:szCs w:val="18"/>
              </w:rPr>
            </w:pPr>
          </w:p>
        </w:tc>
        <w:tc>
          <w:tcPr>
            <w:tcW w:w="992" w:type="dxa"/>
            <w:tcBorders>
              <w:left w:val="single" w:sz="6" w:space="0" w:color="FF6600"/>
              <w:right w:val="single" w:sz="6" w:space="0" w:color="FF6600"/>
            </w:tcBorders>
            <w:shd w:val="clear" w:color="auto" w:fill="auto"/>
            <w:vAlign w:val="center"/>
          </w:tcPr>
          <w:p w:rsidR="00B864EF" w:rsidRPr="005B7CDB" w:rsidRDefault="00B864EF" w:rsidP="000D1136">
            <w:pPr>
              <w:snapToGrid w:val="0"/>
              <w:jc w:val="center"/>
              <w:rPr>
                <w:rFonts w:ascii="楷体" w:eastAsia="楷体" w:hAnsi="楷体"/>
                <w:color w:val="000000"/>
                <w:sz w:val="18"/>
                <w:szCs w:val="18"/>
              </w:rPr>
            </w:pPr>
          </w:p>
        </w:tc>
        <w:tc>
          <w:tcPr>
            <w:tcW w:w="1843" w:type="dxa"/>
            <w:tcBorders>
              <w:left w:val="single" w:sz="6" w:space="0" w:color="FF6600"/>
              <w:right w:val="single" w:sz="6" w:space="0" w:color="FF6600"/>
            </w:tcBorders>
            <w:shd w:val="clear" w:color="auto" w:fill="auto"/>
            <w:vAlign w:val="center"/>
          </w:tcPr>
          <w:p w:rsidR="00B864EF" w:rsidRPr="005B7CDB" w:rsidRDefault="00B864EF" w:rsidP="000D1136">
            <w:pPr>
              <w:snapToGrid w:val="0"/>
              <w:jc w:val="center"/>
              <w:rPr>
                <w:rFonts w:ascii="楷体" w:eastAsia="楷体" w:hAnsi="楷体"/>
                <w:color w:val="000000"/>
                <w:sz w:val="18"/>
                <w:szCs w:val="18"/>
              </w:rPr>
            </w:pPr>
          </w:p>
        </w:tc>
        <w:tc>
          <w:tcPr>
            <w:tcW w:w="851" w:type="dxa"/>
            <w:tcBorders>
              <w:left w:val="single" w:sz="6" w:space="0" w:color="FF6600"/>
              <w:right w:val="single" w:sz="6" w:space="0" w:color="FF6600"/>
            </w:tcBorders>
            <w:shd w:val="clear" w:color="auto" w:fill="auto"/>
            <w:vAlign w:val="center"/>
          </w:tcPr>
          <w:p w:rsidR="00B864EF" w:rsidRPr="005B7CDB" w:rsidRDefault="00B864EF" w:rsidP="000D1136">
            <w:pPr>
              <w:snapToGrid w:val="0"/>
              <w:jc w:val="center"/>
              <w:rPr>
                <w:rFonts w:ascii="楷体" w:eastAsia="楷体" w:hAnsi="楷体"/>
                <w:sz w:val="18"/>
                <w:szCs w:val="18"/>
              </w:rPr>
            </w:pPr>
          </w:p>
        </w:tc>
        <w:tc>
          <w:tcPr>
            <w:tcW w:w="850" w:type="dxa"/>
            <w:tcBorders>
              <w:left w:val="single" w:sz="6" w:space="0" w:color="FF6600"/>
            </w:tcBorders>
            <w:shd w:val="clear" w:color="auto" w:fill="auto"/>
            <w:vAlign w:val="center"/>
          </w:tcPr>
          <w:p w:rsidR="00B864EF" w:rsidRPr="005B7CDB" w:rsidRDefault="00B864EF" w:rsidP="000D1136">
            <w:pPr>
              <w:snapToGrid w:val="0"/>
              <w:jc w:val="center"/>
              <w:rPr>
                <w:rFonts w:ascii="楷体" w:eastAsia="楷体" w:hAnsi="楷体"/>
                <w:color w:val="000000"/>
                <w:sz w:val="18"/>
                <w:szCs w:val="18"/>
              </w:rPr>
            </w:pPr>
          </w:p>
        </w:tc>
      </w:tr>
      <w:tr w:rsidR="00B864EF" w:rsidRPr="005B7CDB" w:rsidTr="00207727">
        <w:trPr>
          <w:cantSplit/>
          <w:trHeight w:val="227"/>
        </w:trPr>
        <w:tc>
          <w:tcPr>
            <w:tcW w:w="851" w:type="dxa"/>
            <w:vMerge/>
            <w:tcBorders>
              <w:right w:val="single" w:sz="6" w:space="0" w:color="FF6600"/>
            </w:tcBorders>
            <w:shd w:val="clear" w:color="auto" w:fill="FDE9D9" w:themeFill="accent6" w:themeFillTint="33"/>
            <w:vAlign w:val="center"/>
          </w:tcPr>
          <w:p w:rsidR="00B864EF" w:rsidRPr="009E3A78" w:rsidRDefault="00B864EF" w:rsidP="000D1136">
            <w:pPr>
              <w:snapToGrid w:val="0"/>
              <w:jc w:val="center"/>
              <w:rPr>
                <w:rFonts w:ascii="楷体" w:eastAsia="楷体" w:hAnsi="楷体"/>
                <w:b/>
                <w:color w:val="FF0000"/>
                <w:sz w:val="18"/>
                <w:szCs w:val="18"/>
              </w:rPr>
            </w:pPr>
          </w:p>
        </w:tc>
        <w:tc>
          <w:tcPr>
            <w:tcW w:w="851" w:type="dxa"/>
            <w:tcBorders>
              <w:left w:val="single" w:sz="6" w:space="0" w:color="FF6600"/>
              <w:right w:val="single" w:sz="6" w:space="0" w:color="FF6600"/>
            </w:tcBorders>
            <w:shd w:val="clear" w:color="auto" w:fill="auto"/>
          </w:tcPr>
          <w:p w:rsidR="00B864EF" w:rsidRPr="00B864EF" w:rsidRDefault="00B864EF" w:rsidP="00B864EF">
            <w:pPr>
              <w:snapToGrid w:val="0"/>
              <w:jc w:val="center"/>
              <w:rPr>
                <w:rFonts w:ascii="楷体" w:eastAsia="楷体" w:hAnsi="楷体"/>
                <w:color w:val="000000"/>
                <w:sz w:val="18"/>
                <w:szCs w:val="18"/>
              </w:rPr>
            </w:pPr>
            <w:r w:rsidRPr="00B864EF">
              <w:rPr>
                <w:rFonts w:ascii="楷体" w:eastAsia="楷体" w:hAnsi="楷体" w:hint="eastAsia"/>
                <w:color w:val="000000"/>
                <w:sz w:val="18"/>
                <w:szCs w:val="18"/>
              </w:rPr>
              <w:t>213909</w:t>
            </w:r>
          </w:p>
        </w:tc>
        <w:tc>
          <w:tcPr>
            <w:tcW w:w="1984" w:type="dxa"/>
            <w:tcBorders>
              <w:left w:val="single" w:sz="6" w:space="0" w:color="FF6600"/>
              <w:right w:val="single" w:sz="6" w:space="0" w:color="FF6600"/>
            </w:tcBorders>
            <w:shd w:val="clear" w:color="auto" w:fill="auto"/>
          </w:tcPr>
          <w:p w:rsidR="00B864EF" w:rsidRPr="00B864EF" w:rsidRDefault="00B864EF" w:rsidP="00B864EF">
            <w:pPr>
              <w:snapToGrid w:val="0"/>
              <w:jc w:val="center"/>
              <w:rPr>
                <w:rFonts w:ascii="楷体" w:eastAsia="楷体" w:hAnsi="楷体"/>
                <w:color w:val="000000"/>
                <w:sz w:val="18"/>
                <w:szCs w:val="18"/>
              </w:rPr>
            </w:pPr>
            <w:r w:rsidRPr="00B864EF">
              <w:rPr>
                <w:rFonts w:ascii="楷体" w:eastAsia="楷体" w:hAnsi="楷体" w:hint="eastAsia"/>
                <w:color w:val="000000"/>
                <w:sz w:val="18"/>
                <w:szCs w:val="18"/>
              </w:rPr>
              <w:t>宝</w:t>
            </w:r>
            <w:proofErr w:type="gramStart"/>
            <w:r w:rsidRPr="00B864EF">
              <w:rPr>
                <w:rFonts w:ascii="楷体" w:eastAsia="楷体" w:hAnsi="楷体" w:hint="eastAsia"/>
                <w:color w:val="000000"/>
                <w:sz w:val="18"/>
                <w:szCs w:val="18"/>
              </w:rPr>
              <w:t>盈货币</w:t>
            </w:r>
            <w:proofErr w:type="gramEnd"/>
            <w:r w:rsidRPr="00B864EF">
              <w:rPr>
                <w:rFonts w:ascii="楷体" w:eastAsia="楷体" w:hAnsi="楷体" w:hint="eastAsia"/>
                <w:color w:val="000000"/>
                <w:sz w:val="18"/>
                <w:szCs w:val="18"/>
              </w:rPr>
              <w:t>B</w:t>
            </w:r>
          </w:p>
        </w:tc>
        <w:tc>
          <w:tcPr>
            <w:tcW w:w="851" w:type="dxa"/>
            <w:tcBorders>
              <w:left w:val="single" w:sz="6" w:space="0" w:color="FF6600"/>
              <w:right w:val="single" w:sz="6" w:space="0" w:color="FF6600"/>
            </w:tcBorders>
            <w:shd w:val="clear" w:color="auto" w:fill="auto"/>
          </w:tcPr>
          <w:p w:rsidR="00B864EF" w:rsidRPr="00B864EF" w:rsidRDefault="00B864EF" w:rsidP="00B864EF">
            <w:pPr>
              <w:snapToGrid w:val="0"/>
              <w:jc w:val="center"/>
              <w:rPr>
                <w:rFonts w:ascii="楷体" w:eastAsia="楷体" w:hAnsi="楷体"/>
                <w:color w:val="000000"/>
                <w:sz w:val="18"/>
                <w:szCs w:val="18"/>
              </w:rPr>
            </w:pPr>
            <w:r w:rsidRPr="00B864EF">
              <w:rPr>
                <w:rFonts w:ascii="楷体" w:eastAsia="楷体" w:hAnsi="楷体" w:hint="eastAsia"/>
                <w:color w:val="000000"/>
                <w:sz w:val="18"/>
                <w:szCs w:val="18"/>
              </w:rPr>
              <w:t>开放式</w:t>
            </w:r>
          </w:p>
        </w:tc>
        <w:tc>
          <w:tcPr>
            <w:tcW w:w="991" w:type="dxa"/>
            <w:tcBorders>
              <w:left w:val="single" w:sz="6" w:space="0" w:color="FF6600"/>
              <w:right w:val="single" w:sz="6" w:space="0" w:color="FF6600"/>
            </w:tcBorders>
            <w:shd w:val="clear" w:color="auto" w:fill="auto"/>
          </w:tcPr>
          <w:p w:rsidR="00B864EF" w:rsidRPr="00B864EF" w:rsidRDefault="00B864EF" w:rsidP="00B864EF">
            <w:pPr>
              <w:snapToGrid w:val="0"/>
              <w:jc w:val="center"/>
              <w:rPr>
                <w:rFonts w:ascii="楷体" w:eastAsia="楷体" w:hAnsi="楷体"/>
                <w:color w:val="000000"/>
                <w:sz w:val="18"/>
                <w:szCs w:val="18"/>
              </w:rPr>
            </w:pPr>
            <w:r w:rsidRPr="00B864EF">
              <w:rPr>
                <w:rFonts w:ascii="楷体" w:eastAsia="楷体" w:hAnsi="楷体" w:hint="eastAsia"/>
                <w:color w:val="000000"/>
                <w:sz w:val="18"/>
                <w:szCs w:val="18"/>
              </w:rPr>
              <w:t>5.90</w:t>
            </w:r>
          </w:p>
        </w:tc>
        <w:tc>
          <w:tcPr>
            <w:tcW w:w="993" w:type="dxa"/>
            <w:vMerge/>
            <w:tcBorders>
              <w:left w:val="single" w:sz="6" w:space="0" w:color="FF6600"/>
              <w:right w:val="single" w:sz="6" w:space="0" w:color="FF6600"/>
            </w:tcBorders>
            <w:shd w:val="clear" w:color="auto" w:fill="FDE9D9" w:themeFill="accent6" w:themeFillTint="33"/>
            <w:vAlign w:val="center"/>
          </w:tcPr>
          <w:p w:rsidR="00B864EF" w:rsidRPr="005B7CDB" w:rsidRDefault="00B864EF" w:rsidP="000D1136">
            <w:pPr>
              <w:snapToGrid w:val="0"/>
              <w:jc w:val="center"/>
              <w:rPr>
                <w:rFonts w:ascii="楷体" w:eastAsia="楷体" w:hAnsi="楷体"/>
                <w:b/>
                <w:sz w:val="18"/>
                <w:szCs w:val="18"/>
              </w:rPr>
            </w:pPr>
          </w:p>
        </w:tc>
        <w:tc>
          <w:tcPr>
            <w:tcW w:w="992" w:type="dxa"/>
            <w:tcBorders>
              <w:left w:val="single" w:sz="6" w:space="0" w:color="FF6600"/>
              <w:right w:val="single" w:sz="6" w:space="0" w:color="FF6600"/>
            </w:tcBorders>
            <w:shd w:val="clear" w:color="auto" w:fill="auto"/>
            <w:vAlign w:val="center"/>
          </w:tcPr>
          <w:p w:rsidR="00B864EF" w:rsidRPr="005B7CDB" w:rsidRDefault="00B864EF" w:rsidP="000D1136">
            <w:pPr>
              <w:snapToGrid w:val="0"/>
              <w:jc w:val="center"/>
              <w:rPr>
                <w:rFonts w:ascii="楷体" w:eastAsia="楷体" w:hAnsi="楷体"/>
                <w:color w:val="000000"/>
                <w:sz w:val="18"/>
                <w:szCs w:val="18"/>
              </w:rPr>
            </w:pPr>
          </w:p>
        </w:tc>
        <w:tc>
          <w:tcPr>
            <w:tcW w:w="1843" w:type="dxa"/>
            <w:tcBorders>
              <w:left w:val="single" w:sz="6" w:space="0" w:color="FF6600"/>
              <w:right w:val="single" w:sz="6" w:space="0" w:color="FF6600"/>
            </w:tcBorders>
            <w:shd w:val="clear" w:color="auto" w:fill="auto"/>
            <w:vAlign w:val="center"/>
          </w:tcPr>
          <w:p w:rsidR="00B864EF" w:rsidRPr="005B7CDB" w:rsidRDefault="00B864EF" w:rsidP="000D1136">
            <w:pPr>
              <w:snapToGrid w:val="0"/>
              <w:jc w:val="center"/>
              <w:rPr>
                <w:rFonts w:ascii="楷体" w:eastAsia="楷体" w:hAnsi="楷体"/>
                <w:color w:val="000000"/>
                <w:sz w:val="18"/>
                <w:szCs w:val="18"/>
              </w:rPr>
            </w:pPr>
          </w:p>
        </w:tc>
        <w:tc>
          <w:tcPr>
            <w:tcW w:w="851" w:type="dxa"/>
            <w:tcBorders>
              <w:left w:val="single" w:sz="6" w:space="0" w:color="FF6600"/>
              <w:right w:val="single" w:sz="6" w:space="0" w:color="FF6600"/>
            </w:tcBorders>
            <w:shd w:val="clear" w:color="auto" w:fill="auto"/>
            <w:vAlign w:val="center"/>
          </w:tcPr>
          <w:p w:rsidR="00B864EF" w:rsidRPr="005B7CDB" w:rsidRDefault="00B864EF" w:rsidP="000D1136">
            <w:pPr>
              <w:snapToGrid w:val="0"/>
              <w:jc w:val="center"/>
              <w:rPr>
                <w:rFonts w:ascii="楷体" w:eastAsia="楷体" w:hAnsi="楷体"/>
                <w:sz w:val="18"/>
                <w:szCs w:val="18"/>
              </w:rPr>
            </w:pPr>
          </w:p>
        </w:tc>
        <w:tc>
          <w:tcPr>
            <w:tcW w:w="850" w:type="dxa"/>
            <w:tcBorders>
              <w:left w:val="single" w:sz="6" w:space="0" w:color="FF6600"/>
            </w:tcBorders>
            <w:shd w:val="clear" w:color="auto" w:fill="auto"/>
            <w:vAlign w:val="center"/>
          </w:tcPr>
          <w:p w:rsidR="00B864EF" w:rsidRPr="005B7CDB" w:rsidRDefault="00B864EF" w:rsidP="000D1136">
            <w:pPr>
              <w:snapToGrid w:val="0"/>
              <w:jc w:val="center"/>
              <w:rPr>
                <w:rFonts w:ascii="楷体" w:eastAsia="楷体" w:hAnsi="楷体"/>
                <w:color w:val="000000"/>
                <w:sz w:val="18"/>
                <w:szCs w:val="18"/>
              </w:rPr>
            </w:pPr>
          </w:p>
        </w:tc>
      </w:tr>
    </w:tbl>
    <w:p w:rsidR="008177CF" w:rsidRPr="005B7CDB" w:rsidRDefault="008177CF" w:rsidP="008177CF">
      <w:pPr>
        <w:pStyle w:val="FootnoteNoline"/>
        <w:ind w:left="0"/>
        <w:rPr>
          <w:rFonts w:ascii="楷体" w:eastAsia="楷体" w:hAnsi="楷体"/>
          <w:color w:val="FF6600"/>
          <w:lang w:val="en-US"/>
        </w:rPr>
      </w:pPr>
      <w:r w:rsidRPr="005B7CDB">
        <w:rPr>
          <w:rFonts w:ascii="楷体" w:eastAsia="楷体" w:hAnsi="楷体" w:hint="eastAsia"/>
          <w:color w:val="FF6600"/>
          <w:lang w:val="en-US"/>
        </w:rPr>
        <w:t>来源：</w:t>
      </w:r>
      <w:proofErr w:type="gramStart"/>
      <w:r w:rsidRPr="005B7CDB">
        <w:rPr>
          <w:rFonts w:ascii="楷体" w:eastAsia="楷体" w:hAnsi="楷体" w:hint="eastAsia"/>
          <w:color w:val="FF6600"/>
          <w:lang w:val="en-US"/>
        </w:rPr>
        <w:t>凯</w:t>
      </w:r>
      <w:proofErr w:type="gramEnd"/>
      <w:r w:rsidRPr="005B7CDB">
        <w:rPr>
          <w:rFonts w:ascii="楷体" w:eastAsia="楷体" w:hAnsi="楷体" w:hint="eastAsia"/>
          <w:color w:val="FF6600"/>
          <w:lang w:val="en-US"/>
        </w:rPr>
        <w:t>石财富工场</w:t>
      </w:r>
    </w:p>
    <w:p w:rsidR="008177CF" w:rsidRPr="005B7CDB" w:rsidRDefault="008177CF" w:rsidP="00963262">
      <w:pPr>
        <w:pStyle w:val="ab"/>
        <w:spacing w:after="163"/>
        <w:ind w:left="3799"/>
        <w:rPr>
          <w:rFonts w:ascii="楷体" w:eastAsia="楷体" w:hAnsi="楷体"/>
        </w:rPr>
      </w:pPr>
    </w:p>
    <w:p w:rsidR="00B10000" w:rsidRPr="005B7CDB" w:rsidRDefault="00B10000" w:rsidP="009F0008">
      <w:pPr>
        <w:widowControl/>
        <w:jc w:val="left"/>
        <w:rPr>
          <w:rFonts w:ascii="楷体" w:eastAsia="楷体" w:hAnsi="楷体"/>
          <w:b/>
          <w:szCs w:val="21"/>
        </w:rPr>
      </w:pPr>
      <w:r w:rsidRPr="005B7CDB">
        <w:rPr>
          <w:rFonts w:ascii="楷体" w:eastAsia="楷体" w:hAnsi="楷体"/>
          <w:b/>
          <w:kern w:val="0"/>
          <w:szCs w:val="20"/>
          <w:lang w:val="en-GB"/>
        </w:rPr>
        <w:br w:type="page"/>
      </w:r>
      <w:r w:rsidRPr="005B7CDB">
        <w:rPr>
          <w:rFonts w:ascii="楷体" w:eastAsia="楷体" w:hAnsi="楷体" w:cs="宋体" w:hint="eastAsia"/>
          <w:b/>
          <w:kern w:val="0"/>
          <w:szCs w:val="20"/>
          <w:lang w:val="en-GB"/>
        </w:rPr>
        <w:lastRenderedPageBreak/>
        <w:t>特别声明：</w:t>
      </w:r>
    </w:p>
    <w:p w:rsidR="00B10000" w:rsidRPr="005B7CDB" w:rsidRDefault="00B10000" w:rsidP="00FA1002">
      <w:pPr>
        <w:pStyle w:val="aa"/>
        <w:spacing w:beforeLines="50" w:after="312"/>
        <w:rPr>
          <w:rFonts w:ascii="楷体" w:eastAsia="楷体" w:hAnsi="楷体"/>
          <w:kern w:val="0"/>
          <w:sz w:val="21"/>
          <w:szCs w:val="20"/>
          <w:lang w:val="en-GB"/>
        </w:rPr>
      </w:pPr>
      <w:r w:rsidRPr="005B7CDB">
        <w:rPr>
          <w:rFonts w:ascii="楷体" w:eastAsia="楷体" w:hAnsi="楷体" w:hint="eastAsia"/>
          <w:kern w:val="0"/>
          <w:sz w:val="21"/>
          <w:szCs w:val="20"/>
          <w:lang w:val="en-GB"/>
        </w:rPr>
        <w:t>本报告中的所有内容版权均属上海凯石财富投资管理有限公司（以下简称“本公司”），未经本公司事先书面授权，不得以任何方式修改、发送或者复制本报告及其所包含的材料、内容。所有本报告中使用的商标、服务标记及标记均为本公司的商标、服务标记及标记。如欲引用或转载本文内容，务必联络本公司研究中心并获得许可，并需注明出处为上海凯石财富投资有限公司研究中心，且不得对本文进行任何有悖原意的引用和删改。</w:t>
      </w:r>
    </w:p>
    <w:p w:rsidR="00B10000" w:rsidRPr="005B7CDB" w:rsidRDefault="00B10000" w:rsidP="00FA1002">
      <w:pPr>
        <w:pStyle w:val="aa"/>
        <w:spacing w:beforeLines="50" w:after="312"/>
        <w:rPr>
          <w:rFonts w:ascii="楷体" w:eastAsia="楷体" w:hAnsi="楷体"/>
          <w:kern w:val="0"/>
          <w:sz w:val="21"/>
          <w:szCs w:val="20"/>
          <w:lang w:val="en-GB"/>
        </w:rPr>
      </w:pPr>
      <w:r w:rsidRPr="005B7CDB">
        <w:rPr>
          <w:rFonts w:ascii="楷体" w:eastAsia="楷体" w:hAnsi="楷体" w:hint="eastAsia"/>
          <w:kern w:val="0"/>
          <w:sz w:val="21"/>
          <w:szCs w:val="20"/>
          <w:lang w:val="en-GB"/>
        </w:rPr>
        <w:t>本报告是基于已公开信息撰写，其所载资料的来源及观点的出处均被本公司认为可靠，但本公司不保证其准确性或完整性。本报告所载的资料、意见及推测反映本公司于最初发布此报告日期当日的判断，其所指的基金或者其他理财产品的价格、价值及投资收入可能会波动，在不同时期，本公司可发出与本报告所载资料、意见及推测不一致的报告。</w:t>
      </w:r>
    </w:p>
    <w:p w:rsidR="00B10000" w:rsidRPr="005B7CDB" w:rsidRDefault="00B10000" w:rsidP="00FA1002">
      <w:pPr>
        <w:pStyle w:val="aa"/>
        <w:spacing w:beforeLines="50" w:after="312"/>
        <w:rPr>
          <w:rFonts w:ascii="楷体" w:eastAsia="楷体" w:hAnsi="楷体"/>
          <w:kern w:val="0"/>
          <w:sz w:val="21"/>
          <w:szCs w:val="20"/>
          <w:lang w:val="en-GB"/>
        </w:rPr>
      </w:pPr>
      <w:r w:rsidRPr="005B7CDB">
        <w:rPr>
          <w:rFonts w:ascii="楷体" w:eastAsia="楷体" w:hAnsi="楷体" w:hint="eastAsia"/>
          <w:kern w:val="0"/>
          <w:sz w:val="21"/>
          <w:szCs w:val="20"/>
          <w:lang w:val="en-GB"/>
        </w:rPr>
        <w:t>本报告所载的除法律或规则规定必须承担的责任外，本公司不对因使用此报告的材料而引致的损失负任何责任。本报告不构成私人咨询建议，也没有考虑到个别客户特殊的投资目标、财务状况或需要。本报告所载的资料、工具、意见及推测只提供给客户做参考之用，并未作为或被是为出售或购买其他投资标的邀请或向他人做出邀请。</w:t>
      </w:r>
    </w:p>
    <w:p w:rsidR="00B10000" w:rsidRPr="005B7CDB" w:rsidRDefault="00B10000">
      <w:pPr>
        <w:rPr>
          <w:rFonts w:ascii="楷体" w:eastAsia="楷体" w:hAnsi="楷体"/>
          <w:lang w:val="en-GB"/>
        </w:rPr>
      </w:pPr>
    </w:p>
    <w:sectPr w:rsidR="00B10000" w:rsidRPr="005B7CDB" w:rsidSect="00D4319D">
      <w:headerReference w:type="default" r:id="rId12"/>
      <w:footerReference w:type="default" r:id="rId13"/>
      <w:headerReference w:type="first" r:id="rId14"/>
      <w:footerReference w:type="first" r:id="rId15"/>
      <w:pgSz w:w="11906" w:h="16838"/>
      <w:pgMar w:top="1440" w:right="624" w:bottom="1440" w:left="624" w:header="850" w:footer="283"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32B3" w:rsidRDefault="009032B3" w:rsidP="00B10000">
      <w:r>
        <w:separator/>
      </w:r>
    </w:p>
  </w:endnote>
  <w:endnote w:type="continuationSeparator" w:id="0">
    <w:p w:rsidR="009032B3" w:rsidRDefault="009032B3" w:rsidP="00B1000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Monotype Sorts">
    <w:altName w:val="Courier New"/>
    <w:panose1 w:val="00000000000000000000"/>
    <w:charset w:val="02"/>
    <w:family w:val="auto"/>
    <w:notTrueType/>
    <w:pitch w:val="variable"/>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华文楷体">
    <w:panose1 w:val="02010600040101010101"/>
    <w:charset w:val="86"/>
    <w:family w:val="auto"/>
    <w:pitch w:val="variable"/>
    <w:sig w:usb0="00000287" w:usb1="080F0000" w:usb2="00000010" w:usb3="00000000" w:csb0="0004009F" w:csb1="00000000"/>
  </w:font>
  <w:font w:name="华文新魏">
    <w:panose1 w:val="02010800040101010101"/>
    <w:charset w:val="86"/>
    <w:family w:val="auto"/>
    <w:pitch w:val="variable"/>
    <w:sig w:usb0="00000001" w:usb1="080F0000" w:usb2="00000010" w:usb3="00000000" w:csb0="00040000" w:csb1="00000000"/>
  </w:font>
  <w:font w:name="华文隶书">
    <w:panose1 w:val="02010800040101010101"/>
    <w:charset w:val="86"/>
    <w:family w:val="auto"/>
    <w:pitch w:val="variable"/>
    <w:sig w:usb0="00000001" w:usb1="080F0000" w:usb2="00000010" w:usb3="00000000" w:csb0="00040000" w:csb1="00000000"/>
  </w:font>
  <w:font w:name="Arial">
    <w:panose1 w:val="020B0604020202020204"/>
    <w:charset w:val="00"/>
    <w:family w:val="swiss"/>
    <w:pitch w:val="variable"/>
    <w:sig w:usb0="E0002AFF" w:usb1="C0007843" w:usb2="00000009" w:usb3="00000000" w:csb0="000001FF" w:csb1="00000000"/>
  </w:font>
  <w:font w:name="LucidaSans">
    <w:altName w:val="Times New Roman"/>
    <w:panose1 w:val="00000000000000000000"/>
    <w:charset w:val="00"/>
    <w:family w:val="auto"/>
    <w:notTrueType/>
    <w:pitch w:val="variable"/>
    <w:sig w:usb0="00000003" w:usb1="00000000" w:usb2="00000000" w:usb3="00000000" w:csb0="00000001" w:csb1="00000000"/>
  </w:font>
  <w:font w:name="KaiTi_GB2312">
    <w:altName w:val="MS Gothic"/>
    <w:panose1 w:val="02010609060101010101"/>
    <w:charset w:val="00"/>
    <w:family w:val="roman"/>
    <w:notTrueType/>
    <w:pitch w:val="default"/>
    <w:sig w:usb0="00000000" w:usb1="00000000" w:usb2="00000000" w:usb3="00000000" w:csb0="00000000" w:csb1="00000000"/>
  </w:font>
  <w:font w:name="楷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3478" w:rsidRDefault="001B4102">
    <w:pPr>
      <w:pStyle w:val="a4"/>
      <w:jc w:val="center"/>
    </w:pPr>
    <w:r>
      <w:pict>
        <v:rect id="_x0000_i1027" style="width:571.2pt;height:2pt" o:hralign="center" o:hrstd="t" o:hrnoshade="t" o:hr="t" fillcolor="#e7a631" stroked="f"/>
      </w:pict>
    </w:r>
    <w:sdt>
      <w:sdtPr>
        <w:id w:val="31118581"/>
        <w:docPartObj>
          <w:docPartGallery w:val="Page Numbers (Bottom of Page)"/>
          <w:docPartUnique/>
        </w:docPartObj>
      </w:sdtPr>
      <w:sdtContent>
        <w:sdt>
          <w:sdtPr>
            <w:id w:val="31118580"/>
            <w:docPartObj>
              <w:docPartGallery w:val="Page Numbers (Top of Page)"/>
              <w:docPartUnique/>
            </w:docPartObj>
          </w:sdtPr>
          <w:sdtContent>
            <w:r w:rsidR="00D43478">
              <w:rPr>
                <w:lang w:val="zh-CN"/>
              </w:rPr>
              <w:t xml:space="preserve"> </w:t>
            </w:r>
            <w:r>
              <w:rPr>
                <w:b/>
                <w:sz w:val="24"/>
                <w:szCs w:val="24"/>
              </w:rPr>
              <w:fldChar w:fldCharType="begin"/>
            </w:r>
            <w:r w:rsidR="00D43478">
              <w:rPr>
                <w:b/>
              </w:rPr>
              <w:instrText>PAGE</w:instrText>
            </w:r>
            <w:r>
              <w:rPr>
                <w:b/>
                <w:sz w:val="24"/>
                <w:szCs w:val="24"/>
              </w:rPr>
              <w:fldChar w:fldCharType="separate"/>
            </w:r>
            <w:r w:rsidR="00EF0D70">
              <w:rPr>
                <w:b/>
                <w:noProof/>
              </w:rPr>
              <w:t>2</w:t>
            </w:r>
            <w:r>
              <w:rPr>
                <w:b/>
                <w:sz w:val="24"/>
                <w:szCs w:val="24"/>
              </w:rPr>
              <w:fldChar w:fldCharType="end"/>
            </w:r>
            <w:r w:rsidR="00D43478">
              <w:rPr>
                <w:lang w:val="zh-CN"/>
              </w:rPr>
              <w:t xml:space="preserve"> / </w:t>
            </w:r>
            <w:r>
              <w:rPr>
                <w:b/>
                <w:sz w:val="24"/>
                <w:szCs w:val="24"/>
              </w:rPr>
              <w:fldChar w:fldCharType="begin"/>
            </w:r>
            <w:r w:rsidR="00D43478">
              <w:rPr>
                <w:b/>
              </w:rPr>
              <w:instrText>NUMPAGES</w:instrText>
            </w:r>
            <w:r>
              <w:rPr>
                <w:b/>
                <w:sz w:val="24"/>
                <w:szCs w:val="24"/>
              </w:rPr>
              <w:fldChar w:fldCharType="separate"/>
            </w:r>
            <w:r w:rsidR="00EF0D70">
              <w:rPr>
                <w:b/>
                <w:noProof/>
              </w:rPr>
              <w:t>5</w:t>
            </w:r>
            <w:r>
              <w:rPr>
                <w:b/>
                <w:sz w:val="24"/>
                <w:szCs w:val="24"/>
              </w:rPr>
              <w:fldChar w:fldCharType="end"/>
            </w:r>
          </w:sdtContent>
        </w:sdt>
      </w:sdtContent>
    </w:sdt>
  </w:p>
  <w:p w:rsidR="00D43478" w:rsidRDefault="00D43478">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118579"/>
      <w:docPartObj>
        <w:docPartGallery w:val="Page Numbers (Bottom of Page)"/>
        <w:docPartUnique/>
      </w:docPartObj>
    </w:sdtPr>
    <w:sdtContent>
      <w:sdt>
        <w:sdtPr>
          <w:id w:val="171357217"/>
          <w:docPartObj>
            <w:docPartGallery w:val="Page Numbers (Top of Page)"/>
            <w:docPartUnique/>
          </w:docPartObj>
        </w:sdtPr>
        <w:sdtContent>
          <w:p w:rsidR="00D43478" w:rsidRDefault="001B4102">
            <w:pPr>
              <w:pStyle w:val="a4"/>
              <w:jc w:val="center"/>
            </w:pPr>
            <w:r>
              <w:pict>
                <v:rect id="_x0000_i1029" style="width:571.2pt;height:2pt" o:hralign="center" o:hrstd="t" o:hrnoshade="t" o:hr="t" fillcolor="#e7a631" stroked="f"/>
              </w:pict>
            </w:r>
            <w:r w:rsidR="00D43478">
              <w:rPr>
                <w:lang w:val="zh-CN"/>
              </w:rPr>
              <w:t xml:space="preserve"> </w:t>
            </w:r>
            <w:r>
              <w:rPr>
                <w:b/>
                <w:sz w:val="24"/>
                <w:szCs w:val="24"/>
              </w:rPr>
              <w:fldChar w:fldCharType="begin"/>
            </w:r>
            <w:r w:rsidR="00D43478">
              <w:rPr>
                <w:b/>
              </w:rPr>
              <w:instrText>PAGE</w:instrText>
            </w:r>
            <w:r>
              <w:rPr>
                <w:b/>
                <w:sz w:val="24"/>
                <w:szCs w:val="24"/>
              </w:rPr>
              <w:fldChar w:fldCharType="separate"/>
            </w:r>
            <w:r w:rsidR="00EF0D70">
              <w:rPr>
                <w:b/>
                <w:noProof/>
              </w:rPr>
              <w:t>1</w:t>
            </w:r>
            <w:r>
              <w:rPr>
                <w:b/>
                <w:sz w:val="24"/>
                <w:szCs w:val="24"/>
              </w:rPr>
              <w:fldChar w:fldCharType="end"/>
            </w:r>
            <w:r w:rsidR="00D43478">
              <w:rPr>
                <w:lang w:val="zh-CN"/>
              </w:rPr>
              <w:t xml:space="preserve"> / </w:t>
            </w:r>
            <w:r>
              <w:rPr>
                <w:b/>
                <w:sz w:val="24"/>
                <w:szCs w:val="24"/>
              </w:rPr>
              <w:fldChar w:fldCharType="begin"/>
            </w:r>
            <w:r w:rsidR="00D43478">
              <w:rPr>
                <w:b/>
              </w:rPr>
              <w:instrText>NUMPAGES</w:instrText>
            </w:r>
            <w:r>
              <w:rPr>
                <w:b/>
                <w:sz w:val="24"/>
                <w:szCs w:val="24"/>
              </w:rPr>
              <w:fldChar w:fldCharType="separate"/>
            </w:r>
            <w:r w:rsidR="00EF0D70">
              <w:rPr>
                <w:b/>
                <w:noProof/>
              </w:rPr>
              <w:t>5</w:t>
            </w:r>
            <w:r>
              <w:rPr>
                <w:b/>
                <w:sz w:val="24"/>
                <w:szCs w:val="24"/>
              </w:rPr>
              <w:fldChar w:fldCharType="end"/>
            </w:r>
          </w:p>
        </w:sdtContent>
      </w:sdt>
    </w:sdtContent>
  </w:sdt>
  <w:p w:rsidR="00D43478" w:rsidRDefault="00D4347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32B3" w:rsidRDefault="009032B3" w:rsidP="00B10000">
      <w:r>
        <w:separator/>
      </w:r>
    </w:p>
  </w:footnote>
  <w:footnote w:type="continuationSeparator" w:id="0">
    <w:p w:rsidR="009032B3" w:rsidRDefault="009032B3" w:rsidP="00B100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3478" w:rsidRDefault="001B4102" w:rsidP="00B10000">
    <w:pPr>
      <w:pStyle w:val="a3"/>
      <w:pBdr>
        <w:bottom w:val="none" w:sz="0" w:space="0" w:color="auto"/>
      </w:pBdr>
    </w:pPr>
    <w:r>
      <w:rPr>
        <w:noProof/>
      </w:rPr>
      <w:pict>
        <v:group id="_x0000_s1034" style="position:absolute;left:0;text-align:left;margin-left:5.2pt;margin-top:-32.25pt;width:531.2pt;height:37.5pt;z-index:251658240" coordorigin="728,206" coordsize="10624,750">
          <v:shapetype id="_x0000_t202" coordsize="21600,21600" o:spt="202" path="m,l,21600r21600,l21600,xe">
            <v:stroke joinstyle="miter"/>
            <v:path gradientshapeok="t" o:connecttype="rect"/>
          </v:shapetype>
          <v:shape id="_x0000_s1035" type="#_x0000_t202" style="position:absolute;left:728;top:206;width:1336;height:724;mso-width-relative:margin;mso-height-relative:margin" strokecolor="white">
            <v:textbox style="mso-next-textbox:#_x0000_s1035">
              <w:txbxContent>
                <w:p w:rsidR="00D43478" w:rsidRDefault="001B4102" w:rsidP="00B10000">
                  <w:pPr>
                    <w:pStyle w:val="12"/>
                  </w:pPr>
                  <w:r w:rsidRPr="001B410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凯石工2.jpg" style="width:45pt;height:31.5pt;visibility:visible">
                        <v:imagedata r:id="rId1" o:title="凯石工2"/>
                      </v:shape>
                    </w:pict>
                  </w:r>
                </w:p>
              </w:txbxContent>
            </v:textbox>
          </v:shape>
          <v:shape id="_x0000_s1036" type="#_x0000_t202" style="position:absolute;left:5999;top:542;width:5353;height:414;mso-width-relative:margin;mso-height-relative:margin" strokecolor="white">
            <v:textbox style="mso-next-textbox:#_x0000_s1036">
              <w:txbxContent>
                <w:p w:rsidR="00D43478" w:rsidRPr="006E0F3C" w:rsidRDefault="00D43478" w:rsidP="00B10000">
                  <w:pPr>
                    <w:pStyle w:val="2"/>
                  </w:pPr>
                  <w:r>
                    <w:rPr>
                      <w:rFonts w:hint="eastAsia"/>
                    </w:rPr>
                    <w:t>公</w:t>
                  </w:r>
                  <w:proofErr w:type="gramStart"/>
                  <w:r>
                    <w:rPr>
                      <w:rFonts w:hint="eastAsia"/>
                    </w:rPr>
                    <w:t>募基金</w:t>
                  </w:r>
                  <w:proofErr w:type="gramEnd"/>
                  <w:r>
                    <w:rPr>
                      <w:rFonts w:hint="eastAsia"/>
                    </w:rPr>
                    <w:t>周报（2014.06.03~2014.06.06）</w:t>
                  </w:r>
                </w:p>
              </w:txbxContent>
            </v:textbox>
          </v:shape>
        </v:group>
      </w:pict>
    </w:r>
    <w:r>
      <w:pict>
        <v:rect id="_x0000_i1026" style="width:571.2pt;height:2pt" o:hralign="center" o:hrstd="t" o:hrnoshade="t" o:hr="t" fillcolor="#e7a631" stroked="f"/>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3478" w:rsidRDefault="001B4102" w:rsidP="00FA1002">
    <w:pPr>
      <w:pStyle w:val="a3"/>
      <w:pBdr>
        <w:bottom w:val="none" w:sz="0" w:space="0" w:color="auto"/>
      </w:pBdr>
      <w:spacing w:afterLines="100"/>
    </w:pPr>
    <w:r>
      <w:pict>
        <v:group id="_x0000_s1025" style="width:532.6pt;height:143.7pt;mso-position-horizontal-relative:char;mso-position-vertical-relative:line" coordorigin="652,331" coordsize="10652,2874">
          <v:shapetype id="_x0000_t202" coordsize="21600,21600" o:spt="202" path="m,l,21600r21600,l21600,xe">
            <v:stroke joinstyle="miter"/>
            <v:path gradientshapeok="t" o:connecttype="rect"/>
          </v:shapetype>
          <v:shape id="_x0000_s1026" type="#_x0000_t202" style="position:absolute;left:652;top:331;width:3664;height:2430;mso-width-relative:margin;mso-height-relative:margin" strokecolor="white">
            <v:textbox style="mso-next-textbox:#_x0000_s1026">
              <w:txbxContent>
                <w:p w:rsidR="00D43478" w:rsidRDefault="001B4102" w:rsidP="00B10000">
                  <w:pPr>
                    <w:pStyle w:val="a6"/>
                  </w:pPr>
                  <w:r w:rsidRPr="001B410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i1031" type="#_x0000_t75" alt="凯石工2.jpg" style="width:125.25pt;height:117.75pt;visibility:visible">
                        <v:imagedata r:id="rId1" o:title="凯石工2"/>
                      </v:shape>
                    </w:pict>
                  </w:r>
                </w:p>
              </w:txbxContent>
            </v:textbox>
          </v:shape>
          <v:shape id="_x0000_s1027" type="#_x0000_t202" style="position:absolute;left:881;top:2578;width:2325;height:390" strokecolor="white">
            <v:textbox style="mso-next-textbox:#_x0000_s1027">
              <w:txbxContent>
                <w:p w:rsidR="00D43478" w:rsidRPr="006E0F3C" w:rsidRDefault="00D43478" w:rsidP="008840A4">
                  <w:pPr>
                    <w:pStyle w:val="a5"/>
                    <w:spacing w:after="240"/>
                  </w:pPr>
                  <w:proofErr w:type="gramStart"/>
                  <w:r w:rsidRPr="006E0F3C">
                    <w:rPr>
                      <w:rFonts w:hint="eastAsia"/>
                    </w:rPr>
                    <w:t>凯石工场研究</w:t>
                  </w:r>
                  <w:proofErr w:type="gramEnd"/>
                  <w:r w:rsidRPr="006E0F3C">
                    <w:rPr>
                      <w:rFonts w:hint="eastAsia"/>
                    </w:rPr>
                    <w:t>报告</w:t>
                  </w:r>
                </w:p>
              </w:txbxContent>
            </v:textbox>
          </v:shape>
          <v:shape id="_x0000_s1028" type="#_x0000_t202" style="position:absolute;left:8740;top:609;width:2441;height:475;mso-height-percent:200;mso-height-percent:200;mso-width-relative:margin;mso-height-relative:margin" strokecolor="white">
            <v:textbox style="mso-next-textbox:#_x0000_s1028;mso-fit-shape-to-text:t">
              <w:txbxContent>
                <w:p w:rsidR="00D43478" w:rsidRPr="006E0F3C" w:rsidRDefault="00D43478" w:rsidP="00B10000">
                  <w:pPr>
                    <w:pStyle w:val="a7"/>
                    <w:jc w:val="right"/>
                  </w:pPr>
                  <w:r>
                    <w:rPr>
                      <w:rFonts w:hint="eastAsia"/>
                    </w:rPr>
                    <w:t>2014</w:t>
                  </w:r>
                  <w:r w:rsidRPr="006E0F3C">
                    <w:rPr>
                      <w:rFonts w:hint="eastAsia"/>
                    </w:rPr>
                    <w:t>年</w:t>
                  </w:r>
                  <w:r>
                    <w:rPr>
                      <w:rFonts w:hint="eastAsia"/>
                    </w:rPr>
                    <w:t>06</w:t>
                  </w:r>
                  <w:r w:rsidRPr="006E0F3C">
                    <w:rPr>
                      <w:rFonts w:hint="eastAsia"/>
                    </w:rPr>
                    <w:t>月</w:t>
                  </w:r>
                  <w:r>
                    <w:rPr>
                      <w:rFonts w:hint="eastAsia"/>
                    </w:rPr>
                    <w:t>09</w:t>
                  </w:r>
                  <w:r w:rsidRPr="006E0F3C">
                    <w:rPr>
                      <w:rFonts w:hint="eastAsia"/>
                    </w:rPr>
                    <w:t>日</w:t>
                  </w:r>
                </w:p>
              </w:txbxContent>
            </v:textbox>
          </v:shape>
          <v:shape id="_x0000_s1029" type="#_x0000_t202" style="position:absolute;left:3214;top:1377;width:8090;height:1001;mso-height-percent:200;mso-height-percent:200;mso-width-relative:margin;mso-height-relative:margin" strokecolor="white">
            <v:textbox style="mso-next-textbox:#_x0000_s1029;mso-fit-shape-to-text:t">
              <w:txbxContent>
                <w:p w:rsidR="00D43478" w:rsidRDefault="00EF0D70" w:rsidP="00B10000">
                  <w:pPr>
                    <w:pStyle w:val="a8"/>
                    <w:jc w:val="right"/>
                  </w:pPr>
                  <w:r>
                    <w:rPr>
                      <w:rFonts w:hint="eastAsia"/>
                    </w:rPr>
                    <w:t>成长风格领先，QDII表现抢眼，积极关注打新</w:t>
                  </w:r>
                </w:p>
                <w:p w:rsidR="00D43478" w:rsidRPr="00624366" w:rsidRDefault="00D43478" w:rsidP="00B10000">
                  <w:pPr>
                    <w:pStyle w:val="a8"/>
                    <w:jc w:val="right"/>
                    <w:rPr>
                      <w:sz w:val="28"/>
                      <w:szCs w:val="28"/>
                    </w:rPr>
                  </w:pPr>
                  <w:r w:rsidRPr="0095202C">
                    <w:rPr>
                      <w:rFonts w:hint="eastAsia"/>
                      <w:sz w:val="28"/>
                      <w:szCs w:val="28"/>
                    </w:rPr>
                    <w:t>公</w:t>
                  </w:r>
                  <w:proofErr w:type="gramStart"/>
                  <w:r w:rsidRPr="0095202C">
                    <w:rPr>
                      <w:rFonts w:hint="eastAsia"/>
                      <w:sz w:val="28"/>
                      <w:szCs w:val="28"/>
                    </w:rPr>
                    <w:t>募基金</w:t>
                  </w:r>
                  <w:proofErr w:type="gramEnd"/>
                  <w:r w:rsidRPr="0095202C">
                    <w:rPr>
                      <w:rFonts w:hint="eastAsia"/>
                      <w:sz w:val="28"/>
                      <w:szCs w:val="28"/>
                    </w:rPr>
                    <w:t>周报（</w:t>
                  </w:r>
                  <w:r>
                    <w:rPr>
                      <w:rFonts w:hint="eastAsia"/>
                      <w:sz w:val="28"/>
                      <w:szCs w:val="28"/>
                    </w:rPr>
                    <w:t>2014.06.03</w:t>
                  </w:r>
                  <w:r w:rsidRPr="0095202C">
                    <w:rPr>
                      <w:rFonts w:hint="eastAsia"/>
                      <w:sz w:val="28"/>
                      <w:szCs w:val="28"/>
                    </w:rPr>
                    <w:t>~</w:t>
                  </w:r>
                  <w:r>
                    <w:rPr>
                      <w:rFonts w:hint="eastAsia"/>
                      <w:sz w:val="28"/>
                      <w:szCs w:val="28"/>
                    </w:rPr>
                    <w:t>2014.06.06</w:t>
                  </w:r>
                  <w:r w:rsidRPr="0095202C">
                    <w:rPr>
                      <w:rFonts w:hint="eastAsia"/>
                      <w:sz w:val="28"/>
                      <w:szCs w:val="28"/>
                    </w:rPr>
                    <w:t>）</w:t>
                  </w:r>
                </w:p>
              </w:txbxContent>
            </v:textbox>
          </v:shape>
          <v:shape id="_x0000_s1030" type="#_x0000_t202" style="position:absolute;left:3246;top:2578;width:7993;height:627" strokecolor="white">
            <v:textbox style="mso-next-textbox:#_x0000_s1030">
              <w:txbxContent>
                <w:p w:rsidR="00D43478" w:rsidRPr="006E0F3C" w:rsidRDefault="00D43478" w:rsidP="00B10000">
                  <w:pPr>
                    <w:pStyle w:val="a9"/>
                  </w:pPr>
                  <w:proofErr w:type="gramStart"/>
                  <w:r>
                    <w:rPr>
                      <w:rFonts w:hint="eastAsia"/>
                    </w:rPr>
                    <w:t>杨舒</w:t>
                  </w:r>
                  <w:proofErr w:type="gramEnd"/>
                  <w:r w:rsidRPr="006E0F3C">
                    <w:rPr>
                      <w:rFonts w:hint="eastAsia"/>
                    </w:rPr>
                    <w:t xml:space="preserve"> </w:t>
                  </w:r>
                  <w:r>
                    <w:rPr>
                      <w:rFonts w:hint="eastAsia"/>
                    </w:rPr>
                    <w:t>高级</w:t>
                  </w:r>
                  <w:r w:rsidRPr="006E0F3C">
                    <w:rPr>
                      <w:rFonts w:hint="eastAsia"/>
                    </w:rPr>
                    <w:t xml:space="preserve">分析师 </w:t>
                  </w:r>
                </w:p>
              </w:txbxContent>
            </v:textbox>
          </v:shape>
          <w10:wrap type="none"/>
          <w10:anchorlock/>
        </v:group>
      </w:pict>
    </w:r>
    <w:r>
      <w:pict>
        <v:rect id="_x0000_i1028" style="width:571.2pt;height:2pt" o:hralign="center" o:hrstd="t" o:hrnoshade="t" o:hr="t" fillcolor="#e7a631" stroked="f"/>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25pt;height:11.25pt" o:bullet="t">
        <v:imagedata r:id="rId1" o:title="BD10335_"/>
      </v:shape>
    </w:pict>
  </w:numPicBullet>
  <w:abstractNum w:abstractNumId="0">
    <w:nsid w:val="08014C42"/>
    <w:multiLevelType w:val="singleLevel"/>
    <w:tmpl w:val="B4861D4C"/>
    <w:lvl w:ilvl="0">
      <w:start w:val="1"/>
      <w:numFmt w:val="bullet"/>
      <w:pStyle w:val="CoverBullet"/>
      <w:lvlText w:val=""/>
      <w:lvlJc w:val="left"/>
      <w:pPr>
        <w:tabs>
          <w:tab w:val="num" w:pos="360"/>
        </w:tabs>
        <w:ind w:left="360" w:hanging="360"/>
      </w:pPr>
      <w:rPr>
        <w:rFonts w:ascii="Wingdings" w:hAnsi="Wingdings" w:cs="Times New Roman" w:hint="default"/>
        <w:color w:val="FF0000"/>
        <w:sz w:val="20"/>
        <w:szCs w:val="20"/>
      </w:rPr>
    </w:lvl>
  </w:abstractNum>
  <w:abstractNum w:abstractNumId="1">
    <w:nsid w:val="10E71F9D"/>
    <w:multiLevelType w:val="hybridMultilevel"/>
    <w:tmpl w:val="FF3C5942"/>
    <w:lvl w:ilvl="0" w:tplc="0409000B">
      <w:start w:val="1"/>
      <w:numFmt w:val="bullet"/>
      <w:lvlText w:val=""/>
      <w:lvlJc w:val="left"/>
      <w:pPr>
        <w:ind w:left="4248" w:hanging="420"/>
      </w:pPr>
      <w:rPr>
        <w:rFonts w:ascii="Wingdings" w:hAnsi="Wingdings" w:hint="default"/>
      </w:rPr>
    </w:lvl>
    <w:lvl w:ilvl="1" w:tplc="04090003" w:tentative="1">
      <w:start w:val="1"/>
      <w:numFmt w:val="bullet"/>
      <w:lvlText w:val=""/>
      <w:lvlJc w:val="left"/>
      <w:pPr>
        <w:ind w:left="4668" w:hanging="420"/>
      </w:pPr>
      <w:rPr>
        <w:rFonts w:ascii="Wingdings" w:hAnsi="Wingdings" w:hint="default"/>
      </w:rPr>
    </w:lvl>
    <w:lvl w:ilvl="2" w:tplc="04090005" w:tentative="1">
      <w:start w:val="1"/>
      <w:numFmt w:val="bullet"/>
      <w:lvlText w:val=""/>
      <w:lvlJc w:val="left"/>
      <w:pPr>
        <w:ind w:left="5088" w:hanging="420"/>
      </w:pPr>
      <w:rPr>
        <w:rFonts w:ascii="Wingdings" w:hAnsi="Wingdings" w:hint="default"/>
      </w:rPr>
    </w:lvl>
    <w:lvl w:ilvl="3" w:tplc="04090001" w:tentative="1">
      <w:start w:val="1"/>
      <w:numFmt w:val="bullet"/>
      <w:lvlText w:val=""/>
      <w:lvlJc w:val="left"/>
      <w:pPr>
        <w:ind w:left="5508" w:hanging="420"/>
      </w:pPr>
      <w:rPr>
        <w:rFonts w:ascii="Wingdings" w:hAnsi="Wingdings" w:hint="default"/>
      </w:rPr>
    </w:lvl>
    <w:lvl w:ilvl="4" w:tplc="04090003" w:tentative="1">
      <w:start w:val="1"/>
      <w:numFmt w:val="bullet"/>
      <w:lvlText w:val=""/>
      <w:lvlJc w:val="left"/>
      <w:pPr>
        <w:ind w:left="5928" w:hanging="420"/>
      </w:pPr>
      <w:rPr>
        <w:rFonts w:ascii="Wingdings" w:hAnsi="Wingdings" w:hint="default"/>
      </w:rPr>
    </w:lvl>
    <w:lvl w:ilvl="5" w:tplc="04090005" w:tentative="1">
      <w:start w:val="1"/>
      <w:numFmt w:val="bullet"/>
      <w:lvlText w:val=""/>
      <w:lvlJc w:val="left"/>
      <w:pPr>
        <w:ind w:left="6348" w:hanging="420"/>
      </w:pPr>
      <w:rPr>
        <w:rFonts w:ascii="Wingdings" w:hAnsi="Wingdings" w:hint="default"/>
      </w:rPr>
    </w:lvl>
    <w:lvl w:ilvl="6" w:tplc="04090001" w:tentative="1">
      <w:start w:val="1"/>
      <w:numFmt w:val="bullet"/>
      <w:lvlText w:val=""/>
      <w:lvlJc w:val="left"/>
      <w:pPr>
        <w:ind w:left="6768" w:hanging="420"/>
      </w:pPr>
      <w:rPr>
        <w:rFonts w:ascii="Wingdings" w:hAnsi="Wingdings" w:hint="default"/>
      </w:rPr>
    </w:lvl>
    <w:lvl w:ilvl="7" w:tplc="04090003" w:tentative="1">
      <w:start w:val="1"/>
      <w:numFmt w:val="bullet"/>
      <w:lvlText w:val=""/>
      <w:lvlJc w:val="left"/>
      <w:pPr>
        <w:ind w:left="7188" w:hanging="420"/>
      </w:pPr>
      <w:rPr>
        <w:rFonts w:ascii="Wingdings" w:hAnsi="Wingdings" w:hint="default"/>
      </w:rPr>
    </w:lvl>
    <w:lvl w:ilvl="8" w:tplc="04090005" w:tentative="1">
      <w:start w:val="1"/>
      <w:numFmt w:val="bullet"/>
      <w:lvlText w:val=""/>
      <w:lvlJc w:val="left"/>
      <w:pPr>
        <w:ind w:left="7608" w:hanging="420"/>
      </w:pPr>
      <w:rPr>
        <w:rFonts w:ascii="Wingdings" w:hAnsi="Wingdings" w:hint="default"/>
      </w:rPr>
    </w:lvl>
  </w:abstractNum>
  <w:abstractNum w:abstractNumId="2">
    <w:nsid w:val="492C6DD3"/>
    <w:multiLevelType w:val="hybridMultilevel"/>
    <w:tmpl w:val="6EAE99B8"/>
    <w:lvl w:ilvl="0" w:tplc="A1E68908">
      <w:start w:val="1"/>
      <w:numFmt w:val="bullet"/>
      <w:lvlText w:val=""/>
      <w:lvlJc w:val="left"/>
      <w:pPr>
        <w:tabs>
          <w:tab w:val="num" w:pos="4329"/>
        </w:tabs>
        <w:ind w:left="3969" w:firstLine="0"/>
      </w:pPr>
      <w:rPr>
        <w:rFonts w:hint="default"/>
        <w:b w:val="0"/>
        <w:i w:val="0"/>
        <w:color w:val="000565"/>
        <w:sz w:val="18"/>
      </w:rPr>
    </w:lvl>
    <w:lvl w:ilvl="1" w:tplc="04090003">
      <w:start w:val="1"/>
      <w:numFmt w:val="bullet"/>
      <w:lvlText w:val=""/>
      <w:lvlJc w:val="left"/>
      <w:pPr>
        <w:tabs>
          <w:tab w:val="num" w:pos="4242"/>
        </w:tabs>
        <w:ind w:left="4242" w:hanging="420"/>
      </w:pPr>
      <w:rPr>
        <w:rFonts w:ascii="Wingdings" w:hAnsi="Wingdings" w:hint="default"/>
      </w:rPr>
    </w:lvl>
    <w:lvl w:ilvl="2" w:tplc="B0CACDC8">
      <w:start w:val="1"/>
      <w:numFmt w:val="bullet"/>
      <w:lvlText w:val=""/>
      <w:lvlJc w:val="left"/>
      <w:pPr>
        <w:tabs>
          <w:tab w:val="num" w:pos="4106"/>
        </w:tabs>
        <w:ind w:left="4106" w:hanging="420"/>
      </w:pPr>
      <w:rPr>
        <w:rFonts w:ascii="Wingdings" w:hAnsi="Wingdings" w:hint="default"/>
        <w:sz w:val="15"/>
        <w:szCs w:val="15"/>
      </w:rPr>
    </w:lvl>
    <w:lvl w:ilvl="3" w:tplc="04090001">
      <w:start w:val="1"/>
      <w:numFmt w:val="bullet"/>
      <w:lvlText w:val=""/>
      <w:lvlJc w:val="left"/>
      <w:pPr>
        <w:tabs>
          <w:tab w:val="num" w:pos="5082"/>
        </w:tabs>
        <w:ind w:left="5082" w:hanging="420"/>
      </w:pPr>
      <w:rPr>
        <w:rFonts w:ascii="Wingdings" w:hAnsi="Wingdings" w:hint="default"/>
      </w:rPr>
    </w:lvl>
    <w:lvl w:ilvl="4" w:tplc="AC7CA5DC">
      <w:start w:val="1"/>
      <w:numFmt w:val="bullet"/>
      <w:lvlText w:val=""/>
      <w:lvlJc w:val="left"/>
      <w:pPr>
        <w:tabs>
          <w:tab w:val="num" w:pos="3799"/>
        </w:tabs>
        <w:ind w:left="3799" w:hanging="369"/>
      </w:pPr>
      <w:rPr>
        <w:rFonts w:ascii="Wingdings" w:eastAsia="楷体_GB2312" w:hAnsi="Wingdings" w:hint="default"/>
        <w:b w:val="0"/>
        <w:i w:val="0"/>
        <w:color w:val="auto"/>
        <w:sz w:val="18"/>
      </w:rPr>
    </w:lvl>
    <w:lvl w:ilvl="5" w:tplc="04090005">
      <w:start w:val="1"/>
      <w:numFmt w:val="bullet"/>
      <w:lvlText w:val=""/>
      <w:lvlJc w:val="left"/>
      <w:pPr>
        <w:tabs>
          <w:tab w:val="num" w:pos="5922"/>
        </w:tabs>
        <w:ind w:left="5922" w:hanging="420"/>
      </w:pPr>
      <w:rPr>
        <w:rFonts w:ascii="Wingdings" w:hAnsi="Wingdings" w:hint="default"/>
      </w:rPr>
    </w:lvl>
    <w:lvl w:ilvl="6" w:tplc="04090001" w:tentative="1">
      <w:start w:val="1"/>
      <w:numFmt w:val="bullet"/>
      <w:lvlText w:val=""/>
      <w:lvlJc w:val="left"/>
      <w:pPr>
        <w:tabs>
          <w:tab w:val="num" w:pos="6342"/>
        </w:tabs>
        <w:ind w:left="6342" w:hanging="420"/>
      </w:pPr>
      <w:rPr>
        <w:rFonts w:ascii="Wingdings" w:hAnsi="Wingdings" w:hint="default"/>
      </w:rPr>
    </w:lvl>
    <w:lvl w:ilvl="7" w:tplc="04090003">
      <w:start w:val="1"/>
      <w:numFmt w:val="bullet"/>
      <w:lvlText w:val=""/>
      <w:lvlJc w:val="left"/>
      <w:pPr>
        <w:tabs>
          <w:tab w:val="num" w:pos="6762"/>
        </w:tabs>
        <w:ind w:left="6762" w:hanging="420"/>
      </w:pPr>
      <w:rPr>
        <w:rFonts w:ascii="Wingdings" w:hAnsi="Wingdings" w:hint="default"/>
      </w:rPr>
    </w:lvl>
    <w:lvl w:ilvl="8" w:tplc="04090005" w:tentative="1">
      <w:start w:val="1"/>
      <w:numFmt w:val="bullet"/>
      <w:lvlText w:val=""/>
      <w:lvlJc w:val="left"/>
      <w:pPr>
        <w:tabs>
          <w:tab w:val="num" w:pos="7182"/>
        </w:tabs>
        <w:ind w:left="7182" w:hanging="420"/>
      </w:pPr>
      <w:rPr>
        <w:rFonts w:ascii="Wingdings" w:hAnsi="Wingdings" w:hint="default"/>
      </w:rPr>
    </w:lvl>
  </w:abstractNum>
  <w:abstractNum w:abstractNumId="3">
    <w:nsid w:val="49A16DB4"/>
    <w:multiLevelType w:val="hybridMultilevel"/>
    <w:tmpl w:val="4E9C4D18"/>
    <w:lvl w:ilvl="0" w:tplc="A1E68908">
      <w:start w:val="1"/>
      <w:numFmt w:val="bullet"/>
      <w:lvlText w:val=""/>
      <w:lvlJc w:val="left"/>
      <w:pPr>
        <w:tabs>
          <w:tab w:val="num" w:pos="4329"/>
        </w:tabs>
        <w:ind w:left="3969" w:firstLine="0"/>
      </w:pPr>
      <w:rPr>
        <w:rFonts w:hint="default"/>
        <w:b w:val="0"/>
        <w:i w:val="0"/>
        <w:color w:val="000565"/>
        <w:sz w:val="18"/>
      </w:rPr>
    </w:lvl>
    <w:lvl w:ilvl="1" w:tplc="04090003">
      <w:start w:val="1"/>
      <w:numFmt w:val="bullet"/>
      <w:lvlText w:val=""/>
      <w:lvlJc w:val="left"/>
      <w:pPr>
        <w:tabs>
          <w:tab w:val="num" w:pos="4242"/>
        </w:tabs>
        <w:ind w:left="4242" w:hanging="420"/>
      </w:pPr>
      <w:rPr>
        <w:rFonts w:ascii="Wingdings" w:hAnsi="Wingdings" w:hint="default"/>
      </w:rPr>
    </w:lvl>
    <w:lvl w:ilvl="2" w:tplc="04090005">
      <w:start w:val="1"/>
      <w:numFmt w:val="bullet"/>
      <w:lvlText w:val=""/>
      <w:lvlJc w:val="left"/>
      <w:pPr>
        <w:tabs>
          <w:tab w:val="num" w:pos="4662"/>
        </w:tabs>
        <w:ind w:left="4662" w:hanging="420"/>
      </w:pPr>
      <w:rPr>
        <w:rFonts w:ascii="Wingdings" w:hAnsi="Wingdings" w:hint="default"/>
      </w:rPr>
    </w:lvl>
    <w:lvl w:ilvl="3" w:tplc="04090001">
      <w:start w:val="1"/>
      <w:numFmt w:val="bullet"/>
      <w:lvlText w:val=""/>
      <w:lvlJc w:val="left"/>
      <w:pPr>
        <w:tabs>
          <w:tab w:val="num" w:pos="5082"/>
        </w:tabs>
        <w:ind w:left="5082" w:hanging="420"/>
      </w:pPr>
      <w:rPr>
        <w:rFonts w:ascii="Wingdings" w:hAnsi="Wingdings" w:hint="default"/>
      </w:rPr>
    </w:lvl>
    <w:lvl w:ilvl="4" w:tplc="15407DAC">
      <w:start w:val="1"/>
      <w:numFmt w:val="bullet"/>
      <w:lvlText w:val=""/>
      <w:lvlJc w:val="left"/>
      <w:pPr>
        <w:tabs>
          <w:tab w:val="num" w:pos="3799"/>
        </w:tabs>
        <w:ind w:left="3799" w:hanging="369"/>
      </w:pPr>
      <w:rPr>
        <w:rFonts w:ascii="Wingdings" w:hAnsi="Wingdings" w:hint="default"/>
        <w:b w:val="0"/>
        <w:i w:val="0"/>
        <w:color w:val="auto"/>
        <w:sz w:val="18"/>
        <w:lang w:val="en-GB"/>
      </w:rPr>
    </w:lvl>
    <w:lvl w:ilvl="5" w:tplc="04090005">
      <w:start w:val="1"/>
      <w:numFmt w:val="bullet"/>
      <w:lvlText w:val=""/>
      <w:lvlJc w:val="left"/>
      <w:pPr>
        <w:tabs>
          <w:tab w:val="num" w:pos="5922"/>
        </w:tabs>
        <w:ind w:left="5922" w:hanging="420"/>
      </w:pPr>
      <w:rPr>
        <w:rFonts w:ascii="Wingdings" w:hAnsi="Wingdings" w:hint="default"/>
      </w:rPr>
    </w:lvl>
    <w:lvl w:ilvl="6" w:tplc="04090001" w:tentative="1">
      <w:start w:val="1"/>
      <w:numFmt w:val="bullet"/>
      <w:lvlText w:val=""/>
      <w:lvlJc w:val="left"/>
      <w:pPr>
        <w:tabs>
          <w:tab w:val="num" w:pos="6342"/>
        </w:tabs>
        <w:ind w:left="6342" w:hanging="420"/>
      </w:pPr>
      <w:rPr>
        <w:rFonts w:ascii="Wingdings" w:hAnsi="Wingdings" w:hint="default"/>
      </w:rPr>
    </w:lvl>
    <w:lvl w:ilvl="7" w:tplc="04090003" w:tentative="1">
      <w:start w:val="1"/>
      <w:numFmt w:val="bullet"/>
      <w:lvlText w:val=""/>
      <w:lvlJc w:val="left"/>
      <w:pPr>
        <w:tabs>
          <w:tab w:val="num" w:pos="6762"/>
        </w:tabs>
        <w:ind w:left="6762" w:hanging="420"/>
      </w:pPr>
      <w:rPr>
        <w:rFonts w:ascii="Wingdings" w:hAnsi="Wingdings" w:hint="default"/>
      </w:rPr>
    </w:lvl>
    <w:lvl w:ilvl="8" w:tplc="04090005" w:tentative="1">
      <w:start w:val="1"/>
      <w:numFmt w:val="bullet"/>
      <w:lvlText w:val=""/>
      <w:lvlJc w:val="left"/>
      <w:pPr>
        <w:tabs>
          <w:tab w:val="num" w:pos="7182"/>
        </w:tabs>
        <w:ind w:left="7182" w:hanging="420"/>
      </w:pPr>
      <w:rPr>
        <w:rFonts w:ascii="Wingdings" w:hAnsi="Wingdings" w:hint="default"/>
      </w:rPr>
    </w:lvl>
  </w:abstractNum>
  <w:abstractNum w:abstractNumId="4">
    <w:nsid w:val="5E8271C1"/>
    <w:multiLevelType w:val="hybridMultilevel"/>
    <w:tmpl w:val="6B68E90C"/>
    <w:lvl w:ilvl="0" w:tplc="A1E68908">
      <w:start w:val="1"/>
      <w:numFmt w:val="bullet"/>
      <w:lvlText w:val=""/>
      <w:lvlJc w:val="left"/>
      <w:pPr>
        <w:tabs>
          <w:tab w:val="num" w:pos="4329"/>
        </w:tabs>
        <w:ind w:left="3969" w:firstLine="0"/>
      </w:pPr>
      <w:rPr>
        <w:rFonts w:hint="default"/>
        <w:b w:val="0"/>
        <w:i w:val="0"/>
        <w:color w:val="000565"/>
        <w:sz w:val="18"/>
      </w:rPr>
    </w:lvl>
    <w:lvl w:ilvl="1" w:tplc="04090003">
      <w:start w:val="1"/>
      <w:numFmt w:val="bullet"/>
      <w:lvlText w:val=""/>
      <w:lvlJc w:val="left"/>
      <w:pPr>
        <w:tabs>
          <w:tab w:val="num" w:pos="4242"/>
        </w:tabs>
        <w:ind w:left="4242" w:hanging="420"/>
      </w:pPr>
      <w:rPr>
        <w:rFonts w:ascii="Wingdings" w:hAnsi="Wingdings" w:hint="default"/>
      </w:rPr>
    </w:lvl>
    <w:lvl w:ilvl="2" w:tplc="04090005">
      <w:start w:val="1"/>
      <w:numFmt w:val="bullet"/>
      <w:lvlText w:val=""/>
      <w:lvlJc w:val="left"/>
      <w:pPr>
        <w:tabs>
          <w:tab w:val="num" w:pos="4662"/>
        </w:tabs>
        <w:ind w:left="4662" w:hanging="420"/>
      </w:pPr>
      <w:rPr>
        <w:rFonts w:ascii="Wingdings" w:hAnsi="Wingdings" w:hint="default"/>
      </w:rPr>
    </w:lvl>
    <w:lvl w:ilvl="3" w:tplc="04090001">
      <w:start w:val="1"/>
      <w:numFmt w:val="bullet"/>
      <w:lvlText w:val=""/>
      <w:lvlJc w:val="left"/>
      <w:pPr>
        <w:tabs>
          <w:tab w:val="num" w:pos="5082"/>
        </w:tabs>
        <w:ind w:left="5082" w:hanging="420"/>
      </w:pPr>
      <w:rPr>
        <w:rFonts w:ascii="Wingdings" w:hAnsi="Wingdings" w:hint="default"/>
      </w:rPr>
    </w:lvl>
    <w:lvl w:ilvl="4" w:tplc="31DAFFE0">
      <w:start w:val="1"/>
      <w:numFmt w:val="bullet"/>
      <w:lvlText w:val=""/>
      <w:lvlJc w:val="left"/>
      <w:pPr>
        <w:tabs>
          <w:tab w:val="num" w:pos="3649"/>
        </w:tabs>
        <w:ind w:left="3289" w:firstLine="0"/>
      </w:pPr>
      <w:rPr>
        <w:rFonts w:ascii="Wingdings" w:eastAsia="宋体" w:hAnsi="Wingdings" w:hint="default"/>
        <w:b w:val="0"/>
        <w:i w:val="0"/>
        <w:color w:val="000565"/>
        <w:sz w:val="18"/>
      </w:rPr>
    </w:lvl>
    <w:lvl w:ilvl="5" w:tplc="DDC8F30C">
      <w:start w:val="1"/>
      <w:numFmt w:val="bullet"/>
      <w:lvlText w:val=""/>
      <w:lvlJc w:val="left"/>
      <w:pPr>
        <w:tabs>
          <w:tab w:val="num" w:pos="4139"/>
        </w:tabs>
        <w:ind w:left="4139" w:hanging="368"/>
      </w:pPr>
      <w:rPr>
        <w:rFonts w:ascii="Wingdings 2" w:eastAsia="楷体_GB2312" w:hAnsi="Wingdings 2" w:hint="default"/>
        <w:b w:val="0"/>
        <w:i w:val="0"/>
        <w:sz w:val="18"/>
      </w:rPr>
    </w:lvl>
    <w:lvl w:ilvl="6" w:tplc="04090001" w:tentative="1">
      <w:start w:val="1"/>
      <w:numFmt w:val="bullet"/>
      <w:lvlText w:val=""/>
      <w:lvlJc w:val="left"/>
      <w:pPr>
        <w:tabs>
          <w:tab w:val="num" w:pos="6342"/>
        </w:tabs>
        <w:ind w:left="6342" w:hanging="420"/>
      </w:pPr>
      <w:rPr>
        <w:rFonts w:ascii="Wingdings" w:hAnsi="Wingdings" w:hint="default"/>
      </w:rPr>
    </w:lvl>
    <w:lvl w:ilvl="7" w:tplc="04090003" w:tentative="1">
      <w:start w:val="1"/>
      <w:numFmt w:val="bullet"/>
      <w:lvlText w:val=""/>
      <w:lvlJc w:val="left"/>
      <w:pPr>
        <w:tabs>
          <w:tab w:val="num" w:pos="6762"/>
        </w:tabs>
        <w:ind w:left="6762" w:hanging="420"/>
      </w:pPr>
      <w:rPr>
        <w:rFonts w:ascii="Wingdings" w:hAnsi="Wingdings" w:hint="default"/>
      </w:rPr>
    </w:lvl>
    <w:lvl w:ilvl="8" w:tplc="04090005" w:tentative="1">
      <w:start w:val="1"/>
      <w:numFmt w:val="bullet"/>
      <w:lvlText w:val=""/>
      <w:lvlJc w:val="left"/>
      <w:pPr>
        <w:tabs>
          <w:tab w:val="num" w:pos="7182"/>
        </w:tabs>
        <w:ind w:left="7182" w:hanging="420"/>
      </w:pPr>
      <w:rPr>
        <w:rFonts w:ascii="Wingdings" w:hAnsi="Wingdings" w:hint="default"/>
      </w:rPr>
    </w:lvl>
  </w:abstractNum>
  <w:abstractNum w:abstractNumId="5">
    <w:nsid w:val="66145FDE"/>
    <w:multiLevelType w:val="singleLevel"/>
    <w:tmpl w:val="918C41C0"/>
    <w:lvl w:ilvl="0">
      <w:start w:val="1"/>
      <w:numFmt w:val="bullet"/>
      <w:pStyle w:val="BulletCoverpage"/>
      <w:lvlText w:val=""/>
      <w:lvlJc w:val="left"/>
      <w:pPr>
        <w:tabs>
          <w:tab w:val="num" w:pos="0"/>
        </w:tabs>
        <w:ind w:left="227" w:hanging="227"/>
      </w:pPr>
      <w:rPr>
        <w:rFonts w:ascii="Monotype Sorts" w:hAnsi="Monotype Sorts" w:cs="Times New Roman" w:hint="default"/>
        <w:color w:val="FF0000"/>
        <w:sz w:val="16"/>
        <w:szCs w:val="16"/>
      </w:rPr>
    </w:lvl>
  </w:abstractNum>
  <w:abstractNum w:abstractNumId="6">
    <w:nsid w:val="7DB2660F"/>
    <w:multiLevelType w:val="hybridMultilevel"/>
    <w:tmpl w:val="20BAD2A2"/>
    <w:lvl w:ilvl="0" w:tplc="74927076">
      <w:start w:val="1"/>
      <w:numFmt w:val="bullet"/>
      <w:pStyle w:val="1"/>
      <w:lvlText w:val=""/>
      <w:lvlPicBulletId w:val="0"/>
      <w:lvlJc w:val="left"/>
      <w:pPr>
        <w:ind w:left="1620" w:hanging="420"/>
      </w:pPr>
      <w:rPr>
        <w:rFonts w:ascii="Symbol" w:hAnsi="Symbol" w:hint="default"/>
        <w:color w:val="auto"/>
      </w:rPr>
    </w:lvl>
    <w:lvl w:ilvl="1" w:tplc="04090003" w:tentative="1">
      <w:start w:val="1"/>
      <w:numFmt w:val="bullet"/>
      <w:lvlText w:val=""/>
      <w:lvlJc w:val="left"/>
      <w:pPr>
        <w:ind w:left="2040" w:hanging="420"/>
      </w:pPr>
      <w:rPr>
        <w:rFonts w:ascii="Wingdings" w:hAnsi="Wingdings" w:hint="default"/>
      </w:rPr>
    </w:lvl>
    <w:lvl w:ilvl="2" w:tplc="04090005"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3" w:tentative="1">
      <w:start w:val="1"/>
      <w:numFmt w:val="bullet"/>
      <w:lvlText w:val=""/>
      <w:lvlJc w:val="left"/>
      <w:pPr>
        <w:ind w:left="3300" w:hanging="420"/>
      </w:pPr>
      <w:rPr>
        <w:rFonts w:ascii="Wingdings" w:hAnsi="Wingdings" w:hint="default"/>
      </w:rPr>
    </w:lvl>
    <w:lvl w:ilvl="5" w:tplc="04090005"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3" w:tentative="1">
      <w:start w:val="1"/>
      <w:numFmt w:val="bullet"/>
      <w:lvlText w:val=""/>
      <w:lvlJc w:val="left"/>
      <w:pPr>
        <w:ind w:left="4560" w:hanging="420"/>
      </w:pPr>
      <w:rPr>
        <w:rFonts w:ascii="Wingdings" w:hAnsi="Wingdings" w:hint="default"/>
      </w:rPr>
    </w:lvl>
    <w:lvl w:ilvl="8" w:tplc="04090005" w:tentative="1">
      <w:start w:val="1"/>
      <w:numFmt w:val="bullet"/>
      <w:lvlText w:val=""/>
      <w:lvlJc w:val="left"/>
      <w:pPr>
        <w:ind w:left="4980" w:hanging="420"/>
      </w:pPr>
      <w:rPr>
        <w:rFonts w:ascii="Wingdings" w:hAnsi="Wingdings" w:hint="default"/>
      </w:rPr>
    </w:lvl>
  </w:abstractNum>
  <w:num w:numId="1">
    <w:abstractNumId w:val="2"/>
  </w:num>
  <w:num w:numId="2">
    <w:abstractNumId w:val="4"/>
  </w:num>
  <w:num w:numId="3">
    <w:abstractNumId w:val="0"/>
  </w:num>
  <w:num w:numId="4">
    <w:abstractNumId w:val="5"/>
  </w:num>
  <w:num w:numId="5">
    <w:abstractNumId w:val="3"/>
  </w:num>
  <w:num w:numId="6">
    <w:abstractNumId w:val="6"/>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6963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10000"/>
    <w:rsid w:val="0000120D"/>
    <w:rsid w:val="00004B2E"/>
    <w:rsid w:val="00006269"/>
    <w:rsid w:val="00006540"/>
    <w:rsid w:val="00007D8C"/>
    <w:rsid w:val="00011851"/>
    <w:rsid w:val="00013790"/>
    <w:rsid w:val="00015E23"/>
    <w:rsid w:val="0001604D"/>
    <w:rsid w:val="000225B4"/>
    <w:rsid w:val="00024C7D"/>
    <w:rsid w:val="00026FF9"/>
    <w:rsid w:val="00034C20"/>
    <w:rsid w:val="00036038"/>
    <w:rsid w:val="00036AB5"/>
    <w:rsid w:val="00036BCD"/>
    <w:rsid w:val="00037BAF"/>
    <w:rsid w:val="00042A77"/>
    <w:rsid w:val="0004751A"/>
    <w:rsid w:val="00047EDC"/>
    <w:rsid w:val="0005101C"/>
    <w:rsid w:val="00057142"/>
    <w:rsid w:val="00060829"/>
    <w:rsid w:val="000621C7"/>
    <w:rsid w:val="0006243F"/>
    <w:rsid w:val="00064E08"/>
    <w:rsid w:val="00070307"/>
    <w:rsid w:val="00072445"/>
    <w:rsid w:val="00073843"/>
    <w:rsid w:val="00073BEE"/>
    <w:rsid w:val="00074E24"/>
    <w:rsid w:val="00075931"/>
    <w:rsid w:val="00081D63"/>
    <w:rsid w:val="000856DF"/>
    <w:rsid w:val="00091971"/>
    <w:rsid w:val="00091E0E"/>
    <w:rsid w:val="00092C5E"/>
    <w:rsid w:val="000941BB"/>
    <w:rsid w:val="00094650"/>
    <w:rsid w:val="00097363"/>
    <w:rsid w:val="000A284C"/>
    <w:rsid w:val="000A2FAE"/>
    <w:rsid w:val="000B21FF"/>
    <w:rsid w:val="000B3641"/>
    <w:rsid w:val="000B6F70"/>
    <w:rsid w:val="000B7203"/>
    <w:rsid w:val="000B7C3D"/>
    <w:rsid w:val="000C0348"/>
    <w:rsid w:val="000C08C5"/>
    <w:rsid w:val="000C4EBD"/>
    <w:rsid w:val="000C51A4"/>
    <w:rsid w:val="000C6B9E"/>
    <w:rsid w:val="000C7DF2"/>
    <w:rsid w:val="000D01F8"/>
    <w:rsid w:val="000D1136"/>
    <w:rsid w:val="000D27F8"/>
    <w:rsid w:val="000D4A66"/>
    <w:rsid w:val="000D6FC5"/>
    <w:rsid w:val="000D73AB"/>
    <w:rsid w:val="000E17E0"/>
    <w:rsid w:val="000E217B"/>
    <w:rsid w:val="000E371E"/>
    <w:rsid w:val="000E6D9A"/>
    <w:rsid w:val="000E713F"/>
    <w:rsid w:val="000F0312"/>
    <w:rsid w:val="000F10CB"/>
    <w:rsid w:val="00100572"/>
    <w:rsid w:val="001024F4"/>
    <w:rsid w:val="00103C41"/>
    <w:rsid w:val="00104265"/>
    <w:rsid w:val="001063EA"/>
    <w:rsid w:val="001064E7"/>
    <w:rsid w:val="00106D18"/>
    <w:rsid w:val="001073F0"/>
    <w:rsid w:val="001106F0"/>
    <w:rsid w:val="00111BEB"/>
    <w:rsid w:val="001130D2"/>
    <w:rsid w:val="00113E7A"/>
    <w:rsid w:val="00114389"/>
    <w:rsid w:val="001169B2"/>
    <w:rsid w:val="00120197"/>
    <w:rsid w:val="00120F16"/>
    <w:rsid w:val="00121295"/>
    <w:rsid w:val="001230AE"/>
    <w:rsid w:val="001312C8"/>
    <w:rsid w:val="0013161E"/>
    <w:rsid w:val="0013294D"/>
    <w:rsid w:val="001403F1"/>
    <w:rsid w:val="00150FC3"/>
    <w:rsid w:val="00152902"/>
    <w:rsid w:val="001533D0"/>
    <w:rsid w:val="00154C4E"/>
    <w:rsid w:val="0015518D"/>
    <w:rsid w:val="00155E7B"/>
    <w:rsid w:val="00160A00"/>
    <w:rsid w:val="00160B05"/>
    <w:rsid w:val="001707EB"/>
    <w:rsid w:val="00171E16"/>
    <w:rsid w:val="001732F3"/>
    <w:rsid w:val="001757C6"/>
    <w:rsid w:val="001757D1"/>
    <w:rsid w:val="00176FFB"/>
    <w:rsid w:val="00181DC4"/>
    <w:rsid w:val="00181DE3"/>
    <w:rsid w:val="00185397"/>
    <w:rsid w:val="001866D5"/>
    <w:rsid w:val="00190A08"/>
    <w:rsid w:val="001913B3"/>
    <w:rsid w:val="00192281"/>
    <w:rsid w:val="00194A20"/>
    <w:rsid w:val="00196BC9"/>
    <w:rsid w:val="001A04CB"/>
    <w:rsid w:val="001A20EF"/>
    <w:rsid w:val="001B1A86"/>
    <w:rsid w:val="001B3B5C"/>
    <w:rsid w:val="001B3B9B"/>
    <w:rsid w:val="001B3E3A"/>
    <w:rsid w:val="001B4102"/>
    <w:rsid w:val="001B6D17"/>
    <w:rsid w:val="001B6D2E"/>
    <w:rsid w:val="001B7AA9"/>
    <w:rsid w:val="001C2E66"/>
    <w:rsid w:val="001C343E"/>
    <w:rsid w:val="001D1F68"/>
    <w:rsid w:val="001D33CC"/>
    <w:rsid w:val="001D5DD8"/>
    <w:rsid w:val="001E182A"/>
    <w:rsid w:val="001E3FEC"/>
    <w:rsid w:val="001E5298"/>
    <w:rsid w:val="001E5E74"/>
    <w:rsid w:val="001F13E5"/>
    <w:rsid w:val="0021175A"/>
    <w:rsid w:val="00215FD6"/>
    <w:rsid w:val="0021658D"/>
    <w:rsid w:val="00217252"/>
    <w:rsid w:val="00221A18"/>
    <w:rsid w:val="00223AC5"/>
    <w:rsid w:val="00224D0D"/>
    <w:rsid w:val="00225508"/>
    <w:rsid w:val="00226D20"/>
    <w:rsid w:val="002338C0"/>
    <w:rsid w:val="00233AC4"/>
    <w:rsid w:val="00235525"/>
    <w:rsid w:val="00242D53"/>
    <w:rsid w:val="00242D8D"/>
    <w:rsid w:val="00245B98"/>
    <w:rsid w:val="0025117A"/>
    <w:rsid w:val="0025195E"/>
    <w:rsid w:val="00252878"/>
    <w:rsid w:val="00257525"/>
    <w:rsid w:val="00257B4B"/>
    <w:rsid w:val="00257D31"/>
    <w:rsid w:val="0026029B"/>
    <w:rsid w:val="00261ADB"/>
    <w:rsid w:val="002637EF"/>
    <w:rsid w:val="0026413E"/>
    <w:rsid w:val="002643C4"/>
    <w:rsid w:val="00265B6D"/>
    <w:rsid w:val="00265D17"/>
    <w:rsid w:val="0027079A"/>
    <w:rsid w:val="00273C1B"/>
    <w:rsid w:val="00276D8F"/>
    <w:rsid w:val="0027722C"/>
    <w:rsid w:val="00281145"/>
    <w:rsid w:val="002840F1"/>
    <w:rsid w:val="00284688"/>
    <w:rsid w:val="00286F58"/>
    <w:rsid w:val="00290712"/>
    <w:rsid w:val="0029089C"/>
    <w:rsid w:val="00290EC1"/>
    <w:rsid w:val="002919F1"/>
    <w:rsid w:val="00291B5F"/>
    <w:rsid w:val="00292E2D"/>
    <w:rsid w:val="00293321"/>
    <w:rsid w:val="00294614"/>
    <w:rsid w:val="0029599D"/>
    <w:rsid w:val="00296C0E"/>
    <w:rsid w:val="00297532"/>
    <w:rsid w:val="002A3099"/>
    <w:rsid w:val="002A6AB8"/>
    <w:rsid w:val="002B0F8E"/>
    <w:rsid w:val="002B114E"/>
    <w:rsid w:val="002B368B"/>
    <w:rsid w:val="002B615B"/>
    <w:rsid w:val="002C0245"/>
    <w:rsid w:val="002C095D"/>
    <w:rsid w:val="002C1257"/>
    <w:rsid w:val="002C2F59"/>
    <w:rsid w:val="002C337A"/>
    <w:rsid w:val="002C5822"/>
    <w:rsid w:val="002D013F"/>
    <w:rsid w:val="002D26EA"/>
    <w:rsid w:val="002D2967"/>
    <w:rsid w:val="002D361E"/>
    <w:rsid w:val="002E1DB4"/>
    <w:rsid w:val="002E5B19"/>
    <w:rsid w:val="002E772B"/>
    <w:rsid w:val="002F1D00"/>
    <w:rsid w:val="002F4660"/>
    <w:rsid w:val="002F504E"/>
    <w:rsid w:val="002F55EC"/>
    <w:rsid w:val="002F5B82"/>
    <w:rsid w:val="002F5E62"/>
    <w:rsid w:val="00300A5A"/>
    <w:rsid w:val="00302EDB"/>
    <w:rsid w:val="00303164"/>
    <w:rsid w:val="003069F4"/>
    <w:rsid w:val="003072D1"/>
    <w:rsid w:val="00311935"/>
    <w:rsid w:val="003163A1"/>
    <w:rsid w:val="003173B8"/>
    <w:rsid w:val="00322227"/>
    <w:rsid w:val="003253E4"/>
    <w:rsid w:val="00326DD8"/>
    <w:rsid w:val="00327C6B"/>
    <w:rsid w:val="003362A1"/>
    <w:rsid w:val="003417B7"/>
    <w:rsid w:val="00341CB3"/>
    <w:rsid w:val="0034351F"/>
    <w:rsid w:val="00343D07"/>
    <w:rsid w:val="003440C8"/>
    <w:rsid w:val="0035107C"/>
    <w:rsid w:val="00354C5A"/>
    <w:rsid w:val="00356092"/>
    <w:rsid w:val="00357725"/>
    <w:rsid w:val="003629A1"/>
    <w:rsid w:val="003630D1"/>
    <w:rsid w:val="0036352A"/>
    <w:rsid w:val="00363986"/>
    <w:rsid w:val="00364CD1"/>
    <w:rsid w:val="00366935"/>
    <w:rsid w:val="00366E94"/>
    <w:rsid w:val="00370A76"/>
    <w:rsid w:val="003737C6"/>
    <w:rsid w:val="003746B1"/>
    <w:rsid w:val="0037492D"/>
    <w:rsid w:val="00377F18"/>
    <w:rsid w:val="00380EEB"/>
    <w:rsid w:val="0038350E"/>
    <w:rsid w:val="00384812"/>
    <w:rsid w:val="003901F3"/>
    <w:rsid w:val="003903DA"/>
    <w:rsid w:val="00390A0F"/>
    <w:rsid w:val="003936BE"/>
    <w:rsid w:val="003940C0"/>
    <w:rsid w:val="0039511A"/>
    <w:rsid w:val="00397178"/>
    <w:rsid w:val="003A036D"/>
    <w:rsid w:val="003A0E58"/>
    <w:rsid w:val="003A2FAE"/>
    <w:rsid w:val="003A5C5F"/>
    <w:rsid w:val="003A6147"/>
    <w:rsid w:val="003B10CC"/>
    <w:rsid w:val="003B126E"/>
    <w:rsid w:val="003B1409"/>
    <w:rsid w:val="003B35FC"/>
    <w:rsid w:val="003B5D7E"/>
    <w:rsid w:val="003C1392"/>
    <w:rsid w:val="003C5C90"/>
    <w:rsid w:val="003C77A2"/>
    <w:rsid w:val="003D3780"/>
    <w:rsid w:val="003D3C89"/>
    <w:rsid w:val="003D4C21"/>
    <w:rsid w:val="003D4E0C"/>
    <w:rsid w:val="003E0FE3"/>
    <w:rsid w:val="003F0F93"/>
    <w:rsid w:val="003F158A"/>
    <w:rsid w:val="003F15EB"/>
    <w:rsid w:val="003F18DA"/>
    <w:rsid w:val="003F2B05"/>
    <w:rsid w:val="003F4C8D"/>
    <w:rsid w:val="003F6D13"/>
    <w:rsid w:val="003F7591"/>
    <w:rsid w:val="004010BD"/>
    <w:rsid w:val="004025B1"/>
    <w:rsid w:val="004049E1"/>
    <w:rsid w:val="00404A3A"/>
    <w:rsid w:val="00405C38"/>
    <w:rsid w:val="00406576"/>
    <w:rsid w:val="0040695C"/>
    <w:rsid w:val="0040729F"/>
    <w:rsid w:val="0041361B"/>
    <w:rsid w:val="0041702F"/>
    <w:rsid w:val="00423456"/>
    <w:rsid w:val="00423975"/>
    <w:rsid w:val="004261CB"/>
    <w:rsid w:val="00427EB4"/>
    <w:rsid w:val="004305E5"/>
    <w:rsid w:val="00430B20"/>
    <w:rsid w:val="00435E54"/>
    <w:rsid w:val="004400BA"/>
    <w:rsid w:val="0044069B"/>
    <w:rsid w:val="00441AD6"/>
    <w:rsid w:val="00442AF1"/>
    <w:rsid w:val="00443354"/>
    <w:rsid w:val="00446E1B"/>
    <w:rsid w:val="00447E47"/>
    <w:rsid w:val="00450B25"/>
    <w:rsid w:val="00450EF2"/>
    <w:rsid w:val="00451967"/>
    <w:rsid w:val="004520F9"/>
    <w:rsid w:val="004534F9"/>
    <w:rsid w:val="004564B0"/>
    <w:rsid w:val="00464A8B"/>
    <w:rsid w:val="0046524C"/>
    <w:rsid w:val="004654CC"/>
    <w:rsid w:val="0046596D"/>
    <w:rsid w:val="00466D12"/>
    <w:rsid w:val="00471251"/>
    <w:rsid w:val="004714B2"/>
    <w:rsid w:val="0047414F"/>
    <w:rsid w:val="00475DD9"/>
    <w:rsid w:val="004764E4"/>
    <w:rsid w:val="004855C1"/>
    <w:rsid w:val="00486443"/>
    <w:rsid w:val="00486C57"/>
    <w:rsid w:val="0049212C"/>
    <w:rsid w:val="00493237"/>
    <w:rsid w:val="00493C77"/>
    <w:rsid w:val="00495D2B"/>
    <w:rsid w:val="00497E95"/>
    <w:rsid w:val="004A3F1C"/>
    <w:rsid w:val="004A56E2"/>
    <w:rsid w:val="004A6C01"/>
    <w:rsid w:val="004B07FF"/>
    <w:rsid w:val="004B087F"/>
    <w:rsid w:val="004B18C9"/>
    <w:rsid w:val="004B48A2"/>
    <w:rsid w:val="004B6C69"/>
    <w:rsid w:val="004B75E0"/>
    <w:rsid w:val="004C0B80"/>
    <w:rsid w:val="004C1F81"/>
    <w:rsid w:val="004C40C1"/>
    <w:rsid w:val="004C4741"/>
    <w:rsid w:val="004C486F"/>
    <w:rsid w:val="004D53BB"/>
    <w:rsid w:val="004D58DC"/>
    <w:rsid w:val="004D71B5"/>
    <w:rsid w:val="004D7ECB"/>
    <w:rsid w:val="004E0FEE"/>
    <w:rsid w:val="004E462D"/>
    <w:rsid w:val="004E53AC"/>
    <w:rsid w:val="004E7938"/>
    <w:rsid w:val="004F12DC"/>
    <w:rsid w:val="004F47F8"/>
    <w:rsid w:val="00503057"/>
    <w:rsid w:val="0050406F"/>
    <w:rsid w:val="0050501E"/>
    <w:rsid w:val="00505FA0"/>
    <w:rsid w:val="005062CE"/>
    <w:rsid w:val="005127F0"/>
    <w:rsid w:val="00514A29"/>
    <w:rsid w:val="00515278"/>
    <w:rsid w:val="00517D66"/>
    <w:rsid w:val="0052191D"/>
    <w:rsid w:val="005220A2"/>
    <w:rsid w:val="00522D48"/>
    <w:rsid w:val="00522FD3"/>
    <w:rsid w:val="00524732"/>
    <w:rsid w:val="00524D1D"/>
    <w:rsid w:val="00525658"/>
    <w:rsid w:val="00532D30"/>
    <w:rsid w:val="00533C19"/>
    <w:rsid w:val="0053587E"/>
    <w:rsid w:val="00537D72"/>
    <w:rsid w:val="0054107C"/>
    <w:rsid w:val="00542F05"/>
    <w:rsid w:val="00544683"/>
    <w:rsid w:val="005502D0"/>
    <w:rsid w:val="00550466"/>
    <w:rsid w:val="0055078E"/>
    <w:rsid w:val="005543EB"/>
    <w:rsid w:val="00556701"/>
    <w:rsid w:val="00561462"/>
    <w:rsid w:val="00567A0C"/>
    <w:rsid w:val="00570CFF"/>
    <w:rsid w:val="00571FE3"/>
    <w:rsid w:val="00575212"/>
    <w:rsid w:val="00580A22"/>
    <w:rsid w:val="00581C8E"/>
    <w:rsid w:val="00586BF4"/>
    <w:rsid w:val="00593C20"/>
    <w:rsid w:val="00595F3E"/>
    <w:rsid w:val="00596573"/>
    <w:rsid w:val="00596BB8"/>
    <w:rsid w:val="00597250"/>
    <w:rsid w:val="005A0162"/>
    <w:rsid w:val="005A12B3"/>
    <w:rsid w:val="005A518A"/>
    <w:rsid w:val="005B020A"/>
    <w:rsid w:val="005B07A8"/>
    <w:rsid w:val="005B0C3F"/>
    <w:rsid w:val="005B0E69"/>
    <w:rsid w:val="005B24B5"/>
    <w:rsid w:val="005B2AF8"/>
    <w:rsid w:val="005B2B03"/>
    <w:rsid w:val="005B49EB"/>
    <w:rsid w:val="005B5344"/>
    <w:rsid w:val="005B6077"/>
    <w:rsid w:val="005B66D4"/>
    <w:rsid w:val="005B7144"/>
    <w:rsid w:val="005B7CDB"/>
    <w:rsid w:val="005C3660"/>
    <w:rsid w:val="005C3964"/>
    <w:rsid w:val="005C43D1"/>
    <w:rsid w:val="005C4913"/>
    <w:rsid w:val="005C4AF6"/>
    <w:rsid w:val="005C62E8"/>
    <w:rsid w:val="005D0786"/>
    <w:rsid w:val="005D11C2"/>
    <w:rsid w:val="005D176B"/>
    <w:rsid w:val="005D1C90"/>
    <w:rsid w:val="005D5D07"/>
    <w:rsid w:val="005E4315"/>
    <w:rsid w:val="005E5835"/>
    <w:rsid w:val="005F2086"/>
    <w:rsid w:val="0060087D"/>
    <w:rsid w:val="00601790"/>
    <w:rsid w:val="00603CFF"/>
    <w:rsid w:val="00607AF3"/>
    <w:rsid w:val="00607D01"/>
    <w:rsid w:val="006115CD"/>
    <w:rsid w:val="00611ADA"/>
    <w:rsid w:val="00612B6F"/>
    <w:rsid w:val="00615FCF"/>
    <w:rsid w:val="006175E2"/>
    <w:rsid w:val="00620E33"/>
    <w:rsid w:val="0062314B"/>
    <w:rsid w:val="00623C62"/>
    <w:rsid w:val="006245AB"/>
    <w:rsid w:val="00624A77"/>
    <w:rsid w:val="006270CD"/>
    <w:rsid w:val="00632F6E"/>
    <w:rsid w:val="006456A9"/>
    <w:rsid w:val="00654A8F"/>
    <w:rsid w:val="006551AF"/>
    <w:rsid w:val="006559C0"/>
    <w:rsid w:val="00656031"/>
    <w:rsid w:val="006578A3"/>
    <w:rsid w:val="0066070E"/>
    <w:rsid w:val="006645C6"/>
    <w:rsid w:val="0066540E"/>
    <w:rsid w:val="00665C78"/>
    <w:rsid w:val="006670F3"/>
    <w:rsid w:val="006675F9"/>
    <w:rsid w:val="00674776"/>
    <w:rsid w:val="006772EB"/>
    <w:rsid w:val="006833F8"/>
    <w:rsid w:val="00683DCB"/>
    <w:rsid w:val="00683F7F"/>
    <w:rsid w:val="00686D48"/>
    <w:rsid w:val="0069249C"/>
    <w:rsid w:val="00692594"/>
    <w:rsid w:val="0069543D"/>
    <w:rsid w:val="00696125"/>
    <w:rsid w:val="006962B2"/>
    <w:rsid w:val="006A028F"/>
    <w:rsid w:val="006A3423"/>
    <w:rsid w:val="006A3AA5"/>
    <w:rsid w:val="006A3CD2"/>
    <w:rsid w:val="006A53C2"/>
    <w:rsid w:val="006A5488"/>
    <w:rsid w:val="006A56CE"/>
    <w:rsid w:val="006A6E20"/>
    <w:rsid w:val="006B48F2"/>
    <w:rsid w:val="006B7C89"/>
    <w:rsid w:val="006C1F99"/>
    <w:rsid w:val="006C2CA2"/>
    <w:rsid w:val="006C7B1B"/>
    <w:rsid w:val="006C7C4A"/>
    <w:rsid w:val="006C7FEC"/>
    <w:rsid w:val="006D4173"/>
    <w:rsid w:val="006D654F"/>
    <w:rsid w:val="006D7641"/>
    <w:rsid w:val="006E55A6"/>
    <w:rsid w:val="006E5C99"/>
    <w:rsid w:val="006E5DF5"/>
    <w:rsid w:val="006E6961"/>
    <w:rsid w:val="006F1DAC"/>
    <w:rsid w:val="006F20D6"/>
    <w:rsid w:val="006F2C3A"/>
    <w:rsid w:val="006F3555"/>
    <w:rsid w:val="006F55B1"/>
    <w:rsid w:val="006F5EEB"/>
    <w:rsid w:val="006F6EAC"/>
    <w:rsid w:val="00700F29"/>
    <w:rsid w:val="00703A45"/>
    <w:rsid w:val="00704A54"/>
    <w:rsid w:val="00706C09"/>
    <w:rsid w:val="0071416B"/>
    <w:rsid w:val="00720238"/>
    <w:rsid w:val="00721E16"/>
    <w:rsid w:val="00722312"/>
    <w:rsid w:val="00722631"/>
    <w:rsid w:val="0072299D"/>
    <w:rsid w:val="00722BF7"/>
    <w:rsid w:val="00723620"/>
    <w:rsid w:val="0072603A"/>
    <w:rsid w:val="007316AC"/>
    <w:rsid w:val="00733A3E"/>
    <w:rsid w:val="0073500F"/>
    <w:rsid w:val="00735A44"/>
    <w:rsid w:val="00741443"/>
    <w:rsid w:val="00745353"/>
    <w:rsid w:val="007474D9"/>
    <w:rsid w:val="007513AA"/>
    <w:rsid w:val="00751B67"/>
    <w:rsid w:val="0075480C"/>
    <w:rsid w:val="00754DEE"/>
    <w:rsid w:val="00755F5C"/>
    <w:rsid w:val="00755F60"/>
    <w:rsid w:val="0075762B"/>
    <w:rsid w:val="00760A91"/>
    <w:rsid w:val="00763E9C"/>
    <w:rsid w:val="0077477F"/>
    <w:rsid w:val="00775DEE"/>
    <w:rsid w:val="007801B0"/>
    <w:rsid w:val="00784E7E"/>
    <w:rsid w:val="00786188"/>
    <w:rsid w:val="0078665A"/>
    <w:rsid w:val="00786FCC"/>
    <w:rsid w:val="00797357"/>
    <w:rsid w:val="007A3E07"/>
    <w:rsid w:val="007A75A8"/>
    <w:rsid w:val="007B0526"/>
    <w:rsid w:val="007B269A"/>
    <w:rsid w:val="007B2BA9"/>
    <w:rsid w:val="007B48A8"/>
    <w:rsid w:val="007B4C9A"/>
    <w:rsid w:val="007B7F71"/>
    <w:rsid w:val="007C2061"/>
    <w:rsid w:val="007C224E"/>
    <w:rsid w:val="007C23DF"/>
    <w:rsid w:val="007C40BC"/>
    <w:rsid w:val="007C4612"/>
    <w:rsid w:val="007C531C"/>
    <w:rsid w:val="007D402F"/>
    <w:rsid w:val="007D556D"/>
    <w:rsid w:val="007D601B"/>
    <w:rsid w:val="007D6D1A"/>
    <w:rsid w:val="007E03D3"/>
    <w:rsid w:val="007E0CA0"/>
    <w:rsid w:val="007E16CF"/>
    <w:rsid w:val="007E30E7"/>
    <w:rsid w:val="007E3800"/>
    <w:rsid w:val="007E4D13"/>
    <w:rsid w:val="007E5507"/>
    <w:rsid w:val="007E607C"/>
    <w:rsid w:val="007E6984"/>
    <w:rsid w:val="007F0F86"/>
    <w:rsid w:val="007F4290"/>
    <w:rsid w:val="008003B6"/>
    <w:rsid w:val="00800AD4"/>
    <w:rsid w:val="00805125"/>
    <w:rsid w:val="00805258"/>
    <w:rsid w:val="008062DE"/>
    <w:rsid w:val="0081385D"/>
    <w:rsid w:val="008148DF"/>
    <w:rsid w:val="008155EE"/>
    <w:rsid w:val="008177CF"/>
    <w:rsid w:val="008255AB"/>
    <w:rsid w:val="0082719B"/>
    <w:rsid w:val="008327E4"/>
    <w:rsid w:val="008342BA"/>
    <w:rsid w:val="00834484"/>
    <w:rsid w:val="00834CE1"/>
    <w:rsid w:val="008412B5"/>
    <w:rsid w:val="00842CD8"/>
    <w:rsid w:val="00846399"/>
    <w:rsid w:val="00847F07"/>
    <w:rsid w:val="0085256A"/>
    <w:rsid w:val="008549D1"/>
    <w:rsid w:val="00854C8A"/>
    <w:rsid w:val="00855FEC"/>
    <w:rsid w:val="00856939"/>
    <w:rsid w:val="0086042C"/>
    <w:rsid w:val="00860492"/>
    <w:rsid w:val="00862696"/>
    <w:rsid w:val="00863E99"/>
    <w:rsid w:val="008734AF"/>
    <w:rsid w:val="00873890"/>
    <w:rsid w:val="00876BB7"/>
    <w:rsid w:val="00877138"/>
    <w:rsid w:val="00880F80"/>
    <w:rsid w:val="008840A4"/>
    <w:rsid w:val="00884478"/>
    <w:rsid w:val="008863D8"/>
    <w:rsid w:val="00892FB2"/>
    <w:rsid w:val="00896183"/>
    <w:rsid w:val="008A23AC"/>
    <w:rsid w:val="008A2C49"/>
    <w:rsid w:val="008A2CED"/>
    <w:rsid w:val="008A5CDA"/>
    <w:rsid w:val="008A6F33"/>
    <w:rsid w:val="008A75F7"/>
    <w:rsid w:val="008B1BC9"/>
    <w:rsid w:val="008B3409"/>
    <w:rsid w:val="008B6ABC"/>
    <w:rsid w:val="008B7182"/>
    <w:rsid w:val="008B74AF"/>
    <w:rsid w:val="008B7D87"/>
    <w:rsid w:val="008C23D1"/>
    <w:rsid w:val="008D0CA2"/>
    <w:rsid w:val="008D26BB"/>
    <w:rsid w:val="008D2BB5"/>
    <w:rsid w:val="008D2D88"/>
    <w:rsid w:val="008D7188"/>
    <w:rsid w:val="008D77B6"/>
    <w:rsid w:val="008E0997"/>
    <w:rsid w:val="008E29BE"/>
    <w:rsid w:val="008E3038"/>
    <w:rsid w:val="008E41E5"/>
    <w:rsid w:val="008E5755"/>
    <w:rsid w:val="008F2961"/>
    <w:rsid w:val="008F2C15"/>
    <w:rsid w:val="008F39C1"/>
    <w:rsid w:val="008F52CD"/>
    <w:rsid w:val="008F7A1B"/>
    <w:rsid w:val="00901DFE"/>
    <w:rsid w:val="009032B3"/>
    <w:rsid w:val="00905090"/>
    <w:rsid w:val="009056CA"/>
    <w:rsid w:val="00906113"/>
    <w:rsid w:val="009115A4"/>
    <w:rsid w:val="009118F6"/>
    <w:rsid w:val="00912172"/>
    <w:rsid w:val="00912FF1"/>
    <w:rsid w:val="0091372A"/>
    <w:rsid w:val="009147AF"/>
    <w:rsid w:val="00915428"/>
    <w:rsid w:val="0091600C"/>
    <w:rsid w:val="00916BB3"/>
    <w:rsid w:val="0092172F"/>
    <w:rsid w:val="0092324C"/>
    <w:rsid w:val="009442D5"/>
    <w:rsid w:val="0094581C"/>
    <w:rsid w:val="0095202C"/>
    <w:rsid w:val="009541E9"/>
    <w:rsid w:val="00954338"/>
    <w:rsid w:val="00955A6B"/>
    <w:rsid w:val="00956190"/>
    <w:rsid w:val="009574C2"/>
    <w:rsid w:val="0096159D"/>
    <w:rsid w:val="00963262"/>
    <w:rsid w:val="00965612"/>
    <w:rsid w:val="00967DBF"/>
    <w:rsid w:val="009740BC"/>
    <w:rsid w:val="009748A1"/>
    <w:rsid w:val="00980F3B"/>
    <w:rsid w:val="00983990"/>
    <w:rsid w:val="00993136"/>
    <w:rsid w:val="00994233"/>
    <w:rsid w:val="00997712"/>
    <w:rsid w:val="009A0733"/>
    <w:rsid w:val="009A24FC"/>
    <w:rsid w:val="009A6261"/>
    <w:rsid w:val="009B08CA"/>
    <w:rsid w:val="009B0E3B"/>
    <w:rsid w:val="009B1613"/>
    <w:rsid w:val="009B18AE"/>
    <w:rsid w:val="009B19DA"/>
    <w:rsid w:val="009B2883"/>
    <w:rsid w:val="009B3707"/>
    <w:rsid w:val="009B4973"/>
    <w:rsid w:val="009C0A9C"/>
    <w:rsid w:val="009C11D0"/>
    <w:rsid w:val="009C32FE"/>
    <w:rsid w:val="009C67BD"/>
    <w:rsid w:val="009D2327"/>
    <w:rsid w:val="009D3AFE"/>
    <w:rsid w:val="009D4929"/>
    <w:rsid w:val="009D6B40"/>
    <w:rsid w:val="009D78EE"/>
    <w:rsid w:val="009D7B6F"/>
    <w:rsid w:val="009E3A78"/>
    <w:rsid w:val="009E3A7B"/>
    <w:rsid w:val="009E73DF"/>
    <w:rsid w:val="009F0008"/>
    <w:rsid w:val="009F04D0"/>
    <w:rsid w:val="009F0AB3"/>
    <w:rsid w:val="009F59C0"/>
    <w:rsid w:val="009F5BC1"/>
    <w:rsid w:val="00A056CA"/>
    <w:rsid w:val="00A06D7E"/>
    <w:rsid w:val="00A13B06"/>
    <w:rsid w:val="00A154A2"/>
    <w:rsid w:val="00A15715"/>
    <w:rsid w:val="00A161CD"/>
    <w:rsid w:val="00A162FE"/>
    <w:rsid w:val="00A166DD"/>
    <w:rsid w:val="00A203CA"/>
    <w:rsid w:val="00A212C7"/>
    <w:rsid w:val="00A21A5A"/>
    <w:rsid w:val="00A23A7C"/>
    <w:rsid w:val="00A254F9"/>
    <w:rsid w:val="00A2679B"/>
    <w:rsid w:val="00A32AF3"/>
    <w:rsid w:val="00A37C07"/>
    <w:rsid w:val="00A41994"/>
    <w:rsid w:val="00A44FB7"/>
    <w:rsid w:val="00A45E8C"/>
    <w:rsid w:val="00A505D2"/>
    <w:rsid w:val="00A52726"/>
    <w:rsid w:val="00A53C99"/>
    <w:rsid w:val="00A54683"/>
    <w:rsid w:val="00A60808"/>
    <w:rsid w:val="00A62135"/>
    <w:rsid w:val="00A6545F"/>
    <w:rsid w:val="00A66E5F"/>
    <w:rsid w:val="00A677CB"/>
    <w:rsid w:val="00A67DA6"/>
    <w:rsid w:val="00A72EC2"/>
    <w:rsid w:val="00A742A7"/>
    <w:rsid w:val="00A7435D"/>
    <w:rsid w:val="00A76E72"/>
    <w:rsid w:val="00A77805"/>
    <w:rsid w:val="00A80F70"/>
    <w:rsid w:val="00A83266"/>
    <w:rsid w:val="00A834FC"/>
    <w:rsid w:val="00A845DE"/>
    <w:rsid w:val="00A87530"/>
    <w:rsid w:val="00A924E4"/>
    <w:rsid w:val="00AA421E"/>
    <w:rsid w:val="00AA427E"/>
    <w:rsid w:val="00AA5550"/>
    <w:rsid w:val="00AA735C"/>
    <w:rsid w:val="00AA7CE9"/>
    <w:rsid w:val="00AB7AF2"/>
    <w:rsid w:val="00AC1745"/>
    <w:rsid w:val="00AC3FC5"/>
    <w:rsid w:val="00AC42AC"/>
    <w:rsid w:val="00AC5A10"/>
    <w:rsid w:val="00AD18CF"/>
    <w:rsid w:val="00AD3B62"/>
    <w:rsid w:val="00AE4171"/>
    <w:rsid w:val="00AE4A17"/>
    <w:rsid w:val="00AE6ABD"/>
    <w:rsid w:val="00AE6DBE"/>
    <w:rsid w:val="00AF6733"/>
    <w:rsid w:val="00AF73D1"/>
    <w:rsid w:val="00AF7784"/>
    <w:rsid w:val="00B00F85"/>
    <w:rsid w:val="00B01410"/>
    <w:rsid w:val="00B037AF"/>
    <w:rsid w:val="00B0398D"/>
    <w:rsid w:val="00B06585"/>
    <w:rsid w:val="00B10000"/>
    <w:rsid w:val="00B140AE"/>
    <w:rsid w:val="00B1762A"/>
    <w:rsid w:val="00B21FBC"/>
    <w:rsid w:val="00B24C73"/>
    <w:rsid w:val="00B24D62"/>
    <w:rsid w:val="00B27A21"/>
    <w:rsid w:val="00B3180C"/>
    <w:rsid w:val="00B33A94"/>
    <w:rsid w:val="00B33B4E"/>
    <w:rsid w:val="00B35046"/>
    <w:rsid w:val="00B36302"/>
    <w:rsid w:val="00B36F04"/>
    <w:rsid w:val="00B37489"/>
    <w:rsid w:val="00B47874"/>
    <w:rsid w:val="00B53586"/>
    <w:rsid w:val="00B54726"/>
    <w:rsid w:val="00B62B2E"/>
    <w:rsid w:val="00B63AC6"/>
    <w:rsid w:val="00B6694F"/>
    <w:rsid w:val="00B67691"/>
    <w:rsid w:val="00B7120A"/>
    <w:rsid w:val="00B71AB2"/>
    <w:rsid w:val="00B774CB"/>
    <w:rsid w:val="00B802A9"/>
    <w:rsid w:val="00B81719"/>
    <w:rsid w:val="00B821A9"/>
    <w:rsid w:val="00B82AC0"/>
    <w:rsid w:val="00B834DB"/>
    <w:rsid w:val="00B85CE9"/>
    <w:rsid w:val="00B864EF"/>
    <w:rsid w:val="00B901CC"/>
    <w:rsid w:val="00B93424"/>
    <w:rsid w:val="00B9464F"/>
    <w:rsid w:val="00B954B9"/>
    <w:rsid w:val="00B96B05"/>
    <w:rsid w:val="00BA01FF"/>
    <w:rsid w:val="00BA67CE"/>
    <w:rsid w:val="00BA6A91"/>
    <w:rsid w:val="00BB38E2"/>
    <w:rsid w:val="00BB461D"/>
    <w:rsid w:val="00BB5CDC"/>
    <w:rsid w:val="00BB5D53"/>
    <w:rsid w:val="00BB7555"/>
    <w:rsid w:val="00BC4B17"/>
    <w:rsid w:val="00BC62A9"/>
    <w:rsid w:val="00BC6F9C"/>
    <w:rsid w:val="00BD0930"/>
    <w:rsid w:val="00BD10D8"/>
    <w:rsid w:val="00BD16DC"/>
    <w:rsid w:val="00BD391E"/>
    <w:rsid w:val="00BD577A"/>
    <w:rsid w:val="00BD5871"/>
    <w:rsid w:val="00BD72B6"/>
    <w:rsid w:val="00BD7E19"/>
    <w:rsid w:val="00BE087A"/>
    <w:rsid w:val="00BE2C01"/>
    <w:rsid w:val="00BE2D15"/>
    <w:rsid w:val="00BE3214"/>
    <w:rsid w:val="00BE4D64"/>
    <w:rsid w:val="00BF0C28"/>
    <w:rsid w:val="00BF20D2"/>
    <w:rsid w:val="00BF4167"/>
    <w:rsid w:val="00BF49D1"/>
    <w:rsid w:val="00C02FF7"/>
    <w:rsid w:val="00C04483"/>
    <w:rsid w:val="00C04D07"/>
    <w:rsid w:val="00C13400"/>
    <w:rsid w:val="00C163AE"/>
    <w:rsid w:val="00C1727C"/>
    <w:rsid w:val="00C202CD"/>
    <w:rsid w:val="00C209B8"/>
    <w:rsid w:val="00C22C7C"/>
    <w:rsid w:val="00C23EBA"/>
    <w:rsid w:val="00C24B8C"/>
    <w:rsid w:val="00C30031"/>
    <w:rsid w:val="00C3467D"/>
    <w:rsid w:val="00C349A4"/>
    <w:rsid w:val="00C35DE8"/>
    <w:rsid w:val="00C36DFE"/>
    <w:rsid w:val="00C374F2"/>
    <w:rsid w:val="00C37F7B"/>
    <w:rsid w:val="00C40B7E"/>
    <w:rsid w:val="00C40E9C"/>
    <w:rsid w:val="00C411E5"/>
    <w:rsid w:val="00C41ED1"/>
    <w:rsid w:val="00C42CE9"/>
    <w:rsid w:val="00C449F6"/>
    <w:rsid w:val="00C45F3C"/>
    <w:rsid w:val="00C470EA"/>
    <w:rsid w:val="00C47A8C"/>
    <w:rsid w:val="00C50AB2"/>
    <w:rsid w:val="00C52B69"/>
    <w:rsid w:val="00C55441"/>
    <w:rsid w:val="00C572E9"/>
    <w:rsid w:val="00C60F63"/>
    <w:rsid w:val="00C62ABC"/>
    <w:rsid w:val="00C7205C"/>
    <w:rsid w:val="00C74913"/>
    <w:rsid w:val="00C806CE"/>
    <w:rsid w:val="00C86862"/>
    <w:rsid w:val="00C86AC8"/>
    <w:rsid w:val="00C874F7"/>
    <w:rsid w:val="00C87510"/>
    <w:rsid w:val="00C8768D"/>
    <w:rsid w:val="00C90F36"/>
    <w:rsid w:val="00C94C01"/>
    <w:rsid w:val="00C9545B"/>
    <w:rsid w:val="00C95E13"/>
    <w:rsid w:val="00C97CE8"/>
    <w:rsid w:val="00CA080F"/>
    <w:rsid w:val="00CA0BC4"/>
    <w:rsid w:val="00CA1DE9"/>
    <w:rsid w:val="00CA44B3"/>
    <w:rsid w:val="00CA6F9B"/>
    <w:rsid w:val="00CA7B06"/>
    <w:rsid w:val="00CB1148"/>
    <w:rsid w:val="00CB122D"/>
    <w:rsid w:val="00CB16EB"/>
    <w:rsid w:val="00CB1BC1"/>
    <w:rsid w:val="00CB222E"/>
    <w:rsid w:val="00CB335B"/>
    <w:rsid w:val="00CB4014"/>
    <w:rsid w:val="00CB45F2"/>
    <w:rsid w:val="00CB4A78"/>
    <w:rsid w:val="00CB63E7"/>
    <w:rsid w:val="00CC0557"/>
    <w:rsid w:val="00CC2902"/>
    <w:rsid w:val="00CC3F9C"/>
    <w:rsid w:val="00CC47E8"/>
    <w:rsid w:val="00CD30CB"/>
    <w:rsid w:val="00CD61CA"/>
    <w:rsid w:val="00CD7C89"/>
    <w:rsid w:val="00CE01AE"/>
    <w:rsid w:val="00CE3A4A"/>
    <w:rsid w:val="00CF1497"/>
    <w:rsid w:val="00CF2615"/>
    <w:rsid w:val="00CF2DF0"/>
    <w:rsid w:val="00CF76E8"/>
    <w:rsid w:val="00D000F8"/>
    <w:rsid w:val="00D052E9"/>
    <w:rsid w:val="00D05CB1"/>
    <w:rsid w:val="00D06160"/>
    <w:rsid w:val="00D110F3"/>
    <w:rsid w:val="00D15231"/>
    <w:rsid w:val="00D17A47"/>
    <w:rsid w:val="00D202CC"/>
    <w:rsid w:val="00D20515"/>
    <w:rsid w:val="00D27F88"/>
    <w:rsid w:val="00D34F1B"/>
    <w:rsid w:val="00D3632C"/>
    <w:rsid w:val="00D42D8C"/>
    <w:rsid w:val="00D4319D"/>
    <w:rsid w:val="00D43478"/>
    <w:rsid w:val="00D4777D"/>
    <w:rsid w:val="00D50513"/>
    <w:rsid w:val="00D506B1"/>
    <w:rsid w:val="00D511F2"/>
    <w:rsid w:val="00D541DF"/>
    <w:rsid w:val="00D555E5"/>
    <w:rsid w:val="00D62785"/>
    <w:rsid w:val="00D64055"/>
    <w:rsid w:val="00D6583D"/>
    <w:rsid w:val="00D65C5B"/>
    <w:rsid w:val="00D66F57"/>
    <w:rsid w:val="00D671D5"/>
    <w:rsid w:val="00D70DC7"/>
    <w:rsid w:val="00D718F8"/>
    <w:rsid w:val="00D72A21"/>
    <w:rsid w:val="00D734FD"/>
    <w:rsid w:val="00D74AA8"/>
    <w:rsid w:val="00D74EB1"/>
    <w:rsid w:val="00D7627F"/>
    <w:rsid w:val="00D82286"/>
    <w:rsid w:val="00D84D48"/>
    <w:rsid w:val="00D85186"/>
    <w:rsid w:val="00D94B8F"/>
    <w:rsid w:val="00D95EC8"/>
    <w:rsid w:val="00DA0029"/>
    <w:rsid w:val="00DA2762"/>
    <w:rsid w:val="00DA286B"/>
    <w:rsid w:val="00DA547F"/>
    <w:rsid w:val="00DA56E0"/>
    <w:rsid w:val="00DB0CF0"/>
    <w:rsid w:val="00DB0D85"/>
    <w:rsid w:val="00DB0F86"/>
    <w:rsid w:val="00DB496D"/>
    <w:rsid w:val="00DB4C05"/>
    <w:rsid w:val="00DB69CC"/>
    <w:rsid w:val="00DB7D1B"/>
    <w:rsid w:val="00DC36A1"/>
    <w:rsid w:val="00DC64F5"/>
    <w:rsid w:val="00DD0781"/>
    <w:rsid w:val="00DD17DA"/>
    <w:rsid w:val="00DD4E34"/>
    <w:rsid w:val="00DD5E87"/>
    <w:rsid w:val="00DE5267"/>
    <w:rsid w:val="00DE55C4"/>
    <w:rsid w:val="00DE67B2"/>
    <w:rsid w:val="00DE7145"/>
    <w:rsid w:val="00DE7565"/>
    <w:rsid w:val="00DF0896"/>
    <w:rsid w:val="00DF122A"/>
    <w:rsid w:val="00DF58E9"/>
    <w:rsid w:val="00DF73D4"/>
    <w:rsid w:val="00E000D3"/>
    <w:rsid w:val="00E00DD3"/>
    <w:rsid w:val="00E00EFE"/>
    <w:rsid w:val="00E01D70"/>
    <w:rsid w:val="00E027FB"/>
    <w:rsid w:val="00E02B7C"/>
    <w:rsid w:val="00E0408E"/>
    <w:rsid w:val="00E063DA"/>
    <w:rsid w:val="00E066F2"/>
    <w:rsid w:val="00E1126A"/>
    <w:rsid w:val="00E12FA2"/>
    <w:rsid w:val="00E204CD"/>
    <w:rsid w:val="00E2143C"/>
    <w:rsid w:val="00E22D2D"/>
    <w:rsid w:val="00E22E9F"/>
    <w:rsid w:val="00E24567"/>
    <w:rsid w:val="00E266FF"/>
    <w:rsid w:val="00E26F2A"/>
    <w:rsid w:val="00E32F50"/>
    <w:rsid w:val="00E34731"/>
    <w:rsid w:val="00E35D2B"/>
    <w:rsid w:val="00E367B7"/>
    <w:rsid w:val="00E36993"/>
    <w:rsid w:val="00E40189"/>
    <w:rsid w:val="00E43103"/>
    <w:rsid w:val="00E440CB"/>
    <w:rsid w:val="00E5085C"/>
    <w:rsid w:val="00E51C7C"/>
    <w:rsid w:val="00E52315"/>
    <w:rsid w:val="00E52908"/>
    <w:rsid w:val="00E534CE"/>
    <w:rsid w:val="00E53FD1"/>
    <w:rsid w:val="00E55457"/>
    <w:rsid w:val="00E55D6F"/>
    <w:rsid w:val="00E560F3"/>
    <w:rsid w:val="00E603DA"/>
    <w:rsid w:val="00E61406"/>
    <w:rsid w:val="00E618DE"/>
    <w:rsid w:val="00E61E14"/>
    <w:rsid w:val="00E62088"/>
    <w:rsid w:val="00E626CE"/>
    <w:rsid w:val="00E6416C"/>
    <w:rsid w:val="00E64E19"/>
    <w:rsid w:val="00E64F61"/>
    <w:rsid w:val="00E675D6"/>
    <w:rsid w:val="00E71CAE"/>
    <w:rsid w:val="00E72898"/>
    <w:rsid w:val="00E7350C"/>
    <w:rsid w:val="00E74790"/>
    <w:rsid w:val="00E81D40"/>
    <w:rsid w:val="00E84629"/>
    <w:rsid w:val="00E86859"/>
    <w:rsid w:val="00E97FCC"/>
    <w:rsid w:val="00EA0BAA"/>
    <w:rsid w:val="00EA434E"/>
    <w:rsid w:val="00EA5560"/>
    <w:rsid w:val="00EA68E0"/>
    <w:rsid w:val="00EA71FE"/>
    <w:rsid w:val="00EA74CF"/>
    <w:rsid w:val="00EC528D"/>
    <w:rsid w:val="00EC5325"/>
    <w:rsid w:val="00EC5A59"/>
    <w:rsid w:val="00ED2B76"/>
    <w:rsid w:val="00ED2C45"/>
    <w:rsid w:val="00ED343C"/>
    <w:rsid w:val="00ED5130"/>
    <w:rsid w:val="00ED792D"/>
    <w:rsid w:val="00ED7FCF"/>
    <w:rsid w:val="00EE0093"/>
    <w:rsid w:val="00EE0682"/>
    <w:rsid w:val="00EE0B93"/>
    <w:rsid w:val="00EE70D1"/>
    <w:rsid w:val="00EF0C15"/>
    <w:rsid w:val="00EF0D70"/>
    <w:rsid w:val="00EF1F23"/>
    <w:rsid w:val="00EF3207"/>
    <w:rsid w:val="00F00011"/>
    <w:rsid w:val="00F00ED7"/>
    <w:rsid w:val="00F02AAE"/>
    <w:rsid w:val="00F0312B"/>
    <w:rsid w:val="00F04368"/>
    <w:rsid w:val="00F05498"/>
    <w:rsid w:val="00F07D8D"/>
    <w:rsid w:val="00F10BBD"/>
    <w:rsid w:val="00F110A0"/>
    <w:rsid w:val="00F11123"/>
    <w:rsid w:val="00F153D5"/>
    <w:rsid w:val="00F16449"/>
    <w:rsid w:val="00F218DD"/>
    <w:rsid w:val="00F30632"/>
    <w:rsid w:val="00F31624"/>
    <w:rsid w:val="00F35D40"/>
    <w:rsid w:val="00F361BE"/>
    <w:rsid w:val="00F36E3A"/>
    <w:rsid w:val="00F42AF0"/>
    <w:rsid w:val="00F4631A"/>
    <w:rsid w:val="00F5045F"/>
    <w:rsid w:val="00F51FF0"/>
    <w:rsid w:val="00F536A4"/>
    <w:rsid w:val="00F53BFA"/>
    <w:rsid w:val="00F55033"/>
    <w:rsid w:val="00F559B1"/>
    <w:rsid w:val="00F57D4F"/>
    <w:rsid w:val="00F60041"/>
    <w:rsid w:val="00F66A4F"/>
    <w:rsid w:val="00F66F82"/>
    <w:rsid w:val="00F67F4E"/>
    <w:rsid w:val="00F71A0A"/>
    <w:rsid w:val="00F7391D"/>
    <w:rsid w:val="00F73B44"/>
    <w:rsid w:val="00F76BDD"/>
    <w:rsid w:val="00F82FDB"/>
    <w:rsid w:val="00F831EA"/>
    <w:rsid w:val="00F93A2D"/>
    <w:rsid w:val="00F93FBA"/>
    <w:rsid w:val="00F96854"/>
    <w:rsid w:val="00F97FCA"/>
    <w:rsid w:val="00FA1002"/>
    <w:rsid w:val="00FA1E05"/>
    <w:rsid w:val="00FA1EFB"/>
    <w:rsid w:val="00FB0667"/>
    <w:rsid w:val="00FB39E5"/>
    <w:rsid w:val="00FB6619"/>
    <w:rsid w:val="00FC0FA2"/>
    <w:rsid w:val="00FC199A"/>
    <w:rsid w:val="00FC2404"/>
    <w:rsid w:val="00FC4753"/>
    <w:rsid w:val="00FC4B8D"/>
    <w:rsid w:val="00FC5C93"/>
    <w:rsid w:val="00FC5D84"/>
    <w:rsid w:val="00FC6E5F"/>
    <w:rsid w:val="00FD030A"/>
    <w:rsid w:val="00FD528C"/>
    <w:rsid w:val="00FD597D"/>
    <w:rsid w:val="00FE4D52"/>
    <w:rsid w:val="00FF042E"/>
    <w:rsid w:val="00FF074C"/>
    <w:rsid w:val="00FF1B2A"/>
    <w:rsid w:val="00FF2A99"/>
    <w:rsid w:val="00FF2ADD"/>
    <w:rsid w:val="00FF3582"/>
    <w:rsid w:val="00FF40FC"/>
    <w:rsid w:val="00FF4DA5"/>
    <w:rsid w:val="00FF4FB8"/>
    <w:rsid w:val="00FF50B9"/>
    <w:rsid w:val="00FF691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96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6147"/>
    <w:pPr>
      <w:widowControl w:val="0"/>
      <w:jc w:val="both"/>
    </w:pPr>
  </w:style>
  <w:style w:type="paragraph" w:styleId="1">
    <w:name w:val="heading 1"/>
    <w:aliases w:val="小标题"/>
    <w:basedOn w:val="a"/>
    <w:next w:val="a"/>
    <w:link w:val="1Char"/>
    <w:autoRedefine/>
    <w:uiPriority w:val="9"/>
    <w:rsid w:val="00A21A5A"/>
    <w:pPr>
      <w:keepNext/>
      <w:keepLines/>
      <w:widowControl/>
      <w:numPr>
        <w:numId w:val="6"/>
      </w:numPr>
      <w:spacing w:before="100" w:beforeAutospacing="1" w:afterLines="50"/>
      <w:ind w:leftChars="1200" w:left="1200"/>
      <w:outlineLvl w:val="0"/>
    </w:pPr>
    <w:rPr>
      <w:rFonts w:ascii="Calibri" w:eastAsia="华文楷体" w:hAnsi="Calibri" w:cs="Times New Roman"/>
      <w:b/>
      <w:bCs/>
      <w:kern w:val="44"/>
      <w:sz w:val="28"/>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100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10000"/>
    <w:rPr>
      <w:sz w:val="18"/>
      <w:szCs w:val="18"/>
    </w:rPr>
  </w:style>
  <w:style w:type="paragraph" w:styleId="a4">
    <w:name w:val="footer"/>
    <w:basedOn w:val="a"/>
    <w:link w:val="Char0"/>
    <w:uiPriority w:val="99"/>
    <w:unhideWhenUsed/>
    <w:rsid w:val="00B10000"/>
    <w:pPr>
      <w:tabs>
        <w:tab w:val="center" w:pos="4153"/>
        <w:tab w:val="right" w:pos="8306"/>
      </w:tabs>
      <w:snapToGrid w:val="0"/>
      <w:jc w:val="left"/>
    </w:pPr>
    <w:rPr>
      <w:sz w:val="18"/>
      <w:szCs w:val="18"/>
    </w:rPr>
  </w:style>
  <w:style w:type="character" w:customStyle="1" w:styleId="Char0">
    <w:name w:val="页脚 Char"/>
    <w:basedOn w:val="a0"/>
    <w:link w:val="a4"/>
    <w:uiPriority w:val="99"/>
    <w:rsid w:val="00B10000"/>
    <w:rPr>
      <w:sz w:val="18"/>
      <w:szCs w:val="18"/>
    </w:rPr>
  </w:style>
  <w:style w:type="paragraph" w:customStyle="1" w:styleId="a5">
    <w:name w:val="页眉报告名称"/>
    <w:link w:val="Char1"/>
    <w:autoRedefine/>
    <w:qFormat/>
    <w:rsid w:val="00B10000"/>
    <w:pPr>
      <w:spacing w:afterLines="100" w:line="240" w:lineRule="exact"/>
      <w:jc w:val="both"/>
    </w:pPr>
    <w:rPr>
      <w:rFonts w:ascii="Calibri" w:eastAsia="华文新魏" w:hAnsi="Calibri" w:cs="Times New Roman"/>
      <w:sz w:val="24"/>
    </w:rPr>
  </w:style>
  <w:style w:type="character" w:customStyle="1" w:styleId="Char1">
    <w:name w:val="页眉报告名称 Char"/>
    <w:basedOn w:val="a0"/>
    <w:link w:val="a5"/>
    <w:rsid w:val="00B10000"/>
    <w:rPr>
      <w:rFonts w:ascii="Calibri" w:eastAsia="华文新魏" w:hAnsi="Calibri" w:cs="Times New Roman"/>
      <w:sz w:val="24"/>
    </w:rPr>
  </w:style>
  <w:style w:type="paragraph" w:customStyle="1" w:styleId="a6">
    <w:name w:val="页眉图片"/>
    <w:basedOn w:val="a3"/>
    <w:link w:val="Char2"/>
    <w:qFormat/>
    <w:rsid w:val="00B10000"/>
    <w:pPr>
      <w:pBdr>
        <w:bottom w:val="none" w:sz="0" w:space="0" w:color="auto"/>
      </w:pBdr>
      <w:tabs>
        <w:tab w:val="clear" w:pos="4153"/>
        <w:tab w:val="clear" w:pos="8306"/>
        <w:tab w:val="right" w:pos="11424"/>
      </w:tabs>
      <w:jc w:val="left"/>
    </w:pPr>
    <w:rPr>
      <w:rFonts w:ascii="Calibri" w:eastAsia="宋体" w:hAnsi="Calibri" w:cs="Times New Roman"/>
      <w:noProof/>
    </w:rPr>
  </w:style>
  <w:style w:type="character" w:customStyle="1" w:styleId="Char2">
    <w:name w:val="页眉图片 Char"/>
    <w:basedOn w:val="Char"/>
    <w:link w:val="a6"/>
    <w:rsid w:val="00B10000"/>
    <w:rPr>
      <w:rFonts w:ascii="Calibri" w:eastAsia="宋体" w:hAnsi="Calibri" w:cs="Times New Roman"/>
      <w:noProof/>
    </w:rPr>
  </w:style>
  <w:style w:type="paragraph" w:customStyle="1" w:styleId="a7">
    <w:name w:val="页眉处日期"/>
    <w:basedOn w:val="a"/>
    <w:link w:val="Char3"/>
    <w:qFormat/>
    <w:rsid w:val="00B10000"/>
    <w:pPr>
      <w:tabs>
        <w:tab w:val="right" w:pos="11424"/>
      </w:tabs>
      <w:snapToGrid w:val="0"/>
      <w:jc w:val="left"/>
    </w:pPr>
    <w:rPr>
      <w:rFonts w:ascii="华文隶书" w:eastAsia="华文隶书" w:hAnsi="Calibri" w:cs="Times New Roman"/>
      <w:b/>
      <w:sz w:val="24"/>
      <w:szCs w:val="24"/>
    </w:rPr>
  </w:style>
  <w:style w:type="paragraph" w:customStyle="1" w:styleId="a8">
    <w:name w:val="页眉副标题"/>
    <w:basedOn w:val="a"/>
    <w:link w:val="Char4"/>
    <w:qFormat/>
    <w:rsid w:val="00B10000"/>
    <w:pPr>
      <w:tabs>
        <w:tab w:val="right" w:pos="11424"/>
      </w:tabs>
      <w:snapToGrid w:val="0"/>
      <w:jc w:val="left"/>
    </w:pPr>
    <w:rPr>
      <w:rFonts w:ascii="华文隶书" w:eastAsia="华文隶书" w:hAnsi="Calibri" w:cs="Times New Roman"/>
      <w:sz w:val="36"/>
      <w:szCs w:val="36"/>
    </w:rPr>
  </w:style>
  <w:style w:type="character" w:customStyle="1" w:styleId="Char3">
    <w:name w:val="页眉处日期 Char"/>
    <w:basedOn w:val="a0"/>
    <w:link w:val="a7"/>
    <w:rsid w:val="00B10000"/>
    <w:rPr>
      <w:rFonts w:ascii="华文隶书" w:eastAsia="华文隶书" w:hAnsi="Calibri" w:cs="Times New Roman"/>
      <w:b/>
      <w:sz w:val="24"/>
      <w:szCs w:val="24"/>
    </w:rPr>
  </w:style>
  <w:style w:type="character" w:customStyle="1" w:styleId="Char4">
    <w:name w:val="页眉副标题 Char"/>
    <w:basedOn w:val="a0"/>
    <w:link w:val="a8"/>
    <w:rsid w:val="00B10000"/>
    <w:rPr>
      <w:rFonts w:ascii="华文隶书" w:eastAsia="华文隶书" w:hAnsi="Calibri" w:cs="Times New Roman"/>
      <w:sz w:val="36"/>
      <w:szCs w:val="36"/>
    </w:rPr>
  </w:style>
  <w:style w:type="paragraph" w:customStyle="1" w:styleId="a9">
    <w:name w:val="页眉的分析师"/>
    <w:basedOn w:val="a"/>
    <w:link w:val="Char5"/>
    <w:qFormat/>
    <w:rsid w:val="00B10000"/>
    <w:pPr>
      <w:tabs>
        <w:tab w:val="right" w:pos="11424"/>
      </w:tabs>
      <w:snapToGrid w:val="0"/>
      <w:spacing w:line="240" w:lineRule="exact"/>
      <w:jc w:val="right"/>
    </w:pPr>
    <w:rPr>
      <w:rFonts w:ascii="华文新魏" w:eastAsia="华文新魏" w:hAnsi="Calibri" w:cs="Times New Roman"/>
      <w:szCs w:val="21"/>
    </w:rPr>
  </w:style>
  <w:style w:type="character" w:customStyle="1" w:styleId="Char5">
    <w:name w:val="页眉的分析师 Char"/>
    <w:basedOn w:val="a0"/>
    <w:link w:val="a9"/>
    <w:rsid w:val="00B10000"/>
    <w:rPr>
      <w:rFonts w:ascii="华文新魏" w:eastAsia="华文新魏" w:hAnsi="Calibri" w:cs="Times New Roman"/>
      <w:szCs w:val="21"/>
    </w:rPr>
  </w:style>
  <w:style w:type="paragraph" w:customStyle="1" w:styleId="12">
    <w:name w:val="页眉12"/>
    <w:basedOn w:val="a3"/>
    <w:link w:val="12Char"/>
    <w:qFormat/>
    <w:rsid w:val="00B10000"/>
    <w:pPr>
      <w:pBdr>
        <w:bottom w:val="none" w:sz="0" w:space="0" w:color="auto"/>
      </w:pBdr>
      <w:tabs>
        <w:tab w:val="clear" w:pos="4153"/>
        <w:tab w:val="clear" w:pos="8306"/>
        <w:tab w:val="right" w:pos="11424"/>
      </w:tabs>
      <w:jc w:val="left"/>
    </w:pPr>
    <w:rPr>
      <w:rFonts w:ascii="Calibri" w:eastAsia="宋体" w:hAnsi="Calibri" w:cs="Times New Roman"/>
    </w:rPr>
  </w:style>
  <w:style w:type="character" w:customStyle="1" w:styleId="12Char">
    <w:name w:val="页眉12 Char"/>
    <w:basedOn w:val="Char"/>
    <w:link w:val="12"/>
    <w:rsid w:val="00B10000"/>
    <w:rPr>
      <w:rFonts w:ascii="Calibri" w:eastAsia="宋体" w:hAnsi="Calibri" w:cs="Times New Roman"/>
    </w:rPr>
  </w:style>
  <w:style w:type="paragraph" w:customStyle="1" w:styleId="2">
    <w:name w:val="页眉副标题2"/>
    <w:basedOn w:val="12"/>
    <w:link w:val="2Char"/>
    <w:qFormat/>
    <w:rsid w:val="00B10000"/>
    <w:pPr>
      <w:jc w:val="right"/>
    </w:pPr>
    <w:rPr>
      <w:rFonts w:ascii="华文隶书" w:eastAsia="华文隶书"/>
      <w:sz w:val="21"/>
      <w:szCs w:val="21"/>
    </w:rPr>
  </w:style>
  <w:style w:type="character" w:customStyle="1" w:styleId="2Char">
    <w:name w:val="页眉副标题2 Char"/>
    <w:basedOn w:val="12Char"/>
    <w:link w:val="2"/>
    <w:rsid w:val="00B10000"/>
    <w:rPr>
      <w:rFonts w:ascii="华文隶书" w:eastAsia="华文隶书"/>
      <w:szCs w:val="21"/>
    </w:rPr>
  </w:style>
  <w:style w:type="paragraph" w:customStyle="1" w:styleId="aa">
    <w:name w:val="特别声明格式"/>
    <w:basedOn w:val="a"/>
    <w:link w:val="Char6"/>
    <w:qFormat/>
    <w:rsid w:val="00B10000"/>
    <w:pPr>
      <w:spacing w:afterLines="100" w:line="240" w:lineRule="exact"/>
    </w:pPr>
    <w:rPr>
      <w:rFonts w:ascii="华文隶书" w:eastAsia="华文隶书" w:hAnsi="Calibri" w:cs="Times New Roman"/>
      <w:sz w:val="28"/>
    </w:rPr>
  </w:style>
  <w:style w:type="character" w:customStyle="1" w:styleId="Char6">
    <w:name w:val="特别声明格式 Char"/>
    <w:basedOn w:val="a0"/>
    <w:link w:val="aa"/>
    <w:rsid w:val="00B10000"/>
    <w:rPr>
      <w:rFonts w:ascii="华文隶书" w:eastAsia="华文隶书" w:hAnsi="Calibri" w:cs="Times New Roman"/>
      <w:sz w:val="28"/>
    </w:rPr>
  </w:style>
  <w:style w:type="paragraph" w:styleId="ab">
    <w:name w:val="Body Text"/>
    <w:basedOn w:val="a"/>
    <w:link w:val="Char7"/>
    <w:rsid w:val="00B10000"/>
    <w:pPr>
      <w:widowControl/>
      <w:spacing w:after="120" w:line="240" w:lineRule="exact"/>
      <w:ind w:left="3402"/>
    </w:pPr>
    <w:rPr>
      <w:rFonts w:ascii="Arial" w:eastAsia="楷体_GB2312" w:hAnsi="Arial" w:cs="Times New Roman"/>
      <w:color w:val="000000"/>
      <w:kern w:val="0"/>
      <w:szCs w:val="20"/>
      <w:lang w:val="en-GB"/>
    </w:rPr>
  </w:style>
  <w:style w:type="character" w:customStyle="1" w:styleId="Char7">
    <w:name w:val="正文文本 Char"/>
    <w:basedOn w:val="a0"/>
    <w:link w:val="ab"/>
    <w:rsid w:val="00B10000"/>
    <w:rPr>
      <w:rFonts w:ascii="Arial" w:eastAsia="楷体_GB2312" w:hAnsi="Arial" w:cs="Times New Roman"/>
      <w:color w:val="000000"/>
      <w:kern w:val="0"/>
      <w:szCs w:val="20"/>
      <w:lang w:val="en-GB"/>
    </w:rPr>
  </w:style>
  <w:style w:type="paragraph" w:customStyle="1" w:styleId="FootnoteNoline">
    <w:name w:val="FootnoteNoline"/>
    <w:basedOn w:val="a"/>
    <w:next w:val="ab"/>
    <w:rsid w:val="008840A4"/>
    <w:pPr>
      <w:widowControl/>
      <w:tabs>
        <w:tab w:val="right" w:pos="10065"/>
      </w:tabs>
      <w:spacing w:before="40" w:after="160"/>
      <w:ind w:left="3402"/>
    </w:pPr>
    <w:rPr>
      <w:rFonts w:ascii="Arial" w:eastAsia="楷体_GB2312" w:hAnsi="Arial" w:cs="Arial"/>
      <w:color w:val="003765"/>
      <w:kern w:val="0"/>
      <w:sz w:val="15"/>
      <w:szCs w:val="14"/>
      <w:lang w:val="en-GB"/>
    </w:rPr>
  </w:style>
  <w:style w:type="paragraph" w:customStyle="1" w:styleId="SubTitleLargeTable">
    <w:name w:val="SubTitleLargeTable"/>
    <w:rsid w:val="008840A4"/>
    <w:pPr>
      <w:keepNext/>
      <w:pBdr>
        <w:top w:val="single" w:sz="6" w:space="1" w:color="666699"/>
      </w:pBdr>
      <w:suppressAutoHyphens/>
      <w:spacing w:after="40" w:line="240" w:lineRule="atLeast"/>
    </w:pPr>
    <w:rPr>
      <w:rFonts w:ascii="Arial" w:eastAsia="楷体_GB2312" w:hAnsi="Arial" w:cs="Arial"/>
      <w:b/>
      <w:bCs/>
      <w:i/>
      <w:iCs/>
      <w:color w:val="003765"/>
      <w:kern w:val="0"/>
      <w:szCs w:val="21"/>
      <w:lang w:val="en-GB"/>
    </w:rPr>
  </w:style>
  <w:style w:type="paragraph" w:styleId="ac">
    <w:name w:val="Balloon Text"/>
    <w:basedOn w:val="a"/>
    <w:link w:val="Char8"/>
    <w:uiPriority w:val="99"/>
    <w:semiHidden/>
    <w:unhideWhenUsed/>
    <w:rsid w:val="008840A4"/>
    <w:rPr>
      <w:sz w:val="18"/>
      <w:szCs w:val="18"/>
    </w:rPr>
  </w:style>
  <w:style w:type="character" w:customStyle="1" w:styleId="Char8">
    <w:name w:val="批注框文本 Char"/>
    <w:basedOn w:val="a0"/>
    <w:link w:val="ac"/>
    <w:uiPriority w:val="99"/>
    <w:semiHidden/>
    <w:rsid w:val="008840A4"/>
    <w:rPr>
      <w:sz w:val="18"/>
      <w:szCs w:val="18"/>
    </w:rPr>
  </w:style>
  <w:style w:type="paragraph" w:customStyle="1" w:styleId="CoverBullet">
    <w:name w:val="Cover Bullet"/>
    <w:rsid w:val="008840A4"/>
    <w:pPr>
      <w:numPr>
        <w:numId w:val="3"/>
      </w:numPr>
      <w:spacing w:before="120" w:after="120"/>
      <w:ind w:left="357" w:hanging="357"/>
    </w:pPr>
    <w:rPr>
      <w:rFonts w:ascii="LucidaSans" w:eastAsia="宋体" w:hAnsi="LucidaSans" w:cs="Times New Roman"/>
      <w:b/>
      <w:bCs/>
      <w:kern w:val="0"/>
      <w:sz w:val="20"/>
      <w:szCs w:val="20"/>
      <w:lang w:val="en-GB"/>
    </w:rPr>
  </w:style>
  <w:style w:type="paragraph" w:styleId="ad">
    <w:name w:val="List Paragraph"/>
    <w:basedOn w:val="a"/>
    <w:uiPriority w:val="34"/>
    <w:qFormat/>
    <w:rsid w:val="00026FF9"/>
    <w:pPr>
      <w:ind w:firstLineChars="200" w:firstLine="420"/>
    </w:pPr>
  </w:style>
  <w:style w:type="paragraph" w:customStyle="1" w:styleId="SourceLarge">
    <w:name w:val="SourceLarge"/>
    <w:rsid w:val="00611ADA"/>
    <w:pPr>
      <w:tabs>
        <w:tab w:val="left" w:pos="5216"/>
        <w:tab w:val="right" w:pos="9866"/>
      </w:tabs>
      <w:suppressAutoHyphens/>
      <w:spacing w:line="160" w:lineRule="atLeast"/>
    </w:pPr>
    <w:rPr>
      <w:rFonts w:ascii="LucidaSans" w:eastAsia="宋体" w:hAnsi="LucidaSans" w:cs="Times New Roman"/>
      <w:kern w:val="0"/>
      <w:sz w:val="12"/>
      <w:szCs w:val="12"/>
      <w:lang w:val="en-GB"/>
    </w:rPr>
  </w:style>
  <w:style w:type="paragraph" w:customStyle="1" w:styleId="BulletCoverpage">
    <w:name w:val="Bullet Cover page"/>
    <w:basedOn w:val="a"/>
    <w:rsid w:val="00611ADA"/>
    <w:pPr>
      <w:widowControl/>
      <w:numPr>
        <w:numId w:val="4"/>
      </w:numPr>
      <w:suppressAutoHyphens/>
      <w:spacing w:after="200" w:line="240" w:lineRule="atLeast"/>
    </w:pPr>
    <w:rPr>
      <w:rFonts w:ascii="Arial" w:eastAsia="楷体_GB2312" w:hAnsi="Arial" w:cs="Times New Roman"/>
      <w:kern w:val="0"/>
      <w:sz w:val="18"/>
      <w:szCs w:val="20"/>
      <w:lang w:val="en-GB"/>
    </w:rPr>
  </w:style>
  <w:style w:type="paragraph" w:customStyle="1" w:styleId="10">
    <w:name w:val="模板标题1"/>
    <w:basedOn w:val="a"/>
    <w:next w:val="ab"/>
    <w:rsid w:val="00611ADA"/>
    <w:pPr>
      <w:widowControl/>
      <w:spacing w:after="240" w:line="300" w:lineRule="exact"/>
      <w:ind w:left="3402"/>
      <w:outlineLvl w:val="0"/>
    </w:pPr>
    <w:rPr>
      <w:rFonts w:ascii="Arial" w:eastAsia="楷体_GB2312" w:hAnsi="Arial" w:cs="Times New Roman"/>
      <w:b/>
      <w:bCs/>
      <w:color w:val="01659D"/>
      <w:kern w:val="0"/>
      <w:sz w:val="24"/>
      <w:szCs w:val="20"/>
      <w:lang w:val="en-GB"/>
    </w:rPr>
  </w:style>
  <w:style w:type="character" w:customStyle="1" w:styleId="1Char">
    <w:name w:val="标题 1 Char"/>
    <w:aliases w:val="小标题 Char"/>
    <w:basedOn w:val="a0"/>
    <w:link w:val="1"/>
    <w:uiPriority w:val="9"/>
    <w:rsid w:val="00A21A5A"/>
    <w:rPr>
      <w:rFonts w:ascii="Calibri" w:eastAsia="华文楷体" w:hAnsi="Calibri" w:cs="Times New Roman"/>
      <w:b/>
      <w:bCs/>
      <w:kern w:val="44"/>
      <w:sz w:val="28"/>
      <w:szCs w:val="44"/>
    </w:rPr>
  </w:style>
  <w:style w:type="paragraph" w:customStyle="1" w:styleId="ae">
    <w:name w:val="正文内容"/>
    <w:basedOn w:val="ab"/>
    <w:link w:val="Char9"/>
    <w:qFormat/>
    <w:rsid w:val="00A21A5A"/>
    <w:pPr>
      <w:tabs>
        <w:tab w:val="num" w:pos="3799"/>
      </w:tabs>
      <w:spacing w:after="163"/>
      <w:ind w:left="3799" w:hanging="369"/>
    </w:pPr>
    <w:rPr>
      <w:rFonts w:ascii="KaiTi_GB2312" w:eastAsia="KaiTi_GB2312" w:hAnsi="KaiTi_GB2312"/>
      <w:color w:val="auto"/>
    </w:rPr>
  </w:style>
  <w:style w:type="character" w:customStyle="1" w:styleId="Char9">
    <w:name w:val="正文内容 Char"/>
    <w:basedOn w:val="Char7"/>
    <w:link w:val="ae"/>
    <w:rsid w:val="00A21A5A"/>
    <w:rPr>
      <w:rFonts w:ascii="KaiTi_GB2312" w:eastAsia="KaiTi_GB2312" w:hAnsi="KaiTi_GB2312"/>
    </w:rPr>
  </w:style>
  <w:style w:type="paragraph" w:customStyle="1" w:styleId="af">
    <w:name w:val="正文小标题"/>
    <w:basedOn w:val="ab"/>
    <w:link w:val="Chara"/>
    <w:qFormat/>
    <w:rsid w:val="00A21A5A"/>
    <w:pPr>
      <w:spacing w:after="0"/>
    </w:pPr>
    <w:rPr>
      <w:rFonts w:ascii="KaiTi_GB2312" w:eastAsia="KaiTi_GB2312" w:hAnsi="KaiTi_GB2312"/>
      <w:b/>
      <w:bCs/>
      <w:color w:val="0070C0"/>
      <w:szCs w:val="21"/>
      <w:lang w:val="en-US"/>
    </w:rPr>
  </w:style>
  <w:style w:type="character" w:customStyle="1" w:styleId="Chara">
    <w:name w:val="正文小标题 Char"/>
    <w:basedOn w:val="Char7"/>
    <w:link w:val="af"/>
    <w:rsid w:val="00A21A5A"/>
    <w:rPr>
      <w:rFonts w:ascii="KaiTi_GB2312" w:eastAsia="KaiTi_GB2312" w:hAnsi="KaiTi_GB2312"/>
      <w:b/>
      <w:bCs/>
      <w:color w:val="0070C0"/>
      <w:szCs w:val="21"/>
    </w:rPr>
  </w:style>
</w:styles>
</file>

<file path=word/webSettings.xml><?xml version="1.0" encoding="utf-8"?>
<w:webSettings xmlns:r="http://schemas.openxmlformats.org/officeDocument/2006/relationships" xmlns:w="http://schemas.openxmlformats.org/wordprocessingml/2006/main">
  <w:divs>
    <w:div w:id="79252905">
      <w:bodyDiv w:val="1"/>
      <w:marLeft w:val="0"/>
      <w:marRight w:val="0"/>
      <w:marTop w:val="0"/>
      <w:marBottom w:val="0"/>
      <w:divBdr>
        <w:top w:val="none" w:sz="0" w:space="0" w:color="auto"/>
        <w:left w:val="none" w:sz="0" w:space="0" w:color="auto"/>
        <w:bottom w:val="none" w:sz="0" w:space="0" w:color="auto"/>
        <w:right w:val="none" w:sz="0" w:space="0" w:color="auto"/>
      </w:divBdr>
    </w:div>
    <w:div w:id="243884882">
      <w:bodyDiv w:val="1"/>
      <w:marLeft w:val="0"/>
      <w:marRight w:val="0"/>
      <w:marTop w:val="0"/>
      <w:marBottom w:val="0"/>
      <w:divBdr>
        <w:top w:val="none" w:sz="0" w:space="0" w:color="auto"/>
        <w:left w:val="none" w:sz="0" w:space="0" w:color="auto"/>
        <w:bottom w:val="none" w:sz="0" w:space="0" w:color="auto"/>
        <w:right w:val="none" w:sz="0" w:space="0" w:color="auto"/>
      </w:divBdr>
    </w:div>
    <w:div w:id="248659411">
      <w:bodyDiv w:val="1"/>
      <w:marLeft w:val="0"/>
      <w:marRight w:val="0"/>
      <w:marTop w:val="0"/>
      <w:marBottom w:val="0"/>
      <w:divBdr>
        <w:top w:val="none" w:sz="0" w:space="0" w:color="auto"/>
        <w:left w:val="none" w:sz="0" w:space="0" w:color="auto"/>
        <w:bottom w:val="none" w:sz="0" w:space="0" w:color="auto"/>
        <w:right w:val="none" w:sz="0" w:space="0" w:color="auto"/>
      </w:divBdr>
    </w:div>
    <w:div w:id="559219093">
      <w:bodyDiv w:val="1"/>
      <w:marLeft w:val="0"/>
      <w:marRight w:val="0"/>
      <w:marTop w:val="0"/>
      <w:marBottom w:val="0"/>
      <w:divBdr>
        <w:top w:val="none" w:sz="0" w:space="0" w:color="auto"/>
        <w:left w:val="none" w:sz="0" w:space="0" w:color="auto"/>
        <w:bottom w:val="none" w:sz="0" w:space="0" w:color="auto"/>
        <w:right w:val="none" w:sz="0" w:space="0" w:color="auto"/>
      </w:divBdr>
    </w:div>
    <w:div w:id="601257260">
      <w:bodyDiv w:val="1"/>
      <w:marLeft w:val="0"/>
      <w:marRight w:val="0"/>
      <w:marTop w:val="0"/>
      <w:marBottom w:val="0"/>
      <w:divBdr>
        <w:top w:val="none" w:sz="0" w:space="0" w:color="auto"/>
        <w:left w:val="none" w:sz="0" w:space="0" w:color="auto"/>
        <w:bottom w:val="none" w:sz="0" w:space="0" w:color="auto"/>
        <w:right w:val="none" w:sz="0" w:space="0" w:color="auto"/>
      </w:divBdr>
      <w:divsChild>
        <w:div w:id="2011905416">
          <w:marLeft w:val="0"/>
          <w:marRight w:val="0"/>
          <w:marTop w:val="0"/>
          <w:marBottom w:val="0"/>
          <w:divBdr>
            <w:top w:val="none" w:sz="0" w:space="0" w:color="auto"/>
            <w:left w:val="none" w:sz="0" w:space="0" w:color="auto"/>
            <w:bottom w:val="none" w:sz="0" w:space="0" w:color="auto"/>
            <w:right w:val="none" w:sz="0" w:space="0" w:color="auto"/>
          </w:divBdr>
          <w:divsChild>
            <w:div w:id="255401419">
              <w:marLeft w:val="0"/>
              <w:marRight w:val="0"/>
              <w:marTop w:val="0"/>
              <w:marBottom w:val="0"/>
              <w:divBdr>
                <w:top w:val="none" w:sz="0" w:space="0" w:color="auto"/>
                <w:left w:val="none" w:sz="0" w:space="0" w:color="auto"/>
                <w:bottom w:val="none" w:sz="0" w:space="0" w:color="auto"/>
                <w:right w:val="none" w:sz="0" w:space="0" w:color="auto"/>
              </w:divBdr>
              <w:divsChild>
                <w:div w:id="974914978">
                  <w:marLeft w:val="0"/>
                  <w:marRight w:val="0"/>
                  <w:marTop w:val="0"/>
                  <w:marBottom w:val="0"/>
                  <w:divBdr>
                    <w:top w:val="none" w:sz="0" w:space="0" w:color="auto"/>
                    <w:left w:val="none" w:sz="0" w:space="0" w:color="auto"/>
                    <w:bottom w:val="none" w:sz="0" w:space="0" w:color="auto"/>
                    <w:right w:val="none" w:sz="0" w:space="0" w:color="auto"/>
                  </w:divBdr>
                  <w:divsChild>
                    <w:div w:id="1207177769">
                      <w:marLeft w:val="0"/>
                      <w:marRight w:val="0"/>
                      <w:marTop w:val="0"/>
                      <w:marBottom w:val="0"/>
                      <w:divBdr>
                        <w:top w:val="single" w:sz="6" w:space="15" w:color="C0D8F2"/>
                        <w:left w:val="single" w:sz="6" w:space="18" w:color="C0D8F2"/>
                        <w:bottom w:val="single" w:sz="6" w:space="11" w:color="C0D8F2"/>
                        <w:right w:val="single" w:sz="6" w:space="18" w:color="C0D8F2"/>
                      </w:divBdr>
                      <w:divsChild>
                        <w:div w:id="1184706618">
                          <w:marLeft w:val="0"/>
                          <w:marRight w:val="0"/>
                          <w:marTop w:val="0"/>
                          <w:marBottom w:val="0"/>
                          <w:divBdr>
                            <w:top w:val="none" w:sz="0" w:space="0" w:color="auto"/>
                            <w:left w:val="none" w:sz="0" w:space="0" w:color="auto"/>
                            <w:bottom w:val="none" w:sz="0" w:space="0" w:color="auto"/>
                            <w:right w:val="none" w:sz="0" w:space="0" w:color="auto"/>
                          </w:divBdr>
                          <w:divsChild>
                            <w:div w:id="1941528648">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9317137">
      <w:bodyDiv w:val="1"/>
      <w:marLeft w:val="0"/>
      <w:marRight w:val="0"/>
      <w:marTop w:val="0"/>
      <w:marBottom w:val="0"/>
      <w:divBdr>
        <w:top w:val="none" w:sz="0" w:space="0" w:color="auto"/>
        <w:left w:val="none" w:sz="0" w:space="0" w:color="auto"/>
        <w:bottom w:val="none" w:sz="0" w:space="0" w:color="auto"/>
        <w:right w:val="none" w:sz="0" w:space="0" w:color="auto"/>
      </w:divBdr>
      <w:divsChild>
        <w:div w:id="1379472824">
          <w:marLeft w:val="0"/>
          <w:marRight w:val="0"/>
          <w:marTop w:val="0"/>
          <w:marBottom w:val="0"/>
          <w:divBdr>
            <w:top w:val="none" w:sz="0" w:space="0" w:color="auto"/>
            <w:left w:val="none" w:sz="0" w:space="0" w:color="auto"/>
            <w:bottom w:val="none" w:sz="0" w:space="0" w:color="auto"/>
            <w:right w:val="none" w:sz="0" w:space="0" w:color="auto"/>
          </w:divBdr>
          <w:divsChild>
            <w:div w:id="1166746732">
              <w:marLeft w:val="0"/>
              <w:marRight w:val="0"/>
              <w:marTop w:val="0"/>
              <w:marBottom w:val="0"/>
              <w:divBdr>
                <w:top w:val="none" w:sz="0" w:space="0" w:color="auto"/>
                <w:left w:val="none" w:sz="0" w:space="0" w:color="auto"/>
                <w:bottom w:val="none" w:sz="0" w:space="0" w:color="auto"/>
                <w:right w:val="none" w:sz="0" w:space="0" w:color="auto"/>
              </w:divBdr>
              <w:divsChild>
                <w:div w:id="1463496432">
                  <w:marLeft w:val="0"/>
                  <w:marRight w:val="0"/>
                  <w:marTop w:val="0"/>
                  <w:marBottom w:val="0"/>
                  <w:divBdr>
                    <w:top w:val="none" w:sz="0" w:space="0" w:color="auto"/>
                    <w:left w:val="none" w:sz="0" w:space="0" w:color="auto"/>
                    <w:bottom w:val="none" w:sz="0" w:space="0" w:color="auto"/>
                    <w:right w:val="none" w:sz="0" w:space="0" w:color="auto"/>
                  </w:divBdr>
                  <w:divsChild>
                    <w:div w:id="1975794104">
                      <w:marLeft w:val="0"/>
                      <w:marRight w:val="0"/>
                      <w:marTop w:val="0"/>
                      <w:marBottom w:val="0"/>
                      <w:divBdr>
                        <w:top w:val="single" w:sz="6" w:space="15" w:color="C0D8F2"/>
                        <w:left w:val="single" w:sz="6" w:space="18" w:color="C0D8F2"/>
                        <w:bottom w:val="single" w:sz="6" w:space="11" w:color="C0D8F2"/>
                        <w:right w:val="single" w:sz="6" w:space="18" w:color="C0D8F2"/>
                      </w:divBdr>
                      <w:divsChild>
                        <w:div w:id="1851261992">
                          <w:marLeft w:val="0"/>
                          <w:marRight w:val="0"/>
                          <w:marTop w:val="0"/>
                          <w:marBottom w:val="0"/>
                          <w:divBdr>
                            <w:top w:val="none" w:sz="0" w:space="0" w:color="auto"/>
                            <w:left w:val="none" w:sz="0" w:space="0" w:color="auto"/>
                            <w:bottom w:val="none" w:sz="0" w:space="0" w:color="auto"/>
                            <w:right w:val="none" w:sz="0" w:space="0" w:color="auto"/>
                          </w:divBdr>
                          <w:divsChild>
                            <w:div w:id="1980837417">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163558">
      <w:bodyDiv w:val="1"/>
      <w:marLeft w:val="0"/>
      <w:marRight w:val="0"/>
      <w:marTop w:val="0"/>
      <w:marBottom w:val="0"/>
      <w:divBdr>
        <w:top w:val="none" w:sz="0" w:space="0" w:color="auto"/>
        <w:left w:val="none" w:sz="0" w:space="0" w:color="auto"/>
        <w:bottom w:val="none" w:sz="0" w:space="0" w:color="auto"/>
        <w:right w:val="none" w:sz="0" w:space="0" w:color="auto"/>
      </w:divBdr>
    </w:div>
    <w:div w:id="1056390977">
      <w:bodyDiv w:val="1"/>
      <w:marLeft w:val="0"/>
      <w:marRight w:val="0"/>
      <w:marTop w:val="0"/>
      <w:marBottom w:val="0"/>
      <w:divBdr>
        <w:top w:val="none" w:sz="0" w:space="0" w:color="auto"/>
        <w:left w:val="none" w:sz="0" w:space="0" w:color="auto"/>
        <w:bottom w:val="none" w:sz="0" w:space="0" w:color="auto"/>
        <w:right w:val="none" w:sz="0" w:space="0" w:color="auto"/>
      </w:divBdr>
    </w:div>
    <w:div w:id="1065955747">
      <w:bodyDiv w:val="1"/>
      <w:marLeft w:val="0"/>
      <w:marRight w:val="0"/>
      <w:marTop w:val="0"/>
      <w:marBottom w:val="0"/>
      <w:divBdr>
        <w:top w:val="none" w:sz="0" w:space="0" w:color="auto"/>
        <w:left w:val="none" w:sz="0" w:space="0" w:color="auto"/>
        <w:bottom w:val="none" w:sz="0" w:space="0" w:color="auto"/>
        <w:right w:val="none" w:sz="0" w:space="0" w:color="auto"/>
      </w:divBdr>
    </w:div>
    <w:div w:id="1148937163">
      <w:bodyDiv w:val="1"/>
      <w:marLeft w:val="0"/>
      <w:marRight w:val="0"/>
      <w:marTop w:val="0"/>
      <w:marBottom w:val="0"/>
      <w:divBdr>
        <w:top w:val="none" w:sz="0" w:space="0" w:color="auto"/>
        <w:left w:val="none" w:sz="0" w:space="0" w:color="auto"/>
        <w:bottom w:val="none" w:sz="0" w:space="0" w:color="auto"/>
        <w:right w:val="none" w:sz="0" w:space="0" w:color="auto"/>
      </w:divBdr>
    </w:div>
    <w:div w:id="1602030967">
      <w:bodyDiv w:val="1"/>
      <w:marLeft w:val="0"/>
      <w:marRight w:val="0"/>
      <w:marTop w:val="0"/>
      <w:marBottom w:val="0"/>
      <w:divBdr>
        <w:top w:val="none" w:sz="0" w:space="0" w:color="auto"/>
        <w:left w:val="none" w:sz="0" w:space="0" w:color="auto"/>
        <w:bottom w:val="none" w:sz="0" w:space="0" w:color="auto"/>
        <w:right w:val="none" w:sz="0" w:space="0" w:color="auto"/>
      </w:divBdr>
    </w:div>
    <w:div w:id="1669484494">
      <w:bodyDiv w:val="1"/>
      <w:marLeft w:val="0"/>
      <w:marRight w:val="0"/>
      <w:marTop w:val="0"/>
      <w:marBottom w:val="0"/>
      <w:divBdr>
        <w:top w:val="none" w:sz="0" w:space="0" w:color="auto"/>
        <w:left w:val="none" w:sz="0" w:space="0" w:color="auto"/>
        <w:bottom w:val="none" w:sz="0" w:space="0" w:color="auto"/>
        <w:right w:val="none" w:sz="0" w:space="0" w:color="auto"/>
      </w:divBdr>
      <w:divsChild>
        <w:div w:id="1277177972">
          <w:marLeft w:val="0"/>
          <w:marRight w:val="0"/>
          <w:marTop w:val="0"/>
          <w:marBottom w:val="0"/>
          <w:divBdr>
            <w:top w:val="none" w:sz="0" w:space="0" w:color="auto"/>
            <w:left w:val="none" w:sz="0" w:space="0" w:color="auto"/>
            <w:bottom w:val="none" w:sz="0" w:space="0" w:color="auto"/>
            <w:right w:val="none" w:sz="0" w:space="0" w:color="auto"/>
          </w:divBdr>
          <w:divsChild>
            <w:div w:id="1895850209">
              <w:marLeft w:val="0"/>
              <w:marRight w:val="0"/>
              <w:marTop w:val="0"/>
              <w:marBottom w:val="0"/>
              <w:divBdr>
                <w:top w:val="none" w:sz="0" w:space="0" w:color="auto"/>
                <w:left w:val="none" w:sz="0" w:space="0" w:color="auto"/>
                <w:bottom w:val="none" w:sz="0" w:space="0" w:color="auto"/>
                <w:right w:val="none" w:sz="0" w:space="0" w:color="auto"/>
              </w:divBdr>
              <w:divsChild>
                <w:div w:id="343552880">
                  <w:marLeft w:val="0"/>
                  <w:marRight w:val="0"/>
                  <w:marTop w:val="0"/>
                  <w:marBottom w:val="0"/>
                  <w:divBdr>
                    <w:top w:val="none" w:sz="0" w:space="0" w:color="auto"/>
                    <w:left w:val="none" w:sz="0" w:space="0" w:color="auto"/>
                    <w:bottom w:val="none" w:sz="0" w:space="0" w:color="auto"/>
                    <w:right w:val="none" w:sz="0" w:space="0" w:color="auto"/>
                  </w:divBdr>
                  <w:divsChild>
                    <w:div w:id="1863351402">
                      <w:marLeft w:val="0"/>
                      <w:marRight w:val="0"/>
                      <w:marTop w:val="0"/>
                      <w:marBottom w:val="0"/>
                      <w:divBdr>
                        <w:top w:val="single" w:sz="6" w:space="15" w:color="C0D8F2"/>
                        <w:left w:val="single" w:sz="6" w:space="18" w:color="C0D8F2"/>
                        <w:bottom w:val="single" w:sz="6" w:space="11" w:color="C0D8F2"/>
                        <w:right w:val="single" w:sz="6" w:space="18" w:color="C0D8F2"/>
                      </w:divBdr>
                      <w:divsChild>
                        <w:div w:id="317079519">
                          <w:marLeft w:val="0"/>
                          <w:marRight w:val="0"/>
                          <w:marTop w:val="0"/>
                          <w:marBottom w:val="0"/>
                          <w:divBdr>
                            <w:top w:val="none" w:sz="0" w:space="0" w:color="auto"/>
                            <w:left w:val="none" w:sz="0" w:space="0" w:color="auto"/>
                            <w:bottom w:val="none" w:sz="0" w:space="0" w:color="auto"/>
                            <w:right w:val="none" w:sz="0" w:space="0" w:color="auto"/>
                          </w:divBdr>
                          <w:divsChild>
                            <w:div w:id="557741438">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032795">
      <w:bodyDiv w:val="1"/>
      <w:marLeft w:val="0"/>
      <w:marRight w:val="0"/>
      <w:marTop w:val="0"/>
      <w:marBottom w:val="0"/>
      <w:divBdr>
        <w:top w:val="none" w:sz="0" w:space="0" w:color="auto"/>
        <w:left w:val="none" w:sz="0" w:space="0" w:color="auto"/>
        <w:bottom w:val="none" w:sz="0" w:space="0" w:color="auto"/>
        <w:right w:val="none" w:sz="0" w:space="0" w:color="auto"/>
      </w:divBdr>
    </w:div>
    <w:div w:id="1937983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E4F8DF-7B43-45D0-8DC0-04B9DB048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5348</TotalTime>
  <Pages>5</Pages>
  <Words>902</Words>
  <Characters>5142</Characters>
  <Application>Microsoft Office Word</Application>
  <DocSecurity>0</DocSecurity>
  <Lines>42</Lines>
  <Paragraphs>12</Paragraphs>
  <ScaleCrop>false</ScaleCrop>
  <Company/>
  <LinksUpToDate>false</LinksUpToDate>
  <CharactersWithSpaces>6032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shanghai vstone</dc:creator>
  <cp:lastModifiedBy>shanghai vstone</cp:lastModifiedBy>
  <cp:revision>967</cp:revision>
  <dcterms:created xsi:type="dcterms:W3CDTF">2013-11-22T08:48:00Z</dcterms:created>
  <dcterms:modified xsi:type="dcterms:W3CDTF">2014-06-10T01:22:00Z</dcterms:modified>
</cp:coreProperties>
</file>