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806"/>
        <w:tblW w:w="4113" w:type="dxa"/>
        <w:shd w:val="clear" w:color="auto" w:fill="E0E0E0"/>
        <w:tblLayout w:type="fixed"/>
        <w:tblLook w:val="01E0"/>
      </w:tblPr>
      <w:tblGrid>
        <w:gridCol w:w="534"/>
        <w:gridCol w:w="519"/>
        <w:gridCol w:w="1035"/>
        <w:gridCol w:w="1800"/>
        <w:gridCol w:w="225"/>
      </w:tblGrid>
      <w:tr w:rsidR="00BE3940" w:rsidRPr="00F57D27">
        <w:trPr>
          <w:gridAfter w:val="1"/>
          <w:wAfter w:w="225" w:type="dxa"/>
          <w:trHeight w:val="284"/>
        </w:trPr>
        <w:tc>
          <w:tcPr>
            <w:tcW w:w="534" w:type="dxa"/>
          </w:tcPr>
          <w:p w:rsidR="00BE3940" w:rsidRPr="00F57D27" w:rsidRDefault="00A422E1" w:rsidP="00BE3940">
            <w:pPr>
              <w:rPr>
                <w:rFonts w:eastAsia="楷体_GB2312"/>
                <w:b/>
                <w:color w:val="003366"/>
                <w:sz w:val="24"/>
              </w:rPr>
            </w:pPr>
            <w:r>
              <w:rPr>
                <w:rFonts w:eastAsia="楷体_GB2312" w:hint="eastAsia"/>
                <w:b/>
                <w:color w:val="003366"/>
                <w:sz w:val="24"/>
              </w:rPr>
              <w:t>给你</w:t>
            </w:r>
          </w:p>
        </w:tc>
        <w:tc>
          <w:tcPr>
            <w:tcW w:w="1554" w:type="dxa"/>
            <w:gridSpan w:val="2"/>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1800" w:type="dxa"/>
            <w:vAlign w:val="center"/>
          </w:tcPr>
          <w:p w:rsidR="00BE3940" w:rsidRPr="00F57D27" w:rsidRDefault="000865D2" w:rsidP="00BE3940">
            <w:pPr>
              <w:rPr>
                <w:rFonts w:eastAsia="楷体_GB2312"/>
                <w:b/>
                <w:color w:val="003366"/>
                <w:sz w:val="24"/>
              </w:rPr>
            </w:pPr>
            <w:r w:rsidRPr="000865D2">
              <w:rPr>
                <w:rFonts w:ascii="黑体" w:eastAsia="黑体" w:hAnsi="宋体"/>
                <w:b/>
                <w:noProof/>
                <w:color w:val="003366"/>
                <w:sz w:val="24"/>
              </w:rPr>
              <w:pict>
                <v:shapetype id="_x0000_t202" coordsize="21600,21600" o:spt="202" path="m,l,21600r21600,l21600,xe">
                  <v:stroke joinstyle="miter"/>
                  <v:path gradientshapeok="t" o:connecttype="rect"/>
                </v:shapetype>
                <v:shape id="_x0000_s1033" type="#_x0000_t202" style="position:absolute;left:0;text-align:left;margin-left:66.6pt;margin-top:-.05pt;width:428.4pt;height:31.2pt;z-index:251657728;mso-position-horizontal-relative:text;mso-position-vertical-relative:text" fillcolor="#f00000" stroked="f">
                  <v:textbox style="mso-next-textbox:#_x0000_s1033">
                    <w:txbxContent>
                      <w:p w:rsidR="004B0295" w:rsidRPr="00FC770C" w:rsidRDefault="004B0295" w:rsidP="00BE3940">
                        <w:pPr>
                          <w:ind w:firstLine="281"/>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FC770C">
                          <w:rPr>
                            <w:rFonts w:ascii="楷体_GB2312" w:eastAsia="楷体_GB2312" w:hAnsi="宋体-18030" w:cs="宋体-18030" w:hint="eastAsia"/>
                            <w:b/>
                            <w:color w:val="FFFFFF"/>
                            <w:sz w:val="28"/>
                            <w:szCs w:val="28"/>
                          </w:rPr>
                          <w:t>证券投资基金研究报告/ 基金策略</w:t>
                        </w:r>
                      </w:p>
                    </w:txbxContent>
                  </v:textbox>
                </v:shape>
              </w:pict>
            </w:r>
          </w:p>
        </w:tc>
      </w:tr>
      <w:tr w:rsidR="00BE3940" w:rsidRPr="00F57D27">
        <w:trPr>
          <w:gridAfter w:val="1"/>
          <w:wAfter w:w="225" w:type="dxa"/>
          <w:trHeight w:val="284"/>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vAlign w:val="center"/>
          </w:tcPr>
          <w:p w:rsidR="00BE3940" w:rsidRPr="00F57D27" w:rsidRDefault="00BE3940" w:rsidP="00BE3940">
            <w:pPr>
              <w:rPr>
                <w:rFonts w:eastAsia="楷体_GB2312"/>
                <w:b/>
                <w:color w:val="003366"/>
                <w:sz w:val="24"/>
              </w:rPr>
            </w:pPr>
          </w:p>
        </w:tc>
      </w:tr>
      <w:tr w:rsidR="00BE3940" w:rsidRPr="00F57D27">
        <w:trPr>
          <w:gridAfter w:val="1"/>
          <w:wAfter w:w="225" w:type="dxa"/>
          <w:trHeight w:val="284"/>
        </w:trPr>
        <w:tc>
          <w:tcPr>
            <w:tcW w:w="534" w:type="dxa"/>
            <w:shd w:val="clear" w:color="auto" w:fill="CDD7FA"/>
          </w:tcPr>
          <w:p w:rsidR="00BE3940" w:rsidRPr="00F57D27" w:rsidRDefault="00632D04" w:rsidP="00BE3940">
            <w:pPr>
              <w:rPr>
                <w:rFonts w:eastAsia="楷体_GB2312"/>
                <w:b/>
                <w:color w:val="003366"/>
                <w:sz w:val="24"/>
              </w:rPr>
            </w:pPr>
            <w:r>
              <w:rPr>
                <w:rFonts w:eastAsia="楷体_GB2312" w:hint="eastAsia"/>
                <w:noProof/>
                <w:sz w:val="24"/>
              </w:rPr>
              <w:drawing>
                <wp:anchor distT="0" distB="0" distL="114300" distR="114300" simplePos="0" relativeHeight="251658752" behindDoc="0" locked="0" layoutInCell="1" allowOverlap="1">
                  <wp:simplePos x="0" y="0"/>
                  <wp:positionH relativeFrom="column">
                    <wp:posOffset>226695</wp:posOffset>
                  </wp:positionH>
                  <wp:positionV relativeFrom="paragraph">
                    <wp:posOffset>-3810</wp:posOffset>
                  </wp:positionV>
                  <wp:extent cx="1714500" cy="814705"/>
                  <wp:effectExtent l="0" t="0" r="0" b="0"/>
                  <wp:wrapNone/>
                  <wp:docPr id="11"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714500" cy="814705"/>
                          </a:xfrm>
                          <a:prstGeom prst="rect">
                            <a:avLst/>
                          </a:prstGeom>
                          <a:noFill/>
                          <a:ln w="9525">
                            <a:noFill/>
                            <a:miter lim="800000"/>
                            <a:headEnd/>
                            <a:tailEnd/>
                          </a:ln>
                        </pic:spPr>
                      </pic:pic>
                    </a:graphicData>
                  </a:graphic>
                </wp:anchor>
              </w:drawing>
            </w:r>
          </w:p>
        </w:tc>
        <w:tc>
          <w:tcPr>
            <w:tcW w:w="3354" w:type="dxa"/>
            <w:gridSpan w:val="3"/>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val="94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spacing w:line="360" w:lineRule="auto"/>
              <w:rPr>
                <w:rFonts w:eastAsia="楷体_GB2312"/>
                <w:noProof/>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shd w:val="clear" w:color="auto" w:fill="CDD7FA"/>
          </w:tcPr>
          <w:p w:rsidR="00BE3940" w:rsidRPr="00F57D27" w:rsidRDefault="00BE3940" w:rsidP="00BE3940">
            <w:pPr>
              <w:rPr>
                <w:rFonts w:eastAsia="楷体_GB2312"/>
                <w:b/>
                <w:color w:val="003366"/>
                <w:sz w:val="24"/>
              </w:rPr>
            </w:pPr>
          </w:p>
        </w:tc>
        <w:tc>
          <w:tcPr>
            <w:tcW w:w="519" w:type="dxa"/>
            <w:shd w:val="clear" w:color="auto" w:fill="CDD7FA"/>
          </w:tcPr>
          <w:p w:rsidR="00BE3940" w:rsidRPr="00F57D27" w:rsidRDefault="00BE3940" w:rsidP="00BE3940">
            <w:pPr>
              <w:jc w:val="left"/>
              <w:rPr>
                <w:rFonts w:eastAsia="楷体_GB2312"/>
                <w:b/>
                <w:color w:val="003366"/>
                <w:sz w:val="24"/>
              </w:rPr>
            </w:pPr>
          </w:p>
        </w:tc>
        <w:tc>
          <w:tcPr>
            <w:tcW w:w="2835" w:type="dxa"/>
            <w:gridSpan w:val="2"/>
            <w:shd w:val="clear" w:color="auto" w:fill="CDD7FA"/>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80"/>
        </w:trPr>
        <w:tc>
          <w:tcPr>
            <w:tcW w:w="534" w:type="dxa"/>
            <w:shd w:val="clear" w:color="auto" w:fill="CDD7FA"/>
          </w:tcPr>
          <w:p w:rsidR="00BE3940" w:rsidRPr="00F57D27" w:rsidRDefault="00BE3940" w:rsidP="00BE3940">
            <w:pPr>
              <w:rPr>
                <w:rFonts w:eastAsia="楷体_GB2312"/>
                <w:b/>
                <w:color w:val="003366"/>
                <w:sz w:val="24"/>
              </w:rPr>
            </w:pPr>
          </w:p>
        </w:tc>
        <w:tc>
          <w:tcPr>
            <w:tcW w:w="3354" w:type="dxa"/>
            <w:gridSpan w:val="3"/>
            <w:shd w:val="clear" w:color="auto" w:fill="CDD7FA"/>
          </w:tcPr>
          <w:p w:rsidR="00BE3940" w:rsidRPr="00F57D27" w:rsidRDefault="00BE3940" w:rsidP="00BE3940">
            <w:pPr>
              <w:jc w:val="left"/>
              <w:rPr>
                <w:rFonts w:eastAsia="楷体_GB2312"/>
                <w:b/>
                <w:color w:val="003366"/>
                <w:sz w:val="24"/>
              </w:rPr>
            </w:pPr>
          </w:p>
        </w:tc>
      </w:tr>
      <w:tr w:rsidR="00BE3940" w:rsidRPr="00F57D27">
        <w:trPr>
          <w:trHeight w:hRule="exact" w:val="284"/>
        </w:trPr>
        <w:tc>
          <w:tcPr>
            <w:tcW w:w="534" w:type="dxa"/>
          </w:tcPr>
          <w:p w:rsidR="00BE3940" w:rsidRPr="00F57D27" w:rsidRDefault="00BE3940" w:rsidP="00BE3940">
            <w:pPr>
              <w:rPr>
                <w:rFonts w:eastAsia="楷体_GB2312"/>
                <w:b/>
                <w:color w:val="003366"/>
                <w:sz w:val="24"/>
              </w:rPr>
            </w:pPr>
          </w:p>
        </w:tc>
        <w:tc>
          <w:tcPr>
            <w:tcW w:w="519" w:type="dxa"/>
          </w:tcPr>
          <w:p w:rsidR="00BE3940" w:rsidRPr="00F57D27" w:rsidRDefault="00BE3940" w:rsidP="00BE3940">
            <w:pPr>
              <w:jc w:val="left"/>
              <w:rPr>
                <w:rFonts w:eastAsia="楷体_GB2312"/>
                <w:b/>
                <w:color w:val="003366"/>
                <w:sz w:val="24"/>
              </w:rPr>
            </w:pPr>
          </w:p>
        </w:tc>
        <w:tc>
          <w:tcPr>
            <w:tcW w:w="3060" w:type="dxa"/>
            <w:gridSpan w:val="3"/>
          </w:tcPr>
          <w:p w:rsidR="00BE3940" w:rsidRPr="00F57D27" w:rsidRDefault="00BE3940" w:rsidP="00BE3940">
            <w:pPr>
              <w:rPr>
                <w:rFonts w:eastAsia="楷体_GB2312"/>
                <w:b/>
                <w:color w:val="003366"/>
                <w:sz w:val="24"/>
              </w:rPr>
            </w:pPr>
          </w:p>
        </w:tc>
      </w:tr>
      <w:tr w:rsidR="00BE3940" w:rsidRPr="00F57D27">
        <w:trPr>
          <w:gridAfter w:val="1"/>
          <w:wAfter w:w="225" w:type="dxa"/>
          <w:trHeight w:hRule="exact" w:val="284"/>
        </w:trPr>
        <w:tc>
          <w:tcPr>
            <w:tcW w:w="534" w:type="dxa"/>
          </w:tcPr>
          <w:p w:rsidR="00BE3940" w:rsidRPr="00F57D27" w:rsidRDefault="00BE3940" w:rsidP="00BE3940">
            <w:pPr>
              <w:rPr>
                <w:rFonts w:eastAsia="楷体_GB2312"/>
                <w:b/>
                <w:color w:val="003366"/>
                <w:sz w:val="24"/>
              </w:rPr>
            </w:pPr>
          </w:p>
        </w:tc>
        <w:tc>
          <w:tcPr>
            <w:tcW w:w="3354" w:type="dxa"/>
            <w:gridSpan w:val="3"/>
          </w:tcPr>
          <w:p w:rsidR="00BE3940" w:rsidRPr="00F57D27" w:rsidRDefault="00BE3940" w:rsidP="00BE3940">
            <w:pPr>
              <w:jc w:val="center"/>
              <w:rPr>
                <w:rFonts w:eastAsia="黑体"/>
                <w:color w:val="003366"/>
                <w:sz w:val="24"/>
              </w:rPr>
            </w:pPr>
          </w:p>
        </w:tc>
      </w:tr>
      <w:tr w:rsidR="00BE3940" w:rsidRPr="00F57D27">
        <w:trPr>
          <w:gridAfter w:val="1"/>
          <w:wAfter w:w="225" w:type="dxa"/>
          <w:trHeight w:val="457"/>
        </w:trPr>
        <w:tc>
          <w:tcPr>
            <w:tcW w:w="534" w:type="dxa"/>
          </w:tcPr>
          <w:p w:rsidR="00BE3940" w:rsidRPr="00D82E82" w:rsidRDefault="00BE3940" w:rsidP="00BE3940">
            <w:pPr>
              <w:rPr>
                <w:rFonts w:eastAsia="楷体_GB2312"/>
                <w:b/>
                <w:color w:val="003366"/>
              </w:rPr>
            </w:pPr>
          </w:p>
        </w:tc>
        <w:tc>
          <w:tcPr>
            <w:tcW w:w="3354" w:type="dxa"/>
            <w:gridSpan w:val="3"/>
          </w:tcPr>
          <w:p w:rsidR="00BE3940" w:rsidRPr="00CD7632" w:rsidRDefault="006D7EFB" w:rsidP="00404984">
            <w:pPr>
              <w:spacing w:line="360" w:lineRule="auto"/>
              <w:ind w:left="-288" w:firstLineChars="150" w:firstLine="315"/>
              <w:jc w:val="left"/>
              <w:rPr>
                <w:rFonts w:eastAsia="楷体_GB2312"/>
                <w:color w:val="003366"/>
                <w:szCs w:val="21"/>
              </w:rPr>
            </w:pPr>
            <w:r w:rsidRPr="00CD7632">
              <w:rPr>
                <w:rFonts w:eastAsia="楷体_GB2312" w:hint="eastAsia"/>
                <w:color w:val="003366"/>
                <w:szCs w:val="21"/>
              </w:rPr>
              <w:t>2</w:t>
            </w:r>
            <w:r w:rsidRPr="00CD7632">
              <w:rPr>
                <w:rFonts w:eastAsia="黑体" w:hint="eastAsia"/>
                <w:b/>
                <w:color w:val="003366"/>
                <w:szCs w:val="21"/>
              </w:rPr>
              <w:t>01</w:t>
            </w:r>
            <w:r w:rsidR="007F5689">
              <w:rPr>
                <w:rFonts w:eastAsia="黑体" w:hint="eastAsia"/>
                <w:b/>
                <w:color w:val="003366"/>
                <w:szCs w:val="21"/>
              </w:rPr>
              <w:t>4</w:t>
            </w:r>
            <w:r w:rsidRPr="00CD7632">
              <w:rPr>
                <w:rFonts w:eastAsia="黑体" w:hint="eastAsia"/>
                <w:b/>
                <w:color w:val="003366"/>
                <w:szCs w:val="21"/>
              </w:rPr>
              <w:t>年</w:t>
            </w:r>
            <w:r w:rsidR="00404984">
              <w:rPr>
                <w:rFonts w:eastAsia="黑体" w:hint="eastAsia"/>
                <w:b/>
                <w:color w:val="003366"/>
                <w:szCs w:val="21"/>
              </w:rPr>
              <w:t>4</w:t>
            </w:r>
            <w:r w:rsidR="009B7304" w:rsidRPr="00CD7632">
              <w:rPr>
                <w:rFonts w:eastAsia="黑体" w:hint="eastAsia"/>
                <w:b/>
                <w:color w:val="003366"/>
                <w:szCs w:val="21"/>
              </w:rPr>
              <w:t>月基金业绩</w:t>
            </w:r>
            <w:r w:rsidR="00BE2BA3" w:rsidRPr="00CD7632">
              <w:rPr>
                <w:rFonts w:eastAsia="黑体" w:hint="eastAsia"/>
                <w:b/>
                <w:color w:val="003366"/>
                <w:szCs w:val="21"/>
              </w:rPr>
              <w:t>统计</w:t>
            </w:r>
            <w:r w:rsidR="009B7304" w:rsidRPr="00CD7632">
              <w:rPr>
                <w:rFonts w:eastAsia="黑体" w:hint="eastAsia"/>
                <w:b/>
                <w:color w:val="003366"/>
                <w:szCs w:val="21"/>
              </w:rPr>
              <w:t>分布</w:t>
            </w:r>
          </w:p>
        </w:tc>
      </w:tr>
      <w:tr w:rsidR="00BE3940" w:rsidRPr="00F57D27" w:rsidTr="00DB19F5">
        <w:trPr>
          <w:gridAfter w:val="1"/>
          <w:wAfter w:w="225" w:type="dxa"/>
          <w:trHeight w:val="284"/>
        </w:trPr>
        <w:tc>
          <w:tcPr>
            <w:tcW w:w="534" w:type="dxa"/>
          </w:tcPr>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p w:rsidR="00BE3940" w:rsidRPr="00F57D27" w:rsidRDefault="00BE3940" w:rsidP="00BE3940">
            <w:pPr>
              <w:rPr>
                <w:rFonts w:eastAsia="楷体_GB2312"/>
                <w:b/>
                <w:color w:val="003366"/>
                <w:sz w:val="24"/>
              </w:rPr>
            </w:pPr>
          </w:p>
        </w:tc>
        <w:tc>
          <w:tcPr>
            <w:tcW w:w="3354" w:type="dxa"/>
            <w:gridSpan w:val="3"/>
            <w:vAlign w:val="center"/>
          </w:tcPr>
          <w:p w:rsidR="00BE3940" w:rsidRPr="00CD7632" w:rsidRDefault="00DB19F5" w:rsidP="009F1D47">
            <w:pPr>
              <w:ind w:leftChars="-51" w:rightChars="34" w:right="71" w:hangingChars="51" w:hanging="107"/>
              <w:rPr>
                <w:noProof/>
              </w:rPr>
            </w:pPr>
            <w:r>
              <w:rPr>
                <w:noProof/>
              </w:rPr>
              <w:drawing>
                <wp:inline distT="0" distB="0" distL="0" distR="0">
                  <wp:extent cx="1995805" cy="1550670"/>
                  <wp:effectExtent l="19050" t="0" r="444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95805" cy="1550670"/>
                          </a:xfrm>
                          <a:prstGeom prst="rect">
                            <a:avLst/>
                          </a:prstGeom>
                          <a:noFill/>
                          <a:ln w="9525">
                            <a:noFill/>
                            <a:miter lim="800000"/>
                            <a:headEnd/>
                            <a:tailEnd/>
                          </a:ln>
                        </pic:spPr>
                      </pic:pic>
                    </a:graphicData>
                  </a:graphic>
                </wp:inline>
              </w:drawing>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D82E82" w:rsidRPr="00CD7632" w:rsidRDefault="00CE1D49" w:rsidP="001A459A">
            <w:pPr>
              <w:rPr>
                <w:rFonts w:eastAsia="楷体_GB2312"/>
                <w:color w:val="003366"/>
                <w:sz w:val="18"/>
                <w:szCs w:val="18"/>
              </w:rPr>
            </w:pPr>
            <w:r w:rsidRPr="00CD7632">
              <w:rPr>
                <w:rFonts w:eastAsia="楷体_GB2312" w:hint="eastAsia"/>
                <w:color w:val="003366"/>
                <w:sz w:val="18"/>
                <w:szCs w:val="18"/>
              </w:rPr>
              <w:t>注：不包括结构化份额</w:t>
            </w:r>
          </w:p>
          <w:p w:rsidR="00CE1D49" w:rsidRPr="00CD7632" w:rsidRDefault="00CE1D49" w:rsidP="001A459A">
            <w:pPr>
              <w:rPr>
                <w:rFonts w:eastAsia="楷体_GB2312"/>
                <w:b/>
                <w:color w:val="003366"/>
              </w:rPr>
            </w:pPr>
          </w:p>
          <w:p w:rsidR="00D6400F" w:rsidRPr="00CD7632" w:rsidRDefault="00D6400F" w:rsidP="001A459A">
            <w:pPr>
              <w:rPr>
                <w:rFonts w:eastAsia="楷体_GB2312"/>
                <w:b/>
                <w:color w:val="003366"/>
              </w:rPr>
            </w:pPr>
            <w:r w:rsidRPr="00CD7632">
              <w:rPr>
                <w:rFonts w:eastAsia="楷体_GB2312" w:hint="eastAsia"/>
                <w:b/>
                <w:color w:val="003366"/>
              </w:rPr>
              <w:t>上海证券基金评价研究中心</w:t>
            </w:r>
          </w:p>
          <w:p w:rsidR="001A459A" w:rsidRPr="00CD7632" w:rsidRDefault="00B70D0C" w:rsidP="001A459A">
            <w:pPr>
              <w:rPr>
                <w:rFonts w:eastAsia="楷体_GB2312"/>
                <w:b/>
                <w:color w:val="003366"/>
              </w:rPr>
            </w:pPr>
            <w:r w:rsidRPr="00CD7632">
              <w:rPr>
                <w:rFonts w:eastAsia="楷体_GB2312" w:hint="eastAsia"/>
                <w:b/>
                <w:color w:val="003366"/>
              </w:rPr>
              <w:t>刘亦千</w:t>
            </w:r>
          </w:p>
          <w:p w:rsidR="00661078" w:rsidRPr="00CD7632" w:rsidRDefault="00693B26" w:rsidP="001A459A">
            <w:pPr>
              <w:rPr>
                <w:rFonts w:eastAsia="楷体_GB2312"/>
                <w:color w:val="003366"/>
              </w:rPr>
            </w:pPr>
            <w:r w:rsidRPr="00CD7632">
              <w:rPr>
                <w:rFonts w:eastAsia="楷体_GB2312" w:hint="eastAsia"/>
                <w:color w:val="003366"/>
              </w:rPr>
              <w:t>执业</w:t>
            </w:r>
            <w:r w:rsidR="00661078" w:rsidRPr="00CD7632">
              <w:rPr>
                <w:rFonts w:eastAsia="楷体_GB2312" w:hint="eastAsia"/>
                <w:color w:val="003366"/>
              </w:rPr>
              <w:t>证书编号：</w:t>
            </w:r>
            <w:r w:rsidR="004548AB" w:rsidRPr="00CD7632">
              <w:rPr>
                <w:rFonts w:eastAsia="楷体_GB2312"/>
                <w:b/>
                <w:color w:val="003366"/>
                <w:sz w:val="24"/>
              </w:rPr>
              <w:t>S0870511040001</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1A459A" w:rsidRPr="00D82E82" w:rsidRDefault="001A459A" w:rsidP="00F95DC4">
            <w:pPr>
              <w:rPr>
                <w:rFonts w:eastAsia="楷体_GB2312"/>
                <w:b/>
                <w:color w:val="003366"/>
              </w:rPr>
            </w:pPr>
            <w:r w:rsidRPr="00F95DC4">
              <w:rPr>
                <w:rFonts w:eastAsia="楷体_GB2312"/>
                <w:b/>
                <w:color w:val="003366"/>
                <w:sz w:val="24"/>
              </w:rPr>
              <w:t>021-</w:t>
            </w:r>
            <w:r w:rsidRPr="00F95DC4">
              <w:rPr>
                <w:rFonts w:eastAsia="楷体_GB2312" w:hint="eastAsia"/>
                <w:b/>
                <w:color w:val="003366"/>
                <w:sz w:val="24"/>
              </w:rPr>
              <w:t>53519888</w:t>
            </w:r>
            <w:r w:rsidRPr="00F95DC4">
              <w:rPr>
                <w:rFonts w:hint="eastAsia"/>
              </w:rPr>
              <w:t>-</w:t>
            </w:r>
            <w:r w:rsidRPr="00F95DC4">
              <w:rPr>
                <w:rFonts w:eastAsia="楷体_GB2312" w:hint="eastAsia"/>
                <w:b/>
                <w:color w:val="003366"/>
                <w:sz w:val="24"/>
              </w:rPr>
              <w:t>19</w:t>
            </w:r>
            <w:r w:rsidR="00096A58" w:rsidRPr="00F95DC4">
              <w:rPr>
                <w:rFonts w:eastAsia="楷体_GB2312" w:hint="eastAsia"/>
                <w:b/>
                <w:color w:val="003366"/>
                <w:sz w:val="24"/>
              </w:rPr>
              <w:t>88</w:t>
            </w: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p w:rsidR="00693B26" w:rsidRDefault="00EF283B" w:rsidP="00693B26">
            <w:r w:rsidRPr="00FC770C">
              <w:rPr>
                <w:rFonts w:eastAsia="楷体_GB2312" w:hint="eastAsia"/>
                <w:b/>
                <w:bCs/>
                <w:color w:val="003365"/>
                <w:kern w:val="0"/>
                <w:sz w:val="24"/>
              </w:rPr>
              <w:t>Liuyiqian</w:t>
            </w:r>
            <w:r w:rsidRPr="00FC770C">
              <w:rPr>
                <w:rFonts w:eastAsia="楷体_GB2312"/>
                <w:b/>
                <w:bCs/>
                <w:color w:val="003365"/>
                <w:kern w:val="0"/>
                <w:sz w:val="24"/>
              </w:rPr>
              <w:t>@</w:t>
            </w:r>
            <w:r w:rsidR="00455952">
              <w:rPr>
                <w:rFonts w:eastAsia="楷体_GB2312" w:hint="eastAsia"/>
                <w:b/>
                <w:bCs/>
                <w:color w:val="003365"/>
                <w:kern w:val="0"/>
                <w:sz w:val="24"/>
              </w:rPr>
              <w:t>shzq</w:t>
            </w:r>
            <w:r w:rsidRPr="00FC770C">
              <w:rPr>
                <w:rFonts w:eastAsia="楷体_GB2312"/>
                <w:b/>
                <w:bCs/>
                <w:color w:val="003365"/>
                <w:kern w:val="0"/>
                <w:sz w:val="24"/>
              </w:rPr>
              <w:t>.com</w:t>
            </w:r>
          </w:p>
          <w:p w:rsidR="001A459A" w:rsidRPr="00F57D27" w:rsidRDefault="001A459A" w:rsidP="001A459A">
            <w:pPr>
              <w:rPr>
                <w:rFonts w:eastAsia="楷体_GB2312"/>
                <w:b/>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p w:rsidR="001A459A" w:rsidRPr="00F57D27" w:rsidRDefault="001A459A" w:rsidP="001A459A">
            <w:pPr>
              <w:rPr>
                <w:rFonts w:eastAsia="楷体_GB2312"/>
                <w:b/>
                <w:color w:val="003366"/>
                <w:sz w:val="24"/>
              </w:rPr>
            </w:pPr>
          </w:p>
        </w:tc>
        <w:tc>
          <w:tcPr>
            <w:tcW w:w="3354" w:type="dxa"/>
            <w:gridSpan w:val="3"/>
          </w:tcPr>
          <w:p w:rsidR="001A459A" w:rsidRPr="0077785C" w:rsidRDefault="001A459A" w:rsidP="001A459A">
            <w:pPr>
              <w:rPr>
                <w:rFonts w:eastAsia="楷体_GB2312"/>
                <w:color w:val="003366"/>
                <w:sz w:val="24"/>
              </w:rPr>
            </w:pPr>
          </w:p>
        </w:tc>
      </w:tr>
      <w:tr w:rsidR="001A459A" w:rsidRPr="00F57D27">
        <w:trPr>
          <w:gridAfter w:val="1"/>
          <w:wAfter w:w="225" w:type="dxa"/>
          <w:trHeight w:val="284"/>
        </w:trPr>
        <w:tc>
          <w:tcPr>
            <w:tcW w:w="534" w:type="dxa"/>
          </w:tcPr>
          <w:p w:rsidR="001A459A" w:rsidRPr="00F57D27" w:rsidRDefault="001A459A" w:rsidP="001A459A">
            <w:pPr>
              <w:rPr>
                <w:rFonts w:eastAsia="楷体_GB2312"/>
                <w:b/>
                <w:color w:val="003366"/>
                <w:sz w:val="24"/>
              </w:rPr>
            </w:pPr>
          </w:p>
        </w:tc>
        <w:tc>
          <w:tcPr>
            <w:tcW w:w="3354" w:type="dxa"/>
            <w:gridSpan w:val="3"/>
          </w:tcPr>
          <w:tbl>
            <w:tblPr>
              <w:tblpPr w:leftFromText="180" w:rightFromText="180" w:vertAnchor="text" w:horzAnchor="page" w:tblpX="37" w:tblpY="-2806"/>
              <w:tblW w:w="3888" w:type="dxa"/>
              <w:shd w:val="clear" w:color="auto" w:fill="E0E0E0"/>
              <w:tblLayout w:type="fixed"/>
              <w:tblLook w:val="01E0"/>
            </w:tblPr>
            <w:tblGrid>
              <w:gridCol w:w="3420"/>
              <w:gridCol w:w="468"/>
            </w:tblGrid>
            <w:tr w:rsidR="001A459A" w:rsidRPr="00F57D27">
              <w:trPr>
                <w:trHeight w:hRule="exact" w:val="284"/>
              </w:trPr>
              <w:tc>
                <w:tcPr>
                  <w:tcW w:w="3888" w:type="dxa"/>
                  <w:gridSpan w:val="2"/>
                </w:tcPr>
                <w:p w:rsidR="001A459A" w:rsidRPr="00B21A03" w:rsidRDefault="001A459A" w:rsidP="001A459A">
                  <w:pPr>
                    <w:pStyle w:val="a8"/>
                    <w:rPr>
                      <w:rFonts w:hAnsi="宋体" w:cs="宋体"/>
                    </w:rPr>
                  </w:pPr>
                  <w:r w:rsidRPr="00F57D27">
                    <w:rPr>
                      <w:rFonts w:eastAsia="黑体"/>
                      <w:b/>
                      <w:color w:val="003366"/>
                      <w:sz w:val="24"/>
                    </w:rPr>
                    <w:t>日期</w:t>
                  </w:r>
                  <w:r w:rsidRPr="00F57D27">
                    <w:rPr>
                      <w:rFonts w:eastAsia="黑体" w:hint="eastAsia"/>
                      <w:b/>
                      <w:color w:val="003366"/>
                      <w:sz w:val="24"/>
                    </w:rPr>
                    <w:t>：</w:t>
                  </w:r>
                  <w:r w:rsidRPr="00B21A03">
                    <w:rPr>
                      <w:rFonts w:hAnsi="宋体" w:cs="宋体"/>
                    </w:rPr>
                    <w:t>201</w:t>
                  </w:r>
                  <w:r w:rsidR="007C7F38">
                    <w:rPr>
                      <w:rFonts w:hAnsi="宋体" w:cs="宋体" w:hint="eastAsia"/>
                    </w:rPr>
                    <w:t>4</w:t>
                  </w:r>
                  <w:r w:rsidRPr="00B21A03">
                    <w:rPr>
                      <w:rFonts w:hAnsi="宋体" w:cs="宋体"/>
                    </w:rPr>
                    <w:t>年</w:t>
                  </w:r>
                  <w:r w:rsidR="00553A3F">
                    <w:rPr>
                      <w:rFonts w:hAnsi="宋体" w:cs="宋体" w:hint="eastAsia"/>
                    </w:rPr>
                    <w:t>5</w:t>
                  </w:r>
                  <w:r w:rsidRPr="00B21A03">
                    <w:rPr>
                      <w:rFonts w:hAnsi="宋体" w:cs="宋体"/>
                    </w:rPr>
                    <w:t>月</w:t>
                  </w:r>
                  <w:r w:rsidR="00553A3F">
                    <w:rPr>
                      <w:rFonts w:hAnsi="宋体" w:cs="宋体" w:hint="eastAsia"/>
                    </w:rPr>
                    <w:t>7</w:t>
                  </w:r>
                  <w:r w:rsidRPr="00B21A03">
                    <w:rPr>
                      <w:rFonts w:hAnsi="宋体" w:cs="宋体"/>
                    </w:rPr>
                    <w:t>日</w:t>
                  </w:r>
                </w:p>
                <w:p w:rsidR="001A459A" w:rsidRPr="00F57D27" w:rsidRDefault="001A459A" w:rsidP="001A459A">
                  <w:pPr>
                    <w:jc w:val="left"/>
                    <w:rPr>
                      <w:rFonts w:eastAsia="楷体_GB2312"/>
                      <w:color w:val="003366"/>
                      <w:sz w:val="24"/>
                    </w:rPr>
                  </w:pPr>
                </w:p>
              </w:tc>
            </w:tr>
            <w:tr w:rsidR="001A459A" w:rsidRPr="00F57D27">
              <w:trPr>
                <w:trHeight w:hRule="exact" w:val="284"/>
              </w:trPr>
              <w:tc>
                <w:tcPr>
                  <w:tcW w:w="3888" w:type="dxa"/>
                  <w:gridSpan w:val="2"/>
                </w:tcPr>
                <w:p w:rsidR="001A459A" w:rsidRPr="00F57D27" w:rsidRDefault="001A459A" w:rsidP="001A459A">
                  <w:pPr>
                    <w:rPr>
                      <w:rFonts w:eastAsia="黑体"/>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报告编号：</w:t>
                  </w:r>
                </w:p>
              </w:tc>
            </w:tr>
            <w:tr w:rsidR="001A459A" w:rsidRPr="00F57D27">
              <w:trPr>
                <w:gridAfter w:val="1"/>
                <w:wAfter w:w="468" w:type="dxa"/>
                <w:trHeight w:hRule="exact" w:val="284"/>
              </w:trPr>
              <w:tc>
                <w:tcPr>
                  <w:tcW w:w="3420" w:type="dxa"/>
                </w:tcPr>
                <w:p w:rsidR="001A459A" w:rsidRPr="00F57D27" w:rsidRDefault="001A459A" w:rsidP="001A459A">
                  <w:pPr>
                    <w:rPr>
                      <w:rFonts w:eastAsia="楷体_GB2312"/>
                      <w:b/>
                      <w:color w:val="003366"/>
                      <w:sz w:val="24"/>
                    </w:rPr>
                  </w:pPr>
                </w:p>
              </w:tc>
            </w:tr>
            <w:tr w:rsidR="001A459A" w:rsidRPr="00F57D27">
              <w:trPr>
                <w:gridAfter w:val="1"/>
                <w:wAfter w:w="468" w:type="dxa"/>
                <w:trHeight w:hRule="exact" w:val="284"/>
              </w:trPr>
              <w:tc>
                <w:tcPr>
                  <w:tcW w:w="3420" w:type="dxa"/>
                </w:tcPr>
                <w:p w:rsidR="001A459A" w:rsidRPr="00F57D27" w:rsidRDefault="001A459A" w:rsidP="001A459A">
                  <w:pPr>
                    <w:rPr>
                      <w:rFonts w:ascii="黑体" w:eastAsia="黑体"/>
                      <w:b/>
                      <w:color w:val="003366"/>
                      <w:sz w:val="24"/>
                    </w:rPr>
                  </w:pPr>
                  <w:r w:rsidRPr="00F57D27">
                    <w:rPr>
                      <w:rFonts w:eastAsia="黑体" w:hint="eastAsia"/>
                      <w:b/>
                      <w:color w:val="003366"/>
                      <w:sz w:val="24"/>
                    </w:rPr>
                    <w:t>相关报告：</w:t>
                  </w:r>
                </w:p>
              </w:tc>
            </w:tr>
            <w:tr w:rsidR="001A459A" w:rsidRPr="00F57D27" w:rsidTr="00E44B3F">
              <w:trPr>
                <w:gridAfter w:val="1"/>
                <w:wAfter w:w="468" w:type="dxa"/>
                <w:trHeight w:hRule="exact" w:val="2396"/>
              </w:trPr>
              <w:tc>
                <w:tcPr>
                  <w:tcW w:w="3420" w:type="dxa"/>
                </w:tcPr>
                <w:p w:rsidR="006E6E73" w:rsidRDefault="006E6E73" w:rsidP="004647C0">
                  <w:pPr>
                    <w:rPr>
                      <w:rFonts w:eastAsia="楷体_GB2312"/>
                      <w:sz w:val="18"/>
                      <w:szCs w:val="18"/>
                    </w:rPr>
                  </w:pPr>
                  <w:r>
                    <w:rPr>
                      <w:rFonts w:eastAsia="楷体_GB2312" w:hint="eastAsia"/>
                      <w:sz w:val="18"/>
                      <w:szCs w:val="18"/>
                    </w:rPr>
                    <w:t>2</w:t>
                  </w:r>
                  <w:r w:rsidRPr="00D46766">
                    <w:rPr>
                      <w:rFonts w:eastAsia="楷体_GB2312" w:hint="eastAsia"/>
                      <w:sz w:val="18"/>
                      <w:szCs w:val="18"/>
                    </w:rPr>
                    <w:t>0</w:t>
                  </w:r>
                  <w:r>
                    <w:rPr>
                      <w:rFonts w:eastAsia="楷体_GB2312" w:hint="eastAsia"/>
                      <w:sz w:val="18"/>
                      <w:szCs w:val="18"/>
                    </w:rPr>
                    <w:t>14</w:t>
                  </w:r>
                  <w:r w:rsidRPr="00D46766">
                    <w:rPr>
                      <w:rFonts w:eastAsia="楷体_GB2312" w:hint="eastAsia"/>
                      <w:sz w:val="18"/>
                      <w:szCs w:val="18"/>
                    </w:rPr>
                    <w:t>年</w:t>
                  </w:r>
                  <w:r w:rsidR="00553A3F">
                    <w:rPr>
                      <w:rFonts w:eastAsia="楷体_GB2312" w:hint="eastAsia"/>
                      <w:sz w:val="18"/>
                      <w:szCs w:val="18"/>
                    </w:rPr>
                    <w:t>4</w:t>
                  </w:r>
                  <w:r w:rsidRPr="00D46766">
                    <w:rPr>
                      <w:rFonts w:eastAsia="楷体_GB2312" w:hint="eastAsia"/>
                      <w:sz w:val="18"/>
                      <w:szCs w:val="18"/>
                    </w:rPr>
                    <w:t>月基金投资策略</w:t>
                  </w:r>
                  <w:r>
                    <w:rPr>
                      <w:rFonts w:eastAsia="楷体_GB2312" w:hint="eastAsia"/>
                      <w:sz w:val="18"/>
                      <w:szCs w:val="18"/>
                    </w:rPr>
                    <w:t>：</w:t>
                  </w:r>
                  <w:r w:rsidR="00553A3F" w:rsidRPr="00553A3F">
                    <w:rPr>
                      <w:rFonts w:eastAsia="楷体_GB2312" w:hint="eastAsia"/>
                      <w:sz w:val="18"/>
                      <w:szCs w:val="18"/>
                    </w:rPr>
                    <w:t>热点转向传统支柱性板块，风险维持中性，风格偏向价值</w:t>
                  </w:r>
                </w:p>
                <w:p w:rsidR="000838AB" w:rsidRDefault="00406215" w:rsidP="004647C0">
                  <w:pPr>
                    <w:rPr>
                      <w:rFonts w:eastAsia="楷体_GB2312"/>
                      <w:sz w:val="18"/>
                      <w:szCs w:val="18"/>
                    </w:rPr>
                  </w:pPr>
                  <w:r>
                    <w:rPr>
                      <w:rFonts w:eastAsia="楷体_GB2312" w:hint="eastAsia"/>
                      <w:sz w:val="18"/>
                      <w:szCs w:val="18"/>
                    </w:rPr>
                    <w:t>2</w:t>
                  </w:r>
                  <w:r w:rsidR="00553A3F" w:rsidRPr="00D46766">
                    <w:rPr>
                      <w:rFonts w:eastAsia="楷体_GB2312" w:hint="eastAsia"/>
                      <w:sz w:val="18"/>
                      <w:szCs w:val="18"/>
                    </w:rPr>
                    <w:t>0</w:t>
                  </w:r>
                  <w:r w:rsidR="00553A3F">
                    <w:rPr>
                      <w:rFonts w:eastAsia="楷体_GB2312" w:hint="eastAsia"/>
                      <w:sz w:val="18"/>
                      <w:szCs w:val="18"/>
                    </w:rPr>
                    <w:t>14</w:t>
                  </w:r>
                  <w:r w:rsidR="00553A3F" w:rsidRPr="00D46766">
                    <w:rPr>
                      <w:rFonts w:eastAsia="楷体_GB2312" w:hint="eastAsia"/>
                      <w:sz w:val="18"/>
                      <w:szCs w:val="18"/>
                    </w:rPr>
                    <w:t>年</w:t>
                  </w:r>
                  <w:r w:rsidR="00553A3F">
                    <w:rPr>
                      <w:rFonts w:eastAsia="楷体_GB2312" w:hint="eastAsia"/>
                      <w:sz w:val="18"/>
                      <w:szCs w:val="18"/>
                    </w:rPr>
                    <w:t>3</w:t>
                  </w:r>
                  <w:r w:rsidR="00553A3F" w:rsidRPr="00D46766">
                    <w:rPr>
                      <w:rFonts w:eastAsia="楷体_GB2312" w:hint="eastAsia"/>
                      <w:sz w:val="18"/>
                      <w:szCs w:val="18"/>
                    </w:rPr>
                    <w:t>月基金投资策略</w:t>
                  </w:r>
                  <w:r w:rsidR="00553A3F">
                    <w:rPr>
                      <w:rFonts w:eastAsia="楷体_GB2312" w:hint="eastAsia"/>
                      <w:sz w:val="18"/>
                      <w:szCs w:val="18"/>
                    </w:rPr>
                    <w:t>：</w:t>
                  </w:r>
                  <w:r w:rsidR="00553A3F" w:rsidRPr="006E6E73">
                    <w:rPr>
                      <w:rFonts w:eastAsia="楷体_GB2312" w:hint="eastAsia"/>
                      <w:sz w:val="18"/>
                      <w:szCs w:val="18"/>
                    </w:rPr>
                    <w:t>市场机会大于风险，蓝筹为主成长为辅配置基金</w:t>
                  </w:r>
                </w:p>
                <w:p w:rsidR="00A15B9C" w:rsidRPr="00F21494" w:rsidRDefault="00A15B9C" w:rsidP="004647C0">
                  <w:pPr>
                    <w:rPr>
                      <w:rFonts w:eastAsia="楷体_GB2312"/>
                      <w:sz w:val="18"/>
                      <w:szCs w:val="18"/>
                    </w:rPr>
                  </w:pPr>
                </w:p>
                <w:p w:rsidR="00E44B3F" w:rsidRPr="00060998" w:rsidRDefault="00E44B3F" w:rsidP="004647C0">
                  <w:pPr>
                    <w:rPr>
                      <w:rFonts w:eastAsia="楷体_GB2312"/>
                      <w:sz w:val="18"/>
                      <w:szCs w:val="18"/>
                    </w:rPr>
                  </w:pPr>
                </w:p>
                <w:p w:rsidR="00E44B3F" w:rsidRPr="00E44B3F" w:rsidRDefault="00E44B3F" w:rsidP="004647C0">
                  <w:pPr>
                    <w:rPr>
                      <w:rFonts w:eastAsia="楷体_GB2312"/>
                      <w:sz w:val="18"/>
                      <w:szCs w:val="18"/>
                    </w:rPr>
                  </w:pPr>
                </w:p>
                <w:p w:rsidR="001A459A" w:rsidRPr="00734602" w:rsidRDefault="001A459A" w:rsidP="004647C0">
                  <w:pPr>
                    <w:rPr>
                      <w:rFonts w:eastAsia="黑体"/>
                      <w:b/>
                      <w:color w:val="003366"/>
                      <w:sz w:val="24"/>
                    </w:rPr>
                  </w:pPr>
                </w:p>
              </w:tc>
            </w:tr>
          </w:tbl>
          <w:p w:rsidR="001A459A" w:rsidRPr="00F57D27" w:rsidRDefault="001A459A" w:rsidP="001A459A">
            <w:pPr>
              <w:rPr>
                <w:rFonts w:eastAsia="楷体_GB2312"/>
                <w:b/>
                <w:color w:val="003366"/>
                <w:sz w:val="28"/>
                <w:szCs w:val="28"/>
              </w:rPr>
            </w:pPr>
          </w:p>
        </w:tc>
      </w:tr>
    </w:tbl>
    <w:p w:rsidR="00BE3940" w:rsidRPr="00A054FE" w:rsidRDefault="000865D2" w:rsidP="00BE3940">
      <w:pPr>
        <w:numPr>
          <w:ilvl w:val="0"/>
          <w:numId w:val="2"/>
        </w:numPr>
        <w:spacing w:line="360" w:lineRule="auto"/>
        <w:rPr>
          <w:rFonts w:ascii="黑体" w:eastAsia="黑体" w:hAnsi="宋体"/>
          <w:b/>
          <w:color w:val="003366"/>
          <w:sz w:val="24"/>
        </w:rPr>
      </w:pPr>
      <w:r>
        <w:rPr>
          <w:rFonts w:ascii="黑体" w:eastAsia="黑体" w:hAnsi="宋体"/>
          <w:b/>
          <w:noProof/>
          <w:color w:val="003366"/>
          <w:sz w:val="24"/>
        </w:rPr>
        <w:pict>
          <v:shape id="_x0000_s1032" type="#_x0000_t202" style="position:absolute;left:0;text-align:left;margin-left:-54pt;margin-top:-171.6pt;width:422.85pt;height:153.1pt;z-index:251656704;mso-position-horizontal-relative:text;mso-position-vertical-relative:text" fillcolor="#00326e" stroked="f">
            <v:textbox style="mso-next-textbox:#_x0000_s1032">
              <w:txbxContent>
                <w:p w:rsidR="004B0295" w:rsidRPr="00C2401C" w:rsidRDefault="004B0295" w:rsidP="00BE3940">
                  <w:pPr>
                    <w:rPr>
                      <w:rFonts w:ascii="宋体-18030" w:eastAsia="宋体-18030" w:hAnsi="宋体-18030" w:cs="宋体-18030"/>
                      <w:szCs w:val="21"/>
                    </w:rPr>
                  </w:pPr>
                </w:p>
                <w:p w:rsidR="004B0295" w:rsidRPr="00C2401C" w:rsidRDefault="004B0295" w:rsidP="00BE3940">
                  <w:pPr>
                    <w:jc w:val="right"/>
                    <w:rPr>
                      <w:rFonts w:ascii="宋体-18030" w:eastAsia="宋体-18030" w:hAnsi="宋体-18030" w:cs="宋体-18030"/>
                      <w:b/>
                      <w:szCs w:val="21"/>
                    </w:rPr>
                  </w:pPr>
                </w:p>
                <w:p w:rsidR="004B0295" w:rsidRPr="00C2401C" w:rsidRDefault="004B0295" w:rsidP="00BE3940">
                  <w:pPr>
                    <w:rPr>
                      <w:rFonts w:ascii="宋体-18030" w:eastAsia="宋体-18030" w:hAnsi="宋体-18030" w:cs="宋体-18030"/>
                      <w:szCs w:val="21"/>
                    </w:rPr>
                  </w:pPr>
                </w:p>
                <w:p w:rsidR="004B0295" w:rsidRPr="00C2401C" w:rsidRDefault="004B0295" w:rsidP="00BE3940">
                  <w:pPr>
                    <w:rPr>
                      <w:rFonts w:ascii="宋体-18030" w:eastAsia="宋体-18030" w:hAnsi="宋体-18030" w:cs="宋体-18030"/>
                      <w:szCs w:val="21"/>
                    </w:rPr>
                  </w:pPr>
                </w:p>
                <w:p w:rsidR="004B0295" w:rsidRDefault="004B0295" w:rsidP="00CD5982">
                  <w:pPr>
                    <w:ind w:right="150"/>
                    <w:jc w:val="right"/>
                    <w:rPr>
                      <w:rFonts w:ascii="黑体" w:eastAsia="黑体" w:hAnsi="宋体" w:cs="宋体-18030"/>
                      <w:b/>
                      <w:color w:val="FFFFFF"/>
                      <w:sz w:val="30"/>
                      <w:szCs w:val="30"/>
                    </w:rPr>
                  </w:pPr>
                  <w:r w:rsidRPr="003744D3">
                    <w:rPr>
                      <w:rFonts w:ascii="黑体" w:eastAsia="黑体" w:hAnsi="宋体" w:cs="宋体-18030"/>
                      <w:b/>
                      <w:color w:val="FFFFFF"/>
                      <w:sz w:val="30"/>
                      <w:szCs w:val="30"/>
                    </w:rPr>
                    <w:t></w:t>
                  </w:r>
                  <w:r w:rsidRPr="00A10619">
                    <w:rPr>
                      <w:rFonts w:ascii="黑体" w:eastAsia="黑体" w:hAnsi="宋体" w:cs="宋体-18030" w:hint="eastAsia"/>
                      <w:b/>
                      <w:color w:val="FFFFFF"/>
                      <w:sz w:val="30"/>
                      <w:szCs w:val="30"/>
                    </w:rPr>
                    <w:t>政策向上预期强化</w:t>
                  </w:r>
                  <w:r>
                    <w:rPr>
                      <w:rFonts w:ascii="黑体" w:eastAsia="黑体" w:hAnsi="宋体" w:cs="宋体-18030" w:hint="eastAsia"/>
                      <w:b/>
                      <w:color w:val="FFFFFF"/>
                      <w:sz w:val="30"/>
                      <w:szCs w:val="30"/>
                    </w:rPr>
                    <w:t>，继续风险维持中性，</w:t>
                  </w:r>
                  <w:r w:rsidRPr="007C323A">
                    <w:rPr>
                      <w:rFonts w:ascii="黑体" w:eastAsia="黑体" w:hAnsi="宋体" w:cs="宋体-18030" w:hint="eastAsia"/>
                      <w:b/>
                      <w:color w:val="FFFFFF"/>
                      <w:sz w:val="30"/>
                      <w:szCs w:val="30"/>
                    </w:rPr>
                    <w:t>风格偏向价值</w:t>
                  </w:r>
                </w:p>
                <w:p w:rsidR="004B0295" w:rsidRPr="00B825E8" w:rsidRDefault="004B0295" w:rsidP="00764C61">
                  <w:pPr>
                    <w:jc w:val="right"/>
                    <w:rPr>
                      <w:rFonts w:ascii="黑体" w:eastAsia="黑体" w:hAnsi="宋体" w:cs="宋体-18030"/>
                      <w:b/>
                      <w:color w:val="FFFFFF"/>
                      <w:sz w:val="30"/>
                      <w:szCs w:val="30"/>
                    </w:rPr>
                  </w:pPr>
                </w:p>
                <w:p w:rsidR="004B0295" w:rsidRPr="004E3270" w:rsidRDefault="004B0295" w:rsidP="00F84017">
                  <w:pPr>
                    <w:wordWrap w:val="0"/>
                    <w:jc w:val="right"/>
                    <w:rPr>
                      <w:rFonts w:ascii="楷体_GB2312" w:eastAsia="楷体_GB2312"/>
                      <w:b/>
                      <w:szCs w:val="21"/>
                    </w:rPr>
                  </w:pPr>
                  <w:r>
                    <w:rPr>
                      <w:rFonts w:ascii="楷体_GB2312" w:eastAsia="楷体_GB2312" w:hint="eastAsia"/>
                      <w:b/>
                      <w:szCs w:val="21"/>
                    </w:rPr>
                    <w:t>--</w:t>
                  </w:r>
                  <w:r w:rsidRPr="004E62DA">
                    <w:rPr>
                      <w:rFonts w:hint="eastAsia"/>
                    </w:rPr>
                    <w:t xml:space="preserve"> </w:t>
                  </w:r>
                  <w:r>
                    <w:rPr>
                      <w:rFonts w:ascii="楷体_GB2312" w:eastAsia="楷体_GB2312" w:hint="eastAsia"/>
                      <w:b/>
                      <w:szCs w:val="21"/>
                    </w:rPr>
                    <w:t>2014</w:t>
                  </w:r>
                  <w:r w:rsidRPr="004E62DA">
                    <w:rPr>
                      <w:rFonts w:ascii="楷体_GB2312" w:eastAsia="楷体_GB2312" w:hint="eastAsia"/>
                      <w:b/>
                      <w:szCs w:val="21"/>
                    </w:rPr>
                    <w:t>年</w:t>
                  </w:r>
                  <w:r>
                    <w:rPr>
                      <w:rFonts w:ascii="楷体_GB2312" w:eastAsia="楷体_GB2312" w:hint="eastAsia"/>
                      <w:b/>
                      <w:szCs w:val="21"/>
                    </w:rPr>
                    <w:t>5月基</w:t>
                  </w:r>
                  <w:r w:rsidRPr="004E62DA">
                    <w:rPr>
                      <w:rFonts w:ascii="楷体_GB2312" w:eastAsia="楷体_GB2312" w:hint="eastAsia"/>
                      <w:b/>
                      <w:szCs w:val="21"/>
                    </w:rPr>
                    <w:t>金投资策略</w:t>
                  </w:r>
                  <w:r>
                    <w:rPr>
                      <w:rFonts w:ascii="楷体_GB2312" w:eastAsia="楷体_GB2312" w:hint="eastAsia"/>
                      <w:b/>
                      <w:szCs w:val="21"/>
                    </w:rPr>
                    <w:t xml:space="preserve">   </w:t>
                  </w:r>
                </w:p>
                <w:p w:rsidR="004B0295" w:rsidRPr="00AF7DC8" w:rsidRDefault="004B0295" w:rsidP="00AF7DC8">
                  <w:pPr>
                    <w:spacing w:line="360" w:lineRule="auto"/>
                    <w:jc w:val="center"/>
                    <w:rPr>
                      <w:rFonts w:ascii="黑体" w:eastAsia="黑体" w:hAnsi="宋体" w:cs="宋体-18030"/>
                      <w:b/>
                      <w:color w:val="FFFFFF"/>
                      <w:sz w:val="30"/>
                      <w:szCs w:val="30"/>
                    </w:rPr>
                  </w:pPr>
                </w:p>
              </w:txbxContent>
            </v:textbox>
          </v:shape>
        </w:pict>
      </w:r>
      <w:r w:rsidR="00BE3940" w:rsidRPr="00A054FE">
        <w:rPr>
          <w:rFonts w:ascii="黑体" w:eastAsia="黑体" w:hAnsi="宋体" w:hint="eastAsia"/>
          <w:b/>
          <w:color w:val="003366"/>
          <w:sz w:val="24"/>
        </w:rPr>
        <w:t>主要观点：</w:t>
      </w:r>
    </w:p>
    <w:p w:rsidR="00235F92" w:rsidRPr="007A2D23" w:rsidRDefault="00A10619" w:rsidP="00235F92">
      <w:pPr>
        <w:numPr>
          <w:ilvl w:val="0"/>
          <w:numId w:val="2"/>
        </w:numPr>
        <w:rPr>
          <w:rFonts w:ascii="黑体" w:eastAsia="黑体" w:hAnsi="宋体-18030" w:cs="宋体-18030"/>
          <w:b/>
          <w:bCs/>
          <w:color w:val="003366"/>
          <w:kern w:val="44"/>
          <w:szCs w:val="21"/>
        </w:rPr>
      </w:pPr>
      <w:r w:rsidRPr="00A10619">
        <w:rPr>
          <w:rFonts w:ascii="黑体" w:eastAsia="黑体" w:hAnsi="宋体-18030" w:cs="宋体-18030" w:hint="eastAsia"/>
          <w:b/>
          <w:bCs/>
          <w:color w:val="003366"/>
          <w:kern w:val="44"/>
          <w:szCs w:val="21"/>
        </w:rPr>
        <w:t>经济担忧情绪升温，政策向上预期强化</w:t>
      </w:r>
    </w:p>
    <w:p w:rsidR="000F4D4B" w:rsidRDefault="00A56D15" w:rsidP="008462A9">
      <w:pPr>
        <w:ind w:firstLine="420"/>
        <w:rPr>
          <w:rFonts w:ascii="楷体_GB2312" w:eastAsia="楷体_GB2312" w:hAnsi="宋体" w:cs="宋体"/>
          <w:kern w:val="0"/>
          <w:szCs w:val="21"/>
        </w:rPr>
      </w:pPr>
      <w:r>
        <w:rPr>
          <w:rFonts w:ascii="楷体_GB2312" w:eastAsia="楷体_GB2312" w:hAnsi="宋体" w:cs="宋体" w:hint="eastAsia"/>
          <w:kern w:val="0"/>
          <w:szCs w:val="21"/>
        </w:rPr>
        <w:t>受累于地缘政治危机影响，</w:t>
      </w:r>
      <w:r w:rsidR="008D03FC">
        <w:rPr>
          <w:rFonts w:ascii="楷体_GB2312" w:eastAsia="楷体_GB2312" w:hAnsi="宋体" w:cs="宋体" w:hint="eastAsia"/>
          <w:kern w:val="0"/>
          <w:szCs w:val="21"/>
        </w:rPr>
        <w:t>全球</w:t>
      </w:r>
      <w:r>
        <w:rPr>
          <w:rFonts w:ascii="楷体_GB2312" w:eastAsia="楷体_GB2312" w:hAnsi="宋体" w:cs="宋体" w:hint="eastAsia"/>
          <w:kern w:val="0"/>
          <w:szCs w:val="21"/>
        </w:rPr>
        <w:t>市场面临投资者偏好继续回落</w:t>
      </w:r>
      <w:r w:rsidR="008D03FC">
        <w:rPr>
          <w:rFonts w:ascii="楷体_GB2312" w:eastAsia="楷体_GB2312" w:hAnsi="宋体" w:cs="宋体" w:hint="eastAsia"/>
          <w:kern w:val="0"/>
          <w:szCs w:val="21"/>
        </w:rPr>
        <w:t>的压力</w:t>
      </w:r>
      <w:r>
        <w:rPr>
          <w:rFonts w:ascii="楷体_GB2312" w:eastAsia="楷体_GB2312" w:hAnsi="宋体" w:cs="宋体" w:hint="eastAsia"/>
          <w:kern w:val="0"/>
          <w:szCs w:val="21"/>
        </w:rPr>
        <w:t>，但稳健的经济形势为全球金融市场的向好奠定了基础</w:t>
      </w:r>
      <w:r w:rsidR="00C16FCF" w:rsidRPr="00C16FCF">
        <w:rPr>
          <w:rFonts w:ascii="楷体_GB2312" w:eastAsia="楷体_GB2312" w:hAnsi="宋体" w:cs="宋体" w:hint="eastAsia"/>
          <w:kern w:val="0"/>
          <w:szCs w:val="21"/>
        </w:rPr>
        <w:t>。</w:t>
      </w:r>
    </w:p>
    <w:p w:rsidR="00ED6984" w:rsidRPr="00ED6984" w:rsidRDefault="00A56D15" w:rsidP="00377D61">
      <w:pPr>
        <w:ind w:firstLine="420"/>
        <w:rPr>
          <w:rFonts w:ascii="楷体_GB2312" w:eastAsia="楷体_GB2312" w:hAnsi="宋体" w:cs="宋体"/>
          <w:kern w:val="0"/>
          <w:szCs w:val="21"/>
        </w:rPr>
      </w:pPr>
      <w:r>
        <w:rPr>
          <w:rFonts w:ascii="楷体_GB2312" w:eastAsia="楷体_GB2312" w:hAnsi="宋体" w:cs="宋体" w:hint="eastAsia"/>
          <w:kern w:val="0"/>
          <w:szCs w:val="21"/>
        </w:rPr>
        <w:t>4月经济“旺季不旺”使得市场对中国经济的担忧情绪升温，并对中国乃至亚太市场造成负面冲击。短期来看，经济向下调整的趋势目前尚未看到改善的迹象，政策面的微调行为验证并强化了前期我们关于“政策向上，</w:t>
      </w:r>
      <w:r w:rsidRPr="00286C2F">
        <w:rPr>
          <w:rFonts w:ascii="楷体_GB2312" w:eastAsia="楷体_GB2312" w:hAnsi="宋体" w:cs="宋体" w:hint="eastAsia"/>
          <w:kern w:val="0"/>
          <w:szCs w:val="21"/>
        </w:rPr>
        <w:t>热点转向传统支柱性板块”的预期</w:t>
      </w:r>
      <w:r>
        <w:rPr>
          <w:rFonts w:ascii="楷体_GB2312" w:eastAsia="楷体_GB2312" w:hAnsi="宋体" w:cs="宋体" w:hint="eastAsia"/>
          <w:kern w:val="0"/>
          <w:szCs w:val="21"/>
        </w:rPr>
        <w:t>，预计这一现象将在未来较长一段时间内得以持续</w:t>
      </w:r>
      <w:r w:rsidR="00ED6984" w:rsidRPr="00ED6984">
        <w:rPr>
          <w:rFonts w:ascii="楷体_GB2312" w:eastAsia="楷体_GB2312" w:hAnsi="宋体" w:cs="宋体" w:hint="eastAsia"/>
          <w:kern w:val="0"/>
          <w:szCs w:val="21"/>
        </w:rPr>
        <w:t>。</w:t>
      </w:r>
    </w:p>
    <w:p w:rsidR="00377D61" w:rsidRPr="0050054F" w:rsidRDefault="005A496F" w:rsidP="00377D61">
      <w:pPr>
        <w:numPr>
          <w:ilvl w:val="0"/>
          <w:numId w:val="2"/>
        </w:numPr>
        <w:rPr>
          <w:rFonts w:ascii="黑体" w:eastAsia="黑体" w:hAnsi="宋体-18030" w:cs="宋体-18030"/>
          <w:b/>
          <w:bCs/>
          <w:color w:val="003366"/>
          <w:kern w:val="44"/>
          <w:szCs w:val="21"/>
        </w:rPr>
      </w:pPr>
      <w:r w:rsidRPr="005A496F">
        <w:rPr>
          <w:rFonts w:ascii="黑体" w:eastAsia="黑体" w:hAnsi="宋体-18030" w:cs="宋体-18030" w:hint="eastAsia"/>
          <w:b/>
          <w:bCs/>
          <w:color w:val="003366"/>
          <w:kern w:val="44"/>
          <w:szCs w:val="21"/>
        </w:rPr>
        <w:t>风险</w:t>
      </w:r>
      <w:r>
        <w:rPr>
          <w:rFonts w:ascii="黑体" w:eastAsia="黑体" w:hAnsi="宋体-18030" w:cs="宋体-18030" w:hint="eastAsia"/>
          <w:b/>
          <w:bCs/>
          <w:color w:val="003366"/>
          <w:kern w:val="44"/>
          <w:szCs w:val="21"/>
        </w:rPr>
        <w:t>维持</w:t>
      </w:r>
      <w:r w:rsidRPr="005A496F">
        <w:rPr>
          <w:rFonts w:ascii="黑体" w:eastAsia="黑体" w:hAnsi="宋体-18030" w:cs="宋体-18030" w:hint="eastAsia"/>
          <w:b/>
          <w:bCs/>
          <w:color w:val="003366"/>
          <w:kern w:val="44"/>
          <w:szCs w:val="21"/>
        </w:rPr>
        <w:t>中性</w:t>
      </w:r>
      <w:r>
        <w:rPr>
          <w:rFonts w:ascii="黑体" w:eastAsia="黑体" w:hAnsi="宋体-18030" w:cs="宋体-18030" w:hint="eastAsia"/>
          <w:b/>
          <w:bCs/>
          <w:color w:val="003366"/>
          <w:kern w:val="44"/>
          <w:szCs w:val="21"/>
        </w:rPr>
        <w:t>，</w:t>
      </w:r>
      <w:r w:rsidRPr="005A496F">
        <w:rPr>
          <w:rFonts w:ascii="黑体" w:eastAsia="黑体" w:hAnsi="宋体-18030" w:cs="宋体-18030" w:hint="eastAsia"/>
          <w:b/>
          <w:bCs/>
          <w:color w:val="003366"/>
          <w:kern w:val="44"/>
          <w:szCs w:val="21"/>
        </w:rPr>
        <w:t>风格</w:t>
      </w:r>
      <w:r>
        <w:rPr>
          <w:rFonts w:ascii="黑体" w:eastAsia="黑体" w:hAnsi="宋体-18030" w:cs="宋体-18030" w:hint="eastAsia"/>
          <w:b/>
          <w:bCs/>
          <w:color w:val="003366"/>
          <w:kern w:val="44"/>
          <w:szCs w:val="21"/>
        </w:rPr>
        <w:t>偏向</w:t>
      </w:r>
      <w:r w:rsidRPr="005A496F">
        <w:rPr>
          <w:rFonts w:ascii="黑体" w:eastAsia="黑体" w:hAnsi="宋体-18030" w:cs="宋体-18030" w:hint="eastAsia"/>
          <w:b/>
          <w:bCs/>
          <w:color w:val="003366"/>
          <w:kern w:val="44"/>
          <w:szCs w:val="21"/>
        </w:rPr>
        <w:t>价值</w:t>
      </w:r>
    </w:p>
    <w:p w:rsidR="009F26DF" w:rsidRPr="009F26DF" w:rsidRDefault="00A56D15" w:rsidP="009F26DF">
      <w:pPr>
        <w:ind w:firstLine="420"/>
        <w:rPr>
          <w:rFonts w:ascii="楷体_GB2312" w:eastAsia="楷体_GB2312" w:hAnsi="宋体" w:cs="宋体"/>
          <w:color w:val="000000"/>
          <w:kern w:val="0"/>
          <w:szCs w:val="21"/>
        </w:rPr>
      </w:pPr>
      <w:r>
        <w:rPr>
          <w:rFonts w:ascii="楷体_GB2312" w:eastAsia="楷体_GB2312" w:hAnsi="宋体" w:cs="宋体" w:hint="eastAsia"/>
          <w:kern w:val="0"/>
          <w:szCs w:val="21"/>
        </w:rPr>
        <w:t>我们坚持</w:t>
      </w:r>
      <w:r w:rsidRPr="00CB03D0">
        <w:rPr>
          <w:rFonts w:ascii="楷体_GB2312" w:eastAsia="楷体_GB2312" w:hAnsi="宋体" w:cs="宋体" w:hint="eastAsia"/>
          <w:kern w:val="0"/>
          <w:szCs w:val="21"/>
        </w:rPr>
        <w:t>市场</w:t>
      </w:r>
      <w:r>
        <w:rPr>
          <w:rFonts w:ascii="楷体_GB2312" w:eastAsia="楷体_GB2312" w:hAnsi="宋体" w:cs="宋体" w:hint="eastAsia"/>
          <w:kern w:val="0"/>
          <w:szCs w:val="21"/>
        </w:rPr>
        <w:t>围绕着</w:t>
      </w:r>
      <w:r w:rsidRPr="00CB03D0">
        <w:rPr>
          <w:rFonts w:ascii="楷体_GB2312" w:eastAsia="楷体_GB2312" w:hAnsi="宋体" w:cs="宋体" w:hint="eastAsia"/>
          <w:kern w:val="0"/>
          <w:szCs w:val="21"/>
        </w:rPr>
        <w:t>“经济</w:t>
      </w:r>
      <w:r>
        <w:rPr>
          <w:rFonts w:ascii="楷体_GB2312" w:eastAsia="楷体_GB2312" w:hAnsi="宋体" w:cs="宋体" w:hint="eastAsia"/>
          <w:kern w:val="0"/>
          <w:szCs w:val="21"/>
        </w:rPr>
        <w:t>向下”和“政策向上</w:t>
      </w:r>
      <w:r w:rsidRPr="00CB03D0">
        <w:rPr>
          <w:rFonts w:ascii="楷体_GB2312" w:eastAsia="楷体_GB2312" w:hAnsi="宋体" w:cs="宋体" w:hint="eastAsia"/>
          <w:kern w:val="0"/>
          <w:szCs w:val="21"/>
        </w:rPr>
        <w:t>”</w:t>
      </w:r>
      <w:r>
        <w:rPr>
          <w:rFonts w:ascii="楷体_GB2312" w:eastAsia="楷体_GB2312" w:hAnsi="宋体" w:cs="宋体" w:hint="eastAsia"/>
          <w:kern w:val="0"/>
          <w:szCs w:val="21"/>
        </w:rPr>
        <w:t>波动这一观点</w:t>
      </w:r>
      <w:r w:rsidRPr="00CB03D0">
        <w:rPr>
          <w:rFonts w:ascii="楷体_GB2312" w:eastAsia="楷体_GB2312" w:hAnsi="宋体" w:cs="宋体" w:hint="eastAsia"/>
          <w:kern w:val="0"/>
          <w:szCs w:val="21"/>
        </w:rPr>
        <w:t>，</w:t>
      </w:r>
      <w:r w:rsidR="007830CA">
        <w:rPr>
          <w:rFonts w:ascii="楷体_GB2312" w:eastAsia="楷体_GB2312" w:hAnsi="宋体" w:cs="宋体" w:hint="eastAsia"/>
          <w:kern w:val="0"/>
          <w:szCs w:val="21"/>
        </w:rPr>
        <w:t>短期市场仍将在</w:t>
      </w:r>
      <w:r w:rsidRPr="00C3396C">
        <w:rPr>
          <w:rFonts w:ascii="楷体_GB2312" w:eastAsia="楷体_GB2312" w:hAnsi="宋体" w:cs="宋体" w:hint="eastAsia"/>
          <w:kern w:val="0"/>
          <w:szCs w:val="21"/>
        </w:rPr>
        <w:t>经济下行和IPO重启的压力下震荡</w:t>
      </w:r>
      <w:r>
        <w:rPr>
          <w:rFonts w:ascii="楷体_GB2312" w:eastAsia="楷体_GB2312" w:hAnsi="宋体" w:cs="宋体" w:hint="eastAsia"/>
          <w:kern w:val="0"/>
          <w:szCs w:val="21"/>
        </w:rPr>
        <w:t>，投资机会主要集中于政策推动的</w:t>
      </w:r>
      <w:r w:rsidRPr="00CB03D0">
        <w:rPr>
          <w:rFonts w:ascii="楷体_GB2312" w:eastAsia="楷体_GB2312" w:hAnsi="宋体" w:cs="宋体" w:hint="eastAsia"/>
          <w:kern w:val="0"/>
          <w:szCs w:val="21"/>
        </w:rPr>
        <w:t>结构性行情</w:t>
      </w:r>
      <w:r w:rsidR="00ED6984" w:rsidRPr="00ED6984">
        <w:rPr>
          <w:rFonts w:ascii="楷体_GB2312" w:eastAsia="楷体_GB2312" w:hAnsi="宋体" w:cs="宋体" w:hint="eastAsia"/>
          <w:color w:val="000000"/>
          <w:kern w:val="0"/>
          <w:szCs w:val="21"/>
        </w:rPr>
        <w:t>。</w:t>
      </w:r>
      <w:r w:rsidR="0016597C">
        <w:rPr>
          <w:rFonts w:ascii="楷体_GB2312" w:eastAsia="楷体_GB2312" w:hAnsi="宋体" w:cs="宋体" w:hint="eastAsia"/>
          <w:color w:val="000000"/>
          <w:kern w:val="0"/>
          <w:szCs w:val="21"/>
        </w:rPr>
        <w:t>建议高风险偏好的</w:t>
      </w:r>
      <w:r w:rsidR="00ED6984" w:rsidRPr="00ED6984">
        <w:rPr>
          <w:rFonts w:ascii="楷体_GB2312" w:eastAsia="楷体_GB2312" w:hAnsi="宋体" w:cs="宋体" w:hint="eastAsia"/>
          <w:color w:val="000000"/>
          <w:kern w:val="0"/>
          <w:szCs w:val="21"/>
        </w:rPr>
        <w:t>投资者和</w:t>
      </w:r>
      <w:r w:rsidR="00ED6984" w:rsidRPr="0092324C">
        <w:rPr>
          <w:rFonts w:ascii="楷体_GB2312" w:eastAsia="楷体_GB2312" w:hAnsi="宋体" w:cs="宋体" w:hint="eastAsia"/>
          <w:color w:val="000000"/>
          <w:kern w:val="0"/>
          <w:szCs w:val="21"/>
        </w:rPr>
        <w:t>阶段性投资者密切关注政策主题，积极把握短期市场结构性机会；建议</w:t>
      </w:r>
      <w:r w:rsidR="00ED6984" w:rsidRPr="00ED6984">
        <w:rPr>
          <w:rFonts w:ascii="楷体_GB2312" w:eastAsia="楷体_GB2312" w:hAnsi="宋体" w:cs="宋体" w:hint="eastAsia"/>
          <w:color w:val="000000"/>
          <w:kern w:val="0"/>
          <w:szCs w:val="21"/>
        </w:rPr>
        <w:t>中低风险投资者和配置型投资者均衡布局，把握股市长期投资价值</w:t>
      </w:r>
      <w:r w:rsidR="000F47BA">
        <w:rPr>
          <w:rFonts w:ascii="楷体_GB2312" w:eastAsia="楷体_GB2312" w:hAnsi="宋体" w:cs="宋体" w:hint="eastAsia"/>
          <w:color w:val="000000"/>
          <w:kern w:val="0"/>
          <w:szCs w:val="21"/>
        </w:rPr>
        <w:t>。</w:t>
      </w:r>
    </w:p>
    <w:p w:rsidR="00857E45" w:rsidRPr="00857E45" w:rsidRDefault="00ED6984" w:rsidP="00857E45">
      <w:pPr>
        <w:ind w:firstLine="420"/>
        <w:rPr>
          <w:rFonts w:ascii="楷体_GB2312" w:eastAsia="楷体_GB2312" w:hAnsi="宋体" w:cs="宋体"/>
          <w:color w:val="000000"/>
          <w:kern w:val="0"/>
          <w:szCs w:val="21"/>
        </w:rPr>
      </w:pPr>
      <w:r w:rsidRPr="00A62EB3">
        <w:rPr>
          <w:rFonts w:ascii="楷体_GB2312" w:eastAsia="楷体_GB2312" w:hAnsi="宋体" w:cs="宋体" w:hint="eastAsia"/>
          <w:kern w:val="0"/>
          <w:szCs w:val="21"/>
        </w:rPr>
        <w:t>权益类基金方面，</w:t>
      </w:r>
      <w:r w:rsidR="008E7C60" w:rsidRPr="00F442B3">
        <w:rPr>
          <w:rFonts w:ascii="楷体_GB2312" w:eastAsia="楷体_GB2312" w:hAnsi="宋体" w:cs="宋体" w:hint="eastAsia"/>
          <w:kern w:val="0"/>
          <w:szCs w:val="21"/>
        </w:rPr>
        <w:t>维持</w:t>
      </w:r>
      <w:r w:rsidR="000F47BA">
        <w:rPr>
          <w:rFonts w:ascii="楷体_GB2312" w:eastAsia="楷体_GB2312" w:hAnsi="宋体" w:cs="宋体" w:hint="eastAsia"/>
          <w:kern w:val="0"/>
          <w:szCs w:val="21"/>
        </w:rPr>
        <w:t>风险</w:t>
      </w:r>
      <w:r w:rsidR="008E7C60" w:rsidRPr="00F442B3">
        <w:rPr>
          <w:rFonts w:ascii="楷体_GB2312" w:eastAsia="楷体_GB2312" w:hAnsi="宋体" w:cs="宋体" w:hint="eastAsia"/>
          <w:kern w:val="0"/>
          <w:szCs w:val="21"/>
        </w:rPr>
        <w:t>中性配置，</w:t>
      </w:r>
      <w:r w:rsidR="008E7C60">
        <w:rPr>
          <w:rFonts w:ascii="楷体_GB2312" w:eastAsia="楷体_GB2312" w:hAnsi="宋体" w:cs="宋体" w:hint="eastAsia"/>
          <w:kern w:val="0"/>
          <w:szCs w:val="21"/>
        </w:rPr>
        <w:t>沿着政策放开路径把握市场结构性行情。</w:t>
      </w:r>
      <w:r w:rsidR="00416266" w:rsidRPr="00E25CA0">
        <w:rPr>
          <w:rFonts w:ascii="楷体_GB2312" w:eastAsia="楷体_GB2312" w:hAnsi="宋体" w:cs="宋体" w:hint="eastAsia"/>
          <w:kern w:val="0"/>
          <w:szCs w:val="21"/>
        </w:rPr>
        <w:t>建议投资者继续谨慎对待主要持仓以创业板为首的小市值高估值股票的基金，侧重关注重点投资主板市场绩优基金，在风格上迎合经济政策调整动态，重点配置重仓传统支柱性板块的蓝筹价值型基金</w:t>
      </w:r>
      <w:r w:rsidR="000440AF">
        <w:rPr>
          <w:rFonts w:ascii="楷体_GB2312" w:eastAsia="楷体_GB2312" w:hAnsi="宋体" w:cs="宋体" w:hint="eastAsia"/>
          <w:color w:val="000000"/>
          <w:kern w:val="0"/>
          <w:szCs w:val="21"/>
        </w:rPr>
        <w:t>。</w:t>
      </w:r>
    </w:p>
    <w:p w:rsidR="00B1290C" w:rsidRDefault="0086721E" w:rsidP="009F26DF">
      <w:pPr>
        <w:ind w:firstLine="420"/>
        <w:rPr>
          <w:rFonts w:ascii="楷体_GB2312" w:eastAsia="楷体_GB2312" w:hAnsi="宋体" w:cs="宋体"/>
          <w:color w:val="000000"/>
          <w:kern w:val="0"/>
          <w:szCs w:val="21"/>
        </w:rPr>
      </w:pPr>
      <w:r w:rsidRPr="0087531E">
        <w:rPr>
          <w:rFonts w:ascii="楷体_GB2312" w:eastAsia="楷体_GB2312" w:hAnsi="宋体" w:cs="宋体" w:hint="eastAsia"/>
          <w:kern w:val="0"/>
          <w:szCs w:val="21"/>
        </w:rPr>
        <w:t>固定收益率基金方面，</w:t>
      </w:r>
      <w:r w:rsidR="008E7C60">
        <w:rPr>
          <w:rFonts w:ascii="楷体_GB2312" w:eastAsia="楷体_GB2312" w:hAnsi="宋体" w:cs="宋体" w:hint="eastAsia"/>
          <w:color w:val="000000"/>
          <w:kern w:val="0"/>
          <w:szCs w:val="21"/>
        </w:rPr>
        <w:t>整体上债券市场仍然风险大于机会，建议投资者维持谨慎，</w:t>
      </w:r>
      <w:r w:rsidR="008E7C60" w:rsidRPr="005D2D52">
        <w:rPr>
          <w:rFonts w:ascii="楷体_GB2312" w:eastAsia="楷体_GB2312" w:hAnsi="宋体" w:cs="宋体" w:hint="eastAsia"/>
          <w:color w:val="000000"/>
          <w:kern w:val="0"/>
          <w:szCs w:val="21"/>
        </w:rPr>
        <w:t>关注短久期高等级券种，回避低评级券种。</w:t>
      </w:r>
      <w:r w:rsidR="008E7C60" w:rsidRPr="00CB03D0">
        <w:rPr>
          <w:rFonts w:ascii="楷体_GB2312" w:eastAsia="楷体_GB2312" w:hAnsi="宋体" w:cs="宋体" w:hint="eastAsia"/>
          <w:kern w:val="0"/>
          <w:szCs w:val="21"/>
        </w:rPr>
        <w:t>密切关注债券型基金蕴含的长期配置价值</w:t>
      </w:r>
      <w:r w:rsidR="000F47BA">
        <w:rPr>
          <w:rFonts w:ascii="楷体_GB2312" w:eastAsia="楷体_GB2312" w:hAnsi="宋体" w:cs="宋体" w:hint="eastAsia"/>
          <w:kern w:val="0"/>
          <w:szCs w:val="21"/>
        </w:rPr>
        <w:t>。</w:t>
      </w:r>
    </w:p>
    <w:p w:rsidR="00FB2850" w:rsidRPr="002E27C6" w:rsidRDefault="009F26DF" w:rsidP="009F26DF">
      <w:pPr>
        <w:ind w:firstLine="420"/>
        <w:rPr>
          <w:rFonts w:ascii="楷体_GB2312" w:eastAsia="楷体_GB2312" w:hAnsi="宋体" w:cs="宋体"/>
          <w:kern w:val="0"/>
          <w:szCs w:val="21"/>
        </w:rPr>
      </w:pPr>
      <w:r w:rsidRPr="009F26DF">
        <w:rPr>
          <w:rFonts w:ascii="楷体_GB2312" w:eastAsia="楷体_GB2312" w:hAnsi="宋体" w:cs="宋体" w:hint="eastAsia"/>
          <w:color w:val="000000"/>
          <w:kern w:val="0"/>
          <w:szCs w:val="21"/>
        </w:rPr>
        <w:t>QDII方面，</w:t>
      </w:r>
      <w:r w:rsidR="0086721E">
        <w:rPr>
          <w:rFonts w:ascii="楷体_GB2312" w:eastAsia="楷体_GB2312" w:hAnsi="宋体" w:cs="宋体" w:hint="eastAsia"/>
          <w:color w:val="000000"/>
          <w:kern w:val="0"/>
          <w:szCs w:val="21"/>
        </w:rPr>
        <w:t>维持上期</w:t>
      </w:r>
      <w:r w:rsidR="008E7C60">
        <w:rPr>
          <w:rFonts w:ascii="楷体_GB2312" w:eastAsia="楷体_GB2312" w:hAnsi="宋体" w:cs="宋体" w:hint="eastAsia"/>
          <w:color w:val="000000"/>
          <w:kern w:val="0"/>
          <w:szCs w:val="21"/>
        </w:rPr>
        <w:t>配置策略</w:t>
      </w:r>
      <w:r w:rsidR="0086721E">
        <w:rPr>
          <w:rFonts w:ascii="楷体_GB2312" w:eastAsia="楷体_GB2312" w:hAnsi="宋体" w:cs="宋体" w:hint="eastAsia"/>
          <w:color w:val="000000"/>
          <w:kern w:val="0"/>
          <w:szCs w:val="21"/>
        </w:rPr>
        <w:t>，</w:t>
      </w:r>
      <w:r w:rsidRPr="009F26DF">
        <w:rPr>
          <w:rFonts w:ascii="楷体_GB2312" w:eastAsia="楷体_GB2312" w:hAnsi="宋体" w:cs="宋体" w:hint="eastAsia"/>
          <w:color w:val="000000"/>
          <w:kern w:val="0"/>
          <w:szCs w:val="21"/>
        </w:rPr>
        <w:t>建议投资者侧重于关注主要投资发达国家股票市场，尤其是</w:t>
      </w:r>
      <w:r w:rsidR="00CD49A1">
        <w:rPr>
          <w:rFonts w:ascii="楷体_GB2312" w:eastAsia="楷体_GB2312" w:hAnsi="宋体" w:cs="宋体" w:hint="eastAsia"/>
          <w:color w:val="000000"/>
          <w:kern w:val="0"/>
          <w:szCs w:val="21"/>
        </w:rPr>
        <w:t>投资美股</w:t>
      </w:r>
      <w:r w:rsidRPr="009F26DF">
        <w:rPr>
          <w:rFonts w:ascii="楷体_GB2312" w:eastAsia="楷体_GB2312" w:hAnsi="宋体" w:cs="宋体" w:hint="eastAsia"/>
          <w:color w:val="000000"/>
          <w:kern w:val="0"/>
          <w:szCs w:val="21"/>
        </w:rPr>
        <w:t>的QDII，适当回避主要投资新兴市场的QDII</w:t>
      </w:r>
      <w:r w:rsidR="00D60CAD">
        <w:rPr>
          <w:rFonts w:ascii="楷体_GB2312" w:eastAsia="楷体_GB2312" w:hAnsi="宋体" w:cs="宋体" w:hint="eastAsia"/>
          <w:color w:val="000000"/>
          <w:kern w:val="0"/>
          <w:szCs w:val="21"/>
        </w:rPr>
        <w:t>，</w:t>
      </w:r>
      <w:r w:rsidRPr="009F26DF">
        <w:rPr>
          <w:rFonts w:ascii="楷体_GB2312" w:eastAsia="楷体_GB2312" w:hAnsi="宋体" w:cs="宋体" w:hint="eastAsia"/>
          <w:color w:val="000000"/>
          <w:kern w:val="0"/>
          <w:szCs w:val="21"/>
        </w:rPr>
        <w:t>回避资源品、商品类QDII</w:t>
      </w:r>
      <w:r w:rsidR="00F84017">
        <w:rPr>
          <w:rFonts w:ascii="楷体_GB2312" w:eastAsia="楷体_GB2312" w:hAnsi="宋体" w:cs="宋体" w:hint="eastAsia"/>
          <w:kern w:val="0"/>
          <w:szCs w:val="21"/>
        </w:rPr>
        <w:t>。</w:t>
      </w:r>
    </w:p>
    <w:p w:rsidR="006F51D7" w:rsidRDefault="00377D61" w:rsidP="00377D61">
      <w:pPr>
        <w:ind w:firstLine="420"/>
        <w:rPr>
          <w:rFonts w:ascii="楷体_GB2312" w:eastAsia="楷体_GB2312" w:hAnsi="宋体" w:cs="宋体"/>
          <w:kern w:val="0"/>
          <w:szCs w:val="21"/>
        </w:rPr>
      </w:pPr>
      <w:r w:rsidRPr="0050054F">
        <w:rPr>
          <w:rFonts w:ascii="黑体" w:eastAsia="黑体" w:hAnsi="宋体" w:hint="eastAsia"/>
          <w:b/>
          <w:color w:val="003366"/>
          <w:szCs w:val="21"/>
        </w:rPr>
        <w:t>组合推荐：</w:t>
      </w:r>
      <w:r w:rsidR="00B149DD" w:rsidRPr="003A2393">
        <w:rPr>
          <w:rFonts w:ascii="楷体_GB2312" w:eastAsia="楷体_GB2312" w:hAnsi="宋体" w:cs="宋体" w:hint="eastAsia"/>
          <w:kern w:val="0"/>
          <w:szCs w:val="21"/>
        </w:rPr>
        <w:t>具体到组合构建上，我们在“</w:t>
      </w:r>
      <w:r w:rsidR="004B0295">
        <w:rPr>
          <w:rFonts w:ascii="楷体_GB2312" w:eastAsia="楷体_GB2312" w:hAnsi="宋体" w:cs="宋体" w:hint="eastAsia"/>
          <w:kern w:val="0"/>
          <w:szCs w:val="21"/>
        </w:rPr>
        <w:t>继续</w:t>
      </w:r>
      <w:r w:rsidR="009D23BB" w:rsidRPr="009D23BB">
        <w:rPr>
          <w:rFonts w:ascii="楷体_GB2312" w:eastAsia="楷体_GB2312" w:hAnsi="宋体" w:cs="宋体" w:hint="eastAsia"/>
          <w:kern w:val="0"/>
          <w:szCs w:val="21"/>
        </w:rPr>
        <w:t>风险维持中性，风格偏向价值</w:t>
      </w:r>
      <w:r w:rsidR="00B149DD" w:rsidRPr="003A2393">
        <w:rPr>
          <w:rFonts w:ascii="楷体_GB2312" w:eastAsia="楷体_GB2312" w:hAnsi="宋体" w:cs="宋体" w:hint="eastAsia"/>
          <w:kern w:val="0"/>
          <w:szCs w:val="21"/>
        </w:rPr>
        <w:t>”的基金投资策略指引下，充分考虑资产配置、行业结构、投资风格分散化原则，构建投资组合以供投资参考</w:t>
      </w:r>
      <w:r w:rsidR="00DE5911">
        <w:rPr>
          <w:rFonts w:ascii="楷体_GB2312" w:eastAsia="楷体_GB2312" w:hint="eastAsia"/>
          <w:noProof/>
        </w:rPr>
        <w:t>。</w:t>
      </w:r>
      <w:r w:rsidR="009D23BB" w:rsidRPr="009D23BB">
        <w:rPr>
          <w:rFonts w:ascii="楷体_GB2312" w:eastAsia="楷体_GB2312" w:hAnsi="宋体" w:cs="宋体" w:hint="eastAsia"/>
          <w:kern w:val="0"/>
          <w:szCs w:val="21"/>
        </w:rPr>
        <w:t>本期</w:t>
      </w:r>
      <w:r w:rsidR="007738B7">
        <w:rPr>
          <w:rFonts w:ascii="楷体_GB2312" w:eastAsia="楷体_GB2312" w:hAnsi="宋体" w:cs="宋体" w:hint="eastAsia"/>
          <w:kern w:val="0"/>
          <w:szCs w:val="21"/>
        </w:rPr>
        <w:t>组合不做调整</w:t>
      </w:r>
      <w:r w:rsidR="009D23BB">
        <w:rPr>
          <w:rFonts w:ascii="楷体_GB2312" w:eastAsia="楷体_GB2312" w:hAnsi="宋体" w:cs="宋体" w:hint="eastAsia"/>
          <w:kern w:val="0"/>
          <w:szCs w:val="21"/>
        </w:rPr>
        <w:t>。</w:t>
      </w:r>
    </w:p>
    <w:p w:rsidR="005E24D9" w:rsidRDefault="005E24D9" w:rsidP="00377D61">
      <w:pPr>
        <w:ind w:firstLine="420"/>
        <w:rPr>
          <w:rFonts w:ascii="楷体_GB2312" w:eastAsia="楷体_GB2312"/>
          <w:noProof/>
        </w:rPr>
      </w:pPr>
    </w:p>
    <w:tbl>
      <w:tblPr>
        <w:tblW w:w="5000" w:type="pct"/>
        <w:jc w:val="center"/>
        <w:tblLook w:val="0000"/>
      </w:tblPr>
      <w:tblGrid>
        <w:gridCol w:w="1611"/>
        <w:gridCol w:w="578"/>
        <w:gridCol w:w="434"/>
        <w:gridCol w:w="1293"/>
        <w:gridCol w:w="581"/>
        <w:gridCol w:w="405"/>
        <w:gridCol w:w="1255"/>
        <w:gridCol w:w="578"/>
      </w:tblGrid>
      <w:tr w:rsidR="000B4882" w:rsidRPr="005B5148" w:rsidTr="00B149DD">
        <w:trPr>
          <w:trHeight w:val="285"/>
          <w:jc w:val="center"/>
        </w:trPr>
        <w:tc>
          <w:tcPr>
            <w:tcW w:w="1625" w:type="pct"/>
            <w:gridSpan w:val="2"/>
            <w:tcBorders>
              <w:top w:val="single" w:sz="4" w:space="0" w:color="auto"/>
              <w:left w:val="single" w:sz="4" w:space="0" w:color="auto"/>
              <w:right w:val="single" w:sz="4" w:space="0" w:color="000000"/>
            </w:tcBorders>
            <w:shd w:val="clear" w:color="auto" w:fill="0000FF"/>
            <w:noWrap/>
            <w:vAlign w:val="bottom"/>
          </w:tcPr>
          <w:p w:rsidR="000B4882" w:rsidRPr="00604445" w:rsidRDefault="000B4882" w:rsidP="004539A3">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积极型组合</w:t>
            </w:r>
          </w:p>
        </w:tc>
        <w:tc>
          <w:tcPr>
            <w:tcW w:w="32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0B4882" w:rsidRPr="005B5148" w:rsidRDefault="000B4882" w:rsidP="004539A3">
            <w:pPr>
              <w:widowControl/>
              <w:jc w:val="center"/>
              <w:rPr>
                <w:rFonts w:ascii="宋体" w:hAnsi="宋体" w:cs="宋体"/>
                <w:kern w:val="0"/>
                <w:sz w:val="18"/>
                <w:szCs w:val="18"/>
              </w:rPr>
            </w:pPr>
          </w:p>
        </w:tc>
        <w:tc>
          <w:tcPr>
            <w:tcW w:w="1390" w:type="pct"/>
            <w:gridSpan w:val="2"/>
            <w:tcBorders>
              <w:top w:val="single" w:sz="4" w:space="0" w:color="auto"/>
              <w:left w:val="single" w:sz="4" w:space="0" w:color="auto"/>
              <w:right w:val="single" w:sz="4" w:space="0" w:color="000000"/>
            </w:tcBorders>
            <w:shd w:val="clear" w:color="auto" w:fill="0000FF"/>
            <w:noWrap/>
            <w:vAlign w:val="bottom"/>
          </w:tcPr>
          <w:p w:rsidR="000B4882" w:rsidRPr="00604445" w:rsidRDefault="000B4882" w:rsidP="004539A3">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平衡型组合</w:t>
            </w:r>
          </w:p>
        </w:tc>
        <w:tc>
          <w:tcPr>
            <w:tcW w:w="301"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0B4882" w:rsidRPr="005B5148" w:rsidRDefault="000B4882" w:rsidP="004539A3">
            <w:pPr>
              <w:widowControl/>
              <w:jc w:val="center"/>
              <w:rPr>
                <w:rFonts w:ascii="宋体" w:hAnsi="宋体" w:cs="宋体"/>
                <w:kern w:val="0"/>
                <w:sz w:val="18"/>
                <w:szCs w:val="18"/>
              </w:rPr>
            </w:pPr>
          </w:p>
        </w:tc>
        <w:tc>
          <w:tcPr>
            <w:tcW w:w="1361" w:type="pct"/>
            <w:gridSpan w:val="2"/>
            <w:tcBorders>
              <w:top w:val="single" w:sz="4" w:space="0" w:color="auto"/>
              <w:left w:val="single" w:sz="4" w:space="0" w:color="auto"/>
              <w:right w:val="single" w:sz="4" w:space="0" w:color="000000"/>
            </w:tcBorders>
            <w:shd w:val="clear" w:color="auto" w:fill="0000FF"/>
            <w:noWrap/>
            <w:vAlign w:val="bottom"/>
          </w:tcPr>
          <w:p w:rsidR="000B4882" w:rsidRPr="00604445" w:rsidRDefault="000B4882" w:rsidP="004539A3">
            <w:pPr>
              <w:widowControl/>
              <w:jc w:val="center"/>
              <w:rPr>
                <w:rFonts w:ascii="宋体" w:hAnsi="宋体" w:cs="宋体"/>
                <w:b/>
                <w:color w:val="FFFFFF"/>
                <w:kern w:val="0"/>
                <w:sz w:val="18"/>
                <w:szCs w:val="18"/>
              </w:rPr>
            </w:pPr>
            <w:r w:rsidRPr="00604445">
              <w:rPr>
                <w:rFonts w:ascii="宋体" w:hAnsi="宋体" w:cs="宋体" w:hint="eastAsia"/>
                <w:b/>
                <w:color w:val="FFFFFF"/>
                <w:kern w:val="0"/>
                <w:sz w:val="18"/>
                <w:szCs w:val="18"/>
              </w:rPr>
              <w:t>稳定型组合</w:t>
            </w:r>
          </w:p>
        </w:tc>
      </w:tr>
      <w:tr w:rsidR="000B4882" w:rsidRPr="005B5148" w:rsidTr="00B149DD">
        <w:trPr>
          <w:trHeight w:val="285"/>
          <w:jc w:val="center"/>
        </w:trPr>
        <w:tc>
          <w:tcPr>
            <w:tcW w:w="1196" w:type="pct"/>
            <w:tcBorders>
              <w:top w:val="nil"/>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top w:val="nil"/>
              <w:left w:val="single" w:sz="8" w:space="0" w:color="auto"/>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323" w:type="pct"/>
            <w:vMerge/>
            <w:tcBorders>
              <w:top w:val="single" w:sz="4" w:space="0" w:color="auto"/>
              <w:left w:val="single" w:sz="8" w:space="0" w:color="auto"/>
              <w:bottom w:val="single" w:sz="4" w:space="0" w:color="000000"/>
            </w:tcBorders>
            <w:vAlign w:val="center"/>
          </w:tcPr>
          <w:p w:rsidR="000B4882" w:rsidRPr="005B5148" w:rsidRDefault="000B4882" w:rsidP="004539A3">
            <w:pPr>
              <w:widowControl/>
              <w:jc w:val="left"/>
              <w:rPr>
                <w:rFonts w:ascii="宋体" w:hAnsi="宋体" w:cs="宋体"/>
                <w:kern w:val="0"/>
                <w:sz w:val="18"/>
                <w:szCs w:val="18"/>
              </w:rPr>
            </w:pPr>
          </w:p>
        </w:tc>
        <w:tc>
          <w:tcPr>
            <w:tcW w:w="960" w:type="pct"/>
            <w:tcBorders>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31" w:type="pct"/>
            <w:tcBorders>
              <w:left w:val="single" w:sz="8" w:space="0" w:color="auto"/>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c>
          <w:tcPr>
            <w:tcW w:w="301" w:type="pct"/>
            <w:vMerge/>
            <w:tcBorders>
              <w:top w:val="single" w:sz="4" w:space="0" w:color="auto"/>
              <w:left w:val="single" w:sz="8" w:space="0" w:color="auto"/>
              <w:bottom w:val="single" w:sz="4" w:space="0" w:color="000000"/>
            </w:tcBorders>
            <w:vAlign w:val="center"/>
          </w:tcPr>
          <w:p w:rsidR="000B4882" w:rsidRPr="005B5148" w:rsidRDefault="000B4882" w:rsidP="004539A3">
            <w:pPr>
              <w:widowControl/>
              <w:jc w:val="left"/>
              <w:rPr>
                <w:rFonts w:ascii="宋体" w:hAnsi="宋体" w:cs="宋体"/>
                <w:kern w:val="0"/>
                <w:sz w:val="18"/>
                <w:szCs w:val="18"/>
              </w:rPr>
            </w:pPr>
          </w:p>
        </w:tc>
        <w:tc>
          <w:tcPr>
            <w:tcW w:w="932" w:type="pct"/>
            <w:tcBorders>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样本基金</w:t>
            </w:r>
          </w:p>
        </w:tc>
        <w:tc>
          <w:tcPr>
            <w:tcW w:w="429" w:type="pct"/>
            <w:tcBorders>
              <w:left w:val="single" w:sz="8" w:space="0" w:color="auto"/>
              <w:bottom w:val="single" w:sz="8" w:space="0" w:color="auto"/>
              <w:right w:val="single" w:sz="8" w:space="0" w:color="auto"/>
            </w:tcBorders>
            <w:shd w:val="clear" w:color="auto" w:fill="D9D9D9"/>
            <w:noWrap/>
            <w:vAlign w:val="bottom"/>
          </w:tcPr>
          <w:p w:rsidR="000B4882" w:rsidRPr="005B5148" w:rsidRDefault="000B4882" w:rsidP="004539A3">
            <w:pPr>
              <w:widowControl/>
              <w:jc w:val="center"/>
              <w:rPr>
                <w:rFonts w:ascii="宋体" w:hAnsi="宋体" w:cs="宋体"/>
                <w:b/>
                <w:kern w:val="0"/>
                <w:sz w:val="18"/>
                <w:szCs w:val="18"/>
              </w:rPr>
            </w:pPr>
            <w:r w:rsidRPr="005B5148">
              <w:rPr>
                <w:rFonts w:ascii="宋体" w:hAnsi="宋体" w:cs="宋体" w:hint="eastAsia"/>
                <w:b/>
                <w:kern w:val="0"/>
                <w:sz w:val="18"/>
                <w:szCs w:val="18"/>
              </w:rPr>
              <w:t>权重</w:t>
            </w:r>
          </w:p>
        </w:tc>
      </w:tr>
      <w:tr w:rsidR="00B149DD" w:rsidRPr="005B5148" w:rsidTr="00B149DD">
        <w:trPr>
          <w:trHeight w:val="285"/>
          <w:jc w:val="center"/>
        </w:trPr>
        <w:tc>
          <w:tcPr>
            <w:tcW w:w="1196" w:type="pct"/>
            <w:tcBorders>
              <w:top w:val="single" w:sz="8" w:space="0" w:color="auto"/>
              <w:left w:val="single" w:sz="4" w:space="0" w:color="auto"/>
              <w:bottom w:val="single" w:sz="4" w:space="0" w:color="auto"/>
              <w:right w:val="single" w:sz="4" w:space="0" w:color="auto"/>
            </w:tcBorders>
            <w:shd w:val="clear" w:color="auto" w:fill="auto"/>
            <w:noWrap/>
            <w:vAlign w:val="bottom"/>
          </w:tcPr>
          <w:p w:rsidR="00B149DD" w:rsidRPr="005B5148" w:rsidRDefault="00B149DD" w:rsidP="004539A3">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B149DD" w:rsidRPr="005B5148" w:rsidRDefault="00E921CB" w:rsidP="004539A3">
            <w:pPr>
              <w:widowControl/>
              <w:jc w:val="center"/>
              <w:rPr>
                <w:rFonts w:ascii="宋体" w:hAnsi="宋体" w:cs="宋体"/>
                <w:kern w:val="0"/>
                <w:sz w:val="18"/>
                <w:szCs w:val="18"/>
              </w:rPr>
            </w:pPr>
            <w:r>
              <w:rPr>
                <w:rFonts w:ascii="宋体" w:hAnsi="宋体" w:cs="宋体" w:hint="eastAsia"/>
                <w:kern w:val="0"/>
                <w:sz w:val="18"/>
                <w:szCs w:val="18"/>
              </w:rPr>
              <w:t>2</w:t>
            </w:r>
            <w:r w:rsidR="00B149DD" w:rsidRPr="005B5148">
              <w:rPr>
                <w:rFonts w:ascii="宋体" w:hAnsi="宋体" w:cs="宋体" w:hint="eastAsia"/>
                <w:kern w:val="0"/>
                <w:sz w:val="18"/>
                <w:szCs w:val="18"/>
              </w:rPr>
              <w:t>0%</w:t>
            </w:r>
          </w:p>
        </w:tc>
        <w:tc>
          <w:tcPr>
            <w:tcW w:w="323" w:type="pct"/>
            <w:vMerge/>
            <w:tcBorders>
              <w:top w:val="single" w:sz="8" w:space="0" w:color="auto"/>
              <w:left w:val="single" w:sz="4" w:space="0" w:color="auto"/>
              <w:bottom w:val="single" w:sz="4" w:space="0" w:color="000000"/>
              <w:right w:val="single" w:sz="4" w:space="0" w:color="auto"/>
            </w:tcBorders>
            <w:vAlign w:val="center"/>
          </w:tcPr>
          <w:p w:rsidR="00B149DD" w:rsidRPr="005B5148" w:rsidRDefault="00B149DD" w:rsidP="004539A3">
            <w:pPr>
              <w:widowControl/>
              <w:jc w:val="left"/>
              <w:rPr>
                <w:rFonts w:ascii="宋体" w:hAnsi="宋体" w:cs="宋体"/>
                <w:kern w:val="0"/>
                <w:sz w:val="18"/>
                <w:szCs w:val="18"/>
              </w:rPr>
            </w:pPr>
          </w:p>
        </w:tc>
        <w:tc>
          <w:tcPr>
            <w:tcW w:w="960" w:type="pct"/>
            <w:tcBorders>
              <w:top w:val="single" w:sz="8" w:space="0" w:color="auto"/>
              <w:left w:val="nil"/>
              <w:bottom w:val="single" w:sz="4" w:space="0" w:color="auto"/>
              <w:right w:val="single" w:sz="4" w:space="0" w:color="auto"/>
            </w:tcBorders>
            <w:shd w:val="clear" w:color="auto" w:fill="auto"/>
            <w:noWrap/>
            <w:vAlign w:val="bottom"/>
          </w:tcPr>
          <w:p w:rsidR="00B149DD" w:rsidRPr="005B5148" w:rsidRDefault="00B149DD" w:rsidP="000129DA">
            <w:pPr>
              <w:widowControl/>
              <w:jc w:val="center"/>
              <w:rPr>
                <w:rFonts w:ascii="宋体" w:hAnsi="宋体" w:cs="宋体"/>
                <w:kern w:val="0"/>
                <w:sz w:val="18"/>
                <w:szCs w:val="18"/>
              </w:rPr>
            </w:pPr>
            <w:r w:rsidRPr="003C100F">
              <w:rPr>
                <w:rFonts w:ascii="宋体" w:hAnsi="宋体" w:cs="宋体" w:hint="eastAsia"/>
                <w:kern w:val="0"/>
                <w:sz w:val="18"/>
                <w:szCs w:val="18"/>
              </w:rPr>
              <w:t>博时标普500</w:t>
            </w:r>
          </w:p>
        </w:tc>
        <w:tc>
          <w:tcPr>
            <w:tcW w:w="431" w:type="pct"/>
            <w:tcBorders>
              <w:top w:val="single" w:sz="8" w:space="0" w:color="auto"/>
              <w:left w:val="nil"/>
              <w:bottom w:val="single" w:sz="4" w:space="0" w:color="auto"/>
              <w:right w:val="single" w:sz="4" w:space="0" w:color="auto"/>
            </w:tcBorders>
            <w:shd w:val="clear" w:color="auto" w:fill="auto"/>
            <w:noWrap/>
            <w:vAlign w:val="bottom"/>
          </w:tcPr>
          <w:p w:rsidR="00B149DD" w:rsidRPr="005B5148" w:rsidRDefault="00B149DD" w:rsidP="004539A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301" w:type="pct"/>
            <w:vMerge/>
            <w:tcBorders>
              <w:top w:val="single" w:sz="8" w:space="0" w:color="auto"/>
              <w:left w:val="single" w:sz="4" w:space="0" w:color="auto"/>
              <w:bottom w:val="single" w:sz="4" w:space="0" w:color="000000"/>
              <w:right w:val="single" w:sz="4" w:space="0" w:color="auto"/>
            </w:tcBorders>
            <w:vAlign w:val="center"/>
          </w:tcPr>
          <w:p w:rsidR="00B149DD" w:rsidRPr="005B5148" w:rsidRDefault="00B149DD" w:rsidP="004539A3">
            <w:pPr>
              <w:widowControl/>
              <w:jc w:val="left"/>
              <w:rPr>
                <w:rFonts w:ascii="宋体" w:hAnsi="宋体" w:cs="宋体"/>
                <w:kern w:val="0"/>
                <w:sz w:val="18"/>
                <w:szCs w:val="18"/>
              </w:rPr>
            </w:pPr>
          </w:p>
        </w:tc>
        <w:tc>
          <w:tcPr>
            <w:tcW w:w="932" w:type="pct"/>
            <w:tcBorders>
              <w:top w:val="single" w:sz="8" w:space="0" w:color="auto"/>
              <w:left w:val="nil"/>
              <w:bottom w:val="single" w:sz="4" w:space="0" w:color="auto"/>
              <w:right w:val="single" w:sz="4" w:space="0" w:color="auto"/>
            </w:tcBorders>
            <w:shd w:val="clear" w:color="auto" w:fill="auto"/>
            <w:noWrap/>
            <w:vAlign w:val="bottom"/>
          </w:tcPr>
          <w:p w:rsidR="00B149DD" w:rsidRPr="005B5148" w:rsidRDefault="00B149DD" w:rsidP="00F84017">
            <w:pPr>
              <w:widowControl/>
              <w:jc w:val="center"/>
              <w:rPr>
                <w:rFonts w:ascii="宋体" w:hAnsi="宋体" w:cs="宋体"/>
                <w:kern w:val="0"/>
                <w:sz w:val="18"/>
                <w:szCs w:val="18"/>
              </w:rPr>
            </w:pPr>
            <w:r>
              <w:rPr>
                <w:rFonts w:ascii="宋体" w:hAnsi="宋体" w:cs="宋体" w:hint="eastAsia"/>
                <w:kern w:val="0"/>
                <w:sz w:val="18"/>
                <w:szCs w:val="18"/>
              </w:rPr>
              <w:t>建信货币</w:t>
            </w:r>
          </w:p>
        </w:tc>
        <w:tc>
          <w:tcPr>
            <w:tcW w:w="429" w:type="pct"/>
            <w:tcBorders>
              <w:top w:val="single" w:sz="8" w:space="0" w:color="auto"/>
              <w:left w:val="nil"/>
              <w:bottom w:val="single" w:sz="4" w:space="0" w:color="auto"/>
              <w:right w:val="single" w:sz="4" w:space="0" w:color="auto"/>
            </w:tcBorders>
            <w:shd w:val="clear" w:color="auto" w:fill="auto"/>
            <w:noWrap/>
            <w:vAlign w:val="bottom"/>
          </w:tcPr>
          <w:p w:rsidR="00B149DD" w:rsidRPr="005B5148" w:rsidRDefault="00B149DD" w:rsidP="004539A3">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7A2D23" w:rsidRPr="005B5148" w:rsidTr="00B149DD">
        <w:trPr>
          <w:trHeight w:val="285"/>
          <w:jc w:val="center"/>
        </w:trPr>
        <w:tc>
          <w:tcPr>
            <w:tcW w:w="1196" w:type="pct"/>
            <w:tcBorders>
              <w:top w:val="nil"/>
              <w:left w:val="single" w:sz="4" w:space="0" w:color="auto"/>
              <w:bottom w:val="single" w:sz="4" w:space="0" w:color="auto"/>
              <w:right w:val="single" w:sz="4" w:space="0" w:color="auto"/>
            </w:tcBorders>
            <w:shd w:val="clear" w:color="auto" w:fill="auto"/>
            <w:noWrap/>
            <w:vAlign w:val="bottom"/>
          </w:tcPr>
          <w:p w:rsidR="007A2D23" w:rsidRPr="00CA345B" w:rsidRDefault="007A2D23" w:rsidP="004F3B1D">
            <w:pPr>
              <w:jc w:val="center"/>
              <w:rPr>
                <w:rFonts w:ascii="宋体" w:hAnsi="宋体" w:cs="宋体"/>
                <w:sz w:val="18"/>
                <w:szCs w:val="18"/>
              </w:rPr>
            </w:pPr>
            <w:r w:rsidRPr="00375D93">
              <w:rPr>
                <w:rFonts w:hint="eastAsia"/>
                <w:sz w:val="18"/>
                <w:szCs w:val="18"/>
              </w:rPr>
              <w:t>添富价值</w:t>
            </w:r>
          </w:p>
        </w:tc>
        <w:tc>
          <w:tcPr>
            <w:tcW w:w="429" w:type="pct"/>
            <w:tcBorders>
              <w:top w:val="nil"/>
              <w:left w:val="nil"/>
              <w:bottom w:val="single" w:sz="4" w:space="0" w:color="auto"/>
              <w:right w:val="single" w:sz="4" w:space="0" w:color="auto"/>
            </w:tcBorders>
            <w:shd w:val="clear" w:color="auto" w:fill="auto"/>
            <w:noWrap/>
            <w:vAlign w:val="bottom"/>
          </w:tcPr>
          <w:p w:rsidR="007A2D23" w:rsidRPr="005B5148" w:rsidRDefault="00E921CB" w:rsidP="004539A3">
            <w:pPr>
              <w:widowControl/>
              <w:jc w:val="center"/>
              <w:rPr>
                <w:rFonts w:ascii="宋体" w:hAnsi="宋体" w:cs="宋体"/>
                <w:kern w:val="0"/>
                <w:sz w:val="18"/>
                <w:szCs w:val="18"/>
              </w:rPr>
            </w:pPr>
            <w:r>
              <w:rPr>
                <w:rFonts w:ascii="宋体" w:hAnsi="宋体" w:cs="宋体" w:hint="eastAsia"/>
                <w:kern w:val="0"/>
                <w:sz w:val="18"/>
                <w:szCs w:val="18"/>
              </w:rPr>
              <w:t>5</w:t>
            </w:r>
            <w:r w:rsidR="007A2D23">
              <w:rPr>
                <w:rFonts w:ascii="宋体" w:hAnsi="宋体" w:cs="宋体" w:hint="eastAsia"/>
                <w:kern w:val="0"/>
                <w:sz w:val="18"/>
                <w:szCs w:val="18"/>
              </w:rPr>
              <w:t>0</w:t>
            </w:r>
            <w:r w:rsidR="007A2D23" w:rsidRPr="005B5148">
              <w:rPr>
                <w:rFonts w:ascii="宋体" w:hAnsi="宋体" w:cs="宋体" w:hint="eastAsia"/>
                <w:kern w:val="0"/>
                <w:sz w:val="18"/>
                <w:szCs w:val="18"/>
              </w:rPr>
              <w:t>%</w:t>
            </w:r>
          </w:p>
        </w:tc>
        <w:tc>
          <w:tcPr>
            <w:tcW w:w="323" w:type="pct"/>
            <w:vMerge/>
            <w:tcBorders>
              <w:top w:val="single" w:sz="4" w:space="0" w:color="auto"/>
              <w:left w:val="single" w:sz="4" w:space="0" w:color="auto"/>
              <w:bottom w:val="single" w:sz="4" w:space="0" w:color="000000"/>
              <w:right w:val="single" w:sz="4" w:space="0" w:color="auto"/>
            </w:tcBorders>
            <w:vAlign w:val="center"/>
          </w:tcPr>
          <w:p w:rsidR="007A2D23" w:rsidRPr="005B5148" w:rsidRDefault="007A2D23" w:rsidP="004539A3">
            <w:pPr>
              <w:widowControl/>
              <w:jc w:val="left"/>
              <w:rPr>
                <w:rFonts w:ascii="宋体" w:hAnsi="宋体" w:cs="宋体"/>
                <w:kern w:val="0"/>
                <w:sz w:val="18"/>
                <w:szCs w:val="18"/>
              </w:rPr>
            </w:pPr>
          </w:p>
        </w:tc>
        <w:tc>
          <w:tcPr>
            <w:tcW w:w="960" w:type="pct"/>
            <w:tcBorders>
              <w:top w:val="nil"/>
              <w:left w:val="nil"/>
              <w:bottom w:val="single" w:sz="4" w:space="0" w:color="auto"/>
              <w:right w:val="single" w:sz="4" w:space="0" w:color="auto"/>
            </w:tcBorders>
            <w:shd w:val="clear" w:color="auto" w:fill="auto"/>
            <w:noWrap/>
            <w:vAlign w:val="bottom"/>
          </w:tcPr>
          <w:p w:rsidR="007A2D23" w:rsidRPr="005B5148" w:rsidRDefault="007A2D23" w:rsidP="00AC088F">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431" w:type="pct"/>
            <w:tcBorders>
              <w:top w:val="nil"/>
              <w:left w:val="nil"/>
              <w:bottom w:val="single" w:sz="4" w:space="0" w:color="auto"/>
              <w:right w:val="single" w:sz="4" w:space="0" w:color="auto"/>
            </w:tcBorders>
            <w:shd w:val="clear" w:color="auto" w:fill="auto"/>
            <w:noWrap/>
            <w:vAlign w:val="bottom"/>
          </w:tcPr>
          <w:p w:rsidR="007A2D23" w:rsidRPr="005B5148" w:rsidRDefault="007A2D23" w:rsidP="004539A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301" w:type="pct"/>
            <w:vMerge/>
            <w:tcBorders>
              <w:top w:val="single" w:sz="4" w:space="0" w:color="auto"/>
              <w:left w:val="single" w:sz="4" w:space="0" w:color="auto"/>
              <w:bottom w:val="single" w:sz="4" w:space="0" w:color="000000"/>
              <w:right w:val="single" w:sz="4" w:space="0" w:color="auto"/>
            </w:tcBorders>
            <w:vAlign w:val="center"/>
          </w:tcPr>
          <w:p w:rsidR="007A2D23" w:rsidRPr="005B5148" w:rsidRDefault="007A2D23" w:rsidP="004539A3">
            <w:pPr>
              <w:widowControl/>
              <w:jc w:val="left"/>
              <w:rPr>
                <w:rFonts w:ascii="宋体" w:hAnsi="宋体" w:cs="宋体"/>
                <w:kern w:val="0"/>
                <w:sz w:val="18"/>
                <w:szCs w:val="18"/>
              </w:rPr>
            </w:pPr>
          </w:p>
        </w:tc>
        <w:tc>
          <w:tcPr>
            <w:tcW w:w="932" w:type="pct"/>
            <w:tcBorders>
              <w:top w:val="nil"/>
              <w:left w:val="nil"/>
              <w:bottom w:val="single" w:sz="4" w:space="0" w:color="auto"/>
              <w:right w:val="single" w:sz="4" w:space="0" w:color="auto"/>
            </w:tcBorders>
            <w:shd w:val="clear" w:color="auto" w:fill="auto"/>
            <w:noWrap/>
            <w:vAlign w:val="bottom"/>
          </w:tcPr>
          <w:p w:rsidR="007A2D23" w:rsidRPr="005B5148" w:rsidRDefault="007A2D23" w:rsidP="004539A3">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429" w:type="pct"/>
            <w:tcBorders>
              <w:top w:val="nil"/>
              <w:left w:val="nil"/>
              <w:bottom w:val="single" w:sz="4" w:space="0" w:color="auto"/>
              <w:right w:val="single" w:sz="4" w:space="0" w:color="auto"/>
            </w:tcBorders>
            <w:shd w:val="clear" w:color="auto" w:fill="auto"/>
            <w:noWrap/>
            <w:vAlign w:val="bottom"/>
          </w:tcPr>
          <w:p w:rsidR="007A2D23" w:rsidRPr="005B5148" w:rsidRDefault="007A2D23" w:rsidP="004539A3">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B149DD" w:rsidRPr="005B5148" w:rsidTr="00B149DD">
        <w:trPr>
          <w:trHeight w:val="285"/>
          <w:jc w:val="center"/>
        </w:trPr>
        <w:tc>
          <w:tcPr>
            <w:tcW w:w="1196" w:type="pct"/>
            <w:tcBorders>
              <w:top w:val="nil"/>
              <w:left w:val="single" w:sz="4" w:space="0" w:color="auto"/>
              <w:bottom w:val="single" w:sz="4" w:space="0" w:color="auto"/>
              <w:right w:val="single" w:sz="4" w:space="0" w:color="auto"/>
            </w:tcBorders>
            <w:shd w:val="clear" w:color="auto" w:fill="auto"/>
            <w:noWrap/>
            <w:vAlign w:val="bottom"/>
          </w:tcPr>
          <w:p w:rsidR="00B149DD" w:rsidRPr="005B5148" w:rsidRDefault="00B149DD" w:rsidP="000129DA">
            <w:pPr>
              <w:jc w:val="center"/>
              <w:rPr>
                <w:rFonts w:ascii="宋体" w:hAnsi="宋体" w:cs="宋体"/>
                <w:kern w:val="0"/>
                <w:sz w:val="18"/>
                <w:szCs w:val="18"/>
              </w:rPr>
            </w:pPr>
            <w:r>
              <w:rPr>
                <w:rFonts w:hint="eastAsia"/>
                <w:sz w:val="18"/>
                <w:szCs w:val="18"/>
              </w:rPr>
              <w:t>国泰纳斯达克</w:t>
            </w:r>
            <w:r>
              <w:rPr>
                <w:rFonts w:hint="eastAsia"/>
                <w:sz w:val="18"/>
                <w:szCs w:val="18"/>
              </w:rPr>
              <w:t>100</w:t>
            </w:r>
          </w:p>
        </w:tc>
        <w:tc>
          <w:tcPr>
            <w:tcW w:w="429" w:type="pct"/>
            <w:tcBorders>
              <w:top w:val="nil"/>
              <w:left w:val="nil"/>
              <w:bottom w:val="single" w:sz="4" w:space="0" w:color="auto"/>
              <w:right w:val="single" w:sz="4" w:space="0" w:color="auto"/>
            </w:tcBorders>
            <w:shd w:val="clear" w:color="auto" w:fill="auto"/>
            <w:noWrap/>
            <w:vAlign w:val="bottom"/>
          </w:tcPr>
          <w:p w:rsidR="00B149DD" w:rsidRPr="005B5148" w:rsidRDefault="00B149DD" w:rsidP="004539A3">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323" w:type="pct"/>
            <w:vMerge/>
            <w:tcBorders>
              <w:top w:val="single" w:sz="4" w:space="0" w:color="auto"/>
              <w:left w:val="single" w:sz="4" w:space="0" w:color="auto"/>
              <w:bottom w:val="single" w:sz="4" w:space="0" w:color="000000"/>
              <w:right w:val="single" w:sz="4" w:space="0" w:color="auto"/>
            </w:tcBorders>
            <w:vAlign w:val="center"/>
          </w:tcPr>
          <w:p w:rsidR="00B149DD" w:rsidRPr="005B5148" w:rsidRDefault="00B149DD" w:rsidP="004539A3">
            <w:pPr>
              <w:widowControl/>
              <w:jc w:val="left"/>
              <w:rPr>
                <w:rFonts w:ascii="宋体" w:hAnsi="宋体" w:cs="宋体"/>
                <w:kern w:val="0"/>
                <w:sz w:val="18"/>
                <w:szCs w:val="18"/>
              </w:rPr>
            </w:pPr>
          </w:p>
        </w:tc>
        <w:tc>
          <w:tcPr>
            <w:tcW w:w="960" w:type="pct"/>
            <w:tcBorders>
              <w:top w:val="nil"/>
              <w:left w:val="nil"/>
              <w:bottom w:val="single" w:sz="4" w:space="0" w:color="auto"/>
              <w:right w:val="single" w:sz="4" w:space="0" w:color="auto"/>
            </w:tcBorders>
            <w:shd w:val="clear" w:color="auto" w:fill="auto"/>
            <w:noWrap/>
            <w:vAlign w:val="bottom"/>
          </w:tcPr>
          <w:p w:rsidR="00B149DD" w:rsidRPr="005B5148" w:rsidRDefault="00B149DD" w:rsidP="00F84017">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431" w:type="pct"/>
            <w:tcBorders>
              <w:top w:val="nil"/>
              <w:left w:val="nil"/>
              <w:bottom w:val="single" w:sz="4" w:space="0" w:color="auto"/>
              <w:right w:val="single" w:sz="4" w:space="0" w:color="auto"/>
            </w:tcBorders>
            <w:shd w:val="clear" w:color="auto" w:fill="auto"/>
            <w:noWrap/>
            <w:vAlign w:val="bottom"/>
          </w:tcPr>
          <w:p w:rsidR="00B149DD" w:rsidRPr="005B5148" w:rsidRDefault="00B149DD" w:rsidP="004539A3">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301" w:type="pct"/>
            <w:vMerge/>
            <w:tcBorders>
              <w:top w:val="single" w:sz="4" w:space="0" w:color="auto"/>
              <w:left w:val="single" w:sz="4" w:space="0" w:color="auto"/>
              <w:bottom w:val="single" w:sz="4" w:space="0" w:color="000000"/>
              <w:right w:val="single" w:sz="4" w:space="0" w:color="auto"/>
            </w:tcBorders>
            <w:vAlign w:val="center"/>
          </w:tcPr>
          <w:p w:rsidR="00B149DD" w:rsidRPr="005B5148" w:rsidRDefault="00B149DD" w:rsidP="004539A3">
            <w:pPr>
              <w:widowControl/>
              <w:jc w:val="left"/>
              <w:rPr>
                <w:rFonts w:ascii="宋体" w:hAnsi="宋体" w:cs="宋体"/>
                <w:kern w:val="0"/>
                <w:sz w:val="18"/>
                <w:szCs w:val="18"/>
              </w:rPr>
            </w:pPr>
          </w:p>
        </w:tc>
        <w:tc>
          <w:tcPr>
            <w:tcW w:w="932" w:type="pct"/>
            <w:tcBorders>
              <w:top w:val="nil"/>
              <w:left w:val="nil"/>
              <w:bottom w:val="single" w:sz="4" w:space="0" w:color="auto"/>
              <w:right w:val="single" w:sz="4" w:space="0" w:color="auto"/>
            </w:tcBorders>
            <w:shd w:val="clear" w:color="auto" w:fill="auto"/>
            <w:noWrap/>
            <w:vAlign w:val="bottom"/>
          </w:tcPr>
          <w:p w:rsidR="00B149DD" w:rsidRPr="0017543C" w:rsidRDefault="00B149DD" w:rsidP="004539A3">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429" w:type="pct"/>
            <w:tcBorders>
              <w:top w:val="nil"/>
              <w:left w:val="nil"/>
              <w:bottom w:val="single" w:sz="4" w:space="0" w:color="auto"/>
              <w:right w:val="single" w:sz="4" w:space="0" w:color="auto"/>
            </w:tcBorders>
            <w:shd w:val="clear" w:color="auto" w:fill="auto"/>
            <w:noWrap/>
            <w:vAlign w:val="bottom"/>
          </w:tcPr>
          <w:p w:rsidR="00B149DD" w:rsidRPr="005B5148" w:rsidRDefault="00B149DD" w:rsidP="004539A3">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bl>
    <w:p w:rsidR="000B4882" w:rsidRPr="000B4882" w:rsidRDefault="000B4882" w:rsidP="000B4882">
      <w:pPr>
        <w:ind w:firstLine="420"/>
        <w:rPr>
          <w:rFonts w:ascii="楷体_GB2312" w:eastAsia="楷体_GB2312"/>
          <w:noProof/>
          <w:color w:val="000000"/>
        </w:rPr>
        <w:sectPr w:rsidR="000B4882" w:rsidRPr="000B4882" w:rsidSect="00C24609">
          <w:headerReference w:type="default" r:id="rId10"/>
          <w:footerReference w:type="even" r:id="rId11"/>
          <w:footerReference w:type="default" r:id="rId12"/>
          <w:pgSz w:w="11906" w:h="16838"/>
          <w:pgMar w:top="3402" w:right="851" w:bottom="1418" w:left="4536" w:header="851" w:footer="992" w:gutter="0"/>
          <w:cols w:space="425"/>
          <w:docGrid w:type="lines" w:linePitch="312"/>
        </w:sectPr>
      </w:pPr>
    </w:p>
    <w:p w:rsidR="001E3B52" w:rsidRPr="007C1C3D" w:rsidRDefault="001E3B52" w:rsidP="004B0295">
      <w:pPr>
        <w:spacing w:beforeLines="100" w:afterLines="50"/>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一、</w:t>
      </w:r>
      <w:r w:rsidRPr="007C1C3D">
        <w:rPr>
          <w:rFonts w:ascii="黑体" w:eastAsia="黑体" w:hAnsi="宋体-18030" w:cs="宋体-18030" w:hint="eastAsia"/>
          <w:b/>
          <w:bCs/>
          <w:color w:val="000000"/>
          <w:kern w:val="44"/>
          <w:sz w:val="28"/>
          <w:szCs w:val="28"/>
        </w:rPr>
        <w:t xml:space="preserve">基金投资策略 </w:t>
      </w:r>
    </w:p>
    <w:p w:rsidR="001E3B52" w:rsidRPr="005E4592" w:rsidRDefault="001E3B52" w:rsidP="004B0295">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w:t>
      </w:r>
      <w:r w:rsidR="004938DD" w:rsidRPr="005E4592">
        <w:rPr>
          <w:rFonts w:ascii="黑体" w:eastAsia="黑体" w:hAnsi="宋体-18030" w:cs="宋体-18030" w:hint="eastAsia"/>
          <w:b/>
          <w:bCs/>
          <w:color w:val="003366"/>
          <w:kern w:val="44"/>
          <w:sz w:val="24"/>
        </w:rPr>
        <w:t>基础市场分析：</w:t>
      </w:r>
      <w:r w:rsidR="00553A3F">
        <w:rPr>
          <w:rFonts w:ascii="黑体" w:eastAsia="黑体" w:hAnsi="宋体-18030" w:cs="宋体-18030" w:hint="eastAsia"/>
          <w:b/>
          <w:bCs/>
          <w:color w:val="003366"/>
          <w:kern w:val="44"/>
          <w:sz w:val="24"/>
        </w:rPr>
        <w:t>经济担忧情绪升温，政策向上</w:t>
      </w:r>
      <w:r w:rsidR="00A10619">
        <w:rPr>
          <w:rFonts w:ascii="黑体" w:eastAsia="黑体" w:hAnsi="宋体-18030" w:cs="宋体-18030" w:hint="eastAsia"/>
          <w:b/>
          <w:bCs/>
          <w:color w:val="003366"/>
          <w:kern w:val="44"/>
          <w:sz w:val="24"/>
        </w:rPr>
        <w:t>预期强化</w:t>
      </w:r>
    </w:p>
    <w:p w:rsidR="006F7D9D" w:rsidRDefault="002B55C7" w:rsidP="004B0295">
      <w:pPr>
        <w:spacing w:beforeLines="50"/>
        <w:ind w:leftChars="1350" w:left="2835" w:firstLineChars="202" w:firstLine="424"/>
        <w:rPr>
          <w:rFonts w:ascii="楷体_GB2312" w:eastAsia="楷体_GB2312" w:hAnsi="宋体" w:cs="宋体"/>
          <w:kern w:val="0"/>
          <w:szCs w:val="21"/>
        </w:rPr>
      </w:pPr>
      <w:r w:rsidRPr="000171B5">
        <w:rPr>
          <w:rFonts w:ascii="楷体_GB2312" w:eastAsia="楷体_GB2312" w:hAnsi="宋体" w:cs="宋体" w:hint="eastAsia"/>
          <w:kern w:val="0"/>
          <w:szCs w:val="21"/>
        </w:rPr>
        <w:t>4月全球经济维持弱势复苏势态，</w:t>
      </w:r>
      <w:r w:rsidR="00062C2E">
        <w:rPr>
          <w:rFonts w:ascii="楷体_GB2312" w:eastAsia="楷体_GB2312" w:hAnsi="宋体" w:cs="宋体" w:hint="eastAsia"/>
          <w:kern w:val="0"/>
          <w:szCs w:val="21"/>
        </w:rPr>
        <w:t>其中</w:t>
      </w:r>
      <w:r w:rsidR="00062C2E" w:rsidRPr="003F5ECB">
        <w:rPr>
          <w:rFonts w:ascii="楷体_GB2312" w:eastAsia="楷体_GB2312" w:hAnsi="宋体" w:cs="宋体" w:hint="eastAsia"/>
          <w:kern w:val="0"/>
          <w:szCs w:val="21"/>
        </w:rPr>
        <w:t>低通胀率仍在威胁欧元区的经济复苏，但情况正在好转</w:t>
      </w:r>
      <w:r w:rsidR="00062C2E">
        <w:rPr>
          <w:rFonts w:ascii="楷体_GB2312" w:eastAsia="楷体_GB2312" w:hAnsi="宋体" w:cs="宋体" w:hint="eastAsia"/>
          <w:kern w:val="0"/>
          <w:szCs w:val="21"/>
        </w:rPr>
        <w:t>，制造业和服务业均处于扩张，</w:t>
      </w:r>
      <w:r w:rsidR="003A30F0">
        <w:rPr>
          <w:rFonts w:ascii="楷体_GB2312" w:eastAsia="楷体_GB2312" w:hAnsi="宋体" w:cs="宋体" w:hint="eastAsia"/>
          <w:kern w:val="0"/>
          <w:szCs w:val="21"/>
        </w:rPr>
        <w:t>整体经济活动趋于活跃。</w:t>
      </w:r>
      <w:r w:rsidR="006F7D9D">
        <w:rPr>
          <w:rFonts w:ascii="楷体_GB2312" w:eastAsia="楷体_GB2312" w:hAnsi="宋体" w:cs="宋体" w:hint="eastAsia"/>
          <w:kern w:val="0"/>
          <w:szCs w:val="21"/>
        </w:rPr>
        <w:t>美国受</w:t>
      </w:r>
      <w:r w:rsidR="000171B5">
        <w:rPr>
          <w:rFonts w:ascii="楷体_GB2312" w:eastAsia="楷体_GB2312" w:hAnsi="宋体" w:cs="宋体" w:hint="eastAsia"/>
          <w:kern w:val="0"/>
          <w:szCs w:val="21"/>
        </w:rPr>
        <w:t>一季度天气影响经济数据欠佳，但</w:t>
      </w:r>
      <w:r w:rsidR="00B241D0" w:rsidRPr="00485B0C">
        <w:rPr>
          <w:rFonts w:ascii="楷体_GB2312" w:eastAsia="楷体_GB2312" w:hAnsi="宋体" w:cs="宋体" w:hint="eastAsia"/>
          <w:kern w:val="0"/>
          <w:szCs w:val="21"/>
        </w:rPr>
        <w:t>经济整体需求仍温和</w:t>
      </w:r>
      <w:r w:rsidR="003F15B8" w:rsidRPr="00485B0C">
        <w:rPr>
          <w:rFonts w:ascii="楷体_GB2312" w:eastAsia="楷体_GB2312" w:hAnsi="宋体" w:cs="宋体" w:hint="eastAsia"/>
          <w:kern w:val="0"/>
          <w:szCs w:val="21"/>
        </w:rPr>
        <w:t>，</w:t>
      </w:r>
      <w:r w:rsidR="000171B5" w:rsidRPr="000171B5">
        <w:rPr>
          <w:rFonts w:ascii="楷体_GB2312" w:eastAsia="楷体_GB2312" w:hAnsi="宋体" w:cs="宋体" w:hint="eastAsia"/>
          <w:kern w:val="0"/>
          <w:szCs w:val="21"/>
        </w:rPr>
        <w:t>天气改善</w:t>
      </w:r>
      <w:r w:rsidR="003F15B8">
        <w:rPr>
          <w:rFonts w:ascii="楷体_GB2312" w:eastAsia="楷体_GB2312" w:hAnsi="宋体" w:cs="宋体" w:hint="eastAsia"/>
          <w:kern w:val="0"/>
          <w:szCs w:val="21"/>
        </w:rPr>
        <w:t>将有助于美国</w:t>
      </w:r>
      <w:r w:rsidR="000171B5" w:rsidRPr="000171B5">
        <w:rPr>
          <w:rFonts w:ascii="楷体_GB2312" w:eastAsia="楷体_GB2312" w:hAnsi="宋体" w:cs="宋体" w:hint="eastAsia"/>
          <w:kern w:val="0"/>
          <w:szCs w:val="21"/>
        </w:rPr>
        <w:t>经济近期反弹</w:t>
      </w:r>
      <w:r w:rsidR="00B241D0">
        <w:rPr>
          <w:rFonts w:ascii="楷体_GB2312" w:eastAsia="楷体_GB2312" w:hAnsi="宋体" w:cs="宋体" w:hint="eastAsia"/>
          <w:kern w:val="0"/>
          <w:szCs w:val="21"/>
        </w:rPr>
        <w:t>。</w:t>
      </w:r>
      <w:r w:rsidR="003F15B8">
        <w:rPr>
          <w:rFonts w:ascii="楷体_GB2312" w:eastAsia="楷体_GB2312" w:hAnsi="宋体" w:cs="宋体" w:hint="eastAsia"/>
          <w:kern w:val="0"/>
          <w:szCs w:val="21"/>
        </w:rPr>
        <w:t>尽管受累于地缘政治危机影响</w:t>
      </w:r>
      <w:r w:rsidR="00730FC7">
        <w:rPr>
          <w:rFonts w:ascii="楷体_GB2312" w:eastAsia="楷体_GB2312" w:hAnsi="宋体" w:cs="宋体" w:hint="eastAsia"/>
          <w:kern w:val="0"/>
          <w:szCs w:val="21"/>
        </w:rPr>
        <w:t>，</w:t>
      </w:r>
      <w:r w:rsidR="00A56D15">
        <w:rPr>
          <w:rFonts w:ascii="楷体_GB2312" w:eastAsia="楷体_GB2312" w:hAnsi="宋体" w:cs="宋体" w:hint="eastAsia"/>
          <w:kern w:val="0"/>
          <w:szCs w:val="21"/>
        </w:rPr>
        <w:t>全球市场面临投资者偏好继续回落</w:t>
      </w:r>
      <w:r w:rsidR="00730FC7">
        <w:rPr>
          <w:rFonts w:ascii="楷体_GB2312" w:eastAsia="楷体_GB2312" w:hAnsi="宋体" w:cs="宋体" w:hint="eastAsia"/>
          <w:kern w:val="0"/>
          <w:szCs w:val="21"/>
        </w:rPr>
        <w:t>的</w:t>
      </w:r>
      <w:r w:rsidR="008D03FC">
        <w:rPr>
          <w:rFonts w:ascii="楷体_GB2312" w:eastAsia="楷体_GB2312" w:hAnsi="宋体" w:cs="宋体" w:hint="eastAsia"/>
          <w:kern w:val="0"/>
          <w:szCs w:val="21"/>
        </w:rPr>
        <w:t>压力</w:t>
      </w:r>
      <w:r w:rsidR="00730FC7">
        <w:rPr>
          <w:rFonts w:ascii="楷体_GB2312" w:eastAsia="楷体_GB2312" w:hAnsi="宋体" w:cs="宋体" w:hint="eastAsia"/>
          <w:kern w:val="0"/>
          <w:szCs w:val="21"/>
        </w:rPr>
        <w:t>，但</w:t>
      </w:r>
      <w:r w:rsidR="005A0570">
        <w:rPr>
          <w:rFonts w:ascii="楷体_GB2312" w:eastAsia="楷体_GB2312" w:hAnsi="宋体" w:cs="宋体" w:hint="eastAsia"/>
          <w:kern w:val="0"/>
          <w:szCs w:val="21"/>
        </w:rPr>
        <w:t>稳健的经济形势为全球金融市场的向好奠定了基础。</w:t>
      </w:r>
    </w:p>
    <w:p w:rsidR="00AF6F85" w:rsidRPr="00DC2903" w:rsidRDefault="005A0570" w:rsidP="004B029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中国市场则呈现相反的局面，</w:t>
      </w:r>
      <w:r w:rsidR="00B33D05">
        <w:rPr>
          <w:rFonts w:ascii="楷体_GB2312" w:eastAsia="楷体_GB2312" w:hAnsi="宋体" w:cs="宋体" w:hint="eastAsia"/>
          <w:kern w:val="0"/>
          <w:szCs w:val="21"/>
        </w:rPr>
        <w:t xml:space="preserve"> </w:t>
      </w:r>
      <w:r>
        <w:rPr>
          <w:rFonts w:ascii="楷体_GB2312" w:eastAsia="楷体_GB2312" w:hAnsi="宋体" w:cs="宋体" w:hint="eastAsia"/>
          <w:kern w:val="0"/>
          <w:szCs w:val="21"/>
        </w:rPr>
        <w:t>4月经济</w:t>
      </w:r>
      <w:r w:rsidR="00FF172C">
        <w:rPr>
          <w:rFonts w:ascii="楷体_GB2312" w:eastAsia="楷体_GB2312" w:hAnsi="宋体" w:cs="宋体" w:hint="eastAsia"/>
          <w:kern w:val="0"/>
          <w:szCs w:val="21"/>
        </w:rPr>
        <w:t>“旺季不旺”使得市场对中国经济的担忧情绪升温，</w:t>
      </w:r>
      <w:r w:rsidR="00B33D05">
        <w:rPr>
          <w:rFonts w:ascii="楷体_GB2312" w:eastAsia="楷体_GB2312" w:hAnsi="宋体" w:cs="宋体" w:hint="eastAsia"/>
          <w:kern w:val="0"/>
          <w:szCs w:val="21"/>
        </w:rPr>
        <w:t>并对中国乃至亚太市场造成负面冲击。短期来看，经济向下调整的趋势目前尚未看到改善的迹象，政策面的微调行为</w:t>
      </w:r>
      <w:r w:rsidR="00286C2F">
        <w:rPr>
          <w:rFonts w:ascii="楷体_GB2312" w:eastAsia="楷体_GB2312" w:hAnsi="宋体" w:cs="宋体" w:hint="eastAsia"/>
          <w:kern w:val="0"/>
          <w:szCs w:val="21"/>
        </w:rPr>
        <w:t>验证</w:t>
      </w:r>
      <w:r w:rsidR="00A10619">
        <w:rPr>
          <w:rFonts w:ascii="楷体_GB2312" w:eastAsia="楷体_GB2312" w:hAnsi="宋体" w:cs="宋体" w:hint="eastAsia"/>
          <w:kern w:val="0"/>
          <w:szCs w:val="21"/>
        </w:rPr>
        <w:t>并强化了前期</w:t>
      </w:r>
      <w:r w:rsidR="00B33D05">
        <w:rPr>
          <w:rFonts w:ascii="楷体_GB2312" w:eastAsia="楷体_GB2312" w:hAnsi="宋体" w:cs="宋体" w:hint="eastAsia"/>
          <w:kern w:val="0"/>
          <w:szCs w:val="21"/>
        </w:rPr>
        <w:t>我们</w:t>
      </w:r>
      <w:r w:rsidR="00A10619">
        <w:rPr>
          <w:rFonts w:ascii="楷体_GB2312" w:eastAsia="楷体_GB2312" w:hAnsi="宋体" w:cs="宋体" w:hint="eastAsia"/>
          <w:kern w:val="0"/>
          <w:szCs w:val="21"/>
        </w:rPr>
        <w:t>关于</w:t>
      </w:r>
      <w:r w:rsidR="00286C2F">
        <w:rPr>
          <w:rFonts w:ascii="楷体_GB2312" w:eastAsia="楷体_GB2312" w:hAnsi="宋体" w:cs="宋体" w:hint="eastAsia"/>
          <w:kern w:val="0"/>
          <w:szCs w:val="21"/>
        </w:rPr>
        <w:t>“</w:t>
      </w:r>
      <w:r w:rsidR="00B33D05">
        <w:rPr>
          <w:rFonts w:ascii="楷体_GB2312" w:eastAsia="楷体_GB2312" w:hAnsi="宋体" w:cs="宋体" w:hint="eastAsia"/>
          <w:kern w:val="0"/>
          <w:szCs w:val="21"/>
        </w:rPr>
        <w:t>政策</w:t>
      </w:r>
      <w:r w:rsidR="00286C2F">
        <w:rPr>
          <w:rFonts w:ascii="楷体_GB2312" w:eastAsia="楷体_GB2312" w:hAnsi="宋体" w:cs="宋体" w:hint="eastAsia"/>
          <w:kern w:val="0"/>
          <w:szCs w:val="21"/>
        </w:rPr>
        <w:t>向上，</w:t>
      </w:r>
      <w:r w:rsidR="00286C2F" w:rsidRPr="00286C2F">
        <w:rPr>
          <w:rFonts w:ascii="楷体_GB2312" w:eastAsia="楷体_GB2312" w:hAnsi="宋体" w:cs="宋体" w:hint="eastAsia"/>
          <w:kern w:val="0"/>
          <w:szCs w:val="21"/>
        </w:rPr>
        <w:t>热点转向传统支柱性板块”的预期</w:t>
      </w:r>
      <w:r w:rsidR="00286C2F">
        <w:rPr>
          <w:rFonts w:ascii="楷体_GB2312" w:eastAsia="楷体_GB2312" w:hAnsi="宋体" w:cs="宋体" w:hint="eastAsia"/>
          <w:kern w:val="0"/>
          <w:szCs w:val="21"/>
        </w:rPr>
        <w:t>，预计这一现象将在未来较长一段时间内得以持续</w:t>
      </w:r>
      <w:r w:rsidR="00F30D84">
        <w:rPr>
          <w:rFonts w:ascii="楷体_GB2312" w:eastAsia="楷体_GB2312" w:hAnsi="宋体" w:cs="宋体" w:hint="eastAsia"/>
          <w:kern w:val="0"/>
          <w:szCs w:val="21"/>
        </w:rPr>
        <w:t>。</w:t>
      </w:r>
    </w:p>
    <w:p w:rsidR="001E3B52" w:rsidRPr="005E4592" w:rsidRDefault="001E3B52" w:rsidP="004B0295">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（二）</w:t>
      </w:r>
      <w:r w:rsidR="004938DD" w:rsidRPr="005E4592">
        <w:rPr>
          <w:rFonts w:ascii="黑体" w:eastAsia="黑体" w:hAnsi="宋体-18030" w:cs="宋体-18030" w:hint="eastAsia"/>
          <w:b/>
          <w:bCs/>
          <w:color w:val="003366"/>
          <w:kern w:val="44"/>
          <w:sz w:val="24"/>
        </w:rPr>
        <w:t>基金投资策略：</w:t>
      </w:r>
      <w:r w:rsidR="00A10619">
        <w:rPr>
          <w:rFonts w:ascii="黑体" w:eastAsia="黑体" w:hAnsi="宋体-18030" w:cs="宋体-18030" w:hint="eastAsia"/>
          <w:b/>
          <w:bCs/>
          <w:color w:val="003366"/>
          <w:kern w:val="44"/>
          <w:sz w:val="24"/>
        </w:rPr>
        <w:t>继续</w:t>
      </w:r>
      <w:r w:rsidR="005A496F">
        <w:rPr>
          <w:rFonts w:ascii="黑体" w:eastAsia="黑体" w:hAnsi="宋体-18030" w:cs="宋体-18030" w:hint="eastAsia"/>
          <w:b/>
          <w:bCs/>
          <w:color w:val="003366"/>
          <w:kern w:val="44"/>
          <w:sz w:val="24"/>
        </w:rPr>
        <w:t>风险维持中性，风格偏向价值</w:t>
      </w:r>
    </w:p>
    <w:p w:rsidR="00CB03D0" w:rsidRPr="00CB03D0" w:rsidRDefault="00AF6F85" w:rsidP="004B029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我们坚持</w:t>
      </w:r>
      <w:r w:rsidR="00CB03D0" w:rsidRPr="00CB03D0">
        <w:rPr>
          <w:rFonts w:ascii="楷体_GB2312" w:eastAsia="楷体_GB2312" w:hAnsi="宋体" w:cs="宋体" w:hint="eastAsia"/>
          <w:kern w:val="0"/>
          <w:szCs w:val="21"/>
        </w:rPr>
        <w:t>市场</w:t>
      </w:r>
      <w:r w:rsidR="000131EA">
        <w:rPr>
          <w:rFonts w:ascii="楷体_GB2312" w:eastAsia="楷体_GB2312" w:hAnsi="宋体" w:cs="宋体" w:hint="eastAsia"/>
          <w:kern w:val="0"/>
          <w:szCs w:val="21"/>
        </w:rPr>
        <w:t>围绕着</w:t>
      </w:r>
      <w:r w:rsidR="00CB03D0" w:rsidRPr="00CB03D0">
        <w:rPr>
          <w:rFonts w:ascii="楷体_GB2312" w:eastAsia="楷体_GB2312" w:hAnsi="宋体" w:cs="宋体" w:hint="eastAsia"/>
          <w:kern w:val="0"/>
          <w:szCs w:val="21"/>
        </w:rPr>
        <w:t>“经济</w:t>
      </w:r>
      <w:r w:rsidR="000131EA">
        <w:rPr>
          <w:rFonts w:ascii="楷体_GB2312" w:eastAsia="楷体_GB2312" w:hAnsi="宋体" w:cs="宋体" w:hint="eastAsia"/>
          <w:kern w:val="0"/>
          <w:szCs w:val="21"/>
        </w:rPr>
        <w:t>向下”和“政策向上</w:t>
      </w:r>
      <w:r w:rsidR="00CB03D0" w:rsidRPr="00CB03D0">
        <w:rPr>
          <w:rFonts w:ascii="楷体_GB2312" w:eastAsia="楷体_GB2312" w:hAnsi="宋体" w:cs="宋体" w:hint="eastAsia"/>
          <w:kern w:val="0"/>
          <w:szCs w:val="21"/>
        </w:rPr>
        <w:t>”</w:t>
      </w:r>
      <w:r w:rsidR="000131EA">
        <w:rPr>
          <w:rFonts w:ascii="楷体_GB2312" w:eastAsia="楷体_GB2312" w:hAnsi="宋体" w:cs="宋体" w:hint="eastAsia"/>
          <w:kern w:val="0"/>
          <w:szCs w:val="21"/>
        </w:rPr>
        <w:t>波动</w:t>
      </w:r>
      <w:r>
        <w:rPr>
          <w:rFonts w:ascii="楷体_GB2312" w:eastAsia="楷体_GB2312" w:hAnsi="宋体" w:cs="宋体" w:hint="eastAsia"/>
          <w:kern w:val="0"/>
          <w:szCs w:val="21"/>
        </w:rPr>
        <w:t>这一观点</w:t>
      </w:r>
      <w:r w:rsidR="00CB03D0" w:rsidRPr="00CB03D0">
        <w:rPr>
          <w:rFonts w:ascii="楷体_GB2312" w:eastAsia="楷体_GB2312" w:hAnsi="宋体" w:cs="宋体" w:hint="eastAsia"/>
          <w:kern w:val="0"/>
          <w:szCs w:val="21"/>
        </w:rPr>
        <w:t>，</w:t>
      </w:r>
      <w:r w:rsidR="007830CA">
        <w:rPr>
          <w:rFonts w:ascii="楷体_GB2312" w:eastAsia="楷体_GB2312" w:hAnsi="宋体" w:cs="宋体" w:hint="eastAsia"/>
          <w:kern w:val="0"/>
          <w:szCs w:val="21"/>
        </w:rPr>
        <w:t>短期市场仍将在</w:t>
      </w:r>
      <w:r w:rsidR="00C3396C" w:rsidRPr="00C3396C">
        <w:rPr>
          <w:rFonts w:ascii="楷体_GB2312" w:eastAsia="楷体_GB2312" w:hAnsi="宋体" w:cs="宋体" w:hint="eastAsia"/>
          <w:kern w:val="0"/>
          <w:szCs w:val="21"/>
        </w:rPr>
        <w:t>经济下行和IPO重启的压力下震荡</w:t>
      </w:r>
      <w:r w:rsidR="00FE29C8">
        <w:rPr>
          <w:rFonts w:ascii="楷体_GB2312" w:eastAsia="楷体_GB2312" w:hAnsi="宋体" w:cs="宋体" w:hint="eastAsia"/>
          <w:kern w:val="0"/>
          <w:szCs w:val="21"/>
        </w:rPr>
        <w:t>，投资机会主要集中于政策推动的</w:t>
      </w:r>
      <w:r w:rsidR="00CB03D0" w:rsidRPr="00CB03D0">
        <w:rPr>
          <w:rFonts w:ascii="楷体_GB2312" w:eastAsia="楷体_GB2312" w:hAnsi="宋体" w:cs="宋体" w:hint="eastAsia"/>
          <w:kern w:val="0"/>
          <w:szCs w:val="21"/>
        </w:rPr>
        <w:t>结构性行情</w:t>
      </w:r>
      <w:r w:rsidR="000131EA">
        <w:rPr>
          <w:rFonts w:ascii="楷体_GB2312" w:eastAsia="楷体_GB2312" w:hAnsi="宋体" w:cs="宋体" w:hint="eastAsia"/>
          <w:kern w:val="0"/>
          <w:szCs w:val="21"/>
        </w:rPr>
        <w:t>。</w:t>
      </w:r>
      <w:r w:rsidR="00FE29C8">
        <w:rPr>
          <w:rFonts w:ascii="楷体_GB2312" w:eastAsia="楷体_GB2312" w:hAnsi="宋体" w:cs="宋体" w:hint="eastAsia"/>
          <w:kern w:val="0"/>
          <w:szCs w:val="21"/>
        </w:rPr>
        <w:t>当然，长期来看，</w:t>
      </w:r>
      <w:r w:rsidR="00CB03D0" w:rsidRPr="00CB03D0">
        <w:rPr>
          <w:rFonts w:ascii="楷体_GB2312" w:eastAsia="楷体_GB2312" w:hAnsi="宋体" w:cs="宋体" w:hint="eastAsia"/>
          <w:kern w:val="0"/>
          <w:szCs w:val="21"/>
        </w:rPr>
        <w:t>低廉的市场估值和中国经济转型的推进为</w:t>
      </w:r>
      <w:r w:rsidR="00844280">
        <w:rPr>
          <w:rFonts w:ascii="楷体_GB2312" w:eastAsia="楷体_GB2312" w:hAnsi="宋体" w:cs="宋体" w:hint="eastAsia"/>
          <w:kern w:val="0"/>
          <w:szCs w:val="21"/>
        </w:rPr>
        <w:t>股票</w:t>
      </w:r>
      <w:r w:rsidR="00CB03D0" w:rsidRPr="00CB03D0">
        <w:rPr>
          <w:rFonts w:ascii="楷体_GB2312" w:eastAsia="楷体_GB2312" w:hAnsi="宋体" w:cs="宋体" w:hint="eastAsia"/>
          <w:kern w:val="0"/>
          <w:szCs w:val="21"/>
        </w:rPr>
        <w:t>市场奠定了长期投资的价值基础。</w:t>
      </w:r>
      <w:r w:rsidR="00F442B3">
        <w:rPr>
          <w:rFonts w:ascii="楷体_GB2312" w:eastAsia="楷体_GB2312" w:hAnsi="宋体" w:cs="宋体" w:hint="eastAsia"/>
          <w:kern w:val="0"/>
          <w:szCs w:val="21"/>
        </w:rPr>
        <w:t>维持上期建议：</w:t>
      </w:r>
      <w:r w:rsidR="00CB03D0" w:rsidRPr="00CB03D0">
        <w:rPr>
          <w:rFonts w:ascii="楷体_GB2312" w:eastAsia="楷体_GB2312" w:hAnsi="宋体" w:cs="宋体" w:hint="eastAsia"/>
          <w:kern w:val="0"/>
          <w:szCs w:val="21"/>
        </w:rPr>
        <w:t>高风险偏好的投资者</w:t>
      </w:r>
      <w:r w:rsidR="0016597C">
        <w:rPr>
          <w:rFonts w:ascii="楷体_GB2312" w:eastAsia="楷体_GB2312" w:hAnsi="宋体" w:cs="宋体" w:hint="eastAsia"/>
          <w:kern w:val="0"/>
          <w:szCs w:val="21"/>
        </w:rPr>
        <w:t>和阶段性投资者密切关注政策主题，积极把握短期市场结构性机会；</w:t>
      </w:r>
      <w:r w:rsidR="00CB03D0" w:rsidRPr="00CB03D0">
        <w:rPr>
          <w:rFonts w:ascii="楷体_GB2312" w:eastAsia="楷体_GB2312" w:hAnsi="宋体" w:cs="宋体" w:hint="eastAsia"/>
          <w:kern w:val="0"/>
          <w:szCs w:val="21"/>
        </w:rPr>
        <w:t>中低风险投资者和配置型投资者均衡布局，把握股市长期投资价值。</w:t>
      </w:r>
    </w:p>
    <w:p w:rsidR="0016597C" w:rsidRDefault="00CB03D0" w:rsidP="004B0295">
      <w:pPr>
        <w:spacing w:beforeLines="50"/>
        <w:ind w:leftChars="1350" w:left="2835" w:firstLineChars="202" w:firstLine="424"/>
        <w:rPr>
          <w:rFonts w:ascii="楷体_GB2312" w:eastAsia="楷体_GB2312" w:hAnsi="宋体" w:cs="宋体"/>
          <w:kern w:val="0"/>
          <w:szCs w:val="21"/>
        </w:rPr>
      </w:pPr>
      <w:r w:rsidRPr="00E25CA0">
        <w:rPr>
          <w:rFonts w:ascii="楷体_GB2312" w:eastAsia="楷体_GB2312" w:hAnsi="宋体" w:cs="宋体" w:hint="eastAsia"/>
          <w:kern w:val="0"/>
          <w:szCs w:val="21"/>
        </w:rPr>
        <w:t>权益类基金方面，</w:t>
      </w:r>
      <w:r w:rsidR="008F4DC0" w:rsidRPr="00E25CA0">
        <w:rPr>
          <w:rFonts w:ascii="楷体_GB2312" w:eastAsia="楷体_GB2312" w:hAnsi="宋体" w:cs="宋体" w:hint="eastAsia"/>
          <w:kern w:val="0"/>
          <w:szCs w:val="21"/>
        </w:rPr>
        <w:t>建议投资者</w:t>
      </w:r>
      <w:r w:rsidR="00675C56" w:rsidRPr="00E25CA0">
        <w:rPr>
          <w:rFonts w:ascii="楷体_GB2312" w:eastAsia="楷体_GB2312" w:hAnsi="宋体" w:cs="宋体" w:hint="eastAsia"/>
          <w:kern w:val="0"/>
          <w:szCs w:val="21"/>
        </w:rPr>
        <w:t>继续</w:t>
      </w:r>
      <w:r w:rsidR="00F442B3" w:rsidRPr="00E25CA0">
        <w:rPr>
          <w:rFonts w:ascii="楷体_GB2312" w:eastAsia="楷体_GB2312" w:hAnsi="宋体" w:cs="宋体" w:hint="eastAsia"/>
          <w:kern w:val="0"/>
          <w:szCs w:val="21"/>
        </w:rPr>
        <w:t>维持</w:t>
      </w:r>
      <w:r w:rsidR="00844280" w:rsidRPr="00E25CA0">
        <w:rPr>
          <w:rFonts w:ascii="楷体_GB2312" w:eastAsia="楷体_GB2312" w:hAnsi="宋体" w:cs="宋体" w:hint="eastAsia"/>
          <w:kern w:val="0"/>
          <w:szCs w:val="21"/>
        </w:rPr>
        <w:t>风险</w:t>
      </w:r>
      <w:r w:rsidR="00F442B3" w:rsidRPr="00E25CA0">
        <w:rPr>
          <w:rFonts w:ascii="楷体_GB2312" w:eastAsia="楷体_GB2312" w:hAnsi="宋体" w:cs="宋体" w:hint="eastAsia"/>
          <w:kern w:val="0"/>
          <w:szCs w:val="21"/>
        </w:rPr>
        <w:t>中性</w:t>
      </w:r>
      <w:r w:rsidR="00844280" w:rsidRPr="00E25CA0">
        <w:rPr>
          <w:rFonts w:ascii="楷体_GB2312" w:eastAsia="楷体_GB2312" w:hAnsi="宋体" w:cs="宋体" w:hint="eastAsia"/>
          <w:kern w:val="0"/>
          <w:szCs w:val="21"/>
        </w:rPr>
        <w:t>的</w:t>
      </w:r>
      <w:r w:rsidR="00F442B3" w:rsidRPr="00E25CA0">
        <w:rPr>
          <w:rFonts w:ascii="楷体_GB2312" w:eastAsia="楷体_GB2312" w:hAnsi="宋体" w:cs="宋体" w:hint="eastAsia"/>
          <w:kern w:val="0"/>
          <w:szCs w:val="21"/>
        </w:rPr>
        <w:t>配置</w:t>
      </w:r>
      <w:r w:rsidR="00844280" w:rsidRPr="00E25CA0">
        <w:rPr>
          <w:rFonts w:ascii="楷体_GB2312" w:eastAsia="楷体_GB2312" w:hAnsi="宋体" w:cs="宋体" w:hint="eastAsia"/>
          <w:kern w:val="0"/>
          <w:szCs w:val="21"/>
        </w:rPr>
        <w:t>结构</w:t>
      </w:r>
      <w:r w:rsidR="00F442B3" w:rsidRPr="00E25CA0">
        <w:rPr>
          <w:rFonts w:ascii="楷体_GB2312" w:eastAsia="楷体_GB2312" w:hAnsi="宋体" w:cs="宋体" w:hint="eastAsia"/>
          <w:kern w:val="0"/>
          <w:szCs w:val="21"/>
        </w:rPr>
        <w:t>，</w:t>
      </w:r>
      <w:r w:rsidR="008F4DC0" w:rsidRPr="00E25CA0">
        <w:rPr>
          <w:rFonts w:ascii="楷体_GB2312" w:eastAsia="楷体_GB2312" w:hAnsi="宋体" w:cs="宋体" w:hint="eastAsia"/>
          <w:kern w:val="0"/>
          <w:szCs w:val="21"/>
        </w:rPr>
        <w:t>沿着政策放开路径把握市场结构性行情。</w:t>
      </w:r>
      <w:r w:rsidR="005A496F" w:rsidRPr="00E25CA0">
        <w:rPr>
          <w:rFonts w:ascii="楷体_GB2312" w:eastAsia="楷体_GB2312" w:hAnsi="宋体" w:cs="宋体" w:hint="eastAsia"/>
          <w:kern w:val="0"/>
          <w:szCs w:val="21"/>
        </w:rPr>
        <w:t>组合风格配置上，</w:t>
      </w:r>
      <w:r w:rsidR="00675C56" w:rsidRPr="00E25CA0">
        <w:rPr>
          <w:rFonts w:ascii="楷体_GB2312" w:eastAsia="楷体_GB2312" w:hAnsi="宋体" w:cs="宋体" w:hint="eastAsia"/>
          <w:kern w:val="0"/>
          <w:szCs w:val="21"/>
        </w:rPr>
        <w:t>创业板</w:t>
      </w:r>
      <w:r w:rsidR="00C558EA" w:rsidRPr="00E25CA0">
        <w:rPr>
          <w:rFonts w:ascii="楷体_GB2312" w:eastAsia="楷体_GB2312" w:hAnsi="宋体" w:cs="宋体" w:hint="eastAsia"/>
          <w:kern w:val="0"/>
          <w:szCs w:val="21"/>
        </w:rPr>
        <w:t>的风险</w:t>
      </w:r>
      <w:r w:rsidR="00675C56" w:rsidRPr="00E25CA0">
        <w:rPr>
          <w:rFonts w:ascii="楷体_GB2312" w:eastAsia="楷体_GB2312" w:hAnsi="宋体" w:cs="宋体" w:hint="eastAsia"/>
          <w:kern w:val="0"/>
          <w:szCs w:val="21"/>
        </w:rPr>
        <w:t>在IPO重启压力下</w:t>
      </w:r>
      <w:r w:rsidR="00C558EA" w:rsidRPr="00E25CA0">
        <w:rPr>
          <w:rFonts w:ascii="楷体_GB2312" w:eastAsia="楷体_GB2312" w:hAnsi="宋体" w:cs="宋体" w:hint="eastAsia"/>
          <w:kern w:val="0"/>
          <w:szCs w:val="21"/>
        </w:rPr>
        <w:t>更加凸显，建议投资者继续谨慎对待主要持仓以创业板为首的小市值高估值股票的基金，侧重关注重点投资主板市场</w:t>
      </w:r>
      <w:r w:rsidR="00CF7D6A" w:rsidRPr="00E25CA0">
        <w:rPr>
          <w:rFonts w:ascii="楷体_GB2312" w:eastAsia="楷体_GB2312" w:hAnsi="宋体" w:cs="宋体" w:hint="eastAsia"/>
          <w:kern w:val="0"/>
          <w:szCs w:val="21"/>
        </w:rPr>
        <w:t>绩优基金，在风格上</w:t>
      </w:r>
      <w:r w:rsidR="00804F8B" w:rsidRPr="00E25CA0">
        <w:rPr>
          <w:rFonts w:ascii="楷体_GB2312" w:eastAsia="楷体_GB2312" w:hAnsi="宋体" w:cs="宋体" w:hint="eastAsia"/>
          <w:kern w:val="0"/>
          <w:szCs w:val="21"/>
        </w:rPr>
        <w:t>迎合经济政策调整动态，</w:t>
      </w:r>
      <w:r w:rsidR="00CF7D6A" w:rsidRPr="00E25CA0">
        <w:rPr>
          <w:rFonts w:ascii="楷体_GB2312" w:eastAsia="楷体_GB2312" w:hAnsi="宋体" w:cs="宋体" w:hint="eastAsia"/>
          <w:kern w:val="0"/>
          <w:szCs w:val="21"/>
        </w:rPr>
        <w:t>重点配置重仓传统支柱性板块的蓝筹价值型基金</w:t>
      </w:r>
      <w:r w:rsidR="00804F8B" w:rsidRPr="00E25CA0">
        <w:rPr>
          <w:rFonts w:ascii="楷体_GB2312" w:eastAsia="楷体_GB2312" w:hAnsi="宋体" w:cs="宋体" w:hint="eastAsia"/>
          <w:kern w:val="0"/>
          <w:szCs w:val="21"/>
        </w:rPr>
        <w:t>。</w:t>
      </w:r>
    </w:p>
    <w:p w:rsidR="001C760A" w:rsidRPr="00CB03D0" w:rsidRDefault="00CB03D0" w:rsidP="004B0295">
      <w:pPr>
        <w:spacing w:beforeLines="50"/>
        <w:ind w:leftChars="1350" w:left="2835" w:firstLineChars="202" w:firstLine="424"/>
        <w:rPr>
          <w:rFonts w:ascii="楷体_GB2312" w:eastAsia="楷体_GB2312" w:hAnsi="宋体" w:cs="宋体"/>
          <w:kern w:val="0"/>
          <w:szCs w:val="21"/>
        </w:rPr>
      </w:pPr>
      <w:r w:rsidRPr="00E25CA0">
        <w:rPr>
          <w:rFonts w:ascii="楷体_GB2312" w:eastAsia="楷体_GB2312" w:hAnsi="宋体" w:cs="宋体" w:hint="eastAsia"/>
          <w:kern w:val="0"/>
          <w:szCs w:val="21"/>
        </w:rPr>
        <w:t>固定收益率基金方面，</w:t>
      </w:r>
      <w:r w:rsidR="004F2329" w:rsidRPr="00E25CA0">
        <w:rPr>
          <w:rFonts w:ascii="楷体_GB2312" w:eastAsia="楷体_GB2312" w:hAnsi="宋体" w:cs="宋体" w:hint="eastAsia"/>
          <w:kern w:val="0"/>
          <w:szCs w:val="21"/>
        </w:rPr>
        <w:t>定向降准和</w:t>
      </w:r>
      <w:r w:rsidR="00495098" w:rsidRPr="00E25CA0">
        <w:rPr>
          <w:rFonts w:ascii="楷体_GB2312" w:eastAsia="楷体_GB2312" w:hAnsi="宋体" w:cs="宋体" w:hint="eastAsia"/>
          <w:kern w:val="0"/>
          <w:szCs w:val="21"/>
        </w:rPr>
        <w:t>关于</w:t>
      </w:r>
      <w:r w:rsidR="004F2329" w:rsidRPr="00E25CA0">
        <w:rPr>
          <w:rFonts w:ascii="楷体_GB2312" w:eastAsia="楷体_GB2312" w:hAnsi="宋体" w:cs="宋体" w:hint="eastAsia"/>
          <w:kern w:val="0"/>
          <w:szCs w:val="21"/>
        </w:rPr>
        <w:t>放宽外资机构</w:t>
      </w:r>
      <w:r w:rsidR="00495098" w:rsidRPr="00E25CA0">
        <w:rPr>
          <w:rFonts w:ascii="楷体_GB2312" w:eastAsia="楷体_GB2312" w:hAnsi="宋体" w:cs="宋体" w:hint="eastAsia"/>
          <w:kern w:val="0"/>
          <w:szCs w:val="21"/>
        </w:rPr>
        <w:t>进入</w:t>
      </w:r>
      <w:r w:rsidR="004F2329" w:rsidRPr="00E25CA0">
        <w:rPr>
          <w:rFonts w:ascii="楷体_GB2312" w:eastAsia="楷体_GB2312" w:hAnsi="宋体" w:cs="宋体" w:hint="eastAsia"/>
          <w:kern w:val="0"/>
          <w:szCs w:val="21"/>
        </w:rPr>
        <w:t>中国债市</w:t>
      </w:r>
      <w:r w:rsidR="00495098" w:rsidRPr="00E25CA0">
        <w:rPr>
          <w:rFonts w:ascii="楷体_GB2312" w:eastAsia="楷体_GB2312" w:hAnsi="宋体" w:cs="宋体" w:hint="eastAsia"/>
          <w:kern w:val="0"/>
          <w:szCs w:val="21"/>
        </w:rPr>
        <w:t>准入条件的消息均有利于债市表现，</w:t>
      </w:r>
      <w:r w:rsidR="00243497" w:rsidRPr="00E25CA0">
        <w:rPr>
          <w:rFonts w:ascii="楷体_GB2312" w:eastAsia="楷体_GB2312" w:hAnsi="宋体" w:cs="宋体" w:hint="eastAsia"/>
          <w:kern w:val="0"/>
          <w:szCs w:val="21"/>
        </w:rPr>
        <w:t>但</w:t>
      </w:r>
      <w:r w:rsidR="007B5A20" w:rsidRPr="00E25CA0">
        <w:rPr>
          <w:rFonts w:ascii="楷体_GB2312" w:eastAsia="楷体_GB2312" w:hAnsi="宋体" w:cs="宋体" w:hint="eastAsia"/>
          <w:kern w:val="0"/>
          <w:szCs w:val="21"/>
        </w:rPr>
        <w:t>难以</w:t>
      </w:r>
      <w:r w:rsidR="00485B0C">
        <w:rPr>
          <w:rFonts w:ascii="楷体_GB2312" w:eastAsia="楷体_GB2312" w:hAnsi="宋体" w:cs="宋体" w:hint="eastAsia"/>
          <w:kern w:val="0"/>
          <w:szCs w:val="21"/>
        </w:rPr>
        <w:t>掩盖</w:t>
      </w:r>
      <w:r w:rsidR="00243497" w:rsidRPr="00E25CA0">
        <w:rPr>
          <w:rFonts w:ascii="楷体_GB2312" w:eastAsia="楷体_GB2312" w:hAnsi="宋体" w:cs="宋体" w:hint="eastAsia"/>
          <w:kern w:val="0"/>
          <w:szCs w:val="21"/>
        </w:rPr>
        <w:t>人民币贬值和利率市场化</w:t>
      </w:r>
      <w:r w:rsidR="007B5A20" w:rsidRPr="00E25CA0">
        <w:rPr>
          <w:rFonts w:ascii="楷体_GB2312" w:eastAsia="楷体_GB2312" w:hAnsi="宋体" w:cs="宋体" w:hint="eastAsia"/>
          <w:kern w:val="0"/>
          <w:szCs w:val="21"/>
        </w:rPr>
        <w:t>对债市的制约，经济下行</w:t>
      </w:r>
      <w:r w:rsidR="004B0295">
        <w:rPr>
          <w:rFonts w:ascii="楷体_GB2312" w:eastAsia="楷体_GB2312" w:hAnsi="宋体" w:cs="宋体" w:hint="eastAsia"/>
          <w:kern w:val="0"/>
          <w:szCs w:val="21"/>
        </w:rPr>
        <w:t>背景下</w:t>
      </w:r>
      <w:r w:rsidR="00F30D84">
        <w:rPr>
          <w:rFonts w:ascii="楷体_GB2312" w:eastAsia="楷体_GB2312" w:hAnsi="宋体" w:cs="宋体" w:hint="eastAsia"/>
          <w:kern w:val="0"/>
          <w:szCs w:val="21"/>
        </w:rPr>
        <w:t>信用债违约风险</w:t>
      </w:r>
      <w:r w:rsidR="00890512" w:rsidRPr="00E25CA0">
        <w:rPr>
          <w:rFonts w:ascii="楷体_GB2312" w:eastAsia="楷体_GB2312" w:hAnsi="宋体" w:cs="宋体" w:hint="eastAsia"/>
          <w:kern w:val="0"/>
          <w:szCs w:val="21"/>
        </w:rPr>
        <w:t>不断加码</w:t>
      </w:r>
      <w:r w:rsidR="00F30D84">
        <w:rPr>
          <w:rFonts w:ascii="楷体_GB2312" w:eastAsia="楷体_GB2312" w:hAnsi="宋体" w:cs="宋体" w:hint="eastAsia"/>
          <w:kern w:val="0"/>
          <w:szCs w:val="21"/>
        </w:rPr>
        <w:t>。因此，</w:t>
      </w:r>
      <w:r w:rsidR="00890512" w:rsidRPr="00E25CA0">
        <w:rPr>
          <w:rFonts w:ascii="楷体_GB2312" w:eastAsia="楷体_GB2312" w:hAnsi="宋体" w:cs="宋体" w:hint="eastAsia"/>
          <w:kern w:val="0"/>
          <w:szCs w:val="21"/>
        </w:rPr>
        <w:t>短期市场流动性宽松或继续助推债市上扬，但</w:t>
      </w:r>
      <w:r w:rsidR="00F30D84">
        <w:rPr>
          <w:rFonts w:ascii="楷体_GB2312" w:eastAsia="楷体_GB2312" w:hAnsi="宋体" w:cs="宋体" w:hint="eastAsia"/>
          <w:kern w:val="0"/>
          <w:szCs w:val="21"/>
        </w:rPr>
        <w:t>债市</w:t>
      </w:r>
      <w:r w:rsidR="00890512" w:rsidRPr="00E25CA0">
        <w:rPr>
          <w:rFonts w:ascii="楷体_GB2312" w:eastAsia="楷体_GB2312" w:hAnsi="宋体" w:cs="宋体" w:hint="eastAsia"/>
          <w:kern w:val="0"/>
          <w:szCs w:val="21"/>
        </w:rPr>
        <w:t>整体风险</w:t>
      </w:r>
      <w:r w:rsidR="00F30D84" w:rsidRPr="00E25CA0">
        <w:rPr>
          <w:rFonts w:ascii="楷体_GB2312" w:eastAsia="楷体_GB2312" w:hAnsi="宋体" w:cs="宋体" w:hint="eastAsia"/>
          <w:kern w:val="0"/>
          <w:szCs w:val="21"/>
        </w:rPr>
        <w:t>仍然</w:t>
      </w:r>
      <w:r w:rsidR="00890512" w:rsidRPr="00E25CA0">
        <w:rPr>
          <w:rFonts w:ascii="楷体_GB2312" w:eastAsia="楷体_GB2312" w:hAnsi="宋体" w:cs="宋体" w:hint="eastAsia"/>
          <w:kern w:val="0"/>
          <w:szCs w:val="21"/>
        </w:rPr>
        <w:t>大于机会，建议投资者</w:t>
      </w:r>
      <w:r w:rsidR="00CF2DA3" w:rsidRPr="00E25CA0">
        <w:rPr>
          <w:rFonts w:ascii="楷体_GB2312" w:eastAsia="楷体_GB2312" w:hAnsi="宋体" w:cs="宋体" w:hint="eastAsia"/>
          <w:color w:val="000000"/>
          <w:kern w:val="0"/>
          <w:szCs w:val="21"/>
        </w:rPr>
        <w:t>建议投资者维持</w:t>
      </w:r>
      <w:r w:rsidR="00000E9F" w:rsidRPr="00E25CA0">
        <w:rPr>
          <w:rFonts w:ascii="楷体_GB2312" w:eastAsia="楷体_GB2312" w:hAnsi="宋体" w:cs="宋体" w:hint="eastAsia"/>
          <w:color w:val="000000"/>
          <w:kern w:val="0"/>
          <w:szCs w:val="21"/>
        </w:rPr>
        <w:t>谨慎，关注短久期高等级券种，回避低</w:t>
      </w:r>
      <w:r w:rsidR="004B0295" w:rsidRPr="00E25CA0">
        <w:rPr>
          <w:rFonts w:ascii="楷体_GB2312" w:eastAsia="楷体_GB2312" w:hAnsi="宋体" w:cs="宋体" w:hint="eastAsia"/>
          <w:color w:val="000000"/>
          <w:kern w:val="0"/>
          <w:szCs w:val="21"/>
        </w:rPr>
        <w:t>等</w:t>
      </w:r>
      <w:r w:rsidR="00000E9F" w:rsidRPr="00E25CA0">
        <w:rPr>
          <w:rFonts w:ascii="楷体_GB2312" w:eastAsia="楷体_GB2312" w:hAnsi="宋体" w:cs="宋体" w:hint="eastAsia"/>
          <w:color w:val="000000"/>
          <w:kern w:val="0"/>
          <w:szCs w:val="21"/>
        </w:rPr>
        <w:t>级券种。</w:t>
      </w:r>
      <w:r w:rsidR="003C7A2D" w:rsidRPr="00E25CA0">
        <w:rPr>
          <w:rFonts w:ascii="楷体_GB2312" w:eastAsia="楷体_GB2312" w:hAnsi="宋体" w:cs="宋体" w:hint="eastAsia"/>
          <w:color w:val="000000"/>
          <w:kern w:val="0"/>
          <w:szCs w:val="21"/>
        </w:rPr>
        <w:t>另一方面，</w:t>
      </w:r>
      <w:r w:rsidR="00000E9F" w:rsidRPr="00E25CA0">
        <w:rPr>
          <w:rFonts w:ascii="楷体_GB2312" w:eastAsia="楷体_GB2312" w:hAnsi="宋体" w:cs="宋体" w:hint="eastAsia"/>
          <w:color w:val="000000"/>
          <w:kern w:val="0"/>
          <w:szCs w:val="21"/>
        </w:rPr>
        <w:t>当前债市收益率</w:t>
      </w:r>
      <w:r w:rsidR="00CF2DA3" w:rsidRPr="00E25CA0">
        <w:rPr>
          <w:rFonts w:ascii="楷体_GB2312" w:eastAsia="楷体_GB2312" w:hAnsi="宋体" w:cs="宋体" w:hint="eastAsia"/>
          <w:color w:val="000000"/>
          <w:kern w:val="0"/>
          <w:szCs w:val="21"/>
        </w:rPr>
        <w:t>持续上涨的趋势已经打破，</w:t>
      </w:r>
      <w:r w:rsidR="001C760A" w:rsidRPr="00E25CA0">
        <w:rPr>
          <w:rFonts w:ascii="楷体_GB2312" w:eastAsia="楷体_GB2312" w:hAnsi="宋体" w:cs="宋体" w:hint="eastAsia"/>
          <w:color w:val="000000"/>
          <w:kern w:val="0"/>
          <w:szCs w:val="21"/>
        </w:rPr>
        <w:t>尽管收益率仍然有上升空间，但</w:t>
      </w:r>
      <w:r w:rsidR="001C760A" w:rsidRPr="00E25CA0">
        <w:rPr>
          <w:rFonts w:ascii="楷体_GB2312" w:eastAsia="楷体_GB2312" w:hAnsi="宋体" w:cs="宋体" w:hint="eastAsia"/>
          <w:kern w:val="0"/>
          <w:szCs w:val="21"/>
        </w:rPr>
        <w:t>息票收入稳定可观，</w:t>
      </w:r>
      <w:r w:rsidR="00E25CA0" w:rsidRPr="00E25CA0">
        <w:rPr>
          <w:rFonts w:ascii="楷体_GB2312" w:eastAsia="楷体_GB2312" w:hAnsi="宋体" w:cs="宋体" w:hint="eastAsia"/>
          <w:color w:val="000000"/>
          <w:kern w:val="0"/>
          <w:szCs w:val="21"/>
        </w:rPr>
        <w:t>长期配置价值</w:t>
      </w:r>
      <w:r w:rsidR="004A4C9A">
        <w:rPr>
          <w:rFonts w:ascii="楷体_GB2312" w:eastAsia="楷体_GB2312" w:hAnsi="宋体" w:cs="宋体" w:hint="eastAsia"/>
          <w:color w:val="000000"/>
          <w:kern w:val="0"/>
          <w:szCs w:val="21"/>
        </w:rPr>
        <w:t>凸显</w:t>
      </w:r>
      <w:r w:rsidR="00E25CA0" w:rsidRPr="00E25CA0">
        <w:rPr>
          <w:rFonts w:ascii="楷体_GB2312" w:eastAsia="楷体_GB2312" w:hAnsi="宋体" w:cs="宋体" w:hint="eastAsia"/>
          <w:color w:val="000000"/>
          <w:kern w:val="0"/>
          <w:szCs w:val="21"/>
        </w:rPr>
        <w:t>，</w:t>
      </w:r>
      <w:r w:rsidR="001C760A" w:rsidRPr="00E25CA0">
        <w:rPr>
          <w:rFonts w:ascii="楷体_GB2312" w:eastAsia="楷体_GB2312" w:hAnsi="宋体" w:cs="宋体" w:hint="eastAsia"/>
          <w:kern w:val="0"/>
          <w:szCs w:val="21"/>
        </w:rPr>
        <w:t>建议投资者密切关注债券型基金蕴含的长期配置价值。</w:t>
      </w:r>
    </w:p>
    <w:p w:rsidR="00840C8D" w:rsidRDefault="00CB03D0" w:rsidP="004B0295">
      <w:pPr>
        <w:spacing w:beforeLines="50"/>
        <w:ind w:leftChars="1350" w:left="2835" w:firstLineChars="202" w:firstLine="424"/>
        <w:rPr>
          <w:rFonts w:ascii="楷体_GB2312" w:eastAsia="楷体_GB2312" w:hAnsi="宋体" w:cs="宋体"/>
          <w:kern w:val="0"/>
          <w:szCs w:val="21"/>
        </w:rPr>
      </w:pPr>
      <w:r w:rsidRPr="00CB03D0">
        <w:rPr>
          <w:rFonts w:ascii="楷体_GB2312" w:eastAsia="楷体_GB2312" w:hAnsi="宋体" w:cs="宋体" w:hint="eastAsia"/>
          <w:kern w:val="0"/>
          <w:szCs w:val="21"/>
        </w:rPr>
        <w:t>QDII方面，</w:t>
      </w:r>
      <w:r w:rsidR="004A4C9A">
        <w:rPr>
          <w:rFonts w:ascii="楷体_GB2312" w:eastAsia="楷体_GB2312" w:hAnsi="宋体" w:cs="宋体" w:hint="eastAsia"/>
          <w:kern w:val="0"/>
          <w:szCs w:val="21"/>
        </w:rPr>
        <w:t>我们维持上期判断，</w:t>
      </w:r>
      <w:r w:rsidR="00840C8D">
        <w:rPr>
          <w:rFonts w:ascii="楷体_GB2312" w:eastAsia="楷体_GB2312" w:hAnsi="宋体" w:cs="宋体" w:hint="eastAsia"/>
          <w:color w:val="000000"/>
          <w:kern w:val="0"/>
          <w:szCs w:val="21"/>
        </w:rPr>
        <w:t>全球经济重心和投资重心均向美欧</w:t>
      </w:r>
      <w:r w:rsidR="00840C8D">
        <w:rPr>
          <w:rFonts w:ascii="楷体_GB2312" w:eastAsia="楷体_GB2312" w:hAnsi="宋体" w:cs="宋体" w:hint="eastAsia"/>
          <w:color w:val="000000"/>
          <w:kern w:val="0"/>
          <w:szCs w:val="21"/>
        </w:rPr>
        <w:lastRenderedPageBreak/>
        <w:t>成熟市场移动，新兴经济体则面临需求疲软和资本外逃的双重压力。</w:t>
      </w:r>
      <w:r w:rsidR="003451CC">
        <w:rPr>
          <w:rFonts w:ascii="楷体_GB2312" w:eastAsia="楷体_GB2312" w:hAnsi="宋体" w:cs="宋体" w:hint="eastAsia"/>
          <w:color w:val="000000"/>
          <w:kern w:val="0"/>
          <w:szCs w:val="21"/>
        </w:rPr>
        <w:t>其中</w:t>
      </w:r>
      <w:r w:rsidR="004A4C9A">
        <w:rPr>
          <w:rFonts w:ascii="楷体_GB2312" w:eastAsia="楷体_GB2312" w:hAnsi="宋体" w:cs="宋体" w:hint="eastAsia"/>
          <w:color w:val="000000"/>
          <w:kern w:val="0"/>
          <w:szCs w:val="21"/>
        </w:rPr>
        <w:t>美</w:t>
      </w:r>
      <w:r w:rsidR="00852B4F">
        <w:rPr>
          <w:rFonts w:ascii="楷体_GB2312" w:eastAsia="楷体_GB2312" w:hAnsi="宋体" w:cs="宋体" w:hint="eastAsia"/>
          <w:color w:val="000000"/>
          <w:kern w:val="0"/>
          <w:szCs w:val="21"/>
        </w:rPr>
        <w:t>欧成熟</w:t>
      </w:r>
      <w:r w:rsidR="004A4C9A">
        <w:rPr>
          <w:rFonts w:ascii="楷体_GB2312" w:eastAsia="楷体_GB2312" w:hAnsi="宋体" w:cs="宋体" w:hint="eastAsia"/>
          <w:color w:val="000000"/>
          <w:kern w:val="0"/>
          <w:szCs w:val="21"/>
        </w:rPr>
        <w:t>市场</w:t>
      </w:r>
      <w:r w:rsidR="003451CC">
        <w:rPr>
          <w:rFonts w:ascii="楷体_GB2312" w:eastAsia="楷体_GB2312" w:hAnsi="宋体" w:cs="宋体" w:hint="eastAsia"/>
          <w:color w:val="000000"/>
          <w:kern w:val="0"/>
          <w:szCs w:val="21"/>
        </w:rPr>
        <w:t>或</w:t>
      </w:r>
      <w:r w:rsidR="004A4C9A">
        <w:rPr>
          <w:rFonts w:ascii="楷体_GB2312" w:eastAsia="楷体_GB2312" w:hAnsi="宋体" w:cs="宋体" w:hint="eastAsia"/>
          <w:color w:val="000000"/>
          <w:kern w:val="0"/>
          <w:szCs w:val="21"/>
        </w:rPr>
        <w:t>存在短期调整压力，但随着市场对乌克兰局势的消化和</w:t>
      </w:r>
      <w:r w:rsidR="00852B4F">
        <w:rPr>
          <w:rFonts w:ascii="楷体_GB2312" w:eastAsia="楷体_GB2312" w:hAnsi="宋体" w:cs="宋体" w:hint="eastAsia"/>
          <w:color w:val="000000"/>
          <w:kern w:val="0"/>
          <w:szCs w:val="21"/>
        </w:rPr>
        <w:t>美欧</w:t>
      </w:r>
      <w:r w:rsidR="004A4C9A">
        <w:rPr>
          <w:rFonts w:ascii="楷体_GB2312" w:eastAsia="楷体_GB2312" w:hAnsi="宋体" w:cs="宋体" w:hint="eastAsia"/>
          <w:color w:val="000000"/>
          <w:kern w:val="0"/>
          <w:szCs w:val="21"/>
        </w:rPr>
        <w:t>经济的持续复苏，</w:t>
      </w:r>
      <w:r w:rsidR="004C5156">
        <w:rPr>
          <w:rFonts w:ascii="楷体_GB2312" w:eastAsia="楷体_GB2312" w:hAnsi="宋体" w:cs="宋体" w:hint="eastAsia"/>
          <w:color w:val="000000"/>
          <w:kern w:val="0"/>
          <w:szCs w:val="21"/>
        </w:rPr>
        <w:t>相应市场</w:t>
      </w:r>
      <w:r w:rsidR="003451CC">
        <w:rPr>
          <w:rFonts w:ascii="楷体_GB2312" w:eastAsia="楷体_GB2312" w:hAnsi="宋体" w:cs="宋体" w:hint="eastAsia"/>
          <w:color w:val="000000"/>
          <w:kern w:val="0"/>
          <w:szCs w:val="21"/>
        </w:rPr>
        <w:t>仍然是最值得投资的市场之一</w:t>
      </w:r>
      <w:r w:rsidR="00840C8D">
        <w:rPr>
          <w:rFonts w:ascii="楷体_GB2312" w:eastAsia="楷体_GB2312" w:hAnsi="宋体" w:cs="宋体" w:hint="eastAsia"/>
          <w:color w:val="000000"/>
          <w:kern w:val="0"/>
          <w:szCs w:val="21"/>
        </w:rPr>
        <w:t>。</w:t>
      </w:r>
      <w:r w:rsidR="00852B4F">
        <w:rPr>
          <w:rFonts w:ascii="楷体_GB2312" w:eastAsia="楷体_GB2312" w:hAnsi="宋体" w:cs="宋体" w:hint="eastAsia"/>
          <w:color w:val="000000"/>
          <w:kern w:val="0"/>
          <w:szCs w:val="21"/>
        </w:rPr>
        <w:t>美国经济增长</w:t>
      </w:r>
      <w:r w:rsidR="004C5156">
        <w:rPr>
          <w:rFonts w:ascii="楷体_GB2312" w:eastAsia="楷体_GB2312" w:hAnsi="宋体" w:cs="宋体" w:hint="eastAsia"/>
          <w:color w:val="000000"/>
          <w:kern w:val="0"/>
          <w:szCs w:val="21"/>
        </w:rPr>
        <w:t>也助推了</w:t>
      </w:r>
      <w:r w:rsidR="00852B4F">
        <w:rPr>
          <w:rFonts w:ascii="楷体_GB2312" w:eastAsia="楷体_GB2312" w:hAnsi="宋体" w:cs="宋体" w:hint="eastAsia"/>
          <w:color w:val="000000"/>
          <w:kern w:val="0"/>
          <w:szCs w:val="21"/>
        </w:rPr>
        <w:t>美元走强，从而</w:t>
      </w:r>
      <w:r w:rsidR="003451CC">
        <w:rPr>
          <w:rFonts w:ascii="楷体_GB2312" w:eastAsia="楷体_GB2312" w:hAnsi="宋体" w:cs="宋体" w:hint="eastAsia"/>
          <w:color w:val="000000"/>
          <w:kern w:val="0"/>
          <w:szCs w:val="21"/>
        </w:rPr>
        <w:t>压制黄金价格走势</w:t>
      </w:r>
      <w:r w:rsidR="00852B4F">
        <w:rPr>
          <w:rFonts w:ascii="楷体_GB2312" w:eastAsia="楷体_GB2312" w:hAnsi="宋体" w:cs="宋体" w:hint="eastAsia"/>
          <w:color w:val="000000"/>
          <w:kern w:val="0"/>
          <w:szCs w:val="21"/>
        </w:rPr>
        <w:t>；</w:t>
      </w:r>
      <w:r w:rsidR="004C5156">
        <w:rPr>
          <w:rFonts w:ascii="楷体_GB2312" w:eastAsia="楷体_GB2312" w:hAnsi="宋体" w:cs="宋体" w:hint="eastAsia"/>
          <w:color w:val="000000"/>
          <w:kern w:val="0"/>
          <w:szCs w:val="21"/>
        </w:rPr>
        <w:t>受全球需求大国中国、印度的</w:t>
      </w:r>
      <w:r w:rsidR="003451CC">
        <w:rPr>
          <w:rFonts w:ascii="楷体_GB2312" w:eastAsia="楷体_GB2312" w:hAnsi="宋体" w:cs="宋体" w:hint="eastAsia"/>
          <w:color w:val="000000"/>
          <w:kern w:val="0"/>
          <w:szCs w:val="21"/>
        </w:rPr>
        <w:t>需求疲软</w:t>
      </w:r>
      <w:r w:rsidR="004C5156">
        <w:rPr>
          <w:rFonts w:ascii="楷体_GB2312" w:eastAsia="楷体_GB2312" w:hAnsi="宋体" w:cs="宋体" w:hint="eastAsia"/>
          <w:color w:val="000000"/>
          <w:kern w:val="0"/>
          <w:szCs w:val="21"/>
        </w:rPr>
        <w:t>影响，</w:t>
      </w:r>
      <w:r w:rsidR="003451CC">
        <w:rPr>
          <w:rFonts w:ascii="楷体_GB2312" w:eastAsia="楷体_GB2312" w:hAnsi="宋体" w:cs="宋体" w:hint="eastAsia"/>
          <w:color w:val="000000"/>
          <w:kern w:val="0"/>
          <w:szCs w:val="21"/>
        </w:rPr>
        <w:t>大宗商品价格继续面临调整威胁</w:t>
      </w:r>
      <w:r w:rsidR="004C5156">
        <w:rPr>
          <w:rFonts w:ascii="楷体_GB2312" w:eastAsia="楷体_GB2312" w:hAnsi="宋体" w:cs="宋体" w:hint="eastAsia"/>
          <w:color w:val="000000"/>
          <w:kern w:val="0"/>
          <w:szCs w:val="21"/>
        </w:rPr>
        <w:t>。因此，</w:t>
      </w:r>
      <w:r w:rsidR="00840C8D">
        <w:rPr>
          <w:rFonts w:ascii="楷体_GB2312" w:eastAsia="楷体_GB2312" w:hAnsi="宋体" w:cs="宋体" w:hint="eastAsia"/>
          <w:color w:val="000000"/>
          <w:kern w:val="0"/>
          <w:szCs w:val="21"/>
        </w:rPr>
        <w:t>建议投资者维持上期配置策略，</w:t>
      </w:r>
      <w:r w:rsidR="00840C8D" w:rsidRPr="00CB03D0">
        <w:rPr>
          <w:rFonts w:ascii="楷体_GB2312" w:eastAsia="楷体_GB2312" w:hAnsi="宋体" w:cs="宋体" w:hint="eastAsia"/>
          <w:kern w:val="0"/>
          <w:szCs w:val="21"/>
        </w:rPr>
        <w:t>侧重于关注基金中主要投资发达国家股票市场</w:t>
      </w:r>
      <w:r w:rsidR="00840C8D">
        <w:rPr>
          <w:rFonts w:ascii="楷体_GB2312" w:eastAsia="楷体_GB2312" w:hAnsi="宋体" w:cs="宋体" w:hint="eastAsia"/>
          <w:kern w:val="0"/>
          <w:szCs w:val="21"/>
        </w:rPr>
        <w:t>QDII，适当回避新兴市场QDII和</w:t>
      </w:r>
      <w:r w:rsidR="00840C8D" w:rsidRPr="00CB03D0">
        <w:rPr>
          <w:rFonts w:ascii="楷体_GB2312" w:eastAsia="楷体_GB2312" w:hAnsi="宋体" w:cs="宋体" w:hint="eastAsia"/>
          <w:kern w:val="0"/>
          <w:szCs w:val="21"/>
        </w:rPr>
        <w:t>资源品、商品类QDII</w:t>
      </w:r>
      <w:r w:rsidR="00840C8D">
        <w:rPr>
          <w:rFonts w:ascii="楷体_GB2312" w:eastAsia="楷体_GB2312" w:hAnsi="宋体" w:cs="宋体" w:hint="eastAsia"/>
          <w:kern w:val="0"/>
          <w:szCs w:val="21"/>
        </w:rPr>
        <w:t>。</w:t>
      </w:r>
    </w:p>
    <w:p w:rsidR="001E3B52" w:rsidRPr="005E4592" w:rsidRDefault="004938DD" w:rsidP="004B0295">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1E3B52" w:rsidRPr="005E4592">
        <w:rPr>
          <w:rFonts w:ascii="黑体" w:eastAsia="黑体" w:hAnsi="宋体-18030" w:cs="宋体-18030" w:hint="eastAsia"/>
          <w:b/>
          <w:bCs/>
          <w:color w:val="003366"/>
          <w:kern w:val="44"/>
          <w:sz w:val="24"/>
        </w:rPr>
        <w:t>基金组合推荐</w:t>
      </w:r>
    </w:p>
    <w:p w:rsidR="001E3B52" w:rsidRPr="00E921CB" w:rsidRDefault="001E3B52" w:rsidP="004B0295">
      <w:pPr>
        <w:spacing w:beforeLines="50"/>
        <w:ind w:leftChars="1350" w:left="2835" w:firstLineChars="202" w:firstLine="424"/>
        <w:rPr>
          <w:rFonts w:ascii="楷体_GB2312" w:eastAsia="楷体_GB2312" w:hAnsi="宋体" w:cs="宋体"/>
          <w:kern w:val="0"/>
          <w:szCs w:val="21"/>
        </w:rPr>
      </w:pPr>
      <w:r w:rsidRPr="003A2393">
        <w:rPr>
          <w:rFonts w:ascii="楷体_GB2312" w:eastAsia="楷体_GB2312" w:hAnsi="宋体" w:cs="宋体" w:hint="eastAsia"/>
          <w:kern w:val="0"/>
          <w:szCs w:val="21"/>
        </w:rPr>
        <w:t>具体到组合构建上，我们在“</w:t>
      </w:r>
      <w:r w:rsidR="004B0295">
        <w:rPr>
          <w:rFonts w:ascii="楷体_GB2312" w:eastAsia="楷体_GB2312" w:hAnsi="宋体" w:cs="宋体" w:hint="eastAsia"/>
          <w:kern w:val="0"/>
          <w:szCs w:val="21"/>
        </w:rPr>
        <w:t>继续</w:t>
      </w:r>
      <w:r w:rsidR="004B0295" w:rsidRPr="004B0295">
        <w:rPr>
          <w:rFonts w:ascii="楷体_GB2312" w:eastAsia="楷体_GB2312" w:hAnsi="宋体" w:cs="宋体" w:hint="eastAsia"/>
          <w:kern w:val="0"/>
          <w:szCs w:val="21"/>
        </w:rPr>
        <w:t>风险维持中性，风格偏向价值</w:t>
      </w:r>
      <w:r w:rsidRPr="003A2393">
        <w:rPr>
          <w:rFonts w:ascii="楷体_GB2312" w:eastAsia="楷体_GB2312" w:hAnsi="宋体" w:cs="宋体" w:hint="eastAsia"/>
          <w:kern w:val="0"/>
          <w:szCs w:val="21"/>
        </w:rPr>
        <w:t>”的基金投资策略指引下，充分考虑资产配置、行业结构、投资风格分散化原则，构建投资组合以供投资参考。</w:t>
      </w:r>
      <w:r w:rsidRPr="00E921CB">
        <w:rPr>
          <w:rFonts w:ascii="楷体_GB2312" w:eastAsia="楷体_GB2312" w:hAnsi="宋体" w:cs="宋体" w:hint="eastAsia"/>
          <w:kern w:val="0"/>
          <w:szCs w:val="21"/>
        </w:rPr>
        <w:t>本期组合</w:t>
      </w:r>
      <w:r w:rsidR="00C95CA2">
        <w:rPr>
          <w:rFonts w:ascii="楷体_GB2312" w:eastAsia="楷体_GB2312" w:hAnsi="宋体" w:cs="宋体" w:hint="eastAsia"/>
          <w:kern w:val="0"/>
          <w:szCs w:val="21"/>
        </w:rPr>
        <w:t>不做调整</w:t>
      </w:r>
      <w:r w:rsidRPr="00E921CB">
        <w:rPr>
          <w:rFonts w:ascii="楷体_GB2312" w:eastAsia="楷体_GB2312" w:hAnsi="宋体" w:cs="宋体" w:hint="eastAsia"/>
          <w:kern w:val="0"/>
          <w:szCs w:val="21"/>
        </w:rPr>
        <w:t>。</w:t>
      </w:r>
    </w:p>
    <w:p w:rsidR="001E3B52" w:rsidRPr="00E921CB" w:rsidRDefault="001E3B52" w:rsidP="005E24D9">
      <w:pPr>
        <w:spacing w:line="360" w:lineRule="auto"/>
        <w:ind w:left="4017" w:hangingChars="2223" w:hanging="4017"/>
        <w:jc w:val="center"/>
        <w:rPr>
          <w:rFonts w:ascii="楷体_GB2312" w:eastAsia="楷体_GB2312"/>
          <w:b/>
          <w:noProof/>
          <w:color w:val="000000"/>
        </w:rPr>
      </w:pPr>
      <w:r w:rsidRPr="00E921CB">
        <w:rPr>
          <w:rFonts w:ascii="楷体_GB2312" w:eastAsia="楷体_GB2312" w:hint="eastAsia"/>
          <w:b/>
          <w:color w:val="000000"/>
          <w:sz w:val="18"/>
          <w:szCs w:val="18"/>
        </w:rPr>
        <w:t>表1上海证券基金评价研究中心基金组合</w:t>
      </w:r>
    </w:p>
    <w:tbl>
      <w:tblPr>
        <w:tblW w:w="5000" w:type="pct"/>
        <w:jc w:val="center"/>
        <w:tblLook w:val="0000"/>
      </w:tblPr>
      <w:tblGrid>
        <w:gridCol w:w="1790"/>
        <w:gridCol w:w="930"/>
        <w:gridCol w:w="731"/>
        <w:gridCol w:w="1790"/>
        <w:gridCol w:w="930"/>
        <w:gridCol w:w="680"/>
        <w:gridCol w:w="1887"/>
        <w:gridCol w:w="833"/>
      </w:tblGrid>
      <w:tr w:rsidR="001E3B52" w:rsidRPr="00E921CB" w:rsidTr="00A422E1">
        <w:trPr>
          <w:trHeight w:val="285"/>
          <w:jc w:val="center"/>
        </w:trPr>
        <w:tc>
          <w:tcPr>
            <w:tcW w:w="1421"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积极型组合</w:t>
            </w:r>
          </w:p>
        </w:tc>
        <w:tc>
          <w:tcPr>
            <w:tcW w:w="382"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421"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平衡型组合</w:t>
            </w:r>
          </w:p>
        </w:tc>
        <w:tc>
          <w:tcPr>
            <w:tcW w:w="355" w:type="pct"/>
            <w:vMerge w:val="restart"/>
            <w:tcBorders>
              <w:top w:val="single" w:sz="4" w:space="0" w:color="auto"/>
              <w:left w:val="single" w:sz="4" w:space="0" w:color="000000"/>
              <w:bottom w:val="single" w:sz="4" w:space="0" w:color="000000"/>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p>
        </w:tc>
        <w:tc>
          <w:tcPr>
            <w:tcW w:w="1421" w:type="pct"/>
            <w:gridSpan w:val="2"/>
            <w:tcBorders>
              <w:top w:val="single" w:sz="4" w:space="0" w:color="auto"/>
              <w:left w:val="single" w:sz="4" w:space="0" w:color="auto"/>
              <w:right w:val="single" w:sz="4" w:space="0" w:color="000000"/>
            </w:tcBorders>
            <w:shd w:val="clear" w:color="auto" w:fill="0000FF"/>
            <w:noWrap/>
            <w:vAlign w:val="bottom"/>
          </w:tcPr>
          <w:p w:rsidR="001E3B52" w:rsidRPr="00E921CB" w:rsidRDefault="001E3B52" w:rsidP="00A422E1">
            <w:pPr>
              <w:widowControl/>
              <w:jc w:val="center"/>
              <w:rPr>
                <w:rFonts w:ascii="宋体" w:hAnsi="宋体" w:cs="宋体"/>
                <w:b/>
                <w:color w:val="FFFFFF"/>
                <w:kern w:val="0"/>
                <w:sz w:val="18"/>
                <w:szCs w:val="18"/>
              </w:rPr>
            </w:pPr>
            <w:r w:rsidRPr="00E921CB">
              <w:rPr>
                <w:rFonts w:ascii="宋体" w:hAnsi="宋体" w:cs="宋体" w:hint="eastAsia"/>
                <w:b/>
                <w:color w:val="FFFFFF"/>
                <w:kern w:val="0"/>
                <w:sz w:val="18"/>
                <w:szCs w:val="18"/>
              </w:rPr>
              <w:t>稳定型组合</w:t>
            </w:r>
          </w:p>
        </w:tc>
      </w:tr>
      <w:tr w:rsidR="001E3B52" w:rsidRPr="00E921CB" w:rsidTr="00A422E1">
        <w:trPr>
          <w:trHeight w:val="285"/>
          <w:jc w:val="center"/>
        </w:trPr>
        <w:tc>
          <w:tcPr>
            <w:tcW w:w="935"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8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82"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35"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86"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c>
          <w:tcPr>
            <w:tcW w:w="355" w:type="pct"/>
            <w:vMerge/>
            <w:tcBorders>
              <w:top w:val="single" w:sz="4" w:space="0" w:color="auto"/>
              <w:left w:val="single" w:sz="8" w:space="0" w:color="auto"/>
              <w:bottom w:val="single" w:sz="4" w:space="0" w:color="000000"/>
            </w:tcBorders>
            <w:vAlign w:val="center"/>
          </w:tcPr>
          <w:p w:rsidR="001E3B52" w:rsidRPr="00E921CB" w:rsidRDefault="001E3B52" w:rsidP="00A422E1">
            <w:pPr>
              <w:widowControl/>
              <w:jc w:val="left"/>
              <w:rPr>
                <w:rFonts w:ascii="宋体" w:hAnsi="宋体" w:cs="宋体"/>
                <w:kern w:val="0"/>
                <w:sz w:val="18"/>
                <w:szCs w:val="18"/>
              </w:rPr>
            </w:pPr>
          </w:p>
        </w:tc>
        <w:tc>
          <w:tcPr>
            <w:tcW w:w="986" w:type="pct"/>
            <w:tcBorders>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样本基金</w:t>
            </w:r>
          </w:p>
        </w:tc>
        <w:tc>
          <w:tcPr>
            <w:tcW w:w="435" w:type="pct"/>
            <w:tcBorders>
              <w:left w:val="single" w:sz="8" w:space="0" w:color="auto"/>
              <w:bottom w:val="single" w:sz="8" w:space="0" w:color="auto"/>
              <w:right w:val="single" w:sz="8" w:space="0" w:color="auto"/>
            </w:tcBorders>
            <w:shd w:val="clear" w:color="auto" w:fill="D9D9D9"/>
            <w:noWrap/>
            <w:vAlign w:val="bottom"/>
          </w:tcPr>
          <w:p w:rsidR="001E3B52" w:rsidRPr="00E921CB" w:rsidRDefault="001E3B52" w:rsidP="00A422E1">
            <w:pPr>
              <w:widowControl/>
              <w:jc w:val="center"/>
              <w:rPr>
                <w:rFonts w:ascii="宋体" w:hAnsi="宋体" w:cs="宋体"/>
                <w:b/>
                <w:kern w:val="0"/>
                <w:sz w:val="18"/>
                <w:szCs w:val="18"/>
              </w:rPr>
            </w:pPr>
            <w:r w:rsidRPr="00E921CB">
              <w:rPr>
                <w:rFonts w:ascii="宋体" w:hAnsi="宋体" w:cs="宋体" w:hint="eastAsia"/>
                <w:b/>
                <w:kern w:val="0"/>
                <w:sz w:val="18"/>
                <w:szCs w:val="18"/>
              </w:rPr>
              <w:t>权重</w:t>
            </w:r>
          </w:p>
        </w:tc>
      </w:tr>
      <w:tr w:rsidR="001E3B52" w:rsidRPr="00E921CB" w:rsidTr="00A422E1">
        <w:trPr>
          <w:trHeight w:val="285"/>
          <w:jc w:val="center"/>
        </w:trPr>
        <w:tc>
          <w:tcPr>
            <w:tcW w:w="935" w:type="pct"/>
            <w:tcBorders>
              <w:top w:val="single" w:sz="8" w:space="0" w:color="auto"/>
              <w:left w:val="single" w:sz="4" w:space="0" w:color="auto"/>
              <w:bottom w:val="single" w:sz="4" w:space="0" w:color="auto"/>
              <w:right w:val="single" w:sz="4" w:space="0" w:color="auto"/>
            </w:tcBorders>
            <w:shd w:val="clear" w:color="auto" w:fill="auto"/>
            <w:noWrap/>
            <w:vAlign w:val="bottom"/>
          </w:tcPr>
          <w:p w:rsidR="001E3B52" w:rsidRPr="00E921CB" w:rsidRDefault="001E3B52" w:rsidP="00A422E1">
            <w:pPr>
              <w:jc w:val="center"/>
              <w:rPr>
                <w:rFonts w:ascii="宋体" w:hAnsi="宋体" w:cs="宋体"/>
                <w:sz w:val="18"/>
                <w:szCs w:val="18"/>
              </w:rPr>
            </w:pPr>
            <w:r w:rsidRPr="00E921CB">
              <w:rPr>
                <w:rFonts w:hint="eastAsia"/>
                <w:sz w:val="18"/>
                <w:szCs w:val="18"/>
              </w:rPr>
              <w:t>银河成长</w:t>
            </w:r>
          </w:p>
        </w:tc>
        <w:tc>
          <w:tcPr>
            <w:tcW w:w="486" w:type="pct"/>
            <w:tcBorders>
              <w:top w:val="single" w:sz="8" w:space="0" w:color="auto"/>
              <w:left w:val="nil"/>
              <w:bottom w:val="single" w:sz="4" w:space="0" w:color="auto"/>
              <w:right w:val="single" w:sz="4" w:space="0" w:color="auto"/>
            </w:tcBorders>
            <w:shd w:val="clear" w:color="auto" w:fill="auto"/>
            <w:noWrap/>
            <w:vAlign w:val="bottom"/>
          </w:tcPr>
          <w:p w:rsidR="001E3B52" w:rsidRPr="00E921CB" w:rsidRDefault="00E921CB" w:rsidP="00A422E1">
            <w:pPr>
              <w:widowControl/>
              <w:jc w:val="center"/>
              <w:rPr>
                <w:rFonts w:ascii="宋体" w:hAnsi="宋体" w:cs="宋体"/>
                <w:kern w:val="0"/>
                <w:sz w:val="18"/>
                <w:szCs w:val="18"/>
              </w:rPr>
            </w:pPr>
            <w:r w:rsidRPr="00E921CB">
              <w:rPr>
                <w:rFonts w:ascii="宋体" w:hAnsi="宋体" w:cs="宋体" w:hint="eastAsia"/>
                <w:kern w:val="0"/>
                <w:sz w:val="18"/>
                <w:szCs w:val="18"/>
              </w:rPr>
              <w:t>2</w:t>
            </w:r>
            <w:r w:rsidR="001E3B52" w:rsidRPr="00E921CB">
              <w:rPr>
                <w:rFonts w:ascii="宋体" w:hAnsi="宋体" w:cs="宋体" w:hint="eastAsia"/>
                <w:kern w:val="0"/>
                <w:sz w:val="18"/>
                <w:szCs w:val="18"/>
              </w:rPr>
              <w:t>0%</w:t>
            </w:r>
          </w:p>
        </w:tc>
        <w:tc>
          <w:tcPr>
            <w:tcW w:w="382" w:type="pct"/>
            <w:vMerge/>
            <w:tcBorders>
              <w:top w:val="single" w:sz="8"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35" w:type="pct"/>
            <w:tcBorders>
              <w:top w:val="single" w:sz="8" w:space="0" w:color="auto"/>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博时标普500</w:t>
            </w:r>
          </w:p>
        </w:tc>
        <w:tc>
          <w:tcPr>
            <w:tcW w:w="486" w:type="pct"/>
            <w:tcBorders>
              <w:top w:val="single" w:sz="8" w:space="0" w:color="auto"/>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25%</w:t>
            </w:r>
          </w:p>
        </w:tc>
        <w:tc>
          <w:tcPr>
            <w:tcW w:w="355" w:type="pct"/>
            <w:vMerge/>
            <w:tcBorders>
              <w:top w:val="single" w:sz="8"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86" w:type="pct"/>
            <w:tcBorders>
              <w:top w:val="single" w:sz="8" w:space="0" w:color="auto"/>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建信货币</w:t>
            </w:r>
          </w:p>
        </w:tc>
        <w:tc>
          <w:tcPr>
            <w:tcW w:w="435" w:type="pct"/>
            <w:tcBorders>
              <w:top w:val="single" w:sz="8" w:space="0" w:color="auto"/>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30%</w:t>
            </w:r>
          </w:p>
        </w:tc>
      </w:tr>
      <w:tr w:rsidR="001E3B52" w:rsidRPr="00E921CB" w:rsidTr="00A422E1">
        <w:trPr>
          <w:trHeight w:val="285"/>
          <w:jc w:val="center"/>
        </w:trPr>
        <w:tc>
          <w:tcPr>
            <w:tcW w:w="935" w:type="pct"/>
            <w:tcBorders>
              <w:top w:val="nil"/>
              <w:left w:val="single" w:sz="4" w:space="0" w:color="auto"/>
              <w:bottom w:val="single" w:sz="4" w:space="0" w:color="auto"/>
              <w:right w:val="single" w:sz="4" w:space="0" w:color="auto"/>
            </w:tcBorders>
            <w:shd w:val="clear" w:color="auto" w:fill="auto"/>
            <w:noWrap/>
            <w:vAlign w:val="bottom"/>
          </w:tcPr>
          <w:p w:rsidR="001E3B52" w:rsidRPr="00E921CB" w:rsidRDefault="001E3B52" w:rsidP="00A422E1">
            <w:pPr>
              <w:jc w:val="center"/>
              <w:rPr>
                <w:rFonts w:ascii="宋体" w:hAnsi="宋体" w:cs="宋体"/>
                <w:sz w:val="18"/>
                <w:szCs w:val="18"/>
              </w:rPr>
            </w:pPr>
            <w:r w:rsidRPr="00E921CB">
              <w:rPr>
                <w:rFonts w:hint="eastAsia"/>
                <w:sz w:val="18"/>
                <w:szCs w:val="18"/>
              </w:rPr>
              <w:t>添富价值</w:t>
            </w:r>
          </w:p>
        </w:tc>
        <w:tc>
          <w:tcPr>
            <w:tcW w:w="486" w:type="pct"/>
            <w:tcBorders>
              <w:top w:val="nil"/>
              <w:left w:val="nil"/>
              <w:bottom w:val="single" w:sz="4" w:space="0" w:color="auto"/>
              <w:right w:val="single" w:sz="4" w:space="0" w:color="auto"/>
            </w:tcBorders>
            <w:shd w:val="clear" w:color="auto" w:fill="auto"/>
            <w:noWrap/>
            <w:vAlign w:val="bottom"/>
          </w:tcPr>
          <w:p w:rsidR="001E3B52" w:rsidRPr="00E921CB" w:rsidRDefault="00E921CB" w:rsidP="00A422E1">
            <w:pPr>
              <w:widowControl/>
              <w:jc w:val="center"/>
              <w:rPr>
                <w:rFonts w:ascii="宋体" w:hAnsi="宋体" w:cs="宋体"/>
                <w:kern w:val="0"/>
                <w:sz w:val="18"/>
                <w:szCs w:val="18"/>
              </w:rPr>
            </w:pPr>
            <w:r w:rsidRPr="00E921CB">
              <w:rPr>
                <w:rFonts w:ascii="宋体" w:hAnsi="宋体" w:cs="宋体" w:hint="eastAsia"/>
                <w:kern w:val="0"/>
                <w:sz w:val="18"/>
                <w:szCs w:val="18"/>
              </w:rPr>
              <w:t>5</w:t>
            </w:r>
            <w:r w:rsidR="001E3B52" w:rsidRPr="00E921CB">
              <w:rPr>
                <w:rFonts w:ascii="宋体" w:hAnsi="宋体" w:cs="宋体" w:hint="eastAsia"/>
                <w:kern w:val="0"/>
                <w:sz w:val="18"/>
                <w:szCs w:val="18"/>
              </w:rPr>
              <w:t>0%</w:t>
            </w:r>
          </w:p>
        </w:tc>
        <w:tc>
          <w:tcPr>
            <w:tcW w:w="382" w:type="pct"/>
            <w:vMerge/>
            <w:tcBorders>
              <w:top w:val="single" w:sz="4"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35"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添富价值</w:t>
            </w:r>
          </w:p>
        </w:tc>
        <w:tc>
          <w:tcPr>
            <w:tcW w:w="486"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25%</w:t>
            </w:r>
          </w:p>
        </w:tc>
        <w:tc>
          <w:tcPr>
            <w:tcW w:w="355" w:type="pct"/>
            <w:vMerge/>
            <w:tcBorders>
              <w:top w:val="single" w:sz="4"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86"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华夏现金</w:t>
            </w:r>
          </w:p>
        </w:tc>
        <w:tc>
          <w:tcPr>
            <w:tcW w:w="435"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35%</w:t>
            </w:r>
          </w:p>
        </w:tc>
      </w:tr>
      <w:tr w:rsidR="001E3B52" w:rsidRPr="005B5148" w:rsidTr="00A422E1">
        <w:trPr>
          <w:trHeight w:val="285"/>
          <w:jc w:val="center"/>
        </w:trPr>
        <w:tc>
          <w:tcPr>
            <w:tcW w:w="935" w:type="pct"/>
            <w:tcBorders>
              <w:top w:val="nil"/>
              <w:left w:val="single" w:sz="4" w:space="0" w:color="auto"/>
              <w:bottom w:val="single" w:sz="4" w:space="0" w:color="auto"/>
              <w:right w:val="single" w:sz="4" w:space="0" w:color="auto"/>
            </w:tcBorders>
            <w:shd w:val="clear" w:color="auto" w:fill="auto"/>
            <w:noWrap/>
            <w:vAlign w:val="bottom"/>
          </w:tcPr>
          <w:p w:rsidR="001E3B52" w:rsidRPr="00E921CB" w:rsidRDefault="001E3B52" w:rsidP="00A422E1">
            <w:pPr>
              <w:jc w:val="center"/>
              <w:rPr>
                <w:rFonts w:ascii="宋体" w:hAnsi="宋体" w:cs="宋体"/>
                <w:kern w:val="0"/>
                <w:sz w:val="18"/>
                <w:szCs w:val="18"/>
              </w:rPr>
            </w:pPr>
            <w:r w:rsidRPr="00E921CB">
              <w:rPr>
                <w:rFonts w:hint="eastAsia"/>
                <w:sz w:val="18"/>
                <w:szCs w:val="18"/>
              </w:rPr>
              <w:t>国泰纳斯达克</w:t>
            </w:r>
            <w:r w:rsidRPr="00E921CB">
              <w:rPr>
                <w:rFonts w:hint="eastAsia"/>
                <w:sz w:val="18"/>
                <w:szCs w:val="18"/>
              </w:rPr>
              <w:t>100</w:t>
            </w:r>
          </w:p>
        </w:tc>
        <w:tc>
          <w:tcPr>
            <w:tcW w:w="486"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30%</w:t>
            </w:r>
          </w:p>
        </w:tc>
        <w:tc>
          <w:tcPr>
            <w:tcW w:w="382" w:type="pct"/>
            <w:vMerge/>
            <w:tcBorders>
              <w:top w:val="single" w:sz="4"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35"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天弘永利B</w:t>
            </w:r>
          </w:p>
        </w:tc>
        <w:tc>
          <w:tcPr>
            <w:tcW w:w="486"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50%</w:t>
            </w:r>
          </w:p>
        </w:tc>
        <w:tc>
          <w:tcPr>
            <w:tcW w:w="355" w:type="pct"/>
            <w:vMerge/>
            <w:tcBorders>
              <w:top w:val="single" w:sz="4" w:space="0" w:color="auto"/>
              <w:left w:val="single" w:sz="4" w:space="0" w:color="auto"/>
              <w:bottom w:val="single" w:sz="4" w:space="0" w:color="000000"/>
              <w:right w:val="single" w:sz="4" w:space="0" w:color="auto"/>
            </w:tcBorders>
            <w:vAlign w:val="center"/>
          </w:tcPr>
          <w:p w:rsidR="001E3B52" w:rsidRPr="00E921CB" w:rsidRDefault="001E3B52" w:rsidP="00A422E1">
            <w:pPr>
              <w:widowControl/>
              <w:jc w:val="left"/>
              <w:rPr>
                <w:rFonts w:ascii="宋体" w:hAnsi="宋体" w:cs="宋体"/>
                <w:kern w:val="0"/>
                <w:sz w:val="18"/>
                <w:szCs w:val="18"/>
              </w:rPr>
            </w:pPr>
          </w:p>
        </w:tc>
        <w:tc>
          <w:tcPr>
            <w:tcW w:w="986" w:type="pct"/>
            <w:tcBorders>
              <w:top w:val="nil"/>
              <w:left w:val="nil"/>
              <w:bottom w:val="single" w:sz="4" w:space="0" w:color="auto"/>
              <w:right w:val="single" w:sz="4" w:space="0" w:color="auto"/>
            </w:tcBorders>
            <w:shd w:val="clear" w:color="auto" w:fill="auto"/>
            <w:noWrap/>
            <w:vAlign w:val="bottom"/>
          </w:tcPr>
          <w:p w:rsidR="001E3B52" w:rsidRPr="00E921CB"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广发货币B</w:t>
            </w:r>
          </w:p>
        </w:tc>
        <w:tc>
          <w:tcPr>
            <w:tcW w:w="435" w:type="pct"/>
            <w:tcBorders>
              <w:top w:val="nil"/>
              <w:left w:val="nil"/>
              <w:bottom w:val="single" w:sz="4" w:space="0" w:color="auto"/>
              <w:right w:val="single" w:sz="4" w:space="0" w:color="auto"/>
            </w:tcBorders>
            <w:shd w:val="clear" w:color="auto" w:fill="auto"/>
            <w:noWrap/>
            <w:vAlign w:val="bottom"/>
          </w:tcPr>
          <w:p w:rsidR="001E3B52" w:rsidRPr="005B5148" w:rsidRDefault="001E3B52" w:rsidP="00A422E1">
            <w:pPr>
              <w:widowControl/>
              <w:jc w:val="center"/>
              <w:rPr>
                <w:rFonts w:ascii="宋体" w:hAnsi="宋体" w:cs="宋体"/>
                <w:kern w:val="0"/>
                <w:sz w:val="18"/>
                <w:szCs w:val="18"/>
              </w:rPr>
            </w:pPr>
            <w:r w:rsidRPr="00E921CB">
              <w:rPr>
                <w:rFonts w:ascii="宋体" w:hAnsi="宋体" w:cs="宋体" w:hint="eastAsia"/>
                <w:kern w:val="0"/>
                <w:sz w:val="18"/>
                <w:szCs w:val="18"/>
              </w:rPr>
              <w:t>35%</w:t>
            </w:r>
          </w:p>
        </w:tc>
      </w:tr>
    </w:tbl>
    <w:p w:rsidR="001E3B52" w:rsidRDefault="001E3B52" w:rsidP="00564B59">
      <w:pPr>
        <w:rPr>
          <w:rFonts w:ascii="楷体_GB2312" w:eastAsia="楷体_GB2312"/>
          <w:noProof/>
          <w:color w:val="000000"/>
        </w:rPr>
      </w:pPr>
      <w:r w:rsidRPr="00156066">
        <w:rPr>
          <w:rFonts w:ascii="楷体_GB2312" w:eastAsia="楷体_GB2312" w:hint="eastAsia"/>
          <w:noProof/>
          <w:color w:val="000000"/>
        </w:rPr>
        <w:t>来源：上海证券基金评价研究中心</w:t>
      </w:r>
    </w:p>
    <w:p w:rsidR="00141178" w:rsidRPr="00144B03" w:rsidRDefault="00141178" w:rsidP="00141178">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表2推荐基金基本情况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0"/>
        <w:gridCol w:w="756"/>
        <w:gridCol w:w="936"/>
        <w:gridCol w:w="849"/>
        <w:gridCol w:w="1903"/>
        <w:gridCol w:w="1903"/>
      </w:tblGrid>
      <w:tr w:rsidR="00050159" w:rsidRPr="002072D1" w:rsidTr="00B56956">
        <w:trPr>
          <w:trHeight w:val="397"/>
          <w:tblHeader/>
          <w:jc w:val="center"/>
        </w:trPr>
        <w:tc>
          <w:tcPr>
            <w:tcW w:w="0" w:type="auto"/>
            <w:shd w:val="clear" w:color="auto" w:fill="0000FF"/>
            <w:noWrap/>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bookmarkStart w:id="0" w:name="_Toc271023583"/>
            <w:r>
              <w:rPr>
                <w:rFonts w:ascii="楷体_GB2312" w:eastAsia="楷体_GB2312" w:hAnsi="宋体" w:cs="宋体" w:hint="eastAsia"/>
                <w:b/>
                <w:bCs/>
                <w:color w:val="FFFFFF"/>
                <w:kern w:val="0"/>
                <w:szCs w:val="21"/>
              </w:rPr>
              <w:t>基金名称</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代码</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类型</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管理人</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w:t>
            </w:r>
            <w:r w:rsidRPr="00604445">
              <w:rPr>
                <w:rFonts w:ascii="楷体_GB2312" w:eastAsia="楷体_GB2312" w:hAnsi="宋体" w:cs="宋体" w:hint="eastAsia"/>
                <w:b/>
                <w:bCs/>
                <w:color w:val="FFFFFF"/>
                <w:kern w:val="0"/>
                <w:szCs w:val="21"/>
              </w:rPr>
              <w:t>综合评级</w:t>
            </w:r>
          </w:p>
        </w:tc>
        <w:tc>
          <w:tcPr>
            <w:tcW w:w="0" w:type="auto"/>
            <w:shd w:val="clear" w:color="auto" w:fill="0000FF"/>
            <w:vAlign w:val="center"/>
          </w:tcPr>
          <w:p w:rsidR="00050159" w:rsidRPr="00604445" w:rsidRDefault="00050159" w:rsidP="00A422E1">
            <w:pPr>
              <w:keepLines/>
              <w:adjustRightInd w:val="0"/>
              <w:snapToGrid w:val="0"/>
              <w:jc w:val="center"/>
              <w:rPr>
                <w:rFonts w:ascii="楷体_GB2312" w:eastAsia="楷体_GB2312" w:hAnsi="宋体" w:cs="宋体"/>
                <w:b/>
                <w:bCs/>
                <w:color w:val="FFFFFF"/>
                <w:kern w:val="0"/>
                <w:szCs w:val="21"/>
              </w:rPr>
            </w:pPr>
            <w:r w:rsidRPr="00604445">
              <w:rPr>
                <w:rFonts w:ascii="楷体_GB2312" w:eastAsia="楷体_GB2312" w:hAnsi="宋体" w:cs="宋体" w:hint="eastAsia"/>
                <w:b/>
                <w:bCs/>
                <w:color w:val="FFFFFF"/>
                <w:kern w:val="0"/>
                <w:szCs w:val="21"/>
              </w:rPr>
              <w:t>上证</w:t>
            </w:r>
            <w:r>
              <w:rPr>
                <w:rFonts w:ascii="楷体_GB2312" w:eastAsia="楷体_GB2312" w:hAnsi="宋体" w:cs="宋体" w:hint="eastAsia"/>
                <w:b/>
                <w:bCs/>
                <w:color w:val="FFFFFF"/>
                <w:kern w:val="0"/>
                <w:szCs w:val="21"/>
              </w:rPr>
              <w:t>三年选证</w:t>
            </w:r>
            <w:r w:rsidRPr="00604445">
              <w:rPr>
                <w:rFonts w:ascii="楷体_GB2312" w:eastAsia="楷体_GB2312" w:hAnsi="宋体" w:cs="宋体" w:hint="eastAsia"/>
                <w:b/>
                <w:bCs/>
                <w:color w:val="FFFFFF"/>
                <w:kern w:val="0"/>
                <w:szCs w:val="21"/>
              </w:rPr>
              <w:t>评级</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银河成长</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8261FB">
              <w:rPr>
                <w:rFonts w:ascii="楷体_GB2312" w:eastAsia="楷体_GB2312" w:hAnsi="宋体" w:cs="宋体"/>
                <w:color w:val="0D0D0D"/>
                <w:kern w:val="0"/>
                <w:sz w:val="18"/>
                <w:szCs w:val="18"/>
              </w:rPr>
              <w:t>519668</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股票型</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银河</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sidRPr="004B0A06">
              <w:rPr>
                <w:rFonts w:ascii="楷体_GB2312" w:eastAsia="楷体_GB2312" w:hAnsi="宋体" w:cs="宋体" w:hint="eastAsia"/>
                <w:color w:val="FF0000"/>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添富价值</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8261FB">
              <w:rPr>
                <w:rFonts w:ascii="楷体_GB2312" w:eastAsia="楷体_GB2312" w:hAnsi="宋体" w:cs="宋体"/>
                <w:color w:val="0D0D0D"/>
                <w:kern w:val="0"/>
                <w:sz w:val="18"/>
                <w:szCs w:val="18"/>
              </w:rPr>
              <w:t>519069</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股票型</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汇添富</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050159" w:rsidRPr="002072D1" w:rsidTr="00B56956">
        <w:trPr>
          <w:trHeight w:val="397"/>
          <w:jc w:val="center"/>
        </w:trPr>
        <w:tc>
          <w:tcPr>
            <w:tcW w:w="0" w:type="auto"/>
            <w:shd w:val="clear" w:color="auto" w:fill="auto"/>
            <w:vAlign w:val="center"/>
          </w:tcPr>
          <w:p w:rsidR="00050159" w:rsidRPr="00156DE0" w:rsidRDefault="00050159" w:rsidP="00050159">
            <w:pPr>
              <w:keepLines/>
              <w:adjustRightInd w:val="0"/>
              <w:snapToGrid w:val="0"/>
              <w:jc w:val="center"/>
              <w:rPr>
                <w:rFonts w:ascii="楷体_GB2312" w:eastAsia="楷体_GB2312" w:hAnsi="宋体" w:cs="宋体"/>
                <w:b/>
                <w:bCs/>
                <w:color w:val="0D0D0D"/>
                <w:kern w:val="0"/>
                <w:sz w:val="18"/>
                <w:szCs w:val="18"/>
              </w:rPr>
            </w:pPr>
            <w:r w:rsidRPr="000E2698">
              <w:rPr>
                <w:rFonts w:ascii="楷体_GB2312" w:eastAsia="楷体_GB2312" w:hAnsi="宋体" w:cs="宋体" w:hint="eastAsia"/>
                <w:b/>
                <w:color w:val="000000" w:themeColor="text1"/>
                <w:kern w:val="0"/>
                <w:szCs w:val="21"/>
              </w:rPr>
              <w:t>国泰纳</w:t>
            </w:r>
            <w:r>
              <w:rPr>
                <w:rFonts w:ascii="楷体_GB2312" w:eastAsia="楷体_GB2312" w:hAnsi="宋体" w:cs="宋体" w:hint="eastAsia"/>
                <w:b/>
                <w:color w:val="000000" w:themeColor="text1"/>
                <w:kern w:val="0"/>
                <w:szCs w:val="21"/>
              </w:rPr>
              <w:t>指</w:t>
            </w:r>
            <w:r w:rsidRPr="000E2698">
              <w:rPr>
                <w:rFonts w:ascii="楷体_GB2312" w:eastAsia="楷体_GB2312" w:hAnsi="宋体" w:cs="宋体" w:hint="eastAsia"/>
                <w:b/>
                <w:color w:val="000000" w:themeColor="text1"/>
                <w:kern w:val="0"/>
                <w:szCs w:val="21"/>
              </w:rPr>
              <w:t>100</w:t>
            </w:r>
          </w:p>
        </w:tc>
        <w:tc>
          <w:tcPr>
            <w:tcW w:w="0" w:type="auto"/>
            <w:shd w:val="clear" w:color="auto" w:fill="auto"/>
            <w:vAlign w:val="center"/>
          </w:tcPr>
          <w:p w:rsidR="00050159" w:rsidRPr="008261FB" w:rsidRDefault="00050159" w:rsidP="00A422E1">
            <w:pPr>
              <w:keepLines/>
              <w:adjustRightInd w:val="0"/>
              <w:snapToGrid w:val="0"/>
              <w:jc w:val="center"/>
              <w:rPr>
                <w:rFonts w:ascii="楷体_GB2312" w:eastAsia="楷体_GB2312" w:hAnsi="宋体" w:cs="宋体"/>
                <w:color w:val="0D0D0D"/>
                <w:kern w:val="0"/>
                <w:sz w:val="18"/>
                <w:szCs w:val="18"/>
              </w:rPr>
            </w:pPr>
            <w:r w:rsidRPr="00050159">
              <w:rPr>
                <w:rFonts w:ascii="楷体_GB2312" w:eastAsia="楷体_GB2312" w:hAnsi="宋体" w:cs="宋体"/>
                <w:color w:val="0D0D0D"/>
                <w:kern w:val="0"/>
                <w:sz w:val="18"/>
                <w:szCs w:val="18"/>
              </w:rPr>
              <w:t>160213</w:t>
            </w:r>
          </w:p>
        </w:tc>
        <w:tc>
          <w:tcPr>
            <w:tcW w:w="0" w:type="auto"/>
            <w:vAlign w:val="center"/>
          </w:tcPr>
          <w:p w:rsidR="00050159"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QDII</w:t>
            </w:r>
          </w:p>
        </w:tc>
        <w:tc>
          <w:tcPr>
            <w:tcW w:w="0" w:type="auto"/>
            <w:vAlign w:val="center"/>
          </w:tcPr>
          <w:p w:rsidR="00050159"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国泰</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0E2698">
              <w:rPr>
                <w:rFonts w:ascii="楷体_GB2312" w:eastAsia="楷体_GB2312" w:hAnsi="宋体" w:cs="宋体" w:hint="eastAsia"/>
                <w:b/>
                <w:color w:val="000000" w:themeColor="text1"/>
                <w:kern w:val="0"/>
                <w:szCs w:val="21"/>
              </w:rPr>
              <w:t>博时标普500</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0</w:t>
            </w:r>
            <w:r w:rsidRPr="00050159">
              <w:rPr>
                <w:rFonts w:ascii="楷体_GB2312" w:eastAsia="楷体_GB2312" w:hAnsi="宋体" w:cs="宋体"/>
                <w:color w:val="0D0D0D"/>
                <w:kern w:val="0"/>
                <w:sz w:val="18"/>
                <w:szCs w:val="18"/>
              </w:rPr>
              <w:t>50025</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QDII</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博时</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天弘永利B</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420102</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债券型</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Pr>
                <w:rFonts w:ascii="楷体_GB2312" w:eastAsia="楷体_GB2312" w:hAnsi="宋体" w:cs="宋体" w:hint="eastAsia"/>
                <w:color w:val="0D0D0D"/>
                <w:kern w:val="0"/>
                <w:sz w:val="18"/>
                <w:szCs w:val="18"/>
              </w:rPr>
              <w:t>天弘</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c>
          <w:tcPr>
            <w:tcW w:w="0" w:type="auto"/>
            <w:shd w:val="clear" w:color="auto" w:fill="auto"/>
            <w:vAlign w:val="center"/>
          </w:tcPr>
          <w:p w:rsidR="00050159" w:rsidRPr="0033677C" w:rsidRDefault="00050159" w:rsidP="00A422E1">
            <w:pPr>
              <w:keepLines/>
              <w:adjustRightInd w:val="0"/>
              <w:snapToGrid w:val="0"/>
              <w:jc w:val="center"/>
              <w:rPr>
                <w:rFonts w:ascii="楷体_GB2312" w:eastAsia="楷体_GB2312" w:hAnsi="宋体" w:cs="宋体"/>
                <w:color w:val="000000"/>
                <w:kern w:val="0"/>
                <w:sz w:val="18"/>
                <w:szCs w:val="18"/>
              </w:rPr>
            </w:pPr>
            <w:r>
              <w:rPr>
                <w:rFonts w:ascii="楷体_GB2312" w:eastAsia="楷体_GB2312" w:hAnsi="宋体" w:cs="宋体" w:hint="eastAsia"/>
                <w:color w:val="FF0000"/>
                <w:kern w:val="0"/>
                <w:sz w:val="18"/>
                <w:szCs w:val="18"/>
              </w:rPr>
              <w:t>★★★★</w:t>
            </w:r>
            <w:r w:rsidRPr="004B0A06">
              <w:rPr>
                <w:rFonts w:ascii="楷体_GB2312" w:eastAsia="楷体_GB2312" w:hAnsi="宋体" w:cs="宋体" w:hint="eastAsia"/>
                <w:color w:val="FF0000"/>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华夏现金</w:t>
            </w:r>
          </w:p>
        </w:tc>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8C0ECC">
              <w:rPr>
                <w:rFonts w:ascii="楷体_GB2312" w:eastAsia="楷体_GB2312" w:hAnsi="宋体" w:cs="宋体"/>
                <w:color w:val="0D0D0D"/>
                <w:kern w:val="0"/>
                <w:sz w:val="18"/>
                <w:szCs w:val="18"/>
              </w:rPr>
              <w:t>003003</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货币市场</w:t>
            </w:r>
          </w:p>
        </w:tc>
        <w:tc>
          <w:tcPr>
            <w:tcW w:w="0" w:type="auto"/>
            <w:vAlign w:val="center"/>
          </w:tcPr>
          <w:p w:rsidR="00050159" w:rsidRPr="001941AC" w:rsidRDefault="00050159" w:rsidP="00A422E1">
            <w:pPr>
              <w:keepLines/>
              <w:adjustRightInd w:val="0"/>
              <w:snapToGrid w:val="0"/>
              <w:jc w:val="center"/>
              <w:rPr>
                <w:rFonts w:ascii="楷体_GB2312" w:eastAsia="楷体_GB2312" w:hAnsi="宋体" w:cs="宋体"/>
                <w:color w:val="0D0D0D"/>
                <w:kern w:val="0"/>
                <w:sz w:val="18"/>
                <w:szCs w:val="18"/>
              </w:rPr>
            </w:pPr>
            <w:r w:rsidRPr="001941AC">
              <w:rPr>
                <w:rFonts w:ascii="楷体_GB2312" w:eastAsia="楷体_GB2312" w:hAnsi="宋体" w:cs="宋体" w:hint="eastAsia"/>
                <w:color w:val="0D0D0D"/>
                <w:kern w:val="0"/>
                <w:sz w:val="18"/>
                <w:szCs w:val="18"/>
              </w:rPr>
              <w:t>华夏</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3677C">
              <w:rPr>
                <w:rFonts w:ascii="楷体_GB2312" w:eastAsia="楷体_GB2312" w:hAnsi="宋体" w:cs="宋体" w:hint="eastAsia"/>
                <w:color w:val="000000"/>
                <w:kern w:val="0"/>
                <w:sz w:val="18"/>
                <w:szCs w:val="18"/>
              </w:rPr>
              <w:t>—</w:t>
            </w: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3F3857"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sidRPr="001941AC">
              <w:rPr>
                <w:rFonts w:ascii="楷体_GB2312" w:eastAsia="楷体_GB2312" w:hAnsi="宋体" w:cs="宋体" w:hint="eastAsia"/>
                <w:b/>
                <w:bCs/>
                <w:color w:val="0D0D0D"/>
                <w:kern w:val="0"/>
                <w:sz w:val="18"/>
                <w:szCs w:val="18"/>
              </w:rPr>
              <w:t>广发货币B</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270014</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广发</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r w:rsidR="00050159" w:rsidRPr="002072D1" w:rsidTr="00B56956">
        <w:trPr>
          <w:trHeight w:val="397"/>
          <w:jc w:val="center"/>
        </w:trPr>
        <w:tc>
          <w:tcPr>
            <w:tcW w:w="0" w:type="auto"/>
            <w:shd w:val="clear" w:color="auto" w:fill="auto"/>
            <w:vAlign w:val="center"/>
          </w:tcPr>
          <w:p w:rsidR="00050159" w:rsidRPr="001941AC" w:rsidRDefault="00050159" w:rsidP="00A422E1">
            <w:pPr>
              <w:keepLines/>
              <w:adjustRightInd w:val="0"/>
              <w:snapToGrid w:val="0"/>
              <w:jc w:val="center"/>
              <w:rPr>
                <w:rFonts w:ascii="楷体_GB2312" w:eastAsia="楷体_GB2312" w:hAnsi="宋体" w:cs="宋体"/>
                <w:b/>
                <w:bCs/>
                <w:color w:val="0D0D0D"/>
                <w:kern w:val="0"/>
                <w:sz w:val="18"/>
                <w:szCs w:val="18"/>
              </w:rPr>
            </w:pPr>
            <w:r>
              <w:rPr>
                <w:rFonts w:ascii="楷体_GB2312" w:eastAsia="楷体_GB2312" w:hAnsi="宋体" w:cs="宋体" w:hint="eastAsia"/>
                <w:b/>
                <w:bCs/>
                <w:color w:val="0D0D0D"/>
                <w:kern w:val="0"/>
                <w:sz w:val="18"/>
                <w:szCs w:val="18"/>
              </w:rPr>
              <w:t>建信货币</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color w:val="0D0D0D"/>
                <w:kern w:val="0"/>
                <w:sz w:val="18"/>
                <w:szCs w:val="18"/>
              </w:rPr>
              <w:t>530002</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货币市场</w:t>
            </w:r>
          </w:p>
        </w:tc>
        <w:tc>
          <w:tcPr>
            <w:tcW w:w="0" w:type="auto"/>
            <w:vAlign w:val="center"/>
          </w:tcPr>
          <w:p w:rsidR="00050159" w:rsidRPr="003F3857" w:rsidRDefault="00050159" w:rsidP="00A422E1">
            <w:pPr>
              <w:keepLines/>
              <w:adjustRightInd w:val="0"/>
              <w:snapToGrid w:val="0"/>
              <w:jc w:val="center"/>
              <w:rPr>
                <w:rFonts w:ascii="楷体_GB2312" w:eastAsia="楷体_GB2312" w:hAnsi="宋体" w:cs="宋体"/>
                <w:color w:val="0D0D0D"/>
                <w:kern w:val="0"/>
                <w:sz w:val="18"/>
                <w:szCs w:val="18"/>
              </w:rPr>
            </w:pPr>
            <w:r w:rsidRPr="003F3857">
              <w:rPr>
                <w:rFonts w:ascii="楷体_GB2312" w:eastAsia="楷体_GB2312" w:hAnsi="宋体" w:cs="宋体" w:hint="eastAsia"/>
                <w:color w:val="0D0D0D"/>
                <w:kern w:val="0"/>
                <w:sz w:val="18"/>
                <w:szCs w:val="18"/>
              </w:rPr>
              <w:t>建信</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c>
          <w:tcPr>
            <w:tcW w:w="0" w:type="auto"/>
            <w:shd w:val="clear" w:color="auto" w:fill="auto"/>
            <w:vAlign w:val="center"/>
          </w:tcPr>
          <w:p w:rsidR="00050159" w:rsidRPr="003F3857" w:rsidRDefault="00050159" w:rsidP="00A422E1">
            <w:pPr>
              <w:keepLines/>
              <w:adjustRightInd w:val="0"/>
              <w:snapToGrid w:val="0"/>
              <w:jc w:val="center"/>
              <w:rPr>
                <w:rFonts w:ascii="楷体_GB2312" w:eastAsia="楷体_GB2312" w:hAnsi="宋体" w:cs="宋体"/>
                <w:b/>
                <w:bCs/>
                <w:color w:val="0D0D0D"/>
                <w:kern w:val="0"/>
                <w:sz w:val="18"/>
                <w:szCs w:val="18"/>
              </w:rPr>
            </w:pPr>
            <w:r w:rsidRPr="003F3857">
              <w:rPr>
                <w:rFonts w:ascii="楷体_GB2312" w:eastAsia="楷体_GB2312" w:hAnsi="宋体" w:cs="宋体" w:hint="eastAsia"/>
                <w:b/>
                <w:bCs/>
                <w:color w:val="0D0D0D"/>
                <w:kern w:val="0"/>
                <w:sz w:val="18"/>
                <w:szCs w:val="18"/>
              </w:rPr>
              <w:t>——</w:t>
            </w:r>
          </w:p>
        </w:tc>
      </w:tr>
    </w:tbl>
    <w:bookmarkEnd w:id="0"/>
    <w:p w:rsidR="00141178" w:rsidRDefault="00141178" w:rsidP="00141178">
      <w:pPr>
        <w:keepLines/>
        <w:adjustRightInd w:val="0"/>
        <w:snapToGrid w:val="0"/>
        <w:ind w:firstLineChars="300" w:firstLine="630"/>
        <w:rPr>
          <w:rFonts w:ascii="楷体_GB2312" w:eastAsia="楷体_GB2312"/>
          <w:noProof/>
        </w:rPr>
      </w:pPr>
      <w:r>
        <w:rPr>
          <w:rFonts w:ascii="楷体_GB2312" w:eastAsia="楷体_GB2312" w:hint="eastAsia"/>
          <w:noProof/>
        </w:rPr>
        <w:t>来源：</w:t>
      </w:r>
      <w:r w:rsidRPr="003D6908">
        <w:rPr>
          <w:rFonts w:ascii="楷体_GB2312" w:eastAsia="楷体_GB2312" w:hint="eastAsia"/>
          <w:noProof/>
        </w:rPr>
        <w:t>wind上海证券基金评价研究中心</w:t>
      </w:r>
      <w:r>
        <w:rPr>
          <w:rFonts w:ascii="楷体_GB2312" w:eastAsia="楷体_GB2312" w:hint="eastAsia"/>
          <w:noProof/>
        </w:rPr>
        <w:t>。</w:t>
      </w:r>
    </w:p>
    <w:p w:rsidR="00050159" w:rsidRPr="000E2698" w:rsidRDefault="00050159" w:rsidP="004B029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银河成长：</w:t>
      </w:r>
      <w:r w:rsidRPr="000E2698">
        <w:rPr>
          <w:rFonts w:ascii="楷体_GB2312" w:eastAsia="楷体_GB2312" w:hAnsi="宋体" w:cs="宋体" w:hint="eastAsia"/>
          <w:color w:val="000000" w:themeColor="text1"/>
          <w:kern w:val="0"/>
          <w:szCs w:val="21"/>
        </w:rPr>
        <w:t>当前投资风格转向小盘成长，资产结构稳定，选证能力尤为突出，持续赢得上海证券选证能力五星评级。基金业绩持续稳定，组合风险收益配比效果突出。</w:t>
      </w:r>
    </w:p>
    <w:p w:rsidR="00050159" w:rsidRPr="000E2698" w:rsidRDefault="00050159" w:rsidP="004B029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添富价值：</w:t>
      </w:r>
      <w:r w:rsidRPr="000E2698">
        <w:rPr>
          <w:rFonts w:ascii="楷体_GB2312" w:eastAsia="楷体_GB2312" w:hAnsi="宋体" w:cs="宋体" w:hint="eastAsia"/>
          <w:color w:val="000000" w:themeColor="text1"/>
          <w:kern w:val="0"/>
          <w:szCs w:val="21"/>
        </w:rPr>
        <w:t>该基金保持充分投资，行业结构调整灵活，对市场结构性机会把握能力出色，选证能力和综合评级均获最高五星评级。基金经理稳定，投资风格和策略延续性强，历史管理绩效出色且稳定性强。</w:t>
      </w:r>
    </w:p>
    <w:p w:rsidR="00050159" w:rsidRPr="000E2698" w:rsidRDefault="00050159" w:rsidP="004B029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国泰纳斯达克100：</w:t>
      </w:r>
      <w:r w:rsidRPr="000E2698">
        <w:rPr>
          <w:rFonts w:ascii="楷体_GB2312" w:eastAsia="楷体_GB2312" w:hAnsi="宋体" w:cs="宋体" w:hint="eastAsia"/>
          <w:color w:val="000000" w:themeColor="text1"/>
          <w:kern w:val="0"/>
          <w:szCs w:val="21"/>
        </w:rPr>
        <w:t>该基金紧密跟踪美国纳斯达克100指数，该指数均具有高科技、高成长和非金融的特点，成分股包括苹果、微软等世界知名科技公司，可以说是美国科技股的代表。</w:t>
      </w:r>
    </w:p>
    <w:p w:rsidR="00050159" w:rsidRPr="000E2698" w:rsidRDefault="00050159" w:rsidP="004B029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lastRenderedPageBreak/>
        <w:t>博时标普500：</w:t>
      </w:r>
      <w:r w:rsidRPr="000E2698">
        <w:rPr>
          <w:rFonts w:ascii="楷体_GB2312" w:eastAsia="楷体_GB2312" w:hAnsi="宋体" w:cs="宋体" w:hint="eastAsia"/>
          <w:color w:val="000000" w:themeColor="text1"/>
          <w:kern w:val="0"/>
          <w:szCs w:val="21"/>
        </w:rPr>
        <w:t>该基金紧密跟踪美国标普500指数，是跟踪标普美国市场宽基指数中规模最大的一只基金。</w:t>
      </w:r>
      <w:r w:rsidR="005C7781">
        <w:rPr>
          <w:rFonts w:ascii="楷体_GB2312" w:eastAsia="楷体_GB2312" w:hAnsi="宋体" w:cs="宋体" w:hint="eastAsia"/>
          <w:color w:val="000000" w:themeColor="text1"/>
          <w:kern w:val="0"/>
          <w:szCs w:val="21"/>
        </w:rPr>
        <w:t>标的指数</w:t>
      </w:r>
      <w:r w:rsidRPr="000E2698">
        <w:rPr>
          <w:rFonts w:ascii="楷体_GB2312" w:eastAsia="楷体_GB2312" w:hAnsi="宋体" w:cs="宋体"/>
          <w:color w:val="000000" w:themeColor="text1"/>
          <w:kern w:val="0"/>
          <w:szCs w:val="21"/>
        </w:rPr>
        <w:t>成份股覆盖美国经济中主要行业的500家代表性公司，被广泛用来代表美国股票市场的发展动态，是全球资本市场上</w:t>
      </w:r>
      <w:r w:rsidRPr="000E2698">
        <w:rPr>
          <w:rFonts w:ascii="楷体_GB2312" w:eastAsia="楷体_GB2312" w:hAnsi="宋体" w:cs="宋体" w:hint="eastAsia"/>
          <w:color w:val="000000" w:themeColor="text1"/>
          <w:kern w:val="0"/>
          <w:szCs w:val="21"/>
        </w:rPr>
        <w:t>最</w:t>
      </w:r>
      <w:r w:rsidRPr="000E2698">
        <w:rPr>
          <w:rFonts w:ascii="楷体_GB2312" w:eastAsia="楷体_GB2312" w:hAnsi="宋体" w:cs="宋体"/>
          <w:color w:val="000000" w:themeColor="text1"/>
          <w:kern w:val="0"/>
          <w:szCs w:val="21"/>
        </w:rPr>
        <w:t>为知名的股票指数</w:t>
      </w:r>
      <w:r w:rsidRPr="000E2698">
        <w:rPr>
          <w:rFonts w:ascii="楷体_GB2312" w:eastAsia="楷体_GB2312" w:hAnsi="宋体" w:cs="宋体" w:hint="eastAsia"/>
          <w:color w:val="000000" w:themeColor="text1"/>
          <w:kern w:val="0"/>
          <w:szCs w:val="21"/>
        </w:rPr>
        <w:t>之一。</w:t>
      </w:r>
    </w:p>
    <w:p w:rsidR="00050159" w:rsidRPr="000E2698" w:rsidRDefault="00050159" w:rsidP="004B029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天弘永利B：</w:t>
      </w:r>
      <w:r w:rsidRPr="000E2698">
        <w:rPr>
          <w:rFonts w:ascii="楷体_GB2312" w:eastAsia="楷体_GB2312" w:hAnsi="宋体" w:cs="宋体" w:hint="eastAsia"/>
          <w:color w:val="000000" w:themeColor="text1"/>
          <w:kern w:val="0"/>
          <w:szCs w:val="21"/>
        </w:rPr>
        <w:t>基金定位二级债基，但在实际运作中基本不参与股票市场投资，专注于债券市场投资。券种配置上主要投资于企业债和企业短期融资券。基金业绩长期持续，投资管理能力排名靠前。</w:t>
      </w:r>
    </w:p>
    <w:p w:rsidR="00050159" w:rsidRPr="000E2698" w:rsidRDefault="00050159" w:rsidP="004B029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建信货币：</w:t>
      </w:r>
      <w:r w:rsidRPr="000E2698">
        <w:rPr>
          <w:rFonts w:ascii="楷体_GB2312" w:eastAsia="楷体_GB2312" w:hAnsi="宋体" w:cs="宋体" w:hint="eastAsia"/>
          <w:color w:val="000000" w:themeColor="text1"/>
          <w:kern w:val="0"/>
          <w:szCs w:val="21"/>
        </w:rPr>
        <w:t>基金设立于2006年4月，截至201</w:t>
      </w:r>
      <w:r w:rsidR="00C95CA2">
        <w:rPr>
          <w:rFonts w:ascii="楷体_GB2312" w:eastAsia="楷体_GB2312" w:hAnsi="宋体" w:cs="宋体" w:hint="eastAsia"/>
          <w:color w:val="000000" w:themeColor="text1"/>
          <w:kern w:val="0"/>
          <w:szCs w:val="21"/>
        </w:rPr>
        <w:t>4</w:t>
      </w:r>
      <w:r w:rsidRPr="000E2698">
        <w:rPr>
          <w:rFonts w:ascii="楷体_GB2312" w:eastAsia="楷体_GB2312" w:hAnsi="宋体" w:cs="宋体" w:hint="eastAsia"/>
          <w:color w:val="000000" w:themeColor="text1"/>
          <w:kern w:val="0"/>
          <w:szCs w:val="21"/>
        </w:rPr>
        <w:t>年</w:t>
      </w:r>
      <w:r w:rsidR="00C95CA2">
        <w:rPr>
          <w:rFonts w:ascii="楷体_GB2312" w:eastAsia="楷体_GB2312" w:hAnsi="宋体" w:cs="宋体" w:hint="eastAsia"/>
          <w:color w:val="000000" w:themeColor="text1"/>
          <w:kern w:val="0"/>
          <w:szCs w:val="21"/>
        </w:rPr>
        <w:t>一季度末</w:t>
      </w:r>
      <w:r w:rsidRPr="000E2698">
        <w:rPr>
          <w:rFonts w:ascii="楷体_GB2312" w:eastAsia="楷体_GB2312" w:hAnsi="宋体" w:cs="宋体" w:hint="eastAsia"/>
          <w:color w:val="000000" w:themeColor="text1"/>
          <w:kern w:val="0"/>
          <w:szCs w:val="21"/>
        </w:rPr>
        <w:t>基金规模</w:t>
      </w:r>
      <w:r w:rsidR="006A0423" w:rsidRPr="006A0423">
        <w:rPr>
          <w:rFonts w:ascii="楷体_GB2312" w:eastAsia="楷体_GB2312" w:hAnsi="宋体" w:cs="宋体" w:hint="eastAsia"/>
          <w:color w:val="000000" w:themeColor="text1"/>
          <w:kern w:val="0"/>
          <w:szCs w:val="21"/>
        </w:rPr>
        <w:t>1</w:t>
      </w:r>
      <w:r w:rsidR="006A0423">
        <w:rPr>
          <w:rFonts w:ascii="楷体_GB2312" w:eastAsia="楷体_GB2312" w:hAnsi="宋体" w:cs="宋体" w:hint="eastAsia"/>
          <w:color w:val="000000" w:themeColor="text1"/>
          <w:kern w:val="0"/>
          <w:szCs w:val="21"/>
        </w:rPr>
        <w:t>80</w:t>
      </w:r>
      <w:r w:rsidRPr="000E2698">
        <w:rPr>
          <w:rFonts w:ascii="楷体_GB2312" w:eastAsia="楷体_GB2312" w:hAnsi="宋体" w:cs="宋体" w:hint="eastAsia"/>
          <w:color w:val="000000" w:themeColor="text1"/>
          <w:kern w:val="0"/>
          <w:szCs w:val="21"/>
        </w:rPr>
        <w:t>亿份，流动性较好，安全性高，历史业绩稳定。</w:t>
      </w:r>
    </w:p>
    <w:p w:rsidR="00050159" w:rsidRPr="000E2698" w:rsidRDefault="00050159" w:rsidP="004B029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华夏现金A：</w:t>
      </w:r>
      <w:r w:rsidRPr="000E2698">
        <w:rPr>
          <w:rFonts w:ascii="楷体_GB2312" w:eastAsia="楷体_GB2312" w:hAnsi="宋体" w:cs="宋体" w:hint="eastAsia"/>
          <w:color w:val="000000" w:themeColor="text1"/>
          <w:kern w:val="0"/>
          <w:szCs w:val="21"/>
        </w:rPr>
        <w:t>基金设立于04年4月，截至</w:t>
      </w:r>
      <w:r w:rsidR="006A0423" w:rsidRPr="000E2698">
        <w:rPr>
          <w:rFonts w:ascii="楷体_GB2312" w:eastAsia="楷体_GB2312" w:hAnsi="宋体" w:cs="宋体" w:hint="eastAsia"/>
          <w:color w:val="000000" w:themeColor="text1"/>
          <w:kern w:val="0"/>
          <w:szCs w:val="21"/>
        </w:rPr>
        <w:t>201</w:t>
      </w:r>
      <w:r w:rsidR="006A0423">
        <w:rPr>
          <w:rFonts w:ascii="楷体_GB2312" w:eastAsia="楷体_GB2312" w:hAnsi="宋体" w:cs="宋体" w:hint="eastAsia"/>
          <w:color w:val="000000" w:themeColor="text1"/>
          <w:kern w:val="0"/>
          <w:szCs w:val="21"/>
        </w:rPr>
        <w:t>4</w:t>
      </w:r>
      <w:r w:rsidR="006A0423" w:rsidRPr="000E2698">
        <w:rPr>
          <w:rFonts w:ascii="楷体_GB2312" w:eastAsia="楷体_GB2312" w:hAnsi="宋体" w:cs="宋体" w:hint="eastAsia"/>
          <w:color w:val="000000" w:themeColor="text1"/>
          <w:kern w:val="0"/>
          <w:szCs w:val="21"/>
        </w:rPr>
        <w:t>年</w:t>
      </w:r>
      <w:r w:rsidR="006A0423">
        <w:rPr>
          <w:rFonts w:ascii="楷体_GB2312" w:eastAsia="楷体_GB2312" w:hAnsi="宋体" w:cs="宋体" w:hint="eastAsia"/>
          <w:color w:val="000000" w:themeColor="text1"/>
          <w:kern w:val="0"/>
          <w:szCs w:val="21"/>
        </w:rPr>
        <w:t>一季度末</w:t>
      </w:r>
      <w:r w:rsidRPr="000E2698">
        <w:rPr>
          <w:rFonts w:ascii="楷体_GB2312" w:eastAsia="楷体_GB2312" w:hAnsi="宋体" w:cs="宋体" w:hint="eastAsia"/>
          <w:color w:val="000000" w:themeColor="text1"/>
          <w:kern w:val="0"/>
          <w:szCs w:val="21"/>
        </w:rPr>
        <w:t>基金</w:t>
      </w:r>
      <w:r w:rsidR="00040F4E">
        <w:rPr>
          <w:rFonts w:ascii="楷体_GB2312" w:eastAsia="楷体_GB2312" w:hAnsi="宋体" w:cs="宋体" w:hint="eastAsia"/>
          <w:color w:val="000000" w:themeColor="text1"/>
          <w:kern w:val="0"/>
          <w:szCs w:val="21"/>
        </w:rPr>
        <w:t>A\E份额合计</w:t>
      </w:r>
      <w:r w:rsidR="006A0423" w:rsidRPr="006A0423">
        <w:rPr>
          <w:rFonts w:ascii="楷体_GB2312" w:eastAsia="楷体_GB2312" w:hAnsi="宋体" w:cs="宋体" w:hint="eastAsia"/>
          <w:color w:val="000000" w:themeColor="text1"/>
          <w:kern w:val="0"/>
          <w:szCs w:val="21"/>
        </w:rPr>
        <w:t>960亿</w:t>
      </w:r>
      <w:r w:rsidR="006A0423" w:rsidRPr="000E2698">
        <w:rPr>
          <w:rFonts w:ascii="楷体_GB2312" w:eastAsia="楷体_GB2312" w:hAnsi="宋体" w:cs="宋体" w:hint="eastAsia"/>
          <w:color w:val="000000" w:themeColor="text1"/>
          <w:kern w:val="0"/>
          <w:szCs w:val="21"/>
        </w:rPr>
        <w:t>份</w:t>
      </w:r>
      <w:r w:rsidRPr="000E2698">
        <w:rPr>
          <w:rFonts w:ascii="楷体_GB2312" w:eastAsia="楷体_GB2312" w:hAnsi="宋体" w:cs="宋体" w:hint="eastAsia"/>
          <w:color w:val="000000" w:themeColor="text1"/>
          <w:kern w:val="0"/>
          <w:szCs w:val="21"/>
        </w:rPr>
        <w:t>，属于市场中规模最大的货币市场基金之一，流动性较好，历史管理业绩优秀。基金经理曲波管理该基金超过三年，经验丰富。</w:t>
      </w:r>
    </w:p>
    <w:p w:rsidR="00050159" w:rsidRPr="000E2698" w:rsidRDefault="00050159" w:rsidP="004B0295">
      <w:pPr>
        <w:spacing w:beforeLines="50"/>
        <w:ind w:leftChars="1350" w:left="2835" w:firstLineChars="202" w:firstLine="426"/>
        <w:rPr>
          <w:rFonts w:ascii="楷体_GB2312" w:eastAsia="楷体_GB2312" w:hAnsi="宋体" w:cs="宋体"/>
          <w:color w:val="000000" w:themeColor="text1"/>
          <w:kern w:val="0"/>
          <w:szCs w:val="21"/>
        </w:rPr>
      </w:pPr>
      <w:r w:rsidRPr="000E2698">
        <w:rPr>
          <w:rFonts w:ascii="楷体_GB2312" w:eastAsia="楷体_GB2312" w:hAnsi="宋体" w:cs="宋体" w:hint="eastAsia"/>
          <w:b/>
          <w:color w:val="000000" w:themeColor="text1"/>
          <w:kern w:val="0"/>
          <w:szCs w:val="21"/>
        </w:rPr>
        <w:t>广发货币B：</w:t>
      </w:r>
      <w:r w:rsidRPr="000E2698">
        <w:rPr>
          <w:rFonts w:ascii="楷体_GB2312" w:eastAsia="楷体_GB2312" w:hAnsi="宋体" w:cs="宋体" w:hint="eastAsia"/>
          <w:color w:val="000000" w:themeColor="text1"/>
          <w:kern w:val="0"/>
          <w:szCs w:val="21"/>
        </w:rPr>
        <w:t>基金设立于05年5月，截至201</w:t>
      </w:r>
      <w:r w:rsidR="00D74301">
        <w:rPr>
          <w:rFonts w:ascii="楷体_GB2312" w:eastAsia="楷体_GB2312" w:hAnsi="宋体" w:cs="宋体" w:hint="eastAsia"/>
          <w:color w:val="000000" w:themeColor="text1"/>
          <w:kern w:val="0"/>
          <w:szCs w:val="21"/>
        </w:rPr>
        <w:t>4</w:t>
      </w:r>
      <w:r w:rsidR="00D74301" w:rsidRPr="000E2698">
        <w:rPr>
          <w:rFonts w:ascii="楷体_GB2312" w:eastAsia="楷体_GB2312" w:hAnsi="宋体" w:cs="宋体" w:hint="eastAsia"/>
          <w:color w:val="000000" w:themeColor="text1"/>
          <w:kern w:val="0"/>
          <w:szCs w:val="21"/>
        </w:rPr>
        <w:t>年</w:t>
      </w:r>
      <w:r w:rsidR="00D74301">
        <w:rPr>
          <w:rFonts w:ascii="楷体_GB2312" w:eastAsia="楷体_GB2312" w:hAnsi="宋体" w:cs="宋体" w:hint="eastAsia"/>
          <w:color w:val="000000" w:themeColor="text1"/>
          <w:kern w:val="0"/>
          <w:szCs w:val="21"/>
        </w:rPr>
        <w:t>一季度末</w:t>
      </w:r>
      <w:r w:rsidRPr="000E2698">
        <w:rPr>
          <w:rFonts w:ascii="楷体_GB2312" w:eastAsia="楷体_GB2312" w:hAnsi="宋体" w:cs="宋体" w:hint="eastAsia"/>
          <w:color w:val="000000" w:themeColor="text1"/>
          <w:kern w:val="0"/>
          <w:szCs w:val="21"/>
        </w:rPr>
        <w:t>，基金A、B份额合计</w:t>
      </w:r>
      <w:r w:rsidR="006A0423">
        <w:rPr>
          <w:rFonts w:ascii="楷体_GB2312" w:eastAsia="楷体_GB2312" w:hAnsi="宋体" w:cs="宋体"/>
          <w:color w:val="000000" w:themeColor="text1"/>
          <w:kern w:val="0"/>
          <w:szCs w:val="21"/>
        </w:rPr>
        <w:t>374</w:t>
      </w:r>
      <w:r w:rsidRPr="000E2698">
        <w:rPr>
          <w:rFonts w:ascii="楷体_GB2312" w:eastAsia="楷体_GB2312" w:hAnsi="宋体" w:cs="宋体" w:hint="eastAsia"/>
          <w:color w:val="000000" w:themeColor="text1"/>
          <w:kern w:val="0"/>
          <w:szCs w:val="21"/>
        </w:rPr>
        <w:t>亿份流动性较好，历史管理业绩优秀，已连续三年超过一年定期存款和同期货币市场基金平均收益。</w:t>
      </w:r>
    </w:p>
    <w:p w:rsidR="00A3457F" w:rsidRPr="00715274" w:rsidRDefault="005E4592"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二</w:t>
      </w:r>
      <w:r w:rsidR="004938DD">
        <w:rPr>
          <w:rFonts w:ascii="黑体" w:eastAsia="黑体" w:hAnsi="宋体-18030" w:cs="宋体-18030" w:hint="eastAsia"/>
          <w:b/>
          <w:bCs/>
          <w:color w:val="000000"/>
          <w:kern w:val="44"/>
          <w:sz w:val="28"/>
          <w:szCs w:val="28"/>
        </w:rPr>
        <w:t>、</w:t>
      </w:r>
      <w:r w:rsidR="00804862" w:rsidRPr="00715274">
        <w:rPr>
          <w:rFonts w:ascii="黑体" w:eastAsia="黑体" w:hAnsi="宋体-18030" w:cs="宋体-18030" w:hint="eastAsia"/>
          <w:b/>
          <w:bCs/>
          <w:color w:val="000000"/>
          <w:kern w:val="44"/>
          <w:sz w:val="28"/>
          <w:szCs w:val="28"/>
        </w:rPr>
        <w:t>市场回顾</w:t>
      </w:r>
    </w:p>
    <w:p w:rsidR="00742E0D" w:rsidRPr="005E4592" w:rsidRDefault="00217C1F" w:rsidP="004B0295">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（一）基础市场回顾：</w:t>
      </w:r>
      <w:r w:rsidR="00312FDC" w:rsidRPr="005E4592">
        <w:rPr>
          <w:rFonts w:ascii="黑体" w:eastAsia="黑体" w:hAnsi="宋体-18030" w:cs="宋体-18030" w:hint="eastAsia"/>
          <w:b/>
          <w:bCs/>
          <w:color w:val="003366"/>
          <w:kern w:val="44"/>
          <w:sz w:val="24"/>
        </w:rPr>
        <w:t>股市</w:t>
      </w:r>
      <w:r w:rsidR="005C4BA9" w:rsidRPr="005E4592">
        <w:rPr>
          <w:rFonts w:ascii="黑体" w:eastAsia="黑体" w:hAnsi="宋体-18030" w:cs="宋体-18030" w:hint="eastAsia"/>
          <w:b/>
          <w:bCs/>
          <w:color w:val="003366"/>
          <w:kern w:val="44"/>
          <w:sz w:val="24"/>
        </w:rPr>
        <w:t>先扬后抑</w:t>
      </w:r>
      <w:r w:rsidR="00BA01BC" w:rsidRPr="005E4592">
        <w:rPr>
          <w:rFonts w:ascii="黑体" w:eastAsia="黑体" w:hAnsi="宋体-18030" w:cs="宋体-18030" w:hint="eastAsia"/>
          <w:b/>
          <w:bCs/>
          <w:color w:val="003366"/>
          <w:kern w:val="44"/>
          <w:sz w:val="24"/>
        </w:rPr>
        <w:t>，</w:t>
      </w:r>
      <w:r w:rsidR="00312FDC" w:rsidRPr="005E4592">
        <w:rPr>
          <w:rFonts w:ascii="黑体" w:eastAsia="黑体" w:hAnsi="宋体-18030" w:cs="宋体-18030" w:hint="eastAsia"/>
          <w:b/>
          <w:bCs/>
          <w:color w:val="003366"/>
          <w:kern w:val="44"/>
          <w:sz w:val="24"/>
        </w:rPr>
        <w:t>债市收益率曲线陡峭化下移</w:t>
      </w:r>
    </w:p>
    <w:p w:rsidR="003746A0" w:rsidRPr="003A2393" w:rsidRDefault="00AA6106" w:rsidP="004B029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4</w:t>
      </w:r>
      <w:r w:rsidR="005C4BA9" w:rsidRPr="003A2393">
        <w:rPr>
          <w:rFonts w:ascii="楷体_GB2312" w:eastAsia="楷体_GB2312" w:hAnsi="宋体" w:cs="宋体" w:hint="eastAsia"/>
          <w:kern w:val="0"/>
          <w:szCs w:val="21"/>
        </w:rPr>
        <w:t>月</w:t>
      </w:r>
      <w:r>
        <w:rPr>
          <w:rFonts w:ascii="楷体_GB2312" w:eastAsia="楷体_GB2312" w:hAnsi="宋体" w:cs="宋体" w:hint="eastAsia"/>
          <w:kern w:val="0"/>
          <w:szCs w:val="21"/>
        </w:rPr>
        <w:t>上半月市场短期反弹，但在IPO重启和经济下行的双重压力下</w:t>
      </w:r>
      <w:r w:rsidR="00AB4E61">
        <w:rPr>
          <w:rFonts w:ascii="楷体_GB2312" w:eastAsia="楷体_GB2312" w:hAnsi="宋体" w:cs="宋体" w:hint="eastAsia"/>
          <w:kern w:val="0"/>
          <w:szCs w:val="21"/>
        </w:rPr>
        <w:t>，</w:t>
      </w:r>
      <w:r>
        <w:rPr>
          <w:rFonts w:ascii="楷体_GB2312" w:eastAsia="楷体_GB2312" w:hAnsi="宋体" w:cs="宋体" w:hint="eastAsia"/>
          <w:kern w:val="0"/>
          <w:szCs w:val="21"/>
        </w:rPr>
        <w:t>下半月市场持续调整。</w:t>
      </w:r>
      <w:r w:rsidR="00AB4E61">
        <w:rPr>
          <w:rFonts w:ascii="楷体_GB2312" w:eastAsia="楷体_GB2312" w:hAnsi="宋体" w:cs="宋体" w:hint="eastAsia"/>
          <w:kern w:val="0"/>
          <w:szCs w:val="21"/>
        </w:rPr>
        <w:t>全月</w:t>
      </w:r>
      <w:r w:rsidR="00425550" w:rsidRPr="003A2393">
        <w:rPr>
          <w:rFonts w:ascii="楷体_GB2312" w:eastAsia="楷体_GB2312" w:hAnsi="宋体" w:cs="宋体" w:hint="eastAsia"/>
          <w:kern w:val="0"/>
          <w:szCs w:val="21"/>
        </w:rPr>
        <w:t>上证指数</w:t>
      </w:r>
      <w:r w:rsidR="00AB4E61">
        <w:rPr>
          <w:rFonts w:ascii="楷体_GB2312" w:eastAsia="楷体_GB2312" w:hAnsi="宋体" w:cs="宋体" w:hint="eastAsia"/>
          <w:kern w:val="0"/>
          <w:szCs w:val="21"/>
        </w:rPr>
        <w:t>下跌</w:t>
      </w:r>
      <w:r>
        <w:rPr>
          <w:rFonts w:ascii="楷体_GB2312" w:eastAsia="楷体_GB2312" w:hAnsi="宋体" w:cs="宋体" w:hint="eastAsia"/>
          <w:kern w:val="0"/>
          <w:szCs w:val="21"/>
        </w:rPr>
        <w:t>0</w:t>
      </w:r>
      <w:r w:rsidR="00425550" w:rsidRPr="003A2393">
        <w:rPr>
          <w:rFonts w:ascii="楷体_GB2312" w:eastAsia="楷体_GB2312" w:hAnsi="宋体" w:cs="宋体"/>
          <w:kern w:val="0"/>
          <w:szCs w:val="21"/>
        </w:rPr>
        <w:t>.</w:t>
      </w:r>
      <w:r>
        <w:rPr>
          <w:rFonts w:ascii="楷体_GB2312" w:eastAsia="楷体_GB2312" w:hAnsi="宋体" w:cs="宋体" w:hint="eastAsia"/>
          <w:kern w:val="0"/>
          <w:szCs w:val="21"/>
        </w:rPr>
        <w:t>34</w:t>
      </w:r>
      <w:r w:rsidR="00425550" w:rsidRPr="003A2393">
        <w:rPr>
          <w:rFonts w:ascii="楷体_GB2312" w:eastAsia="楷体_GB2312" w:hAnsi="宋体" w:cs="宋体" w:hint="eastAsia"/>
          <w:kern w:val="0"/>
          <w:szCs w:val="21"/>
        </w:rPr>
        <w:t>%、</w:t>
      </w:r>
      <w:r w:rsidR="00352B48">
        <w:rPr>
          <w:rFonts w:ascii="楷体_GB2312" w:eastAsia="楷体_GB2312" w:hAnsi="宋体" w:cs="宋体" w:hint="eastAsia"/>
          <w:kern w:val="0"/>
          <w:szCs w:val="21"/>
        </w:rPr>
        <w:t>深圳综指</w:t>
      </w:r>
      <w:r w:rsidR="000B3D93">
        <w:rPr>
          <w:rFonts w:ascii="楷体_GB2312" w:eastAsia="楷体_GB2312" w:hAnsi="宋体" w:cs="宋体" w:hint="eastAsia"/>
          <w:kern w:val="0"/>
          <w:szCs w:val="21"/>
        </w:rPr>
        <w:t>继续在创业板和中小盘的拖累下下跌1</w:t>
      </w:r>
      <w:r w:rsidR="00425550" w:rsidRPr="003A2393">
        <w:rPr>
          <w:rFonts w:ascii="楷体_GB2312" w:eastAsia="楷体_GB2312" w:hAnsi="宋体" w:cs="宋体"/>
          <w:kern w:val="0"/>
          <w:szCs w:val="21"/>
        </w:rPr>
        <w:t>.</w:t>
      </w:r>
      <w:r w:rsidR="000B3D93">
        <w:rPr>
          <w:rFonts w:ascii="楷体_GB2312" w:eastAsia="楷体_GB2312" w:hAnsi="宋体" w:cs="宋体" w:hint="eastAsia"/>
          <w:kern w:val="0"/>
          <w:szCs w:val="21"/>
        </w:rPr>
        <w:t>18</w:t>
      </w:r>
      <w:r w:rsidR="00425550" w:rsidRPr="003A2393">
        <w:rPr>
          <w:rFonts w:ascii="楷体_GB2312" w:eastAsia="楷体_GB2312" w:hAnsi="宋体" w:cs="宋体" w:hint="eastAsia"/>
          <w:kern w:val="0"/>
          <w:szCs w:val="21"/>
        </w:rPr>
        <w:t>%</w:t>
      </w:r>
      <w:r w:rsidR="00352B48">
        <w:rPr>
          <w:rFonts w:ascii="楷体_GB2312" w:eastAsia="楷体_GB2312" w:hAnsi="宋体" w:cs="宋体" w:hint="eastAsia"/>
          <w:kern w:val="0"/>
          <w:szCs w:val="21"/>
        </w:rPr>
        <w:t>，</w:t>
      </w:r>
      <w:r w:rsidR="000B3D93">
        <w:rPr>
          <w:rFonts w:ascii="楷体_GB2312" w:eastAsia="楷体_GB2312" w:hAnsi="宋体" w:cs="宋体" w:hint="eastAsia"/>
          <w:kern w:val="0"/>
          <w:szCs w:val="21"/>
        </w:rPr>
        <w:t>但沪深两市跌幅均较3月明显收窄</w:t>
      </w:r>
      <w:r w:rsidR="00425550" w:rsidRPr="003A2393">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6A2497" w:rsidRPr="00051DF8" w:rsidTr="00362A1B">
        <w:tc>
          <w:tcPr>
            <w:tcW w:w="4820" w:type="dxa"/>
            <w:gridSpan w:val="2"/>
            <w:tcBorders>
              <w:bottom w:val="single" w:sz="4" w:space="0" w:color="FF0000"/>
            </w:tcBorders>
          </w:tcPr>
          <w:p w:rsidR="006A2497" w:rsidRPr="00144B03" w:rsidRDefault="006A2497"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本月</w:t>
            </w:r>
            <w:r w:rsidR="00C23DAD" w:rsidRPr="00144B03">
              <w:rPr>
                <w:rFonts w:ascii="楷体_GB2312" w:eastAsia="楷体_GB2312" w:hint="eastAsia"/>
                <w:b/>
                <w:color w:val="000000"/>
                <w:sz w:val="18"/>
                <w:szCs w:val="18"/>
              </w:rPr>
              <w:t>沪深两市</w:t>
            </w:r>
            <w:r w:rsidR="005F0468" w:rsidRPr="00144B03">
              <w:rPr>
                <w:rFonts w:ascii="楷体_GB2312" w:eastAsia="楷体_GB2312" w:hint="eastAsia"/>
                <w:b/>
                <w:color w:val="000000"/>
                <w:sz w:val="18"/>
                <w:szCs w:val="18"/>
              </w:rPr>
              <w:t>累计涨幅</w:t>
            </w:r>
            <w:r w:rsidR="000C19E7" w:rsidRPr="00144B03">
              <w:rPr>
                <w:rFonts w:ascii="楷体_GB2312" w:eastAsia="楷体_GB2312" w:hint="eastAsia"/>
                <w:b/>
                <w:color w:val="000000"/>
                <w:sz w:val="18"/>
                <w:szCs w:val="18"/>
              </w:rPr>
              <w:t>（%）</w:t>
            </w:r>
          </w:p>
        </w:tc>
        <w:tc>
          <w:tcPr>
            <w:tcW w:w="4536" w:type="dxa"/>
            <w:tcBorders>
              <w:bottom w:val="single" w:sz="4" w:space="0" w:color="FF0000"/>
            </w:tcBorders>
          </w:tcPr>
          <w:p w:rsidR="006A2497" w:rsidRPr="00144B03" w:rsidRDefault="006A2497"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0C19E7" w:rsidRPr="00144B03">
              <w:rPr>
                <w:rFonts w:ascii="楷体_GB2312" w:eastAsia="楷体_GB2312" w:hint="eastAsia"/>
                <w:b/>
                <w:color w:val="000000"/>
                <w:sz w:val="18"/>
                <w:szCs w:val="18"/>
              </w:rPr>
              <w:t>最近12月沪深两市涨跌幅（%）</w:t>
            </w:r>
          </w:p>
        </w:tc>
      </w:tr>
      <w:tr w:rsidR="006A2497" w:rsidRPr="00B22D95" w:rsidTr="003F56DB">
        <w:tc>
          <w:tcPr>
            <w:tcW w:w="4678" w:type="dxa"/>
            <w:tcBorders>
              <w:top w:val="single" w:sz="4" w:space="0" w:color="FF0000"/>
              <w:bottom w:val="single" w:sz="4" w:space="0" w:color="FF0000"/>
            </w:tcBorders>
          </w:tcPr>
          <w:p w:rsidR="006A2497" w:rsidRPr="00B22D95" w:rsidRDefault="003F56DB" w:rsidP="00362A1B">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7849" cy="1755600"/>
                  <wp:effectExtent l="19050" t="0" r="0" b="0"/>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2839141" cy="176261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6A2497" w:rsidRPr="00B22D95" w:rsidRDefault="000B3D93" w:rsidP="000C19E7">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30830" cy="1765300"/>
                  <wp:effectExtent l="19050" t="0" r="762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2830830" cy="1765300"/>
                          </a:xfrm>
                          <a:prstGeom prst="rect">
                            <a:avLst/>
                          </a:prstGeom>
                          <a:noFill/>
                          <a:ln w="9525">
                            <a:noFill/>
                            <a:miter lim="800000"/>
                            <a:headEnd/>
                            <a:tailEnd/>
                          </a:ln>
                        </pic:spPr>
                      </pic:pic>
                    </a:graphicData>
                  </a:graphic>
                </wp:inline>
              </w:drawing>
            </w:r>
          </w:p>
        </w:tc>
      </w:tr>
    </w:tbl>
    <w:p w:rsidR="005578EC" w:rsidRPr="00156066" w:rsidRDefault="00564B59" w:rsidP="001914BE">
      <w:pPr>
        <w:rPr>
          <w:rFonts w:ascii="楷体_GB2312" w:eastAsia="楷体_GB2312"/>
          <w:noProof/>
          <w:color w:val="000000"/>
        </w:rPr>
      </w:pPr>
      <w:r>
        <w:rPr>
          <w:rFonts w:ascii="楷体_GB2312" w:eastAsia="楷体_GB2312" w:hint="eastAsia"/>
          <w:noProof/>
          <w:color w:val="000000"/>
        </w:rPr>
        <w:t>来源：</w:t>
      </w:r>
      <w:r w:rsidR="005578EC" w:rsidRPr="00156066">
        <w:rPr>
          <w:rFonts w:ascii="楷体_GB2312" w:eastAsia="楷体_GB2312" w:hint="eastAsia"/>
          <w:noProof/>
          <w:color w:val="000000"/>
        </w:rPr>
        <w:t>wind</w:t>
      </w:r>
      <w:r w:rsidR="005578EC">
        <w:rPr>
          <w:rFonts w:ascii="楷体_GB2312" w:eastAsia="楷体_GB2312" w:hint="eastAsia"/>
          <w:noProof/>
          <w:color w:val="000000"/>
        </w:rPr>
        <w:t>，</w:t>
      </w:r>
      <w:r w:rsidR="005578EC" w:rsidRPr="00156066">
        <w:rPr>
          <w:rFonts w:ascii="楷体_GB2312" w:eastAsia="楷体_GB2312" w:hint="eastAsia"/>
          <w:noProof/>
          <w:color w:val="000000"/>
        </w:rPr>
        <w:t>上海证券基金评价研究中心</w:t>
      </w:r>
    </w:p>
    <w:p w:rsidR="005E032A" w:rsidRPr="003A2393" w:rsidRDefault="00960AF7" w:rsidP="004B029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4月市场延续3月格局，</w:t>
      </w:r>
      <w:r w:rsidR="005A7293">
        <w:rPr>
          <w:rFonts w:ascii="楷体_GB2312" w:eastAsia="楷体_GB2312" w:hAnsi="宋体" w:cs="宋体" w:hint="eastAsia"/>
          <w:kern w:val="0"/>
          <w:szCs w:val="21"/>
        </w:rPr>
        <w:t>大盘价值板块</w:t>
      </w:r>
      <w:r>
        <w:rPr>
          <w:rFonts w:ascii="楷体_GB2312" w:eastAsia="楷体_GB2312" w:hAnsi="宋体" w:cs="宋体" w:hint="eastAsia"/>
          <w:kern w:val="0"/>
          <w:szCs w:val="21"/>
        </w:rPr>
        <w:t>仍</w:t>
      </w:r>
      <w:r w:rsidR="005A7293">
        <w:rPr>
          <w:rFonts w:ascii="楷体_GB2312" w:eastAsia="楷体_GB2312" w:hAnsi="宋体" w:cs="宋体" w:hint="eastAsia"/>
          <w:kern w:val="0"/>
          <w:szCs w:val="21"/>
        </w:rPr>
        <w:t>为市场的稳定器，小盘成长板块</w:t>
      </w:r>
      <w:r>
        <w:rPr>
          <w:rFonts w:ascii="楷体_GB2312" w:eastAsia="楷体_GB2312" w:hAnsi="宋体" w:cs="宋体" w:hint="eastAsia"/>
          <w:kern w:val="0"/>
          <w:szCs w:val="21"/>
        </w:rPr>
        <w:t>持续下行</w:t>
      </w:r>
      <w:r w:rsidR="005A7293">
        <w:rPr>
          <w:rFonts w:ascii="楷体_GB2312" w:eastAsia="楷体_GB2312" w:hAnsi="宋体" w:cs="宋体" w:hint="eastAsia"/>
          <w:kern w:val="0"/>
          <w:szCs w:val="21"/>
        </w:rPr>
        <w:t>。</w:t>
      </w:r>
      <w:r>
        <w:rPr>
          <w:rFonts w:ascii="楷体_GB2312" w:eastAsia="楷体_GB2312" w:hAnsi="宋体" w:cs="宋体" w:hint="eastAsia"/>
          <w:kern w:val="0"/>
          <w:szCs w:val="21"/>
        </w:rPr>
        <w:t>大盘低市盈率指数逆势反弹，</w:t>
      </w:r>
      <w:r w:rsidR="00E54806">
        <w:rPr>
          <w:rFonts w:ascii="楷体_GB2312" w:eastAsia="楷体_GB2312" w:hAnsi="宋体" w:cs="宋体" w:hint="eastAsia"/>
          <w:kern w:val="0"/>
          <w:szCs w:val="21"/>
        </w:rPr>
        <w:t>小盘高估值板块跌势居前</w:t>
      </w:r>
      <w:r w:rsidR="005E032A" w:rsidRPr="003A2393">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51039B" w:rsidRPr="00051DF8" w:rsidTr="00A422E1">
        <w:tc>
          <w:tcPr>
            <w:tcW w:w="4820" w:type="dxa"/>
            <w:gridSpan w:val="2"/>
            <w:tcBorders>
              <w:bottom w:val="single" w:sz="4" w:space="0" w:color="FF0000"/>
            </w:tcBorders>
          </w:tcPr>
          <w:p w:rsidR="0051039B" w:rsidRPr="00144B03" w:rsidRDefault="0051039B" w:rsidP="005E24D9">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3</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本月申万市场风格指数涨跌幅</w:t>
            </w:r>
            <w:r w:rsidRPr="00144B03">
              <w:rPr>
                <w:rFonts w:ascii="楷体_GB2312" w:eastAsia="楷体_GB2312" w:hint="eastAsia"/>
                <w:b/>
                <w:color w:val="000000"/>
                <w:sz w:val="18"/>
                <w:szCs w:val="18"/>
              </w:rPr>
              <w:t>（%）</w:t>
            </w:r>
          </w:p>
        </w:tc>
        <w:tc>
          <w:tcPr>
            <w:tcW w:w="4536" w:type="dxa"/>
            <w:tcBorders>
              <w:bottom w:val="single" w:sz="4" w:space="0" w:color="FF0000"/>
            </w:tcBorders>
          </w:tcPr>
          <w:p w:rsidR="0051039B" w:rsidRPr="00144B03" w:rsidRDefault="0051039B" w:rsidP="005E24D9">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4</w:t>
            </w:r>
            <w:r w:rsidRPr="00144B03">
              <w:rPr>
                <w:rFonts w:ascii="楷体_GB2312" w:eastAsia="楷体_GB2312" w:hint="eastAsia"/>
                <w:b/>
                <w:color w:val="000000"/>
                <w:sz w:val="18"/>
                <w:szCs w:val="18"/>
              </w:rPr>
              <w:t>、</w:t>
            </w:r>
            <w:r w:rsidR="00B25033" w:rsidRPr="00144B03">
              <w:rPr>
                <w:rFonts w:ascii="楷体_GB2312" w:eastAsia="楷体_GB2312" w:hint="eastAsia"/>
                <w:b/>
                <w:color w:val="000000"/>
                <w:sz w:val="18"/>
                <w:szCs w:val="18"/>
              </w:rPr>
              <w:t>本月申万</w:t>
            </w:r>
            <w:r w:rsidR="004264FD" w:rsidRPr="00144B03">
              <w:rPr>
                <w:rFonts w:ascii="楷体_GB2312" w:eastAsia="楷体_GB2312" w:hint="eastAsia"/>
                <w:b/>
                <w:color w:val="000000"/>
                <w:sz w:val="18"/>
                <w:szCs w:val="18"/>
              </w:rPr>
              <w:t>一级</w:t>
            </w:r>
            <w:r w:rsidR="00B25033" w:rsidRPr="00144B03">
              <w:rPr>
                <w:rFonts w:ascii="楷体_GB2312" w:eastAsia="楷体_GB2312" w:hint="eastAsia"/>
                <w:b/>
                <w:color w:val="000000"/>
                <w:sz w:val="18"/>
                <w:szCs w:val="18"/>
              </w:rPr>
              <w:t>行业指数涨跌幅（</w:t>
            </w:r>
            <w:r w:rsidRPr="00144B03">
              <w:rPr>
                <w:rFonts w:ascii="楷体_GB2312" w:eastAsia="楷体_GB2312" w:hint="eastAsia"/>
                <w:b/>
                <w:color w:val="000000"/>
                <w:sz w:val="18"/>
                <w:szCs w:val="18"/>
              </w:rPr>
              <w:t>%）</w:t>
            </w:r>
          </w:p>
        </w:tc>
      </w:tr>
      <w:tr w:rsidR="0051039B" w:rsidRPr="00B22D95" w:rsidTr="00960AF7">
        <w:tc>
          <w:tcPr>
            <w:tcW w:w="4678" w:type="dxa"/>
            <w:tcBorders>
              <w:top w:val="single" w:sz="4" w:space="0" w:color="FF0000"/>
              <w:bottom w:val="single" w:sz="4" w:space="0" w:color="FF0000"/>
            </w:tcBorders>
          </w:tcPr>
          <w:p w:rsidR="0051039B" w:rsidRPr="00B22D95" w:rsidRDefault="00960AF7"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30830" cy="1645920"/>
                  <wp:effectExtent l="1905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2830830" cy="164592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1039B" w:rsidRPr="00B22D95" w:rsidRDefault="00960AF7" w:rsidP="0051039B">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30830" cy="1765300"/>
                  <wp:effectExtent l="19050" t="0" r="762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srcRect/>
                          <a:stretch>
                            <a:fillRect/>
                          </a:stretch>
                        </pic:blipFill>
                        <pic:spPr bwMode="auto">
                          <a:xfrm>
                            <a:off x="0" y="0"/>
                            <a:ext cx="2830830" cy="1765300"/>
                          </a:xfrm>
                          <a:prstGeom prst="rect">
                            <a:avLst/>
                          </a:prstGeom>
                          <a:noFill/>
                          <a:ln w="9525">
                            <a:noFill/>
                            <a:miter lim="800000"/>
                            <a:headEnd/>
                            <a:tailEnd/>
                          </a:ln>
                        </pic:spPr>
                      </pic:pic>
                    </a:graphicData>
                  </a:graphic>
                </wp:inline>
              </w:drawing>
            </w:r>
          </w:p>
        </w:tc>
      </w:tr>
    </w:tbl>
    <w:p w:rsidR="0051039B" w:rsidRPr="00156066" w:rsidRDefault="00564B59" w:rsidP="0051039B">
      <w:pPr>
        <w:rPr>
          <w:rFonts w:ascii="楷体_GB2312" w:eastAsia="楷体_GB2312"/>
          <w:noProof/>
          <w:color w:val="000000"/>
        </w:rPr>
      </w:pPr>
      <w:r>
        <w:rPr>
          <w:rFonts w:ascii="楷体_GB2312" w:eastAsia="楷体_GB2312" w:hint="eastAsia"/>
          <w:noProof/>
          <w:color w:val="000000"/>
        </w:rPr>
        <w:t>来源：</w:t>
      </w:r>
      <w:r w:rsidR="0051039B" w:rsidRPr="00156066">
        <w:rPr>
          <w:rFonts w:ascii="楷体_GB2312" w:eastAsia="楷体_GB2312" w:hint="eastAsia"/>
          <w:noProof/>
          <w:color w:val="000000"/>
        </w:rPr>
        <w:t>wind</w:t>
      </w:r>
      <w:r w:rsidR="0051039B">
        <w:rPr>
          <w:rFonts w:ascii="楷体_GB2312" w:eastAsia="楷体_GB2312" w:hint="eastAsia"/>
          <w:noProof/>
          <w:color w:val="000000"/>
        </w:rPr>
        <w:t>，</w:t>
      </w:r>
      <w:r w:rsidR="0051039B" w:rsidRPr="00156066">
        <w:rPr>
          <w:rFonts w:ascii="楷体_GB2312" w:eastAsia="楷体_GB2312" w:hint="eastAsia"/>
          <w:noProof/>
          <w:color w:val="000000"/>
        </w:rPr>
        <w:t>上海证券基金评价研究中心</w:t>
      </w:r>
    </w:p>
    <w:p w:rsidR="009E5AE9" w:rsidRDefault="00E54806" w:rsidP="004B0295">
      <w:pPr>
        <w:spacing w:beforeLines="50"/>
        <w:ind w:leftChars="1350" w:left="2835" w:firstLineChars="202" w:firstLine="424"/>
        <w:rPr>
          <w:rFonts w:ascii="楷体_GB2312" w:eastAsia="楷体_GB2312" w:hAnsi="宋体" w:cs="宋体"/>
          <w:kern w:val="0"/>
          <w:szCs w:val="21"/>
        </w:rPr>
      </w:pPr>
      <w:bookmarkStart w:id="1" w:name="_Hlk358040553"/>
      <w:r>
        <w:rPr>
          <w:rFonts w:ascii="楷体_GB2312" w:eastAsia="楷体_GB2312" w:hAnsi="宋体" w:cs="宋体" w:hint="eastAsia"/>
          <w:kern w:val="0"/>
          <w:szCs w:val="21"/>
        </w:rPr>
        <w:t>4月市场</w:t>
      </w:r>
      <w:r w:rsidR="0006278C">
        <w:rPr>
          <w:rFonts w:ascii="楷体_GB2312" w:eastAsia="楷体_GB2312" w:hAnsi="宋体" w:cs="宋体" w:hint="eastAsia"/>
          <w:kern w:val="0"/>
          <w:szCs w:val="21"/>
        </w:rPr>
        <w:t>木材家具取代上月的</w:t>
      </w:r>
      <w:r>
        <w:rPr>
          <w:rFonts w:ascii="楷体_GB2312" w:eastAsia="楷体_GB2312" w:hAnsi="宋体" w:cs="宋体" w:hint="eastAsia"/>
          <w:kern w:val="0"/>
          <w:szCs w:val="21"/>
        </w:rPr>
        <w:t>地产</w:t>
      </w:r>
      <w:r w:rsidR="0006278C">
        <w:rPr>
          <w:rFonts w:ascii="楷体_GB2312" w:eastAsia="楷体_GB2312" w:hAnsi="宋体" w:cs="宋体" w:hint="eastAsia"/>
          <w:kern w:val="0"/>
          <w:szCs w:val="21"/>
        </w:rPr>
        <w:t>成为市场热点，全月强劲上涨</w:t>
      </w:r>
      <w:r w:rsidR="0006278C" w:rsidRPr="0006278C">
        <w:rPr>
          <w:rFonts w:ascii="楷体_GB2312" w:eastAsia="楷体_GB2312" w:hAnsi="宋体" w:cs="宋体"/>
          <w:kern w:val="0"/>
          <w:szCs w:val="21"/>
        </w:rPr>
        <w:t>8.23</w:t>
      </w:r>
      <w:r w:rsidR="0006278C">
        <w:rPr>
          <w:rFonts w:ascii="楷体_GB2312" w:eastAsia="楷体_GB2312" w:hAnsi="宋体" w:cs="宋体" w:hint="eastAsia"/>
          <w:kern w:val="0"/>
          <w:szCs w:val="21"/>
        </w:rPr>
        <w:t>%</w:t>
      </w:r>
      <w:r>
        <w:rPr>
          <w:rFonts w:ascii="楷体_GB2312" w:eastAsia="楷体_GB2312" w:hAnsi="宋体" w:cs="宋体" w:hint="eastAsia"/>
          <w:kern w:val="0"/>
          <w:szCs w:val="21"/>
        </w:rPr>
        <w:t>，</w:t>
      </w:r>
      <w:r w:rsidR="0006278C">
        <w:rPr>
          <w:rFonts w:ascii="楷体_GB2312" w:eastAsia="楷体_GB2312" w:hAnsi="宋体" w:cs="宋体" w:hint="eastAsia"/>
          <w:kern w:val="0"/>
          <w:szCs w:val="21"/>
        </w:rPr>
        <w:t>估值</w:t>
      </w:r>
      <w:r w:rsidR="007738B7">
        <w:rPr>
          <w:rFonts w:ascii="楷体_GB2312" w:eastAsia="楷体_GB2312" w:hAnsi="宋体" w:cs="宋体" w:hint="eastAsia"/>
          <w:kern w:val="0"/>
          <w:szCs w:val="21"/>
        </w:rPr>
        <w:t>较</w:t>
      </w:r>
      <w:r w:rsidR="0006278C">
        <w:rPr>
          <w:rFonts w:ascii="楷体_GB2312" w:eastAsia="楷体_GB2312" w:hAnsi="宋体" w:cs="宋体" w:hint="eastAsia"/>
          <w:kern w:val="0"/>
          <w:szCs w:val="21"/>
        </w:rPr>
        <w:t>低</w:t>
      </w:r>
      <w:r w:rsidR="007738B7">
        <w:rPr>
          <w:rFonts w:ascii="楷体_GB2312" w:eastAsia="楷体_GB2312" w:hAnsi="宋体" w:cs="宋体" w:hint="eastAsia"/>
          <w:kern w:val="0"/>
          <w:szCs w:val="21"/>
        </w:rPr>
        <w:t>盈利稳定</w:t>
      </w:r>
      <w:r w:rsidR="0006278C">
        <w:rPr>
          <w:rFonts w:ascii="楷体_GB2312" w:eastAsia="楷体_GB2312" w:hAnsi="宋体" w:cs="宋体" w:hint="eastAsia"/>
          <w:kern w:val="0"/>
          <w:szCs w:val="21"/>
        </w:rPr>
        <w:t>的金融服务</w:t>
      </w:r>
      <w:r w:rsidR="008B4A47">
        <w:rPr>
          <w:rFonts w:ascii="楷体_GB2312" w:eastAsia="楷体_GB2312" w:hAnsi="宋体" w:cs="宋体" w:hint="eastAsia"/>
          <w:kern w:val="0"/>
          <w:szCs w:val="21"/>
        </w:rPr>
        <w:t>表现较稳，全月实现上涨2.51%，3月遭遇重挫的文化传播、电子在本月企稳并小幅反弹。</w:t>
      </w:r>
      <w:r w:rsidR="00F01F44">
        <w:rPr>
          <w:rFonts w:ascii="楷体_GB2312" w:eastAsia="楷体_GB2312" w:hAnsi="宋体" w:cs="宋体" w:hint="eastAsia"/>
          <w:kern w:val="0"/>
          <w:szCs w:val="21"/>
        </w:rPr>
        <w:t>强周期行业持续低迷，其中石油化工、其他造业和纺织服装分别下跌</w:t>
      </w:r>
      <w:r w:rsidR="00F01F44" w:rsidRPr="00F01F44">
        <w:rPr>
          <w:rFonts w:ascii="楷体_GB2312" w:eastAsia="楷体_GB2312" w:hAnsi="宋体" w:cs="宋体"/>
          <w:kern w:val="0"/>
          <w:szCs w:val="21"/>
        </w:rPr>
        <w:t>3.92</w:t>
      </w:r>
      <w:r w:rsidR="00F01F44">
        <w:rPr>
          <w:rFonts w:ascii="楷体_GB2312" w:eastAsia="楷体_GB2312" w:hAnsi="宋体" w:cs="宋体" w:hint="eastAsia"/>
          <w:kern w:val="0"/>
          <w:szCs w:val="21"/>
        </w:rPr>
        <w:t>%、</w:t>
      </w:r>
      <w:r w:rsidR="00F01F44" w:rsidRPr="00F01F44">
        <w:rPr>
          <w:rFonts w:ascii="楷体_GB2312" w:eastAsia="楷体_GB2312" w:hAnsi="宋体" w:cs="宋体"/>
          <w:kern w:val="0"/>
          <w:szCs w:val="21"/>
        </w:rPr>
        <w:t>3.84</w:t>
      </w:r>
      <w:r w:rsidR="00F01F44">
        <w:rPr>
          <w:rFonts w:ascii="楷体_GB2312" w:eastAsia="楷体_GB2312" w:hAnsi="宋体" w:cs="宋体" w:hint="eastAsia"/>
          <w:kern w:val="0"/>
          <w:szCs w:val="21"/>
        </w:rPr>
        <w:t>%、</w:t>
      </w:r>
      <w:r w:rsidR="00F01F44" w:rsidRPr="00F01F44">
        <w:rPr>
          <w:rFonts w:ascii="楷体_GB2312" w:eastAsia="楷体_GB2312" w:hAnsi="宋体" w:cs="宋体"/>
          <w:kern w:val="0"/>
          <w:szCs w:val="21"/>
        </w:rPr>
        <w:t>3.39</w:t>
      </w:r>
      <w:r w:rsidR="00F01F44">
        <w:rPr>
          <w:rFonts w:ascii="楷体_GB2312" w:eastAsia="楷体_GB2312" w:hAnsi="宋体" w:cs="宋体" w:hint="eastAsia"/>
          <w:kern w:val="0"/>
          <w:szCs w:val="21"/>
        </w:rPr>
        <w:t>%</w:t>
      </w:r>
      <w:r w:rsidR="009E5AE9">
        <w:rPr>
          <w:rFonts w:ascii="楷体_GB2312" w:eastAsia="楷体_GB2312" w:hAnsi="宋体" w:cs="宋体" w:hint="eastAsia"/>
          <w:kern w:val="0"/>
          <w:szCs w:val="21"/>
        </w:rPr>
        <w:t>，领跌整体市场。</w:t>
      </w:r>
      <w:bookmarkEnd w:id="1"/>
    </w:p>
    <w:p w:rsidR="00E01502" w:rsidRPr="003A2393" w:rsidRDefault="009E5AE9" w:rsidP="004B029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在3月短期的修整之后，4</w:t>
      </w:r>
      <w:r w:rsidR="00B35B0B" w:rsidRPr="003A2393">
        <w:rPr>
          <w:rFonts w:ascii="楷体_GB2312" w:eastAsia="楷体_GB2312" w:hAnsi="宋体" w:cs="宋体" w:hint="eastAsia"/>
          <w:kern w:val="0"/>
          <w:szCs w:val="21"/>
        </w:rPr>
        <w:t>月债市</w:t>
      </w:r>
      <w:r>
        <w:rPr>
          <w:rFonts w:ascii="楷体_GB2312" w:eastAsia="楷体_GB2312" w:hAnsi="宋体" w:cs="宋体" w:hint="eastAsia"/>
          <w:kern w:val="0"/>
          <w:szCs w:val="21"/>
        </w:rPr>
        <w:t>在较为宽松的资金面支撑下</w:t>
      </w:r>
      <w:r w:rsidR="005C5CC6">
        <w:rPr>
          <w:rFonts w:ascii="楷体_GB2312" w:eastAsia="楷体_GB2312" w:hAnsi="宋体" w:cs="宋体" w:hint="eastAsia"/>
          <w:kern w:val="0"/>
          <w:szCs w:val="21"/>
        </w:rPr>
        <w:t>表现强劲</w:t>
      </w:r>
      <w:r w:rsidR="005C5CC6" w:rsidRPr="001B4A79">
        <w:rPr>
          <w:rFonts w:ascii="楷体_GB2312" w:eastAsia="楷体_GB2312" w:hAnsi="宋体" w:cs="宋体" w:hint="eastAsia"/>
          <w:kern w:val="0"/>
          <w:szCs w:val="21"/>
        </w:rPr>
        <w:t>，</w:t>
      </w:r>
      <w:r w:rsidR="00E87BA1" w:rsidRPr="001B4A79">
        <w:rPr>
          <w:rFonts w:ascii="楷体_GB2312" w:eastAsia="楷体_GB2312" w:hAnsi="宋体" w:cs="宋体" w:hint="eastAsia"/>
          <w:kern w:val="0"/>
          <w:szCs w:val="21"/>
        </w:rPr>
        <w:t>收益率曲线平坦化下移，长期券种体现出配置优势。</w:t>
      </w:r>
      <w:r w:rsidR="005553C5" w:rsidRPr="001B4A79">
        <w:rPr>
          <w:rFonts w:ascii="楷体_GB2312" w:eastAsia="楷体_GB2312" w:hAnsi="宋体" w:cs="宋体" w:hint="eastAsia"/>
          <w:kern w:val="0"/>
          <w:szCs w:val="21"/>
        </w:rPr>
        <w:t>债市信用利差</w:t>
      </w:r>
      <w:r w:rsidR="001B4A79">
        <w:rPr>
          <w:rFonts w:ascii="楷体_GB2312" w:eastAsia="楷体_GB2312" w:hAnsi="宋体" w:cs="宋体" w:hint="eastAsia"/>
          <w:kern w:val="0"/>
          <w:szCs w:val="21"/>
        </w:rPr>
        <w:t>小幅扩大</w:t>
      </w:r>
      <w:r w:rsidR="005553C5" w:rsidRPr="001B4A79">
        <w:rPr>
          <w:rFonts w:ascii="楷体_GB2312" w:eastAsia="楷体_GB2312" w:hAnsi="宋体" w:cs="宋体" w:hint="eastAsia"/>
          <w:kern w:val="0"/>
          <w:szCs w:val="21"/>
        </w:rPr>
        <w:t>，10年期国债和企业债（AAA）利差从上个月底的</w:t>
      </w:r>
      <w:r w:rsidR="001B4A79" w:rsidRPr="001B4A79">
        <w:rPr>
          <w:rFonts w:ascii="楷体_GB2312" w:eastAsia="楷体_GB2312" w:hAnsi="宋体" w:cs="宋体"/>
          <w:kern w:val="0"/>
          <w:szCs w:val="21"/>
        </w:rPr>
        <w:t>165.87</w:t>
      </w:r>
      <w:r w:rsidR="006A783A" w:rsidRPr="001B4A79">
        <w:rPr>
          <w:rFonts w:ascii="楷体_GB2312" w:eastAsia="楷体_GB2312" w:hAnsi="宋体" w:cs="宋体" w:hint="eastAsia"/>
          <w:kern w:val="0"/>
          <w:szCs w:val="21"/>
        </w:rPr>
        <w:t>个</w:t>
      </w:r>
      <w:r w:rsidR="006A783A" w:rsidRPr="001B4A79">
        <w:rPr>
          <w:rFonts w:ascii="楷体_GB2312" w:eastAsia="楷体_GB2312" w:hAnsi="宋体" w:cs="宋体" w:hint="eastAsia"/>
          <w:kern w:val="0"/>
          <w:szCs w:val="21"/>
        </w:rPr>
        <w:lastRenderedPageBreak/>
        <w:t>BP</w:t>
      </w:r>
      <w:r w:rsidR="001B4A79">
        <w:rPr>
          <w:rFonts w:ascii="楷体_GB2312" w:eastAsia="楷体_GB2312" w:hAnsi="宋体" w:cs="宋体" w:hint="eastAsia"/>
          <w:kern w:val="0"/>
          <w:szCs w:val="21"/>
        </w:rPr>
        <w:t>增至4月底的</w:t>
      </w:r>
      <w:r w:rsidR="001B4A79" w:rsidRPr="001B4A79">
        <w:rPr>
          <w:rFonts w:ascii="楷体_GB2312" w:eastAsia="楷体_GB2312" w:hAnsi="宋体" w:cs="宋体"/>
          <w:kern w:val="0"/>
          <w:szCs w:val="21"/>
        </w:rPr>
        <w:t>167.08</w:t>
      </w:r>
      <w:r w:rsidR="006A783A" w:rsidRPr="001B4A79">
        <w:rPr>
          <w:rFonts w:ascii="楷体_GB2312" w:eastAsia="楷体_GB2312" w:hAnsi="宋体" w:cs="宋体" w:hint="eastAsia"/>
          <w:kern w:val="0"/>
          <w:szCs w:val="21"/>
        </w:rPr>
        <w:t>个BP。</w:t>
      </w:r>
    </w:p>
    <w:tbl>
      <w:tblPr>
        <w:tblW w:w="9356" w:type="dxa"/>
        <w:tblInd w:w="-34" w:type="dxa"/>
        <w:tblLayout w:type="fixed"/>
        <w:tblLook w:val="04A0"/>
      </w:tblPr>
      <w:tblGrid>
        <w:gridCol w:w="4678"/>
        <w:gridCol w:w="142"/>
        <w:gridCol w:w="4536"/>
      </w:tblGrid>
      <w:tr w:rsidR="00D0395D" w:rsidRPr="00051DF8" w:rsidTr="00A422E1">
        <w:tc>
          <w:tcPr>
            <w:tcW w:w="4820" w:type="dxa"/>
            <w:gridSpan w:val="2"/>
            <w:tcBorders>
              <w:bottom w:val="single" w:sz="4" w:space="0" w:color="FF0000"/>
            </w:tcBorders>
          </w:tcPr>
          <w:p w:rsidR="00D0395D" w:rsidRPr="00144B03" w:rsidRDefault="00D0395D" w:rsidP="004254ED">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图5、</w:t>
            </w:r>
            <w:r w:rsidR="004254ED">
              <w:rPr>
                <w:rFonts w:ascii="楷体_GB2312" w:eastAsia="楷体_GB2312" w:hint="eastAsia"/>
                <w:b/>
                <w:color w:val="000000"/>
                <w:sz w:val="18"/>
                <w:szCs w:val="18"/>
              </w:rPr>
              <w:t>国债收益率曲线</w:t>
            </w:r>
            <w:r w:rsidR="00630579">
              <w:rPr>
                <w:rFonts w:ascii="楷体_GB2312" w:eastAsia="楷体_GB2312" w:hint="eastAsia"/>
                <w:b/>
                <w:color w:val="000000"/>
                <w:sz w:val="18"/>
                <w:szCs w:val="18"/>
              </w:rPr>
              <w:t>加剧</w:t>
            </w:r>
            <w:r w:rsidR="004254ED">
              <w:rPr>
                <w:rFonts w:ascii="楷体_GB2312" w:eastAsia="楷体_GB2312" w:hint="eastAsia"/>
                <w:b/>
                <w:color w:val="000000"/>
                <w:sz w:val="18"/>
                <w:szCs w:val="18"/>
              </w:rPr>
              <w:t>陡峭化</w:t>
            </w:r>
          </w:p>
        </w:tc>
        <w:tc>
          <w:tcPr>
            <w:tcW w:w="4536" w:type="dxa"/>
            <w:tcBorders>
              <w:bottom w:val="single" w:sz="4" w:space="0" w:color="FF0000"/>
            </w:tcBorders>
          </w:tcPr>
          <w:p w:rsidR="00D0395D" w:rsidRPr="00144B03" w:rsidRDefault="00D0395D" w:rsidP="004254ED">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图6、</w:t>
            </w:r>
            <w:r w:rsidR="004254ED">
              <w:rPr>
                <w:rFonts w:ascii="楷体_GB2312" w:eastAsia="楷体_GB2312" w:hint="eastAsia"/>
                <w:b/>
                <w:color w:val="000000"/>
                <w:sz w:val="18"/>
                <w:szCs w:val="18"/>
              </w:rPr>
              <w:t>国债和企业债利差</w:t>
            </w:r>
            <w:r w:rsidR="00BF40B4">
              <w:rPr>
                <w:rFonts w:ascii="楷体_GB2312" w:eastAsia="楷体_GB2312" w:hint="eastAsia"/>
                <w:b/>
                <w:color w:val="000000"/>
                <w:sz w:val="18"/>
                <w:szCs w:val="18"/>
              </w:rPr>
              <w:t>保持高位</w:t>
            </w:r>
          </w:p>
        </w:tc>
      </w:tr>
      <w:tr w:rsidR="00D0395D" w:rsidRPr="00B22D95" w:rsidTr="00A422E1">
        <w:tc>
          <w:tcPr>
            <w:tcW w:w="4678" w:type="dxa"/>
            <w:tcBorders>
              <w:top w:val="single" w:sz="4" w:space="0" w:color="FF0000"/>
              <w:bottom w:val="single" w:sz="4" w:space="0" w:color="FF0000"/>
            </w:tcBorders>
          </w:tcPr>
          <w:p w:rsidR="00D0395D" w:rsidRPr="00B22D95" w:rsidRDefault="00BE7B76"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30830" cy="2138680"/>
                  <wp:effectExtent l="19050" t="0" r="762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srcRect/>
                          <a:stretch>
                            <a:fillRect/>
                          </a:stretch>
                        </pic:blipFill>
                        <pic:spPr bwMode="auto">
                          <a:xfrm>
                            <a:off x="0" y="0"/>
                            <a:ext cx="2830830" cy="213868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D0395D" w:rsidRPr="00B22D95" w:rsidRDefault="001B5825" w:rsidP="00A422E1">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30830" cy="2154555"/>
                  <wp:effectExtent l="19050" t="0" r="762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srcRect/>
                          <a:stretch>
                            <a:fillRect/>
                          </a:stretch>
                        </pic:blipFill>
                        <pic:spPr bwMode="auto">
                          <a:xfrm>
                            <a:off x="0" y="0"/>
                            <a:ext cx="2830830" cy="2154555"/>
                          </a:xfrm>
                          <a:prstGeom prst="rect">
                            <a:avLst/>
                          </a:prstGeom>
                          <a:noFill/>
                          <a:ln w="9525">
                            <a:noFill/>
                            <a:miter lim="800000"/>
                            <a:headEnd/>
                            <a:tailEnd/>
                          </a:ln>
                        </pic:spPr>
                      </pic:pic>
                    </a:graphicData>
                  </a:graphic>
                </wp:inline>
              </w:drawing>
            </w:r>
          </w:p>
        </w:tc>
      </w:tr>
    </w:tbl>
    <w:p w:rsidR="00D0395D" w:rsidRPr="00156066" w:rsidRDefault="00564B59" w:rsidP="00D0395D">
      <w:pPr>
        <w:rPr>
          <w:rFonts w:ascii="楷体_GB2312" w:eastAsia="楷体_GB2312"/>
          <w:noProof/>
          <w:color w:val="000000"/>
        </w:rPr>
      </w:pPr>
      <w:r>
        <w:rPr>
          <w:rFonts w:ascii="楷体_GB2312" w:eastAsia="楷体_GB2312" w:hint="eastAsia"/>
          <w:noProof/>
          <w:color w:val="000000"/>
        </w:rPr>
        <w:t>来源：</w:t>
      </w:r>
      <w:r w:rsidR="00D0395D" w:rsidRPr="00156066">
        <w:rPr>
          <w:rFonts w:ascii="楷体_GB2312" w:eastAsia="楷体_GB2312" w:hint="eastAsia"/>
          <w:noProof/>
          <w:color w:val="000000"/>
        </w:rPr>
        <w:t>wind</w:t>
      </w:r>
      <w:r w:rsidR="00D0395D">
        <w:rPr>
          <w:rFonts w:ascii="楷体_GB2312" w:eastAsia="楷体_GB2312" w:hint="eastAsia"/>
          <w:noProof/>
          <w:color w:val="000000"/>
        </w:rPr>
        <w:t>，</w:t>
      </w:r>
      <w:r w:rsidR="00D0395D" w:rsidRPr="00156066">
        <w:rPr>
          <w:rFonts w:ascii="楷体_GB2312" w:eastAsia="楷体_GB2312" w:hint="eastAsia"/>
          <w:noProof/>
          <w:color w:val="000000"/>
        </w:rPr>
        <w:t>上海证券基金评价研究中心</w:t>
      </w:r>
    </w:p>
    <w:p w:rsidR="00B32EE1" w:rsidRPr="005E4592" w:rsidRDefault="00217C1F" w:rsidP="004B0295">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（二）基金市场回顾：债券型基金表现抢眼</w:t>
      </w:r>
    </w:p>
    <w:p w:rsidR="001E3C5A" w:rsidRPr="00F51007" w:rsidRDefault="00200FA2" w:rsidP="004B0295">
      <w:pPr>
        <w:spacing w:beforeLines="50"/>
        <w:ind w:leftChars="1350" w:left="2835" w:firstLineChars="202" w:firstLine="424"/>
        <w:rPr>
          <w:rFonts w:ascii="楷体_GB2312" w:eastAsia="楷体_GB2312" w:hAnsi="宋体" w:cs="宋体"/>
          <w:kern w:val="0"/>
          <w:szCs w:val="21"/>
        </w:rPr>
      </w:pPr>
      <w:r w:rsidRPr="00F15A8A">
        <w:rPr>
          <w:rFonts w:ascii="楷体_GB2312" w:eastAsia="楷体_GB2312" w:hAnsi="宋体" w:cs="宋体" w:hint="eastAsia"/>
          <w:kern w:val="0"/>
          <w:szCs w:val="21"/>
        </w:rPr>
        <w:t>受股票市场下跌影响，</w:t>
      </w:r>
      <w:r w:rsidR="00F15A8A" w:rsidRPr="00F15A8A">
        <w:rPr>
          <w:rFonts w:ascii="楷体_GB2312" w:eastAsia="楷体_GB2312" w:hAnsi="宋体" w:cs="宋体" w:hint="eastAsia"/>
          <w:kern w:val="0"/>
          <w:szCs w:val="21"/>
        </w:rPr>
        <w:t>国内</w:t>
      </w:r>
      <w:r w:rsidR="001E3C5A">
        <w:rPr>
          <w:rFonts w:ascii="楷体_GB2312" w:eastAsia="楷体_GB2312" w:hAnsi="宋体" w:cs="宋体" w:hint="eastAsia"/>
          <w:kern w:val="0"/>
          <w:szCs w:val="21"/>
        </w:rPr>
        <w:t>股票型基金净值持续调整</w:t>
      </w:r>
      <w:r w:rsidRPr="00F15A8A">
        <w:rPr>
          <w:rFonts w:ascii="楷体_GB2312" w:eastAsia="楷体_GB2312" w:hAnsi="宋体" w:cs="宋体" w:hint="eastAsia"/>
          <w:kern w:val="0"/>
          <w:szCs w:val="21"/>
        </w:rPr>
        <w:t>，</w:t>
      </w:r>
      <w:r w:rsidR="001E3C5A">
        <w:rPr>
          <w:rFonts w:ascii="楷体_GB2312" w:eastAsia="楷体_GB2312" w:hAnsi="宋体" w:cs="宋体" w:hint="eastAsia"/>
          <w:kern w:val="0"/>
          <w:szCs w:val="21"/>
        </w:rPr>
        <w:t>债券型基金受益债市回暖净值</w:t>
      </w:r>
      <w:r w:rsidR="00FA6C78">
        <w:rPr>
          <w:rFonts w:ascii="楷体_GB2312" w:eastAsia="楷体_GB2312" w:hAnsi="宋体" w:cs="宋体" w:hint="eastAsia"/>
          <w:kern w:val="0"/>
          <w:szCs w:val="21"/>
        </w:rPr>
        <w:t>出现较大幅度的上扬</w:t>
      </w:r>
      <w:r w:rsidR="00F51007">
        <w:rPr>
          <w:rFonts w:ascii="楷体_GB2312" w:eastAsia="楷体_GB2312" w:hAnsi="宋体" w:cs="宋体" w:hint="eastAsia"/>
          <w:kern w:val="0"/>
          <w:szCs w:val="21"/>
        </w:rPr>
        <w:t>，货币市场基金维持稳健的获益能力</w:t>
      </w:r>
      <w:r w:rsidR="00FA6C78">
        <w:rPr>
          <w:rFonts w:ascii="楷体_GB2312" w:eastAsia="楷体_GB2312" w:hAnsi="宋体" w:cs="宋体" w:hint="eastAsia"/>
          <w:kern w:val="0"/>
          <w:szCs w:val="21"/>
        </w:rPr>
        <w:t>。</w:t>
      </w:r>
      <w:r w:rsidR="00F51007">
        <w:rPr>
          <w:rFonts w:ascii="楷体_GB2312" w:eastAsia="楷体_GB2312" w:hAnsi="宋体" w:cs="宋体" w:hint="eastAsia"/>
          <w:kern w:val="0"/>
          <w:szCs w:val="21"/>
        </w:rPr>
        <w:t>受全球市场的震荡，QDII结构分化，整体净值下挫0.34%。</w:t>
      </w:r>
    </w:p>
    <w:tbl>
      <w:tblPr>
        <w:tblW w:w="6521" w:type="dxa"/>
        <w:tblInd w:w="2943" w:type="dxa"/>
        <w:tblLayout w:type="fixed"/>
        <w:tblLook w:val="04A0"/>
      </w:tblPr>
      <w:tblGrid>
        <w:gridCol w:w="6521"/>
      </w:tblGrid>
      <w:tr w:rsidR="00D81F4D" w:rsidRPr="00F15A8A" w:rsidTr="00EB544E">
        <w:tc>
          <w:tcPr>
            <w:tcW w:w="6521" w:type="dxa"/>
            <w:tcBorders>
              <w:bottom w:val="single" w:sz="4" w:space="0" w:color="FF0000"/>
            </w:tcBorders>
          </w:tcPr>
          <w:p w:rsidR="00D81F4D" w:rsidRPr="00F15A8A" w:rsidRDefault="00D81F4D" w:rsidP="00BF40B4">
            <w:pPr>
              <w:spacing w:line="360" w:lineRule="auto"/>
              <w:jc w:val="left"/>
              <w:rPr>
                <w:rFonts w:ascii="楷体_GB2312" w:eastAsia="楷体_GB2312"/>
                <w:b/>
                <w:color w:val="000000"/>
                <w:sz w:val="18"/>
                <w:szCs w:val="18"/>
              </w:rPr>
            </w:pPr>
            <w:r w:rsidRPr="00F15A8A">
              <w:rPr>
                <w:rFonts w:ascii="楷体_GB2312" w:eastAsia="楷体_GB2312" w:hint="eastAsia"/>
                <w:b/>
                <w:color w:val="000000"/>
                <w:sz w:val="18"/>
                <w:szCs w:val="18"/>
              </w:rPr>
              <w:t>图</w:t>
            </w:r>
            <w:r w:rsidR="005E24D9" w:rsidRPr="00F15A8A">
              <w:rPr>
                <w:rFonts w:ascii="楷体_GB2312" w:eastAsia="楷体_GB2312" w:hint="eastAsia"/>
                <w:b/>
                <w:color w:val="000000"/>
                <w:sz w:val="18"/>
                <w:szCs w:val="18"/>
              </w:rPr>
              <w:t>7</w:t>
            </w:r>
            <w:r w:rsidRPr="00F15A8A">
              <w:rPr>
                <w:rFonts w:ascii="楷体_GB2312" w:eastAsia="楷体_GB2312" w:hint="eastAsia"/>
                <w:b/>
                <w:color w:val="000000"/>
                <w:sz w:val="18"/>
                <w:szCs w:val="18"/>
              </w:rPr>
              <w:t>、</w:t>
            </w:r>
            <w:r w:rsidR="00BF40B4" w:rsidRPr="00F15A8A">
              <w:rPr>
                <w:rFonts w:ascii="楷体_GB2312" w:eastAsia="楷体_GB2312" w:hint="eastAsia"/>
                <w:b/>
                <w:color w:val="000000"/>
                <w:sz w:val="18"/>
                <w:szCs w:val="18"/>
              </w:rPr>
              <w:t>本月各类型基金平均表现</w:t>
            </w:r>
          </w:p>
        </w:tc>
      </w:tr>
      <w:tr w:rsidR="00D81F4D" w:rsidRPr="00F15A8A" w:rsidTr="00FA6C78">
        <w:trPr>
          <w:trHeight w:val="3588"/>
        </w:trPr>
        <w:tc>
          <w:tcPr>
            <w:tcW w:w="6521" w:type="dxa"/>
            <w:tcBorders>
              <w:top w:val="single" w:sz="4" w:space="0" w:color="FF0000"/>
              <w:bottom w:val="single" w:sz="4" w:space="0" w:color="FF0000"/>
            </w:tcBorders>
          </w:tcPr>
          <w:p w:rsidR="00D81F4D" w:rsidRPr="00F15A8A" w:rsidRDefault="00FA6C78" w:rsidP="00A422E1">
            <w:pPr>
              <w:spacing w:line="360" w:lineRule="auto"/>
              <w:jc w:val="center"/>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3752850" cy="2393315"/>
                  <wp:effectExtent l="1905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srcRect/>
                          <a:stretch>
                            <a:fillRect/>
                          </a:stretch>
                        </pic:blipFill>
                        <pic:spPr bwMode="auto">
                          <a:xfrm>
                            <a:off x="0" y="0"/>
                            <a:ext cx="3752850" cy="2393315"/>
                          </a:xfrm>
                          <a:prstGeom prst="rect">
                            <a:avLst/>
                          </a:prstGeom>
                          <a:noFill/>
                          <a:ln w="9525">
                            <a:noFill/>
                            <a:miter lim="800000"/>
                            <a:headEnd/>
                            <a:tailEnd/>
                          </a:ln>
                        </pic:spPr>
                      </pic:pic>
                    </a:graphicData>
                  </a:graphic>
                </wp:inline>
              </w:drawing>
            </w:r>
          </w:p>
        </w:tc>
      </w:tr>
      <w:tr w:rsidR="00D81F4D" w:rsidRPr="005059AD" w:rsidTr="00EB544E">
        <w:tc>
          <w:tcPr>
            <w:tcW w:w="6521" w:type="dxa"/>
            <w:tcBorders>
              <w:top w:val="single" w:sz="4" w:space="0" w:color="FF0000"/>
            </w:tcBorders>
          </w:tcPr>
          <w:p w:rsidR="00D81F4D" w:rsidRPr="005059AD" w:rsidRDefault="00564B59" w:rsidP="00F15A8A">
            <w:pPr>
              <w:spacing w:line="360" w:lineRule="auto"/>
              <w:jc w:val="left"/>
              <w:rPr>
                <w:rFonts w:ascii="楷体_GB2312" w:eastAsia="楷体_GB2312"/>
                <w:i/>
                <w:color w:val="000000"/>
                <w:sz w:val="18"/>
                <w:szCs w:val="18"/>
              </w:rPr>
            </w:pPr>
            <w:r w:rsidRPr="00F15A8A">
              <w:rPr>
                <w:rFonts w:ascii="楷体_GB2312" w:eastAsia="楷体_GB2312" w:hint="eastAsia"/>
                <w:i/>
                <w:color w:val="000000"/>
                <w:sz w:val="18"/>
                <w:szCs w:val="18"/>
              </w:rPr>
              <w:t>来源：</w:t>
            </w:r>
            <w:r w:rsidR="00D81F4D" w:rsidRPr="00F15A8A">
              <w:rPr>
                <w:rFonts w:ascii="楷体_GB2312" w:eastAsia="楷体_GB2312" w:hint="eastAsia"/>
                <w:i/>
                <w:color w:val="000000"/>
                <w:sz w:val="18"/>
                <w:szCs w:val="18"/>
              </w:rPr>
              <w:t>wind 上海证券基金评价研究中心</w:t>
            </w:r>
          </w:p>
        </w:tc>
      </w:tr>
    </w:tbl>
    <w:p w:rsidR="00831030" w:rsidRPr="005E4592" w:rsidRDefault="00217C1F" w:rsidP="004B0295">
      <w:pPr>
        <w:spacing w:beforeLines="100" w:afterLines="50"/>
        <w:ind w:leftChars="1350" w:left="2835" w:firstLineChars="196" w:firstLine="472"/>
        <w:rPr>
          <w:rFonts w:ascii="黑体" w:eastAsia="黑体" w:hAnsi="宋体-18030" w:cs="宋体-18030"/>
          <w:b/>
          <w:bCs/>
          <w:color w:val="003366"/>
          <w:kern w:val="44"/>
          <w:sz w:val="24"/>
        </w:rPr>
      </w:pPr>
      <w:r w:rsidRPr="005E4592">
        <w:rPr>
          <w:rFonts w:ascii="黑体" w:eastAsia="黑体" w:hAnsi="宋体-18030" w:cs="宋体-18030" w:hint="eastAsia"/>
          <w:b/>
          <w:bCs/>
          <w:color w:val="003366"/>
          <w:kern w:val="44"/>
          <w:sz w:val="24"/>
        </w:rPr>
        <w:t>（三）</w:t>
      </w:r>
      <w:r w:rsidR="00831030" w:rsidRPr="005E4592">
        <w:rPr>
          <w:rFonts w:ascii="黑体" w:eastAsia="黑体" w:hAnsi="宋体-18030" w:cs="宋体-18030" w:hint="eastAsia"/>
          <w:b/>
          <w:bCs/>
          <w:color w:val="003366"/>
          <w:kern w:val="44"/>
          <w:sz w:val="24"/>
        </w:rPr>
        <w:t>影响市场的信息</w:t>
      </w:r>
      <w:r w:rsidR="00873401" w:rsidRPr="005E4592">
        <w:rPr>
          <w:rFonts w:ascii="黑体" w:eastAsia="黑体" w:hAnsi="宋体-18030" w:cs="宋体-18030" w:hint="eastAsia"/>
          <w:b/>
          <w:bCs/>
          <w:color w:val="003366"/>
          <w:kern w:val="44"/>
          <w:sz w:val="24"/>
        </w:rPr>
        <w:t>和数据</w:t>
      </w:r>
    </w:p>
    <w:p w:rsidR="003F04A5" w:rsidRPr="00A40CD8" w:rsidRDefault="00F51007" w:rsidP="004B0295">
      <w:pPr>
        <w:spacing w:beforeLines="50"/>
        <w:ind w:leftChars="1350" w:left="2835" w:firstLineChars="202" w:firstLine="424"/>
        <w:rPr>
          <w:rFonts w:ascii="楷体_GB2312" w:eastAsia="楷体_GB2312" w:hAnsi="宋体" w:cs="宋体"/>
          <w:kern w:val="0"/>
          <w:szCs w:val="21"/>
        </w:rPr>
      </w:pPr>
      <w:r w:rsidRPr="003F5ECB">
        <w:rPr>
          <w:rFonts w:ascii="楷体_GB2312" w:eastAsia="楷体_GB2312" w:hAnsi="宋体" w:cs="宋体" w:hint="eastAsia"/>
          <w:kern w:val="0"/>
          <w:szCs w:val="21"/>
        </w:rPr>
        <w:t>4</w:t>
      </w:r>
      <w:r w:rsidR="00FA758A" w:rsidRPr="003F5ECB">
        <w:rPr>
          <w:rFonts w:ascii="楷体_GB2312" w:eastAsia="楷体_GB2312" w:hAnsi="宋体" w:cs="宋体" w:hint="eastAsia"/>
          <w:kern w:val="0"/>
          <w:szCs w:val="21"/>
        </w:rPr>
        <w:t>月份</w:t>
      </w:r>
      <w:r w:rsidR="002751DE" w:rsidRPr="003F5ECB">
        <w:rPr>
          <w:rFonts w:ascii="楷体_GB2312" w:eastAsia="楷体_GB2312" w:hAnsi="宋体" w:cs="宋体" w:hint="eastAsia"/>
          <w:kern w:val="0"/>
          <w:szCs w:val="21"/>
        </w:rPr>
        <w:t>欧元区</w:t>
      </w:r>
      <w:r w:rsidR="003F5ECB" w:rsidRPr="003F5ECB">
        <w:rPr>
          <w:rFonts w:ascii="楷体_GB2312" w:eastAsia="楷体_GB2312" w:hAnsi="宋体" w:cs="宋体" w:hint="eastAsia"/>
          <w:kern w:val="0"/>
          <w:szCs w:val="21"/>
        </w:rPr>
        <w:t>经济维持疲软复苏势态</w:t>
      </w:r>
      <w:r w:rsidR="00BF47FC" w:rsidRPr="003F5ECB">
        <w:rPr>
          <w:rFonts w:ascii="楷体_GB2312" w:eastAsia="楷体_GB2312" w:hAnsi="宋体" w:cs="宋体" w:hint="eastAsia"/>
          <w:kern w:val="0"/>
          <w:szCs w:val="21"/>
        </w:rPr>
        <w:t>，欧元区</w:t>
      </w:r>
      <w:r w:rsidR="003E37A3" w:rsidRPr="003F5ECB">
        <w:rPr>
          <w:rFonts w:ascii="楷体_GB2312" w:eastAsia="楷体_GB2312" w:hAnsi="宋体" w:cs="宋体" w:hint="eastAsia"/>
          <w:kern w:val="0"/>
          <w:szCs w:val="21"/>
        </w:rPr>
        <w:t>3月生产者价格指数（PPI）下降</w:t>
      </w:r>
      <w:r w:rsidR="00BF47FC" w:rsidRPr="003F5ECB">
        <w:rPr>
          <w:rFonts w:ascii="楷体_GB2312" w:eastAsia="楷体_GB2312" w:hAnsi="宋体" w:cs="宋体" w:hint="eastAsia"/>
          <w:kern w:val="0"/>
          <w:szCs w:val="21"/>
        </w:rPr>
        <w:t>1.</w:t>
      </w:r>
      <w:r w:rsidR="003E37A3" w:rsidRPr="003F5ECB">
        <w:rPr>
          <w:rFonts w:ascii="楷体_GB2312" w:eastAsia="楷体_GB2312" w:hAnsi="宋体" w:cs="宋体" w:hint="eastAsia"/>
          <w:kern w:val="0"/>
          <w:szCs w:val="21"/>
        </w:rPr>
        <w:t>6</w:t>
      </w:r>
      <w:r w:rsidR="00BF47FC" w:rsidRPr="003F5ECB">
        <w:rPr>
          <w:rFonts w:ascii="楷体_GB2312" w:eastAsia="楷体_GB2312" w:hAnsi="宋体" w:cs="宋体" w:hint="eastAsia"/>
          <w:kern w:val="0"/>
          <w:szCs w:val="21"/>
        </w:rPr>
        <w:t>%，</w:t>
      </w:r>
      <w:r w:rsidR="00062C2E">
        <w:rPr>
          <w:rFonts w:ascii="楷体_GB2312" w:eastAsia="楷体_GB2312" w:hAnsi="宋体" w:cs="宋体" w:hint="eastAsia"/>
          <w:kern w:val="0"/>
          <w:szCs w:val="21"/>
        </w:rPr>
        <w:t>跌幅</w:t>
      </w:r>
      <w:r w:rsidR="003E37A3" w:rsidRPr="003F5ECB">
        <w:rPr>
          <w:rFonts w:ascii="楷体_GB2312" w:eastAsia="楷体_GB2312" w:hAnsi="宋体" w:cs="宋体" w:hint="eastAsia"/>
          <w:kern w:val="0"/>
          <w:szCs w:val="21"/>
        </w:rPr>
        <w:t>低于前值和预期值，</w:t>
      </w:r>
      <w:r w:rsidR="003F5ECB" w:rsidRPr="003F5ECB">
        <w:rPr>
          <w:rFonts w:ascii="楷体_GB2312" w:eastAsia="楷体_GB2312" w:hAnsi="宋体" w:cs="宋体" w:hint="eastAsia"/>
          <w:kern w:val="0"/>
          <w:szCs w:val="21"/>
        </w:rPr>
        <w:t>表明尽管</w:t>
      </w:r>
      <w:r w:rsidR="00BF47FC" w:rsidRPr="003F5ECB">
        <w:rPr>
          <w:rFonts w:ascii="楷体_GB2312" w:eastAsia="楷体_GB2312" w:hAnsi="宋体" w:cs="宋体" w:hint="eastAsia"/>
          <w:kern w:val="0"/>
          <w:szCs w:val="21"/>
        </w:rPr>
        <w:t>低通胀率</w:t>
      </w:r>
      <w:r w:rsidR="003F5ECB" w:rsidRPr="003F5ECB">
        <w:rPr>
          <w:rFonts w:ascii="楷体_GB2312" w:eastAsia="楷体_GB2312" w:hAnsi="宋体" w:cs="宋体" w:hint="eastAsia"/>
          <w:kern w:val="0"/>
          <w:szCs w:val="21"/>
        </w:rPr>
        <w:t>仍在</w:t>
      </w:r>
      <w:r w:rsidR="00BF47FC" w:rsidRPr="003F5ECB">
        <w:rPr>
          <w:rFonts w:ascii="楷体_GB2312" w:eastAsia="楷体_GB2312" w:hAnsi="宋体" w:cs="宋体" w:hint="eastAsia"/>
          <w:kern w:val="0"/>
          <w:szCs w:val="21"/>
        </w:rPr>
        <w:t>威胁欧元区的经济复苏</w:t>
      </w:r>
      <w:r w:rsidR="003F5ECB" w:rsidRPr="003F5ECB">
        <w:rPr>
          <w:rFonts w:ascii="楷体_GB2312" w:eastAsia="楷体_GB2312" w:hAnsi="宋体" w:cs="宋体" w:hint="eastAsia"/>
          <w:kern w:val="0"/>
          <w:szCs w:val="21"/>
        </w:rPr>
        <w:t>，但情况正在好转</w:t>
      </w:r>
      <w:r w:rsidR="00BF47FC" w:rsidRPr="003F5ECB">
        <w:rPr>
          <w:rFonts w:ascii="楷体_GB2312" w:eastAsia="楷体_GB2312" w:hAnsi="宋体" w:cs="宋体" w:hint="eastAsia"/>
          <w:kern w:val="0"/>
          <w:szCs w:val="21"/>
        </w:rPr>
        <w:t>。</w:t>
      </w:r>
      <w:r w:rsidR="003F04A5">
        <w:rPr>
          <w:rFonts w:ascii="楷体_GB2312" w:eastAsia="楷体_GB2312" w:hAnsi="宋体" w:cs="宋体" w:hint="eastAsia"/>
          <w:kern w:val="0"/>
          <w:szCs w:val="21"/>
        </w:rPr>
        <w:t>4月欧元区制造业采购经理人指数</w:t>
      </w:r>
      <w:r w:rsidR="007964BA">
        <w:rPr>
          <w:rFonts w:ascii="楷体_GB2312" w:eastAsia="楷体_GB2312" w:hAnsi="宋体" w:cs="宋体" w:hint="eastAsia"/>
          <w:kern w:val="0"/>
          <w:szCs w:val="21"/>
        </w:rPr>
        <w:t>（PMI）</w:t>
      </w:r>
      <w:r w:rsidR="007738B7">
        <w:rPr>
          <w:rFonts w:ascii="楷体_GB2312" w:eastAsia="楷体_GB2312" w:hAnsi="宋体" w:cs="宋体" w:hint="eastAsia"/>
          <w:kern w:val="0"/>
          <w:szCs w:val="21"/>
        </w:rPr>
        <w:t>终值</w:t>
      </w:r>
      <w:r w:rsidR="003F04A5">
        <w:rPr>
          <w:rFonts w:ascii="楷体_GB2312" w:eastAsia="楷体_GB2312" w:hAnsi="宋体" w:cs="宋体" w:hint="eastAsia"/>
          <w:kern w:val="0"/>
          <w:szCs w:val="21"/>
        </w:rPr>
        <w:t>为53.4%，止住之前连续三个月的下滑，</w:t>
      </w:r>
      <w:r w:rsidR="00E33CCE">
        <w:rPr>
          <w:rFonts w:ascii="楷体_GB2312" w:eastAsia="楷体_GB2312" w:hAnsi="宋体" w:cs="宋体" w:hint="eastAsia"/>
          <w:kern w:val="0"/>
          <w:szCs w:val="21"/>
        </w:rPr>
        <w:t>处于2011年5月以来的高位水平</w:t>
      </w:r>
      <w:r w:rsidR="007964BA">
        <w:rPr>
          <w:rFonts w:ascii="楷体_GB2312" w:eastAsia="楷体_GB2312" w:hAnsi="宋体" w:cs="宋体" w:hint="eastAsia"/>
          <w:kern w:val="0"/>
          <w:szCs w:val="21"/>
        </w:rPr>
        <w:t>，4月服务业</w:t>
      </w:r>
      <w:r w:rsidR="001B0B52">
        <w:rPr>
          <w:rFonts w:ascii="楷体_GB2312" w:eastAsia="楷体_GB2312" w:hAnsi="宋体" w:cs="宋体" w:hint="eastAsia"/>
          <w:kern w:val="0"/>
          <w:szCs w:val="21"/>
        </w:rPr>
        <w:t>也</w:t>
      </w:r>
      <w:r w:rsidR="007964BA">
        <w:rPr>
          <w:rFonts w:ascii="楷体_GB2312" w:eastAsia="楷体_GB2312" w:hAnsi="宋体" w:cs="宋体" w:hint="eastAsia"/>
          <w:kern w:val="0"/>
          <w:szCs w:val="21"/>
        </w:rPr>
        <w:t>显示相应行业活动</w:t>
      </w:r>
      <w:r w:rsidR="004831AB">
        <w:rPr>
          <w:rFonts w:ascii="楷体_GB2312" w:eastAsia="楷体_GB2312" w:hAnsi="宋体" w:cs="宋体" w:hint="eastAsia"/>
          <w:kern w:val="0"/>
          <w:szCs w:val="21"/>
        </w:rPr>
        <w:t>扩张趋于乐观</w:t>
      </w:r>
      <w:r w:rsidR="00E33CCE">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A67714" w:rsidRPr="00051DF8" w:rsidTr="00A422E1">
        <w:tc>
          <w:tcPr>
            <w:tcW w:w="4820" w:type="dxa"/>
            <w:gridSpan w:val="2"/>
            <w:tcBorders>
              <w:bottom w:val="single" w:sz="4" w:space="0" w:color="FF0000"/>
            </w:tcBorders>
          </w:tcPr>
          <w:p w:rsidR="00A67714" w:rsidRPr="00144B03" w:rsidRDefault="00A67714" w:rsidP="002524E4">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w:t>
            </w:r>
            <w:r w:rsidR="005E24D9">
              <w:rPr>
                <w:rFonts w:ascii="楷体_GB2312" w:eastAsia="楷体_GB2312" w:hint="eastAsia"/>
                <w:b/>
                <w:color w:val="000000"/>
                <w:sz w:val="18"/>
                <w:szCs w:val="18"/>
              </w:rPr>
              <w:t>8</w:t>
            </w:r>
            <w:r w:rsidRPr="00144B03">
              <w:rPr>
                <w:rFonts w:ascii="楷体_GB2312" w:eastAsia="楷体_GB2312" w:hint="eastAsia"/>
                <w:b/>
                <w:color w:val="000000"/>
                <w:sz w:val="18"/>
                <w:szCs w:val="18"/>
              </w:rPr>
              <w:t>、</w:t>
            </w:r>
            <w:r w:rsidR="002524E4">
              <w:rPr>
                <w:rFonts w:ascii="楷体_GB2312" w:eastAsia="楷体_GB2312" w:hint="eastAsia"/>
                <w:b/>
                <w:color w:val="000000"/>
                <w:sz w:val="18"/>
                <w:szCs w:val="18"/>
              </w:rPr>
              <w:t>欧盟：PPI</w:t>
            </w:r>
            <w:r w:rsidR="00BF47FC">
              <w:rPr>
                <w:rFonts w:ascii="楷体_GB2312" w:eastAsia="楷体_GB2312" w:hint="eastAsia"/>
                <w:b/>
                <w:color w:val="000000"/>
                <w:sz w:val="18"/>
                <w:szCs w:val="18"/>
              </w:rPr>
              <w:t>：同比（%）</w:t>
            </w:r>
          </w:p>
        </w:tc>
        <w:tc>
          <w:tcPr>
            <w:tcW w:w="4536" w:type="dxa"/>
            <w:tcBorders>
              <w:bottom w:val="single" w:sz="4" w:space="0" w:color="FF0000"/>
            </w:tcBorders>
          </w:tcPr>
          <w:p w:rsidR="00A67714" w:rsidRPr="00144B03" w:rsidRDefault="00404984" w:rsidP="00404984">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9</w:t>
            </w:r>
            <w:r w:rsidRPr="00144B03">
              <w:rPr>
                <w:rFonts w:ascii="楷体_GB2312" w:eastAsia="楷体_GB2312" w:hint="eastAsia"/>
                <w:b/>
                <w:color w:val="000000"/>
                <w:sz w:val="18"/>
                <w:szCs w:val="18"/>
              </w:rPr>
              <w:t>、</w:t>
            </w:r>
            <w:r w:rsidR="00BF47FC">
              <w:rPr>
                <w:rFonts w:ascii="楷体_GB2312" w:eastAsia="楷体_GB2312" w:hint="eastAsia"/>
                <w:b/>
                <w:color w:val="000000"/>
                <w:sz w:val="18"/>
                <w:szCs w:val="18"/>
              </w:rPr>
              <w:t>欧盟：欧元区：制造业PMI</w:t>
            </w:r>
          </w:p>
        </w:tc>
      </w:tr>
      <w:tr w:rsidR="00A67714" w:rsidRPr="00B22D95" w:rsidTr="00A422E1">
        <w:tc>
          <w:tcPr>
            <w:tcW w:w="4678" w:type="dxa"/>
            <w:tcBorders>
              <w:top w:val="single" w:sz="4" w:space="0" w:color="FF0000"/>
              <w:bottom w:val="single" w:sz="4" w:space="0" w:color="FF0000"/>
            </w:tcBorders>
          </w:tcPr>
          <w:p w:rsidR="00A67714" w:rsidRPr="00B22D95" w:rsidRDefault="00E33CCE" w:rsidP="00A422E1">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30830" cy="1359535"/>
                  <wp:effectExtent l="19050" t="0" r="762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0" cstate="print"/>
                          <a:srcRect/>
                          <a:stretch>
                            <a:fillRect/>
                          </a:stretch>
                        </pic:blipFill>
                        <pic:spPr bwMode="auto">
                          <a:xfrm>
                            <a:off x="0" y="0"/>
                            <a:ext cx="2830830" cy="1359535"/>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A67714" w:rsidRPr="00B22D95" w:rsidRDefault="00D01919" w:rsidP="00BF47FC">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27848" cy="1494845"/>
                  <wp:effectExtent l="19050" t="0" r="0" b="0"/>
                  <wp:docPr id="31"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srcRect/>
                          <a:stretch>
                            <a:fillRect/>
                          </a:stretch>
                        </pic:blipFill>
                        <pic:spPr bwMode="auto">
                          <a:xfrm>
                            <a:off x="0" y="0"/>
                            <a:ext cx="2830830" cy="1496421"/>
                          </a:xfrm>
                          <a:prstGeom prst="rect">
                            <a:avLst/>
                          </a:prstGeom>
                          <a:noFill/>
                          <a:ln w="9525">
                            <a:noFill/>
                            <a:miter lim="800000"/>
                            <a:headEnd/>
                            <a:tailEnd/>
                          </a:ln>
                        </pic:spPr>
                      </pic:pic>
                    </a:graphicData>
                  </a:graphic>
                </wp:inline>
              </w:drawing>
            </w:r>
          </w:p>
        </w:tc>
      </w:tr>
    </w:tbl>
    <w:p w:rsidR="00A67714" w:rsidRPr="00156066" w:rsidRDefault="00A67714" w:rsidP="00A67714">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tbl>
      <w:tblPr>
        <w:tblW w:w="9356" w:type="dxa"/>
        <w:tblInd w:w="-34" w:type="dxa"/>
        <w:tblLayout w:type="fixed"/>
        <w:tblLook w:val="04A0"/>
      </w:tblPr>
      <w:tblGrid>
        <w:gridCol w:w="4678"/>
        <w:gridCol w:w="142"/>
        <w:gridCol w:w="4536"/>
      </w:tblGrid>
      <w:tr w:rsidR="005C2193" w:rsidRPr="00051DF8" w:rsidTr="00AB5F14">
        <w:tc>
          <w:tcPr>
            <w:tcW w:w="4820" w:type="dxa"/>
            <w:gridSpan w:val="2"/>
            <w:tcBorders>
              <w:bottom w:val="single" w:sz="4" w:space="0" w:color="FF0000"/>
            </w:tcBorders>
          </w:tcPr>
          <w:p w:rsidR="005C2193" w:rsidRPr="00144B03" w:rsidRDefault="005C2193" w:rsidP="00404984">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404984">
              <w:rPr>
                <w:rFonts w:ascii="楷体_GB2312" w:eastAsia="楷体_GB2312" w:hint="eastAsia"/>
                <w:b/>
                <w:color w:val="000000"/>
                <w:sz w:val="18"/>
                <w:szCs w:val="18"/>
              </w:rPr>
              <w:t>10</w:t>
            </w:r>
            <w:r w:rsidRPr="00144B03">
              <w:rPr>
                <w:rFonts w:ascii="楷体_GB2312" w:eastAsia="楷体_GB2312" w:hint="eastAsia"/>
                <w:b/>
                <w:color w:val="000000"/>
                <w:sz w:val="18"/>
                <w:szCs w:val="18"/>
              </w:rPr>
              <w:t>、</w:t>
            </w:r>
            <w:r>
              <w:rPr>
                <w:rFonts w:ascii="楷体_GB2312" w:eastAsia="楷体_GB2312" w:hint="eastAsia"/>
                <w:b/>
                <w:color w:val="000000"/>
                <w:sz w:val="18"/>
                <w:szCs w:val="18"/>
              </w:rPr>
              <w:t>欧盟：欧元区：服务业PMI</w:t>
            </w:r>
          </w:p>
        </w:tc>
        <w:tc>
          <w:tcPr>
            <w:tcW w:w="4536" w:type="dxa"/>
            <w:tcBorders>
              <w:bottom w:val="single" w:sz="4" w:space="0" w:color="FF0000"/>
            </w:tcBorders>
          </w:tcPr>
          <w:p w:rsidR="005C2193" w:rsidRPr="00144B03" w:rsidRDefault="005C2193" w:rsidP="00404984">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404984">
              <w:rPr>
                <w:rFonts w:ascii="楷体_GB2312" w:eastAsia="楷体_GB2312" w:hint="eastAsia"/>
                <w:b/>
                <w:color w:val="000000"/>
                <w:sz w:val="18"/>
                <w:szCs w:val="18"/>
              </w:rPr>
              <w:t>11</w:t>
            </w:r>
            <w:r w:rsidRPr="00144B03">
              <w:rPr>
                <w:rFonts w:ascii="楷体_GB2312" w:eastAsia="楷体_GB2312" w:hint="eastAsia"/>
                <w:b/>
                <w:color w:val="000000"/>
                <w:sz w:val="18"/>
                <w:szCs w:val="18"/>
              </w:rPr>
              <w:t>、</w:t>
            </w:r>
            <w:r>
              <w:rPr>
                <w:rFonts w:ascii="楷体_GB2312" w:eastAsia="楷体_GB2312" w:hint="eastAsia"/>
                <w:b/>
                <w:color w:val="000000"/>
                <w:sz w:val="18"/>
                <w:szCs w:val="18"/>
              </w:rPr>
              <w:t>欧盟：欧元区：综合PMI</w:t>
            </w:r>
          </w:p>
        </w:tc>
      </w:tr>
      <w:tr w:rsidR="005C2193" w:rsidRPr="00B22D95" w:rsidTr="00AB5F14">
        <w:tc>
          <w:tcPr>
            <w:tcW w:w="4678" w:type="dxa"/>
            <w:tcBorders>
              <w:top w:val="single" w:sz="4" w:space="0" w:color="FF0000"/>
              <w:bottom w:val="single" w:sz="4" w:space="0" w:color="FF0000"/>
            </w:tcBorders>
          </w:tcPr>
          <w:p w:rsidR="005C2193" w:rsidRPr="00B22D95" w:rsidRDefault="005C2193" w:rsidP="00AB5F14">
            <w:pPr>
              <w:spacing w:line="360" w:lineRule="auto"/>
              <w:ind w:leftChars="16" w:left="34"/>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30830" cy="1375410"/>
                  <wp:effectExtent l="19050" t="0" r="762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2" cstate="print"/>
                          <a:srcRect/>
                          <a:stretch>
                            <a:fillRect/>
                          </a:stretch>
                        </pic:blipFill>
                        <pic:spPr bwMode="auto">
                          <a:xfrm>
                            <a:off x="0" y="0"/>
                            <a:ext cx="2830830" cy="137541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5C2193" w:rsidRPr="00B22D95" w:rsidRDefault="005C2193" w:rsidP="00AB5F14">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30830" cy="1351915"/>
                  <wp:effectExtent l="19050" t="0" r="7620" b="0"/>
                  <wp:docPr id="2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3" cstate="print"/>
                          <a:srcRect/>
                          <a:stretch>
                            <a:fillRect/>
                          </a:stretch>
                        </pic:blipFill>
                        <pic:spPr bwMode="auto">
                          <a:xfrm>
                            <a:off x="0" y="0"/>
                            <a:ext cx="2830830" cy="1351915"/>
                          </a:xfrm>
                          <a:prstGeom prst="rect">
                            <a:avLst/>
                          </a:prstGeom>
                          <a:noFill/>
                          <a:ln w="9525">
                            <a:noFill/>
                            <a:miter lim="800000"/>
                            <a:headEnd/>
                            <a:tailEnd/>
                          </a:ln>
                        </pic:spPr>
                      </pic:pic>
                    </a:graphicData>
                  </a:graphic>
                </wp:inline>
              </w:drawing>
            </w:r>
          </w:p>
        </w:tc>
      </w:tr>
    </w:tbl>
    <w:p w:rsidR="005C2193" w:rsidRPr="00156066" w:rsidRDefault="005C2193" w:rsidP="005C2193">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2A1BB9" w:rsidRPr="005C2193" w:rsidRDefault="002A1BB9" w:rsidP="004B0295">
      <w:pPr>
        <w:spacing w:beforeLines="50"/>
        <w:ind w:leftChars="1350" w:left="2835" w:firstLineChars="202" w:firstLine="424"/>
        <w:rPr>
          <w:rFonts w:ascii="楷体_GB2312" w:eastAsia="楷体_GB2312" w:hAnsi="宋体" w:cs="宋体"/>
          <w:kern w:val="0"/>
          <w:szCs w:val="21"/>
        </w:rPr>
      </w:pPr>
    </w:p>
    <w:p w:rsidR="00A40CD8" w:rsidRPr="00C251C0" w:rsidRDefault="008F7664" w:rsidP="004B029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4月份美国就业数据靓丽，</w:t>
      </w:r>
      <w:r w:rsidRPr="007818E8">
        <w:rPr>
          <w:rFonts w:ascii="楷体_GB2312" w:eastAsia="楷体_GB2312" w:hAnsi="宋体" w:cs="宋体" w:hint="eastAsia"/>
          <w:kern w:val="0"/>
          <w:szCs w:val="21"/>
        </w:rPr>
        <w:t>美国劳工部5月2日公布的数据显示，4月美国非农就业岗位激增28.8万个，为2012年1月以来最大增幅。受就业增加的提振，4月美国制造业活动增长连续第三个月加速，4月ISM制造业</w:t>
      </w:r>
      <w:hyperlink r:id="rId24" w:tgtFrame="_blank" w:history="1">
        <w:r w:rsidRPr="007818E8">
          <w:rPr>
            <w:rFonts w:ascii="楷体_GB2312" w:eastAsia="楷体_GB2312" w:hAnsi="宋体" w:cs="宋体" w:hint="eastAsia"/>
            <w:kern w:val="0"/>
            <w:szCs w:val="21"/>
          </w:rPr>
          <w:t>采购经理人指数</w:t>
        </w:r>
      </w:hyperlink>
      <w:r w:rsidRPr="007818E8">
        <w:rPr>
          <w:rFonts w:ascii="楷体_GB2312" w:eastAsia="楷体_GB2312" w:hAnsi="宋体" w:cs="宋体" w:hint="eastAsia"/>
          <w:kern w:val="0"/>
          <w:szCs w:val="21"/>
        </w:rPr>
        <w:t>(PMI)自3月的53.7升至54.9</w:t>
      </w:r>
      <w:r w:rsidR="00C251C0" w:rsidRPr="00C251C0">
        <w:rPr>
          <w:rFonts w:ascii="楷体_GB2312" w:eastAsia="楷体_GB2312" w:hAnsi="宋体" w:cs="宋体" w:hint="eastAsia"/>
          <w:kern w:val="0"/>
          <w:szCs w:val="21"/>
        </w:rPr>
        <w:t>。</w:t>
      </w:r>
    </w:p>
    <w:tbl>
      <w:tblPr>
        <w:tblW w:w="9356" w:type="dxa"/>
        <w:tblInd w:w="-34" w:type="dxa"/>
        <w:tblLayout w:type="fixed"/>
        <w:tblLook w:val="04A0"/>
      </w:tblPr>
      <w:tblGrid>
        <w:gridCol w:w="4678"/>
        <w:gridCol w:w="142"/>
        <w:gridCol w:w="4536"/>
      </w:tblGrid>
      <w:tr w:rsidR="00601217" w:rsidRPr="00051DF8" w:rsidTr="00A422E1">
        <w:tc>
          <w:tcPr>
            <w:tcW w:w="4820" w:type="dxa"/>
            <w:gridSpan w:val="2"/>
            <w:tcBorders>
              <w:bottom w:val="single" w:sz="4" w:space="0" w:color="FF0000"/>
            </w:tcBorders>
          </w:tcPr>
          <w:p w:rsidR="00601217" w:rsidRPr="00144B03" w:rsidRDefault="00601217" w:rsidP="00404984">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00404984">
              <w:rPr>
                <w:rFonts w:ascii="楷体_GB2312" w:eastAsia="楷体_GB2312" w:hint="eastAsia"/>
                <w:b/>
                <w:color w:val="000000"/>
                <w:sz w:val="18"/>
                <w:szCs w:val="18"/>
              </w:rPr>
              <w:t>2</w:t>
            </w:r>
            <w:r w:rsidRPr="00144B03">
              <w:rPr>
                <w:rFonts w:ascii="楷体_GB2312" w:eastAsia="楷体_GB2312" w:hint="eastAsia"/>
                <w:b/>
                <w:color w:val="000000"/>
                <w:sz w:val="18"/>
                <w:szCs w:val="18"/>
              </w:rPr>
              <w:t>、</w:t>
            </w:r>
            <w:r w:rsidR="00184110">
              <w:rPr>
                <w:rFonts w:ascii="楷体_GB2312" w:eastAsia="楷体_GB2312" w:hint="eastAsia"/>
                <w:b/>
                <w:color w:val="000000"/>
                <w:sz w:val="18"/>
                <w:szCs w:val="18"/>
              </w:rPr>
              <w:t>美国：失业率：季调（%）</w:t>
            </w:r>
          </w:p>
        </w:tc>
        <w:tc>
          <w:tcPr>
            <w:tcW w:w="4536" w:type="dxa"/>
            <w:tcBorders>
              <w:bottom w:val="single" w:sz="4" w:space="0" w:color="FF0000"/>
            </w:tcBorders>
          </w:tcPr>
          <w:p w:rsidR="00601217" w:rsidRPr="00144B03" w:rsidRDefault="00601217" w:rsidP="00404984">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sidR="005E24D9">
              <w:rPr>
                <w:rFonts w:ascii="楷体_GB2312" w:eastAsia="楷体_GB2312" w:hint="eastAsia"/>
                <w:b/>
                <w:color w:val="000000"/>
                <w:sz w:val="18"/>
                <w:szCs w:val="18"/>
              </w:rPr>
              <w:t>1</w:t>
            </w:r>
            <w:r w:rsidR="00404984">
              <w:rPr>
                <w:rFonts w:ascii="楷体_GB2312" w:eastAsia="楷体_GB2312" w:hint="eastAsia"/>
                <w:b/>
                <w:color w:val="000000"/>
                <w:sz w:val="18"/>
                <w:szCs w:val="18"/>
              </w:rPr>
              <w:t>3</w:t>
            </w:r>
            <w:r w:rsidRPr="00144B03">
              <w:rPr>
                <w:rFonts w:ascii="楷体_GB2312" w:eastAsia="楷体_GB2312" w:hint="eastAsia"/>
                <w:b/>
                <w:color w:val="000000"/>
                <w:sz w:val="18"/>
                <w:szCs w:val="18"/>
              </w:rPr>
              <w:t>、</w:t>
            </w:r>
            <w:r w:rsidR="00184110">
              <w:rPr>
                <w:rFonts w:ascii="楷体_GB2312" w:eastAsia="楷体_GB2312" w:hint="eastAsia"/>
                <w:b/>
                <w:color w:val="000000"/>
                <w:sz w:val="18"/>
                <w:szCs w:val="18"/>
              </w:rPr>
              <w:t>美国：制造业PMI</w:t>
            </w:r>
          </w:p>
        </w:tc>
      </w:tr>
      <w:tr w:rsidR="00601217" w:rsidRPr="00B22D95" w:rsidTr="00A422E1">
        <w:tc>
          <w:tcPr>
            <w:tcW w:w="4678" w:type="dxa"/>
            <w:tcBorders>
              <w:top w:val="single" w:sz="4" w:space="0" w:color="FF0000"/>
              <w:bottom w:val="single" w:sz="4" w:space="0" w:color="FF0000"/>
            </w:tcBorders>
          </w:tcPr>
          <w:p w:rsidR="00601217" w:rsidRPr="00B22D95" w:rsidRDefault="00404B86" w:rsidP="00A422E1">
            <w:pPr>
              <w:spacing w:line="360" w:lineRule="auto"/>
              <w:ind w:leftChars="16" w:left="34"/>
              <w:rPr>
                <w:rFonts w:ascii="楷体_GB2312" w:eastAsia="楷体_GB2312"/>
                <w:color w:val="000000"/>
                <w:sz w:val="18"/>
                <w:szCs w:val="18"/>
              </w:rPr>
            </w:pPr>
            <w:r w:rsidRPr="00404B86">
              <w:rPr>
                <w:rFonts w:ascii="楷体_GB2312" w:eastAsia="楷体_GB2312"/>
                <w:noProof/>
                <w:color w:val="000000"/>
                <w:sz w:val="18"/>
                <w:szCs w:val="18"/>
              </w:rPr>
              <w:drawing>
                <wp:inline distT="0" distB="0" distL="0" distR="0">
                  <wp:extent cx="2830830" cy="1343660"/>
                  <wp:effectExtent l="19050" t="0" r="7620" b="0"/>
                  <wp:docPr id="35"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cstate="print"/>
                          <a:srcRect/>
                          <a:stretch>
                            <a:fillRect/>
                          </a:stretch>
                        </pic:blipFill>
                        <pic:spPr bwMode="auto">
                          <a:xfrm>
                            <a:off x="0" y="0"/>
                            <a:ext cx="2830830" cy="134366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601217" w:rsidRPr="00B22D95" w:rsidRDefault="00184110" w:rsidP="00184110">
            <w:pPr>
              <w:spacing w:line="360" w:lineRule="auto"/>
              <w:ind w:left="1" w:firstLineChars="18" w:firstLine="32"/>
              <w:jc w:val="right"/>
              <w:rPr>
                <w:rFonts w:ascii="楷体_GB2312" w:eastAsia="楷体_GB2312"/>
                <w:color w:val="000000"/>
                <w:sz w:val="18"/>
                <w:szCs w:val="18"/>
              </w:rPr>
            </w:pPr>
            <w:r w:rsidRPr="00184110">
              <w:rPr>
                <w:rFonts w:ascii="楷体_GB2312" w:eastAsia="楷体_GB2312"/>
                <w:noProof/>
                <w:color w:val="000000"/>
                <w:sz w:val="18"/>
                <w:szCs w:val="18"/>
              </w:rPr>
              <w:drawing>
                <wp:inline distT="0" distB="0" distL="0" distR="0">
                  <wp:extent cx="2866667" cy="1371429"/>
                  <wp:effectExtent l="19050" t="0" r="0" b="0"/>
                  <wp:docPr id="36"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2866667" cy="1371429"/>
                          </a:xfrm>
                          <a:prstGeom prst="rect">
                            <a:avLst/>
                          </a:prstGeom>
                        </pic:spPr>
                      </pic:pic>
                    </a:graphicData>
                  </a:graphic>
                </wp:inline>
              </w:drawing>
            </w:r>
          </w:p>
        </w:tc>
      </w:tr>
    </w:tbl>
    <w:p w:rsidR="00601217" w:rsidRPr="00156066" w:rsidRDefault="00601217" w:rsidP="00601217">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8F4661" w:rsidRDefault="000B3575" w:rsidP="004B029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中国经济</w:t>
      </w:r>
      <w:r w:rsidR="00BA19C1">
        <w:rPr>
          <w:rFonts w:ascii="楷体_GB2312" w:eastAsia="楷体_GB2312" w:hAnsi="宋体" w:cs="宋体" w:hint="eastAsia"/>
          <w:kern w:val="0"/>
          <w:szCs w:val="21"/>
        </w:rPr>
        <w:t>持续疲软</w:t>
      </w:r>
      <w:r w:rsidR="000157C0">
        <w:rPr>
          <w:rFonts w:ascii="楷体_GB2312" w:eastAsia="楷体_GB2312" w:hAnsi="宋体" w:cs="宋体" w:hint="eastAsia"/>
          <w:kern w:val="0"/>
          <w:szCs w:val="21"/>
        </w:rPr>
        <w:t>，</w:t>
      </w:r>
      <w:r w:rsidR="00AB5F14" w:rsidRPr="007F080A">
        <w:rPr>
          <w:rFonts w:ascii="楷体_GB2312" w:eastAsia="楷体_GB2312" w:hAnsi="宋体" w:cs="宋体" w:hint="eastAsia"/>
          <w:kern w:val="0"/>
          <w:szCs w:val="21"/>
        </w:rPr>
        <w:t>其中制造业未能如往年在4月开始明显回暖，</w:t>
      </w:r>
      <w:r w:rsidR="008F4661">
        <w:rPr>
          <w:rFonts w:ascii="楷体_GB2312" w:eastAsia="楷体_GB2312" w:hAnsi="宋体" w:cs="宋体" w:hint="eastAsia"/>
          <w:kern w:val="0"/>
          <w:szCs w:val="21"/>
        </w:rPr>
        <w:t>4月</w:t>
      </w:r>
      <w:r w:rsidR="00461CEA">
        <w:rPr>
          <w:rFonts w:ascii="楷体_GB2312" w:eastAsia="楷体_GB2312" w:hAnsi="宋体" w:cs="宋体" w:hint="eastAsia"/>
          <w:kern w:val="0"/>
          <w:szCs w:val="21"/>
        </w:rPr>
        <w:t>汇丰</w:t>
      </w:r>
      <w:r w:rsidR="00BF7FF4">
        <w:rPr>
          <w:rFonts w:ascii="楷体_GB2312" w:eastAsia="楷体_GB2312" w:hAnsi="宋体" w:cs="宋体" w:hint="eastAsia"/>
          <w:kern w:val="0"/>
          <w:szCs w:val="21"/>
        </w:rPr>
        <w:t>PMI</w:t>
      </w:r>
      <w:r w:rsidR="00BF7FF4" w:rsidRPr="000157C0">
        <w:rPr>
          <w:rFonts w:ascii="楷体_GB2312" w:eastAsia="楷体_GB2312" w:hAnsi="宋体" w:cs="宋体" w:hint="eastAsia"/>
          <w:kern w:val="0"/>
          <w:szCs w:val="21"/>
        </w:rPr>
        <w:t>（</w:t>
      </w:r>
      <w:r w:rsidR="00461CEA">
        <w:rPr>
          <w:rFonts w:ascii="楷体_GB2312" w:eastAsia="楷体_GB2312" w:hAnsi="宋体" w:cs="宋体" w:hint="eastAsia"/>
          <w:kern w:val="0"/>
          <w:szCs w:val="21"/>
        </w:rPr>
        <w:t>制造业</w:t>
      </w:r>
      <w:r w:rsidR="00BF7FF4" w:rsidRPr="000157C0">
        <w:rPr>
          <w:rFonts w:ascii="楷体_GB2312" w:eastAsia="楷体_GB2312" w:hAnsi="宋体" w:cs="宋体" w:hint="eastAsia"/>
          <w:kern w:val="0"/>
          <w:szCs w:val="21"/>
        </w:rPr>
        <w:t>采购经理人指数</w:t>
      </w:r>
      <w:r w:rsidR="00BF7FF4">
        <w:rPr>
          <w:rFonts w:ascii="楷体_GB2312" w:eastAsia="楷体_GB2312" w:hAnsi="宋体" w:cs="宋体" w:hint="eastAsia"/>
          <w:kern w:val="0"/>
          <w:szCs w:val="21"/>
        </w:rPr>
        <w:t>）</w:t>
      </w:r>
      <w:r w:rsidR="008F4661">
        <w:rPr>
          <w:rFonts w:ascii="楷体_GB2312" w:eastAsia="楷体_GB2312" w:hAnsi="宋体" w:cs="宋体" w:hint="eastAsia"/>
          <w:kern w:val="0"/>
          <w:szCs w:val="21"/>
        </w:rPr>
        <w:t>较3月仅略有回升</w:t>
      </w:r>
      <w:r w:rsidR="00836329">
        <w:rPr>
          <w:rFonts w:ascii="楷体_GB2312" w:eastAsia="楷体_GB2312" w:hAnsi="宋体" w:cs="宋体" w:hint="eastAsia"/>
          <w:kern w:val="0"/>
          <w:szCs w:val="21"/>
        </w:rPr>
        <w:t>，</w:t>
      </w:r>
      <w:r w:rsidR="008F4661">
        <w:rPr>
          <w:rFonts w:ascii="楷体_GB2312" w:eastAsia="楷体_GB2312" w:hAnsi="宋体" w:cs="宋体" w:hint="eastAsia"/>
          <w:kern w:val="0"/>
          <w:szCs w:val="21"/>
        </w:rPr>
        <w:t>连续</w:t>
      </w:r>
      <w:r w:rsidR="00836329">
        <w:rPr>
          <w:rFonts w:ascii="楷体_GB2312" w:eastAsia="楷体_GB2312" w:hAnsi="宋体" w:cs="宋体" w:hint="eastAsia"/>
          <w:kern w:val="0"/>
          <w:szCs w:val="21"/>
        </w:rPr>
        <w:t>第四个月</w:t>
      </w:r>
      <w:r w:rsidR="008F4661" w:rsidRPr="007F080A">
        <w:rPr>
          <w:rFonts w:ascii="楷体_GB2312" w:eastAsia="楷体_GB2312" w:hAnsi="宋体" w:cs="宋体" w:hint="eastAsia"/>
          <w:kern w:val="0"/>
          <w:szCs w:val="21"/>
        </w:rPr>
        <w:t>萎缩</w:t>
      </w:r>
      <w:r w:rsidR="007F080A">
        <w:rPr>
          <w:rFonts w:ascii="楷体_GB2312" w:eastAsia="楷体_GB2312" w:hAnsi="宋体" w:cs="宋体" w:hint="eastAsia"/>
          <w:kern w:val="0"/>
          <w:szCs w:val="21"/>
        </w:rPr>
        <w:t>。</w:t>
      </w:r>
      <w:r w:rsidR="007F080A" w:rsidRPr="007F080A">
        <w:rPr>
          <w:rFonts w:ascii="楷体_GB2312" w:eastAsia="楷体_GB2312" w:hAnsi="宋体" w:cs="宋体" w:hint="eastAsia"/>
          <w:kern w:val="0"/>
          <w:szCs w:val="21"/>
        </w:rPr>
        <w:t>5月1日公布的官方制造业PMI也显现制造业景气回升乏力，其中出口分项指标的低迷显示</w:t>
      </w:r>
      <w:r w:rsidR="007F080A">
        <w:rPr>
          <w:rFonts w:ascii="楷体_GB2312" w:eastAsia="楷体_GB2312" w:hAnsi="宋体" w:cs="宋体" w:hint="eastAsia"/>
          <w:kern w:val="0"/>
          <w:szCs w:val="21"/>
        </w:rPr>
        <w:t>外围市场的持续低迷是导致中国经济增长乏力的重要因素</w:t>
      </w:r>
      <w:r w:rsidR="007F080A" w:rsidRPr="007F080A">
        <w:rPr>
          <w:rFonts w:ascii="楷体_GB2312" w:eastAsia="楷体_GB2312" w:hAnsi="宋体" w:cs="宋体" w:hint="eastAsia"/>
          <w:kern w:val="0"/>
          <w:szCs w:val="21"/>
        </w:rPr>
        <w:t>。</w:t>
      </w:r>
    </w:p>
    <w:p w:rsidR="007F080A" w:rsidRDefault="007F080A" w:rsidP="004B0295">
      <w:pPr>
        <w:spacing w:beforeLines="50"/>
        <w:ind w:leftChars="1350" w:left="2835" w:firstLineChars="202" w:firstLine="424"/>
        <w:rPr>
          <w:rFonts w:ascii="楷体_GB2312" w:eastAsia="楷体_GB2312" w:hAnsi="宋体" w:cs="宋体"/>
          <w:kern w:val="0"/>
          <w:szCs w:val="21"/>
        </w:rPr>
      </w:pPr>
    </w:p>
    <w:p w:rsidR="007F080A" w:rsidRDefault="007F080A" w:rsidP="004B0295">
      <w:pPr>
        <w:spacing w:beforeLines="50"/>
        <w:ind w:leftChars="1350" w:left="2835" w:firstLineChars="202" w:firstLine="424"/>
        <w:rPr>
          <w:rFonts w:ascii="楷体_GB2312" w:eastAsia="楷体_GB2312" w:hAnsi="宋体" w:cs="宋体"/>
          <w:kern w:val="0"/>
          <w:szCs w:val="21"/>
        </w:rPr>
      </w:pPr>
    </w:p>
    <w:tbl>
      <w:tblPr>
        <w:tblW w:w="9356" w:type="dxa"/>
        <w:tblInd w:w="-34" w:type="dxa"/>
        <w:tblLayout w:type="fixed"/>
        <w:tblLook w:val="04A0"/>
      </w:tblPr>
      <w:tblGrid>
        <w:gridCol w:w="4678"/>
        <w:gridCol w:w="142"/>
        <w:gridCol w:w="4536"/>
      </w:tblGrid>
      <w:tr w:rsidR="006773F6" w:rsidRPr="00051DF8" w:rsidTr="00722604">
        <w:tc>
          <w:tcPr>
            <w:tcW w:w="4820" w:type="dxa"/>
            <w:gridSpan w:val="2"/>
            <w:tcBorders>
              <w:bottom w:val="single" w:sz="4" w:space="0" w:color="FF0000"/>
            </w:tcBorders>
          </w:tcPr>
          <w:p w:rsidR="006773F6" w:rsidRPr="00144B03" w:rsidRDefault="006773F6" w:rsidP="00404984">
            <w:pPr>
              <w:spacing w:line="360" w:lineRule="auto"/>
              <w:ind w:left="33" w:hangingChars="18" w:hanging="33"/>
              <w:jc w:val="left"/>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w:t>
            </w:r>
            <w:r>
              <w:rPr>
                <w:rFonts w:ascii="楷体_GB2312" w:eastAsia="楷体_GB2312" w:hint="eastAsia"/>
                <w:b/>
                <w:color w:val="000000"/>
                <w:sz w:val="18"/>
                <w:szCs w:val="18"/>
              </w:rPr>
              <w:t>1</w:t>
            </w:r>
            <w:r w:rsidR="00404984">
              <w:rPr>
                <w:rFonts w:ascii="楷体_GB2312" w:eastAsia="楷体_GB2312" w:hint="eastAsia"/>
                <w:b/>
                <w:color w:val="000000"/>
                <w:sz w:val="18"/>
                <w:szCs w:val="18"/>
              </w:rPr>
              <w:t>4</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中国：汇丰PMI</w:t>
            </w:r>
          </w:p>
        </w:tc>
        <w:tc>
          <w:tcPr>
            <w:tcW w:w="4536" w:type="dxa"/>
            <w:tcBorders>
              <w:bottom w:val="single" w:sz="4" w:space="0" w:color="FF0000"/>
            </w:tcBorders>
          </w:tcPr>
          <w:p w:rsidR="006773F6" w:rsidRPr="00144B03" w:rsidRDefault="006773F6" w:rsidP="00404984">
            <w:pPr>
              <w:spacing w:line="360" w:lineRule="auto"/>
              <w:ind w:left="4017" w:hangingChars="2223" w:hanging="4017"/>
              <w:jc w:val="left"/>
              <w:rPr>
                <w:rFonts w:ascii="楷体_GB2312" w:eastAsia="楷体_GB2312"/>
                <w:b/>
                <w:color w:val="000000"/>
                <w:sz w:val="18"/>
                <w:szCs w:val="18"/>
              </w:rPr>
            </w:pPr>
            <w:r w:rsidRPr="00144B03">
              <w:rPr>
                <w:rFonts w:ascii="楷体_GB2312" w:eastAsia="楷体_GB2312" w:hint="eastAsia"/>
                <w:b/>
                <w:color w:val="000000"/>
                <w:sz w:val="18"/>
                <w:szCs w:val="18"/>
              </w:rPr>
              <w:t>图</w:t>
            </w:r>
            <w:r>
              <w:rPr>
                <w:rFonts w:ascii="楷体_GB2312" w:eastAsia="楷体_GB2312" w:hint="eastAsia"/>
                <w:b/>
                <w:color w:val="000000"/>
                <w:sz w:val="18"/>
                <w:szCs w:val="18"/>
              </w:rPr>
              <w:t>1</w:t>
            </w:r>
            <w:r w:rsidR="00404984">
              <w:rPr>
                <w:rFonts w:ascii="楷体_GB2312" w:eastAsia="楷体_GB2312" w:hint="eastAsia"/>
                <w:b/>
                <w:color w:val="000000"/>
                <w:sz w:val="18"/>
                <w:szCs w:val="18"/>
              </w:rPr>
              <w:t>5</w:t>
            </w:r>
            <w:r w:rsidRPr="00144B03">
              <w:rPr>
                <w:rFonts w:ascii="楷体_GB2312" w:eastAsia="楷体_GB2312" w:hint="eastAsia"/>
                <w:b/>
                <w:color w:val="000000"/>
                <w:sz w:val="18"/>
                <w:szCs w:val="18"/>
              </w:rPr>
              <w:t>、</w:t>
            </w:r>
            <w:r>
              <w:rPr>
                <w:rFonts w:ascii="楷体_GB2312" w:eastAsia="楷体_GB2312" w:hint="eastAsia"/>
                <w:b/>
                <w:color w:val="000000"/>
                <w:sz w:val="18"/>
                <w:szCs w:val="18"/>
              </w:rPr>
              <w:t>中国：统计局PMI</w:t>
            </w:r>
          </w:p>
        </w:tc>
      </w:tr>
      <w:tr w:rsidR="006773F6" w:rsidRPr="00B22D95" w:rsidTr="00722604">
        <w:tc>
          <w:tcPr>
            <w:tcW w:w="4678" w:type="dxa"/>
            <w:tcBorders>
              <w:top w:val="single" w:sz="4" w:space="0" w:color="FF0000"/>
              <w:bottom w:val="single" w:sz="4" w:space="0" w:color="FF0000"/>
            </w:tcBorders>
          </w:tcPr>
          <w:p w:rsidR="006773F6" w:rsidRPr="00B22D95" w:rsidRDefault="00BA19C1" w:rsidP="00722604">
            <w:pPr>
              <w:spacing w:line="360" w:lineRule="auto"/>
              <w:ind w:leftChars="16" w:left="34"/>
              <w:rPr>
                <w:rFonts w:ascii="楷体_GB2312" w:eastAsia="楷体_GB2312"/>
                <w:color w:val="000000"/>
                <w:sz w:val="18"/>
                <w:szCs w:val="18"/>
              </w:rPr>
            </w:pPr>
            <w:r>
              <w:rPr>
                <w:noProof/>
              </w:rPr>
              <w:drawing>
                <wp:inline distT="0" distB="0" distL="0" distR="0">
                  <wp:extent cx="2830830" cy="1375410"/>
                  <wp:effectExtent l="19050" t="0" r="762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7" cstate="print"/>
                          <a:srcRect/>
                          <a:stretch>
                            <a:fillRect/>
                          </a:stretch>
                        </pic:blipFill>
                        <pic:spPr bwMode="auto">
                          <a:xfrm>
                            <a:off x="0" y="0"/>
                            <a:ext cx="2830830" cy="1375410"/>
                          </a:xfrm>
                          <a:prstGeom prst="rect">
                            <a:avLst/>
                          </a:prstGeom>
                          <a:noFill/>
                          <a:ln w="9525">
                            <a:noFill/>
                            <a:miter lim="800000"/>
                            <a:headEnd/>
                            <a:tailEnd/>
                          </a:ln>
                        </pic:spPr>
                      </pic:pic>
                    </a:graphicData>
                  </a:graphic>
                </wp:inline>
              </w:drawing>
            </w:r>
          </w:p>
        </w:tc>
        <w:tc>
          <w:tcPr>
            <w:tcW w:w="4678" w:type="dxa"/>
            <w:gridSpan w:val="2"/>
            <w:tcBorders>
              <w:top w:val="single" w:sz="4" w:space="0" w:color="FF0000"/>
              <w:bottom w:val="single" w:sz="4" w:space="0" w:color="FF0000"/>
            </w:tcBorders>
          </w:tcPr>
          <w:p w:rsidR="006773F6" w:rsidRPr="00B22D95" w:rsidRDefault="00BA19C1" w:rsidP="00722604">
            <w:pPr>
              <w:spacing w:line="360" w:lineRule="auto"/>
              <w:ind w:left="1" w:firstLineChars="18" w:firstLine="32"/>
              <w:jc w:val="right"/>
              <w:rPr>
                <w:rFonts w:ascii="楷体_GB2312" w:eastAsia="楷体_GB2312"/>
                <w:color w:val="000000"/>
                <w:sz w:val="18"/>
                <w:szCs w:val="18"/>
              </w:rPr>
            </w:pPr>
            <w:r>
              <w:rPr>
                <w:rFonts w:ascii="楷体_GB2312" w:eastAsia="楷体_GB2312"/>
                <w:noProof/>
                <w:color w:val="000000"/>
                <w:sz w:val="18"/>
                <w:szCs w:val="18"/>
              </w:rPr>
              <w:drawing>
                <wp:inline distT="0" distB="0" distL="0" distR="0">
                  <wp:extent cx="2830830" cy="1367790"/>
                  <wp:effectExtent l="19050" t="0" r="762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8" cstate="print"/>
                          <a:srcRect/>
                          <a:stretch>
                            <a:fillRect/>
                          </a:stretch>
                        </pic:blipFill>
                        <pic:spPr bwMode="auto">
                          <a:xfrm>
                            <a:off x="0" y="0"/>
                            <a:ext cx="2830830" cy="1367790"/>
                          </a:xfrm>
                          <a:prstGeom prst="rect">
                            <a:avLst/>
                          </a:prstGeom>
                          <a:noFill/>
                          <a:ln w="9525">
                            <a:noFill/>
                            <a:miter lim="800000"/>
                            <a:headEnd/>
                            <a:tailEnd/>
                          </a:ln>
                        </pic:spPr>
                      </pic:pic>
                    </a:graphicData>
                  </a:graphic>
                </wp:inline>
              </w:drawing>
            </w:r>
          </w:p>
        </w:tc>
      </w:tr>
    </w:tbl>
    <w:p w:rsidR="006773F6" w:rsidRDefault="006773F6" w:rsidP="006773F6">
      <w:pPr>
        <w:rPr>
          <w:rFonts w:ascii="楷体_GB2312" w:eastAsia="楷体_GB2312"/>
          <w:noProof/>
          <w:color w:val="000000"/>
        </w:rPr>
      </w:pPr>
      <w:r>
        <w:rPr>
          <w:rFonts w:ascii="楷体_GB2312" w:eastAsia="楷体_GB2312" w:hint="eastAsia"/>
          <w:noProof/>
          <w:color w:val="000000"/>
        </w:rPr>
        <w:t>来源：</w:t>
      </w:r>
      <w:r w:rsidRPr="00156066">
        <w:rPr>
          <w:rFonts w:ascii="楷体_GB2312" w:eastAsia="楷体_GB2312" w:hint="eastAsia"/>
          <w:noProof/>
          <w:color w:val="000000"/>
        </w:rPr>
        <w:t>wind</w:t>
      </w:r>
      <w:r>
        <w:rPr>
          <w:rFonts w:ascii="楷体_GB2312" w:eastAsia="楷体_GB2312" w:hint="eastAsia"/>
          <w:noProof/>
          <w:color w:val="000000"/>
        </w:rPr>
        <w:t>，</w:t>
      </w:r>
      <w:r w:rsidRPr="00156066">
        <w:rPr>
          <w:rFonts w:ascii="楷体_GB2312" w:eastAsia="楷体_GB2312" w:hint="eastAsia"/>
          <w:noProof/>
          <w:color w:val="000000"/>
        </w:rPr>
        <w:t>上海证券基金评价研究中心</w:t>
      </w:r>
    </w:p>
    <w:p w:rsidR="00CB04B0" w:rsidRPr="00167BAA" w:rsidRDefault="00CB04B0" w:rsidP="004B0295">
      <w:pPr>
        <w:spacing w:beforeLines="50"/>
        <w:ind w:leftChars="1350" w:left="2835" w:firstLineChars="202" w:firstLine="424"/>
        <w:rPr>
          <w:rFonts w:ascii="楷体_GB2312" w:eastAsia="楷体_GB2312" w:hAnsi="宋体" w:cs="宋体"/>
          <w:kern w:val="0"/>
          <w:szCs w:val="21"/>
        </w:rPr>
      </w:pPr>
      <w:r>
        <w:rPr>
          <w:rFonts w:ascii="楷体_GB2312" w:eastAsia="楷体_GB2312" w:hAnsi="宋体" w:cs="宋体" w:hint="eastAsia"/>
          <w:kern w:val="0"/>
          <w:szCs w:val="21"/>
        </w:rPr>
        <w:t>受前期工业利润回落和投资增速下行的拖累，</w:t>
      </w:r>
      <w:r w:rsidR="00167BAA">
        <w:rPr>
          <w:rFonts w:ascii="楷体_GB2312" w:eastAsia="楷体_GB2312" w:hAnsi="宋体" w:cs="宋体" w:hint="eastAsia"/>
          <w:kern w:val="0"/>
          <w:szCs w:val="21"/>
        </w:rPr>
        <w:t>一季度GDP数据低迷，为了确保经济增长，4月份中国陆续推出了微刺激措施</w:t>
      </w:r>
      <w:r w:rsidR="00890C0E">
        <w:rPr>
          <w:rFonts w:ascii="楷体_GB2312" w:eastAsia="楷体_GB2312" w:hAnsi="宋体" w:cs="宋体" w:hint="eastAsia"/>
          <w:kern w:val="0"/>
          <w:szCs w:val="21"/>
        </w:rPr>
        <w:t>，短期来看，经济未能体现出明显的效果。面临的调整仍然巨大。</w:t>
      </w:r>
      <w:r w:rsidR="00495ED9">
        <w:rPr>
          <w:rFonts w:ascii="楷体_GB2312" w:eastAsia="楷体_GB2312" w:hAnsi="宋体" w:cs="宋体" w:hint="eastAsia"/>
          <w:kern w:val="0"/>
          <w:szCs w:val="21"/>
        </w:rPr>
        <w:t>此外，</w:t>
      </w:r>
      <w:r w:rsidR="002D46CB">
        <w:rPr>
          <w:rFonts w:ascii="楷体_GB2312" w:eastAsia="楷体_GB2312" w:hAnsi="宋体" w:cs="宋体" w:hint="eastAsia"/>
          <w:kern w:val="0"/>
          <w:szCs w:val="21"/>
        </w:rPr>
        <w:t>4月中旬IPO</w:t>
      </w:r>
      <w:r w:rsidR="00C36F88">
        <w:rPr>
          <w:rFonts w:ascii="楷体_GB2312" w:eastAsia="楷体_GB2312" w:hAnsi="宋体" w:cs="宋体" w:hint="eastAsia"/>
          <w:kern w:val="0"/>
          <w:szCs w:val="21"/>
        </w:rPr>
        <w:t>重启</w:t>
      </w:r>
      <w:r w:rsidR="002D46CB">
        <w:rPr>
          <w:rFonts w:ascii="楷体_GB2312" w:eastAsia="楷体_GB2312" w:hAnsi="宋体" w:cs="宋体" w:hint="eastAsia"/>
          <w:kern w:val="0"/>
          <w:szCs w:val="21"/>
        </w:rPr>
        <w:t>对股票市场造成动荡。</w:t>
      </w:r>
    </w:p>
    <w:p w:rsidR="00AE0E62" w:rsidRPr="00816D44" w:rsidRDefault="00141178" w:rsidP="00141178">
      <w:pPr>
        <w:pageBreakBefore/>
        <w:ind w:firstLineChars="1000" w:firstLine="2811"/>
        <w:rPr>
          <w:rFonts w:ascii="黑体" w:eastAsia="黑体" w:hAnsi="宋体-18030" w:cs="宋体-18030"/>
          <w:b/>
          <w:bCs/>
          <w:color w:val="000000"/>
          <w:kern w:val="44"/>
          <w:sz w:val="28"/>
          <w:szCs w:val="28"/>
        </w:rPr>
      </w:pPr>
      <w:r>
        <w:rPr>
          <w:rFonts w:ascii="黑体" w:eastAsia="黑体" w:hAnsi="宋体-18030" w:cs="宋体-18030" w:hint="eastAsia"/>
          <w:b/>
          <w:bCs/>
          <w:color w:val="000000"/>
          <w:kern w:val="44"/>
          <w:sz w:val="28"/>
          <w:szCs w:val="28"/>
        </w:rPr>
        <w:lastRenderedPageBreak/>
        <w:t>三、</w:t>
      </w:r>
      <w:r w:rsidR="00AE0E62">
        <w:rPr>
          <w:rFonts w:ascii="黑体" w:eastAsia="黑体" w:hAnsi="宋体-18030" w:cs="宋体-18030" w:hint="eastAsia"/>
          <w:b/>
          <w:bCs/>
          <w:color w:val="000000"/>
          <w:kern w:val="44"/>
          <w:sz w:val="28"/>
          <w:szCs w:val="28"/>
        </w:rPr>
        <w:t>各期组合及业绩回顾</w:t>
      </w:r>
    </w:p>
    <w:p w:rsidR="009E78C8" w:rsidRDefault="008E0A57" w:rsidP="00034DC0">
      <w:pPr>
        <w:ind w:leftChars="1350" w:left="2835" w:firstLine="420"/>
        <w:rPr>
          <w:rFonts w:ascii="楷体_GB2312" w:eastAsia="楷体_GB2312"/>
          <w:noProof/>
        </w:rPr>
      </w:pPr>
      <w:r w:rsidRPr="00AB08B9">
        <w:rPr>
          <w:rFonts w:ascii="楷体_GB2312" w:eastAsia="楷体_GB2312" w:hint="eastAsia"/>
          <w:noProof/>
        </w:rPr>
        <w:t>自2011年2月以来，同期</w:t>
      </w:r>
      <w:r w:rsidR="00CF5001">
        <w:rPr>
          <w:rFonts w:ascii="楷体_GB2312" w:eastAsia="楷体_GB2312" w:hint="eastAsia"/>
          <w:noProof/>
        </w:rPr>
        <w:t>基础市场表现低迷，</w:t>
      </w:r>
      <w:r w:rsidRPr="00AB08B9">
        <w:rPr>
          <w:rFonts w:ascii="楷体_GB2312" w:eastAsia="楷体_GB2312" w:hint="eastAsia"/>
          <w:noProof/>
        </w:rPr>
        <w:t>上证指数</w:t>
      </w:r>
      <w:r w:rsidR="00E21593">
        <w:rPr>
          <w:rFonts w:ascii="楷体_GB2312" w:eastAsia="楷体_GB2312" w:hint="eastAsia"/>
          <w:noProof/>
        </w:rPr>
        <w:t>下跌</w:t>
      </w:r>
      <w:r w:rsidR="00034DC0" w:rsidRPr="00034DC0">
        <w:rPr>
          <w:rFonts w:ascii="楷体_GB2312" w:eastAsia="楷体_GB2312"/>
          <w:noProof/>
        </w:rPr>
        <w:t>27.39</w:t>
      </w:r>
      <w:r w:rsidRPr="00AB08B9">
        <w:rPr>
          <w:rFonts w:ascii="楷体_GB2312" w:eastAsia="楷体_GB2312" w:hint="eastAsia"/>
          <w:noProof/>
        </w:rPr>
        <w:t>%，深圳综指</w:t>
      </w:r>
      <w:r w:rsidR="00E21593">
        <w:rPr>
          <w:rFonts w:ascii="楷体_GB2312" w:eastAsia="楷体_GB2312" w:hint="eastAsia"/>
          <w:noProof/>
        </w:rPr>
        <w:t>下跌</w:t>
      </w:r>
      <w:r w:rsidR="00034DC0" w:rsidRPr="00034DC0">
        <w:rPr>
          <w:rFonts w:ascii="楷体_GB2312" w:eastAsia="楷体_GB2312"/>
          <w:noProof/>
        </w:rPr>
        <w:t>14.20</w:t>
      </w:r>
      <w:r w:rsidRPr="00AB08B9">
        <w:rPr>
          <w:rFonts w:ascii="楷体_GB2312" w:eastAsia="楷体_GB2312" w:hint="eastAsia"/>
          <w:noProof/>
        </w:rPr>
        <w:t>%。</w:t>
      </w:r>
      <w:r w:rsidR="00CF5001">
        <w:rPr>
          <w:rFonts w:ascii="楷体_GB2312" w:eastAsia="楷体_GB2312" w:hint="eastAsia"/>
          <w:noProof/>
        </w:rPr>
        <w:t>上海证券三个风险等级组合</w:t>
      </w:r>
      <w:r w:rsidR="00974B66">
        <w:rPr>
          <w:rFonts w:ascii="楷体_GB2312" w:eastAsia="楷体_GB2312" w:hint="eastAsia"/>
          <w:noProof/>
        </w:rPr>
        <w:t>实现正收益</w:t>
      </w:r>
      <w:r w:rsidRPr="00AB08B9">
        <w:rPr>
          <w:rFonts w:ascii="楷体_GB2312" w:eastAsia="楷体_GB2312" w:hint="eastAsia"/>
          <w:noProof/>
        </w:rPr>
        <w:t>，</w:t>
      </w:r>
      <w:r w:rsidR="00B67ADD">
        <w:rPr>
          <w:rFonts w:ascii="楷体_GB2312" w:eastAsia="楷体_GB2312" w:hint="eastAsia"/>
          <w:noProof/>
        </w:rPr>
        <w:t>积极型、平衡型、稳健型</w:t>
      </w:r>
      <w:r w:rsidRPr="00AB08B9">
        <w:rPr>
          <w:rFonts w:ascii="楷体_GB2312" w:eastAsia="楷体_GB2312" w:hint="eastAsia"/>
          <w:noProof/>
        </w:rPr>
        <w:t>累计</w:t>
      </w:r>
      <w:r w:rsidR="00B67ADD">
        <w:rPr>
          <w:rFonts w:ascii="楷体_GB2312" w:eastAsia="楷体_GB2312" w:hint="eastAsia"/>
          <w:noProof/>
        </w:rPr>
        <w:t>分别上涨</w:t>
      </w:r>
      <w:r w:rsidR="00034DC0">
        <w:rPr>
          <w:rFonts w:ascii="楷体_GB2312" w:eastAsia="楷体_GB2312"/>
          <w:noProof/>
        </w:rPr>
        <w:t>14.90%</w:t>
      </w:r>
      <w:r w:rsidR="00034DC0">
        <w:rPr>
          <w:rFonts w:ascii="楷体_GB2312" w:eastAsia="楷体_GB2312" w:hint="eastAsia"/>
          <w:noProof/>
        </w:rPr>
        <w:t>、</w:t>
      </w:r>
      <w:r w:rsidR="00034DC0" w:rsidRPr="00034DC0">
        <w:rPr>
          <w:rFonts w:ascii="楷体_GB2312" w:eastAsia="楷体_GB2312"/>
          <w:noProof/>
        </w:rPr>
        <w:t>15.36%</w:t>
      </w:r>
      <w:r w:rsidR="00034DC0">
        <w:rPr>
          <w:rFonts w:ascii="楷体_GB2312" w:eastAsia="楷体_GB2312" w:hint="eastAsia"/>
          <w:noProof/>
        </w:rPr>
        <w:t>、</w:t>
      </w:r>
      <w:r w:rsidR="00034DC0" w:rsidRPr="00034DC0">
        <w:rPr>
          <w:rFonts w:ascii="楷体_GB2312" w:eastAsia="楷体_GB2312"/>
          <w:noProof/>
        </w:rPr>
        <w:t>13.26%</w:t>
      </w:r>
      <w:r w:rsidRPr="00AB08B9">
        <w:rPr>
          <w:rFonts w:ascii="楷体_GB2312" w:eastAsia="楷体_GB2312" w:hint="eastAsia"/>
          <w:noProof/>
        </w:rPr>
        <w:t>，</w:t>
      </w:r>
      <w:r w:rsidR="00B67ADD">
        <w:rPr>
          <w:rFonts w:ascii="楷体_GB2312" w:eastAsia="楷体_GB2312" w:hint="eastAsia"/>
          <w:noProof/>
        </w:rPr>
        <w:t>分别</w:t>
      </w:r>
      <w:r w:rsidRPr="00AB08B9">
        <w:rPr>
          <w:rFonts w:ascii="楷体_GB2312" w:eastAsia="楷体_GB2312" w:hint="eastAsia"/>
          <w:noProof/>
        </w:rPr>
        <w:t>超越</w:t>
      </w:r>
      <w:r w:rsidR="00B67ADD">
        <w:rPr>
          <w:rFonts w:ascii="楷体_GB2312" w:eastAsia="楷体_GB2312" w:hint="eastAsia"/>
          <w:noProof/>
        </w:rPr>
        <w:t>相应</w:t>
      </w:r>
      <w:r w:rsidRPr="00AB08B9">
        <w:rPr>
          <w:rFonts w:ascii="楷体_GB2312" w:eastAsia="楷体_GB2312" w:hint="eastAsia"/>
          <w:noProof/>
        </w:rPr>
        <w:t>基准</w:t>
      </w:r>
      <w:r w:rsidR="00034DC0">
        <w:rPr>
          <w:rFonts w:ascii="楷体_GB2312" w:eastAsia="楷体_GB2312"/>
          <w:noProof/>
        </w:rPr>
        <w:t>23.60</w:t>
      </w:r>
      <w:r w:rsidR="00034DC0">
        <w:rPr>
          <w:rFonts w:ascii="楷体_GB2312" w:eastAsia="楷体_GB2312" w:hint="eastAsia"/>
          <w:noProof/>
        </w:rPr>
        <w:t>、</w:t>
      </w:r>
      <w:r w:rsidR="00034DC0" w:rsidRPr="00034DC0">
        <w:rPr>
          <w:rFonts w:ascii="楷体_GB2312" w:eastAsia="楷体_GB2312"/>
          <w:noProof/>
        </w:rPr>
        <w:t>14.07</w:t>
      </w:r>
      <w:r w:rsidR="00034DC0">
        <w:rPr>
          <w:rFonts w:ascii="楷体_GB2312" w:eastAsia="楷体_GB2312" w:hint="eastAsia"/>
          <w:noProof/>
        </w:rPr>
        <w:t>、</w:t>
      </w:r>
      <w:r w:rsidR="00034DC0">
        <w:rPr>
          <w:rFonts w:ascii="楷体_GB2312" w:eastAsia="楷体_GB2312"/>
          <w:noProof/>
        </w:rPr>
        <w:t>2.50</w:t>
      </w:r>
      <w:r w:rsidR="0046610D">
        <w:rPr>
          <w:rFonts w:ascii="楷体_GB2312" w:eastAsia="楷体_GB2312" w:hint="eastAsia"/>
          <w:noProof/>
        </w:rPr>
        <w:t>个</w:t>
      </w:r>
      <w:r w:rsidR="00B67ADD">
        <w:rPr>
          <w:rFonts w:ascii="楷体_GB2312" w:eastAsia="楷体_GB2312" w:hint="eastAsia"/>
          <w:noProof/>
        </w:rPr>
        <w:t>百分点。</w:t>
      </w:r>
    </w:p>
    <w:p w:rsidR="00FA36C2" w:rsidRPr="004C1094" w:rsidRDefault="00FA36C2" w:rsidP="00034DC0">
      <w:pPr>
        <w:ind w:leftChars="1350" w:left="2835" w:firstLine="420"/>
        <w:rPr>
          <w:rFonts w:ascii="楷体_GB2312" w:eastAsia="楷体_GB2312"/>
          <w:noProof/>
        </w:rPr>
      </w:pPr>
      <w:r w:rsidRPr="00AB08B9">
        <w:rPr>
          <w:rFonts w:ascii="楷体_GB2312" w:eastAsia="楷体_GB2312" w:hint="eastAsia"/>
          <w:noProof/>
        </w:rPr>
        <w:t>201</w:t>
      </w:r>
      <w:r w:rsidR="00916D6D">
        <w:rPr>
          <w:rFonts w:ascii="楷体_GB2312" w:eastAsia="楷体_GB2312" w:hint="eastAsia"/>
          <w:noProof/>
        </w:rPr>
        <w:t>4</w:t>
      </w:r>
      <w:r w:rsidRPr="00AB08B9">
        <w:rPr>
          <w:rFonts w:ascii="楷体_GB2312" w:eastAsia="楷体_GB2312" w:hint="eastAsia"/>
          <w:noProof/>
        </w:rPr>
        <w:t>年</w:t>
      </w:r>
      <w:r w:rsidR="00083D28">
        <w:rPr>
          <w:rFonts w:ascii="楷体_GB2312" w:eastAsia="楷体_GB2312" w:hint="eastAsia"/>
          <w:noProof/>
        </w:rPr>
        <w:t>3</w:t>
      </w:r>
      <w:r w:rsidRPr="00AB08B9">
        <w:rPr>
          <w:rFonts w:ascii="楷体_GB2312" w:eastAsia="楷体_GB2312" w:hint="eastAsia"/>
          <w:noProof/>
        </w:rPr>
        <w:t>月，上海证券积极型、平衡型、稳健型组合</w:t>
      </w:r>
      <w:r w:rsidR="00956F75">
        <w:rPr>
          <w:rFonts w:ascii="楷体_GB2312" w:eastAsia="楷体_GB2312" w:hint="eastAsia"/>
          <w:noProof/>
        </w:rPr>
        <w:t>分别实现收益</w:t>
      </w:r>
      <w:r w:rsidR="00034DC0" w:rsidRPr="00034DC0">
        <w:rPr>
          <w:rFonts w:ascii="楷体_GB2312" w:eastAsia="楷体_GB2312"/>
          <w:noProof/>
        </w:rPr>
        <w:t>-0.38%</w:t>
      </w:r>
      <w:r w:rsidR="00034DC0">
        <w:rPr>
          <w:rFonts w:ascii="楷体_GB2312" w:eastAsia="楷体_GB2312" w:hint="eastAsia"/>
          <w:noProof/>
        </w:rPr>
        <w:t>、</w:t>
      </w:r>
      <w:r w:rsidR="00034DC0" w:rsidRPr="00034DC0">
        <w:rPr>
          <w:rFonts w:ascii="楷体_GB2312" w:eastAsia="楷体_GB2312"/>
          <w:noProof/>
        </w:rPr>
        <w:t>0.52%</w:t>
      </w:r>
      <w:r w:rsidR="00034DC0">
        <w:rPr>
          <w:rFonts w:ascii="楷体_GB2312" w:eastAsia="楷体_GB2312" w:hint="eastAsia"/>
          <w:noProof/>
        </w:rPr>
        <w:t>、</w:t>
      </w:r>
      <w:r w:rsidR="00034DC0" w:rsidRPr="00034DC0">
        <w:rPr>
          <w:rFonts w:ascii="楷体_GB2312" w:eastAsia="楷体_GB2312"/>
          <w:noProof/>
        </w:rPr>
        <w:t>0.40%</w:t>
      </w:r>
      <w:r w:rsidRPr="00AB08B9">
        <w:rPr>
          <w:rFonts w:ascii="楷体_GB2312" w:eastAsia="楷体_GB2312" w:hint="eastAsia"/>
          <w:noProof/>
        </w:rPr>
        <w:t>，</w:t>
      </w:r>
      <w:r w:rsidR="00083D28">
        <w:rPr>
          <w:rFonts w:ascii="楷体_GB2312" w:eastAsia="楷体_GB2312" w:hint="eastAsia"/>
          <w:noProof/>
        </w:rPr>
        <w:t>全线超越业绩比较基准</w:t>
      </w:r>
      <w:r w:rsidRPr="00AB08B9">
        <w:rPr>
          <w:rFonts w:ascii="楷体_GB2312" w:eastAsia="楷体_GB2312" w:hint="eastAsia"/>
          <w:noProof/>
        </w:rPr>
        <w:t>。</w:t>
      </w:r>
    </w:p>
    <w:p w:rsidR="008E0A57" w:rsidRPr="00144B03" w:rsidRDefault="008E0A57"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表3 组合业绩回顾</w:t>
      </w:r>
    </w:p>
    <w:tbl>
      <w:tblPr>
        <w:tblW w:w="5000" w:type="pct"/>
        <w:tblLook w:val="04A0"/>
      </w:tblPr>
      <w:tblGrid>
        <w:gridCol w:w="1366"/>
        <w:gridCol w:w="1366"/>
        <w:gridCol w:w="1367"/>
        <w:gridCol w:w="1369"/>
        <w:gridCol w:w="1367"/>
        <w:gridCol w:w="1367"/>
        <w:gridCol w:w="1369"/>
      </w:tblGrid>
      <w:tr w:rsidR="008E0A57" w:rsidRPr="00BD1E88" w:rsidTr="008E0A57">
        <w:trPr>
          <w:trHeight w:val="285"/>
        </w:trPr>
        <w:tc>
          <w:tcPr>
            <w:tcW w:w="714" w:type="pct"/>
            <w:vMerge w:val="restart"/>
            <w:tcBorders>
              <w:top w:val="single" w:sz="8" w:space="0" w:color="auto"/>
              <w:left w:val="single" w:sz="8" w:space="0" w:color="auto"/>
              <w:bottom w:val="single" w:sz="8" w:space="0" w:color="000000"/>
              <w:right w:val="single" w:sz="8" w:space="0" w:color="auto"/>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8E0A57" w:rsidRPr="00BD1E88" w:rsidRDefault="008E0A57" w:rsidP="00677B64">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w:t>
            </w:r>
            <w:r w:rsidR="00146588">
              <w:rPr>
                <w:rFonts w:ascii="楷体_GB2312" w:eastAsia="楷体_GB2312" w:hAnsi="宋体" w:cs="宋体" w:hint="eastAsia"/>
                <w:b/>
                <w:bCs/>
                <w:color w:val="FFFFFF"/>
                <w:kern w:val="0"/>
                <w:szCs w:val="21"/>
              </w:rPr>
              <w:t>4</w:t>
            </w:r>
            <w:r w:rsidRPr="00BD1E88">
              <w:rPr>
                <w:rFonts w:ascii="楷体_GB2312" w:eastAsia="楷体_GB2312" w:hAnsi="宋体" w:cs="宋体" w:hint="eastAsia"/>
                <w:b/>
                <w:bCs/>
                <w:color w:val="FFFFFF"/>
                <w:kern w:val="0"/>
                <w:szCs w:val="21"/>
              </w:rPr>
              <w:t>年</w:t>
            </w:r>
            <w:r w:rsidR="00677B64">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c>
          <w:tcPr>
            <w:tcW w:w="2143" w:type="pct"/>
            <w:gridSpan w:val="3"/>
            <w:tcBorders>
              <w:top w:val="nil"/>
              <w:left w:val="nil"/>
              <w:bottom w:val="nil"/>
              <w:right w:val="nil"/>
            </w:tcBorders>
            <w:shd w:val="clear" w:color="000000" w:fill="666699"/>
            <w:noWrap/>
            <w:vAlign w:val="bottom"/>
            <w:hideMark/>
          </w:tcPr>
          <w:p w:rsidR="008E0A57" w:rsidRPr="00BD1E88" w:rsidRDefault="008E0A57"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组合设立以来</w:t>
            </w:r>
          </w:p>
        </w:tc>
      </w:tr>
      <w:tr w:rsidR="008E0A57" w:rsidRPr="00BD1E88" w:rsidTr="00195F1F">
        <w:trPr>
          <w:trHeight w:val="300"/>
        </w:trPr>
        <w:tc>
          <w:tcPr>
            <w:tcW w:w="714" w:type="pct"/>
            <w:vMerge/>
            <w:tcBorders>
              <w:top w:val="single" w:sz="8" w:space="0" w:color="auto"/>
              <w:left w:val="single" w:sz="8" w:space="0" w:color="auto"/>
              <w:bottom w:val="single" w:sz="8" w:space="0" w:color="000000"/>
              <w:right w:val="single" w:sz="8" w:space="0" w:color="auto"/>
            </w:tcBorders>
            <w:vAlign w:val="center"/>
            <w:hideMark/>
          </w:tcPr>
          <w:p w:rsidR="008E0A57" w:rsidRPr="00BD1E88" w:rsidRDefault="008E0A57"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8E0A57" w:rsidRPr="00BD1E88" w:rsidRDefault="008E0A57"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102B74" w:rsidRPr="00BD1E88" w:rsidTr="004C5FC9">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102B74" w:rsidRPr="00BD1E88" w:rsidRDefault="00102B74"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FF0000"/>
              </w:rPr>
            </w:pPr>
            <w:r w:rsidRPr="00102B74">
              <w:rPr>
                <w:rFonts w:hint="eastAsia"/>
                <w:i/>
                <w:color w:val="FF0000"/>
              </w:rPr>
              <w:t>-0.38%</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FF0000"/>
              </w:rPr>
            </w:pPr>
            <w:r w:rsidRPr="00102B74">
              <w:rPr>
                <w:rFonts w:hint="eastAsia"/>
                <w:i/>
                <w:color w:val="FF0000"/>
              </w:rPr>
              <w:t>-1.19%</w:t>
            </w:r>
          </w:p>
        </w:tc>
        <w:tc>
          <w:tcPr>
            <w:tcW w:w="715" w:type="pct"/>
            <w:tcBorders>
              <w:top w:val="nil"/>
              <w:left w:val="nil"/>
              <w:bottom w:val="single" w:sz="8" w:space="0" w:color="auto"/>
              <w:right w:val="single" w:sz="8" w:space="0" w:color="auto"/>
            </w:tcBorders>
            <w:shd w:val="clear" w:color="auto" w:fill="auto"/>
            <w:noWrap/>
            <w:hideMark/>
          </w:tcPr>
          <w:p w:rsidR="00102B74" w:rsidRPr="00102B74" w:rsidRDefault="00102B74" w:rsidP="00102B74">
            <w:pPr>
              <w:jc w:val="center"/>
              <w:rPr>
                <w:b/>
                <w:i/>
                <w:color w:val="0D0D0D"/>
              </w:rPr>
            </w:pPr>
            <w:r w:rsidRPr="00102B74">
              <w:rPr>
                <w:b/>
                <w:i/>
                <w:color w:val="0D0D0D"/>
              </w:rPr>
              <w:t>0.81%</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14.90%</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FF0000"/>
              </w:rPr>
            </w:pPr>
            <w:r w:rsidRPr="00102B74">
              <w:rPr>
                <w:rFonts w:hint="eastAsia"/>
                <w:i/>
                <w:color w:val="FF0000"/>
              </w:rPr>
              <w:t>-8.71%</w:t>
            </w:r>
          </w:p>
        </w:tc>
        <w:tc>
          <w:tcPr>
            <w:tcW w:w="715" w:type="pct"/>
            <w:tcBorders>
              <w:top w:val="nil"/>
              <w:left w:val="nil"/>
              <w:bottom w:val="single" w:sz="8" w:space="0" w:color="auto"/>
              <w:right w:val="single" w:sz="8" w:space="0" w:color="auto"/>
            </w:tcBorders>
            <w:shd w:val="clear" w:color="auto" w:fill="auto"/>
            <w:noWrap/>
            <w:hideMark/>
          </w:tcPr>
          <w:p w:rsidR="00102B74" w:rsidRPr="00102B74" w:rsidRDefault="00102B74" w:rsidP="00102B74">
            <w:pPr>
              <w:jc w:val="center"/>
              <w:rPr>
                <w:b/>
                <w:i/>
                <w:color w:val="0D0D0D"/>
              </w:rPr>
            </w:pPr>
            <w:r w:rsidRPr="00102B74">
              <w:rPr>
                <w:b/>
                <w:i/>
                <w:color w:val="0D0D0D"/>
              </w:rPr>
              <w:t>23.60%</w:t>
            </w:r>
          </w:p>
        </w:tc>
      </w:tr>
      <w:tr w:rsidR="00102B74" w:rsidRPr="00BD1E88" w:rsidTr="00195F1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102B74" w:rsidRPr="00BD1E88" w:rsidRDefault="00102B74"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0.52%</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FF0000"/>
              </w:rPr>
            </w:pPr>
            <w:r w:rsidRPr="00102B74">
              <w:rPr>
                <w:rFonts w:hint="eastAsia"/>
                <w:i/>
                <w:color w:val="FF0000"/>
              </w:rPr>
              <w:t>-0.06%</w:t>
            </w:r>
          </w:p>
        </w:tc>
        <w:tc>
          <w:tcPr>
            <w:tcW w:w="715" w:type="pct"/>
            <w:tcBorders>
              <w:top w:val="nil"/>
              <w:left w:val="nil"/>
              <w:bottom w:val="single" w:sz="8" w:space="0" w:color="auto"/>
              <w:right w:val="single" w:sz="8" w:space="0" w:color="auto"/>
            </w:tcBorders>
            <w:shd w:val="clear" w:color="auto" w:fill="auto"/>
            <w:noWrap/>
            <w:hideMark/>
          </w:tcPr>
          <w:p w:rsidR="00102B74" w:rsidRPr="00102B74" w:rsidRDefault="00102B74" w:rsidP="00102B74">
            <w:pPr>
              <w:jc w:val="center"/>
              <w:rPr>
                <w:b/>
                <w:i/>
                <w:color w:val="0D0D0D"/>
              </w:rPr>
            </w:pPr>
            <w:r w:rsidRPr="00102B74">
              <w:rPr>
                <w:b/>
                <w:i/>
                <w:color w:val="0D0D0D"/>
              </w:rPr>
              <w:t>0.58%</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15.36%</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1.30%</w:t>
            </w:r>
          </w:p>
        </w:tc>
        <w:tc>
          <w:tcPr>
            <w:tcW w:w="715" w:type="pct"/>
            <w:tcBorders>
              <w:top w:val="nil"/>
              <w:left w:val="nil"/>
              <w:bottom w:val="single" w:sz="8" w:space="0" w:color="auto"/>
              <w:right w:val="single" w:sz="8" w:space="0" w:color="auto"/>
            </w:tcBorders>
            <w:shd w:val="clear" w:color="auto" w:fill="auto"/>
            <w:noWrap/>
            <w:hideMark/>
          </w:tcPr>
          <w:p w:rsidR="00102B74" w:rsidRPr="00102B74" w:rsidRDefault="00102B74" w:rsidP="00102B74">
            <w:pPr>
              <w:jc w:val="center"/>
              <w:rPr>
                <w:b/>
                <w:i/>
                <w:color w:val="0D0D0D"/>
              </w:rPr>
            </w:pPr>
            <w:r w:rsidRPr="00102B74">
              <w:rPr>
                <w:b/>
                <w:i/>
                <w:color w:val="0D0D0D"/>
              </w:rPr>
              <w:t>14.07%</w:t>
            </w:r>
          </w:p>
        </w:tc>
      </w:tr>
      <w:tr w:rsidR="00102B74" w:rsidRPr="00BD1E88" w:rsidTr="004C5FC9">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102B74" w:rsidRPr="00BD1E88" w:rsidRDefault="00102B74"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0.40%</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0.25%</w:t>
            </w:r>
          </w:p>
        </w:tc>
        <w:tc>
          <w:tcPr>
            <w:tcW w:w="715" w:type="pct"/>
            <w:tcBorders>
              <w:top w:val="nil"/>
              <w:left w:val="nil"/>
              <w:bottom w:val="single" w:sz="8" w:space="0" w:color="auto"/>
              <w:right w:val="single" w:sz="8" w:space="0" w:color="auto"/>
            </w:tcBorders>
            <w:shd w:val="clear" w:color="auto" w:fill="auto"/>
            <w:noWrap/>
            <w:hideMark/>
          </w:tcPr>
          <w:p w:rsidR="00102B74" w:rsidRPr="00102B74" w:rsidRDefault="00102B74" w:rsidP="00102B74">
            <w:pPr>
              <w:jc w:val="center"/>
              <w:rPr>
                <w:b/>
                <w:i/>
                <w:color w:val="0D0D0D"/>
              </w:rPr>
            </w:pPr>
            <w:r w:rsidRPr="00102B74">
              <w:rPr>
                <w:b/>
                <w:i/>
                <w:color w:val="0D0D0D"/>
              </w:rPr>
              <w:t>0.15%</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13.26%</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10.76%</w:t>
            </w:r>
          </w:p>
        </w:tc>
        <w:tc>
          <w:tcPr>
            <w:tcW w:w="715" w:type="pct"/>
            <w:tcBorders>
              <w:top w:val="nil"/>
              <w:left w:val="nil"/>
              <w:bottom w:val="single" w:sz="8" w:space="0" w:color="auto"/>
              <w:right w:val="single" w:sz="8" w:space="0" w:color="auto"/>
            </w:tcBorders>
            <w:shd w:val="clear" w:color="auto" w:fill="auto"/>
            <w:noWrap/>
            <w:hideMark/>
          </w:tcPr>
          <w:p w:rsidR="00102B74" w:rsidRPr="00102B74" w:rsidRDefault="00102B74" w:rsidP="00102B74">
            <w:pPr>
              <w:jc w:val="center"/>
              <w:rPr>
                <w:b/>
                <w:i/>
                <w:color w:val="0D0D0D"/>
              </w:rPr>
            </w:pPr>
            <w:r w:rsidRPr="00102B74">
              <w:rPr>
                <w:b/>
                <w:i/>
                <w:color w:val="0D0D0D"/>
              </w:rPr>
              <w:t>2.50%</w:t>
            </w:r>
          </w:p>
        </w:tc>
      </w:tr>
      <w:tr w:rsidR="0092248F" w:rsidRPr="00BD1E88" w:rsidTr="008E0A57">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92248F" w:rsidRPr="00BD1E88" w:rsidRDefault="0092248F" w:rsidP="00265082">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92248F" w:rsidRPr="00BD1E88" w:rsidRDefault="0092248F" w:rsidP="00535E3C">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w:t>
            </w:r>
            <w:r w:rsidR="00535E3C">
              <w:rPr>
                <w:rFonts w:ascii="楷体_GB2312" w:eastAsia="楷体_GB2312" w:hAnsi="宋体" w:cs="宋体" w:hint="eastAsia"/>
                <w:b/>
                <w:bCs/>
                <w:color w:val="FFFFFF"/>
                <w:kern w:val="0"/>
                <w:szCs w:val="21"/>
              </w:rPr>
              <w:t>4</w:t>
            </w:r>
            <w:r>
              <w:rPr>
                <w:rFonts w:ascii="楷体_GB2312" w:eastAsia="楷体_GB2312" w:hAnsi="宋体" w:cs="宋体" w:hint="eastAsia"/>
                <w:b/>
                <w:bCs/>
                <w:color w:val="FFFFFF"/>
                <w:kern w:val="0"/>
                <w:szCs w:val="21"/>
              </w:rPr>
              <w:t>年</w:t>
            </w:r>
            <w:r w:rsidR="00535E3C">
              <w:rPr>
                <w:rFonts w:ascii="楷体_GB2312" w:eastAsia="楷体_GB2312" w:hAnsi="宋体" w:cs="宋体" w:hint="eastAsia"/>
                <w:b/>
                <w:bCs/>
                <w:color w:val="FFFFFF"/>
                <w:kern w:val="0"/>
                <w:szCs w:val="21"/>
              </w:rPr>
              <w:t>以来</w:t>
            </w:r>
          </w:p>
        </w:tc>
        <w:tc>
          <w:tcPr>
            <w:tcW w:w="2143" w:type="pct"/>
            <w:gridSpan w:val="3"/>
            <w:tcBorders>
              <w:top w:val="nil"/>
              <w:left w:val="nil"/>
              <w:bottom w:val="nil"/>
              <w:right w:val="nil"/>
            </w:tcBorders>
            <w:shd w:val="clear" w:color="000000" w:fill="666699"/>
            <w:noWrap/>
            <w:vAlign w:val="bottom"/>
            <w:hideMark/>
          </w:tcPr>
          <w:p w:rsidR="0092248F" w:rsidRPr="00BD1E88" w:rsidRDefault="00535E3C" w:rsidP="00254CD8">
            <w:pPr>
              <w:widowControl/>
              <w:jc w:val="center"/>
              <w:rPr>
                <w:rFonts w:ascii="楷体_GB2312" w:eastAsia="楷体_GB2312" w:hAnsi="宋体" w:cs="宋体"/>
                <w:b/>
                <w:bCs/>
                <w:color w:val="FFFFFF"/>
                <w:kern w:val="0"/>
                <w:szCs w:val="21"/>
              </w:rPr>
            </w:pPr>
            <w:r>
              <w:rPr>
                <w:rFonts w:ascii="楷体_GB2312" w:eastAsia="楷体_GB2312" w:hAnsi="宋体" w:cs="宋体" w:hint="eastAsia"/>
                <w:b/>
                <w:bCs/>
                <w:color w:val="FFFFFF"/>
                <w:kern w:val="0"/>
                <w:szCs w:val="21"/>
              </w:rPr>
              <w:t>2013年全年</w:t>
            </w:r>
          </w:p>
        </w:tc>
      </w:tr>
      <w:tr w:rsidR="00F04A01" w:rsidRPr="00BD1E88" w:rsidTr="00195F1F">
        <w:trPr>
          <w:trHeight w:val="300"/>
        </w:trPr>
        <w:tc>
          <w:tcPr>
            <w:tcW w:w="714" w:type="pct"/>
            <w:vMerge/>
            <w:tcBorders>
              <w:top w:val="nil"/>
              <w:left w:val="single" w:sz="8" w:space="0" w:color="auto"/>
              <w:bottom w:val="single" w:sz="8" w:space="0" w:color="000000"/>
              <w:right w:val="single" w:sz="8" w:space="0" w:color="auto"/>
            </w:tcBorders>
            <w:vAlign w:val="center"/>
            <w:hideMark/>
          </w:tcPr>
          <w:p w:rsidR="00F04A01" w:rsidRPr="00BD1E88" w:rsidRDefault="00F04A01" w:rsidP="00265082">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7C7F38">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F04A01" w:rsidRPr="00BD1E88" w:rsidRDefault="00F04A01" w:rsidP="00265082">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102B74" w:rsidRPr="00BD1E88" w:rsidTr="00254CD8">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102B74" w:rsidRPr="00BD1E88" w:rsidRDefault="00102B74"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2B74" w:rsidRPr="00102B74" w:rsidRDefault="00102B74" w:rsidP="00102B74">
            <w:pPr>
              <w:jc w:val="center"/>
              <w:rPr>
                <w:i/>
                <w:color w:val="FF0000"/>
              </w:rPr>
            </w:pPr>
            <w:r w:rsidRPr="00102B74">
              <w:rPr>
                <w:rFonts w:hint="eastAsia"/>
                <w:i/>
                <w:color w:val="FF0000"/>
              </w:rPr>
              <w:t>-3.55%</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102B74" w:rsidRPr="00102B74" w:rsidRDefault="00102B74" w:rsidP="00102B74">
            <w:pPr>
              <w:jc w:val="center"/>
              <w:rPr>
                <w:i/>
                <w:color w:val="FF0000"/>
              </w:rPr>
            </w:pPr>
            <w:r w:rsidRPr="00102B74">
              <w:rPr>
                <w:rFonts w:hint="eastAsia"/>
                <w:i/>
                <w:color w:val="FF0000"/>
              </w:rPr>
              <w:t>-4.66%</w:t>
            </w:r>
          </w:p>
        </w:tc>
        <w:tc>
          <w:tcPr>
            <w:tcW w:w="715"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b/>
                <w:i/>
                <w:color w:val="0D0D0D"/>
              </w:rPr>
            </w:pPr>
            <w:r w:rsidRPr="00102B74">
              <w:rPr>
                <w:rFonts w:hint="eastAsia"/>
                <w:b/>
                <w:i/>
                <w:color w:val="0D0D0D"/>
              </w:rPr>
              <w:t>0.23%</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2D0839" w:rsidRDefault="00102B74" w:rsidP="002D0839">
            <w:pPr>
              <w:jc w:val="center"/>
              <w:rPr>
                <w:rFonts w:ascii="宋体" w:hAnsi="宋体" w:cs="宋体"/>
                <w:i/>
                <w:color w:val="0D0D0D"/>
                <w:sz w:val="24"/>
              </w:rPr>
            </w:pPr>
            <w:r w:rsidRPr="002D0839">
              <w:rPr>
                <w:rFonts w:hint="eastAsia"/>
                <w:i/>
                <w:color w:val="0D0D0D"/>
              </w:rPr>
              <w:t>30.22%</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2D0839" w:rsidRDefault="00102B74" w:rsidP="002D0839">
            <w:pPr>
              <w:jc w:val="center"/>
              <w:rPr>
                <w:rFonts w:ascii="宋体" w:hAnsi="宋体" w:cs="宋体"/>
                <w:i/>
                <w:color w:val="0D0D0D"/>
                <w:sz w:val="24"/>
              </w:rPr>
            </w:pPr>
            <w:r w:rsidRPr="002D0839">
              <w:rPr>
                <w:rFonts w:hint="eastAsia"/>
                <w:i/>
                <w:color w:val="0D0D0D"/>
              </w:rPr>
              <w:t>12.99%</w:t>
            </w:r>
          </w:p>
        </w:tc>
        <w:tc>
          <w:tcPr>
            <w:tcW w:w="715" w:type="pct"/>
            <w:tcBorders>
              <w:top w:val="nil"/>
              <w:left w:val="nil"/>
              <w:bottom w:val="single" w:sz="8" w:space="0" w:color="auto"/>
              <w:right w:val="single" w:sz="8" w:space="0" w:color="auto"/>
            </w:tcBorders>
            <w:shd w:val="clear" w:color="auto" w:fill="auto"/>
            <w:noWrap/>
            <w:vAlign w:val="bottom"/>
            <w:hideMark/>
          </w:tcPr>
          <w:p w:rsidR="00102B74" w:rsidRPr="002D0839" w:rsidRDefault="00102B74" w:rsidP="002D0839">
            <w:pPr>
              <w:jc w:val="center"/>
              <w:rPr>
                <w:rFonts w:ascii="宋体" w:hAnsi="宋体" w:cs="宋体"/>
                <w:b/>
                <w:i/>
                <w:color w:val="0D0D0D"/>
                <w:sz w:val="24"/>
              </w:rPr>
            </w:pPr>
            <w:r w:rsidRPr="002D0839">
              <w:rPr>
                <w:rFonts w:hint="eastAsia"/>
                <w:b/>
                <w:i/>
                <w:color w:val="0D0D0D"/>
              </w:rPr>
              <w:t>15.93%</w:t>
            </w:r>
          </w:p>
        </w:tc>
      </w:tr>
      <w:tr w:rsidR="00102B74"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102B74" w:rsidRPr="00BD1E88" w:rsidRDefault="00102B74"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0.27%</w:t>
            </w:r>
          </w:p>
        </w:tc>
        <w:tc>
          <w:tcPr>
            <w:tcW w:w="714" w:type="pct"/>
            <w:tcBorders>
              <w:top w:val="nil"/>
              <w:left w:val="nil"/>
              <w:bottom w:val="single" w:sz="4" w:space="0" w:color="auto"/>
              <w:right w:val="single" w:sz="4" w:space="0" w:color="auto"/>
            </w:tcBorders>
            <w:shd w:val="clear" w:color="auto" w:fill="auto"/>
            <w:noWrap/>
            <w:vAlign w:val="bottom"/>
            <w:hideMark/>
          </w:tcPr>
          <w:p w:rsidR="00102B74" w:rsidRPr="00102B74" w:rsidRDefault="00102B74" w:rsidP="00102B74">
            <w:pPr>
              <w:jc w:val="center"/>
              <w:rPr>
                <w:i/>
                <w:color w:val="FF0000"/>
              </w:rPr>
            </w:pPr>
            <w:r w:rsidRPr="00102B74">
              <w:rPr>
                <w:rFonts w:hint="eastAsia"/>
                <w:i/>
                <w:color w:val="FF0000"/>
              </w:rPr>
              <w:t>-1.13%</w:t>
            </w:r>
          </w:p>
        </w:tc>
        <w:tc>
          <w:tcPr>
            <w:tcW w:w="715"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b/>
                <w:i/>
                <w:color w:val="0D0D0D"/>
              </w:rPr>
            </w:pPr>
            <w:r w:rsidRPr="00102B74">
              <w:rPr>
                <w:rFonts w:hint="eastAsia"/>
                <w:b/>
                <w:i/>
                <w:color w:val="0D0D0D"/>
              </w:rPr>
              <w:t>0.74%</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2D0839" w:rsidRDefault="00102B74" w:rsidP="002D0839">
            <w:pPr>
              <w:jc w:val="center"/>
              <w:rPr>
                <w:rFonts w:ascii="宋体" w:hAnsi="宋体" w:cs="宋体"/>
                <w:i/>
                <w:color w:val="0D0D0D"/>
                <w:sz w:val="24"/>
              </w:rPr>
            </w:pPr>
            <w:r w:rsidRPr="002D0839">
              <w:rPr>
                <w:rFonts w:hint="eastAsia"/>
                <w:i/>
                <w:color w:val="0D0D0D"/>
              </w:rPr>
              <w:t>9.98%</w:t>
            </w:r>
          </w:p>
        </w:tc>
        <w:tc>
          <w:tcPr>
            <w:tcW w:w="714" w:type="pct"/>
            <w:tcBorders>
              <w:top w:val="nil"/>
              <w:left w:val="nil"/>
              <w:bottom w:val="single" w:sz="8" w:space="0" w:color="auto"/>
              <w:right w:val="single" w:sz="8" w:space="0" w:color="auto"/>
            </w:tcBorders>
            <w:shd w:val="clear" w:color="auto" w:fill="auto"/>
            <w:noWrap/>
            <w:vAlign w:val="bottom"/>
            <w:hideMark/>
          </w:tcPr>
          <w:p w:rsidR="00102B74" w:rsidRPr="002D0839" w:rsidRDefault="00102B74" w:rsidP="002D0839">
            <w:pPr>
              <w:jc w:val="center"/>
              <w:rPr>
                <w:rFonts w:ascii="宋体" w:hAnsi="宋体" w:cs="宋体"/>
                <w:i/>
                <w:color w:val="0D0D0D"/>
                <w:sz w:val="24"/>
              </w:rPr>
            </w:pPr>
            <w:r w:rsidRPr="002D0839">
              <w:rPr>
                <w:rFonts w:hint="eastAsia"/>
                <w:i/>
                <w:color w:val="0D0D0D"/>
              </w:rPr>
              <w:t>8.27%</w:t>
            </w:r>
          </w:p>
        </w:tc>
        <w:tc>
          <w:tcPr>
            <w:tcW w:w="715" w:type="pct"/>
            <w:tcBorders>
              <w:top w:val="nil"/>
              <w:left w:val="nil"/>
              <w:bottom w:val="single" w:sz="8" w:space="0" w:color="auto"/>
              <w:right w:val="single" w:sz="8" w:space="0" w:color="auto"/>
            </w:tcBorders>
            <w:shd w:val="clear" w:color="auto" w:fill="auto"/>
            <w:noWrap/>
            <w:vAlign w:val="bottom"/>
            <w:hideMark/>
          </w:tcPr>
          <w:p w:rsidR="00102B74" w:rsidRPr="002D0839" w:rsidRDefault="00102B74" w:rsidP="002D0839">
            <w:pPr>
              <w:jc w:val="center"/>
              <w:rPr>
                <w:rFonts w:ascii="宋体" w:hAnsi="宋体" w:cs="宋体"/>
                <w:b/>
                <w:i/>
                <w:color w:val="0D0D0D"/>
                <w:sz w:val="24"/>
              </w:rPr>
            </w:pPr>
            <w:r w:rsidRPr="002D0839">
              <w:rPr>
                <w:rFonts w:hint="eastAsia"/>
                <w:b/>
                <w:i/>
                <w:color w:val="0D0D0D"/>
              </w:rPr>
              <w:t>1.49%</w:t>
            </w:r>
          </w:p>
        </w:tc>
      </w:tr>
      <w:tr w:rsidR="00102B74" w:rsidRPr="00BD1E88" w:rsidTr="0092248F">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102B74" w:rsidRPr="00BD1E88" w:rsidRDefault="00102B74" w:rsidP="00265082">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1.76%</w:t>
            </w:r>
          </w:p>
        </w:tc>
        <w:tc>
          <w:tcPr>
            <w:tcW w:w="714" w:type="pct"/>
            <w:tcBorders>
              <w:top w:val="nil"/>
              <w:left w:val="nil"/>
              <w:bottom w:val="single" w:sz="4" w:space="0" w:color="auto"/>
              <w:right w:val="single" w:sz="4" w:space="0" w:color="auto"/>
            </w:tcBorders>
            <w:shd w:val="clear" w:color="auto" w:fill="auto"/>
            <w:noWrap/>
            <w:vAlign w:val="bottom"/>
            <w:hideMark/>
          </w:tcPr>
          <w:p w:rsidR="00102B74" w:rsidRPr="00102B74" w:rsidRDefault="00102B74" w:rsidP="00102B74">
            <w:pPr>
              <w:jc w:val="center"/>
              <w:rPr>
                <w:i/>
                <w:color w:val="0D0D0D"/>
              </w:rPr>
            </w:pPr>
            <w:r w:rsidRPr="00102B74">
              <w:rPr>
                <w:rFonts w:hint="eastAsia"/>
                <w:i/>
                <w:color w:val="0D0D0D"/>
              </w:rPr>
              <w:t>1.00%</w:t>
            </w:r>
          </w:p>
        </w:tc>
        <w:tc>
          <w:tcPr>
            <w:tcW w:w="715" w:type="pct"/>
            <w:tcBorders>
              <w:top w:val="nil"/>
              <w:left w:val="nil"/>
              <w:bottom w:val="single" w:sz="8" w:space="0" w:color="auto"/>
              <w:right w:val="single" w:sz="8" w:space="0" w:color="auto"/>
            </w:tcBorders>
            <w:shd w:val="clear" w:color="auto" w:fill="auto"/>
            <w:noWrap/>
            <w:vAlign w:val="bottom"/>
            <w:hideMark/>
          </w:tcPr>
          <w:p w:rsidR="00102B74" w:rsidRPr="00102B74" w:rsidRDefault="00102B74" w:rsidP="00102B74">
            <w:pPr>
              <w:jc w:val="center"/>
              <w:rPr>
                <w:b/>
                <w:i/>
                <w:color w:val="0D0D0D"/>
              </w:rPr>
            </w:pPr>
            <w:r w:rsidRPr="00102B74">
              <w:rPr>
                <w:rFonts w:hint="eastAsia"/>
                <w:b/>
                <w:i/>
                <w:color w:val="0D0D0D"/>
              </w:rPr>
              <w:t>0.60%</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102B74" w:rsidRPr="002D0839" w:rsidRDefault="00102B74" w:rsidP="002D0839">
            <w:pPr>
              <w:jc w:val="center"/>
              <w:rPr>
                <w:rFonts w:ascii="宋体" w:hAnsi="宋体" w:cs="宋体"/>
                <w:i/>
                <w:color w:val="0D0D0D"/>
                <w:sz w:val="24"/>
              </w:rPr>
            </w:pPr>
            <w:r w:rsidRPr="002D0839">
              <w:rPr>
                <w:rFonts w:hint="eastAsia"/>
                <w:i/>
                <w:color w:val="0D0D0D"/>
              </w:rPr>
              <w:t>2.96%</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102B74" w:rsidRPr="002D0839" w:rsidRDefault="00102B74" w:rsidP="002D0839">
            <w:pPr>
              <w:jc w:val="center"/>
              <w:rPr>
                <w:rFonts w:ascii="宋体" w:hAnsi="宋体" w:cs="宋体"/>
                <w:i/>
                <w:color w:val="0D0D0D"/>
                <w:sz w:val="24"/>
              </w:rPr>
            </w:pPr>
            <w:r w:rsidRPr="002D0839">
              <w:rPr>
                <w:rFonts w:hint="eastAsia"/>
                <w:i/>
                <w:color w:val="0D0D0D"/>
              </w:rPr>
              <w:t>3.08%</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102B74" w:rsidRPr="002D0839" w:rsidRDefault="00102B74" w:rsidP="002D0839">
            <w:pPr>
              <w:jc w:val="center"/>
              <w:rPr>
                <w:rFonts w:ascii="宋体" w:hAnsi="宋体" w:cs="宋体"/>
                <w:b/>
                <w:i/>
                <w:color w:val="0D0D0D"/>
                <w:sz w:val="24"/>
              </w:rPr>
            </w:pPr>
            <w:r w:rsidRPr="002D0839">
              <w:rPr>
                <w:rFonts w:hint="eastAsia"/>
                <w:b/>
                <w:i/>
                <w:color w:val="FF0000"/>
              </w:rPr>
              <w:t>-0.12%</w:t>
            </w:r>
          </w:p>
        </w:tc>
      </w:tr>
      <w:tr w:rsidR="00535E3C" w:rsidRPr="00BD1E88" w:rsidTr="00535E3C">
        <w:trPr>
          <w:trHeight w:val="285"/>
        </w:trPr>
        <w:tc>
          <w:tcPr>
            <w:tcW w:w="714" w:type="pct"/>
            <w:vMerge w:val="restart"/>
            <w:tcBorders>
              <w:top w:val="nil"/>
              <w:left w:val="single" w:sz="8" w:space="0" w:color="auto"/>
              <w:bottom w:val="single" w:sz="8" w:space="0" w:color="000000"/>
              <w:right w:val="single" w:sz="8" w:space="0" w:color="auto"/>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组合类型</w:t>
            </w:r>
          </w:p>
        </w:tc>
        <w:tc>
          <w:tcPr>
            <w:tcW w:w="2143" w:type="pct"/>
            <w:gridSpan w:val="3"/>
            <w:tcBorders>
              <w:top w:val="nil"/>
              <w:left w:val="nil"/>
              <w:bottom w:val="nil"/>
              <w:right w:val="single" w:sz="8" w:space="0" w:color="000000"/>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2012年全年</w:t>
            </w:r>
          </w:p>
        </w:tc>
        <w:tc>
          <w:tcPr>
            <w:tcW w:w="2143" w:type="pct"/>
            <w:gridSpan w:val="3"/>
            <w:tcBorders>
              <w:top w:val="nil"/>
              <w:left w:val="nil"/>
              <w:bottom w:val="nil"/>
              <w:right w:val="nil"/>
            </w:tcBorders>
            <w:shd w:val="clear" w:color="000000" w:fill="666699"/>
            <w:noWrap/>
            <w:vAlign w:val="bottom"/>
            <w:hideMark/>
          </w:tcPr>
          <w:p w:rsidR="00535E3C" w:rsidRPr="00BD1E88" w:rsidRDefault="00535E3C" w:rsidP="00535E3C">
            <w:pPr>
              <w:widowControl/>
              <w:jc w:val="center"/>
              <w:rPr>
                <w:rFonts w:ascii="楷体_GB2312" w:eastAsia="楷体_GB2312" w:hAnsi="宋体" w:cs="宋体"/>
                <w:b/>
                <w:bCs/>
                <w:color w:val="FFFFFF"/>
                <w:kern w:val="0"/>
                <w:szCs w:val="21"/>
              </w:rPr>
            </w:pPr>
            <w:r w:rsidRPr="00BD1E88">
              <w:rPr>
                <w:rFonts w:ascii="楷体_GB2312" w:eastAsia="楷体_GB2312" w:hAnsi="宋体" w:cs="宋体" w:hint="eastAsia"/>
                <w:b/>
                <w:bCs/>
                <w:color w:val="FFFFFF"/>
                <w:kern w:val="0"/>
                <w:szCs w:val="21"/>
              </w:rPr>
              <w:t>2011年2月至2011年1</w:t>
            </w:r>
            <w:r>
              <w:rPr>
                <w:rFonts w:ascii="楷体_GB2312" w:eastAsia="楷体_GB2312" w:hAnsi="宋体" w:cs="宋体" w:hint="eastAsia"/>
                <w:b/>
                <w:bCs/>
                <w:color w:val="FFFFFF"/>
                <w:kern w:val="0"/>
                <w:szCs w:val="21"/>
              </w:rPr>
              <w:t>2</w:t>
            </w:r>
            <w:r w:rsidRPr="00BD1E88">
              <w:rPr>
                <w:rFonts w:ascii="楷体_GB2312" w:eastAsia="楷体_GB2312" w:hAnsi="宋体" w:cs="宋体" w:hint="eastAsia"/>
                <w:b/>
                <w:bCs/>
                <w:color w:val="FFFFFF"/>
                <w:kern w:val="0"/>
                <w:szCs w:val="21"/>
              </w:rPr>
              <w:t>月</w:t>
            </w:r>
          </w:p>
        </w:tc>
      </w:tr>
      <w:tr w:rsidR="00535E3C" w:rsidRPr="00BD1E88" w:rsidTr="00535E3C">
        <w:trPr>
          <w:trHeight w:val="300"/>
        </w:trPr>
        <w:tc>
          <w:tcPr>
            <w:tcW w:w="714" w:type="pct"/>
            <w:vMerge/>
            <w:tcBorders>
              <w:top w:val="nil"/>
              <w:left w:val="single" w:sz="8" w:space="0" w:color="auto"/>
              <w:bottom w:val="single" w:sz="8" w:space="0" w:color="000000"/>
              <w:right w:val="single" w:sz="8" w:space="0" w:color="auto"/>
            </w:tcBorders>
            <w:vAlign w:val="center"/>
            <w:hideMark/>
          </w:tcPr>
          <w:p w:rsidR="00535E3C" w:rsidRPr="00BD1E88" w:rsidRDefault="00535E3C" w:rsidP="00535E3C">
            <w:pPr>
              <w:widowControl/>
              <w:jc w:val="left"/>
              <w:rPr>
                <w:rFonts w:ascii="楷体_GB2312" w:eastAsia="楷体_GB2312" w:hAnsi="宋体" w:cs="宋体"/>
                <w:b/>
                <w:bCs/>
                <w:color w:val="FFFFFF"/>
                <w:kern w:val="0"/>
                <w:szCs w:val="21"/>
              </w:rPr>
            </w:pP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组合业绩</w:t>
            </w:r>
          </w:p>
        </w:tc>
        <w:tc>
          <w:tcPr>
            <w:tcW w:w="714"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基准业绩</w:t>
            </w:r>
          </w:p>
        </w:tc>
        <w:tc>
          <w:tcPr>
            <w:tcW w:w="715" w:type="pct"/>
            <w:tcBorders>
              <w:top w:val="nil"/>
              <w:left w:val="nil"/>
              <w:bottom w:val="single" w:sz="8" w:space="0" w:color="auto"/>
              <w:right w:val="single" w:sz="8" w:space="0" w:color="auto"/>
            </w:tcBorders>
            <w:shd w:val="clear" w:color="000000" w:fill="FFCC00"/>
            <w:noWrap/>
            <w:hideMark/>
          </w:tcPr>
          <w:p w:rsidR="00535E3C" w:rsidRPr="00BD1E88" w:rsidRDefault="00535E3C" w:rsidP="00535E3C">
            <w:pPr>
              <w:widowControl/>
              <w:jc w:val="center"/>
              <w:rPr>
                <w:rFonts w:ascii="楷体_GB2312" w:eastAsia="楷体_GB2312" w:hAnsi="宋体" w:cs="宋体"/>
                <w:color w:val="000000"/>
                <w:kern w:val="0"/>
                <w:szCs w:val="21"/>
              </w:rPr>
            </w:pPr>
            <w:r w:rsidRPr="00BD1E88">
              <w:rPr>
                <w:rFonts w:ascii="楷体_GB2312" w:eastAsia="楷体_GB2312" w:hAnsi="宋体" w:cs="宋体" w:hint="eastAsia"/>
                <w:color w:val="000000"/>
                <w:kern w:val="0"/>
                <w:szCs w:val="21"/>
              </w:rPr>
              <w:t>超越基准</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积极型</w:t>
            </w:r>
          </w:p>
        </w:tc>
        <w:tc>
          <w:tcPr>
            <w:tcW w:w="7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7.57%</w:t>
            </w:r>
          </w:p>
        </w:tc>
        <w:tc>
          <w:tcPr>
            <w:tcW w:w="714" w:type="pct"/>
            <w:tcBorders>
              <w:top w:val="single" w:sz="4" w:space="0" w:color="auto"/>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4.95%</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2.43%</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-14.96%</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-19.25%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4.29%</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平衡型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11.89%</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6.28%</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5.19%</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-6.50%</w:t>
            </w:r>
          </w:p>
        </w:tc>
        <w:tc>
          <w:tcPr>
            <w:tcW w:w="714"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FF0000"/>
                <w:szCs w:val="21"/>
              </w:rPr>
              <w:t>-10.95%</w:t>
            </w:r>
          </w:p>
        </w:tc>
        <w:tc>
          <w:tcPr>
            <w:tcW w:w="715" w:type="pct"/>
            <w:tcBorders>
              <w:top w:val="nil"/>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4.45%</w:t>
            </w:r>
          </w:p>
        </w:tc>
      </w:tr>
      <w:tr w:rsidR="00535E3C" w:rsidRPr="007E4F1C" w:rsidTr="00535E3C">
        <w:trPr>
          <w:trHeight w:val="315"/>
        </w:trPr>
        <w:tc>
          <w:tcPr>
            <w:tcW w:w="714" w:type="pct"/>
            <w:tcBorders>
              <w:top w:val="nil"/>
              <w:left w:val="single" w:sz="8" w:space="0" w:color="auto"/>
              <w:bottom w:val="single" w:sz="8" w:space="0" w:color="auto"/>
              <w:right w:val="single" w:sz="8" w:space="0" w:color="auto"/>
            </w:tcBorders>
            <w:shd w:val="clear" w:color="000000" w:fill="CCFFCC"/>
            <w:vAlign w:val="bottom"/>
            <w:hideMark/>
          </w:tcPr>
          <w:p w:rsidR="00535E3C" w:rsidRPr="00BD1E88" w:rsidRDefault="00535E3C" w:rsidP="00535E3C">
            <w:pPr>
              <w:widowControl/>
              <w:jc w:val="center"/>
              <w:rPr>
                <w:rFonts w:ascii="楷体_GB2312" w:eastAsia="楷体_GB2312" w:hAnsi="宋体" w:cs="宋体"/>
                <w:b/>
                <w:bCs/>
                <w:color w:val="000000"/>
                <w:kern w:val="0"/>
                <w:szCs w:val="21"/>
              </w:rPr>
            </w:pPr>
            <w:r w:rsidRPr="00BD1E88">
              <w:rPr>
                <w:rFonts w:ascii="楷体_GB2312" w:eastAsia="楷体_GB2312" w:hAnsi="宋体" w:cs="宋体" w:hint="eastAsia"/>
                <w:b/>
                <w:bCs/>
                <w:color w:val="000000"/>
                <w:kern w:val="0"/>
                <w:szCs w:val="21"/>
              </w:rPr>
              <w:t>稳健型</w:t>
            </w:r>
          </w:p>
        </w:tc>
        <w:tc>
          <w:tcPr>
            <w:tcW w:w="714" w:type="pct"/>
            <w:tcBorders>
              <w:top w:val="nil"/>
              <w:left w:val="single" w:sz="4" w:space="0" w:color="auto"/>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4.70%</w:t>
            </w:r>
          </w:p>
        </w:tc>
        <w:tc>
          <w:tcPr>
            <w:tcW w:w="714" w:type="pct"/>
            <w:tcBorders>
              <w:top w:val="nil"/>
              <w:left w:val="nil"/>
              <w:bottom w:val="single" w:sz="4" w:space="0" w:color="auto"/>
              <w:right w:val="single" w:sz="4"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3.34%</w:t>
            </w:r>
          </w:p>
        </w:tc>
        <w:tc>
          <w:tcPr>
            <w:tcW w:w="715" w:type="pct"/>
            <w:tcBorders>
              <w:top w:val="nil"/>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b/>
                <w:i/>
                <w:color w:val="0D0D0D"/>
                <w:szCs w:val="21"/>
              </w:rPr>
            </w:pPr>
            <w:r w:rsidRPr="007E4F1C">
              <w:rPr>
                <w:rFonts w:hint="eastAsia"/>
                <w:b/>
                <w:i/>
                <w:color w:val="0D0D0D"/>
                <w:szCs w:val="21"/>
              </w:rPr>
              <w:t>1.32%</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3.24%</w:t>
            </w:r>
          </w:p>
        </w:tc>
        <w:tc>
          <w:tcPr>
            <w:tcW w:w="714" w:type="pct"/>
            <w:tcBorders>
              <w:top w:val="single" w:sz="8" w:space="0" w:color="auto"/>
              <w:left w:val="nil"/>
              <w:bottom w:val="single" w:sz="8" w:space="0" w:color="auto"/>
              <w:right w:val="single" w:sz="8" w:space="0" w:color="auto"/>
            </w:tcBorders>
            <w:shd w:val="clear" w:color="auto" w:fill="auto"/>
            <w:noWrap/>
            <w:vAlign w:val="bottom"/>
            <w:hideMark/>
          </w:tcPr>
          <w:p w:rsidR="00535E3C" w:rsidRPr="007E4F1C" w:rsidRDefault="00535E3C" w:rsidP="00535E3C">
            <w:pPr>
              <w:jc w:val="center"/>
              <w:rPr>
                <w:rFonts w:ascii="宋体" w:hAnsi="宋体" w:cs="宋体"/>
                <w:i/>
                <w:color w:val="0D0D0D"/>
                <w:szCs w:val="21"/>
              </w:rPr>
            </w:pPr>
            <w:r w:rsidRPr="007E4F1C">
              <w:rPr>
                <w:rFonts w:hint="eastAsia"/>
                <w:i/>
                <w:color w:val="0D0D0D"/>
                <w:szCs w:val="21"/>
              </w:rPr>
              <w:t>3.18%</w:t>
            </w:r>
          </w:p>
        </w:tc>
        <w:tc>
          <w:tcPr>
            <w:tcW w:w="715" w:type="pct"/>
            <w:tcBorders>
              <w:top w:val="single" w:sz="8" w:space="0" w:color="auto"/>
              <w:left w:val="nil"/>
              <w:bottom w:val="single" w:sz="8" w:space="0" w:color="auto"/>
              <w:right w:val="single" w:sz="8" w:space="0" w:color="auto"/>
            </w:tcBorders>
            <w:shd w:val="clear" w:color="auto" w:fill="auto"/>
            <w:noWrap/>
            <w:hideMark/>
          </w:tcPr>
          <w:p w:rsidR="00535E3C" w:rsidRPr="007E4F1C" w:rsidRDefault="00535E3C" w:rsidP="00535E3C">
            <w:pPr>
              <w:jc w:val="center"/>
              <w:rPr>
                <w:b/>
                <w:i/>
                <w:color w:val="0D0D0D"/>
                <w:szCs w:val="21"/>
              </w:rPr>
            </w:pPr>
            <w:r w:rsidRPr="007E4F1C">
              <w:rPr>
                <w:b/>
                <w:i/>
                <w:color w:val="0D0D0D"/>
                <w:szCs w:val="21"/>
              </w:rPr>
              <w:t>0.06%</w:t>
            </w:r>
          </w:p>
        </w:tc>
      </w:tr>
    </w:tbl>
    <w:p w:rsidR="008E0A57" w:rsidRDefault="008E0A57" w:rsidP="008E0A57">
      <w:pPr>
        <w:keepLines/>
        <w:adjustRightInd w:val="0"/>
        <w:snapToGrid w:val="0"/>
        <w:jc w:val="left"/>
        <w:rPr>
          <w:rFonts w:ascii="楷体_GB2312" w:eastAsia="楷体_GB2312"/>
          <w:noProof/>
        </w:rPr>
      </w:pPr>
      <w:r>
        <w:rPr>
          <w:rFonts w:ascii="楷体_GB2312" w:eastAsia="楷体_GB2312" w:hint="eastAsia"/>
          <w:noProof/>
        </w:rPr>
        <w:t>注：数据截至</w:t>
      </w:r>
      <w:r w:rsidRPr="00CD771C">
        <w:rPr>
          <w:rFonts w:ascii="楷体_GB2312" w:eastAsia="楷体_GB2312" w:hint="eastAsia"/>
          <w:noProof/>
        </w:rPr>
        <w:t>201</w:t>
      </w:r>
      <w:r w:rsidR="00C33FBF">
        <w:rPr>
          <w:rFonts w:ascii="楷体_GB2312" w:eastAsia="楷体_GB2312" w:hint="eastAsia"/>
          <w:noProof/>
        </w:rPr>
        <w:t>4</w:t>
      </w:r>
      <w:r w:rsidRPr="00CD771C">
        <w:rPr>
          <w:rFonts w:ascii="楷体_GB2312" w:eastAsia="楷体_GB2312" w:hint="eastAsia"/>
          <w:noProof/>
        </w:rPr>
        <w:t>年</w:t>
      </w:r>
      <w:r w:rsidR="00404984">
        <w:rPr>
          <w:rFonts w:ascii="楷体_GB2312" w:eastAsia="楷体_GB2312" w:hint="eastAsia"/>
          <w:noProof/>
        </w:rPr>
        <w:t>4</w:t>
      </w:r>
      <w:r w:rsidRPr="00CD771C">
        <w:rPr>
          <w:rFonts w:ascii="楷体_GB2312" w:eastAsia="楷体_GB2312" w:hint="eastAsia"/>
          <w:noProof/>
        </w:rPr>
        <w:t>月</w:t>
      </w:r>
      <w:r w:rsidR="00404984">
        <w:rPr>
          <w:rFonts w:ascii="楷体_GB2312" w:eastAsia="楷体_GB2312" w:hint="eastAsia"/>
          <w:noProof/>
        </w:rPr>
        <w:t>30</w:t>
      </w:r>
      <w:r w:rsidRPr="00CD771C">
        <w:rPr>
          <w:rFonts w:ascii="楷体_GB2312" w:eastAsia="楷体_GB2312" w:hint="eastAsia"/>
          <w:noProof/>
        </w:rPr>
        <w:t>日</w:t>
      </w:r>
      <w:r>
        <w:rPr>
          <w:rFonts w:ascii="楷体_GB2312" w:eastAsia="楷体_GB2312" w:hint="eastAsia"/>
          <w:noProof/>
        </w:rPr>
        <w:t>,组合于2011年2月</w:t>
      </w:r>
      <w:r w:rsidR="002A6E97">
        <w:rPr>
          <w:rFonts w:ascii="楷体_GB2312" w:eastAsia="楷体_GB2312" w:hint="eastAsia"/>
          <w:noProof/>
        </w:rPr>
        <w:t>1日</w:t>
      </w:r>
      <w:r>
        <w:rPr>
          <w:rFonts w:ascii="楷体_GB2312" w:eastAsia="楷体_GB2312" w:hint="eastAsia"/>
          <w:noProof/>
        </w:rPr>
        <w:t>设立。</w:t>
      </w:r>
    </w:p>
    <w:p w:rsidR="008E0A57" w:rsidRPr="003D06B4" w:rsidRDefault="008E0A57" w:rsidP="008E0A57">
      <w:pPr>
        <w:rPr>
          <w:rFonts w:ascii="楷体_GB2312" w:eastAsia="楷体_GB2312"/>
          <w:b/>
          <w:noProof/>
        </w:rPr>
      </w:pPr>
      <w:r>
        <w:rPr>
          <w:rFonts w:ascii="楷体_GB2312" w:eastAsia="楷体_GB2312" w:hint="eastAsia"/>
          <w:b/>
          <w:noProof/>
        </w:rPr>
        <w:t>上海证券基金推荐组合</w:t>
      </w:r>
      <w:r w:rsidRPr="003D06B4">
        <w:rPr>
          <w:rFonts w:ascii="楷体_GB2312" w:eastAsia="楷体_GB2312" w:hint="eastAsia"/>
          <w:b/>
          <w:noProof/>
        </w:rPr>
        <w:t>业绩比较基准</w:t>
      </w:r>
      <w:r>
        <w:rPr>
          <w:rFonts w:ascii="楷体_GB2312" w:eastAsia="楷体_GB2312" w:hint="eastAsia"/>
          <w:b/>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960590">
        <w:rPr>
          <w:rFonts w:ascii="楷体_GB2312" w:eastAsia="楷体_GB2312" w:hint="eastAsia"/>
          <w:noProof/>
        </w:rPr>
        <w:t>主动投资偏股型基金整体</w:t>
      </w:r>
      <w:r>
        <w:rPr>
          <w:rFonts w:ascii="楷体_GB2312" w:eastAsia="楷体_GB2312" w:hint="eastAsia"/>
          <w:noProof/>
        </w:rPr>
        <w:t>（包括当月仍然处于建仓期的基金，以下同）</w:t>
      </w:r>
      <w:r w:rsidRPr="00960590">
        <w:rPr>
          <w:rFonts w:ascii="楷体_GB2312" w:eastAsia="楷体_GB2312" w:hint="eastAsia"/>
          <w:noProof/>
        </w:rPr>
        <w:t>；</w:t>
      </w:r>
    </w:p>
    <w:p w:rsidR="008E0A57" w:rsidRPr="00960590" w:rsidRDefault="008E0A57" w:rsidP="008E0A57">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960590">
        <w:rPr>
          <w:rFonts w:ascii="楷体_GB2312" w:eastAsia="楷体_GB2312" w:hint="eastAsia"/>
          <w:noProof/>
        </w:rPr>
        <w:t>50%主动投资偏股型基金+50%债券型基金；</w:t>
      </w:r>
    </w:p>
    <w:p w:rsidR="008E0A57" w:rsidRDefault="008E0A57" w:rsidP="008E0A57">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67696A" w:rsidRDefault="0067696A" w:rsidP="008E0A57">
      <w:pPr>
        <w:rPr>
          <w:rFonts w:ascii="楷体_GB2312" w:eastAsia="楷体_GB2312"/>
          <w:noProof/>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lastRenderedPageBreak/>
        <w:t>图</w:t>
      </w:r>
      <w:r w:rsidR="00634E6C">
        <w:rPr>
          <w:rFonts w:ascii="楷体_GB2312" w:eastAsia="楷体_GB2312" w:hint="eastAsia"/>
          <w:b/>
          <w:color w:val="000000"/>
          <w:sz w:val="18"/>
          <w:szCs w:val="18"/>
        </w:rPr>
        <w:t>16</w:t>
      </w:r>
      <w:r w:rsidRPr="00144B03">
        <w:rPr>
          <w:rFonts w:ascii="楷体_GB2312" w:eastAsia="楷体_GB2312" w:hint="eastAsia"/>
          <w:b/>
          <w:color w:val="000000"/>
          <w:sz w:val="18"/>
          <w:szCs w:val="18"/>
        </w:rPr>
        <w:t xml:space="preserve">  上海证券积极型基金组合累计</w:t>
      </w:r>
      <w:r w:rsidR="00DF138F"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AD4694" w:rsidP="0067696A">
      <w:pPr>
        <w:keepNext/>
        <w:keepLines/>
        <w:jc w:val="center"/>
      </w:pPr>
      <w:r w:rsidRPr="00AD4694">
        <w:rPr>
          <w:noProof/>
        </w:rPr>
        <w:drawing>
          <wp:inline distT="0" distB="0" distL="0" distR="0">
            <wp:extent cx="5120640" cy="2067560"/>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5120640" cy="2067560"/>
                    </a:xfrm>
                    <a:prstGeom prst="rect">
                      <a:avLst/>
                    </a:prstGeom>
                    <a:noFill/>
                    <a:ln w="9525">
                      <a:noFill/>
                      <a:miter lim="800000"/>
                      <a:headEnd/>
                      <a:tailEnd/>
                    </a:ln>
                  </pic:spPr>
                </pic:pic>
              </a:graphicData>
            </a:graphic>
          </wp:inline>
        </w:drawing>
      </w:r>
    </w:p>
    <w:p w:rsidR="008E0A57" w:rsidRDefault="008E0A57" w:rsidP="0067696A">
      <w:pPr>
        <w:keepNext/>
        <w:keepLines/>
        <w:ind w:leftChars="1350" w:left="2835" w:firstLine="420"/>
        <w:rPr>
          <w:rFonts w:ascii="楷体_GB2312" w:eastAsia="楷体_GB2312"/>
          <w:b/>
          <w:color w:val="000000"/>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图</w:t>
      </w:r>
      <w:r w:rsidR="00634E6C">
        <w:rPr>
          <w:rFonts w:ascii="楷体_GB2312" w:eastAsia="楷体_GB2312" w:hint="eastAsia"/>
          <w:b/>
          <w:color w:val="000000"/>
          <w:sz w:val="18"/>
          <w:szCs w:val="18"/>
        </w:rPr>
        <w:t>17</w:t>
      </w:r>
      <w:r w:rsidRPr="00144B03">
        <w:rPr>
          <w:rFonts w:ascii="楷体_GB2312" w:eastAsia="楷体_GB2312" w:hint="eastAsia"/>
          <w:b/>
          <w:color w:val="000000"/>
          <w:sz w:val="18"/>
          <w:szCs w:val="18"/>
        </w:rPr>
        <w:t xml:space="preserve">  上海证券平衡型基金组合累计</w:t>
      </w:r>
      <w:r w:rsidR="00177718"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AD4694" w:rsidP="0067696A">
      <w:pPr>
        <w:keepNext/>
        <w:keepLines/>
        <w:jc w:val="center"/>
        <w:rPr>
          <w:rFonts w:ascii="楷体_GB2312" w:eastAsia="楷体_GB2312"/>
          <w:noProof/>
        </w:rPr>
      </w:pPr>
      <w:r w:rsidRPr="00AD4694">
        <w:rPr>
          <w:noProof/>
        </w:rPr>
        <w:drawing>
          <wp:inline distT="0" distB="0" distL="0" distR="0">
            <wp:extent cx="5120640" cy="2067560"/>
            <wp:effectExtent l="19050" t="0" r="381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5120640" cy="2067560"/>
                    </a:xfrm>
                    <a:prstGeom prst="rect">
                      <a:avLst/>
                    </a:prstGeom>
                    <a:noFill/>
                    <a:ln w="9525">
                      <a:noFill/>
                      <a:miter lim="800000"/>
                      <a:headEnd/>
                      <a:tailEnd/>
                    </a:ln>
                  </pic:spPr>
                </pic:pic>
              </a:graphicData>
            </a:graphic>
          </wp:inline>
        </w:drawing>
      </w:r>
    </w:p>
    <w:p w:rsidR="009908B0" w:rsidRDefault="009908B0" w:rsidP="0067696A">
      <w:pPr>
        <w:keepNext/>
        <w:keepLines/>
        <w:ind w:leftChars="1350" w:left="2835" w:firstLine="420"/>
        <w:rPr>
          <w:rFonts w:ascii="楷体_GB2312" w:eastAsia="楷体_GB2312"/>
          <w:b/>
          <w:color w:val="000000"/>
        </w:rPr>
      </w:pPr>
    </w:p>
    <w:p w:rsidR="008E0A57" w:rsidRPr="00144B03" w:rsidRDefault="008E0A57" w:rsidP="0067696A">
      <w:pPr>
        <w:keepNext/>
        <w:keepLines/>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t>图</w:t>
      </w:r>
      <w:r w:rsidR="00634E6C">
        <w:rPr>
          <w:rFonts w:ascii="楷体_GB2312" w:eastAsia="楷体_GB2312" w:hint="eastAsia"/>
          <w:b/>
          <w:color w:val="000000"/>
          <w:sz w:val="18"/>
          <w:szCs w:val="18"/>
        </w:rPr>
        <w:t>18</w:t>
      </w:r>
      <w:r w:rsidRPr="00144B03">
        <w:rPr>
          <w:rFonts w:ascii="楷体_GB2312" w:eastAsia="楷体_GB2312" w:hint="eastAsia"/>
          <w:b/>
          <w:color w:val="000000"/>
          <w:sz w:val="18"/>
          <w:szCs w:val="18"/>
        </w:rPr>
        <w:t xml:space="preserve">  上海证券稳健型基金组合累计</w:t>
      </w:r>
      <w:r w:rsidR="00177718" w:rsidRPr="00144B03">
        <w:rPr>
          <w:rFonts w:ascii="楷体_GB2312" w:eastAsia="楷体_GB2312" w:hint="eastAsia"/>
          <w:b/>
          <w:color w:val="000000"/>
          <w:sz w:val="18"/>
          <w:szCs w:val="18"/>
        </w:rPr>
        <w:t>收益</w:t>
      </w:r>
      <w:r w:rsidRPr="00144B03">
        <w:rPr>
          <w:rFonts w:ascii="楷体_GB2312" w:eastAsia="楷体_GB2312" w:hint="eastAsia"/>
          <w:b/>
          <w:color w:val="000000"/>
          <w:sz w:val="18"/>
          <w:szCs w:val="18"/>
        </w:rPr>
        <w:t>图</w:t>
      </w:r>
    </w:p>
    <w:p w:rsidR="008E0A57" w:rsidRDefault="00AD4694" w:rsidP="0067696A">
      <w:pPr>
        <w:keepNext/>
        <w:keepLines/>
        <w:jc w:val="center"/>
        <w:rPr>
          <w:rFonts w:ascii="楷体_GB2312" w:eastAsia="楷体_GB2312"/>
          <w:noProof/>
        </w:rPr>
      </w:pPr>
      <w:r w:rsidRPr="00AD4694">
        <w:rPr>
          <w:noProof/>
        </w:rPr>
        <w:drawing>
          <wp:inline distT="0" distB="0" distL="0" distR="0">
            <wp:extent cx="5120640" cy="2067560"/>
            <wp:effectExtent l="1905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srcRect/>
                    <a:stretch>
                      <a:fillRect/>
                    </a:stretch>
                  </pic:blipFill>
                  <pic:spPr bwMode="auto">
                    <a:xfrm>
                      <a:off x="0" y="0"/>
                      <a:ext cx="5120640" cy="2067560"/>
                    </a:xfrm>
                    <a:prstGeom prst="rect">
                      <a:avLst/>
                    </a:prstGeom>
                    <a:noFill/>
                    <a:ln w="9525">
                      <a:noFill/>
                      <a:miter lim="800000"/>
                      <a:headEnd/>
                      <a:tailEnd/>
                    </a:ln>
                  </pic:spPr>
                </pic:pic>
              </a:graphicData>
            </a:graphic>
          </wp:inline>
        </w:drawing>
      </w:r>
    </w:p>
    <w:p w:rsidR="003A2393" w:rsidRDefault="003A2393" w:rsidP="00144B03">
      <w:pPr>
        <w:spacing w:line="360" w:lineRule="auto"/>
        <w:jc w:val="center"/>
        <w:rPr>
          <w:rFonts w:ascii="楷体_GB2312" w:eastAsia="楷体_GB2312"/>
          <w:b/>
          <w:color w:val="000000"/>
          <w:sz w:val="18"/>
          <w:szCs w:val="18"/>
        </w:rPr>
      </w:pPr>
    </w:p>
    <w:p w:rsidR="00175259" w:rsidRDefault="00175259" w:rsidP="00144B03">
      <w:pPr>
        <w:spacing w:line="360" w:lineRule="auto"/>
        <w:jc w:val="center"/>
        <w:rPr>
          <w:rFonts w:ascii="楷体_GB2312" w:eastAsia="楷体_GB2312"/>
          <w:b/>
          <w:color w:val="000000"/>
          <w:sz w:val="18"/>
          <w:szCs w:val="18"/>
        </w:rPr>
      </w:pPr>
    </w:p>
    <w:p w:rsidR="00175259" w:rsidRDefault="00175259" w:rsidP="00144B03">
      <w:pPr>
        <w:spacing w:line="360" w:lineRule="auto"/>
        <w:jc w:val="center"/>
        <w:rPr>
          <w:rFonts w:ascii="楷体_GB2312" w:eastAsia="楷体_GB2312"/>
          <w:b/>
          <w:color w:val="000000"/>
          <w:sz w:val="18"/>
          <w:szCs w:val="18"/>
        </w:rPr>
      </w:pPr>
    </w:p>
    <w:p w:rsidR="00E948C6" w:rsidRPr="00144B03" w:rsidRDefault="00A827A2" w:rsidP="00144B03">
      <w:pPr>
        <w:spacing w:line="360" w:lineRule="auto"/>
        <w:jc w:val="center"/>
        <w:rPr>
          <w:rFonts w:ascii="楷体_GB2312" w:eastAsia="楷体_GB2312"/>
          <w:b/>
          <w:color w:val="000000"/>
          <w:sz w:val="18"/>
          <w:szCs w:val="18"/>
        </w:rPr>
      </w:pPr>
      <w:r w:rsidRPr="00144B03">
        <w:rPr>
          <w:rFonts w:ascii="楷体_GB2312" w:eastAsia="楷体_GB2312" w:hint="eastAsia"/>
          <w:b/>
          <w:color w:val="000000"/>
          <w:sz w:val="18"/>
          <w:szCs w:val="18"/>
        </w:rPr>
        <w:lastRenderedPageBreak/>
        <w:t>表</w:t>
      </w:r>
      <w:r w:rsidR="00634E6C">
        <w:rPr>
          <w:rFonts w:ascii="楷体_GB2312" w:eastAsia="楷体_GB2312" w:hint="eastAsia"/>
          <w:b/>
          <w:color w:val="000000"/>
          <w:sz w:val="18"/>
          <w:szCs w:val="18"/>
        </w:rPr>
        <w:t>4</w:t>
      </w:r>
      <w:r w:rsidR="00080C6C" w:rsidRPr="00144B03">
        <w:rPr>
          <w:rFonts w:ascii="楷体_GB2312" w:eastAsia="楷体_GB2312" w:hint="eastAsia"/>
          <w:b/>
          <w:color w:val="000000"/>
          <w:sz w:val="18"/>
          <w:szCs w:val="18"/>
        </w:rPr>
        <w:t>、</w:t>
      </w:r>
      <w:r w:rsidR="00E948C6" w:rsidRPr="00144B03">
        <w:rPr>
          <w:rFonts w:ascii="楷体_GB2312" w:eastAsia="楷体_GB2312" w:hint="eastAsia"/>
          <w:b/>
          <w:color w:val="000000"/>
          <w:sz w:val="18"/>
          <w:szCs w:val="18"/>
        </w:rPr>
        <w:t>2011年2月以来各月份推荐组合</w:t>
      </w:r>
    </w:p>
    <w:tbl>
      <w:tblPr>
        <w:tblW w:w="8434" w:type="dxa"/>
        <w:jc w:val="center"/>
        <w:tblInd w:w="94" w:type="dxa"/>
        <w:tblLook w:val="04A0"/>
      </w:tblPr>
      <w:tblGrid>
        <w:gridCol w:w="2301"/>
        <w:gridCol w:w="630"/>
        <w:gridCol w:w="222"/>
        <w:gridCol w:w="2372"/>
        <w:gridCol w:w="630"/>
        <w:gridCol w:w="222"/>
        <w:gridCol w:w="1427"/>
        <w:gridCol w:w="630"/>
      </w:tblGrid>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2011年2-3月推荐组合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华商阿尔法</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2011年4-5月推荐组合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光大红利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2011年6-8月推荐组合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2011年9月推荐组合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国泰纳斯达克100</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国富弹性</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2011年10-11月推荐组合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普天债券A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2011年12月推荐组合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国富潜力</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lastRenderedPageBreak/>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广发标普全球农业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2012年2-4月推荐组合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广发全球农业</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广发强债</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2012年5-6月推荐组合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2012年7月推荐组合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国投创新</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2012年8-9月推荐组合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nil"/>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大摩资源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00"/>
          <w:jc w:val="center"/>
        </w:trPr>
        <w:tc>
          <w:tcPr>
            <w:tcW w:w="2301" w:type="dxa"/>
            <w:tcBorders>
              <w:top w:val="nil"/>
              <w:left w:val="single" w:sz="8" w:space="0" w:color="auto"/>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nil"/>
              <w:left w:val="nil"/>
              <w:bottom w:val="nil"/>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nil"/>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nil"/>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nil"/>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2012年10-11月推荐组合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南方多利A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2012年12月-2013年5月推荐组合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易方达资源</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上投新动力</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2013年6-8月推荐组合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lastRenderedPageBreak/>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工银红利</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华夏亚债A</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0274E7">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2013年9-1</w:t>
            </w:r>
            <w:r w:rsidR="000274E7">
              <w:rPr>
                <w:rFonts w:ascii="宋体" w:hAnsi="宋体" w:cs="宋体" w:hint="eastAsia"/>
                <w:b/>
                <w:bCs/>
                <w:color w:val="FF0000"/>
                <w:kern w:val="0"/>
                <w:sz w:val="20"/>
                <w:szCs w:val="20"/>
              </w:rPr>
              <w:t>1</w:t>
            </w:r>
            <w:r w:rsidRPr="00224A46">
              <w:rPr>
                <w:rFonts w:ascii="宋体" w:hAnsi="宋体" w:cs="宋体" w:hint="eastAsia"/>
                <w:b/>
                <w:bCs/>
                <w:color w:val="FF0000"/>
                <w:kern w:val="0"/>
                <w:sz w:val="20"/>
                <w:szCs w:val="20"/>
              </w:rPr>
              <w:t>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华安安心</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224A46" w:rsidRPr="00224A46" w:rsidRDefault="00224A46" w:rsidP="00224A46">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2013年11</w:t>
            </w:r>
            <w:r w:rsidR="00CC2337">
              <w:rPr>
                <w:rFonts w:ascii="宋体" w:hAnsi="宋体" w:cs="宋体" w:hint="eastAsia"/>
                <w:b/>
                <w:bCs/>
                <w:color w:val="FF0000"/>
                <w:kern w:val="0"/>
                <w:sz w:val="20"/>
                <w:szCs w:val="20"/>
              </w:rPr>
              <w:t>-12</w:t>
            </w:r>
            <w:r w:rsidRPr="00224A46">
              <w:rPr>
                <w:rFonts w:ascii="宋体" w:hAnsi="宋体" w:cs="宋体" w:hint="eastAsia"/>
                <w:b/>
                <w:bCs/>
                <w:color w:val="FF0000"/>
                <w:kern w:val="0"/>
                <w:sz w:val="20"/>
                <w:szCs w:val="20"/>
              </w:rPr>
              <w:t>月推荐组合</w:t>
            </w:r>
          </w:p>
        </w:tc>
      </w:tr>
      <w:tr w:rsidR="00224A46"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224A46" w:rsidRPr="00224A46" w:rsidRDefault="00224A46" w:rsidP="00224A46">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224A46" w:rsidRPr="00224A46" w:rsidRDefault="00224A46" w:rsidP="00224A46">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224A46"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224A46" w:rsidRPr="00224A46" w:rsidRDefault="00224A46" w:rsidP="00224A46">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224A46"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224A46" w:rsidRPr="00224A46" w:rsidRDefault="00224A46" w:rsidP="00224A46">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224A46" w:rsidRPr="00224A46" w:rsidRDefault="00224A46" w:rsidP="00224A46">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224A46" w:rsidRPr="00224A46" w:rsidRDefault="00224A46" w:rsidP="00224A46">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CC2337" w:rsidRPr="00224A46" w:rsidTr="004D794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CC2337" w:rsidRPr="00224A46" w:rsidRDefault="00CC2337" w:rsidP="00CC2337">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1</w:t>
            </w:r>
            <w:r w:rsidR="00CF5001">
              <w:rPr>
                <w:rFonts w:ascii="宋体" w:hAnsi="宋体" w:cs="宋体" w:hint="eastAsia"/>
                <w:b/>
                <w:bCs/>
                <w:color w:val="FF0000"/>
                <w:kern w:val="0"/>
                <w:sz w:val="20"/>
                <w:szCs w:val="20"/>
              </w:rPr>
              <w:t>-2</w:t>
            </w:r>
            <w:r w:rsidRPr="00224A46">
              <w:rPr>
                <w:rFonts w:ascii="宋体" w:hAnsi="宋体" w:cs="宋体" w:hint="eastAsia"/>
                <w:b/>
                <w:bCs/>
                <w:color w:val="FF0000"/>
                <w:kern w:val="0"/>
                <w:sz w:val="20"/>
                <w:szCs w:val="20"/>
              </w:rPr>
              <w:t>月推荐组合</w:t>
            </w:r>
          </w:p>
        </w:tc>
      </w:tr>
      <w:tr w:rsidR="00CC2337" w:rsidRPr="00224A46" w:rsidTr="004D794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CC2337" w:rsidRPr="00224A46" w:rsidRDefault="00CC2337" w:rsidP="001170FF">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CC2337" w:rsidRPr="00224A46" w:rsidRDefault="00CC2337" w:rsidP="001170FF">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CC2337" w:rsidRPr="00224A46" w:rsidRDefault="00CC2337" w:rsidP="001170FF">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CC2337" w:rsidRPr="00224A46" w:rsidTr="004D794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CC2337" w:rsidRPr="00224A46" w:rsidRDefault="00CC2337" w:rsidP="001170FF">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40%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嘉实精选</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Default="00CC2337">
            <w:pPr>
              <w:jc w:val="center"/>
              <w:rPr>
                <w:rFonts w:ascii="宋体" w:hAnsi="宋体" w:cs="宋体"/>
                <w:sz w:val="18"/>
                <w:szCs w:val="18"/>
              </w:rPr>
            </w:pPr>
            <w:r>
              <w:rPr>
                <w:rFonts w:hint="eastAsia"/>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Default="00CC2337">
            <w:pPr>
              <w:jc w:val="center"/>
              <w:rPr>
                <w:rFonts w:ascii="宋体" w:hAnsi="宋体" w:cs="宋体"/>
                <w:sz w:val="18"/>
                <w:szCs w:val="18"/>
              </w:rPr>
            </w:pPr>
            <w:r>
              <w:rPr>
                <w:rFonts w:hint="eastAsia"/>
                <w:sz w:val="18"/>
                <w:szCs w:val="18"/>
              </w:rPr>
              <w:t>30%</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CC2337" w:rsidRPr="00224A46" w:rsidTr="004D794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富国天惠</w:t>
            </w:r>
          </w:p>
        </w:tc>
        <w:tc>
          <w:tcPr>
            <w:tcW w:w="630" w:type="dxa"/>
            <w:tcBorders>
              <w:top w:val="nil"/>
              <w:left w:val="nil"/>
              <w:bottom w:val="single" w:sz="8" w:space="0" w:color="auto"/>
              <w:right w:val="single" w:sz="8" w:space="0" w:color="auto"/>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30%</w:t>
            </w:r>
          </w:p>
        </w:tc>
        <w:tc>
          <w:tcPr>
            <w:tcW w:w="222" w:type="dxa"/>
            <w:vMerge/>
            <w:tcBorders>
              <w:top w:val="nil"/>
              <w:left w:val="nil"/>
              <w:bottom w:val="single" w:sz="8" w:space="0" w:color="000000"/>
              <w:right w:val="single" w:sz="8" w:space="0" w:color="auto"/>
            </w:tcBorders>
            <w:vAlign w:val="center"/>
            <w:hideMark/>
          </w:tcPr>
          <w:p w:rsidR="00CC2337" w:rsidRPr="00224A46" w:rsidRDefault="00CC2337" w:rsidP="001170FF">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50%</w:t>
            </w:r>
          </w:p>
        </w:tc>
        <w:tc>
          <w:tcPr>
            <w:tcW w:w="222" w:type="dxa"/>
            <w:vMerge/>
            <w:tcBorders>
              <w:top w:val="nil"/>
              <w:left w:val="nil"/>
              <w:bottom w:val="single" w:sz="8" w:space="0" w:color="000000"/>
              <w:right w:val="nil"/>
            </w:tcBorders>
            <w:vAlign w:val="center"/>
            <w:hideMark/>
          </w:tcPr>
          <w:p w:rsidR="00CC2337" w:rsidRPr="00224A46" w:rsidRDefault="00CC2337" w:rsidP="001170FF">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CC2337" w:rsidRPr="00224A46" w:rsidRDefault="00CC2337" w:rsidP="001170FF">
            <w:pPr>
              <w:widowControl/>
              <w:jc w:val="center"/>
              <w:rPr>
                <w:rFonts w:ascii="宋体" w:hAnsi="宋体" w:cs="宋体"/>
                <w:kern w:val="0"/>
                <w:sz w:val="18"/>
                <w:szCs w:val="18"/>
              </w:rPr>
            </w:pPr>
            <w:r w:rsidRPr="00224A46">
              <w:rPr>
                <w:rFonts w:ascii="宋体" w:hAnsi="宋体" w:cs="宋体" w:hint="eastAsia"/>
                <w:kern w:val="0"/>
                <w:sz w:val="18"/>
                <w:szCs w:val="18"/>
              </w:rPr>
              <w:t>35%</w:t>
            </w:r>
          </w:p>
        </w:tc>
      </w:tr>
      <w:tr w:rsidR="007F4193" w:rsidRPr="00224A46" w:rsidTr="00DC2903">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7F4193" w:rsidRPr="00224A46" w:rsidRDefault="007F4193" w:rsidP="007F4193">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3</w:t>
            </w:r>
            <w:r w:rsidRPr="00224A46">
              <w:rPr>
                <w:rFonts w:ascii="宋体" w:hAnsi="宋体" w:cs="宋体" w:hint="eastAsia"/>
                <w:b/>
                <w:bCs/>
                <w:color w:val="FF0000"/>
                <w:kern w:val="0"/>
                <w:sz w:val="20"/>
                <w:szCs w:val="20"/>
              </w:rPr>
              <w:t>月推荐组合</w:t>
            </w:r>
          </w:p>
        </w:tc>
      </w:tr>
      <w:tr w:rsidR="007F4193" w:rsidRPr="00224A46" w:rsidTr="00DC2903">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7F4193" w:rsidRPr="00224A46" w:rsidRDefault="007F4193" w:rsidP="00DC2903">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7F4193" w:rsidRPr="00224A46" w:rsidRDefault="007F4193" w:rsidP="00DC2903">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7F4193" w:rsidRPr="00224A46" w:rsidRDefault="007F4193" w:rsidP="00DC2903">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7F4193" w:rsidRPr="00224A46" w:rsidTr="00DC2903">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7F4193" w:rsidRPr="00224A46" w:rsidRDefault="007F4193" w:rsidP="00DC2903">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7F4193"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3</w:t>
            </w:r>
            <w:r w:rsidRPr="005B5148">
              <w:rPr>
                <w:rFonts w:ascii="宋体" w:hAnsi="宋体" w:cs="宋体" w:hint="eastAsia"/>
                <w:kern w:val="0"/>
                <w:sz w:val="18"/>
                <w:szCs w:val="18"/>
              </w:rPr>
              <w:t>0%</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C100F">
              <w:rPr>
                <w:rFonts w:ascii="宋体" w:hAnsi="宋体" w:cs="宋体" w:hint="eastAsia"/>
                <w:kern w:val="0"/>
                <w:sz w:val="18"/>
                <w:szCs w:val="18"/>
              </w:rPr>
              <w:t>博时标普500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Default="007F4193" w:rsidP="00DC2903">
            <w:pPr>
              <w:jc w:val="center"/>
              <w:rPr>
                <w:rFonts w:ascii="宋体" w:hAnsi="宋体" w:cs="宋体"/>
                <w:sz w:val="18"/>
                <w:szCs w:val="18"/>
              </w:rPr>
            </w:pPr>
            <w:r>
              <w:rPr>
                <w:rFonts w:ascii="宋体" w:hAnsi="宋体" w:cs="宋体" w:hint="eastAsia"/>
                <w:kern w:val="0"/>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Default="007F4193" w:rsidP="00DC2903">
            <w:pPr>
              <w:jc w:val="center"/>
              <w:rPr>
                <w:rFonts w:ascii="宋体" w:hAnsi="宋体" w:cs="宋体"/>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7F4193" w:rsidRPr="00224A46"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75D93">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40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7F4193" w:rsidRPr="00224A46" w:rsidTr="00DC2903">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7F4193" w:rsidRPr="00224A46" w:rsidRDefault="007F4193" w:rsidP="00DC2903">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222" w:type="dxa"/>
            <w:vMerge/>
            <w:tcBorders>
              <w:top w:val="nil"/>
              <w:left w:val="nil"/>
              <w:bottom w:val="single" w:sz="8" w:space="0" w:color="000000"/>
              <w:right w:val="nil"/>
            </w:tcBorders>
            <w:vAlign w:val="center"/>
            <w:hideMark/>
          </w:tcPr>
          <w:p w:rsidR="007F4193" w:rsidRPr="00224A46" w:rsidRDefault="007F4193" w:rsidP="00DC2903">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7F4193" w:rsidRPr="00224A46" w:rsidRDefault="007F4193" w:rsidP="00DC2903">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r w:rsidR="00AD4694" w:rsidRPr="00224A46" w:rsidTr="00AD4694">
        <w:trPr>
          <w:trHeight w:val="315"/>
          <w:jc w:val="center"/>
        </w:trPr>
        <w:tc>
          <w:tcPr>
            <w:tcW w:w="8434" w:type="dxa"/>
            <w:gridSpan w:val="8"/>
            <w:tcBorders>
              <w:top w:val="nil"/>
              <w:left w:val="nil"/>
              <w:bottom w:val="single" w:sz="8" w:space="0" w:color="auto"/>
              <w:right w:val="nil"/>
            </w:tcBorders>
            <w:shd w:val="clear" w:color="auto" w:fill="auto"/>
            <w:noWrap/>
            <w:vAlign w:val="bottom"/>
            <w:hideMark/>
          </w:tcPr>
          <w:p w:rsidR="00AD4694" w:rsidRPr="00224A46" w:rsidRDefault="00AD4694" w:rsidP="00AD4694">
            <w:pPr>
              <w:widowControl/>
              <w:jc w:val="left"/>
              <w:rPr>
                <w:rFonts w:ascii="宋体" w:hAnsi="宋体" w:cs="宋体"/>
                <w:b/>
                <w:bCs/>
                <w:color w:val="FF0000"/>
                <w:kern w:val="0"/>
                <w:sz w:val="20"/>
                <w:szCs w:val="20"/>
              </w:rPr>
            </w:pPr>
            <w:r w:rsidRPr="00224A46">
              <w:rPr>
                <w:rFonts w:ascii="宋体" w:hAnsi="宋体" w:cs="宋体" w:hint="eastAsia"/>
                <w:b/>
                <w:bCs/>
                <w:color w:val="FF0000"/>
                <w:kern w:val="0"/>
                <w:sz w:val="20"/>
                <w:szCs w:val="20"/>
              </w:rPr>
              <w:t>201</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年</w:t>
            </w:r>
            <w:r>
              <w:rPr>
                <w:rFonts w:ascii="宋体" w:hAnsi="宋体" w:cs="宋体" w:hint="eastAsia"/>
                <w:b/>
                <w:bCs/>
                <w:color w:val="FF0000"/>
                <w:kern w:val="0"/>
                <w:sz w:val="20"/>
                <w:szCs w:val="20"/>
              </w:rPr>
              <w:t>4</w:t>
            </w:r>
            <w:r w:rsidRPr="00224A46">
              <w:rPr>
                <w:rFonts w:ascii="宋体" w:hAnsi="宋体" w:cs="宋体" w:hint="eastAsia"/>
                <w:b/>
                <w:bCs/>
                <w:color w:val="FF0000"/>
                <w:kern w:val="0"/>
                <w:sz w:val="20"/>
                <w:szCs w:val="20"/>
              </w:rPr>
              <w:t>月推荐组合</w:t>
            </w:r>
          </w:p>
        </w:tc>
      </w:tr>
      <w:tr w:rsidR="00AD4694" w:rsidRPr="00224A46" w:rsidTr="00AD4694">
        <w:trPr>
          <w:trHeight w:val="300"/>
          <w:jc w:val="center"/>
        </w:trPr>
        <w:tc>
          <w:tcPr>
            <w:tcW w:w="2931"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积极型组合</w:t>
            </w:r>
          </w:p>
        </w:tc>
        <w:tc>
          <w:tcPr>
            <w:tcW w:w="222" w:type="dxa"/>
            <w:vMerge w:val="restart"/>
            <w:tcBorders>
              <w:top w:val="nil"/>
              <w:left w:val="nil"/>
              <w:bottom w:val="single" w:sz="8" w:space="0" w:color="000000"/>
              <w:right w:val="single" w:sz="8" w:space="0" w:color="auto"/>
            </w:tcBorders>
            <w:shd w:val="clear" w:color="auto" w:fill="auto"/>
            <w:noWrap/>
            <w:vAlign w:val="bottom"/>
            <w:hideMark/>
          </w:tcPr>
          <w:p w:rsidR="00AD4694" w:rsidRPr="00224A46" w:rsidRDefault="00AD4694" w:rsidP="00AD4694">
            <w:pPr>
              <w:widowControl/>
              <w:jc w:val="left"/>
              <w:rPr>
                <w:kern w:val="0"/>
                <w:sz w:val="20"/>
                <w:szCs w:val="20"/>
              </w:rPr>
            </w:pPr>
            <w:r w:rsidRPr="00224A46">
              <w:rPr>
                <w:kern w:val="0"/>
                <w:sz w:val="20"/>
                <w:szCs w:val="20"/>
              </w:rPr>
              <w:t xml:space="preserve">　</w:t>
            </w:r>
          </w:p>
        </w:tc>
        <w:tc>
          <w:tcPr>
            <w:tcW w:w="3002" w:type="dxa"/>
            <w:gridSpan w:val="2"/>
            <w:tcBorders>
              <w:top w:val="single" w:sz="8" w:space="0" w:color="auto"/>
              <w:left w:val="nil"/>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平衡型组合</w:t>
            </w:r>
          </w:p>
        </w:tc>
        <w:tc>
          <w:tcPr>
            <w:tcW w:w="222" w:type="dxa"/>
            <w:vMerge w:val="restart"/>
            <w:tcBorders>
              <w:top w:val="nil"/>
              <w:left w:val="nil"/>
              <w:bottom w:val="single" w:sz="8" w:space="0" w:color="000000"/>
              <w:right w:val="nil"/>
            </w:tcBorders>
            <w:shd w:val="clear" w:color="auto" w:fill="auto"/>
            <w:noWrap/>
            <w:vAlign w:val="bottom"/>
            <w:hideMark/>
          </w:tcPr>
          <w:p w:rsidR="00AD4694" w:rsidRPr="00224A46" w:rsidRDefault="00AD4694" w:rsidP="00AD4694">
            <w:pPr>
              <w:widowControl/>
              <w:jc w:val="left"/>
              <w:rPr>
                <w:kern w:val="0"/>
                <w:sz w:val="20"/>
                <w:szCs w:val="20"/>
              </w:rPr>
            </w:pPr>
            <w:r w:rsidRPr="00224A46">
              <w:rPr>
                <w:kern w:val="0"/>
                <w:sz w:val="20"/>
                <w:szCs w:val="20"/>
              </w:rPr>
              <w:t xml:space="preserve">　</w:t>
            </w:r>
          </w:p>
        </w:tc>
        <w:tc>
          <w:tcPr>
            <w:tcW w:w="2057" w:type="dxa"/>
            <w:gridSpan w:val="2"/>
            <w:tcBorders>
              <w:top w:val="single" w:sz="8" w:space="0" w:color="auto"/>
              <w:left w:val="single" w:sz="8" w:space="0" w:color="auto"/>
              <w:bottom w:val="nil"/>
              <w:right w:val="single" w:sz="8" w:space="0" w:color="000000"/>
            </w:tcBorders>
            <w:shd w:val="clear" w:color="000000" w:fill="0000FF"/>
            <w:noWrap/>
            <w:vAlign w:val="bottom"/>
            <w:hideMark/>
          </w:tcPr>
          <w:p w:rsidR="00AD4694" w:rsidRPr="00224A46" w:rsidRDefault="00AD4694" w:rsidP="00AD4694">
            <w:pPr>
              <w:widowControl/>
              <w:jc w:val="center"/>
              <w:rPr>
                <w:rFonts w:ascii="宋体" w:hAnsi="宋体" w:cs="宋体"/>
                <w:b/>
                <w:bCs/>
                <w:color w:val="FFFFFF"/>
                <w:kern w:val="0"/>
                <w:sz w:val="18"/>
                <w:szCs w:val="18"/>
              </w:rPr>
            </w:pPr>
            <w:r w:rsidRPr="00224A46">
              <w:rPr>
                <w:rFonts w:ascii="宋体" w:hAnsi="宋体" w:cs="宋体" w:hint="eastAsia"/>
                <w:b/>
                <w:bCs/>
                <w:color w:val="FFFFFF"/>
                <w:kern w:val="0"/>
                <w:sz w:val="18"/>
                <w:szCs w:val="18"/>
              </w:rPr>
              <w:t>稳定型组合</w:t>
            </w:r>
          </w:p>
        </w:tc>
      </w:tr>
      <w:tr w:rsidR="00AD4694" w:rsidRPr="00224A46" w:rsidTr="00AD4694">
        <w:trPr>
          <w:trHeight w:val="315"/>
          <w:jc w:val="center"/>
        </w:trPr>
        <w:tc>
          <w:tcPr>
            <w:tcW w:w="2301" w:type="dxa"/>
            <w:tcBorders>
              <w:top w:val="nil"/>
              <w:left w:val="nil"/>
              <w:bottom w:val="single" w:sz="8" w:space="0" w:color="auto"/>
              <w:right w:val="single" w:sz="8" w:space="0" w:color="auto"/>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auto"/>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nil"/>
              <w:left w:val="single" w:sz="8" w:space="0" w:color="auto"/>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样本基金</w:t>
            </w:r>
          </w:p>
        </w:tc>
        <w:tc>
          <w:tcPr>
            <w:tcW w:w="630" w:type="dxa"/>
            <w:tcBorders>
              <w:top w:val="nil"/>
              <w:left w:val="nil"/>
              <w:bottom w:val="single" w:sz="8" w:space="0" w:color="auto"/>
              <w:right w:val="single" w:sz="8" w:space="0" w:color="000000"/>
            </w:tcBorders>
            <w:shd w:val="clear" w:color="000000" w:fill="D9D9D9"/>
            <w:noWrap/>
            <w:vAlign w:val="bottom"/>
            <w:hideMark/>
          </w:tcPr>
          <w:p w:rsidR="00AD4694" w:rsidRPr="00224A46" w:rsidRDefault="00AD4694" w:rsidP="00AD4694">
            <w:pPr>
              <w:widowControl/>
              <w:jc w:val="center"/>
              <w:rPr>
                <w:rFonts w:ascii="宋体" w:hAnsi="宋体" w:cs="宋体"/>
                <w:b/>
                <w:bCs/>
                <w:kern w:val="0"/>
                <w:sz w:val="18"/>
                <w:szCs w:val="18"/>
              </w:rPr>
            </w:pPr>
            <w:r w:rsidRPr="00224A46">
              <w:rPr>
                <w:rFonts w:ascii="宋体" w:hAnsi="宋体" w:cs="宋体" w:hint="eastAsia"/>
                <w:b/>
                <w:bCs/>
                <w:kern w:val="0"/>
                <w:sz w:val="18"/>
                <w:szCs w:val="18"/>
              </w:rPr>
              <w:t>权重</w:t>
            </w:r>
          </w:p>
        </w:tc>
      </w:tr>
      <w:tr w:rsidR="00AD4694"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银河成长</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2</w:t>
            </w:r>
            <w:r w:rsidRPr="005B5148">
              <w:rPr>
                <w:rFonts w:ascii="宋体" w:hAnsi="宋体" w:cs="宋体" w:hint="eastAsia"/>
                <w:kern w:val="0"/>
                <w:sz w:val="18"/>
                <w:szCs w:val="18"/>
              </w:rPr>
              <w:t>0%</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C100F">
              <w:rPr>
                <w:rFonts w:ascii="宋体" w:hAnsi="宋体" w:cs="宋体" w:hint="eastAsia"/>
                <w:kern w:val="0"/>
                <w:sz w:val="18"/>
                <w:szCs w:val="18"/>
              </w:rPr>
              <w:t>博时标普500</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Default="00AD4694" w:rsidP="00AD4694">
            <w:pPr>
              <w:jc w:val="center"/>
              <w:rPr>
                <w:rFonts w:ascii="宋体" w:hAnsi="宋体" w:cs="宋体"/>
                <w:sz w:val="18"/>
                <w:szCs w:val="18"/>
              </w:rPr>
            </w:pPr>
            <w:r>
              <w:rPr>
                <w:rFonts w:ascii="宋体" w:hAnsi="宋体" w:cs="宋体" w:hint="eastAsia"/>
                <w:kern w:val="0"/>
                <w:sz w:val="18"/>
                <w:szCs w:val="18"/>
              </w:rPr>
              <w:t>建信货币</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Default="00AD4694" w:rsidP="00AD4694">
            <w:pPr>
              <w:jc w:val="center"/>
              <w:rPr>
                <w:rFonts w:ascii="宋体" w:hAnsi="宋体" w:cs="宋体"/>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r>
      <w:tr w:rsidR="00AD4694" w:rsidRPr="00224A46"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75D93">
              <w:rPr>
                <w:rFonts w:hint="eastAsia"/>
                <w:sz w:val="18"/>
                <w:szCs w:val="18"/>
              </w:rPr>
              <w:t>添富价值</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40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37683F">
              <w:rPr>
                <w:rFonts w:ascii="宋体" w:hAnsi="宋体" w:cs="宋体" w:hint="eastAsia"/>
                <w:kern w:val="0"/>
                <w:sz w:val="18"/>
                <w:szCs w:val="18"/>
              </w:rPr>
              <w:t>添富价值</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25%</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华夏现金</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35%</w:t>
            </w:r>
          </w:p>
        </w:tc>
      </w:tr>
      <w:tr w:rsidR="00AD4694" w:rsidRPr="00224A46" w:rsidTr="00AD4694">
        <w:trPr>
          <w:trHeight w:val="315"/>
          <w:jc w:val="center"/>
        </w:trPr>
        <w:tc>
          <w:tcPr>
            <w:tcW w:w="2301" w:type="dxa"/>
            <w:tcBorders>
              <w:top w:val="nil"/>
              <w:left w:val="single" w:sz="8" w:space="0" w:color="auto"/>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hint="eastAsia"/>
                <w:sz w:val="18"/>
                <w:szCs w:val="18"/>
              </w:rPr>
              <w:t>国泰纳斯达克</w:t>
            </w:r>
            <w:r>
              <w:rPr>
                <w:rFonts w:hint="eastAsia"/>
                <w:sz w:val="18"/>
                <w:szCs w:val="18"/>
              </w:rPr>
              <w:t>100</w:t>
            </w:r>
          </w:p>
        </w:tc>
        <w:tc>
          <w:tcPr>
            <w:tcW w:w="630" w:type="dxa"/>
            <w:tcBorders>
              <w:top w:val="nil"/>
              <w:left w:val="nil"/>
              <w:bottom w:val="single" w:sz="8" w:space="0" w:color="auto"/>
              <w:right w:val="single" w:sz="8" w:space="0" w:color="auto"/>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30</w:t>
            </w:r>
            <w:r w:rsidRPr="005B5148">
              <w:rPr>
                <w:rFonts w:ascii="宋体" w:hAnsi="宋体" w:cs="宋体" w:hint="eastAsia"/>
                <w:kern w:val="0"/>
                <w:sz w:val="18"/>
                <w:szCs w:val="18"/>
              </w:rPr>
              <w:t>%</w:t>
            </w:r>
          </w:p>
        </w:tc>
        <w:tc>
          <w:tcPr>
            <w:tcW w:w="222" w:type="dxa"/>
            <w:vMerge/>
            <w:tcBorders>
              <w:top w:val="nil"/>
              <w:left w:val="nil"/>
              <w:bottom w:val="single" w:sz="8" w:space="0" w:color="000000"/>
              <w:right w:val="single" w:sz="8" w:space="0" w:color="auto"/>
            </w:tcBorders>
            <w:vAlign w:val="center"/>
            <w:hideMark/>
          </w:tcPr>
          <w:p w:rsidR="00AD4694" w:rsidRPr="00224A46" w:rsidRDefault="00AD4694" w:rsidP="00AD4694">
            <w:pPr>
              <w:widowControl/>
              <w:jc w:val="left"/>
              <w:rPr>
                <w:kern w:val="0"/>
                <w:sz w:val="20"/>
                <w:szCs w:val="20"/>
              </w:rPr>
            </w:pPr>
          </w:p>
        </w:tc>
        <w:tc>
          <w:tcPr>
            <w:tcW w:w="2372"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天弘永利B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Pr>
                <w:rFonts w:ascii="宋体" w:hAnsi="宋体" w:cs="宋体" w:hint="eastAsia"/>
                <w:kern w:val="0"/>
                <w:sz w:val="18"/>
                <w:szCs w:val="18"/>
              </w:rPr>
              <w:t>5</w:t>
            </w:r>
            <w:r w:rsidRPr="005B5148">
              <w:rPr>
                <w:rFonts w:ascii="宋体" w:hAnsi="宋体" w:cs="宋体" w:hint="eastAsia"/>
                <w:kern w:val="0"/>
                <w:sz w:val="18"/>
                <w:szCs w:val="18"/>
              </w:rPr>
              <w:t>0%</w:t>
            </w:r>
          </w:p>
        </w:tc>
        <w:tc>
          <w:tcPr>
            <w:tcW w:w="222" w:type="dxa"/>
            <w:vMerge/>
            <w:tcBorders>
              <w:top w:val="nil"/>
              <w:left w:val="nil"/>
              <w:bottom w:val="single" w:sz="8" w:space="0" w:color="000000"/>
              <w:right w:val="nil"/>
            </w:tcBorders>
            <w:vAlign w:val="center"/>
            <w:hideMark/>
          </w:tcPr>
          <w:p w:rsidR="00AD4694" w:rsidRPr="00224A46" w:rsidRDefault="00AD4694" w:rsidP="00AD4694">
            <w:pPr>
              <w:widowControl/>
              <w:jc w:val="left"/>
              <w:rPr>
                <w:kern w:val="0"/>
                <w:sz w:val="20"/>
                <w:szCs w:val="20"/>
              </w:rPr>
            </w:pPr>
          </w:p>
        </w:tc>
        <w:tc>
          <w:tcPr>
            <w:tcW w:w="142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17543C">
              <w:rPr>
                <w:rFonts w:ascii="宋体" w:hAnsi="宋体" w:cs="宋体" w:hint="eastAsia"/>
                <w:kern w:val="0"/>
                <w:sz w:val="18"/>
                <w:szCs w:val="18"/>
              </w:rPr>
              <w:t>广发货币B</w:t>
            </w:r>
          </w:p>
        </w:tc>
        <w:tc>
          <w:tcPr>
            <w:tcW w:w="630" w:type="dxa"/>
            <w:tcBorders>
              <w:top w:val="single" w:sz="8" w:space="0" w:color="auto"/>
              <w:left w:val="nil"/>
              <w:bottom w:val="single" w:sz="8" w:space="0" w:color="auto"/>
              <w:right w:val="single" w:sz="8" w:space="0" w:color="000000"/>
            </w:tcBorders>
            <w:shd w:val="clear" w:color="auto" w:fill="auto"/>
            <w:noWrap/>
            <w:vAlign w:val="bottom"/>
            <w:hideMark/>
          </w:tcPr>
          <w:p w:rsidR="00AD4694" w:rsidRPr="00224A46" w:rsidRDefault="00AD4694" w:rsidP="00AD4694">
            <w:pPr>
              <w:widowControl/>
              <w:jc w:val="center"/>
              <w:rPr>
                <w:rFonts w:ascii="宋体" w:hAnsi="宋体" w:cs="宋体"/>
                <w:kern w:val="0"/>
                <w:sz w:val="18"/>
                <w:szCs w:val="18"/>
              </w:rPr>
            </w:pPr>
            <w:r w:rsidRPr="005B5148">
              <w:rPr>
                <w:rFonts w:ascii="宋体" w:hAnsi="宋体" w:cs="宋体" w:hint="eastAsia"/>
                <w:kern w:val="0"/>
                <w:sz w:val="18"/>
                <w:szCs w:val="18"/>
              </w:rPr>
              <w:t>3</w:t>
            </w:r>
            <w:r>
              <w:rPr>
                <w:rFonts w:ascii="宋体" w:hAnsi="宋体" w:cs="宋体" w:hint="eastAsia"/>
                <w:kern w:val="0"/>
                <w:sz w:val="18"/>
                <w:szCs w:val="18"/>
              </w:rPr>
              <w:t>5</w:t>
            </w:r>
            <w:r w:rsidRPr="005B5148">
              <w:rPr>
                <w:rFonts w:ascii="宋体" w:hAnsi="宋体" w:cs="宋体" w:hint="eastAsia"/>
                <w:kern w:val="0"/>
                <w:sz w:val="18"/>
                <w:szCs w:val="18"/>
              </w:rPr>
              <w:t>%</w:t>
            </w:r>
          </w:p>
        </w:tc>
      </w:tr>
    </w:tbl>
    <w:p w:rsidR="00E948C6" w:rsidRDefault="00E948C6" w:rsidP="00E948C6">
      <w:pPr>
        <w:keepLines/>
        <w:adjustRightInd w:val="0"/>
        <w:snapToGrid w:val="0"/>
        <w:jc w:val="left"/>
        <w:rPr>
          <w:rFonts w:ascii="楷体_GB2312" w:eastAsia="楷体_GB2312"/>
          <w:noProof/>
        </w:rPr>
      </w:pPr>
      <w:r>
        <w:rPr>
          <w:rFonts w:ascii="楷体_GB2312" w:eastAsia="楷体_GB2312" w:hint="eastAsia"/>
          <w:noProof/>
        </w:rPr>
        <w:t>注：数据截至</w:t>
      </w:r>
      <w:r w:rsidRPr="00CD771C">
        <w:rPr>
          <w:rFonts w:ascii="楷体_GB2312" w:eastAsia="楷体_GB2312" w:hint="eastAsia"/>
          <w:noProof/>
        </w:rPr>
        <w:t>201</w:t>
      </w:r>
      <w:r w:rsidR="00BD5DC9">
        <w:rPr>
          <w:rFonts w:ascii="楷体_GB2312" w:eastAsia="楷体_GB2312" w:hint="eastAsia"/>
          <w:noProof/>
        </w:rPr>
        <w:t>4</w:t>
      </w:r>
      <w:r w:rsidRPr="00CD771C">
        <w:rPr>
          <w:rFonts w:ascii="楷体_GB2312" w:eastAsia="楷体_GB2312" w:hint="eastAsia"/>
          <w:noProof/>
        </w:rPr>
        <w:t>年</w:t>
      </w:r>
      <w:r w:rsidR="00493ABD">
        <w:rPr>
          <w:rFonts w:ascii="楷体_GB2312" w:eastAsia="楷体_GB2312" w:hint="eastAsia"/>
          <w:noProof/>
        </w:rPr>
        <w:t>3</w:t>
      </w:r>
      <w:r w:rsidRPr="00CD771C">
        <w:rPr>
          <w:rFonts w:ascii="楷体_GB2312" w:eastAsia="楷体_GB2312" w:hint="eastAsia"/>
          <w:noProof/>
        </w:rPr>
        <w:t>月</w:t>
      </w:r>
      <w:r w:rsidR="00EC4546">
        <w:rPr>
          <w:rFonts w:ascii="楷体_GB2312" w:eastAsia="楷体_GB2312" w:hint="eastAsia"/>
          <w:noProof/>
        </w:rPr>
        <w:t>31</w:t>
      </w:r>
      <w:r w:rsidRPr="00CD771C">
        <w:rPr>
          <w:rFonts w:ascii="楷体_GB2312" w:eastAsia="楷体_GB2312" w:hint="eastAsia"/>
          <w:noProof/>
        </w:rPr>
        <w:t>日</w:t>
      </w:r>
      <w:r>
        <w:rPr>
          <w:rFonts w:ascii="楷体_GB2312" w:eastAsia="楷体_GB2312" w:hint="eastAsia"/>
          <w:noProof/>
        </w:rPr>
        <w:t>,组合于2011年2</w:t>
      </w:r>
      <w:r w:rsidR="007475A5">
        <w:rPr>
          <w:rFonts w:ascii="楷体_GB2312" w:eastAsia="楷体_GB2312" w:hint="eastAsia"/>
          <w:noProof/>
        </w:rPr>
        <w:t>月</w:t>
      </w:r>
      <w:r w:rsidR="00493ABD">
        <w:rPr>
          <w:rFonts w:ascii="楷体_GB2312" w:eastAsia="楷体_GB2312" w:hint="eastAsia"/>
          <w:noProof/>
        </w:rPr>
        <w:t>1日</w:t>
      </w:r>
      <w:r w:rsidR="007475A5">
        <w:rPr>
          <w:rFonts w:ascii="楷体_GB2312" w:eastAsia="楷体_GB2312" w:hint="eastAsia"/>
          <w:noProof/>
        </w:rPr>
        <w:t>设立</w:t>
      </w:r>
      <w:r w:rsidR="00C24609">
        <w:rPr>
          <w:rFonts w:ascii="楷体_GB2312" w:eastAsia="楷体_GB2312" w:hint="eastAsia"/>
          <w:noProof/>
        </w:rPr>
        <w:t>。</w:t>
      </w:r>
    </w:p>
    <w:p w:rsidR="00E948C6" w:rsidRPr="003D06B4" w:rsidRDefault="00E948C6" w:rsidP="00E948C6">
      <w:pPr>
        <w:rPr>
          <w:rFonts w:ascii="楷体_GB2312" w:eastAsia="楷体_GB2312"/>
          <w:b/>
          <w:noProof/>
        </w:rPr>
      </w:pPr>
      <w:r>
        <w:rPr>
          <w:rFonts w:ascii="楷体_GB2312" w:eastAsia="楷体_GB2312" w:hint="eastAsia"/>
          <w:b/>
          <w:noProof/>
        </w:rPr>
        <w:t>上海证券基金推荐组合</w:t>
      </w:r>
      <w:r w:rsidRPr="003D06B4">
        <w:rPr>
          <w:rFonts w:ascii="楷体_GB2312" w:eastAsia="楷体_GB2312" w:hint="eastAsia"/>
          <w:b/>
          <w:noProof/>
        </w:rPr>
        <w:t>业绩比较基准</w:t>
      </w:r>
      <w:r>
        <w:rPr>
          <w:rFonts w:ascii="楷体_GB2312" w:eastAsia="楷体_GB2312" w:hint="eastAsia"/>
          <w:b/>
          <w:noProof/>
        </w:rPr>
        <w:t>：</w:t>
      </w:r>
    </w:p>
    <w:p w:rsidR="00E948C6" w:rsidRPr="00960590" w:rsidRDefault="00E948C6" w:rsidP="00E948C6">
      <w:pPr>
        <w:rPr>
          <w:rFonts w:ascii="楷体_GB2312" w:eastAsia="楷体_GB2312"/>
          <w:noProof/>
        </w:rPr>
      </w:pPr>
      <w:r w:rsidRPr="00960590">
        <w:rPr>
          <w:rFonts w:ascii="楷体_GB2312" w:eastAsia="楷体_GB2312" w:hint="eastAsia"/>
          <w:noProof/>
        </w:rPr>
        <w:t>积极型组合</w:t>
      </w:r>
      <w:r>
        <w:rPr>
          <w:rFonts w:ascii="楷体_GB2312" w:eastAsia="楷体_GB2312" w:hint="eastAsia"/>
          <w:noProof/>
        </w:rPr>
        <w:t>：</w:t>
      </w:r>
      <w:r w:rsidRPr="00960590">
        <w:rPr>
          <w:rFonts w:ascii="楷体_GB2312" w:eastAsia="楷体_GB2312" w:hint="eastAsia"/>
          <w:noProof/>
        </w:rPr>
        <w:t>主动投资偏股型基金整体；</w:t>
      </w:r>
    </w:p>
    <w:p w:rsidR="00E948C6" w:rsidRPr="00960590" w:rsidRDefault="00E948C6" w:rsidP="00E948C6">
      <w:pPr>
        <w:rPr>
          <w:rFonts w:ascii="楷体_GB2312" w:eastAsia="楷体_GB2312"/>
          <w:noProof/>
        </w:rPr>
      </w:pPr>
      <w:r w:rsidRPr="00960590">
        <w:rPr>
          <w:rFonts w:ascii="楷体_GB2312" w:eastAsia="楷体_GB2312" w:hint="eastAsia"/>
          <w:noProof/>
        </w:rPr>
        <w:t>平衡型</w:t>
      </w:r>
      <w:r>
        <w:rPr>
          <w:rFonts w:ascii="楷体_GB2312" w:eastAsia="楷体_GB2312" w:hint="eastAsia"/>
          <w:noProof/>
        </w:rPr>
        <w:t>组合：</w:t>
      </w:r>
      <w:r w:rsidRPr="00960590">
        <w:rPr>
          <w:rFonts w:ascii="楷体_GB2312" w:eastAsia="楷体_GB2312" w:hint="eastAsia"/>
          <w:noProof/>
        </w:rPr>
        <w:t>50%主动投资偏股型基金+50%债券型基金；</w:t>
      </w:r>
    </w:p>
    <w:p w:rsidR="00E948C6" w:rsidRPr="00960590" w:rsidRDefault="00E948C6" w:rsidP="00E948C6">
      <w:pPr>
        <w:rPr>
          <w:rFonts w:ascii="楷体_GB2312" w:eastAsia="楷体_GB2312"/>
          <w:noProof/>
        </w:rPr>
      </w:pPr>
      <w:r w:rsidRPr="00960590">
        <w:rPr>
          <w:rFonts w:ascii="楷体_GB2312" w:eastAsia="楷体_GB2312" w:hint="eastAsia"/>
          <w:noProof/>
        </w:rPr>
        <w:t>稳健型</w:t>
      </w:r>
      <w:r>
        <w:rPr>
          <w:rFonts w:ascii="楷体_GB2312" w:eastAsia="楷体_GB2312" w:hint="eastAsia"/>
          <w:noProof/>
        </w:rPr>
        <w:t>组合：</w:t>
      </w:r>
      <w:r w:rsidRPr="00960590">
        <w:rPr>
          <w:rFonts w:ascii="楷体_GB2312" w:eastAsia="楷体_GB2312" w:hint="eastAsia"/>
          <w:noProof/>
        </w:rPr>
        <w:t>一年定期存款利率</w:t>
      </w:r>
      <w:r>
        <w:rPr>
          <w:rFonts w:ascii="楷体_GB2312" w:eastAsia="楷体_GB2312" w:hint="eastAsia"/>
          <w:noProof/>
        </w:rPr>
        <w:t>。</w:t>
      </w:r>
    </w:p>
    <w:p w:rsidR="00C8243E" w:rsidRPr="00394675" w:rsidRDefault="00C8243E" w:rsidP="00C8243E">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C8243E" w:rsidRPr="00394675" w:rsidRDefault="00C8243E" w:rsidP="004B0295">
      <w:pPr>
        <w:spacing w:beforeLines="50"/>
        <w:rPr>
          <w:rFonts w:eastAsia="楷体_GB2312"/>
          <w:sz w:val="18"/>
          <w:szCs w:val="18"/>
        </w:rPr>
      </w:pPr>
      <w:r w:rsidRPr="00394675">
        <w:rPr>
          <w:rFonts w:eastAsia="楷体_GB2312"/>
          <w:sz w:val="18"/>
          <w:szCs w:val="18"/>
        </w:rPr>
        <w:t>分析师</w:t>
      </w:r>
      <w:r w:rsidR="003957E9">
        <w:rPr>
          <w:rFonts w:eastAsia="楷体_GB2312" w:hint="eastAsia"/>
          <w:sz w:val="18"/>
          <w:szCs w:val="18"/>
        </w:rPr>
        <w:t xml:space="preserve"> </w:t>
      </w:r>
      <w:r>
        <w:rPr>
          <w:rFonts w:eastAsia="楷体_GB2312" w:hint="eastAsia"/>
          <w:sz w:val="18"/>
          <w:szCs w:val="18"/>
        </w:rPr>
        <w:t>刘亦千</w:t>
      </w:r>
    </w:p>
    <w:p w:rsidR="00C8243E" w:rsidRPr="00653644" w:rsidRDefault="00C8243E" w:rsidP="00C8243E">
      <w:pPr>
        <w:spacing w:line="300" w:lineRule="exact"/>
        <w:rPr>
          <w:rFonts w:ascii="楷体_GB2312" w:eastAsia="楷体_GB2312"/>
          <w:color w:val="000000"/>
          <w:sz w:val="18"/>
          <w:szCs w:val="18"/>
        </w:rPr>
      </w:pPr>
      <w:r w:rsidRPr="00653644">
        <w:rPr>
          <w:rFonts w:ascii="楷体_GB2312" w:eastAsia="楷体_GB2312" w:hint="eastAsia"/>
          <w:color w:val="000000"/>
          <w:sz w:val="18"/>
          <w:szCs w:val="18"/>
        </w:rPr>
        <w:t>本人</w:t>
      </w:r>
      <w:r>
        <w:rPr>
          <w:rFonts w:ascii="楷体_GB2312" w:eastAsia="楷体_GB2312" w:hint="eastAsia"/>
          <w:color w:val="000000"/>
          <w:sz w:val="18"/>
          <w:szCs w:val="18"/>
        </w:rPr>
        <w:t>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C8243E" w:rsidRDefault="00C8243E" w:rsidP="00C8243E">
      <w:pPr>
        <w:spacing w:line="400" w:lineRule="exact"/>
        <w:jc w:val="left"/>
        <w:rPr>
          <w:rFonts w:ascii="楷体_GB2312" w:eastAsia="楷体_GB2312" w:hAnsi="Arial" w:cs="Arial"/>
          <w:b/>
          <w:bCs/>
          <w:color w:val="FF6600"/>
          <w:szCs w:val="21"/>
        </w:rPr>
      </w:pPr>
    </w:p>
    <w:p w:rsidR="00693B26"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公司业务资格说明</w:t>
      </w:r>
    </w:p>
    <w:p w:rsidR="00693B26" w:rsidRPr="00867DF5" w:rsidRDefault="00693B26" w:rsidP="00693B26">
      <w:pPr>
        <w:spacing w:line="400" w:lineRule="exact"/>
        <w:jc w:val="left"/>
        <w:rPr>
          <w:rFonts w:ascii="楷体_GB2312" w:eastAsia="楷体_GB2312"/>
          <w:color w:val="000000"/>
          <w:sz w:val="18"/>
          <w:szCs w:val="18"/>
        </w:rPr>
      </w:pPr>
      <w:r w:rsidRPr="00867DF5">
        <w:rPr>
          <w:rFonts w:ascii="楷体_GB2312" w:eastAsia="楷体_GB2312" w:hint="eastAsia"/>
          <w:color w:val="000000"/>
          <w:sz w:val="18"/>
          <w:szCs w:val="18"/>
        </w:rPr>
        <w:t>本公司具备证券投资咨询业务资格，是具备协会会员资格的基金评价机构</w:t>
      </w:r>
      <w:r>
        <w:rPr>
          <w:rFonts w:ascii="楷体_GB2312" w:eastAsia="楷体_GB2312" w:hint="eastAsia"/>
          <w:color w:val="000000"/>
          <w:sz w:val="18"/>
          <w:szCs w:val="18"/>
        </w:rPr>
        <w:t>。</w:t>
      </w:r>
    </w:p>
    <w:p w:rsidR="00693B26" w:rsidRDefault="00693B26" w:rsidP="00693B26">
      <w:pPr>
        <w:spacing w:line="400" w:lineRule="exact"/>
        <w:jc w:val="left"/>
        <w:rPr>
          <w:rFonts w:ascii="楷体_GB2312" w:eastAsia="楷体_GB2312" w:hAnsi="Arial" w:cs="Arial"/>
          <w:b/>
          <w:bCs/>
          <w:color w:val="003366"/>
          <w:szCs w:val="21"/>
        </w:rPr>
      </w:pPr>
    </w:p>
    <w:p w:rsidR="00693B26" w:rsidRPr="008F1970" w:rsidRDefault="00693B26" w:rsidP="00693B26">
      <w:pPr>
        <w:spacing w:line="400" w:lineRule="exact"/>
        <w:jc w:val="left"/>
        <w:rPr>
          <w:rFonts w:ascii="楷体_GB2312" w:eastAsia="楷体_GB2312" w:hAnsi="Arial" w:cs="Arial"/>
          <w:b/>
          <w:bCs/>
          <w:color w:val="003366"/>
          <w:szCs w:val="21"/>
        </w:rPr>
      </w:pPr>
      <w:r>
        <w:rPr>
          <w:rFonts w:ascii="楷体_GB2312" w:eastAsia="楷体_GB2312" w:hAnsi="Arial" w:cs="Arial" w:hint="eastAsia"/>
          <w:b/>
          <w:bCs/>
          <w:color w:val="003366"/>
          <w:szCs w:val="21"/>
        </w:rPr>
        <w:t>重要声明</w:t>
      </w:r>
    </w:p>
    <w:p w:rsidR="00693B26" w:rsidRPr="00427DD5" w:rsidRDefault="00693B26" w:rsidP="00693B26">
      <w:pPr>
        <w:spacing w:line="300" w:lineRule="exact"/>
        <w:rPr>
          <w:rFonts w:ascii="楷体_GB2312" w:eastAsia="楷体_GB2312"/>
          <w:color w:val="000000"/>
          <w:sz w:val="18"/>
          <w:szCs w:val="18"/>
        </w:rPr>
      </w:pPr>
      <w:r w:rsidRPr="00427DD5">
        <w:rPr>
          <w:rFonts w:ascii="楷体_GB2312" w:eastAsia="楷体_GB2312" w:hint="eastAsia"/>
          <w:color w:val="000000"/>
          <w:sz w:val="18"/>
          <w:szCs w:val="18"/>
        </w:rPr>
        <w:t>本报告中的信息均来源于已公开的资料，我公司对这些信息的准确性及完整性不作任何保证，不保证该信息未经任何更新，也不保证本公司作出的任何建议不会发生任何变更。在任何情况下，报告中的信息或所表达的意见并不构成所述证券买卖的出价或询价。在任何情况下，我公司不就本报告中的任何内容对任何投资作出任何形式的担保。我公司及其关联机构可能会持有报告中提到的公司所发行的证券并进行交易，还可能为这些公司提供或争取提供投资银行或财务顾问服务。业绩表现数据仅代表过去的表现，不保证未来结果。投资收益和本金将随市场波动，当出售证券资产时可能发生损益。当前的表现可能会高于或低于那时引用的数据。</w:t>
      </w:r>
    </w:p>
    <w:p w:rsidR="00693B26" w:rsidRPr="00427DD5" w:rsidRDefault="00693B26" w:rsidP="00693B26">
      <w:pPr>
        <w:spacing w:line="300" w:lineRule="exact"/>
        <w:rPr>
          <w:rFonts w:ascii="楷体_GB2312" w:eastAsia="楷体_GB2312"/>
          <w:sz w:val="18"/>
          <w:szCs w:val="18"/>
        </w:rPr>
      </w:pPr>
      <w:r w:rsidRPr="00427DD5">
        <w:rPr>
          <w:rFonts w:ascii="楷体_GB2312" w:eastAsia="楷体_GB2312" w:hint="eastAsia"/>
          <w:color w:val="000000"/>
          <w:sz w:val="18"/>
          <w:szCs w:val="18"/>
        </w:rPr>
        <w:t>本报告版权归上海证券有限责任公司所有。未获得上海证券有限责任公司事先书面授权，任何人不得对本报告进行任何形式的发布、复制。如遵循原文本意地引用、刊发，需注明出处为“上海证券基金评价研究中心”。</w:t>
      </w:r>
    </w:p>
    <w:p w:rsidR="00BE3940" w:rsidRPr="00693B26" w:rsidRDefault="00BE3940" w:rsidP="00BE3940">
      <w:pPr>
        <w:spacing w:line="300" w:lineRule="exact"/>
        <w:rPr>
          <w:rFonts w:ascii="楷体_GB2312" w:eastAsia="楷体_GB2312"/>
          <w:sz w:val="18"/>
          <w:szCs w:val="18"/>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p w:rsidR="00BE3940" w:rsidRDefault="00BE3940" w:rsidP="00BE3940">
      <w:pPr>
        <w:spacing w:line="400" w:lineRule="exact"/>
        <w:jc w:val="left"/>
        <w:rPr>
          <w:rFonts w:ascii="楷体_GB2312" w:eastAsia="楷体_GB2312" w:hAnsi="Arial" w:cs="Arial"/>
          <w:b/>
          <w:bCs/>
          <w:color w:val="FF6600"/>
          <w:szCs w:val="21"/>
        </w:rPr>
      </w:pPr>
    </w:p>
    <w:sectPr w:rsidR="00BE3940" w:rsidSect="00362A1B">
      <w:headerReference w:type="default" r:id="rId32"/>
      <w:pgSz w:w="11906" w:h="16838"/>
      <w:pgMar w:top="1418" w:right="1133"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99F" w:rsidRDefault="0060099F">
      <w:r>
        <w:separator/>
      </w:r>
    </w:p>
  </w:endnote>
  <w:endnote w:type="continuationSeparator" w:id="0">
    <w:p w:rsidR="0060099F" w:rsidRDefault="00600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5" w:rsidRDefault="004B0295" w:rsidP="00BE3940">
    <w:pPr>
      <w:pStyle w:val="a5"/>
      <w:framePr w:wrap="around" w:vAnchor="text" w:hAnchor="margin" w:xAlign="right" w:y="1"/>
      <w:rPr>
        <w:rStyle w:val="a7"/>
      </w:rPr>
    </w:pPr>
    <w:r>
      <w:rPr>
        <w:rStyle w:val="a7"/>
        <w:noProof/>
      </w:rPr>
      <w:t>1</w:t>
    </w:r>
  </w:p>
  <w:p w:rsidR="004B0295" w:rsidRDefault="004B0295" w:rsidP="00BE394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5" w:rsidRDefault="004B0295" w:rsidP="00BE3940">
    <w:pPr>
      <w:pStyle w:val="a5"/>
      <w:ind w:right="360"/>
    </w:pPr>
    <w:r>
      <w:rPr>
        <w:noProof/>
      </w:rPr>
      <w:pict>
        <v:shapetype id="_x0000_t202" coordsize="21600,21600" o:spt="202" path="m,l,21600r21600,l21600,xe">
          <v:stroke joinstyle="miter"/>
          <v:path gradientshapeok="t" o:connecttype="rect"/>
        </v:shapetype>
        <v:shape id="_x0000_s2049" type="#_x0000_t202" style="position:absolute;margin-left:28.8pt;margin-top:772.9pt;width:513.45pt;height:18pt;z-index:251656704;mso-position-horizontal-relative:page;mso-position-vertical-relative:page" filled="f" stroked="f">
          <v:textbox style="mso-next-textbox:#_x0000_s2049" inset="0,0,0,0">
            <w:txbxContent>
              <w:p w:rsidR="004B0295" w:rsidRPr="00310D17" w:rsidRDefault="004B0295" w:rsidP="00BE3940">
                <w:pPr>
                  <w:pBdr>
                    <w:top w:val="single" w:sz="4" w:space="3"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w:t>
                </w:r>
                <w:r w:rsidRPr="00EF283B">
                  <w:rPr>
                    <w:rFonts w:ascii="楷体_GB2312" w:eastAsia="楷体_GB2312" w:hint="eastAsia"/>
                    <w:b/>
                    <w:color w:val="003366"/>
                    <w:szCs w:val="21"/>
                  </w:rPr>
                  <w:t>请务必阅读尾页分析师承诺和免责条款</w:t>
                </w:r>
                <w:r>
                  <w:rPr>
                    <w:rFonts w:ascii="楷体_GB2312" w:eastAsia="楷体_GB2312" w:hint="eastAsia"/>
                    <w:b/>
                    <w:color w:val="003366"/>
                    <w:szCs w:val="21"/>
                  </w:rPr>
                  <w:t xml:space="preserve">                                                   </w:t>
                </w:r>
                <w:r w:rsidRPr="00310D17">
                  <w:rPr>
                    <w:rFonts w:ascii="楷体_GB2312" w:eastAsia="楷体_GB2312"/>
                    <w:color w:val="003366"/>
                    <w:szCs w:val="21"/>
                  </w:rPr>
                  <w:fldChar w:fldCharType="begin"/>
                </w:r>
                <w:r w:rsidRPr="00310D17">
                  <w:rPr>
                    <w:rFonts w:ascii="楷体_GB2312" w:eastAsia="楷体_GB2312"/>
                    <w:color w:val="003366"/>
                    <w:szCs w:val="21"/>
                  </w:rPr>
                  <w:instrText xml:space="preserve"> PAGE   \* MERGEFORMAT </w:instrText>
                </w:r>
                <w:r w:rsidRPr="00310D17">
                  <w:rPr>
                    <w:rFonts w:ascii="楷体_GB2312" w:eastAsia="楷体_GB2312"/>
                    <w:color w:val="003366"/>
                    <w:szCs w:val="21"/>
                  </w:rPr>
                  <w:fldChar w:fldCharType="separate"/>
                </w:r>
                <w:r w:rsidR="00C36F88" w:rsidRPr="00C36F88">
                  <w:rPr>
                    <w:rFonts w:ascii="楷体_GB2312" w:eastAsia="楷体_GB2312"/>
                    <w:noProof/>
                    <w:color w:val="003366"/>
                    <w:szCs w:val="21"/>
                    <w:lang w:val="zh-CN"/>
                  </w:rPr>
                  <w:t>8</w:t>
                </w:r>
                <w:r w:rsidRPr="00310D17">
                  <w:rPr>
                    <w:rFonts w:ascii="楷体_GB2312" w:eastAsia="楷体_GB2312"/>
                    <w:color w:val="003366"/>
                    <w:szCs w:val="2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99F" w:rsidRDefault="0060099F">
      <w:r>
        <w:separator/>
      </w:r>
    </w:p>
  </w:footnote>
  <w:footnote w:type="continuationSeparator" w:id="0">
    <w:p w:rsidR="0060099F" w:rsidRDefault="006009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5" w:rsidRPr="0010121A" w:rsidRDefault="004B0295">
    <w:pPr>
      <w:pStyle w:val="a4"/>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95" w:rsidRPr="00935FC9" w:rsidRDefault="004B0295" w:rsidP="00CE0CE6">
    <w:pPr>
      <w:pStyle w:val="a4"/>
      <w:jc w:val="left"/>
      <w:rPr>
        <w:rFonts w:ascii="楷体_GB2312" w:eastAsia="楷体_GB2312"/>
        <w:b/>
        <w:color w:val="333399"/>
        <w:sz w:val="24"/>
        <w:szCs w:val="24"/>
      </w:rPr>
    </w:pPr>
    <w:r w:rsidRPr="000865D2">
      <w:rPr>
        <w:rFonts w:ascii="楷体_GB2312" w:eastAsia="楷体_GB2312"/>
        <w:b/>
        <w:noProof/>
        <w:color w:val="003366"/>
        <w:sz w:val="21"/>
        <w:szCs w:val="21"/>
      </w:rPr>
      <w:pict>
        <v:line id="_x0000_s2054" style="position:absolute;z-index:251658752" from="70.1pt,20.55pt" to="459pt,20.55pt" strokecolor="#036" strokeweight="1.5pt"/>
      </w:pict>
    </w:r>
    <w:r>
      <w:rPr>
        <w:rFonts w:ascii="楷体_GB2312" w:eastAsia="楷体_GB2312" w:hint="eastAsia"/>
        <w:b/>
        <w:noProof/>
        <w:color w:val="003366"/>
        <w:sz w:val="21"/>
        <w:szCs w:val="21"/>
      </w:rPr>
      <w:drawing>
        <wp:inline distT="0" distB="0" distL="0" distR="0">
          <wp:extent cx="905510" cy="241300"/>
          <wp:effectExtent l="19050" t="0" r="8890" b="0"/>
          <wp:docPr id="9" name="图片 9" descr="ye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mei"/>
                  <pic:cNvPicPr>
                    <a:picLocks noChangeAspect="1" noChangeArrowheads="1"/>
                  </pic:cNvPicPr>
                </pic:nvPicPr>
                <pic:blipFill>
                  <a:blip r:embed="rId1"/>
                  <a:srcRect/>
                  <a:stretch>
                    <a:fillRect/>
                  </a:stretch>
                </pic:blipFill>
                <pic:spPr bwMode="auto">
                  <a:xfrm>
                    <a:off x="0" y="0"/>
                    <a:ext cx="905510" cy="241300"/>
                  </a:xfrm>
                  <a:prstGeom prst="rect">
                    <a:avLst/>
                  </a:prstGeom>
                  <a:noFill/>
                  <a:ln w="9525">
                    <a:noFill/>
                    <a:miter lim="800000"/>
                    <a:headEnd/>
                    <a:tailEnd/>
                  </a:ln>
                </pic:spPr>
              </pic:pic>
            </a:graphicData>
          </a:graphic>
        </wp:inline>
      </w:drawing>
    </w:r>
    <w:r w:rsidRPr="000865D2">
      <w:rPr>
        <w:rFonts w:ascii="楷体_GB2312" w:eastAsia="楷体_GB2312"/>
        <w:b/>
        <w:noProof/>
        <w:color w:val="333399"/>
        <w:sz w:val="21"/>
        <w:szCs w:val="21"/>
      </w:rPr>
      <w:pict>
        <v:shapetype id="_x0000_t202" coordsize="21600,21600" o:spt="202" path="m,l,21600r21600,l21600,xe">
          <v:stroke joinstyle="miter"/>
          <v:path gradientshapeok="t" o:connecttype="rect"/>
        </v:shapetype>
        <v:shape id="_x0000_s2055" type="#_x0000_t202" style="position:absolute;margin-left:-189pt;margin-top:-2.85pt;width:89.25pt;height:30.1pt;z-index:251657728;mso-wrap-style:none;mso-position-horizontal-relative:text;mso-position-vertical-relative:text" stroked="f">
          <v:textbox style="mso-next-textbox:#_x0000_s2055;mso-fit-shape-to-text:t">
            <w:txbxContent>
              <w:p w:rsidR="004B0295" w:rsidRDefault="004B0295">
                <w:r>
                  <w:rPr>
                    <w:noProof/>
                  </w:rPr>
                  <w:drawing>
                    <wp:inline distT="0" distB="0" distL="0" distR="0">
                      <wp:extent cx="948690" cy="293370"/>
                      <wp:effectExtent l="19050" t="0" r="381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948690" cy="293370"/>
                              </a:xfrm>
                              <a:prstGeom prst="rect">
                                <a:avLst/>
                              </a:prstGeom>
                              <a:noFill/>
                              <a:ln w="9525">
                                <a:noFill/>
                                <a:miter lim="800000"/>
                                <a:headEnd/>
                                <a:tailEnd/>
                              </a:ln>
                            </pic:spPr>
                          </pic:pic>
                        </a:graphicData>
                      </a:graphic>
                    </wp:inline>
                  </w:drawing>
                </w:r>
              </w:p>
            </w:txbxContent>
          </v:textbox>
        </v:shape>
      </w:pict>
    </w:r>
    <w:r>
      <w:rPr>
        <w:rFonts w:ascii="楷体_GB2312" w:eastAsia="楷体_GB2312" w:hint="eastAsia"/>
        <w:b/>
        <w:color w:val="333399"/>
        <w:sz w:val="21"/>
        <w:szCs w:val="21"/>
      </w:rPr>
      <w:t xml:space="preserve"> </w:t>
    </w:r>
    <w:r w:rsidRPr="00935FC9">
      <w:rPr>
        <w:rFonts w:ascii="楷体_GB2312" w:eastAsia="楷体_GB2312" w:hint="eastAsia"/>
        <w:b/>
        <w:color w:val="333399"/>
        <w:sz w:val="24"/>
        <w:szCs w:val="24"/>
      </w:rPr>
      <w:t xml:space="preserve">   </w:t>
    </w:r>
    <w:r>
      <w:rPr>
        <w:rFonts w:ascii="楷体_GB2312" w:eastAsia="楷体_GB2312" w:hint="eastAsia"/>
        <w:b/>
        <w:color w:val="333399"/>
        <w:sz w:val="24"/>
        <w:szCs w:val="24"/>
      </w:rPr>
      <w:t xml:space="preserve">         </w:t>
    </w:r>
    <w:r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6173"/>
    <w:multiLevelType w:val="hybridMultilevel"/>
    <w:tmpl w:val="03680652"/>
    <w:lvl w:ilvl="0" w:tplc="B3C40B68">
      <w:start w:val="1"/>
      <w:numFmt w:val="japaneseCounting"/>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1">
    <w:nsid w:val="293D56C2"/>
    <w:multiLevelType w:val="multilevel"/>
    <w:tmpl w:val="03680652"/>
    <w:lvl w:ilvl="0">
      <w:start w:val="1"/>
      <w:numFmt w:val="japaneseCounting"/>
      <w:lvlText w:val="%1、"/>
      <w:lvlJc w:val="left"/>
      <w:pPr>
        <w:tabs>
          <w:tab w:val="num" w:pos="3555"/>
        </w:tabs>
        <w:ind w:left="3555" w:hanging="720"/>
      </w:pPr>
      <w:rPr>
        <w:rFonts w:hint="default"/>
      </w:rPr>
    </w:lvl>
    <w:lvl w:ilvl="1">
      <w:start w:val="1"/>
      <w:numFmt w:val="lowerLetter"/>
      <w:lvlText w:val="%2)"/>
      <w:lvlJc w:val="left"/>
      <w:pPr>
        <w:tabs>
          <w:tab w:val="num" w:pos="3675"/>
        </w:tabs>
        <w:ind w:left="3675" w:hanging="420"/>
      </w:pPr>
    </w:lvl>
    <w:lvl w:ilvl="2">
      <w:start w:val="1"/>
      <w:numFmt w:val="lowerRoman"/>
      <w:lvlText w:val="%3."/>
      <w:lvlJc w:val="right"/>
      <w:pPr>
        <w:tabs>
          <w:tab w:val="num" w:pos="4095"/>
        </w:tabs>
        <w:ind w:left="4095" w:hanging="420"/>
      </w:pPr>
    </w:lvl>
    <w:lvl w:ilvl="3">
      <w:start w:val="1"/>
      <w:numFmt w:val="decimal"/>
      <w:lvlText w:val="%4."/>
      <w:lvlJc w:val="left"/>
      <w:pPr>
        <w:tabs>
          <w:tab w:val="num" w:pos="4515"/>
        </w:tabs>
        <w:ind w:left="4515" w:hanging="420"/>
      </w:pPr>
    </w:lvl>
    <w:lvl w:ilvl="4">
      <w:start w:val="1"/>
      <w:numFmt w:val="lowerLetter"/>
      <w:lvlText w:val="%5)"/>
      <w:lvlJc w:val="left"/>
      <w:pPr>
        <w:tabs>
          <w:tab w:val="num" w:pos="4935"/>
        </w:tabs>
        <w:ind w:left="4935" w:hanging="420"/>
      </w:pPr>
    </w:lvl>
    <w:lvl w:ilvl="5">
      <w:start w:val="1"/>
      <w:numFmt w:val="lowerRoman"/>
      <w:lvlText w:val="%6."/>
      <w:lvlJc w:val="right"/>
      <w:pPr>
        <w:tabs>
          <w:tab w:val="num" w:pos="5355"/>
        </w:tabs>
        <w:ind w:left="5355" w:hanging="420"/>
      </w:pPr>
    </w:lvl>
    <w:lvl w:ilvl="6">
      <w:start w:val="1"/>
      <w:numFmt w:val="decimal"/>
      <w:lvlText w:val="%7."/>
      <w:lvlJc w:val="left"/>
      <w:pPr>
        <w:tabs>
          <w:tab w:val="num" w:pos="5775"/>
        </w:tabs>
        <w:ind w:left="5775" w:hanging="420"/>
      </w:pPr>
    </w:lvl>
    <w:lvl w:ilvl="7">
      <w:start w:val="1"/>
      <w:numFmt w:val="lowerLetter"/>
      <w:lvlText w:val="%8)"/>
      <w:lvlJc w:val="left"/>
      <w:pPr>
        <w:tabs>
          <w:tab w:val="num" w:pos="6195"/>
        </w:tabs>
        <w:ind w:left="6195" w:hanging="420"/>
      </w:pPr>
    </w:lvl>
    <w:lvl w:ilvl="8">
      <w:start w:val="1"/>
      <w:numFmt w:val="lowerRoman"/>
      <w:lvlText w:val="%9."/>
      <w:lvlJc w:val="right"/>
      <w:pPr>
        <w:tabs>
          <w:tab w:val="num" w:pos="6615"/>
        </w:tabs>
        <w:ind w:left="6615" w:hanging="420"/>
      </w:pPr>
    </w:lvl>
  </w:abstractNum>
  <w:abstractNum w:abstractNumId="2">
    <w:nsid w:val="2A070CE6"/>
    <w:multiLevelType w:val="hybridMultilevel"/>
    <w:tmpl w:val="03680652"/>
    <w:lvl w:ilvl="0" w:tplc="B3C40B68">
      <w:start w:val="1"/>
      <w:numFmt w:val="japaneseCounting"/>
      <w:pStyle w:val="ParaChar"/>
      <w:lvlText w:val="%1、"/>
      <w:lvlJc w:val="left"/>
      <w:pPr>
        <w:tabs>
          <w:tab w:val="num" w:pos="3555"/>
        </w:tabs>
        <w:ind w:left="3555" w:hanging="72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3">
    <w:nsid w:val="31E25EFD"/>
    <w:multiLevelType w:val="hybridMultilevel"/>
    <w:tmpl w:val="A90A8370"/>
    <w:lvl w:ilvl="0" w:tplc="63787446">
      <w:start w:val="1"/>
      <w:numFmt w:val="bullet"/>
      <w:lvlText w:val=""/>
      <w:lvlJc w:val="left"/>
      <w:pPr>
        <w:tabs>
          <w:tab w:val="num" w:pos="420"/>
        </w:tabs>
        <w:ind w:left="420" w:hanging="420"/>
      </w:pPr>
      <w:rPr>
        <w:rFonts w:ascii="Wingdings" w:hAnsi="Wingdings" w:hint="default"/>
        <w:color w:val="003366"/>
      </w:rPr>
    </w:lvl>
    <w:lvl w:ilvl="1" w:tplc="318E7592" w:tentative="1">
      <w:start w:val="1"/>
      <w:numFmt w:val="bullet"/>
      <w:lvlText w:val=""/>
      <w:lvlJc w:val="left"/>
      <w:pPr>
        <w:tabs>
          <w:tab w:val="num" w:pos="840"/>
        </w:tabs>
        <w:ind w:left="840" w:hanging="420"/>
      </w:pPr>
      <w:rPr>
        <w:rFonts w:ascii="Wingdings" w:hAnsi="Wingdings" w:hint="default"/>
      </w:rPr>
    </w:lvl>
    <w:lvl w:ilvl="2" w:tplc="DB9447D4" w:tentative="1">
      <w:start w:val="1"/>
      <w:numFmt w:val="bullet"/>
      <w:lvlText w:val=""/>
      <w:lvlJc w:val="left"/>
      <w:pPr>
        <w:tabs>
          <w:tab w:val="num" w:pos="1260"/>
        </w:tabs>
        <w:ind w:left="1260" w:hanging="420"/>
      </w:pPr>
      <w:rPr>
        <w:rFonts w:ascii="Wingdings" w:hAnsi="Wingdings" w:hint="default"/>
      </w:rPr>
    </w:lvl>
    <w:lvl w:ilvl="3" w:tplc="EF2866D2" w:tentative="1">
      <w:start w:val="1"/>
      <w:numFmt w:val="bullet"/>
      <w:lvlText w:val=""/>
      <w:lvlJc w:val="left"/>
      <w:pPr>
        <w:tabs>
          <w:tab w:val="num" w:pos="1680"/>
        </w:tabs>
        <w:ind w:left="1680" w:hanging="420"/>
      </w:pPr>
      <w:rPr>
        <w:rFonts w:ascii="Wingdings" w:hAnsi="Wingdings" w:hint="default"/>
      </w:rPr>
    </w:lvl>
    <w:lvl w:ilvl="4" w:tplc="0E56385C" w:tentative="1">
      <w:start w:val="1"/>
      <w:numFmt w:val="bullet"/>
      <w:lvlText w:val=""/>
      <w:lvlJc w:val="left"/>
      <w:pPr>
        <w:tabs>
          <w:tab w:val="num" w:pos="2100"/>
        </w:tabs>
        <w:ind w:left="2100" w:hanging="420"/>
      </w:pPr>
      <w:rPr>
        <w:rFonts w:ascii="Wingdings" w:hAnsi="Wingdings" w:hint="default"/>
      </w:rPr>
    </w:lvl>
    <w:lvl w:ilvl="5" w:tplc="79AC2510" w:tentative="1">
      <w:start w:val="1"/>
      <w:numFmt w:val="bullet"/>
      <w:lvlText w:val=""/>
      <w:lvlJc w:val="left"/>
      <w:pPr>
        <w:tabs>
          <w:tab w:val="num" w:pos="2520"/>
        </w:tabs>
        <w:ind w:left="2520" w:hanging="420"/>
      </w:pPr>
      <w:rPr>
        <w:rFonts w:ascii="Wingdings" w:hAnsi="Wingdings" w:hint="default"/>
      </w:rPr>
    </w:lvl>
    <w:lvl w:ilvl="6" w:tplc="505EA050" w:tentative="1">
      <w:start w:val="1"/>
      <w:numFmt w:val="bullet"/>
      <w:lvlText w:val=""/>
      <w:lvlJc w:val="left"/>
      <w:pPr>
        <w:tabs>
          <w:tab w:val="num" w:pos="2940"/>
        </w:tabs>
        <w:ind w:left="2940" w:hanging="420"/>
      </w:pPr>
      <w:rPr>
        <w:rFonts w:ascii="Wingdings" w:hAnsi="Wingdings" w:hint="default"/>
      </w:rPr>
    </w:lvl>
    <w:lvl w:ilvl="7" w:tplc="B9D00E26" w:tentative="1">
      <w:start w:val="1"/>
      <w:numFmt w:val="bullet"/>
      <w:lvlText w:val=""/>
      <w:lvlJc w:val="left"/>
      <w:pPr>
        <w:tabs>
          <w:tab w:val="num" w:pos="3360"/>
        </w:tabs>
        <w:ind w:left="3360" w:hanging="420"/>
      </w:pPr>
      <w:rPr>
        <w:rFonts w:ascii="Wingdings" w:hAnsi="Wingdings" w:hint="default"/>
      </w:rPr>
    </w:lvl>
    <w:lvl w:ilvl="8" w:tplc="16A63F48" w:tentative="1">
      <w:start w:val="1"/>
      <w:numFmt w:val="bullet"/>
      <w:lvlText w:val=""/>
      <w:lvlJc w:val="left"/>
      <w:pPr>
        <w:tabs>
          <w:tab w:val="num" w:pos="3780"/>
        </w:tabs>
        <w:ind w:left="3780" w:hanging="420"/>
      </w:pPr>
      <w:rPr>
        <w:rFonts w:ascii="Wingdings" w:hAnsi="Wingdings" w:hint="default"/>
      </w:rPr>
    </w:lvl>
  </w:abstractNum>
  <w:abstractNum w:abstractNumId="4">
    <w:nsid w:val="45F20624"/>
    <w:multiLevelType w:val="hybridMultilevel"/>
    <w:tmpl w:val="EEAE34C4"/>
    <w:lvl w:ilvl="0" w:tplc="F6EA0C6C">
      <w:numFmt w:val="bullet"/>
      <w:lvlText w:val="★"/>
      <w:lvlJc w:val="left"/>
      <w:pPr>
        <w:ind w:left="360" w:hanging="360"/>
      </w:pPr>
      <w:rPr>
        <w:rFonts w:ascii="楷体_GB2312" w:eastAsia="楷体_GB2312" w:hAnsi="宋体" w:cs="宋体" w:hint="eastAsia"/>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6">
    <w:nsid w:val="7E1A10C2"/>
    <w:multiLevelType w:val="hybridMultilevel"/>
    <w:tmpl w:val="33A219AA"/>
    <w:lvl w:ilvl="0" w:tplc="A38A7AD4">
      <w:start w:val="1"/>
      <w:numFmt w:val="bullet"/>
      <w:lvlText w:val=""/>
      <w:lvlJc w:val="left"/>
      <w:pPr>
        <w:tabs>
          <w:tab w:val="num" w:pos="425"/>
        </w:tabs>
        <w:ind w:left="425" w:hanging="425"/>
      </w:pPr>
      <w:rPr>
        <w:rFonts w:ascii="Wingdings" w:hAnsi="Wingdings" w:hint="default"/>
        <w:color w:val="003366"/>
      </w:rPr>
    </w:lvl>
    <w:lvl w:ilvl="1" w:tplc="9A60056E" w:tentative="1">
      <w:start w:val="1"/>
      <w:numFmt w:val="bullet"/>
      <w:lvlText w:val=""/>
      <w:lvlJc w:val="left"/>
      <w:pPr>
        <w:tabs>
          <w:tab w:val="num" w:pos="840"/>
        </w:tabs>
        <w:ind w:left="840" w:hanging="420"/>
      </w:pPr>
      <w:rPr>
        <w:rFonts w:ascii="Wingdings" w:hAnsi="Wingdings" w:hint="default"/>
      </w:rPr>
    </w:lvl>
    <w:lvl w:ilvl="2" w:tplc="8BEC58DE" w:tentative="1">
      <w:start w:val="1"/>
      <w:numFmt w:val="bullet"/>
      <w:lvlText w:val=""/>
      <w:lvlJc w:val="left"/>
      <w:pPr>
        <w:tabs>
          <w:tab w:val="num" w:pos="1260"/>
        </w:tabs>
        <w:ind w:left="1260" w:hanging="420"/>
      </w:pPr>
      <w:rPr>
        <w:rFonts w:ascii="Wingdings" w:hAnsi="Wingdings" w:hint="default"/>
      </w:rPr>
    </w:lvl>
    <w:lvl w:ilvl="3" w:tplc="C9B83B34" w:tentative="1">
      <w:start w:val="1"/>
      <w:numFmt w:val="bullet"/>
      <w:lvlText w:val=""/>
      <w:lvlJc w:val="left"/>
      <w:pPr>
        <w:tabs>
          <w:tab w:val="num" w:pos="1680"/>
        </w:tabs>
        <w:ind w:left="1680" w:hanging="420"/>
      </w:pPr>
      <w:rPr>
        <w:rFonts w:ascii="Wingdings" w:hAnsi="Wingdings" w:hint="default"/>
      </w:rPr>
    </w:lvl>
    <w:lvl w:ilvl="4" w:tplc="C64E2148" w:tentative="1">
      <w:start w:val="1"/>
      <w:numFmt w:val="bullet"/>
      <w:lvlText w:val=""/>
      <w:lvlJc w:val="left"/>
      <w:pPr>
        <w:tabs>
          <w:tab w:val="num" w:pos="2100"/>
        </w:tabs>
        <w:ind w:left="2100" w:hanging="420"/>
      </w:pPr>
      <w:rPr>
        <w:rFonts w:ascii="Wingdings" w:hAnsi="Wingdings" w:hint="default"/>
      </w:rPr>
    </w:lvl>
    <w:lvl w:ilvl="5" w:tplc="2A5C8172" w:tentative="1">
      <w:start w:val="1"/>
      <w:numFmt w:val="bullet"/>
      <w:lvlText w:val=""/>
      <w:lvlJc w:val="left"/>
      <w:pPr>
        <w:tabs>
          <w:tab w:val="num" w:pos="2520"/>
        </w:tabs>
        <w:ind w:left="2520" w:hanging="420"/>
      </w:pPr>
      <w:rPr>
        <w:rFonts w:ascii="Wingdings" w:hAnsi="Wingdings" w:hint="default"/>
      </w:rPr>
    </w:lvl>
    <w:lvl w:ilvl="6" w:tplc="88B4F5E0" w:tentative="1">
      <w:start w:val="1"/>
      <w:numFmt w:val="bullet"/>
      <w:lvlText w:val=""/>
      <w:lvlJc w:val="left"/>
      <w:pPr>
        <w:tabs>
          <w:tab w:val="num" w:pos="2940"/>
        </w:tabs>
        <w:ind w:left="2940" w:hanging="420"/>
      </w:pPr>
      <w:rPr>
        <w:rFonts w:ascii="Wingdings" w:hAnsi="Wingdings" w:hint="default"/>
      </w:rPr>
    </w:lvl>
    <w:lvl w:ilvl="7" w:tplc="17E63E7E" w:tentative="1">
      <w:start w:val="1"/>
      <w:numFmt w:val="bullet"/>
      <w:lvlText w:val=""/>
      <w:lvlJc w:val="left"/>
      <w:pPr>
        <w:tabs>
          <w:tab w:val="num" w:pos="3360"/>
        </w:tabs>
        <w:ind w:left="3360" w:hanging="420"/>
      </w:pPr>
      <w:rPr>
        <w:rFonts w:ascii="Wingdings" w:hAnsi="Wingdings" w:hint="default"/>
      </w:rPr>
    </w:lvl>
    <w:lvl w:ilvl="8" w:tplc="D2520B0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52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7688"/>
    <w:rsid w:val="00000536"/>
    <w:rsid w:val="00000AD4"/>
    <w:rsid w:val="00000E9F"/>
    <w:rsid w:val="000044F4"/>
    <w:rsid w:val="00005BE8"/>
    <w:rsid w:val="0000648E"/>
    <w:rsid w:val="000106CA"/>
    <w:rsid w:val="0001113C"/>
    <w:rsid w:val="0001127B"/>
    <w:rsid w:val="000129DA"/>
    <w:rsid w:val="000131EA"/>
    <w:rsid w:val="0001321E"/>
    <w:rsid w:val="0001469B"/>
    <w:rsid w:val="000157C0"/>
    <w:rsid w:val="00016CEE"/>
    <w:rsid w:val="00016D23"/>
    <w:rsid w:val="000171B5"/>
    <w:rsid w:val="000174A7"/>
    <w:rsid w:val="000202BA"/>
    <w:rsid w:val="00021FBC"/>
    <w:rsid w:val="00022534"/>
    <w:rsid w:val="000238F6"/>
    <w:rsid w:val="00023DD5"/>
    <w:rsid w:val="000246CA"/>
    <w:rsid w:val="00024B12"/>
    <w:rsid w:val="000258AD"/>
    <w:rsid w:val="00025F5B"/>
    <w:rsid w:val="000274E7"/>
    <w:rsid w:val="00027789"/>
    <w:rsid w:val="00027E1E"/>
    <w:rsid w:val="0003081E"/>
    <w:rsid w:val="00030B24"/>
    <w:rsid w:val="00030BAB"/>
    <w:rsid w:val="00030D7F"/>
    <w:rsid w:val="00030F4D"/>
    <w:rsid w:val="000314BE"/>
    <w:rsid w:val="00031764"/>
    <w:rsid w:val="000322EF"/>
    <w:rsid w:val="000327E3"/>
    <w:rsid w:val="0003301C"/>
    <w:rsid w:val="000331E5"/>
    <w:rsid w:val="0003332D"/>
    <w:rsid w:val="00034BC1"/>
    <w:rsid w:val="00034DC0"/>
    <w:rsid w:val="00035714"/>
    <w:rsid w:val="00035A3C"/>
    <w:rsid w:val="00037269"/>
    <w:rsid w:val="00040F4E"/>
    <w:rsid w:val="0004119D"/>
    <w:rsid w:val="00041A04"/>
    <w:rsid w:val="00042120"/>
    <w:rsid w:val="00042CAA"/>
    <w:rsid w:val="0004318E"/>
    <w:rsid w:val="000440AF"/>
    <w:rsid w:val="00046606"/>
    <w:rsid w:val="0004775B"/>
    <w:rsid w:val="00047AF8"/>
    <w:rsid w:val="00050159"/>
    <w:rsid w:val="0005024E"/>
    <w:rsid w:val="0005043F"/>
    <w:rsid w:val="00050ED4"/>
    <w:rsid w:val="0005103B"/>
    <w:rsid w:val="00052F7F"/>
    <w:rsid w:val="00053075"/>
    <w:rsid w:val="000534E5"/>
    <w:rsid w:val="0005399B"/>
    <w:rsid w:val="00053B65"/>
    <w:rsid w:val="0005451D"/>
    <w:rsid w:val="00055F5A"/>
    <w:rsid w:val="00057986"/>
    <w:rsid w:val="00057C80"/>
    <w:rsid w:val="0006016E"/>
    <w:rsid w:val="0006046B"/>
    <w:rsid w:val="00060998"/>
    <w:rsid w:val="00060F37"/>
    <w:rsid w:val="00061549"/>
    <w:rsid w:val="0006278C"/>
    <w:rsid w:val="00062C2E"/>
    <w:rsid w:val="0006308E"/>
    <w:rsid w:val="00063307"/>
    <w:rsid w:val="000633FA"/>
    <w:rsid w:val="00063AC0"/>
    <w:rsid w:val="00064025"/>
    <w:rsid w:val="00064639"/>
    <w:rsid w:val="00065A74"/>
    <w:rsid w:val="00065D61"/>
    <w:rsid w:val="0006601F"/>
    <w:rsid w:val="000665F7"/>
    <w:rsid w:val="00067072"/>
    <w:rsid w:val="000679F2"/>
    <w:rsid w:val="00067A3A"/>
    <w:rsid w:val="00067EE7"/>
    <w:rsid w:val="0007081F"/>
    <w:rsid w:val="000709F3"/>
    <w:rsid w:val="0007102E"/>
    <w:rsid w:val="000730BF"/>
    <w:rsid w:val="00073837"/>
    <w:rsid w:val="00073A20"/>
    <w:rsid w:val="00074C34"/>
    <w:rsid w:val="000753A8"/>
    <w:rsid w:val="00075727"/>
    <w:rsid w:val="00075A47"/>
    <w:rsid w:val="00075DEA"/>
    <w:rsid w:val="000765F3"/>
    <w:rsid w:val="000772BD"/>
    <w:rsid w:val="000773C7"/>
    <w:rsid w:val="000803E1"/>
    <w:rsid w:val="0008073B"/>
    <w:rsid w:val="00080C6C"/>
    <w:rsid w:val="000823FE"/>
    <w:rsid w:val="00083230"/>
    <w:rsid w:val="00083340"/>
    <w:rsid w:val="000838AB"/>
    <w:rsid w:val="00083D28"/>
    <w:rsid w:val="000844AB"/>
    <w:rsid w:val="000844E3"/>
    <w:rsid w:val="00084813"/>
    <w:rsid w:val="00084F6B"/>
    <w:rsid w:val="000865D2"/>
    <w:rsid w:val="0008663F"/>
    <w:rsid w:val="00087C65"/>
    <w:rsid w:val="000903CC"/>
    <w:rsid w:val="00091B9B"/>
    <w:rsid w:val="00092408"/>
    <w:rsid w:val="00093188"/>
    <w:rsid w:val="00093F2D"/>
    <w:rsid w:val="00095242"/>
    <w:rsid w:val="00095B04"/>
    <w:rsid w:val="00095C41"/>
    <w:rsid w:val="00096293"/>
    <w:rsid w:val="00096A58"/>
    <w:rsid w:val="00096FBA"/>
    <w:rsid w:val="000970EC"/>
    <w:rsid w:val="00097F4B"/>
    <w:rsid w:val="000A06A5"/>
    <w:rsid w:val="000A0CBC"/>
    <w:rsid w:val="000A0D9A"/>
    <w:rsid w:val="000A29F5"/>
    <w:rsid w:val="000A3362"/>
    <w:rsid w:val="000A390F"/>
    <w:rsid w:val="000A3FB9"/>
    <w:rsid w:val="000A5E65"/>
    <w:rsid w:val="000A6448"/>
    <w:rsid w:val="000A7E5D"/>
    <w:rsid w:val="000B0503"/>
    <w:rsid w:val="000B0573"/>
    <w:rsid w:val="000B0C95"/>
    <w:rsid w:val="000B3575"/>
    <w:rsid w:val="000B37D0"/>
    <w:rsid w:val="000B3D93"/>
    <w:rsid w:val="000B40AB"/>
    <w:rsid w:val="000B4882"/>
    <w:rsid w:val="000B488B"/>
    <w:rsid w:val="000B50D6"/>
    <w:rsid w:val="000B5ABE"/>
    <w:rsid w:val="000B6726"/>
    <w:rsid w:val="000B69C4"/>
    <w:rsid w:val="000B72A5"/>
    <w:rsid w:val="000C0C63"/>
    <w:rsid w:val="000C103A"/>
    <w:rsid w:val="000C10D1"/>
    <w:rsid w:val="000C15E5"/>
    <w:rsid w:val="000C18A0"/>
    <w:rsid w:val="000C19E7"/>
    <w:rsid w:val="000C24D4"/>
    <w:rsid w:val="000C3C4B"/>
    <w:rsid w:val="000C50F4"/>
    <w:rsid w:val="000C5348"/>
    <w:rsid w:val="000C56F5"/>
    <w:rsid w:val="000C67A7"/>
    <w:rsid w:val="000C6D2E"/>
    <w:rsid w:val="000C791B"/>
    <w:rsid w:val="000D09B6"/>
    <w:rsid w:val="000D141F"/>
    <w:rsid w:val="000D1B25"/>
    <w:rsid w:val="000D2EC7"/>
    <w:rsid w:val="000D518A"/>
    <w:rsid w:val="000D6382"/>
    <w:rsid w:val="000D6473"/>
    <w:rsid w:val="000D7492"/>
    <w:rsid w:val="000D76CD"/>
    <w:rsid w:val="000D787B"/>
    <w:rsid w:val="000D7E85"/>
    <w:rsid w:val="000E0AE9"/>
    <w:rsid w:val="000E1282"/>
    <w:rsid w:val="000E209A"/>
    <w:rsid w:val="000E2171"/>
    <w:rsid w:val="000E257F"/>
    <w:rsid w:val="000E2698"/>
    <w:rsid w:val="000E3D2E"/>
    <w:rsid w:val="000E41B8"/>
    <w:rsid w:val="000E4FF1"/>
    <w:rsid w:val="000E640F"/>
    <w:rsid w:val="000E6F1C"/>
    <w:rsid w:val="000E7BF8"/>
    <w:rsid w:val="000F03E0"/>
    <w:rsid w:val="000F0B66"/>
    <w:rsid w:val="000F0DFF"/>
    <w:rsid w:val="000F0EAA"/>
    <w:rsid w:val="000F35EA"/>
    <w:rsid w:val="000F3B44"/>
    <w:rsid w:val="000F4524"/>
    <w:rsid w:val="000F47BA"/>
    <w:rsid w:val="000F4D4B"/>
    <w:rsid w:val="000F6411"/>
    <w:rsid w:val="000F6EE1"/>
    <w:rsid w:val="000F7237"/>
    <w:rsid w:val="000F798B"/>
    <w:rsid w:val="000F7C7F"/>
    <w:rsid w:val="00100C8A"/>
    <w:rsid w:val="00102310"/>
    <w:rsid w:val="00102450"/>
    <w:rsid w:val="001026DB"/>
    <w:rsid w:val="00102B74"/>
    <w:rsid w:val="00103390"/>
    <w:rsid w:val="00103762"/>
    <w:rsid w:val="00103A2B"/>
    <w:rsid w:val="00105F08"/>
    <w:rsid w:val="00110B48"/>
    <w:rsid w:val="001129F3"/>
    <w:rsid w:val="00112BF0"/>
    <w:rsid w:val="00112EB3"/>
    <w:rsid w:val="001130A2"/>
    <w:rsid w:val="00113CD9"/>
    <w:rsid w:val="00114C8D"/>
    <w:rsid w:val="00115273"/>
    <w:rsid w:val="001153EB"/>
    <w:rsid w:val="00115520"/>
    <w:rsid w:val="0011584C"/>
    <w:rsid w:val="00115CB5"/>
    <w:rsid w:val="00117050"/>
    <w:rsid w:val="001170FF"/>
    <w:rsid w:val="00117652"/>
    <w:rsid w:val="00121950"/>
    <w:rsid w:val="001224D9"/>
    <w:rsid w:val="0012296B"/>
    <w:rsid w:val="00122AC5"/>
    <w:rsid w:val="0012322E"/>
    <w:rsid w:val="001236F7"/>
    <w:rsid w:val="00123C08"/>
    <w:rsid w:val="00123D36"/>
    <w:rsid w:val="00123D74"/>
    <w:rsid w:val="0012476C"/>
    <w:rsid w:val="001256F5"/>
    <w:rsid w:val="001257DF"/>
    <w:rsid w:val="001265A1"/>
    <w:rsid w:val="0012674B"/>
    <w:rsid w:val="001268D9"/>
    <w:rsid w:val="00126966"/>
    <w:rsid w:val="001275F8"/>
    <w:rsid w:val="0013007A"/>
    <w:rsid w:val="00130869"/>
    <w:rsid w:val="00130E8B"/>
    <w:rsid w:val="001316D7"/>
    <w:rsid w:val="001316F6"/>
    <w:rsid w:val="0013271C"/>
    <w:rsid w:val="001329DD"/>
    <w:rsid w:val="00132F20"/>
    <w:rsid w:val="00133570"/>
    <w:rsid w:val="00134A4E"/>
    <w:rsid w:val="00134A97"/>
    <w:rsid w:val="00135E33"/>
    <w:rsid w:val="00135F63"/>
    <w:rsid w:val="001365B3"/>
    <w:rsid w:val="00136DAC"/>
    <w:rsid w:val="00137360"/>
    <w:rsid w:val="001407BA"/>
    <w:rsid w:val="00140CA2"/>
    <w:rsid w:val="00141178"/>
    <w:rsid w:val="001414CB"/>
    <w:rsid w:val="001417EA"/>
    <w:rsid w:val="00141C52"/>
    <w:rsid w:val="001430A8"/>
    <w:rsid w:val="00143200"/>
    <w:rsid w:val="001436D8"/>
    <w:rsid w:val="00143870"/>
    <w:rsid w:val="00143B16"/>
    <w:rsid w:val="00144B03"/>
    <w:rsid w:val="00144B28"/>
    <w:rsid w:val="00144B9D"/>
    <w:rsid w:val="001459B6"/>
    <w:rsid w:val="00145C28"/>
    <w:rsid w:val="00146029"/>
    <w:rsid w:val="00146588"/>
    <w:rsid w:val="00146EEF"/>
    <w:rsid w:val="0014719B"/>
    <w:rsid w:val="00147DFB"/>
    <w:rsid w:val="00151072"/>
    <w:rsid w:val="00151C0B"/>
    <w:rsid w:val="00151D25"/>
    <w:rsid w:val="00152623"/>
    <w:rsid w:val="00153698"/>
    <w:rsid w:val="00154A1D"/>
    <w:rsid w:val="00154B70"/>
    <w:rsid w:val="00154B82"/>
    <w:rsid w:val="00155200"/>
    <w:rsid w:val="00155B60"/>
    <w:rsid w:val="00155D60"/>
    <w:rsid w:val="00156066"/>
    <w:rsid w:val="00156DE0"/>
    <w:rsid w:val="00157CE6"/>
    <w:rsid w:val="00157F9D"/>
    <w:rsid w:val="00160415"/>
    <w:rsid w:val="001615A4"/>
    <w:rsid w:val="0016164D"/>
    <w:rsid w:val="00161882"/>
    <w:rsid w:val="0016234D"/>
    <w:rsid w:val="00162C24"/>
    <w:rsid w:val="00164099"/>
    <w:rsid w:val="00164D19"/>
    <w:rsid w:val="0016597C"/>
    <w:rsid w:val="001666B3"/>
    <w:rsid w:val="00167BAA"/>
    <w:rsid w:val="00170214"/>
    <w:rsid w:val="001703C2"/>
    <w:rsid w:val="0017080E"/>
    <w:rsid w:val="001708E7"/>
    <w:rsid w:val="00171343"/>
    <w:rsid w:val="001715AE"/>
    <w:rsid w:val="00171A0B"/>
    <w:rsid w:val="00171C4F"/>
    <w:rsid w:val="00172373"/>
    <w:rsid w:val="0017273B"/>
    <w:rsid w:val="001738B3"/>
    <w:rsid w:val="001746AF"/>
    <w:rsid w:val="001747A9"/>
    <w:rsid w:val="00174958"/>
    <w:rsid w:val="00175259"/>
    <w:rsid w:val="0017543C"/>
    <w:rsid w:val="0017553B"/>
    <w:rsid w:val="0017636C"/>
    <w:rsid w:val="00176ED8"/>
    <w:rsid w:val="00176F9A"/>
    <w:rsid w:val="00177718"/>
    <w:rsid w:val="0017773A"/>
    <w:rsid w:val="0018045B"/>
    <w:rsid w:val="00181228"/>
    <w:rsid w:val="001821C3"/>
    <w:rsid w:val="0018246B"/>
    <w:rsid w:val="00183900"/>
    <w:rsid w:val="00184110"/>
    <w:rsid w:val="0018520D"/>
    <w:rsid w:val="00185A10"/>
    <w:rsid w:val="00185EC4"/>
    <w:rsid w:val="0018636B"/>
    <w:rsid w:val="001906A8"/>
    <w:rsid w:val="001909A7"/>
    <w:rsid w:val="00191141"/>
    <w:rsid w:val="0019149C"/>
    <w:rsid w:val="001914BE"/>
    <w:rsid w:val="00191FE7"/>
    <w:rsid w:val="001930E1"/>
    <w:rsid w:val="001932B8"/>
    <w:rsid w:val="00193442"/>
    <w:rsid w:val="00193900"/>
    <w:rsid w:val="001941AC"/>
    <w:rsid w:val="00194851"/>
    <w:rsid w:val="00195F1F"/>
    <w:rsid w:val="001964B3"/>
    <w:rsid w:val="001965E6"/>
    <w:rsid w:val="00197219"/>
    <w:rsid w:val="00197C10"/>
    <w:rsid w:val="00197E58"/>
    <w:rsid w:val="001A016D"/>
    <w:rsid w:val="001A0F60"/>
    <w:rsid w:val="001A1808"/>
    <w:rsid w:val="001A35BB"/>
    <w:rsid w:val="001A39A9"/>
    <w:rsid w:val="001A459A"/>
    <w:rsid w:val="001A531F"/>
    <w:rsid w:val="001A5ED5"/>
    <w:rsid w:val="001A6FFD"/>
    <w:rsid w:val="001A7A43"/>
    <w:rsid w:val="001A7ADF"/>
    <w:rsid w:val="001B06C6"/>
    <w:rsid w:val="001B0967"/>
    <w:rsid w:val="001B0B52"/>
    <w:rsid w:val="001B0C1B"/>
    <w:rsid w:val="001B1063"/>
    <w:rsid w:val="001B1274"/>
    <w:rsid w:val="001B2444"/>
    <w:rsid w:val="001B29C8"/>
    <w:rsid w:val="001B2BBD"/>
    <w:rsid w:val="001B2BF1"/>
    <w:rsid w:val="001B31CA"/>
    <w:rsid w:val="001B36C6"/>
    <w:rsid w:val="001B3C4A"/>
    <w:rsid w:val="001B448B"/>
    <w:rsid w:val="001B4A79"/>
    <w:rsid w:val="001B4DA7"/>
    <w:rsid w:val="001B5825"/>
    <w:rsid w:val="001B6499"/>
    <w:rsid w:val="001B7054"/>
    <w:rsid w:val="001B7782"/>
    <w:rsid w:val="001B7C7E"/>
    <w:rsid w:val="001C061E"/>
    <w:rsid w:val="001C0795"/>
    <w:rsid w:val="001C0B5C"/>
    <w:rsid w:val="001C147C"/>
    <w:rsid w:val="001C2013"/>
    <w:rsid w:val="001C224D"/>
    <w:rsid w:val="001C24CD"/>
    <w:rsid w:val="001C28A8"/>
    <w:rsid w:val="001C2C6D"/>
    <w:rsid w:val="001C2F3D"/>
    <w:rsid w:val="001C3ED6"/>
    <w:rsid w:val="001C3F10"/>
    <w:rsid w:val="001C469A"/>
    <w:rsid w:val="001C612F"/>
    <w:rsid w:val="001C6F20"/>
    <w:rsid w:val="001C760A"/>
    <w:rsid w:val="001C7FC6"/>
    <w:rsid w:val="001D1AF2"/>
    <w:rsid w:val="001D20EC"/>
    <w:rsid w:val="001D2B7F"/>
    <w:rsid w:val="001D2C9C"/>
    <w:rsid w:val="001D2FBB"/>
    <w:rsid w:val="001D34AE"/>
    <w:rsid w:val="001D4266"/>
    <w:rsid w:val="001D46E2"/>
    <w:rsid w:val="001D51CB"/>
    <w:rsid w:val="001D60FD"/>
    <w:rsid w:val="001D7989"/>
    <w:rsid w:val="001D7C41"/>
    <w:rsid w:val="001E02C6"/>
    <w:rsid w:val="001E13C5"/>
    <w:rsid w:val="001E1514"/>
    <w:rsid w:val="001E2B99"/>
    <w:rsid w:val="001E2CE9"/>
    <w:rsid w:val="001E2D14"/>
    <w:rsid w:val="001E3B52"/>
    <w:rsid w:val="001E3C5A"/>
    <w:rsid w:val="001E3FB5"/>
    <w:rsid w:val="001E43A9"/>
    <w:rsid w:val="001E44B9"/>
    <w:rsid w:val="001E4F7C"/>
    <w:rsid w:val="001E4FCF"/>
    <w:rsid w:val="001E58E3"/>
    <w:rsid w:val="001E6F81"/>
    <w:rsid w:val="001E7B9E"/>
    <w:rsid w:val="001F0ADF"/>
    <w:rsid w:val="001F19EB"/>
    <w:rsid w:val="001F201E"/>
    <w:rsid w:val="001F3351"/>
    <w:rsid w:val="001F3A40"/>
    <w:rsid w:val="001F47C8"/>
    <w:rsid w:val="001F48A8"/>
    <w:rsid w:val="001F50E0"/>
    <w:rsid w:val="001F588F"/>
    <w:rsid w:val="001F5D08"/>
    <w:rsid w:val="001F6B11"/>
    <w:rsid w:val="001F753A"/>
    <w:rsid w:val="00200135"/>
    <w:rsid w:val="00200FA2"/>
    <w:rsid w:val="00202BBF"/>
    <w:rsid w:val="00202DC8"/>
    <w:rsid w:val="00202E80"/>
    <w:rsid w:val="002034E5"/>
    <w:rsid w:val="00203A74"/>
    <w:rsid w:val="002043E4"/>
    <w:rsid w:val="00204E69"/>
    <w:rsid w:val="002054F9"/>
    <w:rsid w:val="00205C76"/>
    <w:rsid w:val="00205CA0"/>
    <w:rsid w:val="00205E93"/>
    <w:rsid w:val="002060BF"/>
    <w:rsid w:val="002061DB"/>
    <w:rsid w:val="00206AAE"/>
    <w:rsid w:val="00206EC0"/>
    <w:rsid w:val="0020740C"/>
    <w:rsid w:val="00207A34"/>
    <w:rsid w:val="00210BB8"/>
    <w:rsid w:val="00211265"/>
    <w:rsid w:val="002119BF"/>
    <w:rsid w:val="002123DB"/>
    <w:rsid w:val="00212B1B"/>
    <w:rsid w:val="00214740"/>
    <w:rsid w:val="0021478A"/>
    <w:rsid w:val="00214A1E"/>
    <w:rsid w:val="00214DD5"/>
    <w:rsid w:val="00216951"/>
    <w:rsid w:val="00217C1F"/>
    <w:rsid w:val="00217F1C"/>
    <w:rsid w:val="002202BB"/>
    <w:rsid w:val="0022085F"/>
    <w:rsid w:val="00220FEB"/>
    <w:rsid w:val="00221988"/>
    <w:rsid w:val="00222784"/>
    <w:rsid w:val="00222F76"/>
    <w:rsid w:val="002241BD"/>
    <w:rsid w:val="0022495E"/>
    <w:rsid w:val="00224A46"/>
    <w:rsid w:val="00224D21"/>
    <w:rsid w:val="00231F92"/>
    <w:rsid w:val="002325AC"/>
    <w:rsid w:val="00232C2C"/>
    <w:rsid w:val="002334E6"/>
    <w:rsid w:val="00233775"/>
    <w:rsid w:val="002347B3"/>
    <w:rsid w:val="00234DE6"/>
    <w:rsid w:val="0023524D"/>
    <w:rsid w:val="0023557C"/>
    <w:rsid w:val="00235F92"/>
    <w:rsid w:val="00236340"/>
    <w:rsid w:val="00236E90"/>
    <w:rsid w:val="0023739B"/>
    <w:rsid w:val="0024105D"/>
    <w:rsid w:val="002411EE"/>
    <w:rsid w:val="00241290"/>
    <w:rsid w:val="00241C6D"/>
    <w:rsid w:val="00241DF7"/>
    <w:rsid w:val="00241F1F"/>
    <w:rsid w:val="0024346C"/>
    <w:rsid w:val="00243497"/>
    <w:rsid w:val="00243549"/>
    <w:rsid w:val="002448AB"/>
    <w:rsid w:val="002455A4"/>
    <w:rsid w:val="002465D1"/>
    <w:rsid w:val="002467A7"/>
    <w:rsid w:val="0024692D"/>
    <w:rsid w:val="00247202"/>
    <w:rsid w:val="002474B9"/>
    <w:rsid w:val="002505FB"/>
    <w:rsid w:val="0025064E"/>
    <w:rsid w:val="002524E4"/>
    <w:rsid w:val="0025370E"/>
    <w:rsid w:val="00254235"/>
    <w:rsid w:val="00254CD8"/>
    <w:rsid w:val="00254CF1"/>
    <w:rsid w:val="002553D3"/>
    <w:rsid w:val="00255EC9"/>
    <w:rsid w:val="00256C63"/>
    <w:rsid w:val="00256F73"/>
    <w:rsid w:val="002574A6"/>
    <w:rsid w:val="00257BBD"/>
    <w:rsid w:val="00260438"/>
    <w:rsid w:val="00260FCD"/>
    <w:rsid w:val="00261226"/>
    <w:rsid w:val="00262C4D"/>
    <w:rsid w:val="00263270"/>
    <w:rsid w:val="00263915"/>
    <w:rsid w:val="00264916"/>
    <w:rsid w:val="00264E74"/>
    <w:rsid w:val="00265082"/>
    <w:rsid w:val="00265A72"/>
    <w:rsid w:val="002663EA"/>
    <w:rsid w:val="0026756C"/>
    <w:rsid w:val="002676E2"/>
    <w:rsid w:val="00267FA7"/>
    <w:rsid w:val="00270162"/>
    <w:rsid w:val="00270AFD"/>
    <w:rsid w:val="00270CB7"/>
    <w:rsid w:val="00271C01"/>
    <w:rsid w:val="00271D70"/>
    <w:rsid w:val="00273844"/>
    <w:rsid w:val="00273F63"/>
    <w:rsid w:val="00274854"/>
    <w:rsid w:val="002749F7"/>
    <w:rsid w:val="00275121"/>
    <w:rsid w:val="002751DE"/>
    <w:rsid w:val="002753B5"/>
    <w:rsid w:val="0027717C"/>
    <w:rsid w:val="0027751C"/>
    <w:rsid w:val="0028065C"/>
    <w:rsid w:val="002806D6"/>
    <w:rsid w:val="00280C0A"/>
    <w:rsid w:val="00281F74"/>
    <w:rsid w:val="00282778"/>
    <w:rsid w:val="0028289B"/>
    <w:rsid w:val="00282B35"/>
    <w:rsid w:val="002836AC"/>
    <w:rsid w:val="00285937"/>
    <w:rsid w:val="002867AA"/>
    <w:rsid w:val="002868D5"/>
    <w:rsid w:val="00286AEF"/>
    <w:rsid w:val="00286C20"/>
    <w:rsid w:val="00286C2F"/>
    <w:rsid w:val="0028775D"/>
    <w:rsid w:val="00290A0F"/>
    <w:rsid w:val="00291B19"/>
    <w:rsid w:val="00292341"/>
    <w:rsid w:val="00292759"/>
    <w:rsid w:val="00292B58"/>
    <w:rsid w:val="00292C4B"/>
    <w:rsid w:val="002944F6"/>
    <w:rsid w:val="00294DE6"/>
    <w:rsid w:val="00295348"/>
    <w:rsid w:val="00297330"/>
    <w:rsid w:val="002978C0"/>
    <w:rsid w:val="002A00D8"/>
    <w:rsid w:val="002A0BCE"/>
    <w:rsid w:val="002A17EB"/>
    <w:rsid w:val="002A1944"/>
    <w:rsid w:val="002A1BB9"/>
    <w:rsid w:val="002A1BF6"/>
    <w:rsid w:val="002A2925"/>
    <w:rsid w:val="002A3613"/>
    <w:rsid w:val="002A372B"/>
    <w:rsid w:val="002A400A"/>
    <w:rsid w:val="002A5A04"/>
    <w:rsid w:val="002A5DEB"/>
    <w:rsid w:val="002A5F4C"/>
    <w:rsid w:val="002A6044"/>
    <w:rsid w:val="002A6E25"/>
    <w:rsid w:val="002A6E97"/>
    <w:rsid w:val="002A73B2"/>
    <w:rsid w:val="002A762A"/>
    <w:rsid w:val="002B07A1"/>
    <w:rsid w:val="002B0C0F"/>
    <w:rsid w:val="002B0F26"/>
    <w:rsid w:val="002B10A2"/>
    <w:rsid w:val="002B3004"/>
    <w:rsid w:val="002B3AB8"/>
    <w:rsid w:val="002B55C7"/>
    <w:rsid w:val="002B66F9"/>
    <w:rsid w:val="002C046D"/>
    <w:rsid w:val="002C0CC2"/>
    <w:rsid w:val="002C106C"/>
    <w:rsid w:val="002C1BB3"/>
    <w:rsid w:val="002C1F66"/>
    <w:rsid w:val="002C22EC"/>
    <w:rsid w:val="002C5ABE"/>
    <w:rsid w:val="002C7367"/>
    <w:rsid w:val="002C798C"/>
    <w:rsid w:val="002C7D69"/>
    <w:rsid w:val="002D0839"/>
    <w:rsid w:val="002D0E08"/>
    <w:rsid w:val="002D16FA"/>
    <w:rsid w:val="002D337A"/>
    <w:rsid w:val="002D34CE"/>
    <w:rsid w:val="002D376D"/>
    <w:rsid w:val="002D46CB"/>
    <w:rsid w:val="002D564B"/>
    <w:rsid w:val="002D58E1"/>
    <w:rsid w:val="002D6B9F"/>
    <w:rsid w:val="002D6C88"/>
    <w:rsid w:val="002D7097"/>
    <w:rsid w:val="002D7925"/>
    <w:rsid w:val="002D7E9F"/>
    <w:rsid w:val="002E161D"/>
    <w:rsid w:val="002E1BA3"/>
    <w:rsid w:val="002E27C6"/>
    <w:rsid w:val="002E554F"/>
    <w:rsid w:val="002E6353"/>
    <w:rsid w:val="002F01D5"/>
    <w:rsid w:val="002F02D3"/>
    <w:rsid w:val="002F0403"/>
    <w:rsid w:val="002F0686"/>
    <w:rsid w:val="002F0E46"/>
    <w:rsid w:val="002F1241"/>
    <w:rsid w:val="002F14CD"/>
    <w:rsid w:val="002F203C"/>
    <w:rsid w:val="002F28B4"/>
    <w:rsid w:val="002F38AF"/>
    <w:rsid w:val="002F4E9C"/>
    <w:rsid w:val="002F5AB6"/>
    <w:rsid w:val="002F5AD6"/>
    <w:rsid w:val="002F5BDE"/>
    <w:rsid w:val="002F6019"/>
    <w:rsid w:val="002F6EB6"/>
    <w:rsid w:val="002F7FE5"/>
    <w:rsid w:val="00301409"/>
    <w:rsid w:val="003014F5"/>
    <w:rsid w:val="00302194"/>
    <w:rsid w:val="00302CA1"/>
    <w:rsid w:val="00302E15"/>
    <w:rsid w:val="00303430"/>
    <w:rsid w:val="00303F87"/>
    <w:rsid w:val="0030540B"/>
    <w:rsid w:val="0030702B"/>
    <w:rsid w:val="00307945"/>
    <w:rsid w:val="00307DE8"/>
    <w:rsid w:val="003109A0"/>
    <w:rsid w:val="00310D17"/>
    <w:rsid w:val="00312E28"/>
    <w:rsid w:val="00312FDC"/>
    <w:rsid w:val="00313499"/>
    <w:rsid w:val="003141B8"/>
    <w:rsid w:val="003143CE"/>
    <w:rsid w:val="00314BDE"/>
    <w:rsid w:val="0031586F"/>
    <w:rsid w:val="00316364"/>
    <w:rsid w:val="003167B4"/>
    <w:rsid w:val="00316D63"/>
    <w:rsid w:val="0031747A"/>
    <w:rsid w:val="00317751"/>
    <w:rsid w:val="0032138F"/>
    <w:rsid w:val="003216FE"/>
    <w:rsid w:val="00322AB5"/>
    <w:rsid w:val="00322B42"/>
    <w:rsid w:val="00325A9C"/>
    <w:rsid w:val="00325E7E"/>
    <w:rsid w:val="003269F0"/>
    <w:rsid w:val="003271B4"/>
    <w:rsid w:val="0032794A"/>
    <w:rsid w:val="00330937"/>
    <w:rsid w:val="00331B2C"/>
    <w:rsid w:val="00331B97"/>
    <w:rsid w:val="00331C1C"/>
    <w:rsid w:val="00331E2B"/>
    <w:rsid w:val="003327A0"/>
    <w:rsid w:val="00332814"/>
    <w:rsid w:val="0033288B"/>
    <w:rsid w:val="00332986"/>
    <w:rsid w:val="0033333C"/>
    <w:rsid w:val="00334900"/>
    <w:rsid w:val="0033497B"/>
    <w:rsid w:val="0033517E"/>
    <w:rsid w:val="0033677C"/>
    <w:rsid w:val="00336810"/>
    <w:rsid w:val="00337E3C"/>
    <w:rsid w:val="00341B08"/>
    <w:rsid w:val="00341B6C"/>
    <w:rsid w:val="0034474F"/>
    <w:rsid w:val="00344E75"/>
    <w:rsid w:val="003451CC"/>
    <w:rsid w:val="00345C07"/>
    <w:rsid w:val="00345C30"/>
    <w:rsid w:val="00345F80"/>
    <w:rsid w:val="00345FFE"/>
    <w:rsid w:val="00346B2B"/>
    <w:rsid w:val="00346F20"/>
    <w:rsid w:val="00347655"/>
    <w:rsid w:val="00350AA8"/>
    <w:rsid w:val="00350C0F"/>
    <w:rsid w:val="0035110C"/>
    <w:rsid w:val="003513D1"/>
    <w:rsid w:val="003513EC"/>
    <w:rsid w:val="00352243"/>
    <w:rsid w:val="00352426"/>
    <w:rsid w:val="00352B48"/>
    <w:rsid w:val="00352CFC"/>
    <w:rsid w:val="00353041"/>
    <w:rsid w:val="00355320"/>
    <w:rsid w:val="00356211"/>
    <w:rsid w:val="003565B2"/>
    <w:rsid w:val="00356E05"/>
    <w:rsid w:val="003573AD"/>
    <w:rsid w:val="003606C4"/>
    <w:rsid w:val="00361FAC"/>
    <w:rsid w:val="003622FB"/>
    <w:rsid w:val="00362A1B"/>
    <w:rsid w:val="00363247"/>
    <w:rsid w:val="00364C92"/>
    <w:rsid w:val="003651FA"/>
    <w:rsid w:val="003654F4"/>
    <w:rsid w:val="00366027"/>
    <w:rsid w:val="00367579"/>
    <w:rsid w:val="0037014B"/>
    <w:rsid w:val="00370889"/>
    <w:rsid w:val="00370E81"/>
    <w:rsid w:val="003714C6"/>
    <w:rsid w:val="00371987"/>
    <w:rsid w:val="00373108"/>
    <w:rsid w:val="003744D3"/>
    <w:rsid w:val="003746A0"/>
    <w:rsid w:val="00374EF7"/>
    <w:rsid w:val="00375A2A"/>
    <w:rsid w:val="00375D93"/>
    <w:rsid w:val="0037683F"/>
    <w:rsid w:val="0037720F"/>
    <w:rsid w:val="00377D61"/>
    <w:rsid w:val="00383B2B"/>
    <w:rsid w:val="00384A06"/>
    <w:rsid w:val="0038537E"/>
    <w:rsid w:val="00385AC0"/>
    <w:rsid w:val="003861EE"/>
    <w:rsid w:val="0038629A"/>
    <w:rsid w:val="003866C5"/>
    <w:rsid w:val="003872F7"/>
    <w:rsid w:val="0038731D"/>
    <w:rsid w:val="003878AA"/>
    <w:rsid w:val="00392033"/>
    <w:rsid w:val="0039288C"/>
    <w:rsid w:val="00392B27"/>
    <w:rsid w:val="00392CB8"/>
    <w:rsid w:val="003938CE"/>
    <w:rsid w:val="0039420E"/>
    <w:rsid w:val="00394563"/>
    <w:rsid w:val="00394899"/>
    <w:rsid w:val="00394A98"/>
    <w:rsid w:val="00394D75"/>
    <w:rsid w:val="00395169"/>
    <w:rsid w:val="003957E9"/>
    <w:rsid w:val="003A0202"/>
    <w:rsid w:val="003A028A"/>
    <w:rsid w:val="003A03A9"/>
    <w:rsid w:val="003A0BC3"/>
    <w:rsid w:val="003A0EF2"/>
    <w:rsid w:val="003A2393"/>
    <w:rsid w:val="003A2F26"/>
    <w:rsid w:val="003A30F0"/>
    <w:rsid w:val="003A378F"/>
    <w:rsid w:val="003A46B9"/>
    <w:rsid w:val="003A4C1B"/>
    <w:rsid w:val="003A4FFC"/>
    <w:rsid w:val="003A500C"/>
    <w:rsid w:val="003B0BA7"/>
    <w:rsid w:val="003B12D1"/>
    <w:rsid w:val="003B15EA"/>
    <w:rsid w:val="003B2326"/>
    <w:rsid w:val="003B23EC"/>
    <w:rsid w:val="003B2AE7"/>
    <w:rsid w:val="003B35B7"/>
    <w:rsid w:val="003B4257"/>
    <w:rsid w:val="003B4BC7"/>
    <w:rsid w:val="003B6035"/>
    <w:rsid w:val="003B62DB"/>
    <w:rsid w:val="003B75F1"/>
    <w:rsid w:val="003B7FDA"/>
    <w:rsid w:val="003C0276"/>
    <w:rsid w:val="003C0482"/>
    <w:rsid w:val="003C0B76"/>
    <w:rsid w:val="003C100F"/>
    <w:rsid w:val="003C1B80"/>
    <w:rsid w:val="003C1C2A"/>
    <w:rsid w:val="003C203B"/>
    <w:rsid w:val="003C2560"/>
    <w:rsid w:val="003C3F4C"/>
    <w:rsid w:val="003C427A"/>
    <w:rsid w:val="003C42D6"/>
    <w:rsid w:val="003C48CC"/>
    <w:rsid w:val="003C4FF2"/>
    <w:rsid w:val="003C51B1"/>
    <w:rsid w:val="003C5D20"/>
    <w:rsid w:val="003C704D"/>
    <w:rsid w:val="003C725C"/>
    <w:rsid w:val="003C7A2D"/>
    <w:rsid w:val="003D02E5"/>
    <w:rsid w:val="003D06B4"/>
    <w:rsid w:val="003D07F2"/>
    <w:rsid w:val="003D118B"/>
    <w:rsid w:val="003D2709"/>
    <w:rsid w:val="003D3074"/>
    <w:rsid w:val="003D45D2"/>
    <w:rsid w:val="003D489E"/>
    <w:rsid w:val="003D501E"/>
    <w:rsid w:val="003D58A2"/>
    <w:rsid w:val="003D6B9D"/>
    <w:rsid w:val="003D794D"/>
    <w:rsid w:val="003D7E5C"/>
    <w:rsid w:val="003E111F"/>
    <w:rsid w:val="003E1A6F"/>
    <w:rsid w:val="003E2C4C"/>
    <w:rsid w:val="003E37A3"/>
    <w:rsid w:val="003E400F"/>
    <w:rsid w:val="003E47AC"/>
    <w:rsid w:val="003E4DD6"/>
    <w:rsid w:val="003E58A0"/>
    <w:rsid w:val="003E647F"/>
    <w:rsid w:val="003E6496"/>
    <w:rsid w:val="003E7459"/>
    <w:rsid w:val="003F0079"/>
    <w:rsid w:val="003F04A5"/>
    <w:rsid w:val="003F05C6"/>
    <w:rsid w:val="003F08C1"/>
    <w:rsid w:val="003F15B8"/>
    <w:rsid w:val="003F1766"/>
    <w:rsid w:val="003F17A2"/>
    <w:rsid w:val="003F266A"/>
    <w:rsid w:val="003F3857"/>
    <w:rsid w:val="003F4621"/>
    <w:rsid w:val="003F48B1"/>
    <w:rsid w:val="003F56DB"/>
    <w:rsid w:val="003F5ECB"/>
    <w:rsid w:val="003F6C3F"/>
    <w:rsid w:val="003F6E6F"/>
    <w:rsid w:val="00400401"/>
    <w:rsid w:val="00400DC8"/>
    <w:rsid w:val="00401948"/>
    <w:rsid w:val="00401D08"/>
    <w:rsid w:val="00401DAB"/>
    <w:rsid w:val="00401F23"/>
    <w:rsid w:val="00401F69"/>
    <w:rsid w:val="0040245A"/>
    <w:rsid w:val="00402500"/>
    <w:rsid w:val="00402545"/>
    <w:rsid w:val="00402728"/>
    <w:rsid w:val="00403479"/>
    <w:rsid w:val="00404984"/>
    <w:rsid w:val="00404B86"/>
    <w:rsid w:val="00406215"/>
    <w:rsid w:val="00410BEB"/>
    <w:rsid w:val="00410D48"/>
    <w:rsid w:val="004112FF"/>
    <w:rsid w:val="004118F3"/>
    <w:rsid w:val="004119EE"/>
    <w:rsid w:val="00411CB3"/>
    <w:rsid w:val="00412AA3"/>
    <w:rsid w:val="00412D07"/>
    <w:rsid w:val="004137DF"/>
    <w:rsid w:val="0041405D"/>
    <w:rsid w:val="0041510B"/>
    <w:rsid w:val="00416266"/>
    <w:rsid w:val="004201C3"/>
    <w:rsid w:val="00420EDB"/>
    <w:rsid w:val="00421041"/>
    <w:rsid w:val="00422ADC"/>
    <w:rsid w:val="00422F77"/>
    <w:rsid w:val="00423075"/>
    <w:rsid w:val="00423E3D"/>
    <w:rsid w:val="00423F40"/>
    <w:rsid w:val="004252F0"/>
    <w:rsid w:val="004254ED"/>
    <w:rsid w:val="00425550"/>
    <w:rsid w:val="0042645F"/>
    <w:rsid w:val="004264FD"/>
    <w:rsid w:val="004272DE"/>
    <w:rsid w:val="004274CC"/>
    <w:rsid w:val="00430167"/>
    <w:rsid w:val="00430FB7"/>
    <w:rsid w:val="00431C1E"/>
    <w:rsid w:val="004327E5"/>
    <w:rsid w:val="004332FB"/>
    <w:rsid w:val="0043358D"/>
    <w:rsid w:val="00435214"/>
    <w:rsid w:val="0043599C"/>
    <w:rsid w:val="00435C00"/>
    <w:rsid w:val="0043659A"/>
    <w:rsid w:val="00436D85"/>
    <w:rsid w:val="00437B7A"/>
    <w:rsid w:val="00437DAE"/>
    <w:rsid w:val="0044016E"/>
    <w:rsid w:val="00440754"/>
    <w:rsid w:val="00440A19"/>
    <w:rsid w:val="00440C4B"/>
    <w:rsid w:val="004411FE"/>
    <w:rsid w:val="004441B0"/>
    <w:rsid w:val="00444205"/>
    <w:rsid w:val="00444C56"/>
    <w:rsid w:val="00444FA9"/>
    <w:rsid w:val="00445554"/>
    <w:rsid w:val="0044568D"/>
    <w:rsid w:val="00445E4E"/>
    <w:rsid w:val="00446308"/>
    <w:rsid w:val="00446A98"/>
    <w:rsid w:val="00447186"/>
    <w:rsid w:val="00447B2C"/>
    <w:rsid w:val="004521C5"/>
    <w:rsid w:val="004528C2"/>
    <w:rsid w:val="004531FB"/>
    <w:rsid w:val="004539A3"/>
    <w:rsid w:val="00453CFD"/>
    <w:rsid w:val="00453E03"/>
    <w:rsid w:val="004548AB"/>
    <w:rsid w:val="00454EF0"/>
    <w:rsid w:val="00455952"/>
    <w:rsid w:val="004566D7"/>
    <w:rsid w:val="00457BB0"/>
    <w:rsid w:val="00457BEC"/>
    <w:rsid w:val="00460988"/>
    <w:rsid w:val="00460E2E"/>
    <w:rsid w:val="00461CEA"/>
    <w:rsid w:val="00462A9A"/>
    <w:rsid w:val="00463B3E"/>
    <w:rsid w:val="00463BF8"/>
    <w:rsid w:val="00464200"/>
    <w:rsid w:val="00464573"/>
    <w:rsid w:val="004647C0"/>
    <w:rsid w:val="004648FE"/>
    <w:rsid w:val="00464D73"/>
    <w:rsid w:val="00464F86"/>
    <w:rsid w:val="00465178"/>
    <w:rsid w:val="00465589"/>
    <w:rsid w:val="0046610D"/>
    <w:rsid w:val="0046639F"/>
    <w:rsid w:val="00466D17"/>
    <w:rsid w:val="00466EB1"/>
    <w:rsid w:val="00467550"/>
    <w:rsid w:val="00467B1A"/>
    <w:rsid w:val="00470443"/>
    <w:rsid w:val="004723A4"/>
    <w:rsid w:val="00474106"/>
    <w:rsid w:val="00474C96"/>
    <w:rsid w:val="00475167"/>
    <w:rsid w:val="004773CE"/>
    <w:rsid w:val="00480005"/>
    <w:rsid w:val="004801C8"/>
    <w:rsid w:val="004808FB"/>
    <w:rsid w:val="00482AEB"/>
    <w:rsid w:val="004831AB"/>
    <w:rsid w:val="004841E1"/>
    <w:rsid w:val="00484654"/>
    <w:rsid w:val="00484F1C"/>
    <w:rsid w:val="00485B0C"/>
    <w:rsid w:val="00485E6F"/>
    <w:rsid w:val="004878B8"/>
    <w:rsid w:val="0049029B"/>
    <w:rsid w:val="004938DD"/>
    <w:rsid w:val="00493ABD"/>
    <w:rsid w:val="0049464C"/>
    <w:rsid w:val="00495098"/>
    <w:rsid w:val="0049553F"/>
    <w:rsid w:val="00495E95"/>
    <w:rsid w:val="00495ED9"/>
    <w:rsid w:val="00495FCE"/>
    <w:rsid w:val="0049658D"/>
    <w:rsid w:val="00497A37"/>
    <w:rsid w:val="004A04AC"/>
    <w:rsid w:val="004A095A"/>
    <w:rsid w:val="004A12A8"/>
    <w:rsid w:val="004A186F"/>
    <w:rsid w:val="004A1B9A"/>
    <w:rsid w:val="004A1DDF"/>
    <w:rsid w:val="004A1FDA"/>
    <w:rsid w:val="004A23CB"/>
    <w:rsid w:val="004A2740"/>
    <w:rsid w:val="004A2C60"/>
    <w:rsid w:val="004A2EEA"/>
    <w:rsid w:val="004A47E2"/>
    <w:rsid w:val="004A4C9A"/>
    <w:rsid w:val="004A5675"/>
    <w:rsid w:val="004A57CE"/>
    <w:rsid w:val="004A5BF0"/>
    <w:rsid w:val="004A634E"/>
    <w:rsid w:val="004A7C9D"/>
    <w:rsid w:val="004B0218"/>
    <w:rsid w:val="004B0295"/>
    <w:rsid w:val="004B0A06"/>
    <w:rsid w:val="004B1569"/>
    <w:rsid w:val="004B1687"/>
    <w:rsid w:val="004B2D87"/>
    <w:rsid w:val="004B35C7"/>
    <w:rsid w:val="004B3929"/>
    <w:rsid w:val="004B49D3"/>
    <w:rsid w:val="004B4BDB"/>
    <w:rsid w:val="004B66EF"/>
    <w:rsid w:val="004B6EC1"/>
    <w:rsid w:val="004C0D35"/>
    <w:rsid w:val="004C0DB0"/>
    <w:rsid w:val="004C1094"/>
    <w:rsid w:val="004C1825"/>
    <w:rsid w:val="004C288F"/>
    <w:rsid w:val="004C29EE"/>
    <w:rsid w:val="004C3DB1"/>
    <w:rsid w:val="004C453E"/>
    <w:rsid w:val="004C5156"/>
    <w:rsid w:val="004C517B"/>
    <w:rsid w:val="004C5FC9"/>
    <w:rsid w:val="004C60A2"/>
    <w:rsid w:val="004C6627"/>
    <w:rsid w:val="004C678A"/>
    <w:rsid w:val="004D029D"/>
    <w:rsid w:val="004D1516"/>
    <w:rsid w:val="004D23FB"/>
    <w:rsid w:val="004D2579"/>
    <w:rsid w:val="004D283A"/>
    <w:rsid w:val="004D2A49"/>
    <w:rsid w:val="004D3951"/>
    <w:rsid w:val="004D397F"/>
    <w:rsid w:val="004D3A81"/>
    <w:rsid w:val="004D403C"/>
    <w:rsid w:val="004D47F7"/>
    <w:rsid w:val="004D587E"/>
    <w:rsid w:val="004D5F89"/>
    <w:rsid w:val="004D7943"/>
    <w:rsid w:val="004E1F15"/>
    <w:rsid w:val="004E2FFA"/>
    <w:rsid w:val="004E3270"/>
    <w:rsid w:val="004E3A3F"/>
    <w:rsid w:val="004E3A52"/>
    <w:rsid w:val="004E3BC4"/>
    <w:rsid w:val="004E51BD"/>
    <w:rsid w:val="004E62DA"/>
    <w:rsid w:val="004E6E1E"/>
    <w:rsid w:val="004E6F1D"/>
    <w:rsid w:val="004E6FB3"/>
    <w:rsid w:val="004E7646"/>
    <w:rsid w:val="004E7F60"/>
    <w:rsid w:val="004F0323"/>
    <w:rsid w:val="004F0559"/>
    <w:rsid w:val="004F1DDE"/>
    <w:rsid w:val="004F2329"/>
    <w:rsid w:val="004F2C97"/>
    <w:rsid w:val="004F310E"/>
    <w:rsid w:val="004F39C7"/>
    <w:rsid w:val="004F3B1D"/>
    <w:rsid w:val="004F4964"/>
    <w:rsid w:val="004F4C19"/>
    <w:rsid w:val="004F6111"/>
    <w:rsid w:val="004F6B74"/>
    <w:rsid w:val="004F756D"/>
    <w:rsid w:val="005011AC"/>
    <w:rsid w:val="00503E28"/>
    <w:rsid w:val="005043A4"/>
    <w:rsid w:val="00505F78"/>
    <w:rsid w:val="00506208"/>
    <w:rsid w:val="0050679A"/>
    <w:rsid w:val="005079B0"/>
    <w:rsid w:val="0051039B"/>
    <w:rsid w:val="00510432"/>
    <w:rsid w:val="00510490"/>
    <w:rsid w:val="00510494"/>
    <w:rsid w:val="00510D42"/>
    <w:rsid w:val="00510F22"/>
    <w:rsid w:val="005114CE"/>
    <w:rsid w:val="00511987"/>
    <w:rsid w:val="0051288C"/>
    <w:rsid w:val="00513BA9"/>
    <w:rsid w:val="00513CE4"/>
    <w:rsid w:val="00514118"/>
    <w:rsid w:val="00515162"/>
    <w:rsid w:val="00515301"/>
    <w:rsid w:val="00516A90"/>
    <w:rsid w:val="00516DFF"/>
    <w:rsid w:val="00517517"/>
    <w:rsid w:val="00517522"/>
    <w:rsid w:val="00517D38"/>
    <w:rsid w:val="00520327"/>
    <w:rsid w:val="00521202"/>
    <w:rsid w:val="00521752"/>
    <w:rsid w:val="005238EB"/>
    <w:rsid w:val="005240DF"/>
    <w:rsid w:val="0052496A"/>
    <w:rsid w:val="00525D81"/>
    <w:rsid w:val="00526296"/>
    <w:rsid w:val="00526B70"/>
    <w:rsid w:val="005272AE"/>
    <w:rsid w:val="005277CA"/>
    <w:rsid w:val="005307B5"/>
    <w:rsid w:val="00530FF0"/>
    <w:rsid w:val="0053265B"/>
    <w:rsid w:val="00532803"/>
    <w:rsid w:val="00533939"/>
    <w:rsid w:val="00534A78"/>
    <w:rsid w:val="00534FF3"/>
    <w:rsid w:val="00535E1C"/>
    <w:rsid w:val="00535E3C"/>
    <w:rsid w:val="0053627A"/>
    <w:rsid w:val="005365A7"/>
    <w:rsid w:val="00536ECF"/>
    <w:rsid w:val="005376AE"/>
    <w:rsid w:val="005379AD"/>
    <w:rsid w:val="00537E84"/>
    <w:rsid w:val="005400CC"/>
    <w:rsid w:val="0054017D"/>
    <w:rsid w:val="00540255"/>
    <w:rsid w:val="00540A20"/>
    <w:rsid w:val="00540A5A"/>
    <w:rsid w:val="005425B0"/>
    <w:rsid w:val="00543163"/>
    <w:rsid w:val="00544589"/>
    <w:rsid w:val="00547236"/>
    <w:rsid w:val="0054776F"/>
    <w:rsid w:val="00547B23"/>
    <w:rsid w:val="005505B7"/>
    <w:rsid w:val="00550B91"/>
    <w:rsid w:val="00553024"/>
    <w:rsid w:val="00553A3F"/>
    <w:rsid w:val="00553F0A"/>
    <w:rsid w:val="00554134"/>
    <w:rsid w:val="00554911"/>
    <w:rsid w:val="00554D53"/>
    <w:rsid w:val="00554F5D"/>
    <w:rsid w:val="005553C5"/>
    <w:rsid w:val="00556B80"/>
    <w:rsid w:val="00556E15"/>
    <w:rsid w:val="00556EEE"/>
    <w:rsid w:val="00556FDE"/>
    <w:rsid w:val="00557295"/>
    <w:rsid w:val="005578EC"/>
    <w:rsid w:val="005621B9"/>
    <w:rsid w:val="00562CE0"/>
    <w:rsid w:val="00562D3C"/>
    <w:rsid w:val="00564163"/>
    <w:rsid w:val="00564B59"/>
    <w:rsid w:val="00565260"/>
    <w:rsid w:val="00565610"/>
    <w:rsid w:val="005658C4"/>
    <w:rsid w:val="00566EFD"/>
    <w:rsid w:val="0056750B"/>
    <w:rsid w:val="0056789B"/>
    <w:rsid w:val="005679FE"/>
    <w:rsid w:val="005708E3"/>
    <w:rsid w:val="005714DE"/>
    <w:rsid w:val="00571D01"/>
    <w:rsid w:val="00572902"/>
    <w:rsid w:val="005734FA"/>
    <w:rsid w:val="005760D4"/>
    <w:rsid w:val="005762BC"/>
    <w:rsid w:val="005773E7"/>
    <w:rsid w:val="00577BE2"/>
    <w:rsid w:val="00580BE7"/>
    <w:rsid w:val="00581A62"/>
    <w:rsid w:val="00582A38"/>
    <w:rsid w:val="00582E42"/>
    <w:rsid w:val="00583B71"/>
    <w:rsid w:val="00583DAC"/>
    <w:rsid w:val="0058574F"/>
    <w:rsid w:val="0058593C"/>
    <w:rsid w:val="00587DC4"/>
    <w:rsid w:val="00590F9A"/>
    <w:rsid w:val="00592211"/>
    <w:rsid w:val="00592872"/>
    <w:rsid w:val="00592B87"/>
    <w:rsid w:val="00592EFA"/>
    <w:rsid w:val="00592FD9"/>
    <w:rsid w:val="005934E1"/>
    <w:rsid w:val="00593804"/>
    <w:rsid w:val="0059498A"/>
    <w:rsid w:val="00594DE3"/>
    <w:rsid w:val="00595C0D"/>
    <w:rsid w:val="00595EBF"/>
    <w:rsid w:val="005960D8"/>
    <w:rsid w:val="0059625A"/>
    <w:rsid w:val="005963D2"/>
    <w:rsid w:val="00596956"/>
    <w:rsid w:val="005A024A"/>
    <w:rsid w:val="005A0570"/>
    <w:rsid w:val="005A135D"/>
    <w:rsid w:val="005A1D66"/>
    <w:rsid w:val="005A2477"/>
    <w:rsid w:val="005A26CA"/>
    <w:rsid w:val="005A336F"/>
    <w:rsid w:val="005A4102"/>
    <w:rsid w:val="005A4414"/>
    <w:rsid w:val="005A461F"/>
    <w:rsid w:val="005A496F"/>
    <w:rsid w:val="005A4EA9"/>
    <w:rsid w:val="005A5843"/>
    <w:rsid w:val="005A5A97"/>
    <w:rsid w:val="005A6747"/>
    <w:rsid w:val="005A6E5D"/>
    <w:rsid w:val="005A7293"/>
    <w:rsid w:val="005A7AC1"/>
    <w:rsid w:val="005A7F1E"/>
    <w:rsid w:val="005B0559"/>
    <w:rsid w:val="005B0EB5"/>
    <w:rsid w:val="005B1335"/>
    <w:rsid w:val="005B197C"/>
    <w:rsid w:val="005B219D"/>
    <w:rsid w:val="005B2953"/>
    <w:rsid w:val="005B313D"/>
    <w:rsid w:val="005B31E7"/>
    <w:rsid w:val="005B3FA7"/>
    <w:rsid w:val="005B45AA"/>
    <w:rsid w:val="005B4F6E"/>
    <w:rsid w:val="005B5148"/>
    <w:rsid w:val="005B6093"/>
    <w:rsid w:val="005B6506"/>
    <w:rsid w:val="005B6B28"/>
    <w:rsid w:val="005B6EFF"/>
    <w:rsid w:val="005B759C"/>
    <w:rsid w:val="005B78A9"/>
    <w:rsid w:val="005C0ED0"/>
    <w:rsid w:val="005C14D1"/>
    <w:rsid w:val="005C2193"/>
    <w:rsid w:val="005C24E2"/>
    <w:rsid w:val="005C2C69"/>
    <w:rsid w:val="005C2E50"/>
    <w:rsid w:val="005C4505"/>
    <w:rsid w:val="005C4BA9"/>
    <w:rsid w:val="005C503A"/>
    <w:rsid w:val="005C55A4"/>
    <w:rsid w:val="005C5CC6"/>
    <w:rsid w:val="005C6799"/>
    <w:rsid w:val="005C7781"/>
    <w:rsid w:val="005C7DFA"/>
    <w:rsid w:val="005D07FA"/>
    <w:rsid w:val="005D1D63"/>
    <w:rsid w:val="005D355A"/>
    <w:rsid w:val="005D3CCA"/>
    <w:rsid w:val="005D4DF5"/>
    <w:rsid w:val="005D5EB4"/>
    <w:rsid w:val="005D61D6"/>
    <w:rsid w:val="005D6271"/>
    <w:rsid w:val="005D7855"/>
    <w:rsid w:val="005D7D4E"/>
    <w:rsid w:val="005E032A"/>
    <w:rsid w:val="005E0C54"/>
    <w:rsid w:val="005E0FB6"/>
    <w:rsid w:val="005E1094"/>
    <w:rsid w:val="005E1141"/>
    <w:rsid w:val="005E24D9"/>
    <w:rsid w:val="005E284F"/>
    <w:rsid w:val="005E41BE"/>
    <w:rsid w:val="005E4592"/>
    <w:rsid w:val="005E4E9C"/>
    <w:rsid w:val="005E5026"/>
    <w:rsid w:val="005E514A"/>
    <w:rsid w:val="005F0468"/>
    <w:rsid w:val="005F0884"/>
    <w:rsid w:val="005F1F68"/>
    <w:rsid w:val="005F27BD"/>
    <w:rsid w:val="005F2951"/>
    <w:rsid w:val="005F36DB"/>
    <w:rsid w:val="005F4DD2"/>
    <w:rsid w:val="005F54DC"/>
    <w:rsid w:val="005F556A"/>
    <w:rsid w:val="005F715F"/>
    <w:rsid w:val="005F75A3"/>
    <w:rsid w:val="006000E3"/>
    <w:rsid w:val="006007F7"/>
    <w:rsid w:val="00600958"/>
    <w:rsid w:val="0060099F"/>
    <w:rsid w:val="00600C17"/>
    <w:rsid w:val="00601217"/>
    <w:rsid w:val="00601334"/>
    <w:rsid w:val="00601777"/>
    <w:rsid w:val="006019C0"/>
    <w:rsid w:val="00602E97"/>
    <w:rsid w:val="006034FD"/>
    <w:rsid w:val="00604445"/>
    <w:rsid w:val="00604617"/>
    <w:rsid w:val="006060A3"/>
    <w:rsid w:val="006070AE"/>
    <w:rsid w:val="006073BB"/>
    <w:rsid w:val="00607663"/>
    <w:rsid w:val="0061039F"/>
    <w:rsid w:val="006111EC"/>
    <w:rsid w:val="006115DC"/>
    <w:rsid w:val="0061168B"/>
    <w:rsid w:val="00612702"/>
    <w:rsid w:val="006128F7"/>
    <w:rsid w:val="00612927"/>
    <w:rsid w:val="00616789"/>
    <w:rsid w:val="00616ECB"/>
    <w:rsid w:val="00617CA6"/>
    <w:rsid w:val="0062092B"/>
    <w:rsid w:val="00620F29"/>
    <w:rsid w:val="006216FC"/>
    <w:rsid w:val="00621C6F"/>
    <w:rsid w:val="00621E8A"/>
    <w:rsid w:val="006226EA"/>
    <w:rsid w:val="00623A81"/>
    <w:rsid w:val="00623F83"/>
    <w:rsid w:val="00624ACC"/>
    <w:rsid w:val="00624D66"/>
    <w:rsid w:val="00624FCB"/>
    <w:rsid w:val="0062526E"/>
    <w:rsid w:val="0062623C"/>
    <w:rsid w:val="006263A6"/>
    <w:rsid w:val="0062658D"/>
    <w:rsid w:val="006268E3"/>
    <w:rsid w:val="00626F82"/>
    <w:rsid w:val="00630579"/>
    <w:rsid w:val="00632398"/>
    <w:rsid w:val="00632D04"/>
    <w:rsid w:val="006331A0"/>
    <w:rsid w:val="006335FF"/>
    <w:rsid w:val="00634137"/>
    <w:rsid w:val="00634558"/>
    <w:rsid w:val="00634627"/>
    <w:rsid w:val="00634E6C"/>
    <w:rsid w:val="00635CB5"/>
    <w:rsid w:val="00641429"/>
    <w:rsid w:val="00641F0E"/>
    <w:rsid w:val="00641FE3"/>
    <w:rsid w:val="00642622"/>
    <w:rsid w:val="00642968"/>
    <w:rsid w:val="00642B9D"/>
    <w:rsid w:val="006447B8"/>
    <w:rsid w:val="00644EC5"/>
    <w:rsid w:val="006454E1"/>
    <w:rsid w:val="0064579A"/>
    <w:rsid w:val="00650105"/>
    <w:rsid w:val="00652DF2"/>
    <w:rsid w:val="00653334"/>
    <w:rsid w:val="00654017"/>
    <w:rsid w:val="0065559E"/>
    <w:rsid w:val="00660A4E"/>
    <w:rsid w:val="00660BF4"/>
    <w:rsid w:val="00661078"/>
    <w:rsid w:val="00661F1A"/>
    <w:rsid w:val="0066258C"/>
    <w:rsid w:val="00662DE0"/>
    <w:rsid w:val="00662F7F"/>
    <w:rsid w:val="00663435"/>
    <w:rsid w:val="0066355F"/>
    <w:rsid w:val="0066380D"/>
    <w:rsid w:val="00663EB0"/>
    <w:rsid w:val="00663FA4"/>
    <w:rsid w:val="00664952"/>
    <w:rsid w:val="00665995"/>
    <w:rsid w:val="00665B43"/>
    <w:rsid w:val="006666D0"/>
    <w:rsid w:val="00667372"/>
    <w:rsid w:val="00667DAD"/>
    <w:rsid w:val="0067227A"/>
    <w:rsid w:val="00672BC0"/>
    <w:rsid w:val="00672FA4"/>
    <w:rsid w:val="00672FA5"/>
    <w:rsid w:val="0067462E"/>
    <w:rsid w:val="00675C56"/>
    <w:rsid w:val="00675EE3"/>
    <w:rsid w:val="0067696A"/>
    <w:rsid w:val="00676C35"/>
    <w:rsid w:val="00676E2C"/>
    <w:rsid w:val="006773F6"/>
    <w:rsid w:val="0067781E"/>
    <w:rsid w:val="00677994"/>
    <w:rsid w:val="00677B64"/>
    <w:rsid w:val="00677BD1"/>
    <w:rsid w:val="006803F3"/>
    <w:rsid w:val="0068041F"/>
    <w:rsid w:val="006812DC"/>
    <w:rsid w:val="00681ECA"/>
    <w:rsid w:val="00682013"/>
    <w:rsid w:val="00685851"/>
    <w:rsid w:val="0068769F"/>
    <w:rsid w:val="0069074F"/>
    <w:rsid w:val="006908EB"/>
    <w:rsid w:val="0069123A"/>
    <w:rsid w:val="00692877"/>
    <w:rsid w:val="00693B26"/>
    <w:rsid w:val="00694AB1"/>
    <w:rsid w:val="006959FD"/>
    <w:rsid w:val="00696DA6"/>
    <w:rsid w:val="00697456"/>
    <w:rsid w:val="0069779F"/>
    <w:rsid w:val="00697B2F"/>
    <w:rsid w:val="006A008C"/>
    <w:rsid w:val="006A01CF"/>
    <w:rsid w:val="006A024A"/>
    <w:rsid w:val="006A0423"/>
    <w:rsid w:val="006A0D08"/>
    <w:rsid w:val="006A183D"/>
    <w:rsid w:val="006A1F85"/>
    <w:rsid w:val="006A2497"/>
    <w:rsid w:val="006A253D"/>
    <w:rsid w:val="006A2A0C"/>
    <w:rsid w:val="006A2A31"/>
    <w:rsid w:val="006A2CC7"/>
    <w:rsid w:val="006A2CF9"/>
    <w:rsid w:val="006A3469"/>
    <w:rsid w:val="006A4002"/>
    <w:rsid w:val="006A5167"/>
    <w:rsid w:val="006A51B9"/>
    <w:rsid w:val="006A589B"/>
    <w:rsid w:val="006A5FD1"/>
    <w:rsid w:val="006A6470"/>
    <w:rsid w:val="006A6B4B"/>
    <w:rsid w:val="006A6C4A"/>
    <w:rsid w:val="006A783A"/>
    <w:rsid w:val="006B0508"/>
    <w:rsid w:val="006B0B07"/>
    <w:rsid w:val="006B10F4"/>
    <w:rsid w:val="006B1DB9"/>
    <w:rsid w:val="006B25F8"/>
    <w:rsid w:val="006B28C2"/>
    <w:rsid w:val="006B2C42"/>
    <w:rsid w:val="006B3BD7"/>
    <w:rsid w:val="006B5549"/>
    <w:rsid w:val="006B57EE"/>
    <w:rsid w:val="006B5A1D"/>
    <w:rsid w:val="006B5FBC"/>
    <w:rsid w:val="006B6097"/>
    <w:rsid w:val="006B69F7"/>
    <w:rsid w:val="006B7846"/>
    <w:rsid w:val="006C0A1C"/>
    <w:rsid w:val="006C1583"/>
    <w:rsid w:val="006C2505"/>
    <w:rsid w:val="006C3313"/>
    <w:rsid w:val="006C336F"/>
    <w:rsid w:val="006C34D2"/>
    <w:rsid w:val="006C364B"/>
    <w:rsid w:val="006C3CA8"/>
    <w:rsid w:val="006C4956"/>
    <w:rsid w:val="006C4C58"/>
    <w:rsid w:val="006C5367"/>
    <w:rsid w:val="006C596B"/>
    <w:rsid w:val="006C66C1"/>
    <w:rsid w:val="006C6E1A"/>
    <w:rsid w:val="006C7923"/>
    <w:rsid w:val="006D042E"/>
    <w:rsid w:val="006D05BE"/>
    <w:rsid w:val="006D074A"/>
    <w:rsid w:val="006D139B"/>
    <w:rsid w:val="006D13E9"/>
    <w:rsid w:val="006D237B"/>
    <w:rsid w:val="006D350C"/>
    <w:rsid w:val="006D5202"/>
    <w:rsid w:val="006D52D9"/>
    <w:rsid w:val="006D5DC1"/>
    <w:rsid w:val="006D5F01"/>
    <w:rsid w:val="006D6106"/>
    <w:rsid w:val="006D630C"/>
    <w:rsid w:val="006D6429"/>
    <w:rsid w:val="006D6453"/>
    <w:rsid w:val="006D7710"/>
    <w:rsid w:val="006D7EFB"/>
    <w:rsid w:val="006E18A6"/>
    <w:rsid w:val="006E29F5"/>
    <w:rsid w:val="006E308E"/>
    <w:rsid w:val="006E3428"/>
    <w:rsid w:val="006E3CFD"/>
    <w:rsid w:val="006E432A"/>
    <w:rsid w:val="006E55F2"/>
    <w:rsid w:val="006E6E73"/>
    <w:rsid w:val="006F0963"/>
    <w:rsid w:val="006F0F25"/>
    <w:rsid w:val="006F303B"/>
    <w:rsid w:val="006F355C"/>
    <w:rsid w:val="006F4B43"/>
    <w:rsid w:val="006F51D7"/>
    <w:rsid w:val="006F6944"/>
    <w:rsid w:val="006F7D97"/>
    <w:rsid w:val="006F7D9D"/>
    <w:rsid w:val="0070096B"/>
    <w:rsid w:val="00700EC9"/>
    <w:rsid w:val="00701E2C"/>
    <w:rsid w:val="00701EBF"/>
    <w:rsid w:val="007020E3"/>
    <w:rsid w:val="0070230B"/>
    <w:rsid w:val="00702706"/>
    <w:rsid w:val="0070400D"/>
    <w:rsid w:val="007041DA"/>
    <w:rsid w:val="0070490A"/>
    <w:rsid w:val="00704944"/>
    <w:rsid w:val="007059BA"/>
    <w:rsid w:val="00705E5A"/>
    <w:rsid w:val="007070BF"/>
    <w:rsid w:val="00707217"/>
    <w:rsid w:val="00707D25"/>
    <w:rsid w:val="00710382"/>
    <w:rsid w:val="00710464"/>
    <w:rsid w:val="00712326"/>
    <w:rsid w:val="0071294A"/>
    <w:rsid w:val="00712BD0"/>
    <w:rsid w:val="00712CDE"/>
    <w:rsid w:val="00713755"/>
    <w:rsid w:val="00713ACA"/>
    <w:rsid w:val="00713D59"/>
    <w:rsid w:val="00714644"/>
    <w:rsid w:val="00715274"/>
    <w:rsid w:val="00715512"/>
    <w:rsid w:val="00715901"/>
    <w:rsid w:val="007176F1"/>
    <w:rsid w:val="00717709"/>
    <w:rsid w:val="00717DD8"/>
    <w:rsid w:val="007201D8"/>
    <w:rsid w:val="007213AE"/>
    <w:rsid w:val="00721618"/>
    <w:rsid w:val="00721955"/>
    <w:rsid w:val="00722604"/>
    <w:rsid w:val="00723AD7"/>
    <w:rsid w:val="00724295"/>
    <w:rsid w:val="00725763"/>
    <w:rsid w:val="00726109"/>
    <w:rsid w:val="007269AA"/>
    <w:rsid w:val="00726CE2"/>
    <w:rsid w:val="00726EB2"/>
    <w:rsid w:val="00727D3C"/>
    <w:rsid w:val="00730BFC"/>
    <w:rsid w:val="00730FC7"/>
    <w:rsid w:val="007312F9"/>
    <w:rsid w:val="00731448"/>
    <w:rsid w:val="00732119"/>
    <w:rsid w:val="00732343"/>
    <w:rsid w:val="00732372"/>
    <w:rsid w:val="00734602"/>
    <w:rsid w:val="00734701"/>
    <w:rsid w:val="00735366"/>
    <w:rsid w:val="007356B1"/>
    <w:rsid w:val="007362F7"/>
    <w:rsid w:val="00736AF2"/>
    <w:rsid w:val="007374A8"/>
    <w:rsid w:val="00737925"/>
    <w:rsid w:val="00737A32"/>
    <w:rsid w:val="007400AC"/>
    <w:rsid w:val="0074013E"/>
    <w:rsid w:val="00740667"/>
    <w:rsid w:val="007414A5"/>
    <w:rsid w:val="00741CB4"/>
    <w:rsid w:val="00742D21"/>
    <w:rsid w:val="00742E0D"/>
    <w:rsid w:val="00743087"/>
    <w:rsid w:val="00744678"/>
    <w:rsid w:val="00744A6B"/>
    <w:rsid w:val="00744C33"/>
    <w:rsid w:val="007456F4"/>
    <w:rsid w:val="00746F59"/>
    <w:rsid w:val="0074753C"/>
    <w:rsid w:val="007475A5"/>
    <w:rsid w:val="00750518"/>
    <w:rsid w:val="00752375"/>
    <w:rsid w:val="00752F85"/>
    <w:rsid w:val="00753E2D"/>
    <w:rsid w:val="00754109"/>
    <w:rsid w:val="00754180"/>
    <w:rsid w:val="00754AB3"/>
    <w:rsid w:val="00755407"/>
    <w:rsid w:val="0075607E"/>
    <w:rsid w:val="007563FA"/>
    <w:rsid w:val="00756820"/>
    <w:rsid w:val="0075693C"/>
    <w:rsid w:val="00757118"/>
    <w:rsid w:val="0075714E"/>
    <w:rsid w:val="007579D3"/>
    <w:rsid w:val="007579F2"/>
    <w:rsid w:val="007610FE"/>
    <w:rsid w:val="00761260"/>
    <w:rsid w:val="0076138F"/>
    <w:rsid w:val="007624D9"/>
    <w:rsid w:val="00763146"/>
    <w:rsid w:val="007644C3"/>
    <w:rsid w:val="00764792"/>
    <w:rsid w:val="00764C61"/>
    <w:rsid w:val="00764CFC"/>
    <w:rsid w:val="00765BEC"/>
    <w:rsid w:val="0076610D"/>
    <w:rsid w:val="00766F92"/>
    <w:rsid w:val="00767678"/>
    <w:rsid w:val="007677F3"/>
    <w:rsid w:val="007702D3"/>
    <w:rsid w:val="00770BF8"/>
    <w:rsid w:val="007711BA"/>
    <w:rsid w:val="00771D42"/>
    <w:rsid w:val="00772264"/>
    <w:rsid w:val="00773353"/>
    <w:rsid w:val="0077389B"/>
    <w:rsid w:val="007738B7"/>
    <w:rsid w:val="007738F4"/>
    <w:rsid w:val="00775108"/>
    <w:rsid w:val="0077534E"/>
    <w:rsid w:val="007765EC"/>
    <w:rsid w:val="00776ACE"/>
    <w:rsid w:val="0077785C"/>
    <w:rsid w:val="00777EA4"/>
    <w:rsid w:val="00780447"/>
    <w:rsid w:val="007805BD"/>
    <w:rsid w:val="007808AD"/>
    <w:rsid w:val="00780E11"/>
    <w:rsid w:val="0078156E"/>
    <w:rsid w:val="007818E8"/>
    <w:rsid w:val="0078243A"/>
    <w:rsid w:val="007830CA"/>
    <w:rsid w:val="007844A9"/>
    <w:rsid w:val="007844F6"/>
    <w:rsid w:val="00784F6A"/>
    <w:rsid w:val="0078584B"/>
    <w:rsid w:val="00786B2F"/>
    <w:rsid w:val="00787896"/>
    <w:rsid w:val="007878E7"/>
    <w:rsid w:val="007902DD"/>
    <w:rsid w:val="00790DF7"/>
    <w:rsid w:val="007912D2"/>
    <w:rsid w:val="00791990"/>
    <w:rsid w:val="00791CA9"/>
    <w:rsid w:val="00794AE5"/>
    <w:rsid w:val="00794B52"/>
    <w:rsid w:val="00794D1C"/>
    <w:rsid w:val="007960B0"/>
    <w:rsid w:val="00796387"/>
    <w:rsid w:val="007964BA"/>
    <w:rsid w:val="00796647"/>
    <w:rsid w:val="00797698"/>
    <w:rsid w:val="007A2D23"/>
    <w:rsid w:val="007A2EB7"/>
    <w:rsid w:val="007A324A"/>
    <w:rsid w:val="007A37F8"/>
    <w:rsid w:val="007A4B7B"/>
    <w:rsid w:val="007A4BCD"/>
    <w:rsid w:val="007A5EE9"/>
    <w:rsid w:val="007A77CA"/>
    <w:rsid w:val="007B0D99"/>
    <w:rsid w:val="007B11DB"/>
    <w:rsid w:val="007B13E5"/>
    <w:rsid w:val="007B2558"/>
    <w:rsid w:val="007B31B6"/>
    <w:rsid w:val="007B39D4"/>
    <w:rsid w:val="007B41D6"/>
    <w:rsid w:val="007B4BD1"/>
    <w:rsid w:val="007B4F87"/>
    <w:rsid w:val="007B51BD"/>
    <w:rsid w:val="007B5699"/>
    <w:rsid w:val="007B5A20"/>
    <w:rsid w:val="007B6BB7"/>
    <w:rsid w:val="007B795E"/>
    <w:rsid w:val="007B7B65"/>
    <w:rsid w:val="007C0F99"/>
    <w:rsid w:val="007C178A"/>
    <w:rsid w:val="007C1C3D"/>
    <w:rsid w:val="007C30B0"/>
    <w:rsid w:val="007C30BD"/>
    <w:rsid w:val="007C323A"/>
    <w:rsid w:val="007C3D51"/>
    <w:rsid w:val="007C3DC5"/>
    <w:rsid w:val="007C3F7F"/>
    <w:rsid w:val="007C486D"/>
    <w:rsid w:val="007C48E5"/>
    <w:rsid w:val="007C5C94"/>
    <w:rsid w:val="007C62FC"/>
    <w:rsid w:val="007C685E"/>
    <w:rsid w:val="007C75E1"/>
    <w:rsid w:val="007C7A17"/>
    <w:rsid w:val="007C7A75"/>
    <w:rsid w:val="007C7F38"/>
    <w:rsid w:val="007D08BE"/>
    <w:rsid w:val="007D138E"/>
    <w:rsid w:val="007D1A3D"/>
    <w:rsid w:val="007D33F2"/>
    <w:rsid w:val="007D3A00"/>
    <w:rsid w:val="007D60D0"/>
    <w:rsid w:val="007D70AB"/>
    <w:rsid w:val="007D7336"/>
    <w:rsid w:val="007E1665"/>
    <w:rsid w:val="007E2908"/>
    <w:rsid w:val="007E3B40"/>
    <w:rsid w:val="007E467D"/>
    <w:rsid w:val="007E4F1C"/>
    <w:rsid w:val="007E51FE"/>
    <w:rsid w:val="007E5803"/>
    <w:rsid w:val="007E6BFF"/>
    <w:rsid w:val="007E7140"/>
    <w:rsid w:val="007E7E60"/>
    <w:rsid w:val="007F080A"/>
    <w:rsid w:val="007F0C35"/>
    <w:rsid w:val="007F1070"/>
    <w:rsid w:val="007F1274"/>
    <w:rsid w:val="007F1DEA"/>
    <w:rsid w:val="007F2A1A"/>
    <w:rsid w:val="007F3262"/>
    <w:rsid w:val="007F33BE"/>
    <w:rsid w:val="007F37A2"/>
    <w:rsid w:val="007F4193"/>
    <w:rsid w:val="007F4A7E"/>
    <w:rsid w:val="007F4AB1"/>
    <w:rsid w:val="007F5689"/>
    <w:rsid w:val="007F5933"/>
    <w:rsid w:val="007F5F57"/>
    <w:rsid w:val="007F62A3"/>
    <w:rsid w:val="007F6739"/>
    <w:rsid w:val="007F694D"/>
    <w:rsid w:val="007F6D4E"/>
    <w:rsid w:val="007F7334"/>
    <w:rsid w:val="007F73EC"/>
    <w:rsid w:val="007F78DF"/>
    <w:rsid w:val="007F7C2B"/>
    <w:rsid w:val="00800242"/>
    <w:rsid w:val="008016D4"/>
    <w:rsid w:val="0080220B"/>
    <w:rsid w:val="008028D3"/>
    <w:rsid w:val="0080356E"/>
    <w:rsid w:val="008042E1"/>
    <w:rsid w:val="00804862"/>
    <w:rsid w:val="00804B1A"/>
    <w:rsid w:val="00804F8B"/>
    <w:rsid w:val="0080552B"/>
    <w:rsid w:val="00805922"/>
    <w:rsid w:val="00812276"/>
    <w:rsid w:val="0081275E"/>
    <w:rsid w:val="00812FE3"/>
    <w:rsid w:val="00813094"/>
    <w:rsid w:val="00814551"/>
    <w:rsid w:val="00814FE5"/>
    <w:rsid w:val="00815D62"/>
    <w:rsid w:val="00815EB0"/>
    <w:rsid w:val="008160C9"/>
    <w:rsid w:val="00816D44"/>
    <w:rsid w:val="00820412"/>
    <w:rsid w:val="00820840"/>
    <w:rsid w:val="008215D6"/>
    <w:rsid w:val="0082176D"/>
    <w:rsid w:val="0082234F"/>
    <w:rsid w:val="00822411"/>
    <w:rsid w:val="00823079"/>
    <w:rsid w:val="00823A16"/>
    <w:rsid w:val="00823A1E"/>
    <w:rsid w:val="00824128"/>
    <w:rsid w:val="0082559D"/>
    <w:rsid w:val="00825B04"/>
    <w:rsid w:val="00825BE2"/>
    <w:rsid w:val="00825DFE"/>
    <w:rsid w:val="008261FB"/>
    <w:rsid w:val="00826AA3"/>
    <w:rsid w:val="008271C8"/>
    <w:rsid w:val="00827215"/>
    <w:rsid w:val="00827583"/>
    <w:rsid w:val="00827688"/>
    <w:rsid w:val="00827BB2"/>
    <w:rsid w:val="00830730"/>
    <w:rsid w:val="0083077F"/>
    <w:rsid w:val="00830EA5"/>
    <w:rsid w:val="00831030"/>
    <w:rsid w:val="00831FE8"/>
    <w:rsid w:val="0083314E"/>
    <w:rsid w:val="00833DB9"/>
    <w:rsid w:val="00835548"/>
    <w:rsid w:val="00836329"/>
    <w:rsid w:val="00837665"/>
    <w:rsid w:val="008376E2"/>
    <w:rsid w:val="008403BD"/>
    <w:rsid w:val="00840C13"/>
    <w:rsid w:val="00840C8D"/>
    <w:rsid w:val="0084167C"/>
    <w:rsid w:val="00841EC7"/>
    <w:rsid w:val="0084204D"/>
    <w:rsid w:val="008424AB"/>
    <w:rsid w:val="008429A5"/>
    <w:rsid w:val="00842E7E"/>
    <w:rsid w:val="00842ECD"/>
    <w:rsid w:val="00843DE3"/>
    <w:rsid w:val="00844280"/>
    <w:rsid w:val="0084430F"/>
    <w:rsid w:val="00844606"/>
    <w:rsid w:val="008450AD"/>
    <w:rsid w:val="008462A9"/>
    <w:rsid w:val="00847531"/>
    <w:rsid w:val="008475D7"/>
    <w:rsid w:val="00851081"/>
    <w:rsid w:val="0085159C"/>
    <w:rsid w:val="00851A78"/>
    <w:rsid w:val="00851E22"/>
    <w:rsid w:val="00852170"/>
    <w:rsid w:val="0085223E"/>
    <w:rsid w:val="00852B4F"/>
    <w:rsid w:val="0085325D"/>
    <w:rsid w:val="00853371"/>
    <w:rsid w:val="00853445"/>
    <w:rsid w:val="008535B4"/>
    <w:rsid w:val="00853619"/>
    <w:rsid w:val="00853718"/>
    <w:rsid w:val="008544AD"/>
    <w:rsid w:val="0085450A"/>
    <w:rsid w:val="00854771"/>
    <w:rsid w:val="00854779"/>
    <w:rsid w:val="00855227"/>
    <w:rsid w:val="00855EAF"/>
    <w:rsid w:val="00856997"/>
    <w:rsid w:val="00856AA1"/>
    <w:rsid w:val="00857A1C"/>
    <w:rsid w:val="00857E45"/>
    <w:rsid w:val="0086216C"/>
    <w:rsid w:val="0086228F"/>
    <w:rsid w:val="00862D68"/>
    <w:rsid w:val="0086368F"/>
    <w:rsid w:val="008638EF"/>
    <w:rsid w:val="0086392C"/>
    <w:rsid w:val="00863D6C"/>
    <w:rsid w:val="008659CC"/>
    <w:rsid w:val="00866A62"/>
    <w:rsid w:val="00866EEB"/>
    <w:rsid w:val="0086721E"/>
    <w:rsid w:val="00871EEE"/>
    <w:rsid w:val="00872CEC"/>
    <w:rsid w:val="00873401"/>
    <w:rsid w:val="0087376E"/>
    <w:rsid w:val="00873F0D"/>
    <w:rsid w:val="00874105"/>
    <w:rsid w:val="008746CF"/>
    <w:rsid w:val="0087531E"/>
    <w:rsid w:val="00875973"/>
    <w:rsid w:val="00877553"/>
    <w:rsid w:val="0087787B"/>
    <w:rsid w:val="0088011B"/>
    <w:rsid w:val="008801F0"/>
    <w:rsid w:val="00882609"/>
    <w:rsid w:val="00882D19"/>
    <w:rsid w:val="00882DA0"/>
    <w:rsid w:val="0088431A"/>
    <w:rsid w:val="00885484"/>
    <w:rsid w:val="008863A9"/>
    <w:rsid w:val="008873F1"/>
    <w:rsid w:val="00887749"/>
    <w:rsid w:val="00887987"/>
    <w:rsid w:val="008903B9"/>
    <w:rsid w:val="00890440"/>
    <w:rsid w:val="00890512"/>
    <w:rsid w:val="00890C0E"/>
    <w:rsid w:val="00890DBE"/>
    <w:rsid w:val="008911ED"/>
    <w:rsid w:val="00891524"/>
    <w:rsid w:val="00891EE8"/>
    <w:rsid w:val="008921B6"/>
    <w:rsid w:val="00892689"/>
    <w:rsid w:val="00892AC2"/>
    <w:rsid w:val="008937E3"/>
    <w:rsid w:val="008939AB"/>
    <w:rsid w:val="0089483D"/>
    <w:rsid w:val="0089514B"/>
    <w:rsid w:val="00895812"/>
    <w:rsid w:val="00895838"/>
    <w:rsid w:val="00895F34"/>
    <w:rsid w:val="00896996"/>
    <w:rsid w:val="00897923"/>
    <w:rsid w:val="008A03B4"/>
    <w:rsid w:val="008A03BF"/>
    <w:rsid w:val="008A2AEB"/>
    <w:rsid w:val="008A2E73"/>
    <w:rsid w:val="008A3635"/>
    <w:rsid w:val="008A3E69"/>
    <w:rsid w:val="008A485A"/>
    <w:rsid w:val="008A69C4"/>
    <w:rsid w:val="008A6C46"/>
    <w:rsid w:val="008A79B3"/>
    <w:rsid w:val="008B07E5"/>
    <w:rsid w:val="008B094D"/>
    <w:rsid w:val="008B0FEC"/>
    <w:rsid w:val="008B1474"/>
    <w:rsid w:val="008B1629"/>
    <w:rsid w:val="008B2BA6"/>
    <w:rsid w:val="008B3109"/>
    <w:rsid w:val="008B3433"/>
    <w:rsid w:val="008B4A47"/>
    <w:rsid w:val="008B581A"/>
    <w:rsid w:val="008B72A5"/>
    <w:rsid w:val="008B7429"/>
    <w:rsid w:val="008C0ECC"/>
    <w:rsid w:val="008C1389"/>
    <w:rsid w:val="008C15C5"/>
    <w:rsid w:val="008C2B87"/>
    <w:rsid w:val="008C2D72"/>
    <w:rsid w:val="008C3178"/>
    <w:rsid w:val="008C596A"/>
    <w:rsid w:val="008C60BB"/>
    <w:rsid w:val="008C6B3F"/>
    <w:rsid w:val="008D02B5"/>
    <w:rsid w:val="008D03FC"/>
    <w:rsid w:val="008D07E0"/>
    <w:rsid w:val="008D0E6E"/>
    <w:rsid w:val="008D1111"/>
    <w:rsid w:val="008D1576"/>
    <w:rsid w:val="008D1B8D"/>
    <w:rsid w:val="008D1D6A"/>
    <w:rsid w:val="008D2154"/>
    <w:rsid w:val="008D24A6"/>
    <w:rsid w:val="008D474C"/>
    <w:rsid w:val="008D5175"/>
    <w:rsid w:val="008D7DF4"/>
    <w:rsid w:val="008D7E87"/>
    <w:rsid w:val="008E06B9"/>
    <w:rsid w:val="008E0A57"/>
    <w:rsid w:val="008E1E94"/>
    <w:rsid w:val="008E2183"/>
    <w:rsid w:val="008E25CC"/>
    <w:rsid w:val="008E2D21"/>
    <w:rsid w:val="008E3AFC"/>
    <w:rsid w:val="008E544A"/>
    <w:rsid w:val="008E7C60"/>
    <w:rsid w:val="008F0703"/>
    <w:rsid w:val="008F1823"/>
    <w:rsid w:val="008F18C8"/>
    <w:rsid w:val="008F1924"/>
    <w:rsid w:val="008F2053"/>
    <w:rsid w:val="008F244E"/>
    <w:rsid w:val="008F29FD"/>
    <w:rsid w:val="008F348B"/>
    <w:rsid w:val="008F4661"/>
    <w:rsid w:val="008F4DC0"/>
    <w:rsid w:val="008F62AF"/>
    <w:rsid w:val="008F6447"/>
    <w:rsid w:val="008F6DD7"/>
    <w:rsid w:val="008F7664"/>
    <w:rsid w:val="008F785A"/>
    <w:rsid w:val="008F7ABD"/>
    <w:rsid w:val="00900280"/>
    <w:rsid w:val="00903187"/>
    <w:rsid w:val="009041D0"/>
    <w:rsid w:val="00905DA2"/>
    <w:rsid w:val="0090667C"/>
    <w:rsid w:val="00906C57"/>
    <w:rsid w:val="009071D3"/>
    <w:rsid w:val="0090786B"/>
    <w:rsid w:val="009078BE"/>
    <w:rsid w:val="00910D98"/>
    <w:rsid w:val="00910E4C"/>
    <w:rsid w:val="00911243"/>
    <w:rsid w:val="00911279"/>
    <w:rsid w:val="00911F58"/>
    <w:rsid w:val="0091409C"/>
    <w:rsid w:val="009143E9"/>
    <w:rsid w:val="009153A4"/>
    <w:rsid w:val="009157F1"/>
    <w:rsid w:val="00915AA6"/>
    <w:rsid w:val="00915D13"/>
    <w:rsid w:val="0091600A"/>
    <w:rsid w:val="009163FD"/>
    <w:rsid w:val="00916461"/>
    <w:rsid w:val="00916D6D"/>
    <w:rsid w:val="0091725B"/>
    <w:rsid w:val="00920344"/>
    <w:rsid w:val="00920C64"/>
    <w:rsid w:val="009211CA"/>
    <w:rsid w:val="009221C2"/>
    <w:rsid w:val="0092248F"/>
    <w:rsid w:val="00922EEE"/>
    <w:rsid w:val="0092324C"/>
    <w:rsid w:val="00923EE3"/>
    <w:rsid w:val="009243A2"/>
    <w:rsid w:val="00924F65"/>
    <w:rsid w:val="00925225"/>
    <w:rsid w:val="0092537F"/>
    <w:rsid w:val="009302A1"/>
    <w:rsid w:val="00931EDE"/>
    <w:rsid w:val="009321AC"/>
    <w:rsid w:val="00932C8B"/>
    <w:rsid w:val="00933177"/>
    <w:rsid w:val="0093517B"/>
    <w:rsid w:val="0093578A"/>
    <w:rsid w:val="00935B94"/>
    <w:rsid w:val="00936573"/>
    <w:rsid w:val="00936AD5"/>
    <w:rsid w:val="009370FD"/>
    <w:rsid w:val="00940141"/>
    <w:rsid w:val="0094030B"/>
    <w:rsid w:val="00940459"/>
    <w:rsid w:val="00940EB0"/>
    <w:rsid w:val="00941000"/>
    <w:rsid w:val="00941315"/>
    <w:rsid w:val="009415AA"/>
    <w:rsid w:val="00942014"/>
    <w:rsid w:val="009439A1"/>
    <w:rsid w:val="00944B02"/>
    <w:rsid w:val="00945D03"/>
    <w:rsid w:val="00945D68"/>
    <w:rsid w:val="0094610E"/>
    <w:rsid w:val="0094648A"/>
    <w:rsid w:val="00946E31"/>
    <w:rsid w:val="00946E7E"/>
    <w:rsid w:val="009476E9"/>
    <w:rsid w:val="00947905"/>
    <w:rsid w:val="00947E9B"/>
    <w:rsid w:val="0095070F"/>
    <w:rsid w:val="00950CC6"/>
    <w:rsid w:val="0095156F"/>
    <w:rsid w:val="0095187A"/>
    <w:rsid w:val="00951967"/>
    <w:rsid w:val="00952669"/>
    <w:rsid w:val="009541E7"/>
    <w:rsid w:val="00954C0A"/>
    <w:rsid w:val="00954E68"/>
    <w:rsid w:val="0095537F"/>
    <w:rsid w:val="00955683"/>
    <w:rsid w:val="00955C46"/>
    <w:rsid w:val="00956F75"/>
    <w:rsid w:val="00957CEE"/>
    <w:rsid w:val="00960590"/>
    <w:rsid w:val="00960A7F"/>
    <w:rsid w:val="00960AF7"/>
    <w:rsid w:val="00960E68"/>
    <w:rsid w:val="009611F9"/>
    <w:rsid w:val="009623B9"/>
    <w:rsid w:val="00962536"/>
    <w:rsid w:val="00962654"/>
    <w:rsid w:val="0096291B"/>
    <w:rsid w:val="00963C5E"/>
    <w:rsid w:val="00964C2F"/>
    <w:rsid w:val="00964C9F"/>
    <w:rsid w:val="009659A8"/>
    <w:rsid w:val="00966BA7"/>
    <w:rsid w:val="00967A9D"/>
    <w:rsid w:val="00970252"/>
    <w:rsid w:val="0097093A"/>
    <w:rsid w:val="00970E8D"/>
    <w:rsid w:val="00970E9F"/>
    <w:rsid w:val="009712BC"/>
    <w:rsid w:val="0097144D"/>
    <w:rsid w:val="009721B1"/>
    <w:rsid w:val="009729D1"/>
    <w:rsid w:val="00973149"/>
    <w:rsid w:val="00973833"/>
    <w:rsid w:val="009738DC"/>
    <w:rsid w:val="00973993"/>
    <w:rsid w:val="00973DF6"/>
    <w:rsid w:val="00973F8A"/>
    <w:rsid w:val="00974005"/>
    <w:rsid w:val="00974897"/>
    <w:rsid w:val="00974B66"/>
    <w:rsid w:val="00975FCF"/>
    <w:rsid w:val="009760D5"/>
    <w:rsid w:val="009768DB"/>
    <w:rsid w:val="009771AA"/>
    <w:rsid w:val="00980391"/>
    <w:rsid w:val="0098067E"/>
    <w:rsid w:val="009808A4"/>
    <w:rsid w:val="0098168F"/>
    <w:rsid w:val="00981F76"/>
    <w:rsid w:val="0098313C"/>
    <w:rsid w:val="009834F9"/>
    <w:rsid w:val="009848A4"/>
    <w:rsid w:val="00985115"/>
    <w:rsid w:val="00985133"/>
    <w:rsid w:val="009859B6"/>
    <w:rsid w:val="00985C1E"/>
    <w:rsid w:val="00985E0E"/>
    <w:rsid w:val="009860C3"/>
    <w:rsid w:val="00987250"/>
    <w:rsid w:val="009908B0"/>
    <w:rsid w:val="00990C6A"/>
    <w:rsid w:val="009911DB"/>
    <w:rsid w:val="009918BC"/>
    <w:rsid w:val="009925F0"/>
    <w:rsid w:val="00992AA5"/>
    <w:rsid w:val="0099355D"/>
    <w:rsid w:val="00993AB9"/>
    <w:rsid w:val="00994757"/>
    <w:rsid w:val="0099503D"/>
    <w:rsid w:val="0099515A"/>
    <w:rsid w:val="00996278"/>
    <w:rsid w:val="009965A1"/>
    <w:rsid w:val="009973F4"/>
    <w:rsid w:val="009A05FD"/>
    <w:rsid w:val="009A0A69"/>
    <w:rsid w:val="009A11F1"/>
    <w:rsid w:val="009A190D"/>
    <w:rsid w:val="009A3502"/>
    <w:rsid w:val="009A38CE"/>
    <w:rsid w:val="009A4B6E"/>
    <w:rsid w:val="009A52CA"/>
    <w:rsid w:val="009A62F5"/>
    <w:rsid w:val="009A6FD1"/>
    <w:rsid w:val="009A70A3"/>
    <w:rsid w:val="009A736B"/>
    <w:rsid w:val="009A77DF"/>
    <w:rsid w:val="009A7B3D"/>
    <w:rsid w:val="009A7BD2"/>
    <w:rsid w:val="009B07A8"/>
    <w:rsid w:val="009B07B6"/>
    <w:rsid w:val="009B1986"/>
    <w:rsid w:val="009B1F35"/>
    <w:rsid w:val="009B289A"/>
    <w:rsid w:val="009B3083"/>
    <w:rsid w:val="009B33CB"/>
    <w:rsid w:val="009B342A"/>
    <w:rsid w:val="009B44BB"/>
    <w:rsid w:val="009B44DF"/>
    <w:rsid w:val="009B504B"/>
    <w:rsid w:val="009B51F1"/>
    <w:rsid w:val="009B555E"/>
    <w:rsid w:val="009B604F"/>
    <w:rsid w:val="009B6079"/>
    <w:rsid w:val="009B6C05"/>
    <w:rsid w:val="009B7304"/>
    <w:rsid w:val="009B7C2D"/>
    <w:rsid w:val="009C03D1"/>
    <w:rsid w:val="009C1719"/>
    <w:rsid w:val="009C4169"/>
    <w:rsid w:val="009C4C65"/>
    <w:rsid w:val="009C4CAD"/>
    <w:rsid w:val="009C59F2"/>
    <w:rsid w:val="009C7CCD"/>
    <w:rsid w:val="009D0EC0"/>
    <w:rsid w:val="009D1454"/>
    <w:rsid w:val="009D23BB"/>
    <w:rsid w:val="009D3119"/>
    <w:rsid w:val="009D3F01"/>
    <w:rsid w:val="009D43C3"/>
    <w:rsid w:val="009D51C5"/>
    <w:rsid w:val="009D5EEE"/>
    <w:rsid w:val="009D623D"/>
    <w:rsid w:val="009D6F9A"/>
    <w:rsid w:val="009E1264"/>
    <w:rsid w:val="009E142B"/>
    <w:rsid w:val="009E25A6"/>
    <w:rsid w:val="009E30F3"/>
    <w:rsid w:val="009E3324"/>
    <w:rsid w:val="009E377E"/>
    <w:rsid w:val="009E4517"/>
    <w:rsid w:val="009E4DB2"/>
    <w:rsid w:val="009E50D4"/>
    <w:rsid w:val="009E589D"/>
    <w:rsid w:val="009E5AE9"/>
    <w:rsid w:val="009E5D91"/>
    <w:rsid w:val="009E6052"/>
    <w:rsid w:val="009E6868"/>
    <w:rsid w:val="009E69B4"/>
    <w:rsid w:val="009E73D4"/>
    <w:rsid w:val="009E78C8"/>
    <w:rsid w:val="009F0F61"/>
    <w:rsid w:val="009F1D47"/>
    <w:rsid w:val="009F22A4"/>
    <w:rsid w:val="009F26DF"/>
    <w:rsid w:val="009F2922"/>
    <w:rsid w:val="009F32E8"/>
    <w:rsid w:val="009F47BF"/>
    <w:rsid w:val="009F47E5"/>
    <w:rsid w:val="009F49C5"/>
    <w:rsid w:val="009F5105"/>
    <w:rsid w:val="009F530B"/>
    <w:rsid w:val="009F60D8"/>
    <w:rsid w:val="009F65FD"/>
    <w:rsid w:val="009F68F2"/>
    <w:rsid w:val="009F6A5B"/>
    <w:rsid w:val="009F754D"/>
    <w:rsid w:val="00A0231D"/>
    <w:rsid w:val="00A034D8"/>
    <w:rsid w:val="00A03933"/>
    <w:rsid w:val="00A03CE3"/>
    <w:rsid w:val="00A03ED6"/>
    <w:rsid w:val="00A05CD1"/>
    <w:rsid w:val="00A064EF"/>
    <w:rsid w:val="00A076E5"/>
    <w:rsid w:val="00A103CB"/>
    <w:rsid w:val="00A10619"/>
    <w:rsid w:val="00A10D2B"/>
    <w:rsid w:val="00A12A06"/>
    <w:rsid w:val="00A13008"/>
    <w:rsid w:val="00A1356A"/>
    <w:rsid w:val="00A13EE8"/>
    <w:rsid w:val="00A14081"/>
    <w:rsid w:val="00A1423A"/>
    <w:rsid w:val="00A15554"/>
    <w:rsid w:val="00A15B9C"/>
    <w:rsid w:val="00A15C7A"/>
    <w:rsid w:val="00A168FF"/>
    <w:rsid w:val="00A17089"/>
    <w:rsid w:val="00A1752C"/>
    <w:rsid w:val="00A179BA"/>
    <w:rsid w:val="00A17D7C"/>
    <w:rsid w:val="00A20015"/>
    <w:rsid w:val="00A21372"/>
    <w:rsid w:val="00A21ED2"/>
    <w:rsid w:val="00A22F56"/>
    <w:rsid w:val="00A233E9"/>
    <w:rsid w:val="00A247C3"/>
    <w:rsid w:val="00A258A9"/>
    <w:rsid w:val="00A25AA2"/>
    <w:rsid w:val="00A27622"/>
    <w:rsid w:val="00A27E05"/>
    <w:rsid w:val="00A30731"/>
    <w:rsid w:val="00A30AF2"/>
    <w:rsid w:val="00A30DAA"/>
    <w:rsid w:val="00A31243"/>
    <w:rsid w:val="00A314A3"/>
    <w:rsid w:val="00A315CF"/>
    <w:rsid w:val="00A316E2"/>
    <w:rsid w:val="00A31890"/>
    <w:rsid w:val="00A32C7A"/>
    <w:rsid w:val="00A344AD"/>
    <w:rsid w:val="00A3457F"/>
    <w:rsid w:val="00A35BD8"/>
    <w:rsid w:val="00A35DF0"/>
    <w:rsid w:val="00A367A4"/>
    <w:rsid w:val="00A37304"/>
    <w:rsid w:val="00A379A7"/>
    <w:rsid w:val="00A40CD8"/>
    <w:rsid w:val="00A40FFC"/>
    <w:rsid w:val="00A422E1"/>
    <w:rsid w:val="00A42FDF"/>
    <w:rsid w:val="00A43B19"/>
    <w:rsid w:val="00A44CFF"/>
    <w:rsid w:val="00A451AE"/>
    <w:rsid w:val="00A45A2E"/>
    <w:rsid w:val="00A45E66"/>
    <w:rsid w:val="00A4677E"/>
    <w:rsid w:val="00A47B5C"/>
    <w:rsid w:val="00A51A12"/>
    <w:rsid w:val="00A52037"/>
    <w:rsid w:val="00A521E1"/>
    <w:rsid w:val="00A52B79"/>
    <w:rsid w:val="00A542A3"/>
    <w:rsid w:val="00A5537D"/>
    <w:rsid w:val="00A554A1"/>
    <w:rsid w:val="00A559BD"/>
    <w:rsid w:val="00A56406"/>
    <w:rsid w:val="00A56D15"/>
    <w:rsid w:val="00A57B5D"/>
    <w:rsid w:val="00A607DB"/>
    <w:rsid w:val="00A60FCC"/>
    <w:rsid w:val="00A61070"/>
    <w:rsid w:val="00A61316"/>
    <w:rsid w:val="00A61DAA"/>
    <w:rsid w:val="00A62715"/>
    <w:rsid w:val="00A62922"/>
    <w:rsid w:val="00A62EB3"/>
    <w:rsid w:val="00A63DA6"/>
    <w:rsid w:val="00A650F8"/>
    <w:rsid w:val="00A65CEF"/>
    <w:rsid w:val="00A67714"/>
    <w:rsid w:val="00A67871"/>
    <w:rsid w:val="00A678B9"/>
    <w:rsid w:val="00A700CC"/>
    <w:rsid w:val="00A70156"/>
    <w:rsid w:val="00A70186"/>
    <w:rsid w:val="00A70E28"/>
    <w:rsid w:val="00A7126B"/>
    <w:rsid w:val="00A7161E"/>
    <w:rsid w:val="00A71B4D"/>
    <w:rsid w:val="00A72015"/>
    <w:rsid w:val="00A7282E"/>
    <w:rsid w:val="00A7319E"/>
    <w:rsid w:val="00A74993"/>
    <w:rsid w:val="00A75EAE"/>
    <w:rsid w:val="00A76826"/>
    <w:rsid w:val="00A774A5"/>
    <w:rsid w:val="00A7799B"/>
    <w:rsid w:val="00A77CA8"/>
    <w:rsid w:val="00A808D3"/>
    <w:rsid w:val="00A82272"/>
    <w:rsid w:val="00A827A2"/>
    <w:rsid w:val="00A8300D"/>
    <w:rsid w:val="00A837ED"/>
    <w:rsid w:val="00A85A5B"/>
    <w:rsid w:val="00A85CD5"/>
    <w:rsid w:val="00A86147"/>
    <w:rsid w:val="00A86324"/>
    <w:rsid w:val="00A865BD"/>
    <w:rsid w:val="00A870F8"/>
    <w:rsid w:val="00A90593"/>
    <w:rsid w:val="00A920DC"/>
    <w:rsid w:val="00A92AC4"/>
    <w:rsid w:val="00A93303"/>
    <w:rsid w:val="00A933BE"/>
    <w:rsid w:val="00A93615"/>
    <w:rsid w:val="00A93907"/>
    <w:rsid w:val="00A93B35"/>
    <w:rsid w:val="00A95492"/>
    <w:rsid w:val="00A95F20"/>
    <w:rsid w:val="00A95F55"/>
    <w:rsid w:val="00A962E3"/>
    <w:rsid w:val="00A964BF"/>
    <w:rsid w:val="00A97355"/>
    <w:rsid w:val="00A973F1"/>
    <w:rsid w:val="00A977F4"/>
    <w:rsid w:val="00AA0E32"/>
    <w:rsid w:val="00AA104F"/>
    <w:rsid w:val="00AA11D5"/>
    <w:rsid w:val="00AA18B9"/>
    <w:rsid w:val="00AA19C8"/>
    <w:rsid w:val="00AA1C59"/>
    <w:rsid w:val="00AA242D"/>
    <w:rsid w:val="00AA3ABC"/>
    <w:rsid w:val="00AA3E37"/>
    <w:rsid w:val="00AA5D1F"/>
    <w:rsid w:val="00AA6106"/>
    <w:rsid w:val="00AA6138"/>
    <w:rsid w:val="00AA61A4"/>
    <w:rsid w:val="00AA75D4"/>
    <w:rsid w:val="00AA7A52"/>
    <w:rsid w:val="00AB0546"/>
    <w:rsid w:val="00AB0632"/>
    <w:rsid w:val="00AB08B9"/>
    <w:rsid w:val="00AB0FD3"/>
    <w:rsid w:val="00AB2690"/>
    <w:rsid w:val="00AB2E96"/>
    <w:rsid w:val="00AB352A"/>
    <w:rsid w:val="00AB4E61"/>
    <w:rsid w:val="00AB5F14"/>
    <w:rsid w:val="00AB5F5D"/>
    <w:rsid w:val="00AB68B8"/>
    <w:rsid w:val="00AC088F"/>
    <w:rsid w:val="00AC1DE0"/>
    <w:rsid w:val="00AC1F74"/>
    <w:rsid w:val="00AC20A4"/>
    <w:rsid w:val="00AC4E9B"/>
    <w:rsid w:val="00AC535B"/>
    <w:rsid w:val="00AC5465"/>
    <w:rsid w:val="00AC5474"/>
    <w:rsid w:val="00AC58CD"/>
    <w:rsid w:val="00AC5D6F"/>
    <w:rsid w:val="00AD0F10"/>
    <w:rsid w:val="00AD12BC"/>
    <w:rsid w:val="00AD1312"/>
    <w:rsid w:val="00AD1719"/>
    <w:rsid w:val="00AD2E8C"/>
    <w:rsid w:val="00AD3FFC"/>
    <w:rsid w:val="00AD4694"/>
    <w:rsid w:val="00AD4C16"/>
    <w:rsid w:val="00AD5065"/>
    <w:rsid w:val="00AD5CA5"/>
    <w:rsid w:val="00AD5F0B"/>
    <w:rsid w:val="00AD653B"/>
    <w:rsid w:val="00AD7C72"/>
    <w:rsid w:val="00AE03DD"/>
    <w:rsid w:val="00AE0E62"/>
    <w:rsid w:val="00AE11CA"/>
    <w:rsid w:val="00AE27D4"/>
    <w:rsid w:val="00AE2958"/>
    <w:rsid w:val="00AE4B4D"/>
    <w:rsid w:val="00AE7DE7"/>
    <w:rsid w:val="00AF02CC"/>
    <w:rsid w:val="00AF074E"/>
    <w:rsid w:val="00AF07FB"/>
    <w:rsid w:val="00AF1AF7"/>
    <w:rsid w:val="00AF1F38"/>
    <w:rsid w:val="00AF451A"/>
    <w:rsid w:val="00AF49AF"/>
    <w:rsid w:val="00AF57A6"/>
    <w:rsid w:val="00AF5927"/>
    <w:rsid w:val="00AF5E4F"/>
    <w:rsid w:val="00AF6155"/>
    <w:rsid w:val="00AF6F85"/>
    <w:rsid w:val="00AF7CB1"/>
    <w:rsid w:val="00AF7DC8"/>
    <w:rsid w:val="00B00080"/>
    <w:rsid w:val="00B006DF"/>
    <w:rsid w:val="00B00756"/>
    <w:rsid w:val="00B00985"/>
    <w:rsid w:val="00B00CB4"/>
    <w:rsid w:val="00B017C2"/>
    <w:rsid w:val="00B02B07"/>
    <w:rsid w:val="00B03F67"/>
    <w:rsid w:val="00B04DA1"/>
    <w:rsid w:val="00B06489"/>
    <w:rsid w:val="00B071C8"/>
    <w:rsid w:val="00B10015"/>
    <w:rsid w:val="00B104D1"/>
    <w:rsid w:val="00B10923"/>
    <w:rsid w:val="00B11CA0"/>
    <w:rsid w:val="00B1290C"/>
    <w:rsid w:val="00B12964"/>
    <w:rsid w:val="00B149DD"/>
    <w:rsid w:val="00B15358"/>
    <w:rsid w:val="00B1550A"/>
    <w:rsid w:val="00B156F9"/>
    <w:rsid w:val="00B178A3"/>
    <w:rsid w:val="00B17AAE"/>
    <w:rsid w:val="00B17C92"/>
    <w:rsid w:val="00B209C2"/>
    <w:rsid w:val="00B21AA6"/>
    <w:rsid w:val="00B21B57"/>
    <w:rsid w:val="00B2289B"/>
    <w:rsid w:val="00B23014"/>
    <w:rsid w:val="00B241D0"/>
    <w:rsid w:val="00B24FDC"/>
    <w:rsid w:val="00B25033"/>
    <w:rsid w:val="00B25664"/>
    <w:rsid w:val="00B25E41"/>
    <w:rsid w:val="00B2718D"/>
    <w:rsid w:val="00B3080A"/>
    <w:rsid w:val="00B30B90"/>
    <w:rsid w:val="00B318AD"/>
    <w:rsid w:val="00B32135"/>
    <w:rsid w:val="00B32A78"/>
    <w:rsid w:val="00B32DE5"/>
    <w:rsid w:val="00B32EE1"/>
    <w:rsid w:val="00B33888"/>
    <w:rsid w:val="00B33D05"/>
    <w:rsid w:val="00B34485"/>
    <w:rsid w:val="00B34537"/>
    <w:rsid w:val="00B34987"/>
    <w:rsid w:val="00B35209"/>
    <w:rsid w:val="00B35622"/>
    <w:rsid w:val="00B35647"/>
    <w:rsid w:val="00B35B0B"/>
    <w:rsid w:val="00B35BF3"/>
    <w:rsid w:val="00B36191"/>
    <w:rsid w:val="00B36D3B"/>
    <w:rsid w:val="00B37089"/>
    <w:rsid w:val="00B372BC"/>
    <w:rsid w:val="00B375F4"/>
    <w:rsid w:val="00B37917"/>
    <w:rsid w:val="00B37D87"/>
    <w:rsid w:val="00B37EF1"/>
    <w:rsid w:val="00B40D90"/>
    <w:rsid w:val="00B41BA4"/>
    <w:rsid w:val="00B42678"/>
    <w:rsid w:val="00B42C5B"/>
    <w:rsid w:val="00B432DF"/>
    <w:rsid w:val="00B434C2"/>
    <w:rsid w:val="00B44C7B"/>
    <w:rsid w:val="00B462E5"/>
    <w:rsid w:val="00B46EC5"/>
    <w:rsid w:val="00B4735F"/>
    <w:rsid w:val="00B47FC4"/>
    <w:rsid w:val="00B50129"/>
    <w:rsid w:val="00B50150"/>
    <w:rsid w:val="00B51934"/>
    <w:rsid w:val="00B51CC6"/>
    <w:rsid w:val="00B51EB1"/>
    <w:rsid w:val="00B52613"/>
    <w:rsid w:val="00B532CF"/>
    <w:rsid w:val="00B53654"/>
    <w:rsid w:val="00B536D7"/>
    <w:rsid w:val="00B54A74"/>
    <w:rsid w:val="00B54CFF"/>
    <w:rsid w:val="00B5524B"/>
    <w:rsid w:val="00B556A8"/>
    <w:rsid w:val="00B560F1"/>
    <w:rsid w:val="00B56296"/>
    <w:rsid w:val="00B56956"/>
    <w:rsid w:val="00B57641"/>
    <w:rsid w:val="00B57B35"/>
    <w:rsid w:val="00B60EF4"/>
    <w:rsid w:val="00B61274"/>
    <w:rsid w:val="00B6147C"/>
    <w:rsid w:val="00B62188"/>
    <w:rsid w:val="00B6224C"/>
    <w:rsid w:val="00B622D4"/>
    <w:rsid w:val="00B627F2"/>
    <w:rsid w:val="00B62A80"/>
    <w:rsid w:val="00B6393A"/>
    <w:rsid w:val="00B64A28"/>
    <w:rsid w:val="00B64E97"/>
    <w:rsid w:val="00B64ED9"/>
    <w:rsid w:val="00B674A7"/>
    <w:rsid w:val="00B6781B"/>
    <w:rsid w:val="00B67ADD"/>
    <w:rsid w:val="00B70D0C"/>
    <w:rsid w:val="00B70F2C"/>
    <w:rsid w:val="00B73C2D"/>
    <w:rsid w:val="00B74290"/>
    <w:rsid w:val="00B756B1"/>
    <w:rsid w:val="00B76BDD"/>
    <w:rsid w:val="00B7750A"/>
    <w:rsid w:val="00B80ADA"/>
    <w:rsid w:val="00B80CDE"/>
    <w:rsid w:val="00B8182E"/>
    <w:rsid w:val="00B81846"/>
    <w:rsid w:val="00B825E8"/>
    <w:rsid w:val="00B82CF1"/>
    <w:rsid w:val="00B855B8"/>
    <w:rsid w:val="00B85A89"/>
    <w:rsid w:val="00B85EEA"/>
    <w:rsid w:val="00B863F8"/>
    <w:rsid w:val="00B87448"/>
    <w:rsid w:val="00B874E0"/>
    <w:rsid w:val="00B87A7A"/>
    <w:rsid w:val="00B87E88"/>
    <w:rsid w:val="00B87FF8"/>
    <w:rsid w:val="00B90233"/>
    <w:rsid w:val="00B902BE"/>
    <w:rsid w:val="00B903AC"/>
    <w:rsid w:val="00B911CA"/>
    <w:rsid w:val="00B91659"/>
    <w:rsid w:val="00B93398"/>
    <w:rsid w:val="00B93538"/>
    <w:rsid w:val="00B9443A"/>
    <w:rsid w:val="00B94AA0"/>
    <w:rsid w:val="00B94E36"/>
    <w:rsid w:val="00B95813"/>
    <w:rsid w:val="00B9591C"/>
    <w:rsid w:val="00B95BB2"/>
    <w:rsid w:val="00B95EA8"/>
    <w:rsid w:val="00BA00D6"/>
    <w:rsid w:val="00BA01BC"/>
    <w:rsid w:val="00BA0449"/>
    <w:rsid w:val="00BA1935"/>
    <w:rsid w:val="00BA19C1"/>
    <w:rsid w:val="00BA2033"/>
    <w:rsid w:val="00BA2563"/>
    <w:rsid w:val="00BA30A1"/>
    <w:rsid w:val="00BA3F9E"/>
    <w:rsid w:val="00BA4994"/>
    <w:rsid w:val="00BA4FEE"/>
    <w:rsid w:val="00BA5462"/>
    <w:rsid w:val="00BA5C78"/>
    <w:rsid w:val="00BA66E0"/>
    <w:rsid w:val="00BA67AD"/>
    <w:rsid w:val="00BA684C"/>
    <w:rsid w:val="00BA6851"/>
    <w:rsid w:val="00BA6A6A"/>
    <w:rsid w:val="00BA6F42"/>
    <w:rsid w:val="00BA780E"/>
    <w:rsid w:val="00BA7A5F"/>
    <w:rsid w:val="00BB0408"/>
    <w:rsid w:val="00BB0C74"/>
    <w:rsid w:val="00BB1604"/>
    <w:rsid w:val="00BB1AEA"/>
    <w:rsid w:val="00BB2EB2"/>
    <w:rsid w:val="00BB334C"/>
    <w:rsid w:val="00BB3599"/>
    <w:rsid w:val="00BB35B7"/>
    <w:rsid w:val="00BB3D0A"/>
    <w:rsid w:val="00BB3F25"/>
    <w:rsid w:val="00BB4120"/>
    <w:rsid w:val="00BB44B0"/>
    <w:rsid w:val="00BB46E5"/>
    <w:rsid w:val="00BB5FCD"/>
    <w:rsid w:val="00BB633C"/>
    <w:rsid w:val="00BB6A41"/>
    <w:rsid w:val="00BB6DB7"/>
    <w:rsid w:val="00BB7663"/>
    <w:rsid w:val="00BB77F0"/>
    <w:rsid w:val="00BC08AD"/>
    <w:rsid w:val="00BC450E"/>
    <w:rsid w:val="00BC4AD4"/>
    <w:rsid w:val="00BC4F7C"/>
    <w:rsid w:val="00BC5425"/>
    <w:rsid w:val="00BC6854"/>
    <w:rsid w:val="00BC7540"/>
    <w:rsid w:val="00BC7571"/>
    <w:rsid w:val="00BC7651"/>
    <w:rsid w:val="00BC7F05"/>
    <w:rsid w:val="00BD1E88"/>
    <w:rsid w:val="00BD240D"/>
    <w:rsid w:val="00BD2C25"/>
    <w:rsid w:val="00BD3BD5"/>
    <w:rsid w:val="00BD3FD9"/>
    <w:rsid w:val="00BD4558"/>
    <w:rsid w:val="00BD4DCD"/>
    <w:rsid w:val="00BD562A"/>
    <w:rsid w:val="00BD5DC9"/>
    <w:rsid w:val="00BD61CD"/>
    <w:rsid w:val="00BD6D0D"/>
    <w:rsid w:val="00BD73AF"/>
    <w:rsid w:val="00BE0ED3"/>
    <w:rsid w:val="00BE1752"/>
    <w:rsid w:val="00BE1F72"/>
    <w:rsid w:val="00BE238B"/>
    <w:rsid w:val="00BE2BA3"/>
    <w:rsid w:val="00BE33D2"/>
    <w:rsid w:val="00BE3940"/>
    <w:rsid w:val="00BE3ABC"/>
    <w:rsid w:val="00BE4891"/>
    <w:rsid w:val="00BE5306"/>
    <w:rsid w:val="00BE5321"/>
    <w:rsid w:val="00BE5720"/>
    <w:rsid w:val="00BE57DB"/>
    <w:rsid w:val="00BE5F5E"/>
    <w:rsid w:val="00BE7B76"/>
    <w:rsid w:val="00BE7EBF"/>
    <w:rsid w:val="00BF0E3B"/>
    <w:rsid w:val="00BF0F56"/>
    <w:rsid w:val="00BF1198"/>
    <w:rsid w:val="00BF1A23"/>
    <w:rsid w:val="00BF29B7"/>
    <w:rsid w:val="00BF3052"/>
    <w:rsid w:val="00BF40B4"/>
    <w:rsid w:val="00BF47FC"/>
    <w:rsid w:val="00BF5DE4"/>
    <w:rsid w:val="00BF680A"/>
    <w:rsid w:val="00BF7C9E"/>
    <w:rsid w:val="00BF7FF4"/>
    <w:rsid w:val="00C025B3"/>
    <w:rsid w:val="00C02CB4"/>
    <w:rsid w:val="00C03C19"/>
    <w:rsid w:val="00C059AB"/>
    <w:rsid w:val="00C06E19"/>
    <w:rsid w:val="00C1099D"/>
    <w:rsid w:val="00C10B91"/>
    <w:rsid w:val="00C11A7F"/>
    <w:rsid w:val="00C12E91"/>
    <w:rsid w:val="00C1401C"/>
    <w:rsid w:val="00C143EF"/>
    <w:rsid w:val="00C1523A"/>
    <w:rsid w:val="00C15781"/>
    <w:rsid w:val="00C15F35"/>
    <w:rsid w:val="00C16FCF"/>
    <w:rsid w:val="00C2125F"/>
    <w:rsid w:val="00C2139E"/>
    <w:rsid w:val="00C2157C"/>
    <w:rsid w:val="00C2157D"/>
    <w:rsid w:val="00C219D6"/>
    <w:rsid w:val="00C21F16"/>
    <w:rsid w:val="00C228DD"/>
    <w:rsid w:val="00C23458"/>
    <w:rsid w:val="00C23DAD"/>
    <w:rsid w:val="00C24609"/>
    <w:rsid w:val="00C24DA2"/>
    <w:rsid w:val="00C24FD4"/>
    <w:rsid w:val="00C251C0"/>
    <w:rsid w:val="00C2752B"/>
    <w:rsid w:val="00C27FE6"/>
    <w:rsid w:val="00C301A8"/>
    <w:rsid w:val="00C30373"/>
    <w:rsid w:val="00C30387"/>
    <w:rsid w:val="00C30829"/>
    <w:rsid w:val="00C30B4A"/>
    <w:rsid w:val="00C317B8"/>
    <w:rsid w:val="00C33886"/>
    <w:rsid w:val="00C3396C"/>
    <w:rsid w:val="00C33FBF"/>
    <w:rsid w:val="00C346BB"/>
    <w:rsid w:val="00C34A88"/>
    <w:rsid w:val="00C3514D"/>
    <w:rsid w:val="00C3572C"/>
    <w:rsid w:val="00C35A8D"/>
    <w:rsid w:val="00C35C46"/>
    <w:rsid w:val="00C36589"/>
    <w:rsid w:val="00C36D55"/>
    <w:rsid w:val="00C36F88"/>
    <w:rsid w:val="00C3705C"/>
    <w:rsid w:val="00C371A5"/>
    <w:rsid w:val="00C404A9"/>
    <w:rsid w:val="00C40B19"/>
    <w:rsid w:val="00C40C17"/>
    <w:rsid w:val="00C41085"/>
    <w:rsid w:val="00C41959"/>
    <w:rsid w:val="00C41D39"/>
    <w:rsid w:val="00C43325"/>
    <w:rsid w:val="00C43B51"/>
    <w:rsid w:val="00C4485C"/>
    <w:rsid w:val="00C47790"/>
    <w:rsid w:val="00C47BF6"/>
    <w:rsid w:val="00C50029"/>
    <w:rsid w:val="00C500CC"/>
    <w:rsid w:val="00C52877"/>
    <w:rsid w:val="00C52E75"/>
    <w:rsid w:val="00C5393D"/>
    <w:rsid w:val="00C5394E"/>
    <w:rsid w:val="00C541D6"/>
    <w:rsid w:val="00C54202"/>
    <w:rsid w:val="00C558EA"/>
    <w:rsid w:val="00C55CBF"/>
    <w:rsid w:val="00C5638A"/>
    <w:rsid w:val="00C56EB0"/>
    <w:rsid w:val="00C573AC"/>
    <w:rsid w:val="00C57D87"/>
    <w:rsid w:val="00C57F91"/>
    <w:rsid w:val="00C6009A"/>
    <w:rsid w:val="00C63D05"/>
    <w:rsid w:val="00C646B9"/>
    <w:rsid w:val="00C64B20"/>
    <w:rsid w:val="00C64C69"/>
    <w:rsid w:val="00C656EE"/>
    <w:rsid w:val="00C6617D"/>
    <w:rsid w:val="00C667E5"/>
    <w:rsid w:val="00C67012"/>
    <w:rsid w:val="00C67813"/>
    <w:rsid w:val="00C678FB"/>
    <w:rsid w:val="00C679CA"/>
    <w:rsid w:val="00C71869"/>
    <w:rsid w:val="00C72D2A"/>
    <w:rsid w:val="00C738D6"/>
    <w:rsid w:val="00C73A9F"/>
    <w:rsid w:val="00C73AD3"/>
    <w:rsid w:val="00C74302"/>
    <w:rsid w:val="00C749B2"/>
    <w:rsid w:val="00C75613"/>
    <w:rsid w:val="00C75F34"/>
    <w:rsid w:val="00C772FE"/>
    <w:rsid w:val="00C80683"/>
    <w:rsid w:val="00C80F02"/>
    <w:rsid w:val="00C811AD"/>
    <w:rsid w:val="00C816A5"/>
    <w:rsid w:val="00C8202F"/>
    <w:rsid w:val="00C8243E"/>
    <w:rsid w:val="00C8283A"/>
    <w:rsid w:val="00C8316A"/>
    <w:rsid w:val="00C83572"/>
    <w:rsid w:val="00C8384E"/>
    <w:rsid w:val="00C84260"/>
    <w:rsid w:val="00C84564"/>
    <w:rsid w:val="00C845FC"/>
    <w:rsid w:val="00C85175"/>
    <w:rsid w:val="00C85420"/>
    <w:rsid w:val="00C87D20"/>
    <w:rsid w:val="00C87D9B"/>
    <w:rsid w:val="00C90678"/>
    <w:rsid w:val="00C9086D"/>
    <w:rsid w:val="00C908B1"/>
    <w:rsid w:val="00C911EC"/>
    <w:rsid w:val="00C91524"/>
    <w:rsid w:val="00C92F10"/>
    <w:rsid w:val="00C9352A"/>
    <w:rsid w:val="00C95B98"/>
    <w:rsid w:val="00C95CA2"/>
    <w:rsid w:val="00C961B2"/>
    <w:rsid w:val="00C97834"/>
    <w:rsid w:val="00C97F0F"/>
    <w:rsid w:val="00CA0047"/>
    <w:rsid w:val="00CA0317"/>
    <w:rsid w:val="00CA0664"/>
    <w:rsid w:val="00CA06F9"/>
    <w:rsid w:val="00CA1FD2"/>
    <w:rsid w:val="00CA345B"/>
    <w:rsid w:val="00CA37C7"/>
    <w:rsid w:val="00CA3A03"/>
    <w:rsid w:val="00CA3AAE"/>
    <w:rsid w:val="00CA3D87"/>
    <w:rsid w:val="00CA43DD"/>
    <w:rsid w:val="00CA4B91"/>
    <w:rsid w:val="00CA7032"/>
    <w:rsid w:val="00CA7350"/>
    <w:rsid w:val="00CA7D36"/>
    <w:rsid w:val="00CB03D0"/>
    <w:rsid w:val="00CB04B0"/>
    <w:rsid w:val="00CB0712"/>
    <w:rsid w:val="00CB0E20"/>
    <w:rsid w:val="00CB1609"/>
    <w:rsid w:val="00CB1AF5"/>
    <w:rsid w:val="00CB1BBC"/>
    <w:rsid w:val="00CB2475"/>
    <w:rsid w:val="00CB2C2C"/>
    <w:rsid w:val="00CB4614"/>
    <w:rsid w:val="00CB493D"/>
    <w:rsid w:val="00CB49C8"/>
    <w:rsid w:val="00CB5401"/>
    <w:rsid w:val="00CB5FF6"/>
    <w:rsid w:val="00CB66EC"/>
    <w:rsid w:val="00CB78D1"/>
    <w:rsid w:val="00CC1832"/>
    <w:rsid w:val="00CC197E"/>
    <w:rsid w:val="00CC2337"/>
    <w:rsid w:val="00CC4655"/>
    <w:rsid w:val="00CC52DB"/>
    <w:rsid w:val="00CC5A28"/>
    <w:rsid w:val="00CC63BC"/>
    <w:rsid w:val="00CC695F"/>
    <w:rsid w:val="00CC7B25"/>
    <w:rsid w:val="00CD0677"/>
    <w:rsid w:val="00CD079B"/>
    <w:rsid w:val="00CD10E7"/>
    <w:rsid w:val="00CD1B13"/>
    <w:rsid w:val="00CD1C91"/>
    <w:rsid w:val="00CD241E"/>
    <w:rsid w:val="00CD292B"/>
    <w:rsid w:val="00CD2A1A"/>
    <w:rsid w:val="00CD49A1"/>
    <w:rsid w:val="00CD4A5F"/>
    <w:rsid w:val="00CD5982"/>
    <w:rsid w:val="00CD7020"/>
    <w:rsid w:val="00CD7632"/>
    <w:rsid w:val="00CD771C"/>
    <w:rsid w:val="00CD7F4D"/>
    <w:rsid w:val="00CE014B"/>
    <w:rsid w:val="00CE0159"/>
    <w:rsid w:val="00CE0CE6"/>
    <w:rsid w:val="00CE0F35"/>
    <w:rsid w:val="00CE1A25"/>
    <w:rsid w:val="00CE1D49"/>
    <w:rsid w:val="00CE2253"/>
    <w:rsid w:val="00CE2676"/>
    <w:rsid w:val="00CE3CA4"/>
    <w:rsid w:val="00CE45A7"/>
    <w:rsid w:val="00CE5716"/>
    <w:rsid w:val="00CE57F8"/>
    <w:rsid w:val="00CE5E05"/>
    <w:rsid w:val="00CE6BE9"/>
    <w:rsid w:val="00CE6E28"/>
    <w:rsid w:val="00CE6FA0"/>
    <w:rsid w:val="00CE7C17"/>
    <w:rsid w:val="00CE7C69"/>
    <w:rsid w:val="00CF01C1"/>
    <w:rsid w:val="00CF0B54"/>
    <w:rsid w:val="00CF0DA6"/>
    <w:rsid w:val="00CF1B83"/>
    <w:rsid w:val="00CF2B5D"/>
    <w:rsid w:val="00CF2C99"/>
    <w:rsid w:val="00CF2DA3"/>
    <w:rsid w:val="00CF41A2"/>
    <w:rsid w:val="00CF4728"/>
    <w:rsid w:val="00CF5001"/>
    <w:rsid w:val="00CF5170"/>
    <w:rsid w:val="00CF51C0"/>
    <w:rsid w:val="00CF56D7"/>
    <w:rsid w:val="00CF588C"/>
    <w:rsid w:val="00CF5DA1"/>
    <w:rsid w:val="00CF5E9F"/>
    <w:rsid w:val="00CF621C"/>
    <w:rsid w:val="00CF7877"/>
    <w:rsid w:val="00CF7A32"/>
    <w:rsid w:val="00CF7B02"/>
    <w:rsid w:val="00CF7D6A"/>
    <w:rsid w:val="00CF7E84"/>
    <w:rsid w:val="00D003C6"/>
    <w:rsid w:val="00D0129E"/>
    <w:rsid w:val="00D01919"/>
    <w:rsid w:val="00D01B43"/>
    <w:rsid w:val="00D0210A"/>
    <w:rsid w:val="00D03190"/>
    <w:rsid w:val="00D03457"/>
    <w:rsid w:val="00D0395D"/>
    <w:rsid w:val="00D047D3"/>
    <w:rsid w:val="00D05AD8"/>
    <w:rsid w:val="00D0771E"/>
    <w:rsid w:val="00D112F3"/>
    <w:rsid w:val="00D11558"/>
    <w:rsid w:val="00D116A3"/>
    <w:rsid w:val="00D12023"/>
    <w:rsid w:val="00D124D3"/>
    <w:rsid w:val="00D1335D"/>
    <w:rsid w:val="00D137D8"/>
    <w:rsid w:val="00D13817"/>
    <w:rsid w:val="00D140B7"/>
    <w:rsid w:val="00D14D50"/>
    <w:rsid w:val="00D155B4"/>
    <w:rsid w:val="00D15B78"/>
    <w:rsid w:val="00D15C36"/>
    <w:rsid w:val="00D15CF8"/>
    <w:rsid w:val="00D16AB4"/>
    <w:rsid w:val="00D20BE0"/>
    <w:rsid w:val="00D22AE7"/>
    <w:rsid w:val="00D23092"/>
    <w:rsid w:val="00D25A99"/>
    <w:rsid w:val="00D2646E"/>
    <w:rsid w:val="00D26557"/>
    <w:rsid w:val="00D267A0"/>
    <w:rsid w:val="00D2787A"/>
    <w:rsid w:val="00D301AE"/>
    <w:rsid w:val="00D31283"/>
    <w:rsid w:val="00D31DB2"/>
    <w:rsid w:val="00D32E01"/>
    <w:rsid w:val="00D32E8A"/>
    <w:rsid w:val="00D331EF"/>
    <w:rsid w:val="00D33393"/>
    <w:rsid w:val="00D33ACA"/>
    <w:rsid w:val="00D348CF"/>
    <w:rsid w:val="00D34B67"/>
    <w:rsid w:val="00D34EE8"/>
    <w:rsid w:val="00D3552B"/>
    <w:rsid w:val="00D35EB6"/>
    <w:rsid w:val="00D36218"/>
    <w:rsid w:val="00D3744B"/>
    <w:rsid w:val="00D37CF3"/>
    <w:rsid w:val="00D40521"/>
    <w:rsid w:val="00D4071D"/>
    <w:rsid w:val="00D40750"/>
    <w:rsid w:val="00D417E1"/>
    <w:rsid w:val="00D42064"/>
    <w:rsid w:val="00D430DC"/>
    <w:rsid w:val="00D433F8"/>
    <w:rsid w:val="00D45106"/>
    <w:rsid w:val="00D462C1"/>
    <w:rsid w:val="00D4655B"/>
    <w:rsid w:val="00D46703"/>
    <w:rsid w:val="00D46766"/>
    <w:rsid w:val="00D4727F"/>
    <w:rsid w:val="00D47AF1"/>
    <w:rsid w:val="00D50906"/>
    <w:rsid w:val="00D513A3"/>
    <w:rsid w:val="00D51F65"/>
    <w:rsid w:val="00D52F58"/>
    <w:rsid w:val="00D52F95"/>
    <w:rsid w:val="00D53057"/>
    <w:rsid w:val="00D5452D"/>
    <w:rsid w:val="00D5503E"/>
    <w:rsid w:val="00D551FC"/>
    <w:rsid w:val="00D5557B"/>
    <w:rsid w:val="00D55775"/>
    <w:rsid w:val="00D561D6"/>
    <w:rsid w:val="00D565C4"/>
    <w:rsid w:val="00D567B0"/>
    <w:rsid w:val="00D6006B"/>
    <w:rsid w:val="00D60CAD"/>
    <w:rsid w:val="00D60EF1"/>
    <w:rsid w:val="00D60F13"/>
    <w:rsid w:val="00D610DE"/>
    <w:rsid w:val="00D614C8"/>
    <w:rsid w:val="00D614D1"/>
    <w:rsid w:val="00D621E0"/>
    <w:rsid w:val="00D622FA"/>
    <w:rsid w:val="00D62466"/>
    <w:rsid w:val="00D63541"/>
    <w:rsid w:val="00D63B3F"/>
    <w:rsid w:val="00D6400F"/>
    <w:rsid w:val="00D640C3"/>
    <w:rsid w:val="00D70A45"/>
    <w:rsid w:val="00D721BC"/>
    <w:rsid w:val="00D7229C"/>
    <w:rsid w:val="00D729B7"/>
    <w:rsid w:val="00D72E82"/>
    <w:rsid w:val="00D733BE"/>
    <w:rsid w:val="00D7381C"/>
    <w:rsid w:val="00D74301"/>
    <w:rsid w:val="00D743CA"/>
    <w:rsid w:val="00D753BD"/>
    <w:rsid w:val="00D770D2"/>
    <w:rsid w:val="00D80C52"/>
    <w:rsid w:val="00D80D3B"/>
    <w:rsid w:val="00D81C8C"/>
    <w:rsid w:val="00D81F4D"/>
    <w:rsid w:val="00D82383"/>
    <w:rsid w:val="00D826D1"/>
    <w:rsid w:val="00D82A1C"/>
    <w:rsid w:val="00D82E82"/>
    <w:rsid w:val="00D8465B"/>
    <w:rsid w:val="00D85449"/>
    <w:rsid w:val="00D8561E"/>
    <w:rsid w:val="00D8583C"/>
    <w:rsid w:val="00D85DC4"/>
    <w:rsid w:val="00D86955"/>
    <w:rsid w:val="00D869B5"/>
    <w:rsid w:val="00D907BA"/>
    <w:rsid w:val="00D90B5C"/>
    <w:rsid w:val="00D9105B"/>
    <w:rsid w:val="00D91109"/>
    <w:rsid w:val="00D91CEA"/>
    <w:rsid w:val="00D91DEA"/>
    <w:rsid w:val="00D93A31"/>
    <w:rsid w:val="00D93AE2"/>
    <w:rsid w:val="00D9544E"/>
    <w:rsid w:val="00D958F6"/>
    <w:rsid w:val="00D9653D"/>
    <w:rsid w:val="00D96BA1"/>
    <w:rsid w:val="00D97D07"/>
    <w:rsid w:val="00DA09E1"/>
    <w:rsid w:val="00DA0A4E"/>
    <w:rsid w:val="00DA0CBD"/>
    <w:rsid w:val="00DA0ED9"/>
    <w:rsid w:val="00DA1D80"/>
    <w:rsid w:val="00DA22E8"/>
    <w:rsid w:val="00DA2403"/>
    <w:rsid w:val="00DA3087"/>
    <w:rsid w:val="00DA4D32"/>
    <w:rsid w:val="00DA508A"/>
    <w:rsid w:val="00DA6266"/>
    <w:rsid w:val="00DB19F5"/>
    <w:rsid w:val="00DB1BFC"/>
    <w:rsid w:val="00DB1D7F"/>
    <w:rsid w:val="00DB2EDC"/>
    <w:rsid w:val="00DB4387"/>
    <w:rsid w:val="00DB45C7"/>
    <w:rsid w:val="00DB5379"/>
    <w:rsid w:val="00DB5F7E"/>
    <w:rsid w:val="00DB67FF"/>
    <w:rsid w:val="00DB7A25"/>
    <w:rsid w:val="00DB7C2C"/>
    <w:rsid w:val="00DC1C15"/>
    <w:rsid w:val="00DC2903"/>
    <w:rsid w:val="00DC301D"/>
    <w:rsid w:val="00DC44BA"/>
    <w:rsid w:val="00DC6597"/>
    <w:rsid w:val="00DC6A1D"/>
    <w:rsid w:val="00DC728A"/>
    <w:rsid w:val="00DC7C1D"/>
    <w:rsid w:val="00DC7C3C"/>
    <w:rsid w:val="00DD06C9"/>
    <w:rsid w:val="00DD0A6E"/>
    <w:rsid w:val="00DD1FE2"/>
    <w:rsid w:val="00DD21D3"/>
    <w:rsid w:val="00DD2CD8"/>
    <w:rsid w:val="00DD2D02"/>
    <w:rsid w:val="00DD345E"/>
    <w:rsid w:val="00DD34CD"/>
    <w:rsid w:val="00DD351E"/>
    <w:rsid w:val="00DD3DA9"/>
    <w:rsid w:val="00DD3E02"/>
    <w:rsid w:val="00DD447E"/>
    <w:rsid w:val="00DD4B5C"/>
    <w:rsid w:val="00DD6CD4"/>
    <w:rsid w:val="00DE18DB"/>
    <w:rsid w:val="00DE5911"/>
    <w:rsid w:val="00DE5DCD"/>
    <w:rsid w:val="00DE5FF9"/>
    <w:rsid w:val="00DE6A34"/>
    <w:rsid w:val="00DE7213"/>
    <w:rsid w:val="00DE7F37"/>
    <w:rsid w:val="00DE7F98"/>
    <w:rsid w:val="00DF0713"/>
    <w:rsid w:val="00DF138F"/>
    <w:rsid w:val="00DF4B3D"/>
    <w:rsid w:val="00DF581A"/>
    <w:rsid w:val="00DF5F3C"/>
    <w:rsid w:val="00DF65A0"/>
    <w:rsid w:val="00DF69CE"/>
    <w:rsid w:val="00DF6AED"/>
    <w:rsid w:val="00DF6E5A"/>
    <w:rsid w:val="00DF75FE"/>
    <w:rsid w:val="00E01502"/>
    <w:rsid w:val="00E0193F"/>
    <w:rsid w:val="00E02612"/>
    <w:rsid w:val="00E043CC"/>
    <w:rsid w:val="00E04469"/>
    <w:rsid w:val="00E04C8D"/>
    <w:rsid w:val="00E05914"/>
    <w:rsid w:val="00E065F7"/>
    <w:rsid w:val="00E06D87"/>
    <w:rsid w:val="00E0702B"/>
    <w:rsid w:val="00E071BC"/>
    <w:rsid w:val="00E07E61"/>
    <w:rsid w:val="00E1001A"/>
    <w:rsid w:val="00E10037"/>
    <w:rsid w:val="00E10603"/>
    <w:rsid w:val="00E10C86"/>
    <w:rsid w:val="00E10CA6"/>
    <w:rsid w:val="00E10DC5"/>
    <w:rsid w:val="00E10E23"/>
    <w:rsid w:val="00E11882"/>
    <w:rsid w:val="00E12EDC"/>
    <w:rsid w:val="00E1353E"/>
    <w:rsid w:val="00E13732"/>
    <w:rsid w:val="00E13866"/>
    <w:rsid w:val="00E140EA"/>
    <w:rsid w:val="00E1584F"/>
    <w:rsid w:val="00E15FF7"/>
    <w:rsid w:val="00E162A2"/>
    <w:rsid w:val="00E169BD"/>
    <w:rsid w:val="00E170C9"/>
    <w:rsid w:val="00E17843"/>
    <w:rsid w:val="00E17EE3"/>
    <w:rsid w:val="00E20074"/>
    <w:rsid w:val="00E20983"/>
    <w:rsid w:val="00E20B6B"/>
    <w:rsid w:val="00E21344"/>
    <w:rsid w:val="00E21469"/>
    <w:rsid w:val="00E21593"/>
    <w:rsid w:val="00E22B59"/>
    <w:rsid w:val="00E23DC0"/>
    <w:rsid w:val="00E25070"/>
    <w:rsid w:val="00E25CA0"/>
    <w:rsid w:val="00E27248"/>
    <w:rsid w:val="00E275C8"/>
    <w:rsid w:val="00E277A6"/>
    <w:rsid w:val="00E30B53"/>
    <w:rsid w:val="00E31446"/>
    <w:rsid w:val="00E32279"/>
    <w:rsid w:val="00E32FC9"/>
    <w:rsid w:val="00E33720"/>
    <w:rsid w:val="00E338F0"/>
    <w:rsid w:val="00E33CCE"/>
    <w:rsid w:val="00E3456D"/>
    <w:rsid w:val="00E34BB4"/>
    <w:rsid w:val="00E34DDB"/>
    <w:rsid w:val="00E362C4"/>
    <w:rsid w:val="00E366AA"/>
    <w:rsid w:val="00E36AFD"/>
    <w:rsid w:val="00E36BCE"/>
    <w:rsid w:val="00E40192"/>
    <w:rsid w:val="00E42296"/>
    <w:rsid w:val="00E422CA"/>
    <w:rsid w:val="00E4288A"/>
    <w:rsid w:val="00E43573"/>
    <w:rsid w:val="00E44B3F"/>
    <w:rsid w:val="00E45CB4"/>
    <w:rsid w:val="00E46398"/>
    <w:rsid w:val="00E47153"/>
    <w:rsid w:val="00E471A9"/>
    <w:rsid w:val="00E478D0"/>
    <w:rsid w:val="00E50199"/>
    <w:rsid w:val="00E5103D"/>
    <w:rsid w:val="00E512EF"/>
    <w:rsid w:val="00E51A1B"/>
    <w:rsid w:val="00E51C5B"/>
    <w:rsid w:val="00E525D0"/>
    <w:rsid w:val="00E53C66"/>
    <w:rsid w:val="00E54806"/>
    <w:rsid w:val="00E54A5B"/>
    <w:rsid w:val="00E54B9A"/>
    <w:rsid w:val="00E60E35"/>
    <w:rsid w:val="00E611B0"/>
    <w:rsid w:val="00E6204C"/>
    <w:rsid w:val="00E62B33"/>
    <w:rsid w:val="00E64B5B"/>
    <w:rsid w:val="00E64D55"/>
    <w:rsid w:val="00E64D63"/>
    <w:rsid w:val="00E64EF2"/>
    <w:rsid w:val="00E6594A"/>
    <w:rsid w:val="00E6667E"/>
    <w:rsid w:val="00E714BB"/>
    <w:rsid w:val="00E71774"/>
    <w:rsid w:val="00E75DB3"/>
    <w:rsid w:val="00E76D47"/>
    <w:rsid w:val="00E77891"/>
    <w:rsid w:val="00E80209"/>
    <w:rsid w:val="00E8123A"/>
    <w:rsid w:val="00E81626"/>
    <w:rsid w:val="00E82671"/>
    <w:rsid w:val="00E828E1"/>
    <w:rsid w:val="00E833D4"/>
    <w:rsid w:val="00E836F4"/>
    <w:rsid w:val="00E84D97"/>
    <w:rsid w:val="00E85228"/>
    <w:rsid w:val="00E853C4"/>
    <w:rsid w:val="00E86A04"/>
    <w:rsid w:val="00E877E6"/>
    <w:rsid w:val="00E87998"/>
    <w:rsid w:val="00E87BA1"/>
    <w:rsid w:val="00E91042"/>
    <w:rsid w:val="00E9126A"/>
    <w:rsid w:val="00E91933"/>
    <w:rsid w:val="00E921CB"/>
    <w:rsid w:val="00E92294"/>
    <w:rsid w:val="00E92474"/>
    <w:rsid w:val="00E93B6B"/>
    <w:rsid w:val="00E948C6"/>
    <w:rsid w:val="00E94ECB"/>
    <w:rsid w:val="00E954DB"/>
    <w:rsid w:val="00E95C73"/>
    <w:rsid w:val="00E96963"/>
    <w:rsid w:val="00E97387"/>
    <w:rsid w:val="00E973EC"/>
    <w:rsid w:val="00E976D5"/>
    <w:rsid w:val="00EA01B2"/>
    <w:rsid w:val="00EA1371"/>
    <w:rsid w:val="00EA25B7"/>
    <w:rsid w:val="00EA3356"/>
    <w:rsid w:val="00EA39CA"/>
    <w:rsid w:val="00EA3B93"/>
    <w:rsid w:val="00EA5032"/>
    <w:rsid w:val="00EA5183"/>
    <w:rsid w:val="00EA594E"/>
    <w:rsid w:val="00EA65AF"/>
    <w:rsid w:val="00EA786E"/>
    <w:rsid w:val="00EB1EDD"/>
    <w:rsid w:val="00EB230A"/>
    <w:rsid w:val="00EB29FC"/>
    <w:rsid w:val="00EB4601"/>
    <w:rsid w:val="00EB4B06"/>
    <w:rsid w:val="00EB544E"/>
    <w:rsid w:val="00EB5D3C"/>
    <w:rsid w:val="00EB5D89"/>
    <w:rsid w:val="00EB5DE0"/>
    <w:rsid w:val="00EB5FDD"/>
    <w:rsid w:val="00EB6192"/>
    <w:rsid w:val="00EB6CE0"/>
    <w:rsid w:val="00EC1577"/>
    <w:rsid w:val="00EC1665"/>
    <w:rsid w:val="00EC1981"/>
    <w:rsid w:val="00EC2AA4"/>
    <w:rsid w:val="00EC4546"/>
    <w:rsid w:val="00EC514F"/>
    <w:rsid w:val="00EC534D"/>
    <w:rsid w:val="00EC55CB"/>
    <w:rsid w:val="00EC5DCD"/>
    <w:rsid w:val="00EC6751"/>
    <w:rsid w:val="00EC698B"/>
    <w:rsid w:val="00EC7BC4"/>
    <w:rsid w:val="00ED0179"/>
    <w:rsid w:val="00ED02A8"/>
    <w:rsid w:val="00ED16AF"/>
    <w:rsid w:val="00ED2103"/>
    <w:rsid w:val="00ED2CAA"/>
    <w:rsid w:val="00ED2E19"/>
    <w:rsid w:val="00ED314A"/>
    <w:rsid w:val="00ED39D1"/>
    <w:rsid w:val="00ED409E"/>
    <w:rsid w:val="00ED42A8"/>
    <w:rsid w:val="00ED45F7"/>
    <w:rsid w:val="00ED4E1E"/>
    <w:rsid w:val="00ED57A2"/>
    <w:rsid w:val="00ED5E15"/>
    <w:rsid w:val="00ED5E16"/>
    <w:rsid w:val="00ED61D2"/>
    <w:rsid w:val="00ED6984"/>
    <w:rsid w:val="00ED74EA"/>
    <w:rsid w:val="00EE2073"/>
    <w:rsid w:val="00EE2A94"/>
    <w:rsid w:val="00EE37DB"/>
    <w:rsid w:val="00EE3FCA"/>
    <w:rsid w:val="00EE4AB6"/>
    <w:rsid w:val="00EE4DBE"/>
    <w:rsid w:val="00EE5A28"/>
    <w:rsid w:val="00EE5B37"/>
    <w:rsid w:val="00EE6095"/>
    <w:rsid w:val="00EE64DC"/>
    <w:rsid w:val="00EE6A66"/>
    <w:rsid w:val="00EE7DCB"/>
    <w:rsid w:val="00EF07F3"/>
    <w:rsid w:val="00EF132A"/>
    <w:rsid w:val="00EF207F"/>
    <w:rsid w:val="00EF283B"/>
    <w:rsid w:val="00EF49F8"/>
    <w:rsid w:val="00EF683F"/>
    <w:rsid w:val="00EF6D36"/>
    <w:rsid w:val="00EF6ED1"/>
    <w:rsid w:val="00EF7D8D"/>
    <w:rsid w:val="00F0151E"/>
    <w:rsid w:val="00F01652"/>
    <w:rsid w:val="00F01F44"/>
    <w:rsid w:val="00F02440"/>
    <w:rsid w:val="00F026A9"/>
    <w:rsid w:val="00F0271F"/>
    <w:rsid w:val="00F0294D"/>
    <w:rsid w:val="00F02A45"/>
    <w:rsid w:val="00F02D8C"/>
    <w:rsid w:val="00F0335F"/>
    <w:rsid w:val="00F044AC"/>
    <w:rsid w:val="00F045D8"/>
    <w:rsid w:val="00F04A01"/>
    <w:rsid w:val="00F04FBF"/>
    <w:rsid w:val="00F052F2"/>
    <w:rsid w:val="00F07319"/>
    <w:rsid w:val="00F07BDF"/>
    <w:rsid w:val="00F118DB"/>
    <w:rsid w:val="00F11C7F"/>
    <w:rsid w:val="00F120F9"/>
    <w:rsid w:val="00F1222E"/>
    <w:rsid w:val="00F130A8"/>
    <w:rsid w:val="00F130BE"/>
    <w:rsid w:val="00F13772"/>
    <w:rsid w:val="00F146B8"/>
    <w:rsid w:val="00F150F2"/>
    <w:rsid w:val="00F153B6"/>
    <w:rsid w:val="00F15917"/>
    <w:rsid w:val="00F15A8A"/>
    <w:rsid w:val="00F15B5E"/>
    <w:rsid w:val="00F16833"/>
    <w:rsid w:val="00F20825"/>
    <w:rsid w:val="00F21293"/>
    <w:rsid w:val="00F21494"/>
    <w:rsid w:val="00F21758"/>
    <w:rsid w:val="00F22EC3"/>
    <w:rsid w:val="00F2422D"/>
    <w:rsid w:val="00F2623F"/>
    <w:rsid w:val="00F26DA8"/>
    <w:rsid w:val="00F27514"/>
    <w:rsid w:val="00F27F15"/>
    <w:rsid w:val="00F30556"/>
    <w:rsid w:val="00F30C05"/>
    <w:rsid w:val="00F30D84"/>
    <w:rsid w:val="00F30EED"/>
    <w:rsid w:val="00F32AEF"/>
    <w:rsid w:val="00F32C9F"/>
    <w:rsid w:val="00F32DB6"/>
    <w:rsid w:val="00F33146"/>
    <w:rsid w:val="00F33AA6"/>
    <w:rsid w:val="00F34FB7"/>
    <w:rsid w:val="00F358F0"/>
    <w:rsid w:val="00F3590B"/>
    <w:rsid w:val="00F35A1E"/>
    <w:rsid w:val="00F35C78"/>
    <w:rsid w:val="00F36051"/>
    <w:rsid w:val="00F36176"/>
    <w:rsid w:val="00F36E40"/>
    <w:rsid w:val="00F37ED3"/>
    <w:rsid w:val="00F40BBF"/>
    <w:rsid w:val="00F40DCE"/>
    <w:rsid w:val="00F41607"/>
    <w:rsid w:val="00F41EAC"/>
    <w:rsid w:val="00F42393"/>
    <w:rsid w:val="00F42B1B"/>
    <w:rsid w:val="00F440DC"/>
    <w:rsid w:val="00F4422D"/>
    <w:rsid w:val="00F442B3"/>
    <w:rsid w:val="00F447B4"/>
    <w:rsid w:val="00F4512A"/>
    <w:rsid w:val="00F454B0"/>
    <w:rsid w:val="00F45CDF"/>
    <w:rsid w:val="00F46810"/>
    <w:rsid w:val="00F470A5"/>
    <w:rsid w:val="00F504F1"/>
    <w:rsid w:val="00F508FD"/>
    <w:rsid w:val="00F509C8"/>
    <w:rsid w:val="00F51007"/>
    <w:rsid w:val="00F51734"/>
    <w:rsid w:val="00F51AB8"/>
    <w:rsid w:val="00F526D5"/>
    <w:rsid w:val="00F547CD"/>
    <w:rsid w:val="00F54A52"/>
    <w:rsid w:val="00F5581B"/>
    <w:rsid w:val="00F55AC3"/>
    <w:rsid w:val="00F55DDE"/>
    <w:rsid w:val="00F55F3E"/>
    <w:rsid w:val="00F56702"/>
    <w:rsid w:val="00F5671B"/>
    <w:rsid w:val="00F56836"/>
    <w:rsid w:val="00F56D7C"/>
    <w:rsid w:val="00F56E0D"/>
    <w:rsid w:val="00F607E5"/>
    <w:rsid w:val="00F609CF"/>
    <w:rsid w:val="00F61882"/>
    <w:rsid w:val="00F618C6"/>
    <w:rsid w:val="00F6227F"/>
    <w:rsid w:val="00F63857"/>
    <w:rsid w:val="00F63B9C"/>
    <w:rsid w:val="00F646B7"/>
    <w:rsid w:val="00F6494A"/>
    <w:rsid w:val="00F65586"/>
    <w:rsid w:val="00F6784B"/>
    <w:rsid w:val="00F70761"/>
    <w:rsid w:val="00F707C8"/>
    <w:rsid w:val="00F718A0"/>
    <w:rsid w:val="00F71BEB"/>
    <w:rsid w:val="00F728AB"/>
    <w:rsid w:val="00F73A5F"/>
    <w:rsid w:val="00F73FEF"/>
    <w:rsid w:val="00F7412F"/>
    <w:rsid w:val="00F766E6"/>
    <w:rsid w:val="00F80253"/>
    <w:rsid w:val="00F80D79"/>
    <w:rsid w:val="00F80EE4"/>
    <w:rsid w:val="00F8150A"/>
    <w:rsid w:val="00F81A04"/>
    <w:rsid w:val="00F8299B"/>
    <w:rsid w:val="00F83361"/>
    <w:rsid w:val="00F84017"/>
    <w:rsid w:val="00F84C0C"/>
    <w:rsid w:val="00F84D23"/>
    <w:rsid w:val="00F84FCD"/>
    <w:rsid w:val="00F8662A"/>
    <w:rsid w:val="00F8732F"/>
    <w:rsid w:val="00F90219"/>
    <w:rsid w:val="00F90F2C"/>
    <w:rsid w:val="00F9123B"/>
    <w:rsid w:val="00F91786"/>
    <w:rsid w:val="00F91F42"/>
    <w:rsid w:val="00F9241B"/>
    <w:rsid w:val="00F927FE"/>
    <w:rsid w:val="00F92826"/>
    <w:rsid w:val="00F92912"/>
    <w:rsid w:val="00F9496F"/>
    <w:rsid w:val="00F95000"/>
    <w:rsid w:val="00F95DC4"/>
    <w:rsid w:val="00F9647F"/>
    <w:rsid w:val="00F96DD8"/>
    <w:rsid w:val="00F96F03"/>
    <w:rsid w:val="00F9789D"/>
    <w:rsid w:val="00FA0EDE"/>
    <w:rsid w:val="00FA0F71"/>
    <w:rsid w:val="00FA1246"/>
    <w:rsid w:val="00FA1862"/>
    <w:rsid w:val="00FA1DE7"/>
    <w:rsid w:val="00FA1F6C"/>
    <w:rsid w:val="00FA230B"/>
    <w:rsid w:val="00FA2B00"/>
    <w:rsid w:val="00FA2B15"/>
    <w:rsid w:val="00FA3610"/>
    <w:rsid w:val="00FA36C2"/>
    <w:rsid w:val="00FA3758"/>
    <w:rsid w:val="00FA406C"/>
    <w:rsid w:val="00FA4530"/>
    <w:rsid w:val="00FA4D8D"/>
    <w:rsid w:val="00FA547B"/>
    <w:rsid w:val="00FA6C78"/>
    <w:rsid w:val="00FA758A"/>
    <w:rsid w:val="00FA7CB3"/>
    <w:rsid w:val="00FB02BB"/>
    <w:rsid w:val="00FB10B3"/>
    <w:rsid w:val="00FB198B"/>
    <w:rsid w:val="00FB1B24"/>
    <w:rsid w:val="00FB1C19"/>
    <w:rsid w:val="00FB21D5"/>
    <w:rsid w:val="00FB271A"/>
    <w:rsid w:val="00FB2850"/>
    <w:rsid w:val="00FB2A9E"/>
    <w:rsid w:val="00FB3262"/>
    <w:rsid w:val="00FB37D4"/>
    <w:rsid w:val="00FB4BB0"/>
    <w:rsid w:val="00FB547C"/>
    <w:rsid w:val="00FB7190"/>
    <w:rsid w:val="00FB7673"/>
    <w:rsid w:val="00FC1300"/>
    <w:rsid w:val="00FC1C75"/>
    <w:rsid w:val="00FC2953"/>
    <w:rsid w:val="00FC35CE"/>
    <w:rsid w:val="00FC3C99"/>
    <w:rsid w:val="00FC4A01"/>
    <w:rsid w:val="00FC57F7"/>
    <w:rsid w:val="00FC74C2"/>
    <w:rsid w:val="00FC770C"/>
    <w:rsid w:val="00FC7778"/>
    <w:rsid w:val="00FC7856"/>
    <w:rsid w:val="00FC7E9B"/>
    <w:rsid w:val="00FD03F1"/>
    <w:rsid w:val="00FD0A33"/>
    <w:rsid w:val="00FD19D0"/>
    <w:rsid w:val="00FD332D"/>
    <w:rsid w:val="00FD35A5"/>
    <w:rsid w:val="00FD3CD3"/>
    <w:rsid w:val="00FD40CC"/>
    <w:rsid w:val="00FD4E74"/>
    <w:rsid w:val="00FD56C0"/>
    <w:rsid w:val="00FD5B7C"/>
    <w:rsid w:val="00FD5B98"/>
    <w:rsid w:val="00FD5C81"/>
    <w:rsid w:val="00FD5DC4"/>
    <w:rsid w:val="00FD62C7"/>
    <w:rsid w:val="00FD6473"/>
    <w:rsid w:val="00FD66D4"/>
    <w:rsid w:val="00FD6D99"/>
    <w:rsid w:val="00FE03DE"/>
    <w:rsid w:val="00FE08F7"/>
    <w:rsid w:val="00FE1F23"/>
    <w:rsid w:val="00FE29C8"/>
    <w:rsid w:val="00FE3812"/>
    <w:rsid w:val="00FE615A"/>
    <w:rsid w:val="00FE656F"/>
    <w:rsid w:val="00FE7120"/>
    <w:rsid w:val="00FE77F3"/>
    <w:rsid w:val="00FF14E0"/>
    <w:rsid w:val="00FF1574"/>
    <w:rsid w:val="00FF172C"/>
    <w:rsid w:val="00FF3733"/>
    <w:rsid w:val="00FF4260"/>
    <w:rsid w:val="00FF4B38"/>
    <w:rsid w:val="00FF5E4D"/>
    <w:rsid w:val="00FF60A6"/>
    <w:rsid w:val="00FF64DD"/>
    <w:rsid w:val="00FF68B2"/>
    <w:rsid w:val="00FF7606"/>
    <w:rsid w:val="00FF77A2"/>
    <w:rsid w:val="00FF7C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27688"/>
    <w:pPr>
      <w:widowControl w:val="0"/>
      <w:jc w:val="both"/>
    </w:pPr>
    <w:rPr>
      <w:kern w:val="2"/>
      <w:sz w:val="21"/>
      <w:szCs w:val="24"/>
    </w:rPr>
  </w:style>
  <w:style w:type="paragraph" w:styleId="1">
    <w:name w:val="heading 1"/>
    <w:basedOn w:val="a0"/>
    <w:next w:val="a0"/>
    <w:qFormat/>
    <w:rsid w:val="00827688"/>
    <w:pPr>
      <w:keepNext/>
      <w:keepLines/>
      <w:spacing w:before="340" w:after="330" w:line="578" w:lineRule="auto"/>
      <w:outlineLvl w:val="0"/>
    </w:pPr>
    <w:rPr>
      <w:b/>
      <w:bCs/>
      <w:kern w:val="44"/>
      <w:sz w:val="44"/>
      <w:szCs w:val="44"/>
    </w:rPr>
  </w:style>
  <w:style w:type="paragraph" w:styleId="2">
    <w:name w:val="heading 2"/>
    <w:basedOn w:val="a0"/>
    <w:next w:val="a0"/>
    <w:qFormat/>
    <w:rsid w:val="00827688"/>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semiHidden/>
    <w:unhideWhenUsed/>
    <w:qFormat/>
    <w:rsid w:val="004A04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827688"/>
    <w:pPr>
      <w:tabs>
        <w:tab w:val="center" w:pos="4153"/>
        <w:tab w:val="right" w:pos="8306"/>
      </w:tabs>
      <w:snapToGrid w:val="0"/>
      <w:jc w:val="center"/>
    </w:pPr>
    <w:rPr>
      <w:sz w:val="18"/>
      <w:szCs w:val="18"/>
    </w:rPr>
  </w:style>
  <w:style w:type="paragraph" w:styleId="a5">
    <w:name w:val="footer"/>
    <w:basedOn w:val="a0"/>
    <w:link w:val="Char0"/>
    <w:uiPriority w:val="99"/>
    <w:rsid w:val="00827688"/>
    <w:pPr>
      <w:tabs>
        <w:tab w:val="center" w:pos="4153"/>
        <w:tab w:val="right" w:pos="8306"/>
      </w:tabs>
      <w:snapToGrid w:val="0"/>
      <w:jc w:val="left"/>
    </w:pPr>
    <w:rPr>
      <w:sz w:val="18"/>
      <w:szCs w:val="18"/>
    </w:rPr>
  </w:style>
  <w:style w:type="paragraph" w:customStyle="1" w:styleId="a6">
    <w:name w:val="内正文"/>
    <w:basedOn w:val="a0"/>
    <w:rsid w:val="00827688"/>
    <w:pPr>
      <w:spacing w:after="156" w:line="360" w:lineRule="exact"/>
      <w:ind w:left="2835"/>
    </w:pPr>
    <w:rPr>
      <w:rFonts w:ascii="宋体" w:hAnsi="宋体"/>
      <w:szCs w:val="21"/>
    </w:rPr>
  </w:style>
  <w:style w:type="character" w:styleId="a7">
    <w:name w:val="page number"/>
    <w:basedOn w:val="a1"/>
    <w:rsid w:val="00827688"/>
  </w:style>
  <w:style w:type="paragraph" w:styleId="a8">
    <w:name w:val="Plain Text"/>
    <w:basedOn w:val="a0"/>
    <w:link w:val="Char1"/>
    <w:uiPriority w:val="99"/>
    <w:unhideWhenUsed/>
    <w:rsid w:val="00827688"/>
    <w:rPr>
      <w:rFonts w:ascii="宋体" w:hAnsi="Courier New" w:cs="Courier New"/>
      <w:szCs w:val="21"/>
    </w:rPr>
  </w:style>
  <w:style w:type="character" w:customStyle="1" w:styleId="Char1">
    <w:name w:val="纯文本 Char"/>
    <w:basedOn w:val="a1"/>
    <w:link w:val="a8"/>
    <w:uiPriority w:val="99"/>
    <w:rsid w:val="00827688"/>
    <w:rPr>
      <w:rFonts w:ascii="宋体" w:eastAsia="宋体" w:hAnsi="Courier New" w:cs="Courier New"/>
      <w:kern w:val="2"/>
      <w:sz w:val="21"/>
      <w:szCs w:val="21"/>
      <w:lang w:val="en-US" w:eastAsia="zh-CN" w:bidi="ar-SA"/>
    </w:rPr>
  </w:style>
  <w:style w:type="table" w:customStyle="1" w:styleId="10">
    <w:name w:val="浅色底纹1"/>
    <w:basedOn w:val="a2"/>
    <w:uiPriority w:val="60"/>
    <w:rsid w:val="00AF7CB1"/>
    <w:rPr>
      <w:rFonts w:ascii="Calibri" w:hAnsi="Calibri"/>
      <w:color w:val="000000"/>
    </w:rPr>
    <w:tblPr>
      <w:tblStyleRowBandSize w:val="1"/>
      <w:tblStyleColBandSize w:val="1"/>
      <w:tblInd w:w="0" w:type="dxa"/>
      <w:tblBorders>
        <w:top w:val="single" w:sz="8" w:space="0" w:color="FF0000"/>
        <w:bottom w:val="single" w:sz="8" w:space="0" w:color="FF0000"/>
      </w:tblBorders>
      <w:tblCellMar>
        <w:top w:w="0" w:type="dxa"/>
        <w:left w:w="108" w:type="dxa"/>
        <w:bottom w:w="0" w:type="dxa"/>
        <w:right w:w="108" w:type="dxa"/>
      </w:tblCellMar>
    </w:tblPr>
    <w:tblStylePr w:type="fir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lastRow">
      <w:pPr>
        <w:spacing w:before="0" w:after="0" w:line="240" w:lineRule="auto"/>
      </w:pPr>
      <w:rPr>
        <w:b w:val="0"/>
        <w:bCs/>
      </w:rPr>
      <w:tblPr/>
      <w:tcPr>
        <w:tcBorders>
          <w:top w:val="single" w:sz="8" w:space="0" w:color="FF0000"/>
          <w:left w:val="nil"/>
          <w:bottom w:val="single" w:sz="8" w:space="0" w:color="FF0000"/>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页眉 Char"/>
    <w:basedOn w:val="a1"/>
    <w:link w:val="a4"/>
    <w:uiPriority w:val="99"/>
    <w:rsid w:val="00AF7CB1"/>
    <w:rPr>
      <w:kern w:val="2"/>
      <w:sz w:val="18"/>
      <w:szCs w:val="18"/>
    </w:rPr>
  </w:style>
  <w:style w:type="character" w:customStyle="1" w:styleId="Char0">
    <w:name w:val="页脚 Char"/>
    <w:basedOn w:val="a1"/>
    <w:link w:val="a5"/>
    <w:uiPriority w:val="99"/>
    <w:rsid w:val="00AF7CB1"/>
    <w:rPr>
      <w:kern w:val="2"/>
      <w:sz w:val="18"/>
      <w:szCs w:val="18"/>
    </w:rPr>
  </w:style>
  <w:style w:type="paragraph" w:styleId="a9">
    <w:name w:val="Balloon Text"/>
    <w:basedOn w:val="a0"/>
    <w:link w:val="Char2"/>
    <w:uiPriority w:val="99"/>
    <w:unhideWhenUsed/>
    <w:rsid w:val="00AF7CB1"/>
    <w:rPr>
      <w:rFonts w:ascii="Calibri" w:hAnsi="Calibri"/>
      <w:sz w:val="18"/>
      <w:szCs w:val="18"/>
    </w:rPr>
  </w:style>
  <w:style w:type="character" w:customStyle="1" w:styleId="Char2">
    <w:name w:val="批注框文本 Char"/>
    <w:basedOn w:val="a1"/>
    <w:link w:val="a9"/>
    <w:uiPriority w:val="99"/>
    <w:rsid w:val="00AF7CB1"/>
    <w:rPr>
      <w:rFonts w:ascii="Calibri" w:hAnsi="Calibri"/>
      <w:kern w:val="2"/>
      <w:sz w:val="18"/>
      <w:szCs w:val="18"/>
    </w:rPr>
  </w:style>
  <w:style w:type="paragraph" w:customStyle="1" w:styleId="ParaChar">
    <w:name w:val="默认段落字体 Para Char"/>
    <w:basedOn w:val="a0"/>
    <w:autoRedefine/>
    <w:rsid w:val="004E62DA"/>
    <w:pPr>
      <w:numPr>
        <w:numId w:val="3"/>
      </w:numPr>
    </w:pPr>
    <w:rPr>
      <w:sz w:val="24"/>
    </w:rPr>
  </w:style>
  <w:style w:type="character" w:customStyle="1" w:styleId="apple-style-span">
    <w:name w:val="apple-style-span"/>
    <w:basedOn w:val="a1"/>
    <w:rsid w:val="00EE4DBE"/>
  </w:style>
  <w:style w:type="paragraph" w:styleId="aa">
    <w:name w:val="footnote text"/>
    <w:basedOn w:val="a0"/>
    <w:semiHidden/>
    <w:rsid w:val="00621E8A"/>
    <w:pPr>
      <w:snapToGrid w:val="0"/>
      <w:jc w:val="left"/>
    </w:pPr>
    <w:rPr>
      <w:sz w:val="18"/>
      <w:szCs w:val="18"/>
    </w:rPr>
  </w:style>
  <w:style w:type="character" w:styleId="ab">
    <w:name w:val="footnote reference"/>
    <w:basedOn w:val="a1"/>
    <w:semiHidden/>
    <w:rsid w:val="00621E8A"/>
    <w:rPr>
      <w:vertAlign w:val="superscript"/>
    </w:rPr>
  </w:style>
  <w:style w:type="paragraph" w:customStyle="1" w:styleId="a">
    <w:name w:val="封面正文"/>
    <w:basedOn w:val="a0"/>
    <w:rsid w:val="00C8243E"/>
    <w:pPr>
      <w:numPr>
        <w:numId w:val="5"/>
      </w:numPr>
      <w:spacing w:afterLines="50" w:line="300" w:lineRule="exact"/>
    </w:pPr>
    <w:rPr>
      <w:rFonts w:ascii="Arial" w:eastAsia="黑体" w:hAnsi="Arial"/>
      <w:b/>
      <w:sz w:val="18"/>
      <w:szCs w:val="21"/>
    </w:rPr>
  </w:style>
  <w:style w:type="character" w:styleId="ac">
    <w:name w:val="Hyperlink"/>
    <w:basedOn w:val="a1"/>
    <w:rsid w:val="00693B26"/>
    <w:rPr>
      <w:color w:val="0000FF"/>
      <w:u w:val="single"/>
    </w:rPr>
  </w:style>
  <w:style w:type="paragraph" w:styleId="ad">
    <w:name w:val="Date"/>
    <w:basedOn w:val="a0"/>
    <w:next w:val="a0"/>
    <w:link w:val="Char3"/>
    <w:rsid w:val="00F07319"/>
    <w:pPr>
      <w:ind w:leftChars="2500" w:left="100"/>
    </w:pPr>
  </w:style>
  <w:style w:type="character" w:customStyle="1" w:styleId="Char3">
    <w:name w:val="日期 Char"/>
    <w:basedOn w:val="a1"/>
    <w:link w:val="ad"/>
    <w:rsid w:val="00F07319"/>
    <w:rPr>
      <w:kern w:val="2"/>
      <w:sz w:val="21"/>
      <w:szCs w:val="24"/>
    </w:rPr>
  </w:style>
  <w:style w:type="character" w:customStyle="1" w:styleId="apple-converted-space">
    <w:name w:val="apple-converted-space"/>
    <w:basedOn w:val="a1"/>
    <w:rsid w:val="00910D98"/>
  </w:style>
  <w:style w:type="character" w:styleId="ae">
    <w:name w:val="Strong"/>
    <w:basedOn w:val="a1"/>
    <w:uiPriority w:val="22"/>
    <w:qFormat/>
    <w:rsid w:val="00634137"/>
    <w:rPr>
      <w:b/>
      <w:bCs/>
    </w:rPr>
  </w:style>
  <w:style w:type="character" w:styleId="af">
    <w:name w:val="Emphasis"/>
    <w:basedOn w:val="a1"/>
    <w:uiPriority w:val="20"/>
    <w:qFormat/>
    <w:rsid w:val="00AD3FFC"/>
    <w:rPr>
      <w:i/>
      <w:iCs/>
    </w:rPr>
  </w:style>
  <w:style w:type="character" w:customStyle="1" w:styleId="3Char">
    <w:name w:val="标题 3 Char"/>
    <w:basedOn w:val="a1"/>
    <w:link w:val="3"/>
    <w:semiHidden/>
    <w:rsid w:val="004A04AC"/>
    <w:rPr>
      <w:b/>
      <w:bCs/>
      <w:kern w:val="2"/>
      <w:sz w:val="32"/>
      <w:szCs w:val="32"/>
    </w:rPr>
  </w:style>
  <w:style w:type="character" w:customStyle="1" w:styleId="fsheadcode1">
    <w:name w:val="fs_head_code1"/>
    <w:basedOn w:val="a1"/>
    <w:rsid w:val="003F3857"/>
  </w:style>
  <w:style w:type="paragraph" w:styleId="af0">
    <w:name w:val="List Paragraph"/>
    <w:basedOn w:val="a0"/>
    <w:uiPriority w:val="34"/>
    <w:qFormat/>
    <w:rsid w:val="008462A9"/>
    <w:pPr>
      <w:ind w:firstLineChars="200" w:firstLine="420"/>
    </w:pPr>
  </w:style>
  <w:style w:type="paragraph" w:styleId="af1">
    <w:name w:val="No Spacing"/>
    <w:link w:val="Char4"/>
    <w:uiPriority w:val="1"/>
    <w:qFormat/>
    <w:rsid w:val="004C5FC9"/>
    <w:rPr>
      <w:rFonts w:asciiTheme="minorHAnsi" w:eastAsiaTheme="minorEastAsia" w:hAnsiTheme="minorHAnsi" w:cstheme="minorBidi"/>
      <w:sz w:val="22"/>
      <w:szCs w:val="22"/>
    </w:rPr>
  </w:style>
  <w:style w:type="character" w:customStyle="1" w:styleId="Char4">
    <w:name w:val="无间隔 Char"/>
    <w:basedOn w:val="a1"/>
    <w:link w:val="af1"/>
    <w:uiPriority w:val="1"/>
    <w:rsid w:val="004C5FC9"/>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3894849">
      <w:bodyDiv w:val="1"/>
      <w:marLeft w:val="0"/>
      <w:marRight w:val="0"/>
      <w:marTop w:val="0"/>
      <w:marBottom w:val="0"/>
      <w:divBdr>
        <w:top w:val="none" w:sz="0" w:space="0" w:color="auto"/>
        <w:left w:val="none" w:sz="0" w:space="0" w:color="auto"/>
        <w:bottom w:val="none" w:sz="0" w:space="0" w:color="auto"/>
        <w:right w:val="none" w:sz="0" w:space="0" w:color="auto"/>
      </w:divBdr>
    </w:div>
    <w:div w:id="16274955">
      <w:bodyDiv w:val="1"/>
      <w:marLeft w:val="0"/>
      <w:marRight w:val="0"/>
      <w:marTop w:val="0"/>
      <w:marBottom w:val="0"/>
      <w:divBdr>
        <w:top w:val="none" w:sz="0" w:space="0" w:color="auto"/>
        <w:left w:val="none" w:sz="0" w:space="0" w:color="auto"/>
        <w:bottom w:val="none" w:sz="0" w:space="0" w:color="auto"/>
        <w:right w:val="none" w:sz="0" w:space="0" w:color="auto"/>
      </w:divBdr>
    </w:div>
    <w:div w:id="23411701">
      <w:bodyDiv w:val="1"/>
      <w:marLeft w:val="0"/>
      <w:marRight w:val="0"/>
      <w:marTop w:val="0"/>
      <w:marBottom w:val="0"/>
      <w:divBdr>
        <w:top w:val="none" w:sz="0" w:space="0" w:color="auto"/>
        <w:left w:val="none" w:sz="0" w:space="0" w:color="auto"/>
        <w:bottom w:val="none" w:sz="0" w:space="0" w:color="auto"/>
        <w:right w:val="none" w:sz="0" w:space="0" w:color="auto"/>
      </w:divBdr>
    </w:div>
    <w:div w:id="25525489">
      <w:bodyDiv w:val="1"/>
      <w:marLeft w:val="0"/>
      <w:marRight w:val="0"/>
      <w:marTop w:val="0"/>
      <w:marBottom w:val="0"/>
      <w:divBdr>
        <w:top w:val="none" w:sz="0" w:space="0" w:color="auto"/>
        <w:left w:val="none" w:sz="0" w:space="0" w:color="auto"/>
        <w:bottom w:val="none" w:sz="0" w:space="0" w:color="auto"/>
        <w:right w:val="none" w:sz="0" w:space="0" w:color="auto"/>
      </w:divBdr>
    </w:div>
    <w:div w:id="70586549">
      <w:bodyDiv w:val="1"/>
      <w:marLeft w:val="0"/>
      <w:marRight w:val="0"/>
      <w:marTop w:val="0"/>
      <w:marBottom w:val="0"/>
      <w:divBdr>
        <w:top w:val="none" w:sz="0" w:space="0" w:color="auto"/>
        <w:left w:val="none" w:sz="0" w:space="0" w:color="auto"/>
        <w:bottom w:val="none" w:sz="0" w:space="0" w:color="auto"/>
        <w:right w:val="none" w:sz="0" w:space="0" w:color="auto"/>
      </w:divBdr>
    </w:div>
    <w:div w:id="78066704">
      <w:bodyDiv w:val="1"/>
      <w:marLeft w:val="0"/>
      <w:marRight w:val="0"/>
      <w:marTop w:val="0"/>
      <w:marBottom w:val="0"/>
      <w:divBdr>
        <w:top w:val="none" w:sz="0" w:space="0" w:color="auto"/>
        <w:left w:val="none" w:sz="0" w:space="0" w:color="auto"/>
        <w:bottom w:val="none" w:sz="0" w:space="0" w:color="auto"/>
        <w:right w:val="none" w:sz="0" w:space="0" w:color="auto"/>
      </w:divBdr>
      <w:divsChild>
        <w:div w:id="1650983346">
          <w:marLeft w:val="0"/>
          <w:marRight w:val="0"/>
          <w:marTop w:val="0"/>
          <w:marBottom w:val="0"/>
          <w:divBdr>
            <w:top w:val="none" w:sz="0" w:space="0" w:color="auto"/>
            <w:left w:val="none" w:sz="0" w:space="0" w:color="auto"/>
            <w:bottom w:val="none" w:sz="0" w:space="0" w:color="auto"/>
            <w:right w:val="none" w:sz="0" w:space="0" w:color="auto"/>
          </w:divBdr>
        </w:div>
      </w:divsChild>
    </w:div>
    <w:div w:id="121115112">
      <w:bodyDiv w:val="1"/>
      <w:marLeft w:val="0"/>
      <w:marRight w:val="0"/>
      <w:marTop w:val="0"/>
      <w:marBottom w:val="0"/>
      <w:divBdr>
        <w:top w:val="none" w:sz="0" w:space="0" w:color="auto"/>
        <w:left w:val="none" w:sz="0" w:space="0" w:color="auto"/>
        <w:bottom w:val="none" w:sz="0" w:space="0" w:color="auto"/>
        <w:right w:val="none" w:sz="0" w:space="0" w:color="auto"/>
      </w:divBdr>
    </w:div>
    <w:div w:id="145586903">
      <w:bodyDiv w:val="1"/>
      <w:marLeft w:val="0"/>
      <w:marRight w:val="0"/>
      <w:marTop w:val="0"/>
      <w:marBottom w:val="0"/>
      <w:divBdr>
        <w:top w:val="none" w:sz="0" w:space="0" w:color="auto"/>
        <w:left w:val="none" w:sz="0" w:space="0" w:color="auto"/>
        <w:bottom w:val="none" w:sz="0" w:space="0" w:color="auto"/>
        <w:right w:val="none" w:sz="0" w:space="0" w:color="auto"/>
      </w:divBdr>
    </w:div>
    <w:div w:id="147330219">
      <w:bodyDiv w:val="1"/>
      <w:marLeft w:val="0"/>
      <w:marRight w:val="0"/>
      <w:marTop w:val="0"/>
      <w:marBottom w:val="0"/>
      <w:divBdr>
        <w:top w:val="none" w:sz="0" w:space="0" w:color="auto"/>
        <w:left w:val="none" w:sz="0" w:space="0" w:color="auto"/>
        <w:bottom w:val="none" w:sz="0" w:space="0" w:color="auto"/>
        <w:right w:val="none" w:sz="0" w:space="0" w:color="auto"/>
      </w:divBdr>
    </w:div>
    <w:div w:id="163591332">
      <w:bodyDiv w:val="1"/>
      <w:marLeft w:val="0"/>
      <w:marRight w:val="0"/>
      <w:marTop w:val="0"/>
      <w:marBottom w:val="0"/>
      <w:divBdr>
        <w:top w:val="none" w:sz="0" w:space="0" w:color="auto"/>
        <w:left w:val="none" w:sz="0" w:space="0" w:color="auto"/>
        <w:bottom w:val="none" w:sz="0" w:space="0" w:color="auto"/>
        <w:right w:val="none" w:sz="0" w:space="0" w:color="auto"/>
      </w:divBdr>
    </w:div>
    <w:div w:id="168259160">
      <w:bodyDiv w:val="1"/>
      <w:marLeft w:val="0"/>
      <w:marRight w:val="0"/>
      <w:marTop w:val="0"/>
      <w:marBottom w:val="0"/>
      <w:divBdr>
        <w:top w:val="none" w:sz="0" w:space="0" w:color="auto"/>
        <w:left w:val="none" w:sz="0" w:space="0" w:color="auto"/>
        <w:bottom w:val="none" w:sz="0" w:space="0" w:color="auto"/>
        <w:right w:val="none" w:sz="0" w:space="0" w:color="auto"/>
      </w:divBdr>
    </w:div>
    <w:div w:id="171725926">
      <w:bodyDiv w:val="1"/>
      <w:marLeft w:val="0"/>
      <w:marRight w:val="0"/>
      <w:marTop w:val="0"/>
      <w:marBottom w:val="0"/>
      <w:divBdr>
        <w:top w:val="none" w:sz="0" w:space="0" w:color="auto"/>
        <w:left w:val="none" w:sz="0" w:space="0" w:color="auto"/>
        <w:bottom w:val="none" w:sz="0" w:space="0" w:color="auto"/>
        <w:right w:val="none" w:sz="0" w:space="0" w:color="auto"/>
      </w:divBdr>
    </w:div>
    <w:div w:id="219488527">
      <w:bodyDiv w:val="1"/>
      <w:marLeft w:val="0"/>
      <w:marRight w:val="0"/>
      <w:marTop w:val="0"/>
      <w:marBottom w:val="0"/>
      <w:divBdr>
        <w:top w:val="none" w:sz="0" w:space="0" w:color="auto"/>
        <w:left w:val="none" w:sz="0" w:space="0" w:color="auto"/>
        <w:bottom w:val="none" w:sz="0" w:space="0" w:color="auto"/>
        <w:right w:val="none" w:sz="0" w:space="0" w:color="auto"/>
      </w:divBdr>
    </w:div>
    <w:div w:id="237251031">
      <w:bodyDiv w:val="1"/>
      <w:marLeft w:val="0"/>
      <w:marRight w:val="0"/>
      <w:marTop w:val="0"/>
      <w:marBottom w:val="0"/>
      <w:divBdr>
        <w:top w:val="none" w:sz="0" w:space="0" w:color="auto"/>
        <w:left w:val="none" w:sz="0" w:space="0" w:color="auto"/>
        <w:bottom w:val="none" w:sz="0" w:space="0" w:color="auto"/>
        <w:right w:val="none" w:sz="0" w:space="0" w:color="auto"/>
      </w:divBdr>
    </w:div>
    <w:div w:id="238297977">
      <w:bodyDiv w:val="1"/>
      <w:marLeft w:val="0"/>
      <w:marRight w:val="0"/>
      <w:marTop w:val="0"/>
      <w:marBottom w:val="0"/>
      <w:divBdr>
        <w:top w:val="none" w:sz="0" w:space="0" w:color="auto"/>
        <w:left w:val="none" w:sz="0" w:space="0" w:color="auto"/>
        <w:bottom w:val="none" w:sz="0" w:space="0" w:color="auto"/>
        <w:right w:val="none" w:sz="0" w:space="0" w:color="auto"/>
      </w:divBdr>
    </w:div>
    <w:div w:id="245186467">
      <w:bodyDiv w:val="1"/>
      <w:marLeft w:val="0"/>
      <w:marRight w:val="0"/>
      <w:marTop w:val="0"/>
      <w:marBottom w:val="0"/>
      <w:divBdr>
        <w:top w:val="none" w:sz="0" w:space="0" w:color="auto"/>
        <w:left w:val="none" w:sz="0" w:space="0" w:color="auto"/>
        <w:bottom w:val="none" w:sz="0" w:space="0" w:color="auto"/>
        <w:right w:val="none" w:sz="0" w:space="0" w:color="auto"/>
      </w:divBdr>
    </w:div>
    <w:div w:id="280916154">
      <w:bodyDiv w:val="1"/>
      <w:marLeft w:val="0"/>
      <w:marRight w:val="0"/>
      <w:marTop w:val="0"/>
      <w:marBottom w:val="0"/>
      <w:divBdr>
        <w:top w:val="none" w:sz="0" w:space="0" w:color="auto"/>
        <w:left w:val="none" w:sz="0" w:space="0" w:color="auto"/>
        <w:bottom w:val="none" w:sz="0" w:space="0" w:color="auto"/>
        <w:right w:val="none" w:sz="0" w:space="0" w:color="auto"/>
      </w:divBdr>
    </w:div>
    <w:div w:id="328486541">
      <w:bodyDiv w:val="1"/>
      <w:marLeft w:val="0"/>
      <w:marRight w:val="0"/>
      <w:marTop w:val="0"/>
      <w:marBottom w:val="0"/>
      <w:divBdr>
        <w:top w:val="none" w:sz="0" w:space="0" w:color="auto"/>
        <w:left w:val="none" w:sz="0" w:space="0" w:color="auto"/>
        <w:bottom w:val="none" w:sz="0" w:space="0" w:color="auto"/>
        <w:right w:val="none" w:sz="0" w:space="0" w:color="auto"/>
      </w:divBdr>
    </w:div>
    <w:div w:id="374744327">
      <w:bodyDiv w:val="1"/>
      <w:marLeft w:val="0"/>
      <w:marRight w:val="0"/>
      <w:marTop w:val="0"/>
      <w:marBottom w:val="0"/>
      <w:divBdr>
        <w:top w:val="none" w:sz="0" w:space="0" w:color="auto"/>
        <w:left w:val="none" w:sz="0" w:space="0" w:color="auto"/>
        <w:bottom w:val="none" w:sz="0" w:space="0" w:color="auto"/>
        <w:right w:val="none" w:sz="0" w:space="0" w:color="auto"/>
      </w:divBdr>
    </w:div>
    <w:div w:id="378744110">
      <w:bodyDiv w:val="1"/>
      <w:marLeft w:val="0"/>
      <w:marRight w:val="0"/>
      <w:marTop w:val="0"/>
      <w:marBottom w:val="0"/>
      <w:divBdr>
        <w:top w:val="none" w:sz="0" w:space="0" w:color="auto"/>
        <w:left w:val="none" w:sz="0" w:space="0" w:color="auto"/>
        <w:bottom w:val="none" w:sz="0" w:space="0" w:color="auto"/>
        <w:right w:val="none" w:sz="0" w:space="0" w:color="auto"/>
      </w:divBdr>
    </w:div>
    <w:div w:id="411046400">
      <w:bodyDiv w:val="1"/>
      <w:marLeft w:val="0"/>
      <w:marRight w:val="0"/>
      <w:marTop w:val="0"/>
      <w:marBottom w:val="0"/>
      <w:divBdr>
        <w:top w:val="none" w:sz="0" w:space="0" w:color="auto"/>
        <w:left w:val="none" w:sz="0" w:space="0" w:color="auto"/>
        <w:bottom w:val="none" w:sz="0" w:space="0" w:color="auto"/>
        <w:right w:val="none" w:sz="0" w:space="0" w:color="auto"/>
      </w:divBdr>
    </w:div>
    <w:div w:id="440419783">
      <w:bodyDiv w:val="1"/>
      <w:marLeft w:val="0"/>
      <w:marRight w:val="0"/>
      <w:marTop w:val="0"/>
      <w:marBottom w:val="0"/>
      <w:divBdr>
        <w:top w:val="none" w:sz="0" w:space="0" w:color="auto"/>
        <w:left w:val="none" w:sz="0" w:space="0" w:color="auto"/>
        <w:bottom w:val="none" w:sz="0" w:space="0" w:color="auto"/>
        <w:right w:val="none" w:sz="0" w:space="0" w:color="auto"/>
      </w:divBdr>
    </w:div>
    <w:div w:id="463086346">
      <w:bodyDiv w:val="1"/>
      <w:marLeft w:val="0"/>
      <w:marRight w:val="0"/>
      <w:marTop w:val="0"/>
      <w:marBottom w:val="0"/>
      <w:divBdr>
        <w:top w:val="none" w:sz="0" w:space="0" w:color="auto"/>
        <w:left w:val="none" w:sz="0" w:space="0" w:color="auto"/>
        <w:bottom w:val="none" w:sz="0" w:space="0" w:color="auto"/>
        <w:right w:val="none" w:sz="0" w:space="0" w:color="auto"/>
      </w:divBdr>
    </w:div>
    <w:div w:id="468010503">
      <w:bodyDiv w:val="1"/>
      <w:marLeft w:val="0"/>
      <w:marRight w:val="0"/>
      <w:marTop w:val="0"/>
      <w:marBottom w:val="0"/>
      <w:divBdr>
        <w:top w:val="none" w:sz="0" w:space="0" w:color="auto"/>
        <w:left w:val="none" w:sz="0" w:space="0" w:color="auto"/>
        <w:bottom w:val="none" w:sz="0" w:space="0" w:color="auto"/>
        <w:right w:val="none" w:sz="0" w:space="0" w:color="auto"/>
      </w:divBdr>
    </w:div>
    <w:div w:id="479998479">
      <w:bodyDiv w:val="1"/>
      <w:marLeft w:val="0"/>
      <w:marRight w:val="0"/>
      <w:marTop w:val="0"/>
      <w:marBottom w:val="0"/>
      <w:divBdr>
        <w:top w:val="none" w:sz="0" w:space="0" w:color="auto"/>
        <w:left w:val="none" w:sz="0" w:space="0" w:color="auto"/>
        <w:bottom w:val="none" w:sz="0" w:space="0" w:color="auto"/>
        <w:right w:val="none" w:sz="0" w:space="0" w:color="auto"/>
      </w:divBdr>
    </w:div>
    <w:div w:id="493035639">
      <w:bodyDiv w:val="1"/>
      <w:marLeft w:val="0"/>
      <w:marRight w:val="0"/>
      <w:marTop w:val="0"/>
      <w:marBottom w:val="0"/>
      <w:divBdr>
        <w:top w:val="none" w:sz="0" w:space="0" w:color="auto"/>
        <w:left w:val="none" w:sz="0" w:space="0" w:color="auto"/>
        <w:bottom w:val="none" w:sz="0" w:space="0" w:color="auto"/>
        <w:right w:val="none" w:sz="0" w:space="0" w:color="auto"/>
      </w:divBdr>
    </w:div>
    <w:div w:id="518350410">
      <w:bodyDiv w:val="1"/>
      <w:marLeft w:val="0"/>
      <w:marRight w:val="0"/>
      <w:marTop w:val="0"/>
      <w:marBottom w:val="0"/>
      <w:divBdr>
        <w:top w:val="none" w:sz="0" w:space="0" w:color="auto"/>
        <w:left w:val="none" w:sz="0" w:space="0" w:color="auto"/>
        <w:bottom w:val="none" w:sz="0" w:space="0" w:color="auto"/>
        <w:right w:val="none" w:sz="0" w:space="0" w:color="auto"/>
      </w:divBdr>
    </w:div>
    <w:div w:id="524904679">
      <w:bodyDiv w:val="1"/>
      <w:marLeft w:val="0"/>
      <w:marRight w:val="0"/>
      <w:marTop w:val="0"/>
      <w:marBottom w:val="0"/>
      <w:divBdr>
        <w:top w:val="none" w:sz="0" w:space="0" w:color="auto"/>
        <w:left w:val="none" w:sz="0" w:space="0" w:color="auto"/>
        <w:bottom w:val="none" w:sz="0" w:space="0" w:color="auto"/>
        <w:right w:val="none" w:sz="0" w:space="0" w:color="auto"/>
      </w:divBdr>
    </w:div>
    <w:div w:id="535511357">
      <w:bodyDiv w:val="1"/>
      <w:marLeft w:val="0"/>
      <w:marRight w:val="0"/>
      <w:marTop w:val="0"/>
      <w:marBottom w:val="0"/>
      <w:divBdr>
        <w:top w:val="none" w:sz="0" w:space="0" w:color="auto"/>
        <w:left w:val="none" w:sz="0" w:space="0" w:color="auto"/>
        <w:bottom w:val="none" w:sz="0" w:space="0" w:color="auto"/>
        <w:right w:val="none" w:sz="0" w:space="0" w:color="auto"/>
      </w:divBdr>
    </w:div>
    <w:div w:id="550190915">
      <w:bodyDiv w:val="1"/>
      <w:marLeft w:val="0"/>
      <w:marRight w:val="0"/>
      <w:marTop w:val="0"/>
      <w:marBottom w:val="0"/>
      <w:divBdr>
        <w:top w:val="none" w:sz="0" w:space="0" w:color="auto"/>
        <w:left w:val="none" w:sz="0" w:space="0" w:color="auto"/>
        <w:bottom w:val="none" w:sz="0" w:space="0" w:color="auto"/>
        <w:right w:val="none" w:sz="0" w:space="0" w:color="auto"/>
      </w:divBdr>
    </w:div>
    <w:div w:id="572859132">
      <w:bodyDiv w:val="1"/>
      <w:marLeft w:val="0"/>
      <w:marRight w:val="0"/>
      <w:marTop w:val="0"/>
      <w:marBottom w:val="0"/>
      <w:divBdr>
        <w:top w:val="none" w:sz="0" w:space="0" w:color="auto"/>
        <w:left w:val="none" w:sz="0" w:space="0" w:color="auto"/>
        <w:bottom w:val="none" w:sz="0" w:space="0" w:color="auto"/>
        <w:right w:val="none" w:sz="0" w:space="0" w:color="auto"/>
      </w:divBdr>
    </w:div>
    <w:div w:id="574438259">
      <w:bodyDiv w:val="1"/>
      <w:marLeft w:val="0"/>
      <w:marRight w:val="0"/>
      <w:marTop w:val="0"/>
      <w:marBottom w:val="0"/>
      <w:divBdr>
        <w:top w:val="none" w:sz="0" w:space="0" w:color="auto"/>
        <w:left w:val="none" w:sz="0" w:space="0" w:color="auto"/>
        <w:bottom w:val="none" w:sz="0" w:space="0" w:color="auto"/>
        <w:right w:val="none" w:sz="0" w:space="0" w:color="auto"/>
      </w:divBdr>
    </w:div>
    <w:div w:id="585379890">
      <w:bodyDiv w:val="1"/>
      <w:marLeft w:val="0"/>
      <w:marRight w:val="0"/>
      <w:marTop w:val="0"/>
      <w:marBottom w:val="0"/>
      <w:divBdr>
        <w:top w:val="none" w:sz="0" w:space="0" w:color="auto"/>
        <w:left w:val="none" w:sz="0" w:space="0" w:color="auto"/>
        <w:bottom w:val="none" w:sz="0" w:space="0" w:color="auto"/>
        <w:right w:val="none" w:sz="0" w:space="0" w:color="auto"/>
      </w:divBdr>
    </w:div>
    <w:div w:id="603997062">
      <w:bodyDiv w:val="1"/>
      <w:marLeft w:val="0"/>
      <w:marRight w:val="0"/>
      <w:marTop w:val="0"/>
      <w:marBottom w:val="0"/>
      <w:divBdr>
        <w:top w:val="none" w:sz="0" w:space="0" w:color="auto"/>
        <w:left w:val="none" w:sz="0" w:space="0" w:color="auto"/>
        <w:bottom w:val="none" w:sz="0" w:space="0" w:color="auto"/>
        <w:right w:val="none" w:sz="0" w:space="0" w:color="auto"/>
      </w:divBdr>
    </w:div>
    <w:div w:id="638345314">
      <w:bodyDiv w:val="1"/>
      <w:marLeft w:val="0"/>
      <w:marRight w:val="0"/>
      <w:marTop w:val="0"/>
      <w:marBottom w:val="0"/>
      <w:divBdr>
        <w:top w:val="none" w:sz="0" w:space="0" w:color="auto"/>
        <w:left w:val="none" w:sz="0" w:space="0" w:color="auto"/>
        <w:bottom w:val="none" w:sz="0" w:space="0" w:color="auto"/>
        <w:right w:val="none" w:sz="0" w:space="0" w:color="auto"/>
      </w:divBdr>
    </w:div>
    <w:div w:id="667708193">
      <w:bodyDiv w:val="1"/>
      <w:marLeft w:val="0"/>
      <w:marRight w:val="0"/>
      <w:marTop w:val="0"/>
      <w:marBottom w:val="0"/>
      <w:divBdr>
        <w:top w:val="none" w:sz="0" w:space="0" w:color="auto"/>
        <w:left w:val="none" w:sz="0" w:space="0" w:color="auto"/>
        <w:bottom w:val="none" w:sz="0" w:space="0" w:color="auto"/>
        <w:right w:val="none" w:sz="0" w:space="0" w:color="auto"/>
      </w:divBdr>
    </w:div>
    <w:div w:id="698429567">
      <w:bodyDiv w:val="1"/>
      <w:marLeft w:val="0"/>
      <w:marRight w:val="0"/>
      <w:marTop w:val="0"/>
      <w:marBottom w:val="0"/>
      <w:divBdr>
        <w:top w:val="none" w:sz="0" w:space="0" w:color="auto"/>
        <w:left w:val="none" w:sz="0" w:space="0" w:color="auto"/>
        <w:bottom w:val="none" w:sz="0" w:space="0" w:color="auto"/>
        <w:right w:val="none" w:sz="0" w:space="0" w:color="auto"/>
      </w:divBdr>
    </w:div>
    <w:div w:id="704670132">
      <w:bodyDiv w:val="1"/>
      <w:marLeft w:val="0"/>
      <w:marRight w:val="0"/>
      <w:marTop w:val="0"/>
      <w:marBottom w:val="0"/>
      <w:divBdr>
        <w:top w:val="none" w:sz="0" w:space="0" w:color="auto"/>
        <w:left w:val="none" w:sz="0" w:space="0" w:color="auto"/>
        <w:bottom w:val="none" w:sz="0" w:space="0" w:color="auto"/>
        <w:right w:val="none" w:sz="0" w:space="0" w:color="auto"/>
      </w:divBdr>
    </w:div>
    <w:div w:id="808400455">
      <w:bodyDiv w:val="1"/>
      <w:marLeft w:val="0"/>
      <w:marRight w:val="0"/>
      <w:marTop w:val="0"/>
      <w:marBottom w:val="0"/>
      <w:divBdr>
        <w:top w:val="none" w:sz="0" w:space="0" w:color="auto"/>
        <w:left w:val="none" w:sz="0" w:space="0" w:color="auto"/>
        <w:bottom w:val="none" w:sz="0" w:space="0" w:color="auto"/>
        <w:right w:val="none" w:sz="0" w:space="0" w:color="auto"/>
      </w:divBdr>
    </w:div>
    <w:div w:id="848061686">
      <w:bodyDiv w:val="1"/>
      <w:marLeft w:val="0"/>
      <w:marRight w:val="0"/>
      <w:marTop w:val="0"/>
      <w:marBottom w:val="0"/>
      <w:divBdr>
        <w:top w:val="none" w:sz="0" w:space="0" w:color="auto"/>
        <w:left w:val="none" w:sz="0" w:space="0" w:color="auto"/>
        <w:bottom w:val="none" w:sz="0" w:space="0" w:color="auto"/>
        <w:right w:val="none" w:sz="0" w:space="0" w:color="auto"/>
      </w:divBdr>
    </w:div>
    <w:div w:id="892891338">
      <w:bodyDiv w:val="1"/>
      <w:marLeft w:val="0"/>
      <w:marRight w:val="0"/>
      <w:marTop w:val="0"/>
      <w:marBottom w:val="0"/>
      <w:divBdr>
        <w:top w:val="none" w:sz="0" w:space="0" w:color="auto"/>
        <w:left w:val="none" w:sz="0" w:space="0" w:color="auto"/>
        <w:bottom w:val="none" w:sz="0" w:space="0" w:color="auto"/>
        <w:right w:val="none" w:sz="0" w:space="0" w:color="auto"/>
      </w:divBdr>
    </w:div>
    <w:div w:id="903837507">
      <w:bodyDiv w:val="1"/>
      <w:marLeft w:val="0"/>
      <w:marRight w:val="0"/>
      <w:marTop w:val="0"/>
      <w:marBottom w:val="0"/>
      <w:divBdr>
        <w:top w:val="none" w:sz="0" w:space="0" w:color="auto"/>
        <w:left w:val="none" w:sz="0" w:space="0" w:color="auto"/>
        <w:bottom w:val="none" w:sz="0" w:space="0" w:color="auto"/>
        <w:right w:val="none" w:sz="0" w:space="0" w:color="auto"/>
      </w:divBdr>
    </w:div>
    <w:div w:id="917787237">
      <w:bodyDiv w:val="1"/>
      <w:marLeft w:val="0"/>
      <w:marRight w:val="0"/>
      <w:marTop w:val="0"/>
      <w:marBottom w:val="0"/>
      <w:divBdr>
        <w:top w:val="none" w:sz="0" w:space="0" w:color="auto"/>
        <w:left w:val="none" w:sz="0" w:space="0" w:color="auto"/>
        <w:bottom w:val="none" w:sz="0" w:space="0" w:color="auto"/>
        <w:right w:val="none" w:sz="0" w:space="0" w:color="auto"/>
      </w:divBdr>
    </w:div>
    <w:div w:id="959260481">
      <w:bodyDiv w:val="1"/>
      <w:marLeft w:val="0"/>
      <w:marRight w:val="0"/>
      <w:marTop w:val="0"/>
      <w:marBottom w:val="0"/>
      <w:divBdr>
        <w:top w:val="none" w:sz="0" w:space="0" w:color="auto"/>
        <w:left w:val="none" w:sz="0" w:space="0" w:color="auto"/>
        <w:bottom w:val="none" w:sz="0" w:space="0" w:color="auto"/>
        <w:right w:val="none" w:sz="0" w:space="0" w:color="auto"/>
      </w:divBdr>
    </w:div>
    <w:div w:id="967052388">
      <w:bodyDiv w:val="1"/>
      <w:marLeft w:val="0"/>
      <w:marRight w:val="0"/>
      <w:marTop w:val="0"/>
      <w:marBottom w:val="0"/>
      <w:divBdr>
        <w:top w:val="none" w:sz="0" w:space="0" w:color="auto"/>
        <w:left w:val="none" w:sz="0" w:space="0" w:color="auto"/>
        <w:bottom w:val="none" w:sz="0" w:space="0" w:color="auto"/>
        <w:right w:val="none" w:sz="0" w:space="0" w:color="auto"/>
      </w:divBdr>
    </w:div>
    <w:div w:id="993992065">
      <w:bodyDiv w:val="1"/>
      <w:marLeft w:val="0"/>
      <w:marRight w:val="0"/>
      <w:marTop w:val="0"/>
      <w:marBottom w:val="0"/>
      <w:divBdr>
        <w:top w:val="none" w:sz="0" w:space="0" w:color="auto"/>
        <w:left w:val="none" w:sz="0" w:space="0" w:color="auto"/>
        <w:bottom w:val="none" w:sz="0" w:space="0" w:color="auto"/>
        <w:right w:val="none" w:sz="0" w:space="0" w:color="auto"/>
      </w:divBdr>
    </w:div>
    <w:div w:id="1016274208">
      <w:bodyDiv w:val="1"/>
      <w:marLeft w:val="0"/>
      <w:marRight w:val="0"/>
      <w:marTop w:val="0"/>
      <w:marBottom w:val="0"/>
      <w:divBdr>
        <w:top w:val="none" w:sz="0" w:space="0" w:color="auto"/>
        <w:left w:val="none" w:sz="0" w:space="0" w:color="auto"/>
        <w:bottom w:val="none" w:sz="0" w:space="0" w:color="auto"/>
        <w:right w:val="none" w:sz="0" w:space="0" w:color="auto"/>
      </w:divBdr>
    </w:div>
    <w:div w:id="1021325216">
      <w:bodyDiv w:val="1"/>
      <w:marLeft w:val="0"/>
      <w:marRight w:val="0"/>
      <w:marTop w:val="0"/>
      <w:marBottom w:val="0"/>
      <w:divBdr>
        <w:top w:val="none" w:sz="0" w:space="0" w:color="auto"/>
        <w:left w:val="none" w:sz="0" w:space="0" w:color="auto"/>
        <w:bottom w:val="none" w:sz="0" w:space="0" w:color="auto"/>
        <w:right w:val="none" w:sz="0" w:space="0" w:color="auto"/>
      </w:divBdr>
    </w:div>
    <w:div w:id="1046176771">
      <w:bodyDiv w:val="1"/>
      <w:marLeft w:val="0"/>
      <w:marRight w:val="0"/>
      <w:marTop w:val="0"/>
      <w:marBottom w:val="0"/>
      <w:divBdr>
        <w:top w:val="none" w:sz="0" w:space="0" w:color="auto"/>
        <w:left w:val="none" w:sz="0" w:space="0" w:color="auto"/>
        <w:bottom w:val="none" w:sz="0" w:space="0" w:color="auto"/>
        <w:right w:val="none" w:sz="0" w:space="0" w:color="auto"/>
      </w:divBdr>
    </w:div>
    <w:div w:id="1046225173">
      <w:bodyDiv w:val="1"/>
      <w:marLeft w:val="0"/>
      <w:marRight w:val="0"/>
      <w:marTop w:val="0"/>
      <w:marBottom w:val="0"/>
      <w:divBdr>
        <w:top w:val="none" w:sz="0" w:space="0" w:color="auto"/>
        <w:left w:val="none" w:sz="0" w:space="0" w:color="auto"/>
        <w:bottom w:val="none" w:sz="0" w:space="0" w:color="auto"/>
        <w:right w:val="none" w:sz="0" w:space="0" w:color="auto"/>
      </w:divBdr>
    </w:div>
    <w:div w:id="1054351425">
      <w:bodyDiv w:val="1"/>
      <w:marLeft w:val="0"/>
      <w:marRight w:val="0"/>
      <w:marTop w:val="0"/>
      <w:marBottom w:val="0"/>
      <w:divBdr>
        <w:top w:val="none" w:sz="0" w:space="0" w:color="auto"/>
        <w:left w:val="none" w:sz="0" w:space="0" w:color="auto"/>
        <w:bottom w:val="none" w:sz="0" w:space="0" w:color="auto"/>
        <w:right w:val="none" w:sz="0" w:space="0" w:color="auto"/>
      </w:divBdr>
    </w:div>
    <w:div w:id="1075663429">
      <w:bodyDiv w:val="1"/>
      <w:marLeft w:val="0"/>
      <w:marRight w:val="0"/>
      <w:marTop w:val="0"/>
      <w:marBottom w:val="0"/>
      <w:divBdr>
        <w:top w:val="none" w:sz="0" w:space="0" w:color="auto"/>
        <w:left w:val="none" w:sz="0" w:space="0" w:color="auto"/>
        <w:bottom w:val="none" w:sz="0" w:space="0" w:color="auto"/>
        <w:right w:val="none" w:sz="0" w:space="0" w:color="auto"/>
      </w:divBdr>
    </w:div>
    <w:div w:id="1087775832">
      <w:bodyDiv w:val="1"/>
      <w:marLeft w:val="0"/>
      <w:marRight w:val="0"/>
      <w:marTop w:val="0"/>
      <w:marBottom w:val="0"/>
      <w:divBdr>
        <w:top w:val="none" w:sz="0" w:space="0" w:color="auto"/>
        <w:left w:val="none" w:sz="0" w:space="0" w:color="auto"/>
        <w:bottom w:val="none" w:sz="0" w:space="0" w:color="auto"/>
        <w:right w:val="none" w:sz="0" w:space="0" w:color="auto"/>
      </w:divBdr>
    </w:div>
    <w:div w:id="1089929350">
      <w:bodyDiv w:val="1"/>
      <w:marLeft w:val="0"/>
      <w:marRight w:val="0"/>
      <w:marTop w:val="0"/>
      <w:marBottom w:val="0"/>
      <w:divBdr>
        <w:top w:val="none" w:sz="0" w:space="0" w:color="auto"/>
        <w:left w:val="none" w:sz="0" w:space="0" w:color="auto"/>
        <w:bottom w:val="none" w:sz="0" w:space="0" w:color="auto"/>
        <w:right w:val="none" w:sz="0" w:space="0" w:color="auto"/>
      </w:divBdr>
    </w:div>
    <w:div w:id="1098987257">
      <w:bodyDiv w:val="1"/>
      <w:marLeft w:val="0"/>
      <w:marRight w:val="0"/>
      <w:marTop w:val="0"/>
      <w:marBottom w:val="0"/>
      <w:divBdr>
        <w:top w:val="none" w:sz="0" w:space="0" w:color="auto"/>
        <w:left w:val="none" w:sz="0" w:space="0" w:color="auto"/>
        <w:bottom w:val="none" w:sz="0" w:space="0" w:color="auto"/>
        <w:right w:val="none" w:sz="0" w:space="0" w:color="auto"/>
      </w:divBdr>
    </w:div>
    <w:div w:id="1119109490">
      <w:bodyDiv w:val="1"/>
      <w:marLeft w:val="0"/>
      <w:marRight w:val="0"/>
      <w:marTop w:val="0"/>
      <w:marBottom w:val="0"/>
      <w:divBdr>
        <w:top w:val="none" w:sz="0" w:space="0" w:color="auto"/>
        <w:left w:val="none" w:sz="0" w:space="0" w:color="auto"/>
        <w:bottom w:val="none" w:sz="0" w:space="0" w:color="auto"/>
        <w:right w:val="none" w:sz="0" w:space="0" w:color="auto"/>
      </w:divBdr>
    </w:div>
    <w:div w:id="1150826043">
      <w:bodyDiv w:val="1"/>
      <w:marLeft w:val="0"/>
      <w:marRight w:val="0"/>
      <w:marTop w:val="0"/>
      <w:marBottom w:val="0"/>
      <w:divBdr>
        <w:top w:val="none" w:sz="0" w:space="0" w:color="auto"/>
        <w:left w:val="none" w:sz="0" w:space="0" w:color="auto"/>
        <w:bottom w:val="none" w:sz="0" w:space="0" w:color="auto"/>
        <w:right w:val="none" w:sz="0" w:space="0" w:color="auto"/>
      </w:divBdr>
    </w:div>
    <w:div w:id="1153066658">
      <w:bodyDiv w:val="1"/>
      <w:marLeft w:val="0"/>
      <w:marRight w:val="0"/>
      <w:marTop w:val="0"/>
      <w:marBottom w:val="0"/>
      <w:divBdr>
        <w:top w:val="none" w:sz="0" w:space="0" w:color="auto"/>
        <w:left w:val="none" w:sz="0" w:space="0" w:color="auto"/>
        <w:bottom w:val="none" w:sz="0" w:space="0" w:color="auto"/>
        <w:right w:val="none" w:sz="0" w:space="0" w:color="auto"/>
      </w:divBdr>
    </w:div>
    <w:div w:id="1160195237">
      <w:bodyDiv w:val="1"/>
      <w:marLeft w:val="0"/>
      <w:marRight w:val="0"/>
      <w:marTop w:val="0"/>
      <w:marBottom w:val="0"/>
      <w:divBdr>
        <w:top w:val="none" w:sz="0" w:space="0" w:color="auto"/>
        <w:left w:val="none" w:sz="0" w:space="0" w:color="auto"/>
        <w:bottom w:val="none" w:sz="0" w:space="0" w:color="auto"/>
        <w:right w:val="none" w:sz="0" w:space="0" w:color="auto"/>
      </w:divBdr>
    </w:div>
    <w:div w:id="1202941925">
      <w:bodyDiv w:val="1"/>
      <w:marLeft w:val="0"/>
      <w:marRight w:val="0"/>
      <w:marTop w:val="0"/>
      <w:marBottom w:val="0"/>
      <w:divBdr>
        <w:top w:val="none" w:sz="0" w:space="0" w:color="auto"/>
        <w:left w:val="none" w:sz="0" w:space="0" w:color="auto"/>
        <w:bottom w:val="none" w:sz="0" w:space="0" w:color="auto"/>
        <w:right w:val="none" w:sz="0" w:space="0" w:color="auto"/>
      </w:divBdr>
    </w:div>
    <w:div w:id="1218586229">
      <w:bodyDiv w:val="1"/>
      <w:marLeft w:val="0"/>
      <w:marRight w:val="0"/>
      <w:marTop w:val="0"/>
      <w:marBottom w:val="0"/>
      <w:divBdr>
        <w:top w:val="none" w:sz="0" w:space="0" w:color="auto"/>
        <w:left w:val="none" w:sz="0" w:space="0" w:color="auto"/>
        <w:bottom w:val="none" w:sz="0" w:space="0" w:color="auto"/>
        <w:right w:val="none" w:sz="0" w:space="0" w:color="auto"/>
      </w:divBdr>
    </w:div>
    <w:div w:id="1249540012">
      <w:bodyDiv w:val="1"/>
      <w:marLeft w:val="0"/>
      <w:marRight w:val="0"/>
      <w:marTop w:val="0"/>
      <w:marBottom w:val="0"/>
      <w:divBdr>
        <w:top w:val="none" w:sz="0" w:space="0" w:color="auto"/>
        <w:left w:val="none" w:sz="0" w:space="0" w:color="auto"/>
        <w:bottom w:val="none" w:sz="0" w:space="0" w:color="auto"/>
        <w:right w:val="none" w:sz="0" w:space="0" w:color="auto"/>
      </w:divBdr>
    </w:div>
    <w:div w:id="1268926960">
      <w:bodyDiv w:val="1"/>
      <w:marLeft w:val="0"/>
      <w:marRight w:val="0"/>
      <w:marTop w:val="0"/>
      <w:marBottom w:val="0"/>
      <w:divBdr>
        <w:top w:val="none" w:sz="0" w:space="0" w:color="auto"/>
        <w:left w:val="none" w:sz="0" w:space="0" w:color="auto"/>
        <w:bottom w:val="none" w:sz="0" w:space="0" w:color="auto"/>
        <w:right w:val="none" w:sz="0" w:space="0" w:color="auto"/>
      </w:divBdr>
    </w:div>
    <w:div w:id="1296065323">
      <w:bodyDiv w:val="1"/>
      <w:marLeft w:val="0"/>
      <w:marRight w:val="0"/>
      <w:marTop w:val="0"/>
      <w:marBottom w:val="0"/>
      <w:divBdr>
        <w:top w:val="none" w:sz="0" w:space="0" w:color="auto"/>
        <w:left w:val="none" w:sz="0" w:space="0" w:color="auto"/>
        <w:bottom w:val="none" w:sz="0" w:space="0" w:color="auto"/>
        <w:right w:val="none" w:sz="0" w:space="0" w:color="auto"/>
      </w:divBdr>
    </w:div>
    <w:div w:id="1309749425">
      <w:bodyDiv w:val="1"/>
      <w:marLeft w:val="0"/>
      <w:marRight w:val="0"/>
      <w:marTop w:val="0"/>
      <w:marBottom w:val="0"/>
      <w:divBdr>
        <w:top w:val="none" w:sz="0" w:space="0" w:color="auto"/>
        <w:left w:val="none" w:sz="0" w:space="0" w:color="auto"/>
        <w:bottom w:val="none" w:sz="0" w:space="0" w:color="auto"/>
        <w:right w:val="none" w:sz="0" w:space="0" w:color="auto"/>
      </w:divBdr>
    </w:div>
    <w:div w:id="1313414797">
      <w:bodyDiv w:val="1"/>
      <w:marLeft w:val="0"/>
      <w:marRight w:val="0"/>
      <w:marTop w:val="0"/>
      <w:marBottom w:val="0"/>
      <w:divBdr>
        <w:top w:val="none" w:sz="0" w:space="0" w:color="auto"/>
        <w:left w:val="none" w:sz="0" w:space="0" w:color="auto"/>
        <w:bottom w:val="none" w:sz="0" w:space="0" w:color="auto"/>
        <w:right w:val="none" w:sz="0" w:space="0" w:color="auto"/>
      </w:divBdr>
    </w:div>
    <w:div w:id="1314869975">
      <w:bodyDiv w:val="1"/>
      <w:marLeft w:val="0"/>
      <w:marRight w:val="0"/>
      <w:marTop w:val="0"/>
      <w:marBottom w:val="0"/>
      <w:divBdr>
        <w:top w:val="none" w:sz="0" w:space="0" w:color="auto"/>
        <w:left w:val="none" w:sz="0" w:space="0" w:color="auto"/>
        <w:bottom w:val="none" w:sz="0" w:space="0" w:color="auto"/>
        <w:right w:val="none" w:sz="0" w:space="0" w:color="auto"/>
      </w:divBdr>
    </w:div>
    <w:div w:id="1340280989">
      <w:bodyDiv w:val="1"/>
      <w:marLeft w:val="0"/>
      <w:marRight w:val="0"/>
      <w:marTop w:val="0"/>
      <w:marBottom w:val="0"/>
      <w:divBdr>
        <w:top w:val="none" w:sz="0" w:space="0" w:color="auto"/>
        <w:left w:val="none" w:sz="0" w:space="0" w:color="auto"/>
        <w:bottom w:val="none" w:sz="0" w:space="0" w:color="auto"/>
        <w:right w:val="none" w:sz="0" w:space="0" w:color="auto"/>
      </w:divBdr>
    </w:div>
    <w:div w:id="1341002971">
      <w:bodyDiv w:val="1"/>
      <w:marLeft w:val="0"/>
      <w:marRight w:val="0"/>
      <w:marTop w:val="0"/>
      <w:marBottom w:val="0"/>
      <w:divBdr>
        <w:top w:val="none" w:sz="0" w:space="0" w:color="auto"/>
        <w:left w:val="none" w:sz="0" w:space="0" w:color="auto"/>
        <w:bottom w:val="none" w:sz="0" w:space="0" w:color="auto"/>
        <w:right w:val="none" w:sz="0" w:space="0" w:color="auto"/>
      </w:divBdr>
    </w:div>
    <w:div w:id="1343123376">
      <w:bodyDiv w:val="1"/>
      <w:marLeft w:val="0"/>
      <w:marRight w:val="0"/>
      <w:marTop w:val="0"/>
      <w:marBottom w:val="0"/>
      <w:divBdr>
        <w:top w:val="none" w:sz="0" w:space="0" w:color="auto"/>
        <w:left w:val="none" w:sz="0" w:space="0" w:color="auto"/>
        <w:bottom w:val="none" w:sz="0" w:space="0" w:color="auto"/>
        <w:right w:val="none" w:sz="0" w:space="0" w:color="auto"/>
      </w:divBdr>
    </w:div>
    <w:div w:id="1346325592">
      <w:bodyDiv w:val="1"/>
      <w:marLeft w:val="0"/>
      <w:marRight w:val="0"/>
      <w:marTop w:val="0"/>
      <w:marBottom w:val="0"/>
      <w:divBdr>
        <w:top w:val="none" w:sz="0" w:space="0" w:color="auto"/>
        <w:left w:val="none" w:sz="0" w:space="0" w:color="auto"/>
        <w:bottom w:val="none" w:sz="0" w:space="0" w:color="auto"/>
        <w:right w:val="none" w:sz="0" w:space="0" w:color="auto"/>
      </w:divBdr>
    </w:div>
    <w:div w:id="1355885688">
      <w:bodyDiv w:val="1"/>
      <w:marLeft w:val="0"/>
      <w:marRight w:val="0"/>
      <w:marTop w:val="0"/>
      <w:marBottom w:val="0"/>
      <w:divBdr>
        <w:top w:val="none" w:sz="0" w:space="0" w:color="auto"/>
        <w:left w:val="none" w:sz="0" w:space="0" w:color="auto"/>
        <w:bottom w:val="none" w:sz="0" w:space="0" w:color="auto"/>
        <w:right w:val="none" w:sz="0" w:space="0" w:color="auto"/>
      </w:divBdr>
    </w:div>
    <w:div w:id="1356421243">
      <w:bodyDiv w:val="1"/>
      <w:marLeft w:val="0"/>
      <w:marRight w:val="0"/>
      <w:marTop w:val="0"/>
      <w:marBottom w:val="0"/>
      <w:divBdr>
        <w:top w:val="none" w:sz="0" w:space="0" w:color="auto"/>
        <w:left w:val="none" w:sz="0" w:space="0" w:color="auto"/>
        <w:bottom w:val="none" w:sz="0" w:space="0" w:color="auto"/>
        <w:right w:val="none" w:sz="0" w:space="0" w:color="auto"/>
      </w:divBdr>
    </w:div>
    <w:div w:id="1384215942">
      <w:bodyDiv w:val="1"/>
      <w:marLeft w:val="0"/>
      <w:marRight w:val="0"/>
      <w:marTop w:val="0"/>
      <w:marBottom w:val="0"/>
      <w:divBdr>
        <w:top w:val="none" w:sz="0" w:space="0" w:color="auto"/>
        <w:left w:val="none" w:sz="0" w:space="0" w:color="auto"/>
        <w:bottom w:val="none" w:sz="0" w:space="0" w:color="auto"/>
        <w:right w:val="none" w:sz="0" w:space="0" w:color="auto"/>
      </w:divBdr>
    </w:div>
    <w:div w:id="1405103025">
      <w:bodyDiv w:val="1"/>
      <w:marLeft w:val="0"/>
      <w:marRight w:val="0"/>
      <w:marTop w:val="0"/>
      <w:marBottom w:val="0"/>
      <w:divBdr>
        <w:top w:val="none" w:sz="0" w:space="0" w:color="auto"/>
        <w:left w:val="none" w:sz="0" w:space="0" w:color="auto"/>
        <w:bottom w:val="none" w:sz="0" w:space="0" w:color="auto"/>
        <w:right w:val="none" w:sz="0" w:space="0" w:color="auto"/>
      </w:divBdr>
    </w:div>
    <w:div w:id="1433476168">
      <w:bodyDiv w:val="1"/>
      <w:marLeft w:val="0"/>
      <w:marRight w:val="0"/>
      <w:marTop w:val="0"/>
      <w:marBottom w:val="0"/>
      <w:divBdr>
        <w:top w:val="none" w:sz="0" w:space="0" w:color="auto"/>
        <w:left w:val="none" w:sz="0" w:space="0" w:color="auto"/>
        <w:bottom w:val="none" w:sz="0" w:space="0" w:color="auto"/>
        <w:right w:val="none" w:sz="0" w:space="0" w:color="auto"/>
      </w:divBdr>
    </w:div>
    <w:div w:id="1438595576">
      <w:bodyDiv w:val="1"/>
      <w:marLeft w:val="0"/>
      <w:marRight w:val="0"/>
      <w:marTop w:val="0"/>
      <w:marBottom w:val="0"/>
      <w:divBdr>
        <w:top w:val="none" w:sz="0" w:space="0" w:color="auto"/>
        <w:left w:val="none" w:sz="0" w:space="0" w:color="auto"/>
        <w:bottom w:val="none" w:sz="0" w:space="0" w:color="auto"/>
        <w:right w:val="none" w:sz="0" w:space="0" w:color="auto"/>
      </w:divBdr>
    </w:div>
    <w:div w:id="1458138511">
      <w:bodyDiv w:val="1"/>
      <w:marLeft w:val="0"/>
      <w:marRight w:val="0"/>
      <w:marTop w:val="0"/>
      <w:marBottom w:val="0"/>
      <w:divBdr>
        <w:top w:val="none" w:sz="0" w:space="0" w:color="auto"/>
        <w:left w:val="none" w:sz="0" w:space="0" w:color="auto"/>
        <w:bottom w:val="none" w:sz="0" w:space="0" w:color="auto"/>
        <w:right w:val="none" w:sz="0" w:space="0" w:color="auto"/>
      </w:divBdr>
    </w:div>
    <w:div w:id="1475291933">
      <w:bodyDiv w:val="1"/>
      <w:marLeft w:val="0"/>
      <w:marRight w:val="0"/>
      <w:marTop w:val="0"/>
      <w:marBottom w:val="0"/>
      <w:divBdr>
        <w:top w:val="none" w:sz="0" w:space="0" w:color="auto"/>
        <w:left w:val="none" w:sz="0" w:space="0" w:color="auto"/>
        <w:bottom w:val="none" w:sz="0" w:space="0" w:color="auto"/>
        <w:right w:val="none" w:sz="0" w:space="0" w:color="auto"/>
      </w:divBdr>
    </w:div>
    <w:div w:id="1531994433">
      <w:bodyDiv w:val="1"/>
      <w:marLeft w:val="0"/>
      <w:marRight w:val="0"/>
      <w:marTop w:val="0"/>
      <w:marBottom w:val="0"/>
      <w:divBdr>
        <w:top w:val="none" w:sz="0" w:space="0" w:color="auto"/>
        <w:left w:val="none" w:sz="0" w:space="0" w:color="auto"/>
        <w:bottom w:val="none" w:sz="0" w:space="0" w:color="auto"/>
        <w:right w:val="none" w:sz="0" w:space="0" w:color="auto"/>
      </w:divBdr>
    </w:div>
    <w:div w:id="1540782240">
      <w:bodyDiv w:val="1"/>
      <w:marLeft w:val="0"/>
      <w:marRight w:val="0"/>
      <w:marTop w:val="0"/>
      <w:marBottom w:val="0"/>
      <w:divBdr>
        <w:top w:val="none" w:sz="0" w:space="0" w:color="auto"/>
        <w:left w:val="none" w:sz="0" w:space="0" w:color="auto"/>
        <w:bottom w:val="none" w:sz="0" w:space="0" w:color="auto"/>
        <w:right w:val="none" w:sz="0" w:space="0" w:color="auto"/>
      </w:divBdr>
    </w:div>
    <w:div w:id="1568878012">
      <w:bodyDiv w:val="1"/>
      <w:marLeft w:val="0"/>
      <w:marRight w:val="0"/>
      <w:marTop w:val="0"/>
      <w:marBottom w:val="0"/>
      <w:divBdr>
        <w:top w:val="none" w:sz="0" w:space="0" w:color="auto"/>
        <w:left w:val="none" w:sz="0" w:space="0" w:color="auto"/>
        <w:bottom w:val="none" w:sz="0" w:space="0" w:color="auto"/>
        <w:right w:val="none" w:sz="0" w:space="0" w:color="auto"/>
      </w:divBdr>
    </w:div>
    <w:div w:id="1570575076">
      <w:bodyDiv w:val="1"/>
      <w:marLeft w:val="0"/>
      <w:marRight w:val="0"/>
      <w:marTop w:val="0"/>
      <w:marBottom w:val="0"/>
      <w:divBdr>
        <w:top w:val="none" w:sz="0" w:space="0" w:color="auto"/>
        <w:left w:val="none" w:sz="0" w:space="0" w:color="auto"/>
        <w:bottom w:val="none" w:sz="0" w:space="0" w:color="auto"/>
        <w:right w:val="none" w:sz="0" w:space="0" w:color="auto"/>
      </w:divBdr>
    </w:div>
    <w:div w:id="1583640343">
      <w:bodyDiv w:val="1"/>
      <w:marLeft w:val="0"/>
      <w:marRight w:val="0"/>
      <w:marTop w:val="0"/>
      <w:marBottom w:val="0"/>
      <w:divBdr>
        <w:top w:val="none" w:sz="0" w:space="0" w:color="auto"/>
        <w:left w:val="none" w:sz="0" w:space="0" w:color="auto"/>
        <w:bottom w:val="none" w:sz="0" w:space="0" w:color="auto"/>
        <w:right w:val="none" w:sz="0" w:space="0" w:color="auto"/>
      </w:divBdr>
    </w:div>
    <w:div w:id="1608537338">
      <w:bodyDiv w:val="1"/>
      <w:marLeft w:val="0"/>
      <w:marRight w:val="0"/>
      <w:marTop w:val="0"/>
      <w:marBottom w:val="0"/>
      <w:divBdr>
        <w:top w:val="none" w:sz="0" w:space="0" w:color="auto"/>
        <w:left w:val="none" w:sz="0" w:space="0" w:color="auto"/>
        <w:bottom w:val="none" w:sz="0" w:space="0" w:color="auto"/>
        <w:right w:val="none" w:sz="0" w:space="0" w:color="auto"/>
      </w:divBdr>
    </w:div>
    <w:div w:id="1626429052">
      <w:bodyDiv w:val="1"/>
      <w:marLeft w:val="0"/>
      <w:marRight w:val="0"/>
      <w:marTop w:val="0"/>
      <w:marBottom w:val="0"/>
      <w:divBdr>
        <w:top w:val="none" w:sz="0" w:space="0" w:color="auto"/>
        <w:left w:val="none" w:sz="0" w:space="0" w:color="auto"/>
        <w:bottom w:val="none" w:sz="0" w:space="0" w:color="auto"/>
        <w:right w:val="none" w:sz="0" w:space="0" w:color="auto"/>
      </w:divBdr>
    </w:div>
    <w:div w:id="1629815690">
      <w:bodyDiv w:val="1"/>
      <w:marLeft w:val="0"/>
      <w:marRight w:val="0"/>
      <w:marTop w:val="0"/>
      <w:marBottom w:val="0"/>
      <w:divBdr>
        <w:top w:val="none" w:sz="0" w:space="0" w:color="auto"/>
        <w:left w:val="none" w:sz="0" w:space="0" w:color="auto"/>
        <w:bottom w:val="none" w:sz="0" w:space="0" w:color="auto"/>
        <w:right w:val="none" w:sz="0" w:space="0" w:color="auto"/>
      </w:divBdr>
    </w:div>
    <w:div w:id="1631744457">
      <w:bodyDiv w:val="1"/>
      <w:marLeft w:val="0"/>
      <w:marRight w:val="0"/>
      <w:marTop w:val="0"/>
      <w:marBottom w:val="0"/>
      <w:divBdr>
        <w:top w:val="none" w:sz="0" w:space="0" w:color="auto"/>
        <w:left w:val="none" w:sz="0" w:space="0" w:color="auto"/>
        <w:bottom w:val="none" w:sz="0" w:space="0" w:color="auto"/>
        <w:right w:val="none" w:sz="0" w:space="0" w:color="auto"/>
      </w:divBdr>
    </w:div>
    <w:div w:id="1636056872">
      <w:bodyDiv w:val="1"/>
      <w:marLeft w:val="0"/>
      <w:marRight w:val="0"/>
      <w:marTop w:val="0"/>
      <w:marBottom w:val="0"/>
      <w:divBdr>
        <w:top w:val="none" w:sz="0" w:space="0" w:color="auto"/>
        <w:left w:val="none" w:sz="0" w:space="0" w:color="auto"/>
        <w:bottom w:val="none" w:sz="0" w:space="0" w:color="auto"/>
        <w:right w:val="none" w:sz="0" w:space="0" w:color="auto"/>
      </w:divBdr>
    </w:div>
    <w:div w:id="1636525851">
      <w:bodyDiv w:val="1"/>
      <w:marLeft w:val="0"/>
      <w:marRight w:val="0"/>
      <w:marTop w:val="0"/>
      <w:marBottom w:val="0"/>
      <w:divBdr>
        <w:top w:val="none" w:sz="0" w:space="0" w:color="auto"/>
        <w:left w:val="none" w:sz="0" w:space="0" w:color="auto"/>
        <w:bottom w:val="none" w:sz="0" w:space="0" w:color="auto"/>
        <w:right w:val="none" w:sz="0" w:space="0" w:color="auto"/>
      </w:divBdr>
    </w:div>
    <w:div w:id="1648435423">
      <w:bodyDiv w:val="1"/>
      <w:marLeft w:val="0"/>
      <w:marRight w:val="0"/>
      <w:marTop w:val="0"/>
      <w:marBottom w:val="0"/>
      <w:divBdr>
        <w:top w:val="none" w:sz="0" w:space="0" w:color="auto"/>
        <w:left w:val="none" w:sz="0" w:space="0" w:color="auto"/>
        <w:bottom w:val="none" w:sz="0" w:space="0" w:color="auto"/>
        <w:right w:val="none" w:sz="0" w:space="0" w:color="auto"/>
      </w:divBdr>
    </w:div>
    <w:div w:id="1651212213">
      <w:bodyDiv w:val="1"/>
      <w:marLeft w:val="0"/>
      <w:marRight w:val="0"/>
      <w:marTop w:val="0"/>
      <w:marBottom w:val="0"/>
      <w:divBdr>
        <w:top w:val="none" w:sz="0" w:space="0" w:color="auto"/>
        <w:left w:val="none" w:sz="0" w:space="0" w:color="auto"/>
        <w:bottom w:val="none" w:sz="0" w:space="0" w:color="auto"/>
        <w:right w:val="none" w:sz="0" w:space="0" w:color="auto"/>
      </w:divBdr>
    </w:div>
    <w:div w:id="1658609359">
      <w:bodyDiv w:val="1"/>
      <w:marLeft w:val="0"/>
      <w:marRight w:val="0"/>
      <w:marTop w:val="0"/>
      <w:marBottom w:val="0"/>
      <w:divBdr>
        <w:top w:val="none" w:sz="0" w:space="0" w:color="auto"/>
        <w:left w:val="none" w:sz="0" w:space="0" w:color="auto"/>
        <w:bottom w:val="none" w:sz="0" w:space="0" w:color="auto"/>
        <w:right w:val="none" w:sz="0" w:space="0" w:color="auto"/>
      </w:divBdr>
    </w:div>
    <w:div w:id="1673679390">
      <w:bodyDiv w:val="1"/>
      <w:marLeft w:val="0"/>
      <w:marRight w:val="0"/>
      <w:marTop w:val="0"/>
      <w:marBottom w:val="0"/>
      <w:divBdr>
        <w:top w:val="none" w:sz="0" w:space="0" w:color="auto"/>
        <w:left w:val="none" w:sz="0" w:space="0" w:color="auto"/>
        <w:bottom w:val="none" w:sz="0" w:space="0" w:color="auto"/>
        <w:right w:val="none" w:sz="0" w:space="0" w:color="auto"/>
      </w:divBdr>
    </w:div>
    <w:div w:id="1701280152">
      <w:bodyDiv w:val="1"/>
      <w:marLeft w:val="0"/>
      <w:marRight w:val="0"/>
      <w:marTop w:val="0"/>
      <w:marBottom w:val="0"/>
      <w:divBdr>
        <w:top w:val="none" w:sz="0" w:space="0" w:color="auto"/>
        <w:left w:val="none" w:sz="0" w:space="0" w:color="auto"/>
        <w:bottom w:val="none" w:sz="0" w:space="0" w:color="auto"/>
        <w:right w:val="none" w:sz="0" w:space="0" w:color="auto"/>
      </w:divBdr>
    </w:div>
    <w:div w:id="1705790235">
      <w:bodyDiv w:val="1"/>
      <w:marLeft w:val="0"/>
      <w:marRight w:val="0"/>
      <w:marTop w:val="0"/>
      <w:marBottom w:val="0"/>
      <w:divBdr>
        <w:top w:val="none" w:sz="0" w:space="0" w:color="auto"/>
        <w:left w:val="none" w:sz="0" w:space="0" w:color="auto"/>
        <w:bottom w:val="none" w:sz="0" w:space="0" w:color="auto"/>
        <w:right w:val="none" w:sz="0" w:space="0" w:color="auto"/>
      </w:divBdr>
    </w:div>
    <w:div w:id="1732465356">
      <w:bodyDiv w:val="1"/>
      <w:marLeft w:val="0"/>
      <w:marRight w:val="0"/>
      <w:marTop w:val="0"/>
      <w:marBottom w:val="0"/>
      <w:divBdr>
        <w:top w:val="none" w:sz="0" w:space="0" w:color="auto"/>
        <w:left w:val="none" w:sz="0" w:space="0" w:color="auto"/>
        <w:bottom w:val="none" w:sz="0" w:space="0" w:color="auto"/>
        <w:right w:val="none" w:sz="0" w:space="0" w:color="auto"/>
      </w:divBdr>
    </w:div>
    <w:div w:id="1733383483">
      <w:bodyDiv w:val="1"/>
      <w:marLeft w:val="0"/>
      <w:marRight w:val="0"/>
      <w:marTop w:val="0"/>
      <w:marBottom w:val="0"/>
      <w:divBdr>
        <w:top w:val="none" w:sz="0" w:space="0" w:color="auto"/>
        <w:left w:val="none" w:sz="0" w:space="0" w:color="auto"/>
        <w:bottom w:val="none" w:sz="0" w:space="0" w:color="auto"/>
        <w:right w:val="none" w:sz="0" w:space="0" w:color="auto"/>
      </w:divBdr>
    </w:div>
    <w:div w:id="1733581180">
      <w:bodyDiv w:val="1"/>
      <w:marLeft w:val="0"/>
      <w:marRight w:val="0"/>
      <w:marTop w:val="0"/>
      <w:marBottom w:val="0"/>
      <w:divBdr>
        <w:top w:val="none" w:sz="0" w:space="0" w:color="auto"/>
        <w:left w:val="none" w:sz="0" w:space="0" w:color="auto"/>
        <w:bottom w:val="none" w:sz="0" w:space="0" w:color="auto"/>
        <w:right w:val="none" w:sz="0" w:space="0" w:color="auto"/>
      </w:divBdr>
    </w:div>
    <w:div w:id="1750928874">
      <w:bodyDiv w:val="1"/>
      <w:marLeft w:val="0"/>
      <w:marRight w:val="0"/>
      <w:marTop w:val="0"/>
      <w:marBottom w:val="0"/>
      <w:divBdr>
        <w:top w:val="none" w:sz="0" w:space="0" w:color="auto"/>
        <w:left w:val="none" w:sz="0" w:space="0" w:color="auto"/>
        <w:bottom w:val="none" w:sz="0" w:space="0" w:color="auto"/>
        <w:right w:val="none" w:sz="0" w:space="0" w:color="auto"/>
      </w:divBdr>
    </w:div>
    <w:div w:id="1752313638">
      <w:bodyDiv w:val="1"/>
      <w:marLeft w:val="0"/>
      <w:marRight w:val="0"/>
      <w:marTop w:val="0"/>
      <w:marBottom w:val="0"/>
      <w:divBdr>
        <w:top w:val="none" w:sz="0" w:space="0" w:color="auto"/>
        <w:left w:val="none" w:sz="0" w:space="0" w:color="auto"/>
        <w:bottom w:val="none" w:sz="0" w:space="0" w:color="auto"/>
        <w:right w:val="none" w:sz="0" w:space="0" w:color="auto"/>
      </w:divBdr>
    </w:div>
    <w:div w:id="1761608136">
      <w:bodyDiv w:val="1"/>
      <w:marLeft w:val="0"/>
      <w:marRight w:val="0"/>
      <w:marTop w:val="0"/>
      <w:marBottom w:val="0"/>
      <w:divBdr>
        <w:top w:val="none" w:sz="0" w:space="0" w:color="auto"/>
        <w:left w:val="none" w:sz="0" w:space="0" w:color="auto"/>
        <w:bottom w:val="none" w:sz="0" w:space="0" w:color="auto"/>
        <w:right w:val="none" w:sz="0" w:space="0" w:color="auto"/>
      </w:divBdr>
    </w:div>
    <w:div w:id="1791127567">
      <w:bodyDiv w:val="1"/>
      <w:marLeft w:val="0"/>
      <w:marRight w:val="0"/>
      <w:marTop w:val="0"/>
      <w:marBottom w:val="0"/>
      <w:divBdr>
        <w:top w:val="none" w:sz="0" w:space="0" w:color="auto"/>
        <w:left w:val="none" w:sz="0" w:space="0" w:color="auto"/>
        <w:bottom w:val="none" w:sz="0" w:space="0" w:color="auto"/>
        <w:right w:val="none" w:sz="0" w:space="0" w:color="auto"/>
      </w:divBdr>
    </w:div>
    <w:div w:id="1799562871">
      <w:bodyDiv w:val="1"/>
      <w:marLeft w:val="0"/>
      <w:marRight w:val="0"/>
      <w:marTop w:val="0"/>
      <w:marBottom w:val="0"/>
      <w:divBdr>
        <w:top w:val="none" w:sz="0" w:space="0" w:color="auto"/>
        <w:left w:val="none" w:sz="0" w:space="0" w:color="auto"/>
        <w:bottom w:val="none" w:sz="0" w:space="0" w:color="auto"/>
        <w:right w:val="none" w:sz="0" w:space="0" w:color="auto"/>
      </w:divBdr>
    </w:div>
    <w:div w:id="1818378106">
      <w:bodyDiv w:val="1"/>
      <w:marLeft w:val="0"/>
      <w:marRight w:val="0"/>
      <w:marTop w:val="0"/>
      <w:marBottom w:val="0"/>
      <w:divBdr>
        <w:top w:val="none" w:sz="0" w:space="0" w:color="auto"/>
        <w:left w:val="none" w:sz="0" w:space="0" w:color="auto"/>
        <w:bottom w:val="none" w:sz="0" w:space="0" w:color="auto"/>
        <w:right w:val="none" w:sz="0" w:space="0" w:color="auto"/>
      </w:divBdr>
    </w:div>
    <w:div w:id="1858613813">
      <w:bodyDiv w:val="1"/>
      <w:marLeft w:val="0"/>
      <w:marRight w:val="0"/>
      <w:marTop w:val="0"/>
      <w:marBottom w:val="0"/>
      <w:divBdr>
        <w:top w:val="none" w:sz="0" w:space="0" w:color="auto"/>
        <w:left w:val="none" w:sz="0" w:space="0" w:color="auto"/>
        <w:bottom w:val="none" w:sz="0" w:space="0" w:color="auto"/>
        <w:right w:val="none" w:sz="0" w:space="0" w:color="auto"/>
      </w:divBdr>
    </w:div>
    <w:div w:id="1892181792">
      <w:bodyDiv w:val="1"/>
      <w:marLeft w:val="0"/>
      <w:marRight w:val="0"/>
      <w:marTop w:val="0"/>
      <w:marBottom w:val="0"/>
      <w:divBdr>
        <w:top w:val="none" w:sz="0" w:space="0" w:color="auto"/>
        <w:left w:val="none" w:sz="0" w:space="0" w:color="auto"/>
        <w:bottom w:val="none" w:sz="0" w:space="0" w:color="auto"/>
        <w:right w:val="none" w:sz="0" w:space="0" w:color="auto"/>
      </w:divBdr>
    </w:div>
    <w:div w:id="1906212655">
      <w:bodyDiv w:val="1"/>
      <w:marLeft w:val="0"/>
      <w:marRight w:val="0"/>
      <w:marTop w:val="0"/>
      <w:marBottom w:val="0"/>
      <w:divBdr>
        <w:top w:val="none" w:sz="0" w:space="0" w:color="auto"/>
        <w:left w:val="none" w:sz="0" w:space="0" w:color="auto"/>
        <w:bottom w:val="none" w:sz="0" w:space="0" w:color="auto"/>
        <w:right w:val="none" w:sz="0" w:space="0" w:color="auto"/>
      </w:divBdr>
    </w:div>
    <w:div w:id="1913470757">
      <w:bodyDiv w:val="1"/>
      <w:marLeft w:val="0"/>
      <w:marRight w:val="0"/>
      <w:marTop w:val="0"/>
      <w:marBottom w:val="0"/>
      <w:divBdr>
        <w:top w:val="none" w:sz="0" w:space="0" w:color="auto"/>
        <w:left w:val="none" w:sz="0" w:space="0" w:color="auto"/>
        <w:bottom w:val="none" w:sz="0" w:space="0" w:color="auto"/>
        <w:right w:val="none" w:sz="0" w:space="0" w:color="auto"/>
      </w:divBdr>
    </w:div>
    <w:div w:id="1923642219">
      <w:bodyDiv w:val="1"/>
      <w:marLeft w:val="0"/>
      <w:marRight w:val="0"/>
      <w:marTop w:val="0"/>
      <w:marBottom w:val="0"/>
      <w:divBdr>
        <w:top w:val="none" w:sz="0" w:space="0" w:color="auto"/>
        <w:left w:val="none" w:sz="0" w:space="0" w:color="auto"/>
        <w:bottom w:val="none" w:sz="0" w:space="0" w:color="auto"/>
        <w:right w:val="none" w:sz="0" w:space="0" w:color="auto"/>
      </w:divBdr>
    </w:div>
    <w:div w:id="1925413611">
      <w:bodyDiv w:val="1"/>
      <w:marLeft w:val="0"/>
      <w:marRight w:val="0"/>
      <w:marTop w:val="0"/>
      <w:marBottom w:val="0"/>
      <w:divBdr>
        <w:top w:val="none" w:sz="0" w:space="0" w:color="auto"/>
        <w:left w:val="none" w:sz="0" w:space="0" w:color="auto"/>
        <w:bottom w:val="none" w:sz="0" w:space="0" w:color="auto"/>
        <w:right w:val="none" w:sz="0" w:space="0" w:color="auto"/>
      </w:divBdr>
    </w:div>
    <w:div w:id="1939482889">
      <w:bodyDiv w:val="1"/>
      <w:marLeft w:val="0"/>
      <w:marRight w:val="0"/>
      <w:marTop w:val="0"/>
      <w:marBottom w:val="0"/>
      <w:divBdr>
        <w:top w:val="none" w:sz="0" w:space="0" w:color="auto"/>
        <w:left w:val="none" w:sz="0" w:space="0" w:color="auto"/>
        <w:bottom w:val="none" w:sz="0" w:space="0" w:color="auto"/>
        <w:right w:val="none" w:sz="0" w:space="0" w:color="auto"/>
      </w:divBdr>
    </w:div>
    <w:div w:id="1950895465">
      <w:bodyDiv w:val="1"/>
      <w:marLeft w:val="0"/>
      <w:marRight w:val="0"/>
      <w:marTop w:val="0"/>
      <w:marBottom w:val="0"/>
      <w:divBdr>
        <w:top w:val="none" w:sz="0" w:space="0" w:color="auto"/>
        <w:left w:val="none" w:sz="0" w:space="0" w:color="auto"/>
        <w:bottom w:val="none" w:sz="0" w:space="0" w:color="auto"/>
        <w:right w:val="none" w:sz="0" w:space="0" w:color="auto"/>
      </w:divBdr>
    </w:div>
    <w:div w:id="1964572824">
      <w:bodyDiv w:val="1"/>
      <w:marLeft w:val="0"/>
      <w:marRight w:val="0"/>
      <w:marTop w:val="0"/>
      <w:marBottom w:val="0"/>
      <w:divBdr>
        <w:top w:val="none" w:sz="0" w:space="0" w:color="auto"/>
        <w:left w:val="none" w:sz="0" w:space="0" w:color="auto"/>
        <w:bottom w:val="none" w:sz="0" w:space="0" w:color="auto"/>
        <w:right w:val="none" w:sz="0" w:space="0" w:color="auto"/>
      </w:divBdr>
    </w:div>
    <w:div w:id="1987734134">
      <w:bodyDiv w:val="1"/>
      <w:marLeft w:val="0"/>
      <w:marRight w:val="0"/>
      <w:marTop w:val="0"/>
      <w:marBottom w:val="0"/>
      <w:divBdr>
        <w:top w:val="none" w:sz="0" w:space="0" w:color="auto"/>
        <w:left w:val="none" w:sz="0" w:space="0" w:color="auto"/>
        <w:bottom w:val="none" w:sz="0" w:space="0" w:color="auto"/>
        <w:right w:val="none" w:sz="0" w:space="0" w:color="auto"/>
      </w:divBdr>
    </w:div>
    <w:div w:id="1996566729">
      <w:bodyDiv w:val="1"/>
      <w:marLeft w:val="0"/>
      <w:marRight w:val="0"/>
      <w:marTop w:val="0"/>
      <w:marBottom w:val="0"/>
      <w:divBdr>
        <w:top w:val="none" w:sz="0" w:space="0" w:color="auto"/>
        <w:left w:val="none" w:sz="0" w:space="0" w:color="auto"/>
        <w:bottom w:val="none" w:sz="0" w:space="0" w:color="auto"/>
        <w:right w:val="none" w:sz="0" w:space="0" w:color="auto"/>
      </w:divBdr>
    </w:div>
    <w:div w:id="2003925436">
      <w:bodyDiv w:val="1"/>
      <w:marLeft w:val="0"/>
      <w:marRight w:val="0"/>
      <w:marTop w:val="0"/>
      <w:marBottom w:val="0"/>
      <w:divBdr>
        <w:top w:val="none" w:sz="0" w:space="0" w:color="auto"/>
        <w:left w:val="none" w:sz="0" w:space="0" w:color="auto"/>
        <w:bottom w:val="none" w:sz="0" w:space="0" w:color="auto"/>
        <w:right w:val="none" w:sz="0" w:space="0" w:color="auto"/>
      </w:divBdr>
    </w:div>
    <w:div w:id="2042247452">
      <w:bodyDiv w:val="1"/>
      <w:marLeft w:val="0"/>
      <w:marRight w:val="0"/>
      <w:marTop w:val="0"/>
      <w:marBottom w:val="0"/>
      <w:divBdr>
        <w:top w:val="none" w:sz="0" w:space="0" w:color="auto"/>
        <w:left w:val="none" w:sz="0" w:space="0" w:color="auto"/>
        <w:bottom w:val="none" w:sz="0" w:space="0" w:color="auto"/>
        <w:right w:val="none" w:sz="0" w:space="0" w:color="auto"/>
      </w:divBdr>
    </w:div>
    <w:div w:id="2067876705">
      <w:bodyDiv w:val="1"/>
      <w:marLeft w:val="0"/>
      <w:marRight w:val="0"/>
      <w:marTop w:val="0"/>
      <w:marBottom w:val="0"/>
      <w:divBdr>
        <w:top w:val="none" w:sz="0" w:space="0" w:color="auto"/>
        <w:left w:val="none" w:sz="0" w:space="0" w:color="auto"/>
        <w:bottom w:val="none" w:sz="0" w:space="0" w:color="auto"/>
        <w:right w:val="none" w:sz="0" w:space="0" w:color="auto"/>
      </w:divBdr>
    </w:div>
    <w:div w:id="2070765031">
      <w:bodyDiv w:val="1"/>
      <w:marLeft w:val="0"/>
      <w:marRight w:val="0"/>
      <w:marTop w:val="0"/>
      <w:marBottom w:val="0"/>
      <w:divBdr>
        <w:top w:val="none" w:sz="0" w:space="0" w:color="auto"/>
        <w:left w:val="none" w:sz="0" w:space="0" w:color="auto"/>
        <w:bottom w:val="none" w:sz="0" w:space="0" w:color="auto"/>
        <w:right w:val="none" w:sz="0" w:space="0" w:color="auto"/>
      </w:divBdr>
    </w:div>
    <w:div w:id="2083940958">
      <w:bodyDiv w:val="1"/>
      <w:marLeft w:val="0"/>
      <w:marRight w:val="0"/>
      <w:marTop w:val="0"/>
      <w:marBottom w:val="0"/>
      <w:divBdr>
        <w:top w:val="none" w:sz="0" w:space="0" w:color="auto"/>
        <w:left w:val="none" w:sz="0" w:space="0" w:color="auto"/>
        <w:bottom w:val="none" w:sz="0" w:space="0" w:color="auto"/>
        <w:right w:val="none" w:sz="0" w:space="0" w:color="auto"/>
      </w:divBdr>
    </w:div>
    <w:div w:id="2089450960">
      <w:bodyDiv w:val="1"/>
      <w:marLeft w:val="0"/>
      <w:marRight w:val="0"/>
      <w:marTop w:val="0"/>
      <w:marBottom w:val="0"/>
      <w:divBdr>
        <w:top w:val="none" w:sz="0" w:space="0" w:color="auto"/>
        <w:left w:val="none" w:sz="0" w:space="0" w:color="auto"/>
        <w:bottom w:val="none" w:sz="0" w:space="0" w:color="auto"/>
        <w:right w:val="none" w:sz="0" w:space="0" w:color="auto"/>
      </w:divBdr>
    </w:div>
    <w:div w:id="2091392451">
      <w:bodyDiv w:val="1"/>
      <w:marLeft w:val="0"/>
      <w:marRight w:val="0"/>
      <w:marTop w:val="0"/>
      <w:marBottom w:val="0"/>
      <w:divBdr>
        <w:top w:val="none" w:sz="0" w:space="0" w:color="auto"/>
        <w:left w:val="none" w:sz="0" w:space="0" w:color="auto"/>
        <w:bottom w:val="none" w:sz="0" w:space="0" w:color="auto"/>
        <w:right w:val="none" w:sz="0" w:space="0" w:color="auto"/>
      </w:divBdr>
    </w:div>
    <w:div w:id="2147044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fx678.com/indexchart/indexchart.aspx?id=2074"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image" Target="media/image19.png"/></Relationships>
</file>

<file path=word/_rels/header2.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2546C-296B-42EC-A8F0-647AA3FF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4621</TotalTime>
  <Pages>14</Pages>
  <Words>1505</Words>
  <Characters>8585</Characters>
  <Application>Microsoft Office Word</Application>
  <DocSecurity>0</DocSecurity>
  <Lines>71</Lines>
  <Paragraphs>20</Paragraphs>
  <ScaleCrop>false</ScaleCrop>
  <Company>湖州163软件园</Company>
  <LinksUpToDate>false</LinksUpToDate>
  <CharactersWithSpaces>10070</CharactersWithSpaces>
  <SharedDoc>false</SharedDoc>
  <HLinks>
    <vt:vector size="18" baseType="variant">
      <vt:variant>
        <vt:i4>458827</vt:i4>
      </vt:variant>
      <vt:variant>
        <vt:i4>6</vt:i4>
      </vt:variant>
      <vt:variant>
        <vt:i4>0</vt:i4>
      </vt:variant>
      <vt:variant>
        <vt:i4>5</vt:i4>
      </vt:variant>
      <vt:variant>
        <vt:lpwstr>http://www.fx678.com/indexs/MainInterest.html</vt:lpwstr>
      </vt:variant>
      <vt:variant>
        <vt:lpwstr/>
      </vt:variant>
      <vt:variant>
        <vt:i4>8257606</vt:i4>
      </vt:variant>
      <vt:variant>
        <vt:i4>3</vt:i4>
      </vt:variant>
      <vt:variant>
        <vt:i4>0</vt:i4>
      </vt:variant>
      <vt:variant>
        <vt:i4>5</vt:i4>
      </vt:variant>
      <vt:variant>
        <vt:lpwstr>http://yinghang.gold678.com/china_bank.shtml</vt:lpwstr>
      </vt:variant>
      <vt:variant>
        <vt:lpwstr/>
      </vt:variant>
      <vt:variant>
        <vt:i4>7929968</vt:i4>
      </vt:variant>
      <vt:variant>
        <vt:i4>0</vt:i4>
      </vt:variant>
      <vt:variant>
        <vt:i4>0</vt:i4>
      </vt:variant>
      <vt:variant>
        <vt:i4>5</vt:i4>
      </vt:variant>
      <vt:variant>
        <vt:lpwstr>http://www.fx678.com/news/currency/EUR.html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策略月报</dc:title>
  <dc:subject/>
  <dc:creator>liuyq</dc:creator>
  <cp:keywords/>
  <dc:description/>
  <cp:lastModifiedBy>刘亦千:</cp:lastModifiedBy>
  <cp:revision>117</cp:revision>
  <cp:lastPrinted>2014-04-14T08:47:00Z</cp:lastPrinted>
  <dcterms:created xsi:type="dcterms:W3CDTF">2013-11-06T09:21:00Z</dcterms:created>
  <dcterms:modified xsi:type="dcterms:W3CDTF">2014-05-08T08:05:00Z</dcterms:modified>
</cp:coreProperties>
</file>