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00" w:rsidRPr="00FC54FE" w:rsidRDefault="00714F74" w:rsidP="00B10000">
      <w:pPr>
        <w:widowControl/>
        <w:spacing w:after="120" w:line="240" w:lineRule="exact"/>
        <w:ind w:left="3430"/>
        <w:rPr>
          <w:rFonts w:ascii="楷体" w:eastAsia="楷体" w:hAnsi="楷体" w:cs="Times New Roman"/>
          <w:b/>
          <w:bCs/>
          <w:color w:val="0070C0"/>
          <w:kern w:val="0"/>
          <w:sz w:val="24"/>
          <w:szCs w:val="20"/>
          <w:lang w:val="en-GB"/>
        </w:rPr>
      </w:pPr>
      <w:r>
        <w:rPr>
          <w:rFonts w:ascii="楷体" w:eastAsia="楷体" w:hAnsi="楷体" w:cs="Times New Roman"/>
          <w:b/>
          <w:bCs/>
          <w:noProof/>
          <w:color w:val="0070C0"/>
          <w:kern w:val="0"/>
          <w:sz w:val="24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.5pt;margin-top:284.2pt;width:148.5pt;height:275.6pt;z-index:251658240;mso-width-relative:margin;mso-height-relative:margin" strokecolor="white [3212]" strokeweight="0">
            <v:stroke dashstyle="1 1" endcap="round"/>
            <v:textbox style="mso-next-textbox:#_x0000_s2050">
              <w:txbxContent>
                <w:p w:rsidR="00DE2D65" w:rsidRPr="00635482" w:rsidRDefault="00DE2D65" w:rsidP="00DE2D65">
                  <w:pPr>
                    <w:rPr>
                      <w:rFonts w:ascii="楷体" w:eastAsia="楷体" w:hAnsi="楷体"/>
                      <w:b/>
                      <w:lang w:val="en-GB"/>
                    </w:rPr>
                  </w:pPr>
                  <w:r w:rsidRPr="00635482">
                    <w:rPr>
                      <w:rFonts w:ascii="楷体" w:eastAsia="楷体" w:hAnsi="楷体"/>
                      <w:b/>
                      <w:lang w:val="en-GB"/>
                    </w:rPr>
                    <w:t>凯石工场移动平台</w:t>
                  </w:r>
                  <w:r w:rsidRPr="00635482">
                    <w:rPr>
                      <w:rFonts w:ascii="楷体" w:eastAsia="楷体" w:hAnsi="楷体" w:hint="eastAsia"/>
                      <w:b/>
                      <w:lang w:val="en-GB"/>
                    </w:rPr>
                    <w:t>：</w:t>
                  </w:r>
                </w:p>
                <w:p w:rsidR="00DE2D65" w:rsidRPr="00635482" w:rsidRDefault="00DE2D65" w:rsidP="00DE2D65">
                  <w:pPr>
                    <w:rPr>
                      <w:rFonts w:ascii="楷体" w:eastAsia="楷体" w:hAnsi="楷体"/>
                      <w:lang w:val="en-GB"/>
                    </w:rPr>
                  </w:pPr>
                </w:p>
                <w:p w:rsidR="00DE2D65" w:rsidRPr="00635482" w:rsidRDefault="00DE2D65" w:rsidP="00DE2D65"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官方微博：</w:t>
                  </w:r>
                </w:p>
                <w:p w:rsidR="00DE2D65" w:rsidRPr="00635482" w:rsidRDefault="00DE2D65" w:rsidP="00DE2D65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凯石财富工场</w:t>
                  </w:r>
                </w:p>
                <w:p w:rsidR="00DE2D65" w:rsidRDefault="00DE2D65" w:rsidP="00DE2D65"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933450" cy="933450"/>
                        <wp:effectExtent l="19050" t="0" r="0" b="0"/>
                        <wp:docPr id="4" name="图片 5" descr="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3450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2D65" w:rsidRDefault="00DE2D65" w:rsidP="00DE2D65">
                  <w:pPr>
                    <w:rPr>
                      <w:rFonts w:ascii="楷体" w:eastAsia="楷体" w:hAnsi="楷体"/>
                      <w:b/>
                      <w:lang w:val="en-GB"/>
                    </w:rPr>
                  </w:pPr>
                </w:p>
                <w:p w:rsidR="00DE2D65" w:rsidRPr="00635482" w:rsidRDefault="00DE2D65" w:rsidP="00DE2D65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官方微信：</w:t>
                  </w:r>
                </w:p>
                <w:p w:rsidR="00DE2D65" w:rsidRPr="00635482" w:rsidRDefault="00DE2D65" w:rsidP="00DE2D65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凯石财富知音订阅号</w:t>
                  </w:r>
                </w:p>
                <w:p w:rsidR="00DE2D65" w:rsidRDefault="00DE2D65" w:rsidP="00DE2D65">
                  <w:r w:rsidRPr="00635482">
                    <w:rPr>
                      <w:rFonts w:ascii="楷体" w:eastAsia="楷体" w:hAnsi="楷体"/>
                      <w:b/>
                      <w:noProof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6" name="图片 7" descr="凯石财富知音订阅号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凯石财富知音订阅号3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70401" w:rsidRPr="00FC54FE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导语</w:t>
      </w:r>
    </w:p>
    <w:p w:rsidR="0015030D" w:rsidRDefault="00193C25" w:rsidP="00F10CBF">
      <w:pPr>
        <w:pStyle w:val="ab"/>
        <w:spacing w:after="163"/>
        <w:ind w:firstLineChars="200" w:firstLine="420"/>
        <w:rPr>
          <w:rFonts w:ascii="楷体" w:eastAsia="楷体" w:hAnsi="楷体"/>
          <w:color w:val="auto"/>
        </w:rPr>
      </w:pPr>
      <w:r w:rsidRPr="0034660C">
        <w:rPr>
          <w:rFonts w:eastAsia="楷体" w:cs="Arial" w:hint="eastAsia"/>
        </w:rPr>
        <w:t>回顾</w:t>
      </w:r>
      <w:r w:rsidRPr="0034660C">
        <w:rPr>
          <w:rFonts w:eastAsia="楷体" w:cs="Arial" w:hint="eastAsia"/>
        </w:rPr>
        <w:t>1</w:t>
      </w:r>
      <w:r w:rsidRPr="0034660C">
        <w:rPr>
          <w:rFonts w:eastAsia="楷体" w:cs="Arial" w:hint="eastAsia"/>
        </w:rPr>
        <w:t>季度，全球经济弱复苏，</w:t>
      </w:r>
      <w:r w:rsidRPr="0034660C">
        <w:rPr>
          <w:rFonts w:eastAsia="楷体" w:cs="Arial"/>
        </w:rPr>
        <w:t>市场表现先强后弱。</w:t>
      </w:r>
      <w:r w:rsidRPr="0034660C">
        <w:rPr>
          <w:rFonts w:eastAsia="楷体" w:cs="Arial" w:hint="eastAsia"/>
        </w:rPr>
        <w:t>79</w:t>
      </w:r>
      <w:r w:rsidRPr="0034660C">
        <w:rPr>
          <w:rFonts w:eastAsia="楷体" w:cs="Arial" w:hint="eastAsia"/>
        </w:rPr>
        <w:t>只</w:t>
      </w:r>
      <w:r w:rsidRPr="0034660C">
        <w:rPr>
          <w:rFonts w:eastAsia="楷体" w:cs="Arial"/>
        </w:rPr>
        <w:t>QDII</w:t>
      </w:r>
      <w:r w:rsidRPr="0034660C">
        <w:rPr>
          <w:rFonts w:eastAsia="楷体" w:cs="Arial"/>
        </w:rPr>
        <w:t>基金</w:t>
      </w:r>
      <w:r w:rsidRPr="0034660C">
        <w:rPr>
          <w:rFonts w:eastAsia="楷体" w:cs="Arial"/>
        </w:rPr>
        <w:t>1</w:t>
      </w:r>
      <w:r w:rsidRPr="0034660C">
        <w:rPr>
          <w:rFonts w:eastAsia="楷体" w:cs="Arial" w:hint="eastAsia"/>
        </w:rPr>
        <w:t>季度平均收益</w:t>
      </w:r>
      <w:r w:rsidRPr="0034660C">
        <w:rPr>
          <w:rFonts w:eastAsia="楷体" w:cs="Arial"/>
        </w:rPr>
        <w:t>0.</w:t>
      </w:r>
      <w:r w:rsidRPr="0034660C">
        <w:rPr>
          <w:rFonts w:eastAsia="楷体" w:cs="Arial" w:hint="eastAsia"/>
        </w:rPr>
        <w:t>79</w:t>
      </w:r>
      <w:r w:rsidRPr="0034660C">
        <w:rPr>
          <w:rFonts w:eastAsia="楷体" w:cs="Arial"/>
        </w:rPr>
        <w:t>%</w:t>
      </w:r>
      <w:r w:rsidRPr="0034660C">
        <w:rPr>
          <w:rFonts w:eastAsia="楷体" w:cs="Arial" w:hint="eastAsia"/>
        </w:rPr>
        <w:t>，在投资细分区域和行业板块上表现明显分化。</w:t>
      </w:r>
      <w:r w:rsidRPr="0068284E">
        <w:rPr>
          <w:rFonts w:eastAsia="楷体" w:hAnsi="楷体" w:cs="Arial"/>
        </w:rPr>
        <w:t>投资</w:t>
      </w:r>
      <w:r>
        <w:rPr>
          <w:rFonts w:eastAsia="楷体" w:hAnsi="楷体" w:cs="Arial"/>
        </w:rPr>
        <w:t>美股的</w:t>
      </w:r>
      <w:r w:rsidRPr="0068284E">
        <w:rPr>
          <w:rFonts w:eastAsia="楷体" w:cs="Arial"/>
        </w:rPr>
        <w:t>QDII</w:t>
      </w:r>
      <w:r w:rsidRPr="0068284E">
        <w:rPr>
          <w:rFonts w:eastAsia="楷体" w:hAnsi="楷体" w:cs="Arial"/>
        </w:rPr>
        <w:t>平均增长率</w:t>
      </w:r>
      <w:r w:rsidRPr="0068284E">
        <w:rPr>
          <w:rFonts w:eastAsia="楷体" w:cs="Arial"/>
        </w:rPr>
        <w:t>2.54%</w:t>
      </w:r>
      <w:r>
        <w:rPr>
          <w:rFonts w:eastAsia="楷体" w:hAnsi="楷体" w:cs="Arial"/>
        </w:rPr>
        <w:t>，以</w:t>
      </w:r>
      <w:r w:rsidRPr="0068284E">
        <w:rPr>
          <w:rFonts w:eastAsia="楷体" w:hAnsi="楷体" w:cs="Arial"/>
        </w:rPr>
        <w:t>房地产信托为主的鹏华美国房地产、广发美国房地产人民币</w:t>
      </w:r>
      <w:r>
        <w:rPr>
          <w:rFonts w:eastAsia="楷体" w:hAnsi="楷体" w:cs="Arial"/>
        </w:rPr>
        <w:t>涨幅</w:t>
      </w:r>
      <w:r w:rsidRPr="0068284E">
        <w:rPr>
          <w:rFonts w:eastAsia="楷体" w:hAnsi="楷体" w:cs="Arial"/>
        </w:rPr>
        <w:t>领先，</w:t>
      </w:r>
      <w:r>
        <w:rPr>
          <w:rFonts w:eastAsia="楷体" w:hAnsi="楷体" w:cs="Arial"/>
        </w:rPr>
        <w:t>皆</w:t>
      </w:r>
      <w:r w:rsidRPr="0068284E">
        <w:rPr>
          <w:rFonts w:eastAsia="楷体" w:hAnsi="楷体" w:cs="Arial"/>
        </w:rPr>
        <w:t>在</w:t>
      </w:r>
      <w:r w:rsidRPr="0068284E">
        <w:rPr>
          <w:rFonts w:eastAsia="楷体" w:cs="Arial"/>
        </w:rPr>
        <w:t>10%</w:t>
      </w:r>
      <w:r w:rsidRPr="0068284E">
        <w:rPr>
          <w:rFonts w:eastAsia="楷体" w:hAnsi="楷体" w:cs="Arial"/>
        </w:rPr>
        <w:t>上下；大成标普</w:t>
      </w:r>
      <w:r w:rsidRPr="0068284E">
        <w:rPr>
          <w:rFonts w:eastAsia="楷体" w:cs="Arial"/>
        </w:rPr>
        <w:t>500</w:t>
      </w:r>
      <w:r w:rsidRPr="0068284E">
        <w:rPr>
          <w:rFonts w:eastAsia="楷体" w:hAnsi="楷体" w:cs="Arial"/>
        </w:rPr>
        <w:t>和博时标普</w:t>
      </w:r>
      <w:r w:rsidRPr="0068284E">
        <w:rPr>
          <w:rFonts w:eastAsia="楷体" w:cs="Arial"/>
        </w:rPr>
        <w:t>500</w:t>
      </w:r>
      <w:r w:rsidRPr="0068284E">
        <w:rPr>
          <w:rFonts w:eastAsia="楷体" w:hAnsi="楷体" w:cs="Arial"/>
        </w:rPr>
        <w:t>联接基金分别取得</w:t>
      </w:r>
      <w:r w:rsidRPr="0068284E">
        <w:rPr>
          <w:rFonts w:eastAsia="楷体" w:cs="Arial"/>
        </w:rPr>
        <w:t>3.2%</w:t>
      </w:r>
      <w:r w:rsidRPr="0068284E">
        <w:rPr>
          <w:rFonts w:eastAsia="楷体" w:hAnsi="楷体" w:cs="Arial"/>
        </w:rPr>
        <w:t>和</w:t>
      </w:r>
      <w:r w:rsidRPr="0068284E">
        <w:rPr>
          <w:rFonts w:eastAsia="楷体" w:cs="Arial"/>
        </w:rPr>
        <w:t>3.01%</w:t>
      </w:r>
      <w:r w:rsidRPr="0068284E">
        <w:rPr>
          <w:rFonts w:eastAsia="楷体" w:hAnsi="楷体" w:cs="Arial"/>
        </w:rPr>
        <w:t>的业绩。商品类</w:t>
      </w:r>
      <w:r w:rsidRPr="0034660C">
        <w:rPr>
          <w:rFonts w:eastAsia="楷体" w:hAnsi="楷体" w:cs="Arial"/>
        </w:rPr>
        <w:t>QDII</w:t>
      </w:r>
      <w:r w:rsidRPr="0034660C">
        <w:rPr>
          <w:rFonts w:eastAsia="楷体" w:hAnsi="楷体" w:cs="Arial"/>
        </w:rPr>
        <w:t>成为了</w:t>
      </w:r>
      <w:r w:rsidRPr="0068284E">
        <w:rPr>
          <w:rFonts w:eastAsia="楷体" w:hAnsi="楷体" w:cs="Arial"/>
        </w:rPr>
        <w:t>今年</w:t>
      </w:r>
      <w:r w:rsidRPr="0034660C">
        <w:rPr>
          <w:rFonts w:eastAsia="楷体" w:hAnsi="楷体" w:cs="Arial"/>
        </w:rPr>
        <w:t>1</w:t>
      </w:r>
      <w:r w:rsidRPr="0068284E">
        <w:rPr>
          <w:rFonts w:eastAsia="楷体" w:hAnsi="楷体" w:cs="Arial"/>
        </w:rPr>
        <w:t>季度表现最好的</w:t>
      </w:r>
      <w:r>
        <w:rPr>
          <w:rFonts w:eastAsia="楷体" w:hAnsi="楷体" w:cs="Arial"/>
        </w:rPr>
        <w:t>类别，平均业绩</w:t>
      </w:r>
      <w:r w:rsidRPr="0034660C">
        <w:rPr>
          <w:rFonts w:eastAsia="楷体" w:hAnsi="楷体" w:cs="Arial"/>
        </w:rPr>
        <w:t>5.59%</w:t>
      </w:r>
      <w:r>
        <w:rPr>
          <w:rFonts w:eastAsia="楷体" w:hAnsi="楷体" w:cs="Arial"/>
        </w:rPr>
        <w:t>，</w:t>
      </w:r>
      <w:r w:rsidRPr="009262D1">
        <w:rPr>
          <w:rFonts w:eastAsia="楷体" w:hAnsi="楷体" w:cs="Arial" w:hint="eastAsia"/>
        </w:rPr>
        <w:t>信诚全球商品主题</w:t>
      </w:r>
      <w:r w:rsidRPr="0068284E">
        <w:rPr>
          <w:rFonts w:eastAsia="楷体" w:hAnsi="楷体" w:cs="Arial"/>
        </w:rPr>
        <w:t>、博时抗通胀和诺安全球黄金表现出色。投资于亚太（除日本）及新兴市场（如金砖四国）的</w:t>
      </w:r>
      <w:r>
        <w:rPr>
          <w:rFonts w:eastAsia="楷体" w:hAnsi="楷体" w:cs="Arial" w:hint="eastAsia"/>
        </w:rPr>
        <w:t>20</w:t>
      </w:r>
      <w:r>
        <w:rPr>
          <w:rFonts w:eastAsia="楷体" w:hAnsi="楷体" w:cs="Arial" w:hint="eastAsia"/>
        </w:rPr>
        <w:t>只</w:t>
      </w:r>
      <w:r w:rsidRPr="0068284E">
        <w:rPr>
          <w:rFonts w:eastAsia="楷体" w:cs="Arial"/>
        </w:rPr>
        <w:t>QDII</w:t>
      </w:r>
      <w:r w:rsidRPr="0068284E">
        <w:rPr>
          <w:rFonts w:eastAsia="楷体" w:hAnsi="楷体" w:cs="Arial"/>
        </w:rPr>
        <w:t>基金整体业绩较差，</w:t>
      </w:r>
      <w:r>
        <w:rPr>
          <w:rFonts w:eastAsia="楷体" w:hAnsi="楷体" w:cs="Arial" w:hint="eastAsia"/>
        </w:rPr>
        <w:t>季度</w:t>
      </w:r>
      <w:r w:rsidRPr="0068284E">
        <w:rPr>
          <w:rFonts w:eastAsia="楷体" w:hAnsi="楷体" w:cs="Arial"/>
        </w:rPr>
        <w:t>平均净值增长率</w:t>
      </w:r>
      <w:r>
        <w:rPr>
          <w:rFonts w:eastAsia="楷体" w:hAnsi="楷体" w:cs="Arial"/>
        </w:rPr>
        <w:t>仅</w:t>
      </w:r>
      <w:r w:rsidRPr="0068284E">
        <w:rPr>
          <w:rFonts w:eastAsia="楷体" w:hAnsi="楷体" w:cs="Arial"/>
        </w:rPr>
        <w:t>为</w:t>
      </w:r>
      <w:r w:rsidRPr="0068284E">
        <w:rPr>
          <w:rFonts w:eastAsia="楷体" w:cs="Arial"/>
        </w:rPr>
        <w:t>-1.16%</w:t>
      </w:r>
      <w:r w:rsidR="00F10CBF" w:rsidRPr="00F10CBF">
        <w:rPr>
          <w:rFonts w:ascii="楷体" w:eastAsia="楷体" w:hAnsi="楷体" w:hint="eastAsia"/>
          <w:color w:val="auto"/>
        </w:rPr>
        <w:t>。</w:t>
      </w:r>
    </w:p>
    <w:p w:rsidR="00193C25" w:rsidRPr="00193C25" w:rsidRDefault="00193C25" w:rsidP="00193C25">
      <w:pPr>
        <w:pStyle w:val="ab"/>
        <w:spacing w:after="163"/>
        <w:ind w:firstLineChars="200" w:firstLine="420"/>
        <w:rPr>
          <w:rFonts w:eastAsia="楷体" w:hAnsi="楷体" w:cs="Arial"/>
        </w:rPr>
      </w:pPr>
      <w:r w:rsidRPr="00193C25">
        <w:rPr>
          <w:rFonts w:eastAsia="楷体" w:hAnsi="楷体" w:cs="Arial" w:hint="eastAsia"/>
        </w:rPr>
        <w:t>全球经济增长动力明显向发达经济体转移。其中，美国经济复苏预期较为明朗，房地产市场和非农就业、制造业等数据持续回暖，助推市场长期向好。</w:t>
      </w:r>
      <w:r w:rsidRPr="008C5E6B">
        <w:rPr>
          <w:rFonts w:eastAsia="楷体" w:hAnsi="楷体" w:cs="Arial"/>
        </w:rPr>
        <w:t>我们依旧维持对美股指数基金的重点推荐。</w:t>
      </w:r>
      <w:r w:rsidRPr="00193C25">
        <w:rPr>
          <w:rFonts w:eastAsia="楷体" w:hAnsi="楷体" w:cs="Arial" w:hint="eastAsia"/>
        </w:rPr>
        <w:t>欧元区经济数据虽在二季度伊始显示良好势头，</w:t>
      </w:r>
      <w:r>
        <w:rPr>
          <w:rFonts w:eastAsia="楷体" w:hAnsi="楷体" w:cs="Arial" w:hint="eastAsia"/>
        </w:rPr>
        <w:t>但</w:t>
      </w:r>
      <w:r w:rsidRPr="00193C25">
        <w:rPr>
          <w:rFonts w:eastAsia="楷体" w:hAnsi="楷体" w:cs="Arial" w:hint="eastAsia"/>
        </w:rPr>
        <w:t>物价通缩或对经济回温构成不利影响，更重要的是</w:t>
      </w:r>
      <w:r>
        <w:rPr>
          <w:rFonts w:eastAsia="楷体" w:hAnsi="楷体" w:cs="Arial" w:hint="eastAsia"/>
        </w:rPr>
        <w:t>克里米亚危机目前有加剧趋势，包括</w:t>
      </w:r>
      <w:r w:rsidRPr="00193C25">
        <w:rPr>
          <w:rFonts w:eastAsia="楷体" w:hAnsi="楷体" w:cs="Arial" w:hint="eastAsia"/>
        </w:rPr>
        <w:t>风险的力度和持续性都有所加剧，因此我们</w:t>
      </w:r>
      <w:r>
        <w:rPr>
          <w:rFonts w:eastAsia="楷体" w:hAnsi="楷体" w:cs="Arial" w:hint="eastAsia"/>
        </w:rPr>
        <w:t>建议短期内对欧洲市场采取回避态度</w:t>
      </w:r>
      <w:r w:rsidRPr="00193C25">
        <w:rPr>
          <w:rFonts w:eastAsia="楷体" w:hAnsi="楷体" w:cs="Arial" w:hint="eastAsia"/>
        </w:rPr>
        <w:t>。</w:t>
      </w:r>
      <w:r w:rsidRPr="00B3338A">
        <w:rPr>
          <w:rFonts w:eastAsia="楷体" w:hAnsi="楷体" w:cs="Arial" w:hint="eastAsia"/>
        </w:rPr>
        <w:t>在美房数据创新高的背景下，</w:t>
      </w:r>
      <w:r>
        <w:rPr>
          <w:rFonts w:eastAsia="楷体" w:hAnsi="楷体" w:cs="Arial" w:hint="eastAsia"/>
        </w:rPr>
        <w:t>美</w:t>
      </w:r>
      <w:r w:rsidRPr="00B3338A">
        <w:rPr>
          <w:rFonts w:eastAsia="楷体" w:hAnsi="楷体" w:cs="Arial" w:hint="eastAsia"/>
        </w:rPr>
        <w:t>房地产</w:t>
      </w:r>
      <w:r w:rsidRPr="00B3338A">
        <w:rPr>
          <w:rFonts w:eastAsia="楷体" w:hAnsi="楷体" w:cs="Arial" w:hint="eastAsia"/>
        </w:rPr>
        <w:t>QDII</w:t>
      </w:r>
      <w:r>
        <w:rPr>
          <w:rFonts w:eastAsia="楷体" w:hAnsi="楷体" w:cs="Arial" w:hint="eastAsia"/>
        </w:rPr>
        <w:t>基金的投资价值凸显，建议投资者可择其绩优者以提高基金组合的向上弹性。</w:t>
      </w:r>
    </w:p>
    <w:p w:rsidR="00193C25" w:rsidRPr="00193C25" w:rsidRDefault="00193C25" w:rsidP="00193C25">
      <w:pPr>
        <w:pStyle w:val="ab"/>
        <w:spacing w:after="163"/>
        <w:ind w:firstLineChars="200" w:firstLine="420"/>
        <w:rPr>
          <w:rFonts w:eastAsia="楷体" w:hAnsi="楷体" w:cs="Arial"/>
        </w:rPr>
      </w:pPr>
      <w:r w:rsidRPr="00193C25">
        <w:rPr>
          <w:rFonts w:eastAsia="楷体" w:hAnsi="楷体" w:cs="Arial" w:hint="eastAsia"/>
        </w:rPr>
        <w:t>新兴市场尽管目前估值处于历史洼地，具备一定上修动力，但仍然面临着经济增速下滑和资本持续外逃的双重压力。中国等市场的政策红利刺激或可短期改善其市场表现，但不足以提供强有力的反弹支撑，因此</w:t>
      </w:r>
      <w:r w:rsidRPr="00193C25">
        <w:rPr>
          <w:rFonts w:eastAsia="楷体" w:hAnsi="楷体" w:cs="Arial"/>
        </w:rPr>
        <w:t>建议继续规避。鉴于</w:t>
      </w:r>
      <w:r w:rsidRPr="00193C25">
        <w:rPr>
          <w:rFonts w:eastAsia="楷体" w:hAnsi="楷体" w:cs="Arial" w:hint="eastAsia"/>
        </w:rPr>
        <w:t>沪港通或在</w:t>
      </w:r>
      <w:r w:rsidRPr="00193C25">
        <w:rPr>
          <w:rFonts w:eastAsia="楷体" w:hAnsi="楷体" w:cs="Arial" w:hint="eastAsia"/>
        </w:rPr>
        <w:t>10</w:t>
      </w:r>
      <w:r w:rsidRPr="00193C25">
        <w:rPr>
          <w:rFonts w:eastAsia="楷体" w:hAnsi="楷体" w:cs="Arial" w:hint="eastAsia"/>
        </w:rPr>
        <w:t>月启动，对于投资香港市场</w:t>
      </w:r>
      <w:r w:rsidRPr="00193C25">
        <w:rPr>
          <w:rFonts w:eastAsia="楷体" w:hAnsi="楷体" w:cs="Arial" w:hint="eastAsia"/>
        </w:rPr>
        <w:t>QDII</w:t>
      </w:r>
      <w:r w:rsidRPr="00193C25">
        <w:rPr>
          <w:rFonts w:eastAsia="楷体" w:hAnsi="楷体" w:cs="Arial" w:hint="eastAsia"/>
        </w:rPr>
        <w:t>形成利好，投资者可适当关注香港蓝筹股</w:t>
      </w:r>
      <w:r w:rsidRPr="00193C25">
        <w:rPr>
          <w:rFonts w:eastAsia="楷体" w:hAnsi="楷体" w:cs="Arial" w:hint="eastAsia"/>
        </w:rPr>
        <w:t>QDII</w:t>
      </w:r>
      <w:r w:rsidRPr="00193C25">
        <w:rPr>
          <w:rFonts w:eastAsia="楷体" w:hAnsi="楷体" w:cs="Arial" w:hint="eastAsia"/>
        </w:rPr>
        <w:t>。</w:t>
      </w:r>
    </w:p>
    <w:p w:rsidR="00193C25" w:rsidRPr="00193C25" w:rsidRDefault="00193C25" w:rsidP="00193C25">
      <w:pPr>
        <w:pStyle w:val="ab"/>
        <w:spacing w:after="163"/>
        <w:ind w:firstLineChars="200" w:firstLine="420"/>
        <w:rPr>
          <w:rFonts w:eastAsia="楷体" w:hAnsi="楷体" w:cs="Arial"/>
        </w:rPr>
      </w:pPr>
      <w:r w:rsidRPr="00193C25">
        <w:rPr>
          <w:rFonts w:eastAsia="楷体" w:hAnsi="楷体" w:cs="Arial" w:hint="eastAsia"/>
        </w:rPr>
        <w:t>综上，</w:t>
      </w:r>
      <w:r w:rsidRPr="00193C25">
        <w:rPr>
          <w:rFonts w:eastAsia="楷体" w:hAnsi="楷体" w:cs="Arial" w:hint="eastAsia"/>
        </w:rPr>
        <w:t>5</w:t>
      </w:r>
      <w:r w:rsidRPr="00193C25">
        <w:rPr>
          <w:rFonts w:eastAsia="楷体" w:hAnsi="楷体" w:cs="Arial" w:hint="eastAsia"/>
        </w:rPr>
        <w:t>月份</w:t>
      </w:r>
      <w:r w:rsidRPr="00193C25">
        <w:rPr>
          <w:rFonts w:eastAsia="楷体" w:hAnsi="楷体" w:cs="Arial" w:hint="eastAsia"/>
        </w:rPr>
        <w:t>QDII</w:t>
      </w:r>
      <w:r w:rsidRPr="00193C25">
        <w:rPr>
          <w:rFonts w:eastAsia="楷体" w:hAnsi="楷体" w:cs="Arial" w:hint="eastAsia"/>
        </w:rPr>
        <w:t>投资建议主要配置美股指数基金，以及重点投资</w:t>
      </w:r>
      <w:r>
        <w:rPr>
          <w:rFonts w:eastAsia="楷体" w:hAnsi="楷体" w:cs="Arial"/>
        </w:rPr>
        <w:t>美国</w:t>
      </w:r>
      <w:r w:rsidRPr="0068284E">
        <w:rPr>
          <w:rFonts w:eastAsia="楷体" w:hAnsi="楷体" w:cs="Arial"/>
        </w:rPr>
        <w:t>房地产</w:t>
      </w:r>
      <w:r>
        <w:rPr>
          <w:rFonts w:eastAsia="楷体" w:hAnsi="楷体" w:cs="Arial"/>
        </w:rPr>
        <w:t>行业股票及</w:t>
      </w:r>
      <w:r w:rsidRPr="00193C25">
        <w:rPr>
          <w:rFonts w:eastAsia="楷体" w:hAnsi="楷体" w:cs="Arial"/>
        </w:rPr>
        <w:t>Reits</w:t>
      </w:r>
      <w:r>
        <w:rPr>
          <w:rFonts w:eastAsia="楷体" w:hAnsi="楷体" w:cs="Arial"/>
        </w:rPr>
        <w:t>的基金品种</w:t>
      </w:r>
      <w:r w:rsidRPr="00193C25">
        <w:rPr>
          <w:rFonts w:eastAsia="楷体" w:hAnsi="楷体" w:cs="Arial" w:hint="eastAsia"/>
        </w:rPr>
        <w:t>。具体产品推荐国泰纳斯达克</w:t>
      </w:r>
      <w:r w:rsidRPr="00193C25">
        <w:rPr>
          <w:rFonts w:eastAsia="楷体" w:hAnsi="楷体" w:cs="Arial" w:hint="eastAsia"/>
        </w:rPr>
        <w:t>100</w:t>
      </w:r>
      <w:r w:rsidRPr="00193C25">
        <w:rPr>
          <w:rFonts w:eastAsia="楷体" w:hAnsi="楷体" w:cs="Arial" w:hint="eastAsia"/>
        </w:rPr>
        <w:t>指数基金、大成标普</w:t>
      </w:r>
      <w:r w:rsidRPr="00193C25">
        <w:rPr>
          <w:rFonts w:eastAsia="楷体" w:hAnsi="楷体" w:cs="Arial" w:hint="eastAsia"/>
        </w:rPr>
        <w:t>500</w:t>
      </w:r>
      <w:r w:rsidRPr="00193C25">
        <w:rPr>
          <w:rFonts w:eastAsia="楷体" w:hAnsi="楷体" w:cs="Arial" w:hint="eastAsia"/>
        </w:rPr>
        <w:t>等权重指数基金、鹏华</w:t>
      </w:r>
      <w:r w:rsidR="00B84D2D">
        <w:rPr>
          <w:rFonts w:eastAsia="楷体" w:hAnsi="楷体" w:cs="Arial" w:hint="eastAsia"/>
        </w:rPr>
        <w:t>美国</w:t>
      </w:r>
      <w:r w:rsidRPr="00193C25">
        <w:rPr>
          <w:rFonts w:eastAsia="楷体" w:hAnsi="楷体" w:cs="Arial" w:hint="eastAsia"/>
        </w:rPr>
        <w:t>房地产基金。</w:t>
      </w:r>
    </w:p>
    <w:p w:rsidR="008055B6" w:rsidRDefault="008055B6" w:rsidP="00A70401">
      <w:pPr>
        <w:widowControl/>
        <w:spacing w:after="120" w:line="240" w:lineRule="exact"/>
        <w:ind w:left="3430"/>
        <w:rPr>
          <w:rFonts w:ascii="楷体" w:eastAsia="楷体" w:hAnsi="楷体" w:cs="Times New Roman"/>
          <w:b/>
          <w:bCs/>
          <w:color w:val="0070C0"/>
          <w:kern w:val="0"/>
          <w:sz w:val="24"/>
          <w:szCs w:val="20"/>
          <w:lang w:val="en-GB"/>
        </w:rPr>
      </w:pPr>
      <w:r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一、QDII基金1</w:t>
      </w:r>
      <w:r w:rsidR="00A67FBE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季度回顾</w:t>
      </w:r>
    </w:p>
    <w:p w:rsidR="008055B6" w:rsidRPr="00C22A4D" w:rsidRDefault="0043613D" w:rsidP="00C22A4D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43613D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1</w:t>
      </w:r>
      <w:r w:rsidR="005F68F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、发行</w:t>
      </w:r>
      <w:r w:rsidR="00A67FBE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：</w:t>
      </w:r>
      <w:r w:rsidR="005F68F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热情暂</w:t>
      </w:r>
      <w:r w:rsidR="00A67FBE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退</w:t>
      </w:r>
      <w:r w:rsidR="005F68F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，美股基金净申购</w:t>
      </w:r>
    </w:p>
    <w:p w:rsidR="00E7175E" w:rsidRPr="0034660C" w:rsidRDefault="005F68FB" w:rsidP="0034660C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34660C">
        <w:rPr>
          <w:rFonts w:eastAsia="楷体" w:cs="Arial"/>
        </w:rPr>
        <w:t>2014</w:t>
      </w:r>
      <w:r w:rsidRPr="0034660C">
        <w:rPr>
          <w:rFonts w:eastAsia="楷体" w:hAnsi="楷体" w:cs="Arial"/>
        </w:rPr>
        <w:t>年</w:t>
      </w:r>
      <w:r w:rsidRPr="0034660C">
        <w:rPr>
          <w:rFonts w:eastAsia="楷体" w:cs="Arial"/>
        </w:rPr>
        <w:t>1</w:t>
      </w:r>
      <w:r w:rsidRPr="0034660C">
        <w:rPr>
          <w:rFonts w:eastAsia="楷体" w:hAnsi="楷体" w:cs="Arial"/>
        </w:rPr>
        <w:t>季度</w:t>
      </w:r>
      <w:r w:rsidR="000E6676" w:rsidRPr="0034660C">
        <w:rPr>
          <w:rFonts w:eastAsia="楷体" w:hAnsi="楷体" w:cs="Arial"/>
        </w:rPr>
        <w:t>，</w:t>
      </w:r>
      <w:r w:rsidR="00E7175E" w:rsidRPr="0034660C">
        <w:rPr>
          <w:rFonts w:eastAsia="楷体" w:cs="Arial"/>
        </w:rPr>
        <w:t>QDII</w:t>
      </w:r>
      <w:r w:rsidRPr="0034660C">
        <w:rPr>
          <w:rFonts w:eastAsia="楷体" w:hAnsi="楷体" w:cs="Arial"/>
        </w:rPr>
        <w:t>基金发行热情有所退潮</w:t>
      </w:r>
      <w:r w:rsidR="000E6676" w:rsidRPr="0034660C">
        <w:rPr>
          <w:rFonts w:eastAsia="楷体" w:hAnsi="楷体" w:cs="Arial"/>
        </w:rPr>
        <w:t>。</w:t>
      </w:r>
      <w:r w:rsidR="0066346C" w:rsidRPr="0034660C">
        <w:rPr>
          <w:rFonts w:eastAsia="楷体" w:hAnsi="楷体" w:cs="Arial"/>
        </w:rPr>
        <w:t>因运作环境不甚理想，凯石工场统计</w:t>
      </w:r>
      <w:r w:rsidRPr="0034660C">
        <w:rPr>
          <w:rFonts w:eastAsia="楷体" w:hAnsi="楷体" w:cs="Arial"/>
        </w:rPr>
        <w:t>全季度仅新成立</w:t>
      </w:r>
      <w:r w:rsidR="006C1184" w:rsidRPr="0034660C">
        <w:rPr>
          <w:rFonts w:eastAsia="楷体" w:hAnsi="楷体" w:cs="Arial"/>
        </w:rPr>
        <w:t>了汇添富恒生指数这</w:t>
      </w:r>
      <w:r w:rsidRPr="0034660C">
        <w:rPr>
          <w:rFonts w:eastAsia="楷体" w:cs="Arial"/>
        </w:rPr>
        <w:t>1</w:t>
      </w:r>
      <w:r w:rsidRPr="0034660C">
        <w:rPr>
          <w:rFonts w:eastAsia="楷体" w:hAnsi="楷体" w:cs="Arial"/>
        </w:rPr>
        <w:t>只基金</w:t>
      </w:r>
      <w:r w:rsidR="0066346C" w:rsidRPr="0034660C">
        <w:rPr>
          <w:rFonts w:eastAsia="楷体" w:hAnsi="楷体" w:cs="Arial"/>
        </w:rPr>
        <w:t>。该基金</w:t>
      </w:r>
      <w:r w:rsidR="000E6676" w:rsidRPr="0034660C">
        <w:rPr>
          <w:rFonts w:eastAsia="楷体" w:hAnsi="楷体" w:cs="Arial"/>
        </w:rPr>
        <w:t>募集份额</w:t>
      </w:r>
      <w:r w:rsidR="00E7175E" w:rsidRPr="0034660C">
        <w:rPr>
          <w:rFonts w:eastAsia="楷体" w:cs="Arial"/>
        </w:rPr>
        <w:t>12.71</w:t>
      </w:r>
      <w:r w:rsidR="00A44F81" w:rsidRPr="0034660C">
        <w:rPr>
          <w:rFonts w:eastAsia="楷体" w:hAnsi="楷体" w:cs="Arial"/>
        </w:rPr>
        <w:t>亿份</w:t>
      </w:r>
      <w:r w:rsidR="00E7175E" w:rsidRPr="0034660C">
        <w:rPr>
          <w:rFonts w:eastAsia="楷体" w:hAnsi="楷体" w:cs="Arial"/>
        </w:rPr>
        <w:t>创</w:t>
      </w:r>
      <w:r w:rsidR="00A44F81" w:rsidRPr="0034660C">
        <w:rPr>
          <w:rFonts w:eastAsia="楷体" w:hAnsi="楷体" w:cs="Arial"/>
        </w:rPr>
        <w:t>下了</w:t>
      </w:r>
      <w:r w:rsidR="00E7175E" w:rsidRPr="0034660C">
        <w:rPr>
          <w:rFonts w:eastAsia="楷体" w:cs="Arial"/>
        </w:rPr>
        <w:t>2013</w:t>
      </w:r>
      <w:r w:rsidR="00E7175E" w:rsidRPr="0034660C">
        <w:rPr>
          <w:rFonts w:eastAsia="楷体" w:hAnsi="楷体" w:cs="Arial"/>
        </w:rPr>
        <w:t>年</w:t>
      </w:r>
      <w:r w:rsidR="00E7175E" w:rsidRPr="0034660C">
        <w:rPr>
          <w:rFonts w:eastAsia="楷体" w:cs="Arial"/>
        </w:rPr>
        <w:t>3</w:t>
      </w:r>
      <w:r w:rsidR="00E7175E" w:rsidRPr="0034660C">
        <w:rPr>
          <w:rFonts w:eastAsia="楷体" w:hAnsi="楷体" w:cs="Arial"/>
        </w:rPr>
        <w:t>月以来单只</w:t>
      </w:r>
      <w:r w:rsidR="00E7175E" w:rsidRPr="0034660C">
        <w:rPr>
          <w:rFonts w:eastAsia="楷体" w:cs="Arial"/>
        </w:rPr>
        <w:t>QDII</w:t>
      </w:r>
      <w:r w:rsidR="000E6676" w:rsidRPr="0034660C">
        <w:rPr>
          <w:rFonts w:eastAsia="楷体" w:hAnsi="楷体" w:cs="Arial"/>
        </w:rPr>
        <w:t>募集规模的新高</w:t>
      </w:r>
      <w:r w:rsidR="00E7175E" w:rsidRPr="0034660C">
        <w:rPr>
          <w:rFonts w:eastAsia="楷体" w:hAnsi="楷体" w:cs="Arial"/>
        </w:rPr>
        <w:t>。</w:t>
      </w:r>
      <w:r w:rsidR="005F6BD4" w:rsidRPr="0034660C">
        <w:rPr>
          <w:rFonts w:eastAsia="楷体" w:hAnsi="楷体" w:cs="Arial"/>
        </w:rPr>
        <w:t>整体来看，</w:t>
      </w:r>
      <w:r w:rsidR="005F6BD4" w:rsidRPr="0034660C">
        <w:rPr>
          <w:rFonts w:eastAsia="楷体" w:cs="Arial"/>
        </w:rPr>
        <w:t>1</w:t>
      </w:r>
      <w:r w:rsidR="005F6BD4" w:rsidRPr="0034660C">
        <w:rPr>
          <w:rFonts w:eastAsia="楷体" w:hAnsi="楷体" w:cs="Arial"/>
        </w:rPr>
        <w:t>季度</w:t>
      </w:r>
      <w:r w:rsidR="005F6BD4" w:rsidRPr="0034660C">
        <w:rPr>
          <w:rFonts w:eastAsia="楷体" w:cs="Arial"/>
        </w:rPr>
        <w:t>QDII</w:t>
      </w:r>
      <w:r w:rsidR="005F6BD4" w:rsidRPr="0034660C">
        <w:rPr>
          <w:rFonts w:eastAsia="楷体" w:hAnsi="楷体" w:cs="Arial"/>
        </w:rPr>
        <w:t>基金规模</w:t>
      </w:r>
      <w:r w:rsidR="005F6BD4" w:rsidRPr="0034660C">
        <w:rPr>
          <w:rFonts w:eastAsia="楷体" w:cs="Arial"/>
        </w:rPr>
        <w:t>732.3</w:t>
      </w:r>
      <w:r w:rsidR="0066346C" w:rsidRPr="0034660C">
        <w:rPr>
          <w:rFonts w:eastAsia="楷体" w:hAnsi="楷体" w:cs="Arial"/>
        </w:rPr>
        <w:t>亿份，</w:t>
      </w:r>
      <w:r w:rsidR="005F6BD4" w:rsidRPr="0034660C">
        <w:rPr>
          <w:rFonts w:eastAsia="楷体" w:hAnsi="楷体" w:cs="Arial"/>
        </w:rPr>
        <w:t>总赎回</w:t>
      </w:r>
      <w:r w:rsidR="005F6BD4" w:rsidRPr="0034660C">
        <w:rPr>
          <w:rFonts w:eastAsia="楷体" w:cs="Arial"/>
        </w:rPr>
        <w:t>50.8</w:t>
      </w:r>
      <w:r w:rsidR="0066346C" w:rsidRPr="0034660C">
        <w:rPr>
          <w:rFonts w:eastAsia="楷体" w:hAnsi="楷体" w:cs="Arial"/>
        </w:rPr>
        <w:t>亿份。净申购居前的</w:t>
      </w:r>
      <w:r w:rsidR="00A44F81" w:rsidRPr="0034660C">
        <w:rPr>
          <w:rFonts w:eastAsia="楷体" w:hAnsi="楷体" w:cs="Arial"/>
        </w:rPr>
        <w:t>多为前期业绩表现良好</w:t>
      </w:r>
      <w:r w:rsidR="0066346C" w:rsidRPr="0034660C">
        <w:rPr>
          <w:rFonts w:eastAsia="楷体" w:hAnsi="楷体" w:cs="Arial"/>
        </w:rPr>
        <w:t>的基金</w:t>
      </w:r>
      <w:r w:rsidR="00A44F81" w:rsidRPr="0034660C">
        <w:rPr>
          <w:rFonts w:eastAsia="楷体" w:hAnsi="楷体" w:cs="Arial"/>
        </w:rPr>
        <w:t>，如广发亚太精选、博时大中华、富国中国中小盘等</w:t>
      </w:r>
      <w:r w:rsidR="005258AD" w:rsidRPr="0034660C">
        <w:rPr>
          <w:rFonts w:eastAsia="楷体" w:hAnsi="楷体" w:cs="Arial"/>
        </w:rPr>
        <w:t>；</w:t>
      </w:r>
      <w:r w:rsidR="00A44F81" w:rsidRPr="0034660C">
        <w:rPr>
          <w:rFonts w:eastAsia="楷体" w:hAnsi="楷体" w:cs="Arial"/>
        </w:rPr>
        <w:t>另外在美国市场的持续向好背景下，主投美国市场的品种</w:t>
      </w:r>
      <w:r w:rsidR="005F6BD4" w:rsidRPr="0034660C">
        <w:rPr>
          <w:rFonts w:eastAsia="楷体" w:hAnsi="楷体" w:cs="Arial"/>
        </w:rPr>
        <w:t>例如广发纳斯达克</w:t>
      </w:r>
      <w:r w:rsidR="005F6BD4" w:rsidRPr="0034660C">
        <w:rPr>
          <w:rFonts w:eastAsia="楷体" w:cs="Arial"/>
        </w:rPr>
        <w:t>100</w:t>
      </w:r>
      <w:r w:rsidR="005F6BD4" w:rsidRPr="0034660C">
        <w:rPr>
          <w:rFonts w:eastAsia="楷体" w:hAnsi="楷体" w:cs="Arial"/>
        </w:rPr>
        <w:t>、国泰纳斯达克</w:t>
      </w:r>
      <w:r w:rsidR="005F6BD4" w:rsidRPr="0034660C">
        <w:rPr>
          <w:rFonts w:eastAsia="楷体" w:cs="Arial"/>
        </w:rPr>
        <w:t>100</w:t>
      </w:r>
      <w:r w:rsidR="005F6BD4" w:rsidRPr="0034660C">
        <w:rPr>
          <w:rFonts w:eastAsia="楷体" w:hAnsi="楷体" w:cs="Arial"/>
        </w:rPr>
        <w:t>、易方达标普消费品、大成标普</w:t>
      </w:r>
      <w:r w:rsidR="005F6BD4" w:rsidRPr="0034660C">
        <w:rPr>
          <w:rFonts w:eastAsia="楷体" w:cs="Arial"/>
        </w:rPr>
        <w:t>500</w:t>
      </w:r>
      <w:r w:rsidR="00A44F81" w:rsidRPr="0034660C">
        <w:rPr>
          <w:rFonts w:eastAsia="楷体" w:hAnsi="楷体" w:cs="Arial"/>
        </w:rPr>
        <w:t>等权重、华安纳斯达克</w:t>
      </w:r>
      <w:r w:rsidR="00A44F81" w:rsidRPr="0034660C">
        <w:rPr>
          <w:rFonts w:eastAsia="楷体" w:cs="Arial"/>
        </w:rPr>
        <w:t>100</w:t>
      </w:r>
      <w:r w:rsidR="00A44F81" w:rsidRPr="0034660C">
        <w:rPr>
          <w:rFonts w:eastAsia="楷体" w:hAnsi="楷体" w:cs="Arial"/>
        </w:rPr>
        <w:t>等也博得投资者不同程度的净申购</w:t>
      </w:r>
      <w:r w:rsidR="005F6BD4" w:rsidRPr="0034660C">
        <w:rPr>
          <w:rFonts w:eastAsia="楷体" w:hAnsi="楷体" w:cs="Arial"/>
        </w:rPr>
        <w:t>。</w:t>
      </w:r>
    </w:p>
    <w:p w:rsidR="0043613D" w:rsidRPr="0034660C" w:rsidRDefault="00B82D14" w:rsidP="0034660C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34660C">
        <w:rPr>
          <w:rFonts w:eastAsia="楷体" w:cs="Arial"/>
        </w:rPr>
        <w:t>4</w:t>
      </w:r>
      <w:r w:rsidRPr="0034660C">
        <w:rPr>
          <w:rFonts w:eastAsia="楷体" w:hAnsi="楷体" w:cs="Arial"/>
        </w:rPr>
        <w:t>月</w:t>
      </w:r>
      <w:r w:rsidRPr="0034660C">
        <w:rPr>
          <w:rFonts w:eastAsia="楷体" w:cs="Arial"/>
        </w:rPr>
        <w:t>10</w:t>
      </w:r>
      <w:r w:rsidRPr="0034660C">
        <w:rPr>
          <w:rFonts w:eastAsia="楷体" w:hAnsi="楷体" w:cs="Arial"/>
        </w:rPr>
        <w:t>日</w:t>
      </w:r>
      <w:r w:rsidR="00BC3109" w:rsidRPr="0034660C">
        <w:rPr>
          <w:rFonts w:eastAsia="楷体" w:hAnsi="楷体" w:cs="Arial"/>
        </w:rPr>
        <w:t>，</w:t>
      </w:r>
      <w:r w:rsidRPr="0034660C">
        <w:rPr>
          <w:rFonts w:eastAsia="楷体" w:hAnsi="楷体" w:cs="Arial"/>
        </w:rPr>
        <w:t>证监会</w:t>
      </w:r>
      <w:r w:rsidR="005258AD" w:rsidRPr="0034660C">
        <w:rPr>
          <w:rFonts w:eastAsia="楷体" w:hAnsi="楷体" w:cs="Arial"/>
        </w:rPr>
        <w:t>公告</w:t>
      </w:r>
      <w:r w:rsidRPr="0034660C">
        <w:rPr>
          <w:rFonts w:eastAsia="楷体" w:hAnsi="楷体" w:cs="Arial"/>
        </w:rPr>
        <w:t>开展沪港股票市场交易互联互通机制试点。试点初期，沪股通的股票范围是上证</w:t>
      </w:r>
      <w:r w:rsidRPr="0034660C">
        <w:rPr>
          <w:rFonts w:eastAsia="楷体" w:cs="Arial"/>
        </w:rPr>
        <w:t>180</w:t>
      </w:r>
      <w:r w:rsidRPr="0034660C">
        <w:rPr>
          <w:rFonts w:eastAsia="楷体" w:hAnsi="楷体" w:cs="Arial"/>
        </w:rPr>
        <w:t>与上证</w:t>
      </w:r>
      <w:r w:rsidRPr="0034660C">
        <w:rPr>
          <w:rFonts w:eastAsia="楷体" w:cs="Arial"/>
        </w:rPr>
        <w:t>380</w:t>
      </w:r>
      <w:r w:rsidR="005258AD" w:rsidRPr="0034660C">
        <w:rPr>
          <w:rFonts w:eastAsia="楷体" w:hAnsi="楷体" w:cs="Arial"/>
        </w:rPr>
        <w:t>的成分股</w:t>
      </w:r>
      <w:r w:rsidRPr="0034660C">
        <w:rPr>
          <w:rFonts w:eastAsia="楷体" w:hAnsi="楷体" w:cs="Arial"/>
        </w:rPr>
        <w:t>以及上交所上市的</w:t>
      </w:r>
      <w:r w:rsidRPr="0034660C">
        <w:rPr>
          <w:rFonts w:eastAsia="楷体" w:cs="Arial"/>
        </w:rPr>
        <w:t>A+H</w:t>
      </w:r>
      <w:r w:rsidR="00A669F6" w:rsidRPr="0034660C">
        <w:rPr>
          <w:rFonts w:eastAsia="楷体" w:hAnsi="楷体" w:cs="Arial"/>
        </w:rPr>
        <w:t>股，</w:t>
      </w:r>
      <w:r w:rsidRPr="0034660C">
        <w:rPr>
          <w:rFonts w:eastAsia="楷体" w:hAnsi="楷体" w:cs="Arial"/>
        </w:rPr>
        <w:t>港股通的股票范围是恒生综合大盘股指数、恒生综合中型股指数的成分股以及同时在沪港上市的</w:t>
      </w:r>
      <w:r w:rsidRPr="0034660C">
        <w:rPr>
          <w:rFonts w:eastAsia="楷体" w:cs="Arial"/>
        </w:rPr>
        <w:t>A+H</w:t>
      </w:r>
      <w:r w:rsidRPr="0034660C">
        <w:rPr>
          <w:rFonts w:eastAsia="楷体" w:hAnsi="楷体" w:cs="Arial"/>
        </w:rPr>
        <w:t>股。预计</w:t>
      </w:r>
      <w:r w:rsidR="00EA06BA" w:rsidRPr="0034660C">
        <w:rPr>
          <w:rFonts w:eastAsia="楷体" w:hAnsi="楷体" w:cs="Arial"/>
        </w:rPr>
        <w:t>此举将</w:t>
      </w:r>
      <w:r w:rsidR="0043613D" w:rsidRPr="0034660C">
        <w:rPr>
          <w:rFonts w:eastAsia="楷体" w:hAnsi="楷体" w:cs="Arial"/>
        </w:rPr>
        <w:t>有利于以香港为主要投资市场的</w:t>
      </w:r>
      <w:r w:rsidR="0043613D" w:rsidRPr="0034660C">
        <w:rPr>
          <w:rFonts w:eastAsia="楷体" w:cs="Arial"/>
        </w:rPr>
        <w:t>QDII</w:t>
      </w:r>
      <w:r w:rsidR="00BC3109" w:rsidRPr="0034660C">
        <w:rPr>
          <w:rFonts w:eastAsia="楷体" w:hAnsi="楷体" w:cs="Arial"/>
        </w:rPr>
        <w:t>的业绩表现，也将促进</w:t>
      </w:r>
      <w:r w:rsidR="00BC3109" w:rsidRPr="0034660C">
        <w:rPr>
          <w:rFonts w:eastAsia="楷体" w:cs="Arial"/>
        </w:rPr>
        <w:t>QDII</w:t>
      </w:r>
      <w:r w:rsidR="00BC3109" w:rsidRPr="0034660C">
        <w:rPr>
          <w:rFonts w:eastAsia="楷体" w:hAnsi="楷体" w:cs="Arial"/>
        </w:rPr>
        <w:t>基金的创新。</w:t>
      </w:r>
      <w:r w:rsidRPr="0034660C">
        <w:rPr>
          <w:rFonts w:eastAsia="楷体" w:hAnsi="楷体" w:cs="Arial"/>
        </w:rPr>
        <w:t>未来有望诞生</w:t>
      </w:r>
      <w:r w:rsidR="0043613D" w:rsidRPr="0034660C">
        <w:rPr>
          <w:rFonts w:eastAsia="楷体" w:hAnsi="楷体" w:cs="Arial"/>
        </w:rPr>
        <w:t>兼顾沪港两市的</w:t>
      </w:r>
      <w:r w:rsidR="0043613D" w:rsidRPr="0034660C">
        <w:rPr>
          <w:rFonts w:eastAsia="楷体" w:cs="Arial"/>
        </w:rPr>
        <w:t>QDII</w:t>
      </w:r>
      <w:r w:rsidR="00907D58" w:rsidRPr="0034660C">
        <w:rPr>
          <w:rFonts w:eastAsia="楷体" w:hAnsi="楷体" w:cs="Arial"/>
        </w:rPr>
        <w:t>，以及实现</w:t>
      </w:r>
      <w:r w:rsidR="0043613D" w:rsidRPr="0034660C">
        <w:rPr>
          <w:rFonts w:eastAsia="楷体" w:hAnsi="楷体" w:cs="Arial"/>
        </w:rPr>
        <w:t>沪港两市套利的</w:t>
      </w:r>
      <w:r w:rsidR="0043613D" w:rsidRPr="0034660C">
        <w:rPr>
          <w:rFonts w:eastAsia="楷体" w:cs="Arial"/>
        </w:rPr>
        <w:t>QDII</w:t>
      </w:r>
      <w:r w:rsidR="00907D58" w:rsidRPr="0034660C">
        <w:rPr>
          <w:rFonts w:eastAsia="楷体" w:hAnsi="楷体" w:cs="Arial"/>
        </w:rPr>
        <w:t>品种</w:t>
      </w:r>
      <w:r w:rsidR="0043613D" w:rsidRPr="0034660C">
        <w:rPr>
          <w:rFonts w:eastAsia="楷体" w:hAnsi="楷体" w:cs="Arial"/>
        </w:rPr>
        <w:t>。</w:t>
      </w:r>
    </w:p>
    <w:p w:rsidR="0043613D" w:rsidRDefault="0043613D" w:rsidP="0043613D">
      <w:pPr>
        <w:pStyle w:val="ab"/>
        <w:spacing w:after="163"/>
        <w:ind w:left="3430"/>
        <w:rPr>
          <w:rFonts w:ascii="楷体" w:eastAsia="楷体" w:hAnsi="楷体"/>
        </w:rPr>
      </w:pPr>
      <w:r>
        <w:rPr>
          <w:rFonts w:ascii="楷体" w:eastAsia="楷体" w:hAnsi="楷体" w:cstheme="minorBidi" w:hint="eastAsia"/>
          <w:b/>
          <w:bCs/>
          <w:color w:val="0070C0"/>
          <w:szCs w:val="21"/>
        </w:rPr>
        <w:lastRenderedPageBreak/>
        <w:t>2</w:t>
      </w:r>
      <w:r>
        <w:rPr>
          <w:rFonts w:ascii="楷体" w:eastAsia="楷体" w:hAnsi="楷体" w:hint="eastAsia"/>
          <w:b/>
          <w:bCs/>
          <w:color w:val="0070C0"/>
          <w:szCs w:val="21"/>
        </w:rPr>
        <w:t>、</w:t>
      </w:r>
      <w:r w:rsidR="00A67FBE">
        <w:rPr>
          <w:rFonts w:ascii="楷体" w:eastAsia="楷体" w:hAnsi="楷体" w:hint="eastAsia"/>
          <w:b/>
          <w:bCs/>
          <w:color w:val="0070C0"/>
          <w:szCs w:val="21"/>
        </w:rPr>
        <w:t>业绩：</w:t>
      </w:r>
      <w:r w:rsidR="00462B33">
        <w:rPr>
          <w:rFonts w:ascii="楷体" w:eastAsia="楷体" w:hAnsi="楷体" w:hint="eastAsia"/>
          <w:b/>
          <w:bCs/>
          <w:color w:val="0070C0"/>
          <w:szCs w:val="21"/>
        </w:rPr>
        <w:t>发达市场</w:t>
      </w:r>
      <w:r w:rsidR="00470E05">
        <w:rPr>
          <w:rFonts w:ascii="楷体" w:eastAsia="楷体" w:hAnsi="楷体" w:hint="eastAsia"/>
          <w:b/>
          <w:bCs/>
          <w:color w:val="0070C0"/>
          <w:szCs w:val="21"/>
        </w:rPr>
        <w:t>基金</w:t>
      </w:r>
      <w:r w:rsidR="00A67FBE">
        <w:rPr>
          <w:rFonts w:ascii="楷体" w:eastAsia="楷体" w:hAnsi="楷体" w:hint="eastAsia"/>
          <w:b/>
          <w:bCs/>
          <w:color w:val="0070C0"/>
          <w:szCs w:val="21"/>
        </w:rPr>
        <w:t>收益向好</w:t>
      </w:r>
    </w:p>
    <w:p w:rsidR="00875DC2" w:rsidRPr="0034660C" w:rsidRDefault="00981E0A" w:rsidP="0034660C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34660C">
        <w:rPr>
          <w:rFonts w:eastAsia="楷体" w:cs="Arial" w:hint="eastAsia"/>
        </w:rPr>
        <w:t>回顾</w:t>
      </w:r>
      <w:r w:rsidR="00875DC2" w:rsidRPr="0034660C">
        <w:rPr>
          <w:rFonts w:eastAsia="楷体" w:cs="Arial" w:hint="eastAsia"/>
        </w:rPr>
        <w:t>1</w:t>
      </w:r>
      <w:r w:rsidR="00875DC2" w:rsidRPr="0034660C">
        <w:rPr>
          <w:rFonts w:eastAsia="楷体" w:cs="Arial" w:hint="eastAsia"/>
        </w:rPr>
        <w:t>季度，</w:t>
      </w:r>
      <w:r w:rsidR="00620D5E" w:rsidRPr="0034660C">
        <w:rPr>
          <w:rFonts w:eastAsia="楷体" w:cs="Arial" w:hint="eastAsia"/>
        </w:rPr>
        <w:t>全球经济弱复苏，</w:t>
      </w:r>
      <w:r w:rsidR="00875DC2" w:rsidRPr="0034660C">
        <w:rPr>
          <w:rFonts w:eastAsia="楷体" w:cs="Arial"/>
        </w:rPr>
        <w:t>市场表现先强后弱。</w:t>
      </w:r>
      <w:r w:rsidR="009C395F" w:rsidRPr="0034660C">
        <w:rPr>
          <w:rFonts w:eastAsia="楷体" w:cs="Arial" w:hint="eastAsia"/>
        </w:rPr>
        <w:t>其中</w:t>
      </w:r>
      <w:r w:rsidR="009C395F" w:rsidRPr="0034660C">
        <w:rPr>
          <w:rFonts w:eastAsia="楷体" w:cs="Arial" w:hint="eastAsia"/>
        </w:rPr>
        <w:t>1~2</w:t>
      </w:r>
      <w:r w:rsidR="009C395F" w:rsidRPr="0034660C">
        <w:rPr>
          <w:rFonts w:eastAsia="楷体" w:cs="Arial" w:hint="eastAsia"/>
        </w:rPr>
        <w:t>月份呈现发达</w:t>
      </w:r>
      <w:r w:rsidR="00620D5E" w:rsidRPr="0034660C">
        <w:rPr>
          <w:rFonts w:eastAsia="楷体" w:cs="Arial" w:hint="eastAsia"/>
        </w:rPr>
        <w:t>市场上涨、新兴市场调整</w:t>
      </w:r>
      <w:r w:rsidR="009C395F" w:rsidRPr="0034660C">
        <w:rPr>
          <w:rFonts w:eastAsia="楷体" w:cs="Arial" w:hint="eastAsia"/>
        </w:rPr>
        <w:t>的局面；</w:t>
      </w:r>
      <w:r w:rsidR="009C395F" w:rsidRPr="0034660C">
        <w:rPr>
          <w:rFonts w:eastAsia="楷体" w:cs="Arial" w:hint="eastAsia"/>
        </w:rPr>
        <w:t>3</w:t>
      </w:r>
      <w:r w:rsidR="009C395F" w:rsidRPr="0034660C">
        <w:rPr>
          <w:rFonts w:eastAsia="楷体" w:cs="Arial" w:hint="eastAsia"/>
        </w:rPr>
        <w:t>月份</w:t>
      </w:r>
      <w:r w:rsidR="00620D5E" w:rsidRPr="0034660C">
        <w:rPr>
          <w:rFonts w:eastAsia="楷体" w:cs="Arial" w:hint="eastAsia"/>
        </w:rPr>
        <w:t>受地缘政治危机</w:t>
      </w:r>
      <w:r w:rsidR="009C395F" w:rsidRPr="0034660C">
        <w:rPr>
          <w:rFonts w:eastAsia="楷体" w:cs="Arial" w:hint="eastAsia"/>
        </w:rPr>
        <w:t>冲击，以及</w:t>
      </w:r>
      <w:r w:rsidR="009C395F" w:rsidRPr="0034660C">
        <w:rPr>
          <w:rFonts w:eastAsia="楷体" w:cs="Arial"/>
        </w:rPr>
        <w:t>美联储主席耶伦将首次加息时间预期从</w:t>
      </w:r>
      <w:r w:rsidR="009C395F" w:rsidRPr="0034660C">
        <w:rPr>
          <w:rFonts w:eastAsia="楷体" w:cs="Arial" w:hint="eastAsia"/>
        </w:rPr>
        <w:t>20</w:t>
      </w:r>
      <w:r w:rsidR="009C395F" w:rsidRPr="0034660C">
        <w:rPr>
          <w:rFonts w:eastAsia="楷体" w:cs="Arial"/>
        </w:rPr>
        <w:t>15</w:t>
      </w:r>
      <w:r w:rsidR="009C395F" w:rsidRPr="0034660C">
        <w:rPr>
          <w:rFonts w:eastAsia="楷体" w:cs="Arial"/>
        </w:rPr>
        <w:t>年下半年提前到上半年，导致全球范围内</w:t>
      </w:r>
      <w:r w:rsidR="009C395F" w:rsidRPr="0034660C">
        <w:rPr>
          <w:rFonts w:eastAsia="楷体" w:cs="Arial" w:hint="eastAsia"/>
        </w:rPr>
        <w:t>股市</w:t>
      </w:r>
      <w:r w:rsidR="00620D5E" w:rsidRPr="0034660C">
        <w:rPr>
          <w:rFonts w:eastAsia="楷体" w:cs="Arial"/>
        </w:rPr>
        <w:t>大幅调整。</w:t>
      </w:r>
      <w:r w:rsidR="009C395F" w:rsidRPr="0034660C">
        <w:rPr>
          <w:rFonts w:eastAsia="楷体" w:cs="Arial"/>
        </w:rPr>
        <w:t>美</w:t>
      </w:r>
      <w:r w:rsidR="009C395F" w:rsidRPr="0034660C">
        <w:rPr>
          <w:rFonts w:eastAsia="楷体" w:cs="Arial" w:hint="eastAsia"/>
        </w:rPr>
        <w:t>股在经历</w:t>
      </w:r>
      <w:r w:rsidR="009C395F" w:rsidRPr="0034660C">
        <w:rPr>
          <w:rFonts w:eastAsia="楷体" w:cs="Arial"/>
        </w:rPr>
        <w:t>前期历史新高</w:t>
      </w:r>
      <w:r w:rsidR="009C395F" w:rsidRPr="0034660C">
        <w:rPr>
          <w:rFonts w:eastAsia="楷体" w:cs="Arial" w:hint="eastAsia"/>
        </w:rPr>
        <w:t>之后</w:t>
      </w:r>
      <w:r w:rsidR="009C395F" w:rsidRPr="0034660C">
        <w:rPr>
          <w:rFonts w:eastAsia="楷体" w:cs="Arial"/>
        </w:rPr>
        <w:t>，</w:t>
      </w:r>
      <w:r w:rsidR="009C395F" w:rsidRPr="0034660C">
        <w:rPr>
          <w:rFonts w:eastAsia="楷体" w:cs="Arial" w:hint="eastAsia"/>
        </w:rPr>
        <w:t>在医药生物、网络科技</w:t>
      </w:r>
      <w:r w:rsidR="009C395F" w:rsidRPr="0034660C">
        <w:rPr>
          <w:rFonts w:eastAsia="楷体" w:cs="Arial"/>
        </w:rPr>
        <w:t>等</w:t>
      </w:r>
      <w:r w:rsidR="009C395F" w:rsidRPr="0034660C">
        <w:rPr>
          <w:rFonts w:eastAsia="楷体" w:cs="Arial" w:hint="eastAsia"/>
        </w:rPr>
        <w:t>板块带动下普跌</w:t>
      </w:r>
      <w:r w:rsidR="009C395F" w:rsidRPr="0034660C">
        <w:rPr>
          <w:rFonts w:eastAsia="楷体" w:cs="Arial"/>
        </w:rPr>
        <w:t>。</w:t>
      </w:r>
      <w:r w:rsidR="00620D5E" w:rsidRPr="0034660C">
        <w:rPr>
          <w:rFonts w:eastAsia="楷体" w:cs="Arial"/>
        </w:rPr>
        <w:t>新兴市场面临资金外逃；</w:t>
      </w:r>
      <w:r w:rsidR="009C395F" w:rsidRPr="0034660C">
        <w:rPr>
          <w:rFonts w:eastAsia="楷体" w:cs="Arial"/>
        </w:rPr>
        <w:t>中国</w:t>
      </w:r>
      <w:r w:rsidR="00620D5E" w:rsidRPr="0034660C">
        <w:rPr>
          <w:rFonts w:eastAsia="楷体" w:cs="Arial"/>
        </w:rPr>
        <w:t>方面</w:t>
      </w:r>
      <w:r w:rsidR="009C395F" w:rsidRPr="0034660C">
        <w:rPr>
          <w:rFonts w:eastAsia="楷体" w:cs="Arial"/>
        </w:rPr>
        <w:t>经济数据</w:t>
      </w:r>
      <w:r w:rsidR="009C395F" w:rsidRPr="0034660C">
        <w:rPr>
          <w:rFonts w:eastAsia="楷体" w:cs="Arial" w:hint="eastAsia"/>
        </w:rPr>
        <w:t>疲弱</w:t>
      </w:r>
      <w:r w:rsidR="009C395F" w:rsidRPr="0034660C">
        <w:rPr>
          <w:rFonts w:eastAsia="楷体" w:cs="Arial"/>
        </w:rPr>
        <w:t>，</w:t>
      </w:r>
      <w:r w:rsidR="009C395F" w:rsidRPr="0034660C">
        <w:rPr>
          <w:rFonts w:eastAsia="楷体" w:cs="Arial"/>
        </w:rPr>
        <w:t>PMI</w:t>
      </w:r>
      <w:r w:rsidR="009C395F" w:rsidRPr="0034660C">
        <w:rPr>
          <w:rFonts w:eastAsia="楷体" w:cs="Arial"/>
        </w:rPr>
        <w:t>在</w:t>
      </w:r>
      <w:r w:rsidR="009C395F" w:rsidRPr="0034660C">
        <w:rPr>
          <w:rFonts w:eastAsia="楷体" w:cs="Arial"/>
        </w:rPr>
        <w:t>50</w:t>
      </w:r>
      <w:r w:rsidR="00620D5E" w:rsidRPr="0034660C">
        <w:rPr>
          <w:rFonts w:eastAsia="楷体" w:cs="Arial"/>
        </w:rPr>
        <w:t>枯荣分界线徘徊，</w:t>
      </w:r>
      <w:r w:rsidR="009C395F" w:rsidRPr="0034660C">
        <w:rPr>
          <w:rFonts w:eastAsia="楷体" w:cs="Arial"/>
        </w:rPr>
        <w:t>市场</w:t>
      </w:r>
      <w:r w:rsidR="009C395F" w:rsidRPr="0034660C">
        <w:rPr>
          <w:rFonts w:eastAsia="楷体" w:cs="Arial" w:hint="eastAsia"/>
        </w:rPr>
        <w:t>对于</w:t>
      </w:r>
      <w:r w:rsidR="009C395F" w:rsidRPr="0034660C">
        <w:rPr>
          <w:rFonts w:eastAsia="楷体" w:cs="Arial"/>
        </w:rPr>
        <w:t>政府新一轮保增长</w:t>
      </w:r>
      <w:r w:rsidR="00620D5E" w:rsidRPr="0034660C">
        <w:rPr>
          <w:rFonts w:eastAsia="楷体" w:cs="Arial"/>
        </w:rPr>
        <w:t>的</w:t>
      </w:r>
      <w:r w:rsidR="009C395F" w:rsidRPr="0034660C">
        <w:rPr>
          <w:rFonts w:eastAsia="楷体" w:cs="Arial" w:hint="eastAsia"/>
        </w:rPr>
        <w:t>预期有所落空</w:t>
      </w:r>
      <w:r w:rsidR="009C395F" w:rsidRPr="0034660C">
        <w:rPr>
          <w:rFonts w:eastAsia="楷体" w:cs="Arial"/>
        </w:rPr>
        <w:t>。</w:t>
      </w:r>
      <w:r w:rsidR="00875DC2" w:rsidRPr="0034660C">
        <w:rPr>
          <w:rFonts w:eastAsia="楷体" w:cs="Arial" w:hint="eastAsia"/>
        </w:rPr>
        <w:t>商品方面</w:t>
      </w:r>
      <w:r w:rsidR="00620D5E" w:rsidRPr="0034660C">
        <w:rPr>
          <w:rFonts w:eastAsia="楷体" w:cs="Arial" w:hint="eastAsia"/>
        </w:rPr>
        <w:t>有所</w:t>
      </w:r>
      <w:r w:rsidR="00875DC2" w:rsidRPr="0034660C">
        <w:rPr>
          <w:rFonts w:eastAsia="楷体" w:cs="Arial" w:hint="eastAsia"/>
        </w:rPr>
        <w:t>分化，农产品因全球气候异常而上涨较多，其次是贵金属的反弹上涨，而基本金属则因供给过剩及需求疲弱而下跌较多。</w:t>
      </w:r>
    </w:p>
    <w:p w:rsidR="007F54BB" w:rsidRPr="0034660C" w:rsidRDefault="00620D5E" w:rsidP="0034660C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34660C">
        <w:rPr>
          <w:rFonts w:eastAsia="楷体" w:cs="Arial" w:hint="eastAsia"/>
        </w:rPr>
        <w:t>79</w:t>
      </w:r>
      <w:r w:rsidRPr="0034660C">
        <w:rPr>
          <w:rFonts w:eastAsia="楷体" w:cs="Arial" w:hint="eastAsia"/>
        </w:rPr>
        <w:t>只</w:t>
      </w:r>
      <w:r w:rsidR="007F54BB" w:rsidRPr="0034660C">
        <w:rPr>
          <w:rFonts w:eastAsia="楷体" w:cs="Arial"/>
        </w:rPr>
        <w:t>QDII</w:t>
      </w:r>
      <w:r w:rsidRPr="0034660C">
        <w:rPr>
          <w:rFonts w:eastAsia="楷体" w:cs="Arial"/>
        </w:rPr>
        <w:t>基金</w:t>
      </w:r>
      <w:r w:rsidR="007F54BB" w:rsidRPr="0034660C">
        <w:rPr>
          <w:rFonts w:eastAsia="楷体" w:cs="Arial"/>
        </w:rPr>
        <w:t>1</w:t>
      </w:r>
      <w:r w:rsidRPr="0034660C">
        <w:rPr>
          <w:rFonts w:eastAsia="楷体" w:cs="Arial" w:hint="eastAsia"/>
        </w:rPr>
        <w:t>季度简单平均收益</w:t>
      </w:r>
      <w:r w:rsidR="007F54BB" w:rsidRPr="0034660C">
        <w:rPr>
          <w:rFonts w:eastAsia="楷体" w:cs="Arial" w:hint="eastAsia"/>
        </w:rPr>
        <w:t>为</w:t>
      </w:r>
      <w:r w:rsidR="00484324" w:rsidRPr="0034660C">
        <w:rPr>
          <w:rFonts w:eastAsia="楷体" w:cs="Arial"/>
        </w:rPr>
        <w:t>0.</w:t>
      </w:r>
      <w:r w:rsidR="00484324" w:rsidRPr="0034660C">
        <w:rPr>
          <w:rFonts w:eastAsia="楷体" w:cs="Arial" w:hint="eastAsia"/>
        </w:rPr>
        <w:t>79</w:t>
      </w:r>
      <w:r w:rsidR="007F54BB" w:rsidRPr="0034660C">
        <w:rPr>
          <w:rFonts w:eastAsia="楷体" w:cs="Arial"/>
        </w:rPr>
        <w:t>%</w:t>
      </w:r>
      <w:r w:rsidR="00DD4BDC" w:rsidRPr="0034660C">
        <w:rPr>
          <w:rFonts w:eastAsia="楷体" w:cs="Arial" w:hint="eastAsia"/>
        </w:rPr>
        <w:t>。具体</w:t>
      </w:r>
      <w:r w:rsidR="00E30544" w:rsidRPr="0034660C">
        <w:rPr>
          <w:rFonts w:eastAsia="楷体" w:cs="Arial" w:hint="eastAsia"/>
        </w:rPr>
        <w:t>来看，</w:t>
      </w:r>
      <w:r w:rsidR="00DD4BDC" w:rsidRPr="0034660C">
        <w:rPr>
          <w:rFonts w:eastAsia="楷体" w:cs="Arial" w:hint="eastAsia"/>
        </w:rPr>
        <w:t>在</w:t>
      </w:r>
      <w:r w:rsidR="00E30544" w:rsidRPr="0034660C">
        <w:rPr>
          <w:rFonts w:eastAsia="楷体" w:cs="Arial" w:hint="eastAsia"/>
        </w:rPr>
        <w:t>投资细分</w:t>
      </w:r>
      <w:r w:rsidR="00DD4BDC" w:rsidRPr="0034660C">
        <w:rPr>
          <w:rFonts w:eastAsia="楷体" w:cs="Arial" w:hint="eastAsia"/>
        </w:rPr>
        <w:t>区域和行业板块上表现</w:t>
      </w:r>
      <w:r w:rsidR="00E30544" w:rsidRPr="0034660C">
        <w:rPr>
          <w:rFonts w:eastAsia="楷体" w:cs="Arial" w:hint="eastAsia"/>
        </w:rPr>
        <w:t>明显</w:t>
      </w:r>
      <w:r w:rsidR="00DD4BDC" w:rsidRPr="0034660C">
        <w:rPr>
          <w:rFonts w:eastAsia="楷体" w:cs="Arial" w:hint="eastAsia"/>
        </w:rPr>
        <w:t>分化。</w:t>
      </w:r>
    </w:p>
    <w:p w:rsidR="007F54BB" w:rsidRPr="0068284E" w:rsidRDefault="007F54BB" w:rsidP="00DC638A">
      <w:pPr>
        <w:pStyle w:val="ab"/>
        <w:numPr>
          <w:ilvl w:val="5"/>
          <w:numId w:val="2"/>
        </w:numPr>
        <w:spacing w:after="163"/>
        <w:ind w:left="4140" w:hanging="369"/>
        <w:rPr>
          <w:rFonts w:eastAsia="楷体" w:cs="Arial"/>
        </w:rPr>
      </w:pPr>
      <w:r w:rsidRPr="0068284E">
        <w:rPr>
          <w:rFonts w:eastAsia="楷体" w:hAnsi="楷体" w:cs="Arial"/>
        </w:rPr>
        <w:t>投资于美国主要市场的</w:t>
      </w:r>
      <w:r w:rsidR="001A7AA3" w:rsidRPr="0068284E">
        <w:rPr>
          <w:rFonts w:eastAsia="楷体" w:cs="Arial"/>
        </w:rPr>
        <w:t>12</w:t>
      </w:r>
      <w:r w:rsidR="001A7AA3" w:rsidRPr="0068284E">
        <w:rPr>
          <w:rFonts w:eastAsia="楷体" w:hAnsi="楷体" w:cs="Arial"/>
        </w:rPr>
        <w:t>只</w:t>
      </w:r>
      <w:r w:rsidRPr="0068284E">
        <w:rPr>
          <w:rFonts w:eastAsia="楷体" w:cs="Arial"/>
        </w:rPr>
        <w:t>QDII</w:t>
      </w:r>
      <w:r w:rsidRPr="0068284E">
        <w:rPr>
          <w:rFonts w:eastAsia="楷体" w:hAnsi="楷体" w:cs="Arial"/>
        </w:rPr>
        <w:t>基金</w:t>
      </w:r>
      <w:r w:rsidR="00947D64" w:rsidRPr="0068284E">
        <w:rPr>
          <w:rFonts w:eastAsia="楷体" w:hAnsi="楷体" w:cs="Arial"/>
        </w:rPr>
        <w:t>在美国经济回暖的预期中</w:t>
      </w:r>
      <w:r w:rsidRPr="0068284E">
        <w:rPr>
          <w:rFonts w:eastAsia="楷体" w:hAnsi="楷体" w:cs="Arial"/>
        </w:rPr>
        <w:t>表现平稳，平均净值增长率为</w:t>
      </w:r>
      <w:r w:rsidR="00947D64" w:rsidRPr="0068284E">
        <w:rPr>
          <w:rFonts w:eastAsia="楷体" w:cs="Arial"/>
        </w:rPr>
        <w:t>2.54</w:t>
      </w:r>
      <w:r w:rsidRPr="0068284E">
        <w:rPr>
          <w:rFonts w:eastAsia="楷体" w:cs="Arial"/>
        </w:rPr>
        <w:t>%</w:t>
      </w:r>
      <w:r w:rsidR="00BD11C2" w:rsidRPr="0068284E">
        <w:rPr>
          <w:rFonts w:eastAsia="楷体" w:hAnsi="楷体" w:cs="Arial"/>
        </w:rPr>
        <w:t>。</w:t>
      </w:r>
      <w:r w:rsidRPr="0068284E">
        <w:rPr>
          <w:rFonts w:eastAsia="楷体" w:hAnsi="楷体" w:cs="Arial"/>
        </w:rPr>
        <w:t>其中</w:t>
      </w:r>
      <w:r w:rsidR="00894899">
        <w:rPr>
          <w:rFonts w:eastAsia="楷体" w:hAnsi="楷体" w:cs="Arial"/>
        </w:rPr>
        <w:t>以</w:t>
      </w:r>
      <w:r w:rsidR="00894899" w:rsidRPr="0068284E">
        <w:rPr>
          <w:rFonts w:eastAsia="楷体" w:hAnsi="楷体" w:cs="Arial"/>
        </w:rPr>
        <w:t>房地产信托（</w:t>
      </w:r>
      <w:r w:rsidR="00894899" w:rsidRPr="0068284E">
        <w:rPr>
          <w:rFonts w:eastAsia="楷体" w:cs="Arial"/>
        </w:rPr>
        <w:t>Reits</w:t>
      </w:r>
      <w:r w:rsidR="00894899" w:rsidRPr="0068284E">
        <w:rPr>
          <w:rFonts w:eastAsia="楷体" w:hAnsi="楷体" w:cs="Arial"/>
        </w:rPr>
        <w:t>）为主要投资品种</w:t>
      </w:r>
      <w:r w:rsidR="00BD11C2" w:rsidRPr="0068284E">
        <w:rPr>
          <w:rFonts w:eastAsia="楷体" w:hAnsi="楷体" w:cs="Arial"/>
        </w:rPr>
        <w:t>的鹏华美国房地产、广发美国房地产人民币</w:t>
      </w:r>
      <w:r w:rsidR="00894899">
        <w:rPr>
          <w:rFonts w:eastAsia="楷体" w:hAnsi="楷体" w:cs="Arial"/>
        </w:rPr>
        <w:t>涨幅</w:t>
      </w:r>
      <w:r w:rsidR="00454576" w:rsidRPr="0068284E">
        <w:rPr>
          <w:rFonts w:eastAsia="楷体" w:hAnsi="楷体" w:cs="Arial"/>
        </w:rPr>
        <w:t>领先，</w:t>
      </w:r>
      <w:r w:rsidR="00894899">
        <w:rPr>
          <w:rFonts w:eastAsia="楷体" w:hAnsi="楷体" w:cs="Arial"/>
        </w:rPr>
        <w:t>皆</w:t>
      </w:r>
      <w:r w:rsidR="00454576" w:rsidRPr="0068284E">
        <w:rPr>
          <w:rFonts w:eastAsia="楷体" w:hAnsi="楷体" w:cs="Arial"/>
        </w:rPr>
        <w:t>在</w:t>
      </w:r>
      <w:r w:rsidR="00454576" w:rsidRPr="0068284E">
        <w:rPr>
          <w:rFonts w:eastAsia="楷体" w:cs="Arial"/>
        </w:rPr>
        <w:t>10%</w:t>
      </w:r>
      <w:r w:rsidR="00454576" w:rsidRPr="0068284E">
        <w:rPr>
          <w:rFonts w:eastAsia="楷体" w:hAnsi="楷体" w:cs="Arial"/>
        </w:rPr>
        <w:t>上下；</w:t>
      </w:r>
      <w:r w:rsidR="00B85404">
        <w:rPr>
          <w:rFonts w:eastAsia="楷体" w:hAnsi="楷体" w:cs="Arial"/>
        </w:rPr>
        <w:t>涉及油气资源类的</w:t>
      </w:r>
      <w:r w:rsidR="00B85404" w:rsidRPr="00B85404">
        <w:rPr>
          <w:rFonts w:eastAsia="楷体" w:hAnsi="楷体" w:cs="Arial" w:hint="eastAsia"/>
        </w:rPr>
        <w:t>华宝兴业标普油气</w:t>
      </w:r>
      <w:r w:rsidR="00B85404">
        <w:rPr>
          <w:rFonts w:eastAsia="楷体" w:hAnsi="楷体" w:cs="Arial" w:hint="eastAsia"/>
        </w:rPr>
        <w:t>收益超过</w:t>
      </w:r>
      <w:r w:rsidR="00B85404">
        <w:rPr>
          <w:rFonts w:eastAsia="楷体" w:hAnsi="楷体" w:cs="Arial" w:hint="eastAsia"/>
        </w:rPr>
        <w:t>4%</w:t>
      </w:r>
      <w:r w:rsidR="00B85404">
        <w:rPr>
          <w:rFonts w:eastAsia="楷体" w:hAnsi="楷体" w:cs="Arial" w:hint="eastAsia"/>
        </w:rPr>
        <w:t>；</w:t>
      </w:r>
      <w:r w:rsidRPr="0068284E">
        <w:rPr>
          <w:rFonts w:eastAsia="楷体" w:hAnsi="楷体" w:cs="Arial"/>
        </w:rPr>
        <w:t>大成标普</w:t>
      </w:r>
      <w:r w:rsidRPr="0068284E">
        <w:rPr>
          <w:rFonts w:eastAsia="楷体" w:cs="Arial"/>
        </w:rPr>
        <w:t>500</w:t>
      </w:r>
      <w:r w:rsidRPr="0068284E">
        <w:rPr>
          <w:rFonts w:eastAsia="楷体" w:hAnsi="楷体" w:cs="Arial"/>
        </w:rPr>
        <w:t>和博时标普</w:t>
      </w:r>
      <w:r w:rsidRPr="0068284E">
        <w:rPr>
          <w:rFonts w:eastAsia="楷体" w:cs="Arial"/>
        </w:rPr>
        <w:t>500</w:t>
      </w:r>
      <w:r w:rsidRPr="0068284E">
        <w:rPr>
          <w:rFonts w:eastAsia="楷体" w:hAnsi="楷体" w:cs="Arial"/>
        </w:rPr>
        <w:t>联接基金分别取得</w:t>
      </w:r>
      <w:r w:rsidRPr="0068284E">
        <w:rPr>
          <w:rFonts w:eastAsia="楷体" w:cs="Arial"/>
        </w:rPr>
        <w:t>3.2%</w:t>
      </w:r>
      <w:r w:rsidRPr="0068284E">
        <w:rPr>
          <w:rFonts w:eastAsia="楷体" w:hAnsi="楷体" w:cs="Arial"/>
        </w:rPr>
        <w:t>和</w:t>
      </w:r>
      <w:r w:rsidR="00BD11C2" w:rsidRPr="0068284E">
        <w:rPr>
          <w:rFonts w:eastAsia="楷体" w:cs="Arial"/>
        </w:rPr>
        <w:t>3.01</w:t>
      </w:r>
      <w:r w:rsidRPr="0068284E">
        <w:rPr>
          <w:rFonts w:eastAsia="楷体" w:cs="Arial"/>
        </w:rPr>
        <w:t>%</w:t>
      </w:r>
      <w:r w:rsidRPr="0068284E">
        <w:rPr>
          <w:rFonts w:eastAsia="楷体" w:hAnsi="楷体" w:cs="Arial"/>
        </w:rPr>
        <w:t>的业绩。</w:t>
      </w:r>
    </w:p>
    <w:p w:rsidR="007F54BB" w:rsidRPr="0068284E" w:rsidRDefault="007F54BB" w:rsidP="00DC638A">
      <w:pPr>
        <w:pStyle w:val="ab"/>
        <w:numPr>
          <w:ilvl w:val="5"/>
          <w:numId w:val="2"/>
        </w:numPr>
        <w:spacing w:after="163"/>
        <w:ind w:left="4140" w:hanging="369"/>
        <w:rPr>
          <w:rFonts w:eastAsia="楷体" w:cs="Arial"/>
        </w:rPr>
      </w:pPr>
      <w:r w:rsidRPr="0068284E">
        <w:rPr>
          <w:rFonts w:eastAsia="楷体" w:hAnsi="楷体" w:cs="Arial"/>
        </w:rPr>
        <w:t>全球配置的</w:t>
      </w:r>
      <w:r w:rsidRPr="0068284E">
        <w:rPr>
          <w:rFonts w:eastAsia="楷体" w:cs="Arial"/>
        </w:rPr>
        <w:t>QDII</w:t>
      </w:r>
      <w:r w:rsidRPr="0068284E">
        <w:rPr>
          <w:rFonts w:eastAsia="楷体" w:hAnsi="楷体" w:cs="Arial"/>
        </w:rPr>
        <w:t>基金</w:t>
      </w:r>
      <w:r w:rsidRPr="0068284E">
        <w:rPr>
          <w:rFonts w:eastAsia="楷体" w:cs="Arial"/>
        </w:rPr>
        <w:t>1</w:t>
      </w:r>
      <w:r w:rsidR="00894899">
        <w:rPr>
          <w:rFonts w:eastAsia="楷体" w:hAnsi="楷体" w:cs="Arial"/>
        </w:rPr>
        <w:t>季度业绩基本持平；其中</w:t>
      </w:r>
      <w:r w:rsidRPr="0068284E">
        <w:rPr>
          <w:rFonts w:eastAsia="楷体" w:hAnsi="楷体" w:cs="Arial"/>
        </w:rPr>
        <w:t>表现最好的为鹏华环球发现（</w:t>
      </w:r>
      <w:r w:rsidRPr="0068284E">
        <w:rPr>
          <w:rFonts w:eastAsia="楷体" w:cs="Arial"/>
        </w:rPr>
        <w:t>2.9</w:t>
      </w:r>
      <w:r w:rsidR="00D8559B">
        <w:rPr>
          <w:rFonts w:eastAsia="楷体" w:cs="Arial" w:hint="eastAsia"/>
        </w:rPr>
        <w:t>4</w:t>
      </w:r>
      <w:r w:rsidRPr="0068284E">
        <w:rPr>
          <w:rFonts w:eastAsia="楷体" w:cs="Arial"/>
        </w:rPr>
        <w:t>%</w:t>
      </w:r>
      <w:r w:rsidRPr="0068284E">
        <w:rPr>
          <w:rFonts w:eastAsia="楷体" w:hAnsi="楷体" w:cs="Arial"/>
        </w:rPr>
        <w:t>）和交银全球（</w:t>
      </w:r>
      <w:r w:rsidRPr="0068284E">
        <w:rPr>
          <w:rFonts w:eastAsia="楷体" w:cs="Arial"/>
        </w:rPr>
        <w:t>1.1</w:t>
      </w:r>
      <w:r w:rsidR="00D8559B">
        <w:rPr>
          <w:rFonts w:eastAsia="楷体" w:cs="Arial" w:hint="eastAsia"/>
        </w:rPr>
        <w:t>3</w:t>
      </w:r>
      <w:r w:rsidRPr="0068284E">
        <w:rPr>
          <w:rFonts w:eastAsia="楷体" w:cs="Arial"/>
        </w:rPr>
        <w:t>%</w:t>
      </w:r>
      <w:r w:rsidRPr="0068284E">
        <w:rPr>
          <w:rFonts w:eastAsia="楷体" w:hAnsi="楷体" w:cs="Arial"/>
        </w:rPr>
        <w:t>）。</w:t>
      </w:r>
    </w:p>
    <w:p w:rsidR="007F54BB" w:rsidRPr="0068284E" w:rsidRDefault="007F54BB" w:rsidP="00DC638A">
      <w:pPr>
        <w:pStyle w:val="ab"/>
        <w:numPr>
          <w:ilvl w:val="5"/>
          <w:numId w:val="2"/>
        </w:numPr>
        <w:spacing w:after="163"/>
        <w:ind w:left="4140" w:hanging="369"/>
        <w:rPr>
          <w:rFonts w:eastAsia="楷体" w:cs="Arial"/>
        </w:rPr>
      </w:pPr>
      <w:r w:rsidRPr="0068284E">
        <w:rPr>
          <w:rFonts w:eastAsia="楷体" w:hAnsi="楷体" w:cs="Arial"/>
        </w:rPr>
        <w:t>投资于亚太（除日本）及新兴市场（如金砖四国）的</w:t>
      </w:r>
      <w:r w:rsidR="00894899">
        <w:rPr>
          <w:rFonts w:eastAsia="楷体" w:hAnsi="楷体" w:cs="Arial" w:hint="eastAsia"/>
        </w:rPr>
        <w:t>20</w:t>
      </w:r>
      <w:r w:rsidR="00894899">
        <w:rPr>
          <w:rFonts w:eastAsia="楷体" w:hAnsi="楷体" w:cs="Arial" w:hint="eastAsia"/>
        </w:rPr>
        <w:t>只</w:t>
      </w:r>
      <w:r w:rsidRPr="0068284E">
        <w:rPr>
          <w:rFonts w:eastAsia="楷体" w:cs="Arial"/>
        </w:rPr>
        <w:t>QDII</w:t>
      </w:r>
      <w:r w:rsidRPr="0068284E">
        <w:rPr>
          <w:rFonts w:eastAsia="楷体" w:hAnsi="楷体" w:cs="Arial"/>
        </w:rPr>
        <w:t>基金整体业绩较差，</w:t>
      </w:r>
      <w:r w:rsidR="00D8559B">
        <w:rPr>
          <w:rFonts w:eastAsia="楷体" w:hAnsi="楷体" w:cs="Arial" w:hint="eastAsia"/>
        </w:rPr>
        <w:t>季度</w:t>
      </w:r>
      <w:r w:rsidRPr="0068284E">
        <w:rPr>
          <w:rFonts w:eastAsia="楷体" w:hAnsi="楷体" w:cs="Arial"/>
        </w:rPr>
        <w:t>平均净值增长率</w:t>
      </w:r>
      <w:r w:rsidR="00D8559B">
        <w:rPr>
          <w:rFonts w:eastAsia="楷体" w:hAnsi="楷体" w:cs="Arial"/>
        </w:rPr>
        <w:t>仅</w:t>
      </w:r>
      <w:r w:rsidRPr="0068284E">
        <w:rPr>
          <w:rFonts w:eastAsia="楷体" w:hAnsi="楷体" w:cs="Arial"/>
        </w:rPr>
        <w:t>为</w:t>
      </w:r>
      <w:r w:rsidRPr="0068284E">
        <w:rPr>
          <w:rFonts w:eastAsia="楷体" w:cs="Arial"/>
        </w:rPr>
        <w:t>-1.16%</w:t>
      </w:r>
      <w:r w:rsidR="00894899">
        <w:rPr>
          <w:rFonts w:eastAsia="楷体" w:cs="Arial"/>
        </w:rPr>
        <w:t>，仅</w:t>
      </w:r>
      <w:r w:rsidR="00894899">
        <w:rPr>
          <w:rFonts w:eastAsia="楷体" w:cs="Arial" w:hint="eastAsia"/>
        </w:rPr>
        <w:t>5</w:t>
      </w:r>
      <w:r w:rsidR="00894899">
        <w:rPr>
          <w:rFonts w:eastAsia="楷体" w:cs="Arial" w:hint="eastAsia"/>
        </w:rPr>
        <w:t>只取得正收益</w:t>
      </w:r>
      <w:r w:rsidR="00324B6F" w:rsidRPr="0068284E">
        <w:rPr>
          <w:rFonts w:eastAsia="楷体" w:hAnsi="楷体" w:cs="Arial"/>
        </w:rPr>
        <w:t>。</w:t>
      </w:r>
    </w:p>
    <w:p w:rsidR="001A7AA3" w:rsidRPr="0068284E" w:rsidRDefault="001A7AA3" w:rsidP="001A7AA3">
      <w:pPr>
        <w:pStyle w:val="ab"/>
        <w:numPr>
          <w:ilvl w:val="5"/>
          <w:numId w:val="2"/>
        </w:numPr>
        <w:spacing w:after="163"/>
        <w:ind w:left="4140" w:hanging="369"/>
        <w:rPr>
          <w:rFonts w:eastAsia="楷体" w:cs="Arial"/>
        </w:rPr>
      </w:pPr>
      <w:r w:rsidRPr="0068284E">
        <w:rPr>
          <w:rFonts w:eastAsia="楷体" w:hAnsi="楷体" w:cs="Arial"/>
        </w:rPr>
        <w:t>行业型</w:t>
      </w:r>
      <w:r w:rsidRPr="0068284E">
        <w:rPr>
          <w:rFonts w:eastAsia="楷体" w:cs="Arial"/>
        </w:rPr>
        <w:t>QDII</w:t>
      </w:r>
      <w:r w:rsidRPr="0068284E">
        <w:rPr>
          <w:rFonts w:eastAsia="楷体" w:hAnsi="楷体" w:cs="Arial"/>
        </w:rPr>
        <w:t>在</w:t>
      </w:r>
      <w:r w:rsidRPr="0068284E">
        <w:rPr>
          <w:rFonts w:eastAsia="楷体" w:cs="Arial"/>
        </w:rPr>
        <w:t>1</w:t>
      </w:r>
      <w:r w:rsidRPr="0068284E">
        <w:rPr>
          <w:rFonts w:eastAsia="楷体" w:hAnsi="楷体" w:cs="Arial"/>
        </w:rPr>
        <w:t>季度的平均净值增长率为</w:t>
      </w:r>
      <w:r w:rsidR="00894899">
        <w:rPr>
          <w:rFonts w:eastAsia="楷体" w:hAnsi="楷体" w:cs="Arial" w:hint="eastAsia"/>
        </w:rPr>
        <w:t>1.68</w:t>
      </w:r>
      <w:r w:rsidRPr="0068284E">
        <w:rPr>
          <w:rFonts w:eastAsia="楷体" w:cs="Arial"/>
        </w:rPr>
        <w:t>%</w:t>
      </w:r>
      <w:r w:rsidR="00894899">
        <w:rPr>
          <w:rFonts w:eastAsia="楷体" w:hAnsi="楷体" w:cs="Arial"/>
        </w:rPr>
        <w:t>。</w:t>
      </w:r>
      <w:r w:rsidRPr="0068284E">
        <w:rPr>
          <w:rFonts w:eastAsia="楷体" w:hAnsi="楷体" w:cs="Arial"/>
        </w:rPr>
        <w:t>其中，诺安全球收益</w:t>
      </w:r>
      <w:r w:rsidR="00894899">
        <w:rPr>
          <w:rFonts w:eastAsia="楷体" w:hAnsi="楷体" w:cs="Arial"/>
        </w:rPr>
        <w:t>不动产</w:t>
      </w:r>
      <w:r w:rsidRPr="0068284E">
        <w:rPr>
          <w:rFonts w:eastAsia="楷体" w:hAnsi="楷体" w:cs="Arial"/>
        </w:rPr>
        <w:t>以成熟市场房地产信托为主要投资品种，季度收益率</w:t>
      </w:r>
      <w:r w:rsidR="00B85404">
        <w:rPr>
          <w:rFonts w:eastAsia="楷体" w:hAnsi="楷体" w:cs="Arial"/>
        </w:rPr>
        <w:t>达</w:t>
      </w:r>
      <w:r w:rsidR="00B85404">
        <w:rPr>
          <w:rFonts w:eastAsia="楷体" w:hAnsi="楷体" w:cs="Arial" w:hint="eastAsia"/>
        </w:rPr>
        <w:t>10.44%</w:t>
      </w:r>
      <w:r w:rsidRPr="0068284E">
        <w:rPr>
          <w:rFonts w:eastAsia="楷体" w:hAnsi="楷体" w:cs="Arial"/>
        </w:rPr>
        <w:t>；部分油气和资源类行业基金如</w:t>
      </w:r>
      <w:r w:rsidR="00B85404" w:rsidRPr="00B85404">
        <w:rPr>
          <w:rFonts w:eastAsia="楷体" w:hAnsi="楷体" w:cs="Arial" w:hint="eastAsia"/>
        </w:rPr>
        <w:t>建信全球资源</w:t>
      </w:r>
      <w:r w:rsidR="00B85404">
        <w:rPr>
          <w:rFonts w:eastAsia="楷体" w:hAnsi="楷体" w:cs="Arial" w:hint="eastAsia"/>
        </w:rPr>
        <w:t>、</w:t>
      </w:r>
      <w:r w:rsidR="00B85404" w:rsidRPr="00B85404">
        <w:rPr>
          <w:rFonts w:eastAsia="楷体" w:hAnsi="楷体" w:cs="Arial" w:hint="eastAsia"/>
        </w:rPr>
        <w:t>诺安油气能源</w:t>
      </w:r>
      <w:r w:rsidRPr="0068284E">
        <w:rPr>
          <w:rFonts w:eastAsia="楷体" w:hAnsi="楷体" w:cs="Arial"/>
        </w:rPr>
        <w:t>，以及全球农业指数与标普消费品指数</w:t>
      </w:r>
      <w:r w:rsidRPr="0068284E">
        <w:rPr>
          <w:rFonts w:eastAsia="楷体" w:cs="Arial"/>
        </w:rPr>
        <w:t>QDII</w:t>
      </w:r>
      <w:r w:rsidRPr="0068284E">
        <w:rPr>
          <w:rFonts w:eastAsia="楷体" w:hAnsi="楷体" w:cs="Arial"/>
        </w:rPr>
        <w:t>，表现亦超过行业中值。</w:t>
      </w:r>
    </w:p>
    <w:p w:rsidR="001A7AA3" w:rsidRPr="0034660C" w:rsidRDefault="001A7AA3" w:rsidP="00DC638A">
      <w:pPr>
        <w:pStyle w:val="ab"/>
        <w:numPr>
          <w:ilvl w:val="5"/>
          <w:numId w:val="2"/>
        </w:numPr>
        <w:spacing w:after="163"/>
        <w:ind w:left="4140" w:hanging="369"/>
        <w:rPr>
          <w:rFonts w:eastAsia="楷体" w:hAnsi="楷体" w:cs="Arial"/>
        </w:rPr>
      </w:pPr>
      <w:r w:rsidRPr="0068284E">
        <w:rPr>
          <w:rFonts w:eastAsia="楷体" w:hAnsi="楷体" w:cs="Arial"/>
        </w:rPr>
        <w:t>大宗商品类</w:t>
      </w:r>
      <w:r w:rsidR="000F7AB0">
        <w:rPr>
          <w:rFonts w:eastAsia="楷体" w:hAnsi="楷体" w:cs="Arial"/>
        </w:rPr>
        <w:t>受</w:t>
      </w:r>
      <w:r w:rsidR="000F7AB0" w:rsidRPr="0034660C">
        <w:rPr>
          <w:rFonts w:eastAsia="楷体" w:hAnsi="楷体" w:cs="Arial" w:hint="eastAsia"/>
        </w:rPr>
        <w:t>地缘政治因素主导而</w:t>
      </w:r>
      <w:r w:rsidRPr="0068284E">
        <w:rPr>
          <w:rFonts w:eastAsia="楷体" w:hAnsi="楷体" w:cs="Arial"/>
        </w:rPr>
        <w:t>出现</w:t>
      </w:r>
      <w:r w:rsidR="009262D1">
        <w:rPr>
          <w:rFonts w:eastAsia="楷体" w:hAnsi="楷体" w:cs="Arial"/>
        </w:rPr>
        <w:t>结构性</w:t>
      </w:r>
      <w:r w:rsidR="000F7AB0">
        <w:rPr>
          <w:rFonts w:eastAsia="楷体" w:hAnsi="楷体" w:cs="Arial"/>
        </w:rPr>
        <w:t>行情。</w:t>
      </w:r>
      <w:r w:rsidR="000F7AB0" w:rsidRPr="0034660C">
        <w:rPr>
          <w:rFonts w:eastAsia="楷体" w:hAnsi="楷体" w:cs="Arial" w:hint="eastAsia"/>
        </w:rPr>
        <w:t>政治危机令全球农产品供给下滑，农产品价格大幅反弹；黄金、白银等贵重金属则上演过山车行情，</w:t>
      </w:r>
      <w:r w:rsidR="000F7AB0">
        <w:rPr>
          <w:rFonts w:eastAsia="楷体" w:hAnsi="楷体" w:cs="Arial"/>
        </w:rPr>
        <w:t>其中</w:t>
      </w:r>
      <w:r w:rsidRPr="0068284E">
        <w:rPr>
          <w:rFonts w:eastAsia="楷体" w:hAnsi="楷体" w:cs="Arial"/>
        </w:rPr>
        <w:t>在</w:t>
      </w:r>
      <w:r w:rsidRPr="0034660C">
        <w:rPr>
          <w:rFonts w:eastAsia="楷体" w:hAnsi="楷体" w:cs="Arial"/>
        </w:rPr>
        <w:t>2013</w:t>
      </w:r>
      <w:r w:rsidR="009262D1">
        <w:rPr>
          <w:rFonts w:eastAsia="楷体" w:hAnsi="楷体" w:cs="Arial"/>
        </w:rPr>
        <w:t>年暴跌之后</w:t>
      </w:r>
      <w:r w:rsidR="000F7AB0">
        <w:rPr>
          <w:rFonts w:eastAsia="楷体" w:hAnsi="楷体" w:cs="Arial"/>
        </w:rPr>
        <w:t>的</w:t>
      </w:r>
      <w:r w:rsidRPr="0068284E">
        <w:rPr>
          <w:rFonts w:eastAsia="楷体" w:hAnsi="楷体" w:cs="Arial"/>
        </w:rPr>
        <w:t>黄金价格</w:t>
      </w:r>
      <w:r w:rsidR="000F7AB0">
        <w:rPr>
          <w:rFonts w:eastAsia="楷体" w:hAnsi="楷体" w:cs="Arial"/>
        </w:rPr>
        <w:t>于</w:t>
      </w:r>
      <w:r w:rsidR="009262D1" w:rsidRPr="0034660C">
        <w:rPr>
          <w:rFonts w:eastAsia="楷体" w:hAnsi="楷体" w:cs="Arial" w:hint="eastAsia"/>
        </w:rPr>
        <w:t>1</w:t>
      </w:r>
      <w:r w:rsidR="009262D1" w:rsidRPr="0034660C">
        <w:rPr>
          <w:rFonts w:eastAsia="楷体" w:hAnsi="楷体" w:cs="Arial" w:hint="eastAsia"/>
        </w:rPr>
        <w:t>季度</w:t>
      </w:r>
      <w:r w:rsidRPr="0068284E">
        <w:rPr>
          <w:rFonts w:eastAsia="楷体" w:hAnsi="楷体" w:cs="Arial"/>
        </w:rPr>
        <w:t>上扬</w:t>
      </w:r>
      <w:r w:rsidRPr="0034660C">
        <w:rPr>
          <w:rFonts w:eastAsia="楷体" w:hAnsi="楷体" w:cs="Arial"/>
        </w:rPr>
        <w:t>6.9%</w:t>
      </w:r>
      <w:r w:rsidRPr="0068284E">
        <w:rPr>
          <w:rFonts w:eastAsia="楷体" w:hAnsi="楷体" w:cs="Arial"/>
        </w:rPr>
        <w:t>。</w:t>
      </w:r>
      <w:r w:rsidR="000F7AB0" w:rsidRPr="0034660C">
        <w:rPr>
          <w:rFonts w:eastAsia="楷体" w:hAnsi="楷体" w:cs="Arial" w:hint="eastAsia"/>
        </w:rPr>
        <w:t>能源和资源品价格则在经济弱势中震荡回调。</w:t>
      </w:r>
      <w:r w:rsidRPr="0068284E">
        <w:rPr>
          <w:rFonts w:eastAsia="楷体" w:hAnsi="楷体" w:cs="Arial"/>
        </w:rPr>
        <w:t>商品类</w:t>
      </w:r>
      <w:r w:rsidRPr="0034660C">
        <w:rPr>
          <w:rFonts w:eastAsia="楷体" w:hAnsi="楷体" w:cs="Arial"/>
        </w:rPr>
        <w:t>QDII</w:t>
      </w:r>
      <w:r w:rsidR="009262D1" w:rsidRPr="0034660C">
        <w:rPr>
          <w:rFonts w:eastAsia="楷体" w:hAnsi="楷体" w:cs="Arial"/>
        </w:rPr>
        <w:t>成为了</w:t>
      </w:r>
      <w:r w:rsidR="009262D1" w:rsidRPr="0068284E">
        <w:rPr>
          <w:rFonts w:eastAsia="楷体" w:hAnsi="楷体" w:cs="Arial"/>
        </w:rPr>
        <w:t>今年</w:t>
      </w:r>
      <w:r w:rsidR="009262D1" w:rsidRPr="0034660C">
        <w:rPr>
          <w:rFonts w:eastAsia="楷体" w:hAnsi="楷体" w:cs="Arial"/>
        </w:rPr>
        <w:t>1</w:t>
      </w:r>
      <w:r w:rsidR="009262D1" w:rsidRPr="0068284E">
        <w:rPr>
          <w:rFonts w:eastAsia="楷体" w:hAnsi="楷体" w:cs="Arial"/>
        </w:rPr>
        <w:t>季度表现最好的</w:t>
      </w:r>
      <w:r w:rsidR="009262D1">
        <w:rPr>
          <w:rFonts w:eastAsia="楷体" w:hAnsi="楷体" w:cs="Arial" w:hint="eastAsia"/>
        </w:rPr>
        <w:t>QDII</w:t>
      </w:r>
      <w:r w:rsidR="009262D1">
        <w:rPr>
          <w:rFonts w:eastAsia="楷体" w:hAnsi="楷体" w:cs="Arial"/>
        </w:rPr>
        <w:t>类别</w:t>
      </w:r>
      <w:r w:rsidRPr="0068284E">
        <w:rPr>
          <w:rFonts w:eastAsia="楷体" w:hAnsi="楷体" w:cs="Arial"/>
        </w:rPr>
        <w:t>，平均业绩达到</w:t>
      </w:r>
      <w:r w:rsidRPr="0034660C">
        <w:rPr>
          <w:rFonts w:eastAsia="楷体" w:hAnsi="楷体" w:cs="Arial"/>
        </w:rPr>
        <w:t>5.59%</w:t>
      </w:r>
      <w:r w:rsidRPr="0068284E">
        <w:rPr>
          <w:rFonts w:eastAsia="楷体" w:hAnsi="楷体" w:cs="Arial"/>
        </w:rPr>
        <w:t>。</w:t>
      </w:r>
      <w:r w:rsidR="009262D1" w:rsidRPr="009262D1">
        <w:rPr>
          <w:rFonts w:eastAsia="楷体" w:hAnsi="楷体" w:cs="Arial" w:hint="eastAsia"/>
        </w:rPr>
        <w:t>信诚全球商品主题</w:t>
      </w:r>
      <w:r w:rsidRPr="0068284E">
        <w:rPr>
          <w:rFonts w:eastAsia="楷体" w:hAnsi="楷体" w:cs="Arial"/>
        </w:rPr>
        <w:t>、博时抗通胀和诺安全球黄金表现出色。</w:t>
      </w:r>
    </w:p>
    <w:tbl>
      <w:tblPr>
        <w:tblW w:w="7442" w:type="dxa"/>
        <w:tblInd w:w="340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42"/>
      </w:tblGrid>
      <w:tr w:rsidR="007F54BB" w:rsidRPr="00FC54FE" w:rsidTr="00CD4C29">
        <w:trPr>
          <w:cantSplit/>
          <w:trHeight w:val="65"/>
        </w:trPr>
        <w:tc>
          <w:tcPr>
            <w:tcW w:w="7442" w:type="dxa"/>
            <w:shd w:val="clear" w:color="auto" w:fill="auto"/>
            <w:vAlign w:val="center"/>
          </w:tcPr>
          <w:p w:rsidR="007F54BB" w:rsidRPr="00FC54FE" w:rsidRDefault="007F54BB" w:rsidP="007F54BB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  <w:color w:val="FF6600"/>
              </w:rPr>
            </w:pPr>
            <w:r w:rsidRPr="00FC54FE">
              <w:rPr>
                <w:rFonts w:ascii="楷体" w:eastAsia="楷体" w:hAnsi="楷体"/>
                <w:color w:val="FF6600"/>
              </w:rPr>
              <w:t>图表</w:t>
            </w:r>
            <w:r w:rsidRPr="00FC54FE">
              <w:rPr>
                <w:rFonts w:ascii="楷体" w:eastAsia="楷体" w:hAnsi="楷体" w:hint="eastAsia"/>
                <w:color w:val="FF6600"/>
              </w:rPr>
              <w:t>1：</w:t>
            </w:r>
            <w:r w:rsidRPr="00FC54FE">
              <w:rPr>
                <w:rFonts w:ascii="楷体" w:eastAsia="楷体" w:hAnsi="楷体"/>
                <w:b w:val="0"/>
                <w:color w:val="FF6600"/>
              </w:rPr>
              <w:t xml:space="preserve"> </w:t>
            </w:r>
            <w:r w:rsidR="00697B37">
              <w:rPr>
                <w:rFonts w:ascii="楷体" w:eastAsia="楷体" w:hAnsi="楷体"/>
                <w:color w:val="FF6600"/>
              </w:rPr>
              <w:t>各</w:t>
            </w:r>
            <w:r w:rsidRPr="007F54BB">
              <w:rPr>
                <w:rFonts w:ascii="楷体" w:eastAsia="楷体" w:hAnsi="楷体"/>
                <w:color w:val="FF6600"/>
              </w:rPr>
              <w:t>类</w:t>
            </w:r>
            <w:r w:rsidRPr="007F54BB">
              <w:rPr>
                <w:rFonts w:ascii="楷体" w:eastAsia="楷体" w:hAnsi="楷体" w:hint="eastAsia"/>
                <w:color w:val="FF6600"/>
              </w:rPr>
              <w:t>QDII基金</w:t>
            </w:r>
            <w:r>
              <w:rPr>
                <w:rFonts w:ascii="楷体" w:eastAsia="楷体" w:hAnsi="楷体" w:hint="eastAsia"/>
                <w:color w:val="FF6600"/>
              </w:rPr>
              <w:t>2014年1季度业绩表现</w:t>
            </w:r>
          </w:p>
        </w:tc>
      </w:tr>
      <w:tr w:rsidR="007F54BB" w:rsidRPr="00FC54FE" w:rsidTr="00CD4C29">
        <w:trPr>
          <w:cantSplit/>
          <w:trHeight w:val="3169"/>
        </w:trPr>
        <w:tc>
          <w:tcPr>
            <w:tcW w:w="7442" w:type="dxa"/>
            <w:shd w:val="clear" w:color="auto" w:fill="auto"/>
            <w:vAlign w:val="center"/>
          </w:tcPr>
          <w:p w:rsidR="007F54BB" w:rsidRPr="00FC54FE" w:rsidRDefault="00DC638A" w:rsidP="00CD4C29">
            <w:pPr>
              <w:snapToGrid w:val="0"/>
              <w:spacing w:line="10" w:lineRule="atLeast"/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/>
                <w:b/>
                <w:noProof/>
              </w:rPr>
              <w:drawing>
                <wp:inline distT="0" distB="0" distL="0" distR="0">
                  <wp:extent cx="3876174" cy="2231250"/>
                  <wp:effectExtent l="19050" t="0" r="0" b="0"/>
                  <wp:docPr id="1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385" cy="222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4BB" w:rsidRPr="007F54BB" w:rsidRDefault="007F54BB" w:rsidP="007F54BB">
      <w:pPr>
        <w:pStyle w:val="FootnoteNoline"/>
        <w:rPr>
          <w:rFonts w:ascii="楷体" w:eastAsia="楷体" w:hAnsi="楷体"/>
          <w:color w:val="FF6600"/>
        </w:rPr>
      </w:pPr>
      <w:r w:rsidRPr="00FC54FE">
        <w:rPr>
          <w:rFonts w:ascii="楷体" w:eastAsia="楷体" w:hAnsi="楷体" w:hint="eastAsia"/>
          <w:color w:val="FF6600"/>
        </w:rPr>
        <w:t>来源：凯石财富工场 财汇数据</w:t>
      </w:r>
    </w:p>
    <w:p w:rsidR="00E6349C" w:rsidRPr="0043732D" w:rsidRDefault="00E6349C" w:rsidP="00E6349C">
      <w:pPr>
        <w:pStyle w:val="ab"/>
        <w:spacing w:after="163"/>
        <w:ind w:left="3430"/>
        <w:rPr>
          <w:b/>
          <w:bCs/>
          <w:color w:val="01659D"/>
          <w:sz w:val="24"/>
        </w:rPr>
      </w:pPr>
      <w:r>
        <w:rPr>
          <w:rFonts w:ascii="楷体" w:eastAsia="楷体" w:hAnsi="楷体" w:hint="eastAsia"/>
          <w:b/>
          <w:bCs/>
          <w:color w:val="0070C0"/>
          <w:szCs w:val="21"/>
        </w:rPr>
        <w:t>3、</w:t>
      </w:r>
      <w:r w:rsidRPr="00E6349C">
        <w:rPr>
          <w:rFonts w:ascii="楷体" w:eastAsia="楷体" w:hAnsi="楷体" w:hint="eastAsia"/>
          <w:b/>
          <w:bCs/>
          <w:color w:val="0070C0"/>
          <w:szCs w:val="21"/>
        </w:rPr>
        <w:t>资产配置：中美市场仍是主力，重配金融/信息技术</w:t>
      </w:r>
    </w:p>
    <w:p w:rsidR="00E6349C" w:rsidRPr="0034660C" w:rsidRDefault="009A6216" w:rsidP="0034660C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34660C">
        <w:rPr>
          <w:rFonts w:eastAsia="楷体" w:cs="Arial" w:hint="eastAsia"/>
        </w:rPr>
        <w:t>从区域配置情况看，</w:t>
      </w:r>
      <w:r w:rsidR="00E6349C" w:rsidRPr="0034660C">
        <w:rPr>
          <w:rFonts w:eastAsia="楷体" w:cs="Arial" w:hint="eastAsia"/>
        </w:rPr>
        <w:t>根据</w:t>
      </w:r>
      <w:r w:rsidR="0068284E" w:rsidRPr="0034660C">
        <w:rPr>
          <w:rFonts w:eastAsia="楷体" w:cs="Arial" w:hint="eastAsia"/>
        </w:rPr>
        <w:t>基金</w:t>
      </w:r>
      <w:r w:rsidR="00E6349C" w:rsidRPr="0034660C">
        <w:rPr>
          <w:rFonts w:eastAsia="楷体" w:cs="Arial" w:hint="eastAsia"/>
        </w:rPr>
        <w:t>1</w:t>
      </w:r>
      <w:r w:rsidR="00E6349C" w:rsidRPr="0034660C">
        <w:rPr>
          <w:rFonts w:eastAsia="楷体" w:cs="Arial" w:hint="eastAsia"/>
        </w:rPr>
        <w:t>季报数据，</w:t>
      </w:r>
      <w:r w:rsidR="00E6349C" w:rsidRPr="0034660C">
        <w:rPr>
          <w:rFonts w:eastAsia="楷体" w:cs="Arial" w:hint="eastAsia"/>
        </w:rPr>
        <w:t>QDII</w:t>
      </w:r>
      <w:r w:rsidR="00E6349C" w:rsidRPr="0034660C">
        <w:rPr>
          <w:rFonts w:eastAsia="楷体" w:cs="Arial" w:hint="eastAsia"/>
        </w:rPr>
        <w:t>在成熟市场和新兴市场的分配上继续</w:t>
      </w:r>
      <w:r w:rsidRPr="0034660C">
        <w:rPr>
          <w:rFonts w:eastAsia="楷体" w:cs="Arial" w:hint="eastAsia"/>
        </w:rPr>
        <w:t>以中美两大区域为主，</w:t>
      </w:r>
      <w:r w:rsidR="00E6349C" w:rsidRPr="0034660C">
        <w:rPr>
          <w:rFonts w:eastAsia="楷体" w:cs="Arial" w:hint="eastAsia"/>
        </w:rPr>
        <w:t>地区配置前</w:t>
      </w:r>
      <w:r w:rsidR="00E6349C" w:rsidRPr="0034660C">
        <w:rPr>
          <w:rFonts w:eastAsia="楷体" w:cs="Arial" w:hint="eastAsia"/>
        </w:rPr>
        <w:t>3</w:t>
      </w:r>
      <w:r w:rsidR="00E6349C" w:rsidRPr="0034660C">
        <w:rPr>
          <w:rFonts w:eastAsia="楷体" w:cs="Arial" w:hint="eastAsia"/>
        </w:rPr>
        <w:t>名</w:t>
      </w:r>
      <w:r w:rsidRPr="0034660C">
        <w:rPr>
          <w:rFonts w:eastAsia="楷体" w:cs="Arial" w:hint="eastAsia"/>
        </w:rPr>
        <w:t>依次</w:t>
      </w:r>
      <w:r w:rsidR="00E6349C" w:rsidRPr="0034660C">
        <w:rPr>
          <w:rFonts w:eastAsia="楷体" w:cs="Arial" w:hint="eastAsia"/>
        </w:rPr>
        <w:t>为中国香港、美国、</w:t>
      </w:r>
      <w:r w:rsidR="00E6349C" w:rsidRPr="0034660C">
        <w:rPr>
          <w:rFonts w:eastAsia="楷体" w:cs="Arial" w:hint="eastAsia"/>
        </w:rPr>
        <w:lastRenderedPageBreak/>
        <w:t>韩国；在美国和台湾地区的投资占比上升最快，分别为</w:t>
      </w:r>
      <w:r w:rsidR="00E6349C" w:rsidRPr="0034660C">
        <w:rPr>
          <w:rFonts w:eastAsia="楷体" w:cs="Arial" w:hint="eastAsia"/>
        </w:rPr>
        <w:t>2.4%</w:t>
      </w:r>
      <w:r w:rsidR="00E6349C" w:rsidRPr="0034660C">
        <w:rPr>
          <w:rFonts w:eastAsia="楷体" w:cs="Arial" w:hint="eastAsia"/>
        </w:rPr>
        <w:t>和</w:t>
      </w:r>
      <w:r w:rsidR="00E6349C" w:rsidRPr="0034660C">
        <w:rPr>
          <w:rFonts w:eastAsia="楷体" w:cs="Arial" w:hint="eastAsia"/>
        </w:rPr>
        <w:t>0.3%</w:t>
      </w:r>
      <w:r w:rsidR="00E6349C" w:rsidRPr="0034660C">
        <w:rPr>
          <w:rFonts w:eastAsia="楷体" w:cs="Arial" w:hint="eastAsia"/>
        </w:rPr>
        <w:t>；而受港股的不利行情影响，在港股的配比下降最多，达到</w:t>
      </w:r>
      <w:r w:rsidR="00E6349C" w:rsidRPr="0034660C">
        <w:rPr>
          <w:rFonts w:eastAsia="楷体" w:cs="Arial" w:hint="eastAsia"/>
        </w:rPr>
        <w:t>3.7%</w:t>
      </w:r>
      <w:r w:rsidR="00E6349C" w:rsidRPr="0034660C">
        <w:rPr>
          <w:rFonts w:eastAsia="楷体" w:cs="Arial" w:hint="eastAsia"/>
        </w:rPr>
        <w:t>。</w:t>
      </w:r>
      <w:r w:rsidR="00773E0B" w:rsidRPr="0034660C">
        <w:rPr>
          <w:rFonts w:eastAsia="楷体" w:cs="Arial" w:hint="eastAsia"/>
        </w:rPr>
        <w:t>从趋势来看，</w:t>
      </w:r>
      <w:r w:rsidR="00773E0B" w:rsidRPr="0034660C">
        <w:rPr>
          <w:rFonts w:eastAsia="楷体" w:cs="Arial" w:hint="eastAsia"/>
        </w:rPr>
        <w:t>2014</w:t>
      </w:r>
      <w:r w:rsidRPr="0034660C">
        <w:rPr>
          <w:rFonts w:eastAsia="楷体" w:cs="Arial" w:hint="eastAsia"/>
        </w:rPr>
        <w:t>年</w:t>
      </w:r>
      <w:r w:rsidRPr="0034660C">
        <w:rPr>
          <w:rFonts w:eastAsia="楷体" w:cs="Arial" w:hint="eastAsia"/>
        </w:rPr>
        <w:t>1</w:t>
      </w:r>
      <w:r w:rsidR="00773E0B" w:rsidRPr="0034660C">
        <w:rPr>
          <w:rFonts w:eastAsia="楷体" w:cs="Arial" w:hint="eastAsia"/>
        </w:rPr>
        <w:t>季度</w:t>
      </w:r>
      <w:r w:rsidRPr="0034660C">
        <w:rPr>
          <w:rFonts w:eastAsia="楷体" w:cs="Arial" w:hint="eastAsia"/>
        </w:rPr>
        <w:t>已</w:t>
      </w:r>
      <w:r w:rsidR="00773E0B" w:rsidRPr="0034660C">
        <w:rPr>
          <w:rFonts w:eastAsia="楷体" w:cs="Arial" w:hint="eastAsia"/>
        </w:rPr>
        <w:t>是</w:t>
      </w:r>
      <w:r w:rsidR="00773E0B" w:rsidRPr="0034660C">
        <w:rPr>
          <w:rFonts w:eastAsia="楷体" w:cs="Arial" w:hint="eastAsia"/>
        </w:rPr>
        <w:t>QDII</w:t>
      </w:r>
      <w:r w:rsidRPr="0034660C">
        <w:rPr>
          <w:rFonts w:eastAsia="楷体" w:cs="Arial" w:hint="eastAsia"/>
        </w:rPr>
        <w:t>连续第四个季度提升对美国市场的投资比例，</w:t>
      </w:r>
      <w:r w:rsidR="00773E0B" w:rsidRPr="0034660C">
        <w:rPr>
          <w:rFonts w:eastAsia="楷体" w:cs="Arial" w:hint="eastAsia"/>
        </w:rPr>
        <w:t>此外还提高了对韩国、印度等地的比例，使得</w:t>
      </w:r>
      <w:r w:rsidR="00773E0B" w:rsidRPr="0034660C">
        <w:rPr>
          <w:rFonts w:eastAsia="楷体" w:cs="Arial" w:hint="eastAsia"/>
        </w:rPr>
        <w:t>QDII</w:t>
      </w:r>
      <w:r w:rsidRPr="0034660C">
        <w:rPr>
          <w:rFonts w:eastAsia="楷体" w:cs="Arial" w:hint="eastAsia"/>
        </w:rPr>
        <w:t>区域配置的集中度有所下降</w:t>
      </w:r>
      <w:r w:rsidR="00773E0B" w:rsidRPr="0034660C">
        <w:rPr>
          <w:rFonts w:eastAsia="楷体" w:cs="Arial" w:hint="eastAsia"/>
        </w:rPr>
        <w:t>。</w:t>
      </w:r>
    </w:p>
    <w:p w:rsidR="00E6349C" w:rsidRPr="0034660C" w:rsidRDefault="009A6216" w:rsidP="0034660C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34660C">
        <w:rPr>
          <w:rFonts w:eastAsia="楷体" w:cs="Arial" w:hint="eastAsia"/>
        </w:rPr>
        <w:t>行业配置角度</w:t>
      </w:r>
      <w:r w:rsidR="00E6349C" w:rsidRPr="0034660C">
        <w:rPr>
          <w:rFonts w:eastAsia="楷体" w:cs="Arial" w:hint="eastAsia"/>
        </w:rPr>
        <w:t>，</w:t>
      </w:r>
      <w:r w:rsidR="00E6349C" w:rsidRPr="0034660C">
        <w:rPr>
          <w:rFonts w:eastAsia="楷体" w:cs="Arial" w:hint="eastAsia"/>
        </w:rPr>
        <w:t>QDII</w:t>
      </w:r>
      <w:r w:rsidR="00E6349C" w:rsidRPr="0034660C">
        <w:rPr>
          <w:rFonts w:eastAsia="楷体" w:cs="Arial" w:hint="eastAsia"/>
        </w:rPr>
        <w:t>在金融、信息技术和非日常消费品行业的配置继续居于核心位置，三者合计占</w:t>
      </w:r>
      <w:r w:rsidR="00E6349C" w:rsidRPr="0034660C">
        <w:rPr>
          <w:rFonts w:eastAsia="楷体" w:cs="Arial" w:hint="eastAsia"/>
        </w:rPr>
        <w:t>QDII</w:t>
      </w:r>
      <w:r w:rsidR="00E6349C" w:rsidRPr="0034660C">
        <w:rPr>
          <w:rFonts w:eastAsia="楷体" w:cs="Arial" w:hint="eastAsia"/>
        </w:rPr>
        <w:t>股票市值的</w:t>
      </w:r>
      <w:r w:rsidR="00E6349C" w:rsidRPr="0034660C">
        <w:rPr>
          <w:rFonts w:eastAsia="楷体" w:cs="Arial" w:hint="eastAsia"/>
        </w:rPr>
        <w:t>58.5%</w:t>
      </w:r>
      <w:r w:rsidR="00E6349C" w:rsidRPr="0034660C">
        <w:rPr>
          <w:rFonts w:eastAsia="楷体" w:cs="Arial" w:hint="eastAsia"/>
        </w:rPr>
        <w:t>。其中，</w:t>
      </w:r>
      <w:r w:rsidR="00E6349C" w:rsidRPr="0034660C">
        <w:rPr>
          <w:rFonts w:eastAsia="楷体" w:cs="Arial" w:hint="eastAsia"/>
        </w:rPr>
        <w:t>QDII</w:t>
      </w:r>
      <w:r w:rsidR="00E6349C" w:rsidRPr="0034660C">
        <w:rPr>
          <w:rFonts w:eastAsia="楷体" w:cs="Arial" w:hint="eastAsia"/>
        </w:rPr>
        <w:t>在信息技术和医疗保健上增持比较明显，分别上升</w:t>
      </w:r>
      <w:r w:rsidR="00E6349C" w:rsidRPr="0034660C">
        <w:rPr>
          <w:rFonts w:eastAsia="楷体" w:cs="Arial" w:hint="eastAsia"/>
        </w:rPr>
        <w:t>2.8%</w:t>
      </w:r>
      <w:r w:rsidR="00E6349C" w:rsidRPr="0034660C">
        <w:rPr>
          <w:rFonts w:eastAsia="楷体" w:cs="Arial" w:hint="eastAsia"/>
        </w:rPr>
        <w:t>和</w:t>
      </w:r>
      <w:r w:rsidR="00E6349C" w:rsidRPr="0034660C">
        <w:rPr>
          <w:rFonts w:eastAsia="楷体" w:cs="Arial" w:hint="eastAsia"/>
        </w:rPr>
        <w:t>1.6%</w:t>
      </w:r>
      <w:r w:rsidR="00E6349C" w:rsidRPr="0034660C">
        <w:rPr>
          <w:rFonts w:eastAsia="楷体" w:cs="Arial" w:hint="eastAsia"/>
        </w:rPr>
        <w:t>；而减仓比较明显的是金融和非日常生活品，下降</w:t>
      </w:r>
      <w:r w:rsidR="00E6349C" w:rsidRPr="0034660C">
        <w:rPr>
          <w:rFonts w:eastAsia="楷体" w:cs="Arial" w:hint="eastAsia"/>
        </w:rPr>
        <w:t>3.2%</w:t>
      </w:r>
      <w:r w:rsidR="00E6349C" w:rsidRPr="0034660C">
        <w:rPr>
          <w:rFonts w:eastAsia="楷体" w:cs="Arial" w:hint="eastAsia"/>
        </w:rPr>
        <w:t>和</w:t>
      </w:r>
      <w:r w:rsidR="00E6349C" w:rsidRPr="0034660C">
        <w:rPr>
          <w:rFonts w:eastAsia="楷体" w:cs="Arial" w:hint="eastAsia"/>
        </w:rPr>
        <w:t>1.6%</w:t>
      </w:r>
      <w:r w:rsidR="00E6349C" w:rsidRPr="0034660C">
        <w:rPr>
          <w:rFonts w:eastAsia="楷体" w:cs="Arial" w:hint="eastAsia"/>
        </w:rPr>
        <w:t>。</w:t>
      </w:r>
    </w:p>
    <w:p w:rsidR="0004630C" w:rsidRPr="0034660C" w:rsidRDefault="00C02323" w:rsidP="0034660C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34660C">
        <w:rPr>
          <w:rFonts w:eastAsia="楷体" w:cs="Arial" w:hint="eastAsia"/>
        </w:rPr>
        <w:t>综合来看，</w:t>
      </w:r>
      <w:r w:rsidRPr="0034660C">
        <w:rPr>
          <w:rFonts w:eastAsia="楷体" w:cs="Arial" w:hint="eastAsia"/>
        </w:rPr>
        <w:t>1</w:t>
      </w:r>
      <w:r w:rsidR="0004630C" w:rsidRPr="0034660C">
        <w:rPr>
          <w:rFonts w:eastAsia="楷体" w:cs="Arial" w:hint="eastAsia"/>
        </w:rPr>
        <w:t>季度</w:t>
      </w:r>
      <w:r w:rsidR="0004630C" w:rsidRPr="0034660C">
        <w:rPr>
          <w:rFonts w:eastAsia="楷体" w:cs="Arial" w:hint="eastAsia"/>
        </w:rPr>
        <w:t>QDII</w:t>
      </w:r>
      <w:r w:rsidRPr="0034660C">
        <w:rPr>
          <w:rFonts w:eastAsia="楷体" w:cs="Arial" w:hint="eastAsia"/>
        </w:rPr>
        <w:t>管理人</w:t>
      </w:r>
      <w:r w:rsidR="0004630C" w:rsidRPr="0034660C">
        <w:rPr>
          <w:rFonts w:eastAsia="楷体" w:cs="Arial" w:hint="eastAsia"/>
        </w:rPr>
        <w:t>的乐观情绪</w:t>
      </w:r>
      <w:r w:rsidRPr="0034660C">
        <w:rPr>
          <w:rFonts w:eastAsia="楷体" w:cs="Arial" w:hint="eastAsia"/>
        </w:rPr>
        <w:t>减退，风险偏好有所下降</w:t>
      </w:r>
      <w:r w:rsidR="0004630C" w:rsidRPr="0034660C">
        <w:rPr>
          <w:rFonts w:eastAsia="楷体" w:cs="Arial" w:hint="eastAsia"/>
        </w:rPr>
        <w:t>，</w:t>
      </w:r>
      <w:r w:rsidRPr="0034660C">
        <w:rPr>
          <w:rFonts w:eastAsia="楷体" w:cs="Arial" w:hint="eastAsia"/>
        </w:rPr>
        <w:t>因而</w:t>
      </w:r>
      <w:r w:rsidR="0004630C" w:rsidRPr="0034660C">
        <w:rPr>
          <w:rFonts w:eastAsia="楷体" w:cs="Arial" w:hint="eastAsia"/>
        </w:rPr>
        <w:t>整体上降低了权益</w:t>
      </w:r>
      <w:r w:rsidR="00F70BC8" w:rsidRPr="0034660C">
        <w:rPr>
          <w:rFonts w:eastAsia="楷体" w:cs="Arial" w:hint="eastAsia"/>
        </w:rPr>
        <w:t>类</w:t>
      </w:r>
      <w:r w:rsidR="0004630C" w:rsidRPr="0034660C">
        <w:rPr>
          <w:rFonts w:eastAsia="楷体" w:cs="Arial" w:hint="eastAsia"/>
        </w:rPr>
        <w:t>资产的配置比例。</w:t>
      </w:r>
      <w:r w:rsidRPr="0034660C">
        <w:rPr>
          <w:rFonts w:eastAsia="楷体" w:cs="Arial" w:hint="eastAsia"/>
        </w:rPr>
        <w:t>总结</w:t>
      </w:r>
      <w:r w:rsidRPr="0034660C">
        <w:rPr>
          <w:rFonts w:eastAsia="楷体" w:cs="Arial" w:hint="eastAsia"/>
        </w:rPr>
        <w:t>QDII1</w:t>
      </w:r>
      <w:r w:rsidRPr="0034660C">
        <w:rPr>
          <w:rFonts w:eastAsia="楷体" w:cs="Arial" w:hint="eastAsia"/>
        </w:rPr>
        <w:t>季报观点，管理人对于未来市场比较一致的看法是：继续看好成熟市场，关注点转向欧股；新兴市场具有向上修正动力；美联储将继续削减</w:t>
      </w:r>
      <w:r w:rsidRPr="0034660C">
        <w:rPr>
          <w:rFonts w:eastAsia="楷体" w:cs="Arial" w:hint="eastAsia"/>
        </w:rPr>
        <w:t>QE</w:t>
      </w:r>
      <w:r w:rsidRPr="0034660C">
        <w:rPr>
          <w:rFonts w:eastAsia="楷体" w:cs="Arial" w:hint="eastAsia"/>
        </w:rPr>
        <w:t>规模，其间对未来货币政策的论述可能继续影响市场；中国保增长政策短期利好市场，但对市场的支撑力度和持续时间需密切关注。</w:t>
      </w:r>
    </w:p>
    <w:tbl>
      <w:tblPr>
        <w:tblW w:w="107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2"/>
        <w:gridCol w:w="227"/>
        <w:gridCol w:w="5272"/>
      </w:tblGrid>
      <w:tr w:rsidR="005335FB" w:rsidRPr="00FC54FE" w:rsidTr="00CD4C29">
        <w:trPr>
          <w:cantSplit/>
          <w:trHeight w:val="368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5335FB" w:rsidRPr="002B62C9" w:rsidRDefault="005335FB" w:rsidP="005335FB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FC54FE">
              <w:rPr>
                <w:rFonts w:ascii="楷体" w:eastAsia="楷体" w:hAnsi="楷体"/>
                <w:color w:val="FF6600"/>
              </w:rPr>
              <w:t>图表</w:t>
            </w:r>
            <w:r w:rsidRPr="00FC54FE">
              <w:rPr>
                <w:rFonts w:ascii="楷体" w:eastAsia="楷体" w:hAnsi="楷体" w:hint="eastAsia"/>
                <w:color w:val="FF6600"/>
              </w:rPr>
              <w:t>2：</w:t>
            </w:r>
            <w:r w:rsidRPr="00FC54FE">
              <w:rPr>
                <w:rFonts w:ascii="楷体" w:eastAsia="楷体" w:hAnsi="楷体"/>
                <w:color w:val="FF6600"/>
              </w:rPr>
              <w:t xml:space="preserve"> </w:t>
            </w:r>
            <w:r w:rsidR="002B62C9">
              <w:rPr>
                <w:rFonts w:ascii="楷体" w:eastAsia="楷体" w:hAnsi="楷体" w:hint="eastAsia"/>
                <w:color w:val="FF6600"/>
              </w:rPr>
              <w:t>2014年1季度</w:t>
            </w:r>
            <w:r w:rsidR="002B62C9" w:rsidRPr="002B62C9">
              <w:rPr>
                <w:rFonts w:ascii="楷体" w:eastAsia="楷体" w:hAnsi="楷体" w:hint="eastAsia"/>
                <w:color w:val="FF6600"/>
              </w:rPr>
              <w:t>QDII资产的地区配置</w:t>
            </w:r>
            <w:r w:rsidR="0064533A">
              <w:rPr>
                <w:rFonts w:ascii="楷体" w:eastAsia="楷体" w:hAnsi="楷体" w:hint="eastAsia"/>
                <w:color w:val="FF6600"/>
              </w:rPr>
              <w:t>比例</w:t>
            </w:r>
          </w:p>
        </w:tc>
        <w:tc>
          <w:tcPr>
            <w:tcW w:w="227" w:type="dxa"/>
            <w:vAlign w:val="center"/>
          </w:tcPr>
          <w:p w:rsidR="005335FB" w:rsidRPr="00FC54FE" w:rsidRDefault="005335FB" w:rsidP="00CD4C29">
            <w:pPr>
              <w:jc w:val="center"/>
              <w:rPr>
                <w:rFonts w:ascii="楷体" w:eastAsia="楷体" w:hAnsi="楷体" w:cs="Arial"/>
                <w:b/>
                <w:bCs/>
                <w:i/>
                <w:iCs/>
                <w:color w:val="FF6600"/>
                <w:kern w:val="0"/>
                <w:szCs w:val="21"/>
                <w:lang w:val="en-GB"/>
              </w:rPr>
            </w:pPr>
          </w:p>
        </w:tc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5335FB" w:rsidRPr="00FC54FE" w:rsidRDefault="005335FB" w:rsidP="005335FB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FC54FE">
              <w:rPr>
                <w:rFonts w:ascii="楷体" w:eastAsia="楷体" w:hAnsi="楷体"/>
                <w:color w:val="FF6600"/>
              </w:rPr>
              <w:t>图表</w:t>
            </w:r>
            <w:r w:rsidRPr="00FC54FE">
              <w:rPr>
                <w:rFonts w:ascii="楷体" w:eastAsia="楷体" w:hAnsi="楷体" w:hint="eastAsia"/>
                <w:color w:val="FF6600"/>
              </w:rPr>
              <w:t>3：</w:t>
            </w:r>
            <w:r w:rsidRPr="00FC54FE">
              <w:rPr>
                <w:rFonts w:ascii="楷体" w:eastAsia="楷体" w:hAnsi="楷体"/>
                <w:color w:val="FF6600"/>
              </w:rPr>
              <w:t xml:space="preserve"> </w:t>
            </w:r>
            <w:r w:rsidR="002B62C9">
              <w:rPr>
                <w:rFonts w:ascii="楷体" w:eastAsia="楷体" w:hAnsi="楷体" w:hint="eastAsia"/>
                <w:color w:val="FF6600"/>
              </w:rPr>
              <w:t>2014年1季度</w:t>
            </w:r>
            <w:r w:rsidR="002B62C9" w:rsidRPr="002B62C9">
              <w:rPr>
                <w:rFonts w:ascii="楷体" w:eastAsia="楷体" w:hAnsi="楷体" w:hint="eastAsia"/>
                <w:color w:val="FF6600"/>
              </w:rPr>
              <w:t>QDII资产的</w:t>
            </w:r>
            <w:r w:rsidR="002B62C9">
              <w:rPr>
                <w:rFonts w:ascii="楷体" w:eastAsia="楷体" w:hAnsi="楷体" w:hint="eastAsia"/>
                <w:color w:val="FF6600"/>
              </w:rPr>
              <w:t>行业配置比例</w:t>
            </w:r>
          </w:p>
        </w:tc>
      </w:tr>
      <w:tr w:rsidR="005335FB" w:rsidRPr="00FC54FE" w:rsidTr="00CD4C29">
        <w:trPr>
          <w:cantSplit/>
          <w:trHeight w:val="3016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5335FB" w:rsidRPr="00FC54FE" w:rsidRDefault="002B62C9" w:rsidP="00CD4C29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  <w:noProof/>
              </w:rPr>
              <w:drawing>
                <wp:inline distT="0" distB="0" distL="0" distR="0">
                  <wp:extent cx="3314700" cy="2114550"/>
                  <wp:effectExtent l="19050" t="0" r="0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114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Align w:val="center"/>
          </w:tcPr>
          <w:p w:rsidR="005335FB" w:rsidRPr="00FC54FE" w:rsidRDefault="005335FB" w:rsidP="00CD4C2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5335FB" w:rsidRPr="00FC54FE" w:rsidRDefault="002B62C9" w:rsidP="00CD4C29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  <w:noProof/>
              </w:rPr>
              <w:drawing>
                <wp:inline distT="0" distB="0" distL="0" distR="0">
                  <wp:extent cx="3352165" cy="2114550"/>
                  <wp:effectExtent l="19050" t="0" r="635" b="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2114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5FB" w:rsidRPr="005335FB" w:rsidRDefault="005335FB" w:rsidP="005335FB">
      <w:pPr>
        <w:pStyle w:val="FootnoteNoline"/>
        <w:ind w:left="0"/>
        <w:rPr>
          <w:rFonts w:ascii="楷体" w:eastAsia="楷体" w:hAnsi="楷体"/>
          <w:color w:val="FF6600"/>
        </w:rPr>
      </w:pPr>
      <w:r w:rsidRPr="00FC54FE">
        <w:rPr>
          <w:rFonts w:ascii="楷体" w:eastAsia="楷体" w:hAnsi="楷体" w:hint="eastAsia"/>
          <w:color w:val="FF6600"/>
        </w:rPr>
        <w:t xml:space="preserve">来源：凯石财富工场 wind </w:t>
      </w:r>
    </w:p>
    <w:p w:rsidR="00017BB7" w:rsidRDefault="00017BB7" w:rsidP="00A70401">
      <w:pPr>
        <w:widowControl/>
        <w:spacing w:after="120" w:line="240" w:lineRule="exact"/>
        <w:ind w:left="3430"/>
        <w:rPr>
          <w:rFonts w:ascii="楷体" w:eastAsia="楷体" w:hAnsi="楷体" w:cs="Times New Roman"/>
          <w:b/>
          <w:bCs/>
          <w:color w:val="0070C0"/>
          <w:kern w:val="0"/>
          <w:sz w:val="24"/>
          <w:szCs w:val="20"/>
          <w:lang w:val="en-GB"/>
        </w:rPr>
      </w:pPr>
      <w:r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二、5月QDII</w:t>
      </w:r>
      <w:r w:rsidR="0064533A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基金</w:t>
      </w:r>
      <w:r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投资策略</w:t>
      </w:r>
    </w:p>
    <w:p w:rsidR="00A70401" w:rsidRPr="00FC54FE" w:rsidRDefault="004D511C" w:rsidP="00A70401">
      <w:pPr>
        <w:widowControl/>
        <w:spacing w:after="120" w:line="240" w:lineRule="exact"/>
        <w:ind w:left="3430"/>
        <w:rPr>
          <w:rFonts w:ascii="楷体" w:eastAsia="楷体" w:hAnsi="楷体" w:cs="Times New Roman"/>
          <w:b/>
          <w:bCs/>
          <w:color w:val="0070C0"/>
          <w:kern w:val="0"/>
          <w:sz w:val="24"/>
          <w:szCs w:val="20"/>
          <w:lang w:val="en-GB"/>
        </w:rPr>
      </w:pPr>
      <w:r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发达市场成全球经济增长主力</w:t>
      </w:r>
    </w:p>
    <w:p w:rsidR="005A341F" w:rsidRPr="008D4414" w:rsidRDefault="008B1BA4" w:rsidP="008D4414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8B1BA4">
        <w:rPr>
          <w:rFonts w:eastAsia="楷体" w:cs="Arial" w:hint="eastAsia"/>
        </w:rPr>
        <w:t>美、欧</w:t>
      </w:r>
      <w:r w:rsidR="00EE663C">
        <w:rPr>
          <w:rFonts w:eastAsia="楷体" w:cs="Arial" w:hint="eastAsia"/>
        </w:rPr>
        <w:t>等</w:t>
      </w:r>
      <w:r w:rsidR="00476223">
        <w:rPr>
          <w:rFonts w:eastAsia="楷体" w:cs="Arial" w:hint="eastAsia"/>
        </w:rPr>
        <w:t>国</w:t>
      </w:r>
      <w:r w:rsidR="00934833">
        <w:rPr>
          <w:rFonts w:eastAsia="楷体" w:cs="Arial" w:hint="eastAsia"/>
        </w:rPr>
        <w:t>继续保持弱复苏趋势，</w:t>
      </w:r>
      <w:r w:rsidR="00476223" w:rsidRPr="0034660C">
        <w:rPr>
          <w:rFonts w:eastAsia="楷体" w:cs="Arial" w:hint="eastAsia"/>
        </w:rPr>
        <w:t>全球经济增长动力明显</w:t>
      </w:r>
      <w:r w:rsidR="00476223">
        <w:rPr>
          <w:rFonts w:eastAsia="楷体" w:cs="Arial" w:hint="eastAsia"/>
        </w:rPr>
        <w:t>向发达经济体转移</w:t>
      </w:r>
      <w:r w:rsidRPr="008B1BA4">
        <w:rPr>
          <w:rFonts w:eastAsia="楷体" w:cs="Arial" w:hint="eastAsia"/>
        </w:rPr>
        <w:t>。其中</w:t>
      </w:r>
      <w:r w:rsidR="00476223">
        <w:rPr>
          <w:rFonts w:eastAsia="楷体" w:cs="Arial" w:hint="eastAsia"/>
        </w:rPr>
        <w:t>，</w:t>
      </w:r>
      <w:r w:rsidR="00BE21E0">
        <w:rPr>
          <w:rFonts w:eastAsia="楷体" w:cs="Arial" w:hint="eastAsia"/>
        </w:rPr>
        <w:t>美国经济复苏预期较为明朗</w:t>
      </w:r>
      <w:r w:rsidR="009A2569">
        <w:rPr>
          <w:rFonts w:eastAsia="楷体" w:cs="Arial" w:hint="eastAsia"/>
        </w:rPr>
        <w:t>，房地产市场和</w:t>
      </w:r>
      <w:r w:rsidR="00924EBC">
        <w:rPr>
          <w:rFonts w:eastAsia="楷体" w:cs="Arial" w:hint="eastAsia"/>
        </w:rPr>
        <w:t>非农就业、制造业</w:t>
      </w:r>
      <w:r w:rsidR="009A2569">
        <w:rPr>
          <w:rFonts w:eastAsia="楷体" w:cs="Arial" w:hint="eastAsia"/>
        </w:rPr>
        <w:t>等</w:t>
      </w:r>
      <w:r w:rsidR="00924EBC">
        <w:rPr>
          <w:rFonts w:eastAsia="楷体" w:cs="Arial" w:hint="eastAsia"/>
        </w:rPr>
        <w:t>数据</w:t>
      </w:r>
      <w:r w:rsidR="004D511C" w:rsidRPr="008B1BA4">
        <w:rPr>
          <w:rFonts w:eastAsia="楷体" w:cs="Arial" w:hint="eastAsia"/>
        </w:rPr>
        <w:t>持续回暖</w:t>
      </w:r>
      <w:r w:rsidR="004D511C">
        <w:rPr>
          <w:rFonts w:eastAsia="楷体" w:cs="Arial" w:hint="eastAsia"/>
        </w:rPr>
        <w:t>，</w:t>
      </w:r>
      <w:r w:rsidR="006C4947">
        <w:rPr>
          <w:rFonts w:eastAsia="楷体" w:cs="Arial" w:hint="eastAsia"/>
        </w:rPr>
        <w:t>助推</w:t>
      </w:r>
      <w:r w:rsidR="004D511C">
        <w:rPr>
          <w:rFonts w:eastAsia="楷体" w:cs="Arial" w:hint="eastAsia"/>
        </w:rPr>
        <w:t>市场长期向好</w:t>
      </w:r>
      <w:r w:rsidR="004D511C" w:rsidRPr="008B1BA4">
        <w:rPr>
          <w:rFonts w:eastAsia="楷体" w:cs="Arial" w:hint="eastAsia"/>
        </w:rPr>
        <w:t>。</w:t>
      </w:r>
      <w:r w:rsidR="00976D8A">
        <w:rPr>
          <w:rFonts w:eastAsia="楷体" w:cs="Arial" w:hint="eastAsia"/>
        </w:rPr>
        <w:t>欧洲</w:t>
      </w:r>
      <w:r w:rsidR="004D511C">
        <w:rPr>
          <w:rFonts w:eastAsia="楷体" w:cs="Arial" w:hint="eastAsia"/>
        </w:rPr>
        <w:t>物价</w:t>
      </w:r>
      <w:r w:rsidRPr="008B1BA4">
        <w:rPr>
          <w:rFonts w:eastAsia="楷体" w:cs="Arial" w:hint="eastAsia"/>
        </w:rPr>
        <w:t>通缩</w:t>
      </w:r>
      <w:r w:rsidR="00976D8A">
        <w:rPr>
          <w:rFonts w:eastAsia="楷体" w:cs="Arial" w:hint="eastAsia"/>
        </w:rPr>
        <w:t>或对</w:t>
      </w:r>
      <w:r w:rsidR="004D511C">
        <w:rPr>
          <w:rFonts w:eastAsia="楷体" w:cs="Arial" w:hint="eastAsia"/>
        </w:rPr>
        <w:t>经济回温构成不利影响，</w:t>
      </w:r>
      <w:r w:rsidRPr="008B1BA4">
        <w:rPr>
          <w:rFonts w:eastAsia="楷体" w:cs="Arial" w:hint="eastAsia"/>
        </w:rPr>
        <w:t>但</w:t>
      </w:r>
      <w:r w:rsidR="0054605E">
        <w:rPr>
          <w:rFonts w:eastAsia="楷体" w:cs="Arial" w:hint="eastAsia"/>
        </w:rPr>
        <w:t>也增强</w:t>
      </w:r>
      <w:r w:rsidR="004D511C">
        <w:rPr>
          <w:rFonts w:eastAsia="楷体" w:cs="Arial" w:hint="eastAsia"/>
        </w:rPr>
        <w:t>了相对宽松货币政策的预期，</w:t>
      </w:r>
      <w:r w:rsidRPr="008B1BA4">
        <w:rPr>
          <w:rFonts w:eastAsia="楷体" w:cs="Arial" w:hint="eastAsia"/>
        </w:rPr>
        <w:t>甚至</w:t>
      </w:r>
      <w:r w:rsidR="006C4947">
        <w:rPr>
          <w:rFonts w:eastAsia="楷体" w:cs="Arial" w:hint="eastAsia"/>
        </w:rPr>
        <w:t>有</w:t>
      </w:r>
      <w:r w:rsidR="004D511C">
        <w:rPr>
          <w:rFonts w:eastAsia="楷体" w:cs="Arial" w:hint="eastAsia"/>
        </w:rPr>
        <w:t>部分国家</w:t>
      </w:r>
      <w:r w:rsidR="00EE663C">
        <w:rPr>
          <w:rFonts w:eastAsia="楷体" w:cs="Arial" w:hint="eastAsia"/>
        </w:rPr>
        <w:t>推出刺激经济政策</w:t>
      </w:r>
      <w:r w:rsidR="004D511C">
        <w:rPr>
          <w:rFonts w:eastAsia="楷体" w:cs="Arial" w:hint="eastAsia"/>
        </w:rPr>
        <w:t>的可能</w:t>
      </w:r>
      <w:r w:rsidR="0054605E">
        <w:rPr>
          <w:rFonts w:eastAsia="楷体" w:cs="Arial" w:hint="eastAsia"/>
        </w:rPr>
        <w:t>。值得注意的是</w:t>
      </w:r>
      <w:r w:rsidRPr="008B1BA4">
        <w:rPr>
          <w:rFonts w:eastAsia="楷体" w:cs="Arial" w:hint="eastAsia"/>
        </w:rPr>
        <w:t>，</w:t>
      </w:r>
      <w:r w:rsidR="0054605E">
        <w:rPr>
          <w:rFonts w:eastAsia="楷体" w:cs="Arial" w:hint="eastAsia"/>
        </w:rPr>
        <w:t>近期</w:t>
      </w:r>
      <w:r w:rsidR="00AF2F54">
        <w:rPr>
          <w:rFonts w:eastAsia="楷体" w:cs="Arial" w:hint="eastAsia"/>
        </w:rPr>
        <w:t>克里米亚</w:t>
      </w:r>
      <w:r w:rsidR="0054605E">
        <w:rPr>
          <w:rFonts w:eastAsia="楷体" w:cs="Arial" w:hint="eastAsia"/>
        </w:rPr>
        <w:t>局势不确定性大增，欧洲</w:t>
      </w:r>
      <w:r w:rsidR="006C4947">
        <w:rPr>
          <w:rFonts w:eastAsia="楷体" w:cs="Arial" w:hint="eastAsia"/>
        </w:rPr>
        <w:t>市场风险</w:t>
      </w:r>
      <w:r w:rsidR="0054605E">
        <w:rPr>
          <w:rFonts w:eastAsia="楷体" w:cs="Arial" w:hint="eastAsia"/>
        </w:rPr>
        <w:t>上升</w:t>
      </w:r>
      <w:r w:rsidR="004D511C">
        <w:rPr>
          <w:rFonts w:eastAsia="楷体" w:cs="Arial" w:hint="eastAsia"/>
        </w:rPr>
        <w:t>。</w:t>
      </w:r>
    </w:p>
    <w:p w:rsidR="00256A3A" w:rsidRPr="00FC54FE" w:rsidRDefault="00256A3A" w:rsidP="00256A3A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FC54FE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美国</w:t>
      </w:r>
      <w:r w:rsidR="001E40D5" w:rsidRPr="00FC54FE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：</w:t>
      </w:r>
      <w:r w:rsidR="009A2569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经济稳步</w:t>
      </w:r>
      <w:r w:rsidR="00144127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复苏，联储表态充满信心</w:t>
      </w:r>
    </w:p>
    <w:p w:rsidR="003039BE" w:rsidRPr="009B2A92" w:rsidRDefault="009B2A92" w:rsidP="009B2A92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>
        <w:rPr>
          <w:rFonts w:eastAsia="楷体" w:cs="Arial" w:hint="eastAsia"/>
        </w:rPr>
        <w:t>美国经济数据继续向好</w:t>
      </w:r>
      <w:r w:rsidRPr="009B2A92">
        <w:rPr>
          <w:rFonts w:eastAsia="楷体" w:cs="Arial" w:hint="eastAsia"/>
        </w:rPr>
        <w:t>。</w:t>
      </w:r>
      <w:r w:rsidR="00BE21E0">
        <w:rPr>
          <w:rFonts w:eastAsia="楷体" w:cs="Arial" w:hint="eastAsia"/>
        </w:rPr>
        <w:t>受恶劣天气因素影响，美国</w:t>
      </w:r>
      <w:r w:rsidR="00BE21E0" w:rsidRPr="003039BE">
        <w:rPr>
          <w:rFonts w:eastAsia="楷体" w:cs="Arial" w:hint="eastAsia"/>
        </w:rPr>
        <w:t>一季</w:t>
      </w:r>
      <w:r w:rsidR="00BE21E0">
        <w:rPr>
          <w:rFonts w:eastAsia="楷体" w:cs="Arial" w:hint="eastAsia"/>
        </w:rPr>
        <w:t>度经济差强人意</w:t>
      </w:r>
      <w:r w:rsidR="00BE21E0" w:rsidRPr="003039BE">
        <w:rPr>
          <w:rFonts w:eastAsia="楷体" w:cs="Arial" w:hint="eastAsia"/>
        </w:rPr>
        <w:t>，但</w:t>
      </w:r>
      <w:r w:rsidR="00BE21E0" w:rsidRPr="003039BE">
        <w:rPr>
          <w:rFonts w:eastAsia="楷体" w:cs="Arial" w:hint="eastAsia"/>
        </w:rPr>
        <w:t>4</w:t>
      </w:r>
      <w:r w:rsidR="00BE21E0" w:rsidRPr="003039BE">
        <w:rPr>
          <w:rFonts w:eastAsia="楷体" w:cs="Arial" w:hint="eastAsia"/>
        </w:rPr>
        <w:t>月</w:t>
      </w:r>
      <w:r w:rsidR="00BE21E0">
        <w:rPr>
          <w:rFonts w:eastAsia="楷体" w:cs="Arial" w:hint="eastAsia"/>
        </w:rPr>
        <w:t>份超预期的非农数据</w:t>
      </w:r>
      <w:r w:rsidR="00BE21E0" w:rsidRPr="003039BE">
        <w:rPr>
          <w:rFonts w:eastAsia="楷体" w:cs="Arial" w:hint="eastAsia"/>
        </w:rPr>
        <w:t>表明二季度美国经济</w:t>
      </w:r>
      <w:r w:rsidR="004C10B7">
        <w:rPr>
          <w:rFonts w:eastAsia="楷体" w:cs="Arial" w:hint="eastAsia"/>
        </w:rPr>
        <w:t>将大幅度改善</w:t>
      </w:r>
      <w:r w:rsidR="00BE21E0">
        <w:rPr>
          <w:rFonts w:eastAsia="楷体" w:cs="Arial" w:hint="eastAsia"/>
        </w:rPr>
        <w:t>。美联储对美国经济前景充满信心，把年初较差</w:t>
      </w:r>
      <w:r w:rsidR="002D3E44">
        <w:rPr>
          <w:rFonts w:eastAsia="楷体" w:cs="Arial" w:hint="eastAsia"/>
        </w:rPr>
        <w:t>的经济</w:t>
      </w:r>
      <w:r w:rsidR="00BE21E0" w:rsidRPr="003039BE">
        <w:rPr>
          <w:rFonts w:eastAsia="楷体" w:cs="Arial" w:hint="eastAsia"/>
        </w:rPr>
        <w:t>归咎于</w:t>
      </w:r>
      <w:r w:rsidR="00BE21E0">
        <w:rPr>
          <w:rFonts w:eastAsia="楷体" w:cs="Arial" w:hint="eastAsia"/>
        </w:rPr>
        <w:t>极寒天气，并称最近公布的数据已指向经济正在加快增长中。最近一次的美联储</w:t>
      </w:r>
      <w:r w:rsidR="00BE21E0" w:rsidRPr="003039BE">
        <w:rPr>
          <w:rFonts w:eastAsia="楷体" w:cs="Arial" w:hint="eastAsia"/>
        </w:rPr>
        <w:t>议息会议</w:t>
      </w:r>
      <w:r w:rsidR="00BE21E0">
        <w:rPr>
          <w:rFonts w:eastAsia="楷体" w:cs="Arial" w:hint="eastAsia"/>
        </w:rPr>
        <w:t>显示</w:t>
      </w:r>
      <w:r w:rsidR="00BE21E0" w:rsidRPr="003039BE">
        <w:rPr>
          <w:rFonts w:eastAsia="楷体" w:cs="Arial" w:hint="eastAsia"/>
        </w:rPr>
        <w:t>，耶伦对美国经济前景的信心明显较上次议</w:t>
      </w:r>
      <w:r w:rsidR="00BE21E0">
        <w:rPr>
          <w:rFonts w:eastAsia="楷体" w:cs="Arial" w:hint="eastAsia"/>
        </w:rPr>
        <w:t>息会强。不过在美联储何时加息的问题上耶伦在其声明中并没有给予</w:t>
      </w:r>
      <w:r w:rsidR="00BE21E0" w:rsidRPr="003039BE">
        <w:rPr>
          <w:rFonts w:eastAsia="楷体" w:cs="Arial" w:hint="eastAsia"/>
        </w:rPr>
        <w:t>新的启示。</w:t>
      </w:r>
    </w:p>
    <w:p w:rsidR="003039BE" w:rsidRDefault="009B2A92" w:rsidP="004C10B7">
      <w:pPr>
        <w:pStyle w:val="ab"/>
        <w:numPr>
          <w:ilvl w:val="5"/>
          <w:numId w:val="2"/>
        </w:numPr>
        <w:spacing w:after="163"/>
        <w:ind w:left="4140" w:hanging="369"/>
        <w:rPr>
          <w:rFonts w:eastAsia="楷体" w:hAnsi="楷体" w:cs="Arial"/>
        </w:rPr>
      </w:pPr>
      <w:r>
        <w:rPr>
          <w:rFonts w:eastAsia="楷体" w:hAnsi="楷体" w:cs="Arial" w:hint="eastAsia"/>
        </w:rPr>
        <w:t>美国</w:t>
      </w:r>
      <w:r w:rsidR="003039BE" w:rsidRPr="004C10B7">
        <w:rPr>
          <w:rFonts w:eastAsia="楷体" w:hAnsi="楷体" w:cs="Arial" w:hint="eastAsia"/>
        </w:rPr>
        <w:t>一季度实际</w:t>
      </w:r>
      <w:r w:rsidR="003039BE" w:rsidRPr="004C10B7">
        <w:rPr>
          <w:rFonts w:eastAsia="楷体" w:hAnsi="楷体" w:cs="Arial" w:hint="eastAsia"/>
        </w:rPr>
        <w:t>GDP</w:t>
      </w:r>
      <w:r w:rsidR="003039BE" w:rsidRPr="004C10B7">
        <w:rPr>
          <w:rFonts w:eastAsia="楷体" w:hAnsi="楷体" w:cs="Arial" w:hint="eastAsia"/>
        </w:rPr>
        <w:t>初值年化季率仅增长</w:t>
      </w:r>
      <w:r w:rsidR="003039BE" w:rsidRPr="004C10B7">
        <w:rPr>
          <w:rFonts w:eastAsia="楷体" w:hAnsi="楷体" w:cs="Arial" w:hint="eastAsia"/>
        </w:rPr>
        <w:t>0.1%</w:t>
      </w:r>
      <w:r>
        <w:rPr>
          <w:rFonts w:eastAsia="楷体" w:hAnsi="楷体" w:cs="Arial" w:hint="eastAsia"/>
        </w:rPr>
        <w:t>，远不及预期的</w:t>
      </w:r>
      <w:r w:rsidR="003039BE" w:rsidRPr="004C10B7">
        <w:rPr>
          <w:rFonts w:eastAsia="楷体" w:hAnsi="楷体" w:cs="Arial" w:hint="eastAsia"/>
        </w:rPr>
        <w:t>1.2%</w:t>
      </w:r>
      <w:r w:rsidR="003039BE" w:rsidRPr="004C10B7">
        <w:rPr>
          <w:rFonts w:eastAsia="楷体" w:hAnsi="楷体" w:cs="Arial" w:hint="eastAsia"/>
        </w:rPr>
        <w:t>，创</w:t>
      </w:r>
      <w:r w:rsidR="003039BE" w:rsidRPr="004C10B7">
        <w:rPr>
          <w:rFonts w:eastAsia="楷体" w:hAnsi="楷体" w:cs="Arial" w:hint="eastAsia"/>
        </w:rPr>
        <w:t>2012</w:t>
      </w:r>
      <w:r>
        <w:rPr>
          <w:rFonts w:eastAsia="楷体" w:hAnsi="楷体" w:cs="Arial" w:hint="eastAsia"/>
        </w:rPr>
        <w:t>年四季度以来的新低；去年第</w:t>
      </w:r>
      <w:r w:rsidR="003039BE" w:rsidRPr="004C10B7">
        <w:rPr>
          <w:rFonts w:eastAsia="楷体" w:hAnsi="楷体" w:cs="Arial" w:hint="eastAsia"/>
        </w:rPr>
        <w:t>四季度增长</w:t>
      </w:r>
      <w:r w:rsidR="003039BE" w:rsidRPr="004C10B7">
        <w:rPr>
          <w:rFonts w:eastAsia="楷体" w:hAnsi="楷体" w:cs="Arial" w:hint="eastAsia"/>
        </w:rPr>
        <w:t>2.6%</w:t>
      </w:r>
      <w:r w:rsidR="003039BE" w:rsidRPr="004C10B7">
        <w:rPr>
          <w:rFonts w:eastAsia="楷体" w:hAnsi="楷体" w:cs="Arial" w:hint="eastAsia"/>
        </w:rPr>
        <w:t>。</w:t>
      </w:r>
      <w:r w:rsidR="003039BE" w:rsidRPr="004C10B7">
        <w:rPr>
          <w:rFonts w:eastAsia="楷体" w:hAnsi="楷体" w:cs="Arial" w:hint="eastAsia"/>
        </w:rPr>
        <w:t>GDP</w:t>
      </w:r>
      <w:r>
        <w:rPr>
          <w:rFonts w:eastAsia="楷体" w:hAnsi="楷体" w:cs="Arial" w:hint="eastAsia"/>
        </w:rPr>
        <w:t>数据公布后，</w:t>
      </w:r>
      <w:r w:rsidR="003039BE" w:rsidRPr="004C10B7">
        <w:rPr>
          <w:rFonts w:eastAsia="楷体" w:hAnsi="楷体" w:cs="Arial" w:hint="eastAsia"/>
        </w:rPr>
        <w:t>美联储将</w:t>
      </w:r>
      <w:r w:rsidR="003039BE" w:rsidRPr="004C10B7">
        <w:rPr>
          <w:rFonts w:eastAsia="楷体" w:hAnsi="楷体" w:cs="Arial" w:hint="eastAsia"/>
        </w:rPr>
        <w:t>QE</w:t>
      </w:r>
      <w:r w:rsidR="003039BE" w:rsidRPr="004C10B7">
        <w:rPr>
          <w:rFonts w:eastAsia="楷体" w:hAnsi="楷体" w:cs="Arial" w:hint="eastAsia"/>
        </w:rPr>
        <w:t>再次缩减</w:t>
      </w:r>
      <w:r w:rsidR="003039BE" w:rsidRPr="004C10B7">
        <w:rPr>
          <w:rFonts w:eastAsia="楷体" w:hAnsi="楷体" w:cs="Arial" w:hint="eastAsia"/>
        </w:rPr>
        <w:t>100</w:t>
      </w:r>
      <w:r>
        <w:rPr>
          <w:rFonts w:eastAsia="楷体" w:hAnsi="楷体" w:cs="Arial" w:hint="eastAsia"/>
        </w:rPr>
        <w:t>亿美元</w:t>
      </w:r>
      <w:r w:rsidR="003039BE" w:rsidRPr="004C10B7">
        <w:rPr>
          <w:rFonts w:eastAsia="楷体" w:hAnsi="楷体" w:cs="Arial" w:hint="eastAsia"/>
        </w:rPr>
        <w:t>至每月</w:t>
      </w:r>
      <w:r w:rsidR="003039BE" w:rsidRPr="004C10B7">
        <w:rPr>
          <w:rFonts w:eastAsia="楷体" w:hAnsi="楷体" w:cs="Arial" w:hint="eastAsia"/>
        </w:rPr>
        <w:t>450</w:t>
      </w:r>
      <w:r>
        <w:rPr>
          <w:rFonts w:eastAsia="楷体" w:hAnsi="楷体" w:cs="Arial" w:hint="eastAsia"/>
        </w:rPr>
        <w:t>亿美元；</w:t>
      </w:r>
      <w:r w:rsidRPr="009B2A92">
        <w:rPr>
          <w:rFonts w:eastAsia="楷体" w:hAnsi="楷体" w:cs="Arial" w:hint="eastAsia"/>
        </w:rPr>
        <w:t>维持联邦基金利率目标区间在</w:t>
      </w:r>
      <w:r w:rsidRPr="009B2A92">
        <w:rPr>
          <w:rFonts w:eastAsia="楷体" w:hAnsi="楷体" w:cs="Arial"/>
        </w:rPr>
        <w:t>0~0.25%</w:t>
      </w:r>
      <w:r w:rsidRPr="009B2A92">
        <w:rPr>
          <w:rFonts w:eastAsia="楷体" w:hAnsi="楷体" w:cs="Arial" w:hint="eastAsia"/>
        </w:rPr>
        <w:t>不变</w:t>
      </w:r>
      <w:r>
        <w:rPr>
          <w:rFonts w:eastAsia="楷体" w:hAnsi="楷体" w:cs="Arial" w:hint="eastAsia"/>
        </w:rPr>
        <w:t>；</w:t>
      </w:r>
      <w:r w:rsidRPr="009B2A92">
        <w:rPr>
          <w:rFonts w:eastAsia="楷体" w:hAnsi="楷体" w:cs="Arial" w:hint="eastAsia"/>
        </w:rPr>
        <w:t>从</w:t>
      </w:r>
      <w:r w:rsidRPr="009B2A92">
        <w:rPr>
          <w:rFonts w:eastAsia="楷体" w:hAnsi="楷体" w:cs="Arial"/>
        </w:rPr>
        <w:t>5</w:t>
      </w:r>
      <w:r>
        <w:rPr>
          <w:rFonts w:eastAsia="楷体" w:hAnsi="楷体" w:cs="Arial" w:hint="eastAsia"/>
        </w:rPr>
        <w:t>月起</w:t>
      </w:r>
      <w:r w:rsidRPr="009B2A92">
        <w:rPr>
          <w:rFonts w:eastAsia="楷体" w:hAnsi="楷体" w:cs="Arial" w:hint="eastAsia"/>
        </w:rPr>
        <w:t>每月购买</w:t>
      </w:r>
      <w:r w:rsidRPr="009B2A92">
        <w:rPr>
          <w:rFonts w:eastAsia="楷体" w:hAnsi="楷体" w:cs="Arial"/>
        </w:rPr>
        <w:t>200</w:t>
      </w:r>
      <w:r w:rsidRPr="009B2A92">
        <w:rPr>
          <w:rFonts w:eastAsia="楷体" w:hAnsi="楷体" w:cs="Arial" w:hint="eastAsia"/>
        </w:rPr>
        <w:t>亿美元</w:t>
      </w:r>
      <w:r w:rsidRPr="009B2A92">
        <w:rPr>
          <w:rFonts w:eastAsia="楷体" w:hAnsi="楷体" w:cs="Arial"/>
        </w:rPr>
        <w:t>MBS</w:t>
      </w:r>
      <w:r w:rsidRPr="009B2A92">
        <w:rPr>
          <w:rFonts w:eastAsia="楷体" w:hAnsi="楷体" w:cs="Arial" w:hint="eastAsia"/>
        </w:rPr>
        <w:t>和</w:t>
      </w:r>
      <w:r w:rsidRPr="009B2A92">
        <w:rPr>
          <w:rFonts w:eastAsia="楷体" w:hAnsi="楷体" w:cs="Arial"/>
        </w:rPr>
        <w:t>250</w:t>
      </w:r>
      <w:r>
        <w:rPr>
          <w:rFonts w:eastAsia="楷体" w:hAnsi="楷体" w:cs="Arial" w:hint="eastAsia"/>
        </w:rPr>
        <w:t>亿美元美国国债；维持前瞻指引不变。上述举措符合市场预期</w:t>
      </w:r>
      <w:r w:rsidR="003039BE" w:rsidRPr="004C10B7">
        <w:rPr>
          <w:rFonts w:eastAsia="楷体" w:hAnsi="楷体" w:cs="Arial" w:hint="eastAsia"/>
        </w:rPr>
        <w:t>。</w:t>
      </w:r>
    </w:p>
    <w:p w:rsidR="009B2A92" w:rsidRDefault="009B2A92" w:rsidP="004C10B7">
      <w:pPr>
        <w:pStyle w:val="ab"/>
        <w:numPr>
          <w:ilvl w:val="5"/>
          <w:numId w:val="2"/>
        </w:numPr>
        <w:spacing w:after="163"/>
        <w:ind w:left="4140" w:hanging="369"/>
        <w:rPr>
          <w:rFonts w:eastAsia="楷体" w:hAnsi="楷体" w:cs="Arial"/>
        </w:rPr>
      </w:pPr>
      <w:r>
        <w:rPr>
          <w:rFonts w:eastAsia="楷体" w:hAnsi="楷体" w:cs="Arial" w:hint="eastAsia"/>
        </w:rPr>
        <w:lastRenderedPageBreak/>
        <w:t>美</w:t>
      </w:r>
      <w:r w:rsidRPr="004C10B7">
        <w:rPr>
          <w:rFonts w:eastAsia="楷体" w:hAnsi="楷体" w:cs="Arial" w:hint="eastAsia"/>
        </w:rPr>
        <w:t>4</w:t>
      </w:r>
      <w:r w:rsidRPr="004C10B7">
        <w:rPr>
          <w:rFonts w:eastAsia="楷体" w:hAnsi="楷体" w:cs="Arial" w:hint="eastAsia"/>
        </w:rPr>
        <w:t>月</w:t>
      </w:r>
      <w:r>
        <w:rPr>
          <w:rFonts w:eastAsia="楷体" w:hAnsi="楷体" w:cs="Arial" w:hint="eastAsia"/>
        </w:rPr>
        <w:t>份</w:t>
      </w:r>
      <w:r w:rsidRPr="004C10B7">
        <w:rPr>
          <w:rFonts w:eastAsia="楷体" w:hAnsi="楷体" w:cs="Arial" w:hint="eastAsia"/>
        </w:rPr>
        <w:t>非</w:t>
      </w:r>
      <w:r>
        <w:rPr>
          <w:rFonts w:eastAsia="楷体" w:hAnsi="楷体" w:cs="Arial" w:hint="eastAsia"/>
        </w:rPr>
        <w:t>农数据大幅超出市场预期，也令市场</w:t>
      </w:r>
      <w:r w:rsidRPr="004C10B7">
        <w:rPr>
          <w:rFonts w:eastAsia="楷体" w:hAnsi="楷体" w:cs="Arial" w:hint="eastAsia"/>
        </w:rPr>
        <w:t>确信未来美联储继续缩减</w:t>
      </w:r>
      <w:r w:rsidRPr="004C10B7">
        <w:rPr>
          <w:rFonts w:eastAsia="楷体" w:hAnsi="楷体" w:cs="Arial" w:hint="eastAsia"/>
        </w:rPr>
        <w:t>QE</w:t>
      </w:r>
      <w:r w:rsidRPr="004C10B7">
        <w:rPr>
          <w:rFonts w:eastAsia="楷体" w:hAnsi="楷体" w:cs="Arial" w:hint="eastAsia"/>
        </w:rPr>
        <w:t>的步伐仍会持续。</w:t>
      </w:r>
      <w:r>
        <w:rPr>
          <w:rFonts w:eastAsia="楷体" w:hAnsi="楷体" w:cs="Arial" w:hint="eastAsia"/>
        </w:rPr>
        <w:t>5</w:t>
      </w:r>
      <w:r>
        <w:rPr>
          <w:rFonts w:eastAsia="楷体" w:hAnsi="楷体" w:cs="Arial" w:hint="eastAsia"/>
        </w:rPr>
        <w:t>月</w:t>
      </w:r>
      <w:r>
        <w:rPr>
          <w:rFonts w:eastAsia="楷体" w:hAnsi="楷体" w:cs="Arial" w:hint="eastAsia"/>
        </w:rPr>
        <w:t>2</w:t>
      </w:r>
      <w:r>
        <w:rPr>
          <w:rFonts w:eastAsia="楷体" w:hAnsi="楷体" w:cs="Arial" w:hint="eastAsia"/>
        </w:rPr>
        <w:t>日</w:t>
      </w:r>
      <w:r w:rsidRPr="004C10B7">
        <w:rPr>
          <w:rFonts w:eastAsia="楷体" w:hAnsi="楷体" w:cs="Arial" w:hint="eastAsia"/>
        </w:rPr>
        <w:t>公布的数据显示，美国</w:t>
      </w:r>
      <w:r w:rsidRPr="004C10B7">
        <w:rPr>
          <w:rFonts w:eastAsia="楷体" w:hAnsi="楷体" w:cs="Arial" w:hint="eastAsia"/>
        </w:rPr>
        <w:t>4</w:t>
      </w:r>
      <w:r w:rsidRPr="004C10B7">
        <w:rPr>
          <w:rFonts w:eastAsia="楷体" w:hAnsi="楷体" w:cs="Arial" w:hint="eastAsia"/>
        </w:rPr>
        <w:t>月非农就业人数增加</w:t>
      </w:r>
      <w:r w:rsidRPr="004C10B7">
        <w:rPr>
          <w:rFonts w:eastAsia="楷体" w:hAnsi="楷体" w:cs="Arial" w:hint="eastAsia"/>
        </w:rPr>
        <w:t>28.8</w:t>
      </w:r>
      <w:r w:rsidRPr="004C10B7">
        <w:rPr>
          <w:rFonts w:eastAsia="楷体" w:hAnsi="楷体" w:cs="Arial" w:hint="eastAsia"/>
        </w:rPr>
        <w:t>万人，创</w:t>
      </w:r>
      <w:r w:rsidRPr="004C10B7">
        <w:rPr>
          <w:rFonts w:eastAsia="楷体" w:hAnsi="楷体" w:cs="Arial" w:hint="eastAsia"/>
        </w:rPr>
        <w:t>2012</w:t>
      </w:r>
      <w:r w:rsidRPr="004C10B7">
        <w:rPr>
          <w:rFonts w:eastAsia="楷体" w:hAnsi="楷体" w:cs="Arial" w:hint="eastAsia"/>
        </w:rPr>
        <w:t>年</w:t>
      </w:r>
      <w:r w:rsidRPr="004C10B7">
        <w:rPr>
          <w:rFonts w:eastAsia="楷体" w:hAnsi="楷体" w:cs="Arial" w:hint="eastAsia"/>
        </w:rPr>
        <w:t>1</w:t>
      </w:r>
      <w:r w:rsidRPr="004C10B7">
        <w:rPr>
          <w:rFonts w:eastAsia="楷体" w:hAnsi="楷体" w:cs="Arial" w:hint="eastAsia"/>
        </w:rPr>
        <w:t>月以来最大值；</w:t>
      </w:r>
      <w:r w:rsidRPr="004C10B7">
        <w:rPr>
          <w:rFonts w:eastAsia="楷体" w:hAnsi="楷体" w:cs="Arial" w:hint="eastAsia"/>
        </w:rPr>
        <w:t>4</w:t>
      </w:r>
      <w:r w:rsidRPr="004C10B7">
        <w:rPr>
          <w:rFonts w:eastAsia="楷体" w:hAnsi="楷体" w:cs="Arial" w:hint="eastAsia"/>
        </w:rPr>
        <w:t>月份失业率降至</w:t>
      </w:r>
      <w:r w:rsidRPr="004C10B7">
        <w:rPr>
          <w:rFonts w:eastAsia="楷体" w:hAnsi="楷体" w:cs="Arial" w:hint="eastAsia"/>
        </w:rPr>
        <w:t>6.3%</w:t>
      </w:r>
      <w:r w:rsidRPr="004C10B7">
        <w:rPr>
          <w:rFonts w:eastAsia="楷体" w:hAnsi="楷体" w:cs="Arial" w:hint="eastAsia"/>
        </w:rPr>
        <w:t>，创</w:t>
      </w:r>
      <w:r w:rsidRPr="004C10B7">
        <w:rPr>
          <w:rFonts w:eastAsia="楷体" w:hAnsi="楷体" w:cs="Arial" w:hint="eastAsia"/>
        </w:rPr>
        <w:t>2008</w:t>
      </w:r>
      <w:r w:rsidRPr="004C10B7">
        <w:rPr>
          <w:rFonts w:eastAsia="楷体" w:hAnsi="楷体" w:cs="Arial" w:hint="eastAsia"/>
        </w:rPr>
        <w:t>年</w:t>
      </w:r>
      <w:r w:rsidRPr="004C10B7">
        <w:rPr>
          <w:rFonts w:eastAsia="楷体" w:hAnsi="楷体" w:cs="Arial" w:hint="eastAsia"/>
        </w:rPr>
        <w:t>9</w:t>
      </w:r>
      <w:r w:rsidRPr="004C10B7">
        <w:rPr>
          <w:rFonts w:eastAsia="楷体" w:hAnsi="楷体" w:cs="Arial" w:hint="eastAsia"/>
        </w:rPr>
        <w:t>月来的新低。</w:t>
      </w:r>
      <w:r>
        <w:rPr>
          <w:rFonts w:eastAsia="楷体" w:hAnsi="楷体" w:cs="Arial" w:hint="eastAsia"/>
        </w:rPr>
        <w:t>尽管就业参与率继续下降，仍</w:t>
      </w:r>
      <w:r w:rsidRPr="004C10B7">
        <w:rPr>
          <w:rFonts w:eastAsia="楷体" w:hAnsi="楷体" w:cs="Arial" w:hint="eastAsia"/>
        </w:rPr>
        <w:t>难掩美国经济复苏</w:t>
      </w:r>
      <w:r>
        <w:rPr>
          <w:rFonts w:eastAsia="楷体" w:hAnsi="楷体" w:cs="Arial" w:hint="eastAsia"/>
        </w:rPr>
        <w:t>势头</w:t>
      </w:r>
      <w:r w:rsidRPr="004C10B7">
        <w:rPr>
          <w:rFonts w:eastAsia="楷体" w:hAnsi="楷体" w:cs="Arial" w:hint="eastAsia"/>
        </w:rPr>
        <w:t>。</w:t>
      </w:r>
    </w:p>
    <w:p w:rsidR="008A7FEE" w:rsidRDefault="008A7FEE" w:rsidP="008A7FEE">
      <w:pPr>
        <w:pStyle w:val="ab"/>
        <w:numPr>
          <w:ilvl w:val="5"/>
          <w:numId w:val="2"/>
        </w:numPr>
        <w:spacing w:after="163"/>
        <w:ind w:left="4140" w:hanging="369"/>
        <w:rPr>
          <w:rFonts w:eastAsia="楷体" w:hAnsi="楷体" w:cs="Arial"/>
        </w:rPr>
      </w:pPr>
      <w:r w:rsidRPr="008A7FEE">
        <w:rPr>
          <w:rFonts w:eastAsia="楷体" w:hAnsi="楷体" w:cs="Arial"/>
        </w:rPr>
        <w:t>美国</w:t>
      </w:r>
      <w:r w:rsidRPr="008A7FEE">
        <w:rPr>
          <w:rFonts w:eastAsia="楷体" w:hAnsi="楷体" w:cs="Arial"/>
        </w:rPr>
        <w:t>4</w:t>
      </w:r>
      <w:r w:rsidRPr="008A7FEE">
        <w:rPr>
          <w:rFonts w:eastAsia="楷体" w:hAnsi="楷体" w:cs="Arial"/>
        </w:rPr>
        <w:t>月</w:t>
      </w:r>
      <w:r w:rsidRPr="008A7FEE">
        <w:rPr>
          <w:rFonts w:eastAsia="楷体" w:hAnsi="楷体" w:cs="Arial"/>
        </w:rPr>
        <w:t>ISM</w:t>
      </w:r>
      <w:hyperlink r:id="rId13" w:tgtFrame="_blank" w:history="1">
        <w:r w:rsidRPr="008A7FEE">
          <w:rPr>
            <w:rFonts w:eastAsia="楷体" w:hAnsi="楷体" w:cs="Arial"/>
          </w:rPr>
          <w:t>制造业</w:t>
        </w:r>
      </w:hyperlink>
      <w:r w:rsidRPr="008A7FEE">
        <w:rPr>
          <w:rFonts w:eastAsia="楷体" w:hAnsi="楷体" w:cs="Arial"/>
        </w:rPr>
        <w:t>指数连续第三个月扩张加快</w:t>
      </w:r>
      <w:r w:rsidR="0032164A">
        <w:rPr>
          <w:rFonts w:eastAsia="楷体" w:hAnsi="楷体" w:cs="Arial"/>
        </w:rPr>
        <w:t>，</w:t>
      </w:r>
      <w:r w:rsidRPr="008A7FEE">
        <w:rPr>
          <w:rFonts w:eastAsia="楷体" w:hAnsi="楷体" w:cs="Arial"/>
        </w:rPr>
        <w:t>至去年</w:t>
      </w:r>
      <w:r w:rsidRPr="008A7FEE">
        <w:rPr>
          <w:rFonts w:eastAsia="楷体" w:hAnsi="楷体" w:cs="Arial"/>
        </w:rPr>
        <w:t>12</w:t>
      </w:r>
      <w:r w:rsidRPr="008A7FEE">
        <w:rPr>
          <w:rFonts w:eastAsia="楷体" w:hAnsi="楷体" w:cs="Arial"/>
        </w:rPr>
        <w:t>月以来最高，由</w:t>
      </w:r>
      <w:r w:rsidRPr="008A7FEE">
        <w:rPr>
          <w:rFonts w:eastAsia="楷体" w:hAnsi="楷体" w:cs="Arial"/>
        </w:rPr>
        <w:t>3</w:t>
      </w:r>
      <w:r w:rsidRPr="008A7FEE">
        <w:rPr>
          <w:rFonts w:eastAsia="楷体" w:hAnsi="楷体" w:cs="Arial"/>
        </w:rPr>
        <w:t>月</w:t>
      </w:r>
      <w:r w:rsidR="0032164A">
        <w:rPr>
          <w:rFonts w:eastAsia="楷体" w:hAnsi="楷体" w:cs="Arial"/>
        </w:rPr>
        <w:t>份的</w:t>
      </w:r>
      <w:r w:rsidRPr="008A7FEE">
        <w:rPr>
          <w:rFonts w:eastAsia="楷体" w:hAnsi="楷体" w:cs="Arial"/>
        </w:rPr>
        <w:t>53.7</w:t>
      </w:r>
      <w:r w:rsidRPr="008A7FEE">
        <w:rPr>
          <w:rFonts w:eastAsia="楷体" w:hAnsi="楷体" w:cs="Arial"/>
        </w:rPr>
        <w:t>续升至</w:t>
      </w:r>
      <w:r w:rsidR="0032164A">
        <w:rPr>
          <w:rFonts w:eastAsia="楷体" w:hAnsi="楷体" w:cs="Arial"/>
        </w:rPr>
        <w:t>超预期的</w:t>
      </w:r>
      <w:r w:rsidRPr="008A7FEE">
        <w:rPr>
          <w:rFonts w:eastAsia="楷体" w:hAnsi="楷体" w:cs="Arial"/>
        </w:rPr>
        <w:t>54.9</w:t>
      </w:r>
      <w:r w:rsidRPr="008A7FEE">
        <w:rPr>
          <w:rFonts w:eastAsia="楷体" w:hAnsi="楷体" w:cs="Arial"/>
        </w:rPr>
        <w:t>。</w:t>
      </w:r>
      <w:r w:rsidR="00F73FFC">
        <w:rPr>
          <w:rFonts w:eastAsia="楷体" w:hAnsi="楷体" w:cs="Arial"/>
        </w:rPr>
        <w:t>分项指数中</w:t>
      </w:r>
      <w:r w:rsidR="00F73FFC" w:rsidRPr="00F73FFC">
        <w:rPr>
          <w:rFonts w:eastAsia="楷体" w:hAnsi="楷体" w:cs="Arial" w:hint="eastAsia"/>
        </w:rPr>
        <w:t>就业指数由</w:t>
      </w:r>
      <w:r w:rsidR="00F73FFC" w:rsidRPr="00F73FFC">
        <w:rPr>
          <w:rFonts w:eastAsia="楷体" w:hAnsi="楷体" w:cs="Arial" w:hint="eastAsia"/>
        </w:rPr>
        <w:t>3</w:t>
      </w:r>
      <w:r w:rsidR="00F73FFC" w:rsidRPr="00F73FFC">
        <w:rPr>
          <w:rFonts w:eastAsia="楷体" w:hAnsi="楷体" w:cs="Arial" w:hint="eastAsia"/>
        </w:rPr>
        <w:t>月所创去年</w:t>
      </w:r>
      <w:r w:rsidR="00F73FFC" w:rsidRPr="00F73FFC">
        <w:rPr>
          <w:rFonts w:eastAsia="楷体" w:hAnsi="楷体" w:cs="Arial" w:hint="eastAsia"/>
        </w:rPr>
        <w:t>6</w:t>
      </w:r>
      <w:r w:rsidR="00F73FFC" w:rsidRPr="00F73FFC">
        <w:rPr>
          <w:rFonts w:eastAsia="楷体" w:hAnsi="楷体" w:cs="Arial" w:hint="eastAsia"/>
        </w:rPr>
        <w:t>月以来低位</w:t>
      </w:r>
      <w:r w:rsidR="00F73FFC" w:rsidRPr="00F73FFC">
        <w:rPr>
          <w:rFonts w:eastAsia="楷体" w:hAnsi="楷体" w:cs="Arial" w:hint="eastAsia"/>
        </w:rPr>
        <w:t>51.1</w:t>
      </w:r>
      <w:r w:rsidR="00F73FFC" w:rsidRPr="00F73FFC">
        <w:rPr>
          <w:rFonts w:eastAsia="楷体" w:hAnsi="楷体" w:cs="Arial" w:hint="eastAsia"/>
        </w:rPr>
        <w:t>急弹至</w:t>
      </w:r>
      <w:r w:rsidR="00F73FFC" w:rsidRPr="00F73FFC">
        <w:rPr>
          <w:rFonts w:eastAsia="楷体" w:hAnsi="楷体" w:cs="Arial" w:hint="eastAsia"/>
        </w:rPr>
        <w:t>54.7</w:t>
      </w:r>
      <w:r w:rsidR="00F73FFC" w:rsidRPr="00F73FFC">
        <w:rPr>
          <w:rFonts w:eastAsia="楷体" w:hAnsi="楷体" w:cs="Arial" w:hint="eastAsia"/>
        </w:rPr>
        <w:t>；库存指数由</w:t>
      </w:r>
      <w:r w:rsidR="00F73FFC" w:rsidRPr="00F73FFC">
        <w:rPr>
          <w:rFonts w:eastAsia="楷体" w:hAnsi="楷体" w:cs="Arial" w:hint="eastAsia"/>
        </w:rPr>
        <w:t>52.5</w:t>
      </w:r>
      <w:r w:rsidR="00F73FFC" w:rsidRPr="00F73FFC">
        <w:rPr>
          <w:rFonts w:eastAsia="楷体" w:hAnsi="楷体" w:cs="Arial" w:hint="eastAsia"/>
        </w:rPr>
        <w:t>升至</w:t>
      </w:r>
      <w:r w:rsidR="00F73FFC" w:rsidRPr="00F73FFC">
        <w:rPr>
          <w:rFonts w:eastAsia="楷体" w:hAnsi="楷体" w:cs="Arial" w:hint="eastAsia"/>
        </w:rPr>
        <w:t>53</w:t>
      </w:r>
      <w:r w:rsidR="00F73FFC" w:rsidRPr="00F73FFC">
        <w:rPr>
          <w:rFonts w:eastAsia="楷体" w:hAnsi="楷体" w:cs="Arial" w:hint="eastAsia"/>
        </w:rPr>
        <w:t>；新订单指数维持</w:t>
      </w:r>
      <w:r w:rsidR="00F73FFC" w:rsidRPr="00F73FFC">
        <w:rPr>
          <w:rFonts w:eastAsia="楷体" w:hAnsi="楷体" w:cs="Arial" w:hint="eastAsia"/>
        </w:rPr>
        <w:t>55.1</w:t>
      </w:r>
      <w:r w:rsidR="00F73FFC">
        <w:rPr>
          <w:rFonts w:eastAsia="楷体" w:hAnsi="楷体" w:cs="Arial" w:hint="eastAsia"/>
        </w:rPr>
        <w:t>。</w:t>
      </w:r>
      <w:r w:rsidRPr="008A7FEE">
        <w:rPr>
          <w:rFonts w:eastAsia="楷体" w:hAnsi="楷体" w:cs="Arial" w:hint="eastAsia"/>
        </w:rPr>
        <w:t>ISM</w:t>
      </w:r>
      <w:r w:rsidR="001607D5">
        <w:rPr>
          <w:rFonts w:eastAsia="楷体" w:hAnsi="楷体" w:cs="Arial" w:hint="eastAsia"/>
        </w:rPr>
        <w:t>非制造业指数</w:t>
      </w:r>
      <w:r w:rsidRPr="008A7FEE">
        <w:rPr>
          <w:rFonts w:eastAsia="楷体" w:hAnsi="楷体" w:cs="Arial" w:hint="eastAsia"/>
        </w:rPr>
        <w:t>55.2</w:t>
      </w:r>
      <w:r w:rsidR="001607D5">
        <w:rPr>
          <w:rFonts w:eastAsia="楷体" w:hAnsi="楷体" w:cs="Arial" w:hint="eastAsia"/>
        </w:rPr>
        <w:t>超过预期</w:t>
      </w:r>
      <w:r w:rsidRPr="008A7FEE">
        <w:rPr>
          <w:rFonts w:eastAsia="楷体" w:hAnsi="楷体" w:cs="Arial" w:hint="eastAsia"/>
        </w:rPr>
        <w:t>，创</w:t>
      </w:r>
      <w:r w:rsidRPr="008A7FEE">
        <w:rPr>
          <w:rFonts w:eastAsia="楷体" w:hAnsi="楷体" w:cs="Arial" w:hint="eastAsia"/>
        </w:rPr>
        <w:t>8</w:t>
      </w:r>
      <w:r w:rsidR="004E7283">
        <w:rPr>
          <w:rFonts w:eastAsia="楷体" w:hAnsi="楷体" w:cs="Arial" w:hint="eastAsia"/>
        </w:rPr>
        <w:t>个月新高；</w:t>
      </w:r>
      <w:r w:rsidRPr="008A7FEE">
        <w:rPr>
          <w:rFonts w:eastAsia="楷体" w:hAnsi="楷体" w:cs="Arial" w:hint="eastAsia"/>
        </w:rPr>
        <w:t>其中企业活动指数和新订单指数</w:t>
      </w:r>
      <w:r w:rsidR="004E7283">
        <w:rPr>
          <w:rFonts w:eastAsia="楷体" w:hAnsi="楷体" w:cs="Arial" w:hint="eastAsia"/>
        </w:rPr>
        <w:t>贡献最大</w:t>
      </w:r>
      <w:r w:rsidR="001607D5">
        <w:rPr>
          <w:rFonts w:eastAsia="楷体" w:hAnsi="楷体" w:cs="Arial" w:hint="eastAsia"/>
        </w:rPr>
        <w:t>；</w:t>
      </w:r>
      <w:r w:rsidR="004E7283">
        <w:rPr>
          <w:rFonts w:eastAsia="楷体" w:hAnsi="楷体" w:cs="Arial" w:hint="eastAsia"/>
        </w:rPr>
        <w:t>相比</w:t>
      </w:r>
      <w:r w:rsidRPr="008A7FEE">
        <w:rPr>
          <w:rFonts w:eastAsia="楷体" w:hAnsi="楷体" w:cs="Arial" w:hint="eastAsia"/>
        </w:rPr>
        <w:t>2</w:t>
      </w:r>
      <w:r w:rsidRPr="008A7FEE">
        <w:rPr>
          <w:rFonts w:eastAsia="楷体" w:hAnsi="楷体" w:cs="Arial" w:hint="eastAsia"/>
        </w:rPr>
        <w:t>月</w:t>
      </w:r>
      <w:r w:rsidR="004E7283">
        <w:rPr>
          <w:rFonts w:eastAsia="楷体" w:hAnsi="楷体" w:cs="Arial" w:hint="eastAsia"/>
        </w:rPr>
        <w:t>份</w:t>
      </w:r>
      <w:r w:rsidR="001607D5">
        <w:rPr>
          <w:rFonts w:eastAsia="楷体" w:hAnsi="楷体" w:cs="Arial" w:hint="eastAsia"/>
        </w:rPr>
        <w:t>该指数为</w:t>
      </w:r>
      <w:r w:rsidRPr="008A7FEE">
        <w:rPr>
          <w:rFonts w:eastAsia="楷体" w:hAnsi="楷体" w:cs="Arial" w:hint="eastAsia"/>
        </w:rPr>
        <w:t>4</w:t>
      </w:r>
      <w:r w:rsidR="001607D5">
        <w:rPr>
          <w:rFonts w:eastAsia="楷体" w:hAnsi="楷体" w:cs="Arial" w:hint="eastAsia"/>
        </w:rPr>
        <w:t>年来</w:t>
      </w:r>
      <w:r w:rsidRPr="008A7FEE">
        <w:rPr>
          <w:rFonts w:eastAsia="楷体" w:hAnsi="楷体" w:cs="Arial" w:hint="eastAsia"/>
        </w:rPr>
        <w:t>最低点，</w:t>
      </w:r>
      <w:r w:rsidRPr="008A7FEE">
        <w:rPr>
          <w:rFonts w:eastAsia="楷体" w:hAnsi="楷体" w:cs="Arial" w:hint="eastAsia"/>
        </w:rPr>
        <w:t>4</w:t>
      </w:r>
      <w:r w:rsidRPr="008A7FEE">
        <w:rPr>
          <w:rFonts w:eastAsia="楷体" w:hAnsi="楷体" w:cs="Arial" w:hint="eastAsia"/>
        </w:rPr>
        <w:t>月</w:t>
      </w:r>
      <w:r w:rsidR="004E7283">
        <w:rPr>
          <w:rFonts w:eastAsia="楷体" w:hAnsi="楷体" w:cs="Arial" w:hint="eastAsia"/>
        </w:rPr>
        <w:t>份</w:t>
      </w:r>
      <w:r w:rsidR="001607D5">
        <w:rPr>
          <w:rFonts w:eastAsia="楷体" w:hAnsi="楷体" w:cs="Arial" w:hint="eastAsia"/>
        </w:rPr>
        <w:t>的增长再次</w:t>
      </w:r>
      <w:r w:rsidRPr="008A7FEE">
        <w:rPr>
          <w:rFonts w:eastAsia="楷体" w:hAnsi="楷体" w:cs="Arial" w:hint="eastAsia"/>
        </w:rPr>
        <w:t>表明</w:t>
      </w:r>
      <w:r w:rsidR="001607D5">
        <w:rPr>
          <w:rFonts w:eastAsia="楷体" w:hAnsi="楷体" w:cs="Arial" w:hint="eastAsia"/>
        </w:rPr>
        <w:t>美国经济随气温</w:t>
      </w:r>
      <w:r w:rsidRPr="008A7FEE">
        <w:rPr>
          <w:rFonts w:eastAsia="楷体" w:hAnsi="楷体" w:cs="Arial" w:hint="eastAsia"/>
        </w:rPr>
        <w:t>转暖而加快回升。</w:t>
      </w:r>
    </w:p>
    <w:p w:rsidR="00FA25D1" w:rsidRPr="00FA25D1" w:rsidRDefault="00FA25D1" w:rsidP="00FA25D1">
      <w:pPr>
        <w:pStyle w:val="ab"/>
        <w:numPr>
          <w:ilvl w:val="5"/>
          <w:numId w:val="2"/>
        </w:numPr>
        <w:spacing w:after="163"/>
        <w:ind w:left="4140" w:hanging="369"/>
        <w:rPr>
          <w:rFonts w:eastAsia="楷体" w:hAnsi="楷体" w:cs="Arial"/>
        </w:rPr>
      </w:pPr>
      <w:r w:rsidRPr="00FA25D1">
        <w:rPr>
          <w:rFonts w:eastAsia="楷体" w:hAnsi="楷体" w:cs="Arial"/>
        </w:rPr>
        <w:t>美国劳工部</w:t>
      </w:r>
      <w:r w:rsidRPr="00FA25D1">
        <w:rPr>
          <w:rFonts w:eastAsia="楷体" w:hAnsi="楷体" w:cs="Arial"/>
        </w:rPr>
        <w:t>4</w:t>
      </w:r>
      <w:r w:rsidRPr="00FA25D1">
        <w:rPr>
          <w:rFonts w:eastAsia="楷体" w:hAnsi="楷体" w:cs="Arial"/>
        </w:rPr>
        <w:t>月</w:t>
      </w:r>
      <w:r w:rsidRPr="00FA25D1">
        <w:rPr>
          <w:rFonts w:eastAsia="楷体" w:hAnsi="楷体" w:cs="Arial"/>
        </w:rPr>
        <w:t>15</w:t>
      </w:r>
      <w:r w:rsidRPr="00FA25D1">
        <w:rPr>
          <w:rFonts w:eastAsia="楷体" w:hAnsi="楷体" w:cs="Arial"/>
        </w:rPr>
        <w:t>日</w:t>
      </w:r>
      <w:r w:rsidR="005F6E6B">
        <w:rPr>
          <w:rFonts w:eastAsia="楷体" w:hAnsi="楷体" w:cs="Arial"/>
        </w:rPr>
        <w:t>公布的数据显示，</w:t>
      </w:r>
      <w:r w:rsidRPr="00FA25D1">
        <w:rPr>
          <w:rFonts w:eastAsia="楷体" w:hAnsi="楷体" w:cs="Arial"/>
        </w:rPr>
        <w:t>3</w:t>
      </w:r>
      <w:r w:rsidRPr="00FA25D1">
        <w:rPr>
          <w:rFonts w:eastAsia="楷体" w:hAnsi="楷体" w:cs="Arial"/>
        </w:rPr>
        <w:t>月季调后</w:t>
      </w:r>
      <w:r>
        <w:rPr>
          <w:rFonts w:eastAsia="楷体" w:hAnsi="楷体" w:cs="Arial"/>
        </w:rPr>
        <w:t>CPI</w:t>
      </w:r>
      <w:r>
        <w:rPr>
          <w:rFonts w:eastAsia="楷体" w:hAnsi="楷体" w:cs="Arial"/>
        </w:rPr>
        <w:t>上升</w:t>
      </w:r>
      <w:r w:rsidRPr="00FA25D1">
        <w:rPr>
          <w:rFonts w:eastAsia="楷体" w:hAnsi="楷体" w:cs="Arial"/>
        </w:rPr>
        <w:t>0.2%</w:t>
      </w:r>
      <w:r>
        <w:rPr>
          <w:rFonts w:eastAsia="楷体" w:hAnsi="楷体" w:cs="Arial"/>
        </w:rPr>
        <w:t>，高于预期的升幅</w:t>
      </w:r>
      <w:r w:rsidRPr="00FA25D1">
        <w:rPr>
          <w:rFonts w:eastAsia="楷体" w:hAnsi="楷体" w:cs="Arial"/>
        </w:rPr>
        <w:t>0.1%</w:t>
      </w:r>
      <w:r>
        <w:rPr>
          <w:rFonts w:eastAsia="楷体" w:hAnsi="楷体" w:cs="Arial"/>
        </w:rPr>
        <w:t>，但通胀压力依然温和，预计会使</w:t>
      </w:r>
      <w:r w:rsidRPr="00FA25D1">
        <w:rPr>
          <w:rFonts w:eastAsia="楷体" w:hAnsi="楷体" w:cs="Arial"/>
        </w:rPr>
        <w:t>美联储有充足空间将利率维持在低位。未季调</w:t>
      </w:r>
      <w:r>
        <w:rPr>
          <w:rFonts w:eastAsia="楷体" w:hAnsi="楷体" w:cs="Arial"/>
        </w:rPr>
        <w:t>的</w:t>
      </w:r>
      <w:r w:rsidRPr="00FA25D1">
        <w:rPr>
          <w:rFonts w:eastAsia="楷体" w:hAnsi="楷体" w:cs="Arial"/>
        </w:rPr>
        <w:t>CPI</w:t>
      </w:r>
      <w:r w:rsidRPr="00FA25D1">
        <w:rPr>
          <w:rFonts w:eastAsia="楷体" w:hAnsi="楷体" w:cs="Arial"/>
        </w:rPr>
        <w:t>年率上升</w:t>
      </w:r>
      <w:r w:rsidRPr="00FA25D1">
        <w:rPr>
          <w:rFonts w:eastAsia="楷体" w:hAnsi="楷体" w:cs="Arial"/>
        </w:rPr>
        <w:t>1.5%</w:t>
      </w:r>
      <w:r w:rsidRPr="00FA25D1">
        <w:rPr>
          <w:rFonts w:eastAsia="楷体" w:hAnsi="楷体" w:cs="Arial"/>
        </w:rPr>
        <w:t>，预期为上升</w:t>
      </w:r>
      <w:r w:rsidRPr="00FA25D1">
        <w:rPr>
          <w:rFonts w:eastAsia="楷体" w:hAnsi="楷体" w:cs="Arial"/>
        </w:rPr>
        <w:t>1.4%</w:t>
      </w:r>
      <w:r w:rsidRPr="00FA25D1">
        <w:rPr>
          <w:rFonts w:eastAsia="楷体" w:hAnsi="楷体" w:cs="Arial"/>
        </w:rPr>
        <w:t>，前值为上升</w:t>
      </w:r>
      <w:r w:rsidRPr="00FA25D1">
        <w:rPr>
          <w:rFonts w:eastAsia="楷体" w:hAnsi="楷体" w:cs="Arial"/>
        </w:rPr>
        <w:t>1.1%</w:t>
      </w:r>
      <w:r w:rsidRPr="00FA25D1">
        <w:rPr>
          <w:rFonts w:eastAsia="楷体" w:hAnsi="楷体" w:cs="Arial"/>
        </w:rPr>
        <w:t>。</w:t>
      </w:r>
    </w:p>
    <w:p w:rsidR="005F6E6B" w:rsidRPr="004C10B7" w:rsidRDefault="005F6E6B" w:rsidP="005F6E6B">
      <w:pPr>
        <w:pStyle w:val="ab"/>
        <w:numPr>
          <w:ilvl w:val="5"/>
          <w:numId w:val="2"/>
        </w:numPr>
        <w:spacing w:after="163"/>
        <w:ind w:left="4140" w:hanging="369"/>
        <w:rPr>
          <w:rFonts w:eastAsia="楷体" w:hAnsi="楷体" w:cs="Arial"/>
        </w:rPr>
      </w:pPr>
      <w:r>
        <w:rPr>
          <w:rFonts w:eastAsia="楷体" w:hAnsi="楷体" w:cs="Arial" w:hint="eastAsia"/>
        </w:rPr>
        <w:t>美国楼</w:t>
      </w:r>
      <w:r w:rsidRPr="00B3338A">
        <w:rPr>
          <w:rFonts w:eastAsia="楷体" w:hAnsi="楷体" w:cs="Arial" w:hint="eastAsia"/>
        </w:rPr>
        <w:t>市开始企稳</w:t>
      </w:r>
      <w:r>
        <w:rPr>
          <w:rFonts w:eastAsia="楷体" w:hAnsi="楷体" w:cs="Arial" w:hint="eastAsia"/>
        </w:rPr>
        <w:t>。</w:t>
      </w:r>
      <w:r w:rsidRPr="00B3338A">
        <w:rPr>
          <w:rFonts w:eastAsia="楷体" w:hAnsi="楷体" w:cs="Arial" w:hint="eastAsia"/>
        </w:rPr>
        <w:t>全美地产经纪商协会</w:t>
      </w:r>
      <w:r w:rsidRPr="00B3338A">
        <w:rPr>
          <w:rFonts w:eastAsia="楷体" w:hAnsi="楷体" w:cs="Arial" w:hint="eastAsia"/>
        </w:rPr>
        <w:t>(NAR)4</w:t>
      </w:r>
      <w:r w:rsidRPr="00B3338A">
        <w:rPr>
          <w:rFonts w:eastAsia="楷体" w:hAnsi="楷体" w:cs="Arial" w:hint="eastAsia"/>
        </w:rPr>
        <w:t>月</w:t>
      </w:r>
      <w:r w:rsidRPr="00B3338A">
        <w:rPr>
          <w:rFonts w:eastAsia="楷体" w:hAnsi="楷体" w:cs="Arial" w:hint="eastAsia"/>
        </w:rPr>
        <w:t>28</w:t>
      </w:r>
      <w:r w:rsidRPr="00B3338A">
        <w:rPr>
          <w:rFonts w:eastAsia="楷体" w:hAnsi="楷体" w:cs="Arial" w:hint="eastAsia"/>
        </w:rPr>
        <w:t>日公布的数据显示，美国</w:t>
      </w:r>
      <w:r w:rsidRPr="00B3338A">
        <w:rPr>
          <w:rFonts w:eastAsia="楷体" w:hAnsi="楷体" w:cs="Arial" w:hint="eastAsia"/>
        </w:rPr>
        <w:t>3</w:t>
      </w:r>
      <w:r w:rsidRPr="00B3338A">
        <w:rPr>
          <w:rFonts w:eastAsia="楷体" w:hAnsi="楷体" w:cs="Arial" w:hint="eastAsia"/>
        </w:rPr>
        <w:t>月成屋签约销售指数月率录得新高，创</w:t>
      </w:r>
      <w:r w:rsidRPr="00B3338A">
        <w:rPr>
          <w:rFonts w:eastAsia="楷体" w:hAnsi="楷体" w:cs="Arial" w:hint="eastAsia"/>
        </w:rPr>
        <w:t>2011</w:t>
      </w:r>
      <w:r w:rsidRPr="00B3338A">
        <w:rPr>
          <w:rFonts w:eastAsia="楷体" w:hAnsi="楷体" w:cs="Arial" w:hint="eastAsia"/>
        </w:rPr>
        <w:t>年</w:t>
      </w:r>
      <w:r w:rsidRPr="00B3338A">
        <w:rPr>
          <w:rFonts w:eastAsia="楷体" w:hAnsi="楷体" w:cs="Arial" w:hint="eastAsia"/>
        </w:rPr>
        <w:t>5</w:t>
      </w:r>
      <w:r w:rsidRPr="00B3338A">
        <w:rPr>
          <w:rFonts w:eastAsia="楷体" w:hAnsi="楷体" w:cs="Arial" w:hint="eastAsia"/>
        </w:rPr>
        <w:t>月以来最高水平，也是</w:t>
      </w:r>
      <w:r w:rsidRPr="00B3338A">
        <w:rPr>
          <w:rFonts w:eastAsia="楷体" w:hAnsi="楷体" w:cs="Arial" w:hint="eastAsia"/>
        </w:rPr>
        <w:t>9</w:t>
      </w:r>
      <w:r>
        <w:rPr>
          <w:rFonts w:eastAsia="楷体" w:hAnsi="楷体" w:cs="Arial" w:hint="eastAsia"/>
        </w:rPr>
        <w:t>个月以来首次走高</w:t>
      </w:r>
      <w:r w:rsidRPr="00B3338A">
        <w:rPr>
          <w:rFonts w:eastAsia="楷体" w:hAnsi="楷体" w:cs="Arial" w:hint="eastAsia"/>
        </w:rPr>
        <w:t>。</w:t>
      </w:r>
    </w:p>
    <w:tbl>
      <w:tblPr>
        <w:tblW w:w="107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2"/>
        <w:gridCol w:w="227"/>
        <w:gridCol w:w="5272"/>
      </w:tblGrid>
      <w:tr w:rsidR="005F6E6B" w:rsidRPr="00FC54FE" w:rsidTr="005C2030">
        <w:trPr>
          <w:cantSplit/>
          <w:trHeight w:val="368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5F6E6B" w:rsidRPr="00FC54FE" w:rsidRDefault="005F6E6B" w:rsidP="005F6E6B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FC54FE">
              <w:rPr>
                <w:rFonts w:ascii="楷体" w:eastAsia="楷体" w:hAnsi="楷体"/>
                <w:color w:val="FF6600"/>
              </w:rPr>
              <w:t>图表</w:t>
            </w:r>
            <w:r>
              <w:rPr>
                <w:rFonts w:ascii="楷体" w:eastAsia="楷体" w:hAnsi="楷体" w:hint="eastAsia"/>
                <w:color w:val="FF6600"/>
              </w:rPr>
              <w:t>4</w:t>
            </w:r>
            <w:r w:rsidRPr="00FC54FE">
              <w:rPr>
                <w:rFonts w:ascii="楷体" w:eastAsia="楷体" w:hAnsi="楷体" w:hint="eastAsia"/>
                <w:color w:val="FF6600"/>
              </w:rPr>
              <w:t>：</w:t>
            </w:r>
            <w:r w:rsidR="00271F08" w:rsidRPr="00271F08">
              <w:rPr>
                <w:rFonts w:ascii="楷体" w:eastAsia="楷体" w:hAnsi="楷体" w:hint="eastAsia"/>
                <w:color w:val="FF6600"/>
              </w:rPr>
              <w:t>美国供应管理协会(ISM) 制造业指数</w:t>
            </w:r>
          </w:p>
        </w:tc>
        <w:tc>
          <w:tcPr>
            <w:tcW w:w="227" w:type="dxa"/>
            <w:vAlign w:val="center"/>
          </w:tcPr>
          <w:p w:rsidR="005F6E6B" w:rsidRPr="00FC54FE" w:rsidRDefault="005F6E6B" w:rsidP="005C2030">
            <w:pPr>
              <w:jc w:val="center"/>
              <w:rPr>
                <w:rFonts w:ascii="楷体" w:eastAsia="楷体" w:hAnsi="楷体" w:cs="Arial"/>
                <w:b/>
                <w:bCs/>
                <w:i/>
                <w:iCs/>
                <w:color w:val="FF6600"/>
                <w:kern w:val="0"/>
                <w:szCs w:val="21"/>
                <w:lang w:val="en-GB"/>
              </w:rPr>
            </w:pPr>
          </w:p>
        </w:tc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5F6E6B" w:rsidRPr="00FC54FE" w:rsidRDefault="005F6E6B" w:rsidP="005F6E6B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FC54FE">
              <w:rPr>
                <w:rFonts w:ascii="楷体" w:eastAsia="楷体" w:hAnsi="楷体"/>
                <w:color w:val="FF6600"/>
              </w:rPr>
              <w:t>图表</w:t>
            </w:r>
            <w:r>
              <w:rPr>
                <w:rFonts w:ascii="楷体" w:eastAsia="楷体" w:hAnsi="楷体" w:hint="eastAsia"/>
                <w:color w:val="FF6600"/>
              </w:rPr>
              <w:t>5</w:t>
            </w:r>
            <w:r w:rsidRPr="00FC54FE">
              <w:rPr>
                <w:rFonts w:ascii="楷体" w:eastAsia="楷体" w:hAnsi="楷体" w:hint="eastAsia"/>
                <w:color w:val="FF6600"/>
              </w:rPr>
              <w:t>：</w:t>
            </w:r>
            <w:r w:rsidR="00271F08" w:rsidRPr="00271F08">
              <w:rPr>
                <w:rFonts w:ascii="楷体" w:eastAsia="楷体" w:hAnsi="楷体" w:hint="eastAsia"/>
                <w:color w:val="FF6600"/>
              </w:rPr>
              <w:t>美国CPI与M1、M2</w:t>
            </w:r>
          </w:p>
        </w:tc>
      </w:tr>
      <w:tr w:rsidR="005F6E6B" w:rsidRPr="00FC54FE" w:rsidTr="005C2030">
        <w:trPr>
          <w:cantSplit/>
          <w:trHeight w:val="3016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5F6E6B" w:rsidRPr="00FC54FE" w:rsidRDefault="00271F08" w:rsidP="005C2030">
            <w:pPr>
              <w:jc w:val="center"/>
              <w:rPr>
                <w:rFonts w:ascii="楷体" w:eastAsia="楷体" w:hAnsi="楷体"/>
              </w:rPr>
            </w:pPr>
            <w:r>
              <w:rPr>
                <w:noProof/>
              </w:rPr>
              <w:drawing>
                <wp:inline distT="0" distB="0" distL="0" distR="0">
                  <wp:extent cx="3457575" cy="2686050"/>
                  <wp:effectExtent l="0" t="0" r="0" b="0"/>
                  <wp:docPr id="11" name="Objec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268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Align w:val="center"/>
          </w:tcPr>
          <w:p w:rsidR="005F6E6B" w:rsidRPr="00FC54FE" w:rsidRDefault="005F6E6B" w:rsidP="005C2030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5F6E6B" w:rsidRPr="00FC54FE" w:rsidRDefault="00271F08" w:rsidP="005C2030">
            <w:pPr>
              <w:jc w:val="center"/>
              <w:rPr>
                <w:rFonts w:ascii="楷体" w:eastAsia="楷体" w:hAnsi="楷体"/>
              </w:rPr>
            </w:pPr>
            <w:r>
              <w:rPr>
                <w:noProof/>
              </w:rPr>
              <w:drawing>
                <wp:inline distT="0" distB="0" distL="0" distR="0">
                  <wp:extent cx="3371850" cy="2743200"/>
                  <wp:effectExtent l="19050" t="0" r="0" b="0"/>
                  <wp:docPr id="14" name="Objec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6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5D1" w:rsidRPr="005F6E6B" w:rsidRDefault="005F6E6B" w:rsidP="005F6E6B">
      <w:pPr>
        <w:pStyle w:val="FootnoteNoline"/>
        <w:ind w:left="0"/>
        <w:rPr>
          <w:rFonts w:ascii="楷体" w:eastAsia="楷体" w:hAnsi="楷体"/>
          <w:color w:val="FF6600"/>
        </w:rPr>
      </w:pPr>
      <w:r w:rsidRPr="00FC54FE">
        <w:rPr>
          <w:rFonts w:ascii="楷体" w:eastAsia="楷体" w:hAnsi="楷体" w:hint="eastAsia"/>
          <w:color w:val="FF6600"/>
        </w:rPr>
        <w:t xml:space="preserve">来源：凯石财富工场 wind </w:t>
      </w:r>
    </w:p>
    <w:p w:rsidR="004C10B7" w:rsidRPr="008C5E6B" w:rsidRDefault="006001D3" w:rsidP="006001D3">
      <w:pPr>
        <w:pStyle w:val="ab"/>
        <w:numPr>
          <w:ilvl w:val="4"/>
          <w:numId w:val="1"/>
        </w:numPr>
        <w:spacing w:after="163"/>
        <w:rPr>
          <w:rFonts w:eastAsia="楷体" w:hAnsi="楷体" w:cs="Arial"/>
        </w:rPr>
      </w:pPr>
      <w:r w:rsidRPr="008C5E6B">
        <w:rPr>
          <w:rFonts w:eastAsia="楷体" w:hAnsi="楷体" w:cs="Arial" w:hint="eastAsia"/>
        </w:rPr>
        <w:t>预计</w:t>
      </w:r>
      <w:r w:rsidR="00271F08" w:rsidRPr="008C5E6B">
        <w:rPr>
          <w:rFonts w:eastAsia="楷体" w:hAnsi="楷体" w:cs="Arial" w:hint="eastAsia"/>
        </w:rPr>
        <w:t>二季度美国经济增长</w:t>
      </w:r>
      <w:r w:rsidR="00BE21E0" w:rsidRPr="008C5E6B">
        <w:rPr>
          <w:rFonts w:eastAsia="楷体" w:hAnsi="楷体" w:cs="Arial" w:hint="eastAsia"/>
        </w:rPr>
        <w:t>可能</w:t>
      </w:r>
      <w:r w:rsidR="00271F08" w:rsidRPr="008C5E6B">
        <w:rPr>
          <w:rFonts w:eastAsia="楷体" w:hAnsi="楷体" w:cs="Arial" w:hint="eastAsia"/>
        </w:rPr>
        <w:t>进一步提速。</w:t>
      </w:r>
      <w:r w:rsidRPr="008C5E6B">
        <w:rPr>
          <w:rFonts w:eastAsia="楷体" w:hAnsi="楷体" w:cs="Arial" w:hint="eastAsia"/>
        </w:rPr>
        <w:t>公司一季度財报即将公布，若超出预期将支撑市场上行，继续长期看好美国市场。不过</w:t>
      </w:r>
      <w:r w:rsidR="00BE21E0" w:rsidRPr="008C5E6B">
        <w:rPr>
          <w:rFonts w:eastAsia="楷体" w:hAnsi="楷体" w:cs="Arial" w:hint="eastAsia"/>
        </w:rPr>
        <w:t>，美股本轮估值反弹已经基本结束，未来市场表现主要动力将来自企业盈利增长。</w:t>
      </w:r>
      <w:r w:rsidRPr="008C5E6B">
        <w:rPr>
          <w:rFonts w:eastAsia="楷体" w:hAnsi="楷体" w:cs="Arial" w:hint="eastAsia"/>
        </w:rPr>
        <w:t>值得关注</w:t>
      </w:r>
      <w:r w:rsidR="004C10B7" w:rsidRPr="008C5E6B">
        <w:rPr>
          <w:rFonts w:eastAsia="楷体" w:hAnsi="楷体" w:cs="Arial" w:hint="eastAsia"/>
        </w:rPr>
        <w:t>的是</w:t>
      </w:r>
      <w:r w:rsidRPr="008C5E6B">
        <w:rPr>
          <w:rFonts w:eastAsia="楷体" w:hAnsi="楷体" w:cs="Arial" w:hint="eastAsia"/>
        </w:rPr>
        <w:t>，最近</w:t>
      </w:r>
      <w:r w:rsidR="004C10B7" w:rsidRPr="008C5E6B">
        <w:rPr>
          <w:rFonts w:eastAsia="楷体" w:hAnsi="楷体" w:cs="Arial" w:hint="eastAsia"/>
        </w:rPr>
        <w:t>海外市场</w:t>
      </w:r>
      <w:r w:rsidR="00B84D2D">
        <w:rPr>
          <w:rFonts w:eastAsia="楷体" w:hAnsi="楷体" w:cs="Arial" w:hint="eastAsia"/>
        </w:rPr>
        <w:t>更为关注</w:t>
      </w:r>
      <w:r w:rsidRPr="008C5E6B">
        <w:rPr>
          <w:rFonts w:eastAsia="楷体" w:hAnsi="楷体" w:cs="Arial" w:hint="eastAsia"/>
        </w:rPr>
        <w:t>地缘风险：通常强劲的就业数据应伴随利率上升及黄金下跌，</w:t>
      </w:r>
      <w:r w:rsidR="004C10B7" w:rsidRPr="008C5E6B">
        <w:rPr>
          <w:rFonts w:eastAsia="楷体" w:hAnsi="楷体" w:cs="Arial" w:hint="eastAsia"/>
        </w:rPr>
        <w:t>而市场反而是利率下跌和黄金上涨。</w:t>
      </w:r>
    </w:p>
    <w:p w:rsidR="0065483E" w:rsidRPr="008C5E6B" w:rsidRDefault="006001D3" w:rsidP="00354BF2">
      <w:pPr>
        <w:pStyle w:val="ab"/>
        <w:numPr>
          <w:ilvl w:val="4"/>
          <w:numId w:val="1"/>
        </w:numPr>
        <w:spacing w:after="163"/>
        <w:rPr>
          <w:rFonts w:eastAsia="楷体" w:hAnsi="楷体" w:cs="Arial"/>
        </w:rPr>
      </w:pPr>
      <w:r w:rsidRPr="008C5E6B">
        <w:rPr>
          <w:rFonts w:eastAsia="楷体" w:hAnsi="楷体" w:cs="Arial"/>
        </w:rPr>
        <w:t>我们认为</w:t>
      </w:r>
      <w:r w:rsidR="00354BF2" w:rsidRPr="008C5E6B">
        <w:rPr>
          <w:rFonts w:eastAsia="楷体" w:hAnsi="楷体" w:cs="Arial"/>
        </w:rPr>
        <w:t>，</w:t>
      </w:r>
      <w:r w:rsidRPr="008C5E6B">
        <w:rPr>
          <w:rFonts w:eastAsia="楷体" w:hAnsi="楷体" w:cs="Arial"/>
        </w:rPr>
        <w:t>未来短期内</w:t>
      </w:r>
      <w:r w:rsidR="00354BF2" w:rsidRPr="008C5E6B">
        <w:rPr>
          <w:rFonts w:eastAsia="楷体" w:hAnsi="楷体" w:cs="Arial"/>
        </w:rPr>
        <w:t>不排除地缘政治风险加大美股波动，但鉴于美国经济高质量的复苏态势，预计美股下跌空间有限，我们依旧维持</w:t>
      </w:r>
      <w:r w:rsidR="00B26078" w:rsidRPr="008C5E6B">
        <w:rPr>
          <w:rFonts w:eastAsia="楷体" w:hAnsi="楷体" w:cs="Arial"/>
        </w:rPr>
        <w:t>对</w:t>
      </w:r>
      <w:r w:rsidR="00354BF2" w:rsidRPr="008C5E6B">
        <w:rPr>
          <w:rFonts w:eastAsia="楷体" w:hAnsi="楷体" w:cs="Arial"/>
        </w:rPr>
        <w:t>美股指数基金</w:t>
      </w:r>
      <w:r w:rsidR="00B26078" w:rsidRPr="008C5E6B">
        <w:rPr>
          <w:rFonts w:eastAsia="楷体" w:hAnsi="楷体" w:cs="Arial"/>
        </w:rPr>
        <w:t>的重点推荐</w:t>
      </w:r>
      <w:r w:rsidR="00354BF2" w:rsidRPr="008C5E6B">
        <w:rPr>
          <w:rFonts w:eastAsia="楷体" w:hAnsi="楷体" w:cs="Arial"/>
        </w:rPr>
        <w:t>。</w:t>
      </w:r>
    </w:p>
    <w:p w:rsidR="00BC16B3" w:rsidRPr="00C84B76" w:rsidRDefault="005F5E5D" w:rsidP="00C84B76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FC54FE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欧洲</w:t>
      </w:r>
      <w:r w:rsidR="007E7D79" w:rsidRPr="00FC54FE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：</w:t>
      </w:r>
      <w:r w:rsidR="00DA19DC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近期</w:t>
      </w:r>
      <w:r w:rsidR="006B2138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地缘政治风险加剧</w:t>
      </w:r>
    </w:p>
    <w:p w:rsidR="008C5E6B" w:rsidRPr="0061150E" w:rsidRDefault="008C5E6B" w:rsidP="00A66248">
      <w:pPr>
        <w:pStyle w:val="ab"/>
        <w:numPr>
          <w:ilvl w:val="4"/>
          <w:numId w:val="1"/>
        </w:numPr>
        <w:spacing w:after="163"/>
        <w:rPr>
          <w:rFonts w:eastAsia="楷体" w:hAnsi="楷体" w:cs="Arial"/>
        </w:rPr>
      </w:pPr>
      <w:r w:rsidRPr="008C5E6B">
        <w:rPr>
          <w:rFonts w:eastAsia="楷体" w:hAnsi="楷体" w:cs="Arial" w:hint="eastAsia"/>
        </w:rPr>
        <w:t>欧元区</w:t>
      </w:r>
      <w:r w:rsidR="0061150E">
        <w:rPr>
          <w:rFonts w:eastAsia="楷体" w:hAnsi="楷体" w:cs="Arial" w:hint="eastAsia"/>
        </w:rPr>
        <w:t>制造业</w:t>
      </w:r>
      <w:r w:rsidRPr="008C5E6B">
        <w:rPr>
          <w:rFonts w:eastAsia="楷体" w:hAnsi="楷体" w:cs="Arial" w:hint="eastAsia"/>
        </w:rPr>
        <w:t>在二季度伊始保持着较好的增长势头。</w:t>
      </w:r>
      <w:r w:rsidR="0061150E" w:rsidRPr="0034660C">
        <w:rPr>
          <w:rFonts w:eastAsia="楷体" w:cs="Arial" w:hint="eastAsia"/>
        </w:rPr>
        <w:t>Markit</w:t>
      </w:r>
      <w:r w:rsidRPr="008C5E6B">
        <w:rPr>
          <w:rFonts w:eastAsia="楷体" w:hAnsi="楷体" w:cs="Arial" w:hint="eastAsia"/>
        </w:rPr>
        <w:t>公布的</w:t>
      </w:r>
      <w:r w:rsidR="0061150E">
        <w:rPr>
          <w:rFonts w:eastAsia="楷体" w:hAnsi="楷体" w:cs="Arial" w:hint="eastAsia"/>
        </w:rPr>
        <w:t>数据显示，</w:t>
      </w:r>
      <w:r w:rsidRPr="008C5E6B">
        <w:rPr>
          <w:rFonts w:eastAsia="楷体" w:hAnsi="楷体" w:cs="Arial" w:hint="eastAsia"/>
        </w:rPr>
        <w:t>4</w:t>
      </w:r>
      <w:r w:rsidRPr="008C5E6B">
        <w:rPr>
          <w:rFonts w:eastAsia="楷体" w:hAnsi="楷体" w:cs="Arial" w:hint="eastAsia"/>
        </w:rPr>
        <w:t>月份</w:t>
      </w:r>
      <w:r w:rsidRPr="00B3338A">
        <w:rPr>
          <w:rFonts w:eastAsia="楷体" w:cs="Arial" w:hint="eastAsia"/>
        </w:rPr>
        <w:t>欧元区制造业采购经理人指数</w:t>
      </w:r>
      <w:r>
        <w:rPr>
          <w:rFonts w:eastAsia="楷体" w:cs="Arial" w:hint="eastAsia"/>
        </w:rPr>
        <w:t>(PMI)</w:t>
      </w:r>
      <w:r>
        <w:rPr>
          <w:rFonts w:eastAsia="楷体" w:cs="Arial" w:hint="eastAsia"/>
        </w:rPr>
        <w:t>终值为</w:t>
      </w:r>
      <w:r>
        <w:rPr>
          <w:rFonts w:eastAsia="楷体" w:cs="Arial" w:hint="eastAsia"/>
        </w:rPr>
        <w:t>53.4</w:t>
      </w:r>
      <w:r>
        <w:rPr>
          <w:rFonts w:eastAsia="楷体" w:cs="Arial" w:hint="eastAsia"/>
        </w:rPr>
        <w:t>，创三个月以来新高；</w:t>
      </w:r>
      <w:r w:rsidR="0061150E">
        <w:rPr>
          <w:rFonts w:eastAsia="楷体" w:cs="Arial" w:hint="eastAsia"/>
        </w:rPr>
        <w:t>且</w:t>
      </w:r>
      <w:r>
        <w:rPr>
          <w:rFonts w:eastAsia="楷体" w:cs="Arial" w:hint="eastAsia"/>
        </w:rPr>
        <w:t>连续第</w:t>
      </w:r>
      <w:r>
        <w:rPr>
          <w:rFonts w:eastAsia="楷体" w:cs="Arial" w:hint="eastAsia"/>
        </w:rPr>
        <w:t>10</w:t>
      </w:r>
      <w:r w:rsidRPr="00B3338A">
        <w:rPr>
          <w:rFonts w:eastAsia="楷体" w:cs="Arial" w:hint="eastAsia"/>
        </w:rPr>
        <w:t>个月高于</w:t>
      </w:r>
      <w:r w:rsidR="0061150E" w:rsidRPr="00B3338A">
        <w:rPr>
          <w:rFonts w:eastAsia="楷体" w:cs="Arial" w:hint="eastAsia"/>
        </w:rPr>
        <w:t>荣枯线</w:t>
      </w:r>
      <w:r w:rsidR="0061150E">
        <w:rPr>
          <w:rFonts w:eastAsia="楷体" w:cs="Arial" w:hint="eastAsia"/>
        </w:rPr>
        <w:t>，</w:t>
      </w:r>
      <w:r w:rsidR="0061150E" w:rsidRPr="00B3338A">
        <w:rPr>
          <w:rFonts w:eastAsia="楷体" w:cs="Arial" w:hint="eastAsia"/>
        </w:rPr>
        <w:t>表明欧元区制造业持续扩张。该数据高于</w:t>
      </w:r>
      <w:r w:rsidR="0061150E">
        <w:rPr>
          <w:rFonts w:eastAsia="楷体" w:cs="Arial" w:hint="eastAsia"/>
        </w:rPr>
        <w:t>3</w:t>
      </w:r>
      <w:r w:rsidR="0061150E">
        <w:rPr>
          <w:rFonts w:eastAsia="楷体" w:cs="Arial" w:hint="eastAsia"/>
        </w:rPr>
        <w:t>月份的</w:t>
      </w:r>
      <w:r w:rsidR="0061150E">
        <w:rPr>
          <w:rFonts w:eastAsia="楷体" w:cs="Arial" w:hint="eastAsia"/>
        </w:rPr>
        <w:t>53.0</w:t>
      </w:r>
      <w:r w:rsidR="0061150E">
        <w:rPr>
          <w:rFonts w:eastAsia="楷体" w:cs="Arial" w:hint="eastAsia"/>
        </w:rPr>
        <w:t>，亦高于初值</w:t>
      </w:r>
      <w:r w:rsidR="0061150E">
        <w:rPr>
          <w:rFonts w:eastAsia="楷体" w:cs="Arial" w:hint="eastAsia"/>
        </w:rPr>
        <w:t>53.3</w:t>
      </w:r>
      <w:r w:rsidRPr="008C5E6B">
        <w:rPr>
          <w:rFonts w:eastAsia="楷体" w:hAnsi="楷体" w:cs="Arial" w:hint="eastAsia"/>
        </w:rPr>
        <w:t>。</w:t>
      </w:r>
      <w:r w:rsidR="0061150E" w:rsidRPr="00B3338A">
        <w:rPr>
          <w:rFonts w:eastAsia="楷体" w:cs="Arial" w:hint="eastAsia"/>
        </w:rPr>
        <w:t>在欧元区各成员国中，爱尔兰制造业采购</w:t>
      </w:r>
      <w:r w:rsidR="0061150E" w:rsidRPr="00B3338A">
        <w:rPr>
          <w:rFonts w:eastAsia="楷体" w:cs="Arial" w:hint="eastAsia"/>
        </w:rPr>
        <w:lastRenderedPageBreak/>
        <w:t>经理人指数</w:t>
      </w:r>
      <w:r w:rsidR="0061150E">
        <w:rPr>
          <w:rFonts w:eastAsia="楷体" w:cs="Arial" w:hint="eastAsia"/>
        </w:rPr>
        <w:t>56.1</w:t>
      </w:r>
      <w:r w:rsidR="0061150E" w:rsidRPr="00B3338A">
        <w:rPr>
          <w:rFonts w:eastAsia="楷体" w:cs="Arial" w:hint="eastAsia"/>
        </w:rPr>
        <w:t>位居榜首</w:t>
      </w:r>
      <w:r w:rsidR="0061150E">
        <w:rPr>
          <w:rFonts w:eastAsia="楷体" w:cs="Arial" w:hint="eastAsia"/>
        </w:rPr>
        <w:t>，创</w:t>
      </w:r>
      <w:r w:rsidR="0061150E">
        <w:rPr>
          <w:rFonts w:eastAsia="楷体" w:cs="Arial" w:hint="eastAsia"/>
        </w:rPr>
        <w:t>38</w:t>
      </w:r>
      <w:r w:rsidR="0061150E" w:rsidRPr="00B3338A">
        <w:rPr>
          <w:rFonts w:eastAsia="楷体" w:cs="Arial" w:hint="eastAsia"/>
        </w:rPr>
        <w:t>个月以来新高；德国和意大利分别以</w:t>
      </w:r>
      <w:r w:rsidR="0061150E">
        <w:rPr>
          <w:rFonts w:eastAsia="楷体" w:cs="Arial" w:hint="eastAsia"/>
        </w:rPr>
        <w:t>54.1</w:t>
      </w:r>
      <w:r w:rsidR="0061150E">
        <w:rPr>
          <w:rFonts w:eastAsia="楷体" w:cs="Arial" w:hint="eastAsia"/>
        </w:rPr>
        <w:t>、</w:t>
      </w:r>
      <w:r w:rsidR="0061150E">
        <w:rPr>
          <w:rFonts w:eastAsia="楷体" w:cs="Arial" w:hint="eastAsia"/>
        </w:rPr>
        <w:t>54.0</w:t>
      </w:r>
      <w:r w:rsidR="0061150E" w:rsidRPr="00B3338A">
        <w:rPr>
          <w:rFonts w:eastAsia="楷体" w:cs="Arial" w:hint="eastAsia"/>
        </w:rPr>
        <w:t>排名第二、第三。</w:t>
      </w:r>
    </w:p>
    <w:p w:rsidR="00720622" w:rsidRPr="00720622" w:rsidRDefault="00231667" w:rsidP="00720622">
      <w:pPr>
        <w:pStyle w:val="ab"/>
        <w:numPr>
          <w:ilvl w:val="4"/>
          <w:numId w:val="1"/>
        </w:numPr>
        <w:spacing w:after="163"/>
        <w:rPr>
          <w:rFonts w:eastAsia="楷体" w:hAnsi="楷体" w:cs="Arial"/>
        </w:rPr>
      </w:pPr>
      <w:r>
        <w:rPr>
          <w:rFonts w:eastAsia="楷体" w:hAnsi="楷体" w:cs="Arial"/>
        </w:rPr>
        <w:t>不过，</w:t>
      </w:r>
      <w:r w:rsidR="0061150E" w:rsidRPr="0061150E">
        <w:rPr>
          <w:rFonts w:eastAsia="楷体" w:hAnsi="楷体" w:cs="Arial"/>
        </w:rPr>
        <w:t>欧元区</w:t>
      </w:r>
      <w:r w:rsidR="0061150E" w:rsidRPr="0061150E">
        <w:rPr>
          <w:rFonts w:eastAsia="楷体" w:hAnsi="楷体" w:cs="Arial"/>
        </w:rPr>
        <w:t>4</w:t>
      </w:r>
      <w:r w:rsidR="0061150E" w:rsidRPr="0061150E">
        <w:rPr>
          <w:rFonts w:eastAsia="楷体" w:hAnsi="楷体" w:cs="Arial"/>
        </w:rPr>
        <w:t>月经济景气指数</w:t>
      </w:r>
      <w:r>
        <w:rPr>
          <w:rFonts w:eastAsia="楷体" w:hAnsi="楷体" w:cs="Arial"/>
        </w:rPr>
        <w:t>出现</w:t>
      </w:r>
      <w:r w:rsidR="0061150E" w:rsidRPr="0061150E">
        <w:rPr>
          <w:rFonts w:eastAsia="楷体" w:hAnsi="楷体" w:cs="Arial"/>
        </w:rPr>
        <w:t>意外回落，导致欧洲央</w:t>
      </w:r>
      <w:r w:rsidR="003D58B0">
        <w:rPr>
          <w:rFonts w:eastAsia="楷体" w:hAnsi="楷体" w:cs="Arial"/>
        </w:rPr>
        <w:t>行采取进一步措施的压力倍增。</w:t>
      </w:r>
      <w:r w:rsidR="003D58B0" w:rsidRPr="0061150E">
        <w:rPr>
          <w:rFonts w:eastAsia="楷体" w:hAnsi="楷体" w:cs="Arial"/>
        </w:rPr>
        <w:t>欧盟委员会</w:t>
      </w:r>
      <w:r w:rsidR="003D58B0">
        <w:rPr>
          <w:rFonts w:eastAsia="楷体" w:hAnsi="楷体" w:cs="Arial"/>
        </w:rPr>
        <w:t>数据显示，</w:t>
      </w:r>
      <w:r w:rsidR="003D58B0" w:rsidRPr="0061150E">
        <w:rPr>
          <w:rFonts w:eastAsia="楷体" w:hAnsi="楷体" w:cs="Arial"/>
        </w:rPr>
        <w:t>欧元区</w:t>
      </w:r>
      <w:r w:rsidR="003D58B0" w:rsidRPr="0061150E">
        <w:rPr>
          <w:rFonts w:eastAsia="楷体" w:hAnsi="楷体" w:cs="Arial"/>
        </w:rPr>
        <w:t>4</w:t>
      </w:r>
      <w:r w:rsidR="003D58B0" w:rsidRPr="0061150E">
        <w:rPr>
          <w:rFonts w:eastAsia="楷体" w:hAnsi="楷体" w:cs="Arial"/>
        </w:rPr>
        <w:t>月经济景气指数跌至</w:t>
      </w:r>
      <w:r w:rsidR="003D58B0" w:rsidRPr="0061150E">
        <w:rPr>
          <w:rFonts w:eastAsia="楷体" w:hAnsi="楷体" w:cs="Arial"/>
        </w:rPr>
        <w:t>102.0</w:t>
      </w:r>
      <w:r w:rsidR="003D58B0" w:rsidRPr="0061150E">
        <w:rPr>
          <w:rFonts w:eastAsia="楷体" w:hAnsi="楷体" w:cs="Arial"/>
        </w:rPr>
        <w:t>，</w:t>
      </w:r>
      <w:r w:rsidR="003D58B0" w:rsidRPr="003D58B0">
        <w:rPr>
          <w:rFonts w:eastAsia="楷体" w:hAnsi="楷体" w:cs="Arial" w:hint="eastAsia"/>
        </w:rPr>
        <w:t>这是自</w:t>
      </w:r>
      <w:r w:rsidR="003D58B0" w:rsidRPr="003D58B0">
        <w:rPr>
          <w:rFonts w:eastAsia="楷体" w:hAnsi="楷体" w:cs="Arial" w:hint="eastAsia"/>
        </w:rPr>
        <w:t>2013</w:t>
      </w:r>
      <w:r w:rsidR="003D58B0" w:rsidRPr="003D58B0">
        <w:rPr>
          <w:rFonts w:eastAsia="楷体" w:hAnsi="楷体" w:cs="Arial" w:hint="eastAsia"/>
        </w:rPr>
        <w:t>年</w:t>
      </w:r>
      <w:r w:rsidR="003D58B0" w:rsidRPr="003D58B0">
        <w:rPr>
          <w:rFonts w:eastAsia="楷体" w:hAnsi="楷体" w:cs="Arial" w:hint="eastAsia"/>
        </w:rPr>
        <w:t>4</w:t>
      </w:r>
      <w:r w:rsidR="003D58B0" w:rsidRPr="003D58B0">
        <w:rPr>
          <w:rFonts w:eastAsia="楷体" w:hAnsi="楷体" w:cs="Arial" w:hint="eastAsia"/>
        </w:rPr>
        <w:t>月以来首次下降</w:t>
      </w:r>
      <w:r w:rsidR="003D58B0">
        <w:rPr>
          <w:rFonts w:eastAsia="楷体" w:hAnsi="楷体" w:cs="Arial" w:hint="eastAsia"/>
        </w:rPr>
        <w:t>，</w:t>
      </w:r>
      <w:r w:rsidR="003D58B0" w:rsidRPr="0061150E">
        <w:rPr>
          <w:rFonts w:eastAsia="楷体" w:hAnsi="楷体" w:cs="Arial"/>
        </w:rPr>
        <w:t>预期</w:t>
      </w:r>
      <w:r w:rsidR="003D58B0" w:rsidRPr="0061150E">
        <w:rPr>
          <w:rFonts w:eastAsia="楷体" w:hAnsi="楷体" w:cs="Arial"/>
        </w:rPr>
        <w:t>103.0</w:t>
      </w:r>
      <w:r w:rsidR="003D58B0" w:rsidRPr="0061150E">
        <w:rPr>
          <w:rFonts w:eastAsia="楷体" w:hAnsi="楷体" w:cs="Arial"/>
        </w:rPr>
        <w:t>，前值修正为</w:t>
      </w:r>
      <w:r w:rsidR="003D58B0" w:rsidRPr="0061150E">
        <w:rPr>
          <w:rFonts w:eastAsia="楷体" w:hAnsi="楷体" w:cs="Arial"/>
        </w:rPr>
        <w:t>102.5</w:t>
      </w:r>
      <w:r w:rsidR="003D58B0" w:rsidRPr="0061150E">
        <w:rPr>
          <w:rFonts w:eastAsia="楷体" w:hAnsi="楷体" w:cs="Arial"/>
        </w:rPr>
        <w:t>，初值</w:t>
      </w:r>
      <w:r w:rsidR="003D58B0" w:rsidRPr="0061150E">
        <w:rPr>
          <w:rFonts w:eastAsia="楷体" w:hAnsi="楷体" w:cs="Arial"/>
        </w:rPr>
        <w:t>102.4</w:t>
      </w:r>
      <w:r w:rsidR="003D58B0" w:rsidRPr="0061150E">
        <w:rPr>
          <w:rFonts w:eastAsia="楷体" w:hAnsi="楷体" w:cs="Arial"/>
        </w:rPr>
        <w:t>。</w:t>
      </w:r>
      <w:r w:rsidR="003D58B0">
        <w:rPr>
          <w:rFonts w:eastAsia="楷体" w:hAnsi="楷体" w:cs="Arial"/>
        </w:rPr>
        <w:t>鉴于通缩风险加剧，欧央行近期始终</w:t>
      </w:r>
      <w:r w:rsidR="0061150E" w:rsidRPr="0061150E">
        <w:rPr>
          <w:rFonts w:eastAsia="楷体" w:hAnsi="楷体" w:cs="Arial"/>
        </w:rPr>
        <w:t>面临着采取进一步措施的压力。</w:t>
      </w:r>
      <w:r w:rsidR="00720622">
        <w:rPr>
          <w:rFonts w:eastAsia="楷体" w:hAnsi="楷体" w:cs="Arial" w:hint="eastAsia"/>
        </w:rPr>
        <w:t>欧</w:t>
      </w:r>
      <w:r w:rsidR="00720622" w:rsidRPr="00720622">
        <w:rPr>
          <w:rFonts w:eastAsia="楷体" w:hAnsi="楷体" w:cs="Arial" w:hint="eastAsia"/>
        </w:rPr>
        <w:t>央行行长德拉基发表讲话称，一旦欧元区通胀恶化，欧洲央</w:t>
      </w:r>
      <w:r w:rsidR="00720622">
        <w:rPr>
          <w:rFonts w:eastAsia="楷体" w:hAnsi="楷体" w:cs="Arial" w:hint="eastAsia"/>
        </w:rPr>
        <w:t>行将开始大规模的资产购买计划，即有史以来最为激进的货币政策。他补充道，央行已经做好准备随时实施</w:t>
      </w:r>
      <w:r w:rsidR="00720622">
        <w:rPr>
          <w:rFonts w:eastAsia="楷体" w:hAnsi="楷体" w:cs="Arial" w:hint="eastAsia"/>
        </w:rPr>
        <w:t>QE</w:t>
      </w:r>
      <w:r w:rsidR="00720622">
        <w:rPr>
          <w:rFonts w:eastAsia="楷体" w:hAnsi="楷体" w:cs="Arial" w:hint="eastAsia"/>
        </w:rPr>
        <w:t>，但目前相对来说不太可能推出该计划；虽然</w:t>
      </w:r>
      <w:r w:rsidR="00720622" w:rsidRPr="00720622">
        <w:rPr>
          <w:rFonts w:eastAsia="楷体" w:hAnsi="楷体" w:cs="Arial" w:hint="eastAsia"/>
        </w:rPr>
        <w:t>预计低通胀或仍将维持一段时间，但是没有看到物价下行的威胁。</w:t>
      </w:r>
    </w:p>
    <w:p w:rsidR="00720622" w:rsidRPr="00B375CF" w:rsidRDefault="004846AD" w:rsidP="00B375CF">
      <w:pPr>
        <w:pStyle w:val="ab"/>
        <w:numPr>
          <w:ilvl w:val="4"/>
          <w:numId w:val="1"/>
        </w:numPr>
        <w:spacing w:after="163"/>
        <w:rPr>
          <w:rFonts w:eastAsia="楷体" w:hAnsi="楷体" w:cs="Arial"/>
        </w:rPr>
      </w:pPr>
      <w:r>
        <w:rPr>
          <w:rFonts w:eastAsia="楷体" w:hAnsi="楷体" w:cs="Arial" w:hint="eastAsia"/>
        </w:rPr>
        <w:t>而欧洲面临的地缘政治风险目前有加速抬升趋势，包括</w:t>
      </w:r>
      <w:r>
        <w:rPr>
          <w:rFonts w:eastAsia="楷体" w:cs="Arial" w:hint="eastAsia"/>
        </w:rPr>
        <w:t>风险的力度和持续性都有所加剧</w:t>
      </w:r>
      <w:r w:rsidRPr="00F85659">
        <w:rPr>
          <w:rFonts w:eastAsia="楷体" w:cs="Arial" w:hint="eastAsia"/>
        </w:rPr>
        <w:t>。</w:t>
      </w:r>
      <w:r w:rsidR="00F85659" w:rsidRPr="00B375CF">
        <w:rPr>
          <w:rFonts w:eastAsia="楷体" w:cs="Arial" w:hint="eastAsia"/>
        </w:rPr>
        <w:t>随着国际社会对乌克兰援助到位，乌克兰政府</w:t>
      </w:r>
      <w:r w:rsidR="00A66891">
        <w:rPr>
          <w:rFonts w:eastAsia="楷体" w:cs="Arial" w:hint="eastAsia"/>
        </w:rPr>
        <w:t>反击能力加强</w:t>
      </w:r>
      <w:r w:rsidR="006B2138">
        <w:rPr>
          <w:rFonts w:eastAsia="楷体" w:cs="Arial" w:hint="eastAsia"/>
        </w:rPr>
        <w:t>，对俄态度遽然转强</w:t>
      </w:r>
      <w:r w:rsidR="00A66891">
        <w:rPr>
          <w:rFonts w:eastAsia="楷体" w:cs="Arial" w:hint="eastAsia"/>
        </w:rPr>
        <w:t>；</w:t>
      </w:r>
      <w:r w:rsidR="00367B88" w:rsidRPr="00B375CF">
        <w:rPr>
          <w:rFonts w:eastAsia="楷体" w:cs="Arial" w:hint="eastAsia"/>
        </w:rPr>
        <w:t>从俄罗斯流出的资金已接近</w:t>
      </w:r>
      <w:r w:rsidR="00367B88" w:rsidRPr="00B375CF">
        <w:rPr>
          <w:rFonts w:eastAsia="楷体" w:cs="Arial" w:hint="eastAsia"/>
        </w:rPr>
        <w:t>1000</w:t>
      </w:r>
      <w:r w:rsidR="00367B88" w:rsidRPr="00B375CF">
        <w:rPr>
          <w:rFonts w:eastAsia="楷体" w:cs="Arial" w:hint="eastAsia"/>
        </w:rPr>
        <w:t>亿美元，</w:t>
      </w:r>
      <w:r w:rsidR="006B2138">
        <w:rPr>
          <w:rFonts w:eastAsia="楷体" w:cs="Arial" w:hint="eastAsia"/>
        </w:rPr>
        <w:t>其</w:t>
      </w:r>
      <w:r w:rsidR="00367B88" w:rsidRPr="00B375CF">
        <w:rPr>
          <w:rFonts w:eastAsia="楷体" w:cs="Arial" w:hint="eastAsia"/>
        </w:rPr>
        <w:t>以何种方式对抗欧美的反击</w:t>
      </w:r>
      <w:r w:rsidR="00A66891">
        <w:rPr>
          <w:rFonts w:eastAsia="楷体" w:cs="Arial" w:hint="eastAsia"/>
        </w:rPr>
        <w:t>将</w:t>
      </w:r>
      <w:r w:rsidR="00367B88" w:rsidRPr="00B375CF">
        <w:rPr>
          <w:rFonts w:eastAsia="楷体" w:cs="Arial" w:hint="eastAsia"/>
        </w:rPr>
        <w:t>给金融市场带来很大不确定性。</w:t>
      </w:r>
      <w:r w:rsidR="006B2138">
        <w:rPr>
          <w:rFonts w:eastAsia="楷体" w:cs="Arial" w:hint="eastAsia"/>
        </w:rPr>
        <w:t>若</w:t>
      </w:r>
      <w:r w:rsidR="00A66891">
        <w:rPr>
          <w:rFonts w:eastAsia="楷体" w:cs="Arial" w:hint="eastAsia"/>
        </w:rPr>
        <w:t>风险</w:t>
      </w:r>
      <w:r w:rsidR="006B2138">
        <w:rPr>
          <w:rFonts w:eastAsia="楷体" w:cs="Arial" w:hint="eastAsia"/>
        </w:rPr>
        <w:t>进一步向热战方向转化，很多资金料将清空与俄罗斯相关的经济金融敞口，流向与俄罗斯相关性低的国家和投资方向，从而引发相关国家金融环境变化。资金流出国</w:t>
      </w:r>
      <w:r w:rsidR="00C25E16">
        <w:rPr>
          <w:rFonts w:eastAsia="楷体" w:cs="Arial" w:hint="eastAsia"/>
        </w:rPr>
        <w:t>的金融环境将趋紧，</w:t>
      </w:r>
      <w:r w:rsidR="006B2138">
        <w:rPr>
          <w:rFonts w:eastAsia="楷体" w:cs="Arial" w:hint="eastAsia"/>
        </w:rPr>
        <w:t>而</w:t>
      </w:r>
      <w:r w:rsidR="00C25E16">
        <w:rPr>
          <w:rFonts w:eastAsia="楷体" w:cs="Arial" w:hint="eastAsia"/>
        </w:rPr>
        <w:t>获得资金的国家甚至可以享受“风险红利”。</w:t>
      </w:r>
      <w:r w:rsidR="00367B88" w:rsidRPr="00B375CF">
        <w:rPr>
          <w:rFonts w:eastAsia="楷体" w:cs="Arial" w:hint="eastAsia"/>
        </w:rPr>
        <w:t>美国在经济上与俄罗斯相关度非常低，同时，由于美元的世界储备货币的地位，</w:t>
      </w:r>
      <w:r w:rsidR="006B2138">
        <w:rPr>
          <w:rFonts w:eastAsia="楷体" w:cs="Arial" w:hint="eastAsia"/>
        </w:rPr>
        <w:t>将大概率享受</w:t>
      </w:r>
      <w:r w:rsidR="00367B88" w:rsidRPr="00B375CF">
        <w:rPr>
          <w:rFonts w:eastAsia="楷体" w:cs="Arial" w:hint="eastAsia"/>
        </w:rPr>
        <w:t>“风险红利”。</w:t>
      </w:r>
    </w:p>
    <w:p w:rsidR="00720622" w:rsidRPr="00720622" w:rsidRDefault="006B2138" w:rsidP="00720622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>
        <w:rPr>
          <w:rFonts w:eastAsia="楷体" w:hAnsi="楷体" w:cs="Arial" w:hint="eastAsia"/>
        </w:rPr>
        <w:t>整体来看，随着俄罗斯和乌克兰之间的紧张局势</w:t>
      </w:r>
      <w:r w:rsidR="00720622" w:rsidRPr="00720622">
        <w:rPr>
          <w:rFonts w:eastAsia="楷体" w:hAnsi="楷体" w:cs="Arial" w:hint="eastAsia"/>
        </w:rPr>
        <w:t>悬而未决，欧元区的经济增长料不会出现</w:t>
      </w:r>
      <w:r>
        <w:rPr>
          <w:rFonts w:eastAsia="楷体" w:hAnsi="楷体" w:cs="Arial" w:hint="eastAsia"/>
        </w:rPr>
        <w:t>进一步</w:t>
      </w:r>
      <w:r w:rsidR="00720622" w:rsidRPr="00720622">
        <w:rPr>
          <w:rFonts w:eastAsia="楷体" w:hAnsi="楷体" w:cs="Arial" w:hint="eastAsia"/>
        </w:rPr>
        <w:t>加速的现象。</w:t>
      </w:r>
      <w:r>
        <w:rPr>
          <w:rFonts w:eastAsia="楷体" w:hAnsi="楷体" w:cs="Arial" w:hint="eastAsia"/>
        </w:rPr>
        <w:t>鉴于不确定性增加，凯石工场建议短期内继续对欧洲市场采取暂时回避态度。</w:t>
      </w:r>
    </w:p>
    <w:p w:rsidR="00A70401" w:rsidRPr="00FC54FE" w:rsidRDefault="00A70401" w:rsidP="00527E0E">
      <w:pPr>
        <w:widowControl/>
        <w:spacing w:after="120" w:line="240" w:lineRule="exact"/>
        <w:ind w:left="3430"/>
        <w:rPr>
          <w:rFonts w:ascii="楷体" w:eastAsia="楷体" w:hAnsi="楷体" w:cs="Times New Roman"/>
          <w:b/>
          <w:bCs/>
          <w:color w:val="0070C0"/>
          <w:kern w:val="0"/>
          <w:sz w:val="24"/>
          <w:szCs w:val="20"/>
          <w:lang w:val="en-GB"/>
        </w:rPr>
      </w:pPr>
      <w:r w:rsidRPr="00527E0E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新兴市场：</w:t>
      </w:r>
      <w:r w:rsidR="00AE0219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反弹不具持续性，港股结构性机会</w:t>
      </w:r>
    </w:p>
    <w:p w:rsidR="008D4414" w:rsidRPr="00125F8E" w:rsidRDefault="008D4414" w:rsidP="00125F8E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8B1BA4">
        <w:rPr>
          <w:rFonts w:eastAsia="楷体" w:cs="Arial" w:hint="eastAsia"/>
        </w:rPr>
        <w:t>新兴市场</w:t>
      </w:r>
      <w:r w:rsidR="006B3615">
        <w:rPr>
          <w:rFonts w:eastAsia="楷体" w:cs="Arial" w:hint="eastAsia"/>
        </w:rPr>
        <w:t>曾</w:t>
      </w:r>
      <w:r w:rsidRPr="008B1BA4">
        <w:rPr>
          <w:rFonts w:eastAsia="楷体" w:cs="Arial" w:hint="eastAsia"/>
        </w:rPr>
        <w:t>在</w:t>
      </w:r>
      <w:r w:rsidRPr="008B1BA4">
        <w:rPr>
          <w:rFonts w:eastAsia="楷体" w:cs="Arial" w:hint="eastAsia"/>
        </w:rPr>
        <w:t>3</w:t>
      </w:r>
      <w:r w:rsidR="006B3615">
        <w:rPr>
          <w:rFonts w:eastAsia="楷体" w:cs="Arial" w:hint="eastAsia"/>
        </w:rPr>
        <w:t>月份出现反弹，</w:t>
      </w:r>
      <w:r w:rsidR="001F4858">
        <w:rPr>
          <w:rFonts w:eastAsia="楷体" w:cs="Arial" w:hint="eastAsia"/>
        </w:rPr>
        <w:t>目前估值尚处洼地具备优势，</w:t>
      </w:r>
      <w:r w:rsidR="006B3615">
        <w:rPr>
          <w:rFonts w:eastAsia="楷体" w:cs="Arial" w:hint="eastAsia"/>
        </w:rPr>
        <w:t>但</w:t>
      </w:r>
      <w:r w:rsidR="001F4858">
        <w:rPr>
          <w:rFonts w:eastAsia="楷体" w:cs="Arial" w:hint="eastAsia"/>
        </w:rPr>
        <w:t>是</w:t>
      </w:r>
      <w:r w:rsidR="006B3615">
        <w:rPr>
          <w:rFonts w:eastAsia="楷体" w:cs="Arial" w:hint="eastAsia"/>
        </w:rPr>
        <w:t>仍然面临着经济增速动力不足</w:t>
      </w:r>
      <w:r w:rsidRPr="008B1BA4">
        <w:rPr>
          <w:rFonts w:eastAsia="楷体" w:cs="Arial" w:hint="eastAsia"/>
        </w:rPr>
        <w:t>和资本</w:t>
      </w:r>
      <w:r w:rsidR="006B3615">
        <w:rPr>
          <w:rFonts w:eastAsia="楷体" w:cs="Arial" w:hint="eastAsia"/>
        </w:rPr>
        <w:t>持续外逃的双重压力</w:t>
      </w:r>
      <w:r w:rsidR="00B46E42">
        <w:rPr>
          <w:rFonts w:eastAsia="楷体" w:cs="Arial" w:hint="eastAsia"/>
        </w:rPr>
        <w:t>，短期难以扭转</w:t>
      </w:r>
      <w:r w:rsidR="006B3615">
        <w:rPr>
          <w:rFonts w:eastAsia="楷体" w:cs="Arial" w:hint="eastAsia"/>
        </w:rPr>
        <w:t>。中国等市场的政策红利刺激</w:t>
      </w:r>
      <w:r w:rsidRPr="008B1BA4">
        <w:rPr>
          <w:rFonts w:eastAsia="楷体" w:cs="Arial" w:hint="eastAsia"/>
        </w:rPr>
        <w:t>或</w:t>
      </w:r>
      <w:r w:rsidR="006B3615">
        <w:rPr>
          <w:rFonts w:eastAsia="楷体" w:cs="Arial" w:hint="eastAsia"/>
        </w:rPr>
        <w:t>可短期改善其市场</w:t>
      </w:r>
      <w:r w:rsidRPr="008B1BA4">
        <w:rPr>
          <w:rFonts w:eastAsia="楷体" w:cs="Arial" w:hint="eastAsia"/>
        </w:rPr>
        <w:t>表现，但不足以</w:t>
      </w:r>
      <w:r w:rsidR="00125F8E">
        <w:rPr>
          <w:rFonts w:eastAsia="楷体" w:cs="Arial" w:hint="eastAsia"/>
        </w:rPr>
        <w:t>在经济下行压力面前提供强有力的反弹支撑。随着美联储退出</w:t>
      </w:r>
      <w:r w:rsidR="00125F8E">
        <w:rPr>
          <w:rFonts w:eastAsia="楷体" w:cs="Arial" w:hint="eastAsia"/>
        </w:rPr>
        <w:t>QE</w:t>
      </w:r>
      <w:r w:rsidR="00125F8E">
        <w:rPr>
          <w:rFonts w:eastAsia="楷体" w:cs="Arial" w:hint="eastAsia"/>
        </w:rPr>
        <w:t>引发资金大规模回流美国，</w:t>
      </w:r>
      <w:r w:rsidR="00F33571">
        <w:rPr>
          <w:rFonts w:eastAsia="楷体" w:cs="Arial" w:hint="eastAsia"/>
        </w:rPr>
        <w:t>叠加</w:t>
      </w:r>
      <w:r w:rsidR="00125F8E">
        <w:rPr>
          <w:rFonts w:eastAsia="楷体" w:cs="Arial" w:hint="eastAsia"/>
        </w:rPr>
        <w:t>局部政治动荡隐患，</w:t>
      </w:r>
      <w:r w:rsidR="00125F8E" w:rsidRPr="0034660C">
        <w:rPr>
          <w:rFonts w:eastAsia="楷体" w:cs="Arial" w:hint="eastAsia"/>
        </w:rPr>
        <w:t>新兴市场目前仍</w:t>
      </w:r>
      <w:r w:rsidR="004B7A2A">
        <w:rPr>
          <w:rFonts w:eastAsia="楷体" w:cs="Arial" w:hint="eastAsia"/>
        </w:rPr>
        <w:t>存在需</w:t>
      </w:r>
      <w:r w:rsidR="00125F8E" w:rsidRPr="0034660C">
        <w:rPr>
          <w:rFonts w:eastAsia="楷体" w:cs="Arial" w:hint="eastAsia"/>
        </w:rPr>
        <w:t>警惕的风险，</w:t>
      </w:r>
      <w:r w:rsidR="00125F8E" w:rsidRPr="0034660C">
        <w:rPr>
          <w:rFonts w:eastAsia="楷体" w:cs="Arial"/>
        </w:rPr>
        <w:t>建议</w:t>
      </w:r>
      <w:r w:rsidR="004B7A2A">
        <w:rPr>
          <w:rFonts w:eastAsia="楷体" w:cs="Arial"/>
        </w:rPr>
        <w:t>适度</w:t>
      </w:r>
      <w:r w:rsidR="00125F8E" w:rsidRPr="0034660C">
        <w:rPr>
          <w:rFonts w:eastAsia="楷体" w:cs="Arial"/>
        </w:rPr>
        <w:t>规避。</w:t>
      </w:r>
    </w:p>
    <w:p w:rsidR="00125F8E" w:rsidRPr="00125F8E" w:rsidRDefault="00125F8E" w:rsidP="00125F8E">
      <w:pPr>
        <w:pStyle w:val="ab"/>
        <w:numPr>
          <w:ilvl w:val="5"/>
          <w:numId w:val="2"/>
        </w:numPr>
        <w:spacing w:after="163"/>
        <w:ind w:left="4140" w:hanging="369"/>
        <w:rPr>
          <w:rFonts w:eastAsia="楷体" w:hAnsi="楷体" w:cs="Arial"/>
        </w:rPr>
      </w:pPr>
      <w:r w:rsidRPr="00125F8E">
        <w:rPr>
          <w:rFonts w:eastAsia="楷体" w:hAnsi="楷体" w:cs="Arial"/>
        </w:rPr>
        <w:t>2014</w:t>
      </w:r>
      <w:r w:rsidRPr="00125F8E">
        <w:rPr>
          <w:rFonts w:eastAsia="楷体" w:hAnsi="楷体" w:cs="Arial" w:hint="eastAsia"/>
        </w:rPr>
        <w:t>年</w:t>
      </w:r>
      <w:r w:rsidRPr="00125F8E">
        <w:rPr>
          <w:rFonts w:eastAsia="楷体" w:hAnsi="楷体" w:cs="Arial"/>
        </w:rPr>
        <w:t>3</w:t>
      </w:r>
      <w:r w:rsidRPr="00125F8E">
        <w:rPr>
          <w:rFonts w:eastAsia="楷体" w:hAnsi="楷体" w:cs="Arial" w:hint="eastAsia"/>
        </w:rPr>
        <w:t>月份，中国和巴西的制造业</w:t>
      </w:r>
      <w:r w:rsidRPr="00125F8E">
        <w:rPr>
          <w:rFonts w:eastAsia="楷体" w:hAnsi="楷体" w:cs="Arial"/>
        </w:rPr>
        <w:t>PMI</w:t>
      </w:r>
      <w:r w:rsidRPr="00125F8E">
        <w:rPr>
          <w:rFonts w:eastAsia="楷体" w:hAnsi="楷体" w:cs="Arial" w:hint="eastAsia"/>
        </w:rPr>
        <w:t>指数分别比上月走高</w:t>
      </w:r>
      <w:r w:rsidRPr="00125F8E">
        <w:rPr>
          <w:rFonts w:eastAsia="楷体" w:hAnsi="楷体" w:cs="Arial"/>
        </w:rPr>
        <w:t>0.1</w:t>
      </w:r>
      <w:r w:rsidRPr="00125F8E">
        <w:rPr>
          <w:rFonts w:eastAsia="楷体" w:hAnsi="楷体" w:cs="Arial" w:hint="eastAsia"/>
        </w:rPr>
        <w:t>、</w:t>
      </w:r>
      <w:r w:rsidRPr="00125F8E">
        <w:rPr>
          <w:rFonts w:eastAsia="楷体" w:hAnsi="楷体" w:cs="Arial"/>
        </w:rPr>
        <w:t>0.2</w:t>
      </w:r>
      <w:r w:rsidRPr="00125F8E">
        <w:rPr>
          <w:rFonts w:eastAsia="楷体" w:hAnsi="楷体" w:cs="Arial" w:hint="eastAsia"/>
        </w:rPr>
        <w:t>，升至</w:t>
      </w:r>
      <w:r w:rsidRPr="00125F8E">
        <w:rPr>
          <w:rFonts w:eastAsia="楷体" w:hAnsi="楷体" w:cs="Arial"/>
        </w:rPr>
        <w:t>50.3</w:t>
      </w:r>
      <w:r w:rsidRPr="00125F8E">
        <w:rPr>
          <w:rFonts w:eastAsia="楷体" w:hAnsi="楷体" w:cs="Arial" w:hint="eastAsia"/>
        </w:rPr>
        <w:t>、</w:t>
      </w:r>
      <w:r w:rsidRPr="00125F8E">
        <w:rPr>
          <w:rFonts w:eastAsia="楷体" w:hAnsi="楷体" w:cs="Arial"/>
        </w:rPr>
        <w:t>50.6</w:t>
      </w:r>
      <w:r w:rsidRPr="00125F8E">
        <w:rPr>
          <w:rFonts w:eastAsia="楷体" w:hAnsi="楷体" w:cs="Arial" w:hint="eastAsia"/>
        </w:rPr>
        <w:t>；而南非、印度和俄罗斯制造业</w:t>
      </w:r>
      <w:r w:rsidRPr="00125F8E">
        <w:rPr>
          <w:rFonts w:eastAsia="楷体" w:hAnsi="楷体" w:cs="Arial"/>
        </w:rPr>
        <w:t>PMI</w:t>
      </w:r>
      <w:r w:rsidRPr="00125F8E">
        <w:rPr>
          <w:rFonts w:eastAsia="楷体" w:hAnsi="楷体" w:cs="Arial" w:hint="eastAsia"/>
        </w:rPr>
        <w:t>指数分别从上月的</w:t>
      </w:r>
      <w:r w:rsidRPr="00125F8E">
        <w:rPr>
          <w:rFonts w:eastAsia="楷体" w:hAnsi="楷体" w:cs="Arial"/>
        </w:rPr>
        <w:t>52.4</w:t>
      </w:r>
      <w:r w:rsidRPr="00125F8E">
        <w:rPr>
          <w:rFonts w:eastAsia="楷体" w:hAnsi="楷体" w:cs="Arial" w:hint="eastAsia"/>
        </w:rPr>
        <w:t>、</w:t>
      </w:r>
      <w:r w:rsidRPr="00125F8E">
        <w:rPr>
          <w:rFonts w:eastAsia="楷体" w:hAnsi="楷体" w:cs="Arial"/>
        </w:rPr>
        <w:t>52.5</w:t>
      </w:r>
      <w:r w:rsidRPr="00125F8E">
        <w:rPr>
          <w:rFonts w:eastAsia="楷体" w:hAnsi="楷体" w:cs="Arial" w:hint="eastAsia"/>
        </w:rPr>
        <w:t>和</w:t>
      </w:r>
      <w:r w:rsidRPr="00125F8E">
        <w:rPr>
          <w:rFonts w:eastAsia="楷体" w:hAnsi="楷体" w:cs="Arial"/>
        </w:rPr>
        <w:t>48.5</w:t>
      </w:r>
      <w:r w:rsidRPr="00125F8E">
        <w:rPr>
          <w:rFonts w:eastAsia="楷体" w:hAnsi="楷体" w:cs="Arial" w:hint="eastAsia"/>
        </w:rPr>
        <w:t>下降至</w:t>
      </w:r>
      <w:r w:rsidRPr="00125F8E">
        <w:rPr>
          <w:rFonts w:eastAsia="楷体" w:hAnsi="楷体" w:cs="Arial"/>
        </w:rPr>
        <w:t>51.3</w:t>
      </w:r>
      <w:r w:rsidRPr="00125F8E">
        <w:rPr>
          <w:rFonts w:eastAsia="楷体" w:hAnsi="楷体" w:cs="Arial" w:hint="eastAsia"/>
        </w:rPr>
        <w:t>、</w:t>
      </w:r>
      <w:r w:rsidRPr="00125F8E">
        <w:rPr>
          <w:rFonts w:eastAsia="楷体" w:hAnsi="楷体" w:cs="Arial"/>
        </w:rPr>
        <w:t>51.3</w:t>
      </w:r>
      <w:r w:rsidRPr="00125F8E">
        <w:rPr>
          <w:rFonts w:eastAsia="楷体" w:hAnsi="楷体" w:cs="Arial" w:hint="eastAsia"/>
        </w:rPr>
        <w:t>和</w:t>
      </w:r>
      <w:r w:rsidRPr="00125F8E">
        <w:rPr>
          <w:rFonts w:eastAsia="楷体" w:hAnsi="楷体" w:cs="Arial"/>
        </w:rPr>
        <w:t>48.3</w:t>
      </w:r>
      <w:r w:rsidRPr="00125F8E">
        <w:rPr>
          <w:rFonts w:eastAsia="楷体" w:hAnsi="楷体" w:cs="Arial" w:hint="eastAsia"/>
        </w:rPr>
        <w:t>。</w:t>
      </w:r>
    </w:p>
    <w:p w:rsidR="00125F8E" w:rsidRPr="00125F8E" w:rsidRDefault="00125F8E" w:rsidP="00125F8E">
      <w:pPr>
        <w:pStyle w:val="ab"/>
        <w:numPr>
          <w:ilvl w:val="5"/>
          <w:numId w:val="2"/>
        </w:numPr>
        <w:spacing w:after="163"/>
        <w:ind w:left="4140" w:hanging="369"/>
        <w:rPr>
          <w:rFonts w:eastAsia="楷体" w:hAnsi="楷体" w:cs="Arial"/>
        </w:rPr>
      </w:pPr>
      <w:r w:rsidRPr="00125F8E">
        <w:rPr>
          <w:rFonts w:eastAsia="楷体" w:hAnsi="楷体" w:cs="Arial" w:hint="eastAsia"/>
        </w:rPr>
        <w:t>汇率方面，</w:t>
      </w:r>
      <w:r w:rsidRPr="00125F8E">
        <w:rPr>
          <w:rFonts w:eastAsia="楷体" w:hAnsi="楷体" w:cs="Arial"/>
        </w:rPr>
        <w:t xml:space="preserve"> 2014</w:t>
      </w:r>
      <w:r w:rsidRPr="00125F8E">
        <w:rPr>
          <w:rFonts w:eastAsia="楷体" w:hAnsi="楷体" w:cs="Arial" w:hint="eastAsia"/>
        </w:rPr>
        <w:t>年以来至</w:t>
      </w:r>
      <w:r w:rsidRPr="00125F8E">
        <w:rPr>
          <w:rFonts w:eastAsia="楷体" w:hAnsi="楷体" w:cs="Arial"/>
        </w:rPr>
        <w:t>4</w:t>
      </w:r>
      <w:r w:rsidRPr="00125F8E">
        <w:rPr>
          <w:rFonts w:eastAsia="楷体" w:hAnsi="楷体" w:cs="Arial" w:hint="eastAsia"/>
        </w:rPr>
        <w:t>月</w:t>
      </w:r>
      <w:r w:rsidRPr="00125F8E">
        <w:rPr>
          <w:rFonts w:eastAsia="楷体" w:hAnsi="楷体" w:cs="Arial"/>
        </w:rPr>
        <w:t>24</w:t>
      </w:r>
      <w:r w:rsidRPr="00125F8E">
        <w:rPr>
          <w:rFonts w:eastAsia="楷体" w:hAnsi="楷体" w:cs="Arial" w:hint="eastAsia"/>
        </w:rPr>
        <w:t>日，人民币兑美元汇率贬值</w:t>
      </w:r>
      <w:r w:rsidRPr="00125F8E">
        <w:rPr>
          <w:rFonts w:eastAsia="楷体" w:hAnsi="楷体" w:cs="Arial"/>
        </w:rPr>
        <w:t>1.02%</w:t>
      </w:r>
      <w:r w:rsidRPr="00125F8E">
        <w:rPr>
          <w:rFonts w:eastAsia="楷体" w:hAnsi="楷体" w:cs="Arial" w:hint="eastAsia"/>
        </w:rPr>
        <w:t>，俄罗斯卢布相对美元贬值</w:t>
      </w:r>
      <w:r w:rsidRPr="00125F8E">
        <w:rPr>
          <w:rFonts w:eastAsia="楷体" w:hAnsi="楷体" w:cs="Arial"/>
        </w:rPr>
        <w:t>8.96%</w:t>
      </w:r>
      <w:r w:rsidRPr="00125F8E">
        <w:rPr>
          <w:rFonts w:eastAsia="楷体" w:hAnsi="楷体" w:cs="Arial" w:hint="eastAsia"/>
        </w:rPr>
        <w:t>，南非兰特相对美元贬值</w:t>
      </w:r>
      <w:r w:rsidRPr="00125F8E">
        <w:rPr>
          <w:rFonts w:eastAsia="楷体" w:hAnsi="楷体" w:cs="Arial"/>
        </w:rPr>
        <w:t>1.20%</w:t>
      </w:r>
      <w:r w:rsidRPr="00125F8E">
        <w:rPr>
          <w:rFonts w:eastAsia="楷体" w:hAnsi="楷体" w:cs="Arial" w:hint="eastAsia"/>
        </w:rPr>
        <w:t>；而印度卢比相对美元升值</w:t>
      </w:r>
      <w:r w:rsidRPr="00125F8E">
        <w:rPr>
          <w:rFonts w:eastAsia="楷体" w:hAnsi="楷体" w:cs="Arial"/>
        </w:rPr>
        <w:t>1.34%</w:t>
      </w:r>
      <w:r w:rsidRPr="00125F8E">
        <w:rPr>
          <w:rFonts w:eastAsia="楷体" w:hAnsi="楷体" w:cs="Arial" w:hint="eastAsia"/>
        </w:rPr>
        <w:t>，巴西雷亚尔相对美元升值</w:t>
      </w:r>
      <w:r w:rsidRPr="00125F8E">
        <w:rPr>
          <w:rFonts w:eastAsia="楷体" w:hAnsi="楷体" w:cs="Arial"/>
        </w:rPr>
        <w:t>5.11%</w:t>
      </w:r>
      <w:r w:rsidRPr="00125F8E">
        <w:rPr>
          <w:rFonts w:eastAsia="楷体" w:hAnsi="楷体" w:cs="Arial" w:hint="eastAsia"/>
        </w:rPr>
        <w:t>。</w:t>
      </w:r>
    </w:p>
    <w:p w:rsidR="00A70401" w:rsidRPr="0034660C" w:rsidRDefault="006C0A93" w:rsidP="006322BE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>
        <w:rPr>
          <w:rFonts w:eastAsia="楷体" w:cs="Arial" w:hint="eastAsia"/>
        </w:rPr>
        <w:t>不过</w:t>
      </w:r>
      <w:r w:rsidR="008A0D5C" w:rsidRPr="0034660C">
        <w:rPr>
          <w:rFonts w:eastAsia="楷体" w:cs="Arial" w:hint="eastAsia"/>
        </w:rPr>
        <w:t>，</w:t>
      </w:r>
      <w:r w:rsidR="006322BE" w:rsidRPr="0034660C">
        <w:rPr>
          <w:rFonts w:eastAsia="楷体" w:cs="Arial" w:hint="eastAsia"/>
        </w:rPr>
        <w:t>港股方面</w:t>
      </w:r>
      <w:r w:rsidR="007436D0" w:rsidRPr="0034660C">
        <w:rPr>
          <w:rFonts w:eastAsia="楷体" w:cs="Arial" w:hint="eastAsia"/>
        </w:rPr>
        <w:t>尚存</w:t>
      </w:r>
      <w:r w:rsidR="006322BE" w:rsidRPr="0034660C">
        <w:rPr>
          <w:rFonts w:eastAsia="楷体" w:cs="Arial" w:hint="eastAsia"/>
        </w:rPr>
        <w:t>结构性机会。一方面，恒生指数经过前期下跌，目前估值低于历史均值水平，与其他资本市场相比具有吸引力；</w:t>
      </w:r>
      <w:r w:rsidR="006322BE" w:rsidRPr="0034660C">
        <w:rPr>
          <w:rFonts w:eastAsia="楷体" w:cs="Arial"/>
        </w:rPr>
        <w:t>另一方面，</w:t>
      </w:r>
      <w:r w:rsidR="00125F8E" w:rsidRPr="008B1BA4">
        <w:rPr>
          <w:rFonts w:eastAsia="楷体" w:cs="Arial" w:hint="eastAsia"/>
        </w:rPr>
        <w:t>沪港通或将在</w:t>
      </w:r>
      <w:r w:rsidR="00125F8E" w:rsidRPr="008B1BA4">
        <w:rPr>
          <w:rFonts w:eastAsia="楷体" w:cs="Arial" w:hint="eastAsia"/>
        </w:rPr>
        <w:t>10</w:t>
      </w:r>
      <w:r w:rsidR="00125F8E" w:rsidRPr="008B1BA4">
        <w:rPr>
          <w:rFonts w:eastAsia="楷体" w:cs="Arial" w:hint="eastAsia"/>
        </w:rPr>
        <w:t>月份正式启动，</w:t>
      </w:r>
      <w:r w:rsidR="004B7A2A">
        <w:rPr>
          <w:rFonts w:eastAsia="楷体" w:cs="Arial" w:hint="eastAsia"/>
        </w:rPr>
        <w:t>届时</w:t>
      </w:r>
      <w:r w:rsidR="00125F8E" w:rsidRPr="008B1BA4">
        <w:rPr>
          <w:rFonts w:eastAsia="楷体" w:cs="Arial" w:hint="eastAsia"/>
        </w:rPr>
        <w:t>香港市场</w:t>
      </w:r>
      <w:r w:rsidR="004B7A2A">
        <w:rPr>
          <w:rFonts w:eastAsia="楷体" w:cs="Arial" w:hint="eastAsia"/>
        </w:rPr>
        <w:t>将成为中国资本与全球资本之间的重要窗口，从而大幅提升香港市场在全球的地位和自身交易的活跃度，</w:t>
      </w:r>
      <w:r w:rsidR="00125F8E" w:rsidRPr="008B1BA4">
        <w:rPr>
          <w:rFonts w:eastAsia="楷体" w:cs="Arial" w:hint="eastAsia"/>
        </w:rPr>
        <w:t>对</w:t>
      </w:r>
      <w:r w:rsidR="004B7A2A">
        <w:rPr>
          <w:rFonts w:eastAsia="楷体" w:cs="Arial" w:hint="eastAsia"/>
        </w:rPr>
        <w:t>于</w:t>
      </w:r>
      <w:r w:rsidR="00125F8E" w:rsidRPr="008B1BA4">
        <w:rPr>
          <w:rFonts w:eastAsia="楷体" w:cs="Arial" w:hint="eastAsia"/>
        </w:rPr>
        <w:t>投资香港市场</w:t>
      </w:r>
      <w:r w:rsidR="00125F8E" w:rsidRPr="008B1BA4">
        <w:rPr>
          <w:rFonts w:eastAsia="楷体" w:cs="Arial" w:hint="eastAsia"/>
        </w:rPr>
        <w:t>QDII</w:t>
      </w:r>
      <w:r w:rsidR="004B7A2A">
        <w:rPr>
          <w:rFonts w:eastAsia="楷体" w:cs="Arial" w:hint="eastAsia"/>
        </w:rPr>
        <w:t>形成利好，投资者可适当关注香港蓝筹股</w:t>
      </w:r>
      <w:r w:rsidR="00125F8E" w:rsidRPr="008B1BA4">
        <w:rPr>
          <w:rFonts w:eastAsia="楷体" w:cs="Arial" w:hint="eastAsia"/>
        </w:rPr>
        <w:t>QDII</w:t>
      </w:r>
      <w:r w:rsidR="00125F8E" w:rsidRPr="008B1BA4">
        <w:rPr>
          <w:rFonts w:eastAsia="楷体" w:cs="Arial" w:hint="eastAsia"/>
        </w:rPr>
        <w:t>。</w:t>
      </w:r>
      <w:r>
        <w:rPr>
          <w:rFonts w:eastAsia="楷体" w:cs="Arial" w:hint="eastAsia"/>
        </w:rPr>
        <w:t>当然</w:t>
      </w:r>
      <w:r w:rsidR="006322BE" w:rsidRPr="0034660C">
        <w:rPr>
          <w:rFonts w:eastAsia="楷体" w:cs="Arial" w:hint="eastAsia"/>
        </w:rPr>
        <w:t>，鉴于数据显示中国经济延续下滑趋势，对于信用风险的担忧加大短期经济下行压力和资本市场的波动，</w:t>
      </w:r>
      <w:r w:rsidR="007436D0" w:rsidRPr="0034660C">
        <w:rPr>
          <w:rFonts w:eastAsia="楷体" w:cs="Arial" w:hint="eastAsia"/>
        </w:rPr>
        <w:t>港股整体配置价值仍</w:t>
      </w:r>
      <w:r w:rsidR="006322BE" w:rsidRPr="0034660C">
        <w:rPr>
          <w:rFonts w:eastAsia="楷体" w:cs="Arial" w:hint="eastAsia"/>
        </w:rPr>
        <w:t>需等待。</w:t>
      </w:r>
    </w:p>
    <w:tbl>
      <w:tblPr>
        <w:tblW w:w="7442" w:type="dxa"/>
        <w:tblInd w:w="340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42"/>
      </w:tblGrid>
      <w:tr w:rsidR="00845CF9" w:rsidRPr="00FC54FE" w:rsidTr="0032541E">
        <w:trPr>
          <w:cantSplit/>
          <w:trHeight w:val="65"/>
        </w:trPr>
        <w:tc>
          <w:tcPr>
            <w:tcW w:w="7442" w:type="dxa"/>
            <w:shd w:val="clear" w:color="auto" w:fill="auto"/>
            <w:vAlign w:val="center"/>
          </w:tcPr>
          <w:p w:rsidR="00845CF9" w:rsidRPr="00FC54FE" w:rsidRDefault="00845CF9" w:rsidP="0032541E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  <w:color w:val="FF6600"/>
              </w:rPr>
            </w:pPr>
            <w:r w:rsidRPr="00FC54FE">
              <w:rPr>
                <w:rFonts w:ascii="楷体" w:eastAsia="楷体" w:hAnsi="楷体"/>
                <w:color w:val="FF6600"/>
              </w:rPr>
              <w:lastRenderedPageBreak/>
              <w:t>图表</w:t>
            </w:r>
            <w:r w:rsidR="004B7A2A">
              <w:rPr>
                <w:rFonts w:ascii="楷体" w:eastAsia="楷体" w:hAnsi="楷体" w:hint="eastAsia"/>
                <w:color w:val="FF6600"/>
              </w:rPr>
              <w:t>6</w:t>
            </w:r>
            <w:r w:rsidRPr="00FC54FE">
              <w:rPr>
                <w:rFonts w:ascii="楷体" w:eastAsia="楷体" w:hAnsi="楷体" w:hint="eastAsia"/>
                <w:color w:val="FF6600"/>
              </w:rPr>
              <w:t>：</w:t>
            </w:r>
            <w:r w:rsidRPr="00C95E51">
              <w:rPr>
                <w:rFonts w:ascii="楷体" w:eastAsia="楷体" w:hAnsi="楷体" w:hint="eastAsia"/>
                <w:color w:val="FF6600"/>
              </w:rPr>
              <w:t>2014年以来全球主要股指走势比较</w:t>
            </w:r>
          </w:p>
        </w:tc>
      </w:tr>
      <w:tr w:rsidR="00845CF9" w:rsidRPr="00FC54FE" w:rsidTr="0032541E">
        <w:trPr>
          <w:cantSplit/>
          <w:trHeight w:val="3169"/>
        </w:trPr>
        <w:tc>
          <w:tcPr>
            <w:tcW w:w="7442" w:type="dxa"/>
            <w:shd w:val="clear" w:color="auto" w:fill="auto"/>
            <w:vAlign w:val="center"/>
          </w:tcPr>
          <w:p w:rsidR="00845CF9" w:rsidRPr="00FC54FE" w:rsidRDefault="00965945" w:rsidP="0032541E">
            <w:pPr>
              <w:snapToGrid w:val="0"/>
              <w:spacing w:line="10" w:lineRule="atLeast"/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/>
                <w:b/>
                <w:noProof/>
              </w:rPr>
              <w:drawing>
                <wp:inline distT="0" distB="0" distL="0" distR="0">
                  <wp:extent cx="4724400" cy="2152650"/>
                  <wp:effectExtent l="1905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5CF9" w:rsidRPr="00FC54FE" w:rsidRDefault="00845CF9" w:rsidP="00845CF9">
      <w:pPr>
        <w:pStyle w:val="FootnoteNoline"/>
        <w:rPr>
          <w:rFonts w:ascii="楷体" w:eastAsia="楷体" w:hAnsi="楷体"/>
          <w:color w:val="FF6600"/>
        </w:rPr>
      </w:pPr>
      <w:r w:rsidRPr="00FC54FE">
        <w:rPr>
          <w:rFonts w:ascii="楷体" w:eastAsia="楷体" w:hAnsi="楷体" w:hint="eastAsia"/>
          <w:color w:val="FF6600"/>
        </w:rPr>
        <w:t>来源：凯石财富工场 财汇数据</w:t>
      </w:r>
    </w:p>
    <w:p w:rsidR="00607330" w:rsidRPr="00FC54FE" w:rsidRDefault="0021476C" w:rsidP="00607330">
      <w:pPr>
        <w:widowControl/>
        <w:spacing w:after="120" w:line="240" w:lineRule="exact"/>
        <w:ind w:left="3430"/>
        <w:rPr>
          <w:rFonts w:ascii="楷体" w:eastAsia="楷体" w:hAnsi="楷体" w:cs="Times New Roman"/>
          <w:b/>
          <w:bCs/>
          <w:color w:val="0070C0"/>
          <w:kern w:val="0"/>
          <w:sz w:val="24"/>
          <w:szCs w:val="20"/>
          <w:lang w:val="en-GB"/>
        </w:rPr>
      </w:pPr>
      <w:r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3.</w:t>
      </w:r>
      <w:r w:rsidR="00607330" w:rsidRPr="00FC54FE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商品</w:t>
      </w:r>
      <w:r w:rsidR="00333E93" w:rsidRPr="00FC54FE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等</w:t>
      </w:r>
      <w:r w:rsidR="00607330" w:rsidRPr="00FC54FE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市场：</w:t>
      </w:r>
      <w:r w:rsidR="00DA19DC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原油金属价格反弹</w:t>
      </w:r>
    </w:p>
    <w:p w:rsidR="008E2F84" w:rsidRDefault="008E2F84" w:rsidP="00EB09FE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EB3A43">
        <w:rPr>
          <w:rFonts w:eastAsia="楷体" w:cs="Arial"/>
        </w:rPr>
        <w:t>4</w:t>
      </w:r>
      <w:r w:rsidRPr="00EB3A43">
        <w:rPr>
          <w:rFonts w:eastAsia="楷体" w:cs="Arial" w:hint="eastAsia"/>
        </w:rPr>
        <w:t>月份以来，俄乌地区紧张</w:t>
      </w:r>
      <w:r w:rsidR="00EB3A43">
        <w:rPr>
          <w:rFonts w:eastAsia="楷体" w:cs="Arial" w:hint="eastAsia"/>
        </w:rPr>
        <w:t>局势</w:t>
      </w:r>
      <w:r w:rsidRPr="00EB3A43">
        <w:rPr>
          <w:rFonts w:eastAsia="楷体" w:cs="Arial" w:hint="eastAsia"/>
        </w:rPr>
        <w:t>为原油价格提供了一定支撑。美国能源情报署</w:t>
      </w:r>
      <w:r w:rsidRPr="00EB3A43">
        <w:rPr>
          <w:rFonts w:eastAsia="楷体" w:cs="Arial"/>
        </w:rPr>
        <w:t>(EIA)</w:t>
      </w:r>
      <w:r w:rsidRPr="00EB3A43">
        <w:rPr>
          <w:rFonts w:eastAsia="楷体" w:cs="Arial" w:hint="eastAsia"/>
        </w:rPr>
        <w:t>数据显示，美国原油库存处于历史高位。</w:t>
      </w:r>
      <w:r w:rsidRPr="00EB3A43">
        <w:rPr>
          <w:rFonts w:eastAsia="楷体" w:cs="Arial"/>
        </w:rPr>
        <w:t>4</w:t>
      </w:r>
      <w:r w:rsidRPr="00EB3A43">
        <w:rPr>
          <w:rFonts w:eastAsia="楷体" w:cs="Arial" w:hint="eastAsia"/>
        </w:rPr>
        <w:t>月份以来，美联储货币政策趋于软化，基本金属价格经过</w:t>
      </w:r>
      <w:r w:rsidRPr="00EB3A43">
        <w:rPr>
          <w:rFonts w:eastAsia="楷体" w:cs="Arial"/>
        </w:rPr>
        <w:t>3</w:t>
      </w:r>
      <w:r w:rsidRPr="00EB3A43">
        <w:rPr>
          <w:rFonts w:eastAsia="楷体" w:cs="Arial" w:hint="eastAsia"/>
        </w:rPr>
        <w:t>月份的下跌后，出现小幅反弹，其中铝的价格反弹幅度超过</w:t>
      </w:r>
      <w:r w:rsidRPr="00EB3A43">
        <w:rPr>
          <w:rFonts w:eastAsia="楷体" w:cs="Arial"/>
        </w:rPr>
        <w:t>4.5%</w:t>
      </w:r>
      <w:r w:rsidRPr="00EB3A43">
        <w:rPr>
          <w:rFonts w:eastAsia="楷体" w:cs="Arial" w:hint="eastAsia"/>
        </w:rPr>
        <w:t>。</w:t>
      </w:r>
    </w:p>
    <w:p w:rsidR="008A2526" w:rsidRPr="00DA19DC" w:rsidRDefault="00DA19DC" w:rsidP="00DA19DC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DA19DC">
        <w:rPr>
          <w:rFonts w:eastAsia="楷体" w:cs="Arial" w:hint="eastAsia"/>
        </w:rPr>
        <w:t>综合</w:t>
      </w:r>
      <w:r>
        <w:rPr>
          <w:rFonts w:eastAsia="楷体" w:cs="Arial"/>
        </w:rPr>
        <w:t>QDII</w:t>
      </w:r>
      <w:r>
        <w:rPr>
          <w:rFonts w:eastAsia="楷体" w:cs="Arial"/>
        </w:rPr>
        <w:t>一</w:t>
      </w:r>
      <w:r w:rsidRPr="00DA19DC">
        <w:rPr>
          <w:rFonts w:eastAsia="楷体" w:cs="Arial" w:hint="eastAsia"/>
        </w:rPr>
        <w:t>季报基金经理观点</w:t>
      </w:r>
      <w:r>
        <w:rPr>
          <w:rFonts w:eastAsia="楷体" w:cs="Arial" w:hint="eastAsia"/>
        </w:rPr>
        <w:t>，</w:t>
      </w:r>
      <w:r w:rsidRPr="00DA19DC">
        <w:rPr>
          <w:rFonts w:eastAsia="楷体" w:cs="Arial" w:hint="eastAsia"/>
        </w:rPr>
        <w:t>对大宗商品的投资</w:t>
      </w:r>
      <w:r>
        <w:rPr>
          <w:rFonts w:eastAsia="楷体" w:cs="Arial" w:hint="eastAsia"/>
        </w:rPr>
        <w:t>心态谨慎</w:t>
      </w:r>
      <w:r w:rsidRPr="00DA19DC">
        <w:rPr>
          <w:rFonts w:eastAsia="楷体" w:cs="Arial" w:hint="eastAsia"/>
        </w:rPr>
        <w:t>偏乐观</w:t>
      </w:r>
      <w:r>
        <w:rPr>
          <w:rFonts w:eastAsia="楷体" w:cs="Arial" w:hint="eastAsia"/>
        </w:rPr>
        <w:t>。金价受</w:t>
      </w:r>
      <w:r>
        <w:rPr>
          <w:rFonts w:eastAsia="楷体" w:cs="Arial" w:hint="eastAsia"/>
        </w:rPr>
        <w:t>QE</w:t>
      </w:r>
      <w:r>
        <w:rPr>
          <w:rFonts w:eastAsia="楷体" w:cs="Arial" w:hint="eastAsia"/>
        </w:rPr>
        <w:t>退出的利空影响</w:t>
      </w:r>
      <w:r w:rsidRPr="00DA19DC">
        <w:rPr>
          <w:rFonts w:eastAsia="楷体" w:cs="Arial" w:hint="eastAsia"/>
        </w:rPr>
        <w:t>已反应了大部分，但未来价格仍</w:t>
      </w:r>
      <w:r>
        <w:rPr>
          <w:rFonts w:eastAsia="楷体" w:cs="Arial" w:hint="eastAsia"/>
        </w:rPr>
        <w:t>在其</w:t>
      </w:r>
      <w:r w:rsidRPr="00DA19DC">
        <w:rPr>
          <w:rFonts w:eastAsia="楷体" w:cs="Arial" w:hint="eastAsia"/>
        </w:rPr>
        <w:t>影响</w:t>
      </w:r>
      <w:r>
        <w:rPr>
          <w:rFonts w:eastAsia="楷体" w:cs="Arial" w:hint="eastAsia"/>
        </w:rPr>
        <w:t>下</w:t>
      </w:r>
      <w:r w:rsidRPr="00DA19DC">
        <w:rPr>
          <w:rFonts w:eastAsia="楷体" w:cs="Arial" w:hint="eastAsia"/>
        </w:rPr>
        <w:t>反复震荡，</w:t>
      </w:r>
      <w:r>
        <w:rPr>
          <w:rFonts w:eastAsia="楷体" w:cs="Arial" w:hint="eastAsia"/>
        </w:rPr>
        <w:t>上行</w:t>
      </w:r>
      <w:r w:rsidRPr="00DA19DC">
        <w:rPr>
          <w:rFonts w:eastAsia="楷体" w:cs="Arial" w:hint="eastAsia"/>
        </w:rPr>
        <w:t>空间有限。基本金属方面，</w:t>
      </w:r>
      <w:r>
        <w:rPr>
          <w:rFonts w:eastAsia="楷体" w:cs="Arial"/>
        </w:rPr>
        <w:t>今</w:t>
      </w:r>
      <w:r w:rsidRPr="00DA19DC">
        <w:rPr>
          <w:rFonts w:eastAsia="楷体" w:cs="Arial" w:hint="eastAsia"/>
        </w:rPr>
        <w:t>年铜</w:t>
      </w:r>
      <w:r>
        <w:rPr>
          <w:rFonts w:eastAsia="楷体" w:cs="Arial" w:hint="eastAsia"/>
        </w:rPr>
        <w:t>供给可能上升的状况下，铜价偏空，但其他基本金属下跌空间有限。因天气因素，农产品较有投资机会，小麦目前为止因土壤偏干而有欠收预期，支撑小麦价格上扬；</w:t>
      </w:r>
      <w:r w:rsidRPr="00DA19DC">
        <w:rPr>
          <w:rFonts w:eastAsia="楷体" w:cs="Arial" w:hint="eastAsia"/>
        </w:rPr>
        <w:t>咖啡价格也因巴西干旱而大涨；美国再生能源法案的修改影响玉米需求的预期，但</w:t>
      </w:r>
      <w:r w:rsidRPr="00DA19DC">
        <w:rPr>
          <w:rFonts w:eastAsia="楷体" w:cs="Arial"/>
        </w:rPr>
        <w:t>2014</w:t>
      </w:r>
      <w:r w:rsidRPr="00DA19DC">
        <w:rPr>
          <w:rFonts w:eastAsia="楷体" w:cs="Arial" w:hint="eastAsia"/>
        </w:rPr>
        <w:t>年耕地面积无法再扩大，</w:t>
      </w:r>
      <w:r w:rsidRPr="00DA19DC">
        <w:rPr>
          <w:rFonts w:eastAsia="楷体" w:cs="Arial"/>
        </w:rPr>
        <w:t>2014/2015</w:t>
      </w:r>
      <w:r w:rsidRPr="00DA19DC">
        <w:rPr>
          <w:rFonts w:eastAsia="楷体" w:cs="Arial" w:hint="eastAsia"/>
        </w:rPr>
        <w:t>谷物年度玉米价格可能止稳。基金</w:t>
      </w:r>
      <w:r>
        <w:rPr>
          <w:rFonts w:eastAsia="楷体" w:cs="Arial" w:hint="eastAsia"/>
        </w:rPr>
        <w:t>经理开始对商品市场持积极看法</w:t>
      </w:r>
      <w:r w:rsidRPr="00DA19DC">
        <w:rPr>
          <w:rFonts w:eastAsia="楷体" w:cs="Arial" w:hint="eastAsia"/>
        </w:rPr>
        <w:t>。</w:t>
      </w:r>
    </w:p>
    <w:p w:rsidR="00A70401" w:rsidRPr="00FC54FE" w:rsidRDefault="00081329" w:rsidP="00A70401">
      <w:pPr>
        <w:widowControl/>
        <w:spacing w:after="120" w:line="240" w:lineRule="exact"/>
        <w:ind w:left="3430"/>
        <w:rPr>
          <w:rFonts w:ascii="楷体" w:eastAsia="楷体" w:hAnsi="楷体" w:cs="Times New Roman"/>
          <w:b/>
          <w:bCs/>
          <w:color w:val="0070C0"/>
          <w:kern w:val="0"/>
          <w:sz w:val="24"/>
          <w:szCs w:val="20"/>
          <w:lang w:val="en-GB"/>
        </w:rPr>
      </w:pPr>
      <w:r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5</w:t>
      </w:r>
      <w:r w:rsidR="00A70401" w:rsidRPr="00FC54FE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月QDII投资</w:t>
      </w:r>
      <w:r w:rsidR="00C95A13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策略</w:t>
      </w:r>
      <w:r w:rsidR="00A70401" w:rsidRPr="00FC54FE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：</w:t>
      </w:r>
      <w:r w:rsidR="00C95A13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延续重配</w:t>
      </w:r>
      <w:r w:rsidR="00614E0D" w:rsidRPr="00FC54FE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美国市场</w:t>
      </w:r>
      <w:r w:rsidR="00C95A13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，美房地产基金价值凸显</w:t>
      </w:r>
    </w:p>
    <w:p w:rsidR="00924EBC" w:rsidRDefault="00924EBC" w:rsidP="00A00F34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34660C">
        <w:rPr>
          <w:rFonts w:eastAsia="楷体" w:cs="Arial" w:hint="eastAsia"/>
        </w:rPr>
        <w:t>全球经济增长动力明显</w:t>
      </w:r>
      <w:r>
        <w:rPr>
          <w:rFonts w:eastAsia="楷体" w:cs="Arial" w:hint="eastAsia"/>
        </w:rPr>
        <w:t>向发达经济体转移</w:t>
      </w:r>
      <w:r w:rsidRPr="008B1BA4">
        <w:rPr>
          <w:rFonts w:eastAsia="楷体" w:cs="Arial" w:hint="eastAsia"/>
        </w:rPr>
        <w:t>。其中</w:t>
      </w:r>
      <w:r>
        <w:rPr>
          <w:rFonts w:eastAsia="楷体" w:cs="Arial" w:hint="eastAsia"/>
        </w:rPr>
        <w:t>，美国经济复苏预期较为明朗，房地产市场和非农就业、制造业等数据</w:t>
      </w:r>
      <w:r w:rsidRPr="008B1BA4">
        <w:rPr>
          <w:rFonts w:eastAsia="楷体" w:cs="Arial" w:hint="eastAsia"/>
        </w:rPr>
        <w:t>持续回暖</w:t>
      </w:r>
      <w:r>
        <w:rPr>
          <w:rFonts w:eastAsia="楷体" w:cs="Arial" w:hint="eastAsia"/>
        </w:rPr>
        <w:t>，助推市场长期向好</w:t>
      </w:r>
      <w:r w:rsidRPr="008B1BA4">
        <w:rPr>
          <w:rFonts w:eastAsia="楷体" w:cs="Arial" w:hint="eastAsia"/>
        </w:rPr>
        <w:t>。</w:t>
      </w:r>
      <w:r w:rsidRPr="008C5E6B">
        <w:rPr>
          <w:rFonts w:eastAsia="楷体" w:hAnsi="楷体" w:cs="Arial"/>
        </w:rPr>
        <w:t>未来短期内不排除地缘政治风险加大美股波动，但鉴于美国经济高质量的复苏态势，预计美股下跌空间有限，我们依旧维持对美股指数基金的重点推荐。</w:t>
      </w:r>
      <w:r>
        <w:rPr>
          <w:rFonts w:eastAsia="楷体" w:cs="Arial" w:hint="eastAsia"/>
        </w:rPr>
        <w:t>欧元区经济数据虽在二季度伊始显示良好势头，</w:t>
      </w:r>
      <w:r>
        <w:rPr>
          <w:rFonts w:eastAsia="楷体" w:hAnsi="楷体" w:cs="Arial" w:hint="eastAsia"/>
        </w:rPr>
        <w:t>但</w:t>
      </w:r>
      <w:r>
        <w:rPr>
          <w:rFonts w:eastAsia="楷体" w:cs="Arial" w:hint="eastAsia"/>
        </w:rPr>
        <w:t>物价</w:t>
      </w:r>
      <w:r w:rsidRPr="008B1BA4">
        <w:rPr>
          <w:rFonts w:eastAsia="楷体" w:cs="Arial" w:hint="eastAsia"/>
        </w:rPr>
        <w:t>通缩</w:t>
      </w:r>
      <w:r>
        <w:rPr>
          <w:rFonts w:eastAsia="楷体" w:cs="Arial" w:hint="eastAsia"/>
        </w:rPr>
        <w:t>或对经济回温构成不利影响，更重要的是</w:t>
      </w:r>
      <w:r>
        <w:rPr>
          <w:rFonts w:eastAsia="楷体" w:hAnsi="楷体" w:cs="Arial" w:hint="eastAsia"/>
        </w:rPr>
        <w:t>克里米亚危机目前有加剧趋势，包括</w:t>
      </w:r>
      <w:r>
        <w:rPr>
          <w:rFonts w:eastAsia="楷体" w:cs="Arial" w:hint="eastAsia"/>
        </w:rPr>
        <w:t>风险的力度和持续性都有所加剧</w:t>
      </w:r>
      <w:r w:rsidR="003504AB">
        <w:rPr>
          <w:rFonts w:eastAsia="楷体" w:cs="Arial" w:hint="eastAsia"/>
        </w:rPr>
        <w:t>，</w:t>
      </w:r>
      <w:r>
        <w:rPr>
          <w:rFonts w:eastAsia="楷体" w:cs="Arial" w:hint="eastAsia"/>
        </w:rPr>
        <w:t>因此</w:t>
      </w:r>
      <w:r w:rsidR="003504AB">
        <w:rPr>
          <w:rFonts w:eastAsia="楷体" w:cs="Arial" w:hint="eastAsia"/>
        </w:rPr>
        <w:t>我们</w:t>
      </w:r>
      <w:r w:rsidR="003504AB">
        <w:rPr>
          <w:rFonts w:eastAsia="楷体" w:hAnsi="楷体" w:cs="Arial" w:hint="eastAsia"/>
        </w:rPr>
        <w:t>建议短期内对欧洲市场采取回避态度</w:t>
      </w:r>
      <w:r>
        <w:rPr>
          <w:rFonts w:eastAsia="楷体" w:cs="Arial" w:hint="eastAsia"/>
        </w:rPr>
        <w:t>。</w:t>
      </w:r>
    </w:p>
    <w:p w:rsidR="005046E1" w:rsidRDefault="005046E1" w:rsidP="005046E1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B3338A">
        <w:rPr>
          <w:rFonts w:eastAsia="楷体" w:hAnsi="楷体" w:cs="Arial" w:hint="eastAsia"/>
        </w:rPr>
        <w:t>在美房数据创新高的背景下，</w:t>
      </w:r>
      <w:r>
        <w:rPr>
          <w:rFonts w:eastAsia="楷体" w:hAnsi="楷体" w:cs="Arial" w:hint="eastAsia"/>
        </w:rPr>
        <w:t>美</w:t>
      </w:r>
      <w:r w:rsidRPr="00B3338A">
        <w:rPr>
          <w:rFonts w:eastAsia="楷体" w:hAnsi="楷体" w:cs="Arial" w:hint="eastAsia"/>
        </w:rPr>
        <w:t>房地产</w:t>
      </w:r>
      <w:r w:rsidRPr="00B3338A">
        <w:rPr>
          <w:rFonts w:eastAsia="楷体" w:hAnsi="楷体" w:cs="Arial" w:hint="eastAsia"/>
        </w:rPr>
        <w:t>QDII</w:t>
      </w:r>
      <w:r>
        <w:rPr>
          <w:rFonts w:eastAsia="楷体" w:hAnsi="楷体" w:cs="Arial" w:hint="eastAsia"/>
        </w:rPr>
        <w:t>基金的投资价值凸显，建议投资者可择其绩优者以提高基金组合的向上弹性。重点投资美国房地产的</w:t>
      </w:r>
      <w:r>
        <w:rPr>
          <w:rFonts w:eastAsia="楷体" w:hAnsi="楷体" w:cs="Arial" w:hint="eastAsia"/>
        </w:rPr>
        <w:t>QDII</w:t>
      </w:r>
      <w:r>
        <w:rPr>
          <w:rFonts w:eastAsia="楷体" w:hAnsi="楷体" w:cs="Arial" w:hint="eastAsia"/>
        </w:rPr>
        <w:t>今年业绩普遍领涨同业，如本文第一部分所述，一季度</w:t>
      </w:r>
      <w:r>
        <w:rPr>
          <w:rFonts w:eastAsia="楷体" w:hAnsi="楷体" w:cs="Arial"/>
        </w:rPr>
        <w:t>以美国</w:t>
      </w:r>
      <w:r w:rsidRPr="0068284E">
        <w:rPr>
          <w:rFonts w:eastAsia="楷体" w:hAnsi="楷体" w:cs="Arial"/>
        </w:rPr>
        <w:t>房地产信托（</w:t>
      </w:r>
      <w:r w:rsidRPr="0068284E">
        <w:rPr>
          <w:rFonts w:eastAsia="楷体" w:cs="Arial"/>
        </w:rPr>
        <w:t>Reits</w:t>
      </w:r>
      <w:r w:rsidRPr="0068284E">
        <w:rPr>
          <w:rFonts w:eastAsia="楷体" w:hAnsi="楷体" w:cs="Arial"/>
        </w:rPr>
        <w:t>）为主要投资品种的鹏华美国房地产、诺安全球收益</w:t>
      </w:r>
      <w:r>
        <w:rPr>
          <w:rFonts w:eastAsia="楷体" w:hAnsi="楷体" w:cs="Arial"/>
        </w:rPr>
        <w:t>不动产、</w:t>
      </w:r>
      <w:r w:rsidRPr="0068284E">
        <w:rPr>
          <w:rFonts w:eastAsia="楷体" w:hAnsi="楷体" w:cs="Arial"/>
        </w:rPr>
        <w:t>广发美国房地产人民币</w:t>
      </w:r>
      <w:r>
        <w:rPr>
          <w:rFonts w:eastAsia="楷体" w:hAnsi="楷体" w:cs="Arial"/>
        </w:rPr>
        <w:t>涨幅</w:t>
      </w:r>
      <w:r w:rsidRPr="0068284E">
        <w:rPr>
          <w:rFonts w:eastAsia="楷体" w:hAnsi="楷体" w:cs="Arial"/>
        </w:rPr>
        <w:t>领先</w:t>
      </w:r>
      <w:r>
        <w:rPr>
          <w:rFonts w:eastAsia="楷体" w:hAnsi="楷体" w:cs="Arial"/>
        </w:rPr>
        <w:t>同业</w:t>
      </w:r>
      <w:r w:rsidRPr="0068284E">
        <w:rPr>
          <w:rFonts w:eastAsia="楷体" w:hAnsi="楷体" w:cs="Arial"/>
        </w:rPr>
        <w:t>，</w:t>
      </w:r>
      <w:r>
        <w:rPr>
          <w:rFonts w:eastAsia="楷体" w:hAnsi="楷体" w:cs="Arial"/>
        </w:rPr>
        <w:t>收益皆</w:t>
      </w:r>
      <w:r w:rsidRPr="0068284E">
        <w:rPr>
          <w:rFonts w:eastAsia="楷体" w:hAnsi="楷体" w:cs="Arial"/>
        </w:rPr>
        <w:t>在</w:t>
      </w:r>
      <w:r w:rsidRPr="0068284E">
        <w:rPr>
          <w:rFonts w:eastAsia="楷体" w:cs="Arial"/>
        </w:rPr>
        <w:t>10%</w:t>
      </w:r>
      <w:r w:rsidRPr="0068284E">
        <w:rPr>
          <w:rFonts w:eastAsia="楷体" w:hAnsi="楷体" w:cs="Arial"/>
        </w:rPr>
        <w:t>上下</w:t>
      </w:r>
      <w:r>
        <w:rPr>
          <w:rFonts w:eastAsia="楷体" w:hAnsi="楷体" w:cs="Arial"/>
        </w:rPr>
        <w:t>。</w:t>
      </w:r>
    </w:p>
    <w:p w:rsidR="00EF3244" w:rsidRPr="00924EBC" w:rsidRDefault="00EF3244" w:rsidP="00A00F34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8B1BA4">
        <w:rPr>
          <w:rFonts w:eastAsia="楷体" w:cs="Arial" w:hint="eastAsia"/>
        </w:rPr>
        <w:t>新兴市场</w:t>
      </w:r>
      <w:r>
        <w:rPr>
          <w:rFonts w:eastAsia="楷体" w:cs="Arial" w:hint="eastAsia"/>
        </w:rPr>
        <w:t>尽管目前估值处于历史洼地，具备一定上修动力，但仍然</w:t>
      </w:r>
      <w:r w:rsidR="00B46E42">
        <w:rPr>
          <w:rFonts w:eastAsia="楷体" w:cs="Arial" w:hint="eastAsia"/>
        </w:rPr>
        <w:t>面临着经济增速下滑</w:t>
      </w:r>
      <w:r w:rsidRPr="008B1BA4">
        <w:rPr>
          <w:rFonts w:eastAsia="楷体" w:cs="Arial" w:hint="eastAsia"/>
        </w:rPr>
        <w:t>和资本</w:t>
      </w:r>
      <w:r>
        <w:rPr>
          <w:rFonts w:eastAsia="楷体" w:cs="Arial" w:hint="eastAsia"/>
        </w:rPr>
        <w:t>持续外逃的双重压力。</w:t>
      </w:r>
      <w:r w:rsidR="00B46E42">
        <w:rPr>
          <w:rFonts w:eastAsia="楷体" w:cs="Arial" w:hint="eastAsia"/>
        </w:rPr>
        <w:t>中国等市场的政策红利刺激</w:t>
      </w:r>
      <w:r w:rsidR="00B46E42" w:rsidRPr="008B1BA4">
        <w:rPr>
          <w:rFonts w:eastAsia="楷体" w:cs="Arial" w:hint="eastAsia"/>
        </w:rPr>
        <w:t>或</w:t>
      </w:r>
      <w:r w:rsidR="00B46E42">
        <w:rPr>
          <w:rFonts w:eastAsia="楷体" w:cs="Arial" w:hint="eastAsia"/>
        </w:rPr>
        <w:t>可短期改善其市场</w:t>
      </w:r>
      <w:r w:rsidR="00B46E42" w:rsidRPr="008B1BA4">
        <w:rPr>
          <w:rFonts w:eastAsia="楷体" w:cs="Arial" w:hint="eastAsia"/>
        </w:rPr>
        <w:t>表现，但不足以</w:t>
      </w:r>
      <w:r w:rsidR="00B46E42">
        <w:rPr>
          <w:rFonts w:eastAsia="楷体" w:cs="Arial" w:hint="eastAsia"/>
        </w:rPr>
        <w:t>提供强有力的反弹支撑，因此</w:t>
      </w:r>
      <w:r w:rsidR="00B46E42" w:rsidRPr="0034660C">
        <w:rPr>
          <w:rFonts w:eastAsia="楷体" w:cs="Arial"/>
        </w:rPr>
        <w:t>建议</w:t>
      </w:r>
      <w:r w:rsidR="00B46E42">
        <w:rPr>
          <w:rFonts w:eastAsia="楷体" w:cs="Arial"/>
        </w:rPr>
        <w:t>继续</w:t>
      </w:r>
      <w:r w:rsidR="00B46E42" w:rsidRPr="0034660C">
        <w:rPr>
          <w:rFonts w:eastAsia="楷体" w:cs="Arial"/>
        </w:rPr>
        <w:t>规避。</w:t>
      </w:r>
      <w:r w:rsidR="00B46E42">
        <w:rPr>
          <w:rFonts w:eastAsia="楷体" w:cs="Arial"/>
        </w:rPr>
        <w:t>鉴于</w:t>
      </w:r>
      <w:r w:rsidR="00B46E42">
        <w:rPr>
          <w:rFonts w:eastAsia="楷体" w:cs="Arial" w:hint="eastAsia"/>
        </w:rPr>
        <w:t>沪港通或</w:t>
      </w:r>
      <w:r w:rsidR="00B46E42" w:rsidRPr="008B1BA4">
        <w:rPr>
          <w:rFonts w:eastAsia="楷体" w:cs="Arial" w:hint="eastAsia"/>
        </w:rPr>
        <w:t>在</w:t>
      </w:r>
      <w:r w:rsidR="00B46E42" w:rsidRPr="008B1BA4">
        <w:rPr>
          <w:rFonts w:eastAsia="楷体" w:cs="Arial" w:hint="eastAsia"/>
        </w:rPr>
        <w:t>10</w:t>
      </w:r>
      <w:r w:rsidR="00B46E42">
        <w:rPr>
          <w:rFonts w:eastAsia="楷体" w:cs="Arial" w:hint="eastAsia"/>
        </w:rPr>
        <w:t>月</w:t>
      </w:r>
      <w:r w:rsidR="00B46E42" w:rsidRPr="008B1BA4">
        <w:rPr>
          <w:rFonts w:eastAsia="楷体" w:cs="Arial" w:hint="eastAsia"/>
        </w:rPr>
        <w:t>启动，对</w:t>
      </w:r>
      <w:r w:rsidR="00B46E42">
        <w:rPr>
          <w:rFonts w:eastAsia="楷体" w:cs="Arial" w:hint="eastAsia"/>
        </w:rPr>
        <w:t>于</w:t>
      </w:r>
      <w:r w:rsidR="00B46E42" w:rsidRPr="008B1BA4">
        <w:rPr>
          <w:rFonts w:eastAsia="楷体" w:cs="Arial" w:hint="eastAsia"/>
        </w:rPr>
        <w:t>投资香港市场</w:t>
      </w:r>
      <w:r w:rsidR="00B46E42" w:rsidRPr="008B1BA4">
        <w:rPr>
          <w:rFonts w:eastAsia="楷体" w:cs="Arial" w:hint="eastAsia"/>
        </w:rPr>
        <w:t>QDII</w:t>
      </w:r>
      <w:r w:rsidR="00B46E42">
        <w:rPr>
          <w:rFonts w:eastAsia="楷体" w:cs="Arial" w:hint="eastAsia"/>
        </w:rPr>
        <w:t>形成利好，投资者可适当关注香港蓝筹股</w:t>
      </w:r>
      <w:r w:rsidR="00B46E42" w:rsidRPr="008B1BA4">
        <w:rPr>
          <w:rFonts w:eastAsia="楷体" w:cs="Arial" w:hint="eastAsia"/>
        </w:rPr>
        <w:t>QDII</w:t>
      </w:r>
      <w:r w:rsidR="00B46E42" w:rsidRPr="008B1BA4">
        <w:rPr>
          <w:rFonts w:eastAsia="楷体" w:cs="Arial" w:hint="eastAsia"/>
        </w:rPr>
        <w:t>。</w:t>
      </w:r>
    </w:p>
    <w:p w:rsidR="00D57F4A" w:rsidRPr="0034660C" w:rsidRDefault="00935742" w:rsidP="00935742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34660C">
        <w:rPr>
          <w:rFonts w:eastAsia="楷体" w:cs="Arial" w:hint="eastAsia"/>
        </w:rPr>
        <w:t>综上，</w:t>
      </w:r>
      <w:r w:rsidR="007A258C">
        <w:rPr>
          <w:rFonts w:eastAsia="楷体" w:cs="Arial" w:hint="eastAsia"/>
        </w:rPr>
        <w:t>5</w:t>
      </w:r>
      <w:r w:rsidRPr="0034660C">
        <w:rPr>
          <w:rFonts w:eastAsia="楷体" w:cs="Arial" w:hint="eastAsia"/>
        </w:rPr>
        <w:t>月份</w:t>
      </w:r>
      <w:r w:rsidRPr="0034660C">
        <w:rPr>
          <w:rFonts w:eastAsia="楷体" w:cs="Arial" w:hint="eastAsia"/>
        </w:rPr>
        <w:t>QDII</w:t>
      </w:r>
      <w:r w:rsidR="007A258C">
        <w:rPr>
          <w:rFonts w:eastAsia="楷体" w:cs="Arial" w:hint="eastAsia"/>
        </w:rPr>
        <w:t>投资建议主要配置美股指数基金</w:t>
      </w:r>
      <w:r w:rsidRPr="0034660C">
        <w:rPr>
          <w:rFonts w:eastAsia="楷体" w:cs="Arial" w:hint="eastAsia"/>
        </w:rPr>
        <w:t>，</w:t>
      </w:r>
      <w:r w:rsidR="007A258C">
        <w:rPr>
          <w:rFonts w:eastAsia="楷体" w:cs="Arial" w:hint="eastAsia"/>
        </w:rPr>
        <w:t>以及重点投资</w:t>
      </w:r>
      <w:r w:rsidR="007A258C">
        <w:rPr>
          <w:rFonts w:eastAsia="楷体" w:hAnsi="楷体" w:cs="Arial"/>
        </w:rPr>
        <w:t>美国</w:t>
      </w:r>
      <w:r w:rsidR="007A258C" w:rsidRPr="0068284E">
        <w:rPr>
          <w:rFonts w:eastAsia="楷体" w:hAnsi="楷体" w:cs="Arial"/>
        </w:rPr>
        <w:t>房地产</w:t>
      </w:r>
      <w:r w:rsidR="007A258C">
        <w:rPr>
          <w:rFonts w:eastAsia="楷体" w:hAnsi="楷体" w:cs="Arial"/>
        </w:rPr>
        <w:t>行业股票及</w:t>
      </w:r>
      <w:r w:rsidR="007A258C" w:rsidRPr="0068284E">
        <w:rPr>
          <w:rFonts w:eastAsia="楷体" w:cs="Arial"/>
        </w:rPr>
        <w:t>Reits</w:t>
      </w:r>
      <w:r w:rsidR="007A258C">
        <w:rPr>
          <w:rFonts w:eastAsia="楷体" w:hAnsi="楷体" w:cs="Arial"/>
        </w:rPr>
        <w:t>的基金品种</w:t>
      </w:r>
      <w:r w:rsidRPr="0034660C">
        <w:rPr>
          <w:rFonts w:eastAsia="楷体" w:cs="Arial" w:hint="eastAsia"/>
        </w:rPr>
        <w:t>。具体产品推荐国泰纳斯达克</w:t>
      </w:r>
      <w:r w:rsidRPr="0034660C">
        <w:rPr>
          <w:rFonts w:eastAsia="楷体" w:cs="Arial" w:hint="eastAsia"/>
        </w:rPr>
        <w:t>100</w:t>
      </w:r>
      <w:r w:rsidRPr="0034660C">
        <w:rPr>
          <w:rFonts w:eastAsia="楷体" w:cs="Arial" w:hint="eastAsia"/>
        </w:rPr>
        <w:t>指数基金、大成标普</w:t>
      </w:r>
      <w:r w:rsidRPr="0034660C">
        <w:rPr>
          <w:rFonts w:eastAsia="楷体" w:cs="Arial" w:hint="eastAsia"/>
        </w:rPr>
        <w:t>500</w:t>
      </w:r>
      <w:r w:rsidRPr="0034660C">
        <w:rPr>
          <w:rFonts w:eastAsia="楷体" w:cs="Arial" w:hint="eastAsia"/>
        </w:rPr>
        <w:t>等权重指数基金、</w:t>
      </w:r>
      <w:r w:rsidR="007A258C" w:rsidRPr="007A258C">
        <w:rPr>
          <w:rFonts w:eastAsia="楷体" w:cs="Arial" w:hint="eastAsia"/>
        </w:rPr>
        <w:t>鹏华房地产基金</w:t>
      </w:r>
      <w:r w:rsidRPr="0034660C">
        <w:rPr>
          <w:rFonts w:eastAsia="楷体" w:cs="Arial" w:hint="eastAsia"/>
        </w:rPr>
        <w:t>。</w:t>
      </w:r>
    </w:p>
    <w:p w:rsidR="00A70401" w:rsidRPr="00FC54FE" w:rsidRDefault="00A70401" w:rsidP="00A70401">
      <w:pPr>
        <w:widowControl/>
        <w:spacing w:after="120" w:line="240" w:lineRule="exact"/>
        <w:ind w:left="3430"/>
        <w:rPr>
          <w:rFonts w:ascii="楷体" w:eastAsia="楷体" w:hAnsi="楷体" w:cs="Times New Roman"/>
          <w:b/>
          <w:bCs/>
          <w:color w:val="0070C0"/>
          <w:kern w:val="0"/>
          <w:sz w:val="24"/>
          <w:szCs w:val="20"/>
          <w:lang w:val="en-GB"/>
        </w:rPr>
      </w:pPr>
      <w:r w:rsidRPr="00FC54FE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lastRenderedPageBreak/>
        <w:t>牛基推荐：</w:t>
      </w:r>
      <w:r w:rsidR="00111800" w:rsidRPr="00FC54FE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国泰纳斯达克100指数基金、</w:t>
      </w:r>
      <w:r w:rsidR="00B16D31" w:rsidRPr="00B16D31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大成标普500等权重指数基金</w:t>
      </w:r>
      <w:r w:rsidR="00B16D31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、</w:t>
      </w:r>
      <w:r w:rsidR="00680A06" w:rsidRPr="00680A06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鹏华</w:t>
      </w:r>
      <w:r w:rsidR="00B84D2D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美国</w:t>
      </w:r>
      <w:r w:rsidR="00680A06" w:rsidRPr="00680A06">
        <w:rPr>
          <w:rFonts w:ascii="楷体" w:eastAsia="楷体" w:hAnsi="楷体" w:cs="Times New Roman" w:hint="eastAsia"/>
          <w:b/>
          <w:bCs/>
          <w:color w:val="0070C0"/>
          <w:kern w:val="0"/>
          <w:sz w:val="24"/>
          <w:szCs w:val="20"/>
          <w:lang w:val="en-GB"/>
        </w:rPr>
        <w:t>房地产基金</w:t>
      </w:r>
    </w:p>
    <w:p w:rsidR="003F6CBD" w:rsidRPr="0034660C" w:rsidRDefault="00111800" w:rsidP="003F6CBD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34660C">
        <w:rPr>
          <w:rFonts w:eastAsia="楷体" w:cs="Arial" w:hint="eastAsia"/>
        </w:rPr>
        <w:t>国泰纳斯达克</w:t>
      </w:r>
      <w:r w:rsidRPr="0034660C">
        <w:rPr>
          <w:rFonts w:eastAsia="楷体" w:cs="Arial" w:hint="eastAsia"/>
        </w:rPr>
        <w:t>100</w:t>
      </w:r>
      <w:r w:rsidRPr="0034660C">
        <w:rPr>
          <w:rFonts w:eastAsia="楷体" w:cs="Arial" w:hint="eastAsia"/>
        </w:rPr>
        <w:t>指数基金</w:t>
      </w:r>
      <w:r w:rsidR="003F6CBD" w:rsidRPr="0034660C">
        <w:rPr>
          <w:rFonts w:eastAsia="楷体" w:cs="Arial" w:hint="eastAsia"/>
        </w:rPr>
        <w:t>：</w:t>
      </w:r>
      <w:r w:rsidR="004F4040" w:rsidRPr="0034660C">
        <w:rPr>
          <w:rFonts w:eastAsia="楷体" w:cs="Arial" w:hint="eastAsia"/>
        </w:rPr>
        <w:t>该基金跟踪美国纳斯达克</w:t>
      </w:r>
      <w:r w:rsidR="004F4040" w:rsidRPr="0034660C">
        <w:rPr>
          <w:rFonts w:eastAsia="楷体" w:cs="Arial" w:hint="eastAsia"/>
        </w:rPr>
        <w:t>100</w:t>
      </w:r>
      <w:r w:rsidR="004F4040" w:rsidRPr="0034660C">
        <w:rPr>
          <w:rFonts w:eastAsia="楷体" w:cs="Arial" w:hint="eastAsia"/>
        </w:rPr>
        <w:t>指数，股票资产主要采取完全复制法，即过严格的投资程序约束和数量化风险管理手段，以低成本、低换手率实现对纳斯达克</w:t>
      </w:r>
      <w:r w:rsidR="004F4040" w:rsidRPr="0034660C">
        <w:rPr>
          <w:rFonts w:eastAsia="楷体" w:cs="Arial" w:hint="eastAsia"/>
        </w:rPr>
        <w:t>100</w:t>
      </w:r>
      <w:r w:rsidR="004F4040" w:rsidRPr="0034660C">
        <w:rPr>
          <w:rFonts w:eastAsia="楷体" w:cs="Arial" w:hint="eastAsia"/>
        </w:rPr>
        <w:t>指数的有效跟踪，追求跟踪误差最小化。纳斯达克</w:t>
      </w:r>
      <w:r w:rsidR="004F4040" w:rsidRPr="0034660C">
        <w:rPr>
          <w:rFonts w:eastAsia="楷体" w:cs="Arial" w:hint="eastAsia"/>
        </w:rPr>
        <w:t>100</w:t>
      </w:r>
      <w:r w:rsidR="004F4040" w:rsidRPr="0034660C">
        <w:rPr>
          <w:rFonts w:eastAsia="楷体" w:cs="Arial" w:hint="eastAsia"/>
        </w:rPr>
        <w:t>指数成分股均具有高科技、高成长和非金融的特点，是美国科技股的代表，权重最大的为苹果电脑，另外包括微软、谷歌、英特尔等诸多知名公司。</w:t>
      </w:r>
    </w:p>
    <w:p w:rsidR="0026039C" w:rsidRDefault="00B16D31" w:rsidP="00680A06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34660C">
        <w:rPr>
          <w:rFonts w:eastAsia="楷体" w:cs="Arial" w:hint="eastAsia"/>
        </w:rPr>
        <w:t>大成标普</w:t>
      </w:r>
      <w:r w:rsidRPr="0034660C">
        <w:rPr>
          <w:rFonts w:eastAsia="楷体" w:cs="Arial" w:hint="eastAsia"/>
        </w:rPr>
        <w:t>500</w:t>
      </w:r>
      <w:r w:rsidRPr="0034660C">
        <w:rPr>
          <w:rFonts w:eastAsia="楷体" w:cs="Arial" w:hint="eastAsia"/>
        </w:rPr>
        <w:t>等权重指数基金：</w:t>
      </w:r>
      <w:r w:rsidR="0063114B" w:rsidRPr="0034660C">
        <w:rPr>
          <w:rFonts w:eastAsia="楷体" w:cs="Arial" w:hint="eastAsia"/>
        </w:rPr>
        <w:t>该基金通过严格的投资纪律约束和数量化风险管理手段，实现基金投资组合对标普</w:t>
      </w:r>
      <w:r w:rsidR="0063114B" w:rsidRPr="0034660C">
        <w:rPr>
          <w:rFonts w:eastAsia="楷体" w:cs="Arial" w:hint="eastAsia"/>
        </w:rPr>
        <w:t>500</w:t>
      </w:r>
      <w:r w:rsidR="0063114B" w:rsidRPr="0034660C">
        <w:rPr>
          <w:rFonts w:eastAsia="楷体" w:cs="Arial" w:hint="eastAsia"/>
        </w:rPr>
        <w:t>等权重指数的有效跟踪，追求跟踪误差最小化。基金还可能将一定比例的基金资产投资于与标普</w:t>
      </w:r>
      <w:r w:rsidR="0063114B" w:rsidRPr="0034660C">
        <w:rPr>
          <w:rFonts w:eastAsia="楷体" w:cs="Arial" w:hint="eastAsia"/>
        </w:rPr>
        <w:t>500</w:t>
      </w:r>
      <w:r w:rsidR="0063114B" w:rsidRPr="0034660C">
        <w:rPr>
          <w:rFonts w:eastAsia="楷体" w:cs="Arial" w:hint="eastAsia"/>
        </w:rPr>
        <w:t>等权重指数相关的公募基金、上市交易型基金，以优化投资组合的建立，达到节约交易成本和有效追踪标的指数表现的目的。</w:t>
      </w:r>
      <w:r w:rsidR="005D1897" w:rsidRPr="0034660C">
        <w:rPr>
          <w:rFonts w:eastAsia="楷体" w:cs="Arial" w:hint="eastAsia"/>
        </w:rPr>
        <w:t>标准普尔</w:t>
      </w:r>
      <w:r w:rsidR="005D1897" w:rsidRPr="0034660C">
        <w:rPr>
          <w:rFonts w:eastAsia="楷体" w:cs="Arial" w:hint="eastAsia"/>
        </w:rPr>
        <w:t>500</w:t>
      </w:r>
      <w:r w:rsidR="005D1897" w:rsidRPr="0034660C">
        <w:rPr>
          <w:rFonts w:eastAsia="楷体" w:cs="Arial" w:hint="eastAsia"/>
        </w:rPr>
        <w:t>系列指数具有采样面广、代表性强、精确度高、连续性好等特点，全面反映美国市场变化。</w:t>
      </w:r>
    </w:p>
    <w:p w:rsidR="00680A06" w:rsidRPr="00680A06" w:rsidRDefault="00680A06" w:rsidP="00680A06">
      <w:pPr>
        <w:pStyle w:val="ab"/>
        <w:numPr>
          <w:ilvl w:val="4"/>
          <w:numId w:val="1"/>
        </w:numPr>
        <w:spacing w:after="163"/>
        <w:rPr>
          <w:rFonts w:eastAsia="楷体" w:cs="Arial"/>
        </w:rPr>
      </w:pPr>
      <w:r w:rsidRPr="00680A06">
        <w:rPr>
          <w:rFonts w:eastAsia="楷体" w:cs="Arial" w:hint="eastAsia"/>
        </w:rPr>
        <w:t>鹏华</w:t>
      </w:r>
      <w:r w:rsidR="00B84D2D">
        <w:rPr>
          <w:rFonts w:eastAsia="楷体" w:cs="Arial" w:hint="eastAsia"/>
        </w:rPr>
        <w:t>美国</w:t>
      </w:r>
      <w:r w:rsidRPr="00680A06">
        <w:rPr>
          <w:rFonts w:eastAsia="楷体" w:cs="Arial" w:hint="eastAsia"/>
        </w:rPr>
        <w:t>房地产基金</w:t>
      </w:r>
      <w:r>
        <w:rPr>
          <w:rFonts w:eastAsia="楷体" w:cs="Arial" w:hint="eastAsia"/>
        </w:rPr>
        <w:t>：投资对象以美国房地产信托投资基金</w:t>
      </w:r>
      <w:r>
        <w:rPr>
          <w:rFonts w:eastAsia="楷体" w:cs="Arial" w:hint="eastAsia"/>
        </w:rPr>
        <w:t>(</w:t>
      </w:r>
      <w:r w:rsidRPr="00680A06">
        <w:rPr>
          <w:rFonts w:eastAsia="楷体" w:cs="Arial" w:hint="eastAsia"/>
        </w:rPr>
        <w:t>REITs</w:t>
      </w:r>
      <w:r>
        <w:rPr>
          <w:rFonts w:eastAsia="楷体" w:cs="Arial" w:hint="eastAsia"/>
        </w:rPr>
        <w:t>)</w:t>
      </w:r>
      <w:r w:rsidRPr="00680A06">
        <w:rPr>
          <w:rFonts w:eastAsia="楷体" w:cs="Arial" w:hint="eastAsia"/>
        </w:rPr>
        <w:t>、房地产行业股票和在美国市场上市交易的</w:t>
      </w:r>
      <w:r w:rsidRPr="00680A06">
        <w:rPr>
          <w:rFonts w:eastAsia="楷体" w:cs="Arial" w:hint="eastAsia"/>
        </w:rPr>
        <w:t>REIT ETF</w:t>
      </w:r>
      <w:r w:rsidRPr="00680A06">
        <w:rPr>
          <w:rFonts w:eastAsia="楷体" w:cs="Arial" w:hint="eastAsia"/>
        </w:rPr>
        <w:t>基金为主。</w:t>
      </w:r>
      <w:r>
        <w:rPr>
          <w:rFonts w:eastAsia="楷体" w:cs="Arial" w:hint="eastAsia"/>
        </w:rPr>
        <w:t>今年以来增长率</w:t>
      </w:r>
      <w:r w:rsidRPr="00680A06">
        <w:rPr>
          <w:rFonts w:eastAsia="楷体" w:cs="Arial" w:hint="eastAsia"/>
        </w:rPr>
        <w:t>13%</w:t>
      </w:r>
      <w:r w:rsidRPr="00680A06">
        <w:rPr>
          <w:rFonts w:eastAsia="楷体" w:cs="Arial" w:hint="eastAsia"/>
        </w:rPr>
        <w:t>，在</w:t>
      </w:r>
      <w:r w:rsidRPr="00680A06">
        <w:rPr>
          <w:rFonts w:eastAsia="楷体" w:cs="Arial" w:hint="eastAsia"/>
        </w:rPr>
        <w:t>QDII</w:t>
      </w:r>
      <w:r w:rsidRPr="00680A06">
        <w:rPr>
          <w:rFonts w:eastAsia="楷体" w:cs="Arial" w:hint="eastAsia"/>
        </w:rPr>
        <w:t>基金中排名第</w:t>
      </w:r>
      <w:r w:rsidRPr="00680A06">
        <w:rPr>
          <w:rFonts w:eastAsia="楷体" w:cs="Arial" w:hint="eastAsia"/>
        </w:rPr>
        <w:t>3</w:t>
      </w:r>
      <w:r w:rsidRPr="00680A06">
        <w:rPr>
          <w:rFonts w:eastAsia="楷体" w:cs="Arial" w:hint="eastAsia"/>
        </w:rPr>
        <w:t>，超越同业均值</w:t>
      </w:r>
      <w:r w:rsidRPr="00680A06">
        <w:rPr>
          <w:rFonts w:eastAsia="楷体" w:cs="Arial" w:hint="eastAsia"/>
        </w:rPr>
        <w:t>12.3%</w:t>
      </w:r>
      <w:r w:rsidRPr="00680A06">
        <w:rPr>
          <w:rFonts w:eastAsia="楷体" w:cs="Arial" w:hint="eastAsia"/>
        </w:rPr>
        <w:t>。</w:t>
      </w:r>
      <w:r>
        <w:rPr>
          <w:rFonts w:eastAsia="楷体" w:cs="Arial" w:hint="eastAsia"/>
        </w:rPr>
        <w:t>该基金选择投资对象主要参考投资标的资产质量、现金流稳定性</w:t>
      </w:r>
      <w:r w:rsidRPr="00680A06">
        <w:rPr>
          <w:rFonts w:eastAsia="楷体" w:cs="Arial" w:hint="eastAsia"/>
        </w:rPr>
        <w:t>及管理层能力等指标。组合中也少量投资房地产行业股票，目的是把握阶段性机会，对</w:t>
      </w:r>
      <w:r w:rsidRPr="00680A06">
        <w:rPr>
          <w:rFonts w:eastAsia="楷体" w:cs="Arial"/>
        </w:rPr>
        <w:t>REITs</w:t>
      </w:r>
      <w:r w:rsidRPr="00680A06">
        <w:rPr>
          <w:rFonts w:eastAsia="楷体" w:cs="Arial" w:hint="eastAsia"/>
        </w:rPr>
        <w:t>投资作有益补充，并降低组合整体波动性。今年一季度，该基金在行业配置方面，超配了酒店、工业和写字楼，低配了自助仓储、医疗和零售。</w:t>
      </w:r>
    </w:p>
    <w:tbl>
      <w:tblPr>
        <w:tblW w:w="107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2"/>
        <w:gridCol w:w="227"/>
        <w:gridCol w:w="5272"/>
      </w:tblGrid>
      <w:tr w:rsidR="00656031" w:rsidRPr="00FC54FE" w:rsidTr="003629A1">
        <w:trPr>
          <w:cantSplit/>
          <w:trHeight w:val="368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656031" w:rsidRPr="00FC54FE" w:rsidRDefault="003629A1" w:rsidP="00A71F90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FC54FE">
              <w:rPr>
                <w:rFonts w:ascii="楷体" w:eastAsia="楷体" w:hAnsi="楷体"/>
                <w:color w:val="FF6600"/>
              </w:rPr>
              <w:t>图表</w:t>
            </w:r>
            <w:r w:rsidR="00680A06">
              <w:rPr>
                <w:rFonts w:ascii="楷体" w:eastAsia="楷体" w:hAnsi="楷体" w:hint="eastAsia"/>
                <w:color w:val="FF6600"/>
              </w:rPr>
              <w:t>7</w:t>
            </w:r>
            <w:r w:rsidRPr="00FC54FE">
              <w:rPr>
                <w:rFonts w:ascii="楷体" w:eastAsia="楷体" w:hAnsi="楷体" w:hint="eastAsia"/>
                <w:color w:val="FF6600"/>
              </w:rPr>
              <w:t>：</w:t>
            </w:r>
            <w:r w:rsidR="006D7395" w:rsidRPr="00FC54FE">
              <w:rPr>
                <w:rFonts w:ascii="楷体" w:eastAsia="楷体" w:hAnsi="楷体" w:hint="eastAsia"/>
                <w:color w:val="FF6600"/>
              </w:rPr>
              <w:t>国泰纳斯达克100指数基金</w:t>
            </w:r>
          </w:p>
        </w:tc>
        <w:tc>
          <w:tcPr>
            <w:tcW w:w="227" w:type="dxa"/>
            <w:vAlign w:val="center"/>
          </w:tcPr>
          <w:p w:rsidR="00656031" w:rsidRPr="00FC54FE" w:rsidRDefault="00656031" w:rsidP="00705C81">
            <w:pPr>
              <w:jc w:val="center"/>
              <w:rPr>
                <w:rFonts w:ascii="楷体" w:eastAsia="楷体" w:hAnsi="楷体" w:cs="Arial"/>
                <w:b/>
                <w:bCs/>
                <w:i/>
                <w:iCs/>
                <w:color w:val="FF6600"/>
                <w:kern w:val="0"/>
                <w:szCs w:val="21"/>
                <w:lang w:val="en-GB"/>
              </w:rPr>
            </w:pPr>
          </w:p>
        </w:tc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656031" w:rsidRPr="00FC54FE" w:rsidRDefault="003629A1" w:rsidP="00F92296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FC54FE">
              <w:rPr>
                <w:rFonts w:ascii="楷体" w:eastAsia="楷体" w:hAnsi="楷体"/>
                <w:color w:val="FF6600"/>
              </w:rPr>
              <w:t>图表</w:t>
            </w:r>
            <w:r w:rsidR="00680A06">
              <w:rPr>
                <w:rFonts w:ascii="楷体" w:eastAsia="楷体" w:hAnsi="楷体" w:hint="eastAsia"/>
                <w:color w:val="FF6600"/>
              </w:rPr>
              <w:t>8</w:t>
            </w:r>
            <w:r w:rsidRPr="00FC54FE">
              <w:rPr>
                <w:rFonts w:ascii="楷体" w:eastAsia="楷体" w:hAnsi="楷体" w:hint="eastAsia"/>
                <w:color w:val="FF6600"/>
              </w:rPr>
              <w:t>：</w:t>
            </w:r>
            <w:r w:rsidR="00F92296">
              <w:rPr>
                <w:rFonts w:ascii="楷体" w:eastAsia="楷体" w:hAnsi="楷体" w:hint="eastAsia"/>
                <w:color w:val="FF6600"/>
              </w:rPr>
              <w:t>大成</w:t>
            </w:r>
            <w:r w:rsidR="00851567" w:rsidRPr="00FC54FE">
              <w:rPr>
                <w:rFonts w:ascii="楷体" w:eastAsia="楷体" w:hAnsi="楷体"/>
                <w:color w:val="FF6600"/>
              </w:rPr>
              <w:t>标普</w:t>
            </w:r>
            <w:r w:rsidR="00851567" w:rsidRPr="00FC54FE">
              <w:rPr>
                <w:rFonts w:ascii="楷体" w:eastAsia="楷体" w:hAnsi="楷体" w:hint="eastAsia"/>
                <w:color w:val="FF6600"/>
              </w:rPr>
              <w:t>500</w:t>
            </w:r>
            <w:r w:rsidR="00F92296">
              <w:rPr>
                <w:rFonts w:ascii="楷体" w:eastAsia="楷体" w:hAnsi="楷体" w:hint="eastAsia"/>
                <w:color w:val="FF6600"/>
              </w:rPr>
              <w:t>等权重指数</w:t>
            </w:r>
            <w:r w:rsidR="00851567" w:rsidRPr="00FC54FE">
              <w:rPr>
                <w:rFonts w:ascii="楷体" w:eastAsia="楷体" w:hAnsi="楷体" w:hint="eastAsia"/>
                <w:color w:val="FF6600"/>
              </w:rPr>
              <w:t>基金</w:t>
            </w:r>
          </w:p>
        </w:tc>
      </w:tr>
      <w:tr w:rsidR="008840A4" w:rsidRPr="00FC54FE" w:rsidTr="00656031">
        <w:trPr>
          <w:cantSplit/>
          <w:trHeight w:val="3016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8840A4" w:rsidRPr="00FC54FE" w:rsidRDefault="0087120B" w:rsidP="00705C81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  <w:noProof/>
              </w:rPr>
              <w:drawing>
                <wp:inline distT="0" distB="0" distL="0" distR="0">
                  <wp:extent cx="3343275" cy="1466850"/>
                  <wp:effectExtent l="19050" t="0" r="9525" b="0"/>
                  <wp:docPr id="3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Align w:val="center"/>
          </w:tcPr>
          <w:p w:rsidR="008840A4" w:rsidRPr="00FC54FE" w:rsidRDefault="008840A4" w:rsidP="00705C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8840A4" w:rsidRPr="00FC54FE" w:rsidRDefault="0087120B" w:rsidP="00705C81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  <w:noProof/>
              </w:rPr>
              <w:drawing>
                <wp:inline distT="0" distB="0" distL="0" distR="0">
                  <wp:extent cx="3343275" cy="1447800"/>
                  <wp:effectExtent l="19050" t="0" r="9525" b="0"/>
                  <wp:docPr id="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059" w:rsidRPr="00FC54FE" w:rsidRDefault="008840A4" w:rsidP="003F6CBD">
      <w:pPr>
        <w:pStyle w:val="FootnoteNoline"/>
        <w:ind w:left="0"/>
        <w:rPr>
          <w:rFonts w:ascii="楷体" w:eastAsia="楷体" w:hAnsi="楷体"/>
          <w:color w:val="FF6600"/>
        </w:rPr>
      </w:pPr>
      <w:r w:rsidRPr="00FC54FE">
        <w:rPr>
          <w:rFonts w:ascii="楷体" w:eastAsia="楷体" w:hAnsi="楷体" w:hint="eastAsia"/>
          <w:color w:val="FF6600"/>
        </w:rPr>
        <w:t>来源：</w:t>
      </w:r>
      <w:r w:rsidR="00C806CE" w:rsidRPr="00FC54FE">
        <w:rPr>
          <w:rFonts w:ascii="楷体" w:eastAsia="楷体" w:hAnsi="楷体" w:hint="eastAsia"/>
          <w:color w:val="FF6600"/>
        </w:rPr>
        <w:t>凯石财富工场</w:t>
      </w:r>
      <w:r w:rsidRPr="00FC54FE">
        <w:rPr>
          <w:rFonts w:ascii="楷体" w:eastAsia="楷体" w:hAnsi="楷体" w:hint="eastAsia"/>
          <w:color w:val="FF6600"/>
        </w:rPr>
        <w:t xml:space="preserve"> </w:t>
      </w:r>
      <w:r w:rsidR="00D019E8" w:rsidRPr="00FC54FE">
        <w:rPr>
          <w:rFonts w:ascii="楷体" w:eastAsia="楷体" w:hAnsi="楷体" w:hint="eastAsia"/>
          <w:color w:val="FF6600"/>
        </w:rPr>
        <w:t>wind</w:t>
      </w:r>
      <w:r w:rsidR="00BE7059" w:rsidRPr="00FC54FE">
        <w:rPr>
          <w:rFonts w:ascii="楷体" w:eastAsia="楷体" w:hAnsi="楷体" w:hint="eastAsia"/>
          <w:color w:val="FF6600"/>
        </w:rPr>
        <w:t xml:space="preserve"> </w:t>
      </w:r>
    </w:p>
    <w:tbl>
      <w:tblPr>
        <w:tblW w:w="52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2"/>
      </w:tblGrid>
      <w:tr w:rsidR="00EE53F9" w:rsidRPr="00FC54FE" w:rsidTr="00EE53F9">
        <w:trPr>
          <w:cantSplit/>
          <w:trHeight w:val="368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EE53F9" w:rsidRPr="00FC54FE" w:rsidRDefault="00EE53F9" w:rsidP="00EE53F9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FC54FE">
              <w:rPr>
                <w:rFonts w:ascii="楷体" w:eastAsia="楷体" w:hAnsi="楷体"/>
                <w:color w:val="FF6600"/>
              </w:rPr>
              <w:t>图表</w:t>
            </w:r>
            <w:r w:rsidR="00680A06">
              <w:rPr>
                <w:rFonts w:ascii="楷体" w:eastAsia="楷体" w:hAnsi="楷体" w:hint="eastAsia"/>
                <w:color w:val="FF6600"/>
              </w:rPr>
              <w:t>9</w:t>
            </w:r>
            <w:r w:rsidRPr="00FC54FE">
              <w:rPr>
                <w:rFonts w:ascii="楷体" w:eastAsia="楷体" w:hAnsi="楷体" w:hint="eastAsia"/>
                <w:color w:val="FF6600"/>
              </w:rPr>
              <w:t>：</w:t>
            </w:r>
            <w:r w:rsidR="00680A06" w:rsidRPr="00680A06">
              <w:rPr>
                <w:rFonts w:ascii="楷体" w:eastAsia="楷体" w:hAnsi="楷体" w:hint="eastAsia"/>
                <w:color w:val="FF6600"/>
              </w:rPr>
              <w:t>鹏华</w:t>
            </w:r>
            <w:r w:rsidR="00B84D2D">
              <w:rPr>
                <w:rFonts w:ascii="楷体" w:eastAsia="楷体" w:hAnsi="楷体" w:hint="eastAsia"/>
                <w:color w:val="FF6600"/>
              </w:rPr>
              <w:t>美国</w:t>
            </w:r>
            <w:r w:rsidR="00680A06" w:rsidRPr="00680A06">
              <w:rPr>
                <w:rFonts w:ascii="楷体" w:eastAsia="楷体" w:hAnsi="楷体" w:hint="eastAsia"/>
                <w:color w:val="FF6600"/>
              </w:rPr>
              <w:t>房地产基金</w:t>
            </w:r>
          </w:p>
        </w:tc>
      </w:tr>
      <w:tr w:rsidR="00EE53F9" w:rsidRPr="00FC54FE" w:rsidTr="00EE53F9">
        <w:trPr>
          <w:cantSplit/>
          <w:trHeight w:val="3016"/>
        </w:trPr>
        <w:tc>
          <w:tcPr>
            <w:tcW w:w="5272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EE53F9" w:rsidRPr="00FC54FE" w:rsidRDefault="00631D42" w:rsidP="0032541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  <w:noProof/>
              </w:rPr>
              <w:drawing>
                <wp:inline distT="0" distB="0" distL="0" distR="0">
                  <wp:extent cx="3347720" cy="1543685"/>
                  <wp:effectExtent l="19050" t="0" r="5080" b="0"/>
                  <wp:docPr id="2" name="图片 1" descr="无标题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772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53F9" w:rsidRPr="00FC54FE" w:rsidRDefault="00EE53F9" w:rsidP="00EE53F9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FC54FE">
        <w:rPr>
          <w:rFonts w:ascii="楷体" w:eastAsia="楷体" w:hAnsi="楷体" w:hint="eastAsia"/>
          <w:color w:val="FF6600"/>
        </w:rPr>
        <w:t>来源：凯石财富工场 wind</w:t>
      </w:r>
      <w:r w:rsidRPr="00FC54FE">
        <w:rPr>
          <w:rFonts w:ascii="楷体" w:eastAsia="楷体" w:hAnsi="楷体" w:hint="eastAsia"/>
          <w:color w:val="FF6600"/>
          <w:lang w:val="en-US"/>
        </w:rPr>
        <w:t xml:space="preserve"> </w:t>
      </w:r>
    </w:p>
    <w:p w:rsidR="00B10000" w:rsidRPr="00FC54FE" w:rsidRDefault="00B10000">
      <w:pPr>
        <w:widowControl/>
        <w:jc w:val="left"/>
        <w:rPr>
          <w:rFonts w:ascii="楷体" w:eastAsia="楷体" w:hAnsi="楷体" w:cs="Times New Roman"/>
          <w:b/>
          <w:kern w:val="0"/>
          <w:szCs w:val="20"/>
          <w:lang w:val="en-GB"/>
        </w:rPr>
      </w:pPr>
      <w:r w:rsidRPr="00FC54FE">
        <w:rPr>
          <w:rFonts w:ascii="楷体" w:eastAsia="楷体" w:hAnsi="楷体"/>
          <w:b/>
          <w:kern w:val="0"/>
          <w:szCs w:val="20"/>
          <w:lang w:val="en-GB"/>
        </w:rPr>
        <w:lastRenderedPageBreak/>
        <w:br w:type="page"/>
      </w:r>
    </w:p>
    <w:p w:rsidR="00593E61" w:rsidRPr="00FC54FE" w:rsidRDefault="00593E61" w:rsidP="00593E61">
      <w:pPr>
        <w:pStyle w:val="aa"/>
        <w:spacing w:after="312"/>
        <w:rPr>
          <w:rFonts w:ascii="楷体" w:eastAsia="楷体" w:hAnsi="楷体"/>
          <w:b/>
          <w:sz w:val="21"/>
          <w:szCs w:val="21"/>
        </w:rPr>
      </w:pPr>
      <w:r w:rsidRPr="00FC54FE">
        <w:rPr>
          <w:rFonts w:ascii="楷体" w:eastAsia="楷体" w:hAnsi="楷体" w:hint="eastAsia"/>
          <w:b/>
          <w:kern w:val="0"/>
          <w:sz w:val="21"/>
          <w:szCs w:val="20"/>
          <w:lang w:val="en-GB"/>
        </w:rPr>
        <w:lastRenderedPageBreak/>
        <w:t>特别声明：</w:t>
      </w:r>
    </w:p>
    <w:p w:rsidR="00593E61" w:rsidRPr="00FC54FE" w:rsidRDefault="00593E61" w:rsidP="00B84D2D">
      <w:pPr>
        <w:pStyle w:val="aa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FC54FE">
        <w:rPr>
          <w:rFonts w:ascii="楷体" w:eastAsia="楷体" w:hAnsi="楷体" w:hint="eastAsia"/>
          <w:kern w:val="0"/>
          <w:sz w:val="21"/>
          <w:szCs w:val="20"/>
          <w:lang w:val="en-GB"/>
        </w:rPr>
        <w:t>本报告中的所有内容版权均属上海凯石财富投资管理有限公司（以下简称“本公司”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凯石财富投资有限公司研究中心，且不得对本文进行任何有悖原意的引用和删改。</w:t>
      </w:r>
    </w:p>
    <w:p w:rsidR="00593E61" w:rsidRPr="00FC54FE" w:rsidRDefault="00593E61" w:rsidP="00B84D2D">
      <w:pPr>
        <w:pStyle w:val="aa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FC54FE">
        <w:rPr>
          <w:rFonts w:ascii="楷体" w:eastAsia="楷体" w:hAnsi="楷体" w:hint="eastAsia"/>
          <w:kern w:val="0"/>
          <w:sz w:val="21"/>
          <w:szCs w:val="20"/>
          <w:lang w:val="en-GB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B10000" w:rsidRPr="00FC54FE" w:rsidRDefault="00593E61" w:rsidP="00B84D2D">
      <w:pPr>
        <w:pStyle w:val="aa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FC54FE">
        <w:rPr>
          <w:rFonts w:ascii="楷体" w:eastAsia="楷体" w:hAnsi="楷体" w:hint="eastAsia"/>
          <w:kern w:val="0"/>
          <w:sz w:val="21"/>
          <w:szCs w:val="20"/>
          <w:lang w:val="en-GB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B10000" w:rsidRPr="00FC54FE" w:rsidRDefault="00B10000">
      <w:pPr>
        <w:rPr>
          <w:rFonts w:ascii="楷体" w:eastAsia="楷体" w:hAnsi="楷体"/>
          <w:lang w:val="en-GB"/>
        </w:rPr>
      </w:pPr>
    </w:p>
    <w:sectPr w:rsidR="00B10000" w:rsidRPr="00FC54FE" w:rsidSect="00656031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624" w:bottom="1440" w:left="624" w:header="850" w:footer="283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988" w:rsidRDefault="003E4988" w:rsidP="00B10000">
      <w:r>
        <w:separator/>
      </w:r>
    </w:p>
  </w:endnote>
  <w:endnote w:type="continuationSeparator" w:id="1">
    <w:p w:rsidR="003E4988" w:rsidRDefault="003E4988" w:rsidP="00B10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aiTi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00" w:rsidRDefault="00714F74">
    <w:pPr>
      <w:pStyle w:val="a4"/>
      <w:jc w:val="center"/>
    </w:pPr>
    <w:r>
      <w:pict>
        <v:rect id="_x0000_i1027" style="width:571.2pt;height:2pt" o:hralign="center" o:hrstd="t" o:hrnoshade="t" o:hr="t" fillcolor="#e7a631" stroked="f"/>
      </w:pict>
    </w:r>
    <w:sdt>
      <w:sdtPr>
        <w:id w:val="31118581"/>
        <w:docPartObj>
          <w:docPartGallery w:val="Page Numbers (Bottom of Page)"/>
          <w:docPartUnique/>
        </w:docPartObj>
      </w:sdtPr>
      <w:sdtContent>
        <w:sdt>
          <w:sdtPr>
            <w:id w:val="31118580"/>
            <w:docPartObj>
              <w:docPartGallery w:val="Page Numbers (Top of Page)"/>
              <w:docPartUnique/>
            </w:docPartObj>
          </w:sdtPr>
          <w:sdtContent>
            <w:r w:rsidR="00B10000"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100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5945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B1000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100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5945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B10000" w:rsidRDefault="00B100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857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B10000" w:rsidRDefault="00714F74">
            <w:pPr>
              <w:pStyle w:val="a4"/>
              <w:jc w:val="center"/>
            </w:pPr>
            <w:r>
              <w:pict>
                <v:rect id="_x0000_i1029" style="width:571.2pt;height:2pt" o:hralign="center" o:hrstd="t" o:hrnoshade="t" o:hr="t" fillcolor="#e7a631" stroked="f"/>
              </w:pict>
            </w:r>
            <w:r w:rsidR="00B10000"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100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84D2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B1000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100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84D2D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10000" w:rsidRDefault="00B100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988" w:rsidRDefault="003E4988" w:rsidP="00B10000">
      <w:r>
        <w:separator/>
      </w:r>
    </w:p>
  </w:footnote>
  <w:footnote w:type="continuationSeparator" w:id="1">
    <w:p w:rsidR="003E4988" w:rsidRDefault="003E4988" w:rsidP="00B10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00" w:rsidRDefault="00714F74" w:rsidP="00B10000">
    <w:pPr>
      <w:pStyle w:val="a3"/>
      <w:pBdr>
        <w:bottom w:val="none" w:sz="0" w:space="0" w:color="auto"/>
      </w:pBdr>
    </w:pPr>
    <w:r>
      <w:rPr>
        <w:noProof/>
      </w:rPr>
      <w:pict>
        <v:group id="_x0000_s1034" style="position:absolute;left:0;text-align:left;margin-left:5.2pt;margin-top:-32.25pt;width:531.2pt;height:37.5pt;z-index:251658240" coordorigin="728,206" coordsize="10624,750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728;top:206;width:1336;height:724;mso-width-relative:margin;mso-height-relative:margin" strokecolor="white">
            <v:textbox style="mso-next-textbox:#_x0000_s1035">
              <w:txbxContent>
                <w:p w:rsidR="00B10000" w:rsidRDefault="00714F74" w:rsidP="00B10000">
                  <w:pPr>
                    <w:pStyle w:val="12"/>
                  </w:pPr>
                  <w:r w:rsidRPr="00714F74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alt="凯石工2.jpg" style="width:45.75pt;height:32.25pt;visibility:visible">
                        <v:imagedata r:id="rId1" o:title="凯石工2"/>
                      </v:shape>
                    </w:pict>
                  </w:r>
                </w:p>
              </w:txbxContent>
            </v:textbox>
          </v:shape>
          <v:shape id="_x0000_s1036" type="#_x0000_t202" style="position:absolute;left:5999;top:542;width:5353;height:414;mso-width-relative:margin;mso-height-relative:margin" strokecolor="white">
            <v:textbox style="mso-next-textbox:#_x0000_s1036">
              <w:txbxContent>
                <w:p w:rsidR="00B10000" w:rsidRPr="006E0F3C" w:rsidRDefault="00B10000" w:rsidP="00B10000">
                  <w:pPr>
                    <w:pStyle w:val="2"/>
                  </w:pPr>
                  <w:r w:rsidRPr="006E0F3C">
                    <w:rPr>
                      <w:rFonts w:hint="eastAsia"/>
                    </w:rPr>
                    <w:t>201</w:t>
                  </w:r>
                  <w:r w:rsidR="00876F2A">
                    <w:rPr>
                      <w:rFonts w:hint="eastAsia"/>
                    </w:rPr>
                    <w:t>4</w:t>
                  </w:r>
                  <w:r w:rsidRPr="006E0F3C">
                    <w:rPr>
                      <w:rFonts w:hint="eastAsia"/>
                    </w:rPr>
                    <w:t>年</w:t>
                  </w:r>
                  <w:r w:rsidR="00A80EC1">
                    <w:rPr>
                      <w:rFonts w:hint="eastAsia"/>
                    </w:rPr>
                    <w:t>5</w:t>
                  </w:r>
                  <w:r w:rsidRPr="006E0F3C">
                    <w:rPr>
                      <w:rFonts w:hint="eastAsia"/>
                    </w:rPr>
                    <w:t>月</w:t>
                  </w:r>
                  <w:r w:rsidR="00727788">
                    <w:rPr>
                      <w:rFonts w:hint="eastAsia"/>
                    </w:rPr>
                    <w:t>QDII</w:t>
                  </w:r>
                  <w:r w:rsidRPr="006E0F3C">
                    <w:rPr>
                      <w:rFonts w:hint="eastAsia"/>
                    </w:rPr>
                    <w:t>基金投资策略</w:t>
                  </w:r>
                </w:p>
              </w:txbxContent>
            </v:textbox>
          </v:shape>
        </v:group>
      </w:pict>
    </w:r>
    <w:r>
      <w:pict>
        <v:rect id="_x0000_i1026" style="width:571.2pt;height:2pt" o:hralign="center" o:hrstd="t" o:hrnoshade="t" o:hr="t" fillcolor="#e7a631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00" w:rsidRDefault="00714F74" w:rsidP="00B84D2D">
    <w:pPr>
      <w:pStyle w:val="a3"/>
      <w:pBdr>
        <w:bottom w:val="none" w:sz="0" w:space="0" w:color="auto"/>
      </w:pBdr>
      <w:spacing w:afterLines="100"/>
    </w:pPr>
    <w:r>
      <w:pict>
        <v:group id="_x0000_s1025" style="width:532.6pt;height:143.7pt;mso-position-horizontal-relative:char;mso-position-vertical-relative:line" coordorigin="652,331" coordsize="10652,287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652;top:331;width:3664;height:2430;mso-width-relative:margin;mso-height-relative:margin" strokecolor="white">
            <v:textbox style="mso-next-textbox:#_x0000_s1026">
              <w:txbxContent>
                <w:p w:rsidR="00B10000" w:rsidRDefault="00B84D2D" w:rsidP="00B10000">
                  <w:pPr>
                    <w:pStyle w:val="a6"/>
                  </w:pPr>
                  <w:r w:rsidRPr="00714F74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0" o:spid="_x0000_i1031" type="#_x0000_t75" alt="凯石工2.jpg" style="width:125.25pt;height:117.75pt;visibility:visible">
                        <v:imagedata r:id="rId1" o:title="凯石工2"/>
                      </v:shape>
                    </w:pict>
                  </w:r>
                </w:p>
              </w:txbxContent>
            </v:textbox>
          </v:shape>
          <v:shape id="_x0000_s1027" type="#_x0000_t202" style="position:absolute;left:881;top:2578;width:2325;height:390" strokecolor="white">
            <v:textbox style="mso-next-textbox:#_x0000_s1027">
              <w:txbxContent>
                <w:p w:rsidR="00B10000" w:rsidRPr="006E0F3C" w:rsidRDefault="00B10000" w:rsidP="008840A4">
                  <w:pPr>
                    <w:pStyle w:val="a5"/>
                    <w:spacing w:after="240"/>
                  </w:pPr>
                  <w:r w:rsidRPr="006E0F3C">
                    <w:rPr>
                      <w:rFonts w:hint="eastAsia"/>
                    </w:rPr>
                    <w:t>凯石工场研究报告</w:t>
                  </w:r>
                </w:p>
              </w:txbxContent>
            </v:textbox>
          </v:shape>
          <v:shape id="_x0000_s1028" type="#_x0000_t202" style="position:absolute;left:8740;top:609;width:2441;height:475;mso-height-percent:200;mso-height-percent:200;mso-width-relative:margin;mso-height-relative:margin" strokecolor="white">
            <v:textbox style="mso-next-textbox:#_x0000_s1028;mso-fit-shape-to-text:t">
              <w:txbxContent>
                <w:p w:rsidR="00B10000" w:rsidRPr="006E0F3C" w:rsidRDefault="00B10000" w:rsidP="00B10000">
                  <w:pPr>
                    <w:pStyle w:val="a7"/>
                    <w:jc w:val="right"/>
                  </w:pPr>
                  <w:r w:rsidRPr="006E0F3C">
                    <w:rPr>
                      <w:rFonts w:hint="eastAsia"/>
                    </w:rPr>
                    <w:t>201</w:t>
                  </w:r>
                  <w:r w:rsidR="00876F2A">
                    <w:rPr>
                      <w:rFonts w:hint="eastAsia"/>
                    </w:rPr>
                    <w:t>4</w:t>
                  </w:r>
                  <w:r w:rsidRPr="006E0F3C">
                    <w:rPr>
                      <w:rFonts w:hint="eastAsia"/>
                    </w:rPr>
                    <w:t>年</w:t>
                  </w:r>
                  <w:r w:rsidR="00A80EC1">
                    <w:rPr>
                      <w:rFonts w:hint="eastAsia"/>
                    </w:rPr>
                    <w:t>4</w:t>
                  </w:r>
                  <w:r w:rsidRPr="006E0F3C">
                    <w:rPr>
                      <w:rFonts w:hint="eastAsia"/>
                    </w:rPr>
                    <w:t>月</w:t>
                  </w:r>
                  <w:r w:rsidR="00A80EC1">
                    <w:rPr>
                      <w:rFonts w:hint="eastAsia"/>
                    </w:rPr>
                    <w:t>30</w:t>
                  </w:r>
                  <w:r w:rsidRPr="006E0F3C">
                    <w:rPr>
                      <w:rFonts w:hint="eastAsia"/>
                    </w:rPr>
                    <w:t>日</w:t>
                  </w:r>
                </w:p>
              </w:txbxContent>
            </v:textbox>
          </v:shape>
          <v:shape id="_x0000_s1029" type="#_x0000_t202" style="position:absolute;left:3214;top:1377;width:8090;height:1001;mso-height-percent:200;mso-height-percent:200;mso-width-relative:margin;mso-height-relative:margin" strokecolor="white">
            <v:textbox style="mso-next-textbox:#_x0000_s1029;mso-fit-shape-to-text:t">
              <w:txbxContent>
                <w:p w:rsidR="00B10000" w:rsidRDefault="00B10000" w:rsidP="00B10000">
                  <w:pPr>
                    <w:pStyle w:val="a8"/>
                    <w:jc w:val="right"/>
                  </w:pPr>
                  <w:r w:rsidRPr="006E0F3C">
                    <w:rPr>
                      <w:rFonts w:hint="eastAsia"/>
                    </w:rPr>
                    <w:t>201</w:t>
                  </w:r>
                  <w:r w:rsidR="00876F2A">
                    <w:rPr>
                      <w:rFonts w:hint="eastAsia"/>
                    </w:rPr>
                    <w:t>4</w:t>
                  </w:r>
                  <w:r w:rsidRPr="006E0F3C">
                    <w:rPr>
                      <w:rFonts w:hint="eastAsia"/>
                    </w:rPr>
                    <w:t>年</w:t>
                  </w:r>
                  <w:r w:rsidR="00A80EC1">
                    <w:rPr>
                      <w:rFonts w:hint="eastAsia"/>
                    </w:rPr>
                    <w:t>5</w:t>
                  </w:r>
                  <w:r w:rsidRPr="006E0F3C">
                    <w:rPr>
                      <w:rFonts w:hint="eastAsia"/>
                    </w:rPr>
                    <w:t>月</w:t>
                  </w:r>
                  <w:r w:rsidR="00727788">
                    <w:rPr>
                      <w:rFonts w:hint="eastAsia"/>
                    </w:rPr>
                    <w:t>QDII</w:t>
                  </w:r>
                  <w:r w:rsidRPr="006E0F3C">
                    <w:rPr>
                      <w:rFonts w:hint="eastAsia"/>
                    </w:rPr>
                    <w:t>基金投资策略</w:t>
                  </w:r>
                </w:p>
                <w:p w:rsidR="00B10000" w:rsidRPr="00624366" w:rsidRDefault="00CE3302" w:rsidP="00B10000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美房地产基金价值凸显，回避欧洲与新兴市场</w:t>
                  </w:r>
                </w:p>
              </w:txbxContent>
            </v:textbox>
          </v:shape>
          <v:shape id="_x0000_s1030" type="#_x0000_t202" style="position:absolute;left:3246;top:2578;width:7993;height:627" strokecolor="white">
            <v:textbox style="mso-next-textbox:#_x0000_s1030">
              <w:txbxContent>
                <w:p w:rsidR="00D17601" w:rsidRDefault="000701D9" w:rsidP="00B10000">
                  <w:pPr>
                    <w:pStyle w:val="a9"/>
                  </w:pPr>
                  <w:r>
                    <w:rPr>
                      <w:rFonts w:hint="eastAsia"/>
                    </w:rPr>
                    <w:t>杨舒</w:t>
                  </w:r>
                  <w:r w:rsidR="00B10000" w:rsidRPr="006E0F3C">
                    <w:rPr>
                      <w:rFonts w:hint="eastAsia"/>
                    </w:rPr>
                    <w:t xml:space="preserve"> </w:t>
                  </w:r>
                  <w:r w:rsidR="00D17601">
                    <w:rPr>
                      <w:rFonts w:hint="eastAsia"/>
                    </w:rPr>
                    <w:t>高级</w:t>
                  </w:r>
                  <w:r w:rsidR="00B10000" w:rsidRPr="006E0F3C">
                    <w:rPr>
                      <w:rFonts w:hint="eastAsia"/>
                    </w:rPr>
                    <w:t>分析师</w:t>
                  </w:r>
                </w:p>
                <w:p w:rsidR="00B10000" w:rsidRPr="006E0F3C" w:rsidRDefault="00D17601" w:rsidP="00B10000">
                  <w:pPr>
                    <w:pStyle w:val="a9"/>
                  </w:pPr>
                  <w:r>
                    <w:rPr>
                      <w:rFonts w:hint="eastAsia"/>
                    </w:rPr>
                    <w:t>张剑辉 首席分析师</w:t>
                  </w:r>
                  <w:r w:rsidR="00B10000" w:rsidRPr="006E0F3C"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  <w10:wrap type="none"/>
          <w10:anchorlock/>
        </v:group>
      </w:pict>
    </w:r>
    <w:r>
      <w:pict>
        <v:rect id="_x0000_i1028" style="width:571.2pt;height:2pt" o:hralign="center" o:hrstd="t" o:hrnoshade="t" o:hr="t" fillcolor="#e7a631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C42"/>
    <w:multiLevelType w:val="singleLevel"/>
    <w:tmpl w:val="B4861D4C"/>
    <w:lvl w:ilvl="0">
      <w:start w:val="1"/>
      <w:numFmt w:val="bullet"/>
      <w:pStyle w:val="Cover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FF0000"/>
        <w:sz w:val="20"/>
        <w:szCs w:val="20"/>
      </w:rPr>
    </w:lvl>
  </w:abstractNum>
  <w:abstractNum w:abstractNumId="1">
    <w:nsid w:val="492C6DD3"/>
    <w:multiLevelType w:val="hybridMultilevel"/>
    <w:tmpl w:val="6B68E90C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AC7CA5DC">
      <w:start w:val="1"/>
      <w:numFmt w:val="bullet"/>
      <w:lvlText w:val=""/>
      <w:lvlJc w:val="left"/>
      <w:pPr>
        <w:tabs>
          <w:tab w:val="num" w:pos="3799"/>
        </w:tabs>
        <w:ind w:left="3799" w:hanging="369"/>
      </w:pPr>
      <w:rPr>
        <w:rFonts w:ascii="Wingdings" w:eastAsia="KaiTi_GB2312" w:hAnsi="Wingdings" w:hint="default"/>
        <w:b w:val="0"/>
        <w:i w:val="0"/>
        <w:color w:val="auto"/>
        <w:sz w:val="18"/>
      </w:rPr>
    </w:lvl>
    <w:lvl w:ilvl="5" w:tplc="04090005">
      <w:start w:val="1"/>
      <w:numFmt w:val="bullet"/>
      <w:lvlText w:val="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2">
    <w:nsid w:val="5E8271C1"/>
    <w:multiLevelType w:val="hybridMultilevel"/>
    <w:tmpl w:val="6B68E90C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31DAFFE0">
      <w:start w:val="1"/>
      <w:numFmt w:val="bullet"/>
      <w:lvlText w:val=""/>
      <w:lvlJc w:val="left"/>
      <w:pPr>
        <w:tabs>
          <w:tab w:val="num" w:pos="3649"/>
        </w:tabs>
        <w:ind w:left="3289" w:firstLine="0"/>
      </w:pPr>
      <w:rPr>
        <w:rFonts w:ascii="Wingdings" w:eastAsia="宋体" w:hAnsi="Wingdings" w:hint="default"/>
        <w:b w:val="0"/>
        <w:i w:val="0"/>
        <w:color w:val="000565"/>
        <w:sz w:val="18"/>
      </w:rPr>
    </w:lvl>
    <w:lvl w:ilvl="5" w:tplc="DDC8F30C">
      <w:start w:val="1"/>
      <w:numFmt w:val="bullet"/>
      <w:lvlText w:val=""/>
      <w:lvlJc w:val="left"/>
      <w:pPr>
        <w:tabs>
          <w:tab w:val="num" w:pos="4139"/>
        </w:tabs>
        <w:ind w:left="4139" w:hanging="368"/>
      </w:pPr>
      <w:rPr>
        <w:rFonts w:ascii="Wingdings 2" w:eastAsia="KaiTi_GB2312" w:hAnsi="Wingdings 2" w:hint="default"/>
        <w:b w:val="0"/>
        <w:i w:val="0"/>
        <w:sz w:val="18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3">
    <w:nsid w:val="66145FDE"/>
    <w:multiLevelType w:val="singleLevel"/>
    <w:tmpl w:val="918C41C0"/>
    <w:lvl w:ilvl="0">
      <w:start w:val="1"/>
      <w:numFmt w:val="bullet"/>
      <w:pStyle w:val="BulletCoverpage"/>
      <w:lvlText w:val=""/>
      <w:lvlJc w:val="left"/>
      <w:pPr>
        <w:tabs>
          <w:tab w:val="num" w:pos="0"/>
        </w:tabs>
        <w:ind w:left="227" w:hanging="227"/>
      </w:pPr>
      <w:rPr>
        <w:rFonts w:ascii="Monotype Sorts" w:hAnsi="Monotype Sorts" w:cs="Times New Roman" w:hint="default"/>
        <w:color w:val="FF0000"/>
        <w:sz w:val="16"/>
        <w:szCs w:val="16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000"/>
    <w:rsid w:val="00001113"/>
    <w:rsid w:val="00001134"/>
    <w:rsid w:val="00001D5C"/>
    <w:rsid w:val="0000342C"/>
    <w:rsid w:val="00004C9F"/>
    <w:rsid w:val="00007DF1"/>
    <w:rsid w:val="000106BD"/>
    <w:rsid w:val="000151D6"/>
    <w:rsid w:val="00016238"/>
    <w:rsid w:val="00016E71"/>
    <w:rsid w:val="00017BB7"/>
    <w:rsid w:val="00023796"/>
    <w:rsid w:val="000278A3"/>
    <w:rsid w:val="0003001E"/>
    <w:rsid w:val="000305E0"/>
    <w:rsid w:val="00030C1A"/>
    <w:rsid w:val="0003225B"/>
    <w:rsid w:val="00032C05"/>
    <w:rsid w:val="00032FF0"/>
    <w:rsid w:val="00034C20"/>
    <w:rsid w:val="00040949"/>
    <w:rsid w:val="000411B5"/>
    <w:rsid w:val="00042188"/>
    <w:rsid w:val="000432C9"/>
    <w:rsid w:val="000438EE"/>
    <w:rsid w:val="00044F19"/>
    <w:rsid w:val="00045244"/>
    <w:rsid w:val="0004630C"/>
    <w:rsid w:val="00050D29"/>
    <w:rsid w:val="000523A8"/>
    <w:rsid w:val="00052FAC"/>
    <w:rsid w:val="00057A76"/>
    <w:rsid w:val="000602EC"/>
    <w:rsid w:val="000612DF"/>
    <w:rsid w:val="00061CAE"/>
    <w:rsid w:val="000660CC"/>
    <w:rsid w:val="000701D9"/>
    <w:rsid w:val="00071838"/>
    <w:rsid w:val="00071EEE"/>
    <w:rsid w:val="00075461"/>
    <w:rsid w:val="00080A45"/>
    <w:rsid w:val="00081329"/>
    <w:rsid w:val="00083342"/>
    <w:rsid w:val="00084963"/>
    <w:rsid w:val="000855DD"/>
    <w:rsid w:val="00086CA1"/>
    <w:rsid w:val="00092843"/>
    <w:rsid w:val="00093CC4"/>
    <w:rsid w:val="00094002"/>
    <w:rsid w:val="00094A05"/>
    <w:rsid w:val="000A3F69"/>
    <w:rsid w:val="000B4F6C"/>
    <w:rsid w:val="000C00E7"/>
    <w:rsid w:val="000C101D"/>
    <w:rsid w:val="000C1661"/>
    <w:rsid w:val="000C1903"/>
    <w:rsid w:val="000C2BF6"/>
    <w:rsid w:val="000C6264"/>
    <w:rsid w:val="000D255F"/>
    <w:rsid w:val="000D4D06"/>
    <w:rsid w:val="000D54AA"/>
    <w:rsid w:val="000D6608"/>
    <w:rsid w:val="000D7555"/>
    <w:rsid w:val="000E3E62"/>
    <w:rsid w:val="000E4F92"/>
    <w:rsid w:val="000E57CE"/>
    <w:rsid w:val="000E63CE"/>
    <w:rsid w:val="000E6595"/>
    <w:rsid w:val="000E6676"/>
    <w:rsid w:val="000F0E85"/>
    <w:rsid w:val="000F1B1F"/>
    <w:rsid w:val="000F2323"/>
    <w:rsid w:val="000F56DC"/>
    <w:rsid w:val="000F5835"/>
    <w:rsid w:val="000F61AF"/>
    <w:rsid w:val="000F7AB0"/>
    <w:rsid w:val="000F7C30"/>
    <w:rsid w:val="00103F83"/>
    <w:rsid w:val="00105074"/>
    <w:rsid w:val="00105AEF"/>
    <w:rsid w:val="00105DEB"/>
    <w:rsid w:val="001102C7"/>
    <w:rsid w:val="0011084D"/>
    <w:rsid w:val="00111800"/>
    <w:rsid w:val="001122C1"/>
    <w:rsid w:val="001129A7"/>
    <w:rsid w:val="00112A22"/>
    <w:rsid w:val="00114518"/>
    <w:rsid w:val="00115DD5"/>
    <w:rsid w:val="00116CE6"/>
    <w:rsid w:val="0012167F"/>
    <w:rsid w:val="00124F07"/>
    <w:rsid w:val="00125F8E"/>
    <w:rsid w:val="00135124"/>
    <w:rsid w:val="00136012"/>
    <w:rsid w:val="001375D6"/>
    <w:rsid w:val="001410E9"/>
    <w:rsid w:val="00144127"/>
    <w:rsid w:val="001452B9"/>
    <w:rsid w:val="0015030D"/>
    <w:rsid w:val="001547D4"/>
    <w:rsid w:val="00155C41"/>
    <w:rsid w:val="00157B31"/>
    <w:rsid w:val="0016073A"/>
    <w:rsid w:val="001607D5"/>
    <w:rsid w:val="001710A3"/>
    <w:rsid w:val="00175064"/>
    <w:rsid w:val="001771A2"/>
    <w:rsid w:val="00181C17"/>
    <w:rsid w:val="0018379B"/>
    <w:rsid w:val="00183EE1"/>
    <w:rsid w:val="00185269"/>
    <w:rsid w:val="001854D5"/>
    <w:rsid w:val="0018765E"/>
    <w:rsid w:val="00187AEB"/>
    <w:rsid w:val="00192ECE"/>
    <w:rsid w:val="00193C25"/>
    <w:rsid w:val="00196353"/>
    <w:rsid w:val="001967DF"/>
    <w:rsid w:val="001A09F5"/>
    <w:rsid w:val="001A5408"/>
    <w:rsid w:val="001A5D15"/>
    <w:rsid w:val="001A6932"/>
    <w:rsid w:val="001A7AA3"/>
    <w:rsid w:val="001B40F7"/>
    <w:rsid w:val="001B6F74"/>
    <w:rsid w:val="001B7CE9"/>
    <w:rsid w:val="001C4BEA"/>
    <w:rsid w:val="001C5CFB"/>
    <w:rsid w:val="001C73E7"/>
    <w:rsid w:val="001C7B3E"/>
    <w:rsid w:val="001D000D"/>
    <w:rsid w:val="001D109E"/>
    <w:rsid w:val="001D25E4"/>
    <w:rsid w:val="001D3C19"/>
    <w:rsid w:val="001D7EE7"/>
    <w:rsid w:val="001D7F5D"/>
    <w:rsid w:val="001E40D5"/>
    <w:rsid w:val="001E4787"/>
    <w:rsid w:val="001E60C8"/>
    <w:rsid w:val="001E7A80"/>
    <w:rsid w:val="001E7DDC"/>
    <w:rsid w:val="001F0B14"/>
    <w:rsid w:val="001F0E37"/>
    <w:rsid w:val="001F4858"/>
    <w:rsid w:val="001F5E3D"/>
    <w:rsid w:val="001F643C"/>
    <w:rsid w:val="001F6E9C"/>
    <w:rsid w:val="00202C2B"/>
    <w:rsid w:val="00202D6B"/>
    <w:rsid w:val="002033B2"/>
    <w:rsid w:val="00204D26"/>
    <w:rsid w:val="00206284"/>
    <w:rsid w:val="002077C9"/>
    <w:rsid w:val="00210515"/>
    <w:rsid w:val="0021476C"/>
    <w:rsid w:val="00215001"/>
    <w:rsid w:val="0021759F"/>
    <w:rsid w:val="00223CE2"/>
    <w:rsid w:val="00226E48"/>
    <w:rsid w:val="002303BD"/>
    <w:rsid w:val="00231106"/>
    <w:rsid w:val="00231667"/>
    <w:rsid w:val="00231F40"/>
    <w:rsid w:val="002322C7"/>
    <w:rsid w:val="002409A7"/>
    <w:rsid w:val="0024326E"/>
    <w:rsid w:val="00245441"/>
    <w:rsid w:val="002547C3"/>
    <w:rsid w:val="00256A3A"/>
    <w:rsid w:val="00257E61"/>
    <w:rsid w:val="0026039C"/>
    <w:rsid w:val="002630FB"/>
    <w:rsid w:val="00271636"/>
    <w:rsid w:val="00271F08"/>
    <w:rsid w:val="00274876"/>
    <w:rsid w:val="00276646"/>
    <w:rsid w:val="0028096C"/>
    <w:rsid w:val="00281FBC"/>
    <w:rsid w:val="002845EC"/>
    <w:rsid w:val="00286C91"/>
    <w:rsid w:val="00291DCF"/>
    <w:rsid w:val="00293537"/>
    <w:rsid w:val="00294162"/>
    <w:rsid w:val="002A178C"/>
    <w:rsid w:val="002A1D90"/>
    <w:rsid w:val="002A592E"/>
    <w:rsid w:val="002A7947"/>
    <w:rsid w:val="002B0CF5"/>
    <w:rsid w:val="002B12A9"/>
    <w:rsid w:val="002B600C"/>
    <w:rsid w:val="002B62C9"/>
    <w:rsid w:val="002B6E31"/>
    <w:rsid w:val="002B7F29"/>
    <w:rsid w:val="002C4258"/>
    <w:rsid w:val="002C5411"/>
    <w:rsid w:val="002C6474"/>
    <w:rsid w:val="002C7FF5"/>
    <w:rsid w:val="002D3525"/>
    <w:rsid w:val="002D3E44"/>
    <w:rsid w:val="002E0474"/>
    <w:rsid w:val="002E3746"/>
    <w:rsid w:val="002E56DB"/>
    <w:rsid w:val="002E60F9"/>
    <w:rsid w:val="002E6539"/>
    <w:rsid w:val="002E7217"/>
    <w:rsid w:val="002E794A"/>
    <w:rsid w:val="002F2BEE"/>
    <w:rsid w:val="002F3BD4"/>
    <w:rsid w:val="002F3C81"/>
    <w:rsid w:val="002F7B2B"/>
    <w:rsid w:val="002F7C37"/>
    <w:rsid w:val="00302431"/>
    <w:rsid w:val="003031CC"/>
    <w:rsid w:val="003036EF"/>
    <w:rsid w:val="003039BE"/>
    <w:rsid w:val="00305C2C"/>
    <w:rsid w:val="00306DF5"/>
    <w:rsid w:val="00307A22"/>
    <w:rsid w:val="00310654"/>
    <w:rsid w:val="00313D2F"/>
    <w:rsid w:val="003141DC"/>
    <w:rsid w:val="00314423"/>
    <w:rsid w:val="003209D1"/>
    <w:rsid w:val="0032164A"/>
    <w:rsid w:val="00324B6F"/>
    <w:rsid w:val="0032573F"/>
    <w:rsid w:val="00327CE3"/>
    <w:rsid w:val="00330D03"/>
    <w:rsid w:val="00333038"/>
    <w:rsid w:val="00333E93"/>
    <w:rsid w:val="00333EE2"/>
    <w:rsid w:val="00333EF1"/>
    <w:rsid w:val="00335FA5"/>
    <w:rsid w:val="0033611E"/>
    <w:rsid w:val="0033663A"/>
    <w:rsid w:val="003366CA"/>
    <w:rsid w:val="00337589"/>
    <w:rsid w:val="003377DE"/>
    <w:rsid w:val="00337C7C"/>
    <w:rsid w:val="00340F68"/>
    <w:rsid w:val="0034163A"/>
    <w:rsid w:val="00343F99"/>
    <w:rsid w:val="0034660C"/>
    <w:rsid w:val="003504AB"/>
    <w:rsid w:val="003507D2"/>
    <w:rsid w:val="003511EC"/>
    <w:rsid w:val="00354BF2"/>
    <w:rsid w:val="00354F6B"/>
    <w:rsid w:val="00356B09"/>
    <w:rsid w:val="003601D7"/>
    <w:rsid w:val="00361E36"/>
    <w:rsid w:val="003629A1"/>
    <w:rsid w:val="003663C7"/>
    <w:rsid w:val="00367156"/>
    <w:rsid w:val="00367B88"/>
    <w:rsid w:val="00370865"/>
    <w:rsid w:val="00373A5C"/>
    <w:rsid w:val="00377EF0"/>
    <w:rsid w:val="0038252C"/>
    <w:rsid w:val="00385B91"/>
    <w:rsid w:val="00386A79"/>
    <w:rsid w:val="00391A99"/>
    <w:rsid w:val="00396479"/>
    <w:rsid w:val="003A6147"/>
    <w:rsid w:val="003A6B50"/>
    <w:rsid w:val="003B6E18"/>
    <w:rsid w:val="003B7474"/>
    <w:rsid w:val="003C206D"/>
    <w:rsid w:val="003D516C"/>
    <w:rsid w:val="003D58B0"/>
    <w:rsid w:val="003E2F42"/>
    <w:rsid w:val="003E4988"/>
    <w:rsid w:val="003E595A"/>
    <w:rsid w:val="003F4D5D"/>
    <w:rsid w:val="003F6CBD"/>
    <w:rsid w:val="003F7539"/>
    <w:rsid w:val="003F784D"/>
    <w:rsid w:val="0040088A"/>
    <w:rsid w:val="0040281B"/>
    <w:rsid w:val="00402AD8"/>
    <w:rsid w:val="0040556B"/>
    <w:rsid w:val="0040586C"/>
    <w:rsid w:val="004063EB"/>
    <w:rsid w:val="004106BF"/>
    <w:rsid w:val="0041171D"/>
    <w:rsid w:val="00411CAE"/>
    <w:rsid w:val="004144AF"/>
    <w:rsid w:val="00423564"/>
    <w:rsid w:val="00424971"/>
    <w:rsid w:val="004273E5"/>
    <w:rsid w:val="00431666"/>
    <w:rsid w:val="00432DB1"/>
    <w:rsid w:val="00432EE0"/>
    <w:rsid w:val="0043361C"/>
    <w:rsid w:val="0043613D"/>
    <w:rsid w:val="004403FF"/>
    <w:rsid w:val="004417AE"/>
    <w:rsid w:val="00442D74"/>
    <w:rsid w:val="00443BC8"/>
    <w:rsid w:val="0044427B"/>
    <w:rsid w:val="00445DD5"/>
    <w:rsid w:val="0044602F"/>
    <w:rsid w:val="004465BB"/>
    <w:rsid w:val="00447935"/>
    <w:rsid w:val="00454576"/>
    <w:rsid w:val="00454EB4"/>
    <w:rsid w:val="00457391"/>
    <w:rsid w:val="00457CD4"/>
    <w:rsid w:val="00461D50"/>
    <w:rsid w:val="0046257E"/>
    <w:rsid w:val="004625B9"/>
    <w:rsid w:val="00462B33"/>
    <w:rsid w:val="0046397E"/>
    <w:rsid w:val="00464AC0"/>
    <w:rsid w:val="00466214"/>
    <w:rsid w:val="004709C6"/>
    <w:rsid w:val="00470E05"/>
    <w:rsid w:val="00471193"/>
    <w:rsid w:val="00473690"/>
    <w:rsid w:val="0047514A"/>
    <w:rsid w:val="00476223"/>
    <w:rsid w:val="004766E1"/>
    <w:rsid w:val="00480A95"/>
    <w:rsid w:val="00483AF9"/>
    <w:rsid w:val="00484324"/>
    <w:rsid w:val="004846AD"/>
    <w:rsid w:val="00484937"/>
    <w:rsid w:val="00486443"/>
    <w:rsid w:val="00486A4A"/>
    <w:rsid w:val="00490A8E"/>
    <w:rsid w:val="0049296B"/>
    <w:rsid w:val="004A042D"/>
    <w:rsid w:val="004A15D7"/>
    <w:rsid w:val="004A239F"/>
    <w:rsid w:val="004A2ACB"/>
    <w:rsid w:val="004A399B"/>
    <w:rsid w:val="004A61EA"/>
    <w:rsid w:val="004A6604"/>
    <w:rsid w:val="004A725C"/>
    <w:rsid w:val="004B1398"/>
    <w:rsid w:val="004B7A2A"/>
    <w:rsid w:val="004C10B7"/>
    <w:rsid w:val="004C29B9"/>
    <w:rsid w:val="004C6F72"/>
    <w:rsid w:val="004C722B"/>
    <w:rsid w:val="004C7DD1"/>
    <w:rsid w:val="004D26AD"/>
    <w:rsid w:val="004D5065"/>
    <w:rsid w:val="004D511C"/>
    <w:rsid w:val="004D59A9"/>
    <w:rsid w:val="004D78C4"/>
    <w:rsid w:val="004E1201"/>
    <w:rsid w:val="004E13A6"/>
    <w:rsid w:val="004E5A60"/>
    <w:rsid w:val="004E7283"/>
    <w:rsid w:val="004F00E9"/>
    <w:rsid w:val="004F2215"/>
    <w:rsid w:val="004F3768"/>
    <w:rsid w:val="004F4040"/>
    <w:rsid w:val="004F5DA2"/>
    <w:rsid w:val="004F5F12"/>
    <w:rsid w:val="004F609C"/>
    <w:rsid w:val="004F7FEC"/>
    <w:rsid w:val="005011F5"/>
    <w:rsid w:val="00502C9B"/>
    <w:rsid w:val="005046E1"/>
    <w:rsid w:val="00507DE8"/>
    <w:rsid w:val="00511AD7"/>
    <w:rsid w:val="00511FB9"/>
    <w:rsid w:val="00516843"/>
    <w:rsid w:val="00521693"/>
    <w:rsid w:val="00523F23"/>
    <w:rsid w:val="00524B1D"/>
    <w:rsid w:val="005258AD"/>
    <w:rsid w:val="005258BD"/>
    <w:rsid w:val="00525FCF"/>
    <w:rsid w:val="00527682"/>
    <w:rsid w:val="00527E0E"/>
    <w:rsid w:val="0053086C"/>
    <w:rsid w:val="0053289C"/>
    <w:rsid w:val="00532D5E"/>
    <w:rsid w:val="005335FB"/>
    <w:rsid w:val="0053468E"/>
    <w:rsid w:val="00534DB0"/>
    <w:rsid w:val="005369F2"/>
    <w:rsid w:val="00540ECB"/>
    <w:rsid w:val="00541147"/>
    <w:rsid w:val="00541C85"/>
    <w:rsid w:val="00541D5F"/>
    <w:rsid w:val="00542085"/>
    <w:rsid w:val="005441FC"/>
    <w:rsid w:val="0054605E"/>
    <w:rsid w:val="005468F3"/>
    <w:rsid w:val="00552230"/>
    <w:rsid w:val="00553335"/>
    <w:rsid w:val="005547AF"/>
    <w:rsid w:val="0055503A"/>
    <w:rsid w:val="00561462"/>
    <w:rsid w:val="00561EA3"/>
    <w:rsid w:val="00561FD7"/>
    <w:rsid w:val="00562256"/>
    <w:rsid w:val="00562AA0"/>
    <w:rsid w:val="005631C9"/>
    <w:rsid w:val="0057223F"/>
    <w:rsid w:val="00572623"/>
    <w:rsid w:val="005726C2"/>
    <w:rsid w:val="00576BF7"/>
    <w:rsid w:val="005775C2"/>
    <w:rsid w:val="00577F2A"/>
    <w:rsid w:val="00580617"/>
    <w:rsid w:val="00580FA7"/>
    <w:rsid w:val="005853D6"/>
    <w:rsid w:val="005915EE"/>
    <w:rsid w:val="00592FF5"/>
    <w:rsid w:val="005931A6"/>
    <w:rsid w:val="00593E61"/>
    <w:rsid w:val="00596031"/>
    <w:rsid w:val="005A144D"/>
    <w:rsid w:val="005A341F"/>
    <w:rsid w:val="005A516C"/>
    <w:rsid w:val="005A540D"/>
    <w:rsid w:val="005A5965"/>
    <w:rsid w:val="005A5DE2"/>
    <w:rsid w:val="005A5F7A"/>
    <w:rsid w:val="005B28B3"/>
    <w:rsid w:val="005B39F0"/>
    <w:rsid w:val="005B714C"/>
    <w:rsid w:val="005C4FC7"/>
    <w:rsid w:val="005D1897"/>
    <w:rsid w:val="005D46B4"/>
    <w:rsid w:val="005D485D"/>
    <w:rsid w:val="005E26B9"/>
    <w:rsid w:val="005E319C"/>
    <w:rsid w:val="005E4D6F"/>
    <w:rsid w:val="005F237F"/>
    <w:rsid w:val="005F2537"/>
    <w:rsid w:val="005F50B8"/>
    <w:rsid w:val="005F58E3"/>
    <w:rsid w:val="005F5E5D"/>
    <w:rsid w:val="005F68FB"/>
    <w:rsid w:val="005F6BD4"/>
    <w:rsid w:val="005F6E6B"/>
    <w:rsid w:val="006001D3"/>
    <w:rsid w:val="0060046D"/>
    <w:rsid w:val="00607330"/>
    <w:rsid w:val="0061150E"/>
    <w:rsid w:val="00611AF7"/>
    <w:rsid w:val="00614E0D"/>
    <w:rsid w:val="00615A49"/>
    <w:rsid w:val="006160C8"/>
    <w:rsid w:val="00620D5E"/>
    <w:rsid w:val="00621C1F"/>
    <w:rsid w:val="00621E3B"/>
    <w:rsid w:val="00622EF3"/>
    <w:rsid w:val="00623C62"/>
    <w:rsid w:val="00623CC0"/>
    <w:rsid w:val="00623CD9"/>
    <w:rsid w:val="00624902"/>
    <w:rsid w:val="00630885"/>
    <w:rsid w:val="0063114B"/>
    <w:rsid w:val="0063189A"/>
    <w:rsid w:val="00631D42"/>
    <w:rsid w:val="006322BE"/>
    <w:rsid w:val="00634F30"/>
    <w:rsid w:val="00635E4C"/>
    <w:rsid w:val="006372EB"/>
    <w:rsid w:val="00640F6F"/>
    <w:rsid w:val="00641A96"/>
    <w:rsid w:val="0064533A"/>
    <w:rsid w:val="006459A3"/>
    <w:rsid w:val="006462D5"/>
    <w:rsid w:val="0064682D"/>
    <w:rsid w:val="006533D7"/>
    <w:rsid w:val="0065483E"/>
    <w:rsid w:val="00656031"/>
    <w:rsid w:val="00656F8E"/>
    <w:rsid w:val="00657E45"/>
    <w:rsid w:val="0066194A"/>
    <w:rsid w:val="00661C93"/>
    <w:rsid w:val="0066346C"/>
    <w:rsid w:val="00663907"/>
    <w:rsid w:val="0066419F"/>
    <w:rsid w:val="00664B3A"/>
    <w:rsid w:val="00665317"/>
    <w:rsid w:val="006656D3"/>
    <w:rsid w:val="00667D03"/>
    <w:rsid w:val="0067045E"/>
    <w:rsid w:val="00671545"/>
    <w:rsid w:val="00672209"/>
    <w:rsid w:val="006728D5"/>
    <w:rsid w:val="00680A06"/>
    <w:rsid w:val="0068284E"/>
    <w:rsid w:val="006840AC"/>
    <w:rsid w:val="006845E1"/>
    <w:rsid w:val="00685C11"/>
    <w:rsid w:val="0068772B"/>
    <w:rsid w:val="00690040"/>
    <w:rsid w:val="00690887"/>
    <w:rsid w:val="00691F97"/>
    <w:rsid w:val="00695146"/>
    <w:rsid w:val="00695441"/>
    <w:rsid w:val="006968B9"/>
    <w:rsid w:val="00696E0C"/>
    <w:rsid w:val="00697A97"/>
    <w:rsid w:val="00697B37"/>
    <w:rsid w:val="006A044C"/>
    <w:rsid w:val="006A069E"/>
    <w:rsid w:val="006A43BF"/>
    <w:rsid w:val="006B0CD3"/>
    <w:rsid w:val="006B2138"/>
    <w:rsid w:val="006B29B2"/>
    <w:rsid w:val="006B2CD2"/>
    <w:rsid w:val="006B3615"/>
    <w:rsid w:val="006C0A93"/>
    <w:rsid w:val="006C1184"/>
    <w:rsid w:val="006C2A7A"/>
    <w:rsid w:val="006C4947"/>
    <w:rsid w:val="006C4E3A"/>
    <w:rsid w:val="006C5D09"/>
    <w:rsid w:val="006C619C"/>
    <w:rsid w:val="006D223D"/>
    <w:rsid w:val="006D6C90"/>
    <w:rsid w:val="006D7395"/>
    <w:rsid w:val="006E18E9"/>
    <w:rsid w:val="006E2421"/>
    <w:rsid w:val="006E4998"/>
    <w:rsid w:val="006E4B5D"/>
    <w:rsid w:val="006E5BF7"/>
    <w:rsid w:val="006F09E1"/>
    <w:rsid w:val="006F10A3"/>
    <w:rsid w:val="006F6C09"/>
    <w:rsid w:val="00701EDE"/>
    <w:rsid w:val="007029E7"/>
    <w:rsid w:val="00704EB2"/>
    <w:rsid w:val="0071124A"/>
    <w:rsid w:val="007122B9"/>
    <w:rsid w:val="00714187"/>
    <w:rsid w:val="00714F74"/>
    <w:rsid w:val="00720622"/>
    <w:rsid w:val="007258CB"/>
    <w:rsid w:val="0072608C"/>
    <w:rsid w:val="00726CC9"/>
    <w:rsid w:val="00727661"/>
    <w:rsid w:val="00727788"/>
    <w:rsid w:val="00732C19"/>
    <w:rsid w:val="00736E5E"/>
    <w:rsid w:val="00741A77"/>
    <w:rsid w:val="00741D9C"/>
    <w:rsid w:val="007436D0"/>
    <w:rsid w:val="00746D3D"/>
    <w:rsid w:val="00746DC1"/>
    <w:rsid w:val="00750303"/>
    <w:rsid w:val="00752973"/>
    <w:rsid w:val="00752A4A"/>
    <w:rsid w:val="00752BF9"/>
    <w:rsid w:val="0075587B"/>
    <w:rsid w:val="007560E1"/>
    <w:rsid w:val="007652C4"/>
    <w:rsid w:val="00765836"/>
    <w:rsid w:val="007661FF"/>
    <w:rsid w:val="00766FBF"/>
    <w:rsid w:val="00770C89"/>
    <w:rsid w:val="00771C36"/>
    <w:rsid w:val="00773E0B"/>
    <w:rsid w:val="0077499A"/>
    <w:rsid w:val="007760BE"/>
    <w:rsid w:val="00780D95"/>
    <w:rsid w:val="00781486"/>
    <w:rsid w:val="00787C48"/>
    <w:rsid w:val="007910D2"/>
    <w:rsid w:val="00793162"/>
    <w:rsid w:val="00793969"/>
    <w:rsid w:val="007A06AE"/>
    <w:rsid w:val="007A258C"/>
    <w:rsid w:val="007A391F"/>
    <w:rsid w:val="007A3D70"/>
    <w:rsid w:val="007A4147"/>
    <w:rsid w:val="007A7488"/>
    <w:rsid w:val="007B0108"/>
    <w:rsid w:val="007B0627"/>
    <w:rsid w:val="007B1600"/>
    <w:rsid w:val="007B1D00"/>
    <w:rsid w:val="007B1E91"/>
    <w:rsid w:val="007B3754"/>
    <w:rsid w:val="007B56B3"/>
    <w:rsid w:val="007C0FFD"/>
    <w:rsid w:val="007C1E9F"/>
    <w:rsid w:val="007C2AAD"/>
    <w:rsid w:val="007C47B9"/>
    <w:rsid w:val="007C78CE"/>
    <w:rsid w:val="007D1F59"/>
    <w:rsid w:val="007D20E6"/>
    <w:rsid w:val="007D4AC3"/>
    <w:rsid w:val="007D4B16"/>
    <w:rsid w:val="007D5086"/>
    <w:rsid w:val="007E0A2D"/>
    <w:rsid w:val="007E2655"/>
    <w:rsid w:val="007E4E35"/>
    <w:rsid w:val="007E5659"/>
    <w:rsid w:val="007E5697"/>
    <w:rsid w:val="007E5B5C"/>
    <w:rsid w:val="007E5FDD"/>
    <w:rsid w:val="007E7D79"/>
    <w:rsid w:val="007F105F"/>
    <w:rsid w:val="007F37C8"/>
    <w:rsid w:val="007F5299"/>
    <w:rsid w:val="007F54BB"/>
    <w:rsid w:val="008016D9"/>
    <w:rsid w:val="0080308B"/>
    <w:rsid w:val="00803CB5"/>
    <w:rsid w:val="00803F0B"/>
    <w:rsid w:val="008055B6"/>
    <w:rsid w:val="008106B1"/>
    <w:rsid w:val="008120C3"/>
    <w:rsid w:val="0081385D"/>
    <w:rsid w:val="008139E8"/>
    <w:rsid w:val="00815138"/>
    <w:rsid w:val="00826326"/>
    <w:rsid w:val="00826D44"/>
    <w:rsid w:val="00837392"/>
    <w:rsid w:val="008405EC"/>
    <w:rsid w:val="00840A70"/>
    <w:rsid w:val="00840AC5"/>
    <w:rsid w:val="00840DBB"/>
    <w:rsid w:val="00841E4D"/>
    <w:rsid w:val="00843AB2"/>
    <w:rsid w:val="00845CF9"/>
    <w:rsid w:val="008460D8"/>
    <w:rsid w:val="00850F7D"/>
    <w:rsid w:val="00851567"/>
    <w:rsid w:val="00854662"/>
    <w:rsid w:val="008548EB"/>
    <w:rsid w:val="00855FB6"/>
    <w:rsid w:val="00861180"/>
    <w:rsid w:val="0087120B"/>
    <w:rsid w:val="0087442E"/>
    <w:rsid w:val="00875027"/>
    <w:rsid w:val="00875DC2"/>
    <w:rsid w:val="00876F2A"/>
    <w:rsid w:val="00880CE4"/>
    <w:rsid w:val="008840A4"/>
    <w:rsid w:val="008868A5"/>
    <w:rsid w:val="008878A5"/>
    <w:rsid w:val="00891377"/>
    <w:rsid w:val="00892677"/>
    <w:rsid w:val="00894899"/>
    <w:rsid w:val="008962C5"/>
    <w:rsid w:val="008964D0"/>
    <w:rsid w:val="008A0D5C"/>
    <w:rsid w:val="008A2526"/>
    <w:rsid w:val="008A2BBA"/>
    <w:rsid w:val="008A3AC5"/>
    <w:rsid w:val="008A4CEA"/>
    <w:rsid w:val="008A5057"/>
    <w:rsid w:val="008A67F4"/>
    <w:rsid w:val="008A7FEE"/>
    <w:rsid w:val="008B173E"/>
    <w:rsid w:val="008B1BA4"/>
    <w:rsid w:val="008B23F8"/>
    <w:rsid w:val="008B4DB2"/>
    <w:rsid w:val="008B6C8E"/>
    <w:rsid w:val="008C321D"/>
    <w:rsid w:val="008C5E6B"/>
    <w:rsid w:val="008D337E"/>
    <w:rsid w:val="008D4414"/>
    <w:rsid w:val="008E2054"/>
    <w:rsid w:val="008E2240"/>
    <w:rsid w:val="008E2ED3"/>
    <w:rsid w:val="008E2F84"/>
    <w:rsid w:val="008E40EF"/>
    <w:rsid w:val="008E60B7"/>
    <w:rsid w:val="008E706F"/>
    <w:rsid w:val="008E7F39"/>
    <w:rsid w:val="008F001B"/>
    <w:rsid w:val="008F0E10"/>
    <w:rsid w:val="008F2245"/>
    <w:rsid w:val="008F2278"/>
    <w:rsid w:val="008F5F9F"/>
    <w:rsid w:val="008F6E8D"/>
    <w:rsid w:val="00901AE0"/>
    <w:rsid w:val="00903830"/>
    <w:rsid w:val="00907D58"/>
    <w:rsid w:val="00907F57"/>
    <w:rsid w:val="00910F47"/>
    <w:rsid w:val="009110CF"/>
    <w:rsid w:val="00913283"/>
    <w:rsid w:val="00914D74"/>
    <w:rsid w:val="00924EBC"/>
    <w:rsid w:val="009262D1"/>
    <w:rsid w:val="0093202A"/>
    <w:rsid w:val="00933CBE"/>
    <w:rsid w:val="00934164"/>
    <w:rsid w:val="00934833"/>
    <w:rsid w:val="00934D5B"/>
    <w:rsid w:val="00935742"/>
    <w:rsid w:val="00936007"/>
    <w:rsid w:val="009361D6"/>
    <w:rsid w:val="009374B1"/>
    <w:rsid w:val="0094228B"/>
    <w:rsid w:val="0094404A"/>
    <w:rsid w:val="00946315"/>
    <w:rsid w:val="00947D64"/>
    <w:rsid w:val="009512DF"/>
    <w:rsid w:val="00951776"/>
    <w:rsid w:val="009528F8"/>
    <w:rsid w:val="00955C45"/>
    <w:rsid w:val="00956509"/>
    <w:rsid w:val="009575AD"/>
    <w:rsid w:val="00957E2F"/>
    <w:rsid w:val="00960120"/>
    <w:rsid w:val="00962240"/>
    <w:rsid w:val="00963E55"/>
    <w:rsid w:val="00965642"/>
    <w:rsid w:val="00965945"/>
    <w:rsid w:val="009670D1"/>
    <w:rsid w:val="0097020C"/>
    <w:rsid w:val="00973D66"/>
    <w:rsid w:val="00974561"/>
    <w:rsid w:val="00974E34"/>
    <w:rsid w:val="00976D8A"/>
    <w:rsid w:val="00980D8D"/>
    <w:rsid w:val="00981E0A"/>
    <w:rsid w:val="00982132"/>
    <w:rsid w:val="00984471"/>
    <w:rsid w:val="00986C1B"/>
    <w:rsid w:val="0099356F"/>
    <w:rsid w:val="009964F2"/>
    <w:rsid w:val="009A1060"/>
    <w:rsid w:val="009A1BD1"/>
    <w:rsid w:val="009A2160"/>
    <w:rsid w:val="009A2569"/>
    <w:rsid w:val="009A6216"/>
    <w:rsid w:val="009A64BF"/>
    <w:rsid w:val="009B2A92"/>
    <w:rsid w:val="009B426A"/>
    <w:rsid w:val="009B4856"/>
    <w:rsid w:val="009B4D2E"/>
    <w:rsid w:val="009C0706"/>
    <w:rsid w:val="009C095F"/>
    <w:rsid w:val="009C15AC"/>
    <w:rsid w:val="009C395F"/>
    <w:rsid w:val="009C5305"/>
    <w:rsid w:val="009C559F"/>
    <w:rsid w:val="009D0D44"/>
    <w:rsid w:val="009D169B"/>
    <w:rsid w:val="009D5A2C"/>
    <w:rsid w:val="009D7171"/>
    <w:rsid w:val="009D763E"/>
    <w:rsid w:val="009E1A26"/>
    <w:rsid w:val="009E2581"/>
    <w:rsid w:val="009E5644"/>
    <w:rsid w:val="009E6FA3"/>
    <w:rsid w:val="009F0641"/>
    <w:rsid w:val="009F10A3"/>
    <w:rsid w:val="009F1523"/>
    <w:rsid w:val="009F4A38"/>
    <w:rsid w:val="009F691F"/>
    <w:rsid w:val="00A00F34"/>
    <w:rsid w:val="00A02785"/>
    <w:rsid w:val="00A02E6A"/>
    <w:rsid w:val="00A04437"/>
    <w:rsid w:val="00A044A6"/>
    <w:rsid w:val="00A06A81"/>
    <w:rsid w:val="00A1182D"/>
    <w:rsid w:val="00A13206"/>
    <w:rsid w:val="00A141D7"/>
    <w:rsid w:val="00A169F8"/>
    <w:rsid w:val="00A16B03"/>
    <w:rsid w:val="00A16D9A"/>
    <w:rsid w:val="00A17F80"/>
    <w:rsid w:val="00A216FF"/>
    <w:rsid w:val="00A21F62"/>
    <w:rsid w:val="00A248D4"/>
    <w:rsid w:val="00A24A04"/>
    <w:rsid w:val="00A2565B"/>
    <w:rsid w:val="00A256BD"/>
    <w:rsid w:val="00A31DA6"/>
    <w:rsid w:val="00A33C93"/>
    <w:rsid w:val="00A35D2C"/>
    <w:rsid w:val="00A44562"/>
    <w:rsid w:val="00A44F81"/>
    <w:rsid w:val="00A50422"/>
    <w:rsid w:val="00A51C2B"/>
    <w:rsid w:val="00A5326A"/>
    <w:rsid w:val="00A613A7"/>
    <w:rsid w:val="00A61C0F"/>
    <w:rsid w:val="00A622A9"/>
    <w:rsid w:val="00A64CD0"/>
    <w:rsid w:val="00A66248"/>
    <w:rsid w:val="00A6645F"/>
    <w:rsid w:val="00A66891"/>
    <w:rsid w:val="00A669F6"/>
    <w:rsid w:val="00A67BC4"/>
    <w:rsid w:val="00A67FBE"/>
    <w:rsid w:val="00A70401"/>
    <w:rsid w:val="00A71F90"/>
    <w:rsid w:val="00A729CD"/>
    <w:rsid w:val="00A758E8"/>
    <w:rsid w:val="00A7616E"/>
    <w:rsid w:val="00A76BC2"/>
    <w:rsid w:val="00A774B3"/>
    <w:rsid w:val="00A77A1A"/>
    <w:rsid w:val="00A77AB0"/>
    <w:rsid w:val="00A80EC1"/>
    <w:rsid w:val="00A81A33"/>
    <w:rsid w:val="00A83B06"/>
    <w:rsid w:val="00A83E8D"/>
    <w:rsid w:val="00A85E72"/>
    <w:rsid w:val="00A91CB8"/>
    <w:rsid w:val="00A93200"/>
    <w:rsid w:val="00A94DF5"/>
    <w:rsid w:val="00AA01BF"/>
    <w:rsid w:val="00AA145C"/>
    <w:rsid w:val="00AA6415"/>
    <w:rsid w:val="00AA6F30"/>
    <w:rsid w:val="00AB09D7"/>
    <w:rsid w:val="00AB2D13"/>
    <w:rsid w:val="00AB3F5F"/>
    <w:rsid w:val="00AC1AF6"/>
    <w:rsid w:val="00AC29A5"/>
    <w:rsid w:val="00AC42AA"/>
    <w:rsid w:val="00AC7961"/>
    <w:rsid w:val="00AD00FE"/>
    <w:rsid w:val="00AD3172"/>
    <w:rsid w:val="00AD3C64"/>
    <w:rsid w:val="00AD5B17"/>
    <w:rsid w:val="00AE0219"/>
    <w:rsid w:val="00AE0444"/>
    <w:rsid w:val="00AE4171"/>
    <w:rsid w:val="00AE4D15"/>
    <w:rsid w:val="00AE7232"/>
    <w:rsid w:val="00AF2F54"/>
    <w:rsid w:val="00AF6D20"/>
    <w:rsid w:val="00B002DE"/>
    <w:rsid w:val="00B008AF"/>
    <w:rsid w:val="00B008C3"/>
    <w:rsid w:val="00B06599"/>
    <w:rsid w:val="00B073E2"/>
    <w:rsid w:val="00B10000"/>
    <w:rsid w:val="00B13CF9"/>
    <w:rsid w:val="00B16D31"/>
    <w:rsid w:val="00B17F2A"/>
    <w:rsid w:val="00B20B03"/>
    <w:rsid w:val="00B222C6"/>
    <w:rsid w:val="00B22D4F"/>
    <w:rsid w:val="00B26078"/>
    <w:rsid w:val="00B32DD5"/>
    <w:rsid w:val="00B3338A"/>
    <w:rsid w:val="00B340D8"/>
    <w:rsid w:val="00B37420"/>
    <w:rsid w:val="00B375CF"/>
    <w:rsid w:val="00B45276"/>
    <w:rsid w:val="00B46E42"/>
    <w:rsid w:val="00B4752F"/>
    <w:rsid w:val="00B52ECE"/>
    <w:rsid w:val="00B549B9"/>
    <w:rsid w:val="00B55E8D"/>
    <w:rsid w:val="00B610A3"/>
    <w:rsid w:val="00B61337"/>
    <w:rsid w:val="00B64010"/>
    <w:rsid w:val="00B645E8"/>
    <w:rsid w:val="00B64FE7"/>
    <w:rsid w:val="00B6539F"/>
    <w:rsid w:val="00B66062"/>
    <w:rsid w:val="00B6654D"/>
    <w:rsid w:val="00B712D0"/>
    <w:rsid w:val="00B71D3C"/>
    <w:rsid w:val="00B73B6E"/>
    <w:rsid w:val="00B7491C"/>
    <w:rsid w:val="00B75AA1"/>
    <w:rsid w:val="00B77278"/>
    <w:rsid w:val="00B82D14"/>
    <w:rsid w:val="00B84D2D"/>
    <w:rsid w:val="00B85404"/>
    <w:rsid w:val="00B8580D"/>
    <w:rsid w:val="00B872DF"/>
    <w:rsid w:val="00B917E2"/>
    <w:rsid w:val="00B9628C"/>
    <w:rsid w:val="00BA05C4"/>
    <w:rsid w:val="00BA1523"/>
    <w:rsid w:val="00BA3202"/>
    <w:rsid w:val="00BA556F"/>
    <w:rsid w:val="00BA65C4"/>
    <w:rsid w:val="00BA7445"/>
    <w:rsid w:val="00BB10C0"/>
    <w:rsid w:val="00BB283F"/>
    <w:rsid w:val="00BB5803"/>
    <w:rsid w:val="00BC0D84"/>
    <w:rsid w:val="00BC16B3"/>
    <w:rsid w:val="00BC1CEC"/>
    <w:rsid w:val="00BC2435"/>
    <w:rsid w:val="00BC3109"/>
    <w:rsid w:val="00BC3829"/>
    <w:rsid w:val="00BC5434"/>
    <w:rsid w:val="00BC6100"/>
    <w:rsid w:val="00BC7E1A"/>
    <w:rsid w:val="00BD11C2"/>
    <w:rsid w:val="00BD3165"/>
    <w:rsid w:val="00BD4099"/>
    <w:rsid w:val="00BD7D2A"/>
    <w:rsid w:val="00BE07C0"/>
    <w:rsid w:val="00BE21E0"/>
    <w:rsid w:val="00BE31B7"/>
    <w:rsid w:val="00BE4E1B"/>
    <w:rsid w:val="00BE7059"/>
    <w:rsid w:val="00BE7324"/>
    <w:rsid w:val="00BE7869"/>
    <w:rsid w:val="00BF0607"/>
    <w:rsid w:val="00BF0AB0"/>
    <w:rsid w:val="00BF1509"/>
    <w:rsid w:val="00BF6510"/>
    <w:rsid w:val="00C018D9"/>
    <w:rsid w:val="00C02323"/>
    <w:rsid w:val="00C07CFB"/>
    <w:rsid w:val="00C07FD2"/>
    <w:rsid w:val="00C120F7"/>
    <w:rsid w:val="00C123F4"/>
    <w:rsid w:val="00C140D7"/>
    <w:rsid w:val="00C151C5"/>
    <w:rsid w:val="00C16315"/>
    <w:rsid w:val="00C22A4D"/>
    <w:rsid w:val="00C23CB2"/>
    <w:rsid w:val="00C25E16"/>
    <w:rsid w:val="00C32457"/>
    <w:rsid w:val="00C326DD"/>
    <w:rsid w:val="00C36108"/>
    <w:rsid w:val="00C425AA"/>
    <w:rsid w:val="00C42672"/>
    <w:rsid w:val="00C535FB"/>
    <w:rsid w:val="00C6448F"/>
    <w:rsid w:val="00C66CEE"/>
    <w:rsid w:val="00C6757F"/>
    <w:rsid w:val="00C67CBB"/>
    <w:rsid w:val="00C71665"/>
    <w:rsid w:val="00C75DE3"/>
    <w:rsid w:val="00C806CE"/>
    <w:rsid w:val="00C84B76"/>
    <w:rsid w:val="00C90048"/>
    <w:rsid w:val="00C908C8"/>
    <w:rsid w:val="00C924EF"/>
    <w:rsid w:val="00C938FC"/>
    <w:rsid w:val="00C94899"/>
    <w:rsid w:val="00C95A13"/>
    <w:rsid w:val="00C95E51"/>
    <w:rsid w:val="00C975CA"/>
    <w:rsid w:val="00C97C44"/>
    <w:rsid w:val="00CA011E"/>
    <w:rsid w:val="00CA39A7"/>
    <w:rsid w:val="00CA451A"/>
    <w:rsid w:val="00CA5245"/>
    <w:rsid w:val="00CA68A6"/>
    <w:rsid w:val="00CA6B88"/>
    <w:rsid w:val="00CB5092"/>
    <w:rsid w:val="00CB6AAC"/>
    <w:rsid w:val="00CB7844"/>
    <w:rsid w:val="00CC0753"/>
    <w:rsid w:val="00CC1C9F"/>
    <w:rsid w:val="00CC7C10"/>
    <w:rsid w:val="00CD2A3E"/>
    <w:rsid w:val="00CE1778"/>
    <w:rsid w:val="00CE3302"/>
    <w:rsid w:val="00CE4DF1"/>
    <w:rsid w:val="00CE6AD4"/>
    <w:rsid w:val="00CE7E7B"/>
    <w:rsid w:val="00CF0E66"/>
    <w:rsid w:val="00CF29CB"/>
    <w:rsid w:val="00CF615E"/>
    <w:rsid w:val="00CF7AC0"/>
    <w:rsid w:val="00D019E8"/>
    <w:rsid w:val="00D10160"/>
    <w:rsid w:val="00D11DAF"/>
    <w:rsid w:val="00D13C37"/>
    <w:rsid w:val="00D150CD"/>
    <w:rsid w:val="00D15292"/>
    <w:rsid w:val="00D157AF"/>
    <w:rsid w:val="00D15803"/>
    <w:rsid w:val="00D17601"/>
    <w:rsid w:val="00D201D5"/>
    <w:rsid w:val="00D237A0"/>
    <w:rsid w:val="00D27A67"/>
    <w:rsid w:val="00D27B4C"/>
    <w:rsid w:val="00D405C4"/>
    <w:rsid w:val="00D40869"/>
    <w:rsid w:val="00D421E8"/>
    <w:rsid w:val="00D437FB"/>
    <w:rsid w:val="00D4444A"/>
    <w:rsid w:val="00D44A82"/>
    <w:rsid w:val="00D462D3"/>
    <w:rsid w:val="00D463C3"/>
    <w:rsid w:val="00D469D9"/>
    <w:rsid w:val="00D51341"/>
    <w:rsid w:val="00D52696"/>
    <w:rsid w:val="00D53201"/>
    <w:rsid w:val="00D54CA3"/>
    <w:rsid w:val="00D57F4A"/>
    <w:rsid w:val="00D6250A"/>
    <w:rsid w:val="00D63237"/>
    <w:rsid w:val="00D750F9"/>
    <w:rsid w:val="00D77EC7"/>
    <w:rsid w:val="00D81BBF"/>
    <w:rsid w:val="00D82D2F"/>
    <w:rsid w:val="00D83F4B"/>
    <w:rsid w:val="00D84F90"/>
    <w:rsid w:val="00D8530D"/>
    <w:rsid w:val="00D8559B"/>
    <w:rsid w:val="00D94957"/>
    <w:rsid w:val="00D95396"/>
    <w:rsid w:val="00DA1288"/>
    <w:rsid w:val="00DA12D2"/>
    <w:rsid w:val="00DA19DC"/>
    <w:rsid w:val="00DA29C6"/>
    <w:rsid w:val="00DA63D8"/>
    <w:rsid w:val="00DB23AC"/>
    <w:rsid w:val="00DB4CC1"/>
    <w:rsid w:val="00DB51E1"/>
    <w:rsid w:val="00DB6183"/>
    <w:rsid w:val="00DC1653"/>
    <w:rsid w:val="00DC5088"/>
    <w:rsid w:val="00DC5BF2"/>
    <w:rsid w:val="00DC5C6D"/>
    <w:rsid w:val="00DC638A"/>
    <w:rsid w:val="00DC7249"/>
    <w:rsid w:val="00DC7A4D"/>
    <w:rsid w:val="00DD4BDC"/>
    <w:rsid w:val="00DD61D6"/>
    <w:rsid w:val="00DD65E5"/>
    <w:rsid w:val="00DD7B3A"/>
    <w:rsid w:val="00DD7FE7"/>
    <w:rsid w:val="00DE2D65"/>
    <w:rsid w:val="00DE6559"/>
    <w:rsid w:val="00DF1609"/>
    <w:rsid w:val="00DF21AC"/>
    <w:rsid w:val="00DF3250"/>
    <w:rsid w:val="00DF7FE0"/>
    <w:rsid w:val="00E011FF"/>
    <w:rsid w:val="00E05282"/>
    <w:rsid w:val="00E072D7"/>
    <w:rsid w:val="00E07C2C"/>
    <w:rsid w:val="00E111AA"/>
    <w:rsid w:val="00E121B1"/>
    <w:rsid w:val="00E1641F"/>
    <w:rsid w:val="00E16BE9"/>
    <w:rsid w:val="00E21F9D"/>
    <w:rsid w:val="00E22802"/>
    <w:rsid w:val="00E24A88"/>
    <w:rsid w:val="00E30544"/>
    <w:rsid w:val="00E339DA"/>
    <w:rsid w:val="00E35BB7"/>
    <w:rsid w:val="00E36306"/>
    <w:rsid w:val="00E41ECF"/>
    <w:rsid w:val="00E420BF"/>
    <w:rsid w:val="00E42372"/>
    <w:rsid w:val="00E6124A"/>
    <w:rsid w:val="00E6349C"/>
    <w:rsid w:val="00E7175E"/>
    <w:rsid w:val="00E71FB8"/>
    <w:rsid w:val="00E73117"/>
    <w:rsid w:val="00E73A63"/>
    <w:rsid w:val="00E73CA5"/>
    <w:rsid w:val="00E776AC"/>
    <w:rsid w:val="00E8045D"/>
    <w:rsid w:val="00E8084C"/>
    <w:rsid w:val="00E82185"/>
    <w:rsid w:val="00E835BF"/>
    <w:rsid w:val="00E83AF2"/>
    <w:rsid w:val="00E87090"/>
    <w:rsid w:val="00E9544C"/>
    <w:rsid w:val="00E963B0"/>
    <w:rsid w:val="00EA06BA"/>
    <w:rsid w:val="00EA3B53"/>
    <w:rsid w:val="00EA5426"/>
    <w:rsid w:val="00EA5F6D"/>
    <w:rsid w:val="00EB09FE"/>
    <w:rsid w:val="00EB0C5C"/>
    <w:rsid w:val="00EB2D4B"/>
    <w:rsid w:val="00EB3A12"/>
    <w:rsid w:val="00EB3A43"/>
    <w:rsid w:val="00EB43A2"/>
    <w:rsid w:val="00EB72EC"/>
    <w:rsid w:val="00EC391E"/>
    <w:rsid w:val="00EC48BE"/>
    <w:rsid w:val="00EC4DC1"/>
    <w:rsid w:val="00EC504A"/>
    <w:rsid w:val="00EC6CCB"/>
    <w:rsid w:val="00EC70ED"/>
    <w:rsid w:val="00ED613B"/>
    <w:rsid w:val="00ED734B"/>
    <w:rsid w:val="00ED73CF"/>
    <w:rsid w:val="00ED7563"/>
    <w:rsid w:val="00ED7E97"/>
    <w:rsid w:val="00EE1734"/>
    <w:rsid w:val="00EE1879"/>
    <w:rsid w:val="00EE27C8"/>
    <w:rsid w:val="00EE3125"/>
    <w:rsid w:val="00EE42C0"/>
    <w:rsid w:val="00EE53F9"/>
    <w:rsid w:val="00EE5C13"/>
    <w:rsid w:val="00EE663C"/>
    <w:rsid w:val="00EF07D8"/>
    <w:rsid w:val="00EF11B0"/>
    <w:rsid w:val="00EF3244"/>
    <w:rsid w:val="00EF4AC5"/>
    <w:rsid w:val="00F003C6"/>
    <w:rsid w:val="00F01B0B"/>
    <w:rsid w:val="00F02E99"/>
    <w:rsid w:val="00F03705"/>
    <w:rsid w:val="00F04D4D"/>
    <w:rsid w:val="00F10CBF"/>
    <w:rsid w:val="00F11AFB"/>
    <w:rsid w:val="00F13965"/>
    <w:rsid w:val="00F14836"/>
    <w:rsid w:val="00F149CA"/>
    <w:rsid w:val="00F1597E"/>
    <w:rsid w:val="00F16CEC"/>
    <w:rsid w:val="00F20305"/>
    <w:rsid w:val="00F20823"/>
    <w:rsid w:val="00F21A77"/>
    <w:rsid w:val="00F25274"/>
    <w:rsid w:val="00F25534"/>
    <w:rsid w:val="00F26F69"/>
    <w:rsid w:val="00F3150E"/>
    <w:rsid w:val="00F33571"/>
    <w:rsid w:val="00F35042"/>
    <w:rsid w:val="00F37178"/>
    <w:rsid w:val="00F42D80"/>
    <w:rsid w:val="00F5458F"/>
    <w:rsid w:val="00F56C57"/>
    <w:rsid w:val="00F573A2"/>
    <w:rsid w:val="00F60F2E"/>
    <w:rsid w:val="00F6212A"/>
    <w:rsid w:val="00F65AE1"/>
    <w:rsid w:val="00F65C0B"/>
    <w:rsid w:val="00F66662"/>
    <w:rsid w:val="00F67321"/>
    <w:rsid w:val="00F7010B"/>
    <w:rsid w:val="00F70BC8"/>
    <w:rsid w:val="00F73FFC"/>
    <w:rsid w:val="00F74436"/>
    <w:rsid w:val="00F83227"/>
    <w:rsid w:val="00F85659"/>
    <w:rsid w:val="00F92296"/>
    <w:rsid w:val="00F9255C"/>
    <w:rsid w:val="00F93C8C"/>
    <w:rsid w:val="00F95890"/>
    <w:rsid w:val="00FA12F8"/>
    <w:rsid w:val="00FA25D1"/>
    <w:rsid w:val="00FA5ACB"/>
    <w:rsid w:val="00FA5FD1"/>
    <w:rsid w:val="00FB4998"/>
    <w:rsid w:val="00FB544C"/>
    <w:rsid w:val="00FB5E3E"/>
    <w:rsid w:val="00FB7592"/>
    <w:rsid w:val="00FC263C"/>
    <w:rsid w:val="00FC54FE"/>
    <w:rsid w:val="00FC6912"/>
    <w:rsid w:val="00FC7209"/>
    <w:rsid w:val="00FD14F0"/>
    <w:rsid w:val="00FD5274"/>
    <w:rsid w:val="00FD60CC"/>
    <w:rsid w:val="00FD6975"/>
    <w:rsid w:val="00FD7EC8"/>
    <w:rsid w:val="00FE3C56"/>
    <w:rsid w:val="00FE5A51"/>
    <w:rsid w:val="00FE6E8C"/>
    <w:rsid w:val="00FF08F2"/>
    <w:rsid w:val="00FF68FA"/>
    <w:rsid w:val="00FF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0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000"/>
    <w:rPr>
      <w:sz w:val="18"/>
      <w:szCs w:val="18"/>
    </w:rPr>
  </w:style>
  <w:style w:type="paragraph" w:customStyle="1" w:styleId="a5">
    <w:name w:val="页眉报告名称"/>
    <w:link w:val="Char1"/>
    <w:autoRedefine/>
    <w:qFormat/>
    <w:rsid w:val="00B10000"/>
    <w:pPr>
      <w:spacing w:afterLines="100" w:line="240" w:lineRule="exact"/>
      <w:jc w:val="both"/>
    </w:pPr>
    <w:rPr>
      <w:rFonts w:ascii="Calibri" w:eastAsia="华文新魏" w:hAnsi="Calibri" w:cs="Times New Roman"/>
      <w:sz w:val="24"/>
    </w:rPr>
  </w:style>
  <w:style w:type="character" w:customStyle="1" w:styleId="Char1">
    <w:name w:val="页眉报告名称 Char"/>
    <w:basedOn w:val="a0"/>
    <w:link w:val="a5"/>
    <w:rsid w:val="00B10000"/>
    <w:rPr>
      <w:rFonts w:ascii="Calibri" w:eastAsia="华文新魏" w:hAnsi="Calibri" w:cs="Times New Roman"/>
      <w:sz w:val="24"/>
    </w:rPr>
  </w:style>
  <w:style w:type="paragraph" w:customStyle="1" w:styleId="a6">
    <w:name w:val="页眉图片"/>
    <w:basedOn w:val="a3"/>
    <w:link w:val="Char2"/>
    <w:qFormat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  <w:rPr>
      <w:rFonts w:ascii="Calibri" w:eastAsia="宋体" w:hAnsi="Calibri" w:cs="Times New Roman"/>
      <w:noProof/>
    </w:rPr>
  </w:style>
  <w:style w:type="character" w:customStyle="1" w:styleId="Char2">
    <w:name w:val="页眉图片 Char"/>
    <w:basedOn w:val="Char"/>
    <w:link w:val="a6"/>
    <w:rsid w:val="00B10000"/>
    <w:rPr>
      <w:rFonts w:ascii="Calibri" w:eastAsia="宋体" w:hAnsi="Calibri" w:cs="Times New Roman"/>
      <w:noProof/>
    </w:rPr>
  </w:style>
  <w:style w:type="paragraph" w:customStyle="1" w:styleId="a7">
    <w:name w:val="页眉处日期"/>
    <w:basedOn w:val="a"/>
    <w:link w:val="Char3"/>
    <w:qFormat/>
    <w:rsid w:val="00B10000"/>
    <w:pPr>
      <w:tabs>
        <w:tab w:val="right" w:pos="11424"/>
      </w:tabs>
      <w:snapToGrid w:val="0"/>
      <w:jc w:val="left"/>
    </w:pPr>
    <w:rPr>
      <w:rFonts w:ascii="华文隶书" w:eastAsia="华文隶书" w:hAnsi="Calibri" w:cs="Times New Roman"/>
      <w:b/>
      <w:sz w:val="24"/>
      <w:szCs w:val="24"/>
    </w:rPr>
  </w:style>
  <w:style w:type="paragraph" w:customStyle="1" w:styleId="a8">
    <w:name w:val="页眉副标题"/>
    <w:basedOn w:val="a"/>
    <w:link w:val="Char4"/>
    <w:qFormat/>
    <w:rsid w:val="00B10000"/>
    <w:pPr>
      <w:tabs>
        <w:tab w:val="right" w:pos="11424"/>
      </w:tabs>
      <w:snapToGrid w:val="0"/>
      <w:jc w:val="left"/>
    </w:pPr>
    <w:rPr>
      <w:rFonts w:ascii="华文隶书" w:eastAsia="华文隶书" w:hAnsi="Calibri" w:cs="Times New Roman"/>
      <w:sz w:val="36"/>
      <w:szCs w:val="36"/>
    </w:rPr>
  </w:style>
  <w:style w:type="character" w:customStyle="1" w:styleId="Char3">
    <w:name w:val="页眉处日期 Char"/>
    <w:basedOn w:val="a0"/>
    <w:link w:val="a7"/>
    <w:rsid w:val="00B10000"/>
    <w:rPr>
      <w:rFonts w:ascii="华文隶书" w:eastAsia="华文隶书" w:hAnsi="Calibri" w:cs="Times New Roman"/>
      <w:b/>
      <w:sz w:val="24"/>
      <w:szCs w:val="24"/>
    </w:rPr>
  </w:style>
  <w:style w:type="character" w:customStyle="1" w:styleId="Char4">
    <w:name w:val="页眉副标题 Char"/>
    <w:basedOn w:val="a0"/>
    <w:link w:val="a8"/>
    <w:rsid w:val="00B10000"/>
    <w:rPr>
      <w:rFonts w:ascii="华文隶书" w:eastAsia="华文隶书" w:hAnsi="Calibri" w:cs="Times New Roman"/>
      <w:sz w:val="36"/>
      <w:szCs w:val="36"/>
    </w:rPr>
  </w:style>
  <w:style w:type="paragraph" w:customStyle="1" w:styleId="a9">
    <w:name w:val="页眉的分析师"/>
    <w:basedOn w:val="a"/>
    <w:link w:val="Char5"/>
    <w:qFormat/>
    <w:rsid w:val="00B10000"/>
    <w:pPr>
      <w:tabs>
        <w:tab w:val="right" w:pos="11424"/>
      </w:tabs>
      <w:snapToGrid w:val="0"/>
      <w:spacing w:line="240" w:lineRule="exact"/>
      <w:jc w:val="right"/>
    </w:pPr>
    <w:rPr>
      <w:rFonts w:ascii="华文新魏" w:eastAsia="华文新魏" w:hAnsi="Calibri" w:cs="Times New Roman"/>
      <w:szCs w:val="21"/>
    </w:rPr>
  </w:style>
  <w:style w:type="character" w:customStyle="1" w:styleId="Char5">
    <w:name w:val="页眉的分析师 Char"/>
    <w:basedOn w:val="a0"/>
    <w:link w:val="a9"/>
    <w:rsid w:val="00B10000"/>
    <w:rPr>
      <w:rFonts w:ascii="华文新魏" w:eastAsia="华文新魏" w:hAnsi="Calibri" w:cs="Times New Roman"/>
      <w:szCs w:val="21"/>
    </w:rPr>
  </w:style>
  <w:style w:type="paragraph" w:customStyle="1" w:styleId="12">
    <w:name w:val="页眉12"/>
    <w:basedOn w:val="a3"/>
    <w:link w:val="12Char"/>
    <w:qFormat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  <w:rPr>
      <w:rFonts w:ascii="Calibri" w:eastAsia="宋体" w:hAnsi="Calibri" w:cs="Times New Roman"/>
    </w:rPr>
  </w:style>
  <w:style w:type="character" w:customStyle="1" w:styleId="12Char">
    <w:name w:val="页眉12 Char"/>
    <w:basedOn w:val="Char"/>
    <w:link w:val="12"/>
    <w:rsid w:val="00B10000"/>
    <w:rPr>
      <w:rFonts w:ascii="Calibri" w:eastAsia="宋体" w:hAnsi="Calibri" w:cs="Times New Roman"/>
    </w:rPr>
  </w:style>
  <w:style w:type="paragraph" w:customStyle="1" w:styleId="2">
    <w:name w:val="页眉副标题2"/>
    <w:basedOn w:val="12"/>
    <w:link w:val="2Char"/>
    <w:qFormat/>
    <w:rsid w:val="00B10000"/>
    <w:pPr>
      <w:jc w:val="right"/>
    </w:pPr>
    <w:rPr>
      <w:rFonts w:ascii="华文隶书" w:eastAsia="华文隶书"/>
      <w:sz w:val="21"/>
      <w:szCs w:val="21"/>
    </w:rPr>
  </w:style>
  <w:style w:type="character" w:customStyle="1" w:styleId="2Char">
    <w:name w:val="页眉副标题2 Char"/>
    <w:basedOn w:val="12Char"/>
    <w:link w:val="2"/>
    <w:rsid w:val="00B10000"/>
    <w:rPr>
      <w:rFonts w:ascii="华文隶书" w:eastAsia="华文隶书"/>
      <w:szCs w:val="21"/>
    </w:rPr>
  </w:style>
  <w:style w:type="paragraph" w:customStyle="1" w:styleId="aa">
    <w:name w:val="特别声明格式"/>
    <w:basedOn w:val="a"/>
    <w:link w:val="Char6"/>
    <w:qFormat/>
    <w:rsid w:val="00B10000"/>
    <w:pPr>
      <w:spacing w:afterLines="100" w:line="240" w:lineRule="exact"/>
    </w:pPr>
    <w:rPr>
      <w:rFonts w:ascii="华文隶书" w:eastAsia="华文隶书" w:hAnsi="Calibri" w:cs="Times New Roman"/>
      <w:sz w:val="28"/>
    </w:rPr>
  </w:style>
  <w:style w:type="character" w:customStyle="1" w:styleId="Char6">
    <w:name w:val="特别声明格式 Char"/>
    <w:basedOn w:val="a0"/>
    <w:link w:val="aa"/>
    <w:rsid w:val="00B10000"/>
    <w:rPr>
      <w:rFonts w:ascii="华文隶书" w:eastAsia="华文隶书" w:hAnsi="Calibri" w:cs="Times New Roman"/>
      <w:sz w:val="28"/>
    </w:rPr>
  </w:style>
  <w:style w:type="paragraph" w:styleId="ab">
    <w:name w:val="Body Text"/>
    <w:basedOn w:val="a"/>
    <w:link w:val="Char7"/>
    <w:rsid w:val="00B10000"/>
    <w:pPr>
      <w:widowControl/>
      <w:spacing w:after="120" w:line="240" w:lineRule="exact"/>
      <w:ind w:left="3402"/>
    </w:pPr>
    <w:rPr>
      <w:rFonts w:ascii="Arial" w:eastAsia="KaiTi_GB2312" w:hAnsi="Arial" w:cs="Times New Roman"/>
      <w:color w:val="000000"/>
      <w:kern w:val="0"/>
      <w:szCs w:val="20"/>
      <w:lang w:val="en-GB"/>
    </w:rPr>
  </w:style>
  <w:style w:type="character" w:customStyle="1" w:styleId="Char7">
    <w:name w:val="正文文本 Char"/>
    <w:basedOn w:val="a0"/>
    <w:link w:val="ab"/>
    <w:rsid w:val="00B10000"/>
    <w:rPr>
      <w:rFonts w:ascii="Arial" w:eastAsia="KaiTi_GB2312" w:hAnsi="Arial" w:cs="Times New Roman"/>
      <w:color w:val="000000"/>
      <w:kern w:val="0"/>
      <w:szCs w:val="20"/>
      <w:lang w:val="en-GB"/>
    </w:rPr>
  </w:style>
  <w:style w:type="paragraph" w:customStyle="1" w:styleId="FootnoteNoline">
    <w:name w:val="FootnoteNoline"/>
    <w:basedOn w:val="a"/>
    <w:next w:val="ab"/>
    <w:rsid w:val="008840A4"/>
    <w:pPr>
      <w:widowControl/>
      <w:tabs>
        <w:tab w:val="right" w:pos="10065"/>
      </w:tabs>
      <w:spacing w:before="40" w:after="160"/>
      <w:ind w:left="3402"/>
    </w:pPr>
    <w:rPr>
      <w:rFonts w:ascii="Arial" w:eastAsia="KaiTi_GB2312" w:hAnsi="Arial" w:cs="Arial"/>
      <w:color w:val="003765"/>
      <w:kern w:val="0"/>
      <w:sz w:val="15"/>
      <w:szCs w:val="14"/>
      <w:lang w:val="en-GB"/>
    </w:rPr>
  </w:style>
  <w:style w:type="paragraph" w:customStyle="1" w:styleId="SubTitleLargeTable">
    <w:name w:val="SubTitleLargeTable"/>
    <w:rsid w:val="008840A4"/>
    <w:pPr>
      <w:keepNext/>
      <w:pBdr>
        <w:top w:val="single" w:sz="6" w:space="1" w:color="666699"/>
      </w:pBdr>
      <w:suppressAutoHyphens/>
      <w:spacing w:after="40" w:line="240" w:lineRule="atLeast"/>
    </w:pPr>
    <w:rPr>
      <w:rFonts w:ascii="Arial" w:eastAsia="KaiTi_GB2312" w:hAnsi="Arial" w:cs="Arial"/>
      <w:b/>
      <w:bCs/>
      <w:i/>
      <w:iCs/>
      <w:color w:val="003765"/>
      <w:kern w:val="0"/>
      <w:szCs w:val="21"/>
      <w:lang w:val="en-GB"/>
    </w:rPr>
  </w:style>
  <w:style w:type="paragraph" w:styleId="ac">
    <w:name w:val="Balloon Text"/>
    <w:basedOn w:val="a"/>
    <w:link w:val="Char8"/>
    <w:uiPriority w:val="99"/>
    <w:semiHidden/>
    <w:unhideWhenUsed/>
    <w:rsid w:val="008840A4"/>
    <w:rPr>
      <w:sz w:val="18"/>
      <w:szCs w:val="18"/>
    </w:rPr>
  </w:style>
  <w:style w:type="character" w:customStyle="1" w:styleId="Char8">
    <w:name w:val="批注框文本 Char"/>
    <w:basedOn w:val="a0"/>
    <w:link w:val="ac"/>
    <w:uiPriority w:val="99"/>
    <w:semiHidden/>
    <w:rsid w:val="008840A4"/>
    <w:rPr>
      <w:sz w:val="18"/>
      <w:szCs w:val="18"/>
    </w:rPr>
  </w:style>
  <w:style w:type="paragraph" w:customStyle="1" w:styleId="CoverBullet">
    <w:name w:val="Cover Bullet"/>
    <w:rsid w:val="008840A4"/>
    <w:pPr>
      <w:numPr>
        <w:numId w:val="3"/>
      </w:numPr>
      <w:spacing w:before="120" w:after="120"/>
      <w:ind w:left="357" w:hanging="357"/>
    </w:pPr>
    <w:rPr>
      <w:rFonts w:ascii="LucidaSans" w:eastAsia="宋体" w:hAnsi="LucidaSans" w:cs="Times New Roman"/>
      <w:b/>
      <w:bCs/>
      <w:kern w:val="0"/>
      <w:sz w:val="20"/>
      <w:szCs w:val="20"/>
      <w:lang w:val="en-GB"/>
    </w:rPr>
  </w:style>
  <w:style w:type="paragraph" w:styleId="ad">
    <w:name w:val="List Paragraph"/>
    <w:basedOn w:val="a"/>
    <w:uiPriority w:val="34"/>
    <w:qFormat/>
    <w:rsid w:val="002630FB"/>
    <w:pPr>
      <w:ind w:firstLineChars="200" w:firstLine="420"/>
    </w:pPr>
  </w:style>
  <w:style w:type="paragraph" w:customStyle="1" w:styleId="SourceLarge">
    <w:name w:val="SourceLarge"/>
    <w:rsid w:val="00875DC2"/>
    <w:pPr>
      <w:tabs>
        <w:tab w:val="left" w:pos="5216"/>
        <w:tab w:val="right" w:pos="9866"/>
      </w:tabs>
      <w:suppressAutoHyphens/>
      <w:spacing w:line="160" w:lineRule="atLeast"/>
    </w:pPr>
    <w:rPr>
      <w:rFonts w:ascii="LucidaSans" w:eastAsia="宋体" w:hAnsi="LucidaSans" w:cs="Times New Roman"/>
      <w:kern w:val="0"/>
      <w:sz w:val="12"/>
      <w:szCs w:val="12"/>
      <w:lang w:val="en-GB"/>
    </w:rPr>
  </w:style>
  <w:style w:type="paragraph" w:customStyle="1" w:styleId="BulletCoverpage">
    <w:name w:val="Bullet Cover page"/>
    <w:basedOn w:val="a"/>
    <w:rsid w:val="00875DC2"/>
    <w:pPr>
      <w:widowControl/>
      <w:numPr>
        <w:numId w:val="4"/>
      </w:numPr>
      <w:suppressAutoHyphens/>
      <w:spacing w:after="200" w:line="240" w:lineRule="atLeast"/>
    </w:pPr>
    <w:rPr>
      <w:rFonts w:ascii="Arial" w:eastAsia="KaiTi_GB2312" w:hAnsi="Arial" w:cs="Times New Roman"/>
      <w:kern w:val="0"/>
      <w:sz w:val="18"/>
      <w:szCs w:val="20"/>
      <w:lang w:val="en-GB"/>
    </w:rPr>
  </w:style>
  <w:style w:type="character" w:styleId="ae">
    <w:name w:val="Hyperlink"/>
    <w:basedOn w:val="a0"/>
    <w:uiPriority w:val="99"/>
    <w:semiHidden/>
    <w:unhideWhenUsed/>
    <w:rsid w:val="008A7FEE"/>
    <w:rPr>
      <w:strike w:val="0"/>
      <w:dstrike w:val="0"/>
      <w:color w:val="000000"/>
      <w:u w:val="none"/>
      <w:effect w:val="none"/>
    </w:rPr>
  </w:style>
  <w:style w:type="paragraph" w:styleId="af">
    <w:name w:val="Normal (Web)"/>
    <w:basedOn w:val="a"/>
    <w:uiPriority w:val="99"/>
    <w:semiHidden/>
    <w:unhideWhenUsed/>
    <w:rsid w:val="008A7F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E9EAEE"/>
                          </w:divBdr>
                          <w:divsChild>
                            <w:div w:id="11075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5565">
                  <w:marLeft w:val="0"/>
                  <w:marRight w:val="0"/>
                  <w:marTop w:val="0"/>
                  <w:marBottom w:val="0"/>
                  <w:divBdr>
                    <w:top w:val="single" w:sz="18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19128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8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2709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842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362">
              <w:marLeft w:val="0"/>
              <w:marRight w:val="0"/>
              <w:marTop w:val="0"/>
              <w:marBottom w:val="0"/>
              <w:divBdr>
                <w:top w:val="single" w:sz="4" w:space="0" w:color="BEBEBE"/>
                <w:left w:val="single" w:sz="4" w:space="0" w:color="BEBEBE"/>
                <w:bottom w:val="single" w:sz="4" w:space="0" w:color="BEBEBE"/>
                <w:right w:val="single" w:sz="4" w:space="0" w:color="BEBEBE"/>
              </w:divBdr>
              <w:divsChild>
                <w:div w:id="20511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956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2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3133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10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20193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874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5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9677">
                  <w:marLeft w:val="0"/>
                  <w:marRight w:val="0"/>
                  <w:marTop w:val="0"/>
                  <w:marBottom w:val="0"/>
                  <w:divBdr>
                    <w:top w:val="single" w:sz="18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9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67268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ockhtm.finance.qq.com/hcenter/index.htm?page=1040300" TargetMode="Externa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emf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4E752-D014-4ECF-83F4-E1F0A523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2878</TotalTime>
  <Pages>9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shanghai vstone</dc:creator>
  <cp:lastModifiedBy>shanghai vstone</cp:lastModifiedBy>
  <cp:revision>1144</cp:revision>
  <dcterms:created xsi:type="dcterms:W3CDTF">2013-11-22T08:48:00Z</dcterms:created>
  <dcterms:modified xsi:type="dcterms:W3CDTF">2014-05-07T02:40:00Z</dcterms:modified>
</cp:coreProperties>
</file>